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8"/>
        <w:rPr>
          <w:rFonts w:ascii="Times New Roman"/>
          <w:sz w:val="13"/>
        </w:rPr>
      </w:pPr>
    </w:p>
    <w:p>
      <w:pPr>
        <w:pStyle w:val="BodyText"/>
        <w:ind w:left="919"/>
        <w:rPr>
          <w:rFonts w:ascii="Times New Roman"/>
          <w:sz w:val="20"/>
        </w:rPr>
      </w:pPr>
      <w:r>
        <w:rPr>
          <w:rFonts w:ascii="Times New Roman"/>
          <w:sz w:val="20"/>
        </w:rPr>
        <mc:AlternateContent>
          <mc:Choice Requires="wps">
            <w:drawing>
              <wp:inline distT="0" distB="0" distL="0" distR="0">
                <wp:extent cx="5843270" cy="744220"/>
                <wp:effectExtent l="0" t="0" r="0" b="0"/>
                <wp:docPr id="1" name="Textbox 1"/>
                <wp:cNvGraphicFramePr>
                  <a:graphicFrameLocks/>
                </wp:cNvGraphicFramePr>
                <a:graphic>
                  <a:graphicData uri="http://schemas.microsoft.com/office/word/2010/wordprocessingShape">
                    <wps:wsp>
                      <wps:cNvPr id="1" name="Textbox 1"/>
                      <wps:cNvSpPr txBox="1"/>
                      <wps:spPr>
                        <a:xfrm>
                          <a:off x="0" y="0"/>
                          <a:ext cx="5843270" cy="744220"/>
                        </a:xfrm>
                        <a:prstGeom prst="rect">
                          <a:avLst/>
                        </a:prstGeom>
                        <a:solidFill>
                          <a:srgbClr val="234060"/>
                        </a:solidFill>
                      </wps:spPr>
                      <wps:txbx>
                        <w:txbxContent>
                          <w:p>
                            <w:pPr>
                              <w:spacing w:line="878" w:lineRule="exact" w:before="1"/>
                              <w:ind w:left="2944" w:right="2943" w:firstLine="0"/>
                              <w:jc w:val="center"/>
                              <w:rPr>
                                <w:b/>
                                <w:i/>
                                <w:color w:val="000000"/>
                                <w:sz w:val="72"/>
                              </w:rPr>
                            </w:pPr>
                            <w:r>
                              <w:rPr>
                                <w:b/>
                                <w:i/>
                                <w:color w:val="FFC000"/>
                                <w:spacing w:val="-2"/>
                                <w:sz w:val="72"/>
                              </w:rPr>
                              <w:t>MaineDOT</w:t>
                            </w:r>
                          </w:p>
                          <w:p>
                            <w:pPr>
                              <w:spacing w:line="292" w:lineRule="exact" w:before="0"/>
                              <w:ind w:left="2944" w:right="2945" w:firstLine="0"/>
                              <w:jc w:val="center"/>
                              <w:rPr>
                                <w:b/>
                                <w:i/>
                                <w:color w:val="000000"/>
                                <w:sz w:val="24"/>
                              </w:rPr>
                            </w:pPr>
                            <w:r>
                              <w:rPr>
                                <w:b/>
                                <w:i/>
                                <w:color w:val="FFC000"/>
                                <w:sz w:val="24"/>
                              </w:rPr>
                              <w:t>Integrity</w:t>
                            </w:r>
                            <w:r>
                              <w:rPr>
                                <w:b/>
                                <w:i/>
                                <w:color w:val="FFC000"/>
                                <w:spacing w:val="-3"/>
                                <w:sz w:val="24"/>
                              </w:rPr>
                              <w:t> </w:t>
                            </w:r>
                            <w:r>
                              <w:rPr>
                                <w:b/>
                                <w:i/>
                                <w:color w:val="FFC000"/>
                                <w:sz w:val="24"/>
                              </w:rPr>
                              <w:t>●</w:t>
                            </w:r>
                            <w:r>
                              <w:rPr>
                                <w:b/>
                                <w:i/>
                                <w:color w:val="FFC000"/>
                                <w:spacing w:val="-4"/>
                                <w:sz w:val="24"/>
                              </w:rPr>
                              <w:t> </w:t>
                            </w:r>
                            <w:r>
                              <w:rPr>
                                <w:b/>
                                <w:i/>
                                <w:color w:val="FFC000"/>
                                <w:sz w:val="24"/>
                              </w:rPr>
                              <w:t>Competence</w:t>
                            </w:r>
                            <w:r>
                              <w:rPr>
                                <w:b/>
                                <w:i/>
                                <w:color w:val="FFC000"/>
                                <w:spacing w:val="-4"/>
                                <w:sz w:val="24"/>
                              </w:rPr>
                              <w:t> </w:t>
                            </w:r>
                            <w:r>
                              <w:rPr>
                                <w:b/>
                                <w:i/>
                                <w:color w:val="FFC000"/>
                                <w:sz w:val="24"/>
                              </w:rPr>
                              <w:t>●</w:t>
                            </w:r>
                            <w:r>
                              <w:rPr>
                                <w:b/>
                                <w:i/>
                                <w:color w:val="FFC000"/>
                                <w:spacing w:val="-3"/>
                                <w:sz w:val="24"/>
                              </w:rPr>
                              <w:t> </w:t>
                            </w:r>
                            <w:r>
                              <w:rPr>
                                <w:b/>
                                <w:i/>
                                <w:color w:val="FFC000"/>
                                <w:spacing w:val="-2"/>
                                <w:sz w:val="24"/>
                              </w:rPr>
                              <w:t>Service</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460.1pt;height:58.6pt;mso-position-horizontal-relative:char;mso-position-vertical-relative:line" type="#_x0000_t202" id="docshape1" filled="true" fillcolor="#234060" stroked="false">
                <w10:anchorlock/>
                <v:textbox inset="0,0,0,0">
                  <w:txbxContent>
                    <w:p>
                      <w:pPr>
                        <w:spacing w:line="878" w:lineRule="exact" w:before="1"/>
                        <w:ind w:left="2944" w:right="2943" w:firstLine="0"/>
                        <w:jc w:val="center"/>
                        <w:rPr>
                          <w:b/>
                          <w:i/>
                          <w:color w:val="000000"/>
                          <w:sz w:val="72"/>
                        </w:rPr>
                      </w:pPr>
                      <w:r>
                        <w:rPr>
                          <w:b/>
                          <w:i/>
                          <w:color w:val="FFC000"/>
                          <w:spacing w:val="-2"/>
                          <w:sz w:val="72"/>
                        </w:rPr>
                        <w:t>MaineDOT</w:t>
                      </w:r>
                    </w:p>
                    <w:p>
                      <w:pPr>
                        <w:spacing w:line="292" w:lineRule="exact" w:before="0"/>
                        <w:ind w:left="2944" w:right="2945" w:firstLine="0"/>
                        <w:jc w:val="center"/>
                        <w:rPr>
                          <w:b/>
                          <w:i/>
                          <w:color w:val="000000"/>
                          <w:sz w:val="24"/>
                        </w:rPr>
                      </w:pPr>
                      <w:r>
                        <w:rPr>
                          <w:b/>
                          <w:i/>
                          <w:color w:val="FFC000"/>
                          <w:sz w:val="24"/>
                        </w:rPr>
                        <w:t>Integrity</w:t>
                      </w:r>
                      <w:r>
                        <w:rPr>
                          <w:b/>
                          <w:i/>
                          <w:color w:val="FFC000"/>
                          <w:spacing w:val="-3"/>
                          <w:sz w:val="24"/>
                        </w:rPr>
                        <w:t> </w:t>
                      </w:r>
                      <w:r>
                        <w:rPr>
                          <w:b/>
                          <w:i/>
                          <w:color w:val="FFC000"/>
                          <w:sz w:val="24"/>
                        </w:rPr>
                        <w:t>●</w:t>
                      </w:r>
                      <w:r>
                        <w:rPr>
                          <w:b/>
                          <w:i/>
                          <w:color w:val="FFC000"/>
                          <w:spacing w:val="-4"/>
                          <w:sz w:val="24"/>
                        </w:rPr>
                        <w:t> </w:t>
                      </w:r>
                      <w:r>
                        <w:rPr>
                          <w:b/>
                          <w:i/>
                          <w:color w:val="FFC000"/>
                          <w:sz w:val="24"/>
                        </w:rPr>
                        <w:t>Competence</w:t>
                      </w:r>
                      <w:r>
                        <w:rPr>
                          <w:b/>
                          <w:i/>
                          <w:color w:val="FFC000"/>
                          <w:spacing w:val="-4"/>
                          <w:sz w:val="24"/>
                        </w:rPr>
                        <w:t> </w:t>
                      </w:r>
                      <w:r>
                        <w:rPr>
                          <w:b/>
                          <w:i/>
                          <w:color w:val="FFC000"/>
                          <w:sz w:val="24"/>
                        </w:rPr>
                        <w:t>●</w:t>
                      </w:r>
                      <w:r>
                        <w:rPr>
                          <w:b/>
                          <w:i/>
                          <w:color w:val="FFC000"/>
                          <w:spacing w:val="-3"/>
                          <w:sz w:val="24"/>
                        </w:rPr>
                        <w:t> </w:t>
                      </w:r>
                      <w:r>
                        <w:rPr>
                          <w:b/>
                          <w:i/>
                          <w:color w:val="FFC000"/>
                          <w:spacing w:val="-2"/>
                          <w:sz w:val="24"/>
                        </w:rPr>
                        <w:t>Service</w:t>
                      </w:r>
                    </w:p>
                  </w:txbxContent>
                </v:textbox>
                <v:fill type="solid"/>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
        <w:rPr>
          <w:rFonts w:ascii="Times New Roman"/>
          <w:sz w:val="18"/>
        </w:rPr>
      </w:pPr>
    </w:p>
    <w:p>
      <w:pPr>
        <w:spacing w:line="670" w:lineRule="exact" w:before="0"/>
        <w:ind w:left="1209" w:right="1209" w:firstLine="0"/>
        <w:jc w:val="center"/>
        <w:rPr>
          <w:b/>
          <w:sz w:val="56"/>
        </w:rPr>
      </w:pPr>
      <w:r>
        <w:rPr>
          <w:b/>
          <w:sz w:val="56"/>
        </w:rPr>
        <w:t>Maine</w:t>
      </w:r>
      <w:r>
        <w:rPr>
          <w:b/>
          <w:spacing w:val="-19"/>
          <w:sz w:val="56"/>
        </w:rPr>
        <w:t> </w:t>
      </w:r>
      <w:r>
        <w:rPr>
          <w:b/>
          <w:sz w:val="56"/>
        </w:rPr>
        <w:t>Department</w:t>
      </w:r>
      <w:r>
        <w:rPr>
          <w:b/>
          <w:spacing w:val="-18"/>
          <w:sz w:val="56"/>
        </w:rPr>
        <w:t> </w:t>
      </w:r>
      <w:r>
        <w:rPr>
          <w:b/>
          <w:sz w:val="56"/>
        </w:rPr>
        <w:t>of</w:t>
      </w:r>
      <w:r>
        <w:rPr>
          <w:b/>
          <w:spacing w:val="-17"/>
          <w:sz w:val="56"/>
        </w:rPr>
        <w:t> </w:t>
      </w:r>
      <w:r>
        <w:rPr>
          <w:b/>
          <w:spacing w:val="-2"/>
          <w:sz w:val="56"/>
        </w:rPr>
        <w:t>Transportation</w:t>
      </w:r>
    </w:p>
    <w:p>
      <w:pPr>
        <w:pStyle w:val="BodyText"/>
        <w:rPr>
          <w:b/>
          <w:sz w:val="56"/>
        </w:rPr>
      </w:pPr>
    </w:p>
    <w:p>
      <w:pPr>
        <w:pStyle w:val="BodyText"/>
        <w:spacing w:before="10"/>
        <w:rPr>
          <w:b/>
          <w:sz w:val="55"/>
        </w:rPr>
      </w:pPr>
    </w:p>
    <w:p>
      <w:pPr>
        <w:spacing w:before="1"/>
        <w:ind w:left="1963" w:right="1963" w:firstLine="0"/>
        <w:jc w:val="center"/>
        <w:rPr>
          <w:b/>
          <w:sz w:val="56"/>
        </w:rPr>
      </w:pPr>
      <w:r>
        <w:rPr>
          <w:b/>
          <w:sz w:val="56"/>
        </w:rPr>
        <w:t>TITLE</w:t>
      </w:r>
      <w:r>
        <w:rPr>
          <w:b/>
          <w:spacing w:val="-20"/>
          <w:sz w:val="56"/>
        </w:rPr>
        <w:t> </w:t>
      </w:r>
      <w:r>
        <w:rPr>
          <w:b/>
          <w:sz w:val="56"/>
        </w:rPr>
        <w:t>VI</w:t>
      </w:r>
      <w:r>
        <w:rPr>
          <w:b/>
          <w:spacing w:val="-20"/>
          <w:sz w:val="56"/>
        </w:rPr>
        <w:t> </w:t>
      </w:r>
      <w:r>
        <w:rPr>
          <w:b/>
          <w:sz w:val="56"/>
        </w:rPr>
        <w:t>NONDISCRIMINATION FTA IMPLEMENTATION PLAN 2020 – 2023</w:t>
      </w:r>
    </w:p>
    <w:p>
      <w:pPr>
        <w:pStyle w:val="BodyText"/>
        <w:rPr>
          <w:b/>
          <w:sz w:val="56"/>
        </w:rPr>
      </w:pPr>
    </w:p>
    <w:p>
      <w:pPr>
        <w:pStyle w:val="BodyText"/>
        <w:spacing w:before="11"/>
        <w:rPr>
          <w:b/>
          <w:sz w:val="55"/>
        </w:rPr>
      </w:pPr>
    </w:p>
    <w:p>
      <w:pPr>
        <w:spacing w:before="0"/>
        <w:ind w:left="3504" w:right="3503" w:firstLine="0"/>
        <w:jc w:val="center"/>
        <w:rPr>
          <w:b/>
          <w:sz w:val="56"/>
        </w:rPr>
      </w:pPr>
      <w:r>
        <w:rPr>
          <w:b/>
          <w:sz w:val="56"/>
        </w:rPr>
        <w:t>Submission</w:t>
      </w:r>
      <w:r>
        <w:rPr>
          <w:b/>
          <w:spacing w:val="-32"/>
          <w:sz w:val="56"/>
        </w:rPr>
        <w:t> </w:t>
      </w:r>
      <w:r>
        <w:rPr>
          <w:b/>
          <w:sz w:val="56"/>
        </w:rPr>
        <w:t>Date: October 1, 2023</w:t>
      </w:r>
    </w:p>
    <w:p>
      <w:pPr>
        <w:pStyle w:val="BodyText"/>
        <w:rPr>
          <w:b/>
          <w:sz w:val="56"/>
        </w:rPr>
      </w:pPr>
    </w:p>
    <w:p>
      <w:pPr>
        <w:pStyle w:val="BodyText"/>
        <w:rPr>
          <w:b/>
          <w:sz w:val="56"/>
        </w:rPr>
      </w:pPr>
    </w:p>
    <w:p>
      <w:pPr>
        <w:pStyle w:val="BodyText"/>
        <w:rPr>
          <w:b/>
          <w:sz w:val="56"/>
        </w:rPr>
      </w:pPr>
    </w:p>
    <w:p>
      <w:pPr>
        <w:pStyle w:val="BodyText"/>
        <w:spacing w:before="3"/>
        <w:rPr>
          <w:b/>
          <w:sz w:val="56"/>
        </w:rPr>
      </w:pPr>
    </w:p>
    <w:p>
      <w:pPr>
        <w:pStyle w:val="Heading9"/>
        <w:ind w:left="948" w:right="3677"/>
      </w:pPr>
      <w:r>
        <w:rPr/>
        <w:t>Submitted</w:t>
      </w:r>
      <w:r>
        <w:rPr>
          <w:spacing w:val="-5"/>
        </w:rPr>
        <w:t> </w:t>
      </w:r>
      <w:r>
        <w:rPr/>
        <w:t>by:</w:t>
      </w:r>
      <w:r>
        <w:rPr>
          <w:spacing w:val="-4"/>
        </w:rPr>
        <w:t> </w:t>
      </w:r>
      <w:r>
        <w:rPr/>
        <w:t>Sherry</w:t>
      </w:r>
      <w:r>
        <w:rPr>
          <w:spacing w:val="-4"/>
        </w:rPr>
        <w:t> </w:t>
      </w:r>
      <w:r>
        <w:rPr/>
        <w:t>Y.</w:t>
      </w:r>
      <w:r>
        <w:rPr>
          <w:spacing w:val="-8"/>
        </w:rPr>
        <w:t> </w:t>
      </w:r>
      <w:r>
        <w:rPr/>
        <w:t>Tompkins,</w:t>
      </w:r>
      <w:r>
        <w:rPr>
          <w:spacing w:val="-4"/>
        </w:rPr>
        <w:t> </w:t>
      </w:r>
      <w:r>
        <w:rPr/>
        <w:t>Director,</w:t>
      </w:r>
      <w:r>
        <w:rPr>
          <w:spacing w:val="-5"/>
        </w:rPr>
        <w:t> </w:t>
      </w:r>
      <w:r>
        <w:rPr/>
        <w:t>Civil</w:t>
      </w:r>
      <w:r>
        <w:rPr>
          <w:spacing w:val="-5"/>
        </w:rPr>
        <w:t> </w:t>
      </w:r>
      <w:r>
        <w:rPr/>
        <w:t>Rights</w:t>
      </w:r>
      <w:r>
        <w:rPr>
          <w:spacing w:val="-6"/>
        </w:rPr>
        <w:t> </w:t>
      </w:r>
      <w:r>
        <w:rPr/>
        <w:t>Office October 1, 2023</w:t>
      </w:r>
    </w:p>
    <w:p>
      <w:pPr>
        <w:spacing w:after="0"/>
        <w:sectPr>
          <w:type w:val="continuous"/>
          <w:pgSz w:w="12240" w:h="15840"/>
          <w:pgMar w:top="1820" w:bottom="280" w:left="600" w:right="600"/>
        </w:sectPr>
      </w:pPr>
    </w:p>
    <w:p>
      <w:pPr>
        <w:tabs>
          <w:tab w:pos="8625" w:val="left" w:leader="none"/>
        </w:tabs>
        <w:spacing w:before="22"/>
        <w:ind w:left="840" w:right="0" w:firstLine="0"/>
        <w:jc w:val="left"/>
        <w:rPr>
          <w:sz w:val="28"/>
        </w:rPr>
      </w:pPr>
      <w:r>
        <w:rPr>
          <w:color w:val="365F91"/>
          <w:sz w:val="28"/>
          <w:u w:val="single" w:color="365F91"/>
        </w:rPr>
        <w:t>TABLE</w:t>
      </w:r>
      <w:r>
        <w:rPr>
          <w:color w:val="365F91"/>
          <w:spacing w:val="-5"/>
          <w:sz w:val="28"/>
          <w:u w:val="single" w:color="365F91"/>
        </w:rPr>
        <w:t> </w:t>
      </w:r>
      <w:r>
        <w:rPr>
          <w:color w:val="365F91"/>
          <w:sz w:val="28"/>
          <w:u w:val="single" w:color="365F91"/>
        </w:rPr>
        <w:t>OF</w:t>
      </w:r>
      <w:r>
        <w:rPr>
          <w:color w:val="365F91"/>
          <w:spacing w:val="-1"/>
          <w:sz w:val="28"/>
          <w:u w:val="single" w:color="365F91"/>
        </w:rPr>
        <w:t> </w:t>
      </w:r>
      <w:r>
        <w:rPr>
          <w:color w:val="365F91"/>
          <w:spacing w:val="-2"/>
          <w:sz w:val="28"/>
          <w:u w:val="single" w:color="365F91"/>
        </w:rPr>
        <w:t>CONTENTS</w:t>
      </w:r>
      <w:r>
        <w:rPr>
          <w:color w:val="365F91"/>
          <w:sz w:val="28"/>
          <w:u w:val="single" w:color="365F91"/>
        </w:rPr>
        <w:tab/>
      </w:r>
    </w:p>
    <w:sdt>
      <w:sdtPr>
        <w:docPartObj>
          <w:docPartGallery w:val="Table of Contents"/>
          <w:docPartUnique/>
        </w:docPartObj>
      </w:sdtPr>
      <w:sdtEndPr/>
      <w:sdtContent>
        <w:p>
          <w:pPr>
            <w:pStyle w:val="TOC1"/>
            <w:tabs>
              <w:tab w:pos="10067" w:val="left" w:leader="dot"/>
            </w:tabs>
          </w:pPr>
          <w:hyperlink w:history="true" w:anchor="_bookmark0">
            <w:r>
              <w:rPr>
                <w:spacing w:val="-2"/>
              </w:rPr>
              <w:t>INTRODUCTION</w:t>
            </w:r>
            <w:r>
              <w:rPr/>
              <w:tab/>
            </w:r>
            <w:r>
              <w:rPr>
                <w:spacing w:val="-10"/>
              </w:rPr>
              <w:t>4</w:t>
            </w:r>
          </w:hyperlink>
        </w:p>
        <w:p>
          <w:pPr>
            <w:pStyle w:val="TOC2"/>
            <w:tabs>
              <w:tab w:pos="10067" w:val="left" w:leader="dot"/>
            </w:tabs>
            <w:spacing w:before="101"/>
          </w:pPr>
          <w:hyperlink w:history="true" w:anchor="_bookmark1">
            <w:r>
              <w:rPr/>
              <w:t>Title</w:t>
            </w:r>
            <w:r>
              <w:rPr>
                <w:spacing w:val="-2"/>
              </w:rPr>
              <w:t> </w:t>
            </w:r>
            <w:r>
              <w:rPr/>
              <w:t>VI</w:t>
            </w:r>
            <w:r>
              <w:rPr>
                <w:spacing w:val="-1"/>
              </w:rPr>
              <w:t> </w:t>
            </w:r>
            <w:r>
              <w:rPr/>
              <w:t>Plan</w:t>
            </w:r>
            <w:r>
              <w:rPr>
                <w:spacing w:val="2"/>
              </w:rPr>
              <w:t> </w:t>
            </w:r>
            <w:r>
              <w:rPr>
                <w:spacing w:val="-2"/>
              </w:rPr>
              <w:t>Overview</w:t>
            </w:r>
            <w:r>
              <w:rPr/>
              <w:tab/>
            </w:r>
            <w:r>
              <w:rPr>
                <w:spacing w:val="-10"/>
              </w:rPr>
              <w:t>7</w:t>
            </w:r>
          </w:hyperlink>
        </w:p>
        <w:p>
          <w:pPr>
            <w:pStyle w:val="TOC2"/>
            <w:tabs>
              <w:tab w:pos="10067" w:val="left" w:leader="dot"/>
            </w:tabs>
          </w:pPr>
          <w:hyperlink w:history="true" w:anchor="_bookmark2">
            <w:r>
              <w:rPr/>
              <w:t>Title</w:t>
            </w:r>
            <w:r>
              <w:rPr>
                <w:spacing w:val="-5"/>
              </w:rPr>
              <w:t> </w:t>
            </w:r>
            <w:r>
              <w:rPr/>
              <w:t>VI/EJ</w:t>
            </w:r>
            <w:r>
              <w:rPr>
                <w:spacing w:val="-4"/>
              </w:rPr>
              <w:t> </w:t>
            </w:r>
            <w:r>
              <w:rPr/>
              <w:t>Policy</w:t>
            </w:r>
            <w:r>
              <w:rPr>
                <w:spacing w:val="-2"/>
              </w:rPr>
              <w:t> </w:t>
            </w:r>
            <w:r>
              <w:rPr/>
              <w:t>Statement</w:t>
            </w:r>
            <w:r>
              <w:rPr>
                <w:spacing w:val="-3"/>
              </w:rPr>
              <w:t> </w:t>
            </w:r>
            <w:r>
              <w:rPr/>
              <w:t>and</w:t>
            </w:r>
            <w:r>
              <w:rPr>
                <w:spacing w:val="1"/>
              </w:rPr>
              <w:t> </w:t>
            </w:r>
            <w:r>
              <w:rPr>
                <w:spacing w:val="-2"/>
              </w:rPr>
              <w:t>Authorities</w:t>
            </w:r>
            <w:r>
              <w:rPr/>
              <w:tab/>
            </w:r>
            <w:r>
              <w:rPr>
                <w:spacing w:val="-10"/>
              </w:rPr>
              <w:t>8</w:t>
            </w:r>
          </w:hyperlink>
        </w:p>
        <w:p>
          <w:pPr>
            <w:pStyle w:val="TOC2"/>
            <w:tabs>
              <w:tab w:pos="9947" w:val="left" w:leader="dot"/>
            </w:tabs>
            <w:spacing w:before="100"/>
          </w:pPr>
          <w:hyperlink w:history="true" w:anchor="_bookmark3">
            <w:r>
              <w:rPr/>
              <w:t>Organization</w:t>
            </w:r>
            <w:r>
              <w:rPr>
                <w:spacing w:val="-6"/>
              </w:rPr>
              <w:t> </w:t>
            </w:r>
            <w:r>
              <w:rPr/>
              <w:t>and Staffing</w:t>
            </w:r>
            <w:r>
              <w:rPr>
                <w:spacing w:val="-2"/>
              </w:rPr>
              <w:t> </w:t>
            </w:r>
            <w:r>
              <w:rPr/>
              <w:t>of Civil</w:t>
            </w:r>
            <w:r>
              <w:rPr>
                <w:spacing w:val="-1"/>
              </w:rPr>
              <w:t> </w:t>
            </w:r>
            <w:r>
              <w:rPr/>
              <w:t>Rights</w:t>
            </w:r>
            <w:r>
              <w:rPr>
                <w:spacing w:val="-2"/>
              </w:rPr>
              <w:t> </w:t>
            </w:r>
            <w:r>
              <w:rPr/>
              <w:t>Office</w:t>
            </w:r>
            <w:r>
              <w:rPr>
                <w:spacing w:val="-3"/>
              </w:rPr>
              <w:t> </w:t>
            </w:r>
            <w:r>
              <w:rPr>
                <w:spacing w:val="-2"/>
              </w:rPr>
              <w:t>(CRO)</w:t>
            </w:r>
            <w:r>
              <w:rPr/>
              <w:tab/>
            </w:r>
            <w:r>
              <w:rPr>
                <w:spacing w:val="-5"/>
              </w:rPr>
              <w:t>10</w:t>
            </w:r>
          </w:hyperlink>
        </w:p>
        <w:p>
          <w:pPr>
            <w:pStyle w:val="TOC1"/>
            <w:tabs>
              <w:tab w:pos="9947" w:val="left" w:leader="dot"/>
            </w:tabs>
            <w:spacing w:before="101"/>
          </w:pPr>
          <w:hyperlink w:history="true" w:anchor="_bookmark4">
            <w:r>
              <w:rPr/>
              <w:t>TITLE</w:t>
            </w:r>
            <w:r>
              <w:rPr>
                <w:spacing w:val="-1"/>
              </w:rPr>
              <w:t> </w:t>
            </w:r>
            <w:r>
              <w:rPr/>
              <w:t>VI</w:t>
            </w:r>
            <w:r>
              <w:rPr>
                <w:spacing w:val="-4"/>
              </w:rPr>
              <w:t> </w:t>
            </w:r>
            <w:r>
              <w:rPr/>
              <w:t>MONITORING</w:t>
            </w:r>
            <w:r>
              <w:rPr>
                <w:spacing w:val="-1"/>
              </w:rPr>
              <w:t> </w:t>
            </w:r>
            <w:r>
              <w:rPr/>
              <w:t>AND REVIEW</w:t>
            </w:r>
            <w:r>
              <w:rPr>
                <w:spacing w:val="-3"/>
              </w:rPr>
              <w:t> </w:t>
            </w:r>
            <w:r>
              <w:rPr>
                <w:spacing w:val="-2"/>
              </w:rPr>
              <w:t>PROCESS</w:t>
            </w:r>
            <w:r>
              <w:rPr/>
              <w:tab/>
            </w:r>
            <w:r>
              <w:rPr>
                <w:spacing w:val="-5"/>
              </w:rPr>
              <w:t>13</w:t>
            </w:r>
          </w:hyperlink>
        </w:p>
        <w:p>
          <w:pPr>
            <w:pStyle w:val="TOC3"/>
            <w:tabs>
              <w:tab w:pos="9947" w:val="left" w:leader="dot"/>
            </w:tabs>
            <w:spacing w:before="98"/>
            <w:ind w:left="1111" w:firstLine="0"/>
          </w:pPr>
          <w:hyperlink w:history="true" w:anchor="_bookmark5">
            <w:r>
              <w:rPr/>
              <w:t>CHAPTER</w:t>
            </w:r>
            <w:r>
              <w:rPr>
                <w:spacing w:val="-2"/>
              </w:rPr>
              <w:t> </w:t>
            </w:r>
            <w:r>
              <w:rPr/>
              <w:t>III</w:t>
            </w:r>
            <w:r>
              <w:rPr>
                <w:spacing w:val="-2"/>
              </w:rPr>
              <w:t> REQUIREMENTS</w:t>
            </w:r>
            <w:r>
              <w:rPr/>
              <w:tab/>
            </w:r>
            <w:r>
              <w:rPr>
                <w:spacing w:val="-5"/>
              </w:rPr>
              <w:t>26</w:t>
            </w:r>
          </w:hyperlink>
        </w:p>
        <w:p>
          <w:pPr>
            <w:pStyle w:val="TOC3"/>
            <w:numPr>
              <w:ilvl w:val="0"/>
              <w:numId w:val="1"/>
            </w:numPr>
            <w:tabs>
              <w:tab w:pos="1720" w:val="left" w:leader="none"/>
              <w:tab w:pos="9947" w:val="left" w:leader="dot"/>
            </w:tabs>
            <w:spacing w:line="240" w:lineRule="auto" w:before="101" w:after="0"/>
            <w:ind w:left="1720" w:right="0" w:hanging="609"/>
            <w:jc w:val="left"/>
          </w:pPr>
          <w:hyperlink w:history="true" w:anchor="_bookmark6">
            <w:r>
              <w:rPr/>
              <w:t>Title</w:t>
            </w:r>
            <w:r>
              <w:rPr>
                <w:spacing w:val="-1"/>
              </w:rPr>
              <w:t> </w:t>
            </w:r>
            <w:r>
              <w:rPr/>
              <w:t>VI Public</w:t>
            </w:r>
            <w:r>
              <w:rPr>
                <w:spacing w:val="-2"/>
              </w:rPr>
              <w:t> Notice</w:t>
            </w:r>
            <w:r>
              <w:rPr/>
              <w:tab/>
            </w:r>
            <w:r>
              <w:rPr>
                <w:spacing w:val="-5"/>
              </w:rPr>
              <w:t>26</w:t>
            </w:r>
          </w:hyperlink>
        </w:p>
        <w:p>
          <w:pPr>
            <w:pStyle w:val="TOC3"/>
            <w:numPr>
              <w:ilvl w:val="0"/>
              <w:numId w:val="1"/>
            </w:numPr>
            <w:tabs>
              <w:tab w:pos="1720" w:val="left" w:leader="none"/>
              <w:tab w:pos="9947" w:val="left" w:leader="dot"/>
            </w:tabs>
            <w:spacing w:line="240" w:lineRule="auto" w:before="101" w:after="0"/>
            <w:ind w:left="1720" w:right="0" w:hanging="609"/>
            <w:jc w:val="left"/>
          </w:pPr>
          <w:hyperlink w:history="true" w:anchor="_bookmark7">
            <w:r>
              <w:rPr/>
              <w:t>List</w:t>
            </w:r>
            <w:r>
              <w:rPr>
                <w:spacing w:val="-1"/>
              </w:rPr>
              <w:t> </w:t>
            </w:r>
            <w:r>
              <w:rPr/>
              <w:t>of Title</w:t>
            </w:r>
            <w:r>
              <w:rPr>
                <w:spacing w:val="-3"/>
              </w:rPr>
              <w:t> </w:t>
            </w:r>
            <w:r>
              <w:rPr/>
              <w:t>VI</w:t>
            </w:r>
            <w:r>
              <w:rPr>
                <w:spacing w:val="-3"/>
              </w:rPr>
              <w:t> </w:t>
            </w:r>
            <w:r>
              <w:rPr/>
              <w:t>Investigations,</w:t>
            </w:r>
            <w:r>
              <w:rPr>
                <w:spacing w:val="-1"/>
              </w:rPr>
              <w:t> </w:t>
            </w:r>
            <w:r>
              <w:rPr/>
              <w:t>Complaints</w:t>
            </w:r>
            <w:r>
              <w:rPr>
                <w:spacing w:val="-2"/>
              </w:rPr>
              <w:t> </w:t>
            </w:r>
            <w:r>
              <w:rPr/>
              <w:t>or</w:t>
            </w:r>
            <w:r>
              <w:rPr>
                <w:spacing w:val="-4"/>
              </w:rPr>
              <w:t> </w:t>
            </w:r>
            <w:r>
              <w:rPr>
                <w:spacing w:val="-2"/>
              </w:rPr>
              <w:t>Lawsuits</w:t>
            </w:r>
            <w:r>
              <w:rPr/>
              <w:tab/>
            </w:r>
            <w:r>
              <w:rPr>
                <w:spacing w:val="-5"/>
              </w:rPr>
              <w:t>35</w:t>
            </w:r>
          </w:hyperlink>
        </w:p>
        <w:p>
          <w:pPr>
            <w:pStyle w:val="TOC3"/>
            <w:numPr>
              <w:ilvl w:val="0"/>
              <w:numId w:val="1"/>
            </w:numPr>
            <w:tabs>
              <w:tab w:pos="1720" w:val="left" w:leader="none"/>
              <w:tab w:pos="9947" w:val="left" w:leader="dot"/>
            </w:tabs>
            <w:spacing w:line="240" w:lineRule="auto" w:before="100" w:after="0"/>
            <w:ind w:left="1720" w:right="0" w:hanging="609"/>
            <w:jc w:val="left"/>
          </w:pPr>
          <w:hyperlink w:history="true" w:anchor="_bookmark8">
            <w:r>
              <w:rPr/>
              <w:t>Public</w:t>
            </w:r>
            <w:r>
              <w:rPr>
                <w:spacing w:val="-4"/>
              </w:rPr>
              <w:t> </w:t>
            </w:r>
            <w:r>
              <w:rPr/>
              <w:t>Participation</w:t>
            </w:r>
            <w:r>
              <w:rPr>
                <w:spacing w:val="-2"/>
              </w:rPr>
              <w:t> </w:t>
            </w:r>
            <w:r>
              <w:rPr>
                <w:spacing w:val="-4"/>
              </w:rPr>
              <w:t>Plan</w:t>
            </w:r>
            <w:r>
              <w:rPr/>
              <w:tab/>
            </w:r>
            <w:r>
              <w:rPr>
                <w:spacing w:val="-5"/>
              </w:rPr>
              <w:t>41</w:t>
            </w:r>
          </w:hyperlink>
        </w:p>
        <w:p>
          <w:pPr>
            <w:pStyle w:val="TOC3"/>
            <w:numPr>
              <w:ilvl w:val="0"/>
              <w:numId w:val="1"/>
            </w:numPr>
            <w:tabs>
              <w:tab w:pos="1720" w:val="left" w:leader="none"/>
              <w:tab w:pos="9947" w:val="left" w:leader="dot"/>
            </w:tabs>
            <w:spacing w:line="240" w:lineRule="auto" w:before="98" w:after="0"/>
            <w:ind w:left="1720" w:right="0" w:hanging="609"/>
            <w:jc w:val="left"/>
          </w:pPr>
          <w:hyperlink w:history="true" w:anchor="_bookmark9">
            <w:r>
              <w:rPr/>
              <w:t>Language</w:t>
            </w:r>
            <w:r>
              <w:rPr>
                <w:spacing w:val="-3"/>
              </w:rPr>
              <w:t> </w:t>
            </w:r>
            <w:r>
              <w:rPr/>
              <w:t>Assistance</w:t>
            </w:r>
            <w:r>
              <w:rPr>
                <w:spacing w:val="-2"/>
              </w:rPr>
              <w:t> </w:t>
            </w:r>
            <w:r>
              <w:rPr>
                <w:spacing w:val="-4"/>
              </w:rPr>
              <w:t>Plan</w:t>
            </w:r>
            <w:r>
              <w:rPr/>
              <w:tab/>
            </w:r>
            <w:r>
              <w:rPr>
                <w:spacing w:val="-5"/>
              </w:rPr>
              <w:t>51</w:t>
            </w:r>
          </w:hyperlink>
        </w:p>
        <w:p>
          <w:pPr>
            <w:pStyle w:val="TOC3"/>
            <w:numPr>
              <w:ilvl w:val="0"/>
              <w:numId w:val="1"/>
            </w:numPr>
            <w:tabs>
              <w:tab w:pos="1720" w:val="left" w:leader="none"/>
              <w:tab w:pos="9947" w:val="left" w:leader="dot"/>
            </w:tabs>
            <w:spacing w:line="240" w:lineRule="auto" w:before="101" w:after="0"/>
            <w:ind w:left="1720" w:right="0" w:hanging="609"/>
            <w:jc w:val="left"/>
          </w:pPr>
          <w:hyperlink w:history="true" w:anchor="_bookmark10">
            <w:r>
              <w:rPr/>
              <w:t>Advisory</w:t>
            </w:r>
            <w:r>
              <w:rPr>
                <w:spacing w:val="-1"/>
              </w:rPr>
              <w:t> </w:t>
            </w:r>
            <w:r>
              <w:rPr>
                <w:spacing w:val="-2"/>
              </w:rPr>
              <w:t>Committees</w:t>
            </w:r>
            <w:r>
              <w:rPr/>
              <w:tab/>
            </w:r>
            <w:r>
              <w:rPr>
                <w:spacing w:val="-5"/>
              </w:rPr>
              <w:t>68</w:t>
            </w:r>
          </w:hyperlink>
        </w:p>
        <w:p>
          <w:pPr>
            <w:pStyle w:val="TOC3"/>
            <w:numPr>
              <w:ilvl w:val="0"/>
              <w:numId w:val="1"/>
            </w:numPr>
            <w:tabs>
              <w:tab w:pos="1720" w:val="left" w:leader="none"/>
              <w:tab w:pos="9947" w:val="left" w:leader="dot"/>
            </w:tabs>
            <w:spacing w:line="240" w:lineRule="auto" w:before="101" w:after="0"/>
            <w:ind w:left="1720" w:right="0" w:hanging="609"/>
            <w:jc w:val="left"/>
          </w:pPr>
          <w:hyperlink w:history="true" w:anchor="_bookmark11">
            <w:r>
              <w:rPr/>
              <w:t>Ensuring</w:t>
            </w:r>
            <w:r>
              <w:rPr>
                <w:spacing w:val="-5"/>
              </w:rPr>
              <w:t> </w:t>
            </w:r>
            <w:r>
              <w:rPr/>
              <w:t>Subrecipient Assistance</w:t>
            </w:r>
            <w:r>
              <w:rPr>
                <w:spacing w:val="-1"/>
              </w:rPr>
              <w:t> </w:t>
            </w:r>
            <w:r>
              <w:rPr/>
              <w:t>and</w:t>
            </w:r>
            <w:r>
              <w:rPr>
                <w:spacing w:val="-4"/>
              </w:rPr>
              <w:t> </w:t>
            </w:r>
            <w:r>
              <w:rPr/>
              <w:t>Compliance</w:t>
            </w:r>
            <w:r>
              <w:rPr>
                <w:spacing w:val="-3"/>
              </w:rPr>
              <w:t> </w:t>
            </w:r>
            <w:r>
              <w:rPr/>
              <w:t>with</w:t>
            </w:r>
            <w:r>
              <w:rPr>
                <w:spacing w:val="-3"/>
              </w:rPr>
              <w:t> </w:t>
            </w:r>
            <w:r>
              <w:rPr/>
              <w:t>Title</w:t>
            </w:r>
            <w:r>
              <w:rPr>
                <w:spacing w:val="-3"/>
              </w:rPr>
              <w:t> </w:t>
            </w:r>
            <w:r>
              <w:rPr>
                <w:spacing w:val="-5"/>
              </w:rPr>
              <w:t>VI</w:t>
            </w:r>
            <w:r>
              <w:rPr/>
              <w:tab/>
            </w:r>
            <w:r>
              <w:rPr>
                <w:spacing w:val="-5"/>
              </w:rPr>
              <w:t>70</w:t>
            </w:r>
          </w:hyperlink>
        </w:p>
        <w:p>
          <w:pPr>
            <w:pStyle w:val="TOC3"/>
            <w:numPr>
              <w:ilvl w:val="0"/>
              <w:numId w:val="1"/>
            </w:numPr>
            <w:tabs>
              <w:tab w:pos="1720" w:val="left" w:leader="none"/>
              <w:tab w:pos="9947" w:val="left" w:leader="dot"/>
            </w:tabs>
            <w:spacing w:line="240" w:lineRule="auto" w:before="100" w:after="0"/>
            <w:ind w:left="1720" w:right="0" w:hanging="609"/>
            <w:jc w:val="left"/>
          </w:pPr>
          <w:hyperlink w:history="true" w:anchor="_bookmark12">
            <w:r>
              <w:rPr/>
              <w:t>Title</w:t>
            </w:r>
            <w:r>
              <w:rPr>
                <w:spacing w:val="-3"/>
              </w:rPr>
              <w:t> </w:t>
            </w:r>
            <w:r>
              <w:rPr/>
              <w:t>VI</w:t>
            </w:r>
            <w:r>
              <w:rPr>
                <w:spacing w:val="-1"/>
              </w:rPr>
              <w:t> </w:t>
            </w:r>
            <w:r>
              <w:rPr/>
              <w:t>Equity</w:t>
            </w:r>
            <w:r>
              <w:rPr>
                <w:spacing w:val="-1"/>
              </w:rPr>
              <w:t> </w:t>
            </w:r>
            <w:r>
              <w:rPr/>
              <w:t>Analysis</w:t>
            </w:r>
            <w:r>
              <w:rPr>
                <w:spacing w:val="-3"/>
              </w:rPr>
              <w:t> </w:t>
            </w:r>
            <w:r>
              <w:rPr/>
              <w:t>for Construction</w:t>
            </w:r>
            <w:r>
              <w:rPr>
                <w:spacing w:val="-2"/>
              </w:rPr>
              <w:t> Projects</w:t>
            </w:r>
            <w:r>
              <w:rPr/>
              <w:tab/>
            </w:r>
            <w:r>
              <w:rPr>
                <w:spacing w:val="-5"/>
              </w:rPr>
              <w:t>72</w:t>
            </w:r>
          </w:hyperlink>
        </w:p>
        <w:p>
          <w:pPr>
            <w:pStyle w:val="TOC1"/>
            <w:tabs>
              <w:tab w:pos="9947" w:val="left" w:leader="dot"/>
            </w:tabs>
            <w:spacing w:before="99"/>
          </w:pPr>
          <w:hyperlink w:history="true" w:anchor="_bookmark13">
            <w:r>
              <w:rPr/>
              <w:t>CHAPTER</w:t>
            </w:r>
            <w:r>
              <w:rPr>
                <w:spacing w:val="-1"/>
              </w:rPr>
              <w:t> </w:t>
            </w:r>
            <w:r>
              <w:rPr/>
              <w:t>V </w:t>
            </w:r>
            <w:r>
              <w:rPr>
                <w:spacing w:val="-2"/>
              </w:rPr>
              <w:t>REQUIREMENTS</w:t>
            </w:r>
            <w:r>
              <w:rPr/>
              <w:tab/>
            </w:r>
            <w:r>
              <w:rPr>
                <w:spacing w:val="-5"/>
              </w:rPr>
              <w:t>73</w:t>
            </w:r>
          </w:hyperlink>
        </w:p>
        <w:p>
          <w:pPr>
            <w:pStyle w:val="TOC3"/>
            <w:numPr>
              <w:ilvl w:val="1"/>
              <w:numId w:val="1"/>
            </w:numPr>
            <w:tabs>
              <w:tab w:pos="1720" w:val="left" w:leader="none"/>
              <w:tab w:pos="9947" w:val="left" w:leader="dot"/>
            </w:tabs>
            <w:spacing w:line="240" w:lineRule="auto" w:before="100" w:after="0"/>
            <w:ind w:left="1720" w:right="0" w:hanging="609"/>
            <w:jc w:val="left"/>
          </w:pPr>
          <w:hyperlink w:history="true" w:anchor="_bookmark14">
            <w:r>
              <w:rPr/>
              <w:t>General</w:t>
            </w:r>
            <w:r>
              <w:rPr>
                <w:spacing w:val="-4"/>
              </w:rPr>
              <w:t> </w:t>
            </w:r>
            <w:r>
              <w:rPr/>
              <w:t>Requirements,</w:t>
            </w:r>
            <w:r>
              <w:rPr>
                <w:spacing w:val="-1"/>
              </w:rPr>
              <w:t> </w:t>
            </w:r>
            <w:r>
              <w:rPr/>
              <w:t>Section</w:t>
            </w:r>
            <w:r>
              <w:rPr>
                <w:spacing w:val="-2"/>
              </w:rPr>
              <w:t> </w:t>
            </w:r>
            <w:r>
              <w:rPr/>
              <w:t>4</w:t>
            </w:r>
            <w:r>
              <w:rPr>
                <w:spacing w:val="-3"/>
              </w:rPr>
              <w:t> </w:t>
            </w:r>
            <w:r>
              <w:rPr/>
              <w:t>of Chapter </w:t>
            </w:r>
            <w:r>
              <w:rPr>
                <w:spacing w:val="-5"/>
              </w:rPr>
              <w:t>III</w:t>
            </w:r>
            <w:r>
              <w:rPr/>
              <w:tab/>
            </w:r>
            <w:r>
              <w:rPr>
                <w:spacing w:val="-5"/>
              </w:rPr>
              <w:t>73</w:t>
            </w:r>
          </w:hyperlink>
        </w:p>
        <w:p>
          <w:pPr>
            <w:pStyle w:val="TOC3"/>
            <w:numPr>
              <w:ilvl w:val="1"/>
              <w:numId w:val="1"/>
            </w:numPr>
            <w:tabs>
              <w:tab w:pos="1720" w:val="left" w:leader="none"/>
              <w:tab w:pos="9947" w:val="left" w:leader="dot"/>
            </w:tabs>
            <w:spacing w:line="240" w:lineRule="auto" w:before="101" w:after="0"/>
            <w:ind w:left="1720" w:right="0" w:hanging="609"/>
            <w:jc w:val="left"/>
          </w:pPr>
          <w:hyperlink w:history="true" w:anchor="_bookmark15">
            <w:r>
              <w:rPr/>
              <w:t>Requirements</w:t>
            </w:r>
            <w:r>
              <w:rPr>
                <w:spacing w:val="-4"/>
              </w:rPr>
              <w:t> </w:t>
            </w:r>
            <w:r>
              <w:rPr/>
              <w:t>for</w:t>
            </w:r>
            <w:r>
              <w:rPr>
                <w:spacing w:val="-3"/>
              </w:rPr>
              <w:t> </w:t>
            </w:r>
            <w:r>
              <w:rPr/>
              <w:t>Transit</w:t>
            </w:r>
            <w:r>
              <w:rPr>
                <w:spacing w:val="-4"/>
              </w:rPr>
              <w:t> </w:t>
            </w:r>
            <w:r>
              <w:rPr/>
              <w:t>Providers,</w:t>
            </w:r>
            <w:r>
              <w:rPr>
                <w:spacing w:val="-3"/>
              </w:rPr>
              <w:t> </w:t>
            </w:r>
            <w:r>
              <w:rPr/>
              <w:t>Chapter</w:t>
            </w:r>
            <w:r>
              <w:rPr>
                <w:spacing w:val="-2"/>
              </w:rPr>
              <w:t> </w:t>
            </w:r>
            <w:r>
              <w:rPr>
                <w:spacing w:val="-5"/>
              </w:rPr>
              <w:t>IV</w:t>
            </w:r>
            <w:r>
              <w:rPr/>
              <w:tab/>
            </w:r>
            <w:r>
              <w:rPr>
                <w:spacing w:val="-5"/>
              </w:rPr>
              <w:t>73</w:t>
            </w:r>
          </w:hyperlink>
        </w:p>
        <w:p>
          <w:pPr>
            <w:pStyle w:val="TOC3"/>
            <w:numPr>
              <w:ilvl w:val="1"/>
              <w:numId w:val="1"/>
            </w:numPr>
            <w:tabs>
              <w:tab w:pos="1720" w:val="left" w:leader="none"/>
              <w:tab w:pos="9947" w:val="left" w:leader="dot"/>
            </w:tabs>
            <w:spacing w:line="240" w:lineRule="auto" w:before="100" w:after="0"/>
            <w:ind w:left="1720" w:right="0" w:hanging="609"/>
            <w:jc w:val="left"/>
          </w:pPr>
          <w:hyperlink w:history="true" w:anchor="_bookmark16">
            <w:r>
              <w:rPr/>
              <w:t>Demographic</w:t>
            </w:r>
            <w:r>
              <w:rPr>
                <w:spacing w:val="-4"/>
              </w:rPr>
              <w:t> </w:t>
            </w:r>
            <w:r>
              <w:rPr/>
              <w:t>Profile</w:t>
            </w:r>
            <w:r>
              <w:rPr>
                <w:spacing w:val="-1"/>
              </w:rPr>
              <w:t> </w:t>
            </w:r>
            <w:r>
              <w:rPr/>
              <w:t>of</w:t>
            </w:r>
            <w:r>
              <w:rPr>
                <w:spacing w:val="-2"/>
              </w:rPr>
              <w:t> </w:t>
            </w:r>
            <w:r>
              <w:rPr/>
              <w:t>Minority </w:t>
            </w:r>
            <w:r>
              <w:rPr>
                <w:spacing w:val="-2"/>
              </w:rPr>
              <w:t>Populations</w:t>
            </w:r>
            <w:r>
              <w:rPr/>
              <w:tab/>
            </w:r>
            <w:r>
              <w:rPr>
                <w:spacing w:val="-5"/>
              </w:rPr>
              <w:t>73</w:t>
            </w:r>
          </w:hyperlink>
        </w:p>
        <w:p>
          <w:pPr>
            <w:pStyle w:val="TOC3"/>
            <w:numPr>
              <w:ilvl w:val="1"/>
              <w:numId w:val="1"/>
            </w:numPr>
            <w:tabs>
              <w:tab w:pos="1720" w:val="left" w:leader="none"/>
              <w:tab w:pos="9947" w:val="left" w:leader="dot"/>
            </w:tabs>
            <w:spacing w:line="240" w:lineRule="auto" w:before="99" w:after="0"/>
            <w:ind w:left="1720" w:right="0" w:hanging="609"/>
            <w:jc w:val="left"/>
          </w:pPr>
          <w:hyperlink w:history="true" w:anchor="_bookmark17">
            <w:r>
              <w:rPr/>
              <w:t>Demographic</w:t>
            </w:r>
            <w:r>
              <w:rPr>
                <w:spacing w:val="-2"/>
              </w:rPr>
              <w:t> </w:t>
            </w:r>
            <w:r>
              <w:rPr/>
              <w:t>Impacts</w:t>
            </w:r>
            <w:r>
              <w:rPr>
                <w:spacing w:val="-4"/>
              </w:rPr>
              <w:t> </w:t>
            </w:r>
            <w:r>
              <w:rPr/>
              <w:t>of</w:t>
            </w:r>
            <w:r>
              <w:rPr>
                <w:spacing w:val="-3"/>
              </w:rPr>
              <w:t> </w:t>
            </w:r>
            <w:r>
              <w:rPr/>
              <w:t>FTA/MaineDOT </w:t>
            </w:r>
            <w:r>
              <w:rPr>
                <w:spacing w:val="-2"/>
              </w:rPr>
              <w:t>Funding</w:t>
            </w:r>
            <w:r>
              <w:rPr/>
              <w:tab/>
            </w:r>
            <w:r>
              <w:rPr>
                <w:spacing w:val="-5"/>
              </w:rPr>
              <w:t>81</w:t>
            </w:r>
          </w:hyperlink>
        </w:p>
        <w:p>
          <w:pPr>
            <w:pStyle w:val="TOC3"/>
            <w:numPr>
              <w:ilvl w:val="1"/>
              <w:numId w:val="1"/>
            </w:numPr>
            <w:tabs>
              <w:tab w:pos="1720" w:val="left" w:leader="none"/>
              <w:tab w:pos="9947" w:val="left" w:leader="dot"/>
            </w:tabs>
            <w:spacing w:line="240" w:lineRule="auto" w:before="100" w:after="0"/>
            <w:ind w:left="1720" w:right="0" w:hanging="609"/>
            <w:jc w:val="left"/>
          </w:pPr>
          <w:hyperlink w:history="true" w:anchor="_bookmark18">
            <w:r>
              <w:rPr/>
              <w:t>Disparate</w:t>
            </w:r>
            <w:r>
              <w:rPr>
                <w:spacing w:val="-2"/>
              </w:rPr>
              <w:t> </w:t>
            </w:r>
            <w:r>
              <w:rPr/>
              <w:t>Impacts</w:t>
            </w:r>
            <w:r>
              <w:rPr>
                <w:spacing w:val="-1"/>
              </w:rPr>
              <w:t> </w:t>
            </w:r>
            <w:r>
              <w:rPr>
                <w:spacing w:val="-2"/>
              </w:rPr>
              <w:t>Analysis</w:t>
            </w:r>
            <w:r>
              <w:rPr/>
              <w:tab/>
            </w:r>
            <w:r>
              <w:rPr>
                <w:spacing w:val="-5"/>
              </w:rPr>
              <w:t>87</w:t>
            </w:r>
          </w:hyperlink>
        </w:p>
        <w:p>
          <w:pPr>
            <w:pStyle w:val="TOC3"/>
            <w:numPr>
              <w:ilvl w:val="1"/>
              <w:numId w:val="1"/>
            </w:numPr>
            <w:tabs>
              <w:tab w:pos="1720" w:val="left" w:leader="none"/>
              <w:tab w:pos="1740" w:val="left" w:leader="none"/>
              <w:tab w:pos="9947" w:val="left" w:leader="dot"/>
            </w:tabs>
            <w:spacing w:line="240" w:lineRule="auto" w:before="101" w:after="0"/>
            <w:ind w:left="1740" w:right="845" w:hanging="629"/>
            <w:jc w:val="left"/>
          </w:pPr>
          <w:hyperlink w:history="true" w:anchor="_bookmark19">
            <w:r>
              <w:rPr/>
              <w:t>Description of Statewide Transportation Planning Process that Identifies</w:t>
            </w:r>
          </w:hyperlink>
          <w:r>
            <w:rPr/>
            <w:t> </w:t>
          </w:r>
          <w:hyperlink w:history="true" w:anchor="_bookmark19">
            <w:r>
              <w:rPr/>
              <w:t>Transportation Needs</w:t>
            </w:r>
            <w:r>
              <w:rPr>
                <w:spacing w:val="-4"/>
              </w:rPr>
              <w:t> </w:t>
            </w:r>
            <w:r>
              <w:rPr/>
              <w:t>of</w:t>
            </w:r>
            <w:r>
              <w:rPr>
                <w:spacing w:val="-4"/>
              </w:rPr>
              <w:t> </w:t>
            </w:r>
            <w:r>
              <w:rPr/>
              <w:t>Minority</w:t>
            </w:r>
            <w:r>
              <w:rPr>
                <w:spacing w:val="-1"/>
              </w:rPr>
              <w:t> </w:t>
            </w:r>
            <w:r>
              <w:rPr>
                <w:spacing w:val="-2"/>
              </w:rPr>
              <w:t>Populations</w:t>
            </w:r>
            <w:r>
              <w:rPr/>
              <w:tab/>
            </w:r>
            <w:r>
              <w:rPr>
                <w:spacing w:val="-5"/>
              </w:rPr>
              <w:t>88</w:t>
            </w:r>
          </w:hyperlink>
        </w:p>
        <w:p>
          <w:pPr>
            <w:pStyle w:val="TOC3"/>
            <w:numPr>
              <w:ilvl w:val="1"/>
              <w:numId w:val="1"/>
            </w:numPr>
            <w:tabs>
              <w:tab w:pos="1431" w:val="left" w:leader="none"/>
              <w:tab w:pos="1740" w:val="left" w:leader="none"/>
              <w:tab w:pos="9947" w:val="left" w:leader="dot"/>
            </w:tabs>
            <w:spacing w:line="240" w:lineRule="auto" w:before="100" w:after="0"/>
            <w:ind w:left="1740" w:right="845" w:hanging="629"/>
            <w:jc w:val="left"/>
          </w:pPr>
          <w:hyperlink w:history="true" w:anchor="_bookmark20">
            <w:r>
              <w:rPr/>
              <w:t>Procedures MaineDOT uses to Pass-through FTA Financial Assistance in Non-</w:t>
            </w:r>
          </w:hyperlink>
          <w:r>
            <w:rPr/>
            <w:t> </w:t>
          </w:r>
          <w:hyperlink w:history="true" w:anchor="_bookmark20">
            <w:r>
              <w:rPr/>
              <w:t>discriminatory</w:t>
            </w:r>
            <w:r>
              <w:rPr>
                <w:spacing w:val="-5"/>
              </w:rPr>
              <w:t> </w:t>
            </w:r>
            <w:r>
              <w:rPr>
                <w:spacing w:val="-2"/>
              </w:rPr>
              <w:t>Manner</w:t>
            </w:r>
            <w:r>
              <w:rPr/>
              <w:tab/>
            </w:r>
            <w:r>
              <w:rPr>
                <w:spacing w:val="-5"/>
              </w:rPr>
              <w:t>89</w:t>
            </w:r>
          </w:hyperlink>
        </w:p>
        <w:p>
          <w:pPr>
            <w:pStyle w:val="TOC3"/>
            <w:numPr>
              <w:ilvl w:val="1"/>
              <w:numId w:val="1"/>
            </w:numPr>
            <w:tabs>
              <w:tab w:pos="1484" w:val="left" w:leader="none"/>
              <w:tab w:pos="9947" w:val="left" w:leader="dot"/>
            </w:tabs>
            <w:spacing w:line="240" w:lineRule="auto" w:before="99" w:after="0"/>
            <w:ind w:left="1484" w:right="0" w:hanging="373"/>
            <w:jc w:val="left"/>
          </w:pPr>
          <w:hyperlink w:history="true" w:anchor="_bookmark21">
            <w:r>
              <w:rPr/>
              <w:t>Description</w:t>
            </w:r>
            <w:r>
              <w:rPr>
                <w:spacing w:val="-2"/>
              </w:rPr>
              <w:t> </w:t>
            </w:r>
            <w:r>
              <w:rPr/>
              <w:t>of</w:t>
            </w:r>
            <w:r>
              <w:rPr>
                <w:spacing w:val="-2"/>
              </w:rPr>
              <w:t> </w:t>
            </w:r>
            <w:r>
              <w:rPr/>
              <w:t>Procedures</w:t>
            </w:r>
            <w:r>
              <w:rPr>
                <w:spacing w:val="-4"/>
              </w:rPr>
              <w:t> </w:t>
            </w:r>
            <w:r>
              <w:rPr/>
              <w:t>MaineDOT</w:t>
            </w:r>
            <w:r>
              <w:rPr>
                <w:spacing w:val="-2"/>
              </w:rPr>
              <w:t> </w:t>
            </w:r>
            <w:r>
              <w:rPr/>
              <w:t>uses</w:t>
            </w:r>
            <w:r>
              <w:rPr>
                <w:spacing w:val="-3"/>
              </w:rPr>
              <w:t> </w:t>
            </w:r>
            <w:r>
              <w:rPr/>
              <w:t>to</w:t>
            </w:r>
            <w:r>
              <w:rPr>
                <w:spacing w:val="-6"/>
              </w:rPr>
              <w:t> </w:t>
            </w:r>
            <w:r>
              <w:rPr/>
              <w:t>Assist</w:t>
            </w:r>
            <w:r>
              <w:rPr>
                <w:spacing w:val="1"/>
              </w:rPr>
              <w:t> </w:t>
            </w:r>
            <w:r>
              <w:rPr/>
              <w:t>Potential</w:t>
            </w:r>
            <w:r>
              <w:rPr>
                <w:spacing w:val="-3"/>
              </w:rPr>
              <w:t> </w:t>
            </w:r>
            <w:r>
              <w:rPr>
                <w:spacing w:val="-2"/>
              </w:rPr>
              <w:t>Subrecipients</w:t>
            </w:r>
            <w:r>
              <w:rPr/>
              <w:tab/>
            </w:r>
            <w:r>
              <w:rPr>
                <w:spacing w:val="-5"/>
              </w:rPr>
              <w:t>92</w:t>
            </w:r>
          </w:hyperlink>
        </w:p>
      </w:sdtContent>
    </w:sdt>
    <w:p>
      <w:pPr>
        <w:pStyle w:val="BodyText"/>
        <w:spacing w:line="441" w:lineRule="auto" w:before="100"/>
        <w:ind w:left="1559" w:right="3677"/>
      </w:pPr>
      <w:r>
        <w:rPr/>
        <w:t>Appendix</w:t>
      </w:r>
      <w:r>
        <w:rPr>
          <w:spacing w:val="-7"/>
        </w:rPr>
        <w:t> </w:t>
      </w:r>
      <w:r>
        <w:rPr/>
        <w:t>I</w:t>
      </w:r>
      <w:r>
        <w:rPr>
          <w:spacing w:val="-8"/>
        </w:rPr>
        <w:t> </w:t>
      </w:r>
      <w:r>
        <w:rPr/>
        <w:t>–</w:t>
      </w:r>
      <w:r>
        <w:rPr>
          <w:spacing w:val="-5"/>
        </w:rPr>
        <w:t> </w:t>
      </w:r>
      <w:r>
        <w:rPr/>
        <w:t>Title</w:t>
      </w:r>
      <w:r>
        <w:rPr>
          <w:spacing w:val="-7"/>
        </w:rPr>
        <w:t> </w:t>
      </w:r>
      <w:r>
        <w:rPr/>
        <w:t>VI</w:t>
      </w:r>
      <w:r>
        <w:rPr>
          <w:spacing w:val="-6"/>
        </w:rPr>
        <w:t> </w:t>
      </w:r>
      <w:r>
        <w:rPr/>
        <w:t>Nondiscrimination</w:t>
      </w:r>
      <w:r>
        <w:rPr>
          <w:spacing w:val="-7"/>
        </w:rPr>
        <w:t> </w:t>
      </w:r>
      <w:r>
        <w:rPr/>
        <w:t>Assurances Appendix II – 2023 Four Factor Analysis</w:t>
      </w:r>
    </w:p>
    <w:p>
      <w:pPr>
        <w:pStyle w:val="BodyText"/>
        <w:spacing w:line="441" w:lineRule="auto" w:before="2"/>
        <w:ind w:left="1560" w:right="1821"/>
      </w:pPr>
      <w:r>
        <w:rPr/>
        <w:t>Appendix</w:t>
      </w:r>
      <w:r>
        <w:rPr>
          <w:spacing w:val="-6"/>
        </w:rPr>
        <w:t> </w:t>
      </w:r>
      <w:r>
        <w:rPr/>
        <w:t>III</w:t>
      </w:r>
      <w:r>
        <w:rPr>
          <w:spacing w:val="-8"/>
        </w:rPr>
        <w:t> </w:t>
      </w:r>
      <w:r>
        <w:rPr/>
        <w:t>-</w:t>
      </w:r>
      <w:r>
        <w:rPr>
          <w:spacing w:val="-5"/>
        </w:rPr>
        <w:t> </w:t>
      </w:r>
      <w:r>
        <w:rPr/>
        <w:t>FTA</w:t>
      </w:r>
      <w:r>
        <w:rPr>
          <w:spacing w:val="-7"/>
        </w:rPr>
        <w:t> </w:t>
      </w:r>
      <w:r>
        <w:rPr/>
        <w:t>Compliance</w:t>
      </w:r>
      <w:r>
        <w:rPr>
          <w:spacing w:val="-5"/>
        </w:rPr>
        <w:t> </w:t>
      </w:r>
      <w:r>
        <w:rPr/>
        <w:t>Subrecipient</w:t>
      </w:r>
      <w:r>
        <w:rPr>
          <w:spacing w:val="-4"/>
        </w:rPr>
        <w:t> </w:t>
      </w:r>
      <w:r>
        <w:rPr/>
        <w:t>Self-Certification</w:t>
      </w:r>
      <w:r>
        <w:rPr>
          <w:spacing w:val="-4"/>
        </w:rPr>
        <w:t> </w:t>
      </w:r>
      <w:r>
        <w:rPr/>
        <w:t>Checklist Appendix IV - U.S. Census Primary Language List</w:t>
      </w:r>
    </w:p>
    <w:p>
      <w:pPr>
        <w:pStyle w:val="BodyText"/>
        <w:ind w:left="1559" w:right="501"/>
      </w:pPr>
      <w:r>
        <w:rPr/>
        <w:t>Appendix</w:t>
      </w:r>
      <w:r>
        <w:rPr>
          <w:spacing w:val="-6"/>
        </w:rPr>
        <w:t> </w:t>
      </w:r>
      <w:r>
        <w:rPr/>
        <w:t>V</w:t>
      </w:r>
      <w:r>
        <w:rPr>
          <w:spacing w:val="-2"/>
        </w:rPr>
        <w:t> </w:t>
      </w:r>
      <w:r>
        <w:rPr/>
        <w:t>-</w:t>
      </w:r>
      <w:r>
        <w:rPr>
          <w:spacing w:val="-4"/>
        </w:rPr>
        <w:t> </w:t>
      </w:r>
      <w:r>
        <w:rPr/>
        <w:t>"How</w:t>
      </w:r>
      <w:r>
        <w:rPr>
          <w:spacing w:val="-4"/>
        </w:rPr>
        <w:t> </w:t>
      </w:r>
      <w:r>
        <w:rPr/>
        <w:t>to</w:t>
      </w:r>
      <w:r>
        <w:rPr>
          <w:spacing w:val="-4"/>
        </w:rPr>
        <w:t> </w:t>
      </w:r>
      <w:r>
        <w:rPr/>
        <w:t>Work</w:t>
      </w:r>
      <w:r>
        <w:rPr>
          <w:spacing w:val="-4"/>
        </w:rPr>
        <w:t> </w:t>
      </w:r>
      <w:r>
        <w:rPr/>
        <w:t>with</w:t>
      </w:r>
      <w:r>
        <w:rPr>
          <w:spacing w:val="-1"/>
        </w:rPr>
        <w:t> </w:t>
      </w:r>
      <w:r>
        <w:rPr/>
        <w:t>a</w:t>
      </w:r>
      <w:r>
        <w:rPr>
          <w:spacing w:val="-5"/>
        </w:rPr>
        <w:t> </w:t>
      </w:r>
      <w:r>
        <w:rPr/>
        <w:t>Telephone</w:t>
      </w:r>
      <w:r>
        <w:rPr>
          <w:spacing w:val="-4"/>
        </w:rPr>
        <w:t> </w:t>
      </w:r>
      <w:r>
        <w:rPr/>
        <w:t>Interpreter"</w:t>
      </w:r>
      <w:r>
        <w:rPr>
          <w:spacing w:val="-3"/>
        </w:rPr>
        <w:t> </w:t>
      </w:r>
      <w:r>
        <w:rPr/>
        <w:t>and</w:t>
      </w:r>
      <w:r>
        <w:rPr>
          <w:spacing w:val="-4"/>
        </w:rPr>
        <w:t> </w:t>
      </w:r>
      <w:r>
        <w:rPr/>
        <w:t>Language</w:t>
      </w:r>
      <w:r>
        <w:rPr>
          <w:spacing w:val="-2"/>
        </w:rPr>
        <w:t> </w:t>
      </w:r>
      <w:r>
        <w:rPr/>
        <w:t>Interpretation </w:t>
      </w:r>
      <w:r>
        <w:rPr>
          <w:spacing w:val="-2"/>
        </w:rPr>
        <w:t>Cards</w:t>
      </w:r>
    </w:p>
    <w:p>
      <w:pPr>
        <w:spacing w:after="0"/>
        <w:sectPr>
          <w:footerReference w:type="default" r:id="rId5"/>
          <w:pgSz w:w="12240" w:h="15840"/>
          <w:pgMar w:footer="1063" w:header="0" w:top="1420" w:bottom="1260" w:left="600" w:right="600"/>
          <w:pgNumType w:start="2"/>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2"/>
        </w:rPr>
      </w:pPr>
    </w:p>
    <w:p>
      <w:pPr>
        <w:spacing w:before="0"/>
        <w:ind w:left="1209" w:right="1207" w:firstLine="0"/>
        <w:jc w:val="center"/>
        <w:rPr>
          <w:b/>
          <w:sz w:val="24"/>
        </w:rPr>
      </w:pPr>
      <w:r>
        <w:rPr>
          <w:b/>
          <w:sz w:val="24"/>
        </w:rPr>
        <w:t>Page</w:t>
      </w:r>
      <w:r>
        <w:rPr>
          <w:b/>
          <w:spacing w:val="-4"/>
          <w:sz w:val="24"/>
        </w:rPr>
        <w:t> </w:t>
      </w:r>
      <w:r>
        <w:rPr>
          <w:b/>
          <w:sz w:val="24"/>
        </w:rPr>
        <w:t>intentionally</w:t>
      </w:r>
      <w:r>
        <w:rPr>
          <w:b/>
          <w:spacing w:val="-2"/>
          <w:sz w:val="24"/>
        </w:rPr>
        <w:t> </w:t>
      </w:r>
      <w:r>
        <w:rPr>
          <w:b/>
          <w:spacing w:val="-4"/>
          <w:sz w:val="24"/>
        </w:rPr>
        <w:t>blank</w:t>
      </w:r>
    </w:p>
    <w:p>
      <w:pPr>
        <w:spacing w:after="0"/>
        <w:jc w:val="center"/>
        <w:rPr>
          <w:sz w:val="24"/>
        </w:rPr>
        <w:sectPr>
          <w:pgSz w:w="12240" w:h="15840"/>
          <w:pgMar w:header="0" w:footer="1063" w:top="1820" w:bottom="1260" w:left="600" w:right="600"/>
        </w:sectPr>
      </w:pPr>
    </w:p>
    <w:p>
      <w:pPr>
        <w:pStyle w:val="Heading8"/>
        <w:spacing w:before="35"/>
        <w:ind w:right="1209"/>
        <w:rPr>
          <w:u w:val="none"/>
        </w:rPr>
      </w:pPr>
      <w:bookmarkStart w:name="INTRODUCTION" w:id="1"/>
      <w:bookmarkEnd w:id="1"/>
      <w:r>
        <w:rPr>
          <w:b w:val="0"/>
          <w:u w:val="none"/>
        </w:rPr>
      </w:r>
      <w:bookmarkStart w:name="_bookmark0" w:id="2"/>
      <w:bookmarkEnd w:id="2"/>
      <w:r>
        <w:rPr>
          <w:b w:val="0"/>
          <w:u w:val="none"/>
        </w:rPr>
      </w:r>
      <w:r>
        <w:rPr>
          <w:spacing w:val="-2"/>
          <w:u w:val="single"/>
        </w:rPr>
        <w:t>INTRODUCTION</w:t>
      </w:r>
    </w:p>
    <w:p>
      <w:pPr>
        <w:pStyle w:val="BodyText"/>
        <w:spacing w:before="9"/>
        <w:rPr>
          <w:b/>
          <w:sz w:val="19"/>
        </w:rPr>
      </w:pPr>
    </w:p>
    <w:p>
      <w:pPr>
        <w:pStyle w:val="BodyText"/>
        <w:spacing w:before="52"/>
        <w:ind w:left="120" w:right="113"/>
        <w:jc w:val="both"/>
      </w:pPr>
      <w:r>
        <w:rPr/>
        <w:t>Title VI of the Civil Rights Act of 1964 prohibits discrimination on the basis of race, color, or national origin in programs and activities receiving Federal financial assistance. Specifically, Title VI provides that "no person in the United States shall, on the grounds of race, color, or national origin, be excluded from participation in, be denied the benefits of, or be subjected to discrimination under any program or activity receiving Federal financial assistance." (42 U.S.C. Section 2000d).</w:t>
      </w:r>
    </w:p>
    <w:p>
      <w:pPr>
        <w:pStyle w:val="BodyText"/>
        <w:spacing w:before="1"/>
      </w:pPr>
    </w:p>
    <w:p>
      <w:pPr>
        <w:pStyle w:val="BodyText"/>
        <w:ind w:left="120" w:right="114"/>
        <w:jc w:val="both"/>
      </w:pPr>
      <w:r>
        <w:rPr/>
        <w:t>The Civil Rights Restoration Act of 1987 clarified the intent of Title VI to include all programs and activities of Federal-aid recipients, sub-recipients, and contractors whether those programs and activities are federally funded or not.</w:t>
      </w:r>
    </w:p>
    <w:p>
      <w:pPr>
        <w:pStyle w:val="BodyText"/>
        <w:spacing w:before="12"/>
        <w:rPr>
          <w:sz w:val="23"/>
        </w:rPr>
      </w:pPr>
    </w:p>
    <w:p>
      <w:pPr>
        <w:pStyle w:val="BodyText"/>
        <w:ind w:left="120" w:right="116"/>
        <w:jc w:val="both"/>
      </w:pPr>
      <w:r>
        <w:rPr/>
        <w:t>During</w:t>
      </w:r>
      <w:r>
        <w:rPr>
          <w:spacing w:val="-12"/>
        </w:rPr>
        <w:t> </w:t>
      </w:r>
      <w:r>
        <w:rPr/>
        <w:t>the</w:t>
      </w:r>
      <w:r>
        <w:rPr>
          <w:spacing w:val="-12"/>
        </w:rPr>
        <w:t> </w:t>
      </w:r>
      <w:r>
        <w:rPr/>
        <w:t>Obama</w:t>
      </w:r>
      <w:r>
        <w:rPr>
          <w:spacing w:val="-12"/>
        </w:rPr>
        <w:t> </w:t>
      </w:r>
      <w:r>
        <w:rPr/>
        <w:t>Administration,</w:t>
      </w:r>
      <w:r>
        <w:rPr>
          <w:spacing w:val="-14"/>
        </w:rPr>
        <w:t> </w:t>
      </w:r>
      <w:r>
        <w:rPr/>
        <w:t>the</w:t>
      </w:r>
      <w:r>
        <w:rPr>
          <w:spacing w:val="-11"/>
        </w:rPr>
        <w:t> </w:t>
      </w:r>
      <w:r>
        <w:rPr/>
        <w:t>Federal</w:t>
      </w:r>
      <w:r>
        <w:rPr>
          <w:spacing w:val="-12"/>
        </w:rPr>
        <w:t> </w:t>
      </w:r>
      <w:r>
        <w:rPr/>
        <w:t>Transit</w:t>
      </w:r>
      <w:r>
        <w:rPr>
          <w:spacing w:val="-11"/>
        </w:rPr>
        <w:t> </w:t>
      </w:r>
      <w:r>
        <w:rPr/>
        <w:t>Administration</w:t>
      </w:r>
      <w:r>
        <w:rPr>
          <w:spacing w:val="-11"/>
        </w:rPr>
        <w:t> </w:t>
      </w:r>
      <w:r>
        <w:rPr/>
        <w:t>(“FTA”)</w:t>
      </w:r>
      <w:r>
        <w:rPr>
          <w:spacing w:val="-11"/>
        </w:rPr>
        <w:t> </w:t>
      </w:r>
      <w:r>
        <w:rPr/>
        <w:t>placed</w:t>
      </w:r>
      <w:r>
        <w:rPr>
          <w:spacing w:val="-11"/>
        </w:rPr>
        <w:t> </w:t>
      </w:r>
      <w:r>
        <w:rPr/>
        <w:t>renewed</w:t>
      </w:r>
      <w:r>
        <w:rPr>
          <w:spacing w:val="-12"/>
        </w:rPr>
        <w:t> </w:t>
      </w:r>
      <w:r>
        <w:rPr/>
        <w:t>emphasis</w:t>
      </w:r>
      <w:r>
        <w:rPr>
          <w:spacing w:val="-10"/>
        </w:rPr>
        <w:t> </w:t>
      </w:r>
      <w:r>
        <w:rPr/>
        <w:t>on</w:t>
      </w:r>
      <w:r>
        <w:rPr>
          <w:spacing w:val="-11"/>
        </w:rPr>
        <w:t> </w:t>
      </w:r>
      <w:r>
        <w:rPr/>
        <w:t>Title VI issues, including providing meaningful access to persons with Limited English Proficiency (“LEP”).</w:t>
      </w:r>
    </w:p>
    <w:p>
      <w:pPr>
        <w:pStyle w:val="BodyText"/>
        <w:spacing w:before="11"/>
        <w:rPr>
          <w:sz w:val="23"/>
        </w:rPr>
      </w:pPr>
    </w:p>
    <w:p>
      <w:pPr>
        <w:pStyle w:val="BodyText"/>
        <w:spacing w:before="1"/>
        <w:ind w:left="119" w:right="110"/>
        <w:jc w:val="both"/>
      </w:pPr>
      <w:r>
        <w:rPr/>
        <w:t>In accordance with Title VI of the Civil Rights Act of 1964 and other authorities, the Maine Department of Transportation (MaineDOT)</w:t>
      </w:r>
      <w:r>
        <w:rPr>
          <w:spacing w:val="-1"/>
        </w:rPr>
        <w:t> </w:t>
      </w:r>
      <w:r>
        <w:rPr/>
        <w:t>is committed</w:t>
      </w:r>
      <w:r>
        <w:rPr>
          <w:spacing w:val="-1"/>
        </w:rPr>
        <w:t> </w:t>
      </w:r>
      <w:r>
        <w:rPr/>
        <w:t>to</w:t>
      </w:r>
      <w:r>
        <w:rPr>
          <w:spacing w:val="-2"/>
        </w:rPr>
        <w:t> </w:t>
      </w:r>
      <w:r>
        <w:rPr/>
        <w:t>ensuring</w:t>
      </w:r>
      <w:r>
        <w:rPr>
          <w:spacing w:val="-2"/>
        </w:rPr>
        <w:t> </w:t>
      </w:r>
      <w:r>
        <w:rPr/>
        <w:t>that</w:t>
      </w:r>
      <w:r>
        <w:rPr>
          <w:spacing w:val="-1"/>
        </w:rPr>
        <w:t> </w:t>
      </w:r>
      <w:r>
        <w:rPr/>
        <w:t>the</w:t>
      </w:r>
      <w:r>
        <w:rPr>
          <w:spacing w:val="-2"/>
        </w:rPr>
        <w:t> </w:t>
      </w:r>
      <w:r>
        <w:rPr/>
        <w:t>fundamental</w:t>
      </w:r>
      <w:r>
        <w:rPr>
          <w:spacing w:val="-2"/>
        </w:rPr>
        <w:t> </w:t>
      </w:r>
      <w:r>
        <w:rPr/>
        <w:t>principles of</w:t>
      </w:r>
      <w:r>
        <w:rPr>
          <w:spacing w:val="-1"/>
        </w:rPr>
        <w:t> </w:t>
      </w:r>
      <w:r>
        <w:rPr/>
        <w:t>equal opportunity</w:t>
      </w:r>
      <w:r>
        <w:rPr>
          <w:spacing w:val="-1"/>
        </w:rPr>
        <w:t> </w:t>
      </w:r>
      <w:r>
        <w:rPr/>
        <w:t>are upheld in all decisions involving our employees, our subrecipients, and our contractors/consultants, and to ensuring that all members of the public are afforded access to our programs and services.</w:t>
      </w:r>
      <w:r>
        <w:rPr>
          <w:spacing w:val="40"/>
        </w:rPr>
        <w:t> </w:t>
      </w:r>
      <w:r>
        <w:rPr/>
        <w:t>To that end, no person shall be excluded from participation in, be denied the benefits of, or be otherwise subjected to discrimination under any MaineDOT program or activity on the basis of race, color, national origin, or Limited English Proficiency (LEP) status.</w:t>
      </w:r>
    </w:p>
    <w:p>
      <w:pPr>
        <w:pStyle w:val="BodyText"/>
      </w:pPr>
    </w:p>
    <w:p>
      <w:pPr>
        <w:pStyle w:val="BodyText"/>
        <w:spacing w:before="1"/>
        <w:ind w:left="119" w:right="114"/>
        <w:jc w:val="both"/>
      </w:pPr>
      <w:r>
        <w:rPr/>
        <w:t>MaineDOT</w:t>
      </w:r>
      <w:r>
        <w:rPr>
          <w:spacing w:val="-6"/>
        </w:rPr>
        <w:t> </w:t>
      </w:r>
      <w:r>
        <w:rPr/>
        <w:t>is</w:t>
      </w:r>
      <w:r>
        <w:rPr>
          <w:spacing w:val="-7"/>
        </w:rPr>
        <w:t> </w:t>
      </w:r>
      <w:r>
        <w:rPr/>
        <w:t>a</w:t>
      </w:r>
      <w:r>
        <w:rPr>
          <w:spacing w:val="-6"/>
        </w:rPr>
        <w:t> </w:t>
      </w:r>
      <w:r>
        <w:rPr/>
        <w:t>recipient</w:t>
      </w:r>
      <w:r>
        <w:rPr>
          <w:spacing w:val="-8"/>
        </w:rPr>
        <w:t> </w:t>
      </w:r>
      <w:r>
        <w:rPr/>
        <w:t>of</w:t>
      </w:r>
      <w:r>
        <w:rPr>
          <w:spacing w:val="-5"/>
        </w:rPr>
        <w:t> </w:t>
      </w:r>
      <w:r>
        <w:rPr/>
        <w:t>federal</w:t>
      </w:r>
      <w:r>
        <w:rPr>
          <w:spacing w:val="-9"/>
        </w:rPr>
        <w:t> </w:t>
      </w:r>
      <w:r>
        <w:rPr/>
        <w:t>funds</w:t>
      </w:r>
      <w:r>
        <w:rPr>
          <w:spacing w:val="-9"/>
        </w:rPr>
        <w:t> </w:t>
      </w:r>
      <w:r>
        <w:rPr/>
        <w:t>from</w:t>
      </w:r>
      <w:r>
        <w:rPr>
          <w:spacing w:val="-8"/>
        </w:rPr>
        <w:t> </w:t>
      </w:r>
      <w:r>
        <w:rPr/>
        <w:t>the</w:t>
      </w:r>
      <w:r>
        <w:rPr>
          <w:spacing w:val="-8"/>
        </w:rPr>
        <w:t> </w:t>
      </w:r>
      <w:r>
        <w:rPr/>
        <w:t>U.S.</w:t>
      </w:r>
      <w:r>
        <w:rPr>
          <w:spacing w:val="-7"/>
        </w:rPr>
        <w:t> </w:t>
      </w:r>
      <w:r>
        <w:rPr/>
        <w:t>Department</w:t>
      </w:r>
      <w:r>
        <w:rPr>
          <w:spacing w:val="-5"/>
        </w:rPr>
        <w:t> </w:t>
      </w:r>
      <w:r>
        <w:rPr/>
        <w:t>of</w:t>
      </w:r>
      <w:r>
        <w:rPr>
          <w:spacing w:val="-8"/>
        </w:rPr>
        <w:t> </w:t>
      </w:r>
      <w:r>
        <w:rPr/>
        <w:t>Transportation</w:t>
      </w:r>
      <w:r>
        <w:rPr>
          <w:spacing w:val="-5"/>
        </w:rPr>
        <w:t> </w:t>
      </w:r>
      <w:r>
        <w:rPr/>
        <w:t>modal</w:t>
      </w:r>
      <w:r>
        <w:rPr>
          <w:spacing w:val="-6"/>
        </w:rPr>
        <w:t> </w:t>
      </w:r>
      <w:r>
        <w:rPr/>
        <w:t>agencies,</w:t>
      </w:r>
      <w:r>
        <w:rPr>
          <w:spacing w:val="-6"/>
        </w:rPr>
        <w:t> </w:t>
      </w:r>
      <w:r>
        <w:rPr/>
        <w:t>including the Federal Highway Administration (FHWA) and the Federal Transit Administration (FTA).</w:t>
      </w:r>
      <w:r>
        <w:rPr>
          <w:spacing w:val="40"/>
        </w:rPr>
        <w:t> </w:t>
      </w:r>
      <w:r>
        <w:rPr/>
        <w:t>All recipients of federal funding must comply with the requirements of Title VI of the Civil Rights Act of 1964 and other nondiscrimination statutes, regulations and authorities.</w:t>
      </w:r>
    </w:p>
    <w:p>
      <w:pPr>
        <w:pStyle w:val="BodyText"/>
        <w:spacing w:before="11"/>
        <w:rPr>
          <w:sz w:val="23"/>
        </w:rPr>
      </w:pPr>
    </w:p>
    <w:p>
      <w:pPr>
        <w:pStyle w:val="BodyText"/>
        <w:ind w:left="119" w:right="111"/>
        <w:jc w:val="both"/>
      </w:pPr>
      <w:r>
        <w:rPr/>
        <w:t>The contents of this program have been prepared in accordance with Section 601 of Title VI of the Civil Rights Act of 1964 and Executive Order 13116 (Improving Access to Services for Persons with Limited English Proficiency</w:t>
      </w:r>
      <w:r>
        <w:rPr>
          <w:spacing w:val="-7"/>
        </w:rPr>
        <w:t> </w:t>
      </w:r>
      <w:r>
        <w:rPr/>
        <w:t>(LEP)</w:t>
      </w:r>
      <w:r>
        <w:rPr>
          <w:spacing w:val="-7"/>
        </w:rPr>
        <w:t> </w:t>
      </w:r>
      <w:r>
        <w:rPr/>
        <w:t>and</w:t>
      </w:r>
      <w:r>
        <w:rPr>
          <w:spacing w:val="-5"/>
        </w:rPr>
        <w:t> </w:t>
      </w:r>
      <w:r>
        <w:rPr/>
        <w:t>other</w:t>
      </w:r>
      <w:r>
        <w:rPr>
          <w:spacing w:val="-6"/>
        </w:rPr>
        <w:t> </w:t>
      </w:r>
      <w:r>
        <w:rPr/>
        <w:t>statutes</w:t>
      </w:r>
      <w:r>
        <w:rPr>
          <w:spacing w:val="-7"/>
        </w:rPr>
        <w:t> </w:t>
      </w:r>
      <w:r>
        <w:rPr/>
        <w:t>and</w:t>
      </w:r>
      <w:r>
        <w:rPr>
          <w:spacing w:val="-5"/>
        </w:rPr>
        <w:t> </w:t>
      </w:r>
      <w:r>
        <w:rPr/>
        <w:t>authorities</w:t>
      </w:r>
      <w:r>
        <w:rPr>
          <w:spacing w:val="-7"/>
        </w:rPr>
        <w:t> </w:t>
      </w:r>
      <w:r>
        <w:rPr/>
        <w:t>that</w:t>
      </w:r>
      <w:r>
        <w:rPr>
          <w:spacing w:val="-5"/>
        </w:rPr>
        <w:t> </w:t>
      </w:r>
      <w:r>
        <w:rPr/>
        <w:t>prohibit</w:t>
      </w:r>
      <w:r>
        <w:rPr>
          <w:spacing w:val="-8"/>
        </w:rPr>
        <w:t> </w:t>
      </w:r>
      <w:r>
        <w:rPr/>
        <w:t>discrimination</w:t>
      </w:r>
      <w:r>
        <w:rPr>
          <w:spacing w:val="-5"/>
        </w:rPr>
        <w:t> </w:t>
      </w:r>
      <w:r>
        <w:rPr/>
        <w:t>in</w:t>
      </w:r>
      <w:r>
        <w:rPr>
          <w:spacing w:val="-5"/>
        </w:rPr>
        <w:t> </w:t>
      </w:r>
      <w:r>
        <w:rPr/>
        <w:t>any</w:t>
      </w:r>
      <w:r>
        <w:rPr>
          <w:spacing w:val="-7"/>
        </w:rPr>
        <w:t> </w:t>
      </w:r>
      <w:r>
        <w:rPr/>
        <w:t>federal</w:t>
      </w:r>
      <w:r>
        <w:rPr>
          <w:spacing w:val="-6"/>
        </w:rPr>
        <w:t> </w:t>
      </w:r>
      <w:r>
        <w:rPr/>
        <w:t>assisted</w:t>
      </w:r>
      <w:r>
        <w:rPr>
          <w:spacing w:val="-8"/>
        </w:rPr>
        <w:t> </w:t>
      </w:r>
      <w:r>
        <w:rPr/>
        <w:t>program or service.</w:t>
      </w:r>
    </w:p>
    <w:p>
      <w:pPr>
        <w:pStyle w:val="BodyText"/>
        <w:spacing w:before="11"/>
        <w:rPr>
          <w:sz w:val="23"/>
        </w:rPr>
      </w:pPr>
    </w:p>
    <w:p>
      <w:pPr>
        <w:pStyle w:val="BodyText"/>
        <w:ind w:left="119" w:right="114"/>
        <w:jc w:val="both"/>
      </w:pPr>
      <w:r>
        <w:rPr/>
        <w:t>Under</w:t>
      </w:r>
      <w:r>
        <w:rPr>
          <w:spacing w:val="-13"/>
        </w:rPr>
        <w:t> </w:t>
      </w:r>
      <w:r>
        <w:rPr/>
        <w:t>the</w:t>
      </w:r>
      <w:r>
        <w:rPr>
          <w:spacing w:val="-11"/>
        </w:rPr>
        <w:t> </w:t>
      </w:r>
      <w:r>
        <w:rPr/>
        <w:t>Civil</w:t>
      </w:r>
      <w:r>
        <w:rPr>
          <w:spacing w:val="-11"/>
        </w:rPr>
        <w:t> </w:t>
      </w:r>
      <w:r>
        <w:rPr/>
        <w:t>Rights</w:t>
      </w:r>
      <w:r>
        <w:rPr>
          <w:spacing w:val="-11"/>
        </w:rPr>
        <w:t> </w:t>
      </w:r>
      <w:r>
        <w:rPr/>
        <w:t>Act</w:t>
      </w:r>
      <w:r>
        <w:rPr>
          <w:spacing w:val="-12"/>
        </w:rPr>
        <w:t> </w:t>
      </w:r>
      <w:r>
        <w:rPr/>
        <w:t>of</w:t>
      </w:r>
      <w:r>
        <w:rPr>
          <w:spacing w:val="-12"/>
        </w:rPr>
        <w:t> </w:t>
      </w:r>
      <w:r>
        <w:rPr/>
        <w:t>1964</w:t>
      </w:r>
      <w:r>
        <w:rPr>
          <w:spacing w:val="-10"/>
        </w:rPr>
        <w:t> </w:t>
      </w:r>
      <w:r>
        <w:rPr/>
        <w:t>and</w:t>
      </w:r>
      <w:r>
        <w:rPr>
          <w:spacing w:val="-10"/>
        </w:rPr>
        <w:t> </w:t>
      </w:r>
      <w:r>
        <w:rPr/>
        <w:t>as</w:t>
      </w:r>
      <w:r>
        <w:rPr>
          <w:spacing w:val="-14"/>
        </w:rPr>
        <w:t> </w:t>
      </w:r>
      <w:r>
        <w:rPr/>
        <w:t>a</w:t>
      </w:r>
      <w:r>
        <w:rPr>
          <w:spacing w:val="-11"/>
        </w:rPr>
        <w:t> </w:t>
      </w:r>
      <w:r>
        <w:rPr/>
        <w:t>recipient</w:t>
      </w:r>
      <w:r>
        <w:rPr>
          <w:spacing w:val="-10"/>
        </w:rPr>
        <w:t> </w:t>
      </w:r>
      <w:r>
        <w:rPr/>
        <w:t>of</w:t>
      </w:r>
      <w:r>
        <w:rPr>
          <w:spacing w:val="-10"/>
        </w:rPr>
        <w:t> </w:t>
      </w:r>
      <w:r>
        <w:rPr/>
        <w:t>federal</w:t>
      </w:r>
      <w:r>
        <w:rPr>
          <w:spacing w:val="-11"/>
        </w:rPr>
        <w:t> </w:t>
      </w:r>
      <w:r>
        <w:rPr/>
        <w:t>funding</w:t>
      </w:r>
      <w:r>
        <w:rPr>
          <w:spacing w:val="-14"/>
        </w:rPr>
        <w:t> </w:t>
      </w:r>
      <w:r>
        <w:rPr/>
        <w:t>under</w:t>
      </w:r>
      <w:r>
        <w:rPr>
          <w:spacing w:val="-11"/>
        </w:rPr>
        <w:t> </w:t>
      </w:r>
      <w:r>
        <w:rPr/>
        <w:t>the</w:t>
      </w:r>
      <w:r>
        <w:rPr>
          <w:spacing w:val="-11"/>
        </w:rPr>
        <w:t> </w:t>
      </w:r>
      <w:r>
        <w:rPr/>
        <w:t>programs</w:t>
      </w:r>
      <w:r>
        <w:rPr>
          <w:spacing w:val="-14"/>
        </w:rPr>
        <w:t> </w:t>
      </w:r>
      <w:r>
        <w:rPr/>
        <w:t>of</w:t>
      </w:r>
      <w:r>
        <w:rPr>
          <w:spacing w:val="-12"/>
        </w:rPr>
        <w:t> </w:t>
      </w:r>
      <w:r>
        <w:rPr/>
        <w:t>the</w:t>
      </w:r>
      <w:r>
        <w:rPr>
          <w:spacing w:val="-11"/>
        </w:rPr>
        <w:t> </w:t>
      </w:r>
      <w:r>
        <w:rPr/>
        <w:t>Federal</w:t>
      </w:r>
      <w:r>
        <w:rPr>
          <w:spacing w:val="-11"/>
        </w:rPr>
        <w:t> </w:t>
      </w:r>
      <w:r>
        <w:rPr/>
        <w:t>Transit Administration</w:t>
      </w:r>
      <w:r>
        <w:rPr>
          <w:spacing w:val="-1"/>
        </w:rPr>
        <w:t> </w:t>
      </w:r>
      <w:r>
        <w:rPr/>
        <w:t>(FTA)</w:t>
      </w:r>
      <w:r>
        <w:rPr>
          <w:spacing w:val="-2"/>
        </w:rPr>
        <w:t> </w:t>
      </w:r>
      <w:r>
        <w:rPr/>
        <w:t>of</w:t>
      </w:r>
      <w:r>
        <w:rPr>
          <w:spacing w:val="-3"/>
        </w:rPr>
        <w:t> </w:t>
      </w:r>
      <w:r>
        <w:rPr/>
        <w:t>the</w:t>
      </w:r>
      <w:r>
        <w:rPr>
          <w:spacing w:val="-2"/>
        </w:rPr>
        <w:t> </w:t>
      </w:r>
      <w:r>
        <w:rPr/>
        <w:t>US</w:t>
      </w:r>
      <w:r>
        <w:rPr>
          <w:spacing w:val="-2"/>
        </w:rPr>
        <w:t> </w:t>
      </w:r>
      <w:r>
        <w:rPr/>
        <w:t>Department</w:t>
      </w:r>
      <w:r>
        <w:rPr>
          <w:spacing w:val="-1"/>
        </w:rPr>
        <w:t> </w:t>
      </w:r>
      <w:r>
        <w:rPr/>
        <w:t>of</w:t>
      </w:r>
      <w:r>
        <w:rPr>
          <w:spacing w:val="-1"/>
        </w:rPr>
        <w:t> </w:t>
      </w:r>
      <w:r>
        <w:rPr/>
        <w:t>Transportation</w:t>
      </w:r>
      <w:r>
        <w:rPr>
          <w:spacing w:val="-1"/>
        </w:rPr>
        <w:t> </w:t>
      </w:r>
      <w:r>
        <w:rPr/>
        <w:t>(US</w:t>
      </w:r>
      <w:r>
        <w:rPr>
          <w:spacing w:val="-2"/>
        </w:rPr>
        <w:t> </w:t>
      </w:r>
      <w:r>
        <w:rPr/>
        <w:t>DOT),</w:t>
      </w:r>
      <w:r>
        <w:rPr>
          <w:spacing w:val="-2"/>
        </w:rPr>
        <w:t> </w:t>
      </w:r>
      <w:r>
        <w:rPr/>
        <w:t>MaineDOT</w:t>
      </w:r>
      <w:r>
        <w:rPr>
          <w:spacing w:val="-3"/>
        </w:rPr>
        <w:t> </w:t>
      </w:r>
      <w:r>
        <w:rPr/>
        <w:t>has</w:t>
      </w:r>
      <w:r>
        <w:rPr>
          <w:spacing w:val="-2"/>
        </w:rPr>
        <w:t> </w:t>
      </w:r>
      <w:r>
        <w:rPr/>
        <w:t>an</w:t>
      </w:r>
      <w:r>
        <w:rPr>
          <w:spacing w:val="-1"/>
        </w:rPr>
        <w:t> </w:t>
      </w:r>
      <w:r>
        <w:rPr/>
        <w:t>obligation</w:t>
      </w:r>
      <w:r>
        <w:rPr>
          <w:spacing w:val="-1"/>
        </w:rPr>
        <w:t> </w:t>
      </w:r>
      <w:r>
        <w:rPr/>
        <w:t>to</w:t>
      </w:r>
      <w:r>
        <w:rPr>
          <w:spacing w:val="-2"/>
        </w:rPr>
        <w:t> </w:t>
      </w:r>
      <w:r>
        <w:rPr/>
        <w:t>ensure that the objectives of the MaineDOT Title VI program are to:</w:t>
      </w:r>
    </w:p>
    <w:p>
      <w:pPr>
        <w:pStyle w:val="BodyText"/>
        <w:spacing w:before="1"/>
      </w:pPr>
    </w:p>
    <w:p>
      <w:pPr>
        <w:pStyle w:val="ListParagraph"/>
        <w:numPr>
          <w:ilvl w:val="0"/>
          <w:numId w:val="2"/>
        </w:numPr>
        <w:tabs>
          <w:tab w:pos="1550" w:val="left" w:leader="none"/>
        </w:tabs>
        <w:spacing w:line="240" w:lineRule="auto" w:before="0" w:after="0"/>
        <w:ind w:left="1550" w:right="116" w:hanging="360"/>
        <w:jc w:val="both"/>
        <w:rPr>
          <w:sz w:val="24"/>
        </w:rPr>
      </w:pPr>
      <w:r>
        <w:rPr>
          <w:sz w:val="24"/>
        </w:rPr>
        <w:t>Ensure that the level and quality of transportation service is provided equitably and without regard to race, color and national origin;</w:t>
      </w:r>
    </w:p>
    <w:p>
      <w:pPr>
        <w:pStyle w:val="ListParagraph"/>
        <w:numPr>
          <w:ilvl w:val="0"/>
          <w:numId w:val="2"/>
        </w:numPr>
        <w:tabs>
          <w:tab w:pos="1550" w:val="left" w:leader="none"/>
        </w:tabs>
        <w:spacing w:line="240" w:lineRule="auto" w:before="0" w:after="0"/>
        <w:ind w:left="1550" w:right="115" w:hanging="360"/>
        <w:jc w:val="both"/>
        <w:rPr>
          <w:sz w:val="24"/>
        </w:rPr>
      </w:pPr>
      <w:r>
        <w:rPr>
          <w:sz w:val="24"/>
        </w:rPr>
        <w:t>Avoid, minimize or mitigate disproportionately high and adverse human health and environmental effects, including adverse social and economic effects of programs and activities on minority populations and low-income populations;</w:t>
      </w:r>
    </w:p>
    <w:p>
      <w:pPr>
        <w:pStyle w:val="ListParagraph"/>
        <w:numPr>
          <w:ilvl w:val="0"/>
          <w:numId w:val="2"/>
        </w:numPr>
        <w:tabs>
          <w:tab w:pos="1549" w:val="left" w:leader="none"/>
        </w:tabs>
        <w:spacing w:line="305" w:lineRule="exact" w:before="0" w:after="0"/>
        <w:ind w:left="1549" w:right="0" w:hanging="359"/>
        <w:jc w:val="both"/>
        <w:rPr>
          <w:sz w:val="24"/>
        </w:rPr>
      </w:pPr>
      <w:r>
        <w:rPr>
          <w:sz w:val="24"/>
        </w:rPr>
        <w:t>Ensure</w:t>
      </w:r>
      <w:r>
        <w:rPr>
          <w:spacing w:val="-14"/>
          <w:sz w:val="24"/>
        </w:rPr>
        <w:t> </w:t>
      </w:r>
      <w:r>
        <w:rPr>
          <w:sz w:val="24"/>
        </w:rPr>
        <w:t>the</w:t>
      </w:r>
      <w:r>
        <w:rPr>
          <w:spacing w:val="-14"/>
          <w:sz w:val="24"/>
        </w:rPr>
        <w:t> </w:t>
      </w:r>
      <w:r>
        <w:rPr>
          <w:sz w:val="24"/>
        </w:rPr>
        <w:t>full</w:t>
      </w:r>
      <w:r>
        <w:rPr>
          <w:spacing w:val="-13"/>
          <w:sz w:val="24"/>
        </w:rPr>
        <w:t> </w:t>
      </w:r>
      <w:r>
        <w:rPr>
          <w:sz w:val="24"/>
        </w:rPr>
        <w:t>and</w:t>
      </w:r>
      <w:r>
        <w:rPr>
          <w:spacing w:val="-14"/>
          <w:sz w:val="24"/>
        </w:rPr>
        <w:t> </w:t>
      </w:r>
      <w:r>
        <w:rPr>
          <w:sz w:val="24"/>
        </w:rPr>
        <w:t>fair</w:t>
      </w:r>
      <w:r>
        <w:rPr>
          <w:spacing w:val="-13"/>
          <w:sz w:val="24"/>
        </w:rPr>
        <w:t> </w:t>
      </w:r>
      <w:r>
        <w:rPr>
          <w:sz w:val="24"/>
        </w:rPr>
        <w:t>participation</w:t>
      </w:r>
      <w:r>
        <w:rPr>
          <w:spacing w:val="-14"/>
          <w:sz w:val="24"/>
        </w:rPr>
        <w:t> </w:t>
      </w:r>
      <w:r>
        <w:rPr>
          <w:sz w:val="24"/>
        </w:rPr>
        <w:t>of</w:t>
      </w:r>
      <w:r>
        <w:rPr>
          <w:spacing w:val="-13"/>
          <w:sz w:val="24"/>
        </w:rPr>
        <w:t> </w:t>
      </w:r>
      <w:r>
        <w:rPr>
          <w:sz w:val="24"/>
        </w:rPr>
        <w:t>all</w:t>
      </w:r>
      <w:r>
        <w:rPr>
          <w:spacing w:val="-14"/>
          <w:sz w:val="24"/>
        </w:rPr>
        <w:t> </w:t>
      </w:r>
      <w:r>
        <w:rPr>
          <w:sz w:val="24"/>
        </w:rPr>
        <w:t>affected</w:t>
      </w:r>
      <w:r>
        <w:rPr>
          <w:spacing w:val="-14"/>
          <w:sz w:val="24"/>
        </w:rPr>
        <w:t> </w:t>
      </w:r>
      <w:r>
        <w:rPr>
          <w:sz w:val="24"/>
        </w:rPr>
        <w:t>populations</w:t>
      </w:r>
      <w:r>
        <w:rPr>
          <w:spacing w:val="-14"/>
          <w:sz w:val="24"/>
        </w:rPr>
        <w:t> </w:t>
      </w:r>
      <w:r>
        <w:rPr>
          <w:sz w:val="24"/>
        </w:rPr>
        <w:t>in</w:t>
      </w:r>
      <w:r>
        <w:rPr>
          <w:spacing w:val="-11"/>
          <w:sz w:val="24"/>
        </w:rPr>
        <w:t> </w:t>
      </w:r>
      <w:r>
        <w:rPr>
          <w:sz w:val="24"/>
        </w:rPr>
        <w:t>transportation</w:t>
      </w:r>
      <w:r>
        <w:rPr>
          <w:spacing w:val="-14"/>
          <w:sz w:val="24"/>
        </w:rPr>
        <w:t> </w:t>
      </w:r>
      <w:r>
        <w:rPr>
          <w:sz w:val="24"/>
        </w:rPr>
        <w:t>decision</w:t>
      </w:r>
      <w:r>
        <w:rPr>
          <w:spacing w:val="-13"/>
          <w:sz w:val="24"/>
        </w:rPr>
        <w:t> </w:t>
      </w:r>
      <w:r>
        <w:rPr>
          <w:spacing w:val="-2"/>
          <w:sz w:val="24"/>
        </w:rPr>
        <w:t>making;</w:t>
      </w:r>
    </w:p>
    <w:p>
      <w:pPr>
        <w:pStyle w:val="ListParagraph"/>
        <w:numPr>
          <w:ilvl w:val="0"/>
          <w:numId w:val="2"/>
        </w:numPr>
        <w:tabs>
          <w:tab w:pos="1550" w:val="left" w:leader="none"/>
        </w:tabs>
        <w:spacing w:line="240" w:lineRule="auto" w:before="0" w:after="0"/>
        <w:ind w:left="1550" w:right="115" w:hanging="360"/>
        <w:jc w:val="both"/>
        <w:rPr>
          <w:sz w:val="24"/>
        </w:rPr>
      </w:pPr>
      <w:r>
        <w:rPr>
          <w:sz w:val="24"/>
        </w:rPr>
        <w:t>Prevent</w:t>
      </w:r>
      <w:r>
        <w:rPr>
          <w:spacing w:val="-3"/>
          <w:sz w:val="24"/>
        </w:rPr>
        <w:t> </w:t>
      </w:r>
      <w:r>
        <w:rPr>
          <w:sz w:val="24"/>
        </w:rPr>
        <w:t>the</w:t>
      </w:r>
      <w:r>
        <w:rPr>
          <w:spacing w:val="-3"/>
          <w:sz w:val="24"/>
        </w:rPr>
        <w:t> </w:t>
      </w:r>
      <w:r>
        <w:rPr>
          <w:sz w:val="24"/>
        </w:rPr>
        <w:t>denial,</w:t>
      </w:r>
      <w:r>
        <w:rPr>
          <w:spacing w:val="-4"/>
          <w:sz w:val="24"/>
        </w:rPr>
        <w:t> </w:t>
      </w:r>
      <w:r>
        <w:rPr>
          <w:sz w:val="24"/>
        </w:rPr>
        <w:t>reduction,</w:t>
      </w:r>
      <w:r>
        <w:rPr>
          <w:spacing w:val="-4"/>
          <w:sz w:val="24"/>
        </w:rPr>
        <w:t> </w:t>
      </w:r>
      <w:r>
        <w:rPr>
          <w:sz w:val="24"/>
        </w:rPr>
        <w:t>or</w:t>
      </w:r>
      <w:r>
        <w:rPr>
          <w:spacing w:val="-6"/>
          <w:sz w:val="24"/>
        </w:rPr>
        <w:t> </w:t>
      </w:r>
      <w:r>
        <w:rPr>
          <w:sz w:val="24"/>
        </w:rPr>
        <w:t>delay</w:t>
      </w:r>
      <w:r>
        <w:rPr>
          <w:spacing w:val="-5"/>
          <w:sz w:val="24"/>
        </w:rPr>
        <w:t> </w:t>
      </w:r>
      <w:r>
        <w:rPr>
          <w:sz w:val="24"/>
        </w:rPr>
        <w:t>in</w:t>
      </w:r>
      <w:r>
        <w:rPr>
          <w:spacing w:val="-3"/>
          <w:sz w:val="24"/>
        </w:rPr>
        <w:t> </w:t>
      </w:r>
      <w:r>
        <w:rPr>
          <w:sz w:val="24"/>
        </w:rPr>
        <w:t>benefits</w:t>
      </w:r>
      <w:r>
        <w:rPr>
          <w:spacing w:val="-4"/>
          <w:sz w:val="24"/>
        </w:rPr>
        <w:t> </w:t>
      </w:r>
      <w:r>
        <w:rPr>
          <w:sz w:val="24"/>
        </w:rPr>
        <w:t>related</w:t>
      </w:r>
      <w:r>
        <w:rPr>
          <w:spacing w:val="-3"/>
          <w:sz w:val="24"/>
        </w:rPr>
        <w:t> </w:t>
      </w:r>
      <w:r>
        <w:rPr>
          <w:sz w:val="24"/>
        </w:rPr>
        <w:t>to</w:t>
      </w:r>
      <w:r>
        <w:rPr>
          <w:spacing w:val="-6"/>
          <w:sz w:val="24"/>
        </w:rPr>
        <w:t> </w:t>
      </w:r>
      <w:r>
        <w:rPr>
          <w:sz w:val="24"/>
        </w:rPr>
        <w:t>programs</w:t>
      </w:r>
      <w:r>
        <w:rPr>
          <w:spacing w:val="-4"/>
          <w:sz w:val="24"/>
        </w:rPr>
        <w:t> </w:t>
      </w:r>
      <w:r>
        <w:rPr>
          <w:sz w:val="24"/>
        </w:rPr>
        <w:t>and</w:t>
      </w:r>
      <w:r>
        <w:rPr>
          <w:spacing w:val="-3"/>
          <w:sz w:val="24"/>
        </w:rPr>
        <w:t> </w:t>
      </w:r>
      <w:r>
        <w:rPr>
          <w:sz w:val="24"/>
        </w:rPr>
        <w:t>activities</w:t>
      </w:r>
      <w:r>
        <w:rPr>
          <w:spacing w:val="-7"/>
          <w:sz w:val="24"/>
        </w:rPr>
        <w:t> </w:t>
      </w:r>
      <w:r>
        <w:rPr>
          <w:sz w:val="24"/>
        </w:rPr>
        <w:t>that</w:t>
      </w:r>
      <w:r>
        <w:rPr>
          <w:spacing w:val="-3"/>
          <w:sz w:val="24"/>
        </w:rPr>
        <w:t> </w:t>
      </w:r>
      <w:r>
        <w:rPr>
          <w:sz w:val="24"/>
        </w:rPr>
        <w:t>benefit minority populations or low-income populations;</w:t>
      </w:r>
    </w:p>
    <w:p>
      <w:pPr>
        <w:spacing w:after="0" w:line="240" w:lineRule="auto"/>
        <w:jc w:val="both"/>
        <w:rPr>
          <w:sz w:val="24"/>
        </w:rPr>
        <w:sectPr>
          <w:footerReference w:type="default" r:id="rId6"/>
          <w:pgSz w:w="12240" w:h="15840"/>
          <w:pgMar w:footer="1063" w:header="0" w:top="960" w:bottom="1260" w:left="600" w:right="600"/>
          <w:pgNumType w:start="4"/>
        </w:sectPr>
      </w:pPr>
    </w:p>
    <w:p>
      <w:pPr>
        <w:pStyle w:val="ListParagraph"/>
        <w:numPr>
          <w:ilvl w:val="0"/>
          <w:numId w:val="2"/>
        </w:numPr>
        <w:tabs>
          <w:tab w:pos="1550" w:val="left" w:leader="none"/>
        </w:tabs>
        <w:spacing w:line="240" w:lineRule="auto" w:before="74" w:after="0"/>
        <w:ind w:left="1550" w:right="115" w:hanging="360"/>
        <w:jc w:val="left"/>
        <w:rPr>
          <w:sz w:val="24"/>
        </w:rPr>
      </w:pPr>
      <w:r>
        <w:rPr>
          <w:sz w:val="24"/>
        </w:rPr>
        <w:t>Ensure that persons with Limited English Proficiency (LEP) have meaningful access to programs and activities that are administered by recipients and subrecipients; and</w:t>
      </w:r>
    </w:p>
    <w:p>
      <w:pPr>
        <w:pStyle w:val="ListParagraph"/>
        <w:numPr>
          <w:ilvl w:val="0"/>
          <w:numId w:val="2"/>
        </w:numPr>
        <w:tabs>
          <w:tab w:pos="1550" w:val="left" w:leader="none"/>
        </w:tabs>
        <w:spacing w:line="242" w:lineRule="auto" w:before="0" w:after="0"/>
        <w:ind w:left="1550" w:right="116" w:hanging="360"/>
        <w:jc w:val="left"/>
        <w:rPr>
          <w:sz w:val="24"/>
        </w:rPr>
      </w:pPr>
      <w:r>
        <w:rPr>
          <w:sz w:val="24"/>
        </w:rPr>
        <w:t>Ensure</w:t>
      </w:r>
      <w:r>
        <w:rPr>
          <w:spacing w:val="80"/>
          <w:sz w:val="24"/>
        </w:rPr>
        <w:t> </w:t>
      </w:r>
      <w:r>
        <w:rPr>
          <w:sz w:val="24"/>
        </w:rPr>
        <w:t>a</w:t>
      </w:r>
      <w:r>
        <w:rPr>
          <w:spacing w:val="80"/>
          <w:sz w:val="24"/>
        </w:rPr>
        <w:t> </w:t>
      </w:r>
      <w:r>
        <w:rPr>
          <w:sz w:val="24"/>
        </w:rPr>
        <w:t>program</w:t>
      </w:r>
      <w:r>
        <w:rPr>
          <w:spacing w:val="80"/>
          <w:sz w:val="24"/>
        </w:rPr>
        <w:t> </w:t>
      </w:r>
      <w:r>
        <w:rPr>
          <w:sz w:val="24"/>
        </w:rPr>
        <w:t>is</w:t>
      </w:r>
      <w:r>
        <w:rPr>
          <w:spacing w:val="80"/>
          <w:sz w:val="24"/>
        </w:rPr>
        <w:t> </w:t>
      </w:r>
      <w:r>
        <w:rPr>
          <w:sz w:val="24"/>
        </w:rPr>
        <w:t>in</w:t>
      </w:r>
      <w:r>
        <w:rPr>
          <w:spacing w:val="80"/>
          <w:sz w:val="24"/>
        </w:rPr>
        <w:t> </w:t>
      </w:r>
      <w:r>
        <w:rPr>
          <w:sz w:val="24"/>
        </w:rPr>
        <w:t>place</w:t>
      </w:r>
      <w:r>
        <w:rPr>
          <w:spacing w:val="80"/>
          <w:sz w:val="24"/>
        </w:rPr>
        <w:t> </w:t>
      </w:r>
      <w:r>
        <w:rPr>
          <w:sz w:val="24"/>
        </w:rPr>
        <w:t>for</w:t>
      </w:r>
      <w:r>
        <w:rPr>
          <w:spacing w:val="80"/>
          <w:sz w:val="24"/>
        </w:rPr>
        <w:t> </w:t>
      </w:r>
      <w:r>
        <w:rPr>
          <w:sz w:val="24"/>
        </w:rPr>
        <w:t>correcting</w:t>
      </w:r>
      <w:r>
        <w:rPr>
          <w:spacing w:val="80"/>
          <w:sz w:val="24"/>
        </w:rPr>
        <w:t> </w:t>
      </w:r>
      <w:r>
        <w:rPr>
          <w:sz w:val="24"/>
        </w:rPr>
        <w:t>any</w:t>
      </w:r>
      <w:r>
        <w:rPr>
          <w:spacing w:val="80"/>
          <w:sz w:val="24"/>
        </w:rPr>
        <w:t> </w:t>
      </w:r>
      <w:r>
        <w:rPr>
          <w:sz w:val="24"/>
        </w:rPr>
        <w:t>discrimination,</w:t>
      </w:r>
      <w:r>
        <w:rPr>
          <w:spacing w:val="80"/>
          <w:sz w:val="24"/>
        </w:rPr>
        <w:t> </w:t>
      </w:r>
      <w:r>
        <w:rPr>
          <w:sz w:val="24"/>
        </w:rPr>
        <w:t>whether</w:t>
      </w:r>
      <w:r>
        <w:rPr>
          <w:spacing w:val="80"/>
          <w:sz w:val="24"/>
        </w:rPr>
        <w:t> </w:t>
      </w:r>
      <w:r>
        <w:rPr>
          <w:sz w:val="24"/>
        </w:rPr>
        <w:t>intentional</w:t>
      </w:r>
      <w:r>
        <w:rPr>
          <w:spacing w:val="80"/>
          <w:sz w:val="24"/>
        </w:rPr>
        <w:t> </w:t>
      </w:r>
      <w:r>
        <w:rPr>
          <w:sz w:val="24"/>
        </w:rPr>
        <w:t>or </w:t>
      </w:r>
      <w:r>
        <w:rPr>
          <w:spacing w:val="-2"/>
          <w:sz w:val="24"/>
        </w:rPr>
        <w:t>unintentional.</w:t>
      </w:r>
    </w:p>
    <w:p>
      <w:pPr>
        <w:pStyle w:val="BodyText"/>
        <w:spacing w:before="7"/>
        <w:rPr>
          <w:sz w:val="23"/>
        </w:rPr>
      </w:pPr>
    </w:p>
    <w:p>
      <w:pPr>
        <w:pStyle w:val="BodyText"/>
        <w:spacing w:before="1"/>
        <w:ind w:left="120" w:right="113"/>
        <w:jc w:val="both"/>
      </w:pPr>
      <w:hyperlink r:id="rId7">
        <w:r>
          <w:rPr>
            <w:color w:val="0000FF"/>
            <w:u w:val="single" w:color="0000FF"/>
          </w:rPr>
          <w:t>49 CFR 21.9 (b)</w:t>
        </w:r>
      </w:hyperlink>
      <w:r>
        <w:rPr>
          <w:color w:val="0000FF"/>
        </w:rPr>
        <w:t> </w:t>
      </w:r>
      <w:r>
        <w:rPr/>
        <w:t>requires that recipients and subrecipients record and retain certain information and submit information to FTA as necessary or required. MaineDOT and its subrecipients shall fulfill this requirement by submitting</w:t>
      </w:r>
      <w:r>
        <w:rPr>
          <w:spacing w:val="-11"/>
        </w:rPr>
        <w:t> </w:t>
      </w:r>
      <w:r>
        <w:rPr/>
        <w:t>compliance</w:t>
      </w:r>
      <w:r>
        <w:rPr>
          <w:spacing w:val="-8"/>
        </w:rPr>
        <w:t> </w:t>
      </w:r>
      <w:r>
        <w:rPr/>
        <w:t>reports</w:t>
      </w:r>
      <w:r>
        <w:rPr>
          <w:spacing w:val="-9"/>
        </w:rPr>
        <w:t> </w:t>
      </w:r>
      <w:r>
        <w:rPr/>
        <w:t>once</w:t>
      </w:r>
      <w:r>
        <w:rPr>
          <w:spacing w:val="-8"/>
        </w:rPr>
        <w:t> </w:t>
      </w:r>
      <w:r>
        <w:rPr/>
        <w:t>every</w:t>
      </w:r>
      <w:r>
        <w:rPr>
          <w:spacing w:val="-12"/>
        </w:rPr>
        <w:t> </w:t>
      </w:r>
      <w:r>
        <w:rPr/>
        <w:t>three</w:t>
      </w:r>
      <w:r>
        <w:rPr>
          <w:spacing w:val="-8"/>
        </w:rPr>
        <w:t> </w:t>
      </w:r>
      <w:r>
        <w:rPr/>
        <w:t>(3)</w:t>
      </w:r>
      <w:r>
        <w:rPr>
          <w:spacing w:val="-10"/>
        </w:rPr>
        <w:t> </w:t>
      </w:r>
      <w:r>
        <w:rPr/>
        <w:t>years.</w:t>
      </w:r>
      <w:r>
        <w:rPr>
          <w:spacing w:val="36"/>
        </w:rPr>
        <w:t> </w:t>
      </w:r>
      <w:r>
        <w:rPr/>
        <w:t>References</w:t>
      </w:r>
      <w:r>
        <w:rPr>
          <w:spacing w:val="-11"/>
        </w:rPr>
        <w:t> </w:t>
      </w:r>
      <w:r>
        <w:rPr/>
        <w:t>to</w:t>
      </w:r>
      <w:r>
        <w:rPr>
          <w:spacing w:val="-11"/>
        </w:rPr>
        <w:t> </w:t>
      </w:r>
      <w:r>
        <w:rPr/>
        <w:t>the</w:t>
      </w:r>
      <w:r>
        <w:rPr>
          <w:spacing w:val="-8"/>
        </w:rPr>
        <w:t> </w:t>
      </w:r>
      <w:r>
        <w:rPr/>
        <w:t>information</w:t>
      </w:r>
      <w:r>
        <w:rPr>
          <w:spacing w:val="-10"/>
        </w:rPr>
        <w:t> </w:t>
      </w:r>
      <w:r>
        <w:rPr/>
        <w:t>that</w:t>
      </w:r>
      <w:r>
        <w:rPr>
          <w:spacing w:val="-8"/>
        </w:rPr>
        <w:t> </w:t>
      </w:r>
      <w:r>
        <w:rPr/>
        <w:t>is</w:t>
      </w:r>
      <w:r>
        <w:rPr>
          <w:spacing w:val="-11"/>
        </w:rPr>
        <w:t> </w:t>
      </w:r>
      <w:r>
        <w:rPr/>
        <w:t>required</w:t>
      </w:r>
      <w:r>
        <w:rPr>
          <w:spacing w:val="-10"/>
        </w:rPr>
        <w:t> </w:t>
      </w:r>
      <w:r>
        <w:rPr/>
        <w:t>by</w:t>
      </w:r>
      <w:r>
        <w:rPr>
          <w:spacing w:val="-9"/>
        </w:rPr>
        <w:t> </w:t>
      </w:r>
      <w:r>
        <w:rPr/>
        <w:t>the US DOT can be found throughout this document.</w:t>
      </w:r>
    </w:p>
    <w:p>
      <w:pPr>
        <w:pStyle w:val="BodyText"/>
        <w:spacing w:before="11"/>
        <w:rPr>
          <w:sz w:val="23"/>
        </w:rPr>
      </w:pPr>
    </w:p>
    <w:p>
      <w:pPr>
        <w:pStyle w:val="BodyText"/>
        <w:ind w:left="120" w:right="114"/>
        <w:jc w:val="both"/>
      </w:pPr>
      <w:r>
        <w:rPr/>
        <w:t>This Implementation Plan describes how MaineDOT accomplishes nondiscrimination in the delivery of its federally assisted programs, services, and activities.</w:t>
      </w:r>
      <w:r>
        <w:rPr>
          <w:spacing w:val="40"/>
        </w:rPr>
        <w:t> </w:t>
      </w:r>
      <w:r>
        <w:rPr/>
        <w:t>The Plan includes the structure of MaineDOT’s Title VI program as well as the policies, procedures, and practices MaineDOT uses to comply with nondiscrimination requirements.</w:t>
      </w:r>
      <w:r>
        <w:rPr>
          <w:spacing w:val="40"/>
        </w:rPr>
        <w:t> </w:t>
      </w:r>
      <w:r>
        <w:rPr/>
        <w:t>The</w:t>
      </w:r>
      <w:r>
        <w:rPr>
          <w:spacing w:val="-3"/>
        </w:rPr>
        <w:t> </w:t>
      </w:r>
      <w:r>
        <w:rPr/>
        <w:t>Plan</w:t>
      </w:r>
      <w:r>
        <w:rPr>
          <w:spacing w:val="-3"/>
        </w:rPr>
        <w:t> </w:t>
      </w:r>
      <w:r>
        <w:rPr/>
        <w:t>is</w:t>
      </w:r>
      <w:r>
        <w:rPr>
          <w:spacing w:val="-4"/>
        </w:rPr>
        <w:t> </w:t>
      </w:r>
      <w:r>
        <w:rPr/>
        <w:t>intended</w:t>
      </w:r>
      <w:r>
        <w:rPr>
          <w:spacing w:val="-3"/>
        </w:rPr>
        <w:t> </w:t>
      </w:r>
      <w:r>
        <w:rPr/>
        <w:t>to</w:t>
      </w:r>
      <w:r>
        <w:rPr>
          <w:spacing w:val="-6"/>
        </w:rPr>
        <w:t> </w:t>
      </w:r>
      <w:r>
        <w:rPr/>
        <w:t>be</w:t>
      </w:r>
      <w:r>
        <w:rPr>
          <w:spacing w:val="-3"/>
        </w:rPr>
        <w:t> </w:t>
      </w:r>
      <w:r>
        <w:rPr/>
        <w:t>a</w:t>
      </w:r>
      <w:r>
        <w:rPr>
          <w:spacing w:val="-4"/>
        </w:rPr>
        <w:t> </w:t>
      </w:r>
      <w:r>
        <w:rPr/>
        <w:t>living</w:t>
      </w:r>
      <w:r>
        <w:rPr>
          <w:spacing w:val="-4"/>
        </w:rPr>
        <w:t> </w:t>
      </w:r>
      <w:r>
        <w:rPr/>
        <w:t>document,</w:t>
      </w:r>
      <w:r>
        <w:rPr>
          <w:spacing w:val="-4"/>
        </w:rPr>
        <w:t> </w:t>
      </w:r>
      <w:r>
        <w:rPr/>
        <w:t>regularly</w:t>
      </w:r>
      <w:r>
        <w:rPr>
          <w:spacing w:val="-5"/>
        </w:rPr>
        <w:t> </w:t>
      </w:r>
      <w:r>
        <w:rPr/>
        <w:t>monitored</w:t>
      </w:r>
      <w:r>
        <w:rPr>
          <w:spacing w:val="-3"/>
        </w:rPr>
        <w:t> </w:t>
      </w:r>
      <w:r>
        <w:rPr/>
        <w:t>and</w:t>
      </w:r>
      <w:r>
        <w:rPr>
          <w:spacing w:val="-3"/>
        </w:rPr>
        <w:t> </w:t>
      </w:r>
      <w:r>
        <w:rPr/>
        <w:t>updated</w:t>
      </w:r>
      <w:r>
        <w:rPr>
          <w:spacing w:val="-3"/>
        </w:rPr>
        <w:t> </w:t>
      </w:r>
      <w:r>
        <w:rPr/>
        <w:t>by</w:t>
      </w:r>
      <w:r>
        <w:rPr>
          <w:spacing w:val="-7"/>
        </w:rPr>
        <w:t> </w:t>
      </w:r>
      <w:r>
        <w:rPr/>
        <w:t>MaineDOT</w:t>
      </w:r>
      <w:r>
        <w:rPr>
          <w:spacing w:val="-3"/>
        </w:rPr>
        <w:t> </w:t>
      </w:r>
      <w:r>
        <w:rPr/>
        <w:t>to reflect the program as it changes and grows.</w:t>
      </w:r>
    </w:p>
    <w:p>
      <w:pPr>
        <w:pStyle w:val="BodyText"/>
        <w:spacing w:before="1"/>
      </w:pPr>
    </w:p>
    <w:p>
      <w:pPr>
        <w:pStyle w:val="BodyText"/>
        <w:ind w:left="120" w:right="115"/>
        <w:jc w:val="both"/>
      </w:pPr>
      <w:r>
        <w:rPr/>
        <w:t>Anyone who wishes to provide input into MaineDOT’s Title VI Program Implementation Plan is encouraged to contact the Director of the Civil Rights Office, Sherry Y. Tompkins, at (207) 624-3066 or </w:t>
      </w:r>
      <w:hyperlink r:id="rId8">
        <w:r>
          <w:rPr/>
          <w:t>sherry.tompkins@maine.gov,</w:t>
        </w:r>
      </w:hyperlink>
      <w:r>
        <w:rPr/>
        <w:t> or by writing the Civil Rights Office at MaineDOT Headquarters, 16 State House Station, Augusta, ME 04333-0016.</w:t>
      </w:r>
    </w:p>
    <w:p>
      <w:pPr>
        <w:pStyle w:val="BodyText"/>
        <w:spacing w:before="11"/>
        <w:rPr>
          <w:sz w:val="23"/>
        </w:rPr>
      </w:pPr>
    </w:p>
    <w:p>
      <w:pPr>
        <w:pStyle w:val="BodyText"/>
        <w:spacing w:before="1"/>
        <w:ind w:left="120" w:right="114"/>
        <w:jc w:val="both"/>
      </w:pPr>
      <w:r>
        <w:rPr/>
        <w:t>MaineDOT, in accordance with Federal Transit Administration (FTA) guidance, has developed and adopted</w:t>
      </w:r>
      <w:r>
        <w:rPr>
          <w:spacing w:val="-1"/>
        </w:rPr>
        <w:t> </w:t>
      </w:r>
      <w:r>
        <w:rPr/>
        <w:t>this plan to ensure that FTA funding received and distributed by MaineDOT is done so in an equitable and fair manner to provide transit opportunities throughout the State.</w:t>
      </w:r>
    </w:p>
    <w:p>
      <w:pPr>
        <w:pStyle w:val="BodyText"/>
        <w:spacing w:before="11"/>
        <w:rPr>
          <w:sz w:val="23"/>
        </w:rPr>
      </w:pPr>
    </w:p>
    <w:p>
      <w:pPr>
        <w:pStyle w:val="BodyText"/>
        <w:ind w:left="120" w:right="114"/>
        <w:jc w:val="both"/>
      </w:pPr>
      <w:r>
        <w:rPr/>
        <w:t>MaineDOT distributes funds throughout the State of Maine.</w:t>
      </w:r>
      <w:r>
        <w:rPr>
          <w:spacing w:val="40"/>
        </w:rPr>
        <w:t> </w:t>
      </w:r>
      <w:r>
        <w:rPr/>
        <w:t>It does not provide direct fixed route service to Maine citizens.</w:t>
      </w:r>
      <w:r>
        <w:rPr>
          <w:spacing w:val="40"/>
        </w:rPr>
        <w:t> </w:t>
      </w:r>
      <w:r>
        <w:rPr/>
        <w:t>Because of this, MaineDOT has followed the guidance in FTA C 4702.1B, Chapters III and V.</w:t>
      </w:r>
    </w:p>
    <w:p>
      <w:pPr>
        <w:spacing w:after="0"/>
        <w:jc w:val="both"/>
        <w:sectPr>
          <w:pgSz w:w="12240" w:h="15840"/>
          <w:pgMar w:header="0" w:footer="1063" w:top="920" w:bottom="1260" w:left="600" w:right="600"/>
        </w:sectPr>
      </w:pPr>
    </w:p>
    <w:p>
      <w:pPr>
        <w:pStyle w:val="Heading4"/>
        <w:spacing w:before="15"/>
        <w:ind w:left="1209" w:right="1209"/>
        <w:rPr>
          <w:rFonts w:ascii="Calibri"/>
        </w:rPr>
      </w:pPr>
      <w:r>
        <w:rPr>
          <w:rFonts w:ascii="Calibri"/>
          <w:spacing w:val="-2"/>
        </w:rPr>
        <w:t>NOTICE</w:t>
      </w:r>
    </w:p>
    <w:p>
      <w:pPr>
        <w:pStyle w:val="BodyText"/>
        <w:spacing w:before="11"/>
        <w:rPr>
          <w:b/>
          <w:sz w:val="23"/>
        </w:rPr>
      </w:pPr>
    </w:p>
    <w:p>
      <w:pPr>
        <w:pStyle w:val="Heading9"/>
        <w:spacing w:line="242" w:lineRule="auto"/>
        <w:ind w:right="116"/>
        <w:jc w:val="both"/>
      </w:pPr>
      <w:r>
        <w:rPr/>
        <w:t>If the information contained in this Title VI Nondiscrimination Plan is needed in another language, please contact the Maine Department of Transportation Title VI Specialist at 207-524-3056 or 207-624-3030.</w:t>
      </w:r>
    </w:p>
    <w:p>
      <w:pPr>
        <w:pStyle w:val="BodyText"/>
        <w:spacing w:before="8"/>
        <w:rPr>
          <w:b/>
          <w:sz w:val="23"/>
        </w:rPr>
      </w:pPr>
    </w:p>
    <w:p>
      <w:pPr>
        <w:pStyle w:val="BodyText"/>
        <w:ind w:left="120" w:right="116"/>
        <w:jc w:val="both"/>
      </w:pPr>
      <w:r>
        <w:rPr/>
        <w:t>Si la información contenida en este Plan de no discriminación del Título VI se necesita en otro idioma, comuníquese</w:t>
      </w:r>
      <w:r>
        <w:rPr>
          <w:spacing w:val="-11"/>
        </w:rPr>
        <w:t> </w:t>
      </w:r>
      <w:r>
        <w:rPr/>
        <w:t>con</w:t>
      </w:r>
      <w:r>
        <w:rPr>
          <w:spacing w:val="-8"/>
        </w:rPr>
        <w:t> </w:t>
      </w:r>
      <w:r>
        <w:rPr/>
        <w:t>el</w:t>
      </w:r>
      <w:r>
        <w:rPr>
          <w:spacing w:val="-9"/>
        </w:rPr>
        <w:t> </w:t>
      </w:r>
      <w:r>
        <w:rPr/>
        <w:t>especialista</w:t>
      </w:r>
      <w:r>
        <w:rPr>
          <w:spacing w:val="-9"/>
        </w:rPr>
        <w:t> </w:t>
      </w:r>
      <w:r>
        <w:rPr/>
        <w:t>del</w:t>
      </w:r>
      <w:r>
        <w:rPr>
          <w:spacing w:val="-11"/>
        </w:rPr>
        <w:t> </w:t>
      </w:r>
      <w:r>
        <w:rPr/>
        <w:t>Título</w:t>
      </w:r>
      <w:r>
        <w:rPr>
          <w:spacing w:val="-11"/>
        </w:rPr>
        <w:t> </w:t>
      </w:r>
      <w:r>
        <w:rPr/>
        <w:t>VI</w:t>
      </w:r>
      <w:r>
        <w:rPr>
          <w:spacing w:val="-9"/>
        </w:rPr>
        <w:t> </w:t>
      </w:r>
      <w:r>
        <w:rPr/>
        <w:t>del</w:t>
      </w:r>
      <w:r>
        <w:rPr>
          <w:spacing w:val="-9"/>
        </w:rPr>
        <w:t> </w:t>
      </w:r>
      <w:r>
        <w:rPr/>
        <w:t>Departamento</w:t>
      </w:r>
      <w:r>
        <w:rPr>
          <w:spacing w:val="-11"/>
        </w:rPr>
        <w:t> </w:t>
      </w:r>
      <w:r>
        <w:rPr/>
        <w:t>de</w:t>
      </w:r>
      <w:r>
        <w:rPr>
          <w:spacing w:val="-11"/>
        </w:rPr>
        <w:t> </w:t>
      </w:r>
      <w:r>
        <w:rPr/>
        <w:t>Transporte</w:t>
      </w:r>
      <w:r>
        <w:rPr>
          <w:spacing w:val="-11"/>
        </w:rPr>
        <w:t> </w:t>
      </w:r>
      <w:r>
        <w:rPr/>
        <w:t>de</w:t>
      </w:r>
      <w:r>
        <w:rPr>
          <w:spacing w:val="-11"/>
        </w:rPr>
        <w:t> </w:t>
      </w:r>
      <w:r>
        <w:rPr/>
        <w:t>Maine</w:t>
      </w:r>
      <w:r>
        <w:rPr>
          <w:spacing w:val="-11"/>
        </w:rPr>
        <w:t> </w:t>
      </w:r>
      <w:r>
        <w:rPr/>
        <w:t>al</w:t>
      </w:r>
      <w:r>
        <w:rPr>
          <w:spacing w:val="-9"/>
        </w:rPr>
        <w:t> </w:t>
      </w:r>
      <w:r>
        <w:rPr/>
        <w:t>207-624-3066</w:t>
      </w:r>
      <w:r>
        <w:rPr>
          <w:spacing w:val="-10"/>
        </w:rPr>
        <w:t> </w:t>
      </w:r>
      <w:r>
        <w:rPr/>
        <w:t>o</w:t>
      </w:r>
      <w:r>
        <w:rPr>
          <w:spacing w:val="-8"/>
        </w:rPr>
        <w:t> </w:t>
      </w:r>
      <w:r>
        <w:rPr/>
        <w:t>207- </w:t>
      </w:r>
      <w:r>
        <w:rPr>
          <w:spacing w:val="-2"/>
        </w:rPr>
        <w:t>624-3020.</w:t>
      </w:r>
    </w:p>
    <w:p>
      <w:pPr>
        <w:pStyle w:val="BodyText"/>
      </w:pPr>
    </w:p>
    <w:p>
      <w:pPr>
        <w:pStyle w:val="BodyText"/>
        <w:ind w:left="120" w:right="114"/>
        <w:jc w:val="both"/>
      </w:pPr>
      <w:r>
        <w:rPr/>
        <w:t>Si vous avez besoin des informations contenues dans ce Plan de non-discrimination en conformité aux dispositions de la règlementation «</w:t>
      </w:r>
      <w:r>
        <w:rPr>
          <w:spacing w:val="-2"/>
        </w:rPr>
        <w:t> </w:t>
      </w:r>
      <w:r>
        <w:rPr/>
        <w:t>Titre VI</w:t>
      </w:r>
      <w:r>
        <w:rPr>
          <w:spacing w:val="-2"/>
        </w:rPr>
        <w:t> </w:t>
      </w:r>
      <w:r>
        <w:rPr/>
        <w:t>» dans une langue différente, veuillez contacter le spécialiste du Titre VI du département des transports du Maine au numéro 207-624-3066 ou 207-624-3020.</w:t>
      </w:r>
    </w:p>
    <w:p>
      <w:pPr>
        <w:pStyle w:val="BodyText"/>
        <w:spacing w:before="7"/>
      </w:pPr>
    </w:p>
    <w:p>
      <w:pPr>
        <w:pStyle w:val="BodyText"/>
        <w:spacing w:line="225" w:lineRule="auto"/>
        <w:ind w:left="120" w:right="114"/>
        <w:jc w:val="both"/>
        <w:rPr>
          <w:rFonts w:ascii="MS Gothic" w:hAnsi="MS Gothic" w:eastAsia="MS Gothic"/>
        </w:rPr>
      </w:pPr>
      <w:r>
        <w:rPr>
          <w:rFonts w:ascii="MS Gothic" w:hAnsi="MS Gothic" w:eastAsia="MS Gothic"/>
        </w:rPr>
        <w:t>如有人需要此</w:t>
      </w:r>
      <w:r>
        <w:rPr/>
        <w:t>“</w:t>
      </w:r>
      <w:r>
        <w:rPr>
          <w:rFonts w:ascii="MS Gothic" w:hAnsi="MS Gothic" w:eastAsia="MS Gothic"/>
        </w:rPr>
        <w:t>第六章不歧</w:t>
      </w:r>
      <w:r>
        <w:rPr>
          <w:rFonts w:ascii="Microsoft JhengHei" w:hAnsi="Microsoft JhengHei" w:eastAsia="Microsoft JhengHei"/>
        </w:rPr>
        <w:t>视计划</w:t>
      </w:r>
      <w:r>
        <w:rPr/>
        <w:t>”(Title</w:t>
      </w:r>
      <w:r>
        <w:rPr>
          <w:spacing w:val="-14"/>
        </w:rPr>
        <w:t> </w:t>
      </w:r>
      <w:r>
        <w:rPr/>
        <w:t>VI</w:t>
      </w:r>
      <w:r>
        <w:rPr>
          <w:spacing w:val="-14"/>
        </w:rPr>
        <w:t> </w:t>
      </w:r>
      <w:r>
        <w:rPr/>
        <w:t>Nondiscrimination</w:t>
      </w:r>
      <w:r>
        <w:rPr>
          <w:spacing w:val="-13"/>
        </w:rPr>
        <w:t> </w:t>
      </w:r>
      <w:r>
        <w:rPr/>
        <w:t>Plan</w:t>
      </w:r>
      <w:r>
        <w:rPr>
          <w:spacing w:val="-7"/>
        </w:rPr>
        <w:t>) </w:t>
      </w:r>
      <w:r>
        <w:rPr>
          <w:rFonts w:ascii="MS Gothic" w:hAnsi="MS Gothic" w:eastAsia="MS Gothic"/>
        </w:rPr>
        <w:t>的另一种</w:t>
      </w:r>
      <w:r>
        <w:rPr>
          <w:rFonts w:ascii="Microsoft JhengHei" w:hAnsi="Microsoft JhengHei" w:eastAsia="Microsoft JhengHei"/>
          <w:spacing w:val="-2"/>
        </w:rPr>
        <w:t>语言的版本，请拨打电话 </w:t>
      </w:r>
      <w:r>
        <w:rPr/>
        <w:t>207- 624-3056 </w:t>
      </w:r>
      <w:r>
        <w:rPr>
          <w:rFonts w:ascii="MS Gothic" w:hAnsi="MS Gothic" w:eastAsia="MS Gothic"/>
          <w:spacing w:val="-7"/>
        </w:rPr>
        <w:t>或 </w:t>
      </w:r>
      <w:r>
        <w:rPr/>
        <w:t>207-624-3020 </w:t>
      </w:r>
      <w:r>
        <w:rPr>
          <w:rFonts w:ascii="Microsoft JhengHei" w:hAnsi="Microsoft JhengHei" w:eastAsia="Microsoft JhengHei"/>
        </w:rPr>
        <w:t>联系缅因州交通部的第六章专员</w:t>
      </w:r>
      <w:r>
        <w:rPr>
          <w:rFonts w:ascii="MS Gothic" w:hAnsi="MS Gothic" w:eastAsia="MS Gothic"/>
        </w:rPr>
        <w:t>。</w:t>
      </w:r>
    </w:p>
    <w:p>
      <w:pPr>
        <w:pStyle w:val="BodyText"/>
        <w:spacing w:before="286"/>
        <w:ind w:left="120" w:right="115"/>
        <w:jc w:val="both"/>
      </w:pPr>
      <w:r>
        <w:rPr/>
        <w:t>Haddii macluumaadka ku jira Qodobkan VI ee Qorshaha Kala-takoor La'aanta loogu baahan yahay luqad kale, fadlan</w:t>
      </w:r>
      <w:r>
        <w:rPr>
          <w:spacing w:val="-1"/>
        </w:rPr>
        <w:t> </w:t>
      </w:r>
      <w:r>
        <w:rPr/>
        <w:t>kala</w:t>
      </w:r>
      <w:r>
        <w:rPr>
          <w:spacing w:val="-5"/>
        </w:rPr>
        <w:t> </w:t>
      </w:r>
      <w:r>
        <w:rPr/>
        <w:t>xidhiidh</w:t>
      </w:r>
      <w:r>
        <w:rPr>
          <w:spacing w:val="-4"/>
        </w:rPr>
        <w:t> </w:t>
      </w:r>
      <w:r>
        <w:rPr/>
        <w:t>Khabiirka</w:t>
      </w:r>
      <w:r>
        <w:rPr>
          <w:spacing w:val="-3"/>
        </w:rPr>
        <w:t> </w:t>
      </w:r>
      <w:r>
        <w:rPr/>
        <w:t>Qodobka</w:t>
      </w:r>
      <w:r>
        <w:rPr>
          <w:spacing w:val="-3"/>
        </w:rPr>
        <w:t> </w:t>
      </w:r>
      <w:r>
        <w:rPr/>
        <w:t>VI</w:t>
      </w:r>
      <w:r>
        <w:rPr>
          <w:spacing w:val="-6"/>
        </w:rPr>
        <w:t> </w:t>
      </w:r>
      <w:r>
        <w:rPr/>
        <w:t>ee</w:t>
      </w:r>
      <w:r>
        <w:rPr>
          <w:spacing w:val="-4"/>
        </w:rPr>
        <w:t> </w:t>
      </w:r>
      <w:r>
        <w:rPr/>
        <w:t>Waaxda</w:t>
      </w:r>
      <w:r>
        <w:rPr>
          <w:spacing w:val="-2"/>
        </w:rPr>
        <w:t> </w:t>
      </w:r>
      <w:r>
        <w:rPr/>
        <w:t>Gaadiidka</w:t>
      </w:r>
      <w:r>
        <w:rPr>
          <w:spacing w:val="-5"/>
        </w:rPr>
        <w:t> </w:t>
      </w:r>
      <w:r>
        <w:rPr/>
        <w:t>Maine</w:t>
      </w:r>
      <w:r>
        <w:rPr>
          <w:spacing w:val="-4"/>
        </w:rPr>
        <w:t> </w:t>
      </w:r>
      <w:r>
        <w:rPr/>
        <w:t>telefoonka</w:t>
      </w:r>
      <w:r>
        <w:rPr>
          <w:spacing w:val="-3"/>
        </w:rPr>
        <w:t> </w:t>
      </w:r>
      <w:r>
        <w:rPr/>
        <w:t>207-624-3056</w:t>
      </w:r>
      <w:r>
        <w:rPr>
          <w:spacing w:val="-4"/>
        </w:rPr>
        <w:t> </w:t>
      </w:r>
      <w:r>
        <w:rPr/>
        <w:t>ama</w:t>
      </w:r>
      <w:r>
        <w:rPr>
          <w:spacing w:val="-2"/>
        </w:rPr>
        <w:t> </w:t>
      </w:r>
      <w:r>
        <w:rPr/>
        <w:t>207-624- </w:t>
      </w:r>
      <w:r>
        <w:rPr>
          <w:spacing w:val="-2"/>
        </w:rPr>
        <w:t>3020.</w:t>
      </w:r>
    </w:p>
    <w:p>
      <w:pPr>
        <w:pStyle w:val="BodyText"/>
        <w:spacing w:before="10"/>
        <w:rPr>
          <w:sz w:val="9"/>
        </w:rPr>
      </w:pPr>
    </w:p>
    <w:p>
      <w:pPr>
        <w:pStyle w:val="BodyText"/>
        <w:bidi/>
        <w:spacing w:line="445" w:lineRule="exact" w:before="51"/>
        <w:ind w:right="175" w:left="0" w:firstLine="0"/>
        <w:jc w:val="right"/>
      </w:pPr>
      <w:r>
        <w:rPr>
          <w:spacing w:val="-6"/>
          <w:position w:val="2"/>
          <w:rtl/>
        </w:rPr>
        <w:t>ﻟﻌﺪم</w:t>
      </w:r>
      <w:r>
        <w:rPr>
          <w:spacing w:val="2"/>
          <w:position w:val="2"/>
          <w:rtl/>
        </w:rPr>
        <w:t> </w:t>
      </w:r>
      <w:r>
        <w:rPr>
          <w:spacing w:val="-6"/>
          <w:position w:val="2"/>
          <w:rtl/>
        </w:rPr>
        <w:t>اﻟﺘﻤﻴ</w:t>
      </w:r>
      <w:r>
        <w:rPr>
          <w:spacing w:val="-23"/>
          <w:rtl/>
        </w:rPr>
        <w:t> </w:t>
      </w:r>
      <w:r>
        <w:rPr>
          <w:spacing w:val="-161"/>
          <w:rtl/>
        </w:rPr>
        <w:t>ي</w:t>
      </w:r>
      <w:r>
        <w:rPr>
          <w:spacing w:val="10"/>
          <w:position w:val="10"/>
          <w:rtl/>
        </w:rPr>
        <w:t> </w:t>
      </w:r>
      <w:r>
        <w:rPr>
          <w:spacing w:val="-150"/>
          <w:position w:val="10"/>
          <w:rtl/>
        </w:rPr>
        <w:t>ف</w:t>
      </w:r>
      <w:r>
        <w:rPr>
          <w:spacing w:val="-150"/>
          <w:position w:val="2"/>
        </w:rPr>
        <w:t>�</w:t>
      </w:r>
      <w:r>
        <w:rPr>
          <w:spacing w:val="-17"/>
          <w:position w:val="2"/>
          <w:rtl/>
        </w:rPr>
        <w:t> </w:t>
      </w:r>
      <w:r>
        <w:rPr>
          <w:spacing w:val="-6"/>
          <w:position w:val="2"/>
          <w:rtl/>
        </w:rPr>
        <w:t>ﻣﻄﻠ</w:t>
      </w:r>
      <w:r>
        <w:rPr>
          <w:spacing w:val="-6"/>
          <w:position w:val="2"/>
        </w:rPr>
        <w:t>��</w:t>
      </w:r>
      <w:r>
        <w:rPr>
          <w:spacing w:val="-6"/>
          <w:position w:val="2"/>
          <w:rtl/>
        </w:rPr>
        <w:t>ﺔ</w:t>
      </w:r>
      <w:r>
        <w:rPr>
          <w:position w:val="2"/>
          <w:rtl/>
        </w:rPr>
        <w:t> </w:t>
      </w:r>
      <w:r>
        <w:rPr>
          <w:spacing w:val="-6"/>
          <w:position w:val="2"/>
          <w:rtl/>
        </w:rPr>
        <w:t>بﻠﻐﺔ</w:t>
      </w:r>
      <w:r>
        <w:rPr>
          <w:spacing w:val="1"/>
          <w:position w:val="2"/>
          <w:rtl/>
        </w:rPr>
        <w:t> </w:t>
      </w:r>
      <w:r>
        <w:rPr>
          <w:spacing w:val="-6"/>
          <w:position w:val="2"/>
          <w:rtl/>
        </w:rPr>
        <w:t>أﺧﺮى،</w:t>
      </w:r>
      <w:r>
        <w:rPr>
          <w:position w:val="2"/>
          <w:rtl/>
        </w:rPr>
        <w:t> </w:t>
      </w:r>
      <w:r>
        <w:rPr>
          <w:spacing w:val="-6"/>
          <w:position w:val="2"/>
          <w:rtl/>
        </w:rPr>
        <w:t>ﻓ</w:t>
      </w:r>
      <w:r>
        <w:rPr>
          <w:spacing w:val="-23"/>
          <w:rtl/>
        </w:rPr>
        <w:t> </w:t>
      </w:r>
      <w:r>
        <w:rPr>
          <w:spacing w:val="-88"/>
          <w:rtl/>
        </w:rPr>
        <w:t>ي</w:t>
      </w:r>
      <w:r>
        <w:rPr>
          <w:spacing w:val="-88"/>
          <w:position w:val="2"/>
        </w:rPr>
        <w:t>���</w:t>
      </w:r>
      <w:r>
        <w:rPr>
          <w:spacing w:val="1"/>
          <w:position w:val="2"/>
          <w:rtl/>
        </w:rPr>
        <w:t> </w:t>
      </w:r>
      <w:r>
        <w:rPr>
          <w:spacing w:val="-6"/>
          <w:position w:val="2"/>
          <w:rtl/>
        </w:rPr>
        <w:t>اﻻﺗﺼﺎل</w:t>
      </w:r>
      <w:r>
        <w:rPr>
          <w:spacing w:val="1"/>
          <w:position w:val="2"/>
          <w:rtl/>
        </w:rPr>
        <w:t> </w:t>
      </w:r>
      <w:r>
        <w:rPr>
          <w:spacing w:val="-6"/>
          <w:position w:val="2"/>
          <w:rtl/>
        </w:rPr>
        <w:t>بﺄﺧﺼﺎ</w:t>
      </w:r>
      <w:r>
        <w:rPr>
          <w:spacing w:val="-3"/>
          <w:position w:val="13"/>
          <w:rtl/>
        </w:rPr>
        <w:t> </w:t>
      </w:r>
      <w:r>
        <w:rPr>
          <w:spacing w:val="-161"/>
          <w:position w:val="13"/>
          <w:rtl/>
        </w:rPr>
        <w:t>ئ</w:t>
      </w:r>
      <w:r>
        <w:rPr>
          <w:spacing w:val="-25"/>
          <w:position w:val="-4"/>
          <w:rtl/>
        </w:rPr>
        <w:t> </w:t>
      </w:r>
      <w:r>
        <w:rPr>
          <w:spacing w:val="-120"/>
          <w:position w:val="-4"/>
          <w:rtl/>
        </w:rPr>
        <w:t>ي</w:t>
      </w:r>
      <w:r>
        <w:rPr>
          <w:spacing w:val="-120"/>
          <w:position w:val="2"/>
          <w:rtl/>
        </w:rPr>
        <w:t>ئ</w:t>
      </w:r>
      <w:r>
        <w:rPr>
          <w:spacing w:val="1"/>
          <w:position w:val="2"/>
          <w:rtl/>
        </w:rPr>
        <w:t> </w:t>
      </w:r>
      <w:r>
        <w:rPr>
          <w:spacing w:val="-6"/>
          <w:position w:val="2"/>
          <w:rtl/>
        </w:rPr>
        <w:t>اﻟبﺎب</w:t>
      </w:r>
      <w:r>
        <w:rPr>
          <w:position w:val="2"/>
          <w:rtl/>
        </w:rPr>
        <w:t> </w:t>
      </w:r>
      <w:r>
        <w:rPr>
          <w:spacing w:val="-6"/>
          <w:position w:val="2"/>
        </w:rPr>
        <w:t>VI</w:t>
      </w:r>
      <w:r>
        <w:rPr>
          <w:position w:val="2"/>
          <w:rtl/>
        </w:rPr>
        <w:t> </w:t>
      </w:r>
      <w:r>
        <w:rPr>
          <w:spacing w:val="-6"/>
          <w:position w:val="2"/>
        </w:rPr>
        <w:t>Title</w:t>
      </w:r>
      <w:r>
        <w:rPr>
          <w:spacing w:val="-6"/>
          <w:position w:val="2"/>
          <w:rtl/>
        </w:rPr>
        <w:t>إذا</w:t>
      </w:r>
      <w:r>
        <w:rPr>
          <w:spacing w:val="-29"/>
          <w:position w:val="2"/>
          <w:rtl/>
        </w:rPr>
        <w:t> </w:t>
      </w:r>
      <w:r>
        <w:rPr>
          <w:spacing w:val="-6"/>
          <w:position w:val="2"/>
          <w:rtl/>
        </w:rPr>
        <w:t>كﺎﻧﺖ</w:t>
      </w:r>
      <w:r>
        <w:rPr>
          <w:spacing w:val="1"/>
          <w:position w:val="2"/>
          <w:rtl/>
        </w:rPr>
        <w:t> </w:t>
      </w:r>
      <w:r>
        <w:rPr>
          <w:spacing w:val="-6"/>
          <w:position w:val="2"/>
          <w:rtl/>
        </w:rPr>
        <w:t>اﻟﻤﻌﻠﻮﻣﺎت</w:t>
      </w:r>
      <w:r>
        <w:rPr>
          <w:spacing w:val="3"/>
          <w:position w:val="2"/>
          <w:rtl/>
        </w:rPr>
        <w:t> </w:t>
      </w:r>
      <w:r>
        <w:rPr>
          <w:spacing w:val="-6"/>
          <w:position w:val="2"/>
          <w:rtl/>
        </w:rPr>
        <w:t>اﻟﻮاردة</w:t>
      </w:r>
      <w:r>
        <w:rPr>
          <w:spacing w:val="56"/>
          <w:position w:val="14"/>
          <w:rtl/>
        </w:rPr>
        <w:t> </w:t>
      </w:r>
      <w:r>
        <w:rPr>
          <w:spacing w:val="-204"/>
          <w:position w:val="14"/>
          <w:rtl/>
        </w:rPr>
        <w:t>ف</w:t>
      </w:r>
      <w:r>
        <w:rPr>
          <w:spacing w:val="-31"/>
          <w:position w:val="-4"/>
          <w:rtl/>
        </w:rPr>
        <w:t> </w:t>
      </w:r>
      <w:r>
        <w:rPr>
          <w:spacing w:val="-120"/>
          <w:position w:val="-4"/>
          <w:rtl/>
        </w:rPr>
        <w:t>ي</w:t>
      </w:r>
      <w:r>
        <w:rPr>
          <w:spacing w:val="-120"/>
          <w:position w:val="2"/>
        </w:rPr>
        <w:t>�</w:t>
      </w:r>
      <w:r>
        <w:rPr>
          <w:spacing w:val="1"/>
          <w:position w:val="2"/>
          <w:rtl/>
        </w:rPr>
        <w:t> </w:t>
      </w:r>
      <w:r>
        <w:rPr>
          <w:spacing w:val="-6"/>
          <w:position w:val="2"/>
          <w:rtl/>
        </w:rPr>
        <w:t>ﺧﻄﺔ</w:t>
      </w:r>
      <w:r>
        <w:rPr>
          <w:spacing w:val="1"/>
          <w:position w:val="2"/>
          <w:rtl/>
        </w:rPr>
        <w:t> </w:t>
      </w:r>
      <w:r>
        <w:rPr>
          <w:spacing w:val="-6"/>
          <w:position w:val="2"/>
          <w:rtl/>
        </w:rPr>
        <w:t>اﻟبﺎب</w:t>
      </w:r>
      <w:r>
        <w:rPr>
          <w:spacing w:val="1"/>
          <w:position w:val="2"/>
          <w:rtl/>
        </w:rPr>
        <w:t> </w:t>
      </w:r>
      <w:r>
        <w:rPr>
          <w:spacing w:val="-6"/>
          <w:position w:val="2"/>
          <w:rtl/>
        </w:rPr>
        <w:t>اﻟﺴﺎد</w:t>
      </w:r>
      <w:r>
        <w:rPr>
          <w:spacing w:val="-6"/>
          <w:position w:val="2"/>
          <w:rtl/>
        </w:rPr>
        <w:t>س</w:t>
      </w:r>
    </w:p>
    <w:p>
      <w:pPr>
        <w:pStyle w:val="BodyText"/>
        <w:bidi/>
        <w:spacing w:line="264" w:lineRule="exact"/>
        <w:ind w:right="1099" w:left="0" w:firstLine="0"/>
        <w:jc w:val="right"/>
      </w:pPr>
      <w:r>
        <w:rPr>
          <w:spacing w:val="-2"/>
          <w:rtl/>
        </w:rPr>
        <w:t>ﺑﻮزارة</w:t>
      </w:r>
      <w:r>
        <w:rPr>
          <w:spacing w:val="-10"/>
          <w:rtl/>
        </w:rPr>
        <w:t> </w:t>
      </w:r>
      <w:r>
        <w:rPr>
          <w:rtl/>
        </w:rPr>
        <w:t>اﻟﻨﻘﻞ</w:t>
      </w:r>
      <w:r>
        <w:rPr>
          <w:spacing w:val="-9"/>
          <w:rtl/>
        </w:rPr>
        <w:t> </w:t>
      </w:r>
      <w:r>
        <w:rPr>
          <w:rtl/>
        </w:rPr>
        <w:t>ﺑﻮﻻ</w:t>
      </w:r>
      <w:r>
        <w:rPr/>
        <w:t>�</w:t>
      </w:r>
      <w:r>
        <w:rPr>
          <w:rtl/>
        </w:rPr>
        <w:t>ﺔ</w:t>
      </w:r>
      <w:r>
        <w:rPr>
          <w:spacing w:val="-9"/>
          <w:rtl/>
        </w:rPr>
        <w:t> </w:t>
      </w:r>
      <w:r>
        <w:rPr>
          <w:rtl/>
        </w:rPr>
        <w:t>ﻣﺎﻳﻦ</w:t>
      </w:r>
      <w:r>
        <w:rPr>
          <w:spacing w:val="-10"/>
          <w:rtl/>
        </w:rPr>
        <w:t> </w:t>
      </w:r>
      <w:r>
        <w:rPr>
          <w:rtl/>
        </w:rPr>
        <w:t>ﻋ</w:t>
      </w:r>
      <w:r>
        <w:rPr/>
        <w:t>�</w:t>
      </w:r>
      <w:r>
        <w:rPr>
          <w:spacing w:val="-11"/>
          <w:rtl/>
        </w:rPr>
        <w:t> </w:t>
      </w:r>
      <w:r>
        <w:rPr>
          <w:rtl/>
        </w:rPr>
        <w:t>اﻟﻬﺎﺗﻒ</w:t>
      </w:r>
      <w:r>
        <w:rPr>
          <w:spacing w:val="-9"/>
          <w:rtl/>
        </w:rPr>
        <w:t> </w:t>
      </w:r>
      <w:r>
        <w:rPr>
          <w:rtl/>
        </w:rPr>
        <w:t>رﻗﻢ</w:t>
      </w:r>
      <w:r>
        <w:rPr>
          <w:spacing w:val="-12"/>
          <w:rtl/>
        </w:rPr>
        <w:t> </w:t>
      </w:r>
      <w:r>
        <w:rPr/>
        <w:t>207-624-3056</w:t>
      </w:r>
      <w:r>
        <w:rPr>
          <w:spacing w:val="-14"/>
          <w:rtl/>
        </w:rPr>
        <w:t> </w:t>
      </w:r>
      <w:r>
        <w:rPr>
          <w:rtl/>
        </w:rPr>
        <w:t>أو</w:t>
      </w:r>
      <w:r>
        <w:rPr>
          <w:spacing w:val="-16"/>
          <w:rtl/>
        </w:rPr>
        <w:t> </w:t>
      </w:r>
      <w:r>
        <w:rPr/>
        <w:t>VI</w:t>
      </w:r>
      <w:r>
        <w:rPr>
          <w:position w:val="2"/>
        </w:rPr>
        <w:t>.</w:t>
      </w:r>
      <w:r>
        <w:rPr/>
        <w:t>207-624-3020</w:t>
      </w:r>
      <w:r>
        <w:rPr>
          <w:spacing w:val="-14"/>
          <w:rtl/>
        </w:rPr>
        <w:t> </w:t>
      </w:r>
      <w:r>
        <w:rPr/>
        <w:t>Title</w:t>
      </w:r>
      <w:r>
        <w:rPr>
          <w:rtl/>
        </w:rPr>
        <w:t>اﻟﺴﺎد</w:t>
      </w:r>
      <w:r>
        <w:rPr>
          <w:rtl/>
        </w:rPr>
        <w:t>س</w:t>
      </w:r>
    </w:p>
    <w:p>
      <w:pPr>
        <w:spacing w:after="0" w:line="264" w:lineRule="exact"/>
        <w:jc w:val="right"/>
        <w:sectPr>
          <w:pgSz w:w="12240" w:h="15840"/>
          <w:pgMar w:header="0" w:footer="1063" w:top="980" w:bottom="1260" w:left="600" w:right="600"/>
        </w:sectPr>
      </w:pPr>
    </w:p>
    <w:p>
      <w:pPr>
        <w:pStyle w:val="Heading8"/>
        <w:spacing w:before="35"/>
        <w:ind w:right="1209"/>
        <w:rPr>
          <w:u w:val="none"/>
        </w:rPr>
      </w:pPr>
      <w:bookmarkStart w:name="Title VI Plan Overview" w:id="3"/>
      <w:bookmarkEnd w:id="3"/>
      <w:r>
        <w:rPr>
          <w:b w:val="0"/>
          <w:u w:val="none"/>
        </w:rPr>
      </w:r>
      <w:bookmarkStart w:name="_bookmark1" w:id="4"/>
      <w:bookmarkEnd w:id="4"/>
      <w:r>
        <w:rPr>
          <w:b w:val="0"/>
          <w:u w:val="none"/>
        </w:rPr>
      </w:r>
      <w:r>
        <w:rPr>
          <w:u w:val="single"/>
        </w:rPr>
        <w:t>TITLE</w:t>
      </w:r>
      <w:r>
        <w:rPr>
          <w:spacing w:val="-2"/>
          <w:u w:val="single"/>
        </w:rPr>
        <w:t> </w:t>
      </w:r>
      <w:r>
        <w:rPr>
          <w:u w:val="single"/>
        </w:rPr>
        <w:t>VI PLAN</w:t>
      </w:r>
      <w:r>
        <w:rPr>
          <w:spacing w:val="-2"/>
          <w:u w:val="single"/>
        </w:rPr>
        <w:t> OVERVIEW</w:t>
      </w:r>
    </w:p>
    <w:p>
      <w:pPr>
        <w:pStyle w:val="BodyText"/>
        <w:spacing w:before="9"/>
        <w:rPr>
          <w:b/>
          <w:sz w:val="18"/>
        </w:rPr>
      </w:pPr>
    </w:p>
    <w:p>
      <w:pPr>
        <w:pStyle w:val="Heading9"/>
        <w:spacing w:before="52"/>
      </w:pPr>
      <w:r>
        <w:rPr>
          <w:spacing w:val="-2"/>
          <w:u w:val="single"/>
        </w:rPr>
        <w:t>Assurances</w:t>
      </w:r>
    </w:p>
    <w:p>
      <w:pPr>
        <w:pStyle w:val="BodyText"/>
        <w:spacing w:before="7"/>
        <w:rPr>
          <w:b/>
          <w:sz w:val="18"/>
        </w:rPr>
      </w:pPr>
    </w:p>
    <w:p>
      <w:pPr>
        <w:pStyle w:val="BodyText"/>
        <w:spacing w:line="242" w:lineRule="auto" w:before="52"/>
        <w:ind w:left="120"/>
      </w:pPr>
      <w:r>
        <w:rPr/>
        <w:t>MaineDOT assures its compliance with Title VI and commits to nondiscrimination through both practice and</w:t>
      </w:r>
      <w:r>
        <w:rPr>
          <w:spacing w:val="80"/>
        </w:rPr>
        <w:t> </w:t>
      </w:r>
      <w:r>
        <w:rPr/>
        <w:t>policy.</w:t>
      </w:r>
      <w:r>
        <w:rPr>
          <w:spacing w:val="65"/>
        </w:rPr>
        <w:t> </w:t>
      </w:r>
      <w:r>
        <w:rPr/>
        <w:t>It</w:t>
      </w:r>
      <w:r>
        <w:rPr>
          <w:spacing w:val="8"/>
        </w:rPr>
        <w:t> </w:t>
      </w:r>
      <w:r>
        <w:rPr/>
        <w:t>has</w:t>
      </w:r>
      <w:r>
        <w:rPr>
          <w:spacing w:val="6"/>
        </w:rPr>
        <w:t> </w:t>
      </w:r>
      <w:r>
        <w:rPr/>
        <w:t>created</w:t>
      </w:r>
      <w:r>
        <w:rPr>
          <w:spacing w:val="9"/>
        </w:rPr>
        <w:t> </w:t>
      </w:r>
      <w:r>
        <w:rPr/>
        <w:t>a</w:t>
      </w:r>
      <w:r>
        <w:rPr>
          <w:spacing w:val="4"/>
        </w:rPr>
        <w:t> </w:t>
      </w:r>
      <w:r>
        <w:rPr/>
        <w:t>Title</w:t>
      </w:r>
      <w:r>
        <w:rPr>
          <w:spacing w:val="7"/>
        </w:rPr>
        <w:t> </w:t>
      </w:r>
      <w:r>
        <w:rPr/>
        <w:t>VI</w:t>
      </w:r>
      <w:r>
        <w:rPr>
          <w:spacing w:val="6"/>
        </w:rPr>
        <w:t> </w:t>
      </w:r>
      <w:r>
        <w:rPr/>
        <w:t>Policy</w:t>
      </w:r>
      <w:r>
        <w:rPr>
          <w:spacing w:val="7"/>
        </w:rPr>
        <w:t> </w:t>
      </w:r>
      <w:r>
        <w:rPr/>
        <w:t>and</w:t>
      </w:r>
      <w:r>
        <w:rPr>
          <w:spacing w:val="8"/>
        </w:rPr>
        <w:t> </w:t>
      </w:r>
      <w:r>
        <w:rPr/>
        <w:t>commits</w:t>
      </w:r>
      <w:r>
        <w:rPr>
          <w:spacing w:val="6"/>
        </w:rPr>
        <w:t> </w:t>
      </w:r>
      <w:r>
        <w:rPr/>
        <w:t>to</w:t>
      </w:r>
      <w:r>
        <w:rPr>
          <w:spacing w:val="7"/>
        </w:rPr>
        <w:t> </w:t>
      </w:r>
      <w:r>
        <w:rPr/>
        <w:t>all</w:t>
      </w:r>
      <w:r>
        <w:rPr>
          <w:spacing w:val="5"/>
        </w:rPr>
        <w:t> </w:t>
      </w:r>
      <w:r>
        <w:rPr/>
        <w:t>federally</w:t>
      </w:r>
      <w:r>
        <w:rPr>
          <w:spacing w:val="6"/>
        </w:rPr>
        <w:t> </w:t>
      </w:r>
      <w:r>
        <w:rPr/>
        <w:t>required</w:t>
      </w:r>
      <w:r>
        <w:rPr>
          <w:spacing w:val="8"/>
        </w:rPr>
        <w:t> </w:t>
      </w:r>
      <w:r>
        <w:rPr/>
        <w:t>assurances</w:t>
      </w:r>
      <w:r>
        <w:rPr>
          <w:spacing w:val="6"/>
        </w:rPr>
        <w:t> </w:t>
      </w:r>
      <w:r>
        <w:rPr/>
        <w:t>as</w:t>
      </w:r>
      <w:r>
        <w:rPr>
          <w:spacing w:val="7"/>
        </w:rPr>
        <w:t> </w:t>
      </w:r>
      <w:r>
        <w:rPr/>
        <w:t>they</w:t>
      </w:r>
      <w:r>
        <w:rPr>
          <w:spacing w:val="6"/>
        </w:rPr>
        <w:t> </w:t>
      </w:r>
      <w:r>
        <w:rPr/>
        <w:t>pertain</w:t>
      </w:r>
      <w:r>
        <w:rPr>
          <w:spacing w:val="5"/>
        </w:rPr>
        <w:t> </w:t>
      </w:r>
      <w:r>
        <w:rPr/>
        <w:t>to</w:t>
      </w:r>
      <w:r>
        <w:rPr>
          <w:spacing w:val="8"/>
        </w:rPr>
        <w:t> </w:t>
      </w:r>
      <w:r>
        <w:rPr>
          <w:spacing w:val="-2"/>
        </w:rPr>
        <w:t>Title</w:t>
      </w:r>
    </w:p>
    <w:p>
      <w:pPr>
        <w:pStyle w:val="BodyText"/>
        <w:ind w:left="120"/>
      </w:pPr>
      <w:r>
        <w:rPr/>
        <w:t>VI.</w:t>
      </w:r>
      <w:r>
        <w:rPr>
          <w:spacing w:val="40"/>
        </w:rPr>
        <w:t> </w:t>
      </w:r>
      <w:r>
        <w:rPr/>
        <w:t>Copies</w:t>
      </w:r>
      <w:r>
        <w:rPr>
          <w:spacing w:val="-7"/>
        </w:rPr>
        <w:t> </w:t>
      </w:r>
      <w:r>
        <w:rPr/>
        <w:t>of</w:t>
      </w:r>
      <w:r>
        <w:rPr>
          <w:spacing w:val="-8"/>
        </w:rPr>
        <w:t> </w:t>
      </w:r>
      <w:r>
        <w:rPr/>
        <w:t>the</w:t>
      </w:r>
      <w:r>
        <w:rPr>
          <w:spacing w:val="-8"/>
        </w:rPr>
        <w:t> </w:t>
      </w:r>
      <w:r>
        <w:rPr/>
        <w:t>MaineDOT</w:t>
      </w:r>
      <w:r>
        <w:rPr>
          <w:spacing w:val="-6"/>
        </w:rPr>
        <w:t> </w:t>
      </w:r>
      <w:r>
        <w:rPr/>
        <w:t>Policy</w:t>
      </w:r>
      <w:r>
        <w:rPr>
          <w:spacing w:val="-7"/>
        </w:rPr>
        <w:t> </w:t>
      </w:r>
      <w:r>
        <w:rPr/>
        <w:t>and</w:t>
      </w:r>
      <w:r>
        <w:rPr>
          <w:spacing w:val="-5"/>
        </w:rPr>
        <w:t> </w:t>
      </w:r>
      <w:r>
        <w:rPr/>
        <w:t>signed</w:t>
      </w:r>
      <w:r>
        <w:rPr>
          <w:spacing w:val="-5"/>
        </w:rPr>
        <w:t> </w:t>
      </w:r>
      <w:r>
        <w:rPr/>
        <w:t>assurances</w:t>
      </w:r>
      <w:r>
        <w:rPr>
          <w:spacing w:val="-7"/>
        </w:rPr>
        <w:t> </w:t>
      </w:r>
      <w:r>
        <w:rPr/>
        <w:t>can</w:t>
      </w:r>
      <w:r>
        <w:rPr>
          <w:spacing w:val="-5"/>
        </w:rPr>
        <w:t> </w:t>
      </w:r>
      <w:r>
        <w:rPr/>
        <w:t>be</w:t>
      </w:r>
      <w:r>
        <w:rPr>
          <w:spacing w:val="-8"/>
        </w:rPr>
        <w:t> </w:t>
      </w:r>
      <w:r>
        <w:rPr/>
        <w:t>found</w:t>
      </w:r>
      <w:r>
        <w:rPr>
          <w:spacing w:val="-5"/>
        </w:rPr>
        <w:t> </w:t>
      </w:r>
      <w:r>
        <w:rPr/>
        <w:t>on</w:t>
      </w:r>
      <w:r>
        <w:rPr>
          <w:spacing w:val="-8"/>
        </w:rPr>
        <w:t> </w:t>
      </w:r>
      <w:r>
        <w:rPr/>
        <w:t>our</w:t>
      </w:r>
      <w:r>
        <w:rPr>
          <w:spacing w:val="-8"/>
        </w:rPr>
        <w:t> </w:t>
      </w:r>
      <w:r>
        <w:rPr/>
        <w:t>website</w:t>
      </w:r>
      <w:r>
        <w:rPr>
          <w:spacing w:val="-6"/>
        </w:rPr>
        <w:t> </w:t>
      </w:r>
      <w:r>
        <w:rPr/>
        <w:t>and</w:t>
      </w:r>
      <w:r>
        <w:rPr>
          <w:spacing w:val="-8"/>
        </w:rPr>
        <w:t> </w:t>
      </w:r>
      <w:r>
        <w:rPr/>
        <w:t>in</w:t>
      </w:r>
      <w:r>
        <w:rPr>
          <w:spacing w:val="-8"/>
        </w:rPr>
        <w:t> </w:t>
      </w:r>
      <w:r>
        <w:rPr>
          <w:b/>
        </w:rPr>
        <w:t>Appendix</w:t>
      </w:r>
      <w:r>
        <w:rPr>
          <w:b/>
          <w:spacing w:val="-9"/>
        </w:rPr>
        <w:t> </w:t>
      </w:r>
      <w:r>
        <w:rPr>
          <w:b/>
        </w:rPr>
        <w:t>I</w:t>
      </w:r>
      <w:r>
        <w:rPr>
          <w:b/>
          <w:spacing w:val="-5"/>
        </w:rPr>
        <w:t> </w:t>
      </w:r>
      <w:r>
        <w:rPr/>
        <w:t>of</w:t>
      </w:r>
      <w:r>
        <w:rPr>
          <w:spacing w:val="-8"/>
        </w:rPr>
        <w:t> </w:t>
      </w:r>
      <w:r>
        <w:rPr/>
        <w:t>this </w:t>
      </w:r>
      <w:r>
        <w:rPr>
          <w:spacing w:val="-2"/>
        </w:rPr>
        <w:t>document.</w:t>
      </w:r>
    </w:p>
    <w:p>
      <w:pPr>
        <w:pStyle w:val="BodyText"/>
        <w:spacing w:before="8"/>
        <w:rPr>
          <w:sz w:val="22"/>
        </w:rPr>
      </w:pPr>
    </w:p>
    <w:p>
      <w:pPr>
        <w:pStyle w:val="Heading9"/>
      </w:pPr>
      <w:r>
        <w:rPr>
          <w:spacing w:val="-2"/>
          <w:u w:val="single"/>
        </w:rPr>
        <w:t>Application</w:t>
      </w:r>
    </w:p>
    <w:p>
      <w:pPr>
        <w:pStyle w:val="BodyText"/>
        <w:spacing w:before="7"/>
        <w:rPr>
          <w:b/>
          <w:sz w:val="18"/>
        </w:rPr>
      </w:pPr>
    </w:p>
    <w:p>
      <w:pPr>
        <w:pStyle w:val="BodyText"/>
        <w:spacing w:before="51"/>
        <w:ind w:left="119" w:right="114"/>
        <w:jc w:val="both"/>
      </w:pPr>
      <w:r>
        <w:rPr/>
        <w:t>The</w:t>
      </w:r>
      <w:r>
        <w:rPr>
          <w:spacing w:val="-14"/>
        </w:rPr>
        <w:t> </w:t>
      </w:r>
      <w:r>
        <w:rPr/>
        <w:t>Provisions</w:t>
      </w:r>
      <w:r>
        <w:rPr>
          <w:spacing w:val="-14"/>
        </w:rPr>
        <w:t> </w:t>
      </w:r>
      <w:r>
        <w:rPr/>
        <w:t>of</w:t>
      </w:r>
      <w:r>
        <w:rPr>
          <w:spacing w:val="-13"/>
        </w:rPr>
        <w:t> </w:t>
      </w:r>
      <w:r>
        <w:rPr/>
        <w:t>this</w:t>
      </w:r>
      <w:r>
        <w:rPr>
          <w:spacing w:val="-14"/>
        </w:rPr>
        <w:t> </w:t>
      </w:r>
      <w:r>
        <w:rPr/>
        <w:t>Title</w:t>
      </w:r>
      <w:r>
        <w:rPr>
          <w:spacing w:val="-13"/>
        </w:rPr>
        <w:t> </w:t>
      </w:r>
      <w:r>
        <w:rPr/>
        <w:t>VI</w:t>
      </w:r>
      <w:r>
        <w:rPr>
          <w:spacing w:val="-14"/>
        </w:rPr>
        <w:t> </w:t>
      </w:r>
      <w:r>
        <w:rPr/>
        <w:t>Plan</w:t>
      </w:r>
      <w:r>
        <w:rPr>
          <w:spacing w:val="-13"/>
        </w:rPr>
        <w:t> </w:t>
      </w:r>
      <w:r>
        <w:rPr/>
        <w:t>apply</w:t>
      </w:r>
      <w:r>
        <w:rPr>
          <w:spacing w:val="-14"/>
        </w:rPr>
        <w:t> </w:t>
      </w:r>
      <w:r>
        <w:rPr/>
        <w:t>to</w:t>
      </w:r>
      <w:r>
        <w:rPr>
          <w:spacing w:val="-14"/>
        </w:rPr>
        <w:t> </w:t>
      </w:r>
      <w:r>
        <w:rPr/>
        <w:t>all</w:t>
      </w:r>
      <w:r>
        <w:rPr>
          <w:spacing w:val="-13"/>
        </w:rPr>
        <w:t> </w:t>
      </w:r>
      <w:r>
        <w:rPr/>
        <w:t>recipients</w:t>
      </w:r>
      <w:r>
        <w:rPr>
          <w:spacing w:val="-14"/>
        </w:rPr>
        <w:t> </w:t>
      </w:r>
      <w:r>
        <w:rPr/>
        <w:t>of</w:t>
      </w:r>
      <w:r>
        <w:rPr>
          <w:spacing w:val="-13"/>
        </w:rPr>
        <w:t> </w:t>
      </w:r>
      <w:r>
        <w:rPr/>
        <w:t>FTA</w:t>
      </w:r>
      <w:r>
        <w:rPr>
          <w:spacing w:val="-14"/>
        </w:rPr>
        <w:t> </w:t>
      </w:r>
      <w:r>
        <w:rPr/>
        <w:t>federal</w:t>
      </w:r>
      <w:r>
        <w:rPr>
          <w:spacing w:val="-13"/>
        </w:rPr>
        <w:t> </w:t>
      </w:r>
      <w:r>
        <w:rPr/>
        <w:t>assistance</w:t>
      </w:r>
      <w:r>
        <w:rPr>
          <w:spacing w:val="-14"/>
        </w:rPr>
        <w:t> </w:t>
      </w:r>
      <w:r>
        <w:rPr/>
        <w:t>through</w:t>
      </w:r>
      <w:r>
        <w:rPr>
          <w:spacing w:val="-14"/>
        </w:rPr>
        <w:t> </w:t>
      </w:r>
      <w:r>
        <w:rPr/>
        <w:t>the</w:t>
      </w:r>
      <w:r>
        <w:rPr>
          <w:spacing w:val="-13"/>
        </w:rPr>
        <w:t> </w:t>
      </w:r>
      <w:r>
        <w:rPr/>
        <w:t>Maine</w:t>
      </w:r>
      <w:r>
        <w:rPr>
          <w:spacing w:val="-14"/>
        </w:rPr>
        <w:t> </w:t>
      </w:r>
      <w:r>
        <w:rPr/>
        <w:t>Department of</w:t>
      </w:r>
      <w:r>
        <w:rPr>
          <w:spacing w:val="-5"/>
        </w:rPr>
        <w:t> </w:t>
      </w:r>
      <w:r>
        <w:rPr/>
        <w:t>Transportation</w:t>
      </w:r>
      <w:r>
        <w:rPr>
          <w:spacing w:val="-5"/>
        </w:rPr>
        <w:t> </w:t>
      </w:r>
      <w:r>
        <w:rPr/>
        <w:t>(MaineDOT).</w:t>
      </w:r>
      <w:r>
        <w:rPr>
          <w:spacing w:val="-5"/>
        </w:rPr>
        <w:t> </w:t>
      </w:r>
      <w:r>
        <w:rPr/>
        <w:t>A</w:t>
      </w:r>
      <w:r>
        <w:rPr>
          <w:spacing w:val="-6"/>
        </w:rPr>
        <w:t> </w:t>
      </w:r>
      <w:r>
        <w:rPr/>
        <w:t>“recipient”</w:t>
      </w:r>
      <w:r>
        <w:rPr>
          <w:spacing w:val="-6"/>
        </w:rPr>
        <w:t> </w:t>
      </w:r>
      <w:r>
        <w:rPr/>
        <w:t>includes</w:t>
      </w:r>
      <w:r>
        <w:rPr>
          <w:spacing w:val="-7"/>
        </w:rPr>
        <w:t> </w:t>
      </w:r>
      <w:r>
        <w:rPr/>
        <w:t>any</w:t>
      </w:r>
      <w:r>
        <w:rPr>
          <w:spacing w:val="-7"/>
        </w:rPr>
        <w:t> </w:t>
      </w:r>
      <w:r>
        <w:rPr/>
        <w:t>public</w:t>
      </w:r>
      <w:r>
        <w:rPr>
          <w:spacing w:val="-7"/>
        </w:rPr>
        <w:t> </w:t>
      </w:r>
      <w:r>
        <w:rPr/>
        <w:t>or</w:t>
      </w:r>
      <w:r>
        <w:rPr>
          <w:spacing w:val="-6"/>
        </w:rPr>
        <w:t> </w:t>
      </w:r>
      <w:r>
        <w:rPr/>
        <w:t>private</w:t>
      </w:r>
      <w:r>
        <w:rPr>
          <w:spacing w:val="-8"/>
        </w:rPr>
        <w:t> </w:t>
      </w:r>
      <w:r>
        <w:rPr/>
        <w:t>entity</w:t>
      </w:r>
      <w:r>
        <w:rPr>
          <w:spacing w:val="-7"/>
        </w:rPr>
        <w:t> </w:t>
      </w:r>
      <w:r>
        <w:rPr/>
        <w:t>or</w:t>
      </w:r>
      <w:r>
        <w:rPr>
          <w:spacing w:val="-6"/>
        </w:rPr>
        <w:t> </w:t>
      </w:r>
      <w:r>
        <w:rPr/>
        <w:t>any</w:t>
      </w:r>
      <w:r>
        <w:rPr>
          <w:spacing w:val="-7"/>
        </w:rPr>
        <w:t> </w:t>
      </w:r>
      <w:r>
        <w:rPr/>
        <w:t>individual</w:t>
      </w:r>
      <w:r>
        <w:rPr>
          <w:spacing w:val="-6"/>
        </w:rPr>
        <w:t> </w:t>
      </w:r>
      <w:r>
        <w:rPr/>
        <w:t>receiving</w:t>
      </w:r>
      <w:r>
        <w:rPr>
          <w:spacing w:val="-7"/>
        </w:rPr>
        <w:t> </w:t>
      </w:r>
      <w:r>
        <w:rPr/>
        <w:t>the benefits</w:t>
      </w:r>
      <w:r>
        <w:rPr>
          <w:spacing w:val="-7"/>
        </w:rPr>
        <w:t> </w:t>
      </w:r>
      <w:r>
        <w:rPr/>
        <w:t>of</w:t>
      </w:r>
      <w:r>
        <w:rPr>
          <w:spacing w:val="-5"/>
        </w:rPr>
        <w:t> </w:t>
      </w:r>
      <w:r>
        <w:rPr/>
        <w:t>any</w:t>
      </w:r>
      <w:r>
        <w:rPr>
          <w:spacing w:val="-7"/>
        </w:rPr>
        <w:t> </w:t>
      </w:r>
      <w:r>
        <w:rPr/>
        <w:t>transit</w:t>
      </w:r>
      <w:r>
        <w:rPr>
          <w:spacing w:val="-8"/>
        </w:rPr>
        <w:t> </w:t>
      </w:r>
      <w:r>
        <w:rPr/>
        <w:t>program.</w:t>
      </w:r>
      <w:r>
        <w:rPr>
          <w:spacing w:val="40"/>
        </w:rPr>
        <w:t> </w:t>
      </w:r>
      <w:r>
        <w:rPr/>
        <w:t>MaineDOT</w:t>
      </w:r>
      <w:r>
        <w:rPr>
          <w:spacing w:val="-6"/>
        </w:rPr>
        <w:t> </w:t>
      </w:r>
      <w:r>
        <w:rPr/>
        <w:t>has</w:t>
      </w:r>
      <w:r>
        <w:rPr>
          <w:spacing w:val="-7"/>
        </w:rPr>
        <w:t> </w:t>
      </w:r>
      <w:r>
        <w:rPr/>
        <w:t>a</w:t>
      </w:r>
      <w:r>
        <w:rPr>
          <w:spacing w:val="-8"/>
        </w:rPr>
        <w:t> </w:t>
      </w:r>
      <w:r>
        <w:rPr/>
        <w:t>separate</w:t>
      </w:r>
      <w:r>
        <w:rPr>
          <w:spacing w:val="-6"/>
        </w:rPr>
        <w:t> </w:t>
      </w:r>
      <w:r>
        <w:rPr/>
        <w:t>Title</w:t>
      </w:r>
      <w:r>
        <w:rPr>
          <w:spacing w:val="-6"/>
        </w:rPr>
        <w:t> </w:t>
      </w:r>
      <w:r>
        <w:rPr/>
        <w:t>VI</w:t>
      </w:r>
      <w:r>
        <w:rPr>
          <w:spacing w:val="-7"/>
        </w:rPr>
        <w:t> </w:t>
      </w:r>
      <w:r>
        <w:rPr/>
        <w:t>Program</w:t>
      </w:r>
      <w:r>
        <w:rPr>
          <w:spacing w:val="-4"/>
        </w:rPr>
        <w:t> </w:t>
      </w:r>
      <w:r>
        <w:rPr/>
        <w:t>for</w:t>
      </w:r>
      <w:r>
        <w:rPr>
          <w:spacing w:val="-6"/>
        </w:rPr>
        <w:t> </w:t>
      </w:r>
      <w:r>
        <w:rPr/>
        <w:t>other</w:t>
      </w:r>
      <w:r>
        <w:rPr>
          <w:spacing w:val="-6"/>
        </w:rPr>
        <w:t> </w:t>
      </w:r>
      <w:r>
        <w:rPr/>
        <w:t>US</w:t>
      </w:r>
      <w:r>
        <w:rPr>
          <w:spacing w:val="-6"/>
        </w:rPr>
        <w:t> </w:t>
      </w:r>
      <w:r>
        <w:rPr/>
        <w:t>DOT</w:t>
      </w:r>
      <w:r>
        <w:rPr>
          <w:spacing w:val="-6"/>
        </w:rPr>
        <w:t> </w:t>
      </w:r>
      <w:r>
        <w:rPr/>
        <w:t>funded</w:t>
      </w:r>
      <w:r>
        <w:rPr>
          <w:spacing w:val="-5"/>
        </w:rPr>
        <w:t> </w:t>
      </w:r>
      <w:r>
        <w:rPr/>
        <w:t>programs.</w:t>
      </w:r>
    </w:p>
    <w:p>
      <w:pPr>
        <w:pStyle w:val="BodyText"/>
        <w:spacing w:before="2"/>
        <w:rPr>
          <w:sz w:val="23"/>
        </w:rPr>
      </w:pPr>
    </w:p>
    <w:p>
      <w:pPr>
        <w:pStyle w:val="BodyText"/>
        <w:ind w:left="751"/>
      </w:pPr>
      <w:r>
        <w:rPr/>
        <w:t>All</w:t>
      </w:r>
      <w:r>
        <w:rPr>
          <w:spacing w:val="-2"/>
        </w:rPr>
        <w:t> </w:t>
      </w:r>
      <w:r>
        <w:rPr/>
        <w:t>plans</w:t>
      </w:r>
      <w:r>
        <w:rPr>
          <w:spacing w:val="-3"/>
        </w:rPr>
        <w:t> </w:t>
      </w:r>
      <w:r>
        <w:rPr/>
        <w:t>and</w:t>
      </w:r>
      <w:r>
        <w:rPr>
          <w:spacing w:val="-3"/>
        </w:rPr>
        <w:t> </w:t>
      </w:r>
      <w:r>
        <w:rPr/>
        <w:t>programs</w:t>
      </w:r>
      <w:r>
        <w:rPr>
          <w:spacing w:val="-5"/>
        </w:rPr>
        <w:t> </w:t>
      </w:r>
      <w:r>
        <w:rPr/>
        <w:t>can</w:t>
      </w:r>
      <w:r>
        <w:rPr>
          <w:spacing w:val="-1"/>
        </w:rPr>
        <w:t> </w:t>
      </w:r>
      <w:r>
        <w:rPr/>
        <w:t>be</w:t>
      </w:r>
      <w:r>
        <w:rPr>
          <w:spacing w:val="-1"/>
        </w:rPr>
        <w:t> </w:t>
      </w:r>
      <w:r>
        <w:rPr/>
        <w:t>can</w:t>
      </w:r>
      <w:r>
        <w:rPr>
          <w:spacing w:val="-4"/>
        </w:rPr>
        <w:t> </w:t>
      </w:r>
      <w:r>
        <w:rPr/>
        <w:t>be</w:t>
      </w:r>
      <w:r>
        <w:rPr>
          <w:spacing w:val="-3"/>
        </w:rPr>
        <w:t> </w:t>
      </w:r>
      <w:r>
        <w:rPr/>
        <w:t>found</w:t>
      </w:r>
      <w:r>
        <w:rPr>
          <w:spacing w:val="-1"/>
        </w:rPr>
        <w:t> </w:t>
      </w:r>
      <w:r>
        <w:rPr/>
        <w:t>at:</w:t>
      </w:r>
      <w:r>
        <w:rPr>
          <w:spacing w:val="49"/>
        </w:rPr>
        <w:t> </w:t>
      </w:r>
      <w:hyperlink r:id="rId9">
        <w:r>
          <w:rPr>
            <w:color w:val="0000FF"/>
            <w:u w:val="single" w:color="0000FF"/>
          </w:rPr>
          <w:t>https://www.maine.gov/mdot/civilrights/title-</w:t>
        </w:r>
        <w:r>
          <w:rPr>
            <w:color w:val="0000FF"/>
            <w:spacing w:val="-4"/>
            <w:u w:val="single" w:color="0000FF"/>
          </w:rPr>
          <w:t>vi/</w:t>
        </w:r>
      </w:hyperlink>
      <w:r>
        <w:rPr>
          <w:color w:val="0000FF"/>
          <w:spacing w:val="-4"/>
          <w:u w:val="single" w:color="0000FF"/>
        </w:rPr>
        <w:t>,</w:t>
      </w:r>
    </w:p>
    <w:p>
      <w:pPr>
        <w:pStyle w:val="BodyText"/>
        <w:spacing w:before="7"/>
        <w:rPr>
          <w:sz w:val="18"/>
        </w:rPr>
      </w:pPr>
    </w:p>
    <w:p>
      <w:pPr>
        <w:pStyle w:val="BodyText"/>
        <w:spacing w:before="52"/>
        <w:ind w:left="1209" w:right="1209"/>
        <w:jc w:val="center"/>
      </w:pPr>
      <w:r>
        <w:rPr/>
        <w:t>Or</w:t>
      </w:r>
      <w:r>
        <w:rPr>
          <w:spacing w:val="-1"/>
        </w:rPr>
        <w:t> </w:t>
      </w:r>
      <w:r>
        <w:rPr/>
        <w:t>by writing</w:t>
      </w:r>
      <w:r>
        <w:rPr>
          <w:spacing w:val="-1"/>
        </w:rPr>
        <w:t> </w:t>
      </w:r>
      <w:r>
        <w:rPr>
          <w:spacing w:val="-5"/>
        </w:rPr>
        <w:t>to:</w:t>
      </w:r>
    </w:p>
    <w:p>
      <w:pPr>
        <w:pStyle w:val="BodyText"/>
        <w:spacing w:before="1"/>
        <w:rPr>
          <w:sz w:val="25"/>
        </w:rPr>
      </w:pPr>
    </w:p>
    <w:p>
      <w:pPr>
        <w:pStyle w:val="BodyText"/>
        <w:spacing w:before="1"/>
        <w:ind w:left="3705" w:right="3702"/>
        <w:jc w:val="center"/>
      </w:pPr>
      <w:r>
        <w:rPr/>
        <w:t>Maine</w:t>
      </w:r>
      <w:r>
        <w:rPr>
          <w:spacing w:val="-12"/>
        </w:rPr>
        <w:t> </w:t>
      </w:r>
      <w:r>
        <w:rPr/>
        <w:t>Department</w:t>
      </w:r>
      <w:r>
        <w:rPr>
          <w:spacing w:val="-12"/>
        </w:rPr>
        <w:t> </w:t>
      </w:r>
      <w:r>
        <w:rPr/>
        <w:t>of</w:t>
      </w:r>
      <w:r>
        <w:rPr>
          <w:spacing w:val="-12"/>
        </w:rPr>
        <w:t> </w:t>
      </w:r>
      <w:r>
        <w:rPr/>
        <w:t>Transportation Civil Rights Office</w:t>
      </w:r>
    </w:p>
    <w:p>
      <w:pPr>
        <w:pStyle w:val="BodyText"/>
        <w:spacing w:line="293" w:lineRule="exact"/>
        <w:ind w:left="1209" w:right="1208"/>
        <w:jc w:val="center"/>
      </w:pPr>
      <w:r>
        <w:rPr/>
        <w:t>SHS </w:t>
      </w:r>
      <w:r>
        <w:rPr>
          <w:spacing w:val="-5"/>
        </w:rPr>
        <w:t>16</w:t>
      </w:r>
    </w:p>
    <w:p>
      <w:pPr>
        <w:pStyle w:val="BodyText"/>
        <w:ind w:left="1209" w:right="1207"/>
        <w:jc w:val="center"/>
      </w:pPr>
      <w:r>
        <w:rPr/>
        <w:t>Augusta,</w:t>
      </w:r>
      <w:r>
        <w:rPr>
          <w:spacing w:val="-4"/>
        </w:rPr>
        <w:t> </w:t>
      </w:r>
      <w:r>
        <w:rPr/>
        <w:t>Maine</w:t>
      </w:r>
      <w:r>
        <w:rPr>
          <w:spacing w:val="-4"/>
        </w:rPr>
        <w:t> </w:t>
      </w:r>
      <w:r>
        <w:rPr/>
        <w:t>04333-</w:t>
      </w:r>
      <w:r>
        <w:rPr>
          <w:spacing w:val="-4"/>
        </w:rPr>
        <w:t>0016</w:t>
      </w:r>
    </w:p>
    <w:p>
      <w:pPr>
        <w:pStyle w:val="BodyText"/>
        <w:spacing w:before="1"/>
      </w:pPr>
    </w:p>
    <w:p>
      <w:pPr>
        <w:pStyle w:val="BodyText"/>
        <w:ind w:left="1209" w:right="1209"/>
        <w:jc w:val="center"/>
      </w:pPr>
      <w:r>
        <w:rPr/>
        <w:t>Or</w:t>
      </w:r>
      <w:r>
        <w:rPr>
          <w:spacing w:val="-1"/>
        </w:rPr>
        <w:t> </w:t>
      </w:r>
      <w:r>
        <w:rPr/>
        <w:t>by</w:t>
      </w:r>
      <w:r>
        <w:rPr>
          <w:spacing w:val="-1"/>
        </w:rPr>
        <w:t> </w:t>
      </w:r>
      <w:r>
        <w:rPr/>
        <w:t>calling:</w:t>
      </w:r>
      <w:r>
        <w:rPr>
          <w:spacing w:val="-2"/>
        </w:rPr>
        <w:t> </w:t>
      </w:r>
      <w:r>
        <w:rPr/>
        <w:t>(207)</w:t>
      </w:r>
      <w:r>
        <w:rPr>
          <w:spacing w:val="-2"/>
        </w:rPr>
        <w:t> </w:t>
      </w:r>
      <w:r>
        <w:rPr/>
        <w:t>624-</w:t>
      </w:r>
      <w:r>
        <w:rPr>
          <w:spacing w:val="-4"/>
        </w:rPr>
        <w:t>3066</w:t>
      </w:r>
    </w:p>
    <w:p>
      <w:pPr>
        <w:pStyle w:val="BodyText"/>
        <w:spacing w:before="10"/>
        <w:rPr>
          <w:sz w:val="19"/>
        </w:rPr>
      </w:pPr>
    </w:p>
    <w:p>
      <w:pPr>
        <w:pStyle w:val="Heading9"/>
        <w:spacing w:before="51"/>
      </w:pPr>
      <w:r>
        <w:rPr>
          <w:u w:val="single"/>
        </w:rPr>
        <w:t>Executive</w:t>
      </w:r>
      <w:r>
        <w:rPr>
          <w:spacing w:val="-3"/>
          <w:u w:val="single"/>
        </w:rPr>
        <w:t> </w:t>
      </w:r>
      <w:r>
        <w:rPr>
          <w:u w:val="single"/>
        </w:rPr>
        <w:t>Approval of</w:t>
      </w:r>
      <w:r>
        <w:rPr>
          <w:spacing w:val="-3"/>
          <w:u w:val="single"/>
        </w:rPr>
        <w:t> </w:t>
      </w:r>
      <w:r>
        <w:rPr>
          <w:u w:val="single"/>
        </w:rPr>
        <w:t>Title</w:t>
      </w:r>
      <w:r>
        <w:rPr>
          <w:spacing w:val="-2"/>
          <w:u w:val="single"/>
        </w:rPr>
        <w:t> </w:t>
      </w:r>
      <w:r>
        <w:rPr>
          <w:u w:val="single"/>
        </w:rPr>
        <w:t>VI</w:t>
      </w:r>
      <w:r>
        <w:rPr>
          <w:spacing w:val="-1"/>
          <w:u w:val="single"/>
        </w:rPr>
        <w:t> </w:t>
      </w:r>
      <w:r>
        <w:rPr>
          <w:spacing w:val="-4"/>
          <w:u w:val="single"/>
        </w:rPr>
        <w:t>Plan</w:t>
      </w:r>
    </w:p>
    <w:p>
      <w:pPr>
        <w:pStyle w:val="BodyText"/>
        <w:spacing w:before="9"/>
        <w:rPr>
          <w:b/>
          <w:sz w:val="19"/>
        </w:rPr>
      </w:pPr>
    </w:p>
    <w:p>
      <w:pPr>
        <w:pStyle w:val="BodyText"/>
        <w:spacing w:before="52"/>
        <w:ind w:left="119" w:right="113"/>
        <w:jc w:val="both"/>
      </w:pPr>
      <w:r>
        <w:rPr/>
        <w:t>This Title VI plan has been reviewed and approved by the MaineDOT Commissioner.</w:t>
      </w:r>
      <w:r>
        <w:rPr>
          <w:spacing w:val="80"/>
        </w:rPr>
        <w:t> </w:t>
      </w:r>
      <w:r>
        <w:rPr/>
        <w:t>The Civil Rights Office provided</w:t>
      </w:r>
      <w:r>
        <w:rPr>
          <w:spacing w:val="-5"/>
        </w:rPr>
        <w:t> </w:t>
      </w:r>
      <w:r>
        <w:rPr/>
        <w:t>the</w:t>
      </w:r>
      <w:r>
        <w:rPr>
          <w:spacing w:val="-6"/>
        </w:rPr>
        <w:t> </w:t>
      </w:r>
      <w:r>
        <w:rPr/>
        <w:t>Commissioner</w:t>
      </w:r>
      <w:r>
        <w:rPr>
          <w:spacing w:val="-6"/>
        </w:rPr>
        <w:t> </w:t>
      </w:r>
      <w:r>
        <w:rPr/>
        <w:t>with</w:t>
      </w:r>
      <w:r>
        <w:rPr>
          <w:spacing w:val="-5"/>
        </w:rPr>
        <w:t> </w:t>
      </w:r>
      <w:r>
        <w:rPr/>
        <w:t>a</w:t>
      </w:r>
      <w:r>
        <w:rPr>
          <w:spacing w:val="-6"/>
        </w:rPr>
        <w:t> </w:t>
      </w:r>
      <w:r>
        <w:rPr/>
        <w:t>draft</w:t>
      </w:r>
      <w:r>
        <w:rPr>
          <w:spacing w:val="-5"/>
        </w:rPr>
        <w:t> </w:t>
      </w:r>
      <w:r>
        <w:rPr/>
        <w:t>plan</w:t>
      </w:r>
      <w:r>
        <w:rPr>
          <w:spacing w:val="-5"/>
        </w:rPr>
        <w:t> </w:t>
      </w:r>
      <w:r>
        <w:rPr/>
        <w:t>and</w:t>
      </w:r>
      <w:r>
        <w:rPr>
          <w:spacing w:val="-5"/>
        </w:rPr>
        <w:t> </w:t>
      </w:r>
      <w:r>
        <w:rPr/>
        <w:t>consults</w:t>
      </w:r>
      <w:r>
        <w:rPr>
          <w:spacing w:val="-7"/>
        </w:rPr>
        <w:t> </w:t>
      </w:r>
      <w:r>
        <w:rPr/>
        <w:t>with</w:t>
      </w:r>
      <w:r>
        <w:rPr>
          <w:spacing w:val="-8"/>
        </w:rPr>
        <w:t> </w:t>
      </w:r>
      <w:r>
        <w:rPr/>
        <w:t>the</w:t>
      </w:r>
      <w:r>
        <w:rPr>
          <w:spacing w:val="-6"/>
        </w:rPr>
        <w:t> </w:t>
      </w:r>
      <w:r>
        <w:rPr/>
        <w:t>Commissioner</w:t>
      </w:r>
      <w:r>
        <w:rPr>
          <w:spacing w:val="-6"/>
        </w:rPr>
        <w:t> </w:t>
      </w:r>
      <w:r>
        <w:rPr/>
        <w:t>on</w:t>
      </w:r>
      <w:r>
        <w:rPr>
          <w:spacing w:val="-5"/>
        </w:rPr>
        <w:t> </w:t>
      </w:r>
      <w:r>
        <w:rPr/>
        <w:t>aspects</w:t>
      </w:r>
      <w:r>
        <w:rPr>
          <w:spacing w:val="-7"/>
        </w:rPr>
        <w:t> </w:t>
      </w:r>
      <w:r>
        <w:rPr/>
        <w:t>and</w:t>
      </w:r>
      <w:r>
        <w:rPr>
          <w:spacing w:val="-3"/>
        </w:rPr>
        <w:t> </w:t>
      </w:r>
      <w:r>
        <w:rPr/>
        <w:t>requirements of the Title VI Plan. Once the Plan is approved by the Commissioner, it is posted to the FTA (TrAMS) site for review and approval.</w:t>
      </w:r>
    </w:p>
    <w:p>
      <w:pPr>
        <w:pStyle w:val="BodyText"/>
        <w:spacing w:before="11"/>
        <w:rPr>
          <w:sz w:val="23"/>
        </w:rPr>
      </w:pPr>
    </w:p>
    <w:p>
      <w:pPr>
        <w:pStyle w:val="BodyText"/>
        <w:ind w:left="120" w:right="112"/>
        <w:jc w:val="both"/>
      </w:pPr>
      <w:r>
        <w:rPr/>
        <w:t>Any</w:t>
      </w:r>
      <w:r>
        <w:rPr>
          <w:spacing w:val="-9"/>
        </w:rPr>
        <w:t> </w:t>
      </w:r>
      <w:r>
        <w:rPr/>
        <w:t>changes</w:t>
      </w:r>
      <w:r>
        <w:rPr>
          <w:spacing w:val="-11"/>
        </w:rPr>
        <w:t> </w:t>
      </w:r>
      <w:r>
        <w:rPr/>
        <w:t>that</w:t>
      </w:r>
      <w:r>
        <w:rPr>
          <w:spacing w:val="-8"/>
        </w:rPr>
        <w:t> </w:t>
      </w:r>
      <w:r>
        <w:rPr/>
        <w:t>are</w:t>
      </w:r>
      <w:r>
        <w:rPr>
          <w:spacing w:val="-8"/>
        </w:rPr>
        <w:t> </w:t>
      </w:r>
      <w:r>
        <w:rPr/>
        <w:t>required</w:t>
      </w:r>
      <w:r>
        <w:rPr>
          <w:spacing w:val="-10"/>
        </w:rPr>
        <w:t> </w:t>
      </w:r>
      <w:r>
        <w:rPr/>
        <w:t>by</w:t>
      </w:r>
      <w:r>
        <w:rPr>
          <w:spacing w:val="-9"/>
        </w:rPr>
        <w:t> </w:t>
      </w:r>
      <w:r>
        <w:rPr/>
        <w:t>FTA</w:t>
      </w:r>
      <w:r>
        <w:rPr>
          <w:spacing w:val="-8"/>
        </w:rPr>
        <w:t> </w:t>
      </w:r>
      <w:r>
        <w:rPr/>
        <w:t>in</w:t>
      </w:r>
      <w:r>
        <w:rPr>
          <w:spacing w:val="-10"/>
        </w:rPr>
        <w:t> </w:t>
      </w:r>
      <w:r>
        <w:rPr/>
        <w:t>that</w:t>
      </w:r>
      <w:r>
        <w:rPr>
          <w:spacing w:val="-8"/>
        </w:rPr>
        <w:t> </w:t>
      </w:r>
      <w:r>
        <w:rPr/>
        <w:t>review</w:t>
      </w:r>
      <w:r>
        <w:rPr>
          <w:spacing w:val="-8"/>
        </w:rPr>
        <w:t> </w:t>
      </w:r>
      <w:r>
        <w:rPr/>
        <w:t>process</w:t>
      </w:r>
      <w:r>
        <w:rPr>
          <w:spacing w:val="-9"/>
        </w:rPr>
        <w:t> </w:t>
      </w:r>
      <w:r>
        <w:rPr/>
        <w:t>will</w:t>
      </w:r>
      <w:r>
        <w:rPr>
          <w:spacing w:val="-11"/>
        </w:rPr>
        <w:t> </w:t>
      </w:r>
      <w:r>
        <w:rPr/>
        <w:t>be</w:t>
      </w:r>
      <w:r>
        <w:rPr>
          <w:spacing w:val="-8"/>
        </w:rPr>
        <w:t> </w:t>
      </w:r>
      <w:r>
        <w:rPr/>
        <w:t>made</w:t>
      </w:r>
      <w:r>
        <w:rPr>
          <w:spacing w:val="-8"/>
        </w:rPr>
        <w:t> </w:t>
      </w:r>
      <w:r>
        <w:rPr/>
        <w:t>and</w:t>
      </w:r>
      <w:r>
        <w:rPr>
          <w:spacing w:val="-10"/>
        </w:rPr>
        <w:t> </w:t>
      </w:r>
      <w:r>
        <w:rPr/>
        <w:t>the</w:t>
      </w:r>
      <w:r>
        <w:rPr>
          <w:spacing w:val="-8"/>
        </w:rPr>
        <w:t> </w:t>
      </w:r>
      <w:r>
        <w:rPr/>
        <w:t>Commissioner</w:t>
      </w:r>
      <w:r>
        <w:rPr>
          <w:spacing w:val="-8"/>
        </w:rPr>
        <w:t> </w:t>
      </w:r>
      <w:r>
        <w:rPr/>
        <w:t>will</w:t>
      </w:r>
      <w:r>
        <w:rPr>
          <w:spacing w:val="-11"/>
        </w:rPr>
        <w:t> </w:t>
      </w:r>
      <w:r>
        <w:rPr/>
        <w:t>review</w:t>
      </w:r>
      <w:r>
        <w:rPr>
          <w:spacing w:val="-8"/>
        </w:rPr>
        <w:t> </w:t>
      </w:r>
      <w:r>
        <w:rPr/>
        <w:t>and approve those changes.</w:t>
      </w:r>
    </w:p>
    <w:p>
      <w:pPr>
        <w:spacing w:after="0"/>
        <w:jc w:val="both"/>
        <w:sectPr>
          <w:pgSz w:w="12240" w:h="15840"/>
          <w:pgMar w:header="0" w:footer="1063" w:top="960" w:bottom="1260" w:left="600" w:right="600"/>
        </w:sectPr>
      </w:pPr>
    </w:p>
    <w:p>
      <w:pPr>
        <w:pStyle w:val="Heading8"/>
        <w:spacing w:before="35"/>
        <w:ind w:right="1209"/>
        <w:rPr>
          <w:u w:val="none"/>
        </w:rPr>
      </w:pPr>
      <w:bookmarkStart w:name="Title VI Authorities" w:id="5"/>
      <w:bookmarkEnd w:id="5"/>
      <w:r>
        <w:rPr>
          <w:b w:val="0"/>
          <w:u w:val="none"/>
        </w:rPr>
      </w:r>
      <w:bookmarkStart w:name="_bookmark2" w:id="6"/>
      <w:bookmarkEnd w:id="6"/>
      <w:r>
        <w:rPr>
          <w:b w:val="0"/>
          <w:u w:val="none"/>
        </w:rPr>
      </w:r>
      <w:r>
        <w:rPr>
          <w:u w:val="single"/>
        </w:rPr>
        <w:t>TITLE</w:t>
      </w:r>
      <w:r>
        <w:rPr>
          <w:spacing w:val="-1"/>
          <w:u w:val="single"/>
        </w:rPr>
        <w:t> </w:t>
      </w:r>
      <w:r>
        <w:rPr>
          <w:u w:val="single"/>
        </w:rPr>
        <w:t>VI</w:t>
      </w:r>
      <w:r>
        <w:rPr>
          <w:spacing w:val="-1"/>
          <w:u w:val="single"/>
        </w:rPr>
        <w:t> </w:t>
      </w:r>
      <w:r>
        <w:rPr>
          <w:spacing w:val="-2"/>
          <w:u w:val="single"/>
        </w:rPr>
        <w:t>AUTHORITIES</w:t>
      </w:r>
    </w:p>
    <w:p>
      <w:pPr>
        <w:pStyle w:val="BodyText"/>
        <w:spacing w:before="10"/>
        <w:rPr>
          <w:b/>
          <w:sz w:val="17"/>
        </w:rPr>
      </w:pPr>
    </w:p>
    <w:p>
      <w:pPr>
        <w:pStyle w:val="BodyText"/>
        <w:spacing w:before="51"/>
        <w:ind w:left="120" w:right="111"/>
        <w:jc w:val="both"/>
      </w:pPr>
      <w:r>
        <w:rPr>
          <w:b/>
        </w:rPr>
        <w:t>Title</w:t>
      </w:r>
      <w:r>
        <w:rPr>
          <w:b/>
          <w:spacing w:val="-12"/>
        </w:rPr>
        <w:t> </w:t>
      </w:r>
      <w:r>
        <w:rPr>
          <w:b/>
        </w:rPr>
        <w:t>VI</w:t>
      </w:r>
      <w:r>
        <w:rPr>
          <w:b/>
          <w:spacing w:val="-10"/>
        </w:rPr>
        <w:t> </w:t>
      </w:r>
      <w:r>
        <w:rPr>
          <w:b/>
        </w:rPr>
        <w:t>of</w:t>
      </w:r>
      <w:r>
        <w:rPr>
          <w:b/>
          <w:spacing w:val="-13"/>
        </w:rPr>
        <w:t> </w:t>
      </w:r>
      <w:r>
        <w:rPr>
          <w:b/>
        </w:rPr>
        <w:t>the</w:t>
      </w:r>
      <w:r>
        <w:rPr>
          <w:b/>
          <w:spacing w:val="-12"/>
        </w:rPr>
        <w:t> </w:t>
      </w:r>
      <w:r>
        <w:rPr>
          <w:b/>
        </w:rPr>
        <w:t>1964</w:t>
      </w:r>
      <w:r>
        <w:rPr>
          <w:b/>
          <w:spacing w:val="-10"/>
        </w:rPr>
        <w:t> </w:t>
      </w:r>
      <w:r>
        <w:rPr>
          <w:b/>
        </w:rPr>
        <w:t>Civil</w:t>
      </w:r>
      <w:r>
        <w:rPr>
          <w:b/>
          <w:spacing w:val="-12"/>
        </w:rPr>
        <w:t> </w:t>
      </w:r>
      <w:r>
        <w:rPr>
          <w:b/>
        </w:rPr>
        <w:t>Rights</w:t>
      </w:r>
      <w:r>
        <w:rPr>
          <w:b/>
          <w:spacing w:val="-11"/>
        </w:rPr>
        <w:t> </w:t>
      </w:r>
      <w:r>
        <w:rPr>
          <w:b/>
        </w:rPr>
        <w:t>Act,</w:t>
      </w:r>
      <w:r>
        <w:rPr>
          <w:b/>
          <w:spacing w:val="-11"/>
        </w:rPr>
        <w:t> </w:t>
      </w:r>
      <w:r>
        <w:rPr>
          <w:b/>
        </w:rPr>
        <w:t>42</w:t>
      </w:r>
      <w:r>
        <w:rPr>
          <w:b/>
          <w:spacing w:val="-13"/>
        </w:rPr>
        <w:t> </w:t>
      </w:r>
      <w:r>
        <w:rPr>
          <w:b/>
        </w:rPr>
        <w:t>U.S.C.</w:t>
      </w:r>
      <w:r>
        <w:rPr>
          <w:b/>
          <w:spacing w:val="-10"/>
        </w:rPr>
        <w:t> </w:t>
      </w:r>
      <w:r>
        <w:rPr>
          <w:b/>
        </w:rPr>
        <w:t>2000d</w:t>
      </w:r>
      <w:r>
        <w:rPr>
          <w:b/>
          <w:spacing w:val="-10"/>
        </w:rPr>
        <w:t> </w:t>
      </w:r>
      <w:r>
        <w:rPr>
          <w:b/>
        </w:rPr>
        <w:t>to</w:t>
      </w:r>
      <w:r>
        <w:rPr>
          <w:b/>
          <w:spacing w:val="-13"/>
        </w:rPr>
        <w:t> </w:t>
      </w:r>
      <w:r>
        <w:rPr>
          <w:b/>
        </w:rPr>
        <w:t>2000-4;</w:t>
      </w:r>
      <w:r>
        <w:rPr>
          <w:b/>
          <w:spacing w:val="-10"/>
        </w:rPr>
        <w:t> </w:t>
      </w:r>
      <w:r>
        <w:rPr>
          <w:b/>
        </w:rPr>
        <w:t>42</w:t>
      </w:r>
      <w:r>
        <w:rPr>
          <w:b/>
          <w:spacing w:val="-10"/>
        </w:rPr>
        <w:t> </w:t>
      </w:r>
      <w:r>
        <w:rPr>
          <w:b/>
        </w:rPr>
        <w:t>USC</w:t>
      </w:r>
      <w:r>
        <w:rPr>
          <w:b/>
          <w:spacing w:val="-11"/>
        </w:rPr>
        <w:t> </w:t>
      </w:r>
      <w:r>
        <w:rPr>
          <w:b/>
        </w:rPr>
        <w:t>4601</w:t>
      </w:r>
      <w:r>
        <w:rPr>
          <w:b/>
          <w:spacing w:val="-10"/>
        </w:rPr>
        <w:t> </w:t>
      </w:r>
      <w:r>
        <w:rPr>
          <w:b/>
        </w:rPr>
        <w:t>to</w:t>
      </w:r>
      <w:r>
        <w:rPr>
          <w:b/>
          <w:spacing w:val="-11"/>
        </w:rPr>
        <w:t> </w:t>
      </w:r>
      <w:r>
        <w:rPr>
          <w:b/>
        </w:rPr>
        <w:t>4655;</w:t>
      </w:r>
      <w:r>
        <w:rPr>
          <w:b/>
          <w:spacing w:val="-10"/>
        </w:rPr>
        <w:t> </w:t>
      </w:r>
      <w:r>
        <w:rPr>
          <w:b/>
        </w:rPr>
        <w:t>23</w:t>
      </w:r>
      <w:r>
        <w:rPr>
          <w:b/>
          <w:spacing w:val="-13"/>
        </w:rPr>
        <w:t> </w:t>
      </w:r>
      <w:r>
        <w:rPr>
          <w:b/>
        </w:rPr>
        <w:t>USC</w:t>
      </w:r>
      <w:r>
        <w:rPr>
          <w:b/>
          <w:spacing w:val="-11"/>
        </w:rPr>
        <w:t> </w:t>
      </w:r>
      <w:r>
        <w:rPr>
          <w:b/>
        </w:rPr>
        <w:t>109(h);</w:t>
      </w:r>
      <w:r>
        <w:rPr>
          <w:b/>
          <w:spacing w:val="-10"/>
        </w:rPr>
        <w:t> </w:t>
      </w:r>
      <w:r>
        <w:rPr/>
        <w:t>“No</w:t>
      </w:r>
      <w:r>
        <w:rPr>
          <w:spacing w:val="-13"/>
        </w:rPr>
        <w:t> </w:t>
      </w:r>
      <w:r>
        <w:rPr/>
        <w:t>person in the United States</w:t>
      </w:r>
      <w:r>
        <w:rPr>
          <w:spacing w:val="-2"/>
        </w:rPr>
        <w:t> </w:t>
      </w:r>
      <w:r>
        <w:rPr/>
        <w:t>shall, on the</w:t>
      </w:r>
      <w:r>
        <w:rPr>
          <w:spacing w:val="-1"/>
        </w:rPr>
        <w:t> </w:t>
      </w:r>
      <w:r>
        <w:rPr/>
        <w:t>ground of race,</w:t>
      </w:r>
      <w:r>
        <w:rPr>
          <w:spacing w:val="-1"/>
        </w:rPr>
        <w:t> </w:t>
      </w:r>
      <w:r>
        <w:rPr/>
        <w:t>color,</w:t>
      </w:r>
      <w:r>
        <w:rPr>
          <w:spacing w:val="-1"/>
        </w:rPr>
        <w:t> </w:t>
      </w:r>
      <w:r>
        <w:rPr/>
        <w:t>or</w:t>
      </w:r>
      <w:r>
        <w:rPr>
          <w:spacing w:val="-1"/>
        </w:rPr>
        <w:t> </w:t>
      </w:r>
      <w:r>
        <w:rPr/>
        <w:t>national</w:t>
      </w:r>
      <w:r>
        <w:rPr>
          <w:spacing w:val="-1"/>
        </w:rPr>
        <w:t> </w:t>
      </w:r>
      <w:r>
        <w:rPr/>
        <w:t>origin,</w:t>
      </w:r>
      <w:r>
        <w:rPr>
          <w:spacing w:val="-1"/>
        </w:rPr>
        <w:t> </w:t>
      </w:r>
      <w:r>
        <w:rPr/>
        <w:t>be excluded</w:t>
      </w:r>
      <w:r>
        <w:rPr>
          <w:spacing w:val="-3"/>
        </w:rPr>
        <w:t> </w:t>
      </w:r>
      <w:r>
        <w:rPr/>
        <w:t>from</w:t>
      </w:r>
      <w:r>
        <w:rPr>
          <w:spacing w:val="-4"/>
        </w:rPr>
        <w:t> </w:t>
      </w:r>
      <w:r>
        <w:rPr/>
        <w:t>participation in,</w:t>
      </w:r>
      <w:r>
        <w:rPr>
          <w:spacing w:val="-1"/>
        </w:rPr>
        <w:t> </w:t>
      </w:r>
      <w:r>
        <w:rPr/>
        <w:t>be denied the benefits of, or be subjected to discrimination under any program or activity receiving Federal financial assistance.”</w:t>
      </w:r>
      <w:r>
        <w:rPr>
          <w:spacing w:val="40"/>
        </w:rPr>
        <w:t> </w:t>
      </w:r>
      <w:r>
        <w:rPr/>
        <w:t>(Prohibits Discrimination, on the basis of race, color, or national origin, in impacts, services,</w:t>
      </w:r>
      <w:r>
        <w:rPr>
          <w:spacing w:val="-1"/>
        </w:rPr>
        <w:t> </w:t>
      </w:r>
      <w:r>
        <w:rPr/>
        <w:t>and</w:t>
      </w:r>
      <w:r>
        <w:rPr>
          <w:spacing w:val="-3"/>
        </w:rPr>
        <w:t> </w:t>
      </w:r>
      <w:r>
        <w:rPr/>
        <w:t>benefits</w:t>
      </w:r>
      <w:r>
        <w:rPr>
          <w:spacing w:val="-2"/>
        </w:rPr>
        <w:t> </w:t>
      </w:r>
      <w:r>
        <w:rPr/>
        <w:t>of,</w:t>
      </w:r>
      <w:r>
        <w:rPr>
          <w:spacing w:val="-4"/>
        </w:rPr>
        <w:t> </w:t>
      </w:r>
      <w:r>
        <w:rPr/>
        <w:t>access</w:t>
      </w:r>
      <w:r>
        <w:rPr>
          <w:spacing w:val="-2"/>
        </w:rPr>
        <w:t> </w:t>
      </w:r>
      <w:r>
        <w:rPr/>
        <w:t>to,</w:t>
      </w:r>
      <w:r>
        <w:rPr>
          <w:spacing w:val="-4"/>
        </w:rPr>
        <w:t> </w:t>
      </w:r>
      <w:r>
        <w:rPr/>
        <w:t>participation in,</w:t>
      </w:r>
      <w:r>
        <w:rPr>
          <w:spacing w:val="-1"/>
        </w:rPr>
        <w:t> </w:t>
      </w:r>
      <w:r>
        <w:rPr/>
        <w:t>and</w:t>
      </w:r>
      <w:r>
        <w:rPr>
          <w:spacing w:val="-3"/>
        </w:rPr>
        <w:t> </w:t>
      </w:r>
      <w:r>
        <w:rPr/>
        <w:t>treatment under</w:t>
      </w:r>
      <w:r>
        <w:rPr>
          <w:spacing w:val="-4"/>
        </w:rPr>
        <w:t> </w:t>
      </w:r>
      <w:r>
        <w:rPr/>
        <w:t>a</w:t>
      </w:r>
      <w:r>
        <w:rPr>
          <w:spacing w:val="-1"/>
        </w:rPr>
        <w:t> </w:t>
      </w:r>
      <w:r>
        <w:rPr/>
        <w:t>Federal-Aid recipient’s</w:t>
      </w:r>
      <w:r>
        <w:rPr>
          <w:spacing w:val="-4"/>
        </w:rPr>
        <w:t> </w:t>
      </w:r>
      <w:r>
        <w:rPr/>
        <w:t>programs</w:t>
      </w:r>
      <w:r>
        <w:rPr>
          <w:spacing w:val="-4"/>
        </w:rPr>
        <w:t> </w:t>
      </w:r>
      <w:r>
        <w:rPr/>
        <w:t>or </w:t>
      </w:r>
      <w:r>
        <w:rPr>
          <w:spacing w:val="-2"/>
        </w:rPr>
        <w:t>activities)</w:t>
      </w:r>
    </w:p>
    <w:p>
      <w:pPr>
        <w:pStyle w:val="BodyText"/>
        <w:spacing w:before="11"/>
        <w:rPr>
          <w:sz w:val="23"/>
        </w:rPr>
      </w:pPr>
    </w:p>
    <w:p>
      <w:pPr>
        <w:pStyle w:val="BodyText"/>
        <w:ind w:left="120" w:right="114"/>
        <w:jc w:val="both"/>
      </w:pPr>
      <w:r>
        <w:rPr>
          <w:b/>
        </w:rPr>
        <w:t>The Civil Rights Restoration Act of</w:t>
      </w:r>
      <w:r>
        <w:rPr>
          <w:b/>
          <w:spacing w:val="-1"/>
        </w:rPr>
        <w:t> </w:t>
      </w:r>
      <w:r>
        <w:rPr>
          <w:b/>
        </w:rPr>
        <w:t>1987, </w:t>
      </w:r>
      <w:r>
        <w:rPr/>
        <w:t>P.L. 100-209, Clarification of the</w:t>
      </w:r>
      <w:r>
        <w:rPr>
          <w:spacing w:val="-1"/>
        </w:rPr>
        <w:t> </w:t>
      </w:r>
      <w:r>
        <w:rPr/>
        <w:t>original intent of Congress in Title</w:t>
      </w:r>
      <w:r>
        <w:rPr>
          <w:spacing w:val="-1"/>
        </w:rPr>
        <w:t> </w:t>
      </w:r>
      <w:r>
        <w:rPr/>
        <w:t>VI of the</w:t>
      </w:r>
      <w:r>
        <w:rPr>
          <w:spacing w:val="-1"/>
        </w:rPr>
        <w:t> </w:t>
      </w:r>
      <w:r>
        <w:rPr/>
        <w:t>1964</w:t>
      </w:r>
      <w:r>
        <w:rPr>
          <w:spacing w:val="-1"/>
        </w:rPr>
        <w:t> </w:t>
      </w:r>
      <w:r>
        <w:rPr/>
        <w:t>Civil Rights Act, Title</w:t>
      </w:r>
      <w:r>
        <w:rPr>
          <w:spacing w:val="-1"/>
        </w:rPr>
        <w:t> </w:t>
      </w:r>
      <w:r>
        <w:rPr/>
        <w:t>IX</w:t>
      </w:r>
      <w:r>
        <w:rPr>
          <w:spacing w:val="-1"/>
        </w:rPr>
        <w:t> </w:t>
      </w:r>
      <w:r>
        <w:rPr/>
        <w:t>of</w:t>
      </w:r>
      <w:r>
        <w:rPr>
          <w:spacing w:val="-3"/>
        </w:rPr>
        <w:t> </w:t>
      </w:r>
      <w:r>
        <w:rPr/>
        <w:t>the</w:t>
      </w:r>
      <w:r>
        <w:rPr>
          <w:spacing w:val="-1"/>
        </w:rPr>
        <w:t> </w:t>
      </w:r>
      <w:r>
        <w:rPr/>
        <w:t>Education Amendments</w:t>
      </w:r>
      <w:r>
        <w:rPr>
          <w:spacing w:val="-2"/>
        </w:rPr>
        <w:t> </w:t>
      </w:r>
      <w:r>
        <w:rPr/>
        <w:t>of 1972, the</w:t>
      </w:r>
      <w:r>
        <w:rPr>
          <w:spacing w:val="-1"/>
        </w:rPr>
        <w:t> </w:t>
      </w:r>
      <w:r>
        <w:rPr/>
        <w:t>Age</w:t>
      </w:r>
      <w:r>
        <w:rPr>
          <w:spacing w:val="-1"/>
        </w:rPr>
        <w:t> </w:t>
      </w:r>
      <w:r>
        <w:rPr/>
        <w:t>Discrimination</w:t>
      </w:r>
      <w:r>
        <w:rPr>
          <w:spacing w:val="-3"/>
        </w:rPr>
        <w:t> </w:t>
      </w:r>
      <w:r>
        <w:rPr/>
        <w:t>Act of 1975, and Section</w:t>
      </w:r>
      <w:r>
        <w:rPr>
          <w:spacing w:val="-3"/>
        </w:rPr>
        <w:t> </w:t>
      </w:r>
      <w:r>
        <w:rPr/>
        <w:t>504</w:t>
      </w:r>
      <w:r>
        <w:rPr>
          <w:spacing w:val="-3"/>
        </w:rPr>
        <w:t> </w:t>
      </w:r>
      <w:r>
        <w:rPr/>
        <w:t>of</w:t>
      </w:r>
      <w:r>
        <w:rPr>
          <w:spacing w:val="-3"/>
        </w:rPr>
        <w:t> </w:t>
      </w:r>
      <w:r>
        <w:rPr/>
        <w:t>the</w:t>
      </w:r>
      <w:r>
        <w:rPr>
          <w:spacing w:val="-1"/>
        </w:rPr>
        <w:t> </w:t>
      </w:r>
      <w:r>
        <w:rPr/>
        <w:t>Rehabilitation Act of 1973.</w:t>
      </w:r>
      <w:r>
        <w:rPr>
          <w:spacing w:val="40"/>
        </w:rPr>
        <w:t> </w:t>
      </w:r>
      <w:r>
        <w:rPr/>
        <w:t>(Restores</w:t>
      </w:r>
      <w:r>
        <w:rPr>
          <w:spacing w:val="-2"/>
        </w:rPr>
        <w:t> </w:t>
      </w:r>
      <w:r>
        <w:rPr/>
        <w:t>the</w:t>
      </w:r>
      <w:r>
        <w:rPr>
          <w:spacing w:val="-1"/>
        </w:rPr>
        <w:t> </w:t>
      </w:r>
      <w:r>
        <w:rPr/>
        <w:t>broad,</w:t>
      </w:r>
      <w:r>
        <w:rPr>
          <w:spacing w:val="-1"/>
        </w:rPr>
        <w:t> </w:t>
      </w:r>
      <w:r>
        <w:rPr/>
        <w:t>institution-wide</w:t>
      </w:r>
      <w:r>
        <w:rPr>
          <w:spacing w:val="-1"/>
        </w:rPr>
        <w:t> </w:t>
      </w:r>
      <w:r>
        <w:rPr/>
        <w:t>scope</w:t>
      </w:r>
      <w:r>
        <w:rPr>
          <w:spacing w:val="-1"/>
        </w:rPr>
        <w:t> </w:t>
      </w:r>
      <w:r>
        <w:rPr/>
        <w:t>and</w:t>
      </w:r>
      <w:r>
        <w:rPr>
          <w:spacing w:val="-3"/>
        </w:rPr>
        <w:t> </w:t>
      </w:r>
      <w:r>
        <w:rPr/>
        <w:t>coverage</w:t>
      </w:r>
      <w:r>
        <w:rPr>
          <w:spacing w:val="-1"/>
        </w:rPr>
        <w:t> </w:t>
      </w:r>
      <w:r>
        <w:rPr/>
        <w:t>of the non-discrimination statutes to include all programs and activities of Federal-Aid recipients, subrecipients and contractors, whether such programs and activities are Federally assisted or not)</w:t>
      </w:r>
    </w:p>
    <w:p>
      <w:pPr>
        <w:pStyle w:val="BodyText"/>
        <w:spacing w:before="2"/>
      </w:pPr>
    </w:p>
    <w:p>
      <w:pPr>
        <w:pStyle w:val="BodyText"/>
        <w:ind w:left="120" w:right="110"/>
        <w:jc w:val="both"/>
      </w:pPr>
      <w:r>
        <w:rPr>
          <w:b/>
        </w:rPr>
        <w:t>The Age Discrimination Act of 1975, </w:t>
      </w:r>
      <w:r>
        <w:rPr/>
        <w:t>as amended 42 U.S.C. 6101, provides</w:t>
      </w:r>
      <w:r>
        <w:rPr>
          <w:b/>
        </w:rPr>
        <w:t>:</w:t>
      </w:r>
      <w:r>
        <w:rPr>
          <w:b/>
          <w:spacing w:val="40"/>
        </w:rPr>
        <w:t> </w:t>
      </w:r>
      <w:r>
        <w:rPr>
          <w:b/>
        </w:rPr>
        <w:t>“</w:t>
      </w:r>
      <w:r>
        <w:rPr/>
        <w:t>No person in the United States shall, on the basis of age, be excluded from participation in, be denied the benefits of, or be subjected to discrimination under any program or activity receiving Federal financial assistance” (Prohibits discrimination based on sex)</w:t>
      </w:r>
    </w:p>
    <w:p>
      <w:pPr>
        <w:pStyle w:val="BodyText"/>
        <w:spacing w:before="11"/>
        <w:rPr>
          <w:sz w:val="23"/>
        </w:rPr>
      </w:pPr>
    </w:p>
    <w:p>
      <w:pPr>
        <w:pStyle w:val="BodyText"/>
        <w:ind w:left="120" w:right="112"/>
        <w:jc w:val="both"/>
      </w:pPr>
      <w:r>
        <w:rPr>
          <w:b/>
        </w:rPr>
        <w:t>The Americans with Disabilities Act, </w:t>
      </w:r>
      <w:r>
        <w:rPr/>
        <w:t>P.L. 101-336, provides:</w:t>
      </w:r>
      <w:r>
        <w:rPr>
          <w:spacing w:val="40"/>
        </w:rPr>
        <w:t> </w:t>
      </w:r>
      <w:r>
        <w:rPr/>
        <w:t>“No qualified individual with a disability shall, by such reason of such disability,</w:t>
      </w:r>
      <w:r>
        <w:rPr>
          <w:spacing w:val="-1"/>
        </w:rPr>
        <w:t> </w:t>
      </w:r>
      <w:r>
        <w:rPr/>
        <w:t>be</w:t>
      </w:r>
      <w:r>
        <w:rPr>
          <w:spacing w:val="-1"/>
        </w:rPr>
        <w:t> </w:t>
      </w:r>
      <w:r>
        <w:rPr/>
        <w:t>excluded from</w:t>
      </w:r>
      <w:r>
        <w:rPr>
          <w:spacing w:val="-1"/>
        </w:rPr>
        <w:t> </w:t>
      </w:r>
      <w:r>
        <w:rPr/>
        <w:t>the</w:t>
      </w:r>
      <w:r>
        <w:rPr>
          <w:spacing w:val="-1"/>
        </w:rPr>
        <w:t> </w:t>
      </w:r>
      <w:r>
        <w:rPr/>
        <w:t>participation in,</w:t>
      </w:r>
      <w:r>
        <w:rPr>
          <w:spacing w:val="-1"/>
        </w:rPr>
        <w:t> </w:t>
      </w:r>
      <w:r>
        <w:rPr/>
        <w:t>be</w:t>
      </w:r>
      <w:r>
        <w:rPr>
          <w:spacing w:val="-1"/>
        </w:rPr>
        <w:t> </w:t>
      </w:r>
      <w:r>
        <w:rPr/>
        <w:t>denied</w:t>
      </w:r>
      <w:r>
        <w:rPr>
          <w:spacing w:val="-3"/>
        </w:rPr>
        <w:t> </w:t>
      </w:r>
      <w:r>
        <w:rPr/>
        <w:t>the</w:t>
      </w:r>
      <w:r>
        <w:rPr>
          <w:spacing w:val="-3"/>
        </w:rPr>
        <w:t> </w:t>
      </w:r>
      <w:r>
        <w:rPr/>
        <w:t>benefits</w:t>
      </w:r>
      <w:r>
        <w:rPr>
          <w:spacing w:val="-2"/>
        </w:rPr>
        <w:t> </w:t>
      </w:r>
      <w:r>
        <w:rPr/>
        <w:t>of,</w:t>
      </w:r>
      <w:r>
        <w:rPr>
          <w:spacing w:val="-4"/>
        </w:rPr>
        <w:t> </w:t>
      </w:r>
      <w:r>
        <w:rPr/>
        <w:t>or</w:t>
      </w:r>
      <w:r>
        <w:rPr>
          <w:spacing w:val="-1"/>
        </w:rPr>
        <w:t> </w:t>
      </w:r>
      <w:r>
        <w:rPr/>
        <w:t>be</w:t>
      </w:r>
      <w:r>
        <w:rPr>
          <w:spacing w:val="-1"/>
        </w:rPr>
        <w:t> </w:t>
      </w:r>
      <w:r>
        <w:rPr/>
        <w:t>subjected to</w:t>
      </w:r>
      <w:r>
        <w:rPr>
          <w:spacing w:val="-8"/>
        </w:rPr>
        <w:t> </w:t>
      </w:r>
      <w:r>
        <w:rPr/>
        <w:t>discrimination</w:t>
      </w:r>
      <w:r>
        <w:rPr>
          <w:spacing w:val="-8"/>
        </w:rPr>
        <w:t> </w:t>
      </w:r>
      <w:r>
        <w:rPr/>
        <w:t>by</w:t>
      </w:r>
      <w:r>
        <w:rPr>
          <w:spacing w:val="-7"/>
        </w:rPr>
        <w:t> </w:t>
      </w:r>
      <w:r>
        <w:rPr/>
        <w:t>a</w:t>
      </w:r>
      <w:r>
        <w:rPr>
          <w:spacing w:val="-9"/>
        </w:rPr>
        <w:t> </w:t>
      </w:r>
      <w:r>
        <w:rPr/>
        <w:t>department,</w:t>
      </w:r>
      <w:r>
        <w:rPr>
          <w:spacing w:val="-6"/>
        </w:rPr>
        <w:t> </w:t>
      </w:r>
      <w:r>
        <w:rPr/>
        <w:t>agency,</w:t>
      </w:r>
      <w:r>
        <w:rPr>
          <w:spacing w:val="-6"/>
        </w:rPr>
        <w:t> </w:t>
      </w:r>
      <w:r>
        <w:rPr/>
        <w:t>special</w:t>
      </w:r>
      <w:r>
        <w:rPr>
          <w:spacing w:val="-6"/>
        </w:rPr>
        <w:t> </w:t>
      </w:r>
      <w:r>
        <w:rPr/>
        <w:t>purpose</w:t>
      </w:r>
      <w:r>
        <w:rPr>
          <w:spacing w:val="-8"/>
        </w:rPr>
        <w:t> </w:t>
      </w:r>
      <w:r>
        <w:rPr/>
        <w:t>district,</w:t>
      </w:r>
      <w:r>
        <w:rPr>
          <w:spacing w:val="-9"/>
        </w:rPr>
        <w:t> </w:t>
      </w:r>
      <w:r>
        <w:rPr/>
        <w:t>or</w:t>
      </w:r>
      <w:r>
        <w:rPr>
          <w:spacing w:val="-8"/>
        </w:rPr>
        <w:t> </w:t>
      </w:r>
      <w:r>
        <w:rPr/>
        <w:t>other</w:t>
      </w:r>
      <w:r>
        <w:rPr>
          <w:spacing w:val="-6"/>
        </w:rPr>
        <w:t> </w:t>
      </w:r>
      <w:r>
        <w:rPr/>
        <w:t>instrumentality</w:t>
      </w:r>
      <w:r>
        <w:rPr>
          <w:spacing w:val="-9"/>
        </w:rPr>
        <w:t> </w:t>
      </w:r>
      <w:r>
        <w:rPr/>
        <w:t>of</w:t>
      </w:r>
      <w:r>
        <w:rPr>
          <w:spacing w:val="-8"/>
        </w:rPr>
        <w:t> </w:t>
      </w:r>
      <w:r>
        <w:rPr/>
        <w:t>a</w:t>
      </w:r>
      <w:r>
        <w:rPr>
          <w:spacing w:val="-6"/>
        </w:rPr>
        <w:t> </w:t>
      </w:r>
      <w:r>
        <w:rPr/>
        <w:t>State</w:t>
      </w:r>
      <w:r>
        <w:rPr>
          <w:spacing w:val="-8"/>
        </w:rPr>
        <w:t> </w:t>
      </w:r>
      <w:r>
        <w:rPr/>
        <w:t>or</w:t>
      </w:r>
      <w:r>
        <w:rPr>
          <w:spacing w:val="-6"/>
        </w:rPr>
        <w:t> </w:t>
      </w:r>
      <w:r>
        <w:rPr/>
        <w:t>a</w:t>
      </w:r>
      <w:r>
        <w:rPr>
          <w:spacing w:val="-9"/>
        </w:rPr>
        <w:t> </w:t>
      </w:r>
      <w:r>
        <w:rPr/>
        <w:t>local government.”</w:t>
      </w:r>
      <w:r>
        <w:rPr>
          <w:spacing w:val="40"/>
        </w:rPr>
        <w:t> </w:t>
      </w:r>
      <w:r>
        <w:rPr/>
        <w:t>(Provided enforceable standards to address discrimination against people with disabilities)</w:t>
      </w:r>
    </w:p>
    <w:p>
      <w:pPr>
        <w:pStyle w:val="BodyText"/>
        <w:spacing w:before="1"/>
      </w:pPr>
    </w:p>
    <w:p>
      <w:pPr>
        <w:pStyle w:val="BodyText"/>
        <w:spacing w:before="1"/>
        <w:ind w:left="120" w:right="115"/>
        <w:jc w:val="both"/>
      </w:pPr>
      <w:r>
        <w:rPr>
          <w:b/>
        </w:rPr>
        <w:t>Section</w:t>
      </w:r>
      <w:r>
        <w:rPr>
          <w:b/>
          <w:spacing w:val="-8"/>
        </w:rPr>
        <w:t> </w:t>
      </w:r>
      <w:r>
        <w:rPr>
          <w:b/>
        </w:rPr>
        <w:t>504</w:t>
      </w:r>
      <w:r>
        <w:rPr>
          <w:b/>
          <w:spacing w:val="-10"/>
        </w:rPr>
        <w:t> </w:t>
      </w:r>
      <w:r>
        <w:rPr>
          <w:b/>
        </w:rPr>
        <w:t>of</w:t>
      </w:r>
      <w:r>
        <w:rPr>
          <w:b/>
          <w:spacing w:val="-8"/>
        </w:rPr>
        <w:t> </w:t>
      </w:r>
      <w:r>
        <w:rPr>
          <w:b/>
        </w:rPr>
        <w:t>the</w:t>
      </w:r>
      <w:r>
        <w:rPr>
          <w:b/>
          <w:spacing w:val="-10"/>
        </w:rPr>
        <w:t> </w:t>
      </w:r>
      <w:r>
        <w:rPr>
          <w:b/>
        </w:rPr>
        <w:t>Rehabilitation</w:t>
      </w:r>
      <w:r>
        <w:rPr>
          <w:b/>
          <w:spacing w:val="-10"/>
        </w:rPr>
        <w:t> </w:t>
      </w:r>
      <w:r>
        <w:rPr>
          <w:b/>
        </w:rPr>
        <w:t>Act</w:t>
      </w:r>
      <w:r>
        <w:rPr>
          <w:b/>
          <w:spacing w:val="-10"/>
        </w:rPr>
        <w:t> </w:t>
      </w:r>
      <w:r>
        <w:rPr>
          <w:b/>
        </w:rPr>
        <w:t>of</w:t>
      </w:r>
      <w:r>
        <w:rPr>
          <w:b/>
          <w:spacing w:val="-8"/>
        </w:rPr>
        <w:t> </w:t>
      </w:r>
      <w:r>
        <w:rPr>
          <w:b/>
        </w:rPr>
        <w:t>1973,</w:t>
      </w:r>
      <w:r>
        <w:rPr>
          <w:b/>
          <w:spacing w:val="-8"/>
        </w:rPr>
        <w:t> </w:t>
      </w:r>
      <w:r>
        <w:rPr/>
        <w:t>29</w:t>
      </w:r>
      <w:r>
        <w:rPr>
          <w:spacing w:val="-10"/>
        </w:rPr>
        <w:t> </w:t>
      </w:r>
      <w:r>
        <w:rPr/>
        <w:t>U.S.C.</w:t>
      </w:r>
      <w:r>
        <w:rPr>
          <w:spacing w:val="-9"/>
        </w:rPr>
        <w:t> </w:t>
      </w:r>
      <w:r>
        <w:rPr/>
        <w:t>790,</w:t>
      </w:r>
      <w:r>
        <w:rPr>
          <w:spacing w:val="-9"/>
        </w:rPr>
        <w:t> </w:t>
      </w:r>
      <w:r>
        <w:rPr/>
        <w:t>provides</w:t>
      </w:r>
      <w:r>
        <w:rPr>
          <w:spacing w:val="-11"/>
        </w:rPr>
        <w:t> </w:t>
      </w:r>
      <w:r>
        <w:rPr/>
        <w:t>that:</w:t>
      </w:r>
      <w:r>
        <w:rPr>
          <w:spacing w:val="38"/>
        </w:rPr>
        <w:t> </w:t>
      </w:r>
      <w:r>
        <w:rPr/>
        <w:t>“(N)o</w:t>
      </w:r>
      <w:r>
        <w:rPr>
          <w:spacing w:val="-11"/>
        </w:rPr>
        <w:t> </w:t>
      </w:r>
      <w:r>
        <w:rPr/>
        <w:t>qualified</w:t>
      </w:r>
      <w:r>
        <w:rPr>
          <w:spacing w:val="-8"/>
        </w:rPr>
        <w:t> </w:t>
      </w:r>
      <w:r>
        <w:rPr/>
        <w:t>handicapped</w:t>
      </w:r>
      <w:r>
        <w:rPr>
          <w:spacing w:val="-8"/>
        </w:rPr>
        <w:t> </w:t>
      </w:r>
      <w:r>
        <w:rPr/>
        <w:t>person shall, solely by reason of his handicap, be excluded from participation in, be denied the benefits of, or be subjected to discrimination under any program or activity that receives or benefits from Federal financial assistance.” (Prohibits discrimination based on physical or mental handicap)</w:t>
      </w:r>
    </w:p>
    <w:p>
      <w:pPr>
        <w:pStyle w:val="BodyText"/>
        <w:spacing w:before="11"/>
        <w:rPr>
          <w:sz w:val="23"/>
        </w:rPr>
      </w:pPr>
    </w:p>
    <w:p>
      <w:pPr>
        <w:spacing w:before="0"/>
        <w:ind w:left="120" w:right="113" w:firstLine="0"/>
        <w:jc w:val="both"/>
        <w:rPr>
          <w:sz w:val="24"/>
        </w:rPr>
      </w:pPr>
      <w:r>
        <w:rPr>
          <w:b/>
          <w:sz w:val="24"/>
        </w:rPr>
        <w:t>The Uniform Relocation Assistance and Real Property Acquisition Policies Act of 1970</w:t>
      </w:r>
      <w:r>
        <w:rPr>
          <w:sz w:val="24"/>
        </w:rPr>
        <w:t>, 42 U.S.C. 4601, provides: “For the fair and equitable treatment of persons displaced as direct result of programs or projects undertaken by a Federal agency or with Federal financial assistance.” (Provides for fair treatment of persons displaced by Federal and Federal-aid programs and projects)</w:t>
      </w:r>
    </w:p>
    <w:p>
      <w:pPr>
        <w:pStyle w:val="BodyText"/>
        <w:spacing w:before="11"/>
        <w:rPr>
          <w:sz w:val="23"/>
        </w:rPr>
      </w:pPr>
    </w:p>
    <w:p>
      <w:pPr>
        <w:pStyle w:val="BodyText"/>
        <w:ind w:left="120" w:right="114"/>
        <w:jc w:val="both"/>
      </w:pPr>
      <w:r>
        <w:rPr>
          <w:b/>
        </w:rPr>
        <w:t>The Uniform Relocation Act Amendments of 1987</w:t>
      </w:r>
      <w:r>
        <w:rPr/>
        <w:t>, P.L. 101-246, provides: “For fair, uniform, and equitable treatment of all affected persons;…(and) minimizing the adverse impact of displacement..(to maintain)…the economic</w:t>
      </w:r>
      <w:r>
        <w:rPr>
          <w:spacing w:val="-3"/>
        </w:rPr>
        <w:t> </w:t>
      </w:r>
      <w:r>
        <w:rPr/>
        <w:t>and</w:t>
      </w:r>
      <w:r>
        <w:rPr>
          <w:spacing w:val="-1"/>
        </w:rPr>
        <w:t> </w:t>
      </w:r>
      <w:r>
        <w:rPr/>
        <w:t>social</w:t>
      </w:r>
      <w:r>
        <w:rPr>
          <w:spacing w:val="-2"/>
        </w:rPr>
        <w:t> </w:t>
      </w:r>
      <w:r>
        <w:rPr/>
        <w:t>well-being</w:t>
      </w:r>
      <w:r>
        <w:rPr>
          <w:spacing w:val="-3"/>
        </w:rPr>
        <w:t> </w:t>
      </w:r>
      <w:r>
        <w:rPr/>
        <w:t>of</w:t>
      </w:r>
      <w:r>
        <w:rPr>
          <w:spacing w:val="-1"/>
        </w:rPr>
        <w:t> </w:t>
      </w:r>
      <w:r>
        <w:rPr/>
        <w:t>communities;</w:t>
      </w:r>
      <w:r>
        <w:rPr>
          <w:spacing w:val="-2"/>
        </w:rPr>
        <w:t> </w:t>
      </w:r>
      <w:r>
        <w:rPr/>
        <w:t>and</w:t>
      </w:r>
      <w:r>
        <w:rPr>
          <w:spacing w:val="-1"/>
        </w:rPr>
        <w:t> </w:t>
      </w:r>
      <w:r>
        <w:rPr/>
        <w:t>to</w:t>
      </w:r>
      <w:r>
        <w:rPr>
          <w:spacing w:val="-2"/>
        </w:rPr>
        <w:t> </w:t>
      </w:r>
      <w:r>
        <w:rPr/>
        <w:t>establish</w:t>
      </w:r>
      <w:r>
        <w:rPr>
          <w:spacing w:val="-1"/>
        </w:rPr>
        <w:t> </w:t>
      </w:r>
      <w:r>
        <w:rPr/>
        <w:t>a</w:t>
      </w:r>
      <w:r>
        <w:rPr>
          <w:spacing w:val="-2"/>
        </w:rPr>
        <w:t> </w:t>
      </w:r>
      <w:r>
        <w:rPr/>
        <w:t>lead</w:t>
      </w:r>
      <w:r>
        <w:rPr>
          <w:spacing w:val="-1"/>
        </w:rPr>
        <w:t> </w:t>
      </w:r>
      <w:r>
        <w:rPr/>
        <w:t>agency</w:t>
      </w:r>
      <w:r>
        <w:rPr>
          <w:spacing w:val="-3"/>
        </w:rPr>
        <w:t> </w:t>
      </w:r>
      <w:r>
        <w:rPr/>
        <w:t>and</w:t>
      </w:r>
      <w:r>
        <w:rPr>
          <w:spacing w:val="-1"/>
        </w:rPr>
        <w:t> </w:t>
      </w:r>
      <w:r>
        <w:rPr/>
        <w:t>allow</w:t>
      </w:r>
      <w:r>
        <w:rPr>
          <w:spacing w:val="-1"/>
        </w:rPr>
        <w:t> </w:t>
      </w:r>
      <w:r>
        <w:rPr/>
        <w:t>for</w:t>
      </w:r>
      <w:r>
        <w:rPr>
          <w:spacing w:val="-2"/>
        </w:rPr>
        <w:t> </w:t>
      </w:r>
      <w:r>
        <w:rPr/>
        <w:t>State</w:t>
      </w:r>
      <w:r>
        <w:rPr>
          <w:spacing w:val="-4"/>
        </w:rPr>
        <w:t> </w:t>
      </w:r>
      <w:r>
        <w:rPr/>
        <w:t>certification and</w:t>
      </w:r>
      <w:r>
        <w:rPr>
          <w:spacing w:val="-14"/>
        </w:rPr>
        <w:t> </w:t>
      </w:r>
      <w:r>
        <w:rPr/>
        <w:t>implementation.”</w:t>
      </w:r>
      <w:r>
        <w:rPr>
          <w:spacing w:val="-14"/>
        </w:rPr>
        <w:t> </w:t>
      </w:r>
      <w:r>
        <w:rPr/>
        <w:t>(Updated</w:t>
      </w:r>
      <w:r>
        <w:rPr>
          <w:spacing w:val="-13"/>
        </w:rPr>
        <w:t> </w:t>
      </w:r>
      <w:r>
        <w:rPr/>
        <w:t>the</w:t>
      </w:r>
      <w:r>
        <w:rPr>
          <w:spacing w:val="-14"/>
        </w:rPr>
        <w:t> </w:t>
      </w:r>
      <w:r>
        <w:rPr/>
        <w:t>1970</w:t>
      </w:r>
      <w:r>
        <w:rPr>
          <w:spacing w:val="-13"/>
        </w:rPr>
        <w:t> </w:t>
      </w:r>
      <w:r>
        <w:rPr/>
        <w:t>Act</w:t>
      </w:r>
      <w:r>
        <w:rPr>
          <w:spacing w:val="-14"/>
        </w:rPr>
        <w:t> </w:t>
      </w:r>
      <w:r>
        <w:rPr/>
        <w:t>and</w:t>
      </w:r>
      <w:r>
        <w:rPr>
          <w:spacing w:val="-13"/>
        </w:rPr>
        <w:t> </w:t>
      </w:r>
      <w:r>
        <w:rPr/>
        <w:t>clarified</w:t>
      </w:r>
      <w:r>
        <w:rPr>
          <w:spacing w:val="-14"/>
        </w:rPr>
        <w:t> </w:t>
      </w:r>
      <w:r>
        <w:rPr/>
        <w:t>the</w:t>
      </w:r>
      <w:r>
        <w:rPr>
          <w:spacing w:val="-14"/>
        </w:rPr>
        <w:t> </w:t>
      </w:r>
      <w:r>
        <w:rPr/>
        <w:t>intent</w:t>
      </w:r>
      <w:r>
        <w:rPr>
          <w:spacing w:val="-13"/>
        </w:rPr>
        <w:t> </w:t>
      </w:r>
      <w:r>
        <w:rPr/>
        <w:t>of</w:t>
      </w:r>
      <w:r>
        <w:rPr>
          <w:spacing w:val="-14"/>
        </w:rPr>
        <w:t> </w:t>
      </w:r>
      <w:r>
        <w:rPr/>
        <w:t>congress</w:t>
      </w:r>
      <w:r>
        <w:rPr>
          <w:spacing w:val="-13"/>
        </w:rPr>
        <w:t> </w:t>
      </w:r>
      <w:r>
        <w:rPr/>
        <w:t>in</w:t>
      </w:r>
      <w:r>
        <w:rPr>
          <w:spacing w:val="-14"/>
        </w:rPr>
        <w:t> </w:t>
      </w:r>
      <w:r>
        <w:rPr/>
        <w:t>programs</w:t>
      </w:r>
      <w:r>
        <w:rPr>
          <w:spacing w:val="-13"/>
        </w:rPr>
        <w:t> </w:t>
      </w:r>
      <w:r>
        <w:rPr/>
        <w:t>and</w:t>
      </w:r>
      <w:r>
        <w:rPr>
          <w:spacing w:val="-14"/>
        </w:rPr>
        <w:t> </w:t>
      </w:r>
      <w:r>
        <w:rPr/>
        <w:t>projects</w:t>
      </w:r>
      <w:r>
        <w:rPr>
          <w:spacing w:val="-14"/>
        </w:rPr>
        <w:t> </w:t>
      </w:r>
      <w:r>
        <w:rPr/>
        <w:t>which cause displacement)</w:t>
      </w:r>
    </w:p>
    <w:p>
      <w:pPr>
        <w:pStyle w:val="BodyText"/>
        <w:spacing w:before="2"/>
      </w:pPr>
    </w:p>
    <w:p>
      <w:pPr>
        <w:spacing w:before="0"/>
        <w:ind w:left="120" w:right="116" w:firstLine="0"/>
        <w:jc w:val="both"/>
        <w:rPr>
          <w:sz w:val="24"/>
        </w:rPr>
      </w:pPr>
      <w:r>
        <w:rPr>
          <w:b/>
          <w:sz w:val="24"/>
        </w:rPr>
        <w:t>The Civil Rights Act of 1991</w:t>
      </w:r>
      <w:r>
        <w:rPr>
          <w:sz w:val="24"/>
        </w:rPr>
        <w:t>, in part, amended Section 1981 of 42 U.S.C. by adding two new sections that </w:t>
      </w:r>
      <w:r>
        <w:rPr>
          <w:spacing w:val="-2"/>
          <w:sz w:val="24"/>
        </w:rPr>
        <w:t>provided:</w:t>
      </w:r>
    </w:p>
    <w:p>
      <w:pPr>
        <w:spacing w:after="0"/>
        <w:jc w:val="both"/>
        <w:rPr>
          <w:sz w:val="24"/>
        </w:rPr>
        <w:sectPr>
          <w:pgSz w:w="12240" w:h="15840"/>
          <w:pgMar w:header="0" w:footer="1063" w:top="960" w:bottom="1260" w:left="600" w:right="600"/>
        </w:sectPr>
      </w:pPr>
    </w:p>
    <w:p>
      <w:pPr>
        <w:pStyle w:val="ListParagraph"/>
        <w:numPr>
          <w:ilvl w:val="0"/>
          <w:numId w:val="3"/>
        </w:numPr>
        <w:tabs>
          <w:tab w:pos="454" w:val="left" w:leader="none"/>
        </w:tabs>
        <w:spacing w:line="240" w:lineRule="auto" w:before="35" w:after="0"/>
        <w:ind w:left="120" w:right="114" w:firstLine="0"/>
        <w:jc w:val="both"/>
        <w:rPr>
          <w:sz w:val="24"/>
        </w:rPr>
      </w:pPr>
      <w:r>
        <w:rPr>
          <w:sz w:val="24"/>
        </w:rPr>
        <w:t>For the purposes of this section, the term `make and enforce contracts’ includes the making performance, modification, and termination of contracts and the enjoyment of all benefits, privileges, terms, and conditions of the contractual relationship.</w:t>
      </w:r>
    </w:p>
    <w:p>
      <w:pPr>
        <w:pStyle w:val="BodyText"/>
        <w:spacing w:before="12"/>
        <w:rPr>
          <w:sz w:val="23"/>
        </w:rPr>
      </w:pPr>
    </w:p>
    <w:p>
      <w:pPr>
        <w:pStyle w:val="ListParagraph"/>
        <w:numPr>
          <w:ilvl w:val="0"/>
          <w:numId w:val="3"/>
        </w:numPr>
        <w:tabs>
          <w:tab w:pos="428" w:val="left" w:leader="none"/>
        </w:tabs>
        <w:spacing w:line="240" w:lineRule="auto" w:before="0" w:after="0"/>
        <w:ind w:left="120" w:right="117" w:firstLine="0"/>
        <w:jc w:val="both"/>
        <w:rPr>
          <w:sz w:val="24"/>
        </w:rPr>
      </w:pPr>
      <w:r>
        <w:rPr>
          <w:sz w:val="24"/>
        </w:rPr>
        <w:t>The rights protected by this section are protected against impairment by non-governmental discrimination and impairment under color of State law.”</w:t>
      </w:r>
    </w:p>
    <w:p>
      <w:pPr>
        <w:pStyle w:val="BodyText"/>
        <w:spacing w:before="11"/>
        <w:rPr>
          <w:sz w:val="23"/>
        </w:rPr>
      </w:pPr>
    </w:p>
    <w:p>
      <w:pPr>
        <w:pStyle w:val="BodyText"/>
        <w:ind w:left="120" w:right="113"/>
        <w:jc w:val="both"/>
      </w:pPr>
      <w:r>
        <w:rPr>
          <w:b/>
        </w:rPr>
        <w:t>The National Environmental Policy Act of 1969</w:t>
      </w:r>
      <w:r>
        <w:rPr/>
        <w:t>, 42 U.S.C. 4321 Requires that consideration of alternatives, including the “no build” alternative, consideration of social, environmental and economic impacts, public involvement, and use of a systematic interdisciplinary approach at each decision-making stage of Federal Aid project development.</w:t>
      </w:r>
    </w:p>
    <w:p>
      <w:pPr>
        <w:pStyle w:val="BodyText"/>
        <w:spacing w:before="2"/>
      </w:pPr>
    </w:p>
    <w:p>
      <w:pPr>
        <w:pStyle w:val="Heading8"/>
        <w:ind w:left="120"/>
        <w:jc w:val="both"/>
        <w:rPr>
          <w:u w:val="none"/>
        </w:rPr>
      </w:pPr>
      <w:r>
        <w:rPr>
          <w:u w:val="single"/>
        </w:rPr>
        <w:t>NONDISCRIMINATION</w:t>
      </w:r>
      <w:r>
        <w:rPr>
          <w:spacing w:val="-5"/>
          <w:u w:val="single"/>
        </w:rPr>
        <w:t> </w:t>
      </w:r>
      <w:r>
        <w:rPr>
          <w:u w:val="single"/>
        </w:rPr>
        <w:t>EXECUTIVE</w:t>
      </w:r>
      <w:r>
        <w:rPr>
          <w:spacing w:val="-6"/>
          <w:u w:val="single"/>
        </w:rPr>
        <w:t> </w:t>
      </w:r>
      <w:r>
        <w:rPr>
          <w:spacing w:val="-2"/>
          <w:u w:val="single"/>
        </w:rPr>
        <w:t>ORDERS</w:t>
      </w:r>
    </w:p>
    <w:p>
      <w:pPr>
        <w:pStyle w:val="BodyText"/>
        <w:spacing w:before="9"/>
        <w:rPr>
          <w:b/>
          <w:sz w:val="19"/>
        </w:rPr>
      </w:pPr>
    </w:p>
    <w:p>
      <w:pPr>
        <w:pStyle w:val="BodyText"/>
        <w:spacing w:before="52"/>
        <w:ind w:left="120"/>
      </w:pPr>
      <w:r>
        <w:rPr>
          <w:b/>
        </w:rPr>
        <w:t>E.O.</w:t>
      </w:r>
      <w:r>
        <w:rPr>
          <w:b/>
          <w:spacing w:val="-6"/>
        </w:rPr>
        <w:t> </w:t>
      </w:r>
      <w:r>
        <w:rPr>
          <w:b/>
        </w:rPr>
        <w:t>12250:</w:t>
      </w:r>
      <w:r>
        <w:rPr>
          <w:b/>
          <w:spacing w:val="-2"/>
        </w:rPr>
        <w:t> </w:t>
      </w:r>
      <w:r>
        <w:rPr/>
        <w:t>Department</w:t>
      </w:r>
      <w:r>
        <w:rPr>
          <w:spacing w:val="-5"/>
        </w:rPr>
        <w:t> </w:t>
      </w:r>
      <w:r>
        <w:rPr/>
        <w:t>of</w:t>
      </w:r>
      <w:r>
        <w:rPr>
          <w:spacing w:val="-1"/>
        </w:rPr>
        <w:t> </w:t>
      </w:r>
      <w:r>
        <w:rPr/>
        <w:t>Justice</w:t>
      </w:r>
      <w:r>
        <w:rPr>
          <w:spacing w:val="-2"/>
        </w:rPr>
        <w:t> </w:t>
      </w:r>
      <w:r>
        <w:rPr/>
        <w:t>Leadership</w:t>
      </w:r>
      <w:r>
        <w:rPr>
          <w:spacing w:val="-3"/>
        </w:rPr>
        <w:t> </w:t>
      </w:r>
      <w:r>
        <w:rPr/>
        <w:t>and</w:t>
      </w:r>
      <w:r>
        <w:rPr>
          <w:spacing w:val="-4"/>
        </w:rPr>
        <w:t> </w:t>
      </w:r>
      <w:r>
        <w:rPr/>
        <w:t>Coordination</w:t>
      </w:r>
      <w:r>
        <w:rPr>
          <w:spacing w:val="-3"/>
        </w:rPr>
        <w:t> </w:t>
      </w:r>
      <w:r>
        <w:rPr/>
        <w:t>of</w:t>
      </w:r>
      <w:r>
        <w:rPr>
          <w:spacing w:val="-4"/>
        </w:rPr>
        <w:t> </w:t>
      </w:r>
      <w:r>
        <w:rPr/>
        <w:t>Nondiscrimination</w:t>
      </w:r>
      <w:r>
        <w:rPr>
          <w:spacing w:val="-3"/>
        </w:rPr>
        <w:t> </w:t>
      </w:r>
      <w:r>
        <w:rPr>
          <w:spacing w:val="-2"/>
        </w:rPr>
        <w:t>Laws.</w:t>
      </w:r>
    </w:p>
    <w:p>
      <w:pPr>
        <w:pStyle w:val="BodyText"/>
        <w:ind w:left="120"/>
      </w:pPr>
      <w:r>
        <w:rPr>
          <w:b/>
        </w:rPr>
        <w:t>E.O.</w:t>
      </w:r>
      <w:r>
        <w:rPr>
          <w:b/>
          <w:spacing w:val="68"/>
        </w:rPr>
        <w:t> </w:t>
      </w:r>
      <w:r>
        <w:rPr>
          <w:b/>
        </w:rPr>
        <w:t>12898:</w:t>
      </w:r>
      <w:r>
        <w:rPr>
          <w:b/>
          <w:spacing w:val="69"/>
        </w:rPr>
        <w:t> </w:t>
      </w:r>
      <w:r>
        <w:rPr/>
        <w:t>Federal</w:t>
      </w:r>
      <w:r>
        <w:rPr>
          <w:spacing w:val="68"/>
        </w:rPr>
        <w:t> </w:t>
      </w:r>
      <w:r>
        <w:rPr/>
        <w:t>Actions</w:t>
      </w:r>
      <w:r>
        <w:rPr>
          <w:spacing w:val="40"/>
        </w:rPr>
        <w:t> </w:t>
      </w:r>
      <w:r>
        <w:rPr/>
        <w:t>to</w:t>
      </w:r>
      <w:r>
        <w:rPr>
          <w:spacing w:val="68"/>
        </w:rPr>
        <w:t> </w:t>
      </w:r>
      <w:r>
        <w:rPr/>
        <w:t>Address</w:t>
      </w:r>
      <w:r>
        <w:rPr>
          <w:spacing w:val="68"/>
        </w:rPr>
        <w:t> </w:t>
      </w:r>
      <w:r>
        <w:rPr/>
        <w:t>Environmental</w:t>
      </w:r>
      <w:r>
        <w:rPr>
          <w:spacing w:val="68"/>
        </w:rPr>
        <w:t> </w:t>
      </w:r>
      <w:r>
        <w:rPr/>
        <w:t>Justice</w:t>
      </w:r>
      <w:r>
        <w:rPr>
          <w:spacing w:val="68"/>
        </w:rPr>
        <w:t> </w:t>
      </w:r>
      <w:r>
        <w:rPr/>
        <w:t>in</w:t>
      </w:r>
      <w:r>
        <w:rPr>
          <w:spacing w:val="67"/>
        </w:rPr>
        <w:t> </w:t>
      </w:r>
      <w:r>
        <w:rPr/>
        <w:t>Minority</w:t>
      </w:r>
      <w:r>
        <w:rPr>
          <w:spacing w:val="67"/>
        </w:rPr>
        <w:t> </w:t>
      </w:r>
      <w:r>
        <w:rPr/>
        <w:t>populations</w:t>
      </w:r>
      <w:r>
        <w:rPr>
          <w:spacing w:val="68"/>
        </w:rPr>
        <w:t> </w:t>
      </w:r>
      <w:r>
        <w:rPr/>
        <w:t>and</w:t>
      </w:r>
      <w:r>
        <w:rPr>
          <w:spacing w:val="69"/>
        </w:rPr>
        <w:t> </w:t>
      </w:r>
      <w:r>
        <w:rPr/>
        <w:t>low-income </w:t>
      </w:r>
      <w:r>
        <w:rPr>
          <w:spacing w:val="-2"/>
        </w:rPr>
        <w:t>populations</w:t>
      </w:r>
    </w:p>
    <w:p>
      <w:pPr>
        <w:pStyle w:val="BodyText"/>
        <w:ind w:left="120"/>
      </w:pPr>
      <w:r>
        <w:rPr>
          <w:b/>
        </w:rPr>
        <w:t>E.O. 13160- </w:t>
      </w:r>
      <w:r>
        <w:rPr/>
        <w:t>Nondiscrimination on the basis of race, sex, color, national origin, disability, religion, age, sexual</w:t>
      </w:r>
      <w:r>
        <w:rPr>
          <w:spacing w:val="40"/>
        </w:rPr>
        <w:t> </w:t>
      </w:r>
      <w:r>
        <w:rPr/>
        <w:t>orientation, and status as a parent in a Federally conducted education and training programs</w:t>
      </w:r>
    </w:p>
    <w:p>
      <w:pPr>
        <w:pStyle w:val="BodyText"/>
        <w:ind w:left="120"/>
      </w:pPr>
      <w:r>
        <w:rPr>
          <w:b/>
        </w:rPr>
        <w:t>E.O.</w:t>
      </w:r>
      <w:r>
        <w:rPr>
          <w:b/>
          <w:spacing w:val="35"/>
        </w:rPr>
        <w:t> </w:t>
      </w:r>
      <w:r>
        <w:rPr>
          <w:b/>
        </w:rPr>
        <w:t>13166-</w:t>
      </w:r>
      <w:r>
        <w:rPr>
          <w:b/>
          <w:spacing w:val="38"/>
        </w:rPr>
        <w:t> </w:t>
      </w:r>
      <w:r>
        <w:rPr/>
        <w:t>August</w:t>
      </w:r>
      <w:r>
        <w:rPr>
          <w:spacing w:val="38"/>
        </w:rPr>
        <w:t> </w:t>
      </w:r>
      <w:r>
        <w:rPr/>
        <w:t>11,</w:t>
      </w:r>
      <w:r>
        <w:rPr>
          <w:spacing w:val="34"/>
        </w:rPr>
        <w:t> </w:t>
      </w:r>
      <w:r>
        <w:rPr/>
        <w:t>2000-requires</w:t>
      </w:r>
      <w:r>
        <w:rPr>
          <w:spacing w:val="34"/>
        </w:rPr>
        <w:t> </w:t>
      </w:r>
      <w:r>
        <w:rPr/>
        <w:t>Federal</w:t>
      </w:r>
      <w:r>
        <w:rPr>
          <w:spacing w:val="34"/>
        </w:rPr>
        <w:t> </w:t>
      </w:r>
      <w:r>
        <w:rPr/>
        <w:t>agencies</w:t>
      </w:r>
      <w:r>
        <w:rPr>
          <w:spacing w:val="36"/>
        </w:rPr>
        <w:t> </w:t>
      </w:r>
      <w:r>
        <w:rPr/>
        <w:t>and</w:t>
      </w:r>
      <w:r>
        <w:rPr>
          <w:spacing w:val="35"/>
        </w:rPr>
        <w:t> </w:t>
      </w:r>
      <w:r>
        <w:rPr/>
        <w:t>their</w:t>
      </w:r>
      <w:r>
        <w:rPr>
          <w:spacing w:val="35"/>
        </w:rPr>
        <w:t> </w:t>
      </w:r>
      <w:r>
        <w:rPr/>
        <w:t>recipients</w:t>
      </w:r>
      <w:r>
        <w:rPr>
          <w:spacing w:val="34"/>
        </w:rPr>
        <w:t> </w:t>
      </w:r>
      <w:r>
        <w:rPr/>
        <w:t>to</w:t>
      </w:r>
      <w:r>
        <w:rPr>
          <w:spacing w:val="35"/>
        </w:rPr>
        <w:t> </w:t>
      </w:r>
      <w:r>
        <w:rPr/>
        <w:t>improve</w:t>
      </w:r>
      <w:r>
        <w:rPr>
          <w:spacing w:val="35"/>
        </w:rPr>
        <w:t> </w:t>
      </w:r>
      <w:r>
        <w:rPr/>
        <w:t>access</w:t>
      </w:r>
      <w:r>
        <w:rPr>
          <w:spacing w:val="34"/>
        </w:rPr>
        <w:t> </w:t>
      </w:r>
      <w:r>
        <w:rPr/>
        <w:t>to</w:t>
      </w:r>
      <w:r>
        <w:rPr>
          <w:spacing w:val="35"/>
        </w:rPr>
        <w:t> </w:t>
      </w:r>
      <w:r>
        <w:rPr/>
        <w:t>federally sponsored programs for persons with Limited English Proficiency.</w:t>
      </w:r>
    </w:p>
    <w:p>
      <w:pPr>
        <w:pStyle w:val="BodyText"/>
        <w:spacing w:line="293" w:lineRule="exact"/>
        <w:ind w:left="120"/>
      </w:pPr>
      <w:r>
        <w:rPr>
          <w:b/>
        </w:rPr>
        <w:t>E.O.</w:t>
      </w:r>
      <w:r>
        <w:rPr>
          <w:b/>
          <w:spacing w:val="-6"/>
        </w:rPr>
        <w:t> </w:t>
      </w:r>
      <w:r>
        <w:rPr>
          <w:b/>
        </w:rPr>
        <w:t>13175-</w:t>
      </w:r>
      <w:r>
        <w:rPr>
          <w:b/>
          <w:spacing w:val="-3"/>
        </w:rPr>
        <w:t> </w:t>
      </w:r>
      <w:r>
        <w:rPr/>
        <w:t>Consultation</w:t>
      </w:r>
      <w:r>
        <w:rPr>
          <w:spacing w:val="-3"/>
        </w:rPr>
        <w:t> </w:t>
      </w:r>
      <w:r>
        <w:rPr/>
        <w:t>and</w:t>
      </w:r>
      <w:r>
        <w:rPr>
          <w:spacing w:val="-3"/>
        </w:rPr>
        <w:t> </w:t>
      </w:r>
      <w:r>
        <w:rPr/>
        <w:t>Coordination</w:t>
      </w:r>
      <w:r>
        <w:rPr>
          <w:spacing w:val="-3"/>
        </w:rPr>
        <w:t> </w:t>
      </w:r>
      <w:r>
        <w:rPr/>
        <w:t>with</w:t>
      </w:r>
      <w:r>
        <w:rPr>
          <w:spacing w:val="-3"/>
        </w:rPr>
        <w:t> </w:t>
      </w:r>
      <w:r>
        <w:rPr/>
        <w:t>Indian Tribal</w:t>
      </w:r>
      <w:r>
        <w:rPr>
          <w:spacing w:val="-1"/>
        </w:rPr>
        <w:t> </w:t>
      </w:r>
      <w:r>
        <w:rPr>
          <w:spacing w:val="-2"/>
        </w:rPr>
        <w:t>Governments</w:t>
      </w:r>
    </w:p>
    <w:p>
      <w:pPr>
        <w:pStyle w:val="BodyText"/>
        <w:spacing w:before="11"/>
        <w:rPr>
          <w:sz w:val="21"/>
        </w:rPr>
      </w:pPr>
    </w:p>
    <w:p>
      <w:pPr>
        <w:pStyle w:val="Heading8"/>
        <w:ind w:left="120"/>
        <w:jc w:val="left"/>
        <w:rPr>
          <w:u w:val="none"/>
        </w:rPr>
      </w:pPr>
      <w:r>
        <w:rPr>
          <w:u w:val="single"/>
        </w:rPr>
        <w:t>NONDISCRIMINATION</w:t>
      </w:r>
      <w:r>
        <w:rPr>
          <w:spacing w:val="-4"/>
          <w:u w:val="single"/>
        </w:rPr>
        <w:t> </w:t>
      </w:r>
      <w:r>
        <w:rPr>
          <w:u w:val="single"/>
        </w:rPr>
        <w:t>REGULATIONS</w:t>
      </w:r>
      <w:r>
        <w:rPr>
          <w:spacing w:val="-5"/>
          <w:u w:val="single"/>
        </w:rPr>
        <w:t> </w:t>
      </w:r>
      <w:r>
        <w:rPr>
          <w:u w:val="single"/>
        </w:rPr>
        <w:t>&amp;</w:t>
      </w:r>
      <w:r>
        <w:rPr>
          <w:spacing w:val="-5"/>
          <w:u w:val="single"/>
        </w:rPr>
        <w:t> </w:t>
      </w:r>
      <w:r>
        <w:rPr>
          <w:spacing w:val="-2"/>
          <w:u w:val="single"/>
        </w:rPr>
        <w:t>GUIDANCE</w:t>
      </w:r>
    </w:p>
    <w:p>
      <w:pPr>
        <w:pStyle w:val="BodyText"/>
        <w:rPr>
          <w:b/>
          <w:sz w:val="20"/>
        </w:rPr>
      </w:pPr>
    </w:p>
    <w:p>
      <w:pPr>
        <w:pStyle w:val="BodyText"/>
        <w:spacing w:before="176"/>
        <w:ind w:left="271"/>
      </w:pPr>
      <w:r>
        <w:rPr/>
        <w:t>The</w:t>
      </w:r>
      <w:r>
        <w:rPr>
          <w:spacing w:val="40"/>
        </w:rPr>
        <w:t> </w:t>
      </w:r>
      <w:r>
        <w:rPr/>
        <w:t>following</w:t>
      </w:r>
      <w:r>
        <w:rPr>
          <w:spacing w:val="40"/>
        </w:rPr>
        <w:t> </w:t>
      </w:r>
      <w:r>
        <w:rPr/>
        <w:t>are</w:t>
      </w:r>
      <w:r>
        <w:rPr>
          <w:spacing w:val="40"/>
        </w:rPr>
        <w:t> </w:t>
      </w:r>
      <w:r>
        <w:rPr/>
        <w:t>Federal</w:t>
      </w:r>
      <w:r>
        <w:rPr>
          <w:spacing w:val="40"/>
        </w:rPr>
        <w:t> </w:t>
      </w:r>
      <w:r>
        <w:rPr/>
        <w:t>Register</w:t>
      </w:r>
      <w:r>
        <w:rPr>
          <w:spacing w:val="40"/>
        </w:rPr>
        <w:t> </w:t>
      </w:r>
      <w:r>
        <w:rPr/>
        <w:t>Notices,</w:t>
      </w:r>
      <w:r>
        <w:rPr>
          <w:spacing w:val="40"/>
        </w:rPr>
        <w:t> </w:t>
      </w:r>
      <w:r>
        <w:rPr/>
        <w:t>Circulars,</w:t>
      </w:r>
      <w:r>
        <w:rPr>
          <w:spacing w:val="40"/>
        </w:rPr>
        <w:t> </w:t>
      </w:r>
      <w:r>
        <w:rPr/>
        <w:t>Regulations,</w:t>
      </w:r>
      <w:r>
        <w:rPr>
          <w:spacing w:val="40"/>
        </w:rPr>
        <w:t> </w:t>
      </w:r>
      <w:r>
        <w:rPr/>
        <w:t>Executive</w:t>
      </w:r>
      <w:r>
        <w:rPr>
          <w:spacing w:val="40"/>
        </w:rPr>
        <w:t> </w:t>
      </w:r>
      <w:r>
        <w:rPr/>
        <w:t>Orders,</w:t>
      </w:r>
      <w:r>
        <w:rPr>
          <w:spacing w:val="40"/>
        </w:rPr>
        <w:t> </w:t>
      </w:r>
      <w:r>
        <w:rPr/>
        <w:t>and</w:t>
      </w:r>
      <w:r>
        <w:rPr>
          <w:spacing w:val="40"/>
        </w:rPr>
        <w:t> </w:t>
      </w:r>
      <w:r>
        <w:rPr/>
        <w:t>Departmental Orders discussing Title VI:</w:t>
      </w:r>
    </w:p>
    <w:p>
      <w:pPr>
        <w:pStyle w:val="ListParagraph"/>
        <w:numPr>
          <w:ilvl w:val="0"/>
          <w:numId w:val="4"/>
        </w:numPr>
        <w:tabs>
          <w:tab w:pos="839" w:val="left" w:leader="none"/>
        </w:tabs>
        <w:spacing w:line="305" w:lineRule="exact" w:before="150" w:after="0"/>
        <w:ind w:left="839" w:right="0" w:hanging="359"/>
        <w:jc w:val="left"/>
        <w:rPr>
          <w:sz w:val="24"/>
        </w:rPr>
      </w:pPr>
      <w:r>
        <w:rPr>
          <w:sz w:val="24"/>
        </w:rPr>
        <w:t>Title</w:t>
      </w:r>
      <w:r>
        <w:rPr>
          <w:spacing w:val="-3"/>
          <w:sz w:val="24"/>
        </w:rPr>
        <w:t> </w:t>
      </w:r>
      <w:r>
        <w:rPr>
          <w:sz w:val="24"/>
        </w:rPr>
        <w:t>VI</w:t>
      </w:r>
      <w:r>
        <w:rPr>
          <w:spacing w:val="-2"/>
          <w:sz w:val="24"/>
        </w:rPr>
        <w:t> </w:t>
      </w:r>
      <w:r>
        <w:rPr>
          <w:sz w:val="24"/>
        </w:rPr>
        <w:t>Regulation</w:t>
      </w:r>
      <w:r>
        <w:rPr>
          <w:spacing w:val="-1"/>
          <w:sz w:val="24"/>
        </w:rPr>
        <w:t> </w:t>
      </w:r>
      <w:hyperlink r:id="rId10">
        <w:r>
          <w:rPr>
            <w:sz w:val="24"/>
          </w:rPr>
          <w:t>49</w:t>
        </w:r>
        <w:r>
          <w:rPr>
            <w:spacing w:val="-1"/>
            <w:sz w:val="24"/>
          </w:rPr>
          <w:t> </w:t>
        </w:r>
        <w:r>
          <w:rPr>
            <w:sz w:val="24"/>
          </w:rPr>
          <w:t>CFR</w:t>
        </w:r>
        <w:r>
          <w:rPr>
            <w:spacing w:val="-2"/>
            <w:sz w:val="24"/>
          </w:rPr>
          <w:t> </w:t>
        </w:r>
        <w:r>
          <w:rPr>
            <w:spacing w:val="-5"/>
            <w:sz w:val="24"/>
          </w:rPr>
          <w:t>21</w:t>
        </w:r>
      </w:hyperlink>
    </w:p>
    <w:p>
      <w:pPr>
        <w:pStyle w:val="ListParagraph"/>
        <w:numPr>
          <w:ilvl w:val="0"/>
          <w:numId w:val="4"/>
        </w:numPr>
        <w:tabs>
          <w:tab w:pos="840" w:val="left" w:leader="none"/>
        </w:tabs>
        <w:spacing w:line="240" w:lineRule="auto" w:before="0" w:after="0"/>
        <w:ind w:left="840" w:right="116" w:hanging="360"/>
        <w:jc w:val="left"/>
        <w:rPr>
          <w:sz w:val="24"/>
        </w:rPr>
      </w:pPr>
      <w:r>
        <w:rPr>
          <w:sz w:val="24"/>
        </w:rPr>
        <w:t>Title</w:t>
      </w:r>
      <w:r>
        <w:rPr>
          <w:spacing w:val="24"/>
          <w:sz w:val="24"/>
        </w:rPr>
        <w:t> </w:t>
      </w:r>
      <w:r>
        <w:rPr>
          <w:sz w:val="24"/>
        </w:rPr>
        <w:t>VI</w:t>
      </w:r>
      <w:r>
        <w:rPr>
          <w:spacing w:val="26"/>
          <w:sz w:val="24"/>
        </w:rPr>
        <w:t> </w:t>
      </w:r>
      <w:r>
        <w:rPr>
          <w:sz w:val="24"/>
        </w:rPr>
        <w:t>Circular</w:t>
      </w:r>
      <w:r>
        <w:rPr>
          <w:spacing w:val="24"/>
          <w:sz w:val="24"/>
        </w:rPr>
        <w:t> </w:t>
      </w:r>
      <w:r>
        <w:rPr>
          <w:sz w:val="24"/>
        </w:rPr>
        <w:t>4702.1B,</w:t>
      </w:r>
      <w:r>
        <w:rPr>
          <w:spacing w:val="26"/>
          <w:sz w:val="24"/>
        </w:rPr>
        <w:t> </w:t>
      </w:r>
      <w:r>
        <w:rPr>
          <w:sz w:val="24"/>
        </w:rPr>
        <w:t>October</w:t>
      </w:r>
      <w:r>
        <w:rPr>
          <w:spacing w:val="24"/>
          <w:sz w:val="24"/>
        </w:rPr>
        <w:t> </w:t>
      </w:r>
      <w:r>
        <w:rPr>
          <w:sz w:val="24"/>
        </w:rPr>
        <w:t>1,</w:t>
      </w:r>
      <w:r>
        <w:rPr>
          <w:spacing w:val="24"/>
          <w:sz w:val="24"/>
        </w:rPr>
        <w:t> </w:t>
      </w:r>
      <w:r>
        <w:rPr>
          <w:sz w:val="24"/>
        </w:rPr>
        <w:t>2012,</w:t>
      </w:r>
      <w:r>
        <w:rPr>
          <w:spacing w:val="26"/>
          <w:sz w:val="24"/>
        </w:rPr>
        <w:t> </w:t>
      </w:r>
      <w:r>
        <w:rPr>
          <w:sz w:val="24"/>
        </w:rPr>
        <w:t>"</w:t>
      </w:r>
      <w:hyperlink r:id="rId11">
        <w:r>
          <w:rPr>
            <w:sz w:val="24"/>
          </w:rPr>
          <w:t>Title</w:t>
        </w:r>
        <w:r>
          <w:rPr>
            <w:spacing w:val="24"/>
            <w:sz w:val="24"/>
          </w:rPr>
          <w:t> </w:t>
        </w:r>
        <w:r>
          <w:rPr>
            <w:sz w:val="24"/>
          </w:rPr>
          <w:t>VI</w:t>
        </w:r>
        <w:r>
          <w:rPr>
            <w:spacing w:val="26"/>
            <w:sz w:val="24"/>
          </w:rPr>
          <w:t> </w:t>
        </w:r>
        <w:r>
          <w:rPr>
            <w:sz w:val="24"/>
          </w:rPr>
          <w:t>Requirements</w:t>
        </w:r>
        <w:r>
          <w:rPr>
            <w:spacing w:val="26"/>
            <w:sz w:val="24"/>
          </w:rPr>
          <w:t> </w:t>
        </w:r>
        <w:r>
          <w:rPr>
            <w:sz w:val="24"/>
          </w:rPr>
          <w:t>and</w:t>
        </w:r>
        <w:r>
          <w:rPr>
            <w:spacing w:val="25"/>
            <w:sz w:val="24"/>
          </w:rPr>
          <w:t> </w:t>
        </w:r>
        <w:r>
          <w:rPr>
            <w:sz w:val="24"/>
          </w:rPr>
          <w:t>Guidelines</w:t>
        </w:r>
        <w:r>
          <w:rPr>
            <w:spacing w:val="24"/>
            <w:sz w:val="24"/>
          </w:rPr>
          <w:t> </w:t>
        </w:r>
        <w:r>
          <w:rPr>
            <w:sz w:val="24"/>
          </w:rPr>
          <w:t>for</w:t>
        </w:r>
        <w:r>
          <w:rPr>
            <w:spacing w:val="24"/>
            <w:sz w:val="24"/>
          </w:rPr>
          <w:t> </w:t>
        </w:r>
        <w:r>
          <w:rPr>
            <w:sz w:val="24"/>
          </w:rPr>
          <w:t>Federal</w:t>
        </w:r>
        <w:r>
          <w:rPr>
            <w:spacing w:val="24"/>
            <w:sz w:val="24"/>
          </w:rPr>
          <w:t> </w:t>
        </w:r>
        <w:r>
          <w:rPr>
            <w:sz w:val="24"/>
          </w:rPr>
          <w:t>Transit</w:t>
        </w:r>
      </w:hyperlink>
      <w:r>
        <w:rPr>
          <w:sz w:val="24"/>
        </w:rPr>
        <w:t> </w:t>
      </w:r>
      <w:hyperlink r:id="rId11">
        <w:r>
          <w:rPr>
            <w:sz w:val="24"/>
          </w:rPr>
          <w:t>Administration Recipients (MS Word)</w:t>
        </w:r>
      </w:hyperlink>
      <w:r>
        <w:rPr>
          <w:sz w:val="24"/>
        </w:rPr>
        <w:t>"</w:t>
      </w:r>
    </w:p>
    <w:p>
      <w:pPr>
        <w:pStyle w:val="ListParagraph"/>
        <w:numPr>
          <w:ilvl w:val="0"/>
          <w:numId w:val="4"/>
        </w:numPr>
        <w:tabs>
          <w:tab w:pos="839" w:val="left" w:leader="none"/>
        </w:tabs>
        <w:spacing w:line="305" w:lineRule="exact" w:before="0" w:after="0"/>
        <w:ind w:left="839" w:right="0" w:hanging="359"/>
        <w:jc w:val="left"/>
        <w:rPr>
          <w:sz w:val="24"/>
        </w:rPr>
      </w:pPr>
      <w:r>
        <w:rPr>
          <w:sz w:val="24"/>
        </w:rPr>
        <w:t>Federal</w:t>
      </w:r>
      <w:r>
        <w:rPr>
          <w:spacing w:val="-4"/>
          <w:sz w:val="24"/>
        </w:rPr>
        <w:t> </w:t>
      </w:r>
      <w:r>
        <w:rPr>
          <w:sz w:val="24"/>
        </w:rPr>
        <w:t>Register</w:t>
      </w:r>
      <w:r>
        <w:rPr>
          <w:spacing w:val="-3"/>
          <w:sz w:val="24"/>
        </w:rPr>
        <w:t> </w:t>
      </w:r>
      <w:r>
        <w:rPr>
          <w:sz w:val="24"/>
        </w:rPr>
        <w:t>Notice</w:t>
      </w:r>
      <w:r>
        <w:rPr>
          <w:spacing w:val="-2"/>
          <w:sz w:val="24"/>
        </w:rPr>
        <w:t> </w:t>
      </w:r>
      <w:r>
        <w:rPr>
          <w:sz w:val="24"/>
        </w:rPr>
        <w:t>on</w:t>
      </w:r>
      <w:r>
        <w:rPr>
          <w:spacing w:val="-1"/>
          <w:sz w:val="24"/>
        </w:rPr>
        <w:t> </w:t>
      </w:r>
      <w:hyperlink r:id="rId12">
        <w:r>
          <w:rPr>
            <w:sz w:val="24"/>
          </w:rPr>
          <w:t>Circular</w:t>
        </w:r>
        <w:r>
          <w:rPr>
            <w:spacing w:val="-3"/>
            <w:sz w:val="24"/>
          </w:rPr>
          <w:t> </w:t>
        </w:r>
        <w:r>
          <w:rPr>
            <w:sz w:val="24"/>
          </w:rPr>
          <w:t>4702.1B</w:t>
        </w:r>
      </w:hyperlink>
      <w:r>
        <w:rPr>
          <w:spacing w:val="-2"/>
          <w:sz w:val="24"/>
        </w:rPr>
        <w:t> </w:t>
      </w:r>
      <w:r>
        <w:rPr>
          <w:sz w:val="24"/>
        </w:rPr>
        <w:t>(77</w:t>
      </w:r>
      <w:r>
        <w:rPr>
          <w:spacing w:val="-2"/>
          <w:sz w:val="24"/>
        </w:rPr>
        <w:t> </w:t>
      </w:r>
      <w:r>
        <w:rPr>
          <w:sz w:val="24"/>
        </w:rPr>
        <w:t>FR</w:t>
      </w:r>
      <w:r>
        <w:rPr>
          <w:spacing w:val="-2"/>
          <w:sz w:val="24"/>
        </w:rPr>
        <w:t> </w:t>
      </w:r>
      <w:r>
        <w:rPr>
          <w:sz w:val="24"/>
        </w:rPr>
        <w:t>52116)</w:t>
      </w:r>
      <w:r>
        <w:rPr>
          <w:spacing w:val="-1"/>
          <w:sz w:val="24"/>
        </w:rPr>
        <w:t> </w:t>
      </w:r>
      <w:r>
        <w:rPr>
          <w:sz w:val="24"/>
        </w:rPr>
        <w:t>August</w:t>
      </w:r>
      <w:r>
        <w:rPr>
          <w:spacing w:val="-2"/>
          <w:sz w:val="24"/>
        </w:rPr>
        <w:t> </w:t>
      </w:r>
      <w:r>
        <w:rPr>
          <w:sz w:val="24"/>
        </w:rPr>
        <w:t>28,</w:t>
      </w:r>
      <w:r>
        <w:rPr>
          <w:spacing w:val="-3"/>
          <w:sz w:val="24"/>
        </w:rPr>
        <w:t> </w:t>
      </w:r>
      <w:r>
        <w:rPr>
          <w:spacing w:val="-4"/>
          <w:sz w:val="24"/>
        </w:rPr>
        <w:t>2012</w:t>
      </w:r>
    </w:p>
    <w:p>
      <w:pPr>
        <w:pStyle w:val="ListParagraph"/>
        <w:numPr>
          <w:ilvl w:val="0"/>
          <w:numId w:val="4"/>
        </w:numPr>
        <w:tabs>
          <w:tab w:pos="839" w:val="left" w:leader="none"/>
        </w:tabs>
        <w:spacing w:line="305" w:lineRule="exact" w:before="1" w:after="0"/>
        <w:ind w:left="839" w:right="0" w:hanging="360"/>
        <w:jc w:val="left"/>
        <w:rPr>
          <w:sz w:val="24"/>
        </w:rPr>
      </w:pPr>
      <w:r>
        <w:rPr>
          <w:sz w:val="24"/>
        </w:rPr>
        <w:t>Memo:</w:t>
      </w:r>
      <w:r>
        <w:rPr>
          <w:spacing w:val="-3"/>
          <w:sz w:val="24"/>
        </w:rPr>
        <w:t> </w:t>
      </w:r>
      <w:hyperlink r:id="rId13">
        <w:r>
          <w:rPr>
            <w:sz w:val="24"/>
          </w:rPr>
          <w:t>Implementing</w:t>
        </w:r>
        <w:r>
          <w:rPr>
            <w:spacing w:val="-4"/>
            <w:sz w:val="24"/>
          </w:rPr>
          <w:t> </w:t>
        </w:r>
        <w:r>
          <w:rPr>
            <w:sz w:val="24"/>
          </w:rPr>
          <w:t>Title</w:t>
        </w:r>
        <w:r>
          <w:rPr>
            <w:spacing w:val="-1"/>
            <w:sz w:val="24"/>
          </w:rPr>
          <w:t> </w:t>
        </w:r>
        <w:r>
          <w:rPr>
            <w:sz w:val="24"/>
          </w:rPr>
          <w:t>VI</w:t>
        </w:r>
        <w:r>
          <w:rPr>
            <w:spacing w:val="-2"/>
            <w:sz w:val="24"/>
          </w:rPr>
          <w:t> </w:t>
        </w:r>
        <w:r>
          <w:rPr>
            <w:sz w:val="24"/>
          </w:rPr>
          <w:t>Requirements</w:t>
        </w:r>
        <w:r>
          <w:rPr>
            <w:spacing w:val="-2"/>
            <w:sz w:val="24"/>
          </w:rPr>
          <w:t> </w:t>
        </w:r>
        <w:r>
          <w:rPr>
            <w:sz w:val="24"/>
          </w:rPr>
          <w:t>in</w:t>
        </w:r>
        <w:r>
          <w:rPr>
            <w:spacing w:val="-2"/>
            <w:sz w:val="24"/>
          </w:rPr>
          <w:t> </w:t>
        </w:r>
        <w:r>
          <w:rPr>
            <w:sz w:val="24"/>
          </w:rPr>
          <w:t>Metropolitan and</w:t>
        </w:r>
        <w:r>
          <w:rPr>
            <w:spacing w:val="-3"/>
            <w:sz w:val="24"/>
          </w:rPr>
          <w:t> </w:t>
        </w:r>
        <w:r>
          <w:rPr>
            <w:sz w:val="24"/>
          </w:rPr>
          <w:t>Statewide</w:t>
        </w:r>
        <w:r>
          <w:rPr>
            <w:spacing w:val="-1"/>
            <w:sz w:val="24"/>
          </w:rPr>
          <w:t> </w:t>
        </w:r>
        <w:r>
          <w:rPr>
            <w:sz w:val="24"/>
          </w:rPr>
          <w:t>Planning</w:t>
        </w:r>
        <w:r>
          <w:rPr>
            <w:spacing w:val="-2"/>
            <w:sz w:val="24"/>
          </w:rPr>
          <w:t> </w:t>
        </w:r>
        <w:r>
          <w:rPr>
            <w:sz w:val="24"/>
          </w:rPr>
          <w:t>(MS </w:t>
        </w:r>
        <w:r>
          <w:rPr>
            <w:spacing w:val="-2"/>
            <w:sz w:val="24"/>
          </w:rPr>
          <w:t>Word)</w:t>
        </w:r>
      </w:hyperlink>
    </w:p>
    <w:p>
      <w:pPr>
        <w:pStyle w:val="ListParagraph"/>
        <w:numPr>
          <w:ilvl w:val="0"/>
          <w:numId w:val="4"/>
        </w:numPr>
        <w:tabs>
          <w:tab w:pos="839" w:val="left" w:leader="none"/>
        </w:tabs>
        <w:spacing w:line="242" w:lineRule="auto" w:before="0" w:after="0"/>
        <w:ind w:left="839" w:right="116" w:hanging="360"/>
        <w:jc w:val="left"/>
        <w:rPr>
          <w:sz w:val="24"/>
        </w:rPr>
      </w:pPr>
      <w:r>
        <w:rPr>
          <w:sz w:val="24"/>
        </w:rPr>
        <w:t>DOT Guidance of 2001:</w:t>
      </w:r>
      <w:r>
        <w:rPr>
          <w:spacing w:val="-3"/>
          <w:sz w:val="24"/>
        </w:rPr>
        <w:t> </w:t>
      </w:r>
      <w:hyperlink r:id="rId14">
        <w:r>
          <w:rPr>
            <w:sz w:val="24"/>
          </w:rPr>
          <w:t>To Recipients on Special Language Services to Limited English Proficient (LEP)</w:t>
        </w:r>
      </w:hyperlink>
      <w:r>
        <w:rPr>
          <w:spacing w:val="40"/>
          <w:sz w:val="24"/>
        </w:rPr>
        <w:t> </w:t>
      </w:r>
      <w:hyperlink r:id="rId14">
        <w:r>
          <w:rPr>
            <w:spacing w:val="-2"/>
            <w:sz w:val="24"/>
          </w:rPr>
          <w:t>Beneficiaries</w:t>
        </w:r>
      </w:hyperlink>
    </w:p>
    <w:p>
      <w:pPr>
        <w:pStyle w:val="ListParagraph"/>
        <w:numPr>
          <w:ilvl w:val="0"/>
          <w:numId w:val="4"/>
        </w:numPr>
        <w:tabs>
          <w:tab w:pos="839" w:val="left" w:leader="none"/>
        </w:tabs>
        <w:spacing w:line="301" w:lineRule="exact" w:before="0" w:after="0"/>
        <w:ind w:left="839" w:right="0" w:hanging="360"/>
        <w:jc w:val="left"/>
        <w:rPr>
          <w:sz w:val="24"/>
        </w:rPr>
      </w:pPr>
      <w:r>
        <w:rPr>
          <w:sz w:val="24"/>
        </w:rPr>
        <w:t>Executive</w:t>
      </w:r>
      <w:r>
        <w:rPr>
          <w:spacing w:val="-3"/>
          <w:sz w:val="24"/>
        </w:rPr>
        <w:t> </w:t>
      </w:r>
      <w:r>
        <w:rPr>
          <w:sz w:val="24"/>
        </w:rPr>
        <w:t>Order</w:t>
      </w:r>
      <w:r>
        <w:rPr>
          <w:spacing w:val="-4"/>
          <w:sz w:val="24"/>
        </w:rPr>
        <w:t> </w:t>
      </w:r>
      <w:r>
        <w:rPr>
          <w:sz w:val="24"/>
        </w:rPr>
        <w:t>12898</w:t>
      </w:r>
      <w:r>
        <w:rPr>
          <w:spacing w:val="-3"/>
          <w:sz w:val="24"/>
        </w:rPr>
        <w:t> </w:t>
      </w:r>
      <w:r>
        <w:rPr>
          <w:sz w:val="24"/>
        </w:rPr>
        <w:t>of February</w:t>
      </w:r>
      <w:r>
        <w:rPr>
          <w:spacing w:val="-4"/>
          <w:sz w:val="24"/>
        </w:rPr>
        <w:t> </w:t>
      </w:r>
      <w:r>
        <w:rPr>
          <w:sz w:val="24"/>
        </w:rPr>
        <w:t>11,</w:t>
      </w:r>
      <w:r>
        <w:rPr>
          <w:spacing w:val="-4"/>
          <w:sz w:val="24"/>
        </w:rPr>
        <w:t> </w:t>
      </w:r>
      <w:r>
        <w:rPr>
          <w:sz w:val="24"/>
        </w:rPr>
        <w:t>1994:</w:t>
      </w:r>
      <w:r>
        <w:rPr>
          <w:spacing w:val="-3"/>
          <w:sz w:val="24"/>
        </w:rPr>
        <w:t> </w:t>
      </w:r>
      <w:hyperlink r:id="rId15">
        <w:r>
          <w:rPr>
            <w:sz w:val="24"/>
          </w:rPr>
          <w:t>Environmental</w:t>
        </w:r>
        <w:r>
          <w:rPr>
            <w:spacing w:val="-3"/>
            <w:sz w:val="24"/>
          </w:rPr>
          <w:t> </w:t>
        </w:r>
        <w:r>
          <w:rPr>
            <w:sz w:val="24"/>
          </w:rPr>
          <w:t>Justice</w:t>
        </w:r>
        <w:r>
          <w:rPr>
            <w:spacing w:val="-1"/>
            <w:sz w:val="24"/>
          </w:rPr>
          <w:t> </w:t>
        </w:r>
        <w:r>
          <w:rPr>
            <w:sz w:val="24"/>
          </w:rPr>
          <w:t>Executive</w:t>
        </w:r>
        <w:r>
          <w:rPr>
            <w:spacing w:val="-1"/>
            <w:sz w:val="24"/>
          </w:rPr>
          <w:t> </w:t>
        </w:r>
        <w:r>
          <w:rPr>
            <w:sz w:val="24"/>
          </w:rPr>
          <w:t>Order</w:t>
        </w:r>
        <w:r>
          <w:rPr>
            <w:spacing w:val="-4"/>
            <w:sz w:val="24"/>
          </w:rPr>
          <w:t> </w:t>
        </w:r>
        <w:r>
          <w:rPr>
            <w:sz w:val="24"/>
          </w:rPr>
          <w:t>(MS </w:t>
        </w:r>
        <w:r>
          <w:rPr>
            <w:spacing w:val="-2"/>
            <w:sz w:val="24"/>
          </w:rPr>
          <w:t>Word)</w:t>
        </w:r>
      </w:hyperlink>
    </w:p>
    <w:p>
      <w:pPr>
        <w:pStyle w:val="ListParagraph"/>
        <w:numPr>
          <w:ilvl w:val="0"/>
          <w:numId w:val="4"/>
        </w:numPr>
        <w:tabs>
          <w:tab w:pos="839" w:val="left" w:leader="none"/>
        </w:tabs>
        <w:spacing w:line="305" w:lineRule="exact" w:before="0" w:after="0"/>
        <w:ind w:left="839" w:right="0" w:hanging="360"/>
        <w:jc w:val="left"/>
        <w:rPr>
          <w:sz w:val="24"/>
        </w:rPr>
      </w:pPr>
      <w:r>
        <w:rPr>
          <w:sz w:val="24"/>
        </w:rPr>
        <w:t>DOT</w:t>
      </w:r>
      <w:r>
        <w:rPr>
          <w:spacing w:val="-3"/>
          <w:sz w:val="24"/>
        </w:rPr>
        <w:t> </w:t>
      </w:r>
      <w:r>
        <w:rPr>
          <w:sz w:val="24"/>
        </w:rPr>
        <w:t>Order</w:t>
      </w:r>
      <w:r>
        <w:rPr>
          <w:spacing w:val="-1"/>
          <w:sz w:val="24"/>
        </w:rPr>
        <w:t> </w:t>
      </w:r>
      <w:r>
        <w:rPr>
          <w:sz w:val="24"/>
        </w:rPr>
        <w:t>of June</w:t>
      </w:r>
      <w:r>
        <w:rPr>
          <w:spacing w:val="-2"/>
          <w:sz w:val="24"/>
        </w:rPr>
        <w:t> </w:t>
      </w:r>
      <w:r>
        <w:rPr>
          <w:sz w:val="24"/>
        </w:rPr>
        <w:t>21,</w:t>
      </w:r>
      <w:r>
        <w:rPr>
          <w:spacing w:val="-1"/>
          <w:sz w:val="24"/>
        </w:rPr>
        <w:t> </w:t>
      </w:r>
      <w:r>
        <w:rPr>
          <w:sz w:val="24"/>
        </w:rPr>
        <w:t>1995:</w:t>
      </w:r>
      <w:r>
        <w:rPr>
          <w:spacing w:val="-2"/>
          <w:sz w:val="24"/>
        </w:rPr>
        <w:t> </w:t>
      </w:r>
      <w:hyperlink r:id="rId16">
        <w:r>
          <w:rPr>
            <w:sz w:val="24"/>
          </w:rPr>
          <w:t>DOT</w:t>
        </w:r>
        <w:r>
          <w:rPr>
            <w:spacing w:val="-1"/>
            <w:sz w:val="24"/>
          </w:rPr>
          <w:t> </w:t>
        </w:r>
        <w:r>
          <w:rPr>
            <w:sz w:val="24"/>
          </w:rPr>
          <w:t>Order</w:t>
        </w:r>
        <w:r>
          <w:rPr>
            <w:spacing w:val="-4"/>
            <w:sz w:val="24"/>
          </w:rPr>
          <w:t> </w:t>
        </w:r>
        <w:r>
          <w:rPr>
            <w:sz w:val="24"/>
          </w:rPr>
          <w:t>to</w:t>
        </w:r>
        <w:r>
          <w:rPr>
            <w:spacing w:val="-2"/>
            <w:sz w:val="24"/>
          </w:rPr>
          <w:t> </w:t>
        </w:r>
        <w:r>
          <w:rPr>
            <w:sz w:val="24"/>
          </w:rPr>
          <w:t>Address</w:t>
        </w:r>
        <w:r>
          <w:rPr>
            <w:spacing w:val="-2"/>
            <w:sz w:val="24"/>
          </w:rPr>
          <w:t> </w:t>
        </w:r>
        <w:r>
          <w:rPr>
            <w:sz w:val="24"/>
          </w:rPr>
          <w:t>Environmental </w:t>
        </w:r>
        <w:r>
          <w:rPr>
            <w:spacing w:val="-2"/>
            <w:sz w:val="24"/>
          </w:rPr>
          <w:t>Justice</w:t>
        </w:r>
      </w:hyperlink>
    </w:p>
    <w:p>
      <w:pPr>
        <w:pStyle w:val="ListParagraph"/>
        <w:numPr>
          <w:ilvl w:val="0"/>
          <w:numId w:val="4"/>
        </w:numPr>
        <w:tabs>
          <w:tab w:pos="839" w:val="left" w:leader="none"/>
        </w:tabs>
        <w:spacing w:line="305" w:lineRule="exact" w:before="0" w:after="0"/>
        <w:ind w:left="839" w:right="0" w:hanging="360"/>
        <w:jc w:val="left"/>
        <w:rPr>
          <w:sz w:val="24"/>
        </w:rPr>
      </w:pPr>
      <w:r>
        <w:rPr>
          <w:sz w:val="24"/>
        </w:rPr>
        <w:t>Executive</w:t>
      </w:r>
      <w:r>
        <w:rPr>
          <w:spacing w:val="-3"/>
          <w:sz w:val="24"/>
        </w:rPr>
        <w:t> </w:t>
      </w:r>
      <w:r>
        <w:rPr>
          <w:sz w:val="24"/>
        </w:rPr>
        <w:t>Order</w:t>
      </w:r>
      <w:r>
        <w:rPr>
          <w:spacing w:val="-4"/>
          <w:sz w:val="24"/>
        </w:rPr>
        <w:t> </w:t>
      </w:r>
      <w:r>
        <w:rPr>
          <w:sz w:val="24"/>
        </w:rPr>
        <w:t>13166</w:t>
      </w:r>
      <w:r>
        <w:rPr>
          <w:spacing w:val="-3"/>
          <w:sz w:val="24"/>
        </w:rPr>
        <w:t> </w:t>
      </w:r>
      <w:r>
        <w:rPr>
          <w:sz w:val="24"/>
        </w:rPr>
        <w:t>of August</w:t>
      </w:r>
      <w:r>
        <w:rPr>
          <w:spacing w:val="-3"/>
          <w:sz w:val="24"/>
        </w:rPr>
        <w:t> </w:t>
      </w:r>
      <w:r>
        <w:rPr>
          <w:sz w:val="24"/>
        </w:rPr>
        <w:t>11,</w:t>
      </w:r>
      <w:r>
        <w:rPr>
          <w:spacing w:val="-4"/>
          <w:sz w:val="24"/>
        </w:rPr>
        <w:t> </w:t>
      </w:r>
      <w:r>
        <w:rPr>
          <w:sz w:val="24"/>
        </w:rPr>
        <w:t>2000:</w:t>
      </w:r>
      <w:r>
        <w:rPr>
          <w:spacing w:val="-3"/>
          <w:sz w:val="24"/>
        </w:rPr>
        <w:t> </w:t>
      </w:r>
      <w:hyperlink r:id="rId17">
        <w:r>
          <w:rPr>
            <w:sz w:val="24"/>
          </w:rPr>
          <w:t>Limited English</w:t>
        </w:r>
        <w:r>
          <w:rPr>
            <w:spacing w:val="-2"/>
            <w:sz w:val="24"/>
          </w:rPr>
          <w:t> Proficiency</w:t>
        </w:r>
      </w:hyperlink>
    </w:p>
    <w:p>
      <w:pPr>
        <w:spacing w:after="0" w:line="305" w:lineRule="exact"/>
        <w:jc w:val="left"/>
        <w:rPr>
          <w:sz w:val="24"/>
        </w:rPr>
        <w:sectPr>
          <w:pgSz w:w="12240" w:h="15840"/>
          <w:pgMar w:header="0" w:footer="1063" w:top="960" w:bottom="1260" w:left="600" w:right="600"/>
        </w:sectPr>
      </w:pPr>
    </w:p>
    <w:p>
      <w:pPr>
        <w:pStyle w:val="Heading9"/>
        <w:spacing w:before="35"/>
        <w:ind w:left="1209" w:right="1209"/>
        <w:jc w:val="center"/>
      </w:pPr>
      <w:bookmarkStart w:name="Organization and Staffing of the Office " w:id="7"/>
      <w:bookmarkEnd w:id="7"/>
      <w:r>
        <w:rPr>
          <w:b w:val="0"/>
        </w:rPr>
      </w:r>
      <w:bookmarkStart w:name="_bookmark3" w:id="8"/>
      <w:bookmarkEnd w:id="8"/>
      <w:r>
        <w:rPr>
          <w:b w:val="0"/>
        </w:rPr>
      </w:r>
      <w:r>
        <w:rPr>
          <w:u w:val="single"/>
        </w:rPr>
        <w:t>Organization</w:t>
      </w:r>
      <w:r>
        <w:rPr>
          <w:spacing w:val="-4"/>
          <w:u w:val="single"/>
        </w:rPr>
        <w:t> </w:t>
      </w:r>
      <w:r>
        <w:rPr>
          <w:u w:val="single"/>
        </w:rPr>
        <w:t>and</w:t>
      </w:r>
      <w:r>
        <w:rPr>
          <w:spacing w:val="-1"/>
          <w:u w:val="single"/>
        </w:rPr>
        <w:t> </w:t>
      </w:r>
      <w:r>
        <w:rPr>
          <w:u w:val="single"/>
        </w:rPr>
        <w:t>Staffing</w:t>
      </w:r>
      <w:r>
        <w:rPr>
          <w:spacing w:val="-4"/>
          <w:u w:val="single"/>
        </w:rPr>
        <w:t> </w:t>
      </w:r>
      <w:r>
        <w:rPr>
          <w:u w:val="single"/>
        </w:rPr>
        <w:t>of</w:t>
      </w:r>
      <w:r>
        <w:rPr>
          <w:spacing w:val="-1"/>
          <w:u w:val="single"/>
        </w:rPr>
        <w:t> </w:t>
      </w:r>
      <w:r>
        <w:rPr>
          <w:u w:val="single"/>
        </w:rPr>
        <w:t>the</w:t>
      </w:r>
      <w:r>
        <w:rPr>
          <w:spacing w:val="-3"/>
          <w:u w:val="single"/>
        </w:rPr>
        <w:t> </w:t>
      </w:r>
      <w:r>
        <w:rPr>
          <w:u w:val="single"/>
        </w:rPr>
        <w:t>Office</w:t>
      </w:r>
      <w:r>
        <w:rPr>
          <w:spacing w:val="-5"/>
          <w:u w:val="single"/>
        </w:rPr>
        <w:t> </w:t>
      </w:r>
      <w:r>
        <w:rPr>
          <w:u w:val="single"/>
        </w:rPr>
        <w:t>of</w:t>
      </w:r>
      <w:r>
        <w:rPr>
          <w:spacing w:val="-1"/>
          <w:u w:val="single"/>
        </w:rPr>
        <w:t> </w:t>
      </w:r>
      <w:r>
        <w:rPr>
          <w:u w:val="single"/>
        </w:rPr>
        <w:t>Civil</w:t>
      </w:r>
      <w:r>
        <w:rPr>
          <w:spacing w:val="-3"/>
          <w:u w:val="single"/>
        </w:rPr>
        <w:t> </w:t>
      </w:r>
      <w:r>
        <w:rPr>
          <w:u w:val="single"/>
        </w:rPr>
        <w:t>Rights</w:t>
      </w:r>
      <w:r>
        <w:rPr>
          <w:spacing w:val="-1"/>
          <w:u w:val="single"/>
        </w:rPr>
        <w:t> </w:t>
      </w:r>
      <w:r>
        <w:rPr>
          <w:spacing w:val="-2"/>
          <w:u w:val="single"/>
        </w:rPr>
        <w:t>(CRO)</w:t>
      </w:r>
    </w:p>
    <w:p>
      <w:pPr>
        <w:pStyle w:val="BodyText"/>
        <w:spacing w:before="9"/>
        <w:rPr>
          <w:b/>
          <w:sz w:val="19"/>
        </w:rPr>
      </w:pPr>
    </w:p>
    <w:p>
      <w:pPr>
        <w:pStyle w:val="BodyText"/>
        <w:spacing w:before="52"/>
        <w:ind w:left="119" w:right="114"/>
        <w:jc w:val="both"/>
      </w:pPr>
      <w:r>
        <w:rPr/>
        <w:t>The Commissioner of MaineDOT is responsible for ensuring the implementation of MaineDOT’s Title VI/Environmental Justice (EJ) programs.</w:t>
      </w:r>
      <w:r>
        <w:rPr>
          <w:spacing w:val="40"/>
        </w:rPr>
        <w:t> </w:t>
      </w:r>
      <w:r>
        <w:rPr/>
        <w:t>The Director of Civil Rights, on behalf of the Commissioner, is responsible for the overall management of the Title VI/EJ programs and is the designated Title VI Coordinator. The day-to-day administration of the program lies</w:t>
      </w:r>
      <w:r>
        <w:rPr>
          <w:spacing w:val="-1"/>
        </w:rPr>
        <w:t> </w:t>
      </w:r>
      <w:r>
        <w:rPr/>
        <w:t>with the Director of Civil Rights</w:t>
      </w:r>
      <w:r>
        <w:rPr>
          <w:spacing w:val="-2"/>
        </w:rPr>
        <w:t> </w:t>
      </w:r>
      <w:r>
        <w:rPr/>
        <w:t>who serves</w:t>
      </w:r>
      <w:r>
        <w:rPr>
          <w:spacing w:val="-1"/>
        </w:rPr>
        <w:t> </w:t>
      </w:r>
      <w:r>
        <w:rPr/>
        <w:t>as the Title VI/EJ Specialist, under the supervision of the Chief Legal Counsel.</w:t>
      </w:r>
      <w:r>
        <w:rPr>
          <w:spacing w:val="40"/>
        </w:rPr>
        <w:t> </w:t>
      </w:r>
      <w:r>
        <w:rPr/>
        <w:t>The Title VI Coordinator at all times has direct access to the Commissioner, and has scheduled meetings with the Commissioner quarterly.</w:t>
      </w:r>
      <w:r>
        <w:rPr>
          <w:spacing w:val="80"/>
        </w:rPr>
        <w:t> </w:t>
      </w:r>
      <w:r>
        <w:rPr/>
        <w:t>The Director of Civil Rights shall have lead responsibility for coordinating the administration and implementation of the Title VI/EJ program and of related statutes, plans, and assurances.</w:t>
      </w:r>
    </w:p>
    <w:p>
      <w:pPr>
        <w:pStyle w:val="BodyText"/>
        <w:spacing w:before="1"/>
      </w:pPr>
    </w:p>
    <w:p>
      <w:pPr>
        <w:pStyle w:val="BodyText"/>
        <w:ind w:left="120" w:right="114"/>
        <w:jc w:val="both"/>
      </w:pPr>
      <w:r>
        <w:rPr/>
        <w:t>The CRO works directly with the Bureau of Planning.</w:t>
      </w:r>
      <w:r>
        <w:rPr>
          <w:spacing w:val="40"/>
        </w:rPr>
        <w:t> </w:t>
      </w:r>
      <w:r>
        <w:rPr/>
        <w:t>The Transit Program Coordinator within the Bureau of Planning serves as the Title VI Liaison to the CRO.</w:t>
      </w:r>
    </w:p>
    <w:p>
      <w:pPr>
        <w:pStyle w:val="BodyText"/>
        <w:spacing w:before="11"/>
        <w:rPr>
          <w:sz w:val="23"/>
        </w:rPr>
      </w:pPr>
    </w:p>
    <w:p>
      <w:pPr>
        <w:pStyle w:val="BodyText"/>
        <w:ind w:left="120" w:right="116"/>
        <w:jc w:val="both"/>
      </w:pPr>
      <w:r>
        <w:rPr/>
        <w:t>The Director of Civil Rights delegates some Title VI duties to the EEO Officers and to the Title VI Liaisons in program areas.</w:t>
      </w:r>
      <w:r>
        <w:rPr>
          <w:spacing w:val="40"/>
        </w:rPr>
        <w:t> </w:t>
      </w:r>
      <w:r>
        <w:rPr/>
        <w:t>The Liaisons work with the CRO to administer the Program in their respective areas.</w:t>
      </w:r>
    </w:p>
    <w:p>
      <w:pPr>
        <w:pStyle w:val="BodyText"/>
      </w:pPr>
    </w:p>
    <w:p>
      <w:pPr>
        <w:pStyle w:val="BodyText"/>
      </w:pPr>
    </w:p>
    <w:p>
      <w:pPr>
        <w:pStyle w:val="Heading8"/>
        <w:ind w:right="1209"/>
        <w:rPr>
          <w:u w:val="none"/>
        </w:rPr>
      </w:pPr>
      <w:bookmarkStart w:name="CIVIL RIGHTS TITLE VI OFFICE STAFF" w:id="9"/>
      <w:bookmarkEnd w:id="9"/>
      <w:r>
        <w:rPr>
          <w:b w:val="0"/>
          <w:u w:val="none"/>
        </w:rPr>
      </w:r>
      <w:r>
        <w:rPr>
          <w:u w:val="single"/>
        </w:rPr>
        <w:t>CIVIL</w:t>
      </w:r>
      <w:r>
        <w:rPr>
          <w:spacing w:val="-2"/>
          <w:u w:val="single"/>
        </w:rPr>
        <w:t> </w:t>
      </w:r>
      <w:r>
        <w:rPr>
          <w:u w:val="single"/>
        </w:rPr>
        <w:t>RIGHTS</w:t>
      </w:r>
      <w:r>
        <w:rPr>
          <w:spacing w:val="-4"/>
          <w:u w:val="single"/>
        </w:rPr>
        <w:t> </w:t>
      </w:r>
      <w:r>
        <w:rPr>
          <w:u w:val="single"/>
        </w:rPr>
        <w:t>TITLE</w:t>
      </w:r>
      <w:r>
        <w:rPr>
          <w:spacing w:val="-1"/>
          <w:u w:val="single"/>
        </w:rPr>
        <w:t> </w:t>
      </w:r>
      <w:r>
        <w:rPr>
          <w:u w:val="single"/>
        </w:rPr>
        <w:t>VI</w:t>
      </w:r>
      <w:r>
        <w:rPr>
          <w:spacing w:val="-2"/>
          <w:u w:val="single"/>
        </w:rPr>
        <w:t> </w:t>
      </w:r>
      <w:r>
        <w:rPr>
          <w:u w:val="single"/>
        </w:rPr>
        <w:t>OFFICE </w:t>
      </w:r>
      <w:r>
        <w:rPr>
          <w:spacing w:val="-2"/>
          <w:u w:val="single"/>
        </w:rPr>
        <w:t>STAFF</w:t>
      </w:r>
    </w:p>
    <w:p>
      <w:pPr>
        <w:pStyle w:val="BodyText"/>
        <w:rPr>
          <w:b/>
          <w:sz w:val="20"/>
        </w:rPr>
      </w:pPr>
    </w:p>
    <w:p>
      <w:pPr>
        <w:pStyle w:val="BodyText"/>
        <w:spacing w:before="4"/>
        <w:rPr>
          <w:b/>
          <w:sz w:val="12"/>
        </w:rPr>
      </w:pPr>
      <w:r>
        <w:rPr/>
        <mc:AlternateContent>
          <mc:Choice Requires="wps">
            <w:drawing>
              <wp:anchor distT="0" distB="0" distL="0" distR="0" allowOverlap="1" layoutInCell="1" locked="0" behindDoc="1" simplePos="0" relativeHeight="487588352">
                <wp:simplePos x="0" y="0"/>
                <wp:positionH relativeFrom="page">
                  <wp:posOffset>1696694</wp:posOffset>
                </wp:positionH>
                <wp:positionV relativeFrom="paragraph">
                  <wp:posOffset>110797</wp:posOffset>
                </wp:positionV>
                <wp:extent cx="4521835" cy="3559175"/>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4521835" cy="3559175"/>
                          <a:chExt cx="4521835" cy="3559175"/>
                        </a:xfrm>
                      </wpg:grpSpPr>
                      <wps:wsp>
                        <wps:cNvPr id="5" name="Graphic 5"/>
                        <wps:cNvSpPr/>
                        <wps:spPr>
                          <a:xfrm>
                            <a:off x="1040331" y="1561205"/>
                            <a:ext cx="2472055" cy="407034"/>
                          </a:xfrm>
                          <a:custGeom>
                            <a:avLst/>
                            <a:gdLst/>
                            <a:ahLst/>
                            <a:cxnLst/>
                            <a:rect l="l" t="t" r="r" b="b"/>
                            <a:pathLst>
                              <a:path w="2472055" h="407034">
                                <a:moveTo>
                                  <a:pt x="1199972" y="0"/>
                                </a:moveTo>
                                <a:lnTo>
                                  <a:pt x="1199972" y="203733"/>
                                </a:lnTo>
                                <a:lnTo>
                                  <a:pt x="2471902" y="203733"/>
                                </a:lnTo>
                                <a:lnTo>
                                  <a:pt x="2471902" y="406958"/>
                                </a:lnTo>
                              </a:path>
                              <a:path w="2472055" h="407034">
                                <a:moveTo>
                                  <a:pt x="1199972" y="0"/>
                                </a:moveTo>
                                <a:lnTo>
                                  <a:pt x="1199972" y="203225"/>
                                </a:lnTo>
                                <a:lnTo>
                                  <a:pt x="0" y="203225"/>
                                </a:lnTo>
                                <a:lnTo>
                                  <a:pt x="0" y="406450"/>
                                </a:lnTo>
                              </a:path>
                            </a:pathLst>
                          </a:custGeom>
                          <a:ln w="25400">
                            <a:solidFill>
                              <a:srgbClr val="3C6695"/>
                            </a:solidFill>
                            <a:prstDash val="solid"/>
                          </a:ln>
                        </wps:spPr>
                        <wps:bodyPr wrap="square" lIns="0" tIns="0" rIns="0" bIns="0" rtlCol="0">
                          <a:prstTxWarp prst="textNoShape">
                            <a:avLst/>
                          </a:prstTxWarp>
                          <a:noAutofit/>
                        </wps:bodyPr>
                      </wps:wsp>
                      <wps:wsp>
                        <wps:cNvPr id="6" name="Graphic 6"/>
                        <wps:cNvSpPr/>
                        <wps:spPr>
                          <a:xfrm>
                            <a:off x="912406" y="12700"/>
                            <a:ext cx="2656205" cy="1548765"/>
                          </a:xfrm>
                          <a:custGeom>
                            <a:avLst/>
                            <a:gdLst/>
                            <a:ahLst/>
                            <a:cxnLst/>
                            <a:rect l="l" t="t" r="r" b="b"/>
                            <a:pathLst>
                              <a:path w="2656205" h="1548765">
                                <a:moveTo>
                                  <a:pt x="2655785" y="0"/>
                                </a:moveTo>
                                <a:lnTo>
                                  <a:pt x="0" y="0"/>
                                </a:lnTo>
                                <a:lnTo>
                                  <a:pt x="0" y="1548498"/>
                                </a:lnTo>
                                <a:lnTo>
                                  <a:pt x="2655785" y="1548498"/>
                                </a:lnTo>
                                <a:lnTo>
                                  <a:pt x="2655785" y="0"/>
                                </a:lnTo>
                                <a:close/>
                              </a:path>
                            </a:pathLst>
                          </a:custGeom>
                          <a:solidFill>
                            <a:srgbClr val="4F81BC"/>
                          </a:solidFill>
                        </wps:spPr>
                        <wps:bodyPr wrap="square" lIns="0" tIns="0" rIns="0" bIns="0" rtlCol="0">
                          <a:prstTxWarp prst="textNoShape">
                            <a:avLst/>
                          </a:prstTxWarp>
                          <a:noAutofit/>
                        </wps:bodyPr>
                      </wps:wsp>
                      <wps:wsp>
                        <wps:cNvPr id="7" name="Graphic 7"/>
                        <wps:cNvSpPr/>
                        <wps:spPr>
                          <a:xfrm>
                            <a:off x="912406" y="12700"/>
                            <a:ext cx="2656205" cy="1548765"/>
                          </a:xfrm>
                          <a:custGeom>
                            <a:avLst/>
                            <a:gdLst/>
                            <a:ahLst/>
                            <a:cxnLst/>
                            <a:rect l="l" t="t" r="r" b="b"/>
                            <a:pathLst>
                              <a:path w="2656205" h="1548765">
                                <a:moveTo>
                                  <a:pt x="0" y="0"/>
                                </a:moveTo>
                                <a:lnTo>
                                  <a:pt x="2655785" y="0"/>
                                </a:lnTo>
                                <a:lnTo>
                                  <a:pt x="2655785" y="1548498"/>
                                </a:lnTo>
                                <a:lnTo>
                                  <a:pt x="0" y="1548498"/>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8" name="Graphic 8"/>
                        <wps:cNvSpPr/>
                        <wps:spPr>
                          <a:xfrm>
                            <a:off x="12700" y="1967661"/>
                            <a:ext cx="2055495" cy="1503045"/>
                          </a:xfrm>
                          <a:custGeom>
                            <a:avLst/>
                            <a:gdLst/>
                            <a:ahLst/>
                            <a:cxnLst/>
                            <a:rect l="l" t="t" r="r" b="b"/>
                            <a:pathLst>
                              <a:path w="2055495" h="1503045">
                                <a:moveTo>
                                  <a:pt x="2055253" y="0"/>
                                </a:moveTo>
                                <a:lnTo>
                                  <a:pt x="0" y="0"/>
                                </a:lnTo>
                                <a:lnTo>
                                  <a:pt x="0" y="1502676"/>
                                </a:lnTo>
                                <a:lnTo>
                                  <a:pt x="2055253" y="1502676"/>
                                </a:lnTo>
                                <a:lnTo>
                                  <a:pt x="2055253" y="0"/>
                                </a:lnTo>
                                <a:close/>
                              </a:path>
                            </a:pathLst>
                          </a:custGeom>
                          <a:solidFill>
                            <a:srgbClr val="4F81BC"/>
                          </a:solidFill>
                        </wps:spPr>
                        <wps:bodyPr wrap="square" lIns="0" tIns="0" rIns="0" bIns="0" rtlCol="0">
                          <a:prstTxWarp prst="textNoShape">
                            <a:avLst/>
                          </a:prstTxWarp>
                          <a:noAutofit/>
                        </wps:bodyPr>
                      </wps:wsp>
                      <wps:wsp>
                        <wps:cNvPr id="9" name="Graphic 9"/>
                        <wps:cNvSpPr/>
                        <wps:spPr>
                          <a:xfrm>
                            <a:off x="12700" y="1967661"/>
                            <a:ext cx="2055495" cy="1503045"/>
                          </a:xfrm>
                          <a:custGeom>
                            <a:avLst/>
                            <a:gdLst/>
                            <a:ahLst/>
                            <a:cxnLst/>
                            <a:rect l="l" t="t" r="r" b="b"/>
                            <a:pathLst>
                              <a:path w="2055495" h="1503045">
                                <a:moveTo>
                                  <a:pt x="0" y="0"/>
                                </a:moveTo>
                                <a:lnTo>
                                  <a:pt x="2055253" y="0"/>
                                </a:lnTo>
                                <a:lnTo>
                                  <a:pt x="2055253" y="1502676"/>
                                </a:lnTo>
                                <a:lnTo>
                                  <a:pt x="0" y="1502676"/>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10" name="Graphic 10"/>
                        <wps:cNvSpPr/>
                        <wps:spPr>
                          <a:xfrm>
                            <a:off x="2515489" y="1968169"/>
                            <a:ext cx="1993900" cy="1577975"/>
                          </a:xfrm>
                          <a:custGeom>
                            <a:avLst/>
                            <a:gdLst/>
                            <a:ahLst/>
                            <a:cxnLst/>
                            <a:rect l="l" t="t" r="r" b="b"/>
                            <a:pathLst>
                              <a:path w="1993900" h="1577975">
                                <a:moveTo>
                                  <a:pt x="1993493" y="0"/>
                                </a:moveTo>
                                <a:lnTo>
                                  <a:pt x="0" y="0"/>
                                </a:lnTo>
                                <a:lnTo>
                                  <a:pt x="0" y="1577809"/>
                                </a:lnTo>
                                <a:lnTo>
                                  <a:pt x="1993493" y="1577809"/>
                                </a:lnTo>
                                <a:lnTo>
                                  <a:pt x="1993493" y="0"/>
                                </a:lnTo>
                                <a:close/>
                              </a:path>
                            </a:pathLst>
                          </a:custGeom>
                          <a:solidFill>
                            <a:srgbClr val="4F81BC"/>
                          </a:solidFill>
                        </wps:spPr>
                        <wps:bodyPr wrap="square" lIns="0" tIns="0" rIns="0" bIns="0" rtlCol="0">
                          <a:prstTxWarp prst="textNoShape">
                            <a:avLst/>
                          </a:prstTxWarp>
                          <a:noAutofit/>
                        </wps:bodyPr>
                      </wps:wsp>
                      <wps:wsp>
                        <wps:cNvPr id="11" name="Graphic 11"/>
                        <wps:cNvSpPr/>
                        <wps:spPr>
                          <a:xfrm>
                            <a:off x="2515489" y="1968169"/>
                            <a:ext cx="1993900" cy="1577975"/>
                          </a:xfrm>
                          <a:custGeom>
                            <a:avLst/>
                            <a:gdLst/>
                            <a:ahLst/>
                            <a:cxnLst/>
                            <a:rect l="l" t="t" r="r" b="b"/>
                            <a:pathLst>
                              <a:path w="1993900" h="1577975">
                                <a:moveTo>
                                  <a:pt x="0" y="0"/>
                                </a:moveTo>
                                <a:lnTo>
                                  <a:pt x="1993493" y="0"/>
                                </a:lnTo>
                                <a:lnTo>
                                  <a:pt x="1993493" y="1577809"/>
                                </a:lnTo>
                                <a:lnTo>
                                  <a:pt x="0" y="1577809"/>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12" name="Textbox 12"/>
                        <wps:cNvSpPr txBox="1"/>
                        <wps:spPr>
                          <a:xfrm>
                            <a:off x="2515489" y="1967915"/>
                            <a:ext cx="1993900" cy="1578610"/>
                          </a:xfrm>
                          <a:prstGeom prst="rect">
                            <a:avLst/>
                          </a:prstGeom>
                        </wps:spPr>
                        <wps:txbx>
                          <w:txbxContent>
                            <w:p>
                              <w:pPr>
                                <w:spacing w:line="240" w:lineRule="auto" w:before="9"/>
                                <w:rPr>
                                  <w:b/>
                                  <w:sz w:val="17"/>
                                </w:rPr>
                              </w:pPr>
                            </w:p>
                            <w:p>
                              <w:pPr>
                                <w:spacing w:line="300" w:lineRule="auto" w:before="0"/>
                                <w:ind w:left="448" w:right="448" w:firstLine="278"/>
                                <w:jc w:val="left"/>
                                <w:rPr>
                                  <w:sz w:val="24"/>
                                </w:rPr>
                              </w:pPr>
                              <w:r>
                                <w:rPr>
                                  <w:color w:val="FFFFFF"/>
                                  <w:sz w:val="24"/>
                                </w:rPr>
                                <w:t>Jennifer Laliberte EEO</w:t>
                              </w:r>
                              <w:r>
                                <w:rPr>
                                  <w:color w:val="FFFFFF"/>
                                  <w:spacing w:val="-14"/>
                                  <w:sz w:val="24"/>
                                </w:rPr>
                                <w:t> </w:t>
                              </w:r>
                              <w:r>
                                <w:rPr>
                                  <w:color w:val="FFFFFF"/>
                                  <w:sz w:val="24"/>
                                </w:rPr>
                                <w:t>Program</w:t>
                              </w:r>
                              <w:r>
                                <w:rPr>
                                  <w:color w:val="FFFFFF"/>
                                  <w:spacing w:val="-14"/>
                                  <w:sz w:val="24"/>
                                </w:rPr>
                                <w:t> </w:t>
                              </w:r>
                              <w:r>
                                <w:rPr>
                                  <w:color w:val="FFFFFF"/>
                                  <w:sz w:val="24"/>
                                </w:rPr>
                                <w:t>Specialist</w:t>
                              </w:r>
                            </w:p>
                            <w:p>
                              <w:pPr>
                                <w:spacing w:line="293" w:lineRule="exact" w:before="0"/>
                                <w:ind w:left="23" w:right="24" w:firstLine="0"/>
                                <w:jc w:val="center"/>
                                <w:rPr>
                                  <w:sz w:val="24"/>
                                </w:rPr>
                              </w:pPr>
                              <w:r>
                                <w:rPr>
                                  <w:color w:val="FFFFFF"/>
                                  <w:sz w:val="24"/>
                                </w:rPr>
                                <w:t>EEO</w:t>
                              </w:r>
                              <w:r>
                                <w:rPr>
                                  <w:color w:val="FFFFFF"/>
                                  <w:spacing w:val="-8"/>
                                  <w:sz w:val="24"/>
                                </w:rPr>
                                <w:t> </w:t>
                              </w:r>
                              <w:r>
                                <w:rPr>
                                  <w:color w:val="FFFFFF"/>
                                  <w:sz w:val="24"/>
                                </w:rPr>
                                <w:t>Contractor</w:t>
                              </w:r>
                              <w:r>
                                <w:rPr>
                                  <w:color w:val="FFFFFF"/>
                                  <w:spacing w:val="-11"/>
                                  <w:sz w:val="24"/>
                                </w:rPr>
                                <w:t> </w:t>
                              </w:r>
                              <w:r>
                                <w:rPr>
                                  <w:color w:val="FFFFFF"/>
                                  <w:spacing w:val="-2"/>
                                  <w:sz w:val="24"/>
                                </w:rPr>
                                <w:t>Compliance</w:t>
                              </w:r>
                            </w:p>
                            <w:p>
                              <w:pPr>
                                <w:spacing w:line="216" w:lineRule="auto" w:before="97"/>
                                <w:ind w:left="23" w:right="25" w:firstLine="0"/>
                                <w:jc w:val="center"/>
                                <w:rPr>
                                  <w:sz w:val="24"/>
                                </w:rPr>
                              </w:pPr>
                              <w:r>
                                <w:rPr>
                                  <w:color w:val="FFFFFF"/>
                                  <w:sz w:val="24"/>
                                </w:rPr>
                                <w:t>OJT</w:t>
                              </w:r>
                              <w:r>
                                <w:rPr>
                                  <w:color w:val="FFFFFF"/>
                                  <w:spacing w:val="-12"/>
                                  <w:sz w:val="24"/>
                                </w:rPr>
                                <w:t> </w:t>
                              </w:r>
                              <w:r>
                                <w:rPr>
                                  <w:color w:val="FFFFFF"/>
                                  <w:sz w:val="24"/>
                                </w:rPr>
                                <w:t>Compliance</w:t>
                              </w:r>
                              <w:r>
                                <w:rPr>
                                  <w:color w:val="FFFFFF"/>
                                  <w:spacing w:val="-12"/>
                                  <w:sz w:val="24"/>
                                </w:rPr>
                                <w:t> </w:t>
                              </w:r>
                              <w:r>
                                <w:rPr>
                                  <w:color w:val="FFFFFF"/>
                                  <w:sz w:val="24"/>
                                </w:rPr>
                                <w:t>and</w:t>
                              </w:r>
                              <w:r>
                                <w:rPr>
                                  <w:color w:val="FFFFFF"/>
                                  <w:spacing w:val="-14"/>
                                  <w:sz w:val="24"/>
                                </w:rPr>
                                <w:t> </w:t>
                              </w:r>
                              <w:r>
                                <w:rPr>
                                  <w:color w:val="FFFFFF"/>
                                  <w:sz w:val="24"/>
                                </w:rPr>
                                <w:t>Supportive </w:t>
                              </w:r>
                              <w:r>
                                <w:rPr>
                                  <w:color w:val="FFFFFF"/>
                                  <w:spacing w:val="-2"/>
                                  <w:sz w:val="24"/>
                                </w:rPr>
                                <w:t>Services</w:t>
                              </w:r>
                            </w:p>
                            <w:p>
                              <w:pPr>
                                <w:spacing w:before="79"/>
                                <w:ind w:left="23" w:right="24" w:firstLine="0"/>
                                <w:jc w:val="center"/>
                                <w:rPr>
                                  <w:sz w:val="24"/>
                                </w:rPr>
                              </w:pPr>
                              <w:r>
                                <w:rPr>
                                  <w:color w:val="FFFFFF"/>
                                  <w:sz w:val="24"/>
                                </w:rPr>
                                <w:t>Labor</w:t>
                              </w:r>
                              <w:r>
                                <w:rPr>
                                  <w:color w:val="FFFFFF"/>
                                  <w:spacing w:val="-2"/>
                                  <w:sz w:val="24"/>
                                </w:rPr>
                                <w:t> Compliance</w:t>
                              </w:r>
                            </w:p>
                          </w:txbxContent>
                        </wps:txbx>
                        <wps:bodyPr wrap="square" lIns="0" tIns="0" rIns="0" bIns="0" rtlCol="0">
                          <a:noAutofit/>
                        </wps:bodyPr>
                      </wps:wsp>
                      <wps:wsp>
                        <wps:cNvPr id="13" name="Textbox 13"/>
                        <wps:cNvSpPr txBox="1"/>
                        <wps:spPr>
                          <a:xfrm>
                            <a:off x="12700" y="1967915"/>
                            <a:ext cx="2055495" cy="1503045"/>
                          </a:xfrm>
                          <a:prstGeom prst="rect">
                            <a:avLst/>
                          </a:prstGeom>
                        </wps:spPr>
                        <wps:txbx>
                          <w:txbxContent>
                            <w:p>
                              <w:pPr>
                                <w:spacing w:before="157"/>
                                <w:ind w:left="1012" w:right="0" w:firstLine="0"/>
                                <w:jc w:val="left"/>
                                <w:rPr>
                                  <w:sz w:val="24"/>
                                </w:rPr>
                              </w:pPr>
                              <w:r>
                                <w:rPr>
                                  <w:color w:val="FFFFFF"/>
                                  <w:sz w:val="24"/>
                                </w:rPr>
                                <w:t>Mary</w:t>
                              </w:r>
                              <w:r>
                                <w:rPr>
                                  <w:color w:val="FFFFFF"/>
                                  <w:spacing w:val="-1"/>
                                  <w:sz w:val="24"/>
                                </w:rPr>
                                <w:t> </w:t>
                              </w:r>
                              <w:r>
                                <w:rPr>
                                  <w:color w:val="FFFFFF"/>
                                  <w:spacing w:val="-2"/>
                                  <w:sz w:val="24"/>
                                </w:rPr>
                                <w:t>Bryant</w:t>
                              </w:r>
                            </w:p>
                            <w:p>
                              <w:pPr>
                                <w:spacing w:line="360" w:lineRule="atLeast" w:before="7"/>
                                <w:ind w:left="50" w:right="47" w:firstLine="448"/>
                                <w:jc w:val="left"/>
                                <w:rPr>
                                  <w:sz w:val="24"/>
                                </w:rPr>
                              </w:pPr>
                              <w:r>
                                <w:rPr>
                                  <w:color w:val="FFFFFF"/>
                                  <w:sz w:val="24"/>
                                </w:rPr>
                                <w:t>EEO Program Specialist</w:t>
                              </w:r>
                              <w:r>
                                <w:rPr>
                                  <w:color w:val="FFFFFF"/>
                                  <w:spacing w:val="40"/>
                                  <w:sz w:val="24"/>
                                </w:rPr>
                                <w:t> </w:t>
                              </w:r>
                              <w:r>
                                <w:rPr>
                                  <w:color w:val="FFFFFF"/>
                                  <w:sz w:val="24"/>
                                </w:rPr>
                                <w:t>DBE</w:t>
                              </w:r>
                              <w:r>
                                <w:rPr>
                                  <w:color w:val="FFFFFF"/>
                                  <w:spacing w:val="-12"/>
                                  <w:sz w:val="24"/>
                                </w:rPr>
                                <w:t> </w:t>
                              </w:r>
                              <w:r>
                                <w:rPr>
                                  <w:color w:val="FFFFFF"/>
                                  <w:sz w:val="24"/>
                                </w:rPr>
                                <w:t>Compliance</w:t>
                              </w:r>
                              <w:r>
                                <w:rPr>
                                  <w:color w:val="FFFFFF"/>
                                  <w:spacing w:val="-11"/>
                                  <w:sz w:val="24"/>
                                </w:rPr>
                                <w:t> </w:t>
                              </w:r>
                              <w:r>
                                <w:rPr>
                                  <w:color w:val="FFFFFF"/>
                                  <w:sz w:val="24"/>
                                </w:rPr>
                                <w:t>and</w:t>
                              </w:r>
                              <w:r>
                                <w:rPr>
                                  <w:color w:val="FFFFFF"/>
                                  <w:spacing w:val="-11"/>
                                  <w:sz w:val="24"/>
                                </w:rPr>
                                <w:t> </w:t>
                              </w:r>
                              <w:r>
                                <w:rPr>
                                  <w:color w:val="FFFFFF"/>
                                  <w:sz w:val="24"/>
                                </w:rPr>
                                <w:t>Supportive</w:t>
                              </w:r>
                            </w:p>
                            <w:p>
                              <w:pPr>
                                <w:spacing w:line="269" w:lineRule="exact" w:before="0"/>
                                <w:ind w:left="661" w:right="660" w:firstLine="0"/>
                                <w:jc w:val="center"/>
                                <w:rPr>
                                  <w:sz w:val="24"/>
                                </w:rPr>
                              </w:pPr>
                              <w:r>
                                <w:rPr>
                                  <w:color w:val="FFFFFF"/>
                                  <w:spacing w:val="-2"/>
                                  <w:sz w:val="24"/>
                                </w:rPr>
                                <w:t>Services</w:t>
                              </w:r>
                            </w:p>
                            <w:p>
                              <w:pPr>
                                <w:spacing w:line="300" w:lineRule="auto" w:before="74"/>
                                <w:ind w:left="664" w:right="660" w:firstLine="0"/>
                                <w:jc w:val="center"/>
                                <w:rPr>
                                  <w:sz w:val="24"/>
                                </w:rPr>
                              </w:pPr>
                              <w:r>
                                <w:rPr>
                                  <w:color w:val="FFFFFF"/>
                                  <w:sz w:val="24"/>
                                </w:rPr>
                                <w:t>Title</w:t>
                              </w:r>
                              <w:r>
                                <w:rPr>
                                  <w:color w:val="FFFFFF"/>
                                  <w:spacing w:val="-14"/>
                                  <w:sz w:val="24"/>
                                </w:rPr>
                                <w:t> </w:t>
                              </w:r>
                              <w:r>
                                <w:rPr>
                                  <w:color w:val="FFFFFF"/>
                                  <w:sz w:val="24"/>
                                </w:rPr>
                                <w:t>VI</w:t>
                              </w:r>
                              <w:r>
                                <w:rPr>
                                  <w:color w:val="FFFFFF"/>
                                  <w:spacing w:val="-14"/>
                                  <w:sz w:val="24"/>
                                </w:rPr>
                                <w:t> </w:t>
                              </w:r>
                              <w:r>
                                <w:rPr>
                                  <w:color w:val="FFFFFF"/>
                                  <w:sz w:val="24"/>
                                </w:rPr>
                                <w:t>Coordinator Labor Compliance</w:t>
                              </w:r>
                            </w:p>
                          </w:txbxContent>
                        </wps:txbx>
                        <wps:bodyPr wrap="square" lIns="0" tIns="0" rIns="0" bIns="0" rtlCol="0">
                          <a:noAutofit/>
                        </wps:bodyPr>
                      </wps:wsp>
                      <wps:wsp>
                        <wps:cNvPr id="14" name="Textbox 14"/>
                        <wps:cNvSpPr txBox="1"/>
                        <wps:spPr>
                          <a:xfrm>
                            <a:off x="912406" y="12700"/>
                            <a:ext cx="2656205" cy="1548765"/>
                          </a:xfrm>
                          <a:prstGeom prst="rect">
                            <a:avLst/>
                          </a:prstGeom>
                        </wps:spPr>
                        <wps:txbx>
                          <w:txbxContent>
                            <w:p>
                              <w:pPr>
                                <w:spacing w:line="240" w:lineRule="auto" w:before="5"/>
                                <w:rPr>
                                  <w:b/>
                                  <w:sz w:val="19"/>
                                </w:rPr>
                              </w:pPr>
                            </w:p>
                            <w:p>
                              <w:pPr>
                                <w:spacing w:line="300" w:lineRule="auto" w:before="0"/>
                                <w:ind w:left="1134" w:right="1133" w:firstLine="0"/>
                                <w:jc w:val="center"/>
                                <w:rPr>
                                  <w:sz w:val="24"/>
                                </w:rPr>
                              </w:pPr>
                              <w:r>
                                <w:rPr>
                                  <w:color w:val="FFFFFF"/>
                                  <w:spacing w:val="-2"/>
                                  <w:sz w:val="24"/>
                                </w:rPr>
                                <w:t>Sherry</w:t>
                              </w:r>
                              <w:r>
                                <w:rPr>
                                  <w:color w:val="FFFFFF"/>
                                  <w:spacing w:val="-12"/>
                                  <w:sz w:val="24"/>
                                </w:rPr>
                                <w:t> </w:t>
                              </w:r>
                              <w:r>
                                <w:rPr>
                                  <w:color w:val="FFFFFF"/>
                                  <w:spacing w:val="-2"/>
                                  <w:sz w:val="24"/>
                                </w:rPr>
                                <w:t>Tompkins Director</w:t>
                              </w:r>
                            </w:p>
                            <w:p>
                              <w:pPr>
                                <w:spacing w:line="300" w:lineRule="auto" w:before="0"/>
                                <w:ind w:left="1137" w:right="1133" w:firstLine="0"/>
                                <w:jc w:val="center"/>
                                <w:rPr>
                                  <w:sz w:val="24"/>
                                </w:rPr>
                              </w:pPr>
                              <w:r>
                                <w:rPr>
                                  <w:color w:val="FFFFFF"/>
                                  <w:sz w:val="24"/>
                                </w:rPr>
                                <w:t>Title</w:t>
                              </w:r>
                              <w:r>
                                <w:rPr>
                                  <w:color w:val="FFFFFF"/>
                                  <w:spacing w:val="-14"/>
                                  <w:sz w:val="24"/>
                                </w:rPr>
                                <w:t> </w:t>
                              </w:r>
                              <w:r>
                                <w:rPr>
                                  <w:color w:val="FFFFFF"/>
                                  <w:sz w:val="24"/>
                                </w:rPr>
                                <w:t>VI</w:t>
                              </w:r>
                              <w:r>
                                <w:rPr>
                                  <w:color w:val="FFFFFF"/>
                                  <w:spacing w:val="-14"/>
                                  <w:sz w:val="24"/>
                                </w:rPr>
                                <w:t> </w:t>
                              </w:r>
                              <w:r>
                                <w:rPr>
                                  <w:color w:val="FFFFFF"/>
                                  <w:sz w:val="24"/>
                                </w:rPr>
                                <w:t>Coordinator </w:t>
                              </w:r>
                              <w:r>
                                <w:rPr>
                                  <w:color w:val="FFFFFF"/>
                                  <w:spacing w:val="-2"/>
                                  <w:sz w:val="24"/>
                                </w:rPr>
                                <w:t>DBELO</w:t>
                              </w:r>
                            </w:p>
                            <w:p>
                              <w:pPr>
                                <w:spacing w:line="213" w:lineRule="auto" w:before="27"/>
                                <w:ind w:left="1375" w:right="0" w:hanging="1311"/>
                                <w:jc w:val="left"/>
                                <w:rPr>
                                  <w:sz w:val="20"/>
                                </w:rPr>
                              </w:pPr>
                              <w:r>
                                <w:rPr>
                                  <w:color w:val="FFFFFF"/>
                                  <w:sz w:val="20"/>
                                </w:rPr>
                                <w:t>(Reports</w:t>
                              </w:r>
                              <w:r>
                                <w:rPr>
                                  <w:color w:val="FFFFFF"/>
                                  <w:spacing w:val="-7"/>
                                  <w:sz w:val="20"/>
                                </w:rPr>
                                <w:t> </w:t>
                              </w:r>
                              <w:r>
                                <w:rPr>
                                  <w:color w:val="FFFFFF"/>
                                  <w:sz w:val="20"/>
                                </w:rPr>
                                <w:t>to</w:t>
                              </w:r>
                              <w:r>
                                <w:rPr>
                                  <w:color w:val="FFFFFF"/>
                                  <w:spacing w:val="-7"/>
                                  <w:sz w:val="20"/>
                                </w:rPr>
                                <w:t> </w:t>
                              </w:r>
                              <w:r>
                                <w:rPr>
                                  <w:color w:val="FFFFFF"/>
                                  <w:sz w:val="20"/>
                                </w:rPr>
                                <w:t>Chief</w:t>
                              </w:r>
                              <w:r>
                                <w:rPr>
                                  <w:color w:val="FFFFFF"/>
                                  <w:spacing w:val="-6"/>
                                  <w:sz w:val="20"/>
                                </w:rPr>
                                <w:t> </w:t>
                              </w:r>
                              <w:r>
                                <w:rPr>
                                  <w:color w:val="FFFFFF"/>
                                  <w:sz w:val="20"/>
                                </w:rPr>
                                <w:t>Legal</w:t>
                              </w:r>
                              <w:r>
                                <w:rPr>
                                  <w:color w:val="FFFFFF"/>
                                  <w:spacing w:val="-7"/>
                                  <w:sz w:val="20"/>
                                </w:rPr>
                                <w:t> </w:t>
                              </w:r>
                              <w:r>
                                <w:rPr>
                                  <w:color w:val="FFFFFF"/>
                                  <w:sz w:val="20"/>
                                </w:rPr>
                                <w:t>Counsel</w:t>
                              </w:r>
                              <w:r>
                                <w:rPr>
                                  <w:color w:val="FFFFFF"/>
                                  <w:spacing w:val="-6"/>
                                  <w:sz w:val="20"/>
                                </w:rPr>
                                <w:t> </w:t>
                              </w:r>
                              <w:r>
                                <w:rPr>
                                  <w:color w:val="FFFFFF"/>
                                  <w:sz w:val="20"/>
                                </w:rPr>
                                <w:t>with</w:t>
                              </w:r>
                              <w:r>
                                <w:rPr>
                                  <w:color w:val="FFFFFF"/>
                                  <w:spacing w:val="-5"/>
                                  <w:sz w:val="20"/>
                                </w:rPr>
                                <w:t> </w:t>
                              </w:r>
                              <w:r>
                                <w:rPr>
                                  <w:color w:val="FFFFFF"/>
                                  <w:sz w:val="20"/>
                                </w:rPr>
                                <w:t>Direct</w:t>
                              </w:r>
                              <w:r>
                                <w:rPr>
                                  <w:color w:val="FFFFFF"/>
                                  <w:spacing w:val="-5"/>
                                  <w:sz w:val="20"/>
                                </w:rPr>
                                <w:t> </w:t>
                              </w:r>
                              <w:r>
                                <w:rPr>
                                  <w:color w:val="FFFFFF"/>
                                  <w:sz w:val="20"/>
                                </w:rPr>
                                <w:t>Access to Commissioner)</w:t>
                              </w:r>
                            </w:p>
                          </w:txbxContent>
                        </wps:txbx>
                        <wps:bodyPr wrap="square" lIns="0" tIns="0" rIns="0" bIns="0" rtlCol="0">
                          <a:noAutofit/>
                        </wps:bodyPr>
                      </wps:wsp>
                    </wpg:wgp>
                  </a:graphicData>
                </a:graphic>
              </wp:anchor>
            </w:drawing>
          </mc:Choice>
          <mc:Fallback>
            <w:pict>
              <v:group style="position:absolute;margin-left:133.598007pt;margin-top:8.724218pt;width:356.05pt;height:280.25pt;mso-position-horizontal-relative:page;mso-position-vertical-relative:paragraph;z-index:-15728128;mso-wrap-distance-left:0;mso-wrap-distance-right:0" id="docshapegroup4" coordorigin="2672,174" coordsize="7121,5605">
                <v:shape style="position:absolute;left:4310;top:2633;width:3893;height:641" id="docshape5" coordorigin="4310,2633" coordsize="3893,641" path="m6200,2633l6200,2954,8203,2954,8203,3274m6200,2633l6200,2953,4310,2953,4310,3273e" filled="false" stroked="true" strokeweight="2pt" strokecolor="#3c6695">
                  <v:path arrowok="t"/>
                  <v:stroke dashstyle="solid"/>
                </v:shape>
                <v:rect style="position:absolute;left:4108;top:194;width:4183;height:2439" id="docshape6" filled="true" fillcolor="#4f81bc" stroked="false">
                  <v:fill type="solid"/>
                </v:rect>
                <v:rect style="position:absolute;left:4108;top:194;width:4183;height:2439" id="docshape7" filled="false" stroked="true" strokeweight="2pt" strokecolor="#ffffff">
                  <v:stroke dashstyle="solid"/>
                </v:rect>
                <v:rect style="position:absolute;left:2691;top:3273;width:3237;height:2367" id="docshape8" filled="true" fillcolor="#4f81bc" stroked="false">
                  <v:fill type="solid"/>
                </v:rect>
                <v:rect style="position:absolute;left:2691;top:3273;width:3237;height:2367" id="docshape9" filled="false" stroked="true" strokeweight="2pt" strokecolor="#ffffff">
                  <v:stroke dashstyle="solid"/>
                </v:rect>
                <v:rect style="position:absolute;left:6633;top:3273;width:3140;height:2485" id="docshape10" filled="true" fillcolor="#4f81bc" stroked="false">
                  <v:fill type="solid"/>
                </v:rect>
                <v:rect style="position:absolute;left:6633;top:3273;width:3140;height:2485" id="docshape11" filled="false" stroked="true" strokeweight="2pt" strokecolor="#ffffff">
                  <v:stroke dashstyle="solid"/>
                </v:rect>
                <v:shape style="position:absolute;left:6633;top:3273;width:3140;height:2486" type="#_x0000_t202" id="docshape12" filled="false" stroked="false">
                  <v:textbox inset="0,0,0,0">
                    <w:txbxContent>
                      <w:p>
                        <w:pPr>
                          <w:spacing w:line="240" w:lineRule="auto" w:before="9"/>
                          <w:rPr>
                            <w:b/>
                            <w:sz w:val="17"/>
                          </w:rPr>
                        </w:pPr>
                      </w:p>
                      <w:p>
                        <w:pPr>
                          <w:spacing w:line="300" w:lineRule="auto" w:before="0"/>
                          <w:ind w:left="448" w:right="448" w:firstLine="278"/>
                          <w:jc w:val="left"/>
                          <w:rPr>
                            <w:sz w:val="24"/>
                          </w:rPr>
                        </w:pPr>
                        <w:r>
                          <w:rPr>
                            <w:color w:val="FFFFFF"/>
                            <w:sz w:val="24"/>
                          </w:rPr>
                          <w:t>Jennifer Laliberte EEO</w:t>
                        </w:r>
                        <w:r>
                          <w:rPr>
                            <w:color w:val="FFFFFF"/>
                            <w:spacing w:val="-14"/>
                            <w:sz w:val="24"/>
                          </w:rPr>
                          <w:t> </w:t>
                        </w:r>
                        <w:r>
                          <w:rPr>
                            <w:color w:val="FFFFFF"/>
                            <w:sz w:val="24"/>
                          </w:rPr>
                          <w:t>Program</w:t>
                        </w:r>
                        <w:r>
                          <w:rPr>
                            <w:color w:val="FFFFFF"/>
                            <w:spacing w:val="-14"/>
                            <w:sz w:val="24"/>
                          </w:rPr>
                          <w:t> </w:t>
                        </w:r>
                        <w:r>
                          <w:rPr>
                            <w:color w:val="FFFFFF"/>
                            <w:sz w:val="24"/>
                          </w:rPr>
                          <w:t>Specialist</w:t>
                        </w:r>
                      </w:p>
                      <w:p>
                        <w:pPr>
                          <w:spacing w:line="293" w:lineRule="exact" w:before="0"/>
                          <w:ind w:left="23" w:right="24" w:firstLine="0"/>
                          <w:jc w:val="center"/>
                          <w:rPr>
                            <w:sz w:val="24"/>
                          </w:rPr>
                        </w:pPr>
                        <w:r>
                          <w:rPr>
                            <w:color w:val="FFFFFF"/>
                            <w:sz w:val="24"/>
                          </w:rPr>
                          <w:t>EEO</w:t>
                        </w:r>
                        <w:r>
                          <w:rPr>
                            <w:color w:val="FFFFFF"/>
                            <w:spacing w:val="-8"/>
                            <w:sz w:val="24"/>
                          </w:rPr>
                          <w:t> </w:t>
                        </w:r>
                        <w:r>
                          <w:rPr>
                            <w:color w:val="FFFFFF"/>
                            <w:sz w:val="24"/>
                          </w:rPr>
                          <w:t>Contractor</w:t>
                        </w:r>
                        <w:r>
                          <w:rPr>
                            <w:color w:val="FFFFFF"/>
                            <w:spacing w:val="-11"/>
                            <w:sz w:val="24"/>
                          </w:rPr>
                          <w:t> </w:t>
                        </w:r>
                        <w:r>
                          <w:rPr>
                            <w:color w:val="FFFFFF"/>
                            <w:spacing w:val="-2"/>
                            <w:sz w:val="24"/>
                          </w:rPr>
                          <w:t>Compliance</w:t>
                        </w:r>
                      </w:p>
                      <w:p>
                        <w:pPr>
                          <w:spacing w:line="216" w:lineRule="auto" w:before="97"/>
                          <w:ind w:left="23" w:right="25" w:firstLine="0"/>
                          <w:jc w:val="center"/>
                          <w:rPr>
                            <w:sz w:val="24"/>
                          </w:rPr>
                        </w:pPr>
                        <w:r>
                          <w:rPr>
                            <w:color w:val="FFFFFF"/>
                            <w:sz w:val="24"/>
                          </w:rPr>
                          <w:t>OJT</w:t>
                        </w:r>
                        <w:r>
                          <w:rPr>
                            <w:color w:val="FFFFFF"/>
                            <w:spacing w:val="-12"/>
                            <w:sz w:val="24"/>
                          </w:rPr>
                          <w:t> </w:t>
                        </w:r>
                        <w:r>
                          <w:rPr>
                            <w:color w:val="FFFFFF"/>
                            <w:sz w:val="24"/>
                          </w:rPr>
                          <w:t>Compliance</w:t>
                        </w:r>
                        <w:r>
                          <w:rPr>
                            <w:color w:val="FFFFFF"/>
                            <w:spacing w:val="-12"/>
                            <w:sz w:val="24"/>
                          </w:rPr>
                          <w:t> </w:t>
                        </w:r>
                        <w:r>
                          <w:rPr>
                            <w:color w:val="FFFFFF"/>
                            <w:sz w:val="24"/>
                          </w:rPr>
                          <w:t>and</w:t>
                        </w:r>
                        <w:r>
                          <w:rPr>
                            <w:color w:val="FFFFFF"/>
                            <w:spacing w:val="-14"/>
                            <w:sz w:val="24"/>
                          </w:rPr>
                          <w:t> </w:t>
                        </w:r>
                        <w:r>
                          <w:rPr>
                            <w:color w:val="FFFFFF"/>
                            <w:sz w:val="24"/>
                          </w:rPr>
                          <w:t>Supportive </w:t>
                        </w:r>
                        <w:r>
                          <w:rPr>
                            <w:color w:val="FFFFFF"/>
                            <w:spacing w:val="-2"/>
                            <w:sz w:val="24"/>
                          </w:rPr>
                          <w:t>Services</w:t>
                        </w:r>
                      </w:p>
                      <w:p>
                        <w:pPr>
                          <w:spacing w:before="79"/>
                          <w:ind w:left="23" w:right="24" w:firstLine="0"/>
                          <w:jc w:val="center"/>
                          <w:rPr>
                            <w:sz w:val="24"/>
                          </w:rPr>
                        </w:pPr>
                        <w:r>
                          <w:rPr>
                            <w:color w:val="FFFFFF"/>
                            <w:sz w:val="24"/>
                          </w:rPr>
                          <w:t>Labor</w:t>
                        </w:r>
                        <w:r>
                          <w:rPr>
                            <w:color w:val="FFFFFF"/>
                            <w:spacing w:val="-2"/>
                            <w:sz w:val="24"/>
                          </w:rPr>
                          <w:t> Compliance</w:t>
                        </w:r>
                      </w:p>
                    </w:txbxContent>
                  </v:textbox>
                  <w10:wrap type="none"/>
                </v:shape>
                <v:shape style="position:absolute;left:2691;top:3273;width:3237;height:2367" type="#_x0000_t202" id="docshape13" filled="false" stroked="false">
                  <v:textbox inset="0,0,0,0">
                    <w:txbxContent>
                      <w:p>
                        <w:pPr>
                          <w:spacing w:before="157"/>
                          <w:ind w:left="1012" w:right="0" w:firstLine="0"/>
                          <w:jc w:val="left"/>
                          <w:rPr>
                            <w:sz w:val="24"/>
                          </w:rPr>
                        </w:pPr>
                        <w:r>
                          <w:rPr>
                            <w:color w:val="FFFFFF"/>
                            <w:sz w:val="24"/>
                          </w:rPr>
                          <w:t>Mary</w:t>
                        </w:r>
                        <w:r>
                          <w:rPr>
                            <w:color w:val="FFFFFF"/>
                            <w:spacing w:val="-1"/>
                            <w:sz w:val="24"/>
                          </w:rPr>
                          <w:t> </w:t>
                        </w:r>
                        <w:r>
                          <w:rPr>
                            <w:color w:val="FFFFFF"/>
                            <w:spacing w:val="-2"/>
                            <w:sz w:val="24"/>
                          </w:rPr>
                          <w:t>Bryant</w:t>
                        </w:r>
                      </w:p>
                      <w:p>
                        <w:pPr>
                          <w:spacing w:line="360" w:lineRule="atLeast" w:before="7"/>
                          <w:ind w:left="50" w:right="47" w:firstLine="448"/>
                          <w:jc w:val="left"/>
                          <w:rPr>
                            <w:sz w:val="24"/>
                          </w:rPr>
                        </w:pPr>
                        <w:r>
                          <w:rPr>
                            <w:color w:val="FFFFFF"/>
                            <w:sz w:val="24"/>
                          </w:rPr>
                          <w:t>EEO Program Specialist</w:t>
                        </w:r>
                        <w:r>
                          <w:rPr>
                            <w:color w:val="FFFFFF"/>
                            <w:spacing w:val="40"/>
                            <w:sz w:val="24"/>
                          </w:rPr>
                          <w:t> </w:t>
                        </w:r>
                        <w:r>
                          <w:rPr>
                            <w:color w:val="FFFFFF"/>
                            <w:sz w:val="24"/>
                          </w:rPr>
                          <w:t>DBE</w:t>
                        </w:r>
                        <w:r>
                          <w:rPr>
                            <w:color w:val="FFFFFF"/>
                            <w:spacing w:val="-12"/>
                            <w:sz w:val="24"/>
                          </w:rPr>
                          <w:t> </w:t>
                        </w:r>
                        <w:r>
                          <w:rPr>
                            <w:color w:val="FFFFFF"/>
                            <w:sz w:val="24"/>
                          </w:rPr>
                          <w:t>Compliance</w:t>
                        </w:r>
                        <w:r>
                          <w:rPr>
                            <w:color w:val="FFFFFF"/>
                            <w:spacing w:val="-11"/>
                            <w:sz w:val="24"/>
                          </w:rPr>
                          <w:t> </w:t>
                        </w:r>
                        <w:r>
                          <w:rPr>
                            <w:color w:val="FFFFFF"/>
                            <w:sz w:val="24"/>
                          </w:rPr>
                          <w:t>and</w:t>
                        </w:r>
                        <w:r>
                          <w:rPr>
                            <w:color w:val="FFFFFF"/>
                            <w:spacing w:val="-11"/>
                            <w:sz w:val="24"/>
                          </w:rPr>
                          <w:t> </w:t>
                        </w:r>
                        <w:r>
                          <w:rPr>
                            <w:color w:val="FFFFFF"/>
                            <w:sz w:val="24"/>
                          </w:rPr>
                          <w:t>Supportive</w:t>
                        </w:r>
                      </w:p>
                      <w:p>
                        <w:pPr>
                          <w:spacing w:line="269" w:lineRule="exact" w:before="0"/>
                          <w:ind w:left="661" w:right="660" w:firstLine="0"/>
                          <w:jc w:val="center"/>
                          <w:rPr>
                            <w:sz w:val="24"/>
                          </w:rPr>
                        </w:pPr>
                        <w:r>
                          <w:rPr>
                            <w:color w:val="FFFFFF"/>
                            <w:spacing w:val="-2"/>
                            <w:sz w:val="24"/>
                          </w:rPr>
                          <w:t>Services</w:t>
                        </w:r>
                      </w:p>
                      <w:p>
                        <w:pPr>
                          <w:spacing w:line="300" w:lineRule="auto" w:before="74"/>
                          <w:ind w:left="664" w:right="660" w:firstLine="0"/>
                          <w:jc w:val="center"/>
                          <w:rPr>
                            <w:sz w:val="24"/>
                          </w:rPr>
                        </w:pPr>
                        <w:r>
                          <w:rPr>
                            <w:color w:val="FFFFFF"/>
                            <w:sz w:val="24"/>
                          </w:rPr>
                          <w:t>Title</w:t>
                        </w:r>
                        <w:r>
                          <w:rPr>
                            <w:color w:val="FFFFFF"/>
                            <w:spacing w:val="-14"/>
                            <w:sz w:val="24"/>
                          </w:rPr>
                          <w:t> </w:t>
                        </w:r>
                        <w:r>
                          <w:rPr>
                            <w:color w:val="FFFFFF"/>
                            <w:sz w:val="24"/>
                          </w:rPr>
                          <w:t>VI</w:t>
                        </w:r>
                        <w:r>
                          <w:rPr>
                            <w:color w:val="FFFFFF"/>
                            <w:spacing w:val="-14"/>
                            <w:sz w:val="24"/>
                          </w:rPr>
                          <w:t> </w:t>
                        </w:r>
                        <w:r>
                          <w:rPr>
                            <w:color w:val="FFFFFF"/>
                            <w:sz w:val="24"/>
                          </w:rPr>
                          <w:t>Coordinator Labor Compliance</w:t>
                        </w:r>
                      </w:p>
                    </w:txbxContent>
                  </v:textbox>
                  <w10:wrap type="none"/>
                </v:shape>
                <v:shape style="position:absolute;left:4108;top:194;width:4183;height:2439" type="#_x0000_t202" id="docshape14" filled="false" stroked="false">
                  <v:textbox inset="0,0,0,0">
                    <w:txbxContent>
                      <w:p>
                        <w:pPr>
                          <w:spacing w:line="240" w:lineRule="auto" w:before="5"/>
                          <w:rPr>
                            <w:b/>
                            <w:sz w:val="19"/>
                          </w:rPr>
                        </w:pPr>
                      </w:p>
                      <w:p>
                        <w:pPr>
                          <w:spacing w:line="300" w:lineRule="auto" w:before="0"/>
                          <w:ind w:left="1134" w:right="1133" w:firstLine="0"/>
                          <w:jc w:val="center"/>
                          <w:rPr>
                            <w:sz w:val="24"/>
                          </w:rPr>
                        </w:pPr>
                        <w:r>
                          <w:rPr>
                            <w:color w:val="FFFFFF"/>
                            <w:spacing w:val="-2"/>
                            <w:sz w:val="24"/>
                          </w:rPr>
                          <w:t>Sherry</w:t>
                        </w:r>
                        <w:r>
                          <w:rPr>
                            <w:color w:val="FFFFFF"/>
                            <w:spacing w:val="-12"/>
                            <w:sz w:val="24"/>
                          </w:rPr>
                          <w:t> </w:t>
                        </w:r>
                        <w:r>
                          <w:rPr>
                            <w:color w:val="FFFFFF"/>
                            <w:spacing w:val="-2"/>
                            <w:sz w:val="24"/>
                          </w:rPr>
                          <w:t>Tompkins Director</w:t>
                        </w:r>
                      </w:p>
                      <w:p>
                        <w:pPr>
                          <w:spacing w:line="300" w:lineRule="auto" w:before="0"/>
                          <w:ind w:left="1137" w:right="1133" w:firstLine="0"/>
                          <w:jc w:val="center"/>
                          <w:rPr>
                            <w:sz w:val="24"/>
                          </w:rPr>
                        </w:pPr>
                        <w:r>
                          <w:rPr>
                            <w:color w:val="FFFFFF"/>
                            <w:sz w:val="24"/>
                          </w:rPr>
                          <w:t>Title</w:t>
                        </w:r>
                        <w:r>
                          <w:rPr>
                            <w:color w:val="FFFFFF"/>
                            <w:spacing w:val="-14"/>
                            <w:sz w:val="24"/>
                          </w:rPr>
                          <w:t> </w:t>
                        </w:r>
                        <w:r>
                          <w:rPr>
                            <w:color w:val="FFFFFF"/>
                            <w:sz w:val="24"/>
                          </w:rPr>
                          <w:t>VI</w:t>
                        </w:r>
                        <w:r>
                          <w:rPr>
                            <w:color w:val="FFFFFF"/>
                            <w:spacing w:val="-14"/>
                            <w:sz w:val="24"/>
                          </w:rPr>
                          <w:t> </w:t>
                        </w:r>
                        <w:r>
                          <w:rPr>
                            <w:color w:val="FFFFFF"/>
                            <w:sz w:val="24"/>
                          </w:rPr>
                          <w:t>Coordinator </w:t>
                        </w:r>
                        <w:r>
                          <w:rPr>
                            <w:color w:val="FFFFFF"/>
                            <w:spacing w:val="-2"/>
                            <w:sz w:val="24"/>
                          </w:rPr>
                          <w:t>DBELO</w:t>
                        </w:r>
                      </w:p>
                      <w:p>
                        <w:pPr>
                          <w:spacing w:line="213" w:lineRule="auto" w:before="27"/>
                          <w:ind w:left="1375" w:right="0" w:hanging="1311"/>
                          <w:jc w:val="left"/>
                          <w:rPr>
                            <w:sz w:val="20"/>
                          </w:rPr>
                        </w:pPr>
                        <w:r>
                          <w:rPr>
                            <w:color w:val="FFFFFF"/>
                            <w:sz w:val="20"/>
                          </w:rPr>
                          <w:t>(Reports</w:t>
                        </w:r>
                        <w:r>
                          <w:rPr>
                            <w:color w:val="FFFFFF"/>
                            <w:spacing w:val="-7"/>
                            <w:sz w:val="20"/>
                          </w:rPr>
                          <w:t> </w:t>
                        </w:r>
                        <w:r>
                          <w:rPr>
                            <w:color w:val="FFFFFF"/>
                            <w:sz w:val="20"/>
                          </w:rPr>
                          <w:t>to</w:t>
                        </w:r>
                        <w:r>
                          <w:rPr>
                            <w:color w:val="FFFFFF"/>
                            <w:spacing w:val="-7"/>
                            <w:sz w:val="20"/>
                          </w:rPr>
                          <w:t> </w:t>
                        </w:r>
                        <w:r>
                          <w:rPr>
                            <w:color w:val="FFFFFF"/>
                            <w:sz w:val="20"/>
                          </w:rPr>
                          <w:t>Chief</w:t>
                        </w:r>
                        <w:r>
                          <w:rPr>
                            <w:color w:val="FFFFFF"/>
                            <w:spacing w:val="-6"/>
                            <w:sz w:val="20"/>
                          </w:rPr>
                          <w:t> </w:t>
                        </w:r>
                        <w:r>
                          <w:rPr>
                            <w:color w:val="FFFFFF"/>
                            <w:sz w:val="20"/>
                          </w:rPr>
                          <w:t>Legal</w:t>
                        </w:r>
                        <w:r>
                          <w:rPr>
                            <w:color w:val="FFFFFF"/>
                            <w:spacing w:val="-7"/>
                            <w:sz w:val="20"/>
                          </w:rPr>
                          <w:t> </w:t>
                        </w:r>
                        <w:r>
                          <w:rPr>
                            <w:color w:val="FFFFFF"/>
                            <w:sz w:val="20"/>
                          </w:rPr>
                          <w:t>Counsel</w:t>
                        </w:r>
                        <w:r>
                          <w:rPr>
                            <w:color w:val="FFFFFF"/>
                            <w:spacing w:val="-6"/>
                            <w:sz w:val="20"/>
                          </w:rPr>
                          <w:t> </w:t>
                        </w:r>
                        <w:r>
                          <w:rPr>
                            <w:color w:val="FFFFFF"/>
                            <w:sz w:val="20"/>
                          </w:rPr>
                          <w:t>with</w:t>
                        </w:r>
                        <w:r>
                          <w:rPr>
                            <w:color w:val="FFFFFF"/>
                            <w:spacing w:val="-5"/>
                            <w:sz w:val="20"/>
                          </w:rPr>
                          <w:t> </w:t>
                        </w:r>
                        <w:r>
                          <w:rPr>
                            <w:color w:val="FFFFFF"/>
                            <w:sz w:val="20"/>
                          </w:rPr>
                          <w:t>Direct</w:t>
                        </w:r>
                        <w:r>
                          <w:rPr>
                            <w:color w:val="FFFFFF"/>
                            <w:spacing w:val="-5"/>
                            <w:sz w:val="20"/>
                          </w:rPr>
                          <w:t> </w:t>
                        </w:r>
                        <w:r>
                          <w:rPr>
                            <w:color w:val="FFFFFF"/>
                            <w:sz w:val="20"/>
                          </w:rPr>
                          <w:t>Access to Commissioner)</w:t>
                        </w:r>
                      </w:p>
                    </w:txbxContent>
                  </v:textbox>
                  <w10:wrap type="none"/>
                </v:shape>
                <w10:wrap type="topAndBottom"/>
              </v:group>
            </w:pict>
          </mc:Fallback>
        </mc:AlternateContent>
      </w:r>
    </w:p>
    <w:p>
      <w:pPr>
        <w:spacing w:after="0"/>
        <w:rPr>
          <w:sz w:val="12"/>
        </w:rPr>
        <w:sectPr>
          <w:pgSz w:w="12240" w:h="15840"/>
          <w:pgMar w:header="0" w:footer="1063" w:top="960" w:bottom="1260" w:left="600" w:right="600"/>
        </w:sectPr>
      </w:pPr>
    </w:p>
    <w:p>
      <w:pPr>
        <w:pStyle w:val="BodyText"/>
        <w:spacing w:before="4"/>
        <w:rPr>
          <w:b/>
          <w:sz w:val="2"/>
        </w:rPr>
      </w:pPr>
    </w:p>
    <w:tbl>
      <w:tblPr>
        <w:tblW w:w="0" w:type="auto"/>
        <w:jc w:val="left"/>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64"/>
        <w:gridCol w:w="1378"/>
        <w:gridCol w:w="1937"/>
        <w:gridCol w:w="3708"/>
      </w:tblGrid>
      <w:tr>
        <w:trPr>
          <w:trHeight w:val="1074" w:hRule="atLeast"/>
        </w:trPr>
        <w:tc>
          <w:tcPr>
            <w:tcW w:w="2064" w:type="dxa"/>
          </w:tcPr>
          <w:p>
            <w:pPr>
              <w:pStyle w:val="TableParagraph"/>
              <w:spacing w:line="292" w:lineRule="exact"/>
              <w:ind w:left="107"/>
              <w:rPr>
                <w:rFonts w:ascii="Calibri"/>
                <w:sz w:val="24"/>
              </w:rPr>
            </w:pPr>
            <w:r>
              <w:rPr>
                <w:rFonts w:ascii="Calibri"/>
                <w:spacing w:val="-2"/>
                <w:sz w:val="24"/>
              </w:rPr>
              <w:t>Commissioner</w:t>
            </w:r>
          </w:p>
        </w:tc>
        <w:tc>
          <w:tcPr>
            <w:tcW w:w="1378" w:type="dxa"/>
          </w:tcPr>
          <w:p>
            <w:pPr>
              <w:pStyle w:val="TableParagraph"/>
              <w:spacing w:line="278" w:lineRule="auto"/>
              <w:ind w:left="107" w:right="342"/>
              <w:rPr>
                <w:rFonts w:ascii="Calibri"/>
                <w:sz w:val="24"/>
              </w:rPr>
            </w:pPr>
            <w:r>
              <w:rPr>
                <w:rFonts w:ascii="Calibri"/>
                <w:sz w:val="24"/>
              </w:rPr>
              <w:t>Bruce A. Van</w:t>
            </w:r>
            <w:r>
              <w:rPr>
                <w:rFonts w:ascii="Calibri"/>
                <w:spacing w:val="-14"/>
                <w:sz w:val="24"/>
              </w:rPr>
              <w:t> </w:t>
            </w:r>
            <w:r>
              <w:rPr>
                <w:rFonts w:ascii="Calibri"/>
                <w:sz w:val="24"/>
              </w:rPr>
              <w:t>Note</w:t>
            </w:r>
          </w:p>
        </w:tc>
        <w:tc>
          <w:tcPr>
            <w:tcW w:w="1937" w:type="dxa"/>
          </w:tcPr>
          <w:p>
            <w:pPr>
              <w:pStyle w:val="TableParagraph"/>
              <w:spacing w:line="292" w:lineRule="exact"/>
              <w:ind w:left="107"/>
              <w:rPr>
                <w:rFonts w:ascii="Calibri"/>
                <w:sz w:val="24"/>
              </w:rPr>
            </w:pPr>
            <w:r>
              <w:rPr>
                <w:rFonts w:ascii="Calibri"/>
                <w:sz w:val="24"/>
              </w:rPr>
              <w:t>(207)</w:t>
            </w:r>
            <w:r>
              <w:rPr>
                <w:rFonts w:ascii="Calibri"/>
                <w:spacing w:val="-2"/>
                <w:sz w:val="24"/>
              </w:rPr>
              <w:t> </w:t>
            </w:r>
            <w:r>
              <w:rPr>
                <w:rFonts w:ascii="Calibri"/>
                <w:sz w:val="24"/>
              </w:rPr>
              <w:t>624-</w:t>
            </w:r>
            <w:r>
              <w:rPr>
                <w:rFonts w:ascii="Calibri"/>
                <w:spacing w:val="-4"/>
                <w:sz w:val="24"/>
              </w:rPr>
              <w:t>3003</w:t>
            </w:r>
          </w:p>
        </w:tc>
        <w:tc>
          <w:tcPr>
            <w:tcW w:w="3708" w:type="dxa"/>
          </w:tcPr>
          <w:p>
            <w:pPr>
              <w:pStyle w:val="TableParagraph"/>
              <w:spacing w:line="292" w:lineRule="exact"/>
              <w:ind w:left="109"/>
              <w:rPr>
                <w:rFonts w:ascii="Calibri"/>
                <w:sz w:val="24"/>
              </w:rPr>
            </w:pPr>
            <w:hyperlink r:id="rId18">
              <w:r>
                <w:rPr>
                  <w:rFonts w:ascii="Calibri"/>
                  <w:color w:val="0000FF"/>
                  <w:spacing w:val="-2"/>
                  <w:sz w:val="24"/>
                  <w:u w:val="single" w:color="0000FF"/>
                </w:rPr>
                <w:t>bruce.dot@maine.gov</w:t>
              </w:r>
            </w:hyperlink>
          </w:p>
        </w:tc>
      </w:tr>
      <w:tr>
        <w:trPr>
          <w:trHeight w:val="873" w:hRule="atLeast"/>
        </w:trPr>
        <w:tc>
          <w:tcPr>
            <w:tcW w:w="2064" w:type="dxa"/>
          </w:tcPr>
          <w:p>
            <w:pPr>
              <w:pStyle w:val="TableParagraph"/>
              <w:spacing w:line="276" w:lineRule="auto"/>
              <w:ind w:left="107"/>
              <w:rPr>
                <w:rFonts w:ascii="Calibri"/>
                <w:sz w:val="24"/>
              </w:rPr>
            </w:pPr>
            <w:r>
              <w:rPr>
                <w:rFonts w:ascii="Calibri"/>
                <w:sz w:val="24"/>
              </w:rPr>
              <w:t>Acting</w:t>
            </w:r>
            <w:r>
              <w:rPr>
                <w:rFonts w:ascii="Calibri"/>
                <w:spacing w:val="-14"/>
                <w:sz w:val="24"/>
              </w:rPr>
              <w:t> </w:t>
            </w:r>
            <w:r>
              <w:rPr>
                <w:rFonts w:ascii="Calibri"/>
                <w:sz w:val="24"/>
              </w:rPr>
              <w:t>Chief</w:t>
            </w:r>
            <w:r>
              <w:rPr>
                <w:rFonts w:ascii="Calibri"/>
                <w:spacing w:val="-14"/>
                <w:sz w:val="24"/>
              </w:rPr>
              <w:t> </w:t>
            </w:r>
            <w:r>
              <w:rPr>
                <w:rFonts w:ascii="Calibri"/>
                <w:sz w:val="24"/>
              </w:rPr>
              <w:t>Legal </w:t>
            </w:r>
            <w:r>
              <w:rPr>
                <w:rFonts w:ascii="Calibri"/>
                <w:spacing w:val="-2"/>
                <w:sz w:val="24"/>
              </w:rPr>
              <w:t>Counsel</w:t>
            </w:r>
          </w:p>
        </w:tc>
        <w:tc>
          <w:tcPr>
            <w:tcW w:w="1378" w:type="dxa"/>
          </w:tcPr>
          <w:p>
            <w:pPr>
              <w:pStyle w:val="TableParagraph"/>
              <w:spacing w:line="292" w:lineRule="exact"/>
              <w:ind w:left="107"/>
              <w:rPr>
                <w:rFonts w:ascii="Calibri"/>
                <w:sz w:val="24"/>
              </w:rPr>
            </w:pPr>
            <w:r>
              <w:rPr>
                <w:rFonts w:ascii="Calibri"/>
                <w:sz w:val="24"/>
              </w:rPr>
              <w:t>Anne</w:t>
            </w:r>
            <w:r>
              <w:rPr>
                <w:rFonts w:ascii="Calibri"/>
                <w:spacing w:val="1"/>
                <w:sz w:val="24"/>
              </w:rPr>
              <w:t> </w:t>
            </w:r>
            <w:r>
              <w:rPr>
                <w:rFonts w:ascii="Calibri"/>
                <w:spacing w:val="-4"/>
                <w:sz w:val="24"/>
              </w:rPr>
              <w:t>Pare</w:t>
            </w:r>
          </w:p>
        </w:tc>
        <w:tc>
          <w:tcPr>
            <w:tcW w:w="1937" w:type="dxa"/>
          </w:tcPr>
          <w:p>
            <w:pPr>
              <w:pStyle w:val="TableParagraph"/>
              <w:spacing w:line="292" w:lineRule="exact"/>
              <w:ind w:left="107"/>
              <w:rPr>
                <w:rFonts w:ascii="Calibri"/>
                <w:sz w:val="24"/>
              </w:rPr>
            </w:pPr>
            <w:r>
              <w:rPr>
                <w:rFonts w:ascii="Calibri"/>
                <w:sz w:val="24"/>
              </w:rPr>
              <w:t>(207)</w:t>
            </w:r>
            <w:r>
              <w:rPr>
                <w:rFonts w:ascii="Calibri"/>
                <w:spacing w:val="-2"/>
                <w:sz w:val="24"/>
              </w:rPr>
              <w:t> </w:t>
            </w:r>
            <w:r>
              <w:rPr>
                <w:rFonts w:ascii="Calibri"/>
                <w:sz w:val="24"/>
              </w:rPr>
              <w:t>624-</w:t>
            </w:r>
            <w:r>
              <w:rPr>
                <w:rFonts w:ascii="Calibri"/>
                <w:spacing w:val="-4"/>
                <w:sz w:val="24"/>
              </w:rPr>
              <w:t>3020</w:t>
            </w:r>
          </w:p>
        </w:tc>
        <w:tc>
          <w:tcPr>
            <w:tcW w:w="3708" w:type="dxa"/>
          </w:tcPr>
          <w:p>
            <w:pPr>
              <w:pStyle w:val="TableParagraph"/>
              <w:spacing w:line="292" w:lineRule="exact"/>
              <w:ind w:left="109"/>
              <w:rPr>
                <w:rFonts w:ascii="Calibri"/>
                <w:sz w:val="24"/>
              </w:rPr>
            </w:pPr>
            <w:hyperlink r:id="rId19">
              <w:r>
                <w:rPr>
                  <w:rFonts w:ascii="Calibri"/>
                  <w:color w:val="0000FF"/>
                  <w:spacing w:val="-2"/>
                  <w:sz w:val="24"/>
                  <w:u w:val="single" w:color="0000FF"/>
                </w:rPr>
                <w:t>anne.pare@maine.gov</w:t>
              </w:r>
            </w:hyperlink>
          </w:p>
        </w:tc>
      </w:tr>
      <w:tr>
        <w:trPr>
          <w:trHeight w:val="2284" w:hRule="atLeast"/>
        </w:trPr>
        <w:tc>
          <w:tcPr>
            <w:tcW w:w="2064" w:type="dxa"/>
          </w:tcPr>
          <w:p>
            <w:pPr>
              <w:pStyle w:val="TableParagraph"/>
              <w:spacing w:line="276" w:lineRule="auto"/>
              <w:ind w:left="107" w:right="627"/>
              <w:rPr>
                <w:rFonts w:ascii="Calibri"/>
                <w:sz w:val="24"/>
              </w:rPr>
            </w:pPr>
            <w:r>
              <w:rPr>
                <w:rFonts w:ascii="Calibri"/>
                <w:sz w:val="24"/>
              </w:rPr>
              <w:t>Director,</w:t>
            </w:r>
            <w:r>
              <w:rPr>
                <w:rFonts w:ascii="Calibri"/>
                <w:spacing w:val="-14"/>
                <w:sz w:val="24"/>
              </w:rPr>
              <w:t> </w:t>
            </w:r>
            <w:r>
              <w:rPr>
                <w:rFonts w:ascii="Calibri"/>
                <w:sz w:val="24"/>
              </w:rPr>
              <w:t>Civil Rights Office</w:t>
            </w:r>
          </w:p>
          <w:p>
            <w:pPr>
              <w:pStyle w:val="TableParagraph"/>
              <w:spacing w:line="278" w:lineRule="auto" w:before="199"/>
              <w:ind w:left="107" w:right="133"/>
              <w:rPr>
                <w:rFonts w:ascii="Calibri"/>
                <w:sz w:val="24"/>
              </w:rPr>
            </w:pPr>
            <w:r>
              <w:rPr>
                <w:rFonts w:ascii="Calibri"/>
                <w:sz w:val="24"/>
              </w:rPr>
              <w:t>Title VI </w:t>
            </w:r>
            <w:r>
              <w:rPr>
                <w:rFonts w:ascii="Calibri"/>
                <w:spacing w:val="-2"/>
                <w:sz w:val="24"/>
              </w:rPr>
              <w:t>Coordinator</w:t>
            </w:r>
          </w:p>
          <w:p>
            <w:pPr>
              <w:pStyle w:val="TableParagraph"/>
              <w:spacing w:line="240" w:lineRule="auto" w:before="194"/>
              <w:ind w:left="107"/>
              <w:rPr>
                <w:rFonts w:ascii="Calibri"/>
                <w:sz w:val="24"/>
              </w:rPr>
            </w:pPr>
            <w:r>
              <w:rPr>
                <w:rFonts w:ascii="Calibri"/>
                <w:spacing w:val="-2"/>
                <w:sz w:val="24"/>
              </w:rPr>
              <w:t>DBELO</w:t>
            </w:r>
          </w:p>
        </w:tc>
        <w:tc>
          <w:tcPr>
            <w:tcW w:w="1378" w:type="dxa"/>
          </w:tcPr>
          <w:p>
            <w:pPr>
              <w:pStyle w:val="TableParagraph"/>
              <w:spacing w:line="276" w:lineRule="auto"/>
              <w:ind w:left="107"/>
              <w:rPr>
                <w:rFonts w:ascii="Calibri"/>
                <w:sz w:val="24"/>
              </w:rPr>
            </w:pPr>
            <w:r>
              <w:rPr>
                <w:rFonts w:ascii="Calibri"/>
                <w:spacing w:val="-2"/>
                <w:sz w:val="24"/>
              </w:rPr>
              <w:t>Sherry Tompkins</w:t>
            </w:r>
          </w:p>
        </w:tc>
        <w:tc>
          <w:tcPr>
            <w:tcW w:w="1937" w:type="dxa"/>
          </w:tcPr>
          <w:p>
            <w:pPr>
              <w:pStyle w:val="TableParagraph"/>
              <w:spacing w:line="292" w:lineRule="exact"/>
              <w:ind w:left="107"/>
              <w:rPr>
                <w:rFonts w:ascii="Calibri"/>
                <w:sz w:val="24"/>
              </w:rPr>
            </w:pPr>
            <w:r>
              <w:rPr>
                <w:rFonts w:ascii="Calibri"/>
                <w:sz w:val="24"/>
              </w:rPr>
              <w:t>(207)</w:t>
            </w:r>
            <w:r>
              <w:rPr>
                <w:rFonts w:ascii="Calibri"/>
                <w:spacing w:val="-2"/>
                <w:sz w:val="24"/>
              </w:rPr>
              <w:t> </w:t>
            </w:r>
            <w:r>
              <w:rPr>
                <w:rFonts w:ascii="Calibri"/>
                <w:sz w:val="24"/>
              </w:rPr>
              <w:t>624-</w:t>
            </w:r>
            <w:r>
              <w:rPr>
                <w:rFonts w:ascii="Calibri"/>
                <w:spacing w:val="-4"/>
                <w:sz w:val="24"/>
              </w:rPr>
              <w:t>3066</w:t>
            </w:r>
          </w:p>
        </w:tc>
        <w:tc>
          <w:tcPr>
            <w:tcW w:w="3708" w:type="dxa"/>
          </w:tcPr>
          <w:p>
            <w:pPr>
              <w:pStyle w:val="TableParagraph"/>
              <w:spacing w:line="292" w:lineRule="exact"/>
              <w:ind w:left="109"/>
              <w:rPr>
                <w:rFonts w:ascii="Calibri"/>
                <w:sz w:val="24"/>
              </w:rPr>
            </w:pPr>
            <w:hyperlink r:id="rId8">
              <w:r>
                <w:rPr>
                  <w:rFonts w:ascii="Calibri"/>
                  <w:color w:val="0000FF"/>
                  <w:spacing w:val="-2"/>
                  <w:sz w:val="24"/>
                  <w:u w:val="single" w:color="0000FF"/>
                </w:rPr>
                <w:t>sherry.tompkins@maine.gov</w:t>
              </w:r>
            </w:hyperlink>
          </w:p>
        </w:tc>
      </w:tr>
      <w:tr>
        <w:trPr>
          <w:trHeight w:val="3158" w:hRule="atLeast"/>
        </w:trPr>
        <w:tc>
          <w:tcPr>
            <w:tcW w:w="2064" w:type="dxa"/>
          </w:tcPr>
          <w:p>
            <w:pPr>
              <w:pStyle w:val="TableParagraph"/>
              <w:spacing w:line="278" w:lineRule="auto"/>
              <w:ind w:left="107" w:right="655"/>
              <w:rPr>
                <w:rFonts w:ascii="Calibri"/>
                <w:sz w:val="24"/>
              </w:rPr>
            </w:pPr>
            <w:r>
              <w:rPr>
                <w:rFonts w:ascii="Calibri"/>
                <w:sz w:val="24"/>
              </w:rPr>
              <w:t>EEO</w:t>
            </w:r>
            <w:r>
              <w:rPr>
                <w:rFonts w:ascii="Calibri"/>
                <w:spacing w:val="-14"/>
                <w:sz w:val="24"/>
              </w:rPr>
              <w:t> </w:t>
            </w:r>
            <w:r>
              <w:rPr>
                <w:rFonts w:ascii="Calibri"/>
                <w:sz w:val="24"/>
              </w:rPr>
              <w:t>Program </w:t>
            </w:r>
            <w:r>
              <w:rPr>
                <w:rFonts w:ascii="Calibri"/>
                <w:spacing w:val="-2"/>
                <w:sz w:val="24"/>
              </w:rPr>
              <w:t>Specialist</w:t>
            </w:r>
          </w:p>
          <w:p>
            <w:pPr>
              <w:pStyle w:val="TableParagraph"/>
              <w:spacing w:line="278" w:lineRule="auto" w:before="193"/>
              <w:ind w:left="107"/>
              <w:rPr>
                <w:rFonts w:ascii="Calibri"/>
                <w:sz w:val="24"/>
              </w:rPr>
            </w:pPr>
            <w:r>
              <w:rPr>
                <w:rFonts w:ascii="Calibri"/>
                <w:sz w:val="24"/>
              </w:rPr>
              <w:t>DBE Program </w:t>
            </w:r>
            <w:r>
              <w:rPr>
                <w:rFonts w:ascii="Calibri"/>
                <w:spacing w:val="-2"/>
                <w:sz w:val="24"/>
              </w:rPr>
              <w:t>Administrator</w:t>
            </w:r>
          </w:p>
          <w:p>
            <w:pPr>
              <w:pStyle w:val="TableParagraph"/>
              <w:spacing w:line="278" w:lineRule="auto" w:before="194"/>
              <w:ind w:left="107" w:right="133"/>
              <w:rPr>
                <w:rFonts w:ascii="Calibri"/>
                <w:sz w:val="24"/>
              </w:rPr>
            </w:pPr>
            <w:r>
              <w:rPr>
                <w:rFonts w:ascii="Calibri"/>
                <w:sz w:val="24"/>
              </w:rPr>
              <w:t>Title VI </w:t>
            </w:r>
            <w:r>
              <w:rPr>
                <w:rFonts w:ascii="Calibri"/>
                <w:spacing w:val="-2"/>
                <w:sz w:val="24"/>
              </w:rPr>
              <w:t>Coordinator</w:t>
            </w:r>
          </w:p>
          <w:p>
            <w:pPr>
              <w:pStyle w:val="TableParagraph"/>
              <w:spacing w:line="240" w:lineRule="auto" w:before="194"/>
              <w:ind w:left="107"/>
              <w:rPr>
                <w:rFonts w:ascii="Calibri"/>
                <w:sz w:val="24"/>
              </w:rPr>
            </w:pPr>
            <w:r>
              <w:rPr>
                <w:rFonts w:ascii="Calibri"/>
                <w:sz w:val="24"/>
              </w:rPr>
              <w:t>Labor</w:t>
            </w:r>
            <w:r>
              <w:rPr>
                <w:rFonts w:ascii="Calibri"/>
                <w:spacing w:val="1"/>
                <w:sz w:val="24"/>
              </w:rPr>
              <w:t> </w:t>
            </w:r>
            <w:r>
              <w:rPr>
                <w:rFonts w:ascii="Calibri"/>
                <w:spacing w:val="-2"/>
                <w:sz w:val="24"/>
              </w:rPr>
              <w:t>Compliance</w:t>
            </w:r>
          </w:p>
        </w:tc>
        <w:tc>
          <w:tcPr>
            <w:tcW w:w="1378" w:type="dxa"/>
          </w:tcPr>
          <w:p>
            <w:pPr>
              <w:pStyle w:val="TableParagraph"/>
              <w:spacing w:line="278" w:lineRule="auto"/>
              <w:ind w:left="107" w:right="608"/>
              <w:rPr>
                <w:rFonts w:ascii="Calibri"/>
                <w:sz w:val="24"/>
              </w:rPr>
            </w:pPr>
            <w:r>
              <w:rPr>
                <w:rFonts w:ascii="Calibri"/>
                <w:spacing w:val="-4"/>
                <w:sz w:val="24"/>
              </w:rPr>
              <w:t>Mary </w:t>
            </w:r>
            <w:r>
              <w:rPr>
                <w:rFonts w:ascii="Calibri"/>
                <w:spacing w:val="-2"/>
                <w:sz w:val="24"/>
              </w:rPr>
              <w:t>Bryant</w:t>
            </w:r>
          </w:p>
        </w:tc>
        <w:tc>
          <w:tcPr>
            <w:tcW w:w="1937" w:type="dxa"/>
          </w:tcPr>
          <w:p>
            <w:pPr>
              <w:pStyle w:val="TableParagraph"/>
              <w:spacing w:line="292" w:lineRule="exact"/>
              <w:ind w:left="107"/>
              <w:rPr>
                <w:rFonts w:ascii="Calibri"/>
                <w:sz w:val="24"/>
              </w:rPr>
            </w:pPr>
            <w:r>
              <w:rPr>
                <w:rFonts w:ascii="Calibri"/>
                <w:sz w:val="24"/>
              </w:rPr>
              <w:t>(207)</w:t>
            </w:r>
            <w:r>
              <w:rPr>
                <w:rFonts w:ascii="Calibri"/>
                <w:spacing w:val="-2"/>
                <w:sz w:val="24"/>
              </w:rPr>
              <w:t> </w:t>
            </w:r>
            <w:r>
              <w:rPr>
                <w:rFonts w:ascii="Calibri"/>
                <w:sz w:val="24"/>
              </w:rPr>
              <w:t>624-</w:t>
            </w:r>
            <w:r>
              <w:rPr>
                <w:rFonts w:ascii="Calibri"/>
                <w:spacing w:val="-4"/>
                <w:sz w:val="24"/>
              </w:rPr>
              <w:t>3056</w:t>
            </w:r>
          </w:p>
        </w:tc>
        <w:tc>
          <w:tcPr>
            <w:tcW w:w="3708" w:type="dxa"/>
          </w:tcPr>
          <w:p>
            <w:pPr>
              <w:pStyle w:val="TableParagraph"/>
              <w:spacing w:line="292" w:lineRule="exact"/>
              <w:ind w:left="109"/>
              <w:rPr>
                <w:rFonts w:ascii="Calibri"/>
                <w:sz w:val="24"/>
              </w:rPr>
            </w:pPr>
            <w:hyperlink r:id="rId20">
              <w:r>
                <w:rPr>
                  <w:rFonts w:ascii="Calibri"/>
                  <w:color w:val="0000FF"/>
                  <w:spacing w:val="-2"/>
                  <w:sz w:val="24"/>
                  <w:u w:val="single" w:color="0000FF"/>
                </w:rPr>
                <w:t>mary.bryant@maine.gov</w:t>
              </w:r>
            </w:hyperlink>
          </w:p>
        </w:tc>
      </w:tr>
      <w:tr>
        <w:trPr>
          <w:trHeight w:val="3158" w:hRule="atLeast"/>
        </w:trPr>
        <w:tc>
          <w:tcPr>
            <w:tcW w:w="2064" w:type="dxa"/>
          </w:tcPr>
          <w:p>
            <w:pPr>
              <w:pStyle w:val="TableParagraph"/>
              <w:spacing w:line="278" w:lineRule="auto"/>
              <w:ind w:left="107" w:right="655"/>
              <w:rPr>
                <w:rFonts w:ascii="Calibri"/>
                <w:sz w:val="24"/>
              </w:rPr>
            </w:pPr>
            <w:r>
              <w:rPr>
                <w:rFonts w:ascii="Calibri"/>
                <w:sz w:val="24"/>
              </w:rPr>
              <w:t>EEO</w:t>
            </w:r>
            <w:r>
              <w:rPr>
                <w:rFonts w:ascii="Calibri"/>
                <w:spacing w:val="-14"/>
                <w:sz w:val="24"/>
              </w:rPr>
              <w:t> </w:t>
            </w:r>
            <w:r>
              <w:rPr>
                <w:rFonts w:ascii="Calibri"/>
                <w:sz w:val="24"/>
              </w:rPr>
              <w:t>Program </w:t>
            </w:r>
            <w:r>
              <w:rPr>
                <w:rFonts w:ascii="Calibri"/>
                <w:spacing w:val="-2"/>
                <w:sz w:val="24"/>
              </w:rPr>
              <w:t>Specialist</w:t>
            </w:r>
          </w:p>
          <w:p>
            <w:pPr>
              <w:pStyle w:val="TableParagraph"/>
              <w:spacing w:line="278" w:lineRule="auto" w:before="193"/>
              <w:ind w:left="107"/>
              <w:rPr>
                <w:rFonts w:ascii="Calibri"/>
                <w:sz w:val="24"/>
              </w:rPr>
            </w:pPr>
            <w:r>
              <w:rPr>
                <w:rFonts w:ascii="Calibri"/>
                <w:spacing w:val="-2"/>
                <w:sz w:val="24"/>
              </w:rPr>
              <w:t>Contractor Compliance</w:t>
            </w:r>
          </w:p>
          <w:p>
            <w:pPr>
              <w:pStyle w:val="TableParagraph"/>
              <w:spacing w:line="276" w:lineRule="auto" w:before="196"/>
              <w:ind w:left="107"/>
              <w:rPr>
                <w:rFonts w:ascii="Calibri"/>
                <w:sz w:val="24"/>
              </w:rPr>
            </w:pPr>
            <w:r>
              <w:rPr>
                <w:rFonts w:ascii="Calibri"/>
                <w:sz w:val="24"/>
              </w:rPr>
              <w:t>OJT Program </w:t>
            </w:r>
            <w:r>
              <w:rPr>
                <w:rFonts w:ascii="Calibri"/>
                <w:spacing w:val="-2"/>
                <w:sz w:val="24"/>
              </w:rPr>
              <w:t>Administrator</w:t>
            </w:r>
          </w:p>
          <w:p>
            <w:pPr>
              <w:pStyle w:val="TableParagraph"/>
              <w:spacing w:line="240" w:lineRule="auto" w:before="200"/>
              <w:ind w:left="107"/>
              <w:rPr>
                <w:rFonts w:ascii="Calibri"/>
                <w:sz w:val="24"/>
              </w:rPr>
            </w:pPr>
            <w:r>
              <w:rPr>
                <w:rFonts w:ascii="Calibri"/>
                <w:sz w:val="24"/>
              </w:rPr>
              <w:t>Labor</w:t>
            </w:r>
            <w:r>
              <w:rPr>
                <w:rFonts w:ascii="Calibri"/>
                <w:spacing w:val="1"/>
                <w:sz w:val="24"/>
              </w:rPr>
              <w:t> </w:t>
            </w:r>
            <w:r>
              <w:rPr>
                <w:rFonts w:ascii="Calibri"/>
                <w:spacing w:val="-2"/>
                <w:sz w:val="24"/>
              </w:rPr>
              <w:t>Compliance</w:t>
            </w:r>
          </w:p>
        </w:tc>
        <w:tc>
          <w:tcPr>
            <w:tcW w:w="1378" w:type="dxa"/>
          </w:tcPr>
          <w:p>
            <w:pPr>
              <w:pStyle w:val="TableParagraph"/>
              <w:spacing w:line="278" w:lineRule="auto"/>
              <w:ind w:left="107" w:right="342"/>
              <w:rPr>
                <w:rFonts w:ascii="Calibri"/>
                <w:sz w:val="24"/>
              </w:rPr>
            </w:pPr>
            <w:r>
              <w:rPr>
                <w:rFonts w:ascii="Calibri"/>
                <w:spacing w:val="-2"/>
                <w:sz w:val="24"/>
              </w:rPr>
              <w:t>Jennifer Laliberte</w:t>
            </w:r>
          </w:p>
        </w:tc>
        <w:tc>
          <w:tcPr>
            <w:tcW w:w="1937" w:type="dxa"/>
          </w:tcPr>
          <w:p>
            <w:pPr>
              <w:pStyle w:val="TableParagraph"/>
              <w:spacing w:line="292" w:lineRule="exact"/>
              <w:ind w:left="107"/>
              <w:rPr>
                <w:rFonts w:ascii="Calibri"/>
                <w:sz w:val="24"/>
              </w:rPr>
            </w:pPr>
            <w:r>
              <w:rPr>
                <w:rFonts w:ascii="Calibri"/>
                <w:sz w:val="24"/>
              </w:rPr>
              <w:t>(207)</w:t>
            </w:r>
            <w:r>
              <w:rPr>
                <w:rFonts w:ascii="Calibri"/>
                <w:spacing w:val="-2"/>
                <w:sz w:val="24"/>
              </w:rPr>
              <w:t> </w:t>
            </w:r>
            <w:r>
              <w:rPr>
                <w:rFonts w:ascii="Calibri"/>
                <w:sz w:val="24"/>
              </w:rPr>
              <w:t>624-</w:t>
            </w:r>
            <w:r>
              <w:rPr>
                <w:rFonts w:ascii="Calibri"/>
                <w:spacing w:val="-4"/>
                <w:sz w:val="24"/>
              </w:rPr>
              <w:t>3036</w:t>
            </w:r>
          </w:p>
        </w:tc>
        <w:tc>
          <w:tcPr>
            <w:tcW w:w="3708" w:type="dxa"/>
          </w:tcPr>
          <w:p>
            <w:pPr>
              <w:pStyle w:val="TableParagraph"/>
              <w:spacing w:line="292" w:lineRule="exact"/>
              <w:ind w:left="109"/>
              <w:rPr>
                <w:rFonts w:ascii="Calibri"/>
                <w:sz w:val="24"/>
              </w:rPr>
            </w:pPr>
            <w:hyperlink r:id="rId21">
              <w:r>
                <w:rPr>
                  <w:rFonts w:ascii="Calibri"/>
                  <w:color w:val="0000FF"/>
                  <w:spacing w:val="-2"/>
                  <w:sz w:val="24"/>
                  <w:u w:val="single" w:color="0000FF"/>
                </w:rPr>
                <w:t>jennifer.e.laliberte@maine.gov</w:t>
              </w:r>
            </w:hyperlink>
          </w:p>
        </w:tc>
      </w:tr>
    </w:tbl>
    <w:p>
      <w:pPr>
        <w:spacing w:after="0" w:line="292" w:lineRule="exact"/>
        <w:rPr>
          <w:rFonts w:ascii="Calibri"/>
          <w:sz w:val="24"/>
        </w:rPr>
        <w:sectPr>
          <w:pgSz w:w="12240" w:h="15840"/>
          <w:pgMar w:header="0" w:footer="1063" w:top="1260" w:bottom="1260" w:left="600" w:right="600"/>
        </w:sectPr>
      </w:pPr>
    </w:p>
    <w:p>
      <w:pPr>
        <w:spacing w:before="28"/>
        <w:ind w:left="120" w:right="0" w:firstLine="0"/>
        <w:jc w:val="left"/>
        <w:rPr>
          <w:b/>
          <w:sz w:val="24"/>
        </w:rPr>
      </w:pPr>
      <w:r>
        <w:rPr>
          <w:b/>
          <w:sz w:val="24"/>
        </w:rPr>
        <w:t>MaineDOT</w:t>
      </w:r>
      <w:r>
        <w:rPr>
          <w:b/>
          <w:spacing w:val="-4"/>
          <w:sz w:val="24"/>
        </w:rPr>
        <w:t> </w:t>
      </w:r>
      <w:r>
        <w:rPr>
          <w:b/>
          <w:sz w:val="24"/>
        </w:rPr>
        <w:t>Organizational</w:t>
      </w:r>
      <w:r>
        <w:rPr>
          <w:b/>
          <w:spacing w:val="-3"/>
          <w:sz w:val="24"/>
        </w:rPr>
        <w:t> </w:t>
      </w:r>
      <w:r>
        <w:rPr>
          <w:b/>
          <w:spacing w:val="-4"/>
          <w:sz w:val="24"/>
        </w:rPr>
        <w:t>Chart</w:t>
      </w:r>
    </w:p>
    <w:p>
      <w:pPr>
        <w:pStyle w:val="BodyText"/>
        <w:rPr>
          <w:b/>
          <w:sz w:val="20"/>
        </w:rPr>
      </w:pPr>
    </w:p>
    <w:p>
      <w:pPr>
        <w:pStyle w:val="BodyText"/>
        <w:rPr>
          <w:b/>
          <w:sz w:val="20"/>
        </w:rPr>
      </w:pPr>
    </w:p>
    <w:p>
      <w:pPr>
        <w:pStyle w:val="BodyText"/>
        <w:rPr>
          <w:b/>
          <w:sz w:val="20"/>
        </w:rPr>
      </w:pPr>
    </w:p>
    <w:p>
      <w:pPr>
        <w:pStyle w:val="BodyText"/>
        <w:spacing w:before="1"/>
        <w:rPr>
          <w:b/>
          <w:sz w:val="14"/>
        </w:rPr>
      </w:pPr>
      <w:r>
        <w:rPr/>
        <w:drawing>
          <wp:anchor distT="0" distB="0" distL="0" distR="0" allowOverlap="1" layoutInCell="1" locked="0" behindDoc="1" simplePos="0" relativeHeight="487588864">
            <wp:simplePos x="0" y="0"/>
            <wp:positionH relativeFrom="page">
              <wp:posOffset>577215</wp:posOffset>
            </wp:positionH>
            <wp:positionV relativeFrom="paragraph">
              <wp:posOffset>124847</wp:posOffset>
            </wp:positionV>
            <wp:extent cx="6583826" cy="505301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22" cstate="print"/>
                    <a:stretch>
                      <a:fillRect/>
                    </a:stretch>
                  </pic:blipFill>
                  <pic:spPr>
                    <a:xfrm>
                      <a:off x="0" y="0"/>
                      <a:ext cx="6583826" cy="5053012"/>
                    </a:xfrm>
                    <a:prstGeom prst="rect">
                      <a:avLst/>
                    </a:prstGeom>
                  </pic:spPr>
                </pic:pic>
              </a:graphicData>
            </a:graphic>
          </wp:anchor>
        </w:drawing>
      </w:r>
    </w:p>
    <w:p>
      <w:pPr>
        <w:spacing w:after="0"/>
        <w:rPr>
          <w:sz w:val="14"/>
        </w:rPr>
        <w:sectPr>
          <w:pgSz w:w="12240" w:h="15840"/>
          <w:pgMar w:header="0" w:footer="1063" w:top="1260" w:bottom="1260" w:left="600" w:right="600"/>
        </w:sectPr>
      </w:pPr>
    </w:p>
    <w:p>
      <w:pPr>
        <w:pStyle w:val="Heading8"/>
        <w:spacing w:before="35"/>
        <w:ind w:right="1209"/>
        <w:rPr>
          <w:u w:val="none"/>
        </w:rPr>
      </w:pPr>
      <w:bookmarkStart w:name="TITLE VI MONITORING AND REVIEW PROCESS" w:id="10"/>
      <w:bookmarkEnd w:id="10"/>
      <w:r>
        <w:rPr>
          <w:b w:val="0"/>
          <w:u w:val="none"/>
        </w:rPr>
      </w:r>
      <w:bookmarkStart w:name="_bookmark4" w:id="11"/>
      <w:bookmarkEnd w:id="11"/>
      <w:r>
        <w:rPr>
          <w:b w:val="0"/>
          <w:u w:val="none"/>
        </w:rPr>
      </w:r>
      <w:r>
        <w:rPr>
          <w:u w:val="single"/>
        </w:rPr>
        <w:t>TITLE</w:t>
      </w:r>
      <w:r>
        <w:rPr>
          <w:spacing w:val="-4"/>
          <w:u w:val="single"/>
        </w:rPr>
        <w:t> </w:t>
      </w:r>
      <w:r>
        <w:rPr>
          <w:u w:val="single"/>
        </w:rPr>
        <w:t>VI</w:t>
      </w:r>
      <w:r>
        <w:rPr>
          <w:spacing w:val="-1"/>
          <w:u w:val="single"/>
        </w:rPr>
        <w:t> </w:t>
      </w:r>
      <w:r>
        <w:rPr>
          <w:u w:val="single"/>
        </w:rPr>
        <w:t>MONITORING</w:t>
      </w:r>
      <w:r>
        <w:rPr>
          <w:spacing w:val="-3"/>
          <w:u w:val="single"/>
        </w:rPr>
        <w:t> </w:t>
      </w:r>
      <w:r>
        <w:rPr>
          <w:u w:val="single"/>
        </w:rPr>
        <w:t>AND</w:t>
      </w:r>
      <w:r>
        <w:rPr>
          <w:spacing w:val="-2"/>
          <w:u w:val="single"/>
        </w:rPr>
        <w:t> </w:t>
      </w:r>
      <w:r>
        <w:rPr>
          <w:u w:val="single"/>
        </w:rPr>
        <w:t>REVIEW</w:t>
      </w:r>
      <w:r>
        <w:rPr>
          <w:spacing w:val="-3"/>
          <w:u w:val="single"/>
        </w:rPr>
        <w:t> </w:t>
      </w:r>
      <w:r>
        <w:rPr>
          <w:spacing w:val="-2"/>
          <w:u w:val="single"/>
        </w:rPr>
        <w:t>PROCESS</w:t>
      </w:r>
    </w:p>
    <w:p>
      <w:pPr>
        <w:pStyle w:val="BodyText"/>
        <w:spacing w:before="9"/>
        <w:rPr>
          <w:b/>
          <w:sz w:val="19"/>
        </w:rPr>
      </w:pPr>
    </w:p>
    <w:p>
      <w:pPr>
        <w:pStyle w:val="Heading9"/>
        <w:spacing w:before="52"/>
        <w:jc w:val="both"/>
      </w:pPr>
      <w:r>
        <w:rPr/>
        <w:t>Civil</w:t>
      </w:r>
      <w:r>
        <w:rPr>
          <w:spacing w:val="-1"/>
        </w:rPr>
        <w:t> </w:t>
      </w:r>
      <w:r>
        <w:rPr/>
        <w:t>Rights</w:t>
      </w:r>
      <w:r>
        <w:rPr>
          <w:spacing w:val="-4"/>
        </w:rPr>
        <w:t> </w:t>
      </w:r>
      <w:r>
        <w:rPr/>
        <w:t>Office</w:t>
      </w:r>
      <w:r>
        <w:rPr>
          <w:spacing w:val="-2"/>
        </w:rPr>
        <w:t> Overview</w:t>
      </w:r>
    </w:p>
    <w:p>
      <w:pPr>
        <w:pStyle w:val="BodyText"/>
        <w:spacing w:before="12"/>
        <w:rPr>
          <w:b/>
          <w:sz w:val="23"/>
        </w:rPr>
      </w:pPr>
    </w:p>
    <w:p>
      <w:pPr>
        <w:pStyle w:val="BodyText"/>
        <w:ind w:left="120" w:right="113"/>
        <w:jc w:val="both"/>
      </w:pPr>
      <w:r>
        <w:rPr/>
        <w:t>The</w:t>
      </w:r>
      <w:r>
        <w:rPr>
          <w:spacing w:val="-8"/>
        </w:rPr>
        <w:t> </w:t>
      </w:r>
      <w:r>
        <w:rPr/>
        <w:t>Civil</w:t>
      </w:r>
      <w:r>
        <w:rPr>
          <w:spacing w:val="-7"/>
        </w:rPr>
        <w:t> </w:t>
      </w:r>
      <w:r>
        <w:rPr/>
        <w:t>Rights</w:t>
      </w:r>
      <w:r>
        <w:rPr>
          <w:spacing w:val="-9"/>
        </w:rPr>
        <w:t> </w:t>
      </w:r>
      <w:r>
        <w:rPr/>
        <w:t>Office</w:t>
      </w:r>
      <w:r>
        <w:rPr>
          <w:spacing w:val="-7"/>
        </w:rPr>
        <w:t> </w:t>
      </w:r>
      <w:r>
        <w:rPr/>
        <w:t>coordinates</w:t>
      </w:r>
      <w:r>
        <w:rPr>
          <w:spacing w:val="-9"/>
        </w:rPr>
        <w:t> </w:t>
      </w:r>
      <w:r>
        <w:rPr/>
        <w:t>external</w:t>
      </w:r>
      <w:r>
        <w:rPr>
          <w:spacing w:val="-9"/>
        </w:rPr>
        <w:t> </w:t>
      </w:r>
      <w:r>
        <w:rPr/>
        <w:t>civil</w:t>
      </w:r>
      <w:r>
        <w:rPr>
          <w:spacing w:val="-7"/>
        </w:rPr>
        <w:t> </w:t>
      </w:r>
      <w:r>
        <w:rPr/>
        <w:t>rights</w:t>
      </w:r>
      <w:r>
        <w:rPr>
          <w:spacing w:val="-9"/>
        </w:rPr>
        <w:t> </w:t>
      </w:r>
      <w:r>
        <w:rPr/>
        <w:t>for</w:t>
      </w:r>
      <w:r>
        <w:rPr>
          <w:spacing w:val="-8"/>
        </w:rPr>
        <w:t> </w:t>
      </w:r>
      <w:r>
        <w:rPr/>
        <w:t>FHWA,</w:t>
      </w:r>
      <w:r>
        <w:rPr>
          <w:spacing w:val="-7"/>
        </w:rPr>
        <w:t> </w:t>
      </w:r>
      <w:r>
        <w:rPr/>
        <w:t>FTA</w:t>
      </w:r>
      <w:r>
        <w:rPr>
          <w:spacing w:val="-7"/>
        </w:rPr>
        <w:t> </w:t>
      </w:r>
      <w:r>
        <w:rPr/>
        <w:t>and</w:t>
      </w:r>
      <w:r>
        <w:rPr>
          <w:spacing w:val="-10"/>
        </w:rPr>
        <w:t> </w:t>
      </w:r>
      <w:r>
        <w:rPr/>
        <w:t>FAA</w:t>
      </w:r>
      <w:r>
        <w:rPr>
          <w:spacing w:val="-7"/>
        </w:rPr>
        <w:t> </w:t>
      </w:r>
      <w:r>
        <w:rPr/>
        <w:t>subrecipients;</w:t>
      </w:r>
      <w:r>
        <w:rPr>
          <w:spacing w:val="-7"/>
        </w:rPr>
        <w:t> </w:t>
      </w:r>
      <w:r>
        <w:rPr/>
        <w:t>ensures</w:t>
      </w:r>
      <w:r>
        <w:rPr>
          <w:spacing w:val="-7"/>
        </w:rPr>
        <w:t> </w:t>
      </w:r>
      <w:r>
        <w:rPr/>
        <w:t>contractor compliance with US Department of Labor Prevailing Wage determinations and Office of Federal Contractor Compliance Program reporting; and oversees external compliance with Nondiscrimination, Affirmative Action, Equal Employment Opportunity, and Title VI programs.</w:t>
      </w:r>
    </w:p>
    <w:p>
      <w:pPr>
        <w:pStyle w:val="BodyText"/>
        <w:spacing w:before="1"/>
      </w:pPr>
    </w:p>
    <w:p>
      <w:pPr>
        <w:pStyle w:val="Heading9"/>
        <w:jc w:val="both"/>
      </w:pPr>
      <w:r>
        <w:rPr/>
        <w:t>Duties</w:t>
      </w:r>
      <w:r>
        <w:rPr>
          <w:spacing w:val="-2"/>
        </w:rPr>
        <w:t> </w:t>
      </w:r>
      <w:r>
        <w:rPr/>
        <w:t>of</w:t>
      </w:r>
      <w:r>
        <w:rPr>
          <w:spacing w:val="-3"/>
        </w:rPr>
        <w:t> </w:t>
      </w:r>
      <w:r>
        <w:rPr/>
        <w:t>the</w:t>
      </w:r>
      <w:r>
        <w:rPr>
          <w:spacing w:val="-2"/>
        </w:rPr>
        <w:t> </w:t>
      </w:r>
      <w:r>
        <w:rPr/>
        <w:t>Civil Rights</w:t>
      </w:r>
      <w:r>
        <w:rPr>
          <w:spacing w:val="-4"/>
        </w:rPr>
        <w:t> </w:t>
      </w:r>
      <w:r>
        <w:rPr>
          <w:spacing w:val="-2"/>
        </w:rPr>
        <w:t>Office:</w:t>
      </w:r>
    </w:p>
    <w:p>
      <w:pPr>
        <w:pStyle w:val="BodyText"/>
        <w:spacing w:before="11"/>
        <w:rPr>
          <w:b/>
          <w:sz w:val="23"/>
        </w:rPr>
      </w:pPr>
    </w:p>
    <w:p>
      <w:pPr>
        <w:pStyle w:val="ListParagraph"/>
        <w:numPr>
          <w:ilvl w:val="0"/>
          <w:numId w:val="5"/>
        </w:numPr>
        <w:tabs>
          <w:tab w:pos="839" w:val="left" w:leader="none"/>
        </w:tabs>
        <w:spacing w:line="305" w:lineRule="exact" w:before="0" w:after="0"/>
        <w:ind w:left="839" w:right="0" w:hanging="359"/>
        <w:jc w:val="left"/>
        <w:rPr>
          <w:sz w:val="24"/>
        </w:rPr>
      </w:pPr>
      <w:r>
        <w:rPr>
          <w:spacing w:val="-2"/>
          <w:sz w:val="24"/>
        </w:rPr>
        <w:t>Coordinate</w:t>
      </w:r>
      <w:r>
        <w:rPr>
          <w:spacing w:val="-3"/>
          <w:sz w:val="24"/>
        </w:rPr>
        <w:t> </w:t>
      </w:r>
      <w:r>
        <w:rPr>
          <w:spacing w:val="-2"/>
          <w:sz w:val="24"/>
        </w:rPr>
        <w:t>Title</w:t>
      </w:r>
      <w:r>
        <w:rPr>
          <w:sz w:val="24"/>
        </w:rPr>
        <w:t> </w:t>
      </w:r>
      <w:r>
        <w:rPr>
          <w:spacing w:val="-2"/>
          <w:sz w:val="24"/>
        </w:rPr>
        <w:t>VI</w:t>
      </w:r>
      <w:r>
        <w:rPr>
          <w:spacing w:val="-4"/>
          <w:sz w:val="24"/>
        </w:rPr>
        <w:t> </w:t>
      </w:r>
      <w:r>
        <w:rPr>
          <w:spacing w:val="-2"/>
          <w:sz w:val="24"/>
        </w:rPr>
        <w:t>program</w:t>
      </w:r>
      <w:r>
        <w:rPr>
          <w:sz w:val="24"/>
        </w:rPr>
        <w:t> </w:t>
      </w:r>
      <w:r>
        <w:rPr>
          <w:spacing w:val="-2"/>
          <w:sz w:val="24"/>
        </w:rPr>
        <w:t>development</w:t>
      </w:r>
      <w:r>
        <w:rPr>
          <w:spacing w:val="2"/>
          <w:sz w:val="24"/>
        </w:rPr>
        <w:t> </w:t>
      </w:r>
      <w:r>
        <w:rPr>
          <w:spacing w:val="-2"/>
          <w:sz w:val="24"/>
        </w:rPr>
        <w:t>and</w:t>
      </w:r>
      <w:r>
        <w:rPr>
          <w:spacing w:val="-3"/>
          <w:sz w:val="24"/>
        </w:rPr>
        <w:t> </w:t>
      </w:r>
      <w:r>
        <w:rPr>
          <w:spacing w:val="-2"/>
          <w:sz w:val="24"/>
        </w:rPr>
        <w:t>implementation with</w:t>
      </w:r>
      <w:r>
        <w:rPr>
          <w:spacing w:val="-3"/>
          <w:sz w:val="24"/>
        </w:rPr>
        <w:t> </w:t>
      </w:r>
      <w:r>
        <w:rPr>
          <w:spacing w:val="-2"/>
          <w:sz w:val="24"/>
        </w:rPr>
        <w:t>internal</w:t>
      </w:r>
      <w:r>
        <w:rPr>
          <w:sz w:val="24"/>
        </w:rPr>
        <w:t> </w:t>
      </w:r>
      <w:r>
        <w:rPr>
          <w:spacing w:val="-2"/>
          <w:sz w:val="24"/>
        </w:rPr>
        <w:t>and</w:t>
      </w:r>
      <w:r>
        <w:rPr>
          <w:spacing w:val="1"/>
          <w:sz w:val="24"/>
        </w:rPr>
        <w:t> </w:t>
      </w:r>
      <w:r>
        <w:rPr>
          <w:spacing w:val="-2"/>
          <w:sz w:val="24"/>
        </w:rPr>
        <w:t>external</w:t>
      </w:r>
      <w:r>
        <w:rPr>
          <w:spacing w:val="-3"/>
          <w:sz w:val="24"/>
        </w:rPr>
        <w:t> </w:t>
      </w:r>
      <w:r>
        <w:rPr>
          <w:spacing w:val="-2"/>
          <w:sz w:val="24"/>
        </w:rPr>
        <w:t>program</w:t>
      </w:r>
      <w:r>
        <w:rPr>
          <w:spacing w:val="-6"/>
          <w:sz w:val="24"/>
        </w:rPr>
        <w:t> </w:t>
      </w:r>
      <w:r>
        <w:rPr>
          <w:spacing w:val="-2"/>
          <w:sz w:val="24"/>
        </w:rPr>
        <w:t>areas.</w:t>
      </w:r>
    </w:p>
    <w:p>
      <w:pPr>
        <w:pStyle w:val="ListParagraph"/>
        <w:numPr>
          <w:ilvl w:val="0"/>
          <w:numId w:val="5"/>
        </w:numPr>
        <w:tabs>
          <w:tab w:pos="839" w:val="left" w:leader="none"/>
        </w:tabs>
        <w:spacing w:line="305" w:lineRule="exact" w:before="0" w:after="0"/>
        <w:ind w:left="839" w:right="0" w:hanging="359"/>
        <w:jc w:val="left"/>
        <w:rPr>
          <w:sz w:val="24"/>
        </w:rPr>
      </w:pPr>
      <w:r>
        <w:rPr>
          <w:sz w:val="24"/>
        </w:rPr>
        <w:t>Conduct</w:t>
      </w:r>
      <w:r>
        <w:rPr>
          <w:spacing w:val="-2"/>
          <w:sz w:val="24"/>
        </w:rPr>
        <w:t> </w:t>
      </w:r>
      <w:r>
        <w:rPr>
          <w:sz w:val="24"/>
        </w:rPr>
        <w:t>Title</w:t>
      </w:r>
      <w:r>
        <w:rPr>
          <w:spacing w:val="-3"/>
          <w:sz w:val="24"/>
        </w:rPr>
        <w:t> </w:t>
      </w:r>
      <w:r>
        <w:rPr>
          <w:sz w:val="24"/>
        </w:rPr>
        <w:t>VI</w:t>
      </w:r>
      <w:r>
        <w:rPr>
          <w:spacing w:val="-1"/>
          <w:sz w:val="24"/>
        </w:rPr>
        <w:t> </w:t>
      </w:r>
      <w:r>
        <w:rPr>
          <w:sz w:val="24"/>
        </w:rPr>
        <w:t>reviews</w:t>
      </w:r>
      <w:r>
        <w:rPr>
          <w:spacing w:val="-3"/>
          <w:sz w:val="24"/>
        </w:rPr>
        <w:t> </w:t>
      </w:r>
      <w:r>
        <w:rPr>
          <w:sz w:val="24"/>
        </w:rPr>
        <w:t>of internal</w:t>
      </w:r>
      <w:r>
        <w:rPr>
          <w:spacing w:val="-4"/>
          <w:sz w:val="24"/>
        </w:rPr>
        <w:t> </w:t>
      </w:r>
      <w:r>
        <w:rPr>
          <w:sz w:val="24"/>
        </w:rPr>
        <w:t>program areas</w:t>
      </w:r>
      <w:r>
        <w:rPr>
          <w:spacing w:val="-2"/>
          <w:sz w:val="24"/>
        </w:rPr>
        <w:t> </w:t>
      </w:r>
      <w:r>
        <w:rPr>
          <w:sz w:val="24"/>
        </w:rPr>
        <w:t>and</w:t>
      </w:r>
      <w:r>
        <w:rPr>
          <w:spacing w:val="-2"/>
          <w:sz w:val="24"/>
        </w:rPr>
        <w:t> </w:t>
      </w:r>
      <w:r>
        <w:rPr>
          <w:sz w:val="24"/>
        </w:rPr>
        <w:t>subrecipients</w:t>
      </w:r>
      <w:r>
        <w:rPr>
          <w:spacing w:val="-3"/>
          <w:sz w:val="24"/>
        </w:rPr>
        <w:t> </w:t>
      </w:r>
      <w:r>
        <w:rPr>
          <w:sz w:val="24"/>
        </w:rPr>
        <w:t>to</w:t>
      </w:r>
      <w:r>
        <w:rPr>
          <w:spacing w:val="-3"/>
          <w:sz w:val="24"/>
        </w:rPr>
        <w:t> </w:t>
      </w:r>
      <w:r>
        <w:rPr>
          <w:sz w:val="24"/>
        </w:rPr>
        <w:t>ensure </w:t>
      </w:r>
      <w:r>
        <w:rPr>
          <w:spacing w:val="-2"/>
          <w:sz w:val="24"/>
        </w:rPr>
        <w:t>compliance.</w:t>
      </w:r>
    </w:p>
    <w:p>
      <w:pPr>
        <w:pStyle w:val="ListParagraph"/>
        <w:numPr>
          <w:ilvl w:val="0"/>
          <w:numId w:val="5"/>
        </w:numPr>
        <w:tabs>
          <w:tab w:pos="839" w:val="left" w:leader="none"/>
        </w:tabs>
        <w:spacing w:line="305" w:lineRule="exact" w:before="2" w:after="0"/>
        <w:ind w:left="839" w:right="0" w:hanging="359"/>
        <w:jc w:val="left"/>
        <w:rPr>
          <w:sz w:val="24"/>
        </w:rPr>
      </w:pPr>
      <w:r>
        <w:rPr>
          <w:sz w:val="24"/>
        </w:rPr>
        <w:t>Provide</w:t>
      </w:r>
      <w:r>
        <w:rPr>
          <w:spacing w:val="-4"/>
          <w:sz w:val="24"/>
        </w:rPr>
        <w:t> </w:t>
      </w:r>
      <w:r>
        <w:rPr>
          <w:sz w:val="24"/>
        </w:rPr>
        <w:t>or</w:t>
      </w:r>
      <w:r>
        <w:rPr>
          <w:spacing w:val="-1"/>
          <w:sz w:val="24"/>
        </w:rPr>
        <w:t> </w:t>
      </w:r>
      <w:r>
        <w:rPr>
          <w:sz w:val="24"/>
        </w:rPr>
        <w:t>secure</w:t>
      </w:r>
      <w:r>
        <w:rPr>
          <w:spacing w:val="-2"/>
          <w:sz w:val="24"/>
        </w:rPr>
        <w:t> </w:t>
      </w:r>
      <w:r>
        <w:rPr>
          <w:sz w:val="24"/>
        </w:rPr>
        <w:t>Title VI</w:t>
      </w:r>
      <w:r>
        <w:rPr>
          <w:spacing w:val="-3"/>
          <w:sz w:val="24"/>
        </w:rPr>
        <w:t> </w:t>
      </w:r>
      <w:r>
        <w:rPr>
          <w:sz w:val="24"/>
        </w:rPr>
        <w:t>training</w:t>
      </w:r>
      <w:r>
        <w:rPr>
          <w:spacing w:val="-2"/>
          <w:sz w:val="24"/>
        </w:rPr>
        <w:t> </w:t>
      </w:r>
      <w:r>
        <w:rPr>
          <w:sz w:val="24"/>
        </w:rPr>
        <w:t>for</w:t>
      </w:r>
      <w:r>
        <w:rPr>
          <w:spacing w:val="-3"/>
          <w:sz w:val="24"/>
        </w:rPr>
        <w:t> </w:t>
      </w:r>
      <w:r>
        <w:rPr>
          <w:sz w:val="24"/>
        </w:rPr>
        <w:t>DOT</w:t>
      </w:r>
      <w:r>
        <w:rPr>
          <w:spacing w:val="-2"/>
          <w:sz w:val="24"/>
        </w:rPr>
        <w:t> </w:t>
      </w:r>
      <w:r>
        <w:rPr>
          <w:sz w:val="24"/>
        </w:rPr>
        <w:t>internal</w:t>
      </w:r>
      <w:r>
        <w:rPr>
          <w:spacing w:val="-3"/>
          <w:sz w:val="24"/>
        </w:rPr>
        <w:t> </w:t>
      </w:r>
      <w:r>
        <w:rPr>
          <w:sz w:val="24"/>
        </w:rPr>
        <w:t>staff</w:t>
      </w:r>
      <w:r>
        <w:rPr>
          <w:spacing w:val="1"/>
          <w:sz w:val="24"/>
        </w:rPr>
        <w:t> </w:t>
      </w:r>
      <w:r>
        <w:rPr>
          <w:sz w:val="24"/>
        </w:rPr>
        <w:t>and</w:t>
      </w:r>
      <w:r>
        <w:rPr>
          <w:spacing w:val="-2"/>
          <w:sz w:val="24"/>
        </w:rPr>
        <w:t> subrecipients.</w:t>
      </w:r>
    </w:p>
    <w:p>
      <w:pPr>
        <w:pStyle w:val="ListParagraph"/>
        <w:numPr>
          <w:ilvl w:val="0"/>
          <w:numId w:val="5"/>
        </w:numPr>
        <w:tabs>
          <w:tab w:pos="840" w:val="left" w:leader="none"/>
        </w:tabs>
        <w:spacing w:line="240" w:lineRule="auto" w:before="0" w:after="0"/>
        <w:ind w:left="840" w:right="119" w:hanging="360"/>
        <w:jc w:val="left"/>
        <w:rPr>
          <w:sz w:val="24"/>
        </w:rPr>
      </w:pPr>
      <w:r>
        <w:rPr>
          <w:sz w:val="24"/>
        </w:rPr>
        <w:t>Complete MaineDOT’s Title VI Implementation Plan for submission to the FTA by October 1</w:t>
      </w:r>
      <w:r>
        <w:rPr>
          <w:sz w:val="24"/>
          <w:vertAlign w:val="superscript"/>
        </w:rPr>
        <w:t>st</w:t>
      </w:r>
      <w:r>
        <w:rPr>
          <w:sz w:val="24"/>
          <w:vertAlign w:val="baseline"/>
        </w:rPr>
        <w:t> of each</w:t>
      </w:r>
      <w:r>
        <w:rPr>
          <w:spacing w:val="80"/>
          <w:sz w:val="24"/>
          <w:vertAlign w:val="baseline"/>
        </w:rPr>
        <w:t> </w:t>
      </w:r>
      <w:r>
        <w:rPr>
          <w:spacing w:val="-2"/>
          <w:sz w:val="24"/>
          <w:vertAlign w:val="baseline"/>
        </w:rPr>
        <w:t>year.</w:t>
      </w:r>
    </w:p>
    <w:p>
      <w:pPr>
        <w:pStyle w:val="ListParagraph"/>
        <w:numPr>
          <w:ilvl w:val="0"/>
          <w:numId w:val="5"/>
        </w:numPr>
        <w:tabs>
          <w:tab w:pos="839" w:val="left" w:leader="none"/>
        </w:tabs>
        <w:spacing w:line="305" w:lineRule="exact" w:before="0" w:after="0"/>
        <w:ind w:left="839" w:right="0" w:hanging="359"/>
        <w:jc w:val="left"/>
        <w:rPr>
          <w:sz w:val="24"/>
        </w:rPr>
      </w:pPr>
      <w:r>
        <w:rPr>
          <w:sz w:val="24"/>
        </w:rPr>
        <w:t>Discrimination</w:t>
      </w:r>
      <w:r>
        <w:rPr>
          <w:spacing w:val="-4"/>
          <w:sz w:val="24"/>
        </w:rPr>
        <w:t> </w:t>
      </w:r>
      <w:r>
        <w:rPr>
          <w:sz w:val="24"/>
        </w:rPr>
        <w:t>complaint</w:t>
      </w:r>
      <w:r>
        <w:rPr>
          <w:spacing w:val="-4"/>
          <w:sz w:val="24"/>
        </w:rPr>
        <w:t> </w:t>
      </w:r>
      <w:r>
        <w:rPr>
          <w:sz w:val="24"/>
        </w:rPr>
        <w:t>investigation</w:t>
      </w:r>
      <w:r>
        <w:rPr>
          <w:spacing w:val="-1"/>
          <w:sz w:val="24"/>
        </w:rPr>
        <w:t> </w:t>
      </w:r>
      <w:r>
        <w:rPr>
          <w:sz w:val="24"/>
        </w:rPr>
        <w:t>and</w:t>
      </w:r>
      <w:r>
        <w:rPr>
          <w:spacing w:val="-3"/>
          <w:sz w:val="24"/>
        </w:rPr>
        <w:t> </w:t>
      </w:r>
      <w:r>
        <w:rPr>
          <w:spacing w:val="-2"/>
          <w:sz w:val="24"/>
        </w:rPr>
        <w:t>resolution.</w:t>
      </w:r>
    </w:p>
    <w:p>
      <w:pPr>
        <w:pStyle w:val="ListParagraph"/>
        <w:numPr>
          <w:ilvl w:val="0"/>
          <w:numId w:val="5"/>
        </w:numPr>
        <w:tabs>
          <w:tab w:pos="840" w:val="left" w:leader="none"/>
        </w:tabs>
        <w:spacing w:line="240" w:lineRule="auto" w:before="1" w:after="0"/>
        <w:ind w:left="840" w:right="114" w:hanging="360"/>
        <w:jc w:val="left"/>
        <w:rPr>
          <w:sz w:val="24"/>
        </w:rPr>
      </w:pPr>
      <w:r>
        <w:rPr>
          <w:sz w:val="24"/>
        </w:rPr>
        <w:t>Distribute</w:t>
      </w:r>
      <w:r>
        <w:rPr>
          <w:spacing w:val="32"/>
          <w:sz w:val="24"/>
        </w:rPr>
        <w:t> </w:t>
      </w:r>
      <w:r>
        <w:rPr>
          <w:sz w:val="24"/>
        </w:rPr>
        <w:t>and,</w:t>
      </w:r>
      <w:r>
        <w:rPr>
          <w:spacing w:val="30"/>
          <w:sz w:val="24"/>
        </w:rPr>
        <w:t> </w:t>
      </w:r>
      <w:r>
        <w:rPr>
          <w:sz w:val="24"/>
        </w:rPr>
        <w:t>where</w:t>
      </w:r>
      <w:r>
        <w:rPr>
          <w:spacing w:val="30"/>
          <w:sz w:val="24"/>
        </w:rPr>
        <w:t> </w:t>
      </w:r>
      <w:r>
        <w:rPr>
          <w:sz w:val="24"/>
        </w:rPr>
        <w:t>necessary,</w:t>
      </w:r>
      <w:r>
        <w:rPr>
          <w:spacing w:val="32"/>
          <w:sz w:val="24"/>
        </w:rPr>
        <w:t> </w:t>
      </w:r>
      <w:r>
        <w:rPr>
          <w:sz w:val="24"/>
        </w:rPr>
        <w:t>ensure</w:t>
      </w:r>
      <w:r>
        <w:rPr>
          <w:spacing w:val="30"/>
          <w:sz w:val="24"/>
        </w:rPr>
        <w:t> </w:t>
      </w:r>
      <w:r>
        <w:rPr>
          <w:sz w:val="24"/>
        </w:rPr>
        <w:t>translation,</w:t>
      </w:r>
      <w:r>
        <w:rPr>
          <w:spacing w:val="30"/>
          <w:sz w:val="24"/>
        </w:rPr>
        <w:t> </w:t>
      </w:r>
      <w:r>
        <w:rPr>
          <w:sz w:val="24"/>
        </w:rPr>
        <w:t>to</w:t>
      </w:r>
      <w:r>
        <w:rPr>
          <w:spacing w:val="32"/>
          <w:sz w:val="24"/>
        </w:rPr>
        <w:t> </w:t>
      </w:r>
      <w:r>
        <w:rPr>
          <w:sz w:val="24"/>
        </w:rPr>
        <w:t>include</w:t>
      </w:r>
      <w:r>
        <w:rPr>
          <w:spacing w:val="30"/>
          <w:sz w:val="24"/>
        </w:rPr>
        <w:t> </w:t>
      </w:r>
      <w:r>
        <w:rPr>
          <w:sz w:val="24"/>
        </w:rPr>
        <w:t>braille,</w:t>
      </w:r>
      <w:r>
        <w:rPr>
          <w:spacing w:val="27"/>
          <w:sz w:val="24"/>
        </w:rPr>
        <w:t> </w:t>
      </w:r>
      <w:r>
        <w:rPr>
          <w:sz w:val="24"/>
        </w:rPr>
        <w:t>of</w:t>
      </w:r>
      <w:r>
        <w:rPr>
          <w:spacing w:val="31"/>
          <w:sz w:val="24"/>
        </w:rPr>
        <w:t> </w:t>
      </w:r>
      <w:r>
        <w:rPr>
          <w:sz w:val="24"/>
        </w:rPr>
        <w:t>Title</w:t>
      </w:r>
      <w:r>
        <w:rPr>
          <w:spacing w:val="30"/>
          <w:sz w:val="24"/>
        </w:rPr>
        <w:t> </w:t>
      </w:r>
      <w:r>
        <w:rPr>
          <w:sz w:val="24"/>
        </w:rPr>
        <w:t>VI</w:t>
      </w:r>
      <w:r>
        <w:rPr>
          <w:spacing w:val="29"/>
          <w:sz w:val="24"/>
        </w:rPr>
        <w:t> </w:t>
      </w:r>
      <w:r>
        <w:rPr>
          <w:sz w:val="24"/>
        </w:rPr>
        <w:t>documents</w:t>
      </w:r>
      <w:r>
        <w:rPr>
          <w:spacing w:val="29"/>
          <w:sz w:val="24"/>
        </w:rPr>
        <w:t> </w:t>
      </w:r>
      <w:r>
        <w:rPr>
          <w:sz w:val="24"/>
        </w:rPr>
        <w:t>to</w:t>
      </w:r>
      <w:r>
        <w:rPr>
          <w:spacing w:val="32"/>
          <w:sz w:val="24"/>
        </w:rPr>
        <w:t> </w:t>
      </w:r>
      <w:r>
        <w:rPr>
          <w:sz w:val="24"/>
        </w:rPr>
        <w:t>the </w:t>
      </w:r>
      <w:r>
        <w:rPr>
          <w:spacing w:val="-2"/>
          <w:sz w:val="24"/>
        </w:rPr>
        <w:t>public.</w:t>
      </w:r>
    </w:p>
    <w:p>
      <w:pPr>
        <w:pStyle w:val="ListParagraph"/>
        <w:numPr>
          <w:ilvl w:val="0"/>
          <w:numId w:val="5"/>
        </w:numPr>
        <w:tabs>
          <w:tab w:pos="840" w:val="left" w:leader="none"/>
        </w:tabs>
        <w:spacing w:line="242" w:lineRule="auto" w:before="0" w:after="0"/>
        <w:ind w:left="840" w:right="116" w:hanging="360"/>
        <w:jc w:val="left"/>
        <w:rPr>
          <w:sz w:val="24"/>
        </w:rPr>
      </w:pPr>
      <w:r>
        <w:rPr>
          <w:sz w:val="24"/>
        </w:rPr>
        <w:t>Review MaineDOT program manuals, contracts, and policy documents to determine whether Title VI is appropriately addressed and implemented agency wide.</w:t>
      </w:r>
    </w:p>
    <w:p>
      <w:pPr>
        <w:pStyle w:val="ListParagraph"/>
        <w:numPr>
          <w:ilvl w:val="0"/>
          <w:numId w:val="5"/>
        </w:numPr>
        <w:tabs>
          <w:tab w:pos="839" w:val="left" w:leader="none"/>
        </w:tabs>
        <w:spacing w:line="301" w:lineRule="exact" w:before="0" w:after="0"/>
        <w:ind w:left="839" w:right="0" w:hanging="359"/>
        <w:jc w:val="left"/>
        <w:rPr>
          <w:sz w:val="24"/>
        </w:rPr>
      </w:pPr>
      <w:r>
        <w:rPr>
          <w:sz w:val="24"/>
        </w:rPr>
        <w:t>Work</w:t>
      </w:r>
      <w:r>
        <w:rPr>
          <w:spacing w:val="-14"/>
          <w:sz w:val="24"/>
        </w:rPr>
        <w:t> </w:t>
      </w:r>
      <w:r>
        <w:rPr>
          <w:sz w:val="24"/>
        </w:rPr>
        <w:t>collaboratively</w:t>
      </w:r>
      <w:r>
        <w:rPr>
          <w:spacing w:val="-14"/>
          <w:sz w:val="24"/>
        </w:rPr>
        <w:t> </w:t>
      </w:r>
      <w:r>
        <w:rPr>
          <w:sz w:val="24"/>
        </w:rPr>
        <w:t>with</w:t>
      </w:r>
      <w:r>
        <w:rPr>
          <w:spacing w:val="-11"/>
          <w:sz w:val="24"/>
        </w:rPr>
        <w:t> </w:t>
      </w:r>
      <w:r>
        <w:rPr>
          <w:sz w:val="24"/>
        </w:rPr>
        <w:t>federal</w:t>
      </w:r>
      <w:r>
        <w:rPr>
          <w:spacing w:val="-11"/>
          <w:sz w:val="24"/>
        </w:rPr>
        <w:t> </w:t>
      </w:r>
      <w:r>
        <w:rPr>
          <w:sz w:val="24"/>
        </w:rPr>
        <w:t>and</w:t>
      </w:r>
      <w:r>
        <w:rPr>
          <w:spacing w:val="-13"/>
          <w:sz w:val="24"/>
        </w:rPr>
        <w:t> </w:t>
      </w:r>
      <w:r>
        <w:rPr>
          <w:sz w:val="24"/>
        </w:rPr>
        <w:t>state</w:t>
      </w:r>
      <w:r>
        <w:rPr>
          <w:spacing w:val="-11"/>
          <w:sz w:val="24"/>
        </w:rPr>
        <w:t> </w:t>
      </w:r>
      <w:r>
        <w:rPr>
          <w:sz w:val="24"/>
        </w:rPr>
        <w:t>authorities</w:t>
      </w:r>
      <w:r>
        <w:rPr>
          <w:spacing w:val="-12"/>
          <w:sz w:val="24"/>
        </w:rPr>
        <w:t> </w:t>
      </w:r>
      <w:r>
        <w:rPr>
          <w:sz w:val="24"/>
        </w:rPr>
        <w:t>in</w:t>
      </w:r>
      <w:r>
        <w:rPr>
          <w:spacing w:val="-11"/>
          <w:sz w:val="24"/>
        </w:rPr>
        <w:t> </w:t>
      </w:r>
      <w:r>
        <w:rPr>
          <w:sz w:val="24"/>
        </w:rPr>
        <w:t>communicating</w:t>
      </w:r>
      <w:r>
        <w:rPr>
          <w:spacing w:val="-13"/>
          <w:sz w:val="24"/>
        </w:rPr>
        <w:t> </w:t>
      </w:r>
      <w:r>
        <w:rPr>
          <w:sz w:val="24"/>
        </w:rPr>
        <w:t>Title</w:t>
      </w:r>
      <w:r>
        <w:rPr>
          <w:spacing w:val="-14"/>
          <w:sz w:val="24"/>
        </w:rPr>
        <w:t> </w:t>
      </w:r>
      <w:r>
        <w:rPr>
          <w:sz w:val="24"/>
        </w:rPr>
        <w:t>VI</w:t>
      </w:r>
      <w:r>
        <w:rPr>
          <w:spacing w:val="-12"/>
          <w:sz w:val="24"/>
        </w:rPr>
        <w:t> </w:t>
      </w:r>
      <w:r>
        <w:rPr>
          <w:sz w:val="24"/>
        </w:rPr>
        <w:t>program</w:t>
      </w:r>
      <w:r>
        <w:rPr>
          <w:spacing w:val="-13"/>
          <w:sz w:val="24"/>
        </w:rPr>
        <w:t> </w:t>
      </w:r>
      <w:r>
        <w:rPr>
          <w:spacing w:val="-2"/>
          <w:sz w:val="24"/>
        </w:rPr>
        <w:t>requirements.</w:t>
      </w:r>
    </w:p>
    <w:p>
      <w:pPr>
        <w:pStyle w:val="ListParagraph"/>
        <w:numPr>
          <w:ilvl w:val="0"/>
          <w:numId w:val="5"/>
        </w:numPr>
        <w:tabs>
          <w:tab w:pos="839" w:val="left" w:leader="none"/>
        </w:tabs>
        <w:spacing w:line="305" w:lineRule="exact" w:before="0" w:after="0"/>
        <w:ind w:left="839" w:right="0" w:hanging="359"/>
        <w:jc w:val="left"/>
        <w:rPr>
          <w:sz w:val="24"/>
        </w:rPr>
      </w:pPr>
      <w:r>
        <w:rPr>
          <w:sz w:val="24"/>
        </w:rPr>
        <w:t>Review</w:t>
      </w:r>
      <w:r>
        <w:rPr>
          <w:spacing w:val="-2"/>
          <w:sz w:val="24"/>
        </w:rPr>
        <w:t> </w:t>
      </w:r>
      <w:r>
        <w:rPr>
          <w:sz w:val="24"/>
        </w:rPr>
        <w:t>agency</w:t>
      </w:r>
      <w:r>
        <w:rPr>
          <w:spacing w:val="-1"/>
          <w:sz w:val="24"/>
        </w:rPr>
        <w:t> </w:t>
      </w:r>
      <w:r>
        <w:rPr>
          <w:sz w:val="24"/>
        </w:rPr>
        <w:t>directives</w:t>
      </w:r>
      <w:r>
        <w:rPr>
          <w:spacing w:val="-3"/>
          <w:sz w:val="24"/>
        </w:rPr>
        <w:t> </w:t>
      </w:r>
      <w:r>
        <w:rPr>
          <w:sz w:val="24"/>
        </w:rPr>
        <w:t>to</w:t>
      </w:r>
      <w:r>
        <w:rPr>
          <w:spacing w:val="-2"/>
          <w:sz w:val="24"/>
        </w:rPr>
        <w:t> </w:t>
      </w:r>
      <w:r>
        <w:rPr>
          <w:sz w:val="24"/>
        </w:rPr>
        <w:t>determine if</w:t>
      </w:r>
      <w:r>
        <w:rPr>
          <w:spacing w:val="-3"/>
          <w:sz w:val="24"/>
        </w:rPr>
        <w:t> </w:t>
      </w:r>
      <w:r>
        <w:rPr>
          <w:sz w:val="24"/>
        </w:rPr>
        <w:t>there are any</w:t>
      </w:r>
      <w:r>
        <w:rPr>
          <w:spacing w:val="-4"/>
          <w:sz w:val="24"/>
        </w:rPr>
        <w:t> </w:t>
      </w:r>
      <w:r>
        <w:rPr>
          <w:sz w:val="24"/>
        </w:rPr>
        <w:t>Title</w:t>
      </w:r>
      <w:r>
        <w:rPr>
          <w:spacing w:val="-2"/>
          <w:sz w:val="24"/>
        </w:rPr>
        <w:t> </w:t>
      </w:r>
      <w:r>
        <w:rPr>
          <w:sz w:val="24"/>
        </w:rPr>
        <w:t>VI</w:t>
      </w:r>
      <w:r>
        <w:rPr>
          <w:spacing w:val="-1"/>
          <w:sz w:val="24"/>
        </w:rPr>
        <w:t> </w:t>
      </w:r>
      <w:r>
        <w:rPr>
          <w:spacing w:val="-2"/>
          <w:sz w:val="24"/>
        </w:rPr>
        <w:t>implications.</w:t>
      </w:r>
    </w:p>
    <w:p>
      <w:pPr>
        <w:pStyle w:val="ListParagraph"/>
        <w:numPr>
          <w:ilvl w:val="0"/>
          <w:numId w:val="5"/>
        </w:numPr>
        <w:tabs>
          <w:tab w:pos="840" w:val="left" w:leader="none"/>
        </w:tabs>
        <w:spacing w:line="240" w:lineRule="auto" w:before="0" w:after="0"/>
        <w:ind w:left="840" w:right="116" w:hanging="360"/>
        <w:jc w:val="both"/>
        <w:rPr>
          <w:sz w:val="24"/>
        </w:rPr>
      </w:pPr>
      <w:r>
        <w:rPr>
          <w:sz w:val="24"/>
        </w:rPr>
        <w:t>Provide or secure Title VI technical assistance, guidance, and training to</w:t>
      </w:r>
      <w:r>
        <w:rPr>
          <w:spacing w:val="-1"/>
          <w:sz w:val="24"/>
        </w:rPr>
        <w:t> </w:t>
      </w:r>
      <w:r>
        <w:rPr>
          <w:sz w:val="24"/>
        </w:rPr>
        <w:t>MaineDOT staff, state officials, municipalities,</w:t>
      </w:r>
      <w:r>
        <w:rPr>
          <w:spacing w:val="-7"/>
          <w:sz w:val="24"/>
        </w:rPr>
        <w:t> </w:t>
      </w:r>
      <w:r>
        <w:rPr>
          <w:sz w:val="24"/>
        </w:rPr>
        <w:t>Local</w:t>
      </w:r>
      <w:r>
        <w:rPr>
          <w:spacing w:val="-7"/>
          <w:sz w:val="24"/>
        </w:rPr>
        <w:t> </w:t>
      </w:r>
      <w:r>
        <w:rPr>
          <w:sz w:val="24"/>
        </w:rPr>
        <w:t>Public</w:t>
      </w:r>
      <w:r>
        <w:rPr>
          <w:spacing w:val="-7"/>
          <w:sz w:val="24"/>
        </w:rPr>
        <w:t> </w:t>
      </w:r>
      <w:r>
        <w:rPr>
          <w:sz w:val="24"/>
        </w:rPr>
        <w:t>agencies,</w:t>
      </w:r>
      <w:r>
        <w:rPr>
          <w:spacing w:val="-7"/>
          <w:sz w:val="24"/>
        </w:rPr>
        <w:t> </w:t>
      </w:r>
      <w:r>
        <w:rPr>
          <w:sz w:val="24"/>
        </w:rPr>
        <w:t>contractors,</w:t>
      </w:r>
      <w:r>
        <w:rPr>
          <w:spacing w:val="-9"/>
          <w:sz w:val="24"/>
        </w:rPr>
        <w:t> </w:t>
      </w:r>
      <w:r>
        <w:rPr>
          <w:sz w:val="24"/>
        </w:rPr>
        <w:t>consultants,</w:t>
      </w:r>
      <w:r>
        <w:rPr>
          <w:spacing w:val="-9"/>
          <w:sz w:val="24"/>
        </w:rPr>
        <w:t> </w:t>
      </w:r>
      <w:r>
        <w:rPr>
          <w:sz w:val="24"/>
        </w:rPr>
        <w:t>and</w:t>
      </w:r>
      <w:r>
        <w:rPr>
          <w:spacing w:val="-8"/>
          <w:sz w:val="24"/>
        </w:rPr>
        <w:t> </w:t>
      </w:r>
      <w:r>
        <w:rPr>
          <w:sz w:val="24"/>
        </w:rPr>
        <w:t>other</w:t>
      </w:r>
      <w:r>
        <w:rPr>
          <w:spacing w:val="-7"/>
          <w:sz w:val="24"/>
        </w:rPr>
        <w:t> </w:t>
      </w:r>
      <w:r>
        <w:rPr>
          <w:sz w:val="24"/>
        </w:rPr>
        <w:t>recipients</w:t>
      </w:r>
      <w:r>
        <w:rPr>
          <w:spacing w:val="-9"/>
          <w:sz w:val="24"/>
        </w:rPr>
        <w:t> </w:t>
      </w:r>
      <w:r>
        <w:rPr>
          <w:sz w:val="24"/>
        </w:rPr>
        <w:t>of</w:t>
      </w:r>
      <w:r>
        <w:rPr>
          <w:spacing w:val="-8"/>
          <w:sz w:val="24"/>
        </w:rPr>
        <w:t> </w:t>
      </w:r>
      <w:r>
        <w:rPr>
          <w:sz w:val="24"/>
        </w:rPr>
        <w:t>federal-aid</w:t>
      </w:r>
      <w:r>
        <w:rPr>
          <w:spacing w:val="-8"/>
          <w:sz w:val="24"/>
        </w:rPr>
        <w:t> </w:t>
      </w:r>
      <w:r>
        <w:rPr>
          <w:sz w:val="24"/>
        </w:rPr>
        <w:t>transit </w:t>
      </w:r>
      <w:r>
        <w:rPr>
          <w:spacing w:val="-2"/>
          <w:sz w:val="24"/>
        </w:rPr>
        <w:t>funding.</w:t>
      </w:r>
    </w:p>
    <w:p>
      <w:pPr>
        <w:pStyle w:val="ListParagraph"/>
        <w:numPr>
          <w:ilvl w:val="0"/>
          <w:numId w:val="5"/>
        </w:numPr>
        <w:tabs>
          <w:tab w:pos="839" w:val="left" w:leader="none"/>
        </w:tabs>
        <w:spacing w:line="304" w:lineRule="exact" w:before="0" w:after="0"/>
        <w:ind w:left="839" w:right="0" w:hanging="359"/>
        <w:jc w:val="both"/>
        <w:rPr>
          <w:sz w:val="24"/>
        </w:rPr>
      </w:pPr>
      <w:r>
        <w:rPr>
          <w:sz w:val="24"/>
        </w:rPr>
        <w:t>Develop</w:t>
      </w:r>
      <w:r>
        <w:rPr>
          <w:spacing w:val="-2"/>
          <w:sz w:val="24"/>
        </w:rPr>
        <w:t> </w:t>
      </w:r>
      <w:r>
        <w:rPr>
          <w:sz w:val="24"/>
        </w:rPr>
        <w:t>and conduct</w:t>
      </w:r>
      <w:r>
        <w:rPr>
          <w:spacing w:val="-3"/>
          <w:sz w:val="24"/>
        </w:rPr>
        <w:t> </w:t>
      </w:r>
      <w:r>
        <w:rPr>
          <w:sz w:val="24"/>
        </w:rPr>
        <w:t>Title</w:t>
      </w:r>
      <w:r>
        <w:rPr>
          <w:spacing w:val="-1"/>
          <w:sz w:val="24"/>
        </w:rPr>
        <w:t> </w:t>
      </w:r>
      <w:r>
        <w:rPr>
          <w:sz w:val="24"/>
        </w:rPr>
        <w:t>VI</w:t>
      </w:r>
      <w:r>
        <w:rPr>
          <w:spacing w:val="-2"/>
          <w:sz w:val="24"/>
        </w:rPr>
        <w:t> </w:t>
      </w:r>
      <w:r>
        <w:rPr>
          <w:sz w:val="24"/>
        </w:rPr>
        <w:t>reviews</w:t>
      </w:r>
      <w:r>
        <w:rPr>
          <w:spacing w:val="-4"/>
          <w:sz w:val="24"/>
        </w:rPr>
        <w:t> </w:t>
      </w:r>
      <w:r>
        <w:rPr>
          <w:sz w:val="24"/>
        </w:rPr>
        <w:t>of</w:t>
      </w:r>
      <w:r>
        <w:rPr>
          <w:spacing w:val="-3"/>
          <w:sz w:val="24"/>
        </w:rPr>
        <w:t> </w:t>
      </w:r>
      <w:r>
        <w:rPr>
          <w:sz w:val="24"/>
        </w:rPr>
        <w:t>program</w:t>
      </w:r>
      <w:r>
        <w:rPr>
          <w:spacing w:val="-4"/>
          <w:sz w:val="24"/>
        </w:rPr>
        <w:t> </w:t>
      </w:r>
      <w:r>
        <w:rPr>
          <w:sz w:val="24"/>
        </w:rPr>
        <w:t>area</w:t>
      </w:r>
      <w:r>
        <w:rPr>
          <w:spacing w:val="-1"/>
          <w:sz w:val="24"/>
        </w:rPr>
        <w:t> </w:t>
      </w:r>
      <w:r>
        <w:rPr>
          <w:sz w:val="24"/>
        </w:rPr>
        <w:t>activities</w:t>
      </w:r>
      <w:r>
        <w:rPr>
          <w:spacing w:val="-1"/>
          <w:sz w:val="24"/>
        </w:rPr>
        <w:t> </w:t>
      </w:r>
      <w:r>
        <w:rPr>
          <w:spacing w:val="-2"/>
          <w:sz w:val="24"/>
        </w:rPr>
        <w:t>annually.</w:t>
      </w:r>
    </w:p>
    <w:p>
      <w:pPr>
        <w:pStyle w:val="ListParagraph"/>
        <w:numPr>
          <w:ilvl w:val="0"/>
          <w:numId w:val="5"/>
        </w:numPr>
        <w:tabs>
          <w:tab w:pos="840" w:val="left" w:leader="none"/>
        </w:tabs>
        <w:spacing w:line="242" w:lineRule="auto" w:before="0" w:after="0"/>
        <w:ind w:left="840" w:right="114" w:hanging="360"/>
        <w:jc w:val="left"/>
        <w:rPr>
          <w:sz w:val="24"/>
        </w:rPr>
      </w:pPr>
      <w:r>
        <w:rPr>
          <w:sz w:val="24"/>
        </w:rPr>
        <w:t>Develop</w:t>
      </w:r>
      <w:r>
        <w:rPr>
          <w:spacing w:val="-9"/>
          <w:sz w:val="24"/>
        </w:rPr>
        <w:t> </w:t>
      </w:r>
      <w:r>
        <w:rPr>
          <w:sz w:val="24"/>
        </w:rPr>
        <w:t>and</w:t>
      </w:r>
      <w:r>
        <w:rPr>
          <w:spacing w:val="-11"/>
          <w:sz w:val="24"/>
        </w:rPr>
        <w:t> </w:t>
      </w:r>
      <w:r>
        <w:rPr>
          <w:sz w:val="24"/>
        </w:rPr>
        <w:t>publish</w:t>
      </w:r>
      <w:r>
        <w:rPr>
          <w:spacing w:val="-9"/>
          <w:sz w:val="24"/>
        </w:rPr>
        <w:t> </w:t>
      </w:r>
      <w:r>
        <w:rPr>
          <w:sz w:val="24"/>
        </w:rPr>
        <w:t>Title</w:t>
      </w:r>
      <w:r>
        <w:rPr>
          <w:spacing w:val="-12"/>
          <w:sz w:val="24"/>
        </w:rPr>
        <w:t> </w:t>
      </w:r>
      <w:r>
        <w:rPr>
          <w:sz w:val="24"/>
        </w:rPr>
        <w:t>VI</w:t>
      </w:r>
      <w:r>
        <w:rPr>
          <w:spacing w:val="-10"/>
          <w:sz w:val="24"/>
        </w:rPr>
        <w:t> </w:t>
      </w:r>
      <w:r>
        <w:rPr>
          <w:sz w:val="24"/>
        </w:rPr>
        <w:t>information</w:t>
      </w:r>
      <w:r>
        <w:rPr>
          <w:spacing w:val="-11"/>
          <w:sz w:val="24"/>
        </w:rPr>
        <w:t> </w:t>
      </w:r>
      <w:r>
        <w:rPr>
          <w:sz w:val="24"/>
        </w:rPr>
        <w:t>for</w:t>
      </w:r>
      <w:r>
        <w:rPr>
          <w:spacing w:val="-12"/>
          <w:sz w:val="24"/>
        </w:rPr>
        <w:t> </w:t>
      </w:r>
      <w:r>
        <w:rPr>
          <w:sz w:val="24"/>
        </w:rPr>
        <w:t>dissemination</w:t>
      </w:r>
      <w:r>
        <w:rPr>
          <w:spacing w:val="-11"/>
          <w:sz w:val="24"/>
        </w:rPr>
        <w:t> </w:t>
      </w:r>
      <w:r>
        <w:rPr>
          <w:sz w:val="24"/>
        </w:rPr>
        <w:t>to</w:t>
      </w:r>
      <w:r>
        <w:rPr>
          <w:spacing w:val="-12"/>
          <w:sz w:val="24"/>
        </w:rPr>
        <w:t> </w:t>
      </w:r>
      <w:r>
        <w:rPr>
          <w:sz w:val="24"/>
        </w:rPr>
        <w:t>the</w:t>
      </w:r>
      <w:r>
        <w:rPr>
          <w:spacing w:val="-12"/>
          <w:sz w:val="24"/>
        </w:rPr>
        <w:t> </w:t>
      </w:r>
      <w:r>
        <w:rPr>
          <w:sz w:val="24"/>
        </w:rPr>
        <w:t>general</w:t>
      </w:r>
      <w:r>
        <w:rPr>
          <w:spacing w:val="-12"/>
          <w:sz w:val="24"/>
        </w:rPr>
        <w:t> </w:t>
      </w:r>
      <w:r>
        <w:rPr>
          <w:sz w:val="24"/>
        </w:rPr>
        <w:t>public</w:t>
      </w:r>
      <w:r>
        <w:rPr>
          <w:spacing w:val="-10"/>
          <w:sz w:val="24"/>
        </w:rPr>
        <w:t> </w:t>
      </w:r>
      <w:r>
        <w:rPr>
          <w:sz w:val="24"/>
        </w:rPr>
        <w:t>and,</w:t>
      </w:r>
      <w:r>
        <w:rPr>
          <w:spacing w:val="-12"/>
          <w:sz w:val="24"/>
        </w:rPr>
        <w:t> </w:t>
      </w:r>
      <w:r>
        <w:rPr>
          <w:sz w:val="24"/>
        </w:rPr>
        <w:t>where</w:t>
      </w:r>
      <w:r>
        <w:rPr>
          <w:spacing w:val="-9"/>
          <w:sz w:val="24"/>
        </w:rPr>
        <w:t> </w:t>
      </w:r>
      <w:r>
        <w:rPr>
          <w:sz w:val="24"/>
        </w:rPr>
        <w:t>appropriate, ensure that the information is translated in languages other than English.</w:t>
      </w:r>
    </w:p>
    <w:p>
      <w:pPr>
        <w:pStyle w:val="ListParagraph"/>
        <w:numPr>
          <w:ilvl w:val="0"/>
          <w:numId w:val="5"/>
        </w:numPr>
        <w:tabs>
          <w:tab w:pos="839" w:val="left" w:leader="none"/>
        </w:tabs>
        <w:spacing w:line="301" w:lineRule="exact" w:before="0" w:after="0"/>
        <w:ind w:left="839" w:right="0" w:hanging="359"/>
        <w:jc w:val="left"/>
        <w:rPr>
          <w:sz w:val="24"/>
        </w:rPr>
      </w:pPr>
      <w:r>
        <w:rPr>
          <w:sz w:val="24"/>
        </w:rPr>
        <w:t>Implement</w:t>
      </w:r>
      <w:r>
        <w:rPr>
          <w:spacing w:val="-3"/>
          <w:sz w:val="24"/>
        </w:rPr>
        <w:t> </w:t>
      </w:r>
      <w:r>
        <w:rPr>
          <w:sz w:val="24"/>
        </w:rPr>
        <w:t>procedures</w:t>
      </w:r>
      <w:r>
        <w:rPr>
          <w:spacing w:val="-4"/>
          <w:sz w:val="24"/>
        </w:rPr>
        <w:t> </w:t>
      </w:r>
      <w:r>
        <w:rPr>
          <w:sz w:val="24"/>
        </w:rPr>
        <w:t>for</w:t>
      </w:r>
      <w:r>
        <w:rPr>
          <w:spacing w:val="-1"/>
          <w:sz w:val="24"/>
        </w:rPr>
        <w:t> </w:t>
      </w:r>
      <w:r>
        <w:rPr>
          <w:sz w:val="24"/>
        </w:rPr>
        <w:t>prompt</w:t>
      </w:r>
      <w:r>
        <w:rPr>
          <w:spacing w:val="-2"/>
          <w:sz w:val="24"/>
        </w:rPr>
        <w:t> </w:t>
      </w:r>
      <w:r>
        <w:rPr>
          <w:sz w:val="24"/>
        </w:rPr>
        <w:t>processing</w:t>
      </w:r>
      <w:r>
        <w:rPr>
          <w:spacing w:val="-4"/>
          <w:sz w:val="24"/>
        </w:rPr>
        <w:t> </w:t>
      </w:r>
      <w:r>
        <w:rPr>
          <w:sz w:val="24"/>
        </w:rPr>
        <w:t>and disposition</w:t>
      </w:r>
      <w:r>
        <w:rPr>
          <w:spacing w:val="-2"/>
          <w:sz w:val="24"/>
        </w:rPr>
        <w:t> </w:t>
      </w:r>
      <w:r>
        <w:rPr>
          <w:sz w:val="24"/>
        </w:rPr>
        <w:t>of</w:t>
      </w:r>
      <w:r>
        <w:rPr>
          <w:spacing w:val="-3"/>
          <w:sz w:val="24"/>
        </w:rPr>
        <w:t> </w:t>
      </w:r>
      <w:r>
        <w:rPr>
          <w:sz w:val="24"/>
        </w:rPr>
        <w:t>Title</w:t>
      </w:r>
      <w:r>
        <w:rPr>
          <w:spacing w:val="-1"/>
          <w:sz w:val="24"/>
        </w:rPr>
        <w:t> </w:t>
      </w:r>
      <w:r>
        <w:rPr>
          <w:sz w:val="24"/>
        </w:rPr>
        <w:t>VI</w:t>
      </w:r>
      <w:r>
        <w:rPr>
          <w:spacing w:val="-3"/>
          <w:sz w:val="24"/>
        </w:rPr>
        <w:t> </w:t>
      </w:r>
      <w:r>
        <w:rPr>
          <w:spacing w:val="-2"/>
          <w:sz w:val="24"/>
        </w:rPr>
        <w:t>complaints.</w:t>
      </w:r>
    </w:p>
    <w:p>
      <w:pPr>
        <w:pStyle w:val="ListParagraph"/>
        <w:numPr>
          <w:ilvl w:val="0"/>
          <w:numId w:val="5"/>
        </w:numPr>
        <w:tabs>
          <w:tab w:pos="839" w:val="left" w:leader="none"/>
        </w:tabs>
        <w:spacing w:line="305" w:lineRule="exact" w:before="0" w:after="0"/>
        <w:ind w:left="839" w:right="0" w:hanging="359"/>
        <w:jc w:val="left"/>
        <w:rPr>
          <w:sz w:val="24"/>
        </w:rPr>
      </w:pPr>
      <w:r>
        <w:rPr>
          <w:sz w:val="24"/>
        </w:rPr>
        <w:t>Assist</w:t>
      </w:r>
      <w:r>
        <w:rPr>
          <w:spacing w:val="-1"/>
          <w:sz w:val="24"/>
        </w:rPr>
        <w:t> </w:t>
      </w:r>
      <w:r>
        <w:rPr>
          <w:sz w:val="24"/>
        </w:rPr>
        <w:t>in</w:t>
      </w:r>
      <w:r>
        <w:rPr>
          <w:spacing w:val="-3"/>
          <w:sz w:val="24"/>
        </w:rPr>
        <w:t> </w:t>
      </w:r>
      <w:r>
        <w:rPr>
          <w:sz w:val="24"/>
        </w:rPr>
        <w:t>the</w:t>
      </w:r>
      <w:r>
        <w:rPr>
          <w:spacing w:val="-2"/>
          <w:sz w:val="24"/>
        </w:rPr>
        <w:t> </w:t>
      </w:r>
      <w:r>
        <w:rPr>
          <w:sz w:val="24"/>
        </w:rPr>
        <w:t>collection</w:t>
      </w:r>
      <w:r>
        <w:rPr>
          <w:spacing w:val="-1"/>
          <w:sz w:val="24"/>
        </w:rPr>
        <w:t> </w:t>
      </w:r>
      <w:r>
        <w:rPr>
          <w:sz w:val="24"/>
        </w:rPr>
        <w:t>of</w:t>
      </w:r>
      <w:r>
        <w:rPr>
          <w:spacing w:val="-3"/>
          <w:sz w:val="24"/>
        </w:rPr>
        <w:t> </w:t>
      </w:r>
      <w:r>
        <w:rPr>
          <w:sz w:val="24"/>
        </w:rPr>
        <w:t>demographic</w:t>
      </w:r>
      <w:r>
        <w:rPr>
          <w:spacing w:val="-2"/>
          <w:sz w:val="24"/>
        </w:rPr>
        <w:t> </w:t>
      </w:r>
      <w:r>
        <w:rPr>
          <w:spacing w:val="-4"/>
          <w:sz w:val="24"/>
        </w:rPr>
        <w:t>data.</w:t>
      </w:r>
    </w:p>
    <w:p>
      <w:pPr>
        <w:pStyle w:val="ListParagraph"/>
        <w:numPr>
          <w:ilvl w:val="0"/>
          <w:numId w:val="5"/>
        </w:numPr>
        <w:tabs>
          <w:tab w:pos="839" w:val="left" w:leader="none"/>
        </w:tabs>
        <w:spacing w:line="240" w:lineRule="auto" w:before="1" w:after="0"/>
        <w:ind w:left="839" w:right="0" w:hanging="359"/>
        <w:jc w:val="left"/>
        <w:rPr>
          <w:sz w:val="24"/>
        </w:rPr>
      </w:pPr>
      <w:r>
        <w:rPr>
          <w:sz w:val="24"/>
        </w:rPr>
        <w:t>Review</w:t>
      </w:r>
      <w:r>
        <w:rPr>
          <w:spacing w:val="-3"/>
          <w:sz w:val="24"/>
        </w:rPr>
        <w:t> </w:t>
      </w:r>
      <w:r>
        <w:rPr>
          <w:sz w:val="24"/>
        </w:rPr>
        <w:t>contractual</w:t>
      </w:r>
      <w:r>
        <w:rPr>
          <w:spacing w:val="-4"/>
          <w:sz w:val="24"/>
        </w:rPr>
        <w:t> </w:t>
      </w:r>
      <w:r>
        <w:rPr>
          <w:sz w:val="24"/>
        </w:rPr>
        <w:t>procedures</w:t>
      </w:r>
      <w:r>
        <w:rPr>
          <w:spacing w:val="-2"/>
          <w:sz w:val="24"/>
        </w:rPr>
        <w:t> </w:t>
      </w:r>
      <w:r>
        <w:rPr>
          <w:sz w:val="24"/>
        </w:rPr>
        <w:t>for</w:t>
      </w:r>
      <w:r>
        <w:rPr>
          <w:spacing w:val="-1"/>
          <w:sz w:val="24"/>
        </w:rPr>
        <w:t> </w:t>
      </w:r>
      <w:r>
        <w:rPr>
          <w:sz w:val="24"/>
        </w:rPr>
        <w:t>consultants</w:t>
      </w:r>
      <w:r>
        <w:rPr>
          <w:spacing w:val="-4"/>
          <w:sz w:val="24"/>
        </w:rPr>
        <w:t> </w:t>
      </w:r>
      <w:r>
        <w:rPr>
          <w:sz w:val="24"/>
        </w:rPr>
        <w:t>and contractors</w:t>
      </w:r>
      <w:r>
        <w:rPr>
          <w:spacing w:val="-4"/>
          <w:sz w:val="24"/>
        </w:rPr>
        <w:t> </w:t>
      </w:r>
      <w:r>
        <w:rPr>
          <w:sz w:val="24"/>
        </w:rPr>
        <w:t>to</w:t>
      </w:r>
      <w:r>
        <w:rPr>
          <w:spacing w:val="-3"/>
          <w:sz w:val="24"/>
        </w:rPr>
        <w:t> </w:t>
      </w:r>
      <w:r>
        <w:rPr>
          <w:sz w:val="24"/>
        </w:rPr>
        <w:t>ensure</w:t>
      </w:r>
      <w:r>
        <w:rPr>
          <w:spacing w:val="-3"/>
          <w:sz w:val="24"/>
        </w:rPr>
        <w:t> </w:t>
      </w:r>
      <w:r>
        <w:rPr>
          <w:sz w:val="24"/>
        </w:rPr>
        <w:t>equity</w:t>
      </w:r>
      <w:r>
        <w:rPr>
          <w:spacing w:val="-2"/>
          <w:sz w:val="24"/>
        </w:rPr>
        <w:t> </w:t>
      </w:r>
      <w:r>
        <w:rPr>
          <w:sz w:val="24"/>
        </w:rPr>
        <w:t>and</w:t>
      </w:r>
      <w:r>
        <w:rPr>
          <w:spacing w:val="-2"/>
          <w:sz w:val="24"/>
        </w:rPr>
        <w:t> consistency.</w:t>
      </w:r>
    </w:p>
    <w:p>
      <w:pPr>
        <w:pStyle w:val="BodyText"/>
      </w:pPr>
    </w:p>
    <w:p>
      <w:pPr>
        <w:pStyle w:val="Heading9"/>
        <w:jc w:val="both"/>
      </w:pPr>
      <w:r>
        <w:rPr/>
        <w:t>Civil</w:t>
      </w:r>
      <w:r>
        <w:rPr>
          <w:spacing w:val="-1"/>
        </w:rPr>
        <w:t> </w:t>
      </w:r>
      <w:r>
        <w:rPr/>
        <w:t>Rights</w:t>
      </w:r>
      <w:r>
        <w:rPr>
          <w:spacing w:val="-5"/>
        </w:rPr>
        <w:t> </w:t>
      </w:r>
      <w:r>
        <w:rPr/>
        <w:t>Office</w:t>
      </w:r>
      <w:r>
        <w:rPr>
          <w:spacing w:val="-2"/>
        </w:rPr>
        <w:t> </w:t>
      </w:r>
      <w:r>
        <w:rPr/>
        <w:t>Staff</w:t>
      </w:r>
      <w:r>
        <w:rPr>
          <w:spacing w:val="-3"/>
        </w:rPr>
        <w:t> </w:t>
      </w:r>
      <w:r>
        <w:rPr>
          <w:spacing w:val="-2"/>
        </w:rPr>
        <w:t>Responsibilities:</w:t>
      </w:r>
    </w:p>
    <w:p>
      <w:pPr>
        <w:pStyle w:val="BodyText"/>
        <w:spacing w:before="11"/>
        <w:rPr>
          <w:b/>
          <w:sz w:val="23"/>
        </w:rPr>
      </w:pPr>
    </w:p>
    <w:p>
      <w:pPr>
        <w:pStyle w:val="ListParagraph"/>
        <w:numPr>
          <w:ilvl w:val="0"/>
          <w:numId w:val="5"/>
        </w:numPr>
        <w:tabs>
          <w:tab w:pos="839" w:val="left" w:leader="none"/>
        </w:tabs>
        <w:spacing w:line="240" w:lineRule="auto" w:before="0" w:after="0"/>
        <w:ind w:left="839" w:right="0" w:hanging="359"/>
        <w:jc w:val="left"/>
        <w:rPr>
          <w:sz w:val="24"/>
        </w:rPr>
      </w:pPr>
      <w:r>
        <w:rPr>
          <w:sz w:val="24"/>
        </w:rPr>
        <w:t>Ensure</w:t>
      </w:r>
      <w:r>
        <w:rPr>
          <w:spacing w:val="-5"/>
          <w:sz w:val="24"/>
        </w:rPr>
        <w:t> </w:t>
      </w:r>
      <w:r>
        <w:rPr>
          <w:sz w:val="24"/>
        </w:rPr>
        <w:t>Title</w:t>
      </w:r>
      <w:r>
        <w:rPr>
          <w:spacing w:val="-1"/>
          <w:sz w:val="24"/>
        </w:rPr>
        <w:t> </w:t>
      </w:r>
      <w:r>
        <w:rPr>
          <w:sz w:val="24"/>
        </w:rPr>
        <w:t>VI</w:t>
      </w:r>
      <w:r>
        <w:rPr>
          <w:spacing w:val="-4"/>
          <w:sz w:val="24"/>
        </w:rPr>
        <w:t> </w:t>
      </w:r>
      <w:r>
        <w:rPr>
          <w:sz w:val="24"/>
        </w:rPr>
        <w:t>language is</w:t>
      </w:r>
      <w:r>
        <w:rPr>
          <w:spacing w:val="-2"/>
          <w:sz w:val="24"/>
        </w:rPr>
        <w:t> </w:t>
      </w:r>
      <w:r>
        <w:rPr>
          <w:sz w:val="24"/>
        </w:rPr>
        <w:t>included</w:t>
      </w:r>
      <w:r>
        <w:rPr>
          <w:spacing w:val="-3"/>
          <w:sz w:val="24"/>
        </w:rPr>
        <w:t> </w:t>
      </w:r>
      <w:r>
        <w:rPr>
          <w:sz w:val="24"/>
        </w:rPr>
        <w:t>in</w:t>
      </w:r>
      <w:r>
        <w:rPr>
          <w:spacing w:val="-2"/>
          <w:sz w:val="24"/>
        </w:rPr>
        <w:t> </w:t>
      </w:r>
      <w:r>
        <w:rPr>
          <w:sz w:val="24"/>
        </w:rPr>
        <w:t>every</w:t>
      </w:r>
      <w:r>
        <w:rPr>
          <w:spacing w:val="-2"/>
          <w:sz w:val="24"/>
        </w:rPr>
        <w:t> </w:t>
      </w:r>
      <w:r>
        <w:rPr>
          <w:sz w:val="24"/>
        </w:rPr>
        <w:t>Civil</w:t>
      </w:r>
      <w:r>
        <w:rPr>
          <w:spacing w:val="-1"/>
          <w:sz w:val="24"/>
        </w:rPr>
        <w:t> </w:t>
      </w:r>
      <w:r>
        <w:rPr>
          <w:sz w:val="24"/>
        </w:rPr>
        <w:t>Rights</w:t>
      </w:r>
      <w:r>
        <w:rPr>
          <w:spacing w:val="-2"/>
          <w:sz w:val="24"/>
        </w:rPr>
        <w:t> </w:t>
      </w:r>
      <w:r>
        <w:rPr>
          <w:sz w:val="24"/>
        </w:rPr>
        <w:t>Office subrecipient</w:t>
      </w:r>
      <w:r>
        <w:rPr>
          <w:spacing w:val="-3"/>
          <w:sz w:val="24"/>
        </w:rPr>
        <w:t> </w:t>
      </w:r>
      <w:r>
        <w:rPr>
          <w:sz w:val="24"/>
        </w:rPr>
        <w:t>contract</w:t>
      </w:r>
      <w:r>
        <w:rPr>
          <w:spacing w:val="-3"/>
          <w:sz w:val="24"/>
        </w:rPr>
        <w:t> </w:t>
      </w:r>
      <w:r>
        <w:rPr>
          <w:sz w:val="24"/>
        </w:rPr>
        <w:t>and</w:t>
      </w:r>
      <w:r>
        <w:rPr>
          <w:spacing w:val="1"/>
          <w:sz w:val="24"/>
        </w:rPr>
        <w:t> </w:t>
      </w:r>
      <w:r>
        <w:rPr>
          <w:spacing w:val="-2"/>
          <w:sz w:val="24"/>
        </w:rPr>
        <w:t>subcontract.</w:t>
      </w:r>
    </w:p>
    <w:p>
      <w:pPr>
        <w:pStyle w:val="ListParagraph"/>
        <w:numPr>
          <w:ilvl w:val="0"/>
          <w:numId w:val="5"/>
        </w:numPr>
        <w:tabs>
          <w:tab w:pos="840" w:val="left" w:leader="none"/>
        </w:tabs>
        <w:spacing w:line="240" w:lineRule="auto" w:before="1" w:after="0"/>
        <w:ind w:left="840" w:right="115" w:hanging="360"/>
        <w:jc w:val="left"/>
        <w:rPr>
          <w:sz w:val="24"/>
        </w:rPr>
      </w:pPr>
      <w:r>
        <w:rPr>
          <w:sz w:val="24"/>
        </w:rPr>
        <w:t>Perform reviews of selected MPOs, RPCs and LPAs and subrecipients to ensure Title VI adherence (see Subrecipient Review Process).</w:t>
      </w:r>
    </w:p>
    <w:p>
      <w:pPr>
        <w:pStyle w:val="ListParagraph"/>
        <w:numPr>
          <w:ilvl w:val="0"/>
          <w:numId w:val="5"/>
        </w:numPr>
        <w:tabs>
          <w:tab w:pos="839" w:val="left" w:leader="none"/>
        </w:tabs>
        <w:spacing w:line="305" w:lineRule="exact" w:before="0" w:after="0"/>
        <w:ind w:left="839" w:right="0" w:hanging="359"/>
        <w:jc w:val="left"/>
        <w:rPr>
          <w:sz w:val="24"/>
        </w:rPr>
      </w:pPr>
      <w:r>
        <w:rPr>
          <w:sz w:val="24"/>
        </w:rPr>
        <w:t>Perform</w:t>
      </w:r>
      <w:r>
        <w:rPr>
          <w:spacing w:val="-3"/>
          <w:sz w:val="24"/>
        </w:rPr>
        <w:t> </w:t>
      </w:r>
      <w:r>
        <w:rPr>
          <w:sz w:val="24"/>
        </w:rPr>
        <w:t>Title</w:t>
      </w:r>
      <w:r>
        <w:rPr>
          <w:spacing w:val="-3"/>
          <w:sz w:val="24"/>
        </w:rPr>
        <w:t> </w:t>
      </w:r>
      <w:r>
        <w:rPr>
          <w:sz w:val="24"/>
        </w:rPr>
        <w:t>VI</w:t>
      </w:r>
      <w:r>
        <w:rPr>
          <w:spacing w:val="-2"/>
          <w:sz w:val="24"/>
        </w:rPr>
        <w:t> </w:t>
      </w:r>
      <w:r>
        <w:rPr>
          <w:sz w:val="24"/>
        </w:rPr>
        <w:t>reviews</w:t>
      </w:r>
      <w:r>
        <w:rPr>
          <w:spacing w:val="-4"/>
          <w:sz w:val="24"/>
        </w:rPr>
        <w:t> </w:t>
      </w:r>
      <w:r>
        <w:rPr>
          <w:sz w:val="24"/>
        </w:rPr>
        <w:t>with</w:t>
      </w:r>
      <w:r>
        <w:rPr>
          <w:spacing w:val="1"/>
          <w:sz w:val="24"/>
        </w:rPr>
        <w:t> </w:t>
      </w:r>
      <w:r>
        <w:rPr>
          <w:sz w:val="24"/>
        </w:rPr>
        <w:t>Liaisons</w:t>
      </w:r>
      <w:r>
        <w:rPr>
          <w:spacing w:val="-2"/>
          <w:sz w:val="24"/>
        </w:rPr>
        <w:t> </w:t>
      </w:r>
      <w:r>
        <w:rPr>
          <w:sz w:val="24"/>
        </w:rPr>
        <w:t>in</w:t>
      </w:r>
      <w:r>
        <w:rPr>
          <w:spacing w:val="-3"/>
          <w:sz w:val="24"/>
        </w:rPr>
        <w:t> </w:t>
      </w:r>
      <w:r>
        <w:rPr>
          <w:sz w:val="24"/>
        </w:rPr>
        <w:t>MaineDOT’s</w:t>
      </w:r>
      <w:r>
        <w:rPr>
          <w:spacing w:val="-2"/>
          <w:sz w:val="24"/>
        </w:rPr>
        <w:t> </w:t>
      </w:r>
      <w:r>
        <w:rPr>
          <w:sz w:val="24"/>
        </w:rPr>
        <w:t>program</w:t>
      </w:r>
      <w:r>
        <w:rPr>
          <w:spacing w:val="-3"/>
          <w:sz w:val="24"/>
        </w:rPr>
        <w:t> </w:t>
      </w:r>
      <w:r>
        <w:rPr>
          <w:spacing w:val="-2"/>
          <w:sz w:val="24"/>
        </w:rPr>
        <w:t>areas.</w:t>
      </w:r>
    </w:p>
    <w:p>
      <w:pPr>
        <w:pStyle w:val="ListParagraph"/>
        <w:numPr>
          <w:ilvl w:val="0"/>
          <w:numId w:val="5"/>
        </w:numPr>
        <w:tabs>
          <w:tab w:pos="839" w:val="left" w:leader="none"/>
        </w:tabs>
        <w:spacing w:line="305" w:lineRule="exact" w:before="2" w:after="0"/>
        <w:ind w:left="839" w:right="0" w:hanging="359"/>
        <w:jc w:val="left"/>
        <w:rPr>
          <w:sz w:val="24"/>
        </w:rPr>
      </w:pPr>
      <w:r>
        <w:rPr>
          <w:sz w:val="24"/>
        </w:rPr>
        <w:t>Provide</w:t>
      </w:r>
      <w:r>
        <w:rPr>
          <w:spacing w:val="-5"/>
          <w:sz w:val="24"/>
        </w:rPr>
        <w:t> </w:t>
      </w:r>
      <w:r>
        <w:rPr>
          <w:sz w:val="24"/>
        </w:rPr>
        <w:t>or secure</w:t>
      </w:r>
      <w:r>
        <w:rPr>
          <w:spacing w:val="-2"/>
          <w:sz w:val="24"/>
        </w:rPr>
        <w:t> </w:t>
      </w:r>
      <w:r>
        <w:rPr>
          <w:sz w:val="24"/>
        </w:rPr>
        <w:t>training</w:t>
      </w:r>
      <w:r>
        <w:rPr>
          <w:spacing w:val="-1"/>
          <w:sz w:val="24"/>
        </w:rPr>
        <w:t> </w:t>
      </w:r>
      <w:r>
        <w:rPr>
          <w:sz w:val="24"/>
        </w:rPr>
        <w:t>and</w:t>
      </w:r>
      <w:r>
        <w:rPr>
          <w:spacing w:val="-2"/>
          <w:sz w:val="24"/>
        </w:rPr>
        <w:t> </w:t>
      </w:r>
      <w:r>
        <w:rPr>
          <w:sz w:val="24"/>
        </w:rPr>
        <w:t>technical assistance</w:t>
      </w:r>
      <w:r>
        <w:rPr>
          <w:spacing w:val="-1"/>
          <w:sz w:val="24"/>
        </w:rPr>
        <w:t> </w:t>
      </w:r>
      <w:r>
        <w:rPr>
          <w:sz w:val="24"/>
        </w:rPr>
        <w:t>to</w:t>
      </w:r>
      <w:r>
        <w:rPr>
          <w:spacing w:val="-2"/>
          <w:sz w:val="24"/>
        </w:rPr>
        <w:t> </w:t>
      </w:r>
      <w:r>
        <w:rPr>
          <w:sz w:val="24"/>
        </w:rPr>
        <w:t>the</w:t>
      </w:r>
      <w:r>
        <w:rPr>
          <w:spacing w:val="-2"/>
          <w:sz w:val="24"/>
        </w:rPr>
        <w:t> </w:t>
      </w:r>
      <w:r>
        <w:rPr>
          <w:sz w:val="24"/>
        </w:rPr>
        <w:t>Title</w:t>
      </w:r>
      <w:r>
        <w:rPr>
          <w:spacing w:val="-2"/>
          <w:sz w:val="24"/>
        </w:rPr>
        <w:t> </w:t>
      </w:r>
      <w:r>
        <w:rPr>
          <w:sz w:val="24"/>
        </w:rPr>
        <w:t>VI</w:t>
      </w:r>
      <w:r>
        <w:rPr>
          <w:spacing w:val="-1"/>
          <w:sz w:val="24"/>
        </w:rPr>
        <w:t> </w:t>
      </w:r>
      <w:r>
        <w:rPr>
          <w:sz w:val="24"/>
        </w:rPr>
        <w:t>Liaisons</w:t>
      </w:r>
      <w:r>
        <w:rPr>
          <w:spacing w:val="-3"/>
          <w:sz w:val="24"/>
        </w:rPr>
        <w:t> </w:t>
      </w:r>
      <w:r>
        <w:rPr>
          <w:sz w:val="24"/>
        </w:rPr>
        <w:t>and</w:t>
      </w:r>
      <w:r>
        <w:rPr>
          <w:spacing w:val="1"/>
          <w:sz w:val="24"/>
        </w:rPr>
        <w:t> </w:t>
      </w:r>
      <w:r>
        <w:rPr>
          <w:spacing w:val="-2"/>
          <w:sz w:val="24"/>
        </w:rPr>
        <w:t>subrecipients.</w:t>
      </w:r>
    </w:p>
    <w:p>
      <w:pPr>
        <w:pStyle w:val="ListParagraph"/>
        <w:numPr>
          <w:ilvl w:val="0"/>
          <w:numId w:val="5"/>
        </w:numPr>
        <w:tabs>
          <w:tab w:pos="839" w:val="left" w:leader="none"/>
        </w:tabs>
        <w:spacing w:line="305" w:lineRule="exact" w:before="0" w:after="0"/>
        <w:ind w:left="839" w:right="0" w:hanging="359"/>
        <w:jc w:val="left"/>
        <w:rPr>
          <w:sz w:val="24"/>
        </w:rPr>
      </w:pPr>
      <w:r>
        <w:rPr>
          <w:sz w:val="24"/>
        </w:rPr>
        <w:t>Compile</w:t>
      </w:r>
      <w:r>
        <w:rPr>
          <w:spacing w:val="-4"/>
          <w:sz w:val="24"/>
        </w:rPr>
        <w:t> </w:t>
      </w:r>
      <w:r>
        <w:rPr>
          <w:sz w:val="24"/>
        </w:rPr>
        <w:t>and</w:t>
      </w:r>
      <w:r>
        <w:rPr>
          <w:spacing w:val="-2"/>
          <w:sz w:val="24"/>
        </w:rPr>
        <w:t> </w:t>
      </w:r>
      <w:r>
        <w:rPr>
          <w:sz w:val="24"/>
        </w:rPr>
        <w:t>forward</w:t>
      </w:r>
      <w:r>
        <w:rPr>
          <w:spacing w:val="-1"/>
          <w:sz w:val="24"/>
        </w:rPr>
        <w:t> </w:t>
      </w:r>
      <w:r>
        <w:rPr>
          <w:sz w:val="24"/>
        </w:rPr>
        <w:t>Title</w:t>
      </w:r>
      <w:r>
        <w:rPr>
          <w:spacing w:val="-1"/>
          <w:sz w:val="24"/>
        </w:rPr>
        <w:t> </w:t>
      </w:r>
      <w:r>
        <w:rPr>
          <w:sz w:val="24"/>
        </w:rPr>
        <w:t>VI</w:t>
      </w:r>
      <w:r>
        <w:rPr>
          <w:spacing w:val="-2"/>
          <w:sz w:val="24"/>
        </w:rPr>
        <w:t> </w:t>
      </w:r>
      <w:r>
        <w:rPr>
          <w:sz w:val="24"/>
        </w:rPr>
        <w:t>Implementation</w:t>
      </w:r>
      <w:r>
        <w:rPr>
          <w:spacing w:val="-3"/>
          <w:sz w:val="24"/>
        </w:rPr>
        <w:t> </w:t>
      </w:r>
      <w:r>
        <w:rPr>
          <w:sz w:val="24"/>
        </w:rPr>
        <w:t>Plan to</w:t>
      </w:r>
      <w:r>
        <w:rPr>
          <w:spacing w:val="-1"/>
          <w:sz w:val="24"/>
        </w:rPr>
        <w:t> </w:t>
      </w:r>
      <w:r>
        <w:rPr>
          <w:sz w:val="24"/>
        </w:rPr>
        <w:t>FTA</w:t>
      </w:r>
      <w:r>
        <w:rPr>
          <w:spacing w:val="-4"/>
          <w:sz w:val="24"/>
        </w:rPr>
        <w:t> </w:t>
      </w:r>
      <w:r>
        <w:rPr>
          <w:sz w:val="24"/>
        </w:rPr>
        <w:t>every</w:t>
      </w:r>
      <w:r>
        <w:rPr>
          <w:spacing w:val="-4"/>
          <w:sz w:val="24"/>
        </w:rPr>
        <w:t> </w:t>
      </w:r>
      <w:r>
        <w:rPr>
          <w:sz w:val="24"/>
        </w:rPr>
        <w:t>three</w:t>
      </w:r>
      <w:r>
        <w:rPr>
          <w:spacing w:val="-1"/>
          <w:sz w:val="24"/>
        </w:rPr>
        <w:t> </w:t>
      </w:r>
      <w:r>
        <w:rPr>
          <w:spacing w:val="-2"/>
          <w:sz w:val="24"/>
        </w:rPr>
        <w:t>years.</w:t>
      </w:r>
    </w:p>
    <w:p>
      <w:pPr>
        <w:pStyle w:val="ListParagraph"/>
        <w:numPr>
          <w:ilvl w:val="0"/>
          <w:numId w:val="5"/>
        </w:numPr>
        <w:tabs>
          <w:tab w:pos="840" w:val="left" w:leader="none"/>
        </w:tabs>
        <w:spacing w:line="242" w:lineRule="auto" w:before="0" w:after="0"/>
        <w:ind w:left="840" w:right="115" w:hanging="360"/>
        <w:jc w:val="left"/>
        <w:rPr>
          <w:sz w:val="24"/>
        </w:rPr>
      </w:pPr>
      <w:r>
        <w:rPr>
          <w:sz w:val="24"/>
        </w:rPr>
        <w:t>Maintain the Title VI Plan and ensure Title VI, Equal Employment Opportunity (EEO), and Affirmative</w:t>
      </w:r>
      <w:r>
        <w:rPr>
          <w:spacing w:val="80"/>
          <w:sz w:val="24"/>
        </w:rPr>
        <w:t> </w:t>
      </w:r>
      <w:r>
        <w:rPr>
          <w:sz w:val="24"/>
        </w:rPr>
        <w:t>Action are implemented in MaineDOT’s external programs.</w:t>
      </w:r>
    </w:p>
    <w:p>
      <w:pPr>
        <w:spacing w:after="0" w:line="242" w:lineRule="auto"/>
        <w:jc w:val="left"/>
        <w:rPr>
          <w:sz w:val="24"/>
        </w:rPr>
        <w:sectPr>
          <w:pgSz w:w="12240" w:h="15840"/>
          <w:pgMar w:header="0" w:footer="1063" w:top="960" w:bottom="1260" w:left="600" w:right="600"/>
        </w:sectPr>
      </w:pPr>
    </w:p>
    <w:p>
      <w:pPr>
        <w:pStyle w:val="ListParagraph"/>
        <w:numPr>
          <w:ilvl w:val="0"/>
          <w:numId w:val="5"/>
        </w:numPr>
        <w:tabs>
          <w:tab w:pos="840" w:val="left" w:leader="none"/>
        </w:tabs>
        <w:spacing w:line="240" w:lineRule="auto" w:before="74" w:after="0"/>
        <w:ind w:left="840" w:right="114" w:hanging="360"/>
        <w:jc w:val="both"/>
        <w:rPr>
          <w:sz w:val="24"/>
        </w:rPr>
      </w:pPr>
      <w:r>
        <w:rPr>
          <w:sz w:val="24"/>
        </w:rPr>
        <w:t>Collect and analyze demographic data for the purposes of monitoring those areas where Title VI (including Limited English Proficiency) and/or Environmental Justice populations may be adversely affected by MaineDOT’s projects and activities.</w:t>
      </w:r>
    </w:p>
    <w:p>
      <w:pPr>
        <w:pStyle w:val="BodyText"/>
        <w:spacing w:before="2"/>
      </w:pPr>
    </w:p>
    <w:p>
      <w:pPr>
        <w:pStyle w:val="Heading9"/>
        <w:jc w:val="both"/>
      </w:pPr>
      <w:r>
        <w:rPr>
          <w:u w:val="single"/>
        </w:rPr>
        <w:t>Title</w:t>
      </w:r>
      <w:r>
        <w:rPr>
          <w:spacing w:val="-1"/>
          <w:u w:val="single"/>
        </w:rPr>
        <w:t> </w:t>
      </w:r>
      <w:r>
        <w:rPr>
          <w:u w:val="single"/>
        </w:rPr>
        <w:t>VI</w:t>
      </w:r>
      <w:r>
        <w:rPr>
          <w:spacing w:val="1"/>
          <w:u w:val="single"/>
        </w:rPr>
        <w:t> </w:t>
      </w:r>
      <w:r>
        <w:rPr>
          <w:spacing w:val="-2"/>
          <w:u w:val="single"/>
        </w:rPr>
        <w:t>Coordinator</w:t>
      </w:r>
    </w:p>
    <w:p>
      <w:pPr>
        <w:pStyle w:val="BodyText"/>
        <w:ind w:left="120" w:right="113"/>
        <w:jc w:val="both"/>
      </w:pPr>
      <w:r>
        <w:rPr/>
        <w:t>The Title VI Coordinator is charged with the responsibility for implementing, monitoring and ensuring MaineDOT’s compliance with the Title VI regulations and related statutes.</w:t>
      </w:r>
      <w:r>
        <w:rPr>
          <w:spacing w:val="40"/>
        </w:rPr>
        <w:t> </w:t>
      </w:r>
      <w:r>
        <w:rPr/>
        <w:t>The Title VI Coordinator’s responsibilities are as follows:</w:t>
      </w:r>
    </w:p>
    <w:p>
      <w:pPr>
        <w:pStyle w:val="BodyText"/>
        <w:spacing w:before="11"/>
        <w:rPr>
          <w:sz w:val="23"/>
        </w:rPr>
      </w:pPr>
    </w:p>
    <w:p>
      <w:pPr>
        <w:pStyle w:val="ListParagraph"/>
        <w:numPr>
          <w:ilvl w:val="0"/>
          <w:numId w:val="5"/>
        </w:numPr>
        <w:tabs>
          <w:tab w:pos="839" w:val="left" w:leader="none"/>
        </w:tabs>
        <w:spacing w:line="305" w:lineRule="exact" w:before="0" w:after="0"/>
        <w:ind w:left="839" w:right="0" w:hanging="359"/>
        <w:jc w:val="left"/>
        <w:rPr>
          <w:sz w:val="24"/>
        </w:rPr>
      </w:pPr>
      <w:r>
        <w:rPr>
          <w:sz w:val="24"/>
        </w:rPr>
        <w:t>Monitor</w:t>
      </w:r>
      <w:r>
        <w:rPr>
          <w:spacing w:val="-3"/>
          <w:sz w:val="24"/>
        </w:rPr>
        <w:t> </w:t>
      </w:r>
      <w:r>
        <w:rPr>
          <w:sz w:val="24"/>
        </w:rPr>
        <w:t>Title VI</w:t>
      </w:r>
      <w:r>
        <w:rPr>
          <w:spacing w:val="-3"/>
          <w:sz w:val="24"/>
        </w:rPr>
        <w:t> </w:t>
      </w:r>
      <w:r>
        <w:rPr>
          <w:spacing w:val="-2"/>
          <w:sz w:val="24"/>
        </w:rPr>
        <w:t>activities.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3"/>
          <w:sz w:val="24"/>
        </w:rPr>
        <w:t> </w:t>
      </w:r>
      <w:r>
        <w:rPr>
          <w:sz w:val="24"/>
        </w:rPr>
        <w:t>training</w:t>
      </w:r>
      <w:r>
        <w:rPr>
          <w:spacing w:val="-4"/>
          <w:sz w:val="24"/>
        </w:rPr>
        <w:t> </w:t>
      </w:r>
      <w:r>
        <w:rPr>
          <w:sz w:val="24"/>
        </w:rPr>
        <w:t>to MaineDOT</w:t>
      </w:r>
      <w:r>
        <w:rPr>
          <w:spacing w:val="-1"/>
          <w:sz w:val="24"/>
        </w:rPr>
        <w:t> </w:t>
      </w:r>
      <w:r>
        <w:rPr>
          <w:sz w:val="24"/>
        </w:rPr>
        <w:t>staff</w:t>
      </w:r>
      <w:r>
        <w:rPr>
          <w:spacing w:val="1"/>
          <w:sz w:val="24"/>
        </w:rPr>
        <w:t> </w:t>
      </w:r>
      <w:r>
        <w:rPr>
          <w:sz w:val="24"/>
        </w:rPr>
        <w:t>as</w:t>
      </w:r>
      <w:r>
        <w:rPr>
          <w:spacing w:val="-4"/>
          <w:sz w:val="24"/>
        </w:rPr>
        <w:t> </w:t>
      </w:r>
      <w:r>
        <w:rPr>
          <w:sz w:val="24"/>
        </w:rPr>
        <w:t>needed,</w:t>
      </w:r>
      <w:r>
        <w:rPr>
          <w:spacing w:val="-4"/>
          <w:sz w:val="24"/>
        </w:rPr>
        <w:t> </w:t>
      </w:r>
      <w:r>
        <w:rPr>
          <w:sz w:val="24"/>
        </w:rPr>
        <w:t>and</w:t>
      </w:r>
      <w:r>
        <w:rPr>
          <w:spacing w:val="1"/>
          <w:sz w:val="24"/>
        </w:rPr>
        <w:t> </w:t>
      </w:r>
      <w:r>
        <w:rPr>
          <w:sz w:val="24"/>
        </w:rPr>
        <w:t>to</w:t>
      </w:r>
      <w:r>
        <w:rPr>
          <w:spacing w:val="-1"/>
          <w:sz w:val="24"/>
        </w:rPr>
        <w:t> </w:t>
      </w:r>
      <w:r>
        <w:rPr>
          <w:sz w:val="24"/>
        </w:rPr>
        <w:t>outside agencies</w:t>
      </w:r>
      <w:r>
        <w:rPr>
          <w:spacing w:val="-2"/>
          <w:sz w:val="24"/>
        </w:rPr>
        <w:t> </w:t>
      </w:r>
      <w:r>
        <w:rPr>
          <w:sz w:val="24"/>
        </w:rPr>
        <w:t>as</w:t>
      </w:r>
      <w:r>
        <w:rPr>
          <w:spacing w:val="-6"/>
          <w:sz w:val="24"/>
        </w:rPr>
        <w:t> </w:t>
      </w:r>
      <w:r>
        <w:rPr>
          <w:spacing w:val="-2"/>
          <w:sz w:val="24"/>
        </w:rPr>
        <w:t>requested.</w:t>
      </w:r>
    </w:p>
    <w:p>
      <w:pPr>
        <w:pStyle w:val="ListParagraph"/>
        <w:numPr>
          <w:ilvl w:val="0"/>
          <w:numId w:val="5"/>
        </w:numPr>
        <w:tabs>
          <w:tab w:pos="839" w:val="left" w:leader="none"/>
        </w:tabs>
        <w:spacing w:line="305" w:lineRule="exact" w:before="1" w:after="0"/>
        <w:ind w:left="839" w:right="0" w:hanging="359"/>
        <w:jc w:val="left"/>
        <w:rPr>
          <w:sz w:val="24"/>
        </w:rPr>
      </w:pPr>
      <w:r>
        <w:rPr>
          <w:sz w:val="24"/>
        </w:rPr>
        <w:t>Work</w:t>
      </w:r>
      <w:r>
        <w:rPr>
          <w:spacing w:val="-3"/>
          <w:sz w:val="24"/>
        </w:rPr>
        <w:t> </w:t>
      </w:r>
      <w:r>
        <w:rPr>
          <w:sz w:val="24"/>
        </w:rPr>
        <w:t>with</w:t>
      </w:r>
      <w:r>
        <w:rPr>
          <w:spacing w:val="-3"/>
          <w:sz w:val="24"/>
        </w:rPr>
        <w:t> </w:t>
      </w:r>
      <w:r>
        <w:rPr>
          <w:sz w:val="24"/>
        </w:rPr>
        <w:t>Multimodal</w:t>
      </w:r>
      <w:r>
        <w:rPr>
          <w:spacing w:val="-1"/>
          <w:sz w:val="24"/>
        </w:rPr>
        <w:t> </w:t>
      </w:r>
      <w:r>
        <w:rPr>
          <w:sz w:val="24"/>
        </w:rPr>
        <w:t>staff in</w:t>
      </w:r>
      <w:r>
        <w:rPr>
          <w:spacing w:val="-3"/>
          <w:sz w:val="24"/>
        </w:rPr>
        <w:t> </w:t>
      </w:r>
      <w:r>
        <w:rPr>
          <w:sz w:val="24"/>
        </w:rPr>
        <w:t>the</w:t>
      </w:r>
      <w:r>
        <w:rPr>
          <w:spacing w:val="-1"/>
          <w:sz w:val="24"/>
        </w:rPr>
        <w:t> </w:t>
      </w:r>
      <w:r>
        <w:rPr>
          <w:sz w:val="24"/>
        </w:rPr>
        <w:t>development</w:t>
      </w:r>
      <w:r>
        <w:rPr>
          <w:spacing w:val="-1"/>
          <w:sz w:val="24"/>
        </w:rPr>
        <w:t> </w:t>
      </w:r>
      <w:r>
        <w:rPr>
          <w:sz w:val="24"/>
        </w:rPr>
        <w:t>of the</w:t>
      </w:r>
      <w:r>
        <w:rPr>
          <w:spacing w:val="-3"/>
          <w:sz w:val="24"/>
        </w:rPr>
        <w:t> </w:t>
      </w:r>
      <w:r>
        <w:rPr>
          <w:sz w:val="24"/>
        </w:rPr>
        <w:t>Title</w:t>
      </w:r>
      <w:r>
        <w:rPr>
          <w:spacing w:val="-1"/>
          <w:sz w:val="24"/>
        </w:rPr>
        <w:t> </w:t>
      </w:r>
      <w:r>
        <w:rPr>
          <w:sz w:val="24"/>
        </w:rPr>
        <w:t>VI</w:t>
      </w:r>
      <w:r>
        <w:rPr>
          <w:spacing w:val="-3"/>
          <w:sz w:val="24"/>
        </w:rPr>
        <w:t> </w:t>
      </w:r>
      <w:r>
        <w:rPr>
          <w:spacing w:val="-2"/>
          <w:sz w:val="24"/>
        </w:rPr>
        <w:t>Program.</w:t>
      </w:r>
    </w:p>
    <w:p>
      <w:pPr>
        <w:pStyle w:val="ListParagraph"/>
        <w:numPr>
          <w:ilvl w:val="0"/>
          <w:numId w:val="5"/>
        </w:numPr>
        <w:tabs>
          <w:tab w:pos="839" w:val="left" w:leader="none"/>
        </w:tabs>
        <w:spacing w:line="305" w:lineRule="exact" w:before="0" w:after="0"/>
        <w:ind w:left="839" w:right="0" w:hanging="359"/>
        <w:jc w:val="left"/>
        <w:rPr>
          <w:sz w:val="24"/>
        </w:rPr>
      </w:pPr>
      <w:r>
        <w:rPr>
          <w:sz w:val="24"/>
        </w:rPr>
        <w:t>Develop</w:t>
      </w:r>
      <w:r>
        <w:rPr>
          <w:spacing w:val="-1"/>
          <w:sz w:val="24"/>
        </w:rPr>
        <w:t> </w:t>
      </w:r>
      <w:r>
        <w:rPr>
          <w:sz w:val="24"/>
        </w:rPr>
        <w:t>Title</w:t>
      </w:r>
      <w:r>
        <w:rPr>
          <w:spacing w:val="-3"/>
          <w:sz w:val="24"/>
        </w:rPr>
        <w:t> </w:t>
      </w:r>
      <w:r>
        <w:rPr>
          <w:sz w:val="24"/>
        </w:rPr>
        <w:t>VI</w:t>
      </w:r>
      <w:r>
        <w:rPr>
          <w:spacing w:val="-3"/>
          <w:sz w:val="24"/>
        </w:rPr>
        <w:t> </w:t>
      </w:r>
      <w:r>
        <w:rPr>
          <w:sz w:val="24"/>
        </w:rPr>
        <w:t>information</w:t>
      </w:r>
      <w:r>
        <w:rPr>
          <w:spacing w:val="-3"/>
          <w:sz w:val="24"/>
        </w:rPr>
        <w:t> </w:t>
      </w:r>
      <w:r>
        <w:rPr>
          <w:sz w:val="24"/>
        </w:rPr>
        <w:t>for</w:t>
      </w:r>
      <w:r>
        <w:rPr>
          <w:spacing w:val="-5"/>
          <w:sz w:val="24"/>
        </w:rPr>
        <w:t> </w:t>
      </w:r>
      <w:r>
        <w:rPr>
          <w:sz w:val="24"/>
        </w:rPr>
        <w:t>dissemination (where</w:t>
      </w:r>
      <w:r>
        <w:rPr>
          <w:spacing w:val="-4"/>
          <w:sz w:val="24"/>
        </w:rPr>
        <w:t> </w:t>
      </w:r>
      <w:r>
        <w:rPr>
          <w:sz w:val="24"/>
        </w:rPr>
        <w:t>necessary,</w:t>
      </w:r>
      <w:r>
        <w:rPr>
          <w:spacing w:val="-1"/>
          <w:sz w:val="24"/>
        </w:rPr>
        <w:t> </w:t>
      </w:r>
      <w:r>
        <w:rPr>
          <w:sz w:val="24"/>
        </w:rPr>
        <w:t>in</w:t>
      </w:r>
      <w:r>
        <w:rPr>
          <w:spacing w:val="-1"/>
          <w:sz w:val="24"/>
        </w:rPr>
        <w:t> </w:t>
      </w:r>
      <w:r>
        <w:rPr>
          <w:sz w:val="24"/>
        </w:rPr>
        <w:t>other</w:t>
      </w:r>
      <w:r>
        <w:rPr>
          <w:spacing w:val="-4"/>
          <w:sz w:val="24"/>
        </w:rPr>
        <w:t> </w:t>
      </w:r>
      <w:r>
        <w:rPr>
          <w:sz w:val="24"/>
        </w:rPr>
        <w:t>language(s),</w:t>
      </w:r>
      <w:r>
        <w:rPr>
          <w:spacing w:val="-1"/>
          <w:sz w:val="24"/>
        </w:rPr>
        <w:t> </w:t>
      </w:r>
      <w:r>
        <w:rPr>
          <w:spacing w:val="-2"/>
          <w:sz w:val="24"/>
        </w:rPr>
        <w:t>format(s)).</w:t>
      </w:r>
    </w:p>
    <w:p>
      <w:pPr>
        <w:pStyle w:val="ListParagraph"/>
        <w:numPr>
          <w:ilvl w:val="0"/>
          <w:numId w:val="5"/>
        </w:numPr>
        <w:tabs>
          <w:tab w:pos="839" w:val="left" w:leader="none"/>
        </w:tabs>
        <w:spacing w:line="305" w:lineRule="exact" w:before="2" w:after="0"/>
        <w:ind w:left="839" w:right="0" w:hanging="359"/>
        <w:jc w:val="left"/>
        <w:rPr>
          <w:sz w:val="24"/>
        </w:rPr>
      </w:pPr>
      <w:r>
        <w:rPr>
          <w:sz w:val="24"/>
        </w:rPr>
        <w:t>Establish</w:t>
      </w:r>
      <w:r>
        <w:rPr>
          <w:spacing w:val="-2"/>
          <w:sz w:val="24"/>
        </w:rPr>
        <w:t> </w:t>
      </w:r>
      <w:r>
        <w:rPr>
          <w:sz w:val="24"/>
        </w:rPr>
        <w:t>procedures</w:t>
      </w:r>
      <w:r>
        <w:rPr>
          <w:spacing w:val="-4"/>
          <w:sz w:val="24"/>
        </w:rPr>
        <w:t> </w:t>
      </w:r>
      <w:r>
        <w:rPr>
          <w:sz w:val="24"/>
        </w:rPr>
        <w:t>to</w:t>
      </w:r>
      <w:r>
        <w:rPr>
          <w:spacing w:val="-3"/>
          <w:sz w:val="24"/>
        </w:rPr>
        <w:t> </w:t>
      </w:r>
      <w:r>
        <w:rPr>
          <w:sz w:val="24"/>
        </w:rPr>
        <w:t>promptly</w:t>
      </w:r>
      <w:r>
        <w:rPr>
          <w:spacing w:val="-2"/>
          <w:sz w:val="24"/>
        </w:rPr>
        <w:t> </w:t>
      </w:r>
      <w:r>
        <w:rPr>
          <w:sz w:val="24"/>
        </w:rPr>
        <w:t>investigate</w:t>
      </w:r>
      <w:r>
        <w:rPr>
          <w:spacing w:val="-3"/>
          <w:sz w:val="24"/>
        </w:rPr>
        <w:t> </w:t>
      </w:r>
      <w:r>
        <w:rPr>
          <w:sz w:val="24"/>
        </w:rPr>
        <w:t>Title</w:t>
      </w:r>
      <w:r>
        <w:rPr>
          <w:spacing w:val="-1"/>
          <w:sz w:val="24"/>
        </w:rPr>
        <w:t> </w:t>
      </w:r>
      <w:r>
        <w:rPr>
          <w:sz w:val="24"/>
        </w:rPr>
        <w:t>VI</w:t>
      </w:r>
      <w:r>
        <w:rPr>
          <w:spacing w:val="-1"/>
          <w:sz w:val="24"/>
        </w:rPr>
        <w:t> </w:t>
      </w:r>
      <w:r>
        <w:rPr>
          <w:spacing w:val="-2"/>
          <w:sz w:val="24"/>
        </w:rPr>
        <w:t>complaints.</w:t>
      </w:r>
    </w:p>
    <w:p>
      <w:pPr>
        <w:pStyle w:val="ListParagraph"/>
        <w:numPr>
          <w:ilvl w:val="0"/>
          <w:numId w:val="5"/>
        </w:numPr>
        <w:tabs>
          <w:tab w:pos="840" w:val="left" w:leader="none"/>
        </w:tabs>
        <w:spacing w:line="240" w:lineRule="auto" w:before="0" w:after="0"/>
        <w:ind w:left="840" w:right="115" w:hanging="360"/>
        <w:jc w:val="left"/>
        <w:rPr>
          <w:sz w:val="24"/>
        </w:rPr>
      </w:pPr>
      <w:r>
        <w:rPr>
          <w:sz w:val="24"/>
        </w:rPr>
        <w:t>Work</w:t>
      </w:r>
      <w:r>
        <w:rPr>
          <w:spacing w:val="33"/>
          <w:sz w:val="24"/>
        </w:rPr>
        <w:t> </w:t>
      </w:r>
      <w:r>
        <w:rPr>
          <w:sz w:val="24"/>
        </w:rPr>
        <w:t>with</w:t>
      </w:r>
      <w:r>
        <w:rPr>
          <w:spacing w:val="33"/>
          <w:sz w:val="24"/>
        </w:rPr>
        <w:t> </w:t>
      </w:r>
      <w:r>
        <w:rPr>
          <w:sz w:val="24"/>
        </w:rPr>
        <w:t>Multimodal</w:t>
      </w:r>
      <w:r>
        <w:rPr>
          <w:spacing w:val="32"/>
          <w:sz w:val="24"/>
        </w:rPr>
        <w:t> </w:t>
      </w:r>
      <w:r>
        <w:rPr>
          <w:sz w:val="24"/>
        </w:rPr>
        <w:t>staff</w:t>
      </w:r>
      <w:r>
        <w:rPr>
          <w:spacing w:val="33"/>
          <w:sz w:val="24"/>
        </w:rPr>
        <w:t> </w:t>
      </w:r>
      <w:r>
        <w:rPr>
          <w:sz w:val="24"/>
        </w:rPr>
        <w:t>to</w:t>
      </w:r>
      <w:r>
        <w:rPr>
          <w:spacing w:val="35"/>
          <w:sz w:val="24"/>
        </w:rPr>
        <w:t> </w:t>
      </w:r>
      <w:r>
        <w:rPr>
          <w:sz w:val="24"/>
        </w:rPr>
        <w:t>identify</w:t>
      </w:r>
      <w:r>
        <w:rPr>
          <w:spacing w:val="31"/>
          <w:sz w:val="24"/>
        </w:rPr>
        <w:t> </w:t>
      </w:r>
      <w:r>
        <w:rPr>
          <w:sz w:val="24"/>
        </w:rPr>
        <w:t>and</w:t>
      </w:r>
      <w:r>
        <w:rPr>
          <w:spacing w:val="33"/>
          <w:sz w:val="24"/>
        </w:rPr>
        <w:t> </w:t>
      </w:r>
      <w:r>
        <w:rPr>
          <w:sz w:val="24"/>
        </w:rPr>
        <w:t>eliminate</w:t>
      </w:r>
      <w:r>
        <w:rPr>
          <w:spacing w:val="32"/>
          <w:sz w:val="24"/>
        </w:rPr>
        <w:t> </w:t>
      </w:r>
      <w:r>
        <w:rPr>
          <w:sz w:val="24"/>
        </w:rPr>
        <w:t>discrimination,</w:t>
      </w:r>
      <w:r>
        <w:rPr>
          <w:spacing w:val="32"/>
          <w:sz w:val="24"/>
        </w:rPr>
        <w:t> </w:t>
      </w:r>
      <w:r>
        <w:rPr>
          <w:sz w:val="24"/>
        </w:rPr>
        <w:t>to</w:t>
      </w:r>
      <w:r>
        <w:rPr>
          <w:spacing w:val="35"/>
          <w:sz w:val="24"/>
        </w:rPr>
        <w:t> </w:t>
      </w:r>
      <w:r>
        <w:rPr>
          <w:sz w:val="24"/>
        </w:rPr>
        <w:t>review</w:t>
      </w:r>
      <w:r>
        <w:rPr>
          <w:spacing w:val="33"/>
          <w:sz w:val="24"/>
        </w:rPr>
        <w:t> </w:t>
      </w:r>
      <w:r>
        <w:rPr>
          <w:sz w:val="24"/>
        </w:rPr>
        <w:t>programs</w:t>
      </w:r>
      <w:r>
        <w:rPr>
          <w:spacing w:val="32"/>
          <w:sz w:val="24"/>
        </w:rPr>
        <w:t> </w:t>
      </w:r>
      <w:r>
        <w:rPr>
          <w:sz w:val="24"/>
        </w:rPr>
        <w:t>and</w:t>
      </w:r>
      <w:r>
        <w:rPr>
          <w:spacing w:val="33"/>
          <w:sz w:val="24"/>
        </w:rPr>
        <w:t> </w:t>
      </w:r>
      <w:r>
        <w:rPr>
          <w:sz w:val="24"/>
        </w:rPr>
        <w:t>grant applications, to resolve deficiencies within 90 days, and to collect and analyze statistical data.</w:t>
      </w:r>
    </w:p>
    <w:p>
      <w:pPr>
        <w:pStyle w:val="ListParagraph"/>
        <w:numPr>
          <w:ilvl w:val="0"/>
          <w:numId w:val="5"/>
        </w:numPr>
        <w:tabs>
          <w:tab w:pos="839" w:val="left" w:leader="none"/>
        </w:tabs>
        <w:spacing w:line="305" w:lineRule="exact" w:before="0" w:after="0"/>
        <w:ind w:left="839" w:right="0" w:hanging="360"/>
        <w:jc w:val="left"/>
        <w:rPr>
          <w:sz w:val="24"/>
        </w:rPr>
      </w:pPr>
      <w:r>
        <w:rPr>
          <w:sz w:val="24"/>
        </w:rPr>
        <w:t>Work</w:t>
      </w:r>
      <w:r>
        <w:rPr>
          <w:spacing w:val="-14"/>
          <w:sz w:val="24"/>
        </w:rPr>
        <w:t> </w:t>
      </w:r>
      <w:r>
        <w:rPr>
          <w:sz w:val="24"/>
        </w:rPr>
        <w:t>with</w:t>
      </w:r>
      <w:r>
        <w:rPr>
          <w:spacing w:val="-9"/>
          <w:sz w:val="24"/>
        </w:rPr>
        <w:t> </w:t>
      </w:r>
      <w:r>
        <w:rPr>
          <w:sz w:val="24"/>
        </w:rPr>
        <w:t>Multimodal</w:t>
      </w:r>
      <w:r>
        <w:rPr>
          <w:spacing w:val="-13"/>
          <w:sz w:val="24"/>
        </w:rPr>
        <w:t> </w:t>
      </w:r>
      <w:r>
        <w:rPr>
          <w:sz w:val="24"/>
        </w:rPr>
        <w:t>staff</w:t>
      </w:r>
      <w:r>
        <w:rPr>
          <w:spacing w:val="-11"/>
          <w:sz w:val="24"/>
        </w:rPr>
        <w:t> </w:t>
      </w:r>
      <w:r>
        <w:rPr>
          <w:sz w:val="24"/>
        </w:rPr>
        <w:t>to</w:t>
      </w:r>
      <w:r>
        <w:rPr>
          <w:spacing w:val="-12"/>
          <w:sz w:val="24"/>
        </w:rPr>
        <w:t> </w:t>
      </w:r>
      <w:r>
        <w:rPr>
          <w:sz w:val="24"/>
        </w:rPr>
        <w:t>develop</w:t>
      </w:r>
      <w:r>
        <w:rPr>
          <w:spacing w:val="-12"/>
          <w:sz w:val="24"/>
        </w:rPr>
        <w:t> </w:t>
      </w:r>
      <w:r>
        <w:rPr>
          <w:sz w:val="24"/>
        </w:rPr>
        <w:t>processes</w:t>
      </w:r>
      <w:r>
        <w:rPr>
          <w:spacing w:val="-13"/>
          <w:sz w:val="24"/>
        </w:rPr>
        <w:t> </w:t>
      </w:r>
      <w:r>
        <w:rPr>
          <w:sz w:val="24"/>
        </w:rPr>
        <w:t>to</w:t>
      </w:r>
      <w:r>
        <w:rPr>
          <w:spacing w:val="-11"/>
          <w:sz w:val="24"/>
        </w:rPr>
        <w:t> </w:t>
      </w:r>
      <w:r>
        <w:rPr>
          <w:sz w:val="24"/>
        </w:rPr>
        <w:t>receive</w:t>
      </w:r>
      <w:r>
        <w:rPr>
          <w:spacing w:val="-12"/>
          <w:sz w:val="24"/>
        </w:rPr>
        <w:t> </w:t>
      </w:r>
      <w:r>
        <w:rPr>
          <w:sz w:val="24"/>
        </w:rPr>
        <w:t>and</w:t>
      </w:r>
      <w:r>
        <w:rPr>
          <w:spacing w:val="-9"/>
          <w:sz w:val="24"/>
        </w:rPr>
        <w:t> </w:t>
      </w:r>
      <w:r>
        <w:rPr>
          <w:sz w:val="24"/>
        </w:rPr>
        <w:t>review</w:t>
      </w:r>
      <w:r>
        <w:rPr>
          <w:spacing w:val="-10"/>
          <w:sz w:val="24"/>
        </w:rPr>
        <w:t> </w:t>
      </w:r>
      <w:r>
        <w:rPr>
          <w:sz w:val="24"/>
        </w:rPr>
        <w:t>Title</w:t>
      </w:r>
      <w:r>
        <w:rPr>
          <w:spacing w:val="-10"/>
          <w:sz w:val="24"/>
        </w:rPr>
        <w:t> </w:t>
      </w:r>
      <w:r>
        <w:rPr>
          <w:sz w:val="24"/>
        </w:rPr>
        <w:t>VI</w:t>
      </w:r>
      <w:r>
        <w:rPr>
          <w:spacing w:val="-12"/>
          <w:sz w:val="24"/>
        </w:rPr>
        <w:t> </w:t>
      </w:r>
      <w:r>
        <w:rPr>
          <w:sz w:val="24"/>
        </w:rPr>
        <w:t>plans</w:t>
      </w:r>
      <w:r>
        <w:rPr>
          <w:spacing w:val="-10"/>
          <w:sz w:val="24"/>
        </w:rPr>
        <w:t> </w:t>
      </w:r>
      <w:r>
        <w:rPr>
          <w:sz w:val="24"/>
        </w:rPr>
        <w:t>from</w:t>
      </w:r>
      <w:r>
        <w:rPr>
          <w:spacing w:val="-10"/>
          <w:sz w:val="24"/>
        </w:rPr>
        <w:t> </w:t>
      </w:r>
      <w:r>
        <w:rPr>
          <w:spacing w:val="-2"/>
          <w:sz w:val="24"/>
        </w:rPr>
        <w:t>subrecipients.</w:t>
      </w:r>
    </w:p>
    <w:p>
      <w:pPr>
        <w:pStyle w:val="ListParagraph"/>
        <w:numPr>
          <w:ilvl w:val="0"/>
          <w:numId w:val="5"/>
        </w:numPr>
        <w:tabs>
          <w:tab w:pos="839" w:val="left" w:leader="none"/>
        </w:tabs>
        <w:spacing w:line="305" w:lineRule="exact" w:before="1" w:after="0"/>
        <w:ind w:left="839" w:right="0" w:hanging="359"/>
        <w:jc w:val="left"/>
        <w:rPr>
          <w:sz w:val="24"/>
        </w:rPr>
      </w:pPr>
      <w:r>
        <w:rPr>
          <w:sz w:val="24"/>
        </w:rPr>
        <w:t>Process</w:t>
      </w:r>
      <w:r>
        <w:rPr>
          <w:spacing w:val="-3"/>
          <w:sz w:val="24"/>
        </w:rPr>
        <w:t> </w:t>
      </w:r>
      <w:r>
        <w:rPr>
          <w:sz w:val="24"/>
        </w:rPr>
        <w:t>the</w:t>
      </w:r>
      <w:r>
        <w:rPr>
          <w:spacing w:val="-3"/>
          <w:sz w:val="24"/>
        </w:rPr>
        <w:t> </w:t>
      </w:r>
      <w:r>
        <w:rPr>
          <w:sz w:val="24"/>
        </w:rPr>
        <w:t>disposition of Title</w:t>
      </w:r>
      <w:r>
        <w:rPr>
          <w:spacing w:val="-3"/>
          <w:sz w:val="24"/>
        </w:rPr>
        <w:t> </w:t>
      </w:r>
      <w:r>
        <w:rPr>
          <w:sz w:val="24"/>
        </w:rPr>
        <w:t>VI</w:t>
      </w:r>
      <w:r>
        <w:rPr>
          <w:spacing w:val="-2"/>
          <w:sz w:val="24"/>
        </w:rPr>
        <w:t> </w:t>
      </w:r>
      <w:r>
        <w:rPr>
          <w:sz w:val="24"/>
        </w:rPr>
        <w:t>complaints</w:t>
      </w:r>
      <w:r>
        <w:rPr>
          <w:spacing w:val="-2"/>
          <w:sz w:val="24"/>
        </w:rPr>
        <w:t> received.</w:t>
      </w:r>
    </w:p>
    <w:p>
      <w:pPr>
        <w:pStyle w:val="ListParagraph"/>
        <w:numPr>
          <w:ilvl w:val="0"/>
          <w:numId w:val="5"/>
        </w:numPr>
        <w:tabs>
          <w:tab w:pos="840" w:val="left" w:leader="none"/>
        </w:tabs>
        <w:spacing w:line="242" w:lineRule="auto" w:before="0" w:after="0"/>
        <w:ind w:left="840" w:right="116" w:hanging="360"/>
        <w:jc w:val="left"/>
        <w:rPr>
          <w:sz w:val="24"/>
        </w:rPr>
      </w:pPr>
      <w:r>
        <w:rPr>
          <w:sz w:val="24"/>
        </w:rPr>
        <w:t>Collect</w:t>
      </w:r>
      <w:r>
        <w:rPr>
          <w:spacing w:val="27"/>
          <w:sz w:val="24"/>
        </w:rPr>
        <w:t> </w:t>
      </w:r>
      <w:r>
        <w:rPr>
          <w:sz w:val="24"/>
        </w:rPr>
        <w:t>statistical</w:t>
      </w:r>
      <w:r>
        <w:rPr>
          <w:spacing w:val="26"/>
          <w:sz w:val="24"/>
        </w:rPr>
        <w:t> </w:t>
      </w:r>
      <w:r>
        <w:rPr>
          <w:sz w:val="24"/>
        </w:rPr>
        <w:t>data</w:t>
      </w:r>
      <w:r>
        <w:rPr>
          <w:spacing w:val="26"/>
          <w:sz w:val="24"/>
        </w:rPr>
        <w:t> </w:t>
      </w:r>
      <w:r>
        <w:rPr>
          <w:sz w:val="24"/>
        </w:rPr>
        <w:t>(race,</w:t>
      </w:r>
      <w:r>
        <w:rPr>
          <w:spacing w:val="26"/>
          <w:sz w:val="24"/>
        </w:rPr>
        <w:t> </w:t>
      </w:r>
      <w:r>
        <w:rPr>
          <w:sz w:val="24"/>
        </w:rPr>
        <w:t>color,</w:t>
      </w:r>
      <w:r>
        <w:rPr>
          <w:spacing w:val="26"/>
          <w:sz w:val="24"/>
        </w:rPr>
        <w:t> </w:t>
      </w:r>
      <w:r>
        <w:rPr>
          <w:sz w:val="24"/>
        </w:rPr>
        <w:t>national</w:t>
      </w:r>
      <w:r>
        <w:rPr>
          <w:spacing w:val="26"/>
          <w:sz w:val="24"/>
        </w:rPr>
        <w:t> </w:t>
      </w:r>
      <w:r>
        <w:rPr>
          <w:sz w:val="24"/>
        </w:rPr>
        <w:t>origin,</w:t>
      </w:r>
      <w:r>
        <w:rPr>
          <w:spacing w:val="26"/>
          <w:sz w:val="24"/>
        </w:rPr>
        <w:t> </w:t>
      </w:r>
      <w:r>
        <w:rPr>
          <w:sz w:val="24"/>
        </w:rPr>
        <w:t>LEP</w:t>
      </w:r>
      <w:r>
        <w:rPr>
          <w:spacing w:val="27"/>
          <w:sz w:val="24"/>
        </w:rPr>
        <w:t> </w:t>
      </w:r>
      <w:r>
        <w:rPr>
          <w:sz w:val="24"/>
        </w:rPr>
        <w:t>status)</w:t>
      </w:r>
      <w:r>
        <w:rPr>
          <w:spacing w:val="25"/>
          <w:sz w:val="24"/>
        </w:rPr>
        <w:t> </w:t>
      </w:r>
      <w:r>
        <w:rPr>
          <w:sz w:val="24"/>
        </w:rPr>
        <w:t>of</w:t>
      </w:r>
      <w:r>
        <w:rPr>
          <w:spacing w:val="27"/>
          <w:sz w:val="24"/>
        </w:rPr>
        <w:t> </w:t>
      </w:r>
      <w:r>
        <w:rPr>
          <w:sz w:val="24"/>
        </w:rPr>
        <w:t>participants</w:t>
      </w:r>
      <w:r>
        <w:rPr>
          <w:spacing w:val="26"/>
          <w:sz w:val="24"/>
        </w:rPr>
        <w:t> </w:t>
      </w:r>
      <w:r>
        <w:rPr>
          <w:sz w:val="24"/>
        </w:rPr>
        <w:t>in</w:t>
      </w:r>
      <w:r>
        <w:rPr>
          <w:spacing w:val="27"/>
          <w:sz w:val="24"/>
        </w:rPr>
        <w:t> </w:t>
      </w:r>
      <w:r>
        <w:rPr>
          <w:sz w:val="24"/>
        </w:rPr>
        <w:t>and</w:t>
      </w:r>
      <w:r>
        <w:rPr>
          <w:spacing w:val="27"/>
          <w:sz w:val="24"/>
        </w:rPr>
        <w:t> </w:t>
      </w:r>
      <w:r>
        <w:rPr>
          <w:sz w:val="24"/>
        </w:rPr>
        <w:t>beneficiaries</w:t>
      </w:r>
      <w:r>
        <w:rPr>
          <w:spacing w:val="26"/>
          <w:sz w:val="24"/>
        </w:rPr>
        <w:t> </w:t>
      </w:r>
      <w:r>
        <w:rPr>
          <w:sz w:val="24"/>
        </w:rPr>
        <w:t>of MaineDOT programs, (e.g., affected citizens, and impacted communities).</w:t>
      </w:r>
    </w:p>
    <w:p>
      <w:pPr>
        <w:pStyle w:val="ListParagraph"/>
        <w:numPr>
          <w:ilvl w:val="0"/>
          <w:numId w:val="5"/>
        </w:numPr>
        <w:tabs>
          <w:tab w:pos="839" w:val="left" w:leader="none"/>
        </w:tabs>
        <w:spacing w:line="301" w:lineRule="exact" w:before="0" w:after="0"/>
        <w:ind w:left="839" w:right="0" w:hanging="359"/>
        <w:jc w:val="left"/>
        <w:rPr>
          <w:sz w:val="24"/>
        </w:rPr>
      </w:pPr>
      <w:r>
        <w:rPr>
          <w:sz w:val="24"/>
        </w:rPr>
        <w:t>Conduct</w:t>
      </w:r>
      <w:r>
        <w:rPr>
          <w:spacing w:val="-2"/>
          <w:sz w:val="24"/>
        </w:rPr>
        <w:t> </w:t>
      </w:r>
      <w:r>
        <w:rPr>
          <w:sz w:val="24"/>
        </w:rPr>
        <w:t>training</w:t>
      </w:r>
      <w:r>
        <w:rPr>
          <w:spacing w:val="-2"/>
          <w:sz w:val="24"/>
        </w:rPr>
        <w:t> </w:t>
      </w:r>
      <w:r>
        <w:rPr>
          <w:sz w:val="24"/>
        </w:rPr>
        <w:t>programs</w:t>
      </w:r>
      <w:r>
        <w:rPr>
          <w:spacing w:val="-1"/>
          <w:sz w:val="24"/>
        </w:rPr>
        <w:t> </w:t>
      </w:r>
      <w:r>
        <w:rPr>
          <w:sz w:val="24"/>
        </w:rPr>
        <w:t>on</w:t>
      </w:r>
      <w:r>
        <w:rPr>
          <w:spacing w:val="-3"/>
          <w:sz w:val="24"/>
        </w:rPr>
        <w:t> </w:t>
      </w:r>
      <w:r>
        <w:rPr>
          <w:sz w:val="24"/>
        </w:rPr>
        <w:t>Title</w:t>
      </w:r>
      <w:r>
        <w:rPr>
          <w:spacing w:val="-1"/>
          <w:sz w:val="24"/>
        </w:rPr>
        <w:t> </w:t>
      </w:r>
      <w:r>
        <w:rPr>
          <w:sz w:val="24"/>
        </w:rPr>
        <w:t>VI</w:t>
      </w:r>
      <w:r>
        <w:rPr>
          <w:spacing w:val="-3"/>
          <w:sz w:val="24"/>
        </w:rPr>
        <w:t> </w:t>
      </w:r>
      <w:r>
        <w:rPr>
          <w:sz w:val="24"/>
        </w:rPr>
        <w:t>and</w:t>
      </w:r>
      <w:r>
        <w:rPr>
          <w:spacing w:val="-3"/>
          <w:sz w:val="24"/>
        </w:rPr>
        <w:t> </w:t>
      </w:r>
      <w:r>
        <w:rPr>
          <w:sz w:val="24"/>
        </w:rPr>
        <w:t>other</w:t>
      </w:r>
      <w:r>
        <w:rPr>
          <w:spacing w:val="-5"/>
          <w:sz w:val="24"/>
        </w:rPr>
        <w:t> </w:t>
      </w:r>
      <w:r>
        <w:rPr>
          <w:sz w:val="24"/>
        </w:rPr>
        <w:t>related statutes</w:t>
      </w:r>
      <w:r>
        <w:rPr>
          <w:spacing w:val="-3"/>
          <w:sz w:val="24"/>
        </w:rPr>
        <w:t> </w:t>
      </w:r>
      <w:r>
        <w:rPr>
          <w:sz w:val="24"/>
        </w:rPr>
        <w:t>for</w:t>
      </w:r>
      <w:r>
        <w:rPr>
          <w:spacing w:val="-4"/>
          <w:sz w:val="24"/>
        </w:rPr>
        <w:t> </w:t>
      </w:r>
      <w:r>
        <w:rPr>
          <w:sz w:val="24"/>
        </w:rPr>
        <w:t>MaineDOT </w:t>
      </w:r>
      <w:r>
        <w:rPr>
          <w:spacing w:val="-2"/>
          <w:sz w:val="24"/>
        </w:rPr>
        <w:t>employees.</w:t>
      </w:r>
    </w:p>
    <w:p>
      <w:pPr>
        <w:pStyle w:val="ListParagraph"/>
        <w:numPr>
          <w:ilvl w:val="0"/>
          <w:numId w:val="5"/>
        </w:numPr>
        <w:tabs>
          <w:tab w:pos="840" w:val="left" w:leader="none"/>
        </w:tabs>
        <w:spacing w:line="240" w:lineRule="auto" w:before="0" w:after="0"/>
        <w:ind w:left="840" w:right="115" w:hanging="360"/>
        <w:jc w:val="left"/>
        <w:rPr>
          <w:sz w:val="24"/>
        </w:rPr>
      </w:pPr>
      <w:r>
        <w:rPr>
          <w:sz w:val="24"/>
        </w:rPr>
        <w:t>Develop</w:t>
      </w:r>
      <w:r>
        <w:rPr>
          <w:spacing w:val="-14"/>
          <w:sz w:val="24"/>
        </w:rPr>
        <w:t> </w:t>
      </w:r>
      <w:r>
        <w:rPr>
          <w:sz w:val="24"/>
        </w:rPr>
        <w:t>Title</w:t>
      </w:r>
      <w:r>
        <w:rPr>
          <w:spacing w:val="-14"/>
          <w:sz w:val="24"/>
        </w:rPr>
        <w:t> </w:t>
      </w:r>
      <w:r>
        <w:rPr>
          <w:sz w:val="24"/>
        </w:rPr>
        <w:t>VI</w:t>
      </w:r>
      <w:r>
        <w:rPr>
          <w:spacing w:val="-14"/>
          <w:sz w:val="24"/>
        </w:rPr>
        <w:t> </w:t>
      </w:r>
      <w:r>
        <w:rPr>
          <w:sz w:val="24"/>
        </w:rPr>
        <w:t>information</w:t>
      </w:r>
      <w:r>
        <w:rPr>
          <w:spacing w:val="-13"/>
          <w:sz w:val="24"/>
        </w:rPr>
        <w:t> </w:t>
      </w:r>
      <w:r>
        <w:rPr>
          <w:sz w:val="24"/>
        </w:rPr>
        <w:t>for</w:t>
      </w:r>
      <w:r>
        <w:rPr>
          <w:spacing w:val="-14"/>
          <w:sz w:val="24"/>
        </w:rPr>
        <w:t> </w:t>
      </w:r>
      <w:r>
        <w:rPr>
          <w:sz w:val="24"/>
        </w:rPr>
        <w:t>dissemination</w:t>
      </w:r>
      <w:r>
        <w:rPr>
          <w:spacing w:val="-15"/>
          <w:sz w:val="24"/>
        </w:rPr>
        <w:t> </w:t>
      </w:r>
      <w:r>
        <w:rPr>
          <w:sz w:val="24"/>
        </w:rPr>
        <w:t>to</w:t>
      </w:r>
      <w:r>
        <w:rPr>
          <w:spacing w:val="-14"/>
          <w:sz w:val="24"/>
        </w:rPr>
        <w:t> </w:t>
      </w:r>
      <w:r>
        <w:rPr>
          <w:sz w:val="24"/>
        </w:rPr>
        <w:t>the</w:t>
      </w:r>
      <w:r>
        <w:rPr>
          <w:spacing w:val="-13"/>
          <w:sz w:val="24"/>
        </w:rPr>
        <w:t> </w:t>
      </w:r>
      <w:r>
        <w:rPr>
          <w:sz w:val="24"/>
        </w:rPr>
        <w:t>general</w:t>
      </w:r>
      <w:r>
        <w:rPr>
          <w:spacing w:val="-14"/>
          <w:sz w:val="24"/>
        </w:rPr>
        <w:t> </w:t>
      </w:r>
      <w:r>
        <w:rPr>
          <w:sz w:val="24"/>
        </w:rPr>
        <w:t>public</w:t>
      </w:r>
      <w:r>
        <w:rPr>
          <w:spacing w:val="-15"/>
          <w:sz w:val="24"/>
        </w:rPr>
        <w:t> </w:t>
      </w:r>
      <w:r>
        <w:rPr>
          <w:sz w:val="24"/>
        </w:rPr>
        <w:t>and,</w:t>
      </w:r>
      <w:r>
        <w:rPr>
          <w:spacing w:val="-16"/>
          <w:sz w:val="24"/>
        </w:rPr>
        <w:t> </w:t>
      </w:r>
      <w:r>
        <w:rPr>
          <w:sz w:val="24"/>
        </w:rPr>
        <w:t>where</w:t>
      </w:r>
      <w:r>
        <w:rPr>
          <w:spacing w:val="-14"/>
          <w:sz w:val="24"/>
        </w:rPr>
        <w:t> </w:t>
      </w:r>
      <w:r>
        <w:rPr>
          <w:sz w:val="24"/>
        </w:rPr>
        <w:t>appropriate,</w:t>
      </w:r>
      <w:r>
        <w:rPr>
          <w:spacing w:val="-14"/>
          <w:sz w:val="24"/>
        </w:rPr>
        <w:t> </w:t>
      </w:r>
      <w:r>
        <w:rPr>
          <w:sz w:val="24"/>
        </w:rPr>
        <w:t>in</w:t>
      </w:r>
      <w:r>
        <w:rPr>
          <w:spacing w:val="-13"/>
          <w:sz w:val="24"/>
        </w:rPr>
        <w:t> </w:t>
      </w:r>
      <w:r>
        <w:rPr>
          <w:sz w:val="24"/>
        </w:rPr>
        <w:t>languages other than English.</w:t>
      </w:r>
    </w:p>
    <w:p>
      <w:pPr>
        <w:pStyle w:val="ListParagraph"/>
        <w:numPr>
          <w:ilvl w:val="0"/>
          <w:numId w:val="5"/>
        </w:numPr>
        <w:tabs>
          <w:tab w:pos="839" w:val="left" w:leader="none"/>
        </w:tabs>
        <w:spacing w:line="305" w:lineRule="exact" w:before="0" w:after="0"/>
        <w:ind w:left="839" w:right="0" w:hanging="359"/>
        <w:jc w:val="left"/>
        <w:rPr>
          <w:sz w:val="24"/>
        </w:rPr>
      </w:pPr>
      <w:r>
        <w:rPr>
          <w:sz w:val="24"/>
        </w:rPr>
        <w:t>Establish</w:t>
      </w:r>
      <w:r>
        <w:rPr>
          <w:spacing w:val="-2"/>
          <w:sz w:val="24"/>
        </w:rPr>
        <w:t> </w:t>
      </w:r>
      <w:r>
        <w:rPr>
          <w:sz w:val="24"/>
        </w:rPr>
        <w:t>procedures</w:t>
      </w:r>
      <w:r>
        <w:rPr>
          <w:spacing w:val="-3"/>
          <w:sz w:val="24"/>
        </w:rPr>
        <w:t> </w:t>
      </w:r>
      <w:r>
        <w:rPr>
          <w:sz w:val="24"/>
        </w:rPr>
        <w:t>for</w:t>
      </w:r>
      <w:r>
        <w:rPr>
          <w:spacing w:val="-6"/>
          <w:sz w:val="24"/>
        </w:rPr>
        <w:t> </w:t>
      </w:r>
      <w:r>
        <w:rPr>
          <w:sz w:val="24"/>
        </w:rPr>
        <w:t>promptly</w:t>
      </w:r>
      <w:r>
        <w:rPr>
          <w:spacing w:val="-1"/>
          <w:sz w:val="24"/>
        </w:rPr>
        <w:t> </w:t>
      </w:r>
      <w:r>
        <w:rPr>
          <w:sz w:val="24"/>
        </w:rPr>
        <w:t>resolving</w:t>
      </w:r>
      <w:r>
        <w:rPr>
          <w:spacing w:val="-4"/>
          <w:sz w:val="24"/>
        </w:rPr>
        <w:t> </w:t>
      </w:r>
      <w:r>
        <w:rPr>
          <w:sz w:val="24"/>
        </w:rPr>
        <w:t>deficiency</w:t>
      </w:r>
      <w:r>
        <w:rPr>
          <w:spacing w:val="-1"/>
          <w:sz w:val="24"/>
        </w:rPr>
        <w:t> </w:t>
      </w:r>
      <w:r>
        <w:rPr>
          <w:sz w:val="24"/>
        </w:rPr>
        <w:t>status</w:t>
      </w:r>
      <w:r>
        <w:rPr>
          <w:spacing w:val="-1"/>
          <w:sz w:val="24"/>
        </w:rPr>
        <w:t> </w:t>
      </w:r>
      <w:r>
        <w:rPr>
          <w:sz w:val="24"/>
        </w:rPr>
        <w:t>and</w:t>
      </w:r>
      <w:r>
        <w:rPr>
          <w:spacing w:val="-3"/>
          <w:sz w:val="24"/>
        </w:rPr>
        <w:t> </w:t>
      </w:r>
      <w:r>
        <w:rPr>
          <w:sz w:val="24"/>
        </w:rPr>
        <w:t>writing</w:t>
      </w:r>
      <w:r>
        <w:rPr>
          <w:spacing w:val="-3"/>
          <w:sz w:val="24"/>
        </w:rPr>
        <w:t> </w:t>
      </w:r>
      <w:r>
        <w:rPr>
          <w:sz w:val="24"/>
        </w:rPr>
        <w:t>the</w:t>
      </w:r>
      <w:r>
        <w:rPr>
          <w:spacing w:val="-1"/>
          <w:sz w:val="24"/>
        </w:rPr>
        <w:t> </w:t>
      </w:r>
      <w:r>
        <w:rPr>
          <w:sz w:val="24"/>
        </w:rPr>
        <w:t>remedial</w:t>
      </w:r>
      <w:r>
        <w:rPr>
          <w:spacing w:val="-3"/>
          <w:sz w:val="24"/>
        </w:rPr>
        <w:t> </w:t>
      </w:r>
      <w:r>
        <w:rPr>
          <w:sz w:val="24"/>
        </w:rPr>
        <w:t>action</w:t>
      </w:r>
      <w:r>
        <w:rPr>
          <w:spacing w:val="-2"/>
          <w:sz w:val="24"/>
        </w:rPr>
        <w:t> necessary</w:t>
      </w:r>
    </w:p>
    <w:p>
      <w:pPr>
        <w:pStyle w:val="ListParagraph"/>
        <w:numPr>
          <w:ilvl w:val="0"/>
          <w:numId w:val="5"/>
        </w:numPr>
        <w:tabs>
          <w:tab w:pos="839" w:val="left" w:leader="none"/>
        </w:tabs>
        <w:spacing w:line="305" w:lineRule="exact" w:before="0" w:after="0"/>
        <w:ind w:left="839" w:right="0" w:hanging="359"/>
        <w:jc w:val="left"/>
        <w:rPr>
          <w:sz w:val="24"/>
        </w:rPr>
      </w:pPr>
      <w:r>
        <w:rPr>
          <w:sz w:val="24"/>
        </w:rPr>
        <w:t>Identify</w:t>
      </w:r>
      <w:r>
        <w:rPr>
          <w:spacing w:val="-2"/>
          <w:sz w:val="24"/>
        </w:rPr>
        <w:t> </w:t>
      </w:r>
      <w:r>
        <w:rPr>
          <w:sz w:val="24"/>
        </w:rPr>
        <w:t>and</w:t>
      </w:r>
      <w:r>
        <w:rPr>
          <w:spacing w:val="-1"/>
          <w:sz w:val="24"/>
        </w:rPr>
        <w:t> </w:t>
      </w:r>
      <w:r>
        <w:rPr>
          <w:sz w:val="24"/>
        </w:rPr>
        <w:t>eliminate</w:t>
      </w:r>
      <w:r>
        <w:rPr>
          <w:spacing w:val="-2"/>
          <w:sz w:val="24"/>
        </w:rPr>
        <w:t> discrimination.</w:t>
      </w:r>
    </w:p>
    <w:p>
      <w:pPr>
        <w:pStyle w:val="ListParagraph"/>
        <w:numPr>
          <w:ilvl w:val="0"/>
          <w:numId w:val="5"/>
        </w:numPr>
        <w:tabs>
          <w:tab w:pos="840" w:val="left" w:leader="none"/>
        </w:tabs>
        <w:spacing w:line="242" w:lineRule="auto" w:before="0" w:after="0"/>
        <w:ind w:left="840" w:right="115" w:hanging="360"/>
        <w:jc w:val="left"/>
        <w:rPr>
          <w:sz w:val="24"/>
        </w:rPr>
      </w:pPr>
      <w:r>
        <w:rPr>
          <w:sz w:val="24"/>
        </w:rPr>
        <w:t>Ensure the aforementioned elements of the plan are appropriately implemented and maintained, and coordinate with those responsible for public outreach, involvement, service planning, and delivery.</w:t>
      </w:r>
    </w:p>
    <w:p>
      <w:pPr>
        <w:pStyle w:val="BodyText"/>
        <w:spacing w:before="8"/>
        <w:rPr>
          <w:sz w:val="23"/>
        </w:rPr>
      </w:pPr>
    </w:p>
    <w:p>
      <w:pPr>
        <w:pStyle w:val="Heading9"/>
        <w:jc w:val="both"/>
      </w:pPr>
      <w:r>
        <w:rPr>
          <w:u w:val="single"/>
        </w:rPr>
        <w:t>Title</w:t>
      </w:r>
      <w:r>
        <w:rPr>
          <w:spacing w:val="-1"/>
          <w:u w:val="single"/>
        </w:rPr>
        <w:t> </w:t>
      </w:r>
      <w:r>
        <w:rPr>
          <w:u w:val="single"/>
        </w:rPr>
        <w:t>VI</w:t>
      </w:r>
      <w:r>
        <w:rPr>
          <w:spacing w:val="-1"/>
          <w:u w:val="single"/>
        </w:rPr>
        <w:t> </w:t>
      </w:r>
      <w:r>
        <w:rPr>
          <w:u w:val="single"/>
        </w:rPr>
        <w:t>Liaisons</w:t>
      </w:r>
      <w:r>
        <w:rPr>
          <w:spacing w:val="-2"/>
          <w:u w:val="single"/>
        </w:rPr>
        <w:t> </w:t>
      </w:r>
      <w:r>
        <w:rPr>
          <w:u w:val="single"/>
        </w:rPr>
        <w:t>in</w:t>
      </w:r>
      <w:r>
        <w:rPr>
          <w:spacing w:val="-2"/>
          <w:u w:val="single"/>
        </w:rPr>
        <w:t> Programs</w:t>
      </w:r>
    </w:p>
    <w:p>
      <w:pPr>
        <w:pStyle w:val="BodyText"/>
        <w:spacing w:before="9"/>
        <w:rPr>
          <w:b/>
          <w:sz w:val="19"/>
        </w:rPr>
      </w:pPr>
    </w:p>
    <w:p>
      <w:pPr>
        <w:pStyle w:val="BodyText"/>
        <w:spacing w:before="52"/>
        <w:ind w:left="120" w:right="114"/>
        <w:jc w:val="both"/>
      </w:pPr>
      <w:r>
        <w:rPr/>
        <w:t>In</w:t>
      </w:r>
      <w:r>
        <w:rPr>
          <w:spacing w:val="-8"/>
        </w:rPr>
        <w:t> </w:t>
      </w:r>
      <w:r>
        <w:rPr/>
        <w:t>addition</w:t>
      </w:r>
      <w:r>
        <w:rPr>
          <w:spacing w:val="-12"/>
        </w:rPr>
        <w:t> </w:t>
      </w:r>
      <w:r>
        <w:rPr/>
        <w:t>to</w:t>
      </w:r>
      <w:r>
        <w:rPr>
          <w:spacing w:val="-11"/>
        </w:rPr>
        <w:t> </w:t>
      </w:r>
      <w:r>
        <w:rPr/>
        <w:t>the</w:t>
      </w:r>
      <w:r>
        <w:rPr>
          <w:spacing w:val="-11"/>
        </w:rPr>
        <w:t> </w:t>
      </w:r>
      <w:r>
        <w:rPr/>
        <w:t>Title</w:t>
      </w:r>
      <w:r>
        <w:rPr>
          <w:spacing w:val="-11"/>
        </w:rPr>
        <w:t> </w:t>
      </w:r>
      <w:r>
        <w:rPr/>
        <w:t>VI</w:t>
      </w:r>
      <w:r>
        <w:rPr>
          <w:spacing w:val="-12"/>
        </w:rPr>
        <w:t> </w:t>
      </w:r>
      <w:r>
        <w:rPr/>
        <w:t>Coordinator,</w:t>
      </w:r>
      <w:r>
        <w:rPr>
          <w:spacing w:val="-11"/>
        </w:rPr>
        <w:t> </w:t>
      </w:r>
      <w:r>
        <w:rPr/>
        <w:t>each</w:t>
      </w:r>
      <w:r>
        <w:rPr>
          <w:spacing w:val="-10"/>
        </w:rPr>
        <w:t> </w:t>
      </w:r>
      <w:r>
        <w:rPr/>
        <w:t>of</w:t>
      </w:r>
      <w:r>
        <w:rPr>
          <w:spacing w:val="-10"/>
        </w:rPr>
        <w:t> </w:t>
      </w:r>
      <w:r>
        <w:rPr/>
        <w:t>MaineDOT’s</w:t>
      </w:r>
      <w:r>
        <w:rPr>
          <w:spacing w:val="-11"/>
        </w:rPr>
        <w:t> </w:t>
      </w:r>
      <w:r>
        <w:rPr/>
        <w:t>program</w:t>
      </w:r>
      <w:r>
        <w:rPr>
          <w:spacing w:val="-11"/>
        </w:rPr>
        <w:t> </w:t>
      </w:r>
      <w:r>
        <w:rPr/>
        <w:t>areas</w:t>
      </w:r>
      <w:r>
        <w:rPr>
          <w:spacing w:val="-14"/>
        </w:rPr>
        <w:t> </w:t>
      </w:r>
      <w:r>
        <w:rPr/>
        <w:t>will</w:t>
      </w:r>
      <w:r>
        <w:rPr>
          <w:spacing w:val="-10"/>
        </w:rPr>
        <w:t> </w:t>
      </w:r>
      <w:r>
        <w:rPr/>
        <w:t>have</w:t>
      </w:r>
      <w:r>
        <w:rPr>
          <w:spacing w:val="-11"/>
        </w:rPr>
        <w:t> </w:t>
      </w:r>
      <w:r>
        <w:rPr/>
        <w:t>a</w:t>
      </w:r>
      <w:r>
        <w:rPr>
          <w:spacing w:val="-11"/>
        </w:rPr>
        <w:t> </w:t>
      </w:r>
      <w:r>
        <w:rPr/>
        <w:t>designated</w:t>
      </w:r>
      <w:r>
        <w:rPr>
          <w:spacing w:val="-10"/>
        </w:rPr>
        <w:t> </w:t>
      </w:r>
      <w:r>
        <w:rPr/>
        <w:t>Title</w:t>
      </w:r>
      <w:r>
        <w:rPr>
          <w:spacing w:val="-8"/>
        </w:rPr>
        <w:t> </w:t>
      </w:r>
      <w:r>
        <w:rPr/>
        <w:t>VI</w:t>
      </w:r>
      <w:r>
        <w:rPr>
          <w:spacing w:val="-12"/>
        </w:rPr>
        <w:t> </w:t>
      </w:r>
      <w:r>
        <w:rPr/>
        <w:t>Liaison. The program areas are:</w:t>
      </w:r>
    </w:p>
    <w:p>
      <w:pPr>
        <w:pStyle w:val="BodyText"/>
        <w:spacing w:before="10"/>
        <w:rPr>
          <w:sz w:val="23"/>
        </w:rPr>
      </w:pPr>
    </w:p>
    <w:p>
      <w:pPr>
        <w:pStyle w:val="ListParagraph"/>
        <w:numPr>
          <w:ilvl w:val="1"/>
          <w:numId w:val="5"/>
        </w:numPr>
        <w:tabs>
          <w:tab w:pos="1199" w:val="left" w:leader="none"/>
        </w:tabs>
        <w:spacing w:line="240" w:lineRule="auto" w:before="1" w:after="0"/>
        <w:ind w:left="1199" w:right="0" w:hanging="360"/>
        <w:jc w:val="left"/>
        <w:rPr>
          <w:sz w:val="24"/>
        </w:rPr>
      </w:pPr>
      <w:r>
        <w:rPr>
          <w:sz w:val="24"/>
        </w:rPr>
        <w:t>Bureau</w:t>
      </w:r>
      <w:r>
        <w:rPr>
          <w:spacing w:val="-4"/>
          <w:sz w:val="24"/>
        </w:rPr>
        <w:t> </w:t>
      </w:r>
      <w:r>
        <w:rPr>
          <w:sz w:val="24"/>
        </w:rPr>
        <w:t>of</w:t>
      </w:r>
      <w:r>
        <w:rPr>
          <w:spacing w:val="-3"/>
          <w:sz w:val="24"/>
        </w:rPr>
        <w:t> </w:t>
      </w:r>
      <w:r>
        <w:rPr>
          <w:sz w:val="24"/>
        </w:rPr>
        <w:t>Planning:</w:t>
      </w:r>
      <w:r>
        <w:rPr>
          <w:spacing w:val="50"/>
          <w:sz w:val="24"/>
        </w:rPr>
        <w:t> </w:t>
      </w:r>
      <w:r>
        <w:rPr>
          <w:sz w:val="24"/>
        </w:rPr>
        <w:t>Public</w:t>
      </w:r>
      <w:r>
        <w:rPr>
          <w:spacing w:val="-2"/>
          <w:sz w:val="24"/>
        </w:rPr>
        <w:t> </w:t>
      </w:r>
      <w:r>
        <w:rPr>
          <w:sz w:val="24"/>
        </w:rPr>
        <w:t>Outreach</w:t>
      </w:r>
      <w:r>
        <w:rPr>
          <w:spacing w:val="-1"/>
          <w:sz w:val="24"/>
        </w:rPr>
        <w:t> </w:t>
      </w:r>
      <w:r>
        <w:rPr>
          <w:sz w:val="24"/>
        </w:rPr>
        <w:t>&amp;</w:t>
      </w:r>
      <w:r>
        <w:rPr>
          <w:spacing w:val="-2"/>
          <w:sz w:val="24"/>
        </w:rPr>
        <w:t> </w:t>
      </w:r>
      <w:r>
        <w:rPr>
          <w:sz w:val="24"/>
        </w:rPr>
        <w:t>Planning</w:t>
      </w:r>
      <w:r>
        <w:rPr>
          <w:spacing w:val="-2"/>
          <w:sz w:val="24"/>
        </w:rPr>
        <w:t> </w:t>
      </w:r>
      <w:r>
        <w:rPr>
          <w:sz w:val="24"/>
        </w:rPr>
        <w:t>and</w:t>
      </w:r>
      <w:r>
        <w:rPr>
          <w:spacing w:val="-4"/>
          <w:sz w:val="24"/>
        </w:rPr>
        <w:t> </w:t>
      </w:r>
      <w:r>
        <w:rPr>
          <w:sz w:val="24"/>
        </w:rPr>
        <w:t>Transportation Systems</w:t>
      </w:r>
      <w:r>
        <w:rPr>
          <w:spacing w:val="-2"/>
          <w:sz w:val="24"/>
        </w:rPr>
        <w:t> Analysis</w:t>
      </w:r>
    </w:p>
    <w:p>
      <w:pPr>
        <w:pStyle w:val="ListParagraph"/>
        <w:numPr>
          <w:ilvl w:val="1"/>
          <w:numId w:val="5"/>
        </w:numPr>
        <w:tabs>
          <w:tab w:pos="1199" w:val="left" w:leader="none"/>
        </w:tabs>
        <w:spacing w:line="305" w:lineRule="exact" w:before="1" w:after="0"/>
        <w:ind w:left="1199" w:right="0" w:hanging="359"/>
        <w:jc w:val="left"/>
        <w:rPr>
          <w:sz w:val="24"/>
        </w:rPr>
      </w:pPr>
      <w:r>
        <w:rPr>
          <w:sz w:val="24"/>
        </w:rPr>
        <w:t>Bureau</w:t>
      </w:r>
      <w:r>
        <w:rPr>
          <w:spacing w:val="-3"/>
          <w:sz w:val="24"/>
        </w:rPr>
        <w:t> </w:t>
      </w:r>
      <w:r>
        <w:rPr>
          <w:sz w:val="24"/>
        </w:rPr>
        <w:t>of</w:t>
      </w:r>
      <w:r>
        <w:rPr>
          <w:spacing w:val="-2"/>
          <w:sz w:val="24"/>
        </w:rPr>
        <w:t> </w:t>
      </w:r>
      <w:r>
        <w:rPr>
          <w:sz w:val="24"/>
        </w:rPr>
        <w:t>Project</w:t>
      </w:r>
      <w:r>
        <w:rPr>
          <w:spacing w:val="-2"/>
          <w:sz w:val="24"/>
        </w:rPr>
        <w:t> Development</w:t>
      </w:r>
    </w:p>
    <w:p>
      <w:pPr>
        <w:pStyle w:val="ListParagraph"/>
        <w:numPr>
          <w:ilvl w:val="1"/>
          <w:numId w:val="5"/>
        </w:numPr>
        <w:tabs>
          <w:tab w:pos="1199" w:val="left" w:leader="none"/>
        </w:tabs>
        <w:spacing w:line="305" w:lineRule="exact" w:before="0" w:after="0"/>
        <w:ind w:left="1199" w:right="0" w:hanging="359"/>
        <w:jc w:val="left"/>
        <w:rPr>
          <w:sz w:val="24"/>
        </w:rPr>
      </w:pPr>
      <w:r>
        <w:rPr>
          <w:sz w:val="24"/>
        </w:rPr>
        <w:t>Bureau</w:t>
      </w:r>
      <w:r>
        <w:rPr>
          <w:spacing w:val="-1"/>
          <w:sz w:val="24"/>
        </w:rPr>
        <w:t> </w:t>
      </w:r>
      <w:r>
        <w:rPr>
          <w:sz w:val="24"/>
        </w:rPr>
        <w:t>of</w:t>
      </w:r>
      <w:r>
        <w:rPr>
          <w:spacing w:val="-1"/>
          <w:sz w:val="24"/>
        </w:rPr>
        <w:t> </w:t>
      </w:r>
      <w:r>
        <w:rPr>
          <w:sz w:val="24"/>
        </w:rPr>
        <w:t>Maintenance</w:t>
      </w:r>
      <w:r>
        <w:rPr>
          <w:spacing w:val="-4"/>
          <w:sz w:val="24"/>
        </w:rPr>
        <w:t> </w:t>
      </w:r>
      <w:r>
        <w:rPr>
          <w:sz w:val="24"/>
        </w:rPr>
        <w:t>and</w:t>
      </w:r>
      <w:r>
        <w:rPr>
          <w:spacing w:val="2"/>
          <w:sz w:val="24"/>
        </w:rPr>
        <w:t> </w:t>
      </w:r>
      <w:r>
        <w:rPr>
          <w:spacing w:val="-2"/>
          <w:sz w:val="24"/>
        </w:rPr>
        <w:t>Operations</w:t>
      </w:r>
    </w:p>
    <w:p>
      <w:pPr>
        <w:pStyle w:val="ListParagraph"/>
        <w:numPr>
          <w:ilvl w:val="1"/>
          <w:numId w:val="5"/>
        </w:numPr>
        <w:tabs>
          <w:tab w:pos="1199" w:val="left" w:leader="none"/>
        </w:tabs>
        <w:spacing w:line="305" w:lineRule="exact" w:before="0" w:after="0"/>
        <w:ind w:left="1199" w:right="0" w:hanging="359"/>
        <w:jc w:val="left"/>
        <w:rPr>
          <w:sz w:val="24"/>
        </w:rPr>
      </w:pPr>
      <w:r>
        <w:rPr>
          <w:sz w:val="24"/>
        </w:rPr>
        <w:t>Contract</w:t>
      </w:r>
      <w:r>
        <w:rPr>
          <w:spacing w:val="-3"/>
          <w:sz w:val="24"/>
        </w:rPr>
        <w:t> </w:t>
      </w:r>
      <w:r>
        <w:rPr>
          <w:sz w:val="24"/>
        </w:rPr>
        <w:t>Procurement</w:t>
      </w:r>
      <w:r>
        <w:rPr>
          <w:spacing w:val="-3"/>
          <w:sz w:val="24"/>
        </w:rPr>
        <w:t> </w:t>
      </w:r>
      <w:r>
        <w:rPr>
          <w:spacing w:val="-2"/>
          <w:sz w:val="24"/>
        </w:rPr>
        <w:t>Office</w:t>
      </w:r>
    </w:p>
    <w:p>
      <w:pPr>
        <w:pStyle w:val="ListParagraph"/>
        <w:numPr>
          <w:ilvl w:val="1"/>
          <w:numId w:val="5"/>
        </w:numPr>
        <w:tabs>
          <w:tab w:pos="1199" w:val="left" w:leader="none"/>
        </w:tabs>
        <w:spacing w:line="305" w:lineRule="exact" w:before="1" w:after="0"/>
        <w:ind w:left="1199" w:right="0" w:hanging="359"/>
        <w:jc w:val="left"/>
        <w:rPr>
          <w:sz w:val="24"/>
        </w:rPr>
      </w:pPr>
      <w:r>
        <w:rPr>
          <w:sz w:val="24"/>
        </w:rPr>
        <w:t>Environmental</w:t>
      </w:r>
      <w:r>
        <w:rPr>
          <w:spacing w:val="-2"/>
          <w:sz w:val="24"/>
        </w:rPr>
        <w:t> Office</w:t>
      </w:r>
    </w:p>
    <w:p>
      <w:pPr>
        <w:pStyle w:val="ListParagraph"/>
        <w:numPr>
          <w:ilvl w:val="1"/>
          <w:numId w:val="5"/>
        </w:numPr>
        <w:tabs>
          <w:tab w:pos="1199" w:val="left" w:leader="none"/>
        </w:tabs>
        <w:spacing w:line="305" w:lineRule="exact" w:before="0" w:after="0"/>
        <w:ind w:left="1199" w:right="0" w:hanging="359"/>
        <w:jc w:val="left"/>
        <w:rPr>
          <w:sz w:val="24"/>
        </w:rPr>
      </w:pPr>
      <w:r>
        <w:rPr>
          <w:sz w:val="24"/>
        </w:rPr>
        <w:t>Safety </w:t>
      </w:r>
      <w:r>
        <w:rPr>
          <w:spacing w:val="-2"/>
          <w:sz w:val="24"/>
        </w:rPr>
        <w:t>Office</w:t>
      </w:r>
    </w:p>
    <w:p>
      <w:pPr>
        <w:pStyle w:val="ListParagraph"/>
        <w:numPr>
          <w:ilvl w:val="1"/>
          <w:numId w:val="5"/>
        </w:numPr>
        <w:tabs>
          <w:tab w:pos="1199" w:val="left" w:leader="none"/>
        </w:tabs>
        <w:spacing w:line="240" w:lineRule="auto" w:before="2" w:after="0"/>
        <w:ind w:left="1199" w:right="0" w:hanging="359"/>
        <w:jc w:val="left"/>
        <w:rPr>
          <w:sz w:val="24"/>
        </w:rPr>
      </w:pPr>
      <w:r>
        <w:rPr>
          <w:sz w:val="24"/>
        </w:rPr>
        <w:t>ADA</w:t>
      </w:r>
      <w:r>
        <w:rPr>
          <w:spacing w:val="2"/>
          <w:sz w:val="24"/>
        </w:rPr>
        <w:t> </w:t>
      </w:r>
      <w:r>
        <w:rPr>
          <w:spacing w:val="-2"/>
          <w:sz w:val="24"/>
        </w:rPr>
        <w:t>Program</w:t>
      </w:r>
    </w:p>
    <w:p>
      <w:pPr>
        <w:pStyle w:val="BodyText"/>
        <w:spacing w:before="12"/>
        <w:rPr>
          <w:sz w:val="23"/>
        </w:rPr>
      </w:pPr>
    </w:p>
    <w:p>
      <w:pPr>
        <w:pStyle w:val="BodyText"/>
        <w:ind w:left="120" w:right="112"/>
        <w:jc w:val="both"/>
      </w:pPr>
      <w:r>
        <w:rPr/>
        <w:t>The Liaisons are responsible for ensuring Title VI development in their respective areas, sharing Title VI information, resources and ensuring compliance of their subrecipients, Title VI program monitoring, and reporting</w:t>
      </w:r>
      <w:r>
        <w:rPr>
          <w:spacing w:val="41"/>
        </w:rPr>
        <w:t> </w:t>
      </w:r>
      <w:r>
        <w:rPr/>
        <w:t>to</w:t>
      </w:r>
      <w:r>
        <w:rPr>
          <w:spacing w:val="43"/>
        </w:rPr>
        <w:t> </w:t>
      </w:r>
      <w:r>
        <w:rPr/>
        <w:t>the</w:t>
      </w:r>
      <w:r>
        <w:rPr>
          <w:spacing w:val="44"/>
        </w:rPr>
        <w:t> </w:t>
      </w:r>
      <w:r>
        <w:rPr/>
        <w:t>Civil</w:t>
      </w:r>
      <w:r>
        <w:rPr>
          <w:spacing w:val="43"/>
        </w:rPr>
        <w:t> </w:t>
      </w:r>
      <w:r>
        <w:rPr/>
        <w:t>Rights</w:t>
      </w:r>
      <w:r>
        <w:rPr>
          <w:spacing w:val="42"/>
        </w:rPr>
        <w:t> </w:t>
      </w:r>
      <w:r>
        <w:rPr/>
        <w:t>Office</w:t>
      </w:r>
      <w:r>
        <w:rPr>
          <w:spacing w:val="42"/>
        </w:rPr>
        <w:t> </w:t>
      </w:r>
      <w:r>
        <w:rPr/>
        <w:t>the</w:t>
      </w:r>
      <w:r>
        <w:rPr>
          <w:spacing w:val="43"/>
        </w:rPr>
        <w:t> </w:t>
      </w:r>
      <w:r>
        <w:rPr/>
        <w:t>goals</w:t>
      </w:r>
      <w:r>
        <w:rPr>
          <w:spacing w:val="41"/>
        </w:rPr>
        <w:t> </w:t>
      </w:r>
      <w:r>
        <w:rPr/>
        <w:t>and</w:t>
      </w:r>
      <w:r>
        <w:rPr>
          <w:spacing w:val="44"/>
        </w:rPr>
        <w:t> </w:t>
      </w:r>
      <w:r>
        <w:rPr/>
        <w:t>results</w:t>
      </w:r>
      <w:r>
        <w:rPr>
          <w:spacing w:val="42"/>
        </w:rPr>
        <w:t> </w:t>
      </w:r>
      <w:r>
        <w:rPr/>
        <w:t>of</w:t>
      </w:r>
      <w:r>
        <w:rPr>
          <w:spacing w:val="40"/>
        </w:rPr>
        <w:t> </w:t>
      </w:r>
      <w:r>
        <w:rPr/>
        <w:t>their</w:t>
      </w:r>
      <w:r>
        <w:rPr>
          <w:spacing w:val="43"/>
        </w:rPr>
        <w:t> </w:t>
      </w:r>
      <w:r>
        <w:rPr/>
        <w:t>respective</w:t>
      </w:r>
      <w:r>
        <w:rPr>
          <w:spacing w:val="44"/>
        </w:rPr>
        <w:t> </w:t>
      </w:r>
      <w:r>
        <w:rPr/>
        <w:t>areas.</w:t>
      </w:r>
      <w:r>
        <w:rPr>
          <w:spacing w:val="43"/>
        </w:rPr>
        <w:t>  </w:t>
      </w:r>
      <w:r>
        <w:rPr/>
        <w:t>Each</w:t>
      </w:r>
      <w:r>
        <w:rPr>
          <w:spacing w:val="41"/>
        </w:rPr>
        <w:t> </w:t>
      </w:r>
      <w:r>
        <w:rPr/>
        <w:t>program</w:t>
      </w:r>
      <w:r>
        <w:rPr>
          <w:spacing w:val="45"/>
        </w:rPr>
        <w:t> </w:t>
      </w:r>
      <w:r>
        <w:rPr/>
        <w:t>area</w:t>
      </w:r>
      <w:r>
        <w:rPr>
          <w:spacing w:val="44"/>
        </w:rPr>
        <w:t> </w:t>
      </w:r>
      <w:r>
        <w:rPr>
          <w:spacing w:val="-5"/>
        </w:rPr>
        <w:t>is</w:t>
      </w:r>
    </w:p>
    <w:p>
      <w:pPr>
        <w:spacing w:after="0"/>
        <w:jc w:val="both"/>
        <w:sectPr>
          <w:pgSz w:w="12240" w:h="15840"/>
          <w:pgMar w:header="0" w:footer="1063" w:top="920" w:bottom="1260" w:left="600" w:right="600"/>
        </w:sectPr>
      </w:pPr>
    </w:p>
    <w:p>
      <w:pPr>
        <w:pStyle w:val="BodyText"/>
        <w:spacing w:before="35"/>
        <w:ind w:left="120"/>
      </w:pPr>
      <w:r>
        <w:rPr/>
        <w:t>responsible</w:t>
      </w:r>
      <w:r>
        <w:rPr>
          <w:spacing w:val="35"/>
        </w:rPr>
        <w:t> </w:t>
      </w:r>
      <w:r>
        <w:rPr/>
        <w:t>for</w:t>
      </w:r>
      <w:r>
        <w:rPr>
          <w:spacing w:val="35"/>
        </w:rPr>
        <w:t> </w:t>
      </w:r>
      <w:r>
        <w:rPr/>
        <w:t>performing</w:t>
      </w:r>
      <w:r>
        <w:rPr>
          <w:spacing w:val="36"/>
        </w:rPr>
        <w:t> </w:t>
      </w:r>
      <w:r>
        <w:rPr/>
        <w:t>a</w:t>
      </w:r>
      <w:r>
        <w:rPr>
          <w:spacing w:val="37"/>
        </w:rPr>
        <w:t> </w:t>
      </w:r>
      <w:r>
        <w:rPr/>
        <w:t>self-assessment</w:t>
      </w:r>
      <w:r>
        <w:rPr>
          <w:spacing w:val="38"/>
        </w:rPr>
        <w:t> </w:t>
      </w:r>
      <w:r>
        <w:rPr/>
        <w:t>to</w:t>
      </w:r>
      <w:r>
        <w:rPr>
          <w:spacing w:val="35"/>
        </w:rPr>
        <w:t> </w:t>
      </w:r>
      <w:r>
        <w:rPr/>
        <w:t>determine</w:t>
      </w:r>
      <w:r>
        <w:rPr>
          <w:spacing w:val="35"/>
        </w:rPr>
        <w:t> </w:t>
      </w:r>
      <w:r>
        <w:rPr/>
        <w:t>which</w:t>
      </w:r>
      <w:r>
        <w:rPr>
          <w:spacing w:val="35"/>
        </w:rPr>
        <w:t> </w:t>
      </w:r>
      <w:r>
        <w:rPr/>
        <w:t>personnel</w:t>
      </w:r>
      <w:r>
        <w:rPr>
          <w:spacing w:val="34"/>
        </w:rPr>
        <w:t> </w:t>
      </w:r>
      <w:r>
        <w:rPr/>
        <w:t>interact</w:t>
      </w:r>
      <w:r>
        <w:rPr>
          <w:spacing w:val="35"/>
        </w:rPr>
        <w:t> </w:t>
      </w:r>
      <w:r>
        <w:rPr/>
        <w:t>with</w:t>
      </w:r>
      <w:r>
        <w:rPr>
          <w:spacing w:val="35"/>
        </w:rPr>
        <w:t> </w:t>
      </w:r>
      <w:r>
        <w:rPr/>
        <w:t>members</w:t>
      </w:r>
      <w:r>
        <w:rPr>
          <w:spacing w:val="36"/>
        </w:rPr>
        <w:t> </w:t>
      </w:r>
      <w:r>
        <w:rPr/>
        <w:t>of</w:t>
      </w:r>
      <w:r>
        <w:rPr>
          <w:spacing w:val="35"/>
        </w:rPr>
        <w:t> </w:t>
      </w:r>
      <w:r>
        <w:rPr/>
        <w:t>the </w:t>
      </w:r>
      <w:r>
        <w:rPr>
          <w:spacing w:val="-2"/>
        </w:rPr>
        <w:t>public.</w:t>
      </w:r>
    </w:p>
    <w:p>
      <w:pPr>
        <w:pStyle w:val="BodyText"/>
        <w:spacing w:before="12"/>
        <w:rPr>
          <w:sz w:val="23"/>
        </w:rPr>
      </w:pPr>
    </w:p>
    <w:p>
      <w:pPr>
        <w:pStyle w:val="Heading9"/>
      </w:pPr>
      <w:r>
        <w:rPr>
          <w:u w:val="single"/>
        </w:rPr>
        <w:t>Liaison</w:t>
      </w:r>
      <w:r>
        <w:rPr>
          <w:spacing w:val="-2"/>
          <w:u w:val="single"/>
        </w:rPr>
        <w:t> </w:t>
      </w:r>
      <w:r>
        <w:rPr>
          <w:u w:val="single"/>
        </w:rPr>
        <w:t>Title</w:t>
      </w:r>
      <w:r>
        <w:rPr>
          <w:spacing w:val="-1"/>
          <w:u w:val="single"/>
        </w:rPr>
        <w:t> </w:t>
      </w:r>
      <w:r>
        <w:rPr>
          <w:u w:val="single"/>
        </w:rPr>
        <w:t>VI</w:t>
      </w:r>
      <w:r>
        <w:rPr>
          <w:spacing w:val="-1"/>
          <w:u w:val="single"/>
        </w:rPr>
        <w:t> </w:t>
      </w:r>
      <w:r>
        <w:rPr>
          <w:spacing w:val="-2"/>
          <w:u w:val="single"/>
        </w:rPr>
        <w:t>Responsibilities</w:t>
      </w:r>
    </w:p>
    <w:p>
      <w:pPr>
        <w:pStyle w:val="BodyText"/>
        <w:spacing w:before="9"/>
        <w:rPr>
          <w:b/>
          <w:sz w:val="19"/>
        </w:rPr>
      </w:pPr>
    </w:p>
    <w:p>
      <w:pPr>
        <w:spacing w:before="52"/>
        <w:ind w:left="120" w:right="0" w:firstLine="0"/>
        <w:jc w:val="left"/>
        <w:rPr>
          <w:b/>
          <w:sz w:val="24"/>
        </w:rPr>
      </w:pPr>
      <w:r>
        <w:rPr>
          <w:b/>
          <w:sz w:val="24"/>
        </w:rPr>
        <w:t>Bureau</w:t>
      </w:r>
      <w:r>
        <w:rPr>
          <w:b/>
          <w:spacing w:val="-1"/>
          <w:sz w:val="24"/>
        </w:rPr>
        <w:t> </w:t>
      </w:r>
      <w:r>
        <w:rPr>
          <w:b/>
          <w:sz w:val="24"/>
        </w:rPr>
        <w:t>of</w:t>
      </w:r>
      <w:r>
        <w:rPr>
          <w:b/>
          <w:spacing w:val="-1"/>
          <w:sz w:val="24"/>
        </w:rPr>
        <w:t> </w:t>
      </w:r>
      <w:r>
        <w:rPr>
          <w:b/>
          <w:spacing w:val="-2"/>
          <w:sz w:val="24"/>
        </w:rPr>
        <w:t>Planning</w:t>
      </w:r>
    </w:p>
    <w:p>
      <w:pPr>
        <w:pStyle w:val="BodyText"/>
        <w:spacing w:before="11"/>
        <w:rPr>
          <w:b/>
          <w:sz w:val="23"/>
        </w:rPr>
      </w:pPr>
    </w:p>
    <w:p>
      <w:pPr>
        <w:pStyle w:val="BodyText"/>
        <w:ind w:left="120" w:right="113"/>
        <w:jc w:val="both"/>
      </w:pPr>
      <w:r>
        <w:rPr/>
        <w:t>Planning develops MaineDOT’s Annual Work Plan, the Statewide Transportation Improvement Program (STIP) and the Public Involvement Plan to meet present and future transportation needs for safe, adequate, and efficient transportation and include all stakeholders and users in that process.</w:t>
      </w:r>
      <w:r>
        <w:rPr>
          <w:spacing w:val="40"/>
        </w:rPr>
        <w:t> </w:t>
      </w:r>
      <w:r>
        <w:rPr/>
        <w:t>The Regional Planning Commissions (RPCs) and the Metropolitan Planning Organizations (MPOs) provide information in developing these planning documents.</w:t>
      </w:r>
    </w:p>
    <w:p>
      <w:pPr>
        <w:pStyle w:val="BodyText"/>
        <w:spacing w:before="2"/>
      </w:pPr>
    </w:p>
    <w:p>
      <w:pPr>
        <w:pStyle w:val="BodyText"/>
        <w:ind w:left="120"/>
      </w:pPr>
      <w:r>
        <w:rPr/>
        <w:t>The</w:t>
      </w:r>
      <w:r>
        <w:rPr>
          <w:spacing w:val="-3"/>
        </w:rPr>
        <w:t> </w:t>
      </w:r>
      <w:r>
        <w:rPr/>
        <w:t>Bureau’s</w:t>
      </w:r>
      <w:r>
        <w:rPr>
          <w:spacing w:val="-4"/>
        </w:rPr>
        <w:t> </w:t>
      </w:r>
      <w:r>
        <w:rPr/>
        <w:t>Title VI</w:t>
      </w:r>
      <w:r>
        <w:rPr>
          <w:spacing w:val="-4"/>
        </w:rPr>
        <w:t> </w:t>
      </w:r>
      <w:r>
        <w:rPr/>
        <w:t>Liaison</w:t>
      </w:r>
      <w:r>
        <w:rPr>
          <w:spacing w:val="-2"/>
        </w:rPr>
        <w:t> will:</w:t>
      </w:r>
    </w:p>
    <w:p>
      <w:pPr>
        <w:pStyle w:val="BodyText"/>
        <w:spacing w:before="11"/>
        <w:rPr>
          <w:sz w:val="23"/>
        </w:rPr>
      </w:pPr>
    </w:p>
    <w:p>
      <w:pPr>
        <w:pStyle w:val="ListParagraph"/>
        <w:numPr>
          <w:ilvl w:val="0"/>
          <w:numId w:val="5"/>
        </w:numPr>
        <w:tabs>
          <w:tab w:pos="840" w:val="left" w:leader="none"/>
        </w:tabs>
        <w:spacing w:line="240" w:lineRule="auto" w:before="0" w:after="0"/>
        <w:ind w:left="840" w:right="114" w:hanging="360"/>
        <w:jc w:val="both"/>
        <w:rPr>
          <w:sz w:val="24"/>
        </w:rPr>
      </w:pPr>
      <w:r>
        <w:rPr>
          <w:sz w:val="24"/>
        </w:rPr>
        <w:t>Serve as a resource person for the Bureau of Planning. Help to develop and document procedures that ensure participation of a cross-section of people representative of the population(s) affected by Department projects, including identifying and proactively reaching out to various and diverse social, economic, and ethnic interest groups, and ensure the groups are represented in the planning process.</w:t>
      </w:r>
    </w:p>
    <w:p>
      <w:pPr>
        <w:pStyle w:val="ListParagraph"/>
        <w:numPr>
          <w:ilvl w:val="0"/>
          <w:numId w:val="5"/>
        </w:numPr>
        <w:tabs>
          <w:tab w:pos="839" w:val="left" w:leader="none"/>
        </w:tabs>
        <w:spacing w:line="305" w:lineRule="exact" w:before="1" w:after="0"/>
        <w:ind w:left="839" w:right="0" w:hanging="359"/>
        <w:jc w:val="both"/>
        <w:rPr>
          <w:sz w:val="24"/>
        </w:rPr>
      </w:pPr>
      <w:r>
        <w:rPr>
          <w:sz w:val="24"/>
        </w:rPr>
        <w:t>Provide</w:t>
      </w:r>
      <w:r>
        <w:rPr>
          <w:spacing w:val="-3"/>
          <w:sz w:val="24"/>
        </w:rPr>
        <w:t> </w:t>
      </w:r>
      <w:r>
        <w:rPr>
          <w:sz w:val="24"/>
        </w:rPr>
        <w:t>information</w:t>
      </w:r>
      <w:r>
        <w:rPr>
          <w:spacing w:val="-1"/>
          <w:sz w:val="24"/>
        </w:rPr>
        <w:t> </w:t>
      </w:r>
      <w:r>
        <w:rPr>
          <w:sz w:val="24"/>
        </w:rPr>
        <w:t>to</w:t>
      </w:r>
      <w:r>
        <w:rPr>
          <w:spacing w:val="-1"/>
          <w:sz w:val="24"/>
        </w:rPr>
        <w:t> </w:t>
      </w:r>
      <w:r>
        <w:rPr>
          <w:sz w:val="24"/>
        </w:rPr>
        <w:t>Planning</w:t>
      </w:r>
      <w:r>
        <w:rPr>
          <w:spacing w:val="-2"/>
          <w:sz w:val="24"/>
        </w:rPr>
        <w:t> </w:t>
      </w:r>
      <w:r>
        <w:rPr>
          <w:sz w:val="24"/>
        </w:rPr>
        <w:t>staff,</w:t>
      </w:r>
      <w:r>
        <w:rPr>
          <w:spacing w:val="-4"/>
          <w:sz w:val="24"/>
        </w:rPr>
        <w:t> </w:t>
      </w:r>
      <w:r>
        <w:rPr>
          <w:sz w:val="24"/>
        </w:rPr>
        <w:t>MPOs,</w:t>
      </w:r>
      <w:r>
        <w:rPr>
          <w:spacing w:val="-1"/>
          <w:sz w:val="24"/>
        </w:rPr>
        <w:t> </w:t>
      </w:r>
      <w:r>
        <w:rPr>
          <w:sz w:val="24"/>
        </w:rPr>
        <w:t>and</w:t>
      </w:r>
      <w:r>
        <w:rPr>
          <w:spacing w:val="-3"/>
          <w:sz w:val="24"/>
        </w:rPr>
        <w:t> </w:t>
      </w:r>
      <w:r>
        <w:rPr>
          <w:sz w:val="24"/>
        </w:rPr>
        <w:t>RPCs</w:t>
      </w:r>
      <w:r>
        <w:rPr>
          <w:spacing w:val="-2"/>
          <w:sz w:val="24"/>
        </w:rPr>
        <w:t> </w:t>
      </w:r>
      <w:r>
        <w:rPr>
          <w:sz w:val="24"/>
        </w:rPr>
        <w:t>regarding</w:t>
      </w:r>
      <w:r>
        <w:rPr>
          <w:spacing w:val="-4"/>
          <w:sz w:val="24"/>
        </w:rPr>
        <w:t> </w:t>
      </w:r>
      <w:r>
        <w:rPr>
          <w:sz w:val="24"/>
        </w:rPr>
        <w:t>Title</w:t>
      </w:r>
      <w:r>
        <w:rPr>
          <w:spacing w:val="-2"/>
          <w:sz w:val="24"/>
        </w:rPr>
        <w:t> </w:t>
      </w:r>
      <w:r>
        <w:rPr>
          <w:spacing w:val="-5"/>
          <w:sz w:val="24"/>
        </w:rPr>
        <w:t>VI.</w:t>
      </w:r>
    </w:p>
    <w:p>
      <w:pPr>
        <w:pStyle w:val="ListParagraph"/>
        <w:numPr>
          <w:ilvl w:val="0"/>
          <w:numId w:val="5"/>
        </w:numPr>
        <w:tabs>
          <w:tab w:pos="840" w:val="left" w:leader="none"/>
        </w:tabs>
        <w:spacing w:line="240" w:lineRule="auto" w:before="0" w:after="0"/>
        <w:ind w:left="840" w:right="116" w:hanging="360"/>
        <w:jc w:val="left"/>
        <w:rPr>
          <w:sz w:val="24"/>
        </w:rPr>
      </w:pPr>
      <w:r>
        <w:rPr>
          <w:sz w:val="24"/>
        </w:rPr>
        <w:t>Provide statistical data on race, color, and national origin of populations in all areas impacted by the</w:t>
      </w:r>
      <w:r>
        <w:rPr>
          <w:spacing w:val="80"/>
          <w:w w:val="150"/>
          <w:sz w:val="24"/>
        </w:rPr>
        <w:t> </w:t>
      </w:r>
      <w:r>
        <w:rPr>
          <w:sz w:val="24"/>
        </w:rPr>
        <w:t>Department’s programs or services, including LEP.</w:t>
      </w:r>
    </w:p>
    <w:p>
      <w:pPr>
        <w:pStyle w:val="ListParagraph"/>
        <w:numPr>
          <w:ilvl w:val="0"/>
          <w:numId w:val="5"/>
        </w:numPr>
        <w:tabs>
          <w:tab w:pos="839" w:val="left" w:leader="none"/>
        </w:tabs>
        <w:spacing w:line="305" w:lineRule="exact" w:before="1" w:after="0"/>
        <w:ind w:left="839" w:right="0" w:hanging="359"/>
        <w:jc w:val="left"/>
        <w:rPr>
          <w:sz w:val="24"/>
        </w:rPr>
      </w:pPr>
      <w:r>
        <w:rPr>
          <w:sz w:val="24"/>
        </w:rPr>
        <w:t>Ensure</w:t>
      </w:r>
      <w:r>
        <w:rPr>
          <w:spacing w:val="-3"/>
          <w:sz w:val="24"/>
        </w:rPr>
        <w:t> </w:t>
      </w:r>
      <w:r>
        <w:rPr>
          <w:sz w:val="24"/>
        </w:rPr>
        <w:t>equal</w:t>
      </w:r>
      <w:r>
        <w:rPr>
          <w:spacing w:val="-3"/>
          <w:sz w:val="24"/>
        </w:rPr>
        <w:t> </w:t>
      </w:r>
      <w:r>
        <w:rPr>
          <w:sz w:val="24"/>
        </w:rPr>
        <w:t>opportunity</w:t>
      </w:r>
      <w:r>
        <w:rPr>
          <w:spacing w:val="-2"/>
          <w:sz w:val="24"/>
        </w:rPr>
        <w:t> </w:t>
      </w:r>
      <w:r>
        <w:rPr>
          <w:sz w:val="24"/>
        </w:rPr>
        <w:t>for</w:t>
      </w:r>
      <w:r>
        <w:rPr>
          <w:spacing w:val="-3"/>
          <w:sz w:val="24"/>
        </w:rPr>
        <w:t> </w:t>
      </w:r>
      <w:r>
        <w:rPr>
          <w:sz w:val="24"/>
        </w:rPr>
        <w:t>participation</w:t>
      </w:r>
      <w:r>
        <w:rPr>
          <w:spacing w:val="-2"/>
          <w:sz w:val="24"/>
        </w:rPr>
        <w:t> </w:t>
      </w:r>
      <w:r>
        <w:rPr>
          <w:sz w:val="24"/>
        </w:rPr>
        <w:t>on</w:t>
      </w:r>
      <w:r>
        <w:rPr>
          <w:spacing w:val="-2"/>
          <w:sz w:val="24"/>
        </w:rPr>
        <w:t> </w:t>
      </w:r>
      <w:r>
        <w:rPr>
          <w:spacing w:val="-4"/>
          <w:sz w:val="24"/>
        </w:rPr>
        <w:t>RPCs.</w:t>
      </w:r>
    </w:p>
    <w:p>
      <w:pPr>
        <w:pStyle w:val="ListParagraph"/>
        <w:numPr>
          <w:ilvl w:val="0"/>
          <w:numId w:val="5"/>
        </w:numPr>
        <w:tabs>
          <w:tab w:pos="839" w:val="left" w:leader="none"/>
        </w:tabs>
        <w:spacing w:line="305" w:lineRule="exact" w:before="0" w:after="0"/>
        <w:ind w:left="839" w:right="0" w:hanging="359"/>
        <w:jc w:val="left"/>
        <w:rPr>
          <w:sz w:val="24"/>
        </w:rPr>
      </w:pPr>
      <w:r>
        <w:rPr>
          <w:sz w:val="24"/>
        </w:rPr>
        <w:t>Ensure</w:t>
      </w:r>
      <w:r>
        <w:rPr>
          <w:spacing w:val="-3"/>
          <w:sz w:val="24"/>
        </w:rPr>
        <w:t> </w:t>
      </w:r>
      <w:r>
        <w:rPr>
          <w:sz w:val="24"/>
        </w:rPr>
        <w:t>Title</w:t>
      </w:r>
      <w:r>
        <w:rPr>
          <w:spacing w:val="-1"/>
          <w:sz w:val="24"/>
        </w:rPr>
        <w:t> </w:t>
      </w:r>
      <w:r>
        <w:rPr>
          <w:sz w:val="24"/>
        </w:rPr>
        <w:t>VI</w:t>
      </w:r>
      <w:r>
        <w:rPr>
          <w:spacing w:val="-4"/>
          <w:sz w:val="24"/>
        </w:rPr>
        <w:t> </w:t>
      </w:r>
      <w:r>
        <w:rPr>
          <w:sz w:val="24"/>
        </w:rPr>
        <w:t>language</w:t>
      </w:r>
      <w:r>
        <w:rPr>
          <w:spacing w:val="-1"/>
          <w:sz w:val="24"/>
        </w:rPr>
        <w:t> </w:t>
      </w:r>
      <w:r>
        <w:rPr>
          <w:sz w:val="24"/>
        </w:rPr>
        <w:t>is</w:t>
      </w:r>
      <w:r>
        <w:rPr>
          <w:spacing w:val="-2"/>
          <w:sz w:val="24"/>
        </w:rPr>
        <w:t> </w:t>
      </w:r>
      <w:r>
        <w:rPr>
          <w:sz w:val="24"/>
        </w:rPr>
        <w:t>included</w:t>
      </w:r>
      <w:r>
        <w:rPr>
          <w:spacing w:val="-3"/>
          <w:sz w:val="24"/>
        </w:rPr>
        <w:t> </w:t>
      </w:r>
      <w:r>
        <w:rPr>
          <w:sz w:val="24"/>
        </w:rPr>
        <w:t>in</w:t>
      </w:r>
      <w:r>
        <w:rPr>
          <w:spacing w:val="-3"/>
          <w:sz w:val="24"/>
        </w:rPr>
        <w:t> </w:t>
      </w:r>
      <w:r>
        <w:rPr>
          <w:sz w:val="24"/>
        </w:rPr>
        <w:t>every</w:t>
      </w:r>
      <w:r>
        <w:rPr>
          <w:spacing w:val="-2"/>
          <w:sz w:val="24"/>
        </w:rPr>
        <w:t> </w:t>
      </w:r>
      <w:r>
        <w:rPr>
          <w:sz w:val="24"/>
        </w:rPr>
        <w:t>Bureau of Planning</w:t>
      </w:r>
      <w:r>
        <w:rPr>
          <w:spacing w:val="-2"/>
          <w:sz w:val="24"/>
        </w:rPr>
        <w:t> </w:t>
      </w:r>
      <w:r>
        <w:rPr>
          <w:sz w:val="24"/>
        </w:rPr>
        <w:t>subrecipient</w:t>
      </w:r>
      <w:r>
        <w:rPr>
          <w:spacing w:val="1"/>
          <w:sz w:val="24"/>
        </w:rPr>
        <w:t> </w:t>
      </w:r>
      <w:r>
        <w:rPr>
          <w:spacing w:val="-2"/>
          <w:sz w:val="24"/>
        </w:rPr>
        <w:t>contract.</w:t>
      </w:r>
    </w:p>
    <w:p>
      <w:pPr>
        <w:pStyle w:val="ListParagraph"/>
        <w:numPr>
          <w:ilvl w:val="0"/>
          <w:numId w:val="5"/>
        </w:numPr>
        <w:tabs>
          <w:tab w:pos="839" w:val="left" w:leader="none"/>
        </w:tabs>
        <w:spacing w:line="305" w:lineRule="exact" w:before="0"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2"/>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Title VI</w:t>
      </w:r>
      <w:r>
        <w:rPr>
          <w:spacing w:val="-5"/>
          <w:sz w:val="24"/>
        </w:rPr>
        <w:t> </w:t>
      </w:r>
      <w:r>
        <w:rPr>
          <w:spacing w:val="-2"/>
          <w:sz w:val="24"/>
        </w:rPr>
        <w:t>Coordinator.</w:t>
      </w:r>
    </w:p>
    <w:p>
      <w:pPr>
        <w:pStyle w:val="ListParagraph"/>
        <w:numPr>
          <w:ilvl w:val="0"/>
          <w:numId w:val="5"/>
        </w:numPr>
        <w:tabs>
          <w:tab w:pos="840" w:val="left" w:leader="none"/>
        </w:tabs>
        <w:spacing w:line="240" w:lineRule="auto" w:before="1" w:after="0"/>
        <w:ind w:left="840"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2" w:lineRule="auto" w:before="0" w:after="0"/>
        <w:ind w:left="840" w:right="305" w:hanging="360"/>
        <w:jc w:val="both"/>
        <w:rPr>
          <w:sz w:val="24"/>
        </w:rPr>
      </w:pPr>
      <w:r>
        <w:rPr>
          <w:sz w:val="24"/>
        </w:rPr>
        <w:t>Provide</w:t>
      </w:r>
      <w:r>
        <w:rPr>
          <w:spacing w:val="-4"/>
          <w:sz w:val="24"/>
        </w:rPr>
        <w:t> </w:t>
      </w: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Office</w:t>
      </w:r>
      <w:r>
        <w:rPr>
          <w:spacing w:val="-4"/>
          <w:sz w:val="24"/>
        </w:rPr>
        <w:t> </w:t>
      </w:r>
      <w:r>
        <w:rPr>
          <w:sz w:val="24"/>
        </w:rPr>
        <w:t>with</w:t>
      </w:r>
      <w:r>
        <w:rPr>
          <w:spacing w:val="-1"/>
          <w:sz w:val="24"/>
        </w:rPr>
        <w:t> </w:t>
      </w:r>
      <w:r>
        <w:rPr>
          <w:sz w:val="24"/>
        </w:rPr>
        <w:t>an</w:t>
      </w:r>
      <w:r>
        <w:rPr>
          <w:spacing w:val="-1"/>
          <w:sz w:val="24"/>
        </w:rPr>
        <w:t> </w:t>
      </w:r>
      <w:r>
        <w:rPr>
          <w:sz w:val="24"/>
        </w:rPr>
        <w:t>annual</w:t>
      </w:r>
      <w:r>
        <w:rPr>
          <w:spacing w:val="-2"/>
          <w:sz w:val="24"/>
        </w:rPr>
        <w:t> </w:t>
      </w:r>
      <w:r>
        <w:rPr>
          <w:sz w:val="24"/>
        </w:rPr>
        <w:t>report</w:t>
      </w:r>
      <w:r>
        <w:rPr>
          <w:spacing w:val="-1"/>
          <w:sz w:val="24"/>
        </w:rPr>
        <w:t> </w:t>
      </w:r>
      <w:r>
        <w:rPr>
          <w:sz w:val="24"/>
        </w:rPr>
        <w:t>of</w:t>
      </w:r>
      <w:r>
        <w:rPr>
          <w:spacing w:val="-1"/>
          <w:sz w:val="24"/>
        </w:rPr>
        <w:t> </w:t>
      </w:r>
      <w:r>
        <w:rPr>
          <w:sz w:val="24"/>
        </w:rPr>
        <w:t>Title</w:t>
      </w:r>
      <w:r>
        <w:rPr>
          <w:spacing w:val="-4"/>
          <w:sz w:val="24"/>
        </w:rPr>
        <w:t> </w:t>
      </w:r>
      <w:r>
        <w:rPr>
          <w:sz w:val="24"/>
        </w:rPr>
        <w:t>VI</w:t>
      </w:r>
      <w:r>
        <w:rPr>
          <w:spacing w:val="-3"/>
          <w:sz w:val="24"/>
        </w:rPr>
        <w:t> </w:t>
      </w:r>
      <w:r>
        <w:rPr>
          <w:sz w:val="24"/>
        </w:rPr>
        <w:t>accomplishments</w:t>
      </w:r>
      <w:r>
        <w:rPr>
          <w:spacing w:val="-5"/>
          <w:sz w:val="24"/>
        </w:rPr>
        <w:t> </w:t>
      </w:r>
      <w:r>
        <w:rPr>
          <w:sz w:val="24"/>
        </w:rPr>
        <w:t>and/or</w:t>
      </w:r>
      <w:r>
        <w:rPr>
          <w:spacing w:val="-5"/>
          <w:sz w:val="24"/>
        </w:rPr>
        <w:t> </w:t>
      </w:r>
      <w:r>
        <w:rPr>
          <w:sz w:val="24"/>
        </w:rPr>
        <w:t>any</w:t>
      </w:r>
      <w:r>
        <w:rPr>
          <w:spacing w:val="-3"/>
          <w:sz w:val="24"/>
        </w:rPr>
        <w:t> </w:t>
      </w:r>
      <w:r>
        <w:rPr>
          <w:sz w:val="24"/>
        </w:rPr>
        <w:t>issues</w:t>
      </w:r>
      <w:r>
        <w:rPr>
          <w:spacing w:val="-5"/>
          <w:sz w:val="24"/>
        </w:rPr>
        <w:t> </w:t>
      </w:r>
      <w:r>
        <w:rPr>
          <w:sz w:val="24"/>
        </w:rPr>
        <w:t>for this year and any changes for the next year. Report is due by September 15</w:t>
      </w:r>
      <w:r>
        <w:rPr>
          <w:sz w:val="24"/>
          <w:vertAlign w:val="superscript"/>
        </w:rPr>
        <w:t>th</w:t>
      </w:r>
      <w:r>
        <w:rPr>
          <w:sz w:val="24"/>
          <w:vertAlign w:val="baseline"/>
        </w:rPr>
        <w:t> of each year.</w:t>
      </w:r>
    </w:p>
    <w:p>
      <w:pPr>
        <w:pStyle w:val="BodyText"/>
        <w:spacing w:before="7"/>
        <w:rPr>
          <w:sz w:val="23"/>
        </w:rPr>
      </w:pPr>
    </w:p>
    <w:p>
      <w:pPr>
        <w:pStyle w:val="Heading9"/>
      </w:pPr>
      <w:r>
        <w:rPr/>
        <w:t>Bureau</w:t>
      </w:r>
      <w:r>
        <w:rPr>
          <w:spacing w:val="-1"/>
        </w:rPr>
        <w:t> </w:t>
      </w:r>
      <w:r>
        <w:rPr/>
        <w:t>of</w:t>
      </w:r>
      <w:r>
        <w:rPr>
          <w:spacing w:val="-2"/>
        </w:rPr>
        <w:t> </w:t>
      </w:r>
      <w:r>
        <w:rPr/>
        <w:t>Project </w:t>
      </w:r>
      <w:r>
        <w:rPr>
          <w:spacing w:val="-2"/>
        </w:rPr>
        <w:t>Development</w:t>
      </w:r>
    </w:p>
    <w:p>
      <w:pPr>
        <w:pStyle w:val="BodyText"/>
        <w:rPr>
          <w:b/>
        </w:rPr>
      </w:pPr>
    </w:p>
    <w:p>
      <w:pPr>
        <w:pStyle w:val="BodyText"/>
        <w:ind w:left="120" w:right="112"/>
        <w:jc w:val="both"/>
      </w:pPr>
      <w:r>
        <w:rPr/>
        <w:t>Project</w:t>
      </w:r>
      <w:r>
        <w:rPr>
          <w:spacing w:val="-11"/>
        </w:rPr>
        <w:t> </w:t>
      </w:r>
      <w:r>
        <w:rPr/>
        <w:t>Development</w:t>
      </w:r>
      <w:r>
        <w:rPr>
          <w:spacing w:val="-9"/>
        </w:rPr>
        <w:t> </w:t>
      </w:r>
      <w:r>
        <w:rPr/>
        <w:t>oversees</w:t>
      </w:r>
      <w:r>
        <w:rPr>
          <w:spacing w:val="-10"/>
        </w:rPr>
        <w:t> </w:t>
      </w:r>
      <w:r>
        <w:rPr/>
        <w:t>complete</w:t>
      </w:r>
      <w:r>
        <w:rPr>
          <w:spacing w:val="-9"/>
        </w:rPr>
        <w:t> </w:t>
      </w:r>
      <w:r>
        <w:rPr/>
        <w:t>multiple</w:t>
      </w:r>
      <w:r>
        <w:rPr>
          <w:spacing w:val="-9"/>
        </w:rPr>
        <w:t> </w:t>
      </w:r>
      <w:r>
        <w:rPr/>
        <w:t>phases</w:t>
      </w:r>
      <w:r>
        <w:rPr>
          <w:spacing w:val="-10"/>
        </w:rPr>
        <w:t> </w:t>
      </w:r>
      <w:r>
        <w:rPr/>
        <w:t>of</w:t>
      </w:r>
      <w:r>
        <w:rPr>
          <w:spacing w:val="-6"/>
        </w:rPr>
        <w:t> </w:t>
      </w:r>
      <w:r>
        <w:rPr/>
        <w:t>construction</w:t>
      </w:r>
      <w:r>
        <w:rPr>
          <w:spacing w:val="-9"/>
        </w:rPr>
        <w:t> </w:t>
      </w:r>
      <w:r>
        <w:rPr/>
        <w:t>projects</w:t>
      </w:r>
      <w:r>
        <w:rPr>
          <w:spacing w:val="-10"/>
        </w:rPr>
        <w:t> </w:t>
      </w:r>
      <w:r>
        <w:rPr/>
        <w:t>including:</w:t>
      </w:r>
      <w:r>
        <w:rPr>
          <w:spacing w:val="39"/>
        </w:rPr>
        <w:t> </w:t>
      </w:r>
      <w:r>
        <w:rPr/>
        <w:t>advertising</w:t>
      </w:r>
      <w:r>
        <w:rPr>
          <w:spacing w:val="-10"/>
        </w:rPr>
        <w:t> </w:t>
      </w:r>
      <w:r>
        <w:rPr/>
        <w:t>for</w:t>
      </w:r>
      <w:r>
        <w:rPr>
          <w:spacing w:val="-9"/>
        </w:rPr>
        <w:t> </w:t>
      </w:r>
      <w:r>
        <w:rPr/>
        <w:t>and awarding bids (Contracts), conducting</w:t>
      </w:r>
      <w:r>
        <w:rPr>
          <w:spacing w:val="-2"/>
        </w:rPr>
        <w:t> </w:t>
      </w:r>
      <w:r>
        <w:rPr/>
        <w:t>public hearings with the</w:t>
      </w:r>
      <w:r>
        <w:rPr>
          <w:spacing w:val="-1"/>
        </w:rPr>
        <w:t> </w:t>
      </w:r>
      <w:r>
        <w:rPr/>
        <w:t>Bureau of</w:t>
      </w:r>
      <w:r>
        <w:rPr>
          <w:spacing w:val="-3"/>
        </w:rPr>
        <w:t> </w:t>
      </w:r>
      <w:r>
        <w:rPr/>
        <w:t>Planning, acquisition of real property interests to accommodate highway, bridge and multi-modal facilities, relocating persons and businesses pursuant to the Uniform Relocation and Assistance Act of 1970, and supervising construction of Department projects to completion.</w:t>
      </w:r>
    </w:p>
    <w:p>
      <w:pPr>
        <w:pStyle w:val="BodyText"/>
        <w:spacing w:before="11"/>
        <w:rPr>
          <w:sz w:val="23"/>
        </w:rPr>
      </w:pPr>
    </w:p>
    <w:p>
      <w:pPr>
        <w:pStyle w:val="BodyText"/>
        <w:ind w:left="120"/>
        <w:jc w:val="both"/>
      </w:pPr>
      <w:r>
        <w:rPr/>
        <w:t>The</w:t>
      </w:r>
      <w:r>
        <w:rPr>
          <w:spacing w:val="-3"/>
        </w:rPr>
        <w:t> </w:t>
      </w:r>
      <w:r>
        <w:rPr/>
        <w:t>Bureau’s</w:t>
      </w:r>
      <w:r>
        <w:rPr>
          <w:spacing w:val="-4"/>
        </w:rPr>
        <w:t> </w:t>
      </w:r>
      <w:r>
        <w:rPr/>
        <w:t>Title VI</w:t>
      </w:r>
      <w:r>
        <w:rPr>
          <w:spacing w:val="-4"/>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240" w:lineRule="auto" w:before="0" w:after="0"/>
        <w:ind w:left="839" w:right="0" w:hanging="359"/>
        <w:jc w:val="left"/>
        <w:rPr>
          <w:sz w:val="24"/>
        </w:rPr>
      </w:pPr>
      <w:r>
        <w:rPr>
          <w:sz w:val="24"/>
        </w:rPr>
        <w:t>Monitor</w:t>
      </w:r>
      <w:r>
        <w:rPr>
          <w:spacing w:val="-4"/>
          <w:sz w:val="24"/>
        </w:rPr>
        <w:t> </w:t>
      </w:r>
      <w:r>
        <w:rPr>
          <w:sz w:val="24"/>
        </w:rPr>
        <w:t>all</w:t>
      </w:r>
      <w:r>
        <w:rPr>
          <w:spacing w:val="-1"/>
          <w:sz w:val="24"/>
        </w:rPr>
        <w:t> </w:t>
      </w:r>
      <w:r>
        <w:rPr>
          <w:sz w:val="24"/>
        </w:rPr>
        <w:t>Project</w:t>
      </w:r>
      <w:r>
        <w:rPr>
          <w:spacing w:val="-2"/>
          <w:sz w:val="24"/>
        </w:rPr>
        <w:t> </w:t>
      </w:r>
      <w:r>
        <w:rPr>
          <w:sz w:val="24"/>
        </w:rPr>
        <w:t>Development</w:t>
      </w:r>
      <w:r>
        <w:rPr>
          <w:spacing w:val="-3"/>
          <w:sz w:val="24"/>
        </w:rPr>
        <w:t> </w:t>
      </w:r>
      <w:r>
        <w:rPr>
          <w:sz w:val="24"/>
        </w:rPr>
        <w:t>activities</w:t>
      </w:r>
      <w:r>
        <w:rPr>
          <w:spacing w:val="-3"/>
          <w:sz w:val="24"/>
        </w:rPr>
        <w:t> </w:t>
      </w:r>
      <w:r>
        <w:rPr>
          <w:sz w:val="24"/>
        </w:rPr>
        <w:t>to</w:t>
      </w:r>
      <w:r>
        <w:rPr>
          <w:spacing w:val="-3"/>
          <w:sz w:val="24"/>
        </w:rPr>
        <w:t> </w:t>
      </w:r>
      <w:r>
        <w:rPr>
          <w:sz w:val="24"/>
        </w:rPr>
        <w:t>ensure</w:t>
      </w:r>
      <w:r>
        <w:rPr>
          <w:spacing w:val="-3"/>
          <w:sz w:val="24"/>
        </w:rPr>
        <w:t> </w:t>
      </w:r>
      <w:r>
        <w:rPr>
          <w:sz w:val="24"/>
        </w:rPr>
        <w:t>nondiscrimination</w:t>
      </w:r>
      <w:r>
        <w:rPr>
          <w:spacing w:val="-2"/>
          <w:sz w:val="24"/>
        </w:rPr>
        <w:t> </w:t>
      </w:r>
      <w:r>
        <w:rPr>
          <w:sz w:val="24"/>
        </w:rPr>
        <w:t>within</w:t>
      </w:r>
      <w:r>
        <w:rPr>
          <w:spacing w:val="-3"/>
          <w:sz w:val="24"/>
        </w:rPr>
        <w:t> </w:t>
      </w:r>
      <w:r>
        <w:rPr>
          <w:sz w:val="24"/>
        </w:rPr>
        <w:t>program </w:t>
      </w:r>
      <w:r>
        <w:rPr>
          <w:spacing w:val="-2"/>
          <w:sz w:val="24"/>
        </w:rPr>
        <w:t>areas.</w:t>
      </w:r>
    </w:p>
    <w:p>
      <w:pPr>
        <w:pStyle w:val="ListParagraph"/>
        <w:numPr>
          <w:ilvl w:val="0"/>
          <w:numId w:val="5"/>
        </w:numPr>
        <w:tabs>
          <w:tab w:pos="839" w:val="left" w:leader="none"/>
        </w:tabs>
        <w:spacing w:line="305" w:lineRule="exact" w:before="2" w:after="0"/>
        <w:ind w:left="839" w:right="0" w:hanging="359"/>
        <w:jc w:val="left"/>
        <w:rPr>
          <w:sz w:val="24"/>
        </w:rPr>
      </w:pPr>
      <w:r>
        <w:rPr>
          <w:sz w:val="24"/>
        </w:rPr>
        <w:t>Perform</w:t>
      </w:r>
      <w:r>
        <w:rPr>
          <w:spacing w:val="-3"/>
          <w:sz w:val="24"/>
        </w:rPr>
        <w:t> </w:t>
      </w:r>
      <w:r>
        <w:rPr>
          <w:sz w:val="24"/>
        </w:rPr>
        <w:t>reviews</w:t>
      </w:r>
      <w:r>
        <w:rPr>
          <w:spacing w:val="-3"/>
          <w:sz w:val="24"/>
        </w:rPr>
        <w:t> </w:t>
      </w:r>
      <w:r>
        <w:rPr>
          <w:sz w:val="24"/>
        </w:rPr>
        <w:t>of</w:t>
      </w:r>
      <w:r>
        <w:rPr>
          <w:spacing w:val="-2"/>
          <w:sz w:val="24"/>
        </w:rPr>
        <w:t> </w:t>
      </w:r>
      <w:r>
        <w:rPr>
          <w:sz w:val="24"/>
        </w:rPr>
        <w:t>Title</w:t>
      </w:r>
      <w:r>
        <w:rPr>
          <w:spacing w:val="-3"/>
          <w:sz w:val="24"/>
        </w:rPr>
        <w:t> </w:t>
      </w:r>
      <w:r>
        <w:rPr>
          <w:sz w:val="24"/>
        </w:rPr>
        <w:t>VI</w:t>
      </w:r>
      <w:r>
        <w:rPr>
          <w:spacing w:val="-1"/>
          <w:sz w:val="24"/>
        </w:rPr>
        <w:t> </w:t>
      </w:r>
      <w:r>
        <w:rPr>
          <w:sz w:val="24"/>
        </w:rPr>
        <w:t>subrecipients</w:t>
      </w:r>
      <w:r>
        <w:rPr>
          <w:spacing w:val="-3"/>
          <w:sz w:val="24"/>
        </w:rPr>
        <w:t> </w:t>
      </w:r>
      <w:r>
        <w:rPr>
          <w:sz w:val="24"/>
        </w:rPr>
        <w:t>to</w:t>
      </w:r>
      <w:r>
        <w:rPr>
          <w:spacing w:val="-3"/>
          <w:sz w:val="24"/>
        </w:rPr>
        <w:t> </w:t>
      </w:r>
      <w:r>
        <w:rPr>
          <w:sz w:val="24"/>
        </w:rPr>
        <w:t>ensure Title VI</w:t>
      </w:r>
      <w:r>
        <w:rPr>
          <w:spacing w:val="-3"/>
          <w:sz w:val="24"/>
        </w:rPr>
        <w:t> </w:t>
      </w:r>
      <w:r>
        <w:rPr>
          <w:spacing w:val="-2"/>
          <w:sz w:val="24"/>
        </w:rPr>
        <w:t>adherence.</w:t>
      </w:r>
    </w:p>
    <w:p>
      <w:pPr>
        <w:pStyle w:val="ListParagraph"/>
        <w:numPr>
          <w:ilvl w:val="0"/>
          <w:numId w:val="5"/>
        </w:numPr>
        <w:tabs>
          <w:tab w:pos="840" w:val="left" w:leader="none"/>
        </w:tabs>
        <w:spacing w:line="242" w:lineRule="auto" w:before="0" w:after="0"/>
        <w:ind w:left="840" w:right="116" w:hanging="360"/>
        <w:jc w:val="left"/>
        <w:rPr>
          <w:sz w:val="24"/>
        </w:rPr>
      </w:pPr>
      <w:r>
        <w:rPr>
          <w:sz w:val="24"/>
        </w:rPr>
        <w:t>Ensure</w:t>
      </w:r>
      <w:r>
        <w:rPr>
          <w:spacing w:val="-1"/>
          <w:sz w:val="24"/>
        </w:rPr>
        <w:t> </w:t>
      </w:r>
      <w:r>
        <w:rPr>
          <w:sz w:val="24"/>
        </w:rPr>
        <w:t>Title VI</w:t>
      </w:r>
      <w:r>
        <w:rPr>
          <w:spacing w:val="-1"/>
          <w:sz w:val="24"/>
        </w:rPr>
        <w:t> </w:t>
      </w:r>
      <w:r>
        <w:rPr>
          <w:sz w:val="24"/>
        </w:rPr>
        <w:t>language</w:t>
      </w:r>
      <w:r>
        <w:rPr>
          <w:spacing w:val="-1"/>
          <w:sz w:val="24"/>
        </w:rPr>
        <w:t> </w:t>
      </w:r>
      <w:r>
        <w:rPr>
          <w:sz w:val="24"/>
        </w:rPr>
        <w:t>is included in</w:t>
      </w:r>
      <w:r>
        <w:rPr>
          <w:spacing w:val="-1"/>
          <w:sz w:val="24"/>
        </w:rPr>
        <w:t> </w:t>
      </w:r>
      <w:r>
        <w:rPr>
          <w:sz w:val="24"/>
        </w:rPr>
        <w:t>every</w:t>
      </w:r>
      <w:r>
        <w:rPr>
          <w:spacing w:val="-1"/>
          <w:sz w:val="24"/>
        </w:rPr>
        <w:t> </w:t>
      </w:r>
      <w:r>
        <w:rPr>
          <w:sz w:val="24"/>
        </w:rPr>
        <w:t>Bureau of</w:t>
      </w:r>
      <w:r>
        <w:rPr>
          <w:spacing w:val="-1"/>
          <w:sz w:val="24"/>
        </w:rPr>
        <w:t> </w:t>
      </w:r>
      <w:r>
        <w:rPr>
          <w:sz w:val="24"/>
        </w:rPr>
        <w:t>Project Development</w:t>
      </w:r>
      <w:r>
        <w:rPr>
          <w:spacing w:val="-1"/>
          <w:sz w:val="24"/>
        </w:rPr>
        <w:t> </w:t>
      </w:r>
      <w:r>
        <w:rPr>
          <w:sz w:val="24"/>
        </w:rPr>
        <w:t>program area subrecipient contract and subcontract.</w:t>
      </w:r>
    </w:p>
    <w:p>
      <w:pPr>
        <w:spacing w:after="0" w:line="242" w:lineRule="auto"/>
        <w:jc w:val="left"/>
        <w:rPr>
          <w:sz w:val="24"/>
        </w:rPr>
        <w:sectPr>
          <w:pgSz w:w="12240" w:h="15840"/>
          <w:pgMar w:header="0" w:footer="1063" w:top="960" w:bottom="1260" w:left="600" w:right="600"/>
        </w:sectPr>
      </w:pPr>
    </w:p>
    <w:p>
      <w:pPr>
        <w:pStyle w:val="ListParagraph"/>
        <w:numPr>
          <w:ilvl w:val="0"/>
          <w:numId w:val="5"/>
        </w:numPr>
        <w:tabs>
          <w:tab w:pos="840" w:val="left" w:leader="none"/>
        </w:tabs>
        <w:spacing w:line="240" w:lineRule="auto" w:before="74" w:after="0"/>
        <w:ind w:left="840" w:right="402" w:hanging="360"/>
        <w:jc w:val="left"/>
        <w:rPr>
          <w:sz w:val="24"/>
        </w:rPr>
      </w:pPr>
      <w:r>
        <w:rPr>
          <w:sz w:val="24"/>
        </w:rPr>
        <w:t>Serve as a resource person for the Bureau of Project Development.</w:t>
      </w:r>
      <w:r>
        <w:rPr>
          <w:spacing w:val="40"/>
          <w:sz w:val="24"/>
        </w:rPr>
        <w:t> </w:t>
      </w:r>
      <w:r>
        <w:rPr>
          <w:sz w:val="24"/>
        </w:rPr>
        <w:t>Help to develop and document procedures</w:t>
      </w:r>
      <w:r>
        <w:rPr>
          <w:spacing w:val="-5"/>
          <w:sz w:val="24"/>
        </w:rPr>
        <w:t> </w:t>
      </w:r>
      <w:r>
        <w:rPr>
          <w:sz w:val="24"/>
        </w:rPr>
        <w:t>that</w:t>
      </w:r>
      <w:r>
        <w:rPr>
          <w:spacing w:val="-4"/>
          <w:sz w:val="24"/>
        </w:rPr>
        <w:t> </w:t>
      </w:r>
      <w:r>
        <w:rPr>
          <w:sz w:val="24"/>
        </w:rPr>
        <w:t>ensure</w:t>
      </w:r>
      <w:r>
        <w:rPr>
          <w:spacing w:val="-4"/>
          <w:sz w:val="24"/>
        </w:rPr>
        <w:t> </w:t>
      </w:r>
      <w:r>
        <w:rPr>
          <w:sz w:val="24"/>
        </w:rPr>
        <w:t>participation</w:t>
      </w:r>
      <w:r>
        <w:rPr>
          <w:spacing w:val="-1"/>
          <w:sz w:val="24"/>
        </w:rPr>
        <w:t> </w:t>
      </w:r>
      <w:r>
        <w:rPr>
          <w:sz w:val="24"/>
        </w:rPr>
        <w:t>of</w:t>
      </w:r>
      <w:r>
        <w:rPr>
          <w:spacing w:val="-1"/>
          <w:sz w:val="24"/>
        </w:rPr>
        <w:t> </w:t>
      </w:r>
      <w:r>
        <w:rPr>
          <w:sz w:val="24"/>
        </w:rPr>
        <w:t>a</w:t>
      </w:r>
      <w:r>
        <w:rPr>
          <w:spacing w:val="-5"/>
          <w:sz w:val="24"/>
        </w:rPr>
        <w:t> </w:t>
      </w:r>
      <w:r>
        <w:rPr>
          <w:sz w:val="24"/>
        </w:rPr>
        <w:t>cross-section</w:t>
      </w:r>
      <w:r>
        <w:rPr>
          <w:spacing w:val="-4"/>
          <w:sz w:val="24"/>
        </w:rPr>
        <w:t> </w:t>
      </w:r>
      <w:r>
        <w:rPr>
          <w:sz w:val="24"/>
        </w:rPr>
        <w:t>of</w:t>
      </w:r>
      <w:r>
        <w:rPr>
          <w:spacing w:val="-4"/>
          <w:sz w:val="24"/>
        </w:rPr>
        <w:t> </w:t>
      </w:r>
      <w:r>
        <w:rPr>
          <w:sz w:val="24"/>
        </w:rPr>
        <w:t>people</w:t>
      </w:r>
      <w:r>
        <w:rPr>
          <w:spacing w:val="-4"/>
          <w:sz w:val="24"/>
        </w:rPr>
        <w:t> </w:t>
      </w:r>
      <w:r>
        <w:rPr>
          <w:sz w:val="24"/>
        </w:rPr>
        <w:t>representative</w:t>
      </w:r>
      <w:r>
        <w:rPr>
          <w:spacing w:val="-2"/>
          <w:sz w:val="24"/>
        </w:rPr>
        <w:t> </w:t>
      </w:r>
      <w:r>
        <w:rPr>
          <w:sz w:val="24"/>
        </w:rPr>
        <w:t>of</w:t>
      </w:r>
      <w:r>
        <w:rPr>
          <w:spacing w:val="-4"/>
          <w:sz w:val="24"/>
        </w:rPr>
        <w:t> </w:t>
      </w:r>
      <w:r>
        <w:rPr>
          <w:sz w:val="24"/>
        </w:rPr>
        <w:t>the</w:t>
      </w:r>
      <w:r>
        <w:rPr>
          <w:spacing w:val="-4"/>
          <w:sz w:val="24"/>
        </w:rPr>
        <w:t> </w:t>
      </w:r>
      <w:r>
        <w:rPr>
          <w:sz w:val="24"/>
        </w:rPr>
        <w:t>population(s) affected by Department projects, including identifying and proactively reaching out to various and diverse social, economic, and ethnic interest groups, and ensure the groups are represented in the planning process.</w:t>
      </w:r>
    </w:p>
    <w:p>
      <w:pPr>
        <w:pStyle w:val="ListParagraph"/>
        <w:numPr>
          <w:ilvl w:val="0"/>
          <w:numId w:val="5"/>
        </w:numPr>
        <w:tabs>
          <w:tab w:pos="839" w:val="left" w:leader="none"/>
        </w:tabs>
        <w:spacing w:line="305" w:lineRule="exact" w:before="1" w:after="0"/>
        <w:ind w:left="839" w:right="0" w:hanging="359"/>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305" w:lineRule="exact" w:before="0"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2"/>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Title VI</w:t>
      </w:r>
      <w:r>
        <w:rPr>
          <w:spacing w:val="-5"/>
          <w:sz w:val="24"/>
        </w:rPr>
        <w:t> </w:t>
      </w:r>
      <w:r>
        <w:rPr>
          <w:spacing w:val="-2"/>
          <w:sz w:val="24"/>
        </w:rPr>
        <w:t>Coordinator.</w:t>
      </w:r>
    </w:p>
    <w:p>
      <w:pPr>
        <w:pStyle w:val="ListParagraph"/>
        <w:numPr>
          <w:ilvl w:val="0"/>
          <w:numId w:val="5"/>
        </w:numPr>
        <w:tabs>
          <w:tab w:pos="840" w:val="left" w:leader="none"/>
        </w:tabs>
        <w:spacing w:line="240" w:lineRule="auto" w:before="0" w:after="0"/>
        <w:ind w:left="840"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0" w:lineRule="auto" w:before="1" w:after="0"/>
        <w:ind w:left="840" w:right="115" w:hanging="360"/>
        <w:jc w:val="both"/>
        <w:rPr>
          <w:sz w:val="24"/>
        </w:rPr>
      </w:pPr>
      <w:r>
        <w:rPr>
          <w:sz w:val="24"/>
        </w:rPr>
        <w:t>Provide the Title VI Coordinator with an annual report on Title VI accomplishments and/or issues and methods</w:t>
      </w:r>
      <w:r>
        <w:rPr>
          <w:spacing w:val="-4"/>
          <w:sz w:val="24"/>
        </w:rPr>
        <w:t> </w:t>
      </w:r>
      <w:r>
        <w:rPr>
          <w:sz w:val="24"/>
        </w:rPr>
        <w:t>used</w:t>
      </w:r>
      <w:r>
        <w:rPr>
          <w:spacing w:val="-3"/>
          <w:sz w:val="24"/>
        </w:rPr>
        <w:t> </w:t>
      </w:r>
      <w:r>
        <w:rPr>
          <w:sz w:val="24"/>
        </w:rPr>
        <w:t>for</w:t>
      </w:r>
      <w:r>
        <w:rPr>
          <w:spacing w:val="-4"/>
          <w:sz w:val="24"/>
        </w:rPr>
        <w:t> </w:t>
      </w:r>
      <w:r>
        <w:rPr>
          <w:sz w:val="24"/>
        </w:rPr>
        <w:t>this</w:t>
      </w:r>
      <w:r>
        <w:rPr>
          <w:spacing w:val="-4"/>
          <w:sz w:val="24"/>
        </w:rPr>
        <w:t> </w:t>
      </w:r>
      <w:r>
        <w:rPr>
          <w:sz w:val="24"/>
        </w:rPr>
        <w:t>year</w:t>
      </w:r>
      <w:r>
        <w:rPr>
          <w:spacing w:val="-4"/>
          <w:sz w:val="24"/>
        </w:rPr>
        <w:t> </w:t>
      </w:r>
      <w:r>
        <w:rPr>
          <w:sz w:val="24"/>
        </w:rPr>
        <w:t>and</w:t>
      </w:r>
      <w:r>
        <w:rPr>
          <w:spacing w:val="-3"/>
          <w:sz w:val="24"/>
        </w:rPr>
        <w:t> </w:t>
      </w:r>
      <w:r>
        <w:rPr>
          <w:sz w:val="24"/>
        </w:rPr>
        <w:t>any</w:t>
      </w:r>
      <w:r>
        <w:rPr>
          <w:spacing w:val="-5"/>
          <w:sz w:val="24"/>
        </w:rPr>
        <w:t> </w:t>
      </w:r>
      <w:r>
        <w:rPr>
          <w:sz w:val="24"/>
        </w:rPr>
        <w:t>changes</w:t>
      </w:r>
      <w:r>
        <w:rPr>
          <w:spacing w:val="-6"/>
          <w:sz w:val="24"/>
        </w:rPr>
        <w:t> </w:t>
      </w:r>
      <w:r>
        <w:rPr>
          <w:sz w:val="24"/>
        </w:rPr>
        <w:t>for</w:t>
      </w:r>
      <w:r>
        <w:rPr>
          <w:spacing w:val="-5"/>
          <w:sz w:val="24"/>
        </w:rPr>
        <w:t> </w:t>
      </w:r>
      <w:r>
        <w:rPr>
          <w:sz w:val="24"/>
        </w:rPr>
        <w:t>the</w:t>
      </w:r>
      <w:r>
        <w:rPr>
          <w:spacing w:val="-3"/>
          <w:sz w:val="24"/>
        </w:rPr>
        <w:t> </w:t>
      </w:r>
      <w:r>
        <w:rPr>
          <w:sz w:val="24"/>
        </w:rPr>
        <w:t>next</w:t>
      </w:r>
      <w:r>
        <w:rPr>
          <w:spacing w:val="-3"/>
          <w:sz w:val="24"/>
        </w:rPr>
        <w:t> </w:t>
      </w:r>
      <w:r>
        <w:rPr>
          <w:sz w:val="24"/>
        </w:rPr>
        <w:t>year.</w:t>
      </w:r>
      <w:r>
        <w:rPr>
          <w:spacing w:val="40"/>
          <w:sz w:val="24"/>
        </w:rPr>
        <w:t> </w:t>
      </w:r>
      <w:r>
        <w:rPr>
          <w:sz w:val="24"/>
        </w:rPr>
        <w:t>Report</w:t>
      </w:r>
      <w:r>
        <w:rPr>
          <w:spacing w:val="-3"/>
          <w:sz w:val="24"/>
        </w:rPr>
        <w:t> </w:t>
      </w:r>
      <w:r>
        <w:rPr>
          <w:sz w:val="24"/>
        </w:rPr>
        <w:t>is</w:t>
      </w:r>
      <w:r>
        <w:rPr>
          <w:spacing w:val="-4"/>
          <w:sz w:val="24"/>
        </w:rPr>
        <w:t> </w:t>
      </w:r>
      <w:r>
        <w:rPr>
          <w:sz w:val="24"/>
        </w:rPr>
        <w:t>due</w:t>
      </w:r>
      <w:r>
        <w:rPr>
          <w:spacing w:val="-3"/>
          <w:sz w:val="24"/>
        </w:rPr>
        <w:t> </w:t>
      </w:r>
      <w:r>
        <w:rPr>
          <w:sz w:val="24"/>
        </w:rPr>
        <w:t>to</w:t>
      </w:r>
      <w:r>
        <w:rPr>
          <w:spacing w:val="-5"/>
          <w:sz w:val="24"/>
        </w:rPr>
        <w:t> </w:t>
      </w:r>
      <w:r>
        <w:rPr>
          <w:sz w:val="24"/>
        </w:rPr>
        <w:t>the</w:t>
      </w:r>
      <w:r>
        <w:rPr>
          <w:spacing w:val="-3"/>
          <w:sz w:val="24"/>
        </w:rPr>
        <w:t> </w:t>
      </w:r>
      <w:r>
        <w:rPr>
          <w:sz w:val="24"/>
        </w:rPr>
        <w:t>Civil</w:t>
      </w:r>
      <w:r>
        <w:rPr>
          <w:spacing w:val="-4"/>
          <w:sz w:val="24"/>
        </w:rPr>
        <w:t> </w:t>
      </w:r>
      <w:r>
        <w:rPr>
          <w:sz w:val="24"/>
        </w:rPr>
        <w:t>Rights</w:t>
      </w:r>
      <w:r>
        <w:rPr>
          <w:spacing w:val="-4"/>
          <w:sz w:val="24"/>
        </w:rPr>
        <w:t> </w:t>
      </w:r>
      <w:r>
        <w:rPr>
          <w:sz w:val="24"/>
        </w:rPr>
        <w:t>Office</w:t>
      </w:r>
      <w:r>
        <w:rPr>
          <w:spacing w:val="-3"/>
          <w:sz w:val="24"/>
        </w:rPr>
        <w:t> </w:t>
      </w:r>
      <w:r>
        <w:rPr>
          <w:sz w:val="24"/>
        </w:rPr>
        <w:t>by September 15</w:t>
      </w:r>
      <w:r>
        <w:rPr>
          <w:sz w:val="24"/>
          <w:vertAlign w:val="superscript"/>
        </w:rPr>
        <w:t>th</w:t>
      </w:r>
      <w:r>
        <w:rPr>
          <w:sz w:val="24"/>
          <w:vertAlign w:val="baseline"/>
        </w:rPr>
        <w:t> of each year.</w:t>
      </w:r>
    </w:p>
    <w:p>
      <w:pPr>
        <w:pStyle w:val="BodyText"/>
        <w:spacing w:before="1"/>
      </w:pPr>
    </w:p>
    <w:p>
      <w:pPr>
        <w:pStyle w:val="Heading9"/>
        <w:spacing w:before="1"/>
        <w:ind w:left="119"/>
        <w:jc w:val="both"/>
      </w:pPr>
      <w:r>
        <w:rPr/>
        <w:t>Property</w:t>
      </w:r>
      <w:r>
        <w:rPr>
          <w:spacing w:val="-3"/>
        </w:rPr>
        <w:t> </w:t>
      </w:r>
      <w:r>
        <w:rPr>
          <w:spacing w:val="-2"/>
        </w:rPr>
        <w:t>Office</w:t>
      </w:r>
    </w:p>
    <w:p>
      <w:pPr>
        <w:pStyle w:val="BodyText"/>
        <w:spacing w:before="11"/>
        <w:rPr>
          <w:b/>
          <w:sz w:val="23"/>
        </w:rPr>
      </w:pPr>
    </w:p>
    <w:p>
      <w:pPr>
        <w:pStyle w:val="BodyText"/>
        <w:ind w:left="119" w:right="113"/>
        <w:jc w:val="both"/>
      </w:pPr>
      <w:r>
        <w:rPr/>
        <w:t>MaineDOT’s</w:t>
      </w:r>
      <w:r>
        <w:rPr>
          <w:spacing w:val="-7"/>
        </w:rPr>
        <w:t> </w:t>
      </w:r>
      <w:r>
        <w:rPr/>
        <w:t>Property</w:t>
      </w:r>
      <w:r>
        <w:rPr>
          <w:spacing w:val="-5"/>
        </w:rPr>
        <w:t> </w:t>
      </w:r>
      <w:r>
        <w:rPr/>
        <w:t>Office</w:t>
      </w:r>
      <w:r>
        <w:rPr>
          <w:spacing w:val="-6"/>
        </w:rPr>
        <w:t> </w:t>
      </w:r>
      <w:r>
        <w:rPr/>
        <w:t>provides</w:t>
      </w:r>
      <w:r>
        <w:rPr>
          <w:spacing w:val="-4"/>
        </w:rPr>
        <w:t> </w:t>
      </w:r>
      <w:r>
        <w:rPr/>
        <w:t>support</w:t>
      </w:r>
      <w:r>
        <w:rPr>
          <w:spacing w:val="-8"/>
        </w:rPr>
        <w:t> </w:t>
      </w:r>
      <w:r>
        <w:rPr/>
        <w:t>for</w:t>
      </w:r>
      <w:r>
        <w:rPr>
          <w:spacing w:val="-8"/>
        </w:rPr>
        <w:t> </w:t>
      </w:r>
      <w:r>
        <w:rPr/>
        <w:t>Programs</w:t>
      </w:r>
      <w:r>
        <w:rPr>
          <w:spacing w:val="-7"/>
        </w:rPr>
        <w:t> </w:t>
      </w:r>
      <w:r>
        <w:rPr/>
        <w:t>in</w:t>
      </w:r>
      <w:r>
        <w:rPr>
          <w:spacing w:val="-5"/>
        </w:rPr>
        <w:t> </w:t>
      </w:r>
      <w:r>
        <w:rPr/>
        <w:t>the</w:t>
      </w:r>
      <w:r>
        <w:rPr>
          <w:spacing w:val="-6"/>
        </w:rPr>
        <w:t> </w:t>
      </w:r>
      <w:r>
        <w:rPr/>
        <w:t>area</w:t>
      </w:r>
      <w:r>
        <w:rPr>
          <w:spacing w:val="-6"/>
        </w:rPr>
        <w:t> </w:t>
      </w:r>
      <w:r>
        <w:rPr/>
        <w:t>of</w:t>
      </w:r>
      <w:r>
        <w:rPr>
          <w:spacing w:val="-5"/>
        </w:rPr>
        <w:t> </w:t>
      </w:r>
      <w:r>
        <w:rPr/>
        <w:t>the</w:t>
      </w:r>
      <w:r>
        <w:rPr>
          <w:spacing w:val="-6"/>
        </w:rPr>
        <w:t> </w:t>
      </w:r>
      <w:r>
        <w:rPr/>
        <w:t>traditional</w:t>
      </w:r>
      <w:r>
        <w:rPr>
          <w:spacing w:val="-6"/>
        </w:rPr>
        <w:t> </w:t>
      </w:r>
      <w:r>
        <w:rPr/>
        <w:t>Right</w:t>
      </w:r>
      <w:r>
        <w:rPr>
          <w:spacing w:val="-5"/>
        </w:rPr>
        <w:t> </w:t>
      </w:r>
      <w:r>
        <w:rPr/>
        <w:t>of</w:t>
      </w:r>
      <w:r>
        <w:rPr>
          <w:spacing w:val="-5"/>
        </w:rPr>
        <w:t> </w:t>
      </w:r>
      <w:r>
        <w:rPr/>
        <w:t>Way</w:t>
      </w:r>
      <w:r>
        <w:rPr>
          <w:spacing w:val="-5"/>
        </w:rPr>
        <w:t> </w:t>
      </w:r>
      <w:r>
        <w:rPr/>
        <w:t>functions of appraisal review, negotiations, and relocation.</w:t>
      </w:r>
      <w:r>
        <w:rPr>
          <w:spacing w:val="40"/>
        </w:rPr>
        <w:t> </w:t>
      </w:r>
      <w:r>
        <w:rPr/>
        <w:t>Additionally, the Office provides technical support for mapping, utility coordination, title and condemnation functions.</w:t>
      </w:r>
      <w:r>
        <w:rPr>
          <w:spacing w:val="40"/>
        </w:rPr>
        <w:t> </w:t>
      </w:r>
      <w:r>
        <w:rPr/>
        <w:t>The Office is also responsible for delivering field surveys as needed to support transportation projects.</w:t>
      </w:r>
    </w:p>
    <w:p>
      <w:pPr>
        <w:pStyle w:val="BodyText"/>
        <w:spacing w:before="12"/>
        <w:rPr>
          <w:sz w:val="23"/>
        </w:rPr>
      </w:pPr>
    </w:p>
    <w:p>
      <w:pPr>
        <w:pStyle w:val="BodyText"/>
        <w:ind w:left="119"/>
        <w:jc w:val="both"/>
      </w:pPr>
      <w:r>
        <w:rPr/>
        <w:t>The</w:t>
      </w:r>
      <w:r>
        <w:rPr>
          <w:spacing w:val="-3"/>
        </w:rPr>
        <w:t> </w:t>
      </w:r>
      <w:r>
        <w:rPr/>
        <w:t>Office’s</w:t>
      </w:r>
      <w:r>
        <w:rPr>
          <w:spacing w:val="-4"/>
        </w:rPr>
        <w:t> </w:t>
      </w:r>
      <w:r>
        <w:rPr/>
        <w:t>Title VI</w:t>
      </w:r>
      <w:r>
        <w:rPr>
          <w:spacing w:val="-2"/>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240" w:lineRule="auto" w:before="0" w:after="0"/>
        <w:ind w:left="839" w:right="0" w:hanging="360"/>
        <w:jc w:val="left"/>
        <w:rPr>
          <w:sz w:val="24"/>
        </w:rPr>
      </w:pPr>
      <w:r>
        <w:rPr>
          <w:sz w:val="24"/>
        </w:rPr>
        <w:t>Monitor</w:t>
      </w:r>
      <w:r>
        <w:rPr>
          <w:spacing w:val="-3"/>
          <w:sz w:val="24"/>
        </w:rPr>
        <w:t> </w:t>
      </w:r>
      <w:r>
        <w:rPr>
          <w:sz w:val="24"/>
        </w:rPr>
        <w:t>all activities</w:t>
      </w:r>
      <w:r>
        <w:rPr>
          <w:spacing w:val="-2"/>
          <w:sz w:val="24"/>
        </w:rPr>
        <w:t> </w:t>
      </w:r>
      <w:r>
        <w:rPr>
          <w:sz w:val="24"/>
        </w:rPr>
        <w:t>to</w:t>
      </w:r>
      <w:r>
        <w:rPr>
          <w:spacing w:val="-2"/>
          <w:sz w:val="24"/>
        </w:rPr>
        <w:t> </w:t>
      </w:r>
      <w:r>
        <w:rPr>
          <w:sz w:val="24"/>
        </w:rPr>
        <w:t>ensure</w:t>
      </w:r>
      <w:r>
        <w:rPr>
          <w:spacing w:val="-1"/>
          <w:sz w:val="24"/>
        </w:rPr>
        <w:t> </w:t>
      </w:r>
      <w:r>
        <w:rPr>
          <w:spacing w:val="-2"/>
          <w:sz w:val="24"/>
        </w:rPr>
        <w:t>nondiscrimination.</w:t>
      </w:r>
    </w:p>
    <w:p>
      <w:pPr>
        <w:pStyle w:val="ListParagraph"/>
        <w:numPr>
          <w:ilvl w:val="0"/>
          <w:numId w:val="5"/>
        </w:numPr>
        <w:tabs>
          <w:tab w:pos="839" w:val="left" w:leader="none"/>
        </w:tabs>
        <w:spacing w:line="305" w:lineRule="exact" w:before="1" w:after="0"/>
        <w:ind w:left="839" w:right="0" w:hanging="360"/>
        <w:jc w:val="left"/>
        <w:rPr>
          <w:sz w:val="24"/>
        </w:rPr>
      </w:pPr>
      <w:r>
        <w:rPr>
          <w:sz w:val="24"/>
        </w:rPr>
        <w:t>Perform</w:t>
      </w:r>
      <w:r>
        <w:rPr>
          <w:spacing w:val="-3"/>
          <w:sz w:val="24"/>
        </w:rPr>
        <w:t> </w:t>
      </w:r>
      <w:r>
        <w:rPr>
          <w:sz w:val="24"/>
        </w:rPr>
        <w:t>reviews</w:t>
      </w:r>
      <w:r>
        <w:rPr>
          <w:spacing w:val="-3"/>
          <w:sz w:val="24"/>
        </w:rPr>
        <w:t> </w:t>
      </w:r>
      <w:r>
        <w:rPr>
          <w:sz w:val="24"/>
        </w:rPr>
        <w:t>of</w:t>
      </w:r>
      <w:r>
        <w:rPr>
          <w:spacing w:val="-2"/>
          <w:sz w:val="24"/>
        </w:rPr>
        <w:t> </w:t>
      </w:r>
      <w:r>
        <w:rPr>
          <w:sz w:val="24"/>
        </w:rPr>
        <w:t>Title</w:t>
      </w:r>
      <w:r>
        <w:rPr>
          <w:spacing w:val="-3"/>
          <w:sz w:val="24"/>
        </w:rPr>
        <w:t> </w:t>
      </w:r>
      <w:r>
        <w:rPr>
          <w:sz w:val="24"/>
        </w:rPr>
        <w:t>VI</w:t>
      </w:r>
      <w:r>
        <w:rPr>
          <w:spacing w:val="-1"/>
          <w:sz w:val="24"/>
        </w:rPr>
        <w:t> </w:t>
      </w:r>
      <w:r>
        <w:rPr>
          <w:sz w:val="24"/>
        </w:rPr>
        <w:t>subrecipients</w:t>
      </w:r>
      <w:r>
        <w:rPr>
          <w:spacing w:val="-3"/>
          <w:sz w:val="24"/>
        </w:rPr>
        <w:t> </w:t>
      </w:r>
      <w:r>
        <w:rPr>
          <w:sz w:val="24"/>
        </w:rPr>
        <w:t>to</w:t>
      </w:r>
      <w:r>
        <w:rPr>
          <w:spacing w:val="-3"/>
          <w:sz w:val="24"/>
        </w:rPr>
        <w:t> </w:t>
      </w:r>
      <w:r>
        <w:rPr>
          <w:sz w:val="24"/>
        </w:rPr>
        <w:t>ensure Title VI</w:t>
      </w:r>
      <w:r>
        <w:rPr>
          <w:spacing w:val="-3"/>
          <w:sz w:val="24"/>
        </w:rPr>
        <w:t> </w:t>
      </w:r>
      <w:r>
        <w:rPr>
          <w:spacing w:val="-2"/>
          <w:sz w:val="24"/>
        </w:rPr>
        <w:t>adherence.</w:t>
      </w:r>
    </w:p>
    <w:p>
      <w:pPr>
        <w:pStyle w:val="ListParagraph"/>
        <w:numPr>
          <w:ilvl w:val="0"/>
          <w:numId w:val="5"/>
        </w:numPr>
        <w:tabs>
          <w:tab w:pos="839" w:val="left" w:leader="none"/>
        </w:tabs>
        <w:spacing w:line="305" w:lineRule="exact" w:before="0" w:after="0"/>
        <w:ind w:left="839" w:right="0" w:hanging="360"/>
        <w:jc w:val="left"/>
        <w:rPr>
          <w:sz w:val="24"/>
        </w:rPr>
      </w:pPr>
      <w:r>
        <w:rPr>
          <w:sz w:val="24"/>
        </w:rPr>
        <w:t>Ensure</w:t>
      </w:r>
      <w:r>
        <w:rPr>
          <w:spacing w:val="-5"/>
          <w:sz w:val="24"/>
        </w:rPr>
        <w:t> </w:t>
      </w:r>
      <w:r>
        <w:rPr>
          <w:sz w:val="24"/>
        </w:rPr>
        <w:t>Title</w:t>
      </w:r>
      <w:r>
        <w:rPr>
          <w:spacing w:val="-1"/>
          <w:sz w:val="24"/>
        </w:rPr>
        <w:t> </w:t>
      </w:r>
      <w:r>
        <w:rPr>
          <w:sz w:val="24"/>
        </w:rPr>
        <w:t>VI</w:t>
      </w:r>
      <w:r>
        <w:rPr>
          <w:spacing w:val="-4"/>
          <w:sz w:val="24"/>
        </w:rPr>
        <w:t> </w:t>
      </w:r>
      <w:r>
        <w:rPr>
          <w:sz w:val="24"/>
        </w:rPr>
        <w:t>language</w:t>
      </w:r>
      <w:r>
        <w:rPr>
          <w:spacing w:val="-1"/>
          <w:sz w:val="24"/>
        </w:rPr>
        <w:t> </w:t>
      </w:r>
      <w:r>
        <w:rPr>
          <w:sz w:val="24"/>
        </w:rPr>
        <w:t>is</w:t>
      </w:r>
      <w:r>
        <w:rPr>
          <w:spacing w:val="-2"/>
          <w:sz w:val="24"/>
        </w:rPr>
        <w:t> </w:t>
      </w:r>
      <w:r>
        <w:rPr>
          <w:sz w:val="24"/>
        </w:rPr>
        <w:t>included</w:t>
      </w:r>
      <w:r>
        <w:rPr>
          <w:spacing w:val="-3"/>
          <w:sz w:val="24"/>
        </w:rPr>
        <w:t> </w:t>
      </w:r>
      <w:r>
        <w:rPr>
          <w:sz w:val="24"/>
        </w:rPr>
        <w:t>in subrecipient</w:t>
      </w:r>
      <w:r>
        <w:rPr>
          <w:spacing w:val="-1"/>
          <w:sz w:val="24"/>
        </w:rPr>
        <w:t> </w:t>
      </w:r>
      <w:r>
        <w:rPr>
          <w:sz w:val="24"/>
        </w:rPr>
        <w:t>contracts</w:t>
      </w:r>
      <w:r>
        <w:rPr>
          <w:spacing w:val="-3"/>
          <w:sz w:val="24"/>
        </w:rPr>
        <w:t> </w:t>
      </w:r>
      <w:r>
        <w:rPr>
          <w:sz w:val="24"/>
        </w:rPr>
        <w:t>and </w:t>
      </w:r>
      <w:r>
        <w:rPr>
          <w:spacing w:val="-2"/>
          <w:sz w:val="24"/>
        </w:rPr>
        <w:t>subcontracts.</w:t>
      </w:r>
    </w:p>
    <w:p>
      <w:pPr>
        <w:pStyle w:val="ListParagraph"/>
        <w:numPr>
          <w:ilvl w:val="0"/>
          <w:numId w:val="5"/>
        </w:numPr>
        <w:tabs>
          <w:tab w:pos="839" w:val="left" w:leader="none"/>
        </w:tabs>
        <w:spacing w:line="305" w:lineRule="exact" w:before="0" w:after="0"/>
        <w:ind w:left="839" w:right="0" w:hanging="360"/>
        <w:jc w:val="left"/>
        <w:rPr>
          <w:sz w:val="24"/>
        </w:rPr>
      </w:pPr>
      <w:r>
        <w:rPr>
          <w:sz w:val="24"/>
        </w:rPr>
        <w:t>Serve</w:t>
      </w:r>
      <w:r>
        <w:rPr>
          <w:spacing w:val="-1"/>
          <w:sz w:val="24"/>
        </w:rPr>
        <w:t> </w:t>
      </w:r>
      <w:r>
        <w:rPr>
          <w:sz w:val="24"/>
        </w:rPr>
        <w:t>as</w:t>
      </w:r>
      <w:r>
        <w:rPr>
          <w:spacing w:val="-1"/>
          <w:sz w:val="24"/>
        </w:rPr>
        <w:t> </w:t>
      </w:r>
      <w:r>
        <w:rPr>
          <w:sz w:val="24"/>
        </w:rPr>
        <w:t>a</w:t>
      </w:r>
      <w:r>
        <w:rPr>
          <w:spacing w:val="-3"/>
          <w:sz w:val="24"/>
        </w:rPr>
        <w:t> </w:t>
      </w:r>
      <w:r>
        <w:rPr>
          <w:sz w:val="24"/>
        </w:rPr>
        <w:t>resource</w:t>
      </w:r>
      <w:r>
        <w:rPr>
          <w:spacing w:val="-2"/>
          <w:sz w:val="24"/>
        </w:rPr>
        <w:t> </w:t>
      </w:r>
      <w:r>
        <w:rPr>
          <w:sz w:val="24"/>
        </w:rPr>
        <w:t>person</w:t>
      </w:r>
      <w:r>
        <w:rPr>
          <w:spacing w:val="-2"/>
          <w:sz w:val="24"/>
        </w:rPr>
        <w:t> </w:t>
      </w:r>
      <w:r>
        <w:rPr>
          <w:sz w:val="24"/>
        </w:rPr>
        <w:t>for</w:t>
      </w:r>
      <w:r>
        <w:rPr>
          <w:spacing w:val="-3"/>
          <w:sz w:val="24"/>
        </w:rPr>
        <w:t> </w:t>
      </w:r>
      <w:r>
        <w:rPr>
          <w:sz w:val="24"/>
        </w:rPr>
        <w:t>the Property</w:t>
      </w:r>
      <w:r>
        <w:rPr>
          <w:spacing w:val="-1"/>
          <w:sz w:val="24"/>
        </w:rPr>
        <w:t> </w:t>
      </w:r>
      <w:r>
        <w:rPr>
          <w:spacing w:val="-2"/>
          <w:sz w:val="24"/>
        </w:rPr>
        <w:t>Office.</w:t>
      </w:r>
    </w:p>
    <w:p>
      <w:pPr>
        <w:pStyle w:val="ListParagraph"/>
        <w:numPr>
          <w:ilvl w:val="0"/>
          <w:numId w:val="5"/>
        </w:numPr>
        <w:tabs>
          <w:tab w:pos="839" w:val="left" w:leader="none"/>
        </w:tabs>
        <w:spacing w:line="305" w:lineRule="exact" w:before="2" w:after="0"/>
        <w:ind w:left="839" w:right="0" w:hanging="360"/>
        <w:jc w:val="left"/>
        <w:rPr>
          <w:sz w:val="24"/>
        </w:rPr>
      </w:pPr>
      <w:r>
        <w:rPr>
          <w:sz w:val="24"/>
        </w:rPr>
        <w:t>Document</w:t>
      </w:r>
      <w:r>
        <w:rPr>
          <w:spacing w:val="-3"/>
          <w:sz w:val="24"/>
        </w:rPr>
        <w:t> </w:t>
      </w:r>
      <w:r>
        <w:rPr>
          <w:sz w:val="24"/>
        </w:rPr>
        <w:t>procedures</w:t>
      </w:r>
      <w:r>
        <w:rPr>
          <w:spacing w:val="-2"/>
          <w:sz w:val="24"/>
        </w:rPr>
        <w:t> </w:t>
      </w:r>
      <w:r>
        <w:rPr>
          <w:sz w:val="24"/>
        </w:rPr>
        <w:t>to</w:t>
      </w:r>
      <w:r>
        <w:rPr>
          <w:spacing w:val="-3"/>
          <w:sz w:val="24"/>
        </w:rPr>
        <w:t> </w:t>
      </w:r>
      <w:r>
        <w:rPr>
          <w:sz w:val="24"/>
        </w:rPr>
        <w:t>ensure</w:t>
      </w:r>
      <w:r>
        <w:rPr>
          <w:spacing w:val="-1"/>
          <w:sz w:val="24"/>
        </w:rPr>
        <w:t> </w:t>
      </w:r>
      <w:r>
        <w:rPr>
          <w:sz w:val="24"/>
        </w:rPr>
        <w:t>all</w:t>
      </w:r>
      <w:r>
        <w:rPr>
          <w:spacing w:val="-4"/>
          <w:sz w:val="24"/>
        </w:rPr>
        <w:t> </w:t>
      </w:r>
      <w:r>
        <w:rPr>
          <w:sz w:val="24"/>
        </w:rPr>
        <w:t>population(s)</w:t>
      </w:r>
      <w:r>
        <w:rPr>
          <w:spacing w:val="-2"/>
          <w:sz w:val="24"/>
        </w:rPr>
        <w:t> </w:t>
      </w:r>
      <w:r>
        <w:rPr>
          <w:sz w:val="24"/>
        </w:rPr>
        <w:t>affected</w:t>
      </w:r>
      <w:r>
        <w:rPr>
          <w:spacing w:val="-3"/>
          <w:sz w:val="24"/>
        </w:rPr>
        <w:t> </w:t>
      </w:r>
      <w:r>
        <w:rPr>
          <w:sz w:val="24"/>
        </w:rPr>
        <w:t>are</w:t>
      </w:r>
      <w:r>
        <w:rPr>
          <w:spacing w:val="-3"/>
          <w:sz w:val="24"/>
        </w:rPr>
        <w:t> </w:t>
      </w:r>
      <w:r>
        <w:rPr>
          <w:sz w:val="24"/>
        </w:rPr>
        <w:t>being</w:t>
      </w:r>
      <w:r>
        <w:rPr>
          <w:spacing w:val="-2"/>
          <w:sz w:val="24"/>
        </w:rPr>
        <w:t> </w:t>
      </w:r>
      <w:r>
        <w:rPr>
          <w:sz w:val="24"/>
        </w:rPr>
        <w:t>treated fair</w:t>
      </w:r>
      <w:r>
        <w:rPr>
          <w:spacing w:val="-1"/>
          <w:sz w:val="24"/>
        </w:rPr>
        <w:t> </w:t>
      </w:r>
      <w:r>
        <w:rPr>
          <w:sz w:val="24"/>
        </w:rPr>
        <w:t>and</w:t>
      </w:r>
      <w:r>
        <w:rPr>
          <w:spacing w:val="-2"/>
          <w:sz w:val="24"/>
        </w:rPr>
        <w:t> equitable</w:t>
      </w:r>
    </w:p>
    <w:p>
      <w:pPr>
        <w:pStyle w:val="ListParagraph"/>
        <w:numPr>
          <w:ilvl w:val="0"/>
          <w:numId w:val="5"/>
        </w:numPr>
        <w:tabs>
          <w:tab w:pos="839" w:val="left" w:leader="none"/>
        </w:tabs>
        <w:spacing w:line="305" w:lineRule="exact" w:before="0" w:after="0"/>
        <w:ind w:left="839" w:right="0" w:hanging="360"/>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305" w:lineRule="exact" w:before="1" w:after="0"/>
        <w:ind w:left="839" w:right="0" w:hanging="360"/>
        <w:jc w:val="left"/>
        <w:rPr>
          <w:sz w:val="24"/>
        </w:rPr>
      </w:pPr>
      <w:r>
        <w:rPr>
          <w:sz w:val="24"/>
        </w:rPr>
        <w:t>Address</w:t>
      </w:r>
      <w:r>
        <w:rPr>
          <w:spacing w:val="-5"/>
          <w:sz w:val="24"/>
        </w:rPr>
        <w:t> </w:t>
      </w:r>
      <w:r>
        <w:rPr>
          <w:sz w:val="24"/>
        </w:rPr>
        <w:t>any</w:t>
      </w:r>
      <w:r>
        <w:rPr>
          <w:spacing w:val="-1"/>
          <w:sz w:val="24"/>
        </w:rPr>
        <w:t> </w:t>
      </w:r>
      <w:r>
        <w:rPr>
          <w:sz w:val="24"/>
        </w:rPr>
        <w:t>complaints</w:t>
      </w:r>
      <w:r>
        <w:rPr>
          <w:spacing w:val="-1"/>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Civil Rights</w:t>
      </w:r>
      <w:r>
        <w:rPr>
          <w:spacing w:val="-1"/>
          <w:sz w:val="24"/>
        </w:rPr>
        <w:t> </w:t>
      </w:r>
      <w:r>
        <w:rPr>
          <w:spacing w:val="-2"/>
          <w:sz w:val="24"/>
        </w:rPr>
        <w:t>Office.</w:t>
      </w:r>
    </w:p>
    <w:p>
      <w:pPr>
        <w:pStyle w:val="ListParagraph"/>
        <w:numPr>
          <w:ilvl w:val="0"/>
          <w:numId w:val="5"/>
        </w:numPr>
        <w:tabs>
          <w:tab w:pos="839" w:val="left" w:leader="none"/>
        </w:tabs>
        <w:spacing w:line="240" w:lineRule="auto" w:before="0" w:after="0"/>
        <w:ind w:left="839"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0" w:lineRule="auto" w:before="1" w:after="0"/>
        <w:ind w:left="840" w:right="305" w:hanging="360"/>
        <w:jc w:val="both"/>
        <w:rPr>
          <w:sz w:val="24"/>
        </w:rPr>
      </w:pPr>
      <w:r>
        <w:rPr>
          <w:sz w:val="24"/>
        </w:rPr>
        <w:t>Provide</w:t>
      </w:r>
      <w:r>
        <w:rPr>
          <w:spacing w:val="-4"/>
          <w:sz w:val="24"/>
        </w:rPr>
        <w:t> </w:t>
      </w: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Office</w:t>
      </w:r>
      <w:r>
        <w:rPr>
          <w:spacing w:val="-4"/>
          <w:sz w:val="24"/>
        </w:rPr>
        <w:t> </w:t>
      </w:r>
      <w:r>
        <w:rPr>
          <w:sz w:val="24"/>
        </w:rPr>
        <w:t>with</w:t>
      </w:r>
      <w:r>
        <w:rPr>
          <w:spacing w:val="-1"/>
          <w:sz w:val="24"/>
        </w:rPr>
        <w:t> </w:t>
      </w:r>
      <w:r>
        <w:rPr>
          <w:sz w:val="24"/>
        </w:rPr>
        <w:t>an</w:t>
      </w:r>
      <w:r>
        <w:rPr>
          <w:spacing w:val="-1"/>
          <w:sz w:val="24"/>
        </w:rPr>
        <w:t> </w:t>
      </w:r>
      <w:r>
        <w:rPr>
          <w:sz w:val="24"/>
        </w:rPr>
        <w:t>annual</w:t>
      </w:r>
      <w:r>
        <w:rPr>
          <w:spacing w:val="-2"/>
          <w:sz w:val="24"/>
        </w:rPr>
        <w:t> </w:t>
      </w:r>
      <w:r>
        <w:rPr>
          <w:sz w:val="24"/>
        </w:rPr>
        <w:t>report</w:t>
      </w:r>
      <w:r>
        <w:rPr>
          <w:spacing w:val="-1"/>
          <w:sz w:val="24"/>
        </w:rPr>
        <w:t> </w:t>
      </w:r>
      <w:r>
        <w:rPr>
          <w:sz w:val="24"/>
        </w:rPr>
        <w:t>of</w:t>
      </w:r>
      <w:r>
        <w:rPr>
          <w:spacing w:val="-1"/>
          <w:sz w:val="24"/>
        </w:rPr>
        <w:t> </w:t>
      </w:r>
      <w:r>
        <w:rPr>
          <w:sz w:val="24"/>
        </w:rPr>
        <w:t>Title</w:t>
      </w:r>
      <w:r>
        <w:rPr>
          <w:spacing w:val="-4"/>
          <w:sz w:val="24"/>
        </w:rPr>
        <w:t> </w:t>
      </w:r>
      <w:r>
        <w:rPr>
          <w:sz w:val="24"/>
        </w:rPr>
        <w:t>VI</w:t>
      </w:r>
      <w:r>
        <w:rPr>
          <w:spacing w:val="-3"/>
          <w:sz w:val="24"/>
        </w:rPr>
        <w:t> </w:t>
      </w:r>
      <w:r>
        <w:rPr>
          <w:sz w:val="24"/>
        </w:rPr>
        <w:t>accomplishments</w:t>
      </w:r>
      <w:r>
        <w:rPr>
          <w:spacing w:val="-5"/>
          <w:sz w:val="24"/>
        </w:rPr>
        <w:t> </w:t>
      </w:r>
      <w:r>
        <w:rPr>
          <w:sz w:val="24"/>
        </w:rPr>
        <w:t>and/or</w:t>
      </w:r>
      <w:r>
        <w:rPr>
          <w:spacing w:val="-5"/>
          <w:sz w:val="24"/>
        </w:rPr>
        <w:t> </w:t>
      </w:r>
      <w:r>
        <w:rPr>
          <w:sz w:val="24"/>
        </w:rPr>
        <w:t>any</w:t>
      </w:r>
      <w:r>
        <w:rPr>
          <w:spacing w:val="-3"/>
          <w:sz w:val="24"/>
        </w:rPr>
        <w:t> </w:t>
      </w:r>
      <w:r>
        <w:rPr>
          <w:sz w:val="24"/>
        </w:rPr>
        <w:t>issues</w:t>
      </w:r>
      <w:r>
        <w:rPr>
          <w:spacing w:val="-5"/>
          <w:sz w:val="24"/>
        </w:rPr>
        <w:t> </w:t>
      </w:r>
      <w:r>
        <w:rPr>
          <w:sz w:val="24"/>
        </w:rPr>
        <w:t>for this year and any changes for the next year. Report is due by September 15</w:t>
      </w:r>
      <w:r>
        <w:rPr>
          <w:sz w:val="24"/>
          <w:vertAlign w:val="superscript"/>
        </w:rPr>
        <w:t>th</w:t>
      </w:r>
      <w:r>
        <w:rPr>
          <w:sz w:val="24"/>
          <w:vertAlign w:val="baseline"/>
        </w:rPr>
        <w:t> of each year.</w:t>
      </w:r>
    </w:p>
    <w:p>
      <w:pPr>
        <w:pStyle w:val="BodyText"/>
        <w:spacing w:before="11"/>
        <w:rPr>
          <w:sz w:val="23"/>
        </w:rPr>
      </w:pPr>
    </w:p>
    <w:p>
      <w:pPr>
        <w:pStyle w:val="Heading9"/>
        <w:spacing w:before="1"/>
        <w:jc w:val="both"/>
      </w:pPr>
      <w:r>
        <w:rPr/>
        <w:t>Multimodal</w:t>
      </w:r>
      <w:r>
        <w:rPr>
          <w:spacing w:val="-2"/>
        </w:rPr>
        <w:t> Program</w:t>
      </w:r>
    </w:p>
    <w:p>
      <w:pPr>
        <w:pStyle w:val="BodyText"/>
        <w:spacing w:before="11"/>
        <w:rPr>
          <w:b/>
          <w:sz w:val="23"/>
        </w:rPr>
      </w:pPr>
    </w:p>
    <w:p>
      <w:pPr>
        <w:pStyle w:val="BodyText"/>
        <w:ind w:left="120" w:right="116"/>
        <w:jc w:val="both"/>
      </w:pPr>
      <w:r>
        <w:rPr/>
        <w:t>MaineDOT’s Multimodal program develops and manages the construction of non-highway and non-bridge projects,</w:t>
      </w:r>
      <w:r>
        <w:rPr>
          <w:spacing w:val="-14"/>
        </w:rPr>
        <w:t> </w:t>
      </w:r>
      <w:r>
        <w:rPr/>
        <w:t>e.g.,</w:t>
      </w:r>
      <w:r>
        <w:rPr>
          <w:spacing w:val="-14"/>
        </w:rPr>
        <w:t> </w:t>
      </w:r>
      <w:r>
        <w:rPr/>
        <w:t>rail,</w:t>
      </w:r>
      <w:r>
        <w:rPr>
          <w:spacing w:val="-13"/>
        </w:rPr>
        <w:t> </w:t>
      </w:r>
      <w:r>
        <w:rPr/>
        <w:t>bike/pedestrian</w:t>
      </w:r>
      <w:r>
        <w:rPr>
          <w:spacing w:val="-14"/>
        </w:rPr>
        <w:t> </w:t>
      </w:r>
      <w:r>
        <w:rPr/>
        <w:t>trails).</w:t>
      </w:r>
      <w:r>
        <w:rPr>
          <w:spacing w:val="9"/>
        </w:rPr>
        <w:t> </w:t>
      </w:r>
      <w:r>
        <w:rPr/>
        <w:t>Multimodal</w:t>
      </w:r>
      <w:r>
        <w:rPr>
          <w:spacing w:val="-13"/>
        </w:rPr>
        <w:t> </w:t>
      </w:r>
      <w:r>
        <w:rPr/>
        <w:t>is</w:t>
      </w:r>
      <w:r>
        <w:rPr>
          <w:spacing w:val="-14"/>
        </w:rPr>
        <w:t> </w:t>
      </w:r>
      <w:r>
        <w:rPr/>
        <w:t>also</w:t>
      </w:r>
      <w:r>
        <w:rPr>
          <w:spacing w:val="-14"/>
        </w:rPr>
        <w:t> </w:t>
      </w:r>
      <w:r>
        <w:rPr/>
        <w:t>tasked</w:t>
      </w:r>
      <w:r>
        <w:rPr>
          <w:spacing w:val="-13"/>
        </w:rPr>
        <w:t> </w:t>
      </w:r>
      <w:r>
        <w:rPr/>
        <w:t>with</w:t>
      </w:r>
      <w:r>
        <w:rPr>
          <w:spacing w:val="-14"/>
        </w:rPr>
        <w:t> </w:t>
      </w:r>
      <w:r>
        <w:rPr/>
        <w:t>the</w:t>
      </w:r>
      <w:r>
        <w:rPr>
          <w:spacing w:val="-13"/>
        </w:rPr>
        <w:t> </w:t>
      </w:r>
      <w:r>
        <w:rPr/>
        <w:t>oversight</w:t>
      </w:r>
      <w:r>
        <w:rPr>
          <w:spacing w:val="-14"/>
        </w:rPr>
        <w:t> </w:t>
      </w:r>
      <w:r>
        <w:rPr/>
        <w:t>of</w:t>
      </w:r>
      <w:r>
        <w:rPr>
          <w:spacing w:val="-13"/>
        </w:rPr>
        <w:t> </w:t>
      </w:r>
      <w:r>
        <w:rPr/>
        <w:t>those</w:t>
      </w:r>
      <w:r>
        <w:rPr>
          <w:spacing w:val="-14"/>
        </w:rPr>
        <w:t> </w:t>
      </w:r>
      <w:r>
        <w:rPr/>
        <w:t>projects</w:t>
      </w:r>
      <w:r>
        <w:rPr>
          <w:spacing w:val="-14"/>
        </w:rPr>
        <w:t> </w:t>
      </w:r>
      <w:r>
        <w:rPr/>
        <w:t>selected to receive federal funding to develop and improve Maine’s transportation network.</w:t>
      </w:r>
      <w:r>
        <w:rPr>
          <w:spacing w:val="40"/>
        </w:rPr>
        <w:t> </w:t>
      </w:r>
      <w:r>
        <w:rPr/>
        <w:t>These programs are administered by municipalities or other local public agencies (LPAs).</w:t>
      </w:r>
    </w:p>
    <w:p>
      <w:pPr>
        <w:pStyle w:val="BodyText"/>
        <w:spacing w:before="2"/>
      </w:pPr>
    </w:p>
    <w:p>
      <w:pPr>
        <w:pStyle w:val="BodyText"/>
        <w:ind w:left="120"/>
        <w:jc w:val="both"/>
      </w:pPr>
      <w:r>
        <w:rPr/>
        <w:t>The</w:t>
      </w:r>
      <w:r>
        <w:rPr>
          <w:spacing w:val="-3"/>
        </w:rPr>
        <w:t> </w:t>
      </w:r>
      <w:r>
        <w:rPr/>
        <w:t>Program’s</w:t>
      </w:r>
      <w:r>
        <w:rPr>
          <w:spacing w:val="-3"/>
        </w:rPr>
        <w:t> </w:t>
      </w:r>
      <w:r>
        <w:rPr/>
        <w:t>Title</w:t>
      </w:r>
      <w:r>
        <w:rPr>
          <w:spacing w:val="-1"/>
        </w:rPr>
        <w:t> </w:t>
      </w:r>
      <w:r>
        <w:rPr/>
        <w:t>VI</w:t>
      </w:r>
      <w:r>
        <w:rPr>
          <w:spacing w:val="-3"/>
        </w:rPr>
        <w:t> </w:t>
      </w:r>
      <w:r>
        <w:rPr/>
        <w:t>Liaison</w:t>
      </w:r>
      <w:r>
        <w:rPr>
          <w:spacing w:val="-2"/>
        </w:rPr>
        <w:t> will:</w:t>
      </w:r>
    </w:p>
    <w:p>
      <w:pPr>
        <w:spacing w:after="0"/>
        <w:jc w:val="both"/>
        <w:sectPr>
          <w:pgSz w:w="12240" w:h="15840"/>
          <w:pgMar w:header="0" w:footer="1063" w:top="920" w:bottom="1260" w:left="600" w:right="600"/>
        </w:sectPr>
      </w:pPr>
    </w:p>
    <w:p>
      <w:pPr>
        <w:pStyle w:val="ListParagraph"/>
        <w:numPr>
          <w:ilvl w:val="0"/>
          <w:numId w:val="5"/>
        </w:numPr>
        <w:tabs>
          <w:tab w:pos="839" w:val="left" w:leader="none"/>
        </w:tabs>
        <w:spacing w:line="240" w:lineRule="auto" w:before="74" w:after="0"/>
        <w:ind w:left="839" w:right="115" w:hanging="360"/>
        <w:jc w:val="left"/>
        <w:rPr>
          <w:sz w:val="24"/>
        </w:rPr>
      </w:pPr>
      <w:r>
        <w:rPr>
          <w:sz w:val="24"/>
        </w:rPr>
        <w:t>Ensure that LPAs provide the Department with signed Title VI Assurances (Form 1050.2a), including all Appendices, annually.</w:t>
      </w:r>
    </w:p>
    <w:p>
      <w:pPr>
        <w:pStyle w:val="ListParagraph"/>
        <w:numPr>
          <w:ilvl w:val="0"/>
          <w:numId w:val="5"/>
        </w:numPr>
        <w:tabs>
          <w:tab w:pos="839" w:val="left" w:leader="none"/>
        </w:tabs>
        <w:spacing w:line="242" w:lineRule="auto" w:before="0" w:after="0"/>
        <w:ind w:left="839" w:right="114" w:hanging="360"/>
        <w:jc w:val="left"/>
        <w:rPr>
          <w:sz w:val="24"/>
        </w:rPr>
      </w:pPr>
      <w:r>
        <w:rPr>
          <w:sz w:val="24"/>
        </w:rPr>
        <w:t>Ensure</w:t>
      </w:r>
      <w:r>
        <w:rPr>
          <w:spacing w:val="35"/>
          <w:sz w:val="24"/>
        </w:rPr>
        <w:t> </w:t>
      </w:r>
      <w:r>
        <w:rPr>
          <w:sz w:val="24"/>
        </w:rPr>
        <w:t>that</w:t>
      </w:r>
      <w:r>
        <w:rPr>
          <w:spacing w:val="35"/>
          <w:sz w:val="24"/>
        </w:rPr>
        <w:t> </w:t>
      </w:r>
      <w:r>
        <w:rPr>
          <w:sz w:val="24"/>
        </w:rPr>
        <w:t>LPAs</w:t>
      </w:r>
      <w:r>
        <w:rPr>
          <w:spacing w:val="36"/>
          <w:sz w:val="24"/>
        </w:rPr>
        <w:t> </w:t>
      </w:r>
      <w:r>
        <w:rPr>
          <w:sz w:val="24"/>
        </w:rPr>
        <w:t>include</w:t>
      </w:r>
      <w:r>
        <w:rPr>
          <w:spacing w:val="37"/>
          <w:sz w:val="24"/>
        </w:rPr>
        <w:t> </w:t>
      </w:r>
      <w:r>
        <w:rPr>
          <w:sz w:val="24"/>
        </w:rPr>
        <w:t>in</w:t>
      </w:r>
      <w:r>
        <w:rPr>
          <w:spacing w:val="35"/>
          <w:sz w:val="24"/>
        </w:rPr>
        <w:t> </w:t>
      </w:r>
      <w:r>
        <w:rPr>
          <w:sz w:val="24"/>
        </w:rPr>
        <w:t>their</w:t>
      </w:r>
      <w:r>
        <w:rPr>
          <w:spacing w:val="37"/>
          <w:sz w:val="24"/>
        </w:rPr>
        <w:t> </w:t>
      </w:r>
      <w:r>
        <w:rPr>
          <w:sz w:val="24"/>
        </w:rPr>
        <w:t>subcontracts</w:t>
      </w:r>
      <w:r>
        <w:rPr>
          <w:spacing w:val="32"/>
          <w:sz w:val="24"/>
        </w:rPr>
        <w:t> </w:t>
      </w:r>
      <w:r>
        <w:rPr>
          <w:sz w:val="24"/>
        </w:rPr>
        <w:t>the</w:t>
      </w:r>
      <w:r>
        <w:rPr>
          <w:spacing w:val="35"/>
          <w:sz w:val="24"/>
        </w:rPr>
        <w:t> </w:t>
      </w:r>
      <w:r>
        <w:rPr>
          <w:sz w:val="24"/>
        </w:rPr>
        <w:t>appropriate</w:t>
      </w:r>
      <w:r>
        <w:rPr>
          <w:spacing w:val="35"/>
          <w:sz w:val="24"/>
        </w:rPr>
        <w:t> </w:t>
      </w:r>
      <w:r>
        <w:rPr>
          <w:sz w:val="24"/>
        </w:rPr>
        <w:t>Title</w:t>
      </w:r>
      <w:r>
        <w:rPr>
          <w:spacing w:val="35"/>
          <w:sz w:val="24"/>
        </w:rPr>
        <w:t> </w:t>
      </w:r>
      <w:r>
        <w:rPr>
          <w:sz w:val="24"/>
        </w:rPr>
        <w:t>VI</w:t>
      </w:r>
      <w:r>
        <w:rPr>
          <w:spacing w:val="36"/>
          <w:sz w:val="24"/>
        </w:rPr>
        <w:t> </w:t>
      </w:r>
      <w:r>
        <w:rPr>
          <w:sz w:val="24"/>
        </w:rPr>
        <w:t>documentation,</w:t>
      </w:r>
      <w:r>
        <w:rPr>
          <w:spacing w:val="37"/>
          <w:sz w:val="24"/>
        </w:rPr>
        <w:t> </w:t>
      </w:r>
      <w:r>
        <w:rPr>
          <w:sz w:val="24"/>
        </w:rPr>
        <w:t>i.e.,</w:t>
      </w:r>
      <w:r>
        <w:rPr>
          <w:spacing w:val="34"/>
          <w:sz w:val="24"/>
        </w:rPr>
        <w:t> </w:t>
      </w:r>
      <w:r>
        <w:rPr>
          <w:sz w:val="24"/>
        </w:rPr>
        <w:t>Title</w:t>
      </w:r>
      <w:r>
        <w:rPr>
          <w:spacing w:val="37"/>
          <w:sz w:val="24"/>
        </w:rPr>
        <w:t> </w:t>
      </w:r>
      <w:r>
        <w:rPr>
          <w:sz w:val="24"/>
        </w:rPr>
        <w:t>VI Assurances, including all Appendices and Form 1273.</w:t>
      </w:r>
    </w:p>
    <w:p>
      <w:pPr>
        <w:pStyle w:val="ListParagraph"/>
        <w:numPr>
          <w:ilvl w:val="0"/>
          <w:numId w:val="5"/>
        </w:numPr>
        <w:tabs>
          <w:tab w:pos="839" w:val="left" w:leader="none"/>
        </w:tabs>
        <w:spacing w:line="301" w:lineRule="exact" w:before="0" w:after="0"/>
        <w:ind w:left="839" w:right="0" w:hanging="360"/>
        <w:jc w:val="left"/>
        <w:rPr>
          <w:sz w:val="24"/>
        </w:rPr>
      </w:pPr>
      <w:r>
        <w:rPr>
          <w:sz w:val="24"/>
        </w:rPr>
        <w:t>Ensure</w:t>
      </w:r>
      <w:r>
        <w:rPr>
          <w:spacing w:val="-3"/>
          <w:sz w:val="24"/>
        </w:rPr>
        <w:t> </w:t>
      </w:r>
      <w:r>
        <w:rPr>
          <w:sz w:val="24"/>
        </w:rPr>
        <w:t>that</w:t>
      </w:r>
      <w:r>
        <w:rPr>
          <w:spacing w:val="-2"/>
          <w:sz w:val="24"/>
        </w:rPr>
        <w:t> </w:t>
      </w:r>
      <w:r>
        <w:rPr>
          <w:sz w:val="24"/>
        </w:rPr>
        <w:t>all</w:t>
      </w:r>
      <w:r>
        <w:rPr>
          <w:spacing w:val="-3"/>
          <w:sz w:val="24"/>
        </w:rPr>
        <w:t> </w:t>
      </w:r>
      <w:r>
        <w:rPr>
          <w:sz w:val="24"/>
        </w:rPr>
        <w:t>MaineDOT</w:t>
      </w:r>
      <w:r>
        <w:rPr>
          <w:spacing w:val="-1"/>
          <w:sz w:val="24"/>
        </w:rPr>
        <w:t> </w:t>
      </w:r>
      <w:r>
        <w:rPr>
          <w:sz w:val="24"/>
        </w:rPr>
        <w:t>public</w:t>
      </w:r>
      <w:r>
        <w:rPr>
          <w:spacing w:val="-1"/>
          <w:sz w:val="24"/>
        </w:rPr>
        <w:t> </w:t>
      </w:r>
      <w:r>
        <w:rPr>
          <w:sz w:val="24"/>
        </w:rPr>
        <w:t>meetings</w:t>
      </w:r>
      <w:r>
        <w:rPr>
          <w:spacing w:val="-2"/>
          <w:sz w:val="24"/>
        </w:rPr>
        <w:t> </w:t>
      </w:r>
      <w:r>
        <w:rPr>
          <w:sz w:val="24"/>
        </w:rPr>
        <w:t>and</w:t>
      </w:r>
      <w:r>
        <w:rPr>
          <w:spacing w:val="-2"/>
          <w:sz w:val="24"/>
        </w:rPr>
        <w:t> </w:t>
      </w:r>
      <w:r>
        <w:rPr>
          <w:sz w:val="24"/>
        </w:rPr>
        <w:t>notices</w:t>
      </w:r>
      <w:r>
        <w:rPr>
          <w:spacing w:val="-1"/>
          <w:sz w:val="24"/>
        </w:rPr>
        <w:t> </w:t>
      </w:r>
      <w:r>
        <w:rPr>
          <w:sz w:val="24"/>
        </w:rPr>
        <w:t>for</w:t>
      </w:r>
      <w:r>
        <w:rPr>
          <w:spacing w:val="-1"/>
          <w:sz w:val="24"/>
        </w:rPr>
        <w:t> </w:t>
      </w:r>
      <w:r>
        <w:rPr>
          <w:sz w:val="24"/>
        </w:rPr>
        <w:t>LPA</w:t>
      </w:r>
      <w:r>
        <w:rPr>
          <w:spacing w:val="-3"/>
          <w:sz w:val="24"/>
        </w:rPr>
        <w:t> </w:t>
      </w:r>
      <w:r>
        <w:rPr>
          <w:sz w:val="24"/>
        </w:rPr>
        <w:t>projects</w:t>
      </w:r>
      <w:r>
        <w:rPr>
          <w:spacing w:val="-3"/>
          <w:sz w:val="24"/>
        </w:rPr>
        <w:t> </w:t>
      </w:r>
      <w:r>
        <w:rPr>
          <w:sz w:val="24"/>
        </w:rPr>
        <w:t>comply</w:t>
      </w:r>
      <w:r>
        <w:rPr>
          <w:spacing w:val="-2"/>
          <w:sz w:val="24"/>
        </w:rPr>
        <w:t> </w:t>
      </w:r>
      <w:r>
        <w:rPr>
          <w:sz w:val="24"/>
        </w:rPr>
        <w:t>with</w:t>
      </w:r>
      <w:r>
        <w:rPr>
          <w:spacing w:val="-2"/>
          <w:sz w:val="24"/>
        </w:rPr>
        <w:t> </w:t>
      </w:r>
      <w:r>
        <w:rPr>
          <w:sz w:val="24"/>
        </w:rPr>
        <w:t>Title </w:t>
      </w:r>
      <w:r>
        <w:rPr>
          <w:spacing w:val="-5"/>
          <w:sz w:val="24"/>
        </w:rPr>
        <w:t>VI.</w:t>
      </w:r>
    </w:p>
    <w:p>
      <w:pPr>
        <w:pStyle w:val="ListParagraph"/>
        <w:numPr>
          <w:ilvl w:val="0"/>
          <w:numId w:val="5"/>
        </w:numPr>
        <w:tabs>
          <w:tab w:pos="839" w:val="left" w:leader="none"/>
        </w:tabs>
        <w:spacing w:line="305" w:lineRule="exact" w:before="0" w:after="0"/>
        <w:ind w:left="839" w:right="0" w:hanging="360"/>
        <w:jc w:val="left"/>
        <w:rPr>
          <w:sz w:val="24"/>
        </w:rPr>
      </w:pPr>
      <w:r>
        <w:rPr>
          <w:sz w:val="24"/>
        </w:rPr>
        <w:t>Address</w:t>
      </w:r>
      <w:r>
        <w:rPr>
          <w:spacing w:val="-6"/>
          <w:sz w:val="24"/>
        </w:rPr>
        <w:t> </w:t>
      </w:r>
      <w:r>
        <w:rPr>
          <w:sz w:val="24"/>
        </w:rPr>
        <w:t>any</w:t>
      </w:r>
      <w:r>
        <w:rPr>
          <w:spacing w:val="-1"/>
          <w:sz w:val="24"/>
        </w:rPr>
        <w:t> </w:t>
      </w:r>
      <w:r>
        <w:rPr>
          <w:sz w:val="24"/>
        </w:rPr>
        <w:t>complaints</w:t>
      </w:r>
      <w:r>
        <w:rPr>
          <w:spacing w:val="-2"/>
          <w:sz w:val="24"/>
        </w:rPr>
        <w:t> </w:t>
      </w:r>
      <w:r>
        <w:rPr>
          <w:sz w:val="24"/>
        </w:rPr>
        <w:t>received</w:t>
      </w:r>
      <w:r>
        <w:rPr>
          <w:spacing w:val="-2"/>
          <w:sz w:val="24"/>
        </w:rPr>
        <w:t> </w:t>
      </w:r>
      <w:r>
        <w:rPr>
          <w:sz w:val="24"/>
        </w:rPr>
        <w:t>with Title</w:t>
      </w:r>
      <w:r>
        <w:rPr>
          <w:spacing w:val="-2"/>
          <w:sz w:val="24"/>
        </w:rPr>
        <w:t> </w:t>
      </w:r>
      <w:r>
        <w:rPr>
          <w:sz w:val="24"/>
        </w:rPr>
        <w:t>VI</w:t>
      </w:r>
      <w:r>
        <w:rPr>
          <w:spacing w:val="-1"/>
          <w:sz w:val="24"/>
        </w:rPr>
        <w:t> </w:t>
      </w:r>
      <w:r>
        <w:rPr>
          <w:spacing w:val="-2"/>
          <w:sz w:val="24"/>
        </w:rPr>
        <w:t>Coordinator.</w:t>
      </w:r>
    </w:p>
    <w:p>
      <w:pPr>
        <w:pStyle w:val="ListParagraph"/>
        <w:numPr>
          <w:ilvl w:val="0"/>
          <w:numId w:val="5"/>
        </w:numPr>
        <w:tabs>
          <w:tab w:pos="839" w:val="left" w:leader="none"/>
        </w:tabs>
        <w:spacing w:line="240" w:lineRule="auto" w:before="1" w:after="0"/>
        <w:ind w:left="839" w:right="113" w:hanging="360"/>
        <w:jc w:val="both"/>
        <w:rPr>
          <w:sz w:val="24"/>
        </w:rPr>
      </w:pPr>
      <w:r>
        <w:rPr>
          <w:sz w:val="24"/>
        </w:rPr>
        <w:t>Assist the Civil Rights Office with Title VI compliance reviews of those subrecipients chosen by the Civil Rights Office and the Liaison annually.</w:t>
      </w:r>
    </w:p>
    <w:p>
      <w:pPr>
        <w:pStyle w:val="ListParagraph"/>
        <w:numPr>
          <w:ilvl w:val="0"/>
          <w:numId w:val="5"/>
        </w:numPr>
        <w:tabs>
          <w:tab w:pos="839" w:val="left" w:leader="none"/>
        </w:tabs>
        <w:spacing w:line="240" w:lineRule="auto" w:before="0" w:after="0"/>
        <w:ind w:left="839"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0" w:lineRule="auto" w:before="0" w:after="0"/>
        <w:ind w:left="840" w:right="306" w:hanging="360"/>
        <w:jc w:val="both"/>
        <w:rPr>
          <w:sz w:val="24"/>
        </w:rPr>
      </w:pPr>
      <w:r>
        <w:rPr>
          <w:sz w:val="24"/>
        </w:rPr>
        <w:t>Provide</w:t>
      </w:r>
      <w:r>
        <w:rPr>
          <w:spacing w:val="-4"/>
          <w:sz w:val="24"/>
        </w:rPr>
        <w:t> </w:t>
      </w: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Office</w:t>
      </w:r>
      <w:r>
        <w:rPr>
          <w:spacing w:val="-4"/>
          <w:sz w:val="24"/>
        </w:rPr>
        <w:t> </w:t>
      </w:r>
      <w:r>
        <w:rPr>
          <w:sz w:val="24"/>
        </w:rPr>
        <w:t>with</w:t>
      </w:r>
      <w:r>
        <w:rPr>
          <w:spacing w:val="-1"/>
          <w:sz w:val="24"/>
        </w:rPr>
        <w:t> </w:t>
      </w:r>
      <w:r>
        <w:rPr>
          <w:sz w:val="24"/>
        </w:rPr>
        <w:t>an</w:t>
      </w:r>
      <w:r>
        <w:rPr>
          <w:spacing w:val="-1"/>
          <w:sz w:val="24"/>
        </w:rPr>
        <w:t> </w:t>
      </w:r>
      <w:r>
        <w:rPr>
          <w:sz w:val="24"/>
        </w:rPr>
        <w:t>annual</w:t>
      </w:r>
      <w:r>
        <w:rPr>
          <w:spacing w:val="-2"/>
          <w:sz w:val="24"/>
        </w:rPr>
        <w:t> </w:t>
      </w:r>
      <w:r>
        <w:rPr>
          <w:sz w:val="24"/>
        </w:rPr>
        <w:t>report</w:t>
      </w:r>
      <w:r>
        <w:rPr>
          <w:spacing w:val="-1"/>
          <w:sz w:val="24"/>
        </w:rPr>
        <w:t> </w:t>
      </w:r>
      <w:r>
        <w:rPr>
          <w:sz w:val="24"/>
        </w:rPr>
        <w:t>of</w:t>
      </w:r>
      <w:r>
        <w:rPr>
          <w:spacing w:val="-1"/>
          <w:sz w:val="24"/>
        </w:rPr>
        <w:t> </w:t>
      </w:r>
      <w:r>
        <w:rPr>
          <w:sz w:val="24"/>
        </w:rPr>
        <w:t>Title</w:t>
      </w:r>
      <w:r>
        <w:rPr>
          <w:spacing w:val="-4"/>
          <w:sz w:val="24"/>
        </w:rPr>
        <w:t> </w:t>
      </w:r>
      <w:r>
        <w:rPr>
          <w:sz w:val="24"/>
        </w:rPr>
        <w:t>VI</w:t>
      </w:r>
      <w:r>
        <w:rPr>
          <w:spacing w:val="-3"/>
          <w:sz w:val="24"/>
        </w:rPr>
        <w:t> </w:t>
      </w:r>
      <w:r>
        <w:rPr>
          <w:sz w:val="24"/>
        </w:rPr>
        <w:t>accomplishments</w:t>
      </w:r>
      <w:r>
        <w:rPr>
          <w:spacing w:val="-5"/>
          <w:sz w:val="24"/>
        </w:rPr>
        <w:t> </w:t>
      </w:r>
      <w:r>
        <w:rPr>
          <w:sz w:val="24"/>
        </w:rPr>
        <w:t>and/or</w:t>
      </w:r>
      <w:r>
        <w:rPr>
          <w:spacing w:val="-5"/>
          <w:sz w:val="24"/>
        </w:rPr>
        <w:t> </w:t>
      </w:r>
      <w:r>
        <w:rPr>
          <w:sz w:val="24"/>
        </w:rPr>
        <w:t>any</w:t>
      </w:r>
      <w:r>
        <w:rPr>
          <w:spacing w:val="-3"/>
          <w:sz w:val="24"/>
        </w:rPr>
        <w:t> </w:t>
      </w:r>
      <w:r>
        <w:rPr>
          <w:sz w:val="24"/>
        </w:rPr>
        <w:t>issues</w:t>
      </w:r>
      <w:r>
        <w:rPr>
          <w:spacing w:val="-5"/>
          <w:sz w:val="24"/>
        </w:rPr>
        <w:t> </w:t>
      </w:r>
      <w:r>
        <w:rPr>
          <w:sz w:val="24"/>
        </w:rPr>
        <w:t>for this year and any changes for the next year. Report is due by September 15</w:t>
      </w:r>
      <w:r>
        <w:rPr>
          <w:sz w:val="24"/>
          <w:vertAlign w:val="superscript"/>
        </w:rPr>
        <w:t>th</w:t>
      </w:r>
      <w:r>
        <w:rPr>
          <w:sz w:val="24"/>
          <w:vertAlign w:val="baseline"/>
        </w:rPr>
        <w:t> of each year.</w:t>
      </w:r>
    </w:p>
    <w:p>
      <w:pPr>
        <w:pStyle w:val="BodyText"/>
        <w:spacing w:before="11"/>
        <w:rPr>
          <w:sz w:val="23"/>
        </w:rPr>
      </w:pPr>
    </w:p>
    <w:p>
      <w:pPr>
        <w:pStyle w:val="Heading9"/>
        <w:jc w:val="both"/>
      </w:pPr>
      <w:r>
        <w:rPr/>
        <w:t>Bureau</w:t>
      </w:r>
      <w:r>
        <w:rPr>
          <w:spacing w:val="-1"/>
        </w:rPr>
        <w:t> </w:t>
      </w:r>
      <w:r>
        <w:rPr/>
        <w:t>of</w:t>
      </w:r>
      <w:r>
        <w:rPr>
          <w:spacing w:val="-3"/>
        </w:rPr>
        <w:t> </w:t>
      </w:r>
      <w:r>
        <w:rPr/>
        <w:t>Maintenance</w:t>
      </w:r>
      <w:r>
        <w:rPr>
          <w:spacing w:val="-4"/>
        </w:rPr>
        <w:t> </w:t>
      </w:r>
      <w:r>
        <w:rPr/>
        <w:t>and </w:t>
      </w:r>
      <w:r>
        <w:rPr>
          <w:spacing w:val="-2"/>
        </w:rPr>
        <w:t>Operations</w:t>
      </w:r>
    </w:p>
    <w:p>
      <w:pPr>
        <w:pStyle w:val="BodyText"/>
        <w:rPr>
          <w:b/>
        </w:rPr>
      </w:pPr>
    </w:p>
    <w:p>
      <w:pPr>
        <w:pStyle w:val="BodyText"/>
        <w:ind w:left="120" w:right="116"/>
        <w:jc w:val="both"/>
      </w:pPr>
      <w:r>
        <w:rPr/>
        <w:t>Maintenance and</w:t>
      </w:r>
      <w:r>
        <w:rPr>
          <w:spacing w:val="-1"/>
        </w:rPr>
        <w:t> </w:t>
      </w:r>
      <w:r>
        <w:rPr/>
        <w:t>Operations (M&amp;O)</w:t>
      </w:r>
      <w:r>
        <w:rPr>
          <w:spacing w:val="-3"/>
        </w:rPr>
        <w:t> </w:t>
      </w:r>
      <w:r>
        <w:rPr/>
        <w:t>oversees</w:t>
      </w:r>
      <w:r>
        <w:rPr>
          <w:spacing w:val="-3"/>
        </w:rPr>
        <w:t> </w:t>
      </w:r>
      <w:r>
        <w:rPr/>
        <w:t>the</w:t>
      </w:r>
      <w:r>
        <w:rPr>
          <w:spacing w:val="-2"/>
        </w:rPr>
        <w:t> </w:t>
      </w:r>
      <w:r>
        <w:rPr/>
        <w:t>maintenance</w:t>
      </w:r>
      <w:r>
        <w:rPr>
          <w:spacing w:val="-2"/>
        </w:rPr>
        <w:t> </w:t>
      </w:r>
      <w:r>
        <w:rPr/>
        <w:t>and repair</w:t>
      </w:r>
      <w:r>
        <w:rPr>
          <w:spacing w:val="-4"/>
        </w:rPr>
        <w:t> </w:t>
      </w:r>
      <w:r>
        <w:rPr/>
        <w:t>and</w:t>
      </w:r>
      <w:r>
        <w:rPr>
          <w:spacing w:val="-1"/>
        </w:rPr>
        <w:t> </w:t>
      </w:r>
      <w:r>
        <w:rPr/>
        <w:t>safe</w:t>
      </w:r>
      <w:r>
        <w:rPr>
          <w:spacing w:val="-2"/>
        </w:rPr>
        <w:t> </w:t>
      </w:r>
      <w:r>
        <w:rPr/>
        <w:t>operation</w:t>
      </w:r>
      <w:r>
        <w:rPr>
          <w:spacing w:val="-1"/>
        </w:rPr>
        <w:t> </w:t>
      </w:r>
      <w:r>
        <w:rPr/>
        <w:t>of all</w:t>
      </w:r>
      <w:r>
        <w:rPr>
          <w:spacing w:val="-2"/>
        </w:rPr>
        <w:t> </w:t>
      </w:r>
      <w:r>
        <w:rPr/>
        <w:t>of</w:t>
      </w:r>
      <w:r>
        <w:rPr>
          <w:spacing w:val="-1"/>
        </w:rPr>
        <w:t> </w:t>
      </w:r>
      <w:r>
        <w:rPr/>
        <w:t>Maine’s state highways and bridges.</w:t>
      </w:r>
    </w:p>
    <w:p>
      <w:pPr>
        <w:pStyle w:val="BodyText"/>
        <w:spacing w:before="2"/>
      </w:pPr>
    </w:p>
    <w:p>
      <w:pPr>
        <w:pStyle w:val="BodyText"/>
        <w:ind w:left="120"/>
        <w:jc w:val="both"/>
      </w:pPr>
      <w:r>
        <w:rPr/>
        <w:t>The</w:t>
      </w:r>
      <w:r>
        <w:rPr>
          <w:spacing w:val="-3"/>
        </w:rPr>
        <w:t> </w:t>
      </w:r>
      <w:r>
        <w:rPr/>
        <w:t>Bureau’s</w:t>
      </w:r>
      <w:r>
        <w:rPr>
          <w:spacing w:val="-4"/>
        </w:rPr>
        <w:t> </w:t>
      </w:r>
      <w:r>
        <w:rPr/>
        <w:t>Title VI</w:t>
      </w:r>
      <w:r>
        <w:rPr>
          <w:spacing w:val="-4"/>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305" w:lineRule="exact" w:before="0" w:after="0"/>
        <w:ind w:left="839" w:right="0" w:hanging="359"/>
        <w:jc w:val="left"/>
        <w:rPr>
          <w:sz w:val="24"/>
        </w:rPr>
      </w:pPr>
      <w:r>
        <w:rPr>
          <w:sz w:val="24"/>
        </w:rPr>
        <w:t>Monitor</w:t>
      </w:r>
      <w:r>
        <w:rPr>
          <w:spacing w:val="-3"/>
          <w:sz w:val="24"/>
        </w:rPr>
        <w:t> </w:t>
      </w:r>
      <w:r>
        <w:rPr>
          <w:sz w:val="24"/>
        </w:rPr>
        <w:t>all</w:t>
      </w:r>
      <w:r>
        <w:rPr>
          <w:spacing w:val="-3"/>
          <w:sz w:val="24"/>
        </w:rPr>
        <w:t> </w:t>
      </w:r>
      <w:r>
        <w:rPr>
          <w:sz w:val="24"/>
        </w:rPr>
        <w:t>M&amp;O</w:t>
      </w:r>
      <w:r>
        <w:rPr>
          <w:spacing w:val="-1"/>
          <w:sz w:val="24"/>
        </w:rPr>
        <w:t> </w:t>
      </w:r>
      <w:r>
        <w:rPr>
          <w:sz w:val="24"/>
        </w:rPr>
        <w:t>activities</w:t>
      </w:r>
      <w:r>
        <w:rPr>
          <w:spacing w:val="-1"/>
          <w:sz w:val="24"/>
        </w:rPr>
        <w:t> </w:t>
      </w:r>
      <w:r>
        <w:rPr>
          <w:sz w:val="24"/>
        </w:rPr>
        <w:t>to</w:t>
      </w:r>
      <w:r>
        <w:rPr>
          <w:spacing w:val="-2"/>
          <w:sz w:val="24"/>
        </w:rPr>
        <w:t> </w:t>
      </w:r>
      <w:r>
        <w:rPr>
          <w:sz w:val="24"/>
        </w:rPr>
        <w:t>ensure</w:t>
      </w:r>
      <w:r>
        <w:rPr>
          <w:spacing w:val="-2"/>
          <w:sz w:val="24"/>
        </w:rPr>
        <w:t> </w:t>
      </w:r>
      <w:r>
        <w:rPr>
          <w:sz w:val="24"/>
        </w:rPr>
        <w:t>nondiscrimination</w:t>
      </w:r>
      <w:r>
        <w:rPr>
          <w:spacing w:val="-2"/>
          <w:sz w:val="24"/>
        </w:rPr>
        <w:t> </w:t>
      </w:r>
      <w:r>
        <w:rPr>
          <w:sz w:val="24"/>
        </w:rPr>
        <w:t>with</w:t>
      </w:r>
      <w:r>
        <w:rPr>
          <w:spacing w:val="-2"/>
          <w:sz w:val="24"/>
        </w:rPr>
        <w:t> </w:t>
      </w:r>
      <w:r>
        <w:rPr>
          <w:sz w:val="24"/>
        </w:rPr>
        <w:t>program</w:t>
      </w:r>
      <w:r>
        <w:rPr>
          <w:spacing w:val="-2"/>
          <w:sz w:val="24"/>
        </w:rPr>
        <w:t> areas.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6"/>
          <w:sz w:val="24"/>
        </w:rPr>
        <w:t> </w:t>
      </w:r>
      <w:r>
        <w:rPr>
          <w:sz w:val="24"/>
        </w:rPr>
        <w:t>information to</w:t>
      </w:r>
      <w:r>
        <w:rPr>
          <w:spacing w:val="-3"/>
          <w:sz w:val="24"/>
        </w:rPr>
        <w:t> </w:t>
      </w:r>
      <w:r>
        <w:rPr>
          <w:sz w:val="24"/>
        </w:rPr>
        <w:t>program</w:t>
      </w:r>
      <w:r>
        <w:rPr>
          <w:spacing w:val="-2"/>
          <w:sz w:val="24"/>
        </w:rPr>
        <w:t> </w:t>
      </w:r>
      <w:r>
        <w:rPr>
          <w:sz w:val="24"/>
        </w:rPr>
        <w:t>area</w:t>
      </w:r>
      <w:r>
        <w:rPr>
          <w:spacing w:val="-1"/>
          <w:sz w:val="24"/>
        </w:rPr>
        <w:t> </w:t>
      </w:r>
      <w:r>
        <w:rPr>
          <w:sz w:val="24"/>
        </w:rPr>
        <w:t>staff</w:t>
      </w:r>
      <w:r>
        <w:rPr>
          <w:spacing w:val="-3"/>
          <w:sz w:val="24"/>
        </w:rPr>
        <w:t> </w:t>
      </w:r>
      <w:r>
        <w:rPr>
          <w:sz w:val="24"/>
        </w:rPr>
        <w:t>regarding</w:t>
      </w:r>
      <w:r>
        <w:rPr>
          <w:spacing w:val="-3"/>
          <w:sz w:val="24"/>
        </w:rPr>
        <w:t> </w:t>
      </w:r>
      <w:r>
        <w:rPr>
          <w:sz w:val="24"/>
        </w:rPr>
        <w:t>Title</w:t>
      </w:r>
      <w:r>
        <w:rPr>
          <w:spacing w:val="-3"/>
          <w:sz w:val="24"/>
        </w:rPr>
        <w:t> </w:t>
      </w:r>
      <w:r>
        <w:rPr>
          <w:sz w:val="24"/>
        </w:rPr>
        <w:t>VI</w:t>
      </w:r>
      <w:r>
        <w:rPr>
          <w:spacing w:val="-2"/>
          <w:sz w:val="24"/>
        </w:rPr>
        <w:t> </w:t>
      </w:r>
      <w:r>
        <w:rPr>
          <w:sz w:val="24"/>
        </w:rPr>
        <w:t>when</w:t>
      </w:r>
      <w:r>
        <w:rPr>
          <w:spacing w:val="-3"/>
          <w:sz w:val="24"/>
        </w:rPr>
        <w:t> </w:t>
      </w:r>
      <w:r>
        <w:rPr>
          <w:spacing w:val="-2"/>
          <w:sz w:val="24"/>
        </w:rPr>
        <w:t>necessary.</w:t>
      </w:r>
    </w:p>
    <w:p>
      <w:pPr>
        <w:pStyle w:val="ListParagraph"/>
        <w:numPr>
          <w:ilvl w:val="0"/>
          <w:numId w:val="5"/>
        </w:numPr>
        <w:tabs>
          <w:tab w:pos="839" w:val="left" w:leader="none"/>
        </w:tabs>
        <w:spacing w:line="305" w:lineRule="exact" w:before="2" w:after="0"/>
        <w:ind w:left="839" w:right="0" w:hanging="359"/>
        <w:jc w:val="left"/>
        <w:rPr>
          <w:sz w:val="24"/>
        </w:rPr>
      </w:pPr>
      <w:r>
        <w:rPr>
          <w:sz w:val="24"/>
        </w:rPr>
        <w:t>Address</w:t>
      </w:r>
      <w:r>
        <w:rPr>
          <w:spacing w:val="-6"/>
          <w:sz w:val="24"/>
        </w:rPr>
        <w:t> </w:t>
      </w:r>
      <w:r>
        <w:rPr>
          <w:sz w:val="24"/>
        </w:rPr>
        <w:t>any</w:t>
      </w:r>
      <w:r>
        <w:rPr>
          <w:spacing w:val="-4"/>
          <w:sz w:val="24"/>
        </w:rPr>
        <w:t> </w:t>
      </w:r>
      <w:r>
        <w:rPr>
          <w:sz w:val="24"/>
        </w:rPr>
        <w:t>external complaints</w:t>
      </w:r>
      <w:r>
        <w:rPr>
          <w:spacing w:val="-1"/>
          <w:sz w:val="24"/>
        </w:rPr>
        <w:t> </w:t>
      </w:r>
      <w:r>
        <w:rPr>
          <w:sz w:val="24"/>
        </w:rPr>
        <w:t>received</w:t>
      </w:r>
      <w:r>
        <w:rPr>
          <w:spacing w:val="-3"/>
          <w:sz w:val="24"/>
        </w:rPr>
        <w:t> </w:t>
      </w:r>
      <w:r>
        <w:rPr>
          <w:sz w:val="24"/>
        </w:rPr>
        <w:t>with</w:t>
      </w:r>
      <w:r>
        <w:rPr>
          <w:spacing w:val="-2"/>
          <w:sz w:val="24"/>
        </w:rPr>
        <w:t> </w:t>
      </w:r>
      <w:r>
        <w:rPr>
          <w:sz w:val="24"/>
        </w:rPr>
        <w:t>the Title</w:t>
      </w:r>
      <w:r>
        <w:rPr>
          <w:spacing w:val="-2"/>
          <w:sz w:val="24"/>
        </w:rPr>
        <w:t> </w:t>
      </w:r>
      <w:r>
        <w:rPr>
          <w:sz w:val="24"/>
        </w:rPr>
        <w:t>VI</w:t>
      </w:r>
      <w:r>
        <w:rPr>
          <w:spacing w:val="-1"/>
          <w:sz w:val="24"/>
        </w:rPr>
        <w:t> </w:t>
      </w:r>
      <w:r>
        <w:rPr>
          <w:spacing w:val="-2"/>
          <w:sz w:val="24"/>
        </w:rPr>
        <w:t>Coordinator.</w:t>
      </w:r>
    </w:p>
    <w:p>
      <w:pPr>
        <w:pStyle w:val="ListParagraph"/>
        <w:numPr>
          <w:ilvl w:val="0"/>
          <w:numId w:val="5"/>
        </w:numPr>
        <w:tabs>
          <w:tab w:pos="840" w:val="left" w:leader="none"/>
        </w:tabs>
        <w:spacing w:line="240" w:lineRule="auto" w:before="0" w:after="0"/>
        <w:ind w:left="840"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0" w:lineRule="auto" w:before="0" w:after="0"/>
        <w:ind w:left="840" w:right="114" w:hanging="360"/>
        <w:jc w:val="both"/>
        <w:rPr>
          <w:sz w:val="24"/>
        </w:rPr>
      </w:pPr>
      <w:r>
        <w:rPr>
          <w:sz w:val="24"/>
        </w:rPr>
        <w:t>Provide</w:t>
      </w:r>
      <w:r>
        <w:rPr>
          <w:spacing w:val="-8"/>
          <w:sz w:val="24"/>
        </w:rPr>
        <w:t> </w:t>
      </w:r>
      <w:r>
        <w:rPr>
          <w:sz w:val="24"/>
        </w:rPr>
        <w:t>the</w:t>
      </w:r>
      <w:r>
        <w:rPr>
          <w:spacing w:val="-8"/>
          <w:sz w:val="24"/>
        </w:rPr>
        <w:t> </w:t>
      </w:r>
      <w:r>
        <w:rPr>
          <w:sz w:val="24"/>
        </w:rPr>
        <w:t>Title</w:t>
      </w:r>
      <w:r>
        <w:rPr>
          <w:spacing w:val="-8"/>
          <w:sz w:val="24"/>
        </w:rPr>
        <w:t> </w:t>
      </w:r>
      <w:r>
        <w:rPr>
          <w:sz w:val="24"/>
        </w:rPr>
        <w:t>VI</w:t>
      </w:r>
      <w:r>
        <w:rPr>
          <w:spacing w:val="-7"/>
          <w:sz w:val="24"/>
        </w:rPr>
        <w:t> </w:t>
      </w:r>
      <w:r>
        <w:rPr>
          <w:sz w:val="24"/>
        </w:rPr>
        <w:t>Coordinator</w:t>
      </w:r>
      <w:r>
        <w:rPr>
          <w:spacing w:val="-8"/>
          <w:sz w:val="24"/>
        </w:rPr>
        <w:t> </w:t>
      </w:r>
      <w:r>
        <w:rPr>
          <w:sz w:val="24"/>
        </w:rPr>
        <w:t>with</w:t>
      </w:r>
      <w:r>
        <w:rPr>
          <w:spacing w:val="-8"/>
          <w:sz w:val="24"/>
        </w:rPr>
        <w:t> </w:t>
      </w:r>
      <w:r>
        <w:rPr>
          <w:sz w:val="24"/>
        </w:rPr>
        <w:t>an</w:t>
      </w:r>
      <w:r>
        <w:rPr>
          <w:spacing w:val="-8"/>
          <w:sz w:val="24"/>
        </w:rPr>
        <w:t> </w:t>
      </w:r>
      <w:r>
        <w:rPr>
          <w:sz w:val="24"/>
        </w:rPr>
        <w:t>annual</w:t>
      </w:r>
      <w:r>
        <w:rPr>
          <w:spacing w:val="-6"/>
          <w:sz w:val="24"/>
        </w:rPr>
        <w:t> </w:t>
      </w:r>
      <w:r>
        <w:rPr>
          <w:sz w:val="24"/>
        </w:rPr>
        <w:t>report</w:t>
      </w:r>
      <w:r>
        <w:rPr>
          <w:spacing w:val="-8"/>
          <w:sz w:val="24"/>
        </w:rPr>
        <w:t> </w:t>
      </w:r>
      <w:r>
        <w:rPr>
          <w:sz w:val="24"/>
        </w:rPr>
        <w:t>on</w:t>
      </w:r>
      <w:r>
        <w:rPr>
          <w:spacing w:val="-8"/>
          <w:sz w:val="24"/>
        </w:rPr>
        <w:t> </w:t>
      </w:r>
      <w:r>
        <w:rPr>
          <w:sz w:val="24"/>
        </w:rPr>
        <w:t>Title</w:t>
      </w:r>
      <w:r>
        <w:rPr>
          <w:spacing w:val="-8"/>
          <w:sz w:val="24"/>
        </w:rPr>
        <w:t> </w:t>
      </w:r>
      <w:r>
        <w:rPr>
          <w:sz w:val="24"/>
        </w:rPr>
        <w:t>VI</w:t>
      </w:r>
      <w:r>
        <w:rPr>
          <w:spacing w:val="-9"/>
          <w:sz w:val="24"/>
        </w:rPr>
        <w:t> </w:t>
      </w:r>
      <w:r>
        <w:rPr>
          <w:sz w:val="24"/>
        </w:rPr>
        <w:t>accomplishments</w:t>
      </w:r>
      <w:r>
        <w:rPr>
          <w:spacing w:val="-7"/>
          <w:sz w:val="24"/>
        </w:rPr>
        <w:t> </w:t>
      </w:r>
      <w:r>
        <w:rPr>
          <w:sz w:val="24"/>
        </w:rPr>
        <w:t>and/or</w:t>
      </w:r>
      <w:r>
        <w:rPr>
          <w:spacing w:val="-8"/>
          <w:sz w:val="24"/>
        </w:rPr>
        <w:t> </w:t>
      </w:r>
      <w:r>
        <w:rPr>
          <w:sz w:val="24"/>
        </w:rPr>
        <w:t>issues</w:t>
      </w:r>
      <w:r>
        <w:rPr>
          <w:spacing w:val="-9"/>
          <w:sz w:val="24"/>
        </w:rPr>
        <w:t> </w:t>
      </w:r>
      <w:r>
        <w:rPr>
          <w:sz w:val="24"/>
        </w:rPr>
        <w:t>for</w:t>
      </w:r>
      <w:r>
        <w:rPr>
          <w:spacing w:val="-8"/>
          <w:sz w:val="24"/>
        </w:rPr>
        <w:t> </w:t>
      </w:r>
      <w:r>
        <w:rPr>
          <w:sz w:val="24"/>
        </w:rPr>
        <w:t>this year and any changes for the upcoming year.</w:t>
      </w:r>
      <w:r>
        <w:rPr>
          <w:spacing w:val="40"/>
          <w:sz w:val="24"/>
        </w:rPr>
        <w:t> </w:t>
      </w:r>
      <w:r>
        <w:rPr>
          <w:sz w:val="24"/>
        </w:rPr>
        <w:t>The report is due to the Civil Rights Office by September 15</w:t>
      </w:r>
      <w:r>
        <w:rPr>
          <w:sz w:val="24"/>
          <w:vertAlign w:val="superscript"/>
        </w:rPr>
        <w:t>th</w:t>
      </w:r>
      <w:r>
        <w:rPr>
          <w:sz w:val="24"/>
          <w:vertAlign w:val="baseline"/>
        </w:rPr>
        <w:t> of each year.</w:t>
      </w:r>
    </w:p>
    <w:p>
      <w:pPr>
        <w:pStyle w:val="BodyText"/>
        <w:spacing w:before="12"/>
        <w:rPr>
          <w:sz w:val="23"/>
        </w:rPr>
      </w:pPr>
    </w:p>
    <w:p>
      <w:pPr>
        <w:pStyle w:val="Heading9"/>
        <w:jc w:val="both"/>
      </w:pPr>
      <w:r>
        <w:rPr/>
        <w:t>Traffic</w:t>
      </w:r>
      <w:r>
        <w:rPr>
          <w:spacing w:val="1"/>
        </w:rPr>
        <w:t> </w:t>
      </w:r>
      <w:r>
        <w:rPr>
          <w:spacing w:val="-2"/>
        </w:rPr>
        <w:t>Engineering</w:t>
      </w:r>
    </w:p>
    <w:p>
      <w:pPr>
        <w:pStyle w:val="BodyText"/>
        <w:spacing w:before="11"/>
        <w:rPr>
          <w:b/>
          <w:sz w:val="23"/>
        </w:rPr>
      </w:pPr>
    </w:p>
    <w:p>
      <w:pPr>
        <w:pStyle w:val="BodyText"/>
        <w:spacing w:before="1"/>
        <w:ind w:left="120" w:right="114"/>
        <w:jc w:val="both"/>
      </w:pPr>
      <w:r>
        <w:rPr/>
        <w:t>Traffic</w:t>
      </w:r>
      <w:r>
        <w:rPr>
          <w:spacing w:val="-3"/>
        </w:rPr>
        <w:t> </w:t>
      </w:r>
      <w:r>
        <w:rPr/>
        <w:t>Engineering</w:t>
      </w:r>
      <w:r>
        <w:rPr>
          <w:spacing w:val="-3"/>
        </w:rPr>
        <w:t> </w:t>
      </w:r>
      <w:r>
        <w:rPr>
          <w:color w:val="333333"/>
        </w:rPr>
        <w:t>is</w:t>
      </w:r>
      <w:r>
        <w:rPr>
          <w:color w:val="333333"/>
          <w:spacing w:val="-5"/>
        </w:rPr>
        <w:t> </w:t>
      </w:r>
      <w:r>
        <w:rPr>
          <w:color w:val="333333"/>
        </w:rPr>
        <w:t>responsible</w:t>
      </w:r>
      <w:r>
        <w:rPr>
          <w:color w:val="333333"/>
          <w:spacing w:val="-4"/>
        </w:rPr>
        <w:t> </w:t>
      </w:r>
      <w:r>
        <w:rPr>
          <w:color w:val="333333"/>
        </w:rPr>
        <w:t>for</w:t>
      </w:r>
      <w:r>
        <w:rPr>
          <w:color w:val="333333"/>
          <w:spacing w:val="-5"/>
        </w:rPr>
        <w:t> </w:t>
      </w:r>
      <w:r>
        <w:rPr>
          <w:color w:val="333333"/>
        </w:rPr>
        <w:t>tracking</w:t>
      </w:r>
      <w:r>
        <w:rPr>
          <w:color w:val="333333"/>
          <w:spacing w:val="-5"/>
        </w:rPr>
        <w:t> </w:t>
      </w:r>
      <w:r>
        <w:rPr>
          <w:color w:val="333333"/>
        </w:rPr>
        <w:t>crash</w:t>
      </w:r>
      <w:r>
        <w:rPr>
          <w:color w:val="333333"/>
          <w:spacing w:val="-1"/>
        </w:rPr>
        <w:t> </w:t>
      </w:r>
      <w:r>
        <w:rPr>
          <w:color w:val="333333"/>
        </w:rPr>
        <w:t>records,</w:t>
      </w:r>
      <w:r>
        <w:rPr>
          <w:color w:val="333333"/>
          <w:spacing w:val="-2"/>
        </w:rPr>
        <w:t> </w:t>
      </w:r>
      <w:r>
        <w:rPr>
          <w:color w:val="333333"/>
        </w:rPr>
        <w:t>collecting</w:t>
      </w:r>
      <w:r>
        <w:rPr>
          <w:color w:val="333333"/>
          <w:spacing w:val="-5"/>
        </w:rPr>
        <w:t> </w:t>
      </w:r>
      <w:r>
        <w:rPr>
          <w:color w:val="333333"/>
        </w:rPr>
        <w:t>traffic</w:t>
      </w:r>
      <w:r>
        <w:rPr>
          <w:color w:val="333333"/>
          <w:spacing w:val="-3"/>
        </w:rPr>
        <w:t> </w:t>
      </w:r>
      <w:r>
        <w:rPr>
          <w:color w:val="333333"/>
        </w:rPr>
        <w:t>data</w:t>
      </w:r>
      <w:r>
        <w:rPr>
          <w:color w:val="333333"/>
          <w:spacing w:val="-5"/>
        </w:rPr>
        <w:t> </w:t>
      </w:r>
      <w:r>
        <w:rPr>
          <w:color w:val="333333"/>
        </w:rPr>
        <w:t>and</w:t>
      </w:r>
      <w:r>
        <w:rPr>
          <w:color w:val="333333"/>
          <w:spacing w:val="-1"/>
        </w:rPr>
        <w:t> </w:t>
      </w:r>
      <w:r>
        <w:rPr>
          <w:color w:val="333333"/>
        </w:rPr>
        <w:t>maintaining</w:t>
      </w:r>
      <w:r>
        <w:rPr>
          <w:color w:val="333333"/>
          <w:spacing w:val="-5"/>
        </w:rPr>
        <w:t> </w:t>
      </w:r>
      <w:r>
        <w:rPr>
          <w:color w:val="333333"/>
        </w:rPr>
        <w:t>MaineDOT's electrical devices and pavement marking program. The section also includes right of way control and our sign </w:t>
      </w:r>
      <w:r>
        <w:rPr>
          <w:color w:val="333333"/>
          <w:spacing w:val="-4"/>
        </w:rPr>
        <w:t>shop.</w:t>
      </w:r>
    </w:p>
    <w:p>
      <w:pPr>
        <w:pStyle w:val="BodyText"/>
        <w:spacing w:before="11"/>
        <w:rPr>
          <w:sz w:val="23"/>
        </w:rPr>
      </w:pPr>
    </w:p>
    <w:p>
      <w:pPr>
        <w:pStyle w:val="BodyText"/>
        <w:ind w:left="120"/>
        <w:jc w:val="both"/>
      </w:pPr>
      <w:r>
        <w:rPr/>
        <w:t>The</w:t>
      </w:r>
      <w:r>
        <w:rPr>
          <w:spacing w:val="-3"/>
        </w:rPr>
        <w:t> </w:t>
      </w:r>
      <w:r>
        <w:rPr/>
        <w:t>Bureau’s</w:t>
      </w:r>
      <w:r>
        <w:rPr>
          <w:spacing w:val="-4"/>
        </w:rPr>
        <w:t> </w:t>
      </w:r>
      <w:r>
        <w:rPr/>
        <w:t>Title VI</w:t>
      </w:r>
      <w:r>
        <w:rPr>
          <w:spacing w:val="-4"/>
        </w:rPr>
        <w:t> </w:t>
      </w:r>
      <w:r>
        <w:rPr/>
        <w:t>Liaison</w:t>
      </w:r>
      <w:r>
        <w:rPr>
          <w:spacing w:val="-2"/>
        </w:rPr>
        <w:t> will:</w:t>
      </w:r>
    </w:p>
    <w:p>
      <w:pPr>
        <w:pStyle w:val="BodyText"/>
        <w:spacing w:before="1"/>
      </w:pPr>
    </w:p>
    <w:p>
      <w:pPr>
        <w:pStyle w:val="ListParagraph"/>
        <w:numPr>
          <w:ilvl w:val="0"/>
          <w:numId w:val="5"/>
        </w:numPr>
        <w:tabs>
          <w:tab w:pos="839" w:val="left" w:leader="none"/>
        </w:tabs>
        <w:spacing w:line="305" w:lineRule="exact" w:before="0" w:after="0"/>
        <w:ind w:left="839" w:right="0" w:hanging="359"/>
        <w:jc w:val="left"/>
        <w:rPr>
          <w:sz w:val="24"/>
        </w:rPr>
      </w:pPr>
      <w:r>
        <w:rPr>
          <w:sz w:val="24"/>
        </w:rPr>
        <w:t>Monitor</w:t>
      </w:r>
      <w:r>
        <w:rPr>
          <w:spacing w:val="-6"/>
          <w:sz w:val="24"/>
        </w:rPr>
        <w:t> </w:t>
      </w:r>
      <w:r>
        <w:rPr>
          <w:sz w:val="24"/>
        </w:rPr>
        <w:t>all</w:t>
      </w:r>
      <w:r>
        <w:rPr>
          <w:spacing w:val="-3"/>
          <w:sz w:val="24"/>
        </w:rPr>
        <w:t> </w:t>
      </w:r>
      <w:r>
        <w:rPr>
          <w:sz w:val="24"/>
        </w:rPr>
        <w:t>traffic</w:t>
      </w:r>
      <w:r>
        <w:rPr>
          <w:spacing w:val="-1"/>
          <w:sz w:val="24"/>
        </w:rPr>
        <w:t> </w:t>
      </w:r>
      <w:r>
        <w:rPr>
          <w:sz w:val="24"/>
        </w:rPr>
        <w:t>activities</w:t>
      </w:r>
      <w:r>
        <w:rPr>
          <w:spacing w:val="-1"/>
          <w:sz w:val="24"/>
        </w:rPr>
        <w:t> </w:t>
      </w:r>
      <w:r>
        <w:rPr>
          <w:sz w:val="24"/>
        </w:rPr>
        <w:t>to</w:t>
      </w:r>
      <w:r>
        <w:rPr>
          <w:spacing w:val="-3"/>
          <w:sz w:val="24"/>
        </w:rPr>
        <w:t> </w:t>
      </w:r>
      <w:r>
        <w:rPr>
          <w:sz w:val="24"/>
        </w:rPr>
        <w:t>ensure</w:t>
      </w:r>
      <w:r>
        <w:rPr>
          <w:spacing w:val="-2"/>
          <w:sz w:val="24"/>
        </w:rPr>
        <w:t> </w:t>
      </w:r>
      <w:r>
        <w:rPr>
          <w:sz w:val="24"/>
        </w:rPr>
        <w:t>nondiscrimination</w:t>
      </w:r>
      <w:r>
        <w:rPr>
          <w:spacing w:val="-2"/>
          <w:sz w:val="24"/>
        </w:rPr>
        <w:t> </w:t>
      </w:r>
      <w:r>
        <w:rPr>
          <w:sz w:val="24"/>
        </w:rPr>
        <w:t>with</w:t>
      </w:r>
      <w:r>
        <w:rPr>
          <w:spacing w:val="-2"/>
          <w:sz w:val="24"/>
        </w:rPr>
        <w:t> </w:t>
      </w:r>
      <w:r>
        <w:rPr>
          <w:sz w:val="24"/>
        </w:rPr>
        <w:t>program</w:t>
      </w:r>
      <w:r>
        <w:rPr>
          <w:spacing w:val="-3"/>
          <w:sz w:val="24"/>
        </w:rPr>
        <w:t> </w:t>
      </w:r>
      <w:r>
        <w:rPr>
          <w:spacing w:val="-2"/>
          <w:sz w:val="24"/>
        </w:rPr>
        <w:t>areas.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6"/>
          <w:sz w:val="24"/>
        </w:rPr>
        <w:t> </w:t>
      </w:r>
      <w:r>
        <w:rPr>
          <w:sz w:val="24"/>
        </w:rPr>
        <w:t>information to</w:t>
      </w:r>
      <w:r>
        <w:rPr>
          <w:spacing w:val="-3"/>
          <w:sz w:val="24"/>
        </w:rPr>
        <w:t> </w:t>
      </w:r>
      <w:r>
        <w:rPr>
          <w:sz w:val="24"/>
        </w:rPr>
        <w:t>program</w:t>
      </w:r>
      <w:r>
        <w:rPr>
          <w:spacing w:val="-2"/>
          <w:sz w:val="24"/>
        </w:rPr>
        <w:t> </w:t>
      </w:r>
      <w:r>
        <w:rPr>
          <w:sz w:val="24"/>
        </w:rPr>
        <w:t>area</w:t>
      </w:r>
      <w:r>
        <w:rPr>
          <w:spacing w:val="-1"/>
          <w:sz w:val="24"/>
        </w:rPr>
        <w:t> </w:t>
      </w:r>
      <w:r>
        <w:rPr>
          <w:sz w:val="24"/>
        </w:rPr>
        <w:t>staff</w:t>
      </w:r>
      <w:r>
        <w:rPr>
          <w:spacing w:val="-3"/>
          <w:sz w:val="24"/>
        </w:rPr>
        <w:t> </w:t>
      </w:r>
      <w:r>
        <w:rPr>
          <w:sz w:val="24"/>
        </w:rPr>
        <w:t>regarding</w:t>
      </w:r>
      <w:r>
        <w:rPr>
          <w:spacing w:val="-3"/>
          <w:sz w:val="24"/>
        </w:rPr>
        <w:t> </w:t>
      </w:r>
      <w:r>
        <w:rPr>
          <w:sz w:val="24"/>
        </w:rPr>
        <w:t>Title</w:t>
      </w:r>
      <w:r>
        <w:rPr>
          <w:spacing w:val="-3"/>
          <w:sz w:val="24"/>
        </w:rPr>
        <w:t> </w:t>
      </w:r>
      <w:r>
        <w:rPr>
          <w:sz w:val="24"/>
        </w:rPr>
        <w:t>VI</w:t>
      </w:r>
      <w:r>
        <w:rPr>
          <w:spacing w:val="-2"/>
          <w:sz w:val="24"/>
        </w:rPr>
        <w:t> </w:t>
      </w:r>
      <w:r>
        <w:rPr>
          <w:sz w:val="24"/>
        </w:rPr>
        <w:t>when</w:t>
      </w:r>
      <w:r>
        <w:rPr>
          <w:spacing w:val="-3"/>
          <w:sz w:val="24"/>
        </w:rPr>
        <w:t> </w:t>
      </w:r>
      <w:r>
        <w:rPr>
          <w:spacing w:val="-2"/>
          <w:sz w:val="24"/>
        </w:rPr>
        <w:t>necessary.</w:t>
      </w:r>
    </w:p>
    <w:p>
      <w:pPr>
        <w:pStyle w:val="ListParagraph"/>
        <w:numPr>
          <w:ilvl w:val="0"/>
          <w:numId w:val="5"/>
        </w:numPr>
        <w:tabs>
          <w:tab w:pos="839" w:val="left" w:leader="none"/>
        </w:tabs>
        <w:spacing w:line="305" w:lineRule="exact" w:before="0" w:after="0"/>
        <w:ind w:left="839" w:right="0" w:hanging="359"/>
        <w:jc w:val="left"/>
        <w:rPr>
          <w:sz w:val="24"/>
        </w:rPr>
      </w:pPr>
      <w:r>
        <w:rPr>
          <w:sz w:val="24"/>
        </w:rPr>
        <w:t>Address</w:t>
      </w:r>
      <w:r>
        <w:rPr>
          <w:spacing w:val="-6"/>
          <w:sz w:val="24"/>
        </w:rPr>
        <w:t> </w:t>
      </w:r>
      <w:r>
        <w:rPr>
          <w:sz w:val="24"/>
        </w:rPr>
        <w:t>any</w:t>
      </w:r>
      <w:r>
        <w:rPr>
          <w:spacing w:val="-4"/>
          <w:sz w:val="24"/>
        </w:rPr>
        <w:t> </w:t>
      </w:r>
      <w:r>
        <w:rPr>
          <w:sz w:val="24"/>
        </w:rPr>
        <w:t>external complaints</w:t>
      </w:r>
      <w:r>
        <w:rPr>
          <w:spacing w:val="-1"/>
          <w:sz w:val="24"/>
        </w:rPr>
        <w:t> </w:t>
      </w:r>
      <w:r>
        <w:rPr>
          <w:sz w:val="24"/>
        </w:rPr>
        <w:t>received</w:t>
      </w:r>
      <w:r>
        <w:rPr>
          <w:spacing w:val="-3"/>
          <w:sz w:val="24"/>
        </w:rPr>
        <w:t> </w:t>
      </w:r>
      <w:r>
        <w:rPr>
          <w:sz w:val="24"/>
        </w:rPr>
        <w:t>with</w:t>
      </w:r>
      <w:r>
        <w:rPr>
          <w:spacing w:val="-2"/>
          <w:sz w:val="24"/>
        </w:rPr>
        <w:t> </w:t>
      </w:r>
      <w:r>
        <w:rPr>
          <w:sz w:val="24"/>
        </w:rPr>
        <w:t>the Title</w:t>
      </w:r>
      <w:r>
        <w:rPr>
          <w:spacing w:val="-2"/>
          <w:sz w:val="24"/>
        </w:rPr>
        <w:t> </w:t>
      </w:r>
      <w:r>
        <w:rPr>
          <w:sz w:val="24"/>
        </w:rPr>
        <w:t>VI</w:t>
      </w:r>
      <w:r>
        <w:rPr>
          <w:spacing w:val="-1"/>
          <w:sz w:val="24"/>
        </w:rPr>
        <w:t> </w:t>
      </w:r>
      <w:r>
        <w:rPr>
          <w:spacing w:val="-2"/>
          <w:sz w:val="24"/>
        </w:rPr>
        <w:t>Coordinator.</w:t>
      </w:r>
    </w:p>
    <w:p>
      <w:pPr>
        <w:pStyle w:val="ListParagraph"/>
        <w:numPr>
          <w:ilvl w:val="0"/>
          <w:numId w:val="5"/>
        </w:numPr>
        <w:tabs>
          <w:tab w:pos="840" w:val="left" w:leader="none"/>
        </w:tabs>
        <w:spacing w:line="240" w:lineRule="auto" w:before="2" w:after="0"/>
        <w:ind w:left="840" w:right="113"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spacing w:after="0" w:line="240" w:lineRule="auto"/>
        <w:jc w:val="both"/>
        <w:rPr>
          <w:sz w:val="24"/>
        </w:rPr>
        <w:sectPr>
          <w:pgSz w:w="12240" w:h="15840"/>
          <w:pgMar w:header="0" w:footer="1063" w:top="920" w:bottom="1260" w:left="600" w:right="600"/>
        </w:sectPr>
      </w:pPr>
    </w:p>
    <w:p>
      <w:pPr>
        <w:pStyle w:val="ListParagraph"/>
        <w:numPr>
          <w:ilvl w:val="0"/>
          <w:numId w:val="5"/>
        </w:numPr>
        <w:tabs>
          <w:tab w:pos="840" w:val="left" w:leader="none"/>
        </w:tabs>
        <w:spacing w:line="240" w:lineRule="auto" w:before="74" w:after="0"/>
        <w:ind w:left="840" w:right="114" w:hanging="360"/>
        <w:jc w:val="both"/>
        <w:rPr>
          <w:sz w:val="24"/>
        </w:rPr>
      </w:pPr>
      <w:r>
        <w:rPr>
          <w:sz w:val="24"/>
        </w:rPr>
        <w:t>Provide</w:t>
      </w:r>
      <w:r>
        <w:rPr>
          <w:spacing w:val="-8"/>
          <w:sz w:val="24"/>
        </w:rPr>
        <w:t> </w:t>
      </w:r>
      <w:r>
        <w:rPr>
          <w:sz w:val="24"/>
        </w:rPr>
        <w:t>the</w:t>
      </w:r>
      <w:r>
        <w:rPr>
          <w:spacing w:val="-8"/>
          <w:sz w:val="24"/>
        </w:rPr>
        <w:t> </w:t>
      </w:r>
      <w:r>
        <w:rPr>
          <w:sz w:val="24"/>
        </w:rPr>
        <w:t>Title</w:t>
      </w:r>
      <w:r>
        <w:rPr>
          <w:spacing w:val="-8"/>
          <w:sz w:val="24"/>
        </w:rPr>
        <w:t> </w:t>
      </w:r>
      <w:r>
        <w:rPr>
          <w:sz w:val="24"/>
        </w:rPr>
        <w:t>VI</w:t>
      </w:r>
      <w:r>
        <w:rPr>
          <w:spacing w:val="-7"/>
          <w:sz w:val="24"/>
        </w:rPr>
        <w:t> </w:t>
      </w:r>
      <w:r>
        <w:rPr>
          <w:sz w:val="24"/>
        </w:rPr>
        <w:t>Coordinator</w:t>
      </w:r>
      <w:r>
        <w:rPr>
          <w:spacing w:val="-8"/>
          <w:sz w:val="24"/>
        </w:rPr>
        <w:t> </w:t>
      </w:r>
      <w:r>
        <w:rPr>
          <w:sz w:val="24"/>
        </w:rPr>
        <w:t>with</w:t>
      </w:r>
      <w:r>
        <w:rPr>
          <w:spacing w:val="-8"/>
          <w:sz w:val="24"/>
        </w:rPr>
        <w:t> </w:t>
      </w:r>
      <w:r>
        <w:rPr>
          <w:sz w:val="24"/>
        </w:rPr>
        <w:t>an</w:t>
      </w:r>
      <w:r>
        <w:rPr>
          <w:spacing w:val="-8"/>
          <w:sz w:val="24"/>
        </w:rPr>
        <w:t> </w:t>
      </w:r>
      <w:r>
        <w:rPr>
          <w:sz w:val="24"/>
        </w:rPr>
        <w:t>annual</w:t>
      </w:r>
      <w:r>
        <w:rPr>
          <w:spacing w:val="-6"/>
          <w:sz w:val="24"/>
        </w:rPr>
        <w:t> </w:t>
      </w:r>
      <w:r>
        <w:rPr>
          <w:sz w:val="24"/>
        </w:rPr>
        <w:t>report</w:t>
      </w:r>
      <w:r>
        <w:rPr>
          <w:spacing w:val="-8"/>
          <w:sz w:val="24"/>
        </w:rPr>
        <w:t> </w:t>
      </w:r>
      <w:r>
        <w:rPr>
          <w:sz w:val="24"/>
        </w:rPr>
        <w:t>on</w:t>
      </w:r>
      <w:r>
        <w:rPr>
          <w:spacing w:val="-8"/>
          <w:sz w:val="24"/>
        </w:rPr>
        <w:t> </w:t>
      </w:r>
      <w:r>
        <w:rPr>
          <w:sz w:val="24"/>
        </w:rPr>
        <w:t>Title</w:t>
      </w:r>
      <w:r>
        <w:rPr>
          <w:spacing w:val="-8"/>
          <w:sz w:val="24"/>
        </w:rPr>
        <w:t> </w:t>
      </w:r>
      <w:r>
        <w:rPr>
          <w:sz w:val="24"/>
        </w:rPr>
        <w:t>VI</w:t>
      </w:r>
      <w:r>
        <w:rPr>
          <w:spacing w:val="-9"/>
          <w:sz w:val="24"/>
        </w:rPr>
        <w:t> </w:t>
      </w:r>
      <w:r>
        <w:rPr>
          <w:sz w:val="24"/>
        </w:rPr>
        <w:t>accomplishments</w:t>
      </w:r>
      <w:r>
        <w:rPr>
          <w:spacing w:val="-7"/>
          <w:sz w:val="24"/>
        </w:rPr>
        <w:t> </w:t>
      </w:r>
      <w:r>
        <w:rPr>
          <w:sz w:val="24"/>
        </w:rPr>
        <w:t>and/or</w:t>
      </w:r>
      <w:r>
        <w:rPr>
          <w:spacing w:val="-8"/>
          <w:sz w:val="24"/>
        </w:rPr>
        <w:t> </w:t>
      </w:r>
      <w:r>
        <w:rPr>
          <w:sz w:val="24"/>
        </w:rPr>
        <w:t>issues</w:t>
      </w:r>
      <w:r>
        <w:rPr>
          <w:spacing w:val="-9"/>
          <w:sz w:val="24"/>
        </w:rPr>
        <w:t> </w:t>
      </w:r>
      <w:r>
        <w:rPr>
          <w:sz w:val="24"/>
        </w:rPr>
        <w:t>for</w:t>
      </w:r>
      <w:r>
        <w:rPr>
          <w:spacing w:val="-8"/>
          <w:sz w:val="24"/>
        </w:rPr>
        <w:t> </w:t>
      </w:r>
      <w:r>
        <w:rPr>
          <w:sz w:val="24"/>
        </w:rPr>
        <w:t>this year and any changes for the upcoming year.</w:t>
      </w:r>
      <w:r>
        <w:rPr>
          <w:spacing w:val="40"/>
          <w:sz w:val="24"/>
        </w:rPr>
        <w:t> </w:t>
      </w:r>
      <w:r>
        <w:rPr>
          <w:sz w:val="24"/>
        </w:rPr>
        <w:t>The report is due to the Civil Rights Office by September 15</w:t>
      </w:r>
      <w:r>
        <w:rPr>
          <w:sz w:val="24"/>
          <w:vertAlign w:val="superscript"/>
        </w:rPr>
        <w:t>th</w:t>
      </w:r>
      <w:r>
        <w:rPr>
          <w:sz w:val="24"/>
          <w:vertAlign w:val="baseline"/>
        </w:rPr>
        <w:t> of each year.</w:t>
      </w:r>
    </w:p>
    <w:p>
      <w:pPr>
        <w:pStyle w:val="BodyText"/>
        <w:spacing w:before="2"/>
      </w:pPr>
    </w:p>
    <w:p>
      <w:pPr>
        <w:pStyle w:val="Heading9"/>
      </w:pPr>
      <w:r>
        <w:rPr>
          <w:spacing w:val="-2"/>
        </w:rPr>
        <w:t>Contracts</w:t>
      </w:r>
    </w:p>
    <w:p>
      <w:pPr>
        <w:pStyle w:val="BodyText"/>
        <w:rPr>
          <w:b/>
        </w:rPr>
      </w:pPr>
    </w:p>
    <w:p>
      <w:pPr>
        <w:pStyle w:val="BodyText"/>
        <w:ind w:left="120" w:right="186"/>
      </w:pPr>
      <w:r>
        <w:rPr>
          <w:color w:val="333333"/>
        </w:rPr>
        <w:t>MaineDOT's Contract Procurement Office (CPO) is responsible for development, implementation and oversight</w:t>
      </w:r>
      <w:r>
        <w:rPr>
          <w:color w:val="333333"/>
          <w:spacing w:val="-4"/>
        </w:rPr>
        <w:t> </w:t>
      </w:r>
      <w:r>
        <w:rPr>
          <w:color w:val="333333"/>
        </w:rPr>
        <w:t>of</w:t>
      </w:r>
      <w:r>
        <w:rPr>
          <w:color w:val="333333"/>
          <w:spacing w:val="-4"/>
        </w:rPr>
        <w:t> </w:t>
      </w:r>
      <w:r>
        <w:rPr>
          <w:color w:val="333333"/>
        </w:rPr>
        <w:t>MaineDOT's</w:t>
      </w:r>
      <w:r>
        <w:rPr>
          <w:color w:val="333333"/>
          <w:spacing w:val="-3"/>
        </w:rPr>
        <w:t> </w:t>
      </w:r>
      <w:r>
        <w:rPr>
          <w:color w:val="333333"/>
        </w:rPr>
        <w:t>contractual</w:t>
      </w:r>
      <w:r>
        <w:rPr>
          <w:color w:val="333333"/>
          <w:spacing w:val="-5"/>
        </w:rPr>
        <w:t> </w:t>
      </w:r>
      <w:r>
        <w:rPr>
          <w:color w:val="333333"/>
        </w:rPr>
        <w:t>policies,</w:t>
      </w:r>
      <w:r>
        <w:rPr>
          <w:color w:val="333333"/>
          <w:spacing w:val="-2"/>
        </w:rPr>
        <w:t> </w:t>
      </w:r>
      <w:r>
        <w:rPr>
          <w:color w:val="333333"/>
        </w:rPr>
        <w:t>procedures,</w:t>
      </w:r>
      <w:r>
        <w:rPr>
          <w:color w:val="333333"/>
          <w:spacing w:val="-5"/>
        </w:rPr>
        <w:t> </w:t>
      </w:r>
      <w:r>
        <w:rPr>
          <w:color w:val="333333"/>
        </w:rPr>
        <w:t>and</w:t>
      </w:r>
      <w:r>
        <w:rPr>
          <w:color w:val="333333"/>
          <w:spacing w:val="-1"/>
        </w:rPr>
        <w:t> </w:t>
      </w:r>
      <w:r>
        <w:rPr>
          <w:color w:val="333333"/>
        </w:rPr>
        <w:t>standards.</w:t>
      </w:r>
      <w:r>
        <w:rPr>
          <w:color w:val="333333"/>
          <w:spacing w:val="-5"/>
        </w:rPr>
        <w:t> </w:t>
      </w:r>
      <w:r>
        <w:rPr>
          <w:color w:val="333333"/>
        </w:rPr>
        <w:t>The</w:t>
      </w:r>
      <w:r>
        <w:rPr>
          <w:color w:val="333333"/>
          <w:spacing w:val="-4"/>
        </w:rPr>
        <w:t> </w:t>
      </w:r>
      <w:r>
        <w:rPr>
          <w:color w:val="333333"/>
        </w:rPr>
        <w:t>office</w:t>
      </w:r>
      <w:r>
        <w:rPr>
          <w:color w:val="333333"/>
          <w:spacing w:val="-2"/>
        </w:rPr>
        <w:t> </w:t>
      </w:r>
      <w:r>
        <w:rPr>
          <w:color w:val="333333"/>
        </w:rPr>
        <w:t>provides</w:t>
      </w:r>
      <w:r>
        <w:rPr>
          <w:color w:val="333333"/>
          <w:spacing w:val="-5"/>
        </w:rPr>
        <w:t> </w:t>
      </w:r>
      <w:r>
        <w:rPr>
          <w:color w:val="333333"/>
        </w:rPr>
        <w:t>the</w:t>
      </w:r>
      <w:r>
        <w:rPr>
          <w:color w:val="333333"/>
          <w:spacing w:val="-4"/>
        </w:rPr>
        <w:t> </w:t>
      </w:r>
      <w:r>
        <w:rPr>
          <w:color w:val="333333"/>
        </w:rPr>
        <w:t>Department with prudent contracting practices in the areas of Consultant Contracts, State Administered Municipal Projects, and Professional Services Contracts. </w:t>
      </w:r>
      <w:r>
        <w:rPr/>
        <w:t>The construction contract office oversees advertising for and awarding bids and contracts for construction.</w:t>
      </w:r>
    </w:p>
    <w:p>
      <w:pPr>
        <w:pStyle w:val="BodyText"/>
        <w:rPr>
          <w:sz w:val="27"/>
        </w:rPr>
      </w:pPr>
    </w:p>
    <w:p>
      <w:pPr>
        <w:pStyle w:val="BodyText"/>
        <w:spacing w:before="1"/>
        <w:ind w:left="120"/>
      </w:pPr>
      <w:r>
        <w:rPr/>
        <w:t>The</w:t>
      </w:r>
      <w:r>
        <w:rPr>
          <w:spacing w:val="-1"/>
        </w:rPr>
        <w:t> </w:t>
      </w:r>
      <w:r>
        <w:rPr/>
        <w:t>Offices’</w:t>
      </w:r>
      <w:r>
        <w:rPr>
          <w:spacing w:val="-4"/>
        </w:rPr>
        <w:t> </w:t>
      </w:r>
      <w:r>
        <w:rPr/>
        <w:t>Title VI</w:t>
      </w:r>
      <w:r>
        <w:rPr>
          <w:spacing w:val="-2"/>
        </w:rPr>
        <w:t> </w:t>
      </w:r>
      <w:r>
        <w:rPr/>
        <w:t>Liaisons</w:t>
      </w:r>
      <w:r>
        <w:rPr>
          <w:spacing w:val="-3"/>
        </w:rPr>
        <w:t> </w:t>
      </w:r>
      <w:r>
        <w:rPr>
          <w:spacing w:val="-2"/>
        </w:rPr>
        <w:t>will:</w:t>
      </w:r>
    </w:p>
    <w:p>
      <w:pPr>
        <w:pStyle w:val="BodyText"/>
        <w:spacing w:before="1"/>
      </w:pPr>
    </w:p>
    <w:p>
      <w:pPr>
        <w:pStyle w:val="ListParagraph"/>
        <w:numPr>
          <w:ilvl w:val="0"/>
          <w:numId w:val="5"/>
        </w:numPr>
        <w:tabs>
          <w:tab w:pos="840" w:val="left" w:leader="none"/>
        </w:tabs>
        <w:spacing w:line="240" w:lineRule="auto" w:before="0" w:after="0"/>
        <w:ind w:left="840" w:right="115" w:hanging="360"/>
        <w:jc w:val="left"/>
        <w:rPr>
          <w:sz w:val="24"/>
        </w:rPr>
      </w:pPr>
      <w:r>
        <w:rPr>
          <w:sz w:val="24"/>
        </w:rPr>
        <w:t>Ensure</w:t>
      </w:r>
      <w:r>
        <w:rPr>
          <w:spacing w:val="-9"/>
          <w:sz w:val="24"/>
        </w:rPr>
        <w:t> </w:t>
      </w:r>
      <w:r>
        <w:rPr>
          <w:sz w:val="24"/>
        </w:rPr>
        <w:t>Title</w:t>
      </w:r>
      <w:r>
        <w:rPr>
          <w:spacing w:val="-9"/>
          <w:sz w:val="24"/>
        </w:rPr>
        <w:t> </w:t>
      </w:r>
      <w:r>
        <w:rPr>
          <w:sz w:val="24"/>
        </w:rPr>
        <w:t>VI</w:t>
      </w:r>
      <w:r>
        <w:rPr>
          <w:spacing w:val="-10"/>
          <w:sz w:val="24"/>
        </w:rPr>
        <w:t> </w:t>
      </w:r>
      <w:r>
        <w:rPr>
          <w:sz w:val="24"/>
        </w:rPr>
        <w:t>language</w:t>
      </w:r>
      <w:r>
        <w:rPr>
          <w:spacing w:val="-7"/>
          <w:sz w:val="24"/>
        </w:rPr>
        <w:t> </w:t>
      </w:r>
      <w:r>
        <w:rPr>
          <w:sz w:val="24"/>
        </w:rPr>
        <w:t>is</w:t>
      </w:r>
      <w:r>
        <w:rPr>
          <w:spacing w:val="-8"/>
          <w:sz w:val="24"/>
        </w:rPr>
        <w:t> </w:t>
      </w:r>
      <w:r>
        <w:rPr>
          <w:sz w:val="24"/>
        </w:rPr>
        <w:t>included</w:t>
      </w:r>
      <w:r>
        <w:rPr>
          <w:spacing w:val="-9"/>
          <w:sz w:val="24"/>
        </w:rPr>
        <w:t> </w:t>
      </w:r>
      <w:r>
        <w:rPr>
          <w:sz w:val="24"/>
        </w:rPr>
        <w:t>in</w:t>
      </w:r>
      <w:r>
        <w:rPr>
          <w:spacing w:val="-6"/>
          <w:sz w:val="24"/>
        </w:rPr>
        <w:t> </w:t>
      </w:r>
      <w:r>
        <w:rPr>
          <w:sz w:val="24"/>
        </w:rPr>
        <w:t>every</w:t>
      </w:r>
      <w:r>
        <w:rPr>
          <w:spacing w:val="-8"/>
          <w:sz w:val="24"/>
        </w:rPr>
        <w:t> </w:t>
      </w:r>
      <w:r>
        <w:rPr>
          <w:sz w:val="24"/>
        </w:rPr>
        <w:t>contract</w:t>
      </w:r>
      <w:r>
        <w:rPr>
          <w:spacing w:val="-6"/>
          <w:sz w:val="24"/>
        </w:rPr>
        <w:t> </w:t>
      </w:r>
      <w:r>
        <w:rPr>
          <w:sz w:val="24"/>
        </w:rPr>
        <w:t>for</w:t>
      </w:r>
      <w:r>
        <w:rPr>
          <w:spacing w:val="-9"/>
          <w:sz w:val="24"/>
        </w:rPr>
        <w:t> </w:t>
      </w:r>
      <w:r>
        <w:rPr>
          <w:sz w:val="24"/>
        </w:rPr>
        <w:t>the</w:t>
      </w:r>
      <w:r>
        <w:rPr>
          <w:spacing w:val="-9"/>
          <w:sz w:val="24"/>
        </w:rPr>
        <w:t> </w:t>
      </w:r>
      <w:r>
        <w:rPr>
          <w:sz w:val="24"/>
        </w:rPr>
        <w:t>Department</w:t>
      </w:r>
      <w:r>
        <w:rPr>
          <w:spacing w:val="-6"/>
          <w:sz w:val="24"/>
        </w:rPr>
        <w:t> </w:t>
      </w:r>
      <w:r>
        <w:rPr>
          <w:sz w:val="24"/>
        </w:rPr>
        <w:t>and</w:t>
      </w:r>
      <w:r>
        <w:rPr>
          <w:spacing w:val="-9"/>
          <w:sz w:val="24"/>
        </w:rPr>
        <w:t> </w:t>
      </w:r>
      <w:r>
        <w:rPr>
          <w:sz w:val="24"/>
        </w:rPr>
        <w:t>subrecipient</w:t>
      </w:r>
      <w:r>
        <w:rPr>
          <w:spacing w:val="-9"/>
          <w:sz w:val="24"/>
        </w:rPr>
        <w:t> </w:t>
      </w:r>
      <w:r>
        <w:rPr>
          <w:sz w:val="24"/>
        </w:rPr>
        <w:t>contracts</w:t>
      </w:r>
      <w:r>
        <w:rPr>
          <w:spacing w:val="-8"/>
          <w:sz w:val="24"/>
        </w:rPr>
        <w:t> </w:t>
      </w:r>
      <w:r>
        <w:rPr>
          <w:sz w:val="24"/>
        </w:rPr>
        <w:t>and </w:t>
      </w:r>
      <w:r>
        <w:rPr>
          <w:spacing w:val="-2"/>
          <w:sz w:val="24"/>
        </w:rPr>
        <w:t>subcontracts.</w:t>
      </w:r>
    </w:p>
    <w:p>
      <w:pPr>
        <w:pStyle w:val="ListParagraph"/>
        <w:numPr>
          <w:ilvl w:val="0"/>
          <w:numId w:val="5"/>
        </w:numPr>
        <w:tabs>
          <w:tab w:pos="839" w:val="left" w:leader="none"/>
        </w:tabs>
        <w:spacing w:line="304" w:lineRule="exact" w:before="0" w:after="0"/>
        <w:ind w:left="839" w:right="0" w:hanging="359"/>
        <w:jc w:val="left"/>
        <w:rPr>
          <w:sz w:val="24"/>
        </w:rPr>
      </w:pPr>
      <w:r>
        <w:rPr>
          <w:sz w:val="24"/>
        </w:rPr>
        <w:t>Serve</w:t>
      </w:r>
      <w:r>
        <w:rPr>
          <w:spacing w:val="-1"/>
          <w:sz w:val="24"/>
        </w:rPr>
        <w:t> </w:t>
      </w:r>
      <w:r>
        <w:rPr>
          <w:sz w:val="24"/>
        </w:rPr>
        <w:t>as</w:t>
      </w:r>
      <w:r>
        <w:rPr>
          <w:spacing w:val="-1"/>
          <w:sz w:val="24"/>
        </w:rPr>
        <w:t> </w:t>
      </w:r>
      <w:r>
        <w:rPr>
          <w:sz w:val="24"/>
        </w:rPr>
        <w:t>a</w:t>
      </w:r>
      <w:r>
        <w:rPr>
          <w:spacing w:val="-3"/>
          <w:sz w:val="24"/>
        </w:rPr>
        <w:t> </w:t>
      </w:r>
      <w:r>
        <w:rPr>
          <w:sz w:val="24"/>
        </w:rPr>
        <w:t>resource</w:t>
      </w:r>
      <w:r>
        <w:rPr>
          <w:spacing w:val="-3"/>
          <w:sz w:val="24"/>
        </w:rPr>
        <w:t> </w:t>
      </w:r>
      <w:r>
        <w:rPr>
          <w:sz w:val="24"/>
        </w:rPr>
        <w:t>person</w:t>
      </w:r>
      <w:r>
        <w:rPr>
          <w:spacing w:val="-2"/>
          <w:sz w:val="24"/>
        </w:rPr>
        <w:t> </w:t>
      </w:r>
      <w:r>
        <w:rPr>
          <w:sz w:val="24"/>
        </w:rPr>
        <w:t>for</w:t>
      </w:r>
      <w:r>
        <w:rPr>
          <w:spacing w:val="-3"/>
          <w:sz w:val="24"/>
        </w:rPr>
        <w:t> </w:t>
      </w:r>
      <w:r>
        <w:rPr>
          <w:sz w:val="24"/>
        </w:rPr>
        <w:t>their respective</w:t>
      </w:r>
      <w:r>
        <w:rPr>
          <w:spacing w:val="-2"/>
          <w:sz w:val="24"/>
        </w:rPr>
        <w:t> offices.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305" w:lineRule="exact" w:before="1"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2"/>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Title VI</w:t>
      </w:r>
      <w:r>
        <w:rPr>
          <w:spacing w:val="-5"/>
          <w:sz w:val="24"/>
        </w:rPr>
        <w:t> </w:t>
      </w:r>
      <w:r>
        <w:rPr>
          <w:spacing w:val="-2"/>
          <w:sz w:val="24"/>
        </w:rPr>
        <w:t>Coordinator.</w:t>
      </w:r>
    </w:p>
    <w:p>
      <w:pPr>
        <w:pStyle w:val="ListParagraph"/>
        <w:numPr>
          <w:ilvl w:val="0"/>
          <w:numId w:val="5"/>
        </w:numPr>
        <w:tabs>
          <w:tab w:pos="840" w:val="left" w:leader="none"/>
        </w:tabs>
        <w:spacing w:line="240" w:lineRule="auto" w:before="0" w:after="0"/>
        <w:ind w:left="840"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0" w:lineRule="auto" w:before="1" w:after="0"/>
        <w:ind w:left="840" w:right="115" w:hanging="360"/>
        <w:jc w:val="both"/>
        <w:rPr>
          <w:sz w:val="24"/>
        </w:rPr>
      </w:pPr>
      <w:r>
        <w:rPr>
          <w:sz w:val="24"/>
        </w:rPr>
        <w:t>Provide the Title VI Coordinator with an annual report on Title VI accomplishments and/or issues and methods</w:t>
      </w:r>
      <w:r>
        <w:rPr>
          <w:spacing w:val="-4"/>
          <w:sz w:val="24"/>
        </w:rPr>
        <w:t> </w:t>
      </w:r>
      <w:r>
        <w:rPr>
          <w:sz w:val="24"/>
        </w:rPr>
        <w:t>used</w:t>
      </w:r>
      <w:r>
        <w:rPr>
          <w:spacing w:val="-3"/>
          <w:sz w:val="24"/>
        </w:rPr>
        <w:t> </w:t>
      </w:r>
      <w:r>
        <w:rPr>
          <w:sz w:val="24"/>
        </w:rPr>
        <w:t>for</w:t>
      </w:r>
      <w:r>
        <w:rPr>
          <w:spacing w:val="-4"/>
          <w:sz w:val="24"/>
        </w:rPr>
        <w:t> </w:t>
      </w:r>
      <w:r>
        <w:rPr>
          <w:sz w:val="24"/>
        </w:rPr>
        <w:t>this</w:t>
      </w:r>
      <w:r>
        <w:rPr>
          <w:spacing w:val="-4"/>
          <w:sz w:val="24"/>
        </w:rPr>
        <w:t> </w:t>
      </w:r>
      <w:r>
        <w:rPr>
          <w:sz w:val="24"/>
        </w:rPr>
        <w:t>year</w:t>
      </w:r>
      <w:r>
        <w:rPr>
          <w:spacing w:val="-4"/>
          <w:sz w:val="24"/>
        </w:rPr>
        <w:t> </w:t>
      </w:r>
      <w:r>
        <w:rPr>
          <w:sz w:val="24"/>
        </w:rPr>
        <w:t>and</w:t>
      </w:r>
      <w:r>
        <w:rPr>
          <w:spacing w:val="-3"/>
          <w:sz w:val="24"/>
        </w:rPr>
        <w:t> </w:t>
      </w:r>
      <w:r>
        <w:rPr>
          <w:sz w:val="24"/>
        </w:rPr>
        <w:t>any</w:t>
      </w:r>
      <w:r>
        <w:rPr>
          <w:spacing w:val="-5"/>
          <w:sz w:val="24"/>
        </w:rPr>
        <w:t> </w:t>
      </w:r>
      <w:r>
        <w:rPr>
          <w:sz w:val="24"/>
        </w:rPr>
        <w:t>changes</w:t>
      </w:r>
      <w:r>
        <w:rPr>
          <w:spacing w:val="-6"/>
          <w:sz w:val="24"/>
        </w:rPr>
        <w:t> </w:t>
      </w:r>
      <w:r>
        <w:rPr>
          <w:sz w:val="24"/>
        </w:rPr>
        <w:t>for</w:t>
      </w:r>
      <w:r>
        <w:rPr>
          <w:spacing w:val="-5"/>
          <w:sz w:val="24"/>
        </w:rPr>
        <w:t> </w:t>
      </w:r>
      <w:r>
        <w:rPr>
          <w:sz w:val="24"/>
        </w:rPr>
        <w:t>the</w:t>
      </w:r>
      <w:r>
        <w:rPr>
          <w:spacing w:val="-3"/>
          <w:sz w:val="24"/>
        </w:rPr>
        <w:t> </w:t>
      </w:r>
      <w:r>
        <w:rPr>
          <w:sz w:val="24"/>
        </w:rPr>
        <w:t>next</w:t>
      </w:r>
      <w:r>
        <w:rPr>
          <w:spacing w:val="-3"/>
          <w:sz w:val="24"/>
        </w:rPr>
        <w:t> </w:t>
      </w:r>
      <w:r>
        <w:rPr>
          <w:sz w:val="24"/>
        </w:rPr>
        <w:t>year.</w:t>
      </w:r>
      <w:r>
        <w:rPr>
          <w:spacing w:val="40"/>
          <w:sz w:val="24"/>
        </w:rPr>
        <w:t> </w:t>
      </w:r>
      <w:r>
        <w:rPr>
          <w:sz w:val="24"/>
        </w:rPr>
        <w:t>Report</w:t>
      </w:r>
      <w:r>
        <w:rPr>
          <w:spacing w:val="-3"/>
          <w:sz w:val="24"/>
        </w:rPr>
        <w:t> </w:t>
      </w:r>
      <w:r>
        <w:rPr>
          <w:sz w:val="24"/>
        </w:rPr>
        <w:t>is</w:t>
      </w:r>
      <w:r>
        <w:rPr>
          <w:spacing w:val="-4"/>
          <w:sz w:val="24"/>
        </w:rPr>
        <w:t> </w:t>
      </w:r>
      <w:r>
        <w:rPr>
          <w:sz w:val="24"/>
        </w:rPr>
        <w:t>due</w:t>
      </w:r>
      <w:r>
        <w:rPr>
          <w:spacing w:val="-3"/>
          <w:sz w:val="24"/>
        </w:rPr>
        <w:t> </w:t>
      </w:r>
      <w:r>
        <w:rPr>
          <w:sz w:val="24"/>
        </w:rPr>
        <w:t>to</w:t>
      </w:r>
      <w:r>
        <w:rPr>
          <w:spacing w:val="-5"/>
          <w:sz w:val="24"/>
        </w:rPr>
        <w:t> </w:t>
      </w:r>
      <w:r>
        <w:rPr>
          <w:sz w:val="24"/>
        </w:rPr>
        <w:t>the</w:t>
      </w:r>
      <w:r>
        <w:rPr>
          <w:spacing w:val="-3"/>
          <w:sz w:val="24"/>
        </w:rPr>
        <w:t> </w:t>
      </w:r>
      <w:r>
        <w:rPr>
          <w:sz w:val="24"/>
        </w:rPr>
        <w:t>Civil</w:t>
      </w:r>
      <w:r>
        <w:rPr>
          <w:spacing w:val="-4"/>
          <w:sz w:val="24"/>
        </w:rPr>
        <w:t> </w:t>
      </w:r>
      <w:r>
        <w:rPr>
          <w:sz w:val="24"/>
        </w:rPr>
        <w:t>Rights</w:t>
      </w:r>
      <w:r>
        <w:rPr>
          <w:spacing w:val="-4"/>
          <w:sz w:val="24"/>
        </w:rPr>
        <w:t> </w:t>
      </w:r>
      <w:r>
        <w:rPr>
          <w:sz w:val="24"/>
        </w:rPr>
        <w:t>Office</w:t>
      </w:r>
      <w:r>
        <w:rPr>
          <w:spacing w:val="-3"/>
          <w:sz w:val="24"/>
        </w:rPr>
        <w:t> </w:t>
      </w:r>
      <w:r>
        <w:rPr>
          <w:sz w:val="24"/>
        </w:rPr>
        <w:t>by September 15</w:t>
      </w:r>
      <w:r>
        <w:rPr>
          <w:sz w:val="24"/>
          <w:vertAlign w:val="superscript"/>
        </w:rPr>
        <w:t>th</w:t>
      </w:r>
      <w:r>
        <w:rPr>
          <w:sz w:val="24"/>
          <w:vertAlign w:val="baseline"/>
        </w:rPr>
        <w:t> of each year.</w:t>
      </w:r>
    </w:p>
    <w:p>
      <w:pPr>
        <w:pStyle w:val="BodyText"/>
        <w:spacing w:before="11"/>
        <w:rPr>
          <w:sz w:val="23"/>
        </w:rPr>
      </w:pPr>
    </w:p>
    <w:p>
      <w:pPr>
        <w:pStyle w:val="Heading9"/>
        <w:ind w:left="119"/>
      </w:pPr>
      <w:r>
        <w:rPr/>
        <w:t>Environmental</w:t>
      </w:r>
      <w:r>
        <w:rPr>
          <w:spacing w:val="-2"/>
        </w:rPr>
        <w:t> Office</w:t>
      </w:r>
    </w:p>
    <w:p>
      <w:pPr>
        <w:pStyle w:val="BodyText"/>
        <w:rPr>
          <w:b/>
        </w:rPr>
      </w:pPr>
    </w:p>
    <w:p>
      <w:pPr>
        <w:pStyle w:val="BodyText"/>
        <w:spacing w:line="242" w:lineRule="auto"/>
        <w:ind w:left="120"/>
      </w:pPr>
      <w:r>
        <w:rPr>
          <w:color w:val="333333"/>
        </w:rPr>
        <w:t>The</w:t>
      </w:r>
      <w:r>
        <w:rPr>
          <w:color w:val="333333"/>
          <w:spacing w:val="-4"/>
        </w:rPr>
        <w:t> </w:t>
      </w:r>
      <w:r>
        <w:rPr>
          <w:color w:val="333333"/>
        </w:rPr>
        <w:t>Environmental</w:t>
      </w:r>
      <w:r>
        <w:rPr>
          <w:color w:val="333333"/>
          <w:spacing w:val="-5"/>
        </w:rPr>
        <w:t> </w:t>
      </w:r>
      <w:r>
        <w:rPr>
          <w:color w:val="333333"/>
        </w:rPr>
        <w:t>Office</w:t>
      </w:r>
      <w:r>
        <w:rPr>
          <w:color w:val="333333"/>
          <w:spacing w:val="-2"/>
        </w:rPr>
        <w:t> </w:t>
      </w:r>
      <w:r>
        <w:rPr>
          <w:color w:val="333333"/>
        </w:rPr>
        <w:t>plays</w:t>
      </w:r>
      <w:r>
        <w:rPr>
          <w:color w:val="333333"/>
          <w:spacing w:val="-3"/>
        </w:rPr>
        <w:t> </w:t>
      </w:r>
      <w:r>
        <w:rPr>
          <w:color w:val="333333"/>
        </w:rPr>
        <w:t>a</w:t>
      </w:r>
      <w:r>
        <w:rPr>
          <w:color w:val="333333"/>
          <w:spacing w:val="-5"/>
        </w:rPr>
        <w:t> </w:t>
      </w:r>
      <w:r>
        <w:rPr>
          <w:color w:val="333333"/>
        </w:rPr>
        <w:t>lead</w:t>
      </w:r>
      <w:r>
        <w:rPr>
          <w:color w:val="333333"/>
          <w:spacing w:val="-1"/>
        </w:rPr>
        <w:t> </w:t>
      </w:r>
      <w:r>
        <w:rPr>
          <w:color w:val="333333"/>
        </w:rPr>
        <w:t>role</w:t>
      </w:r>
      <w:r>
        <w:rPr>
          <w:color w:val="333333"/>
          <w:spacing w:val="-2"/>
        </w:rPr>
        <w:t> </w:t>
      </w:r>
      <w:r>
        <w:rPr>
          <w:color w:val="333333"/>
        </w:rPr>
        <w:t>in</w:t>
      </w:r>
      <w:r>
        <w:rPr>
          <w:color w:val="333333"/>
          <w:spacing w:val="-1"/>
        </w:rPr>
        <w:t> </w:t>
      </w:r>
      <w:r>
        <w:rPr>
          <w:color w:val="333333"/>
        </w:rPr>
        <w:t>proactively</w:t>
      </w:r>
      <w:r>
        <w:rPr>
          <w:color w:val="333333"/>
          <w:spacing w:val="-3"/>
        </w:rPr>
        <w:t> </w:t>
      </w:r>
      <w:r>
        <w:rPr>
          <w:color w:val="333333"/>
        </w:rPr>
        <w:t>integrating</w:t>
      </w:r>
      <w:r>
        <w:rPr>
          <w:color w:val="333333"/>
          <w:spacing w:val="-5"/>
        </w:rPr>
        <w:t> </w:t>
      </w:r>
      <w:r>
        <w:rPr>
          <w:color w:val="333333"/>
        </w:rPr>
        <w:t>transportation,</w:t>
      </w:r>
      <w:r>
        <w:rPr>
          <w:color w:val="333333"/>
          <w:spacing w:val="-2"/>
        </w:rPr>
        <w:t> </w:t>
      </w:r>
      <w:r>
        <w:rPr>
          <w:color w:val="333333"/>
        </w:rPr>
        <w:t>environmental</w:t>
      </w:r>
      <w:r>
        <w:rPr>
          <w:color w:val="333333"/>
          <w:spacing w:val="-2"/>
        </w:rPr>
        <w:t> </w:t>
      </w:r>
      <w:r>
        <w:rPr>
          <w:color w:val="333333"/>
        </w:rPr>
        <w:t>and innovation objectives with the department's plans, operations, and maintenance activities.</w:t>
      </w:r>
    </w:p>
    <w:p>
      <w:pPr>
        <w:pStyle w:val="BodyText"/>
        <w:spacing w:before="8"/>
        <w:rPr>
          <w:sz w:val="23"/>
        </w:rPr>
      </w:pPr>
    </w:p>
    <w:p>
      <w:pPr>
        <w:pStyle w:val="BodyText"/>
        <w:ind w:left="120"/>
      </w:pPr>
      <w:r>
        <w:rPr/>
        <w:t>The</w:t>
      </w:r>
      <w:r>
        <w:rPr>
          <w:spacing w:val="-3"/>
        </w:rPr>
        <w:t> </w:t>
      </w:r>
      <w:r>
        <w:rPr/>
        <w:t>Office’s</w:t>
      </w:r>
      <w:r>
        <w:rPr>
          <w:spacing w:val="-4"/>
        </w:rPr>
        <w:t> </w:t>
      </w:r>
      <w:r>
        <w:rPr/>
        <w:t>Title VI</w:t>
      </w:r>
      <w:r>
        <w:rPr>
          <w:spacing w:val="-2"/>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305" w:lineRule="exact" w:before="0" w:after="0"/>
        <w:ind w:left="839" w:right="0" w:hanging="359"/>
        <w:jc w:val="left"/>
        <w:rPr>
          <w:sz w:val="24"/>
        </w:rPr>
      </w:pPr>
      <w:r>
        <w:rPr>
          <w:sz w:val="24"/>
        </w:rPr>
        <w:t>Serve</w:t>
      </w:r>
      <w:r>
        <w:rPr>
          <w:spacing w:val="-1"/>
          <w:sz w:val="24"/>
        </w:rPr>
        <w:t> </w:t>
      </w:r>
      <w:r>
        <w:rPr>
          <w:sz w:val="24"/>
        </w:rPr>
        <w:t>as</w:t>
      </w:r>
      <w:r>
        <w:rPr>
          <w:spacing w:val="-1"/>
          <w:sz w:val="24"/>
        </w:rPr>
        <w:t> </w:t>
      </w:r>
      <w:r>
        <w:rPr>
          <w:sz w:val="24"/>
        </w:rPr>
        <w:t>a</w:t>
      </w:r>
      <w:r>
        <w:rPr>
          <w:spacing w:val="-4"/>
          <w:sz w:val="24"/>
        </w:rPr>
        <w:t> </w:t>
      </w:r>
      <w:r>
        <w:rPr>
          <w:sz w:val="24"/>
        </w:rPr>
        <w:t>resource</w:t>
      </w:r>
      <w:r>
        <w:rPr>
          <w:spacing w:val="-2"/>
          <w:sz w:val="24"/>
        </w:rPr>
        <w:t> </w:t>
      </w:r>
      <w:r>
        <w:rPr>
          <w:sz w:val="24"/>
        </w:rPr>
        <w:t>person</w:t>
      </w:r>
      <w:r>
        <w:rPr>
          <w:spacing w:val="-2"/>
          <w:sz w:val="24"/>
        </w:rPr>
        <w:t> </w:t>
      </w:r>
      <w:r>
        <w:rPr>
          <w:sz w:val="24"/>
        </w:rPr>
        <w:t>for</w:t>
      </w:r>
      <w:r>
        <w:rPr>
          <w:spacing w:val="-4"/>
          <w:sz w:val="24"/>
        </w:rPr>
        <w:t> </w:t>
      </w:r>
      <w:r>
        <w:rPr>
          <w:sz w:val="24"/>
        </w:rPr>
        <w:t>the Environmental</w:t>
      </w:r>
      <w:r>
        <w:rPr>
          <w:spacing w:val="-3"/>
          <w:sz w:val="24"/>
        </w:rPr>
        <w:t> </w:t>
      </w:r>
      <w:r>
        <w:rPr>
          <w:spacing w:val="-2"/>
          <w:sz w:val="24"/>
        </w:rPr>
        <w:t>Office.</w:t>
      </w:r>
    </w:p>
    <w:p>
      <w:pPr>
        <w:pStyle w:val="ListParagraph"/>
        <w:numPr>
          <w:ilvl w:val="0"/>
          <w:numId w:val="5"/>
        </w:numPr>
        <w:tabs>
          <w:tab w:pos="840" w:val="left" w:leader="none"/>
        </w:tabs>
        <w:spacing w:line="242" w:lineRule="auto" w:before="0" w:after="0"/>
        <w:ind w:left="840" w:right="444" w:hanging="360"/>
        <w:jc w:val="left"/>
        <w:rPr>
          <w:sz w:val="24"/>
        </w:rPr>
      </w:pPr>
      <w:r>
        <w:rPr>
          <w:sz w:val="24"/>
        </w:rPr>
        <w:t>Provide</w:t>
      </w:r>
      <w:r>
        <w:rPr>
          <w:spacing w:val="-4"/>
          <w:sz w:val="24"/>
        </w:rPr>
        <w:t> </w:t>
      </w:r>
      <w:r>
        <w:rPr>
          <w:sz w:val="24"/>
        </w:rPr>
        <w:t>statistical</w:t>
      </w:r>
      <w:r>
        <w:rPr>
          <w:spacing w:val="-5"/>
          <w:sz w:val="24"/>
        </w:rPr>
        <w:t> </w:t>
      </w:r>
      <w:r>
        <w:rPr>
          <w:sz w:val="24"/>
        </w:rPr>
        <w:t>data</w:t>
      </w:r>
      <w:r>
        <w:rPr>
          <w:spacing w:val="-2"/>
          <w:sz w:val="24"/>
        </w:rPr>
        <w:t> </w:t>
      </w:r>
      <w:r>
        <w:rPr>
          <w:sz w:val="24"/>
        </w:rPr>
        <w:t>on</w:t>
      </w:r>
      <w:r>
        <w:rPr>
          <w:spacing w:val="-1"/>
          <w:sz w:val="24"/>
        </w:rPr>
        <w:t> </w:t>
      </w:r>
      <w:r>
        <w:rPr>
          <w:sz w:val="24"/>
        </w:rPr>
        <w:t>race,</w:t>
      </w:r>
      <w:r>
        <w:rPr>
          <w:spacing w:val="-2"/>
          <w:sz w:val="24"/>
        </w:rPr>
        <w:t> </w:t>
      </w:r>
      <w:r>
        <w:rPr>
          <w:sz w:val="24"/>
        </w:rPr>
        <w:t>color,</w:t>
      </w:r>
      <w:r>
        <w:rPr>
          <w:spacing w:val="-2"/>
          <w:sz w:val="24"/>
        </w:rPr>
        <w:t> </w:t>
      </w:r>
      <w:r>
        <w:rPr>
          <w:sz w:val="24"/>
        </w:rPr>
        <w:t>and</w:t>
      </w:r>
      <w:r>
        <w:rPr>
          <w:spacing w:val="-4"/>
          <w:sz w:val="24"/>
        </w:rPr>
        <w:t> </w:t>
      </w:r>
      <w:r>
        <w:rPr>
          <w:sz w:val="24"/>
        </w:rPr>
        <w:t>national</w:t>
      </w:r>
      <w:r>
        <w:rPr>
          <w:spacing w:val="-2"/>
          <w:sz w:val="24"/>
        </w:rPr>
        <w:t> </w:t>
      </w:r>
      <w:r>
        <w:rPr>
          <w:sz w:val="24"/>
        </w:rPr>
        <w:t>origin</w:t>
      </w:r>
      <w:r>
        <w:rPr>
          <w:spacing w:val="-4"/>
          <w:sz w:val="24"/>
        </w:rPr>
        <w:t> </w:t>
      </w:r>
      <w:r>
        <w:rPr>
          <w:sz w:val="24"/>
        </w:rPr>
        <w:t>of</w:t>
      </w:r>
      <w:r>
        <w:rPr>
          <w:spacing w:val="-1"/>
          <w:sz w:val="24"/>
        </w:rPr>
        <w:t> </w:t>
      </w:r>
      <w:r>
        <w:rPr>
          <w:sz w:val="24"/>
        </w:rPr>
        <w:t>populations</w:t>
      </w:r>
      <w:r>
        <w:rPr>
          <w:spacing w:val="-3"/>
          <w:sz w:val="24"/>
        </w:rPr>
        <w:t> </w:t>
      </w:r>
      <w:r>
        <w:rPr>
          <w:sz w:val="24"/>
        </w:rPr>
        <w:t>in</w:t>
      </w:r>
      <w:r>
        <w:rPr>
          <w:spacing w:val="-1"/>
          <w:sz w:val="24"/>
        </w:rPr>
        <w:t> </w:t>
      </w:r>
      <w:r>
        <w:rPr>
          <w:sz w:val="24"/>
        </w:rPr>
        <w:t>all</w:t>
      </w:r>
      <w:r>
        <w:rPr>
          <w:spacing w:val="-5"/>
          <w:sz w:val="24"/>
        </w:rPr>
        <w:t> </w:t>
      </w:r>
      <w:r>
        <w:rPr>
          <w:sz w:val="24"/>
        </w:rPr>
        <w:t>areas</w:t>
      </w:r>
      <w:r>
        <w:rPr>
          <w:spacing w:val="-3"/>
          <w:sz w:val="24"/>
        </w:rPr>
        <w:t> </w:t>
      </w:r>
      <w:r>
        <w:rPr>
          <w:sz w:val="24"/>
        </w:rPr>
        <w:t>impacted</w:t>
      </w:r>
      <w:r>
        <w:rPr>
          <w:spacing w:val="-4"/>
          <w:sz w:val="24"/>
        </w:rPr>
        <w:t> </w:t>
      </w:r>
      <w:r>
        <w:rPr>
          <w:sz w:val="24"/>
        </w:rPr>
        <w:t>by</w:t>
      </w:r>
      <w:r>
        <w:rPr>
          <w:spacing w:val="-3"/>
          <w:sz w:val="24"/>
        </w:rPr>
        <w:t> </w:t>
      </w:r>
      <w:r>
        <w:rPr>
          <w:sz w:val="24"/>
        </w:rPr>
        <w:t>the Department’s programs or services, including LEP.</w:t>
      </w:r>
    </w:p>
    <w:p>
      <w:pPr>
        <w:pStyle w:val="ListParagraph"/>
        <w:numPr>
          <w:ilvl w:val="0"/>
          <w:numId w:val="5"/>
        </w:numPr>
        <w:tabs>
          <w:tab w:pos="839" w:val="left" w:leader="none"/>
        </w:tabs>
        <w:spacing w:line="301" w:lineRule="exact" w:before="0" w:after="0"/>
        <w:ind w:left="839" w:right="0" w:hanging="359"/>
        <w:jc w:val="left"/>
        <w:rPr>
          <w:sz w:val="24"/>
        </w:rPr>
      </w:pPr>
      <w:r>
        <w:rPr>
          <w:sz w:val="24"/>
        </w:rPr>
        <w:t>Monitor</w:t>
      </w:r>
      <w:r>
        <w:rPr>
          <w:spacing w:val="-6"/>
          <w:sz w:val="24"/>
        </w:rPr>
        <w:t> </w:t>
      </w:r>
      <w:r>
        <w:rPr>
          <w:sz w:val="24"/>
        </w:rPr>
        <w:t>all activities</w:t>
      </w:r>
      <w:r>
        <w:rPr>
          <w:spacing w:val="-3"/>
          <w:sz w:val="24"/>
        </w:rPr>
        <w:t> </w:t>
      </w:r>
      <w:r>
        <w:rPr>
          <w:sz w:val="24"/>
        </w:rPr>
        <w:t>to</w:t>
      </w:r>
      <w:r>
        <w:rPr>
          <w:spacing w:val="-2"/>
          <w:sz w:val="24"/>
        </w:rPr>
        <w:t> </w:t>
      </w:r>
      <w:r>
        <w:rPr>
          <w:sz w:val="24"/>
        </w:rPr>
        <w:t>ensure</w:t>
      </w:r>
      <w:r>
        <w:rPr>
          <w:spacing w:val="-3"/>
          <w:sz w:val="24"/>
        </w:rPr>
        <w:t> </w:t>
      </w:r>
      <w:r>
        <w:rPr>
          <w:sz w:val="24"/>
        </w:rPr>
        <w:t>nondiscrimination</w:t>
      </w:r>
      <w:r>
        <w:rPr>
          <w:spacing w:val="-2"/>
          <w:sz w:val="24"/>
        </w:rPr>
        <w:t> </w:t>
      </w:r>
      <w:r>
        <w:rPr>
          <w:sz w:val="24"/>
        </w:rPr>
        <w:t>on</w:t>
      </w:r>
      <w:r>
        <w:rPr>
          <w:spacing w:val="1"/>
          <w:sz w:val="24"/>
        </w:rPr>
        <w:t> </w:t>
      </w:r>
      <w:r>
        <w:rPr>
          <w:sz w:val="24"/>
        </w:rPr>
        <w:t>any</w:t>
      </w:r>
      <w:r>
        <w:rPr>
          <w:spacing w:val="-1"/>
          <w:sz w:val="24"/>
        </w:rPr>
        <w:t> </w:t>
      </w:r>
      <w:r>
        <w:rPr>
          <w:spacing w:val="-2"/>
          <w:sz w:val="24"/>
        </w:rPr>
        <w:t>projects.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305" w:lineRule="exact" w:before="0"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1"/>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Civil Rights</w:t>
      </w:r>
      <w:r>
        <w:rPr>
          <w:spacing w:val="-1"/>
          <w:sz w:val="24"/>
        </w:rPr>
        <w:t> </w:t>
      </w:r>
      <w:r>
        <w:rPr>
          <w:spacing w:val="-2"/>
          <w:sz w:val="24"/>
        </w:rPr>
        <w:t>Office.</w:t>
      </w:r>
    </w:p>
    <w:p>
      <w:pPr>
        <w:pStyle w:val="ListParagraph"/>
        <w:numPr>
          <w:ilvl w:val="0"/>
          <w:numId w:val="5"/>
        </w:numPr>
        <w:tabs>
          <w:tab w:pos="840" w:val="left" w:leader="none"/>
        </w:tabs>
        <w:spacing w:line="240" w:lineRule="auto" w:before="1" w:after="0"/>
        <w:ind w:left="840" w:right="113"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40" w:val="left" w:leader="none"/>
        </w:tabs>
        <w:spacing w:line="242" w:lineRule="auto" w:before="0" w:after="0"/>
        <w:ind w:left="840" w:right="304" w:hanging="360"/>
        <w:jc w:val="both"/>
        <w:rPr>
          <w:sz w:val="24"/>
        </w:rPr>
      </w:pPr>
      <w:r>
        <w:rPr>
          <w:sz w:val="24"/>
        </w:rPr>
        <w:t>Provide</w:t>
      </w:r>
      <w:r>
        <w:rPr>
          <w:spacing w:val="-4"/>
          <w:sz w:val="24"/>
        </w:rPr>
        <w:t> </w:t>
      </w: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Office</w:t>
      </w:r>
      <w:r>
        <w:rPr>
          <w:spacing w:val="-4"/>
          <w:sz w:val="24"/>
        </w:rPr>
        <w:t> </w:t>
      </w:r>
      <w:r>
        <w:rPr>
          <w:sz w:val="24"/>
        </w:rPr>
        <w:t>with</w:t>
      </w:r>
      <w:r>
        <w:rPr>
          <w:spacing w:val="-1"/>
          <w:sz w:val="24"/>
        </w:rPr>
        <w:t> </w:t>
      </w:r>
      <w:r>
        <w:rPr>
          <w:sz w:val="24"/>
        </w:rPr>
        <w:t>an</w:t>
      </w:r>
      <w:r>
        <w:rPr>
          <w:spacing w:val="-1"/>
          <w:sz w:val="24"/>
        </w:rPr>
        <w:t> </w:t>
      </w:r>
      <w:r>
        <w:rPr>
          <w:sz w:val="24"/>
        </w:rPr>
        <w:t>annual</w:t>
      </w:r>
      <w:r>
        <w:rPr>
          <w:spacing w:val="-2"/>
          <w:sz w:val="24"/>
        </w:rPr>
        <w:t> </w:t>
      </w:r>
      <w:r>
        <w:rPr>
          <w:sz w:val="24"/>
        </w:rPr>
        <w:t>report</w:t>
      </w:r>
      <w:r>
        <w:rPr>
          <w:spacing w:val="-1"/>
          <w:sz w:val="24"/>
        </w:rPr>
        <w:t> </w:t>
      </w:r>
      <w:r>
        <w:rPr>
          <w:sz w:val="24"/>
        </w:rPr>
        <w:t>of</w:t>
      </w:r>
      <w:r>
        <w:rPr>
          <w:spacing w:val="-1"/>
          <w:sz w:val="24"/>
        </w:rPr>
        <w:t> </w:t>
      </w:r>
      <w:r>
        <w:rPr>
          <w:sz w:val="24"/>
        </w:rPr>
        <w:t>Title</w:t>
      </w:r>
      <w:r>
        <w:rPr>
          <w:spacing w:val="-4"/>
          <w:sz w:val="24"/>
        </w:rPr>
        <w:t> </w:t>
      </w:r>
      <w:r>
        <w:rPr>
          <w:sz w:val="24"/>
        </w:rPr>
        <w:t>VI</w:t>
      </w:r>
      <w:r>
        <w:rPr>
          <w:spacing w:val="-3"/>
          <w:sz w:val="24"/>
        </w:rPr>
        <w:t> </w:t>
      </w:r>
      <w:r>
        <w:rPr>
          <w:sz w:val="24"/>
        </w:rPr>
        <w:t>accomplishments</w:t>
      </w:r>
      <w:r>
        <w:rPr>
          <w:spacing w:val="-5"/>
          <w:sz w:val="24"/>
        </w:rPr>
        <w:t> </w:t>
      </w:r>
      <w:r>
        <w:rPr>
          <w:sz w:val="24"/>
        </w:rPr>
        <w:t>and/or</w:t>
      </w:r>
      <w:r>
        <w:rPr>
          <w:spacing w:val="-5"/>
          <w:sz w:val="24"/>
        </w:rPr>
        <w:t> </w:t>
      </w:r>
      <w:r>
        <w:rPr>
          <w:sz w:val="24"/>
        </w:rPr>
        <w:t>any</w:t>
      </w:r>
      <w:r>
        <w:rPr>
          <w:spacing w:val="-3"/>
          <w:sz w:val="24"/>
        </w:rPr>
        <w:t> </w:t>
      </w:r>
      <w:r>
        <w:rPr>
          <w:sz w:val="24"/>
        </w:rPr>
        <w:t>issues</w:t>
      </w:r>
      <w:r>
        <w:rPr>
          <w:spacing w:val="-5"/>
          <w:sz w:val="24"/>
        </w:rPr>
        <w:t> </w:t>
      </w:r>
      <w:r>
        <w:rPr>
          <w:sz w:val="24"/>
        </w:rPr>
        <w:t>for this year and any changes for the next year. Report is due by September 15</w:t>
      </w:r>
      <w:r>
        <w:rPr>
          <w:sz w:val="24"/>
          <w:vertAlign w:val="superscript"/>
        </w:rPr>
        <w:t>th</w:t>
      </w:r>
      <w:r>
        <w:rPr>
          <w:sz w:val="24"/>
          <w:vertAlign w:val="baseline"/>
        </w:rPr>
        <w:t> of each year.</w:t>
      </w:r>
    </w:p>
    <w:p>
      <w:pPr>
        <w:spacing w:after="0" w:line="242" w:lineRule="auto"/>
        <w:jc w:val="both"/>
        <w:rPr>
          <w:sz w:val="24"/>
        </w:rPr>
        <w:sectPr>
          <w:pgSz w:w="12240" w:h="15840"/>
          <w:pgMar w:header="0" w:footer="1063" w:top="920" w:bottom="1260" w:left="600" w:right="600"/>
        </w:sectPr>
      </w:pPr>
    </w:p>
    <w:p>
      <w:pPr>
        <w:pStyle w:val="Heading9"/>
        <w:spacing w:before="35"/>
      </w:pPr>
      <w:r>
        <w:rPr/>
        <w:t>Safety</w:t>
      </w:r>
      <w:r>
        <w:rPr>
          <w:spacing w:val="-3"/>
        </w:rPr>
        <w:t> </w:t>
      </w:r>
      <w:r>
        <w:rPr>
          <w:spacing w:val="-2"/>
        </w:rPr>
        <w:t>Office</w:t>
      </w:r>
    </w:p>
    <w:p>
      <w:pPr>
        <w:pStyle w:val="BodyText"/>
        <w:rPr>
          <w:b/>
        </w:rPr>
      </w:pPr>
    </w:p>
    <w:p>
      <w:pPr>
        <w:pStyle w:val="BodyText"/>
        <w:ind w:left="120"/>
      </w:pPr>
      <w:r>
        <w:rPr/>
        <w:t>MaineDOT’s Office of Safety and Mobility performs data-driven safety analysis to identify safety issues on Maine’s highway network, develops solutions to these issues and creates a portfolio of projects for the Department’s</w:t>
      </w:r>
      <w:r>
        <w:rPr>
          <w:spacing w:val="-5"/>
        </w:rPr>
        <w:t> </w:t>
      </w:r>
      <w:r>
        <w:rPr/>
        <w:t>Highway</w:t>
      </w:r>
      <w:r>
        <w:rPr>
          <w:spacing w:val="-3"/>
        </w:rPr>
        <w:t> </w:t>
      </w:r>
      <w:r>
        <w:rPr/>
        <w:t>Safety</w:t>
      </w:r>
      <w:r>
        <w:rPr>
          <w:spacing w:val="-3"/>
        </w:rPr>
        <w:t> </w:t>
      </w:r>
      <w:r>
        <w:rPr/>
        <w:t>Improvement</w:t>
      </w:r>
      <w:r>
        <w:rPr>
          <w:spacing w:val="-1"/>
        </w:rPr>
        <w:t> </w:t>
      </w:r>
      <w:r>
        <w:rPr/>
        <w:t>Program.</w:t>
      </w:r>
      <w:r>
        <w:rPr>
          <w:spacing w:val="40"/>
        </w:rPr>
        <w:t> </w:t>
      </w:r>
      <w:r>
        <w:rPr/>
        <w:t>The</w:t>
      </w:r>
      <w:r>
        <w:rPr>
          <w:spacing w:val="-4"/>
        </w:rPr>
        <w:t> </w:t>
      </w:r>
      <w:r>
        <w:rPr/>
        <w:t>Mobility</w:t>
      </w:r>
      <w:r>
        <w:rPr>
          <w:spacing w:val="-3"/>
        </w:rPr>
        <w:t> </w:t>
      </w:r>
      <w:r>
        <w:rPr/>
        <w:t>section</w:t>
      </w:r>
      <w:r>
        <w:rPr>
          <w:spacing w:val="-1"/>
        </w:rPr>
        <w:t> </w:t>
      </w:r>
      <w:r>
        <w:rPr/>
        <w:t>analyzes</w:t>
      </w:r>
      <w:r>
        <w:rPr>
          <w:spacing w:val="-5"/>
        </w:rPr>
        <w:t> </w:t>
      </w:r>
      <w:r>
        <w:rPr/>
        <w:t>traffic</w:t>
      </w:r>
      <w:r>
        <w:rPr>
          <w:spacing w:val="-6"/>
        </w:rPr>
        <w:t> </w:t>
      </w:r>
      <w:r>
        <w:rPr/>
        <w:t>patterns,</w:t>
      </w:r>
      <w:r>
        <w:rPr>
          <w:spacing w:val="-2"/>
        </w:rPr>
        <w:t> </w:t>
      </w:r>
      <w:r>
        <w:rPr/>
        <w:t>volumes, and forecasts changes in these through travel demand modelling.</w:t>
      </w:r>
      <w:r>
        <w:rPr>
          <w:spacing w:val="40"/>
        </w:rPr>
        <w:t> </w:t>
      </w:r>
      <w:r>
        <w:rPr/>
        <w:t>It also performs traffic studies to identify areas of high congestion and proposes alternatives to mitigate these issues.</w:t>
      </w:r>
    </w:p>
    <w:p>
      <w:pPr>
        <w:pStyle w:val="BodyText"/>
        <w:spacing w:before="1"/>
      </w:pPr>
    </w:p>
    <w:p>
      <w:pPr>
        <w:pStyle w:val="BodyText"/>
        <w:ind w:left="120"/>
      </w:pPr>
      <w:r>
        <w:rPr/>
        <w:t>The</w:t>
      </w:r>
      <w:r>
        <w:rPr>
          <w:spacing w:val="-3"/>
        </w:rPr>
        <w:t> </w:t>
      </w:r>
      <w:r>
        <w:rPr/>
        <w:t>Office’s</w:t>
      </w:r>
      <w:r>
        <w:rPr>
          <w:spacing w:val="-4"/>
        </w:rPr>
        <w:t> </w:t>
      </w:r>
      <w:r>
        <w:rPr/>
        <w:t>Title</w:t>
      </w:r>
      <w:r>
        <w:rPr>
          <w:spacing w:val="-1"/>
        </w:rPr>
        <w:t> </w:t>
      </w:r>
      <w:r>
        <w:rPr/>
        <w:t>VI</w:t>
      </w:r>
      <w:r>
        <w:rPr>
          <w:spacing w:val="-2"/>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305" w:lineRule="exact" w:before="0" w:after="0"/>
        <w:ind w:left="839" w:right="0" w:hanging="359"/>
        <w:jc w:val="left"/>
        <w:rPr>
          <w:sz w:val="24"/>
        </w:rPr>
      </w:pPr>
      <w:r>
        <w:rPr>
          <w:sz w:val="24"/>
        </w:rPr>
        <w:t>Serve as</w:t>
      </w:r>
      <w:r>
        <w:rPr>
          <w:spacing w:val="-1"/>
          <w:sz w:val="24"/>
        </w:rPr>
        <w:t> </w:t>
      </w:r>
      <w:r>
        <w:rPr>
          <w:sz w:val="24"/>
        </w:rPr>
        <w:t>a</w:t>
      </w:r>
      <w:r>
        <w:rPr>
          <w:spacing w:val="-3"/>
          <w:sz w:val="24"/>
        </w:rPr>
        <w:t> </w:t>
      </w:r>
      <w:r>
        <w:rPr>
          <w:sz w:val="24"/>
        </w:rPr>
        <w:t>resource</w:t>
      </w:r>
      <w:r>
        <w:rPr>
          <w:spacing w:val="-2"/>
          <w:sz w:val="24"/>
        </w:rPr>
        <w:t> </w:t>
      </w:r>
      <w:r>
        <w:rPr>
          <w:sz w:val="24"/>
        </w:rPr>
        <w:t>person</w:t>
      </w:r>
      <w:r>
        <w:rPr>
          <w:spacing w:val="-2"/>
          <w:sz w:val="24"/>
        </w:rPr>
        <w:t> </w:t>
      </w:r>
      <w:r>
        <w:rPr>
          <w:sz w:val="24"/>
        </w:rPr>
        <w:t>for</w:t>
      </w:r>
      <w:r>
        <w:rPr>
          <w:spacing w:val="-3"/>
          <w:sz w:val="24"/>
        </w:rPr>
        <w:t> </w:t>
      </w:r>
      <w:r>
        <w:rPr>
          <w:sz w:val="24"/>
        </w:rPr>
        <w:t>the Safety </w:t>
      </w:r>
      <w:r>
        <w:rPr>
          <w:spacing w:val="-2"/>
          <w:sz w:val="24"/>
        </w:rPr>
        <w:t>Office.</w:t>
      </w:r>
    </w:p>
    <w:p>
      <w:pPr>
        <w:pStyle w:val="ListParagraph"/>
        <w:numPr>
          <w:ilvl w:val="0"/>
          <w:numId w:val="5"/>
        </w:numPr>
        <w:tabs>
          <w:tab w:pos="840" w:val="left" w:leader="none"/>
        </w:tabs>
        <w:spacing w:line="240" w:lineRule="auto" w:before="0" w:after="0"/>
        <w:ind w:left="840" w:right="444" w:hanging="360"/>
        <w:jc w:val="left"/>
        <w:rPr>
          <w:sz w:val="24"/>
        </w:rPr>
      </w:pPr>
      <w:r>
        <w:rPr>
          <w:sz w:val="24"/>
        </w:rPr>
        <w:t>Provide</w:t>
      </w:r>
      <w:r>
        <w:rPr>
          <w:spacing w:val="-4"/>
          <w:sz w:val="24"/>
        </w:rPr>
        <w:t> </w:t>
      </w:r>
      <w:r>
        <w:rPr>
          <w:sz w:val="24"/>
        </w:rPr>
        <w:t>statistical</w:t>
      </w:r>
      <w:r>
        <w:rPr>
          <w:spacing w:val="-5"/>
          <w:sz w:val="24"/>
        </w:rPr>
        <w:t> </w:t>
      </w:r>
      <w:r>
        <w:rPr>
          <w:sz w:val="24"/>
        </w:rPr>
        <w:t>data</w:t>
      </w:r>
      <w:r>
        <w:rPr>
          <w:spacing w:val="-2"/>
          <w:sz w:val="24"/>
        </w:rPr>
        <w:t> </w:t>
      </w:r>
      <w:r>
        <w:rPr>
          <w:sz w:val="24"/>
        </w:rPr>
        <w:t>on</w:t>
      </w:r>
      <w:r>
        <w:rPr>
          <w:spacing w:val="-1"/>
          <w:sz w:val="24"/>
        </w:rPr>
        <w:t> </w:t>
      </w:r>
      <w:r>
        <w:rPr>
          <w:sz w:val="24"/>
        </w:rPr>
        <w:t>race,</w:t>
      </w:r>
      <w:r>
        <w:rPr>
          <w:spacing w:val="-2"/>
          <w:sz w:val="24"/>
        </w:rPr>
        <w:t> </w:t>
      </w:r>
      <w:r>
        <w:rPr>
          <w:sz w:val="24"/>
        </w:rPr>
        <w:t>color,</w:t>
      </w:r>
      <w:r>
        <w:rPr>
          <w:spacing w:val="-2"/>
          <w:sz w:val="24"/>
        </w:rPr>
        <w:t> </w:t>
      </w:r>
      <w:r>
        <w:rPr>
          <w:sz w:val="24"/>
        </w:rPr>
        <w:t>and</w:t>
      </w:r>
      <w:r>
        <w:rPr>
          <w:spacing w:val="-4"/>
          <w:sz w:val="24"/>
        </w:rPr>
        <w:t> </w:t>
      </w:r>
      <w:r>
        <w:rPr>
          <w:sz w:val="24"/>
        </w:rPr>
        <w:t>national</w:t>
      </w:r>
      <w:r>
        <w:rPr>
          <w:spacing w:val="-2"/>
          <w:sz w:val="24"/>
        </w:rPr>
        <w:t> </w:t>
      </w:r>
      <w:r>
        <w:rPr>
          <w:sz w:val="24"/>
        </w:rPr>
        <w:t>origin</w:t>
      </w:r>
      <w:r>
        <w:rPr>
          <w:spacing w:val="-4"/>
          <w:sz w:val="24"/>
        </w:rPr>
        <w:t> </w:t>
      </w:r>
      <w:r>
        <w:rPr>
          <w:sz w:val="24"/>
        </w:rPr>
        <w:t>of</w:t>
      </w:r>
      <w:r>
        <w:rPr>
          <w:spacing w:val="-1"/>
          <w:sz w:val="24"/>
        </w:rPr>
        <w:t> </w:t>
      </w:r>
      <w:r>
        <w:rPr>
          <w:sz w:val="24"/>
        </w:rPr>
        <w:t>populations</w:t>
      </w:r>
      <w:r>
        <w:rPr>
          <w:spacing w:val="-3"/>
          <w:sz w:val="24"/>
        </w:rPr>
        <w:t> </w:t>
      </w:r>
      <w:r>
        <w:rPr>
          <w:sz w:val="24"/>
        </w:rPr>
        <w:t>in</w:t>
      </w:r>
      <w:r>
        <w:rPr>
          <w:spacing w:val="-1"/>
          <w:sz w:val="24"/>
        </w:rPr>
        <w:t> </w:t>
      </w:r>
      <w:r>
        <w:rPr>
          <w:sz w:val="24"/>
        </w:rPr>
        <w:t>all</w:t>
      </w:r>
      <w:r>
        <w:rPr>
          <w:spacing w:val="-5"/>
          <w:sz w:val="24"/>
        </w:rPr>
        <w:t> </w:t>
      </w:r>
      <w:r>
        <w:rPr>
          <w:sz w:val="24"/>
        </w:rPr>
        <w:t>areas</w:t>
      </w:r>
      <w:r>
        <w:rPr>
          <w:spacing w:val="-3"/>
          <w:sz w:val="24"/>
        </w:rPr>
        <w:t> </w:t>
      </w:r>
      <w:r>
        <w:rPr>
          <w:sz w:val="24"/>
        </w:rPr>
        <w:t>impacted</w:t>
      </w:r>
      <w:r>
        <w:rPr>
          <w:spacing w:val="-4"/>
          <w:sz w:val="24"/>
        </w:rPr>
        <w:t> </w:t>
      </w:r>
      <w:r>
        <w:rPr>
          <w:sz w:val="24"/>
        </w:rPr>
        <w:t>by</w:t>
      </w:r>
      <w:r>
        <w:rPr>
          <w:spacing w:val="-3"/>
          <w:sz w:val="24"/>
        </w:rPr>
        <w:t> </w:t>
      </w:r>
      <w:r>
        <w:rPr>
          <w:sz w:val="24"/>
        </w:rPr>
        <w:t>the Department’s programs or services, including LEP.</w:t>
      </w:r>
    </w:p>
    <w:p>
      <w:pPr>
        <w:pStyle w:val="ListParagraph"/>
        <w:numPr>
          <w:ilvl w:val="0"/>
          <w:numId w:val="5"/>
        </w:numPr>
        <w:tabs>
          <w:tab w:pos="839" w:val="left" w:leader="none"/>
        </w:tabs>
        <w:spacing w:line="305" w:lineRule="exact" w:before="1" w:after="0"/>
        <w:ind w:left="839" w:right="0" w:hanging="359"/>
        <w:jc w:val="left"/>
        <w:rPr>
          <w:sz w:val="24"/>
        </w:rPr>
      </w:pPr>
      <w:r>
        <w:rPr>
          <w:sz w:val="24"/>
        </w:rPr>
        <w:t>Monitor</w:t>
      </w:r>
      <w:r>
        <w:rPr>
          <w:spacing w:val="-6"/>
          <w:sz w:val="24"/>
        </w:rPr>
        <w:t> </w:t>
      </w:r>
      <w:r>
        <w:rPr>
          <w:sz w:val="24"/>
        </w:rPr>
        <w:t>all activities</w:t>
      </w:r>
      <w:r>
        <w:rPr>
          <w:spacing w:val="-3"/>
          <w:sz w:val="24"/>
        </w:rPr>
        <w:t> </w:t>
      </w:r>
      <w:r>
        <w:rPr>
          <w:sz w:val="24"/>
        </w:rPr>
        <w:t>to</w:t>
      </w:r>
      <w:r>
        <w:rPr>
          <w:spacing w:val="-2"/>
          <w:sz w:val="24"/>
        </w:rPr>
        <w:t> </w:t>
      </w:r>
      <w:r>
        <w:rPr>
          <w:sz w:val="24"/>
        </w:rPr>
        <w:t>ensure</w:t>
      </w:r>
      <w:r>
        <w:rPr>
          <w:spacing w:val="-2"/>
          <w:sz w:val="24"/>
        </w:rPr>
        <w:t> </w:t>
      </w:r>
      <w:r>
        <w:rPr>
          <w:sz w:val="24"/>
        </w:rPr>
        <w:t>nondiscrimination</w:t>
      </w:r>
      <w:r>
        <w:rPr>
          <w:spacing w:val="-2"/>
          <w:sz w:val="24"/>
        </w:rPr>
        <w:t> </w:t>
      </w:r>
      <w:r>
        <w:rPr>
          <w:sz w:val="24"/>
        </w:rPr>
        <w:t>on</w:t>
      </w:r>
      <w:r>
        <w:rPr>
          <w:spacing w:val="1"/>
          <w:sz w:val="24"/>
        </w:rPr>
        <w:t> </w:t>
      </w:r>
      <w:r>
        <w:rPr>
          <w:sz w:val="24"/>
        </w:rPr>
        <w:t>any</w:t>
      </w:r>
      <w:r>
        <w:rPr>
          <w:spacing w:val="-1"/>
          <w:sz w:val="24"/>
        </w:rPr>
        <w:t> </w:t>
      </w:r>
      <w:r>
        <w:rPr>
          <w:spacing w:val="-2"/>
          <w:sz w:val="24"/>
        </w:rPr>
        <w:t>projects.</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305" w:lineRule="exact" w:before="0"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1"/>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Civil Rights</w:t>
      </w:r>
      <w:r>
        <w:rPr>
          <w:spacing w:val="-1"/>
          <w:sz w:val="24"/>
        </w:rPr>
        <w:t> </w:t>
      </w:r>
      <w:r>
        <w:rPr>
          <w:spacing w:val="-2"/>
          <w:sz w:val="24"/>
        </w:rPr>
        <w:t>Office.</w:t>
      </w:r>
    </w:p>
    <w:p>
      <w:pPr>
        <w:pStyle w:val="ListParagraph"/>
        <w:numPr>
          <w:ilvl w:val="0"/>
          <w:numId w:val="5"/>
        </w:numPr>
        <w:tabs>
          <w:tab w:pos="840" w:val="left" w:leader="none"/>
        </w:tabs>
        <w:spacing w:line="240" w:lineRule="auto" w:before="2" w:after="0"/>
        <w:ind w:left="840" w:right="112" w:hanging="360"/>
        <w:jc w:val="both"/>
        <w:rPr>
          <w:sz w:val="24"/>
        </w:rPr>
      </w:pPr>
      <w:r>
        <w:rPr>
          <w:sz w:val="24"/>
        </w:rPr>
        <w:t>Provide</w:t>
      </w:r>
      <w:r>
        <w:rPr>
          <w:spacing w:val="-3"/>
          <w:sz w:val="24"/>
        </w:rPr>
        <w:t> </w:t>
      </w:r>
      <w:r>
        <w:rPr>
          <w:sz w:val="24"/>
        </w:rPr>
        <w:t>the</w:t>
      </w:r>
      <w:r>
        <w:rPr>
          <w:spacing w:val="-1"/>
          <w:sz w:val="24"/>
        </w:rPr>
        <w:t> </w:t>
      </w:r>
      <w:r>
        <w:rPr>
          <w:sz w:val="24"/>
        </w:rPr>
        <w:t>Civil</w:t>
      </w:r>
      <w:r>
        <w:rPr>
          <w:spacing w:val="-1"/>
          <w:sz w:val="24"/>
        </w:rPr>
        <w:t> </w:t>
      </w:r>
      <w:r>
        <w:rPr>
          <w:sz w:val="24"/>
        </w:rPr>
        <w:t>Rights</w:t>
      </w:r>
      <w:r>
        <w:rPr>
          <w:spacing w:val="-2"/>
          <w:sz w:val="24"/>
        </w:rPr>
        <w:t> </w:t>
      </w:r>
      <w:r>
        <w:rPr>
          <w:sz w:val="24"/>
        </w:rPr>
        <w:t>Office</w:t>
      </w:r>
      <w:r>
        <w:rPr>
          <w:spacing w:val="-3"/>
          <w:sz w:val="24"/>
        </w:rPr>
        <w:t> </w:t>
      </w:r>
      <w:r>
        <w:rPr>
          <w:sz w:val="24"/>
        </w:rPr>
        <w:t>with a</w:t>
      </w:r>
      <w:r>
        <w:rPr>
          <w:spacing w:val="-1"/>
          <w:sz w:val="24"/>
        </w:rPr>
        <w:t> </w:t>
      </w:r>
      <w:r>
        <w:rPr>
          <w:sz w:val="24"/>
        </w:rPr>
        <w:t>quarterly</w:t>
      </w:r>
      <w:r>
        <w:rPr>
          <w:spacing w:val="-2"/>
          <w:sz w:val="24"/>
        </w:rPr>
        <w:t> </w:t>
      </w:r>
      <w:r>
        <w:rPr>
          <w:sz w:val="24"/>
        </w:rPr>
        <w:t>report regarding</w:t>
      </w:r>
      <w:r>
        <w:rPr>
          <w:spacing w:val="-4"/>
          <w:sz w:val="24"/>
        </w:rPr>
        <w:t> </w:t>
      </w:r>
      <w:r>
        <w:rPr>
          <w:sz w:val="24"/>
        </w:rPr>
        <w:t>projects</w:t>
      </w:r>
      <w:r>
        <w:rPr>
          <w:spacing w:val="-2"/>
          <w:sz w:val="24"/>
        </w:rPr>
        <w:t> </w:t>
      </w:r>
      <w:r>
        <w:rPr>
          <w:sz w:val="24"/>
        </w:rPr>
        <w:t>indicating</w:t>
      </w:r>
      <w:r>
        <w:rPr>
          <w:spacing w:val="-4"/>
          <w:sz w:val="24"/>
        </w:rPr>
        <w:t> </w:t>
      </w:r>
      <w:r>
        <w:rPr>
          <w:sz w:val="24"/>
        </w:rPr>
        <w:t>the</w:t>
      </w:r>
      <w:r>
        <w:rPr>
          <w:spacing w:val="-1"/>
          <w:sz w:val="24"/>
        </w:rPr>
        <w:t> </w:t>
      </w:r>
      <w:r>
        <w:rPr>
          <w:sz w:val="24"/>
        </w:rPr>
        <w:t>relative</w:t>
      </w:r>
      <w:r>
        <w:rPr>
          <w:spacing w:val="-1"/>
          <w:sz w:val="24"/>
        </w:rPr>
        <w:t> </w:t>
      </w:r>
      <w:r>
        <w:rPr>
          <w:sz w:val="24"/>
        </w:rPr>
        <w:t>benefits, services and any adverse impacts and its alternatives on persons and businesses of majority and minority, racial, national origin, and/or low-income groups, including but not limited to LEP persons.</w:t>
      </w:r>
    </w:p>
    <w:p>
      <w:pPr>
        <w:pStyle w:val="ListParagraph"/>
        <w:numPr>
          <w:ilvl w:val="0"/>
          <w:numId w:val="5"/>
        </w:numPr>
        <w:tabs>
          <w:tab w:pos="839" w:val="left" w:leader="none"/>
        </w:tabs>
        <w:spacing w:line="242" w:lineRule="auto" w:before="0" w:after="0"/>
        <w:ind w:left="839" w:right="305" w:hanging="360"/>
        <w:jc w:val="both"/>
        <w:rPr>
          <w:sz w:val="24"/>
        </w:rPr>
      </w:pPr>
      <w:r>
        <w:rPr>
          <w:sz w:val="24"/>
        </w:rPr>
        <w:t>Provide</w:t>
      </w:r>
      <w:r>
        <w:rPr>
          <w:spacing w:val="-4"/>
          <w:sz w:val="24"/>
        </w:rPr>
        <w:t> </w:t>
      </w:r>
      <w:r>
        <w:rPr>
          <w:sz w:val="24"/>
        </w:rPr>
        <w:t>the</w:t>
      </w:r>
      <w:r>
        <w:rPr>
          <w:spacing w:val="-2"/>
          <w:sz w:val="24"/>
        </w:rPr>
        <w:t> </w:t>
      </w:r>
      <w:r>
        <w:rPr>
          <w:sz w:val="24"/>
        </w:rPr>
        <w:t>Civil</w:t>
      </w:r>
      <w:r>
        <w:rPr>
          <w:spacing w:val="-2"/>
          <w:sz w:val="24"/>
        </w:rPr>
        <w:t> </w:t>
      </w:r>
      <w:r>
        <w:rPr>
          <w:sz w:val="24"/>
        </w:rPr>
        <w:t>Rights</w:t>
      </w:r>
      <w:r>
        <w:rPr>
          <w:spacing w:val="-3"/>
          <w:sz w:val="24"/>
        </w:rPr>
        <w:t> </w:t>
      </w:r>
      <w:r>
        <w:rPr>
          <w:sz w:val="24"/>
        </w:rPr>
        <w:t>Office</w:t>
      </w:r>
      <w:r>
        <w:rPr>
          <w:spacing w:val="-4"/>
          <w:sz w:val="24"/>
        </w:rPr>
        <w:t> </w:t>
      </w:r>
      <w:r>
        <w:rPr>
          <w:sz w:val="24"/>
        </w:rPr>
        <w:t>with</w:t>
      </w:r>
      <w:r>
        <w:rPr>
          <w:spacing w:val="-1"/>
          <w:sz w:val="24"/>
        </w:rPr>
        <w:t> </w:t>
      </w:r>
      <w:r>
        <w:rPr>
          <w:sz w:val="24"/>
        </w:rPr>
        <w:t>an</w:t>
      </w:r>
      <w:r>
        <w:rPr>
          <w:spacing w:val="-1"/>
          <w:sz w:val="24"/>
        </w:rPr>
        <w:t> </w:t>
      </w:r>
      <w:r>
        <w:rPr>
          <w:sz w:val="24"/>
        </w:rPr>
        <w:t>annual</w:t>
      </w:r>
      <w:r>
        <w:rPr>
          <w:spacing w:val="-2"/>
          <w:sz w:val="24"/>
        </w:rPr>
        <w:t> </w:t>
      </w:r>
      <w:r>
        <w:rPr>
          <w:sz w:val="24"/>
        </w:rPr>
        <w:t>report</w:t>
      </w:r>
      <w:r>
        <w:rPr>
          <w:spacing w:val="-1"/>
          <w:sz w:val="24"/>
        </w:rPr>
        <w:t> </w:t>
      </w:r>
      <w:r>
        <w:rPr>
          <w:sz w:val="24"/>
        </w:rPr>
        <w:t>of</w:t>
      </w:r>
      <w:r>
        <w:rPr>
          <w:spacing w:val="-1"/>
          <w:sz w:val="24"/>
        </w:rPr>
        <w:t> </w:t>
      </w:r>
      <w:r>
        <w:rPr>
          <w:sz w:val="24"/>
        </w:rPr>
        <w:t>Title</w:t>
      </w:r>
      <w:r>
        <w:rPr>
          <w:spacing w:val="-4"/>
          <w:sz w:val="24"/>
        </w:rPr>
        <w:t> </w:t>
      </w:r>
      <w:r>
        <w:rPr>
          <w:sz w:val="24"/>
        </w:rPr>
        <w:t>VI</w:t>
      </w:r>
      <w:r>
        <w:rPr>
          <w:spacing w:val="-3"/>
          <w:sz w:val="24"/>
        </w:rPr>
        <w:t> </w:t>
      </w:r>
      <w:r>
        <w:rPr>
          <w:sz w:val="24"/>
        </w:rPr>
        <w:t>accomplishments</w:t>
      </w:r>
      <w:r>
        <w:rPr>
          <w:spacing w:val="-5"/>
          <w:sz w:val="24"/>
        </w:rPr>
        <w:t> </w:t>
      </w:r>
      <w:r>
        <w:rPr>
          <w:sz w:val="24"/>
        </w:rPr>
        <w:t>and/or</w:t>
      </w:r>
      <w:r>
        <w:rPr>
          <w:spacing w:val="-5"/>
          <w:sz w:val="24"/>
        </w:rPr>
        <w:t> </w:t>
      </w:r>
      <w:r>
        <w:rPr>
          <w:sz w:val="24"/>
        </w:rPr>
        <w:t>any</w:t>
      </w:r>
      <w:r>
        <w:rPr>
          <w:spacing w:val="-3"/>
          <w:sz w:val="24"/>
        </w:rPr>
        <w:t> </w:t>
      </w:r>
      <w:r>
        <w:rPr>
          <w:sz w:val="24"/>
        </w:rPr>
        <w:t>issues</w:t>
      </w:r>
      <w:r>
        <w:rPr>
          <w:spacing w:val="-5"/>
          <w:sz w:val="24"/>
        </w:rPr>
        <w:t> </w:t>
      </w:r>
      <w:r>
        <w:rPr>
          <w:sz w:val="24"/>
        </w:rPr>
        <w:t>for this year and any changes for the next year. Report is due by September 15</w:t>
      </w:r>
      <w:r>
        <w:rPr>
          <w:sz w:val="24"/>
          <w:vertAlign w:val="superscript"/>
        </w:rPr>
        <w:t>th</w:t>
      </w:r>
      <w:r>
        <w:rPr>
          <w:sz w:val="24"/>
          <w:vertAlign w:val="baseline"/>
        </w:rPr>
        <w:t> of each year.</w:t>
      </w:r>
    </w:p>
    <w:p>
      <w:pPr>
        <w:pStyle w:val="BodyText"/>
        <w:spacing w:before="6"/>
        <w:rPr>
          <w:sz w:val="23"/>
        </w:rPr>
      </w:pPr>
    </w:p>
    <w:p>
      <w:pPr>
        <w:pStyle w:val="Heading9"/>
        <w:spacing w:before="1"/>
      </w:pPr>
      <w:r>
        <w:rPr/>
        <w:t>ADA</w:t>
      </w:r>
      <w:r>
        <w:rPr>
          <w:spacing w:val="-2"/>
        </w:rPr>
        <w:t> Office</w:t>
      </w:r>
    </w:p>
    <w:p>
      <w:pPr>
        <w:pStyle w:val="BodyText"/>
        <w:spacing w:before="11"/>
        <w:rPr>
          <w:b/>
          <w:sz w:val="23"/>
        </w:rPr>
      </w:pPr>
    </w:p>
    <w:p>
      <w:pPr>
        <w:pStyle w:val="BodyText"/>
        <w:ind w:left="119" w:right="25"/>
      </w:pPr>
      <w:r>
        <w:rPr/>
        <w:t>The ADA office is on the review team for the Safe Routes to School applications from Municipalities and all applications are scored and towns in HUD designated low to moderate income counties are weighted for scoring purposes.</w:t>
      </w:r>
      <w:r>
        <w:rPr>
          <w:spacing w:val="40"/>
        </w:rPr>
        <w:t> </w:t>
      </w:r>
      <w:r>
        <w:rPr/>
        <w:t>They also require information on how the project will positively impact low-income communities,</w:t>
      </w:r>
      <w:r>
        <w:rPr>
          <w:spacing w:val="-2"/>
        </w:rPr>
        <w:t> </w:t>
      </w:r>
      <w:r>
        <w:rPr/>
        <w:t>school</w:t>
      </w:r>
      <w:r>
        <w:rPr>
          <w:spacing w:val="-2"/>
        </w:rPr>
        <w:t> </w:t>
      </w:r>
      <w:r>
        <w:rPr/>
        <w:t>age</w:t>
      </w:r>
      <w:r>
        <w:rPr>
          <w:spacing w:val="-3"/>
        </w:rPr>
        <w:t> </w:t>
      </w:r>
      <w:r>
        <w:rPr/>
        <w:t>populations</w:t>
      </w:r>
      <w:r>
        <w:rPr>
          <w:spacing w:val="-4"/>
        </w:rPr>
        <w:t> </w:t>
      </w:r>
      <w:r>
        <w:rPr/>
        <w:t>and</w:t>
      </w:r>
      <w:r>
        <w:rPr>
          <w:spacing w:val="-1"/>
        </w:rPr>
        <w:t> </w:t>
      </w:r>
      <w:r>
        <w:rPr/>
        <w:t>senior</w:t>
      </w:r>
      <w:r>
        <w:rPr>
          <w:spacing w:val="-6"/>
        </w:rPr>
        <w:t> </w:t>
      </w:r>
      <w:r>
        <w:rPr/>
        <w:t>populations.</w:t>
      </w:r>
      <w:r>
        <w:rPr>
          <w:spacing w:val="-3"/>
        </w:rPr>
        <w:t> </w:t>
      </w:r>
      <w:r>
        <w:rPr/>
        <w:t>The</w:t>
      </w:r>
      <w:r>
        <w:rPr>
          <w:spacing w:val="-3"/>
        </w:rPr>
        <w:t> </w:t>
      </w:r>
      <w:r>
        <w:rPr/>
        <w:t>ADA</w:t>
      </w:r>
      <w:r>
        <w:rPr>
          <w:spacing w:val="-4"/>
        </w:rPr>
        <w:t> </w:t>
      </w:r>
      <w:r>
        <w:rPr/>
        <w:t>office</w:t>
      </w:r>
      <w:r>
        <w:rPr>
          <w:spacing w:val="-2"/>
        </w:rPr>
        <w:t> </w:t>
      </w:r>
      <w:r>
        <w:rPr/>
        <w:t>also</w:t>
      </w:r>
      <w:r>
        <w:rPr>
          <w:spacing w:val="-2"/>
        </w:rPr>
        <w:t> </w:t>
      </w:r>
      <w:r>
        <w:rPr/>
        <w:t>reviews</w:t>
      </w:r>
      <w:r>
        <w:rPr>
          <w:spacing w:val="-3"/>
        </w:rPr>
        <w:t> </w:t>
      </w:r>
      <w:r>
        <w:rPr/>
        <w:t>RFQ</w:t>
      </w:r>
      <w:r>
        <w:rPr>
          <w:spacing w:val="-3"/>
        </w:rPr>
        <w:t> </w:t>
      </w:r>
      <w:r>
        <w:rPr/>
        <w:t>applications</w:t>
      </w:r>
      <w:r>
        <w:rPr>
          <w:spacing w:val="-4"/>
        </w:rPr>
        <w:t> </w:t>
      </w:r>
      <w:r>
        <w:rPr/>
        <w:t>for </w:t>
      </w:r>
      <w:r>
        <w:rPr>
          <w:spacing w:val="-4"/>
        </w:rPr>
        <w:t>ADA.</w:t>
      </w:r>
    </w:p>
    <w:p>
      <w:pPr>
        <w:pStyle w:val="BodyText"/>
        <w:spacing w:before="11"/>
        <w:rPr>
          <w:sz w:val="23"/>
        </w:rPr>
      </w:pPr>
    </w:p>
    <w:p>
      <w:pPr>
        <w:pStyle w:val="BodyText"/>
        <w:spacing w:before="1"/>
        <w:ind w:left="119"/>
      </w:pPr>
      <w:r>
        <w:rPr/>
        <w:t>ADA reviews potential projects from the MaineDOT’s Heads-Up project in the Bureau of Planning.</w:t>
      </w:r>
      <w:r>
        <w:rPr>
          <w:spacing w:val="40"/>
        </w:rPr>
        <w:t> </w:t>
      </w:r>
      <w:r>
        <w:rPr/>
        <w:t>These projects</w:t>
      </w:r>
      <w:r>
        <w:rPr>
          <w:spacing w:val="-4"/>
        </w:rPr>
        <w:t> </w:t>
      </w:r>
      <w:r>
        <w:rPr/>
        <w:t>are</w:t>
      </w:r>
      <w:r>
        <w:rPr>
          <w:spacing w:val="-3"/>
        </w:rPr>
        <w:t> </w:t>
      </w:r>
      <w:r>
        <w:rPr/>
        <w:t>selected</w:t>
      </w:r>
      <w:r>
        <w:rPr>
          <w:spacing w:val="-3"/>
        </w:rPr>
        <w:t> </w:t>
      </w:r>
      <w:r>
        <w:rPr/>
        <w:t>from</w:t>
      </w:r>
      <w:r>
        <w:rPr>
          <w:spacing w:val="-1"/>
        </w:rPr>
        <w:t> </w:t>
      </w:r>
      <w:r>
        <w:rPr/>
        <w:t>a</w:t>
      </w:r>
      <w:r>
        <w:rPr>
          <w:spacing w:val="-1"/>
        </w:rPr>
        <w:t> </w:t>
      </w:r>
      <w:r>
        <w:rPr/>
        <w:t>municipal</w:t>
      </w:r>
      <w:r>
        <w:rPr>
          <w:spacing w:val="-4"/>
        </w:rPr>
        <w:t> </w:t>
      </w:r>
      <w:r>
        <w:rPr/>
        <w:t>process</w:t>
      </w:r>
      <w:r>
        <w:rPr>
          <w:spacing w:val="-2"/>
        </w:rPr>
        <w:t> </w:t>
      </w:r>
      <w:r>
        <w:rPr/>
        <w:t>which</w:t>
      </w:r>
      <w:r>
        <w:rPr>
          <w:spacing w:val="-3"/>
        </w:rPr>
        <w:t> </w:t>
      </w:r>
      <w:r>
        <w:rPr/>
        <w:t>prioritizes</w:t>
      </w:r>
      <w:r>
        <w:rPr>
          <w:spacing w:val="-4"/>
        </w:rPr>
        <w:t> </w:t>
      </w:r>
      <w:r>
        <w:rPr/>
        <w:t>locations</w:t>
      </w:r>
      <w:r>
        <w:rPr>
          <w:spacing w:val="-4"/>
        </w:rPr>
        <w:t> </w:t>
      </w:r>
      <w:r>
        <w:rPr/>
        <w:t>in communities</w:t>
      </w:r>
      <w:r>
        <w:rPr>
          <w:spacing w:val="-4"/>
        </w:rPr>
        <w:t> </w:t>
      </w:r>
      <w:r>
        <w:rPr/>
        <w:t>with high rates</w:t>
      </w:r>
      <w:r>
        <w:rPr>
          <w:spacing w:val="-2"/>
        </w:rPr>
        <w:t> </w:t>
      </w:r>
      <w:r>
        <w:rPr/>
        <w:t>of pedestrian crashes.</w:t>
      </w:r>
    </w:p>
    <w:p>
      <w:pPr>
        <w:pStyle w:val="BodyText"/>
        <w:spacing w:before="1"/>
      </w:pPr>
    </w:p>
    <w:p>
      <w:pPr>
        <w:pStyle w:val="BodyText"/>
        <w:ind w:left="119"/>
      </w:pPr>
      <w:r>
        <w:rPr/>
        <w:t>MaineDOT</w:t>
      </w:r>
      <w:r>
        <w:rPr>
          <w:spacing w:val="-4"/>
        </w:rPr>
        <w:t> </w:t>
      </w:r>
      <w:r>
        <w:rPr/>
        <w:t>updates</w:t>
      </w:r>
      <w:r>
        <w:rPr>
          <w:spacing w:val="-5"/>
        </w:rPr>
        <w:t> </w:t>
      </w:r>
      <w:r>
        <w:rPr/>
        <w:t>the</w:t>
      </w:r>
      <w:r>
        <w:rPr>
          <w:spacing w:val="-4"/>
        </w:rPr>
        <w:t> </w:t>
      </w:r>
      <w:r>
        <w:rPr/>
        <w:t>ADA</w:t>
      </w:r>
      <w:r>
        <w:rPr>
          <w:spacing w:val="-2"/>
        </w:rPr>
        <w:t> </w:t>
      </w:r>
      <w:r>
        <w:rPr/>
        <w:t>curb</w:t>
      </w:r>
      <w:r>
        <w:rPr>
          <w:spacing w:val="-1"/>
        </w:rPr>
        <w:t> </w:t>
      </w:r>
      <w:r>
        <w:rPr/>
        <w:t>ramp</w:t>
      </w:r>
      <w:r>
        <w:rPr>
          <w:spacing w:val="-4"/>
        </w:rPr>
        <w:t> </w:t>
      </w:r>
      <w:r>
        <w:rPr/>
        <w:t>inventory</w:t>
      </w:r>
      <w:r>
        <w:rPr>
          <w:spacing w:val="-3"/>
        </w:rPr>
        <w:t> </w:t>
      </w:r>
      <w:r>
        <w:rPr/>
        <w:t>annually</w:t>
      </w:r>
      <w:r>
        <w:rPr>
          <w:spacing w:val="-3"/>
        </w:rPr>
        <w:t> </w:t>
      </w:r>
      <w:r>
        <w:rPr/>
        <w:t>and</w:t>
      </w:r>
      <w:r>
        <w:rPr>
          <w:spacing w:val="-4"/>
        </w:rPr>
        <w:t> </w:t>
      </w:r>
      <w:r>
        <w:rPr/>
        <w:t>that</w:t>
      </w:r>
      <w:r>
        <w:rPr>
          <w:spacing w:val="-1"/>
        </w:rPr>
        <w:t> </w:t>
      </w:r>
      <w:r>
        <w:rPr/>
        <w:t>can</w:t>
      </w:r>
      <w:r>
        <w:rPr>
          <w:spacing w:val="-1"/>
        </w:rPr>
        <w:t> </w:t>
      </w:r>
      <w:r>
        <w:rPr/>
        <w:t>be</w:t>
      </w:r>
      <w:r>
        <w:rPr>
          <w:spacing w:val="-2"/>
        </w:rPr>
        <w:t> </w:t>
      </w:r>
      <w:r>
        <w:rPr/>
        <w:t>reviewed</w:t>
      </w:r>
      <w:r>
        <w:rPr>
          <w:spacing w:val="-4"/>
        </w:rPr>
        <w:t> </w:t>
      </w:r>
      <w:r>
        <w:rPr/>
        <w:t>at: </w:t>
      </w:r>
      <w:hyperlink r:id="rId23">
        <w:r>
          <w:rPr>
            <w:color w:val="0000FF"/>
            <w:spacing w:val="-2"/>
            <w:u w:val="single" w:color="0000FF"/>
          </w:rPr>
          <w:t>https://www.maine.gov/mdot/civilrights/ada/</w:t>
        </w:r>
      </w:hyperlink>
    </w:p>
    <w:p>
      <w:pPr>
        <w:pStyle w:val="BodyText"/>
        <w:spacing w:before="9"/>
        <w:rPr>
          <w:sz w:val="19"/>
        </w:rPr>
      </w:pPr>
    </w:p>
    <w:p>
      <w:pPr>
        <w:pStyle w:val="BodyText"/>
        <w:spacing w:before="52"/>
        <w:ind w:left="120"/>
      </w:pPr>
      <w:r>
        <w:rPr/>
        <w:t>The</w:t>
      </w:r>
      <w:r>
        <w:rPr>
          <w:spacing w:val="-3"/>
        </w:rPr>
        <w:t> </w:t>
      </w:r>
      <w:r>
        <w:rPr/>
        <w:t>Office’s</w:t>
      </w:r>
      <w:r>
        <w:rPr>
          <w:spacing w:val="-4"/>
        </w:rPr>
        <w:t> </w:t>
      </w:r>
      <w:r>
        <w:rPr/>
        <w:t>Title VI</w:t>
      </w:r>
      <w:r>
        <w:rPr>
          <w:spacing w:val="-2"/>
        </w:rPr>
        <w:t> </w:t>
      </w:r>
      <w:r>
        <w:rPr/>
        <w:t>Liaison</w:t>
      </w:r>
      <w:r>
        <w:rPr>
          <w:spacing w:val="-2"/>
        </w:rPr>
        <w:t> will:</w:t>
      </w:r>
    </w:p>
    <w:p>
      <w:pPr>
        <w:pStyle w:val="BodyText"/>
        <w:spacing w:before="11"/>
        <w:rPr>
          <w:sz w:val="23"/>
        </w:rPr>
      </w:pPr>
    </w:p>
    <w:p>
      <w:pPr>
        <w:pStyle w:val="ListParagraph"/>
        <w:numPr>
          <w:ilvl w:val="0"/>
          <w:numId w:val="5"/>
        </w:numPr>
        <w:tabs>
          <w:tab w:pos="839" w:val="left" w:leader="none"/>
        </w:tabs>
        <w:spacing w:line="305" w:lineRule="exact" w:before="0" w:after="0"/>
        <w:ind w:left="839" w:right="0" w:hanging="359"/>
        <w:jc w:val="left"/>
        <w:rPr>
          <w:sz w:val="24"/>
        </w:rPr>
      </w:pPr>
      <w:r>
        <w:rPr>
          <w:sz w:val="24"/>
        </w:rPr>
        <w:t>Serve</w:t>
      </w:r>
      <w:r>
        <w:rPr>
          <w:spacing w:val="-1"/>
          <w:sz w:val="24"/>
        </w:rPr>
        <w:t> </w:t>
      </w:r>
      <w:r>
        <w:rPr>
          <w:sz w:val="24"/>
        </w:rPr>
        <w:t>as</w:t>
      </w:r>
      <w:r>
        <w:rPr>
          <w:spacing w:val="-1"/>
          <w:sz w:val="24"/>
        </w:rPr>
        <w:t> </w:t>
      </w:r>
      <w:r>
        <w:rPr>
          <w:sz w:val="24"/>
        </w:rPr>
        <w:t>a</w:t>
      </w:r>
      <w:r>
        <w:rPr>
          <w:spacing w:val="-2"/>
          <w:sz w:val="24"/>
        </w:rPr>
        <w:t> </w:t>
      </w:r>
      <w:r>
        <w:rPr>
          <w:sz w:val="24"/>
        </w:rPr>
        <w:t>resource</w:t>
      </w:r>
      <w:r>
        <w:rPr>
          <w:spacing w:val="-2"/>
          <w:sz w:val="24"/>
        </w:rPr>
        <w:t> </w:t>
      </w:r>
      <w:r>
        <w:rPr>
          <w:sz w:val="24"/>
        </w:rPr>
        <w:t>person</w:t>
      </w:r>
      <w:r>
        <w:rPr>
          <w:spacing w:val="-2"/>
          <w:sz w:val="24"/>
        </w:rPr>
        <w:t> </w:t>
      </w:r>
      <w:r>
        <w:rPr>
          <w:sz w:val="24"/>
        </w:rPr>
        <w:t>for</w:t>
      </w:r>
      <w:r>
        <w:rPr>
          <w:spacing w:val="-3"/>
          <w:sz w:val="24"/>
        </w:rPr>
        <w:t> </w:t>
      </w:r>
      <w:r>
        <w:rPr>
          <w:sz w:val="24"/>
        </w:rPr>
        <w:t>the ADA </w:t>
      </w:r>
      <w:r>
        <w:rPr>
          <w:spacing w:val="-2"/>
          <w:sz w:val="24"/>
        </w:rPr>
        <w:t>Office.</w:t>
      </w:r>
    </w:p>
    <w:p>
      <w:pPr>
        <w:pStyle w:val="ListParagraph"/>
        <w:numPr>
          <w:ilvl w:val="0"/>
          <w:numId w:val="5"/>
        </w:numPr>
        <w:tabs>
          <w:tab w:pos="840" w:val="left" w:leader="none"/>
        </w:tabs>
        <w:spacing w:line="242" w:lineRule="auto" w:before="0" w:after="0"/>
        <w:ind w:left="840" w:right="444" w:hanging="360"/>
        <w:jc w:val="left"/>
        <w:rPr>
          <w:sz w:val="24"/>
        </w:rPr>
      </w:pPr>
      <w:r>
        <w:rPr>
          <w:sz w:val="24"/>
        </w:rPr>
        <w:t>Provide</w:t>
      </w:r>
      <w:r>
        <w:rPr>
          <w:spacing w:val="-4"/>
          <w:sz w:val="24"/>
        </w:rPr>
        <w:t> </w:t>
      </w:r>
      <w:r>
        <w:rPr>
          <w:sz w:val="24"/>
        </w:rPr>
        <w:t>statistical</w:t>
      </w:r>
      <w:r>
        <w:rPr>
          <w:spacing w:val="-5"/>
          <w:sz w:val="24"/>
        </w:rPr>
        <w:t> </w:t>
      </w:r>
      <w:r>
        <w:rPr>
          <w:sz w:val="24"/>
        </w:rPr>
        <w:t>data</w:t>
      </w:r>
      <w:r>
        <w:rPr>
          <w:spacing w:val="-2"/>
          <w:sz w:val="24"/>
        </w:rPr>
        <w:t> </w:t>
      </w:r>
      <w:r>
        <w:rPr>
          <w:sz w:val="24"/>
        </w:rPr>
        <w:t>on</w:t>
      </w:r>
      <w:r>
        <w:rPr>
          <w:spacing w:val="-1"/>
          <w:sz w:val="24"/>
        </w:rPr>
        <w:t> </w:t>
      </w:r>
      <w:r>
        <w:rPr>
          <w:sz w:val="24"/>
        </w:rPr>
        <w:t>race,</w:t>
      </w:r>
      <w:r>
        <w:rPr>
          <w:spacing w:val="-2"/>
          <w:sz w:val="24"/>
        </w:rPr>
        <w:t> </w:t>
      </w:r>
      <w:r>
        <w:rPr>
          <w:sz w:val="24"/>
        </w:rPr>
        <w:t>color,</w:t>
      </w:r>
      <w:r>
        <w:rPr>
          <w:spacing w:val="-2"/>
          <w:sz w:val="24"/>
        </w:rPr>
        <w:t> </w:t>
      </w:r>
      <w:r>
        <w:rPr>
          <w:sz w:val="24"/>
        </w:rPr>
        <w:t>and</w:t>
      </w:r>
      <w:r>
        <w:rPr>
          <w:spacing w:val="-4"/>
          <w:sz w:val="24"/>
        </w:rPr>
        <w:t> </w:t>
      </w:r>
      <w:r>
        <w:rPr>
          <w:sz w:val="24"/>
        </w:rPr>
        <w:t>national</w:t>
      </w:r>
      <w:r>
        <w:rPr>
          <w:spacing w:val="-2"/>
          <w:sz w:val="24"/>
        </w:rPr>
        <w:t> </w:t>
      </w:r>
      <w:r>
        <w:rPr>
          <w:sz w:val="24"/>
        </w:rPr>
        <w:t>origin</w:t>
      </w:r>
      <w:r>
        <w:rPr>
          <w:spacing w:val="-4"/>
          <w:sz w:val="24"/>
        </w:rPr>
        <w:t> </w:t>
      </w:r>
      <w:r>
        <w:rPr>
          <w:sz w:val="24"/>
        </w:rPr>
        <w:t>of</w:t>
      </w:r>
      <w:r>
        <w:rPr>
          <w:spacing w:val="-1"/>
          <w:sz w:val="24"/>
        </w:rPr>
        <w:t> </w:t>
      </w:r>
      <w:r>
        <w:rPr>
          <w:sz w:val="24"/>
        </w:rPr>
        <w:t>populations</w:t>
      </w:r>
      <w:r>
        <w:rPr>
          <w:spacing w:val="-3"/>
          <w:sz w:val="24"/>
        </w:rPr>
        <w:t> </w:t>
      </w:r>
      <w:r>
        <w:rPr>
          <w:sz w:val="24"/>
        </w:rPr>
        <w:t>in</w:t>
      </w:r>
      <w:r>
        <w:rPr>
          <w:spacing w:val="-1"/>
          <w:sz w:val="24"/>
        </w:rPr>
        <w:t> </w:t>
      </w:r>
      <w:r>
        <w:rPr>
          <w:sz w:val="24"/>
        </w:rPr>
        <w:t>all</w:t>
      </w:r>
      <w:r>
        <w:rPr>
          <w:spacing w:val="-5"/>
          <w:sz w:val="24"/>
        </w:rPr>
        <w:t> </w:t>
      </w:r>
      <w:r>
        <w:rPr>
          <w:sz w:val="24"/>
        </w:rPr>
        <w:t>areas</w:t>
      </w:r>
      <w:r>
        <w:rPr>
          <w:spacing w:val="-3"/>
          <w:sz w:val="24"/>
        </w:rPr>
        <w:t> </w:t>
      </w:r>
      <w:r>
        <w:rPr>
          <w:sz w:val="24"/>
        </w:rPr>
        <w:t>impacted</w:t>
      </w:r>
      <w:r>
        <w:rPr>
          <w:spacing w:val="-4"/>
          <w:sz w:val="24"/>
        </w:rPr>
        <w:t> </w:t>
      </w:r>
      <w:r>
        <w:rPr>
          <w:sz w:val="24"/>
        </w:rPr>
        <w:t>by</w:t>
      </w:r>
      <w:r>
        <w:rPr>
          <w:spacing w:val="-3"/>
          <w:sz w:val="24"/>
        </w:rPr>
        <w:t> </w:t>
      </w:r>
      <w:r>
        <w:rPr>
          <w:sz w:val="24"/>
        </w:rPr>
        <w:t>the Department’s programs or services, including LEP.</w:t>
      </w:r>
    </w:p>
    <w:p>
      <w:pPr>
        <w:pStyle w:val="ListParagraph"/>
        <w:numPr>
          <w:ilvl w:val="0"/>
          <w:numId w:val="5"/>
        </w:numPr>
        <w:tabs>
          <w:tab w:pos="839" w:val="left" w:leader="none"/>
        </w:tabs>
        <w:spacing w:line="301" w:lineRule="exact" w:before="0" w:after="0"/>
        <w:ind w:left="839" w:right="0" w:hanging="359"/>
        <w:jc w:val="left"/>
        <w:rPr>
          <w:sz w:val="24"/>
        </w:rPr>
      </w:pPr>
      <w:r>
        <w:rPr>
          <w:sz w:val="24"/>
        </w:rPr>
        <w:t>Monitor</w:t>
      </w:r>
      <w:r>
        <w:rPr>
          <w:spacing w:val="-3"/>
          <w:sz w:val="24"/>
        </w:rPr>
        <w:t> </w:t>
      </w:r>
      <w:r>
        <w:rPr>
          <w:sz w:val="24"/>
        </w:rPr>
        <w:t>all activities</w:t>
      </w:r>
      <w:r>
        <w:rPr>
          <w:spacing w:val="-2"/>
          <w:sz w:val="24"/>
        </w:rPr>
        <w:t> </w:t>
      </w:r>
      <w:r>
        <w:rPr>
          <w:sz w:val="24"/>
        </w:rPr>
        <w:t>to</w:t>
      </w:r>
      <w:r>
        <w:rPr>
          <w:spacing w:val="-2"/>
          <w:sz w:val="24"/>
        </w:rPr>
        <w:t> </w:t>
      </w:r>
      <w:r>
        <w:rPr>
          <w:sz w:val="24"/>
        </w:rPr>
        <w:t>ensure</w:t>
      </w:r>
      <w:r>
        <w:rPr>
          <w:spacing w:val="-1"/>
          <w:sz w:val="24"/>
        </w:rPr>
        <w:t> </w:t>
      </w:r>
      <w:r>
        <w:rPr>
          <w:spacing w:val="-2"/>
          <w:sz w:val="24"/>
        </w:rPr>
        <w:t>nondiscrimination.</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Provide</w:t>
      </w:r>
      <w:r>
        <w:rPr>
          <w:spacing w:val="-4"/>
          <w:sz w:val="24"/>
        </w:rPr>
        <w:t> </w:t>
      </w:r>
      <w:r>
        <w:rPr>
          <w:sz w:val="24"/>
        </w:rPr>
        <w:t>information</w:t>
      </w:r>
      <w:r>
        <w:rPr>
          <w:spacing w:val="-1"/>
          <w:sz w:val="24"/>
        </w:rPr>
        <w:t> </w:t>
      </w:r>
      <w:r>
        <w:rPr>
          <w:sz w:val="24"/>
        </w:rPr>
        <w:t>to</w:t>
      </w:r>
      <w:r>
        <w:rPr>
          <w:spacing w:val="-4"/>
          <w:sz w:val="24"/>
        </w:rPr>
        <w:t> </w:t>
      </w:r>
      <w:r>
        <w:rPr>
          <w:sz w:val="24"/>
        </w:rPr>
        <w:t>program</w:t>
      </w:r>
      <w:r>
        <w:rPr>
          <w:spacing w:val="-2"/>
          <w:sz w:val="24"/>
        </w:rPr>
        <w:t> </w:t>
      </w:r>
      <w:r>
        <w:rPr>
          <w:sz w:val="24"/>
        </w:rPr>
        <w:t>area</w:t>
      </w:r>
      <w:r>
        <w:rPr>
          <w:spacing w:val="-1"/>
          <w:sz w:val="24"/>
        </w:rPr>
        <w:t> </w:t>
      </w:r>
      <w:r>
        <w:rPr>
          <w:sz w:val="24"/>
        </w:rPr>
        <w:t>staff</w:t>
      </w:r>
      <w:r>
        <w:rPr>
          <w:spacing w:val="-4"/>
          <w:sz w:val="24"/>
        </w:rPr>
        <w:t> </w:t>
      </w:r>
      <w:r>
        <w:rPr>
          <w:sz w:val="24"/>
        </w:rPr>
        <w:t>regarding</w:t>
      </w:r>
      <w:r>
        <w:rPr>
          <w:spacing w:val="-3"/>
          <w:sz w:val="24"/>
        </w:rPr>
        <w:t> </w:t>
      </w:r>
      <w:r>
        <w:rPr>
          <w:sz w:val="24"/>
        </w:rPr>
        <w:t>Title</w:t>
      </w:r>
      <w:r>
        <w:rPr>
          <w:spacing w:val="-3"/>
          <w:sz w:val="24"/>
        </w:rPr>
        <w:t> </w:t>
      </w:r>
      <w:r>
        <w:rPr>
          <w:spacing w:val="-5"/>
          <w:sz w:val="24"/>
        </w:rPr>
        <w:t>VI.</w:t>
      </w:r>
    </w:p>
    <w:p>
      <w:pPr>
        <w:pStyle w:val="ListParagraph"/>
        <w:numPr>
          <w:ilvl w:val="0"/>
          <w:numId w:val="5"/>
        </w:numPr>
        <w:tabs>
          <w:tab w:pos="839" w:val="left" w:leader="none"/>
        </w:tabs>
        <w:spacing w:line="240" w:lineRule="auto" w:before="1" w:after="0"/>
        <w:ind w:left="839" w:right="0" w:hanging="359"/>
        <w:jc w:val="left"/>
        <w:rPr>
          <w:sz w:val="24"/>
        </w:rPr>
      </w:pPr>
      <w:r>
        <w:rPr>
          <w:sz w:val="24"/>
        </w:rPr>
        <w:t>Address</w:t>
      </w:r>
      <w:r>
        <w:rPr>
          <w:spacing w:val="-5"/>
          <w:sz w:val="24"/>
        </w:rPr>
        <w:t> </w:t>
      </w:r>
      <w:r>
        <w:rPr>
          <w:sz w:val="24"/>
        </w:rPr>
        <w:t>any</w:t>
      </w:r>
      <w:r>
        <w:rPr>
          <w:spacing w:val="-1"/>
          <w:sz w:val="24"/>
        </w:rPr>
        <w:t> </w:t>
      </w:r>
      <w:r>
        <w:rPr>
          <w:sz w:val="24"/>
        </w:rPr>
        <w:t>complaints</w:t>
      </w:r>
      <w:r>
        <w:rPr>
          <w:spacing w:val="-1"/>
          <w:sz w:val="24"/>
        </w:rPr>
        <w:t> </w:t>
      </w:r>
      <w:r>
        <w:rPr>
          <w:sz w:val="24"/>
        </w:rPr>
        <w:t>received</w:t>
      </w:r>
      <w:r>
        <w:rPr>
          <w:spacing w:val="-2"/>
          <w:sz w:val="24"/>
        </w:rPr>
        <w:t> </w:t>
      </w:r>
      <w:r>
        <w:rPr>
          <w:sz w:val="24"/>
        </w:rPr>
        <w:t>with</w:t>
      </w:r>
      <w:r>
        <w:rPr>
          <w:spacing w:val="-2"/>
          <w:sz w:val="24"/>
        </w:rPr>
        <w:t> </w:t>
      </w:r>
      <w:r>
        <w:rPr>
          <w:sz w:val="24"/>
        </w:rPr>
        <w:t>the</w:t>
      </w:r>
      <w:r>
        <w:rPr>
          <w:spacing w:val="-2"/>
          <w:sz w:val="24"/>
        </w:rPr>
        <w:t> </w:t>
      </w:r>
      <w:r>
        <w:rPr>
          <w:sz w:val="24"/>
        </w:rPr>
        <w:t>Civil Rights</w:t>
      </w:r>
      <w:r>
        <w:rPr>
          <w:spacing w:val="-1"/>
          <w:sz w:val="24"/>
        </w:rPr>
        <w:t> </w:t>
      </w:r>
      <w:r>
        <w:rPr>
          <w:spacing w:val="-2"/>
          <w:sz w:val="24"/>
        </w:rPr>
        <w:t>Office.</w:t>
      </w:r>
    </w:p>
    <w:p>
      <w:pPr>
        <w:spacing w:after="0" w:line="240" w:lineRule="auto"/>
        <w:jc w:val="left"/>
        <w:rPr>
          <w:sz w:val="24"/>
        </w:rPr>
        <w:sectPr>
          <w:pgSz w:w="12240" w:h="15840"/>
          <w:pgMar w:header="0" w:footer="1063" w:top="960" w:bottom="1260" w:left="600" w:right="600"/>
        </w:sectPr>
      </w:pPr>
    </w:p>
    <w:p>
      <w:pPr>
        <w:pStyle w:val="ListParagraph"/>
        <w:numPr>
          <w:ilvl w:val="0"/>
          <w:numId w:val="5"/>
        </w:numPr>
        <w:tabs>
          <w:tab w:pos="840" w:val="left" w:leader="none"/>
        </w:tabs>
        <w:spacing w:line="240" w:lineRule="auto" w:before="74" w:after="0"/>
        <w:ind w:left="840" w:right="113" w:hanging="360"/>
        <w:jc w:val="both"/>
        <w:rPr>
          <w:sz w:val="24"/>
        </w:rPr>
      </w:pPr>
      <w:r>
        <w:rPr>
          <w:sz w:val="24"/>
        </w:rPr>
        <w:t>Provide the Civil Rights Office with a quarterly report regarding all activities indicating the relative benefits, services and any adverse impacts and its alternatives on persons and businesses of majority and</w:t>
      </w:r>
      <w:r>
        <w:rPr>
          <w:spacing w:val="-9"/>
          <w:sz w:val="24"/>
        </w:rPr>
        <w:t> </w:t>
      </w:r>
      <w:r>
        <w:rPr>
          <w:sz w:val="24"/>
        </w:rPr>
        <w:t>minority,</w:t>
      </w:r>
      <w:r>
        <w:rPr>
          <w:spacing w:val="-10"/>
          <w:sz w:val="24"/>
        </w:rPr>
        <w:t> </w:t>
      </w:r>
      <w:r>
        <w:rPr>
          <w:sz w:val="24"/>
        </w:rPr>
        <w:t>racial,</w:t>
      </w:r>
      <w:r>
        <w:rPr>
          <w:spacing w:val="-12"/>
          <w:sz w:val="24"/>
        </w:rPr>
        <w:t> </w:t>
      </w:r>
      <w:r>
        <w:rPr>
          <w:sz w:val="24"/>
        </w:rPr>
        <w:t>national</w:t>
      </w:r>
      <w:r>
        <w:rPr>
          <w:spacing w:val="-10"/>
          <w:sz w:val="24"/>
        </w:rPr>
        <w:t> </w:t>
      </w:r>
      <w:r>
        <w:rPr>
          <w:sz w:val="24"/>
        </w:rPr>
        <w:t>origin,</w:t>
      </w:r>
      <w:r>
        <w:rPr>
          <w:spacing w:val="-10"/>
          <w:sz w:val="24"/>
        </w:rPr>
        <w:t> </w:t>
      </w:r>
      <w:r>
        <w:rPr>
          <w:sz w:val="24"/>
        </w:rPr>
        <w:t>and/or</w:t>
      </w:r>
      <w:r>
        <w:rPr>
          <w:spacing w:val="-9"/>
          <w:sz w:val="24"/>
        </w:rPr>
        <w:t> </w:t>
      </w:r>
      <w:r>
        <w:rPr>
          <w:sz w:val="24"/>
        </w:rPr>
        <w:t>low-income</w:t>
      </w:r>
      <w:r>
        <w:rPr>
          <w:spacing w:val="-9"/>
          <w:sz w:val="24"/>
        </w:rPr>
        <w:t> </w:t>
      </w:r>
      <w:r>
        <w:rPr>
          <w:sz w:val="24"/>
        </w:rPr>
        <w:t>groups,</w:t>
      </w:r>
      <w:r>
        <w:rPr>
          <w:spacing w:val="-10"/>
          <w:sz w:val="24"/>
        </w:rPr>
        <w:t> </w:t>
      </w:r>
      <w:r>
        <w:rPr>
          <w:sz w:val="24"/>
        </w:rPr>
        <w:t>including</w:t>
      </w:r>
      <w:r>
        <w:rPr>
          <w:spacing w:val="-12"/>
          <w:sz w:val="24"/>
        </w:rPr>
        <w:t> </w:t>
      </w:r>
      <w:r>
        <w:rPr>
          <w:sz w:val="24"/>
        </w:rPr>
        <w:t>but</w:t>
      </w:r>
      <w:r>
        <w:rPr>
          <w:spacing w:val="-11"/>
          <w:sz w:val="24"/>
        </w:rPr>
        <w:t> </w:t>
      </w:r>
      <w:r>
        <w:rPr>
          <w:sz w:val="24"/>
        </w:rPr>
        <w:t>not</w:t>
      </w:r>
      <w:r>
        <w:rPr>
          <w:spacing w:val="-9"/>
          <w:sz w:val="24"/>
        </w:rPr>
        <w:t> </w:t>
      </w:r>
      <w:r>
        <w:rPr>
          <w:sz w:val="24"/>
        </w:rPr>
        <w:t>limited</w:t>
      </w:r>
      <w:r>
        <w:rPr>
          <w:spacing w:val="-9"/>
          <w:sz w:val="24"/>
        </w:rPr>
        <w:t> </w:t>
      </w:r>
      <w:r>
        <w:rPr>
          <w:sz w:val="24"/>
        </w:rPr>
        <w:t>to</w:t>
      </w:r>
      <w:r>
        <w:rPr>
          <w:spacing w:val="-9"/>
          <w:sz w:val="24"/>
        </w:rPr>
        <w:t> </w:t>
      </w:r>
      <w:r>
        <w:rPr>
          <w:sz w:val="24"/>
        </w:rPr>
        <w:t>LEP</w:t>
      </w:r>
      <w:r>
        <w:rPr>
          <w:spacing w:val="-11"/>
          <w:sz w:val="24"/>
        </w:rPr>
        <w:t> </w:t>
      </w:r>
      <w:r>
        <w:rPr>
          <w:sz w:val="24"/>
        </w:rPr>
        <w:t>persons.</w:t>
      </w:r>
    </w:p>
    <w:p>
      <w:pPr>
        <w:pStyle w:val="ListParagraph"/>
        <w:numPr>
          <w:ilvl w:val="0"/>
          <w:numId w:val="5"/>
        </w:numPr>
        <w:tabs>
          <w:tab w:pos="840" w:val="left" w:leader="none"/>
        </w:tabs>
        <w:spacing w:line="240" w:lineRule="auto" w:before="2" w:after="0"/>
        <w:ind w:left="840" w:right="113" w:hanging="360"/>
        <w:jc w:val="both"/>
        <w:rPr>
          <w:sz w:val="24"/>
        </w:rPr>
      </w:pPr>
      <w:r>
        <w:rPr>
          <w:sz w:val="24"/>
        </w:rPr>
        <w:t>Provide the Civil Rights Office with an annual report of Title VI accomplishments and/or any issues for this year and any changes for the next year. Report is due by September 15</w:t>
      </w:r>
      <w:r>
        <w:rPr>
          <w:sz w:val="24"/>
          <w:vertAlign w:val="superscript"/>
        </w:rPr>
        <w:t>th</w:t>
      </w:r>
      <w:r>
        <w:rPr>
          <w:sz w:val="24"/>
          <w:vertAlign w:val="baseline"/>
        </w:rPr>
        <w:t> of each year.</w:t>
      </w:r>
    </w:p>
    <w:p>
      <w:pPr>
        <w:pStyle w:val="BodyText"/>
        <w:spacing w:before="11"/>
        <w:rPr>
          <w:sz w:val="23"/>
        </w:rPr>
      </w:pPr>
    </w:p>
    <w:p>
      <w:pPr>
        <w:pStyle w:val="Heading9"/>
      </w:pPr>
      <w:r>
        <w:rPr/>
        <w:t>Title</w:t>
      </w:r>
      <w:r>
        <w:rPr>
          <w:spacing w:val="-1"/>
        </w:rPr>
        <w:t> </w:t>
      </w:r>
      <w:r>
        <w:rPr/>
        <w:t>VI Data</w:t>
      </w:r>
      <w:r>
        <w:rPr>
          <w:spacing w:val="-1"/>
        </w:rPr>
        <w:t> </w:t>
      </w:r>
      <w:r>
        <w:rPr>
          <w:spacing w:val="-2"/>
        </w:rPr>
        <w:t>Collection</w:t>
      </w:r>
    </w:p>
    <w:p>
      <w:pPr>
        <w:pStyle w:val="BodyText"/>
        <w:rPr>
          <w:b/>
        </w:rPr>
      </w:pPr>
    </w:p>
    <w:p>
      <w:pPr>
        <w:pStyle w:val="BodyText"/>
        <w:ind w:left="119"/>
      </w:pPr>
      <w:r>
        <w:rPr/>
        <w:t>To</w:t>
      </w:r>
      <w:r>
        <w:rPr>
          <w:spacing w:val="-3"/>
        </w:rPr>
        <w:t> </w:t>
      </w:r>
      <w:r>
        <w:rPr/>
        <w:t>ensure</w:t>
      </w:r>
      <w:r>
        <w:rPr>
          <w:spacing w:val="-3"/>
        </w:rPr>
        <w:t> </w:t>
      </w:r>
      <w:r>
        <w:rPr/>
        <w:t>that</w:t>
      </w:r>
      <w:r>
        <w:rPr>
          <w:spacing w:val="-3"/>
        </w:rPr>
        <w:t> </w:t>
      </w:r>
      <w:r>
        <w:rPr/>
        <w:t>Title</w:t>
      </w:r>
      <w:r>
        <w:rPr>
          <w:spacing w:val="-1"/>
        </w:rPr>
        <w:t> </w:t>
      </w:r>
      <w:r>
        <w:rPr/>
        <w:t>VI</w:t>
      </w:r>
      <w:r>
        <w:rPr>
          <w:spacing w:val="-3"/>
        </w:rPr>
        <w:t> </w:t>
      </w:r>
      <w:r>
        <w:rPr/>
        <w:t>reporting</w:t>
      </w:r>
      <w:r>
        <w:rPr>
          <w:spacing w:val="-2"/>
        </w:rPr>
        <w:t> </w:t>
      </w:r>
      <w:r>
        <w:rPr/>
        <w:t>requirements</w:t>
      </w:r>
      <w:r>
        <w:rPr>
          <w:spacing w:val="-4"/>
        </w:rPr>
        <w:t> </w:t>
      </w:r>
      <w:r>
        <w:rPr/>
        <w:t>are</w:t>
      </w:r>
      <w:r>
        <w:rPr>
          <w:spacing w:val="-1"/>
        </w:rPr>
        <w:t> </w:t>
      </w:r>
      <w:r>
        <w:rPr/>
        <w:t>met,</w:t>
      </w:r>
      <w:r>
        <w:rPr>
          <w:spacing w:val="-1"/>
        </w:rPr>
        <w:t> </w:t>
      </w:r>
      <w:r>
        <w:rPr/>
        <w:t>MaineDOT </w:t>
      </w:r>
      <w:r>
        <w:rPr>
          <w:spacing w:val="-2"/>
        </w:rPr>
        <w:t>maintains:</w:t>
      </w:r>
    </w:p>
    <w:p>
      <w:pPr>
        <w:pStyle w:val="BodyText"/>
        <w:spacing w:before="11"/>
        <w:rPr>
          <w:sz w:val="23"/>
        </w:rPr>
      </w:pPr>
    </w:p>
    <w:p>
      <w:pPr>
        <w:pStyle w:val="ListParagraph"/>
        <w:numPr>
          <w:ilvl w:val="0"/>
          <w:numId w:val="5"/>
        </w:numPr>
        <w:tabs>
          <w:tab w:pos="840" w:val="left" w:leader="none"/>
        </w:tabs>
        <w:spacing w:line="242" w:lineRule="auto" w:before="0" w:after="0"/>
        <w:ind w:left="840" w:right="322" w:hanging="360"/>
        <w:jc w:val="left"/>
        <w:rPr>
          <w:sz w:val="24"/>
        </w:rPr>
      </w:pPr>
      <w:r>
        <w:rPr>
          <w:sz w:val="24"/>
        </w:rPr>
        <w:t>A</w:t>
      </w:r>
      <w:r>
        <w:rPr>
          <w:spacing w:val="-1"/>
          <w:sz w:val="24"/>
        </w:rPr>
        <w:t> </w:t>
      </w:r>
      <w:r>
        <w:rPr>
          <w:sz w:val="24"/>
        </w:rPr>
        <w:t>database</w:t>
      </w:r>
      <w:r>
        <w:rPr>
          <w:spacing w:val="-3"/>
          <w:sz w:val="24"/>
        </w:rPr>
        <w:t> </w:t>
      </w:r>
      <w:r>
        <w:rPr>
          <w:sz w:val="24"/>
        </w:rPr>
        <w:t>or</w:t>
      </w:r>
      <w:r>
        <w:rPr>
          <w:spacing w:val="-4"/>
          <w:sz w:val="24"/>
        </w:rPr>
        <w:t> </w:t>
      </w:r>
      <w:r>
        <w:rPr>
          <w:sz w:val="24"/>
        </w:rPr>
        <w:t>log</w:t>
      </w:r>
      <w:r>
        <w:rPr>
          <w:spacing w:val="-2"/>
          <w:sz w:val="24"/>
        </w:rPr>
        <w:t> </w:t>
      </w:r>
      <w:r>
        <w:rPr>
          <w:sz w:val="24"/>
        </w:rPr>
        <w:t>of</w:t>
      </w:r>
      <w:r>
        <w:rPr>
          <w:spacing w:val="-3"/>
          <w:sz w:val="24"/>
        </w:rPr>
        <w:t> </w:t>
      </w:r>
      <w:r>
        <w:rPr>
          <w:sz w:val="24"/>
        </w:rPr>
        <w:t>Title</w:t>
      </w:r>
      <w:r>
        <w:rPr>
          <w:spacing w:val="-3"/>
          <w:sz w:val="24"/>
        </w:rPr>
        <w:t> </w:t>
      </w:r>
      <w:r>
        <w:rPr>
          <w:sz w:val="24"/>
        </w:rPr>
        <w:t>VI</w:t>
      </w:r>
      <w:r>
        <w:rPr>
          <w:spacing w:val="-2"/>
          <w:sz w:val="24"/>
        </w:rPr>
        <w:t> </w:t>
      </w:r>
      <w:r>
        <w:rPr>
          <w:sz w:val="24"/>
        </w:rPr>
        <w:t>complaints</w:t>
      </w:r>
      <w:r>
        <w:rPr>
          <w:spacing w:val="-2"/>
          <w:sz w:val="24"/>
        </w:rPr>
        <w:t> </w:t>
      </w:r>
      <w:r>
        <w:rPr>
          <w:sz w:val="24"/>
        </w:rPr>
        <w:t>received</w:t>
      </w:r>
      <w:r>
        <w:rPr>
          <w:spacing w:val="-3"/>
          <w:sz w:val="24"/>
        </w:rPr>
        <w:t> </w:t>
      </w:r>
      <w:r>
        <w:rPr>
          <w:sz w:val="24"/>
        </w:rPr>
        <w:t>that</w:t>
      </w:r>
      <w:r>
        <w:rPr>
          <w:spacing w:val="-3"/>
          <w:sz w:val="24"/>
        </w:rPr>
        <w:t> </w:t>
      </w:r>
      <w:r>
        <w:rPr>
          <w:sz w:val="24"/>
        </w:rPr>
        <w:t>tracks</w:t>
      </w:r>
      <w:r>
        <w:rPr>
          <w:spacing w:val="-2"/>
          <w:sz w:val="24"/>
        </w:rPr>
        <w:t> </w:t>
      </w:r>
      <w:r>
        <w:rPr>
          <w:sz w:val="24"/>
        </w:rPr>
        <w:t>the</w:t>
      </w:r>
      <w:r>
        <w:rPr>
          <w:spacing w:val="-1"/>
          <w:sz w:val="24"/>
        </w:rPr>
        <w:t> </w:t>
      </w:r>
      <w:r>
        <w:rPr>
          <w:sz w:val="24"/>
        </w:rPr>
        <w:t>investigation</w:t>
      </w:r>
      <w:r>
        <w:rPr>
          <w:spacing w:val="-1"/>
          <w:sz w:val="24"/>
        </w:rPr>
        <w:t> </w:t>
      </w:r>
      <w:r>
        <w:rPr>
          <w:sz w:val="24"/>
        </w:rPr>
        <w:t>of</w:t>
      </w:r>
      <w:r>
        <w:rPr>
          <w:spacing w:val="-1"/>
          <w:sz w:val="24"/>
        </w:rPr>
        <w:t> </w:t>
      </w:r>
      <w:r>
        <w:rPr>
          <w:sz w:val="24"/>
        </w:rPr>
        <w:t>and</w:t>
      </w:r>
      <w:r>
        <w:rPr>
          <w:spacing w:val="-3"/>
          <w:sz w:val="24"/>
        </w:rPr>
        <w:t> </w:t>
      </w:r>
      <w:r>
        <w:rPr>
          <w:sz w:val="24"/>
        </w:rPr>
        <w:t>response</w:t>
      </w:r>
      <w:r>
        <w:rPr>
          <w:spacing w:val="-3"/>
          <w:sz w:val="24"/>
        </w:rPr>
        <w:t> </w:t>
      </w:r>
      <w:r>
        <w:rPr>
          <w:sz w:val="24"/>
        </w:rPr>
        <w:t>to</w:t>
      </w:r>
      <w:r>
        <w:rPr>
          <w:spacing w:val="-3"/>
          <w:sz w:val="24"/>
        </w:rPr>
        <w:t> </w:t>
      </w:r>
      <w:r>
        <w:rPr>
          <w:sz w:val="24"/>
        </w:rPr>
        <w:t>each </w:t>
      </w:r>
      <w:r>
        <w:rPr>
          <w:spacing w:val="-2"/>
          <w:sz w:val="24"/>
        </w:rPr>
        <w:t>complaint.</w:t>
      </w:r>
    </w:p>
    <w:p>
      <w:pPr>
        <w:pStyle w:val="ListParagraph"/>
        <w:numPr>
          <w:ilvl w:val="0"/>
          <w:numId w:val="5"/>
        </w:numPr>
        <w:tabs>
          <w:tab w:pos="840" w:val="left" w:leader="none"/>
        </w:tabs>
        <w:spacing w:line="240" w:lineRule="auto" w:before="0" w:after="0"/>
        <w:ind w:left="840" w:right="478" w:hanging="360"/>
        <w:jc w:val="left"/>
        <w:rPr>
          <w:sz w:val="24"/>
        </w:rPr>
      </w:pPr>
      <w:r>
        <w:rPr>
          <w:sz w:val="24"/>
        </w:rPr>
        <w:t>A</w:t>
      </w:r>
      <w:r>
        <w:rPr>
          <w:spacing w:val="-2"/>
          <w:sz w:val="24"/>
        </w:rPr>
        <w:t> </w:t>
      </w:r>
      <w:r>
        <w:rPr>
          <w:sz w:val="24"/>
        </w:rPr>
        <w:t>log</w:t>
      </w:r>
      <w:r>
        <w:rPr>
          <w:spacing w:val="-3"/>
          <w:sz w:val="24"/>
        </w:rPr>
        <w:t> </w:t>
      </w:r>
      <w:r>
        <w:rPr>
          <w:sz w:val="24"/>
        </w:rPr>
        <w:t>of</w:t>
      </w:r>
      <w:r>
        <w:rPr>
          <w:spacing w:val="-4"/>
          <w:sz w:val="24"/>
        </w:rPr>
        <w:t> </w:t>
      </w:r>
      <w:r>
        <w:rPr>
          <w:sz w:val="24"/>
        </w:rPr>
        <w:t>the</w:t>
      </w:r>
      <w:r>
        <w:rPr>
          <w:spacing w:val="-4"/>
          <w:sz w:val="24"/>
        </w:rPr>
        <w:t> </w:t>
      </w:r>
      <w:r>
        <w:rPr>
          <w:sz w:val="24"/>
        </w:rPr>
        <w:t>public</w:t>
      </w:r>
      <w:r>
        <w:rPr>
          <w:spacing w:val="-6"/>
          <w:sz w:val="24"/>
        </w:rPr>
        <w:t> </w:t>
      </w:r>
      <w:r>
        <w:rPr>
          <w:sz w:val="24"/>
        </w:rPr>
        <w:t>outreach</w:t>
      </w:r>
      <w:r>
        <w:rPr>
          <w:spacing w:val="-1"/>
          <w:sz w:val="24"/>
        </w:rPr>
        <w:t> </w:t>
      </w:r>
      <w:r>
        <w:rPr>
          <w:sz w:val="24"/>
        </w:rPr>
        <w:t>and</w:t>
      </w:r>
      <w:r>
        <w:rPr>
          <w:spacing w:val="-1"/>
          <w:sz w:val="24"/>
        </w:rPr>
        <w:t> </w:t>
      </w:r>
      <w:r>
        <w:rPr>
          <w:sz w:val="24"/>
        </w:rPr>
        <w:t>involvement</w:t>
      </w:r>
      <w:r>
        <w:rPr>
          <w:spacing w:val="-4"/>
          <w:sz w:val="24"/>
        </w:rPr>
        <w:t> </w:t>
      </w:r>
      <w:r>
        <w:rPr>
          <w:sz w:val="24"/>
        </w:rPr>
        <w:t>activities</w:t>
      </w:r>
      <w:r>
        <w:rPr>
          <w:spacing w:val="-3"/>
          <w:sz w:val="24"/>
        </w:rPr>
        <w:t> </w:t>
      </w:r>
      <w:r>
        <w:rPr>
          <w:sz w:val="24"/>
        </w:rPr>
        <w:t>undertaken</w:t>
      </w:r>
      <w:r>
        <w:rPr>
          <w:spacing w:val="-1"/>
          <w:sz w:val="24"/>
        </w:rPr>
        <w:t> </w:t>
      </w:r>
      <w:r>
        <w:rPr>
          <w:sz w:val="24"/>
        </w:rPr>
        <w:t>to</w:t>
      </w:r>
      <w:r>
        <w:rPr>
          <w:spacing w:val="-2"/>
          <w:sz w:val="24"/>
        </w:rPr>
        <w:t> </w:t>
      </w:r>
      <w:r>
        <w:rPr>
          <w:sz w:val="24"/>
        </w:rPr>
        <w:t>ensure</w:t>
      </w:r>
      <w:r>
        <w:rPr>
          <w:spacing w:val="-4"/>
          <w:sz w:val="24"/>
        </w:rPr>
        <w:t> </w:t>
      </w:r>
      <w:r>
        <w:rPr>
          <w:sz w:val="24"/>
        </w:rPr>
        <w:t>that</w:t>
      </w:r>
      <w:r>
        <w:rPr>
          <w:spacing w:val="-1"/>
          <w:sz w:val="24"/>
        </w:rPr>
        <w:t> </w:t>
      </w:r>
      <w:r>
        <w:rPr>
          <w:sz w:val="24"/>
        </w:rPr>
        <w:t>minority</w:t>
      </w:r>
      <w:r>
        <w:rPr>
          <w:spacing w:val="-3"/>
          <w:sz w:val="24"/>
        </w:rPr>
        <w:t> </w:t>
      </w:r>
      <w:r>
        <w:rPr>
          <w:sz w:val="24"/>
        </w:rPr>
        <w:t>and</w:t>
      </w:r>
      <w:r>
        <w:rPr>
          <w:spacing w:val="-1"/>
          <w:sz w:val="24"/>
        </w:rPr>
        <w:t> </w:t>
      </w:r>
      <w:r>
        <w:rPr>
          <w:sz w:val="24"/>
        </w:rPr>
        <w:t>low- income people had a meaningful access to these activities.</w:t>
      </w:r>
    </w:p>
    <w:p>
      <w:pPr>
        <w:pStyle w:val="BodyText"/>
        <w:spacing w:before="7"/>
        <w:rPr>
          <w:sz w:val="23"/>
        </w:rPr>
      </w:pPr>
    </w:p>
    <w:p>
      <w:pPr>
        <w:pStyle w:val="BodyText"/>
        <w:ind w:left="120"/>
      </w:pPr>
      <w:r>
        <w:rPr/>
        <w:t>MaineDOT</w:t>
      </w:r>
      <w:r>
        <w:rPr>
          <w:spacing w:val="-3"/>
        </w:rPr>
        <w:t> </w:t>
      </w:r>
      <w:r>
        <w:rPr/>
        <w:t>has</w:t>
      </w:r>
      <w:r>
        <w:rPr>
          <w:spacing w:val="-4"/>
        </w:rPr>
        <w:t> </w:t>
      </w:r>
      <w:r>
        <w:rPr/>
        <w:t>not</w:t>
      </w:r>
      <w:r>
        <w:rPr>
          <w:spacing w:val="-3"/>
        </w:rPr>
        <w:t> </w:t>
      </w:r>
      <w:r>
        <w:rPr/>
        <w:t>received a</w:t>
      </w:r>
      <w:r>
        <w:rPr>
          <w:spacing w:val="-4"/>
        </w:rPr>
        <w:t> </w:t>
      </w:r>
      <w:r>
        <w:rPr/>
        <w:t>Title</w:t>
      </w:r>
      <w:r>
        <w:rPr>
          <w:spacing w:val="-1"/>
        </w:rPr>
        <w:t> </w:t>
      </w:r>
      <w:r>
        <w:rPr/>
        <w:t>VI</w:t>
      </w:r>
      <w:r>
        <w:rPr>
          <w:spacing w:val="-2"/>
        </w:rPr>
        <w:t> </w:t>
      </w:r>
      <w:r>
        <w:rPr/>
        <w:t>complaint,</w:t>
      </w:r>
      <w:r>
        <w:rPr>
          <w:spacing w:val="-4"/>
        </w:rPr>
        <w:t> </w:t>
      </w:r>
      <w:r>
        <w:rPr/>
        <w:t>but</w:t>
      </w:r>
      <w:r>
        <w:rPr>
          <w:spacing w:val="-3"/>
        </w:rPr>
        <w:t> </w:t>
      </w:r>
      <w:r>
        <w:rPr/>
        <w:t>has</w:t>
      </w:r>
      <w:r>
        <w:rPr>
          <w:spacing w:val="-4"/>
        </w:rPr>
        <w:t> </w:t>
      </w:r>
      <w:r>
        <w:rPr/>
        <w:t>processes</w:t>
      </w:r>
      <w:r>
        <w:rPr>
          <w:spacing w:val="-4"/>
        </w:rPr>
        <w:t> </w:t>
      </w:r>
      <w:r>
        <w:rPr/>
        <w:t>in</w:t>
      </w:r>
      <w:r>
        <w:rPr>
          <w:spacing w:val="-3"/>
        </w:rPr>
        <w:t> </w:t>
      </w:r>
      <w:r>
        <w:rPr/>
        <w:t>place</w:t>
      </w:r>
      <w:r>
        <w:rPr>
          <w:spacing w:val="-1"/>
        </w:rPr>
        <w:t> </w:t>
      </w:r>
      <w:r>
        <w:rPr/>
        <w:t>to</w:t>
      </w:r>
      <w:r>
        <w:rPr>
          <w:spacing w:val="-3"/>
        </w:rPr>
        <w:t> </w:t>
      </w:r>
      <w:r>
        <w:rPr/>
        <w:t>keep</w:t>
      </w:r>
      <w:r>
        <w:rPr>
          <w:spacing w:val="-3"/>
        </w:rPr>
        <w:t> </w:t>
      </w:r>
      <w:r>
        <w:rPr/>
        <w:t>original</w:t>
      </w:r>
      <w:r>
        <w:rPr>
          <w:spacing w:val="-1"/>
        </w:rPr>
        <w:t> </w:t>
      </w:r>
      <w:r>
        <w:rPr/>
        <w:t>Title</w:t>
      </w:r>
      <w:r>
        <w:rPr>
          <w:spacing w:val="-3"/>
        </w:rPr>
        <w:t> </w:t>
      </w:r>
      <w:r>
        <w:rPr/>
        <w:t>VI</w:t>
      </w:r>
      <w:r>
        <w:rPr>
          <w:spacing w:val="-4"/>
        </w:rPr>
        <w:t> </w:t>
      </w:r>
      <w:r>
        <w:rPr/>
        <w:t>complaints for one year, and a summary of Title VI complaints received for five years.</w:t>
      </w:r>
    </w:p>
    <w:p>
      <w:pPr>
        <w:pStyle w:val="BodyText"/>
        <w:spacing w:before="2"/>
      </w:pPr>
    </w:p>
    <w:p>
      <w:pPr>
        <w:pStyle w:val="Heading9"/>
      </w:pPr>
      <w:r>
        <w:rPr/>
        <w:t>Annual</w:t>
      </w:r>
      <w:r>
        <w:rPr>
          <w:spacing w:val="-3"/>
        </w:rPr>
        <w:t> </w:t>
      </w:r>
      <w:r>
        <w:rPr/>
        <w:t>Report</w:t>
      </w:r>
      <w:r>
        <w:rPr>
          <w:spacing w:val="-2"/>
        </w:rPr>
        <w:t> </w:t>
      </w:r>
      <w:r>
        <w:rPr/>
        <w:t>and</w:t>
      </w:r>
      <w:r>
        <w:rPr>
          <w:spacing w:val="-2"/>
        </w:rPr>
        <w:t> Updates</w:t>
      </w:r>
    </w:p>
    <w:p>
      <w:pPr>
        <w:pStyle w:val="BodyText"/>
        <w:spacing w:before="12"/>
        <w:rPr>
          <w:b/>
          <w:sz w:val="23"/>
        </w:rPr>
      </w:pPr>
    </w:p>
    <w:p>
      <w:pPr>
        <w:pStyle w:val="BodyText"/>
        <w:ind w:left="120" w:right="186"/>
      </w:pPr>
      <w:r>
        <w:rPr/>
        <w:t>MaineDOT</w:t>
      </w:r>
      <w:r>
        <w:rPr>
          <w:spacing w:val="-3"/>
        </w:rPr>
        <w:t> </w:t>
      </w:r>
      <w:r>
        <w:rPr/>
        <w:t>will</w:t>
      </w:r>
      <w:r>
        <w:rPr>
          <w:spacing w:val="-1"/>
        </w:rPr>
        <w:t> </w:t>
      </w:r>
      <w:r>
        <w:rPr/>
        <w:t>keep its</w:t>
      </w:r>
      <w:r>
        <w:rPr>
          <w:spacing w:val="-2"/>
        </w:rPr>
        <w:t> </w:t>
      </w:r>
      <w:r>
        <w:rPr/>
        <w:t>own log</w:t>
      </w:r>
      <w:r>
        <w:rPr>
          <w:spacing w:val="-2"/>
        </w:rPr>
        <w:t> </w:t>
      </w:r>
      <w:r>
        <w:rPr/>
        <w:t>and</w:t>
      </w:r>
      <w:r>
        <w:rPr>
          <w:spacing w:val="-3"/>
        </w:rPr>
        <w:t> </w:t>
      </w:r>
      <w:r>
        <w:rPr/>
        <w:t>will</w:t>
      </w:r>
      <w:r>
        <w:rPr>
          <w:spacing w:val="-4"/>
        </w:rPr>
        <w:t> </w:t>
      </w:r>
      <w:r>
        <w:rPr/>
        <w:t>ensure</w:t>
      </w:r>
      <w:r>
        <w:rPr>
          <w:spacing w:val="-1"/>
        </w:rPr>
        <w:t> </w:t>
      </w:r>
      <w:r>
        <w:rPr/>
        <w:t>subrecipients</w:t>
      </w:r>
      <w:r>
        <w:rPr>
          <w:spacing w:val="-4"/>
        </w:rPr>
        <w:t> </w:t>
      </w:r>
      <w:r>
        <w:rPr/>
        <w:t>of</w:t>
      </w:r>
      <w:r>
        <w:rPr>
          <w:spacing w:val="-3"/>
        </w:rPr>
        <w:t> </w:t>
      </w:r>
      <w:r>
        <w:rPr/>
        <w:t>FTA</w:t>
      </w:r>
      <w:r>
        <w:rPr>
          <w:spacing w:val="-4"/>
        </w:rPr>
        <w:t> </w:t>
      </w:r>
      <w:r>
        <w:rPr/>
        <w:t>funds</w:t>
      </w:r>
      <w:r>
        <w:rPr>
          <w:spacing w:val="-7"/>
        </w:rPr>
        <w:t> </w:t>
      </w:r>
      <w:r>
        <w:rPr/>
        <w:t>submit</w:t>
      </w:r>
      <w:r>
        <w:rPr>
          <w:spacing w:val="-3"/>
        </w:rPr>
        <w:t> </w:t>
      </w:r>
      <w:r>
        <w:rPr/>
        <w:t>a</w:t>
      </w:r>
      <w:r>
        <w:rPr>
          <w:spacing w:val="-1"/>
        </w:rPr>
        <w:t> </w:t>
      </w:r>
      <w:r>
        <w:rPr/>
        <w:t>log</w:t>
      </w:r>
      <w:r>
        <w:rPr>
          <w:spacing w:val="-2"/>
        </w:rPr>
        <w:t> </w:t>
      </w:r>
      <w:r>
        <w:rPr/>
        <w:t>to</w:t>
      </w:r>
      <w:r>
        <w:rPr>
          <w:spacing w:val="-3"/>
        </w:rPr>
        <w:t> </w:t>
      </w:r>
      <w:r>
        <w:rPr/>
        <w:t>MaineDOT</w:t>
      </w:r>
      <w:r>
        <w:rPr>
          <w:spacing w:val="-1"/>
        </w:rPr>
        <w:t> </w:t>
      </w:r>
      <w:r>
        <w:rPr/>
        <w:t>annually that documents any Title VI complaints received for each year. MaineDOT will also keep its own log and will ensure subrecipients also maintain and provide to MaineDOT, on an annual basis, the log of public outreach and involvement activities undertaken to ensure that minority and low-income individuals have meaningful access to these activities.</w:t>
      </w:r>
    </w:p>
    <w:p>
      <w:pPr>
        <w:pStyle w:val="BodyText"/>
        <w:spacing w:before="11"/>
        <w:rPr>
          <w:sz w:val="23"/>
        </w:rPr>
      </w:pPr>
    </w:p>
    <w:p>
      <w:pPr>
        <w:pStyle w:val="BodyText"/>
        <w:ind w:left="120"/>
      </w:pPr>
      <w:r>
        <w:rPr/>
        <w:t>Furthermore,</w:t>
      </w:r>
      <w:r>
        <w:rPr>
          <w:spacing w:val="-4"/>
        </w:rPr>
        <w:t> </w:t>
      </w:r>
      <w:r>
        <w:rPr/>
        <w:t>MaineDOT</w:t>
      </w:r>
      <w:r>
        <w:rPr>
          <w:spacing w:val="-3"/>
        </w:rPr>
        <w:t> </w:t>
      </w:r>
      <w:r>
        <w:rPr/>
        <w:t>requires</w:t>
      </w:r>
      <w:r>
        <w:rPr>
          <w:spacing w:val="-2"/>
        </w:rPr>
        <w:t> </w:t>
      </w:r>
      <w:r>
        <w:rPr/>
        <w:t>subrecipients</w:t>
      </w:r>
      <w:r>
        <w:rPr>
          <w:spacing w:val="-4"/>
        </w:rPr>
        <w:t> </w:t>
      </w:r>
      <w:r>
        <w:rPr/>
        <w:t>to</w:t>
      </w:r>
      <w:r>
        <w:rPr>
          <w:spacing w:val="-1"/>
        </w:rPr>
        <w:t> </w:t>
      </w:r>
      <w:r>
        <w:rPr/>
        <w:t>submit</w:t>
      </w:r>
      <w:r>
        <w:rPr>
          <w:spacing w:val="-3"/>
        </w:rPr>
        <w:t> </w:t>
      </w:r>
      <w:r>
        <w:rPr/>
        <w:t>to</w:t>
      </w:r>
      <w:r>
        <w:rPr>
          <w:spacing w:val="-3"/>
        </w:rPr>
        <w:t> </w:t>
      </w:r>
      <w:r>
        <w:rPr/>
        <w:t>MaineDOT</w:t>
      </w:r>
      <w:r>
        <w:rPr>
          <w:spacing w:val="-1"/>
        </w:rPr>
        <w:t> </w:t>
      </w:r>
      <w:r>
        <w:rPr/>
        <w:t>updates</w:t>
      </w:r>
      <w:r>
        <w:rPr>
          <w:spacing w:val="-4"/>
        </w:rPr>
        <w:t> </w:t>
      </w:r>
      <w:r>
        <w:rPr/>
        <w:t>to</w:t>
      </w:r>
      <w:r>
        <w:rPr>
          <w:spacing w:val="-1"/>
        </w:rPr>
        <w:t> </w:t>
      </w:r>
      <w:r>
        <w:rPr/>
        <w:t>any</w:t>
      </w:r>
      <w:r>
        <w:rPr>
          <w:spacing w:val="-2"/>
        </w:rPr>
        <w:t> </w:t>
      </w:r>
      <w:r>
        <w:rPr/>
        <w:t>of</w:t>
      </w:r>
      <w:r>
        <w:rPr>
          <w:spacing w:val="-1"/>
        </w:rPr>
        <w:t> </w:t>
      </w:r>
      <w:r>
        <w:rPr/>
        <w:t>the</w:t>
      </w:r>
      <w:r>
        <w:rPr>
          <w:spacing w:val="-3"/>
        </w:rPr>
        <w:t> </w:t>
      </w:r>
      <w:r>
        <w:rPr/>
        <w:t>following</w:t>
      </w:r>
      <w:r>
        <w:rPr>
          <w:spacing w:val="-2"/>
        </w:rPr>
        <w:t> </w:t>
      </w:r>
      <w:r>
        <w:rPr/>
        <w:t>items subsequent to its previous submission, or a statement to the effect that these items have not been changed since the previous submission:</w:t>
      </w:r>
    </w:p>
    <w:p>
      <w:pPr>
        <w:pStyle w:val="BodyText"/>
        <w:spacing w:before="11"/>
        <w:rPr>
          <w:sz w:val="23"/>
        </w:rPr>
      </w:pPr>
    </w:p>
    <w:p>
      <w:pPr>
        <w:pStyle w:val="ListParagraph"/>
        <w:numPr>
          <w:ilvl w:val="0"/>
          <w:numId w:val="5"/>
        </w:numPr>
        <w:tabs>
          <w:tab w:pos="840" w:val="left" w:leader="none"/>
        </w:tabs>
        <w:spacing w:line="240" w:lineRule="auto" w:before="0" w:after="0"/>
        <w:ind w:left="840" w:right="453" w:hanging="360"/>
        <w:jc w:val="left"/>
        <w:rPr>
          <w:sz w:val="24"/>
        </w:rPr>
      </w:pPr>
      <w:r>
        <w:rPr>
          <w:sz w:val="24"/>
        </w:rPr>
        <w:t>A</w:t>
      </w:r>
      <w:r>
        <w:rPr>
          <w:spacing w:val="-1"/>
          <w:sz w:val="24"/>
        </w:rPr>
        <w:t> </w:t>
      </w:r>
      <w:r>
        <w:rPr>
          <w:sz w:val="24"/>
        </w:rPr>
        <w:t>copy</w:t>
      </w:r>
      <w:r>
        <w:rPr>
          <w:spacing w:val="-2"/>
          <w:sz w:val="24"/>
        </w:rPr>
        <w:t> </w:t>
      </w:r>
      <w:r>
        <w:rPr>
          <w:sz w:val="24"/>
        </w:rPr>
        <w:t>of any</w:t>
      </w:r>
      <w:r>
        <w:rPr>
          <w:spacing w:val="-2"/>
          <w:sz w:val="24"/>
        </w:rPr>
        <w:t> </w:t>
      </w:r>
      <w:r>
        <w:rPr>
          <w:sz w:val="24"/>
        </w:rPr>
        <w:t>compliance</w:t>
      </w:r>
      <w:r>
        <w:rPr>
          <w:spacing w:val="-1"/>
          <w:sz w:val="24"/>
        </w:rPr>
        <w:t> </w:t>
      </w:r>
      <w:r>
        <w:rPr>
          <w:sz w:val="24"/>
        </w:rPr>
        <w:t>review report</w:t>
      </w:r>
      <w:r>
        <w:rPr>
          <w:spacing w:val="-3"/>
          <w:sz w:val="24"/>
        </w:rPr>
        <w:t> </w:t>
      </w:r>
      <w:r>
        <w:rPr>
          <w:sz w:val="24"/>
        </w:rPr>
        <w:t>for</w:t>
      </w:r>
      <w:r>
        <w:rPr>
          <w:spacing w:val="-4"/>
          <w:sz w:val="24"/>
        </w:rPr>
        <w:t> </w:t>
      </w:r>
      <w:r>
        <w:rPr>
          <w:sz w:val="24"/>
        </w:rPr>
        <w:t>reviews</w:t>
      </w:r>
      <w:r>
        <w:rPr>
          <w:spacing w:val="-2"/>
          <w:sz w:val="24"/>
        </w:rPr>
        <w:t> </w:t>
      </w:r>
      <w:r>
        <w:rPr>
          <w:sz w:val="24"/>
        </w:rPr>
        <w:t>conducted in</w:t>
      </w:r>
      <w:r>
        <w:rPr>
          <w:spacing w:val="-3"/>
          <w:sz w:val="24"/>
        </w:rPr>
        <w:t> </w:t>
      </w:r>
      <w:r>
        <w:rPr>
          <w:sz w:val="24"/>
        </w:rPr>
        <w:t>the</w:t>
      </w:r>
      <w:r>
        <w:rPr>
          <w:spacing w:val="-1"/>
          <w:sz w:val="24"/>
        </w:rPr>
        <w:t> </w:t>
      </w:r>
      <w:r>
        <w:rPr>
          <w:sz w:val="24"/>
        </w:rPr>
        <w:t>last</w:t>
      </w:r>
      <w:r>
        <w:rPr>
          <w:spacing w:val="-6"/>
          <w:sz w:val="24"/>
        </w:rPr>
        <w:t> </w:t>
      </w:r>
      <w:r>
        <w:rPr>
          <w:sz w:val="24"/>
        </w:rPr>
        <w:t>three</w:t>
      </w:r>
      <w:r>
        <w:rPr>
          <w:spacing w:val="-1"/>
          <w:sz w:val="24"/>
        </w:rPr>
        <w:t> </w:t>
      </w:r>
      <w:r>
        <w:rPr>
          <w:sz w:val="24"/>
        </w:rPr>
        <w:t>(3)</w:t>
      </w:r>
      <w:r>
        <w:rPr>
          <w:spacing w:val="-2"/>
          <w:sz w:val="24"/>
        </w:rPr>
        <w:t> </w:t>
      </w:r>
      <w:r>
        <w:rPr>
          <w:sz w:val="24"/>
        </w:rPr>
        <w:t>years,</w:t>
      </w:r>
      <w:r>
        <w:rPr>
          <w:spacing w:val="-4"/>
          <w:sz w:val="24"/>
        </w:rPr>
        <w:t> </w:t>
      </w:r>
      <w:r>
        <w:rPr>
          <w:sz w:val="24"/>
        </w:rPr>
        <w:t>along</w:t>
      </w:r>
      <w:r>
        <w:rPr>
          <w:spacing w:val="-4"/>
          <w:sz w:val="24"/>
        </w:rPr>
        <w:t> </w:t>
      </w:r>
      <w:r>
        <w:rPr>
          <w:sz w:val="24"/>
        </w:rPr>
        <w:t>with the purpose or reason for the review, the name of the organization that performed the review, a summary</w:t>
      </w:r>
      <w:r>
        <w:rPr>
          <w:spacing w:val="-2"/>
          <w:sz w:val="24"/>
        </w:rPr>
        <w:t> </w:t>
      </w:r>
      <w:r>
        <w:rPr>
          <w:sz w:val="24"/>
        </w:rPr>
        <w:t>of</w:t>
      </w:r>
      <w:r>
        <w:rPr>
          <w:spacing w:val="-3"/>
          <w:sz w:val="24"/>
        </w:rPr>
        <w:t> </w:t>
      </w:r>
      <w:r>
        <w:rPr>
          <w:sz w:val="24"/>
        </w:rPr>
        <w:t>findings</w:t>
      </w:r>
      <w:r>
        <w:rPr>
          <w:spacing w:val="-2"/>
          <w:sz w:val="24"/>
        </w:rPr>
        <w:t> </w:t>
      </w:r>
      <w:r>
        <w:rPr>
          <w:sz w:val="24"/>
        </w:rPr>
        <w:t>and</w:t>
      </w:r>
      <w:r>
        <w:rPr>
          <w:spacing w:val="-3"/>
          <w:sz w:val="24"/>
        </w:rPr>
        <w:t> </w:t>
      </w:r>
      <w:r>
        <w:rPr>
          <w:sz w:val="24"/>
        </w:rPr>
        <w:t>recommendations,</w:t>
      </w:r>
      <w:r>
        <w:rPr>
          <w:spacing w:val="-4"/>
          <w:sz w:val="24"/>
        </w:rPr>
        <w:t> </w:t>
      </w:r>
      <w:r>
        <w:rPr>
          <w:sz w:val="24"/>
        </w:rPr>
        <w:t>and</w:t>
      </w:r>
      <w:r>
        <w:rPr>
          <w:spacing w:val="-3"/>
          <w:sz w:val="24"/>
        </w:rPr>
        <w:t> </w:t>
      </w:r>
      <w:r>
        <w:rPr>
          <w:sz w:val="24"/>
        </w:rPr>
        <w:t>a</w:t>
      </w:r>
      <w:r>
        <w:rPr>
          <w:spacing w:val="-1"/>
          <w:sz w:val="24"/>
        </w:rPr>
        <w:t> </w:t>
      </w:r>
      <w:r>
        <w:rPr>
          <w:sz w:val="24"/>
        </w:rPr>
        <w:t>report</w:t>
      </w:r>
      <w:r>
        <w:rPr>
          <w:spacing w:val="-3"/>
          <w:sz w:val="24"/>
        </w:rPr>
        <w:t> </w:t>
      </w:r>
      <w:r>
        <w:rPr>
          <w:sz w:val="24"/>
        </w:rPr>
        <w:t>on</w:t>
      </w:r>
      <w:r>
        <w:rPr>
          <w:spacing w:val="-3"/>
          <w:sz w:val="24"/>
        </w:rPr>
        <w:t> </w:t>
      </w:r>
      <w:r>
        <w:rPr>
          <w:sz w:val="24"/>
        </w:rPr>
        <w:t>the</w:t>
      </w:r>
      <w:r>
        <w:rPr>
          <w:spacing w:val="-1"/>
          <w:sz w:val="24"/>
        </w:rPr>
        <w:t> </w:t>
      </w:r>
      <w:r>
        <w:rPr>
          <w:sz w:val="24"/>
        </w:rPr>
        <w:t>status</w:t>
      </w:r>
      <w:r>
        <w:rPr>
          <w:spacing w:val="-2"/>
          <w:sz w:val="24"/>
        </w:rPr>
        <w:t> </w:t>
      </w:r>
      <w:r>
        <w:rPr>
          <w:sz w:val="24"/>
        </w:rPr>
        <w:t>or</w:t>
      </w:r>
      <w:r>
        <w:rPr>
          <w:spacing w:val="-6"/>
          <w:sz w:val="24"/>
        </w:rPr>
        <w:t> </w:t>
      </w:r>
      <w:r>
        <w:rPr>
          <w:sz w:val="24"/>
        </w:rPr>
        <w:t>disposition</w:t>
      </w:r>
      <w:r>
        <w:rPr>
          <w:spacing w:val="-3"/>
          <w:sz w:val="24"/>
        </w:rPr>
        <w:t> </w:t>
      </w:r>
      <w:r>
        <w:rPr>
          <w:sz w:val="24"/>
        </w:rPr>
        <w:t>of</w:t>
      </w:r>
      <w:r>
        <w:rPr>
          <w:spacing w:val="-3"/>
          <w:sz w:val="24"/>
        </w:rPr>
        <w:t> </w:t>
      </w:r>
      <w:r>
        <w:rPr>
          <w:sz w:val="24"/>
        </w:rPr>
        <w:t>the</w:t>
      </w:r>
      <w:r>
        <w:rPr>
          <w:spacing w:val="-3"/>
          <w:sz w:val="24"/>
        </w:rPr>
        <w:t> </w:t>
      </w:r>
      <w:r>
        <w:rPr>
          <w:sz w:val="24"/>
        </w:rPr>
        <w:t>findings and recommendations;</w:t>
      </w:r>
    </w:p>
    <w:p>
      <w:pPr>
        <w:pStyle w:val="ListParagraph"/>
        <w:numPr>
          <w:ilvl w:val="0"/>
          <w:numId w:val="5"/>
        </w:numPr>
        <w:tabs>
          <w:tab w:pos="839" w:val="left" w:leader="none"/>
        </w:tabs>
        <w:spacing w:line="305" w:lineRule="exact" w:before="1" w:after="0"/>
        <w:ind w:left="839" w:right="0" w:hanging="359"/>
        <w:jc w:val="left"/>
        <w:rPr>
          <w:sz w:val="24"/>
        </w:rPr>
      </w:pPr>
      <w:r>
        <w:rPr>
          <w:sz w:val="24"/>
        </w:rPr>
        <w:t>Limited</w:t>
      </w:r>
      <w:r>
        <w:rPr>
          <w:spacing w:val="-4"/>
          <w:sz w:val="24"/>
        </w:rPr>
        <w:t> </w:t>
      </w:r>
      <w:r>
        <w:rPr>
          <w:sz w:val="24"/>
        </w:rPr>
        <w:t>English</w:t>
      </w:r>
      <w:r>
        <w:rPr>
          <w:spacing w:val="-2"/>
          <w:sz w:val="24"/>
        </w:rPr>
        <w:t> </w:t>
      </w:r>
      <w:r>
        <w:rPr>
          <w:sz w:val="24"/>
        </w:rPr>
        <w:t>Proficiency</w:t>
      </w:r>
      <w:r>
        <w:rPr>
          <w:spacing w:val="-3"/>
          <w:sz w:val="24"/>
        </w:rPr>
        <w:t> </w:t>
      </w:r>
      <w:r>
        <w:rPr>
          <w:sz w:val="24"/>
        </w:rPr>
        <w:t>(“LEP”)</w:t>
      </w:r>
      <w:r>
        <w:rPr>
          <w:spacing w:val="-2"/>
          <w:sz w:val="24"/>
        </w:rPr>
        <w:t> </w:t>
      </w:r>
      <w:r>
        <w:rPr>
          <w:spacing w:val="-4"/>
          <w:sz w:val="24"/>
        </w:rPr>
        <w:t>plan;</w:t>
      </w:r>
    </w:p>
    <w:p>
      <w:pPr>
        <w:pStyle w:val="ListParagraph"/>
        <w:numPr>
          <w:ilvl w:val="0"/>
          <w:numId w:val="5"/>
        </w:numPr>
        <w:tabs>
          <w:tab w:pos="839" w:val="left" w:leader="none"/>
        </w:tabs>
        <w:spacing w:line="305" w:lineRule="exact" w:before="0" w:after="0"/>
        <w:ind w:left="839" w:right="0" w:hanging="359"/>
        <w:jc w:val="left"/>
        <w:rPr>
          <w:sz w:val="24"/>
        </w:rPr>
      </w:pPr>
      <w:r>
        <w:rPr>
          <w:sz w:val="24"/>
        </w:rPr>
        <w:t>Procedures</w:t>
      </w:r>
      <w:r>
        <w:rPr>
          <w:spacing w:val="-6"/>
          <w:sz w:val="24"/>
        </w:rPr>
        <w:t> </w:t>
      </w:r>
      <w:r>
        <w:rPr>
          <w:sz w:val="24"/>
        </w:rPr>
        <w:t>for</w:t>
      </w:r>
      <w:r>
        <w:rPr>
          <w:spacing w:val="-4"/>
          <w:sz w:val="24"/>
        </w:rPr>
        <w:t> </w:t>
      </w:r>
      <w:r>
        <w:rPr>
          <w:sz w:val="24"/>
        </w:rPr>
        <w:t>tracking</w:t>
      </w:r>
      <w:r>
        <w:rPr>
          <w:spacing w:val="-1"/>
          <w:sz w:val="24"/>
        </w:rPr>
        <w:t> </w:t>
      </w:r>
      <w:r>
        <w:rPr>
          <w:sz w:val="24"/>
        </w:rPr>
        <w:t>and investigating</w:t>
      </w:r>
      <w:r>
        <w:rPr>
          <w:spacing w:val="-3"/>
          <w:sz w:val="24"/>
        </w:rPr>
        <w:t> </w:t>
      </w:r>
      <w:r>
        <w:rPr>
          <w:sz w:val="24"/>
        </w:rPr>
        <w:t>Title</w:t>
      </w:r>
      <w:r>
        <w:rPr>
          <w:spacing w:val="-1"/>
          <w:sz w:val="24"/>
        </w:rPr>
        <w:t> </w:t>
      </w:r>
      <w:r>
        <w:rPr>
          <w:sz w:val="24"/>
        </w:rPr>
        <w:t>VI</w:t>
      </w:r>
      <w:r>
        <w:rPr>
          <w:spacing w:val="-3"/>
          <w:sz w:val="24"/>
        </w:rPr>
        <w:t> </w:t>
      </w:r>
      <w:r>
        <w:rPr>
          <w:spacing w:val="-2"/>
          <w:sz w:val="24"/>
        </w:rPr>
        <w:t>complaints;</w:t>
      </w:r>
    </w:p>
    <w:p>
      <w:pPr>
        <w:pStyle w:val="ListParagraph"/>
        <w:numPr>
          <w:ilvl w:val="0"/>
          <w:numId w:val="5"/>
        </w:numPr>
        <w:tabs>
          <w:tab w:pos="840" w:val="left" w:leader="none"/>
        </w:tabs>
        <w:spacing w:line="240" w:lineRule="auto" w:before="1" w:after="0"/>
        <w:ind w:left="840" w:right="412" w:hanging="360"/>
        <w:jc w:val="left"/>
        <w:rPr>
          <w:sz w:val="24"/>
        </w:rPr>
      </w:pPr>
      <w:r>
        <w:rPr>
          <w:sz w:val="24"/>
        </w:rPr>
        <w:t>A</w:t>
      </w:r>
      <w:r>
        <w:rPr>
          <w:spacing w:val="-1"/>
          <w:sz w:val="24"/>
        </w:rPr>
        <w:t> </w:t>
      </w:r>
      <w:r>
        <w:rPr>
          <w:sz w:val="24"/>
        </w:rPr>
        <w:t>list</w:t>
      </w:r>
      <w:r>
        <w:rPr>
          <w:spacing w:val="-3"/>
          <w:sz w:val="24"/>
        </w:rPr>
        <w:t> </w:t>
      </w:r>
      <w:r>
        <w:rPr>
          <w:sz w:val="24"/>
        </w:rPr>
        <w:t>of</w:t>
      </w:r>
      <w:r>
        <w:rPr>
          <w:spacing w:val="-3"/>
          <w:sz w:val="24"/>
        </w:rPr>
        <w:t> </w:t>
      </w:r>
      <w:r>
        <w:rPr>
          <w:sz w:val="24"/>
        </w:rPr>
        <w:t>Title</w:t>
      </w:r>
      <w:r>
        <w:rPr>
          <w:spacing w:val="-1"/>
          <w:sz w:val="24"/>
        </w:rPr>
        <w:t> </w:t>
      </w:r>
      <w:r>
        <w:rPr>
          <w:sz w:val="24"/>
        </w:rPr>
        <w:t>VI</w:t>
      </w:r>
      <w:r>
        <w:rPr>
          <w:spacing w:val="-4"/>
          <w:sz w:val="24"/>
        </w:rPr>
        <w:t> </w:t>
      </w:r>
      <w:r>
        <w:rPr>
          <w:sz w:val="24"/>
        </w:rPr>
        <w:t>investigations,</w:t>
      </w:r>
      <w:r>
        <w:rPr>
          <w:spacing w:val="-4"/>
          <w:sz w:val="24"/>
        </w:rPr>
        <w:t> </w:t>
      </w:r>
      <w:r>
        <w:rPr>
          <w:sz w:val="24"/>
        </w:rPr>
        <w:t>complaints</w:t>
      </w:r>
      <w:r>
        <w:rPr>
          <w:spacing w:val="-4"/>
          <w:sz w:val="24"/>
        </w:rPr>
        <w:t> </w:t>
      </w:r>
      <w:r>
        <w:rPr>
          <w:sz w:val="24"/>
        </w:rPr>
        <w:t>or</w:t>
      </w:r>
      <w:r>
        <w:rPr>
          <w:spacing w:val="-1"/>
          <w:sz w:val="24"/>
        </w:rPr>
        <w:t> </w:t>
      </w:r>
      <w:r>
        <w:rPr>
          <w:sz w:val="24"/>
        </w:rPr>
        <w:t>lawsuits</w:t>
      </w:r>
      <w:r>
        <w:rPr>
          <w:spacing w:val="-4"/>
          <w:sz w:val="24"/>
        </w:rPr>
        <w:t> </w:t>
      </w:r>
      <w:r>
        <w:rPr>
          <w:sz w:val="24"/>
        </w:rPr>
        <w:t>filed with</w:t>
      </w:r>
      <w:r>
        <w:rPr>
          <w:spacing w:val="-3"/>
          <w:sz w:val="24"/>
        </w:rPr>
        <w:t> </w:t>
      </w:r>
      <w:r>
        <w:rPr>
          <w:sz w:val="24"/>
        </w:rPr>
        <w:t>the</w:t>
      </w:r>
      <w:r>
        <w:rPr>
          <w:spacing w:val="-3"/>
          <w:sz w:val="24"/>
        </w:rPr>
        <w:t> </w:t>
      </w:r>
      <w:r>
        <w:rPr>
          <w:sz w:val="24"/>
        </w:rPr>
        <w:t>agency</w:t>
      </w:r>
      <w:r>
        <w:rPr>
          <w:spacing w:val="-5"/>
          <w:sz w:val="24"/>
        </w:rPr>
        <w:t> </w:t>
      </w:r>
      <w:r>
        <w:rPr>
          <w:sz w:val="24"/>
        </w:rPr>
        <w:t>since</w:t>
      </w:r>
      <w:r>
        <w:rPr>
          <w:spacing w:val="-3"/>
          <w:sz w:val="24"/>
        </w:rPr>
        <w:t> </w:t>
      </w:r>
      <w:r>
        <w:rPr>
          <w:sz w:val="24"/>
        </w:rPr>
        <w:t>the</w:t>
      </w:r>
      <w:r>
        <w:rPr>
          <w:spacing w:val="-3"/>
          <w:sz w:val="24"/>
        </w:rPr>
        <w:t> </w:t>
      </w:r>
      <w:r>
        <w:rPr>
          <w:sz w:val="24"/>
        </w:rPr>
        <w:t>last</w:t>
      </w:r>
      <w:r>
        <w:rPr>
          <w:spacing w:val="-3"/>
          <w:sz w:val="24"/>
        </w:rPr>
        <w:t> </w:t>
      </w:r>
      <w:r>
        <w:rPr>
          <w:sz w:val="24"/>
        </w:rPr>
        <w:t>submission; </w:t>
      </w:r>
      <w:r>
        <w:rPr>
          <w:spacing w:val="-4"/>
          <w:sz w:val="24"/>
        </w:rPr>
        <w:t>and</w:t>
      </w:r>
    </w:p>
    <w:p>
      <w:pPr>
        <w:pStyle w:val="ListParagraph"/>
        <w:numPr>
          <w:ilvl w:val="0"/>
          <w:numId w:val="5"/>
        </w:numPr>
        <w:tabs>
          <w:tab w:pos="840" w:val="left" w:leader="none"/>
        </w:tabs>
        <w:spacing w:line="242" w:lineRule="auto" w:before="0" w:after="0"/>
        <w:ind w:left="840" w:right="248" w:hanging="360"/>
        <w:jc w:val="left"/>
        <w:rPr>
          <w:sz w:val="24"/>
        </w:rPr>
      </w:pPr>
      <w:r>
        <w:rPr>
          <w:sz w:val="24"/>
        </w:rPr>
        <w:t>A</w:t>
      </w:r>
      <w:r>
        <w:rPr>
          <w:spacing w:val="-1"/>
          <w:sz w:val="24"/>
        </w:rPr>
        <w:t> </w:t>
      </w:r>
      <w:r>
        <w:rPr>
          <w:sz w:val="24"/>
        </w:rPr>
        <w:t>copy</w:t>
      </w:r>
      <w:r>
        <w:rPr>
          <w:spacing w:val="-2"/>
          <w:sz w:val="24"/>
        </w:rPr>
        <w:t> </w:t>
      </w:r>
      <w:r>
        <w:rPr>
          <w:sz w:val="24"/>
        </w:rPr>
        <w:t>of</w:t>
      </w:r>
      <w:r>
        <w:rPr>
          <w:spacing w:val="-3"/>
          <w:sz w:val="24"/>
        </w:rPr>
        <w:t> </w:t>
      </w:r>
      <w:r>
        <w:rPr>
          <w:sz w:val="24"/>
        </w:rPr>
        <w:t>the</w:t>
      </w:r>
      <w:r>
        <w:rPr>
          <w:spacing w:val="-3"/>
          <w:sz w:val="24"/>
        </w:rPr>
        <w:t> </w:t>
      </w:r>
      <w:r>
        <w:rPr>
          <w:sz w:val="24"/>
        </w:rPr>
        <w:t>agency’s</w:t>
      </w:r>
      <w:r>
        <w:rPr>
          <w:spacing w:val="-2"/>
          <w:sz w:val="24"/>
        </w:rPr>
        <w:t> </w:t>
      </w:r>
      <w:r>
        <w:rPr>
          <w:sz w:val="24"/>
        </w:rPr>
        <w:t>notice</w:t>
      </w:r>
      <w:r>
        <w:rPr>
          <w:spacing w:val="-3"/>
          <w:sz w:val="24"/>
        </w:rPr>
        <w:t> </w:t>
      </w:r>
      <w:r>
        <w:rPr>
          <w:sz w:val="24"/>
        </w:rPr>
        <w:t>to</w:t>
      </w:r>
      <w:r>
        <w:rPr>
          <w:spacing w:val="-3"/>
          <w:sz w:val="24"/>
        </w:rPr>
        <w:t> </w:t>
      </w:r>
      <w:r>
        <w:rPr>
          <w:sz w:val="24"/>
        </w:rPr>
        <w:t>the</w:t>
      </w:r>
      <w:r>
        <w:rPr>
          <w:spacing w:val="-1"/>
          <w:sz w:val="24"/>
        </w:rPr>
        <w:t> </w:t>
      </w:r>
      <w:r>
        <w:rPr>
          <w:sz w:val="24"/>
        </w:rPr>
        <w:t>public</w:t>
      </w:r>
      <w:r>
        <w:rPr>
          <w:spacing w:val="-5"/>
          <w:sz w:val="24"/>
        </w:rPr>
        <w:t> </w:t>
      </w:r>
      <w:r>
        <w:rPr>
          <w:sz w:val="24"/>
        </w:rPr>
        <w:t>that it</w:t>
      </w:r>
      <w:r>
        <w:rPr>
          <w:spacing w:val="-3"/>
          <w:sz w:val="24"/>
        </w:rPr>
        <w:t> </w:t>
      </w:r>
      <w:r>
        <w:rPr>
          <w:sz w:val="24"/>
        </w:rPr>
        <w:t>complies</w:t>
      </w:r>
      <w:r>
        <w:rPr>
          <w:spacing w:val="-4"/>
          <w:sz w:val="24"/>
        </w:rPr>
        <w:t> </w:t>
      </w:r>
      <w:r>
        <w:rPr>
          <w:sz w:val="24"/>
        </w:rPr>
        <w:t>with</w:t>
      </w:r>
      <w:r>
        <w:rPr>
          <w:spacing w:val="-3"/>
          <w:sz w:val="24"/>
        </w:rPr>
        <w:t> </w:t>
      </w:r>
      <w:r>
        <w:rPr>
          <w:sz w:val="24"/>
        </w:rPr>
        <w:t>Title</w:t>
      </w:r>
      <w:r>
        <w:rPr>
          <w:spacing w:val="-1"/>
          <w:sz w:val="24"/>
        </w:rPr>
        <w:t> </w:t>
      </w:r>
      <w:r>
        <w:rPr>
          <w:sz w:val="24"/>
        </w:rPr>
        <w:t>VI</w:t>
      </w:r>
      <w:r>
        <w:rPr>
          <w:spacing w:val="-2"/>
          <w:sz w:val="24"/>
        </w:rPr>
        <w:t> </w:t>
      </w:r>
      <w:r>
        <w:rPr>
          <w:sz w:val="24"/>
        </w:rPr>
        <w:t>and instructions</w:t>
      </w:r>
      <w:r>
        <w:rPr>
          <w:spacing w:val="-4"/>
          <w:sz w:val="24"/>
        </w:rPr>
        <w:t> </w:t>
      </w:r>
      <w:r>
        <w:rPr>
          <w:sz w:val="24"/>
        </w:rPr>
        <w:t>on</w:t>
      </w:r>
      <w:r>
        <w:rPr>
          <w:spacing w:val="-3"/>
          <w:sz w:val="24"/>
        </w:rPr>
        <w:t> </w:t>
      </w:r>
      <w:r>
        <w:rPr>
          <w:sz w:val="24"/>
        </w:rPr>
        <w:t>how</w:t>
      </w:r>
      <w:r>
        <w:rPr>
          <w:spacing w:val="-3"/>
          <w:sz w:val="24"/>
        </w:rPr>
        <w:t> </w:t>
      </w:r>
      <w:r>
        <w:rPr>
          <w:sz w:val="24"/>
        </w:rPr>
        <w:t>to</w:t>
      </w:r>
      <w:r>
        <w:rPr>
          <w:spacing w:val="-3"/>
          <w:sz w:val="24"/>
        </w:rPr>
        <w:t> </w:t>
      </w:r>
      <w:r>
        <w:rPr>
          <w:sz w:val="24"/>
        </w:rPr>
        <w:t>file a discrimination complaint.</w:t>
      </w:r>
    </w:p>
    <w:p>
      <w:pPr>
        <w:spacing w:after="0" w:line="242" w:lineRule="auto"/>
        <w:jc w:val="left"/>
        <w:rPr>
          <w:sz w:val="24"/>
        </w:rPr>
        <w:sectPr>
          <w:pgSz w:w="12240" w:h="15840"/>
          <w:pgMar w:header="0" w:footer="1063" w:top="920" w:bottom="1260" w:left="600" w:right="600"/>
        </w:sectPr>
      </w:pPr>
    </w:p>
    <w:p>
      <w:pPr>
        <w:pStyle w:val="Heading9"/>
        <w:spacing w:before="35"/>
        <w:jc w:val="both"/>
      </w:pPr>
      <w:r>
        <w:rPr/>
        <w:t>Triennial</w:t>
      </w:r>
      <w:r>
        <w:rPr>
          <w:spacing w:val="-5"/>
        </w:rPr>
        <w:t> </w:t>
      </w:r>
      <w:r>
        <w:rPr/>
        <w:t>Review of</w:t>
      </w:r>
      <w:r>
        <w:rPr>
          <w:spacing w:val="-3"/>
        </w:rPr>
        <w:t> </w:t>
      </w:r>
      <w:r>
        <w:rPr/>
        <w:t>MaineDOT’s</w:t>
      </w:r>
      <w:r>
        <w:rPr>
          <w:spacing w:val="-3"/>
        </w:rPr>
        <w:t> </w:t>
      </w:r>
      <w:r>
        <w:rPr/>
        <w:t>Title</w:t>
      </w:r>
      <w:r>
        <w:rPr>
          <w:spacing w:val="-2"/>
        </w:rPr>
        <w:t> </w:t>
      </w:r>
      <w:r>
        <w:rPr/>
        <w:t>VI</w:t>
      </w:r>
      <w:r>
        <w:rPr>
          <w:spacing w:val="-3"/>
        </w:rPr>
        <w:t> </w:t>
      </w:r>
      <w:r>
        <w:rPr/>
        <w:t>Program</w:t>
      </w:r>
      <w:r>
        <w:rPr>
          <w:spacing w:val="-2"/>
        </w:rPr>
        <w:t> </w:t>
      </w:r>
      <w:r>
        <w:rPr/>
        <w:t>and Subrecipients’</w:t>
      </w:r>
      <w:r>
        <w:rPr>
          <w:spacing w:val="-3"/>
        </w:rPr>
        <w:t> </w:t>
      </w:r>
      <w:r>
        <w:rPr/>
        <w:t>Title</w:t>
      </w:r>
      <w:r>
        <w:rPr>
          <w:spacing w:val="-2"/>
        </w:rPr>
        <w:t> </w:t>
      </w:r>
      <w:r>
        <w:rPr/>
        <w:t>VI </w:t>
      </w:r>
      <w:r>
        <w:rPr>
          <w:spacing w:val="-2"/>
        </w:rPr>
        <w:t>Programs</w:t>
      </w:r>
    </w:p>
    <w:p>
      <w:pPr>
        <w:pStyle w:val="BodyText"/>
        <w:rPr>
          <w:b/>
        </w:rPr>
      </w:pPr>
    </w:p>
    <w:p>
      <w:pPr>
        <w:pStyle w:val="BodyText"/>
        <w:ind w:left="120" w:right="115"/>
        <w:jc w:val="both"/>
      </w:pPr>
      <w:r>
        <w:rPr/>
        <w:t>Every</w:t>
      </w:r>
      <w:r>
        <w:rPr>
          <w:spacing w:val="-14"/>
        </w:rPr>
        <w:t> </w:t>
      </w:r>
      <w:r>
        <w:rPr/>
        <w:t>three</w:t>
      </w:r>
      <w:r>
        <w:rPr>
          <w:spacing w:val="-14"/>
        </w:rPr>
        <w:t> </w:t>
      </w:r>
      <w:r>
        <w:rPr/>
        <w:t>years,</w:t>
      </w:r>
      <w:r>
        <w:rPr>
          <w:spacing w:val="-13"/>
        </w:rPr>
        <w:t> </w:t>
      </w:r>
      <w:r>
        <w:rPr/>
        <w:t>MaineDOT</w:t>
      </w:r>
      <w:r>
        <w:rPr>
          <w:spacing w:val="-13"/>
        </w:rPr>
        <w:t> </w:t>
      </w:r>
      <w:r>
        <w:rPr/>
        <w:t>will</w:t>
      </w:r>
      <w:r>
        <w:rPr>
          <w:spacing w:val="-13"/>
        </w:rPr>
        <w:t> </w:t>
      </w:r>
      <w:r>
        <w:rPr/>
        <w:t>review</w:t>
      </w:r>
      <w:r>
        <w:rPr>
          <w:spacing w:val="-12"/>
        </w:rPr>
        <w:t> </w:t>
      </w:r>
      <w:r>
        <w:rPr/>
        <w:t>subrecipients’</w:t>
      </w:r>
      <w:r>
        <w:rPr>
          <w:spacing w:val="-13"/>
        </w:rPr>
        <w:t> </w:t>
      </w:r>
      <w:r>
        <w:rPr/>
        <w:t>Title</w:t>
      </w:r>
      <w:r>
        <w:rPr>
          <w:spacing w:val="-13"/>
        </w:rPr>
        <w:t> </w:t>
      </w:r>
      <w:r>
        <w:rPr/>
        <w:t>VI</w:t>
      </w:r>
      <w:r>
        <w:rPr>
          <w:spacing w:val="-14"/>
        </w:rPr>
        <w:t> </w:t>
      </w:r>
      <w:r>
        <w:rPr/>
        <w:t>programs</w:t>
      </w:r>
      <w:r>
        <w:rPr>
          <w:spacing w:val="-14"/>
        </w:rPr>
        <w:t> </w:t>
      </w:r>
      <w:r>
        <w:rPr/>
        <w:t>to</w:t>
      </w:r>
      <w:r>
        <w:rPr>
          <w:spacing w:val="-12"/>
        </w:rPr>
        <w:t> </w:t>
      </w:r>
      <w:r>
        <w:rPr/>
        <w:t>ensure</w:t>
      </w:r>
      <w:r>
        <w:rPr>
          <w:spacing w:val="-13"/>
        </w:rPr>
        <w:t> </w:t>
      </w:r>
      <w:r>
        <w:rPr/>
        <w:t>implementation</w:t>
      </w:r>
      <w:r>
        <w:rPr>
          <w:spacing w:val="-12"/>
        </w:rPr>
        <w:t> </w:t>
      </w:r>
      <w:r>
        <w:rPr/>
        <w:t>of</w:t>
      </w:r>
      <w:r>
        <w:rPr>
          <w:spacing w:val="-12"/>
        </w:rPr>
        <w:t> </w:t>
      </w:r>
      <w:r>
        <w:rPr/>
        <w:t>their</w:t>
      </w:r>
      <w:r>
        <w:rPr>
          <w:spacing w:val="-13"/>
        </w:rPr>
        <w:t> </w:t>
      </w:r>
      <w:r>
        <w:rPr/>
        <w:t>Title VI plans.</w:t>
      </w:r>
      <w:r>
        <w:rPr>
          <w:spacing w:val="40"/>
        </w:rPr>
        <w:t> </w:t>
      </w:r>
      <w:r>
        <w:rPr/>
        <w:t>In addition, MaineDOT will provide subrecipients with operational guidelines and publications, including</w:t>
      </w:r>
      <w:r>
        <w:rPr>
          <w:spacing w:val="-4"/>
        </w:rPr>
        <w:t> </w:t>
      </w:r>
      <w:r>
        <w:rPr/>
        <w:t>those</w:t>
      </w:r>
      <w:r>
        <w:rPr>
          <w:spacing w:val="-3"/>
        </w:rPr>
        <w:t> </w:t>
      </w:r>
      <w:r>
        <w:rPr/>
        <w:t>for</w:t>
      </w:r>
      <w:r>
        <w:rPr>
          <w:spacing w:val="-4"/>
        </w:rPr>
        <w:t> </w:t>
      </w:r>
      <w:r>
        <w:rPr/>
        <w:t>contractors,</w:t>
      </w:r>
      <w:r>
        <w:rPr>
          <w:spacing w:val="-4"/>
        </w:rPr>
        <w:t> </w:t>
      </w:r>
      <w:r>
        <w:rPr/>
        <w:t>to</w:t>
      </w:r>
      <w:r>
        <w:rPr>
          <w:spacing w:val="-3"/>
        </w:rPr>
        <w:t> </w:t>
      </w:r>
      <w:r>
        <w:rPr/>
        <w:t>verify</w:t>
      </w:r>
      <w:r>
        <w:rPr>
          <w:spacing w:val="-5"/>
        </w:rPr>
        <w:t> </w:t>
      </w:r>
      <w:r>
        <w:rPr/>
        <w:t>that</w:t>
      </w:r>
      <w:r>
        <w:rPr>
          <w:spacing w:val="-3"/>
        </w:rPr>
        <w:t> </w:t>
      </w:r>
      <w:r>
        <w:rPr/>
        <w:t>Title</w:t>
      </w:r>
      <w:r>
        <w:rPr>
          <w:spacing w:val="-1"/>
        </w:rPr>
        <w:t> </w:t>
      </w:r>
      <w:r>
        <w:rPr/>
        <w:t>VI</w:t>
      </w:r>
      <w:r>
        <w:rPr>
          <w:spacing w:val="-4"/>
        </w:rPr>
        <w:t> </w:t>
      </w:r>
      <w:r>
        <w:rPr/>
        <w:t>language</w:t>
      </w:r>
      <w:r>
        <w:rPr>
          <w:spacing w:val="-1"/>
        </w:rPr>
        <w:t> </w:t>
      </w:r>
      <w:r>
        <w:rPr/>
        <w:t>and</w:t>
      </w:r>
      <w:r>
        <w:rPr>
          <w:spacing w:val="-3"/>
        </w:rPr>
        <w:t> </w:t>
      </w:r>
      <w:r>
        <w:rPr/>
        <w:t>provisions</w:t>
      </w:r>
      <w:r>
        <w:rPr>
          <w:spacing w:val="-2"/>
        </w:rPr>
        <w:t> </w:t>
      </w:r>
      <w:r>
        <w:rPr/>
        <w:t>are</w:t>
      </w:r>
      <w:r>
        <w:rPr>
          <w:spacing w:val="-1"/>
        </w:rPr>
        <w:t> </w:t>
      </w:r>
      <w:r>
        <w:rPr/>
        <w:t>incorporated,</w:t>
      </w:r>
      <w:r>
        <w:rPr>
          <w:spacing w:val="-4"/>
        </w:rPr>
        <w:t> </w:t>
      </w:r>
      <w:r>
        <w:rPr/>
        <w:t>as</w:t>
      </w:r>
      <w:r>
        <w:rPr>
          <w:spacing w:val="-4"/>
        </w:rPr>
        <w:t> </w:t>
      </w:r>
      <w:r>
        <w:rPr/>
        <w:t>appropriate.</w:t>
      </w:r>
    </w:p>
    <w:p>
      <w:pPr>
        <w:pStyle w:val="BodyText"/>
        <w:spacing w:before="11"/>
        <w:rPr>
          <w:sz w:val="23"/>
        </w:rPr>
      </w:pPr>
    </w:p>
    <w:p>
      <w:pPr>
        <w:pStyle w:val="Heading9"/>
        <w:jc w:val="both"/>
      </w:pPr>
      <w:r>
        <w:rPr/>
        <w:t>Dissemination</w:t>
      </w:r>
      <w:r>
        <w:rPr>
          <w:spacing w:val="-4"/>
        </w:rPr>
        <w:t> </w:t>
      </w:r>
      <w:r>
        <w:rPr/>
        <w:t>of</w:t>
      </w:r>
      <w:r>
        <w:rPr>
          <w:spacing w:val="-1"/>
        </w:rPr>
        <w:t> </w:t>
      </w:r>
      <w:r>
        <w:rPr/>
        <w:t>Information</w:t>
      </w:r>
      <w:r>
        <w:rPr>
          <w:spacing w:val="-1"/>
        </w:rPr>
        <w:t> </w:t>
      </w:r>
      <w:r>
        <w:rPr/>
        <w:t>Related</w:t>
      </w:r>
      <w:r>
        <w:rPr>
          <w:spacing w:val="-3"/>
        </w:rPr>
        <w:t> </w:t>
      </w:r>
      <w:r>
        <w:rPr/>
        <w:t>to</w:t>
      </w:r>
      <w:r>
        <w:rPr>
          <w:spacing w:val="-3"/>
        </w:rPr>
        <w:t> </w:t>
      </w:r>
      <w:r>
        <w:rPr/>
        <w:t>the</w:t>
      </w:r>
      <w:r>
        <w:rPr>
          <w:spacing w:val="-4"/>
        </w:rPr>
        <w:t> </w:t>
      </w:r>
      <w:r>
        <w:rPr/>
        <w:t>Title</w:t>
      </w:r>
      <w:r>
        <w:rPr>
          <w:spacing w:val="-2"/>
        </w:rPr>
        <w:t> </w:t>
      </w:r>
      <w:r>
        <w:rPr/>
        <w:t>VI </w:t>
      </w:r>
      <w:r>
        <w:rPr>
          <w:spacing w:val="-2"/>
        </w:rPr>
        <w:t>Program</w:t>
      </w:r>
    </w:p>
    <w:p>
      <w:pPr>
        <w:pStyle w:val="BodyText"/>
        <w:spacing w:before="2"/>
        <w:rPr>
          <w:b/>
        </w:rPr>
      </w:pPr>
    </w:p>
    <w:p>
      <w:pPr>
        <w:pStyle w:val="BodyText"/>
        <w:ind w:left="120" w:right="114"/>
        <w:jc w:val="both"/>
      </w:pPr>
      <w:r>
        <w:rPr/>
        <w:t>Information</w:t>
      </w:r>
      <w:r>
        <w:rPr>
          <w:spacing w:val="-5"/>
        </w:rPr>
        <w:t> </w:t>
      </w:r>
      <w:r>
        <w:rPr/>
        <w:t>on</w:t>
      </w:r>
      <w:r>
        <w:rPr>
          <w:spacing w:val="-5"/>
        </w:rPr>
        <w:t> </w:t>
      </w:r>
      <w:r>
        <w:rPr/>
        <w:t>MaineDOT’s</w:t>
      </w:r>
      <w:r>
        <w:rPr>
          <w:spacing w:val="-4"/>
        </w:rPr>
        <w:t> </w:t>
      </w:r>
      <w:r>
        <w:rPr/>
        <w:t>Title</w:t>
      </w:r>
      <w:r>
        <w:rPr>
          <w:spacing w:val="-6"/>
        </w:rPr>
        <w:t> </w:t>
      </w:r>
      <w:r>
        <w:rPr/>
        <w:t>VI</w:t>
      </w:r>
      <w:r>
        <w:rPr>
          <w:spacing w:val="-7"/>
        </w:rPr>
        <w:t> </w:t>
      </w:r>
      <w:r>
        <w:rPr/>
        <w:t>program</w:t>
      </w:r>
      <w:r>
        <w:rPr>
          <w:spacing w:val="-6"/>
        </w:rPr>
        <w:t> </w:t>
      </w:r>
      <w:r>
        <w:rPr/>
        <w:t>will</w:t>
      </w:r>
      <w:r>
        <w:rPr>
          <w:spacing w:val="-9"/>
        </w:rPr>
        <w:t> </w:t>
      </w:r>
      <w:r>
        <w:rPr/>
        <w:t>be</w:t>
      </w:r>
      <w:r>
        <w:rPr>
          <w:spacing w:val="-6"/>
        </w:rPr>
        <w:t> </w:t>
      </w:r>
      <w:r>
        <w:rPr/>
        <w:t>disseminated</w:t>
      </w:r>
      <w:r>
        <w:rPr>
          <w:spacing w:val="-8"/>
        </w:rPr>
        <w:t> </w:t>
      </w:r>
      <w:r>
        <w:rPr/>
        <w:t>to</w:t>
      </w:r>
      <w:r>
        <w:rPr>
          <w:spacing w:val="-6"/>
        </w:rPr>
        <w:t> </w:t>
      </w:r>
      <w:r>
        <w:rPr/>
        <w:t>employees,</w:t>
      </w:r>
      <w:r>
        <w:rPr>
          <w:spacing w:val="-4"/>
        </w:rPr>
        <w:t> </w:t>
      </w:r>
      <w:r>
        <w:rPr/>
        <w:t>contractors,</w:t>
      </w:r>
      <w:r>
        <w:rPr>
          <w:spacing w:val="-6"/>
        </w:rPr>
        <w:t> </w:t>
      </w:r>
      <w:r>
        <w:rPr/>
        <w:t>and</w:t>
      </w:r>
      <w:r>
        <w:rPr>
          <w:spacing w:val="-8"/>
        </w:rPr>
        <w:t> </w:t>
      </w:r>
      <w:r>
        <w:rPr/>
        <w:t>beneficiaries, as well as to the public, as described in the “public outreach and involvement “section of this document and according</w:t>
      </w:r>
      <w:r>
        <w:rPr>
          <w:spacing w:val="-2"/>
        </w:rPr>
        <w:t> </w:t>
      </w:r>
      <w:r>
        <w:rPr/>
        <w:t>to</w:t>
      </w:r>
      <w:r>
        <w:rPr>
          <w:spacing w:val="-1"/>
        </w:rPr>
        <w:t> </w:t>
      </w:r>
      <w:r>
        <w:rPr/>
        <w:t>federal</w:t>
      </w:r>
      <w:r>
        <w:rPr>
          <w:spacing w:val="-1"/>
        </w:rPr>
        <w:t> </w:t>
      </w:r>
      <w:r>
        <w:rPr/>
        <w:t>and state</w:t>
      </w:r>
      <w:r>
        <w:rPr>
          <w:spacing w:val="-1"/>
        </w:rPr>
        <w:t> </w:t>
      </w:r>
      <w:r>
        <w:rPr/>
        <w:t>laws/regulations. The Title</w:t>
      </w:r>
      <w:r>
        <w:rPr>
          <w:spacing w:val="-1"/>
        </w:rPr>
        <w:t> </w:t>
      </w:r>
      <w:r>
        <w:rPr/>
        <w:t>VI</w:t>
      </w:r>
      <w:r>
        <w:rPr>
          <w:spacing w:val="-2"/>
        </w:rPr>
        <w:t> </w:t>
      </w:r>
      <w:r>
        <w:rPr/>
        <w:t>program</w:t>
      </w:r>
      <w:r>
        <w:rPr>
          <w:spacing w:val="-1"/>
        </w:rPr>
        <w:t> </w:t>
      </w:r>
      <w:r>
        <w:rPr/>
        <w:t>will</w:t>
      </w:r>
      <w:r>
        <w:rPr>
          <w:spacing w:val="-1"/>
        </w:rPr>
        <w:t> </w:t>
      </w:r>
      <w:r>
        <w:rPr/>
        <w:t>be available in other languages</w:t>
      </w:r>
      <w:r>
        <w:rPr>
          <w:spacing w:val="-2"/>
        </w:rPr>
        <w:t> </w:t>
      </w:r>
      <w:r>
        <w:rPr/>
        <w:t>when needed according to the Language Assistance Plan (LAP).</w:t>
      </w:r>
    </w:p>
    <w:p>
      <w:pPr>
        <w:pStyle w:val="BodyText"/>
        <w:spacing w:before="12"/>
        <w:rPr>
          <w:sz w:val="23"/>
        </w:rPr>
      </w:pPr>
    </w:p>
    <w:p>
      <w:pPr>
        <w:pStyle w:val="BodyText"/>
        <w:ind w:left="120"/>
        <w:jc w:val="both"/>
      </w:pPr>
      <w:r>
        <w:rPr/>
        <w:t>MaineDOT</w:t>
      </w:r>
      <w:r>
        <w:rPr>
          <w:spacing w:val="-3"/>
        </w:rPr>
        <w:t> </w:t>
      </w:r>
      <w:r>
        <w:rPr/>
        <w:t>requires</w:t>
      </w:r>
      <w:r>
        <w:rPr>
          <w:spacing w:val="-1"/>
        </w:rPr>
        <w:t> </w:t>
      </w:r>
      <w:r>
        <w:rPr/>
        <w:t>its</w:t>
      </w:r>
      <w:r>
        <w:rPr>
          <w:spacing w:val="-1"/>
        </w:rPr>
        <w:t> </w:t>
      </w:r>
      <w:r>
        <w:rPr/>
        <w:t>subrecipients</w:t>
      </w:r>
      <w:r>
        <w:rPr>
          <w:spacing w:val="-3"/>
        </w:rPr>
        <w:t> </w:t>
      </w:r>
      <w:r>
        <w:rPr/>
        <w:t>to</w:t>
      </w:r>
      <w:r>
        <w:rPr>
          <w:spacing w:val="-2"/>
        </w:rPr>
        <w:t> </w:t>
      </w:r>
      <w:r>
        <w:rPr/>
        <w:t>do</w:t>
      </w:r>
      <w:r>
        <w:rPr>
          <w:spacing w:val="-1"/>
        </w:rPr>
        <w:t> </w:t>
      </w:r>
      <w:r>
        <w:rPr/>
        <w:t>the</w:t>
      </w:r>
      <w:r>
        <w:rPr>
          <w:spacing w:val="-2"/>
        </w:rPr>
        <w:t> same.</w:t>
      </w:r>
    </w:p>
    <w:p>
      <w:pPr>
        <w:pStyle w:val="BodyText"/>
        <w:spacing w:before="11"/>
        <w:rPr>
          <w:sz w:val="23"/>
        </w:rPr>
      </w:pPr>
    </w:p>
    <w:p>
      <w:pPr>
        <w:pStyle w:val="Heading9"/>
        <w:spacing w:before="1"/>
        <w:jc w:val="both"/>
      </w:pPr>
      <w:r>
        <w:rPr/>
        <w:t>Resolution</w:t>
      </w:r>
      <w:r>
        <w:rPr>
          <w:spacing w:val="-1"/>
        </w:rPr>
        <w:t> </w:t>
      </w:r>
      <w:r>
        <w:rPr/>
        <w:t>of</w:t>
      </w:r>
      <w:r>
        <w:rPr>
          <w:spacing w:val="-1"/>
        </w:rPr>
        <w:t> </w:t>
      </w:r>
      <w:r>
        <w:rPr>
          <w:spacing w:val="-2"/>
        </w:rPr>
        <w:t>Complaints</w:t>
      </w:r>
    </w:p>
    <w:p>
      <w:pPr>
        <w:pStyle w:val="BodyText"/>
        <w:spacing w:before="11"/>
        <w:rPr>
          <w:b/>
          <w:sz w:val="23"/>
        </w:rPr>
      </w:pPr>
    </w:p>
    <w:p>
      <w:pPr>
        <w:pStyle w:val="BodyText"/>
        <w:spacing w:before="1"/>
        <w:ind w:left="120" w:right="116"/>
        <w:jc w:val="both"/>
      </w:pPr>
      <w:r>
        <w:rPr/>
        <w:t>Any individual may</w:t>
      </w:r>
      <w:r>
        <w:rPr>
          <w:spacing w:val="-1"/>
        </w:rPr>
        <w:t> </w:t>
      </w:r>
      <w:r>
        <w:rPr/>
        <w:t>exercise his</w:t>
      </w:r>
      <w:r>
        <w:rPr>
          <w:spacing w:val="-1"/>
        </w:rPr>
        <w:t> </w:t>
      </w:r>
      <w:r>
        <w:rPr/>
        <w:t>or her right to file</w:t>
      </w:r>
      <w:r>
        <w:rPr>
          <w:spacing w:val="-2"/>
        </w:rPr>
        <w:t> </w:t>
      </w:r>
      <w:r>
        <w:rPr/>
        <w:t>a complaint if that person believes</w:t>
      </w:r>
      <w:r>
        <w:rPr>
          <w:spacing w:val="-1"/>
        </w:rPr>
        <w:t> </w:t>
      </w:r>
      <w:r>
        <w:rPr/>
        <w:t>that he, she, or any</w:t>
      </w:r>
      <w:r>
        <w:rPr>
          <w:spacing w:val="-1"/>
        </w:rPr>
        <w:t> </w:t>
      </w:r>
      <w:r>
        <w:rPr/>
        <w:t>other program beneficiaries have been subjected to unequal treatment or discrimination in the receipt of benefits/services</w:t>
      </w:r>
      <w:r>
        <w:rPr>
          <w:spacing w:val="-14"/>
        </w:rPr>
        <w:t> </w:t>
      </w:r>
      <w:r>
        <w:rPr/>
        <w:t>or</w:t>
      </w:r>
      <w:r>
        <w:rPr>
          <w:spacing w:val="-14"/>
        </w:rPr>
        <w:t> </w:t>
      </w:r>
      <w:r>
        <w:rPr/>
        <w:t>prohibited</w:t>
      </w:r>
      <w:r>
        <w:rPr>
          <w:spacing w:val="-13"/>
        </w:rPr>
        <w:t> </w:t>
      </w:r>
      <w:r>
        <w:rPr/>
        <w:t>by</w:t>
      </w:r>
      <w:r>
        <w:rPr>
          <w:spacing w:val="-14"/>
        </w:rPr>
        <w:t> </w:t>
      </w:r>
      <w:r>
        <w:rPr/>
        <w:t>non-discrimination</w:t>
      </w:r>
      <w:r>
        <w:rPr>
          <w:spacing w:val="-13"/>
        </w:rPr>
        <w:t> </w:t>
      </w:r>
      <w:r>
        <w:rPr/>
        <w:t>requirements.</w:t>
      </w:r>
      <w:r>
        <w:rPr>
          <w:spacing w:val="-2"/>
        </w:rPr>
        <w:t> </w:t>
      </w:r>
      <w:r>
        <w:rPr/>
        <w:t>MaineDOT</w:t>
      </w:r>
      <w:r>
        <w:rPr>
          <w:spacing w:val="-14"/>
        </w:rPr>
        <w:t> </w:t>
      </w:r>
      <w:r>
        <w:rPr/>
        <w:t>requires</w:t>
      </w:r>
      <w:r>
        <w:rPr>
          <w:spacing w:val="-13"/>
        </w:rPr>
        <w:t> </w:t>
      </w:r>
      <w:r>
        <w:rPr/>
        <w:t>subrecipients</w:t>
      </w:r>
      <w:r>
        <w:rPr>
          <w:spacing w:val="-14"/>
        </w:rPr>
        <w:t> </w:t>
      </w:r>
      <w:r>
        <w:rPr/>
        <w:t>to</w:t>
      </w:r>
      <w:r>
        <w:rPr>
          <w:spacing w:val="-13"/>
        </w:rPr>
        <w:t> </w:t>
      </w:r>
      <w:r>
        <w:rPr/>
        <w:t>report the</w:t>
      </w:r>
      <w:r>
        <w:rPr>
          <w:spacing w:val="-3"/>
        </w:rPr>
        <w:t> </w:t>
      </w:r>
      <w:r>
        <w:rPr/>
        <w:t>complaint</w:t>
      </w:r>
      <w:r>
        <w:rPr>
          <w:spacing w:val="-3"/>
        </w:rPr>
        <w:t> </w:t>
      </w:r>
      <w:r>
        <w:rPr/>
        <w:t>to</w:t>
      </w:r>
      <w:r>
        <w:rPr>
          <w:spacing w:val="-3"/>
        </w:rPr>
        <w:t> </w:t>
      </w:r>
      <w:r>
        <w:rPr/>
        <w:t>MaineDOT’s</w:t>
      </w:r>
      <w:r>
        <w:rPr>
          <w:spacing w:val="-4"/>
        </w:rPr>
        <w:t> </w:t>
      </w:r>
      <w:r>
        <w:rPr/>
        <w:t>Civil</w:t>
      </w:r>
      <w:r>
        <w:rPr>
          <w:spacing w:val="-4"/>
        </w:rPr>
        <w:t> </w:t>
      </w:r>
      <w:r>
        <w:rPr/>
        <w:t>Rights</w:t>
      </w:r>
      <w:r>
        <w:rPr>
          <w:spacing w:val="-4"/>
        </w:rPr>
        <w:t> </w:t>
      </w:r>
      <w:r>
        <w:rPr/>
        <w:t>Office</w:t>
      </w:r>
      <w:r>
        <w:rPr>
          <w:spacing w:val="-3"/>
        </w:rPr>
        <w:t> </w:t>
      </w:r>
      <w:r>
        <w:rPr/>
        <w:t>within</w:t>
      </w:r>
      <w:r>
        <w:rPr>
          <w:spacing w:val="-5"/>
        </w:rPr>
        <w:t> </w:t>
      </w:r>
      <w:r>
        <w:rPr/>
        <w:t>a</w:t>
      </w:r>
      <w:r>
        <w:rPr>
          <w:spacing w:val="-4"/>
        </w:rPr>
        <w:t> </w:t>
      </w:r>
      <w:r>
        <w:rPr/>
        <w:t>reasonable</w:t>
      </w:r>
      <w:r>
        <w:rPr>
          <w:spacing w:val="-6"/>
        </w:rPr>
        <w:t> </w:t>
      </w:r>
      <w:r>
        <w:rPr/>
        <w:t>timeframe,</w:t>
      </w:r>
      <w:r>
        <w:rPr>
          <w:spacing w:val="-4"/>
        </w:rPr>
        <w:t> </w:t>
      </w:r>
      <w:r>
        <w:rPr/>
        <w:t>and</w:t>
      </w:r>
      <w:r>
        <w:rPr>
          <w:spacing w:val="-5"/>
        </w:rPr>
        <w:t> </w:t>
      </w:r>
      <w:r>
        <w:rPr/>
        <w:t>to</w:t>
      </w:r>
      <w:r>
        <w:rPr>
          <w:spacing w:val="-3"/>
        </w:rPr>
        <w:t> </w:t>
      </w:r>
      <w:r>
        <w:rPr/>
        <w:t>make</w:t>
      </w:r>
      <w:r>
        <w:rPr>
          <w:spacing w:val="-3"/>
        </w:rPr>
        <w:t> </w:t>
      </w:r>
      <w:r>
        <w:rPr/>
        <w:t>a</w:t>
      </w:r>
      <w:r>
        <w:rPr>
          <w:spacing w:val="-4"/>
        </w:rPr>
        <w:t> </w:t>
      </w:r>
      <w:r>
        <w:rPr/>
        <w:t>concerted</w:t>
      </w:r>
      <w:r>
        <w:rPr>
          <w:spacing w:val="-3"/>
        </w:rPr>
        <w:t> </w:t>
      </w:r>
      <w:r>
        <w:rPr/>
        <w:t>effort to resolve complaints locally using the agency’s Title VI Complaint Procedures.</w:t>
      </w:r>
    </w:p>
    <w:p>
      <w:pPr>
        <w:pStyle w:val="BodyText"/>
        <w:spacing w:before="1"/>
      </w:pPr>
    </w:p>
    <w:p>
      <w:pPr>
        <w:pStyle w:val="Heading9"/>
        <w:jc w:val="both"/>
      </w:pPr>
      <w:r>
        <w:rPr/>
        <w:t>Written</w:t>
      </w:r>
      <w:r>
        <w:rPr>
          <w:spacing w:val="-2"/>
        </w:rPr>
        <w:t> </w:t>
      </w:r>
      <w:r>
        <w:rPr/>
        <w:t>Policies</w:t>
      </w:r>
      <w:r>
        <w:rPr>
          <w:spacing w:val="-2"/>
        </w:rPr>
        <w:t> </w:t>
      </w:r>
      <w:r>
        <w:rPr/>
        <w:t>and</w:t>
      </w:r>
      <w:r>
        <w:rPr>
          <w:spacing w:val="-4"/>
        </w:rPr>
        <w:t> </w:t>
      </w:r>
      <w:r>
        <w:rPr>
          <w:spacing w:val="-2"/>
        </w:rPr>
        <w:t>Procedures</w:t>
      </w:r>
    </w:p>
    <w:p>
      <w:pPr>
        <w:pStyle w:val="BodyText"/>
        <w:spacing w:before="12"/>
        <w:rPr>
          <w:b/>
          <w:sz w:val="23"/>
        </w:rPr>
      </w:pPr>
    </w:p>
    <w:p>
      <w:pPr>
        <w:pStyle w:val="BodyText"/>
        <w:ind w:left="120" w:right="118"/>
        <w:jc w:val="both"/>
      </w:pPr>
      <w:r>
        <w:rPr/>
        <w:t>MaineDOT’s Title VI policies and procedures are</w:t>
      </w:r>
      <w:r>
        <w:rPr>
          <w:spacing w:val="-1"/>
        </w:rPr>
        <w:t> </w:t>
      </w:r>
      <w:r>
        <w:rPr/>
        <w:t>documented in this plan and its appendices and attachments. This plan will be updated every three years to incorporate changes and additional responsibilities that arise.</w:t>
      </w:r>
    </w:p>
    <w:p>
      <w:pPr>
        <w:pStyle w:val="Heading9"/>
        <w:spacing w:line="293" w:lineRule="exact"/>
        <w:jc w:val="both"/>
      </w:pPr>
      <w:r>
        <w:rPr/>
        <w:t>Internal</w:t>
      </w:r>
      <w:r>
        <w:rPr>
          <w:spacing w:val="-2"/>
        </w:rPr>
        <w:t> Education</w:t>
      </w:r>
    </w:p>
    <w:p>
      <w:pPr>
        <w:pStyle w:val="BodyText"/>
        <w:spacing w:before="11"/>
        <w:rPr>
          <w:b/>
          <w:sz w:val="23"/>
        </w:rPr>
      </w:pPr>
    </w:p>
    <w:p>
      <w:pPr>
        <w:pStyle w:val="BodyText"/>
        <w:spacing w:before="1"/>
        <w:ind w:left="119" w:right="112"/>
        <w:jc w:val="both"/>
      </w:pPr>
      <w:r>
        <w:rPr/>
        <w:t>MaineDOT’s</w:t>
      </w:r>
      <w:r>
        <w:rPr>
          <w:spacing w:val="-14"/>
        </w:rPr>
        <w:t> </w:t>
      </w:r>
      <w:r>
        <w:rPr/>
        <w:t>employees</w:t>
      </w:r>
      <w:r>
        <w:rPr>
          <w:spacing w:val="-14"/>
        </w:rPr>
        <w:t> </w:t>
      </w:r>
      <w:r>
        <w:rPr/>
        <w:t>will</w:t>
      </w:r>
      <w:r>
        <w:rPr>
          <w:spacing w:val="-13"/>
        </w:rPr>
        <w:t> </w:t>
      </w:r>
      <w:r>
        <w:rPr/>
        <w:t>receive</w:t>
      </w:r>
      <w:r>
        <w:rPr>
          <w:spacing w:val="-14"/>
        </w:rPr>
        <w:t> </w:t>
      </w:r>
      <w:r>
        <w:rPr/>
        <w:t>training</w:t>
      </w:r>
      <w:r>
        <w:rPr>
          <w:spacing w:val="-13"/>
        </w:rPr>
        <w:t> </w:t>
      </w:r>
      <w:r>
        <w:rPr/>
        <w:t>on</w:t>
      </w:r>
      <w:r>
        <w:rPr>
          <w:spacing w:val="-14"/>
        </w:rPr>
        <w:t> </w:t>
      </w:r>
      <w:r>
        <w:rPr/>
        <w:t>Title</w:t>
      </w:r>
      <w:r>
        <w:rPr>
          <w:spacing w:val="-13"/>
        </w:rPr>
        <w:t> </w:t>
      </w:r>
      <w:r>
        <w:rPr/>
        <w:t>VI</w:t>
      </w:r>
      <w:r>
        <w:rPr>
          <w:spacing w:val="-14"/>
        </w:rPr>
        <w:t> </w:t>
      </w:r>
      <w:r>
        <w:rPr/>
        <w:t>policies</w:t>
      </w:r>
      <w:r>
        <w:rPr>
          <w:spacing w:val="-14"/>
        </w:rPr>
        <w:t> </w:t>
      </w:r>
      <w:r>
        <w:rPr/>
        <w:t>and</w:t>
      </w:r>
      <w:r>
        <w:rPr>
          <w:spacing w:val="-13"/>
        </w:rPr>
        <w:t> </w:t>
      </w:r>
      <w:r>
        <w:rPr/>
        <w:t>procedures</w:t>
      </w:r>
      <w:r>
        <w:rPr>
          <w:spacing w:val="-14"/>
        </w:rPr>
        <w:t> </w:t>
      </w:r>
      <w:r>
        <w:rPr/>
        <w:t>upon</w:t>
      </w:r>
      <w:r>
        <w:rPr>
          <w:spacing w:val="-13"/>
        </w:rPr>
        <w:t> </w:t>
      </w:r>
      <w:r>
        <w:rPr/>
        <w:t>hiring</w:t>
      </w:r>
      <w:r>
        <w:rPr>
          <w:spacing w:val="-14"/>
        </w:rPr>
        <w:t> </w:t>
      </w:r>
      <w:r>
        <w:rPr/>
        <w:t>and</w:t>
      </w:r>
      <w:r>
        <w:rPr>
          <w:spacing w:val="-13"/>
        </w:rPr>
        <w:t> </w:t>
      </w:r>
      <w:r>
        <w:rPr/>
        <w:t>upon</w:t>
      </w:r>
      <w:r>
        <w:rPr>
          <w:spacing w:val="-14"/>
        </w:rPr>
        <w:t> </w:t>
      </w:r>
      <w:r>
        <w:rPr/>
        <w:t>promotion. This training will include requirements of Title VI, MaineDOT’s obligations under Title VI (LEP requirements included),</w:t>
      </w:r>
      <w:r>
        <w:rPr>
          <w:spacing w:val="-6"/>
        </w:rPr>
        <w:t> </w:t>
      </w:r>
      <w:r>
        <w:rPr/>
        <w:t>required</w:t>
      </w:r>
      <w:r>
        <w:rPr>
          <w:spacing w:val="-8"/>
        </w:rPr>
        <w:t> </w:t>
      </w:r>
      <w:r>
        <w:rPr/>
        <w:t>data</w:t>
      </w:r>
      <w:r>
        <w:rPr>
          <w:spacing w:val="-9"/>
        </w:rPr>
        <w:t> </w:t>
      </w:r>
      <w:r>
        <w:rPr/>
        <w:t>that</w:t>
      </w:r>
      <w:r>
        <w:rPr>
          <w:spacing w:val="-5"/>
        </w:rPr>
        <w:t> </w:t>
      </w:r>
      <w:r>
        <w:rPr/>
        <w:t>must</w:t>
      </w:r>
      <w:r>
        <w:rPr>
          <w:spacing w:val="-8"/>
        </w:rPr>
        <w:t> </w:t>
      </w:r>
      <w:r>
        <w:rPr/>
        <w:t>be</w:t>
      </w:r>
      <w:r>
        <w:rPr>
          <w:spacing w:val="-8"/>
        </w:rPr>
        <w:t> </w:t>
      </w:r>
      <w:r>
        <w:rPr/>
        <w:t>gathered</w:t>
      </w:r>
      <w:r>
        <w:rPr>
          <w:spacing w:val="-5"/>
        </w:rPr>
        <w:t> </w:t>
      </w:r>
      <w:r>
        <w:rPr/>
        <w:t>and</w:t>
      </w:r>
      <w:r>
        <w:rPr>
          <w:spacing w:val="-5"/>
        </w:rPr>
        <w:t> </w:t>
      </w:r>
      <w:r>
        <w:rPr/>
        <w:t>maintained.</w:t>
      </w:r>
      <w:r>
        <w:rPr>
          <w:spacing w:val="40"/>
        </w:rPr>
        <w:t> </w:t>
      </w:r>
      <w:r>
        <w:rPr/>
        <w:t>In</w:t>
      </w:r>
      <w:r>
        <w:rPr>
          <w:spacing w:val="-5"/>
        </w:rPr>
        <w:t> </w:t>
      </w:r>
      <w:r>
        <w:rPr/>
        <w:t>addition,</w:t>
      </w:r>
      <w:r>
        <w:rPr>
          <w:spacing w:val="-9"/>
        </w:rPr>
        <w:t> </w:t>
      </w:r>
      <w:r>
        <w:rPr/>
        <w:t>training</w:t>
      </w:r>
      <w:r>
        <w:rPr>
          <w:spacing w:val="-9"/>
        </w:rPr>
        <w:t> </w:t>
      </w:r>
      <w:r>
        <w:rPr/>
        <w:t>will</w:t>
      </w:r>
      <w:r>
        <w:rPr>
          <w:spacing w:val="-9"/>
        </w:rPr>
        <w:t> </w:t>
      </w:r>
      <w:r>
        <w:rPr/>
        <w:t>be</w:t>
      </w:r>
      <w:r>
        <w:rPr>
          <w:spacing w:val="-8"/>
        </w:rPr>
        <w:t> </w:t>
      </w:r>
      <w:r>
        <w:rPr/>
        <w:t>provided</w:t>
      </w:r>
      <w:r>
        <w:rPr>
          <w:spacing w:val="-8"/>
        </w:rPr>
        <w:t> </w:t>
      </w:r>
      <w:r>
        <w:rPr/>
        <w:t>when</w:t>
      </w:r>
      <w:r>
        <w:rPr>
          <w:spacing w:val="-8"/>
        </w:rPr>
        <w:t> </w:t>
      </w:r>
      <w:r>
        <w:rPr/>
        <w:t>any Title VI-related policies or procedures change (agency-wide training), or when appropriate in resolving a </w:t>
      </w:r>
      <w:r>
        <w:rPr>
          <w:spacing w:val="-2"/>
        </w:rPr>
        <w:t>complaint.</w:t>
      </w:r>
    </w:p>
    <w:p>
      <w:pPr>
        <w:pStyle w:val="BodyText"/>
        <w:spacing w:before="11"/>
        <w:rPr>
          <w:sz w:val="23"/>
        </w:rPr>
      </w:pPr>
    </w:p>
    <w:p>
      <w:pPr>
        <w:pStyle w:val="BodyText"/>
        <w:ind w:left="120"/>
        <w:jc w:val="both"/>
      </w:pPr>
      <w:r>
        <w:rPr/>
        <w:t>Title</w:t>
      </w:r>
      <w:r>
        <w:rPr>
          <w:spacing w:val="-4"/>
        </w:rPr>
        <w:t> </w:t>
      </w:r>
      <w:r>
        <w:rPr/>
        <w:t>VI</w:t>
      </w:r>
      <w:r>
        <w:rPr>
          <w:spacing w:val="-1"/>
        </w:rPr>
        <w:t> </w:t>
      </w:r>
      <w:r>
        <w:rPr/>
        <w:t>training</w:t>
      </w:r>
      <w:r>
        <w:rPr>
          <w:spacing w:val="-1"/>
        </w:rPr>
        <w:t> </w:t>
      </w:r>
      <w:r>
        <w:rPr/>
        <w:t>is</w:t>
      </w:r>
      <w:r>
        <w:rPr>
          <w:spacing w:val="-3"/>
        </w:rPr>
        <w:t> </w:t>
      </w:r>
      <w:r>
        <w:rPr/>
        <w:t>the responsibility</w:t>
      </w:r>
      <w:r>
        <w:rPr>
          <w:spacing w:val="-4"/>
        </w:rPr>
        <w:t> </w:t>
      </w:r>
      <w:r>
        <w:rPr/>
        <w:t>of</w:t>
      </w:r>
      <w:r>
        <w:rPr>
          <w:spacing w:val="-2"/>
        </w:rPr>
        <w:t> </w:t>
      </w:r>
      <w:r>
        <w:rPr/>
        <w:t>the Title</w:t>
      </w:r>
      <w:r>
        <w:rPr>
          <w:spacing w:val="-3"/>
        </w:rPr>
        <w:t> </w:t>
      </w:r>
      <w:r>
        <w:rPr/>
        <w:t>VI</w:t>
      </w:r>
      <w:r>
        <w:rPr>
          <w:spacing w:val="-2"/>
        </w:rPr>
        <w:t> Coordinator.</w:t>
      </w:r>
    </w:p>
    <w:p>
      <w:pPr>
        <w:pStyle w:val="BodyText"/>
        <w:spacing w:before="2"/>
      </w:pPr>
    </w:p>
    <w:p>
      <w:pPr>
        <w:pStyle w:val="BodyText"/>
        <w:ind w:left="120"/>
        <w:jc w:val="both"/>
      </w:pPr>
      <w:r>
        <w:rPr/>
        <w:t>MaineDOT</w:t>
      </w:r>
      <w:r>
        <w:rPr>
          <w:spacing w:val="-5"/>
        </w:rPr>
        <w:t> </w:t>
      </w:r>
      <w:r>
        <w:rPr/>
        <w:t>will</w:t>
      </w:r>
      <w:r>
        <w:rPr>
          <w:spacing w:val="-3"/>
        </w:rPr>
        <w:t> </w:t>
      </w:r>
      <w:r>
        <w:rPr/>
        <w:t>ensure</w:t>
      </w:r>
      <w:r>
        <w:rPr>
          <w:spacing w:val="-3"/>
        </w:rPr>
        <w:t> </w:t>
      </w:r>
      <w:r>
        <w:rPr/>
        <w:t>that</w:t>
      </w:r>
      <w:r>
        <w:rPr>
          <w:spacing w:val="1"/>
        </w:rPr>
        <w:t> </w:t>
      </w:r>
      <w:r>
        <w:rPr/>
        <w:t>subrecipients</w:t>
      </w:r>
      <w:r>
        <w:rPr>
          <w:spacing w:val="-2"/>
        </w:rPr>
        <w:t> </w:t>
      </w:r>
      <w:r>
        <w:rPr/>
        <w:t>are</w:t>
      </w:r>
      <w:r>
        <w:rPr>
          <w:spacing w:val="-2"/>
        </w:rPr>
        <w:t> </w:t>
      </w:r>
      <w:r>
        <w:rPr/>
        <w:t>providing</w:t>
      </w:r>
      <w:r>
        <w:rPr>
          <w:spacing w:val="-2"/>
        </w:rPr>
        <w:t> </w:t>
      </w:r>
      <w:r>
        <w:rPr/>
        <w:t>similar</w:t>
      </w:r>
      <w:r>
        <w:rPr>
          <w:spacing w:val="-1"/>
        </w:rPr>
        <w:t> </w:t>
      </w:r>
      <w:r>
        <w:rPr/>
        <w:t>Title</w:t>
      </w:r>
      <w:r>
        <w:rPr>
          <w:spacing w:val="-3"/>
        </w:rPr>
        <w:t> </w:t>
      </w:r>
      <w:r>
        <w:rPr/>
        <w:t>VI</w:t>
      </w:r>
      <w:r>
        <w:rPr>
          <w:spacing w:val="-3"/>
        </w:rPr>
        <w:t> </w:t>
      </w:r>
      <w:r>
        <w:rPr/>
        <w:t>training</w:t>
      </w:r>
      <w:r>
        <w:rPr>
          <w:spacing w:val="-2"/>
        </w:rPr>
        <w:t> </w:t>
      </w:r>
      <w:r>
        <w:rPr/>
        <w:t>to </w:t>
      </w:r>
      <w:r>
        <w:rPr>
          <w:spacing w:val="-2"/>
        </w:rPr>
        <w:t>employees.</w:t>
      </w:r>
    </w:p>
    <w:p>
      <w:pPr>
        <w:pStyle w:val="BodyText"/>
        <w:spacing w:before="12"/>
        <w:rPr>
          <w:sz w:val="23"/>
        </w:rPr>
      </w:pPr>
    </w:p>
    <w:p>
      <w:pPr>
        <w:pStyle w:val="Heading9"/>
        <w:jc w:val="both"/>
      </w:pPr>
      <w:r>
        <w:rPr/>
        <w:t>Title</w:t>
      </w:r>
      <w:r>
        <w:rPr>
          <w:spacing w:val="-4"/>
        </w:rPr>
        <w:t> </w:t>
      </w:r>
      <w:r>
        <w:rPr/>
        <w:t>VI</w:t>
      </w:r>
      <w:r>
        <w:rPr>
          <w:spacing w:val="-1"/>
        </w:rPr>
        <w:t> </w:t>
      </w:r>
      <w:r>
        <w:rPr/>
        <w:t>Clauses</w:t>
      </w:r>
      <w:r>
        <w:rPr>
          <w:spacing w:val="-1"/>
        </w:rPr>
        <w:t> </w:t>
      </w:r>
      <w:r>
        <w:rPr/>
        <w:t>in </w:t>
      </w:r>
      <w:r>
        <w:rPr>
          <w:spacing w:val="-2"/>
        </w:rPr>
        <w:t>Contracts</w:t>
      </w:r>
    </w:p>
    <w:p>
      <w:pPr>
        <w:pStyle w:val="BodyText"/>
        <w:spacing w:before="11"/>
        <w:rPr>
          <w:b/>
          <w:sz w:val="23"/>
        </w:rPr>
      </w:pPr>
    </w:p>
    <w:p>
      <w:pPr>
        <w:pStyle w:val="BodyText"/>
        <w:spacing w:before="1"/>
        <w:ind w:left="120" w:right="112"/>
        <w:jc w:val="both"/>
      </w:pPr>
      <w:r>
        <w:rPr/>
        <w:t>In all federal procurements requiring a written contract or Purchase Order (PO), MaineDOT’s contract/PO will include appropriate non-discrimination clauses. The Title VI Coordinator will work with Chad Lewis, who is responsible</w:t>
      </w:r>
      <w:r>
        <w:rPr>
          <w:spacing w:val="-14"/>
        </w:rPr>
        <w:t> </w:t>
      </w:r>
      <w:r>
        <w:rPr/>
        <w:t>for</w:t>
      </w:r>
      <w:r>
        <w:rPr>
          <w:spacing w:val="-13"/>
        </w:rPr>
        <w:t> </w:t>
      </w:r>
      <w:r>
        <w:rPr/>
        <w:t>procurement</w:t>
      </w:r>
      <w:r>
        <w:rPr>
          <w:spacing w:val="-13"/>
        </w:rPr>
        <w:t> </w:t>
      </w:r>
      <w:r>
        <w:rPr/>
        <w:t>contracts</w:t>
      </w:r>
      <w:r>
        <w:rPr>
          <w:spacing w:val="-12"/>
        </w:rPr>
        <w:t> </w:t>
      </w:r>
      <w:r>
        <w:rPr/>
        <w:t>and</w:t>
      </w:r>
      <w:r>
        <w:rPr>
          <w:spacing w:val="-13"/>
        </w:rPr>
        <w:t> </w:t>
      </w:r>
      <w:r>
        <w:rPr/>
        <w:t>PO’s,</w:t>
      </w:r>
      <w:r>
        <w:rPr>
          <w:spacing w:val="-12"/>
        </w:rPr>
        <w:t> </w:t>
      </w:r>
      <w:r>
        <w:rPr/>
        <w:t>to</w:t>
      </w:r>
      <w:r>
        <w:rPr>
          <w:spacing w:val="-14"/>
        </w:rPr>
        <w:t> </w:t>
      </w:r>
      <w:r>
        <w:rPr/>
        <w:t>ensure</w:t>
      </w:r>
      <w:r>
        <w:rPr>
          <w:spacing w:val="-11"/>
        </w:rPr>
        <w:t> </w:t>
      </w:r>
      <w:r>
        <w:rPr/>
        <w:t>appropriate</w:t>
      </w:r>
      <w:r>
        <w:rPr>
          <w:spacing w:val="-14"/>
        </w:rPr>
        <w:t> </w:t>
      </w:r>
      <w:r>
        <w:rPr/>
        <w:t>non-discrimination</w:t>
      </w:r>
      <w:r>
        <w:rPr>
          <w:spacing w:val="-12"/>
        </w:rPr>
        <w:t> </w:t>
      </w:r>
      <w:r>
        <w:rPr/>
        <w:t>clauses</w:t>
      </w:r>
      <w:r>
        <w:rPr>
          <w:spacing w:val="-12"/>
        </w:rPr>
        <w:t> </w:t>
      </w:r>
      <w:r>
        <w:rPr/>
        <w:t>are</w:t>
      </w:r>
      <w:r>
        <w:rPr>
          <w:spacing w:val="-12"/>
        </w:rPr>
        <w:t> </w:t>
      </w:r>
      <w:r>
        <w:rPr/>
        <w:t>included.</w:t>
      </w:r>
    </w:p>
    <w:p>
      <w:pPr>
        <w:spacing w:after="0"/>
        <w:jc w:val="both"/>
        <w:sectPr>
          <w:pgSz w:w="12240" w:h="15840"/>
          <w:pgMar w:header="0" w:footer="1063" w:top="960" w:bottom="1260" w:left="600" w:right="600"/>
        </w:sectPr>
      </w:pPr>
    </w:p>
    <w:p>
      <w:pPr>
        <w:pStyle w:val="Heading9"/>
        <w:spacing w:before="35"/>
        <w:jc w:val="both"/>
      </w:pPr>
      <w:r>
        <w:rPr/>
        <w:t>Subrecipient</w:t>
      </w:r>
      <w:r>
        <w:rPr>
          <w:spacing w:val="-4"/>
        </w:rPr>
        <w:t> </w:t>
      </w:r>
      <w:r>
        <w:rPr/>
        <w:t>Review </w:t>
      </w:r>
      <w:r>
        <w:rPr>
          <w:spacing w:val="-2"/>
        </w:rPr>
        <w:t>Procedures</w:t>
      </w:r>
    </w:p>
    <w:p>
      <w:pPr>
        <w:pStyle w:val="BodyText"/>
        <w:rPr>
          <w:b/>
        </w:rPr>
      </w:pPr>
    </w:p>
    <w:p>
      <w:pPr>
        <w:pStyle w:val="BodyText"/>
        <w:ind w:left="120" w:right="114"/>
        <w:jc w:val="both"/>
      </w:pPr>
      <w:r>
        <w:rPr/>
        <w:t>MaineDOT</w:t>
      </w:r>
      <w:r>
        <w:rPr>
          <w:spacing w:val="-8"/>
        </w:rPr>
        <w:t> </w:t>
      </w:r>
      <w:r>
        <w:rPr/>
        <w:t>will</w:t>
      </w:r>
      <w:r>
        <w:rPr>
          <w:spacing w:val="-6"/>
        </w:rPr>
        <w:t> </w:t>
      </w:r>
      <w:r>
        <w:rPr/>
        <w:t>update</w:t>
      </w:r>
      <w:r>
        <w:rPr>
          <w:spacing w:val="-6"/>
        </w:rPr>
        <w:t> </w:t>
      </w:r>
      <w:r>
        <w:rPr/>
        <w:t>its</w:t>
      </w:r>
      <w:r>
        <w:rPr>
          <w:spacing w:val="-9"/>
        </w:rPr>
        <w:t> </w:t>
      </w:r>
      <w:r>
        <w:rPr/>
        <w:t>list</w:t>
      </w:r>
      <w:r>
        <w:rPr>
          <w:spacing w:val="-5"/>
        </w:rPr>
        <w:t> </w:t>
      </w:r>
      <w:r>
        <w:rPr/>
        <w:t>of</w:t>
      </w:r>
      <w:r>
        <w:rPr>
          <w:spacing w:val="-5"/>
        </w:rPr>
        <w:t> </w:t>
      </w:r>
      <w:r>
        <w:rPr/>
        <w:t>subrecipients</w:t>
      </w:r>
      <w:r>
        <w:rPr>
          <w:spacing w:val="-9"/>
        </w:rPr>
        <w:t> </w:t>
      </w:r>
      <w:r>
        <w:rPr/>
        <w:t>every</w:t>
      </w:r>
      <w:r>
        <w:rPr>
          <w:spacing w:val="-7"/>
        </w:rPr>
        <w:t> </w:t>
      </w:r>
      <w:r>
        <w:rPr/>
        <w:t>three</w:t>
      </w:r>
      <w:r>
        <w:rPr>
          <w:spacing w:val="-8"/>
        </w:rPr>
        <w:t> </w:t>
      </w:r>
      <w:r>
        <w:rPr/>
        <w:t>years.</w:t>
      </w:r>
      <w:r>
        <w:rPr>
          <w:spacing w:val="40"/>
        </w:rPr>
        <w:t> </w:t>
      </w:r>
      <w:r>
        <w:rPr/>
        <w:t>MaineDOT</w:t>
      </w:r>
      <w:r>
        <w:rPr>
          <w:spacing w:val="-6"/>
        </w:rPr>
        <w:t> </w:t>
      </w:r>
      <w:r>
        <w:rPr/>
        <w:t>has</w:t>
      </w:r>
      <w:r>
        <w:rPr>
          <w:spacing w:val="-9"/>
        </w:rPr>
        <w:t> </w:t>
      </w:r>
      <w:r>
        <w:rPr/>
        <w:t>developed</w:t>
      </w:r>
      <w:r>
        <w:rPr>
          <w:spacing w:val="-8"/>
        </w:rPr>
        <w:t> </w:t>
      </w:r>
      <w:r>
        <w:rPr/>
        <w:t>a</w:t>
      </w:r>
      <w:r>
        <w:rPr>
          <w:spacing w:val="-6"/>
        </w:rPr>
        <w:t> </w:t>
      </w:r>
      <w:r>
        <w:rPr/>
        <w:t>review</w:t>
      </w:r>
      <w:r>
        <w:rPr>
          <w:spacing w:val="-8"/>
        </w:rPr>
        <w:t> </w:t>
      </w:r>
      <w:r>
        <w:rPr/>
        <w:t>process</w:t>
      </w:r>
      <w:r>
        <w:rPr>
          <w:spacing w:val="-7"/>
        </w:rPr>
        <w:t> </w:t>
      </w:r>
      <w:r>
        <w:rPr/>
        <w:t>for these</w:t>
      </w:r>
      <w:r>
        <w:rPr>
          <w:spacing w:val="-8"/>
        </w:rPr>
        <w:t> </w:t>
      </w:r>
      <w:r>
        <w:rPr/>
        <w:t>subrecipients.</w:t>
      </w:r>
      <w:r>
        <w:rPr>
          <w:spacing w:val="37"/>
        </w:rPr>
        <w:t> </w:t>
      </w:r>
      <w:r>
        <w:rPr/>
        <w:t>MaineDOT’s</w:t>
      </w:r>
      <w:r>
        <w:rPr>
          <w:spacing w:val="-9"/>
        </w:rPr>
        <w:t> </w:t>
      </w:r>
      <w:r>
        <w:rPr/>
        <w:t>checklist</w:t>
      </w:r>
      <w:r>
        <w:rPr>
          <w:spacing w:val="-8"/>
        </w:rPr>
        <w:t> </w:t>
      </w:r>
      <w:r>
        <w:rPr/>
        <w:t>for</w:t>
      </w:r>
      <w:r>
        <w:rPr>
          <w:spacing w:val="-8"/>
        </w:rPr>
        <w:t> </w:t>
      </w:r>
      <w:r>
        <w:rPr/>
        <w:t>conducting</w:t>
      </w:r>
      <w:r>
        <w:rPr>
          <w:spacing w:val="-7"/>
        </w:rPr>
        <w:t> </w:t>
      </w:r>
      <w:r>
        <w:rPr/>
        <w:t>Title</w:t>
      </w:r>
      <w:r>
        <w:rPr>
          <w:spacing w:val="-8"/>
        </w:rPr>
        <w:t> </w:t>
      </w:r>
      <w:r>
        <w:rPr/>
        <w:t>VI</w:t>
      </w:r>
      <w:r>
        <w:rPr>
          <w:spacing w:val="-7"/>
        </w:rPr>
        <w:t> </w:t>
      </w:r>
      <w:r>
        <w:rPr/>
        <w:t>reviews</w:t>
      </w:r>
      <w:r>
        <w:rPr>
          <w:spacing w:val="-9"/>
        </w:rPr>
        <w:t> </w:t>
      </w:r>
      <w:r>
        <w:rPr/>
        <w:t>and</w:t>
      </w:r>
      <w:r>
        <w:rPr>
          <w:spacing w:val="-8"/>
        </w:rPr>
        <w:t> </w:t>
      </w:r>
      <w:r>
        <w:rPr/>
        <w:t>a</w:t>
      </w:r>
      <w:r>
        <w:rPr>
          <w:spacing w:val="-6"/>
        </w:rPr>
        <w:t> </w:t>
      </w:r>
      <w:r>
        <w:rPr/>
        <w:t>sample</w:t>
      </w:r>
      <w:r>
        <w:rPr>
          <w:spacing w:val="-8"/>
        </w:rPr>
        <w:t> </w:t>
      </w:r>
      <w:r>
        <w:rPr/>
        <w:t>of</w:t>
      </w:r>
      <w:r>
        <w:rPr>
          <w:spacing w:val="-8"/>
        </w:rPr>
        <w:t> </w:t>
      </w:r>
      <w:r>
        <w:rPr/>
        <w:t>questions</w:t>
      </w:r>
      <w:r>
        <w:rPr>
          <w:spacing w:val="-9"/>
        </w:rPr>
        <w:t> </w:t>
      </w:r>
      <w:r>
        <w:rPr/>
        <w:t>MaineDOT asks during subrecipient reviews are attached in </w:t>
      </w:r>
      <w:r>
        <w:rPr>
          <w:b/>
        </w:rPr>
        <w:t>Appendix III</w:t>
      </w:r>
      <w:r>
        <w:rPr/>
        <w:t>, entitled FTA Compliance Subrecipient Self- Certification Checklist.</w:t>
      </w:r>
    </w:p>
    <w:p>
      <w:pPr>
        <w:spacing w:after="0"/>
        <w:jc w:val="both"/>
        <w:sectPr>
          <w:pgSz w:w="12240" w:h="15840"/>
          <w:pgMar w:header="0" w:footer="1063" w:top="960" w:bottom="1260" w:left="600" w:right="600"/>
        </w:sectPr>
      </w:pPr>
    </w:p>
    <w:p>
      <w:pPr>
        <w:pStyle w:val="Heading9"/>
        <w:spacing w:before="35"/>
      </w:pPr>
      <w:r>
        <w:rPr/>
        <w:t>Subrecipient</w:t>
      </w:r>
      <w:r>
        <w:rPr>
          <w:spacing w:val="-4"/>
        </w:rPr>
        <w:t> </w:t>
      </w:r>
      <w:r>
        <w:rPr/>
        <w:t>Reviews</w:t>
      </w:r>
      <w:r>
        <w:rPr>
          <w:spacing w:val="-1"/>
        </w:rPr>
        <w:t> </w:t>
      </w:r>
      <w:r>
        <w:rPr>
          <w:spacing w:val="-2"/>
        </w:rPr>
        <w:t>List:</w:t>
      </w:r>
    </w:p>
    <w:p>
      <w:pPr>
        <w:pStyle w:val="BodyText"/>
        <w:spacing w:before="1"/>
        <w:rPr>
          <w:b/>
          <w:sz w:val="22"/>
        </w:rPr>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1399"/>
        <w:gridCol w:w="1029"/>
        <w:gridCol w:w="1867"/>
        <w:gridCol w:w="1320"/>
        <w:gridCol w:w="1253"/>
        <w:gridCol w:w="1001"/>
      </w:tblGrid>
      <w:tr>
        <w:trPr>
          <w:trHeight w:val="1465" w:hRule="atLeast"/>
        </w:trPr>
        <w:tc>
          <w:tcPr>
            <w:tcW w:w="2311" w:type="dxa"/>
            <w:shd w:val="clear" w:color="auto" w:fill="D9D9D9"/>
          </w:tcPr>
          <w:p>
            <w:pPr>
              <w:pStyle w:val="TableParagraph"/>
              <w:spacing w:line="240" w:lineRule="auto" w:before="1"/>
              <w:ind w:left="184" w:right="173" w:hanging="1"/>
              <w:jc w:val="center"/>
              <w:rPr>
                <w:rFonts w:ascii="Calibri"/>
                <w:b/>
                <w:sz w:val="24"/>
              </w:rPr>
            </w:pPr>
            <w:r>
              <w:rPr>
                <w:rFonts w:ascii="Calibri"/>
                <w:b/>
                <w:sz w:val="24"/>
              </w:rPr>
              <w:t>5311 Sub-Grantees Site</w:t>
            </w:r>
            <w:r>
              <w:rPr>
                <w:rFonts w:ascii="Calibri"/>
                <w:b/>
                <w:spacing w:val="-14"/>
                <w:sz w:val="24"/>
              </w:rPr>
              <w:t> </w:t>
            </w:r>
            <w:r>
              <w:rPr>
                <w:rFonts w:ascii="Calibri"/>
                <w:b/>
                <w:sz w:val="24"/>
              </w:rPr>
              <w:t>Visit</w:t>
            </w:r>
            <w:r>
              <w:rPr>
                <w:rFonts w:ascii="Calibri"/>
                <w:b/>
                <w:spacing w:val="-14"/>
                <w:sz w:val="24"/>
              </w:rPr>
              <w:t> </w:t>
            </w:r>
            <w:r>
              <w:rPr>
                <w:rFonts w:ascii="Calibri"/>
                <w:b/>
                <w:sz w:val="24"/>
              </w:rPr>
              <w:t>Summary: </w:t>
            </w:r>
            <w:r>
              <w:rPr>
                <w:rFonts w:ascii="Calibri"/>
                <w:b/>
                <w:spacing w:val="-4"/>
                <w:sz w:val="24"/>
              </w:rPr>
              <w:t>2023</w:t>
            </w:r>
          </w:p>
        </w:tc>
        <w:tc>
          <w:tcPr>
            <w:tcW w:w="1399" w:type="dxa"/>
            <w:shd w:val="clear" w:color="auto" w:fill="D9D9D9"/>
          </w:tcPr>
          <w:p>
            <w:pPr>
              <w:pStyle w:val="TableParagraph"/>
              <w:spacing w:line="240" w:lineRule="auto" w:before="1"/>
              <w:ind w:left="264" w:right="252" w:hanging="1"/>
              <w:jc w:val="center"/>
              <w:rPr>
                <w:rFonts w:ascii="Calibri"/>
                <w:b/>
                <w:sz w:val="24"/>
              </w:rPr>
            </w:pPr>
            <w:r>
              <w:rPr>
                <w:rFonts w:ascii="Calibri"/>
                <w:b/>
                <w:sz w:val="24"/>
              </w:rPr>
              <w:t>Last Full Site</w:t>
            </w:r>
            <w:r>
              <w:rPr>
                <w:rFonts w:ascii="Calibri"/>
                <w:b/>
                <w:spacing w:val="-14"/>
                <w:sz w:val="24"/>
              </w:rPr>
              <w:t> </w:t>
            </w:r>
            <w:r>
              <w:rPr>
                <w:rFonts w:ascii="Calibri"/>
                <w:b/>
                <w:sz w:val="24"/>
              </w:rPr>
              <w:t>Visit </w:t>
            </w:r>
            <w:r>
              <w:rPr>
                <w:rFonts w:ascii="Calibri"/>
                <w:b/>
                <w:spacing w:val="-4"/>
                <w:sz w:val="24"/>
              </w:rPr>
              <w:t>Date</w:t>
            </w:r>
          </w:p>
        </w:tc>
        <w:tc>
          <w:tcPr>
            <w:tcW w:w="1029" w:type="dxa"/>
            <w:shd w:val="clear" w:color="auto" w:fill="D9D9D9"/>
          </w:tcPr>
          <w:p>
            <w:pPr>
              <w:pStyle w:val="TableParagraph"/>
              <w:spacing w:line="240" w:lineRule="auto" w:before="1"/>
              <w:ind w:left="218"/>
              <w:rPr>
                <w:rFonts w:ascii="Calibri"/>
                <w:b/>
                <w:sz w:val="24"/>
              </w:rPr>
            </w:pPr>
            <w:r>
              <w:rPr>
                <w:rFonts w:ascii="Calibri"/>
                <w:b/>
                <w:spacing w:val="-4"/>
                <w:sz w:val="24"/>
              </w:rPr>
              <w:t>Mode</w:t>
            </w:r>
          </w:p>
        </w:tc>
        <w:tc>
          <w:tcPr>
            <w:tcW w:w="1867" w:type="dxa"/>
            <w:shd w:val="clear" w:color="auto" w:fill="D9D9D9"/>
          </w:tcPr>
          <w:p>
            <w:pPr>
              <w:pStyle w:val="TableParagraph"/>
              <w:spacing w:line="240" w:lineRule="auto" w:before="1"/>
              <w:ind w:left="320" w:right="256" w:hanging="48"/>
              <w:rPr>
                <w:rFonts w:ascii="Calibri"/>
                <w:b/>
                <w:sz w:val="24"/>
              </w:rPr>
            </w:pPr>
            <w:r>
              <w:rPr>
                <w:rFonts w:ascii="Calibri"/>
                <w:b/>
                <w:sz w:val="24"/>
              </w:rPr>
              <w:t>Received</w:t>
            </w:r>
            <w:r>
              <w:rPr>
                <w:rFonts w:ascii="Calibri"/>
                <w:b/>
                <w:spacing w:val="-14"/>
                <w:sz w:val="24"/>
              </w:rPr>
              <w:t> </w:t>
            </w:r>
            <w:r>
              <w:rPr>
                <w:rFonts w:ascii="Calibri"/>
                <w:b/>
                <w:sz w:val="24"/>
              </w:rPr>
              <w:t>Self </w:t>
            </w:r>
            <w:r>
              <w:rPr>
                <w:rFonts w:ascii="Calibri"/>
                <w:b/>
                <w:spacing w:val="-2"/>
                <w:sz w:val="24"/>
              </w:rPr>
              <w:t>Certification</w:t>
            </w:r>
          </w:p>
        </w:tc>
        <w:tc>
          <w:tcPr>
            <w:tcW w:w="1320" w:type="dxa"/>
            <w:shd w:val="clear" w:color="auto" w:fill="D9D9D9"/>
          </w:tcPr>
          <w:p>
            <w:pPr>
              <w:pStyle w:val="TableParagraph"/>
              <w:spacing w:line="240" w:lineRule="auto" w:before="1"/>
              <w:ind w:left="169"/>
              <w:rPr>
                <w:rFonts w:ascii="Calibri"/>
                <w:b/>
                <w:sz w:val="24"/>
              </w:rPr>
            </w:pPr>
            <w:r>
              <w:rPr>
                <w:rFonts w:ascii="Calibri"/>
                <w:b/>
                <w:spacing w:val="-2"/>
                <w:sz w:val="24"/>
              </w:rPr>
              <w:t>Approved</w:t>
            </w:r>
          </w:p>
        </w:tc>
        <w:tc>
          <w:tcPr>
            <w:tcW w:w="1253" w:type="dxa"/>
            <w:shd w:val="clear" w:color="auto" w:fill="D9D9D9"/>
          </w:tcPr>
          <w:p>
            <w:pPr>
              <w:pStyle w:val="TableParagraph"/>
              <w:spacing w:line="240" w:lineRule="auto" w:before="1"/>
              <w:ind w:left="98" w:right="87"/>
              <w:jc w:val="center"/>
              <w:rPr>
                <w:rFonts w:ascii="Calibri"/>
                <w:b/>
                <w:sz w:val="24"/>
              </w:rPr>
            </w:pPr>
            <w:r>
              <w:rPr>
                <w:rFonts w:ascii="Calibri"/>
                <w:b/>
                <w:spacing w:val="-2"/>
                <w:sz w:val="24"/>
              </w:rPr>
              <w:t>Closed</w:t>
            </w:r>
          </w:p>
        </w:tc>
        <w:tc>
          <w:tcPr>
            <w:tcW w:w="1001" w:type="dxa"/>
            <w:shd w:val="clear" w:color="auto" w:fill="D9D9D9"/>
          </w:tcPr>
          <w:p>
            <w:pPr>
              <w:pStyle w:val="TableParagraph"/>
              <w:spacing w:line="290" w:lineRule="atLeast"/>
              <w:ind w:left="281" w:right="251" w:hanging="17"/>
              <w:jc w:val="both"/>
              <w:rPr>
                <w:rFonts w:ascii="Calibri"/>
                <w:b/>
                <w:sz w:val="24"/>
              </w:rPr>
            </w:pPr>
            <w:r>
              <w:rPr>
                <w:rFonts w:ascii="Calibri"/>
                <w:b/>
                <w:spacing w:val="-4"/>
                <w:sz w:val="24"/>
              </w:rPr>
              <w:t>Next Full Site </w:t>
            </w:r>
            <w:r>
              <w:rPr>
                <w:rFonts w:ascii="Calibri"/>
                <w:b/>
                <w:spacing w:val="-2"/>
                <w:sz w:val="24"/>
              </w:rPr>
              <w:t>Visit </w:t>
            </w:r>
            <w:r>
              <w:rPr>
                <w:rFonts w:ascii="Calibri"/>
                <w:b/>
                <w:spacing w:val="-4"/>
                <w:sz w:val="24"/>
              </w:rPr>
              <w:t>Due</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5"/>
                <w:sz w:val="24"/>
              </w:rPr>
              <w:t>One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7" w:hRule="atLeast"/>
        </w:trPr>
        <w:tc>
          <w:tcPr>
            <w:tcW w:w="2311" w:type="dxa"/>
          </w:tcPr>
          <w:p>
            <w:pPr>
              <w:pStyle w:val="TableParagraph"/>
              <w:spacing w:line="292" w:lineRule="exact"/>
              <w:ind w:left="107"/>
              <w:rPr>
                <w:rFonts w:ascii="Calibri"/>
                <w:sz w:val="24"/>
              </w:rPr>
            </w:pPr>
            <w:r>
              <w:rPr>
                <w:rFonts w:ascii="Calibri"/>
                <w:sz w:val="24"/>
              </w:rPr>
              <w:t>Aroostook</w:t>
            </w:r>
            <w:r>
              <w:rPr>
                <w:rFonts w:ascii="Calibri"/>
                <w:spacing w:val="-3"/>
                <w:sz w:val="24"/>
              </w:rPr>
              <w:t> </w:t>
            </w:r>
            <w:r>
              <w:rPr>
                <w:rFonts w:ascii="Calibri"/>
                <w:spacing w:val="-2"/>
                <w:sz w:val="24"/>
              </w:rPr>
              <w:t>Regional</w:t>
            </w:r>
          </w:p>
          <w:p>
            <w:pPr>
              <w:pStyle w:val="TableParagraph"/>
              <w:spacing w:line="290" w:lineRule="atLeast"/>
              <w:ind w:left="107" w:right="173"/>
              <w:rPr>
                <w:rFonts w:ascii="Calibri"/>
                <w:sz w:val="24"/>
              </w:rPr>
            </w:pPr>
            <w:r>
              <w:rPr>
                <w:rFonts w:ascii="Calibri"/>
                <w:spacing w:val="-2"/>
                <w:sz w:val="24"/>
              </w:rPr>
              <w:t>Transportation </w:t>
            </w:r>
            <w:r>
              <w:rPr>
                <w:rFonts w:ascii="Calibri"/>
                <w:sz w:val="24"/>
              </w:rPr>
              <w:t>System (ARTS)</w:t>
            </w:r>
          </w:p>
        </w:tc>
        <w:tc>
          <w:tcPr>
            <w:tcW w:w="1399" w:type="dxa"/>
          </w:tcPr>
          <w:p>
            <w:pPr>
              <w:pStyle w:val="TableParagraph"/>
              <w:spacing w:line="292" w:lineRule="exact"/>
              <w:ind w:left="108"/>
              <w:rPr>
                <w:rFonts w:ascii="Calibri"/>
                <w:sz w:val="24"/>
              </w:rPr>
            </w:pPr>
            <w:r>
              <w:rPr>
                <w:rFonts w:ascii="Calibri"/>
                <w:spacing w:val="-2"/>
                <w:sz w:val="24"/>
              </w:rPr>
              <w:t>4/12/2022</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5/1/2023</w:t>
            </w:r>
          </w:p>
        </w:tc>
        <w:tc>
          <w:tcPr>
            <w:tcW w:w="1320" w:type="dxa"/>
          </w:tcPr>
          <w:p>
            <w:pPr>
              <w:pStyle w:val="TableParagraph"/>
              <w:spacing w:line="292" w:lineRule="exact"/>
              <w:ind w:left="109"/>
              <w:rPr>
                <w:rFonts w:ascii="Calibri"/>
                <w:sz w:val="24"/>
              </w:rPr>
            </w:pPr>
            <w:r>
              <w:rPr>
                <w:rFonts w:ascii="Calibri"/>
                <w:spacing w:val="-2"/>
                <w:sz w:val="24"/>
              </w:rPr>
              <w:t>5/1/2023</w:t>
            </w:r>
          </w:p>
        </w:tc>
        <w:tc>
          <w:tcPr>
            <w:tcW w:w="1253" w:type="dxa"/>
          </w:tcPr>
          <w:p>
            <w:pPr>
              <w:pStyle w:val="TableParagraph"/>
              <w:spacing w:line="292" w:lineRule="exact"/>
              <w:ind w:left="98" w:right="205"/>
              <w:jc w:val="center"/>
              <w:rPr>
                <w:rFonts w:ascii="Calibri"/>
                <w:sz w:val="24"/>
              </w:rPr>
            </w:pPr>
            <w:r>
              <w:rPr>
                <w:rFonts w:ascii="Calibri"/>
                <w:spacing w:val="-2"/>
                <w:sz w:val="24"/>
              </w:rPr>
              <w:t>5/1/2023</w:t>
            </w:r>
          </w:p>
        </w:tc>
        <w:tc>
          <w:tcPr>
            <w:tcW w:w="1001" w:type="dxa"/>
          </w:tcPr>
          <w:p>
            <w:pPr>
              <w:pStyle w:val="TableParagraph"/>
              <w:spacing w:line="292" w:lineRule="exact"/>
              <w:ind w:left="108"/>
              <w:rPr>
                <w:rFonts w:ascii="Calibri"/>
                <w:sz w:val="24"/>
              </w:rPr>
            </w:pPr>
            <w:r>
              <w:rPr>
                <w:rFonts w:ascii="Calibri"/>
                <w:spacing w:val="-4"/>
                <w:sz w:val="24"/>
              </w:rPr>
              <w:t>2027</w:t>
            </w:r>
          </w:p>
        </w:tc>
      </w:tr>
      <w:tr>
        <w:trPr>
          <w:trHeight w:val="314" w:hRule="atLeast"/>
        </w:trPr>
        <w:tc>
          <w:tcPr>
            <w:tcW w:w="2311" w:type="dxa"/>
            <w:shd w:val="clear" w:color="auto" w:fill="D9D9D9"/>
          </w:tcPr>
          <w:p>
            <w:pPr>
              <w:pStyle w:val="TableParagraph"/>
              <w:spacing w:line="292" w:lineRule="exact" w:before="1"/>
              <w:ind w:left="107"/>
              <w:rPr>
                <w:rFonts w:ascii="Calibri"/>
                <w:b/>
                <w:sz w:val="24"/>
              </w:rPr>
            </w:pPr>
            <w:r>
              <w:rPr>
                <w:rFonts w:ascii="Calibri"/>
                <w:b/>
                <w:sz w:val="24"/>
              </w:rPr>
              <w:t>Region</w:t>
            </w:r>
            <w:r>
              <w:rPr>
                <w:rFonts w:ascii="Calibri"/>
                <w:b/>
                <w:spacing w:val="-1"/>
                <w:sz w:val="24"/>
              </w:rPr>
              <w:t> </w:t>
            </w:r>
            <w:r>
              <w:rPr>
                <w:rFonts w:ascii="Calibri"/>
                <w:b/>
                <w:spacing w:val="-5"/>
                <w:sz w:val="24"/>
              </w:rPr>
              <w:t>Two</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40" w:lineRule="auto"/>
              <w:ind w:left="107" w:right="173"/>
              <w:rPr>
                <w:rFonts w:ascii="Calibri"/>
                <w:sz w:val="24"/>
              </w:rPr>
            </w:pPr>
            <w:r>
              <w:rPr>
                <w:rFonts w:ascii="Calibri"/>
                <w:spacing w:val="-2"/>
                <w:sz w:val="24"/>
              </w:rPr>
              <w:t>Downeast </w:t>
            </w:r>
            <w:r>
              <w:rPr>
                <w:rFonts w:ascii="Calibri"/>
                <w:sz w:val="24"/>
              </w:rPr>
              <w:t>Community</w:t>
            </w:r>
            <w:r>
              <w:rPr>
                <w:rFonts w:ascii="Calibri"/>
                <w:spacing w:val="-14"/>
                <w:sz w:val="24"/>
              </w:rPr>
              <w:t> </w:t>
            </w:r>
            <w:r>
              <w:rPr>
                <w:rFonts w:ascii="Calibri"/>
                <w:sz w:val="24"/>
              </w:rPr>
              <w:t>Partners</w:t>
            </w:r>
          </w:p>
          <w:p>
            <w:pPr>
              <w:pStyle w:val="TableParagraph"/>
              <w:spacing w:line="273" w:lineRule="exact"/>
              <w:ind w:left="107"/>
              <w:rPr>
                <w:rFonts w:ascii="Calibri"/>
                <w:sz w:val="24"/>
              </w:rPr>
            </w:pPr>
            <w:r>
              <w:rPr>
                <w:rFonts w:ascii="Calibri"/>
                <w:spacing w:val="-4"/>
                <w:sz w:val="24"/>
              </w:rPr>
              <w:t>(DCP)</w:t>
            </w:r>
          </w:p>
        </w:tc>
        <w:tc>
          <w:tcPr>
            <w:tcW w:w="1399" w:type="dxa"/>
          </w:tcPr>
          <w:p>
            <w:pPr>
              <w:pStyle w:val="TableParagraph"/>
              <w:spacing w:line="292" w:lineRule="exact"/>
              <w:ind w:left="108"/>
              <w:rPr>
                <w:rFonts w:ascii="Calibri"/>
                <w:sz w:val="24"/>
              </w:rPr>
            </w:pPr>
            <w:r>
              <w:rPr>
                <w:rFonts w:ascii="Calibri"/>
                <w:spacing w:val="-2"/>
                <w:sz w:val="24"/>
              </w:rPr>
              <w:t>2/25/2021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4/13/2023</w:t>
            </w:r>
          </w:p>
        </w:tc>
        <w:tc>
          <w:tcPr>
            <w:tcW w:w="1320" w:type="dxa"/>
          </w:tcPr>
          <w:p>
            <w:pPr>
              <w:pStyle w:val="TableParagraph"/>
              <w:spacing w:line="292" w:lineRule="exact"/>
              <w:ind w:left="109"/>
              <w:rPr>
                <w:rFonts w:ascii="Calibri"/>
                <w:sz w:val="24"/>
              </w:rPr>
            </w:pPr>
            <w:r>
              <w:rPr>
                <w:rFonts w:ascii="Calibri"/>
                <w:spacing w:val="-2"/>
                <w:sz w:val="24"/>
              </w:rPr>
              <w:t>4/13/2023</w:t>
            </w:r>
          </w:p>
        </w:tc>
        <w:tc>
          <w:tcPr>
            <w:tcW w:w="1253" w:type="dxa"/>
          </w:tcPr>
          <w:p>
            <w:pPr>
              <w:pStyle w:val="TableParagraph"/>
              <w:spacing w:line="292" w:lineRule="exact"/>
              <w:ind w:left="98" w:right="84"/>
              <w:jc w:val="center"/>
              <w:rPr>
                <w:rFonts w:ascii="Calibri"/>
                <w:sz w:val="24"/>
              </w:rPr>
            </w:pPr>
            <w:r>
              <w:rPr>
                <w:rFonts w:ascii="Calibri"/>
                <w:spacing w:val="-2"/>
                <w:sz w:val="24"/>
              </w:rPr>
              <w:t>4/13/2023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585" w:hRule="atLeast"/>
        </w:trPr>
        <w:tc>
          <w:tcPr>
            <w:tcW w:w="2311" w:type="dxa"/>
          </w:tcPr>
          <w:p>
            <w:pPr>
              <w:pStyle w:val="TableParagraph"/>
              <w:spacing w:line="292" w:lineRule="exact"/>
              <w:ind w:left="107"/>
              <w:rPr>
                <w:rFonts w:ascii="Calibri"/>
                <w:sz w:val="24"/>
              </w:rPr>
            </w:pPr>
            <w:r>
              <w:rPr>
                <w:rFonts w:ascii="Calibri"/>
                <w:spacing w:val="-2"/>
                <w:sz w:val="24"/>
              </w:rPr>
              <w:t>Downeast</w:t>
            </w:r>
          </w:p>
          <w:p>
            <w:pPr>
              <w:pStyle w:val="TableParagraph"/>
              <w:spacing w:line="273" w:lineRule="exact"/>
              <w:ind w:left="107"/>
              <w:rPr>
                <w:rFonts w:ascii="Calibri"/>
                <w:sz w:val="24"/>
              </w:rPr>
            </w:pPr>
            <w:r>
              <w:rPr>
                <w:rFonts w:ascii="Calibri"/>
                <w:sz w:val="24"/>
              </w:rPr>
              <w:t>Transportation</w:t>
            </w:r>
            <w:r>
              <w:rPr>
                <w:rFonts w:ascii="Calibri"/>
                <w:spacing w:val="-5"/>
                <w:sz w:val="24"/>
              </w:rPr>
              <w:t> </w:t>
            </w:r>
            <w:r>
              <w:rPr>
                <w:rFonts w:ascii="Calibri"/>
                <w:spacing w:val="-4"/>
                <w:sz w:val="24"/>
              </w:rPr>
              <w:t>(DTI)</w:t>
            </w:r>
          </w:p>
        </w:tc>
        <w:tc>
          <w:tcPr>
            <w:tcW w:w="1399" w:type="dxa"/>
          </w:tcPr>
          <w:p>
            <w:pPr>
              <w:pStyle w:val="TableParagraph"/>
              <w:spacing w:line="292" w:lineRule="exact"/>
              <w:ind w:left="108"/>
              <w:rPr>
                <w:rFonts w:ascii="Calibri"/>
                <w:sz w:val="24"/>
              </w:rPr>
            </w:pPr>
            <w:r>
              <w:rPr>
                <w:rFonts w:ascii="Calibri"/>
                <w:spacing w:val="-2"/>
                <w:sz w:val="24"/>
              </w:rPr>
              <w:t>5/19/2021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40" w:lineRule="auto"/>
              <w:rPr>
                <w:sz w:val="24"/>
              </w:rPr>
            </w:pPr>
          </w:p>
        </w:tc>
        <w:tc>
          <w:tcPr>
            <w:tcW w:w="1320" w:type="dxa"/>
          </w:tcPr>
          <w:p>
            <w:pPr>
              <w:pStyle w:val="TableParagraph"/>
              <w:spacing w:line="240" w:lineRule="auto"/>
              <w:rPr>
                <w:sz w:val="24"/>
              </w:rPr>
            </w:pPr>
          </w:p>
        </w:tc>
        <w:tc>
          <w:tcPr>
            <w:tcW w:w="1253" w:type="dxa"/>
          </w:tcPr>
          <w:p>
            <w:pPr>
              <w:pStyle w:val="TableParagraph"/>
              <w:spacing w:line="240" w:lineRule="auto"/>
              <w:rPr>
                <w:sz w:val="24"/>
              </w:rPr>
            </w:pP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587" w:hRule="atLeast"/>
        </w:trPr>
        <w:tc>
          <w:tcPr>
            <w:tcW w:w="2311" w:type="dxa"/>
          </w:tcPr>
          <w:p>
            <w:pPr>
              <w:pStyle w:val="TableParagraph"/>
              <w:spacing w:line="292" w:lineRule="exact"/>
              <w:ind w:left="107"/>
              <w:rPr>
                <w:rFonts w:ascii="Calibri" w:hAnsi="Calibri"/>
                <w:sz w:val="24"/>
              </w:rPr>
            </w:pPr>
            <w:r>
              <w:rPr>
                <w:rFonts w:ascii="Calibri" w:hAnsi="Calibri"/>
                <w:spacing w:val="-2"/>
                <w:sz w:val="24"/>
              </w:rPr>
              <w:t>West’s</w:t>
            </w:r>
          </w:p>
          <w:p>
            <w:pPr>
              <w:pStyle w:val="TableParagraph"/>
              <w:spacing w:line="273" w:lineRule="exact" w:before="2"/>
              <w:ind w:left="107"/>
              <w:rPr>
                <w:rFonts w:ascii="Calibri"/>
                <w:sz w:val="24"/>
              </w:rPr>
            </w:pPr>
            <w:r>
              <w:rPr>
                <w:rFonts w:ascii="Calibri"/>
                <w:spacing w:val="-2"/>
                <w:sz w:val="24"/>
              </w:rPr>
              <w:t>Transportation</w:t>
            </w:r>
          </w:p>
        </w:tc>
        <w:tc>
          <w:tcPr>
            <w:tcW w:w="1399" w:type="dxa"/>
          </w:tcPr>
          <w:p>
            <w:pPr>
              <w:pStyle w:val="TableParagraph"/>
              <w:spacing w:line="292" w:lineRule="exact"/>
              <w:ind w:left="108"/>
              <w:rPr>
                <w:rFonts w:ascii="Calibri"/>
                <w:sz w:val="24"/>
              </w:rPr>
            </w:pPr>
            <w:r>
              <w:rPr>
                <w:rFonts w:ascii="Calibri"/>
                <w:spacing w:val="-2"/>
                <w:sz w:val="24"/>
              </w:rPr>
              <w:t>5/27/2021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9/14/2023</w:t>
            </w:r>
          </w:p>
        </w:tc>
        <w:tc>
          <w:tcPr>
            <w:tcW w:w="1320" w:type="dxa"/>
          </w:tcPr>
          <w:p>
            <w:pPr>
              <w:pStyle w:val="TableParagraph"/>
              <w:spacing w:line="292" w:lineRule="exact"/>
              <w:ind w:left="109"/>
              <w:rPr>
                <w:rFonts w:ascii="Calibri"/>
                <w:sz w:val="24"/>
              </w:rPr>
            </w:pPr>
            <w:r>
              <w:rPr>
                <w:rFonts w:ascii="Calibri"/>
                <w:spacing w:val="-2"/>
                <w:sz w:val="24"/>
              </w:rPr>
              <w:t>9/14/2023</w:t>
            </w:r>
          </w:p>
        </w:tc>
        <w:tc>
          <w:tcPr>
            <w:tcW w:w="1253" w:type="dxa"/>
          </w:tcPr>
          <w:p>
            <w:pPr>
              <w:pStyle w:val="TableParagraph"/>
              <w:spacing w:line="292" w:lineRule="exact"/>
              <w:ind w:left="98" w:right="84"/>
              <w:jc w:val="center"/>
              <w:rPr>
                <w:rFonts w:ascii="Calibri"/>
                <w:sz w:val="24"/>
              </w:rPr>
            </w:pPr>
            <w:r>
              <w:rPr>
                <w:rFonts w:ascii="Calibri"/>
                <w:spacing w:val="-2"/>
                <w:sz w:val="24"/>
              </w:rPr>
              <w:t>9/14/2023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3"/>
                <w:sz w:val="24"/>
              </w:rPr>
              <w:t> </w:t>
            </w:r>
            <w:r>
              <w:rPr>
                <w:rFonts w:ascii="Calibri"/>
                <w:b/>
                <w:spacing w:val="-4"/>
                <w:sz w:val="24"/>
              </w:rPr>
              <w:t>Three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311" w:hRule="atLeast"/>
        </w:trPr>
        <w:tc>
          <w:tcPr>
            <w:tcW w:w="2311" w:type="dxa"/>
          </w:tcPr>
          <w:p>
            <w:pPr>
              <w:pStyle w:val="TableParagraph"/>
              <w:spacing w:line="292" w:lineRule="exact"/>
              <w:ind w:left="107"/>
              <w:rPr>
                <w:rFonts w:ascii="Calibri"/>
                <w:sz w:val="24"/>
              </w:rPr>
            </w:pPr>
            <w:r>
              <w:rPr>
                <w:rFonts w:ascii="Calibri"/>
                <w:sz w:val="24"/>
              </w:rPr>
              <w:t>Penquis</w:t>
            </w:r>
            <w:r>
              <w:rPr>
                <w:rFonts w:ascii="Calibri"/>
                <w:spacing w:val="-3"/>
                <w:sz w:val="24"/>
              </w:rPr>
              <w:t> </w:t>
            </w:r>
            <w:r>
              <w:rPr>
                <w:rFonts w:ascii="Calibri"/>
                <w:sz w:val="24"/>
              </w:rPr>
              <w:t>(The </w:t>
            </w:r>
            <w:r>
              <w:rPr>
                <w:rFonts w:ascii="Calibri"/>
                <w:spacing w:val="-4"/>
                <w:sz w:val="24"/>
              </w:rPr>
              <w:t>Lynx)</w:t>
            </w:r>
          </w:p>
        </w:tc>
        <w:tc>
          <w:tcPr>
            <w:tcW w:w="1399" w:type="dxa"/>
          </w:tcPr>
          <w:p>
            <w:pPr>
              <w:pStyle w:val="TableParagraph"/>
              <w:spacing w:line="292" w:lineRule="exact"/>
              <w:ind w:left="108"/>
              <w:rPr>
                <w:rFonts w:ascii="Calibri"/>
                <w:sz w:val="24"/>
              </w:rPr>
            </w:pPr>
            <w:r>
              <w:rPr>
                <w:rFonts w:ascii="Calibri"/>
                <w:spacing w:val="-2"/>
                <w:sz w:val="24"/>
              </w:rPr>
              <w:t>11/4/2021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3/23/2023</w:t>
            </w:r>
          </w:p>
        </w:tc>
        <w:tc>
          <w:tcPr>
            <w:tcW w:w="1320" w:type="dxa"/>
          </w:tcPr>
          <w:p>
            <w:pPr>
              <w:pStyle w:val="TableParagraph"/>
              <w:spacing w:line="292" w:lineRule="exact"/>
              <w:ind w:left="109"/>
              <w:rPr>
                <w:rFonts w:ascii="Calibri"/>
                <w:sz w:val="24"/>
              </w:rPr>
            </w:pPr>
            <w:r>
              <w:rPr>
                <w:rFonts w:ascii="Calibri"/>
                <w:spacing w:val="-2"/>
                <w:sz w:val="24"/>
              </w:rPr>
              <w:t>3/27/2023</w:t>
            </w:r>
          </w:p>
        </w:tc>
        <w:tc>
          <w:tcPr>
            <w:tcW w:w="1253" w:type="dxa"/>
          </w:tcPr>
          <w:p>
            <w:pPr>
              <w:pStyle w:val="TableParagraph"/>
              <w:spacing w:line="292" w:lineRule="exact"/>
              <w:ind w:left="98" w:right="84"/>
              <w:jc w:val="center"/>
              <w:rPr>
                <w:rFonts w:ascii="Calibri"/>
                <w:sz w:val="24"/>
              </w:rPr>
            </w:pPr>
            <w:r>
              <w:rPr>
                <w:rFonts w:ascii="Calibri"/>
                <w:spacing w:val="-2"/>
                <w:sz w:val="24"/>
              </w:rPr>
              <w:t>3/27/2023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4"/>
                <w:sz w:val="24"/>
              </w:rPr>
              <w:t>Four</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92" w:lineRule="exact"/>
              <w:ind w:left="107"/>
              <w:rPr>
                <w:rFonts w:ascii="Calibri"/>
                <w:sz w:val="24"/>
              </w:rPr>
            </w:pPr>
            <w:r>
              <w:rPr>
                <w:rFonts w:ascii="Calibri"/>
                <w:sz w:val="24"/>
              </w:rPr>
              <w:t>Kennebec </w:t>
            </w:r>
            <w:r>
              <w:rPr>
                <w:rFonts w:ascii="Calibri"/>
                <w:spacing w:val="-2"/>
                <w:sz w:val="24"/>
              </w:rPr>
              <w:t>Valley</w:t>
            </w:r>
          </w:p>
          <w:p>
            <w:pPr>
              <w:pStyle w:val="TableParagraph"/>
              <w:spacing w:line="290" w:lineRule="atLeast"/>
              <w:ind w:left="107" w:right="371"/>
              <w:rPr>
                <w:rFonts w:ascii="Calibri"/>
                <w:sz w:val="24"/>
              </w:rPr>
            </w:pPr>
            <w:r>
              <w:rPr>
                <w:rFonts w:ascii="Calibri"/>
                <w:sz w:val="24"/>
              </w:rPr>
              <w:t>Community</w:t>
            </w:r>
            <w:r>
              <w:rPr>
                <w:rFonts w:ascii="Calibri"/>
                <w:spacing w:val="-14"/>
                <w:sz w:val="24"/>
              </w:rPr>
              <w:t> </w:t>
            </w:r>
            <w:r>
              <w:rPr>
                <w:rFonts w:ascii="Calibri"/>
                <w:sz w:val="24"/>
              </w:rPr>
              <w:t>Action Program (KVCAP)</w:t>
            </w:r>
          </w:p>
        </w:tc>
        <w:tc>
          <w:tcPr>
            <w:tcW w:w="1399" w:type="dxa"/>
          </w:tcPr>
          <w:p>
            <w:pPr>
              <w:pStyle w:val="TableParagraph"/>
              <w:spacing w:line="292" w:lineRule="exact"/>
              <w:ind w:left="108"/>
              <w:rPr>
                <w:rFonts w:ascii="Calibri"/>
                <w:sz w:val="24"/>
              </w:rPr>
            </w:pPr>
            <w:r>
              <w:rPr>
                <w:rFonts w:ascii="Calibri"/>
                <w:spacing w:val="-2"/>
                <w:sz w:val="24"/>
              </w:rPr>
              <w:t>1/28/2021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4/12/2023</w:t>
            </w:r>
          </w:p>
        </w:tc>
        <w:tc>
          <w:tcPr>
            <w:tcW w:w="1320" w:type="dxa"/>
          </w:tcPr>
          <w:p>
            <w:pPr>
              <w:pStyle w:val="TableParagraph"/>
              <w:spacing w:line="292" w:lineRule="exact"/>
              <w:ind w:left="109"/>
              <w:rPr>
                <w:rFonts w:ascii="Calibri"/>
                <w:sz w:val="24"/>
              </w:rPr>
            </w:pPr>
            <w:r>
              <w:rPr>
                <w:rFonts w:ascii="Calibri"/>
                <w:spacing w:val="-2"/>
                <w:sz w:val="24"/>
              </w:rPr>
              <w:t>4/13/2023</w:t>
            </w:r>
          </w:p>
        </w:tc>
        <w:tc>
          <w:tcPr>
            <w:tcW w:w="1253" w:type="dxa"/>
          </w:tcPr>
          <w:p>
            <w:pPr>
              <w:pStyle w:val="TableParagraph"/>
              <w:spacing w:line="292" w:lineRule="exact"/>
              <w:ind w:left="98" w:right="84"/>
              <w:jc w:val="center"/>
              <w:rPr>
                <w:rFonts w:ascii="Calibri"/>
                <w:sz w:val="24"/>
              </w:rPr>
            </w:pPr>
            <w:r>
              <w:rPr>
                <w:rFonts w:ascii="Calibri"/>
                <w:spacing w:val="-2"/>
                <w:sz w:val="24"/>
              </w:rPr>
              <w:t>4/13/2023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4" w:hRule="atLeast"/>
        </w:trPr>
        <w:tc>
          <w:tcPr>
            <w:tcW w:w="2311" w:type="dxa"/>
            <w:shd w:val="clear" w:color="auto" w:fill="D9D9D9"/>
          </w:tcPr>
          <w:p>
            <w:pPr>
              <w:pStyle w:val="TableParagraph"/>
              <w:spacing w:line="292" w:lineRule="exact" w:before="1"/>
              <w:ind w:left="107"/>
              <w:rPr>
                <w:rFonts w:ascii="Calibri"/>
                <w:b/>
                <w:sz w:val="24"/>
              </w:rPr>
            </w:pPr>
            <w:r>
              <w:rPr>
                <w:rFonts w:ascii="Calibri"/>
                <w:b/>
                <w:sz w:val="24"/>
              </w:rPr>
              <w:t>Region</w:t>
            </w:r>
            <w:r>
              <w:rPr>
                <w:rFonts w:ascii="Calibri"/>
                <w:b/>
                <w:spacing w:val="-3"/>
                <w:sz w:val="24"/>
              </w:rPr>
              <w:t> </w:t>
            </w:r>
            <w:r>
              <w:rPr>
                <w:rFonts w:ascii="Calibri"/>
                <w:b/>
                <w:spacing w:val="-4"/>
                <w:sz w:val="24"/>
              </w:rPr>
              <w:t>Five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585" w:hRule="atLeast"/>
        </w:trPr>
        <w:tc>
          <w:tcPr>
            <w:tcW w:w="2311" w:type="dxa"/>
          </w:tcPr>
          <w:p>
            <w:pPr>
              <w:pStyle w:val="TableParagraph"/>
              <w:spacing w:line="292" w:lineRule="exact"/>
              <w:ind w:left="107"/>
              <w:rPr>
                <w:rFonts w:ascii="Calibri"/>
                <w:sz w:val="24"/>
              </w:rPr>
            </w:pPr>
            <w:r>
              <w:rPr>
                <w:rFonts w:ascii="Calibri"/>
                <w:sz w:val="24"/>
              </w:rPr>
              <w:t>Waldo</w:t>
            </w:r>
            <w:r>
              <w:rPr>
                <w:rFonts w:ascii="Calibri"/>
                <w:spacing w:val="2"/>
                <w:sz w:val="24"/>
              </w:rPr>
              <w:t> </w:t>
            </w:r>
            <w:r>
              <w:rPr>
                <w:rFonts w:ascii="Calibri"/>
                <w:spacing w:val="-2"/>
                <w:sz w:val="24"/>
              </w:rPr>
              <w:t>County</w:t>
            </w:r>
          </w:p>
          <w:p>
            <w:pPr>
              <w:pStyle w:val="TableParagraph"/>
              <w:spacing w:line="273" w:lineRule="exact"/>
              <w:ind w:left="107"/>
              <w:rPr>
                <w:rFonts w:ascii="Calibri"/>
                <w:sz w:val="24"/>
              </w:rPr>
            </w:pPr>
            <w:r>
              <w:rPr>
                <w:rFonts w:ascii="Calibri"/>
                <w:sz w:val="24"/>
              </w:rPr>
              <w:t>Community</w:t>
            </w:r>
            <w:r>
              <w:rPr>
                <w:rFonts w:ascii="Calibri"/>
                <w:spacing w:val="-1"/>
                <w:sz w:val="24"/>
              </w:rPr>
              <w:t> </w:t>
            </w:r>
            <w:r>
              <w:rPr>
                <w:rFonts w:ascii="Calibri"/>
                <w:spacing w:val="-2"/>
                <w:sz w:val="24"/>
              </w:rPr>
              <w:t>Partners</w:t>
            </w:r>
          </w:p>
        </w:tc>
        <w:tc>
          <w:tcPr>
            <w:tcW w:w="1399" w:type="dxa"/>
          </w:tcPr>
          <w:p>
            <w:pPr>
              <w:pStyle w:val="TableParagraph"/>
              <w:spacing w:line="292" w:lineRule="exact"/>
              <w:ind w:left="108"/>
              <w:rPr>
                <w:rFonts w:ascii="Calibri"/>
                <w:sz w:val="24"/>
              </w:rPr>
            </w:pPr>
            <w:r>
              <w:rPr>
                <w:rFonts w:ascii="Calibri"/>
                <w:spacing w:val="-2"/>
                <w:sz w:val="24"/>
              </w:rPr>
              <w:t>10/27/2022</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40" w:lineRule="auto"/>
              <w:rPr>
                <w:sz w:val="24"/>
              </w:rPr>
            </w:pPr>
          </w:p>
        </w:tc>
        <w:tc>
          <w:tcPr>
            <w:tcW w:w="1320" w:type="dxa"/>
          </w:tcPr>
          <w:p>
            <w:pPr>
              <w:pStyle w:val="TableParagraph"/>
              <w:spacing w:line="240" w:lineRule="auto"/>
              <w:rPr>
                <w:sz w:val="24"/>
              </w:rPr>
            </w:pPr>
          </w:p>
        </w:tc>
        <w:tc>
          <w:tcPr>
            <w:tcW w:w="1253" w:type="dxa"/>
          </w:tcPr>
          <w:p>
            <w:pPr>
              <w:pStyle w:val="TableParagraph"/>
              <w:spacing w:line="240" w:lineRule="auto"/>
              <w:rPr>
                <w:sz w:val="24"/>
              </w:rPr>
            </w:pPr>
          </w:p>
        </w:tc>
        <w:tc>
          <w:tcPr>
            <w:tcW w:w="1001" w:type="dxa"/>
          </w:tcPr>
          <w:p>
            <w:pPr>
              <w:pStyle w:val="TableParagraph"/>
              <w:spacing w:line="292" w:lineRule="exact"/>
              <w:ind w:left="108"/>
              <w:rPr>
                <w:rFonts w:ascii="Calibri"/>
                <w:sz w:val="24"/>
              </w:rPr>
            </w:pPr>
            <w:r>
              <w:rPr>
                <w:rFonts w:ascii="Calibri"/>
                <w:spacing w:val="-4"/>
                <w:sz w:val="24"/>
              </w:rPr>
              <w:t>2027</w:t>
            </w:r>
          </w:p>
        </w:tc>
      </w:tr>
      <w:tr>
        <w:trPr>
          <w:trHeight w:val="878" w:hRule="atLeast"/>
        </w:trPr>
        <w:tc>
          <w:tcPr>
            <w:tcW w:w="2311" w:type="dxa"/>
          </w:tcPr>
          <w:p>
            <w:pPr>
              <w:pStyle w:val="TableParagraph"/>
              <w:spacing w:line="292" w:lineRule="exact"/>
              <w:ind w:left="107"/>
              <w:rPr>
                <w:rFonts w:ascii="Calibri"/>
                <w:sz w:val="24"/>
              </w:rPr>
            </w:pPr>
            <w:r>
              <w:rPr>
                <w:rFonts w:ascii="Calibri"/>
                <w:sz w:val="24"/>
              </w:rPr>
              <w:t>Bath City </w:t>
            </w:r>
            <w:r>
              <w:rPr>
                <w:rFonts w:ascii="Calibri"/>
                <w:spacing w:val="-5"/>
                <w:sz w:val="24"/>
              </w:rPr>
              <w:t>Bus</w:t>
            </w:r>
          </w:p>
        </w:tc>
        <w:tc>
          <w:tcPr>
            <w:tcW w:w="1399" w:type="dxa"/>
          </w:tcPr>
          <w:p>
            <w:pPr>
              <w:pStyle w:val="TableParagraph"/>
              <w:spacing w:line="292" w:lineRule="exact"/>
              <w:ind w:left="108"/>
              <w:rPr>
                <w:rFonts w:ascii="Calibri"/>
                <w:sz w:val="24"/>
              </w:rPr>
            </w:pPr>
            <w:r>
              <w:rPr>
                <w:rFonts w:ascii="Calibri"/>
                <w:spacing w:val="-2"/>
                <w:sz w:val="24"/>
              </w:rPr>
              <w:t>5/17/2019</w:t>
            </w:r>
          </w:p>
        </w:tc>
        <w:tc>
          <w:tcPr>
            <w:tcW w:w="1029" w:type="dxa"/>
          </w:tcPr>
          <w:p>
            <w:pPr>
              <w:pStyle w:val="TableParagraph"/>
              <w:spacing w:line="240" w:lineRule="auto"/>
              <w:ind w:left="105" w:right="230"/>
              <w:rPr>
                <w:rFonts w:ascii="Calibri"/>
                <w:sz w:val="24"/>
              </w:rPr>
            </w:pPr>
            <w:r>
              <w:rPr>
                <w:rFonts w:ascii="Calibri"/>
                <w:spacing w:val="-4"/>
                <w:sz w:val="24"/>
              </w:rPr>
              <w:t>In- </w:t>
            </w:r>
            <w:r>
              <w:rPr>
                <w:rFonts w:ascii="Calibri"/>
                <w:spacing w:val="-2"/>
                <w:sz w:val="24"/>
              </w:rPr>
              <w:t>person</w:t>
            </w:r>
          </w:p>
          <w:p>
            <w:pPr>
              <w:pStyle w:val="TableParagraph"/>
              <w:spacing w:line="273" w:lineRule="exact"/>
              <w:ind w:left="105"/>
              <w:rPr>
                <w:rFonts w:ascii="Calibri"/>
                <w:sz w:val="24"/>
              </w:rPr>
            </w:pP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92" w:lineRule="exact"/>
              <w:ind w:left="108"/>
              <w:rPr>
                <w:rFonts w:ascii="Calibri"/>
                <w:sz w:val="24"/>
              </w:rPr>
            </w:pPr>
            <w:r>
              <w:rPr>
                <w:rFonts w:ascii="Calibri"/>
                <w:spacing w:val="-2"/>
                <w:sz w:val="24"/>
              </w:rPr>
              <w:t>4/12/2023</w:t>
            </w:r>
          </w:p>
        </w:tc>
        <w:tc>
          <w:tcPr>
            <w:tcW w:w="1320" w:type="dxa"/>
          </w:tcPr>
          <w:p>
            <w:pPr>
              <w:pStyle w:val="TableParagraph"/>
              <w:spacing w:line="292" w:lineRule="exact"/>
              <w:ind w:left="109"/>
              <w:rPr>
                <w:rFonts w:ascii="Calibri"/>
                <w:sz w:val="24"/>
              </w:rPr>
            </w:pPr>
            <w:r>
              <w:rPr>
                <w:rFonts w:ascii="Calibri"/>
                <w:spacing w:val="-2"/>
                <w:sz w:val="24"/>
              </w:rPr>
              <w:t>4/13/2023</w:t>
            </w:r>
          </w:p>
        </w:tc>
        <w:tc>
          <w:tcPr>
            <w:tcW w:w="1253" w:type="dxa"/>
          </w:tcPr>
          <w:p>
            <w:pPr>
              <w:pStyle w:val="TableParagraph"/>
              <w:spacing w:line="292" w:lineRule="exact"/>
              <w:ind w:left="98" w:right="84"/>
              <w:jc w:val="center"/>
              <w:rPr>
                <w:rFonts w:ascii="Calibri"/>
                <w:sz w:val="24"/>
              </w:rPr>
            </w:pPr>
            <w:r>
              <w:rPr>
                <w:rFonts w:ascii="Calibri"/>
                <w:spacing w:val="-2"/>
                <w:sz w:val="24"/>
              </w:rPr>
              <w:t>4/13/2023</w:t>
            </w:r>
          </w:p>
        </w:tc>
        <w:tc>
          <w:tcPr>
            <w:tcW w:w="1001" w:type="dxa"/>
          </w:tcPr>
          <w:p>
            <w:pPr>
              <w:pStyle w:val="TableParagraph"/>
              <w:spacing w:line="292" w:lineRule="exact"/>
              <w:ind w:left="108"/>
              <w:rPr>
                <w:rFonts w:ascii="Calibri"/>
                <w:sz w:val="24"/>
              </w:rPr>
            </w:pPr>
            <w:r>
              <w:rPr>
                <w:rFonts w:ascii="Calibri"/>
                <w:spacing w:val="-2"/>
                <w:sz w:val="24"/>
              </w:rPr>
              <w:t>2024*</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5"/>
                <w:sz w:val="24"/>
              </w:rPr>
              <w:t>Six</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80" w:hRule="atLeast"/>
        </w:trPr>
        <w:tc>
          <w:tcPr>
            <w:tcW w:w="2311" w:type="dxa"/>
          </w:tcPr>
          <w:p>
            <w:pPr>
              <w:pStyle w:val="TableParagraph"/>
              <w:spacing w:line="290" w:lineRule="atLeast"/>
              <w:ind w:left="107"/>
              <w:rPr>
                <w:rFonts w:ascii="Calibri"/>
                <w:sz w:val="24"/>
              </w:rPr>
            </w:pPr>
            <w:r>
              <w:rPr>
                <w:rFonts w:ascii="Calibri"/>
                <w:spacing w:val="-2"/>
                <w:sz w:val="24"/>
              </w:rPr>
              <w:t>Regional Transportation </w:t>
            </w:r>
            <w:r>
              <w:rPr>
                <w:rFonts w:ascii="Calibri"/>
                <w:sz w:val="24"/>
              </w:rPr>
              <w:t>Program (RTP)</w:t>
            </w:r>
          </w:p>
        </w:tc>
        <w:tc>
          <w:tcPr>
            <w:tcW w:w="1399" w:type="dxa"/>
          </w:tcPr>
          <w:p>
            <w:pPr>
              <w:pStyle w:val="TableParagraph"/>
              <w:spacing w:line="240" w:lineRule="auto" w:before="1"/>
              <w:ind w:left="108"/>
              <w:rPr>
                <w:rFonts w:ascii="Calibri"/>
                <w:sz w:val="24"/>
              </w:rPr>
            </w:pPr>
            <w:r>
              <w:rPr>
                <w:rFonts w:ascii="Calibri"/>
                <w:spacing w:val="-2"/>
                <w:sz w:val="24"/>
              </w:rPr>
              <w:t>1/14/2020</w:t>
            </w:r>
          </w:p>
        </w:tc>
        <w:tc>
          <w:tcPr>
            <w:tcW w:w="1029" w:type="dxa"/>
          </w:tcPr>
          <w:p>
            <w:pPr>
              <w:pStyle w:val="TableParagraph"/>
              <w:spacing w:line="290" w:lineRule="atLeast"/>
              <w:ind w:left="105" w:right="107"/>
              <w:rPr>
                <w:rFonts w:ascii="Calibri"/>
                <w:sz w:val="24"/>
              </w:rPr>
            </w:pPr>
            <w:r>
              <w:rPr>
                <w:rFonts w:ascii="Calibri"/>
                <w:spacing w:val="-4"/>
                <w:sz w:val="24"/>
              </w:rPr>
              <w:t>In- </w:t>
            </w:r>
            <w:r>
              <w:rPr>
                <w:rFonts w:ascii="Calibri"/>
                <w:spacing w:val="-2"/>
                <w:sz w:val="24"/>
              </w:rPr>
              <w:t>person </w:t>
            </w: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40" w:lineRule="auto" w:before="1"/>
              <w:ind w:left="108"/>
              <w:rPr>
                <w:rFonts w:ascii="Calibri"/>
                <w:sz w:val="24"/>
              </w:rPr>
            </w:pPr>
            <w:r>
              <w:rPr>
                <w:rFonts w:ascii="Calibri"/>
                <w:spacing w:val="-2"/>
                <w:sz w:val="24"/>
              </w:rPr>
              <w:t>3/31/2023</w:t>
            </w:r>
          </w:p>
        </w:tc>
        <w:tc>
          <w:tcPr>
            <w:tcW w:w="1320" w:type="dxa"/>
          </w:tcPr>
          <w:p>
            <w:pPr>
              <w:pStyle w:val="TableParagraph"/>
              <w:spacing w:line="240" w:lineRule="auto" w:before="1"/>
              <w:ind w:left="109"/>
              <w:rPr>
                <w:rFonts w:ascii="Calibri"/>
                <w:sz w:val="24"/>
              </w:rPr>
            </w:pPr>
            <w:r>
              <w:rPr>
                <w:rFonts w:ascii="Calibri"/>
                <w:spacing w:val="-2"/>
                <w:sz w:val="24"/>
              </w:rPr>
              <w:t>3/31/2023</w:t>
            </w:r>
          </w:p>
        </w:tc>
        <w:tc>
          <w:tcPr>
            <w:tcW w:w="1253" w:type="dxa"/>
          </w:tcPr>
          <w:p>
            <w:pPr>
              <w:pStyle w:val="TableParagraph"/>
              <w:spacing w:line="240" w:lineRule="auto" w:before="1"/>
              <w:ind w:left="98" w:right="84"/>
              <w:jc w:val="center"/>
              <w:rPr>
                <w:rFonts w:ascii="Calibri"/>
                <w:sz w:val="24"/>
              </w:rPr>
            </w:pPr>
            <w:r>
              <w:rPr>
                <w:rFonts w:ascii="Calibri"/>
                <w:spacing w:val="-2"/>
                <w:sz w:val="24"/>
              </w:rPr>
              <w:t>3/31/2023</w:t>
            </w:r>
          </w:p>
        </w:tc>
        <w:tc>
          <w:tcPr>
            <w:tcW w:w="1001" w:type="dxa"/>
          </w:tcPr>
          <w:p>
            <w:pPr>
              <w:pStyle w:val="TableParagraph"/>
              <w:spacing w:line="240" w:lineRule="auto" w:before="1"/>
              <w:ind w:left="108"/>
              <w:rPr>
                <w:rFonts w:ascii="Calibri"/>
                <w:sz w:val="24"/>
              </w:rPr>
            </w:pPr>
            <w:r>
              <w:rPr>
                <w:rFonts w:ascii="Calibri"/>
                <w:spacing w:val="-4"/>
                <w:sz w:val="24"/>
              </w:rPr>
              <w:t>2025</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4"/>
                <w:sz w:val="24"/>
              </w:rPr>
              <w:t>Seven</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40" w:lineRule="auto"/>
              <w:ind w:left="107"/>
              <w:rPr>
                <w:rFonts w:ascii="Calibri"/>
                <w:sz w:val="24"/>
              </w:rPr>
            </w:pPr>
            <w:r>
              <w:rPr>
                <w:rFonts w:ascii="Calibri"/>
                <w:sz w:val="24"/>
              </w:rPr>
              <w:t>Western</w:t>
            </w:r>
            <w:r>
              <w:rPr>
                <w:rFonts w:ascii="Calibri"/>
                <w:spacing w:val="-14"/>
                <w:sz w:val="24"/>
              </w:rPr>
              <w:t> </w:t>
            </w:r>
            <w:r>
              <w:rPr>
                <w:rFonts w:ascii="Calibri"/>
                <w:sz w:val="24"/>
              </w:rPr>
              <w:t>Maine </w:t>
            </w:r>
            <w:r>
              <w:rPr>
                <w:rFonts w:ascii="Calibri"/>
                <w:spacing w:val="-2"/>
                <w:sz w:val="24"/>
              </w:rPr>
              <w:t>Transportation</w:t>
            </w:r>
          </w:p>
          <w:p>
            <w:pPr>
              <w:pStyle w:val="TableParagraph"/>
              <w:spacing w:line="273" w:lineRule="exact"/>
              <w:ind w:left="107"/>
              <w:rPr>
                <w:rFonts w:ascii="Calibri"/>
                <w:sz w:val="24"/>
              </w:rPr>
            </w:pPr>
            <w:r>
              <w:rPr>
                <w:rFonts w:ascii="Calibri"/>
                <w:spacing w:val="-2"/>
                <w:sz w:val="24"/>
              </w:rPr>
              <w:t>Services</w:t>
            </w:r>
          </w:p>
        </w:tc>
        <w:tc>
          <w:tcPr>
            <w:tcW w:w="1399" w:type="dxa"/>
          </w:tcPr>
          <w:p>
            <w:pPr>
              <w:pStyle w:val="TableParagraph"/>
              <w:spacing w:line="292" w:lineRule="exact"/>
              <w:ind w:left="108"/>
              <w:rPr>
                <w:rFonts w:ascii="Calibri"/>
                <w:sz w:val="24"/>
              </w:rPr>
            </w:pPr>
            <w:r>
              <w:rPr>
                <w:rFonts w:ascii="Calibri"/>
                <w:spacing w:val="-2"/>
                <w:sz w:val="24"/>
              </w:rPr>
              <w:t>8/6/2019</w:t>
            </w:r>
          </w:p>
        </w:tc>
        <w:tc>
          <w:tcPr>
            <w:tcW w:w="1029" w:type="dxa"/>
          </w:tcPr>
          <w:p>
            <w:pPr>
              <w:pStyle w:val="TableParagraph"/>
              <w:spacing w:line="240" w:lineRule="auto"/>
              <w:ind w:left="105" w:right="230"/>
              <w:rPr>
                <w:rFonts w:ascii="Calibri"/>
                <w:sz w:val="24"/>
              </w:rPr>
            </w:pPr>
            <w:r>
              <w:rPr>
                <w:rFonts w:ascii="Calibri"/>
                <w:spacing w:val="-4"/>
                <w:sz w:val="24"/>
              </w:rPr>
              <w:t>In- </w:t>
            </w:r>
            <w:r>
              <w:rPr>
                <w:rFonts w:ascii="Calibri"/>
                <w:spacing w:val="-2"/>
                <w:sz w:val="24"/>
              </w:rPr>
              <w:t>person</w:t>
            </w:r>
          </w:p>
          <w:p>
            <w:pPr>
              <w:pStyle w:val="TableParagraph"/>
              <w:spacing w:line="273" w:lineRule="exact"/>
              <w:ind w:left="105"/>
              <w:rPr>
                <w:rFonts w:ascii="Calibri"/>
                <w:sz w:val="24"/>
              </w:rPr>
            </w:pP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92" w:lineRule="exact"/>
              <w:ind w:left="108"/>
              <w:rPr>
                <w:rFonts w:ascii="Calibri"/>
                <w:sz w:val="24"/>
              </w:rPr>
            </w:pPr>
            <w:r>
              <w:rPr>
                <w:rFonts w:ascii="Calibri"/>
                <w:spacing w:val="-2"/>
                <w:sz w:val="24"/>
              </w:rPr>
              <w:t>4/14/2023</w:t>
            </w:r>
          </w:p>
        </w:tc>
        <w:tc>
          <w:tcPr>
            <w:tcW w:w="1320" w:type="dxa"/>
          </w:tcPr>
          <w:p>
            <w:pPr>
              <w:pStyle w:val="TableParagraph"/>
              <w:spacing w:line="292" w:lineRule="exact"/>
              <w:ind w:left="109"/>
              <w:rPr>
                <w:rFonts w:ascii="Calibri"/>
                <w:sz w:val="24"/>
              </w:rPr>
            </w:pPr>
            <w:r>
              <w:rPr>
                <w:rFonts w:ascii="Calibri"/>
                <w:spacing w:val="-2"/>
                <w:sz w:val="24"/>
              </w:rPr>
              <w:t>4/25/2023</w:t>
            </w:r>
          </w:p>
        </w:tc>
        <w:tc>
          <w:tcPr>
            <w:tcW w:w="1253" w:type="dxa"/>
          </w:tcPr>
          <w:p>
            <w:pPr>
              <w:pStyle w:val="TableParagraph"/>
              <w:spacing w:line="292" w:lineRule="exact"/>
              <w:ind w:left="98" w:right="84"/>
              <w:jc w:val="center"/>
              <w:rPr>
                <w:rFonts w:ascii="Calibri"/>
                <w:sz w:val="24"/>
              </w:rPr>
            </w:pPr>
            <w:r>
              <w:rPr>
                <w:rFonts w:ascii="Calibri"/>
                <w:spacing w:val="-2"/>
                <w:sz w:val="24"/>
              </w:rPr>
              <w:t>4/25/2023</w:t>
            </w:r>
          </w:p>
        </w:tc>
        <w:tc>
          <w:tcPr>
            <w:tcW w:w="1001" w:type="dxa"/>
          </w:tcPr>
          <w:p>
            <w:pPr>
              <w:pStyle w:val="TableParagraph"/>
              <w:spacing w:line="292" w:lineRule="exact"/>
              <w:ind w:left="108"/>
              <w:rPr>
                <w:rFonts w:ascii="Calibri"/>
                <w:sz w:val="24"/>
              </w:rPr>
            </w:pPr>
            <w:r>
              <w:rPr>
                <w:rFonts w:ascii="Calibri"/>
                <w:spacing w:val="-4"/>
                <w:sz w:val="24"/>
              </w:rPr>
              <w:t>2024</w:t>
            </w:r>
          </w:p>
        </w:tc>
      </w:tr>
      <w:tr>
        <w:trPr>
          <w:trHeight w:val="313" w:hRule="atLeast"/>
        </w:trPr>
        <w:tc>
          <w:tcPr>
            <w:tcW w:w="2311" w:type="dxa"/>
            <w:shd w:val="clear" w:color="auto" w:fill="D9D9D9"/>
          </w:tcPr>
          <w:p>
            <w:pPr>
              <w:pStyle w:val="TableParagraph"/>
              <w:spacing w:line="292" w:lineRule="exact" w:before="1"/>
              <w:ind w:left="107"/>
              <w:rPr>
                <w:rFonts w:ascii="Calibri"/>
                <w:b/>
                <w:sz w:val="24"/>
              </w:rPr>
            </w:pPr>
            <w:r>
              <w:rPr>
                <w:rFonts w:ascii="Calibri"/>
                <w:b/>
                <w:sz w:val="24"/>
              </w:rPr>
              <w:t>Region</w:t>
            </w:r>
            <w:r>
              <w:rPr>
                <w:rFonts w:ascii="Calibri"/>
                <w:b/>
                <w:spacing w:val="-3"/>
                <w:sz w:val="24"/>
              </w:rPr>
              <w:t> </w:t>
            </w:r>
            <w:r>
              <w:rPr>
                <w:rFonts w:ascii="Calibri"/>
                <w:b/>
                <w:spacing w:val="-4"/>
                <w:sz w:val="24"/>
              </w:rPr>
              <w:t>Eight</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7" w:hRule="atLeast"/>
        </w:trPr>
        <w:tc>
          <w:tcPr>
            <w:tcW w:w="2311" w:type="dxa"/>
          </w:tcPr>
          <w:p>
            <w:pPr>
              <w:pStyle w:val="TableParagraph"/>
              <w:spacing w:line="240" w:lineRule="auto"/>
              <w:ind w:left="107" w:right="371"/>
              <w:rPr>
                <w:rFonts w:ascii="Calibri"/>
                <w:sz w:val="24"/>
              </w:rPr>
            </w:pPr>
            <w:r>
              <w:rPr>
                <w:rFonts w:ascii="Calibri"/>
                <w:sz w:val="24"/>
              </w:rPr>
              <w:t>York County Community</w:t>
            </w:r>
            <w:r>
              <w:rPr>
                <w:rFonts w:ascii="Calibri"/>
                <w:spacing w:val="-14"/>
                <w:sz w:val="24"/>
              </w:rPr>
              <w:t> </w:t>
            </w:r>
            <w:r>
              <w:rPr>
                <w:rFonts w:ascii="Calibri"/>
                <w:sz w:val="24"/>
              </w:rPr>
              <w:t>Action</w:t>
            </w:r>
          </w:p>
          <w:p>
            <w:pPr>
              <w:pStyle w:val="TableParagraph"/>
              <w:spacing w:line="273" w:lineRule="exact"/>
              <w:ind w:left="107"/>
              <w:rPr>
                <w:rFonts w:ascii="Calibri"/>
                <w:sz w:val="24"/>
              </w:rPr>
            </w:pPr>
            <w:r>
              <w:rPr>
                <w:rFonts w:ascii="Calibri"/>
                <w:spacing w:val="-2"/>
                <w:sz w:val="24"/>
              </w:rPr>
              <w:t>Corporation</w:t>
            </w:r>
          </w:p>
        </w:tc>
        <w:tc>
          <w:tcPr>
            <w:tcW w:w="1399" w:type="dxa"/>
          </w:tcPr>
          <w:p>
            <w:pPr>
              <w:pStyle w:val="TableParagraph"/>
              <w:spacing w:line="292" w:lineRule="exact"/>
              <w:ind w:left="108"/>
              <w:rPr>
                <w:rFonts w:ascii="Calibri"/>
                <w:sz w:val="24"/>
              </w:rPr>
            </w:pPr>
            <w:r>
              <w:rPr>
                <w:rFonts w:ascii="Calibri"/>
                <w:spacing w:val="-2"/>
                <w:sz w:val="24"/>
              </w:rPr>
              <w:t>9/10/2020</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4/10/2023</w:t>
            </w:r>
          </w:p>
        </w:tc>
        <w:tc>
          <w:tcPr>
            <w:tcW w:w="1320" w:type="dxa"/>
          </w:tcPr>
          <w:p>
            <w:pPr>
              <w:pStyle w:val="TableParagraph"/>
              <w:spacing w:line="292" w:lineRule="exact"/>
              <w:ind w:left="109"/>
              <w:rPr>
                <w:rFonts w:ascii="Calibri"/>
                <w:sz w:val="24"/>
              </w:rPr>
            </w:pPr>
            <w:r>
              <w:rPr>
                <w:rFonts w:ascii="Calibri"/>
                <w:spacing w:val="-2"/>
                <w:sz w:val="24"/>
              </w:rPr>
              <w:t>4/10/2023</w:t>
            </w:r>
          </w:p>
        </w:tc>
        <w:tc>
          <w:tcPr>
            <w:tcW w:w="1253" w:type="dxa"/>
          </w:tcPr>
          <w:p>
            <w:pPr>
              <w:pStyle w:val="TableParagraph"/>
              <w:spacing w:line="292" w:lineRule="exact"/>
              <w:ind w:left="98" w:right="84"/>
              <w:jc w:val="center"/>
              <w:rPr>
                <w:rFonts w:ascii="Calibri"/>
                <w:sz w:val="24"/>
              </w:rPr>
            </w:pPr>
            <w:r>
              <w:rPr>
                <w:rFonts w:ascii="Calibri"/>
                <w:spacing w:val="-2"/>
                <w:sz w:val="24"/>
              </w:rPr>
              <w:t>4/10/2023</w:t>
            </w:r>
          </w:p>
        </w:tc>
        <w:tc>
          <w:tcPr>
            <w:tcW w:w="1001" w:type="dxa"/>
          </w:tcPr>
          <w:p>
            <w:pPr>
              <w:pStyle w:val="TableParagraph"/>
              <w:spacing w:line="292" w:lineRule="exact"/>
              <w:ind w:left="108"/>
              <w:rPr>
                <w:rFonts w:ascii="Calibri"/>
                <w:sz w:val="24"/>
              </w:rPr>
            </w:pPr>
            <w:r>
              <w:rPr>
                <w:rFonts w:ascii="Calibri"/>
                <w:spacing w:val="-4"/>
                <w:sz w:val="24"/>
              </w:rPr>
              <w:t>2025</w:t>
            </w:r>
          </w:p>
        </w:tc>
      </w:tr>
    </w:tbl>
    <w:p>
      <w:pPr>
        <w:spacing w:before="8"/>
        <w:ind w:left="120" w:right="0" w:firstLine="0"/>
        <w:jc w:val="left"/>
        <w:rPr>
          <w:i/>
          <w:sz w:val="24"/>
        </w:rPr>
      </w:pPr>
      <w:r>
        <w:rPr>
          <w:i/>
          <w:sz w:val="24"/>
        </w:rPr>
        <w:t>*Service</w:t>
      </w:r>
      <w:r>
        <w:rPr>
          <w:i/>
          <w:spacing w:val="-4"/>
          <w:sz w:val="24"/>
        </w:rPr>
        <w:t> </w:t>
      </w:r>
      <w:r>
        <w:rPr>
          <w:i/>
          <w:sz w:val="24"/>
        </w:rPr>
        <w:t>ended</w:t>
      </w:r>
      <w:r>
        <w:rPr>
          <w:i/>
          <w:spacing w:val="-3"/>
          <w:sz w:val="24"/>
        </w:rPr>
        <w:t> </w:t>
      </w:r>
      <w:r>
        <w:rPr>
          <w:i/>
          <w:sz w:val="24"/>
        </w:rPr>
        <w:t>June</w:t>
      </w:r>
      <w:r>
        <w:rPr>
          <w:i/>
          <w:spacing w:val="-1"/>
          <w:sz w:val="24"/>
        </w:rPr>
        <w:t> </w:t>
      </w:r>
      <w:r>
        <w:rPr>
          <w:i/>
          <w:sz w:val="24"/>
        </w:rPr>
        <w:t>2023,</w:t>
      </w:r>
      <w:r>
        <w:rPr>
          <w:i/>
          <w:spacing w:val="-1"/>
          <w:sz w:val="24"/>
        </w:rPr>
        <w:t> </w:t>
      </w:r>
      <w:r>
        <w:rPr>
          <w:i/>
          <w:sz w:val="24"/>
        </w:rPr>
        <w:t>no</w:t>
      </w:r>
      <w:r>
        <w:rPr>
          <w:i/>
          <w:spacing w:val="-3"/>
          <w:sz w:val="24"/>
        </w:rPr>
        <w:t> </w:t>
      </w:r>
      <w:r>
        <w:rPr>
          <w:i/>
          <w:sz w:val="24"/>
        </w:rPr>
        <w:t>additional</w:t>
      </w:r>
      <w:r>
        <w:rPr>
          <w:i/>
          <w:spacing w:val="-1"/>
          <w:sz w:val="24"/>
        </w:rPr>
        <w:t> </w:t>
      </w:r>
      <w:r>
        <w:rPr>
          <w:i/>
          <w:sz w:val="24"/>
        </w:rPr>
        <w:t>site</w:t>
      </w:r>
      <w:r>
        <w:rPr>
          <w:i/>
          <w:spacing w:val="-1"/>
          <w:sz w:val="24"/>
        </w:rPr>
        <w:t> </w:t>
      </w:r>
      <w:r>
        <w:rPr>
          <w:i/>
          <w:sz w:val="24"/>
        </w:rPr>
        <w:t>visits</w:t>
      </w:r>
      <w:r>
        <w:rPr>
          <w:i/>
          <w:spacing w:val="-1"/>
          <w:sz w:val="24"/>
        </w:rPr>
        <w:t> </w:t>
      </w:r>
      <w:r>
        <w:rPr>
          <w:i/>
          <w:spacing w:val="-2"/>
          <w:sz w:val="24"/>
        </w:rPr>
        <w:t>needed.</w:t>
      </w:r>
    </w:p>
    <w:p>
      <w:pPr>
        <w:spacing w:after="0"/>
        <w:jc w:val="left"/>
        <w:rPr>
          <w:sz w:val="24"/>
        </w:rPr>
        <w:sectPr>
          <w:pgSz w:w="12240" w:h="15840"/>
          <w:pgMar w:header="0" w:footer="1063" w:top="960" w:bottom="1260" w:left="600" w:right="600"/>
        </w:sectPr>
      </w:pPr>
    </w:p>
    <w:p>
      <w:pPr>
        <w:pStyle w:val="Heading9"/>
        <w:spacing w:before="35"/>
      </w:pPr>
      <w:r>
        <w:rPr>
          <w:spacing w:val="-2"/>
        </w:rPr>
        <w:t>Notification</w:t>
      </w:r>
    </w:p>
    <w:p>
      <w:pPr>
        <w:pStyle w:val="BodyText"/>
        <w:rPr>
          <w:b/>
        </w:rPr>
      </w:pPr>
    </w:p>
    <w:p>
      <w:pPr>
        <w:pStyle w:val="BodyText"/>
        <w:ind w:left="120" w:right="113"/>
        <w:jc w:val="both"/>
      </w:pPr>
      <w:r>
        <w:rPr/>
        <w:t>The Civil Rights Office will notify subrecipients of upcoming Title VI reviews by correspondence.</w:t>
      </w:r>
      <w:r>
        <w:rPr>
          <w:spacing w:val="40"/>
        </w:rPr>
        <w:t> </w:t>
      </w:r>
      <w:r>
        <w:rPr/>
        <w:t>An itemized listing</w:t>
      </w:r>
      <w:r>
        <w:rPr>
          <w:spacing w:val="-9"/>
        </w:rPr>
        <w:t> </w:t>
      </w:r>
      <w:r>
        <w:rPr/>
        <w:t>will</w:t>
      </w:r>
      <w:r>
        <w:rPr>
          <w:spacing w:val="-6"/>
        </w:rPr>
        <w:t> </w:t>
      </w:r>
      <w:r>
        <w:rPr/>
        <w:t>accompany</w:t>
      </w:r>
      <w:r>
        <w:rPr>
          <w:spacing w:val="-9"/>
        </w:rPr>
        <w:t> </w:t>
      </w:r>
      <w:r>
        <w:rPr/>
        <w:t>the</w:t>
      </w:r>
      <w:r>
        <w:rPr>
          <w:spacing w:val="-6"/>
        </w:rPr>
        <w:t> </w:t>
      </w:r>
      <w:r>
        <w:rPr/>
        <w:t>notification</w:t>
      </w:r>
      <w:r>
        <w:rPr>
          <w:spacing w:val="-8"/>
        </w:rPr>
        <w:t> </w:t>
      </w:r>
      <w:r>
        <w:rPr/>
        <w:t>letter</w:t>
      </w:r>
      <w:r>
        <w:rPr>
          <w:spacing w:val="-8"/>
        </w:rPr>
        <w:t> </w:t>
      </w:r>
      <w:r>
        <w:rPr/>
        <w:t>and</w:t>
      </w:r>
      <w:r>
        <w:rPr>
          <w:spacing w:val="-8"/>
        </w:rPr>
        <w:t> </w:t>
      </w:r>
      <w:r>
        <w:rPr/>
        <w:t>will</w:t>
      </w:r>
      <w:r>
        <w:rPr>
          <w:spacing w:val="-6"/>
        </w:rPr>
        <w:t> </w:t>
      </w:r>
      <w:r>
        <w:rPr/>
        <w:t>inform</w:t>
      </w:r>
      <w:r>
        <w:rPr>
          <w:spacing w:val="-8"/>
        </w:rPr>
        <w:t> </w:t>
      </w:r>
      <w:r>
        <w:rPr/>
        <w:t>the</w:t>
      </w:r>
      <w:r>
        <w:rPr>
          <w:spacing w:val="-6"/>
        </w:rPr>
        <w:t> </w:t>
      </w:r>
      <w:r>
        <w:rPr/>
        <w:t>subrecipient</w:t>
      </w:r>
      <w:r>
        <w:rPr>
          <w:spacing w:val="-8"/>
        </w:rPr>
        <w:t> </w:t>
      </w:r>
      <w:r>
        <w:rPr/>
        <w:t>of</w:t>
      </w:r>
      <w:r>
        <w:rPr>
          <w:spacing w:val="-8"/>
        </w:rPr>
        <w:t> </w:t>
      </w:r>
      <w:r>
        <w:rPr/>
        <w:t>the</w:t>
      </w:r>
      <w:r>
        <w:rPr>
          <w:spacing w:val="-6"/>
        </w:rPr>
        <w:t> </w:t>
      </w:r>
      <w:r>
        <w:rPr/>
        <w:t>information</w:t>
      </w:r>
      <w:r>
        <w:rPr>
          <w:spacing w:val="-5"/>
        </w:rPr>
        <w:t> </w:t>
      </w:r>
      <w:r>
        <w:rPr/>
        <w:t>and</w:t>
      </w:r>
      <w:r>
        <w:rPr>
          <w:spacing w:val="-5"/>
        </w:rPr>
        <w:t> </w:t>
      </w:r>
      <w:r>
        <w:rPr/>
        <w:t>documents needed by the Civil Rights Office.</w:t>
      </w:r>
    </w:p>
    <w:p>
      <w:pPr>
        <w:pStyle w:val="BodyText"/>
        <w:spacing w:before="11"/>
        <w:rPr>
          <w:sz w:val="23"/>
        </w:rPr>
      </w:pPr>
    </w:p>
    <w:p>
      <w:pPr>
        <w:pStyle w:val="Heading9"/>
        <w:jc w:val="both"/>
      </w:pPr>
      <w:r>
        <w:rPr/>
        <w:t>Itemized</w:t>
      </w:r>
      <w:r>
        <w:rPr>
          <w:spacing w:val="-2"/>
        </w:rPr>
        <w:t> </w:t>
      </w:r>
      <w:r>
        <w:rPr/>
        <w:t>Listing</w:t>
      </w:r>
      <w:r>
        <w:rPr>
          <w:spacing w:val="-4"/>
        </w:rPr>
        <w:t> </w:t>
      </w:r>
      <w:r>
        <w:rPr/>
        <w:t>and</w:t>
      </w:r>
      <w:r>
        <w:rPr>
          <w:spacing w:val="-2"/>
        </w:rPr>
        <w:t> </w:t>
      </w:r>
      <w:r>
        <w:rPr/>
        <w:t>Response</w:t>
      </w:r>
      <w:r>
        <w:rPr>
          <w:spacing w:val="-3"/>
        </w:rPr>
        <w:t> </w:t>
      </w:r>
      <w:r>
        <w:rPr/>
        <w:t>to</w:t>
      </w:r>
      <w:r>
        <w:rPr>
          <w:spacing w:val="-2"/>
        </w:rPr>
        <w:t> </w:t>
      </w:r>
      <w:r>
        <w:rPr/>
        <w:t>the</w:t>
      </w:r>
      <w:r>
        <w:rPr>
          <w:spacing w:val="-3"/>
        </w:rPr>
        <w:t> </w:t>
      </w:r>
      <w:r>
        <w:rPr/>
        <w:t>Civil</w:t>
      </w:r>
      <w:r>
        <w:rPr>
          <w:spacing w:val="-1"/>
        </w:rPr>
        <w:t> </w:t>
      </w:r>
      <w:r>
        <w:rPr/>
        <w:t>Rights</w:t>
      </w:r>
      <w:r>
        <w:rPr>
          <w:spacing w:val="-4"/>
        </w:rPr>
        <w:t> </w:t>
      </w:r>
      <w:r>
        <w:rPr>
          <w:spacing w:val="-2"/>
        </w:rPr>
        <w:t>Office</w:t>
      </w:r>
    </w:p>
    <w:p>
      <w:pPr>
        <w:pStyle w:val="BodyText"/>
        <w:spacing w:before="2"/>
        <w:rPr>
          <w:b/>
        </w:rPr>
      </w:pPr>
    </w:p>
    <w:p>
      <w:pPr>
        <w:pStyle w:val="BodyText"/>
        <w:ind w:left="120" w:right="116"/>
        <w:jc w:val="both"/>
      </w:pPr>
      <w:r>
        <w:rPr/>
        <w:t>Subrecipients have 30 days from receipt of the initial notification to return documents and information to the Civil Rights Office in response to the itemized listing.</w:t>
      </w:r>
    </w:p>
    <w:p>
      <w:pPr>
        <w:pStyle w:val="BodyText"/>
      </w:pPr>
    </w:p>
    <w:p>
      <w:pPr>
        <w:pStyle w:val="Heading9"/>
        <w:jc w:val="both"/>
      </w:pPr>
      <w:r>
        <w:rPr/>
        <w:t>Desk</w:t>
      </w:r>
      <w:r>
        <w:rPr>
          <w:spacing w:val="-4"/>
        </w:rPr>
        <w:t> </w:t>
      </w:r>
      <w:r>
        <w:rPr>
          <w:spacing w:val="-2"/>
        </w:rPr>
        <w:t>Audit</w:t>
      </w:r>
    </w:p>
    <w:p>
      <w:pPr>
        <w:pStyle w:val="BodyText"/>
        <w:spacing w:before="12"/>
        <w:rPr>
          <w:b/>
          <w:sz w:val="23"/>
        </w:rPr>
      </w:pPr>
    </w:p>
    <w:p>
      <w:pPr>
        <w:pStyle w:val="BodyText"/>
        <w:ind w:left="120" w:right="112"/>
        <w:jc w:val="both"/>
      </w:pPr>
      <w:r>
        <w:rPr/>
        <w:t>The Civil Rights Office will review the documents and information submitted by the subrecipient during a desk audit. The Civil Rights Office will prepare a Report of Findings, which may include recommendations to strengthen the subrecipient’s Title VI program.</w:t>
      </w:r>
    </w:p>
    <w:p>
      <w:pPr>
        <w:pStyle w:val="BodyText"/>
        <w:spacing w:before="11"/>
        <w:rPr>
          <w:sz w:val="23"/>
        </w:rPr>
      </w:pPr>
    </w:p>
    <w:p>
      <w:pPr>
        <w:pStyle w:val="Heading9"/>
        <w:jc w:val="both"/>
      </w:pPr>
      <w:r>
        <w:rPr/>
        <w:t>On-site</w:t>
      </w:r>
      <w:r>
        <w:rPr>
          <w:spacing w:val="-1"/>
        </w:rPr>
        <w:t> </w:t>
      </w:r>
      <w:r>
        <w:rPr>
          <w:spacing w:val="-2"/>
        </w:rPr>
        <w:t>Review</w:t>
      </w:r>
    </w:p>
    <w:p>
      <w:pPr>
        <w:pStyle w:val="BodyText"/>
        <w:rPr>
          <w:b/>
        </w:rPr>
      </w:pPr>
    </w:p>
    <w:p>
      <w:pPr>
        <w:pStyle w:val="BodyText"/>
        <w:ind w:left="120" w:right="114"/>
        <w:jc w:val="both"/>
      </w:pPr>
      <w:r>
        <w:rPr/>
        <w:t>The</w:t>
      </w:r>
      <w:r>
        <w:rPr>
          <w:spacing w:val="-1"/>
        </w:rPr>
        <w:t> </w:t>
      </w:r>
      <w:r>
        <w:rPr/>
        <w:t>findings</w:t>
      </w:r>
      <w:r>
        <w:rPr>
          <w:spacing w:val="-2"/>
        </w:rPr>
        <w:t> </w:t>
      </w:r>
      <w:r>
        <w:rPr/>
        <w:t>made</w:t>
      </w:r>
      <w:r>
        <w:rPr>
          <w:spacing w:val="-1"/>
        </w:rPr>
        <w:t> </w:t>
      </w:r>
      <w:r>
        <w:rPr/>
        <w:t>during the</w:t>
      </w:r>
      <w:r>
        <w:rPr>
          <w:spacing w:val="-1"/>
        </w:rPr>
        <w:t> </w:t>
      </w:r>
      <w:r>
        <w:rPr/>
        <w:t>desk</w:t>
      </w:r>
      <w:r>
        <w:rPr>
          <w:spacing w:val="-1"/>
        </w:rPr>
        <w:t> </w:t>
      </w:r>
      <w:r>
        <w:rPr/>
        <w:t>audit generally determine whether</w:t>
      </w:r>
      <w:r>
        <w:rPr>
          <w:spacing w:val="-1"/>
        </w:rPr>
        <w:t> </w:t>
      </w:r>
      <w:r>
        <w:rPr/>
        <w:t>an</w:t>
      </w:r>
      <w:r>
        <w:rPr>
          <w:spacing w:val="-3"/>
        </w:rPr>
        <w:t> </w:t>
      </w:r>
      <w:r>
        <w:rPr/>
        <w:t>on-site review is necessary.</w:t>
      </w:r>
      <w:r>
        <w:rPr>
          <w:spacing w:val="40"/>
        </w:rPr>
        <w:t> </w:t>
      </w:r>
      <w:r>
        <w:rPr/>
        <w:t>If an on- site review is necessary, the subrecipient will be notified, and the on-site review will be conducted by teleconference.</w:t>
      </w:r>
      <w:r>
        <w:rPr>
          <w:spacing w:val="40"/>
        </w:rPr>
        <w:t> </w:t>
      </w:r>
      <w:r>
        <w:rPr/>
        <w:t>When necessary, physical on-site reviews</w:t>
      </w:r>
      <w:r>
        <w:rPr>
          <w:spacing w:val="-2"/>
        </w:rPr>
        <w:t> </w:t>
      </w:r>
      <w:r>
        <w:rPr/>
        <w:t>will be conducted in accordance with federal, state, and local guidelines governing social distancing amid COVID resurgences.</w:t>
      </w:r>
    </w:p>
    <w:p>
      <w:pPr>
        <w:pStyle w:val="BodyText"/>
        <w:spacing w:before="1"/>
      </w:pPr>
    </w:p>
    <w:p>
      <w:pPr>
        <w:pStyle w:val="Heading9"/>
        <w:spacing w:before="1"/>
      </w:pPr>
      <w:r>
        <w:rPr>
          <w:spacing w:val="-2"/>
        </w:rPr>
        <w:t>Deficiencies</w:t>
      </w:r>
    </w:p>
    <w:p>
      <w:pPr>
        <w:pStyle w:val="BodyText"/>
        <w:spacing w:before="11"/>
        <w:rPr>
          <w:b/>
          <w:sz w:val="23"/>
        </w:rPr>
      </w:pPr>
    </w:p>
    <w:p>
      <w:pPr>
        <w:pStyle w:val="BodyText"/>
        <w:ind w:left="120" w:right="113"/>
        <w:jc w:val="both"/>
      </w:pPr>
      <w:r>
        <w:rPr/>
        <w:t>Deficiencies will be documented in the report and must be corrected by the subrecipient.</w:t>
      </w:r>
      <w:r>
        <w:rPr>
          <w:spacing w:val="40"/>
        </w:rPr>
        <w:t> </w:t>
      </w:r>
      <w:r>
        <w:rPr/>
        <w:t>If there are no deficiencies, the report may still provide recommendations for strengthening the subrecipient’s Title VI </w:t>
      </w:r>
      <w:r>
        <w:rPr>
          <w:spacing w:val="-2"/>
        </w:rPr>
        <w:t>program.</w:t>
      </w:r>
    </w:p>
    <w:p>
      <w:pPr>
        <w:pStyle w:val="BodyText"/>
      </w:pPr>
    </w:p>
    <w:p>
      <w:pPr>
        <w:pStyle w:val="Heading9"/>
        <w:jc w:val="both"/>
      </w:pPr>
      <w:r>
        <w:rPr/>
        <w:t>Follow-up </w:t>
      </w:r>
      <w:r>
        <w:rPr>
          <w:spacing w:val="-2"/>
        </w:rPr>
        <w:t>Monitoring</w:t>
      </w:r>
    </w:p>
    <w:p>
      <w:pPr>
        <w:pStyle w:val="BodyText"/>
        <w:spacing w:before="11"/>
        <w:rPr>
          <w:b/>
          <w:sz w:val="23"/>
        </w:rPr>
      </w:pPr>
    </w:p>
    <w:p>
      <w:pPr>
        <w:pStyle w:val="BodyText"/>
        <w:spacing w:before="1"/>
        <w:ind w:left="120" w:right="115"/>
        <w:jc w:val="both"/>
      </w:pPr>
      <w:r>
        <w:rPr/>
        <w:t>The</w:t>
      </w:r>
      <w:r>
        <w:rPr>
          <w:spacing w:val="-6"/>
        </w:rPr>
        <w:t> </w:t>
      </w:r>
      <w:r>
        <w:rPr/>
        <w:t>Civil</w:t>
      </w:r>
      <w:r>
        <w:rPr>
          <w:spacing w:val="-4"/>
        </w:rPr>
        <w:t> </w:t>
      </w:r>
      <w:r>
        <w:rPr/>
        <w:t>Rights</w:t>
      </w:r>
      <w:r>
        <w:rPr>
          <w:spacing w:val="-4"/>
        </w:rPr>
        <w:t> </w:t>
      </w:r>
      <w:r>
        <w:rPr/>
        <w:t>Office</w:t>
      </w:r>
      <w:r>
        <w:rPr>
          <w:spacing w:val="-8"/>
        </w:rPr>
        <w:t> </w:t>
      </w:r>
      <w:r>
        <w:rPr/>
        <w:t>will</w:t>
      </w:r>
      <w:r>
        <w:rPr>
          <w:spacing w:val="-4"/>
        </w:rPr>
        <w:t> </w:t>
      </w:r>
      <w:r>
        <w:rPr/>
        <w:t>determine</w:t>
      </w:r>
      <w:r>
        <w:rPr>
          <w:spacing w:val="-6"/>
        </w:rPr>
        <w:t> </w:t>
      </w:r>
      <w:r>
        <w:rPr/>
        <w:t>if</w:t>
      </w:r>
      <w:r>
        <w:rPr>
          <w:spacing w:val="-3"/>
        </w:rPr>
        <w:t> </w:t>
      </w:r>
      <w:r>
        <w:rPr/>
        <w:t>additional</w:t>
      </w:r>
      <w:r>
        <w:rPr>
          <w:spacing w:val="-9"/>
        </w:rPr>
        <w:t> </w:t>
      </w:r>
      <w:r>
        <w:rPr/>
        <w:t>monitoring</w:t>
      </w:r>
      <w:r>
        <w:rPr>
          <w:spacing w:val="-7"/>
        </w:rPr>
        <w:t> </w:t>
      </w:r>
      <w:r>
        <w:rPr/>
        <w:t>is</w:t>
      </w:r>
      <w:r>
        <w:rPr>
          <w:spacing w:val="-7"/>
        </w:rPr>
        <w:t> </w:t>
      </w:r>
      <w:r>
        <w:rPr/>
        <w:t>needed</w:t>
      </w:r>
      <w:r>
        <w:rPr>
          <w:spacing w:val="-5"/>
        </w:rPr>
        <w:t> </w:t>
      </w:r>
      <w:r>
        <w:rPr/>
        <w:t>to</w:t>
      </w:r>
      <w:r>
        <w:rPr>
          <w:spacing w:val="-8"/>
        </w:rPr>
        <w:t> </w:t>
      </w:r>
      <w:r>
        <w:rPr/>
        <w:t>obtain</w:t>
      </w:r>
      <w:r>
        <w:rPr>
          <w:spacing w:val="-5"/>
        </w:rPr>
        <w:t> </w:t>
      </w:r>
      <w:r>
        <w:rPr/>
        <w:t>a</w:t>
      </w:r>
      <w:r>
        <w:rPr>
          <w:spacing w:val="-4"/>
        </w:rPr>
        <w:t> </w:t>
      </w:r>
      <w:r>
        <w:rPr/>
        <w:t>compliant</w:t>
      </w:r>
      <w:r>
        <w:rPr>
          <w:spacing w:val="-5"/>
        </w:rPr>
        <w:t> </w:t>
      </w:r>
      <w:r>
        <w:rPr/>
        <w:t>status</w:t>
      </w:r>
      <w:r>
        <w:rPr>
          <w:spacing w:val="-4"/>
        </w:rPr>
        <w:t> </w:t>
      </w:r>
      <w:r>
        <w:rPr/>
        <w:t>and</w:t>
      </w:r>
      <w:r>
        <w:rPr>
          <w:spacing w:val="-5"/>
        </w:rPr>
        <w:t> </w:t>
      </w:r>
      <w:r>
        <w:rPr/>
        <w:t>ensure ongoing compliance with Title VI/Nondiscrimination requirements.</w:t>
      </w:r>
    </w:p>
    <w:p>
      <w:pPr>
        <w:pStyle w:val="BodyText"/>
        <w:spacing w:before="11"/>
        <w:rPr>
          <w:sz w:val="23"/>
        </w:rPr>
      </w:pPr>
    </w:p>
    <w:p>
      <w:pPr>
        <w:pStyle w:val="BodyText"/>
        <w:ind w:left="120" w:right="110"/>
        <w:jc w:val="both"/>
      </w:pPr>
      <w:r>
        <w:rPr/>
        <w:t>MaineDOT</w:t>
      </w:r>
      <w:r>
        <w:rPr>
          <w:spacing w:val="-3"/>
        </w:rPr>
        <w:t> </w:t>
      </w:r>
      <w:r>
        <w:rPr/>
        <w:t>has</w:t>
      </w:r>
      <w:r>
        <w:rPr>
          <w:spacing w:val="-4"/>
        </w:rPr>
        <w:t> </w:t>
      </w:r>
      <w:r>
        <w:rPr/>
        <w:t>a</w:t>
      </w:r>
      <w:r>
        <w:rPr>
          <w:spacing w:val="-4"/>
        </w:rPr>
        <w:t> </w:t>
      </w:r>
      <w:r>
        <w:rPr/>
        <w:t>standard check</w:t>
      </w:r>
      <w:r>
        <w:rPr>
          <w:spacing w:val="-3"/>
        </w:rPr>
        <w:t> </w:t>
      </w:r>
      <w:r>
        <w:rPr/>
        <w:t>list</w:t>
      </w:r>
      <w:r>
        <w:rPr>
          <w:spacing w:val="-5"/>
        </w:rPr>
        <w:t> </w:t>
      </w:r>
      <w:r>
        <w:rPr/>
        <w:t>that it</w:t>
      </w:r>
      <w:r>
        <w:rPr>
          <w:spacing w:val="-3"/>
        </w:rPr>
        <w:t> </w:t>
      </w:r>
      <w:r>
        <w:rPr/>
        <w:t>follows</w:t>
      </w:r>
      <w:r>
        <w:rPr>
          <w:spacing w:val="-2"/>
        </w:rPr>
        <w:t> </w:t>
      </w:r>
      <w:r>
        <w:rPr/>
        <w:t>to</w:t>
      </w:r>
      <w:r>
        <w:rPr>
          <w:spacing w:val="-6"/>
        </w:rPr>
        <w:t> </w:t>
      </w:r>
      <w:r>
        <w:rPr/>
        <w:t>ensure</w:t>
      </w:r>
      <w:r>
        <w:rPr>
          <w:spacing w:val="-3"/>
        </w:rPr>
        <w:t> </w:t>
      </w:r>
      <w:r>
        <w:rPr/>
        <w:t>that</w:t>
      </w:r>
      <w:r>
        <w:rPr>
          <w:spacing w:val="-3"/>
        </w:rPr>
        <w:t> </w:t>
      </w:r>
      <w:r>
        <w:rPr/>
        <w:t>all</w:t>
      </w:r>
      <w:r>
        <w:rPr>
          <w:spacing w:val="-4"/>
        </w:rPr>
        <w:t> </w:t>
      </w:r>
      <w:r>
        <w:rPr/>
        <w:t>documents</w:t>
      </w:r>
      <w:r>
        <w:rPr>
          <w:spacing w:val="-4"/>
        </w:rPr>
        <w:t> </w:t>
      </w:r>
      <w:r>
        <w:rPr/>
        <w:t>are</w:t>
      </w:r>
      <w:r>
        <w:rPr>
          <w:spacing w:val="-6"/>
        </w:rPr>
        <w:t> </w:t>
      </w:r>
      <w:r>
        <w:rPr/>
        <w:t>provided,</w:t>
      </w:r>
      <w:r>
        <w:rPr>
          <w:spacing w:val="-4"/>
        </w:rPr>
        <w:t> </w:t>
      </w:r>
      <w:r>
        <w:rPr/>
        <w:t>and</w:t>
      </w:r>
      <w:r>
        <w:rPr>
          <w:spacing w:val="-5"/>
        </w:rPr>
        <w:t> </w:t>
      </w:r>
      <w:r>
        <w:rPr/>
        <w:t>explanations and documentation of processes are given proper consideration.</w:t>
      </w:r>
      <w:r>
        <w:rPr>
          <w:spacing w:val="80"/>
        </w:rPr>
        <w:t> </w:t>
      </w:r>
      <w:r>
        <w:rPr/>
        <w:t>MaineDOT will first conduct a desk audit of all</w:t>
      </w:r>
      <w:r>
        <w:rPr>
          <w:spacing w:val="-4"/>
        </w:rPr>
        <w:t> </w:t>
      </w:r>
      <w:r>
        <w:rPr/>
        <w:t>information</w:t>
      </w:r>
      <w:r>
        <w:rPr>
          <w:spacing w:val="-5"/>
        </w:rPr>
        <w:t> </w:t>
      </w:r>
      <w:r>
        <w:rPr/>
        <w:t>requested.</w:t>
      </w:r>
      <w:r>
        <w:rPr>
          <w:spacing w:val="40"/>
        </w:rPr>
        <w:t> </w:t>
      </w:r>
      <w:r>
        <w:rPr/>
        <w:t>If</w:t>
      </w:r>
      <w:r>
        <w:rPr>
          <w:spacing w:val="-5"/>
        </w:rPr>
        <w:t> </w:t>
      </w:r>
      <w:r>
        <w:rPr/>
        <w:t>serious</w:t>
      </w:r>
      <w:r>
        <w:rPr>
          <w:spacing w:val="-7"/>
        </w:rPr>
        <w:t> </w:t>
      </w:r>
      <w:r>
        <w:rPr/>
        <w:t>deficiencies</w:t>
      </w:r>
      <w:r>
        <w:rPr>
          <w:spacing w:val="-9"/>
        </w:rPr>
        <w:t> </w:t>
      </w:r>
      <w:r>
        <w:rPr/>
        <w:t>are</w:t>
      </w:r>
      <w:r>
        <w:rPr>
          <w:spacing w:val="-6"/>
        </w:rPr>
        <w:t> </w:t>
      </w:r>
      <w:r>
        <w:rPr/>
        <w:t>found</w:t>
      </w:r>
      <w:r>
        <w:rPr>
          <w:spacing w:val="-8"/>
        </w:rPr>
        <w:t> </w:t>
      </w:r>
      <w:r>
        <w:rPr/>
        <w:t>that</w:t>
      </w:r>
      <w:r>
        <w:rPr>
          <w:spacing w:val="-3"/>
        </w:rPr>
        <w:t> </w:t>
      </w:r>
      <w:r>
        <w:rPr/>
        <w:t>cannot</w:t>
      </w:r>
      <w:r>
        <w:rPr>
          <w:spacing w:val="-5"/>
        </w:rPr>
        <w:t> </w:t>
      </w:r>
      <w:r>
        <w:rPr/>
        <w:t>be</w:t>
      </w:r>
      <w:r>
        <w:rPr>
          <w:spacing w:val="-6"/>
        </w:rPr>
        <w:t> </w:t>
      </w:r>
      <w:r>
        <w:rPr/>
        <w:t>remedied</w:t>
      </w:r>
      <w:r>
        <w:rPr>
          <w:spacing w:val="-5"/>
        </w:rPr>
        <w:t> </w:t>
      </w:r>
      <w:r>
        <w:rPr/>
        <w:t>through</w:t>
      </w:r>
      <w:r>
        <w:rPr>
          <w:spacing w:val="-5"/>
        </w:rPr>
        <w:t> </w:t>
      </w:r>
      <w:r>
        <w:rPr/>
        <w:t>documentation,</w:t>
      </w:r>
      <w:r>
        <w:rPr>
          <w:spacing w:val="-6"/>
        </w:rPr>
        <w:t> </w:t>
      </w:r>
      <w:r>
        <w:rPr/>
        <w:t>a site visit will be undertaken.</w:t>
      </w:r>
    </w:p>
    <w:p>
      <w:pPr>
        <w:pStyle w:val="BodyText"/>
        <w:spacing w:before="2"/>
      </w:pPr>
    </w:p>
    <w:p>
      <w:pPr>
        <w:pStyle w:val="BodyText"/>
        <w:ind w:left="120" w:right="114"/>
        <w:jc w:val="both"/>
      </w:pPr>
      <w:r>
        <w:rPr/>
        <w:t>Aside</w:t>
      </w:r>
      <w:r>
        <w:rPr>
          <w:spacing w:val="-2"/>
        </w:rPr>
        <w:t> </w:t>
      </w:r>
      <w:r>
        <w:rPr/>
        <w:t>from</w:t>
      </w:r>
      <w:r>
        <w:rPr>
          <w:spacing w:val="-2"/>
        </w:rPr>
        <w:t> </w:t>
      </w:r>
      <w:r>
        <w:rPr/>
        <w:t>the information required</w:t>
      </w:r>
      <w:r>
        <w:rPr>
          <w:spacing w:val="-1"/>
        </w:rPr>
        <w:t> </w:t>
      </w:r>
      <w:r>
        <w:rPr/>
        <w:t>above,</w:t>
      </w:r>
      <w:r>
        <w:rPr>
          <w:spacing w:val="-2"/>
        </w:rPr>
        <w:t> </w:t>
      </w:r>
      <w:r>
        <w:rPr/>
        <w:t>MaineDOT</w:t>
      </w:r>
      <w:r>
        <w:rPr>
          <w:spacing w:val="-2"/>
        </w:rPr>
        <w:t> </w:t>
      </w:r>
      <w:r>
        <w:rPr/>
        <w:t>will review</w:t>
      </w:r>
      <w:r>
        <w:rPr>
          <w:spacing w:val="-1"/>
        </w:rPr>
        <w:t> </w:t>
      </w:r>
      <w:r>
        <w:rPr/>
        <w:t>public</w:t>
      </w:r>
      <w:r>
        <w:rPr>
          <w:spacing w:val="-3"/>
        </w:rPr>
        <w:t> </w:t>
      </w:r>
      <w:r>
        <w:rPr/>
        <w:t>participation and</w:t>
      </w:r>
      <w:r>
        <w:rPr>
          <w:spacing w:val="-1"/>
        </w:rPr>
        <w:t> </w:t>
      </w:r>
      <w:r>
        <w:rPr/>
        <w:t>what</w:t>
      </w:r>
      <w:r>
        <w:rPr>
          <w:spacing w:val="-1"/>
        </w:rPr>
        <w:t> </w:t>
      </w:r>
      <w:r>
        <w:rPr/>
        <w:t>processes the agency has for providing information to impacted communities.</w:t>
      </w:r>
      <w:r>
        <w:rPr>
          <w:spacing w:val="40"/>
        </w:rPr>
        <w:t> </w:t>
      </w:r>
      <w:r>
        <w:rPr/>
        <w:t>It will also examine if and how any diverse populations</w:t>
      </w:r>
      <w:r>
        <w:rPr>
          <w:spacing w:val="-9"/>
        </w:rPr>
        <w:t> </w:t>
      </w:r>
      <w:r>
        <w:rPr/>
        <w:t>were</w:t>
      </w:r>
      <w:r>
        <w:rPr>
          <w:spacing w:val="-6"/>
        </w:rPr>
        <w:t> </w:t>
      </w:r>
      <w:r>
        <w:rPr/>
        <w:t>identified</w:t>
      </w:r>
      <w:r>
        <w:rPr>
          <w:spacing w:val="-5"/>
        </w:rPr>
        <w:t> </w:t>
      </w:r>
      <w:r>
        <w:rPr/>
        <w:t>and</w:t>
      </w:r>
      <w:r>
        <w:rPr>
          <w:spacing w:val="-8"/>
        </w:rPr>
        <w:t> </w:t>
      </w:r>
      <w:r>
        <w:rPr/>
        <w:t>how</w:t>
      </w:r>
      <w:r>
        <w:rPr>
          <w:spacing w:val="-8"/>
        </w:rPr>
        <w:t> </w:t>
      </w:r>
      <w:r>
        <w:rPr/>
        <w:t>these</w:t>
      </w:r>
      <w:r>
        <w:rPr>
          <w:spacing w:val="-8"/>
        </w:rPr>
        <w:t> </w:t>
      </w:r>
      <w:r>
        <w:rPr/>
        <w:t>populations</w:t>
      </w:r>
      <w:r>
        <w:rPr>
          <w:spacing w:val="-9"/>
        </w:rPr>
        <w:t> </w:t>
      </w:r>
      <w:r>
        <w:rPr/>
        <w:t>were</w:t>
      </w:r>
      <w:r>
        <w:rPr>
          <w:spacing w:val="-8"/>
        </w:rPr>
        <w:t> </w:t>
      </w:r>
      <w:r>
        <w:rPr/>
        <w:t>notified.</w:t>
      </w:r>
      <w:r>
        <w:rPr>
          <w:spacing w:val="39"/>
        </w:rPr>
        <w:t> </w:t>
      </w:r>
      <w:r>
        <w:rPr/>
        <w:t>This</w:t>
      </w:r>
      <w:r>
        <w:rPr>
          <w:spacing w:val="-9"/>
        </w:rPr>
        <w:t> </w:t>
      </w:r>
      <w:r>
        <w:rPr/>
        <w:t>will</w:t>
      </w:r>
      <w:r>
        <w:rPr>
          <w:spacing w:val="-6"/>
        </w:rPr>
        <w:t> </w:t>
      </w:r>
      <w:r>
        <w:rPr/>
        <w:t>require</w:t>
      </w:r>
      <w:r>
        <w:rPr>
          <w:spacing w:val="-8"/>
        </w:rPr>
        <w:t> </w:t>
      </w:r>
      <w:r>
        <w:rPr/>
        <w:t>a</w:t>
      </w:r>
      <w:r>
        <w:rPr>
          <w:spacing w:val="-6"/>
        </w:rPr>
        <w:t> </w:t>
      </w:r>
      <w:r>
        <w:rPr/>
        <w:t>review</w:t>
      </w:r>
      <w:r>
        <w:rPr>
          <w:spacing w:val="-8"/>
        </w:rPr>
        <w:t> </w:t>
      </w:r>
      <w:r>
        <w:rPr/>
        <w:t>of</w:t>
      </w:r>
      <w:r>
        <w:rPr>
          <w:spacing w:val="-8"/>
        </w:rPr>
        <w:t> </w:t>
      </w:r>
      <w:r>
        <w:rPr/>
        <w:t>the</w:t>
      </w:r>
      <w:r>
        <w:rPr>
          <w:spacing w:val="-6"/>
        </w:rPr>
        <w:t> </w:t>
      </w:r>
      <w:r>
        <w:rPr/>
        <w:t>agency’s data collection processes and knowledge of Title VI populations that may be impacted.</w:t>
      </w:r>
    </w:p>
    <w:p>
      <w:pPr>
        <w:spacing w:after="0"/>
        <w:jc w:val="both"/>
        <w:sectPr>
          <w:pgSz w:w="12240" w:h="15840"/>
          <w:pgMar w:header="0" w:footer="1063" w:top="960" w:bottom="1260" w:left="600" w:right="600"/>
        </w:sectPr>
      </w:pPr>
    </w:p>
    <w:p>
      <w:pPr>
        <w:pStyle w:val="Heading9"/>
        <w:spacing w:before="35"/>
      </w:pPr>
      <w:r>
        <w:rPr/>
        <w:t>Review</w:t>
      </w:r>
      <w:r>
        <w:rPr>
          <w:spacing w:val="-1"/>
        </w:rPr>
        <w:t> </w:t>
      </w:r>
      <w:r>
        <w:rPr/>
        <w:t>of</w:t>
      </w:r>
      <w:r>
        <w:rPr>
          <w:spacing w:val="-1"/>
        </w:rPr>
        <w:t> </w:t>
      </w:r>
      <w:r>
        <w:rPr/>
        <w:t>MaineDOT</w:t>
      </w:r>
      <w:r>
        <w:rPr>
          <w:spacing w:val="-2"/>
        </w:rPr>
        <w:t> Directives</w:t>
      </w:r>
    </w:p>
    <w:p>
      <w:pPr>
        <w:pStyle w:val="BodyText"/>
        <w:rPr>
          <w:b/>
        </w:rPr>
      </w:pPr>
    </w:p>
    <w:p>
      <w:pPr>
        <w:pStyle w:val="BodyText"/>
        <w:ind w:left="120"/>
      </w:pPr>
      <w:r>
        <w:rPr/>
        <w:t>The</w:t>
      </w:r>
      <w:r>
        <w:rPr>
          <w:spacing w:val="-3"/>
        </w:rPr>
        <w:t> </w:t>
      </w:r>
      <w:r>
        <w:rPr/>
        <w:t>Director</w:t>
      </w:r>
      <w:r>
        <w:rPr>
          <w:spacing w:val="-4"/>
        </w:rPr>
        <w:t> </w:t>
      </w:r>
      <w:r>
        <w:rPr/>
        <w:t>of</w:t>
      </w:r>
      <w:r>
        <w:rPr>
          <w:spacing w:val="-3"/>
        </w:rPr>
        <w:t> </w:t>
      </w:r>
      <w:r>
        <w:rPr/>
        <w:t>the</w:t>
      </w:r>
      <w:r>
        <w:rPr>
          <w:spacing w:val="-1"/>
        </w:rPr>
        <w:t> </w:t>
      </w:r>
      <w:r>
        <w:rPr/>
        <w:t>Civil</w:t>
      </w:r>
      <w:r>
        <w:rPr>
          <w:spacing w:val="-4"/>
        </w:rPr>
        <w:t> </w:t>
      </w:r>
      <w:r>
        <w:rPr/>
        <w:t>Rights</w:t>
      </w:r>
      <w:r>
        <w:rPr>
          <w:spacing w:val="-2"/>
        </w:rPr>
        <w:t> </w:t>
      </w:r>
      <w:r>
        <w:rPr/>
        <w:t>Office</w:t>
      </w:r>
      <w:r>
        <w:rPr>
          <w:spacing w:val="-1"/>
        </w:rPr>
        <w:t> </w:t>
      </w:r>
      <w:r>
        <w:rPr/>
        <w:t>receives</w:t>
      </w:r>
      <w:r>
        <w:rPr>
          <w:spacing w:val="-4"/>
        </w:rPr>
        <w:t> </w:t>
      </w:r>
      <w:r>
        <w:rPr/>
        <w:t>and reviews</w:t>
      </w:r>
      <w:r>
        <w:rPr>
          <w:spacing w:val="-2"/>
        </w:rPr>
        <w:t> </w:t>
      </w:r>
      <w:r>
        <w:rPr/>
        <w:t>all</w:t>
      </w:r>
      <w:r>
        <w:rPr>
          <w:spacing w:val="-4"/>
        </w:rPr>
        <w:t> </w:t>
      </w:r>
      <w:r>
        <w:rPr/>
        <w:t>draft</w:t>
      </w:r>
      <w:r>
        <w:rPr>
          <w:spacing w:val="-3"/>
        </w:rPr>
        <w:t> </w:t>
      </w:r>
      <w:r>
        <w:rPr/>
        <w:t>Administrative</w:t>
      </w:r>
      <w:r>
        <w:rPr>
          <w:spacing w:val="-3"/>
        </w:rPr>
        <w:t> </w:t>
      </w:r>
      <w:r>
        <w:rPr/>
        <w:t>Policy</w:t>
      </w:r>
      <w:r>
        <w:rPr>
          <w:spacing w:val="-5"/>
        </w:rPr>
        <w:t> </w:t>
      </w:r>
      <w:r>
        <w:rPr/>
        <w:t>Memoranda</w:t>
      </w:r>
      <w:r>
        <w:rPr>
          <w:spacing w:val="-1"/>
        </w:rPr>
        <w:t> </w:t>
      </w:r>
      <w:r>
        <w:rPr/>
        <w:t>for compliance with federal civil rights laws and regulations.</w:t>
      </w:r>
      <w:r>
        <w:rPr>
          <w:spacing w:val="40"/>
        </w:rPr>
        <w:t> </w:t>
      </w:r>
      <w:r>
        <w:rPr/>
        <w:t>If a memorandum is believed to have Title VI implications, it will be discussed with the Commissioner and modified as necessary.</w:t>
      </w:r>
    </w:p>
    <w:p>
      <w:pPr>
        <w:pStyle w:val="BodyText"/>
        <w:spacing w:before="11"/>
        <w:rPr>
          <w:sz w:val="23"/>
        </w:rPr>
      </w:pPr>
    </w:p>
    <w:p>
      <w:pPr>
        <w:pStyle w:val="Heading9"/>
        <w:ind w:left="119"/>
      </w:pPr>
      <w:r>
        <w:rPr/>
        <w:t>Compliance</w:t>
      </w:r>
      <w:r>
        <w:rPr>
          <w:spacing w:val="-3"/>
        </w:rPr>
        <w:t> </w:t>
      </w:r>
      <w:r>
        <w:rPr/>
        <w:t>and</w:t>
      </w:r>
      <w:r>
        <w:rPr>
          <w:spacing w:val="-2"/>
        </w:rPr>
        <w:t> </w:t>
      </w:r>
      <w:r>
        <w:rPr/>
        <w:t>Enforcement</w:t>
      </w:r>
      <w:r>
        <w:rPr>
          <w:spacing w:val="-2"/>
        </w:rPr>
        <w:t> Procedure</w:t>
      </w:r>
    </w:p>
    <w:p>
      <w:pPr>
        <w:pStyle w:val="BodyText"/>
        <w:spacing w:before="2"/>
        <w:rPr>
          <w:b/>
        </w:rPr>
      </w:pPr>
    </w:p>
    <w:p>
      <w:pPr>
        <w:pStyle w:val="BodyText"/>
        <w:ind w:left="120" w:right="113"/>
        <w:jc w:val="both"/>
      </w:pPr>
      <w:r>
        <w:rPr/>
        <w:t>In the event MaineDOT determines, after the completion of a pre-award or post-award desk audit review, compliance review or complaint investigation (collectively, the “Review”), that a subrecipient is not in compliance with Title VI requirements, MaineDOT will notify the subrecipient in writing, meet and coordinate with</w:t>
      </w:r>
      <w:r>
        <w:rPr>
          <w:spacing w:val="-3"/>
        </w:rPr>
        <w:t> </w:t>
      </w:r>
      <w:r>
        <w:rPr/>
        <w:t>the</w:t>
      </w:r>
      <w:r>
        <w:rPr>
          <w:spacing w:val="-4"/>
        </w:rPr>
        <w:t> </w:t>
      </w:r>
      <w:r>
        <w:rPr/>
        <w:t>subrecipient</w:t>
      </w:r>
      <w:r>
        <w:rPr>
          <w:spacing w:val="-3"/>
        </w:rPr>
        <w:t> </w:t>
      </w:r>
      <w:r>
        <w:rPr/>
        <w:t>to</w:t>
      </w:r>
      <w:r>
        <w:rPr>
          <w:spacing w:val="-6"/>
        </w:rPr>
        <w:t> </w:t>
      </w:r>
      <w:r>
        <w:rPr/>
        <w:t>develop remedial</w:t>
      </w:r>
      <w:r>
        <w:rPr>
          <w:spacing w:val="-4"/>
        </w:rPr>
        <w:t> </w:t>
      </w:r>
      <w:r>
        <w:rPr/>
        <w:t>action</w:t>
      </w:r>
      <w:r>
        <w:rPr>
          <w:spacing w:val="-5"/>
        </w:rPr>
        <w:t> </w:t>
      </w:r>
      <w:r>
        <w:rPr/>
        <w:t>to</w:t>
      </w:r>
      <w:r>
        <w:rPr>
          <w:spacing w:val="-3"/>
        </w:rPr>
        <w:t> </w:t>
      </w:r>
      <w:r>
        <w:rPr/>
        <w:t>promptly</w:t>
      </w:r>
      <w:r>
        <w:rPr>
          <w:spacing w:val="-5"/>
        </w:rPr>
        <w:t> </w:t>
      </w:r>
      <w:r>
        <w:rPr/>
        <w:t>resolve</w:t>
      </w:r>
      <w:r>
        <w:rPr>
          <w:spacing w:val="-3"/>
        </w:rPr>
        <w:t> </w:t>
      </w:r>
      <w:r>
        <w:rPr/>
        <w:t>the</w:t>
      </w:r>
      <w:r>
        <w:rPr>
          <w:spacing w:val="-3"/>
        </w:rPr>
        <w:t> </w:t>
      </w:r>
      <w:r>
        <w:rPr/>
        <w:t>deficiency(ies),</w:t>
      </w:r>
      <w:r>
        <w:rPr>
          <w:spacing w:val="-1"/>
        </w:rPr>
        <w:t> </w:t>
      </w:r>
      <w:r>
        <w:rPr/>
        <w:t>and</w:t>
      </w:r>
      <w:r>
        <w:rPr>
          <w:spacing w:val="-5"/>
        </w:rPr>
        <w:t> </w:t>
      </w:r>
      <w:r>
        <w:rPr/>
        <w:t>prepare</w:t>
      </w:r>
      <w:r>
        <w:rPr>
          <w:spacing w:val="-1"/>
        </w:rPr>
        <w:t> </w:t>
      </w:r>
      <w:r>
        <w:rPr/>
        <w:t>a</w:t>
      </w:r>
      <w:r>
        <w:rPr>
          <w:spacing w:val="-6"/>
        </w:rPr>
        <w:t> </w:t>
      </w:r>
      <w:r>
        <w:rPr/>
        <w:t>written plan of such remedial action, all within 90 days of MaineDOT’s original determination.</w:t>
      </w:r>
    </w:p>
    <w:p>
      <w:pPr>
        <w:pStyle w:val="BodyText"/>
        <w:spacing w:before="11"/>
        <w:rPr>
          <w:sz w:val="23"/>
        </w:rPr>
      </w:pPr>
    </w:p>
    <w:p>
      <w:pPr>
        <w:pStyle w:val="Heading9"/>
        <w:spacing w:before="1"/>
        <w:jc w:val="both"/>
      </w:pPr>
      <w:r>
        <w:rPr/>
        <w:t>Remedial</w:t>
      </w:r>
      <w:r>
        <w:rPr>
          <w:spacing w:val="-2"/>
        </w:rPr>
        <w:t> Action</w:t>
      </w:r>
    </w:p>
    <w:p>
      <w:pPr>
        <w:pStyle w:val="BodyText"/>
        <w:spacing w:before="11"/>
        <w:rPr>
          <w:b/>
          <w:sz w:val="23"/>
        </w:rPr>
      </w:pPr>
    </w:p>
    <w:p>
      <w:pPr>
        <w:pStyle w:val="BodyText"/>
        <w:spacing w:before="1"/>
        <w:ind w:left="120" w:right="114"/>
        <w:jc w:val="both"/>
      </w:pPr>
      <w:r>
        <w:rPr/>
        <w:t>Subrecipients found not to be in compliance are expected to correct all deficiencies according to the remedial action</w:t>
      </w:r>
      <w:r>
        <w:rPr>
          <w:spacing w:val="-9"/>
        </w:rPr>
        <w:t> </w:t>
      </w:r>
      <w:r>
        <w:rPr/>
        <w:t>plan</w:t>
      </w:r>
      <w:r>
        <w:rPr>
          <w:spacing w:val="-9"/>
        </w:rPr>
        <w:t> </w:t>
      </w:r>
      <w:r>
        <w:rPr/>
        <w:t>prepared</w:t>
      </w:r>
      <w:r>
        <w:rPr>
          <w:spacing w:val="-9"/>
        </w:rPr>
        <w:t> </w:t>
      </w:r>
      <w:r>
        <w:rPr/>
        <w:t>by</w:t>
      </w:r>
      <w:r>
        <w:rPr>
          <w:spacing w:val="-11"/>
        </w:rPr>
        <w:t> </w:t>
      </w:r>
      <w:r>
        <w:rPr/>
        <w:t>MaineDOT.</w:t>
      </w:r>
      <w:r>
        <w:rPr>
          <w:spacing w:val="36"/>
        </w:rPr>
        <w:t> </w:t>
      </w:r>
      <w:r>
        <w:rPr/>
        <w:t>The</w:t>
      </w:r>
      <w:r>
        <w:rPr>
          <w:spacing w:val="-10"/>
        </w:rPr>
        <w:t> </w:t>
      </w:r>
      <w:r>
        <w:rPr/>
        <w:t>Title</w:t>
      </w:r>
      <w:r>
        <w:rPr>
          <w:spacing w:val="-10"/>
        </w:rPr>
        <w:t> </w:t>
      </w:r>
      <w:r>
        <w:rPr/>
        <w:t>VI</w:t>
      </w:r>
      <w:r>
        <w:rPr>
          <w:spacing w:val="-8"/>
        </w:rPr>
        <w:t> </w:t>
      </w:r>
      <w:r>
        <w:rPr/>
        <w:t>Coordinator</w:t>
      </w:r>
      <w:r>
        <w:rPr>
          <w:spacing w:val="-10"/>
        </w:rPr>
        <w:t> </w:t>
      </w:r>
      <w:r>
        <w:rPr/>
        <w:t>will</w:t>
      </w:r>
      <w:r>
        <w:rPr>
          <w:spacing w:val="-10"/>
        </w:rPr>
        <w:t> </w:t>
      </w:r>
      <w:r>
        <w:rPr/>
        <w:t>provide</w:t>
      </w:r>
      <w:r>
        <w:rPr>
          <w:spacing w:val="-10"/>
        </w:rPr>
        <w:t> </w:t>
      </w:r>
      <w:r>
        <w:rPr/>
        <w:t>technical</w:t>
      </w:r>
      <w:r>
        <w:rPr>
          <w:spacing w:val="-8"/>
        </w:rPr>
        <w:t> </w:t>
      </w:r>
      <w:r>
        <w:rPr/>
        <w:t>assistance</w:t>
      </w:r>
      <w:r>
        <w:rPr>
          <w:spacing w:val="-10"/>
        </w:rPr>
        <w:t> </w:t>
      </w:r>
      <w:r>
        <w:rPr/>
        <w:t>and</w:t>
      </w:r>
      <w:r>
        <w:rPr>
          <w:spacing w:val="-11"/>
        </w:rPr>
        <w:t> </w:t>
      </w:r>
      <w:r>
        <w:rPr/>
        <w:t>work</w:t>
      </w:r>
      <w:r>
        <w:rPr>
          <w:spacing w:val="-9"/>
        </w:rPr>
        <w:t> </w:t>
      </w:r>
      <w:r>
        <w:rPr/>
        <w:t>with</w:t>
      </w:r>
      <w:r>
        <w:rPr>
          <w:spacing w:val="-9"/>
        </w:rPr>
        <w:t> </w:t>
      </w:r>
      <w:r>
        <w:rPr/>
        <w:t>the subrecipient to ensure implementation of the remedial action plan.</w:t>
      </w:r>
      <w:r>
        <w:rPr>
          <w:spacing w:val="40"/>
        </w:rPr>
        <w:t> </w:t>
      </w:r>
      <w:r>
        <w:rPr/>
        <w:t>When the Title VI Coordinator has determined that a subrecipient’s deficiencies are sufficiently corrected, the subrecipient will be notified that the review process is complete.</w:t>
      </w:r>
      <w:r>
        <w:rPr>
          <w:spacing w:val="40"/>
        </w:rPr>
        <w:t> </w:t>
      </w:r>
      <w:r>
        <w:rPr/>
        <w:t>MaineDOT will send an official Closeout Letter to the Subrecipient.</w:t>
      </w:r>
    </w:p>
    <w:p>
      <w:pPr>
        <w:pStyle w:val="BodyText"/>
        <w:spacing w:before="1"/>
      </w:pPr>
    </w:p>
    <w:p>
      <w:pPr>
        <w:pStyle w:val="Heading9"/>
        <w:jc w:val="both"/>
      </w:pPr>
      <w:r>
        <w:rPr/>
        <w:t>Effecting</w:t>
      </w:r>
      <w:r>
        <w:rPr>
          <w:spacing w:val="-3"/>
        </w:rPr>
        <w:t> </w:t>
      </w:r>
      <w:r>
        <w:rPr>
          <w:spacing w:val="-2"/>
        </w:rPr>
        <w:t>Compliance</w:t>
      </w:r>
    </w:p>
    <w:p>
      <w:pPr>
        <w:pStyle w:val="BodyText"/>
        <w:spacing w:before="12"/>
        <w:rPr>
          <w:b/>
          <w:sz w:val="23"/>
        </w:rPr>
      </w:pPr>
    </w:p>
    <w:p>
      <w:pPr>
        <w:pStyle w:val="BodyText"/>
        <w:ind w:left="120" w:right="116"/>
        <w:jc w:val="both"/>
      </w:pPr>
      <w:r>
        <w:rPr/>
        <w:t>When a subrecipient fails to take appropriate action to make corrective action(s) to resolve the deficiency(ies) cited in the review:</w:t>
      </w:r>
    </w:p>
    <w:p>
      <w:pPr>
        <w:pStyle w:val="BodyText"/>
        <w:spacing w:before="10"/>
        <w:rPr>
          <w:sz w:val="23"/>
        </w:rPr>
      </w:pPr>
    </w:p>
    <w:p>
      <w:pPr>
        <w:pStyle w:val="ListParagraph"/>
        <w:numPr>
          <w:ilvl w:val="0"/>
          <w:numId w:val="6"/>
        </w:numPr>
        <w:tabs>
          <w:tab w:pos="839" w:val="left" w:leader="none"/>
        </w:tabs>
        <w:spacing w:line="305" w:lineRule="exact" w:before="1" w:after="0"/>
        <w:ind w:left="839" w:right="0" w:hanging="359"/>
        <w:jc w:val="left"/>
        <w:rPr>
          <w:sz w:val="24"/>
        </w:rPr>
      </w:pPr>
      <w:r>
        <w:rPr>
          <w:sz w:val="24"/>
        </w:rPr>
        <w:t>The</w:t>
      </w:r>
      <w:r>
        <w:rPr>
          <w:spacing w:val="-4"/>
          <w:sz w:val="24"/>
        </w:rPr>
        <w:t> </w:t>
      </w:r>
      <w:r>
        <w:rPr>
          <w:sz w:val="24"/>
        </w:rPr>
        <w:t>subrecipient moves</w:t>
      </w:r>
      <w:r>
        <w:rPr>
          <w:spacing w:val="-4"/>
          <w:sz w:val="24"/>
        </w:rPr>
        <w:t> </w:t>
      </w:r>
      <w:r>
        <w:rPr>
          <w:sz w:val="24"/>
        </w:rPr>
        <w:t>from</w:t>
      </w:r>
      <w:r>
        <w:rPr>
          <w:spacing w:val="-1"/>
          <w:sz w:val="24"/>
        </w:rPr>
        <w:t> </w:t>
      </w:r>
      <w:r>
        <w:rPr>
          <w:sz w:val="24"/>
        </w:rPr>
        <w:t>a</w:t>
      </w:r>
      <w:r>
        <w:rPr>
          <w:spacing w:val="-4"/>
          <w:sz w:val="24"/>
        </w:rPr>
        <w:t> </w:t>
      </w:r>
      <w:r>
        <w:rPr>
          <w:sz w:val="24"/>
        </w:rPr>
        <w:t>“deficiency</w:t>
      </w:r>
      <w:r>
        <w:rPr>
          <w:spacing w:val="-2"/>
          <w:sz w:val="24"/>
        </w:rPr>
        <w:t> </w:t>
      </w:r>
      <w:r>
        <w:rPr>
          <w:sz w:val="24"/>
        </w:rPr>
        <w:t>status”</w:t>
      </w:r>
      <w:r>
        <w:rPr>
          <w:spacing w:val="-4"/>
          <w:sz w:val="24"/>
        </w:rPr>
        <w:t> </w:t>
      </w:r>
      <w:r>
        <w:rPr>
          <w:sz w:val="24"/>
        </w:rPr>
        <w:t>to</w:t>
      </w:r>
      <w:r>
        <w:rPr>
          <w:spacing w:val="-2"/>
          <w:sz w:val="24"/>
        </w:rPr>
        <w:t> </w:t>
      </w:r>
      <w:r>
        <w:rPr>
          <w:sz w:val="24"/>
        </w:rPr>
        <w:t>non-</w:t>
      </w:r>
      <w:r>
        <w:rPr>
          <w:spacing w:val="-2"/>
          <w:sz w:val="24"/>
        </w:rPr>
        <w:t>compliance;</w:t>
      </w:r>
    </w:p>
    <w:p>
      <w:pPr>
        <w:pStyle w:val="ListParagraph"/>
        <w:numPr>
          <w:ilvl w:val="0"/>
          <w:numId w:val="6"/>
        </w:numPr>
        <w:tabs>
          <w:tab w:pos="840" w:val="left" w:leader="none"/>
        </w:tabs>
        <w:spacing w:line="242" w:lineRule="auto" w:before="0" w:after="0"/>
        <w:ind w:left="840" w:right="111" w:hanging="360"/>
        <w:jc w:val="left"/>
        <w:rPr>
          <w:sz w:val="24"/>
        </w:rPr>
      </w:pPr>
      <w:r>
        <w:rPr>
          <w:sz w:val="24"/>
        </w:rPr>
        <w:t>MaineDOT will submit a copy of the case file to FTA with a recommendation that the subrecipient be</w:t>
      </w:r>
      <w:r>
        <w:rPr>
          <w:spacing w:val="40"/>
          <w:sz w:val="24"/>
        </w:rPr>
        <w:t> </w:t>
      </w:r>
      <w:r>
        <w:rPr>
          <w:sz w:val="24"/>
        </w:rPr>
        <w:t>found in noncompliance; and/or</w:t>
      </w:r>
    </w:p>
    <w:p>
      <w:pPr>
        <w:pStyle w:val="ListParagraph"/>
        <w:numPr>
          <w:ilvl w:val="0"/>
          <w:numId w:val="6"/>
        </w:numPr>
        <w:tabs>
          <w:tab w:pos="840" w:val="left" w:leader="none"/>
        </w:tabs>
        <w:spacing w:line="240" w:lineRule="auto" w:before="0" w:after="0"/>
        <w:ind w:left="840" w:right="114" w:hanging="360"/>
        <w:jc w:val="left"/>
        <w:rPr>
          <w:sz w:val="24"/>
        </w:rPr>
      </w:pPr>
      <w:r>
        <w:rPr>
          <w:sz w:val="24"/>
        </w:rPr>
        <w:t>MaineDOT</w:t>
      </w:r>
      <w:r>
        <w:rPr>
          <w:spacing w:val="-7"/>
          <w:sz w:val="24"/>
        </w:rPr>
        <w:t> </w:t>
      </w:r>
      <w:r>
        <w:rPr>
          <w:sz w:val="24"/>
        </w:rPr>
        <w:t>may,</w:t>
      </w:r>
      <w:r>
        <w:rPr>
          <w:spacing w:val="-7"/>
          <w:sz w:val="24"/>
        </w:rPr>
        <w:t> </w:t>
      </w:r>
      <w:r>
        <w:rPr>
          <w:sz w:val="24"/>
        </w:rPr>
        <w:t>with</w:t>
      </w:r>
      <w:r>
        <w:rPr>
          <w:spacing w:val="-8"/>
          <w:sz w:val="24"/>
        </w:rPr>
        <w:t> </w:t>
      </w:r>
      <w:r>
        <w:rPr>
          <w:sz w:val="24"/>
        </w:rPr>
        <w:t>the</w:t>
      </w:r>
      <w:r>
        <w:rPr>
          <w:spacing w:val="-8"/>
          <w:sz w:val="24"/>
        </w:rPr>
        <w:t> </w:t>
      </w:r>
      <w:r>
        <w:rPr>
          <w:sz w:val="24"/>
        </w:rPr>
        <w:t>concurrence</w:t>
      </w:r>
      <w:r>
        <w:rPr>
          <w:spacing w:val="-7"/>
          <w:sz w:val="24"/>
        </w:rPr>
        <w:t> </w:t>
      </w:r>
      <w:r>
        <w:rPr>
          <w:sz w:val="24"/>
        </w:rPr>
        <w:t>of</w:t>
      </w:r>
      <w:r>
        <w:rPr>
          <w:spacing w:val="-6"/>
          <w:sz w:val="24"/>
        </w:rPr>
        <w:t> </w:t>
      </w:r>
      <w:r>
        <w:rPr>
          <w:sz w:val="24"/>
        </w:rPr>
        <w:t>FTA</w:t>
      </w:r>
      <w:r>
        <w:rPr>
          <w:spacing w:val="-7"/>
          <w:sz w:val="24"/>
        </w:rPr>
        <w:t> </w:t>
      </w:r>
      <w:r>
        <w:rPr>
          <w:sz w:val="24"/>
        </w:rPr>
        <w:t>(or</w:t>
      </w:r>
      <w:r>
        <w:rPr>
          <w:spacing w:val="-7"/>
          <w:sz w:val="24"/>
        </w:rPr>
        <w:t> </w:t>
      </w:r>
      <w:r>
        <w:rPr>
          <w:sz w:val="24"/>
        </w:rPr>
        <w:t>other</w:t>
      </w:r>
      <w:r>
        <w:rPr>
          <w:spacing w:val="-7"/>
          <w:sz w:val="24"/>
        </w:rPr>
        <w:t> </w:t>
      </w:r>
      <w:r>
        <w:rPr>
          <w:sz w:val="24"/>
        </w:rPr>
        <w:t>USDOT</w:t>
      </w:r>
      <w:r>
        <w:rPr>
          <w:spacing w:val="-7"/>
          <w:sz w:val="24"/>
        </w:rPr>
        <w:t> </w:t>
      </w:r>
      <w:r>
        <w:rPr>
          <w:sz w:val="24"/>
        </w:rPr>
        <w:t>oversight</w:t>
      </w:r>
      <w:r>
        <w:rPr>
          <w:spacing w:val="-6"/>
          <w:sz w:val="24"/>
        </w:rPr>
        <w:t> </w:t>
      </w:r>
      <w:r>
        <w:rPr>
          <w:sz w:val="24"/>
        </w:rPr>
        <w:t>agency),</w:t>
      </w:r>
      <w:r>
        <w:rPr>
          <w:spacing w:val="-7"/>
          <w:sz w:val="24"/>
        </w:rPr>
        <w:t> </w:t>
      </w:r>
      <w:r>
        <w:rPr>
          <w:sz w:val="24"/>
        </w:rPr>
        <w:t>initiate</w:t>
      </w:r>
      <w:r>
        <w:rPr>
          <w:spacing w:val="-7"/>
          <w:sz w:val="24"/>
        </w:rPr>
        <w:t> </w:t>
      </w:r>
      <w:r>
        <w:rPr>
          <w:sz w:val="24"/>
        </w:rPr>
        <w:t>proceedings</w:t>
      </w:r>
      <w:r>
        <w:rPr>
          <w:spacing w:val="-7"/>
          <w:sz w:val="24"/>
        </w:rPr>
        <w:t> </w:t>
      </w:r>
      <w:r>
        <w:rPr>
          <w:sz w:val="24"/>
        </w:rPr>
        <w:t>to impose sanctions for non-compliance.</w:t>
      </w:r>
    </w:p>
    <w:p>
      <w:pPr>
        <w:spacing w:after="0" w:line="240" w:lineRule="auto"/>
        <w:jc w:val="left"/>
        <w:rPr>
          <w:sz w:val="24"/>
        </w:rPr>
        <w:sectPr>
          <w:pgSz w:w="12240" w:h="15840"/>
          <w:pgMar w:header="0" w:footer="1063" w:top="960" w:bottom="1260" w:left="600" w:right="600"/>
        </w:sectPr>
      </w:pPr>
    </w:p>
    <w:p>
      <w:pPr>
        <w:pStyle w:val="Heading8"/>
        <w:spacing w:before="35"/>
        <w:ind w:left="120"/>
        <w:jc w:val="left"/>
        <w:rPr>
          <w:u w:val="none"/>
        </w:rPr>
      </w:pPr>
      <w:r>
        <w:rPr/>
        <mc:AlternateContent>
          <mc:Choice Requires="wps">
            <w:drawing>
              <wp:anchor distT="0" distB="0" distL="0" distR="0" allowOverlap="1" layoutInCell="1" locked="0" behindDoc="1" simplePos="0" relativeHeight="478347776">
                <wp:simplePos x="0" y="0"/>
                <wp:positionH relativeFrom="page">
                  <wp:posOffset>3810000</wp:posOffset>
                </wp:positionH>
                <wp:positionV relativeFrom="page">
                  <wp:posOffset>9256606</wp:posOffset>
                </wp:positionV>
                <wp:extent cx="152400" cy="16891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2400" cy="168910"/>
                        </a:xfrm>
                        <a:prstGeom prst="rect">
                          <a:avLst/>
                        </a:prstGeom>
                      </wps:spPr>
                      <wps:txbx>
                        <w:txbxContent>
                          <w:p>
                            <w:pPr>
                              <w:pStyle w:val="BodyText"/>
                              <w:spacing w:line="266" w:lineRule="exact"/>
                              <w:rPr>
                                <w:rFonts w:ascii="Times New Roman"/>
                              </w:rPr>
                            </w:pPr>
                            <w:r>
                              <w:rPr>
                                <w:rFonts w:ascii="Times New Roman"/>
                                <w:spacing w:val="-5"/>
                              </w:rPr>
                              <w:t>26</w:t>
                            </w:r>
                          </w:p>
                        </w:txbxContent>
                      </wps:txbx>
                      <wps:bodyPr wrap="square" lIns="0" tIns="0" rIns="0" bIns="0" rtlCol="0">
                        <a:noAutofit/>
                      </wps:bodyPr>
                    </wps:wsp>
                  </a:graphicData>
                </a:graphic>
              </wp:anchor>
            </w:drawing>
          </mc:Choice>
          <mc:Fallback>
            <w:pict>
              <v:shape style="position:absolute;margin-left:300pt;margin-top:728.866638pt;width:12pt;height:13.3pt;mso-position-horizontal-relative:page;mso-position-vertical-relative:page;z-index:-24968704" type="#_x0000_t202" id="docshape15" filled="false" stroked="false">
                <v:textbox inset="0,0,0,0">
                  <w:txbxContent>
                    <w:p>
                      <w:pPr>
                        <w:pStyle w:val="BodyText"/>
                        <w:spacing w:line="266" w:lineRule="exact"/>
                        <w:rPr>
                          <w:rFonts w:ascii="Times New Roman"/>
                        </w:rPr>
                      </w:pPr>
                      <w:r>
                        <w:rPr>
                          <w:rFonts w:ascii="Times New Roman"/>
                          <w:spacing w:val="-5"/>
                        </w:rPr>
                        <w:t>26</w:t>
                      </w:r>
                    </w:p>
                  </w:txbxContent>
                </v:textbox>
                <w10:wrap type="none"/>
              </v:shape>
            </w:pict>
          </mc:Fallback>
        </mc:AlternateContent>
      </w:r>
      <w:bookmarkStart w:name="CHAPTER III REQUIREMENTS" w:id="12"/>
      <w:bookmarkEnd w:id="12"/>
      <w:r>
        <w:rPr>
          <w:b w:val="0"/>
          <w:u w:val="none"/>
        </w:rPr>
      </w:r>
      <w:bookmarkStart w:name="_bookmark5" w:id="13"/>
      <w:bookmarkEnd w:id="13"/>
      <w:r>
        <w:rPr>
          <w:b w:val="0"/>
          <w:u w:val="none"/>
        </w:rPr>
      </w:r>
      <w:r>
        <w:rPr>
          <w:u w:val="single"/>
        </w:rPr>
        <w:t>CHAPTER</w:t>
      </w:r>
      <w:r>
        <w:rPr>
          <w:spacing w:val="-2"/>
          <w:u w:val="single"/>
        </w:rPr>
        <w:t> </w:t>
      </w:r>
      <w:r>
        <w:rPr>
          <w:u w:val="single"/>
        </w:rPr>
        <w:t>III </w:t>
      </w:r>
      <w:r>
        <w:rPr>
          <w:spacing w:val="-2"/>
          <w:u w:val="single"/>
        </w:rPr>
        <w:t>REQUIREMENTS</w:t>
      </w:r>
    </w:p>
    <w:p>
      <w:pPr>
        <w:pStyle w:val="BodyText"/>
        <w:spacing w:before="5"/>
        <w:rPr>
          <w:b/>
          <w:sz w:val="28"/>
        </w:rPr>
      </w:pPr>
    </w:p>
    <w:p>
      <w:pPr>
        <w:pStyle w:val="Heading9"/>
        <w:numPr>
          <w:ilvl w:val="0"/>
          <w:numId w:val="7"/>
        </w:numPr>
        <w:tabs>
          <w:tab w:pos="478" w:val="left" w:leader="none"/>
        </w:tabs>
        <w:spacing w:line="240" w:lineRule="auto" w:before="52" w:after="0"/>
        <w:ind w:left="478" w:right="0" w:hanging="358"/>
        <w:jc w:val="left"/>
      </w:pPr>
      <w:bookmarkStart w:name="1. Title VI Public Notice" w:id="14"/>
      <w:bookmarkEnd w:id="14"/>
      <w:r>
        <w:rPr>
          <w:b w:val="0"/>
        </w:rPr>
      </w:r>
      <w:bookmarkStart w:name="_bookmark6" w:id="15"/>
      <w:bookmarkEnd w:id="15"/>
      <w:r>
        <w:rPr>
          <w:b w:val="0"/>
        </w:rPr>
      </w:r>
      <w:r>
        <w:rPr>
          <w:u w:val="single"/>
        </w:rPr>
        <w:t>Title</w:t>
      </w:r>
      <w:r>
        <w:rPr>
          <w:spacing w:val="-2"/>
          <w:u w:val="single"/>
        </w:rPr>
        <w:t> </w:t>
      </w:r>
      <w:r>
        <w:rPr>
          <w:u w:val="single"/>
        </w:rPr>
        <w:t>VI</w:t>
      </w:r>
      <w:r>
        <w:rPr>
          <w:spacing w:val="-1"/>
          <w:u w:val="single"/>
        </w:rPr>
        <w:t> </w:t>
      </w:r>
      <w:r>
        <w:rPr>
          <w:u w:val="single"/>
        </w:rPr>
        <w:t>Public</w:t>
      </w:r>
      <w:r>
        <w:rPr>
          <w:spacing w:val="-1"/>
          <w:u w:val="single"/>
        </w:rPr>
        <w:t> </w:t>
      </w:r>
      <w:r>
        <w:rPr>
          <w:spacing w:val="-2"/>
          <w:u w:val="single"/>
        </w:rPr>
        <w:t>Notice</w:t>
      </w:r>
    </w:p>
    <w:p>
      <w:pPr>
        <w:pStyle w:val="BodyText"/>
        <w:spacing w:before="9"/>
        <w:rPr>
          <w:b/>
          <w:sz w:val="18"/>
        </w:rPr>
      </w:pPr>
    </w:p>
    <w:p>
      <w:pPr>
        <w:pStyle w:val="BodyText"/>
        <w:spacing w:before="52"/>
        <w:ind w:left="120" w:right="114"/>
        <w:jc w:val="both"/>
      </w:pPr>
      <w:r>
        <w:rPr/>
        <w:t>Title</w:t>
      </w:r>
      <w:r>
        <w:rPr>
          <w:spacing w:val="-9"/>
        </w:rPr>
        <w:t> </w:t>
      </w:r>
      <w:r>
        <w:rPr/>
        <w:t>49</w:t>
      </w:r>
      <w:r>
        <w:rPr>
          <w:spacing w:val="-9"/>
        </w:rPr>
        <w:t> </w:t>
      </w:r>
      <w:r>
        <w:rPr/>
        <w:t>CFR</w:t>
      </w:r>
      <w:r>
        <w:rPr>
          <w:spacing w:val="-8"/>
        </w:rPr>
        <w:t> </w:t>
      </w:r>
      <w:r>
        <w:rPr/>
        <w:t>Section</w:t>
      </w:r>
      <w:r>
        <w:rPr>
          <w:spacing w:val="-9"/>
        </w:rPr>
        <w:t> </w:t>
      </w:r>
      <w:r>
        <w:rPr/>
        <w:t>21.9(d)</w:t>
      </w:r>
      <w:r>
        <w:rPr>
          <w:spacing w:val="-8"/>
        </w:rPr>
        <w:t> </w:t>
      </w:r>
      <w:r>
        <w:rPr/>
        <w:t>requires</w:t>
      </w:r>
      <w:r>
        <w:rPr>
          <w:spacing w:val="-10"/>
        </w:rPr>
        <w:t> </w:t>
      </w:r>
      <w:r>
        <w:rPr/>
        <w:t>recipients</w:t>
      </w:r>
      <w:r>
        <w:rPr>
          <w:spacing w:val="-8"/>
        </w:rPr>
        <w:t> </w:t>
      </w:r>
      <w:r>
        <w:rPr/>
        <w:t>and</w:t>
      </w:r>
      <w:r>
        <w:rPr>
          <w:spacing w:val="-6"/>
        </w:rPr>
        <w:t> </w:t>
      </w:r>
      <w:r>
        <w:rPr/>
        <w:t>subrecipients</w:t>
      </w:r>
      <w:r>
        <w:rPr>
          <w:spacing w:val="-10"/>
        </w:rPr>
        <w:t> </w:t>
      </w:r>
      <w:r>
        <w:rPr/>
        <w:t>to</w:t>
      </w:r>
      <w:r>
        <w:rPr>
          <w:spacing w:val="-9"/>
        </w:rPr>
        <w:t> </w:t>
      </w:r>
      <w:r>
        <w:rPr/>
        <w:t>provide</w:t>
      </w:r>
      <w:r>
        <w:rPr>
          <w:spacing w:val="-7"/>
        </w:rPr>
        <w:t> </w:t>
      </w:r>
      <w:r>
        <w:rPr/>
        <w:t>information</w:t>
      </w:r>
      <w:r>
        <w:rPr>
          <w:spacing w:val="-9"/>
        </w:rPr>
        <w:t> </w:t>
      </w:r>
      <w:r>
        <w:rPr/>
        <w:t>to</w:t>
      </w:r>
      <w:r>
        <w:rPr>
          <w:spacing w:val="-9"/>
        </w:rPr>
        <w:t> </w:t>
      </w:r>
      <w:r>
        <w:rPr/>
        <w:t>the</w:t>
      </w:r>
      <w:r>
        <w:rPr>
          <w:spacing w:val="-9"/>
        </w:rPr>
        <w:t> </w:t>
      </w:r>
      <w:r>
        <w:rPr/>
        <w:t>public</w:t>
      </w:r>
      <w:r>
        <w:rPr>
          <w:spacing w:val="-8"/>
        </w:rPr>
        <w:t> </w:t>
      </w:r>
      <w:r>
        <w:rPr/>
        <w:t>regarding the</w:t>
      </w:r>
      <w:r>
        <w:rPr>
          <w:spacing w:val="-11"/>
        </w:rPr>
        <w:t> </w:t>
      </w:r>
      <w:r>
        <w:rPr/>
        <w:t>recipient’s</w:t>
      </w:r>
      <w:r>
        <w:rPr>
          <w:spacing w:val="-11"/>
        </w:rPr>
        <w:t> </w:t>
      </w:r>
      <w:r>
        <w:rPr/>
        <w:t>obligations</w:t>
      </w:r>
      <w:r>
        <w:rPr>
          <w:spacing w:val="-11"/>
        </w:rPr>
        <w:t> </w:t>
      </w:r>
      <w:r>
        <w:rPr/>
        <w:t>under</w:t>
      </w:r>
      <w:r>
        <w:rPr>
          <w:spacing w:val="-11"/>
        </w:rPr>
        <w:t> </w:t>
      </w:r>
      <w:r>
        <w:rPr/>
        <w:t>DOT’s</w:t>
      </w:r>
      <w:r>
        <w:rPr>
          <w:spacing w:val="-11"/>
        </w:rPr>
        <w:t> </w:t>
      </w:r>
      <w:r>
        <w:rPr/>
        <w:t>Title</w:t>
      </w:r>
      <w:r>
        <w:rPr>
          <w:spacing w:val="-11"/>
        </w:rPr>
        <w:t> </w:t>
      </w:r>
      <w:r>
        <w:rPr/>
        <w:t>VI</w:t>
      </w:r>
      <w:r>
        <w:rPr>
          <w:spacing w:val="-12"/>
        </w:rPr>
        <w:t> </w:t>
      </w:r>
      <w:r>
        <w:rPr/>
        <w:t>regulations</w:t>
      </w:r>
      <w:r>
        <w:rPr>
          <w:spacing w:val="-11"/>
        </w:rPr>
        <w:t> </w:t>
      </w:r>
      <w:r>
        <w:rPr/>
        <w:t>and</w:t>
      </w:r>
      <w:r>
        <w:rPr>
          <w:spacing w:val="-10"/>
        </w:rPr>
        <w:t> </w:t>
      </w:r>
      <w:r>
        <w:rPr/>
        <w:t>apprise</w:t>
      </w:r>
      <w:r>
        <w:rPr>
          <w:spacing w:val="-11"/>
        </w:rPr>
        <w:t> </w:t>
      </w:r>
      <w:r>
        <w:rPr/>
        <w:t>members</w:t>
      </w:r>
      <w:r>
        <w:rPr>
          <w:spacing w:val="-11"/>
        </w:rPr>
        <w:t> </w:t>
      </w:r>
      <w:r>
        <w:rPr/>
        <w:t>of</w:t>
      </w:r>
      <w:r>
        <w:rPr>
          <w:spacing w:val="-10"/>
        </w:rPr>
        <w:t> </w:t>
      </w:r>
      <w:r>
        <w:rPr/>
        <w:t>the</w:t>
      </w:r>
      <w:r>
        <w:rPr>
          <w:spacing w:val="-11"/>
        </w:rPr>
        <w:t> </w:t>
      </w:r>
      <w:r>
        <w:rPr/>
        <w:t>public</w:t>
      </w:r>
      <w:r>
        <w:rPr>
          <w:spacing w:val="-12"/>
        </w:rPr>
        <w:t> </w:t>
      </w:r>
      <w:r>
        <w:rPr/>
        <w:t>of</w:t>
      </w:r>
      <w:r>
        <w:rPr>
          <w:spacing w:val="-12"/>
        </w:rPr>
        <w:t> </w:t>
      </w:r>
      <w:r>
        <w:rPr/>
        <w:t>the</w:t>
      </w:r>
      <w:r>
        <w:rPr>
          <w:spacing w:val="-11"/>
        </w:rPr>
        <w:t> </w:t>
      </w:r>
      <w:r>
        <w:rPr/>
        <w:t>protections against</w:t>
      </w:r>
      <w:r>
        <w:rPr>
          <w:spacing w:val="-10"/>
        </w:rPr>
        <w:t> </w:t>
      </w:r>
      <w:r>
        <w:rPr/>
        <w:t>discrimination</w:t>
      </w:r>
      <w:r>
        <w:rPr>
          <w:spacing w:val="-9"/>
        </w:rPr>
        <w:t> </w:t>
      </w:r>
      <w:r>
        <w:rPr/>
        <w:t>afforded</w:t>
      </w:r>
      <w:r>
        <w:rPr>
          <w:spacing w:val="-9"/>
        </w:rPr>
        <w:t> </w:t>
      </w:r>
      <w:r>
        <w:rPr/>
        <w:t>to</w:t>
      </w:r>
      <w:r>
        <w:rPr>
          <w:spacing w:val="-9"/>
        </w:rPr>
        <w:t> </w:t>
      </w:r>
      <w:r>
        <w:rPr/>
        <w:t>them</w:t>
      </w:r>
      <w:r>
        <w:rPr>
          <w:spacing w:val="-11"/>
        </w:rPr>
        <w:t> </w:t>
      </w:r>
      <w:r>
        <w:rPr/>
        <w:t>by</w:t>
      </w:r>
      <w:r>
        <w:rPr>
          <w:spacing w:val="-10"/>
        </w:rPr>
        <w:t> </w:t>
      </w:r>
      <w:r>
        <w:rPr/>
        <w:t>Title</w:t>
      </w:r>
      <w:r>
        <w:rPr>
          <w:spacing w:val="-9"/>
        </w:rPr>
        <w:t> </w:t>
      </w:r>
      <w:r>
        <w:rPr/>
        <w:t>VI.</w:t>
      </w:r>
      <w:r>
        <w:rPr>
          <w:spacing w:val="-10"/>
        </w:rPr>
        <w:t> </w:t>
      </w:r>
      <w:r>
        <w:rPr/>
        <w:t>At</w:t>
      </w:r>
      <w:r>
        <w:rPr>
          <w:spacing w:val="-9"/>
        </w:rPr>
        <w:t> </w:t>
      </w:r>
      <w:r>
        <w:rPr/>
        <w:t>a</w:t>
      </w:r>
      <w:r>
        <w:rPr>
          <w:spacing w:val="-10"/>
        </w:rPr>
        <w:t> </w:t>
      </w:r>
      <w:r>
        <w:rPr/>
        <w:t>minimum,</w:t>
      </w:r>
      <w:r>
        <w:rPr>
          <w:spacing w:val="-10"/>
        </w:rPr>
        <w:t> </w:t>
      </w:r>
      <w:r>
        <w:rPr/>
        <w:t>MaineDOT</w:t>
      </w:r>
      <w:r>
        <w:rPr>
          <w:spacing w:val="-9"/>
        </w:rPr>
        <w:t> </w:t>
      </w:r>
      <w:r>
        <w:rPr/>
        <w:t>shall</w:t>
      </w:r>
      <w:r>
        <w:rPr>
          <w:spacing w:val="-10"/>
        </w:rPr>
        <w:t> </w:t>
      </w:r>
      <w:r>
        <w:rPr/>
        <w:t>disseminate</w:t>
      </w:r>
      <w:r>
        <w:rPr>
          <w:spacing w:val="-11"/>
        </w:rPr>
        <w:t> </w:t>
      </w:r>
      <w:r>
        <w:rPr/>
        <w:t>this</w:t>
      </w:r>
      <w:r>
        <w:rPr>
          <w:spacing w:val="-11"/>
        </w:rPr>
        <w:t> </w:t>
      </w:r>
      <w:r>
        <w:rPr/>
        <w:t>information to the public by:</w:t>
      </w:r>
    </w:p>
    <w:p>
      <w:pPr>
        <w:pStyle w:val="BodyText"/>
        <w:spacing w:before="10"/>
        <w:rPr>
          <w:sz w:val="22"/>
        </w:rPr>
      </w:pPr>
    </w:p>
    <w:p>
      <w:pPr>
        <w:pStyle w:val="ListParagraph"/>
        <w:numPr>
          <w:ilvl w:val="1"/>
          <w:numId w:val="7"/>
        </w:numPr>
        <w:tabs>
          <w:tab w:pos="839" w:val="left" w:leader="none"/>
        </w:tabs>
        <w:spacing w:line="305" w:lineRule="exact" w:before="0" w:after="0"/>
        <w:ind w:left="839" w:right="0" w:hanging="359"/>
        <w:jc w:val="left"/>
        <w:rPr>
          <w:rFonts w:ascii="Symbol" w:hAnsi="Symbol"/>
          <w:sz w:val="24"/>
        </w:rPr>
      </w:pPr>
      <w:r>
        <w:rPr>
          <w:sz w:val="24"/>
        </w:rPr>
        <w:t>Posting</w:t>
      </w:r>
      <w:r>
        <w:rPr>
          <w:spacing w:val="-2"/>
          <w:sz w:val="24"/>
        </w:rPr>
        <w:t> </w:t>
      </w:r>
      <w:r>
        <w:rPr>
          <w:sz w:val="24"/>
        </w:rPr>
        <w:t>a</w:t>
      </w:r>
      <w:r>
        <w:rPr>
          <w:spacing w:val="-2"/>
          <w:sz w:val="24"/>
        </w:rPr>
        <w:t> </w:t>
      </w:r>
      <w:r>
        <w:rPr>
          <w:sz w:val="24"/>
        </w:rPr>
        <w:t>Title</w:t>
      </w:r>
      <w:r>
        <w:rPr>
          <w:spacing w:val="-1"/>
          <w:sz w:val="24"/>
        </w:rPr>
        <w:t> </w:t>
      </w:r>
      <w:r>
        <w:rPr>
          <w:sz w:val="24"/>
        </w:rPr>
        <w:t>VI</w:t>
      </w:r>
      <w:r>
        <w:rPr>
          <w:spacing w:val="-2"/>
          <w:sz w:val="24"/>
        </w:rPr>
        <w:t> </w:t>
      </w:r>
      <w:r>
        <w:rPr>
          <w:sz w:val="24"/>
        </w:rPr>
        <w:t>notice</w:t>
      </w:r>
      <w:r>
        <w:rPr>
          <w:spacing w:val="-1"/>
          <w:sz w:val="24"/>
        </w:rPr>
        <w:t> </w:t>
      </w:r>
      <w:r>
        <w:rPr>
          <w:sz w:val="24"/>
        </w:rPr>
        <w:t>on</w:t>
      </w:r>
      <w:r>
        <w:rPr>
          <w:spacing w:val="-1"/>
          <w:sz w:val="24"/>
        </w:rPr>
        <w:t> </w:t>
      </w:r>
      <w:r>
        <w:rPr>
          <w:sz w:val="24"/>
        </w:rPr>
        <w:t>the</w:t>
      </w:r>
      <w:r>
        <w:rPr>
          <w:spacing w:val="-1"/>
          <w:sz w:val="24"/>
        </w:rPr>
        <w:t> </w:t>
      </w:r>
      <w:r>
        <w:rPr>
          <w:sz w:val="24"/>
        </w:rPr>
        <w:t>agency’s</w:t>
      </w:r>
      <w:r>
        <w:rPr>
          <w:spacing w:val="-2"/>
          <w:sz w:val="24"/>
        </w:rPr>
        <w:t> website</w:t>
      </w:r>
    </w:p>
    <w:p>
      <w:pPr>
        <w:pStyle w:val="ListParagraph"/>
        <w:numPr>
          <w:ilvl w:val="1"/>
          <w:numId w:val="7"/>
        </w:numPr>
        <w:tabs>
          <w:tab w:pos="840" w:val="left" w:leader="none"/>
        </w:tabs>
        <w:spacing w:line="240" w:lineRule="auto" w:before="0" w:after="0"/>
        <w:ind w:left="840" w:right="115" w:hanging="360"/>
        <w:jc w:val="left"/>
        <w:rPr>
          <w:rFonts w:ascii="Symbol" w:hAnsi="Symbol"/>
          <w:sz w:val="24"/>
        </w:rPr>
      </w:pPr>
      <w:r>
        <w:rPr>
          <w:sz w:val="24"/>
        </w:rPr>
        <w:t>Posting a Title VI notice in public areas of the agency’s office(s), including the reception desk, and/or</w:t>
      </w:r>
      <w:r>
        <w:rPr>
          <w:spacing w:val="80"/>
          <w:sz w:val="24"/>
        </w:rPr>
        <w:t> </w:t>
      </w:r>
      <w:r>
        <w:rPr>
          <w:sz w:val="24"/>
        </w:rPr>
        <w:t>other public -facing areas</w:t>
      </w:r>
    </w:p>
    <w:p>
      <w:pPr>
        <w:pStyle w:val="ListParagraph"/>
        <w:numPr>
          <w:ilvl w:val="1"/>
          <w:numId w:val="7"/>
        </w:numPr>
        <w:tabs>
          <w:tab w:pos="839" w:val="left" w:leader="none"/>
        </w:tabs>
        <w:spacing w:line="240" w:lineRule="auto" w:before="1" w:after="0"/>
        <w:ind w:left="839" w:right="0" w:hanging="360"/>
        <w:jc w:val="left"/>
        <w:rPr>
          <w:rFonts w:ascii="Symbol" w:hAnsi="Symbol"/>
          <w:sz w:val="24"/>
        </w:rPr>
      </w:pPr>
      <w:r>
        <w:rPr>
          <w:sz w:val="24"/>
        </w:rPr>
        <w:t>Posting</w:t>
      </w:r>
      <w:r>
        <w:rPr>
          <w:spacing w:val="-6"/>
          <w:sz w:val="24"/>
        </w:rPr>
        <w:t> </w:t>
      </w:r>
      <w:r>
        <w:rPr>
          <w:sz w:val="24"/>
        </w:rPr>
        <w:t>a</w:t>
      </w:r>
      <w:r>
        <w:rPr>
          <w:spacing w:val="-4"/>
          <w:sz w:val="24"/>
        </w:rPr>
        <w:t> </w:t>
      </w:r>
      <w:r>
        <w:rPr>
          <w:sz w:val="24"/>
        </w:rPr>
        <w:t>Title</w:t>
      </w:r>
      <w:r>
        <w:rPr>
          <w:spacing w:val="-2"/>
          <w:sz w:val="24"/>
        </w:rPr>
        <w:t> </w:t>
      </w:r>
      <w:r>
        <w:rPr>
          <w:sz w:val="24"/>
        </w:rPr>
        <w:t>VI</w:t>
      </w:r>
      <w:r>
        <w:rPr>
          <w:spacing w:val="-4"/>
          <w:sz w:val="24"/>
        </w:rPr>
        <w:t> </w:t>
      </w:r>
      <w:r>
        <w:rPr>
          <w:sz w:val="24"/>
        </w:rPr>
        <w:t>notice</w:t>
      </w:r>
      <w:r>
        <w:rPr>
          <w:spacing w:val="-1"/>
          <w:sz w:val="24"/>
        </w:rPr>
        <w:t> </w:t>
      </w:r>
      <w:r>
        <w:rPr>
          <w:sz w:val="24"/>
        </w:rPr>
        <w:t>in federally-funded</w:t>
      </w:r>
      <w:r>
        <w:rPr>
          <w:spacing w:val="-2"/>
          <w:sz w:val="24"/>
        </w:rPr>
        <w:t> </w:t>
      </w:r>
      <w:r>
        <w:rPr>
          <w:sz w:val="24"/>
        </w:rPr>
        <w:t>vehicles</w:t>
      </w:r>
      <w:r>
        <w:rPr>
          <w:spacing w:val="-2"/>
          <w:sz w:val="24"/>
        </w:rPr>
        <w:t> </w:t>
      </w:r>
      <w:r>
        <w:rPr>
          <w:sz w:val="24"/>
        </w:rPr>
        <w:t>(required</w:t>
      </w:r>
      <w:r>
        <w:rPr>
          <w:spacing w:val="-3"/>
          <w:sz w:val="24"/>
        </w:rPr>
        <w:t> </w:t>
      </w:r>
      <w:r>
        <w:rPr>
          <w:sz w:val="24"/>
        </w:rPr>
        <w:t>of</w:t>
      </w:r>
      <w:r>
        <w:rPr>
          <w:spacing w:val="-2"/>
          <w:sz w:val="24"/>
        </w:rPr>
        <w:t> subrecipients)</w:t>
      </w:r>
    </w:p>
    <w:p>
      <w:pPr>
        <w:pStyle w:val="BodyText"/>
        <w:spacing w:before="10"/>
        <w:rPr>
          <w:sz w:val="22"/>
        </w:rPr>
      </w:pPr>
    </w:p>
    <w:p>
      <w:pPr>
        <w:pStyle w:val="BodyText"/>
        <w:ind w:left="119" w:right="114"/>
        <w:jc w:val="both"/>
      </w:pPr>
      <w:r>
        <w:rPr/>
        <w:t>As</w:t>
      </w:r>
      <w:r>
        <w:rPr>
          <w:spacing w:val="-2"/>
        </w:rPr>
        <w:t> </w:t>
      </w:r>
      <w:r>
        <w:rPr/>
        <w:t>part</w:t>
      </w:r>
      <w:r>
        <w:rPr>
          <w:spacing w:val="-3"/>
        </w:rPr>
        <w:t> </w:t>
      </w:r>
      <w:r>
        <w:rPr/>
        <w:t>of</w:t>
      </w:r>
      <w:r>
        <w:rPr>
          <w:spacing w:val="-3"/>
        </w:rPr>
        <w:t> </w:t>
      </w:r>
      <w:r>
        <w:rPr/>
        <w:t>Title</w:t>
      </w:r>
      <w:r>
        <w:rPr>
          <w:spacing w:val="-3"/>
        </w:rPr>
        <w:t> </w:t>
      </w:r>
      <w:r>
        <w:rPr/>
        <w:t>VI</w:t>
      </w:r>
      <w:r>
        <w:rPr>
          <w:spacing w:val="-4"/>
        </w:rPr>
        <w:t> </w:t>
      </w:r>
      <w:r>
        <w:rPr/>
        <w:t>requirements,</w:t>
      </w:r>
      <w:r>
        <w:rPr>
          <w:spacing w:val="-4"/>
        </w:rPr>
        <w:t> </w:t>
      </w:r>
      <w:r>
        <w:rPr/>
        <w:t>sub-recipients</w:t>
      </w:r>
      <w:r>
        <w:rPr>
          <w:spacing w:val="-4"/>
        </w:rPr>
        <w:t> </w:t>
      </w:r>
      <w:r>
        <w:rPr/>
        <w:t>are</w:t>
      </w:r>
      <w:r>
        <w:rPr>
          <w:spacing w:val="-1"/>
        </w:rPr>
        <w:t> </w:t>
      </w:r>
      <w:r>
        <w:rPr/>
        <w:t>also</w:t>
      </w:r>
      <w:r>
        <w:rPr>
          <w:spacing w:val="-3"/>
        </w:rPr>
        <w:t> </w:t>
      </w:r>
      <w:r>
        <w:rPr/>
        <w:t>required</w:t>
      </w:r>
      <w:r>
        <w:rPr>
          <w:spacing w:val="-3"/>
        </w:rPr>
        <w:t> </w:t>
      </w:r>
      <w:r>
        <w:rPr/>
        <w:t>to</w:t>
      </w:r>
      <w:r>
        <w:rPr>
          <w:spacing w:val="-1"/>
        </w:rPr>
        <w:t> </w:t>
      </w:r>
      <w:r>
        <w:rPr/>
        <w:t>maintain a</w:t>
      </w:r>
      <w:r>
        <w:rPr>
          <w:spacing w:val="-4"/>
        </w:rPr>
        <w:t> </w:t>
      </w:r>
      <w:r>
        <w:rPr/>
        <w:t>list</w:t>
      </w:r>
      <w:r>
        <w:rPr>
          <w:spacing w:val="-3"/>
        </w:rPr>
        <w:t> </w:t>
      </w:r>
      <w:r>
        <w:rPr/>
        <w:t>of</w:t>
      </w:r>
      <w:r>
        <w:rPr>
          <w:spacing w:val="-3"/>
        </w:rPr>
        <w:t> </w:t>
      </w:r>
      <w:r>
        <w:rPr/>
        <w:t>locations</w:t>
      </w:r>
      <w:r>
        <w:rPr>
          <w:spacing w:val="-4"/>
        </w:rPr>
        <w:t> </w:t>
      </w:r>
      <w:r>
        <w:rPr/>
        <w:t>where</w:t>
      </w:r>
      <w:r>
        <w:rPr>
          <w:spacing w:val="-1"/>
        </w:rPr>
        <w:t> </w:t>
      </w:r>
      <w:r>
        <w:rPr/>
        <w:t>their</w:t>
      </w:r>
      <w:r>
        <w:rPr>
          <w:spacing w:val="-4"/>
        </w:rPr>
        <w:t> </w:t>
      </w:r>
      <w:r>
        <w:rPr/>
        <w:t>Title VI Notices have been posted or displayed.</w:t>
      </w:r>
    </w:p>
    <w:p>
      <w:pPr>
        <w:pStyle w:val="BodyText"/>
        <w:spacing w:before="2"/>
        <w:rPr>
          <w:sz w:val="23"/>
        </w:rPr>
      </w:pPr>
    </w:p>
    <w:p>
      <w:pPr>
        <w:pStyle w:val="BodyText"/>
        <w:ind w:left="119"/>
        <w:jc w:val="both"/>
      </w:pPr>
      <w:r>
        <w:rPr/>
        <mc:AlternateContent>
          <mc:Choice Requires="wps">
            <w:drawing>
              <wp:anchor distT="0" distB="0" distL="0" distR="0" allowOverlap="1" layoutInCell="1" locked="0" behindDoc="1" simplePos="0" relativeHeight="478348288">
                <wp:simplePos x="0" y="0"/>
                <wp:positionH relativeFrom="page">
                  <wp:posOffset>969644</wp:posOffset>
                </wp:positionH>
                <wp:positionV relativeFrom="paragraph">
                  <wp:posOffset>550199</wp:posOffset>
                </wp:positionV>
                <wp:extent cx="5801995" cy="510413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5801995" cy="5104130"/>
                        </a:xfrm>
                        <a:custGeom>
                          <a:avLst/>
                          <a:gdLst/>
                          <a:ahLst/>
                          <a:cxnLst/>
                          <a:rect l="l" t="t" r="r" b="b"/>
                          <a:pathLst>
                            <a:path w="5801995" h="5104130">
                              <a:moveTo>
                                <a:pt x="5801995" y="0"/>
                              </a:moveTo>
                              <a:lnTo>
                                <a:pt x="0" y="0"/>
                              </a:lnTo>
                              <a:lnTo>
                                <a:pt x="0" y="5104130"/>
                              </a:lnTo>
                              <a:lnTo>
                                <a:pt x="5801995" y="5104130"/>
                              </a:lnTo>
                              <a:lnTo>
                                <a:pt x="58019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6.349998pt;margin-top:43.322777pt;width:456.85pt;height:401.9pt;mso-position-horizontal-relative:page;mso-position-vertical-relative:paragraph;z-index:-24968192" id="docshape16" filled="true" fillcolor="#ffffff" stroked="false">
                <v:fill type="solid"/>
                <w10:wrap type="none"/>
              </v:rect>
            </w:pict>
          </mc:Fallback>
        </mc:AlternateContent>
      </w:r>
      <w:r>
        <w:rPr/>
        <w:t>MaineDOT</w:t>
      </w:r>
      <w:r>
        <w:rPr>
          <w:spacing w:val="-4"/>
        </w:rPr>
        <w:t> </w:t>
      </w:r>
      <w:r>
        <w:rPr/>
        <w:t>will include</w:t>
      </w:r>
      <w:r>
        <w:rPr>
          <w:spacing w:val="-2"/>
        </w:rPr>
        <w:t> </w:t>
      </w:r>
      <w:r>
        <w:rPr/>
        <w:t>the</w:t>
      </w:r>
      <w:r>
        <w:rPr>
          <w:spacing w:val="-2"/>
        </w:rPr>
        <w:t> </w:t>
      </w:r>
      <w:r>
        <w:rPr/>
        <w:t>following</w:t>
      </w:r>
      <w:r>
        <w:rPr>
          <w:spacing w:val="-3"/>
        </w:rPr>
        <w:t> </w:t>
      </w:r>
      <w:r>
        <w:rPr/>
        <w:t>on</w:t>
      </w:r>
      <w:r>
        <w:rPr>
          <w:spacing w:val="-2"/>
        </w:rPr>
        <w:t> </w:t>
      </w:r>
      <w:r>
        <w:rPr/>
        <w:t>all</w:t>
      </w:r>
      <w:r>
        <w:rPr>
          <w:spacing w:val="-3"/>
        </w:rPr>
        <w:t> </w:t>
      </w:r>
      <w:r>
        <w:rPr/>
        <w:t>public</w:t>
      </w:r>
      <w:r>
        <w:rPr>
          <w:spacing w:val="-1"/>
        </w:rPr>
        <w:t> </w:t>
      </w:r>
      <w:r>
        <w:rPr/>
        <w:t>notices</w:t>
      </w:r>
      <w:r>
        <w:rPr>
          <w:spacing w:val="-1"/>
        </w:rPr>
        <w:t> </w:t>
      </w:r>
      <w:r>
        <w:rPr/>
        <w:t>and</w:t>
      </w:r>
      <w:r>
        <w:rPr>
          <w:spacing w:val="1"/>
        </w:rPr>
        <w:t> </w:t>
      </w:r>
      <w:r>
        <w:rPr/>
        <w:t>meeting</w:t>
      </w:r>
      <w:r>
        <w:rPr>
          <w:spacing w:val="-2"/>
        </w:rPr>
        <w:t> notices:</w:t>
      </w:r>
    </w:p>
    <w:p>
      <w:pPr>
        <w:pStyle w:val="BodyText"/>
        <w:rPr>
          <w:sz w:val="20"/>
        </w:rPr>
      </w:pPr>
    </w:p>
    <w:p>
      <w:pPr>
        <w:pStyle w:val="BodyText"/>
        <w:spacing w:before="4"/>
      </w:pPr>
      <w:r>
        <w:rPr/>
        <mc:AlternateContent>
          <mc:Choice Requires="wps">
            <w:drawing>
              <wp:anchor distT="0" distB="0" distL="0" distR="0" allowOverlap="1" layoutInCell="1" locked="0" behindDoc="1" simplePos="0" relativeHeight="487589376">
                <wp:simplePos x="0" y="0"/>
                <wp:positionH relativeFrom="page">
                  <wp:posOffset>964882</wp:posOffset>
                </wp:positionH>
                <wp:positionV relativeFrom="paragraph">
                  <wp:posOffset>204132</wp:posOffset>
                </wp:positionV>
                <wp:extent cx="5811520" cy="5113655"/>
                <wp:effectExtent l="0" t="0" r="0" b="0"/>
                <wp:wrapTopAndBottom/>
                <wp:docPr id="18" name="Group 18"/>
                <wp:cNvGraphicFramePr>
                  <a:graphicFrameLocks/>
                </wp:cNvGraphicFramePr>
                <a:graphic>
                  <a:graphicData uri="http://schemas.microsoft.com/office/word/2010/wordprocessingGroup">
                    <wpg:wgp>
                      <wpg:cNvPr id="18" name="Group 18"/>
                      <wpg:cNvGrpSpPr/>
                      <wpg:grpSpPr>
                        <a:xfrm>
                          <a:off x="0" y="0"/>
                          <a:ext cx="5811520" cy="5113655"/>
                          <a:chExt cx="5811520" cy="5113655"/>
                        </a:xfrm>
                      </wpg:grpSpPr>
                      <wps:wsp>
                        <wps:cNvPr id="19" name="Textbox 19"/>
                        <wps:cNvSpPr txBox="1"/>
                        <wps:spPr>
                          <a:xfrm>
                            <a:off x="4762" y="4762"/>
                            <a:ext cx="5801995" cy="5104130"/>
                          </a:xfrm>
                          <a:prstGeom prst="rect">
                            <a:avLst/>
                          </a:prstGeom>
                          <a:ln w="9525">
                            <a:solidFill>
                              <a:srgbClr val="000000"/>
                            </a:solidFill>
                            <a:prstDash val="solid"/>
                          </a:ln>
                        </wps:spPr>
                        <wps:txbx>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32"/>
                                </w:rPr>
                              </w:pPr>
                            </w:p>
                            <w:p>
                              <w:pPr>
                                <w:spacing w:before="1"/>
                                <w:ind w:left="563" w:right="205" w:firstLine="0"/>
                                <w:jc w:val="center"/>
                                <w:rPr>
                                  <w:rFonts w:ascii="Times New Roman"/>
                                  <w:sz w:val="24"/>
                                </w:rPr>
                              </w:pPr>
                              <w:r>
                                <w:rPr>
                                  <w:rFonts w:ascii="Times New Roman"/>
                                  <w:sz w:val="24"/>
                                </w:rPr>
                                <w:t>In</w:t>
                              </w:r>
                              <w:r>
                                <w:rPr>
                                  <w:rFonts w:ascii="Times New Roman"/>
                                  <w:spacing w:val="-1"/>
                                  <w:sz w:val="24"/>
                                </w:rPr>
                                <w:t> </w:t>
                              </w:r>
                              <w:r>
                                <w:rPr>
                                  <w:rFonts w:ascii="Times New Roman"/>
                                  <w:sz w:val="24"/>
                                </w:rPr>
                                <w:t>accordance</w:t>
                              </w:r>
                              <w:r>
                                <w:rPr>
                                  <w:rFonts w:ascii="Times New Roman"/>
                                  <w:spacing w:val="-4"/>
                                  <w:sz w:val="24"/>
                                </w:rPr>
                                <w:t> </w:t>
                              </w:r>
                              <w:r>
                                <w:rPr>
                                  <w:rFonts w:ascii="Times New Roman"/>
                                  <w:sz w:val="24"/>
                                </w:rPr>
                                <w:t>with</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Civil</w:t>
                              </w:r>
                              <w:r>
                                <w:rPr>
                                  <w:rFonts w:ascii="Times New Roman"/>
                                  <w:spacing w:val="-3"/>
                                  <w:sz w:val="24"/>
                                </w:rPr>
                                <w:t> </w:t>
                              </w:r>
                              <w:r>
                                <w:rPr>
                                  <w:rFonts w:ascii="Times New Roman"/>
                                  <w:sz w:val="24"/>
                                </w:rPr>
                                <w:t>Rights</w:t>
                              </w:r>
                              <w:r>
                                <w:rPr>
                                  <w:rFonts w:ascii="Times New Roman"/>
                                  <w:spacing w:val="-3"/>
                                  <w:sz w:val="24"/>
                                </w:rPr>
                                <w:t> </w:t>
                              </w:r>
                              <w:r>
                                <w:rPr>
                                  <w:rFonts w:ascii="Times New Roman"/>
                                  <w:sz w:val="24"/>
                                </w:rPr>
                                <w:t>Act</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1964,</w:t>
                              </w:r>
                              <w:r>
                                <w:rPr>
                                  <w:rFonts w:ascii="Times New Roman"/>
                                  <w:spacing w:val="-6"/>
                                  <w:sz w:val="24"/>
                                </w:rPr>
                                <w:t> </w:t>
                              </w:r>
                              <w:r>
                                <w:rPr>
                                  <w:rFonts w:ascii="Times New Roman"/>
                                  <w:sz w:val="24"/>
                                </w:rPr>
                                <w:t>MaineDOT</w:t>
                              </w:r>
                              <w:r>
                                <w:rPr>
                                  <w:rFonts w:ascii="Times New Roman"/>
                                  <w:spacing w:val="-4"/>
                                  <w:sz w:val="24"/>
                                </w:rPr>
                                <w:t> </w:t>
                              </w:r>
                              <w:r>
                                <w:rPr>
                                  <w:rFonts w:ascii="Times New Roman"/>
                                  <w:sz w:val="24"/>
                                </w:rPr>
                                <w:t>operates</w:t>
                              </w:r>
                              <w:r>
                                <w:rPr>
                                  <w:rFonts w:ascii="Times New Roman"/>
                                  <w:spacing w:val="-3"/>
                                  <w:sz w:val="24"/>
                                </w:rPr>
                                <w:t> </w:t>
                              </w:r>
                              <w:r>
                                <w:rPr>
                                  <w:rFonts w:ascii="Times New Roman"/>
                                  <w:sz w:val="24"/>
                                </w:rPr>
                                <w:t>its</w:t>
                              </w:r>
                              <w:r>
                                <w:rPr>
                                  <w:rFonts w:ascii="Times New Roman"/>
                                  <w:spacing w:val="-3"/>
                                  <w:sz w:val="24"/>
                                </w:rPr>
                                <w:t> </w:t>
                              </w:r>
                              <w:r>
                                <w:rPr>
                                  <w:rFonts w:ascii="Times New Roman"/>
                                  <w:sz w:val="24"/>
                                </w:rPr>
                                <w:t>programs</w:t>
                              </w:r>
                              <w:r>
                                <w:rPr>
                                  <w:rFonts w:ascii="Times New Roman"/>
                                  <w:spacing w:val="-3"/>
                                  <w:sz w:val="24"/>
                                </w:rPr>
                                <w:t> </w:t>
                              </w:r>
                              <w:r>
                                <w:rPr>
                                  <w:rFonts w:ascii="Times New Roman"/>
                                  <w:sz w:val="24"/>
                                </w:rPr>
                                <w:t>and services without regard to race, color, or national origin. Any person who believes she or he has been aggrieved by any unlawful discriminatory practices under Title VI</w:t>
                              </w:r>
                              <w:r>
                                <w:rPr>
                                  <w:rFonts w:ascii="Times New Roman"/>
                                  <w:spacing w:val="-1"/>
                                  <w:sz w:val="24"/>
                                </w:rPr>
                                <w:t> </w:t>
                              </w:r>
                              <w:r>
                                <w:rPr>
                                  <w:rFonts w:ascii="Times New Roman"/>
                                  <w:sz w:val="24"/>
                                </w:rPr>
                                <w:t>may file a complaint with the Maine Department of Transportation.</w:t>
                              </w:r>
                            </w:p>
                            <w:p>
                              <w:pPr>
                                <w:spacing w:line="240" w:lineRule="auto" w:before="2"/>
                                <w:rPr>
                                  <w:rFonts w:ascii="Times New Roman"/>
                                  <w:sz w:val="24"/>
                                </w:rPr>
                              </w:pPr>
                            </w:p>
                            <w:p>
                              <w:pPr>
                                <w:spacing w:line="242" w:lineRule="auto" w:before="0"/>
                                <w:ind w:left="563" w:right="202" w:firstLine="0"/>
                                <w:jc w:val="center"/>
                                <w:rPr>
                                  <w:rFonts w:ascii="Times New Roman" w:hAnsi="Times New Roman"/>
                                  <w:sz w:val="24"/>
                                </w:rPr>
                              </w:pPr>
                              <w:r>
                                <w:rPr>
                                  <w:rFonts w:ascii="Times New Roman" w:hAnsi="Times New Roman"/>
                                  <w:sz w:val="24"/>
                                </w:rPr>
                                <w:t>For</w:t>
                              </w:r>
                              <w:r>
                                <w:rPr>
                                  <w:rFonts w:ascii="Times New Roman" w:hAnsi="Times New Roman"/>
                                  <w:spacing w:val="-4"/>
                                  <w:sz w:val="24"/>
                                </w:rPr>
                                <w:t> </w:t>
                              </w:r>
                              <w:r>
                                <w:rPr>
                                  <w:rFonts w:ascii="Times New Roman" w:hAnsi="Times New Roman"/>
                                  <w:sz w:val="24"/>
                                </w:rPr>
                                <w:t>more</w:t>
                              </w:r>
                              <w:r>
                                <w:rPr>
                                  <w:rFonts w:ascii="Times New Roman" w:hAnsi="Times New Roman"/>
                                  <w:spacing w:val="-4"/>
                                  <w:sz w:val="24"/>
                                </w:rPr>
                                <w:t> </w:t>
                              </w:r>
                              <w:r>
                                <w:rPr>
                                  <w:rFonts w:ascii="Times New Roman" w:hAnsi="Times New Roman"/>
                                  <w:sz w:val="24"/>
                                </w:rPr>
                                <w:t>information</w:t>
                              </w:r>
                              <w:r>
                                <w:rPr>
                                  <w:rFonts w:ascii="Times New Roman" w:hAnsi="Times New Roman"/>
                                  <w:spacing w:val="-3"/>
                                  <w:sz w:val="24"/>
                                </w:rPr>
                                <w:t> </w:t>
                              </w:r>
                              <w:r>
                                <w:rPr>
                                  <w:rFonts w:ascii="Times New Roman" w:hAnsi="Times New Roman"/>
                                  <w:sz w:val="24"/>
                                </w:rPr>
                                <w:t>on</w:t>
                              </w:r>
                              <w:r>
                                <w:rPr>
                                  <w:rFonts w:ascii="Times New Roman" w:hAnsi="Times New Roman"/>
                                  <w:spacing w:val="-2"/>
                                  <w:sz w:val="24"/>
                                </w:rPr>
                                <w:t> </w:t>
                              </w:r>
                              <w:r>
                                <w:rPr>
                                  <w:rFonts w:ascii="Times New Roman" w:hAnsi="Times New Roman"/>
                                  <w:sz w:val="24"/>
                                </w:rPr>
                                <w:t>MaineDOT’s</w:t>
                              </w:r>
                              <w:r>
                                <w:rPr>
                                  <w:rFonts w:ascii="Times New Roman" w:hAnsi="Times New Roman"/>
                                  <w:spacing w:val="-2"/>
                                  <w:sz w:val="24"/>
                                </w:rPr>
                                <w:t> </w:t>
                              </w:r>
                              <w:r>
                                <w:rPr>
                                  <w:rFonts w:ascii="Times New Roman" w:hAnsi="Times New Roman"/>
                                  <w:sz w:val="24"/>
                                </w:rPr>
                                <w:t>civil</w:t>
                              </w:r>
                              <w:r>
                                <w:rPr>
                                  <w:rFonts w:ascii="Times New Roman" w:hAnsi="Times New Roman"/>
                                  <w:spacing w:val="-3"/>
                                  <w:sz w:val="24"/>
                                </w:rPr>
                                <w:t> </w:t>
                              </w:r>
                              <w:r>
                                <w:rPr>
                                  <w:rFonts w:ascii="Times New Roman" w:hAnsi="Times New Roman"/>
                                  <w:sz w:val="24"/>
                                </w:rPr>
                                <w:t>rights</w:t>
                              </w:r>
                              <w:r>
                                <w:rPr>
                                  <w:rFonts w:ascii="Times New Roman" w:hAnsi="Times New Roman"/>
                                  <w:spacing w:val="-3"/>
                                  <w:sz w:val="24"/>
                                </w:rPr>
                                <w:t> </w:t>
                              </w:r>
                              <w:r>
                                <w:rPr>
                                  <w:rFonts w:ascii="Times New Roman" w:hAnsi="Times New Roman"/>
                                  <w:sz w:val="24"/>
                                </w:rPr>
                                <w:t>program</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procedures</w:t>
                              </w:r>
                              <w:r>
                                <w:rPr>
                                  <w:rFonts w:ascii="Times New Roman" w:hAnsi="Times New Roman"/>
                                  <w:spacing w:val="-3"/>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file</w:t>
                              </w:r>
                              <w:r>
                                <w:rPr>
                                  <w:rFonts w:ascii="Times New Roman" w:hAnsi="Times New Roman"/>
                                  <w:spacing w:val="-4"/>
                                  <w:sz w:val="24"/>
                                </w:rPr>
                                <w:t> </w:t>
                              </w:r>
                              <w:r>
                                <w:rPr>
                                  <w:rFonts w:ascii="Times New Roman" w:hAnsi="Times New Roman"/>
                                  <w:sz w:val="24"/>
                                </w:rPr>
                                <w:t>a complaint, visit our website at:</w:t>
                              </w:r>
                            </w:p>
                            <w:p>
                              <w:pPr>
                                <w:spacing w:line="240" w:lineRule="auto" w:before="2"/>
                                <w:rPr>
                                  <w:rFonts w:ascii="Times New Roman"/>
                                  <w:sz w:val="24"/>
                                </w:rPr>
                              </w:pPr>
                            </w:p>
                            <w:p>
                              <w:pPr>
                                <w:spacing w:before="0"/>
                                <w:ind w:left="563" w:right="203" w:firstLine="0"/>
                                <w:jc w:val="center"/>
                                <w:rPr>
                                  <w:rFonts w:ascii="Times New Roman"/>
                                  <w:sz w:val="24"/>
                                </w:rPr>
                              </w:pPr>
                              <w:hyperlink r:id="rId25">
                                <w:r>
                                  <w:rPr>
                                    <w:rFonts w:ascii="Times New Roman"/>
                                    <w:color w:val="0000FF"/>
                                    <w:spacing w:val="-2"/>
                                    <w:sz w:val="24"/>
                                    <w:u w:val="single" w:color="0000FF"/>
                                  </w:rPr>
                                  <w:t>http://www.maine.gov/mdot/civilrights/title6.htm</w:t>
                                </w:r>
                              </w:hyperlink>
                            </w:p>
                            <w:p>
                              <w:pPr>
                                <w:spacing w:line="550" w:lineRule="atLeast" w:before="7"/>
                                <w:ind w:left="563" w:right="204" w:firstLine="0"/>
                                <w:jc w:val="center"/>
                                <w:rPr>
                                  <w:rFonts w:ascii="Times New Roman"/>
                                  <w:sz w:val="24"/>
                                </w:rPr>
                              </w:pPr>
                              <w:r>
                                <w:rPr>
                                  <w:rFonts w:ascii="Times New Roman"/>
                                  <w:sz w:val="24"/>
                                </w:rPr>
                                <w:t>or</w:t>
                              </w:r>
                              <w:r>
                                <w:rPr>
                                  <w:rFonts w:ascii="Times New Roman"/>
                                  <w:spacing w:val="-8"/>
                                  <w:sz w:val="24"/>
                                </w:rPr>
                                <w:t> </w:t>
                              </w:r>
                              <w:r>
                                <w:rPr>
                                  <w:rFonts w:ascii="Times New Roman"/>
                                  <w:sz w:val="24"/>
                                </w:rPr>
                                <w:t>call</w:t>
                              </w:r>
                              <w:r>
                                <w:rPr>
                                  <w:rFonts w:ascii="Times New Roman"/>
                                  <w:spacing w:val="-7"/>
                                  <w:sz w:val="24"/>
                                </w:rPr>
                                <w:t> </w:t>
                              </w:r>
                              <w:r>
                                <w:rPr>
                                  <w:rFonts w:ascii="Times New Roman"/>
                                  <w:sz w:val="24"/>
                                </w:rPr>
                                <w:t>207-624-3066</w:t>
                              </w:r>
                              <w:r>
                                <w:rPr>
                                  <w:rFonts w:ascii="Times New Roman"/>
                                  <w:spacing w:val="-5"/>
                                  <w:sz w:val="24"/>
                                </w:rPr>
                                <w:t> </w:t>
                              </w:r>
                              <w:r>
                                <w:rPr>
                                  <w:rFonts w:ascii="Times New Roman"/>
                                  <w:sz w:val="24"/>
                                </w:rPr>
                                <w:t>(TTY</w:t>
                              </w:r>
                              <w:r>
                                <w:rPr>
                                  <w:rFonts w:ascii="Times New Roman"/>
                                  <w:spacing w:val="-8"/>
                                  <w:sz w:val="24"/>
                                </w:rPr>
                                <w:t> </w:t>
                              </w:r>
                              <w:r>
                                <w:rPr>
                                  <w:rFonts w:ascii="Times New Roman"/>
                                  <w:sz w:val="24"/>
                                </w:rPr>
                                <w:t>888-516-93640);</w:t>
                              </w:r>
                              <w:r>
                                <w:rPr>
                                  <w:rFonts w:ascii="Times New Roman"/>
                                  <w:spacing w:val="-7"/>
                                  <w:sz w:val="24"/>
                                </w:rPr>
                                <w:t> </w:t>
                              </w:r>
                              <w:r>
                                <w:rPr>
                                  <w:rFonts w:ascii="Times New Roman"/>
                                  <w:sz w:val="24"/>
                                </w:rPr>
                                <w:t>email</w:t>
                              </w:r>
                              <w:r>
                                <w:rPr>
                                  <w:rFonts w:ascii="Times New Roman"/>
                                  <w:spacing w:val="-7"/>
                                  <w:sz w:val="24"/>
                                </w:rPr>
                                <w:t> </w:t>
                              </w:r>
                              <w:hyperlink r:id="rId26">
                                <w:r>
                                  <w:rPr>
                                    <w:rFonts w:ascii="Times New Roman"/>
                                    <w:color w:val="0000FF"/>
                                    <w:sz w:val="24"/>
                                    <w:u w:val="single" w:color="0000FF"/>
                                  </w:rPr>
                                  <w:t>sherry.tompkins@maine.gov</w:t>
                                </w:r>
                              </w:hyperlink>
                              <w:r>
                                <w:rPr>
                                  <w:rFonts w:ascii="Times New Roman"/>
                                  <w:color w:val="0000FF"/>
                                  <w:sz w:val="24"/>
                                </w:rPr>
                                <w:t> </w:t>
                              </w:r>
                              <w:r>
                                <w:rPr>
                                  <w:rFonts w:ascii="Times New Roman"/>
                                  <w:sz w:val="24"/>
                                </w:rPr>
                                <w:t>Language translation services available upon request.</w:t>
                              </w:r>
                            </w:p>
                            <w:p>
                              <w:pPr>
                                <w:spacing w:before="19"/>
                                <w:ind w:left="1926" w:right="1929" w:firstLine="0"/>
                                <w:jc w:val="center"/>
                                <w:rPr>
                                  <w:rFonts w:ascii="Times New Roman" w:hAnsi="Times New Roman"/>
                                  <w:sz w:val="24"/>
                                </w:rPr>
                              </w:pPr>
                              <w:r>
                                <w:rPr>
                                  <w:rFonts w:ascii="Times New Roman" w:hAnsi="Times New Roman"/>
                                  <w:sz w:val="24"/>
                                </w:rPr>
                                <w:t>Services</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traduction</w:t>
                              </w:r>
                              <w:r>
                                <w:rPr>
                                  <w:rFonts w:ascii="Times New Roman" w:hAnsi="Times New Roman"/>
                                  <w:spacing w:val="-6"/>
                                  <w:sz w:val="24"/>
                                </w:rPr>
                                <w:t> </w:t>
                              </w:r>
                              <w:r>
                                <w:rPr>
                                  <w:rFonts w:ascii="Times New Roman" w:hAnsi="Times New Roman"/>
                                  <w:sz w:val="24"/>
                                </w:rPr>
                                <w:t>langue</w:t>
                              </w:r>
                              <w:r>
                                <w:rPr>
                                  <w:rFonts w:ascii="Times New Roman" w:hAnsi="Times New Roman"/>
                                  <w:spacing w:val="-7"/>
                                  <w:sz w:val="24"/>
                                </w:rPr>
                                <w:t> </w:t>
                              </w:r>
                              <w:r>
                                <w:rPr>
                                  <w:rFonts w:ascii="Times New Roman" w:hAnsi="Times New Roman"/>
                                  <w:sz w:val="24"/>
                                </w:rPr>
                                <w:t>disponibles</w:t>
                              </w:r>
                              <w:r>
                                <w:rPr>
                                  <w:rFonts w:ascii="Times New Roman" w:hAnsi="Times New Roman"/>
                                  <w:spacing w:val="-6"/>
                                  <w:sz w:val="24"/>
                                </w:rPr>
                                <w:t> </w:t>
                              </w:r>
                              <w:r>
                                <w:rPr>
                                  <w:rFonts w:ascii="Times New Roman" w:hAnsi="Times New Roman"/>
                                  <w:sz w:val="24"/>
                                </w:rPr>
                                <w:t>sur</w:t>
                              </w:r>
                              <w:r>
                                <w:rPr>
                                  <w:rFonts w:ascii="Times New Roman" w:hAnsi="Times New Roman"/>
                                  <w:spacing w:val="-7"/>
                                  <w:sz w:val="24"/>
                                </w:rPr>
                                <w:t> </w:t>
                              </w:r>
                              <w:r>
                                <w:rPr>
                                  <w:rFonts w:ascii="Times New Roman" w:hAnsi="Times New Roman"/>
                                  <w:sz w:val="24"/>
                                </w:rPr>
                                <w:t>demande Servicios de traducción disponibles bajo petición.</w:t>
                              </w:r>
                            </w:p>
                            <w:p>
                              <w:pPr>
                                <w:spacing w:before="3"/>
                                <w:ind w:left="204" w:right="205" w:firstLine="0"/>
                                <w:jc w:val="center"/>
                                <w:rPr>
                                  <w:rFonts w:ascii="MS PGothic" w:eastAsia="MS PGothic" w:hint="eastAsia"/>
                                  <w:sz w:val="24"/>
                                </w:rPr>
                              </w:pPr>
                              <w:r>
                                <w:rPr>
                                  <w:rFonts w:ascii="MS PGothic" w:eastAsia="MS PGothic" w:hint="eastAsia"/>
                                  <w:sz w:val="24"/>
                                </w:rPr>
                                <w:t>要求提供的</w:t>
                              </w:r>
                              <w:r>
                                <w:rPr>
                                  <w:rFonts w:ascii="SimSun" w:eastAsia="SimSun"/>
                                  <w:sz w:val="24"/>
                                </w:rPr>
                                <w:t>语言翻译服务</w:t>
                              </w:r>
                              <w:r>
                                <w:rPr>
                                  <w:rFonts w:ascii="MS PGothic" w:eastAsia="MS PGothic" w:hint="eastAsia"/>
                                  <w:spacing w:val="-10"/>
                                  <w:sz w:val="24"/>
                                </w:rPr>
                                <w:t>。</w:t>
                              </w:r>
                            </w:p>
                          </w:txbxContent>
                        </wps:txbx>
                        <wps:bodyPr wrap="square" lIns="0" tIns="0" rIns="0" bIns="0" rtlCol="0">
                          <a:noAutofit/>
                        </wps:bodyPr>
                      </wps:wsp>
                      <wps:wsp>
                        <wps:cNvPr id="20" name="Textbox 20"/>
                        <wps:cNvSpPr txBox="1"/>
                        <wps:spPr>
                          <a:xfrm>
                            <a:off x="82105" y="4653254"/>
                            <a:ext cx="5646420" cy="320040"/>
                          </a:xfrm>
                          <a:prstGeom prst="rect">
                            <a:avLst/>
                          </a:prstGeom>
                          <a:solidFill>
                            <a:srgbClr val="F5F5F5"/>
                          </a:solidFill>
                        </wps:spPr>
                        <wps:txbx>
                          <w:txbxContent>
                            <w:p>
                              <w:pPr>
                                <w:bidi/>
                                <w:spacing w:line="275" w:lineRule="exact" w:before="0"/>
                                <w:ind w:right="2239" w:left="2238" w:firstLine="0"/>
                                <w:jc w:val="center"/>
                                <w:rPr>
                                  <w:rFonts w:ascii="Times New Roman" w:cs="Times New Roman"/>
                                  <w:color w:val="000000"/>
                                  <w:sz w:val="24"/>
                                  <w:szCs w:val="24"/>
                                </w:rPr>
                              </w:pPr>
                              <w:r>
                                <w:rPr>
                                  <w:rFonts w:ascii="Times New Roman" w:cs="Times New Roman"/>
                                  <w:color w:val="000000"/>
                                  <w:spacing w:val="-4"/>
                                  <w:sz w:val="24"/>
                                  <w:szCs w:val="24"/>
                                  <w:rtl/>
                                </w:rPr>
                                <w:t>ﺧﺪﻣﺎت</w:t>
                              </w:r>
                              <w:r>
                                <w:rPr>
                                  <w:rFonts w:ascii="Times New Roman" w:cs="Times New Roman"/>
                                  <w:color w:val="000000"/>
                                  <w:sz w:val="24"/>
                                  <w:szCs w:val="24"/>
                                  <w:rtl/>
                                </w:rPr>
                                <w:t> اﻟﺘﺮﺟﻤﺔ</w:t>
                              </w:r>
                              <w:r>
                                <w:rPr>
                                  <w:rFonts w:ascii="Times New Roman" w:cs="Times New Roman"/>
                                  <w:color w:val="000000"/>
                                  <w:spacing w:val="-1"/>
                                  <w:sz w:val="24"/>
                                  <w:szCs w:val="24"/>
                                  <w:rtl/>
                                </w:rPr>
                                <w:t> </w:t>
                              </w:r>
                              <w:r>
                                <w:rPr>
                                  <w:rFonts w:ascii="Times New Roman" w:cs="Times New Roman"/>
                                  <w:color w:val="000000"/>
                                  <w:sz w:val="24"/>
                                  <w:szCs w:val="24"/>
                                  <w:rtl/>
                                </w:rPr>
                                <w:t>اﻟﻠﻐﺔ</w:t>
                              </w:r>
                              <w:r>
                                <w:rPr>
                                  <w:rFonts w:ascii="Times New Roman" w:cs="Times New Roman"/>
                                  <w:color w:val="000000"/>
                                  <w:spacing w:val="-2"/>
                                  <w:sz w:val="24"/>
                                  <w:szCs w:val="24"/>
                                  <w:rtl/>
                                </w:rPr>
                                <w:t> </w:t>
                              </w:r>
                              <w:r>
                                <w:rPr>
                                  <w:rFonts w:ascii="Times New Roman" w:cs="Times New Roman"/>
                                  <w:color w:val="000000"/>
                                  <w:sz w:val="24"/>
                                  <w:szCs w:val="24"/>
                                  <w:rtl/>
                                </w:rPr>
                                <w:t>ﻣﺘﺎﺣﺔ</w:t>
                              </w:r>
                              <w:r>
                                <w:rPr>
                                  <w:rFonts w:ascii="Times New Roman" w:cs="Times New Roman"/>
                                  <w:color w:val="000000"/>
                                  <w:spacing w:val="-1"/>
                                  <w:sz w:val="24"/>
                                  <w:szCs w:val="24"/>
                                  <w:rtl/>
                                </w:rPr>
                                <w:t> </w:t>
                              </w:r>
                              <w:r>
                                <w:rPr>
                                  <w:rFonts w:ascii="Times New Roman" w:cs="Times New Roman"/>
                                  <w:color w:val="000000"/>
                                  <w:sz w:val="24"/>
                                  <w:szCs w:val="24"/>
                                  <w:rtl/>
                                </w:rPr>
                                <w:t>ﻋﻨﺪ</w:t>
                              </w:r>
                              <w:r>
                                <w:rPr>
                                  <w:rFonts w:ascii="Times New Roman" w:cs="Times New Roman"/>
                                  <w:color w:val="000000"/>
                                  <w:spacing w:val="-3"/>
                                  <w:sz w:val="24"/>
                                  <w:szCs w:val="24"/>
                                  <w:rtl/>
                                </w:rPr>
                                <w:t> </w:t>
                              </w:r>
                              <w:r>
                                <w:rPr>
                                  <w:rFonts w:ascii="Times New Roman" w:cs="Times New Roman"/>
                                  <w:color w:val="000000"/>
                                  <w:sz w:val="24"/>
                                  <w:szCs w:val="24"/>
                                  <w:rtl/>
                                </w:rPr>
                                <w:t>اﻟﻄﻠ</w:t>
                              </w:r>
                              <w:r>
                                <w:rPr>
                                  <w:rFonts w:ascii="Times New Roman" w:cs="Times New Roman"/>
                                  <w:color w:val="000000"/>
                                  <w:sz w:val="24"/>
                                  <w:szCs w:val="24"/>
                                  <w:rtl/>
                                </w:rPr>
                                <w:t>ﺐ</w:t>
                              </w:r>
                            </w:p>
                          </w:txbxContent>
                        </wps:txbx>
                        <wps:bodyPr wrap="square" lIns="0" tIns="0" rIns="0" bIns="0" rtlCol="0">
                          <a:noAutofit/>
                        </wps:bodyPr>
                      </wps:wsp>
                      <wps:wsp>
                        <wps:cNvPr id="21" name="Textbox 21"/>
                        <wps:cNvSpPr txBox="1"/>
                        <wps:spPr>
                          <a:xfrm>
                            <a:off x="82105" y="4127474"/>
                            <a:ext cx="5646420" cy="350520"/>
                          </a:xfrm>
                          <a:prstGeom prst="rect">
                            <a:avLst/>
                          </a:prstGeom>
                          <a:solidFill>
                            <a:srgbClr val="F5F5F5"/>
                          </a:solidFill>
                        </wps:spPr>
                        <wps:txbx>
                          <w:txbxContent>
                            <w:p>
                              <w:pPr>
                                <w:spacing w:before="0"/>
                                <w:ind w:left="2145" w:right="1294" w:hanging="94"/>
                                <w:jc w:val="left"/>
                                <w:rPr>
                                  <w:rFonts w:ascii="Times New Roman" w:hAnsi="Times New Roman"/>
                                  <w:color w:val="000000"/>
                                  <w:sz w:val="24"/>
                                </w:rPr>
                              </w:pPr>
                              <w:r>
                                <w:rPr>
                                  <w:rFonts w:ascii="Times New Roman" w:hAnsi="Times New Roman"/>
                                  <w:color w:val="212121"/>
                                  <w:sz w:val="24"/>
                                </w:rPr>
                                <w:t>Lugha</w:t>
                              </w:r>
                              <w:r>
                                <w:rPr>
                                  <w:rFonts w:ascii="Times New Roman" w:hAnsi="Times New Roman"/>
                                  <w:color w:val="212121"/>
                                  <w:spacing w:val="-7"/>
                                  <w:sz w:val="24"/>
                                </w:rPr>
                                <w:t> </w:t>
                              </w:r>
                              <w:r>
                                <w:rPr>
                                  <w:rFonts w:ascii="Times New Roman" w:hAnsi="Times New Roman"/>
                                  <w:color w:val="212121"/>
                                  <w:sz w:val="24"/>
                                </w:rPr>
                                <w:t>ya</w:t>
                              </w:r>
                              <w:r>
                                <w:rPr>
                                  <w:rFonts w:ascii="Times New Roman" w:hAnsi="Times New Roman"/>
                                  <w:color w:val="212121"/>
                                  <w:spacing w:val="-7"/>
                                  <w:sz w:val="24"/>
                                </w:rPr>
                                <w:t> </w:t>
                              </w:r>
                              <w:r>
                                <w:rPr>
                                  <w:rFonts w:ascii="Times New Roman" w:hAnsi="Times New Roman"/>
                                  <w:color w:val="212121"/>
                                  <w:sz w:val="24"/>
                                </w:rPr>
                                <w:t>tafsiri</w:t>
                              </w:r>
                              <w:r>
                                <w:rPr>
                                  <w:rFonts w:ascii="Times New Roman" w:hAnsi="Times New Roman"/>
                                  <w:color w:val="212121"/>
                                  <w:spacing w:val="-6"/>
                                  <w:sz w:val="24"/>
                                </w:rPr>
                                <w:t> </w:t>
                              </w:r>
                              <w:r>
                                <w:rPr>
                                  <w:rFonts w:ascii="Times New Roman" w:hAnsi="Times New Roman"/>
                                  <w:color w:val="212121"/>
                                  <w:sz w:val="24"/>
                                </w:rPr>
                                <w:t>huduma</w:t>
                              </w:r>
                              <w:r>
                                <w:rPr>
                                  <w:rFonts w:ascii="Times New Roman" w:hAnsi="Times New Roman"/>
                                  <w:color w:val="212121"/>
                                  <w:spacing w:val="-5"/>
                                  <w:sz w:val="24"/>
                                </w:rPr>
                                <w:t> </w:t>
                              </w:r>
                              <w:r>
                                <w:rPr>
                                  <w:rFonts w:ascii="Times New Roman" w:hAnsi="Times New Roman"/>
                                  <w:color w:val="212121"/>
                                  <w:sz w:val="24"/>
                                </w:rPr>
                                <w:t>inapatikana</w:t>
                              </w:r>
                              <w:r>
                                <w:rPr>
                                  <w:rFonts w:ascii="Times New Roman" w:hAnsi="Times New Roman"/>
                                  <w:color w:val="212121"/>
                                  <w:spacing w:val="-7"/>
                                  <w:sz w:val="24"/>
                                </w:rPr>
                                <w:t> </w:t>
                              </w:r>
                              <w:r>
                                <w:rPr>
                                  <w:rFonts w:ascii="Times New Roman" w:hAnsi="Times New Roman"/>
                                  <w:color w:val="212121"/>
                                  <w:sz w:val="24"/>
                                </w:rPr>
                                <w:t>juu</w:t>
                              </w:r>
                              <w:r>
                                <w:rPr>
                                  <w:rFonts w:ascii="Times New Roman" w:hAnsi="Times New Roman"/>
                                  <w:color w:val="212121"/>
                                  <w:spacing w:val="-6"/>
                                  <w:sz w:val="24"/>
                                </w:rPr>
                                <w:t> </w:t>
                              </w:r>
                              <w:r>
                                <w:rPr>
                                  <w:rFonts w:ascii="Times New Roman" w:hAnsi="Times New Roman"/>
                                  <w:color w:val="212121"/>
                                  <w:sz w:val="24"/>
                                </w:rPr>
                                <w:t>ya</w:t>
                              </w:r>
                              <w:r>
                                <w:rPr>
                                  <w:rFonts w:ascii="Times New Roman" w:hAnsi="Times New Roman"/>
                                  <w:color w:val="212121"/>
                                  <w:spacing w:val="-7"/>
                                  <w:sz w:val="24"/>
                                </w:rPr>
                                <w:t> </w:t>
                              </w:r>
                              <w:r>
                                <w:rPr>
                                  <w:rFonts w:ascii="Times New Roman" w:hAnsi="Times New Roman"/>
                                  <w:color w:val="212121"/>
                                  <w:sz w:val="24"/>
                                </w:rPr>
                                <w:t>ombi. Ladenan panarjamahan Basa aya kana paménta.</w:t>
                              </w:r>
                            </w:p>
                          </w:txbxContent>
                        </wps:txbx>
                        <wps:bodyPr wrap="square" lIns="0" tIns="0" rIns="0" bIns="0" rtlCol="0">
                          <a:noAutofit/>
                        </wps:bodyPr>
                      </wps:wsp>
                      <wps:wsp>
                        <wps:cNvPr id="22" name="Textbox 22"/>
                        <wps:cNvSpPr txBox="1"/>
                        <wps:spPr>
                          <a:xfrm>
                            <a:off x="82105" y="233654"/>
                            <a:ext cx="5646420" cy="859790"/>
                          </a:xfrm>
                          <a:prstGeom prst="rect">
                            <a:avLst/>
                          </a:prstGeom>
                          <a:solidFill>
                            <a:srgbClr val="234060"/>
                          </a:solidFill>
                        </wps:spPr>
                        <wps:txbx>
                          <w:txbxContent>
                            <w:p>
                              <w:pPr>
                                <w:spacing w:line="1016" w:lineRule="exact" w:before="0"/>
                                <w:ind w:left="2239" w:right="2239" w:firstLine="0"/>
                                <w:jc w:val="center"/>
                                <w:rPr>
                                  <w:rFonts w:ascii="Arial Black"/>
                                  <w:i/>
                                  <w:color w:val="000000"/>
                                  <w:sz w:val="76"/>
                                </w:rPr>
                              </w:pPr>
                              <w:r>
                                <w:rPr>
                                  <w:rFonts w:ascii="Arial Black"/>
                                  <w:i/>
                                  <w:color w:val="FFC000"/>
                                  <w:spacing w:val="-6"/>
                                  <w:sz w:val="76"/>
                                </w:rPr>
                                <w:t>MaineDOT</w:t>
                              </w:r>
                            </w:p>
                            <w:p>
                              <w:pPr>
                                <w:spacing w:line="338" w:lineRule="exact" w:before="0"/>
                                <w:ind w:left="2239" w:right="2239" w:firstLine="0"/>
                                <w:jc w:val="center"/>
                                <w:rPr>
                                  <w:rFonts w:ascii="Arial Black" w:hAnsi="Arial Black"/>
                                  <w:i/>
                                  <w:color w:val="000000"/>
                                  <w:sz w:val="25"/>
                                </w:rPr>
                              </w:pPr>
                              <w:r>
                                <w:rPr>
                                  <w:rFonts w:ascii="Arial Black" w:hAnsi="Arial Black"/>
                                  <w:i/>
                                  <w:color w:val="FFC000"/>
                                  <w:spacing w:val="-4"/>
                                  <w:sz w:val="25"/>
                                </w:rPr>
                                <w:t>Integrity</w:t>
                              </w:r>
                              <w:r>
                                <w:rPr>
                                  <w:rFonts w:ascii="Arial Black" w:hAnsi="Arial Black"/>
                                  <w:i/>
                                  <w:color w:val="FFC000"/>
                                  <w:spacing w:val="-17"/>
                                  <w:sz w:val="25"/>
                                </w:rPr>
                                <w:t> </w:t>
                              </w:r>
                              <w:r>
                                <w:rPr>
                                  <w:rFonts w:ascii="Arial Black" w:hAnsi="Arial Black"/>
                                  <w:i/>
                                  <w:color w:val="FFC000"/>
                                  <w:spacing w:val="-4"/>
                                  <w:sz w:val="25"/>
                                </w:rPr>
                                <w:t>●</w:t>
                              </w:r>
                              <w:r>
                                <w:rPr>
                                  <w:rFonts w:ascii="Arial Black" w:hAnsi="Arial Black"/>
                                  <w:i/>
                                  <w:color w:val="FFC000"/>
                                  <w:spacing w:val="-17"/>
                                  <w:sz w:val="25"/>
                                </w:rPr>
                                <w:t> </w:t>
                              </w:r>
                              <w:r>
                                <w:rPr>
                                  <w:rFonts w:ascii="Arial Black" w:hAnsi="Arial Black"/>
                                  <w:i/>
                                  <w:color w:val="FFC000"/>
                                  <w:spacing w:val="-4"/>
                                  <w:sz w:val="25"/>
                                </w:rPr>
                                <w:t>Competence</w:t>
                              </w:r>
                              <w:r>
                                <w:rPr>
                                  <w:rFonts w:ascii="Arial Black" w:hAnsi="Arial Black"/>
                                  <w:i/>
                                  <w:color w:val="FFC000"/>
                                  <w:spacing w:val="-16"/>
                                  <w:sz w:val="25"/>
                                </w:rPr>
                                <w:t> </w:t>
                              </w:r>
                              <w:r>
                                <w:rPr>
                                  <w:rFonts w:ascii="Arial Black" w:hAnsi="Arial Black"/>
                                  <w:i/>
                                  <w:color w:val="FFC000"/>
                                  <w:spacing w:val="-4"/>
                                  <w:sz w:val="25"/>
                                </w:rPr>
                                <w:t>●</w:t>
                              </w:r>
                              <w:r>
                                <w:rPr>
                                  <w:rFonts w:ascii="Arial Black" w:hAnsi="Arial Black"/>
                                  <w:i/>
                                  <w:color w:val="FFC000"/>
                                  <w:spacing w:val="-17"/>
                                  <w:sz w:val="25"/>
                                </w:rPr>
                                <w:t> </w:t>
                              </w:r>
                              <w:r>
                                <w:rPr>
                                  <w:rFonts w:ascii="Arial Black" w:hAnsi="Arial Black"/>
                                  <w:i/>
                                  <w:color w:val="FFC000"/>
                                  <w:spacing w:val="-4"/>
                                  <w:sz w:val="25"/>
                                </w:rPr>
                                <w:t>Service</w:t>
                              </w:r>
                            </w:p>
                          </w:txbxContent>
                        </wps:txbx>
                        <wps:bodyPr wrap="square" lIns="0" tIns="0" rIns="0" bIns="0" rtlCol="0">
                          <a:noAutofit/>
                        </wps:bodyPr>
                      </wps:wsp>
                    </wpg:wgp>
                  </a:graphicData>
                </a:graphic>
              </wp:anchor>
            </w:drawing>
          </mc:Choice>
          <mc:Fallback>
            <w:pict>
              <v:group style="position:absolute;margin-left:75.974998pt;margin-top:16.073437pt;width:457.6pt;height:402.65pt;mso-position-horizontal-relative:page;mso-position-vertical-relative:paragraph;z-index:-15727104;mso-wrap-distance-left:0;mso-wrap-distance-right:0" id="docshapegroup17" coordorigin="1519,321" coordsize="9152,8053">
                <v:shape style="position:absolute;left:1527;top:328;width:9137;height:8038" type="#_x0000_t202" id="docshape18" filled="false" stroked="true" strokeweight=".75pt" strokecolor="#000000">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32"/>
                          </w:rPr>
                        </w:pPr>
                      </w:p>
                      <w:p>
                        <w:pPr>
                          <w:spacing w:before="1"/>
                          <w:ind w:left="563" w:right="205" w:firstLine="0"/>
                          <w:jc w:val="center"/>
                          <w:rPr>
                            <w:rFonts w:ascii="Times New Roman"/>
                            <w:sz w:val="24"/>
                          </w:rPr>
                        </w:pPr>
                        <w:r>
                          <w:rPr>
                            <w:rFonts w:ascii="Times New Roman"/>
                            <w:sz w:val="24"/>
                          </w:rPr>
                          <w:t>In</w:t>
                        </w:r>
                        <w:r>
                          <w:rPr>
                            <w:rFonts w:ascii="Times New Roman"/>
                            <w:spacing w:val="-1"/>
                            <w:sz w:val="24"/>
                          </w:rPr>
                          <w:t> </w:t>
                        </w:r>
                        <w:r>
                          <w:rPr>
                            <w:rFonts w:ascii="Times New Roman"/>
                            <w:sz w:val="24"/>
                          </w:rPr>
                          <w:t>accordance</w:t>
                        </w:r>
                        <w:r>
                          <w:rPr>
                            <w:rFonts w:ascii="Times New Roman"/>
                            <w:spacing w:val="-4"/>
                            <w:sz w:val="24"/>
                          </w:rPr>
                          <w:t> </w:t>
                        </w:r>
                        <w:r>
                          <w:rPr>
                            <w:rFonts w:ascii="Times New Roman"/>
                            <w:sz w:val="24"/>
                          </w:rPr>
                          <w:t>with</w:t>
                        </w:r>
                        <w:r>
                          <w:rPr>
                            <w:rFonts w:ascii="Times New Roman"/>
                            <w:spacing w:val="-3"/>
                            <w:sz w:val="24"/>
                          </w:rPr>
                          <w:t> </w:t>
                        </w:r>
                        <w:r>
                          <w:rPr>
                            <w:rFonts w:ascii="Times New Roman"/>
                            <w:sz w:val="24"/>
                          </w:rPr>
                          <w:t>the</w:t>
                        </w:r>
                        <w:r>
                          <w:rPr>
                            <w:rFonts w:ascii="Times New Roman"/>
                            <w:spacing w:val="-4"/>
                            <w:sz w:val="24"/>
                          </w:rPr>
                          <w:t> </w:t>
                        </w:r>
                        <w:r>
                          <w:rPr>
                            <w:rFonts w:ascii="Times New Roman"/>
                            <w:sz w:val="24"/>
                          </w:rPr>
                          <w:t>Civil</w:t>
                        </w:r>
                        <w:r>
                          <w:rPr>
                            <w:rFonts w:ascii="Times New Roman"/>
                            <w:spacing w:val="-3"/>
                            <w:sz w:val="24"/>
                          </w:rPr>
                          <w:t> </w:t>
                        </w:r>
                        <w:r>
                          <w:rPr>
                            <w:rFonts w:ascii="Times New Roman"/>
                            <w:sz w:val="24"/>
                          </w:rPr>
                          <w:t>Rights</w:t>
                        </w:r>
                        <w:r>
                          <w:rPr>
                            <w:rFonts w:ascii="Times New Roman"/>
                            <w:spacing w:val="-3"/>
                            <w:sz w:val="24"/>
                          </w:rPr>
                          <w:t> </w:t>
                        </w:r>
                        <w:r>
                          <w:rPr>
                            <w:rFonts w:ascii="Times New Roman"/>
                            <w:sz w:val="24"/>
                          </w:rPr>
                          <w:t>Act</w:t>
                        </w:r>
                        <w:r>
                          <w:rPr>
                            <w:rFonts w:ascii="Times New Roman"/>
                            <w:spacing w:val="-3"/>
                            <w:sz w:val="24"/>
                          </w:rPr>
                          <w:t> </w:t>
                        </w:r>
                        <w:r>
                          <w:rPr>
                            <w:rFonts w:ascii="Times New Roman"/>
                            <w:sz w:val="24"/>
                          </w:rPr>
                          <w:t>of</w:t>
                        </w:r>
                        <w:r>
                          <w:rPr>
                            <w:rFonts w:ascii="Times New Roman"/>
                            <w:spacing w:val="-4"/>
                            <w:sz w:val="24"/>
                          </w:rPr>
                          <w:t> </w:t>
                        </w:r>
                        <w:r>
                          <w:rPr>
                            <w:rFonts w:ascii="Times New Roman"/>
                            <w:sz w:val="24"/>
                          </w:rPr>
                          <w:t>1964,</w:t>
                        </w:r>
                        <w:r>
                          <w:rPr>
                            <w:rFonts w:ascii="Times New Roman"/>
                            <w:spacing w:val="-6"/>
                            <w:sz w:val="24"/>
                          </w:rPr>
                          <w:t> </w:t>
                        </w:r>
                        <w:r>
                          <w:rPr>
                            <w:rFonts w:ascii="Times New Roman"/>
                            <w:sz w:val="24"/>
                          </w:rPr>
                          <w:t>MaineDOT</w:t>
                        </w:r>
                        <w:r>
                          <w:rPr>
                            <w:rFonts w:ascii="Times New Roman"/>
                            <w:spacing w:val="-4"/>
                            <w:sz w:val="24"/>
                          </w:rPr>
                          <w:t> </w:t>
                        </w:r>
                        <w:r>
                          <w:rPr>
                            <w:rFonts w:ascii="Times New Roman"/>
                            <w:sz w:val="24"/>
                          </w:rPr>
                          <w:t>operates</w:t>
                        </w:r>
                        <w:r>
                          <w:rPr>
                            <w:rFonts w:ascii="Times New Roman"/>
                            <w:spacing w:val="-3"/>
                            <w:sz w:val="24"/>
                          </w:rPr>
                          <w:t> </w:t>
                        </w:r>
                        <w:r>
                          <w:rPr>
                            <w:rFonts w:ascii="Times New Roman"/>
                            <w:sz w:val="24"/>
                          </w:rPr>
                          <w:t>its</w:t>
                        </w:r>
                        <w:r>
                          <w:rPr>
                            <w:rFonts w:ascii="Times New Roman"/>
                            <w:spacing w:val="-3"/>
                            <w:sz w:val="24"/>
                          </w:rPr>
                          <w:t> </w:t>
                        </w:r>
                        <w:r>
                          <w:rPr>
                            <w:rFonts w:ascii="Times New Roman"/>
                            <w:sz w:val="24"/>
                          </w:rPr>
                          <w:t>programs</w:t>
                        </w:r>
                        <w:r>
                          <w:rPr>
                            <w:rFonts w:ascii="Times New Roman"/>
                            <w:spacing w:val="-3"/>
                            <w:sz w:val="24"/>
                          </w:rPr>
                          <w:t> </w:t>
                        </w:r>
                        <w:r>
                          <w:rPr>
                            <w:rFonts w:ascii="Times New Roman"/>
                            <w:sz w:val="24"/>
                          </w:rPr>
                          <w:t>and services without regard to race, color, or national origin. Any person who believes she or he has been aggrieved by any unlawful discriminatory practices under Title VI</w:t>
                        </w:r>
                        <w:r>
                          <w:rPr>
                            <w:rFonts w:ascii="Times New Roman"/>
                            <w:spacing w:val="-1"/>
                            <w:sz w:val="24"/>
                          </w:rPr>
                          <w:t> </w:t>
                        </w:r>
                        <w:r>
                          <w:rPr>
                            <w:rFonts w:ascii="Times New Roman"/>
                            <w:sz w:val="24"/>
                          </w:rPr>
                          <w:t>may file a complaint with the Maine Department of Transportation.</w:t>
                        </w:r>
                      </w:p>
                      <w:p>
                        <w:pPr>
                          <w:spacing w:line="240" w:lineRule="auto" w:before="2"/>
                          <w:rPr>
                            <w:rFonts w:ascii="Times New Roman"/>
                            <w:sz w:val="24"/>
                          </w:rPr>
                        </w:pPr>
                      </w:p>
                      <w:p>
                        <w:pPr>
                          <w:spacing w:line="242" w:lineRule="auto" w:before="0"/>
                          <w:ind w:left="563" w:right="202" w:firstLine="0"/>
                          <w:jc w:val="center"/>
                          <w:rPr>
                            <w:rFonts w:ascii="Times New Roman" w:hAnsi="Times New Roman"/>
                            <w:sz w:val="24"/>
                          </w:rPr>
                        </w:pPr>
                        <w:r>
                          <w:rPr>
                            <w:rFonts w:ascii="Times New Roman" w:hAnsi="Times New Roman"/>
                            <w:sz w:val="24"/>
                          </w:rPr>
                          <w:t>For</w:t>
                        </w:r>
                        <w:r>
                          <w:rPr>
                            <w:rFonts w:ascii="Times New Roman" w:hAnsi="Times New Roman"/>
                            <w:spacing w:val="-4"/>
                            <w:sz w:val="24"/>
                          </w:rPr>
                          <w:t> </w:t>
                        </w:r>
                        <w:r>
                          <w:rPr>
                            <w:rFonts w:ascii="Times New Roman" w:hAnsi="Times New Roman"/>
                            <w:sz w:val="24"/>
                          </w:rPr>
                          <w:t>more</w:t>
                        </w:r>
                        <w:r>
                          <w:rPr>
                            <w:rFonts w:ascii="Times New Roman" w:hAnsi="Times New Roman"/>
                            <w:spacing w:val="-4"/>
                            <w:sz w:val="24"/>
                          </w:rPr>
                          <w:t> </w:t>
                        </w:r>
                        <w:r>
                          <w:rPr>
                            <w:rFonts w:ascii="Times New Roman" w:hAnsi="Times New Roman"/>
                            <w:sz w:val="24"/>
                          </w:rPr>
                          <w:t>information</w:t>
                        </w:r>
                        <w:r>
                          <w:rPr>
                            <w:rFonts w:ascii="Times New Roman" w:hAnsi="Times New Roman"/>
                            <w:spacing w:val="-3"/>
                            <w:sz w:val="24"/>
                          </w:rPr>
                          <w:t> </w:t>
                        </w:r>
                        <w:r>
                          <w:rPr>
                            <w:rFonts w:ascii="Times New Roman" w:hAnsi="Times New Roman"/>
                            <w:sz w:val="24"/>
                          </w:rPr>
                          <w:t>on</w:t>
                        </w:r>
                        <w:r>
                          <w:rPr>
                            <w:rFonts w:ascii="Times New Roman" w:hAnsi="Times New Roman"/>
                            <w:spacing w:val="-2"/>
                            <w:sz w:val="24"/>
                          </w:rPr>
                          <w:t> </w:t>
                        </w:r>
                        <w:r>
                          <w:rPr>
                            <w:rFonts w:ascii="Times New Roman" w:hAnsi="Times New Roman"/>
                            <w:sz w:val="24"/>
                          </w:rPr>
                          <w:t>MaineDOT’s</w:t>
                        </w:r>
                        <w:r>
                          <w:rPr>
                            <w:rFonts w:ascii="Times New Roman" w:hAnsi="Times New Roman"/>
                            <w:spacing w:val="-2"/>
                            <w:sz w:val="24"/>
                          </w:rPr>
                          <w:t> </w:t>
                        </w:r>
                        <w:r>
                          <w:rPr>
                            <w:rFonts w:ascii="Times New Roman" w:hAnsi="Times New Roman"/>
                            <w:sz w:val="24"/>
                          </w:rPr>
                          <w:t>civil</w:t>
                        </w:r>
                        <w:r>
                          <w:rPr>
                            <w:rFonts w:ascii="Times New Roman" w:hAnsi="Times New Roman"/>
                            <w:spacing w:val="-3"/>
                            <w:sz w:val="24"/>
                          </w:rPr>
                          <w:t> </w:t>
                        </w:r>
                        <w:r>
                          <w:rPr>
                            <w:rFonts w:ascii="Times New Roman" w:hAnsi="Times New Roman"/>
                            <w:sz w:val="24"/>
                          </w:rPr>
                          <w:t>rights</w:t>
                        </w:r>
                        <w:r>
                          <w:rPr>
                            <w:rFonts w:ascii="Times New Roman" w:hAnsi="Times New Roman"/>
                            <w:spacing w:val="-3"/>
                            <w:sz w:val="24"/>
                          </w:rPr>
                          <w:t> </w:t>
                        </w:r>
                        <w:r>
                          <w:rPr>
                            <w:rFonts w:ascii="Times New Roman" w:hAnsi="Times New Roman"/>
                            <w:sz w:val="24"/>
                          </w:rPr>
                          <w:t>program</w:t>
                        </w:r>
                        <w:r>
                          <w:rPr>
                            <w:rFonts w:ascii="Times New Roman" w:hAnsi="Times New Roman"/>
                            <w:spacing w:val="-3"/>
                            <w:sz w:val="24"/>
                          </w:rPr>
                          <w:t> </w:t>
                        </w:r>
                        <w:r>
                          <w:rPr>
                            <w:rFonts w:ascii="Times New Roman" w:hAnsi="Times New Roman"/>
                            <w:sz w:val="24"/>
                          </w:rPr>
                          <w:t>and</w:t>
                        </w:r>
                        <w:r>
                          <w:rPr>
                            <w:rFonts w:ascii="Times New Roman" w:hAnsi="Times New Roman"/>
                            <w:spacing w:val="-3"/>
                            <w:sz w:val="24"/>
                          </w:rPr>
                          <w:t> </w:t>
                        </w:r>
                        <w:r>
                          <w:rPr>
                            <w:rFonts w:ascii="Times New Roman" w:hAnsi="Times New Roman"/>
                            <w:sz w:val="24"/>
                          </w:rPr>
                          <w:t>the</w:t>
                        </w:r>
                        <w:r>
                          <w:rPr>
                            <w:rFonts w:ascii="Times New Roman" w:hAnsi="Times New Roman"/>
                            <w:spacing w:val="-4"/>
                            <w:sz w:val="24"/>
                          </w:rPr>
                          <w:t> </w:t>
                        </w:r>
                        <w:r>
                          <w:rPr>
                            <w:rFonts w:ascii="Times New Roman" w:hAnsi="Times New Roman"/>
                            <w:sz w:val="24"/>
                          </w:rPr>
                          <w:t>procedures</w:t>
                        </w:r>
                        <w:r>
                          <w:rPr>
                            <w:rFonts w:ascii="Times New Roman" w:hAnsi="Times New Roman"/>
                            <w:spacing w:val="-3"/>
                            <w:sz w:val="24"/>
                          </w:rPr>
                          <w:t> </w:t>
                        </w:r>
                        <w:r>
                          <w:rPr>
                            <w:rFonts w:ascii="Times New Roman" w:hAnsi="Times New Roman"/>
                            <w:sz w:val="24"/>
                          </w:rPr>
                          <w:t>to</w:t>
                        </w:r>
                        <w:r>
                          <w:rPr>
                            <w:rFonts w:ascii="Times New Roman" w:hAnsi="Times New Roman"/>
                            <w:spacing w:val="-3"/>
                            <w:sz w:val="24"/>
                          </w:rPr>
                          <w:t> </w:t>
                        </w:r>
                        <w:r>
                          <w:rPr>
                            <w:rFonts w:ascii="Times New Roman" w:hAnsi="Times New Roman"/>
                            <w:sz w:val="24"/>
                          </w:rPr>
                          <w:t>file</w:t>
                        </w:r>
                        <w:r>
                          <w:rPr>
                            <w:rFonts w:ascii="Times New Roman" w:hAnsi="Times New Roman"/>
                            <w:spacing w:val="-4"/>
                            <w:sz w:val="24"/>
                          </w:rPr>
                          <w:t> </w:t>
                        </w:r>
                        <w:r>
                          <w:rPr>
                            <w:rFonts w:ascii="Times New Roman" w:hAnsi="Times New Roman"/>
                            <w:sz w:val="24"/>
                          </w:rPr>
                          <w:t>a complaint, visit our website at:</w:t>
                        </w:r>
                      </w:p>
                      <w:p>
                        <w:pPr>
                          <w:spacing w:line="240" w:lineRule="auto" w:before="2"/>
                          <w:rPr>
                            <w:rFonts w:ascii="Times New Roman"/>
                            <w:sz w:val="24"/>
                          </w:rPr>
                        </w:pPr>
                      </w:p>
                      <w:p>
                        <w:pPr>
                          <w:spacing w:before="0"/>
                          <w:ind w:left="563" w:right="203" w:firstLine="0"/>
                          <w:jc w:val="center"/>
                          <w:rPr>
                            <w:rFonts w:ascii="Times New Roman"/>
                            <w:sz w:val="24"/>
                          </w:rPr>
                        </w:pPr>
                        <w:hyperlink r:id="rId25">
                          <w:r>
                            <w:rPr>
                              <w:rFonts w:ascii="Times New Roman"/>
                              <w:color w:val="0000FF"/>
                              <w:spacing w:val="-2"/>
                              <w:sz w:val="24"/>
                              <w:u w:val="single" w:color="0000FF"/>
                            </w:rPr>
                            <w:t>http://www.maine.gov/mdot/civilrights/title6.htm</w:t>
                          </w:r>
                        </w:hyperlink>
                      </w:p>
                      <w:p>
                        <w:pPr>
                          <w:spacing w:line="550" w:lineRule="atLeast" w:before="7"/>
                          <w:ind w:left="563" w:right="204" w:firstLine="0"/>
                          <w:jc w:val="center"/>
                          <w:rPr>
                            <w:rFonts w:ascii="Times New Roman"/>
                            <w:sz w:val="24"/>
                          </w:rPr>
                        </w:pPr>
                        <w:r>
                          <w:rPr>
                            <w:rFonts w:ascii="Times New Roman"/>
                            <w:sz w:val="24"/>
                          </w:rPr>
                          <w:t>or</w:t>
                        </w:r>
                        <w:r>
                          <w:rPr>
                            <w:rFonts w:ascii="Times New Roman"/>
                            <w:spacing w:val="-8"/>
                            <w:sz w:val="24"/>
                          </w:rPr>
                          <w:t> </w:t>
                        </w:r>
                        <w:r>
                          <w:rPr>
                            <w:rFonts w:ascii="Times New Roman"/>
                            <w:sz w:val="24"/>
                          </w:rPr>
                          <w:t>call</w:t>
                        </w:r>
                        <w:r>
                          <w:rPr>
                            <w:rFonts w:ascii="Times New Roman"/>
                            <w:spacing w:val="-7"/>
                            <w:sz w:val="24"/>
                          </w:rPr>
                          <w:t> </w:t>
                        </w:r>
                        <w:r>
                          <w:rPr>
                            <w:rFonts w:ascii="Times New Roman"/>
                            <w:sz w:val="24"/>
                          </w:rPr>
                          <w:t>207-624-3066</w:t>
                        </w:r>
                        <w:r>
                          <w:rPr>
                            <w:rFonts w:ascii="Times New Roman"/>
                            <w:spacing w:val="-5"/>
                            <w:sz w:val="24"/>
                          </w:rPr>
                          <w:t> </w:t>
                        </w:r>
                        <w:r>
                          <w:rPr>
                            <w:rFonts w:ascii="Times New Roman"/>
                            <w:sz w:val="24"/>
                          </w:rPr>
                          <w:t>(TTY</w:t>
                        </w:r>
                        <w:r>
                          <w:rPr>
                            <w:rFonts w:ascii="Times New Roman"/>
                            <w:spacing w:val="-8"/>
                            <w:sz w:val="24"/>
                          </w:rPr>
                          <w:t> </w:t>
                        </w:r>
                        <w:r>
                          <w:rPr>
                            <w:rFonts w:ascii="Times New Roman"/>
                            <w:sz w:val="24"/>
                          </w:rPr>
                          <w:t>888-516-93640);</w:t>
                        </w:r>
                        <w:r>
                          <w:rPr>
                            <w:rFonts w:ascii="Times New Roman"/>
                            <w:spacing w:val="-7"/>
                            <w:sz w:val="24"/>
                          </w:rPr>
                          <w:t> </w:t>
                        </w:r>
                        <w:r>
                          <w:rPr>
                            <w:rFonts w:ascii="Times New Roman"/>
                            <w:sz w:val="24"/>
                          </w:rPr>
                          <w:t>email</w:t>
                        </w:r>
                        <w:r>
                          <w:rPr>
                            <w:rFonts w:ascii="Times New Roman"/>
                            <w:spacing w:val="-7"/>
                            <w:sz w:val="24"/>
                          </w:rPr>
                          <w:t> </w:t>
                        </w:r>
                        <w:hyperlink r:id="rId26">
                          <w:r>
                            <w:rPr>
                              <w:rFonts w:ascii="Times New Roman"/>
                              <w:color w:val="0000FF"/>
                              <w:sz w:val="24"/>
                              <w:u w:val="single" w:color="0000FF"/>
                            </w:rPr>
                            <w:t>sherry.tompkins@maine.gov</w:t>
                          </w:r>
                        </w:hyperlink>
                        <w:r>
                          <w:rPr>
                            <w:rFonts w:ascii="Times New Roman"/>
                            <w:color w:val="0000FF"/>
                            <w:sz w:val="24"/>
                          </w:rPr>
                          <w:t> </w:t>
                        </w:r>
                        <w:r>
                          <w:rPr>
                            <w:rFonts w:ascii="Times New Roman"/>
                            <w:sz w:val="24"/>
                          </w:rPr>
                          <w:t>Language translation services available upon request.</w:t>
                        </w:r>
                      </w:p>
                      <w:p>
                        <w:pPr>
                          <w:spacing w:before="19"/>
                          <w:ind w:left="1926" w:right="1929" w:firstLine="0"/>
                          <w:jc w:val="center"/>
                          <w:rPr>
                            <w:rFonts w:ascii="Times New Roman" w:hAnsi="Times New Roman"/>
                            <w:sz w:val="24"/>
                          </w:rPr>
                        </w:pPr>
                        <w:r>
                          <w:rPr>
                            <w:rFonts w:ascii="Times New Roman" w:hAnsi="Times New Roman"/>
                            <w:sz w:val="24"/>
                          </w:rPr>
                          <w:t>Services</w:t>
                        </w:r>
                        <w:r>
                          <w:rPr>
                            <w:rFonts w:ascii="Times New Roman" w:hAnsi="Times New Roman"/>
                            <w:spacing w:val="-6"/>
                            <w:sz w:val="24"/>
                          </w:rPr>
                          <w:t> </w:t>
                        </w:r>
                        <w:r>
                          <w:rPr>
                            <w:rFonts w:ascii="Times New Roman" w:hAnsi="Times New Roman"/>
                            <w:sz w:val="24"/>
                          </w:rPr>
                          <w:t>de</w:t>
                        </w:r>
                        <w:r>
                          <w:rPr>
                            <w:rFonts w:ascii="Times New Roman" w:hAnsi="Times New Roman"/>
                            <w:spacing w:val="-7"/>
                            <w:sz w:val="24"/>
                          </w:rPr>
                          <w:t> </w:t>
                        </w:r>
                        <w:r>
                          <w:rPr>
                            <w:rFonts w:ascii="Times New Roman" w:hAnsi="Times New Roman"/>
                            <w:sz w:val="24"/>
                          </w:rPr>
                          <w:t>traduction</w:t>
                        </w:r>
                        <w:r>
                          <w:rPr>
                            <w:rFonts w:ascii="Times New Roman" w:hAnsi="Times New Roman"/>
                            <w:spacing w:val="-6"/>
                            <w:sz w:val="24"/>
                          </w:rPr>
                          <w:t> </w:t>
                        </w:r>
                        <w:r>
                          <w:rPr>
                            <w:rFonts w:ascii="Times New Roman" w:hAnsi="Times New Roman"/>
                            <w:sz w:val="24"/>
                          </w:rPr>
                          <w:t>langue</w:t>
                        </w:r>
                        <w:r>
                          <w:rPr>
                            <w:rFonts w:ascii="Times New Roman" w:hAnsi="Times New Roman"/>
                            <w:spacing w:val="-7"/>
                            <w:sz w:val="24"/>
                          </w:rPr>
                          <w:t> </w:t>
                        </w:r>
                        <w:r>
                          <w:rPr>
                            <w:rFonts w:ascii="Times New Roman" w:hAnsi="Times New Roman"/>
                            <w:sz w:val="24"/>
                          </w:rPr>
                          <w:t>disponibles</w:t>
                        </w:r>
                        <w:r>
                          <w:rPr>
                            <w:rFonts w:ascii="Times New Roman" w:hAnsi="Times New Roman"/>
                            <w:spacing w:val="-6"/>
                            <w:sz w:val="24"/>
                          </w:rPr>
                          <w:t> </w:t>
                        </w:r>
                        <w:r>
                          <w:rPr>
                            <w:rFonts w:ascii="Times New Roman" w:hAnsi="Times New Roman"/>
                            <w:sz w:val="24"/>
                          </w:rPr>
                          <w:t>sur</w:t>
                        </w:r>
                        <w:r>
                          <w:rPr>
                            <w:rFonts w:ascii="Times New Roman" w:hAnsi="Times New Roman"/>
                            <w:spacing w:val="-7"/>
                            <w:sz w:val="24"/>
                          </w:rPr>
                          <w:t> </w:t>
                        </w:r>
                        <w:r>
                          <w:rPr>
                            <w:rFonts w:ascii="Times New Roman" w:hAnsi="Times New Roman"/>
                            <w:sz w:val="24"/>
                          </w:rPr>
                          <w:t>demande Servicios de traducción disponibles bajo petición.</w:t>
                        </w:r>
                      </w:p>
                      <w:p>
                        <w:pPr>
                          <w:spacing w:before="3"/>
                          <w:ind w:left="204" w:right="205" w:firstLine="0"/>
                          <w:jc w:val="center"/>
                          <w:rPr>
                            <w:rFonts w:ascii="MS PGothic" w:eastAsia="MS PGothic" w:hint="eastAsia"/>
                            <w:sz w:val="24"/>
                          </w:rPr>
                        </w:pPr>
                        <w:r>
                          <w:rPr>
                            <w:rFonts w:ascii="MS PGothic" w:eastAsia="MS PGothic" w:hint="eastAsia"/>
                            <w:sz w:val="24"/>
                          </w:rPr>
                          <w:t>要求提供的</w:t>
                        </w:r>
                        <w:r>
                          <w:rPr>
                            <w:rFonts w:ascii="SimSun" w:eastAsia="SimSun"/>
                            <w:sz w:val="24"/>
                          </w:rPr>
                          <w:t>语言翻译服务</w:t>
                        </w:r>
                        <w:r>
                          <w:rPr>
                            <w:rFonts w:ascii="MS PGothic" w:eastAsia="MS PGothic" w:hint="eastAsia"/>
                            <w:spacing w:val="-10"/>
                            <w:sz w:val="24"/>
                          </w:rPr>
                          <w:t>。</w:t>
                        </w:r>
                      </w:p>
                    </w:txbxContent>
                  </v:textbox>
                  <v:stroke dashstyle="solid"/>
                  <w10:wrap type="none"/>
                </v:shape>
                <v:shape style="position:absolute;left:1648;top:7649;width:8892;height:504" type="#_x0000_t202" id="docshape19" filled="true" fillcolor="#f5f5f5" stroked="false">
                  <v:textbox inset="0,0,0,0">
                    <w:txbxContent>
                      <w:p>
                        <w:pPr>
                          <w:bidi/>
                          <w:spacing w:line="275" w:lineRule="exact" w:before="0"/>
                          <w:ind w:right="2239" w:left="2238" w:firstLine="0"/>
                          <w:jc w:val="center"/>
                          <w:rPr>
                            <w:rFonts w:ascii="Times New Roman" w:cs="Times New Roman"/>
                            <w:color w:val="000000"/>
                            <w:sz w:val="24"/>
                            <w:szCs w:val="24"/>
                          </w:rPr>
                        </w:pPr>
                        <w:r>
                          <w:rPr>
                            <w:rFonts w:ascii="Times New Roman" w:cs="Times New Roman"/>
                            <w:color w:val="000000"/>
                            <w:sz w:val="24"/>
                            <w:szCs w:val="24"/>
                            <w:rtl/>
                          </w:rPr>
                          <w:t>ﺐﻠﻄﻟا</w:t>
                        </w:r>
                        <w:r>
                          <w:rPr>
                            <w:rFonts w:ascii="Times New Roman" w:cs="Times New Roman"/>
                            <w:color w:val="000000"/>
                            <w:spacing w:val="-3"/>
                            <w:sz w:val="24"/>
                            <w:szCs w:val="24"/>
                            <w:rtl/>
                          </w:rPr>
                          <w:t> </w:t>
                        </w:r>
                        <w:r>
                          <w:rPr>
                            <w:rFonts w:ascii="Times New Roman" w:cs="Times New Roman"/>
                            <w:color w:val="000000"/>
                            <w:sz w:val="24"/>
                            <w:szCs w:val="24"/>
                            <w:rtl/>
                          </w:rPr>
                          <w:t>ﺪﻨﻋ</w:t>
                        </w:r>
                        <w:r>
                          <w:rPr>
                            <w:rFonts w:ascii="Times New Roman" w:cs="Times New Roman"/>
                            <w:color w:val="000000"/>
                            <w:spacing w:val="-1"/>
                            <w:sz w:val="24"/>
                            <w:szCs w:val="24"/>
                            <w:rtl/>
                          </w:rPr>
                          <w:t> </w:t>
                        </w:r>
                        <w:r>
                          <w:rPr>
                            <w:rFonts w:ascii="Times New Roman" w:cs="Times New Roman"/>
                            <w:color w:val="000000"/>
                            <w:sz w:val="24"/>
                            <w:szCs w:val="24"/>
                            <w:rtl/>
                          </w:rPr>
                          <w:t>ﺔﺣﺎﺘﻣ</w:t>
                        </w:r>
                        <w:r>
                          <w:rPr>
                            <w:rFonts w:ascii="Times New Roman" w:cs="Times New Roman"/>
                            <w:color w:val="000000"/>
                            <w:spacing w:val="-2"/>
                            <w:sz w:val="24"/>
                            <w:szCs w:val="24"/>
                            <w:rtl/>
                          </w:rPr>
                          <w:t> </w:t>
                        </w:r>
                        <w:r>
                          <w:rPr>
                            <w:rFonts w:ascii="Times New Roman" w:cs="Times New Roman"/>
                            <w:color w:val="000000"/>
                            <w:sz w:val="24"/>
                            <w:szCs w:val="24"/>
                            <w:rtl/>
                          </w:rPr>
                          <w:t>ﺔﻐﻠﻟا</w:t>
                        </w:r>
                        <w:r>
                          <w:rPr>
                            <w:rFonts w:ascii="Times New Roman" w:cs="Times New Roman"/>
                            <w:color w:val="000000"/>
                            <w:spacing w:val="-1"/>
                            <w:sz w:val="24"/>
                            <w:szCs w:val="24"/>
                            <w:rtl/>
                          </w:rPr>
                          <w:t> </w:t>
                        </w:r>
                        <w:r>
                          <w:rPr>
                            <w:rFonts w:ascii="Times New Roman" w:cs="Times New Roman"/>
                            <w:color w:val="000000"/>
                            <w:sz w:val="24"/>
                            <w:szCs w:val="24"/>
                            <w:rtl/>
                          </w:rPr>
                          <w:t>ﺔﻤﺟﺮﺘﻟا </w:t>
                        </w:r>
                        <w:r>
                          <w:rPr>
                            <w:rFonts w:ascii="Times New Roman" w:cs="Times New Roman"/>
                            <w:color w:val="000000"/>
                            <w:spacing w:val="-4"/>
                            <w:sz w:val="24"/>
                            <w:szCs w:val="24"/>
                            <w:rtl/>
                          </w:rPr>
                          <w:t>تﺎﻣﺪ</w:t>
                        </w:r>
                        <w:r>
                          <w:rPr>
                            <w:rFonts w:ascii="Times New Roman" w:cs="Times New Roman"/>
                            <w:color w:val="000000"/>
                            <w:spacing w:val="-4"/>
                            <w:sz w:val="24"/>
                            <w:szCs w:val="24"/>
                            <w:rtl/>
                          </w:rPr>
                          <w:t>ﺧ</w:t>
                        </w:r>
                      </w:p>
                    </w:txbxContent>
                  </v:textbox>
                  <v:fill type="solid"/>
                  <w10:wrap type="none"/>
                </v:shape>
                <v:shape style="position:absolute;left:1648;top:6821;width:8892;height:552" type="#_x0000_t202" id="docshape20" filled="true" fillcolor="#f5f5f5" stroked="false">
                  <v:textbox inset="0,0,0,0">
                    <w:txbxContent>
                      <w:p>
                        <w:pPr>
                          <w:spacing w:before="0"/>
                          <w:ind w:left="2145" w:right="1294" w:hanging="94"/>
                          <w:jc w:val="left"/>
                          <w:rPr>
                            <w:rFonts w:ascii="Times New Roman" w:hAnsi="Times New Roman"/>
                            <w:color w:val="000000"/>
                            <w:sz w:val="24"/>
                          </w:rPr>
                        </w:pPr>
                        <w:r>
                          <w:rPr>
                            <w:rFonts w:ascii="Times New Roman" w:hAnsi="Times New Roman"/>
                            <w:color w:val="212121"/>
                            <w:sz w:val="24"/>
                          </w:rPr>
                          <w:t>Lugha</w:t>
                        </w:r>
                        <w:r>
                          <w:rPr>
                            <w:rFonts w:ascii="Times New Roman" w:hAnsi="Times New Roman"/>
                            <w:color w:val="212121"/>
                            <w:spacing w:val="-7"/>
                            <w:sz w:val="24"/>
                          </w:rPr>
                          <w:t> </w:t>
                        </w:r>
                        <w:r>
                          <w:rPr>
                            <w:rFonts w:ascii="Times New Roman" w:hAnsi="Times New Roman"/>
                            <w:color w:val="212121"/>
                            <w:sz w:val="24"/>
                          </w:rPr>
                          <w:t>ya</w:t>
                        </w:r>
                        <w:r>
                          <w:rPr>
                            <w:rFonts w:ascii="Times New Roman" w:hAnsi="Times New Roman"/>
                            <w:color w:val="212121"/>
                            <w:spacing w:val="-7"/>
                            <w:sz w:val="24"/>
                          </w:rPr>
                          <w:t> </w:t>
                        </w:r>
                        <w:r>
                          <w:rPr>
                            <w:rFonts w:ascii="Times New Roman" w:hAnsi="Times New Roman"/>
                            <w:color w:val="212121"/>
                            <w:sz w:val="24"/>
                          </w:rPr>
                          <w:t>tafsiri</w:t>
                        </w:r>
                        <w:r>
                          <w:rPr>
                            <w:rFonts w:ascii="Times New Roman" w:hAnsi="Times New Roman"/>
                            <w:color w:val="212121"/>
                            <w:spacing w:val="-6"/>
                            <w:sz w:val="24"/>
                          </w:rPr>
                          <w:t> </w:t>
                        </w:r>
                        <w:r>
                          <w:rPr>
                            <w:rFonts w:ascii="Times New Roman" w:hAnsi="Times New Roman"/>
                            <w:color w:val="212121"/>
                            <w:sz w:val="24"/>
                          </w:rPr>
                          <w:t>huduma</w:t>
                        </w:r>
                        <w:r>
                          <w:rPr>
                            <w:rFonts w:ascii="Times New Roman" w:hAnsi="Times New Roman"/>
                            <w:color w:val="212121"/>
                            <w:spacing w:val="-5"/>
                            <w:sz w:val="24"/>
                          </w:rPr>
                          <w:t> </w:t>
                        </w:r>
                        <w:r>
                          <w:rPr>
                            <w:rFonts w:ascii="Times New Roman" w:hAnsi="Times New Roman"/>
                            <w:color w:val="212121"/>
                            <w:sz w:val="24"/>
                          </w:rPr>
                          <w:t>inapatikana</w:t>
                        </w:r>
                        <w:r>
                          <w:rPr>
                            <w:rFonts w:ascii="Times New Roman" w:hAnsi="Times New Roman"/>
                            <w:color w:val="212121"/>
                            <w:spacing w:val="-7"/>
                            <w:sz w:val="24"/>
                          </w:rPr>
                          <w:t> </w:t>
                        </w:r>
                        <w:r>
                          <w:rPr>
                            <w:rFonts w:ascii="Times New Roman" w:hAnsi="Times New Roman"/>
                            <w:color w:val="212121"/>
                            <w:sz w:val="24"/>
                          </w:rPr>
                          <w:t>juu</w:t>
                        </w:r>
                        <w:r>
                          <w:rPr>
                            <w:rFonts w:ascii="Times New Roman" w:hAnsi="Times New Roman"/>
                            <w:color w:val="212121"/>
                            <w:spacing w:val="-6"/>
                            <w:sz w:val="24"/>
                          </w:rPr>
                          <w:t> </w:t>
                        </w:r>
                        <w:r>
                          <w:rPr>
                            <w:rFonts w:ascii="Times New Roman" w:hAnsi="Times New Roman"/>
                            <w:color w:val="212121"/>
                            <w:sz w:val="24"/>
                          </w:rPr>
                          <w:t>ya</w:t>
                        </w:r>
                        <w:r>
                          <w:rPr>
                            <w:rFonts w:ascii="Times New Roman" w:hAnsi="Times New Roman"/>
                            <w:color w:val="212121"/>
                            <w:spacing w:val="-7"/>
                            <w:sz w:val="24"/>
                          </w:rPr>
                          <w:t> </w:t>
                        </w:r>
                        <w:r>
                          <w:rPr>
                            <w:rFonts w:ascii="Times New Roman" w:hAnsi="Times New Roman"/>
                            <w:color w:val="212121"/>
                            <w:sz w:val="24"/>
                          </w:rPr>
                          <w:t>ombi. Ladenan panarjamahan Basa aya kana paménta.</w:t>
                        </w:r>
                      </w:p>
                    </w:txbxContent>
                  </v:textbox>
                  <v:fill type="solid"/>
                  <w10:wrap type="none"/>
                </v:shape>
                <v:shape style="position:absolute;left:1648;top:689;width:8892;height:1354" type="#_x0000_t202" id="docshape21" filled="true" fillcolor="#234060" stroked="false">
                  <v:textbox inset="0,0,0,0">
                    <w:txbxContent>
                      <w:p>
                        <w:pPr>
                          <w:spacing w:line="1016" w:lineRule="exact" w:before="0"/>
                          <w:ind w:left="2239" w:right="2239" w:firstLine="0"/>
                          <w:jc w:val="center"/>
                          <w:rPr>
                            <w:rFonts w:ascii="Arial Black"/>
                            <w:i/>
                            <w:color w:val="000000"/>
                            <w:sz w:val="76"/>
                          </w:rPr>
                        </w:pPr>
                        <w:r>
                          <w:rPr>
                            <w:rFonts w:ascii="Arial Black"/>
                            <w:i/>
                            <w:color w:val="FFC000"/>
                            <w:spacing w:val="-6"/>
                            <w:sz w:val="76"/>
                          </w:rPr>
                          <w:t>MaineDOT</w:t>
                        </w:r>
                      </w:p>
                      <w:p>
                        <w:pPr>
                          <w:spacing w:line="338" w:lineRule="exact" w:before="0"/>
                          <w:ind w:left="2239" w:right="2239" w:firstLine="0"/>
                          <w:jc w:val="center"/>
                          <w:rPr>
                            <w:rFonts w:ascii="Arial Black" w:hAnsi="Arial Black"/>
                            <w:i/>
                            <w:color w:val="000000"/>
                            <w:sz w:val="25"/>
                          </w:rPr>
                        </w:pPr>
                        <w:r>
                          <w:rPr>
                            <w:rFonts w:ascii="Arial Black" w:hAnsi="Arial Black"/>
                            <w:i/>
                            <w:color w:val="FFC000"/>
                            <w:spacing w:val="-4"/>
                            <w:sz w:val="25"/>
                          </w:rPr>
                          <w:t>Integrity</w:t>
                        </w:r>
                        <w:r>
                          <w:rPr>
                            <w:rFonts w:ascii="Arial Black" w:hAnsi="Arial Black"/>
                            <w:i/>
                            <w:color w:val="FFC000"/>
                            <w:spacing w:val="-17"/>
                            <w:sz w:val="25"/>
                          </w:rPr>
                          <w:t> </w:t>
                        </w:r>
                        <w:r>
                          <w:rPr>
                            <w:rFonts w:ascii="Arial Black" w:hAnsi="Arial Black"/>
                            <w:i/>
                            <w:color w:val="FFC000"/>
                            <w:spacing w:val="-4"/>
                            <w:sz w:val="25"/>
                          </w:rPr>
                          <w:t>●</w:t>
                        </w:r>
                        <w:r>
                          <w:rPr>
                            <w:rFonts w:ascii="Arial Black" w:hAnsi="Arial Black"/>
                            <w:i/>
                            <w:color w:val="FFC000"/>
                            <w:spacing w:val="-17"/>
                            <w:sz w:val="25"/>
                          </w:rPr>
                          <w:t> </w:t>
                        </w:r>
                        <w:r>
                          <w:rPr>
                            <w:rFonts w:ascii="Arial Black" w:hAnsi="Arial Black"/>
                            <w:i/>
                            <w:color w:val="FFC000"/>
                            <w:spacing w:val="-4"/>
                            <w:sz w:val="25"/>
                          </w:rPr>
                          <w:t>Competence</w:t>
                        </w:r>
                        <w:r>
                          <w:rPr>
                            <w:rFonts w:ascii="Arial Black" w:hAnsi="Arial Black"/>
                            <w:i/>
                            <w:color w:val="FFC000"/>
                            <w:spacing w:val="-16"/>
                            <w:sz w:val="25"/>
                          </w:rPr>
                          <w:t> </w:t>
                        </w:r>
                        <w:r>
                          <w:rPr>
                            <w:rFonts w:ascii="Arial Black" w:hAnsi="Arial Black"/>
                            <w:i/>
                            <w:color w:val="FFC000"/>
                            <w:spacing w:val="-4"/>
                            <w:sz w:val="25"/>
                          </w:rPr>
                          <w:t>●</w:t>
                        </w:r>
                        <w:r>
                          <w:rPr>
                            <w:rFonts w:ascii="Arial Black" w:hAnsi="Arial Black"/>
                            <w:i/>
                            <w:color w:val="FFC000"/>
                            <w:spacing w:val="-17"/>
                            <w:sz w:val="25"/>
                          </w:rPr>
                          <w:t> </w:t>
                        </w:r>
                        <w:r>
                          <w:rPr>
                            <w:rFonts w:ascii="Arial Black" w:hAnsi="Arial Black"/>
                            <w:i/>
                            <w:color w:val="FFC000"/>
                            <w:spacing w:val="-4"/>
                            <w:sz w:val="25"/>
                          </w:rPr>
                          <w:t>Service</w:t>
                        </w:r>
                      </w:p>
                    </w:txbxContent>
                  </v:textbox>
                  <v:fill type="solid"/>
                  <w10:wrap type="none"/>
                </v:shape>
                <w10:wrap type="topAndBottom"/>
              </v:group>
            </w:pict>
          </mc:Fallback>
        </mc:AlternateContent>
      </w:r>
    </w:p>
    <w:p>
      <w:pPr>
        <w:spacing w:after="0"/>
        <w:sectPr>
          <w:footerReference w:type="default" r:id="rId24"/>
          <w:pgSz w:w="12240" w:h="15840"/>
          <w:pgMar w:footer="0" w:header="0" w:top="960" w:bottom="280" w:left="600" w:right="600"/>
        </w:sectPr>
      </w:pPr>
    </w:p>
    <w:p>
      <w:pPr>
        <w:spacing w:line="276" w:lineRule="auto" w:before="35"/>
        <w:ind w:left="120" w:right="206" w:firstLine="0"/>
        <w:jc w:val="left"/>
        <w:rPr>
          <w:i/>
          <w:sz w:val="24"/>
        </w:rPr>
      </w:pPr>
      <w:r>
        <w:rPr>
          <w:i/>
          <w:sz w:val="24"/>
        </w:rPr>
        <w:t>MaineDOT’s</w:t>
      </w:r>
      <w:r>
        <w:rPr>
          <w:i/>
          <w:spacing w:val="-1"/>
          <w:sz w:val="24"/>
        </w:rPr>
        <w:t> </w:t>
      </w:r>
      <w:r>
        <w:rPr>
          <w:i/>
          <w:sz w:val="24"/>
        </w:rPr>
        <w:t>Title</w:t>
      </w:r>
      <w:r>
        <w:rPr>
          <w:i/>
          <w:spacing w:val="-3"/>
          <w:sz w:val="24"/>
        </w:rPr>
        <w:t> </w:t>
      </w:r>
      <w:r>
        <w:rPr>
          <w:i/>
          <w:sz w:val="24"/>
        </w:rPr>
        <w:t>VI</w:t>
      </w:r>
      <w:r>
        <w:rPr>
          <w:i/>
          <w:spacing w:val="-2"/>
          <w:sz w:val="24"/>
        </w:rPr>
        <w:t> </w:t>
      </w:r>
      <w:r>
        <w:rPr>
          <w:i/>
          <w:sz w:val="24"/>
        </w:rPr>
        <w:t>notice</w:t>
      </w:r>
      <w:r>
        <w:rPr>
          <w:i/>
          <w:spacing w:val="-3"/>
          <w:sz w:val="24"/>
        </w:rPr>
        <w:t> </w:t>
      </w:r>
      <w:r>
        <w:rPr>
          <w:i/>
          <w:sz w:val="24"/>
        </w:rPr>
        <w:t>to</w:t>
      </w:r>
      <w:r>
        <w:rPr>
          <w:i/>
          <w:spacing w:val="-2"/>
          <w:sz w:val="24"/>
        </w:rPr>
        <w:t> </w:t>
      </w:r>
      <w:r>
        <w:rPr>
          <w:i/>
          <w:sz w:val="24"/>
        </w:rPr>
        <w:t>the</w:t>
      </w:r>
      <w:r>
        <w:rPr>
          <w:i/>
          <w:spacing w:val="-1"/>
          <w:sz w:val="24"/>
        </w:rPr>
        <w:t> </w:t>
      </w:r>
      <w:r>
        <w:rPr>
          <w:i/>
          <w:sz w:val="24"/>
        </w:rPr>
        <w:t>public</w:t>
      </w:r>
      <w:r>
        <w:rPr>
          <w:i/>
          <w:spacing w:val="-1"/>
          <w:sz w:val="24"/>
        </w:rPr>
        <w:t> </w:t>
      </w:r>
      <w:r>
        <w:rPr>
          <w:i/>
          <w:sz w:val="24"/>
        </w:rPr>
        <w:t>is</w:t>
      </w:r>
      <w:r>
        <w:rPr>
          <w:i/>
          <w:spacing w:val="-1"/>
          <w:sz w:val="24"/>
        </w:rPr>
        <w:t> </w:t>
      </w:r>
      <w:r>
        <w:rPr>
          <w:i/>
          <w:sz w:val="24"/>
        </w:rPr>
        <w:t>a</w:t>
      </w:r>
      <w:r>
        <w:rPr>
          <w:i/>
          <w:spacing w:val="-5"/>
          <w:sz w:val="24"/>
        </w:rPr>
        <w:t> </w:t>
      </w:r>
      <w:r>
        <w:rPr>
          <w:i/>
          <w:sz w:val="24"/>
        </w:rPr>
        <w:t>vital</w:t>
      </w:r>
      <w:r>
        <w:rPr>
          <w:i/>
          <w:spacing w:val="-4"/>
          <w:sz w:val="24"/>
        </w:rPr>
        <w:t> </w:t>
      </w:r>
      <w:r>
        <w:rPr>
          <w:i/>
          <w:sz w:val="24"/>
        </w:rPr>
        <w:t>document that informs</w:t>
      </w:r>
      <w:r>
        <w:rPr>
          <w:i/>
          <w:spacing w:val="-1"/>
          <w:sz w:val="24"/>
        </w:rPr>
        <w:t> </w:t>
      </w:r>
      <w:r>
        <w:rPr>
          <w:i/>
          <w:sz w:val="24"/>
        </w:rPr>
        <w:t>people</w:t>
      </w:r>
      <w:r>
        <w:rPr>
          <w:i/>
          <w:spacing w:val="-1"/>
          <w:sz w:val="24"/>
        </w:rPr>
        <w:t> </w:t>
      </w:r>
      <w:r>
        <w:rPr>
          <w:i/>
          <w:sz w:val="24"/>
        </w:rPr>
        <w:t>of their</w:t>
      </w:r>
      <w:r>
        <w:rPr>
          <w:i/>
          <w:spacing w:val="-5"/>
          <w:sz w:val="24"/>
        </w:rPr>
        <w:t> </w:t>
      </w:r>
      <w:r>
        <w:rPr>
          <w:i/>
          <w:sz w:val="24"/>
        </w:rPr>
        <w:t>civil</w:t>
      </w:r>
      <w:r>
        <w:rPr>
          <w:i/>
          <w:spacing w:val="-4"/>
          <w:sz w:val="24"/>
        </w:rPr>
        <w:t> </w:t>
      </w:r>
      <w:r>
        <w:rPr>
          <w:i/>
          <w:sz w:val="24"/>
        </w:rPr>
        <w:t>rights</w:t>
      </w:r>
      <w:r>
        <w:rPr>
          <w:i/>
          <w:spacing w:val="-1"/>
          <w:sz w:val="24"/>
        </w:rPr>
        <w:t> </w:t>
      </w:r>
      <w:r>
        <w:rPr>
          <w:i/>
          <w:sz w:val="24"/>
        </w:rPr>
        <w:t>and</w:t>
      </w:r>
      <w:r>
        <w:rPr>
          <w:i/>
          <w:spacing w:val="-3"/>
          <w:sz w:val="24"/>
        </w:rPr>
        <w:t> </w:t>
      </w:r>
      <w:r>
        <w:rPr>
          <w:i/>
          <w:sz w:val="24"/>
        </w:rPr>
        <w:t>as</w:t>
      </w:r>
      <w:r>
        <w:rPr>
          <w:i/>
          <w:spacing w:val="-1"/>
          <w:sz w:val="24"/>
        </w:rPr>
        <w:t> </w:t>
      </w:r>
      <w:r>
        <w:rPr>
          <w:i/>
          <w:sz w:val="24"/>
        </w:rPr>
        <w:t>such</w:t>
      </w:r>
      <w:r>
        <w:rPr>
          <w:i/>
          <w:sz w:val="24"/>
        </w:rPr>
        <w:t> will be fully translated into the languages identified as meeting the Safe Harbor threshold in MaineDOT’s Language Assistance Plan Four Factor Analysis.</w:t>
      </w:r>
      <w:r>
        <w:rPr>
          <w:i/>
          <w:spacing w:val="40"/>
          <w:sz w:val="24"/>
        </w:rPr>
        <w:t> </w:t>
      </w:r>
      <w:r>
        <w:rPr>
          <w:i/>
          <w:sz w:val="24"/>
        </w:rPr>
        <w:t>For the languages clustered as “Other,” vital documents will be translated upon request.</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1"/>
        </w:rPr>
      </w:pPr>
    </w:p>
    <w:p>
      <w:pPr>
        <w:pStyle w:val="BodyText"/>
        <w:ind w:left="1209" w:right="1209"/>
        <w:jc w:val="center"/>
        <w:rPr>
          <w:rFonts w:ascii="Times New Roman"/>
        </w:rPr>
      </w:pPr>
      <w:r>
        <w:rPr>
          <w:rFonts w:ascii="Times New Roman"/>
          <w:spacing w:val="-5"/>
        </w:rPr>
        <w:t>27</w:t>
      </w:r>
    </w:p>
    <w:p>
      <w:pPr>
        <w:spacing w:after="0"/>
        <w:jc w:val="center"/>
        <w:rPr>
          <w:rFonts w:ascii="Times New Roman"/>
        </w:rPr>
        <w:sectPr>
          <w:footerReference w:type="default" r:id="rId27"/>
          <w:pgSz w:w="12240" w:h="15840"/>
          <w:pgMar w:footer="0" w:header="0" w:top="960" w:bottom="280" w:left="600" w:right="600"/>
        </w:sectPr>
      </w:pPr>
    </w:p>
    <w:p>
      <w:pPr>
        <w:pStyle w:val="Heading9"/>
        <w:spacing w:before="35"/>
        <w:ind w:left="5894" w:right="5134"/>
        <w:jc w:val="center"/>
      </w:pPr>
      <w:r>
        <w:rPr>
          <w:u w:val="single"/>
        </w:rPr>
        <w:t>MaineDOT</w:t>
      </w:r>
      <w:r>
        <w:rPr>
          <w:spacing w:val="-1"/>
          <w:u w:val="single"/>
        </w:rPr>
        <w:t> </w:t>
      </w:r>
      <w:r>
        <w:rPr>
          <w:u w:val="single"/>
        </w:rPr>
        <w:t>Title</w:t>
      </w:r>
      <w:r>
        <w:rPr>
          <w:spacing w:val="-2"/>
          <w:u w:val="single"/>
        </w:rPr>
        <w:t> </w:t>
      </w:r>
      <w:r>
        <w:rPr>
          <w:u w:val="single"/>
        </w:rPr>
        <w:t>VI</w:t>
      </w:r>
      <w:r>
        <w:rPr>
          <w:spacing w:val="-1"/>
          <w:u w:val="single"/>
        </w:rPr>
        <w:t> </w:t>
      </w:r>
      <w:r>
        <w:rPr>
          <w:spacing w:val="-2"/>
          <w:u w:val="single"/>
        </w:rPr>
        <w:t>Brochure</w:t>
      </w:r>
    </w:p>
    <w:p>
      <w:pPr>
        <w:pStyle w:val="BodyText"/>
        <w:spacing w:before="9"/>
        <w:rPr>
          <w:b/>
          <w:sz w:val="19"/>
        </w:rPr>
      </w:pPr>
    </w:p>
    <w:p>
      <w:pPr>
        <w:pStyle w:val="BodyText"/>
        <w:spacing w:before="52"/>
        <w:ind w:left="100"/>
      </w:pPr>
      <w:r>
        <w:rPr/>
        <w:t>The</w:t>
      </w:r>
      <w:r>
        <w:rPr>
          <w:spacing w:val="-2"/>
        </w:rPr>
        <w:t> </w:t>
      </w:r>
      <w:r>
        <w:rPr/>
        <w:t>Title</w:t>
      </w:r>
      <w:r>
        <w:rPr>
          <w:spacing w:val="-2"/>
        </w:rPr>
        <w:t> </w:t>
      </w:r>
      <w:r>
        <w:rPr/>
        <w:t>VI</w:t>
      </w:r>
      <w:r>
        <w:rPr>
          <w:spacing w:val="-3"/>
        </w:rPr>
        <w:t> </w:t>
      </w:r>
      <w:r>
        <w:rPr/>
        <w:t>Notice to</w:t>
      </w:r>
      <w:r>
        <w:rPr>
          <w:spacing w:val="-2"/>
        </w:rPr>
        <w:t> </w:t>
      </w:r>
      <w:r>
        <w:rPr/>
        <w:t>the</w:t>
      </w:r>
      <w:r>
        <w:rPr>
          <w:spacing w:val="-2"/>
        </w:rPr>
        <w:t> </w:t>
      </w:r>
      <w:r>
        <w:rPr/>
        <w:t>Public</w:t>
      </w:r>
      <w:r>
        <w:rPr>
          <w:spacing w:val="-1"/>
        </w:rPr>
        <w:t> </w:t>
      </w:r>
      <w:r>
        <w:rPr/>
        <w:t>is</w:t>
      </w:r>
      <w:r>
        <w:rPr>
          <w:spacing w:val="-3"/>
        </w:rPr>
        <w:t> </w:t>
      </w:r>
      <w:r>
        <w:rPr/>
        <w:t>posted</w:t>
      </w:r>
      <w:r>
        <w:rPr>
          <w:spacing w:val="-2"/>
        </w:rPr>
        <w:t> </w:t>
      </w:r>
      <w:r>
        <w:rPr/>
        <w:t>on</w:t>
      </w:r>
      <w:r>
        <w:rPr>
          <w:spacing w:val="-2"/>
        </w:rPr>
        <w:t> </w:t>
      </w:r>
      <w:r>
        <w:rPr/>
        <w:t>the</w:t>
      </w:r>
      <w:r>
        <w:rPr>
          <w:spacing w:val="-2"/>
        </w:rPr>
        <w:t> </w:t>
      </w:r>
      <w:r>
        <w:rPr/>
        <w:t>MaineDOT</w:t>
      </w:r>
      <w:r>
        <w:rPr>
          <w:spacing w:val="-2"/>
        </w:rPr>
        <w:t> </w:t>
      </w:r>
      <w:r>
        <w:rPr/>
        <w:t>website</w:t>
      </w:r>
      <w:r>
        <w:rPr>
          <w:spacing w:val="-2"/>
        </w:rPr>
        <w:t> </w:t>
      </w:r>
      <w:r>
        <w:rPr/>
        <w:t>and</w:t>
      </w:r>
      <w:r>
        <w:rPr>
          <w:spacing w:val="-2"/>
        </w:rPr>
        <w:t> </w:t>
      </w:r>
      <w:r>
        <w:rPr/>
        <w:t>on our</w:t>
      </w:r>
      <w:r>
        <w:rPr>
          <w:spacing w:val="-3"/>
        </w:rPr>
        <w:t> </w:t>
      </w:r>
      <w:r>
        <w:rPr/>
        <w:t>Title</w:t>
      </w:r>
      <w:r>
        <w:rPr>
          <w:spacing w:val="-2"/>
        </w:rPr>
        <w:t> </w:t>
      </w:r>
      <w:r>
        <w:rPr/>
        <w:t>VI</w:t>
      </w:r>
      <w:r>
        <w:rPr>
          <w:spacing w:val="-1"/>
        </w:rPr>
        <w:t> </w:t>
      </w:r>
      <w:r>
        <w:rPr/>
        <w:t>Brochure</w:t>
      </w:r>
      <w:r>
        <w:rPr>
          <w:spacing w:val="-5"/>
        </w:rPr>
        <w:t> </w:t>
      </w:r>
      <w:r>
        <w:rPr/>
        <w:t>Complaint Procedure,</w:t>
      </w:r>
      <w:r>
        <w:rPr>
          <w:spacing w:val="-3"/>
        </w:rPr>
        <w:t> </w:t>
      </w:r>
      <w:r>
        <w:rPr/>
        <w:t>and at</w:t>
      </w:r>
      <w:r>
        <w:rPr>
          <w:spacing w:val="-2"/>
        </w:rPr>
        <w:t> </w:t>
      </w:r>
      <w:r>
        <w:rPr/>
        <w:t>each</w:t>
      </w:r>
      <w:r>
        <w:rPr>
          <w:spacing w:val="-2"/>
        </w:rPr>
        <w:t> </w:t>
      </w:r>
      <w:r>
        <w:rPr/>
        <w:t>FTA subrecipient’s public notice areas, including transit vehicles.</w:t>
      </w:r>
    </w:p>
    <w:p>
      <w:pPr>
        <w:pStyle w:val="BodyText"/>
        <w:spacing w:before="11"/>
        <w:rPr>
          <w:sz w:val="23"/>
        </w:rPr>
      </w:pPr>
    </w:p>
    <w:p>
      <w:pPr>
        <w:pStyle w:val="Heading9"/>
        <w:spacing w:before="1"/>
        <w:ind w:left="100"/>
      </w:pPr>
      <w:r>
        <w:rPr/>
        <w:t>Front</w:t>
      </w:r>
      <w:r>
        <w:rPr>
          <w:spacing w:val="-1"/>
        </w:rPr>
        <w:t> </w:t>
      </w:r>
      <w:r>
        <w:rPr/>
        <w:t>of</w:t>
      </w:r>
      <w:r>
        <w:rPr>
          <w:spacing w:val="-1"/>
        </w:rPr>
        <w:t> </w:t>
      </w:r>
      <w:r>
        <w:rPr/>
        <w:t>the</w:t>
      </w:r>
      <w:r>
        <w:rPr>
          <w:spacing w:val="-2"/>
        </w:rPr>
        <w:t> brochure:</w:t>
      </w:r>
    </w:p>
    <w:p>
      <w:pPr>
        <w:pStyle w:val="BodyText"/>
        <w:spacing w:before="6"/>
        <w:rPr>
          <w:b/>
          <w:sz w:val="13"/>
        </w:rPr>
      </w:pPr>
      <w:r>
        <w:rPr/>
        <w:drawing>
          <wp:anchor distT="0" distB="0" distL="0" distR="0" allowOverlap="1" layoutInCell="1" locked="0" behindDoc="1" simplePos="0" relativeHeight="487590912">
            <wp:simplePos x="0" y="0"/>
            <wp:positionH relativeFrom="page">
              <wp:posOffset>1735454</wp:posOffset>
            </wp:positionH>
            <wp:positionV relativeFrom="paragraph">
              <wp:posOffset>120300</wp:posOffset>
            </wp:positionV>
            <wp:extent cx="6496026" cy="5019675"/>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29" cstate="print"/>
                    <a:stretch>
                      <a:fillRect/>
                    </a:stretch>
                  </pic:blipFill>
                  <pic:spPr>
                    <a:xfrm>
                      <a:off x="0" y="0"/>
                      <a:ext cx="6496026" cy="5019675"/>
                    </a:xfrm>
                    <a:prstGeom prst="rect">
                      <a:avLst/>
                    </a:prstGeom>
                  </pic:spPr>
                </pic:pic>
              </a:graphicData>
            </a:graphic>
          </wp:anchor>
        </w:drawing>
      </w:r>
    </w:p>
    <w:p>
      <w:pPr>
        <w:spacing w:after="0"/>
        <w:rPr>
          <w:sz w:val="13"/>
        </w:rPr>
        <w:sectPr>
          <w:footerReference w:type="default" r:id="rId28"/>
          <w:pgSz w:w="15840" w:h="12240" w:orient="landscape"/>
          <w:pgMar w:footer="1063" w:header="0" w:top="960" w:bottom="1260" w:left="620" w:right="1380"/>
          <w:pgNumType w:start="28"/>
        </w:sectPr>
      </w:pPr>
    </w:p>
    <w:p>
      <w:pPr>
        <w:pStyle w:val="BodyText"/>
        <w:spacing w:before="3"/>
        <w:rPr>
          <w:b/>
          <w:sz w:val="12"/>
        </w:rPr>
      </w:pPr>
    </w:p>
    <w:p>
      <w:pPr>
        <w:spacing w:before="51"/>
        <w:ind w:left="100" w:right="0" w:firstLine="0"/>
        <w:jc w:val="left"/>
        <w:rPr>
          <w:b/>
          <w:sz w:val="24"/>
        </w:rPr>
      </w:pPr>
      <w:r>
        <w:rPr>
          <w:b/>
          <w:sz w:val="24"/>
        </w:rPr>
        <w:t>Back</w:t>
      </w:r>
      <w:r>
        <w:rPr>
          <w:b/>
          <w:spacing w:val="-2"/>
          <w:sz w:val="24"/>
        </w:rPr>
        <w:t> </w:t>
      </w:r>
      <w:r>
        <w:rPr>
          <w:b/>
          <w:sz w:val="24"/>
        </w:rPr>
        <w:t>of the</w:t>
      </w:r>
      <w:r>
        <w:rPr>
          <w:b/>
          <w:spacing w:val="-1"/>
          <w:sz w:val="24"/>
        </w:rPr>
        <w:t> </w:t>
      </w:r>
      <w:r>
        <w:rPr>
          <w:b/>
          <w:spacing w:val="-2"/>
          <w:sz w:val="24"/>
        </w:rPr>
        <w:t>brochure:</w:t>
      </w:r>
    </w:p>
    <w:p>
      <w:pPr>
        <w:pStyle w:val="BodyText"/>
        <w:spacing w:before="1"/>
        <w:rPr>
          <w:b/>
          <w:sz w:val="22"/>
        </w:rPr>
      </w:pPr>
      <w:r>
        <w:rPr/>
        <w:drawing>
          <wp:anchor distT="0" distB="0" distL="0" distR="0" allowOverlap="1" layoutInCell="1" locked="0" behindDoc="1" simplePos="0" relativeHeight="487591424">
            <wp:simplePos x="0" y="0"/>
            <wp:positionH relativeFrom="page">
              <wp:posOffset>1743075</wp:posOffset>
            </wp:positionH>
            <wp:positionV relativeFrom="paragraph">
              <wp:posOffset>186948</wp:posOffset>
            </wp:positionV>
            <wp:extent cx="6378146" cy="501967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30" cstate="print"/>
                    <a:stretch>
                      <a:fillRect/>
                    </a:stretch>
                  </pic:blipFill>
                  <pic:spPr>
                    <a:xfrm>
                      <a:off x="0" y="0"/>
                      <a:ext cx="6378146" cy="5019675"/>
                    </a:xfrm>
                    <a:prstGeom prst="rect">
                      <a:avLst/>
                    </a:prstGeom>
                  </pic:spPr>
                </pic:pic>
              </a:graphicData>
            </a:graphic>
          </wp:anchor>
        </w:drawing>
      </w:r>
    </w:p>
    <w:p>
      <w:pPr>
        <w:spacing w:after="0"/>
        <w:rPr>
          <w:sz w:val="22"/>
        </w:rPr>
        <w:sectPr>
          <w:pgSz w:w="15840" w:h="12240" w:orient="landscape"/>
          <w:pgMar w:header="0" w:footer="1063" w:top="1380" w:bottom="1260" w:left="620" w:right="1380"/>
        </w:sectPr>
      </w:pPr>
    </w:p>
    <w:p>
      <w:pPr>
        <w:spacing w:before="35"/>
        <w:ind w:left="100" w:right="108" w:firstLine="0"/>
        <w:jc w:val="both"/>
        <w:rPr>
          <w:i/>
          <w:sz w:val="24"/>
        </w:rPr>
      </w:pPr>
      <w:r>
        <w:rPr>
          <w:i/>
          <w:sz w:val="24"/>
        </w:rPr>
        <w:t>MaineDOT’s</w:t>
      </w:r>
      <w:r>
        <w:rPr>
          <w:i/>
          <w:spacing w:val="-1"/>
          <w:sz w:val="24"/>
        </w:rPr>
        <w:t> </w:t>
      </w:r>
      <w:r>
        <w:rPr>
          <w:i/>
          <w:sz w:val="24"/>
        </w:rPr>
        <w:t>Title</w:t>
      </w:r>
      <w:r>
        <w:rPr>
          <w:i/>
          <w:spacing w:val="-3"/>
          <w:sz w:val="24"/>
        </w:rPr>
        <w:t> </w:t>
      </w:r>
      <w:r>
        <w:rPr>
          <w:i/>
          <w:sz w:val="24"/>
        </w:rPr>
        <w:t>VI</w:t>
      </w:r>
      <w:r>
        <w:rPr>
          <w:i/>
          <w:spacing w:val="-2"/>
          <w:sz w:val="24"/>
        </w:rPr>
        <w:t> </w:t>
      </w:r>
      <w:r>
        <w:rPr>
          <w:i/>
          <w:sz w:val="24"/>
        </w:rPr>
        <w:t>program</w:t>
      </w:r>
      <w:r>
        <w:rPr>
          <w:i/>
          <w:spacing w:val="-2"/>
          <w:sz w:val="24"/>
        </w:rPr>
        <w:t> </w:t>
      </w:r>
      <w:r>
        <w:rPr>
          <w:i/>
          <w:sz w:val="24"/>
        </w:rPr>
        <w:t>brochure</w:t>
      </w:r>
      <w:r>
        <w:rPr>
          <w:i/>
          <w:spacing w:val="-1"/>
          <w:sz w:val="24"/>
        </w:rPr>
        <w:t> </w:t>
      </w:r>
      <w:r>
        <w:rPr>
          <w:i/>
          <w:sz w:val="24"/>
        </w:rPr>
        <w:t>is</w:t>
      </w:r>
      <w:r>
        <w:rPr>
          <w:i/>
          <w:spacing w:val="-1"/>
          <w:sz w:val="24"/>
        </w:rPr>
        <w:t> </w:t>
      </w:r>
      <w:r>
        <w:rPr>
          <w:i/>
          <w:sz w:val="24"/>
        </w:rPr>
        <w:t>a</w:t>
      </w:r>
      <w:r>
        <w:rPr>
          <w:i/>
          <w:spacing w:val="-3"/>
          <w:sz w:val="24"/>
        </w:rPr>
        <w:t> </w:t>
      </w:r>
      <w:r>
        <w:rPr>
          <w:i/>
          <w:sz w:val="24"/>
        </w:rPr>
        <w:t>vital</w:t>
      </w:r>
      <w:r>
        <w:rPr>
          <w:i/>
          <w:spacing w:val="-1"/>
          <w:sz w:val="24"/>
        </w:rPr>
        <w:t> </w:t>
      </w:r>
      <w:r>
        <w:rPr>
          <w:i/>
          <w:sz w:val="24"/>
        </w:rPr>
        <w:t>document that informs</w:t>
      </w:r>
      <w:r>
        <w:rPr>
          <w:i/>
          <w:spacing w:val="-1"/>
          <w:sz w:val="24"/>
        </w:rPr>
        <w:t> </w:t>
      </w:r>
      <w:r>
        <w:rPr>
          <w:i/>
          <w:sz w:val="24"/>
        </w:rPr>
        <w:t>people</w:t>
      </w:r>
      <w:r>
        <w:rPr>
          <w:i/>
          <w:spacing w:val="-1"/>
          <w:sz w:val="24"/>
        </w:rPr>
        <w:t> </w:t>
      </w:r>
      <w:r>
        <w:rPr>
          <w:i/>
          <w:sz w:val="24"/>
        </w:rPr>
        <w:t>of their</w:t>
      </w:r>
      <w:r>
        <w:rPr>
          <w:i/>
          <w:spacing w:val="-2"/>
          <w:sz w:val="24"/>
        </w:rPr>
        <w:t> </w:t>
      </w:r>
      <w:r>
        <w:rPr>
          <w:i/>
          <w:sz w:val="24"/>
        </w:rPr>
        <w:t>civil</w:t>
      </w:r>
      <w:r>
        <w:rPr>
          <w:i/>
          <w:spacing w:val="-1"/>
          <w:sz w:val="24"/>
        </w:rPr>
        <w:t> </w:t>
      </w:r>
      <w:r>
        <w:rPr>
          <w:i/>
          <w:sz w:val="24"/>
        </w:rPr>
        <w:t>rights</w:t>
      </w:r>
      <w:r>
        <w:rPr>
          <w:i/>
          <w:spacing w:val="-1"/>
          <w:sz w:val="24"/>
        </w:rPr>
        <w:t> </w:t>
      </w:r>
      <w:r>
        <w:rPr>
          <w:i/>
          <w:sz w:val="24"/>
        </w:rPr>
        <w:t>and</w:t>
      </w:r>
      <w:r>
        <w:rPr>
          <w:i/>
          <w:spacing w:val="-3"/>
          <w:sz w:val="24"/>
        </w:rPr>
        <w:t> </w:t>
      </w:r>
      <w:r>
        <w:rPr>
          <w:i/>
          <w:sz w:val="24"/>
        </w:rPr>
        <w:t>as</w:t>
      </w:r>
      <w:r>
        <w:rPr>
          <w:i/>
          <w:spacing w:val="-1"/>
          <w:sz w:val="24"/>
        </w:rPr>
        <w:t> </w:t>
      </w:r>
      <w:r>
        <w:rPr>
          <w:i/>
          <w:sz w:val="24"/>
        </w:rPr>
        <w:t>such</w:t>
      </w:r>
      <w:r>
        <w:rPr>
          <w:i/>
          <w:spacing w:val="-3"/>
          <w:sz w:val="24"/>
        </w:rPr>
        <w:t> </w:t>
      </w:r>
      <w:r>
        <w:rPr>
          <w:i/>
          <w:sz w:val="24"/>
        </w:rPr>
        <w:t>will</w:t>
      </w:r>
      <w:r>
        <w:rPr>
          <w:i/>
          <w:spacing w:val="-1"/>
          <w:sz w:val="24"/>
        </w:rPr>
        <w:t> </w:t>
      </w:r>
      <w:r>
        <w:rPr>
          <w:i/>
          <w:sz w:val="24"/>
        </w:rPr>
        <w:t>be</w:t>
      </w:r>
      <w:r>
        <w:rPr>
          <w:i/>
          <w:spacing w:val="-1"/>
          <w:sz w:val="24"/>
        </w:rPr>
        <w:t> </w:t>
      </w:r>
      <w:r>
        <w:rPr>
          <w:i/>
          <w:sz w:val="24"/>
        </w:rPr>
        <w:t>fully</w:t>
      </w:r>
      <w:r>
        <w:rPr>
          <w:i/>
          <w:spacing w:val="-3"/>
          <w:sz w:val="24"/>
        </w:rPr>
        <w:t> </w:t>
      </w:r>
      <w:r>
        <w:rPr>
          <w:i/>
          <w:sz w:val="24"/>
        </w:rPr>
        <w:t>translated</w:t>
      </w:r>
      <w:r>
        <w:rPr>
          <w:i/>
          <w:spacing w:val="-3"/>
          <w:sz w:val="24"/>
        </w:rPr>
        <w:t> </w:t>
      </w:r>
      <w:r>
        <w:rPr>
          <w:i/>
          <w:sz w:val="24"/>
        </w:rPr>
        <w:t>into</w:t>
      </w:r>
      <w:r>
        <w:rPr>
          <w:i/>
          <w:spacing w:val="-2"/>
          <w:sz w:val="24"/>
        </w:rPr>
        <w:t> </w:t>
      </w:r>
      <w:r>
        <w:rPr>
          <w:i/>
          <w:sz w:val="24"/>
        </w:rPr>
        <w:t>the</w:t>
      </w:r>
      <w:r>
        <w:rPr>
          <w:i/>
          <w:sz w:val="24"/>
        </w:rPr>
        <w:t> languages</w:t>
      </w:r>
      <w:r>
        <w:rPr>
          <w:i/>
          <w:spacing w:val="-2"/>
          <w:sz w:val="24"/>
        </w:rPr>
        <w:t> </w:t>
      </w:r>
      <w:r>
        <w:rPr>
          <w:i/>
          <w:sz w:val="24"/>
        </w:rPr>
        <w:t>identified</w:t>
      </w:r>
      <w:r>
        <w:rPr>
          <w:i/>
          <w:spacing w:val="-4"/>
          <w:sz w:val="24"/>
        </w:rPr>
        <w:t> </w:t>
      </w:r>
      <w:r>
        <w:rPr>
          <w:i/>
          <w:sz w:val="24"/>
        </w:rPr>
        <w:t>as</w:t>
      </w:r>
      <w:r>
        <w:rPr>
          <w:i/>
          <w:spacing w:val="-2"/>
          <w:sz w:val="24"/>
        </w:rPr>
        <w:t> </w:t>
      </w:r>
      <w:r>
        <w:rPr>
          <w:i/>
          <w:sz w:val="24"/>
        </w:rPr>
        <w:t>meeting</w:t>
      </w:r>
      <w:r>
        <w:rPr>
          <w:i/>
          <w:spacing w:val="-4"/>
          <w:sz w:val="24"/>
        </w:rPr>
        <w:t> </w:t>
      </w:r>
      <w:r>
        <w:rPr>
          <w:i/>
          <w:sz w:val="24"/>
        </w:rPr>
        <w:t>the</w:t>
      </w:r>
      <w:r>
        <w:rPr>
          <w:i/>
          <w:spacing w:val="-2"/>
          <w:sz w:val="24"/>
        </w:rPr>
        <w:t> </w:t>
      </w:r>
      <w:r>
        <w:rPr>
          <w:i/>
          <w:sz w:val="24"/>
        </w:rPr>
        <w:t>Safe</w:t>
      </w:r>
      <w:r>
        <w:rPr>
          <w:i/>
          <w:spacing w:val="-4"/>
          <w:sz w:val="24"/>
        </w:rPr>
        <w:t> </w:t>
      </w:r>
      <w:r>
        <w:rPr>
          <w:i/>
          <w:sz w:val="24"/>
        </w:rPr>
        <w:t>Harbor</w:t>
      </w:r>
      <w:r>
        <w:rPr>
          <w:i/>
          <w:spacing w:val="-1"/>
          <w:sz w:val="24"/>
        </w:rPr>
        <w:t> </w:t>
      </w:r>
      <w:r>
        <w:rPr>
          <w:i/>
          <w:sz w:val="24"/>
        </w:rPr>
        <w:t>threshold</w:t>
      </w:r>
      <w:r>
        <w:rPr>
          <w:i/>
          <w:spacing w:val="-4"/>
          <w:sz w:val="24"/>
        </w:rPr>
        <w:t> </w:t>
      </w:r>
      <w:r>
        <w:rPr>
          <w:i/>
          <w:sz w:val="24"/>
        </w:rPr>
        <w:t>in</w:t>
      </w:r>
      <w:r>
        <w:rPr>
          <w:i/>
          <w:spacing w:val="-4"/>
          <w:sz w:val="24"/>
        </w:rPr>
        <w:t> </w:t>
      </w:r>
      <w:r>
        <w:rPr>
          <w:i/>
          <w:sz w:val="24"/>
        </w:rPr>
        <w:t>MaineDOT’s</w:t>
      </w:r>
      <w:r>
        <w:rPr>
          <w:i/>
          <w:spacing w:val="-2"/>
          <w:sz w:val="24"/>
        </w:rPr>
        <w:t> </w:t>
      </w:r>
      <w:r>
        <w:rPr>
          <w:i/>
          <w:sz w:val="24"/>
        </w:rPr>
        <w:t>Language</w:t>
      </w:r>
      <w:r>
        <w:rPr>
          <w:i/>
          <w:spacing w:val="-2"/>
          <w:sz w:val="24"/>
        </w:rPr>
        <w:t> </w:t>
      </w:r>
      <w:r>
        <w:rPr>
          <w:i/>
          <w:sz w:val="24"/>
        </w:rPr>
        <w:t>Assistance</w:t>
      </w:r>
      <w:r>
        <w:rPr>
          <w:i/>
          <w:spacing w:val="-2"/>
          <w:sz w:val="24"/>
        </w:rPr>
        <w:t> </w:t>
      </w:r>
      <w:r>
        <w:rPr>
          <w:i/>
          <w:sz w:val="24"/>
        </w:rPr>
        <w:t>Plan</w:t>
      </w:r>
      <w:r>
        <w:rPr>
          <w:i/>
          <w:spacing w:val="-4"/>
          <w:sz w:val="24"/>
        </w:rPr>
        <w:t> </w:t>
      </w:r>
      <w:r>
        <w:rPr>
          <w:i/>
          <w:sz w:val="24"/>
        </w:rPr>
        <w:t>Four</w:t>
      </w:r>
      <w:r>
        <w:rPr>
          <w:i/>
          <w:spacing w:val="-3"/>
          <w:sz w:val="24"/>
        </w:rPr>
        <w:t> </w:t>
      </w:r>
      <w:r>
        <w:rPr>
          <w:i/>
          <w:sz w:val="24"/>
        </w:rPr>
        <w:t>Factor</w:t>
      </w:r>
      <w:r>
        <w:rPr>
          <w:i/>
          <w:spacing w:val="-3"/>
          <w:sz w:val="24"/>
        </w:rPr>
        <w:t> </w:t>
      </w:r>
      <w:r>
        <w:rPr>
          <w:i/>
          <w:sz w:val="24"/>
        </w:rPr>
        <w:t>Analysis.</w:t>
      </w:r>
      <w:r>
        <w:rPr>
          <w:i/>
          <w:spacing w:val="40"/>
          <w:sz w:val="24"/>
        </w:rPr>
        <w:t> </w:t>
      </w:r>
      <w:r>
        <w:rPr>
          <w:i/>
          <w:sz w:val="24"/>
        </w:rPr>
        <w:t>For</w:t>
      </w:r>
      <w:r>
        <w:rPr>
          <w:i/>
          <w:spacing w:val="-3"/>
          <w:sz w:val="24"/>
        </w:rPr>
        <w:t> </w:t>
      </w:r>
      <w:r>
        <w:rPr>
          <w:i/>
          <w:sz w:val="24"/>
        </w:rPr>
        <w:t>the</w:t>
      </w:r>
      <w:r>
        <w:rPr>
          <w:i/>
          <w:spacing w:val="-2"/>
          <w:sz w:val="24"/>
        </w:rPr>
        <w:t> </w:t>
      </w:r>
      <w:r>
        <w:rPr>
          <w:i/>
          <w:sz w:val="24"/>
        </w:rPr>
        <w:t>languages clustered as “Other,” vital documents will be translated upon request.</w:t>
      </w:r>
    </w:p>
    <w:p>
      <w:pPr>
        <w:spacing w:after="0"/>
        <w:jc w:val="both"/>
        <w:rPr>
          <w:sz w:val="24"/>
        </w:rPr>
        <w:sectPr>
          <w:pgSz w:w="15840" w:h="12240" w:orient="landscape"/>
          <w:pgMar w:header="0" w:footer="1063" w:top="960" w:bottom="1260" w:left="620" w:right="1380"/>
        </w:sectPr>
      </w:pPr>
    </w:p>
    <w:p>
      <w:pPr>
        <w:pStyle w:val="Heading9"/>
        <w:spacing w:before="35"/>
        <w:ind w:left="3404" w:right="3499"/>
        <w:jc w:val="center"/>
      </w:pPr>
      <w:r>
        <w:rPr>
          <w:u w:val="single"/>
        </w:rPr>
        <w:t>MaineDOT</w:t>
      </w:r>
      <w:r>
        <w:rPr>
          <w:spacing w:val="-2"/>
          <w:u w:val="single"/>
        </w:rPr>
        <w:t> </w:t>
      </w:r>
      <w:r>
        <w:rPr>
          <w:u w:val="single"/>
        </w:rPr>
        <w:t>Title</w:t>
      </w:r>
      <w:r>
        <w:rPr>
          <w:spacing w:val="-2"/>
          <w:u w:val="single"/>
        </w:rPr>
        <w:t> </w:t>
      </w:r>
      <w:r>
        <w:rPr>
          <w:u w:val="single"/>
        </w:rPr>
        <w:t>VI</w:t>
      </w:r>
      <w:r>
        <w:rPr>
          <w:spacing w:val="-2"/>
          <w:u w:val="single"/>
        </w:rPr>
        <w:t> </w:t>
      </w:r>
      <w:r>
        <w:rPr>
          <w:u w:val="single"/>
        </w:rPr>
        <w:t>Complaint</w:t>
      </w:r>
      <w:r>
        <w:rPr>
          <w:spacing w:val="-2"/>
          <w:u w:val="single"/>
        </w:rPr>
        <w:t> Procedure</w:t>
      </w:r>
    </w:p>
    <w:p>
      <w:pPr>
        <w:pStyle w:val="BodyText"/>
        <w:spacing w:before="9"/>
        <w:rPr>
          <w:b/>
          <w:sz w:val="19"/>
        </w:rPr>
      </w:pPr>
    </w:p>
    <w:p>
      <w:pPr>
        <w:pStyle w:val="BodyText"/>
        <w:spacing w:before="52"/>
        <w:ind w:left="840" w:right="932"/>
        <w:jc w:val="both"/>
      </w:pPr>
      <w:r>
        <w:rPr/>
        <w:t>Any person who believes they have been discriminated against on the basis of race, color or national origin by the Maine Department of Transportation (hereinafter referred to as “MaineDOT”) may file a Title VI complaint by completing and submitting the agency’s Title VI Complaint</w:t>
      </w:r>
      <w:r>
        <w:rPr>
          <w:spacing w:val="-1"/>
        </w:rPr>
        <w:t> </w:t>
      </w:r>
      <w:r>
        <w:rPr/>
        <w:t>Form.</w:t>
      </w:r>
      <w:r>
        <w:rPr>
          <w:spacing w:val="-3"/>
        </w:rPr>
        <w:t> </w:t>
      </w:r>
      <w:r>
        <w:rPr/>
        <w:t>The</w:t>
      </w:r>
      <w:r>
        <w:rPr>
          <w:spacing w:val="-2"/>
        </w:rPr>
        <w:t> </w:t>
      </w:r>
      <w:r>
        <w:rPr/>
        <w:t>Department</w:t>
      </w:r>
      <w:r>
        <w:rPr>
          <w:spacing w:val="-1"/>
        </w:rPr>
        <w:t> </w:t>
      </w:r>
      <w:r>
        <w:rPr/>
        <w:t>investigates</w:t>
      </w:r>
      <w:r>
        <w:rPr>
          <w:spacing w:val="-3"/>
        </w:rPr>
        <w:t> </w:t>
      </w:r>
      <w:r>
        <w:rPr/>
        <w:t>complaints</w:t>
      </w:r>
      <w:r>
        <w:rPr>
          <w:spacing w:val="-3"/>
        </w:rPr>
        <w:t> </w:t>
      </w:r>
      <w:r>
        <w:rPr/>
        <w:t>received</w:t>
      </w:r>
      <w:r>
        <w:rPr>
          <w:spacing w:val="-4"/>
        </w:rPr>
        <w:t> </w:t>
      </w:r>
      <w:r>
        <w:rPr/>
        <w:t>no</w:t>
      </w:r>
      <w:r>
        <w:rPr>
          <w:spacing w:val="-2"/>
        </w:rPr>
        <w:t> </w:t>
      </w:r>
      <w:r>
        <w:rPr/>
        <w:t>more</w:t>
      </w:r>
      <w:r>
        <w:rPr>
          <w:spacing w:val="-2"/>
        </w:rPr>
        <w:t> </w:t>
      </w:r>
      <w:r>
        <w:rPr/>
        <w:t>than</w:t>
      </w:r>
      <w:r>
        <w:rPr>
          <w:spacing w:val="-1"/>
        </w:rPr>
        <w:t> </w:t>
      </w:r>
      <w:r>
        <w:rPr/>
        <w:t>180</w:t>
      </w:r>
      <w:r>
        <w:rPr>
          <w:spacing w:val="-3"/>
        </w:rPr>
        <w:t> </w:t>
      </w:r>
      <w:r>
        <w:rPr/>
        <w:t>days</w:t>
      </w:r>
      <w:r>
        <w:rPr>
          <w:spacing w:val="-3"/>
        </w:rPr>
        <w:t> </w:t>
      </w:r>
      <w:r>
        <w:rPr/>
        <w:t>after the alleged incident. The Department will process complaints that are complete.</w:t>
      </w:r>
    </w:p>
    <w:p>
      <w:pPr>
        <w:pStyle w:val="BodyText"/>
        <w:spacing w:before="1"/>
      </w:pPr>
    </w:p>
    <w:p>
      <w:pPr>
        <w:pStyle w:val="BodyText"/>
        <w:ind w:left="840" w:right="934"/>
        <w:jc w:val="both"/>
      </w:pPr>
      <w:r>
        <w:rPr>
          <w:spacing w:val="-2"/>
        </w:rPr>
        <w:t>Once</w:t>
      </w:r>
      <w:r>
        <w:rPr>
          <w:spacing w:val="-3"/>
        </w:rPr>
        <w:t> </w:t>
      </w:r>
      <w:r>
        <w:rPr>
          <w:spacing w:val="-2"/>
        </w:rPr>
        <w:t>the</w:t>
      </w:r>
      <w:r>
        <w:rPr>
          <w:spacing w:val="-3"/>
        </w:rPr>
        <w:t> </w:t>
      </w:r>
      <w:r>
        <w:rPr>
          <w:spacing w:val="-2"/>
        </w:rPr>
        <w:t>complaint</w:t>
      </w:r>
      <w:r>
        <w:rPr>
          <w:spacing w:val="-3"/>
        </w:rPr>
        <w:t> </w:t>
      </w:r>
      <w:r>
        <w:rPr>
          <w:spacing w:val="-2"/>
        </w:rPr>
        <w:t>is</w:t>
      </w:r>
      <w:r>
        <w:rPr>
          <w:spacing w:val="-5"/>
        </w:rPr>
        <w:t> </w:t>
      </w:r>
      <w:r>
        <w:rPr>
          <w:spacing w:val="-2"/>
        </w:rPr>
        <w:t>received,</w:t>
      </w:r>
      <w:r>
        <w:rPr>
          <w:spacing w:val="-5"/>
        </w:rPr>
        <w:t> </w:t>
      </w:r>
      <w:r>
        <w:rPr>
          <w:spacing w:val="-2"/>
        </w:rPr>
        <w:t>MaineDOT</w:t>
      </w:r>
      <w:r>
        <w:rPr>
          <w:spacing w:val="-3"/>
        </w:rPr>
        <w:t> </w:t>
      </w:r>
      <w:r>
        <w:rPr>
          <w:spacing w:val="-2"/>
        </w:rPr>
        <w:t>will</w:t>
      </w:r>
      <w:r>
        <w:rPr>
          <w:spacing w:val="-7"/>
        </w:rPr>
        <w:t> </w:t>
      </w:r>
      <w:r>
        <w:rPr>
          <w:spacing w:val="-2"/>
        </w:rPr>
        <w:t>review</w:t>
      </w:r>
      <w:r>
        <w:rPr>
          <w:spacing w:val="-3"/>
        </w:rPr>
        <w:t> </w:t>
      </w:r>
      <w:r>
        <w:rPr>
          <w:spacing w:val="-2"/>
        </w:rPr>
        <w:t>it</w:t>
      </w:r>
      <w:r>
        <w:rPr>
          <w:spacing w:val="-6"/>
        </w:rPr>
        <w:t> </w:t>
      </w:r>
      <w:r>
        <w:rPr>
          <w:spacing w:val="-2"/>
        </w:rPr>
        <w:t>to</w:t>
      </w:r>
      <w:r>
        <w:rPr>
          <w:spacing w:val="-7"/>
        </w:rPr>
        <w:t> </w:t>
      </w:r>
      <w:r>
        <w:rPr>
          <w:spacing w:val="-2"/>
        </w:rPr>
        <w:t>determine</w:t>
      </w:r>
      <w:r>
        <w:rPr>
          <w:spacing w:val="-3"/>
        </w:rPr>
        <w:t> </w:t>
      </w:r>
      <w:r>
        <w:rPr>
          <w:spacing w:val="-2"/>
        </w:rPr>
        <w:t>if</w:t>
      </w:r>
      <w:r>
        <w:rPr>
          <w:spacing w:val="-6"/>
        </w:rPr>
        <w:t> </w:t>
      </w:r>
      <w:r>
        <w:rPr>
          <w:spacing w:val="-2"/>
        </w:rPr>
        <w:t>our</w:t>
      </w:r>
      <w:r>
        <w:rPr>
          <w:spacing w:val="-7"/>
        </w:rPr>
        <w:t> </w:t>
      </w:r>
      <w:r>
        <w:rPr>
          <w:spacing w:val="-2"/>
        </w:rPr>
        <w:t>office</w:t>
      </w:r>
      <w:r>
        <w:rPr>
          <w:spacing w:val="-7"/>
        </w:rPr>
        <w:t> </w:t>
      </w:r>
      <w:r>
        <w:rPr>
          <w:spacing w:val="-2"/>
        </w:rPr>
        <w:t>has</w:t>
      </w:r>
      <w:r>
        <w:rPr>
          <w:spacing w:val="-5"/>
        </w:rPr>
        <w:t> </w:t>
      </w:r>
      <w:r>
        <w:rPr>
          <w:spacing w:val="-2"/>
        </w:rPr>
        <w:t>jurisdiction. </w:t>
      </w:r>
      <w:r>
        <w:rPr/>
        <w:t>The complainant will receive an acknowledgement letter informing her/him whether the complaint will be investigated by our office.</w:t>
      </w:r>
    </w:p>
    <w:p>
      <w:pPr>
        <w:pStyle w:val="BodyText"/>
        <w:spacing w:before="12"/>
        <w:rPr>
          <w:sz w:val="23"/>
        </w:rPr>
      </w:pPr>
    </w:p>
    <w:p>
      <w:pPr>
        <w:pStyle w:val="BodyText"/>
        <w:ind w:left="840" w:right="932"/>
        <w:jc w:val="both"/>
      </w:pPr>
      <w:r>
        <w:rPr/>
        <w:t>MaineDOT</w:t>
      </w:r>
      <w:r>
        <w:rPr>
          <w:spacing w:val="-8"/>
        </w:rPr>
        <w:t> </w:t>
      </w:r>
      <w:r>
        <w:rPr/>
        <w:t>has</w:t>
      </w:r>
      <w:r>
        <w:rPr>
          <w:spacing w:val="-11"/>
        </w:rPr>
        <w:t> </w:t>
      </w:r>
      <w:r>
        <w:rPr/>
        <w:t>90</w:t>
      </w:r>
      <w:r>
        <w:rPr>
          <w:spacing w:val="-10"/>
        </w:rPr>
        <w:t> </w:t>
      </w:r>
      <w:r>
        <w:rPr/>
        <w:t>days</w:t>
      </w:r>
      <w:r>
        <w:rPr>
          <w:spacing w:val="-9"/>
        </w:rPr>
        <w:t> </w:t>
      </w:r>
      <w:r>
        <w:rPr/>
        <w:t>to</w:t>
      </w:r>
      <w:r>
        <w:rPr>
          <w:spacing w:val="-8"/>
        </w:rPr>
        <w:t> </w:t>
      </w:r>
      <w:r>
        <w:rPr/>
        <w:t>investigate</w:t>
      </w:r>
      <w:r>
        <w:rPr>
          <w:spacing w:val="-11"/>
        </w:rPr>
        <w:t> </w:t>
      </w:r>
      <w:r>
        <w:rPr/>
        <w:t>the</w:t>
      </w:r>
      <w:r>
        <w:rPr>
          <w:spacing w:val="-8"/>
        </w:rPr>
        <w:t> </w:t>
      </w:r>
      <w:r>
        <w:rPr/>
        <w:t>complaint.</w:t>
      </w:r>
      <w:r>
        <w:rPr>
          <w:spacing w:val="-9"/>
        </w:rPr>
        <w:t> </w:t>
      </w:r>
      <w:r>
        <w:rPr/>
        <w:t>If</w:t>
      </w:r>
      <w:r>
        <w:rPr>
          <w:spacing w:val="-8"/>
        </w:rPr>
        <w:t> </w:t>
      </w:r>
      <w:r>
        <w:rPr/>
        <w:t>more</w:t>
      </w:r>
      <w:r>
        <w:rPr>
          <w:spacing w:val="-8"/>
        </w:rPr>
        <w:t> </w:t>
      </w:r>
      <w:r>
        <w:rPr/>
        <w:t>information</w:t>
      </w:r>
      <w:r>
        <w:rPr>
          <w:spacing w:val="-8"/>
        </w:rPr>
        <w:t> </w:t>
      </w:r>
      <w:r>
        <w:rPr/>
        <w:t>is</w:t>
      </w:r>
      <w:r>
        <w:rPr>
          <w:spacing w:val="-11"/>
        </w:rPr>
        <w:t> </w:t>
      </w:r>
      <w:r>
        <w:rPr/>
        <w:t>needed</w:t>
      </w:r>
      <w:r>
        <w:rPr>
          <w:spacing w:val="-10"/>
        </w:rPr>
        <w:t> </w:t>
      </w:r>
      <w:r>
        <w:rPr/>
        <w:t>to</w:t>
      </w:r>
      <w:r>
        <w:rPr>
          <w:spacing w:val="-8"/>
        </w:rPr>
        <w:t> </w:t>
      </w:r>
      <w:r>
        <w:rPr/>
        <w:t>resolve</w:t>
      </w:r>
      <w:r>
        <w:rPr>
          <w:spacing w:val="-9"/>
        </w:rPr>
        <w:t> </w:t>
      </w:r>
      <w:r>
        <w:rPr/>
        <w:t>the case, MaineDOT may contact the complainant. The complainant has 30 business days from the date of the letter to send requested information to the investigator assigned to the case. If the investigator is not contacted by the complainant or does not receive the additional information within 30 business days, MaineDOT can administratively close the case. A case can be administratively closed also if the complainant no longer wishes to pursue his/her case.</w:t>
      </w:r>
    </w:p>
    <w:p>
      <w:pPr>
        <w:pStyle w:val="BodyText"/>
        <w:spacing w:before="11"/>
        <w:rPr>
          <w:sz w:val="23"/>
        </w:rPr>
      </w:pPr>
    </w:p>
    <w:p>
      <w:pPr>
        <w:pStyle w:val="BodyText"/>
        <w:ind w:left="840" w:right="933"/>
        <w:jc w:val="both"/>
      </w:pPr>
      <w:r>
        <w:rPr/>
        <w:t>Within ninety (90) days of the receipt of complaint, the MaineDOT investigator will review the complaint and will issue one of two letters to the complainant: a closure letter or a letter of finding</w:t>
      </w:r>
      <w:r>
        <w:rPr>
          <w:spacing w:val="-7"/>
        </w:rPr>
        <w:t> </w:t>
      </w:r>
      <w:r>
        <w:rPr/>
        <w:t>(LOF).</w:t>
      </w:r>
      <w:r>
        <w:rPr>
          <w:spacing w:val="40"/>
        </w:rPr>
        <w:t> </w:t>
      </w:r>
      <w:r>
        <w:rPr/>
        <w:t>A</w:t>
      </w:r>
      <w:r>
        <w:rPr>
          <w:spacing w:val="-6"/>
        </w:rPr>
        <w:t> </w:t>
      </w:r>
      <w:r>
        <w:rPr/>
        <w:t>closure</w:t>
      </w:r>
      <w:r>
        <w:rPr>
          <w:spacing w:val="-6"/>
        </w:rPr>
        <w:t> </w:t>
      </w:r>
      <w:r>
        <w:rPr/>
        <w:t>letter</w:t>
      </w:r>
      <w:r>
        <w:rPr>
          <w:spacing w:val="-6"/>
        </w:rPr>
        <w:t> </w:t>
      </w:r>
      <w:r>
        <w:rPr/>
        <w:t>summarizes</w:t>
      </w:r>
      <w:r>
        <w:rPr>
          <w:spacing w:val="-9"/>
        </w:rPr>
        <w:t> </w:t>
      </w:r>
      <w:r>
        <w:rPr/>
        <w:t>the</w:t>
      </w:r>
      <w:r>
        <w:rPr>
          <w:spacing w:val="-6"/>
        </w:rPr>
        <w:t> </w:t>
      </w:r>
      <w:r>
        <w:rPr/>
        <w:t>allegations</w:t>
      </w:r>
      <w:r>
        <w:rPr>
          <w:spacing w:val="-7"/>
        </w:rPr>
        <w:t> </w:t>
      </w:r>
      <w:r>
        <w:rPr/>
        <w:t>and</w:t>
      </w:r>
      <w:r>
        <w:rPr>
          <w:spacing w:val="-5"/>
        </w:rPr>
        <w:t> </w:t>
      </w:r>
      <w:r>
        <w:rPr/>
        <w:t>states</w:t>
      </w:r>
      <w:r>
        <w:rPr>
          <w:spacing w:val="-9"/>
        </w:rPr>
        <w:t> </w:t>
      </w:r>
      <w:r>
        <w:rPr/>
        <w:t>that</w:t>
      </w:r>
      <w:r>
        <w:rPr>
          <w:spacing w:val="-8"/>
        </w:rPr>
        <w:t> </w:t>
      </w:r>
      <w:r>
        <w:rPr/>
        <w:t>there</w:t>
      </w:r>
      <w:r>
        <w:rPr>
          <w:spacing w:val="-6"/>
        </w:rPr>
        <w:t> </w:t>
      </w:r>
      <w:r>
        <w:rPr/>
        <w:t>was</w:t>
      </w:r>
      <w:r>
        <w:rPr>
          <w:spacing w:val="-9"/>
        </w:rPr>
        <w:t> </w:t>
      </w:r>
      <w:r>
        <w:rPr/>
        <w:t>not</w:t>
      </w:r>
      <w:r>
        <w:rPr>
          <w:spacing w:val="-5"/>
        </w:rPr>
        <w:t> </w:t>
      </w:r>
      <w:r>
        <w:rPr/>
        <w:t>a</w:t>
      </w:r>
      <w:r>
        <w:rPr>
          <w:spacing w:val="-9"/>
        </w:rPr>
        <w:t> </w:t>
      </w:r>
      <w:r>
        <w:rPr/>
        <w:t>Title</w:t>
      </w:r>
      <w:r>
        <w:rPr>
          <w:spacing w:val="-8"/>
        </w:rPr>
        <w:t> </w:t>
      </w:r>
      <w:r>
        <w:rPr/>
        <w:t>VI violation and that the case will be closed. A LOF summarizes the allegations and the interviews regarding the alleged incident, and explains whether any disciplinary action, additional training of the staff member or other action will occur.</w:t>
      </w:r>
    </w:p>
    <w:p>
      <w:pPr>
        <w:pStyle w:val="BodyText"/>
        <w:spacing w:before="1"/>
      </w:pPr>
    </w:p>
    <w:p>
      <w:pPr>
        <w:pStyle w:val="BodyText"/>
        <w:ind w:left="840" w:right="935"/>
        <w:jc w:val="both"/>
      </w:pPr>
      <w:r>
        <w:rPr/>
        <w:t>This notification will advise the complainant of the following possible avenues of appeal if dissatisfied</w:t>
      </w:r>
      <w:r>
        <w:rPr>
          <w:spacing w:val="-4"/>
        </w:rPr>
        <w:t> </w:t>
      </w:r>
      <w:r>
        <w:rPr/>
        <w:t>with</w:t>
      </w:r>
      <w:r>
        <w:rPr>
          <w:spacing w:val="-1"/>
        </w:rPr>
        <w:t> </w:t>
      </w:r>
      <w:r>
        <w:rPr/>
        <w:t>the</w:t>
      </w:r>
      <w:r>
        <w:rPr>
          <w:spacing w:val="-2"/>
        </w:rPr>
        <w:t> </w:t>
      </w:r>
      <w:r>
        <w:rPr/>
        <w:t>decision:</w:t>
      </w:r>
      <w:r>
        <w:rPr>
          <w:spacing w:val="-2"/>
        </w:rPr>
        <w:t> </w:t>
      </w:r>
      <w:r>
        <w:rPr/>
        <w:t>U.S.</w:t>
      </w:r>
      <w:r>
        <w:rPr>
          <w:spacing w:val="-3"/>
        </w:rPr>
        <w:t> </w:t>
      </w:r>
      <w:r>
        <w:rPr/>
        <w:t>Department</w:t>
      </w:r>
      <w:r>
        <w:rPr>
          <w:spacing w:val="-1"/>
        </w:rPr>
        <w:t> </w:t>
      </w:r>
      <w:r>
        <w:rPr/>
        <w:t>of</w:t>
      </w:r>
      <w:r>
        <w:rPr>
          <w:spacing w:val="-4"/>
        </w:rPr>
        <w:t> </w:t>
      </w:r>
      <w:r>
        <w:rPr/>
        <w:t>Transportation</w:t>
      </w:r>
      <w:r>
        <w:rPr>
          <w:spacing w:val="-1"/>
        </w:rPr>
        <w:t> </w:t>
      </w:r>
      <w:r>
        <w:rPr/>
        <w:t>or</w:t>
      </w:r>
      <w:r>
        <w:rPr>
          <w:spacing w:val="-5"/>
        </w:rPr>
        <w:t> </w:t>
      </w:r>
      <w:r>
        <w:rPr/>
        <w:t>Division</w:t>
      </w:r>
      <w:r>
        <w:rPr>
          <w:spacing w:val="-1"/>
        </w:rPr>
        <w:t> </w:t>
      </w:r>
      <w:r>
        <w:rPr/>
        <w:t>of</w:t>
      </w:r>
      <w:r>
        <w:rPr>
          <w:spacing w:val="-1"/>
        </w:rPr>
        <w:t> </w:t>
      </w:r>
      <w:r>
        <w:rPr/>
        <w:t>Local</w:t>
      </w:r>
      <w:r>
        <w:rPr>
          <w:spacing w:val="-2"/>
        </w:rPr>
        <w:t> </w:t>
      </w:r>
      <w:r>
        <w:rPr/>
        <w:t>Assistance, Office of Civil Rights.</w:t>
      </w:r>
    </w:p>
    <w:p>
      <w:pPr>
        <w:pStyle w:val="BodyText"/>
        <w:spacing w:before="11"/>
        <w:rPr>
          <w:sz w:val="23"/>
        </w:rPr>
      </w:pPr>
    </w:p>
    <w:p>
      <w:pPr>
        <w:pStyle w:val="Heading9"/>
        <w:spacing w:before="1"/>
        <w:ind w:left="840"/>
        <w:jc w:val="both"/>
      </w:pPr>
      <w:r>
        <w:rPr/>
        <w:t>MaineDOT’s</w:t>
      </w:r>
      <w:r>
        <w:rPr>
          <w:spacing w:val="-4"/>
        </w:rPr>
        <w:t> </w:t>
      </w:r>
      <w:r>
        <w:rPr/>
        <w:t>Appeal </w:t>
      </w:r>
      <w:r>
        <w:rPr>
          <w:spacing w:val="-2"/>
        </w:rPr>
        <w:t>Procedure:</w:t>
      </w:r>
    </w:p>
    <w:p>
      <w:pPr>
        <w:pStyle w:val="BodyText"/>
        <w:spacing w:before="11"/>
        <w:rPr>
          <w:b/>
          <w:sz w:val="23"/>
        </w:rPr>
      </w:pPr>
    </w:p>
    <w:p>
      <w:pPr>
        <w:pStyle w:val="BodyText"/>
        <w:ind w:left="840" w:right="937"/>
        <w:jc w:val="both"/>
      </w:pPr>
      <w:r>
        <w:rPr/>
        <w:t>If the complainant wishes to appeal the decision, they have 30 days after the date of the letter or the LOF to do so.</w:t>
      </w:r>
    </w:p>
    <w:p>
      <w:pPr>
        <w:pStyle w:val="BodyText"/>
      </w:pPr>
    </w:p>
    <w:p>
      <w:pPr>
        <w:pStyle w:val="ListParagraph"/>
        <w:numPr>
          <w:ilvl w:val="0"/>
          <w:numId w:val="8"/>
        </w:numPr>
        <w:tabs>
          <w:tab w:pos="1559" w:val="left" w:leader="none"/>
        </w:tabs>
        <w:spacing w:line="240" w:lineRule="auto" w:before="0" w:after="0"/>
        <w:ind w:left="1559" w:right="0" w:hanging="359"/>
        <w:jc w:val="both"/>
        <w:rPr>
          <w:sz w:val="24"/>
        </w:rPr>
      </w:pPr>
      <w:r>
        <w:rPr>
          <w:sz w:val="24"/>
        </w:rPr>
        <w:t>The</w:t>
      </w:r>
      <w:r>
        <w:rPr>
          <w:spacing w:val="-3"/>
          <w:sz w:val="24"/>
        </w:rPr>
        <w:t> </w:t>
      </w:r>
      <w:r>
        <w:rPr>
          <w:sz w:val="24"/>
        </w:rPr>
        <w:t>complainant has</w:t>
      </w:r>
      <w:r>
        <w:rPr>
          <w:spacing w:val="-1"/>
          <w:sz w:val="24"/>
        </w:rPr>
        <w:t> </w:t>
      </w:r>
      <w:r>
        <w:rPr>
          <w:sz w:val="24"/>
        </w:rPr>
        <w:t>the</w:t>
      </w:r>
      <w:r>
        <w:rPr>
          <w:spacing w:val="-3"/>
          <w:sz w:val="24"/>
        </w:rPr>
        <w:t> </w:t>
      </w:r>
      <w:r>
        <w:rPr>
          <w:sz w:val="24"/>
        </w:rPr>
        <w:t>right</w:t>
      </w:r>
      <w:r>
        <w:rPr>
          <w:spacing w:val="-2"/>
          <w:sz w:val="24"/>
        </w:rPr>
        <w:t> </w:t>
      </w:r>
      <w:r>
        <w:rPr>
          <w:sz w:val="24"/>
        </w:rPr>
        <w:t>to</w:t>
      </w:r>
      <w:r>
        <w:rPr>
          <w:spacing w:val="-1"/>
          <w:sz w:val="24"/>
        </w:rPr>
        <w:t> </w:t>
      </w:r>
      <w:r>
        <w:rPr>
          <w:sz w:val="24"/>
        </w:rPr>
        <w:t>appeal</w:t>
      </w:r>
      <w:r>
        <w:rPr>
          <w:spacing w:val="-3"/>
          <w:sz w:val="24"/>
        </w:rPr>
        <w:t> </w:t>
      </w:r>
      <w:r>
        <w:rPr>
          <w:sz w:val="24"/>
        </w:rPr>
        <w:t>all</w:t>
      </w:r>
      <w:r>
        <w:rPr>
          <w:spacing w:val="-4"/>
          <w:sz w:val="24"/>
        </w:rPr>
        <w:t> </w:t>
      </w:r>
      <w:r>
        <w:rPr>
          <w:sz w:val="24"/>
        </w:rPr>
        <w:t>written</w:t>
      </w:r>
      <w:r>
        <w:rPr>
          <w:spacing w:val="1"/>
          <w:sz w:val="24"/>
        </w:rPr>
        <w:t> </w:t>
      </w:r>
      <w:r>
        <w:rPr>
          <w:spacing w:val="-2"/>
          <w:sz w:val="24"/>
        </w:rPr>
        <w:t>reports.</w:t>
      </w:r>
    </w:p>
    <w:p>
      <w:pPr>
        <w:pStyle w:val="ListParagraph"/>
        <w:numPr>
          <w:ilvl w:val="0"/>
          <w:numId w:val="8"/>
        </w:numPr>
        <w:tabs>
          <w:tab w:pos="1560" w:val="left" w:leader="none"/>
        </w:tabs>
        <w:spacing w:line="240" w:lineRule="auto" w:before="2" w:after="0"/>
        <w:ind w:left="1560" w:right="936" w:hanging="360"/>
        <w:jc w:val="both"/>
        <w:rPr>
          <w:sz w:val="24"/>
        </w:rPr>
      </w:pPr>
      <w:r>
        <w:rPr>
          <w:sz w:val="24"/>
        </w:rPr>
        <w:t>This appeal must be made in writing</w:t>
      </w:r>
      <w:r>
        <w:rPr>
          <w:spacing w:val="-2"/>
          <w:sz w:val="24"/>
        </w:rPr>
        <w:t> </w:t>
      </w:r>
      <w:r>
        <w:rPr>
          <w:sz w:val="24"/>
        </w:rPr>
        <w:t>to</w:t>
      </w:r>
      <w:r>
        <w:rPr>
          <w:spacing w:val="-1"/>
          <w:sz w:val="24"/>
        </w:rPr>
        <w:t> </w:t>
      </w:r>
      <w:r>
        <w:rPr>
          <w:sz w:val="24"/>
        </w:rPr>
        <w:t>the</w:t>
      </w:r>
      <w:r>
        <w:rPr>
          <w:spacing w:val="-1"/>
          <w:sz w:val="24"/>
        </w:rPr>
        <w:t> </w:t>
      </w:r>
      <w:r>
        <w:rPr>
          <w:sz w:val="24"/>
        </w:rPr>
        <w:t>Title VI Coordinator</w:t>
      </w:r>
      <w:r>
        <w:rPr>
          <w:spacing w:val="-1"/>
          <w:sz w:val="24"/>
        </w:rPr>
        <w:t> </w:t>
      </w:r>
      <w:r>
        <w:rPr>
          <w:sz w:val="24"/>
        </w:rPr>
        <w:t>within</w:t>
      </w:r>
      <w:r>
        <w:rPr>
          <w:spacing w:val="-1"/>
          <w:sz w:val="24"/>
        </w:rPr>
        <w:t> </w:t>
      </w:r>
      <w:r>
        <w:rPr>
          <w:sz w:val="24"/>
        </w:rPr>
        <w:t>thirty (30) days of receipt of the Department’s final report.</w:t>
      </w:r>
    </w:p>
    <w:p>
      <w:pPr>
        <w:pStyle w:val="ListParagraph"/>
        <w:numPr>
          <w:ilvl w:val="0"/>
          <w:numId w:val="8"/>
        </w:numPr>
        <w:tabs>
          <w:tab w:pos="1560" w:val="left" w:leader="none"/>
        </w:tabs>
        <w:spacing w:line="240" w:lineRule="auto" w:before="0" w:after="0"/>
        <w:ind w:left="1560" w:right="932" w:hanging="360"/>
        <w:jc w:val="both"/>
        <w:rPr>
          <w:sz w:val="24"/>
        </w:rPr>
      </w:pPr>
      <w:r>
        <w:rPr>
          <w:sz w:val="24"/>
        </w:rPr>
        <w:t>The</w:t>
      </w:r>
      <w:r>
        <w:rPr>
          <w:spacing w:val="-7"/>
          <w:sz w:val="24"/>
        </w:rPr>
        <w:t> </w:t>
      </w:r>
      <w:r>
        <w:rPr>
          <w:sz w:val="24"/>
        </w:rPr>
        <w:t>appeal</w:t>
      </w:r>
      <w:r>
        <w:rPr>
          <w:spacing w:val="-7"/>
          <w:sz w:val="24"/>
        </w:rPr>
        <w:t> </w:t>
      </w:r>
      <w:r>
        <w:rPr>
          <w:sz w:val="24"/>
        </w:rPr>
        <w:t>must</w:t>
      </w:r>
      <w:r>
        <w:rPr>
          <w:spacing w:val="-4"/>
          <w:sz w:val="24"/>
        </w:rPr>
        <w:t> </w:t>
      </w:r>
      <w:r>
        <w:rPr>
          <w:sz w:val="24"/>
        </w:rPr>
        <w:t>specifically</w:t>
      </w:r>
      <w:r>
        <w:rPr>
          <w:spacing w:val="-6"/>
          <w:sz w:val="24"/>
        </w:rPr>
        <w:t> </w:t>
      </w:r>
      <w:r>
        <w:rPr>
          <w:sz w:val="24"/>
        </w:rPr>
        <w:t>cite</w:t>
      </w:r>
      <w:r>
        <w:rPr>
          <w:spacing w:val="-7"/>
          <w:sz w:val="24"/>
        </w:rPr>
        <w:t> </w:t>
      </w:r>
      <w:r>
        <w:rPr>
          <w:sz w:val="24"/>
        </w:rPr>
        <w:t>the</w:t>
      </w:r>
      <w:r>
        <w:rPr>
          <w:spacing w:val="-7"/>
          <w:sz w:val="24"/>
        </w:rPr>
        <w:t> </w:t>
      </w:r>
      <w:r>
        <w:rPr>
          <w:sz w:val="24"/>
        </w:rPr>
        <w:t>portion(s)</w:t>
      </w:r>
      <w:r>
        <w:rPr>
          <w:spacing w:val="-6"/>
          <w:sz w:val="24"/>
        </w:rPr>
        <w:t> </w:t>
      </w:r>
      <w:r>
        <w:rPr>
          <w:sz w:val="24"/>
        </w:rPr>
        <w:t>of</w:t>
      </w:r>
      <w:r>
        <w:rPr>
          <w:spacing w:val="-9"/>
          <w:sz w:val="24"/>
        </w:rPr>
        <w:t> </w:t>
      </w:r>
      <w:r>
        <w:rPr>
          <w:sz w:val="24"/>
        </w:rPr>
        <w:t>the</w:t>
      </w:r>
      <w:r>
        <w:rPr>
          <w:spacing w:val="-7"/>
          <w:sz w:val="24"/>
        </w:rPr>
        <w:t> </w:t>
      </w:r>
      <w:r>
        <w:rPr>
          <w:sz w:val="24"/>
        </w:rPr>
        <w:t>finding</w:t>
      </w:r>
      <w:r>
        <w:rPr>
          <w:spacing w:val="-8"/>
          <w:sz w:val="24"/>
        </w:rPr>
        <w:t> </w:t>
      </w:r>
      <w:r>
        <w:rPr>
          <w:sz w:val="24"/>
        </w:rPr>
        <w:t>with</w:t>
      </w:r>
      <w:r>
        <w:rPr>
          <w:spacing w:val="-6"/>
          <w:sz w:val="24"/>
        </w:rPr>
        <w:t> </w:t>
      </w:r>
      <w:r>
        <w:rPr>
          <w:sz w:val="24"/>
        </w:rPr>
        <w:t>which</w:t>
      </w:r>
      <w:r>
        <w:rPr>
          <w:spacing w:val="-6"/>
          <w:sz w:val="24"/>
        </w:rPr>
        <w:t> </w:t>
      </w:r>
      <w:r>
        <w:rPr>
          <w:sz w:val="24"/>
        </w:rPr>
        <w:t>the</w:t>
      </w:r>
      <w:r>
        <w:rPr>
          <w:spacing w:val="-4"/>
          <w:sz w:val="24"/>
        </w:rPr>
        <w:t> </w:t>
      </w:r>
      <w:r>
        <w:rPr>
          <w:sz w:val="24"/>
        </w:rPr>
        <w:t>complainant disagrees and his/her reason(s) for the disagreement.</w:t>
      </w:r>
    </w:p>
    <w:p>
      <w:pPr>
        <w:pStyle w:val="ListParagraph"/>
        <w:numPr>
          <w:ilvl w:val="0"/>
          <w:numId w:val="8"/>
        </w:numPr>
        <w:tabs>
          <w:tab w:pos="1560" w:val="left" w:leader="none"/>
        </w:tabs>
        <w:spacing w:line="240" w:lineRule="auto" w:before="0" w:after="0"/>
        <w:ind w:left="1560" w:right="933" w:hanging="360"/>
        <w:jc w:val="both"/>
        <w:rPr>
          <w:sz w:val="24"/>
        </w:rPr>
      </w:pPr>
      <w:r>
        <w:rPr>
          <w:sz w:val="24"/>
        </w:rPr>
        <w:t>MaineDOT</w:t>
      </w:r>
      <w:r>
        <w:rPr>
          <w:spacing w:val="-14"/>
          <w:sz w:val="24"/>
        </w:rPr>
        <w:t> </w:t>
      </w:r>
      <w:r>
        <w:rPr>
          <w:sz w:val="24"/>
        </w:rPr>
        <w:t>will</w:t>
      </w:r>
      <w:r>
        <w:rPr>
          <w:spacing w:val="-14"/>
          <w:sz w:val="24"/>
        </w:rPr>
        <w:t> </w:t>
      </w:r>
      <w:r>
        <w:rPr>
          <w:sz w:val="24"/>
        </w:rPr>
        <w:t>forward</w:t>
      </w:r>
      <w:r>
        <w:rPr>
          <w:spacing w:val="-13"/>
          <w:sz w:val="24"/>
        </w:rPr>
        <w:t> </w:t>
      </w:r>
      <w:r>
        <w:rPr>
          <w:sz w:val="24"/>
        </w:rPr>
        <w:t>the</w:t>
      </w:r>
      <w:r>
        <w:rPr>
          <w:spacing w:val="-14"/>
          <w:sz w:val="24"/>
        </w:rPr>
        <w:t> </w:t>
      </w:r>
      <w:r>
        <w:rPr>
          <w:sz w:val="24"/>
        </w:rPr>
        <w:t>appealed</w:t>
      </w:r>
      <w:r>
        <w:rPr>
          <w:spacing w:val="-13"/>
          <w:sz w:val="24"/>
        </w:rPr>
        <w:t> </w:t>
      </w:r>
      <w:r>
        <w:rPr>
          <w:sz w:val="24"/>
        </w:rPr>
        <w:t>decision</w:t>
      </w:r>
      <w:r>
        <w:rPr>
          <w:spacing w:val="-14"/>
          <w:sz w:val="24"/>
        </w:rPr>
        <w:t> </w:t>
      </w:r>
      <w:r>
        <w:rPr>
          <w:sz w:val="24"/>
        </w:rPr>
        <w:t>to</w:t>
      </w:r>
      <w:r>
        <w:rPr>
          <w:spacing w:val="-13"/>
          <w:sz w:val="24"/>
        </w:rPr>
        <w:t> </w:t>
      </w:r>
      <w:r>
        <w:rPr>
          <w:sz w:val="24"/>
        </w:rPr>
        <w:t>the</w:t>
      </w:r>
      <w:r>
        <w:rPr>
          <w:spacing w:val="-14"/>
          <w:sz w:val="24"/>
        </w:rPr>
        <w:t> </w:t>
      </w:r>
      <w:r>
        <w:rPr>
          <w:sz w:val="24"/>
        </w:rPr>
        <w:t>Commissioner’s</w:t>
      </w:r>
      <w:r>
        <w:rPr>
          <w:spacing w:val="-14"/>
          <w:sz w:val="24"/>
        </w:rPr>
        <w:t> </w:t>
      </w:r>
      <w:r>
        <w:rPr>
          <w:sz w:val="24"/>
        </w:rPr>
        <w:t>Office</w:t>
      </w:r>
      <w:r>
        <w:rPr>
          <w:spacing w:val="-13"/>
          <w:sz w:val="24"/>
        </w:rPr>
        <w:t> </w:t>
      </w:r>
      <w:r>
        <w:rPr>
          <w:sz w:val="24"/>
        </w:rPr>
        <w:t>who</w:t>
      </w:r>
      <w:r>
        <w:rPr>
          <w:spacing w:val="-14"/>
          <w:sz w:val="24"/>
        </w:rPr>
        <w:t> </w:t>
      </w:r>
      <w:r>
        <w:rPr>
          <w:sz w:val="24"/>
        </w:rPr>
        <w:t>will</w:t>
      </w:r>
      <w:r>
        <w:rPr>
          <w:spacing w:val="-13"/>
          <w:sz w:val="24"/>
        </w:rPr>
        <w:t> </w:t>
      </w:r>
      <w:r>
        <w:rPr>
          <w:sz w:val="24"/>
        </w:rPr>
        <w:t>serve as an independent adjudicator and who will review the investigation and issue a second determination and report.</w:t>
      </w:r>
    </w:p>
    <w:p>
      <w:pPr>
        <w:pStyle w:val="ListParagraph"/>
        <w:numPr>
          <w:ilvl w:val="0"/>
          <w:numId w:val="8"/>
        </w:numPr>
        <w:tabs>
          <w:tab w:pos="1559" w:val="left" w:leader="none"/>
        </w:tabs>
        <w:spacing w:line="292" w:lineRule="exact" w:before="0" w:after="0"/>
        <w:ind w:left="1559" w:right="0" w:hanging="359"/>
        <w:jc w:val="both"/>
        <w:rPr>
          <w:sz w:val="24"/>
        </w:rPr>
      </w:pPr>
      <w:r>
        <w:rPr>
          <w:sz w:val="24"/>
        </w:rPr>
        <w:t>If a</w:t>
      </w:r>
      <w:r>
        <w:rPr>
          <w:spacing w:val="-3"/>
          <w:sz w:val="24"/>
        </w:rPr>
        <w:t> </w:t>
      </w:r>
      <w:r>
        <w:rPr>
          <w:sz w:val="24"/>
        </w:rPr>
        <w:t>person</w:t>
      </w:r>
      <w:r>
        <w:rPr>
          <w:spacing w:val="1"/>
          <w:sz w:val="24"/>
        </w:rPr>
        <w:t> </w:t>
      </w:r>
      <w:r>
        <w:rPr>
          <w:sz w:val="24"/>
        </w:rPr>
        <w:t>seeks</w:t>
      </w:r>
      <w:r>
        <w:rPr>
          <w:spacing w:val="-1"/>
          <w:sz w:val="24"/>
        </w:rPr>
        <w:t> </w:t>
      </w:r>
      <w:r>
        <w:rPr>
          <w:sz w:val="24"/>
        </w:rPr>
        <w:t>a</w:t>
      </w:r>
      <w:r>
        <w:rPr>
          <w:spacing w:val="-3"/>
          <w:sz w:val="24"/>
        </w:rPr>
        <w:t> </w:t>
      </w:r>
      <w:r>
        <w:rPr>
          <w:sz w:val="24"/>
        </w:rPr>
        <w:t>further appeal,</w:t>
      </w:r>
      <w:r>
        <w:rPr>
          <w:spacing w:val="-4"/>
          <w:sz w:val="24"/>
        </w:rPr>
        <w:t> </w:t>
      </w:r>
      <w:r>
        <w:rPr>
          <w:sz w:val="24"/>
        </w:rPr>
        <w:t>he</w:t>
      </w:r>
      <w:r>
        <w:rPr>
          <w:spacing w:val="-2"/>
          <w:sz w:val="24"/>
        </w:rPr>
        <w:t> </w:t>
      </w:r>
      <w:r>
        <w:rPr>
          <w:sz w:val="24"/>
        </w:rPr>
        <w:t>or she can</w:t>
      </w:r>
      <w:r>
        <w:rPr>
          <w:spacing w:val="-2"/>
          <w:sz w:val="24"/>
        </w:rPr>
        <w:t> </w:t>
      </w:r>
      <w:r>
        <w:rPr>
          <w:sz w:val="24"/>
        </w:rPr>
        <w:t>go to</w:t>
      </w:r>
      <w:r>
        <w:rPr>
          <w:spacing w:val="-2"/>
          <w:sz w:val="24"/>
        </w:rPr>
        <w:t> </w:t>
      </w:r>
      <w:r>
        <w:rPr>
          <w:spacing w:val="-4"/>
          <w:sz w:val="24"/>
        </w:rPr>
        <w:t>FTA.</w:t>
      </w:r>
    </w:p>
    <w:p>
      <w:pPr>
        <w:spacing w:after="0" w:line="292" w:lineRule="exact"/>
        <w:jc w:val="both"/>
        <w:rPr>
          <w:sz w:val="24"/>
        </w:rPr>
        <w:sectPr>
          <w:footerReference w:type="default" r:id="rId31"/>
          <w:pgSz w:w="12240" w:h="15840"/>
          <w:pgMar w:footer="997" w:header="0" w:top="960" w:bottom="1180" w:left="600" w:right="500"/>
        </w:sectPr>
      </w:pPr>
    </w:p>
    <w:p>
      <w:pPr>
        <w:pStyle w:val="BodyText"/>
        <w:ind w:left="4425"/>
        <w:rPr>
          <w:sz w:val="20"/>
        </w:rPr>
      </w:pPr>
      <w:r>
        <w:rPr>
          <w:sz w:val="20"/>
        </w:rPr>
        <w:drawing>
          <wp:inline distT="0" distB="0" distL="0" distR="0">
            <wp:extent cx="1438416" cy="406907"/>
            <wp:effectExtent l="0" t="0" r="0" b="0"/>
            <wp:docPr id="27" name="Image 27">
              <a:hlinkClick r:id="rId32"/>
            </wp:docPr>
            <wp:cNvGraphicFramePr>
              <a:graphicFrameLocks/>
            </wp:cNvGraphicFramePr>
            <a:graphic>
              <a:graphicData uri="http://schemas.openxmlformats.org/drawingml/2006/picture">
                <pic:pic>
                  <pic:nvPicPr>
                    <pic:cNvPr id="27" name="Image 27">
                      <a:hlinkClick r:id="rId32"/>
                    </pic:cNvPr>
                    <pic:cNvPicPr/>
                  </pic:nvPicPr>
                  <pic:blipFill>
                    <a:blip r:embed="rId33" cstate="print"/>
                    <a:stretch>
                      <a:fillRect/>
                    </a:stretch>
                  </pic:blipFill>
                  <pic:spPr>
                    <a:xfrm>
                      <a:off x="0" y="0"/>
                      <a:ext cx="1438416" cy="406907"/>
                    </a:xfrm>
                    <a:prstGeom prst="rect">
                      <a:avLst/>
                    </a:prstGeom>
                  </pic:spPr>
                </pic:pic>
              </a:graphicData>
            </a:graphic>
          </wp:inline>
        </w:drawing>
      </w:r>
      <w:r>
        <w:rPr>
          <w:sz w:val="20"/>
        </w:rPr>
      </w:r>
    </w:p>
    <w:p>
      <w:pPr>
        <w:pStyle w:val="Heading9"/>
        <w:spacing w:before="27"/>
        <w:ind w:left="3404" w:right="3412"/>
        <w:jc w:val="center"/>
      </w:pPr>
      <w:r>
        <w:rPr/>
        <w:t>Maine Department of Transportation External</w:t>
      </w:r>
      <w:r>
        <w:rPr>
          <w:spacing w:val="-11"/>
        </w:rPr>
        <w:t> </w:t>
      </w:r>
      <w:r>
        <w:rPr/>
        <w:t>Discrimination</w:t>
      </w:r>
      <w:r>
        <w:rPr>
          <w:spacing w:val="-14"/>
        </w:rPr>
        <w:t> </w:t>
      </w:r>
      <w:r>
        <w:rPr/>
        <w:t>Complaint</w:t>
      </w:r>
      <w:r>
        <w:rPr>
          <w:spacing w:val="-12"/>
        </w:rPr>
        <w:t> </w:t>
      </w:r>
      <w:r>
        <w:rPr/>
        <w:t>Form</w:t>
      </w:r>
    </w:p>
    <w:p>
      <w:pPr>
        <w:pStyle w:val="BodyText"/>
        <w:spacing w:before="11"/>
        <w:rPr>
          <w:b/>
          <w:sz w:val="23"/>
        </w:rPr>
      </w:pPr>
    </w:p>
    <w:p>
      <w:pPr>
        <w:spacing w:before="1"/>
        <w:ind w:left="1416" w:right="1422" w:firstLine="0"/>
        <w:jc w:val="center"/>
        <w:rPr>
          <w:b/>
          <w:sz w:val="24"/>
        </w:rPr>
      </w:pPr>
      <w:r>
        <w:rPr>
          <w:b/>
          <w:sz w:val="24"/>
        </w:rPr>
        <w:t>(Title</w:t>
      </w:r>
      <w:r>
        <w:rPr>
          <w:b/>
          <w:spacing w:val="-5"/>
          <w:sz w:val="24"/>
        </w:rPr>
        <w:t> </w:t>
      </w:r>
      <w:r>
        <w:rPr>
          <w:b/>
          <w:sz w:val="24"/>
        </w:rPr>
        <w:t>VI/Nondiscrimination</w:t>
      </w:r>
      <w:r>
        <w:rPr>
          <w:b/>
          <w:spacing w:val="-3"/>
          <w:sz w:val="24"/>
        </w:rPr>
        <w:t> </w:t>
      </w:r>
      <w:r>
        <w:rPr>
          <w:b/>
          <w:sz w:val="24"/>
        </w:rPr>
        <w:t>and</w:t>
      </w:r>
      <w:r>
        <w:rPr>
          <w:b/>
          <w:spacing w:val="-4"/>
          <w:sz w:val="24"/>
        </w:rPr>
        <w:t> </w:t>
      </w:r>
      <w:r>
        <w:rPr>
          <w:b/>
          <w:sz w:val="24"/>
        </w:rPr>
        <w:t>ADA/Section</w:t>
      </w:r>
      <w:r>
        <w:rPr>
          <w:b/>
          <w:spacing w:val="-3"/>
          <w:sz w:val="24"/>
        </w:rPr>
        <w:t> </w:t>
      </w:r>
      <w:r>
        <w:rPr>
          <w:b/>
          <w:sz w:val="24"/>
        </w:rPr>
        <w:t>504</w:t>
      </w:r>
      <w:r>
        <w:rPr>
          <w:b/>
          <w:spacing w:val="-3"/>
          <w:sz w:val="24"/>
        </w:rPr>
        <w:t> </w:t>
      </w:r>
      <w:r>
        <w:rPr>
          <w:b/>
          <w:spacing w:val="-2"/>
          <w:sz w:val="24"/>
        </w:rPr>
        <w:t>Complaints)</w:t>
      </w:r>
    </w:p>
    <w:p>
      <w:pPr>
        <w:pStyle w:val="BodyText"/>
        <w:rPr>
          <w:b/>
        </w:rPr>
      </w:pPr>
    </w:p>
    <w:tbl>
      <w:tblPr>
        <w:tblW w:w="0" w:type="auto"/>
        <w:jc w:val="left"/>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0"/>
        <w:gridCol w:w="2148"/>
        <w:gridCol w:w="1519"/>
        <w:gridCol w:w="2532"/>
      </w:tblGrid>
      <w:tr>
        <w:trPr>
          <w:trHeight w:val="268" w:hRule="atLeast"/>
        </w:trPr>
        <w:tc>
          <w:tcPr>
            <w:tcW w:w="9439" w:type="dxa"/>
            <w:gridSpan w:val="4"/>
            <w:shd w:val="clear" w:color="auto" w:fill="D9D9D9"/>
          </w:tcPr>
          <w:p>
            <w:pPr>
              <w:pStyle w:val="TableParagraph"/>
              <w:spacing w:line="248" w:lineRule="exact"/>
              <w:ind w:left="4187" w:right="4184"/>
              <w:jc w:val="center"/>
              <w:rPr>
                <w:rFonts w:ascii="Calibri"/>
                <w:b/>
                <w:sz w:val="22"/>
              </w:rPr>
            </w:pPr>
            <w:r>
              <w:rPr>
                <w:rFonts w:ascii="Calibri"/>
                <w:b/>
                <w:sz w:val="22"/>
              </w:rPr>
              <w:t>SECTION</w:t>
            </w:r>
            <w:r>
              <w:rPr>
                <w:rFonts w:ascii="Calibri"/>
                <w:b/>
                <w:spacing w:val="-4"/>
                <w:sz w:val="22"/>
              </w:rPr>
              <w:t> </w:t>
            </w:r>
            <w:r>
              <w:rPr>
                <w:rFonts w:ascii="Calibri"/>
                <w:b/>
                <w:spacing w:val="-10"/>
                <w:sz w:val="22"/>
              </w:rPr>
              <w:t>I</w:t>
            </w:r>
          </w:p>
        </w:tc>
      </w:tr>
      <w:tr>
        <w:trPr>
          <w:trHeight w:val="556" w:hRule="atLeast"/>
        </w:trPr>
        <w:tc>
          <w:tcPr>
            <w:tcW w:w="3240" w:type="dxa"/>
          </w:tcPr>
          <w:p>
            <w:pPr>
              <w:pStyle w:val="TableParagraph"/>
              <w:spacing w:line="240" w:lineRule="auto" w:before="1"/>
              <w:ind w:left="105"/>
              <w:rPr>
                <w:rFonts w:ascii="Calibri"/>
                <w:sz w:val="22"/>
              </w:rPr>
            </w:pPr>
            <w:r>
              <w:rPr>
                <w:rFonts w:ascii="Calibri"/>
                <w:spacing w:val="-2"/>
                <w:sz w:val="22"/>
              </w:rPr>
              <w:t>Name:</w:t>
            </w:r>
          </w:p>
        </w:tc>
        <w:tc>
          <w:tcPr>
            <w:tcW w:w="2148" w:type="dxa"/>
          </w:tcPr>
          <w:p>
            <w:pPr>
              <w:pStyle w:val="TableParagraph"/>
              <w:spacing w:line="240" w:lineRule="auto" w:before="1"/>
              <w:ind w:left="107"/>
              <w:rPr>
                <w:rFonts w:ascii="Calibri"/>
                <w:sz w:val="22"/>
              </w:rPr>
            </w:pPr>
            <w:r>
              <w:rPr>
                <w:rFonts w:ascii="Calibri"/>
                <w:sz w:val="22"/>
              </w:rPr>
              <w:t>Email</w:t>
            </w:r>
            <w:r>
              <w:rPr>
                <w:rFonts w:ascii="Calibri"/>
                <w:spacing w:val="-1"/>
                <w:sz w:val="22"/>
              </w:rPr>
              <w:t> </w:t>
            </w:r>
            <w:r>
              <w:rPr>
                <w:rFonts w:ascii="Calibri"/>
                <w:spacing w:val="-2"/>
                <w:sz w:val="22"/>
              </w:rPr>
              <w:t>Address:</w:t>
            </w:r>
          </w:p>
        </w:tc>
        <w:tc>
          <w:tcPr>
            <w:tcW w:w="4051" w:type="dxa"/>
            <w:gridSpan w:val="2"/>
          </w:tcPr>
          <w:p>
            <w:pPr>
              <w:pStyle w:val="TableParagraph"/>
              <w:spacing w:line="240" w:lineRule="auto" w:before="1"/>
              <w:ind w:left="105"/>
              <w:rPr>
                <w:rFonts w:ascii="Calibri"/>
                <w:sz w:val="22"/>
              </w:rPr>
            </w:pPr>
            <w:r>
              <w:rPr>
                <w:rFonts w:ascii="Calibri"/>
                <w:spacing w:val="-2"/>
                <w:sz w:val="22"/>
              </w:rPr>
              <w:t>Phone:</w:t>
            </w:r>
          </w:p>
        </w:tc>
      </w:tr>
      <w:tr>
        <w:trPr>
          <w:trHeight w:val="539" w:hRule="atLeast"/>
        </w:trPr>
        <w:tc>
          <w:tcPr>
            <w:tcW w:w="3240" w:type="dxa"/>
          </w:tcPr>
          <w:p>
            <w:pPr>
              <w:pStyle w:val="TableParagraph"/>
              <w:spacing w:line="268" w:lineRule="exact"/>
              <w:ind w:left="105"/>
              <w:rPr>
                <w:rFonts w:ascii="Calibri"/>
                <w:sz w:val="22"/>
              </w:rPr>
            </w:pPr>
            <w:r>
              <w:rPr>
                <w:rFonts w:ascii="Calibri"/>
                <w:spacing w:val="-2"/>
                <w:sz w:val="22"/>
              </w:rPr>
              <w:t>Address:</w:t>
            </w:r>
          </w:p>
        </w:tc>
        <w:tc>
          <w:tcPr>
            <w:tcW w:w="2148" w:type="dxa"/>
          </w:tcPr>
          <w:p>
            <w:pPr>
              <w:pStyle w:val="TableParagraph"/>
              <w:spacing w:line="268" w:lineRule="exact"/>
              <w:ind w:left="107"/>
              <w:rPr>
                <w:rFonts w:ascii="Calibri"/>
                <w:sz w:val="22"/>
              </w:rPr>
            </w:pPr>
            <w:r>
              <w:rPr>
                <w:rFonts w:ascii="Calibri"/>
                <w:spacing w:val="-2"/>
                <w:sz w:val="22"/>
              </w:rPr>
              <w:t>City:</w:t>
            </w:r>
          </w:p>
        </w:tc>
        <w:tc>
          <w:tcPr>
            <w:tcW w:w="1519" w:type="dxa"/>
          </w:tcPr>
          <w:p>
            <w:pPr>
              <w:pStyle w:val="TableParagraph"/>
              <w:spacing w:line="268" w:lineRule="exact"/>
              <w:ind w:left="105"/>
              <w:rPr>
                <w:rFonts w:ascii="Calibri"/>
                <w:sz w:val="22"/>
              </w:rPr>
            </w:pPr>
            <w:r>
              <w:rPr>
                <w:rFonts w:ascii="Calibri"/>
                <w:spacing w:val="-2"/>
                <w:sz w:val="22"/>
              </w:rPr>
              <w:t>State:</w:t>
            </w:r>
          </w:p>
        </w:tc>
        <w:tc>
          <w:tcPr>
            <w:tcW w:w="2532" w:type="dxa"/>
          </w:tcPr>
          <w:p>
            <w:pPr>
              <w:pStyle w:val="TableParagraph"/>
              <w:spacing w:line="268" w:lineRule="exact"/>
              <w:ind w:left="108"/>
              <w:rPr>
                <w:rFonts w:ascii="Calibri"/>
                <w:sz w:val="22"/>
              </w:rPr>
            </w:pPr>
            <w:r>
              <w:rPr>
                <w:rFonts w:ascii="Calibri"/>
                <w:spacing w:val="-4"/>
                <w:sz w:val="22"/>
              </w:rPr>
              <w:t>Zip:</w:t>
            </w:r>
          </w:p>
        </w:tc>
      </w:tr>
      <w:tr>
        <w:trPr>
          <w:trHeight w:val="268" w:hRule="atLeast"/>
        </w:trPr>
        <w:tc>
          <w:tcPr>
            <w:tcW w:w="9439" w:type="dxa"/>
            <w:gridSpan w:val="4"/>
            <w:shd w:val="clear" w:color="auto" w:fill="D9D9D9"/>
          </w:tcPr>
          <w:p>
            <w:pPr>
              <w:pStyle w:val="TableParagraph"/>
              <w:spacing w:line="248" w:lineRule="exact"/>
              <w:ind w:left="4186" w:right="4184"/>
              <w:jc w:val="center"/>
              <w:rPr>
                <w:rFonts w:ascii="Calibri"/>
                <w:b/>
                <w:sz w:val="22"/>
              </w:rPr>
            </w:pPr>
            <w:r>
              <w:rPr>
                <w:rFonts w:ascii="Calibri"/>
                <w:b/>
                <w:sz w:val="22"/>
              </w:rPr>
              <w:t>SECTION</w:t>
            </w:r>
            <w:r>
              <w:rPr>
                <w:rFonts w:ascii="Calibri"/>
                <w:b/>
                <w:spacing w:val="-4"/>
                <w:sz w:val="22"/>
              </w:rPr>
              <w:t> </w:t>
            </w:r>
            <w:r>
              <w:rPr>
                <w:rFonts w:ascii="Calibri"/>
                <w:b/>
                <w:spacing w:val="-5"/>
                <w:sz w:val="22"/>
              </w:rPr>
              <w:t>II</w:t>
            </w:r>
          </w:p>
        </w:tc>
      </w:tr>
      <w:tr>
        <w:trPr>
          <w:trHeight w:val="527" w:hRule="atLeast"/>
        </w:trPr>
        <w:tc>
          <w:tcPr>
            <w:tcW w:w="9439" w:type="dxa"/>
            <w:gridSpan w:val="4"/>
          </w:tcPr>
          <w:p>
            <w:pPr>
              <w:pStyle w:val="TableParagraph"/>
              <w:tabs>
                <w:tab w:pos="5085" w:val="left" w:leader="none"/>
                <w:tab w:pos="7420" w:val="left" w:leader="none"/>
              </w:tabs>
              <w:spacing w:line="341" w:lineRule="exact"/>
              <w:ind w:left="78"/>
              <w:rPr>
                <w:rFonts w:ascii="Calibri" w:hAnsi="Calibri"/>
                <w:sz w:val="22"/>
              </w:rPr>
            </w:pPr>
            <w:r>
              <w:rPr>
                <w:rFonts w:ascii="Calibri" w:hAnsi="Calibri"/>
                <w:sz w:val="22"/>
              </w:rPr>
              <w:t>1.</w:t>
            </w:r>
            <w:r>
              <w:rPr>
                <w:rFonts w:ascii="Calibri" w:hAnsi="Calibri"/>
                <w:spacing w:val="42"/>
                <w:sz w:val="22"/>
              </w:rPr>
              <w:t>  </w:t>
            </w:r>
            <w:r>
              <w:rPr>
                <w:rFonts w:ascii="Calibri" w:hAnsi="Calibri"/>
                <w:sz w:val="22"/>
              </w:rPr>
              <w:t>Are</w:t>
            </w:r>
            <w:r>
              <w:rPr>
                <w:rFonts w:ascii="Calibri" w:hAnsi="Calibri"/>
                <w:spacing w:val="-1"/>
                <w:sz w:val="22"/>
              </w:rPr>
              <w:t> </w:t>
            </w:r>
            <w:r>
              <w:rPr>
                <w:rFonts w:ascii="Calibri" w:hAnsi="Calibri"/>
                <w:sz w:val="22"/>
              </w:rPr>
              <w:t>you</w:t>
            </w:r>
            <w:r>
              <w:rPr>
                <w:rFonts w:ascii="Calibri" w:hAnsi="Calibri"/>
                <w:spacing w:val="-2"/>
                <w:sz w:val="22"/>
              </w:rPr>
              <w:t> </w:t>
            </w:r>
            <w:r>
              <w:rPr>
                <w:rFonts w:ascii="Calibri" w:hAnsi="Calibri"/>
                <w:sz w:val="22"/>
              </w:rPr>
              <w:t>filing</w:t>
            </w:r>
            <w:r>
              <w:rPr>
                <w:rFonts w:ascii="Calibri" w:hAnsi="Calibri"/>
                <w:spacing w:val="-3"/>
                <w:sz w:val="22"/>
              </w:rPr>
              <w:t> </w:t>
            </w:r>
            <w:r>
              <w:rPr>
                <w:rFonts w:ascii="Calibri" w:hAnsi="Calibri"/>
                <w:sz w:val="22"/>
              </w:rPr>
              <w:t>this</w:t>
            </w:r>
            <w:r>
              <w:rPr>
                <w:rFonts w:ascii="Calibri" w:hAnsi="Calibri"/>
                <w:spacing w:val="-4"/>
                <w:sz w:val="22"/>
              </w:rPr>
              <w:t> </w:t>
            </w:r>
            <w:r>
              <w:rPr>
                <w:rFonts w:ascii="Calibri" w:hAnsi="Calibri"/>
                <w:sz w:val="22"/>
              </w:rPr>
              <w:t>complaint on</w:t>
            </w:r>
            <w:r>
              <w:rPr>
                <w:rFonts w:ascii="Calibri" w:hAnsi="Calibri"/>
                <w:spacing w:val="-5"/>
                <w:sz w:val="22"/>
              </w:rPr>
              <w:t> </w:t>
            </w:r>
            <w:r>
              <w:rPr>
                <w:rFonts w:ascii="Calibri" w:hAnsi="Calibri"/>
                <w:sz w:val="22"/>
              </w:rPr>
              <w:t>your</w:t>
            </w:r>
            <w:r>
              <w:rPr>
                <w:rFonts w:ascii="Calibri" w:hAnsi="Calibri"/>
                <w:spacing w:val="-4"/>
                <w:sz w:val="22"/>
              </w:rPr>
              <w:t> </w:t>
            </w:r>
            <w:r>
              <w:rPr>
                <w:rFonts w:ascii="Calibri" w:hAnsi="Calibri"/>
                <w:sz w:val="22"/>
              </w:rPr>
              <w:t>own</w:t>
            </w:r>
            <w:r>
              <w:rPr>
                <w:rFonts w:ascii="Calibri" w:hAnsi="Calibri"/>
                <w:spacing w:val="-2"/>
                <w:sz w:val="22"/>
              </w:rPr>
              <w:t> behalf?</w:t>
            </w:r>
            <w:r>
              <w:rPr>
                <w:rFonts w:ascii="Calibri" w:hAnsi="Calibri"/>
                <w:sz w:val="22"/>
              </w:rPr>
              <w:tab/>
            </w:r>
            <w:r>
              <w:rPr>
                <w:rFonts w:ascii="Calibri" w:hAnsi="Calibri"/>
                <w:b/>
                <w:sz w:val="28"/>
              </w:rPr>
              <w:t>□</w:t>
            </w:r>
            <w:r>
              <w:rPr>
                <w:rFonts w:ascii="Calibri" w:hAnsi="Calibri"/>
                <w:b/>
                <w:spacing w:val="-17"/>
                <w:sz w:val="28"/>
              </w:rPr>
              <w:t> </w:t>
            </w:r>
            <w:r>
              <w:rPr>
                <w:rFonts w:ascii="Calibri" w:hAnsi="Calibri"/>
                <w:sz w:val="22"/>
              </w:rPr>
              <w:t>Yes</w:t>
            </w:r>
            <w:r>
              <w:rPr>
                <w:rFonts w:ascii="Calibri" w:hAnsi="Calibri"/>
                <w:spacing w:val="-5"/>
                <w:sz w:val="22"/>
              </w:rPr>
              <w:t> </w:t>
            </w:r>
            <w:r>
              <w:rPr>
                <w:rFonts w:ascii="Calibri" w:hAnsi="Calibri"/>
                <w:sz w:val="22"/>
              </w:rPr>
              <w:t>(go</w:t>
            </w:r>
            <w:r>
              <w:rPr>
                <w:rFonts w:ascii="Calibri" w:hAnsi="Calibri"/>
                <w:spacing w:val="-2"/>
                <w:sz w:val="22"/>
              </w:rPr>
              <w:t> </w:t>
            </w:r>
            <w:r>
              <w:rPr>
                <w:rFonts w:ascii="Calibri" w:hAnsi="Calibri"/>
                <w:sz w:val="22"/>
              </w:rPr>
              <w:t>to</w:t>
            </w:r>
            <w:r>
              <w:rPr>
                <w:rFonts w:ascii="Calibri" w:hAnsi="Calibri"/>
                <w:spacing w:val="-1"/>
                <w:sz w:val="22"/>
              </w:rPr>
              <w:t> </w:t>
            </w:r>
            <w:r>
              <w:rPr>
                <w:rFonts w:ascii="Calibri" w:hAnsi="Calibri"/>
                <w:sz w:val="22"/>
              </w:rPr>
              <w:t>Section</w:t>
            </w:r>
            <w:r>
              <w:rPr>
                <w:rFonts w:ascii="Calibri" w:hAnsi="Calibri"/>
                <w:spacing w:val="-3"/>
                <w:sz w:val="22"/>
              </w:rPr>
              <w:t> </w:t>
            </w:r>
            <w:r>
              <w:rPr>
                <w:rFonts w:ascii="Calibri" w:hAnsi="Calibri"/>
                <w:spacing w:val="-4"/>
                <w:sz w:val="22"/>
              </w:rPr>
              <w:t>III)</w:t>
            </w:r>
            <w:r>
              <w:rPr>
                <w:rFonts w:ascii="Calibri" w:hAnsi="Calibri"/>
                <w:sz w:val="22"/>
              </w:rPr>
              <w:tab/>
            </w:r>
            <w:r>
              <w:rPr>
                <w:rFonts w:ascii="Calibri" w:hAnsi="Calibri"/>
                <w:b/>
                <w:sz w:val="28"/>
              </w:rPr>
              <w:t>□</w:t>
            </w:r>
            <w:r>
              <w:rPr>
                <w:rFonts w:ascii="Calibri" w:hAnsi="Calibri"/>
                <w:b/>
                <w:spacing w:val="-3"/>
                <w:sz w:val="28"/>
              </w:rPr>
              <w:t> </w:t>
            </w:r>
            <w:r>
              <w:rPr>
                <w:rFonts w:ascii="Calibri" w:hAnsi="Calibri"/>
                <w:sz w:val="22"/>
              </w:rPr>
              <w:t>No (go</w:t>
            </w:r>
            <w:r>
              <w:rPr>
                <w:rFonts w:ascii="Calibri" w:hAnsi="Calibri"/>
                <w:spacing w:val="-2"/>
                <w:sz w:val="22"/>
              </w:rPr>
              <w:t> </w:t>
            </w:r>
            <w:r>
              <w:rPr>
                <w:rFonts w:ascii="Calibri" w:hAnsi="Calibri"/>
                <w:sz w:val="22"/>
              </w:rPr>
              <w:t>to </w:t>
            </w:r>
            <w:r>
              <w:rPr>
                <w:rFonts w:ascii="Calibri" w:hAnsi="Calibri"/>
                <w:spacing w:val="-5"/>
                <w:sz w:val="22"/>
              </w:rPr>
              <w:t>#2)</w:t>
            </w:r>
          </w:p>
        </w:tc>
      </w:tr>
      <w:tr>
        <w:trPr>
          <w:trHeight w:val="1118" w:hRule="atLeast"/>
        </w:trPr>
        <w:tc>
          <w:tcPr>
            <w:tcW w:w="9439" w:type="dxa"/>
            <w:gridSpan w:val="4"/>
          </w:tcPr>
          <w:p>
            <w:pPr>
              <w:pStyle w:val="TableParagraph"/>
              <w:spacing w:line="259" w:lineRule="auto"/>
              <w:ind w:left="465" w:right="181" w:hanging="360"/>
              <w:rPr>
                <w:rFonts w:ascii="Calibri" w:hAnsi="Calibri"/>
                <w:sz w:val="22"/>
              </w:rPr>
            </w:pPr>
            <w:r>
              <w:rPr>
                <w:rFonts w:ascii="Calibri" w:hAnsi="Calibri"/>
                <w:sz w:val="22"/>
              </w:rPr>
              <w:t>2.</w:t>
            </w:r>
            <w:r>
              <w:rPr>
                <w:rFonts w:ascii="Calibri" w:hAnsi="Calibri"/>
                <w:spacing w:val="80"/>
                <w:w w:val="150"/>
                <w:sz w:val="22"/>
              </w:rPr>
              <w:t> </w:t>
            </w:r>
            <w:r>
              <w:rPr>
                <w:rFonts w:ascii="Calibri" w:hAnsi="Calibri"/>
                <w:sz w:val="22"/>
              </w:rPr>
              <w:t>If</w:t>
            </w:r>
            <w:r>
              <w:rPr>
                <w:rFonts w:ascii="Calibri" w:hAnsi="Calibri"/>
                <w:spacing w:val="-2"/>
                <w:sz w:val="22"/>
              </w:rPr>
              <w:t> </w:t>
            </w:r>
            <w:r>
              <w:rPr>
                <w:rFonts w:ascii="Calibri" w:hAnsi="Calibri"/>
                <w:sz w:val="22"/>
              </w:rPr>
              <w:t>you</w:t>
            </w:r>
            <w:r>
              <w:rPr>
                <w:rFonts w:ascii="Calibri" w:hAnsi="Calibri"/>
                <w:spacing w:val="-5"/>
                <w:sz w:val="22"/>
              </w:rPr>
              <w:t> </w:t>
            </w:r>
            <w:r>
              <w:rPr>
                <w:rFonts w:ascii="Calibri" w:hAnsi="Calibri"/>
                <w:sz w:val="22"/>
              </w:rPr>
              <w:t>answered</w:t>
            </w:r>
            <w:r>
              <w:rPr>
                <w:rFonts w:ascii="Calibri" w:hAnsi="Calibri"/>
                <w:spacing w:val="-5"/>
                <w:sz w:val="22"/>
              </w:rPr>
              <w:t> </w:t>
            </w:r>
            <w:r>
              <w:rPr>
                <w:rFonts w:ascii="Calibri" w:hAnsi="Calibri"/>
                <w:sz w:val="22"/>
              </w:rPr>
              <w:t>“no”</w:t>
            </w:r>
            <w:r>
              <w:rPr>
                <w:rFonts w:ascii="Calibri" w:hAnsi="Calibri"/>
                <w:spacing w:val="-1"/>
                <w:sz w:val="22"/>
              </w:rPr>
              <w:t> </w:t>
            </w:r>
            <w:r>
              <w:rPr>
                <w:rFonts w:ascii="Calibri" w:hAnsi="Calibri"/>
                <w:sz w:val="22"/>
              </w:rPr>
              <w:t>to</w:t>
            </w:r>
            <w:r>
              <w:rPr>
                <w:rFonts w:ascii="Calibri" w:hAnsi="Calibri"/>
                <w:spacing w:val="-1"/>
                <w:sz w:val="22"/>
              </w:rPr>
              <w:t> </w:t>
            </w:r>
            <w:r>
              <w:rPr>
                <w:rFonts w:ascii="Calibri" w:hAnsi="Calibri"/>
                <w:sz w:val="22"/>
              </w:rPr>
              <w:t>question</w:t>
            </w:r>
            <w:r>
              <w:rPr>
                <w:rFonts w:ascii="Calibri" w:hAnsi="Calibri"/>
                <w:spacing w:val="-5"/>
                <w:sz w:val="22"/>
              </w:rPr>
              <w:t> </w:t>
            </w:r>
            <w:r>
              <w:rPr>
                <w:rFonts w:ascii="Calibri" w:hAnsi="Calibri"/>
                <w:sz w:val="22"/>
              </w:rPr>
              <w:t>1,</w:t>
            </w:r>
            <w:r>
              <w:rPr>
                <w:rFonts w:ascii="Calibri" w:hAnsi="Calibri"/>
                <w:spacing w:val="-2"/>
                <w:sz w:val="22"/>
              </w:rPr>
              <w:t> </w:t>
            </w:r>
            <w:r>
              <w:rPr>
                <w:rFonts w:ascii="Calibri" w:hAnsi="Calibri"/>
                <w:sz w:val="22"/>
              </w:rPr>
              <w:t>please</w:t>
            </w:r>
            <w:r>
              <w:rPr>
                <w:rFonts w:ascii="Calibri" w:hAnsi="Calibri"/>
                <w:spacing w:val="-4"/>
                <w:sz w:val="22"/>
              </w:rPr>
              <w:t> </w:t>
            </w:r>
            <w:r>
              <w:rPr>
                <w:rFonts w:ascii="Calibri" w:hAnsi="Calibri"/>
                <w:sz w:val="22"/>
              </w:rPr>
              <w:t>describe</w:t>
            </w:r>
            <w:r>
              <w:rPr>
                <w:rFonts w:ascii="Calibri" w:hAnsi="Calibri"/>
                <w:spacing w:val="-4"/>
                <w:sz w:val="22"/>
              </w:rPr>
              <w:t> </w:t>
            </w:r>
            <w:r>
              <w:rPr>
                <w:rFonts w:ascii="Calibri" w:hAnsi="Calibri"/>
                <w:sz w:val="22"/>
              </w:rPr>
              <w:t>your</w:t>
            </w:r>
            <w:r>
              <w:rPr>
                <w:rFonts w:ascii="Calibri" w:hAnsi="Calibri"/>
                <w:spacing w:val="-2"/>
                <w:sz w:val="22"/>
              </w:rPr>
              <w:t> </w:t>
            </w:r>
            <w:r>
              <w:rPr>
                <w:rFonts w:ascii="Calibri" w:hAnsi="Calibri"/>
                <w:sz w:val="22"/>
              </w:rPr>
              <w:t>relationship</w:t>
            </w:r>
            <w:r>
              <w:rPr>
                <w:rFonts w:ascii="Calibri" w:hAnsi="Calibri"/>
                <w:spacing w:val="-3"/>
                <w:sz w:val="22"/>
              </w:rPr>
              <w:t> </w:t>
            </w:r>
            <w:r>
              <w:rPr>
                <w:rFonts w:ascii="Calibri" w:hAnsi="Calibri"/>
                <w:sz w:val="22"/>
              </w:rPr>
              <w:t>to</w:t>
            </w:r>
            <w:r>
              <w:rPr>
                <w:rFonts w:ascii="Calibri" w:hAnsi="Calibri"/>
                <w:spacing w:val="-3"/>
                <w:sz w:val="22"/>
              </w:rPr>
              <w:t> </w:t>
            </w:r>
            <w:r>
              <w:rPr>
                <w:rFonts w:ascii="Calibri" w:hAnsi="Calibri"/>
                <w:sz w:val="22"/>
              </w:rPr>
              <w:t>the</w:t>
            </w:r>
            <w:r>
              <w:rPr>
                <w:rFonts w:ascii="Calibri" w:hAnsi="Calibri"/>
                <w:spacing w:val="-1"/>
                <w:sz w:val="22"/>
              </w:rPr>
              <w:t> </w:t>
            </w:r>
            <w:r>
              <w:rPr>
                <w:rFonts w:ascii="Calibri" w:hAnsi="Calibri"/>
                <w:sz w:val="22"/>
              </w:rPr>
              <w:t>person (“complainant”) for whom you are filing and why you are filing for a third party.</w:t>
            </w:r>
          </w:p>
        </w:tc>
      </w:tr>
      <w:tr>
        <w:trPr>
          <w:trHeight w:val="877" w:hRule="atLeast"/>
        </w:trPr>
        <w:tc>
          <w:tcPr>
            <w:tcW w:w="9439" w:type="dxa"/>
            <w:gridSpan w:val="4"/>
          </w:tcPr>
          <w:p>
            <w:pPr>
              <w:pStyle w:val="TableParagraph"/>
              <w:spacing w:line="240" w:lineRule="auto"/>
              <w:ind w:left="105" w:right="181"/>
              <w:rPr>
                <w:rFonts w:ascii="Calibri"/>
                <w:sz w:val="22"/>
              </w:rPr>
            </w:pPr>
            <w:r>
              <w:rPr>
                <w:rFonts w:ascii="Calibri"/>
                <w:sz w:val="22"/>
              </w:rPr>
              <w:t>3.</w:t>
            </w:r>
            <w:r>
              <w:rPr>
                <w:rFonts w:ascii="Calibri"/>
                <w:spacing w:val="-2"/>
                <w:sz w:val="22"/>
              </w:rPr>
              <w:t> </w:t>
            </w:r>
            <w:r>
              <w:rPr>
                <w:rFonts w:ascii="Calibri"/>
                <w:sz w:val="22"/>
              </w:rPr>
              <w:t>Have</w:t>
            </w:r>
            <w:r>
              <w:rPr>
                <w:rFonts w:ascii="Calibri"/>
                <w:spacing w:val="-1"/>
                <w:sz w:val="22"/>
              </w:rPr>
              <w:t> </w:t>
            </w:r>
            <w:r>
              <w:rPr>
                <w:rFonts w:ascii="Calibri"/>
                <w:sz w:val="22"/>
              </w:rPr>
              <w:t>you</w:t>
            </w:r>
            <w:r>
              <w:rPr>
                <w:rFonts w:ascii="Calibri"/>
                <w:spacing w:val="-5"/>
                <w:sz w:val="22"/>
              </w:rPr>
              <w:t> </w:t>
            </w:r>
            <w:r>
              <w:rPr>
                <w:rFonts w:ascii="Calibri"/>
                <w:sz w:val="22"/>
              </w:rPr>
              <w:t>obtained</w:t>
            </w:r>
            <w:r>
              <w:rPr>
                <w:rFonts w:ascii="Calibri"/>
                <w:spacing w:val="-3"/>
                <w:sz w:val="22"/>
              </w:rPr>
              <w:t> </w:t>
            </w:r>
            <w:r>
              <w:rPr>
                <w:rFonts w:ascii="Calibri"/>
                <w:sz w:val="22"/>
              </w:rPr>
              <w:t>permission</w:t>
            </w:r>
            <w:r>
              <w:rPr>
                <w:rFonts w:ascii="Calibri"/>
                <w:spacing w:val="-5"/>
                <w:sz w:val="22"/>
              </w:rPr>
              <w:t> </w:t>
            </w:r>
            <w:r>
              <w:rPr>
                <w:rFonts w:ascii="Calibri"/>
                <w:sz w:val="22"/>
              </w:rPr>
              <w:t>of</w:t>
            </w:r>
            <w:r>
              <w:rPr>
                <w:rFonts w:ascii="Calibri"/>
                <w:spacing w:val="-2"/>
                <w:sz w:val="22"/>
              </w:rPr>
              <w:t> </w:t>
            </w:r>
            <w:r>
              <w:rPr>
                <w:rFonts w:ascii="Calibri"/>
                <w:sz w:val="22"/>
              </w:rPr>
              <w:t>the</w:t>
            </w:r>
            <w:r>
              <w:rPr>
                <w:rFonts w:ascii="Calibri"/>
                <w:spacing w:val="-4"/>
                <w:sz w:val="22"/>
              </w:rPr>
              <w:t> </w:t>
            </w:r>
            <w:r>
              <w:rPr>
                <w:rFonts w:ascii="Calibri"/>
                <w:sz w:val="22"/>
              </w:rPr>
              <w:t>aggrieved</w:t>
            </w:r>
            <w:r>
              <w:rPr>
                <w:rFonts w:ascii="Calibri"/>
                <w:spacing w:val="-3"/>
                <w:sz w:val="22"/>
              </w:rPr>
              <w:t> </w:t>
            </w:r>
            <w:r>
              <w:rPr>
                <w:rFonts w:ascii="Calibri"/>
                <w:sz w:val="22"/>
              </w:rPr>
              <w:t>party</w:t>
            </w:r>
            <w:r>
              <w:rPr>
                <w:rFonts w:ascii="Calibri"/>
                <w:spacing w:val="-1"/>
                <w:sz w:val="22"/>
              </w:rPr>
              <w:t> </w:t>
            </w:r>
            <w:r>
              <w:rPr>
                <w:rFonts w:ascii="Calibri"/>
                <w:sz w:val="22"/>
              </w:rPr>
              <w:t>(complainant)</w:t>
            </w:r>
            <w:r>
              <w:rPr>
                <w:rFonts w:ascii="Calibri"/>
                <w:spacing w:val="-2"/>
                <w:sz w:val="22"/>
              </w:rPr>
              <w:t> </w:t>
            </w:r>
            <w:r>
              <w:rPr>
                <w:rFonts w:ascii="Calibri"/>
                <w:sz w:val="22"/>
              </w:rPr>
              <w:t>to</w:t>
            </w:r>
            <w:r>
              <w:rPr>
                <w:rFonts w:ascii="Calibri"/>
                <w:spacing w:val="-1"/>
                <w:sz w:val="22"/>
              </w:rPr>
              <w:t> </w:t>
            </w:r>
            <w:r>
              <w:rPr>
                <w:rFonts w:ascii="Calibri"/>
                <w:sz w:val="22"/>
              </w:rPr>
              <w:t>file</w:t>
            </w:r>
            <w:r>
              <w:rPr>
                <w:rFonts w:ascii="Calibri"/>
                <w:spacing w:val="-1"/>
                <w:sz w:val="22"/>
              </w:rPr>
              <w:t> </w:t>
            </w:r>
            <w:r>
              <w:rPr>
                <w:rFonts w:ascii="Calibri"/>
                <w:sz w:val="22"/>
              </w:rPr>
              <w:t>this</w:t>
            </w:r>
            <w:r>
              <w:rPr>
                <w:rFonts w:ascii="Calibri"/>
                <w:spacing w:val="-3"/>
                <w:sz w:val="22"/>
              </w:rPr>
              <w:t> </w:t>
            </w:r>
            <w:r>
              <w:rPr>
                <w:rFonts w:ascii="Calibri"/>
                <w:sz w:val="22"/>
              </w:rPr>
              <w:t>complaint</w:t>
            </w:r>
            <w:r>
              <w:rPr>
                <w:rFonts w:ascii="Calibri"/>
                <w:spacing w:val="-4"/>
                <w:sz w:val="22"/>
              </w:rPr>
              <w:t> </w:t>
            </w:r>
            <w:r>
              <w:rPr>
                <w:rFonts w:ascii="Calibri"/>
                <w:sz w:val="22"/>
              </w:rPr>
              <w:t>on</w:t>
            </w:r>
            <w:r>
              <w:rPr>
                <w:rFonts w:ascii="Calibri"/>
                <w:spacing w:val="-3"/>
                <w:sz w:val="22"/>
              </w:rPr>
              <w:t> </w:t>
            </w:r>
            <w:r>
              <w:rPr>
                <w:rFonts w:ascii="Calibri"/>
                <w:sz w:val="22"/>
              </w:rPr>
              <w:t>his</w:t>
            </w:r>
            <w:r>
              <w:rPr>
                <w:rFonts w:ascii="Calibri"/>
                <w:spacing w:val="-4"/>
                <w:sz w:val="22"/>
              </w:rPr>
              <w:t> </w:t>
            </w:r>
            <w:r>
              <w:rPr>
                <w:rFonts w:ascii="Calibri"/>
                <w:sz w:val="22"/>
              </w:rPr>
              <w:t>or her behalf?</w:t>
            </w:r>
          </w:p>
          <w:p>
            <w:pPr>
              <w:pStyle w:val="TableParagraph"/>
              <w:tabs>
                <w:tab w:pos="1722" w:val="left" w:leader="none"/>
              </w:tabs>
              <w:spacing w:line="321" w:lineRule="exact"/>
              <w:ind w:left="304"/>
              <w:rPr>
                <w:rFonts w:ascii="Calibri" w:hAnsi="Calibri"/>
                <w:sz w:val="22"/>
              </w:rPr>
            </w:pPr>
            <w:r>
              <w:rPr>
                <w:rFonts w:ascii="Calibri" w:hAnsi="Calibri"/>
                <w:b/>
                <w:sz w:val="28"/>
              </w:rPr>
              <w:t>□</w:t>
            </w:r>
            <w:r>
              <w:rPr>
                <w:rFonts w:ascii="Calibri" w:hAnsi="Calibri"/>
                <w:b/>
                <w:spacing w:val="54"/>
                <w:w w:val="150"/>
                <w:sz w:val="28"/>
              </w:rPr>
              <w:t> </w:t>
            </w:r>
            <w:r>
              <w:rPr>
                <w:rFonts w:ascii="Calibri" w:hAnsi="Calibri"/>
                <w:spacing w:val="-5"/>
                <w:sz w:val="22"/>
              </w:rPr>
              <w:t>Yes</w:t>
            </w:r>
            <w:r>
              <w:rPr>
                <w:rFonts w:ascii="Calibri" w:hAnsi="Calibri"/>
                <w:sz w:val="22"/>
              </w:rPr>
              <w:tab/>
            </w:r>
            <w:r>
              <w:rPr>
                <w:rFonts w:ascii="Calibri" w:hAnsi="Calibri"/>
                <w:b/>
                <w:sz w:val="28"/>
              </w:rPr>
              <w:t>□</w:t>
            </w:r>
            <w:r>
              <w:rPr>
                <w:rFonts w:ascii="Calibri" w:hAnsi="Calibri"/>
                <w:b/>
                <w:spacing w:val="54"/>
                <w:w w:val="150"/>
                <w:sz w:val="28"/>
              </w:rPr>
              <w:t> </w:t>
            </w:r>
            <w:r>
              <w:rPr>
                <w:rFonts w:ascii="Calibri" w:hAnsi="Calibri"/>
                <w:spacing w:val="-5"/>
                <w:sz w:val="22"/>
              </w:rPr>
              <w:t>No</w:t>
            </w:r>
          </w:p>
        </w:tc>
      </w:tr>
      <w:tr>
        <w:trPr>
          <w:trHeight w:val="268" w:hRule="atLeast"/>
        </w:trPr>
        <w:tc>
          <w:tcPr>
            <w:tcW w:w="9439" w:type="dxa"/>
            <w:gridSpan w:val="4"/>
            <w:shd w:val="clear" w:color="auto" w:fill="D9D9D9"/>
          </w:tcPr>
          <w:p>
            <w:pPr>
              <w:pStyle w:val="TableParagraph"/>
              <w:spacing w:line="248" w:lineRule="exact"/>
              <w:ind w:left="4190" w:right="4184"/>
              <w:jc w:val="center"/>
              <w:rPr>
                <w:rFonts w:ascii="Calibri"/>
                <w:b/>
                <w:sz w:val="22"/>
              </w:rPr>
            </w:pPr>
            <w:r>
              <w:rPr>
                <w:rFonts w:ascii="Calibri"/>
                <w:b/>
                <w:sz w:val="22"/>
              </w:rPr>
              <w:t>SECTION</w:t>
            </w:r>
            <w:r>
              <w:rPr>
                <w:rFonts w:ascii="Calibri"/>
                <w:b/>
                <w:spacing w:val="-4"/>
                <w:sz w:val="22"/>
              </w:rPr>
              <w:t> </w:t>
            </w:r>
            <w:r>
              <w:rPr>
                <w:rFonts w:ascii="Calibri"/>
                <w:b/>
                <w:spacing w:val="-5"/>
                <w:sz w:val="22"/>
              </w:rPr>
              <w:t>III</w:t>
            </w:r>
          </w:p>
        </w:tc>
      </w:tr>
      <w:tr>
        <w:trPr>
          <w:trHeight w:val="268" w:hRule="atLeast"/>
        </w:trPr>
        <w:tc>
          <w:tcPr>
            <w:tcW w:w="9439" w:type="dxa"/>
            <w:gridSpan w:val="4"/>
          </w:tcPr>
          <w:p>
            <w:pPr>
              <w:pStyle w:val="TableParagraph"/>
              <w:spacing w:line="248" w:lineRule="exact"/>
              <w:ind w:left="105"/>
              <w:rPr>
                <w:rFonts w:ascii="Calibri"/>
                <w:sz w:val="22"/>
              </w:rPr>
            </w:pPr>
            <w:r>
              <w:rPr>
                <w:rFonts w:ascii="Calibri"/>
                <w:sz w:val="22"/>
              </w:rPr>
              <w:t>1.</w:t>
            </w:r>
            <w:r>
              <w:rPr>
                <w:rFonts w:ascii="Calibri"/>
                <w:spacing w:val="-1"/>
                <w:sz w:val="22"/>
              </w:rPr>
              <w:t> </w:t>
            </w:r>
            <w:r>
              <w:rPr>
                <w:rFonts w:ascii="Calibri"/>
                <w:sz w:val="22"/>
              </w:rPr>
              <w:t>Date</w:t>
            </w:r>
            <w:r>
              <w:rPr>
                <w:rFonts w:ascii="Calibri"/>
                <w:spacing w:val="-3"/>
                <w:sz w:val="22"/>
              </w:rPr>
              <w:t> </w:t>
            </w:r>
            <w:r>
              <w:rPr>
                <w:rFonts w:ascii="Calibri"/>
                <w:sz w:val="22"/>
              </w:rPr>
              <w:t>of </w:t>
            </w:r>
            <w:r>
              <w:rPr>
                <w:rFonts w:ascii="Calibri"/>
                <w:spacing w:val="-2"/>
                <w:sz w:val="22"/>
              </w:rPr>
              <w:t>Incident:</w:t>
            </w:r>
          </w:p>
        </w:tc>
      </w:tr>
      <w:tr>
        <w:trPr>
          <w:trHeight w:val="700" w:hRule="atLeast"/>
        </w:trPr>
        <w:tc>
          <w:tcPr>
            <w:tcW w:w="9439" w:type="dxa"/>
            <w:gridSpan w:val="4"/>
          </w:tcPr>
          <w:p>
            <w:pPr>
              <w:pStyle w:val="TableParagraph"/>
              <w:spacing w:line="268" w:lineRule="exact"/>
              <w:ind w:left="105"/>
              <w:rPr>
                <w:rFonts w:ascii="Calibri"/>
                <w:sz w:val="22"/>
              </w:rPr>
            </w:pPr>
            <w:r>
              <w:rPr>
                <w:rFonts w:ascii="Calibri"/>
                <w:sz w:val="22"/>
              </w:rPr>
              <w:t>2.</w:t>
            </w:r>
            <w:r>
              <w:rPr>
                <w:rFonts w:ascii="Calibri"/>
                <w:spacing w:val="-5"/>
                <w:sz w:val="22"/>
              </w:rPr>
              <w:t> </w:t>
            </w:r>
            <w:r>
              <w:rPr>
                <w:rFonts w:ascii="Calibri"/>
                <w:sz w:val="22"/>
              </w:rPr>
              <w:t>If</w:t>
            </w:r>
            <w:r>
              <w:rPr>
                <w:rFonts w:ascii="Calibri"/>
                <w:spacing w:val="-4"/>
                <w:sz w:val="22"/>
              </w:rPr>
              <w:t> </w:t>
            </w:r>
            <w:r>
              <w:rPr>
                <w:rFonts w:ascii="Calibri"/>
                <w:sz w:val="22"/>
              </w:rPr>
              <w:t>applicable,</w:t>
            </w:r>
            <w:r>
              <w:rPr>
                <w:rFonts w:ascii="Calibri"/>
                <w:spacing w:val="-4"/>
                <w:sz w:val="22"/>
              </w:rPr>
              <w:t> </w:t>
            </w:r>
            <w:r>
              <w:rPr>
                <w:rFonts w:ascii="Calibri"/>
                <w:sz w:val="22"/>
              </w:rPr>
              <w:t>name</w:t>
            </w:r>
            <w:r>
              <w:rPr>
                <w:rFonts w:ascii="Calibri"/>
                <w:spacing w:val="-3"/>
                <w:sz w:val="22"/>
              </w:rPr>
              <w:t> </w:t>
            </w:r>
            <w:r>
              <w:rPr>
                <w:rFonts w:ascii="Calibri"/>
                <w:sz w:val="22"/>
              </w:rPr>
              <w:t>of</w:t>
            </w:r>
            <w:r>
              <w:rPr>
                <w:rFonts w:ascii="Calibri"/>
                <w:spacing w:val="-6"/>
                <w:sz w:val="22"/>
              </w:rPr>
              <w:t> </w:t>
            </w:r>
            <w:r>
              <w:rPr>
                <w:rFonts w:ascii="Calibri"/>
                <w:sz w:val="22"/>
              </w:rPr>
              <w:t>person(s)</w:t>
            </w:r>
            <w:r>
              <w:rPr>
                <w:rFonts w:ascii="Calibri"/>
                <w:spacing w:val="-5"/>
                <w:sz w:val="22"/>
              </w:rPr>
              <w:t> </w:t>
            </w:r>
            <w:r>
              <w:rPr>
                <w:rFonts w:ascii="Calibri"/>
                <w:sz w:val="22"/>
              </w:rPr>
              <w:t>who</w:t>
            </w:r>
            <w:r>
              <w:rPr>
                <w:rFonts w:ascii="Calibri"/>
                <w:spacing w:val="-5"/>
                <w:sz w:val="22"/>
              </w:rPr>
              <w:t> </w:t>
            </w:r>
            <w:r>
              <w:rPr>
                <w:rFonts w:ascii="Calibri"/>
                <w:sz w:val="22"/>
              </w:rPr>
              <w:t>allegedly</w:t>
            </w:r>
            <w:r>
              <w:rPr>
                <w:rFonts w:ascii="Calibri"/>
                <w:spacing w:val="-4"/>
                <w:sz w:val="22"/>
              </w:rPr>
              <w:t> </w:t>
            </w:r>
            <w:r>
              <w:rPr>
                <w:rFonts w:ascii="Calibri"/>
                <w:sz w:val="22"/>
              </w:rPr>
              <w:t>discriminated</w:t>
            </w:r>
            <w:r>
              <w:rPr>
                <w:rFonts w:ascii="Calibri"/>
                <w:spacing w:val="-6"/>
                <w:sz w:val="22"/>
              </w:rPr>
              <w:t> </w:t>
            </w:r>
            <w:r>
              <w:rPr>
                <w:rFonts w:ascii="Calibri"/>
                <w:sz w:val="22"/>
              </w:rPr>
              <w:t>against</w:t>
            </w:r>
            <w:r>
              <w:rPr>
                <w:rFonts w:ascii="Calibri"/>
                <w:spacing w:val="-3"/>
                <w:sz w:val="22"/>
              </w:rPr>
              <w:t> </w:t>
            </w:r>
            <w:r>
              <w:rPr>
                <w:rFonts w:ascii="Calibri"/>
                <w:spacing w:val="-4"/>
                <w:sz w:val="22"/>
              </w:rPr>
              <w:t>you:</w:t>
            </w:r>
          </w:p>
        </w:tc>
      </w:tr>
      <w:tr>
        <w:trPr>
          <w:trHeight w:val="611" w:hRule="atLeast"/>
        </w:trPr>
        <w:tc>
          <w:tcPr>
            <w:tcW w:w="9439" w:type="dxa"/>
            <w:gridSpan w:val="4"/>
          </w:tcPr>
          <w:p>
            <w:pPr>
              <w:pStyle w:val="TableParagraph"/>
              <w:spacing w:line="240" w:lineRule="auto" w:before="1"/>
              <w:ind w:left="105"/>
              <w:rPr>
                <w:rFonts w:ascii="Calibri"/>
                <w:sz w:val="22"/>
              </w:rPr>
            </w:pPr>
            <w:r>
              <w:rPr>
                <w:rFonts w:ascii="Calibri"/>
                <w:sz w:val="22"/>
              </w:rPr>
              <w:t>3.</w:t>
            </w:r>
            <w:r>
              <w:rPr>
                <w:rFonts w:ascii="Calibri"/>
                <w:spacing w:val="-4"/>
                <w:sz w:val="22"/>
              </w:rPr>
              <w:t> </w:t>
            </w:r>
            <w:r>
              <w:rPr>
                <w:rFonts w:ascii="Calibri"/>
                <w:sz w:val="22"/>
              </w:rPr>
              <w:t>I</w:t>
            </w:r>
            <w:r>
              <w:rPr>
                <w:rFonts w:ascii="Calibri"/>
                <w:spacing w:val="-3"/>
                <w:sz w:val="22"/>
              </w:rPr>
              <w:t> </w:t>
            </w:r>
            <w:r>
              <w:rPr>
                <w:rFonts w:ascii="Calibri"/>
                <w:sz w:val="22"/>
              </w:rPr>
              <w:t>believe</w:t>
            </w:r>
            <w:r>
              <w:rPr>
                <w:rFonts w:ascii="Calibri"/>
                <w:spacing w:val="-6"/>
                <w:sz w:val="22"/>
              </w:rPr>
              <w:t> </w:t>
            </w:r>
            <w:r>
              <w:rPr>
                <w:rFonts w:ascii="Calibri"/>
                <w:sz w:val="22"/>
              </w:rPr>
              <w:t>I</w:t>
            </w:r>
            <w:r>
              <w:rPr>
                <w:rFonts w:ascii="Calibri"/>
                <w:spacing w:val="-3"/>
                <w:sz w:val="22"/>
              </w:rPr>
              <w:t> </w:t>
            </w:r>
            <w:r>
              <w:rPr>
                <w:rFonts w:ascii="Calibri"/>
                <w:sz w:val="22"/>
              </w:rPr>
              <w:t>was</w:t>
            </w:r>
            <w:r>
              <w:rPr>
                <w:rFonts w:ascii="Calibri"/>
                <w:spacing w:val="-3"/>
                <w:sz w:val="22"/>
              </w:rPr>
              <w:t> </w:t>
            </w:r>
            <w:r>
              <w:rPr>
                <w:rFonts w:ascii="Calibri"/>
                <w:sz w:val="22"/>
              </w:rPr>
              <w:t>discriminated</w:t>
            </w:r>
            <w:r>
              <w:rPr>
                <w:rFonts w:ascii="Calibri"/>
                <w:spacing w:val="-5"/>
                <w:sz w:val="22"/>
              </w:rPr>
              <w:t> </w:t>
            </w:r>
            <w:r>
              <w:rPr>
                <w:rFonts w:ascii="Calibri"/>
                <w:sz w:val="22"/>
              </w:rPr>
              <w:t>against</w:t>
            </w:r>
            <w:r>
              <w:rPr>
                <w:rFonts w:ascii="Calibri"/>
                <w:spacing w:val="-2"/>
                <w:sz w:val="22"/>
              </w:rPr>
              <w:t> </w:t>
            </w:r>
            <w:r>
              <w:rPr>
                <w:rFonts w:ascii="Calibri"/>
                <w:sz w:val="22"/>
              </w:rPr>
              <w:t>based</w:t>
            </w:r>
            <w:r>
              <w:rPr>
                <w:rFonts w:ascii="Calibri"/>
                <w:spacing w:val="-6"/>
                <w:sz w:val="22"/>
              </w:rPr>
              <w:t> </w:t>
            </w:r>
            <w:r>
              <w:rPr>
                <w:rFonts w:ascii="Calibri"/>
                <w:spacing w:val="-5"/>
                <w:sz w:val="22"/>
              </w:rPr>
              <w:t>on:</w:t>
            </w:r>
          </w:p>
          <w:p>
            <w:pPr>
              <w:pStyle w:val="TableParagraph"/>
              <w:tabs>
                <w:tab w:pos="1936" w:val="left" w:leader="none"/>
                <w:tab w:pos="3628" w:val="left" w:leader="none"/>
                <w:tab w:pos="6045" w:val="left" w:leader="none"/>
              </w:tabs>
              <w:spacing w:line="321" w:lineRule="exact" w:before="1"/>
              <w:ind w:left="292"/>
              <w:rPr>
                <w:rFonts w:ascii="Calibri" w:hAnsi="Calibri"/>
                <w:sz w:val="22"/>
              </w:rPr>
            </w:pPr>
            <w:r>
              <w:rPr>
                <w:rFonts w:ascii="Calibri" w:hAnsi="Calibri"/>
                <w:b/>
                <w:sz w:val="28"/>
              </w:rPr>
              <w:t>□</w:t>
            </w:r>
            <w:r>
              <w:rPr>
                <w:rFonts w:ascii="Calibri" w:hAnsi="Calibri"/>
                <w:b/>
                <w:spacing w:val="56"/>
                <w:w w:val="150"/>
                <w:sz w:val="28"/>
              </w:rPr>
              <w:t> </w:t>
            </w:r>
            <w:r>
              <w:rPr>
                <w:rFonts w:ascii="Calibri" w:hAnsi="Calibri"/>
                <w:spacing w:val="-4"/>
                <w:sz w:val="22"/>
              </w:rPr>
              <w:t>Race</w:t>
            </w:r>
            <w:r>
              <w:rPr>
                <w:rFonts w:ascii="Calibri" w:hAnsi="Calibri"/>
                <w:sz w:val="22"/>
              </w:rPr>
              <w:tab/>
            </w:r>
            <w:r>
              <w:rPr>
                <w:rFonts w:ascii="Calibri" w:hAnsi="Calibri"/>
                <w:b/>
                <w:sz w:val="28"/>
              </w:rPr>
              <w:t>□</w:t>
            </w:r>
            <w:r>
              <w:rPr>
                <w:rFonts w:ascii="Calibri" w:hAnsi="Calibri"/>
                <w:b/>
                <w:spacing w:val="54"/>
                <w:w w:val="150"/>
                <w:sz w:val="28"/>
              </w:rPr>
              <w:t> </w:t>
            </w:r>
            <w:r>
              <w:rPr>
                <w:rFonts w:ascii="Calibri" w:hAnsi="Calibri"/>
                <w:spacing w:val="-4"/>
                <w:sz w:val="22"/>
              </w:rPr>
              <w:t>Color</w:t>
            </w:r>
            <w:r>
              <w:rPr>
                <w:rFonts w:ascii="Calibri" w:hAnsi="Calibri"/>
                <w:sz w:val="22"/>
              </w:rPr>
              <w:tab/>
            </w:r>
            <w:r>
              <w:rPr>
                <w:rFonts w:ascii="Calibri" w:hAnsi="Calibri"/>
                <w:b/>
                <w:sz w:val="28"/>
              </w:rPr>
              <w:t>□</w:t>
            </w:r>
            <w:r>
              <w:rPr>
                <w:rFonts w:ascii="Calibri" w:hAnsi="Calibri"/>
                <w:b/>
                <w:spacing w:val="49"/>
                <w:w w:val="150"/>
                <w:sz w:val="28"/>
              </w:rPr>
              <w:t> </w:t>
            </w:r>
            <w:r>
              <w:rPr>
                <w:rFonts w:ascii="Calibri" w:hAnsi="Calibri"/>
                <w:sz w:val="22"/>
              </w:rPr>
              <w:t>National</w:t>
            </w:r>
            <w:r>
              <w:rPr>
                <w:rFonts w:ascii="Calibri" w:hAnsi="Calibri"/>
                <w:spacing w:val="-1"/>
                <w:sz w:val="22"/>
              </w:rPr>
              <w:t> </w:t>
            </w:r>
            <w:r>
              <w:rPr>
                <w:rFonts w:ascii="Calibri" w:hAnsi="Calibri"/>
                <w:spacing w:val="-2"/>
                <w:sz w:val="22"/>
              </w:rPr>
              <w:t>Origin</w:t>
            </w:r>
            <w:r>
              <w:rPr>
                <w:rFonts w:ascii="Calibri" w:hAnsi="Calibri"/>
                <w:sz w:val="22"/>
              </w:rPr>
              <w:tab/>
            </w:r>
            <w:r>
              <w:rPr>
                <w:rFonts w:ascii="Calibri" w:hAnsi="Calibri"/>
                <w:b/>
                <w:sz w:val="28"/>
              </w:rPr>
              <w:t>□</w:t>
            </w:r>
            <w:r>
              <w:rPr>
                <w:rFonts w:ascii="Calibri" w:hAnsi="Calibri"/>
                <w:b/>
                <w:spacing w:val="65"/>
                <w:w w:val="150"/>
                <w:sz w:val="28"/>
              </w:rPr>
              <w:t> </w:t>
            </w:r>
            <w:r>
              <w:rPr>
                <w:rFonts w:ascii="Calibri" w:hAnsi="Calibri"/>
                <w:spacing w:val="-2"/>
                <w:sz w:val="22"/>
              </w:rPr>
              <w:t>Disability</w:t>
            </w:r>
          </w:p>
        </w:tc>
      </w:tr>
      <w:tr>
        <w:trPr>
          <w:trHeight w:val="2118" w:hRule="atLeast"/>
        </w:trPr>
        <w:tc>
          <w:tcPr>
            <w:tcW w:w="9439" w:type="dxa"/>
            <w:gridSpan w:val="4"/>
          </w:tcPr>
          <w:p>
            <w:pPr>
              <w:pStyle w:val="TableParagraph"/>
              <w:spacing w:line="240" w:lineRule="auto"/>
              <w:ind w:left="105"/>
              <w:rPr>
                <w:rFonts w:ascii="Calibri"/>
                <w:sz w:val="22"/>
              </w:rPr>
            </w:pPr>
            <w:r>
              <w:rPr>
                <w:rFonts w:ascii="Calibri"/>
                <w:sz w:val="22"/>
              </w:rPr>
              <w:t>4.</w:t>
            </w:r>
            <w:r>
              <w:rPr>
                <w:rFonts w:ascii="Calibri"/>
                <w:spacing w:val="-2"/>
                <w:sz w:val="22"/>
              </w:rPr>
              <w:t> </w:t>
            </w:r>
            <w:r>
              <w:rPr>
                <w:rFonts w:ascii="Calibri"/>
                <w:sz w:val="22"/>
              </w:rPr>
              <w:t>Please</w:t>
            </w:r>
            <w:r>
              <w:rPr>
                <w:rFonts w:ascii="Calibri"/>
                <w:spacing w:val="-4"/>
                <w:sz w:val="22"/>
              </w:rPr>
              <w:t> </w:t>
            </w:r>
            <w:r>
              <w:rPr>
                <w:rFonts w:ascii="Calibri"/>
                <w:sz w:val="22"/>
              </w:rPr>
              <w:t>provide</w:t>
            </w:r>
            <w:r>
              <w:rPr>
                <w:rFonts w:ascii="Calibri"/>
                <w:spacing w:val="-1"/>
                <w:sz w:val="22"/>
              </w:rPr>
              <w:t> </w:t>
            </w:r>
            <w:r>
              <w:rPr>
                <w:rFonts w:ascii="Calibri"/>
                <w:sz w:val="22"/>
              </w:rPr>
              <w:t>a</w:t>
            </w:r>
            <w:r>
              <w:rPr>
                <w:rFonts w:ascii="Calibri"/>
                <w:spacing w:val="-4"/>
                <w:sz w:val="22"/>
              </w:rPr>
              <w:t> </w:t>
            </w:r>
            <w:r>
              <w:rPr>
                <w:rFonts w:ascii="Calibri"/>
                <w:sz w:val="22"/>
              </w:rPr>
              <w:t>brief</w:t>
            </w:r>
            <w:r>
              <w:rPr>
                <w:rFonts w:ascii="Calibri"/>
                <w:spacing w:val="-2"/>
                <w:sz w:val="22"/>
              </w:rPr>
              <w:t> </w:t>
            </w:r>
            <w:r>
              <w:rPr>
                <w:rFonts w:ascii="Calibri"/>
                <w:sz w:val="22"/>
              </w:rPr>
              <w:t>explanation</w:t>
            </w:r>
            <w:r>
              <w:rPr>
                <w:rFonts w:ascii="Calibri"/>
                <w:spacing w:val="-3"/>
                <w:sz w:val="22"/>
              </w:rPr>
              <w:t> </w:t>
            </w:r>
            <w:r>
              <w:rPr>
                <w:rFonts w:ascii="Calibri"/>
                <w:sz w:val="22"/>
              </w:rPr>
              <w:t>of</w:t>
            </w:r>
            <w:r>
              <w:rPr>
                <w:rFonts w:ascii="Calibri"/>
                <w:spacing w:val="-2"/>
                <w:sz w:val="22"/>
              </w:rPr>
              <w:t> </w:t>
            </w:r>
            <w:r>
              <w:rPr>
                <w:rFonts w:ascii="Calibri"/>
                <w:sz w:val="22"/>
              </w:rPr>
              <w:t>the</w:t>
            </w:r>
            <w:r>
              <w:rPr>
                <w:rFonts w:ascii="Calibri"/>
                <w:spacing w:val="-4"/>
                <w:sz w:val="22"/>
              </w:rPr>
              <w:t> </w:t>
            </w:r>
            <w:r>
              <w:rPr>
                <w:rFonts w:ascii="Calibri"/>
                <w:sz w:val="22"/>
              </w:rPr>
              <w:t>incident</w:t>
            </w:r>
            <w:r>
              <w:rPr>
                <w:rFonts w:ascii="Calibri"/>
                <w:spacing w:val="-1"/>
                <w:sz w:val="22"/>
              </w:rPr>
              <w:t> </w:t>
            </w:r>
            <w:r>
              <w:rPr>
                <w:rFonts w:ascii="Calibri"/>
                <w:sz w:val="22"/>
              </w:rPr>
              <w:t>and</w:t>
            </w:r>
            <w:r>
              <w:rPr>
                <w:rFonts w:ascii="Calibri"/>
                <w:spacing w:val="-3"/>
                <w:sz w:val="22"/>
              </w:rPr>
              <w:t> </w:t>
            </w:r>
            <w:r>
              <w:rPr>
                <w:rFonts w:ascii="Calibri"/>
                <w:sz w:val="22"/>
              </w:rPr>
              <w:t>how</w:t>
            </w:r>
            <w:r>
              <w:rPr>
                <w:rFonts w:ascii="Calibri"/>
                <w:spacing w:val="-4"/>
                <w:sz w:val="22"/>
              </w:rPr>
              <w:t> </w:t>
            </w:r>
            <w:r>
              <w:rPr>
                <w:rFonts w:ascii="Calibri"/>
                <w:sz w:val="22"/>
              </w:rPr>
              <w:t>you</w:t>
            </w:r>
            <w:r>
              <w:rPr>
                <w:rFonts w:ascii="Calibri"/>
                <w:spacing w:val="-3"/>
                <w:sz w:val="22"/>
              </w:rPr>
              <w:t> </w:t>
            </w:r>
            <w:r>
              <w:rPr>
                <w:rFonts w:ascii="Calibri"/>
                <w:sz w:val="22"/>
              </w:rPr>
              <w:t>feel</w:t>
            </w:r>
            <w:r>
              <w:rPr>
                <w:rFonts w:ascii="Calibri"/>
                <w:spacing w:val="-5"/>
                <w:sz w:val="22"/>
              </w:rPr>
              <w:t> </w:t>
            </w:r>
            <w:r>
              <w:rPr>
                <w:rFonts w:ascii="Calibri"/>
                <w:sz w:val="22"/>
              </w:rPr>
              <w:t>you</w:t>
            </w:r>
            <w:r>
              <w:rPr>
                <w:rFonts w:ascii="Calibri"/>
                <w:spacing w:val="-3"/>
                <w:sz w:val="22"/>
              </w:rPr>
              <w:t> </w:t>
            </w:r>
            <w:r>
              <w:rPr>
                <w:rFonts w:ascii="Calibri"/>
                <w:sz w:val="22"/>
              </w:rPr>
              <w:t>were</w:t>
            </w:r>
            <w:r>
              <w:rPr>
                <w:rFonts w:ascii="Calibri"/>
                <w:spacing w:val="-4"/>
                <w:sz w:val="22"/>
              </w:rPr>
              <w:t> </w:t>
            </w:r>
            <w:r>
              <w:rPr>
                <w:rFonts w:ascii="Calibri"/>
                <w:sz w:val="22"/>
              </w:rPr>
              <w:t>discriminated</w:t>
            </w:r>
            <w:r>
              <w:rPr>
                <w:rFonts w:ascii="Calibri"/>
                <w:spacing w:val="-3"/>
                <w:sz w:val="22"/>
              </w:rPr>
              <w:t> </w:t>
            </w:r>
            <w:r>
              <w:rPr>
                <w:rFonts w:ascii="Calibri"/>
                <w:sz w:val="22"/>
              </w:rPr>
              <w:t>against, including how you feel others may have been treated differently than you. If you require additional space or have additional written material pertaining to your complaint, please attach to this form.</w:t>
            </w:r>
          </w:p>
        </w:tc>
      </w:tr>
      <w:tr>
        <w:trPr>
          <w:trHeight w:val="1554" w:hRule="atLeast"/>
        </w:trPr>
        <w:tc>
          <w:tcPr>
            <w:tcW w:w="9439" w:type="dxa"/>
            <w:gridSpan w:val="4"/>
          </w:tcPr>
          <w:p>
            <w:pPr>
              <w:pStyle w:val="TableParagraph"/>
              <w:spacing w:line="268" w:lineRule="exact"/>
              <w:ind w:left="105"/>
              <w:rPr>
                <w:rFonts w:ascii="Calibri"/>
                <w:sz w:val="22"/>
              </w:rPr>
            </w:pPr>
            <w:r>
              <w:rPr>
                <w:rFonts w:ascii="Calibri"/>
                <w:sz w:val="22"/>
              </w:rPr>
              <w:t>5.</w:t>
            </w:r>
            <w:r>
              <w:rPr>
                <w:rFonts w:ascii="Calibri"/>
                <w:spacing w:val="-3"/>
                <w:sz w:val="22"/>
              </w:rPr>
              <w:t> </w:t>
            </w:r>
            <w:r>
              <w:rPr>
                <w:rFonts w:ascii="Calibri"/>
                <w:sz w:val="22"/>
              </w:rPr>
              <w:t>Why</w:t>
            </w:r>
            <w:r>
              <w:rPr>
                <w:rFonts w:ascii="Calibri"/>
                <w:spacing w:val="-4"/>
                <w:sz w:val="22"/>
              </w:rPr>
              <w:t> </w:t>
            </w:r>
            <w:r>
              <w:rPr>
                <w:rFonts w:ascii="Calibri"/>
                <w:sz w:val="22"/>
              </w:rPr>
              <w:t>do</w:t>
            </w:r>
            <w:r>
              <w:rPr>
                <w:rFonts w:ascii="Calibri"/>
                <w:spacing w:val="-4"/>
                <w:sz w:val="22"/>
              </w:rPr>
              <w:t> </w:t>
            </w:r>
            <w:r>
              <w:rPr>
                <w:rFonts w:ascii="Calibri"/>
                <w:sz w:val="22"/>
              </w:rPr>
              <w:t>you</w:t>
            </w:r>
            <w:r>
              <w:rPr>
                <w:rFonts w:ascii="Calibri"/>
                <w:spacing w:val="-4"/>
                <w:sz w:val="22"/>
              </w:rPr>
              <w:t> </w:t>
            </w:r>
            <w:r>
              <w:rPr>
                <w:rFonts w:ascii="Calibri"/>
                <w:sz w:val="22"/>
              </w:rPr>
              <w:t>believe</w:t>
            </w:r>
            <w:r>
              <w:rPr>
                <w:rFonts w:ascii="Calibri"/>
                <w:spacing w:val="-5"/>
                <w:sz w:val="22"/>
              </w:rPr>
              <w:t> </w:t>
            </w:r>
            <w:r>
              <w:rPr>
                <w:rFonts w:ascii="Calibri"/>
                <w:sz w:val="22"/>
              </w:rPr>
              <w:t>discrimination</w:t>
            </w:r>
            <w:r>
              <w:rPr>
                <w:rFonts w:ascii="Calibri"/>
                <w:spacing w:val="-3"/>
                <w:sz w:val="22"/>
              </w:rPr>
              <w:t> </w:t>
            </w:r>
            <w:r>
              <w:rPr>
                <w:rFonts w:ascii="Calibri"/>
                <w:spacing w:val="-2"/>
                <w:sz w:val="22"/>
              </w:rPr>
              <w:t>occurred?</w:t>
            </w:r>
          </w:p>
        </w:tc>
      </w:tr>
      <w:tr>
        <w:trPr>
          <w:trHeight w:val="1314" w:hRule="atLeast"/>
        </w:trPr>
        <w:tc>
          <w:tcPr>
            <w:tcW w:w="9439" w:type="dxa"/>
            <w:gridSpan w:val="4"/>
          </w:tcPr>
          <w:p>
            <w:pPr>
              <w:pStyle w:val="TableParagraph"/>
              <w:spacing w:line="268" w:lineRule="exact"/>
              <w:ind w:left="105"/>
              <w:rPr>
                <w:rFonts w:ascii="Calibri"/>
                <w:sz w:val="22"/>
              </w:rPr>
            </w:pPr>
            <w:r>
              <w:rPr>
                <w:rFonts w:ascii="Calibri"/>
                <w:sz w:val="22"/>
              </w:rPr>
              <w:t>6.</w:t>
            </w:r>
            <w:r>
              <w:rPr>
                <w:rFonts w:ascii="Calibri"/>
                <w:spacing w:val="-3"/>
                <w:sz w:val="22"/>
              </w:rPr>
              <w:t> </w:t>
            </w:r>
            <w:r>
              <w:rPr>
                <w:rFonts w:ascii="Calibri"/>
                <w:sz w:val="22"/>
              </w:rPr>
              <w:t>What</w:t>
            </w:r>
            <w:r>
              <w:rPr>
                <w:rFonts w:ascii="Calibri"/>
                <w:spacing w:val="-5"/>
                <w:sz w:val="22"/>
              </w:rPr>
              <w:t> </w:t>
            </w:r>
            <w:r>
              <w:rPr>
                <w:rFonts w:ascii="Calibri"/>
                <w:sz w:val="22"/>
              </w:rPr>
              <w:t>remedy</w:t>
            </w:r>
            <w:r>
              <w:rPr>
                <w:rFonts w:ascii="Calibri"/>
                <w:spacing w:val="-2"/>
                <w:sz w:val="22"/>
              </w:rPr>
              <w:t> </w:t>
            </w:r>
            <w:r>
              <w:rPr>
                <w:rFonts w:ascii="Calibri"/>
                <w:sz w:val="22"/>
              </w:rPr>
              <w:t>are</w:t>
            </w:r>
            <w:r>
              <w:rPr>
                <w:rFonts w:ascii="Calibri"/>
                <w:spacing w:val="-5"/>
                <w:sz w:val="22"/>
              </w:rPr>
              <w:t> </w:t>
            </w:r>
            <w:r>
              <w:rPr>
                <w:rFonts w:ascii="Calibri"/>
                <w:sz w:val="22"/>
              </w:rPr>
              <w:t>you</w:t>
            </w:r>
            <w:r>
              <w:rPr>
                <w:rFonts w:ascii="Calibri"/>
                <w:spacing w:val="-4"/>
                <w:sz w:val="22"/>
              </w:rPr>
              <w:t> </w:t>
            </w:r>
            <w:r>
              <w:rPr>
                <w:rFonts w:ascii="Calibri"/>
                <w:sz w:val="22"/>
              </w:rPr>
              <w:t>requesting?</w:t>
            </w:r>
            <w:r>
              <w:rPr>
                <w:rFonts w:ascii="Calibri"/>
                <w:spacing w:val="-2"/>
                <w:sz w:val="22"/>
              </w:rPr>
              <w:t> </w:t>
            </w:r>
            <w:r>
              <w:rPr>
                <w:rFonts w:ascii="Calibri"/>
                <w:sz w:val="22"/>
              </w:rPr>
              <w:t>Be</w:t>
            </w:r>
            <w:r>
              <w:rPr>
                <w:rFonts w:ascii="Calibri"/>
                <w:spacing w:val="-4"/>
                <w:sz w:val="22"/>
              </w:rPr>
              <w:t> </w:t>
            </w:r>
            <w:r>
              <w:rPr>
                <w:rFonts w:ascii="Calibri"/>
                <w:spacing w:val="-2"/>
                <w:sz w:val="22"/>
              </w:rPr>
              <w:t>specific.</w:t>
            </w:r>
          </w:p>
        </w:tc>
      </w:tr>
    </w:tbl>
    <w:p>
      <w:pPr>
        <w:spacing w:after="0" w:line="268" w:lineRule="exact"/>
        <w:rPr>
          <w:rFonts w:ascii="Calibri"/>
          <w:sz w:val="22"/>
        </w:rPr>
        <w:sectPr>
          <w:pgSz w:w="12240" w:h="15840"/>
          <w:pgMar w:header="0" w:footer="997" w:top="1280" w:bottom="1200" w:left="600" w:right="500"/>
        </w:sectPr>
      </w:pPr>
    </w:p>
    <w:tbl>
      <w:tblPr>
        <w:tblW w:w="0" w:type="auto"/>
        <w:jc w:val="left"/>
        <w:tblInd w:w="8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0"/>
        <w:gridCol w:w="2148"/>
        <w:gridCol w:w="1519"/>
        <w:gridCol w:w="2532"/>
      </w:tblGrid>
      <w:tr>
        <w:trPr>
          <w:trHeight w:val="537" w:hRule="atLeast"/>
        </w:trPr>
        <w:tc>
          <w:tcPr>
            <w:tcW w:w="9439" w:type="dxa"/>
            <w:gridSpan w:val="4"/>
          </w:tcPr>
          <w:p>
            <w:pPr>
              <w:pStyle w:val="TableParagraph"/>
              <w:spacing w:line="268" w:lineRule="exact"/>
              <w:ind w:left="105"/>
              <w:rPr>
                <w:rFonts w:ascii="Calibri"/>
                <w:sz w:val="22"/>
              </w:rPr>
            </w:pPr>
            <w:r>
              <w:rPr>
                <w:rFonts w:ascii="Calibri"/>
                <w:sz w:val="22"/>
              </w:rPr>
              <w:t>7.</w:t>
            </w:r>
            <w:r>
              <w:rPr>
                <w:rFonts w:ascii="Calibri"/>
                <w:spacing w:val="-4"/>
                <w:sz w:val="22"/>
              </w:rPr>
              <w:t> </w:t>
            </w:r>
            <w:r>
              <w:rPr>
                <w:rFonts w:ascii="Calibri"/>
                <w:sz w:val="22"/>
              </w:rPr>
              <w:t>Please</w:t>
            </w:r>
            <w:r>
              <w:rPr>
                <w:rFonts w:ascii="Calibri"/>
                <w:spacing w:val="-5"/>
                <w:sz w:val="22"/>
              </w:rPr>
              <w:t> </w:t>
            </w:r>
            <w:r>
              <w:rPr>
                <w:rFonts w:ascii="Calibri"/>
                <w:sz w:val="22"/>
              </w:rPr>
              <w:t>list</w:t>
            </w:r>
            <w:r>
              <w:rPr>
                <w:rFonts w:ascii="Calibri"/>
                <w:spacing w:val="-2"/>
                <w:sz w:val="22"/>
              </w:rPr>
              <w:t> </w:t>
            </w:r>
            <w:r>
              <w:rPr>
                <w:rFonts w:ascii="Calibri"/>
                <w:sz w:val="22"/>
              </w:rPr>
              <w:t>any</w:t>
            </w:r>
            <w:r>
              <w:rPr>
                <w:rFonts w:ascii="Calibri"/>
                <w:spacing w:val="-2"/>
                <w:sz w:val="22"/>
              </w:rPr>
              <w:t> </w:t>
            </w:r>
            <w:r>
              <w:rPr>
                <w:rFonts w:ascii="Calibri"/>
                <w:sz w:val="22"/>
              </w:rPr>
              <w:t>person(s)</w:t>
            </w:r>
            <w:r>
              <w:rPr>
                <w:rFonts w:ascii="Calibri"/>
                <w:spacing w:val="-7"/>
                <w:sz w:val="22"/>
              </w:rPr>
              <w:t> </w:t>
            </w:r>
            <w:r>
              <w:rPr>
                <w:rFonts w:ascii="Calibri"/>
                <w:sz w:val="22"/>
              </w:rPr>
              <w:t>we</w:t>
            </w:r>
            <w:r>
              <w:rPr>
                <w:rFonts w:ascii="Calibri"/>
                <w:spacing w:val="-5"/>
                <w:sz w:val="22"/>
              </w:rPr>
              <w:t> </w:t>
            </w:r>
            <w:r>
              <w:rPr>
                <w:rFonts w:ascii="Calibri"/>
                <w:sz w:val="22"/>
              </w:rPr>
              <w:t>may</w:t>
            </w:r>
            <w:r>
              <w:rPr>
                <w:rFonts w:ascii="Calibri"/>
                <w:spacing w:val="-4"/>
                <w:sz w:val="22"/>
              </w:rPr>
              <w:t> </w:t>
            </w:r>
            <w:r>
              <w:rPr>
                <w:rFonts w:ascii="Calibri"/>
                <w:sz w:val="22"/>
              </w:rPr>
              <w:t>contact</w:t>
            </w:r>
            <w:r>
              <w:rPr>
                <w:rFonts w:ascii="Calibri"/>
                <w:spacing w:val="-5"/>
                <w:sz w:val="22"/>
              </w:rPr>
              <w:t> </w:t>
            </w:r>
            <w:r>
              <w:rPr>
                <w:rFonts w:ascii="Calibri"/>
                <w:sz w:val="22"/>
              </w:rPr>
              <w:t>for</w:t>
            </w:r>
            <w:r>
              <w:rPr>
                <w:rFonts w:ascii="Calibri"/>
                <w:spacing w:val="-4"/>
                <w:sz w:val="22"/>
              </w:rPr>
              <w:t> </w:t>
            </w:r>
            <w:r>
              <w:rPr>
                <w:rFonts w:ascii="Calibri"/>
                <w:sz w:val="22"/>
              </w:rPr>
              <w:t>additional</w:t>
            </w:r>
            <w:r>
              <w:rPr>
                <w:rFonts w:ascii="Calibri"/>
                <w:spacing w:val="-4"/>
                <w:sz w:val="22"/>
              </w:rPr>
              <w:t> </w:t>
            </w:r>
            <w:r>
              <w:rPr>
                <w:rFonts w:ascii="Calibri"/>
                <w:sz w:val="22"/>
              </w:rPr>
              <w:t>information</w:t>
            </w:r>
            <w:r>
              <w:rPr>
                <w:rFonts w:ascii="Calibri"/>
                <w:spacing w:val="-5"/>
                <w:sz w:val="22"/>
              </w:rPr>
              <w:t> </w:t>
            </w:r>
            <w:r>
              <w:rPr>
                <w:rFonts w:ascii="Calibri"/>
                <w:sz w:val="22"/>
              </w:rPr>
              <w:t>to</w:t>
            </w:r>
            <w:r>
              <w:rPr>
                <w:rFonts w:ascii="Calibri"/>
                <w:spacing w:val="-3"/>
                <w:sz w:val="22"/>
              </w:rPr>
              <w:t> </w:t>
            </w:r>
            <w:r>
              <w:rPr>
                <w:rFonts w:ascii="Calibri"/>
                <w:sz w:val="22"/>
              </w:rPr>
              <w:t>support</w:t>
            </w:r>
            <w:r>
              <w:rPr>
                <w:rFonts w:ascii="Calibri"/>
                <w:spacing w:val="-6"/>
                <w:sz w:val="22"/>
              </w:rPr>
              <w:t> </w:t>
            </w:r>
            <w:r>
              <w:rPr>
                <w:rFonts w:ascii="Calibri"/>
                <w:sz w:val="22"/>
              </w:rPr>
              <w:t>or</w:t>
            </w:r>
            <w:r>
              <w:rPr>
                <w:rFonts w:ascii="Calibri"/>
                <w:spacing w:val="-3"/>
                <w:sz w:val="22"/>
              </w:rPr>
              <w:t> </w:t>
            </w:r>
            <w:r>
              <w:rPr>
                <w:rFonts w:ascii="Calibri"/>
                <w:sz w:val="22"/>
              </w:rPr>
              <w:t>clarify</w:t>
            </w:r>
            <w:r>
              <w:rPr>
                <w:rFonts w:ascii="Calibri"/>
                <w:spacing w:val="-4"/>
                <w:sz w:val="22"/>
              </w:rPr>
              <w:t> your</w:t>
            </w:r>
          </w:p>
          <w:p>
            <w:pPr>
              <w:pStyle w:val="TableParagraph"/>
              <w:spacing w:line="249" w:lineRule="exact"/>
              <w:ind w:left="105"/>
              <w:rPr>
                <w:rFonts w:ascii="Calibri"/>
                <w:sz w:val="22"/>
              </w:rPr>
            </w:pPr>
            <w:r>
              <w:rPr>
                <w:rFonts w:ascii="Calibri"/>
                <w:spacing w:val="-2"/>
                <w:sz w:val="22"/>
              </w:rPr>
              <w:t>complaint.</w:t>
            </w:r>
          </w:p>
        </w:tc>
      </w:tr>
      <w:tr>
        <w:trPr>
          <w:trHeight w:val="611" w:hRule="atLeast"/>
        </w:trPr>
        <w:tc>
          <w:tcPr>
            <w:tcW w:w="5388" w:type="dxa"/>
            <w:gridSpan w:val="2"/>
          </w:tcPr>
          <w:p>
            <w:pPr>
              <w:pStyle w:val="TableParagraph"/>
              <w:spacing w:line="268" w:lineRule="exact"/>
              <w:ind w:left="105"/>
              <w:rPr>
                <w:rFonts w:ascii="Calibri"/>
                <w:sz w:val="22"/>
              </w:rPr>
            </w:pPr>
            <w:r>
              <w:rPr>
                <w:rFonts w:ascii="Calibri"/>
                <w:spacing w:val="-2"/>
                <w:sz w:val="22"/>
              </w:rPr>
              <w:t>Name:</w:t>
            </w:r>
          </w:p>
        </w:tc>
        <w:tc>
          <w:tcPr>
            <w:tcW w:w="4051" w:type="dxa"/>
            <w:gridSpan w:val="2"/>
          </w:tcPr>
          <w:p>
            <w:pPr>
              <w:pStyle w:val="TableParagraph"/>
              <w:spacing w:line="268" w:lineRule="exact"/>
              <w:ind w:left="105"/>
              <w:rPr>
                <w:rFonts w:ascii="Calibri"/>
                <w:sz w:val="22"/>
              </w:rPr>
            </w:pPr>
            <w:r>
              <w:rPr>
                <w:rFonts w:ascii="Calibri"/>
                <w:spacing w:val="-2"/>
                <w:sz w:val="22"/>
              </w:rPr>
              <w:t>Phone:</w:t>
            </w:r>
          </w:p>
        </w:tc>
      </w:tr>
      <w:tr>
        <w:trPr>
          <w:trHeight w:val="690" w:hRule="atLeast"/>
        </w:trPr>
        <w:tc>
          <w:tcPr>
            <w:tcW w:w="3240" w:type="dxa"/>
          </w:tcPr>
          <w:p>
            <w:pPr>
              <w:pStyle w:val="TableParagraph"/>
              <w:spacing w:line="268" w:lineRule="exact"/>
              <w:ind w:left="105"/>
              <w:rPr>
                <w:rFonts w:ascii="Calibri"/>
                <w:sz w:val="22"/>
              </w:rPr>
            </w:pPr>
            <w:r>
              <w:rPr>
                <w:rFonts w:ascii="Calibri"/>
                <w:spacing w:val="-2"/>
                <w:sz w:val="22"/>
              </w:rPr>
              <w:t>Address:</w:t>
            </w:r>
          </w:p>
        </w:tc>
        <w:tc>
          <w:tcPr>
            <w:tcW w:w="2148" w:type="dxa"/>
          </w:tcPr>
          <w:p>
            <w:pPr>
              <w:pStyle w:val="TableParagraph"/>
              <w:spacing w:line="268" w:lineRule="exact"/>
              <w:ind w:left="107"/>
              <w:rPr>
                <w:rFonts w:ascii="Calibri"/>
                <w:sz w:val="22"/>
              </w:rPr>
            </w:pPr>
            <w:r>
              <w:rPr>
                <w:rFonts w:ascii="Calibri"/>
                <w:spacing w:val="-2"/>
                <w:sz w:val="22"/>
              </w:rPr>
              <w:t>City:</w:t>
            </w:r>
          </w:p>
        </w:tc>
        <w:tc>
          <w:tcPr>
            <w:tcW w:w="1519" w:type="dxa"/>
          </w:tcPr>
          <w:p>
            <w:pPr>
              <w:pStyle w:val="TableParagraph"/>
              <w:spacing w:line="268" w:lineRule="exact"/>
              <w:ind w:left="105"/>
              <w:rPr>
                <w:rFonts w:ascii="Calibri"/>
                <w:sz w:val="22"/>
              </w:rPr>
            </w:pPr>
            <w:r>
              <w:rPr>
                <w:rFonts w:ascii="Calibri"/>
                <w:spacing w:val="-2"/>
                <w:sz w:val="22"/>
              </w:rPr>
              <w:t>State:</w:t>
            </w:r>
          </w:p>
        </w:tc>
        <w:tc>
          <w:tcPr>
            <w:tcW w:w="2532" w:type="dxa"/>
          </w:tcPr>
          <w:p>
            <w:pPr>
              <w:pStyle w:val="TableParagraph"/>
              <w:spacing w:line="268" w:lineRule="exact"/>
              <w:ind w:left="108"/>
              <w:rPr>
                <w:rFonts w:ascii="Calibri"/>
                <w:sz w:val="22"/>
              </w:rPr>
            </w:pPr>
            <w:r>
              <w:rPr>
                <w:rFonts w:ascii="Calibri"/>
                <w:spacing w:val="-4"/>
                <w:sz w:val="22"/>
              </w:rPr>
              <w:t>Zip:</w:t>
            </w:r>
          </w:p>
        </w:tc>
      </w:tr>
      <w:tr>
        <w:trPr>
          <w:trHeight w:val="268" w:hRule="atLeast"/>
        </w:trPr>
        <w:tc>
          <w:tcPr>
            <w:tcW w:w="9439" w:type="dxa"/>
            <w:gridSpan w:val="4"/>
            <w:shd w:val="clear" w:color="auto" w:fill="D9D9D9"/>
          </w:tcPr>
          <w:p>
            <w:pPr>
              <w:pStyle w:val="TableParagraph"/>
              <w:spacing w:line="248" w:lineRule="exact"/>
              <w:ind w:left="4190" w:right="4184"/>
              <w:jc w:val="center"/>
              <w:rPr>
                <w:rFonts w:ascii="Calibri"/>
                <w:b/>
                <w:sz w:val="22"/>
              </w:rPr>
            </w:pPr>
            <w:r>
              <w:rPr>
                <w:rFonts w:ascii="Calibri"/>
                <w:b/>
                <w:sz w:val="22"/>
              </w:rPr>
              <w:t>SECTION</w:t>
            </w:r>
            <w:r>
              <w:rPr>
                <w:rFonts w:ascii="Calibri"/>
                <w:b/>
                <w:spacing w:val="-4"/>
                <w:sz w:val="22"/>
              </w:rPr>
              <w:t> </w:t>
            </w:r>
            <w:r>
              <w:rPr>
                <w:rFonts w:ascii="Calibri"/>
                <w:b/>
                <w:spacing w:val="-5"/>
                <w:sz w:val="22"/>
              </w:rPr>
              <w:t>IV</w:t>
            </w:r>
          </w:p>
        </w:tc>
      </w:tr>
      <w:tr>
        <w:trPr>
          <w:trHeight w:val="611" w:hRule="atLeast"/>
        </w:trPr>
        <w:tc>
          <w:tcPr>
            <w:tcW w:w="9439" w:type="dxa"/>
            <w:gridSpan w:val="4"/>
          </w:tcPr>
          <w:p>
            <w:pPr>
              <w:pStyle w:val="TableParagraph"/>
              <w:spacing w:line="268" w:lineRule="exact"/>
              <w:ind w:left="105"/>
              <w:rPr>
                <w:rFonts w:ascii="Calibri"/>
                <w:sz w:val="22"/>
              </w:rPr>
            </w:pPr>
            <w:r>
              <w:rPr>
                <w:rFonts w:ascii="Calibri"/>
                <w:sz w:val="22"/>
              </w:rPr>
              <w:t>1.</w:t>
            </w:r>
            <w:r>
              <w:rPr>
                <w:rFonts w:ascii="Calibri"/>
                <w:spacing w:val="-5"/>
                <w:sz w:val="22"/>
              </w:rPr>
              <w:t> </w:t>
            </w:r>
            <w:r>
              <w:rPr>
                <w:rFonts w:ascii="Calibri"/>
                <w:sz w:val="22"/>
              </w:rPr>
              <w:t>Have</w:t>
            </w:r>
            <w:r>
              <w:rPr>
                <w:rFonts w:ascii="Calibri"/>
                <w:spacing w:val="-2"/>
                <w:sz w:val="22"/>
              </w:rPr>
              <w:t> </w:t>
            </w:r>
            <w:r>
              <w:rPr>
                <w:rFonts w:ascii="Calibri"/>
                <w:sz w:val="22"/>
              </w:rPr>
              <w:t>you</w:t>
            </w:r>
            <w:r>
              <w:rPr>
                <w:rFonts w:ascii="Calibri"/>
                <w:spacing w:val="-4"/>
                <w:sz w:val="22"/>
              </w:rPr>
              <w:t> </w:t>
            </w:r>
            <w:r>
              <w:rPr>
                <w:rFonts w:ascii="Calibri"/>
                <w:sz w:val="22"/>
              </w:rPr>
              <w:t>previously</w:t>
            </w:r>
            <w:r>
              <w:rPr>
                <w:rFonts w:ascii="Calibri"/>
                <w:spacing w:val="-2"/>
                <w:sz w:val="22"/>
              </w:rPr>
              <w:t> </w:t>
            </w:r>
            <w:r>
              <w:rPr>
                <w:rFonts w:ascii="Calibri"/>
                <w:sz w:val="22"/>
              </w:rPr>
              <w:t>filed</w:t>
            </w:r>
            <w:r>
              <w:rPr>
                <w:rFonts w:ascii="Calibri"/>
                <w:spacing w:val="-4"/>
                <w:sz w:val="22"/>
              </w:rPr>
              <w:t> </w:t>
            </w:r>
            <w:r>
              <w:rPr>
                <w:rFonts w:ascii="Calibri"/>
                <w:sz w:val="22"/>
              </w:rPr>
              <w:t>a</w:t>
            </w:r>
            <w:r>
              <w:rPr>
                <w:rFonts w:ascii="Calibri"/>
                <w:spacing w:val="-3"/>
                <w:sz w:val="22"/>
              </w:rPr>
              <w:t> </w:t>
            </w:r>
            <w:r>
              <w:rPr>
                <w:rFonts w:ascii="Calibri"/>
                <w:sz w:val="22"/>
              </w:rPr>
              <w:t>Title</w:t>
            </w:r>
            <w:r>
              <w:rPr>
                <w:rFonts w:ascii="Calibri"/>
                <w:spacing w:val="-5"/>
                <w:sz w:val="22"/>
              </w:rPr>
              <w:t> </w:t>
            </w:r>
            <w:r>
              <w:rPr>
                <w:rFonts w:ascii="Calibri"/>
                <w:sz w:val="22"/>
              </w:rPr>
              <w:t>VI</w:t>
            </w:r>
            <w:r>
              <w:rPr>
                <w:rFonts w:ascii="Calibri"/>
                <w:spacing w:val="-3"/>
                <w:sz w:val="22"/>
              </w:rPr>
              <w:t> </w:t>
            </w:r>
            <w:r>
              <w:rPr>
                <w:rFonts w:ascii="Calibri"/>
                <w:sz w:val="22"/>
              </w:rPr>
              <w:t>Complaint</w:t>
            </w:r>
            <w:r>
              <w:rPr>
                <w:rFonts w:ascii="Calibri"/>
                <w:spacing w:val="-4"/>
                <w:sz w:val="22"/>
              </w:rPr>
              <w:t> </w:t>
            </w:r>
            <w:r>
              <w:rPr>
                <w:rFonts w:ascii="Calibri"/>
                <w:sz w:val="22"/>
              </w:rPr>
              <w:t>with</w:t>
            </w:r>
            <w:r>
              <w:rPr>
                <w:rFonts w:ascii="Calibri"/>
                <w:spacing w:val="-6"/>
                <w:sz w:val="22"/>
              </w:rPr>
              <w:t> </w:t>
            </w:r>
            <w:r>
              <w:rPr>
                <w:rFonts w:ascii="Calibri"/>
                <w:sz w:val="22"/>
              </w:rPr>
              <w:t>the</w:t>
            </w:r>
            <w:r>
              <w:rPr>
                <w:rFonts w:ascii="Calibri"/>
                <w:spacing w:val="-2"/>
                <w:sz w:val="22"/>
              </w:rPr>
              <w:t> </w:t>
            </w:r>
            <w:r>
              <w:rPr>
                <w:rFonts w:ascii="Calibri"/>
                <w:sz w:val="22"/>
              </w:rPr>
              <w:t>Maine</w:t>
            </w:r>
            <w:r>
              <w:rPr>
                <w:rFonts w:ascii="Calibri"/>
                <w:spacing w:val="-5"/>
                <w:sz w:val="22"/>
              </w:rPr>
              <w:t> </w:t>
            </w:r>
            <w:r>
              <w:rPr>
                <w:rFonts w:ascii="Calibri"/>
                <w:sz w:val="22"/>
              </w:rPr>
              <w:t>Department</w:t>
            </w:r>
            <w:r>
              <w:rPr>
                <w:rFonts w:ascii="Calibri"/>
                <w:spacing w:val="-5"/>
                <w:sz w:val="22"/>
              </w:rPr>
              <w:t> </w:t>
            </w:r>
            <w:r>
              <w:rPr>
                <w:rFonts w:ascii="Calibri"/>
                <w:sz w:val="22"/>
              </w:rPr>
              <w:t>of</w:t>
            </w:r>
            <w:r>
              <w:rPr>
                <w:rFonts w:ascii="Calibri"/>
                <w:spacing w:val="-4"/>
                <w:sz w:val="22"/>
              </w:rPr>
              <w:t> </w:t>
            </w:r>
            <w:r>
              <w:rPr>
                <w:rFonts w:ascii="Calibri"/>
                <w:spacing w:val="-2"/>
                <w:sz w:val="22"/>
              </w:rPr>
              <w:t>Transportation?</w:t>
            </w:r>
          </w:p>
          <w:p>
            <w:pPr>
              <w:pStyle w:val="TableParagraph"/>
              <w:tabs>
                <w:tab w:pos="1722" w:val="left" w:leader="none"/>
              </w:tabs>
              <w:spacing w:line="323" w:lineRule="exact"/>
              <w:ind w:left="304"/>
              <w:rPr>
                <w:rFonts w:ascii="Calibri" w:hAnsi="Calibri"/>
                <w:sz w:val="22"/>
              </w:rPr>
            </w:pPr>
            <w:r>
              <w:rPr>
                <w:rFonts w:ascii="Calibri" w:hAnsi="Calibri"/>
                <w:b/>
                <w:sz w:val="28"/>
              </w:rPr>
              <w:t>□</w:t>
            </w:r>
            <w:r>
              <w:rPr>
                <w:rFonts w:ascii="Calibri" w:hAnsi="Calibri"/>
                <w:b/>
                <w:spacing w:val="54"/>
                <w:w w:val="150"/>
                <w:sz w:val="28"/>
              </w:rPr>
              <w:t> </w:t>
            </w:r>
            <w:r>
              <w:rPr>
                <w:rFonts w:ascii="Calibri" w:hAnsi="Calibri"/>
                <w:spacing w:val="-5"/>
                <w:sz w:val="22"/>
              </w:rPr>
              <w:t>Yes</w:t>
            </w:r>
            <w:r>
              <w:rPr>
                <w:rFonts w:ascii="Calibri" w:hAnsi="Calibri"/>
                <w:sz w:val="22"/>
              </w:rPr>
              <w:tab/>
            </w:r>
            <w:r>
              <w:rPr>
                <w:rFonts w:ascii="Calibri" w:hAnsi="Calibri"/>
                <w:b/>
                <w:sz w:val="28"/>
              </w:rPr>
              <w:t>□</w:t>
            </w:r>
            <w:r>
              <w:rPr>
                <w:rFonts w:ascii="Calibri" w:hAnsi="Calibri"/>
                <w:b/>
                <w:spacing w:val="30"/>
                <w:sz w:val="28"/>
              </w:rPr>
              <w:t>  </w:t>
            </w:r>
            <w:r>
              <w:rPr>
                <w:rFonts w:ascii="Calibri" w:hAnsi="Calibri"/>
                <w:spacing w:val="-5"/>
                <w:sz w:val="22"/>
              </w:rPr>
              <w:t>No</w:t>
            </w:r>
          </w:p>
        </w:tc>
      </w:tr>
      <w:tr>
        <w:trPr>
          <w:trHeight w:val="877" w:hRule="atLeast"/>
        </w:trPr>
        <w:tc>
          <w:tcPr>
            <w:tcW w:w="9439" w:type="dxa"/>
            <w:gridSpan w:val="4"/>
          </w:tcPr>
          <w:p>
            <w:pPr>
              <w:pStyle w:val="TableParagraph"/>
              <w:spacing w:line="240" w:lineRule="auto"/>
              <w:ind w:left="105"/>
              <w:rPr>
                <w:rFonts w:ascii="Calibri"/>
                <w:sz w:val="22"/>
              </w:rPr>
            </w:pPr>
            <w:r>
              <w:rPr>
                <w:rFonts w:ascii="Calibri"/>
                <w:sz w:val="22"/>
              </w:rPr>
              <w:t>2.</w:t>
            </w:r>
            <w:r>
              <w:rPr>
                <w:rFonts w:ascii="Calibri"/>
                <w:spacing w:val="-2"/>
                <w:sz w:val="22"/>
              </w:rPr>
              <w:t> </w:t>
            </w:r>
            <w:r>
              <w:rPr>
                <w:rFonts w:ascii="Calibri"/>
                <w:sz w:val="22"/>
              </w:rPr>
              <w:t>Have</w:t>
            </w:r>
            <w:r>
              <w:rPr>
                <w:rFonts w:ascii="Calibri"/>
                <w:spacing w:val="-1"/>
                <w:sz w:val="22"/>
              </w:rPr>
              <w:t> </w:t>
            </w:r>
            <w:r>
              <w:rPr>
                <w:rFonts w:ascii="Calibri"/>
                <w:sz w:val="22"/>
              </w:rPr>
              <w:t>you</w:t>
            </w:r>
            <w:r>
              <w:rPr>
                <w:rFonts w:ascii="Calibri"/>
                <w:spacing w:val="-3"/>
                <w:sz w:val="22"/>
              </w:rPr>
              <w:t> </w:t>
            </w:r>
            <w:r>
              <w:rPr>
                <w:rFonts w:ascii="Calibri"/>
                <w:sz w:val="22"/>
              </w:rPr>
              <w:t>filed</w:t>
            </w:r>
            <w:r>
              <w:rPr>
                <w:rFonts w:ascii="Calibri"/>
                <w:spacing w:val="-3"/>
                <w:sz w:val="22"/>
              </w:rPr>
              <w:t> </w:t>
            </w:r>
            <w:r>
              <w:rPr>
                <w:rFonts w:ascii="Calibri"/>
                <w:sz w:val="22"/>
              </w:rPr>
              <w:t>this</w:t>
            </w:r>
            <w:r>
              <w:rPr>
                <w:rFonts w:ascii="Calibri"/>
                <w:spacing w:val="-2"/>
                <w:sz w:val="22"/>
              </w:rPr>
              <w:t> </w:t>
            </w:r>
            <w:r>
              <w:rPr>
                <w:rFonts w:ascii="Calibri"/>
                <w:sz w:val="22"/>
              </w:rPr>
              <w:t>complaint</w:t>
            </w:r>
            <w:r>
              <w:rPr>
                <w:rFonts w:ascii="Calibri"/>
                <w:spacing w:val="-1"/>
                <w:sz w:val="22"/>
              </w:rPr>
              <w:t> </w:t>
            </w:r>
            <w:r>
              <w:rPr>
                <w:rFonts w:ascii="Calibri"/>
                <w:sz w:val="22"/>
              </w:rPr>
              <w:t>with</w:t>
            </w:r>
            <w:r>
              <w:rPr>
                <w:rFonts w:ascii="Calibri"/>
                <w:spacing w:val="-3"/>
                <w:sz w:val="22"/>
              </w:rPr>
              <w:t> </w:t>
            </w:r>
            <w:r>
              <w:rPr>
                <w:rFonts w:ascii="Calibri"/>
                <w:sz w:val="22"/>
              </w:rPr>
              <w:t>any</w:t>
            </w:r>
            <w:r>
              <w:rPr>
                <w:rFonts w:ascii="Calibri"/>
                <w:spacing w:val="-3"/>
                <w:sz w:val="22"/>
              </w:rPr>
              <w:t> </w:t>
            </w:r>
            <w:r>
              <w:rPr>
                <w:rFonts w:ascii="Calibri"/>
                <w:sz w:val="22"/>
              </w:rPr>
              <w:t>other</w:t>
            </w:r>
            <w:r>
              <w:rPr>
                <w:rFonts w:ascii="Calibri"/>
                <w:spacing w:val="-2"/>
                <w:sz w:val="22"/>
              </w:rPr>
              <w:t> </w:t>
            </w:r>
            <w:r>
              <w:rPr>
                <w:rFonts w:ascii="Calibri"/>
                <w:sz w:val="22"/>
              </w:rPr>
              <w:t>federal,</w:t>
            </w:r>
            <w:r>
              <w:rPr>
                <w:rFonts w:ascii="Calibri"/>
                <w:spacing w:val="-2"/>
                <w:sz w:val="22"/>
              </w:rPr>
              <w:t> </w:t>
            </w:r>
            <w:r>
              <w:rPr>
                <w:rFonts w:ascii="Calibri"/>
                <w:sz w:val="22"/>
              </w:rPr>
              <w:t>state,</w:t>
            </w:r>
            <w:r>
              <w:rPr>
                <w:rFonts w:ascii="Calibri"/>
                <w:spacing w:val="-4"/>
                <w:sz w:val="22"/>
              </w:rPr>
              <w:t> </w:t>
            </w:r>
            <w:r>
              <w:rPr>
                <w:rFonts w:ascii="Calibri"/>
                <w:sz w:val="22"/>
              </w:rPr>
              <w:t>or</w:t>
            </w:r>
            <w:r>
              <w:rPr>
                <w:rFonts w:ascii="Calibri"/>
                <w:spacing w:val="-2"/>
                <w:sz w:val="22"/>
              </w:rPr>
              <w:t> </w:t>
            </w:r>
            <w:r>
              <w:rPr>
                <w:rFonts w:ascii="Calibri"/>
                <w:sz w:val="22"/>
              </w:rPr>
              <w:t>local</w:t>
            </w:r>
            <w:r>
              <w:rPr>
                <w:rFonts w:ascii="Calibri"/>
                <w:spacing w:val="-2"/>
                <w:sz w:val="22"/>
              </w:rPr>
              <w:t> </w:t>
            </w:r>
            <w:r>
              <w:rPr>
                <w:rFonts w:ascii="Calibri"/>
                <w:sz w:val="22"/>
              </w:rPr>
              <w:t>agencies</w:t>
            </w:r>
            <w:r>
              <w:rPr>
                <w:rFonts w:ascii="Calibri"/>
                <w:spacing w:val="-4"/>
                <w:sz w:val="22"/>
              </w:rPr>
              <w:t> </w:t>
            </w:r>
            <w:r>
              <w:rPr>
                <w:rFonts w:ascii="Calibri"/>
                <w:sz w:val="22"/>
              </w:rPr>
              <w:t>or</w:t>
            </w:r>
            <w:r>
              <w:rPr>
                <w:rFonts w:ascii="Calibri"/>
                <w:spacing w:val="-4"/>
                <w:sz w:val="22"/>
              </w:rPr>
              <w:t> </w:t>
            </w:r>
            <w:r>
              <w:rPr>
                <w:rFonts w:ascii="Calibri"/>
                <w:sz w:val="22"/>
              </w:rPr>
              <w:t>with</w:t>
            </w:r>
            <w:r>
              <w:rPr>
                <w:rFonts w:ascii="Calibri"/>
                <w:spacing w:val="-3"/>
                <w:sz w:val="22"/>
              </w:rPr>
              <w:t> </w:t>
            </w:r>
            <w:r>
              <w:rPr>
                <w:rFonts w:ascii="Calibri"/>
                <w:sz w:val="22"/>
              </w:rPr>
              <w:t>any</w:t>
            </w:r>
            <w:r>
              <w:rPr>
                <w:rFonts w:ascii="Calibri"/>
                <w:spacing w:val="-3"/>
                <w:sz w:val="22"/>
              </w:rPr>
              <w:t> </w:t>
            </w:r>
            <w:r>
              <w:rPr>
                <w:rFonts w:ascii="Calibri"/>
                <w:sz w:val="22"/>
              </w:rPr>
              <w:t>state</w:t>
            </w:r>
            <w:r>
              <w:rPr>
                <w:rFonts w:ascii="Calibri"/>
                <w:spacing w:val="-4"/>
                <w:sz w:val="22"/>
              </w:rPr>
              <w:t> </w:t>
            </w:r>
            <w:r>
              <w:rPr>
                <w:rFonts w:ascii="Calibri"/>
                <w:sz w:val="22"/>
              </w:rPr>
              <w:t>or federal court?</w:t>
            </w:r>
          </w:p>
          <w:p>
            <w:pPr>
              <w:pStyle w:val="TableParagraph"/>
              <w:tabs>
                <w:tab w:pos="1763" w:val="left" w:leader="none"/>
              </w:tabs>
              <w:spacing w:line="321" w:lineRule="exact"/>
              <w:ind w:left="304"/>
              <w:rPr>
                <w:rFonts w:ascii="Calibri" w:hAnsi="Calibri"/>
                <w:sz w:val="22"/>
              </w:rPr>
            </w:pPr>
            <w:r>
              <w:rPr>
                <w:rFonts w:ascii="Calibri" w:hAnsi="Calibri"/>
                <w:b/>
                <w:sz w:val="28"/>
              </w:rPr>
              <w:t>□</w:t>
            </w:r>
            <w:r>
              <w:rPr>
                <w:rFonts w:ascii="Calibri" w:hAnsi="Calibri"/>
                <w:b/>
                <w:spacing w:val="30"/>
                <w:sz w:val="28"/>
              </w:rPr>
              <w:t>  </w:t>
            </w:r>
            <w:r>
              <w:rPr>
                <w:rFonts w:ascii="Calibri" w:hAnsi="Calibri"/>
                <w:spacing w:val="-5"/>
                <w:sz w:val="22"/>
              </w:rPr>
              <w:t>Yes</w:t>
            </w:r>
            <w:r>
              <w:rPr>
                <w:rFonts w:ascii="Calibri" w:hAnsi="Calibri"/>
                <w:sz w:val="22"/>
              </w:rPr>
              <w:tab/>
            </w:r>
            <w:r>
              <w:rPr>
                <w:rFonts w:ascii="Calibri" w:hAnsi="Calibri"/>
                <w:b/>
                <w:sz w:val="28"/>
              </w:rPr>
              <w:t>□</w:t>
            </w:r>
            <w:r>
              <w:rPr>
                <w:rFonts w:ascii="Calibri" w:hAnsi="Calibri"/>
                <w:b/>
                <w:spacing w:val="30"/>
                <w:sz w:val="28"/>
              </w:rPr>
              <w:t>  </w:t>
            </w:r>
            <w:r>
              <w:rPr>
                <w:rFonts w:ascii="Calibri" w:hAnsi="Calibri"/>
                <w:spacing w:val="-5"/>
                <w:sz w:val="22"/>
              </w:rPr>
              <w:t>No</w:t>
            </w:r>
          </w:p>
        </w:tc>
      </w:tr>
      <w:tr>
        <w:trPr>
          <w:trHeight w:val="952" w:hRule="atLeast"/>
        </w:trPr>
        <w:tc>
          <w:tcPr>
            <w:tcW w:w="9439" w:type="dxa"/>
            <w:gridSpan w:val="4"/>
          </w:tcPr>
          <w:p>
            <w:pPr>
              <w:pStyle w:val="TableParagraph"/>
              <w:tabs>
                <w:tab w:pos="3532" w:val="left" w:leader="none"/>
                <w:tab w:pos="5529" w:val="left" w:leader="none"/>
                <w:tab w:pos="7374" w:val="left" w:leader="none"/>
              </w:tabs>
              <w:spacing w:line="341" w:lineRule="exact"/>
              <w:ind w:left="306"/>
              <w:rPr>
                <w:rFonts w:ascii="Calibri" w:hAnsi="Calibri"/>
                <w:sz w:val="22"/>
              </w:rPr>
            </w:pPr>
            <w:r>
              <w:rPr>
                <w:rFonts w:ascii="Calibri" w:hAnsi="Calibri"/>
                <w:sz w:val="22"/>
              </w:rPr>
              <w:t>If</w:t>
            </w:r>
            <w:r>
              <w:rPr>
                <w:rFonts w:ascii="Calibri" w:hAnsi="Calibri"/>
                <w:spacing w:val="-5"/>
                <w:sz w:val="22"/>
              </w:rPr>
              <w:t> </w:t>
            </w:r>
            <w:r>
              <w:rPr>
                <w:rFonts w:ascii="Calibri" w:hAnsi="Calibri"/>
                <w:sz w:val="22"/>
              </w:rPr>
              <w:t>yes,</w:t>
            </w:r>
            <w:r>
              <w:rPr>
                <w:rFonts w:ascii="Calibri" w:hAnsi="Calibri"/>
                <w:spacing w:val="-5"/>
                <w:sz w:val="22"/>
              </w:rPr>
              <w:t> </w:t>
            </w:r>
            <w:r>
              <w:rPr>
                <w:rFonts w:ascii="Calibri" w:hAnsi="Calibri"/>
                <w:sz w:val="22"/>
              </w:rPr>
              <w:t>please</w:t>
            </w:r>
            <w:r>
              <w:rPr>
                <w:rFonts w:ascii="Calibri" w:hAnsi="Calibri"/>
                <w:spacing w:val="-1"/>
                <w:sz w:val="22"/>
              </w:rPr>
              <w:t> </w:t>
            </w:r>
            <w:r>
              <w:rPr>
                <w:rFonts w:ascii="Calibri" w:hAnsi="Calibri"/>
                <w:sz w:val="22"/>
              </w:rPr>
              <w:t>check</w:t>
            </w:r>
            <w:r>
              <w:rPr>
                <w:rFonts w:ascii="Calibri" w:hAnsi="Calibri"/>
                <w:spacing w:val="-2"/>
                <w:sz w:val="22"/>
              </w:rPr>
              <w:t> </w:t>
            </w:r>
            <w:r>
              <w:rPr>
                <w:rFonts w:ascii="Calibri" w:hAnsi="Calibri"/>
                <w:sz w:val="22"/>
              </w:rPr>
              <w:t>all</w:t>
            </w:r>
            <w:r>
              <w:rPr>
                <w:rFonts w:ascii="Calibri" w:hAnsi="Calibri"/>
                <w:spacing w:val="-6"/>
                <w:sz w:val="22"/>
              </w:rPr>
              <w:t> </w:t>
            </w:r>
            <w:r>
              <w:rPr>
                <w:rFonts w:ascii="Calibri" w:hAnsi="Calibri"/>
                <w:sz w:val="22"/>
              </w:rPr>
              <w:t>that</w:t>
            </w:r>
            <w:r>
              <w:rPr>
                <w:rFonts w:ascii="Calibri" w:hAnsi="Calibri"/>
                <w:spacing w:val="-1"/>
                <w:sz w:val="22"/>
              </w:rPr>
              <w:t> </w:t>
            </w:r>
            <w:r>
              <w:rPr>
                <w:rFonts w:ascii="Calibri" w:hAnsi="Calibri"/>
                <w:spacing w:val="-2"/>
                <w:sz w:val="22"/>
              </w:rPr>
              <w:t>apply:</w:t>
            </w:r>
            <w:r>
              <w:rPr>
                <w:rFonts w:ascii="Calibri" w:hAnsi="Calibri"/>
                <w:sz w:val="22"/>
              </w:rPr>
              <w:tab/>
            </w:r>
            <w:r>
              <w:rPr>
                <w:rFonts w:ascii="Calibri" w:hAnsi="Calibri"/>
                <w:b/>
                <w:sz w:val="28"/>
              </w:rPr>
              <w:t>□</w:t>
            </w:r>
            <w:r>
              <w:rPr>
                <w:rFonts w:ascii="Calibri" w:hAnsi="Calibri"/>
                <w:b/>
                <w:spacing w:val="-4"/>
                <w:sz w:val="28"/>
              </w:rPr>
              <w:t> </w:t>
            </w:r>
            <w:r>
              <w:rPr>
                <w:rFonts w:ascii="Calibri" w:hAnsi="Calibri"/>
                <w:sz w:val="22"/>
              </w:rPr>
              <w:t>Federal</w:t>
            </w:r>
            <w:r>
              <w:rPr>
                <w:rFonts w:ascii="Calibri" w:hAnsi="Calibri"/>
                <w:spacing w:val="-4"/>
                <w:sz w:val="22"/>
              </w:rPr>
              <w:t> </w:t>
            </w:r>
            <w:r>
              <w:rPr>
                <w:rFonts w:ascii="Calibri" w:hAnsi="Calibri"/>
                <w:spacing w:val="-2"/>
                <w:sz w:val="22"/>
              </w:rPr>
              <w:t>Agency</w:t>
            </w:r>
            <w:r>
              <w:rPr>
                <w:rFonts w:ascii="Calibri" w:hAnsi="Calibri"/>
                <w:sz w:val="22"/>
              </w:rPr>
              <w:tab/>
            </w:r>
            <w:r>
              <w:rPr>
                <w:rFonts w:ascii="Calibri" w:hAnsi="Calibri"/>
                <w:b/>
                <w:sz w:val="28"/>
              </w:rPr>
              <w:t>□</w:t>
            </w:r>
            <w:r>
              <w:rPr>
                <w:rFonts w:ascii="Calibri" w:hAnsi="Calibri"/>
                <w:b/>
                <w:spacing w:val="-7"/>
                <w:sz w:val="28"/>
              </w:rPr>
              <w:t> </w:t>
            </w:r>
            <w:r>
              <w:rPr>
                <w:rFonts w:ascii="Calibri" w:hAnsi="Calibri"/>
                <w:sz w:val="22"/>
              </w:rPr>
              <w:t>Federal</w:t>
            </w:r>
            <w:r>
              <w:rPr>
                <w:rFonts w:ascii="Calibri" w:hAnsi="Calibri"/>
                <w:spacing w:val="-3"/>
                <w:sz w:val="22"/>
              </w:rPr>
              <w:t> </w:t>
            </w:r>
            <w:r>
              <w:rPr>
                <w:rFonts w:ascii="Calibri" w:hAnsi="Calibri"/>
                <w:spacing w:val="-2"/>
                <w:sz w:val="22"/>
              </w:rPr>
              <w:t>Court</w:t>
            </w:r>
            <w:r>
              <w:rPr>
                <w:rFonts w:ascii="Calibri" w:hAnsi="Calibri"/>
                <w:sz w:val="22"/>
              </w:rPr>
              <w:tab/>
            </w:r>
            <w:r>
              <w:rPr>
                <w:rFonts w:ascii="Calibri" w:hAnsi="Calibri"/>
                <w:b/>
                <w:sz w:val="28"/>
              </w:rPr>
              <w:t>□</w:t>
            </w:r>
            <w:r>
              <w:rPr>
                <w:rFonts w:ascii="Calibri" w:hAnsi="Calibri"/>
                <w:b/>
                <w:spacing w:val="-5"/>
                <w:sz w:val="28"/>
              </w:rPr>
              <w:t> </w:t>
            </w:r>
            <w:r>
              <w:rPr>
                <w:rFonts w:ascii="Calibri" w:hAnsi="Calibri"/>
                <w:sz w:val="22"/>
              </w:rPr>
              <w:t>Local</w:t>
            </w:r>
            <w:r>
              <w:rPr>
                <w:rFonts w:ascii="Calibri" w:hAnsi="Calibri"/>
                <w:spacing w:val="-1"/>
                <w:sz w:val="22"/>
              </w:rPr>
              <w:t> </w:t>
            </w:r>
            <w:r>
              <w:rPr>
                <w:rFonts w:ascii="Calibri" w:hAnsi="Calibri"/>
                <w:spacing w:val="-2"/>
                <w:sz w:val="22"/>
              </w:rPr>
              <w:t>Agency</w:t>
            </w:r>
          </w:p>
          <w:p>
            <w:pPr>
              <w:pStyle w:val="TableParagraph"/>
              <w:tabs>
                <w:tab w:pos="5529" w:val="left" w:leader="none"/>
              </w:tabs>
              <w:spacing w:line="240" w:lineRule="auto" w:before="1"/>
              <w:ind w:left="3539"/>
              <w:rPr>
                <w:rFonts w:ascii="Calibri" w:hAnsi="Calibri"/>
                <w:sz w:val="22"/>
              </w:rPr>
            </w:pPr>
            <w:r>
              <w:rPr>
                <w:rFonts w:ascii="Calibri" w:hAnsi="Calibri"/>
                <w:b/>
                <w:sz w:val="28"/>
              </w:rPr>
              <w:t>□</w:t>
            </w:r>
            <w:r>
              <w:rPr>
                <w:rFonts w:ascii="Calibri" w:hAnsi="Calibri"/>
                <w:b/>
                <w:spacing w:val="-4"/>
                <w:sz w:val="28"/>
              </w:rPr>
              <w:t> </w:t>
            </w:r>
            <w:r>
              <w:rPr>
                <w:rFonts w:ascii="Calibri" w:hAnsi="Calibri"/>
                <w:sz w:val="22"/>
              </w:rPr>
              <w:t>State </w:t>
            </w:r>
            <w:r>
              <w:rPr>
                <w:rFonts w:ascii="Calibri" w:hAnsi="Calibri"/>
                <w:spacing w:val="-2"/>
                <w:sz w:val="22"/>
              </w:rPr>
              <w:t>Agency</w:t>
            </w:r>
            <w:r>
              <w:rPr>
                <w:rFonts w:ascii="Calibri" w:hAnsi="Calibri"/>
                <w:sz w:val="22"/>
              </w:rPr>
              <w:tab/>
            </w:r>
            <w:r>
              <w:rPr>
                <w:rFonts w:ascii="Calibri" w:hAnsi="Calibri"/>
                <w:b/>
                <w:sz w:val="28"/>
              </w:rPr>
              <w:t>□</w:t>
            </w:r>
            <w:r>
              <w:rPr>
                <w:rFonts w:ascii="Calibri" w:hAnsi="Calibri"/>
                <w:b/>
                <w:spacing w:val="-3"/>
                <w:sz w:val="28"/>
              </w:rPr>
              <w:t> </w:t>
            </w:r>
            <w:r>
              <w:rPr>
                <w:rFonts w:ascii="Calibri" w:hAnsi="Calibri"/>
                <w:sz w:val="22"/>
              </w:rPr>
              <w:t>State</w:t>
            </w:r>
            <w:r>
              <w:rPr>
                <w:rFonts w:ascii="Calibri" w:hAnsi="Calibri"/>
                <w:spacing w:val="-2"/>
                <w:sz w:val="22"/>
              </w:rPr>
              <w:t> Court</w:t>
            </w:r>
          </w:p>
        </w:tc>
      </w:tr>
      <w:tr>
        <w:trPr>
          <w:trHeight w:val="1000" w:hRule="atLeast"/>
        </w:trPr>
        <w:tc>
          <w:tcPr>
            <w:tcW w:w="9439" w:type="dxa"/>
            <w:gridSpan w:val="4"/>
          </w:tcPr>
          <w:p>
            <w:pPr>
              <w:pStyle w:val="TableParagraph"/>
              <w:spacing w:line="240" w:lineRule="auto"/>
              <w:ind w:left="105"/>
              <w:rPr>
                <w:rFonts w:ascii="Calibri"/>
                <w:sz w:val="22"/>
              </w:rPr>
            </w:pPr>
            <w:r>
              <w:rPr>
                <w:rFonts w:ascii="Calibri"/>
                <w:sz w:val="22"/>
              </w:rPr>
              <w:t>3.</w:t>
            </w:r>
            <w:r>
              <w:rPr>
                <w:rFonts w:ascii="Calibri"/>
                <w:spacing w:val="-2"/>
                <w:sz w:val="22"/>
              </w:rPr>
              <w:t> </w:t>
            </w:r>
            <w:r>
              <w:rPr>
                <w:rFonts w:ascii="Calibri"/>
                <w:sz w:val="22"/>
              </w:rPr>
              <w:t>If</w:t>
            </w:r>
            <w:r>
              <w:rPr>
                <w:rFonts w:ascii="Calibri"/>
                <w:spacing w:val="-2"/>
                <w:sz w:val="22"/>
              </w:rPr>
              <w:t> </w:t>
            </w:r>
            <w:r>
              <w:rPr>
                <w:rFonts w:ascii="Calibri"/>
                <w:sz w:val="22"/>
              </w:rPr>
              <w:t>filed</w:t>
            </w:r>
            <w:r>
              <w:rPr>
                <w:rFonts w:ascii="Calibri"/>
                <w:spacing w:val="-3"/>
                <w:sz w:val="22"/>
              </w:rPr>
              <w:t> </w:t>
            </w:r>
            <w:r>
              <w:rPr>
                <w:rFonts w:ascii="Calibri"/>
                <w:sz w:val="22"/>
              </w:rPr>
              <w:t>at</w:t>
            </w:r>
            <w:r>
              <w:rPr>
                <w:rFonts w:ascii="Calibri"/>
                <w:spacing w:val="-1"/>
                <w:sz w:val="22"/>
              </w:rPr>
              <w:t> </w:t>
            </w:r>
            <w:r>
              <w:rPr>
                <w:rFonts w:ascii="Calibri"/>
                <w:sz w:val="22"/>
              </w:rPr>
              <w:t>an</w:t>
            </w:r>
            <w:r>
              <w:rPr>
                <w:rFonts w:ascii="Calibri"/>
                <w:spacing w:val="-3"/>
                <w:sz w:val="22"/>
              </w:rPr>
              <w:t> </w:t>
            </w:r>
            <w:r>
              <w:rPr>
                <w:rFonts w:ascii="Calibri"/>
                <w:sz w:val="22"/>
              </w:rPr>
              <w:t>agency</w:t>
            </w:r>
            <w:r>
              <w:rPr>
                <w:rFonts w:ascii="Calibri"/>
                <w:spacing w:val="-1"/>
                <w:sz w:val="22"/>
              </w:rPr>
              <w:t> </w:t>
            </w:r>
            <w:r>
              <w:rPr>
                <w:rFonts w:ascii="Calibri"/>
                <w:sz w:val="22"/>
              </w:rPr>
              <w:t>and/or</w:t>
            </w:r>
            <w:r>
              <w:rPr>
                <w:rFonts w:ascii="Calibri"/>
                <w:spacing w:val="-2"/>
                <w:sz w:val="22"/>
              </w:rPr>
              <w:t> </w:t>
            </w:r>
            <w:r>
              <w:rPr>
                <w:rFonts w:ascii="Calibri"/>
                <w:sz w:val="22"/>
              </w:rPr>
              <w:t>court,</w:t>
            </w:r>
            <w:r>
              <w:rPr>
                <w:rFonts w:ascii="Calibri"/>
                <w:spacing w:val="-2"/>
                <w:sz w:val="22"/>
              </w:rPr>
              <w:t> </w:t>
            </w:r>
            <w:r>
              <w:rPr>
                <w:rFonts w:ascii="Calibri"/>
                <w:sz w:val="22"/>
              </w:rPr>
              <w:t>please</w:t>
            </w:r>
            <w:r>
              <w:rPr>
                <w:rFonts w:ascii="Calibri"/>
                <w:spacing w:val="-4"/>
                <w:sz w:val="22"/>
              </w:rPr>
              <w:t> </w:t>
            </w:r>
            <w:r>
              <w:rPr>
                <w:rFonts w:ascii="Calibri"/>
                <w:sz w:val="22"/>
              </w:rPr>
              <w:t>provide</w:t>
            </w:r>
            <w:r>
              <w:rPr>
                <w:rFonts w:ascii="Calibri"/>
                <w:spacing w:val="-1"/>
                <w:sz w:val="22"/>
              </w:rPr>
              <w:t> </w:t>
            </w:r>
            <w:r>
              <w:rPr>
                <w:rFonts w:ascii="Calibri"/>
                <w:sz w:val="22"/>
              </w:rPr>
              <w:t>information</w:t>
            </w:r>
            <w:r>
              <w:rPr>
                <w:rFonts w:ascii="Calibri"/>
                <w:spacing w:val="-5"/>
                <w:sz w:val="22"/>
              </w:rPr>
              <w:t> </w:t>
            </w:r>
            <w:r>
              <w:rPr>
                <w:rFonts w:ascii="Calibri"/>
                <w:sz w:val="22"/>
              </w:rPr>
              <w:t>for</w:t>
            </w:r>
            <w:r>
              <w:rPr>
                <w:rFonts w:ascii="Calibri"/>
                <w:spacing w:val="-4"/>
                <w:sz w:val="22"/>
              </w:rPr>
              <w:t> </w:t>
            </w:r>
            <w:r>
              <w:rPr>
                <w:rFonts w:ascii="Calibri"/>
                <w:sz w:val="22"/>
              </w:rPr>
              <w:t>your</w:t>
            </w:r>
            <w:r>
              <w:rPr>
                <w:rFonts w:ascii="Calibri"/>
                <w:spacing w:val="-2"/>
                <w:sz w:val="22"/>
              </w:rPr>
              <w:t> </w:t>
            </w:r>
            <w:r>
              <w:rPr>
                <w:rFonts w:ascii="Calibri"/>
                <w:sz w:val="22"/>
              </w:rPr>
              <w:t>point</w:t>
            </w:r>
            <w:r>
              <w:rPr>
                <w:rFonts w:ascii="Calibri"/>
                <w:spacing w:val="-4"/>
                <w:sz w:val="22"/>
              </w:rPr>
              <w:t> </w:t>
            </w:r>
            <w:r>
              <w:rPr>
                <w:rFonts w:ascii="Calibri"/>
                <w:sz w:val="22"/>
              </w:rPr>
              <w:t>of</w:t>
            </w:r>
            <w:r>
              <w:rPr>
                <w:rFonts w:ascii="Calibri"/>
                <w:spacing w:val="-7"/>
                <w:sz w:val="22"/>
              </w:rPr>
              <w:t> </w:t>
            </w:r>
            <w:r>
              <w:rPr>
                <w:rFonts w:ascii="Calibri"/>
                <w:sz w:val="22"/>
              </w:rPr>
              <w:t>contact</w:t>
            </w:r>
            <w:r>
              <w:rPr>
                <w:rFonts w:ascii="Calibri"/>
                <w:spacing w:val="-1"/>
                <w:sz w:val="22"/>
              </w:rPr>
              <w:t> </w:t>
            </w:r>
            <w:r>
              <w:rPr>
                <w:rFonts w:ascii="Calibri"/>
                <w:sz w:val="22"/>
              </w:rPr>
              <w:t>at</w:t>
            </w:r>
            <w:r>
              <w:rPr>
                <w:rFonts w:ascii="Calibri"/>
                <w:spacing w:val="-4"/>
                <w:sz w:val="22"/>
              </w:rPr>
              <w:t> </w:t>
            </w:r>
            <w:r>
              <w:rPr>
                <w:rFonts w:ascii="Calibri"/>
                <w:sz w:val="22"/>
              </w:rPr>
              <w:t>the agency/court where the complaint was filed:</w:t>
            </w:r>
          </w:p>
          <w:p>
            <w:pPr>
              <w:pStyle w:val="TableParagraph"/>
              <w:spacing w:line="249" w:lineRule="exact" w:before="194"/>
              <w:ind w:left="105"/>
              <w:rPr>
                <w:rFonts w:ascii="Calibri"/>
                <w:sz w:val="22"/>
              </w:rPr>
            </w:pPr>
            <w:r>
              <w:rPr>
                <w:rFonts w:ascii="Calibri"/>
                <w:spacing w:val="-2"/>
                <w:sz w:val="22"/>
              </w:rPr>
              <w:t>Agency/Court:</w:t>
            </w:r>
          </w:p>
        </w:tc>
      </w:tr>
      <w:tr>
        <w:trPr>
          <w:trHeight w:val="806" w:hRule="atLeast"/>
        </w:trPr>
        <w:tc>
          <w:tcPr>
            <w:tcW w:w="3240" w:type="dxa"/>
          </w:tcPr>
          <w:p>
            <w:pPr>
              <w:pStyle w:val="TableParagraph"/>
              <w:spacing w:line="268" w:lineRule="exact"/>
              <w:ind w:left="105"/>
              <w:rPr>
                <w:rFonts w:ascii="Calibri"/>
                <w:sz w:val="22"/>
              </w:rPr>
            </w:pPr>
            <w:r>
              <w:rPr>
                <w:rFonts w:ascii="Calibri"/>
                <w:sz w:val="22"/>
              </w:rPr>
              <w:t>Contact</w:t>
            </w:r>
            <w:r>
              <w:rPr>
                <w:rFonts w:ascii="Calibri"/>
                <w:spacing w:val="-4"/>
                <w:sz w:val="22"/>
              </w:rPr>
              <w:t> Name:</w:t>
            </w:r>
          </w:p>
        </w:tc>
        <w:tc>
          <w:tcPr>
            <w:tcW w:w="3667" w:type="dxa"/>
            <w:gridSpan w:val="2"/>
          </w:tcPr>
          <w:p>
            <w:pPr>
              <w:pStyle w:val="TableParagraph"/>
              <w:spacing w:line="268" w:lineRule="exact"/>
              <w:ind w:left="107"/>
              <w:rPr>
                <w:rFonts w:ascii="Calibri"/>
                <w:sz w:val="22"/>
              </w:rPr>
            </w:pPr>
            <w:r>
              <w:rPr>
                <w:rFonts w:ascii="Calibri"/>
                <w:spacing w:val="-2"/>
                <w:sz w:val="22"/>
              </w:rPr>
              <w:t>Address:</w:t>
            </w:r>
          </w:p>
        </w:tc>
        <w:tc>
          <w:tcPr>
            <w:tcW w:w="2532" w:type="dxa"/>
          </w:tcPr>
          <w:p>
            <w:pPr>
              <w:pStyle w:val="TableParagraph"/>
              <w:spacing w:line="268" w:lineRule="exact"/>
              <w:ind w:left="108"/>
              <w:rPr>
                <w:rFonts w:ascii="Calibri"/>
                <w:sz w:val="22"/>
              </w:rPr>
            </w:pPr>
            <w:r>
              <w:rPr>
                <w:rFonts w:ascii="Calibri"/>
                <w:sz w:val="22"/>
              </w:rPr>
              <w:t>Phone</w:t>
            </w:r>
            <w:r>
              <w:rPr>
                <w:rFonts w:ascii="Calibri"/>
                <w:spacing w:val="-2"/>
                <w:sz w:val="22"/>
              </w:rPr>
              <w:t> Number:</w:t>
            </w:r>
          </w:p>
        </w:tc>
      </w:tr>
      <w:tr>
        <w:trPr>
          <w:trHeight w:val="268" w:hRule="atLeast"/>
        </w:trPr>
        <w:tc>
          <w:tcPr>
            <w:tcW w:w="9439" w:type="dxa"/>
            <w:gridSpan w:val="4"/>
            <w:shd w:val="clear" w:color="auto" w:fill="D9D9D9"/>
          </w:tcPr>
          <w:p>
            <w:pPr>
              <w:pStyle w:val="TableParagraph"/>
              <w:spacing w:line="248" w:lineRule="exact"/>
              <w:ind w:left="4189" w:right="4184"/>
              <w:jc w:val="center"/>
              <w:rPr>
                <w:rFonts w:ascii="Calibri"/>
                <w:b/>
                <w:sz w:val="22"/>
              </w:rPr>
            </w:pPr>
            <w:r>
              <w:rPr>
                <w:rFonts w:ascii="Calibri"/>
                <w:b/>
                <w:sz w:val="22"/>
              </w:rPr>
              <w:t>SECTION</w:t>
            </w:r>
            <w:r>
              <w:rPr>
                <w:rFonts w:ascii="Calibri"/>
                <w:b/>
                <w:spacing w:val="-2"/>
                <w:sz w:val="22"/>
              </w:rPr>
              <w:t> </w:t>
            </w:r>
            <w:r>
              <w:rPr>
                <w:rFonts w:ascii="Calibri"/>
                <w:b/>
                <w:spacing w:val="-10"/>
                <w:sz w:val="22"/>
              </w:rPr>
              <w:t>V</w:t>
            </w:r>
          </w:p>
        </w:tc>
      </w:tr>
      <w:tr>
        <w:trPr>
          <w:trHeight w:val="1074" w:hRule="atLeast"/>
        </w:trPr>
        <w:tc>
          <w:tcPr>
            <w:tcW w:w="9439" w:type="dxa"/>
            <w:gridSpan w:val="4"/>
          </w:tcPr>
          <w:p>
            <w:pPr>
              <w:pStyle w:val="TableParagraph"/>
              <w:spacing w:line="240" w:lineRule="auto" w:before="11"/>
              <w:rPr>
                <w:rFonts w:ascii="Calibri"/>
                <w:b/>
                <w:sz w:val="21"/>
              </w:rPr>
            </w:pPr>
          </w:p>
          <w:p>
            <w:pPr>
              <w:pStyle w:val="TableParagraph"/>
              <w:spacing w:line="240" w:lineRule="auto"/>
              <w:ind w:left="105"/>
              <w:rPr>
                <w:rFonts w:ascii="Calibri"/>
                <w:b/>
                <w:sz w:val="22"/>
              </w:rPr>
            </w:pPr>
            <w:r>
              <w:rPr>
                <w:rFonts w:ascii="Calibri"/>
                <w:b/>
                <w:sz w:val="22"/>
              </w:rPr>
              <w:t>PLEASE</w:t>
            </w:r>
            <w:r>
              <w:rPr>
                <w:rFonts w:ascii="Calibri"/>
                <w:b/>
                <w:spacing w:val="-4"/>
                <w:sz w:val="22"/>
              </w:rPr>
              <w:t> </w:t>
            </w:r>
            <w:r>
              <w:rPr>
                <w:rFonts w:ascii="Calibri"/>
                <w:b/>
                <w:sz w:val="22"/>
              </w:rPr>
              <w:t>NOTE:</w:t>
            </w:r>
            <w:r>
              <w:rPr>
                <w:rFonts w:ascii="Calibri"/>
                <w:b/>
                <w:spacing w:val="-5"/>
                <w:sz w:val="22"/>
              </w:rPr>
              <w:t> </w:t>
            </w:r>
            <w:r>
              <w:rPr>
                <w:rFonts w:ascii="Calibri"/>
                <w:b/>
                <w:sz w:val="22"/>
              </w:rPr>
              <w:t>The</w:t>
            </w:r>
            <w:r>
              <w:rPr>
                <w:rFonts w:ascii="Calibri"/>
                <w:b/>
                <w:spacing w:val="-3"/>
                <w:sz w:val="22"/>
              </w:rPr>
              <w:t> </w:t>
            </w:r>
            <w:r>
              <w:rPr>
                <w:rFonts w:ascii="Calibri"/>
                <w:b/>
                <w:sz w:val="22"/>
              </w:rPr>
              <w:t>Maine</w:t>
            </w:r>
            <w:r>
              <w:rPr>
                <w:rFonts w:ascii="Calibri"/>
                <w:b/>
                <w:spacing w:val="-3"/>
                <w:sz w:val="22"/>
              </w:rPr>
              <w:t> </w:t>
            </w:r>
            <w:r>
              <w:rPr>
                <w:rFonts w:ascii="Calibri"/>
                <w:b/>
                <w:sz w:val="22"/>
              </w:rPr>
              <w:t>Department</w:t>
            </w:r>
            <w:r>
              <w:rPr>
                <w:rFonts w:ascii="Calibri"/>
                <w:b/>
                <w:spacing w:val="-2"/>
                <w:sz w:val="22"/>
              </w:rPr>
              <w:t> </w:t>
            </w:r>
            <w:r>
              <w:rPr>
                <w:rFonts w:ascii="Calibri"/>
                <w:b/>
                <w:sz w:val="22"/>
              </w:rPr>
              <w:t>of</w:t>
            </w:r>
            <w:r>
              <w:rPr>
                <w:rFonts w:ascii="Calibri"/>
                <w:b/>
                <w:spacing w:val="-2"/>
                <w:sz w:val="22"/>
              </w:rPr>
              <w:t> </w:t>
            </w:r>
            <w:r>
              <w:rPr>
                <w:rFonts w:ascii="Calibri"/>
                <w:b/>
                <w:sz w:val="22"/>
              </w:rPr>
              <w:t>Transportation</w:t>
            </w:r>
            <w:r>
              <w:rPr>
                <w:rFonts w:ascii="Calibri"/>
                <w:b/>
                <w:spacing w:val="-3"/>
                <w:sz w:val="22"/>
              </w:rPr>
              <w:t> </w:t>
            </w:r>
            <w:r>
              <w:rPr>
                <w:rFonts w:ascii="Calibri"/>
                <w:b/>
                <w:sz w:val="22"/>
              </w:rPr>
              <w:t>cannot</w:t>
            </w:r>
            <w:r>
              <w:rPr>
                <w:rFonts w:ascii="Calibri"/>
                <w:b/>
                <w:spacing w:val="-2"/>
                <w:sz w:val="22"/>
              </w:rPr>
              <w:t> </w:t>
            </w:r>
            <w:r>
              <w:rPr>
                <w:rFonts w:ascii="Calibri"/>
                <w:b/>
                <w:sz w:val="22"/>
              </w:rPr>
              <w:t>accept</w:t>
            </w:r>
            <w:r>
              <w:rPr>
                <w:rFonts w:ascii="Calibri"/>
                <w:b/>
                <w:spacing w:val="-2"/>
                <w:sz w:val="22"/>
              </w:rPr>
              <w:t> </w:t>
            </w:r>
            <w:r>
              <w:rPr>
                <w:rFonts w:ascii="Calibri"/>
                <w:b/>
                <w:sz w:val="22"/>
              </w:rPr>
              <w:t>your</w:t>
            </w:r>
            <w:r>
              <w:rPr>
                <w:rFonts w:ascii="Calibri"/>
                <w:b/>
                <w:spacing w:val="-4"/>
                <w:sz w:val="22"/>
              </w:rPr>
              <w:t> </w:t>
            </w:r>
            <w:r>
              <w:rPr>
                <w:rFonts w:ascii="Calibri"/>
                <w:b/>
                <w:sz w:val="22"/>
              </w:rPr>
              <w:t>complaint</w:t>
            </w:r>
            <w:r>
              <w:rPr>
                <w:rFonts w:ascii="Calibri"/>
                <w:b/>
                <w:spacing w:val="-4"/>
                <w:sz w:val="22"/>
              </w:rPr>
              <w:t> </w:t>
            </w:r>
            <w:r>
              <w:rPr>
                <w:rFonts w:ascii="Calibri"/>
                <w:b/>
                <w:sz w:val="22"/>
              </w:rPr>
              <w:t>without</w:t>
            </w:r>
            <w:r>
              <w:rPr>
                <w:rFonts w:ascii="Calibri"/>
                <w:b/>
                <w:spacing w:val="-2"/>
                <w:sz w:val="22"/>
              </w:rPr>
              <w:t> </w:t>
            </w:r>
            <w:r>
              <w:rPr>
                <w:rFonts w:ascii="Calibri"/>
                <w:b/>
                <w:sz w:val="22"/>
              </w:rPr>
              <w:t>a </w:t>
            </w:r>
            <w:r>
              <w:rPr>
                <w:rFonts w:ascii="Calibri"/>
                <w:b/>
                <w:spacing w:val="-2"/>
                <w:sz w:val="22"/>
              </w:rPr>
              <w:t>signature.</w:t>
            </w:r>
          </w:p>
        </w:tc>
      </w:tr>
      <w:tr>
        <w:trPr>
          <w:trHeight w:val="1799" w:hRule="atLeast"/>
        </w:trPr>
        <w:tc>
          <w:tcPr>
            <w:tcW w:w="9439" w:type="dxa"/>
            <w:gridSpan w:val="4"/>
          </w:tcPr>
          <w:p>
            <w:pPr>
              <w:pStyle w:val="TableParagraph"/>
              <w:spacing w:line="240" w:lineRule="auto" w:before="11"/>
              <w:rPr>
                <w:rFonts w:ascii="Calibri"/>
                <w:b/>
                <w:sz w:val="21"/>
              </w:rPr>
            </w:pPr>
          </w:p>
          <w:p>
            <w:pPr>
              <w:pStyle w:val="TableParagraph"/>
              <w:spacing w:line="240" w:lineRule="auto"/>
              <w:ind w:left="105"/>
              <w:rPr>
                <w:rFonts w:ascii="Calibri"/>
                <w:sz w:val="22"/>
              </w:rPr>
            </w:pPr>
            <w:r>
              <w:rPr>
                <w:rFonts w:ascii="Calibri"/>
                <w:sz w:val="22"/>
              </w:rPr>
              <w:t>I</w:t>
            </w:r>
            <w:r>
              <w:rPr>
                <w:rFonts w:ascii="Calibri"/>
                <w:spacing w:val="-4"/>
                <w:sz w:val="22"/>
              </w:rPr>
              <w:t> </w:t>
            </w:r>
            <w:r>
              <w:rPr>
                <w:rFonts w:ascii="Calibri"/>
                <w:sz w:val="22"/>
              </w:rPr>
              <w:t>affirm</w:t>
            </w:r>
            <w:r>
              <w:rPr>
                <w:rFonts w:ascii="Calibri"/>
                <w:spacing w:val="-3"/>
                <w:sz w:val="22"/>
              </w:rPr>
              <w:t> </w:t>
            </w:r>
            <w:r>
              <w:rPr>
                <w:rFonts w:ascii="Calibri"/>
                <w:sz w:val="22"/>
              </w:rPr>
              <w:t>that</w:t>
            </w:r>
            <w:r>
              <w:rPr>
                <w:rFonts w:ascii="Calibri"/>
                <w:spacing w:val="-1"/>
                <w:sz w:val="22"/>
              </w:rPr>
              <w:t> </w:t>
            </w:r>
            <w:r>
              <w:rPr>
                <w:rFonts w:ascii="Calibri"/>
                <w:sz w:val="22"/>
              </w:rPr>
              <w:t>I</w:t>
            </w:r>
            <w:r>
              <w:rPr>
                <w:rFonts w:ascii="Calibri"/>
                <w:spacing w:val="-2"/>
                <w:sz w:val="22"/>
              </w:rPr>
              <w:t> </w:t>
            </w:r>
            <w:r>
              <w:rPr>
                <w:rFonts w:ascii="Calibri"/>
                <w:sz w:val="22"/>
              </w:rPr>
              <w:t>have</w:t>
            </w:r>
            <w:r>
              <w:rPr>
                <w:rFonts w:ascii="Calibri"/>
                <w:spacing w:val="-4"/>
                <w:sz w:val="22"/>
              </w:rPr>
              <w:t> </w:t>
            </w:r>
            <w:r>
              <w:rPr>
                <w:rFonts w:ascii="Calibri"/>
                <w:sz w:val="22"/>
              </w:rPr>
              <w:t>read</w:t>
            </w:r>
            <w:r>
              <w:rPr>
                <w:rFonts w:ascii="Calibri"/>
                <w:spacing w:val="-3"/>
                <w:sz w:val="22"/>
              </w:rPr>
              <w:t> </w:t>
            </w:r>
            <w:r>
              <w:rPr>
                <w:rFonts w:ascii="Calibri"/>
                <w:sz w:val="22"/>
              </w:rPr>
              <w:t>the</w:t>
            </w:r>
            <w:r>
              <w:rPr>
                <w:rFonts w:ascii="Calibri"/>
                <w:spacing w:val="-4"/>
                <w:sz w:val="22"/>
              </w:rPr>
              <w:t> </w:t>
            </w:r>
            <w:r>
              <w:rPr>
                <w:rFonts w:ascii="Calibri"/>
                <w:sz w:val="22"/>
              </w:rPr>
              <w:t>above</w:t>
            </w:r>
            <w:r>
              <w:rPr>
                <w:rFonts w:ascii="Calibri"/>
                <w:spacing w:val="-1"/>
                <w:sz w:val="22"/>
              </w:rPr>
              <w:t> </w:t>
            </w:r>
            <w:r>
              <w:rPr>
                <w:rFonts w:ascii="Calibri"/>
                <w:sz w:val="22"/>
              </w:rPr>
              <w:t>charge</w:t>
            </w:r>
            <w:r>
              <w:rPr>
                <w:rFonts w:ascii="Calibri"/>
                <w:spacing w:val="-1"/>
                <w:sz w:val="22"/>
              </w:rPr>
              <w:t> </w:t>
            </w:r>
            <w:r>
              <w:rPr>
                <w:rFonts w:ascii="Calibri"/>
                <w:sz w:val="22"/>
              </w:rPr>
              <w:t>and</w:t>
            </w:r>
            <w:r>
              <w:rPr>
                <w:rFonts w:ascii="Calibri"/>
                <w:spacing w:val="-3"/>
                <w:sz w:val="22"/>
              </w:rPr>
              <w:t> </w:t>
            </w:r>
            <w:r>
              <w:rPr>
                <w:rFonts w:ascii="Calibri"/>
                <w:sz w:val="22"/>
              </w:rPr>
              <w:t>it</w:t>
            </w:r>
            <w:r>
              <w:rPr>
                <w:rFonts w:ascii="Calibri"/>
                <w:spacing w:val="-1"/>
                <w:sz w:val="22"/>
              </w:rPr>
              <w:t> </w:t>
            </w:r>
            <w:r>
              <w:rPr>
                <w:rFonts w:ascii="Calibri"/>
                <w:sz w:val="22"/>
              </w:rPr>
              <w:t>is</w:t>
            </w:r>
            <w:r>
              <w:rPr>
                <w:rFonts w:ascii="Calibri"/>
                <w:spacing w:val="-4"/>
                <w:sz w:val="22"/>
              </w:rPr>
              <w:t> </w:t>
            </w:r>
            <w:r>
              <w:rPr>
                <w:rFonts w:ascii="Calibri"/>
                <w:sz w:val="22"/>
              </w:rPr>
              <w:t>true</w:t>
            </w:r>
            <w:r>
              <w:rPr>
                <w:rFonts w:ascii="Calibri"/>
                <w:spacing w:val="-4"/>
                <w:sz w:val="22"/>
              </w:rPr>
              <w:t> </w:t>
            </w:r>
            <w:r>
              <w:rPr>
                <w:rFonts w:ascii="Calibri"/>
                <w:sz w:val="22"/>
              </w:rPr>
              <w:t>to</w:t>
            </w:r>
            <w:r>
              <w:rPr>
                <w:rFonts w:ascii="Calibri"/>
                <w:spacing w:val="-3"/>
                <w:sz w:val="22"/>
              </w:rPr>
              <w:t> </w:t>
            </w:r>
            <w:r>
              <w:rPr>
                <w:rFonts w:ascii="Calibri"/>
                <w:sz w:val="22"/>
              </w:rPr>
              <w:t>the</w:t>
            </w:r>
            <w:r>
              <w:rPr>
                <w:rFonts w:ascii="Calibri"/>
                <w:spacing w:val="-1"/>
                <w:sz w:val="22"/>
              </w:rPr>
              <w:t> </w:t>
            </w:r>
            <w:r>
              <w:rPr>
                <w:rFonts w:ascii="Calibri"/>
                <w:sz w:val="22"/>
              </w:rPr>
              <w:t>best</w:t>
            </w:r>
            <w:r>
              <w:rPr>
                <w:rFonts w:ascii="Calibri"/>
                <w:spacing w:val="-4"/>
                <w:sz w:val="22"/>
              </w:rPr>
              <w:t> </w:t>
            </w:r>
            <w:r>
              <w:rPr>
                <w:rFonts w:ascii="Calibri"/>
                <w:sz w:val="22"/>
              </w:rPr>
              <w:t>of</w:t>
            </w:r>
            <w:r>
              <w:rPr>
                <w:rFonts w:ascii="Calibri"/>
                <w:spacing w:val="-4"/>
                <w:sz w:val="22"/>
              </w:rPr>
              <w:t> </w:t>
            </w:r>
            <w:r>
              <w:rPr>
                <w:rFonts w:ascii="Calibri"/>
                <w:sz w:val="22"/>
              </w:rPr>
              <w:t>my</w:t>
            </w:r>
            <w:r>
              <w:rPr>
                <w:rFonts w:ascii="Calibri"/>
                <w:spacing w:val="-2"/>
                <w:sz w:val="22"/>
              </w:rPr>
              <w:t> knowledge.</w:t>
            </w:r>
          </w:p>
          <w:p>
            <w:pPr>
              <w:pStyle w:val="TableParagraph"/>
              <w:tabs>
                <w:tab w:pos="6930" w:val="left" w:leader="none"/>
                <w:tab w:pos="7227" w:val="left" w:leader="none"/>
                <w:tab w:pos="8965" w:val="left" w:leader="none"/>
              </w:tabs>
              <w:spacing w:line="530" w:lineRule="atLeast" w:before="8"/>
              <w:ind w:left="104" w:right="458"/>
              <w:rPr>
                <w:rFonts w:ascii="Calibri" w:hAnsi="Calibri"/>
                <w:sz w:val="22"/>
              </w:rPr>
            </w:pPr>
            <w:r>
              <w:rPr>
                <w:rFonts w:ascii="Calibri" w:hAnsi="Calibri"/>
                <w:sz w:val="22"/>
              </w:rPr>
              <w:t>Complainant’s Signature:</w:t>
            </w:r>
            <w:r>
              <w:rPr>
                <w:rFonts w:ascii="Calibri" w:hAnsi="Calibri"/>
                <w:spacing w:val="147"/>
                <w:sz w:val="22"/>
              </w:rPr>
              <w:t> </w:t>
            </w:r>
            <w:r>
              <w:rPr>
                <w:rFonts w:ascii="Calibri" w:hAnsi="Calibri"/>
                <w:sz w:val="22"/>
                <w:u w:val="single"/>
              </w:rPr>
              <w:tab/>
            </w:r>
            <w:r>
              <w:rPr>
                <w:rFonts w:ascii="Calibri" w:hAnsi="Calibri"/>
                <w:sz w:val="22"/>
              </w:rPr>
              <w:tab/>
              <w:t>Date: </w:t>
            </w:r>
            <w:r>
              <w:rPr>
                <w:rFonts w:ascii="Calibri" w:hAnsi="Calibri"/>
                <w:sz w:val="22"/>
                <w:u w:val="single"/>
              </w:rPr>
              <w:tab/>
            </w:r>
            <w:r>
              <w:rPr>
                <w:rFonts w:ascii="Calibri" w:hAnsi="Calibri"/>
                <w:sz w:val="22"/>
              </w:rPr>
              <w:t> Printed or Typed Name of Complainant:</w:t>
            </w:r>
            <w:r>
              <w:rPr>
                <w:rFonts w:ascii="Calibri" w:hAnsi="Calibri"/>
                <w:spacing w:val="80"/>
                <w:sz w:val="22"/>
              </w:rPr>
              <w:t> </w:t>
            </w:r>
            <w:r>
              <w:rPr>
                <w:rFonts w:ascii="Calibri" w:hAnsi="Calibri"/>
                <w:sz w:val="22"/>
                <w:u w:val="single"/>
              </w:rPr>
              <w:tab/>
              <w:tab/>
              <w:tab/>
            </w:r>
          </w:p>
        </w:tc>
      </w:tr>
    </w:tbl>
    <w:p>
      <w:pPr>
        <w:pStyle w:val="BodyText"/>
        <w:spacing w:before="7"/>
        <w:rPr>
          <w:b/>
          <w:sz w:val="28"/>
        </w:rPr>
      </w:pPr>
    </w:p>
    <w:p>
      <w:pPr>
        <w:spacing w:before="40"/>
        <w:ind w:left="3404" w:right="3417" w:firstLine="0"/>
        <w:jc w:val="center"/>
        <w:rPr>
          <w:b/>
          <w:sz w:val="30"/>
        </w:rPr>
      </w:pPr>
      <w:r>
        <w:rPr>
          <w:b/>
          <w:sz w:val="30"/>
        </w:rPr>
        <w:t>Please</w:t>
      </w:r>
      <w:r>
        <w:rPr>
          <w:b/>
          <w:spacing w:val="-4"/>
          <w:sz w:val="30"/>
        </w:rPr>
        <w:t> </w:t>
      </w:r>
      <w:r>
        <w:rPr>
          <w:b/>
          <w:sz w:val="30"/>
        </w:rPr>
        <w:t>Mail</w:t>
      </w:r>
      <w:r>
        <w:rPr>
          <w:b/>
          <w:spacing w:val="-3"/>
          <w:sz w:val="30"/>
        </w:rPr>
        <w:t> </w:t>
      </w:r>
      <w:r>
        <w:rPr>
          <w:b/>
          <w:sz w:val="30"/>
        </w:rPr>
        <w:t>Complaint</w:t>
      </w:r>
      <w:r>
        <w:rPr>
          <w:b/>
          <w:spacing w:val="-4"/>
          <w:sz w:val="30"/>
        </w:rPr>
        <w:t> </w:t>
      </w:r>
      <w:r>
        <w:rPr>
          <w:b/>
          <w:spacing w:val="-5"/>
          <w:sz w:val="30"/>
        </w:rPr>
        <w:t>to:</w:t>
      </w:r>
    </w:p>
    <w:p>
      <w:pPr>
        <w:spacing w:before="1"/>
        <w:ind w:left="3404" w:right="3500" w:firstLine="0"/>
        <w:jc w:val="center"/>
        <w:rPr>
          <w:sz w:val="28"/>
        </w:rPr>
      </w:pPr>
      <w:r>
        <w:rPr>
          <w:sz w:val="28"/>
        </w:rPr>
        <w:t>Maine</w:t>
      </w:r>
      <w:r>
        <w:rPr>
          <w:spacing w:val="-13"/>
          <w:sz w:val="28"/>
        </w:rPr>
        <w:t> </w:t>
      </w:r>
      <w:r>
        <w:rPr>
          <w:sz w:val="28"/>
        </w:rPr>
        <w:t>Department</w:t>
      </w:r>
      <w:r>
        <w:rPr>
          <w:spacing w:val="-13"/>
          <w:sz w:val="28"/>
        </w:rPr>
        <w:t> </w:t>
      </w:r>
      <w:r>
        <w:rPr>
          <w:sz w:val="28"/>
        </w:rPr>
        <w:t>of</w:t>
      </w:r>
      <w:r>
        <w:rPr>
          <w:spacing w:val="-12"/>
          <w:sz w:val="28"/>
        </w:rPr>
        <w:t> </w:t>
      </w:r>
      <w:r>
        <w:rPr>
          <w:sz w:val="28"/>
        </w:rPr>
        <w:t>Transportation Civil Rights Office</w:t>
      </w:r>
    </w:p>
    <w:p>
      <w:pPr>
        <w:spacing w:line="280" w:lineRule="auto" w:before="3"/>
        <w:ind w:left="3818" w:right="3917" w:hanging="1"/>
        <w:jc w:val="center"/>
        <w:rPr>
          <w:sz w:val="28"/>
        </w:rPr>
      </w:pPr>
      <w:r>
        <w:rPr>
          <w:sz w:val="28"/>
        </w:rPr>
        <w:t>State House Station 16 Augusta, Maine 04333-0016 Attention:</w:t>
      </w:r>
      <w:r>
        <w:rPr>
          <w:spacing w:val="-13"/>
          <w:sz w:val="28"/>
        </w:rPr>
        <w:t> </w:t>
      </w:r>
      <w:r>
        <w:rPr>
          <w:sz w:val="28"/>
        </w:rPr>
        <w:t>Sherry</w:t>
      </w:r>
      <w:r>
        <w:rPr>
          <w:spacing w:val="-13"/>
          <w:sz w:val="28"/>
        </w:rPr>
        <w:t> </w:t>
      </w:r>
      <w:r>
        <w:rPr>
          <w:sz w:val="28"/>
        </w:rPr>
        <w:t>Y.</w:t>
      </w:r>
      <w:r>
        <w:rPr>
          <w:spacing w:val="-12"/>
          <w:sz w:val="28"/>
        </w:rPr>
        <w:t> </w:t>
      </w:r>
      <w:r>
        <w:rPr>
          <w:sz w:val="28"/>
        </w:rPr>
        <w:t>Tompkins</w:t>
      </w:r>
    </w:p>
    <w:p>
      <w:pPr>
        <w:spacing w:line="278" w:lineRule="auto" w:before="0"/>
        <w:ind w:left="2316" w:right="2415" w:hanging="1"/>
        <w:jc w:val="center"/>
        <w:rPr>
          <w:sz w:val="28"/>
        </w:rPr>
      </w:pPr>
      <w:r>
        <w:rPr>
          <w:sz w:val="28"/>
        </w:rPr>
        <w:t>Email: </w:t>
      </w:r>
      <w:hyperlink r:id="rId8">
        <w:r>
          <w:rPr>
            <w:color w:val="0000FF"/>
            <w:sz w:val="28"/>
            <w:u w:val="single" w:color="0000FF"/>
          </w:rPr>
          <w:t>sherry.tompkins@maine.gov</w:t>
        </w:r>
      </w:hyperlink>
      <w:r>
        <w:rPr>
          <w:sz w:val="28"/>
        </w:rPr>
        <w:t>, Fax: 207-624-3021 Phone:</w:t>
      </w:r>
      <w:r>
        <w:rPr>
          <w:spacing w:val="-5"/>
          <w:sz w:val="28"/>
        </w:rPr>
        <w:t> </w:t>
      </w:r>
      <w:r>
        <w:rPr>
          <w:sz w:val="28"/>
        </w:rPr>
        <w:t>(207)</w:t>
      </w:r>
      <w:r>
        <w:rPr>
          <w:spacing w:val="-3"/>
          <w:sz w:val="28"/>
        </w:rPr>
        <w:t> </w:t>
      </w:r>
      <w:r>
        <w:rPr>
          <w:sz w:val="28"/>
        </w:rPr>
        <w:t>624-3066</w:t>
      </w:r>
      <w:r>
        <w:rPr>
          <w:spacing w:val="-5"/>
          <w:sz w:val="28"/>
        </w:rPr>
        <w:t> </w:t>
      </w:r>
      <w:r>
        <w:rPr>
          <w:sz w:val="28"/>
        </w:rPr>
        <w:t>~</w:t>
      </w:r>
      <w:r>
        <w:rPr>
          <w:spacing w:val="-5"/>
          <w:sz w:val="28"/>
        </w:rPr>
        <w:t> </w:t>
      </w:r>
      <w:r>
        <w:rPr>
          <w:sz w:val="28"/>
        </w:rPr>
        <w:t>TTY</w:t>
      </w:r>
      <w:r>
        <w:rPr>
          <w:spacing w:val="-5"/>
          <w:sz w:val="28"/>
        </w:rPr>
        <w:t> </w:t>
      </w:r>
      <w:r>
        <w:rPr>
          <w:sz w:val="28"/>
        </w:rPr>
        <w:t>Users</w:t>
      </w:r>
      <w:r>
        <w:rPr>
          <w:spacing w:val="-4"/>
          <w:sz w:val="28"/>
        </w:rPr>
        <w:t> </w:t>
      </w:r>
      <w:r>
        <w:rPr>
          <w:sz w:val="28"/>
        </w:rPr>
        <w:t>dial</w:t>
      </w:r>
      <w:r>
        <w:rPr>
          <w:spacing w:val="-4"/>
          <w:sz w:val="28"/>
        </w:rPr>
        <w:t> </w:t>
      </w:r>
      <w:r>
        <w:rPr>
          <w:sz w:val="28"/>
        </w:rPr>
        <w:t>Maine</w:t>
      </w:r>
      <w:r>
        <w:rPr>
          <w:spacing w:val="-5"/>
          <w:sz w:val="28"/>
        </w:rPr>
        <w:t> </w:t>
      </w:r>
      <w:r>
        <w:rPr>
          <w:sz w:val="28"/>
        </w:rPr>
        <w:t>Relay</w:t>
      </w:r>
      <w:r>
        <w:rPr>
          <w:spacing w:val="-4"/>
          <w:sz w:val="28"/>
        </w:rPr>
        <w:t> </w:t>
      </w:r>
      <w:r>
        <w:rPr>
          <w:sz w:val="28"/>
        </w:rPr>
        <w:t>711</w:t>
      </w:r>
    </w:p>
    <w:p>
      <w:pPr>
        <w:spacing w:after="0" w:line="278" w:lineRule="auto"/>
        <w:jc w:val="center"/>
        <w:rPr>
          <w:sz w:val="28"/>
        </w:rPr>
        <w:sectPr>
          <w:type w:val="continuous"/>
          <w:pgSz w:w="12240" w:h="15840"/>
          <w:pgMar w:header="0" w:footer="997" w:top="980" w:bottom="1260" w:left="600" w:right="500"/>
        </w:sectPr>
      </w:pPr>
    </w:p>
    <w:p>
      <w:pPr>
        <w:pStyle w:val="BodyText"/>
        <w:spacing w:before="28"/>
        <w:ind w:left="840"/>
      </w:pPr>
      <w:r>
        <w:rPr/>
        <w:t>A</w:t>
      </w:r>
      <w:r>
        <w:rPr>
          <w:spacing w:val="-3"/>
        </w:rPr>
        <w:t> </w:t>
      </w:r>
      <w:r>
        <w:rPr/>
        <w:t>person</w:t>
      </w:r>
      <w:r>
        <w:rPr>
          <w:spacing w:val="1"/>
        </w:rPr>
        <w:t> </w:t>
      </w:r>
      <w:r>
        <w:rPr/>
        <w:t>may</w:t>
      </w:r>
      <w:r>
        <w:rPr>
          <w:spacing w:val="-1"/>
        </w:rPr>
        <w:t> </w:t>
      </w:r>
      <w:r>
        <w:rPr/>
        <w:t>also</w:t>
      </w:r>
      <w:r>
        <w:rPr>
          <w:spacing w:val="-2"/>
        </w:rPr>
        <w:t> </w:t>
      </w:r>
      <w:r>
        <w:rPr/>
        <w:t>file</w:t>
      </w:r>
      <w:r>
        <w:rPr>
          <w:spacing w:val="-2"/>
        </w:rPr>
        <w:t> </w:t>
      </w:r>
      <w:r>
        <w:rPr/>
        <w:t>a</w:t>
      </w:r>
      <w:r>
        <w:rPr>
          <w:spacing w:val="-3"/>
        </w:rPr>
        <w:t> </w:t>
      </w:r>
      <w:r>
        <w:rPr/>
        <w:t>complaint</w:t>
      </w:r>
      <w:r>
        <w:rPr>
          <w:spacing w:val="-2"/>
        </w:rPr>
        <w:t> </w:t>
      </w:r>
      <w:r>
        <w:rPr/>
        <w:t>directly</w:t>
      </w:r>
      <w:r>
        <w:rPr>
          <w:spacing w:val="-4"/>
        </w:rPr>
        <w:t> </w:t>
      </w:r>
      <w:r>
        <w:rPr/>
        <w:t>with</w:t>
      </w:r>
      <w:r>
        <w:rPr>
          <w:spacing w:val="-2"/>
        </w:rPr>
        <w:t> </w:t>
      </w:r>
      <w:r>
        <w:rPr/>
        <w:t>the Federal</w:t>
      </w:r>
      <w:r>
        <w:rPr>
          <w:spacing w:val="-3"/>
        </w:rPr>
        <w:t> </w:t>
      </w:r>
      <w:r>
        <w:rPr/>
        <w:t>Transit</w:t>
      </w:r>
      <w:r>
        <w:rPr>
          <w:spacing w:val="-2"/>
        </w:rPr>
        <w:t> Administration:</w:t>
      </w:r>
    </w:p>
    <w:p>
      <w:pPr>
        <w:pStyle w:val="BodyText"/>
        <w:spacing w:before="12"/>
        <w:rPr>
          <w:sz w:val="23"/>
        </w:rPr>
      </w:pPr>
    </w:p>
    <w:p>
      <w:pPr>
        <w:pStyle w:val="Heading9"/>
        <w:ind w:left="3401" w:right="3500"/>
        <w:jc w:val="center"/>
      </w:pPr>
      <w:r>
        <w:rPr/>
        <w:t>Federal Transit</w:t>
      </w:r>
      <w:r>
        <w:rPr>
          <w:spacing w:val="-2"/>
        </w:rPr>
        <w:t> Administration</w:t>
      </w:r>
    </w:p>
    <w:p>
      <w:pPr>
        <w:pStyle w:val="BodyText"/>
        <w:ind w:left="4778" w:right="4877"/>
        <w:jc w:val="center"/>
      </w:pPr>
      <w:r>
        <w:rPr/>
        <w:t>Region</w:t>
      </w:r>
      <w:r>
        <w:rPr>
          <w:spacing w:val="-14"/>
        </w:rPr>
        <w:t> </w:t>
      </w:r>
      <w:r>
        <w:rPr/>
        <w:t>1</w:t>
      </w:r>
      <w:r>
        <w:rPr>
          <w:spacing w:val="-14"/>
        </w:rPr>
        <w:t> </w:t>
      </w:r>
      <w:r>
        <w:rPr/>
        <w:t>Office Kendall</w:t>
      </w:r>
      <w:r>
        <w:rPr>
          <w:spacing w:val="-2"/>
        </w:rPr>
        <w:t> Square</w:t>
      </w:r>
    </w:p>
    <w:p>
      <w:pPr>
        <w:pStyle w:val="BodyText"/>
        <w:spacing w:line="293" w:lineRule="exact"/>
        <w:ind w:left="3404" w:right="3500"/>
        <w:jc w:val="center"/>
      </w:pPr>
      <w:r>
        <w:rPr/>
        <w:t>55</w:t>
      </w:r>
      <w:r>
        <w:rPr>
          <w:spacing w:val="-4"/>
        </w:rPr>
        <w:t> </w:t>
      </w:r>
      <w:r>
        <w:rPr/>
        <w:t>Broadway,</w:t>
      </w:r>
      <w:r>
        <w:rPr>
          <w:spacing w:val="-1"/>
        </w:rPr>
        <w:t> </w:t>
      </w:r>
      <w:r>
        <w:rPr/>
        <w:t>Suite</w:t>
      </w:r>
      <w:r>
        <w:rPr>
          <w:spacing w:val="-1"/>
        </w:rPr>
        <w:t> </w:t>
      </w:r>
      <w:r>
        <w:rPr>
          <w:spacing w:val="-5"/>
        </w:rPr>
        <w:t>920</w:t>
      </w:r>
    </w:p>
    <w:p>
      <w:pPr>
        <w:pStyle w:val="BodyText"/>
        <w:spacing w:before="2"/>
        <w:ind w:left="3401" w:right="3500"/>
        <w:jc w:val="center"/>
      </w:pPr>
      <w:r>
        <w:rPr/>
        <w:t>Cambridge,</w:t>
      </w:r>
      <w:r>
        <w:rPr>
          <w:spacing w:val="-4"/>
        </w:rPr>
        <w:t> </w:t>
      </w:r>
      <w:r>
        <w:rPr/>
        <w:t>MA</w:t>
      </w:r>
      <w:r>
        <w:rPr>
          <w:spacing w:val="-3"/>
        </w:rPr>
        <w:t> </w:t>
      </w:r>
      <w:r>
        <w:rPr/>
        <w:t>02142-</w:t>
      </w:r>
      <w:r>
        <w:rPr>
          <w:spacing w:val="-4"/>
        </w:rPr>
        <w:t>1093</w:t>
      </w:r>
    </w:p>
    <w:p>
      <w:pPr>
        <w:pStyle w:val="BodyText"/>
        <w:ind w:left="3401" w:right="3500"/>
        <w:jc w:val="center"/>
      </w:pPr>
      <w:r>
        <w:rPr/>
        <w:t>Phone:</w:t>
      </w:r>
      <w:r>
        <w:rPr>
          <w:spacing w:val="-7"/>
        </w:rPr>
        <w:t> </w:t>
      </w:r>
      <w:r>
        <w:rPr/>
        <w:t>617-494-</w:t>
      </w:r>
      <w:r>
        <w:rPr>
          <w:spacing w:val="-4"/>
        </w:rPr>
        <w:t>2729</w:t>
      </w:r>
    </w:p>
    <w:p>
      <w:pPr>
        <w:pStyle w:val="BodyText"/>
        <w:spacing w:before="11"/>
        <w:rPr>
          <w:sz w:val="23"/>
        </w:rPr>
      </w:pPr>
    </w:p>
    <w:p>
      <w:pPr>
        <w:pStyle w:val="BodyText"/>
        <w:spacing w:before="1"/>
        <w:ind w:left="3400" w:right="3500"/>
        <w:jc w:val="center"/>
      </w:pPr>
      <w:r>
        <w:rPr>
          <w:spacing w:val="-5"/>
        </w:rPr>
        <w:t>Or</w:t>
      </w:r>
    </w:p>
    <w:p>
      <w:pPr>
        <w:pStyle w:val="BodyText"/>
        <w:spacing w:before="11"/>
        <w:rPr>
          <w:sz w:val="23"/>
        </w:rPr>
      </w:pPr>
    </w:p>
    <w:p>
      <w:pPr>
        <w:pStyle w:val="BodyText"/>
        <w:ind w:left="4014" w:right="4113"/>
        <w:jc w:val="center"/>
      </w:pPr>
      <w:r>
        <w:rPr>
          <w:b/>
        </w:rPr>
        <w:t>Federal</w:t>
      </w:r>
      <w:r>
        <w:rPr>
          <w:b/>
          <w:spacing w:val="-14"/>
        </w:rPr>
        <w:t> </w:t>
      </w:r>
      <w:r>
        <w:rPr>
          <w:b/>
        </w:rPr>
        <w:t>Transit</w:t>
      </w:r>
      <w:r>
        <w:rPr>
          <w:b/>
          <w:spacing w:val="-14"/>
        </w:rPr>
        <w:t> </w:t>
      </w:r>
      <w:r>
        <w:rPr>
          <w:b/>
        </w:rPr>
        <w:t>Administration </w:t>
      </w:r>
      <w:r>
        <w:rPr/>
        <w:t>Office of Civil Rights,</w:t>
      </w:r>
      <w:r>
        <w:rPr>
          <w:spacing w:val="40"/>
        </w:rPr>
        <w:t> </w:t>
      </w:r>
      <w:r>
        <w:rPr/>
        <w:t>Attention: Title VI Coordinator East Building, 5th Floor-TCR 1200 New Jersey Ave., SE Washington, D.C. 20590</w:t>
      </w:r>
    </w:p>
    <w:p>
      <w:pPr>
        <w:pStyle w:val="BodyText"/>
        <w:spacing w:before="12"/>
        <w:rPr>
          <w:sz w:val="22"/>
        </w:rPr>
      </w:pPr>
    </w:p>
    <w:p>
      <w:pPr>
        <w:pStyle w:val="BodyText"/>
        <w:spacing w:line="252" w:lineRule="auto"/>
        <w:ind w:left="2834" w:right="2496" w:firstLine="259"/>
      </w:pPr>
      <w:r>
        <w:rPr/>
        <w:t>Language</w:t>
      </w:r>
      <w:r>
        <w:rPr>
          <w:spacing w:val="-8"/>
        </w:rPr>
        <w:t> </w:t>
      </w:r>
      <w:r>
        <w:rPr/>
        <w:t>translation</w:t>
      </w:r>
      <w:r>
        <w:rPr>
          <w:spacing w:val="-5"/>
        </w:rPr>
        <w:t> </w:t>
      </w:r>
      <w:r>
        <w:rPr/>
        <w:t>services</w:t>
      </w:r>
      <w:r>
        <w:rPr>
          <w:spacing w:val="-7"/>
        </w:rPr>
        <w:t> </w:t>
      </w:r>
      <w:r>
        <w:rPr/>
        <w:t>available</w:t>
      </w:r>
      <w:r>
        <w:rPr>
          <w:spacing w:val="-8"/>
        </w:rPr>
        <w:t> </w:t>
      </w:r>
      <w:r>
        <w:rPr/>
        <w:t>upon</w:t>
      </w:r>
      <w:r>
        <w:rPr>
          <w:spacing w:val="-8"/>
        </w:rPr>
        <w:t> </w:t>
      </w:r>
      <w:r>
        <w:rPr/>
        <w:t>request. Services de traduction langue disponibles sur demande</w:t>
      </w:r>
    </w:p>
    <w:p>
      <w:pPr>
        <w:pStyle w:val="BodyText"/>
        <w:spacing w:line="278" w:lineRule="exact"/>
        <w:ind w:left="3122"/>
      </w:pPr>
      <w:r>
        <w:rPr/>
        <w:t>Servicios</w:t>
      </w:r>
      <w:r>
        <w:rPr>
          <w:spacing w:val="-2"/>
        </w:rPr>
        <w:t> </w:t>
      </w:r>
      <w:r>
        <w:rPr/>
        <w:t>de</w:t>
      </w:r>
      <w:r>
        <w:rPr>
          <w:spacing w:val="-2"/>
        </w:rPr>
        <w:t> </w:t>
      </w:r>
      <w:r>
        <w:rPr/>
        <w:t>traducción disponibles</w:t>
      </w:r>
      <w:r>
        <w:rPr>
          <w:spacing w:val="-3"/>
        </w:rPr>
        <w:t> </w:t>
      </w:r>
      <w:r>
        <w:rPr/>
        <w:t>bajo</w:t>
      </w:r>
      <w:r>
        <w:rPr>
          <w:spacing w:val="-2"/>
        </w:rPr>
        <w:t> petición.</w:t>
      </w:r>
    </w:p>
    <w:p>
      <w:pPr>
        <w:pStyle w:val="BodyText"/>
        <w:spacing w:before="2"/>
        <w:ind w:left="3401" w:right="3500"/>
        <w:jc w:val="center"/>
        <w:rPr>
          <w:rFonts w:ascii="MS PGothic" w:eastAsia="MS PGothic" w:hint="eastAsia"/>
        </w:rPr>
      </w:pPr>
      <w:r>
        <w:rPr/>
        <mc:AlternateContent>
          <mc:Choice Requires="wps">
            <w:drawing>
              <wp:anchor distT="0" distB="0" distL="0" distR="0" allowOverlap="1" layoutInCell="1" locked="0" behindDoc="1" simplePos="0" relativeHeight="487591936">
                <wp:simplePos x="0" y="0"/>
                <wp:positionH relativeFrom="page">
                  <wp:posOffset>896111</wp:posOffset>
                </wp:positionH>
                <wp:positionV relativeFrom="paragraph">
                  <wp:posOffset>207010</wp:posOffset>
                </wp:positionV>
                <wp:extent cx="5980430" cy="558165"/>
                <wp:effectExtent l="0" t="0" r="0" b="0"/>
                <wp:wrapTopAndBottom/>
                <wp:docPr id="28" name="Textbox 28"/>
                <wp:cNvGraphicFramePr>
                  <a:graphicFrameLocks/>
                </wp:cNvGraphicFramePr>
                <a:graphic>
                  <a:graphicData uri="http://schemas.microsoft.com/office/word/2010/wordprocessingShape">
                    <wps:wsp>
                      <wps:cNvPr id="28" name="Textbox 28"/>
                      <wps:cNvSpPr txBox="1"/>
                      <wps:spPr>
                        <a:xfrm>
                          <a:off x="0" y="0"/>
                          <a:ext cx="5980430" cy="558165"/>
                        </a:xfrm>
                        <a:prstGeom prst="rect">
                          <a:avLst/>
                        </a:prstGeom>
                        <a:solidFill>
                          <a:srgbClr val="F5F5F5"/>
                        </a:solidFill>
                      </wps:spPr>
                      <wps:txbx>
                        <w:txbxContent>
                          <w:p>
                            <w:pPr>
                              <w:pStyle w:val="BodyText"/>
                              <w:ind w:left="2317" w:right="2316"/>
                              <w:jc w:val="center"/>
                              <w:rPr>
                                <w:color w:val="000000"/>
                              </w:rPr>
                            </w:pPr>
                            <w:r>
                              <w:rPr>
                                <w:color w:val="212121"/>
                              </w:rPr>
                              <w:t>Lugha</w:t>
                            </w:r>
                            <w:r>
                              <w:rPr>
                                <w:color w:val="212121"/>
                                <w:spacing w:val="-4"/>
                              </w:rPr>
                              <w:t> </w:t>
                            </w:r>
                            <w:r>
                              <w:rPr>
                                <w:color w:val="212121"/>
                              </w:rPr>
                              <w:t>ya</w:t>
                            </w:r>
                            <w:r>
                              <w:rPr>
                                <w:color w:val="212121"/>
                                <w:spacing w:val="-7"/>
                              </w:rPr>
                              <w:t> </w:t>
                            </w:r>
                            <w:r>
                              <w:rPr>
                                <w:color w:val="212121"/>
                              </w:rPr>
                              <w:t>tafsiri</w:t>
                            </w:r>
                            <w:r>
                              <w:rPr>
                                <w:color w:val="212121"/>
                                <w:spacing w:val="-7"/>
                              </w:rPr>
                              <w:t> </w:t>
                            </w:r>
                            <w:r>
                              <w:rPr>
                                <w:color w:val="212121"/>
                              </w:rPr>
                              <w:t>huduma</w:t>
                            </w:r>
                            <w:r>
                              <w:rPr>
                                <w:color w:val="212121"/>
                                <w:spacing w:val="-7"/>
                              </w:rPr>
                              <w:t> </w:t>
                            </w:r>
                            <w:r>
                              <w:rPr>
                                <w:color w:val="212121"/>
                              </w:rPr>
                              <w:t>inapatikana</w:t>
                            </w:r>
                            <w:r>
                              <w:rPr>
                                <w:color w:val="212121"/>
                                <w:spacing w:val="-4"/>
                              </w:rPr>
                              <w:t> </w:t>
                            </w:r>
                            <w:r>
                              <w:rPr>
                                <w:color w:val="212121"/>
                              </w:rPr>
                              <w:t>juu</w:t>
                            </w:r>
                            <w:r>
                              <w:rPr>
                                <w:color w:val="212121"/>
                                <w:spacing w:val="-6"/>
                              </w:rPr>
                              <w:t> </w:t>
                            </w:r>
                            <w:r>
                              <w:rPr>
                                <w:color w:val="212121"/>
                              </w:rPr>
                              <w:t>ya</w:t>
                            </w:r>
                            <w:r>
                              <w:rPr>
                                <w:color w:val="212121"/>
                                <w:spacing w:val="-4"/>
                              </w:rPr>
                              <w:t> </w:t>
                            </w:r>
                            <w:r>
                              <w:rPr>
                                <w:color w:val="212121"/>
                              </w:rPr>
                              <w:t>ombi. Ladenan panarjamahan Basa aya kana paménta.</w:t>
                            </w:r>
                          </w:p>
                          <w:p>
                            <w:pPr>
                              <w:pStyle w:val="BodyText"/>
                              <w:bidi/>
                              <w:ind w:right="2314" w:left="2316" w:firstLine="0"/>
                              <w:jc w:val="center"/>
                              <w:rPr>
                                <w:color w:val="000000"/>
                              </w:rPr>
                            </w:pPr>
                            <w:r>
                              <w:rPr>
                                <w:color w:val="000000"/>
                                <w:spacing w:val="-4"/>
                                <w:rtl/>
                              </w:rPr>
                              <w:t>ﺧﺪﻣﺎت</w:t>
                            </w:r>
                            <w:r>
                              <w:rPr>
                                <w:color w:val="000000"/>
                                <w:spacing w:val="11"/>
                                <w:rtl/>
                              </w:rPr>
                              <w:t> </w:t>
                            </w:r>
                            <w:r>
                              <w:rPr>
                                <w:color w:val="000000"/>
                                <w:rtl/>
                              </w:rPr>
                              <w:t>اﻟ</w:t>
                            </w:r>
                            <w:r>
                              <w:rPr>
                                <w:color w:val="000000"/>
                                <w:spacing w:val="-9"/>
                                <w:position w:val="10"/>
                                <w:rtl/>
                              </w:rPr>
                              <w:t> </w:t>
                            </w:r>
                            <w:r>
                              <w:rPr>
                                <w:color w:val="000000"/>
                                <w:spacing w:val="-54"/>
                                <w:position w:val="10"/>
                                <w:rtl/>
                              </w:rPr>
                              <w:t>ت</w:t>
                            </w:r>
                            <w:r>
                              <w:rPr>
                                <w:color w:val="000000"/>
                                <w:spacing w:val="-54"/>
                              </w:rPr>
                              <w:t>�</w:t>
                            </w:r>
                            <w:r>
                              <w:rPr>
                                <w:color w:val="000000"/>
                                <w:spacing w:val="-54"/>
                                <w:rtl/>
                              </w:rPr>
                              <w:t>ﺟﻤﺔ</w:t>
                            </w:r>
                            <w:r>
                              <w:rPr>
                                <w:color w:val="000000"/>
                                <w:spacing w:val="11"/>
                                <w:rtl/>
                              </w:rPr>
                              <w:t> </w:t>
                            </w:r>
                            <w:r>
                              <w:rPr>
                                <w:color w:val="000000"/>
                                <w:rtl/>
                              </w:rPr>
                              <w:t>اﻟﻠﻐﺔ</w:t>
                            </w:r>
                            <w:r>
                              <w:rPr>
                                <w:color w:val="000000"/>
                                <w:spacing w:val="12"/>
                                <w:rtl/>
                              </w:rPr>
                              <w:t> </w:t>
                            </w:r>
                            <w:r>
                              <w:rPr>
                                <w:color w:val="000000"/>
                                <w:rtl/>
                              </w:rPr>
                              <w:t>ﻣﺘﺎﺣﺔ</w:t>
                            </w:r>
                            <w:r>
                              <w:rPr>
                                <w:color w:val="000000"/>
                                <w:spacing w:val="11"/>
                                <w:rtl/>
                              </w:rPr>
                              <w:t> </w:t>
                            </w:r>
                            <w:r>
                              <w:rPr>
                                <w:color w:val="000000"/>
                                <w:rtl/>
                              </w:rPr>
                              <w:t>ﻋﻨﺪ</w:t>
                            </w:r>
                            <w:r>
                              <w:rPr>
                                <w:color w:val="000000"/>
                                <w:spacing w:val="6"/>
                                <w:rtl/>
                              </w:rPr>
                              <w:t> </w:t>
                            </w:r>
                            <w:r>
                              <w:rPr>
                                <w:color w:val="000000"/>
                                <w:rtl/>
                              </w:rPr>
                              <w:t>اﻟﻄﻠ</w:t>
                            </w:r>
                            <w:r>
                              <w:rPr>
                                <w:color w:val="000000"/>
                                <w:rtl/>
                              </w:rPr>
                              <w:t>ﺐ</w:t>
                            </w:r>
                          </w:p>
                        </w:txbxContent>
                      </wps:txbx>
                      <wps:bodyPr wrap="square" lIns="0" tIns="0" rIns="0" bIns="0" rtlCol="0">
                        <a:noAutofit/>
                      </wps:bodyPr>
                    </wps:wsp>
                  </a:graphicData>
                </a:graphic>
              </wp:anchor>
            </w:drawing>
          </mc:Choice>
          <mc:Fallback>
            <w:pict>
              <v:shape style="position:absolute;margin-left:70.559998pt;margin-top:16.300011pt;width:470.9pt;height:43.95pt;mso-position-horizontal-relative:page;mso-position-vertical-relative:paragraph;z-index:-15724544;mso-wrap-distance-left:0;mso-wrap-distance-right:0" type="#_x0000_t202" id="docshape24" filled="true" fillcolor="#f5f5f5" stroked="false">
                <v:textbox inset="0,0,0,0">
                  <w:txbxContent>
                    <w:p>
                      <w:pPr>
                        <w:pStyle w:val="BodyText"/>
                        <w:ind w:left="2317" w:right="2316"/>
                        <w:jc w:val="center"/>
                        <w:rPr>
                          <w:color w:val="000000"/>
                        </w:rPr>
                      </w:pPr>
                      <w:r>
                        <w:rPr>
                          <w:color w:val="212121"/>
                        </w:rPr>
                        <w:t>Lugha</w:t>
                      </w:r>
                      <w:r>
                        <w:rPr>
                          <w:color w:val="212121"/>
                          <w:spacing w:val="-4"/>
                        </w:rPr>
                        <w:t> </w:t>
                      </w:r>
                      <w:r>
                        <w:rPr>
                          <w:color w:val="212121"/>
                        </w:rPr>
                        <w:t>ya</w:t>
                      </w:r>
                      <w:r>
                        <w:rPr>
                          <w:color w:val="212121"/>
                          <w:spacing w:val="-7"/>
                        </w:rPr>
                        <w:t> </w:t>
                      </w:r>
                      <w:r>
                        <w:rPr>
                          <w:color w:val="212121"/>
                        </w:rPr>
                        <w:t>tafsiri</w:t>
                      </w:r>
                      <w:r>
                        <w:rPr>
                          <w:color w:val="212121"/>
                          <w:spacing w:val="-7"/>
                        </w:rPr>
                        <w:t> </w:t>
                      </w:r>
                      <w:r>
                        <w:rPr>
                          <w:color w:val="212121"/>
                        </w:rPr>
                        <w:t>huduma</w:t>
                      </w:r>
                      <w:r>
                        <w:rPr>
                          <w:color w:val="212121"/>
                          <w:spacing w:val="-7"/>
                        </w:rPr>
                        <w:t> </w:t>
                      </w:r>
                      <w:r>
                        <w:rPr>
                          <w:color w:val="212121"/>
                        </w:rPr>
                        <w:t>inapatikana</w:t>
                      </w:r>
                      <w:r>
                        <w:rPr>
                          <w:color w:val="212121"/>
                          <w:spacing w:val="-4"/>
                        </w:rPr>
                        <w:t> </w:t>
                      </w:r>
                      <w:r>
                        <w:rPr>
                          <w:color w:val="212121"/>
                        </w:rPr>
                        <w:t>juu</w:t>
                      </w:r>
                      <w:r>
                        <w:rPr>
                          <w:color w:val="212121"/>
                          <w:spacing w:val="-6"/>
                        </w:rPr>
                        <w:t> </w:t>
                      </w:r>
                      <w:r>
                        <w:rPr>
                          <w:color w:val="212121"/>
                        </w:rPr>
                        <w:t>ya</w:t>
                      </w:r>
                      <w:r>
                        <w:rPr>
                          <w:color w:val="212121"/>
                          <w:spacing w:val="-4"/>
                        </w:rPr>
                        <w:t> </w:t>
                      </w:r>
                      <w:r>
                        <w:rPr>
                          <w:color w:val="212121"/>
                        </w:rPr>
                        <w:t>ombi. Ladenan panarjamahan Basa aya kana paménta.</w:t>
                      </w:r>
                    </w:p>
                    <w:p>
                      <w:pPr>
                        <w:pStyle w:val="BodyText"/>
                        <w:bidi/>
                        <w:ind w:right="2314" w:left="2316" w:firstLine="0"/>
                        <w:jc w:val="center"/>
                        <w:rPr>
                          <w:color w:val="000000"/>
                        </w:rPr>
                      </w:pPr>
                      <w:r>
                        <w:rPr>
                          <w:color w:val="000000"/>
                          <w:rtl/>
                        </w:rPr>
                        <w:t>ﺐﻠﻄﻟا</w:t>
                      </w:r>
                      <w:r>
                        <w:rPr>
                          <w:color w:val="000000"/>
                          <w:spacing w:val="6"/>
                          <w:rtl/>
                        </w:rPr>
                        <w:t> </w:t>
                      </w:r>
                      <w:r>
                        <w:rPr>
                          <w:color w:val="000000"/>
                          <w:rtl/>
                        </w:rPr>
                        <w:t>ﺪﻨﻋ</w:t>
                      </w:r>
                      <w:r>
                        <w:rPr>
                          <w:color w:val="000000"/>
                          <w:spacing w:val="11"/>
                          <w:rtl/>
                        </w:rPr>
                        <w:t> </w:t>
                      </w:r>
                      <w:r>
                        <w:rPr>
                          <w:color w:val="000000"/>
                          <w:rtl/>
                        </w:rPr>
                        <w:t>ﺔﺣﺎﺘﻣ</w:t>
                      </w:r>
                      <w:r>
                        <w:rPr>
                          <w:color w:val="000000"/>
                          <w:spacing w:val="12"/>
                          <w:rtl/>
                        </w:rPr>
                        <w:t> </w:t>
                      </w:r>
                      <w:r>
                        <w:rPr>
                          <w:color w:val="000000"/>
                          <w:rtl/>
                        </w:rPr>
                        <w:t>ﺔﻐﻠﻟا</w:t>
                      </w:r>
                      <w:r>
                        <w:rPr>
                          <w:color w:val="000000"/>
                          <w:spacing w:val="11"/>
                          <w:rtl/>
                        </w:rPr>
                        <w:t> </w:t>
                      </w:r>
                      <w:r>
                        <w:rPr>
                          <w:color w:val="000000"/>
                          <w:spacing w:val="-54"/>
                          <w:rtl/>
                        </w:rPr>
                        <w:t>ﺔﻤﺟ</w:t>
                      </w:r>
                      <w:r>
                        <w:rPr>
                          <w:color w:val="000000"/>
                          <w:spacing w:val="-54"/>
                        </w:rPr>
                        <w:t>�</w:t>
                      </w:r>
                      <w:r>
                        <w:rPr>
                          <w:color w:val="000000"/>
                          <w:spacing w:val="-54"/>
                          <w:position w:val="10"/>
                          <w:rtl/>
                        </w:rPr>
                        <w:t>ت</w:t>
                      </w:r>
                      <w:r>
                        <w:rPr>
                          <w:color w:val="000000"/>
                          <w:spacing w:val="-9"/>
                          <w:position w:val="10"/>
                          <w:rtl/>
                        </w:rPr>
                        <w:t> </w:t>
                      </w:r>
                      <w:r>
                        <w:rPr>
                          <w:color w:val="000000"/>
                          <w:rtl/>
                        </w:rPr>
                        <w:t>ﻟا</w:t>
                      </w:r>
                      <w:r>
                        <w:rPr>
                          <w:color w:val="000000"/>
                          <w:spacing w:val="11"/>
                          <w:rtl/>
                        </w:rPr>
                        <w:t> </w:t>
                      </w:r>
                      <w:r>
                        <w:rPr>
                          <w:color w:val="000000"/>
                          <w:spacing w:val="-4"/>
                          <w:rtl/>
                        </w:rPr>
                        <w:t>تﺎﻣﺪ</w:t>
                      </w:r>
                      <w:r>
                        <w:rPr>
                          <w:color w:val="000000"/>
                          <w:spacing w:val="-4"/>
                          <w:rtl/>
                        </w:rPr>
                        <w:t>ﺧ</w:t>
                      </w:r>
                    </w:p>
                  </w:txbxContent>
                </v:textbox>
                <v:fill type="solid"/>
                <w10:wrap type="topAndBottom"/>
              </v:shape>
            </w:pict>
          </mc:Fallback>
        </mc:AlternateContent>
      </w:r>
      <w:r>
        <w:rPr>
          <w:rFonts w:ascii="MS PGothic" w:eastAsia="MS PGothic" w:hint="eastAsia"/>
        </w:rPr>
        <w:t>要求提供的</w:t>
      </w:r>
      <w:r>
        <w:rPr>
          <w:rFonts w:ascii="SimSun" w:eastAsia="SimSun"/>
        </w:rPr>
        <w:t>语言翻译服务</w:t>
      </w:r>
      <w:r>
        <w:rPr>
          <w:rFonts w:ascii="MS PGothic" w:eastAsia="MS PGothic" w:hint="eastAsia"/>
          <w:spacing w:val="-10"/>
        </w:rPr>
        <w:t>。</w:t>
      </w:r>
    </w:p>
    <w:p>
      <w:pPr>
        <w:spacing w:before="0"/>
        <w:ind w:left="3225" w:right="935" w:hanging="1918"/>
        <w:jc w:val="left"/>
        <w:rPr>
          <w:i/>
          <w:sz w:val="24"/>
        </w:rPr>
      </w:pPr>
      <w:r>
        <w:rPr>
          <w:i/>
          <w:sz w:val="24"/>
        </w:rPr>
        <w:t>For</w:t>
      </w:r>
      <w:r>
        <w:rPr>
          <w:i/>
          <w:spacing w:val="-3"/>
          <w:sz w:val="24"/>
        </w:rPr>
        <w:t> </w:t>
      </w:r>
      <w:r>
        <w:rPr>
          <w:i/>
          <w:sz w:val="24"/>
        </w:rPr>
        <w:t>more</w:t>
      </w:r>
      <w:r>
        <w:rPr>
          <w:i/>
          <w:spacing w:val="-3"/>
          <w:sz w:val="24"/>
        </w:rPr>
        <w:t> </w:t>
      </w:r>
      <w:r>
        <w:rPr>
          <w:i/>
          <w:sz w:val="24"/>
        </w:rPr>
        <w:t>information</w:t>
      </w:r>
      <w:r>
        <w:rPr>
          <w:i/>
          <w:spacing w:val="-4"/>
          <w:sz w:val="24"/>
        </w:rPr>
        <w:t> </w:t>
      </w:r>
      <w:r>
        <w:rPr>
          <w:i/>
          <w:sz w:val="24"/>
        </w:rPr>
        <w:t>about</w:t>
      </w:r>
      <w:r>
        <w:rPr>
          <w:i/>
          <w:spacing w:val="-2"/>
          <w:sz w:val="24"/>
        </w:rPr>
        <w:t> </w:t>
      </w:r>
      <w:r>
        <w:rPr>
          <w:i/>
          <w:sz w:val="24"/>
        </w:rPr>
        <w:t>these</w:t>
      </w:r>
      <w:r>
        <w:rPr>
          <w:i/>
          <w:spacing w:val="-3"/>
          <w:sz w:val="24"/>
        </w:rPr>
        <w:t> </w:t>
      </w:r>
      <w:r>
        <w:rPr>
          <w:i/>
          <w:sz w:val="24"/>
        </w:rPr>
        <w:t>protections</w:t>
      </w:r>
      <w:r>
        <w:rPr>
          <w:i/>
          <w:spacing w:val="-3"/>
          <w:sz w:val="24"/>
        </w:rPr>
        <w:t> </w:t>
      </w:r>
      <w:r>
        <w:rPr>
          <w:i/>
          <w:sz w:val="24"/>
        </w:rPr>
        <w:t>or</w:t>
      </w:r>
      <w:r>
        <w:rPr>
          <w:i/>
          <w:spacing w:val="-3"/>
          <w:sz w:val="24"/>
        </w:rPr>
        <w:t> </w:t>
      </w:r>
      <w:r>
        <w:rPr>
          <w:i/>
          <w:sz w:val="24"/>
        </w:rPr>
        <w:t>to</w:t>
      </w:r>
      <w:r>
        <w:rPr>
          <w:i/>
          <w:spacing w:val="-3"/>
          <w:sz w:val="24"/>
        </w:rPr>
        <w:t> </w:t>
      </w:r>
      <w:r>
        <w:rPr>
          <w:i/>
          <w:sz w:val="24"/>
        </w:rPr>
        <w:t>file</w:t>
      </w:r>
      <w:r>
        <w:rPr>
          <w:i/>
          <w:spacing w:val="-3"/>
          <w:sz w:val="24"/>
        </w:rPr>
        <w:t> </w:t>
      </w:r>
      <w:r>
        <w:rPr>
          <w:i/>
          <w:sz w:val="24"/>
        </w:rPr>
        <w:t>a</w:t>
      </w:r>
      <w:r>
        <w:rPr>
          <w:i/>
          <w:spacing w:val="-6"/>
          <w:sz w:val="24"/>
        </w:rPr>
        <w:t> </w:t>
      </w:r>
      <w:r>
        <w:rPr>
          <w:i/>
          <w:sz w:val="24"/>
        </w:rPr>
        <w:t>complaint,</w:t>
      </w:r>
      <w:r>
        <w:rPr>
          <w:i/>
          <w:spacing w:val="-3"/>
          <w:sz w:val="24"/>
        </w:rPr>
        <w:t> </w:t>
      </w:r>
      <w:r>
        <w:rPr>
          <w:i/>
          <w:sz w:val="24"/>
        </w:rPr>
        <w:t>please</w:t>
      </w:r>
      <w:r>
        <w:rPr>
          <w:i/>
          <w:spacing w:val="-3"/>
          <w:sz w:val="24"/>
        </w:rPr>
        <w:t> </w:t>
      </w:r>
      <w:r>
        <w:rPr>
          <w:i/>
          <w:sz w:val="24"/>
        </w:rPr>
        <w:t>contact</w:t>
      </w:r>
      <w:r>
        <w:rPr>
          <w:i/>
          <w:spacing w:val="-4"/>
          <w:sz w:val="24"/>
        </w:rPr>
        <w:t> </w:t>
      </w:r>
      <w:r>
        <w:rPr>
          <w:i/>
          <w:sz w:val="24"/>
        </w:rPr>
        <w:t>the</w:t>
      </w:r>
      <w:r>
        <w:rPr>
          <w:i/>
          <w:sz w:val="24"/>
        </w:rPr>
        <w:t> MaineDOT Civil Rights Office at (207) 624-3066</w:t>
      </w:r>
    </w:p>
    <w:p>
      <w:pPr>
        <w:spacing w:after="0"/>
        <w:jc w:val="left"/>
        <w:rPr>
          <w:sz w:val="24"/>
        </w:rPr>
        <w:sectPr>
          <w:pgSz w:w="12240" w:h="15840"/>
          <w:pgMar w:header="0" w:footer="997" w:top="1560" w:bottom="1260" w:left="600" w:right="500"/>
        </w:sectPr>
      </w:pPr>
    </w:p>
    <w:p>
      <w:pPr>
        <w:pStyle w:val="Heading9"/>
        <w:numPr>
          <w:ilvl w:val="0"/>
          <w:numId w:val="7"/>
        </w:numPr>
        <w:tabs>
          <w:tab w:pos="1198" w:val="left" w:leader="none"/>
        </w:tabs>
        <w:spacing w:line="240" w:lineRule="auto" w:before="34" w:after="0"/>
        <w:ind w:left="1198" w:right="0" w:hanging="358"/>
        <w:jc w:val="left"/>
      </w:pPr>
      <w:bookmarkStart w:name="2. List of Title VI Investigations, Comp" w:id="16"/>
      <w:bookmarkEnd w:id="16"/>
      <w:r>
        <w:rPr>
          <w:b w:val="0"/>
        </w:rPr>
      </w:r>
      <w:bookmarkStart w:name="_bookmark7" w:id="17"/>
      <w:bookmarkEnd w:id="17"/>
      <w:r>
        <w:rPr>
          <w:b w:val="0"/>
        </w:rPr>
      </w:r>
      <w:r>
        <w:rPr>
          <w:u w:val="single"/>
        </w:rPr>
        <w:t>List</w:t>
      </w:r>
      <w:r>
        <w:rPr>
          <w:spacing w:val="-2"/>
          <w:u w:val="single"/>
        </w:rPr>
        <w:t> </w:t>
      </w:r>
      <w:r>
        <w:rPr>
          <w:u w:val="single"/>
        </w:rPr>
        <w:t>of</w:t>
      </w:r>
      <w:r>
        <w:rPr>
          <w:spacing w:val="-1"/>
          <w:u w:val="single"/>
        </w:rPr>
        <w:t> </w:t>
      </w:r>
      <w:r>
        <w:rPr>
          <w:u w:val="single"/>
        </w:rPr>
        <w:t>Title</w:t>
      </w:r>
      <w:r>
        <w:rPr>
          <w:spacing w:val="-3"/>
          <w:u w:val="single"/>
        </w:rPr>
        <w:t> </w:t>
      </w:r>
      <w:r>
        <w:rPr>
          <w:u w:val="single"/>
        </w:rPr>
        <w:t>VI</w:t>
      </w:r>
      <w:r>
        <w:rPr>
          <w:spacing w:val="-3"/>
          <w:u w:val="single"/>
        </w:rPr>
        <w:t> </w:t>
      </w:r>
      <w:r>
        <w:rPr>
          <w:u w:val="single"/>
        </w:rPr>
        <w:t>Investigations,</w:t>
      </w:r>
      <w:r>
        <w:rPr>
          <w:spacing w:val="-2"/>
          <w:u w:val="single"/>
        </w:rPr>
        <w:t> </w:t>
      </w:r>
      <w:r>
        <w:rPr>
          <w:u w:val="single"/>
        </w:rPr>
        <w:t>Complaints</w:t>
      </w:r>
      <w:r>
        <w:rPr>
          <w:spacing w:val="-1"/>
          <w:u w:val="single"/>
        </w:rPr>
        <w:t> </w:t>
      </w:r>
      <w:r>
        <w:rPr>
          <w:u w:val="single"/>
        </w:rPr>
        <w:t>or </w:t>
      </w:r>
      <w:r>
        <w:rPr>
          <w:spacing w:val="-2"/>
          <w:u w:val="single"/>
        </w:rPr>
        <w:t>Lawsuits</w:t>
      </w:r>
    </w:p>
    <w:p>
      <w:pPr>
        <w:pStyle w:val="BodyText"/>
        <w:spacing w:before="8"/>
        <w:rPr>
          <w:b/>
        </w:rPr>
      </w:pPr>
    </w:p>
    <w:p>
      <w:pPr>
        <w:pStyle w:val="BodyText"/>
        <w:spacing w:before="51"/>
        <w:ind w:left="840" w:right="935"/>
        <w:jc w:val="both"/>
      </w:pPr>
      <w:r>
        <w:rPr/>
        <w:t>In order to comply with 49 CFR Section 21.9 (b), MaineDOT and its subrecipients prepare and maintain a list of any active investigations conducted by FTA and entities other than FTA, including lawsuits and/or complaints naming MaineDOT or a subrecipient that allege discrimination on the basis of race, color, or national origin.</w:t>
      </w:r>
    </w:p>
    <w:p>
      <w:pPr>
        <w:pStyle w:val="BodyText"/>
        <w:spacing w:before="11"/>
        <w:rPr>
          <w:sz w:val="23"/>
        </w:rPr>
      </w:pPr>
    </w:p>
    <w:p>
      <w:pPr>
        <w:pStyle w:val="BodyText"/>
        <w:spacing w:before="1"/>
        <w:ind w:left="840"/>
        <w:jc w:val="both"/>
      </w:pPr>
      <w:r>
        <w:rPr/>
        <w:t>This</w:t>
      </w:r>
      <w:r>
        <w:rPr>
          <w:spacing w:val="-1"/>
        </w:rPr>
        <w:t> </w:t>
      </w:r>
      <w:r>
        <w:rPr/>
        <w:t>list</w:t>
      </w:r>
      <w:r>
        <w:rPr>
          <w:spacing w:val="1"/>
        </w:rPr>
        <w:t> </w:t>
      </w:r>
      <w:r>
        <w:rPr>
          <w:spacing w:val="-2"/>
        </w:rPr>
        <w:t>includes:</w:t>
      </w:r>
    </w:p>
    <w:p>
      <w:pPr>
        <w:pStyle w:val="BodyText"/>
        <w:spacing w:before="9"/>
        <w:rPr>
          <w:sz w:val="17"/>
        </w:rPr>
      </w:pPr>
    </w:p>
    <w:p>
      <w:pPr>
        <w:pStyle w:val="ListParagraph"/>
        <w:numPr>
          <w:ilvl w:val="1"/>
          <w:numId w:val="7"/>
        </w:numPr>
        <w:tabs>
          <w:tab w:pos="1559" w:val="left" w:leader="none"/>
        </w:tabs>
        <w:spacing w:line="240" w:lineRule="auto" w:before="1" w:after="0"/>
        <w:ind w:left="1559" w:right="0" w:hanging="359"/>
        <w:jc w:val="left"/>
        <w:rPr>
          <w:rFonts w:ascii="Symbol" w:hAnsi="Symbol"/>
          <w:sz w:val="24"/>
        </w:rPr>
      </w:pPr>
      <w:r>
        <w:rPr>
          <w:sz w:val="24"/>
        </w:rPr>
        <w:t>The</w:t>
      </w:r>
      <w:r>
        <w:rPr>
          <w:spacing w:val="-4"/>
          <w:sz w:val="24"/>
        </w:rPr>
        <w:t> </w:t>
      </w:r>
      <w:r>
        <w:rPr>
          <w:sz w:val="24"/>
        </w:rPr>
        <w:t>date</w:t>
      </w:r>
      <w:r>
        <w:rPr>
          <w:spacing w:val="-3"/>
          <w:sz w:val="24"/>
        </w:rPr>
        <w:t> </w:t>
      </w:r>
      <w:r>
        <w:rPr>
          <w:sz w:val="24"/>
        </w:rPr>
        <w:t>that</w:t>
      </w:r>
      <w:r>
        <w:rPr>
          <w:spacing w:val="-1"/>
          <w:sz w:val="24"/>
        </w:rPr>
        <w:t> </w:t>
      </w:r>
      <w:r>
        <w:rPr>
          <w:sz w:val="24"/>
        </w:rPr>
        <w:t>the</w:t>
      </w:r>
      <w:r>
        <w:rPr>
          <w:spacing w:val="-3"/>
          <w:sz w:val="24"/>
        </w:rPr>
        <w:t> </w:t>
      </w:r>
      <w:r>
        <w:rPr>
          <w:sz w:val="24"/>
        </w:rPr>
        <w:t>transit-related Title</w:t>
      </w:r>
      <w:r>
        <w:rPr>
          <w:spacing w:val="-4"/>
          <w:sz w:val="24"/>
        </w:rPr>
        <w:t> </w:t>
      </w:r>
      <w:r>
        <w:rPr>
          <w:sz w:val="24"/>
        </w:rPr>
        <w:t>VI</w:t>
      </w:r>
      <w:r>
        <w:rPr>
          <w:spacing w:val="-2"/>
          <w:sz w:val="24"/>
        </w:rPr>
        <w:t> </w:t>
      </w:r>
      <w:r>
        <w:rPr>
          <w:sz w:val="24"/>
        </w:rPr>
        <w:t>investigation;</w:t>
      </w:r>
      <w:r>
        <w:rPr>
          <w:spacing w:val="-1"/>
          <w:sz w:val="24"/>
        </w:rPr>
        <w:t> </w:t>
      </w:r>
      <w:r>
        <w:rPr>
          <w:sz w:val="24"/>
        </w:rPr>
        <w:t>lawsuit</w:t>
      </w:r>
      <w:r>
        <w:rPr>
          <w:spacing w:val="-4"/>
          <w:sz w:val="24"/>
        </w:rPr>
        <w:t> </w:t>
      </w:r>
      <w:r>
        <w:rPr>
          <w:sz w:val="24"/>
        </w:rPr>
        <w:t>or</w:t>
      </w:r>
      <w:r>
        <w:rPr>
          <w:spacing w:val="-1"/>
          <w:sz w:val="24"/>
        </w:rPr>
        <w:t> </w:t>
      </w:r>
      <w:r>
        <w:rPr>
          <w:sz w:val="24"/>
        </w:rPr>
        <w:t>complaint</w:t>
      </w:r>
      <w:r>
        <w:rPr>
          <w:spacing w:val="-3"/>
          <w:sz w:val="24"/>
        </w:rPr>
        <w:t> </w:t>
      </w:r>
      <w:r>
        <w:rPr>
          <w:sz w:val="24"/>
        </w:rPr>
        <w:t>was</w:t>
      </w:r>
      <w:r>
        <w:rPr>
          <w:spacing w:val="-4"/>
          <w:sz w:val="24"/>
        </w:rPr>
        <w:t> </w:t>
      </w:r>
      <w:r>
        <w:rPr>
          <w:spacing w:val="-2"/>
          <w:sz w:val="24"/>
        </w:rPr>
        <w:t>filed;</w:t>
      </w:r>
    </w:p>
    <w:p>
      <w:pPr>
        <w:pStyle w:val="ListParagraph"/>
        <w:numPr>
          <w:ilvl w:val="1"/>
          <w:numId w:val="7"/>
        </w:numPr>
        <w:tabs>
          <w:tab w:pos="1559" w:val="left" w:leader="none"/>
        </w:tabs>
        <w:spacing w:line="305" w:lineRule="exact" w:before="1" w:after="0"/>
        <w:ind w:left="1559" w:right="0" w:hanging="359"/>
        <w:jc w:val="left"/>
        <w:rPr>
          <w:rFonts w:ascii="Symbol" w:hAnsi="Symbol"/>
          <w:sz w:val="24"/>
        </w:rPr>
      </w:pPr>
      <w:r>
        <w:rPr>
          <w:sz w:val="24"/>
        </w:rPr>
        <w:t>A summary</w:t>
      </w:r>
      <w:r>
        <w:rPr>
          <w:spacing w:val="-3"/>
          <w:sz w:val="24"/>
        </w:rPr>
        <w:t> </w:t>
      </w:r>
      <w:r>
        <w:rPr>
          <w:sz w:val="24"/>
        </w:rPr>
        <w:t>of</w:t>
      </w:r>
      <w:r>
        <w:rPr>
          <w:spacing w:val="-1"/>
          <w:sz w:val="24"/>
        </w:rPr>
        <w:t> </w:t>
      </w:r>
      <w:r>
        <w:rPr>
          <w:sz w:val="24"/>
        </w:rPr>
        <w:t>the</w:t>
      </w:r>
      <w:r>
        <w:rPr>
          <w:spacing w:val="1"/>
          <w:sz w:val="24"/>
        </w:rPr>
        <w:t> </w:t>
      </w:r>
      <w:r>
        <w:rPr>
          <w:spacing w:val="-2"/>
          <w:sz w:val="24"/>
        </w:rPr>
        <w:t>allegation(s);</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The status</w:t>
      </w:r>
      <w:r>
        <w:rPr>
          <w:spacing w:val="-1"/>
          <w:sz w:val="24"/>
        </w:rPr>
        <w:t> </w:t>
      </w:r>
      <w:r>
        <w:rPr>
          <w:sz w:val="24"/>
        </w:rPr>
        <w:t>of</w:t>
      </w:r>
      <w:r>
        <w:rPr>
          <w:spacing w:val="-2"/>
          <w:sz w:val="24"/>
        </w:rPr>
        <w:t> </w:t>
      </w:r>
      <w:r>
        <w:rPr>
          <w:sz w:val="24"/>
        </w:rPr>
        <w:t>the</w:t>
      </w:r>
      <w:r>
        <w:rPr>
          <w:spacing w:val="-3"/>
          <w:sz w:val="24"/>
        </w:rPr>
        <w:t> </w:t>
      </w:r>
      <w:r>
        <w:rPr>
          <w:sz w:val="24"/>
        </w:rPr>
        <w:t>investigation,</w:t>
      </w:r>
      <w:r>
        <w:rPr>
          <w:spacing w:val="-3"/>
          <w:sz w:val="24"/>
        </w:rPr>
        <w:t> </w:t>
      </w:r>
      <w:r>
        <w:rPr>
          <w:sz w:val="24"/>
        </w:rPr>
        <w:t>lawsuit</w:t>
      </w:r>
      <w:r>
        <w:rPr>
          <w:spacing w:val="-2"/>
          <w:sz w:val="24"/>
        </w:rPr>
        <w:t> </w:t>
      </w:r>
      <w:r>
        <w:rPr>
          <w:sz w:val="24"/>
        </w:rPr>
        <w:t>or</w:t>
      </w:r>
      <w:r>
        <w:rPr>
          <w:spacing w:val="-3"/>
          <w:sz w:val="24"/>
        </w:rPr>
        <w:t> </w:t>
      </w:r>
      <w:r>
        <w:rPr>
          <w:sz w:val="24"/>
        </w:rPr>
        <w:t>complaint;</w:t>
      </w:r>
      <w:r>
        <w:rPr>
          <w:spacing w:val="-1"/>
          <w:sz w:val="24"/>
        </w:rPr>
        <w:t> </w:t>
      </w:r>
      <w:r>
        <w:rPr>
          <w:spacing w:val="-5"/>
          <w:sz w:val="24"/>
        </w:rPr>
        <w:t>and</w:t>
      </w:r>
    </w:p>
    <w:p>
      <w:pPr>
        <w:pStyle w:val="ListParagraph"/>
        <w:numPr>
          <w:ilvl w:val="1"/>
          <w:numId w:val="7"/>
        </w:numPr>
        <w:tabs>
          <w:tab w:pos="1560" w:val="left" w:leader="none"/>
        </w:tabs>
        <w:spacing w:line="240" w:lineRule="auto" w:before="1" w:after="0"/>
        <w:ind w:left="1560" w:right="935" w:hanging="360"/>
        <w:jc w:val="left"/>
        <w:rPr>
          <w:rFonts w:ascii="Symbol" w:hAnsi="Symbol"/>
          <w:sz w:val="24"/>
        </w:rPr>
      </w:pPr>
      <w:r>
        <w:rPr>
          <w:sz w:val="24"/>
        </w:rPr>
        <w:t>Actions</w:t>
      </w:r>
      <w:r>
        <w:rPr>
          <w:spacing w:val="26"/>
          <w:sz w:val="24"/>
        </w:rPr>
        <w:t> </w:t>
      </w:r>
      <w:r>
        <w:rPr>
          <w:sz w:val="24"/>
        </w:rPr>
        <w:t>taken</w:t>
      </w:r>
      <w:r>
        <w:rPr>
          <w:spacing w:val="27"/>
          <w:sz w:val="24"/>
        </w:rPr>
        <w:t> </w:t>
      </w:r>
      <w:r>
        <w:rPr>
          <w:sz w:val="24"/>
        </w:rPr>
        <w:t>by</w:t>
      </w:r>
      <w:r>
        <w:rPr>
          <w:spacing w:val="25"/>
          <w:sz w:val="24"/>
        </w:rPr>
        <w:t> </w:t>
      </w:r>
      <w:r>
        <w:rPr>
          <w:sz w:val="24"/>
        </w:rPr>
        <w:t>MaineDOT</w:t>
      </w:r>
      <w:r>
        <w:rPr>
          <w:spacing w:val="27"/>
          <w:sz w:val="24"/>
        </w:rPr>
        <w:t> </w:t>
      </w:r>
      <w:r>
        <w:rPr>
          <w:sz w:val="24"/>
        </w:rPr>
        <w:t>in</w:t>
      </w:r>
      <w:r>
        <w:rPr>
          <w:spacing w:val="27"/>
          <w:sz w:val="24"/>
        </w:rPr>
        <w:t> </w:t>
      </w:r>
      <w:r>
        <w:rPr>
          <w:sz w:val="24"/>
        </w:rPr>
        <w:t>response,</w:t>
      </w:r>
      <w:r>
        <w:rPr>
          <w:spacing w:val="26"/>
          <w:sz w:val="24"/>
        </w:rPr>
        <w:t> </w:t>
      </w:r>
      <w:r>
        <w:rPr>
          <w:sz w:val="24"/>
        </w:rPr>
        <w:t>or</w:t>
      </w:r>
      <w:r>
        <w:rPr>
          <w:spacing w:val="26"/>
          <w:sz w:val="24"/>
        </w:rPr>
        <w:t> </w:t>
      </w:r>
      <w:r>
        <w:rPr>
          <w:sz w:val="24"/>
        </w:rPr>
        <w:t>final</w:t>
      </w:r>
      <w:r>
        <w:rPr>
          <w:spacing w:val="26"/>
          <w:sz w:val="24"/>
        </w:rPr>
        <w:t> </w:t>
      </w:r>
      <w:r>
        <w:rPr>
          <w:sz w:val="24"/>
        </w:rPr>
        <w:t>findings</w:t>
      </w:r>
      <w:r>
        <w:rPr>
          <w:spacing w:val="26"/>
          <w:sz w:val="24"/>
        </w:rPr>
        <w:t> </w:t>
      </w:r>
      <w:r>
        <w:rPr>
          <w:sz w:val="24"/>
        </w:rPr>
        <w:t>related</w:t>
      </w:r>
      <w:r>
        <w:rPr>
          <w:spacing w:val="27"/>
          <w:sz w:val="24"/>
        </w:rPr>
        <w:t> </w:t>
      </w:r>
      <w:r>
        <w:rPr>
          <w:sz w:val="24"/>
        </w:rPr>
        <w:t>to the</w:t>
      </w:r>
      <w:r>
        <w:rPr>
          <w:spacing w:val="27"/>
          <w:sz w:val="24"/>
        </w:rPr>
        <w:t> </w:t>
      </w:r>
      <w:r>
        <w:rPr>
          <w:sz w:val="24"/>
        </w:rPr>
        <w:t>investigation, lawsuit, or complaint.</w:t>
      </w:r>
    </w:p>
    <w:p>
      <w:pPr>
        <w:pStyle w:val="BodyText"/>
      </w:pPr>
    </w:p>
    <w:p>
      <w:pPr>
        <w:pStyle w:val="BodyText"/>
        <w:ind w:left="839" w:right="933"/>
        <w:jc w:val="both"/>
      </w:pPr>
      <w:r>
        <w:rPr/>
        <w:t>Subrecipients may create their own format for recording Title VI investigations, complaints and lawsuits</w:t>
      </w:r>
      <w:r>
        <w:rPr>
          <w:spacing w:val="-7"/>
        </w:rPr>
        <w:t> </w:t>
      </w:r>
      <w:r>
        <w:rPr/>
        <w:t>or</w:t>
      </w:r>
      <w:r>
        <w:rPr>
          <w:spacing w:val="-11"/>
        </w:rPr>
        <w:t> </w:t>
      </w:r>
      <w:r>
        <w:rPr/>
        <w:t>they</w:t>
      </w:r>
      <w:r>
        <w:rPr>
          <w:spacing w:val="-9"/>
        </w:rPr>
        <w:t> </w:t>
      </w:r>
      <w:r>
        <w:rPr/>
        <w:t>can</w:t>
      </w:r>
      <w:r>
        <w:rPr>
          <w:spacing w:val="-8"/>
        </w:rPr>
        <w:t> </w:t>
      </w:r>
      <w:r>
        <w:rPr/>
        <w:t>adopt</w:t>
      </w:r>
      <w:r>
        <w:rPr>
          <w:spacing w:val="-8"/>
        </w:rPr>
        <w:t> </w:t>
      </w:r>
      <w:r>
        <w:rPr/>
        <w:t>the</w:t>
      </w:r>
      <w:r>
        <w:rPr>
          <w:spacing w:val="-8"/>
        </w:rPr>
        <w:t> </w:t>
      </w:r>
      <w:r>
        <w:rPr/>
        <w:t>format</w:t>
      </w:r>
      <w:r>
        <w:rPr>
          <w:spacing w:val="-8"/>
        </w:rPr>
        <w:t> </w:t>
      </w:r>
      <w:r>
        <w:rPr/>
        <w:t>shown</w:t>
      </w:r>
      <w:r>
        <w:rPr>
          <w:spacing w:val="-8"/>
        </w:rPr>
        <w:t> </w:t>
      </w:r>
      <w:r>
        <w:rPr/>
        <w:t>in</w:t>
      </w:r>
      <w:r>
        <w:rPr>
          <w:spacing w:val="-8"/>
        </w:rPr>
        <w:t> </w:t>
      </w:r>
      <w:r>
        <w:rPr/>
        <w:t>this</w:t>
      </w:r>
      <w:r>
        <w:rPr>
          <w:spacing w:val="-7"/>
        </w:rPr>
        <w:t> </w:t>
      </w:r>
      <w:r>
        <w:rPr/>
        <w:t>document</w:t>
      </w:r>
      <w:r>
        <w:rPr>
          <w:spacing w:val="-8"/>
        </w:rPr>
        <w:t> </w:t>
      </w:r>
      <w:r>
        <w:rPr/>
        <w:t>below.</w:t>
      </w:r>
      <w:r>
        <w:rPr>
          <w:spacing w:val="-9"/>
        </w:rPr>
        <w:t> </w:t>
      </w:r>
      <w:r>
        <w:rPr/>
        <w:t>Subrecipients</w:t>
      </w:r>
      <w:r>
        <w:rPr>
          <w:spacing w:val="-7"/>
        </w:rPr>
        <w:t> </w:t>
      </w:r>
      <w:r>
        <w:rPr/>
        <w:t>must</w:t>
      </w:r>
      <w:r>
        <w:rPr>
          <w:spacing w:val="-8"/>
        </w:rPr>
        <w:t> </w:t>
      </w:r>
      <w:r>
        <w:rPr/>
        <w:t>submit their record keeping procedures to MaineDOT every three (3) years.</w:t>
      </w:r>
    </w:p>
    <w:p>
      <w:pPr>
        <w:pStyle w:val="BodyText"/>
        <w:spacing w:before="11"/>
        <w:rPr>
          <w:sz w:val="23"/>
        </w:rPr>
      </w:pPr>
    </w:p>
    <w:p>
      <w:pPr>
        <w:pStyle w:val="BodyText"/>
        <w:ind w:left="839" w:right="935"/>
      </w:pPr>
      <w:r>
        <w:rPr/>
        <w:t>As of the writing of this program, there are zero (0) complaints pending which allege discrimination</w:t>
      </w:r>
      <w:r>
        <w:rPr>
          <w:spacing w:val="-1"/>
        </w:rPr>
        <w:t> </w:t>
      </w:r>
      <w:r>
        <w:rPr/>
        <w:t>on</w:t>
      </w:r>
      <w:r>
        <w:rPr>
          <w:spacing w:val="-1"/>
        </w:rPr>
        <w:t> </w:t>
      </w:r>
      <w:r>
        <w:rPr/>
        <w:t>the grounds</w:t>
      </w:r>
      <w:r>
        <w:rPr>
          <w:spacing w:val="-3"/>
        </w:rPr>
        <w:t> </w:t>
      </w:r>
      <w:r>
        <w:rPr/>
        <w:t>of</w:t>
      </w:r>
      <w:r>
        <w:rPr>
          <w:spacing w:val="-1"/>
        </w:rPr>
        <w:t> </w:t>
      </w:r>
      <w:r>
        <w:rPr/>
        <w:t>race,</w:t>
      </w:r>
      <w:r>
        <w:rPr>
          <w:spacing w:val="-2"/>
        </w:rPr>
        <w:t> </w:t>
      </w:r>
      <w:r>
        <w:rPr/>
        <w:t>color,</w:t>
      </w:r>
      <w:r>
        <w:rPr>
          <w:spacing w:val="-2"/>
        </w:rPr>
        <w:t> </w:t>
      </w:r>
      <w:r>
        <w:rPr/>
        <w:t>national</w:t>
      </w:r>
      <w:r>
        <w:rPr>
          <w:spacing w:val="-2"/>
        </w:rPr>
        <w:t> </w:t>
      </w:r>
      <w:r>
        <w:rPr/>
        <w:t>origin</w:t>
      </w:r>
      <w:r>
        <w:rPr>
          <w:spacing w:val="-3"/>
        </w:rPr>
        <w:t> </w:t>
      </w:r>
      <w:r>
        <w:rPr/>
        <w:t>or</w:t>
      </w:r>
      <w:r>
        <w:rPr>
          <w:spacing w:val="-2"/>
        </w:rPr>
        <w:t> </w:t>
      </w:r>
      <w:r>
        <w:rPr/>
        <w:t>any</w:t>
      </w:r>
      <w:r>
        <w:rPr>
          <w:spacing w:val="-3"/>
        </w:rPr>
        <w:t> </w:t>
      </w:r>
      <w:r>
        <w:rPr/>
        <w:t>other</w:t>
      </w:r>
      <w:r>
        <w:rPr>
          <w:spacing w:val="-2"/>
        </w:rPr>
        <w:t> </w:t>
      </w:r>
      <w:r>
        <w:rPr/>
        <w:t>form</w:t>
      </w:r>
      <w:r>
        <w:rPr>
          <w:spacing w:val="-2"/>
        </w:rPr>
        <w:t> </w:t>
      </w:r>
      <w:r>
        <w:rPr/>
        <w:t>of</w:t>
      </w:r>
      <w:r>
        <w:rPr>
          <w:spacing w:val="-1"/>
        </w:rPr>
        <w:t> </w:t>
      </w:r>
      <w:r>
        <w:rPr/>
        <w:t>discrimination. No complaints specific to Title VI were filed in the reporting period.</w:t>
      </w:r>
    </w:p>
    <w:p>
      <w:pPr>
        <w:pStyle w:val="BodyText"/>
        <w:spacing w:before="2"/>
      </w:pPr>
    </w:p>
    <w:p>
      <w:pPr>
        <w:pStyle w:val="BodyText"/>
        <w:ind w:left="839"/>
        <w:jc w:val="both"/>
      </w:pPr>
      <w:r>
        <w:rPr/>
        <w:t>There</w:t>
      </w:r>
      <w:r>
        <w:rPr>
          <w:spacing w:val="-2"/>
        </w:rPr>
        <w:t> </w:t>
      </w:r>
      <w:r>
        <w:rPr/>
        <w:t>are</w:t>
      </w:r>
      <w:r>
        <w:rPr>
          <w:spacing w:val="-2"/>
        </w:rPr>
        <w:t> </w:t>
      </w:r>
      <w:r>
        <w:rPr/>
        <w:t>currently</w:t>
      </w:r>
      <w:r>
        <w:rPr>
          <w:spacing w:val="-4"/>
        </w:rPr>
        <w:t> </w:t>
      </w:r>
      <w:r>
        <w:rPr/>
        <w:t>no</w:t>
      </w:r>
      <w:r>
        <w:rPr>
          <w:spacing w:val="-2"/>
        </w:rPr>
        <w:t> </w:t>
      </w:r>
      <w:r>
        <w:rPr/>
        <w:t>active Title</w:t>
      </w:r>
      <w:r>
        <w:rPr>
          <w:spacing w:val="-2"/>
        </w:rPr>
        <w:t> </w:t>
      </w:r>
      <w:r>
        <w:rPr/>
        <w:t>VI</w:t>
      </w:r>
      <w:r>
        <w:rPr>
          <w:spacing w:val="-1"/>
        </w:rPr>
        <w:t> </w:t>
      </w:r>
      <w:r>
        <w:rPr/>
        <w:t>complaints</w:t>
      </w:r>
      <w:r>
        <w:rPr>
          <w:spacing w:val="-1"/>
        </w:rPr>
        <w:t> </w:t>
      </w:r>
      <w:r>
        <w:rPr/>
        <w:t>against</w:t>
      </w:r>
      <w:r>
        <w:rPr>
          <w:spacing w:val="-2"/>
        </w:rPr>
        <w:t> </w:t>
      </w:r>
      <w:r>
        <w:rPr/>
        <w:t>MaineDOT.</w:t>
      </w:r>
      <w:r>
        <w:rPr>
          <w:spacing w:val="50"/>
        </w:rPr>
        <w:t> </w:t>
      </w:r>
      <w:r>
        <w:rPr/>
        <w:t>See</w:t>
      </w:r>
      <w:r>
        <w:rPr>
          <w:spacing w:val="-2"/>
        </w:rPr>
        <w:t> </w:t>
      </w:r>
      <w:r>
        <w:rPr/>
        <w:t>log </w:t>
      </w:r>
      <w:r>
        <w:rPr>
          <w:spacing w:val="-2"/>
        </w:rPr>
        <w:t>below.</w:t>
      </w:r>
    </w:p>
    <w:p>
      <w:pPr>
        <w:pStyle w:val="BodyText"/>
      </w:pPr>
    </w:p>
    <w:p>
      <w:pPr>
        <w:spacing w:before="0"/>
        <w:ind w:left="840" w:right="0" w:firstLine="0"/>
        <w:jc w:val="left"/>
        <w:rPr>
          <w:b/>
          <w:sz w:val="24"/>
        </w:rPr>
      </w:pPr>
      <w:r>
        <w:rPr>
          <w:b/>
          <w:spacing w:val="-4"/>
          <w:sz w:val="24"/>
          <w:u w:val="single"/>
        </w:rPr>
        <w:t>2020</w:t>
      </w:r>
    </w:p>
    <w:p>
      <w:pPr>
        <w:pStyle w:val="BodyText"/>
        <w:rPr>
          <w:b/>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21"/>
        <w:gridCol w:w="2340"/>
        <w:gridCol w:w="1594"/>
        <w:gridCol w:w="1731"/>
      </w:tblGrid>
      <w:tr>
        <w:trPr>
          <w:trHeight w:val="1170" w:hRule="atLeast"/>
        </w:trPr>
        <w:tc>
          <w:tcPr>
            <w:tcW w:w="2359" w:type="dxa"/>
            <w:shd w:val="clear" w:color="auto" w:fill="D9D9D9"/>
          </w:tcPr>
          <w:p>
            <w:pPr>
              <w:pStyle w:val="TableParagraph"/>
              <w:spacing w:line="292" w:lineRule="exact"/>
              <w:ind w:left="923" w:right="912"/>
              <w:jc w:val="center"/>
              <w:rPr>
                <w:rFonts w:ascii="Calibri"/>
                <w:b/>
                <w:sz w:val="24"/>
              </w:rPr>
            </w:pPr>
            <w:r>
              <w:rPr>
                <w:rFonts w:ascii="Calibri"/>
                <w:b/>
                <w:spacing w:val="-4"/>
                <w:sz w:val="24"/>
              </w:rPr>
              <w:t>TYPE</w:t>
            </w:r>
          </w:p>
        </w:tc>
        <w:tc>
          <w:tcPr>
            <w:tcW w:w="1421" w:type="dxa"/>
            <w:shd w:val="clear" w:color="auto" w:fill="D9D9D9"/>
          </w:tcPr>
          <w:p>
            <w:pPr>
              <w:pStyle w:val="TableParagraph"/>
              <w:spacing w:line="292" w:lineRule="exact"/>
              <w:ind w:left="443"/>
              <w:rPr>
                <w:rFonts w:ascii="Calibri"/>
                <w:b/>
                <w:sz w:val="24"/>
              </w:rPr>
            </w:pPr>
            <w:r>
              <w:rPr>
                <w:rFonts w:ascii="Calibri"/>
                <w:b/>
                <w:spacing w:val="-4"/>
                <w:sz w:val="24"/>
              </w:rPr>
              <w:t>DATE</w:t>
            </w:r>
          </w:p>
        </w:tc>
        <w:tc>
          <w:tcPr>
            <w:tcW w:w="2340" w:type="dxa"/>
            <w:shd w:val="clear" w:color="auto" w:fill="D9D9D9"/>
          </w:tcPr>
          <w:p>
            <w:pPr>
              <w:pStyle w:val="TableParagraph"/>
              <w:spacing w:line="292" w:lineRule="exact"/>
              <w:ind w:left="606" w:right="598"/>
              <w:jc w:val="center"/>
              <w:rPr>
                <w:rFonts w:ascii="Calibri"/>
                <w:b/>
                <w:sz w:val="24"/>
              </w:rPr>
            </w:pPr>
            <w:r>
              <w:rPr>
                <w:rFonts w:ascii="Calibri"/>
                <w:b/>
                <w:spacing w:val="-2"/>
                <w:sz w:val="24"/>
              </w:rPr>
              <w:t>SUMMARY</w:t>
            </w:r>
          </w:p>
          <w:p>
            <w:pPr>
              <w:pStyle w:val="TableParagraph"/>
              <w:spacing w:line="290" w:lineRule="atLeast"/>
              <w:ind w:left="124" w:right="109" w:hanging="3"/>
              <w:jc w:val="center"/>
              <w:rPr>
                <w:rFonts w:ascii="Calibri"/>
                <w:i/>
                <w:sz w:val="24"/>
              </w:rPr>
            </w:pPr>
            <w:r>
              <w:rPr>
                <w:rFonts w:ascii="Calibri"/>
                <w:i/>
                <w:sz w:val="24"/>
              </w:rPr>
              <w:t>(Include basis, i.e.</w:t>
            </w:r>
            <w:r>
              <w:rPr>
                <w:rFonts w:ascii="Calibri"/>
                <w:i/>
                <w:sz w:val="24"/>
              </w:rPr>
              <w:t> race, color, national origin,</w:t>
            </w:r>
            <w:r>
              <w:rPr>
                <w:rFonts w:ascii="Calibri"/>
                <w:i/>
                <w:spacing w:val="-14"/>
                <w:sz w:val="24"/>
              </w:rPr>
              <w:t> </w:t>
            </w:r>
            <w:r>
              <w:rPr>
                <w:rFonts w:ascii="Calibri"/>
                <w:i/>
                <w:sz w:val="24"/>
              </w:rPr>
              <w:t>disability,</w:t>
            </w:r>
            <w:r>
              <w:rPr>
                <w:rFonts w:ascii="Calibri"/>
                <w:i/>
                <w:spacing w:val="-14"/>
                <w:sz w:val="24"/>
              </w:rPr>
              <w:t> </w:t>
            </w:r>
            <w:r>
              <w:rPr>
                <w:rFonts w:ascii="Calibri"/>
                <w:i/>
                <w:sz w:val="24"/>
              </w:rPr>
              <w:t>etc.)</w:t>
            </w:r>
          </w:p>
        </w:tc>
        <w:tc>
          <w:tcPr>
            <w:tcW w:w="1594" w:type="dxa"/>
            <w:shd w:val="clear" w:color="auto" w:fill="D9D9D9"/>
          </w:tcPr>
          <w:p>
            <w:pPr>
              <w:pStyle w:val="TableParagraph"/>
              <w:spacing w:line="292" w:lineRule="exact"/>
              <w:ind w:left="412"/>
              <w:rPr>
                <w:rFonts w:ascii="Calibri"/>
                <w:b/>
                <w:sz w:val="24"/>
              </w:rPr>
            </w:pPr>
            <w:r>
              <w:rPr>
                <w:rFonts w:ascii="Calibri"/>
                <w:b/>
                <w:spacing w:val="-2"/>
                <w:sz w:val="24"/>
              </w:rPr>
              <w:t>STATUS</w:t>
            </w:r>
          </w:p>
        </w:tc>
        <w:tc>
          <w:tcPr>
            <w:tcW w:w="1731" w:type="dxa"/>
            <w:shd w:val="clear" w:color="auto" w:fill="D9D9D9"/>
          </w:tcPr>
          <w:p>
            <w:pPr>
              <w:pStyle w:val="TableParagraph"/>
              <w:spacing w:line="240" w:lineRule="auto"/>
              <w:ind w:left="527" w:hanging="185"/>
              <w:rPr>
                <w:rFonts w:ascii="Calibri"/>
                <w:b/>
                <w:sz w:val="24"/>
              </w:rPr>
            </w:pPr>
            <w:r>
              <w:rPr>
                <w:rFonts w:ascii="Calibri"/>
                <w:b/>
                <w:spacing w:val="-2"/>
                <w:sz w:val="24"/>
              </w:rPr>
              <w:t>ACTION(S) TAKEN</w:t>
            </w:r>
          </w:p>
        </w:tc>
      </w:tr>
      <w:tr>
        <w:trPr>
          <w:trHeight w:val="294" w:hRule="atLeast"/>
        </w:trPr>
        <w:tc>
          <w:tcPr>
            <w:tcW w:w="2359" w:type="dxa"/>
          </w:tcPr>
          <w:p>
            <w:pPr>
              <w:pStyle w:val="TableParagraph"/>
              <w:spacing w:line="273" w:lineRule="exact" w:before="1"/>
              <w:ind w:left="107"/>
              <w:rPr>
                <w:rFonts w:ascii="Calibri"/>
                <w:b/>
                <w:sz w:val="24"/>
              </w:rPr>
            </w:pPr>
            <w:r>
              <w:rPr>
                <w:rFonts w:ascii="Calibri"/>
                <w:spacing w:val="-2"/>
                <w:sz w:val="24"/>
              </w:rPr>
              <w:t>I</w:t>
            </w:r>
            <w:r>
              <w:rPr>
                <w:rFonts w:ascii="Calibri"/>
                <w:b/>
                <w:spacing w:val="-2"/>
                <w:sz w:val="24"/>
              </w:rPr>
              <w:t>NVESTIGATIONS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107"/>
              <w:rPr>
                <w:rFonts w:ascii="Calibri"/>
                <w:b/>
                <w:sz w:val="24"/>
              </w:rPr>
            </w:pPr>
            <w:r>
              <w:rPr>
                <w:rFonts w:ascii="Calibri"/>
                <w:b/>
                <w:spacing w:val="-2"/>
                <w:sz w:val="24"/>
              </w:rPr>
              <w:t>LAWSUITS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107"/>
              <w:rPr>
                <w:rFonts w:ascii="Calibri"/>
                <w:b/>
                <w:sz w:val="24"/>
              </w:rPr>
            </w:pPr>
            <w:r>
              <w:rPr>
                <w:rFonts w:ascii="Calibri"/>
                <w:b/>
                <w:spacing w:val="-2"/>
                <w:sz w:val="24"/>
              </w:rPr>
              <w:t>COMPLAINTS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2020</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bl>
    <w:p>
      <w:pPr>
        <w:spacing w:after="0" w:line="272" w:lineRule="exact"/>
        <w:rPr>
          <w:rFonts w:ascii="Calibri"/>
          <w:sz w:val="24"/>
        </w:rPr>
        <w:sectPr>
          <w:pgSz w:w="12240" w:h="15840"/>
          <w:pgMar w:header="0" w:footer="997" w:top="1540" w:bottom="1260" w:left="600" w:right="500"/>
        </w:sectPr>
      </w:pPr>
    </w:p>
    <w:p>
      <w:pPr>
        <w:spacing w:before="41"/>
        <w:ind w:left="840" w:right="0" w:firstLine="0"/>
        <w:jc w:val="left"/>
        <w:rPr>
          <w:b/>
          <w:sz w:val="24"/>
        </w:rPr>
      </w:pPr>
      <w:r>
        <w:rPr>
          <w:b/>
          <w:spacing w:val="-4"/>
          <w:sz w:val="24"/>
          <w:u w:val="single"/>
        </w:rPr>
        <w:t>2021</w:t>
      </w:r>
    </w:p>
    <w:p>
      <w:pPr>
        <w:pStyle w:val="BodyText"/>
        <w:rPr>
          <w:b/>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21"/>
        <w:gridCol w:w="2340"/>
        <w:gridCol w:w="1594"/>
        <w:gridCol w:w="1731"/>
      </w:tblGrid>
      <w:tr>
        <w:trPr>
          <w:trHeight w:val="1173" w:hRule="atLeast"/>
        </w:trPr>
        <w:tc>
          <w:tcPr>
            <w:tcW w:w="2359" w:type="dxa"/>
            <w:shd w:val="clear" w:color="auto" w:fill="D9D9D9"/>
          </w:tcPr>
          <w:p>
            <w:pPr>
              <w:pStyle w:val="TableParagraph"/>
              <w:spacing w:line="292" w:lineRule="exact"/>
              <w:ind w:left="923" w:right="912"/>
              <w:jc w:val="center"/>
              <w:rPr>
                <w:rFonts w:ascii="Calibri"/>
                <w:b/>
                <w:sz w:val="24"/>
              </w:rPr>
            </w:pPr>
            <w:r>
              <w:rPr>
                <w:rFonts w:ascii="Calibri"/>
                <w:b/>
                <w:spacing w:val="-4"/>
                <w:sz w:val="24"/>
              </w:rPr>
              <w:t>TYPE</w:t>
            </w:r>
          </w:p>
        </w:tc>
        <w:tc>
          <w:tcPr>
            <w:tcW w:w="1421" w:type="dxa"/>
            <w:shd w:val="clear" w:color="auto" w:fill="D9D9D9"/>
          </w:tcPr>
          <w:p>
            <w:pPr>
              <w:pStyle w:val="TableParagraph"/>
              <w:spacing w:line="292" w:lineRule="exact"/>
              <w:ind w:left="443"/>
              <w:rPr>
                <w:rFonts w:ascii="Calibri"/>
                <w:b/>
                <w:sz w:val="24"/>
              </w:rPr>
            </w:pPr>
            <w:r>
              <w:rPr>
                <w:rFonts w:ascii="Calibri"/>
                <w:b/>
                <w:spacing w:val="-4"/>
                <w:sz w:val="24"/>
              </w:rPr>
              <w:t>DATE</w:t>
            </w:r>
          </w:p>
        </w:tc>
        <w:tc>
          <w:tcPr>
            <w:tcW w:w="2340" w:type="dxa"/>
            <w:shd w:val="clear" w:color="auto" w:fill="D9D9D9"/>
          </w:tcPr>
          <w:p>
            <w:pPr>
              <w:pStyle w:val="TableParagraph"/>
              <w:spacing w:line="292" w:lineRule="exact"/>
              <w:ind w:left="604" w:right="600"/>
              <w:jc w:val="center"/>
              <w:rPr>
                <w:rFonts w:ascii="Calibri"/>
                <w:b/>
                <w:sz w:val="24"/>
              </w:rPr>
            </w:pPr>
            <w:r>
              <w:rPr>
                <w:rFonts w:ascii="Calibri"/>
                <w:b/>
                <w:spacing w:val="-2"/>
                <w:sz w:val="24"/>
              </w:rPr>
              <w:t>SUMMARY</w:t>
            </w:r>
          </w:p>
          <w:p>
            <w:pPr>
              <w:pStyle w:val="TableParagraph"/>
              <w:spacing w:line="290" w:lineRule="atLeast"/>
              <w:ind w:left="124" w:right="109" w:hanging="3"/>
              <w:jc w:val="center"/>
              <w:rPr>
                <w:rFonts w:ascii="Calibri"/>
                <w:i/>
                <w:sz w:val="24"/>
              </w:rPr>
            </w:pPr>
            <w:r>
              <w:rPr>
                <w:rFonts w:ascii="Calibri"/>
                <w:i/>
                <w:sz w:val="24"/>
              </w:rPr>
              <w:t>(Include basis, i.e.</w:t>
            </w:r>
            <w:r>
              <w:rPr>
                <w:rFonts w:ascii="Calibri"/>
                <w:i/>
                <w:sz w:val="24"/>
              </w:rPr>
              <w:t> race, color, national origin,</w:t>
            </w:r>
            <w:r>
              <w:rPr>
                <w:rFonts w:ascii="Calibri"/>
                <w:i/>
                <w:spacing w:val="-14"/>
                <w:sz w:val="24"/>
              </w:rPr>
              <w:t> </w:t>
            </w:r>
            <w:r>
              <w:rPr>
                <w:rFonts w:ascii="Calibri"/>
                <w:i/>
                <w:sz w:val="24"/>
              </w:rPr>
              <w:t>disability,</w:t>
            </w:r>
            <w:r>
              <w:rPr>
                <w:rFonts w:ascii="Calibri"/>
                <w:i/>
                <w:spacing w:val="-14"/>
                <w:sz w:val="24"/>
              </w:rPr>
              <w:t> </w:t>
            </w:r>
            <w:r>
              <w:rPr>
                <w:rFonts w:ascii="Calibri"/>
                <w:i/>
                <w:sz w:val="24"/>
              </w:rPr>
              <w:t>etc.)</w:t>
            </w:r>
          </w:p>
        </w:tc>
        <w:tc>
          <w:tcPr>
            <w:tcW w:w="1594" w:type="dxa"/>
            <w:shd w:val="clear" w:color="auto" w:fill="D9D9D9"/>
          </w:tcPr>
          <w:p>
            <w:pPr>
              <w:pStyle w:val="TableParagraph"/>
              <w:spacing w:line="292" w:lineRule="exact"/>
              <w:ind w:left="412"/>
              <w:rPr>
                <w:rFonts w:ascii="Calibri"/>
                <w:b/>
                <w:sz w:val="24"/>
              </w:rPr>
            </w:pPr>
            <w:r>
              <w:rPr>
                <w:rFonts w:ascii="Calibri"/>
                <w:b/>
                <w:spacing w:val="-2"/>
                <w:sz w:val="24"/>
              </w:rPr>
              <w:t>STATUS</w:t>
            </w:r>
          </w:p>
        </w:tc>
        <w:tc>
          <w:tcPr>
            <w:tcW w:w="1731" w:type="dxa"/>
            <w:shd w:val="clear" w:color="auto" w:fill="D9D9D9"/>
          </w:tcPr>
          <w:p>
            <w:pPr>
              <w:pStyle w:val="TableParagraph"/>
              <w:spacing w:line="242" w:lineRule="auto"/>
              <w:ind w:left="527" w:hanging="185"/>
              <w:rPr>
                <w:rFonts w:ascii="Calibri"/>
                <w:b/>
                <w:sz w:val="24"/>
              </w:rPr>
            </w:pPr>
            <w:r>
              <w:rPr>
                <w:rFonts w:ascii="Calibri"/>
                <w:b/>
                <w:spacing w:val="-2"/>
                <w:sz w:val="24"/>
              </w:rPr>
              <w:t>ACTION(S) TAKEN</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INVESTIGATIONS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3" w:lineRule="exact" w:before="1"/>
              <w:ind w:left="107"/>
              <w:rPr>
                <w:rFonts w:ascii="Calibri"/>
                <w:sz w:val="24"/>
              </w:rPr>
            </w:pPr>
            <w:r>
              <w:rPr>
                <w:rFonts w:ascii="Calibri"/>
                <w:spacing w:val="-4"/>
                <w:sz w:val="24"/>
              </w:rPr>
              <w:t>2021</w:t>
            </w:r>
          </w:p>
        </w:tc>
        <w:tc>
          <w:tcPr>
            <w:tcW w:w="2340" w:type="dxa"/>
          </w:tcPr>
          <w:p>
            <w:pPr>
              <w:pStyle w:val="TableParagraph"/>
              <w:spacing w:line="273" w:lineRule="exact" w:before="1"/>
              <w:ind w:left="107"/>
              <w:rPr>
                <w:rFonts w:ascii="Calibri"/>
                <w:sz w:val="24"/>
              </w:rPr>
            </w:pPr>
            <w:r>
              <w:rPr>
                <w:rFonts w:ascii="Calibri"/>
                <w:spacing w:val="-5"/>
                <w:sz w:val="24"/>
              </w:rPr>
              <w:t>N/A</w:t>
            </w:r>
          </w:p>
        </w:tc>
        <w:tc>
          <w:tcPr>
            <w:tcW w:w="1594" w:type="dxa"/>
          </w:tcPr>
          <w:p>
            <w:pPr>
              <w:pStyle w:val="TableParagraph"/>
              <w:spacing w:line="273" w:lineRule="exact" w:before="1"/>
              <w:ind w:left="107"/>
              <w:rPr>
                <w:rFonts w:ascii="Calibri"/>
                <w:sz w:val="24"/>
              </w:rPr>
            </w:pPr>
            <w:r>
              <w:rPr>
                <w:rFonts w:ascii="Calibri"/>
                <w:spacing w:val="-5"/>
                <w:sz w:val="24"/>
              </w:rPr>
              <w:t>N/A</w:t>
            </w:r>
          </w:p>
        </w:tc>
        <w:tc>
          <w:tcPr>
            <w:tcW w:w="1731" w:type="dxa"/>
          </w:tcPr>
          <w:p>
            <w:pPr>
              <w:pStyle w:val="TableParagraph"/>
              <w:spacing w:line="273" w:lineRule="exact" w:before="1"/>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LAWSUITS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3" w:lineRule="exact" w:before="1"/>
              <w:ind w:left="107"/>
              <w:rPr>
                <w:rFonts w:ascii="Calibri"/>
                <w:sz w:val="24"/>
              </w:rPr>
            </w:pPr>
            <w:r>
              <w:rPr>
                <w:rFonts w:ascii="Calibri"/>
                <w:spacing w:val="-4"/>
                <w:sz w:val="24"/>
              </w:rPr>
              <w:t>2021</w:t>
            </w:r>
          </w:p>
        </w:tc>
        <w:tc>
          <w:tcPr>
            <w:tcW w:w="2340" w:type="dxa"/>
          </w:tcPr>
          <w:p>
            <w:pPr>
              <w:pStyle w:val="TableParagraph"/>
              <w:spacing w:line="273" w:lineRule="exact" w:before="1"/>
              <w:ind w:left="107"/>
              <w:rPr>
                <w:rFonts w:ascii="Calibri"/>
                <w:sz w:val="24"/>
              </w:rPr>
            </w:pPr>
            <w:r>
              <w:rPr>
                <w:rFonts w:ascii="Calibri"/>
                <w:spacing w:val="-5"/>
                <w:sz w:val="24"/>
              </w:rPr>
              <w:t>N/A</w:t>
            </w:r>
          </w:p>
        </w:tc>
        <w:tc>
          <w:tcPr>
            <w:tcW w:w="1594" w:type="dxa"/>
          </w:tcPr>
          <w:p>
            <w:pPr>
              <w:pStyle w:val="TableParagraph"/>
              <w:spacing w:line="273" w:lineRule="exact" w:before="1"/>
              <w:ind w:left="107"/>
              <w:rPr>
                <w:rFonts w:ascii="Calibri"/>
                <w:sz w:val="24"/>
              </w:rPr>
            </w:pPr>
            <w:r>
              <w:rPr>
                <w:rFonts w:ascii="Calibri"/>
                <w:spacing w:val="-5"/>
                <w:sz w:val="24"/>
              </w:rPr>
              <w:t>N/A</w:t>
            </w:r>
          </w:p>
        </w:tc>
        <w:tc>
          <w:tcPr>
            <w:tcW w:w="1731" w:type="dxa"/>
          </w:tcPr>
          <w:p>
            <w:pPr>
              <w:pStyle w:val="TableParagraph"/>
              <w:spacing w:line="273" w:lineRule="exact" w:before="1"/>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COMPLAINTS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2021</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5"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5" w:lineRule="exact"/>
              <w:ind w:left="107"/>
              <w:rPr>
                <w:rFonts w:ascii="Calibri"/>
                <w:sz w:val="24"/>
              </w:rPr>
            </w:pPr>
            <w:r>
              <w:rPr>
                <w:rFonts w:ascii="Calibri"/>
                <w:spacing w:val="-4"/>
                <w:sz w:val="24"/>
              </w:rPr>
              <w:t>2021</w:t>
            </w:r>
          </w:p>
        </w:tc>
        <w:tc>
          <w:tcPr>
            <w:tcW w:w="2340" w:type="dxa"/>
          </w:tcPr>
          <w:p>
            <w:pPr>
              <w:pStyle w:val="TableParagraph"/>
              <w:spacing w:line="275" w:lineRule="exact"/>
              <w:ind w:left="107"/>
              <w:rPr>
                <w:rFonts w:ascii="Calibri"/>
                <w:sz w:val="24"/>
              </w:rPr>
            </w:pPr>
            <w:r>
              <w:rPr>
                <w:rFonts w:ascii="Calibri"/>
                <w:spacing w:val="-5"/>
                <w:sz w:val="24"/>
              </w:rPr>
              <w:t>N/A</w:t>
            </w:r>
          </w:p>
        </w:tc>
        <w:tc>
          <w:tcPr>
            <w:tcW w:w="1594" w:type="dxa"/>
          </w:tcPr>
          <w:p>
            <w:pPr>
              <w:pStyle w:val="TableParagraph"/>
              <w:spacing w:line="275" w:lineRule="exact"/>
              <w:ind w:left="107"/>
              <w:rPr>
                <w:rFonts w:ascii="Calibri"/>
                <w:sz w:val="24"/>
              </w:rPr>
            </w:pPr>
            <w:r>
              <w:rPr>
                <w:rFonts w:ascii="Calibri"/>
                <w:spacing w:val="-5"/>
                <w:sz w:val="24"/>
              </w:rPr>
              <w:t>N/A</w:t>
            </w:r>
          </w:p>
        </w:tc>
        <w:tc>
          <w:tcPr>
            <w:tcW w:w="1731" w:type="dxa"/>
          </w:tcPr>
          <w:p>
            <w:pPr>
              <w:pStyle w:val="TableParagraph"/>
              <w:spacing w:line="275" w:lineRule="exact"/>
              <w:ind w:left="107"/>
              <w:rPr>
                <w:rFonts w:ascii="Calibri"/>
                <w:sz w:val="24"/>
              </w:rPr>
            </w:pPr>
            <w:r>
              <w:rPr>
                <w:rFonts w:ascii="Calibri"/>
                <w:spacing w:val="-5"/>
                <w:sz w:val="24"/>
              </w:rPr>
              <w:t>N/A</w:t>
            </w:r>
          </w:p>
        </w:tc>
      </w:tr>
    </w:tbl>
    <w:p>
      <w:pPr>
        <w:pStyle w:val="BodyText"/>
        <w:spacing w:before="5"/>
        <w:rPr>
          <w:b/>
        </w:rPr>
      </w:pPr>
    </w:p>
    <w:p>
      <w:pPr>
        <w:spacing w:before="0"/>
        <w:ind w:left="840" w:right="0" w:firstLine="0"/>
        <w:jc w:val="left"/>
        <w:rPr>
          <w:b/>
          <w:sz w:val="24"/>
        </w:rPr>
      </w:pPr>
      <w:r>
        <w:rPr>
          <w:b/>
          <w:spacing w:val="-4"/>
          <w:sz w:val="24"/>
          <w:u w:val="single"/>
        </w:rPr>
        <w:t>2022</w:t>
      </w:r>
    </w:p>
    <w:p>
      <w:pPr>
        <w:pStyle w:val="BodyText"/>
        <w:rPr>
          <w:b/>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21"/>
        <w:gridCol w:w="2340"/>
        <w:gridCol w:w="1594"/>
        <w:gridCol w:w="1731"/>
      </w:tblGrid>
      <w:tr>
        <w:trPr>
          <w:trHeight w:val="1170" w:hRule="atLeast"/>
        </w:trPr>
        <w:tc>
          <w:tcPr>
            <w:tcW w:w="2359" w:type="dxa"/>
            <w:shd w:val="clear" w:color="auto" w:fill="D9D9D9"/>
          </w:tcPr>
          <w:p>
            <w:pPr>
              <w:pStyle w:val="TableParagraph"/>
              <w:spacing w:line="292" w:lineRule="exact"/>
              <w:ind w:left="923" w:right="912"/>
              <w:jc w:val="center"/>
              <w:rPr>
                <w:rFonts w:ascii="Calibri"/>
                <w:b/>
                <w:sz w:val="24"/>
              </w:rPr>
            </w:pPr>
            <w:r>
              <w:rPr>
                <w:rFonts w:ascii="Calibri"/>
                <w:b/>
                <w:spacing w:val="-4"/>
                <w:sz w:val="24"/>
              </w:rPr>
              <w:t>TYPE</w:t>
            </w:r>
          </w:p>
        </w:tc>
        <w:tc>
          <w:tcPr>
            <w:tcW w:w="1421" w:type="dxa"/>
            <w:shd w:val="clear" w:color="auto" w:fill="D9D9D9"/>
          </w:tcPr>
          <w:p>
            <w:pPr>
              <w:pStyle w:val="TableParagraph"/>
              <w:spacing w:line="292" w:lineRule="exact"/>
              <w:ind w:left="443"/>
              <w:rPr>
                <w:rFonts w:ascii="Calibri"/>
                <w:b/>
                <w:sz w:val="24"/>
              </w:rPr>
            </w:pPr>
            <w:r>
              <w:rPr>
                <w:rFonts w:ascii="Calibri"/>
                <w:b/>
                <w:spacing w:val="-4"/>
                <w:sz w:val="24"/>
              </w:rPr>
              <w:t>DATE</w:t>
            </w:r>
          </w:p>
        </w:tc>
        <w:tc>
          <w:tcPr>
            <w:tcW w:w="2340" w:type="dxa"/>
            <w:shd w:val="clear" w:color="auto" w:fill="D9D9D9"/>
          </w:tcPr>
          <w:p>
            <w:pPr>
              <w:pStyle w:val="TableParagraph"/>
              <w:spacing w:line="292" w:lineRule="exact"/>
              <w:ind w:left="606" w:right="598"/>
              <w:jc w:val="center"/>
              <w:rPr>
                <w:rFonts w:ascii="Calibri"/>
                <w:b/>
                <w:sz w:val="24"/>
              </w:rPr>
            </w:pPr>
            <w:r>
              <w:rPr>
                <w:rFonts w:ascii="Calibri"/>
                <w:b/>
                <w:spacing w:val="-2"/>
                <w:sz w:val="24"/>
              </w:rPr>
              <w:t>SUMMARY</w:t>
            </w:r>
          </w:p>
          <w:p>
            <w:pPr>
              <w:pStyle w:val="TableParagraph"/>
              <w:spacing w:line="290" w:lineRule="atLeast"/>
              <w:ind w:left="124" w:right="110" w:hanging="2"/>
              <w:jc w:val="center"/>
              <w:rPr>
                <w:rFonts w:ascii="Calibri"/>
                <w:i/>
                <w:sz w:val="24"/>
              </w:rPr>
            </w:pPr>
            <w:r>
              <w:rPr>
                <w:rFonts w:ascii="Calibri"/>
                <w:i/>
                <w:sz w:val="24"/>
              </w:rPr>
              <w:t>(Include basis, i.e.</w:t>
            </w:r>
            <w:r>
              <w:rPr>
                <w:rFonts w:ascii="Calibri"/>
                <w:i/>
                <w:sz w:val="24"/>
              </w:rPr>
              <w:t> race, color, national origin,</w:t>
            </w:r>
            <w:r>
              <w:rPr>
                <w:rFonts w:ascii="Calibri"/>
                <w:i/>
                <w:spacing w:val="-3"/>
                <w:sz w:val="24"/>
              </w:rPr>
              <w:t> </w:t>
            </w:r>
            <w:r>
              <w:rPr>
                <w:rFonts w:ascii="Calibri"/>
                <w:i/>
                <w:sz w:val="24"/>
              </w:rPr>
              <w:t>disability,</w:t>
            </w:r>
            <w:r>
              <w:rPr>
                <w:rFonts w:ascii="Calibri"/>
                <w:i/>
                <w:spacing w:val="-1"/>
                <w:sz w:val="24"/>
              </w:rPr>
              <w:t> </w:t>
            </w:r>
            <w:r>
              <w:rPr>
                <w:rFonts w:ascii="Calibri"/>
                <w:i/>
                <w:spacing w:val="-4"/>
                <w:sz w:val="24"/>
              </w:rPr>
              <w:t>etc.)</w:t>
            </w:r>
          </w:p>
        </w:tc>
        <w:tc>
          <w:tcPr>
            <w:tcW w:w="1594" w:type="dxa"/>
            <w:shd w:val="clear" w:color="auto" w:fill="D9D9D9"/>
          </w:tcPr>
          <w:p>
            <w:pPr>
              <w:pStyle w:val="TableParagraph"/>
              <w:spacing w:line="292" w:lineRule="exact"/>
              <w:ind w:left="412"/>
              <w:rPr>
                <w:rFonts w:ascii="Calibri"/>
                <w:b/>
                <w:sz w:val="24"/>
              </w:rPr>
            </w:pPr>
            <w:r>
              <w:rPr>
                <w:rFonts w:ascii="Calibri"/>
                <w:b/>
                <w:spacing w:val="-2"/>
                <w:sz w:val="24"/>
              </w:rPr>
              <w:t>STATUS</w:t>
            </w:r>
          </w:p>
        </w:tc>
        <w:tc>
          <w:tcPr>
            <w:tcW w:w="1731" w:type="dxa"/>
            <w:shd w:val="clear" w:color="auto" w:fill="D9D9D9"/>
          </w:tcPr>
          <w:p>
            <w:pPr>
              <w:pStyle w:val="TableParagraph"/>
              <w:spacing w:line="240" w:lineRule="auto"/>
              <w:ind w:left="527" w:hanging="185"/>
              <w:rPr>
                <w:rFonts w:ascii="Calibri"/>
                <w:b/>
                <w:sz w:val="24"/>
              </w:rPr>
            </w:pPr>
            <w:r>
              <w:rPr>
                <w:rFonts w:ascii="Calibri"/>
                <w:b/>
                <w:spacing w:val="-2"/>
                <w:sz w:val="24"/>
              </w:rPr>
              <w:t>ACTION(S) TAKEN</w:t>
            </w:r>
          </w:p>
        </w:tc>
      </w:tr>
      <w:tr>
        <w:trPr>
          <w:trHeight w:val="294" w:hRule="atLeast"/>
        </w:trPr>
        <w:tc>
          <w:tcPr>
            <w:tcW w:w="2359" w:type="dxa"/>
          </w:tcPr>
          <w:p>
            <w:pPr>
              <w:pStyle w:val="TableParagraph"/>
              <w:spacing w:line="273" w:lineRule="exact" w:before="1"/>
              <w:ind w:left="107"/>
              <w:rPr>
                <w:rFonts w:ascii="Calibri"/>
                <w:b/>
                <w:sz w:val="24"/>
              </w:rPr>
            </w:pPr>
            <w:r>
              <w:rPr>
                <w:rFonts w:ascii="Calibri"/>
                <w:b/>
                <w:spacing w:val="-2"/>
                <w:sz w:val="24"/>
              </w:rPr>
              <w:t>INVESTIGATIONS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107"/>
              <w:rPr>
                <w:rFonts w:ascii="Calibri"/>
                <w:b/>
                <w:sz w:val="24"/>
              </w:rPr>
            </w:pPr>
            <w:r>
              <w:rPr>
                <w:rFonts w:ascii="Calibri"/>
                <w:b/>
                <w:spacing w:val="-2"/>
                <w:sz w:val="24"/>
              </w:rPr>
              <w:t>LAWSUITS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5" w:lineRule="exact"/>
              <w:ind w:left="107"/>
              <w:rPr>
                <w:rFonts w:ascii="Calibri"/>
                <w:b/>
                <w:sz w:val="24"/>
              </w:rPr>
            </w:pPr>
            <w:r>
              <w:rPr>
                <w:rFonts w:ascii="Calibri"/>
                <w:b/>
                <w:spacing w:val="-2"/>
                <w:sz w:val="24"/>
              </w:rPr>
              <w:t>COMPLAINTS</w:t>
            </w:r>
          </w:p>
        </w:tc>
        <w:tc>
          <w:tcPr>
            <w:tcW w:w="1421" w:type="dxa"/>
          </w:tcPr>
          <w:p>
            <w:pPr>
              <w:pStyle w:val="TableParagraph"/>
              <w:spacing w:line="240" w:lineRule="auto"/>
              <w:rPr>
                <w:sz w:val="22"/>
              </w:rPr>
            </w:pPr>
          </w:p>
        </w:tc>
        <w:tc>
          <w:tcPr>
            <w:tcW w:w="2340" w:type="dxa"/>
          </w:tcPr>
          <w:p>
            <w:pPr>
              <w:pStyle w:val="TableParagraph"/>
              <w:spacing w:line="240" w:lineRule="auto"/>
              <w:rPr>
                <w:sz w:val="22"/>
              </w:rPr>
            </w:pPr>
          </w:p>
        </w:tc>
        <w:tc>
          <w:tcPr>
            <w:tcW w:w="1594" w:type="dxa"/>
          </w:tcPr>
          <w:p>
            <w:pPr>
              <w:pStyle w:val="TableParagraph"/>
              <w:spacing w:line="240" w:lineRule="auto"/>
              <w:rPr>
                <w:sz w:val="22"/>
              </w:rPr>
            </w:pPr>
          </w:p>
        </w:tc>
        <w:tc>
          <w:tcPr>
            <w:tcW w:w="1731" w:type="dxa"/>
          </w:tcPr>
          <w:p>
            <w:pPr>
              <w:pStyle w:val="TableParagraph"/>
              <w:spacing w:line="240" w:lineRule="auto"/>
              <w:rPr>
                <w:sz w:val="22"/>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2022</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bl>
    <w:p>
      <w:pPr>
        <w:spacing w:after="0" w:line="272" w:lineRule="exact"/>
        <w:rPr>
          <w:rFonts w:ascii="Calibri"/>
          <w:sz w:val="24"/>
        </w:rPr>
        <w:sectPr>
          <w:pgSz w:w="12240" w:h="15840"/>
          <w:pgMar w:header="0" w:footer="997" w:top="1540" w:bottom="1260" w:left="600" w:right="500"/>
        </w:sectPr>
      </w:pPr>
    </w:p>
    <w:p>
      <w:pPr>
        <w:spacing w:before="54"/>
        <w:ind w:left="840" w:right="0" w:firstLine="0"/>
        <w:jc w:val="left"/>
        <w:rPr>
          <w:b/>
          <w:sz w:val="24"/>
        </w:rPr>
      </w:pPr>
      <w:r>
        <w:rPr>
          <w:b/>
          <w:spacing w:val="-4"/>
          <w:sz w:val="24"/>
          <w:u w:val="single"/>
        </w:rPr>
        <w:t>2023</w:t>
      </w:r>
    </w:p>
    <w:p>
      <w:pPr>
        <w:pStyle w:val="BodyText"/>
        <w:rPr>
          <w:b/>
        </w:rPr>
      </w:pPr>
    </w:p>
    <w:tbl>
      <w:tblPr>
        <w:tblW w:w="0" w:type="auto"/>
        <w:jc w:val="left"/>
        <w:tblInd w:w="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21"/>
        <w:gridCol w:w="2340"/>
        <w:gridCol w:w="1594"/>
        <w:gridCol w:w="1731"/>
      </w:tblGrid>
      <w:tr>
        <w:trPr>
          <w:trHeight w:val="1173" w:hRule="atLeast"/>
        </w:trPr>
        <w:tc>
          <w:tcPr>
            <w:tcW w:w="2359" w:type="dxa"/>
            <w:shd w:val="clear" w:color="auto" w:fill="D9D9D9"/>
          </w:tcPr>
          <w:p>
            <w:pPr>
              <w:pStyle w:val="TableParagraph"/>
              <w:spacing w:line="240" w:lineRule="auto" w:before="1"/>
              <w:ind w:left="923" w:right="912"/>
              <w:jc w:val="center"/>
              <w:rPr>
                <w:rFonts w:ascii="Calibri"/>
                <w:b/>
                <w:sz w:val="24"/>
              </w:rPr>
            </w:pPr>
            <w:r>
              <w:rPr>
                <w:rFonts w:ascii="Calibri"/>
                <w:b/>
                <w:spacing w:val="-4"/>
                <w:sz w:val="24"/>
              </w:rPr>
              <w:t>TYPE</w:t>
            </w:r>
          </w:p>
        </w:tc>
        <w:tc>
          <w:tcPr>
            <w:tcW w:w="1421" w:type="dxa"/>
            <w:shd w:val="clear" w:color="auto" w:fill="D9D9D9"/>
          </w:tcPr>
          <w:p>
            <w:pPr>
              <w:pStyle w:val="TableParagraph"/>
              <w:spacing w:line="240" w:lineRule="auto" w:before="1"/>
              <w:ind w:left="443"/>
              <w:rPr>
                <w:rFonts w:ascii="Calibri"/>
                <w:b/>
                <w:sz w:val="24"/>
              </w:rPr>
            </w:pPr>
            <w:r>
              <w:rPr>
                <w:rFonts w:ascii="Calibri"/>
                <w:b/>
                <w:spacing w:val="-4"/>
                <w:sz w:val="24"/>
              </w:rPr>
              <w:t>DATE</w:t>
            </w:r>
          </w:p>
        </w:tc>
        <w:tc>
          <w:tcPr>
            <w:tcW w:w="2340" w:type="dxa"/>
            <w:shd w:val="clear" w:color="auto" w:fill="D9D9D9"/>
          </w:tcPr>
          <w:p>
            <w:pPr>
              <w:pStyle w:val="TableParagraph"/>
              <w:spacing w:line="240" w:lineRule="auto" w:before="1"/>
              <w:ind w:left="606" w:right="598"/>
              <w:jc w:val="center"/>
              <w:rPr>
                <w:rFonts w:ascii="Calibri"/>
                <w:b/>
                <w:sz w:val="24"/>
              </w:rPr>
            </w:pPr>
            <w:r>
              <w:rPr>
                <w:rFonts w:ascii="Calibri"/>
                <w:b/>
                <w:spacing w:val="-2"/>
                <w:sz w:val="24"/>
              </w:rPr>
              <w:t>SUMMARY</w:t>
            </w:r>
          </w:p>
          <w:p>
            <w:pPr>
              <w:pStyle w:val="TableParagraph"/>
              <w:spacing w:line="290" w:lineRule="atLeast"/>
              <w:ind w:left="124" w:right="109" w:hanging="3"/>
              <w:jc w:val="center"/>
              <w:rPr>
                <w:rFonts w:ascii="Calibri"/>
                <w:i/>
                <w:sz w:val="24"/>
              </w:rPr>
            </w:pPr>
            <w:r>
              <w:rPr>
                <w:rFonts w:ascii="Calibri"/>
                <w:i/>
                <w:sz w:val="24"/>
              </w:rPr>
              <w:t>(Include basis, i.e.</w:t>
            </w:r>
            <w:r>
              <w:rPr>
                <w:rFonts w:ascii="Calibri"/>
                <w:i/>
                <w:sz w:val="24"/>
              </w:rPr>
              <w:t> race, color, national origin,</w:t>
            </w:r>
            <w:r>
              <w:rPr>
                <w:rFonts w:ascii="Calibri"/>
                <w:i/>
                <w:spacing w:val="-14"/>
                <w:sz w:val="24"/>
              </w:rPr>
              <w:t> </w:t>
            </w:r>
            <w:r>
              <w:rPr>
                <w:rFonts w:ascii="Calibri"/>
                <w:i/>
                <w:sz w:val="24"/>
              </w:rPr>
              <w:t>disability,</w:t>
            </w:r>
            <w:r>
              <w:rPr>
                <w:rFonts w:ascii="Calibri"/>
                <w:i/>
                <w:spacing w:val="-14"/>
                <w:sz w:val="24"/>
              </w:rPr>
              <w:t> </w:t>
            </w:r>
            <w:r>
              <w:rPr>
                <w:rFonts w:ascii="Calibri"/>
                <w:i/>
                <w:sz w:val="24"/>
              </w:rPr>
              <w:t>etc.)</w:t>
            </w:r>
          </w:p>
        </w:tc>
        <w:tc>
          <w:tcPr>
            <w:tcW w:w="1594" w:type="dxa"/>
            <w:shd w:val="clear" w:color="auto" w:fill="D9D9D9"/>
          </w:tcPr>
          <w:p>
            <w:pPr>
              <w:pStyle w:val="TableParagraph"/>
              <w:spacing w:line="240" w:lineRule="auto" w:before="1"/>
              <w:ind w:left="412"/>
              <w:rPr>
                <w:rFonts w:ascii="Calibri"/>
                <w:b/>
                <w:sz w:val="24"/>
              </w:rPr>
            </w:pPr>
            <w:r>
              <w:rPr>
                <w:rFonts w:ascii="Calibri"/>
                <w:b/>
                <w:spacing w:val="-2"/>
                <w:sz w:val="24"/>
              </w:rPr>
              <w:t>STATUS</w:t>
            </w:r>
          </w:p>
        </w:tc>
        <w:tc>
          <w:tcPr>
            <w:tcW w:w="1731" w:type="dxa"/>
            <w:shd w:val="clear" w:color="auto" w:fill="D9D9D9"/>
          </w:tcPr>
          <w:p>
            <w:pPr>
              <w:pStyle w:val="TableParagraph"/>
              <w:spacing w:line="240" w:lineRule="auto" w:before="1"/>
              <w:ind w:left="527" w:hanging="185"/>
              <w:rPr>
                <w:rFonts w:ascii="Calibri"/>
                <w:b/>
                <w:sz w:val="24"/>
              </w:rPr>
            </w:pPr>
            <w:r>
              <w:rPr>
                <w:rFonts w:ascii="Calibri"/>
                <w:b/>
                <w:spacing w:val="-2"/>
                <w:sz w:val="24"/>
              </w:rPr>
              <w:t>ACTION(S) TAKEN</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INVESTIGATIONS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5"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5" w:lineRule="exact"/>
              <w:ind w:left="107"/>
              <w:rPr>
                <w:rFonts w:ascii="Calibri"/>
                <w:sz w:val="24"/>
              </w:rPr>
            </w:pPr>
            <w:r>
              <w:rPr>
                <w:rFonts w:ascii="Calibri"/>
                <w:spacing w:val="-4"/>
                <w:sz w:val="24"/>
              </w:rPr>
              <w:t>2023</w:t>
            </w:r>
          </w:p>
        </w:tc>
        <w:tc>
          <w:tcPr>
            <w:tcW w:w="2340" w:type="dxa"/>
          </w:tcPr>
          <w:p>
            <w:pPr>
              <w:pStyle w:val="TableParagraph"/>
              <w:spacing w:line="275" w:lineRule="exact"/>
              <w:ind w:left="107"/>
              <w:rPr>
                <w:rFonts w:ascii="Calibri"/>
                <w:sz w:val="24"/>
              </w:rPr>
            </w:pPr>
            <w:r>
              <w:rPr>
                <w:rFonts w:ascii="Calibri"/>
                <w:spacing w:val="-5"/>
                <w:sz w:val="24"/>
              </w:rPr>
              <w:t>N/A</w:t>
            </w:r>
          </w:p>
        </w:tc>
        <w:tc>
          <w:tcPr>
            <w:tcW w:w="1594" w:type="dxa"/>
          </w:tcPr>
          <w:p>
            <w:pPr>
              <w:pStyle w:val="TableParagraph"/>
              <w:spacing w:line="275" w:lineRule="exact"/>
              <w:ind w:left="107"/>
              <w:rPr>
                <w:rFonts w:ascii="Calibri"/>
                <w:sz w:val="24"/>
              </w:rPr>
            </w:pPr>
            <w:r>
              <w:rPr>
                <w:rFonts w:ascii="Calibri"/>
                <w:spacing w:val="-5"/>
                <w:sz w:val="24"/>
              </w:rPr>
              <w:t>N/A</w:t>
            </w:r>
          </w:p>
        </w:tc>
        <w:tc>
          <w:tcPr>
            <w:tcW w:w="1731" w:type="dxa"/>
          </w:tcPr>
          <w:p>
            <w:pPr>
              <w:pStyle w:val="TableParagraph"/>
              <w:spacing w:line="275"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LAWSUITS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3" w:lineRule="exact" w:before="1"/>
              <w:ind w:left="107"/>
              <w:rPr>
                <w:rFonts w:ascii="Calibri"/>
                <w:sz w:val="24"/>
              </w:rPr>
            </w:pPr>
            <w:r>
              <w:rPr>
                <w:rFonts w:ascii="Calibri"/>
                <w:spacing w:val="-4"/>
                <w:sz w:val="24"/>
              </w:rPr>
              <w:t>2023</w:t>
            </w:r>
          </w:p>
        </w:tc>
        <w:tc>
          <w:tcPr>
            <w:tcW w:w="2340" w:type="dxa"/>
          </w:tcPr>
          <w:p>
            <w:pPr>
              <w:pStyle w:val="TableParagraph"/>
              <w:spacing w:line="273" w:lineRule="exact" w:before="1"/>
              <w:ind w:left="107"/>
              <w:rPr>
                <w:rFonts w:ascii="Calibri"/>
                <w:sz w:val="24"/>
              </w:rPr>
            </w:pPr>
            <w:r>
              <w:rPr>
                <w:rFonts w:ascii="Calibri"/>
                <w:spacing w:val="-5"/>
                <w:sz w:val="24"/>
              </w:rPr>
              <w:t>N/A</w:t>
            </w:r>
          </w:p>
        </w:tc>
        <w:tc>
          <w:tcPr>
            <w:tcW w:w="1594" w:type="dxa"/>
          </w:tcPr>
          <w:p>
            <w:pPr>
              <w:pStyle w:val="TableParagraph"/>
              <w:spacing w:line="273" w:lineRule="exact" w:before="1"/>
              <w:ind w:left="107"/>
              <w:rPr>
                <w:rFonts w:ascii="Calibri"/>
                <w:sz w:val="24"/>
              </w:rPr>
            </w:pPr>
            <w:r>
              <w:rPr>
                <w:rFonts w:ascii="Calibri"/>
                <w:spacing w:val="-5"/>
                <w:sz w:val="24"/>
              </w:rPr>
              <w:t>N/A</w:t>
            </w:r>
          </w:p>
        </w:tc>
        <w:tc>
          <w:tcPr>
            <w:tcW w:w="1731" w:type="dxa"/>
          </w:tcPr>
          <w:p>
            <w:pPr>
              <w:pStyle w:val="TableParagraph"/>
              <w:spacing w:line="273" w:lineRule="exact" w:before="1"/>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107"/>
              <w:rPr>
                <w:rFonts w:ascii="Calibri"/>
                <w:b/>
                <w:sz w:val="24"/>
              </w:rPr>
            </w:pPr>
            <w:r>
              <w:rPr>
                <w:rFonts w:ascii="Calibri"/>
                <w:b/>
                <w:spacing w:val="-2"/>
                <w:sz w:val="24"/>
              </w:rPr>
              <w:t>COMPLAINTS</w:t>
            </w:r>
          </w:p>
        </w:tc>
        <w:tc>
          <w:tcPr>
            <w:tcW w:w="1421" w:type="dxa"/>
          </w:tcPr>
          <w:p>
            <w:pPr>
              <w:pStyle w:val="TableParagraph"/>
              <w:spacing w:line="240" w:lineRule="auto"/>
              <w:rPr>
                <w:sz w:val="20"/>
              </w:rPr>
            </w:pPr>
          </w:p>
        </w:tc>
        <w:tc>
          <w:tcPr>
            <w:tcW w:w="2340" w:type="dxa"/>
          </w:tcPr>
          <w:p>
            <w:pPr>
              <w:pStyle w:val="TableParagraph"/>
              <w:spacing w:line="240" w:lineRule="auto"/>
              <w:rPr>
                <w:sz w:val="20"/>
              </w:rPr>
            </w:pPr>
          </w:p>
        </w:tc>
        <w:tc>
          <w:tcPr>
            <w:tcW w:w="1594" w:type="dxa"/>
          </w:tcPr>
          <w:p>
            <w:pPr>
              <w:pStyle w:val="TableParagraph"/>
              <w:spacing w:line="240" w:lineRule="auto"/>
              <w:rPr>
                <w:sz w:val="20"/>
              </w:rPr>
            </w:pPr>
          </w:p>
        </w:tc>
        <w:tc>
          <w:tcPr>
            <w:tcW w:w="1731" w:type="dxa"/>
          </w:tcPr>
          <w:p>
            <w:pPr>
              <w:pStyle w:val="TableParagraph"/>
              <w:spacing w:line="240" w:lineRule="auto"/>
              <w:rPr>
                <w:sz w:val="20"/>
              </w:rPr>
            </w:pPr>
          </w:p>
        </w:tc>
      </w:tr>
      <w:tr>
        <w:trPr>
          <w:trHeight w:val="292" w:hRule="atLeast"/>
        </w:trPr>
        <w:tc>
          <w:tcPr>
            <w:tcW w:w="2359" w:type="dxa"/>
          </w:tcPr>
          <w:p>
            <w:pPr>
              <w:pStyle w:val="TableParagraph"/>
              <w:spacing w:line="272" w:lineRule="exact"/>
              <w:ind w:left="467"/>
              <w:rPr>
                <w:rFonts w:ascii="Calibri"/>
                <w:sz w:val="24"/>
              </w:rPr>
            </w:pPr>
            <w:r>
              <w:rPr>
                <w:rFonts w:ascii="Calibri"/>
                <w:sz w:val="24"/>
              </w:rPr>
              <w:t>1.</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2" w:hRule="atLeast"/>
        </w:trPr>
        <w:tc>
          <w:tcPr>
            <w:tcW w:w="2359" w:type="dxa"/>
          </w:tcPr>
          <w:p>
            <w:pPr>
              <w:pStyle w:val="TableParagraph"/>
              <w:spacing w:line="272" w:lineRule="exact"/>
              <w:ind w:left="467"/>
              <w:rPr>
                <w:rFonts w:ascii="Calibri"/>
                <w:sz w:val="24"/>
              </w:rPr>
            </w:pPr>
            <w:r>
              <w:rPr>
                <w:rFonts w:ascii="Calibri"/>
                <w:sz w:val="24"/>
              </w:rPr>
              <w:t>2.</w:t>
            </w:r>
            <w:r>
              <w:rPr>
                <w:rFonts w:ascii="Calibri"/>
                <w:spacing w:val="33"/>
                <w:sz w:val="24"/>
              </w:rPr>
              <w:t>  </w:t>
            </w:r>
            <w:r>
              <w:rPr>
                <w:rFonts w:ascii="Calibri"/>
                <w:spacing w:val="-10"/>
                <w:sz w:val="24"/>
              </w:rPr>
              <w:t>0</w:t>
            </w:r>
          </w:p>
        </w:tc>
        <w:tc>
          <w:tcPr>
            <w:tcW w:w="1421" w:type="dxa"/>
          </w:tcPr>
          <w:p>
            <w:pPr>
              <w:pStyle w:val="TableParagraph"/>
              <w:spacing w:line="272" w:lineRule="exact"/>
              <w:ind w:left="107"/>
              <w:rPr>
                <w:rFonts w:ascii="Calibri"/>
                <w:sz w:val="24"/>
              </w:rPr>
            </w:pPr>
            <w:r>
              <w:rPr>
                <w:rFonts w:ascii="Calibri"/>
                <w:spacing w:val="-4"/>
                <w:sz w:val="24"/>
              </w:rPr>
              <w:t>2023</w:t>
            </w:r>
          </w:p>
        </w:tc>
        <w:tc>
          <w:tcPr>
            <w:tcW w:w="2340" w:type="dxa"/>
          </w:tcPr>
          <w:p>
            <w:pPr>
              <w:pStyle w:val="TableParagraph"/>
              <w:spacing w:line="272" w:lineRule="exact"/>
              <w:ind w:left="107"/>
              <w:rPr>
                <w:rFonts w:ascii="Calibri"/>
                <w:sz w:val="24"/>
              </w:rPr>
            </w:pPr>
            <w:r>
              <w:rPr>
                <w:rFonts w:ascii="Calibri"/>
                <w:spacing w:val="-5"/>
                <w:sz w:val="24"/>
              </w:rPr>
              <w:t>N/A</w:t>
            </w:r>
          </w:p>
        </w:tc>
        <w:tc>
          <w:tcPr>
            <w:tcW w:w="1594" w:type="dxa"/>
          </w:tcPr>
          <w:p>
            <w:pPr>
              <w:pStyle w:val="TableParagraph"/>
              <w:spacing w:line="272" w:lineRule="exact"/>
              <w:ind w:left="107"/>
              <w:rPr>
                <w:rFonts w:ascii="Calibri"/>
                <w:sz w:val="24"/>
              </w:rPr>
            </w:pPr>
            <w:r>
              <w:rPr>
                <w:rFonts w:ascii="Calibri"/>
                <w:spacing w:val="-5"/>
                <w:sz w:val="24"/>
              </w:rPr>
              <w:t>N/A</w:t>
            </w:r>
          </w:p>
        </w:tc>
        <w:tc>
          <w:tcPr>
            <w:tcW w:w="1731" w:type="dxa"/>
          </w:tcPr>
          <w:p>
            <w:pPr>
              <w:pStyle w:val="TableParagraph"/>
              <w:spacing w:line="272" w:lineRule="exact"/>
              <w:ind w:left="107"/>
              <w:rPr>
                <w:rFonts w:ascii="Calibri"/>
                <w:sz w:val="24"/>
              </w:rPr>
            </w:pPr>
            <w:r>
              <w:rPr>
                <w:rFonts w:ascii="Calibri"/>
                <w:spacing w:val="-5"/>
                <w:sz w:val="24"/>
              </w:rPr>
              <w:t>N/A</w:t>
            </w:r>
          </w:p>
        </w:tc>
      </w:tr>
      <w:tr>
        <w:trPr>
          <w:trHeight w:val="294" w:hRule="atLeast"/>
        </w:trPr>
        <w:tc>
          <w:tcPr>
            <w:tcW w:w="2359" w:type="dxa"/>
          </w:tcPr>
          <w:p>
            <w:pPr>
              <w:pStyle w:val="TableParagraph"/>
              <w:spacing w:line="273" w:lineRule="exact" w:before="1"/>
              <w:ind w:left="467"/>
              <w:rPr>
                <w:rFonts w:ascii="Calibri"/>
                <w:sz w:val="24"/>
              </w:rPr>
            </w:pPr>
            <w:r>
              <w:rPr>
                <w:rFonts w:ascii="Calibri"/>
                <w:sz w:val="24"/>
              </w:rPr>
              <w:t>3.</w:t>
            </w:r>
            <w:r>
              <w:rPr>
                <w:rFonts w:ascii="Calibri"/>
                <w:spacing w:val="33"/>
                <w:sz w:val="24"/>
              </w:rPr>
              <w:t>  </w:t>
            </w:r>
            <w:r>
              <w:rPr>
                <w:rFonts w:ascii="Calibri"/>
                <w:spacing w:val="-10"/>
                <w:sz w:val="24"/>
              </w:rPr>
              <w:t>0</w:t>
            </w:r>
          </w:p>
        </w:tc>
        <w:tc>
          <w:tcPr>
            <w:tcW w:w="1421" w:type="dxa"/>
          </w:tcPr>
          <w:p>
            <w:pPr>
              <w:pStyle w:val="TableParagraph"/>
              <w:spacing w:line="273" w:lineRule="exact" w:before="1"/>
              <w:ind w:left="107"/>
              <w:rPr>
                <w:rFonts w:ascii="Calibri"/>
                <w:sz w:val="24"/>
              </w:rPr>
            </w:pPr>
            <w:r>
              <w:rPr>
                <w:rFonts w:ascii="Calibri"/>
                <w:spacing w:val="-4"/>
                <w:sz w:val="24"/>
              </w:rPr>
              <w:t>2023</w:t>
            </w:r>
          </w:p>
        </w:tc>
        <w:tc>
          <w:tcPr>
            <w:tcW w:w="2340" w:type="dxa"/>
          </w:tcPr>
          <w:p>
            <w:pPr>
              <w:pStyle w:val="TableParagraph"/>
              <w:spacing w:line="273" w:lineRule="exact" w:before="1"/>
              <w:ind w:left="107"/>
              <w:rPr>
                <w:rFonts w:ascii="Calibri"/>
                <w:sz w:val="24"/>
              </w:rPr>
            </w:pPr>
            <w:r>
              <w:rPr>
                <w:rFonts w:ascii="Calibri"/>
                <w:spacing w:val="-5"/>
                <w:sz w:val="24"/>
              </w:rPr>
              <w:t>N/A</w:t>
            </w:r>
          </w:p>
        </w:tc>
        <w:tc>
          <w:tcPr>
            <w:tcW w:w="1594" w:type="dxa"/>
          </w:tcPr>
          <w:p>
            <w:pPr>
              <w:pStyle w:val="TableParagraph"/>
              <w:spacing w:line="273" w:lineRule="exact" w:before="1"/>
              <w:ind w:left="107"/>
              <w:rPr>
                <w:rFonts w:ascii="Calibri"/>
                <w:sz w:val="24"/>
              </w:rPr>
            </w:pPr>
            <w:r>
              <w:rPr>
                <w:rFonts w:ascii="Calibri"/>
                <w:spacing w:val="-5"/>
                <w:sz w:val="24"/>
              </w:rPr>
              <w:t>N/A</w:t>
            </w:r>
          </w:p>
        </w:tc>
        <w:tc>
          <w:tcPr>
            <w:tcW w:w="1731" w:type="dxa"/>
          </w:tcPr>
          <w:p>
            <w:pPr>
              <w:pStyle w:val="TableParagraph"/>
              <w:spacing w:line="273" w:lineRule="exact" w:before="1"/>
              <w:ind w:left="107"/>
              <w:rPr>
                <w:rFonts w:ascii="Calibri"/>
                <w:sz w:val="24"/>
              </w:rPr>
            </w:pPr>
            <w:r>
              <w:rPr>
                <w:rFonts w:ascii="Calibri"/>
                <w:spacing w:val="-5"/>
                <w:sz w:val="24"/>
              </w:rPr>
              <w:t>N/A</w:t>
            </w:r>
          </w:p>
        </w:tc>
      </w:tr>
    </w:tbl>
    <w:p>
      <w:pPr>
        <w:pStyle w:val="BodyText"/>
        <w:rPr>
          <w:b/>
        </w:rPr>
      </w:pPr>
    </w:p>
    <w:p>
      <w:pPr>
        <w:pStyle w:val="BodyText"/>
        <w:spacing w:before="4"/>
        <w:rPr>
          <w:b/>
        </w:rPr>
      </w:pPr>
    </w:p>
    <w:p>
      <w:pPr>
        <w:spacing w:before="1"/>
        <w:ind w:left="840" w:right="0" w:firstLine="0"/>
        <w:jc w:val="left"/>
        <w:rPr>
          <w:b/>
          <w:sz w:val="24"/>
        </w:rPr>
      </w:pPr>
      <w:r>
        <w:rPr>
          <w:b/>
          <w:sz w:val="24"/>
        </w:rPr>
        <w:t>Public</w:t>
      </w:r>
      <w:r>
        <w:rPr>
          <w:b/>
          <w:spacing w:val="-1"/>
          <w:sz w:val="24"/>
        </w:rPr>
        <w:t> </w:t>
      </w:r>
      <w:r>
        <w:rPr>
          <w:b/>
          <w:spacing w:val="-2"/>
          <w:sz w:val="24"/>
        </w:rPr>
        <w:t>Participation</w:t>
      </w:r>
    </w:p>
    <w:p>
      <w:pPr>
        <w:pStyle w:val="BodyText"/>
        <w:spacing w:before="11"/>
        <w:rPr>
          <w:b/>
          <w:sz w:val="23"/>
        </w:rPr>
      </w:pPr>
    </w:p>
    <w:p>
      <w:pPr>
        <w:pStyle w:val="BodyText"/>
        <w:spacing w:before="1"/>
        <w:ind w:left="840" w:right="935"/>
      </w:pPr>
      <w:r>
        <w:rPr/>
        <w:t>Planning (23 CFR 450.210(a) &amp; 23 CFR 450.316(1)), Environment (National Environmental Policy Act</w:t>
      </w:r>
      <w:r>
        <w:rPr>
          <w:spacing w:val="-1"/>
        </w:rPr>
        <w:t> </w:t>
      </w:r>
      <w:r>
        <w:rPr/>
        <w:t>of</w:t>
      </w:r>
      <w:r>
        <w:rPr>
          <w:spacing w:val="-4"/>
        </w:rPr>
        <w:t> </w:t>
      </w:r>
      <w:r>
        <w:rPr/>
        <w:t>1969),</w:t>
      </w:r>
      <w:r>
        <w:rPr>
          <w:spacing w:val="-2"/>
        </w:rPr>
        <w:t> </w:t>
      </w:r>
      <w:r>
        <w:rPr/>
        <w:t>Property</w:t>
      </w:r>
      <w:r>
        <w:rPr>
          <w:spacing w:val="-3"/>
        </w:rPr>
        <w:t> </w:t>
      </w:r>
      <w:r>
        <w:rPr/>
        <w:t>(Uniform</w:t>
      </w:r>
      <w:r>
        <w:rPr>
          <w:spacing w:val="-5"/>
        </w:rPr>
        <w:t> </w:t>
      </w:r>
      <w:r>
        <w:rPr/>
        <w:t>Relocation</w:t>
      </w:r>
      <w:r>
        <w:rPr>
          <w:spacing w:val="-1"/>
        </w:rPr>
        <w:t> </w:t>
      </w:r>
      <w:r>
        <w:rPr/>
        <w:t>Assistance</w:t>
      </w:r>
      <w:r>
        <w:rPr>
          <w:spacing w:val="-2"/>
        </w:rPr>
        <w:t> </w:t>
      </w:r>
      <w:r>
        <w:rPr/>
        <w:t>and</w:t>
      </w:r>
      <w:r>
        <w:rPr>
          <w:spacing w:val="-1"/>
        </w:rPr>
        <w:t> </w:t>
      </w:r>
      <w:r>
        <w:rPr/>
        <w:t>Real</w:t>
      </w:r>
      <w:r>
        <w:rPr>
          <w:spacing w:val="-5"/>
        </w:rPr>
        <w:t> </w:t>
      </w:r>
      <w:r>
        <w:rPr/>
        <w:t>Property</w:t>
      </w:r>
      <w:r>
        <w:rPr>
          <w:spacing w:val="-6"/>
        </w:rPr>
        <w:t> </w:t>
      </w:r>
      <w:r>
        <w:rPr/>
        <w:t>Acquisition</w:t>
      </w:r>
      <w:r>
        <w:rPr>
          <w:spacing w:val="-4"/>
        </w:rPr>
        <w:t> </w:t>
      </w:r>
      <w:r>
        <w:rPr/>
        <w:t>Policies</w:t>
      </w:r>
      <w:r>
        <w:rPr>
          <w:spacing w:val="-3"/>
        </w:rPr>
        <w:t> </w:t>
      </w:r>
      <w:r>
        <w:rPr/>
        <w:t>Act of 1970, as amended) and Design (23 USC 109(h)) require effective public involvement/public</w:t>
      </w:r>
      <w:r>
        <w:rPr>
          <w:spacing w:val="40"/>
        </w:rPr>
        <w:t> </w:t>
      </w:r>
      <w:r>
        <w:rPr/>
        <w:t>participation</w:t>
      </w:r>
      <w:r>
        <w:rPr>
          <w:spacing w:val="80"/>
          <w:w w:val="150"/>
        </w:rPr>
        <w:t> </w:t>
      </w:r>
      <w:r>
        <w:rPr/>
        <w:t>processes,</w:t>
      </w:r>
      <w:r>
        <w:rPr>
          <w:spacing w:val="80"/>
          <w:w w:val="150"/>
        </w:rPr>
        <w:t> </w:t>
      </w:r>
      <w:r>
        <w:rPr/>
        <w:t>which</w:t>
      </w:r>
      <w:r>
        <w:rPr>
          <w:spacing w:val="80"/>
          <w:w w:val="150"/>
        </w:rPr>
        <w:t> </w:t>
      </w:r>
      <w:r>
        <w:rPr/>
        <w:t>are</w:t>
      </w:r>
      <w:r>
        <w:rPr>
          <w:spacing w:val="80"/>
          <w:w w:val="150"/>
        </w:rPr>
        <w:t> </w:t>
      </w:r>
      <w:r>
        <w:rPr/>
        <w:t>combined</w:t>
      </w:r>
      <w:r>
        <w:rPr>
          <w:spacing w:val="80"/>
          <w:w w:val="150"/>
        </w:rPr>
        <w:t> </w:t>
      </w:r>
      <w:r>
        <w:rPr/>
        <w:t>into</w:t>
      </w:r>
      <w:r>
        <w:rPr>
          <w:spacing w:val="80"/>
          <w:w w:val="150"/>
        </w:rPr>
        <w:t> </w:t>
      </w:r>
      <w:r>
        <w:rPr/>
        <w:t>MaineDOT’s</w:t>
      </w:r>
      <w:r>
        <w:rPr>
          <w:spacing w:val="80"/>
          <w:w w:val="150"/>
        </w:rPr>
        <w:t> </w:t>
      </w:r>
      <w:r>
        <w:rPr>
          <w:i/>
        </w:rPr>
        <w:t>Public</w:t>
      </w:r>
      <w:r>
        <w:rPr>
          <w:i/>
          <w:spacing w:val="80"/>
          <w:w w:val="150"/>
        </w:rPr>
        <w:t> </w:t>
      </w:r>
      <w:r>
        <w:rPr>
          <w:i/>
        </w:rPr>
        <w:t>Involvement</w:t>
      </w:r>
      <w:r>
        <w:rPr>
          <w:i/>
          <w:spacing w:val="80"/>
          <w:w w:val="150"/>
        </w:rPr>
        <w:t> </w:t>
      </w:r>
      <w:r>
        <w:rPr>
          <w:i/>
        </w:rPr>
        <w:t>in</w:t>
      </w:r>
      <w:r>
        <w:rPr>
          <w:i/>
        </w:rPr>
        <w:t> Transportation Decision Making, </w:t>
      </w:r>
      <w:r>
        <w:rPr/>
        <w:t>found at: </w:t>
      </w:r>
      <w:hyperlink r:id="rId34">
        <w:r>
          <w:rPr>
            <w:color w:val="0000FF"/>
            <w:spacing w:val="-2"/>
            <w:u w:val="single" w:color="0000FF"/>
          </w:rPr>
          <w:t>https://www.maine.gov/mdot/planning/docs/2021/pip0321.pdf</w:t>
        </w:r>
      </w:hyperlink>
      <w:r>
        <w:rPr>
          <w:spacing w:val="-2"/>
        </w:rPr>
        <w:t>.</w:t>
      </w:r>
    </w:p>
    <w:p>
      <w:pPr>
        <w:pStyle w:val="BodyText"/>
        <w:spacing w:before="10"/>
        <w:rPr>
          <w:sz w:val="19"/>
        </w:rPr>
      </w:pPr>
    </w:p>
    <w:p>
      <w:pPr>
        <w:pStyle w:val="Heading9"/>
        <w:spacing w:before="52"/>
        <w:ind w:left="840"/>
        <w:jc w:val="both"/>
      </w:pPr>
      <w:r>
        <w:rPr/>
        <w:t>Key</w:t>
      </w:r>
      <w:r>
        <w:rPr>
          <w:spacing w:val="-4"/>
        </w:rPr>
        <w:t> </w:t>
      </w:r>
      <w:r>
        <w:rPr/>
        <w:t>Principles</w:t>
      </w:r>
      <w:r>
        <w:rPr>
          <w:spacing w:val="-5"/>
        </w:rPr>
        <w:t> </w:t>
      </w:r>
      <w:r>
        <w:rPr/>
        <w:t>of</w:t>
      </w:r>
      <w:r>
        <w:rPr>
          <w:spacing w:val="-2"/>
        </w:rPr>
        <w:t> </w:t>
      </w:r>
      <w:r>
        <w:rPr/>
        <w:t>MaineDOT’s</w:t>
      </w:r>
      <w:r>
        <w:rPr>
          <w:spacing w:val="-5"/>
        </w:rPr>
        <w:t> </w:t>
      </w:r>
      <w:r>
        <w:rPr/>
        <w:t>Public</w:t>
      </w:r>
      <w:r>
        <w:rPr>
          <w:spacing w:val="-2"/>
        </w:rPr>
        <w:t> </w:t>
      </w:r>
      <w:r>
        <w:rPr/>
        <w:t>Participation</w:t>
      </w:r>
      <w:r>
        <w:rPr>
          <w:spacing w:val="-2"/>
        </w:rPr>
        <w:t> Process</w:t>
      </w:r>
    </w:p>
    <w:p>
      <w:pPr>
        <w:pStyle w:val="BodyText"/>
        <w:spacing w:before="216"/>
        <w:ind w:left="840" w:right="932"/>
        <w:jc w:val="both"/>
      </w:pPr>
      <w:r>
        <w:rPr/>
        <w:t>MaineDOT has developed a robust public participation process designed to offer participants continuous opportunity for input in an effort to ensure that no one is precluded from participating in transportation planning.</w:t>
      </w:r>
      <w:r>
        <w:rPr>
          <w:spacing w:val="40"/>
        </w:rPr>
        <w:t> </w:t>
      </w:r>
      <w:r>
        <w:rPr/>
        <w:t>MaineDOT’s public participation process includes a variety of tools designed to ensure that it:</w:t>
      </w:r>
    </w:p>
    <w:p>
      <w:pPr>
        <w:pStyle w:val="ListParagraph"/>
        <w:numPr>
          <w:ilvl w:val="1"/>
          <w:numId w:val="7"/>
        </w:numPr>
        <w:tabs>
          <w:tab w:pos="1560" w:val="left" w:leader="none"/>
        </w:tabs>
        <w:spacing w:line="240" w:lineRule="auto" w:before="214" w:after="0"/>
        <w:ind w:left="1560" w:right="934" w:hanging="360"/>
        <w:jc w:val="both"/>
        <w:rPr>
          <w:rFonts w:ascii="Symbol" w:hAnsi="Symbol"/>
          <w:sz w:val="24"/>
        </w:rPr>
      </w:pPr>
      <w:r>
        <w:rPr>
          <w:sz w:val="24"/>
        </w:rPr>
        <w:t>Identifies and engages affected and potentially affected communities, with particular emphasis on racial and ethnic minority communities, including limited English proficient populations (LEP), as well as other constituencies historically underserved by transportation programs, such as low-income populations, and zero automobile </w:t>
      </w:r>
      <w:r>
        <w:rPr>
          <w:spacing w:val="-2"/>
          <w:sz w:val="24"/>
        </w:rPr>
        <w:t>households.</w:t>
      </w:r>
    </w:p>
    <w:p>
      <w:pPr>
        <w:spacing w:after="0" w:line="240" w:lineRule="auto"/>
        <w:jc w:val="both"/>
        <w:rPr>
          <w:rFonts w:ascii="Symbol" w:hAnsi="Symbol"/>
          <w:sz w:val="24"/>
        </w:rPr>
        <w:sectPr>
          <w:pgSz w:w="12240" w:h="15840"/>
          <w:pgMar w:header="0" w:footer="997" w:top="1820" w:bottom="1260" w:left="600" w:right="500"/>
        </w:sectPr>
      </w:pPr>
    </w:p>
    <w:p>
      <w:pPr>
        <w:pStyle w:val="ListParagraph"/>
        <w:numPr>
          <w:ilvl w:val="1"/>
          <w:numId w:val="7"/>
        </w:numPr>
        <w:tabs>
          <w:tab w:pos="1560" w:val="left" w:leader="none"/>
        </w:tabs>
        <w:spacing w:line="240" w:lineRule="auto" w:before="74" w:after="0"/>
        <w:ind w:left="1560" w:right="934" w:hanging="360"/>
        <w:jc w:val="both"/>
        <w:rPr>
          <w:rFonts w:ascii="Symbol" w:hAnsi="Symbol"/>
          <w:sz w:val="24"/>
        </w:rPr>
      </w:pPr>
      <w:r>
        <w:rPr>
          <w:sz w:val="24"/>
        </w:rPr>
        <w:t>Engages in focused and direct outreach with numerous key stakeholders, advocacy groups, community-based organizations, or other representatives of the affected or potentially affected communities.</w:t>
      </w:r>
    </w:p>
    <w:p>
      <w:pPr>
        <w:pStyle w:val="BodyText"/>
        <w:spacing w:before="10"/>
        <w:rPr>
          <w:sz w:val="17"/>
        </w:rPr>
      </w:pPr>
    </w:p>
    <w:p>
      <w:pPr>
        <w:pStyle w:val="ListParagraph"/>
        <w:numPr>
          <w:ilvl w:val="1"/>
          <w:numId w:val="7"/>
        </w:numPr>
        <w:tabs>
          <w:tab w:pos="1560" w:val="left" w:leader="none"/>
        </w:tabs>
        <w:spacing w:line="240" w:lineRule="auto" w:before="0" w:after="0"/>
        <w:ind w:left="1560" w:right="933" w:hanging="360"/>
        <w:jc w:val="both"/>
        <w:rPr>
          <w:rFonts w:ascii="Symbol" w:hAnsi="Symbol"/>
          <w:sz w:val="24"/>
        </w:rPr>
      </w:pPr>
      <w:r>
        <w:rPr>
          <w:sz w:val="24"/>
        </w:rPr>
        <w:t>Implements</w:t>
      </w:r>
      <w:r>
        <w:rPr>
          <w:spacing w:val="-10"/>
          <w:sz w:val="24"/>
        </w:rPr>
        <w:t> </w:t>
      </w:r>
      <w:r>
        <w:rPr>
          <w:sz w:val="24"/>
        </w:rPr>
        <w:t>measures</w:t>
      </w:r>
      <w:r>
        <w:rPr>
          <w:spacing w:val="-10"/>
          <w:sz w:val="24"/>
        </w:rPr>
        <w:t> </w:t>
      </w:r>
      <w:r>
        <w:rPr>
          <w:sz w:val="24"/>
        </w:rPr>
        <w:t>to</w:t>
      </w:r>
      <w:r>
        <w:rPr>
          <w:spacing w:val="-12"/>
          <w:sz w:val="24"/>
        </w:rPr>
        <w:t> </w:t>
      </w:r>
      <w:r>
        <w:rPr>
          <w:sz w:val="24"/>
        </w:rPr>
        <w:t>disseminate</w:t>
      </w:r>
      <w:r>
        <w:rPr>
          <w:spacing w:val="-9"/>
          <w:sz w:val="24"/>
        </w:rPr>
        <w:t> </w:t>
      </w:r>
      <w:r>
        <w:rPr>
          <w:sz w:val="24"/>
        </w:rPr>
        <w:t>information</w:t>
      </w:r>
      <w:r>
        <w:rPr>
          <w:spacing w:val="-11"/>
          <w:sz w:val="24"/>
        </w:rPr>
        <w:t> </w:t>
      </w:r>
      <w:r>
        <w:rPr>
          <w:sz w:val="24"/>
        </w:rPr>
        <w:t>and</w:t>
      </w:r>
      <w:r>
        <w:rPr>
          <w:spacing w:val="-11"/>
          <w:sz w:val="24"/>
        </w:rPr>
        <w:t> </w:t>
      </w:r>
      <w:r>
        <w:rPr>
          <w:sz w:val="24"/>
        </w:rPr>
        <w:t>provide</w:t>
      </w:r>
      <w:r>
        <w:rPr>
          <w:spacing w:val="-11"/>
          <w:sz w:val="24"/>
        </w:rPr>
        <w:t> </w:t>
      </w:r>
      <w:r>
        <w:rPr>
          <w:sz w:val="24"/>
        </w:rPr>
        <w:t>education—in</w:t>
      </w:r>
      <w:r>
        <w:rPr>
          <w:spacing w:val="-9"/>
          <w:sz w:val="24"/>
        </w:rPr>
        <w:t> </w:t>
      </w:r>
      <w:r>
        <w:rPr>
          <w:sz w:val="24"/>
        </w:rPr>
        <w:t>clear,</w:t>
      </w:r>
      <w:r>
        <w:rPr>
          <w:spacing w:val="-10"/>
          <w:sz w:val="24"/>
        </w:rPr>
        <w:t> </w:t>
      </w:r>
      <w:r>
        <w:rPr>
          <w:sz w:val="24"/>
        </w:rPr>
        <w:t>plain, and accessible language, including in languages other than English as requested — to affected communities.</w:t>
      </w:r>
    </w:p>
    <w:p>
      <w:pPr>
        <w:pStyle w:val="ListParagraph"/>
        <w:numPr>
          <w:ilvl w:val="1"/>
          <w:numId w:val="7"/>
        </w:numPr>
        <w:tabs>
          <w:tab w:pos="1560" w:val="left" w:leader="none"/>
        </w:tabs>
        <w:spacing w:line="240" w:lineRule="auto" w:before="215" w:after="0"/>
        <w:ind w:left="1560" w:right="931" w:hanging="360"/>
        <w:jc w:val="both"/>
        <w:rPr>
          <w:rFonts w:ascii="Symbol" w:hAnsi="Symbol"/>
          <w:sz w:val="24"/>
        </w:rPr>
      </w:pPr>
      <w:r>
        <w:rPr>
          <w:sz w:val="24"/>
        </w:rPr>
        <w:t>Utilizes diverse communication platforms to reach the broadest audience, and delivers targeted outreach to minority, LEP, low-income and other underrepresented communities to ensure these historically underrepresented groups have a seat at the table during transit-based decision-making processes.</w:t>
      </w:r>
    </w:p>
    <w:p>
      <w:pPr>
        <w:pStyle w:val="BodyText"/>
        <w:spacing w:before="9"/>
        <w:rPr>
          <w:sz w:val="17"/>
        </w:rPr>
      </w:pPr>
    </w:p>
    <w:p>
      <w:pPr>
        <w:pStyle w:val="ListParagraph"/>
        <w:numPr>
          <w:ilvl w:val="1"/>
          <w:numId w:val="7"/>
        </w:numPr>
        <w:tabs>
          <w:tab w:pos="1560" w:val="left" w:leader="none"/>
        </w:tabs>
        <w:spacing w:line="240" w:lineRule="auto" w:before="0" w:after="0"/>
        <w:ind w:left="1560" w:right="935" w:hanging="360"/>
        <w:jc w:val="both"/>
        <w:rPr>
          <w:rFonts w:ascii="Symbol" w:hAnsi="Symbol"/>
          <w:sz w:val="24"/>
        </w:rPr>
      </w:pPr>
      <w:r>
        <w:rPr>
          <w:sz w:val="24"/>
        </w:rPr>
        <w:t>Ensures community responses are addressed and incorporated into transportation planning and decision-making.</w:t>
      </w:r>
    </w:p>
    <w:p>
      <w:pPr>
        <w:pStyle w:val="ListParagraph"/>
        <w:numPr>
          <w:ilvl w:val="1"/>
          <w:numId w:val="7"/>
        </w:numPr>
        <w:tabs>
          <w:tab w:pos="1560" w:val="left" w:leader="none"/>
        </w:tabs>
        <w:spacing w:line="240" w:lineRule="auto" w:before="215" w:after="0"/>
        <w:ind w:left="1560" w:right="934" w:hanging="360"/>
        <w:jc w:val="both"/>
        <w:rPr>
          <w:rFonts w:ascii="Symbol" w:hAnsi="Symbol"/>
          <w:sz w:val="24"/>
        </w:rPr>
      </w:pPr>
      <w:r>
        <w:rPr>
          <w:sz w:val="24"/>
        </w:rPr>
        <w:t>Utilizes inclusive approaches to solicit and maximize participation by representatives or members of affected or potentially affected communities in meaningful and robust </w:t>
      </w:r>
      <w:r>
        <w:rPr>
          <w:spacing w:val="-2"/>
          <w:sz w:val="24"/>
        </w:rPr>
        <w:t>engagement.</w:t>
      </w:r>
    </w:p>
    <w:p>
      <w:pPr>
        <w:pStyle w:val="BodyText"/>
        <w:spacing w:before="9"/>
        <w:rPr>
          <w:sz w:val="17"/>
        </w:rPr>
      </w:pPr>
    </w:p>
    <w:p>
      <w:pPr>
        <w:pStyle w:val="ListParagraph"/>
        <w:numPr>
          <w:ilvl w:val="1"/>
          <w:numId w:val="7"/>
        </w:numPr>
        <w:tabs>
          <w:tab w:pos="1560" w:val="left" w:leader="none"/>
        </w:tabs>
        <w:spacing w:line="240" w:lineRule="auto" w:before="1" w:after="0"/>
        <w:ind w:left="1560" w:right="934" w:hanging="360"/>
        <w:jc w:val="both"/>
        <w:rPr>
          <w:rFonts w:ascii="Symbol" w:hAnsi="Symbol"/>
          <w:sz w:val="24"/>
        </w:rPr>
      </w:pPr>
      <w:r>
        <w:rPr>
          <w:sz w:val="24"/>
        </w:rPr>
        <w:t>Provides accessibility by implementing public engagement measures that are, to the maximum</w:t>
      </w:r>
      <w:r>
        <w:rPr>
          <w:spacing w:val="-3"/>
          <w:sz w:val="24"/>
        </w:rPr>
        <w:t> </w:t>
      </w:r>
      <w:r>
        <w:rPr>
          <w:sz w:val="24"/>
        </w:rPr>
        <w:t>extent</w:t>
      </w:r>
      <w:r>
        <w:rPr>
          <w:spacing w:val="-5"/>
          <w:sz w:val="24"/>
        </w:rPr>
        <w:t> </w:t>
      </w:r>
      <w:r>
        <w:rPr>
          <w:sz w:val="24"/>
        </w:rPr>
        <w:t>practicable,</w:t>
      </w:r>
      <w:r>
        <w:rPr>
          <w:spacing w:val="-3"/>
          <w:sz w:val="24"/>
        </w:rPr>
        <w:t> </w:t>
      </w:r>
      <w:r>
        <w:rPr>
          <w:sz w:val="24"/>
        </w:rPr>
        <w:t>free</w:t>
      </w:r>
      <w:r>
        <w:rPr>
          <w:spacing w:val="-3"/>
          <w:sz w:val="24"/>
        </w:rPr>
        <w:t> </w:t>
      </w:r>
      <w:r>
        <w:rPr>
          <w:sz w:val="24"/>
        </w:rPr>
        <w:t>of</w:t>
      </w:r>
      <w:r>
        <w:rPr>
          <w:spacing w:val="-2"/>
          <w:sz w:val="24"/>
        </w:rPr>
        <w:t> </w:t>
      </w:r>
      <w:r>
        <w:rPr>
          <w:sz w:val="24"/>
        </w:rPr>
        <w:t>linguistic,</w:t>
      </w:r>
      <w:r>
        <w:rPr>
          <w:spacing w:val="-3"/>
          <w:sz w:val="24"/>
        </w:rPr>
        <w:t> </w:t>
      </w:r>
      <w:r>
        <w:rPr>
          <w:sz w:val="24"/>
        </w:rPr>
        <w:t>cultural,</w:t>
      </w:r>
      <w:r>
        <w:rPr>
          <w:spacing w:val="-6"/>
          <w:sz w:val="24"/>
        </w:rPr>
        <w:t> </w:t>
      </w:r>
      <w:r>
        <w:rPr>
          <w:sz w:val="24"/>
        </w:rPr>
        <w:t>economic,</w:t>
      </w:r>
      <w:r>
        <w:rPr>
          <w:spacing w:val="-3"/>
          <w:sz w:val="24"/>
        </w:rPr>
        <w:t> </w:t>
      </w:r>
      <w:r>
        <w:rPr>
          <w:sz w:val="24"/>
        </w:rPr>
        <w:t>and</w:t>
      </w:r>
      <w:r>
        <w:rPr>
          <w:spacing w:val="-5"/>
          <w:sz w:val="24"/>
        </w:rPr>
        <w:t> </w:t>
      </w:r>
      <w:r>
        <w:rPr>
          <w:sz w:val="24"/>
        </w:rPr>
        <w:t>historical</w:t>
      </w:r>
      <w:r>
        <w:rPr>
          <w:spacing w:val="-3"/>
          <w:sz w:val="24"/>
        </w:rPr>
        <w:t> </w:t>
      </w:r>
      <w:r>
        <w:rPr>
          <w:sz w:val="24"/>
        </w:rPr>
        <w:t>barriers that impede or prevent effective public participation in the decision-making process.</w:t>
      </w:r>
    </w:p>
    <w:p>
      <w:pPr>
        <w:pStyle w:val="BodyText"/>
        <w:spacing w:before="215"/>
        <w:ind w:left="839" w:right="934"/>
        <w:jc w:val="both"/>
      </w:pPr>
      <w:r>
        <w:rPr/>
        <w:t>Through an open public process, MaineDOT has developed a public participation plan to encourage and guide public involvement efforts and enhance access to MaineDOT’s transportation decision-making process by minority and LEP populations.</w:t>
      </w:r>
      <w:r>
        <w:rPr>
          <w:spacing w:val="40"/>
        </w:rPr>
        <w:t> </w:t>
      </w:r>
      <w:r>
        <w:rPr/>
        <w:t>The public participation plan describes the overall goals, guiding principles and outreach methods that MaineDOT uses to reach the public.</w:t>
      </w:r>
    </w:p>
    <w:p>
      <w:pPr>
        <w:pStyle w:val="BodyText"/>
        <w:spacing w:before="1"/>
      </w:pPr>
    </w:p>
    <w:p>
      <w:pPr>
        <w:pStyle w:val="BodyText"/>
        <w:spacing w:before="1"/>
        <w:ind w:left="839" w:right="932"/>
        <w:jc w:val="both"/>
      </w:pPr>
      <w:r>
        <w:rPr/>
        <w:t>LEP</w:t>
      </w:r>
      <w:r>
        <w:rPr>
          <w:spacing w:val="-8"/>
        </w:rPr>
        <w:t> </w:t>
      </w:r>
      <w:r>
        <w:rPr/>
        <w:t>refers</w:t>
      </w:r>
      <w:r>
        <w:rPr>
          <w:spacing w:val="-11"/>
        </w:rPr>
        <w:t> </w:t>
      </w:r>
      <w:r>
        <w:rPr/>
        <w:t>to</w:t>
      </w:r>
      <w:r>
        <w:rPr>
          <w:spacing w:val="-11"/>
        </w:rPr>
        <w:t> </w:t>
      </w:r>
      <w:r>
        <w:rPr/>
        <w:t>persons</w:t>
      </w:r>
      <w:r>
        <w:rPr>
          <w:spacing w:val="-11"/>
        </w:rPr>
        <w:t> </w:t>
      </w:r>
      <w:r>
        <w:rPr/>
        <w:t>for</w:t>
      </w:r>
      <w:r>
        <w:rPr>
          <w:spacing w:val="-13"/>
        </w:rPr>
        <w:t> </w:t>
      </w:r>
      <w:r>
        <w:rPr/>
        <w:t>whom</w:t>
      </w:r>
      <w:r>
        <w:rPr>
          <w:spacing w:val="-11"/>
        </w:rPr>
        <w:t> </w:t>
      </w:r>
      <w:r>
        <w:rPr/>
        <w:t>English</w:t>
      </w:r>
      <w:r>
        <w:rPr>
          <w:spacing w:val="-8"/>
        </w:rPr>
        <w:t> </w:t>
      </w:r>
      <w:r>
        <w:rPr/>
        <w:t>is</w:t>
      </w:r>
      <w:r>
        <w:rPr>
          <w:spacing w:val="-11"/>
        </w:rPr>
        <w:t> </w:t>
      </w:r>
      <w:r>
        <w:rPr/>
        <w:t>not</w:t>
      </w:r>
      <w:r>
        <w:rPr>
          <w:spacing w:val="-10"/>
        </w:rPr>
        <w:t> </w:t>
      </w:r>
      <w:r>
        <w:rPr/>
        <w:t>their</w:t>
      </w:r>
      <w:r>
        <w:rPr>
          <w:spacing w:val="-11"/>
        </w:rPr>
        <w:t> </w:t>
      </w:r>
      <w:r>
        <w:rPr/>
        <w:t>primary</w:t>
      </w:r>
      <w:r>
        <w:rPr>
          <w:spacing w:val="-12"/>
        </w:rPr>
        <w:t> </w:t>
      </w:r>
      <w:r>
        <w:rPr/>
        <w:t>language</w:t>
      </w:r>
      <w:r>
        <w:rPr>
          <w:spacing w:val="-8"/>
        </w:rPr>
        <w:t> </w:t>
      </w:r>
      <w:r>
        <w:rPr/>
        <w:t>and</w:t>
      </w:r>
      <w:r>
        <w:rPr>
          <w:spacing w:val="-10"/>
        </w:rPr>
        <w:t> </w:t>
      </w:r>
      <w:r>
        <w:rPr/>
        <w:t>who</w:t>
      </w:r>
      <w:r>
        <w:rPr>
          <w:spacing w:val="-11"/>
        </w:rPr>
        <w:t> </w:t>
      </w:r>
      <w:r>
        <w:rPr/>
        <w:t>have</w:t>
      </w:r>
      <w:r>
        <w:rPr>
          <w:spacing w:val="-8"/>
        </w:rPr>
        <w:t> </w:t>
      </w:r>
      <w:r>
        <w:rPr/>
        <w:t>limited</w:t>
      </w:r>
      <w:r>
        <w:rPr>
          <w:spacing w:val="-8"/>
        </w:rPr>
        <w:t> </w:t>
      </w:r>
      <w:r>
        <w:rPr/>
        <w:t>ability to read, write, speak, or understand English.</w:t>
      </w:r>
      <w:r>
        <w:rPr>
          <w:spacing w:val="40"/>
        </w:rPr>
        <w:t> </w:t>
      </w:r>
      <w:r>
        <w:rPr/>
        <w:t>It includes people who reported to the US Census American Community Survey that they speak English less than very well.</w:t>
      </w:r>
    </w:p>
    <w:p>
      <w:pPr>
        <w:pStyle w:val="BodyText"/>
        <w:spacing w:before="11"/>
        <w:rPr>
          <w:sz w:val="23"/>
        </w:rPr>
      </w:pPr>
    </w:p>
    <w:p>
      <w:pPr>
        <w:pStyle w:val="Heading9"/>
        <w:ind w:left="839"/>
        <w:jc w:val="both"/>
      </w:pPr>
      <w:r>
        <w:rPr/>
        <w:t>Goals</w:t>
      </w:r>
      <w:r>
        <w:rPr>
          <w:spacing w:val="-2"/>
        </w:rPr>
        <w:t> </w:t>
      </w:r>
      <w:r>
        <w:rPr/>
        <w:t>of</w:t>
      </w:r>
      <w:r>
        <w:rPr>
          <w:spacing w:val="-1"/>
        </w:rPr>
        <w:t> </w:t>
      </w:r>
      <w:r>
        <w:rPr/>
        <w:t>the</w:t>
      </w:r>
      <w:r>
        <w:rPr>
          <w:spacing w:val="-2"/>
        </w:rPr>
        <w:t> </w:t>
      </w:r>
      <w:r>
        <w:rPr/>
        <w:t>Public</w:t>
      </w:r>
      <w:r>
        <w:rPr>
          <w:spacing w:val="-3"/>
        </w:rPr>
        <w:t> </w:t>
      </w:r>
      <w:r>
        <w:rPr/>
        <w:t>Participation</w:t>
      </w:r>
      <w:r>
        <w:rPr>
          <w:spacing w:val="-1"/>
        </w:rPr>
        <w:t> </w:t>
      </w:r>
      <w:r>
        <w:rPr>
          <w:spacing w:val="-4"/>
        </w:rPr>
        <w:t>Plan</w:t>
      </w:r>
    </w:p>
    <w:p>
      <w:pPr>
        <w:pStyle w:val="BodyText"/>
        <w:rPr>
          <w:b/>
        </w:rPr>
      </w:pPr>
    </w:p>
    <w:p>
      <w:pPr>
        <w:pStyle w:val="BodyText"/>
        <w:ind w:left="839"/>
        <w:jc w:val="both"/>
      </w:pPr>
      <w:r>
        <w:rPr/>
        <w:t>The</w:t>
      </w:r>
      <w:r>
        <w:rPr>
          <w:spacing w:val="-2"/>
        </w:rPr>
        <w:t> </w:t>
      </w:r>
      <w:r>
        <w:rPr/>
        <w:t>overarching</w:t>
      </w:r>
      <w:r>
        <w:rPr>
          <w:spacing w:val="-1"/>
        </w:rPr>
        <w:t> </w:t>
      </w:r>
      <w:r>
        <w:rPr/>
        <w:t>goals</w:t>
      </w:r>
      <w:r>
        <w:rPr>
          <w:spacing w:val="-2"/>
        </w:rPr>
        <w:t> </w:t>
      </w:r>
      <w:r>
        <w:rPr/>
        <w:t>of</w:t>
      </w:r>
      <w:r>
        <w:rPr>
          <w:spacing w:val="-3"/>
        </w:rPr>
        <w:t> </w:t>
      </w:r>
      <w:r>
        <w:rPr/>
        <w:t>MaineDOT’s</w:t>
      </w:r>
      <w:r>
        <w:rPr>
          <w:spacing w:val="-3"/>
        </w:rPr>
        <w:t> </w:t>
      </w:r>
      <w:r>
        <w:rPr/>
        <w:t>PPP</w:t>
      </w:r>
      <w:r>
        <w:rPr>
          <w:spacing w:val="-1"/>
        </w:rPr>
        <w:t> </w:t>
      </w:r>
      <w:r>
        <w:rPr>
          <w:spacing w:val="-2"/>
        </w:rPr>
        <w:t>include:</w:t>
      </w:r>
    </w:p>
    <w:p>
      <w:pPr>
        <w:pStyle w:val="BodyText"/>
        <w:spacing w:before="11"/>
        <w:rPr>
          <w:sz w:val="23"/>
        </w:rPr>
      </w:pPr>
    </w:p>
    <w:p>
      <w:pPr>
        <w:pStyle w:val="ListParagraph"/>
        <w:numPr>
          <w:ilvl w:val="1"/>
          <w:numId w:val="7"/>
        </w:numPr>
        <w:tabs>
          <w:tab w:pos="1476" w:val="left" w:leader="none"/>
        </w:tabs>
        <w:spacing w:line="240" w:lineRule="auto" w:before="0" w:after="0"/>
        <w:ind w:left="1476" w:right="936" w:hanging="226"/>
        <w:jc w:val="both"/>
        <w:rPr>
          <w:rFonts w:ascii="Symbol" w:hAnsi="Symbol"/>
          <w:b/>
          <w:sz w:val="28"/>
        </w:rPr>
      </w:pPr>
      <w:r>
        <w:rPr>
          <w:b/>
          <w:sz w:val="24"/>
        </w:rPr>
        <w:t>Clarity</w:t>
      </w:r>
      <w:r>
        <w:rPr>
          <w:b/>
          <w:spacing w:val="-8"/>
          <w:sz w:val="24"/>
        </w:rPr>
        <w:t> </w:t>
      </w:r>
      <w:r>
        <w:rPr>
          <w:b/>
          <w:sz w:val="24"/>
        </w:rPr>
        <w:t>in</w:t>
      </w:r>
      <w:r>
        <w:rPr>
          <w:b/>
          <w:spacing w:val="-4"/>
          <w:sz w:val="24"/>
        </w:rPr>
        <w:t> </w:t>
      </w:r>
      <w:r>
        <w:rPr>
          <w:b/>
          <w:sz w:val="24"/>
        </w:rPr>
        <w:t>Potential</w:t>
      </w:r>
      <w:r>
        <w:rPr>
          <w:b/>
          <w:spacing w:val="-4"/>
          <w:sz w:val="24"/>
        </w:rPr>
        <w:t> </w:t>
      </w:r>
      <w:r>
        <w:rPr>
          <w:b/>
          <w:sz w:val="24"/>
        </w:rPr>
        <w:t>for</w:t>
      </w:r>
      <w:r>
        <w:rPr>
          <w:b/>
          <w:spacing w:val="-6"/>
          <w:sz w:val="24"/>
        </w:rPr>
        <w:t> </w:t>
      </w:r>
      <w:r>
        <w:rPr>
          <w:b/>
          <w:sz w:val="24"/>
        </w:rPr>
        <w:t>Influence</w:t>
      </w:r>
      <w:r>
        <w:rPr>
          <w:b/>
          <w:spacing w:val="-8"/>
          <w:sz w:val="24"/>
        </w:rPr>
        <w:t> </w:t>
      </w:r>
      <w:r>
        <w:rPr>
          <w:sz w:val="24"/>
        </w:rPr>
        <w:t>-</w:t>
      </w:r>
      <w:r>
        <w:rPr>
          <w:spacing w:val="-3"/>
          <w:sz w:val="24"/>
        </w:rPr>
        <w:t> </w:t>
      </w:r>
      <w:r>
        <w:rPr>
          <w:sz w:val="24"/>
        </w:rPr>
        <w:t>The</w:t>
      </w:r>
      <w:r>
        <w:rPr>
          <w:spacing w:val="-7"/>
          <w:sz w:val="24"/>
        </w:rPr>
        <w:t> </w:t>
      </w:r>
      <w:r>
        <w:rPr>
          <w:sz w:val="24"/>
        </w:rPr>
        <w:t>process</w:t>
      </w:r>
      <w:r>
        <w:rPr>
          <w:spacing w:val="-5"/>
          <w:sz w:val="24"/>
        </w:rPr>
        <w:t> </w:t>
      </w:r>
      <w:r>
        <w:rPr>
          <w:sz w:val="24"/>
        </w:rPr>
        <w:t>clearly</w:t>
      </w:r>
      <w:r>
        <w:rPr>
          <w:spacing w:val="-6"/>
          <w:sz w:val="24"/>
        </w:rPr>
        <w:t> </w:t>
      </w:r>
      <w:r>
        <w:rPr>
          <w:sz w:val="24"/>
        </w:rPr>
        <w:t>identifies</w:t>
      </w:r>
      <w:r>
        <w:rPr>
          <w:spacing w:val="-6"/>
          <w:sz w:val="24"/>
        </w:rPr>
        <w:t> </w:t>
      </w:r>
      <w:r>
        <w:rPr>
          <w:sz w:val="24"/>
        </w:rPr>
        <w:t>and</w:t>
      </w:r>
      <w:r>
        <w:rPr>
          <w:spacing w:val="-4"/>
          <w:sz w:val="24"/>
        </w:rPr>
        <w:t> </w:t>
      </w:r>
      <w:r>
        <w:rPr>
          <w:sz w:val="24"/>
        </w:rPr>
        <w:t>communicates</w:t>
      </w:r>
      <w:r>
        <w:rPr>
          <w:spacing w:val="-5"/>
          <w:sz w:val="24"/>
        </w:rPr>
        <w:t> </w:t>
      </w:r>
      <w:r>
        <w:rPr>
          <w:sz w:val="24"/>
        </w:rPr>
        <w:t>where and how participants can have influence and direct impact on decision making.</w:t>
      </w:r>
    </w:p>
    <w:p>
      <w:pPr>
        <w:pStyle w:val="ListParagraph"/>
        <w:numPr>
          <w:ilvl w:val="1"/>
          <w:numId w:val="7"/>
        </w:numPr>
        <w:tabs>
          <w:tab w:pos="1476" w:val="left" w:leader="none"/>
        </w:tabs>
        <w:spacing w:line="242" w:lineRule="auto" w:before="0" w:after="0"/>
        <w:ind w:left="1476" w:right="934" w:hanging="226"/>
        <w:jc w:val="both"/>
        <w:rPr>
          <w:rFonts w:ascii="Symbol" w:hAnsi="Symbol"/>
          <w:b/>
          <w:sz w:val="28"/>
        </w:rPr>
      </w:pPr>
      <w:r>
        <w:rPr>
          <w:b/>
          <w:sz w:val="24"/>
        </w:rPr>
        <w:t>Consistent Commitment </w:t>
      </w:r>
      <w:r>
        <w:rPr>
          <w:sz w:val="24"/>
        </w:rPr>
        <w:t>- MaineDOT communicates regularly, develops trust with the community and builds community capacity to provide public input.</w:t>
      </w:r>
    </w:p>
    <w:p>
      <w:pPr>
        <w:pStyle w:val="ListParagraph"/>
        <w:numPr>
          <w:ilvl w:val="1"/>
          <w:numId w:val="7"/>
        </w:numPr>
        <w:tabs>
          <w:tab w:pos="1476" w:val="left" w:leader="none"/>
        </w:tabs>
        <w:spacing w:line="240" w:lineRule="auto" w:before="0" w:after="0"/>
        <w:ind w:left="1476" w:right="933" w:hanging="226"/>
        <w:jc w:val="both"/>
        <w:rPr>
          <w:rFonts w:ascii="Symbol" w:hAnsi="Symbol"/>
          <w:b/>
          <w:sz w:val="28"/>
        </w:rPr>
      </w:pPr>
      <w:r>
        <w:rPr>
          <w:b/>
          <w:sz w:val="24"/>
        </w:rPr>
        <w:t>Diversity </w:t>
      </w:r>
      <w:r>
        <w:rPr>
          <w:sz w:val="24"/>
        </w:rPr>
        <w:t>- Participants represent a range of socioeconomic, ethnic and cultural perspectives, with representative participants including residents from low-income neighborhoods, ethnic communities and residents with Limited English Proficiency.</w:t>
      </w:r>
    </w:p>
    <w:p>
      <w:pPr>
        <w:spacing w:after="0" w:line="240" w:lineRule="auto"/>
        <w:jc w:val="both"/>
        <w:rPr>
          <w:rFonts w:ascii="Symbol" w:hAnsi="Symbol"/>
          <w:sz w:val="28"/>
        </w:rPr>
        <w:sectPr>
          <w:pgSz w:w="12240" w:h="15840"/>
          <w:pgMar w:header="0" w:footer="997" w:top="920" w:bottom="1260" w:left="600" w:right="500"/>
        </w:sectPr>
      </w:pPr>
    </w:p>
    <w:p>
      <w:pPr>
        <w:pStyle w:val="ListParagraph"/>
        <w:numPr>
          <w:ilvl w:val="1"/>
          <w:numId w:val="7"/>
        </w:numPr>
        <w:tabs>
          <w:tab w:pos="1475" w:val="left" w:leader="none"/>
        </w:tabs>
        <w:spacing w:line="240" w:lineRule="auto" w:before="75" w:after="0"/>
        <w:ind w:left="1475" w:right="934" w:hanging="226"/>
        <w:jc w:val="both"/>
        <w:rPr>
          <w:rFonts w:ascii="Symbol" w:hAnsi="Symbol"/>
          <w:b/>
          <w:sz w:val="28"/>
        </w:rPr>
      </w:pPr>
      <w:r>
        <w:rPr>
          <w:b/>
          <w:sz w:val="24"/>
        </w:rPr>
        <w:t>Accessibility</w:t>
      </w:r>
      <w:r>
        <w:rPr>
          <w:b/>
          <w:spacing w:val="-1"/>
          <w:sz w:val="24"/>
        </w:rPr>
        <w:t> </w:t>
      </w:r>
      <w:r>
        <w:rPr>
          <w:sz w:val="24"/>
        </w:rPr>
        <w:t>- Every</w:t>
      </w:r>
      <w:r>
        <w:rPr>
          <w:spacing w:val="-1"/>
          <w:sz w:val="24"/>
        </w:rPr>
        <w:t> </w:t>
      </w:r>
      <w:r>
        <w:rPr>
          <w:sz w:val="24"/>
        </w:rPr>
        <w:t>reasonable effort is made to</w:t>
      </w:r>
      <w:r>
        <w:rPr>
          <w:spacing w:val="-2"/>
          <w:sz w:val="24"/>
        </w:rPr>
        <w:t> </w:t>
      </w:r>
      <w:r>
        <w:rPr>
          <w:sz w:val="24"/>
        </w:rPr>
        <w:t>ensure</w:t>
      </w:r>
      <w:r>
        <w:rPr>
          <w:spacing w:val="-2"/>
          <w:sz w:val="24"/>
        </w:rPr>
        <w:t> </w:t>
      </w:r>
      <w:r>
        <w:rPr>
          <w:sz w:val="24"/>
        </w:rPr>
        <w:t>that opportunities to participate are physically, geographically, temporally, linguistically and culturally accessible.</w:t>
      </w:r>
    </w:p>
    <w:p>
      <w:pPr>
        <w:pStyle w:val="ListParagraph"/>
        <w:numPr>
          <w:ilvl w:val="1"/>
          <w:numId w:val="7"/>
        </w:numPr>
        <w:tabs>
          <w:tab w:pos="1476" w:val="left" w:leader="none"/>
        </w:tabs>
        <w:spacing w:line="240" w:lineRule="auto" w:before="0" w:after="0"/>
        <w:ind w:left="1476" w:right="934" w:hanging="226"/>
        <w:jc w:val="both"/>
        <w:rPr>
          <w:rFonts w:ascii="Symbol" w:hAnsi="Symbol"/>
          <w:b/>
          <w:sz w:val="28"/>
        </w:rPr>
      </w:pPr>
      <w:r>
        <w:rPr>
          <w:b/>
          <w:sz w:val="24"/>
        </w:rPr>
        <w:t>Relevance </w:t>
      </w:r>
      <w:r>
        <w:rPr>
          <w:sz w:val="24"/>
        </w:rPr>
        <w:t>- Issues are framed in such a way that the significance and potential effect is understood by participants.</w:t>
      </w:r>
    </w:p>
    <w:p>
      <w:pPr>
        <w:pStyle w:val="ListParagraph"/>
        <w:numPr>
          <w:ilvl w:val="1"/>
          <w:numId w:val="7"/>
        </w:numPr>
        <w:tabs>
          <w:tab w:pos="1476" w:val="left" w:leader="none"/>
        </w:tabs>
        <w:spacing w:line="242" w:lineRule="auto" w:before="0" w:after="0"/>
        <w:ind w:left="1476" w:right="936" w:hanging="226"/>
        <w:jc w:val="both"/>
        <w:rPr>
          <w:rFonts w:ascii="Symbol" w:hAnsi="Symbol"/>
          <w:b/>
          <w:sz w:val="28"/>
        </w:rPr>
      </w:pPr>
      <w:r>
        <w:rPr>
          <w:b/>
          <w:sz w:val="24"/>
        </w:rPr>
        <w:t>Participant</w:t>
      </w:r>
      <w:r>
        <w:rPr>
          <w:b/>
          <w:spacing w:val="-8"/>
          <w:sz w:val="24"/>
        </w:rPr>
        <w:t> </w:t>
      </w:r>
      <w:r>
        <w:rPr>
          <w:b/>
          <w:sz w:val="24"/>
        </w:rPr>
        <w:t>Satisfaction</w:t>
      </w:r>
      <w:r>
        <w:rPr>
          <w:b/>
          <w:spacing w:val="-8"/>
          <w:sz w:val="24"/>
        </w:rPr>
        <w:t> </w:t>
      </w:r>
      <w:r>
        <w:rPr>
          <w:sz w:val="24"/>
        </w:rPr>
        <w:t>-</w:t>
      </w:r>
      <w:r>
        <w:rPr>
          <w:spacing w:val="-10"/>
          <w:sz w:val="24"/>
        </w:rPr>
        <w:t> </w:t>
      </w:r>
      <w:r>
        <w:rPr>
          <w:sz w:val="24"/>
        </w:rPr>
        <w:t>People</w:t>
      </w:r>
      <w:r>
        <w:rPr>
          <w:spacing w:val="-8"/>
          <w:sz w:val="24"/>
        </w:rPr>
        <w:t> </w:t>
      </w:r>
      <w:r>
        <w:rPr>
          <w:sz w:val="24"/>
        </w:rPr>
        <w:t>who</w:t>
      </w:r>
      <w:r>
        <w:rPr>
          <w:spacing w:val="-11"/>
          <w:sz w:val="24"/>
        </w:rPr>
        <w:t> </w:t>
      </w:r>
      <w:r>
        <w:rPr>
          <w:sz w:val="24"/>
        </w:rPr>
        <w:t>take</w:t>
      </w:r>
      <w:r>
        <w:rPr>
          <w:spacing w:val="-8"/>
          <w:sz w:val="24"/>
        </w:rPr>
        <w:t> </w:t>
      </w:r>
      <w:r>
        <w:rPr>
          <w:sz w:val="24"/>
        </w:rPr>
        <w:t>the</w:t>
      </w:r>
      <w:r>
        <w:rPr>
          <w:spacing w:val="-8"/>
          <w:sz w:val="24"/>
        </w:rPr>
        <w:t> </w:t>
      </w:r>
      <w:r>
        <w:rPr>
          <w:sz w:val="24"/>
        </w:rPr>
        <w:t>time</w:t>
      </w:r>
      <w:r>
        <w:rPr>
          <w:spacing w:val="-8"/>
          <w:sz w:val="24"/>
        </w:rPr>
        <w:t> </w:t>
      </w:r>
      <w:r>
        <w:rPr>
          <w:sz w:val="24"/>
        </w:rPr>
        <w:t>to</w:t>
      </w:r>
      <w:r>
        <w:rPr>
          <w:spacing w:val="-11"/>
          <w:sz w:val="24"/>
        </w:rPr>
        <w:t> </w:t>
      </w:r>
      <w:r>
        <w:rPr>
          <w:sz w:val="24"/>
        </w:rPr>
        <w:t>participate</w:t>
      </w:r>
      <w:r>
        <w:rPr>
          <w:spacing w:val="-8"/>
          <w:sz w:val="24"/>
        </w:rPr>
        <w:t> </w:t>
      </w:r>
      <w:r>
        <w:rPr>
          <w:sz w:val="24"/>
        </w:rPr>
        <w:t>feel</w:t>
      </w:r>
      <w:r>
        <w:rPr>
          <w:spacing w:val="-9"/>
          <w:sz w:val="24"/>
        </w:rPr>
        <w:t> </w:t>
      </w:r>
      <w:r>
        <w:rPr>
          <w:sz w:val="24"/>
        </w:rPr>
        <w:t>it</w:t>
      </w:r>
      <w:r>
        <w:rPr>
          <w:spacing w:val="-10"/>
          <w:sz w:val="24"/>
        </w:rPr>
        <w:t> </w:t>
      </w:r>
      <w:r>
        <w:rPr>
          <w:sz w:val="24"/>
        </w:rPr>
        <w:t>is</w:t>
      </w:r>
      <w:r>
        <w:rPr>
          <w:spacing w:val="-11"/>
          <w:sz w:val="24"/>
        </w:rPr>
        <w:t> </w:t>
      </w:r>
      <w:r>
        <w:rPr>
          <w:sz w:val="24"/>
        </w:rPr>
        <w:t>worth</w:t>
      </w:r>
      <w:r>
        <w:rPr>
          <w:spacing w:val="-8"/>
          <w:sz w:val="24"/>
        </w:rPr>
        <w:t> </w:t>
      </w:r>
      <w:r>
        <w:rPr>
          <w:sz w:val="24"/>
        </w:rPr>
        <w:t>the</w:t>
      </w:r>
      <w:r>
        <w:rPr>
          <w:spacing w:val="-11"/>
          <w:sz w:val="24"/>
        </w:rPr>
        <w:t> </w:t>
      </w:r>
      <w:r>
        <w:rPr>
          <w:sz w:val="24"/>
        </w:rPr>
        <w:t>effort to join the discussion and provide feedback.</w:t>
      </w:r>
    </w:p>
    <w:p>
      <w:pPr>
        <w:pStyle w:val="ListParagraph"/>
        <w:numPr>
          <w:ilvl w:val="1"/>
          <w:numId w:val="7"/>
        </w:numPr>
        <w:tabs>
          <w:tab w:pos="1476" w:val="left" w:leader="none"/>
        </w:tabs>
        <w:spacing w:line="240" w:lineRule="auto" w:before="0" w:after="0"/>
        <w:ind w:left="1476" w:right="936" w:hanging="226"/>
        <w:jc w:val="both"/>
        <w:rPr>
          <w:rFonts w:ascii="Symbol" w:hAnsi="Symbol"/>
          <w:b/>
          <w:sz w:val="28"/>
        </w:rPr>
      </w:pPr>
      <w:r>
        <w:rPr>
          <w:b/>
          <w:sz w:val="24"/>
        </w:rPr>
        <w:t>Partnerships</w:t>
      </w:r>
      <w:r>
        <w:rPr>
          <w:b/>
          <w:spacing w:val="-10"/>
          <w:sz w:val="24"/>
        </w:rPr>
        <w:t> </w:t>
      </w:r>
      <w:r>
        <w:rPr>
          <w:sz w:val="24"/>
        </w:rPr>
        <w:t>-</w:t>
      </w:r>
      <w:r>
        <w:rPr>
          <w:spacing w:val="-10"/>
          <w:sz w:val="24"/>
        </w:rPr>
        <w:t> </w:t>
      </w:r>
      <w:r>
        <w:rPr>
          <w:sz w:val="24"/>
        </w:rPr>
        <w:t>MaineDOT</w:t>
      </w:r>
      <w:r>
        <w:rPr>
          <w:spacing w:val="-10"/>
          <w:sz w:val="24"/>
        </w:rPr>
        <w:t> </w:t>
      </w:r>
      <w:r>
        <w:rPr>
          <w:sz w:val="24"/>
        </w:rPr>
        <w:t>develops</w:t>
      </w:r>
      <w:r>
        <w:rPr>
          <w:spacing w:val="-9"/>
          <w:sz w:val="24"/>
        </w:rPr>
        <w:t> </w:t>
      </w:r>
      <w:r>
        <w:rPr>
          <w:sz w:val="24"/>
        </w:rPr>
        <w:t>and</w:t>
      </w:r>
      <w:r>
        <w:rPr>
          <w:spacing w:val="-10"/>
          <w:sz w:val="24"/>
        </w:rPr>
        <w:t> </w:t>
      </w:r>
      <w:r>
        <w:rPr>
          <w:sz w:val="24"/>
        </w:rPr>
        <w:t>maintains</w:t>
      </w:r>
      <w:r>
        <w:rPr>
          <w:spacing w:val="-9"/>
          <w:sz w:val="24"/>
        </w:rPr>
        <w:t> </w:t>
      </w:r>
      <w:r>
        <w:rPr>
          <w:sz w:val="24"/>
        </w:rPr>
        <w:t>partnerships</w:t>
      </w:r>
      <w:r>
        <w:rPr>
          <w:spacing w:val="-11"/>
          <w:sz w:val="24"/>
        </w:rPr>
        <w:t> </w:t>
      </w:r>
      <w:r>
        <w:rPr>
          <w:sz w:val="24"/>
        </w:rPr>
        <w:t>with</w:t>
      </w:r>
      <w:r>
        <w:rPr>
          <w:spacing w:val="-10"/>
          <w:sz w:val="24"/>
        </w:rPr>
        <w:t> </w:t>
      </w:r>
      <w:r>
        <w:rPr>
          <w:sz w:val="24"/>
        </w:rPr>
        <w:t>communities</w:t>
      </w:r>
      <w:r>
        <w:rPr>
          <w:spacing w:val="-11"/>
          <w:sz w:val="24"/>
        </w:rPr>
        <w:t> </w:t>
      </w:r>
      <w:r>
        <w:rPr>
          <w:sz w:val="24"/>
        </w:rPr>
        <w:t>through the methods described in its public participation plan.</w:t>
      </w:r>
    </w:p>
    <w:p>
      <w:pPr>
        <w:pStyle w:val="ListParagraph"/>
        <w:numPr>
          <w:ilvl w:val="1"/>
          <w:numId w:val="7"/>
        </w:numPr>
        <w:tabs>
          <w:tab w:pos="1476" w:val="left" w:leader="none"/>
        </w:tabs>
        <w:spacing w:line="240" w:lineRule="auto" w:before="0" w:after="0"/>
        <w:ind w:left="1476" w:right="933" w:hanging="226"/>
        <w:jc w:val="both"/>
        <w:rPr>
          <w:rFonts w:ascii="Symbol" w:hAnsi="Symbol"/>
          <w:b/>
          <w:sz w:val="28"/>
        </w:rPr>
      </w:pPr>
      <w:r>
        <w:rPr>
          <w:b/>
          <w:sz w:val="24"/>
        </w:rPr>
        <w:t>Quality Input and Participation </w:t>
      </w:r>
      <w:r>
        <w:rPr>
          <w:sz w:val="24"/>
        </w:rPr>
        <w:t>- Comments received by MaineDOT are useful, relevant and constructive, contributing to better plans, projects, strategies and decisions.</w:t>
      </w:r>
    </w:p>
    <w:p>
      <w:pPr>
        <w:pStyle w:val="ListParagraph"/>
        <w:numPr>
          <w:ilvl w:val="1"/>
          <w:numId w:val="7"/>
        </w:numPr>
        <w:tabs>
          <w:tab w:pos="1476" w:val="left" w:leader="none"/>
        </w:tabs>
        <w:spacing w:line="240" w:lineRule="auto" w:before="0" w:after="0"/>
        <w:ind w:left="1476" w:right="935" w:hanging="226"/>
        <w:jc w:val="both"/>
        <w:rPr>
          <w:rFonts w:ascii="Symbol" w:hAnsi="Symbol"/>
          <w:b/>
          <w:sz w:val="28"/>
        </w:rPr>
      </w:pPr>
      <w:r>
        <w:rPr>
          <w:b/>
          <w:sz w:val="24"/>
        </w:rPr>
        <w:t>Project Selection - </w:t>
      </w:r>
      <w:r>
        <w:rPr>
          <w:sz w:val="24"/>
        </w:rPr>
        <w:t>All projects selected by MaineDOT are evaluated to ensure improvement of quality and available public and specialized transportation services to disparate populations.</w:t>
      </w:r>
    </w:p>
    <w:p>
      <w:pPr>
        <w:pStyle w:val="BodyText"/>
        <w:spacing w:before="5"/>
        <w:rPr>
          <w:sz w:val="23"/>
        </w:rPr>
      </w:pPr>
    </w:p>
    <w:p>
      <w:pPr>
        <w:pStyle w:val="Heading9"/>
        <w:ind w:left="840"/>
      </w:pPr>
      <w:r>
        <w:rPr/>
        <w:t>Objectives</w:t>
      </w:r>
      <w:r>
        <w:rPr>
          <w:spacing w:val="-2"/>
        </w:rPr>
        <w:t> </w:t>
      </w:r>
      <w:r>
        <w:rPr/>
        <w:t>of</w:t>
      </w:r>
      <w:r>
        <w:rPr>
          <w:spacing w:val="-3"/>
        </w:rPr>
        <w:t> </w:t>
      </w:r>
      <w:r>
        <w:rPr/>
        <w:t>the</w:t>
      </w:r>
      <w:r>
        <w:rPr>
          <w:spacing w:val="-2"/>
        </w:rPr>
        <w:t> </w:t>
      </w:r>
      <w:r>
        <w:rPr/>
        <w:t>Public</w:t>
      </w:r>
      <w:r>
        <w:rPr>
          <w:spacing w:val="-4"/>
        </w:rPr>
        <w:t> </w:t>
      </w:r>
      <w:r>
        <w:rPr/>
        <w:t>Participation</w:t>
      </w:r>
      <w:r>
        <w:rPr>
          <w:spacing w:val="-1"/>
        </w:rPr>
        <w:t> </w:t>
      </w:r>
      <w:r>
        <w:rPr>
          <w:spacing w:val="-4"/>
        </w:rPr>
        <w:t>Plan</w:t>
      </w:r>
    </w:p>
    <w:p>
      <w:pPr>
        <w:pStyle w:val="BodyText"/>
        <w:spacing w:before="2"/>
        <w:rPr>
          <w:b/>
        </w:rPr>
      </w:pPr>
    </w:p>
    <w:p>
      <w:pPr>
        <w:pStyle w:val="BodyText"/>
        <w:ind w:left="840"/>
      </w:pPr>
      <w:r>
        <w:rPr/>
        <w:t>MaineDOT’s</w:t>
      </w:r>
      <w:r>
        <w:rPr>
          <w:spacing w:val="-4"/>
        </w:rPr>
        <w:t> </w:t>
      </w:r>
      <w:r>
        <w:rPr/>
        <w:t>Public</w:t>
      </w:r>
      <w:r>
        <w:rPr>
          <w:spacing w:val="-1"/>
        </w:rPr>
        <w:t> </w:t>
      </w:r>
      <w:r>
        <w:rPr/>
        <w:t>Participation</w:t>
      </w:r>
      <w:r>
        <w:rPr>
          <w:spacing w:val="-2"/>
        </w:rPr>
        <w:t> </w:t>
      </w:r>
      <w:r>
        <w:rPr/>
        <w:t>Plan</w:t>
      </w:r>
      <w:r>
        <w:rPr>
          <w:spacing w:val="-3"/>
        </w:rPr>
        <w:t> </w:t>
      </w:r>
      <w:r>
        <w:rPr/>
        <w:t>(PPP)</w:t>
      </w:r>
      <w:r>
        <w:rPr>
          <w:spacing w:val="-1"/>
        </w:rPr>
        <w:t> </w:t>
      </w:r>
      <w:r>
        <w:rPr/>
        <w:t>is</w:t>
      </w:r>
      <w:r>
        <w:rPr>
          <w:spacing w:val="-3"/>
        </w:rPr>
        <w:t> </w:t>
      </w:r>
      <w:r>
        <w:rPr/>
        <w:t>based on</w:t>
      </w:r>
      <w:r>
        <w:rPr>
          <w:spacing w:val="1"/>
        </w:rPr>
        <w:t> </w:t>
      </w:r>
      <w:r>
        <w:rPr/>
        <w:t>the</w:t>
      </w:r>
      <w:r>
        <w:rPr>
          <w:spacing w:val="-2"/>
        </w:rPr>
        <w:t> </w:t>
      </w:r>
      <w:r>
        <w:rPr/>
        <w:t>following</w:t>
      </w:r>
      <w:r>
        <w:rPr>
          <w:spacing w:val="-1"/>
        </w:rPr>
        <w:t> </w:t>
      </w:r>
      <w:r>
        <w:rPr>
          <w:spacing w:val="-2"/>
        </w:rPr>
        <w:t>principles:</w:t>
      </w:r>
    </w:p>
    <w:p>
      <w:pPr>
        <w:pStyle w:val="BodyText"/>
        <w:spacing w:before="11"/>
        <w:rPr>
          <w:sz w:val="23"/>
        </w:rPr>
      </w:pPr>
    </w:p>
    <w:p>
      <w:pPr>
        <w:pStyle w:val="ListParagraph"/>
        <w:numPr>
          <w:ilvl w:val="1"/>
          <w:numId w:val="7"/>
        </w:numPr>
        <w:tabs>
          <w:tab w:pos="1475" w:val="left" w:leader="none"/>
        </w:tabs>
        <w:spacing w:line="240" w:lineRule="auto" w:before="1" w:after="0"/>
        <w:ind w:left="1475" w:right="937" w:hanging="226"/>
        <w:jc w:val="left"/>
        <w:rPr>
          <w:rFonts w:ascii="Symbol" w:hAnsi="Symbol"/>
          <w:b/>
          <w:sz w:val="28"/>
        </w:rPr>
      </w:pPr>
      <w:r>
        <w:rPr>
          <w:b/>
          <w:sz w:val="24"/>
        </w:rPr>
        <w:t>Flexibility </w:t>
      </w:r>
      <w:r>
        <w:rPr>
          <w:sz w:val="24"/>
        </w:rPr>
        <w:t>- The engagement process will accommodate participation in a variety of ways and be adjusted as needed.</w:t>
      </w:r>
    </w:p>
    <w:p>
      <w:pPr>
        <w:pStyle w:val="ListParagraph"/>
        <w:numPr>
          <w:ilvl w:val="1"/>
          <w:numId w:val="7"/>
        </w:numPr>
        <w:tabs>
          <w:tab w:pos="1476" w:val="left" w:leader="none"/>
        </w:tabs>
        <w:spacing w:line="240" w:lineRule="auto" w:before="0" w:after="0"/>
        <w:ind w:left="1476" w:right="934" w:hanging="226"/>
        <w:jc w:val="left"/>
        <w:rPr>
          <w:rFonts w:ascii="Symbol" w:hAnsi="Symbol"/>
          <w:b/>
          <w:sz w:val="28"/>
        </w:rPr>
      </w:pPr>
      <w:r>
        <w:rPr>
          <w:b/>
          <w:sz w:val="24"/>
        </w:rPr>
        <w:t>Inclusiveness </w:t>
      </w:r>
      <w:r>
        <w:rPr>
          <w:sz w:val="24"/>
        </w:rPr>
        <w:t>- MaineDOT will proactively reach out to and engage low income, minority and LEP populations from the service area.</w:t>
      </w:r>
    </w:p>
    <w:p>
      <w:pPr>
        <w:pStyle w:val="ListParagraph"/>
        <w:numPr>
          <w:ilvl w:val="1"/>
          <w:numId w:val="7"/>
        </w:numPr>
        <w:tabs>
          <w:tab w:pos="1475" w:val="left" w:leader="none"/>
        </w:tabs>
        <w:spacing w:line="345" w:lineRule="exact" w:before="0" w:after="0"/>
        <w:ind w:left="1475" w:right="0" w:hanging="225"/>
        <w:jc w:val="left"/>
        <w:rPr>
          <w:rFonts w:ascii="Symbol" w:hAnsi="Symbol"/>
          <w:b/>
          <w:sz w:val="28"/>
        </w:rPr>
      </w:pPr>
      <w:r>
        <w:rPr>
          <w:b/>
          <w:sz w:val="24"/>
        </w:rPr>
        <w:t>Respect</w:t>
      </w:r>
      <w:r>
        <w:rPr>
          <w:b/>
          <w:spacing w:val="-3"/>
          <w:sz w:val="24"/>
        </w:rPr>
        <w:t> </w:t>
      </w:r>
      <w:r>
        <w:rPr>
          <w:sz w:val="24"/>
        </w:rPr>
        <w:t>-</w:t>
      </w:r>
      <w:r>
        <w:rPr>
          <w:spacing w:val="-1"/>
          <w:sz w:val="24"/>
        </w:rPr>
        <w:t> </w:t>
      </w:r>
      <w:r>
        <w:rPr>
          <w:sz w:val="24"/>
        </w:rPr>
        <w:t>All</w:t>
      </w:r>
      <w:r>
        <w:rPr>
          <w:spacing w:val="-4"/>
          <w:sz w:val="24"/>
        </w:rPr>
        <w:t> </w:t>
      </w:r>
      <w:r>
        <w:rPr>
          <w:sz w:val="24"/>
        </w:rPr>
        <w:t>feedback</w:t>
      </w:r>
      <w:r>
        <w:rPr>
          <w:spacing w:val="-3"/>
          <w:sz w:val="24"/>
        </w:rPr>
        <w:t> </w:t>
      </w:r>
      <w:r>
        <w:rPr>
          <w:sz w:val="24"/>
        </w:rPr>
        <w:t>will</w:t>
      </w:r>
      <w:r>
        <w:rPr>
          <w:spacing w:val="-1"/>
          <w:sz w:val="24"/>
        </w:rPr>
        <w:t> </w:t>
      </w:r>
      <w:r>
        <w:rPr>
          <w:sz w:val="24"/>
        </w:rPr>
        <w:t>be</w:t>
      </w:r>
      <w:r>
        <w:rPr>
          <w:spacing w:val="-3"/>
          <w:sz w:val="24"/>
        </w:rPr>
        <w:t> </w:t>
      </w:r>
      <w:r>
        <w:rPr>
          <w:sz w:val="24"/>
        </w:rPr>
        <w:t>given careful</w:t>
      </w:r>
      <w:r>
        <w:rPr>
          <w:spacing w:val="-1"/>
          <w:sz w:val="24"/>
        </w:rPr>
        <w:t> </w:t>
      </w:r>
      <w:r>
        <w:rPr>
          <w:sz w:val="24"/>
        </w:rPr>
        <w:t>and</w:t>
      </w:r>
      <w:r>
        <w:rPr>
          <w:spacing w:val="-3"/>
          <w:sz w:val="24"/>
        </w:rPr>
        <w:t> </w:t>
      </w:r>
      <w:r>
        <w:rPr>
          <w:sz w:val="24"/>
        </w:rPr>
        <w:t>respectful </w:t>
      </w:r>
      <w:r>
        <w:rPr>
          <w:spacing w:val="-2"/>
          <w:sz w:val="24"/>
        </w:rPr>
        <w:t>consideration.</w:t>
      </w:r>
    </w:p>
    <w:p>
      <w:pPr>
        <w:pStyle w:val="ListParagraph"/>
        <w:numPr>
          <w:ilvl w:val="1"/>
          <w:numId w:val="7"/>
        </w:numPr>
        <w:tabs>
          <w:tab w:pos="1476" w:val="left" w:leader="none"/>
        </w:tabs>
        <w:spacing w:line="240" w:lineRule="auto" w:before="0" w:after="0"/>
        <w:ind w:left="1476" w:right="933" w:hanging="226"/>
        <w:jc w:val="both"/>
        <w:rPr>
          <w:rFonts w:ascii="Symbol" w:hAnsi="Symbol"/>
          <w:b/>
          <w:sz w:val="28"/>
        </w:rPr>
      </w:pPr>
      <w:r>
        <w:rPr>
          <w:b/>
          <w:sz w:val="24"/>
        </w:rPr>
        <w:t>Proactive and Timely </w:t>
      </w:r>
      <w:r>
        <w:rPr>
          <w:sz w:val="24"/>
        </w:rPr>
        <w:t>- Participation methods will allow for early involvement and be </w:t>
      </w:r>
      <w:r>
        <w:rPr>
          <w:spacing w:val="-2"/>
          <w:sz w:val="24"/>
        </w:rPr>
        <w:t>ongoing.</w:t>
      </w:r>
    </w:p>
    <w:p>
      <w:pPr>
        <w:pStyle w:val="ListParagraph"/>
        <w:numPr>
          <w:ilvl w:val="1"/>
          <w:numId w:val="7"/>
        </w:numPr>
        <w:tabs>
          <w:tab w:pos="1476" w:val="left" w:leader="none"/>
        </w:tabs>
        <w:spacing w:line="240" w:lineRule="auto" w:before="1" w:after="0"/>
        <w:ind w:left="1476" w:right="933" w:hanging="226"/>
        <w:jc w:val="both"/>
        <w:rPr>
          <w:rFonts w:ascii="Symbol" w:hAnsi="Symbol"/>
          <w:b/>
          <w:sz w:val="28"/>
        </w:rPr>
      </w:pPr>
      <w:r>
        <w:rPr>
          <w:b/>
          <w:sz w:val="24"/>
        </w:rPr>
        <w:t>Clear, Focused and Understandable</w:t>
      </w:r>
      <w:r>
        <w:rPr>
          <w:b/>
          <w:spacing w:val="-3"/>
          <w:sz w:val="24"/>
        </w:rPr>
        <w:t> </w:t>
      </w:r>
      <w:r>
        <w:rPr>
          <w:sz w:val="24"/>
        </w:rPr>
        <w:t>-</w:t>
      </w:r>
      <w:r>
        <w:rPr>
          <w:spacing w:val="-2"/>
          <w:sz w:val="24"/>
        </w:rPr>
        <w:t> </w:t>
      </w:r>
      <w:r>
        <w:rPr>
          <w:sz w:val="24"/>
        </w:rPr>
        <w:t>Participation methods</w:t>
      </w:r>
      <w:r>
        <w:rPr>
          <w:spacing w:val="-3"/>
          <w:sz w:val="24"/>
        </w:rPr>
        <w:t> </w:t>
      </w:r>
      <w:r>
        <w:rPr>
          <w:sz w:val="24"/>
        </w:rPr>
        <w:t>will</w:t>
      </w:r>
      <w:r>
        <w:rPr>
          <w:spacing w:val="-2"/>
          <w:sz w:val="24"/>
        </w:rPr>
        <w:t> </w:t>
      </w:r>
      <w:r>
        <w:rPr>
          <w:sz w:val="24"/>
        </w:rPr>
        <w:t>have a</w:t>
      </w:r>
      <w:r>
        <w:rPr>
          <w:spacing w:val="-2"/>
          <w:sz w:val="24"/>
        </w:rPr>
        <w:t> </w:t>
      </w:r>
      <w:r>
        <w:rPr>
          <w:sz w:val="24"/>
        </w:rPr>
        <w:t>clear</w:t>
      </w:r>
      <w:r>
        <w:rPr>
          <w:spacing w:val="-2"/>
          <w:sz w:val="24"/>
        </w:rPr>
        <w:t> </w:t>
      </w:r>
      <w:r>
        <w:rPr>
          <w:sz w:val="24"/>
        </w:rPr>
        <w:t>purpose,</w:t>
      </w:r>
      <w:r>
        <w:rPr>
          <w:spacing w:val="-2"/>
          <w:sz w:val="24"/>
        </w:rPr>
        <w:t> </w:t>
      </w:r>
      <w:r>
        <w:rPr>
          <w:sz w:val="24"/>
        </w:rPr>
        <w:t>be used for input and will be described in a language that is easy to understand.</w:t>
      </w:r>
    </w:p>
    <w:p>
      <w:pPr>
        <w:pStyle w:val="ListParagraph"/>
        <w:numPr>
          <w:ilvl w:val="1"/>
          <w:numId w:val="7"/>
        </w:numPr>
        <w:tabs>
          <w:tab w:pos="1476" w:val="left" w:leader="none"/>
        </w:tabs>
        <w:spacing w:line="240" w:lineRule="auto" w:before="0" w:after="0"/>
        <w:ind w:left="1476" w:right="935" w:hanging="226"/>
        <w:jc w:val="both"/>
        <w:rPr>
          <w:rFonts w:ascii="Symbol" w:hAnsi="Symbol"/>
          <w:b/>
          <w:sz w:val="28"/>
        </w:rPr>
      </w:pPr>
      <w:r>
        <w:rPr>
          <w:b/>
          <w:sz w:val="24"/>
        </w:rPr>
        <w:t>Honest and Transparent </w:t>
      </w:r>
      <w:r>
        <w:rPr>
          <w:sz w:val="24"/>
        </w:rPr>
        <w:t>- Information provided will be accurate, trustworthy and </w:t>
      </w:r>
      <w:r>
        <w:rPr>
          <w:spacing w:val="-2"/>
          <w:sz w:val="24"/>
        </w:rPr>
        <w:t>complete.</w:t>
      </w:r>
    </w:p>
    <w:p>
      <w:pPr>
        <w:pStyle w:val="ListParagraph"/>
        <w:numPr>
          <w:ilvl w:val="1"/>
          <w:numId w:val="7"/>
        </w:numPr>
        <w:tabs>
          <w:tab w:pos="1475" w:val="left" w:leader="none"/>
        </w:tabs>
        <w:spacing w:line="240" w:lineRule="auto" w:before="0" w:after="0"/>
        <w:ind w:left="1475" w:right="935" w:hanging="226"/>
        <w:jc w:val="both"/>
        <w:rPr>
          <w:rFonts w:ascii="Symbol" w:hAnsi="Symbol"/>
          <w:b/>
          <w:sz w:val="28"/>
        </w:rPr>
      </w:pPr>
      <w:r>
        <w:rPr>
          <w:b/>
          <w:sz w:val="24"/>
        </w:rPr>
        <w:t>Responsiveness </w:t>
      </w:r>
      <w:r>
        <w:rPr>
          <w:sz w:val="24"/>
        </w:rPr>
        <w:t>– MaineDOT will respond and incorporate appropriate public comments into transportation decisions.</w:t>
      </w:r>
    </w:p>
    <w:p>
      <w:pPr>
        <w:pStyle w:val="ListParagraph"/>
        <w:numPr>
          <w:ilvl w:val="1"/>
          <w:numId w:val="7"/>
        </w:numPr>
        <w:tabs>
          <w:tab w:pos="1476" w:val="left" w:leader="none"/>
        </w:tabs>
        <w:spacing w:line="240" w:lineRule="auto" w:before="0" w:after="0"/>
        <w:ind w:left="1476" w:right="934" w:hanging="226"/>
        <w:jc w:val="both"/>
        <w:rPr>
          <w:rFonts w:ascii="Symbol" w:hAnsi="Symbol"/>
          <w:b/>
          <w:sz w:val="28"/>
        </w:rPr>
      </w:pPr>
      <w:r>
        <w:rPr>
          <w:b/>
          <w:sz w:val="24"/>
        </w:rPr>
        <w:t>Accessibility</w:t>
      </w:r>
      <w:r>
        <w:rPr>
          <w:b/>
          <w:spacing w:val="-5"/>
          <w:sz w:val="24"/>
        </w:rPr>
        <w:t> </w:t>
      </w:r>
      <w:r>
        <w:rPr>
          <w:sz w:val="24"/>
        </w:rPr>
        <w:t>–</w:t>
      </w:r>
      <w:r>
        <w:rPr>
          <w:spacing w:val="-6"/>
          <w:sz w:val="24"/>
        </w:rPr>
        <w:t> </w:t>
      </w:r>
      <w:r>
        <w:rPr>
          <w:sz w:val="24"/>
        </w:rPr>
        <w:t>Meetings</w:t>
      </w:r>
      <w:r>
        <w:rPr>
          <w:spacing w:val="-7"/>
          <w:sz w:val="24"/>
        </w:rPr>
        <w:t> </w:t>
      </w:r>
      <w:r>
        <w:rPr>
          <w:sz w:val="24"/>
        </w:rPr>
        <w:t>will</w:t>
      </w:r>
      <w:r>
        <w:rPr>
          <w:spacing w:val="-4"/>
          <w:sz w:val="24"/>
        </w:rPr>
        <w:t> </w:t>
      </w:r>
      <w:r>
        <w:rPr>
          <w:sz w:val="24"/>
        </w:rPr>
        <w:t>be</w:t>
      </w:r>
      <w:r>
        <w:rPr>
          <w:spacing w:val="-3"/>
          <w:sz w:val="24"/>
        </w:rPr>
        <w:t> </w:t>
      </w:r>
      <w:r>
        <w:rPr>
          <w:sz w:val="24"/>
        </w:rPr>
        <w:t>held</w:t>
      </w:r>
      <w:r>
        <w:rPr>
          <w:spacing w:val="-3"/>
          <w:sz w:val="24"/>
        </w:rPr>
        <w:t> </w:t>
      </w:r>
      <w:r>
        <w:rPr>
          <w:sz w:val="24"/>
        </w:rPr>
        <w:t>in</w:t>
      </w:r>
      <w:r>
        <w:rPr>
          <w:spacing w:val="-3"/>
          <w:sz w:val="24"/>
        </w:rPr>
        <w:t> </w:t>
      </w:r>
      <w:r>
        <w:rPr>
          <w:sz w:val="24"/>
        </w:rPr>
        <w:t>locations</w:t>
      </w:r>
      <w:r>
        <w:rPr>
          <w:spacing w:val="-7"/>
          <w:sz w:val="24"/>
        </w:rPr>
        <w:t> </w:t>
      </w:r>
      <w:r>
        <w:rPr>
          <w:sz w:val="24"/>
        </w:rPr>
        <w:t>which</w:t>
      </w:r>
      <w:r>
        <w:rPr>
          <w:spacing w:val="-5"/>
          <w:sz w:val="24"/>
        </w:rPr>
        <w:t> </w:t>
      </w:r>
      <w:r>
        <w:rPr>
          <w:sz w:val="24"/>
        </w:rPr>
        <w:t>are</w:t>
      </w:r>
      <w:r>
        <w:rPr>
          <w:spacing w:val="-6"/>
          <w:sz w:val="24"/>
        </w:rPr>
        <w:t> </w:t>
      </w:r>
      <w:r>
        <w:rPr>
          <w:sz w:val="24"/>
        </w:rPr>
        <w:t>fully</w:t>
      </w:r>
      <w:r>
        <w:rPr>
          <w:spacing w:val="-5"/>
          <w:sz w:val="24"/>
        </w:rPr>
        <w:t> </w:t>
      </w:r>
      <w:r>
        <w:rPr>
          <w:sz w:val="24"/>
        </w:rPr>
        <w:t>accessible</w:t>
      </w:r>
      <w:r>
        <w:rPr>
          <w:spacing w:val="-6"/>
          <w:sz w:val="24"/>
        </w:rPr>
        <w:t> </w:t>
      </w:r>
      <w:r>
        <w:rPr>
          <w:sz w:val="24"/>
        </w:rPr>
        <w:t>and</w:t>
      </w:r>
      <w:r>
        <w:rPr>
          <w:spacing w:val="-5"/>
          <w:sz w:val="24"/>
        </w:rPr>
        <w:t> </w:t>
      </w:r>
      <w:r>
        <w:rPr>
          <w:sz w:val="24"/>
        </w:rPr>
        <w:t>welcoming to all area residents, including, but not limited to, low-income and minority members of the public and in locations relevant to the topics being presented and discussed.</w:t>
      </w:r>
    </w:p>
    <w:p>
      <w:pPr>
        <w:pStyle w:val="BodyText"/>
      </w:pPr>
    </w:p>
    <w:p>
      <w:pPr>
        <w:pStyle w:val="Heading9"/>
        <w:ind w:left="840"/>
      </w:pPr>
      <w:r>
        <w:rPr/>
        <w:t>Public</w:t>
      </w:r>
      <w:r>
        <w:rPr>
          <w:spacing w:val="-7"/>
        </w:rPr>
        <w:t> </w:t>
      </w:r>
      <w:r>
        <w:rPr/>
        <w:t>Involvement</w:t>
      </w:r>
      <w:r>
        <w:rPr>
          <w:spacing w:val="-2"/>
        </w:rPr>
        <w:t> </w:t>
      </w:r>
      <w:r>
        <w:rPr/>
        <w:t>and</w:t>
      </w:r>
      <w:r>
        <w:rPr>
          <w:spacing w:val="-4"/>
        </w:rPr>
        <w:t> </w:t>
      </w:r>
      <w:r>
        <w:rPr/>
        <w:t>Traditionally</w:t>
      </w:r>
      <w:r>
        <w:rPr>
          <w:spacing w:val="-3"/>
        </w:rPr>
        <w:t> </w:t>
      </w:r>
      <w:r>
        <w:rPr/>
        <w:t>Underserved</w:t>
      </w:r>
      <w:r>
        <w:rPr>
          <w:spacing w:val="-2"/>
        </w:rPr>
        <w:t> Populations</w:t>
      </w:r>
    </w:p>
    <w:p>
      <w:pPr>
        <w:pStyle w:val="BodyText"/>
        <w:spacing w:before="12"/>
        <w:rPr>
          <w:b/>
          <w:sz w:val="23"/>
        </w:rPr>
      </w:pPr>
    </w:p>
    <w:p>
      <w:pPr>
        <w:pStyle w:val="BodyText"/>
        <w:ind w:left="840" w:right="935"/>
        <w:jc w:val="both"/>
      </w:pPr>
      <w:r>
        <w:rPr/>
        <w:t>Many</w:t>
      </w:r>
      <w:r>
        <w:rPr>
          <w:spacing w:val="-5"/>
        </w:rPr>
        <w:t> </w:t>
      </w:r>
      <w:r>
        <w:rPr/>
        <w:t>people</w:t>
      </w:r>
      <w:r>
        <w:rPr>
          <w:spacing w:val="-3"/>
        </w:rPr>
        <w:t> </w:t>
      </w:r>
      <w:r>
        <w:rPr/>
        <w:t>in</w:t>
      </w:r>
      <w:r>
        <w:rPr>
          <w:spacing w:val="-3"/>
        </w:rPr>
        <w:t> </w:t>
      </w:r>
      <w:r>
        <w:rPr/>
        <w:t>minority</w:t>
      </w:r>
      <w:r>
        <w:rPr>
          <w:spacing w:val="-7"/>
        </w:rPr>
        <w:t> </w:t>
      </w:r>
      <w:r>
        <w:rPr/>
        <w:t>and</w:t>
      </w:r>
      <w:r>
        <w:rPr>
          <w:spacing w:val="-3"/>
        </w:rPr>
        <w:t> </w:t>
      </w:r>
      <w:r>
        <w:rPr/>
        <w:t>low-income</w:t>
      </w:r>
      <w:r>
        <w:rPr>
          <w:spacing w:val="-3"/>
        </w:rPr>
        <w:t> </w:t>
      </w:r>
      <w:r>
        <w:rPr/>
        <w:t>communities,</w:t>
      </w:r>
      <w:r>
        <w:rPr>
          <w:spacing w:val="-4"/>
        </w:rPr>
        <w:t> </w:t>
      </w:r>
      <w:r>
        <w:rPr/>
        <w:t>as</w:t>
      </w:r>
      <w:r>
        <w:rPr>
          <w:spacing w:val="-7"/>
        </w:rPr>
        <w:t> </w:t>
      </w:r>
      <w:r>
        <w:rPr/>
        <w:t>well</w:t>
      </w:r>
      <w:r>
        <w:rPr>
          <w:spacing w:val="-4"/>
        </w:rPr>
        <w:t> </w:t>
      </w:r>
      <w:r>
        <w:rPr/>
        <w:t>as</w:t>
      </w:r>
      <w:r>
        <w:rPr>
          <w:spacing w:val="-4"/>
        </w:rPr>
        <w:t> </w:t>
      </w:r>
      <w:r>
        <w:rPr/>
        <w:t>those</w:t>
      </w:r>
      <w:r>
        <w:rPr>
          <w:spacing w:val="-3"/>
        </w:rPr>
        <w:t> </w:t>
      </w:r>
      <w:r>
        <w:rPr/>
        <w:t>with</w:t>
      </w:r>
      <w:r>
        <w:rPr>
          <w:spacing w:val="-3"/>
        </w:rPr>
        <w:t> </w:t>
      </w:r>
      <w:r>
        <w:rPr/>
        <w:t>low</w:t>
      </w:r>
      <w:r>
        <w:rPr>
          <w:spacing w:val="-3"/>
        </w:rPr>
        <w:t> </w:t>
      </w:r>
      <w:r>
        <w:rPr/>
        <w:t>literacy</w:t>
      </w:r>
      <w:r>
        <w:rPr>
          <w:spacing w:val="-5"/>
        </w:rPr>
        <w:t> </w:t>
      </w:r>
      <w:r>
        <w:rPr/>
        <w:t>and/or limited English proficiency, have traditionally been underserved by conventional outreach methods.</w:t>
      </w:r>
      <w:r>
        <w:rPr>
          <w:spacing w:val="40"/>
        </w:rPr>
        <w:t> </w:t>
      </w:r>
      <w:r>
        <w:rPr/>
        <w:t>Reaching out to traditionally underserved groups help ensure that all customers and stakeholders have opportunities to influence the decision-making process.</w:t>
      </w:r>
      <w:r>
        <w:rPr>
          <w:spacing w:val="40"/>
        </w:rPr>
        <w:t> </w:t>
      </w:r>
      <w:r>
        <w:rPr/>
        <w:t>It sets the tone for subsequent project activities and promotes a spirit of inclusion.</w:t>
      </w:r>
      <w:r>
        <w:rPr>
          <w:spacing w:val="40"/>
        </w:rPr>
        <w:t> </w:t>
      </w:r>
      <w:r>
        <w:rPr/>
        <w:t>MaineDOT meeting planners strive</w:t>
      </w:r>
      <w:r>
        <w:rPr>
          <w:spacing w:val="-1"/>
        </w:rPr>
        <w:t> </w:t>
      </w:r>
      <w:r>
        <w:rPr/>
        <w:t>to</w:t>
      </w:r>
      <w:r>
        <w:rPr>
          <w:spacing w:val="1"/>
        </w:rPr>
        <w:t> </w:t>
      </w:r>
      <w:r>
        <w:rPr/>
        <w:t>encourage</w:t>
      </w:r>
      <w:r>
        <w:rPr>
          <w:spacing w:val="1"/>
        </w:rPr>
        <w:t> </w:t>
      </w:r>
      <w:r>
        <w:rPr/>
        <w:t>attendance</w:t>
      </w:r>
      <w:r>
        <w:rPr>
          <w:spacing w:val="1"/>
        </w:rPr>
        <w:t> </w:t>
      </w:r>
      <w:r>
        <w:rPr/>
        <w:t>among</w:t>
      </w:r>
      <w:r>
        <w:rPr>
          <w:spacing w:val="1"/>
        </w:rPr>
        <w:t> </w:t>
      </w:r>
      <w:r>
        <w:rPr/>
        <w:t>groups</w:t>
      </w:r>
      <w:r>
        <w:rPr>
          <w:spacing w:val="2"/>
        </w:rPr>
        <w:t> </w:t>
      </w:r>
      <w:r>
        <w:rPr/>
        <w:t>protected</w:t>
      </w:r>
      <w:r>
        <w:rPr>
          <w:spacing w:val="2"/>
        </w:rPr>
        <w:t> </w:t>
      </w:r>
      <w:r>
        <w:rPr/>
        <w:t>by anti-discrimination</w:t>
      </w:r>
      <w:r>
        <w:rPr>
          <w:spacing w:val="2"/>
        </w:rPr>
        <w:t> </w:t>
      </w:r>
      <w:r>
        <w:rPr/>
        <w:t>laws</w:t>
      </w:r>
      <w:r>
        <w:rPr>
          <w:spacing w:val="1"/>
        </w:rPr>
        <w:t> </w:t>
      </w:r>
      <w:r>
        <w:rPr/>
        <w:t>with</w:t>
      </w:r>
      <w:r>
        <w:rPr>
          <w:spacing w:val="3"/>
        </w:rPr>
        <w:t> </w:t>
      </w:r>
      <w:r>
        <w:rPr>
          <w:spacing w:val="-2"/>
        </w:rPr>
        <w:t>which</w:t>
      </w:r>
    </w:p>
    <w:p>
      <w:pPr>
        <w:spacing w:after="0"/>
        <w:jc w:val="both"/>
        <w:sectPr>
          <w:pgSz w:w="12240" w:h="15840"/>
          <w:pgMar w:header="0" w:footer="997" w:top="920" w:bottom="1260" w:left="600" w:right="500"/>
        </w:sectPr>
      </w:pPr>
    </w:p>
    <w:p>
      <w:pPr>
        <w:pStyle w:val="BodyText"/>
        <w:spacing w:before="35"/>
        <w:ind w:left="840" w:right="935"/>
      </w:pPr>
      <w:r>
        <w:rPr/>
        <w:t>MaineDOT</w:t>
      </w:r>
      <w:r>
        <w:rPr>
          <w:spacing w:val="-1"/>
        </w:rPr>
        <w:t> </w:t>
      </w:r>
      <w:r>
        <w:rPr/>
        <w:t>is</w:t>
      </w:r>
      <w:r>
        <w:rPr>
          <w:spacing w:val="-2"/>
        </w:rPr>
        <w:t> </w:t>
      </w:r>
      <w:r>
        <w:rPr/>
        <w:t>required</w:t>
      </w:r>
      <w:r>
        <w:rPr>
          <w:spacing w:val="-3"/>
        </w:rPr>
        <w:t> </w:t>
      </w:r>
      <w:r>
        <w:rPr/>
        <w:t>to</w:t>
      </w:r>
      <w:r>
        <w:rPr>
          <w:spacing w:val="-3"/>
        </w:rPr>
        <w:t> </w:t>
      </w:r>
      <w:r>
        <w:rPr/>
        <w:t>comply.</w:t>
      </w:r>
      <w:r>
        <w:rPr>
          <w:spacing w:val="40"/>
        </w:rPr>
        <w:t> </w:t>
      </w:r>
      <w:r>
        <w:rPr/>
        <w:t>This</w:t>
      </w:r>
      <w:r>
        <w:rPr>
          <w:spacing w:val="-4"/>
        </w:rPr>
        <w:t> </w:t>
      </w:r>
      <w:r>
        <w:rPr/>
        <w:t>tailoring</w:t>
      </w:r>
      <w:r>
        <w:rPr>
          <w:spacing w:val="-2"/>
        </w:rPr>
        <w:t> </w:t>
      </w:r>
      <w:r>
        <w:rPr/>
        <w:t>of</w:t>
      </w:r>
      <w:r>
        <w:rPr>
          <w:spacing w:val="-3"/>
        </w:rPr>
        <w:t> </w:t>
      </w:r>
      <w:r>
        <w:rPr/>
        <w:t>outreach efforts</w:t>
      </w:r>
      <w:r>
        <w:rPr>
          <w:spacing w:val="-2"/>
        </w:rPr>
        <w:t> </w:t>
      </w:r>
      <w:r>
        <w:rPr/>
        <w:t>is</w:t>
      </w:r>
      <w:r>
        <w:rPr>
          <w:spacing w:val="-4"/>
        </w:rPr>
        <w:t> </w:t>
      </w:r>
      <w:r>
        <w:rPr/>
        <w:t>particularly</w:t>
      </w:r>
      <w:r>
        <w:rPr>
          <w:spacing w:val="-2"/>
        </w:rPr>
        <w:t> </w:t>
      </w:r>
      <w:r>
        <w:rPr/>
        <w:t>useful</w:t>
      </w:r>
      <w:r>
        <w:rPr>
          <w:spacing w:val="-1"/>
        </w:rPr>
        <w:t> </w:t>
      </w:r>
      <w:r>
        <w:rPr/>
        <w:t>because the efforts:</w:t>
      </w:r>
    </w:p>
    <w:p>
      <w:pPr>
        <w:pStyle w:val="BodyText"/>
        <w:spacing w:before="11"/>
        <w:rPr>
          <w:sz w:val="23"/>
        </w:rPr>
      </w:pPr>
    </w:p>
    <w:p>
      <w:pPr>
        <w:pStyle w:val="ListParagraph"/>
        <w:numPr>
          <w:ilvl w:val="1"/>
          <w:numId w:val="7"/>
        </w:numPr>
        <w:tabs>
          <w:tab w:pos="1559" w:val="left" w:leader="none"/>
        </w:tabs>
        <w:spacing w:line="240" w:lineRule="auto" w:before="0" w:after="0"/>
        <w:ind w:left="1559" w:right="0" w:hanging="359"/>
        <w:jc w:val="left"/>
        <w:rPr>
          <w:rFonts w:ascii="Symbol" w:hAnsi="Symbol"/>
          <w:sz w:val="24"/>
        </w:rPr>
      </w:pPr>
      <w:r>
        <w:rPr>
          <w:sz w:val="24"/>
        </w:rPr>
        <w:t>Provide</w:t>
      </w:r>
      <w:r>
        <w:rPr>
          <w:spacing w:val="-5"/>
          <w:sz w:val="24"/>
        </w:rPr>
        <w:t> </w:t>
      </w:r>
      <w:r>
        <w:rPr>
          <w:sz w:val="24"/>
        </w:rPr>
        <w:t>fresh</w:t>
      </w:r>
      <w:r>
        <w:rPr>
          <w:spacing w:val="-3"/>
          <w:sz w:val="24"/>
        </w:rPr>
        <w:t> </w:t>
      </w:r>
      <w:r>
        <w:rPr>
          <w:sz w:val="24"/>
        </w:rPr>
        <w:t>perspectives</w:t>
      </w:r>
      <w:r>
        <w:rPr>
          <w:spacing w:val="-2"/>
          <w:sz w:val="24"/>
        </w:rPr>
        <w:t> </w:t>
      </w:r>
      <w:r>
        <w:rPr>
          <w:sz w:val="24"/>
        </w:rPr>
        <w:t>to</w:t>
      </w:r>
      <w:r>
        <w:rPr>
          <w:spacing w:val="-2"/>
          <w:sz w:val="24"/>
        </w:rPr>
        <w:t> </w:t>
      </w:r>
      <w:r>
        <w:rPr>
          <w:sz w:val="24"/>
        </w:rPr>
        <w:t>project</w:t>
      </w:r>
      <w:r>
        <w:rPr>
          <w:spacing w:val="-3"/>
          <w:sz w:val="24"/>
        </w:rPr>
        <w:t> </w:t>
      </w:r>
      <w:r>
        <w:rPr>
          <w:sz w:val="24"/>
        </w:rPr>
        <w:t>planners</w:t>
      </w:r>
      <w:r>
        <w:rPr>
          <w:spacing w:val="-4"/>
          <w:sz w:val="24"/>
        </w:rPr>
        <w:t> </w:t>
      </w:r>
      <w:r>
        <w:rPr>
          <w:sz w:val="24"/>
        </w:rPr>
        <w:t>and</w:t>
      </w:r>
      <w:r>
        <w:rPr>
          <w:spacing w:val="1"/>
          <w:sz w:val="24"/>
        </w:rPr>
        <w:t> </w:t>
      </w:r>
      <w:r>
        <w:rPr>
          <w:spacing w:val="-2"/>
          <w:sz w:val="24"/>
        </w:rPr>
        <w:t>developers.</w:t>
      </w:r>
    </w:p>
    <w:p>
      <w:pPr>
        <w:pStyle w:val="ListParagraph"/>
        <w:numPr>
          <w:ilvl w:val="1"/>
          <w:numId w:val="7"/>
        </w:numPr>
        <w:tabs>
          <w:tab w:pos="1559" w:val="left" w:leader="none"/>
        </w:tabs>
        <w:spacing w:line="305" w:lineRule="exact" w:before="2" w:after="0"/>
        <w:ind w:left="1559" w:right="0" w:hanging="359"/>
        <w:jc w:val="left"/>
        <w:rPr>
          <w:rFonts w:ascii="Symbol" w:hAnsi="Symbol"/>
          <w:sz w:val="24"/>
        </w:rPr>
      </w:pPr>
      <w:r>
        <w:rPr>
          <w:sz w:val="24"/>
        </w:rPr>
        <w:t>Give</w:t>
      </w:r>
      <w:r>
        <w:rPr>
          <w:spacing w:val="-5"/>
          <w:sz w:val="24"/>
        </w:rPr>
        <w:t> </w:t>
      </w:r>
      <w:r>
        <w:rPr>
          <w:sz w:val="24"/>
        </w:rPr>
        <w:t>MaineDOT</w:t>
      </w:r>
      <w:r>
        <w:rPr>
          <w:spacing w:val="-3"/>
          <w:sz w:val="24"/>
        </w:rPr>
        <w:t> </w:t>
      </w:r>
      <w:r>
        <w:rPr>
          <w:sz w:val="24"/>
        </w:rPr>
        <w:t>information</w:t>
      </w:r>
      <w:r>
        <w:rPr>
          <w:spacing w:val="-2"/>
          <w:sz w:val="24"/>
        </w:rPr>
        <w:t> </w:t>
      </w:r>
      <w:r>
        <w:rPr>
          <w:sz w:val="24"/>
        </w:rPr>
        <w:t>about</w:t>
      </w:r>
      <w:r>
        <w:rPr>
          <w:spacing w:val="-1"/>
          <w:sz w:val="24"/>
        </w:rPr>
        <w:t> </w:t>
      </w:r>
      <w:r>
        <w:rPr>
          <w:sz w:val="24"/>
        </w:rPr>
        <w:t>community-specific</w:t>
      </w:r>
      <w:r>
        <w:rPr>
          <w:spacing w:val="-3"/>
          <w:sz w:val="24"/>
        </w:rPr>
        <w:t> </w:t>
      </w:r>
      <w:r>
        <w:rPr>
          <w:sz w:val="24"/>
        </w:rPr>
        <w:t>issues</w:t>
      </w:r>
      <w:r>
        <w:rPr>
          <w:spacing w:val="-5"/>
          <w:sz w:val="24"/>
        </w:rPr>
        <w:t> </w:t>
      </w:r>
      <w:r>
        <w:rPr>
          <w:sz w:val="24"/>
        </w:rPr>
        <w:t>and</w:t>
      </w:r>
      <w:r>
        <w:rPr>
          <w:spacing w:val="-3"/>
          <w:sz w:val="24"/>
        </w:rPr>
        <w:t> </w:t>
      </w:r>
      <w:r>
        <w:rPr>
          <w:spacing w:val="-2"/>
          <w:sz w:val="24"/>
        </w:rPr>
        <w:t>concerns.</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Allow</w:t>
      </w:r>
      <w:r>
        <w:rPr>
          <w:spacing w:val="-2"/>
          <w:sz w:val="24"/>
        </w:rPr>
        <w:t> </w:t>
      </w:r>
      <w:r>
        <w:rPr>
          <w:sz w:val="24"/>
        </w:rPr>
        <w:t>MaineDOT</w:t>
      </w:r>
      <w:r>
        <w:rPr>
          <w:spacing w:val="-2"/>
          <w:sz w:val="24"/>
        </w:rPr>
        <w:t> </w:t>
      </w:r>
      <w:r>
        <w:rPr>
          <w:sz w:val="24"/>
        </w:rPr>
        <w:t>to</w:t>
      </w:r>
      <w:r>
        <w:rPr>
          <w:spacing w:val="-2"/>
          <w:sz w:val="24"/>
        </w:rPr>
        <w:t> </w:t>
      </w:r>
      <w:r>
        <w:rPr>
          <w:sz w:val="24"/>
        </w:rPr>
        <w:t>identify</w:t>
      </w:r>
      <w:r>
        <w:rPr>
          <w:spacing w:val="-4"/>
          <w:sz w:val="24"/>
        </w:rPr>
        <w:t> </w:t>
      </w:r>
      <w:r>
        <w:rPr>
          <w:sz w:val="24"/>
        </w:rPr>
        <w:t>potential</w:t>
      </w:r>
      <w:r>
        <w:rPr>
          <w:spacing w:val="1"/>
          <w:sz w:val="24"/>
        </w:rPr>
        <w:t> </w:t>
      </w:r>
      <w:r>
        <w:rPr>
          <w:spacing w:val="-2"/>
          <w:sz w:val="24"/>
        </w:rPr>
        <w:t>conflicts.</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Allow</w:t>
      </w:r>
      <w:r>
        <w:rPr>
          <w:spacing w:val="-5"/>
          <w:sz w:val="24"/>
        </w:rPr>
        <w:t> </w:t>
      </w:r>
      <w:r>
        <w:rPr>
          <w:sz w:val="24"/>
        </w:rPr>
        <w:t>feedback</w:t>
      </w:r>
      <w:r>
        <w:rPr>
          <w:spacing w:val="-2"/>
          <w:sz w:val="24"/>
        </w:rPr>
        <w:t> </w:t>
      </w:r>
      <w:r>
        <w:rPr>
          <w:sz w:val="24"/>
        </w:rPr>
        <w:t>on</w:t>
      </w:r>
      <w:r>
        <w:rPr>
          <w:spacing w:val="-3"/>
          <w:sz w:val="24"/>
        </w:rPr>
        <w:t> </w:t>
      </w:r>
      <w:r>
        <w:rPr>
          <w:sz w:val="24"/>
        </w:rPr>
        <w:t>how</w:t>
      </w:r>
      <w:r>
        <w:rPr>
          <w:spacing w:val="-2"/>
          <w:sz w:val="24"/>
        </w:rPr>
        <w:t> </w:t>
      </w:r>
      <w:r>
        <w:rPr>
          <w:sz w:val="24"/>
        </w:rPr>
        <w:t>to</w:t>
      </w:r>
      <w:r>
        <w:rPr>
          <w:spacing w:val="-1"/>
          <w:sz w:val="24"/>
        </w:rPr>
        <w:t> </w:t>
      </w:r>
      <w:r>
        <w:rPr>
          <w:sz w:val="24"/>
        </w:rPr>
        <w:t>get</w:t>
      </w:r>
      <w:r>
        <w:rPr>
          <w:spacing w:val="-2"/>
          <w:sz w:val="24"/>
        </w:rPr>
        <w:t> </w:t>
      </w:r>
      <w:r>
        <w:rPr>
          <w:sz w:val="24"/>
        </w:rPr>
        <w:t>underserved</w:t>
      </w:r>
      <w:r>
        <w:rPr>
          <w:spacing w:val="-3"/>
          <w:sz w:val="24"/>
        </w:rPr>
        <w:t> </w:t>
      </w:r>
      <w:r>
        <w:rPr>
          <w:sz w:val="24"/>
        </w:rPr>
        <w:t>communities</w:t>
      </w:r>
      <w:r>
        <w:rPr>
          <w:spacing w:val="-1"/>
          <w:sz w:val="24"/>
        </w:rPr>
        <w:t> </w:t>
      </w:r>
      <w:r>
        <w:rPr>
          <w:spacing w:val="-2"/>
          <w:sz w:val="24"/>
        </w:rPr>
        <w:t>involved.</w:t>
      </w:r>
    </w:p>
    <w:p>
      <w:pPr>
        <w:pStyle w:val="ListParagraph"/>
        <w:numPr>
          <w:ilvl w:val="1"/>
          <w:numId w:val="7"/>
        </w:numPr>
        <w:tabs>
          <w:tab w:pos="1560" w:val="left" w:leader="none"/>
        </w:tabs>
        <w:spacing w:line="240" w:lineRule="auto" w:before="1" w:after="0"/>
        <w:ind w:left="1560" w:right="936" w:hanging="360"/>
        <w:jc w:val="left"/>
        <w:rPr>
          <w:rFonts w:ascii="Symbol" w:hAnsi="Symbol"/>
          <w:sz w:val="24"/>
        </w:rPr>
      </w:pPr>
      <w:r>
        <w:rPr>
          <w:sz w:val="24"/>
        </w:rPr>
        <w:t>Increase the likelihood that solutions ultimately selected are those which best meet the needs of these communities.</w:t>
      </w:r>
    </w:p>
    <w:p>
      <w:pPr>
        <w:pStyle w:val="BodyText"/>
        <w:spacing w:before="12"/>
        <w:rPr>
          <w:sz w:val="23"/>
        </w:rPr>
      </w:pPr>
    </w:p>
    <w:p>
      <w:pPr>
        <w:pStyle w:val="BodyText"/>
        <w:ind w:left="840"/>
      </w:pPr>
      <w:r>
        <w:rPr/>
        <w:t>To</w:t>
      </w:r>
      <w:r>
        <w:rPr>
          <w:spacing w:val="40"/>
        </w:rPr>
        <w:t> </w:t>
      </w:r>
      <w:r>
        <w:rPr/>
        <w:t>maximize</w:t>
      </w:r>
      <w:r>
        <w:rPr>
          <w:spacing w:val="40"/>
        </w:rPr>
        <w:t> </w:t>
      </w:r>
      <w:r>
        <w:rPr/>
        <w:t>the</w:t>
      </w:r>
      <w:r>
        <w:rPr>
          <w:spacing w:val="40"/>
        </w:rPr>
        <w:t> </w:t>
      </w:r>
      <w:r>
        <w:rPr/>
        <w:t>effectiveness</w:t>
      </w:r>
      <w:r>
        <w:rPr>
          <w:spacing w:val="40"/>
        </w:rPr>
        <w:t> </w:t>
      </w:r>
      <w:r>
        <w:rPr/>
        <w:t>of</w:t>
      </w:r>
      <w:r>
        <w:rPr>
          <w:spacing w:val="40"/>
        </w:rPr>
        <w:t> </w:t>
      </w:r>
      <w:r>
        <w:rPr/>
        <w:t>the</w:t>
      </w:r>
      <w:r>
        <w:rPr>
          <w:spacing w:val="40"/>
        </w:rPr>
        <w:t> </w:t>
      </w:r>
      <w:r>
        <w:rPr/>
        <w:t>Department’s</w:t>
      </w:r>
      <w:r>
        <w:rPr>
          <w:spacing w:val="40"/>
        </w:rPr>
        <w:t> </w:t>
      </w:r>
      <w:r>
        <w:rPr/>
        <w:t>public</w:t>
      </w:r>
      <w:r>
        <w:rPr>
          <w:spacing w:val="40"/>
        </w:rPr>
        <w:t> </w:t>
      </w:r>
      <w:r>
        <w:rPr/>
        <w:t>participation</w:t>
      </w:r>
      <w:r>
        <w:rPr>
          <w:spacing w:val="40"/>
        </w:rPr>
        <w:t> </w:t>
      </w:r>
      <w:r>
        <w:rPr/>
        <w:t>efforts</w:t>
      </w:r>
      <w:r>
        <w:rPr>
          <w:spacing w:val="40"/>
        </w:rPr>
        <w:t> </w:t>
      </w:r>
      <w:r>
        <w:rPr/>
        <w:t>in</w:t>
      </w:r>
      <w:r>
        <w:rPr>
          <w:spacing w:val="40"/>
        </w:rPr>
        <w:t> </w:t>
      </w:r>
      <w:r>
        <w:rPr/>
        <w:t>engaging underserved populations, MaineDOT staff employ the following strategies and best practices:</w:t>
      </w:r>
    </w:p>
    <w:p>
      <w:pPr>
        <w:pStyle w:val="BodyText"/>
        <w:spacing w:before="1"/>
      </w:pPr>
    </w:p>
    <w:p>
      <w:pPr>
        <w:pStyle w:val="ListParagraph"/>
        <w:numPr>
          <w:ilvl w:val="1"/>
          <w:numId w:val="7"/>
        </w:numPr>
        <w:tabs>
          <w:tab w:pos="1560" w:val="left" w:leader="none"/>
        </w:tabs>
        <w:spacing w:line="240" w:lineRule="auto" w:before="0" w:after="0"/>
        <w:ind w:left="1560" w:right="935" w:hanging="360"/>
        <w:jc w:val="left"/>
        <w:rPr>
          <w:rFonts w:ascii="Symbol" w:hAnsi="Symbol"/>
          <w:sz w:val="24"/>
        </w:rPr>
      </w:pPr>
      <w:r>
        <w:rPr>
          <w:sz w:val="24"/>
        </w:rPr>
        <w:t>Plan public meetings and hearings well in advance and publicize them in diverse media, flyers, and on the MaineDOT website.</w:t>
      </w:r>
    </w:p>
    <w:p>
      <w:pPr>
        <w:pStyle w:val="ListParagraph"/>
        <w:numPr>
          <w:ilvl w:val="1"/>
          <w:numId w:val="7"/>
        </w:numPr>
        <w:tabs>
          <w:tab w:pos="1560" w:val="left" w:leader="none"/>
        </w:tabs>
        <w:spacing w:line="240" w:lineRule="auto" w:before="0" w:after="0"/>
        <w:ind w:left="1560" w:right="933" w:hanging="360"/>
        <w:jc w:val="left"/>
        <w:rPr>
          <w:rFonts w:ascii="Symbol" w:hAnsi="Symbol"/>
          <w:sz w:val="24"/>
        </w:rPr>
      </w:pPr>
      <w:r>
        <w:rPr>
          <w:sz w:val="24"/>
        </w:rPr>
        <w:t>Schedule</w:t>
      </w:r>
      <w:r>
        <w:rPr>
          <w:spacing w:val="-7"/>
          <w:sz w:val="24"/>
        </w:rPr>
        <w:t> </w:t>
      </w:r>
      <w:r>
        <w:rPr>
          <w:sz w:val="24"/>
        </w:rPr>
        <w:t>meetings</w:t>
      </w:r>
      <w:r>
        <w:rPr>
          <w:spacing w:val="-8"/>
          <w:sz w:val="24"/>
        </w:rPr>
        <w:t> </w:t>
      </w:r>
      <w:r>
        <w:rPr>
          <w:sz w:val="24"/>
        </w:rPr>
        <w:t>at</w:t>
      </w:r>
      <w:r>
        <w:rPr>
          <w:spacing w:val="-6"/>
          <w:sz w:val="24"/>
        </w:rPr>
        <w:t> </w:t>
      </w:r>
      <w:r>
        <w:rPr>
          <w:sz w:val="24"/>
        </w:rPr>
        <w:t>times</w:t>
      </w:r>
      <w:r>
        <w:rPr>
          <w:spacing w:val="-8"/>
          <w:sz w:val="24"/>
        </w:rPr>
        <w:t> </w:t>
      </w:r>
      <w:r>
        <w:rPr>
          <w:sz w:val="24"/>
        </w:rPr>
        <w:t>and</w:t>
      </w:r>
      <w:r>
        <w:rPr>
          <w:spacing w:val="-6"/>
          <w:sz w:val="24"/>
        </w:rPr>
        <w:t> </w:t>
      </w:r>
      <w:r>
        <w:rPr>
          <w:sz w:val="24"/>
        </w:rPr>
        <w:t>locations</w:t>
      </w:r>
      <w:r>
        <w:rPr>
          <w:spacing w:val="-8"/>
          <w:sz w:val="24"/>
        </w:rPr>
        <w:t> </w:t>
      </w:r>
      <w:r>
        <w:rPr>
          <w:sz w:val="24"/>
        </w:rPr>
        <w:t>that</w:t>
      </w:r>
      <w:r>
        <w:rPr>
          <w:spacing w:val="-6"/>
          <w:sz w:val="24"/>
        </w:rPr>
        <w:t> </w:t>
      </w:r>
      <w:r>
        <w:rPr>
          <w:sz w:val="24"/>
        </w:rPr>
        <w:t>are</w:t>
      </w:r>
      <w:r>
        <w:rPr>
          <w:spacing w:val="-7"/>
          <w:sz w:val="24"/>
        </w:rPr>
        <w:t> </w:t>
      </w:r>
      <w:r>
        <w:rPr>
          <w:sz w:val="24"/>
        </w:rPr>
        <w:t>convenient</w:t>
      </w:r>
      <w:r>
        <w:rPr>
          <w:spacing w:val="-6"/>
          <w:sz w:val="24"/>
        </w:rPr>
        <w:t> </w:t>
      </w:r>
      <w:r>
        <w:rPr>
          <w:sz w:val="24"/>
        </w:rPr>
        <w:t>and</w:t>
      </w:r>
      <w:r>
        <w:rPr>
          <w:spacing w:val="-6"/>
          <w:sz w:val="24"/>
        </w:rPr>
        <w:t> </w:t>
      </w:r>
      <w:r>
        <w:rPr>
          <w:sz w:val="24"/>
        </w:rPr>
        <w:t>accessible</w:t>
      </w:r>
      <w:r>
        <w:rPr>
          <w:spacing w:val="-7"/>
          <w:sz w:val="24"/>
        </w:rPr>
        <w:t> </w:t>
      </w:r>
      <w:r>
        <w:rPr>
          <w:sz w:val="24"/>
        </w:rPr>
        <w:t>for</w:t>
      </w:r>
      <w:r>
        <w:rPr>
          <w:spacing w:val="-7"/>
          <w:sz w:val="24"/>
        </w:rPr>
        <w:t> </w:t>
      </w:r>
      <w:r>
        <w:rPr>
          <w:sz w:val="24"/>
        </w:rPr>
        <w:t>minority and LEP communities.</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Ensure</w:t>
      </w:r>
      <w:r>
        <w:rPr>
          <w:spacing w:val="-3"/>
          <w:sz w:val="24"/>
        </w:rPr>
        <w:t> </w:t>
      </w:r>
      <w:r>
        <w:rPr>
          <w:sz w:val="24"/>
        </w:rPr>
        <w:t>that</w:t>
      </w:r>
      <w:r>
        <w:rPr>
          <w:spacing w:val="-3"/>
          <w:sz w:val="24"/>
        </w:rPr>
        <w:t> </w:t>
      </w:r>
      <w:r>
        <w:rPr>
          <w:sz w:val="24"/>
        </w:rPr>
        <w:t>meeting</w:t>
      </w:r>
      <w:r>
        <w:rPr>
          <w:spacing w:val="-4"/>
          <w:sz w:val="24"/>
        </w:rPr>
        <w:t> </w:t>
      </w:r>
      <w:r>
        <w:rPr>
          <w:sz w:val="24"/>
        </w:rPr>
        <w:t>notices</w:t>
      </w:r>
      <w:r>
        <w:rPr>
          <w:spacing w:val="-2"/>
          <w:sz w:val="24"/>
        </w:rPr>
        <w:t> </w:t>
      </w:r>
      <w:r>
        <w:rPr>
          <w:sz w:val="24"/>
        </w:rPr>
        <w:t>state</w:t>
      </w:r>
      <w:r>
        <w:rPr>
          <w:spacing w:val="-3"/>
          <w:sz w:val="24"/>
        </w:rPr>
        <w:t> </w:t>
      </w:r>
      <w:r>
        <w:rPr>
          <w:sz w:val="24"/>
        </w:rPr>
        <w:t>that</w:t>
      </w:r>
      <w:r>
        <w:rPr>
          <w:spacing w:val="-3"/>
          <w:sz w:val="24"/>
        </w:rPr>
        <w:t> </w:t>
      </w:r>
      <w:r>
        <w:rPr>
          <w:sz w:val="24"/>
        </w:rPr>
        <w:t>the</w:t>
      </w:r>
      <w:r>
        <w:rPr>
          <w:spacing w:val="-2"/>
          <w:sz w:val="24"/>
        </w:rPr>
        <w:t> </w:t>
      </w:r>
      <w:r>
        <w:rPr>
          <w:sz w:val="24"/>
        </w:rPr>
        <w:t>meeting</w:t>
      </w:r>
      <w:r>
        <w:rPr>
          <w:spacing w:val="-2"/>
          <w:sz w:val="24"/>
        </w:rPr>
        <w:t> </w:t>
      </w:r>
      <w:r>
        <w:rPr>
          <w:sz w:val="24"/>
        </w:rPr>
        <w:t>uses</w:t>
      </w:r>
      <w:r>
        <w:rPr>
          <w:spacing w:val="-2"/>
          <w:sz w:val="24"/>
        </w:rPr>
        <w:t> </w:t>
      </w:r>
      <w:r>
        <w:rPr>
          <w:sz w:val="24"/>
        </w:rPr>
        <w:t>accessible-format</w:t>
      </w:r>
      <w:r>
        <w:rPr>
          <w:spacing w:val="-4"/>
          <w:sz w:val="24"/>
        </w:rPr>
        <w:t> </w:t>
      </w:r>
      <w:r>
        <w:rPr>
          <w:spacing w:val="-2"/>
          <w:sz w:val="24"/>
        </w:rPr>
        <w:t>materials.</w:t>
      </w:r>
    </w:p>
    <w:p>
      <w:pPr>
        <w:pStyle w:val="ListParagraph"/>
        <w:numPr>
          <w:ilvl w:val="1"/>
          <w:numId w:val="7"/>
        </w:numPr>
        <w:tabs>
          <w:tab w:pos="1560" w:val="left" w:leader="none"/>
        </w:tabs>
        <w:spacing w:line="240" w:lineRule="auto" w:before="0" w:after="0"/>
        <w:ind w:left="1560" w:right="933" w:hanging="360"/>
        <w:jc w:val="both"/>
        <w:rPr>
          <w:rFonts w:ascii="Symbol" w:hAnsi="Symbol"/>
          <w:sz w:val="24"/>
        </w:rPr>
      </w:pPr>
      <w:r>
        <w:rPr>
          <w:sz w:val="24"/>
        </w:rPr>
        <w:t>Determine</w:t>
      </w:r>
      <w:r>
        <w:rPr>
          <w:spacing w:val="-2"/>
          <w:sz w:val="24"/>
        </w:rPr>
        <w:t> </w:t>
      </w:r>
      <w:r>
        <w:rPr>
          <w:sz w:val="24"/>
        </w:rPr>
        <w:t>the existence of</w:t>
      </w:r>
      <w:r>
        <w:rPr>
          <w:spacing w:val="-1"/>
          <w:sz w:val="24"/>
        </w:rPr>
        <w:t> </w:t>
      </w:r>
      <w:r>
        <w:rPr>
          <w:sz w:val="24"/>
        </w:rPr>
        <w:t>non-English languages and other cultural characteristics that could inhibit public participation and offer appropriate accommodations to reduce any </w:t>
      </w:r>
      <w:r>
        <w:rPr>
          <w:spacing w:val="-2"/>
          <w:sz w:val="24"/>
        </w:rPr>
        <w:t>barriers.</w:t>
      </w:r>
    </w:p>
    <w:p>
      <w:pPr>
        <w:pStyle w:val="ListParagraph"/>
        <w:numPr>
          <w:ilvl w:val="1"/>
          <w:numId w:val="7"/>
        </w:numPr>
        <w:tabs>
          <w:tab w:pos="1559" w:val="left" w:leader="none"/>
        </w:tabs>
        <w:spacing w:line="304" w:lineRule="exact" w:before="0" w:after="0"/>
        <w:ind w:left="1559" w:right="0" w:hanging="359"/>
        <w:jc w:val="both"/>
        <w:rPr>
          <w:rFonts w:ascii="Symbol" w:hAnsi="Symbol"/>
          <w:sz w:val="24"/>
        </w:rPr>
      </w:pPr>
      <w:r>
        <w:rPr>
          <w:sz w:val="24"/>
        </w:rPr>
        <w:t>Accept</w:t>
      </w:r>
      <w:r>
        <w:rPr>
          <w:spacing w:val="-5"/>
          <w:sz w:val="24"/>
        </w:rPr>
        <w:t> </w:t>
      </w:r>
      <w:r>
        <w:rPr>
          <w:sz w:val="24"/>
        </w:rPr>
        <w:t>both</w:t>
      </w:r>
      <w:r>
        <w:rPr>
          <w:spacing w:val="1"/>
          <w:sz w:val="24"/>
        </w:rPr>
        <w:t> </w:t>
      </w:r>
      <w:r>
        <w:rPr>
          <w:sz w:val="24"/>
        </w:rPr>
        <w:t>verbal</w:t>
      </w:r>
      <w:r>
        <w:rPr>
          <w:spacing w:val="-4"/>
          <w:sz w:val="24"/>
        </w:rPr>
        <w:t> </w:t>
      </w:r>
      <w:r>
        <w:rPr>
          <w:sz w:val="24"/>
        </w:rPr>
        <w:t>and</w:t>
      </w:r>
      <w:r>
        <w:rPr>
          <w:spacing w:val="-4"/>
          <w:sz w:val="24"/>
        </w:rPr>
        <w:t> </w:t>
      </w:r>
      <w:r>
        <w:rPr>
          <w:sz w:val="24"/>
        </w:rPr>
        <w:t>written</w:t>
      </w:r>
      <w:r>
        <w:rPr>
          <w:spacing w:val="-2"/>
          <w:sz w:val="24"/>
        </w:rPr>
        <w:t> </w:t>
      </w:r>
      <w:r>
        <w:rPr>
          <w:sz w:val="24"/>
        </w:rPr>
        <w:t>comments</w:t>
      </w:r>
      <w:r>
        <w:rPr>
          <w:spacing w:val="-4"/>
          <w:sz w:val="24"/>
        </w:rPr>
        <w:t> </w:t>
      </w:r>
      <w:r>
        <w:rPr>
          <w:sz w:val="24"/>
        </w:rPr>
        <w:t>in</w:t>
      </w:r>
      <w:r>
        <w:rPr>
          <w:spacing w:val="1"/>
          <w:sz w:val="24"/>
        </w:rPr>
        <w:t> </w:t>
      </w:r>
      <w:r>
        <w:rPr>
          <w:sz w:val="24"/>
        </w:rPr>
        <w:t>languages</w:t>
      </w:r>
      <w:r>
        <w:rPr>
          <w:spacing w:val="-2"/>
          <w:sz w:val="24"/>
        </w:rPr>
        <w:t> </w:t>
      </w:r>
      <w:r>
        <w:rPr>
          <w:sz w:val="24"/>
        </w:rPr>
        <w:t>other than</w:t>
      </w:r>
      <w:r>
        <w:rPr>
          <w:spacing w:val="-2"/>
          <w:sz w:val="24"/>
        </w:rPr>
        <w:t> English.</w:t>
      </w:r>
    </w:p>
    <w:p>
      <w:pPr>
        <w:pStyle w:val="ListParagraph"/>
        <w:numPr>
          <w:ilvl w:val="1"/>
          <w:numId w:val="7"/>
        </w:numPr>
        <w:tabs>
          <w:tab w:pos="1560" w:val="left" w:leader="none"/>
        </w:tabs>
        <w:spacing w:line="240" w:lineRule="auto" w:before="2" w:after="0"/>
        <w:ind w:left="1560" w:right="934" w:hanging="360"/>
        <w:jc w:val="both"/>
        <w:rPr>
          <w:rFonts w:ascii="Symbol" w:hAnsi="Symbol"/>
          <w:sz w:val="24"/>
        </w:rPr>
      </w:pPr>
      <w:r>
        <w:rPr>
          <w:sz w:val="24"/>
        </w:rPr>
        <w:t>Hold meetings and conduct outreach in the affected neighborhoods, using community centers as meeting locations and venues for informal outreach.</w:t>
      </w:r>
    </w:p>
    <w:p>
      <w:pPr>
        <w:pStyle w:val="ListParagraph"/>
        <w:numPr>
          <w:ilvl w:val="1"/>
          <w:numId w:val="7"/>
        </w:numPr>
        <w:tabs>
          <w:tab w:pos="1560" w:val="left" w:leader="none"/>
        </w:tabs>
        <w:spacing w:line="242" w:lineRule="auto" w:before="0" w:after="0"/>
        <w:ind w:left="1560" w:right="933" w:hanging="360"/>
        <w:jc w:val="both"/>
        <w:rPr>
          <w:rFonts w:ascii="Symbol" w:hAnsi="Symbol"/>
          <w:sz w:val="24"/>
        </w:rPr>
      </w:pPr>
      <w:r>
        <w:rPr>
          <w:sz w:val="24"/>
        </w:rPr>
        <w:t>Use varied meeting times and locations to accommodate the schedule, transportation, and child-care limitations of diverse community members.</w:t>
      </w:r>
    </w:p>
    <w:p>
      <w:pPr>
        <w:pStyle w:val="ListParagraph"/>
        <w:numPr>
          <w:ilvl w:val="1"/>
          <w:numId w:val="7"/>
        </w:numPr>
        <w:tabs>
          <w:tab w:pos="1560" w:val="left" w:leader="none"/>
        </w:tabs>
        <w:spacing w:line="240" w:lineRule="auto" w:before="0" w:after="0"/>
        <w:ind w:left="1560" w:right="933" w:hanging="360"/>
        <w:jc w:val="both"/>
        <w:rPr>
          <w:rFonts w:ascii="Symbol" w:hAnsi="Symbol"/>
          <w:sz w:val="24"/>
        </w:rPr>
      </w:pPr>
      <w:r>
        <w:rPr>
          <w:sz w:val="24"/>
        </w:rPr>
        <w:t>Use</w:t>
      </w:r>
      <w:r>
        <w:rPr>
          <w:spacing w:val="-14"/>
          <w:sz w:val="24"/>
        </w:rPr>
        <w:t> </w:t>
      </w:r>
      <w:r>
        <w:rPr>
          <w:sz w:val="24"/>
        </w:rPr>
        <w:t>an</w:t>
      </w:r>
      <w:r>
        <w:rPr>
          <w:spacing w:val="-14"/>
          <w:sz w:val="24"/>
        </w:rPr>
        <w:t> </w:t>
      </w:r>
      <w:r>
        <w:rPr>
          <w:sz w:val="24"/>
        </w:rPr>
        <w:t>OnDemand</w:t>
      </w:r>
      <w:r>
        <w:rPr>
          <w:spacing w:val="-13"/>
          <w:sz w:val="24"/>
        </w:rPr>
        <w:t> </w:t>
      </w:r>
      <w:r>
        <w:rPr>
          <w:sz w:val="24"/>
        </w:rPr>
        <w:t>format</w:t>
      </w:r>
      <w:r>
        <w:rPr>
          <w:spacing w:val="-14"/>
          <w:sz w:val="24"/>
        </w:rPr>
        <w:t> </w:t>
      </w:r>
      <w:r>
        <w:rPr>
          <w:sz w:val="24"/>
        </w:rPr>
        <w:t>so</w:t>
      </w:r>
      <w:r>
        <w:rPr>
          <w:spacing w:val="-13"/>
          <w:sz w:val="24"/>
        </w:rPr>
        <w:t> </w:t>
      </w:r>
      <w:r>
        <w:rPr>
          <w:sz w:val="24"/>
        </w:rPr>
        <w:t>that</w:t>
      </w:r>
      <w:r>
        <w:rPr>
          <w:spacing w:val="-14"/>
          <w:sz w:val="24"/>
        </w:rPr>
        <w:t> </w:t>
      </w:r>
      <w:r>
        <w:rPr>
          <w:sz w:val="24"/>
        </w:rPr>
        <w:t>affected</w:t>
      </w:r>
      <w:r>
        <w:rPr>
          <w:spacing w:val="-13"/>
          <w:sz w:val="24"/>
        </w:rPr>
        <w:t> </w:t>
      </w:r>
      <w:r>
        <w:rPr>
          <w:sz w:val="24"/>
        </w:rPr>
        <w:t>communities</w:t>
      </w:r>
      <w:r>
        <w:rPr>
          <w:spacing w:val="-14"/>
          <w:sz w:val="24"/>
        </w:rPr>
        <w:t> </w:t>
      </w:r>
      <w:r>
        <w:rPr>
          <w:sz w:val="24"/>
        </w:rPr>
        <w:t>can</w:t>
      </w:r>
      <w:r>
        <w:rPr>
          <w:spacing w:val="-14"/>
          <w:sz w:val="24"/>
        </w:rPr>
        <w:t> </w:t>
      </w:r>
      <w:r>
        <w:rPr>
          <w:sz w:val="24"/>
        </w:rPr>
        <w:t>click</w:t>
      </w:r>
      <w:r>
        <w:rPr>
          <w:spacing w:val="-13"/>
          <w:sz w:val="24"/>
        </w:rPr>
        <w:t> </w:t>
      </w:r>
      <w:r>
        <w:rPr>
          <w:sz w:val="24"/>
        </w:rPr>
        <w:t>and</w:t>
      </w:r>
      <w:r>
        <w:rPr>
          <w:spacing w:val="-14"/>
          <w:sz w:val="24"/>
        </w:rPr>
        <w:t> </w:t>
      </w:r>
      <w:r>
        <w:rPr>
          <w:sz w:val="24"/>
        </w:rPr>
        <w:t>learn</w:t>
      </w:r>
      <w:r>
        <w:rPr>
          <w:spacing w:val="-13"/>
          <w:sz w:val="24"/>
        </w:rPr>
        <w:t> </w:t>
      </w:r>
      <w:r>
        <w:rPr>
          <w:sz w:val="24"/>
        </w:rPr>
        <w:t>about</w:t>
      </w:r>
      <w:r>
        <w:rPr>
          <w:spacing w:val="-14"/>
          <w:sz w:val="24"/>
        </w:rPr>
        <w:t> </w:t>
      </w:r>
      <w:r>
        <w:rPr>
          <w:sz w:val="24"/>
        </w:rPr>
        <w:t>projects as needed, and learn about projects coming to their areas.</w:t>
      </w:r>
      <w:r>
        <w:rPr>
          <w:spacing w:val="40"/>
          <w:sz w:val="24"/>
        </w:rPr>
        <w:t> </w:t>
      </w:r>
      <w:r>
        <w:rPr>
          <w:sz w:val="24"/>
        </w:rPr>
        <w:t>They can also access the information in their desired language using the You Tube video platform.</w:t>
      </w:r>
    </w:p>
    <w:p>
      <w:pPr>
        <w:pStyle w:val="ListParagraph"/>
        <w:numPr>
          <w:ilvl w:val="1"/>
          <w:numId w:val="7"/>
        </w:numPr>
        <w:tabs>
          <w:tab w:pos="1560" w:val="left" w:leader="none"/>
        </w:tabs>
        <w:spacing w:line="240" w:lineRule="auto" w:before="0" w:after="0"/>
        <w:ind w:left="1560" w:right="931" w:hanging="360"/>
        <w:jc w:val="both"/>
        <w:rPr>
          <w:rFonts w:ascii="Symbol" w:hAnsi="Symbol"/>
          <w:sz w:val="24"/>
        </w:rPr>
      </w:pPr>
      <w:r>
        <w:rPr>
          <w:sz w:val="24"/>
        </w:rPr>
        <w:t>Hold</w:t>
      </w:r>
      <w:r>
        <w:rPr>
          <w:spacing w:val="-4"/>
          <w:sz w:val="24"/>
        </w:rPr>
        <w:t> </w:t>
      </w:r>
      <w:r>
        <w:rPr>
          <w:sz w:val="24"/>
        </w:rPr>
        <w:t>meetings</w:t>
      </w:r>
      <w:r>
        <w:rPr>
          <w:spacing w:val="-5"/>
          <w:sz w:val="24"/>
        </w:rPr>
        <w:t> </w:t>
      </w:r>
      <w:r>
        <w:rPr>
          <w:sz w:val="24"/>
        </w:rPr>
        <w:t>at</w:t>
      </w:r>
      <w:r>
        <w:rPr>
          <w:spacing w:val="-4"/>
          <w:sz w:val="24"/>
        </w:rPr>
        <w:t> </w:t>
      </w:r>
      <w:r>
        <w:rPr>
          <w:sz w:val="24"/>
        </w:rPr>
        <w:t>convenient</w:t>
      </w:r>
      <w:r>
        <w:rPr>
          <w:spacing w:val="-6"/>
          <w:sz w:val="24"/>
        </w:rPr>
        <w:t> </w:t>
      </w:r>
      <w:r>
        <w:rPr>
          <w:sz w:val="24"/>
        </w:rPr>
        <w:t>locations</w:t>
      </w:r>
      <w:r>
        <w:rPr>
          <w:spacing w:val="-8"/>
          <w:sz w:val="24"/>
        </w:rPr>
        <w:t> </w:t>
      </w:r>
      <w:r>
        <w:rPr>
          <w:sz w:val="24"/>
        </w:rPr>
        <w:t>that</w:t>
      </w:r>
      <w:r>
        <w:rPr>
          <w:spacing w:val="-6"/>
          <w:sz w:val="24"/>
        </w:rPr>
        <w:t> </w:t>
      </w:r>
      <w:r>
        <w:rPr>
          <w:sz w:val="24"/>
        </w:rPr>
        <w:t>are</w:t>
      </w:r>
      <w:r>
        <w:rPr>
          <w:spacing w:val="-7"/>
          <w:sz w:val="24"/>
        </w:rPr>
        <w:t> </w:t>
      </w:r>
      <w:r>
        <w:rPr>
          <w:sz w:val="24"/>
        </w:rPr>
        <w:t>accessible</w:t>
      </w:r>
      <w:r>
        <w:rPr>
          <w:spacing w:val="-4"/>
          <w:sz w:val="24"/>
        </w:rPr>
        <w:t> </w:t>
      </w:r>
      <w:r>
        <w:rPr>
          <w:sz w:val="24"/>
        </w:rPr>
        <w:t>and</w:t>
      </w:r>
      <w:r>
        <w:rPr>
          <w:spacing w:val="-6"/>
          <w:sz w:val="24"/>
        </w:rPr>
        <w:t> </w:t>
      </w:r>
      <w:r>
        <w:rPr>
          <w:sz w:val="24"/>
        </w:rPr>
        <w:t>welcoming</w:t>
      </w:r>
      <w:r>
        <w:rPr>
          <w:spacing w:val="-8"/>
          <w:sz w:val="24"/>
        </w:rPr>
        <w:t> </w:t>
      </w:r>
      <w:r>
        <w:rPr>
          <w:sz w:val="24"/>
        </w:rPr>
        <w:t>to</w:t>
      </w:r>
      <w:r>
        <w:rPr>
          <w:spacing w:val="-4"/>
          <w:sz w:val="24"/>
        </w:rPr>
        <w:t> </w:t>
      </w:r>
      <w:r>
        <w:rPr>
          <w:sz w:val="24"/>
        </w:rPr>
        <w:t>all,</w:t>
      </w:r>
      <w:r>
        <w:rPr>
          <w:spacing w:val="-7"/>
          <w:sz w:val="24"/>
        </w:rPr>
        <w:t> </w:t>
      </w:r>
      <w:r>
        <w:rPr>
          <w:sz w:val="24"/>
        </w:rPr>
        <w:t>including those with disabilities.</w:t>
      </w:r>
      <w:r>
        <w:rPr>
          <w:spacing w:val="40"/>
          <w:sz w:val="24"/>
        </w:rPr>
        <w:t> </w:t>
      </w:r>
      <w:r>
        <w:rPr>
          <w:sz w:val="24"/>
        </w:rPr>
        <w:t>This includes providing appropriate room set-up and, when requested, alternate formats of handouts (e.g., large-print materials) and audio equipment as requested.</w:t>
      </w:r>
    </w:p>
    <w:p>
      <w:pPr>
        <w:pStyle w:val="ListParagraph"/>
        <w:numPr>
          <w:ilvl w:val="1"/>
          <w:numId w:val="7"/>
        </w:numPr>
        <w:tabs>
          <w:tab w:pos="1560" w:val="left" w:leader="none"/>
        </w:tabs>
        <w:spacing w:line="240" w:lineRule="auto" w:before="0" w:after="0"/>
        <w:ind w:left="1560" w:right="936" w:hanging="360"/>
        <w:jc w:val="both"/>
        <w:rPr>
          <w:rFonts w:ascii="Symbol" w:hAnsi="Symbol"/>
          <w:sz w:val="24"/>
        </w:rPr>
      </w:pPr>
      <w:r>
        <w:rPr>
          <w:sz w:val="24"/>
        </w:rPr>
        <w:t>Make available alternative methods, like the virtual platform, for two-way flow of information and input between MaineDOT and people who are not likely to attend </w:t>
      </w:r>
      <w:r>
        <w:rPr>
          <w:spacing w:val="-2"/>
          <w:sz w:val="24"/>
        </w:rPr>
        <w:t>meetings.</w:t>
      </w:r>
    </w:p>
    <w:p>
      <w:pPr>
        <w:pStyle w:val="ListParagraph"/>
        <w:numPr>
          <w:ilvl w:val="1"/>
          <w:numId w:val="7"/>
        </w:numPr>
        <w:tabs>
          <w:tab w:pos="1560" w:val="left" w:leader="none"/>
        </w:tabs>
        <w:spacing w:line="242" w:lineRule="auto" w:before="0" w:after="0"/>
        <w:ind w:left="1560" w:right="936" w:hanging="360"/>
        <w:jc w:val="both"/>
        <w:rPr>
          <w:rFonts w:ascii="Symbol" w:hAnsi="Symbol"/>
          <w:sz w:val="24"/>
        </w:rPr>
      </w:pPr>
      <w:r>
        <w:rPr>
          <w:sz w:val="24"/>
        </w:rPr>
        <w:t>Use various illustration and visualization techniques to convey the project information including, but not limited to, charts, graphs, photos, maps, and the Internet.</w:t>
      </w:r>
    </w:p>
    <w:p>
      <w:pPr>
        <w:pStyle w:val="ListParagraph"/>
        <w:numPr>
          <w:ilvl w:val="1"/>
          <w:numId w:val="7"/>
        </w:numPr>
        <w:tabs>
          <w:tab w:pos="1560" w:val="left" w:leader="none"/>
        </w:tabs>
        <w:spacing w:line="240" w:lineRule="auto" w:before="0" w:after="0"/>
        <w:ind w:left="1560" w:right="936" w:hanging="360"/>
        <w:jc w:val="both"/>
        <w:rPr>
          <w:rFonts w:ascii="Symbol" w:hAnsi="Symbol"/>
          <w:sz w:val="24"/>
        </w:rPr>
      </w:pPr>
      <w:r>
        <w:rPr>
          <w:sz w:val="24"/>
        </w:rPr>
        <w:t>Reach out to others, both internally and externally, with expertise in contacting and connecting with underserved populations to obtain advice and information about best practices and effective techniques.</w:t>
      </w:r>
    </w:p>
    <w:p>
      <w:pPr>
        <w:pStyle w:val="ListParagraph"/>
        <w:numPr>
          <w:ilvl w:val="0"/>
          <w:numId w:val="9"/>
        </w:numPr>
        <w:tabs>
          <w:tab w:pos="1475" w:val="left" w:leader="none"/>
        </w:tabs>
        <w:spacing w:line="240" w:lineRule="auto" w:before="0" w:after="0"/>
        <w:ind w:left="1475" w:right="0" w:hanging="225"/>
        <w:jc w:val="left"/>
        <w:rPr>
          <w:sz w:val="24"/>
        </w:rPr>
      </w:pPr>
      <w:r>
        <w:rPr>
          <w:sz w:val="24"/>
        </w:rPr>
        <w:t>Employ</w:t>
      </w:r>
      <w:r>
        <w:rPr>
          <w:spacing w:val="-6"/>
          <w:sz w:val="24"/>
        </w:rPr>
        <w:t> </w:t>
      </w:r>
      <w:r>
        <w:rPr>
          <w:sz w:val="24"/>
        </w:rPr>
        <w:t>different</w:t>
      </w:r>
      <w:r>
        <w:rPr>
          <w:spacing w:val="-2"/>
          <w:sz w:val="24"/>
        </w:rPr>
        <w:t> </w:t>
      </w:r>
      <w:r>
        <w:rPr>
          <w:sz w:val="24"/>
        </w:rPr>
        <w:t>meeting</w:t>
      </w:r>
      <w:r>
        <w:rPr>
          <w:spacing w:val="-1"/>
          <w:sz w:val="24"/>
        </w:rPr>
        <w:t> </w:t>
      </w:r>
      <w:r>
        <w:rPr>
          <w:sz w:val="24"/>
        </w:rPr>
        <w:t>sizes and</w:t>
      </w:r>
      <w:r>
        <w:rPr>
          <w:spacing w:val="-2"/>
          <w:sz w:val="24"/>
        </w:rPr>
        <w:t> </w:t>
      </w:r>
      <w:r>
        <w:rPr>
          <w:sz w:val="24"/>
        </w:rPr>
        <w:t>formats</w:t>
      </w:r>
      <w:r>
        <w:rPr>
          <w:spacing w:val="-2"/>
          <w:sz w:val="24"/>
        </w:rPr>
        <w:t> </w:t>
      </w:r>
      <w:r>
        <w:rPr>
          <w:sz w:val="24"/>
        </w:rPr>
        <w:t>including</w:t>
      </w:r>
      <w:r>
        <w:rPr>
          <w:spacing w:val="-3"/>
          <w:sz w:val="24"/>
        </w:rPr>
        <w:t> </w:t>
      </w:r>
      <w:r>
        <w:rPr>
          <w:sz w:val="24"/>
        </w:rPr>
        <w:t>town</w:t>
      </w:r>
      <w:r>
        <w:rPr>
          <w:spacing w:val="-1"/>
          <w:sz w:val="24"/>
        </w:rPr>
        <w:t> </w:t>
      </w:r>
      <w:r>
        <w:rPr>
          <w:sz w:val="24"/>
        </w:rPr>
        <w:t>hall</w:t>
      </w:r>
      <w:r>
        <w:rPr>
          <w:spacing w:val="-3"/>
          <w:sz w:val="24"/>
        </w:rPr>
        <w:t> </w:t>
      </w:r>
      <w:r>
        <w:rPr>
          <w:sz w:val="24"/>
        </w:rPr>
        <w:t>type</w:t>
      </w:r>
      <w:r>
        <w:rPr>
          <w:spacing w:val="-1"/>
          <w:sz w:val="24"/>
        </w:rPr>
        <w:t> </w:t>
      </w:r>
      <w:r>
        <w:rPr>
          <w:sz w:val="24"/>
        </w:rPr>
        <w:t>meeting</w:t>
      </w:r>
      <w:r>
        <w:rPr>
          <w:spacing w:val="-22"/>
          <w:sz w:val="24"/>
        </w:rPr>
        <w:t> </w:t>
      </w:r>
      <w:r>
        <w:rPr>
          <w:spacing w:val="-2"/>
          <w:sz w:val="24"/>
        </w:rPr>
        <w:t>formats;</w:t>
      </w:r>
    </w:p>
    <w:p>
      <w:pPr>
        <w:pStyle w:val="ListParagraph"/>
        <w:numPr>
          <w:ilvl w:val="0"/>
          <w:numId w:val="9"/>
        </w:numPr>
        <w:tabs>
          <w:tab w:pos="1476" w:val="left" w:leader="none"/>
        </w:tabs>
        <w:spacing w:line="247" w:lineRule="auto" w:before="0" w:after="0"/>
        <w:ind w:left="1476" w:right="1477" w:hanging="226"/>
        <w:jc w:val="left"/>
        <w:rPr>
          <w:sz w:val="24"/>
        </w:rPr>
      </w:pPr>
      <w:r>
        <w:rPr>
          <w:sz w:val="24"/>
        </w:rPr>
        <w:t>Coordinate with community organizations, educational institutions and other organizations</w:t>
      </w:r>
      <w:r>
        <w:rPr>
          <w:spacing w:val="-6"/>
          <w:sz w:val="24"/>
        </w:rPr>
        <w:t> </w:t>
      </w:r>
      <w:r>
        <w:rPr>
          <w:sz w:val="24"/>
        </w:rPr>
        <w:t>to</w:t>
      </w:r>
      <w:r>
        <w:rPr>
          <w:spacing w:val="-3"/>
          <w:sz w:val="24"/>
        </w:rPr>
        <w:t> </w:t>
      </w:r>
      <w:r>
        <w:rPr>
          <w:sz w:val="24"/>
        </w:rPr>
        <w:t>implement</w:t>
      </w:r>
      <w:r>
        <w:rPr>
          <w:spacing w:val="-5"/>
          <w:sz w:val="24"/>
        </w:rPr>
        <w:t> </w:t>
      </w:r>
      <w:r>
        <w:rPr>
          <w:sz w:val="24"/>
        </w:rPr>
        <w:t>public</w:t>
      </w:r>
      <w:r>
        <w:rPr>
          <w:spacing w:val="-4"/>
          <w:sz w:val="24"/>
        </w:rPr>
        <w:t> </w:t>
      </w:r>
      <w:r>
        <w:rPr>
          <w:sz w:val="24"/>
        </w:rPr>
        <w:t>engagement</w:t>
      </w:r>
      <w:r>
        <w:rPr>
          <w:spacing w:val="-5"/>
          <w:sz w:val="24"/>
        </w:rPr>
        <w:t> </w:t>
      </w:r>
      <w:r>
        <w:rPr>
          <w:sz w:val="24"/>
        </w:rPr>
        <w:t>strategies</w:t>
      </w:r>
      <w:r>
        <w:rPr>
          <w:spacing w:val="-4"/>
          <w:sz w:val="24"/>
        </w:rPr>
        <w:t> </w:t>
      </w:r>
      <w:r>
        <w:rPr>
          <w:sz w:val="24"/>
        </w:rPr>
        <w:t>that</w:t>
      </w:r>
      <w:r>
        <w:rPr>
          <w:spacing w:val="-2"/>
          <w:sz w:val="24"/>
        </w:rPr>
        <w:t> </w:t>
      </w:r>
      <w:r>
        <w:rPr>
          <w:sz w:val="24"/>
        </w:rPr>
        <w:t>reach</w:t>
      </w:r>
      <w:r>
        <w:rPr>
          <w:spacing w:val="-2"/>
          <w:sz w:val="24"/>
        </w:rPr>
        <w:t> </w:t>
      </w:r>
      <w:r>
        <w:rPr>
          <w:sz w:val="24"/>
        </w:rPr>
        <w:t>out</w:t>
      </w:r>
      <w:r>
        <w:rPr>
          <w:spacing w:val="-5"/>
          <w:sz w:val="24"/>
        </w:rPr>
        <w:t> </w:t>
      </w:r>
      <w:r>
        <w:rPr>
          <w:sz w:val="24"/>
        </w:rPr>
        <w:t>specifically to members of affected minority and/or LEP communities;</w:t>
      </w:r>
    </w:p>
    <w:p>
      <w:pPr>
        <w:spacing w:after="0" w:line="247" w:lineRule="auto"/>
        <w:jc w:val="left"/>
        <w:rPr>
          <w:sz w:val="24"/>
        </w:rPr>
        <w:sectPr>
          <w:pgSz w:w="12240" w:h="15840"/>
          <w:pgMar w:header="0" w:footer="997" w:top="960" w:bottom="1240" w:left="600" w:right="500"/>
        </w:sectPr>
      </w:pPr>
    </w:p>
    <w:p>
      <w:pPr>
        <w:pStyle w:val="ListParagraph"/>
        <w:numPr>
          <w:ilvl w:val="0"/>
          <w:numId w:val="9"/>
        </w:numPr>
        <w:tabs>
          <w:tab w:pos="1475" w:val="left" w:leader="none"/>
        </w:tabs>
        <w:spacing w:line="230" w:lineRule="auto" w:before="26" w:after="0"/>
        <w:ind w:left="1475" w:right="2056" w:hanging="226"/>
        <w:jc w:val="left"/>
        <w:rPr>
          <w:sz w:val="24"/>
        </w:rPr>
      </w:pPr>
      <w:r>
        <w:rPr>
          <w:sz w:val="24"/>
        </w:rPr>
        <w:t>Regularly</w:t>
      </w:r>
      <w:r>
        <w:rPr>
          <w:spacing w:val="-3"/>
          <w:sz w:val="24"/>
        </w:rPr>
        <w:t> </w:t>
      </w:r>
      <w:r>
        <w:rPr>
          <w:sz w:val="24"/>
        </w:rPr>
        <w:t>utilize</w:t>
      </w:r>
      <w:r>
        <w:rPr>
          <w:spacing w:val="-3"/>
          <w:sz w:val="24"/>
        </w:rPr>
        <w:t> </w:t>
      </w:r>
      <w:r>
        <w:rPr>
          <w:sz w:val="24"/>
        </w:rPr>
        <w:t>radio,</w:t>
      </w:r>
      <w:r>
        <w:rPr>
          <w:spacing w:val="-2"/>
          <w:sz w:val="24"/>
        </w:rPr>
        <w:t> </w:t>
      </w:r>
      <w:r>
        <w:rPr>
          <w:sz w:val="24"/>
        </w:rPr>
        <w:t>community</w:t>
      </w:r>
      <w:r>
        <w:rPr>
          <w:spacing w:val="-3"/>
          <w:sz w:val="24"/>
        </w:rPr>
        <w:t> </w:t>
      </w:r>
      <w:r>
        <w:rPr>
          <w:sz w:val="24"/>
        </w:rPr>
        <w:t>television,</w:t>
      </w:r>
      <w:r>
        <w:rPr>
          <w:spacing w:val="-5"/>
          <w:sz w:val="24"/>
        </w:rPr>
        <w:t> </w:t>
      </w:r>
      <w:r>
        <w:rPr>
          <w:sz w:val="24"/>
        </w:rPr>
        <w:t>or</w:t>
      </w:r>
      <w:r>
        <w:rPr>
          <w:spacing w:val="-5"/>
          <w:sz w:val="24"/>
        </w:rPr>
        <w:t> </w:t>
      </w:r>
      <w:r>
        <w:rPr>
          <w:sz w:val="24"/>
        </w:rPr>
        <w:t>newspaper</w:t>
      </w:r>
      <w:r>
        <w:rPr>
          <w:spacing w:val="-5"/>
          <w:sz w:val="24"/>
        </w:rPr>
        <w:t> </w:t>
      </w:r>
      <w:r>
        <w:rPr>
          <w:sz w:val="24"/>
        </w:rPr>
        <w:t>ads</w:t>
      </w:r>
      <w:r>
        <w:rPr>
          <w:spacing w:val="-5"/>
          <w:sz w:val="24"/>
        </w:rPr>
        <w:t> </w:t>
      </w:r>
      <w:r>
        <w:rPr>
          <w:sz w:val="24"/>
        </w:rPr>
        <w:t>that</w:t>
      </w:r>
      <w:r>
        <w:rPr>
          <w:spacing w:val="-1"/>
          <w:sz w:val="24"/>
        </w:rPr>
        <w:t> </w:t>
      </w:r>
      <w:r>
        <w:rPr>
          <w:sz w:val="24"/>
        </w:rPr>
        <w:t>serve</w:t>
      </w:r>
      <w:r>
        <w:rPr>
          <w:spacing w:val="-4"/>
          <w:sz w:val="24"/>
        </w:rPr>
        <w:t> </w:t>
      </w:r>
      <w:r>
        <w:rPr>
          <w:sz w:val="24"/>
        </w:rPr>
        <w:t>LEP </w:t>
      </w:r>
      <w:r>
        <w:rPr>
          <w:spacing w:val="-2"/>
          <w:sz w:val="24"/>
        </w:rPr>
        <w:t>populations;</w:t>
      </w:r>
    </w:p>
    <w:p>
      <w:pPr>
        <w:pStyle w:val="ListParagraph"/>
        <w:numPr>
          <w:ilvl w:val="0"/>
          <w:numId w:val="9"/>
        </w:numPr>
        <w:tabs>
          <w:tab w:pos="1476" w:val="left" w:leader="none"/>
        </w:tabs>
        <w:spacing w:line="247" w:lineRule="auto" w:before="21" w:after="0"/>
        <w:ind w:left="1476" w:right="1684" w:hanging="226"/>
        <w:jc w:val="left"/>
        <w:rPr>
          <w:sz w:val="24"/>
        </w:rPr>
      </w:pPr>
      <w:r>
        <w:rPr>
          <w:sz w:val="24"/>
        </w:rPr>
        <w:t>Provide opportunities for public participation through means other than written communication</w:t>
      </w:r>
      <w:r>
        <w:rPr>
          <w:b/>
          <w:sz w:val="24"/>
        </w:rPr>
        <w:t>,</w:t>
      </w:r>
      <w:r>
        <w:rPr>
          <w:b/>
          <w:spacing w:val="-4"/>
          <w:sz w:val="24"/>
        </w:rPr>
        <w:t> </w:t>
      </w:r>
      <w:r>
        <w:rPr>
          <w:sz w:val="24"/>
        </w:rPr>
        <w:t>such</w:t>
      </w:r>
      <w:r>
        <w:rPr>
          <w:spacing w:val="-4"/>
          <w:sz w:val="24"/>
        </w:rPr>
        <w:t> </w:t>
      </w:r>
      <w:r>
        <w:rPr>
          <w:sz w:val="24"/>
        </w:rPr>
        <w:t>as</w:t>
      </w:r>
      <w:r>
        <w:rPr>
          <w:spacing w:val="-5"/>
          <w:sz w:val="24"/>
        </w:rPr>
        <w:t> </w:t>
      </w:r>
      <w:r>
        <w:rPr>
          <w:sz w:val="24"/>
        </w:rPr>
        <w:t>one-on-one</w:t>
      </w:r>
      <w:r>
        <w:rPr>
          <w:spacing w:val="-4"/>
          <w:sz w:val="24"/>
        </w:rPr>
        <w:t> </w:t>
      </w:r>
      <w:r>
        <w:rPr>
          <w:sz w:val="24"/>
        </w:rPr>
        <w:t>interviews</w:t>
      </w:r>
      <w:r>
        <w:rPr>
          <w:spacing w:val="-3"/>
          <w:sz w:val="24"/>
        </w:rPr>
        <w:t> </w:t>
      </w:r>
      <w:r>
        <w:rPr>
          <w:sz w:val="24"/>
        </w:rPr>
        <w:t>or</w:t>
      </w:r>
      <w:r>
        <w:rPr>
          <w:spacing w:val="-2"/>
          <w:sz w:val="24"/>
        </w:rPr>
        <w:t> </w:t>
      </w:r>
      <w:r>
        <w:rPr>
          <w:sz w:val="24"/>
        </w:rPr>
        <w:t>use</w:t>
      </w:r>
      <w:r>
        <w:rPr>
          <w:spacing w:val="-4"/>
          <w:sz w:val="24"/>
        </w:rPr>
        <w:t> </w:t>
      </w:r>
      <w:r>
        <w:rPr>
          <w:sz w:val="24"/>
        </w:rPr>
        <w:t>of</w:t>
      </w:r>
      <w:r>
        <w:rPr>
          <w:spacing w:val="-4"/>
          <w:sz w:val="24"/>
        </w:rPr>
        <w:t> </w:t>
      </w:r>
      <w:r>
        <w:rPr>
          <w:sz w:val="24"/>
        </w:rPr>
        <w:t>audio</w:t>
      </w:r>
      <w:r>
        <w:rPr>
          <w:spacing w:val="-4"/>
          <w:sz w:val="24"/>
        </w:rPr>
        <w:t> </w:t>
      </w:r>
      <w:r>
        <w:rPr>
          <w:sz w:val="24"/>
        </w:rPr>
        <w:t>or</w:t>
      </w:r>
      <w:r>
        <w:rPr>
          <w:spacing w:val="-2"/>
          <w:sz w:val="24"/>
        </w:rPr>
        <w:t> </w:t>
      </w:r>
      <w:r>
        <w:rPr>
          <w:sz w:val="24"/>
        </w:rPr>
        <w:t>video</w:t>
      </w:r>
      <w:r>
        <w:rPr>
          <w:spacing w:val="-2"/>
          <w:sz w:val="24"/>
        </w:rPr>
        <w:t> </w:t>
      </w:r>
      <w:r>
        <w:rPr>
          <w:sz w:val="24"/>
        </w:rPr>
        <w:t>recording devices to capture oral comments.</w:t>
      </w:r>
    </w:p>
    <w:p>
      <w:pPr>
        <w:pStyle w:val="BodyText"/>
        <w:spacing w:before="10"/>
        <w:rPr>
          <w:sz w:val="26"/>
        </w:rPr>
      </w:pPr>
    </w:p>
    <w:p>
      <w:pPr>
        <w:pStyle w:val="Heading9"/>
        <w:spacing w:before="1"/>
        <w:ind w:left="840"/>
        <w:jc w:val="both"/>
      </w:pPr>
      <w:r>
        <w:rPr/>
        <w:t>Title</w:t>
      </w:r>
      <w:r>
        <w:rPr>
          <w:spacing w:val="-2"/>
        </w:rPr>
        <w:t> </w:t>
      </w:r>
      <w:r>
        <w:rPr/>
        <w:t>VI</w:t>
      </w:r>
      <w:r>
        <w:rPr>
          <w:spacing w:val="-1"/>
        </w:rPr>
        <w:t> </w:t>
      </w:r>
      <w:r>
        <w:rPr/>
        <w:t>Public </w:t>
      </w:r>
      <w:r>
        <w:rPr>
          <w:spacing w:val="-2"/>
        </w:rPr>
        <w:t>Notice</w:t>
      </w:r>
    </w:p>
    <w:p>
      <w:pPr>
        <w:pStyle w:val="BodyText"/>
        <w:spacing w:before="11"/>
        <w:rPr>
          <w:b/>
          <w:sz w:val="23"/>
        </w:rPr>
      </w:pPr>
    </w:p>
    <w:p>
      <w:pPr>
        <w:pStyle w:val="BodyText"/>
        <w:spacing w:before="1"/>
        <w:ind w:left="840" w:right="934"/>
        <w:jc w:val="both"/>
      </w:pPr>
      <w:r>
        <w:rPr/>
        <w:t>MaineDOT</w:t>
      </w:r>
      <w:r>
        <w:rPr>
          <w:spacing w:val="-8"/>
        </w:rPr>
        <w:t> </w:t>
      </w:r>
      <w:r>
        <w:rPr/>
        <w:t>posts</w:t>
      </w:r>
      <w:r>
        <w:rPr>
          <w:spacing w:val="-9"/>
        </w:rPr>
        <w:t> </w:t>
      </w:r>
      <w:r>
        <w:rPr/>
        <w:t>a</w:t>
      </w:r>
      <w:r>
        <w:rPr>
          <w:spacing w:val="-6"/>
        </w:rPr>
        <w:t> </w:t>
      </w:r>
      <w:r>
        <w:rPr/>
        <w:t>“Notice</w:t>
      </w:r>
      <w:r>
        <w:rPr>
          <w:spacing w:val="-6"/>
        </w:rPr>
        <w:t> </w:t>
      </w:r>
      <w:r>
        <w:rPr/>
        <w:t>to</w:t>
      </w:r>
      <w:r>
        <w:rPr>
          <w:spacing w:val="-8"/>
        </w:rPr>
        <w:t> </w:t>
      </w:r>
      <w:r>
        <w:rPr/>
        <w:t>the</w:t>
      </w:r>
      <w:r>
        <w:rPr>
          <w:spacing w:val="-8"/>
        </w:rPr>
        <w:t> </w:t>
      </w:r>
      <w:r>
        <w:rPr/>
        <w:t>Public”</w:t>
      </w:r>
      <w:r>
        <w:rPr>
          <w:spacing w:val="-6"/>
        </w:rPr>
        <w:t> </w:t>
      </w:r>
      <w:r>
        <w:rPr/>
        <w:t>on</w:t>
      </w:r>
      <w:r>
        <w:rPr>
          <w:spacing w:val="-5"/>
        </w:rPr>
        <w:t> </w:t>
      </w:r>
      <w:r>
        <w:rPr/>
        <w:t>bulletin</w:t>
      </w:r>
      <w:r>
        <w:rPr>
          <w:spacing w:val="-5"/>
        </w:rPr>
        <w:t> </w:t>
      </w:r>
      <w:r>
        <w:rPr/>
        <w:t>boards</w:t>
      </w:r>
      <w:r>
        <w:rPr>
          <w:spacing w:val="-9"/>
        </w:rPr>
        <w:t> </w:t>
      </w:r>
      <w:r>
        <w:rPr/>
        <w:t>and</w:t>
      </w:r>
      <w:r>
        <w:rPr>
          <w:spacing w:val="-8"/>
        </w:rPr>
        <w:t> </w:t>
      </w:r>
      <w:r>
        <w:rPr/>
        <w:t>in</w:t>
      </w:r>
      <w:r>
        <w:rPr>
          <w:spacing w:val="-8"/>
        </w:rPr>
        <w:t> </w:t>
      </w:r>
      <w:r>
        <w:rPr/>
        <w:t>public</w:t>
      </w:r>
      <w:r>
        <w:rPr>
          <w:spacing w:val="-9"/>
        </w:rPr>
        <w:t> </w:t>
      </w:r>
      <w:r>
        <w:rPr/>
        <w:t>places</w:t>
      </w:r>
      <w:r>
        <w:rPr>
          <w:spacing w:val="-7"/>
        </w:rPr>
        <w:t> </w:t>
      </w:r>
      <w:r>
        <w:rPr/>
        <w:t>at</w:t>
      </w:r>
      <w:r>
        <w:rPr>
          <w:spacing w:val="-5"/>
        </w:rPr>
        <w:t> </w:t>
      </w:r>
      <w:r>
        <w:rPr/>
        <w:t>its</w:t>
      </w:r>
      <w:r>
        <w:rPr>
          <w:spacing w:val="-7"/>
        </w:rPr>
        <w:t> </w:t>
      </w:r>
      <w:r>
        <w:rPr/>
        <w:t>main</w:t>
      </w:r>
      <w:r>
        <w:rPr>
          <w:spacing w:val="-5"/>
        </w:rPr>
        <w:t> </w:t>
      </w:r>
      <w:r>
        <w:rPr/>
        <w:t>office and regional facilities.</w:t>
      </w:r>
      <w:r>
        <w:rPr>
          <w:spacing w:val="40"/>
        </w:rPr>
        <w:t> </w:t>
      </w:r>
      <w:r>
        <w:rPr/>
        <w:t>The Title VI Public Notice is also posted on the MaineDOT website at </w:t>
      </w:r>
      <w:hyperlink r:id="rId35">
        <w:r>
          <w:rPr/>
          <w:t>http://www.maine.gov/mdot/civilrights/title-vi</w:t>
        </w:r>
      </w:hyperlink>
      <w:r>
        <w:rPr/>
        <w:t> and is titled “Non-Discrimination/Title VI Poster”.</w:t>
      </w:r>
      <w:r>
        <w:rPr>
          <w:spacing w:val="40"/>
        </w:rPr>
        <w:t> </w:t>
      </w:r>
      <w:r>
        <w:rPr>
          <w:b/>
        </w:rPr>
        <w:t>The Public Notice is provided herein on page 26</w:t>
      </w:r>
      <w:r>
        <w:rPr/>
        <w:t>.</w:t>
      </w:r>
    </w:p>
    <w:p>
      <w:pPr>
        <w:pStyle w:val="BodyText"/>
        <w:spacing w:before="11"/>
        <w:rPr>
          <w:sz w:val="23"/>
        </w:rPr>
      </w:pPr>
    </w:p>
    <w:p>
      <w:pPr>
        <w:pStyle w:val="BodyText"/>
        <w:ind w:left="840" w:right="931"/>
        <w:jc w:val="both"/>
        <w:rPr>
          <w:b/>
        </w:rPr>
      </w:pPr>
      <w:r>
        <w:rPr/>
        <w:t>In addition,</w:t>
      </w:r>
      <w:r>
        <w:rPr>
          <w:spacing w:val="-4"/>
        </w:rPr>
        <w:t> </w:t>
      </w:r>
      <w:r>
        <w:rPr/>
        <w:t>a</w:t>
      </w:r>
      <w:r>
        <w:rPr>
          <w:spacing w:val="-1"/>
        </w:rPr>
        <w:t> </w:t>
      </w:r>
      <w:r>
        <w:rPr/>
        <w:t>copy</w:t>
      </w:r>
      <w:r>
        <w:rPr>
          <w:spacing w:val="-5"/>
        </w:rPr>
        <w:t> </w:t>
      </w:r>
      <w:r>
        <w:rPr/>
        <w:t>of</w:t>
      </w:r>
      <w:r>
        <w:rPr>
          <w:spacing w:val="-3"/>
        </w:rPr>
        <w:t> </w:t>
      </w:r>
      <w:r>
        <w:rPr/>
        <w:t>MaineDOT’s</w:t>
      </w:r>
      <w:r>
        <w:rPr>
          <w:spacing w:val="-4"/>
        </w:rPr>
        <w:t> </w:t>
      </w:r>
      <w:r>
        <w:rPr/>
        <w:t>Civil</w:t>
      </w:r>
      <w:r>
        <w:rPr>
          <w:spacing w:val="-1"/>
        </w:rPr>
        <w:t> </w:t>
      </w:r>
      <w:r>
        <w:rPr/>
        <w:t>Rights</w:t>
      </w:r>
      <w:r>
        <w:rPr>
          <w:spacing w:val="-4"/>
        </w:rPr>
        <w:t> </w:t>
      </w:r>
      <w:r>
        <w:rPr/>
        <w:t>brochure,</w:t>
      </w:r>
      <w:r>
        <w:rPr>
          <w:spacing w:val="-4"/>
        </w:rPr>
        <w:t> </w:t>
      </w:r>
      <w:r>
        <w:rPr/>
        <w:t>“Know</w:t>
      </w:r>
      <w:r>
        <w:rPr>
          <w:spacing w:val="-3"/>
        </w:rPr>
        <w:t> </w:t>
      </w:r>
      <w:r>
        <w:rPr/>
        <w:t>Your</w:t>
      </w:r>
      <w:r>
        <w:rPr>
          <w:spacing w:val="-4"/>
        </w:rPr>
        <w:t> </w:t>
      </w:r>
      <w:r>
        <w:rPr/>
        <w:t>Rights”</w:t>
      </w:r>
      <w:r>
        <w:rPr>
          <w:spacing w:val="-1"/>
        </w:rPr>
        <w:t> </w:t>
      </w:r>
      <w:r>
        <w:rPr/>
        <w:t>is</w:t>
      </w:r>
      <w:r>
        <w:rPr>
          <w:spacing w:val="-2"/>
        </w:rPr>
        <w:t> </w:t>
      </w:r>
      <w:r>
        <w:rPr/>
        <w:t>made</w:t>
      </w:r>
      <w:r>
        <w:rPr>
          <w:spacing w:val="-1"/>
        </w:rPr>
        <w:t> </w:t>
      </w:r>
      <w:r>
        <w:rPr/>
        <w:t>available</w:t>
      </w:r>
      <w:r>
        <w:rPr>
          <w:spacing w:val="-3"/>
        </w:rPr>
        <w:t> </w:t>
      </w:r>
      <w:r>
        <w:rPr/>
        <w:t>at all public meetings conducted by MaineDOT and is in the process of being translated into the languages</w:t>
      </w:r>
      <w:r>
        <w:rPr>
          <w:spacing w:val="-14"/>
        </w:rPr>
        <w:t> </w:t>
      </w:r>
      <w:r>
        <w:rPr/>
        <w:t>identified</w:t>
      </w:r>
      <w:r>
        <w:rPr>
          <w:spacing w:val="-14"/>
        </w:rPr>
        <w:t> </w:t>
      </w:r>
      <w:r>
        <w:rPr/>
        <w:t>by</w:t>
      </w:r>
      <w:r>
        <w:rPr>
          <w:spacing w:val="-13"/>
        </w:rPr>
        <w:t> </w:t>
      </w:r>
      <w:r>
        <w:rPr/>
        <w:t>Factor</w:t>
      </w:r>
      <w:r>
        <w:rPr>
          <w:spacing w:val="-14"/>
        </w:rPr>
        <w:t> </w:t>
      </w:r>
      <w:r>
        <w:rPr/>
        <w:t>1</w:t>
      </w:r>
      <w:r>
        <w:rPr>
          <w:spacing w:val="-13"/>
        </w:rPr>
        <w:t> </w:t>
      </w:r>
      <w:r>
        <w:rPr/>
        <w:t>of</w:t>
      </w:r>
      <w:r>
        <w:rPr>
          <w:spacing w:val="-14"/>
        </w:rPr>
        <w:t> </w:t>
      </w:r>
      <w:r>
        <w:rPr/>
        <w:t>the</w:t>
      </w:r>
      <w:r>
        <w:rPr>
          <w:spacing w:val="-13"/>
        </w:rPr>
        <w:t> </w:t>
      </w:r>
      <w:r>
        <w:rPr/>
        <w:t>Four</w:t>
      </w:r>
      <w:r>
        <w:rPr>
          <w:spacing w:val="-14"/>
        </w:rPr>
        <w:t> </w:t>
      </w:r>
      <w:r>
        <w:rPr/>
        <w:t>Factor</w:t>
      </w:r>
      <w:r>
        <w:rPr>
          <w:spacing w:val="-14"/>
        </w:rPr>
        <w:t> </w:t>
      </w:r>
      <w:r>
        <w:rPr/>
        <w:t>Analysis</w:t>
      </w:r>
      <w:r>
        <w:rPr>
          <w:spacing w:val="-12"/>
        </w:rPr>
        <w:t> </w:t>
      </w:r>
      <w:r>
        <w:rPr/>
        <w:t>in</w:t>
      </w:r>
      <w:r>
        <w:rPr>
          <w:spacing w:val="-14"/>
        </w:rPr>
        <w:t> </w:t>
      </w:r>
      <w:r>
        <w:rPr/>
        <w:t>the</w:t>
      </w:r>
      <w:r>
        <w:rPr>
          <w:spacing w:val="-14"/>
        </w:rPr>
        <w:t> </w:t>
      </w:r>
      <w:r>
        <w:rPr/>
        <w:t>LAP.</w:t>
      </w:r>
      <w:r>
        <w:rPr>
          <w:spacing w:val="30"/>
        </w:rPr>
        <w:t> </w:t>
      </w:r>
      <w:r>
        <w:rPr/>
        <w:t>The</w:t>
      </w:r>
      <w:r>
        <w:rPr>
          <w:spacing w:val="-14"/>
        </w:rPr>
        <w:t> </w:t>
      </w:r>
      <w:r>
        <w:rPr/>
        <w:t>brochure</w:t>
      </w:r>
      <w:r>
        <w:rPr>
          <w:spacing w:val="-12"/>
        </w:rPr>
        <w:t> </w:t>
      </w:r>
      <w:r>
        <w:rPr/>
        <w:t>can</w:t>
      </w:r>
      <w:r>
        <w:rPr>
          <w:spacing w:val="-14"/>
        </w:rPr>
        <w:t> </w:t>
      </w:r>
      <w:r>
        <w:rPr/>
        <w:t>be</w:t>
      </w:r>
      <w:r>
        <w:rPr>
          <w:spacing w:val="-12"/>
        </w:rPr>
        <w:t> </w:t>
      </w:r>
      <w:r>
        <w:rPr/>
        <w:t>made available in the languages categorized or clustered by the U.S. Census as “Other” upon request for the benefit of LEP populations.</w:t>
      </w:r>
      <w:r>
        <w:rPr>
          <w:spacing w:val="40"/>
        </w:rPr>
        <w:t> </w:t>
      </w:r>
      <w:r>
        <w:rPr>
          <w:b/>
        </w:rPr>
        <w:t>The brochure is provided herein on page 28.</w:t>
      </w:r>
    </w:p>
    <w:p>
      <w:pPr>
        <w:pStyle w:val="BodyText"/>
        <w:spacing w:before="1"/>
        <w:rPr>
          <w:b/>
        </w:rPr>
      </w:pPr>
    </w:p>
    <w:p>
      <w:pPr>
        <w:pStyle w:val="Heading9"/>
        <w:ind w:left="840"/>
        <w:jc w:val="both"/>
      </w:pPr>
      <w:r>
        <w:rPr/>
        <w:t>Notification</w:t>
      </w:r>
      <w:r>
        <w:rPr>
          <w:spacing w:val="-4"/>
        </w:rPr>
        <w:t> </w:t>
      </w:r>
      <w:r>
        <w:rPr/>
        <w:t>to</w:t>
      </w:r>
      <w:r>
        <w:rPr>
          <w:spacing w:val="-2"/>
        </w:rPr>
        <w:t> </w:t>
      </w:r>
      <w:r>
        <w:rPr/>
        <w:t>Beneficiaries</w:t>
      </w:r>
      <w:r>
        <w:rPr>
          <w:spacing w:val="-2"/>
        </w:rPr>
        <w:t> </w:t>
      </w:r>
      <w:r>
        <w:rPr/>
        <w:t>–</w:t>
      </w:r>
      <w:r>
        <w:rPr>
          <w:spacing w:val="-3"/>
        </w:rPr>
        <w:t> </w:t>
      </w:r>
      <w:r>
        <w:rPr>
          <w:spacing w:val="-2"/>
        </w:rPr>
        <w:t>Website</w:t>
      </w:r>
    </w:p>
    <w:p>
      <w:pPr>
        <w:pStyle w:val="BodyText"/>
        <w:rPr>
          <w:b/>
        </w:rPr>
      </w:pPr>
    </w:p>
    <w:p>
      <w:pPr>
        <w:pStyle w:val="BodyText"/>
        <w:ind w:left="840" w:right="933"/>
        <w:jc w:val="both"/>
      </w:pPr>
      <w:r>
        <w:rPr/>
        <w:t>MaineDOT’s</w:t>
      </w:r>
      <w:r>
        <w:rPr>
          <w:spacing w:val="-5"/>
        </w:rPr>
        <w:t> </w:t>
      </w:r>
      <w:r>
        <w:rPr/>
        <w:t>website</w:t>
      </w:r>
      <w:r>
        <w:rPr>
          <w:spacing w:val="-4"/>
        </w:rPr>
        <w:t> </w:t>
      </w:r>
      <w:r>
        <w:rPr/>
        <w:t>is</w:t>
      </w:r>
      <w:r>
        <w:rPr>
          <w:spacing w:val="-7"/>
        </w:rPr>
        <w:t> </w:t>
      </w:r>
      <w:r>
        <w:rPr/>
        <w:t>designed</w:t>
      </w:r>
      <w:r>
        <w:rPr>
          <w:spacing w:val="-5"/>
        </w:rPr>
        <w:t> </w:t>
      </w:r>
      <w:r>
        <w:rPr/>
        <w:t>to</w:t>
      </w:r>
      <w:r>
        <w:rPr>
          <w:spacing w:val="-6"/>
        </w:rPr>
        <w:t> </w:t>
      </w:r>
      <w:r>
        <w:rPr/>
        <w:t>ensure</w:t>
      </w:r>
      <w:r>
        <w:rPr>
          <w:spacing w:val="-4"/>
        </w:rPr>
        <w:t> </w:t>
      </w:r>
      <w:r>
        <w:rPr/>
        <w:t>Title</w:t>
      </w:r>
      <w:r>
        <w:rPr>
          <w:spacing w:val="-4"/>
        </w:rPr>
        <w:t> </w:t>
      </w:r>
      <w:r>
        <w:rPr/>
        <w:t>VI</w:t>
      </w:r>
      <w:r>
        <w:rPr>
          <w:spacing w:val="-5"/>
        </w:rPr>
        <w:t> </w:t>
      </w:r>
      <w:r>
        <w:rPr/>
        <w:t>information</w:t>
      </w:r>
      <w:r>
        <w:rPr>
          <w:spacing w:val="-4"/>
        </w:rPr>
        <w:t> </w:t>
      </w:r>
      <w:r>
        <w:rPr/>
        <w:t>is</w:t>
      </w:r>
      <w:r>
        <w:rPr>
          <w:spacing w:val="-5"/>
        </w:rPr>
        <w:t> </w:t>
      </w:r>
      <w:r>
        <w:rPr/>
        <w:t>readily</w:t>
      </w:r>
      <w:r>
        <w:rPr>
          <w:spacing w:val="-5"/>
        </w:rPr>
        <w:t> </w:t>
      </w:r>
      <w:r>
        <w:rPr/>
        <w:t>accessible</w:t>
      </w:r>
      <w:r>
        <w:rPr>
          <w:spacing w:val="-4"/>
        </w:rPr>
        <w:t> </w:t>
      </w:r>
      <w:r>
        <w:rPr/>
        <w:t>to</w:t>
      </w:r>
      <w:r>
        <w:rPr>
          <w:spacing w:val="-6"/>
        </w:rPr>
        <w:t> </w:t>
      </w:r>
      <w:r>
        <w:rPr/>
        <w:t>the</w:t>
      </w:r>
      <w:r>
        <w:rPr>
          <w:spacing w:val="-4"/>
        </w:rPr>
        <w:t> </w:t>
      </w:r>
      <w:r>
        <w:rPr/>
        <w:t>public. The</w:t>
      </w:r>
      <w:r>
        <w:rPr>
          <w:spacing w:val="-1"/>
        </w:rPr>
        <w:t> </w:t>
      </w:r>
      <w:r>
        <w:rPr/>
        <w:t>website informs</w:t>
      </w:r>
      <w:r>
        <w:rPr>
          <w:spacing w:val="-2"/>
        </w:rPr>
        <w:t> </w:t>
      </w:r>
      <w:r>
        <w:rPr/>
        <w:t>the</w:t>
      </w:r>
      <w:r>
        <w:rPr>
          <w:spacing w:val="-1"/>
        </w:rPr>
        <w:t> </w:t>
      </w:r>
      <w:r>
        <w:rPr/>
        <w:t>public</w:t>
      </w:r>
      <w:r>
        <w:rPr>
          <w:spacing w:val="-2"/>
        </w:rPr>
        <w:t> </w:t>
      </w:r>
      <w:r>
        <w:rPr/>
        <w:t>of their</w:t>
      </w:r>
      <w:r>
        <w:rPr>
          <w:spacing w:val="-1"/>
        </w:rPr>
        <w:t> </w:t>
      </w:r>
      <w:r>
        <w:rPr/>
        <w:t>rights</w:t>
      </w:r>
      <w:r>
        <w:rPr>
          <w:spacing w:val="-4"/>
        </w:rPr>
        <w:t> </w:t>
      </w:r>
      <w:r>
        <w:rPr/>
        <w:t>under Title</w:t>
      </w:r>
      <w:r>
        <w:rPr>
          <w:spacing w:val="-1"/>
        </w:rPr>
        <w:t> </w:t>
      </w:r>
      <w:r>
        <w:rPr/>
        <w:t>VI</w:t>
      </w:r>
      <w:r>
        <w:rPr>
          <w:spacing w:val="-2"/>
        </w:rPr>
        <w:t> </w:t>
      </w:r>
      <w:r>
        <w:rPr/>
        <w:t>and provides information on how to file a complaint.</w:t>
      </w:r>
      <w:r>
        <w:rPr>
          <w:spacing w:val="40"/>
        </w:rPr>
        <w:t> </w:t>
      </w:r>
      <w:r>
        <w:rPr/>
        <w:t>Title VI information available on MaineDOT’s website includes:</w:t>
      </w:r>
    </w:p>
    <w:p>
      <w:pPr>
        <w:pStyle w:val="BodyText"/>
        <w:spacing w:before="11"/>
        <w:rPr>
          <w:sz w:val="23"/>
        </w:rPr>
      </w:pPr>
    </w:p>
    <w:p>
      <w:pPr>
        <w:pStyle w:val="ListParagraph"/>
        <w:numPr>
          <w:ilvl w:val="1"/>
          <w:numId w:val="7"/>
        </w:numPr>
        <w:tabs>
          <w:tab w:pos="1559" w:val="left" w:leader="none"/>
        </w:tabs>
        <w:spacing w:line="240" w:lineRule="auto" w:before="0" w:after="0"/>
        <w:ind w:left="1559" w:right="0" w:hanging="359"/>
        <w:jc w:val="left"/>
        <w:rPr>
          <w:rFonts w:ascii="Symbol" w:hAnsi="Symbol"/>
          <w:sz w:val="24"/>
        </w:rPr>
      </w:pPr>
      <w:r>
        <w:rPr>
          <w:sz w:val="24"/>
        </w:rPr>
        <w:t>MaineDOT’s</w:t>
      </w:r>
      <w:r>
        <w:rPr>
          <w:spacing w:val="-3"/>
          <w:sz w:val="24"/>
        </w:rPr>
        <w:t> </w:t>
      </w:r>
      <w:r>
        <w:rPr>
          <w:sz w:val="24"/>
        </w:rPr>
        <w:t>Title</w:t>
      </w:r>
      <w:r>
        <w:rPr>
          <w:spacing w:val="-3"/>
          <w:sz w:val="24"/>
        </w:rPr>
        <w:t> </w:t>
      </w:r>
      <w:r>
        <w:rPr>
          <w:sz w:val="24"/>
        </w:rPr>
        <w:t>VI</w:t>
      </w:r>
      <w:r>
        <w:rPr>
          <w:spacing w:val="-3"/>
          <w:sz w:val="24"/>
        </w:rPr>
        <w:t> </w:t>
      </w:r>
      <w:r>
        <w:rPr>
          <w:sz w:val="24"/>
        </w:rPr>
        <w:t>Implementation</w:t>
      </w:r>
      <w:r>
        <w:rPr>
          <w:spacing w:val="-3"/>
          <w:sz w:val="24"/>
        </w:rPr>
        <w:t> </w:t>
      </w:r>
      <w:r>
        <w:rPr>
          <w:spacing w:val="-4"/>
          <w:sz w:val="24"/>
        </w:rPr>
        <w:t>Plan</w:t>
      </w:r>
    </w:p>
    <w:p>
      <w:pPr>
        <w:pStyle w:val="ListParagraph"/>
        <w:numPr>
          <w:ilvl w:val="1"/>
          <w:numId w:val="7"/>
        </w:numPr>
        <w:tabs>
          <w:tab w:pos="1560" w:val="left" w:leader="none"/>
        </w:tabs>
        <w:spacing w:line="240" w:lineRule="auto" w:before="1" w:after="0"/>
        <w:ind w:left="1560" w:right="1393" w:hanging="360"/>
        <w:jc w:val="left"/>
        <w:rPr>
          <w:rFonts w:ascii="Symbol" w:hAnsi="Symbol"/>
          <w:sz w:val="24"/>
        </w:rPr>
      </w:pPr>
      <w:r>
        <w:rPr>
          <w:sz w:val="24"/>
        </w:rPr>
        <w:t>Demographic</w:t>
      </w:r>
      <w:r>
        <w:rPr>
          <w:spacing w:val="-6"/>
          <w:sz w:val="24"/>
        </w:rPr>
        <w:t> </w:t>
      </w:r>
      <w:r>
        <w:rPr>
          <w:sz w:val="24"/>
        </w:rPr>
        <w:t>Profile</w:t>
      </w:r>
      <w:r>
        <w:rPr>
          <w:spacing w:val="-4"/>
          <w:sz w:val="24"/>
        </w:rPr>
        <w:t> </w:t>
      </w:r>
      <w:r>
        <w:rPr>
          <w:sz w:val="24"/>
        </w:rPr>
        <w:t>of</w:t>
      </w:r>
      <w:r>
        <w:rPr>
          <w:spacing w:val="-4"/>
          <w:sz w:val="24"/>
        </w:rPr>
        <w:t> </w:t>
      </w:r>
      <w:r>
        <w:rPr>
          <w:sz w:val="24"/>
        </w:rPr>
        <w:t>Maine</w:t>
      </w:r>
      <w:r>
        <w:rPr>
          <w:spacing w:val="-4"/>
          <w:sz w:val="24"/>
        </w:rPr>
        <w:t> </w:t>
      </w:r>
      <w:r>
        <w:rPr>
          <w:sz w:val="24"/>
        </w:rPr>
        <w:t>(to</w:t>
      </w:r>
      <w:r>
        <w:rPr>
          <w:spacing w:val="-4"/>
          <w:sz w:val="24"/>
        </w:rPr>
        <w:t> </w:t>
      </w:r>
      <w:r>
        <w:rPr>
          <w:sz w:val="24"/>
        </w:rPr>
        <w:t>be</w:t>
      </w:r>
      <w:r>
        <w:rPr>
          <w:spacing w:val="-4"/>
          <w:sz w:val="24"/>
        </w:rPr>
        <w:t> </w:t>
      </w:r>
      <w:r>
        <w:rPr>
          <w:sz w:val="24"/>
        </w:rPr>
        <w:t>updated</w:t>
      </w:r>
      <w:r>
        <w:rPr>
          <w:spacing w:val="-4"/>
          <w:sz w:val="24"/>
        </w:rPr>
        <w:t> </w:t>
      </w:r>
      <w:r>
        <w:rPr>
          <w:sz w:val="24"/>
        </w:rPr>
        <w:t>as</w:t>
      </w:r>
      <w:r>
        <w:rPr>
          <w:spacing w:val="-5"/>
          <w:sz w:val="24"/>
        </w:rPr>
        <w:t> </w:t>
      </w:r>
      <w:r>
        <w:rPr>
          <w:sz w:val="24"/>
        </w:rPr>
        <w:t>demographic</w:t>
      </w:r>
      <w:r>
        <w:rPr>
          <w:spacing w:val="-3"/>
          <w:sz w:val="24"/>
        </w:rPr>
        <w:t> </w:t>
      </w:r>
      <w:r>
        <w:rPr>
          <w:sz w:val="24"/>
        </w:rPr>
        <w:t>information</w:t>
      </w:r>
      <w:r>
        <w:rPr>
          <w:spacing w:val="-1"/>
          <w:sz w:val="24"/>
        </w:rPr>
        <w:t> </w:t>
      </w:r>
      <w:r>
        <w:rPr>
          <w:sz w:val="24"/>
        </w:rPr>
        <w:t>becomes </w:t>
      </w:r>
      <w:r>
        <w:rPr>
          <w:spacing w:val="-2"/>
          <w:sz w:val="24"/>
        </w:rPr>
        <w:t>available)</w:t>
      </w:r>
    </w:p>
    <w:p>
      <w:pPr>
        <w:pStyle w:val="ListParagraph"/>
        <w:numPr>
          <w:ilvl w:val="1"/>
          <w:numId w:val="7"/>
        </w:numPr>
        <w:tabs>
          <w:tab w:pos="1559" w:val="left" w:leader="none"/>
        </w:tabs>
        <w:spacing w:line="304" w:lineRule="exact" w:before="0" w:after="0"/>
        <w:ind w:left="1559" w:right="0" w:hanging="359"/>
        <w:jc w:val="left"/>
        <w:rPr>
          <w:rFonts w:ascii="Symbol" w:hAnsi="Symbol"/>
          <w:sz w:val="24"/>
        </w:rPr>
      </w:pPr>
      <w:r>
        <w:rPr>
          <w:sz w:val="24"/>
        </w:rPr>
        <w:t>How to</w:t>
      </w:r>
      <w:r>
        <w:rPr>
          <w:spacing w:val="-1"/>
          <w:sz w:val="24"/>
        </w:rPr>
        <w:t> </w:t>
      </w:r>
      <w:r>
        <w:rPr>
          <w:sz w:val="24"/>
        </w:rPr>
        <w:t>File</w:t>
      </w:r>
      <w:r>
        <w:rPr>
          <w:spacing w:val="-2"/>
          <w:sz w:val="24"/>
        </w:rPr>
        <w:t> </w:t>
      </w:r>
      <w:r>
        <w:rPr>
          <w:sz w:val="24"/>
        </w:rPr>
        <w:t>a</w:t>
      </w:r>
      <w:r>
        <w:rPr>
          <w:spacing w:val="-4"/>
          <w:sz w:val="24"/>
        </w:rPr>
        <w:t> </w:t>
      </w:r>
      <w:r>
        <w:rPr>
          <w:sz w:val="24"/>
        </w:rPr>
        <w:t>Discrimination</w:t>
      </w:r>
      <w:r>
        <w:rPr>
          <w:spacing w:val="1"/>
          <w:sz w:val="24"/>
        </w:rPr>
        <w:t> </w:t>
      </w:r>
      <w:r>
        <w:rPr>
          <w:spacing w:val="-2"/>
          <w:sz w:val="24"/>
        </w:rPr>
        <w:t>Complaint</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Title</w:t>
      </w:r>
      <w:r>
        <w:rPr>
          <w:spacing w:val="-5"/>
          <w:sz w:val="24"/>
        </w:rPr>
        <w:t> </w:t>
      </w:r>
      <w:r>
        <w:rPr>
          <w:sz w:val="24"/>
        </w:rPr>
        <w:t>VI</w:t>
      </w:r>
      <w:r>
        <w:rPr>
          <w:spacing w:val="-1"/>
          <w:sz w:val="24"/>
        </w:rPr>
        <w:t> </w:t>
      </w:r>
      <w:r>
        <w:rPr>
          <w:sz w:val="24"/>
        </w:rPr>
        <w:t>Complaint</w:t>
      </w:r>
      <w:r>
        <w:rPr>
          <w:spacing w:val="1"/>
          <w:sz w:val="24"/>
        </w:rPr>
        <w:t> </w:t>
      </w:r>
      <w:r>
        <w:rPr>
          <w:spacing w:val="-4"/>
          <w:sz w:val="24"/>
        </w:rPr>
        <w:t>Form</w:t>
      </w:r>
    </w:p>
    <w:p>
      <w:pPr>
        <w:pStyle w:val="ListParagraph"/>
        <w:numPr>
          <w:ilvl w:val="1"/>
          <w:numId w:val="7"/>
        </w:numPr>
        <w:tabs>
          <w:tab w:pos="1559" w:val="left" w:leader="none"/>
        </w:tabs>
        <w:spacing w:line="305" w:lineRule="exact" w:before="2" w:after="0"/>
        <w:ind w:left="1559" w:right="0" w:hanging="359"/>
        <w:jc w:val="left"/>
        <w:rPr>
          <w:rFonts w:ascii="Symbol" w:hAnsi="Symbol"/>
          <w:sz w:val="24"/>
        </w:rPr>
      </w:pPr>
      <w:r>
        <w:rPr>
          <w:sz w:val="24"/>
        </w:rPr>
        <w:t>Foreign</w:t>
      </w:r>
      <w:r>
        <w:rPr>
          <w:spacing w:val="-5"/>
          <w:sz w:val="24"/>
        </w:rPr>
        <w:t> </w:t>
      </w:r>
      <w:r>
        <w:rPr>
          <w:sz w:val="24"/>
        </w:rPr>
        <w:t>Language</w:t>
      </w:r>
      <w:r>
        <w:rPr>
          <w:spacing w:val="-3"/>
          <w:sz w:val="24"/>
        </w:rPr>
        <w:t> </w:t>
      </w:r>
      <w:r>
        <w:rPr>
          <w:sz w:val="24"/>
        </w:rPr>
        <w:t>Interpretation</w:t>
      </w:r>
      <w:r>
        <w:rPr>
          <w:spacing w:val="-2"/>
          <w:sz w:val="24"/>
        </w:rPr>
        <w:t> Information</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Language</w:t>
      </w:r>
      <w:r>
        <w:rPr>
          <w:spacing w:val="-4"/>
          <w:sz w:val="24"/>
        </w:rPr>
        <w:t> </w:t>
      </w:r>
      <w:r>
        <w:rPr>
          <w:sz w:val="24"/>
        </w:rPr>
        <w:t>Identification</w:t>
      </w:r>
      <w:r>
        <w:rPr>
          <w:spacing w:val="-3"/>
          <w:sz w:val="24"/>
        </w:rPr>
        <w:t> </w:t>
      </w:r>
      <w:r>
        <w:rPr>
          <w:spacing w:val="-4"/>
          <w:sz w:val="24"/>
        </w:rPr>
        <w:t>Card</w:t>
      </w:r>
    </w:p>
    <w:p>
      <w:pPr>
        <w:pStyle w:val="ListParagraph"/>
        <w:numPr>
          <w:ilvl w:val="1"/>
          <w:numId w:val="7"/>
        </w:numPr>
        <w:tabs>
          <w:tab w:pos="1559" w:val="left" w:leader="none"/>
        </w:tabs>
        <w:spacing w:line="305" w:lineRule="exact" w:before="1" w:after="0"/>
        <w:ind w:left="1559" w:right="0" w:hanging="359"/>
        <w:jc w:val="left"/>
        <w:rPr>
          <w:rFonts w:ascii="Symbol" w:hAnsi="Symbol"/>
          <w:sz w:val="24"/>
        </w:rPr>
      </w:pPr>
      <w:r>
        <w:rPr>
          <w:sz w:val="24"/>
        </w:rPr>
        <w:t>Minority</w:t>
      </w:r>
      <w:r>
        <w:rPr>
          <w:spacing w:val="-4"/>
          <w:sz w:val="24"/>
        </w:rPr>
        <w:t> </w:t>
      </w:r>
      <w:r>
        <w:rPr>
          <w:sz w:val="24"/>
        </w:rPr>
        <w:t>and</w:t>
      </w:r>
      <w:r>
        <w:rPr>
          <w:spacing w:val="-1"/>
          <w:sz w:val="24"/>
        </w:rPr>
        <w:t> </w:t>
      </w:r>
      <w:r>
        <w:rPr>
          <w:sz w:val="24"/>
        </w:rPr>
        <w:t>Outreach</w:t>
      </w:r>
      <w:r>
        <w:rPr>
          <w:spacing w:val="-1"/>
          <w:sz w:val="24"/>
        </w:rPr>
        <w:t> </w:t>
      </w:r>
      <w:r>
        <w:rPr>
          <w:sz w:val="24"/>
        </w:rPr>
        <w:t>Contact</w:t>
      </w:r>
      <w:r>
        <w:rPr>
          <w:spacing w:val="-1"/>
          <w:sz w:val="24"/>
        </w:rPr>
        <w:t> </w:t>
      </w:r>
      <w:r>
        <w:rPr>
          <w:spacing w:val="-2"/>
          <w:sz w:val="24"/>
        </w:rPr>
        <w:t>Information</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Title</w:t>
      </w:r>
      <w:r>
        <w:rPr>
          <w:spacing w:val="-2"/>
          <w:sz w:val="24"/>
        </w:rPr>
        <w:t> </w:t>
      </w:r>
      <w:r>
        <w:rPr>
          <w:sz w:val="24"/>
        </w:rPr>
        <w:t>VI</w:t>
      </w:r>
      <w:r>
        <w:rPr>
          <w:spacing w:val="-1"/>
          <w:sz w:val="24"/>
        </w:rPr>
        <w:t> </w:t>
      </w:r>
      <w:r>
        <w:rPr>
          <w:sz w:val="24"/>
        </w:rPr>
        <w:t>Public</w:t>
      </w:r>
      <w:r>
        <w:rPr>
          <w:spacing w:val="-4"/>
          <w:sz w:val="24"/>
        </w:rPr>
        <w:t> </w:t>
      </w:r>
      <w:r>
        <w:rPr>
          <w:sz w:val="24"/>
        </w:rPr>
        <w:t>Participation</w:t>
      </w:r>
      <w:r>
        <w:rPr>
          <w:spacing w:val="1"/>
          <w:sz w:val="24"/>
        </w:rPr>
        <w:t> </w:t>
      </w:r>
      <w:r>
        <w:rPr>
          <w:sz w:val="24"/>
        </w:rPr>
        <w:t>Template</w:t>
      </w:r>
      <w:r>
        <w:rPr>
          <w:spacing w:val="-2"/>
          <w:sz w:val="24"/>
        </w:rPr>
        <w:t> </w:t>
      </w:r>
      <w:r>
        <w:rPr>
          <w:sz w:val="24"/>
        </w:rPr>
        <w:t>for</w:t>
      </w:r>
      <w:r>
        <w:rPr>
          <w:spacing w:val="-2"/>
          <w:sz w:val="24"/>
        </w:rPr>
        <w:t> Subrecipients</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Title</w:t>
      </w:r>
      <w:r>
        <w:rPr>
          <w:spacing w:val="-2"/>
          <w:sz w:val="24"/>
        </w:rPr>
        <w:t> </w:t>
      </w:r>
      <w:r>
        <w:rPr>
          <w:sz w:val="24"/>
        </w:rPr>
        <w:t>VI</w:t>
      </w:r>
      <w:r>
        <w:rPr>
          <w:spacing w:val="-1"/>
          <w:sz w:val="24"/>
        </w:rPr>
        <w:t> </w:t>
      </w:r>
      <w:r>
        <w:rPr>
          <w:sz w:val="24"/>
        </w:rPr>
        <w:t>Brochure</w:t>
      </w:r>
      <w:r>
        <w:rPr>
          <w:spacing w:val="-2"/>
          <w:sz w:val="24"/>
        </w:rPr>
        <w:t> </w:t>
      </w:r>
      <w:r>
        <w:rPr>
          <w:sz w:val="24"/>
        </w:rPr>
        <w:t>– Know</w:t>
      </w:r>
      <w:r>
        <w:rPr>
          <w:spacing w:val="-2"/>
          <w:sz w:val="24"/>
        </w:rPr>
        <w:t> </w:t>
      </w:r>
      <w:r>
        <w:rPr>
          <w:sz w:val="24"/>
        </w:rPr>
        <w:t>Your </w:t>
      </w:r>
      <w:r>
        <w:rPr>
          <w:spacing w:val="-2"/>
          <w:sz w:val="24"/>
        </w:rPr>
        <w:t>Rights</w:t>
      </w:r>
    </w:p>
    <w:p>
      <w:pPr>
        <w:pStyle w:val="ListParagraph"/>
        <w:numPr>
          <w:ilvl w:val="1"/>
          <w:numId w:val="7"/>
        </w:numPr>
        <w:tabs>
          <w:tab w:pos="1559" w:val="left" w:leader="none"/>
        </w:tabs>
        <w:spacing w:line="305" w:lineRule="exact" w:before="2" w:after="0"/>
        <w:ind w:left="1559" w:right="0" w:hanging="359"/>
        <w:jc w:val="left"/>
        <w:rPr>
          <w:rFonts w:ascii="Symbol" w:hAnsi="Symbol"/>
          <w:sz w:val="24"/>
        </w:rPr>
      </w:pPr>
      <w:r>
        <w:rPr>
          <w:sz w:val="24"/>
        </w:rPr>
        <w:t>Nondiscrimination/Title</w:t>
      </w:r>
      <w:r>
        <w:rPr>
          <w:spacing w:val="-5"/>
          <w:sz w:val="24"/>
        </w:rPr>
        <w:t> </w:t>
      </w:r>
      <w:r>
        <w:rPr>
          <w:sz w:val="24"/>
        </w:rPr>
        <w:t>VI</w:t>
      </w:r>
      <w:r>
        <w:rPr>
          <w:spacing w:val="-3"/>
          <w:sz w:val="24"/>
        </w:rPr>
        <w:t> </w:t>
      </w:r>
      <w:r>
        <w:rPr>
          <w:spacing w:val="-2"/>
          <w:sz w:val="24"/>
        </w:rPr>
        <w:t>Poster</w:t>
      </w:r>
    </w:p>
    <w:p>
      <w:pPr>
        <w:pStyle w:val="ListParagraph"/>
        <w:numPr>
          <w:ilvl w:val="1"/>
          <w:numId w:val="7"/>
        </w:numPr>
        <w:tabs>
          <w:tab w:pos="1559" w:val="left" w:leader="none"/>
        </w:tabs>
        <w:spacing w:line="305" w:lineRule="exact" w:before="0" w:after="0"/>
        <w:ind w:left="1559" w:right="0" w:hanging="359"/>
        <w:jc w:val="left"/>
        <w:rPr>
          <w:rFonts w:ascii="Symbol" w:hAnsi="Symbol"/>
          <w:sz w:val="24"/>
        </w:rPr>
      </w:pPr>
      <w:r>
        <w:rPr>
          <w:sz w:val="24"/>
        </w:rPr>
        <w:t>Minority</w:t>
      </w:r>
      <w:r>
        <w:rPr>
          <w:spacing w:val="-1"/>
          <w:sz w:val="24"/>
        </w:rPr>
        <w:t> </w:t>
      </w:r>
      <w:r>
        <w:rPr>
          <w:sz w:val="24"/>
        </w:rPr>
        <w:t>Populations</w:t>
      </w:r>
      <w:r>
        <w:rPr>
          <w:spacing w:val="-3"/>
          <w:sz w:val="24"/>
        </w:rPr>
        <w:t> </w:t>
      </w:r>
      <w:r>
        <w:rPr>
          <w:sz w:val="24"/>
        </w:rPr>
        <w:t>by</w:t>
      </w:r>
      <w:r>
        <w:rPr>
          <w:spacing w:val="-4"/>
          <w:sz w:val="24"/>
        </w:rPr>
        <w:t> </w:t>
      </w:r>
      <w:r>
        <w:rPr>
          <w:sz w:val="24"/>
        </w:rPr>
        <w:t>County</w:t>
      </w:r>
      <w:r>
        <w:rPr>
          <w:spacing w:val="-3"/>
          <w:sz w:val="24"/>
        </w:rPr>
        <w:t> </w:t>
      </w:r>
      <w:r>
        <w:rPr>
          <w:sz w:val="24"/>
        </w:rPr>
        <w:t>–</w:t>
      </w:r>
      <w:r>
        <w:rPr>
          <w:spacing w:val="-1"/>
          <w:sz w:val="24"/>
        </w:rPr>
        <w:t> </w:t>
      </w:r>
      <w:r>
        <w:rPr>
          <w:sz w:val="24"/>
        </w:rPr>
        <w:t>charts</w:t>
      </w:r>
      <w:r>
        <w:rPr>
          <w:spacing w:val="-1"/>
          <w:sz w:val="24"/>
        </w:rPr>
        <w:t> </w:t>
      </w:r>
      <w:r>
        <w:rPr>
          <w:sz w:val="24"/>
        </w:rPr>
        <w:t>and</w:t>
      </w:r>
      <w:r>
        <w:rPr>
          <w:spacing w:val="-1"/>
          <w:sz w:val="24"/>
        </w:rPr>
        <w:t> </w:t>
      </w:r>
      <w:r>
        <w:rPr>
          <w:spacing w:val="-4"/>
          <w:sz w:val="24"/>
        </w:rPr>
        <w:t>maps</w:t>
      </w:r>
    </w:p>
    <w:p>
      <w:pPr>
        <w:pStyle w:val="Heading9"/>
        <w:numPr>
          <w:ilvl w:val="0"/>
          <w:numId w:val="10"/>
        </w:numPr>
        <w:tabs>
          <w:tab w:pos="1198" w:val="left" w:leader="none"/>
        </w:tabs>
        <w:spacing w:line="240" w:lineRule="auto" w:before="242" w:after="0"/>
        <w:ind w:left="1198" w:right="0" w:hanging="358"/>
        <w:jc w:val="left"/>
      </w:pPr>
      <w:bookmarkStart w:name="3. Public Participation Plan" w:id="18"/>
      <w:bookmarkEnd w:id="18"/>
      <w:r>
        <w:rPr>
          <w:b w:val="0"/>
        </w:rPr>
      </w:r>
      <w:bookmarkStart w:name="_bookmark8" w:id="19"/>
      <w:bookmarkEnd w:id="19"/>
      <w:r>
        <w:rPr>
          <w:b w:val="0"/>
        </w:rPr>
      </w:r>
      <w:r>
        <w:rPr>
          <w:u w:val="single"/>
        </w:rPr>
        <w:t>Public</w:t>
      </w:r>
      <w:r>
        <w:rPr>
          <w:spacing w:val="-6"/>
          <w:u w:val="single"/>
        </w:rPr>
        <w:t> </w:t>
      </w:r>
      <w:r>
        <w:rPr>
          <w:u w:val="single"/>
        </w:rPr>
        <w:t>Participation</w:t>
      </w:r>
      <w:r>
        <w:rPr>
          <w:spacing w:val="-2"/>
          <w:u w:val="single"/>
        </w:rPr>
        <w:t> </w:t>
      </w:r>
      <w:r>
        <w:rPr>
          <w:spacing w:val="-4"/>
          <w:u w:val="single"/>
        </w:rPr>
        <w:t>Plan</w:t>
      </w:r>
    </w:p>
    <w:p>
      <w:pPr>
        <w:pStyle w:val="BodyText"/>
        <w:spacing w:before="7"/>
        <w:rPr>
          <w:b/>
          <w:sz w:val="18"/>
        </w:rPr>
      </w:pPr>
    </w:p>
    <w:p>
      <w:pPr>
        <w:pStyle w:val="BodyText"/>
        <w:spacing w:before="51"/>
        <w:ind w:left="840" w:right="933"/>
        <w:jc w:val="both"/>
      </w:pPr>
      <w:r>
        <w:rPr/>
        <w:t>MaineDOT strives to involve the public at all stages in the transportation decision-making process.</w:t>
      </w:r>
      <w:r>
        <w:rPr>
          <w:spacing w:val="80"/>
        </w:rPr>
        <w:t> </w:t>
      </w:r>
      <w:r>
        <w:rPr/>
        <w:t>Through an open public process, MaineDOT has developed a public participation plan to encourage and guide public involvement efforts and enhance access to MaineDOT’s </w:t>
      </w:r>
      <w:r>
        <w:rPr>
          <w:spacing w:val="-2"/>
        </w:rPr>
        <w:t>transportation</w:t>
      </w:r>
      <w:r>
        <w:rPr>
          <w:spacing w:val="-4"/>
        </w:rPr>
        <w:t> </w:t>
      </w:r>
      <w:r>
        <w:rPr>
          <w:spacing w:val="-2"/>
        </w:rPr>
        <w:t>decision-making</w:t>
      </w:r>
      <w:r>
        <w:rPr>
          <w:spacing w:val="1"/>
        </w:rPr>
        <w:t> </w:t>
      </w:r>
      <w:r>
        <w:rPr>
          <w:spacing w:val="-2"/>
        </w:rPr>
        <w:t>process</w:t>
      </w:r>
      <w:r>
        <w:rPr>
          <w:spacing w:val="-3"/>
        </w:rPr>
        <w:t> </w:t>
      </w:r>
      <w:r>
        <w:rPr>
          <w:spacing w:val="-2"/>
        </w:rPr>
        <w:t>by</w:t>
      </w:r>
      <w:r>
        <w:rPr>
          <w:spacing w:val="1"/>
        </w:rPr>
        <w:t> </w:t>
      </w:r>
      <w:r>
        <w:rPr>
          <w:spacing w:val="-2"/>
        </w:rPr>
        <w:t>minority</w:t>
      </w:r>
      <w:r>
        <w:rPr/>
        <w:t> </w:t>
      </w:r>
      <w:r>
        <w:rPr>
          <w:spacing w:val="-2"/>
        </w:rPr>
        <w:t>and</w:t>
      </w:r>
      <w:r>
        <w:rPr>
          <w:spacing w:val="3"/>
        </w:rPr>
        <w:t> </w:t>
      </w:r>
      <w:r>
        <w:rPr>
          <w:spacing w:val="-2"/>
        </w:rPr>
        <w:t>LEP</w:t>
      </w:r>
      <w:r>
        <w:rPr>
          <w:spacing w:val="1"/>
        </w:rPr>
        <w:t> </w:t>
      </w:r>
      <w:r>
        <w:rPr>
          <w:spacing w:val="-2"/>
        </w:rPr>
        <w:t>populations.</w:t>
      </w:r>
      <w:r>
        <w:rPr/>
        <w:t> </w:t>
      </w:r>
      <w:r>
        <w:rPr>
          <w:spacing w:val="-2"/>
        </w:rPr>
        <w:t>The</w:t>
      </w:r>
      <w:r>
        <w:rPr>
          <w:spacing w:val="-1"/>
        </w:rPr>
        <w:t> </w:t>
      </w:r>
      <w:r>
        <w:rPr>
          <w:spacing w:val="-2"/>
        </w:rPr>
        <w:t>public</w:t>
      </w:r>
      <w:r>
        <w:rPr>
          <w:spacing w:val="1"/>
        </w:rPr>
        <w:t> </w:t>
      </w:r>
      <w:r>
        <w:rPr>
          <w:spacing w:val="-2"/>
        </w:rPr>
        <w:t>participation</w:t>
      </w:r>
    </w:p>
    <w:p>
      <w:pPr>
        <w:spacing w:after="0"/>
        <w:jc w:val="both"/>
        <w:sectPr>
          <w:pgSz w:w="12240" w:h="15840"/>
          <w:pgMar w:header="0" w:footer="997" w:top="980" w:bottom="1260" w:left="600" w:right="500"/>
        </w:sectPr>
      </w:pPr>
    </w:p>
    <w:p>
      <w:pPr>
        <w:pStyle w:val="BodyText"/>
        <w:spacing w:before="35"/>
        <w:ind w:left="840" w:right="934"/>
        <w:jc w:val="both"/>
      </w:pPr>
      <w:r>
        <w:rPr/>
        <w:t>plan</w:t>
      </w:r>
      <w:r>
        <w:rPr>
          <w:spacing w:val="-10"/>
        </w:rPr>
        <w:t> </w:t>
      </w:r>
      <w:r>
        <w:rPr/>
        <w:t>describes</w:t>
      </w:r>
      <w:r>
        <w:rPr>
          <w:spacing w:val="-9"/>
        </w:rPr>
        <w:t> </w:t>
      </w:r>
      <w:r>
        <w:rPr/>
        <w:t>the</w:t>
      </w:r>
      <w:r>
        <w:rPr>
          <w:spacing w:val="-11"/>
        </w:rPr>
        <w:t> </w:t>
      </w:r>
      <w:r>
        <w:rPr/>
        <w:t>overall</w:t>
      </w:r>
      <w:r>
        <w:rPr>
          <w:spacing w:val="-9"/>
        </w:rPr>
        <w:t> </w:t>
      </w:r>
      <w:r>
        <w:rPr/>
        <w:t>goals,</w:t>
      </w:r>
      <w:r>
        <w:rPr>
          <w:spacing w:val="-8"/>
        </w:rPr>
        <w:t> </w:t>
      </w:r>
      <w:r>
        <w:rPr/>
        <w:t>guiding</w:t>
      </w:r>
      <w:r>
        <w:rPr>
          <w:spacing w:val="-11"/>
        </w:rPr>
        <w:t> </w:t>
      </w:r>
      <w:r>
        <w:rPr/>
        <w:t>principles</w:t>
      </w:r>
      <w:r>
        <w:rPr>
          <w:spacing w:val="-11"/>
        </w:rPr>
        <w:t> </w:t>
      </w:r>
      <w:r>
        <w:rPr/>
        <w:t>and</w:t>
      </w:r>
      <w:r>
        <w:rPr>
          <w:spacing w:val="-10"/>
        </w:rPr>
        <w:t> </w:t>
      </w:r>
      <w:r>
        <w:rPr/>
        <w:t>outreach</w:t>
      </w:r>
      <w:r>
        <w:rPr>
          <w:spacing w:val="-8"/>
        </w:rPr>
        <w:t> </w:t>
      </w:r>
      <w:r>
        <w:rPr/>
        <w:t>methods</w:t>
      </w:r>
      <w:r>
        <w:rPr>
          <w:spacing w:val="-11"/>
        </w:rPr>
        <w:t> </w:t>
      </w:r>
      <w:r>
        <w:rPr/>
        <w:t>that</w:t>
      </w:r>
      <w:r>
        <w:rPr>
          <w:spacing w:val="-10"/>
        </w:rPr>
        <w:t> </w:t>
      </w:r>
      <w:r>
        <w:rPr/>
        <w:t>MaineDOT</w:t>
      </w:r>
      <w:r>
        <w:rPr>
          <w:spacing w:val="-11"/>
        </w:rPr>
        <w:t> </w:t>
      </w:r>
      <w:r>
        <w:rPr/>
        <w:t>uses</w:t>
      </w:r>
      <w:r>
        <w:rPr>
          <w:spacing w:val="-11"/>
        </w:rPr>
        <w:t> </w:t>
      </w:r>
      <w:r>
        <w:rPr/>
        <w:t>to reach the public.</w:t>
      </w:r>
    </w:p>
    <w:p>
      <w:pPr>
        <w:pStyle w:val="BodyText"/>
        <w:rPr>
          <w:sz w:val="23"/>
        </w:rPr>
      </w:pPr>
    </w:p>
    <w:p>
      <w:pPr>
        <w:pStyle w:val="BodyText"/>
        <w:ind w:left="840" w:right="932"/>
        <w:jc w:val="both"/>
      </w:pPr>
      <w:r>
        <w:rPr/>
        <w:t>LEP</w:t>
      </w:r>
      <w:r>
        <w:rPr>
          <w:spacing w:val="-8"/>
        </w:rPr>
        <w:t> </w:t>
      </w:r>
      <w:r>
        <w:rPr/>
        <w:t>refers</w:t>
      </w:r>
      <w:r>
        <w:rPr>
          <w:spacing w:val="-11"/>
        </w:rPr>
        <w:t> </w:t>
      </w:r>
      <w:r>
        <w:rPr/>
        <w:t>to</w:t>
      </w:r>
      <w:r>
        <w:rPr>
          <w:spacing w:val="-11"/>
        </w:rPr>
        <w:t> </w:t>
      </w:r>
      <w:r>
        <w:rPr/>
        <w:t>persons</w:t>
      </w:r>
      <w:r>
        <w:rPr>
          <w:spacing w:val="-11"/>
        </w:rPr>
        <w:t> </w:t>
      </w:r>
      <w:r>
        <w:rPr/>
        <w:t>for</w:t>
      </w:r>
      <w:r>
        <w:rPr>
          <w:spacing w:val="-13"/>
        </w:rPr>
        <w:t> </w:t>
      </w:r>
      <w:r>
        <w:rPr/>
        <w:t>whom</w:t>
      </w:r>
      <w:r>
        <w:rPr>
          <w:spacing w:val="-11"/>
        </w:rPr>
        <w:t> </w:t>
      </w:r>
      <w:r>
        <w:rPr/>
        <w:t>English</w:t>
      </w:r>
      <w:r>
        <w:rPr>
          <w:spacing w:val="-8"/>
        </w:rPr>
        <w:t> </w:t>
      </w:r>
      <w:r>
        <w:rPr/>
        <w:t>is</w:t>
      </w:r>
      <w:r>
        <w:rPr>
          <w:spacing w:val="-11"/>
        </w:rPr>
        <w:t> </w:t>
      </w:r>
      <w:r>
        <w:rPr/>
        <w:t>not</w:t>
      </w:r>
      <w:r>
        <w:rPr>
          <w:spacing w:val="-10"/>
        </w:rPr>
        <w:t> </w:t>
      </w:r>
      <w:r>
        <w:rPr/>
        <w:t>their</w:t>
      </w:r>
      <w:r>
        <w:rPr>
          <w:spacing w:val="-11"/>
        </w:rPr>
        <w:t> </w:t>
      </w:r>
      <w:r>
        <w:rPr/>
        <w:t>primary</w:t>
      </w:r>
      <w:r>
        <w:rPr>
          <w:spacing w:val="-12"/>
        </w:rPr>
        <w:t> </w:t>
      </w:r>
      <w:r>
        <w:rPr/>
        <w:t>language</w:t>
      </w:r>
      <w:r>
        <w:rPr>
          <w:spacing w:val="-8"/>
        </w:rPr>
        <w:t> </w:t>
      </w:r>
      <w:r>
        <w:rPr/>
        <w:t>and</w:t>
      </w:r>
      <w:r>
        <w:rPr>
          <w:spacing w:val="-10"/>
        </w:rPr>
        <w:t> </w:t>
      </w:r>
      <w:r>
        <w:rPr/>
        <w:t>who</w:t>
      </w:r>
      <w:r>
        <w:rPr>
          <w:spacing w:val="-11"/>
        </w:rPr>
        <w:t> </w:t>
      </w:r>
      <w:r>
        <w:rPr/>
        <w:t>have</w:t>
      </w:r>
      <w:r>
        <w:rPr>
          <w:spacing w:val="-8"/>
        </w:rPr>
        <w:t> </w:t>
      </w:r>
      <w:r>
        <w:rPr/>
        <w:t>limited</w:t>
      </w:r>
      <w:r>
        <w:rPr>
          <w:spacing w:val="-8"/>
        </w:rPr>
        <w:t> </w:t>
      </w:r>
      <w:r>
        <w:rPr/>
        <w:t>ability to read, write, speak, or understand English.</w:t>
      </w:r>
      <w:r>
        <w:rPr>
          <w:spacing w:val="40"/>
        </w:rPr>
        <w:t> </w:t>
      </w:r>
      <w:r>
        <w:rPr/>
        <w:t>It includes people who reported to the US Census American Community Survey that they speak English less than very well.</w:t>
      </w:r>
    </w:p>
    <w:p>
      <w:pPr>
        <w:pStyle w:val="BodyText"/>
        <w:spacing w:before="215"/>
        <w:ind w:left="840" w:right="936"/>
        <w:jc w:val="both"/>
      </w:pPr>
      <w:r>
        <w:rPr/>
        <w:t>Outreach efforts are made to reach out to minority populations through public notices in the local</w:t>
      </w:r>
      <w:r>
        <w:rPr>
          <w:spacing w:val="-10"/>
        </w:rPr>
        <w:t> </w:t>
      </w:r>
      <w:r>
        <w:rPr/>
        <w:t>newspapers,</w:t>
      </w:r>
      <w:r>
        <w:rPr>
          <w:spacing w:val="-12"/>
        </w:rPr>
        <w:t> </w:t>
      </w:r>
      <w:r>
        <w:rPr/>
        <w:t>direct</w:t>
      </w:r>
      <w:r>
        <w:rPr>
          <w:spacing w:val="-13"/>
        </w:rPr>
        <w:t> </w:t>
      </w:r>
      <w:r>
        <w:rPr/>
        <w:t>mailings</w:t>
      </w:r>
      <w:r>
        <w:rPr>
          <w:spacing w:val="-10"/>
        </w:rPr>
        <w:t> </w:t>
      </w:r>
      <w:r>
        <w:rPr/>
        <w:t>and</w:t>
      </w:r>
      <w:r>
        <w:rPr>
          <w:spacing w:val="-11"/>
        </w:rPr>
        <w:t> </w:t>
      </w:r>
      <w:r>
        <w:rPr/>
        <w:t>information</w:t>
      </w:r>
      <w:r>
        <w:rPr>
          <w:spacing w:val="-11"/>
        </w:rPr>
        <w:t> </w:t>
      </w:r>
      <w:r>
        <w:rPr/>
        <w:t>placed</w:t>
      </w:r>
      <w:r>
        <w:rPr>
          <w:spacing w:val="-11"/>
        </w:rPr>
        <w:t> </w:t>
      </w:r>
      <w:r>
        <w:rPr/>
        <w:t>on</w:t>
      </w:r>
      <w:r>
        <w:rPr>
          <w:spacing w:val="-11"/>
        </w:rPr>
        <w:t> </w:t>
      </w:r>
      <w:r>
        <w:rPr/>
        <w:t>state</w:t>
      </w:r>
      <w:r>
        <w:rPr>
          <w:spacing w:val="-12"/>
        </w:rPr>
        <w:t> </w:t>
      </w:r>
      <w:r>
        <w:rPr/>
        <w:t>and</w:t>
      </w:r>
      <w:r>
        <w:rPr>
          <w:spacing w:val="-11"/>
        </w:rPr>
        <w:t> </w:t>
      </w:r>
      <w:r>
        <w:rPr/>
        <w:t>local</w:t>
      </w:r>
      <w:r>
        <w:rPr>
          <w:spacing w:val="-12"/>
        </w:rPr>
        <w:t> </w:t>
      </w:r>
      <w:r>
        <w:rPr/>
        <w:t>websites.</w:t>
      </w:r>
      <w:r>
        <w:rPr>
          <w:spacing w:val="33"/>
        </w:rPr>
        <w:t> </w:t>
      </w:r>
      <w:r>
        <w:rPr/>
        <w:t>MaineDOT also</w:t>
      </w:r>
      <w:r>
        <w:rPr>
          <w:spacing w:val="-14"/>
        </w:rPr>
        <w:t> </w:t>
      </w:r>
      <w:r>
        <w:rPr/>
        <w:t>seeks</w:t>
      </w:r>
      <w:r>
        <w:rPr>
          <w:spacing w:val="-14"/>
        </w:rPr>
        <w:t> </w:t>
      </w:r>
      <w:r>
        <w:rPr/>
        <w:t>assistance</w:t>
      </w:r>
      <w:r>
        <w:rPr>
          <w:spacing w:val="-13"/>
        </w:rPr>
        <w:t> </w:t>
      </w:r>
      <w:r>
        <w:rPr/>
        <w:t>for</w:t>
      </w:r>
      <w:r>
        <w:rPr>
          <w:spacing w:val="-14"/>
        </w:rPr>
        <w:t> </w:t>
      </w:r>
      <w:r>
        <w:rPr/>
        <w:t>participation</w:t>
      </w:r>
      <w:r>
        <w:rPr>
          <w:spacing w:val="-13"/>
        </w:rPr>
        <w:t> </w:t>
      </w:r>
      <w:r>
        <w:rPr/>
        <w:t>through</w:t>
      </w:r>
      <w:r>
        <w:rPr>
          <w:spacing w:val="-14"/>
        </w:rPr>
        <w:t> </w:t>
      </w:r>
      <w:r>
        <w:rPr/>
        <w:t>its</w:t>
      </w:r>
      <w:r>
        <w:rPr>
          <w:spacing w:val="-13"/>
        </w:rPr>
        <w:t> </w:t>
      </w:r>
      <w:r>
        <w:rPr/>
        <w:t>subrecipients</w:t>
      </w:r>
      <w:r>
        <w:rPr>
          <w:spacing w:val="-14"/>
        </w:rPr>
        <w:t> </w:t>
      </w:r>
      <w:r>
        <w:rPr/>
        <w:t>and</w:t>
      </w:r>
      <w:r>
        <w:rPr>
          <w:spacing w:val="-14"/>
        </w:rPr>
        <w:t> </w:t>
      </w:r>
      <w:r>
        <w:rPr/>
        <w:t>accesses</w:t>
      </w:r>
      <w:r>
        <w:rPr>
          <w:spacing w:val="-12"/>
        </w:rPr>
        <w:t> </w:t>
      </w:r>
      <w:r>
        <w:rPr/>
        <w:t>cultural</w:t>
      </w:r>
      <w:r>
        <w:rPr>
          <w:spacing w:val="-14"/>
        </w:rPr>
        <w:t> </w:t>
      </w:r>
      <w:r>
        <w:rPr/>
        <w:t>information from statewide groups.</w:t>
      </w:r>
    </w:p>
    <w:p>
      <w:pPr>
        <w:pStyle w:val="BodyText"/>
        <w:spacing w:before="8"/>
        <w:rPr>
          <w:sz w:val="17"/>
        </w:rPr>
      </w:pPr>
    </w:p>
    <w:p>
      <w:pPr>
        <w:pStyle w:val="BodyText"/>
        <w:ind w:left="840" w:right="935"/>
        <w:jc w:val="both"/>
      </w:pPr>
      <w:r>
        <w:rPr/>
        <w:t>For example, MaineDOT regularly uses the following Minority Outreach Contact List to target outreach to Minority, LEP and otherwise underrepresented populations, like the disabled, for </w:t>
      </w:r>
      <w:r>
        <w:rPr>
          <w:spacing w:val="-2"/>
        </w:rPr>
        <w:t>example:</w:t>
      </w:r>
    </w:p>
    <w:p>
      <w:pPr>
        <w:pStyle w:val="BodyText"/>
        <w:spacing w:before="10"/>
        <w:rPr>
          <w:sz w:val="17"/>
        </w:rPr>
      </w:pPr>
    </w:p>
    <w:p>
      <w:pPr>
        <w:pStyle w:val="Heading9"/>
        <w:spacing w:before="1"/>
        <w:ind w:left="840"/>
        <w:jc w:val="both"/>
      </w:pPr>
      <w:r>
        <w:rPr/>
        <w:t>MaineDOT</w:t>
      </w:r>
      <w:r>
        <w:rPr>
          <w:spacing w:val="-3"/>
        </w:rPr>
        <w:t> </w:t>
      </w:r>
      <w:r>
        <w:rPr/>
        <w:t>Minority</w:t>
      </w:r>
      <w:r>
        <w:rPr>
          <w:spacing w:val="-3"/>
        </w:rPr>
        <w:t> </w:t>
      </w:r>
      <w:r>
        <w:rPr/>
        <w:t>Outreach</w:t>
      </w:r>
      <w:r>
        <w:rPr>
          <w:spacing w:val="-3"/>
        </w:rPr>
        <w:t> </w:t>
      </w:r>
      <w:r>
        <w:rPr/>
        <w:t>Contact</w:t>
      </w:r>
      <w:r>
        <w:rPr>
          <w:spacing w:val="-3"/>
        </w:rPr>
        <w:t> </w:t>
      </w:r>
      <w:r>
        <w:rPr>
          <w:spacing w:val="-4"/>
        </w:rPr>
        <w:t>List</w:t>
      </w:r>
    </w:p>
    <w:p>
      <w:pPr>
        <w:pStyle w:val="BodyText"/>
        <w:spacing w:before="8"/>
        <w:rPr>
          <w:b/>
          <w:sz w:val="17"/>
        </w:rPr>
      </w:pPr>
    </w:p>
    <w:tbl>
      <w:tblPr>
        <w:tblW w:w="0" w:type="auto"/>
        <w:jc w:val="left"/>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66"/>
        <w:gridCol w:w="4588"/>
      </w:tblGrid>
      <w:tr>
        <w:trPr>
          <w:trHeight w:val="8346" w:hRule="atLeast"/>
        </w:trPr>
        <w:tc>
          <w:tcPr>
            <w:tcW w:w="4766" w:type="dxa"/>
          </w:tcPr>
          <w:p>
            <w:pPr>
              <w:pStyle w:val="TableParagraph"/>
              <w:spacing w:line="240" w:lineRule="auto" w:before="7"/>
              <w:rPr>
                <w:rFonts w:ascii="Calibri"/>
                <w:b/>
                <w:sz w:val="20"/>
              </w:rPr>
            </w:pPr>
          </w:p>
          <w:p>
            <w:pPr>
              <w:pStyle w:val="TableParagraph"/>
              <w:spacing w:line="240" w:lineRule="auto"/>
              <w:ind w:left="107"/>
              <w:rPr>
                <w:rFonts w:ascii="Arial"/>
                <w:b/>
                <w:sz w:val="22"/>
              </w:rPr>
            </w:pPr>
            <w:r>
              <w:rPr>
                <w:rFonts w:ascii="Arial"/>
                <w:b/>
                <w:spacing w:val="-2"/>
                <w:sz w:val="22"/>
              </w:rPr>
              <w:t>Cambodia</w:t>
            </w:r>
          </w:p>
          <w:p>
            <w:pPr>
              <w:pStyle w:val="TableParagraph"/>
              <w:spacing w:line="252" w:lineRule="exact" w:before="2"/>
              <w:ind w:left="107"/>
              <w:rPr>
                <w:rFonts w:ascii="Arial"/>
                <w:sz w:val="22"/>
              </w:rPr>
            </w:pPr>
            <w:r>
              <w:rPr>
                <w:rFonts w:ascii="Arial"/>
                <w:sz w:val="22"/>
              </w:rPr>
              <w:t>35</w:t>
            </w:r>
            <w:r>
              <w:rPr>
                <w:rFonts w:ascii="Arial"/>
                <w:spacing w:val="-2"/>
                <w:sz w:val="22"/>
              </w:rPr>
              <w:t> </w:t>
            </w:r>
            <w:r>
              <w:rPr>
                <w:rFonts w:ascii="Arial"/>
                <w:sz w:val="22"/>
              </w:rPr>
              <w:t>Oxford</w:t>
            </w:r>
            <w:r>
              <w:rPr>
                <w:rFonts w:ascii="Arial"/>
                <w:spacing w:val="-3"/>
                <w:sz w:val="22"/>
              </w:rPr>
              <w:t> </w:t>
            </w:r>
            <w:r>
              <w:rPr>
                <w:rFonts w:ascii="Arial"/>
                <w:spacing w:val="-5"/>
                <w:sz w:val="22"/>
              </w:rPr>
              <w:t>St.</w:t>
            </w:r>
          </w:p>
          <w:p>
            <w:pPr>
              <w:pStyle w:val="TableParagraph"/>
              <w:spacing w:line="240" w:lineRule="auto"/>
              <w:ind w:left="107" w:right="2222"/>
              <w:rPr>
                <w:rFonts w:ascii="Arial"/>
                <w:sz w:val="22"/>
              </w:rPr>
            </w:pPr>
            <w:r>
              <w:rPr>
                <w:rFonts w:ascii="Arial"/>
                <w:sz w:val="22"/>
              </w:rPr>
              <w:t>Portland ME 04101 Contact:</w:t>
            </w:r>
            <w:r>
              <w:rPr>
                <w:rFonts w:ascii="Arial"/>
                <w:spacing w:val="37"/>
                <w:sz w:val="22"/>
              </w:rPr>
              <w:t> </w:t>
            </w:r>
            <w:r>
              <w:rPr>
                <w:rFonts w:ascii="Arial"/>
                <w:sz w:val="22"/>
              </w:rPr>
              <w:t>Sokhany</w:t>
            </w:r>
            <w:r>
              <w:rPr>
                <w:rFonts w:ascii="Arial"/>
                <w:spacing w:val="-12"/>
                <w:sz w:val="22"/>
              </w:rPr>
              <w:t> </w:t>
            </w:r>
            <w:r>
              <w:rPr>
                <w:rFonts w:ascii="Arial"/>
                <w:sz w:val="22"/>
              </w:rPr>
              <w:t>Sieng </w:t>
            </w:r>
            <w:r>
              <w:rPr>
                <w:rFonts w:ascii="Arial"/>
                <w:spacing w:val="-2"/>
                <w:sz w:val="22"/>
              </w:rPr>
              <w:t>775-5073</w:t>
            </w:r>
          </w:p>
          <w:p>
            <w:pPr>
              <w:pStyle w:val="TableParagraph"/>
              <w:spacing w:line="240" w:lineRule="auto" w:before="9"/>
              <w:rPr>
                <w:rFonts w:ascii="Calibri"/>
                <w:b/>
                <w:sz w:val="20"/>
              </w:rPr>
            </w:pPr>
          </w:p>
          <w:p>
            <w:pPr>
              <w:pStyle w:val="TableParagraph"/>
              <w:spacing w:line="240" w:lineRule="auto"/>
              <w:ind w:left="107" w:right="1583"/>
              <w:rPr>
                <w:rFonts w:ascii="Arial"/>
                <w:sz w:val="22"/>
              </w:rPr>
            </w:pPr>
            <w:r>
              <w:rPr>
                <w:rFonts w:ascii="Arial"/>
                <w:b/>
                <w:sz w:val="22"/>
              </w:rPr>
              <w:t>Maine Khmer Council Portland</w:t>
            </w:r>
            <w:r>
              <w:rPr>
                <w:rFonts w:ascii="Arial"/>
                <w:b/>
                <w:spacing w:val="-16"/>
                <w:sz w:val="22"/>
              </w:rPr>
              <w:t> </w:t>
            </w:r>
            <w:r>
              <w:rPr>
                <w:rFonts w:ascii="Arial"/>
                <w:b/>
                <w:sz w:val="22"/>
              </w:rPr>
              <w:t>Housing</w:t>
            </w:r>
            <w:r>
              <w:rPr>
                <w:rFonts w:ascii="Arial"/>
                <w:b/>
                <w:spacing w:val="-15"/>
                <w:sz w:val="22"/>
              </w:rPr>
              <w:t> </w:t>
            </w:r>
            <w:r>
              <w:rPr>
                <w:rFonts w:ascii="Arial"/>
                <w:b/>
                <w:sz w:val="22"/>
              </w:rPr>
              <w:t>Authority </w:t>
            </w:r>
            <w:r>
              <w:rPr>
                <w:rFonts w:ascii="Arial"/>
                <w:sz w:val="22"/>
              </w:rPr>
              <w:t>14 Baxter Blve.</w:t>
            </w:r>
          </w:p>
          <w:p>
            <w:pPr>
              <w:pStyle w:val="TableParagraph"/>
              <w:spacing w:line="252" w:lineRule="exact"/>
              <w:ind w:left="107"/>
              <w:rPr>
                <w:rFonts w:ascii="Arial"/>
                <w:sz w:val="22"/>
              </w:rPr>
            </w:pPr>
            <w:r>
              <w:rPr>
                <w:rFonts w:ascii="Arial"/>
                <w:sz w:val="22"/>
              </w:rPr>
              <w:t>Portland</w:t>
            </w:r>
            <w:r>
              <w:rPr>
                <w:rFonts w:ascii="Arial"/>
                <w:spacing w:val="-5"/>
                <w:sz w:val="22"/>
              </w:rPr>
              <w:t> </w:t>
            </w:r>
            <w:r>
              <w:rPr>
                <w:rFonts w:ascii="Arial"/>
                <w:sz w:val="22"/>
              </w:rPr>
              <w:t>ME</w:t>
            </w:r>
            <w:r>
              <w:rPr>
                <w:rFonts w:ascii="Arial"/>
                <w:spacing w:val="-2"/>
                <w:sz w:val="22"/>
              </w:rPr>
              <w:t> 04101</w:t>
            </w:r>
          </w:p>
          <w:p>
            <w:pPr>
              <w:pStyle w:val="TableParagraph"/>
              <w:spacing w:line="240" w:lineRule="auto"/>
              <w:ind w:left="107" w:right="1319"/>
              <w:rPr>
                <w:rFonts w:ascii="Arial"/>
                <w:sz w:val="22"/>
              </w:rPr>
            </w:pPr>
            <w:r>
              <w:rPr>
                <w:rFonts w:ascii="Arial"/>
                <w:sz w:val="22"/>
              </w:rPr>
              <w:t>Contact:</w:t>
            </w:r>
            <w:r>
              <w:rPr>
                <w:rFonts w:ascii="Arial"/>
                <w:spacing w:val="40"/>
                <w:sz w:val="22"/>
              </w:rPr>
              <w:t> </w:t>
            </w:r>
            <w:r>
              <w:rPr>
                <w:rFonts w:ascii="Arial"/>
                <w:sz w:val="22"/>
              </w:rPr>
              <w:t>Shawna</w:t>
            </w:r>
            <w:r>
              <w:rPr>
                <w:rFonts w:ascii="Arial"/>
                <w:spacing w:val="-11"/>
                <w:sz w:val="22"/>
              </w:rPr>
              <w:t> </w:t>
            </w:r>
            <w:r>
              <w:rPr>
                <w:rFonts w:ascii="Arial"/>
                <w:sz w:val="22"/>
              </w:rPr>
              <w:t>Ohm,</w:t>
            </w:r>
            <w:r>
              <w:rPr>
                <w:rFonts w:ascii="Arial"/>
                <w:spacing w:val="-10"/>
                <w:sz w:val="22"/>
              </w:rPr>
              <w:t> </w:t>
            </w:r>
            <w:r>
              <w:rPr>
                <w:rFonts w:ascii="Arial"/>
                <w:sz w:val="22"/>
              </w:rPr>
              <w:t>President 773-4753 Ext. 267</w:t>
            </w:r>
          </w:p>
          <w:p>
            <w:pPr>
              <w:pStyle w:val="TableParagraph"/>
              <w:spacing w:line="240" w:lineRule="auto" w:before="7"/>
              <w:rPr>
                <w:rFonts w:ascii="Calibri"/>
                <w:b/>
                <w:sz w:val="20"/>
              </w:rPr>
            </w:pPr>
          </w:p>
          <w:p>
            <w:pPr>
              <w:pStyle w:val="TableParagraph"/>
              <w:spacing w:line="240" w:lineRule="auto"/>
              <w:ind w:left="107" w:right="1503"/>
              <w:rPr>
                <w:rFonts w:ascii="Arial"/>
                <w:sz w:val="22"/>
              </w:rPr>
            </w:pPr>
            <w:r>
              <w:rPr>
                <w:rFonts w:ascii="Arial"/>
                <w:b/>
                <w:sz w:val="22"/>
              </w:rPr>
              <w:t>Asian American Heritage Research Foundation Portland</w:t>
            </w:r>
            <w:r>
              <w:rPr>
                <w:rFonts w:ascii="Arial"/>
                <w:b/>
                <w:spacing w:val="-16"/>
                <w:sz w:val="22"/>
              </w:rPr>
              <w:t> </w:t>
            </w:r>
            <w:r>
              <w:rPr>
                <w:rFonts w:ascii="Arial"/>
                <w:b/>
                <w:sz w:val="22"/>
              </w:rPr>
              <w:t>Multilingual</w:t>
            </w:r>
            <w:r>
              <w:rPr>
                <w:rFonts w:ascii="Arial"/>
                <w:b/>
                <w:spacing w:val="-15"/>
                <w:sz w:val="22"/>
              </w:rPr>
              <w:t> </w:t>
            </w:r>
            <w:r>
              <w:rPr>
                <w:rFonts w:ascii="Arial"/>
                <w:b/>
                <w:sz w:val="22"/>
              </w:rPr>
              <w:t>Program </w:t>
            </w:r>
            <w:r>
              <w:rPr>
                <w:rFonts w:ascii="Arial"/>
                <w:sz w:val="22"/>
              </w:rPr>
              <w:t>83 Sherman St.</w:t>
            </w:r>
          </w:p>
          <w:p>
            <w:pPr>
              <w:pStyle w:val="TableParagraph"/>
              <w:spacing w:line="240" w:lineRule="auto" w:before="1"/>
              <w:ind w:left="107" w:right="2018"/>
              <w:rPr>
                <w:rFonts w:ascii="Arial"/>
                <w:sz w:val="22"/>
              </w:rPr>
            </w:pPr>
            <w:r>
              <w:rPr>
                <w:rFonts w:ascii="Arial"/>
                <w:sz w:val="22"/>
              </w:rPr>
              <w:t>Portland ME 04101 Contact:</w:t>
            </w:r>
            <w:r>
              <w:rPr>
                <w:rFonts w:ascii="Arial"/>
                <w:spacing w:val="-16"/>
                <w:sz w:val="22"/>
              </w:rPr>
              <w:t> </w:t>
            </w:r>
            <w:r>
              <w:rPr>
                <w:rFonts w:ascii="Arial"/>
                <w:sz w:val="22"/>
              </w:rPr>
              <w:t>Grace</w:t>
            </w:r>
            <w:r>
              <w:rPr>
                <w:rFonts w:ascii="Arial"/>
                <w:spacing w:val="-15"/>
                <w:sz w:val="22"/>
              </w:rPr>
              <w:t> </w:t>
            </w:r>
            <w:r>
              <w:rPr>
                <w:rFonts w:ascii="Arial"/>
                <w:sz w:val="22"/>
              </w:rPr>
              <w:t>Valenzuela </w:t>
            </w:r>
            <w:r>
              <w:rPr>
                <w:rFonts w:ascii="Arial"/>
                <w:spacing w:val="-2"/>
                <w:sz w:val="22"/>
              </w:rPr>
              <w:t>874-8135</w:t>
            </w:r>
          </w:p>
          <w:p>
            <w:pPr>
              <w:pStyle w:val="TableParagraph"/>
              <w:spacing w:line="252" w:lineRule="exact"/>
              <w:ind w:left="107"/>
              <w:rPr>
                <w:rFonts w:ascii="Arial"/>
                <w:sz w:val="22"/>
              </w:rPr>
            </w:pPr>
            <w:r>
              <w:rPr>
                <w:rFonts w:ascii="Arial"/>
                <w:sz w:val="22"/>
              </w:rPr>
              <w:t>email:</w:t>
            </w:r>
            <w:r>
              <w:rPr>
                <w:rFonts w:ascii="Arial"/>
                <w:spacing w:val="-4"/>
                <w:sz w:val="22"/>
              </w:rPr>
              <w:t> </w:t>
            </w:r>
            <w:hyperlink r:id="rId36">
              <w:r>
                <w:rPr>
                  <w:rFonts w:ascii="Arial"/>
                  <w:color w:val="0000FF"/>
                  <w:spacing w:val="-2"/>
                  <w:sz w:val="22"/>
                  <w:u w:val="single" w:color="0000FF"/>
                </w:rPr>
                <w:t>graceval@gwi.net</w:t>
              </w:r>
            </w:hyperlink>
          </w:p>
          <w:p>
            <w:pPr>
              <w:pStyle w:val="TableParagraph"/>
              <w:spacing w:line="240" w:lineRule="auto" w:before="10"/>
              <w:rPr>
                <w:rFonts w:ascii="Calibri"/>
                <w:b/>
                <w:sz w:val="20"/>
              </w:rPr>
            </w:pPr>
          </w:p>
          <w:p>
            <w:pPr>
              <w:pStyle w:val="TableParagraph"/>
              <w:spacing w:line="240" w:lineRule="auto"/>
              <w:ind w:left="107"/>
              <w:rPr>
                <w:rFonts w:ascii="Arial"/>
                <w:b/>
                <w:sz w:val="22"/>
              </w:rPr>
            </w:pPr>
            <w:r>
              <w:rPr>
                <w:rFonts w:ascii="Arial"/>
                <w:b/>
                <w:sz w:val="22"/>
              </w:rPr>
              <w:t>Maine</w:t>
            </w:r>
            <w:r>
              <w:rPr>
                <w:rFonts w:ascii="Arial"/>
                <w:b/>
                <w:spacing w:val="-5"/>
                <w:sz w:val="22"/>
              </w:rPr>
              <w:t> </w:t>
            </w:r>
            <w:r>
              <w:rPr>
                <w:rFonts w:ascii="Arial"/>
                <w:b/>
                <w:sz w:val="22"/>
              </w:rPr>
              <w:t>Families</w:t>
            </w:r>
            <w:r>
              <w:rPr>
                <w:rFonts w:ascii="Arial"/>
                <w:b/>
                <w:spacing w:val="-5"/>
                <w:sz w:val="22"/>
              </w:rPr>
              <w:t> </w:t>
            </w:r>
            <w:r>
              <w:rPr>
                <w:rFonts w:ascii="Arial"/>
                <w:b/>
                <w:sz w:val="22"/>
              </w:rPr>
              <w:t>with</w:t>
            </w:r>
            <w:r>
              <w:rPr>
                <w:rFonts w:ascii="Arial"/>
                <w:b/>
                <w:spacing w:val="-5"/>
                <w:sz w:val="22"/>
              </w:rPr>
              <w:t> </w:t>
            </w:r>
            <w:r>
              <w:rPr>
                <w:rFonts w:ascii="Arial"/>
                <w:b/>
                <w:sz w:val="22"/>
              </w:rPr>
              <w:t>Children</w:t>
            </w:r>
            <w:r>
              <w:rPr>
                <w:rFonts w:ascii="Arial"/>
                <w:b/>
                <w:spacing w:val="-5"/>
                <w:sz w:val="22"/>
              </w:rPr>
              <w:t> </w:t>
            </w:r>
            <w:r>
              <w:rPr>
                <w:rFonts w:ascii="Arial"/>
                <w:b/>
                <w:sz w:val="22"/>
              </w:rPr>
              <w:t>From</w:t>
            </w:r>
            <w:r>
              <w:rPr>
                <w:rFonts w:ascii="Arial"/>
                <w:b/>
                <w:spacing w:val="-3"/>
                <w:sz w:val="22"/>
              </w:rPr>
              <w:t> </w:t>
            </w:r>
            <w:r>
              <w:rPr>
                <w:rFonts w:ascii="Arial"/>
                <w:b/>
                <w:spacing w:val="-4"/>
                <w:sz w:val="22"/>
              </w:rPr>
              <w:t>Asia</w:t>
            </w:r>
          </w:p>
          <w:p>
            <w:pPr>
              <w:pStyle w:val="TableParagraph"/>
              <w:spacing w:line="252" w:lineRule="exact" w:before="2"/>
              <w:ind w:left="107"/>
              <w:rPr>
                <w:rFonts w:ascii="Arial"/>
                <w:sz w:val="22"/>
              </w:rPr>
            </w:pPr>
            <w:r>
              <w:rPr>
                <w:rFonts w:ascii="Arial"/>
                <w:sz w:val="22"/>
              </w:rPr>
              <w:t>54</w:t>
            </w:r>
            <w:r>
              <w:rPr>
                <w:rFonts w:ascii="Arial"/>
                <w:spacing w:val="-4"/>
                <w:sz w:val="22"/>
              </w:rPr>
              <w:t> </w:t>
            </w:r>
            <w:r>
              <w:rPr>
                <w:rFonts w:ascii="Arial"/>
                <w:sz w:val="22"/>
              </w:rPr>
              <w:t>Saunders</w:t>
            </w:r>
            <w:r>
              <w:rPr>
                <w:rFonts w:ascii="Arial"/>
                <w:spacing w:val="-5"/>
                <w:sz w:val="22"/>
              </w:rPr>
              <w:t> </w:t>
            </w:r>
            <w:r>
              <w:rPr>
                <w:rFonts w:ascii="Arial"/>
                <w:sz w:val="22"/>
              </w:rPr>
              <w:t>St.</w:t>
            </w:r>
            <w:r>
              <w:rPr>
                <w:rFonts w:ascii="Arial"/>
                <w:spacing w:val="-1"/>
                <w:sz w:val="22"/>
              </w:rPr>
              <w:t> </w:t>
            </w:r>
            <w:r>
              <w:rPr>
                <w:rFonts w:ascii="Arial"/>
                <w:spacing w:val="-5"/>
                <w:sz w:val="22"/>
              </w:rPr>
              <w:t>#2</w:t>
            </w:r>
          </w:p>
          <w:p>
            <w:pPr>
              <w:pStyle w:val="TableParagraph"/>
              <w:spacing w:line="252" w:lineRule="exact"/>
              <w:ind w:left="107"/>
              <w:rPr>
                <w:rFonts w:ascii="Arial"/>
                <w:sz w:val="22"/>
              </w:rPr>
            </w:pPr>
            <w:r>
              <w:rPr>
                <w:rFonts w:ascii="Arial"/>
                <w:sz w:val="22"/>
              </w:rPr>
              <w:t>Portland</w:t>
            </w:r>
            <w:r>
              <w:rPr>
                <w:rFonts w:ascii="Arial"/>
                <w:spacing w:val="-5"/>
                <w:sz w:val="22"/>
              </w:rPr>
              <w:t> </w:t>
            </w:r>
            <w:r>
              <w:rPr>
                <w:rFonts w:ascii="Arial"/>
                <w:sz w:val="22"/>
              </w:rPr>
              <w:t>ME</w:t>
            </w:r>
            <w:r>
              <w:rPr>
                <w:rFonts w:ascii="Arial"/>
                <w:spacing w:val="-2"/>
                <w:sz w:val="22"/>
              </w:rPr>
              <w:t> 04103</w:t>
            </w:r>
          </w:p>
          <w:p>
            <w:pPr>
              <w:pStyle w:val="TableParagraph"/>
              <w:spacing w:line="240" w:lineRule="auto"/>
              <w:ind w:left="107" w:right="1196"/>
              <w:rPr>
                <w:rFonts w:ascii="Arial"/>
                <w:sz w:val="22"/>
              </w:rPr>
            </w:pPr>
            <w:r>
              <w:rPr>
                <w:rFonts w:ascii="Arial"/>
                <w:sz w:val="22"/>
              </w:rPr>
              <w:t>Contact:</w:t>
            </w:r>
            <w:r>
              <w:rPr>
                <w:rFonts w:ascii="Arial"/>
                <w:spacing w:val="-11"/>
                <w:sz w:val="22"/>
              </w:rPr>
              <w:t> </w:t>
            </w:r>
            <w:r>
              <w:rPr>
                <w:rFonts w:ascii="Arial"/>
                <w:sz w:val="22"/>
              </w:rPr>
              <w:t>Christine</w:t>
            </w:r>
            <w:r>
              <w:rPr>
                <w:rFonts w:ascii="Arial"/>
                <w:spacing w:val="-12"/>
                <w:sz w:val="22"/>
              </w:rPr>
              <w:t> </w:t>
            </w:r>
            <w:r>
              <w:rPr>
                <w:rFonts w:ascii="Arial"/>
                <w:sz w:val="22"/>
              </w:rPr>
              <w:t>Kukka</w:t>
            </w:r>
            <w:r>
              <w:rPr>
                <w:rFonts w:ascii="Arial"/>
                <w:spacing w:val="-14"/>
                <w:sz w:val="22"/>
              </w:rPr>
              <w:t> </w:t>
            </w:r>
            <w:r>
              <w:rPr>
                <w:rFonts w:ascii="Arial"/>
                <w:sz w:val="22"/>
              </w:rPr>
              <w:t>(Portland) </w:t>
            </w:r>
            <w:r>
              <w:rPr>
                <w:rFonts w:ascii="Arial"/>
                <w:spacing w:val="-2"/>
                <w:sz w:val="22"/>
              </w:rPr>
              <w:t>883-1133</w:t>
            </w:r>
          </w:p>
          <w:p>
            <w:pPr>
              <w:pStyle w:val="TableParagraph"/>
              <w:spacing w:line="240" w:lineRule="auto"/>
              <w:ind w:left="107" w:right="634"/>
              <w:rPr>
                <w:rFonts w:ascii="Arial"/>
                <w:sz w:val="22"/>
              </w:rPr>
            </w:pPr>
            <w:r>
              <w:rPr>
                <w:rFonts w:ascii="Arial"/>
                <w:sz w:val="22"/>
              </w:rPr>
              <w:t>Contact:</w:t>
            </w:r>
            <w:r>
              <w:rPr>
                <w:rFonts w:ascii="Arial"/>
                <w:spacing w:val="-11"/>
                <w:sz w:val="22"/>
              </w:rPr>
              <w:t> </w:t>
            </w:r>
            <w:r>
              <w:rPr>
                <w:rFonts w:ascii="Arial"/>
                <w:sz w:val="22"/>
              </w:rPr>
              <w:t>Coleen</w:t>
            </w:r>
            <w:r>
              <w:rPr>
                <w:rFonts w:ascii="Arial"/>
                <w:spacing w:val="-14"/>
                <w:sz w:val="22"/>
              </w:rPr>
              <w:t> </w:t>
            </w:r>
            <w:r>
              <w:rPr>
                <w:rFonts w:ascii="Arial"/>
                <w:sz w:val="22"/>
              </w:rPr>
              <w:t>Quint</w:t>
            </w:r>
            <w:r>
              <w:rPr>
                <w:rFonts w:ascii="Arial"/>
                <w:spacing w:val="-13"/>
                <w:sz w:val="22"/>
              </w:rPr>
              <w:t> </w:t>
            </w:r>
            <w:r>
              <w:rPr>
                <w:rFonts w:ascii="Arial"/>
                <w:sz w:val="22"/>
              </w:rPr>
              <w:t>(Lewiston/Auburn) </w:t>
            </w:r>
            <w:r>
              <w:rPr>
                <w:rFonts w:ascii="Arial"/>
                <w:spacing w:val="-2"/>
                <w:sz w:val="22"/>
              </w:rPr>
              <w:t>784-7726</w:t>
            </w:r>
          </w:p>
          <w:p>
            <w:pPr>
              <w:pStyle w:val="TableParagraph"/>
              <w:spacing w:line="240" w:lineRule="auto"/>
              <w:rPr>
                <w:rFonts w:ascii="Calibri"/>
                <w:b/>
                <w:sz w:val="19"/>
              </w:rPr>
            </w:pPr>
          </w:p>
          <w:p>
            <w:pPr>
              <w:pStyle w:val="TableParagraph"/>
              <w:spacing w:line="250" w:lineRule="atLeast" w:before="1"/>
              <w:ind w:left="107" w:right="1196"/>
              <w:rPr>
                <w:rFonts w:ascii="Arial"/>
                <w:b/>
                <w:sz w:val="22"/>
              </w:rPr>
            </w:pPr>
            <w:r>
              <w:rPr>
                <w:rFonts w:ascii="Arial"/>
                <w:b/>
                <w:sz w:val="22"/>
              </w:rPr>
              <w:t>Office</w:t>
            </w:r>
            <w:r>
              <w:rPr>
                <w:rFonts w:ascii="Arial"/>
                <w:b/>
                <w:spacing w:val="-12"/>
                <w:sz w:val="22"/>
              </w:rPr>
              <w:t> </w:t>
            </w:r>
            <w:r>
              <w:rPr>
                <w:rFonts w:ascii="Arial"/>
                <w:b/>
                <w:sz w:val="22"/>
              </w:rPr>
              <w:t>of</w:t>
            </w:r>
            <w:r>
              <w:rPr>
                <w:rFonts w:ascii="Arial"/>
                <w:b/>
                <w:spacing w:val="-11"/>
                <w:sz w:val="22"/>
              </w:rPr>
              <w:t> </w:t>
            </w:r>
            <w:r>
              <w:rPr>
                <w:rFonts w:ascii="Arial"/>
                <w:b/>
                <w:sz w:val="22"/>
              </w:rPr>
              <w:t>Rehabilitation</w:t>
            </w:r>
            <w:r>
              <w:rPr>
                <w:rFonts w:ascii="Arial"/>
                <w:b/>
                <w:spacing w:val="-12"/>
                <w:sz w:val="22"/>
              </w:rPr>
              <w:t> </w:t>
            </w:r>
            <w:r>
              <w:rPr>
                <w:rFonts w:ascii="Arial"/>
                <w:b/>
                <w:sz w:val="22"/>
              </w:rPr>
              <w:t>Services Maine Dept. of Labor</w:t>
            </w:r>
          </w:p>
        </w:tc>
        <w:tc>
          <w:tcPr>
            <w:tcW w:w="4588" w:type="dxa"/>
          </w:tcPr>
          <w:p>
            <w:pPr>
              <w:pStyle w:val="TableParagraph"/>
              <w:spacing w:line="240" w:lineRule="auto" w:before="7"/>
              <w:rPr>
                <w:rFonts w:ascii="Calibri"/>
                <w:b/>
                <w:sz w:val="20"/>
              </w:rPr>
            </w:pPr>
          </w:p>
          <w:p>
            <w:pPr>
              <w:pStyle w:val="TableParagraph"/>
              <w:spacing w:line="240" w:lineRule="auto"/>
              <w:ind w:left="105"/>
              <w:rPr>
                <w:rFonts w:ascii="Arial"/>
                <w:b/>
                <w:sz w:val="22"/>
              </w:rPr>
            </w:pPr>
            <w:r>
              <w:rPr>
                <w:rFonts w:ascii="Arial"/>
                <w:b/>
                <w:sz w:val="22"/>
              </w:rPr>
              <w:t>Chinese</w:t>
            </w:r>
            <w:r>
              <w:rPr>
                <w:rFonts w:ascii="Arial"/>
                <w:b/>
                <w:spacing w:val="-6"/>
                <w:sz w:val="22"/>
              </w:rPr>
              <w:t> </w:t>
            </w:r>
            <w:r>
              <w:rPr>
                <w:rFonts w:ascii="Arial"/>
                <w:b/>
                <w:sz w:val="22"/>
              </w:rPr>
              <w:t>Association</w:t>
            </w:r>
            <w:r>
              <w:rPr>
                <w:rFonts w:ascii="Arial"/>
                <w:b/>
                <w:spacing w:val="-6"/>
                <w:sz w:val="22"/>
              </w:rPr>
              <w:t> </w:t>
            </w:r>
            <w:r>
              <w:rPr>
                <w:rFonts w:ascii="Arial"/>
                <w:b/>
                <w:sz w:val="22"/>
              </w:rPr>
              <w:t>of</w:t>
            </w:r>
            <w:r>
              <w:rPr>
                <w:rFonts w:ascii="Arial"/>
                <w:b/>
                <w:spacing w:val="-4"/>
                <w:sz w:val="22"/>
              </w:rPr>
              <w:t> Maine</w:t>
            </w:r>
          </w:p>
          <w:p>
            <w:pPr>
              <w:pStyle w:val="TableParagraph"/>
              <w:spacing w:line="252" w:lineRule="exact" w:before="2"/>
              <w:ind w:left="105"/>
              <w:rPr>
                <w:rFonts w:ascii="Arial"/>
                <w:sz w:val="22"/>
              </w:rPr>
            </w:pPr>
            <w:r>
              <w:rPr>
                <w:rFonts w:ascii="Arial"/>
                <w:sz w:val="22"/>
              </w:rPr>
              <w:t>104</w:t>
            </w:r>
            <w:r>
              <w:rPr>
                <w:rFonts w:ascii="Arial"/>
                <w:spacing w:val="-4"/>
                <w:sz w:val="22"/>
              </w:rPr>
              <w:t> </w:t>
            </w:r>
            <w:r>
              <w:rPr>
                <w:rFonts w:ascii="Arial"/>
                <w:sz w:val="22"/>
              </w:rPr>
              <w:t>Berkshire</w:t>
            </w:r>
            <w:r>
              <w:rPr>
                <w:rFonts w:ascii="Arial"/>
                <w:spacing w:val="-5"/>
                <w:sz w:val="22"/>
              </w:rPr>
              <w:t> Rd.</w:t>
            </w:r>
          </w:p>
          <w:p>
            <w:pPr>
              <w:pStyle w:val="TableParagraph"/>
              <w:spacing w:line="252" w:lineRule="exact"/>
              <w:ind w:left="105"/>
              <w:rPr>
                <w:rFonts w:ascii="Arial"/>
                <w:sz w:val="22"/>
              </w:rPr>
            </w:pPr>
            <w:r>
              <w:rPr>
                <w:rFonts w:ascii="Arial"/>
                <w:sz w:val="22"/>
              </w:rPr>
              <w:t>Portland</w:t>
            </w:r>
            <w:r>
              <w:rPr>
                <w:rFonts w:ascii="Arial"/>
                <w:spacing w:val="-5"/>
                <w:sz w:val="22"/>
              </w:rPr>
              <w:t> </w:t>
            </w:r>
            <w:r>
              <w:rPr>
                <w:rFonts w:ascii="Arial"/>
                <w:sz w:val="22"/>
              </w:rPr>
              <w:t>ME</w:t>
            </w:r>
            <w:r>
              <w:rPr>
                <w:rFonts w:ascii="Arial"/>
                <w:spacing w:val="-2"/>
                <w:sz w:val="22"/>
              </w:rPr>
              <w:t> 04103</w:t>
            </w:r>
          </w:p>
          <w:p>
            <w:pPr>
              <w:pStyle w:val="TableParagraph"/>
              <w:spacing w:line="240" w:lineRule="auto"/>
              <w:ind w:left="105" w:right="1205"/>
              <w:rPr>
                <w:rFonts w:ascii="Arial"/>
                <w:sz w:val="22"/>
              </w:rPr>
            </w:pPr>
            <w:r>
              <w:rPr>
                <w:rFonts w:ascii="Arial"/>
                <w:sz w:val="22"/>
              </w:rPr>
              <w:t>Contact:</w:t>
            </w:r>
            <w:r>
              <w:rPr>
                <w:rFonts w:ascii="Arial"/>
                <w:spacing w:val="-8"/>
                <w:sz w:val="22"/>
              </w:rPr>
              <w:t> </w:t>
            </w:r>
            <w:r>
              <w:rPr>
                <w:rFonts w:ascii="Arial"/>
                <w:sz w:val="22"/>
              </w:rPr>
              <w:t>Cunli</w:t>
            </w:r>
            <w:r>
              <w:rPr>
                <w:rFonts w:ascii="Arial"/>
                <w:spacing w:val="-10"/>
                <w:sz w:val="22"/>
              </w:rPr>
              <w:t> </w:t>
            </w:r>
            <w:r>
              <w:rPr>
                <w:rFonts w:ascii="Arial"/>
                <w:sz w:val="22"/>
              </w:rPr>
              <w:t>Jia,</w:t>
            </w:r>
            <w:r>
              <w:rPr>
                <w:rFonts w:ascii="Arial"/>
                <w:spacing w:val="-10"/>
                <w:sz w:val="22"/>
              </w:rPr>
              <w:t> </w:t>
            </w:r>
            <w:r>
              <w:rPr>
                <w:rFonts w:ascii="Arial"/>
                <w:sz w:val="22"/>
              </w:rPr>
              <w:t>Vice</w:t>
            </w:r>
            <w:r>
              <w:rPr>
                <w:rFonts w:ascii="Arial"/>
                <w:spacing w:val="-11"/>
                <w:sz w:val="22"/>
              </w:rPr>
              <w:t> </w:t>
            </w:r>
            <w:r>
              <w:rPr>
                <w:rFonts w:ascii="Arial"/>
                <w:sz w:val="22"/>
              </w:rPr>
              <w:t>President </w:t>
            </w:r>
            <w:r>
              <w:rPr>
                <w:rFonts w:ascii="Arial"/>
                <w:spacing w:val="-2"/>
                <w:sz w:val="22"/>
              </w:rPr>
              <w:t>775-6139</w:t>
            </w:r>
          </w:p>
          <w:p>
            <w:pPr>
              <w:pStyle w:val="TableParagraph"/>
              <w:spacing w:line="240" w:lineRule="auto" w:before="10"/>
              <w:rPr>
                <w:rFonts w:ascii="Calibri"/>
                <w:b/>
                <w:sz w:val="20"/>
              </w:rPr>
            </w:pPr>
          </w:p>
          <w:p>
            <w:pPr>
              <w:pStyle w:val="TableParagraph"/>
              <w:spacing w:line="252" w:lineRule="exact"/>
              <w:ind w:left="105"/>
              <w:rPr>
                <w:rFonts w:ascii="Arial"/>
                <w:b/>
                <w:sz w:val="22"/>
              </w:rPr>
            </w:pPr>
            <w:r>
              <w:rPr>
                <w:rFonts w:ascii="Arial"/>
                <w:b/>
                <w:sz w:val="22"/>
              </w:rPr>
              <w:t>Korean</w:t>
            </w:r>
            <w:r>
              <w:rPr>
                <w:rFonts w:ascii="Arial"/>
                <w:b/>
                <w:spacing w:val="-6"/>
                <w:sz w:val="22"/>
              </w:rPr>
              <w:t> </w:t>
            </w:r>
            <w:r>
              <w:rPr>
                <w:rFonts w:ascii="Arial"/>
                <w:b/>
                <w:sz w:val="22"/>
              </w:rPr>
              <w:t>American</w:t>
            </w:r>
            <w:r>
              <w:rPr>
                <w:rFonts w:ascii="Arial"/>
                <w:b/>
                <w:spacing w:val="-7"/>
                <w:sz w:val="22"/>
              </w:rPr>
              <w:t> </w:t>
            </w:r>
            <w:r>
              <w:rPr>
                <w:rFonts w:ascii="Arial"/>
                <w:b/>
                <w:spacing w:val="-2"/>
                <w:sz w:val="22"/>
              </w:rPr>
              <w:t>Association</w:t>
            </w:r>
          </w:p>
          <w:p>
            <w:pPr>
              <w:pStyle w:val="TableParagraph"/>
              <w:spacing w:line="252" w:lineRule="exact"/>
              <w:ind w:left="105"/>
              <w:rPr>
                <w:rFonts w:ascii="Arial"/>
                <w:sz w:val="22"/>
              </w:rPr>
            </w:pPr>
            <w:r>
              <w:rPr>
                <w:rFonts w:ascii="Arial"/>
                <w:sz w:val="22"/>
              </w:rPr>
              <w:t>626</w:t>
            </w:r>
            <w:r>
              <w:rPr>
                <w:rFonts w:ascii="Arial"/>
                <w:spacing w:val="-5"/>
                <w:sz w:val="22"/>
              </w:rPr>
              <w:t> </w:t>
            </w:r>
            <w:r>
              <w:rPr>
                <w:rFonts w:ascii="Arial"/>
                <w:sz w:val="22"/>
              </w:rPr>
              <w:t>Congress</w:t>
            </w:r>
            <w:r>
              <w:rPr>
                <w:rFonts w:ascii="Arial"/>
                <w:spacing w:val="-5"/>
                <w:sz w:val="22"/>
              </w:rPr>
              <w:t> St.</w:t>
            </w:r>
          </w:p>
          <w:p>
            <w:pPr>
              <w:pStyle w:val="TableParagraph"/>
              <w:spacing w:line="252" w:lineRule="exact"/>
              <w:ind w:left="105"/>
              <w:rPr>
                <w:rFonts w:ascii="Arial"/>
                <w:sz w:val="22"/>
              </w:rPr>
            </w:pPr>
            <w:r>
              <w:rPr>
                <w:rFonts w:ascii="Arial"/>
                <w:sz w:val="22"/>
              </w:rPr>
              <w:t>Portland</w:t>
            </w:r>
            <w:r>
              <w:rPr>
                <w:rFonts w:ascii="Arial"/>
                <w:spacing w:val="-5"/>
                <w:sz w:val="22"/>
              </w:rPr>
              <w:t> </w:t>
            </w:r>
            <w:r>
              <w:rPr>
                <w:rFonts w:ascii="Arial"/>
                <w:sz w:val="22"/>
              </w:rPr>
              <w:t>ME</w:t>
            </w:r>
            <w:r>
              <w:rPr>
                <w:rFonts w:ascii="Arial"/>
                <w:spacing w:val="-2"/>
                <w:sz w:val="22"/>
              </w:rPr>
              <w:t> 04101</w:t>
            </w:r>
          </w:p>
          <w:p>
            <w:pPr>
              <w:pStyle w:val="TableParagraph"/>
              <w:spacing w:line="240" w:lineRule="auto" w:before="1"/>
              <w:ind w:left="105" w:right="1119"/>
              <w:rPr>
                <w:rFonts w:ascii="Arial"/>
                <w:sz w:val="22"/>
              </w:rPr>
            </w:pPr>
            <w:r>
              <w:rPr>
                <w:rFonts w:ascii="Arial"/>
                <w:sz w:val="22"/>
              </w:rPr>
              <w:t>Contact:</w:t>
            </w:r>
            <w:r>
              <w:rPr>
                <w:rFonts w:ascii="Arial"/>
                <w:spacing w:val="-10"/>
                <w:sz w:val="22"/>
              </w:rPr>
              <w:t> </w:t>
            </w:r>
            <w:r>
              <w:rPr>
                <w:rFonts w:ascii="Arial"/>
                <w:sz w:val="22"/>
              </w:rPr>
              <w:t>Won</w:t>
            </w:r>
            <w:r>
              <w:rPr>
                <w:rFonts w:ascii="Arial"/>
                <w:spacing w:val="-9"/>
                <w:sz w:val="22"/>
              </w:rPr>
              <w:t> </w:t>
            </w:r>
            <w:r>
              <w:rPr>
                <w:rFonts w:ascii="Arial"/>
                <w:sz w:val="22"/>
              </w:rPr>
              <w:t>Bae</w:t>
            </w:r>
            <w:r>
              <w:rPr>
                <w:rFonts w:ascii="Arial"/>
                <w:spacing w:val="-11"/>
                <w:sz w:val="22"/>
              </w:rPr>
              <w:t> </w:t>
            </w:r>
            <w:r>
              <w:rPr>
                <w:rFonts w:ascii="Arial"/>
                <w:sz w:val="22"/>
              </w:rPr>
              <w:t>Park,</w:t>
            </w:r>
            <w:r>
              <w:rPr>
                <w:rFonts w:ascii="Arial"/>
                <w:spacing w:val="-10"/>
                <w:sz w:val="22"/>
              </w:rPr>
              <w:t> </w:t>
            </w:r>
            <w:r>
              <w:rPr>
                <w:rFonts w:ascii="Arial"/>
                <w:sz w:val="22"/>
              </w:rPr>
              <w:t>President </w:t>
            </w:r>
            <w:r>
              <w:rPr>
                <w:rFonts w:ascii="Arial"/>
                <w:spacing w:val="-2"/>
                <w:sz w:val="22"/>
              </w:rPr>
              <w:t>772-8675</w:t>
            </w:r>
          </w:p>
          <w:p>
            <w:pPr>
              <w:pStyle w:val="TableParagraph"/>
              <w:spacing w:line="240" w:lineRule="auto" w:before="8"/>
              <w:rPr>
                <w:rFonts w:ascii="Calibri"/>
                <w:b/>
                <w:sz w:val="20"/>
              </w:rPr>
            </w:pPr>
          </w:p>
          <w:p>
            <w:pPr>
              <w:pStyle w:val="TableParagraph"/>
              <w:spacing w:line="252" w:lineRule="exact"/>
              <w:ind w:left="105"/>
              <w:rPr>
                <w:rFonts w:ascii="Arial"/>
                <w:b/>
                <w:sz w:val="22"/>
              </w:rPr>
            </w:pPr>
            <w:r>
              <w:rPr>
                <w:rFonts w:ascii="Arial"/>
                <w:b/>
                <w:sz w:val="22"/>
              </w:rPr>
              <w:t>Alpha</w:t>
            </w:r>
            <w:r>
              <w:rPr>
                <w:rFonts w:ascii="Arial"/>
                <w:b/>
                <w:spacing w:val="-10"/>
                <w:sz w:val="22"/>
              </w:rPr>
              <w:t> </w:t>
            </w:r>
            <w:r>
              <w:rPr>
                <w:rFonts w:ascii="Arial"/>
                <w:b/>
                <w:sz w:val="22"/>
              </w:rPr>
              <w:t>One/Wheelchairs</w:t>
            </w:r>
            <w:r>
              <w:rPr>
                <w:rFonts w:ascii="Arial"/>
                <w:b/>
                <w:spacing w:val="-5"/>
                <w:sz w:val="22"/>
              </w:rPr>
              <w:t> </w:t>
            </w:r>
            <w:r>
              <w:rPr>
                <w:rFonts w:ascii="Arial"/>
                <w:b/>
                <w:spacing w:val="-2"/>
                <w:sz w:val="22"/>
              </w:rPr>
              <w:t>Unlimited</w:t>
            </w:r>
          </w:p>
          <w:p>
            <w:pPr>
              <w:pStyle w:val="TableParagraph"/>
              <w:spacing w:line="252" w:lineRule="exact"/>
              <w:ind w:left="105"/>
              <w:rPr>
                <w:rFonts w:ascii="Arial"/>
                <w:sz w:val="22"/>
              </w:rPr>
            </w:pPr>
            <w:r>
              <w:rPr>
                <w:rFonts w:ascii="Arial"/>
                <w:sz w:val="22"/>
              </w:rPr>
              <w:t>127</w:t>
            </w:r>
            <w:r>
              <w:rPr>
                <w:rFonts w:ascii="Arial"/>
                <w:spacing w:val="-3"/>
                <w:sz w:val="22"/>
              </w:rPr>
              <w:t> </w:t>
            </w:r>
            <w:r>
              <w:rPr>
                <w:rFonts w:ascii="Arial"/>
                <w:sz w:val="22"/>
              </w:rPr>
              <w:t>Main</w:t>
            </w:r>
            <w:r>
              <w:rPr>
                <w:rFonts w:ascii="Arial"/>
                <w:spacing w:val="-2"/>
                <w:sz w:val="22"/>
              </w:rPr>
              <w:t> Street</w:t>
            </w:r>
          </w:p>
          <w:p>
            <w:pPr>
              <w:pStyle w:val="TableParagraph"/>
              <w:spacing w:line="252" w:lineRule="exact" w:before="2"/>
              <w:ind w:left="105"/>
              <w:rPr>
                <w:rFonts w:ascii="Arial"/>
                <w:sz w:val="22"/>
              </w:rPr>
            </w:pPr>
            <w:r>
              <w:rPr>
                <w:rFonts w:ascii="Arial"/>
                <w:sz w:val="22"/>
              </w:rPr>
              <w:t>South</w:t>
            </w:r>
            <w:r>
              <w:rPr>
                <w:rFonts w:ascii="Arial"/>
                <w:spacing w:val="-4"/>
                <w:sz w:val="22"/>
              </w:rPr>
              <w:t> </w:t>
            </w:r>
            <w:r>
              <w:rPr>
                <w:rFonts w:ascii="Arial"/>
                <w:sz w:val="22"/>
              </w:rPr>
              <w:t>Portland,</w:t>
            </w:r>
            <w:r>
              <w:rPr>
                <w:rFonts w:ascii="Arial"/>
                <w:spacing w:val="-3"/>
                <w:sz w:val="22"/>
              </w:rPr>
              <w:t> </w:t>
            </w:r>
            <w:r>
              <w:rPr>
                <w:rFonts w:ascii="Arial"/>
                <w:sz w:val="22"/>
              </w:rPr>
              <w:t>ME</w:t>
            </w:r>
            <w:r>
              <w:rPr>
                <w:rFonts w:ascii="Arial"/>
                <w:spacing w:val="-5"/>
                <w:sz w:val="22"/>
              </w:rPr>
              <w:t> </w:t>
            </w:r>
            <w:r>
              <w:rPr>
                <w:rFonts w:ascii="Arial"/>
                <w:spacing w:val="-2"/>
                <w:sz w:val="22"/>
              </w:rPr>
              <w:t>04106</w:t>
            </w:r>
          </w:p>
          <w:p>
            <w:pPr>
              <w:pStyle w:val="TableParagraph"/>
              <w:spacing w:line="252" w:lineRule="exact"/>
              <w:ind w:left="105"/>
              <w:rPr>
                <w:rFonts w:ascii="Arial"/>
                <w:sz w:val="22"/>
              </w:rPr>
            </w:pPr>
            <w:r>
              <w:rPr>
                <w:rFonts w:ascii="Arial"/>
                <w:sz w:val="22"/>
              </w:rPr>
              <w:t>(207)</w:t>
            </w:r>
            <w:r>
              <w:rPr>
                <w:rFonts w:ascii="Arial"/>
                <w:spacing w:val="-6"/>
                <w:sz w:val="22"/>
              </w:rPr>
              <w:t> </w:t>
            </w:r>
            <w:r>
              <w:rPr>
                <w:rFonts w:ascii="Arial"/>
                <w:sz w:val="22"/>
              </w:rPr>
              <w:t>767-2189</w:t>
            </w:r>
            <w:r>
              <w:rPr>
                <w:rFonts w:ascii="Arial"/>
                <w:spacing w:val="-5"/>
                <w:sz w:val="22"/>
              </w:rPr>
              <w:t> </w:t>
            </w:r>
            <w:r>
              <w:rPr>
                <w:rFonts w:ascii="Arial"/>
                <w:spacing w:val="-2"/>
                <w:sz w:val="22"/>
              </w:rPr>
              <w:t>(v/tty)</w:t>
            </w:r>
          </w:p>
          <w:p>
            <w:pPr>
              <w:pStyle w:val="TableParagraph"/>
              <w:spacing w:line="252" w:lineRule="exact" w:before="1"/>
              <w:ind w:left="105"/>
              <w:rPr>
                <w:rFonts w:ascii="Arial"/>
                <w:sz w:val="22"/>
              </w:rPr>
            </w:pPr>
            <w:r>
              <w:rPr>
                <w:rFonts w:ascii="Arial"/>
                <w:sz w:val="22"/>
              </w:rPr>
              <w:t>(800)</w:t>
            </w:r>
            <w:r>
              <w:rPr>
                <w:rFonts w:ascii="Arial"/>
                <w:spacing w:val="-6"/>
                <w:sz w:val="22"/>
              </w:rPr>
              <w:t> </w:t>
            </w:r>
            <w:r>
              <w:rPr>
                <w:rFonts w:ascii="Arial"/>
                <w:sz w:val="22"/>
              </w:rPr>
              <w:t>640-7200</w:t>
            </w:r>
            <w:r>
              <w:rPr>
                <w:rFonts w:ascii="Arial"/>
                <w:spacing w:val="-5"/>
                <w:sz w:val="22"/>
              </w:rPr>
              <w:t> </w:t>
            </w:r>
            <w:r>
              <w:rPr>
                <w:rFonts w:ascii="Arial"/>
                <w:spacing w:val="-2"/>
                <w:sz w:val="22"/>
              </w:rPr>
              <w:t>(v/tty)</w:t>
            </w:r>
          </w:p>
          <w:p>
            <w:pPr>
              <w:pStyle w:val="TableParagraph"/>
              <w:spacing w:line="252" w:lineRule="exact"/>
              <w:ind w:left="105"/>
              <w:rPr>
                <w:rFonts w:ascii="Arial"/>
                <w:sz w:val="22"/>
              </w:rPr>
            </w:pPr>
            <w:r>
              <w:rPr>
                <w:rFonts w:ascii="Arial"/>
                <w:sz w:val="22"/>
              </w:rPr>
              <w:t>(207)</w:t>
            </w:r>
            <w:r>
              <w:rPr>
                <w:rFonts w:ascii="Arial"/>
                <w:spacing w:val="-4"/>
                <w:sz w:val="22"/>
              </w:rPr>
              <w:t> </w:t>
            </w:r>
            <w:r>
              <w:rPr>
                <w:rFonts w:ascii="Arial"/>
                <w:sz w:val="22"/>
              </w:rPr>
              <w:t>799-8346</w:t>
            </w:r>
            <w:r>
              <w:rPr>
                <w:rFonts w:ascii="Arial"/>
                <w:spacing w:val="-5"/>
                <w:sz w:val="22"/>
              </w:rPr>
              <w:t> </w:t>
            </w:r>
            <w:r>
              <w:rPr>
                <w:rFonts w:ascii="Arial"/>
                <w:sz w:val="22"/>
              </w:rPr>
              <w:t>-</w:t>
            </w:r>
            <w:r>
              <w:rPr>
                <w:rFonts w:ascii="Arial"/>
                <w:spacing w:val="-3"/>
                <w:sz w:val="22"/>
              </w:rPr>
              <w:t> </w:t>
            </w:r>
            <w:r>
              <w:rPr>
                <w:rFonts w:ascii="Arial"/>
                <w:spacing w:val="-5"/>
                <w:sz w:val="22"/>
              </w:rPr>
              <w:t>Fax</w:t>
            </w:r>
          </w:p>
          <w:p>
            <w:pPr>
              <w:pStyle w:val="TableParagraph"/>
              <w:spacing w:line="252" w:lineRule="exact"/>
              <w:ind w:left="105"/>
              <w:rPr>
                <w:rFonts w:ascii="Arial"/>
                <w:sz w:val="22"/>
              </w:rPr>
            </w:pPr>
            <w:hyperlink r:id="rId37">
              <w:r>
                <w:rPr>
                  <w:rFonts w:ascii="Arial"/>
                  <w:color w:val="0000FF"/>
                  <w:spacing w:val="-2"/>
                  <w:sz w:val="22"/>
                  <w:u w:val="single" w:color="0000FF"/>
                </w:rPr>
                <w:t>www.alphaonenow.org</w:t>
              </w:r>
            </w:hyperlink>
          </w:p>
          <w:p>
            <w:pPr>
              <w:pStyle w:val="TableParagraph"/>
              <w:spacing w:line="240" w:lineRule="auto" w:before="10"/>
              <w:rPr>
                <w:rFonts w:ascii="Calibri"/>
                <w:b/>
                <w:sz w:val="20"/>
              </w:rPr>
            </w:pPr>
          </w:p>
          <w:p>
            <w:pPr>
              <w:pStyle w:val="TableParagraph"/>
              <w:spacing w:line="240" w:lineRule="auto"/>
              <w:ind w:left="105"/>
              <w:rPr>
                <w:rFonts w:ascii="Arial"/>
                <w:b/>
                <w:sz w:val="22"/>
              </w:rPr>
            </w:pPr>
            <w:r>
              <w:rPr>
                <w:rFonts w:ascii="Arial"/>
                <w:b/>
                <w:sz w:val="22"/>
              </w:rPr>
              <w:t>Disability</w:t>
            </w:r>
            <w:r>
              <w:rPr>
                <w:rFonts w:ascii="Arial"/>
                <w:b/>
                <w:spacing w:val="-7"/>
                <w:sz w:val="22"/>
              </w:rPr>
              <w:t> </w:t>
            </w:r>
            <w:r>
              <w:rPr>
                <w:rFonts w:ascii="Arial"/>
                <w:b/>
                <w:sz w:val="22"/>
              </w:rPr>
              <w:t>Rights</w:t>
            </w:r>
            <w:r>
              <w:rPr>
                <w:rFonts w:ascii="Arial"/>
                <w:b/>
                <w:spacing w:val="-4"/>
                <w:sz w:val="22"/>
              </w:rPr>
              <w:t> </w:t>
            </w:r>
            <w:r>
              <w:rPr>
                <w:rFonts w:ascii="Arial"/>
                <w:b/>
                <w:spacing w:val="-2"/>
                <w:sz w:val="22"/>
              </w:rPr>
              <w:t>Center</w:t>
            </w:r>
          </w:p>
          <w:p>
            <w:pPr>
              <w:pStyle w:val="TableParagraph"/>
              <w:spacing w:line="252" w:lineRule="exact" w:before="2"/>
              <w:ind w:left="105"/>
              <w:rPr>
                <w:rFonts w:ascii="Arial"/>
                <w:sz w:val="22"/>
              </w:rPr>
            </w:pPr>
            <w:r>
              <w:rPr>
                <w:rFonts w:ascii="Arial"/>
                <w:sz w:val="22"/>
              </w:rPr>
              <w:t>P.O.</w:t>
            </w:r>
            <w:r>
              <w:rPr>
                <w:rFonts w:ascii="Arial"/>
                <w:spacing w:val="-1"/>
                <w:sz w:val="22"/>
              </w:rPr>
              <w:t> </w:t>
            </w:r>
            <w:r>
              <w:rPr>
                <w:rFonts w:ascii="Arial"/>
                <w:sz w:val="22"/>
              </w:rPr>
              <w:t>Box</w:t>
            </w:r>
            <w:r>
              <w:rPr>
                <w:rFonts w:ascii="Arial"/>
                <w:spacing w:val="-3"/>
                <w:sz w:val="22"/>
              </w:rPr>
              <w:t> </w:t>
            </w:r>
            <w:r>
              <w:rPr>
                <w:rFonts w:ascii="Arial"/>
                <w:spacing w:val="-4"/>
                <w:sz w:val="22"/>
              </w:rPr>
              <w:t>2007</w:t>
            </w:r>
          </w:p>
          <w:p>
            <w:pPr>
              <w:pStyle w:val="TableParagraph"/>
              <w:spacing w:line="240" w:lineRule="auto"/>
              <w:ind w:left="105" w:right="1508"/>
              <w:rPr>
                <w:rFonts w:ascii="Arial"/>
                <w:sz w:val="22"/>
              </w:rPr>
            </w:pPr>
            <w:r>
              <w:rPr>
                <w:rFonts w:ascii="Arial"/>
                <w:sz w:val="22"/>
              </w:rPr>
              <w:t>Augusta ME 04338-2007 Voice</w:t>
            </w:r>
            <w:r>
              <w:rPr>
                <w:rFonts w:ascii="Arial"/>
                <w:spacing w:val="-13"/>
                <w:sz w:val="22"/>
              </w:rPr>
              <w:t> </w:t>
            </w:r>
            <w:r>
              <w:rPr>
                <w:rFonts w:ascii="Arial"/>
                <w:sz w:val="22"/>
              </w:rPr>
              <w:t>and</w:t>
            </w:r>
            <w:r>
              <w:rPr>
                <w:rFonts w:ascii="Arial"/>
                <w:spacing w:val="-13"/>
                <w:sz w:val="22"/>
              </w:rPr>
              <w:t> </w:t>
            </w:r>
            <w:r>
              <w:rPr>
                <w:rFonts w:ascii="Arial"/>
                <w:sz w:val="22"/>
              </w:rPr>
              <w:t>TDD:</w:t>
            </w:r>
            <w:r>
              <w:rPr>
                <w:rFonts w:ascii="Arial"/>
                <w:spacing w:val="-11"/>
                <w:sz w:val="22"/>
              </w:rPr>
              <w:t> </w:t>
            </w:r>
            <w:r>
              <w:rPr>
                <w:rFonts w:ascii="Arial"/>
                <w:sz w:val="22"/>
              </w:rPr>
              <w:t>626-2774</w:t>
            </w:r>
          </w:p>
          <w:p>
            <w:pPr>
              <w:pStyle w:val="TableParagraph"/>
              <w:spacing w:line="240" w:lineRule="auto" w:before="7"/>
              <w:rPr>
                <w:rFonts w:ascii="Calibri"/>
                <w:b/>
                <w:sz w:val="20"/>
              </w:rPr>
            </w:pPr>
          </w:p>
          <w:p>
            <w:pPr>
              <w:pStyle w:val="TableParagraph"/>
              <w:spacing w:line="240" w:lineRule="auto"/>
              <w:ind w:left="105"/>
              <w:rPr>
                <w:rFonts w:ascii="Arial"/>
                <w:b/>
                <w:sz w:val="22"/>
              </w:rPr>
            </w:pPr>
            <w:r>
              <w:rPr>
                <w:rFonts w:ascii="Arial"/>
                <w:b/>
                <w:sz w:val="22"/>
              </w:rPr>
              <w:t>NAACP</w:t>
            </w:r>
            <w:r>
              <w:rPr>
                <w:rFonts w:ascii="Arial"/>
                <w:b/>
                <w:spacing w:val="-4"/>
                <w:sz w:val="22"/>
              </w:rPr>
              <w:t> </w:t>
            </w:r>
            <w:r>
              <w:rPr>
                <w:rFonts w:ascii="Arial"/>
                <w:b/>
                <w:spacing w:val="-2"/>
                <w:sz w:val="22"/>
              </w:rPr>
              <w:t>Portland</w:t>
            </w:r>
          </w:p>
          <w:p>
            <w:pPr>
              <w:pStyle w:val="TableParagraph"/>
              <w:spacing w:line="252" w:lineRule="exact" w:before="2"/>
              <w:ind w:left="105"/>
              <w:rPr>
                <w:rFonts w:ascii="Arial"/>
                <w:sz w:val="22"/>
              </w:rPr>
            </w:pPr>
            <w:r>
              <w:rPr>
                <w:rFonts w:ascii="Arial"/>
                <w:sz w:val="22"/>
              </w:rPr>
              <w:t>P.O.</w:t>
            </w:r>
            <w:r>
              <w:rPr>
                <w:rFonts w:ascii="Arial"/>
                <w:spacing w:val="-1"/>
                <w:sz w:val="22"/>
              </w:rPr>
              <w:t> </w:t>
            </w:r>
            <w:r>
              <w:rPr>
                <w:rFonts w:ascii="Arial"/>
                <w:sz w:val="22"/>
              </w:rPr>
              <w:t>Box</w:t>
            </w:r>
            <w:r>
              <w:rPr>
                <w:rFonts w:ascii="Arial"/>
                <w:spacing w:val="-3"/>
                <w:sz w:val="22"/>
              </w:rPr>
              <w:t> </w:t>
            </w:r>
            <w:r>
              <w:rPr>
                <w:rFonts w:ascii="Arial"/>
                <w:spacing w:val="-4"/>
                <w:sz w:val="22"/>
              </w:rPr>
              <w:t>3631</w:t>
            </w:r>
          </w:p>
          <w:p>
            <w:pPr>
              <w:pStyle w:val="TableParagraph"/>
              <w:spacing w:line="252" w:lineRule="exact"/>
              <w:ind w:left="105"/>
              <w:rPr>
                <w:rFonts w:ascii="Arial"/>
                <w:sz w:val="22"/>
              </w:rPr>
            </w:pPr>
            <w:r>
              <w:rPr>
                <w:rFonts w:ascii="Arial"/>
                <w:sz w:val="22"/>
              </w:rPr>
              <w:t>Portland,</w:t>
            </w:r>
            <w:r>
              <w:rPr>
                <w:rFonts w:ascii="Arial"/>
                <w:spacing w:val="-4"/>
                <w:sz w:val="22"/>
              </w:rPr>
              <w:t> </w:t>
            </w:r>
            <w:r>
              <w:rPr>
                <w:rFonts w:ascii="Arial"/>
                <w:sz w:val="22"/>
              </w:rPr>
              <w:t>ME</w:t>
            </w:r>
            <w:r>
              <w:rPr>
                <w:rFonts w:ascii="Arial"/>
                <w:spacing w:val="-4"/>
                <w:sz w:val="22"/>
              </w:rPr>
              <w:t> </w:t>
            </w:r>
            <w:r>
              <w:rPr>
                <w:rFonts w:ascii="Arial"/>
                <w:spacing w:val="-2"/>
                <w:sz w:val="22"/>
              </w:rPr>
              <w:t>04104</w:t>
            </w:r>
          </w:p>
          <w:p>
            <w:pPr>
              <w:pStyle w:val="TableParagraph"/>
              <w:spacing w:line="252" w:lineRule="exact" w:before="1"/>
              <w:ind w:left="105"/>
              <w:rPr>
                <w:rFonts w:ascii="Arial"/>
                <w:sz w:val="22"/>
              </w:rPr>
            </w:pPr>
            <w:r>
              <w:rPr>
                <w:rFonts w:ascii="Arial"/>
                <w:sz w:val="22"/>
              </w:rPr>
              <w:t>Telephone:</w:t>
            </w:r>
            <w:r>
              <w:rPr>
                <w:rFonts w:ascii="Arial"/>
                <w:spacing w:val="-8"/>
                <w:sz w:val="22"/>
              </w:rPr>
              <w:t> </w:t>
            </w:r>
            <w:r>
              <w:rPr>
                <w:rFonts w:ascii="Arial"/>
                <w:sz w:val="22"/>
              </w:rPr>
              <w:t>(207)</w:t>
            </w:r>
            <w:r>
              <w:rPr>
                <w:rFonts w:ascii="Arial"/>
                <w:spacing w:val="-8"/>
                <w:sz w:val="22"/>
              </w:rPr>
              <w:t> </w:t>
            </w:r>
            <w:r>
              <w:rPr>
                <w:rFonts w:ascii="Arial"/>
                <w:sz w:val="22"/>
              </w:rPr>
              <w:t>253-</w:t>
            </w:r>
            <w:r>
              <w:rPr>
                <w:rFonts w:ascii="Arial"/>
                <w:spacing w:val="-4"/>
                <w:sz w:val="22"/>
              </w:rPr>
              <w:t>5074</w:t>
            </w:r>
          </w:p>
          <w:p>
            <w:pPr>
              <w:pStyle w:val="TableParagraph"/>
              <w:spacing w:line="252" w:lineRule="exact"/>
              <w:ind w:left="105"/>
              <w:rPr>
                <w:rFonts w:ascii="Arial"/>
                <w:sz w:val="22"/>
              </w:rPr>
            </w:pPr>
            <w:r>
              <w:rPr>
                <w:rFonts w:ascii="Arial"/>
                <w:sz w:val="22"/>
              </w:rPr>
              <w:t>Fax:</w:t>
            </w:r>
            <w:r>
              <w:rPr>
                <w:rFonts w:ascii="Arial"/>
                <w:spacing w:val="-4"/>
                <w:sz w:val="22"/>
              </w:rPr>
              <w:t> </w:t>
            </w:r>
            <w:r>
              <w:rPr>
                <w:rFonts w:ascii="Arial"/>
                <w:sz w:val="22"/>
              </w:rPr>
              <w:t>(207)</w:t>
            </w:r>
            <w:r>
              <w:rPr>
                <w:rFonts w:ascii="Arial"/>
                <w:spacing w:val="-4"/>
                <w:sz w:val="22"/>
              </w:rPr>
              <w:t> </w:t>
            </w:r>
            <w:r>
              <w:rPr>
                <w:rFonts w:ascii="Arial"/>
                <w:sz w:val="22"/>
              </w:rPr>
              <w:t>253-</w:t>
            </w:r>
            <w:r>
              <w:rPr>
                <w:rFonts w:ascii="Arial"/>
                <w:spacing w:val="-4"/>
                <w:sz w:val="22"/>
              </w:rPr>
              <w:t>5079</w:t>
            </w:r>
          </w:p>
          <w:p>
            <w:pPr>
              <w:pStyle w:val="TableParagraph"/>
              <w:spacing w:line="252" w:lineRule="exact"/>
              <w:ind w:left="105"/>
              <w:rPr>
                <w:rFonts w:ascii="Arial"/>
                <w:sz w:val="22"/>
              </w:rPr>
            </w:pPr>
            <w:r>
              <w:rPr>
                <w:rFonts w:ascii="Arial"/>
                <w:sz w:val="22"/>
              </w:rPr>
              <w:t>e-mail:</w:t>
            </w:r>
            <w:r>
              <w:rPr>
                <w:rFonts w:ascii="Arial"/>
                <w:spacing w:val="56"/>
                <w:sz w:val="22"/>
              </w:rPr>
              <w:t> </w:t>
            </w:r>
            <w:hyperlink r:id="rId38">
              <w:r>
                <w:rPr>
                  <w:rFonts w:ascii="Arial"/>
                  <w:color w:val="0000FF"/>
                  <w:spacing w:val="-2"/>
                  <w:sz w:val="22"/>
                  <w:u w:val="single" w:color="0000FF"/>
                </w:rPr>
                <w:t>naacpportland@hotmail.com</w:t>
              </w:r>
            </w:hyperlink>
          </w:p>
        </w:tc>
      </w:tr>
    </w:tbl>
    <w:p>
      <w:pPr>
        <w:spacing w:after="0" w:line="252" w:lineRule="exact"/>
        <w:rPr>
          <w:rFonts w:ascii="Arial"/>
          <w:sz w:val="22"/>
        </w:rPr>
        <w:sectPr>
          <w:pgSz w:w="12240" w:h="15840"/>
          <w:pgMar w:header="0" w:footer="997" w:top="960" w:bottom="1260" w:left="600" w:right="500"/>
        </w:sectPr>
      </w:pPr>
    </w:p>
    <w:p>
      <w:pPr>
        <w:pStyle w:val="BodyText"/>
        <w:ind w:left="839"/>
        <w:rPr>
          <w:sz w:val="20"/>
        </w:rPr>
      </w:pPr>
      <w:r>
        <w:rPr>
          <w:sz w:val="20"/>
        </w:rPr>
        <mc:AlternateContent>
          <mc:Choice Requires="wps">
            <w:drawing>
              <wp:inline distT="0" distB="0" distL="0" distR="0">
                <wp:extent cx="5946775" cy="815975"/>
                <wp:effectExtent l="9525" t="0" r="0" b="3175"/>
                <wp:docPr id="29" name="Group 29"/>
                <wp:cNvGraphicFramePr>
                  <a:graphicFrameLocks/>
                </wp:cNvGraphicFramePr>
                <a:graphic>
                  <a:graphicData uri="http://schemas.microsoft.com/office/word/2010/wordprocessingGroup">
                    <wpg:wgp>
                      <wpg:cNvPr id="29" name="Group 29"/>
                      <wpg:cNvGrpSpPr/>
                      <wpg:grpSpPr>
                        <a:xfrm>
                          <a:off x="0" y="0"/>
                          <a:ext cx="5946775" cy="815975"/>
                          <a:chExt cx="5946775" cy="815975"/>
                        </a:xfrm>
                      </wpg:grpSpPr>
                      <wps:wsp>
                        <wps:cNvPr id="30" name="Graphic 30"/>
                        <wps:cNvSpPr/>
                        <wps:spPr>
                          <a:xfrm>
                            <a:off x="3026664" y="0"/>
                            <a:ext cx="2920365" cy="815975"/>
                          </a:xfrm>
                          <a:custGeom>
                            <a:avLst/>
                            <a:gdLst/>
                            <a:ahLst/>
                            <a:cxnLst/>
                            <a:rect l="l" t="t" r="r" b="b"/>
                            <a:pathLst>
                              <a:path w="2920365" h="815975">
                                <a:moveTo>
                                  <a:pt x="2919996" y="6121"/>
                                </a:moveTo>
                                <a:lnTo>
                                  <a:pt x="2913888" y="6121"/>
                                </a:lnTo>
                                <a:lnTo>
                                  <a:pt x="2913888" y="809244"/>
                                </a:lnTo>
                                <a:lnTo>
                                  <a:pt x="6096" y="809244"/>
                                </a:lnTo>
                                <a:lnTo>
                                  <a:pt x="6096" y="6121"/>
                                </a:lnTo>
                                <a:lnTo>
                                  <a:pt x="0" y="6121"/>
                                </a:lnTo>
                                <a:lnTo>
                                  <a:pt x="0" y="809244"/>
                                </a:lnTo>
                                <a:lnTo>
                                  <a:pt x="0" y="815352"/>
                                </a:lnTo>
                                <a:lnTo>
                                  <a:pt x="6096" y="815352"/>
                                </a:lnTo>
                                <a:lnTo>
                                  <a:pt x="2913888" y="815352"/>
                                </a:lnTo>
                                <a:lnTo>
                                  <a:pt x="2919996" y="815352"/>
                                </a:lnTo>
                                <a:lnTo>
                                  <a:pt x="2919996" y="809256"/>
                                </a:lnTo>
                                <a:lnTo>
                                  <a:pt x="2919996" y="6121"/>
                                </a:lnTo>
                                <a:close/>
                              </a:path>
                              <a:path w="2920365" h="815975">
                                <a:moveTo>
                                  <a:pt x="2919996" y="0"/>
                                </a:moveTo>
                                <a:lnTo>
                                  <a:pt x="2913888" y="0"/>
                                </a:lnTo>
                                <a:lnTo>
                                  <a:pt x="6096" y="0"/>
                                </a:lnTo>
                                <a:lnTo>
                                  <a:pt x="0" y="0"/>
                                </a:lnTo>
                                <a:lnTo>
                                  <a:pt x="0" y="6108"/>
                                </a:lnTo>
                                <a:lnTo>
                                  <a:pt x="6096" y="6108"/>
                                </a:lnTo>
                                <a:lnTo>
                                  <a:pt x="2913888" y="6108"/>
                                </a:lnTo>
                                <a:lnTo>
                                  <a:pt x="2919996" y="6108"/>
                                </a:lnTo>
                                <a:lnTo>
                                  <a:pt x="2919996" y="0"/>
                                </a:lnTo>
                                <a:close/>
                              </a:path>
                            </a:pathLst>
                          </a:custGeom>
                          <a:solidFill>
                            <a:srgbClr val="000000"/>
                          </a:solidFill>
                        </wps:spPr>
                        <wps:bodyPr wrap="square" lIns="0" tIns="0" rIns="0" bIns="0" rtlCol="0">
                          <a:prstTxWarp prst="textNoShape">
                            <a:avLst/>
                          </a:prstTxWarp>
                          <a:noAutofit/>
                        </wps:bodyPr>
                      </wps:wsp>
                      <wps:wsp>
                        <wps:cNvPr id="31" name="Textbox 31"/>
                        <wps:cNvSpPr txBox="1"/>
                        <wps:spPr>
                          <a:xfrm>
                            <a:off x="3047" y="3054"/>
                            <a:ext cx="3027045" cy="809625"/>
                          </a:xfrm>
                          <a:prstGeom prst="rect">
                            <a:avLst/>
                          </a:prstGeom>
                          <a:ln w="6096">
                            <a:solidFill>
                              <a:srgbClr val="000000"/>
                            </a:solidFill>
                            <a:prstDash val="solid"/>
                          </a:ln>
                        </wps:spPr>
                        <wps:txbx>
                          <w:txbxContent>
                            <w:p>
                              <w:pPr>
                                <w:spacing w:before="0"/>
                                <w:ind w:left="103" w:right="0" w:firstLine="0"/>
                                <w:jc w:val="left"/>
                                <w:rPr>
                                  <w:rFonts w:ascii="Arial"/>
                                  <w:sz w:val="22"/>
                                </w:rPr>
                              </w:pPr>
                              <w:r>
                                <w:rPr>
                                  <w:rFonts w:ascii="Arial"/>
                                  <w:sz w:val="22"/>
                                </w:rPr>
                                <w:t>2</w:t>
                              </w:r>
                              <w:r>
                                <w:rPr>
                                  <w:rFonts w:ascii="Arial"/>
                                  <w:spacing w:val="-5"/>
                                  <w:sz w:val="22"/>
                                </w:rPr>
                                <w:t> </w:t>
                              </w:r>
                              <w:r>
                                <w:rPr>
                                  <w:rFonts w:ascii="Arial"/>
                                  <w:sz w:val="22"/>
                                </w:rPr>
                                <w:t>Anthony</w:t>
                              </w:r>
                              <w:r>
                                <w:rPr>
                                  <w:rFonts w:ascii="Arial"/>
                                  <w:spacing w:val="-3"/>
                                  <w:sz w:val="22"/>
                                </w:rPr>
                                <w:t> </w:t>
                              </w:r>
                              <w:r>
                                <w:rPr>
                                  <w:rFonts w:ascii="Arial"/>
                                  <w:spacing w:val="-4"/>
                                  <w:sz w:val="22"/>
                                </w:rPr>
                                <w:t>Ave.</w:t>
                              </w:r>
                            </w:p>
                            <w:p>
                              <w:pPr>
                                <w:spacing w:line="252" w:lineRule="exact" w:before="1"/>
                                <w:ind w:left="103" w:right="0" w:firstLine="0"/>
                                <w:jc w:val="left"/>
                                <w:rPr>
                                  <w:rFonts w:ascii="Arial"/>
                                  <w:sz w:val="22"/>
                                </w:rPr>
                              </w:pPr>
                              <w:r>
                                <w:rPr>
                                  <w:rFonts w:ascii="Arial"/>
                                  <w:sz w:val="22"/>
                                </w:rPr>
                                <w:t>Augusta</w:t>
                              </w:r>
                              <w:r>
                                <w:rPr>
                                  <w:rFonts w:ascii="Arial"/>
                                  <w:spacing w:val="-4"/>
                                  <w:sz w:val="22"/>
                                </w:rPr>
                                <w:t> </w:t>
                              </w:r>
                              <w:r>
                                <w:rPr>
                                  <w:rFonts w:ascii="Arial"/>
                                  <w:sz w:val="22"/>
                                </w:rPr>
                                <w:t>ME</w:t>
                              </w:r>
                              <w:r>
                                <w:rPr>
                                  <w:rFonts w:ascii="Arial"/>
                                  <w:spacing w:val="-1"/>
                                  <w:sz w:val="22"/>
                                </w:rPr>
                                <w:t> </w:t>
                              </w:r>
                              <w:r>
                                <w:rPr>
                                  <w:rFonts w:ascii="Arial"/>
                                  <w:spacing w:val="-2"/>
                                  <w:sz w:val="22"/>
                                </w:rPr>
                                <w:t>04333</w:t>
                              </w:r>
                            </w:p>
                            <w:p>
                              <w:pPr>
                                <w:spacing w:line="252" w:lineRule="exact" w:before="0"/>
                                <w:ind w:left="102" w:right="0" w:firstLine="0"/>
                                <w:jc w:val="left"/>
                                <w:rPr>
                                  <w:rFonts w:ascii="Arial"/>
                                  <w:sz w:val="22"/>
                                </w:rPr>
                              </w:pPr>
                              <w:r>
                                <w:rPr>
                                  <w:rFonts w:ascii="Arial"/>
                                  <w:sz w:val="22"/>
                                </w:rPr>
                                <w:t>Voice:</w:t>
                              </w:r>
                              <w:r>
                                <w:rPr>
                                  <w:rFonts w:ascii="Arial"/>
                                  <w:spacing w:val="-5"/>
                                  <w:sz w:val="22"/>
                                </w:rPr>
                                <w:t> </w:t>
                              </w:r>
                              <w:r>
                                <w:rPr>
                                  <w:rFonts w:ascii="Arial"/>
                                  <w:sz w:val="22"/>
                                </w:rPr>
                                <w:t>624-</w:t>
                              </w:r>
                              <w:r>
                                <w:rPr>
                                  <w:rFonts w:ascii="Arial"/>
                                  <w:spacing w:val="-4"/>
                                  <w:sz w:val="22"/>
                                </w:rPr>
                                <w:t>5950</w:t>
                              </w:r>
                            </w:p>
                            <w:p>
                              <w:pPr>
                                <w:spacing w:line="252" w:lineRule="exact" w:before="0"/>
                                <w:ind w:left="102" w:right="0" w:firstLine="0"/>
                                <w:jc w:val="left"/>
                                <w:rPr>
                                  <w:rFonts w:ascii="Arial"/>
                                  <w:sz w:val="22"/>
                                </w:rPr>
                              </w:pPr>
                              <w:r>
                                <w:rPr>
                                  <w:rFonts w:ascii="Arial"/>
                                  <w:sz w:val="22"/>
                                </w:rPr>
                                <w:t>TTY:</w:t>
                              </w:r>
                              <w:r>
                                <w:rPr>
                                  <w:rFonts w:ascii="Arial"/>
                                  <w:spacing w:val="-11"/>
                                  <w:sz w:val="22"/>
                                </w:rPr>
                                <w:t> </w:t>
                              </w:r>
                              <w:r>
                                <w:rPr>
                                  <w:rFonts w:ascii="Arial"/>
                                  <w:sz w:val="22"/>
                                </w:rPr>
                                <w:t>1-888-755-</w:t>
                              </w:r>
                              <w:r>
                                <w:rPr>
                                  <w:rFonts w:ascii="Arial"/>
                                  <w:spacing w:val="-4"/>
                                  <w:sz w:val="22"/>
                                </w:rPr>
                                <w:t>0023</w:t>
                              </w:r>
                            </w:p>
                          </w:txbxContent>
                        </wps:txbx>
                        <wps:bodyPr wrap="square" lIns="0" tIns="0" rIns="0" bIns="0" rtlCol="0">
                          <a:noAutofit/>
                        </wps:bodyPr>
                      </wps:wsp>
                    </wpg:wgp>
                  </a:graphicData>
                </a:graphic>
              </wp:inline>
            </w:drawing>
          </mc:Choice>
          <mc:Fallback>
            <w:pict>
              <v:group style="width:468.25pt;height:64.25pt;mso-position-horizontal-relative:char;mso-position-vertical-relative:line" id="docshapegroup25" coordorigin="0,0" coordsize="9365,1285">
                <v:shape style="position:absolute;left:4766;top:0;width:4599;height:1285" id="docshape26" coordorigin="4766,0" coordsize="4599,1285" path="m9365,10l9355,10,9355,1274,4776,1274,4776,10,4766,10,4766,1274,4766,1274,4766,1284,4776,1284,9355,1284,9365,1284,9365,1274,9365,1274,9365,10xm9365,0l9355,0,4776,0,4766,0,4766,10,4776,10,9355,10,9365,10,9365,0xe" filled="true" fillcolor="#000000" stroked="false">
                  <v:path arrowok="t"/>
                  <v:fill type="solid"/>
                </v:shape>
                <v:shape style="position:absolute;left:4;top:4;width:4767;height:1275" type="#_x0000_t202" id="docshape27" filled="false" stroked="true" strokeweight=".48pt" strokecolor="#000000">
                  <v:textbox inset="0,0,0,0">
                    <w:txbxContent>
                      <w:p>
                        <w:pPr>
                          <w:spacing w:before="0"/>
                          <w:ind w:left="103" w:right="0" w:firstLine="0"/>
                          <w:jc w:val="left"/>
                          <w:rPr>
                            <w:rFonts w:ascii="Arial"/>
                            <w:sz w:val="22"/>
                          </w:rPr>
                        </w:pPr>
                        <w:r>
                          <w:rPr>
                            <w:rFonts w:ascii="Arial"/>
                            <w:sz w:val="22"/>
                          </w:rPr>
                          <w:t>2</w:t>
                        </w:r>
                        <w:r>
                          <w:rPr>
                            <w:rFonts w:ascii="Arial"/>
                            <w:spacing w:val="-5"/>
                            <w:sz w:val="22"/>
                          </w:rPr>
                          <w:t> </w:t>
                        </w:r>
                        <w:r>
                          <w:rPr>
                            <w:rFonts w:ascii="Arial"/>
                            <w:sz w:val="22"/>
                          </w:rPr>
                          <w:t>Anthony</w:t>
                        </w:r>
                        <w:r>
                          <w:rPr>
                            <w:rFonts w:ascii="Arial"/>
                            <w:spacing w:val="-3"/>
                            <w:sz w:val="22"/>
                          </w:rPr>
                          <w:t> </w:t>
                        </w:r>
                        <w:r>
                          <w:rPr>
                            <w:rFonts w:ascii="Arial"/>
                            <w:spacing w:val="-4"/>
                            <w:sz w:val="22"/>
                          </w:rPr>
                          <w:t>Ave.</w:t>
                        </w:r>
                      </w:p>
                      <w:p>
                        <w:pPr>
                          <w:spacing w:line="252" w:lineRule="exact" w:before="1"/>
                          <w:ind w:left="103" w:right="0" w:firstLine="0"/>
                          <w:jc w:val="left"/>
                          <w:rPr>
                            <w:rFonts w:ascii="Arial"/>
                            <w:sz w:val="22"/>
                          </w:rPr>
                        </w:pPr>
                        <w:r>
                          <w:rPr>
                            <w:rFonts w:ascii="Arial"/>
                            <w:sz w:val="22"/>
                          </w:rPr>
                          <w:t>Augusta</w:t>
                        </w:r>
                        <w:r>
                          <w:rPr>
                            <w:rFonts w:ascii="Arial"/>
                            <w:spacing w:val="-4"/>
                            <w:sz w:val="22"/>
                          </w:rPr>
                          <w:t> </w:t>
                        </w:r>
                        <w:r>
                          <w:rPr>
                            <w:rFonts w:ascii="Arial"/>
                            <w:sz w:val="22"/>
                          </w:rPr>
                          <w:t>ME</w:t>
                        </w:r>
                        <w:r>
                          <w:rPr>
                            <w:rFonts w:ascii="Arial"/>
                            <w:spacing w:val="-1"/>
                            <w:sz w:val="22"/>
                          </w:rPr>
                          <w:t> </w:t>
                        </w:r>
                        <w:r>
                          <w:rPr>
                            <w:rFonts w:ascii="Arial"/>
                            <w:spacing w:val="-2"/>
                            <w:sz w:val="22"/>
                          </w:rPr>
                          <w:t>04333</w:t>
                        </w:r>
                      </w:p>
                      <w:p>
                        <w:pPr>
                          <w:spacing w:line="252" w:lineRule="exact" w:before="0"/>
                          <w:ind w:left="102" w:right="0" w:firstLine="0"/>
                          <w:jc w:val="left"/>
                          <w:rPr>
                            <w:rFonts w:ascii="Arial"/>
                            <w:sz w:val="22"/>
                          </w:rPr>
                        </w:pPr>
                        <w:r>
                          <w:rPr>
                            <w:rFonts w:ascii="Arial"/>
                            <w:sz w:val="22"/>
                          </w:rPr>
                          <w:t>Voice:</w:t>
                        </w:r>
                        <w:r>
                          <w:rPr>
                            <w:rFonts w:ascii="Arial"/>
                            <w:spacing w:val="-5"/>
                            <w:sz w:val="22"/>
                          </w:rPr>
                          <w:t> </w:t>
                        </w:r>
                        <w:r>
                          <w:rPr>
                            <w:rFonts w:ascii="Arial"/>
                            <w:sz w:val="22"/>
                          </w:rPr>
                          <w:t>624-</w:t>
                        </w:r>
                        <w:r>
                          <w:rPr>
                            <w:rFonts w:ascii="Arial"/>
                            <w:spacing w:val="-4"/>
                            <w:sz w:val="22"/>
                          </w:rPr>
                          <w:t>5950</w:t>
                        </w:r>
                      </w:p>
                      <w:p>
                        <w:pPr>
                          <w:spacing w:line="252" w:lineRule="exact" w:before="0"/>
                          <w:ind w:left="102" w:right="0" w:firstLine="0"/>
                          <w:jc w:val="left"/>
                          <w:rPr>
                            <w:rFonts w:ascii="Arial"/>
                            <w:sz w:val="22"/>
                          </w:rPr>
                        </w:pPr>
                        <w:r>
                          <w:rPr>
                            <w:rFonts w:ascii="Arial"/>
                            <w:sz w:val="22"/>
                          </w:rPr>
                          <w:t>TTY:</w:t>
                        </w:r>
                        <w:r>
                          <w:rPr>
                            <w:rFonts w:ascii="Arial"/>
                            <w:spacing w:val="-11"/>
                            <w:sz w:val="22"/>
                          </w:rPr>
                          <w:t> </w:t>
                        </w:r>
                        <w:r>
                          <w:rPr>
                            <w:rFonts w:ascii="Arial"/>
                            <w:sz w:val="22"/>
                          </w:rPr>
                          <w:t>1-888-755-</w:t>
                        </w:r>
                        <w:r>
                          <w:rPr>
                            <w:rFonts w:ascii="Arial"/>
                            <w:spacing w:val="-4"/>
                            <w:sz w:val="22"/>
                          </w:rPr>
                          <w:t>0023</w:t>
                        </w:r>
                      </w:p>
                    </w:txbxContent>
                  </v:textbox>
                  <v:stroke dashstyle="solid"/>
                  <w10:wrap type="none"/>
                </v:shape>
              </v:group>
            </w:pict>
          </mc:Fallback>
        </mc:AlternateContent>
      </w:r>
      <w:r>
        <w:rPr>
          <w:sz w:val="20"/>
        </w:rPr>
      </w:r>
    </w:p>
    <w:p>
      <w:pPr>
        <w:pStyle w:val="BodyText"/>
        <w:rPr>
          <w:b/>
          <w:sz w:val="20"/>
        </w:rPr>
      </w:pPr>
    </w:p>
    <w:p>
      <w:pPr>
        <w:pStyle w:val="BodyText"/>
        <w:spacing w:before="9"/>
        <w:rPr>
          <w:b/>
          <w:sz w:val="18"/>
        </w:rPr>
      </w:pPr>
    </w:p>
    <w:p>
      <w:pPr>
        <w:spacing w:line="242" w:lineRule="auto" w:before="0"/>
        <w:ind w:left="840" w:right="935" w:firstLine="0"/>
        <w:jc w:val="left"/>
        <w:rPr>
          <w:i/>
          <w:sz w:val="24"/>
        </w:rPr>
      </w:pPr>
      <w:r>
        <w:rPr>
          <w:i/>
          <w:sz w:val="24"/>
        </w:rPr>
        <w:t>Source:</w:t>
      </w:r>
      <w:r>
        <w:rPr>
          <w:i/>
          <w:spacing w:val="-7"/>
          <w:sz w:val="24"/>
        </w:rPr>
        <w:t> </w:t>
      </w:r>
      <w:hyperlink r:id="rId9">
        <w:r>
          <w:rPr>
            <w:i/>
            <w:color w:val="0000FF"/>
            <w:sz w:val="24"/>
            <w:u w:val="single" w:color="0000FF"/>
          </w:rPr>
          <w:t>https://www.maine.gov/mdot/civilrights/title-vi/</w:t>
        </w:r>
      </w:hyperlink>
      <w:r>
        <w:rPr>
          <w:i/>
          <w:color w:val="0000FF"/>
          <w:spacing w:val="-9"/>
          <w:sz w:val="24"/>
        </w:rPr>
        <w:t> </w:t>
      </w:r>
      <w:r>
        <w:rPr>
          <w:i/>
          <w:sz w:val="24"/>
        </w:rPr>
        <w:t>(</w:t>
      </w:r>
      <w:hyperlink r:id="rId39">
        <w:r>
          <w:rPr>
            <w:i/>
            <w:color w:val="0000FF"/>
            <w:sz w:val="24"/>
            <w:u w:val="single" w:color="0000FF"/>
          </w:rPr>
          <w:t>Minority</w:t>
        </w:r>
        <w:r>
          <w:rPr>
            <w:i/>
            <w:color w:val="0000FF"/>
            <w:spacing w:val="-7"/>
            <w:sz w:val="24"/>
            <w:u w:val="single" w:color="0000FF"/>
          </w:rPr>
          <w:t> </w:t>
        </w:r>
        <w:r>
          <w:rPr>
            <w:i/>
            <w:color w:val="0000FF"/>
            <w:sz w:val="24"/>
            <w:u w:val="single" w:color="0000FF"/>
          </w:rPr>
          <w:t>and</w:t>
        </w:r>
        <w:r>
          <w:rPr>
            <w:i/>
            <w:color w:val="0000FF"/>
            <w:spacing w:val="-8"/>
            <w:sz w:val="24"/>
            <w:u w:val="single" w:color="0000FF"/>
          </w:rPr>
          <w:t> </w:t>
        </w:r>
        <w:r>
          <w:rPr>
            <w:i/>
            <w:color w:val="0000FF"/>
            <w:sz w:val="24"/>
            <w:u w:val="single" w:color="0000FF"/>
          </w:rPr>
          <w:t>Outreach</w:t>
        </w:r>
        <w:r>
          <w:rPr>
            <w:i/>
            <w:color w:val="0000FF"/>
            <w:spacing w:val="-8"/>
            <w:sz w:val="24"/>
            <w:u w:val="single" w:color="0000FF"/>
          </w:rPr>
          <w:t> </w:t>
        </w:r>
        <w:r>
          <w:rPr>
            <w:i/>
            <w:color w:val="0000FF"/>
            <w:sz w:val="24"/>
            <w:u w:val="single" w:color="0000FF"/>
          </w:rPr>
          <w:t>Contact</w:t>
        </w:r>
      </w:hyperlink>
      <w:r>
        <w:rPr>
          <w:i/>
          <w:color w:val="0000FF"/>
          <w:sz w:val="24"/>
        </w:rPr>
        <w:t> </w:t>
      </w:r>
      <w:hyperlink r:id="rId39">
        <w:r>
          <w:rPr>
            <w:i/>
            <w:color w:val="0000FF"/>
            <w:spacing w:val="-2"/>
            <w:sz w:val="24"/>
            <w:u w:val="single" w:color="0000FF"/>
          </w:rPr>
          <w:t>Information</w:t>
        </w:r>
      </w:hyperlink>
    </w:p>
    <w:p>
      <w:pPr>
        <w:pStyle w:val="BodyText"/>
        <w:spacing w:before="2"/>
        <w:rPr>
          <w:i/>
          <w:sz w:val="13"/>
        </w:rPr>
      </w:pPr>
    </w:p>
    <w:p>
      <w:pPr>
        <w:pStyle w:val="BodyText"/>
        <w:spacing w:before="51"/>
        <w:ind w:left="840" w:right="932"/>
        <w:jc w:val="both"/>
      </w:pPr>
      <w:r>
        <w:rPr/>
        <w:t>MaineDOT has developed a Public Participation Plan to detail the various public involvement opportunities for an activity or project; from formal public hearings, to comment periods, and surveys for the implementation of transit programs.</w:t>
      </w:r>
    </w:p>
    <w:p>
      <w:pPr>
        <w:pStyle w:val="BodyText"/>
        <w:rPr>
          <w:sz w:val="23"/>
        </w:rPr>
      </w:pPr>
    </w:p>
    <w:p>
      <w:pPr>
        <w:pStyle w:val="BodyText"/>
        <w:ind w:left="840" w:right="933"/>
        <w:jc w:val="both"/>
      </w:pPr>
      <w:r>
        <w:rPr/>
        <w:t>MaineDOT’s PPP is a guide for ongoing public participation endeavors.</w:t>
      </w:r>
      <w:r>
        <w:rPr>
          <w:spacing w:val="40"/>
        </w:rPr>
        <w:t> </w:t>
      </w:r>
      <w:r>
        <w:rPr/>
        <w:t>Its purpose is to ensure that MaineDOT utilizes effective means of providing information and receiving public input on transportation decisions from low income, minority and limited English proficient (LEP) populations, as required by Title VI of the Civil Rights Act of 1964 and its implementing </w:t>
      </w:r>
      <w:r>
        <w:rPr>
          <w:spacing w:val="-2"/>
        </w:rPr>
        <w:t>regulations.</w:t>
      </w:r>
    </w:p>
    <w:p>
      <w:pPr>
        <w:pStyle w:val="BodyText"/>
        <w:spacing w:before="9"/>
        <w:rPr>
          <w:sz w:val="22"/>
        </w:rPr>
      </w:pPr>
    </w:p>
    <w:p>
      <w:pPr>
        <w:pStyle w:val="BodyText"/>
        <w:ind w:left="840" w:right="933"/>
        <w:jc w:val="both"/>
      </w:pPr>
      <w:r>
        <w:rPr/>
        <w:t>MaineDOT’s PPP also has a process in place whereby MaineDOT monitors and ensures its subrecipients,</w:t>
      </w:r>
      <w:r>
        <w:rPr>
          <w:spacing w:val="-14"/>
        </w:rPr>
        <w:t> </w:t>
      </w:r>
      <w:r>
        <w:rPr/>
        <w:t>per</w:t>
      </w:r>
      <w:r>
        <w:rPr>
          <w:spacing w:val="-14"/>
        </w:rPr>
        <w:t> </w:t>
      </w:r>
      <w:r>
        <w:rPr/>
        <w:t>federal</w:t>
      </w:r>
      <w:r>
        <w:rPr>
          <w:spacing w:val="-13"/>
        </w:rPr>
        <w:t> </w:t>
      </w:r>
      <w:r>
        <w:rPr/>
        <w:t>regulations,</w:t>
      </w:r>
      <w:r>
        <w:rPr>
          <w:spacing w:val="-14"/>
        </w:rPr>
        <w:t> </w:t>
      </w:r>
      <w:r>
        <w:rPr/>
        <w:t>also</w:t>
      </w:r>
      <w:r>
        <w:rPr>
          <w:spacing w:val="-13"/>
        </w:rPr>
        <w:t> </w:t>
      </w:r>
      <w:r>
        <w:rPr/>
        <w:t>take</w:t>
      </w:r>
      <w:r>
        <w:rPr>
          <w:spacing w:val="-14"/>
        </w:rPr>
        <w:t> </w:t>
      </w:r>
      <w:r>
        <w:rPr/>
        <w:t>reasonable</w:t>
      </w:r>
      <w:r>
        <w:rPr>
          <w:spacing w:val="-13"/>
        </w:rPr>
        <w:t> </w:t>
      </w:r>
      <w:r>
        <w:rPr/>
        <w:t>steps</w:t>
      </w:r>
      <w:r>
        <w:rPr>
          <w:spacing w:val="-14"/>
        </w:rPr>
        <w:t> </w:t>
      </w:r>
      <w:r>
        <w:rPr/>
        <w:t>to</w:t>
      </w:r>
      <w:r>
        <w:rPr>
          <w:spacing w:val="-14"/>
        </w:rPr>
        <w:t> </w:t>
      </w:r>
      <w:r>
        <w:rPr/>
        <w:t>ensure</w:t>
      </w:r>
      <w:r>
        <w:rPr>
          <w:spacing w:val="-13"/>
        </w:rPr>
        <w:t> </w:t>
      </w:r>
      <w:r>
        <w:rPr/>
        <w:t>that</w:t>
      </w:r>
      <w:r>
        <w:rPr>
          <w:spacing w:val="-14"/>
        </w:rPr>
        <w:t> </w:t>
      </w:r>
      <w:r>
        <w:rPr/>
        <w:t>LEP</w:t>
      </w:r>
      <w:r>
        <w:rPr>
          <w:spacing w:val="-13"/>
        </w:rPr>
        <w:t> </w:t>
      </w:r>
      <w:r>
        <w:rPr/>
        <w:t>persons</w:t>
      </w:r>
      <w:r>
        <w:rPr>
          <w:spacing w:val="-14"/>
        </w:rPr>
        <w:t> </w:t>
      </w:r>
      <w:r>
        <w:rPr/>
        <w:t>have meaningful access to their programs and activities. This means that public participation opportunities, normally</w:t>
      </w:r>
      <w:r>
        <w:rPr>
          <w:spacing w:val="-2"/>
        </w:rPr>
        <w:t> </w:t>
      </w:r>
      <w:r>
        <w:rPr/>
        <w:t>provided in English, should be accessible to persons who have a limited ability to speak, read, write, or understand English.</w:t>
      </w:r>
    </w:p>
    <w:p>
      <w:pPr>
        <w:pStyle w:val="BodyText"/>
        <w:spacing w:before="11"/>
        <w:rPr>
          <w:sz w:val="22"/>
        </w:rPr>
      </w:pPr>
    </w:p>
    <w:p>
      <w:pPr>
        <w:pStyle w:val="BodyText"/>
        <w:ind w:left="840" w:right="935"/>
        <w:jc w:val="both"/>
      </w:pPr>
      <w:r>
        <w:rPr/>
        <w:t>In addition to language access measures, other major components of MaineDOT’s PPP include: public participation design factors; a range of public participation methods to provide information, to invite participation and/or to seek input; examples to demonstrate how population-appropriate outreach methods can be and were identified and utilized; and performance measures and objectives to ensure accountability and a means for improving over </w:t>
      </w:r>
      <w:r>
        <w:rPr>
          <w:spacing w:val="-2"/>
        </w:rPr>
        <w:t>time.</w:t>
      </w:r>
    </w:p>
    <w:p>
      <w:pPr>
        <w:pStyle w:val="BodyText"/>
        <w:spacing w:before="1"/>
        <w:rPr>
          <w:sz w:val="23"/>
        </w:rPr>
      </w:pPr>
    </w:p>
    <w:p>
      <w:pPr>
        <w:pStyle w:val="BodyText"/>
        <w:spacing w:before="1"/>
        <w:ind w:left="840" w:right="933"/>
        <w:jc w:val="both"/>
      </w:pPr>
      <w:r>
        <w:rPr/>
        <w:t>MaineDOT requires its subrecipients to also establish a public participation plan or process that will determine how, when, and how often specific public participation activities should take place, and which specific measures are most appropriate.</w:t>
      </w:r>
    </w:p>
    <w:p>
      <w:pPr>
        <w:pStyle w:val="BodyText"/>
        <w:spacing w:before="9"/>
        <w:rPr>
          <w:sz w:val="22"/>
        </w:rPr>
      </w:pPr>
    </w:p>
    <w:p>
      <w:pPr>
        <w:pStyle w:val="BodyText"/>
        <w:ind w:left="840" w:right="931"/>
        <w:jc w:val="both"/>
      </w:pPr>
      <w:r>
        <w:rPr/>
        <w:t>MaineDOT</w:t>
      </w:r>
      <w:r>
        <w:rPr>
          <w:spacing w:val="-4"/>
        </w:rPr>
        <w:t> </w:t>
      </w:r>
      <w:r>
        <w:rPr/>
        <w:t>and</w:t>
      </w:r>
      <w:r>
        <w:rPr>
          <w:spacing w:val="-4"/>
        </w:rPr>
        <w:t> </w:t>
      </w:r>
      <w:r>
        <w:rPr/>
        <w:t>its</w:t>
      </w:r>
      <w:r>
        <w:rPr>
          <w:spacing w:val="-3"/>
        </w:rPr>
        <w:t> </w:t>
      </w:r>
      <w:r>
        <w:rPr/>
        <w:t>subrecipients</w:t>
      </w:r>
      <w:r>
        <w:rPr>
          <w:spacing w:val="-3"/>
        </w:rPr>
        <w:t> </w:t>
      </w:r>
      <w:r>
        <w:rPr/>
        <w:t>make</w:t>
      </w:r>
      <w:r>
        <w:rPr>
          <w:spacing w:val="-4"/>
        </w:rPr>
        <w:t> </w:t>
      </w:r>
      <w:r>
        <w:rPr/>
        <w:t>these</w:t>
      </w:r>
      <w:r>
        <w:rPr>
          <w:spacing w:val="-4"/>
        </w:rPr>
        <w:t> </w:t>
      </w:r>
      <w:r>
        <w:rPr/>
        <w:t>determinations</w:t>
      </w:r>
      <w:r>
        <w:rPr>
          <w:spacing w:val="-5"/>
        </w:rPr>
        <w:t> </w:t>
      </w:r>
      <w:r>
        <w:rPr/>
        <w:t>based</w:t>
      </w:r>
      <w:r>
        <w:rPr>
          <w:spacing w:val="-1"/>
        </w:rPr>
        <w:t> </w:t>
      </w:r>
      <w:r>
        <w:rPr/>
        <w:t>on</w:t>
      </w:r>
      <w:r>
        <w:rPr>
          <w:spacing w:val="-4"/>
        </w:rPr>
        <w:t> </w:t>
      </w:r>
      <w:r>
        <w:rPr/>
        <w:t>a</w:t>
      </w:r>
      <w:r>
        <w:rPr>
          <w:spacing w:val="-5"/>
        </w:rPr>
        <w:t> </w:t>
      </w:r>
      <w:r>
        <w:rPr/>
        <w:t>demographic</w:t>
      </w:r>
      <w:r>
        <w:rPr>
          <w:spacing w:val="-6"/>
        </w:rPr>
        <w:t> </w:t>
      </w:r>
      <w:r>
        <w:rPr/>
        <w:t>analysis</w:t>
      </w:r>
      <w:r>
        <w:rPr>
          <w:spacing w:val="-3"/>
        </w:rPr>
        <w:t> </w:t>
      </w:r>
      <w:r>
        <w:rPr/>
        <w:t>of the population(s) affected, the type of plan, program, and/or service under consideration, and the resources available.</w:t>
      </w:r>
      <w:r>
        <w:rPr>
          <w:spacing w:val="40"/>
        </w:rPr>
        <w:t> </w:t>
      </w:r>
      <w:r>
        <w:rPr/>
        <w:t>Efforts to involve minority and LEP populations in public participation activities are encouraged and required in all PPPs, and may include both comprehensive measures, such as placing public notices at all transit stations, stops, and vehicles, as well as targeted measures to address linguistic, institutional, cultural, economic, historical, or other barriers</w:t>
      </w:r>
      <w:r>
        <w:rPr>
          <w:spacing w:val="-12"/>
        </w:rPr>
        <w:t> </w:t>
      </w:r>
      <w:r>
        <w:rPr/>
        <w:t>that</w:t>
      </w:r>
      <w:r>
        <w:rPr>
          <w:spacing w:val="-11"/>
        </w:rPr>
        <w:t> </w:t>
      </w:r>
      <w:r>
        <w:rPr/>
        <w:t>may</w:t>
      </w:r>
      <w:r>
        <w:rPr>
          <w:spacing w:val="-13"/>
        </w:rPr>
        <w:t> </w:t>
      </w:r>
      <w:r>
        <w:rPr/>
        <w:t>prevent</w:t>
      </w:r>
      <w:r>
        <w:rPr>
          <w:spacing w:val="-9"/>
        </w:rPr>
        <w:t> </w:t>
      </w:r>
      <w:r>
        <w:rPr/>
        <w:t>minority</w:t>
      </w:r>
      <w:r>
        <w:rPr>
          <w:spacing w:val="-13"/>
        </w:rPr>
        <w:t> </w:t>
      </w:r>
      <w:r>
        <w:rPr/>
        <w:t>and</w:t>
      </w:r>
      <w:r>
        <w:rPr>
          <w:spacing w:val="-9"/>
        </w:rPr>
        <w:t> </w:t>
      </w:r>
      <w:r>
        <w:rPr/>
        <w:t>LEP</w:t>
      </w:r>
      <w:r>
        <w:rPr>
          <w:spacing w:val="-11"/>
        </w:rPr>
        <w:t> </w:t>
      </w:r>
      <w:r>
        <w:rPr/>
        <w:t>persons</w:t>
      </w:r>
      <w:r>
        <w:rPr>
          <w:spacing w:val="-12"/>
        </w:rPr>
        <w:t> </w:t>
      </w:r>
      <w:r>
        <w:rPr/>
        <w:t>from</w:t>
      </w:r>
      <w:r>
        <w:rPr>
          <w:spacing w:val="-12"/>
        </w:rPr>
        <w:t> </w:t>
      </w:r>
      <w:r>
        <w:rPr/>
        <w:t>effectively</w:t>
      </w:r>
      <w:r>
        <w:rPr>
          <w:spacing w:val="-13"/>
        </w:rPr>
        <w:t> </w:t>
      </w:r>
      <w:r>
        <w:rPr/>
        <w:t>participating</w:t>
      </w:r>
      <w:r>
        <w:rPr>
          <w:spacing w:val="-10"/>
        </w:rPr>
        <w:t> </w:t>
      </w:r>
      <w:r>
        <w:rPr/>
        <w:t>in</w:t>
      </w:r>
      <w:r>
        <w:rPr>
          <w:spacing w:val="-11"/>
        </w:rPr>
        <w:t> </w:t>
      </w:r>
      <w:r>
        <w:rPr/>
        <w:t>our</w:t>
      </w:r>
      <w:r>
        <w:rPr>
          <w:spacing w:val="-12"/>
        </w:rPr>
        <w:t> </w:t>
      </w:r>
      <w:r>
        <w:rPr/>
        <w:t>decision- making process.</w:t>
      </w:r>
    </w:p>
    <w:p>
      <w:pPr>
        <w:spacing w:after="0"/>
        <w:jc w:val="both"/>
        <w:sectPr>
          <w:pgSz w:w="12240" w:h="15840"/>
          <w:pgMar w:header="0" w:footer="997" w:top="1000" w:bottom="1260" w:left="600" w:right="500"/>
        </w:sectPr>
      </w:pPr>
    </w:p>
    <w:p>
      <w:pPr>
        <w:pStyle w:val="BodyText"/>
        <w:spacing w:before="35"/>
        <w:ind w:left="840"/>
      </w:pPr>
      <w:r>
        <w:rPr/>
        <w:t>MaineDOT’s Public Involvement Plan may be found at: </w:t>
      </w:r>
      <w:hyperlink r:id="rId40">
        <w:r>
          <w:rPr>
            <w:color w:val="0000FF"/>
            <w:spacing w:val="-2"/>
            <w:u w:val="single" w:color="0000FF"/>
          </w:rPr>
          <w:t>https://www.maine.gov/mdot/planning/docs/MaineDOTPublicInvolvement1015.pdf</w:t>
        </w:r>
      </w:hyperlink>
    </w:p>
    <w:p>
      <w:pPr>
        <w:pStyle w:val="BodyText"/>
        <w:spacing w:before="5"/>
        <w:rPr>
          <w:sz w:val="13"/>
        </w:rPr>
      </w:pPr>
    </w:p>
    <w:p>
      <w:pPr>
        <w:pStyle w:val="Heading9"/>
        <w:spacing w:before="52"/>
        <w:ind w:left="840"/>
      </w:pPr>
      <w:r>
        <w:rPr>
          <w:u w:val="single"/>
        </w:rPr>
        <w:t>MaineDOT’s</w:t>
      </w:r>
      <w:r>
        <w:rPr>
          <w:spacing w:val="-5"/>
          <w:u w:val="single"/>
        </w:rPr>
        <w:t> </w:t>
      </w:r>
      <w:r>
        <w:rPr>
          <w:u w:val="single"/>
        </w:rPr>
        <w:t>Targeted</w:t>
      </w:r>
      <w:r>
        <w:rPr>
          <w:spacing w:val="-2"/>
          <w:u w:val="single"/>
        </w:rPr>
        <w:t> </w:t>
      </w:r>
      <w:r>
        <w:rPr>
          <w:u w:val="single"/>
        </w:rPr>
        <w:t>Minority</w:t>
      </w:r>
      <w:r>
        <w:rPr>
          <w:spacing w:val="-3"/>
          <w:u w:val="single"/>
        </w:rPr>
        <w:t> </w:t>
      </w:r>
      <w:r>
        <w:rPr>
          <w:u w:val="single"/>
        </w:rPr>
        <w:t>and</w:t>
      </w:r>
      <w:r>
        <w:rPr>
          <w:spacing w:val="-2"/>
          <w:u w:val="single"/>
        </w:rPr>
        <w:t> </w:t>
      </w:r>
      <w:r>
        <w:rPr>
          <w:u w:val="single"/>
        </w:rPr>
        <w:t>LEP</w:t>
      </w:r>
      <w:r>
        <w:rPr>
          <w:spacing w:val="-3"/>
          <w:u w:val="single"/>
        </w:rPr>
        <w:t> </w:t>
      </w:r>
      <w:r>
        <w:rPr>
          <w:u w:val="single"/>
        </w:rPr>
        <w:t>Outreach</w:t>
      </w:r>
      <w:r>
        <w:rPr>
          <w:spacing w:val="-1"/>
          <w:u w:val="single"/>
        </w:rPr>
        <w:t> </w:t>
      </w:r>
      <w:r>
        <w:rPr>
          <w:spacing w:val="-2"/>
          <w:u w:val="single"/>
        </w:rPr>
        <w:t>Strategies:</w:t>
      </w:r>
    </w:p>
    <w:p>
      <w:pPr>
        <w:pStyle w:val="BodyText"/>
        <w:spacing w:before="6"/>
        <w:rPr>
          <w:b/>
          <w:sz w:val="13"/>
        </w:rPr>
      </w:pPr>
    </w:p>
    <w:p>
      <w:pPr>
        <w:spacing w:before="51"/>
        <w:ind w:left="840" w:right="0" w:firstLine="0"/>
        <w:jc w:val="both"/>
        <w:rPr>
          <w:b/>
          <w:sz w:val="24"/>
        </w:rPr>
      </w:pPr>
      <w:r>
        <w:rPr>
          <w:b/>
          <w:sz w:val="24"/>
        </w:rPr>
        <w:t>MaineDOT’s</w:t>
      </w:r>
      <w:r>
        <w:rPr>
          <w:b/>
          <w:spacing w:val="-3"/>
          <w:sz w:val="24"/>
        </w:rPr>
        <w:t> </w:t>
      </w:r>
      <w:r>
        <w:rPr>
          <w:b/>
          <w:sz w:val="24"/>
        </w:rPr>
        <w:t>Virtual</w:t>
      </w:r>
      <w:r>
        <w:rPr>
          <w:b/>
          <w:spacing w:val="-2"/>
          <w:sz w:val="24"/>
        </w:rPr>
        <w:t> </w:t>
      </w:r>
      <w:r>
        <w:rPr>
          <w:b/>
          <w:sz w:val="24"/>
        </w:rPr>
        <w:t>Meetings</w:t>
      </w:r>
      <w:r>
        <w:rPr>
          <w:b/>
          <w:spacing w:val="-2"/>
          <w:sz w:val="24"/>
        </w:rPr>
        <w:t> Format</w:t>
      </w:r>
    </w:p>
    <w:p>
      <w:pPr>
        <w:pStyle w:val="BodyText"/>
        <w:spacing w:before="8"/>
        <w:rPr>
          <w:b/>
          <w:sz w:val="17"/>
        </w:rPr>
      </w:pPr>
    </w:p>
    <w:p>
      <w:pPr>
        <w:pStyle w:val="BodyText"/>
        <w:spacing w:before="1"/>
        <w:ind w:left="840" w:right="933"/>
        <w:jc w:val="both"/>
      </w:pPr>
      <w:r>
        <w:rPr/>
        <w:t>The limitations brought about by the COVID-19 pandemic of 2020 present unique challenges to traditional public participation in MaineDOT’s planning processes.</w:t>
      </w:r>
      <w:r>
        <w:rPr>
          <w:spacing w:val="40"/>
        </w:rPr>
        <w:t> </w:t>
      </w:r>
      <w:r>
        <w:rPr/>
        <w:t>Accordingly, MaineDOT recently adopted a virtual format to deliver transportation information to the public.</w:t>
      </w:r>
      <w:r>
        <w:rPr>
          <w:spacing w:val="40"/>
        </w:rPr>
        <w:t> </w:t>
      </w:r>
      <w:r>
        <w:rPr/>
        <w:t>This new virtual program is called the Public Involvement Management Application (PIMA).</w:t>
      </w:r>
      <w:r>
        <w:rPr>
          <w:spacing w:val="80"/>
        </w:rPr>
        <w:t> </w:t>
      </w:r>
      <w:r>
        <w:rPr/>
        <w:t>The Civil Rights</w:t>
      </w:r>
      <w:r>
        <w:rPr>
          <w:spacing w:val="-10"/>
        </w:rPr>
        <w:t> </w:t>
      </w:r>
      <w:r>
        <w:rPr/>
        <w:t>Office</w:t>
      </w:r>
      <w:r>
        <w:rPr>
          <w:spacing w:val="-12"/>
        </w:rPr>
        <w:t> </w:t>
      </w:r>
      <w:r>
        <w:rPr/>
        <w:t>will</w:t>
      </w:r>
      <w:r>
        <w:rPr>
          <w:spacing w:val="-12"/>
        </w:rPr>
        <w:t> </w:t>
      </w:r>
      <w:r>
        <w:rPr/>
        <w:t>work</w:t>
      </w:r>
      <w:r>
        <w:rPr>
          <w:spacing w:val="-13"/>
        </w:rPr>
        <w:t> </w:t>
      </w:r>
      <w:r>
        <w:rPr/>
        <w:t>with</w:t>
      </w:r>
      <w:r>
        <w:rPr>
          <w:spacing w:val="-11"/>
        </w:rPr>
        <w:t> </w:t>
      </w:r>
      <w:r>
        <w:rPr/>
        <w:t>the</w:t>
      </w:r>
      <w:r>
        <w:rPr>
          <w:spacing w:val="-12"/>
        </w:rPr>
        <w:t> </w:t>
      </w:r>
      <w:r>
        <w:rPr/>
        <w:t>Planning</w:t>
      </w:r>
      <w:r>
        <w:rPr>
          <w:spacing w:val="-12"/>
        </w:rPr>
        <w:t> </w:t>
      </w:r>
      <w:r>
        <w:rPr/>
        <w:t>Office</w:t>
      </w:r>
      <w:r>
        <w:rPr>
          <w:spacing w:val="-12"/>
        </w:rPr>
        <w:t> </w:t>
      </w:r>
      <w:r>
        <w:rPr/>
        <w:t>and</w:t>
      </w:r>
      <w:r>
        <w:rPr>
          <w:spacing w:val="-11"/>
        </w:rPr>
        <w:t> </w:t>
      </w:r>
      <w:r>
        <w:rPr/>
        <w:t>the</w:t>
      </w:r>
      <w:r>
        <w:rPr>
          <w:spacing w:val="-9"/>
        </w:rPr>
        <w:t> </w:t>
      </w:r>
      <w:r>
        <w:rPr/>
        <w:t>Bureau</w:t>
      </w:r>
      <w:r>
        <w:rPr>
          <w:spacing w:val="-11"/>
        </w:rPr>
        <w:t> </w:t>
      </w:r>
      <w:r>
        <w:rPr/>
        <w:t>of</w:t>
      </w:r>
      <w:r>
        <w:rPr>
          <w:spacing w:val="-11"/>
        </w:rPr>
        <w:t> </w:t>
      </w:r>
      <w:r>
        <w:rPr/>
        <w:t>Project</w:t>
      </w:r>
      <w:r>
        <w:rPr>
          <w:spacing w:val="-11"/>
        </w:rPr>
        <w:t> </w:t>
      </w:r>
      <w:r>
        <w:rPr/>
        <w:t>Development</w:t>
      </w:r>
      <w:r>
        <w:rPr>
          <w:spacing w:val="-13"/>
        </w:rPr>
        <w:t> </w:t>
      </w:r>
      <w:r>
        <w:rPr/>
        <w:t>to</w:t>
      </w:r>
      <w:r>
        <w:rPr>
          <w:spacing w:val="-11"/>
        </w:rPr>
        <w:t> </w:t>
      </w:r>
      <w:r>
        <w:rPr/>
        <w:t>ensure that stakeholders are identified, and notices of the virtual meetings are published in accessible places</w:t>
      </w:r>
      <w:r>
        <w:rPr>
          <w:spacing w:val="-12"/>
        </w:rPr>
        <w:t> </w:t>
      </w:r>
      <w:r>
        <w:rPr/>
        <w:t>and</w:t>
      </w:r>
      <w:r>
        <w:rPr>
          <w:spacing w:val="-12"/>
        </w:rPr>
        <w:t> </w:t>
      </w:r>
      <w:r>
        <w:rPr/>
        <w:t>in</w:t>
      </w:r>
      <w:r>
        <w:rPr>
          <w:spacing w:val="-10"/>
        </w:rPr>
        <w:t> </w:t>
      </w:r>
      <w:r>
        <w:rPr/>
        <w:t>a</w:t>
      </w:r>
      <w:r>
        <w:rPr>
          <w:spacing w:val="-11"/>
        </w:rPr>
        <w:t> </w:t>
      </w:r>
      <w:r>
        <w:rPr/>
        <w:t>variety</w:t>
      </w:r>
      <w:r>
        <w:rPr>
          <w:spacing w:val="-12"/>
        </w:rPr>
        <w:t> </w:t>
      </w:r>
      <w:r>
        <w:rPr/>
        <w:t>of</w:t>
      </w:r>
      <w:r>
        <w:rPr>
          <w:spacing w:val="-12"/>
        </w:rPr>
        <w:t> </w:t>
      </w:r>
      <w:r>
        <w:rPr/>
        <w:t>languages</w:t>
      </w:r>
      <w:r>
        <w:rPr>
          <w:spacing w:val="-11"/>
        </w:rPr>
        <w:t> </w:t>
      </w:r>
      <w:r>
        <w:rPr/>
        <w:t>spoken</w:t>
      </w:r>
      <w:r>
        <w:rPr>
          <w:spacing w:val="-10"/>
        </w:rPr>
        <w:t> </w:t>
      </w:r>
      <w:r>
        <w:rPr/>
        <w:t>by</w:t>
      </w:r>
      <w:r>
        <w:rPr>
          <w:spacing w:val="-12"/>
        </w:rPr>
        <w:t> </w:t>
      </w:r>
      <w:r>
        <w:rPr/>
        <w:t>LEP</w:t>
      </w:r>
      <w:r>
        <w:rPr>
          <w:spacing w:val="-13"/>
        </w:rPr>
        <w:t> </w:t>
      </w:r>
      <w:r>
        <w:rPr/>
        <w:t>persons</w:t>
      </w:r>
      <w:r>
        <w:rPr>
          <w:spacing w:val="-11"/>
        </w:rPr>
        <w:t> </w:t>
      </w:r>
      <w:r>
        <w:rPr/>
        <w:t>in</w:t>
      </w:r>
      <w:r>
        <w:rPr>
          <w:spacing w:val="-10"/>
        </w:rPr>
        <w:t> </w:t>
      </w:r>
      <w:r>
        <w:rPr/>
        <w:t>the</w:t>
      </w:r>
      <w:r>
        <w:rPr>
          <w:spacing w:val="-11"/>
        </w:rPr>
        <w:t> </w:t>
      </w:r>
      <w:r>
        <w:rPr/>
        <w:t>state.</w:t>
      </w:r>
      <w:r>
        <w:rPr>
          <w:spacing w:val="33"/>
        </w:rPr>
        <w:t> </w:t>
      </w:r>
      <w:r>
        <w:rPr/>
        <w:t>All</w:t>
      </w:r>
      <w:r>
        <w:rPr>
          <w:spacing w:val="-13"/>
        </w:rPr>
        <w:t> </w:t>
      </w:r>
      <w:r>
        <w:rPr/>
        <w:t>who</w:t>
      </w:r>
      <w:r>
        <w:rPr>
          <w:spacing w:val="-11"/>
        </w:rPr>
        <w:t> </w:t>
      </w:r>
      <w:r>
        <w:rPr/>
        <w:t>attend</w:t>
      </w:r>
      <w:r>
        <w:rPr>
          <w:spacing w:val="-10"/>
        </w:rPr>
        <w:t> </w:t>
      </w:r>
      <w:r>
        <w:rPr/>
        <w:t>the</w:t>
      </w:r>
      <w:r>
        <w:rPr>
          <w:spacing w:val="-11"/>
        </w:rPr>
        <w:t> </w:t>
      </w:r>
      <w:r>
        <w:rPr/>
        <w:t>virtual meetings</w:t>
      </w:r>
      <w:r>
        <w:rPr>
          <w:spacing w:val="-14"/>
        </w:rPr>
        <w:t> </w:t>
      </w:r>
      <w:r>
        <w:rPr/>
        <w:t>are</w:t>
      </w:r>
      <w:r>
        <w:rPr>
          <w:spacing w:val="-14"/>
        </w:rPr>
        <w:t> </w:t>
      </w:r>
      <w:r>
        <w:rPr/>
        <w:t>able</w:t>
      </w:r>
      <w:r>
        <w:rPr>
          <w:spacing w:val="-13"/>
        </w:rPr>
        <w:t> </w:t>
      </w:r>
      <w:r>
        <w:rPr/>
        <w:t>to</w:t>
      </w:r>
      <w:r>
        <w:rPr>
          <w:spacing w:val="-14"/>
        </w:rPr>
        <w:t> </w:t>
      </w:r>
      <w:r>
        <w:rPr/>
        <w:t>provide</w:t>
      </w:r>
      <w:r>
        <w:rPr>
          <w:spacing w:val="-13"/>
        </w:rPr>
        <w:t> </w:t>
      </w:r>
      <w:r>
        <w:rPr/>
        <w:t>input</w:t>
      </w:r>
      <w:r>
        <w:rPr>
          <w:spacing w:val="-14"/>
        </w:rPr>
        <w:t> </w:t>
      </w:r>
      <w:r>
        <w:rPr/>
        <w:t>into</w:t>
      </w:r>
      <w:r>
        <w:rPr>
          <w:spacing w:val="-13"/>
        </w:rPr>
        <w:t> </w:t>
      </w:r>
      <w:r>
        <w:rPr/>
        <w:t>the</w:t>
      </w:r>
      <w:r>
        <w:rPr>
          <w:spacing w:val="-14"/>
        </w:rPr>
        <w:t> </w:t>
      </w:r>
      <w:r>
        <w:rPr/>
        <w:t>process.</w:t>
      </w:r>
      <w:r>
        <w:rPr>
          <w:spacing w:val="14"/>
        </w:rPr>
        <w:t> </w:t>
      </w:r>
      <w:r>
        <w:rPr/>
        <w:t>One</w:t>
      </w:r>
      <w:r>
        <w:rPr>
          <w:spacing w:val="-13"/>
        </w:rPr>
        <w:t> </w:t>
      </w:r>
      <w:r>
        <w:rPr/>
        <w:t>strategy</w:t>
      </w:r>
      <w:r>
        <w:rPr>
          <w:spacing w:val="-14"/>
        </w:rPr>
        <w:t> </w:t>
      </w:r>
      <w:r>
        <w:rPr/>
        <w:t>that</w:t>
      </w:r>
      <w:r>
        <w:rPr>
          <w:spacing w:val="-13"/>
        </w:rPr>
        <w:t> </w:t>
      </w:r>
      <w:r>
        <w:rPr/>
        <w:t>MaineDOT</w:t>
      </w:r>
      <w:r>
        <w:rPr>
          <w:spacing w:val="-14"/>
        </w:rPr>
        <w:t> </w:t>
      </w:r>
      <w:r>
        <w:rPr/>
        <w:t>has</w:t>
      </w:r>
      <w:r>
        <w:rPr>
          <w:spacing w:val="-13"/>
        </w:rPr>
        <w:t> </w:t>
      </w:r>
      <w:r>
        <w:rPr/>
        <w:t>undertaken to</w:t>
      </w:r>
      <w:r>
        <w:rPr>
          <w:spacing w:val="-3"/>
        </w:rPr>
        <w:t> </w:t>
      </w:r>
      <w:r>
        <w:rPr/>
        <w:t>ensure</w:t>
      </w:r>
      <w:r>
        <w:rPr>
          <w:spacing w:val="-2"/>
        </w:rPr>
        <w:t> </w:t>
      </w:r>
      <w:r>
        <w:rPr/>
        <w:t>LEP</w:t>
      </w:r>
      <w:r>
        <w:rPr>
          <w:spacing w:val="-3"/>
        </w:rPr>
        <w:t> </w:t>
      </w:r>
      <w:r>
        <w:rPr/>
        <w:t>persons</w:t>
      </w:r>
      <w:r>
        <w:rPr>
          <w:spacing w:val="-3"/>
        </w:rPr>
        <w:t> </w:t>
      </w:r>
      <w:r>
        <w:rPr/>
        <w:t>in</w:t>
      </w:r>
      <w:r>
        <w:rPr>
          <w:spacing w:val="-3"/>
        </w:rPr>
        <w:t> </w:t>
      </w:r>
      <w:r>
        <w:rPr/>
        <w:t>the</w:t>
      </w:r>
      <w:r>
        <w:rPr>
          <w:spacing w:val="-4"/>
        </w:rPr>
        <w:t> </w:t>
      </w:r>
      <w:r>
        <w:rPr/>
        <w:t>state</w:t>
      </w:r>
      <w:r>
        <w:rPr>
          <w:spacing w:val="-2"/>
        </w:rPr>
        <w:t> </w:t>
      </w:r>
      <w:r>
        <w:rPr/>
        <w:t>can</w:t>
      </w:r>
      <w:r>
        <w:rPr>
          <w:spacing w:val="-3"/>
        </w:rPr>
        <w:t> </w:t>
      </w:r>
      <w:r>
        <w:rPr/>
        <w:t>engage</w:t>
      </w:r>
      <w:r>
        <w:rPr>
          <w:spacing w:val="-4"/>
        </w:rPr>
        <w:t> </w:t>
      </w:r>
      <w:r>
        <w:rPr/>
        <w:t>and</w:t>
      </w:r>
      <w:r>
        <w:rPr>
          <w:spacing w:val="-3"/>
        </w:rPr>
        <w:t> </w:t>
      </w:r>
      <w:r>
        <w:rPr/>
        <w:t>access</w:t>
      </w:r>
      <w:r>
        <w:rPr>
          <w:spacing w:val="-3"/>
        </w:rPr>
        <w:t> </w:t>
      </w:r>
      <w:r>
        <w:rPr/>
        <w:t>information</w:t>
      </w:r>
      <w:r>
        <w:rPr>
          <w:spacing w:val="-3"/>
        </w:rPr>
        <w:t> </w:t>
      </w:r>
      <w:r>
        <w:rPr/>
        <w:t>in</w:t>
      </w:r>
      <w:r>
        <w:rPr>
          <w:spacing w:val="-4"/>
        </w:rPr>
        <w:t> </w:t>
      </w:r>
      <w:r>
        <w:rPr/>
        <w:t>an</w:t>
      </w:r>
      <w:r>
        <w:rPr>
          <w:spacing w:val="-3"/>
        </w:rPr>
        <w:t> </w:t>
      </w:r>
      <w:r>
        <w:rPr/>
        <w:t>accessible</w:t>
      </w:r>
      <w:r>
        <w:rPr>
          <w:spacing w:val="-2"/>
        </w:rPr>
        <w:t> </w:t>
      </w:r>
      <w:r>
        <w:rPr/>
        <w:t>manner</w:t>
      </w:r>
      <w:r>
        <w:rPr>
          <w:spacing w:val="-2"/>
        </w:rPr>
        <w:t> </w:t>
      </w:r>
      <w:r>
        <w:rPr/>
        <w:t>is to provide certified translators at all public meetings, upon request.</w:t>
      </w:r>
    </w:p>
    <w:p>
      <w:pPr>
        <w:pStyle w:val="BodyText"/>
        <w:spacing w:before="9"/>
        <w:rPr>
          <w:sz w:val="17"/>
        </w:rPr>
      </w:pPr>
    </w:p>
    <w:p>
      <w:pPr>
        <w:pStyle w:val="BodyText"/>
        <w:ind w:left="840" w:right="931"/>
        <w:jc w:val="both"/>
      </w:pPr>
      <w:r>
        <w:rPr/>
        <w:t>MaineDOT implemented PIMA in an effort to give many more community members the opportunity to attend public meetings than before when meetings were held solely in-person. The virtual meeting format, PIMA, has broadened MaineDOT’s ability to provide meaningful access</w:t>
      </w:r>
      <w:r>
        <w:rPr>
          <w:spacing w:val="-5"/>
        </w:rPr>
        <w:t> </w:t>
      </w:r>
      <w:r>
        <w:rPr/>
        <w:t>to</w:t>
      </w:r>
      <w:r>
        <w:rPr>
          <w:spacing w:val="-3"/>
        </w:rPr>
        <w:t> </w:t>
      </w:r>
      <w:r>
        <w:rPr/>
        <w:t>minorities,</w:t>
      </w:r>
      <w:r>
        <w:rPr>
          <w:spacing w:val="-1"/>
        </w:rPr>
        <w:t> </w:t>
      </w:r>
      <w:r>
        <w:rPr/>
        <w:t>LEP</w:t>
      </w:r>
      <w:r>
        <w:rPr>
          <w:spacing w:val="-7"/>
        </w:rPr>
        <w:t> </w:t>
      </w:r>
      <w:r>
        <w:rPr/>
        <w:t>people,</w:t>
      </w:r>
      <w:r>
        <w:rPr>
          <w:spacing w:val="-4"/>
        </w:rPr>
        <w:t> </w:t>
      </w:r>
      <w:r>
        <w:rPr/>
        <w:t>and</w:t>
      </w:r>
      <w:r>
        <w:rPr>
          <w:spacing w:val="-3"/>
        </w:rPr>
        <w:t> </w:t>
      </w:r>
      <w:r>
        <w:rPr/>
        <w:t>other</w:t>
      </w:r>
      <w:r>
        <w:rPr>
          <w:spacing w:val="-4"/>
        </w:rPr>
        <w:t> </w:t>
      </w:r>
      <w:r>
        <w:rPr/>
        <w:t>underserved</w:t>
      </w:r>
      <w:r>
        <w:rPr>
          <w:spacing w:val="-4"/>
        </w:rPr>
        <w:t> </w:t>
      </w:r>
      <w:r>
        <w:rPr/>
        <w:t>and</w:t>
      </w:r>
      <w:r>
        <w:rPr>
          <w:spacing w:val="-3"/>
        </w:rPr>
        <w:t> </w:t>
      </w:r>
      <w:r>
        <w:rPr/>
        <w:t>underrepresented</w:t>
      </w:r>
      <w:r>
        <w:rPr>
          <w:spacing w:val="-3"/>
        </w:rPr>
        <w:t> </w:t>
      </w:r>
      <w:r>
        <w:rPr/>
        <w:t>people</w:t>
      </w:r>
      <w:r>
        <w:rPr>
          <w:spacing w:val="-3"/>
        </w:rPr>
        <w:t> </w:t>
      </w:r>
      <w:r>
        <w:rPr>
          <w:spacing w:val="-2"/>
        </w:rPr>
        <w:t>because:</w:t>
      </w:r>
    </w:p>
    <w:p>
      <w:pPr>
        <w:pStyle w:val="ListParagraph"/>
        <w:numPr>
          <w:ilvl w:val="0"/>
          <w:numId w:val="11"/>
        </w:numPr>
        <w:tabs>
          <w:tab w:pos="1560" w:val="left" w:leader="none"/>
        </w:tabs>
        <w:spacing w:line="240" w:lineRule="auto" w:before="214" w:after="0"/>
        <w:ind w:left="1560" w:right="932" w:hanging="360"/>
        <w:jc w:val="both"/>
        <w:rPr>
          <w:sz w:val="24"/>
        </w:rPr>
      </w:pPr>
      <w:r>
        <w:rPr>
          <w:sz w:val="24"/>
        </w:rPr>
        <w:t>Virtual</w:t>
      </w:r>
      <w:r>
        <w:rPr>
          <w:spacing w:val="-10"/>
          <w:sz w:val="24"/>
        </w:rPr>
        <w:t> </w:t>
      </w:r>
      <w:r>
        <w:rPr>
          <w:sz w:val="24"/>
        </w:rPr>
        <w:t>meetings</w:t>
      </w:r>
      <w:r>
        <w:rPr>
          <w:spacing w:val="-10"/>
          <w:sz w:val="24"/>
        </w:rPr>
        <w:t> </w:t>
      </w:r>
      <w:r>
        <w:rPr>
          <w:sz w:val="24"/>
        </w:rPr>
        <w:t>improve</w:t>
      </w:r>
      <w:r>
        <w:rPr>
          <w:spacing w:val="-9"/>
          <w:sz w:val="24"/>
        </w:rPr>
        <w:t> </w:t>
      </w:r>
      <w:r>
        <w:rPr>
          <w:sz w:val="24"/>
        </w:rPr>
        <w:t>meeting</w:t>
      </w:r>
      <w:r>
        <w:rPr>
          <w:spacing w:val="-10"/>
          <w:sz w:val="24"/>
        </w:rPr>
        <w:t> </w:t>
      </w:r>
      <w:r>
        <w:rPr>
          <w:sz w:val="24"/>
        </w:rPr>
        <w:t>accessibility</w:t>
      </w:r>
      <w:r>
        <w:rPr>
          <w:spacing w:val="-10"/>
          <w:sz w:val="24"/>
        </w:rPr>
        <w:t> </w:t>
      </w:r>
      <w:r>
        <w:rPr>
          <w:sz w:val="24"/>
        </w:rPr>
        <w:t>and</w:t>
      </w:r>
      <w:r>
        <w:rPr>
          <w:spacing w:val="-9"/>
          <w:sz w:val="24"/>
        </w:rPr>
        <w:t> </w:t>
      </w:r>
      <w:r>
        <w:rPr>
          <w:sz w:val="24"/>
        </w:rPr>
        <w:t>eliminate</w:t>
      </w:r>
      <w:r>
        <w:rPr>
          <w:spacing w:val="-12"/>
          <w:sz w:val="24"/>
        </w:rPr>
        <w:t> </w:t>
      </w:r>
      <w:r>
        <w:rPr>
          <w:sz w:val="24"/>
        </w:rPr>
        <w:t>physical</w:t>
      </w:r>
      <w:r>
        <w:rPr>
          <w:spacing w:val="-10"/>
          <w:sz w:val="24"/>
        </w:rPr>
        <w:t> </w:t>
      </w:r>
      <w:r>
        <w:rPr>
          <w:sz w:val="24"/>
        </w:rPr>
        <w:t>barriers</w:t>
      </w:r>
      <w:r>
        <w:rPr>
          <w:spacing w:val="-10"/>
          <w:sz w:val="24"/>
        </w:rPr>
        <w:t> </w:t>
      </w:r>
      <w:r>
        <w:rPr>
          <w:sz w:val="24"/>
        </w:rPr>
        <w:t>to</w:t>
      </w:r>
      <w:r>
        <w:rPr>
          <w:spacing w:val="-12"/>
          <w:sz w:val="24"/>
        </w:rPr>
        <w:t> </w:t>
      </w:r>
      <w:r>
        <w:rPr>
          <w:sz w:val="24"/>
        </w:rPr>
        <w:t>meeting attendance.</w:t>
      </w:r>
      <w:r>
        <w:rPr>
          <w:spacing w:val="38"/>
          <w:sz w:val="24"/>
        </w:rPr>
        <w:t> </w:t>
      </w:r>
      <w:r>
        <w:rPr>
          <w:sz w:val="24"/>
        </w:rPr>
        <w:t>Virtual</w:t>
      </w:r>
      <w:r>
        <w:rPr>
          <w:spacing w:val="-10"/>
          <w:sz w:val="24"/>
        </w:rPr>
        <w:t> </w:t>
      </w:r>
      <w:r>
        <w:rPr>
          <w:sz w:val="24"/>
        </w:rPr>
        <w:t>meetings</w:t>
      </w:r>
      <w:r>
        <w:rPr>
          <w:spacing w:val="-10"/>
          <w:sz w:val="24"/>
        </w:rPr>
        <w:t> </w:t>
      </w:r>
      <w:r>
        <w:rPr>
          <w:sz w:val="24"/>
        </w:rPr>
        <w:t>allow</w:t>
      </w:r>
      <w:r>
        <w:rPr>
          <w:spacing w:val="-9"/>
          <w:sz w:val="24"/>
        </w:rPr>
        <w:t> </w:t>
      </w:r>
      <w:r>
        <w:rPr>
          <w:sz w:val="24"/>
        </w:rPr>
        <w:t>people</w:t>
      </w:r>
      <w:r>
        <w:rPr>
          <w:spacing w:val="-9"/>
          <w:sz w:val="24"/>
        </w:rPr>
        <w:t> </w:t>
      </w:r>
      <w:r>
        <w:rPr>
          <w:sz w:val="24"/>
        </w:rPr>
        <w:t>to</w:t>
      </w:r>
      <w:r>
        <w:rPr>
          <w:spacing w:val="-9"/>
          <w:sz w:val="24"/>
        </w:rPr>
        <w:t> </w:t>
      </w:r>
      <w:r>
        <w:rPr>
          <w:sz w:val="24"/>
        </w:rPr>
        <w:t>participate</w:t>
      </w:r>
      <w:r>
        <w:rPr>
          <w:spacing w:val="-9"/>
          <w:sz w:val="24"/>
        </w:rPr>
        <w:t> </w:t>
      </w:r>
      <w:r>
        <w:rPr>
          <w:sz w:val="24"/>
        </w:rPr>
        <w:t>from</w:t>
      </w:r>
      <w:r>
        <w:rPr>
          <w:spacing w:val="-9"/>
          <w:sz w:val="24"/>
        </w:rPr>
        <w:t> </w:t>
      </w:r>
      <w:r>
        <w:rPr>
          <w:sz w:val="24"/>
        </w:rPr>
        <w:t>home</w:t>
      </w:r>
      <w:r>
        <w:rPr>
          <w:spacing w:val="-9"/>
          <w:sz w:val="24"/>
        </w:rPr>
        <w:t> </w:t>
      </w:r>
      <w:r>
        <w:rPr>
          <w:sz w:val="24"/>
        </w:rPr>
        <w:t>or</w:t>
      </w:r>
      <w:r>
        <w:rPr>
          <w:spacing w:val="-9"/>
          <w:sz w:val="24"/>
        </w:rPr>
        <w:t> </w:t>
      </w:r>
      <w:r>
        <w:rPr>
          <w:sz w:val="24"/>
        </w:rPr>
        <w:t>another</w:t>
      </w:r>
      <w:r>
        <w:rPr>
          <w:spacing w:val="-7"/>
          <w:sz w:val="24"/>
        </w:rPr>
        <w:t> </w:t>
      </w:r>
      <w:r>
        <w:rPr>
          <w:sz w:val="24"/>
        </w:rPr>
        <w:t>location, reducing transportation costs and geographical barriers, as well as travel time for those who are busy working to support themselves and their families.</w:t>
      </w:r>
      <w:r>
        <w:rPr>
          <w:spacing w:val="40"/>
          <w:sz w:val="24"/>
        </w:rPr>
        <w:t> </w:t>
      </w:r>
      <w:r>
        <w:rPr>
          <w:sz w:val="24"/>
        </w:rPr>
        <w:t>Those with mobility issues or limited access to transportation particularly benefit from virtual meetings.</w:t>
      </w:r>
    </w:p>
    <w:p>
      <w:pPr>
        <w:pStyle w:val="BodyText"/>
        <w:spacing w:before="9"/>
        <w:rPr>
          <w:sz w:val="17"/>
        </w:rPr>
      </w:pPr>
    </w:p>
    <w:p>
      <w:pPr>
        <w:pStyle w:val="ListParagraph"/>
        <w:numPr>
          <w:ilvl w:val="0"/>
          <w:numId w:val="11"/>
        </w:numPr>
        <w:tabs>
          <w:tab w:pos="1560" w:val="left" w:leader="none"/>
        </w:tabs>
        <w:spacing w:line="240" w:lineRule="auto" w:before="1" w:after="0"/>
        <w:ind w:left="1560" w:right="934" w:hanging="360"/>
        <w:jc w:val="both"/>
        <w:rPr>
          <w:sz w:val="24"/>
        </w:rPr>
      </w:pPr>
      <w:r>
        <w:rPr>
          <w:sz w:val="24"/>
        </w:rPr>
        <w:t>Virtual meetings offer people greater flexibility because they accommodate different schedules and time zones, empowering people with work or family commitments, like childcare, to participate.</w:t>
      </w:r>
    </w:p>
    <w:p>
      <w:pPr>
        <w:pStyle w:val="ListParagraph"/>
        <w:numPr>
          <w:ilvl w:val="0"/>
          <w:numId w:val="11"/>
        </w:numPr>
        <w:tabs>
          <w:tab w:pos="1560" w:val="left" w:leader="none"/>
        </w:tabs>
        <w:spacing w:line="240" w:lineRule="auto" w:before="214" w:after="0"/>
        <w:ind w:left="1560" w:right="934" w:hanging="360"/>
        <w:jc w:val="both"/>
        <w:rPr>
          <w:sz w:val="24"/>
        </w:rPr>
      </w:pPr>
      <w:r>
        <w:rPr>
          <w:sz w:val="24"/>
        </w:rPr>
        <w:t>Because participants can choose whether or not to reveal their video, virtual meetings can lessen</w:t>
      </w:r>
      <w:r>
        <w:rPr>
          <w:spacing w:val="-1"/>
          <w:sz w:val="24"/>
        </w:rPr>
        <w:t> </w:t>
      </w:r>
      <w:r>
        <w:rPr>
          <w:sz w:val="24"/>
        </w:rPr>
        <w:t>the</w:t>
      </w:r>
      <w:r>
        <w:rPr>
          <w:spacing w:val="-2"/>
          <w:sz w:val="24"/>
        </w:rPr>
        <w:t> </w:t>
      </w:r>
      <w:r>
        <w:rPr>
          <w:sz w:val="24"/>
        </w:rPr>
        <w:t>influence</w:t>
      </w:r>
      <w:r>
        <w:rPr>
          <w:spacing w:val="-2"/>
          <w:sz w:val="24"/>
        </w:rPr>
        <w:t> </w:t>
      </w:r>
      <w:r>
        <w:rPr>
          <w:sz w:val="24"/>
        </w:rPr>
        <w:t>of</w:t>
      </w:r>
      <w:r>
        <w:rPr>
          <w:spacing w:val="-1"/>
          <w:sz w:val="24"/>
        </w:rPr>
        <w:t> </w:t>
      </w:r>
      <w:r>
        <w:rPr>
          <w:sz w:val="24"/>
        </w:rPr>
        <w:t>biases</w:t>
      </w:r>
      <w:r>
        <w:rPr>
          <w:spacing w:val="-3"/>
          <w:sz w:val="24"/>
        </w:rPr>
        <w:t> </w:t>
      </w:r>
      <w:r>
        <w:rPr>
          <w:sz w:val="24"/>
        </w:rPr>
        <w:t>or</w:t>
      </w:r>
      <w:r>
        <w:rPr>
          <w:spacing w:val="-5"/>
          <w:sz w:val="24"/>
        </w:rPr>
        <w:t> </w:t>
      </w:r>
      <w:r>
        <w:rPr>
          <w:sz w:val="24"/>
        </w:rPr>
        <w:t>prejudices</w:t>
      </w:r>
      <w:r>
        <w:rPr>
          <w:spacing w:val="-3"/>
          <w:sz w:val="24"/>
        </w:rPr>
        <w:t> </w:t>
      </w:r>
      <w:r>
        <w:rPr>
          <w:sz w:val="24"/>
        </w:rPr>
        <w:t>related</w:t>
      </w:r>
      <w:r>
        <w:rPr>
          <w:spacing w:val="-4"/>
          <w:sz w:val="24"/>
        </w:rPr>
        <w:t> </w:t>
      </w:r>
      <w:r>
        <w:rPr>
          <w:sz w:val="24"/>
        </w:rPr>
        <w:t>to</w:t>
      </w:r>
      <w:r>
        <w:rPr>
          <w:spacing w:val="-2"/>
          <w:sz w:val="24"/>
        </w:rPr>
        <w:t> </w:t>
      </w:r>
      <w:r>
        <w:rPr>
          <w:sz w:val="24"/>
        </w:rPr>
        <w:t>appearance,</w:t>
      </w:r>
      <w:r>
        <w:rPr>
          <w:spacing w:val="-2"/>
          <w:sz w:val="24"/>
        </w:rPr>
        <w:t> </w:t>
      </w:r>
      <w:r>
        <w:rPr>
          <w:sz w:val="24"/>
        </w:rPr>
        <w:t>race, ethnicity,</w:t>
      </w:r>
      <w:r>
        <w:rPr>
          <w:spacing w:val="-2"/>
          <w:sz w:val="24"/>
        </w:rPr>
        <w:t> </w:t>
      </w:r>
      <w:r>
        <w:rPr>
          <w:sz w:val="24"/>
        </w:rPr>
        <w:t>or other factors.</w:t>
      </w:r>
    </w:p>
    <w:p>
      <w:pPr>
        <w:pStyle w:val="BodyText"/>
        <w:spacing w:before="10"/>
        <w:rPr>
          <w:sz w:val="17"/>
        </w:rPr>
      </w:pPr>
    </w:p>
    <w:p>
      <w:pPr>
        <w:pStyle w:val="ListParagraph"/>
        <w:numPr>
          <w:ilvl w:val="0"/>
          <w:numId w:val="11"/>
        </w:numPr>
        <w:tabs>
          <w:tab w:pos="1560" w:val="left" w:leader="none"/>
        </w:tabs>
        <w:spacing w:line="240" w:lineRule="auto" w:before="0" w:after="0"/>
        <w:ind w:left="1560" w:right="934" w:hanging="360"/>
        <w:jc w:val="both"/>
        <w:rPr>
          <w:sz w:val="24"/>
        </w:rPr>
      </w:pPr>
      <w:r>
        <w:rPr>
          <w:sz w:val="24"/>
        </w:rPr>
        <w:t>Participating in virtual meetings that they may not otherwise have access to allows underserved and underrepresented people to widen their social and professional </w:t>
      </w:r>
      <w:r>
        <w:rPr>
          <w:spacing w:val="-2"/>
          <w:sz w:val="24"/>
        </w:rPr>
        <w:t>networks.</w:t>
      </w:r>
    </w:p>
    <w:p>
      <w:pPr>
        <w:pStyle w:val="BodyText"/>
        <w:spacing w:before="10"/>
        <w:rPr>
          <w:sz w:val="17"/>
        </w:rPr>
      </w:pPr>
    </w:p>
    <w:p>
      <w:pPr>
        <w:pStyle w:val="BodyText"/>
        <w:ind w:left="840" w:right="933"/>
        <w:jc w:val="both"/>
      </w:pPr>
      <w:r>
        <w:rPr/>
        <w:t>MaineDOT</w:t>
      </w:r>
      <w:r>
        <w:rPr>
          <w:spacing w:val="-6"/>
        </w:rPr>
        <w:t> </w:t>
      </w:r>
      <w:r>
        <w:rPr/>
        <w:t>aims</w:t>
      </w:r>
      <w:r>
        <w:rPr>
          <w:spacing w:val="-9"/>
        </w:rPr>
        <w:t> </w:t>
      </w:r>
      <w:r>
        <w:rPr/>
        <w:t>to</w:t>
      </w:r>
      <w:r>
        <w:rPr>
          <w:spacing w:val="-8"/>
        </w:rPr>
        <w:t> </w:t>
      </w:r>
      <w:r>
        <w:rPr/>
        <w:t>ensure</w:t>
      </w:r>
      <w:r>
        <w:rPr>
          <w:spacing w:val="-6"/>
        </w:rPr>
        <w:t> </w:t>
      </w:r>
      <w:r>
        <w:rPr/>
        <w:t>that</w:t>
      </w:r>
      <w:r>
        <w:rPr>
          <w:spacing w:val="-8"/>
        </w:rPr>
        <w:t> </w:t>
      </w:r>
      <w:r>
        <w:rPr/>
        <w:t>no</w:t>
      </w:r>
      <w:r>
        <w:rPr>
          <w:spacing w:val="-6"/>
        </w:rPr>
        <w:t> </w:t>
      </w:r>
      <w:r>
        <w:rPr/>
        <w:t>one,</w:t>
      </w:r>
      <w:r>
        <w:rPr>
          <w:spacing w:val="-9"/>
        </w:rPr>
        <w:t> </w:t>
      </w:r>
      <w:r>
        <w:rPr/>
        <w:t>including</w:t>
      </w:r>
      <w:r>
        <w:rPr>
          <w:spacing w:val="-11"/>
        </w:rPr>
        <w:t> </w:t>
      </w:r>
      <w:r>
        <w:rPr/>
        <w:t>minorities</w:t>
      </w:r>
      <w:r>
        <w:rPr>
          <w:spacing w:val="-7"/>
        </w:rPr>
        <w:t> </w:t>
      </w:r>
      <w:r>
        <w:rPr/>
        <w:t>and</w:t>
      </w:r>
      <w:r>
        <w:rPr>
          <w:spacing w:val="-8"/>
        </w:rPr>
        <w:t> </w:t>
      </w:r>
      <w:r>
        <w:rPr/>
        <w:t>LEP</w:t>
      </w:r>
      <w:r>
        <w:rPr>
          <w:spacing w:val="-8"/>
        </w:rPr>
        <w:t> </w:t>
      </w:r>
      <w:r>
        <w:rPr/>
        <w:t>citizens,</w:t>
      </w:r>
      <w:r>
        <w:rPr>
          <w:spacing w:val="-6"/>
        </w:rPr>
        <w:t> </w:t>
      </w:r>
      <w:r>
        <w:rPr/>
        <w:t>are</w:t>
      </w:r>
      <w:r>
        <w:rPr>
          <w:spacing w:val="-8"/>
        </w:rPr>
        <w:t> </w:t>
      </w:r>
      <w:r>
        <w:rPr/>
        <w:t>impacted</w:t>
      </w:r>
      <w:r>
        <w:rPr>
          <w:spacing w:val="-8"/>
        </w:rPr>
        <w:t> </w:t>
      </w:r>
      <w:r>
        <w:rPr/>
        <w:t>by</w:t>
      </w:r>
      <w:r>
        <w:rPr>
          <w:spacing w:val="-9"/>
        </w:rPr>
        <w:t> </w:t>
      </w:r>
      <w:r>
        <w:rPr/>
        <w:t>the digital divide in participating in virtual meetings.</w:t>
      </w:r>
      <w:r>
        <w:rPr>
          <w:spacing w:val="40"/>
        </w:rPr>
        <w:t> </w:t>
      </w:r>
      <w:r>
        <w:rPr/>
        <w:t>In an effort to ensure that virtual information dissemination and collection of feedback is accessible to underserved and underrepresented people, MaineDOT aims to continue and expand the virtual meeting format while continuing to hold</w:t>
      </w:r>
      <w:r>
        <w:rPr>
          <w:spacing w:val="-9"/>
        </w:rPr>
        <w:t> </w:t>
      </w:r>
      <w:r>
        <w:rPr/>
        <w:t>meetings</w:t>
      </w:r>
      <w:r>
        <w:rPr>
          <w:spacing w:val="-8"/>
        </w:rPr>
        <w:t> </w:t>
      </w:r>
      <w:r>
        <w:rPr/>
        <w:t>in-person.</w:t>
      </w:r>
      <w:r>
        <w:rPr>
          <w:spacing w:val="35"/>
        </w:rPr>
        <w:t> </w:t>
      </w:r>
      <w:r>
        <w:rPr/>
        <w:t>MaineDOT</w:t>
      </w:r>
      <w:r>
        <w:rPr>
          <w:spacing w:val="-9"/>
        </w:rPr>
        <w:t> </w:t>
      </w:r>
      <w:r>
        <w:rPr/>
        <w:t>seeks</w:t>
      </w:r>
      <w:r>
        <w:rPr>
          <w:spacing w:val="-10"/>
        </w:rPr>
        <w:t> </w:t>
      </w:r>
      <w:r>
        <w:rPr/>
        <w:t>to</w:t>
      </w:r>
      <w:r>
        <w:rPr>
          <w:spacing w:val="-9"/>
        </w:rPr>
        <w:t> </w:t>
      </w:r>
      <w:r>
        <w:rPr/>
        <w:t>offer</w:t>
      </w:r>
      <w:r>
        <w:rPr>
          <w:spacing w:val="-7"/>
        </w:rPr>
        <w:t> </w:t>
      </w:r>
      <w:r>
        <w:rPr/>
        <w:t>all</w:t>
      </w:r>
      <w:r>
        <w:rPr>
          <w:spacing w:val="-10"/>
        </w:rPr>
        <w:t> </w:t>
      </w:r>
      <w:r>
        <w:rPr/>
        <w:t>community</w:t>
      </w:r>
      <w:r>
        <w:rPr>
          <w:spacing w:val="-10"/>
        </w:rPr>
        <w:t> </w:t>
      </w:r>
      <w:r>
        <w:rPr/>
        <w:t>members,</w:t>
      </w:r>
      <w:r>
        <w:rPr>
          <w:spacing w:val="-7"/>
        </w:rPr>
        <w:t> </w:t>
      </w:r>
      <w:r>
        <w:rPr/>
        <w:t>including</w:t>
      </w:r>
      <w:r>
        <w:rPr>
          <w:spacing w:val="-10"/>
        </w:rPr>
        <w:t> </w:t>
      </w:r>
      <w:r>
        <w:rPr/>
        <w:t>minorities and LEP citizens, a variety of accessible formats in which to engage and participate in transit decision-making</w:t>
      </w:r>
      <w:r>
        <w:rPr>
          <w:spacing w:val="-16"/>
        </w:rPr>
        <w:t> </w:t>
      </w:r>
      <w:r>
        <w:rPr/>
        <w:t>processes.</w:t>
      </w:r>
      <w:r>
        <w:rPr>
          <w:spacing w:val="10"/>
        </w:rPr>
        <w:t> </w:t>
      </w:r>
      <w:r>
        <w:rPr/>
        <w:t>MaineDOT</w:t>
      </w:r>
      <w:r>
        <w:rPr>
          <w:spacing w:val="-14"/>
        </w:rPr>
        <w:t> </w:t>
      </w:r>
      <w:r>
        <w:rPr/>
        <w:t>uses</w:t>
      </w:r>
      <w:r>
        <w:rPr>
          <w:spacing w:val="-13"/>
        </w:rPr>
        <w:t> </w:t>
      </w:r>
      <w:r>
        <w:rPr/>
        <w:t>meeting</w:t>
      </w:r>
      <w:r>
        <w:rPr>
          <w:spacing w:val="-14"/>
        </w:rPr>
        <w:t> </w:t>
      </w:r>
      <w:r>
        <w:rPr/>
        <w:t>participant</w:t>
      </w:r>
      <w:r>
        <w:rPr>
          <w:spacing w:val="-13"/>
        </w:rPr>
        <w:t> </w:t>
      </w:r>
      <w:r>
        <w:rPr/>
        <w:t>registration</w:t>
      </w:r>
      <w:r>
        <w:rPr>
          <w:spacing w:val="-13"/>
        </w:rPr>
        <w:t> </w:t>
      </w:r>
      <w:r>
        <w:rPr/>
        <w:t>information</w:t>
      </w:r>
      <w:r>
        <w:rPr>
          <w:spacing w:val="-14"/>
        </w:rPr>
        <w:t> </w:t>
      </w:r>
      <w:r>
        <w:rPr/>
        <w:t>to</w:t>
      </w:r>
      <w:r>
        <w:rPr>
          <w:spacing w:val="-13"/>
        </w:rPr>
        <w:t> </w:t>
      </w:r>
      <w:r>
        <w:rPr>
          <w:spacing w:val="-2"/>
        </w:rPr>
        <w:t>track</w:t>
      </w:r>
    </w:p>
    <w:p>
      <w:pPr>
        <w:spacing w:after="0"/>
        <w:jc w:val="both"/>
        <w:sectPr>
          <w:pgSz w:w="12240" w:h="15840"/>
          <w:pgMar w:header="0" w:footer="997" w:top="960" w:bottom="1260" w:left="600" w:right="500"/>
        </w:sectPr>
      </w:pPr>
    </w:p>
    <w:p>
      <w:pPr>
        <w:pStyle w:val="BodyText"/>
        <w:spacing w:before="35"/>
        <w:ind w:left="840" w:right="933"/>
        <w:jc w:val="both"/>
      </w:pPr>
      <w:r>
        <w:rPr/>
        <w:t>attendance and document the demographic profile of meeting attendees.</w:t>
      </w:r>
      <w:r>
        <w:rPr>
          <w:spacing w:val="40"/>
        </w:rPr>
        <w:t> </w:t>
      </w:r>
      <w:r>
        <w:rPr/>
        <w:t>Public involvement processes include advisory and stakeholder committees and other transportation planning </w:t>
      </w:r>
      <w:r>
        <w:rPr>
          <w:spacing w:val="-2"/>
        </w:rPr>
        <w:t>partners.</w:t>
      </w:r>
    </w:p>
    <w:p>
      <w:pPr>
        <w:pStyle w:val="BodyText"/>
        <w:spacing w:before="216"/>
        <w:ind w:left="840" w:right="1079"/>
      </w:pPr>
      <w:r>
        <w:rPr/>
        <w:t>MaineDOT</w:t>
      </w:r>
      <w:r>
        <w:rPr>
          <w:spacing w:val="-2"/>
        </w:rPr>
        <w:t> </w:t>
      </w:r>
      <w:r>
        <w:rPr/>
        <w:t>seeks</w:t>
      </w:r>
      <w:r>
        <w:rPr>
          <w:spacing w:val="-3"/>
        </w:rPr>
        <w:t> </w:t>
      </w:r>
      <w:r>
        <w:rPr/>
        <w:t>to</w:t>
      </w:r>
      <w:r>
        <w:rPr>
          <w:spacing w:val="-4"/>
        </w:rPr>
        <w:t> </w:t>
      </w:r>
      <w:r>
        <w:rPr/>
        <w:t>provide</w:t>
      </w:r>
      <w:r>
        <w:rPr>
          <w:spacing w:val="-2"/>
        </w:rPr>
        <w:t> </w:t>
      </w:r>
      <w:r>
        <w:rPr/>
        <w:t>all</w:t>
      </w:r>
      <w:r>
        <w:rPr>
          <w:spacing w:val="-5"/>
        </w:rPr>
        <w:t> </w:t>
      </w:r>
      <w:r>
        <w:rPr/>
        <w:t>Maine</w:t>
      </w:r>
      <w:r>
        <w:rPr>
          <w:spacing w:val="-4"/>
        </w:rPr>
        <w:t> </w:t>
      </w:r>
      <w:r>
        <w:rPr/>
        <w:t>residents</w:t>
      </w:r>
      <w:r>
        <w:rPr>
          <w:spacing w:val="-5"/>
        </w:rPr>
        <w:t> </w:t>
      </w:r>
      <w:r>
        <w:rPr/>
        <w:t>with</w:t>
      </w:r>
      <w:r>
        <w:rPr>
          <w:spacing w:val="-1"/>
        </w:rPr>
        <w:t> </w:t>
      </w:r>
      <w:r>
        <w:rPr/>
        <w:t>as</w:t>
      </w:r>
      <w:r>
        <w:rPr>
          <w:spacing w:val="-5"/>
        </w:rPr>
        <w:t> </w:t>
      </w:r>
      <w:r>
        <w:rPr/>
        <w:t>much</w:t>
      </w:r>
      <w:r>
        <w:rPr>
          <w:spacing w:val="-4"/>
        </w:rPr>
        <w:t> </w:t>
      </w:r>
      <w:r>
        <w:rPr/>
        <w:t>information</w:t>
      </w:r>
      <w:r>
        <w:rPr>
          <w:spacing w:val="-1"/>
        </w:rPr>
        <w:t> </w:t>
      </w:r>
      <w:r>
        <w:rPr/>
        <w:t>as</w:t>
      </w:r>
      <w:r>
        <w:rPr>
          <w:spacing w:val="-3"/>
        </w:rPr>
        <w:t> </w:t>
      </w:r>
      <w:r>
        <w:rPr/>
        <w:t>possible</w:t>
      </w:r>
      <w:r>
        <w:rPr>
          <w:spacing w:val="-2"/>
        </w:rPr>
        <w:t> </w:t>
      </w:r>
      <w:r>
        <w:rPr/>
        <w:t>and robust opportunities to participate in decisions affecting Maine’s transit services.</w:t>
      </w:r>
    </w:p>
    <w:p>
      <w:pPr>
        <w:pStyle w:val="BodyText"/>
        <w:spacing w:before="11"/>
        <w:rPr>
          <w:sz w:val="22"/>
        </w:rPr>
      </w:pPr>
    </w:p>
    <w:p>
      <w:pPr>
        <w:pStyle w:val="Heading9"/>
        <w:spacing w:before="1"/>
        <w:ind w:left="840"/>
      </w:pPr>
      <w:r>
        <w:rPr/>
        <w:t>Targeted</w:t>
      </w:r>
      <w:r>
        <w:rPr>
          <w:spacing w:val="-4"/>
        </w:rPr>
        <w:t> </w:t>
      </w:r>
      <w:r>
        <w:rPr/>
        <w:t>Public</w:t>
      </w:r>
      <w:r>
        <w:rPr>
          <w:spacing w:val="-4"/>
        </w:rPr>
        <w:t> </w:t>
      </w:r>
      <w:r>
        <w:rPr/>
        <w:t>Outreach</w:t>
      </w:r>
      <w:r>
        <w:rPr>
          <w:spacing w:val="-1"/>
        </w:rPr>
        <w:t> </w:t>
      </w:r>
      <w:r>
        <w:rPr/>
        <w:t>to</w:t>
      </w:r>
      <w:r>
        <w:rPr>
          <w:spacing w:val="-3"/>
        </w:rPr>
        <w:t> </w:t>
      </w:r>
      <w:r>
        <w:rPr/>
        <w:t>Minority</w:t>
      </w:r>
      <w:r>
        <w:rPr>
          <w:spacing w:val="-5"/>
        </w:rPr>
        <w:t> </w:t>
      </w:r>
      <w:r>
        <w:rPr/>
        <w:t>and</w:t>
      </w:r>
      <w:r>
        <w:rPr>
          <w:spacing w:val="-2"/>
        </w:rPr>
        <w:t> </w:t>
      </w:r>
      <w:r>
        <w:rPr/>
        <w:t>Limited</w:t>
      </w:r>
      <w:r>
        <w:rPr>
          <w:spacing w:val="-1"/>
        </w:rPr>
        <w:t> </w:t>
      </w:r>
      <w:r>
        <w:rPr/>
        <w:t>English</w:t>
      </w:r>
      <w:r>
        <w:rPr>
          <w:spacing w:val="-3"/>
        </w:rPr>
        <w:t> </w:t>
      </w:r>
      <w:r>
        <w:rPr/>
        <w:t>Proficient</w:t>
      </w:r>
      <w:r>
        <w:rPr>
          <w:spacing w:val="-1"/>
        </w:rPr>
        <w:t> </w:t>
      </w:r>
      <w:r>
        <w:rPr/>
        <w:t>(LEP)</w:t>
      </w:r>
      <w:r>
        <w:rPr>
          <w:spacing w:val="-2"/>
        </w:rPr>
        <w:t> Populations</w:t>
      </w:r>
    </w:p>
    <w:p>
      <w:pPr>
        <w:pStyle w:val="BodyText"/>
        <w:spacing w:before="11"/>
        <w:rPr>
          <w:b/>
          <w:sz w:val="22"/>
        </w:rPr>
      </w:pPr>
    </w:p>
    <w:p>
      <w:pPr>
        <w:pStyle w:val="BodyText"/>
        <w:spacing w:before="1"/>
        <w:ind w:left="840" w:right="931"/>
        <w:jc w:val="both"/>
      </w:pPr>
      <w:r>
        <w:rPr/>
        <w:t>MaineDOT</w:t>
      </w:r>
      <w:r>
        <w:rPr>
          <w:spacing w:val="-7"/>
        </w:rPr>
        <w:t> </w:t>
      </w:r>
      <w:r>
        <w:rPr/>
        <w:t>requires</w:t>
      </w:r>
      <w:r>
        <w:rPr>
          <w:spacing w:val="-8"/>
        </w:rPr>
        <w:t> </w:t>
      </w:r>
      <w:r>
        <w:rPr/>
        <w:t>its</w:t>
      </w:r>
      <w:r>
        <w:rPr>
          <w:spacing w:val="-5"/>
        </w:rPr>
        <w:t> </w:t>
      </w:r>
      <w:r>
        <w:rPr/>
        <w:t>subrecipients,</w:t>
      </w:r>
      <w:r>
        <w:rPr>
          <w:spacing w:val="-10"/>
        </w:rPr>
        <w:t> </w:t>
      </w:r>
      <w:r>
        <w:rPr/>
        <w:t>during</w:t>
      </w:r>
      <w:r>
        <w:rPr>
          <w:spacing w:val="-8"/>
        </w:rPr>
        <w:t> </w:t>
      </w:r>
      <w:r>
        <w:rPr/>
        <w:t>development</w:t>
      </w:r>
      <w:r>
        <w:rPr>
          <w:spacing w:val="-6"/>
        </w:rPr>
        <w:t> </w:t>
      </w:r>
      <w:r>
        <w:rPr/>
        <w:t>of</w:t>
      </w:r>
      <w:r>
        <w:rPr>
          <w:spacing w:val="-6"/>
        </w:rPr>
        <w:t> </w:t>
      </w:r>
      <w:r>
        <w:rPr/>
        <w:t>the</w:t>
      </w:r>
      <w:r>
        <w:rPr>
          <w:spacing w:val="-7"/>
        </w:rPr>
        <w:t> </w:t>
      </w:r>
      <w:r>
        <w:rPr/>
        <w:t>Public</w:t>
      </w:r>
      <w:r>
        <w:rPr>
          <w:spacing w:val="-6"/>
        </w:rPr>
        <w:t> </w:t>
      </w:r>
      <w:r>
        <w:rPr/>
        <w:t>Involvement</w:t>
      </w:r>
      <w:r>
        <w:rPr>
          <w:spacing w:val="-6"/>
        </w:rPr>
        <w:t> </w:t>
      </w:r>
      <w:r>
        <w:rPr/>
        <w:t>Plan</w:t>
      </w:r>
      <w:r>
        <w:rPr>
          <w:spacing w:val="-6"/>
        </w:rPr>
        <w:t> </w:t>
      </w:r>
      <w:r>
        <w:rPr/>
        <w:t>and/or planning for public engagement in general, to incorporate strategies intended to promote involvement of minority and LEP individuals in public participation activities, as appropriate for the</w:t>
      </w:r>
      <w:r>
        <w:rPr>
          <w:spacing w:val="-14"/>
        </w:rPr>
        <w:t> </w:t>
      </w:r>
      <w:r>
        <w:rPr/>
        <w:t>plan,</w:t>
      </w:r>
      <w:r>
        <w:rPr>
          <w:spacing w:val="-14"/>
        </w:rPr>
        <w:t> </w:t>
      </w:r>
      <w:r>
        <w:rPr/>
        <w:t>project,</w:t>
      </w:r>
      <w:r>
        <w:rPr>
          <w:spacing w:val="-13"/>
        </w:rPr>
        <w:t> </w:t>
      </w:r>
      <w:r>
        <w:rPr/>
        <w:t>or</w:t>
      </w:r>
      <w:r>
        <w:rPr>
          <w:spacing w:val="-14"/>
        </w:rPr>
        <w:t> </w:t>
      </w:r>
      <w:r>
        <w:rPr/>
        <w:t>service</w:t>
      </w:r>
      <w:r>
        <w:rPr>
          <w:spacing w:val="-13"/>
        </w:rPr>
        <w:t> </w:t>
      </w:r>
      <w:r>
        <w:rPr/>
        <w:t>in</w:t>
      </w:r>
      <w:r>
        <w:rPr>
          <w:spacing w:val="-14"/>
        </w:rPr>
        <w:t> </w:t>
      </w:r>
      <w:r>
        <w:rPr/>
        <w:t>question,</w:t>
      </w:r>
      <w:r>
        <w:rPr>
          <w:spacing w:val="-13"/>
        </w:rPr>
        <w:t> </w:t>
      </w:r>
      <w:r>
        <w:rPr/>
        <w:t>and</w:t>
      </w:r>
      <w:r>
        <w:rPr>
          <w:spacing w:val="-12"/>
        </w:rPr>
        <w:t> </w:t>
      </w:r>
      <w:r>
        <w:rPr/>
        <w:t>consistent</w:t>
      </w:r>
      <w:r>
        <w:rPr>
          <w:spacing w:val="-12"/>
        </w:rPr>
        <w:t> </w:t>
      </w:r>
      <w:r>
        <w:rPr/>
        <w:t>with</w:t>
      </w:r>
      <w:r>
        <w:rPr>
          <w:spacing w:val="-14"/>
        </w:rPr>
        <w:t> </w:t>
      </w:r>
      <w:r>
        <w:rPr/>
        <w:t>federal</w:t>
      </w:r>
      <w:r>
        <w:rPr>
          <w:spacing w:val="-13"/>
        </w:rPr>
        <w:t> </w:t>
      </w:r>
      <w:r>
        <w:rPr/>
        <w:t>Title</w:t>
      </w:r>
      <w:r>
        <w:rPr>
          <w:spacing w:val="-13"/>
        </w:rPr>
        <w:t> </w:t>
      </w:r>
      <w:r>
        <w:rPr/>
        <w:t>VI</w:t>
      </w:r>
      <w:r>
        <w:rPr>
          <w:spacing w:val="-14"/>
        </w:rPr>
        <w:t> </w:t>
      </w:r>
      <w:r>
        <w:rPr/>
        <w:t>regulations,</w:t>
      </w:r>
      <w:r>
        <w:rPr>
          <w:spacing w:val="-13"/>
        </w:rPr>
        <w:t> </w:t>
      </w:r>
      <w:r>
        <w:rPr/>
        <w:t>Executive Order 13166 on Limited English Proficiency, and the U.S. Department of Transportation LEP </w:t>
      </w:r>
      <w:r>
        <w:rPr>
          <w:spacing w:val="-2"/>
        </w:rPr>
        <w:t>Guidance.</w:t>
      </w:r>
    </w:p>
    <w:p>
      <w:pPr>
        <w:pStyle w:val="BodyText"/>
        <w:spacing w:before="10"/>
        <w:rPr>
          <w:sz w:val="23"/>
        </w:rPr>
      </w:pPr>
    </w:p>
    <w:p>
      <w:pPr>
        <w:pStyle w:val="BodyText"/>
        <w:spacing w:before="1"/>
        <w:ind w:left="840" w:right="934"/>
        <w:jc w:val="both"/>
      </w:pPr>
      <w:r>
        <w:rPr/>
        <w:t>MaineDOT requires subrecipients to implement, at a minimum, the best practice strategies identified herein, including holding public meetings in locations that are accessible to transit riders</w:t>
      </w:r>
      <w:r>
        <w:rPr>
          <w:spacing w:val="-14"/>
        </w:rPr>
        <w:t> </w:t>
      </w:r>
      <w:r>
        <w:rPr/>
        <w:t>and</w:t>
      </w:r>
      <w:r>
        <w:rPr>
          <w:spacing w:val="-14"/>
        </w:rPr>
        <w:t> </w:t>
      </w:r>
      <w:r>
        <w:rPr/>
        <w:t>people</w:t>
      </w:r>
      <w:r>
        <w:rPr>
          <w:spacing w:val="-13"/>
        </w:rPr>
        <w:t> </w:t>
      </w:r>
      <w:r>
        <w:rPr/>
        <w:t>with</w:t>
      </w:r>
      <w:r>
        <w:rPr>
          <w:spacing w:val="-14"/>
        </w:rPr>
        <w:t> </w:t>
      </w:r>
      <w:r>
        <w:rPr/>
        <w:t>disabilities,</w:t>
      </w:r>
      <w:r>
        <w:rPr>
          <w:spacing w:val="-13"/>
        </w:rPr>
        <w:t> </w:t>
      </w:r>
      <w:r>
        <w:rPr/>
        <w:t>scheduling</w:t>
      </w:r>
      <w:r>
        <w:rPr>
          <w:spacing w:val="-14"/>
        </w:rPr>
        <w:t> </w:t>
      </w:r>
      <w:r>
        <w:rPr/>
        <w:t>meetings</w:t>
      </w:r>
      <w:r>
        <w:rPr>
          <w:spacing w:val="-13"/>
        </w:rPr>
        <w:t> </w:t>
      </w:r>
      <w:r>
        <w:rPr/>
        <w:t>at</w:t>
      </w:r>
      <w:r>
        <w:rPr>
          <w:spacing w:val="-14"/>
        </w:rPr>
        <w:t> </w:t>
      </w:r>
      <w:r>
        <w:rPr/>
        <w:t>times</w:t>
      </w:r>
      <w:r>
        <w:rPr>
          <w:spacing w:val="-14"/>
        </w:rPr>
        <w:t> </w:t>
      </w:r>
      <w:r>
        <w:rPr/>
        <w:t>that</w:t>
      </w:r>
      <w:r>
        <w:rPr>
          <w:spacing w:val="-13"/>
        </w:rPr>
        <w:t> </w:t>
      </w:r>
      <w:r>
        <w:rPr/>
        <w:t>are</w:t>
      </w:r>
      <w:r>
        <w:rPr>
          <w:spacing w:val="-14"/>
        </w:rPr>
        <w:t> </w:t>
      </w:r>
      <w:r>
        <w:rPr/>
        <w:t>convenient</w:t>
      </w:r>
      <w:r>
        <w:rPr>
          <w:spacing w:val="-13"/>
        </w:rPr>
        <w:t> </w:t>
      </w:r>
      <w:r>
        <w:rPr/>
        <w:t>for</w:t>
      </w:r>
      <w:r>
        <w:rPr>
          <w:spacing w:val="-14"/>
        </w:rPr>
        <w:t> </w:t>
      </w:r>
      <w:r>
        <w:rPr/>
        <w:t>members of the public, minorities and LEP communities, advertising meetings and</w:t>
      </w:r>
      <w:r>
        <w:rPr>
          <w:spacing w:val="-1"/>
        </w:rPr>
        <w:t> </w:t>
      </w:r>
      <w:r>
        <w:rPr/>
        <w:t>hearings in English and languages that meet the Safe Harbor threshold, using radio, community television, and/or newspaper ads that serve LEP populations, employing different meeting sizes and formats including town hall type meeting formats, coordinating with community organizations, educational</w:t>
      </w:r>
      <w:r>
        <w:rPr>
          <w:spacing w:val="-13"/>
        </w:rPr>
        <w:t> </w:t>
      </w:r>
      <w:r>
        <w:rPr/>
        <w:t>institutions</w:t>
      </w:r>
      <w:r>
        <w:rPr>
          <w:spacing w:val="-13"/>
        </w:rPr>
        <w:t> </w:t>
      </w:r>
      <w:r>
        <w:rPr/>
        <w:t>and</w:t>
      </w:r>
      <w:r>
        <w:rPr>
          <w:spacing w:val="-12"/>
        </w:rPr>
        <w:t> </w:t>
      </w:r>
      <w:r>
        <w:rPr/>
        <w:t>other</w:t>
      </w:r>
      <w:r>
        <w:rPr>
          <w:spacing w:val="-13"/>
        </w:rPr>
        <w:t> </w:t>
      </w:r>
      <w:r>
        <w:rPr/>
        <w:t>organizations</w:t>
      </w:r>
      <w:r>
        <w:rPr>
          <w:spacing w:val="-13"/>
        </w:rPr>
        <w:t> </w:t>
      </w:r>
      <w:r>
        <w:rPr/>
        <w:t>to</w:t>
      </w:r>
      <w:r>
        <w:rPr>
          <w:spacing w:val="-13"/>
        </w:rPr>
        <w:t> </w:t>
      </w:r>
      <w:r>
        <w:rPr/>
        <w:t>implement</w:t>
      </w:r>
      <w:r>
        <w:rPr>
          <w:spacing w:val="-12"/>
        </w:rPr>
        <w:t> </w:t>
      </w:r>
      <w:r>
        <w:rPr/>
        <w:t>public</w:t>
      </w:r>
      <w:r>
        <w:rPr>
          <w:spacing w:val="-14"/>
        </w:rPr>
        <w:t> </w:t>
      </w:r>
      <w:r>
        <w:rPr/>
        <w:t>engagement</w:t>
      </w:r>
      <w:r>
        <w:rPr>
          <w:spacing w:val="-9"/>
        </w:rPr>
        <w:t> </w:t>
      </w:r>
      <w:r>
        <w:rPr/>
        <w:t>strategies</w:t>
      </w:r>
      <w:r>
        <w:rPr>
          <w:spacing w:val="-13"/>
        </w:rPr>
        <w:t> </w:t>
      </w:r>
      <w:r>
        <w:rPr/>
        <w:t>that reach out specifically to members of affected minority and/or LEP communities, providing opportunities</w:t>
      </w:r>
      <w:r>
        <w:rPr>
          <w:spacing w:val="-8"/>
        </w:rPr>
        <w:t> </w:t>
      </w:r>
      <w:r>
        <w:rPr/>
        <w:t>for</w:t>
      </w:r>
      <w:r>
        <w:rPr>
          <w:spacing w:val="-9"/>
        </w:rPr>
        <w:t> </w:t>
      </w:r>
      <w:r>
        <w:rPr/>
        <w:t>public</w:t>
      </w:r>
      <w:r>
        <w:rPr>
          <w:spacing w:val="-10"/>
        </w:rPr>
        <w:t> </w:t>
      </w:r>
      <w:r>
        <w:rPr/>
        <w:t>participation</w:t>
      </w:r>
      <w:r>
        <w:rPr>
          <w:spacing w:val="-9"/>
        </w:rPr>
        <w:t> </w:t>
      </w:r>
      <w:r>
        <w:rPr/>
        <w:t>through</w:t>
      </w:r>
      <w:r>
        <w:rPr>
          <w:spacing w:val="-9"/>
        </w:rPr>
        <w:t> </w:t>
      </w:r>
      <w:r>
        <w:rPr/>
        <w:t>means</w:t>
      </w:r>
      <w:r>
        <w:rPr>
          <w:spacing w:val="-8"/>
        </w:rPr>
        <w:t> </w:t>
      </w:r>
      <w:r>
        <w:rPr/>
        <w:t>other</w:t>
      </w:r>
      <w:r>
        <w:rPr>
          <w:spacing w:val="-9"/>
        </w:rPr>
        <w:t> </w:t>
      </w:r>
      <w:r>
        <w:rPr/>
        <w:t>than</w:t>
      </w:r>
      <w:r>
        <w:rPr>
          <w:spacing w:val="-9"/>
        </w:rPr>
        <w:t> </w:t>
      </w:r>
      <w:r>
        <w:rPr/>
        <w:t>written</w:t>
      </w:r>
      <w:r>
        <w:rPr>
          <w:spacing w:val="-6"/>
        </w:rPr>
        <w:t> </w:t>
      </w:r>
      <w:r>
        <w:rPr/>
        <w:t>communication,</w:t>
      </w:r>
      <w:r>
        <w:rPr>
          <w:spacing w:val="-7"/>
        </w:rPr>
        <w:t> </w:t>
      </w:r>
      <w:r>
        <w:rPr/>
        <w:t>such</w:t>
      </w:r>
      <w:r>
        <w:rPr>
          <w:spacing w:val="-9"/>
        </w:rPr>
        <w:t> </w:t>
      </w:r>
      <w:r>
        <w:rPr/>
        <w:t>as one-on-one</w:t>
      </w:r>
      <w:r>
        <w:rPr>
          <w:spacing w:val="-8"/>
        </w:rPr>
        <w:t> </w:t>
      </w:r>
      <w:r>
        <w:rPr/>
        <w:t>interviews</w:t>
      </w:r>
      <w:r>
        <w:rPr>
          <w:spacing w:val="-9"/>
        </w:rPr>
        <w:t> </w:t>
      </w:r>
      <w:r>
        <w:rPr/>
        <w:t>or</w:t>
      </w:r>
      <w:r>
        <w:rPr>
          <w:spacing w:val="-6"/>
        </w:rPr>
        <w:t> </w:t>
      </w:r>
      <w:r>
        <w:rPr/>
        <w:t>use</w:t>
      </w:r>
      <w:r>
        <w:rPr>
          <w:spacing w:val="-6"/>
        </w:rPr>
        <w:t> </w:t>
      </w:r>
      <w:r>
        <w:rPr/>
        <w:t>of</w:t>
      </w:r>
      <w:r>
        <w:rPr>
          <w:spacing w:val="-5"/>
        </w:rPr>
        <w:t> </w:t>
      </w:r>
      <w:r>
        <w:rPr/>
        <w:t>audio</w:t>
      </w:r>
      <w:r>
        <w:rPr>
          <w:spacing w:val="-6"/>
        </w:rPr>
        <w:t> </w:t>
      </w:r>
      <w:r>
        <w:rPr/>
        <w:t>or</w:t>
      </w:r>
      <w:r>
        <w:rPr>
          <w:spacing w:val="-8"/>
        </w:rPr>
        <w:t> </w:t>
      </w:r>
      <w:r>
        <w:rPr/>
        <w:t>video</w:t>
      </w:r>
      <w:r>
        <w:rPr>
          <w:spacing w:val="-8"/>
        </w:rPr>
        <w:t> </w:t>
      </w:r>
      <w:r>
        <w:rPr/>
        <w:t>recording</w:t>
      </w:r>
      <w:r>
        <w:rPr>
          <w:spacing w:val="-9"/>
        </w:rPr>
        <w:t> </w:t>
      </w:r>
      <w:r>
        <w:rPr/>
        <w:t>devices</w:t>
      </w:r>
      <w:r>
        <w:rPr>
          <w:spacing w:val="-7"/>
        </w:rPr>
        <w:t> </w:t>
      </w:r>
      <w:r>
        <w:rPr/>
        <w:t>to</w:t>
      </w:r>
      <w:r>
        <w:rPr>
          <w:spacing w:val="-6"/>
        </w:rPr>
        <w:t> </w:t>
      </w:r>
      <w:r>
        <w:rPr/>
        <w:t>capture</w:t>
      </w:r>
      <w:r>
        <w:rPr>
          <w:spacing w:val="-6"/>
        </w:rPr>
        <w:t> </w:t>
      </w:r>
      <w:r>
        <w:rPr/>
        <w:t>oral</w:t>
      </w:r>
      <w:r>
        <w:rPr>
          <w:spacing w:val="-6"/>
        </w:rPr>
        <w:t> </w:t>
      </w:r>
      <w:r>
        <w:rPr/>
        <w:t>comments,</w:t>
      </w:r>
      <w:r>
        <w:rPr>
          <w:spacing w:val="-6"/>
        </w:rPr>
        <w:t> </w:t>
      </w:r>
      <w:r>
        <w:rPr/>
        <w:t>and providing notice of the availability of language assistance as needed.</w:t>
      </w:r>
    </w:p>
    <w:p>
      <w:pPr>
        <w:pStyle w:val="BodyText"/>
        <w:rPr>
          <w:sz w:val="23"/>
        </w:rPr>
      </w:pPr>
    </w:p>
    <w:p>
      <w:pPr>
        <w:pStyle w:val="BodyText"/>
        <w:ind w:left="840"/>
      </w:pPr>
      <w:r>
        <w:rPr/>
        <w:t>MaineDOT</w:t>
      </w:r>
      <w:r>
        <w:rPr>
          <w:spacing w:val="-2"/>
        </w:rPr>
        <w:t> </w:t>
      </w:r>
      <w:r>
        <w:rPr/>
        <w:t>also</w:t>
      </w:r>
      <w:r>
        <w:rPr>
          <w:spacing w:val="-1"/>
        </w:rPr>
        <w:t> </w:t>
      </w:r>
      <w:r>
        <w:rPr/>
        <w:t>encourages</w:t>
      </w:r>
      <w:r>
        <w:rPr>
          <w:spacing w:val="-2"/>
        </w:rPr>
        <w:t> </w:t>
      </w:r>
      <w:r>
        <w:rPr/>
        <w:t>subrecipients</w:t>
      </w:r>
      <w:r>
        <w:rPr>
          <w:spacing w:val="-4"/>
        </w:rPr>
        <w:t> </w:t>
      </w:r>
      <w:r>
        <w:rPr/>
        <w:t>to</w:t>
      </w:r>
      <w:r>
        <w:rPr>
          <w:spacing w:val="-4"/>
        </w:rPr>
        <w:t> </w:t>
      </w:r>
      <w:r>
        <w:rPr/>
        <w:t>exceed minimal</w:t>
      </w:r>
      <w:r>
        <w:rPr>
          <w:spacing w:val="-1"/>
        </w:rPr>
        <w:t> </w:t>
      </w:r>
      <w:r>
        <w:rPr/>
        <w:t>requirements</w:t>
      </w:r>
      <w:r>
        <w:rPr>
          <w:spacing w:val="-4"/>
        </w:rPr>
        <w:t> </w:t>
      </w:r>
      <w:r>
        <w:rPr>
          <w:spacing w:val="-5"/>
        </w:rPr>
        <w:t>by:</w:t>
      </w:r>
    </w:p>
    <w:p>
      <w:pPr>
        <w:pStyle w:val="BodyText"/>
        <w:spacing w:before="9"/>
        <w:rPr>
          <w:sz w:val="22"/>
        </w:rPr>
      </w:pPr>
    </w:p>
    <w:p>
      <w:pPr>
        <w:pStyle w:val="ListParagraph"/>
        <w:numPr>
          <w:ilvl w:val="0"/>
          <w:numId w:val="11"/>
        </w:numPr>
        <w:tabs>
          <w:tab w:pos="1560" w:val="left" w:leader="none"/>
        </w:tabs>
        <w:spacing w:line="242" w:lineRule="auto" w:before="0" w:after="0"/>
        <w:ind w:left="1560" w:right="936" w:hanging="360"/>
        <w:jc w:val="both"/>
        <w:rPr>
          <w:sz w:val="24"/>
        </w:rPr>
      </w:pPr>
      <w:r>
        <w:rPr>
          <w:sz w:val="24"/>
        </w:rPr>
        <w:t>Utilizing supplemental outreach strategies such as surveys regarding public transit projects or proposed service changes.</w:t>
      </w:r>
    </w:p>
    <w:p>
      <w:pPr>
        <w:pStyle w:val="ListParagraph"/>
        <w:numPr>
          <w:ilvl w:val="0"/>
          <w:numId w:val="11"/>
        </w:numPr>
        <w:tabs>
          <w:tab w:pos="1560" w:val="left" w:leader="none"/>
        </w:tabs>
        <w:spacing w:line="240" w:lineRule="auto" w:before="0" w:after="0"/>
        <w:ind w:left="1560" w:right="932" w:hanging="360"/>
        <w:jc w:val="both"/>
        <w:rPr>
          <w:sz w:val="24"/>
        </w:rPr>
      </w:pPr>
      <w:r>
        <w:rPr>
          <w:sz w:val="24"/>
        </w:rPr>
        <w:t>Partnering with community organizations to engage members of the public who are less likely to attend traditional public meetings (including LEP populations) through means such as surveys and focus groups. MaineDOT maintains a list of current and potential future community partners.</w:t>
      </w:r>
    </w:p>
    <w:p>
      <w:pPr>
        <w:pStyle w:val="ListParagraph"/>
        <w:numPr>
          <w:ilvl w:val="0"/>
          <w:numId w:val="11"/>
        </w:numPr>
        <w:tabs>
          <w:tab w:pos="1560" w:val="left" w:leader="none"/>
        </w:tabs>
        <w:spacing w:line="240" w:lineRule="auto" w:before="0" w:after="0"/>
        <w:ind w:left="1560" w:right="937" w:hanging="360"/>
        <w:jc w:val="both"/>
        <w:rPr>
          <w:sz w:val="24"/>
        </w:rPr>
      </w:pPr>
      <w:r>
        <w:rPr>
          <w:sz w:val="24"/>
        </w:rPr>
        <w:t>Attending community events and meetings of neighborhood associations, faith-based organizations, advocacy groups, and ethnic/cultural groups to solicit feedback from diverse members of the public.</w:t>
      </w:r>
    </w:p>
    <w:p>
      <w:pPr>
        <w:pStyle w:val="ListParagraph"/>
        <w:numPr>
          <w:ilvl w:val="0"/>
          <w:numId w:val="11"/>
        </w:numPr>
        <w:tabs>
          <w:tab w:pos="1560" w:val="left" w:leader="none"/>
        </w:tabs>
        <w:spacing w:line="240" w:lineRule="auto" w:before="0" w:after="0"/>
        <w:ind w:left="1560" w:right="935" w:hanging="360"/>
        <w:jc w:val="both"/>
        <w:rPr>
          <w:sz w:val="24"/>
        </w:rPr>
      </w:pPr>
      <w:r>
        <w:rPr>
          <w:sz w:val="24"/>
        </w:rPr>
        <w:t>MaineDOT encourages subrecipients to consult FTA Circular 4703.1 ("Environmental Justice Policy Guidelines for Federal Transit Administration Recipients") for additional strategies that may be incorporated into their Public Involvement Plans.</w:t>
      </w:r>
    </w:p>
    <w:p>
      <w:pPr>
        <w:spacing w:after="0" w:line="240" w:lineRule="auto"/>
        <w:jc w:val="both"/>
        <w:rPr>
          <w:sz w:val="24"/>
        </w:rPr>
        <w:sectPr>
          <w:pgSz w:w="12240" w:h="15840"/>
          <w:pgMar w:header="0" w:footer="997" w:top="960" w:bottom="1260" w:left="600" w:right="500"/>
        </w:sectPr>
      </w:pPr>
    </w:p>
    <w:p>
      <w:pPr>
        <w:pStyle w:val="Heading9"/>
        <w:spacing w:before="35"/>
        <w:ind w:left="840"/>
      </w:pPr>
      <w:r>
        <w:rPr/>
        <w:t>MaineDOT’s</w:t>
      </w:r>
      <w:r>
        <w:rPr>
          <w:spacing w:val="-3"/>
        </w:rPr>
        <w:t> </w:t>
      </w:r>
      <w:r>
        <w:rPr/>
        <w:t>Public</w:t>
      </w:r>
      <w:r>
        <w:rPr>
          <w:spacing w:val="-2"/>
        </w:rPr>
        <w:t> </w:t>
      </w:r>
      <w:r>
        <w:rPr/>
        <w:t>Notification</w:t>
      </w:r>
      <w:r>
        <w:rPr>
          <w:spacing w:val="-3"/>
        </w:rPr>
        <w:t> </w:t>
      </w:r>
      <w:r>
        <w:rPr/>
        <w:t>and</w:t>
      </w:r>
      <w:r>
        <w:rPr>
          <w:spacing w:val="-4"/>
        </w:rPr>
        <w:t> </w:t>
      </w:r>
      <w:r>
        <w:rPr/>
        <w:t>Outreach</w:t>
      </w:r>
      <w:r>
        <w:rPr>
          <w:spacing w:val="-2"/>
        </w:rPr>
        <w:t> Mediums</w:t>
      </w:r>
    </w:p>
    <w:p>
      <w:pPr>
        <w:pStyle w:val="BodyText"/>
        <w:spacing w:before="11"/>
        <w:rPr>
          <w:b/>
          <w:sz w:val="22"/>
        </w:rPr>
      </w:pPr>
    </w:p>
    <w:p>
      <w:pPr>
        <w:pStyle w:val="ListParagraph"/>
        <w:numPr>
          <w:ilvl w:val="0"/>
          <w:numId w:val="11"/>
        </w:numPr>
        <w:tabs>
          <w:tab w:pos="1560" w:val="left" w:leader="none"/>
        </w:tabs>
        <w:spacing w:line="240" w:lineRule="auto" w:before="0" w:after="0"/>
        <w:ind w:left="1560" w:right="1642" w:hanging="360"/>
        <w:jc w:val="left"/>
        <w:rPr>
          <w:sz w:val="24"/>
        </w:rPr>
      </w:pPr>
      <w:r>
        <w:rPr>
          <w:sz w:val="24"/>
        </w:rPr>
        <w:t>Print</w:t>
      </w:r>
      <w:r>
        <w:rPr>
          <w:spacing w:val="-5"/>
          <w:sz w:val="24"/>
        </w:rPr>
        <w:t> </w:t>
      </w:r>
      <w:r>
        <w:rPr>
          <w:sz w:val="24"/>
        </w:rPr>
        <w:t>–</w:t>
      </w:r>
      <w:r>
        <w:rPr>
          <w:spacing w:val="-5"/>
          <w:sz w:val="24"/>
        </w:rPr>
        <w:t> </w:t>
      </w:r>
      <w:r>
        <w:rPr>
          <w:sz w:val="24"/>
        </w:rPr>
        <w:t>Newspapers</w:t>
      </w:r>
      <w:r>
        <w:rPr>
          <w:spacing w:val="-4"/>
          <w:sz w:val="24"/>
        </w:rPr>
        <w:t> </w:t>
      </w:r>
      <w:r>
        <w:rPr>
          <w:sz w:val="24"/>
        </w:rPr>
        <w:t>and</w:t>
      </w:r>
      <w:r>
        <w:rPr>
          <w:spacing w:val="-7"/>
          <w:sz w:val="24"/>
        </w:rPr>
        <w:t> </w:t>
      </w:r>
      <w:r>
        <w:rPr>
          <w:sz w:val="24"/>
        </w:rPr>
        <w:t>other</w:t>
      </w:r>
      <w:r>
        <w:rPr>
          <w:spacing w:val="-3"/>
          <w:sz w:val="24"/>
        </w:rPr>
        <w:t> </w:t>
      </w:r>
      <w:r>
        <w:rPr>
          <w:sz w:val="24"/>
        </w:rPr>
        <w:t>periodicals;</w:t>
      </w:r>
      <w:r>
        <w:rPr>
          <w:spacing w:val="-3"/>
          <w:sz w:val="24"/>
        </w:rPr>
        <w:t> </w:t>
      </w:r>
      <w:r>
        <w:rPr>
          <w:sz w:val="24"/>
        </w:rPr>
        <w:t>particularly</w:t>
      </w:r>
      <w:r>
        <w:rPr>
          <w:spacing w:val="-4"/>
          <w:sz w:val="24"/>
        </w:rPr>
        <w:t> </w:t>
      </w:r>
      <w:r>
        <w:rPr>
          <w:sz w:val="24"/>
        </w:rPr>
        <w:t>any</w:t>
      </w:r>
      <w:r>
        <w:rPr>
          <w:spacing w:val="-7"/>
          <w:sz w:val="24"/>
        </w:rPr>
        <w:t> </w:t>
      </w:r>
      <w:r>
        <w:rPr>
          <w:sz w:val="24"/>
        </w:rPr>
        <w:t>prominent</w:t>
      </w:r>
      <w:r>
        <w:rPr>
          <w:spacing w:val="-5"/>
          <w:sz w:val="24"/>
        </w:rPr>
        <w:t> </w:t>
      </w:r>
      <w:r>
        <w:rPr>
          <w:sz w:val="24"/>
        </w:rPr>
        <w:t>non-English </w:t>
      </w:r>
      <w:r>
        <w:rPr>
          <w:spacing w:val="-2"/>
          <w:sz w:val="24"/>
        </w:rPr>
        <w:t>publications.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Advertising</w:t>
      </w:r>
      <w:r>
        <w:rPr>
          <w:spacing w:val="-4"/>
          <w:sz w:val="24"/>
        </w:rPr>
        <w:t> </w:t>
      </w:r>
      <w:r>
        <w:rPr>
          <w:sz w:val="24"/>
        </w:rPr>
        <w:t>on</w:t>
      </w:r>
      <w:r>
        <w:rPr>
          <w:spacing w:val="-1"/>
          <w:sz w:val="24"/>
        </w:rPr>
        <w:t> </w:t>
      </w:r>
      <w:r>
        <w:rPr>
          <w:sz w:val="24"/>
        </w:rPr>
        <w:t>message</w:t>
      </w:r>
      <w:r>
        <w:rPr>
          <w:spacing w:val="-4"/>
          <w:sz w:val="24"/>
        </w:rPr>
        <w:t> </w:t>
      </w:r>
      <w:r>
        <w:rPr>
          <w:spacing w:val="-2"/>
          <w:sz w:val="24"/>
        </w:rPr>
        <w:t>boards.</w:t>
      </w:r>
    </w:p>
    <w:p>
      <w:pPr>
        <w:pStyle w:val="ListParagraph"/>
        <w:numPr>
          <w:ilvl w:val="0"/>
          <w:numId w:val="11"/>
        </w:numPr>
        <w:tabs>
          <w:tab w:pos="1559" w:val="left" w:leader="none"/>
        </w:tabs>
        <w:spacing w:line="305" w:lineRule="exact" w:before="2" w:after="0"/>
        <w:ind w:left="1559" w:right="0" w:hanging="359"/>
        <w:jc w:val="left"/>
        <w:rPr>
          <w:sz w:val="24"/>
        </w:rPr>
      </w:pPr>
      <w:r>
        <w:rPr>
          <w:sz w:val="24"/>
        </w:rPr>
        <w:t>Website</w:t>
      </w:r>
      <w:r>
        <w:rPr>
          <w:spacing w:val="-6"/>
          <w:sz w:val="24"/>
        </w:rPr>
        <w:t> </w:t>
      </w:r>
      <w:r>
        <w:rPr>
          <w:sz w:val="24"/>
        </w:rPr>
        <w:t>–</w:t>
      </w:r>
      <w:r>
        <w:rPr>
          <w:spacing w:val="-2"/>
          <w:sz w:val="24"/>
        </w:rPr>
        <w:t> </w:t>
      </w:r>
      <w:r>
        <w:rPr>
          <w:sz w:val="24"/>
        </w:rPr>
        <w:t>MaineDOT</w:t>
      </w:r>
      <w:r>
        <w:rPr>
          <w:spacing w:val="-2"/>
          <w:sz w:val="24"/>
        </w:rPr>
        <w:t> </w:t>
      </w:r>
      <w:r>
        <w:rPr>
          <w:sz w:val="24"/>
        </w:rPr>
        <w:t>has</w:t>
      </w:r>
      <w:r>
        <w:rPr>
          <w:spacing w:val="-2"/>
          <w:sz w:val="24"/>
        </w:rPr>
        <w:t> </w:t>
      </w:r>
      <w:r>
        <w:rPr>
          <w:sz w:val="24"/>
        </w:rPr>
        <w:t>assembled</w:t>
      </w:r>
      <w:r>
        <w:rPr>
          <w:spacing w:val="1"/>
          <w:sz w:val="24"/>
        </w:rPr>
        <w:t> </w:t>
      </w:r>
      <w:r>
        <w:rPr>
          <w:sz w:val="24"/>
        </w:rPr>
        <w:t>a</w:t>
      </w:r>
      <w:r>
        <w:rPr>
          <w:spacing w:val="-3"/>
          <w:sz w:val="24"/>
        </w:rPr>
        <w:t> </w:t>
      </w:r>
      <w:r>
        <w:rPr>
          <w:sz w:val="24"/>
        </w:rPr>
        <w:t>comprehensive </w:t>
      </w:r>
      <w:r>
        <w:rPr>
          <w:spacing w:val="-2"/>
          <w:sz w:val="24"/>
        </w:rPr>
        <w:t>website.</w:t>
      </w:r>
    </w:p>
    <w:p>
      <w:pPr>
        <w:pStyle w:val="ListParagraph"/>
        <w:numPr>
          <w:ilvl w:val="0"/>
          <w:numId w:val="11"/>
        </w:numPr>
        <w:tabs>
          <w:tab w:pos="1560" w:val="left" w:leader="none"/>
        </w:tabs>
        <w:spacing w:line="240" w:lineRule="auto" w:before="0" w:after="0"/>
        <w:ind w:left="1560" w:right="1164" w:hanging="360"/>
        <w:jc w:val="left"/>
        <w:rPr>
          <w:sz w:val="24"/>
        </w:rPr>
      </w:pPr>
      <w:r>
        <w:rPr>
          <w:sz w:val="24"/>
        </w:rPr>
        <w:t>Social</w:t>
      </w:r>
      <w:r>
        <w:rPr>
          <w:spacing w:val="-3"/>
          <w:sz w:val="24"/>
        </w:rPr>
        <w:t> </w:t>
      </w:r>
      <w:r>
        <w:rPr>
          <w:sz w:val="24"/>
        </w:rPr>
        <w:t>Media</w:t>
      </w:r>
      <w:r>
        <w:rPr>
          <w:spacing w:val="-5"/>
          <w:sz w:val="24"/>
        </w:rPr>
        <w:t> </w:t>
      </w:r>
      <w:r>
        <w:rPr>
          <w:sz w:val="24"/>
        </w:rPr>
        <w:t>–</w:t>
      </w:r>
      <w:r>
        <w:rPr>
          <w:spacing w:val="-3"/>
          <w:sz w:val="24"/>
        </w:rPr>
        <w:t> </w:t>
      </w:r>
      <w:r>
        <w:rPr>
          <w:sz w:val="24"/>
        </w:rPr>
        <w:t>MaineDOT</w:t>
      </w:r>
      <w:r>
        <w:rPr>
          <w:spacing w:val="-3"/>
          <w:sz w:val="24"/>
        </w:rPr>
        <w:t> </w:t>
      </w:r>
      <w:r>
        <w:rPr>
          <w:sz w:val="24"/>
        </w:rPr>
        <w:t>utilizes</w:t>
      </w:r>
      <w:r>
        <w:rPr>
          <w:spacing w:val="-5"/>
          <w:sz w:val="24"/>
        </w:rPr>
        <w:t> </w:t>
      </w:r>
      <w:r>
        <w:rPr>
          <w:sz w:val="24"/>
        </w:rPr>
        <w:t>Facebook,</w:t>
      </w:r>
      <w:r>
        <w:rPr>
          <w:spacing w:val="-3"/>
          <w:sz w:val="24"/>
        </w:rPr>
        <w:t> </w:t>
      </w:r>
      <w:r>
        <w:rPr>
          <w:sz w:val="24"/>
        </w:rPr>
        <w:t>Instagram,</w:t>
      </w:r>
      <w:r>
        <w:rPr>
          <w:spacing w:val="-3"/>
          <w:sz w:val="24"/>
        </w:rPr>
        <w:t> </w:t>
      </w:r>
      <w:r>
        <w:rPr>
          <w:sz w:val="24"/>
        </w:rPr>
        <w:t>You</w:t>
      </w:r>
      <w:r>
        <w:rPr>
          <w:spacing w:val="-2"/>
          <w:sz w:val="24"/>
        </w:rPr>
        <w:t> </w:t>
      </w:r>
      <w:r>
        <w:rPr>
          <w:sz w:val="24"/>
        </w:rPr>
        <w:t>Tube,</w:t>
      </w:r>
      <w:r>
        <w:rPr>
          <w:spacing w:val="-3"/>
          <w:sz w:val="24"/>
        </w:rPr>
        <w:t> </w:t>
      </w:r>
      <w:r>
        <w:rPr>
          <w:sz w:val="24"/>
        </w:rPr>
        <w:t>and</w:t>
      </w:r>
      <w:r>
        <w:rPr>
          <w:spacing w:val="-3"/>
          <w:sz w:val="24"/>
        </w:rPr>
        <w:t> </w:t>
      </w:r>
      <w:r>
        <w:rPr>
          <w:sz w:val="24"/>
        </w:rPr>
        <w:t>X</w:t>
      </w:r>
      <w:r>
        <w:rPr>
          <w:spacing w:val="-5"/>
          <w:sz w:val="24"/>
        </w:rPr>
        <w:t> </w:t>
      </w:r>
      <w:r>
        <w:rPr>
          <w:sz w:val="24"/>
        </w:rPr>
        <w:t>to</w:t>
      </w:r>
      <w:r>
        <w:rPr>
          <w:spacing w:val="-4"/>
          <w:sz w:val="24"/>
        </w:rPr>
        <w:t> </w:t>
      </w:r>
      <w:r>
        <w:rPr>
          <w:sz w:val="24"/>
        </w:rPr>
        <w:t>engage</w:t>
      </w:r>
      <w:r>
        <w:rPr>
          <w:spacing w:val="-4"/>
          <w:sz w:val="24"/>
        </w:rPr>
        <w:t> </w:t>
      </w:r>
      <w:r>
        <w:rPr>
          <w:sz w:val="24"/>
        </w:rPr>
        <w:t>the </w:t>
      </w:r>
      <w:r>
        <w:rPr>
          <w:spacing w:val="-2"/>
          <w:sz w:val="24"/>
        </w:rPr>
        <w:t>community.</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Radio</w:t>
      </w:r>
      <w:r>
        <w:rPr>
          <w:spacing w:val="-1"/>
          <w:sz w:val="24"/>
        </w:rPr>
        <w:t> </w:t>
      </w:r>
      <w:r>
        <w:rPr>
          <w:sz w:val="24"/>
        </w:rPr>
        <w:t>–</w:t>
      </w:r>
      <w:r>
        <w:rPr>
          <w:spacing w:val="-2"/>
          <w:sz w:val="24"/>
        </w:rPr>
        <w:t> </w:t>
      </w:r>
      <w:r>
        <w:rPr>
          <w:sz w:val="24"/>
        </w:rPr>
        <w:t>Public</w:t>
      </w:r>
      <w:r>
        <w:rPr>
          <w:spacing w:val="-2"/>
          <w:sz w:val="24"/>
        </w:rPr>
        <w:t> </w:t>
      </w:r>
      <w:r>
        <w:rPr>
          <w:sz w:val="24"/>
        </w:rPr>
        <w:t>Service</w:t>
      </w:r>
      <w:r>
        <w:rPr>
          <w:spacing w:val="-2"/>
          <w:sz w:val="24"/>
        </w:rPr>
        <w:t> </w:t>
      </w:r>
      <w:r>
        <w:rPr>
          <w:sz w:val="24"/>
        </w:rPr>
        <w:t>Announcements</w:t>
      </w:r>
      <w:r>
        <w:rPr>
          <w:spacing w:val="-1"/>
          <w:sz w:val="24"/>
        </w:rPr>
        <w:t> </w:t>
      </w:r>
      <w:r>
        <w:rPr>
          <w:spacing w:val="-2"/>
          <w:sz w:val="24"/>
        </w:rPr>
        <w:t>(PSAs).</w:t>
      </w:r>
    </w:p>
    <w:p>
      <w:pPr>
        <w:pStyle w:val="ListParagraph"/>
        <w:numPr>
          <w:ilvl w:val="0"/>
          <w:numId w:val="11"/>
        </w:numPr>
        <w:tabs>
          <w:tab w:pos="1559" w:val="left" w:leader="none"/>
        </w:tabs>
        <w:spacing w:line="305" w:lineRule="exact" w:before="1" w:after="0"/>
        <w:ind w:left="1559" w:right="0" w:hanging="359"/>
        <w:jc w:val="left"/>
        <w:rPr>
          <w:sz w:val="24"/>
        </w:rPr>
      </w:pPr>
      <w:r>
        <w:rPr>
          <w:sz w:val="24"/>
        </w:rPr>
        <w:t>E-mail</w:t>
      </w:r>
      <w:r>
        <w:rPr>
          <w:spacing w:val="-6"/>
          <w:sz w:val="24"/>
        </w:rPr>
        <w:t> </w:t>
      </w:r>
      <w:r>
        <w:rPr>
          <w:sz w:val="24"/>
        </w:rPr>
        <w:t>to community</w:t>
      </w:r>
      <w:r>
        <w:rPr>
          <w:spacing w:val="-5"/>
          <w:sz w:val="24"/>
        </w:rPr>
        <w:t> </w:t>
      </w:r>
      <w:r>
        <w:rPr>
          <w:sz w:val="24"/>
        </w:rPr>
        <w:t>partners,</w:t>
      </w:r>
      <w:r>
        <w:rPr>
          <w:spacing w:val="-3"/>
          <w:sz w:val="24"/>
        </w:rPr>
        <w:t> </w:t>
      </w:r>
      <w:r>
        <w:rPr>
          <w:sz w:val="24"/>
        </w:rPr>
        <w:t>stakeholders</w:t>
      </w:r>
      <w:r>
        <w:rPr>
          <w:spacing w:val="-2"/>
          <w:sz w:val="24"/>
        </w:rPr>
        <w:t> </w:t>
      </w:r>
      <w:r>
        <w:rPr>
          <w:sz w:val="24"/>
        </w:rPr>
        <w:t>and</w:t>
      </w:r>
      <w:r>
        <w:rPr>
          <w:spacing w:val="-2"/>
          <w:sz w:val="24"/>
        </w:rPr>
        <w:t> </w:t>
      </w:r>
      <w:r>
        <w:rPr>
          <w:sz w:val="24"/>
        </w:rPr>
        <w:t>media </w:t>
      </w:r>
      <w:r>
        <w:rPr>
          <w:spacing w:val="-2"/>
          <w:sz w:val="24"/>
        </w:rPr>
        <w:t>listings.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Public</w:t>
      </w:r>
      <w:r>
        <w:rPr>
          <w:spacing w:val="-2"/>
          <w:sz w:val="24"/>
        </w:rPr>
        <w:t> </w:t>
      </w:r>
      <w:r>
        <w:rPr>
          <w:sz w:val="24"/>
        </w:rPr>
        <w:t>Information</w:t>
      </w:r>
      <w:r>
        <w:rPr>
          <w:spacing w:val="-2"/>
          <w:sz w:val="24"/>
        </w:rPr>
        <w:t> Sessions.</w:t>
      </w:r>
    </w:p>
    <w:p>
      <w:pPr>
        <w:pStyle w:val="ListParagraph"/>
        <w:numPr>
          <w:ilvl w:val="0"/>
          <w:numId w:val="11"/>
        </w:numPr>
        <w:tabs>
          <w:tab w:pos="1559" w:val="left" w:leader="none"/>
        </w:tabs>
        <w:spacing w:line="305" w:lineRule="exact" w:before="1" w:after="0"/>
        <w:ind w:left="1559" w:right="0" w:hanging="359"/>
        <w:jc w:val="left"/>
        <w:rPr>
          <w:sz w:val="24"/>
        </w:rPr>
      </w:pPr>
      <w:r>
        <w:rPr>
          <w:sz w:val="24"/>
        </w:rPr>
        <w:t>Public</w:t>
      </w:r>
      <w:r>
        <w:rPr>
          <w:spacing w:val="2"/>
          <w:sz w:val="24"/>
        </w:rPr>
        <w:t> </w:t>
      </w:r>
      <w:r>
        <w:rPr>
          <w:spacing w:val="-2"/>
          <w:sz w:val="24"/>
        </w:rPr>
        <w:t>Hearings.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Zoom</w:t>
      </w:r>
      <w:r>
        <w:rPr>
          <w:spacing w:val="-1"/>
          <w:sz w:val="24"/>
        </w:rPr>
        <w:t> </w:t>
      </w:r>
      <w:r>
        <w:rPr>
          <w:sz w:val="24"/>
        </w:rPr>
        <w:t>virtual</w:t>
      </w:r>
      <w:r>
        <w:rPr>
          <w:spacing w:val="-2"/>
          <w:sz w:val="24"/>
        </w:rPr>
        <w:t> meetings.</w:t>
      </w:r>
    </w:p>
    <w:p>
      <w:pPr>
        <w:pStyle w:val="ListParagraph"/>
        <w:numPr>
          <w:ilvl w:val="0"/>
          <w:numId w:val="11"/>
        </w:numPr>
        <w:tabs>
          <w:tab w:pos="1559" w:val="left" w:leader="none"/>
        </w:tabs>
        <w:spacing w:line="240" w:lineRule="auto" w:before="2" w:after="0"/>
        <w:ind w:left="1559" w:right="0" w:hanging="359"/>
        <w:jc w:val="left"/>
        <w:rPr>
          <w:sz w:val="24"/>
        </w:rPr>
      </w:pPr>
      <w:r>
        <w:rPr>
          <w:sz w:val="24"/>
        </w:rPr>
        <w:t>Legal</w:t>
      </w:r>
      <w:r>
        <w:rPr>
          <w:spacing w:val="-1"/>
          <w:sz w:val="24"/>
        </w:rPr>
        <w:t> </w:t>
      </w:r>
      <w:r>
        <w:rPr>
          <w:spacing w:val="-2"/>
          <w:sz w:val="24"/>
        </w:rPr>
        <w:t>Notices.</w:t>
      </w:r>
    </w:p>
    <w:p>
      <w:pPr>
        <w:pStyle w:val="BodyText"/>
        <w:spacing w:before="9"/>
        <w:rPr>
          <w:sz w:val="22"/>
        </w:rPr>
      </w:pPr>
    </w:p>
    <w:p>
      <w:pPr>
        <w:pStyle w:val="Heading9"/>
        <w:spacing w:before="1"/>
        <w:ind w:left="840"/>
      </w:pPr>
      <w:r>
        <w:rPr/>
        <w:t>MaineDOT’s</w:t>
      </w:r>
      <w:r>
        <w:rPr>
          <w:spacing w:val="-1"/>
        </w:rPr>
        <w:t> </w:t>
      </w:r>
      <w:r>
        <w:rPr>
          <w:spacing w:val="-2"/>
        </w:rPr>
        <w:t>Customers/Stakeholders</w:t>
      </w:r>
    </w:p>
    <w:p>
      <w:pPr>
        <w:pStyle w:val="BodyText"/>
        <w:spacing w:before="11"/>
        <w:rPr>
          <w:b/>
          <w:sz w:val="22"/>
        </w:rPr>
      </w:pPr>
    </w:p>
    <w:p>
      <w:pPr>
        <w:pStyle w:val="BodyText"/>
        <w:spacing w:before="1"/>
        <w:ind w:left="840"/>
      </w:pPr>
      <w:r>
        <w:rPr/>
        <w:t>MaineDOT’s</w:t>
      </w:r>
      <w:r>
        <w:rPr>
          <w:spacing w:val="-14"/>
        </w:rPr>
        <w:t> </w:t>
      </w:r>
      <w:r>
        <w:rPr/>
        <w:t>customers</w:t>
      </w:r>
      <w:r>
        <w:rPr>
          <w:spacing w:val="-14"/>
        </w:rPr>
        <w:t> </w:t>
      </w:r>
      <w:r>
        <w:rPr/>
        <w:t>are</w:t>
      </w:r>
      <w:r>
        <w:rPr>
          <w:spacing w:val="-14"/>
        </w:rPr>
        <w:t> </w:t>
      </w:r>
      <w:r>
        <w:rPr/>
        <w:t>those</w:t>
      </w:r>
      <w:r>
        <w:rPr>
          <w:spacing w:val="-14"/>
        </w:rPr>
        <w:t> </w:t>
      </w:r>
      <w:r>
        <w:rPr/>
        <w:t>individuals</w:t>
      </w:r>
      <w:r>
        <w:rPr>
          <w:spacing w:val="-14"/>
        </w:rPr>
        <w:t> </w:t>
      </w:r>
      <w:r>
        <w:rPr/>
        <w:t>or</w:t>
      </w:r>
      <w:r>
        <w:rPr>
          <w:spacing w:val="-14"/>
        </w:rPr>
        <w:t> </w:t>
      </w:r>
      <w:r>
        <w:rPr/>
        <w:t>entities</w:t>
      </w:r>
      <w:r>
        <w:rPr>
          <w:spacing w:val="-17"/>
        </w:rPr>
        <w:t> </w:t>
      </w:r>
      <w:r>
        <w:rPr/>
        <w:t>that</w:t>
      </w:r>
      <w:r>
        <w:rPr>
          <w:spacing w:val="-13"/>
        </w:rPr>
        <w:t> </w:t>
      </w:r>
      <w:r>
        <w:rPr/>
        <w:t>use</w:t>
      </w:r>
      <w:r>
        <w:rPr>
          <w:spacing w:val="-14"/>
        </w:rPr>
        <w:t> </w:t>
      </w:r>
      <w:r>
        <w:rPr/>
        <w:t>or</w:t>
      </w:r>
      <w:r>
        <w:rPr>
          <w:spacing w:val="-14"/>
        </w:rPr>
        <w:t> </w:t>
      </w:r>
      <w:r>
        <w:rPr/>
        <w:t>rely</w:t>
      </w:r>
      <w:r>
        <w:rPr>
          <w:spacing w:val="-15"/>
        </w:rPr>
        <w:t> </w:t>
      </w:r>
      <w:r>
        <w:rPr/>
        <w:t>on</w:t>
      </w:r>
      <w:r>
        <w:rPr>
          <w:spacing w:val="-15"/>
        </w:rPr>
        <w:t> </w:t>
      </w:r>
      <w:r>
        <w:rPr/>
        <w:t>Maine’s</w:t>
      </w:r>
      <w:r>
        <w:rPr>
          <w:spacing w:val="-17"/>
        </w:rPr>
        <w:t> </w:t>
      </w:r>
      <w:r>
        <w:rPr/>
        <w:t>transportation infrastructure on a daily basis.</w:t>
      </w:r>
    </w:p>
    <w:p>
      <w:pPr>
        <w:pStyle w:val="BodyText"/>
        <w:spacing w:before="11"/>
        <w:rPr>
          <w:sz w:val="22"/>
        </w:rPr>
      </w:pPr>
    </w:p>
    <w:p>
      <w:pPr>
        <w:pStyle w:val="BodyText"/>
        <w:spacing w:before="1"/>
        <w:ind w:left="840" w:right="933"/>
        <w:jc w:val="both"/>
      </w:pPr>
      <w:r>
        <w:rPr/>
        <w:t>Our</w:t>
      </w:r>
      <w:r>
        <w:rPr>
          <w:spacing w:val="-6"/>
        </w:rPr>
        <w:t> </w:t>
      </w:r>
      <w:r>
        <w:rPr/>
        <w:t>goal</w:t>
      </w:r>
      <w:r>
        <w:rPr>
          <w:spacing w:val="-9"/>
        </w:rPr>
        <w:t> </w:t>
      </w:r>
      <w:r>
        <w:rPr/>
        <w:t>is</w:t>
      </w:r>
      <w:r>
        <w:rPr>
          <w:spacing w:val="-9"/>
        </w:rPr>
        <w:t> </w:t>
      </w:r>
      <w:r>
        <w:rPr/>
        <w:t>to</w:t>
      </w:r>
      <w:r>
        <w:rPr>
          <w:spacing w:val="-8"/>
        </w:rPr>
        <w:t> </w:t>
      </w:r>
      <w:r>
        <w:rPr/>
        <w:t>be</w:t>
      </w:r>
      <w:r>
        <w:rPr>
          <w:spacing w:val="-8"/>
        </w:rPr>
        <w:t> </w:t>
      </w:r>
      <w:r>
        <w:rPr/>
        <w:t>the</w:t>
      </w:r>
      <w:r>
        <w:rPr>
          <w:spacing w:val="-8"/>
        </w:rPr>
        <w:t> </w:t>
      </w:r>
      <w:r>
        <w:rPr/>
        <w:t>most</w:t>
      </w:r>
      <w:r>
        <w:rPr>
          <w:spacing w:val="-8"/>
        </w:rPr>
        <w:t> </w:t>
      </w:r>
      <w:r>
        <w:rPr/>
        <w:t>trusted</w:t>
      </w:r>
      <w:r>
        <w:rPr>
          <w:spacing w:val="-8"/>
        </w:rPr>
        <w:t> </w:t>
      </w:r>
      <w:r>
        <w:rPr/>
        <w:t>organization</w:t>
      </w:r>
      <w:r>
        <w:rPr>
          <w:spacing w:val="-5"/>
        </w:rPr>
        <w:t> </w:t>
      </w:r>
      <w:r>
        <w:rPr/>
        <w:t>in</w:t>
      </w:r>
      <w:r>
        <w:rPr>
          <w:spacing w:val="-8"/>
        </w:rPr>
        <w:t> </w:t>
      </w:r>
      <w:r>
        <w:rPr/>
        <w:t>Maine</w:t>
      </w:r>
      <w:r>
        <w:rPr>
          <w:spacing w:val="-8"/>
        </w:rPr>
        <w:t> </w:t>
      </w:r>
      <w:r>
        <w:rPr/>
        <w:t>by</w:t>
      </w:r>
      <w:r>
        <w:rPr>
          <w:spacing w:val="-9"/>
        </w:rPr>
        <w:t> </w:t>
      </w:r>
      <w:r>
        <w:rPr/>
        <w:t>being</w:t>
      </w:r>
      <w:r>
        <w:rPr>
          <w:spacing w:val="-9"/>
        </w:rPr>
        <w:t> </w:t>
      </w:r>
      <w:r>
        <w:rPr/>
        <w:t>open,</w:t>
      </w:r>
      <w:r>
        <w:rPr>
          <w:spacing w:val="-6"/>
        </w:rPr>
        <w:t> </w:t>
      </w:r>
      <w:r>
        <w:rPr/>
        <w:t>accountable,</w:t>
      </w:r>
      <w:r>
        <w:rPr>
          <w:spacing w:val="-9"/>
        </w:rPr>
        <w:t> </w:t>
      </w:r>
      <w:r>
        <w:rPr/>
        <w:t>responsive, and proactively inclusive of diversity.</w:t>
      </w:r>
      <w:r>
        <w:rPr>
          <w:spacing w:val="40"/>
        </w:rPr>
        <w:t> </w:t>
      </w:r>
      <w:r>
        <w:rPr/>
        <w:t>To that end, it is important that MaineDOT properly identifies it customers.</w:t>
      </w:r>
    </w:p>
    <w:p>
      <w:pPr>
        <w:pStyle w:val="BodyText"/>
        <w:spacing w:before="11"/>
        <w:rPr>
          <w:sz w:val="22"/>
        </w:rPr>
      </w:pPr>
    </w:p>
    <w:p>
      <w:pPr>
        <w:pStyle w:val="BodyText"/>
        <w:ind w:left="840"/>
        <w:jc w:val="both"/>
      </w:pPr>
      <w:r>
        <w:rPr/>
        <w:t>Our</w:t>
      </w:r>
      <w:r>
        <w:rPr>
          <w:spacing w:val="-1"/>
        </w:rPr>
        <w:t> </w:t>
      </w:r>
      <w:r>
        <w:rPr/>
        <w:t>customers</w:t>
      </w:r>
      <w:r>
        <w:rPr>
          <w:spacing w:val="-1"/>
        </w:rPr>
        <w:t> </w:t>
      </w:r>
      <w:r>
        <w:rPr>
          <w:spacing w:val="-2"/>
        </w:rPr>
        <w:t>include:</w:t>
      </w:r>
    </w:p>
    <w:p>
      <w:pPr>
        <w:pStyle w:val="BodyText"/>
        <w:spacing w:before="11"/>
        <w:rPr>
          <w:sz w:val="22"/>
        </w:rPr>
      </w:pPr>
    </w:p>
    <w:p>
      <w:pPr>
        <w:pStyle w:val="ListParagraph"/>
        <w:numPr>
          <w:ilvl w:val="0"/>
          <w:numId w:val="11"/>
        </w:numPr>
        <w:tabs>
          <w:tab w:pos="1559" w:val="left" w:leader="none"/>
        </w:tabs>
        <w:spacing w:line="305" w:lineRule="exact" w:before="1" w:after="0"/>
        <w:ind w:left="1559" w:right="0" w:hanging="359"/>
        <w:jc w:val="left"/>
        <w:rPr>
          <w:sz w:val="24"/>
        </w:rPr>
      </w:pPr>
      <w:r>
        <w:rPr>
          <w:spacing w:val="-2"/>
          <w:sz w:val="24"/>
        </w:rPr>
        <w:t>Citizens</w:t>
      </w:r>
    </w:p>
    <w:p>
      <w:pPr>
        <w:pStyle w:val="ListParagraph"/>
        <w:numPr>
          <w:ilvl w:val="0"/>
          <w:numId w:val="11"/>
        </w:numPr>
        <w:tabs>
          <w:tab w:pos="1559" w:val="left" w:leader="none"/>
        </w:tabs>
        <w:spacing w:line="305" w:lineRule="exact" w:before="0" w:after="0"/>
        <w:ind w:left="1559" w:right="0" w:hanging="359"/>
        <w:jc w:val="left"/>
        <w:rPr>
          <w:sz w:val="24"/>
        </w:rPr>
      </w:pPr>
      <w:r>
        <w:rPr>
          <w:spacing w:val="-2"/>
          <w:sz w:val="24"/>
        </w:rPr>
        <w:t>Minorities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Underserved</w:t>
      </w:r>
      <w:r>
        <w:rPr>
          <w:spacing w:val="-4"/>
          <w:sz w:val="24"/>
        </w:rPr>
        <w:t> </w:t>
      </w:r>
      <w:r>
        <w:rPr>
          <w:sz w:val="24"/>
        </w:rPr>
        <w:t>populations</w:t>
      </w:r>
      <w:r>
        <w:rPr>
          <w:spacing w:val="-3"/>
          <w:sz w:val="24"/>
        </w:rPr>
        <w:t> </w:t>
      </w:r>
      <w:r>
        <w:rPr>
          <w:sz w:val="24"/>
        </w:rPr>
        <w:t>like</w:t>
      </w:r>
      <w:r>
        <w:rPr>
          <w:spacing w:val="-2"/>
          <w:sz w:val="24"/>
        </w:rPr>
        <w:t> </w:t>
      </w:r>
      <w:r>
        <w:rPr>
          <w:sz w:val="24"/>
        </w:rPr>
        <w:t>the</w:t>
      </w:r>
      <w:r>
        <w:rPr>
          <w:spacing w:val="-2"/>
          <w:sz w:val="24"/>
        </w:rPr>
        <w:t> </w:t>
      </w:r>
      <w:r>
        <w:rPr>
          <w:sz w:val="24"/>
        </w:rPr>
        <w:t>low-</w:t>
      </w:r>
      <w:r>
        <w:rPr>
          <w:spacing w:val="-2"/>
          <w:sz w:val="24"/>
        </w:rPr>
        <w:t>income</w:t>
      </w:r>
    </w:p>
    <w:p>
      <w:pPr>
        <w:pStyle w:val="ListParagraph"/>
        <w:numPr>
          <w:ilvl w:val="0"/>
          <w:numId w:val="11"/>
        </w:numPr>
        <w:tabs>
          <w:tab w:pos="1559" w:val="left" w:leader="none"/>
        </w:tabs>
        <w:spacing w:line="305" w:lineRule="exact" w:before="1" w:after="0"/>
        <w:ind w:left="1559" w:right="0" w:hanging="359"/>
        <w:jc w:val="left"/>
        <w:rPr>
          <w:sz w:val="24"/>
        </w:rPr>
      </w:pPr>
      <w:r>
        <w:rPr>
          <w:sz w:val="24"/>
        </w:rPr>
        <w:t>Limited</w:t>
      </w:r>
      <w:r>
        <w:rPr>
          <w:spacing w:val="-5"/>
          <w:sz w:val="24"/>
        </w:rPr>
        <w:t> </w:t>
      </w:r>
      <w:r>
        <w:rPr>
          <w:sz w:val="24"/>
        </w:rPr>
        <w:t>English</w:t>
      </w:r>
      <w:r>
        <w:rPr>
          <w:spacing w:val="-1"/>
          <w:sz w:val="24"/>
        </w:rPr>
        <w:t> </w:t>
      </w:r>
      <w:r>
        <w:rPr>
          <w:sz w:val="24"/>
        </w:rPr>
        <w:t>Proficiency</w:t>
      </w:r>
      <w:r>
        <w:rPr>
          <w:spacing w:val="-3"/>
          <w:sz w:val="24"/>
        </w:rPr>
        <w:t> </w:t>
      </w:r>
      <w:r>
        <w:rPr>
          <w:sz w:val="24"/>
        </w:rPr>
        <w:t>(LEP)</w:t>
      </w:r>
      <w:r>
        <w:rPr>
          <w:spacing w:val="-3"/>
          <w:sz w:val="24"/>
        </w:rPr>
        <w:t> </w:t>
      </w:r>
      <w:r>
        <w:rPr>
          <w:spacing w:val="-2"/>
          <w:sz w:val="24"/>
        </w:rPr>
        <w:t>populations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New </w:t>
      </w:r>
      <w:r>
        <w:rPr>
          <w:spacing w:val="-2"/>
          <w:sz w:val="24"/>
        </w:rPr>
        <w:t>Americans</w:t>
      </w:r>
    </w:p>
    <w:p>
      <w:pPr>
        <w:pStyle w:val="ListParagraph"/>
        <w:numPr>
          <w:ilvl w:val="0"/>
          <w:numId w:val="11"/>
        </w:numPr>
        <w:tabs>
          <w:tab w:pos="1559" w:val="left" w:leader="none"/>
        </w:tabs>
        <w:spacing w:line="305" w:lineRule="exact" w:before="1" w:after="0"/>
        <w:ind w:left="1559" w:right="0" w:hanging="359"/>
        <w:jc w:val="left"/>
        <w:rPr>
          <w:sz w:val="24"/>
        </w:rPr>
      </w:pPr>
      <w:r>
        <w:rPr>
          <w:sz w:val="24"/>
        </w:rPr>
        <w:t>Newly</w:t>
      </w:r>
      <w:r>
        <w:rPr>
          <w:spacing w:val="-1"/>
          <w:sz w:val="24"/>
        </w:rPr>
        <w:t> </w:t>
      </w:r>
      <w:r>
        <w:rPr>
          <w:sz w:val="24"/>
        </w:rPr>
        <w:t>arrived</w:t>
      </w:r>
      <w:r>
        <w:rPr>
          <w:spacing w:val="-2"/>
          <w:sz w:val="24"/>
        </w:rPr>
        <w:t> immigrants</w:t>
      </w:r>
    </w:p>
    <w:p>
      <w:pPr>
        <w:pStyle w:val="ListParagraph"/>
        <w:numPr>
          <w:ilvl w:val="0"/>
          <w:numId w:val="11"/>
        </w:numPr>
        <w:tabs>
          <w:tab w:pos="1559" w:val="left" w:leader="none"/>
        </w:tabs>
        <w:spacing w:line="305" w:lineRule="exact" w:before="0" w:after="0"/>
        <w:ind w:left="1559" w:right="0" w:hanging="359"/>
        <w:jc w:val="left"/>
        <w:rPr>
          <w:sz w:val="24"/>
        </w:rPr>
      </w:pPr>
      <w:r>
        <w:rPr>
          <w:spacing w:val="-2"/>
          <w:sz w:val="24"/>
        </w:rPr>
        <w:t>Businesses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Freight</w:t>
      </w:r>
      <w:r>
        <w:rPr>
          <w:spacing w:val="-1"/>
          <w:sz w:val="24"/>
        </w:rPr>
        <w:t> </w:t>
      </w:r>
      <w:r>
        <w:rPr>
          <w:spacing w:val="-2"/>
          <w:sz w:val="24"/>
        </w:rPr>
        <w:t>Shippers</w:t>
      </w:r>
    </w:p>
    <w:p>
      <w:pPr>
        <w:pStyle w:val="ListParagraph"/>
        <w:numPr>
          <w:ilvl w:val="0"/>
          <w:numId w:val="11"/>
        </w:numPr>
        <w:tabs>
          <w:tab w:pos="1559" w:val="left" w:leader="none"/>
        </w:tabs>
        <w:spacing w:line="305" w:lineRule="exact" w:before="2" w:after="0"/>
        <w:ind w:left="1559" w:right="0" w:hanging="359"/>
        <w:jc w:val="left"/>
        <w:rPr>
          <w:sz w:val="24"/>
        </w:rPr>
      </w:pPr>
      <w:r>
        <w:rPr>
          <w:spacing w:val="-2"/>
          <w:sz w:val="24"/>
        </w:rPr>
        <w:t>Tourists</w:t>
      </w:r>
    </w:p>
    <w:p>
      <w:pPr>
        <w:pStyle w:val="ListParagraph"/>
        <w:numPr>
          <w:ilvl w:val="0"/>
          <w:numId w:val="11"/>
        </w:numPr>
        <w:tabs>
          <w:tab w:pos="1559" w:val="left" w:leader="none"/>
        </w:tabs>
        <w:spacing w:line="305" w:lineRule="exact" w:before="0" w:after="0"/>
        <w:ind w:left="1559" w:right="0" w:hanging="359"/>
        <w:jc w:val="left"/>
        <w:rPr>
          <w:sz w:val="24"/>
        </w:rPr>
      </w:pPr>
      <w:r>
        <w:rPr>
          <w:sz w:val="24"/>
        </w:rPr>
        <w:t>Providers</w:t>
      </w:r>
      <w:r>
        <w:rPr>
          <w:spacing w:val="-5"/>
          <w:sz w:val="24"/>
        </w:rPr>
        <w:t> </w:t>
      </w:r>
      <w:r>
        <w:rPr>
          <w:sz w:val="24"/>
        </w:rPr>
        <w:t>of</w:t>
      </w:r>
      <w:r>
        <w:rPr>
          <w:spacing w:val="-4"/>
          <w:sz w:val="24"/>
        </w:rPr>
        <w:t> </w:t>
      </w:r>
      <w:r>
        <w:rPr>
          <w:sz w:val="24"/>
        </w:rPr>
        <w:t>Transportation </w:t>
      </w:r>
      <w:r>
        <w:rPr>
          <w:spacing w:val="-2"/>
          <w:sz w:val="24"/>
        </w:rPr>
        <w:t>Services</w:t>
      </w:r>
    </w:p>
    <w:p>
      <w:pPr>
        <w:pStyle w:val="ListParagraph"/>
        <w:numPr>
          <w:ilvl w:val="0"/>
          <w:numId w:val="11"/>
        </w:numPr>
        <w:tabs>
          <w:tab w:pos="1559" w:val="left" w:leader="none"/>
        </w:tabs>
        <w:spacing w:line="240" w:lineRule="auto" w:before="1" w:after="0"/>
        <w:ind w:left="1559" w:right="0" w:hanging="359"/>
        <w:jc w:val="left"/>
        <w:rPr>
          <w:sz w:val="24"/>
        </w:rPr>
      </w:pPr>
      <w:r>
        <w:rPr>
          <w:sz w:val="24"/>
        </w:rPr>
        <w:t>Users</w:t>
      </w:r>
      <w:r>
        <w:rPr>
          <w:spacing w:val="-2"/>
          <w:sz w:val="24"/>
        </w:rPr>
        <w:t> </w:t>
      </w:r>
      <w:r>
        <w:rPr>
          <w:sz w:val="24"/>
        </w:rPr>
        <w:t>of</w:t>
      </w:r>
      <w:r>
        <w:rPr>
          <w:spacing w:val="-2"/>
          <w:sz w:val="24"/>
        </w:rPr>
        <w:t> </w:t>
      </w:r>
      <w:r>
        <w:rPr>
          <w:sz w:val="24"/>
        </w:rPr>
        <w:t>Bicycle</w:t>
      </w:r>
      <w:r>
        <w:rPr>
          <w:spacing w:val="-1"/>
          <w:sz w:val="24"/>
        </w:rPr>
        <w:t> </w:t>
      </w:r>
      <w:r>
        <w:rPr>
          <w:sz w:val="24"/>
        </w:rPr>
        <w:t>and</w:t>
      </w:r>
      <w:r>
        <w:rPr>
          <w:spacing w:val="-2"/>
          <w:sz w:val="24"/>
        </w:rPr>
        <w:t> </w:t>
      </w:r>
      <w:r>
        <w:rPr>
          <w:sz w:val="24"/>
        </w:rPr>
        <w:t>Pedestrian</w:t>
      </w:r>
      <w:r>
        <w:rPr>
          <w:spacing w:val="-2"/>
          <w:sz w:val="24"/>
        </w:rPr>
        <w:t> Facilities</w:t>
      </w:r>
    </w:p>
    <w:p>
      <w:pPr>
        <w:pStyle w:val="ListParagraph"/>
        <w:numPr>
          <w:ilvl w:val="0"/>
          <w:numId w:val="11"/>
        </w:numPr>
        <w:tabs>
          <w:tab w:pos="1559" w:val="left" w:leader="none"/>
        </w:tabs>
        <w:spacing w:line="240" w:lineRule="auto" w:before="2" w:after="0"/>
        <w:ind w:left="1559" w:right="0" w:hanging="359"/>
        <w:jc w:val="left"/>
        <w:rPr>
          <w:sz w:val="24"/>
        </w:rPr>
      </w:pPr>
      <w:r>
        <w:rPr>
          <w:sz w:val="24"/>
        </w:rPr>
        <w:t>Users</w:t>
      </w:r>
      <w:r>
        <w:rPr>
          <w:spacing w:val="-3"/>
          <w:sz w:val="24"/>
        </w:rPr>
        <w:t> </w:t>
      </w:r>
      <w:r>
        <w:rPr>
          <w:sz w:val="24"/>
        </w:rPr>
        <w:t>with mobility</w:t>
      </w:r>
      <w:r>
        <w:rPr>
          <w:spacing w:val="-3"/>
          <w:sz w:val="24"/>
        </w:rPr>
        <w:t> </w:t>
      </w:r>
      <w:r>
        <w:rPr>
          <w:sz w:val="24"/>
        </w:rPr>
        <w:t>challenges</w:t>
      </w:r>
      <w:r>
        <w:rPr>
          <w:spacing w:val="-2"/>
          <w:sz w:val="24"/>
        </w:rPr>
        <w:t> </w:t>
      </w:r>
      <w:r>
        <w:rPr>
          <w:sz w:val="24"/>
        </w:rPr>
        <w:t>and</w:t>
      </w:r>
      <w:r>
        <w:rPr>
          <w:spacing w:val="-3"/>
          <w:sz w:val="24"/>
        </w:rPr>
        <w:t> </w:t>
      </w:r>
      <w:r>
        <w:rPr>
          <w:spacing w:val="-2"/>
          <w:sz w:val="24"/>
        </w:rPr>
        <w:t>disabilities</w:t>
      </w:r>
    </w:p>
    <w:p>
      <w:pPr>
        <w:pStyle w:val="BodyText"/>
        <w:spacing w:before="9"/>
        <w:rPr>
          <w:sz w:val="22"/>
        </w:rPr>
      </w:pPr>
    </w:p>
    <w:p>
      <w:pPr>
        <w:pStyle w:val="BodyText"/>
        <w:spacing w:before="1"/>
        <w:ind w:left="840" w:right="931"/>
        <w:jc w:val="both"/>
      </w:pPr>
      <w:r>
        <w:rPr/>
        <w:t>Our stakeholders are individuals and groups who have a vested interest in some aspect of the transportation system or MaineDOT’s actions.</w:t>
      </w:r>
      <w:r>
        <w:rPr>
          <w:spacing w:val="40"/>
        </w:rPr>
        <w:t> </w:t>
      </w:r>
      <w:r>
        <w:rPr/>
        <w:t>Although not a formal decision-maker, stakeholders play a crucial role in transportation decision making processes – their support can strengthen a decision or reverse it altogether. In other words, stakeholders are the groups or individuals most likely to support or oppose a project, investment, or initiative.</w:t>
      </w:r>
    </w:p>
    <w:p>
      <w:pPr>
        <w:spacing w:after="0"/>
        <w:jc w:val="both"/>
        <w:sectPr>
          <w:pgSz w:w="12240" w:h="15840"/>
          <w:pgMar w:header="0" w:footer="997" w:top="960" w:bottom="1260" w:left="600" w:right="500"/>
        </w:sectPr>
      </w:pPr>
    </w:p>
    <w:p>
      <w:pPr>
        <w:pStyle w:val="BodyText"/>
        <w:spacing w:before="35"/>
        <w:ind w:left="840" w:right="934"/>
        <w:jc w:val="both"/>
      </w:pPr>
      <w:r>
        <w:rPr/>
        <w:t>A first step in achieving meaningful public involvement in planning and project development involves identifying the individuals and groups likely to be affected by the project, those who have a "stake" in its outcome.</w:t>
      </w:r>
      <w:r>
        <w:rPr>
          <w:spacing w:val="40"/>
        </w:rPr>
        <w:t> </w:t>
      </w:r>
      <w:r>
        <w:rPr/>
        <w:t>For a given project, a typical list of stakeholders might include abutting property owners, frequent users of the facility (i.e., customers), municipal officials, transportation service providers in the area, and a wide range of interest groups. Representatives of the sponsoring federal agency are also considered stakeholders as they definitely have a stake in a project’s outcome.</w:t>
      </w:r>
    </w:p>
    <w:p>
      <w:pPr>
        <w:pStyle w:val="BodyText"/>
        <w:spacing w:before="11"/>
        <w:rPr>
          <w:sz w:val="22"/>
        </w:rPr>
      </w:pPr>
    </w:p>
    <w:p>
      <w:pPr>
        <w:pStyle w:val="BodyText"/>
        <w:ind w:left="840"/>
        <w:jc w:val="both"/>
      </w:pPr>
      <w:r>
        <w:rPr/>
        <w:t>A</w:t>
      </w:r>
      <w:r>
        <w:rPr>
          <w:spacing w:val="-1"/>
        </w:rPr>
        <w:t> </w:t>
      </w:r>
      <w:r>
        <w:rPr/>
        <w:t>typical</w:t>
      </w:r>
      <w:r>
        <w:rPr>
          <w:spacing w:val="-3"/>
        </w:rPr>
        <w:t> </w:t>
      </w:r>
      <w:r>
        <w:rPr/>
        <w:t>list</w:t>
      </w:r>
      <w:r>
        <w:rPr>
          <w:spacing w:val="-2"/>
        </w:rPr>
        <w:t> </w:t>
      </w:r>
      <w:r>
        <w:rPr/>
        <w:t>of</w:t>
      </w:r>
      <w:r>
        <w:rPr>
          <w:spacing w:val="-2"/>
        </w:rPr>
        <w:t> </w:t>
      </w:r>
      <w:r>
        <w:rPr/>
        <w:t>stakeholders</w:t>
      </w:r>
      <w:r>
        <w:rPr>
          <w:spacing w:val="-1"/>
        </w:rPr>
        <w:t> </w:t>
      </w:r>
      <w:r>
        <w:rPr>
          <w:spacing w:val="-2"/>
        </w:rPr>
        <w:t>includes:</w:t>
      </w:r>
    </w:p>
    <w:p>
      <w:pPr>
        <w:pStyle w:val="BodyText"/>
        <w:rPr>
          <w:sz w:val="23"/>
        </w:rPr>
      </w:pPr>
    </w:p>
    <w:p>
      <w:pPr>
        <w:pStyle w:val="ListParagraph"/>
        <w:numPr>
          <w:ilvl w:val="0"/>
          <w:numId w:val="12"/>
        </w:numPr>
        <w:tabs>
          <w:tab w:pos="1199" w:val="left" w:leader="none"/>
        </w:tabs>
        <w:spacing w:line="240" w:lineRule="auto" w:before="0" w:after="0"/>
        <w:ind w:left="1199" w:right="0" w:hanging="359"/>
        <w:jc w:val="left"/>
        <w:rPr>
          <w:sz w:val="24"/>
        </w:rPr>
      </w:pPr>
      <w:r>
        <w:rPr>
          <w:sz w:val="24"/>
        </w:rPr>
        <w:t>Our</w:t>
      </w:r>
      <w:r>
        <w:rPr>
          <w:spacing w:val="-2"/>
          <w:sz w:val="24"/>
        </w:rPr>
        <w:t> </w:t>
      </w:r>
      <w:r>
        <w:rPr>
          <w:sz w:val="24"/>
        </w:rPr>
        <w:t>Customers</w:t>
      </w:r>
      <w:r>
        <w:rPr>
          <w:spacing w:val="-2"/>
          <w:sz w:val="24"/>
        </w:rPr>
        <w:t> </w:t>
      </w:r>
      <w:r>
        <w:rPr>
          <w:sz w:val="24"/>
        </w:rPr>
        <w:t>(general</w:t>
      </w:r>
      <w:r>
        <w:rPr>
          <w:spacing w:val="-5"/>
          <w:sz w:val="24"/>
        </w:rPr>
        <w:t> </w:t>
      </w:r>
      <w:r>
        <w:rPr>
          <w:spacing w:val="-2"/>
          <w:sz w:val="24"/>
        </w:rPr>
        <w:t>public)</w:t>
      </w:r>
    </w:p>
    <w:p>
      <w:pPr>
        <w:pStyle w:val="ListParagraph"/>
        <w:numPr>
          <w:ilvl w:val="0"/>
          <w:numId w:val="12"/>
        </w:numPr>
        <w:tabs>
          <w:tab w:pos="1199" w:val="left" w:leader="none"/>
        </w:tabs>
        <w:spacing w:line="240" w:lineRule="auto" w:before="0" w:after="0"/>
        <w:ind w:left="1199" w:right="0" w:hanging="359"/>
        <w:jc w:val="left"/>
        <w:rPr>
          <w:sz w:val="24"/>
        </w:rPr>
      </w:pPr>
      <w:r>
        <w:rPr>
          <w:sz w:val="24"/>
        </w:rPr>
        <w:t>Our</w:t>
      </w:r>
      <w:r>
        <w:rPr>
          <w:spacing w:val="1"/>
          <w:sz w:val="24"/>
        </w:rPr>
        <w:t> </w:t>
      </w:r>
      <w:r>
        <w:rPr>
          <w:spacing w:val="-2"/>
          <w:sz w:val="24"/>
        </w:rPr>
        <w:t>Partners</w:t>
      </w:r>
    </w:p>
    <w:p>
      <w:pPr>
        <w:pStyle w:val="ListParagraph"/>
        <w:numPr>
          <w:ilvl w:val="0"/>
          <w:numId w:val="12"/>
        </w:numPr>
        <w:tabs>
          <w:tab w:pos="1199" w:val="left" w:leader="none"/>
        </w:tabs>
        <w:spacing w:line="240" w:lineRule="auto" w:before="0" w:after="0"/>
        <w:ind w:left="1199" w:right="0" w:hanging="359"/>
        <w:jc w:val="left"/>
        <w:rPr>
          <w:sz w:val="24"/>
        </w:rPr>
      </w:pPr>
      <w:r>
        <w:rPr>
          <w:spacing w:val="-2"/>
          <w:sz w:val="24"/>
        </w:rPr>
        <w:t>Municipalities</w:t>
      </w:r>
    </w:p>
    <w:p>
      <w:pPr>
        <w:pStyle w:val="ListParagraph"/>
        <w:numPr>
          <w:ilvl w:val="0"/>
          <w:numId w:val="12"/>
        </w:numPr>
        <w:tabs>
          <w:tab w:pos="1199" w:val="left" w:leader="none"/>
        </w:tabs>
        <w:spacing w:line="240" w:lineRule="auto" w:before="0" w:after="0"/>
        <w:ind w:left="1199" w:right="0" w:hanging="359"/>
        <w:jc w:val="left"/>
        <w:rPr>
          <w:sz w:val="24"/>
        </w:rPr>
      </w:pPr>
      <w:r>
        <w:rPr>
          <w:spacing w:val="-2"/>
          <w:sz w:val="24"/>
        </w:rPr>
        <w:t>Utilities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Abutting</w:t>
      </w:r>
      <w:r>
        <w:rPr>
          <w:spacing w:val="-2"/>
          <w:sz w:val="24"/>
        </w:rPr>
        <w:t> </w:t>
      </w:r>
      <w:r>
        <w:rPr>
          <w:sz w:val="24"/>
        </w:rPr>
        <w:t>property</w:t>
      </w:r>
      <w:r>
        <w:rPr>
          <w:spacing w:val="-1"/>
          <w:sz w:val="24"/>
        </w:rPr>
        <w:t> </w:t>
      </w:r>
      <w:r>
        <w:rPr>
          <w:spacing w:val="-2"/>
          <w:sz w:val="24"/>
        </w:rPr>
        <w:t>owners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Community</w:t>
      </w:r>
      <w:r>
        <w:rPr>
          <w:spacing w:val="-1"/>
          <w:sz w:val="24"/>
        </w:rPr>
        <w:t> </w:t>
      </w:r>
      <w:r>
        <w:rPr>
          <w:spacing w:val="-2"/>
          <w:sz w:val="24"/>
        </w:rPr>
        <w:t>organizations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Diversity</w:t>
      </w:r>
      <w:r>
        <w:rPr>
          <w:spacing w:val="-3"/>
          <w:sz w:val="24"/>
        </w:rPr>
        <w:t> </w:t>
      </w:r>
      <w:r>
        <w:rPr>
          <w:spacing w:val="-2"/>
          <w:sz w:val="24"/>
        </w:rPr>
        <w:t>organizations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Business</w:t>
      </w:r>
      <w:r>
        <w:rPr>
          <w:spacing w:val="-1"/>
          <w:sz w:val="24"/>
        </w:rPr>
        <w:t> </w:t>
      </w:r>
      <w:r>
        <w:rPr>
          <w:spacing w:val="-2"/>
          <w:sz w:val="24"/>
        </w:rPr>
        <w:t>organizations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Transportation</w:t>
      </w:r>
      <w:r>
        <w:rPr>
          <w:spacing w:val="-3"/>
          <w:sz w:val="24"/>
        </w:rPr>
        <w:t> </w:t>
      </w:r>
      <w:r>
        <w:rPr>
          <w:sz w:val="24"/>
        </w:rPr>
        <w:t>interest</w:t>
      </w:r>
      <w:r>
        <w:rPr>
          <w:spacing w:val="-3"/>
          <w:sz w:val="24"/>
        </w:rPr>
        <w:t> </w:t>
      </w:r>
      <w:r>
        <w:rPr>
          <w:spacing w:val="-2"/>
          <w:sz w:val="24"/>
        </w:rPr>
        <w:t>groups</w:t>
      </w:r>
    </w:p>
    <w:p>
      <w:pPr>
        <w:pStyle w:val="ListParagraph"/>
        <w:numPr>
          <w:ilvl w:val="0"/>
          <w:numId w:val="12"/>
        </w:numPr>
        <w:tabs>
          <w:tab w:pos="1199" w:val="left" w:leader="none"/>
        </w:tabs>
        <w:spacing w:line="240" w:lineRule="auto" w:before="1" w:after="0"/>
        <w:ind w:left="1199" w:right="0" w:hanging="359"/>
        <w:jc w:val="left"/>
        <w:rPr>
          <w:sz w:val="24"/>
        </w:rPr>
      </w:pPr>
      <w:r>
        <w:rPr>
          <w:sz w:val="24"/>
        </w:rPr>
        <w:t>LEP/Minority</w:t>
      </w:r>
      <w:r>
        <w:rPr>
          <w:spacing w:val="-5"/>
          <w:sz w:val="24"/>
        </w:rPr>
        <w:t> </w:t>
      </w:r>
      <w:r>
        <w:rPr>
          <w:sz w:val="24"/>
        </w:rPr>
        <w:t>interest</w:t>
      </w:r>
      <w:r>
        <w:rPr>
          <w:spacing w:val="-1"/>
          <w:sz w:val="24"/>
        </w:rPr>
        <w:t> </w:t>
      </w:r>
      <w:r>
        <w:rPr>
          <w:sz w:val="24"/>
        </w:rPr>
        <w:t>groups</w:t>
      </w:r>
      <w:r>
        <w:rPr>
          <w:spacing w:val="-4"/>
          <w:sz w:val="24"/>
        </w:rPr>
        <w:t> </w:t>
      </w:r>
      <w:r>
        <w:rPr>
          <w:sz w:val="24"/>
        </w:rPr>
        <w:t>and</w:t>
      </w:r>
      <w:r>
        <w:rPr>
          <w:spacing w:val="-3"/>
          <w:sz w:val="24"/>
        </w:rPr>
        <w:t> </w:t>
      </w:r>
      <w:r>
        <w:rPr>
          <w:spacing w:val="-2"/>
          <w:sz w:val="24"/>
        </w:rPr>
        <w:t>agencies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Environmental</w:t>
      </w:r>
      <w:r>
        <w:rPr>
          <w:spacing w:val="-3"/>
          <w:sz w:val="24"/>
        </w:rPr>
        <w:t> </w:t>
      </w:r>
      <w:r>
        <w:rPr>
          <w:sz w:val="24"/>
        </w:rPr>
        <w:t>interest</w:t>
      </w:r>
      <w:r>
        <w:rPr>
          <w:spacing w:val="-4"/>
          <w:sz w:val="24"/>
        </w:rPr>
        <w:t> </w:t>
      </w:r>
      <w:r>
        <w:rPr>
          <w:spacing w:val="-2"/>
          <w:sz w:val="24"/>
        </w:rPr>
        <w:t>groups</w:t>
      </w:r>
    </w:p>
    <w:p>
      <w:pPr>
        <w:pStyle w:val="ListParagraph"/>
        <w:numPr>
          <w:ilvl w:val="0"/>
          <w:numId w:val="12"/>
        </w:numPr>
        <w:tabs>
          <w:tab w:pos="1199" w:val="left" w:leader="none"/>
        </w:tabs>
        <w:spacing w:line="240" w:lineRule="auto" w:before="0" w:after="0"/>
        <w:ind w:left="1199" w:right="0" w:hanging="359"/>
        <w:jc w:val="left"/>
        <w:rPr>
          <w:sz w:val="24"/>
        </w:rPr>
      </w:pPr>
      <w:r>
        <w:rPr>
          <w:sz w:val="24"/>
        </w:rPr>
        <w:t>Disability</w:t>
      </w:r>
      <w:r>
        <w:rPr>
          <w:spacing w:val="-4"/>
          <w:sz w:val="24"/>
        </w:rPr>
        <w:t> </w:t>
      </w:r>
      <w:r>
        <w:rPr>
          <w:sz w:val="24"/>
        </w:rPr>
        <w:t>rights</w:t>
      </w:r>
      <w:r>
        <w:rPr>
          <w:spacing w:val="-1"/>
          <w:sz w:val="24"/>
        </w:rPr>
        <w:t> </w:t>
      </w:r>
      <w:r>
        <w:rPr>
          <w:sz w:val="24"/>
        </w:rPr>
        <w:t>groups</w:t>
      </w:r>
      <w:r>
        <w:rPr>
          <w:spacing w:val="-4"/>
          <w:sz w:val="24"/>
        </w:rPr>
        <w:t> </w:t>
      </w:r>
      <w:r>
        <w:rPr>
          <w:sz w:val="24"/>
        </w:rPr>
        <w:t>and</w:t>
      </w:r>
      <w:r>
        <w:rPr>
          <w:spacing w:val="1"/>
          <w:sz w:val="24"/>
        </w:rPr>
        <w:t> </w:t>
      </w:r>
      <w:r>
        <w:rPr>
          <w:spacing w:val="-2"/>
          <w:sz w:val="24"/>
        </w:rPr>
        <w:t>agencies</w:t>
      </w:r>
    </w:p>
    <w:p>
      <w:pPr>
        <w:pStyle w:val="ListParagraph"/>
        <w:numPr>
          <w:ilvl w:val="0"/>
          <w:numId w:val="12"/>
        </w:numPr>
        <w:tabs>
          <w:tab w:pos="1199" w:val="left" w:leader="none"/>
        </w:tabs>
        <w:spacing w:line="240" w:lineRule="auto" w:before="0" w:after="0"/>
        <w:ind w:left="1199" w:right="0" w:hanging="359"/>
        <w:jc w:val="left"/>
        <w:rPr>
          <w:sz w:val="24"/>
        </w:rPr>
      </w:pPr>
      <w:r>
        <w:rPr>
          <w:spacing w:val="-2"/>
          <w:sz w:val="24"/>
        </w:rPr>
        <w:t>Contractors</w:t>
      </w:r>
    </w:p>
    <w:p>
      <w:pPr>
        <w:pStyle w:val="BodyText"/>
        <w:spacing w:before="9"/>
        <w:rPr>
          <w:sz w:val="22"/>
        </w:rPr>
      </w:pPr>
    </w:p>
    <w:p>
      <w:pPr>
        <w:pStyle w:val="BodyText"/>
        <w:ind w:left="840" w:right="933"/>
        <w:jc w:val="both"/>
      </w:pPr>
      <w:r>
        <w:rPr/>
        <w:t>Funds</w:t>
      </w:r>
      <w:r>
        <w:rPr>
          <w:spacing w:val="-14"/>
        </w:rPr>
        <w:t> </w:t>
      </w:r>
      <w:r>
        <w:rPr/>
        <w:t>allocated</w:t>
      </w:r>
      <w:r>
        <w:rPr>
          <w:spacing w:val="-14"/>
        </w:rPr>
        <w:t> </w:t>
      </w:r>
      <w:r>
        <w:rPr/>
        <w:t>by</w:t>
      </w:r>
      <w:r>
        <w:rPr>
          <w:spacing w:val="-12"/>
        </w:rPr>
        <w:t> </w:t>
      </w:r>
      <w:r>
        <w:rPr/>
        <w:t>the</w:t>
      </w:r>
      <w:r>
        <w:rPr>
          <w:spacing w:val="-12"/>
        </w:rPr>
        <w:t> </w:t>
      </w:r>
      <w:r>
        <w:rPr/>
        <w:t>FTA</w:t>
      </w:r>
      <w:r>
        <w:rPr>
          <w:spacing w:val="-11"/>
        </w:rPr>
        <w:t> </w:t>
      </w:r>
      <w:r>
        <w:rPr/>
        <w:t>are</w:t>
      </w:r>
      <w:r>
        <w:rPr>
          <w:spacing w:val="-13"/>
        </w:rPr>
        <w:t> </w:t>
      </w:r>
      <w:r>
        <w:rPr/>
        <w:t>primarily</w:t>
      </w:r>
      <w:r>
        <w:rPr>
          <w:spacing w:val="-14"/>
        </w:rPr>
        <w:t> </w:t>
      </w:r>
      <w:r>
        <w:rPr/>
        <w:t>used</w:t>
      </w:r>
      <w:r>
        <w:rPr>
          <w:spacing w:val="-14"/>
        </w:rPr>
        <w:t> </w:t>
      </w:r>
      <w:r>
        <w:rPr/>
        <w:t>by</w:t>
      </w:r>
      <w:r>
        <w:rPr>
          <w:spacing w:val="-13"/>
        </w:rPr>
        <w:t> </w:t>
      </w:r>
      <w:r>
        <w:rPr/>
        <w:t>MaineDOT</w:t>
      </w:r>
      <w:r>
        <w:rPr>
          <w:spacing w:val="-13"/>
        </w:rPr>
        <w:t> </w:t>
      </w:r>
      <w:r>
        <w:rPr/>
        <w:t>for</w:t>
      </w:r>
      <w:r>
        <w:rPr>
          <w:spacing w:val="-14"/>
        </w:rPr>
        <w:t> </w:t>
      </w:r>
      <w:r>
        <w:rPr/>
        <w:t>Locally</w:t>
      </w:r>
      <w:r>
        <w:rPr>
          <w:spacing w:val="-13"/>
        </w:rPr>
        <w:t> </w:t>
      </w:r>
      <w:r>
        <w:rPr/>
        <w:t>Coordinated</w:t>
      </w:r>
      <w:r>
        <w:rPr>
          <w:spacing w:val="-12"/>
        </w:rPr>
        <w:t> </w:t>
      </w:r>
      <w:r>
        <w:rPr/>
        <w:t>Transit</w:t>
      </w:r>
      <w:r>
        <w:rPr>
          <w:spacing w:val="-12"/>
        </w:rPr>
        <w:t> </w:t>
      </w:r>
      <w:r>
        <w:rPr/>
        <w:t>Plans, Locally</w:t>
      </w:r>
      <w:r>
        <w:rPr>
          <w:spacing w:val="-6"/>
        </w:rPr>
        <w:t> </w:t>
      </w:r>
      <w:r>
        <w:rPr/>
        <w:t>Administered</w:t>
      </w:r>
      <w:r>
        <w:rPr>
          <w:spacing w:val="-6"/>
        </w:rPr>
        <w:t> </w:t>
      </w:r>
      <w:r>
        <w:rPr/>
        <w:t>MaineDOT</w:t>
      </w:r>
      <w:r>
        <w:rPr>
          <w:spacing w:val="-7"/>
        </w:rPr>
        <w:t> </w:t>
      </w:r>
      <w:r>
        <w:rPr/>
        <w:t>Projects</w:t>
      </w:r>
      <w:r>
        <w:rPr>
          <w:spacing w:val="-5"/>
        </w:rPr>
        <w:t> </w:t>
      </w:r>
      <w:r>
        <w:rPr/>
        <w:t>(LAP’s),</w:t>
      </w:r>
      <w:r>
        <w:rPr>
          <w:spacing w:val="-7"/>
        </w:rPr>
        <w:t> </w:t>
      </w:r>
      <w:r>
        <w:rPr/>
        <w:t>and</w:t>
      </w:r>
      <w:r>
        <w:rPr>
          <w:spacing w:val="-6"/>
        </w:rPr>
        <w:t> </w:t>
      </w:r>
      <w:r>
        <w:rPr/>
        <w:t>major</w:t>
      </w:r>
      <w:r>
        <w:rPr>
          <w:spacing w:val="-5"/>
        </w:rPr>
        <w:t> </w:t>
      </w:r>
      <w:r>
        <w:rPr/>
        <w:t>studies,</w:t>
      </w:r>
      <w:r>
        <w:rPr>
          <w:spacing w:val="-5"/>
        </w:rPr>
        <w:t> </w:t>
      </w:r>
      <w:r>
        <w:rPr/>
        <w:t>granted</w:t>
      </w:r>
      <w:r>
        <w:rPr>
          <w:spacing w:val="-6"/>
        </w:rPr>
        <w:t> </w:t>
      </w:r>
      <w:r>
        <w:rPr/>
        <w:t>to</w:t>
      </w:r>
      <w:r>
        <w:rPr>
          <w:spacing w:val="-4"/>
        </w:rPr>
        <w:t> </w:t>
      </w:r>
      <w:r>
        <w:rPr/>
        <w:t>subrecipients</w:t>
      </w:r>
      <w:r>
        <w:rPr>
          <w:spacing w:val="-8"/>
        </w:rPr>
        <w:t> </w:t>
      </w:r>
      <w:r>
        <w:rPr/>
        <w:t>for transit services.</w:t>
      </w:r>
    </w:p>
    <w:p>
      <w:pPr>
        <w:pStyle w:val="BodyText"/>
        <w:rPr>
          <w:sz w:val="23"/>
        </w:rPr>
      </w:pPr>
    </w:p>
    <w:p>
      <w:pPr>
        <w:pStyle w:val="BodyText"/>
        <w:ind w:left="840" w:right="933"/>
        <w:jc w:val="both"/>
      </w:pPr>
      <w:r>
        <w:rPr>
          <w:b/>
        </w:rPr>
        <w:t>Transit Providers</w:t>
      </w:r>
      <w:r>
        <w:rPr/>
        <w:t>.</w:t>
      </w:r>
      <w:r>
        <w:rPr>
          <w:spacing w:val="40"/>
        </w:rPr>
        <w:t> </w:t>
      </w:r>
      <w:r>
        <w:rPr/>
        <w:t>MaineDOT partners with intercity, fixed route, flex route and demand response transit (bus) providers to support a broad range of transit services throughout Maine. MaineDOT administers a range of Federal Transit Administration (FTA) and state programs that financially support transit operations. MaineDOT’s role is financial management, oversight, and monitoring to ensure that subrecipients of FTA funding meet a range of federal programs including</w:t>
      </w:r>
      <w:r>
        <w:rPr>
          <w:spacing w:val="-6"/>
        </w:rPr>
        <w:t> </w:t>
      </w:r>
      <w:r>
        <w:rPr/>
        <w:t>the</w:t>
      </w:r>
      <w:r>
        <w:rPr>
          <w:spacing w:val="-2"/>
        </w:rPr>
        <w:t> </w:t>
      </w:r>
      <w:r>
        <w:rPr/>
        <w:t>Americans</w:t>
      </w:r>
      <w:r>
        <w:rPr>
          <w:spacing w:val="-3"/>
        </w:rPr>
        <w:t> </w:t>
      </w:r>
      <w:r>
        <w:rPr/>
        <w:t>with</w:t>
      </w:r>
      <w:r>
        <w:rPr>
          <w:spacing w:val="1"/>
        </w:rPr>
        <w:t> </w:t>
      </w:r>
      <w:r>
        <w:rPr/>
        <w:t>Disabilities</w:t>
      </w:r>
      <w:r>
        <w:rPr>
          <w:spacing w:val="-1"/>
        </w:rPr>
        <w:t> </w:t>
      </w:r>
      <w:r>
        <w:rPr/>
        <w:t>Act,</w:t>
      </w:r>
      <w:r>
        <w:rPr>
          <w:spacing w:val="-3"/>
        </w:rPr>
        <w:t> </w:t>
      </w:r>
      <w:r>
        <w:rPr/>
        <w:t>Title</w:t>
      </w:r>
      <w:r>
        <w:rPr>
          <w:spacing w:val="-2"/>
        </w:rPr>
        <w:t> </w:t>
      </w:r>
      <w:r>
        <w:rPr/>
        <w:t>VI, and</w:t>
      </w:r>
      <w:r>
        <w:rPr>
          <w:spacing w:val="1"/>
        </w:rPr>
        <w:t> </w:t>
      </w:r>
      <w:r>
        <w:rPr/>
        <w:t>Environmental</w:t>
      </w:r>
      <w:r>
        <w:rPr>
          <w:spacing w:val="-3"/>
        </w:rPr>
        <w:t> </w:t>
      </w:r>
      <w:r>
        <w:rPr/>
        <w:t>Justice,</w:t>
      </w:r>
      <w:r>
        <w:rPr>
          <w:spacing w:val="-3"/>
        </w:rPr>
        <w:t> </w:t>
      </w:r>
      <w:r>
        <w:rPr/>
        <w:t>to</w:t>
      </w:r>
      <w:r>
        <w:rPr>
          <w:spacing w:val="-2"/>
        </w:rPr>
        <w:t> </w:t>
      </w:r>
      <w:r>
        <w:rPr/>
        <w:t>name</w:t>
      </w:r>
      <w:r>
        <w:rPr>
          <w:spacing w:val="-2"/>
        </w:rPr>
        <w:t> </w:t>
      </w:r>
      <w:r>
        <w:rPr/>
        <w:t>a</w:t>
      </w:r>
      <w:r>
        <w:rPr>
          <w:spacing w:val="-3"/>
        </w:rPr>
        <w:t> </w:t>
      </w:r>
      <w:r>
        <w:rPr>
          <w:spacing w:val="-4"/>
        </w:rPr>
        <w:t>few.</w:t>
      </w:r>
    </w:p>
    <w:p>
      <w:pPr>
        <w:pStyle w:val="BodyText"/>
        <w:spacing w:before="9"/>
        <w:rPr>
          <w:sz w:val="17"/>
        </w:rPr>
      </w:pPr>
    </w:p>
    <w:p>
      <w:pPr>
        <w:pStyle w:val="BodyText"/>
        <w:spacing w:before="1"/>
        <w:ind w:left="840" w:right="934"/>
        <w:jc w:val="both"/>
      </w:pPr>
      <w:r>
        <w:rPr/>
        <w:t>MaineDOT continues to be proactive in ensuring that subrecipients comply with federal requirements.</w:t>
      </w:r>
      <w:r>
        <w:rPr>
          <w:spacing w:val="40"/>
        </w:rPr>
        <w:t> </w:t>
      </w:r>
      <w:r>
        <w:rPr/>
        <w:t>Its systems include:</w:t>
      </w:r>
    </w:p>
    <w:p>
      <w:pPr>
        <w:pStyle w:val="BodyText"/>
        <w:spacing w:before="10"/>
        <w:rPr>
          <w:sz w:val="23"/>
        </w:rPr>
      </w:pPr>
    </w:p>
    <w:p>
      <w:pPr>
        <w:pStyle w:val="ListParagraph"/>
        <w:numPr>
          <w:ilvl w:val="1"/>
          <w:numId w:val="12"/>
        </w:numPr>
        <w:tabs>
          <w:tab w:pos="1559" w:val="left" w:leader="none"/>
        </w:tabs>
        <w:spacing w:line="305" w:lineRule="exact" w:before="0" w:after="0"/>
        <w:ind w:left="1559" w:right="0" w:hanging="359"/>
        <w:jc w:val="left"/>
        <w:rPr>
          <w:sz w:val="24"/>
        </w:rPr>
      </w:pPr>
      <w:r>
        <w:rPr>
          <w:sz w:val="24"/>
        </w:rPr>
        <w:t>Annual</w:t>
      </w:r>
      <w:r>
        <w:rPr>
          <w:spacing w:val="-1"/>
          <w:sz w:val="24"/>
        </w:rPr>
        <w:t> </w:t>
      </w:r>
      <w:r>
        <w:rPr>
          <w:sz w:val="24"/>
        </w:rPr>
        <w:t>Grant</w:t>
      </w:r>
      <w:r>
        <w:rPr>
          <w:spacing w:val="-2"/>
          <w:sz w:val="24"/>
        </w:rPr>
        <w:t> Applications</w:t>
      </w:r>
    </w:p>
    <w:p>
      <w:pPr>
        <w:pStyle w:val="ListParagraph"/>
        <w:numPr>
          <w:ilvl w:val="1"/>
          <w:numId w:val="12"/>
        </w:numPr>
        <w:tabs>
          <w:tab w:pos="1559" w:val="left" w:leader="none"/>
        </w:tabs>
        <w:spacing w:line="305" w:lineRule="exact" w:before="0" w:after="0"/>
        <w:ind w:left="1559" w:right="0" w:hanging="359"/>
        <w:jc w:val="left"/>
        <w:rPr>
          <w:sz w:val="24"/>
        </w:rPr>
      </w:pPr>
      <w:r>
        <w:rPr>
          <w:sz w:val="24"/>
        </w:rPr>
        <w:t>Quarterly/annual</w:t>
      </w:r>
      <w:r>
        <w:rPr>
          <w:spacing w:val="-4"/>
          <w:sz w:val="24"/>
        </w:rPr>
        <w:t> </w:t>
      </w:r>
      <w:r>
        <w:rPr>
          <w:sz w:val="24"/>
        </w:rPr>
        <w:t>reports</w:t>
      </w:r>
      <w:r>
        <w:rPr>
          <w:spacing w:val="-2"/>
          <w:sz w:val="24"/>
        </w:rPr>
        <w:t> </w:t>
      </w:r>
      <w:r>
        <w:rPr>
          <w:sz w:val="24"/>
        </w:rPr>
        <w:t>from</w:t>
      </w:r>
      <w:r>
        <w:rPr>
          <w:spacing w:val="-3"/>
          <w:sz w:val="24"/>
        </w:rPr>
        <w:t> </w:t>
      </w:r>
      <w:r>
        <w:rPr>
          <w:spacing w:val="-2"/>
          <w:sz w:val="24"/>
        </w:rPr>
        <w:t>subrecipients</w:t>
      </w:r>
    </w:p>
    <w:p>
      <w:pPr>
        <w:pStyle w:val="ListParagraph"/>
        <w:numPr>
          <w:ilvl w:val="1"/>
          <w:numId w:val="12"/>
        </w:numPr>
        <w:tabs>
          <w:tab w:pos="1559" w:val="left" w:leader="none"/>
        </w:tabs>
        <w:spacing w:line="305" w:lineRule="exact" w:before="2" w:after="0"/>
        <w:ind w:left="1559" w:right="0" w:hanging="359"/>
        <w:jc w:val="left"/>
        <w:rPr>
          <w:sz w:val="24"/>
        </w:rPr>
      </w:pPr>
      <w:r>
        <w:rPr>
          <w:sz w:val="24"/>
        </w:rPr>
        <w:t>Regular</w:t>
      </w:r>
      <w:r>
        <w:rPr>
          <w:spacing w:val="-4"/>
          <w:sz w:val="24"/>
        </w:rPr>
        <w:t> </w:t>
      </w:r>
      <w:r>
        <w:rPr>
          <w:sz w:val="24"/>
        </w:rPr>
        <w:t>meetings</w:t>
      </w:r>
      <w:r>
        <w:rPr>
          <w:spacing w:val="-2"/>
          <w:sz w:val="24"/>
        </w:rPr>
        <w:t> </w:t>
      </w:r>
      <w:r>
        <w:rPr>
          <w:sz w:val="24"/>
        </w:rPr>
        <w:t>with</w:t>
      </w:r>
      <w:r>
        <w:rPr>
          <w:spacing w:val="-3"/>
          <w:sz w:val="24"/>
        </w:rPr>
        <w:t> </w:t>
      </w:r>
      <w:r>
        <w:rPr>
          <w:sz w:val="24"/>
        </w:rPr>
        <w:t>transit</w:t>
      </w:r>
      <w:r>
        <w:rPr>
          <w:spacing w:val="-2"/>
          <w:sz w:val="24"/>
        </w:rPr>
        <w:t> providers</w:t>
      </w:r>
    </w:p>
    <w:p>
      <w:pPr>
        <w:pStyle w:val="ListParagraph"/>
        <w:numPr>
          <w:ilvl w:val="1"/>
          <w:numId w:val="12"/>
        </w:numPr>
        <w:tabs>
          <w:tab w:pos="1559" w:val="left" w:leader="none"/>
        </w:tabs>
        <w:spacing w:line="305" w:lineRule="exact" w:before="0" w:after="0"/>
        <w:ind w:left="1559" w:right="0" w:hanging="360"/>
        <w:jc w:val="left"/>
        <w:rPr>
          <w:sz w:val="24"/>
        </w:rPr>
      </w:pPr>
      <w:r>
        <w:rPr>
          <w:sz w:val="24"/>
        </w:rPr>
        <w:t>Vehicle/facility</w:t>
      </w:r>
      <w:r>
        <w:rPr>
          <w:spacing w:val="-1"/>
          <w:sz w:val="24"/>
        </w:rPr>
        <w:t> </w:t>
      </w:r>
      <w:r>
        <w:rPr>
          <w:spacing w:val="-2"/>
          <w:sz w:val="24"/>
        </w:rPr>
        <w:t>inspections</w:t>
      </w:r>
    </w:p>
    <w:p>
      <w:pPr>
        <w:pStyle w:val="ListParagraph"/>
        <w:numPr>
          <w:ilvl w:val="1"/>
          <w:numId w:val="12"/>
        </w:numPr>
        <w:tabs>
          <w:tab w:pos="1559" w:val="left" w:leader="none"/>
        </w:tabs>
        <w:spacing w:line="305" w:lineRule="exact" w:before="1" w:after="0"/>
        <w:ind w:left="1559" w:right="0" w:hanging="360"/>
        <w:jc w:val="left"/>
        <w:rPr>
          <w:sz w:val="24"/>
        </w:rPr>
      </w:pPr>
      <w:r>
        <w:rPr>
          <w:sz w:val="24"/>
        </w:rPr>
        <w:t>Site </w:t>
      </w:r>
      <w:r>
        <w:rPr>
          <w:spacing w:val="-2"/>
          <w:sz w:val="24"/>
        </w:rPr>
        <w:t>visits</w:t>
      </w:r>
    </w:p>
    <w:p>
      <w:pPr>
        <w:pStyle w:val="ListParagraph"/>
        <w:numPr>
          <w:ilvl w:val="1"/>
          <w:numId w:val="12"/>
        </w:numPr>
        <w:tabs>
          <w:tab w:pos="1559" w:val="left" w:leader="none"/>
        </w:tabs>
        <w:spacing w:line="305" w:lineRule="exact" w:before="0" w:after="0"/>
        <w:ind w:left="1559" w:right="0" w:hanging="360"/>
        <w:jc w:val="left"/>
        <w:rPr>
          <w:sz w:val="24"/>
        </w:rPr>
      </w:pPr>
      <w:r>
        <w:rPr>
          <w:sz w:val="24"/>
        </w:rPr>
        <w:t>Training/technical</w:t>
      </w:r>
      <w:r>
        <w:rPr>
          <w:spacing w:val="-6"/>
          <w:sz w:val="24"/>
        </w:rPr>
        <w:t> </w:t>
      </w:r>
      <w:r>
        <w:rPr>
          <w:spacing w:val="-2"/>
          <w:sz w:val="24"/>
        </w:rPr>
        <w:t>assistance</w:t>
      </w:r>
    </w:p>
    <w:p>
      <w:pPr>
        <w:spacing w:after="0" w:line="305" w:lineRule="exact"/>
        <w:jc w:val="left"/>
        <w:rPr>
          <w:sz w:val="24"/>
        </w:rPr>
        <w:sectPr>
          <w:pgSz w:w="12240" w:h="15840"/>
          <w:pgMar w:header="0" w:footer="997" w:top="960" w:bottom="1260" w:left="600" w:right="500"/>
        </w:sectPr>
      </w:pPr>
    </w:p>
    <w:p>
      <w:pPr>
        <w:pStyle w:val="BodyText"/>
        <w:spacing w:before="35"/>
        <w:ind w:left="840" w:right="933"/>
        <w:jc w:val="both"/>
      </w:pPr>
      <w:r>
        <w:rPr/>
        <w:t>All subrecipients must comply with all Federal requirements through completion of all Certifications and Assurances.</w:t>
      </w:r>
      <w:r>
        <w:rPr>
          <w:spacing w:val="40"/>
        </w:rPr>
        <w:t> </w:t>
      </w:r>
      <w:r>
        <w:rPr/>
        <w:t>These Certifications and Assurances, which are required to be signed</w:t>
      </w:r>
      <w:r>
        <w:rPr>
          <w:spacing w:val="-5"/>
        </w:rPr>
        <w:t> </w:t>
      </w:r>
      <w:r>
        <w:rPr/>
        <w:t>by</w:t>
      </w:r>
      <w:r>
        <w:rPr>
          <w:spacing w:val="-5"/>
        </w:rPr>
        <w:t> </w:t>
      </w:r>
      <w:r>
        <w:rPr/>
        <w:t>an</w:t>
      </w:r>
      <w:r>
        <w:rPr>
          <w:spacing w:val="-5"/>
        </w:rPr>
        <w:t> </w:t>
      </w:r>
      <w:r>
        <w:rPr/>
        <w:t>authorized</w:t>
      </w:r>
      <w:r>
        <w:rPr>
          <w:spacing w:val="-5"/>
        </w:rPr>
        <w:t> </w:t>
      </w:r>
      <w:r>
        <w:rPr/>
        <w:t>public</w:t>
      </w:r>
      <w:r>
        <w:rPr>
          <w:spacing w:val="-7"/>
        </w:rPr>
        <w:t> </w:t>
      </w:r>
      <w:r>
        <w:rPr/>
        <w:t>official,</w:t>
      </w:r>
      <w:r>
        <w:rPr>
          <w:spacing w:val="-4"/>
        </w:rPr>
        <w:t> </w:t>
      </w:r>
      <w:r>
        <w:rPr/>
        <w:t>are</w:t>
      </w:r>
      <w:r>
        <w:rPr>
          <w:spacing w:val="-6"/>
        </w:rPr>
        <w:t> </w:t>
      </w:r>
      <w:r>
        <w:rPr/>
        <w:t>part</w:t>
      </w:r>
      <w:r>
        <w:rPr>
          <w:spacing w:val="-3"/>
        </w:rPr>
        <w:t> </w:t>
      </w:r>
      <w:r>
        <w:rPr/>
        <w:t>of</w:t>
      </w:r>
      <w:r>
        <w:rPr>
          <w:spacing w:val="-5"/>
        </w:rPr>
        <w:t> </w:t>
      </w:r>
      <w:r>
        <w:rPr/>
        <w:t>the</w:t>
      </w:r>
      <w:r>
        <w:rPr>
          <w:spacing w:val="-6"/>
        </w:rPr>
        <w:t> </w:t>
      </w:r>
      <w:r>
        <w:rPr/>
        <w:t>formal</w:t>
      </w:r>
      <w:r>
        <w:rPr>
          <w:spacing w:val="-4"/>
        </w:rPr>
        <w:t> </w:t>
      </w:r>
      <w:r>
        <w:rPr/>
        <w:t>contract</w:t>
      </w:r>
      <w:r>
        <w:rPr>
          <w:spacing w:val="-5"/>
        </w:rPr>
        <w:t> </w:t>
      </w:r>
      <w:r>
        <w:rPr/>
        <w:t>process.</w:t>
      </w:r>
      <w:r>
        <w:rPr>
          <w:spacing w:val="-5"/>
        </w:rPr>
        <w:t> </w:t>
      </w:r>
      <w:r>
        <w:rPr/>
        <w:t>MaineDOT,</w:t>
      </w:r>
      <w:r>
        <w:rPr>
          <w:spacing w:val="-6"/>
        </w:rPr>
        <w:t> </w:t>
      </w:r>
      <w:r>
        <w:rPr/>
        <w:t>when submitting State grant applications to FTA, is also required to execute Certifications and Assurances</w:t>
      </w:r>
      <w:r>
        <w:rPr>
          <w:spacing w:val="-7"/>
        </w:rPr>
        <w:t> </w:t>
      </w:r>
      <w:r>
        <w:rPr/>
        <w:t>both</w:t>
      </w:r>
      <w:r>
        <w:rPr>
          <w:spacing w:val="-8"/>
        </w:rPr>
        <w:t> </w:t>
      </w:r>
      <w:r>
        <w:rPr/>
        <w:t>on</w:t>
      </w:r>
      <w:r>
        <w:rPr>
          <w:spacing w:val="-5"/>
        </w:rPr>
        <w:t> </w:t>
      </w:r>
      <w:r>
        <w:rPr/>
        <w:t>behalf</w:t>
      </w:r>
      <w:r>
        <w:rPr>
          <w:spacing w:val="-5"/>
        </w:rPr>
        <w:t> </w:t>
      </w:r>
      <w:r>
        <w:rPr/>
        <w:t>of</w:t>
      </w:r>
      <w:r>
        <w:rPr>
          <w:spacing w:val="-8"/>
        </w:rPr>
        <w:t> </w:t>
      </w:r>
      <w:r>
        <w:rPr/>
        <w:t>the</w:t>
      </w:r>
      <w:r>
        <w:rPr>
          <w:spacing w:val="-6"/>
        </w:rPr>
        <w:t> </w:t>
      </w:r>
      <w:r>
        <w:rPr/>
        <w:t>State</w:t>
      </w:r>
      <w:r>
        <w:rPr>
          <w:spacing w:val="-6"/>
        </w:rPr>
        <w:t> </w:t>
      </w:r>
      <w:r>
        <w:rPr/>
        <w:t>and</w:t>
      </w:r>
      <w:r>
        <w:rPr>
          <w:spacing w:val="-8"/>
        </w:rPr>
        <w:t> </w:t>
      </w:r>
      <w:r>
        <w:rPr/>
        <w:t>with</w:t>
      </w:r>
      <w:r>
        <w:rPr>
          <w:spacing w:val="-5"/>
        </w:rPr>
        <w:t> </w:t>
      </w:r>
      <w:r>
        <w:rPr/>
        <w:t>respect</w:t>
      </w:r>
      <w:r>
        <w:rPr>
          <w:spacing w:val="-5"/>
        </w:rPr>
        <w:t> </w:t>
      </w:r>
      <w:r>
        <w:rPr/>
        <w:t>to</w:t>
      </w:r>
      <w:r>
        <w:rPr>
          <w:spacing w:val="-6"/>
        </w:rPr>
        <w:t> </w:t>
      </w:r>
      <w:r>
        <w:rPr/>
        <w:t>the</w:t>
      </w:r>
      <w:r>
        <w:rPr>
          <w:spacing w:val="-6"/>
        </w:rPr>
        <w:t> </w:t>
      </w:r>
      <w:r>
        <w:rPr/>
        <w:t>local</w:t>
      </w:r>
      <w:r>
        <w:rPr>
          <w:spacing w:val="-6"/>
        </w:rPr>
        <w:t> </w:t>
      </w:r>
      <w:r>
        <w:rPr/>
        <w:t>subrecipients.</w:t>
      </w:r>
      <w:r>
        <w:rPr>
          <w:spacing w:val="-7"/>
        </w:rPr>
        <w:t> </w:t>
      </w:r>
      <w:r>
        <w:rPr/>
        <w:t>Subrecipients are also required to develop and submit Title VI plans with a public participation component.</w:t>
      </w:r>
    </w:p>
    <w:p>
      <w:pPr>
        <w:pStyle w:val="BodyText"/>
        <w:spacing w:before="11"/>
        <w:rPr>
          <w:sz w:val="22"/>
        </w:rPr>
      </w:pPr>
    </w:p>
    <w:p>
      <w:pPr>
        <w:pStyle w:val="BodyText"/>
        <w:ind w:left="840" w:right="931"/>
        <w:jc w:val="both"/>
      </w:pPr>
      <w:r>
        <w:rPr>
          <w:b/>
        </w:rPr>
        <w:t>Locally</w:t>
      </w:r>
      <w:r>
        <w:rPr>
          <w:b/>
          <w:spacing w:val="-7"/>
        </w:rPr>
        <w:t> </w:t>
      </w:r>
      <w:r>
        <w:rPr>
          <w:b/>
        </w:rPr>
        <w:t>Coordinated</w:t>
      </w:r>
      <w:r>
        <w:rPr>
          <w:b/>
          <w:spacing w:val="-8"/>
        </w:rPr>
        <w:t> </w:t>
      </w:r>
      <w:r>
        <w:rPr>
          <w:b/>
        </w:rPr>
        <w:t>Transit</w:t>
      </w:r>
      <w:r>
        <w:rPr>
          <w:b/>
          <w:spacing w:val="-6"/>
        </w:rPr>
        <w:t> </w:t>
      </w:r>
      <w:r>
        <w:rPr>
          <w:b/>
        </w:rPr>
        <w:t>Plans</w:t>
      </w:r>
      <w:r>
        <w:rPr/>
        <w:t>.</w:t>
      </w:r>
      <w:r>
        <w:rPr>
          <w:spacing w:val="40"/>
        </w:rPr>
        <w:t> </w:t>
      </w:r>
      <w:r>
        <w:rPr/>
        <w:t>Locally</w:t>
      </w:r>
      <w:r>
        <w:rPr>
          <w:spacing w:val="-7"/>
        </w:rPr>
        <w:t> </w:t>
      </w:r>
      <w:r>
        <w:rPr/>
        <w:t>Coordinated</w:t>
      </w:r>
      <w:r>
        <w:rPr>
          <w:spacing w:val="-5"/>
        </w:rPr>
        <w:t> </w:t>
      </w:r>
      <w:r>
        <w:rPr/>
        <w:t>Transit</w:t>
      </w:r>
      <w:r>
        <w:rPr>
          <w:spacing w:val="-8"/>
        </w:rPr>
        <w:t> </w:t>
      </w:r>
      <w:r>
        <w:rPr/>
        <w:t>Plans</w:t>
      </w:r>
      <w:r>
        <w:rPr>
          <w:spacing w:val="-7"/>
        </w:rPr>
        <w:t> </w:t>
      </w:r>
      <w:r>
        <w:rPr/>
        <w:t>are</w:t>
      </w:r>
      <w:r>
        <w:rPr>
          <w:spacing w:val="-6"/>
        </w:rPr>
        <w:t> </w:t>
      </w:r>
      <w:r>
        <w:rPr/>
        <w:t>prepared</w:t>
      </w:r>
      <w:r>
        <w:rPr>
          <w:spacing w:val="-5"/>
        </w:rPr>
        <w:t> </w:t>
      </w:r>
      <w:r>
        <w:rPr/>
        <w:t>by</w:t>
      </w:r>
      <w:r>
        <w:rPr>
          <w:spacing w:val="-7"/>
        </w:rPr>
        <w:t> </w:t>
      </w:r>
      <w:r>
        <w:rPr/>
        <w:t>MaineDOT in cooperation with the state’s transit providers who receive FTA and/or state financial assistance.</w:t>
      </w:r>
      <w:r>
        <w:rPr>
          <w:spacing w:val="22"/>
        </w:rPr>
        <w:t> </w:t>
      </w:r>
      <w:r>
        <w:rPr/>
        <w:t>These</w:t>
      </w:r>
      <w:r>
        <w:rPr>
          <w:spacing w:val="-14"/>
        </w:rPr>
        <w:t> </w:t>
      </w:r>
      <w:r>
        <w:rPr/>
        <w:t>plans</w:t>
      </w:r>
      <w:r>
        <w:rPr>
          <w:spacing w:val="-14"/>
        </w:rPr>
        <w:t> </w:t>
      </w:r>
      <w:r>
        <w:rPr/>
        <w:t>address</w:t>
      </w:r>
      <w:r>
        <w:rPr>
          <w:spacing w:val="-13"/>
        </w:rPr>
        <w:t> </w:t>
      </w:r>
      <w:r>
        <w:rPr/>
        <w:t>federal</w:t>
      </w:r>
      <w:r>
        <w:rPr>
          <w:spacing w:val="-13"/>
        </w:rPr>
        <w:t> </w:t>
      </w:r>
      <w:r>
        <w:rPr/>
        <w:t>and</w:t>
      </w:r>
      <w:r>
        <w:rPr>
          <w:spacing w:val="-13"/>
        </w:rPr>
        <w:t> </w:t>
      </w:r>
      <w:r>
        <w:rPr/>
        <w:t>state</w:t>
      </w:r>
      <w:r>
        <w:rPr>
          <w:spacing w:val="-14"/>
        </w:rPr>
        <w:t> </w:t>
      </w:r>
      <w:r>
        <w:rPr/>
        <w:t>requirements</w:t>
      </w:r>
      <w:r>
        <w:rPr>
          <w:spacing w:val="-14"/>
        </w:rPr>
        <w:t> </w:t>
      </w:r>
      <w:r>
        <w:rPr/>
        <w:t>for</w:t>
      </w:r>
      <w:r>
        <w:rPr>
          <w:spacing w:val="-13"/>
        </w:rPr>
        <w:t> </w:t>
      </w:r>
      <w:r>
        <w:rPr/>
        <w:t>managing</w:t>
      </w:r>
      <w:r>
        <w:rPr>
          <w:spacing w:val="-14"/>
        </w:rPr>
        <w:t> </w:t>
      </w:r>
      <w:r>
        <w:rPr/>
        <w:t>transit</w:t>
      </w:r>
      <w:r>
        <w:rPr>
          <w:spacing w:val="-12"/>
        </w:rPr>
        <w:t> </w:t>
      </w:r>
      <w:r>
        <w:rPr/>
        <w:t>systems</w:t>
      </w:r>
      <w:r>
        <w:rPr>
          <w:spacing w:val="-14"/>
        </w:rPr>
        <w:t> </w:t>
      </w:r>
      <w:r>
        <w:rPr/>
        <w:t>and obtaining a range of public input in plans for meeting transit needs. These plans involve contacting a broad range of potential stakeholders and interested parties and holding transit workshops in accessible locations to obtain public input on how best to provide transit services to meet the needs of transit-dependent populations. Notifications for these workshops include information that translation services are available upon request.</w:t>
      </w:r>
      <w:r>
        <w:rPr>
          <w:spacing w:val="40"/>
        </w:rPr>
        <w:t> </w:t>
      </w:r>
      <w:r>
        <w:rPr/>
        <w:t>These meetings are designed to provide the most inclusive means possible, are transit accessible and are targeted to include users and potential users. Outreach efforts are made to reach out to minority populations through public notices in the local newspapers, including cultural news outlets, direct mailings and information placed on state and local websites.</w:t>
      </w:r>
      <w:r>
        <w:rPr>
          <w:spacing w:val="40"/>
        </w:rPr>
        <w:t> </w:t>
      </w:r>
      <w:r>
        <w:rPr/>
        <w:t>MaineDOT also seeks assistance for participation through its</w:t>
      </w:r>
      <w:r>
        <w:rPr>
          <w:spacing w:val="-4"/>
        </w:rPr>
        <w:t> </w:t>
      </w:r>
      <w:r>
        <w:rPr/>
        <w:t>subrecipients and accesses cultural</w:t>
      </w:r>
      <w:r>
        <w:rPr>
          <w:spacing w:val="-1"/>
        </w:rPr>
        <w:t> </w:t>
      </w:r>
      <w:r>
        <w:rPr/>
        <w:t>information from statewide groups to ensure that the broadest net is cast and cultural considerations are made.</w:t>
      </w:r>
    </w:p>
    <w:p>
      <w:pPr>
        <w:pStyle w:val="BodyText"/>
        <w:rPr>
          <w:sz w:val="23"/>
        </w:rPr>
      </w:pPr>
    </w:p>
    <w:p>
      <w:pPr>
        <w:pStyle w:val="BodyText"/>
        <w:ind w:left="840" w:right="932"/>
        <w:jc w:val="both"/>
      </w:pPr>
      <w:r>
        <w:rPr>
          <w:b/>
        </w:rPr>
        <w:t>Locally Administered MaineDOT Projects (LAP’s)</w:t>
      </w:r>
      <w:r>
        <w:rPr/>
        <w:t>. A Locally Administered Project (LAP) is any MaineDOT project in which a municipality locally administers the development, design and construction</w:t>
      </w:r>
      <w:r>
        <w:rPr>
          <w:spacing w:val="-1"/>
        </w:rPr>
        <w:t> </w:t>
      </w:r>
      <w:r>
        <w:rPr/>
        <w:t>of</w:t>
      </w:r>
      <w:r>
        <w:rPr>
          <w:spacing w:val="-1"/>
        </w:rPr>
        <w:t> </w:t>
      </w:r>
      <w:r>
        <w:rPr/>
        <w:t>the</w:t>
      </w:r>
      <w:r>
        <w:rPr>
          <w:spacing w:val="-2"/>
        </w:rPr>
        <w:t> </w:t>
      </w:r>
      <w:r>
        <w:rPr/>
        <w:t>project.</w:t>
      </w:r>
      <w:r>
        <w:rPr>
          <w:spacing w:val="-1"/>
        </w:rPr>
        <w:t> </w:t>
      </w:r>
      <w:r>
        <w:rPr/>
        <w:t>Any</w:t>
      </w:r>
      <w:r>
        <w:rPr>
          <w:spacing w:val="-3"/>
        </w:rPr>
        <w:t> </w:t>
      </w:r>
      <w:r>
        <w:rPr/>
        <w:t>municipal</w:t>
      </w:r>
      <w:r>
        <w:rPr>
          <w:spacing w:val="-2"/>
        </w:rPr>
        <w:t> </w:t>
      </w:r>
      <w:r>
        <w:rPr/>
        <w:t>official</w:t>
      </w:r>
      <w:r>
        <w:rPr>
          <w:spacing w:val="-4"/>
        </w:rPr>
        <w:t> </w:t>
      </w:r>
      <w:r>
        <w:rPr/>
        <w:t>or municipal</w:t>
      </w:r>
      <w:r>
        <w:rPr>
          <w:spacing w:val="-2"/>
        </w:rPr>
        <w:t> </w:t>
      </w:r>
      <w:r>
        <w:rPr/>
        <w:t>engineer</w:t>
      </w:r>
      <w:r>
        <w:rPr>
          <w:spacing w:val="-2"/>
        </w:rPr>
        <w:t> </w:t>
      </w:r>
      <w:r>
        <w:rPr/>
        <w:t>can locally</w:t>
      </w:r>
      <w:r>
        <w:rPr>
          <w:spacing w:val="-3"/>
        </w:rPr>
        <w:t> </w:t>
      </w:r>
      <w:r>
        <w:rPr/>
        <w:t>administer</w:t>
      </w:r>
      <w:r>
        <w:rPr>
          <w:spacing w:val="-2"/>
        </w:rPr>
        <w:t> </w:t>
      </w:r>
      <w:r>
        <w:rPr/>
        <w:t>a MaineDOT project if they are LAP Certified by the Department. MaineDOT provides LAP certification training to municipal officials and municipal engineers on federal and State requirements for transportation projects. This training consists of Civil Rights program requirements including Title VI requirements.</w:t>
      </w:r>
    </w:p>
    <w:p>
      <w:pPr>
        <w:pStyle w:val="BodyText"/>
        <w:spacing w:before="11"/>
        <w:rPr>
          <w:sz w:val="22"/>
        </w:rPr>
      </w:pPr>
    </w:p>
    <w:p>
      <w:pPr>
        <w:pStyle w:val="BodyText"/>
        <w:spacing w:before="1"/>
        <w:ind w:left="840" w:right="933"/>
        <w:jc w:val="both"/>
      </w:pPr>
      <w:r>
        <w:rPr>
          <w:b/>
        </w:rPr>
        <w:t>Major</w:t>
      </w:r>
      <w:r>
        <w:rPr>
          <w:b/>
          <w:spacing w:val="-9"/>
        </w:rPr>
        <w:t> </w:t>
      </w:r>
      <w:r>
        <w:rPr>
          <w:b/>
        </w:rPr>
        <w:t>Studies</w:t>
      </w:r>
      <w:r>
        <w:rPr/>
        <w:t>.</w:t>
      </w:r>
      <w:r>
        <w:rPr>
          <w:spacing w:val="35"/>
        </w:rPr>
        <w:t> </w:t>
      </w:r>
      <w:r>
        <w:rPr/>
        <w:t>MaineDOT</w:t>
      </w:r>
      <w:r>
        <w:rPr>
          <w:spacing w:val="-9"/>
        </w:rPr>
        <w:t> </w:t>
      </w:r>
      <w:r>
        <w:rPr/>
        <w:t>undertakes</w:t>
      </w:r>
      <w:r>
        <w:rPr>
          <w:spacing w:val="-10"/>
        </w:rPr>
        <w:t> </w:t>
      </w:r>
      <w:r>
        <w:rPr/>
        <w:t>major</w:t>
      </w:r>
      <w:r>
        <w:rPr>
          <w:spacing w:val="-9"/>
        </w:rPr>
        <w:t> </w:t>
      </w:r>
      <w:r>
        <w:rPr/>
        <w:t>studies</w:t>
      </w:r>
      <w:r>
        <w:rPr>
          <w:spacing w:val="-10"/>
        </w:rPr>
        <w:t> </w:t>
      </w:r>
      <w:r>
        <w:rPr/>
        <w:t>whenever</w:t>
      </w:r>
      <w:r>
        <w:rPr>
          <w:spacing w:val="-9"/>
        </w:rPr>
        <w:t> </w:t>
      </w:r>
      <w:r>
        <w:rPr/>
        <w:t>the</w:t>
      </w:r>
      <w:r>
        <w:rPr>
          <w:spacing w:val="-9"/>
        </w:rPr>
        <w:t> </w:t>
      </w:r>
      <w:r>
        <w:rPr/>
        <w:t>potential</w:t>
      </w:r>
      <w:r>
        <w:rPr>
          <w:spacing w:val="-10"/>
        </w:rPr>
        <w:t> </w:t>
      </w:r>
      <w:r>
        <w:rPr/>
        <w:t>exists</w:t>
      </w:r>
      <w:r>
        <w:rPr>
          <w:spacing w:val="-10"/>
        </w:rPr>
        <w:t> </w:t>
      </w:r>
      <w:r>
        <w:rPr/>
        <w:t>for</w:t>
      </w:r>
      <w:r>
        <w:rPr>
          <w:spacing w:val="-9"/>
        </w:rPr>
        <w:t> </w:t>
      </w:r>
      <w:r>
        <w:rPr/>
        <w:t>expanded or new transportation facilities, or for which potential investments could result in significant environmental impacts. Major studies must abide by the requirements of the Maine Sensible Transportation</w:t>
      </w:r>
      <w:r>
        <w:rPr>
          <w:spacing w:val="-8"/>
        </w:rPr>
        <w:t> </w:t>
      </w:r>
      <w:r>
        <w:rPr/>
        <w:t>Policy</w:t>
      </w:r>
      <w:r>
        <w:rPr>
          <w:spacing w:val="-9"/>
        </w:rPr>
        <w:t> </w:t>
      </w:r>
      <w:r>
        <w:rPr/>
        <w:t>Act</w:t>
      </w:r>
      <w:r>
        <w:rPr>
          <w:spacing w:val="-10"/>
        </w:rPr>
        <w:t> </w:t>
      </w:r>
      <w:r>
        <w:rPr/>
        <w:t>(STPA)</w:t>
      </w:r>
      <w:r>
        <w:rPr>
          <w:spacing w:val="-10"/>
        </w:rPr>
        <w:t> </w:t>
      </w:r>
      <w:r>
        <w:rPr/>
        <w:t>and</w:t>
      </w:r>
      <w:r>
        <w:rPr>
          <w:spacing w:val="-10"/>
        </w:rPr>
        <w:t> </w:t>
      </w:r>
      <w:r>
        <w:rPr/>
        <w:t>the</w:t>
      </w:r>
      <w:r>
        <w:rPr>
          <w:spacing w:val="-8"/>
        </w:rPr>
        <w:t> </w:t>
      </w:r>
      <w:r>
        <w:rPr/>
        <w:t>National</w:t>
      </w:r>
      <w:r>
        <w:rPr>
          <w:spacing w:val="-11"/>
        </w:rPr>
        <w:t> </w:t>
      </w:r>
      <w:r>
        <w:rPr/>
        <w:t>Environmental</w:t>
      </w:r>
      <w:r>
        <w:rPr>
          <w:spacing w:val="-9"/>
        </w:rPr>
        <w:t> </w:t>
      </w:r>
      <w:r>
        <w:rPr/>
        <w:t>Policy</w:t>
      </w:r>
      <w:r>
        <w:rPr>
          <w:spacing w:val="-9"/>
        </w:rPr>
        <w:t> </w:t>
      </w:r>
      <w:r>
        <w:rPr/>
        <w:t>Act</w:t>
      </w:r>
      <w:r>
        <w:rPr>
          <w:spacing w:val="-10"/>
        </w:rPr>
        <w:t> </w:t>
      </w:r>
      <w:r>
        <w:rPr/>
        <w:t>(NEPA),</w:t>
      </w:r>
      <w:r>
        <w:rPr>
          <w:spacing w:val="-9"/>
        </w:rPr>
        <w:t> </w:t>
      </w:r>
      <w:r>
        <w:rPr/>
        <w:t>if</w:t>
      </w:r>
      <w:r>
        <w:rPr>
          <w:spacing w:val="-8"/>
        </w:rPr>
        <w:t> </w:t>
      </w:r>
      <w:r>
        <w:rPr/>
        <w:t>any</w:t>
      </w:r>
      <w:r>
        <w:rPr>
          <w:spacing w:val="-9"/>
        </w:rPr>
        <w:t> </w:t>
      </w:r>
      <w:r>
        <w:rPr/>
        <w:t>project phase</w:t>
      </w:r>
      <w:r>
        <w:rPr>
          <w:spacing w:val="-9"/>
        </w:rPr>
        <w:t> </w:t>
      </w:r>
      <w:r>
        <w:rPr/>
        <w:t>uses</w:t>
      </w:r>
      <w:r>
        <w:rPr>
          <w:spacing w:val="-8"/>
        </w:rPr>
        <w:t> </w:t>
      </w:r>
      <w:r>
        <w:rPr/>
        <w:t>federal</w:t>
      </w:r>
      <w:r>
        <w:rPr>
          <w:spacing w:val="-7"/>
        </w:rPr>
        <w:t> </w:t>
      </w:r>
      <w:r>
        <w:rPr/>
        <w:t>funds.</w:t>
      </w:r>
      <w:r>
        <w:rPr>
          <w:spacing w:val="-8"/>
        </w:rPr>
        <w:t> </w:t>
      </w:r>
      <w:r>
        <w:rPr/>
        <w:t>Major</w:t>
      </w:r>
      <w:r>
        <w:rPr>
          <w:spacing w:val="-7"/>
        </w:rPr>
        <w:t> </w:t>
      </w:r>
      <w:r>
        <w:rPr/>
        <w:t>Studies</w:t>
      </w:r>
      <w:r>
        <w:rPr>
          <w:spacing w:val="-8"/>
        </w:rPr>
        <w:t> </w:t>
      </w:r>
      <w:r>
        <w:rPr/>
        <w:t>include</w:t>
      </w:r>
      <w:r>
        <w:rPr>
          <w:spacing w:val="-9"/>
        </w:rPr>
        <w:t> </w:t>
      </w:r>
      <w:r>
        <w:rPr/>
        <w:t>transportation</w:t>
      </w:r>
      <w:r>
        <w:rPr>
          <w:spacing w:val="-9"/>
        </w:rPr>
        <w:t> </w:t>
      </w:r>
      <w:r>
        <w:rPr/>
        <w:t>feasibility</w:t>
      </w:r>
      <w:r>
        <w:rPr>
          <w:spacing w:val="-8"/>
        </w:rPr>
        <w:t> </w:t>
      </w:r>
      <w:r>
        <w:rPr/>
        <w:t>studies,</w:t>
      </w:r>
      <w:r>
        <w:rPr>
          <w:spacing w:val="-7"/>
        </w:rPr>
        <w:t> </w:t>
      </w:r>
      <w:r>
        <w:rPr/>
        <w:t>Environmental Assessments (EA) and Environmental Impact Statements (EIS). Each major study includes a project-specific public involvement process. This process includes identifying underserved populations.</w:t>
      </w:r>
      <w:r>
        <w:rPr>
          <w:spacing w:val="-10"/>
        </w:rPr>
        <w:t> </w:t>
      </w:r>
      <w:r>
        <w:rPr/>
        <w:t>Examples</w:t>
      </w:r>
      <w:r>
        <w:rPr>
          <w:spacing w:val="-12"/>
        </w:rPr>
        <w:t> </w:t>
      </w:r>
      <w:r>
        <w:rPr/>
        <w:t>of</w:t>
      </w:r>
      <w:r>
        <w:rPr>
          <w:spacing w:val="-11"/>
        </w:rPr>
        <w:t> </w:t>
      </w:r>
      <w:r>
        <w:rPr/>
        <w:t>public</w:t>
      </w:r>
      <w:r>
        <w:rPr>
          <w:spacing w:val="-10"/>
        </w:rPr>
        <w:t> </w:t>
      </w:r>
      <w:r>
        <w:rPr/>
        <w:t>involvement</w:t>
      </w:r>
      <w:r>
        <w:rPr>
          <w:spacing w:val="-11"/>
        </w:rPr>
        <w:t> </w:t>
      </w:r>
      <w:r>
        <w:rPr/>
        <w:t>used</w:t>
      </w:r>
      <w:r>
        <w:rPr>
          <w:spacing w:val="-11"/>
        </w:rPr>
        <w:t> </w:t>
      </w:r>
      <w:r>
        <w:rPr/>
        <w:t>for</w:t>
      </w:r>
      <w:r>
        <w:rPr>
          <w:spacing w:val="-12"/>
        </w:rPr>
        <w:t> </w:t>
      </w:r>
      <w:r>
        <w:rPr/>
        <w:t>major</w:t>
      </w:r>
      <w:r>
        <w:rPr>
          <w:spacing w:val="-9"/>
        </w:rPr>
        <w:t> </w:t>
      </w:r>
      <w:r>
        <w:rPr/>
        <w:t>studies</w:t>
      </w:r>
      <w:r>
        <w:rPr>
          <w:spacing w:val="-10"/>
        </w:rPr>
        <w:t> </w:t>
      </w:r>
      <w:r>
        <w:rPr/>
        <w:t>include</w:t>
      </w:r>
      <w:r>
        <w:rPr>
          <w:spacing w:val="-12"/>
        </w:rPr>
        <w:t> </w:t>
      </w:r>
      <w:r>
        <w:rPr/>
        <w:t>stakeholder</w:t>
      </w:r>
      <w:r>
        <w:rPr>
          <w:spacing w:val="-12"/>
        </w:rPr>
        <w:t> </w:t>
      </w:r>
      <w:r>
        <w:rPr/>
        <w:t>advisory committees, internet sites, business surveys, formal public meetings and newsletters.</w:t>
      </w:r>
    </w:p>
    <w:p>
      <w:pPr>
        <w:pStyle w:val="BodyText"/>
        <w:spacing w:before="10"/>
        <w:rPr>
          <w:sz w:val="22"/>
        </w:rPr>
      </w:pPr>
    </w:p>
    <w:p>
      <w:pPr>
        <w:pStyle w:val="BodyText"/>
        <w:ind w:left="839" w:right="931"/>
        <w:jc w:val="both"/>
      </w:pPr>
      <w:r>
        <w:rPr>
          <w:b/>
        </w:rPr>
        <w:t>Transit Providers and MaineDOT Civil Rights Oversight</w:t>
      </w:r>
      <w:r>
        <w:rPr/>
        <w:t>.</w:t>
      </w:r>
      <w:r>
        <w:rPr>
          <w:spacing w:val="40"/>
        </w:rPr>
        <w:t> </w:t>
      </w:r>
      <w:r>
        <w:rPr/>
        <w:t>As set forth in MaineDOT’s State Management</w:t>
      </w:r>
      <w:r>
        <w:rPr>
          <w:spacing w:val="-14"/>
        </w:rPr>
        <w:t> </w:t>
      </w:r>
      <w:r>
        <w:rPr/>
        <w:t>Plan,</w:t>
      </w:r>
      <w:r>
        <w:rPr>
          <w:spacing w:val="-14"/>
        </w:rPr>
        <w:t> </w:t>
      </w:r>
      <w:r>
        <w:rPr/>
        <w:t>all</w:t>
      </w:r>
      <w:r>
        <w:rPr>
          <w:spacing w:val="-13"/>
        </w:rPr>
        <w:t> </w:t>
      </w:r>
      <w:r>
        <w:rPr/>
        <w:t>agreements</w:t>
      </w:r>
      <w:r>
        <w:rPr>
          <w:spacing w:val="-14"/>
        </w:rPr>
        <w:t> </w:t>
      </w:r>
      <w:r>
        <w:rPr/>
        <w:t>entered</w:t>
      </w:r>
      <w:r>
        <w:rPr>
          <w:spacing w:val="-12"/>
        </w:rPr>
        <w:t> </w:t>
      </w:r>
      <w:r>
        <w:rPr/>
        <w:t>into</w:t>
      </w:r>
      <w:r>
        <w:rPr>
          <w:spacing w:val="-13"/>
        </w:rPr>
        <w:t> </w:t>
      </w:r>
      <w:r>
        <w:rPr/>
        <w:t>by</w:t>
      </w:r>
      <w:r>
        <w:rPr>
          <w:spacing w:val="-12"/>
        </w:rPr>
        <w:t> </w:t>
      </w:r>
      <w:r>
        <w:rPr/>
        <w:t>MaineDOT</w:t>
      </w:r>
      <w:r>
        <w:rPr>
          <w:spacing w:val="-13"/>
        </w:rPr>
        <w:t> </w:t>
      </w:r>
      <w:r>
        <w:rPr/>
        <w:t>on</w:t>
      </w:r>
      <w:r>
        <w:rPr>
          <w:spacing w:val="-12"/>
        </w:rPr>
        <w:t> </w:t>
      </w:r>
      <w:r>
        <w:rPr/>
        <w:t>behalf</w:t>
      </w:r>
      <w:r>
        <w:rPr>
          <w:spacing w:val="-12"/>
        </w:rPr>
        <w:t> </w:t>
      </w:r>
      <w:r>
        <w:rPr/>
        <w:t>of</w:t>
      </w:r>
      <w:r>
        <w:rPr>
          <w:spacing w:val="-14"/>
        </w:rPr>
        <w:t> </w:t>
      </w:r>
      <w:r>
        <w:rPr/>
        <w:t>FTA,</w:t>
      </w:r>
      <w:r>
        <w:rPr>
          <w:spacing w:val="-11"/>
        </w:rPr>
        <w:t> </w:t>
      </w:r>
      <w:r>
        <w:rPr/>
        <w:t>and</w:t>
      </w:r>
      <w:r>
        <w:rPr>
          <w:spacing w:val="-14"/>
        </w:rPr>
        <w:t> </w:t>
      </w:r>
      <w:r>
        <w:rPr/>
        <w:t>to</w:t>
      </w:r>
      <w:r>
        <w:rPr>
          <w:spacing w:val="-13"/>
        </w:rPr>
        <w:t> </w:t>
      </w:r>
      <w:r>
        <w:rPr/>
        <w:t>meet</w:t>
      </w:r>
      <w:r>
        <w:rPr>
          <w:spacing w:val="-10"/>
        </w:rPr>
        <w:t> </w:t>
      </w:r>
      <w:r>
        <w:rPr/>
        <w:t>State requirements, require the contractor to certify that no person on the grounds of race, color, and/or national origin will be excluded from participating in, or be denied the benefits of, or be subject to discrimination under any project, program, or activity funded in whole or in part by FTA</w:t>
      </w:r>
      <w:r>
        <w:rPr>
          <w:spacing w:val="2"/>
        </w:rPr>
        <w:t> </w:t>
      </w:r>
      <w:r>
        <w:rPr/>
        <w:t>in</w:t>
      </w:r>
      <w:r>
        <w:rPr>
          <w:spacing w:val="4"/>
        </w:rPr>
        <w:t> </w:t>
      </w:r>
      <w:r>
        <w:rPr/>
        <w:t>accordance</w:t>
      </w:r>
      <w:r>
        <w:rPr>
          <w:spacing w:val="1"/>
        </w:rPr>
        <w:t> </w:t>
      </w:r>
      <w:r>
        <w:rPr/>
        <w:t>with</w:t>
      </w:r>
      <w:r>
        <w:rPr>
          <w:spacing w:val="2"/>
        </w:rPr>
        <w:t> </w:t>
      </w:r>
      <w:r>
        <w:rPr/>
        <w:t>Title</w:t>
      </w:r>
      <w:r>
        <w:rPr>
          <w:spacing w:val="1"/>
        </w:rPr>
        <w:t> </w:t>
      </w:r>
      <w:r>
        <w:rPr/>
        <w:t>VI.</w:t>
      </w:r>
      <w:r>
        <w:rPr>
          <w:spacing w:val="61"/>
        </w:rPr>
        <w:t> </w:t>
      </w:r>
      <w:r>
        <w:rPr/>
        <w:t>In</w:t>
      </w:r>
      <w:r>
        <w:rPr>
          <w:spacing w:val="4"/>
        </w:rPr>
        <w:t> </w:t>
      </w:r>
      <w:r>
        <w:rPr/>
        <w:t>addition,</w:t>
      </w:r>
      <w:r>
        <w:rPr>
          <w:spacing w:val="1"/>
        </w:rPr>
        <w:t> </w:t>
      </w:r>
      <w:r>
        <w:rPr/>
        <w:t>the</w:t>
      </w:r>
      <w:r>
        <w:rPr>
          <w:spacing w:val="4"/>
        </w:rPr>
        <w:t> </w:t>
      </w:r>
      <w:r>
        <w:rPr/>
        <w:t>State</w:t>
      </w:r>
      <w:r>
        <w:rPr>
          <w:spacing w:val="2"/>
        </w:rPr>
        <w:t> </w:t>
      </w:r>
      <w:r>
        <w:rPr/>
        <w:t>of</w:t>
      </w:r>
      <w:r>
        <w:rPr>
          <w:spacing w:val="2"/>
        </w:rPr>
        <w:t> </w:t>
      </w:r>
      <w:r>
        <w:rPr/>
        <w:t>Maine</w:t>
      </w:r>
      <w:r>
        <w:rPr>
          <w:spacing w:val="4"/>
        </w:rPr>
        <w:t> </w:t>
      </w:r>
      <w:r>
        <w:rPr/>
        <w:t>and</w:t>
      </w:r>
      <w:r>
        <w:rPr>
          <w:spacing w:val="2"/>
        </w:rPr>
        <w:t> </w:t>
      </w:r>
      <w:r>
        <w:rPr/>
        <w:t>all</w:t>
      </w:r>
      <w:r>
        <w:rPr>
          <w:spacing w:val="1"/>
        </w:rPr>
        <w:t> </w:t>
      </w:r>
      <w:r>
        <w:rPr/>
        <w:t>transportation</w:t>
      </w:r>
      <w:r>
        <w:rPr>
          <w:spacing w:val="3"/>
        </w:rPr>
        <w:t> </w:t>
      </w:r>
      <w:r>
        <w:rPr>
          <w:spacing w:val="-2"/>
        </w:rPr>
        <w:t>providers</w:t>
      </w:r>
    </w:p>
    <w:p>
      <w:pPr>
        <w:spacing w:after="0"/>
        <w:jc w:val="both"/>
        <w:sectPr>
          <w:pgSz w:w="12240" w:h="15840"/>
          <w:pgMar w:header="0" w:footer="997" w:top="960" w:bottom="1260" w:left="600" w:right="500"/>
        </w:sectPr>
      </w:pPr>
    </w:p>
    <w:p>
      <w:pPr>
        <w:pStyle w:val="BodyText"/>
        <w:spacing w:before="35"/>
        <w:ind w:left="840" w:right="933"/>
        <w:jc w:val="both"/>
      </w:pPr>
      <w:r>
        <w:rPr/>
        <w:t>certify</w:t>
      </w:r>
      <w:r>
        <w:rPr>
          <w:spacing w:val="-5"/>
        </w:rPr>
        <w:t> </w:t>
      </w:r>
      <w:r>
        <w:rPr/>
        <w:t>that a</w:t>
      </w:r>
      <w:r>
        <w:rPr>
          <w:spacing w:val="-4"/>
        </w:rPr>
        <w:t> </w:t>
      </w:r>
      <w:r>
        <w:rPr/>
        <w:t>good faith</w:t>
      </w:r>
      <w:r>
        <w:rPr>
          <w:spacing w:val="-3"/>
        </w:rPr>
        <w:t> </w:t>
      </w:r>
      <w:r>
        <w:rPr/>
        <w:t>effort</w:t>
      </w:r>
      <w:r>
        <w:rPr>
          <w:spacing w:val="-3"/>
        </w:rPr>
        <w:t> </w:t>
      </w:r>
      <w:r>
        <w:rPr/>
        <w:t>is</w:t>
      </w:r>
      <w:r>
        <w:rPr>
          <w:spacing w:val="-2"/>
        </w:rPr>
        <w:t> </w:t>
      </w:r>
      <w:r>
        <w:rPr/>
        <w:t>made</w:t>
      </w:r>
      <w:r>
        <w:rPr>
          <w:spacing w:val="-3"/>
        </w:rPr>
        <w:t> </w:t>
      </w:r>
      <w:r>
        <w:rPr/>
        <w:t>to</w:t>
      </w:r>
      <w:r>
        <w:rPr>
          <w:spacing w:val="-3"/>
        </w:rPr>
        <w:t> </w:t>
      </w:r>
      <w:r>
        <w:rPr/>
        <w:t>use</w:t>
      </w:r>
      <w:r>
        <w:rPr>
          <w:spacing w:val="-3"/>
        </w:rPr>
        <w:t> </w:t>
      </w:r>
      <w:r>
        <w:rPr/>
        <w:t>Disadvantaged</w:t>
      </w:r>
      <w:r>
        <w:rPr>
          <w:spacing w:val="-3"/>
        </w:rPr>
        <w:t> </w:t>
      </w:r>
      <w:r>
        <w:rPr/>
        <w:t>Business</w:t>
      </w:r>
      <w:r>
        <w:rPr>
          <w:spacing w:val="-4"/>
        </w:rPr>
        <w:t> </w:t>
      </w:r>
      <w:r>
        <w:rPr/>
        <w:t>Enterprises</w:t>
      </w:r>
      <w:r>
        <w:rPr>
          <w:spacing w:val="-4"/>
        </w:rPr>
        <w:t> </w:t>
      </w:r>
      <w:r>
        <w:rPr/>
        <w:t>as</w:t>
      </w:r>
      <w:r>
        <w:rPr>
          <w:spacing w:val="-2"/>
        </w:rPr>
        <w:t> </w:t>
      </w:r>
      <w:r>
        <w:rPr/>
        <w:t>required</w:t>
      </w:r>
      <w:r>
        <w:rPr>
          <w:spacing w:val="-3"/>
        </w:rPr>
        <w:t> </w:t>
      </w:r>
      <w:r>
        <w:rPr/>
        <w:t>by FTA Circular 5010.1D.</w:t>
      </w:r>
      <w:r>
        <w:rPr>
          <w:spacing w:val="40"/>
        </w:rPr>
        <w:t> </w:t>
      </w:r>
      <w:r>
        <w:rPr/>
        <w:t>All transportation providers who receive Federal and/or State subsidies are required to meet regulations delineated in the Certifications and Assurances.</w:t>
      </w:r>
      <w:r>
        <w:rPr>
          <w:spacing w:val="40"/>
        </w:rPr>
        <w:t> </w:t>
      </w:r>
      <w:r>
        <w:rPr/>
        <w:t>Technical support is provided in the form of distribution of guidance from the FTA to the providers in helping to meet civil rights requirements.</w:t>
      </w:r>
    </w:p>
    <w:p>
      <w:pPr>
        <w:pStyle w:val="BodyText"/>
        <w:spacing w:before="11"/>
        <w:rPr>
          <w:sz w:val="23"/>
        </w:rPr>
      </w:pPr>
    </w:p>
    <w:p>
      <w:pPr>
        <w:pStyle w:val="BodyText"/>
        <w:ind w:left="840" w:right="934"/>
        <w:jc w:val="both"/>
      </w:pPr>
      <w:r>
        <w:rPr/>
        <w:t>There</w:t>
      </w:r>
      <w:r>
        <w:rPr>
          <w:spacing w:val="-14"/>
        </w:rPr>
        <w:t> </w:t>
      </w:r>
      <w:r>
        <w:rPr/>
        <w:t>is</w:t>
      </w:r>
      <w:r>
        <w:rPr>
          <w:spacing w:val="-14"/>
        </w:rPr>
        <w:t> </w:t>
      </w:r>
      <w:r>
        <w:rPr/>
        <w:t>also</w:t>
      </w:r>
      <w:r>
        <w:rPr>
          <w:spacing w:val="-13"/>
        </w:rPr>
        <w:t> </w:t>
      </w:r>
      <w:r>
        <w:rPr/>
        <w:t>coordination</w:t>
      </w:r>
      <w:r>
        <w:rPr>
          <w:spacing w:val="-14"/>
        </w:rPr>
        <w:t> </w:t>
      </w:r>
      <w:r>
        <w:rPr/>
        <w:t>between</w:t>
      </w:r>
      <w:r>
        <w:rPr>
          <w:spacing w:val="-13"/>
        </w:rPr>
        <w:t> </w:t>
      </w:r>
      <w:r>
        <w:rPr/>
        <w:t>the</w:t>
      </w:r>
      <w:r>
        <w:rPr>
          <w:spacing w:val="-14"/>
        </w:rPr>
        <w:t> </w:t>
      </w:r>
      <w:r>
        <w:rPr/>
        <w:t>Bureau</w:t>
      </w:r>
      <w:r>
        <w:rPr>
          <w:spacing w:val="-13"/>
        </w:rPr>
        <w:t> </w:t>
      </w:r>
      <w:r>
        <w:rPr/>
        <w:t>of</w:t>
      </w:r>
      <w:r>
        <w:rPr>
          <w:spacing w:val="-14"/>
        </w:rPr>
        <w:t> </w:t>
      </w:r>
      <w:r>
        <w:rPr/>
        <w:t>Planning</w:t>
      </w:r>
      <w:r>
        <w:rPr>
          <w:spacing w:val="-14"/>
        </w:rPr>
        <w:t> </w:t>
      </w:r>
      <w:r>
        <w:rPr/>
        <w:t>and</w:t>
      </w:r>
      <w:r>
        <w:rPr>
          <w:spacing w:val="-13"/>
        </w:rPr>
        <w:t> </w:t>
      </w:r>
      <w:r>
        <w:rPr/>
        <w:t>the</w:t>
      </w:r>
      <w:r>
        <w:rPr>
          <w:spacing w:val="-14"/>
        </w:rPr>
        <w:t> </w:t>
      </w:r>
      <w:r>
        <w:rPr/>
        <w:t>Civil</w:t>
      </w:r>
      <w:r>
        <w:rPr>
          <w:spacing w:val="-13"/>
        </w:rPr>
        <w:t> </w:t>
      </w:r>
      <w:r>
        <w:rPr/>
        <w:t>Rights</w:t>
      </w:r>
      <w:r>
        <w:rPr>
          <w:spacing w:val="-14"/>
        </w:rPr>
        <w:t> </w:t>
      </w:r>
      <w:r>
        <w:rPr/>
        <w:t>Office</w:t>
      </w:r>
      <w:r>
        <w:rPr>
          <w:spacing w:val="-13"/>
        </w:rPr>
        <w:t> </w:t>
      </w:r>
      <w:r>
        <w:rPr/>
        <w:t>of</w:t>
      </w:r>
      <w:r>
        <w:rPr>
          <w:spacing w:val="-14"/>
        </w:rPr>
        <w:t> </w:t>
      </w:r>
      <w:r>
        <w:rPr/>
        <w:t>the</w:t>
      </w:r>
      <w:r>
        <w:rPr>
          <w:spacing w:val="-14"/>
        </w:rPr>
        <w:t> </w:t>
      </w:r>
      <w:r>
        <w:rPr/>
        <w:t>Maine Department</w:t>
      </w:r>
      <w:r>
        <w:rPr>
          <w:spacing w:val="-8"/>
        </w:rPr>
        <w:t> </w:t>
      </w:r>
      <w:r>
        <w:rPr/>
        <w:t>of</w:t>
      </w:r>
      <w:r>
        <w:rPr>
          <w:spacing w:val="-8"/>
        </w:rPr>
        <w:t> </w:t>
      </w:r>
      <w:r>
        <w:rPr/>
        <w:t>Transportation.</w:t>
      </w:r>
      <w:r>
        <w:rPr>
          <w:spacing w:val="39"/>
        </w:rPr>
        <w:t> </w:t>
      </w:r>
      <w:r>
        <w:rPr/>
        <w:t>The</w:t>
      </w:r>
      <w:r>
        <w:rPr>
          <w:spacing w:val="-6"/>
        </w:rPr>
        <w:t> </w:t>
      </w:r>
      <w:r>
        <w:rPr/>
        <w:t>Civil</w:t>
      </w:r>
      <w:r>
        <w:rPr>
          <w:spacing w:val="-6"/>
        </w:rPr>
        <w:t> </w:t>
      </w:r>
      <w:r>
        <w:rPr/>
        <w:t>Rights</w:t>
      </w:r>
      <w:r>
        <w:rPr>
          <w:spacing w:val="-7"/>
        </w:rPr>
        <w:t> </w:t>
      </w:r>
      <w:r>
        <w:rPr/>
        <w:t>Office</w:t>
      </w:r>
      <w:r>
        <w:rPr>
          <w:spacing w:val="-6"/>
        </w:rPr>
        <w:t> </w:t>
      </w:r>
      <w:r>
        <w:rPr/>
        <w:t>has</w:t>
      </w:r>
      <w:r>
        <w:rPr>
          <w:spacing w:val="-9"/>
        </w:rPr>
        <w:t> </w:t>
      </w:r>
      <w:r>
        <w:rPr/>
        <w:t>responsibility</w:t>
      </w:r>
      <w:r>
        <w:rPr>
          <w:spacing w:val="-9"/>
        </w:rPr>
        <w:t> </w:t>
      </w:r>
      <w:r>
        <w:rPr/>
        <w:t>for</w:t>
      </w:r>
      <w:r>
        <w:rPr>
          <w:spacing w:val="-8"/>
        </w:rPr>
        <w:t> </w:t>
      </w:r>
      <w:r>
        <w:rPr/>
        <w:t>drafting,</w:t>
      </w:r>
      <w:r>
        <w:rPr>
          <w:spacing w:val="-9"/>
        </w:rPr>
        <w:t> </w:t>
      </w:r>
      <w:r>
        <w:rPr/>
        <w:t>maintaining and</w:t>
      </w:r>
      <w:r>
        <w:rPr>
          <w:spacing w:val="-14"/>
        </w:rPr>
        <w:t> </w:t>
      </w:r>
      <w:r>
        <w:rPr/>
        <w:t>updating</w:t>
      </w:r>
      <w:r>
        <w:rPr>
          <w:spacing w:val="-14"/>
        </w:rPr>
        <w:t> </w:t>
      </w:r>
      <w:r>
        <w:rPr/>
        <w:t>a</w:t>
      </w:r>
      <w:r>
        <w:rPr>
          <w:spacing w:val="-13"/>
        </w:rPr>
        <w:t> </w:t>
      </w:r>
      <w:r>
        <w:rPr/>
        <w:t>certified</w:t>
      </w:r>
      <w:r>
        <w:rPr>
          <w:spacing w:val="-14"/>
        </w:rPr>
        <w:t> </w:t>
      </w:r>
      <w:r>
        <w:rPr/>
        <w:t>Disadvantaged</w:t>
      </w:r>
      <w:r>
        <w:rPr>
          <w:spacing w:val="-13"/>
        </w:rPr>
        <w:t> </w:t>
      </w:r>
      <w:r>
        <w:rPr/>
        <w:t>Business</w:t>
      </w:r>
      <w:r>
        <w:rPr>
          <w:spacing w:val="-14"/>
        </w:rPr>
        <w:t> </w:t>
      </w:r>
      <w:r>
        <w:rPr/>
        <w:t>Enterprise</w:t>
      </w:r>
      <w:r>
        <w:rPr>
          <w:spacing w:val="-13"/>
        </w:rPr>
        <w:t> </w:t>
      </w:r>
      <w:r>
        <w:rPr/>
        <w:t>Directory</w:t>
      </w:r>
      <w:r>
        <w:rPr>
          <w:spacing w:val="-14"/>
        </w:rPr>
        <w:t> </w:t>
      </w:r>
      <w:r>
        <w:rPr/>
        <w:t>as</w:t>
      </w:r>
      <w:r>
        <w:rPr>
          <w:spacing w:val="-14"/>
        </w:rPr>
        <w:t> </w:t>
      </w:r>
      <w:r>
        <w:rPr/>
        <w:t>well</w:t>
      </w:r>
      <w:r>
        <w:rPr>
          <w:spacing w:val="-12"/>
        </w:rPr>
        <w:t> </w:t>
      </w:r>
      <w:r>
        <w:rPr/>
        <w:t>as</w:t>
      </w:r>
      <w:r>
        <w:rPr>
          <w:spacing w:val="-14"/>
        </w:rPr>
        <w:t> </w:t>
      </w:r>
      <w:r>
        <w:rPr/>
        <w:t>the</w:t>
      </w:r>
      <w:r>
        <w:rPr>
          <w:spacing w:val="-13"/>
        </w:rPr>
        <w:t> </w:t>
      </w:r>
      <w:r>
        <w:rPr/>
        <w:t>Department's disadvantaged/Minority/Women's</w:t>
      </w:r>
      <w:r>
        <w:rPr>
          <w:spacing w:val="-4"/>
        </w:rPr>
        <w:t> </w:t>
      </w:r>
      <w:r>
        <w:rPr/>
        <w:t>Business</w:t>
      </w:r>
      <w:r>
        <w:rPr>
          <w:spacing w:val="-6"/>
        </w:rPr>
        <w:t> </w:t>
      </w:r>
      <w:r>
        <w:rPr/>
        <w:t>Enterprise</w:t>
      </w:r>
      <w:r>
        <w:rPr>
          <w:spacing w:val="-5"/>
        </w:rPr>
        <w:t> </w:t>
      </w:r>
      <w:r>
        <w:rPr/>
        <w:t>Program.</w:t>
      </w:r>
      <w:r>
        <w:rPr>
          <w:spacing w:val="40"/>
        </w:rPr>
        <w:t> </w:t>
      </w:r>
      <w:r>
        <w:rPr/>
        <w:t>This</w:t>
      </w:r>
      <w:r>
        <w:rPr>
          <w:spacing w:val="-4"/>
        </w:rPr>
        <w:t> </w:t>
      </w:r>
      <w:r>
        <w:rPr/>
        <w:t>Program</w:t>
      </w:r>
      <w:r>
        <w:rPr>
          <w:spacing w:val="-3"/>
        </w:rPr>
        <w:t> </w:t>
      </w:r>
      <w:r>
        <w:rPr/>
        <w:t>outlines</w:t>
      </w:r>
      <w:r>
        <w:rPr>
          <w:spacing w:val="-6"/>
        </w:rPr>
        <w:t> </w:t>
      </w:r>
      <w:r>
        <w:rPr/>
        <w:t>how</w:t>
      </w:r>
      <w:r>
        <w:rPr>
          <w:spacing w:val="-5"/>
        </w:rPr>
        <w:t> </w:t>
      </w:r>
      <w:r>
        <w:rPr/>
        <w:t>the various administrative and operating units of the Department shall work together to carry out the policy established by the Department.</w:t>
      </w:r>
      <w:r>
        <w:rPr>
          <w:spacing w:val="40"/>
        </w:rPr>
        <w:t> </w:t>
      </w:r>
      <w:r>
        <w:rPr/>
        <w:t>Environmental Justice Assessments are done on a project-by-project basis.</w:t>
      </w:r>
    </w:p>
    <w:p>
      <w:pPr>
        <w:pStyle w:val="BodyText"/>
        <w:spacing w:before="1"/>
      </w:pPr>
    </w:p>
    <w:p>
      <w:pPr>
        <w:pStyle w:val="BodyText"/>
        <w:ind w:left="839" w:right="933"/>
        <w:jc w:val="both"/>
      </w:pPr>
      <w:r>
        <w:rPr/>
        <w:t>MaineDOT personnel assigned to the Bureau of Planning, Freight and Passenger Services Office are assigned specific types of FTA Programs funds.</w:t>
      </w:r>
      <w:r>
        <w:rPr>
          <w:spacing w:val="40"/>
        </w:rPr>
        <w:t> </w:t>
      </w:r>
      <w:r>
        <w:rPr/>
        <w:t>In addition to providing technical assistance to</w:t>
      </w:r>
      <w:r>
        <w:rPr>
          <w:spacing w:val="-12"/>
        </w:rPr>
        <w:t> </w:t>
      </w:r>
      <w:r>
        <w:rPr/>
        <w:t>local</w:t>
      </w:r>
      <w:r>
        <w:rPr>
          <w:spacing w:val="-11"/>
        </w:rPr>
        <w:t> </w:t>
      </w:r>
      <w:r>
        <w:rPr/>
        <w:t>subrecipients,</w:t>
      </w:r>
      <w:r>
        <w:rPr>
          <w:spacing w:val="-13"/>
        </w:rPr>
        <w:t> </w:t>
      </w:r>
      <w:r>
        <w:rPr/>
        <w:t>they</w:t>
      </w:r>
      <w:r>
        <w:rPr>
          <w:spacing w:val="-12"/>
        </w:rPr>
        <w:t> </w:t>
      </w:r>
      <w:r>
        <w:rPr/>
        <w:t>also</w:t>
      </w:r>
      <w:r>
        <w:rPr>
          <w:spacing w:val="-11"/>
        </w:rPr>
        <w:t> </w:t>
      </w:r>
      <w:r>
        <w:rPr/>
        <w:t>monitor</w:t>
      </w:r>
      <w:r>
        <w:rPr>
          <w:spacing w:val="-13"/>
        </w:rPr>
        <w:t> </w:t>
      </w:r>
      <w:r>
        <w:rPr/>
        <w:t>the</w:t>
      </w:r>
      <w:r>
        <w:rPr>
          <w:spacing w:val="-11"/>
        </w:rPr>
        <w:t> </w:t>
      </w:r>
      <w:r>
        <w:rPr/>
        <w:t>recipients</w:t>
      </w:r>
      <w:r>
        <w:rPr>
          <w:spacing w:val="-11"/>
        </w:rPr>
        <w:t> </w:t>
      </w:r>
      <w:r>
        <w:rPr/>
        <w:t>as</w:t>
      </w:r>
      <w:r>
        <w:rPr>
          <w:spacing w:val="-14"/>
        </w:rPr>
        <w:t> </w:t>
      </w:r>
      <w:r>
        <w:rPr/>
        <w:t>required</w:t>
      </w:r>
      <w:r>
        <w:rPr>
          <w:spacing w:val="-10"/>
        </w:rPr>
        <w:t> </w:t>
      </w:r>
      <w:r>
        <w:rPr/>
        <w:t>to</w:t>
      </w:r>
      <w:r>
        <w:rPr>
          <w:spacing w:val="-11"/>
        </w:rPr>
        <w:t> </w:t>
      </w:r>
      <w:r>
        <w:rPr/>
        <w:t>ensure</w:t>
      </w:r>
      <w:r>
        <w:rPr>
          <w:spacing w:val="-11"/>
        </w:rPr>
        <w:t> </w:t>
      </w:r>
      <w:r>
        <w:rPr/>
        <w:t>compliance</w:t>
      </w:r>
      <w:r>
        <w:rPr>
          <w:spacing w:val="-11"/>
        </w:rPr>
        <w:t> </w:t>
      </w:r>
      <w:r>
        <w:rPr/>
        <w:t>with</w:t>
      </w:r>
      <w:r>
        <w:rPr>
          <w:spacing w:val="-12"/>
        </w:rPr>
        <w:t> </w:t>
      </w:r>
      <w:r>
        <w:rPr/>
        <w:t>the requirements of Title VI, EEO, and Section 105(f) (DBE).</w:t>
      </w:r>
      <w:r>
        <w:rPr>
          <w:spacing w:val="40"/>
        </w:rPr>
        <w:t> </w:t>
      </w:r>
      <w:r>
        <w:rPr/>
        <w:t>This is accomplished through the site visits with the provider agencies and administrative contacts as well as through Title VI Plans submitted by providers.</w:t>
      </w:r>
      <w:r>
        <w:rPr>
          <w:spacing w:val="80"/>
        </w:rPr>
        <w:t> </w:t>
      </w:r>
      <w:r>
        <w:rPr/>
        <w:t>During these processes the Multimodal Planning Division with assistance of the Civil Rights Office will review the minority and low-income population in the area served by the provider based on Census data and will also ask providers to identify underserved</w:t>
      </w:r>
      <w:r>
        <w:rPr>
          <w:spacing w:val="-6"/>
        </w:rPr>
        <w:t> </w:t>
      </w:r>
      <w:r>
        <w:rPr/>
        <w:t>populations</w:t>
      </w:r>
      <w:r>
        <w:rPr>
          <w:spacing w:val="-8"/>
        </w:rPr>
        <w:t> </w:t>
      </w:r>
      <w:r>
        <w:rPr/>
        <w:t>in</w:t>
      </w:r>
      <w:r>
        <w:rPr>
          <w:spacing w:val="-6"/>
        </w:rPr>
        <w:t> </w:t>
      </w:r>
      <w:r>
        <w:rPr/>
        <w:t>their</w:t>
      </w:r>
      <w:r>
        <w:rPr>
          <w:spacing w:val="-7"/>
        </w:rPr>
        <w:t> </w:t>
      </w:r>
      <w:r>
        <w:rPr/>
        <w:t>areas.</w:t>
      </w:r>
      <w:r>
        <w:rPr>
          <w:spacing w:val="-8"/>
        </w:rPr>
        <w:t> </w:t>
      </w:r>
      <w:r>
        <w:rPr/>
        <w:t>The</w:t>
      </w:r>
      <w:r>
        <w:rPr>
          <w:spacing w:val="-7"/>
        </w:rPr>
        <w:t> </w:t>
      </w:r>
      <w:r>
        <w:rPr/>
        <w:t>service</w:t>
      </w:r>
      <w:r>
        <w:rPr>
          <w:spacing w:val="-7"/>
        </w:rPr>
        <w:t> </w:t>
      </w:r>
      <w:r>
        <w:rPr/>
        <w:t>provided</w:t>
      </w:r>
      <w:r>
        <w:rPr>
          <w:spacing w:val="-6"/>
        </w:rPr>
        <w:t> </w:t>
      </w:r>
      <w:r>
        <w:rPr/>
        <w:t>and/or</w:t>
      </w:r>
      <w:r>
        <w:rPr>
          <w:spacing w:val="-7"/>
        </w:rPr>
        <w:t> </w:t>
      </w:r>
      <w:r>
        <w:rPr/>
        <w:t>available</w:t>
      </w:r>
      <w:r>
        <w:rPr>
          <w:spacing w:val="-7"/>
        </w:rPr>
        <w:t> </w:t>
      </w:r>
      <w:r>
        <w:rPr/>
        <w:t>to</w:t>
      </w:r>
      <w:r>
        <w:rPr>
          <w:spacing w:val="-9"/>
        </w:rPr>
        <w:t> </w:t>
      </w:r>
      <w:r>
        <w:rPr/>
        <w:t>these</w:t>
      </w:r>
      <w:r>
        <w:rPr>
          <w:spacing w:val="-7"/>
        </w:rPr>
        <w:t> </w:t>
      </w:r>
      <w:r>
        <w:rPr/>
        <w:t>identified groups</w:t>
      </w:r>
      <w:r>
        <w:rPr>
          <w:spacing w:val="-9"/>
        </w:rPr>
        <w:t> </w:t>
      </w:r>
      <w:r>
        <w:rPr/>
        <w:t>will</w:t>
      </w:r>
      <w:r>
        <w:rPr>
          <w:spacing w:val="-9"/>
        </w:rPr>
        <w:t> </w:t>
      </w:r>
      <w:r>
        <w:rPr/>
        <w:t>be</w:t>
      </w:r>
      <w:r>
        <w:rPr>
          <w:spacing w:val="-8"/>
        </w:rPr>
        <w:t> </w:t>
      </w:r>
      <w:r>
        <w:rPr/>
        <w:t>determined</w:t>
      </w:r>
      <w:r>
        <w:rPr>
          <w:spacing w:val="-5"/>
        </w:rPr>
        <w:t> </w:t>
      </w:r>
      <w:r>
        <w:rPr/>
        <w:t>by</w:t>
      </w:r>
      <w:r>
        <w:rPr>
          <w:spacing w:val="-9"/>
        </w:rPr>
        <w:t> </w:t>
      </w:r>
      <w:r>
        <w:rPr/>
        <w:t>the</w:t>
      </w:r>
      <w:r>
        <w:rPr>
          <w:spacing w:val="-8"/>
        </w:rPr>
        <w:t> </w:t>
      </w:r>
      <w:r>
        <w:rPr/>
        <w:t>provider</w:t>
      </w:r>
      <w:r>
        <w:rPr>
          <w:spacing w:val="-6"/>
        </w:rPr>
        <w:t> </w:t>
      </w:r>
      <w:r>
        <w:rPr/>
        <w:t>and</w:t>
      </w:r>
      <w:r>
        <w:rPr>
          <w:spacing w:val="-8"/>
        </w:rPr>
        <w:t> </w:t>
      </w:r>
      <w:r>
        <w:rPr/>
        <w:t>verified</w:t>
      </w:r>
      <w:r>
        <w:rPr>
          <w:spacing w:val="-8"/>
        </w:rPr>
        <w:t> </w:t>
      </w:r>
      <w:r>
        <w:rPr/>
        <w:t>by</w:t>
      </w:r>
      <w:r>
        <w:rPr>
          <w:spacing w:val="-9"/>
        </w:rPr>
        <w:t> </w:t>
      </w:r>
      <w:r>
        <w:rPr/>
        <w:t>the</w:t>
      </w:r>
      <w:r>
        <w:rPr>
          <w:spacing w:val="-6"/>
        </w:rPr>
        <w:t> </w:t>
      </w:r>
      <w:r>
        <w:rPr/>
        <w:t>Office</w:t>
      </w:r>
      <w:r>
        <w:rPr>
          <w:spacing w:val="-8"/>
        </w:rPr>
        <w:t> </w:t>
      </w:r>
      <w:r>
        <w:rPr/>
        <w:t>of</w:t>
      </w:r>
      <w:r>
        <w:rPr>
          <w:spacing w:val="-8"/>
        </w:rPr>
        <w:t> </w:t>
      </w:r>
      <w:r>
        <w:rPr/>
        <w:t>Civil</w:t>
      </w:r>
      <w:r>
        <w:rPr>
          <w:spacing w:val="-6"/>
        </w:rPr>
        <w:t> </w:t>
      </w:r>
      <w:r>
        <w:rPr/>
        <w:t>Rights</w:t>
      </w:r>
      <w:r>
        <w:rPr>
          <w:spacing w:val="-9"/>
        </w:rPr>
        <w:t> </w:t>
      </w:r>
      <w:r>
        <w:rPr/>
        <w:t>in</w:t>
      </w:r>
      <w:r>
        <w:rPr>
          <w:spacing w:val="-8"/>
        </w:rPr>
        <w:t> </w:t>
      </w:r>
      <w:r>
        <w:rPr/>
        <w:t>conjunction with the Bureau of Planning.</w:t>
      </w:r>
      <w:r>
        <w:rPr>
          <w:spacing w:val="80"/>
        </w:rPr>
        <w:t> </w:t>
      </w:r>
      <w:r>
        <w:rPr/>
        <w:t>The service provider will be given all the appropriate census data for their region and all information available to the MaineDOT concerning</w:t>
      </w:r>
      <w:r>
        <w:rPr>
          <w:spacing w:val="-2"/>
        </w:rPr>
        <w:t> </w:t>
      </w:r>
      <w:r>
        <w:rPr/>
        <w:t>contacts in their area with groups representing minorities, low-income residents and those with Limited English Proficiency. At the time of the Annual Certifications and Assurances, service providers will be required to certify their compliance with Title VI by signed letter.</w:t>
      </w:r>
    </w:p>
    <w:p>
      <w:pPr>
        <w:pStyle w:val="BodyText"/>
      </w:pPr>
    </w:p>
    <w:p>
      <w:pPr>
        <w:pStyle w:val="BodyText"/>
        <w:ind w:left="840" w:right="934"/>
        <w:jc w:val="both"/>
      </w:pPr>
      <w:r>
        <w:rPr/>
        <w:t>In addition, during the Locally Coordinated Transit Plan (LCP) planning process, all known representatives of these identified groups will be invited to participate.</w:t>
      </w:r>
      <w:r>
        <w:rPr>
          <w:spacing w:val="40"/>
        </w:rPr>
        <w:t> </w:t>
      </w:r>
      <w:r>
        <w:rPr/>
        <w:t>It will be through this process that the need for service using 5310 or 5311 funds will be identified and planned for within the limits of funding and regulations.</w:t>
      </w:r>
      <w:r>
        <w:rPr>
          <w:spacing w:val="40"/>
        </w:rPr>
        <w:t> </w:t>
      </w:r>
      <w:r>
        <w:rPr/>
        <w:t>MaineDOT will continue to be committed to coordinated service as it reaches out to these groups.</w:t>
      </w:r>
    </w:p>
    <w:p>
      <w:pPr>
        <w:pStyle w:val="BodyText"/>
        <w:spacing w:before="1"/>
      </w:pPr>
    </w:p>
    <w:p>
      <w:pPr>
        <w:pStyle w:val="BodyText"/>
        <w:spacing w:before="1"/>
        <w:ind w:left="840" w:right="936"/>
        <w:jc w:val="both"/>
      </w:pPr>
      <w:r>
        <w:rPr/>
        <w:t>All</w:t>
      </w:r>
      <w:r>
        <w:rPr>
          <w:spacing w:val="-7"/>
        </w:rPr>
        <w:t> </w:t>
      </w:r>
      <w:r>
        <w:rPr/>
        <w:t>RFPs</w:t>
      </w:r>
      <w:r>
        <w:rPr>
          <w:spacing w:val="-10"/>
        </w:rPr>
        <w:t> </w:t>
      </w:r>
      <w:r>
        <w:rPr/>
        <w:t>directly</w:t>
      </w:r>
      <w:r>
        <w:rPr>
          <w:spacing w:val="-10"/>
        </w:rPr>
        <w:t> </w:t>
      </w:r>
      <w:r>
        <w:rPr/>
        <w:t>advertised</w:t>
      </w:r>
      <w:r>
        <w:rPr>
          <w:spacing w:val="-9"/>
        </w:rPr>
        <w:t> </w:t>
      </w:r>
      <w:r>
        <w:rPr/>
        <w:t>by</w:t>
      </w:r>
      <w:r>
        <w:rPr>
          <w:spacing w:val="-8"/>
        </w:rPr>
        <w:t> </w:t>
      </w:r>
      <w:r>
        <w:rPr/>
        <w:t>the</w:t>
      </w:r>
      <w:r>
        <w:rPr>
          <w:spacing w:val="-9"/>
        </w:rPr>
        <w:t> </w:t>
      </w:r>
      <w:r>
        <w:rPr/>
        <w:t>Department</w:t>
      </w:r>
      <w:r>
        <w:rPr>
          <w:spacing w:val="-6"/>
        </w:rPr>
        <w:t> </w:t>
      </w:r>
      <w:r>
        <w:rPr/>
        <w:t>are</w:t>
      </w:r>
      <w:r>
        <w:rPr>
          <w:spacing w:val="-7"/>
        </w:rPr>
        <w:t> </w:t>
      </w:r>
      <w:r>
        <w:rPr/>
        <w:t>posted</w:t>
      </w:r>
      <w:r>
        <w:rPr>
          <w:spacing w:val="-6"/>
        </w:rPr>
        <w:t> </w:t>
      </w:r>
      <w:r>
        <w:rPr/>
        <w:t>on</w:t>
      </w:r>
      <w:r>
        <w:rPr>
          <w:spacing w:val="-9"/>
        </w:rPr>
        <w:t> </w:t>
      </w:r>
      <w:r>
        <w:rPr/>
        <w:t>our</w:t>
      </w:r>
      <w:r>
        <w:rPr>
          <w:spacing w:val="-9"/>
        </w:rPr>
        <w:t> </w:t>
      </w:r>
      <w:r>
        <w:rPr/>
        <w:t>Contractors</w:t>
      </w:r>
      <w:r>
        <w:rPr>
          <w:spacing w:val="-8"/>
        </w:rPr>
        <w:t> </w:t>
      </w:r>
      <w:r>
        <w:rPr/>
        <w:t>web</w:t>
      </w:r>
      <w:r>
        <w:rPr>
          <w:spacing w:val="-9"/>
        </w:rPr>
        <w:t> </w:t>
      </w:r>
      <w:r>
        <w:rPr/>
        <w:t>site.</w:t>
      </w:r>
      <w:r>
        <w:rPr>
          <w:spacing w:val="-10"/>
        </w:rPr>
        <w:t> </w:t>
      </w:r>
      <w:r>
        <w:rPr/>
        <w:t>Access</w:t>
      </w:r>
      <w:r>
        <w:rPr>
          <w:spacing w:val="-8"/>
        </w:rPr>
        <w:t> </w:t>
      </w:r>
      <w:r>
        <w:rPr/>
        <w:t>to MaineDOT DBE certified businesses is available on our contractor page and on the MaineDOT Civil Rights page at: </w:t>
      </w:r>
      <w:hyperlink r:id="rId41">
        <w:r>
          <w:rPr>
            <w:color w:val="0000FF"/>
            <w:u w:val="single" w:color="0000FF"/>
          </w:rPr>
          <w:t>http://www.maine.gov/mdot/civilrights/dbe.htm</w:t>
        </w:r>
      </w:hyperlink>
      <w:r>
        <w:rPr/>
        <w:t>.</w:t>
      </w:r>
    </w:p>
    <w:p>
      <w:pPr>
        <w:pStyle w:val="BodyText"/>
        <w:spacing w:before="8"/>
        <w:rPr>
          <w:sz w:val="19"/>
        </w:rPr>
      </w:pPr>
    </w:p>
    <w:p>
      <w:pPr>
        <w:pStyle w:val="BodyText"/>
        <w:spacing w:before="52"/>
        <w:ind w:left="840" w:right="931"/>
        <w:jc w:val="both"/>
      </w:pPr>
      <w:r>
        <w:rPr/>
        <w:t>MaineDOT also assists subrecipients in developing Title VI Plans and complying with US DOT’s Title VI regulations, including the general reporting requirements. MaineDOT provides the following information to subrecipients:</w:t>
      </w:r>
    </w:p>
    <w:p>
      <w:pPr>
        <w:pStyle w:val="BodyText"/>
        <w:spacing w:before="10"/>
        <w:rPr>
          <w:sz w:val="23"/>
        </w:rPr>
      </w:pPr>
    </w:p>
    <w:p>
      <w:pPr>
        <w:pStyle w:val="ListParagraph"/>
        <w:numPr>
          <w:ilvl w:val="0"/>
          <w:numId w:val="13"/>
        </w:numPr>
        <w:tabs>
          <w:tab w:pos="1291" w:val="left" w:leader="none"/>
        </w:tabs>
        <w:spacing w:line="240" w:lineRule="auto" w:before="1" w:after="0"/>
        <w:ind w:left="1291" w:right="933" w:hanging="360"/>
        <w:jc w:val="left"/>
        <w:rPr>
          <w:sz w:val="24"/>
        </w:rPr>
      </w:pPr>
      <w:r>
        <w:rPr>
          <w:sz w:val="24"/>
        </w:rPr>
        <w:t>Sample</w:t>
      </w:r>
      <w:r>
        <w:rPr>
          <w:spacing w:val="32"/>
          <w:sz w:val="24"/>
        </w:rPr>
        <w:t> </w:t>
      </w:r>
      <w:r>
        <w:rPr>
          <w:sz w:val="24"/>
        </w:rPr>
        <w:t>notices</w:t>
      </w:r>
      <w:r>
        <w:rPr>
          <w:spacing w:val="34"/>
          <w:sz w:val="24"/>
        </w:rPr>
        <w:t> </w:t>
      </w:r>
      <w:r>
        <w:rPr>
          <w:sz w:val="24"/>
        </w:rPr>
        <w:t>to</w:t>
      </w:r>
      <w:r>
        <w:rPr>
          <w:spacing w:val="35"/>
          <w:sz w:val="24"/>
        </w:rPr>
        <w:t> </w:t>
      </w:r>
      <w:r>
        <w:rPr>
          <w:sz w:val="24"/>
        </w:rPr>
        <w:t>the</w:t>
      </w:r>
      <w:r>
        <w:rPr>
          <w:spacing w:val="32"/>
          <w:sz w:val="24"/>
        </w:rPr>
        <w:t> </w:t>
      </w:r>
      <w:r>
        <w:rPr>
          <w:sz w:val="24"/>
        </w:rPr>
        <w:t>public</w:t>
      </w:r>
      <w:r>
        <w:rPr>
          <w:spacing w:val="34"/>
          <w:sz w:val="24"/>
        </w:rPr>
        <w:t> </w:t>
      </w:r>
      <w:r>
        <w:rPr>
          <w:sz w:val="24"/>
        </w:rPr>
        <w:t>informing</w:t>
      </w:r>
      <w:r>
        <w:rPr>
          <w:spacing w:val="32"/>
          <w:sz w:val="24"/>
        </w:rPr>
        <w:t> </w:t>
      </w:r>
      <w:r>
        <w:rPr>
          <w:sz w:val="24"/>
        </w:rPr>
        <w:t>beneficiaries</w:t>
      </w:r>
      <w:r>
        <w:rPr>
          <w:spacing w:val="34"/>
          <w:sz w:val="24"/>
        </w:rPr>
        <w:t> </w:t>
      </w:r>
      <w:r>
        <w:rPr>
          <w:sz w:val="24"/>
        </w:rPr>
        <w:t>of</w:t>
      </w:r>
      <w:r>
        <w:rPr>
          <w:spacing w:val="33"/>
          <w:sz w:val="24"/>
        </w:rPr>
        <w:t> </w:t>
      </w:r>
      <w:r>
        <w:rPr>
          <w:sz w:val="24"/>
        </w:rPr>
        <w:t>their</w:t>
      </w:r>
      <w:r>
        <w:rPr>
          <w:spacing w:val="32"/>
          <w:sz w:val="24"/>
        </w:rPr>
        <w:t> </w:t>
      </w:r>
      <w:r>
        <w:rPr>
          <w:sz w:val="24"/>
        </w:rPr>
        <w:t>rights</w:t>
      </w:r>
      <w:r>
        <w:rPr>
          <w:spacing w:val="34"/>
          <w:sz w:val="24"/>
        </w:rPr>
        <w:t> </w:t>
      </w:r>
      <w:r>
        <w:rPr>
          <w:sz w:val="24"/>
        </w:rPr>
        <w:t>under</w:t>
      </w:r>
      <w:r>
        <w:rPr>
          <w:spacing w:val="35"/>
          <w:sz w:val="24"/>
        </w:rPr>
        <w:t> </w:t>
      </w:r>
      <w:r>
        <w:rPr>
          <w:sz w:val="24"/>
        </w:rPr>
        <w:t>DOT’s</w:t>
      </w:r>
      <w:r>
        <w:rPr>
          <w:spacing w:val="32"/>
          <w:sz w:val="24"/>
        </w:rPr>
        <w:t> </w:t>
      </w:r>
      <w:r>
        <w:rPr>
          <w:sz w:val="24"/>
        </w:rPr>
        <w:t>Title</w:t>
      </w:r>
      <w:r>
        <w:rPr>
          <w:spacing w:val="35"/>
          <w:sz w:val="24"/>
        </w:rPr>
        <w:t> </w:t>
      </w:r>
      <w:r>
        <w:rPr>
          <w:sz w:val="24"/>
        </w:rPr>
        <w:t>VI regulations, procedures on how to file a Title VI complaint, and the recipients Title VI form.</w:t>
      </w:r>
    </w:p>
    <w:p>
      <w:pPr>
        <w:spacing w:after="0" w:line="240" w:lineRule="auto"/>
        <w:jc w:val="left"/>
        <w:rPr>
          <w:sz w:val="24"/>
        </w:rPr>
        <w:sectPr>
          <w:pgSz w:w="12240" w:h="15840"/>
          <w:pgMar w:header="0" w:footer="997" w:top="960" w:bottom="1260" w:left="600" w:right="500"/>
        </w:sectPr>
      </w:pPr>
    </w:p>
    <w:p>
      <w:pPr>
        <w:pStyle w:val="ListParagraph"/>
        <w:numPr>
          <w:ilvl w:val="0"/>
          <w:numId w:val="13"/>
        </w:numPr>
        <w:tabs>
          <w:tab w:pos="1291" w:val="left" w:leader="none"/>
        </w:tabs>
        <w:spacing w:line="240" w:lineRule="auto" w:before="74" w:after="0"/>
        <w:ind w:left="1291" w:right="935" w:hanging="360"/>
        <w:jc w:val="both"/>
        <w:rPr>
          <w:sz w:val="24"/>
        </w:rPr>
      </w:pPr>
      <w:r>
        <w:rPr>
          <w:sz w:val="24"/>
        </w:rPr>
        <w:t>Sample procedures for tracking and investigating Title VI complaints filed with a subrecipient, and when MaineDOT expects the subrecipient to notify MaineDOT of complaints received by the subrecipient.</w:t>
      </w:r>
    </w:p>
    <w:p>
      <w:pPr>
        <w:pStyle w:val="ListParagraph"/>
        <w:numPr>
          <w:ilvl w:val="0"/>
          <w:numId w:val="13"/>
        </w:numPr>
        <w:tabs>
          <w:tab w:pos="1291" w:val="left" w:leader="none"/>
        </w:tabs>
        <w:spacing w:line="240" w:lineRule="auto" w:before="2" w:after="0"/>
        <w:ind w:left="1291" w:right="934" w:hanging="360"/>
        <w:jc w:val="both"/>
        <w:rPr>
          <w:sz w:val="24"/>
        </w:rPr>
      </w:pPr>
      <w:r>
        <w:rPr>
          <w:sz w:val="24"/>
        </w:rPr>
        <w:t>Demographic information on the race and English proficiency of residents served by the subrecipient. The information will assist the subrecipient in assessing the level and quality of service it provides to communities within its service area and in assessing the need for language assistance.</w:t>
      </w:r>
    </w:p>
    <w:p>
      <w:pPr>
        <w:pStyle w:val="ListParagraph"/>
        <w:numPr>
          <w:ilvl w:val="0"/>
          <w:numId w:val="13"/>
        </w:numPr>
        <w:tabs>
          <w:tab w:pos="1291" w:val="left" w:leader="none"/>
        </w:tabs>
        <w:spacing w:line="242" w:lineRule="auto" w:before="0" w:after="0"/>
        <w:ind w:left="1291" w:right="934" w:hanging="360"/>
        <w:jc w:val="both"/>
        <w:rPr>
          <w:sz w:val="24"/>
        </w:rPr>
      </w:pPr>
      <w:r>
        <w:rPr>
          <w:sz w:val="24"/>
        </w:rPr>
        <w:t>Any other recipient-generated or obtained data, such as travel patterns, surveys, etc. that will assist subrecipients in complying with Title VI.</w:t>
      </w:r>
    </w:p>
    <w:p>
      <w:pPr>
        <w:pStyle w:val="ListParagraph"/>
        <w:numPr>
          <w:ilvl w:val="0"/>
          <w:numId w:val="13"/>
        </w:numPr>
        <w:tabs>
          <w:tab w:pos="1290" w:val="left" w:leader="none"/>
        </w:tabs>
        <w:spacing w:line="301" w:lineRule="exact" w:before="0" w:after="0"/>
        <w:ind w:left="1290" w:right="0" w:hanging="359"/>
        <w:jc w:val="both"/>
        <w:rPr>
          <w:sz w:val="24"/>
        </w:rPr>
      </w:pPr>
      <w:r>
        <w:rPr>
          <w:sz w:val="24"/>
        </w:rPr>
        <w:t>Subrecipient</w:t>
      </w:r>
      <w:r>
        <w:rPr>
          <w:spacing w:val="-3"/>
          <w:sz w:val="24"/>
        </w:rPr>
        <w:t> </w:t>
      </w:r>
      <w:r>
        <w:rPr>
          <w:sz w:val="24"/>
        </w:rPr>
        <w:t>DBE</w:t>
      </w:r>
      <w:r>
        <w:rPr>
          <w:spacing w:val="-1"/>
          <w:sz w:val="24"/>
        </w:rPr>
        <w:t> </w:t>
      </w:r>
      <w:r>
        <w:rPr>
          <w:sz w:val="24"/>
        </w:rPr>
        <w:t>Reporting</w:t>
      </w:r>
      <w:r>
        <w:rPr>
          <w:spacing w:val="-1"/>
          <w:sz w:val="24"/>
        </w:rPr>
        <w:t> </w:t>
      </w:r>
      <w:r>
        <w:rPr>
          <w:sz w:val="24"/>
        </w:rPr>
        <w:t>Forms</w:t>
      </w:r>
      <w:r>
        <w:rPr>
          <w:spacing w:val="-4"/>
          <w:sz w:val="24"/>
        </w:rPr>
        <w:t> </w:t>
      </w:r>
      <w:r>
        <w:rPr>
          <w:sz w:val="24"/>
        </w:rPr>
        <w:t>and</w:t>
      </w:r>
      <w:r>
        <w:rPr>
          <w:spacing w:val="1"/>
          <w:sz w:val="24"/>
        </w:rPr>
        <w:t> </w:t>
      </w:r>
      <w:r>
        <w:rPr>
          <w:spacing w:val="-2"/>
          <w:sz w:val="24"/>
        </w:rPr>
        <w:t>Instructions.</w:t>
      </w:r>
    </w:p>
    <w:p>
      <w:pPr>
        <w:pStyle w:val="ListParagraph"/>
        <w:numPr>
          <w:ilvl w:val="0"/>
          <w:numId w:val="13"/>
        </w:numPr>
        <w:tabs>
          <w:tab w:pos="1290" w:val="left" w:leader="none"/>
        </w:tabs>
        <w:spacing w:line="305" w:lineRule="exact" w:before="0" w:after="0"/>
        <w:ind w:left="1290" w:right="0" w:hanging="359"/>
        <w:jc w:val="both"/>
        <w:rPr>
          <w:sz w:val="24"/>
        </w:rPr>
      </w:pPr>
      <w:r>
        <w:rPr>
          <w:sz w:val="24"/>
        </w:rPr>
        <w:t>Public</w:t>
      </w:r>
      <w:r>
        <w:rPr>
          <w:spacing w:val="-7"/>
          <w:sz w:val="24"/>
        </w:rPr>
        <w:t> </w:t>
      </w:r>
      <w:r>
        <w:rPr>
          <w:sz w:val="24"/>
        </w:rPr>
        <w:t>participation</w:t>
      </w:r>
      <w:r>
        <w:rPr>
          <w:spacing w:val="-3"/>
          <w:sz w:val="24"/>
        </w:rPr>
        <w:t> </w:t>
      </w:r>
      <w:r>
        <w:rPr>
          <w:sz w:val="24"/>
        </w:rPr>
        <w:t>processes</w:t>
      </w:r>
      <w:r>
        <w:rPr>
          <w:spacing w:val="-2"/>
          <w:sz w:val="24"/>
        </w:rPr>
        <w:t> </w:t>
      </w:r>
      <w:r>
        <w:rPr>
          <w:sz w:val="24"/>
        </w:rPr>
        <w:t>and Title</w:t>
      </w:r>
      <w:r>
        <w:rPr>
          <w:spacing w:val="-3"/>
          <w:sz w:val="24"/>
        </w:rPr>
        <w:t> </w:t>
      </w:r>
      <w:r>
        <w:rPr>
          <w:sz w:val="24"/>
        </w:rPr>
        <w:t>VI</w:t>
      </w:r>
      <w:r>
        <w:rPr>
          <w:spacing w:val="-2"/>
          <w:sz w:val="24"/>
        </w:rPr>
        <w:t> </w:t>
      </w:r>
      <w:r>
        <w:rPr>
          <w:sz w:val="24"/>
        </w:rPr>
        <w:t>Plan</w:t>
      </w:r>
      <w:r>
        <w:rPr>
          <w:spacing w:val="1"/>
          <w:sz w:val="24"/>
        </w:rPr>
        <w:t> </w:t>
      </w:r>
      <w:r>
        <w:rPr>
          <w:spacing w:val="-2"/>
          <w:sz w:val="24"/>
        </w:rPr>
        <w:t>assistance.</w:t>
      </w:r>
    </w:p>
    <w:p>
      <w:pPr>
        <w:pStyle w:val="BodyText"/>
        <w:spacing w:before="10"/>
        <w:rPr>
          <w:sz w:val="23"/>
        </w:rPr>
      </w:pPr>
    </w:p>
    <w:p>
      <w:pPr>
        <w:pStyle w:val="Heading9"/>
        <w:ind w:left="839"/>
        <w:jc w:val="both"/>
      </w:pPr>
      <w:r>
        <w:rPr/>
        <w:t>Summary</w:t>
      </w:r>
      <w:r>
        <w:rPr>
          <w:spacing w:val="-5"/>
        </w:rPr>
        <w:t> </w:t>
      </w:r>
      <w:r>
        <w:rPr/>
        <w:t>of</w:t>
      </w:r>
      <w:r>
        <w:rPr>
          <w:spacing w:val="-2"/>
        </w:rPr>
        <w:t> </w:t>
      </w:r>
      <w:r>
        <w:rPr/>
        <w:t>MaineDOT’s</w:t>
      </w:r>
      <w:r>
        <w:rPr>
          <w:spacing w:val="-3"/>
        </w:rPr>
        <w:t> </w:t>
      </w:r>
      <w:r>
        <w:rPr/>
        <w:t>Minority/LEP</w:t>
      </w:r>
      <w:r>
        <w:rPr>
          <w:spacing w:val="-4"/>
        </w:rPr>
        <w:t> </w:t>
      </w:r>
      <w:r>
        <w:rPr/>
        <w:t>Targeted</w:t>
      </w:r>
      <w:r>
        <w:rPr>
          <w:spacing w:val="-2"/>
        </w:rPr>
        <w:t> </w:t>
      </w:r>
      <w:r>
        <w:rPr/>
        <w:t>Outreach</w:t>
      </w:r>
      <w:r>
        <w:rPr>
          <w:spacing w:val="-1"/>
        </w:rPr>
        <w:t> </w:t>
      </w:r>
      <w:r>
        <w:rPr>
          <w:spacing w:val="-2"/>
        </w:rPr>
        <w:t>Efforts</w:t>
      </w:r>
    </w:p>
    <w:p>
      <w:pPr>
        <w:pStyle w:val="BodyText"/>
        <w:spacing w:before="2"/>
        <w:rPr>
          <w:b/>
        </w:rPr>
      </w:pPr>
    </w:p>
    <w:p>
      <w:pPr>
        <w:pStyle w:val="BodyText"/>
        <w:ind w:left="839" w:right="933"/>
        <w:jc w:val="both"/>
      </w:pPr>
      <w:r>
        <w:rPr/>
        <w:t>The Freight and</w:t>
      </w:r>
      <w:r>
        <w:rPr>
          <w:spacing w:val="-1"/>
        </w:rPr>
        <w:t> </w:t>
      </w:r>
      <w:r>
        <w:rPr/>
        <w:t>Passenger Services Office</w:t>
      </w:r>
      <w:r>
        <w:rPr>
          <w:spacing w:val="-3"/>
        </w:rPr>
        <w:t> </w:t>
      </w:r>
      <w:r>
        <w:rPr/>
        <w:t>distributed “I</w:t>
      </w:r>
      <w:r>
        <w:rPr>
          <w:spacing w:val="-3"/>
        </w:rPr>
        <w:t> </w:t>
      </w:r>
      <w:r>
        <w:rPr/>
        <w:t>Speak”</w:t>
      </w:r>
      <w:r>
        <w:rPr>
          <w:spacing w:val="-2"/>
        </w:rPr>
        <w:t> </w:t>
      </w:r>
      <w:r>
        <w:rPr/>
        <w:t>cards and</w:t>
      </w:r>
      <w:r>
        <w:rPr>
          <w:spacing w:val="-1"/>
        </w:rPr>
        <w:t> </w:t>
      </w:r>
      <w:r>
        <w:rPr/>
        <w:t>Title VI</w:t>
      </w:r>
      <w:r>
        <w:rPr>
          <w:spacing w:val="-3"/>
        </w:rPr>
        <w:t> </w:t>
      </w:r>
      <w:r>
        <w:rPr/>
        <w:t>information</w:t>
      </w:r>
      <w:r>
        <w:rPr>
          <w:spacing w:val="-1"/>
        </w:rPr>
        <w:t> </w:t>
      </w:r>
      <w:r>
        <w:rPr/>
        <w:t>to transit providers during site visits. Transit Provider Site Visits were conducted shown below.</w:t>
      </w:r>
      <w:r>
        <w:rPr>
          <w:spacing w:val="40"/>
        </w:rPr>
        <w:t> </w:t>
      </w:r>
      <w:r>
        <w:rPr/>
        <w:t>All other providers completed the Self-Certification Checklist for compliance provided in </w:t>
      </w:r>
      <w:r>
        <w:rPr>
          <w:b/>
        </w:rPr>
        <w:t>Appendix III </w:t>
      </w:r>
      <w:r>
        <w:rPr/>
        <w:t>herein.</w:t>
      </w:r>
      <w:r>
        <w:rPr>
          <w:spacing w:val="40"/>
        </w:rPr>
        <w:t> </w:t>
      </w:r>
      <w:r>
        <w:rPr/>
        <w:t>MaineDOT did not visit those agencies on-site during this reporting period.</w:t>
      </w:r>
    </w:p>
    <w:p>
      <w:pPr>
        <w:pStyle w:val="BodyText"/>
        <w:spacing w:before="11"/>
        <w:rPr>
          <w:sz w:val="23"/>
        </w:rPr>
      </w:pPr>
    </w:p>
    <w:p>
      <w:pPr>
        <w:pStyle w:val="Heading9"/>
        <w:ind w:left="3404" w:right="3145"/>
        <w:jc w:val="center"/>
      </w:pPr>
      <w:r>
        <w:rPr>
          <w:u w:val="single"/>
        </w:rPr>
        <w:t>Transit</w:t>
      </w:r>
      <w:r>
        <w:rPr>
          <w:spacing w:val="-1"/>
          <w:u w:val="single"/>
        </w:rPr>
        <w:t> </w:t>
      </w:r>
      <w:r>
        <w:rPr>
          <w:u w:val="single"/>
        </w:rPr>
        <w:t>Providers/Dates</w:t>
      </w:r>
      <w:r>
        <w:rPr>
          <w:spacing w:val="-4"/>
          <w:u w:val="single"/>
        </w:rPr>
        <w:t> </w:t>
      </w:r>
      <w:r>
        <w:rPr>
          <w:u w:val="single"/>
        </w:rPr>
        <w:t>of</w:t>
      </w:r>
      <w:r>
        <w:rPr>
          <w:spacing w:val="-1"/>
          <w:u w:val="single"/>
        </w:rPr>
        <w:t> </w:t>
      </w:r>
      <w:r>
        <w:rPr>
          <w:u w:val="single"/>
        </w:rPr>
        <w:t>Site</w:t>
      </w:r>
      <w:r>
        <w:rPr>
          <w:spacing w:val="-4"/>
          <w:u w:val="single"/>
        </w:rPr>
        <w:t> </w:t>
      </w:r>
      <w:r>
        <w:rPr>
          <w:spacing w:val="-2"/>
          <w:u w:val="single"/>
        </w:rPr>
        <w:t>Visits</w:t>
      </w:r>
    </w:p>
    <w:p>
      <w:pPr>
        <w:pStyle w:val="BodyText"/>
        <w:spacing w:after="1"/>
        <w:rPr>
          <w:b/>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1399"/>
        <w:gridCol w:w="1029"/>
        <w:gridCol w:w="1867"/>
        <w:gridCol w:w="1320"/>
        <w:gridCol w:w="1253"/>
        <w:gridCol w:w="1001"/>
      </w:tblGrid>
      <w:tr>
        <w:trPr>
          <w:trHeight w:val="1393" w:hRule="atLeast"/>
        </w:trPr>
        <w:tc>
          <w:tcPr>
            <w:tcW w:w="2311" w:type="dxa"/>
            <w:shd w:val="clear" w:color="auto" w:fill="D9D9D9"/>
          </w:tcPr>
          <w:p>
            <w:pPr>
              <w:pStyle w:val="TableParagraph"/>
              <w:spacing w:line="240" w:lineRule="auto" w:before="1"/>
              <w:ind w:left="184" w:right="173" w:hanging="1"/>
              <w:jc w:val="center"/>
              <w:rPr>
                <w:rFonts w:ascii="Calibri"/>
                <w:b/>
                <w:sz w:val="24"/>
              </w:rPr>
            </w:pPr>
            <w:bookmarkStart w:name="_bookmark9" w:id="20"/>
            <w:bookmarkEnd w:id="20"/>
            <w:r>
              <w:rPr/>
            </w:r>
            <w:r>
              <w:rPr>
                <w:rFonts w:ascii="Calibri"/>
                <w:b/>
                <w:sz w:val="24"/>
              </w:rPr>
              <w:t>5311 Sub-Grantees Site</w:t>
            </w:r>
            <w:r>
              <w:rPr>
                <w:rFonts w:ascii="Calibri"/>
                <w:b/>
                <w:spacing w:val="-14"/>
                <w:sz w:val="24"/>
              </w:rPr>
              <w:t> </w:t>
            </w:r>
            <w:r>
              <w:rPr>
                <w:rFonts w:ascii="Calibri"/>
                <w:b/>
                <w:sz w:val="24"/>
              </w:rPr>
              <w:t>Visit</w:t>
            </w:r>
            <w:r>
              <w:rPr>
                <w:rFonts w:ascii="Calibri"/>
                <w:b/>
                <w:spacing w:val="-14"/>
                <w:sz w:val="24"/>
              </w:rPr>
              <w:t> </w:t>
            </w:r>
            <w:r>
              <w:rPr>
                <w:rFonts w:ascii="Calibri"/>
                <w:b/>
                <w:sz w:val="24"/>
              </w:rPr>
              <w:t>Summary: </w:t>
            </w:r>
            <w:r>
              <w:rPr>
                <w:rFonts w:ascii="Calibri"/>
                <w:b/>
                <w:spacing w:val="-4"/>
                <w:sz w:val="24"/>
              </w:rPr>
              <w:t>2023</w:t>
            </w:r>
          </w:p>
        </w:tc>
        <w:tc>
          <w:tcPr>
            <w:tcW w:w="1399" w:type="dxa"/>
            <w:shd w:val="clear" w:color="auto" w:fill="D9D9D9"/>
          </w:tcPr>
          <w:p>
            <w:pPr>
              <w:pStyle w:val="TableParagraph"/>
              <w:spacing w:line="240" w:lineRule="auto" w:before="1"/>
              <w:ind w:left="263" w:right="252" w:hanging="1"/>
              <w:jc w:val="center"/>
              <w:rPr>
                <w:rFonts w:ascii="Calibri"/>
                <w:b/>
                <w:sz w:val="24"/>
              </w:rPr>
            </w:pPr>
            <w:r>
              <w:rPr>
                <w:rFonts w:ascii="Calibri"/>
                <w:b/>
                <w:sz w:val="24"/>
              </w:rPr>
              <w:t>Last Full Site</w:t>
            </w:r>
            <w:r>
              <w:rPr>
                <w:rFonts w:ascii="Calibri"/>
                <w:b/>
                <w:spacing w:val="-14"/>
                <w:sz w:val="24"/>
              </w:rPr>
              <w:t> </w:t>
            </w:r>
            <w:r>
              <w:rPr>
                <w:rFonts w:ascii="Calibri"/>
                <w:b/>
                <w:sz w:val="24"/>
              </w:rPr>
              <w:t>Visit </w:t>
            </w:r>
            <w:r>
              <w:rPr>
                <w:rFonts w:ascii="Calibri"/>
                <w:b/>
                <w:spacing w:val="-4"/>
                <w:sz w:val="24"/>
              </w:rPr>
              <w:t>Date</w:t>
            </w:r>
          </w:p>
        </w:tc>
        <w:tc>
          <w:tcPr>
            <w:tcW w:w="1029" w:type="dxa"/>
            <w:shd w:val="clear" w:color="auto" w:fill="D9D9D9"/>
          </w:tcPr>
          <w:p>
            <w:pPr>
              <w:pStyle w:val="TableParagraph"/>
              <w:spacing w:line="240" w:lineRule="auto" w:before="1"/>
              <w:ind w:left="218"/>
              <w:rPr>
                <w:rFonts w:ascii="Calibri"/>
                <w:b/>
                <w:sz w:val="24"/>
              </w:rPr>
            </w:pPr>
            <w:r>
              <w:rPr>
                <w:rFonts w:ascii="Calibri"/>
                <w:b/>
                <w:spacing w:val="-4"/>
                <w:sz w:val="24"/>
              </w:rPr>
              <w:t>Mode</w:t>
            </w:r>
          </w:p>
        </w:tc>
        <w:tc>
          <w:tcPr>
            <w:tcW w:w="1867" w:type="dxa"/>
            <w:shd w:val="clear" w:color="auto" w:fill="D9D9D9"/>
          </w:tcPr>
          <w:p>
            <w:pPr>
              <w:pStyle w:val="TableParagraph"/>
              <w:spacing w:line="240" w:lineRule="auto" w:before="1"/>
              <w:ind w:left="320" w:right="256" w:hanging="48"/>
              <w:rPr>
                <w:rFonts w:ascii="Calibri"/>
                <w:b/>
                <w:sz w:val="24"/>
              </w:rPr>
            </w:pPr>
            <w:r>
              <w:rPr>
                <w:rFonts w:ascii="Calibri"/>
                <w:b/>
                <w:sz w:val="24"/>
              </w:rPr>
              <w:t>Received</w:t>
            </w:r>
            <w:r>
              <w:rPr>
                <w:rFonts w:ascii="Calibri"/>
                <w:b/>
                <w:spacing w:val="-14"/>
                <w:sz w:val="24"/>
              </w:rPr>
              <w:t> </w:t>
            </w:r>
            <w:r>
              <w:rPr>
                <w:rFonts w:ascii="Calibri"/>
                <w:b/>
                <w:sz w:val="24"/>
              </w:rPr>
              <w:t>Self </w:t>
            </w:r>
            <w:r>
              <w:rPr>
                <w:rFonts w:ascii="Calibri"/>
                <w:b/>
                <w:spacing w:val="-2"/>
                <w:sz w:val="24"/>
              </w:rPr>
              <w:t>Certification</w:t>
            </w:r>
          </w:p>
        </w:tc>
        <w:tc>
          <w:tcPr>
            <w:tcW w:w="1320" w:type="dxa"/>
            <w:shd w:val="clear" w:color="auto" w:fill="D9D9D9"/>
          </w:tcPr>
          <w:p>
            <w:pPr>
              <w:pStyle w:val="TableParagraph"/>
              <w:spacing w:line="240" w:lineRule="auto" w:before="1"/>
              <w:ind w:left="169"/>
              <w:rPr>
                <w:rFonts w:ascii="Calibri"/>
                <w:b/>
                <w:sz w:val="24"/>
              </w:rPr>
            </w:pPr>
            <w:r>
              <w:rPr>
                <w:rFonts w:ascii="Calibri"/>
                <w:b/>
                <w:spacing w:val="-2"/>
                <w:sz w:val="24"/>
              </w:rPr>
              <w:t>Approved</w:t>
            </w:r>
          </w:p>
        </w:tc>
        <w:tc>
          <w:tcPr>
            <w:tcW w:w="1253" w:type="dxa"/>
            <w:shd w:val="clear" w:color="auto" w:fill="D9D9D9"/>
          </w:tcPr>
          <w:p>
            <w:pPr>
              <w:pStyle w:val="TableParagraph"/>
              <w:spacing w:line="240" w:lineRule="auto" w:before="1"/>
              <w:ind w:left="98" w:right="87"/>
              <w:jc w:val="center"/>
              <w:rPr>
                <w:rFonts w:ascii="Calibri"/>
                <w:b/>
                <w:sz w:val="24"/>
              </w:rPr>
            </w:pPr>
            <w:r>
              <w:rPr>
                <w:rFonts w:ascii="Calibri"/>
                <w:b/>
                <w:spacing w:val="-2"/>
                <w:sz w:val="24"/>
              </w:rPr>
              <w:t>Closed</w:t>
            </w:r>
          </w:p>
        </w:tc>
        <w:tc>
          <w:tcPr>
            <w:tcW w:w="1001" w:type="dxa"/>
            <w:shd w:val="clear" w:color="auto" w:fill="D9D9D9"/>
          </w:tcPr>
          <w:p>
            <w:pPr>
              <w:pStyle w:val="TableParagraph"/>
              <w:spacing w:line="240" w:lineRule="auto" w:before="1"/>
              <w:ind w:left="132" w:right="118" w:hanging="2"/>
              <w:jc w:val="center"/>
              <w:rPr>
                <w:rFonts w:ascii="Calibri"/>
                <w:b/>
                <w:sz w:val="24"/>
              </w:rPr>
            </w:pPr>
            <w:r>
              <w:rPr>
                <w:rFonts w:ascii="Calibri"/>
                <w:b/>
                <w:spacing w:val="-4"/>
                <w:sz w:val="24"/>
              </w:rPr>
              <w:t>Next </w:t>
            </w:r>
            <w:r>
              <w:rPr>
                <w:rFonts w:ascii="Calibri"/>
                <w:b/>
                <w:sz w:val="24"/>
              </w:rPr>
              <w:t>full</w:t>
            </w:r>
            <w:r>
              <w:rPr>
                <w:rFonts w:ascii="Calibri"/>
                <w:b/>
                <w:spacing w:val="-14"/>
                <w:sz w:val="24"/>
              </w:rPr>
              <w:t> </w:t>
            </w:r>
            <w:r>
              <w:rPr>
                <w:rFonts w:ascii="Calibri"/>
                <w:b/>
                <w:sz w:val="24"/>
              </w:rPr>
              <w:t>site </w:t>
            </w:r>
            <w:r>
              <w:rPr>
                <w:rFonts w:ascii="Calibri"/>
                <w:b/>
                <w:spacing w:val="-2"/>
                <w:sz w:val="24"/>
              </w:rPr>
              <w:t>visit </w:t>
            </w:r>
            <w:r>
              <w:rPr>
                <w:rFonts w:ascii="Calibri"/>
                <w:b/>
                <w:spacing w:val="-4"/>
                <w:sz w:val="24"/>
              </w:rPr>
              <w:t>due</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5"/>
                <w:sz w:val="24"/>
              </w:rPr>
              <w:t>One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40" w:lineRule="auto"/>
              <w:ind w:left="107"/>
              <w:rPr>
                <w:rFonts w:ascii="Calibri"/>
                <w:sz w:val="24"/>
              </w:rPr>
            </w:pPr>
            <w:r>
              <w:rPr>
                <w:rFonts w:ascii="Calibri"/>
                <w:sz w:val="24"/>
              </w:rPr>
              <w:t>Aroostook</w:t>
            </w:r>
            <w:r>
              <w:rPr>
                <w:rFonts w:ascii="Calibri"/>
                <w:spacing w:val="-14"/>
                <w:sz w:val="24"/>
              </w:rPr>
              <w:t> </w:t>
            </w:r>
            <w:r>
              <w:rPr>
                <w:rFonts w:ascii="Calibri"/>
                <w:sz w:val="24"/>
              </w:rPr>
              <w:t>Regional </w:t>
            </w:r>
            <w:r>
              <w:rPr>
                <w:rFonts w:ascii="Calibri"/>
                <w:spacing w:val="-2"/>
                <w:sz w:val="24"/>
              </w:rPr>
              <w:t>Transportation</w:t>
            </w:r>
          </w:p>
          <w:p>
            <w:pPr>
              <w:pStyle w:val="TableParagraph"/>
              <w:spacing w:line="273" w:lineRule="exact"/>
              <w:ind w:left="107"/>
              <w:rPr>
                <w:rFonts w:ascii="Calibri"/>
                <w:sz w:val="24"/>
              </w:rPr>
            </w:pPr>
            <w:r>
              <w:rPr>
                <w:rFonts w:ascii="Calibri"/>
                <w:sz w:val="24"/>
              </w:rPr>
              <w:t>System</w:t>
            </w:r>
            <w:r>
              <w:rPr>
                <w:rFonts w:ascii="Calibri"/>
                <w:spacing w:val="-2"/>
                <w:sz w:val="24"/>
              </w:rPr>
              <w:t> (ARTS)</w:t>
            </w:r>
          </w:p>
        </w:tc>
        <w:tc>
          <w:tcPr>
            <w:tcW w:w="1399" w:type="dxa"/>
          </w:tcPr>
          <w:p>
            <w:pPr>
              <w:pStyle w:val="TableParagraph"/>
              <w:spacing w:line="292" w:lineRule="exact"/>
              <w:ind w:left="107"/>
              <w:rPr>
                <w:rFonts w:ascii="Calibri"/>
                <w:sz w:val="24"/>
              </w:rPr>
            </w:pPr>
            <w:r>
              <w:rPr>
                <w:rFonts w:ascii="Calibri"/>
                <w:spacing w:val="-2"/>
                <w:sz w:val="24"/>
              </w:rPr>
              <w:t>4/12/2022</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5/1/2023</w:t>
            </w:r>
          </w:p>
        </w:tc>
        <w:tc>
          <w:tcPr>
            <w:tcW w:w="1320" w:type="dxa"/>
          </w:tcPr>
          <w:p>
            <w:pPr>
              <w:pStyle w:val="TableParagraph"/>
              <w:spacing w:line="292" w:lineRule="exact"/>
              <w:ind w:left="109"/>
              <w:rPr>
                <w:rFonts w:ascii="Calibri"/>
                <w:sz w:val="24"/>
              </w:rPr>
            </w:pPr>
            <w:r>
              <w:rPr>
                <w:rFonts w:ascii="Calibri"/>
                <w:spacing w:val="-2"/>
                <w:sz w:val="24"/>
              </w:rPr>
              <w:t>5/1/2023</w:t>
            </w:r>
          </w:p>
        </w:tc>
        <w:tc>
          <w:tcPr>
            <w:tcW w:w="1253" w:type="dxa"/>
          </w:tcPr>
          <w:p>
            <w:pPr>
              <w:pStyle w:val="TableParagraph"/>
              <w:spacing w:line="292" w:lineRule="exact"/>
              <w:ind w:left="98" w:right="205"/>
              <w:jc w:val="center"/>
              <w:rPr>
                <w:rFonts w:ascii="Calibri"/>
                <w:sz w:val="24"/>
              </w:rPr>
            </w:pPr>
            <w:r>
              <w:rPr>
                <w:rFonts w:ascii="Calibri"/>
                <w:spacing w:val="-2"/>
                <w:sz w:val="24"/>
              </w:rPr>
              <w:t>5/1/2023</w:t>
            </w:r>
          </w:p>
        </w:tc>
        <w:tc>
          <w:tcPr>
            <w:tcW w:w="1001" w:type="dxa"/>
          </w:tcPr>
          <w:p>
            <w:pPr>
              <w:pStyle w:val="TableParagraph"/>
              <w:spacing w:line="292" w:lineRule="exact"/>
              <w:ind w:left="108"/>
              <w:rPr>
                <w:rFonts w:ascii="Calibri"/>
                <w:sz w:val="24"/>
              </w:rPr>
            </w:pPr>
            <w:r>
              <w:rPr>
                <w:rFonts w:ascii="Calibri"/>
                <w:spacing w:val="-4"/>
                <w:sz w:val="24"/>
              </w:rPr>
              <w:t>2027</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5"/>
                <w:sz w:val="24"/>
              </w:rPr>
              <w:t>Two</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80" w:hRule="atLeast"/>
        </w:trPr>
        <w:tc>
          <w:tcPr>
            <w:tcW w:w="2311" w:type="dxa"/>
          </w:tcPr>
          <w:p>
            <w:pPr>
              <w:pStyle w:val="TableParagraph"/>
              <w:spacing w:line="290" w:lineRule="atLeast"/>
              <w:ind w:left="107" w:right="173"/>
              <w:rPr>
                <w:rFonts w:ascii="Calibri"/>
                <w:sz w:val="24"/>
              </w:rPr>
            </w:pPr>
            <w:r>
              <w:rPr>
                <w:rFonts w:ascii="Calibri"/>
                <w:spacing w:val="-2"/>
                <w:sz w:val="24"/>
              </w:rPr>
              <w:t>Downeast </w:t>
            </w:r>
            <w:r>
              <w:rPr>
                <w:rFonts w:ascii="Calibri"/>
                <w:sz w:val="24"/>
              </w:rPr>
              <w:t>Community</w:t>
            </w:r>
            <w:r>
              <w:rPr>
                <w:rFonts w:ascii="Calibri"/>
                <w:spacing w:val="-14"/>
                <w:sz w:val="24"/>
              </w:rPr>
              <w:t> </w:t>
            </w:r>
            <w:r>
              <w:rPr>
                <w:rFonts w:ascii="Calibri"/>
                <w:sz w:val="24"/>
              </w:rPr>
              <w:t>Partners </w:t>
            </w:r>
            <w:r>
              <w:rPr>
                <w:rFonts w:ascii="Calibri"/>
                <w:spacing w:val="-4"/>
                <w:sz w:val="24"/>
              </w:rPr>
              <w:t>(DCP)</w:t>
            </w:r>
          </w:p>
        </w:tc>
        <w:tc>
          <w:tcPr>
            <w:tcW w:w="1399" w:type="dxa"/>
          </w:tcPr>
          <w:p>
            <w:pPr>
              <w:pStyle w:val="TableParagraph"/>
              <w:spacing w:line="240" w:lineRule="auto" w:before="1"/>
              <w:ind w:left="107"/>
              <w:rPr>
                <w:rFonts w:ascii="Calibri"/>
                <w:sz w:val="24"/>
              </w:rPr>
            </w:pPr>
            <w:r>
              <w:rPr>
                <w:rFonts w:ascii="Calibri"/>
                <w:spacing w:val="-2"/>
                <w:sz w:val="24"/>
              </w:rPr>
              <w:t>2/25/2021</w:t>
            </w:r>
          </w:p>
        </w:tc>
        <w:tc>
          <w:tcPr>
            <w:tcW w:w="1029" w:type="dxa"/>
          </w:tcPr>
          <w:p>
            <w:pPr>
              <w:pStyle w:val="TableParagraph"/>
              <w:spacing w:line="240" w:lineRule="auto" w:before="1"/>
              <w:ind w:left="105"/>
              <w:rPr>
                <w:rFonts w:ascii="Calibri"/>
                <w:sz w:val="24"/>
              </w:rPr>
            </w:pPr>
            <w:r>
              <w:rPr>
                <w:rFonts w:ascii="Calibri"/>
                <w:spacing w:val="-2"/>
                <w:sz w:val="24"/>
              </w:rPr>
              <w:t>Virtual</w:t>
            </w:r>
          </w:p>
        </w:tc>
        <w:tc>
          <w:tcPr>
            <w:tcW w:w="1867" w:type="dxa"/>
          </w:tcPr>
          <w:p>
            <w:pPr>
              <w:pStyle w:val="TableParagraph"/>
              <w:spacing w:line="240" w:lineRule="auto" w:before="1"/>
              <w:ind w:left="108"/>
              <w:rPr>
                <w:rFonts w:ascii="Calibri"/>
                <w:sz w:val="24"/>
              </w:rPr>
            </w:pPr>
            <w:r>
              <w:rPr>
                <w:rFonts w:ascii="Calibri"/>
                <w:spacing w:val="-2"/>
                <w:sz w:val="24"/>
              </w:rPr>
              <w:t>4/13/2023</w:t>
            </w:r>
          </w:p>
        </w:tc>
        <w:tc>
          <w:tcPr>
            <w:tcW w:w="1320" w:type="dxa"/>
          </w:tcPr>
          <w:p>
            <w:pPr>
              <w:pStyle w:val="TableParagraph"/>
              <w:spacing w:line="240" w:lineRule="auto" w:before="1"/>
              <w:ind w:left="109"/>
              <w:rPr>
                <w:rFonts w:ascii="Calibri"/>
                <w:sz w:val="24"/>
              </w:rPr>
            </w:pPr>
            <w:r>
              <w:rPr>
                <w:rFonts w:ascii="Calibri"/>
                <w:spacing w:val="-2"/>
                <w:sz w:val="24"/>
              </w:rPr>
              <w:t>4/13/2023</w:t>
            </w:r>
          </w:p>
        </w:tc>
        <w:tc>
          <w:tcPr>
            <w:tcW w:w="1253" w:type="dxa"/>
          </w:tcPr>
          <w:p>
            <w:pPr>
              <w:pStyle w:val="TableParagraph"/>
              <w:spacing w:line="240" w:lineRule="auto" w:before="1"/>
              <w:ind w:left="98" w:right="84"/>
              <w:jc w:val="center"/>
              <w:rPr>
                <w:rFonts w:ascii="Calibri"/>
                <w:sz w:val="24"/>
              </w:rPr>
            </w:pPr>
            <w:r>
              <w:rPr>
                <w:rFonts w:ascii="Calibri"/>
                <w:spacing w:val="-2"/>
                <w:sz w:val="24"/>
              </w:rPr>
              <w:t>4/13/2023</w:t>
            </w:r>
          </w:p>
        </w:tc>
        <w:tc>
          <w:tcPr>
            <w:tcW w:w="1001" w:type="dxa"/>
          </w:tcPr>
          <w:p>
            <w:pPr>
              <w:pStyle w:val="TableParagraph"/>
              <w:spacing w:line="240" w:lineRule="auto" w:before="1"/>
              <w:ind w:left="108"/>
              <w:rPr>
                <w:rFonts w:ascii="Calibri"/>
                <w:sz w:val="24"/>
              </w:rPr>
            </w:pPr>
            <w:r>
              <w:rPr>
                <w:rFonts w:ascii="Calibri"/>
                <w:spacing w:val="-4"/>
                <w:sz w:val="24"/>
              </w:rPr>
              <w:t>2026</w:t>
            </w:r>
          </w:p>
        </w:tc>
      </w:tr>
      <w:tr>
        <w:trPr>
          <w:trHeight w:val="585" w:hRule="atLeast"/>
        </w:trPr>
        <w:tc>
          <w:tcPr>
            <w:tcW w:w="2311" w:type="dxa"/>
          </w:tcPr>
          <w:p>
            <w:pPr>
              <w:pStyle w:val="TableParagraph"/>
              <w:spacing w:line="292" w:lineRule="exact"/>
              <w:ind w:left="107"/>
              <w:rPr>
                <w:rFonts w:ascii="Calibri"/>
                <w:sz w:val="24"/>
              </w:rPr>
            </w:pPr>
            <w:r>
              <w:rPr>
                <w:rFonts w:ascii="Calibri"/>
                <w:spacing w:val="-2"/>
                <w:sz w:val="24"/>
              </w:rPr>
              <w:t>Downeast</w:t>
            </w:r>
          </w:p>
          <w:p>
            <w:pPr>
              <w:pStyle w:val="TableParagraph"/>
              <w:spacing w:line="273" w:lineRule="exact"/>
              <w:ind w:left="107"/>
              <w:rPr>
                <w:rFonts w:ascii="Calibri"/>
                <w:sz w:val="24"/>
              </w:rPr>
            </w:pPr>
            <w:r>
              <w:rPr>
                <w:rFonts w:ascii="Calibri"/>
                <w:sz w:val="24"/>
              </w:rPr>
              <w:t>Transportation</w:t>
            </w:r>
            <w:r>
              <w:rPr>
                <w:rFonts w:ascii="Calibri"/>
                <w:spacing w:val="-5"/>
                <w:sz w:val="24"/>
              </w:rPr>
              <w:t> </w:t>
            </w:r>
            <w:r>
              <w:rPr>
                <w:rFonts w:ascii="Calibri"/>
                <w:spacing w:val="-4"/>
                <w:sz w:val="24"/>
              </w:rPr>
              <w:t>(DTI)</w:t>
            </w:r>
          </w:p>
        </w:tc>
        <w:tc>
          <w:tcPr>
            <w:tcW w:w="1399" w:type="dxa"/>
          </w:tcPr>
          <w:p>
            <w:pPr>
              <w:pStyle w:val="TableParagraph"/>
              <w:spacing w:line="292" w:lineRule="exact"/>
              <w:ind w:left="107"/>
              <w:rPr>
                <w:rFonts w:ascii="Calibri"/>
                <w:sz w:val="24"/>
              </w:rPr>
            </w:pPr>
            <w:r>
              <w:rPr>
                <w:rFonts w:ascii="Calibri"/>
                <w:spacing w:val="-2"/>
                <w:sz w:val="24"/>
              </w:rPr>
              <w:t>5/19/2021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40" w:lineRule="auto"/>
              <w:rPr>
                <w:sz w:val="24"/>
              </w:rPr>
            </w:pPr>
          </w:p>
        </w:tc>
        <w:tc>
          <w:tcPr>
            <w:tcW w:w="1320" w:type="dxa"/>
          </w:tcPr>
          <w:p>
            <w:pPr>
              <w:pStyle w:val="TableParagraph"/>
              <w:spacing w:line="240" w:lineRule="auto"/>
              <w:rPr>
                <w:sz w:val="24"/>
              </w:rPr>
            </w:pPr>
          </w:p>
        </w:tc>
        <w:tc>
          <w:tcPr>
            <w:tcW w:w="1253" w:type="dxa"/>
          </w:tcPr>
          <w:p>
            <w:pPr>
              <w:pStyle w:val="TableParagraph"/>
              <w:spacing w:line="240" w:lineRule="auto"/>
              <w:rPr>
                <w:sz w:val="24"/>
              </w:rPr>
            </w:pP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585" w:hRule="atLeast"/>
        </w:trPr>
        <w:tc>
          <w:tcPr>
            <w:tcW w:w="2311" w:type="dxa"/>
          </w:tcPr>
          <w:p>
            <w:pPr>
              <w:pStyle w:val="TableParagraph"/>
              <w:spacing w:line="292" w:lineRule="exact"/>
              <w:ind w:left="107"/>
              <w:rPr>
                <w:rFonts w:ascii="Calibri" w:hAnsi="Calibri"/>
                <w:sz w:val="24"/>
              </w:rPr>
            </w:pPr>
            <w:r>
              <w:rPr>
                <w:rFonts w:ascii="Calibri" w:hAnsi="Calibri"/>
                <w:spacing w:val="-2"/>
                <w:sz w:val="24"/>
              </w:rPr>
              <w:t>West’s</w:t>
            </w:r>
          </w:p>
          <w:p>
            <w:pPr>
              <w:pStyle w:val="TableParagraph"/>
              <w:spacing w:line="273" w:lineRule="exact"/>
              <w:ind w:left="107"/>
              <w:rPr>
                <w:rFonts w:ascii="Calibri"/>
                <w:sz w:val="24"/>
              </w:rPr>
            </w:pPr>
            <w:r>
              <w:rPr>
                <w:rFonts w:ascii="Calibri"/>
                <w:spacing w:val="-2"/>
                <w:sz w:val="24"/>
              </w:rPr>
              <w:t>Transportation</w:t>
            </w:r>
          </w:p>
        </w:tc>
        <w:tc>
          <w:tcPr>
            <w:tcW w:w="1399" w:type="dxa"/>
          </w:tcPr>
          <w:p>
            <w:pPr>
              <w:pStyle w:val="TableParagraph"/>
              <w:spacing w:line="292" w:lineRule="exact"/>
              <w:ind w:left="107"/>
              <w:rPr>
                <w:rFonts w:ascii="Calibri"/>
                <w:sz w:val="24"/>
              </w:rPr>
            </w:pPr>
            <w:r>
              <w:rPr>
                <w:rFonts w:ascii="Calibri"/>
                <w:spacing w:val="-2"/>
                <w:sz w:val="24"/>
              </w:rPr>
              <w:t>5/27/2021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9/14/2023</w:t>
            </w:r>
          </w:p>
        </w:tc>
        <w:tc>
          <w:tcPr>
            <w:tcW w:w="1320" w:type="dxa"/>
          </w:tcPr>
          <w:p>
            <w:pPr>
              <w:pStyle w:val="TableParagraph"/>
              <w:spacing w:line="292" w:lineRule="exact"/>
              <w:ind w:left="109"/>
              <w:rPr>
                <w:rFonts w:ascii="Calibri"/>
                <w:sz w:val="24"/>
              </w:rPr>
            </w:pPr>
            <w:r>
              <w:rPr>
                <w:rFonts w:ascii="Calibri"/>
                <w:spacing w:val="-2"/>
                <w:sz w:val="24"/>
              </w:rPr>
              <w:t>9/14/2023</w:t>
            </w:r>
          </w:p>
        </w:tc>
        <w:tc>
          <w:tcPr>
            <w:tcW w:w="1253" w:type="dxa"/>
          </w:tcPr>
          <w:p>
            <w:pPr>
              <w:pStyle w:val="TableParagraph"/>
              <w:spacing w:line="292" w:lineRule="exact"/>
              <w:ind w:left="98" w:right="84"/>
              <w:jc w:val="center"/>
              <w:rPr>
                <w:rFonts w:ascii="Calibri"/>
                <w:sz w:val="24"/>
              </w:rPr>
            </w:pPr>
            <w:r>
              <w:rPr>
                <w:rFonts w:ascii="Calibri"/>
                <w:spacing w:val="-2"/>
                <w:sz w:val="24"/>
              </w:rPr>
              <w:t>9/14/2023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4" w:hRule="atLeast"/>
        </w:trPr>
        <w:tc>
          <w:tcPr>
            <w:tcW w:w="2311" w:type="dxa"/>
            <w:shd w:val="clear" w:color="auto" w:fill="D9D9D9"/>
          </w:tcPr>
          <w:p>
            <w:pPr>
              <w:pStyle w:val="TableParagraph"/>
              <w:spacing w:line="292" w:lineRule="exact" w:before="1"/>
              <w:ind w:left="107"/>
              <w:rPr>
                <w:rFonts w:ascii="Calibri"/>
                <w:b/>
                <w:sz w:val="24"/>
              </w:rPr>
            </w:pPr>
            <w:r>
              <w:rPr>
                <w:rFonts w:ascii="Calibri"/>
                <w:b/>
                <w:sz w:val="24"/>
              </w:rPr>
              <w:t>Region</w:t>
            </w:r>
            <w:r>
              <w:rPr>
                <w:rFonts w:ascii="Calibri"/>
                <w:b/>
                <w:spacing w:val="-3"/>
                <w:sz w:val="24"/>
              </w:rPr>
              <w:t> </w:t>
            </w:r>
            <w:r>
              <w:rPr>
                <w:rFonts w:ascii="Calibri"/>
                <w:b/>
                <w:spacing w:val="-4"/>
                <w:sz w:val="24"/>
              </w:rPr>
              <w:t>Three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311" w:hRule="atLeast"/>
        </w:trPr>
        <w:tc>
          <w:tcPr>
            <w:tcW w:w="2311" w:type="dxa"/>
          </w:tcPr>
          <w:p>
            <w:pPr>
              <w:pStyle w:val="TableParagraph"/>
              <w:spacing w:line="292" w:lineRule="exact"/>
              <w:ind w:left="107"/>
              <w:rPr>
                <w:rFonts w:ascii="Calibri"/>
                <w:sz w:val="24"/>
              </w:rPr>
            </w:pPr>
            <w:r>
              <w:rPr>
                <w:rFonts w:ascii="Calibri"/>
                <w:sz w:val="24"/>
              </w:rPr>
              <w:t>Penquis</w:t>
            </w:r>
            <w:r>
              <w:rPr>
                <w:rFonts w:ascii="Calibri"/>
                <w:spacing w:val="-3"/>
                <w:sz w:val="24"/>
              </w:rPr>
              <w:t> </w:t>
            </w:r>
            <w:r>
              <w:rPr>
                <w:rFonts w:ascii="Calibri"/>
                <w:sz w:val="24"/>
              </w:rPr>
              <w:t>(The </w:t>
            </w:r>
            <w:r>
              <w:rPr>
                <w:rFonts w:ascii="Calibri"/>
                <w:spacing w:val="-4"/>
                <w:sz w:val="24"/>
              </w:rPr>
              <w:t>Lynx)</w:t>
            </w:r>
          </w:p>
        </w:tc>
        <w:tc>
          <w:tcPr>
            <w:tcW w:w="1399" w:type="dxa"/>
          </w:tcPr>
          <w:p>
            <w:pPr>
              <w:pStyle w:val="TableParagraph"/>
              <w:spacing w:line="292" w:lineRule="exact"/>
              <w:ind w:left="107"/>
              <w:rPr>
                <w:rFonts w:ascii="Calibri"/>
                <w:sz w:val="24"/>
              </w:rPr>
            </w:pPr>
            <w:r>
              <w:rPr>
                <w:rFonts w:ascii="Calibri"/>
                <w:spacing w:val="-2"/>
                <w:sz w:val="24"/>
              </w:rPr>
              <w:t>11/4/2021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3/23/2023</w:t>
            </w:r>
          </w:p>
        </w:tc>
        <w:tc>
          <w:tcPr>
            <w:tcW w:w="1320" w:type="dxa"/>
          </w:tcPr>
          <w:p>
            <w:pPr>
              <w:pStyle w:val="TableParagraph"/>
              <w:spacing w:line="292" w:lineRule="exact"/>
              <w:ind w:left="109"/>
              <w:rPr>
                <w:rFonts w:ascii="Calibri"/>
                <w:sz w:val="24"/>
              </w:rPr>
            </w:pPr>
            <w:r>
              <w:rPr>
                <w:rFonts w:ascii="Calibri"/>
                <w:spacing w:val="-2"/>
                <w:sz w:val="24"/>
              </w:rPr>
              <w:t>3/27/2023</w:t>
            </w:r>
          </w:p>
        </w:tc>
        <w:tc>
          <w:tcPr>
            <w:tcW w:w="1253" w:type="dxa"/>
          </w:tcPr>
          <w:p>
            <w:pPr>
              <w:pStyle w:val="TableParagraph"/>
              <w:spacing w:line="292" w:lineRule="exact"/>
              <w:ind w:left="98" w:right="84"/>
              <w:jc w:val="center"/>
              <w:rPr>
                <w:rFonts w:ascii="Calibri"/>
                <w:sz w:val="24"/>
              </w:rPr>
            </w:pPr>
            <w:r>
              <w:rPr>
                <w:rFonts w:ascii="Calibri"/>
                <w:spacing w:val="-2"/>
                <w:sz w:val="24"/>
              </w:rPr>
              <w:t>3/27/2023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4"/>
                <w:sz w:val="24"/>
              </w:rPr>
              <w:t>Four</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40" w:lineRule="auto"/>
              <w:ind w:left="107" w:right="371"/>
              <w:rPr>
                <w:rFonts w:ascii="Calibri"/>
                <w:sz w:val="24"/>
              </w:rPr>
            </w:pPr>
            <w:r>
              <w:rPr>
                <w:rFonts w:ascii="Calibri"/>
                <w:sz w:val="24"/>
              </w:rPr>
              <w:t>Kennebec Valley Community</w:t>
            </w:r>
            <w:r>
              <w:rPr>
                <w:rFonts w:ascii="Calibri"/>
                <w:spacing w:val="-14"/>
                <w:sz w:val="24"/>
              </w:rPr>
              <w:t> </w:t>
            </w:r>
            <w:r>
              <w:rPr>
                <w:rFonts w:ascii="Calibri"/>
                <w:sz w:val="24"/>
              </w:rPr>
              <w:t>Action</w:t>
            </w:r>
          </w:p>
          <w:p>
            <w:pPr>
              <w:pStyle w:val="TableParagraph"/>
              <w:spacing w:line="273" w:lineRule="exact"/>
              <w:ind w:left="107"/>
              <w:rPr>
                <w:rFonts w:ascii="Calibri"/>
                <w:sz w:val="24"/>
              </w:rPr>
            </w:pPr>
            <w:r>
              <w:rPr>
                <w:rFonts w:ascii="Calibri"/>
                <w:sz w:val="24"/>
              </w:rPr>
              <w:t>Program </w:t>
            </w:r>
            <w:r>
              <w:rPr>
                <w:rFonts w:ascii="Calibri"/>
                <w:spacing w:val="-2"/>
                <w:sz w:val="24"/>
              </w:rPr>
              <w:t>(KVCAP)</w:t>
            </w:r>
          </w:p>
        </w:tc>
        <w:tc>
          <w:tcPr>
            <w:tcW w:w="1399" w:type="dxa"/>
          </w:tcPr>
          <w:p>
            <w:pPr>
              <w:pStyle w:val="TableParagraph"/>
              <w:spacing w:line="292" w:lineRule="exact"/>
              <w:ind w:left="107"/>
              <w:rPr>
                <w:rFonts w:ascii="Calibri"/>
                <w:sz w:val="24"/>
              </w:rPr>
            </w:pPr>
            <w:r>
              <w:rPr>
                <w:rFonts w:ascii="Calibri"/>
                <w:spacing w:val="-2"/>
                <w:sz w:val="24"/>
              </w:rPr>
              <w:t>1/28/2021</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4/12/2023</w:t>
            </w:r>
          </w:p>
        </w:tc>
        <w:tc>
          <w:tcPr>
            <w:tcW w:w="1320" w:type="dxa"/>
          </w:tcPr>
          <w:p>
            <w:pPr>
              <w:pStyle w:val="TableParagraph"/>
              <w:spacing w:line="292" w:lineRule="exact"/>
              <w:ind w:left="109"/>
              <w:rPr>
                <w:rFonts w:ascii="Calibri"/>
                <w:sz w:val="24"/>
              </w:rPr>
            </w:pPr>
            <w:r>
              <w:rPr>
                <w:rFonts w:ascii="Calibri"/>
                <w:spacing w:val="-2"/>
                <w:sz w:val="24"/>
              </w:rPr>
              <w:t>4/13/2023</w:t>
            </w:r>
          </w:p>
        </w:tc>
        <w:tc>
          <w:tcPr>
            <w:tcW w:w="1253" w:type="dxa"/>
          </w:tcPr>
          <w:p>
            <w:pPr>
              <w:pStyle w:val="TableParagraph"/>
              <w:spacing w:line="292" w:lineRule="exact"/>
              <w:ind w:left="98" w:right="84"/>
              <w:jc w:val="center"/>
              <w:rPr>
                <w:rFonts w:ascii="Calibri"/>
                <w:sz w:val="24"/>
              </w:rPr>
            </w:pPr>
            <w:r>
              <w:rPr>
                <w:rFonts w:ascii="Calibri"/>
                <w:spacing w:val="-2"/>
                <w:sz w:val="24"/>
              </w:rPr>
              <w:t>4/13/2023</w:t>
            </w:r>
          </w:p>
        </w:tc>
        <w:tc>
          <w:tcPr>
            <w:tcW w:w="1001" w:type="dxa"/>
          </w:tcPr>
          <w:p>
            <w:pPr>
              <w:pStyle w:val="TableParagraph"/>
              <w:spacing w:line="292" w:lineRule="exact"/>
              <w:ind w:left="108"/>
              <w:rPr>
                <w:rFonts w:ascii="Calibri"/>
                <w:sz w:val="24"/>
              </w:rPr>
            </w:pPr>
            <w:r>
              <w:rPr>
                <w:rFonts w:ascii="Calibri"/>
                <w:spacing w:val="-4"/>
                <w:sz w:val="24"/>
              </w:rPr>
              <w:t>2026</w:t>
            </w:r>
          </w:p>
        </w:tc>
      </w:tr>
      <w:tr>
        <w:trPr>
          <w:trHeight w:val="313"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3"/>
                <w:sz w:val="24"/>
              </w:rPr>
              <w:t> </w:t>
            </w:r>
            <w:r>
              <w:rPr>
                <w:rFonts w:ascii="Calibri"/>
                <w:b/>
                <w:spacing w:val="-4"/>
                <w:sz w:val="24"/>
              </w:rPr>
              <w:t>Five</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bl>
    <w:p>
      <w:pPr>
        <w:spacing w:after="0" w:line="240" w:lineRule="auto"/>
        <w:rPr>
          <w:sz w:val="22"/>
        </w:rPr>
        <w:sectPr>
          <w:pgSz w:w="12240" w:h="15840"/>
          <w:pgMar w:header="0" w:footer="997" w:top="920" w:bottom="1260" w:left="600" w:right="500"/>
        </w:sect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11"/>
        <w:gridCol w:w="1399"/>
        <w:gridCol w:w="1029"/>
        <w:gridCol w:w="1867"/>
        <w:gridCol w:w="1320"/>
        <w:gridCol w:w="1253"/>
        <w:gridCol w:w="1001"/>
      </w:tblGrid>
      <w:tr>
        <w:trPr>
          <w:trHeight w:val="585" w:hRule="atLeast"/>
        </w:trPr>
        <w:tc>
          <w:tcPr>
            <w:tcW w:w="2311" w:type="dxa"/>
          </w:tcPr>
          <w:p>
            <w:pPr>
              <w:pStyle w:val="TableParagraph"/>
              <w:spacing w:line="292" w:lineRule="exact"/>
              <w:ind w:left="107"/>
              <w:rPr>
                <w:rFonts w:ascii="Calibri"/>
                <w:sz w:val="24"/>
              </w:rPr>
            </w:pPr>
            <w:r>
              <w:rPr>
                <w:rFonts w:ascii="Calibri"/>
                <w:sz w:val="24"/>
              </w:rPr>
              <w:t>Waldo</w:t>
            </w:r>
            <w:r>
              <w:rPr>
                <w:rFonts w:ascii="Calibri"/>
                <w:spacing w:val="2"/>
                <w:sz w:val="24"/>
              </w:rPr>
              <w:t> </w:t>
            </w:r>
            <w:r>
              <w:rPr>
                <w:rFonts w:ascii="Calibri"/>
                <w:spacing w:val="-2"/>
                <w:sz w:val="24"/>
              </w:rPr>
              <w:t>County</w:t>
            </w:r>
          </w:p>
          <w:p>
            <w:pPr>
              <w:pStyle w:val="TableParagraph"/>
              <w:spacing w:line="273" w:lineRule="exact"/>
              <w:ind w:left="107"/>
              <w:rPr>
                <w:rFonts w:ascii="Calibri"/>
                <w:sz w:val="24"/>
              </w:rPr>
            </w:pPr>
            <w:r>
              <w:rPr>
                <w:rFonts w:ascii="Calibri"/>
                <w:sz w:val="24"/>
              </w:rPr>
              <w:t>Community</w:t>
            </w:r>
            <w:r>
              <w:rPr>
                <w:rFonts w:ascii="Calibri"/>
                <w:spacing w:val="-1"/>
                <w:sz w:val="24"/>
              </w:rPr>
              <w:t> </w:t>
            </w:r>
            <w:r>
              <w:rPr>
                <w:rFonts w:ascii="Calibri"/>
                <w:spacing w:val="-2"/>
                <w:sz w:val="24"/>
              </w:rPr>
              <w:t>Partners</w:t>
            </w:r>
          </w:p>
        </w:tc>
        <w:tc>
          <w:tcPr>
            <w:tcW w:w="1399" w:type="dxa"/>
          </w:tcPr>
          <w:p>
            <w:pPr>
              <w:pStyle w:val="TableParagraph"/>
              <w:spacing w:line="292" w:lineRule="exact"/>
              <w:ind w:left="107"/>
              <w:rPr>
                <w:rFonts w:ascii="Calibri"/>
                <w:sz w:val="24"/>
              </w:rPr>
            </w:pPr>
            <w:r>
              <w:rPr>
                <w:rFonts w:ascii="Calibri"/>
                <w:spacing w:val="-2"/>
                <w:sz w:val="24"/>
              </w:rPr>
              <w:t>10/27/2022</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40" w:lineRule="auto"/>
              <w:rPr>
                <w:sz w:val="24"/>
              </w:rPr>
            </w:pPr>
          </w:p>
        </w:tc>
        <w:tc>
          <w:tcPr>
            <w:tcW w:w="1320" w:type="dxa"/>
          </w:tcPr>
          <w:p>
            <w:pPr>
              <w:pStyle w:val="TableParagraph"/>
              <w:spacing w:line="240" w:lineRule="auto"/>
              <w:rPr>
                <w:sz w:val="24"/>
              </w:rPr>
            </w:pPr>
          </w:p>
        </w:tc>
        <w:tc>
          <w:tcPr>
            <w:tcW w:w="1253" w:type="dxa"/>
          </w:tcPr>
          <w:p>
            <w:pPr>
              <w:pStyle w:val="TableParagraph"/>
              <w:spacing w:line="240" w:lineRule="auto"/>
              <w:rPr>
                <w:sz w:val="24"/>
              </w:rPr>
            </w:pPr>
          </w:p>
        </w:tc>
        <w:tc>
          <w:tcPr>
            <w:tcW w:w="1001" w:type="dxa"/>
          </w:tcPr>
          <w:p>
            <w:pPr>
              <w:pStyle w:val="TableParagraph"/>
              <w:spacing w:line="292" w:lineRule="exact"/>
              <w:ind w:left="108"/>
              <w:rPr>
                <w:rFonts w:ascii="Calibri"/>
                <w:sz w:val="24"/>
              </w:rPr>
            </w:pPr>
            <w:r>
              <w:rPr>
                <w:rFonts w:ascii="Calibri"/>
                <w:spacing w:val="-4"/>
                <w:sz w:val="24"/>
              </w:rPr>
              <w:t>2027</w:t>
            </w:r>
          </w:p>
        </w:tc>
      </w:tr>
      <w:tr>
        <w:trPr>
          <w:trHeight w:val="880" w:hRule="atLeast"/>
        </w:trPr>
        <w:tc>
          <w:tcPr>
            <w:tcW w:w="2311" w:type="dxa"/>
          </w:tcPr>
          <w:p>
            <w:pPr>
              <w:pStyle w:val="TableParagraph"/>
              <w:spacing w:line="292" w:lineRule="exact"/>
              <w:ind w:left="107"/>
              <w:rPr>
                <w:rFonts w:ascii="Calibri"/>
                <w:sz w:val="24"/>
              </w:rPr>
            </w:pPr>
            <w:r>
              <w:rPr>
                <w:rFonts w:ascii="Calibri"/>
                <w:sz w:val="24"/>
              </w:rPr>
              <w:t>Bath City </w:t>
            </w:r>
            <w:r>
              <w:rPr>
                <w:rFonts w:ascii="Calibri"/>
                <w:spacing w:val="-5"/>
                <w:sz w:val="24"/>
              </w:rPr>
              <w:t>Bus</w:t>
            </w:r>
          </w:p>
        </w:tc>
        <w:tc>
          <w:tcPr>
            <w:tcW w:w="1399" w:type="dxa"/>
          </w:tcPr>
          <w:p>
            <w:pPr>
              <w:pStyle w:val="TableParagraph"/>
              <w:spacing w:line="292" w:lineRule="exact"/>
              <w:ind w:left="107"/>
              <w:rPr>
                <w:rFonts w:ascii="Calibri"/>
                <w:sz w:val="24"/>
              </w:rPr>
            </w:pPr>
            <w:r>
              <w:rPr>
                <w:rFonts w:ascii="Calibri"/>
                <w:spacing w:val="-2"/>
                <w:sz w:val="24"/>
              </w:rPr>
              <w:t>5/17/2019</w:t>
            </w:r>
          </w:p>
        </w:tc>
        <w:tc>
          <w:tcPr>
            <w:tcW w:w="1029" w:type="dxa"/>
          </w:tcPr>
          <w:p>
            <w:pPr>
              <w:pStyle w:val="TableParagraph"/>
              <w:spacing w:line="292" w:lineRule="exact"/>
              <w:ind w:left="105"/>
              <w:rPr>
                <w:rFonts w:ascii="Calibri"/>
                <w:sz w:val="24"/>
              </w:rPr>
            </w:pPr>
            <w:r>
              <w:rPr>
                <w:rFonts w:ascii="Calibri"/>
                <w:spacing w:val="-5"/>
                <w:sz w:val="24"/>
              </w:rPr>
              <w:t>In-</w:t>
            </w:r>
          </w:p>
          <w:p>
            <w:pPr>
              <w:pStyle w:val="TableParagraph"/>
              <w:spacing w:line="290" w:lineRule="atLeast"/>
              <w:ind w:left="105" w:right="107"/>
              <w:rPr>
                <w:rFonts w:ascii="Calibri"/>
                <w:sz w:val="24"/>
              </w:rPr>
            </w:pPr>
            <w:r>
              <w:rPr>
                <w:rFonts w:ascii="Calibri"/>
                <w:spacing w:val="-2"/>
                <w:sz w:val="24"/>
              </w:rPr>
              <w:t>person </w:t>
            </w: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92" w:lineRule="exact"/>
              <w:ind w:left="108"/>
              <w:rPr>
                <w:rFonts w:ascii="Calibri"/>
                <w:sz w:val="24"/>
              </w:rPr>
            </w:pPr>
            <w:r>
              <w:rPr>
                <w:rFonts w:ascii="Calibri"/>
                <w:spacing w:val="-2"/>
                <w:sz w:val="24"/>
              </w:rPr>
              <w:t>4/12/2023</w:t>
            </w:r>
          </w:p>
        </w:tc>
        <w:tc>
          <w:tcPr>
            <w:tcW w:w="1320" w:type="dxa"/>
          </w:tcPr>
          <w:p>
            <w:pPr>
              <w:pStyle w:val="TableParagraph"/>
              <w:spacing w:line="292" w:lineRule="exact"/>
              <w:ind w:left="109"/>
              <w:rPr>
                <w:rFonts w:ascii="Calibri"/>
                <w:sz w:val="24"/>
              </w:rPr>
            </w:pPr>
            <w:r>
              <w:rPr>
                <w:rFonts w:ascii="Calibri"/>
                <w:spacing w:val="-2"/>
                <w:sz w:val="24"/>
              </w:rPr>
              <w:t>4/13/2023</w:t>
            </w:r>
          </w:p>
        </w:tc>
        <w:tc>
          <w:tcPr>
            <w:tcW w:w="1253" w:type="dxa"/>
          </w:tcPr>
          <w:p>
            <w:pPr>
              <w:pStyle w:val="TableParagraph"/>
              <w:spacing w:line="292" w:lineRule="exact"/>
              <w:ind w:left="98" w:right="84"/>
              <w:jc w:val="center"/>
              <w:rPr>
                <w:rFonts w:ascii="Calibri"/>
                <w:sz w:val="24"/>
              </w:rPr>
            </w:pPr>
            <w:r>
              <w:rPr>
                <w:rFonts w:ascii="Calibri"/>
                <w:spacing w:val="-2"/>
                <w:sz w:val="24"/>
              </w:rPr>
              <w:t>4/13/2023</w:t>
            </w:r>
          </w:p>
        </w:tc>
        <w:tc>
          <w:tcPr>
            <w:tcW w:w="1001" w:type="dxa"/>
          </w:tcPr>
          <w:p>
            <w:pPr>
              <w:pStyle w:val="TableParagraph"/>
              <w:spacing w:line="292" w:lineRule="exact"/>
              <w:ind w:left="108"/>
              <w:rPr>
                <w:rFonts w:ascii="Calibri"/>
                <w:sz w:val="24"/>
              </w:rPr>
            </w:pPr>
            <w:r>
              <w:rPr>
                <w:rFonts w:ascii="Calibri"/>
                <w:spacing w:val="-2"/>
                <w:sz w:val="24"/>
              </w:rPr>
              <w:t>2024*</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5"/>
                <w:sz w:val="24"/>
              </w:rPr>
              <w:t>Six</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8" w:hRule="atLeast"/>
        </w:trPr>
        <w:tc>
          <w:tcPr>
            <w:tcW w:w="2311" w:type="dxa"/>
          </w:tcPr>
          <w:p>
            <w:pPr>
              <w:pStyle w:val="TableParagraph"/>
              <w:spacing w:line="240" w:lineRule="auto"/>
              <w:ind w:left="107"/>
              <w:rPr>
                <w:rFonts w:ascii="Calibri"/>
                <w:sz w:val="24"/>
              </w:rPr>
            </w:pPr>
            <w:r>
              <w:rPr>
                <w:rFonts w:ascii="Calibri"/>
                <w:spacing w:val="-2"/>
                <w:sz w:val="24"/>
              </w:rPr>
              <w:t>Regional Transportation</w:t>
            </w:r>
          </w:p>
          <w:p>
            <w:pPr>
              <w:pStyle w:val="TableParagraph"/>
              <w:spacing w:line="273" w:lineRule="exact"/>
              <w:ind w:left="107"/>
              <w:rPr>
                <w:rFonts w:ascii="Calibri"/>
                <w:sz w:val="24"/>
              </w:rPr>
            </w:pPr>
            <w:r>
              <w:rPr>
                <w:rFonts w:ascii="Calibri"/>
                <w:sz w:val="24"/>
              </w:rPr>
              <w:t>Program </w:t>
            </w:r>
            <w:r>
              <w:rPr>
                <w:rFonts w:ascii="Calibri"/>
                <w:spacing w:val="-2"/>
                <w:sz w:val="24"/>
              </w:rPr>
              <w:t>(RTP)</w:t>
            </w:r>
          </w:p>
        </w:tc>
        <w:tc>
          <w:tcPr>
            <w:tcW w:w="1399" w:type="dxa"/>
          </w:tcPr>
          <w:p>
            <w:pPr>
              <w:pStyle w:val="TableParagraph"/>
              <w:spacing w:line="292" w:lineRule="exact"/>
              <w:ind w:left="107"/>
              <w:rPr>
                <w:rFonts w:ascii="Calibri"/>
                <w:sz w:val="24"/>
              </w:rPr>
            </w:pPr>
            <w:r>
              <w:rPr>
                <w:rFonts w:ascii="Calibri"/>
                <w:spacing w:val="-2"/>
                <w:sz w:val="24"/>
              </w:rPr>
              <w:t>1/14/2020</w:t>
            </w:r>
          </w:p>
        </w:tc>
        <w:tc>
          <w:tcPr>
            <w:tcW w:w="1029" w:type="dxa"/>
          </w:tcPr>
          <w:p>
            <w:pPr>
              <w:pStyle w:val="TableParagraph"/>
              <w:spacing w:line="240" w:lineRule="auto"/>
              <w:ind w:left="105" w:right="230"/>
              <w:rPr>
                <w:rFonts w:ascii="Calibri"/>
                <w:sz w:val="24"/>
              </w:rPr>
            </w:pPr>
            <w:r>
              <w:rPr>
                <w:rFonts w:ascii="Calibri"/>
                <w:spacing w:val="-4"/>
                <w:sz w:val="24"/>
              </w:rPr>
              <w:t>In- </w:t>
            </w:r>
            <w:r>
              <w:rPr>
                <w:rFonts w:ascii="Calibri"/>
                <w:spacing w:val="-2"/>
                <w:sz w:val="24"/>
              </w:rPr>
              <w:t>person</w:t>
            </w:r>
          </w:p>
          <w:p>
            <w:pPr>
              <w:pStyle w:val="TableParagraph"/>
              <w:spacing w:line="273" w:lineRule="exact"/>
              <w:ind w:left="105"/>
              <w:rPr>
                <w:rFonts w:ascii="Calibri"/>
                <w:sz w:val="24"/>
              </w:rPr>
            </w:pP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92" w:lineRule="exact"/>
              <w:ind w:left="108"/>
              <w:rPr>
                <w:rFonts w:ascii="Calibri"/>
                <w:sz w:val="24"/>
              </w:rPr>
            </w:pPr>
            <w:r>
              <w:rPr>
                <w:rFonts w:ascii="Calibri"/>
                <w:spacing w:val="-2"/>
                <w:sz w:val="24"/>
              </w:rPr>
              <w:t>3/31/2023</w:t>
            </w:r>
          </w:p>
        </w:tc>
        <w:tc>
          <w:tcPr>
            <w:tcW w:w="1320" w:type="dxa"/>
          </w:tcPr>
          <w:p>
            <w:pPr>
              <w:pStyle w:val="TableParagraph"/>
              <w:spacing w:line="292" w:lineRule="exact"/>
              <w:ind w:left="109"/>
              <w:rPr>
                <w:rFonts w:ascii="Calibri"/>
                <w:sz w:val="24"/>
              </w:rPr>
            </w:pPr>
            <w:r>
              <w:rPr>
                <w:rFonts w:ascii="Calibri"/>
                <w:spacing w:val="-2"/>
                <w:sz w:val="24"/>
              </w:rPr>
              <w:t>3/31/2023</w:t>
            </w:r>
          </w:p>
        </w:tc>
        <w:tc>
          <w:tcPr>
            <w:tcW w:w="1253" w:type="dxa"/>
          </w:tcPr>
          <w:p>
            <w:pPr>
              <w:pStyle w:val="TableParagraph"/>
              <w:spacing w:line="292" w:lineRule="exact"/>
              <w:ind w:left="98" w:right="84"/>
              <w:jc w:val="center"/>
              <w:rPr>
                <w:rFonts w:ascii="Calibri"/>
                <w:sz w:val="24"/>
              </w:rPr>
            </w:pPr>
            <w:r>
              <w:rPr>
                <w:rFonts w:ascii="Calibri"/>
                <w:spacing w:val="-2"/>
                <w:sz w:val="24"/>
              </w:rPr>
              <w:t>3/31/2023</w:t>
            </w:r>
          </w:p>
        </w:tc>
        <w:tc>
          <w:tcPr>
            <w:tcW w:w="1001" w:type="dxa"/>
          </w:tcPr>
          <w:p>
            <w:pPr>
              <w:pStyle w:val="TableParagraph"/>
              <w:spacing w:line="292" w:lineRule="exact"/>
              <w:ind w:left="108"/>
              <w:rPr>
                <w:rFonts w:ascii="Calibri"/>
                <w:sz w:val="24"/>
              </w:rPr>
            </w:pPr>
            <w:r>
              <w:rPr>
                <w:rFonts w:ascii="Calibri"/>
                <w:spacing w:val="-4"/>
                <w:sz w:val="24"/>
              </w:rPr>
              <w:t>2025</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1"/>
                <w:sz w:val="24"/>
              </w:rPr>
              <w:t> </w:t>
            </w:r>
            <w:r>
              <w:rPr>
                <w:rFonts w:ascii="Calibri"/>
                <w:b/>
                <w:spacing w:val="-4"/>
                <w:sz w:val="24"/>
              </w:rPr>
              <w:t>Seven</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80" w:hRule="atLeast"/>
        </w:trPr>
        <w:tc>
          <w:tcPr>
            <w:tcW w:w="2311" w:type="dxa"/>
          </w:tcPr>
          <w:p>
            <w:pPr>
              <w:pStyle w:val="TableParagraph"/>
              <w:spacing w:line="290" w:lineRule="atLeast"/>
              <w:ind w:left="107" w:right="675"/>
              <w:jc w:val="both"/>
              <w:rPr>
                <w:rFonts w:ascii="Calibri"/>
                <w:sz w:val="24"/>
              </w:rPr>
            </w:pPr>
            <w:r>
              <w:rPr>
                <w:rFonts w:ascii="Calibri"/>
                <w:sz w:val="24"/>
              </w:rPr>
              <w:t>Western</w:t>
            </w:r>
            <w:r>
              <w:rPr>
                <w:rFonts w:ascii="Calibri"/>
                <w:spacing w:val="-14"/>
                <w:sz w:val="24"/>
              </w:rPr>
              <w:t> </w:t>
            </w:r>
            <w:r>
              <w:rPr>
                <w:rFonts w:ascii="Calibri"/>
                <w:sz w:val="24"/>
              </w:rPr>
              <w:t>Maine </w:t>
            </w:r>
            <w:r>
              <w:rPr>
                <w:rFonts w:ascii="Calibri"/>
                <w:spacing w:val="-2"/>
                <w:sz w:val="24"/>
              </w:rPr>
              <w:t>Transportation Services</w:t>
            </w:r>
          </w:p>
        </w:tc>
        <w:tc>
          <w:tcPr>
            <w:tcW w:w="1399" w:type="dxa"/>
          </w:tcPr>
          <w:p>
            <w:pPr>
              <w:pStyle w:val="TableParagraph"/>
              <w:spacing w:line="240" w:lineRule="auto" w:before="1"/>
              <w:ind w:left="107"/>
              <w:rPr>
                <w:rFonts w:ascii="Calibri"/>
                <w:sz w:val="24"/>
              </w:rPr>
            </w:pPr>
            <w:r>
              <w:rPr>
                <w:rFonts w:ascii="Calibri"/>
                <w:spacing w:val="-2"/>
                <w:sz w:val="24"/>
              </w:rPr>
              <w:t>8/6/2019</w:t>
            </w:r>
          </w:p>
        </w:tc>
        <w:tc>
          <w:tcPr>
            <w:tcW w:w="1029" w:type="dxa"/>
          </w:tcPr>
          <w:p>
            <w:pPr>
              <w:pStyle w:val="TableParagraph"/>
              <w:spacing w:line="290" w:lineRule="atLeast"/>
              <w:ind w:left="105" w:right="107"/>
              <w:rPr>
                <w:rFonts w:ascii="Calibri"/>
                <w:sz w:val="24"/>
              </w:rPr>
            </w:pPr>
            <w:r>
              <w:rPr>
                <w:rFonts w:ascii="Calibri"/>
                <w:spacing w:val="-4"/>
                <w:sz w:val="24"/>
              </w:rPr>
              <w:t>In- </w:t>
            </w:r>
            <w:r>
              <w:rPr>
                <w:rFonts w:ascii="Calibri"/>
                <w:spacing w:val="-2"/>
                <w:sz w:val="24"/>
              </w:rPr>
              <w:t>person </w:t>
            </w:r>
            <w:r>
              <w:rPr>
                <w:rFonts w:ascii="Calibri"/>
                <w:sz w:val="24"/>
              </w:rPr>
              <w:t>site</w:t>
            </w:r>
            <w:r>
              <w:rPr>
                <w:rFonts w:ascii="Calibri"/>
                <w:spacing w:val="1"/>
                <w:sz w:val="24"/>
              </w:rPr>
              <w:t> </w:t>
            </w:r>
            <w:r>
              <w:rPr>
                <w:rFonts w:ascii="Calibri"/>
                <w:spacing w:val="-2"/>
                <w:sz w:val="24"/>
              </w:rPr>
              <w:t>visit</w:t>
            </w:r>
          </w:p>
        </w:tc>
        <w:tc>
          <w:tcPr>
            <w:tcW w:w="1867" w:type="dxa"/>
          </w:tcPr>
          <w:p>
            <w:pPr>
              <w:pStyle w:val="TableParagraph"/>
              <w:spacing w:line="240" w:lineRule="auto" w:before="1"/>
              <w:ind w:left="108"/>
              <w:rPr>
                <w:rFonts w:ascii="Calibri"/>
                <w:sz w:val="24"/>
              </w:rPr>
            </w:pPr>
            <w:r>
              <w:rPr>
                <w:rFonts w:ascii="Calibri"/>
                <w:spacing w:val="-2"/>
                <w:sz w:val="24"/>
              </w:rPr>
              <w:t>4/14/2023</w:t>
            </w:r>
          </w:p>
        </w:tc>
        <w:tc>
          <w:tcPr>
            <w:tcW w:w="1320" w:type="dxa"/>
          </w:tcPr>
          <w:p>
            <w:pPr>
              <w:pStyle w:val="TableParagraph"/>
              <w:spacing w:line="240" w:lineRule="auto" w:before="1"/>
              <w:ind w:left="109"/>
              <w:rPr>
                <w:rFonts w:ascii="Calibri"/>
                <w:sz w:val="24"/>
              </w:rPr>
            </w:pPr>
            <w:r>
              <w:rPr>
                <w:rFonts w:ascii="Calibri"/>
                <w:spacing w:val="-2"/>
                <w:sz w:val="24"/>
              </w:rPr>
              <w:t>4/25/2023</w:t>
            </w:r>
          </w:p>
        </w:tc>
        <w:tc>
          <w:tcPr>
            <w:tcW w:w="1253" w:type="dxa"/>
          </w:tcPr>
          <w:p>
            <w:pPr>
              <w:pStyle w:val="TableParagraph"/>
              <w:spacing w:line="240" w:lineRule="auto" w:before="1"/>
              <w:ind w:left="98" w:right="84"/>
              <w:jc w:val="center"/>
              <w:rPr>
                <w:rFonts w:ascii="Calibri"/>
                <w:sz w:val="24"/>
              </w:rPr>
            </w:pPr>
            <w:r>
              <w:rPr>
                <w:rFonts w:ascii="Calibri"/>
                <w:spacing w:val="-2"/>
                <w:sz w:val="24"/>
              </w:rPr>
              <w:t>4/25/2023</w:t>
            </w:r>
          </w:p>
        </w:tc>
        <w:tc>
          <w:tcPr>
            <w:tcW w:w="1001" w:type="dxa"/>
          </w:tcPr>
          <w:p>
            <w:pPr>
              <w:pStyle w:val="TableParagraph"/>
              <w:spacing w:line="240" w:lineRule="auto" w:before="1"/>
              <w:ind w:left="108"/>
              <w:rPr>
                <w:rFonts w:ascii="Calibri"/>
                <w:sz w:val="24"/>
              </w:rPr>
            </w:pPr>
            <w:r>
              <w:rPr>
                <w:rFonts w:ascii="Calibri"/>
                <w:spacing w:val="-4"/>
                <w:sz w:val="24"/>
              </w:rPr>
              <w:t>2024</w:t>
            </w:r>
          </w:p>
        </w:tc>
      </w:tr>
      <w:tr>
        <w:trPr>
          <w:trHeight w:val="311" w:hRule="atLeast"/>
        </w:trPr>
        <w:tc>
          <w:tcPr>
            <w:tcW w:w="2311" w:type="dxa"/>
            <w:shd w:val="clear" w:color="auto" w:fill="D9D9D9"/>
          </w:tcPr>
          <w:p>
            <w:pPr>
              <w:pStyle w:val="TableParagraph"/>
              <w:spacing w:line="292" w:lineRule="exact"/>
              <w:ind w:left="107"/>
              <w:rPr>
                <w:rFonts w:ascii="Calibri"/>
                <w:b/>
                <w:sz w:val="24"/>
              </w:rPr>
            </w:pPr>
            <w:r>
              <w:rPr>
                <w:rFonts w:ascii="Calibri"/>
                <w:b/>
                <w:sz w:val="24"/>
              </w:rPr>
              <w:t>Region</w:t>
            </w:r>
            <w:r>
              <w:rPr>
                <w:rFonts w:ascii="Calibri"/>
                <w:b/>
                <w:spacing w:val="-3"/>
                <w:sz w:val="24"/>
              </w:rPr>
              <w:t> </w:t>
            </w:r>
            <w:r>
              <w:rPr>
                <w:rFonts w:ascii="Calibri"/>
                <w:b/>
                <w:spacing w:val="-4"/>
                <w:sz w:val="24"/>
              </w:rPr>
              <w:t>Eight</w:t>
            </w:r>
          </w:p>
        </w:tc>
        <w:tc>
          <w:tcPr>
            <w:tcW w:w="1399" w:type="dxa"/>
            <w:shd w:val="clear" w:color="auto" w:fill="D9D9D9"/>
          </w:tcPr>
          <w:p>
            <w:pPr>
              <w:pStyle w:val="TableParagraph"/>
              <w:spacing w:line="240" w:lineRule="auto"/>
              <w:rPr>
                <w:sz w:val="22"/>
              </w:rPr>
            </w:pPr>
          </w:p>
        </w:tc>
        <w:tc>
          <w:tcPr>
            <w:tcW w:w="1029" w:type="dxa"/>
            <w:shd w:val="clear" w:color="auto" w:fill="D9D9D9"/>
          </w:tcPr>
          <w:p>
            <w:pPr>
              <w:pStyle w:val="TableParagraph"/>
              <w:spacing w:line="240" w:lineRule="auto"/>
              <w:rPr>
                <w:sz w:val="22"/>
              </w:rPr>
            </w:pPr>
          </w:p>
        </w:tc>
        <w:tc>
          <w:tcPr>
            <w:tcW w:w="1867" w:type="dxa"/>
            <w:shd w:val="clear" w:color="auto" w:fill="D9D9D9"/>
          </w:tcPr>
          <w:p>
            <w:pPr>
              <w:pStyle w:val="TableParagraph"/>
              <w:spacing w:line="240" w:lineRule="auto"/>
              <w:rPr>
                <w:sz w:val="22"/>
              </w:rPr>
            </w:pPr>
          </w:p>
        </w:tc>
        <w:tc>
          <w:tcPr>
            <w:tcW w:w="1320" w:type="dxa"/>
            <w:shd w:val="clear" w:color="auto" w:fill="D9D9D9"/>
          </w:tcPr>
          <w:p>
            <w:pPr>
              <w:pStyle w:val="TableParagraph"/>
              <w:spacing w:line="240" w:lineRule="auto"/>
              <w:rPr>
                <w:sz w:val="22"/>
              </w:rPr>
            </w:pPr>
          </w:p>
        </w:tc>
        <w:tc>
          <w:tcPr>
            <w:tcW w:w="1253" w:type="dxa"/>
            <w:shd w:val="clear" w:color="auto" w:fill="D9D9D9"/>
          </w:tcPr>
          <w:p>
            <w:pPr>
              <w:pStyle w:val="TableParagraph"/>
              <w:spacing w:line="240" w:lineRule="auto"/>
              <w:rPr>
                <w:sz w:val="22"/>
              </w:rPr>
            </w:pPr>
          </w:p>
        </w:tc>
        <w:tc>
          <w:tcPr>
            <w:tcW w:w="1001" w:type="dxa"/>
            <w:shd w:val="clear" w:color="auto" w:fill="D9D9D9"/>
          </w:tcPr>
          <w:p>
            <w:pPr>
              <w:pStyle w:val="TableParagraph"/>
              <w:spacing w:line="240" w:lineRule="auto"/>
              <w:rPr>
                <w:sz w:val="22"/>
              </w:rPr>
            </w:pPr>
          </w:p>
        </w:tc>
      </w:tr>
      <w:tr>
        <w:trPr>
          <w:trHeight w:val="877" w:hRule="atLeast"/>
        </w:trPr>
        <w:tc>
          <w:tcPr>
            <w:tcW w:w="2311" w:type="dxa"/>
          </w:tcPr>
          <w:p>
            <w:pPr>
              <w:pStyle w:val="TableParagraph"/>
              <w:spacing w:line="292" w:lineRule="exact"/>
              <w:ind w:left="107"/>
              <w:rPr>
                <w:rFonts w:ascii="Calibri"/>
                <w:sz w:val="24"/>
              </w:rPr>
            </w:pPr>
            <w:r>
              <w:rPr>
                <w:rFonts w:ascii="Calibri"/>
                <w:sz w:val="24"/>
              </w:rPr>
              <w:t>York</w:t>
            </w:r>
            <w:r>
              <w:rPr>
                <w:rFonts w:ascii="Calibri"/>
                <w:spacing w:val="-1"/>
                <w:sz w:val="24"/>
              </w:rPr>
              <w:t> </w:t>
            </w:r>
            <w:r>
              <w:rPr>
                <w:rFonts w:ascii="Calibri"/>
                <w:spacing w:val="-2"/>
                <w:sz w:val="24"/>
              </w:rPr>
              <w:t>County</w:t>
            </w:r>
          </w:p>
          <w:p>
            <w:pPr>
              <w:pStyle w:val="TableParagraph"/>
              <w:spacing w:line="290" w:lineRule="atLeast"/>
              <w:ind w:left="107" w:right="371"/>
              <w:rPr>
                <w:rFonts w:ascii="Calibri"/>
                <w:sz w:val="24"/>
              </w:rPr>
            </w:pPr>
            <w:r>
              <w:rPr>
                <w:rFonts w:ascii="Calibri"/>
                <w:sz w:val="24"/>
              </w:rPr>
              <w:t>Community</w:t>
            </w:r>
            <w:r>
              <w:rPr>
                <w:rFonts w:ascii="Calibri"/>
                <w:spacing w:val="-14"/>
                <w:sz w:val="24"/>
              </w:rPr>
              <w:t> </w:t>
            </w:r>
            <w:r>
              <w:rPr>
                <w:rFonts w:ascii="Calibri"/>
                <w:sz w:val="24"/>
              </w:rPr>
              <w:t>Action </w:t>
            </w:r>
            <w:r>
              <w:rPr>
                <w:rFonts w:ascii="Calibri"/>
                <w:spacing w:val="-2"/>
                <w:sz w:val="24"/>
              </w:rPr>
              <w:t>Corporation</w:t>
            </w:r>
          </w:p>
        </w:tc>
        <w:tc>
          <w:tcPr>
            <w:tcW w:w="1399" w:type="dxa"/>
          </w:tcPr>
          <w:p>
            <w:pPr>
              <w:pStyle w:val="TableParagraph"/>
              <w:spacing w:line="292" w:lineRule="exact"/>
              <w:ind w:left="107"/>
              <w:rPr>
                <w:rFonts w:ascii="Calibri"/>
                <w:sz w:val="24"/>
              </w:rPr>
            </w:pPr>
            <w:r>
              <w:rPr>
                <w:rFonts w:ascii="Calibri"/>
                <w:spacing w:val="-2"/>
                <w:sz w:val="24"/>
              </w:rPr>
              <w:t>9/10/2020</w:t>
            </w:r>
          </w:p>
        </w:tc>
        <w:tc>
          <w:tcPr>
            <w:tcW w:w="1029" w:type="dxa"/>
          </w:tcPr>
          <w:p>
            <w:pPr>
              <w:pStyle w:val="TableParagraph"/>
              <w:spacing w:line="292" w:lineRule="exact"/>
              <w:ind w:left="105"/>
              <w:rPr>
                <w:rFonts w:ascii="Calibri"/>
                <w:sz w:val="24"/>
              </w:rPr>
            </w:pPr>
            <w:r>
              <w:rPr>
                <w:rFonts w:ascii="Calibri"/>
                <w:spacing w:val="-2"/>
                <w:sz w:val="24"/>
              </w:rPr>
              <w:t>Virtual</w:t>
            </w:r>
          </w:p>
        </w:tc>
        <w:tc>
          <w:tcPr>
            <w:tcW w:w="1867" w:type="dxa"/>
          </w:tcPr>
          <w:p>
            <w:pPr>
              <w:pStyle w:val="TableParagraph"/>
              <w:spacing w:line="292" w:lineRule="exact"/>
              <w:ind w:left="108"/>
              <w:rPr>
                <w:rFonts w:ascii="Calibri"/>
                <w:sz w:val="24"/>
              </w:rPr>
            </w:pPr>
            <w:r>
              <w:rPr>
                <w:rFonts w:ascii="Calibri"/>
                <w:spacing w:val="-2"/>
                <w:sz w:val="24"/>
              </w:rPr>
              <w:t>4/10/2023</w:t>
            </w:r>
          </w:p>
        </w:tc>
        <w:tc>
          <w:tcPr>
            <w:tcW w:w="1320" w:type="dxa"/>
          </w:tcPr>
          <w:p>
            <w:pPr>
              <w:pStyle w:val="TableParagraph"/>
              <w:spacing w:line="292" w:lineRule="exact"/>
              <w:ind w:left="109"/>
              <w:rPr>
                <w:rFonts w:ascii="Calibri"/>
                <w:sz w:val="24"/>
              </w:rPr>
            </w:pPr>
            <w:r>
              <w:rPr>
                <w:rFonts w:ascii="Calibri"/>
                <w:spacing w:val="-2"/>
                <w:sz w:val="24"/>
              </w:rPr>
              <w:t>4/10/2023</w:t>
            </w:r>
          </w:p>
        </w:tc>
        <w:tc>
          <w:tcPr>
            <w:tcW w:w="1253" w:type="dxa"/>
          </w:tcPr>
          <w:p>
            <w:pPr>
              <w:pStyle w:val="TableParagraph"/>
              <w:spacing w:line="292" w:lineRule="exact"/>
              <w:ind w:left="98" w:right="84"/>
              <w:jc w:val="center"/>
              <w:rPr>
                <w:rFonts w:ascii="Calibri"/>
                <w:sz w:val="24"/>
              </w:rPr>
            </w:pPr>
            <w:r>
              <w:rPr>
                <w:rFonts w:ascii="Calibri"/>
                <w:spacing w:val="-2"/>
                <w:sz w:val="24"/>
              </w:rPr>
              <w:t>4/10/2023</w:t>
            </w:r>
          </w:p>
        </w:tc>
        <w:tc>
          <w:tcPr>
            <w:tcW w:w="1001" w:type="dxa"/>
          </w:tcPr>
          <w:p>
            <w:pPr>
              <w:pStyle w:val="TableParagraph"/>
              <w:spacing w:line="292" w:lineRule="exact"/>
              <w:ind w:left="108"/>
              <w:rPr>
                <w:rFonts w:ascii="Calibri"/>
                <w:sz w:val="24"/>
              </w:rPr>
            </w:pPr>
            <w:r>
              <w:rPr>
                <w:rFonts w:ascii="Calibri"/>
                <w:spacing w:val="-4"/>
                <w:sz w:val="24"/>
              </w:rPr>
              <w:t>2025</w:t>
            </w:r>
          </w:p>
        </w:tc>
      </w:tr>
      <w:tr>
        <w:trPr>
          <w:trHeight w:val="880" w:hRule="atLeast"/>
        </w:trPr>
        <w:tc>
          <w:tcPr>
            <w:tcW w:w="2311" w:type="dxa"/>
          </w:tcPr>
          <w:p>
            <w:pPr>
              <w:pStyle w:val="TableParagraph"/>
              <w:spacing w:line="292" w:lineRule="exact"/>
              <w:ind w:left="107"/>
              <w:rPr>
                <w:rFonts w:ascii="Calibri"/>
                <w:sz w:val="24"/>
              </w:rPr>
            </w:pPr>
            <w:r>
              <w:rPr>
                <w:rFonts w:ascii="Calibri"/>
                <w:sz w:val="24"/>
              </w:rPr>
              <w:t>Southern</w:t>
            </w:r>
            <w:r>
              <w:rPr>
                <w:rFonts w:ascii="Calibri"/>
                <w:spacing w:val="-1"/>
                <w:sz w:val="24"/>
              </w:rPr>
              <w:t> </w:t>
            </w:r>
            <w:r>
              <w:rPr>
                <w:rFonts w:ascii="Calibri"/>
                <w:spacing w:val="-2"/>
                <w:sz w:val="24"/>
              </w:rPr>
              <w:t>Maine</w:t>
            </w:r>
          </w:p>
          <w:p>
            <w:pPr>
              <w:pStyle w:val="TableParagraph"/>
              <w:spacing w:line="290" w:lineRule="atLeast"/>
              <w:ind w:left="107" w:right="173"/>
              <w:rPr>
                <w:rFonts w:ascii="Calibri"/>
                <w:sz w:val="24"/>
              </w:rPr>
            </w:pPr>
            <w:r>
              <w:rPr>
                <w:rFonts w:ascii="Calibri"/>
                <w:spacing w:val="-2"/>
                <w:sz w:val="24"/>
              </w:rPr>
              <w:t>Planning Development</w:t>
            </w:r>
          </w:p>
        </w:tc>
        <w:tc>
          <w:tcPr>
            <w:tcW w:w="1399" w:type="dxa"/>
          </w:tcPr>
          <w:p>
            <w:pPr>
              <w:pStyle w:val="TableParagraph"/>
              <w:spacing w:line="240" w:lineRule="auto"/>
              <w:rPr>
                <w:sz w:val="24"/>
              </w:rPr>
            </w:pPr>
          </w:p>
        </w:tc>
        <w:tc>
          <w:tcPr>
            <w:tcW w:w="1029" w:type="dxa"/>
          </w:tcPr>
          <w:p>
            <w:pPr>
              <w:pStyle w:val="TableParagraph"/>
              <w:spacing w:line="240" w:lineRule="auto"/>
              <w:rPr>
                <w:sz w:val="24"/>
              </w:rPr>
            </w:pPr>
          </w:p>
        </w:tc>
        <w:tc>
          <w:tcPr>
            <w:tcW w:w="1867" w:type="dxa"/>
          </w:tcPr>
          <w:p>
            <w:pPr>
              <w:pStyle w:val="TableParagraph"/>
              <w:spacing w:line="240" w:lineRule="auto"/>
              <w:rPr>
                <w:sz w:val="24"/>
              </w:rPr>
            </w:pPr>
          </w:p>
        </w:tc>
        <w:tc>
          <w:tcPr>
            <w:tcW w:w="1320" w:type="dxa"/>
          </w:tcPr>
          <w:p>
            <w:pPr>
              <w:pStyle w:val="TableParagraph"/>
              <w:spacing w:line="240" w:lineRule="auto"/>
              <w:rPr>
                <w:sz w:val="24"/>
              </w:rPr>
            </w:pPr>
          </w:p>
        </w:tc>
        <w:tc>
          <w:tcPr>
            <w:tcW w:w="1253" w:type="dxa"/>
          </w:tcPr>
          <w:p>
            <w:pPr>
              <w:pStyle w:val="TableParagraph"/>
              <w:spacing w:line="240" w:lineRule="auto"/>
              <w:rPr>
                <w:sz w:val="24"/>
              </w:rPr>
            </w:pPr>
          </w:p>
        </w:tc>
        <w:tc>
          <w:tcPr>
            <w:tcW w:w="1001" w:type="dxa"/>
          </w:tcPr>
          <w:p>
            <w:pPr>
              <w:pStyle w:val="TableParagraph"/>
              <w:spacing w:line="240" w:lineRule="auto"/>
              <w:rPr>
                <w:sz w:val="24"/>
              </w:rPr>
            </w:pPr>
          </w:p>
        </w:tc>
      </w:tr>
    </w:tbl>
    <w:p>
      <w:pPr>
        <w:pStyle w:val="BodyText"/>
        <w:rPr>
          <w:b/>
          <w:sz w:val="17"/>
        </w:rPr>
      </w:pPr>
    </w:p>
    <w:p>
      <w:pPr>
        <w:pStyle w:val="Heading9"/>
        <w:numPr>
          <w:ilvl w:val="0"/>
          <w:numId w:val="10"/>
        </w:numPr>
        <w:tabs>
          <w:tab w:pos="1198" w:val="left" w:leader="none"/>
        </w:tabs>
        <w:spacing w:line="240" w:lineRule="auto" w:before="51" w:after="0"/>
        <w:ind w:left="1198" w:right="0" w:hanging="358"/>
        <w:jc w:val="left"/>
      </w:pPr>
      <w:bookmarkStart w:name="4. Language Assistance Plan" w:id="21"/>
      <w:bookmarkEnd w:id="21"/>
      <w:r>
        <w:rPr>
          <w:b w:val="0"/>
        </w:rPr>
      </w:r>
      <w:r>
        <w:rPr>
          <w:u w:val="single"/>
        </w:rPr>
        <w:t>Language</w:t>
      </w:r>
      <w:r>
        <w:rPr>
          <w:spacing w:val="-4"/>
          <w:u w:val="single"/>
        </w:rPr>
        <w:t> </w:t>
      </w:r>
      <w:r>
        <w:rPr>
          <w:u w:val="single"/>
        </w:rPr>
        <w:t>Assistance</w:t>
      </w:r>
      <w:r>
        <w:rPr>
          <w:spacing w:val="-1"/>
          <w:u w:val="single"/>
        </w:rPr>
        <w:t> </w:t>
      </w:r>
      <w:r>
        <w:rPr>
          <w:spacing w:val="-4"/>
          <w:u w:val="single"/>
        </w:rPr>
        <w:t>Plan</w:t>
      </w:r>
    </w:p>
    <w:p>
      <w:pPr>
        <w:pStyle w:val="BodyText"/>
        <w:spacing w:before="8"/>
        <w:rPr>
          <w:b/>
        </w:rPr>
      </w:pPr>
    </w:p>
    <w:p>
      <w:pPr>
        <w:pStyle w:val="BodyText"/>
        <w:spacing w:before="52"/>
        <w:ind w:left="840" w:right="935"/>
        <w:jc w:val="both"/>
      </w:pPr>
      <w:r>
        <w:rPr/>
        <w:t>Per FTA Circular 4702.1B, Chapter III, Paragraph 9: Recipients shall take reasonable steps to ensure meaningful access to benefits, services, information, and other important portions of their programs and activities for individuals who are limited English proficient (LEP).</w:t>
      </w:r>
    </w:p>
    <w:p>
      <w:pPr>
        <w:pStyle w:val="BodyText"/>
        <w:spacing w:before="11"/>
        <w:rPr>
          <w:sz w:val="23"/>
        </w:rPr>
      </w:pPr>
    </w:p>
    <w:p>
      <w:pPr>
        <w:pStyle w:val="BodyText"/>
        <w:spacing w:before="1"/>
        <w:ind w:left="840" w:right="935"/>
        <w:jc w:val="both"/>
      </w:pPr>
      <w:r>
        <w:rPr/>
        <w:t>Executive</w:t>
      </w:r>
      <w:r>
        <w:rPr>
          <w:spacing w:val="-8"/>
        </w:rPr>
        <w:t> </w:t>
      </w:r>
      <w:r>
        <w:rPr/>
        <w:t>Order</w:t>
      </w:r>
      <w:r>
        <w:rPr>
          <w:spacing w:val="-11"/>
        </w:rPr>
        <w:t> </w:t>
      </w:r>
      <w:r>
        <w:rPr/>
        <w:t>13166</w:t>
      </w:r>
      <w:r>
        <w:rPr>
          <w:spacing w:val="-8"/>
        </w:rPr>
        <w:t> </w:t>
      </w:r>
      <w:r>
        <w:rPr/>
        <w:t>implements</w:t>
      </w:r>
      <w:r>
        <w:rPr>
          <w:spacing w:val="-11"/>
        </w:rPr>
        <w:t> </w:t>
      </w:r>
      <w:r>
        <w:rPr/>
        <w:t>Title</w:t>
      </w:r>
      <w:r>
        <w:rPr>
          <w:spacing w:val="-11"/>
        </w:rPr>
        <w:t> </w:t>
      </w:r>
      <w:r>
        <w:rPr/>
        <w:t>VI</w:t>
      </w:r>
      <w:r>
        <w:rPr>
          <w:spacing w:val="-9"/>
        </w:rPr>
        <w:t> </w:t>
      </w:r>
      <w:r>
        <w:rPr/>
        <w:t>of</w:t>
      </w:r>
      <w:r>
        <w:rPr>
          <w:spacing w:val="-10"/>
        </w:rPr>
        <w:t> </w:t>
      </w:r>
      <w:r>
        <w:rPr/>
        <w:t>the</w:t>
      </w:r>
      <w:r>
        <w:rPr>
          <w:spacing w:val="-11"/>
        </w:rPr>
        <w:t> </w:t>
      </w:r>
      <w:r>
        <w:rPr/>
        <w:t>Civil</w:t>
      </w:r>
      <w:r>
        <w:rPr>
          <w:spacing w:val="-9"/>
        </w:rPr>
        <w:t> </w:t>
      </w:r>
      <w:r>
        <w:rPr/>
        <w:t>Rights</w:t>
      </w:r>
      <w:r>
        <w:rPr>
          <w:spacing w:val="-9"/>
        </w:rPr>
        <w:t> </w:t>
      </w:r>
      <w:r>
        <w:rPr/>
        <w:t>Act</w:t>
      </w:r>
      <w:r>
        <w:rPr>
          <w:spacing w:val="-10"/>
        </w:rPr>
        <w:t> </w:t>
      </w:r>
      <w:r>
        <w:rPr/>
        <w:t>of</w:t>
      </w:r>
      <w:r>
        <w:rPr>
          <w:spacing w:val="-10"/>
        </w:rPr>
        <w:t> </w:t>
      </w:r>
      <w:r>
        <w:rPr/>
        <w:t>1964</w:t>
      </w:r>
      <w:r>
        <w:rPr>
          <w:spacing w:val="-10"/>
        </w:rPr>
        <w:t> </w:t>
      </w:r>
      <w:r>
        <w:rPr/>
        <w:t>by</w:t>
      </w:r>
      <w:r>
        <w:rPr>
          <w:spacing w:val="-9"/>
        </w:rPr>
        <w:t> </w:t>
      </w:r>
      <w:r>
        <w:rPr/>
        <w:t>requiring</w:t>
      </w:r>
      <w:r>
        <w:rPr>
          <w:spacing w:val="-9"/>
        </w:rPr>
        <w:t> </w:t>
      </w:r>
      <w:r>
        <w:rPr/>
        <w:t>meaningful access</w:t>
      </w:r>
      <w:r>
        <w:rPr>
          <w:spacing w:val="-10"/>
        </w:rPr>
        <w:t> </w:t>
      </w:r>
      <w:r>
        <w:rPr/>
        <w:t>to</w:t>
      </w:r>
      <w:r>
        <w:rPr>
          <w:spacing w:val="-9"/>
        </w:rPr>
        <w:t> </w:t>
      </w:r>
      <w:r>
        <w:rPr/>
        <w:t>all</w:t>
      </w:r>
      <w:r>
        <w:rPr>
          <w:spacing w:val="-10"/>
        </w:rPr>
        <w:t> </w:t>
      </w:r>
      <w:r>
        <w:rPr/>
        <w:t>federally</w:t>
      </w:r>
      <w:r>
        <w:rPr>
          <w:spacing w:val="-10"/>
        </w:rPr>
        <w:t> </w:t>
      </w:r>
      <w:r>
        <w:rPr/>
        <w:t>assisted</w:t>
      </w:r>
      <w:r>
        <w:rPr>
          <w:spacing w:val="-11"/>
        </w:rPr>
        <w:t> </w:t>
      </w:r>
      <w:r>
        <w:rPr/>
        <w:t>programs</w:t>
      </w:r>
      <w:r>
        <w:rPr>
          <w:spacing w:val="-10"/>
        </w:rPr>
        <w:t> </w:t>
      </w:r>
      <w:r>
        <w:rPr/>
        <w:t>and</w:t>
      </w:r>
      <w:r>
        <w:rPr>
          <w:spacing w:val="-9"/>
        </w:rPr>
        <w:t> </w:t>
      </w:r>
      <w:r>
        <w:rPr/>
        <w:t>activities</w:t>
      </w:r>
      <w:r>
        <w:rPr>
          <w:spacing w:val="-10"/>
        </w:rPr>
        <w:t> </w:t>
      </w:r>
      <w:r>
        <w:rPr/>
        <w:t>by</w:t>
      </w:r>
      <w:r>
        <w:rPr>
          <w:spacing w:val="-10"/>
        </w:rPr>
        <w:t> </w:t>
      </w:r>
      <w:r>
        <w:rPr/>
        <w:t>persons</w:t>
      </w:r>
      <w:r>
        <w:rPr>
          <w:spacing w:val="-12"/>
        </w:rPr>
        <w:t> </w:t>
      </w:r>
      <w:r>
        <w:rPr/>
        <w:t>with</w:t>
      </w:r>
      <w:r>
        <w:rPr>
          <w:spacing w:val="-9"/>
        </w:rPr>
        <w:t> </w:t>
      </w:r>
      <w:r>
        <w:rPr/>
        <w:t>limited</w:t>
      </w:r>
      <w:r>
        <w:rPr>
          <w:spacing w:val="-9"/>
        </w:rPr>
        <w:t> </w:t>
      </w:r>
      <w:r>
        <w:rPr/>
        <w:t>English</w:t>
      </w:r>
      <w:r>
        <w:rPr>
          <w:spacing w:val="-9"/>
        </w:rPr>
        <w:t> </w:t>
      </w:r>
      <w:r>
        <w:rPr/>
        <w:t>proficiency </w:t>
      </w:r>
      <w:r>
        <w:rPr>
          <w:spacing w:val="-2"/>
        </w:rPr>
        <w:t>(LEP).</w:t>
      </w:r>
    </w:p>
    <w:p>
      <w:pPr>
        <w:pStyle w:val="BodyText"/>
        <w:spacing w:before="1"/>
      </w:pPr>
    </w:p>
    <w:p>
      <w:pPr>
        <w:pStyle w:val="BodyText"/>
        <w:ind w:left="840" w:right="934"/>
        <w:jc w:val="both"/>
      </w:pPr>
      <w:r>
        <w:rPr/>
        <w:t>Limited English Proficiency is defined as “individuals who do not speak English as their primary language and who have a limited ability to read, write, speak or understand English.” LEP individuals are entitled by EO 13166 to language assistance with respect to a particular type of services, benefit or encounter.</w:t>
      </w:r>
    </w:p>
    <w:p>
      <w:pPr>
        <w:pStyle w:val="BodyText"/>
        <w:spacing w:before="12"/>
        <w:rPr>
          <w:sz w:val="23"/>
        </w:rPr>
      </w:pPr>
    </w:p>
    <w:p>
      <w:pPr>
        <w:pStyle w:val="BodyText"/>
        <w:ind w:left="840" w:right="933"/>
        <w:jc w:val="both"/>
      </w:pPr>
      <w:r>
        <w:rPr/>
        <w:t>Additionally,</w:t>
      </w:r>
      <w:r>
        <w:rPr>
          <w:spacing w:val="-14"/>
        </w:rPr>
        <w:t> </w:t>
      </w:r>
      <w:r>
        <w:rPr/>
        <w:t>the</w:t>
      </w:r>
      <w:r>
        <w:rPr>
          <w:spacing w:val="-14"/>
        </w:rPr>
        <w:t> </w:t>
      </w:r>
      <w:r>
        <w:rPr/>
        <w:t>US</w:t>
      </w:r>
      <w:r>
        <w:rPr>
          <w:spacing w:val="-13"/>
        </w:rPr>
        <w:t> </w:t>
      </w:r>
      <w:r>
        <w:rPr/>
        <w:t>DOT</w:t>
      </w:r>
      <w:r>
        <w:rPr>
          <w:spacing w:val="-14"/>
        </w:rPr>
        <w:t> </w:t>
      </w:r>
      <w:r>
        <w:rPr/>
        <w:t>has</w:t>
      </w:r>
      <w:r>
        <w:rPr>
          <w:spacing w:val="-13"/>
        </w:rPr>
        <w:t> </w:t>
      </w:r>
      <w:r>
        <w:rPr/>
        <w:t>mandated</w:t>
      </w:r>
      <w:r>
        <w:rPr>
          <w:spacing w:val="-14"/>
        </w:rPr>
        <w:t> </w:t>
      </w:r>
      <w:r>
        <w:rPr/>
        <w:t>that</w:t>
      </w:r>
      <w:r>
        <w:rPr>
          <w:spacing w:val="-13"/>
        </w:rPr>
        <w:t> </w:t>
      </w:r>
      <w:r>
        <w:rPr/>
        <w:t>all</w:t>
      </w:r>
      <w:r>
        <w:rPr>
          <w:spacing w:val="-14"/>
        </w:rPr>
        <w:t> </w:t>
      </w:r>
      <w:r>
        <w:rPr/>
        <w:t>‘…recipients</w:t>
      </w:r>
      <w:r>
        <w:rPr>
          <w:spacing w:val="-14"/>
        </w:rPr>
        <w:t> </w:t>
      </w:r>
      <w:r>
        <w:rPr/>
        <w:t>must</w:t>
      </w:r>
      <w:r>
        <w:rPr>
          <w:spacing w:val="-13"/>
        </w:rPr>
        <w:t> </w:t>
      </w:r>
      <w:r>
        <w:rPr/>
        <w:t>take</w:t>
      </w:r>
      <w:r>
        <w:rPr>
          <w:spacing w:val="-14"/>
        </w:rPr>
        <w:t> </w:t>
      </w:r>
      <w:r>
        <w:rPr/>
        <w:t>reasonable</w:t>
      </w:r>
      <w:r>
        <w:rPr>
          <w:spacing w:val="-13"/>
        </w:rPr>
        <w:t> </w:t>
      </w:r>
      <w:r>
        <w:rPr/>
        <w:t>steps</w:t>
      </w:r>
      <w:r>
        <w:rPr>
          <w:spacing w:val="-14"/>
        </w:rPr>
        <w:t> </w:t>
      </w:r>
      <w:r>
        <w:rPr/>
        <w:t>to</w:t>
      </w:r>
      <w:r>
        <w:rPr>
          <w:spacing w:val="-13"/>
        </w:rPr>
        <w:t> </w:t>
      </w:r>
      <w:r>
        <w:rPr/>
        <w:t>ensure that such persons have meaningful access to the programs, services and information those recipients provide, free of charge…”</w:t>
      </w:r>
    </w:p>
    <w:p>
      <w:pPr>
        <w:pStyle w:val="BodyText"/>
        <w:spacing w:before="11"/>
        <w:rPr>
          <w:sz w:val="23"/>
        </w:rPr>
      </w:pPr>
    </w:p>
    <w:p>
      <w:pPr>
        <w:pStyle w:val="BodyText"/>
        <w:ind w:left="840" w:right="931"/>
        <w:jc w:val="both"/>
      </w:pPr>
      <w:r>
        <w:rPr/>
        <w:t>Compliance with Title VI includes Limited English Proficient (LEP) persons.</w:t>
      </w:r>
      <w:r>
        <w:rPr>
          <w:spacing w:val="40"/>
        </w:rPr>
        <w:t> </w:t>
      </w:r>
      <w:r>
        <w:rPr/>
        <w:t>Language barriers prohibit people who are LEP from obtaining services and information relating to transportation services and programs. Because people who are LEP may not be able to read instructions or correspondence written in English and may not understand verbal information, they often are</w:t>
      </w:r>
    </w:p>
    <w:p>
      <w:pPr>
        <w:spacing w:after="0"/>
        <w:jc w:val="both"/>
        <w:sectPr>
          <w:type w:val="continuous"/>
          <w:pgSz w:w="12240" w:h="15840"/>
          <w:pgMar w:header="0" w:footer="997" w:top="980" w:bottom="1260" w:left="600" w:right="500"/>
        </w:sectPr>
      </w:pPr>
    </w:p>
    <w:p>
      <w:pPr>
        <w:pStyle w:val="BodyText"/>
        <w:spacing w:before="35"/>
        <w:ind w:left="840"/>
        <w:jc w:val="both"/>
      </w:pPr>
      <w:r>
        <w:rPr/>
        <w:t>not</w:t>
      </w:r>
      <w:r>
        <w:rPr>
          <w:spacing w:val="54"/>
          <w:w w:val="150"/>
        </w:rPr>
        <w:t> </w:t>
      </w:r>
      <w:r>
        <w:rPr/>
        <w:t>aware</w:t>
      </w:r>
      <w:r>
        <w:rPr>
          <w:spacing w:val="79"/>
        </w:rPr>
        <w:t> </w:t>
      </w:r>
      <w:r>
        <w:rPr/>
        <w:t>of</w:t>
      </w:r>
      <w:r>
        <w:rPr>
          <w:spacing w:val="54"/>
          <w:w w:val="150"/>
        </w:rPr>
        <w:t> </w:t>
      </w:r>
      <w:r>
        <w:rPr/>
        <w:t>regulatory</w:t>
      </w:r>
      <w:r>
        <w:rPr>
          <w:spacing w:val="53"/>
          <w:w w:val="150"/>
        </w:rPr>
        <w:t> </w:t>
      </w:r>
      <w:r>
        <w:rPr/>
        <w:t>requirements</w:t>
      </w:r>
      <w:r>
        <w:rPr>
          <w:spacing w:val="79"/>
        </w:rPr>
        <w:t> </w:t>
      </w:r>
      <w:r>
        <w:rPr/>
        <w:t>and</w:t>
      </w:r>
      <w:r>
        <w:rPr>
          <w:spacing w:val="55"/>
          <w:w w:val="150"/>
        </w:rPr>
        <w:t> </w:t>
      </w:r>
      <w:r>
        <w:rPr/>
        <w:t>legal</w:t>
      </w:r>
      <w:r>
        <w:rPr>
          <w:spacing w:val="54"/>
          <w:w w:val="150"/>
        </w:rPr>
        <w:t> </w:t>
      </w:r>
      <w:r>
        <w:rPr/>
        <w:t>implications</w:t>
      </w:r>
      <w:r>
        <w:rPr>
          <w:spacing w:val="79"/>
        </w:rPr>
        <w:t> </w:t>
      </w:r>
      <w:r>
        <w:rPr/>
        <w:t>of</w:t>
      </w:r>
      <w:r>
        <w:rPr>
          <w:spacing w:val="53"/>
          <w:w w:val="150"/>
        </w:rPr>
        <w:t> </w:t>
      </w:r>
      <w:r>
        <w:rPr/>
        <w:t>the</w:t>
      </w:r>
      <w:r>
        <w:rPr>
          <w:spacing w:val="78"/>
        </w:rPr>
        <w:t> </w:t>
      </w:r>
      <w:r>
        <w:rPr/>
        <w:t>services</w:t>
      </w:r>
      <w:r>
        <w:rPr>
          <w:spacing w:val="53"/>
          <w:w w:val="150"/>
        </w:rPr>
        <w:t> </w:t>
      </w:r>
      <w:r>
        <w:rPr/>
        <w:t>they</w:t>
      </w:r>
      <w:r>
        <w:rPr>
          <w:spacing w:val="52"/>
          <w:w w:val="150"/>
        </w:rPr>
        <w:t> </w:t>
      </w:r>
      <w:r>
        <w:rPr>
          <w:spacing w:val="-2"/>
        </w:rPr>
        <w:t>seek.</w:t>
      </w:r>
    </w:p>
    <w:p>
      <w:pPr>
        <w:pStyle w:val="BodyText"/>
      </w:pPr>
    </w:p>
    <w:p>
      <w:pPr>
        <w:pStyle w:val="BodyText"/>
        <w:ind w:left="840" w:right="934"/>
        <w:jc w:val="both"/>
      </w:pPr>
      <w:r>
        <w:rPr/>
        <w:t>MaineDOT does not operate a transit system. MaineDOT’s role is limited to financial management,</w:t>
      </w:r>
      <w:r>
        <w:rPr>
          <w:spacing w:val="-14"/>
        </w:rPr>
        <w:t> </w:t>
      </w:r>
      <w:r>
        <w:rPr/>
        <w:t>oversight,</w:t>
      </w:r>
      <w:r>
        <w:rPr>
          <w:spacing w:val="-14"/>
        </w:rPr>
        <w:t> </w:t>
      </w:r>
      <w:r>
        <w:rPr/>
        <w:t>and</w:t>
      </w:r>
      <w:r>
        <w:rPr>
          <w:spacing w:val="-12"/>
        </w:rPr>
        <w:t> </w:t>
      </w:r>
      <w:r>
        <w:rPr/>
        <w:t>monitoring</w:t>
      </w:r>
      <w:r>
        <w:rPr>
          <w:spacing w:val="-12"/>
        </w:rPr>
        <w:t> </w:t>
      </w:r>
      <w:r>
        <w:rPr/>
        <w:t>to</w:t>
      </w:r>
      <w:r>
        <w:rPr>
          <w:spacing w:val="-13"/>
        </w:rPr>
        <w:t> </w:t>
      </w:r>
      <w:r>
        <w:rPr/>
        <w:t>ensure</w:t>
      </w:r>
      <w:r>
        <w:rPr>
          <w:spacing w:val="-13"/>
        </w:rPr>
        <w:t> </w:t>
      </w:r>
      <w:r>
        <w:rPr/>
        <w:t>that</w:t>
      </w:r>
      <w:r>
        <w:rPr>
          <w:spacing w:val="-12"/>
        </w:rPr>
        <w:t> </w:t>
      </w:r>
      <w:r>
        <w:rPr/>
        <w:t>subrecipients</w:t>
      </w:r>
      <w:r>
        <w:rPr>
          <w:spacing w:val="-13"/>
        </w:rPr>
        <w:t> </w:t>
      </w:r>
      <w:r>
        <w:rPr/>
        <w:t>of</w:t>
      </w:r>
      <w:r>
        <w:rPr>
          <w:spacing w:val="-12"/>
        </w:rPr>
        <w:t> </w:t>
      </w:r>
      <w:r>
        <w:rPr/>
        <w:t>FTA</w:t>
      </w:r>
      <w:r>
        <w:rPr>
          <w:spacing w:val="-13"/>
        </w:rPr>
        <w:t> </w:t>
      </w:r>
      <w:r>
        <w:rPr/>
        <w:t>program</w:t>
      </w:r>
      <w:r>
        <w:rPr>
          <w:spacing w:val="-13"/>
        </w:rPr>
        <w:t> </w:t>
      </w:r>
      <w:r>
        <w:rPr/>
        <w:t>funds</w:t>
      </w:r>
      <w:r>
        <w:rPr>
          <w:spacing w:val="-13"/>
        </w:rPr>
        <w:t> </w:t>
      </w:r>
      <w:r>
        <w:rPr/>
        <w:t>meet a range</w:t>
      </w:r>
      <w:r>
        <w:rPr>
          <w:spacing w:val="-1"/>
        </w:rPr>
        <w:t> </w:t>
      </w:r>
      <w:r>
        <w:rPr/>
        <w:t>of federal</w:t>
      </w:r>
      <w:r>
        <w:rPr>
          <w:spacing w:val="-4"/>
        </w:rPr>
        <w:t> </w:t>
      </w:r>
      <w:r>
        <w:rPr/>
        <w:t>programs including</w:t>
      </w:r>
      <w:r>
        <w:rPr>
          <w:spacing w:val="-2"/>
        </w:rPr>
        <w:t> </w:t>
      </w:r>
      <w:r>
        <w:rPr/>
        <w:t>Title</w:t>
      </w:r>
      <w:r>
        <w:rPr>
          <w:spacing w:val="-1"/>
        </w:rPr>
        <w:t> </w:t>
      </w:r>
      <w:r>
        <w:rPr/>
        <w:t>VI</w:t>
      </w:r>
      <w:r>
        <w:rPr>
          <w:spacing w:val="-2"/>
        </w:rPr>
        <w:t> </w:t>
      </w:r>
      <w:r>
        <w:rPr/>
        <w:t>requirements.</w:t>
      </w:r>
      <w:r>
        <w:rPr>
          <w:spacing w:val="40"/>
        </w:rPr>
        <w:t> </w:t>
      </w:r>
      <w:r>
        <w:rPr/>
        <w:t>As</w:t>
      </w:r>
      <w:r>
        <w:rPr>
          <w:spacing w:val="-2"/>
        </w:rPr>
        <w:t> </w:t>
      </w:r>
      <w:r>
        <w:rPr/>
        <w:t>such,</w:t>
      </w:r>
      <w:r>
        <w:rPr>
          <w:spacing w:val="-1"/>
        </w:rPr>
        <w:t> </w:t>
      </w:r>
      <w:r>
        <w:rPr/>
        <w:t>MaineDOT</w:t>
      </w:r>
      <w:r>
        <w:rPr>
          <w:spacing w:val="-1"/>
        </w:rPr>
        <w:t> </w:t>
      </w:r>
      <w:r>
        <w:rPr/>
        <w:t>has</w:t>
      </w:r>
      <w:r>
        <w:rPr>
          <w:spacing w:val="-2"/>
        </w:rPr>
        <w:t> </w:t>
      </w:r>
      <w:r>
        <w:rPr/>
        <w:t>little</w:t>
      </w:r>
      <w:r>
        <w:rPr>
          <w:spacing w:val="-3"/>
        </w:rPr>
        <w:t> </w:t>
      </w:r>
      <w:r>
        <w:rPr/>
        <w:t>direct contact with LEP persons.</w:t>
      </w:r>
    </w:p>
    <w:p>
      <w:pPr>
        <w:pStyle w:val="BodyText"/>
        <w:spacing w:before="11"/>
        <w:rPr>
          <w:sz w:val="23"/>
        </w:rPr>
      </w:pPr>
    </w:p>
    <w:p>
      <w:pPr>
        <w:pStyle w:val="BodyText"/>
        <w:ind w:left="840" w:right="935"/>
        <w:jc w:val="both"/>
      </w:pPr>
      <w:r>
        <w:rPr/>
        <w:t>As</w:t>
      </w:r>
      <w:r>
        <w:rPr>
          <w:spacing w:val="-8"/>
        </w:rPr>
        <w:t> </w:t>
      </w:r>
      <w:r>
        <w:rPr/>
        <w:t>required,</w:t>
      </w:r>
      <w:r>
        <w:rPr>
          <w:spacing w:val="-10"/>
        </w:rPr>
        <w:t> </w:t>
      </w:r>
      <w:r>
        <w:rPr/>
        <w:t>MaineDOT</w:t>
      </w:r>
      <w:r>
        <w:rPr>
          <w:spacing w:val="-9"/>
        </w:rPr>
        <w:t> </w:t>
      </w:r>
      <w:r>
        <w:rPr/>
        <w:t>developed</w:t>
      </w:r>
      <w:r>
        <w:rPr>
          <w:spacing w:val="-6"/>
        </w:rPr>
        <w:t> </w:t>
      </w:r>
      <w:r>
        <w:rPr/>
        <w:t>a</w:t>
      </w:r>
      <w:r>
        <w:rPr>
          <w:spacing w:val="-10"/>
        </w:rPr>
        <w:t> </w:t>
      </w:r>
      <w:r>
        <w:rPr/>
        <w:t>written</w:t>
      </w:r>
      <w:r>
        <w:rPr>
          <w:spacing w:val="-6"/>
        </w:rPr>
        <w:t> </w:t>
      </w:r>
      <w:r>
        <w:rPr/>
        <w:t>LAP</w:t>
      </w:r>
      <w:r>
        <w:rPr>
          <w:spacing w:val="-9"/>
        </w:rPr>
        <w:t> </w:t>
      </w:r>
      <w:r>
        <w:rPr/>
        <w:t>Plan</w:t>
      </w:r>
      <w:r>
        <w:rPr>
          <w:spacing w:val="-6"/>
        </w:rPr>
        <w:t> </w:t>
      </w:r>
      <w:r>
        <w:rPr/>
        <w:t>(below).</w:t>
      </w:r>
      <w:r>
        <w:rPr>
          <w:spacing w:val="39"/>
        </w:rPr>
        <w:t> </w:t>
      </w:r>
      <w:r>
        <w:rPr/>
        <w:t>Using</w:t>
      </w:r>
      <w:r>
        <w:rPr>
          <w:spacing w:val="-8"/>
        </w:rPr>
        <w:t> </w:t>
      </w:r>
      <w:r>
        <w:rPr/>
        <w:t>2021</w:t>
      </w:r>
      <w:r>
        <w:rPr>
          <w:spacing w:val="-11"/>
        </w:rPr>
        <w:t> </w:t>
      </w:r>
      <w:r>
        <w:rPr/>
        <w:t>American</w:t>
      </w:r>
      <w:r>
        <w:rPr>
          <w:spacing w:val="-6"/>
        </w:rPr>
        <w:t> </w:t>
      </w:r>
      <w:r>
        <w:rPr/>
        <w:t>Community Survey (ACS) Census data estimates, MaineDOT has evaluated data to determine the extent of need for translation services of its vital documents and materials.</w:t>
      </w:r>
      <w:r>
        <w:rPr>
          <w:spacing w:val="40"/>
        </w:rPr>
        <w:t> </w:t>
      </w:r>
      <w:r>
        <w:rPr/>
        <w:t>MaineDOT requires its subrecipients to perform the same LAP plan every review cycle.</w:t>
      </w:r>
    </w:p>
    <w:p>
      <w:pPr>
        <w:pStyle w:val="BodyText"/>
        <w:spacing w:before="2"/>
      </w:pPr>
    </w:p>
    <w:p>
      <w:pPr>
        <w:pStyle w:val="BodyText"/>
        <w:ind w:left="840" w:right="932"/>
        <w:jc w:val="both"/>
      </w:pPr>
      <w:r>
        <w:rPr/>
        <w:t>LEP persons can be a significant market for public transit, and reaching out to these individuals can help increase their utilization of transit. Therefore, MaineDOT is eager to translate vital information into languages that LEP populations in the community can understand.</w:t>
      </w:r>
    </w:p>
    <w:p>
      <w:pPr>
        <w:pStyle w:val="BodyText"/>
        <w:spacing w:before="11"/>
        <w:rPr>
          <w:sz w:val="23"/>
        </w:rPr>
      </w:pPr>
    </w:p>
    <w:p>
      <w:pPr>
        <w:pStyle w:val="BodyText"/>
        <w:ind w:left="840"/>
        <w:jc w:val="both"/>
      </w:pPr>
      <w:r>
        <w:rPr/>
        <w:t>As</w:t>
      </w:r>
      <w:r>
        <w:rPr>
          <w:spacing w:val="-2"/>
        </w:rPr>
        <w:t> </w:t>
      </w:r>
      <w:r>
        <w:rPr/>
        <w:t>you</w:t>
      </w:r>
      <w:r>
        <w:rPr>
          <w:spacing w:val="-2"/>
        </w:rPr>
        <w:t> </w:t>
      </w:r>
      <w:r>
        <w:rPr/>
        <w:t>will</w:t>
      </w:r>
      <w:r>
        <w:rPr>
          <w:spacing w:val="-1"/>
        </w:rPr>
        <w:t> </w:t>
      </w:r>
      <w:r>
        <w:rPr/>
        <w:t>see</w:t>
      </w:r>
      <w:r>
        <w:rPr>
          <w:spacing w:val="-2"/>
        </w:rPr>
        <w:t> </w:t>
      </w:r>
      <w:r>
        <w:rPr/>
        <w:t>throughout</w:t>
      </w:r>
      <w:r>
        <w:rPr>
          <w:spacing w:val="-2"/>
        </w:rPr>
        <w:t> </w:t>
      </w:r>
      <w:r>
        <w:rPr/>
        <w:t>our</w:t>
      </w:r>
      <w:r>
        <w:rPr>
          <w:spacing w:val="-4"/>
        </w:rPr>
        <w:t> </w:t>
      </w:r>
      <w:r>
        <w:rPr/>
        <w:t>LAP,</w:t>
      </w:r>
      <w:r>
        <w:rPr>
          <w:spacing w:val="-3"/>
        </w:rPr>
        <w:t> </w:t>
      </w:r>
      <w:r>
        <w:rPr/>
        <w:t>MaineDOT</w:t>
      </w:r>
      <w:r>
        <w:rPr>
          <w:spacing w:val="-2"/>
        </w:rPr>
        <w:t> </w:t>
      </w:r>
      <w:r>
        <w:rPr/>
        <w:t>promotes</w:t>
      </w:r>
      <w:r>
        <w:rPr>
          <w:spacing w:val="-4"/>
        </w:rPr>
        <w:t> </w:t>
      </w:r>
      <w:r>
        <w:rPr/>
        <w:t>Meaningful</w:t>
      </w:r>
      <w:r>
        <w:rPr>
          <w:spacing w:val="-3"/>
        </w:rPr>
        <w:t> </w:t>
      </w:r>
      <w:r>
        <w:rPr/>
        <w:t>Access</w:t>
      </w:r>
      <w:r>
        <w:rPr>
          <w:spacing w:val="-1"/>
        </w:rPr>
        <w:t> </w:t>
      </w:r>
      <w:r>
        <w:rPr/>
        <w:t>to</w:t>
      </w:r>
      <w:r>
        <w:rPr>
          <w:spacing w:val="-1"/>
        </w:rPr>
        <w:t> </w:t>
      </w:r>
      <w:r>
        <w:rPr/>
        <w:t>LEP citizens</w:t>
      </w:r>
      <w:r>
        <w:rPr>
          <w:spacing w:val="-1"/>
        </w:rPr>
        <w:t> </w:t>
      </w:r>
      <w:r>
        <w:rPr>
          <w:spacing w:val="-5"/>
        </w:rPr>
        <w:t>by:</w:t>
      </w:r>
    </w:p>
    <w:p>
      <w:pPr>
        <w:pStyle w:val="BodyText"/>
        <w:spacing w:before="11"/>
        <w:rPr>
          <w:sz w:val="23"/>
        </w:rPr>
      </w:pPr>
    </w:p>
    <w:p>
      <w:pPr>
        <w:pStyle w:val="ListParagraph"/>
        <w:numPr>
          <w:ilvl w:val="0"/>
          <w:numId w:val="14"/>
        </w:numPr>
        <w:tabs>
          <w:tab w:pos="1560" w:val="left" w:leader="none"/>
        </w:tabs>
        <w:spacing w:line="242" w:lineRule="auto" w:before="0" w:after="0"/>
        <w:ind w:left="1560" w:right="936" w:hanging="360"/>
        <w:jc w:val="left"/>
        <w:rPr>
          <w:sz w:val="24"/>
        </w:rPr>
      </w:pPr>
      <w:r>
        <w:rPr>
          <w:sz w:val="24"/>
        </w:rPr>
        <w:t>Offering</w:t>
      </w:r>
      <w:r>
        <w:rPr>
          <w:spacing w:val="36"/>
          <w:sz w:val="24"/>
        </w:rPr>
        <w:t> </w:t>
      </w:r>
      <w:r>
        <w:rPr>
          <w:sz w:val="24"/>
        </w:rPr>
        <w:t>LEP</w:t>
      </w:r>
      <w:r>
        <w:rPr>
          <w:spacing w:val="37"/>
          <w:sz w:val="24"/>
        </w:rPr>
        <w:t> </w:t>
      </w:r>
      <w:r>
        <w:rPr>
          <w:sz w:val="24"/>
        </w:rPr>
        <w:t>individuals</w:t>
      </w:r>
      <w:r>
        <w:rPr>
          <w:spacing w:val="34"/>
          <w:sz w:val="24"/>
        </w:rPr>
        <w:t> </w:t>
      </w:r>
      <w:r>
        <w:rPr>
          <w:sz w:val="24"/>
        </w:rPr>
        <w:t>the</w:t>
      </w:r>
      <w:r>
        <w:rPr>
          <w:spacing w:val="37"/>
          <w:sz w:val="24"/>
        </w:rPr>
        <w:t> </w:t>
      </w:r>
      <w:r>
        <w:rPr>
          <w:sz w:val="24"/>
        </w:rPr>
        <w:t>ability</w:t>
      </w:r>
      <w:r>
        <w:rPr>
          <w:spacing w:val="34"/>
          <w:sz w:val="24"/>
        </w:rPr>
        <w:t> </w:t>
      </w:r>
      <w:r>
        <w:rPr>
          <w:sz w:val="24"/>
        </w:rPr>
        <w:t>to</w:t>
      </w:r>
      <w:r>
        <w:rPr>
          <w:spacing w:val="37"/>
          <w:sz w:val="24"/>
        </w:rPr>
        <w:t> </w:t>
      </w:r>
      <w:r>
        <w:rPr>
          <w:sz w:val="24"/>
        </w:rPr>
        <w:t>access/call</w:t>
      </w:r>
      <w:r>
        <w:rPr>
          <w:spacing w:val="37"/>
          <w:sz w:val="24"/>
        </w:rPr>
        <w:t> </w:t>
      </w:r>
      <w:r>
        <w:rPr>
          <w:sz w:val="24"/>
        </w:rPr>
        <w:t>and</w:t>
      </w:r>
      <w:r>
        <w:rPr>
          <w:spacing w:val="38"/>
          <w:sz w:val="24"/>
        </w:rPr>
        <w:t> </w:t>
      </w:r>
      <w:r>
        <w:rPr>
          <w:sz w:val="24"/>
        </w:rPr>
        <w:t>ask</w:t>
      </w:r>
      <w:r>
        <w:rPr>
          <w:spacing w:val="35"/>
          <w:sz w:val="24"/>
        </w:rPr>
        <w:t> </w:t>
      </w:r>
      <w:r>
        <w:rPr>
          <w:sz w:val="24"/>
        </w:rPr>
        <w:t>questions</w:t>
      </w:r>
      <w:r>
        <w:rPr>
          <w:spacing w:val="36"/>
          <w:sz w:val="24"/>
        </w:rPr>
        <w:t> </w:t>
      </w:r>
      <w:r>
        <w:rPr>
          <w:sz w:val="24"/>
        </w:rPr>
        <w:t>about</w:t>
      </w:r>
      <w:r>
        <w:rPr>
          <w:spacing w:val="35"/>
          <w:sz w:val="24"/>
        </w:rPr>
        <w:t> </w:t>
      </w:r>
      <w:r>
        <w:rPr>
          <w:sz w:val="24"/>
        </w:rPr>
        <w:t>MaineDOT programs and services.</w:t>
      </w:r>
    </w:p>
    <w:p>
      <w:pPr>
        <w:pStyle w:val="ListParagraph"/>
        <w:numPr>
          <w:ilvl w:val="0"/>
          <w:numId w:val="14"/>
        </w:numPr>
        <w:tabs>
          <w:tab w:pos="1559" w:val="left" w:leader="none"/>
        </w:tabs>
        <w:spacing w:line="301" w:lineRule="exact" w:before="0" w:after="0"/>
        <w:ind w:left="1559" w:right="0" w:hanging="359"/>
        <w:jc w:val="left"/>
        <w:rPr>
          <w:sz w:val="24"/>
        </w:rPr>
      </w:pPr>
      <w:r>
        <w:rPr>
          <w:sz w:val="24"/>
        </w:rPr>
        <w:t>Offering</w:t>
      </w:r>
      <w:r>
        <w:rPr>
          <w:spacing w:val="-4"/>
          <w:sz w:val="24"/>
        </w:rPr>
        <w:t> </w:t>
      </w:r>
      <w:r>
        <w:rPr>
          <w:sz w:val="24"/>
        </w:rPr>
        <w:t>LEP</w:t>
      </w:r>
      <w:r>
        <w:rPr>
          <w:spacing w:val="-2"/>
          <w:sz w:val="24"/>
        </w:rPr>
        <w:t> </w:t>
      </w:r>
      <w:r>
        <w:rPr>
          <w:sz w:val="24"/>
        </w:rPr>
        <w:t>individuals</w:t>
      </w:r>
      <w:r>
        <w:rPr>
          <w:spacing w:val="-3"/>
          <w:sz w:val="24"/>
        </w:rPr>
        <w:t> </w:t>
      </w:r>
      <w:r>
        <w:rPr>
          <w:sz w:val="24"/>
        </w:rPr>
        <w:t>options</w:t>
      </w:r>
      <w:r>
        <w:rPr>
          <w:spacing w:val="-3"/>
          <w:sz w:val="24"/>
        </w:rPr>
        <w:t> </w:t>
      </w:r>
      <w:r>
        <w:rPr>
          <w:sz w:val="24"/>
        </w:rPr>
        <w:t>to</w:t>
      </w:r>
      <w:r>
        <w:rPr>
          <w:spacing w:val="-2"/>
          <w:sz w:val="24"/>
        </w:rPr>
        <w:t> </w:t>
      </w:r>
      <w:r>
        <w:rPr>
          <w:sz w:val="24"/>
        </w:rPr>
        <w:t>talk</w:t>
      </w:r>
      <w:r>
        <w:rPr>
          <w:spacing w:val="-2"/>
          <w:sz w:val="24"/>
        </w:rPr>
        <w:t> </w:t>
      </w:r>
      <w:r>
        <w:rPr>
          <w:sz w:val="24"/>
        </w:rPr>
        <w:t>in</w:t>
      </w:r>
      <w:r>
        <w:rPr>
          <w:spacing w:val="-2"/>
          <w:sz w:val="24"/>
        </w:rPr>
        <w:t> </w:t>
      </w:r>
      <w:r>
        <w:rPr>
          <w:sz w:val="24"/>
        </w:rPr>
        <w:t>person</w:t>
      </w:r>
      <w:r>
        <w:rPr>
          <w:spacing w:val="-4"/>
          <w:sz w:val="24"/>
        </w:rPr>
        <w:t> </w:t>
      </w:r>
      <w:r>
        <w:rPr>
          <w:sz w:val="24"/>
        </w:rPr>
        <w:t>to staff</w:t>
      </w:r>
      <w:r>
        <w:rPr>
          <w:spacing w:val="1"/>
          <w:sz w:val="24"/>
        </w:rPr>
        <w:t> </w:t>
      </w:r>
      <w:r>
        <w:rPr>
          <w:sz w:val="24"/>
        </w:rPr>
        <w:t>and ask</w:t>
      </w:r>
      <w:r>
        <w:rPr>
          <w:spacing w:val="-3"/>
          <w:sz w:val="24"/>
        </w:rPr>
        <w:t> </w:t>
      </w:r>
      <w:r>
        <w:rPr>
          <w:spacing w:val="-2"/>
          <w:sz w:val="24"/>
        </w:rPr>
        <w:t>questions.</w:t>
      </w:r>
    </w:p>
    <w:p>
      <w:pPr>
        <w:pStyle w:val="ListParagraph"/>
        <w:numPr>
          <w:ilvl w:val="0"/>
          <w:numId w:val="14"/>
        </w:numPr>
        <w:tabs>
          <w:tab w:pos="1559" w:val="left" w:leader="none"/>
        </w:tabs>
        <w:spacing w:line="305" w:lineRule="exact" w:before="0" w:after="0"/>
        <w:ind w:left="1559" w:right="0" w:hanging="359"/>
        <w:jc w:val="left"/>
        <w:rPr>
          <w:sz w:val="24"/>
        </w:rPr>
      </w:pPr>
      <w:r>
        <w:rPr>
          <w:sz w:val="24"/>
        </w:rPr>
        <w:t>Ensuring</w:t>
      </w:r>
      <w:r>
        <w:rPr>
          <w:spacing w:val="-4"/>
          <w:sz w:val="24"/>
        </w:rPr>
        <w:t> </w:t>
      </w:r>
      <w:r>
        <w:rPr>
          <w:sz w:val="24"/>
        </w:rPr>
        <w:t>that</w:t>
      </w:r>
      <w:r>
        <w:rPr>
          <w:spacing w:val="-3"/>
          <w:sz w:val="24"/>
        </w:rPr>
        <w:t> </w:t>
      </w:r>
      <w:r>
        <w:rPr>
          <w:sz w:val="24"/>
        </w:rPr>
        <w:t>translation</w:t>
      </w:r>
      <w:r>
        <w:rPr>
          <w:spacing w:val="-3"/>
          <w:sz w:val="24"/>
        </w:rPr>
        <w:t> </w:t>
      </w:r>
      <w:r>
        <w:rPr>
          <w:sz w:val="24"/>
        </w:rPr>
        <w:t>services</w:t>
      </w:r>
      <w:r>
        <w:rPr>
          <w:spacing w:val="-2"/>
          <w:sz w:val="24"/>
        </w:rPr>
        <w:t> </w:t>
      </w:r>
      <w:r>
        <w:rPr>
          <w:sz w:val="24"/>
        </w:rPr>
        <w:t>are</w:t>
      </w:r>
      <w:r>
        <w:rPr>
          <w:spacing w:val="-3"/>
          <w:sz w:val="24"/>
        </w:rPr>
        <w:t> </w:t>
      </w:r>
      <w:r>
        <w:rPr>
          <w:sz w:val="24"/>
        </w:rPr>
        <w:t>easily</w:t>
      </w:r>
      <w:r>
        <w:rPr>
          <w:spacing w:val="-2"/>
          <w:sz w:val="24"/>
        </w:rPr>
        <w:t> </w:t>
      </w:r>
      <w:r>
        <w:rPr>
          <w:sz w:val="24"/>
        </w:rPr>
        <w:t>accessible</w:t>
      </w:r>
      <w:r>
        <w:rPr>
          <w:spacing w:val="-1"/>
          <w:sz w:val="24"/>
        </w:rPr>
        <w:t> </w:t>
      </w:r>
      <w:r>
        <w:rPr>
          <w:sz w:val="24"/>
        </w:rPr>
        <w:t>and</w:t>
      </w:r>
      <w:r>
        <w:rPr>
          <w:spacing w:val="-3"/>
          <w:sz w:val="24"/>
        </w:rPr>
        <w:t> </w:t>
      </w:r>
      <w:r>
        <w:rPr>
          <w:sz w:val="24"/>
        </w:rPr>
        <w:t>available</w:t>
      </w:r>
      <w:r>
        <w:rPr>
          <w:spacing w:val="-3"/>
          <w:sz w:val="24"/>
        </w:rPr>
        <w:t> </w:t>
      </w:r>
      <w:r>
        <w:rPr>
          <w:sz w:val="24"/>
        </w:rPr>
        <w:t>to </w:t>
      </w:r>
      <w:r>
        <w:rPr>
          <w:spacing w:val="-2"/>
          <w:sz w:val="24"/>
        </w:rPr>
        <w:t>everyone.</w:t>
      </w:r>
    </w:p>
    <w:p>
      <w:pPr>
        <w:pStyle w:val="ListParagraph"/>
        <w:numPr>
          <w:ilvl w:val="0"/>
          <w:numId w:val="14"/>
        </w:numPr>
        <w:tabs>
          <w:tab w:pos="1560" w:val="left" w:leader="none"/>
        </w:tabs>
        <w:spacing w:line="240" w:lineRule="auto" w:before="2" w:after="0"/>
        <w:ind w:left="1560" w:right="935" w:hanging="360"/>
        <w:jc w:val="left"/>
        <w:rPr>
          <w:sz w:val="24"/>
        </w:rPr>
      </w:pPr>
      <w:r>
        <w:rPr>
          <w:sz w:val="24"/>
        </w:rPr>
        <w:t>Posting</w:t>
      </w:r>
      <w:r>
        <w:rPr>
          <w:spacing w:val="40"/>
          <w:sz w:val="24"/>
        </w:rPr>
        <w:t> </w:t>
      </w:r>
      <w:r>
        <w:rPr>
          <w:sz w:val="24"/>
        </w:rPr>
        <w:t>signs</w:t>
      </w:r>
      <w:r>
        <w:rPr>
          <w:spacing w:val="40"/>
          <w:sz w:val="24"/>
        </w:rPr>
        <w:t> </w:t>
      </w:r>
      <w:r>
        <w:rPr>
          <w:sz w:val="24"/>
        </w:rPr>
        <w:t>and</w:t>
      </w:r>
      <w:r>
        <w:rPr>
          <w:spacing w:val="40"/>
          <w:sz w:val="24"/>
        </w:rPr>
        <w:t> </w:t>
      </w:r>
      <w:r>
        <w:rPr>
          <w:sz w:val="24"/>
        </w:rPr>
        <w:t>including</w:t>
      </w:r>
      <w:r>
        <w:rPr>
          <w:spacing w:val="40"/>
          <w:sz w:val="24"/>
        </w:rPr>
        <w:t> </w:t>
      </w:r>
      <w:r>
        <w:rPr>
          <w:sz w:val="24"/>
        </w:rPr>
        <w:t>translation</w:t>
      </w:r>
      <w:r>
        <w:rPr>
          <w:spacing w:val="40"/>
          <w:sz w:val="24"/>
        </w:rPr>
        <w:t> </w:t>
      </w:r>
      <w:r>
        <w:rPr>
          <w:sz w:val="24"/>
        </w:rPr>
        <w:t>statements</w:t>
      </w:r>
      <w:r>
        <w:rPr>
          <w:spacing w:val="40"/>
          <w:sz w:val="24"/>
        </w:rPr>
        <w:t> </w:t>
      </w:r>
      <w:r>
        <w:rPr>
          <w:sz w:val="24"/>
        </w:rPr>
        <w:t>in</w:t>
      </w:r>
      <w:r>
        <w:rPr>
          <w:spacing w:val="40"/>
          <w:sz w:val="24"/>
        </w:rPr>
        <w:t> </w:t>
      </w:r>
      <w:r>
        <w:rPr>
          <w:sz w:val="24"/>
        </w:rPr>
        <w:t>appropriate</w:t>
      </w:r>
      <w:r>
        <w:rPr>
          <w:spacing w:val="40"/>
          <w:sz w:val="24"/>
        </w:rPr>
        <w:t> </w:t>
      </w:r>
      <w:r>
        <w:rPr>
          <w:sz w:val="24"/>
        </w:rPr>
        <w:t>languages</w:t>
      </w:r>
      <w:r>
        <w:rPr>
          <w:spacing w:val="40"/>
          <w:sz w:val="24"/>
        </w:rPr>
        <w:t> </w:t>
      </w:r>
      <w:r>
        <w:rPr>
          <w:sz w:val="24"/>
        </w:rPr>
        <w:t>for</w:t>
      </w:r>
      <w:r>
        <w:rPr>
          <w:spacing w:val="40"/>
          <w:sz w:val="24"/>
        </w:rPr>
        <w:t> </w:t>
      </w:r>
      <w:r>
        <w:rPr>
          <w:sz w:val="24"/>
        </w:rPr>
        <w:t>vital </w:t>
      </w:r>
      <w:r>
        <w:rPr>
          <w:spacing w:val="-2"/>
          <w:sz w:val="24"/>
        </w:rPr>
        <w:t>documents.</w:t>
      </w:r>
    </w:p>
    <w:p>
      <w:pPr>
        <w:pStyle w:val="BodyText"/>
        <w:spacing w:before="11"/>
        <w:rPr>
          <w:sz w:val="23"/>
        </w:rPr>
      </w:pPr>
    </w:p>
    <w:p>
      <w:pPr>
        <w:pStyle w:val="BodyText"/>
        <w:spacing w:before="1"/>
        <w:ind w:left="840" w:right="934"/>
        <w:jc w:val="both"/>
      </w:pPr>
      <w:r>
        <w:rPr/>
        <w:t>MaineDOT continues to be proactive in ensuring that subrecipients comply with federal requirements.</w:t>
      </w:r>
      <w:r>
        <w:rPr>
          <w:spacing w:val="40"/>
        </w:rPr>
        <w:t> </w:t>
      </w:r>
      <w:r>
        <w:rPr/>
        <w:t>Its systems include:</w:t>
      </w:r>
    </w:p>
    <w:p>
      <w:pPr>
        <w:pStyle w:val="BodyText"/>
        <w:spacing w:before="10"/>
        <w:rPr>
          <w:sz w:val="23"/>
        </w:rPr>
      </w:pPr>
    </w:p>
    <w:p>
      <w:pPr>
        <w:pStyle w:val="ListParagraph"/>
        <w:numPr>
          <w:ilvl w:val="0"/>
          <w:numId w:val="14"/>
        </w:numPr>
        <w:tabs>
          <w:tab w:pos="1559" w:val="left" w:leader="none"/>
        </w:tabs>
        <w:spacing w:line="240" w:lineRule="auto" w:before="0" w:after="0"/>
        <w:ind w:left="1559" w:right="0" w:hanging="359"/>
        <w:jc w:val="left"/>
        <w:rPr>
          <w:sz w:val="24"/>
        </w:rPr>
      </w:pPr>
      <w:r>
        <w:rPr>
          <w:sz w:val="24"/>
        </w:rPr>
        <w:t>Annual</w:t>
      </w:r>
      <w:r>
        <w:rPr>
          <w:spacing w:val="-1"/>
          <w:sz w:val="24"/>
        </w:rPr>
        <w:t> </w:t>
      </w:r>
      <w:r>
        <w:rPr>
          <w:sz w:val="24"/>
        </w:rPr>
        <w:t>Grant</w:t>
      </w:r>
      <w:r>
        <w:rPr>
          <w:spacing w:val="-2"/>
          <w:sz w:val="24"/>
        </w:rPr>
        <w:t> Applications</w:t>
      </w:r>
    </w:p>
    <w:p>
      <w:pPr>
        <w:pStyle w:val="ListParagraph"/>
        <w:numPr>
          <w:ilvl w:val="0"/>
          <w:numId w:val="14"/>
        </w:numPr>
        <w:tabs>
          <w:tab w:pos="1559" w:val="left" w:leader="none"/>
        </w:tabs>
        <w:spacing w:line="305" w:lineRule="exact" w:before="2" w:after="0"/>
        <w:ind w:left="1559" w:right="0" w:hanging="359"/>
        <w:jc w:val="left"/>
        <w:rPr>
          <w:sz w:val="24"/>
        </w:rPr>
      </w:pPr>
      <w:r>
        <w:rPr>
          <w:sz w:val="24"/>
        </w:rPr>
        <w:t>Quarterly/annual</w:t>
      </w:r>
      <w:r>
        <w:rPr>
          <w:spacing w:val="-4"/>
          <w:sz w:val="24"/>
        </w:rPr>
        <w:t> </w:t>
      </w:r>
      <w:r>
        <w:rPr>
          <w:sz w:val="24"/>
        </w:rPr>
        <w:t>reports</w:t>
      </w:r>
      <w:r>
        <w:rPr>
          <w:spacing w:val="-2"/>
          <w:sz w:val="24"/>
        </w:rPr>
        <w:t> </w:t>
      </w:r>
      <w:r>
        <w:rPr>
          <w:sz w:val="24"/>
        </w:rPr>
        <w:t>from</w:t>
      </w:r>
      <w:r>
        <w:rPr>
          <w:spacing w:val="-3"/>
          <w:sz w:val="24"/>
        </w:rPr>
        <w:t> </w:t>
      </w:r>
      <w:r>
        <w:rPr>
          <w:spacing w:val="-2"/>
          <w:sz w:val="24"/>
        </w:rPr>
        <w:t>subrecipients</w:t>
      </w:r>
    </w:p>
    <w:p>
      <w:pPr>
        <w:pStyle w:val="ListParagraph"/>
        <w:numPr>
          <w:ilvl w:val="0"/>
          <w:numId w:val="14"/>
        </w:numPr>
        <w:tabs>
          <w:tab w:pos="1559" w:val="left" w:leader="none"/>
        </w:tabs>
        <w:spacing w:line="305" w:lineRule="exact" w:before="0" w:after="0"/>
        <w:ind w:left="1559" w:right="0" w:hanging="359"/>
        <w:jc w:val="left"/>
        <w:rPr>
          <w:sz w:val="24"/>
        </w:rPr>
      </w:pPr>
      <w:r>
        <w:rPr>
          <w:sz w:val="24"/>
        </w:rPr>
        <w:t>Regular</w:t>
      </w:r>
      <w:r>
        <w:rPr>
          <w:spacing w:val="-2"/>
          <w:sz w:val="24"/>
        </w:rPr>
        <w:t> </w:t>
      </w:r>
      <w:r>
        <w:rPr>
          <w:sz w:val="24"/>
        </w:rPr>
        <w:t>meetings</w:t>
      </w:r>
      <w:r>
        <w:rPr>
          <w:spacing w:val="-2"/>
          <w:sz w:val="24"/>
        </w:rPr>
        <w:t> </w:t>
      </w:r>
      <w:r>
        <w:rPr>
          <w:sz w:val="24"/>
        </w:rPr>
        <w:t>with</w:t>
      </w:r>
      <w:r>
        <w:rPr>
          <w:spacing w:val="-2"/>
          <w:sz w:val="24"/>
        </w:rPr>
        <w:t> providers</w:t>
      </w:r>
    </w:p>
    <w:p>
      <w:pPr>
        <w:pStyle w:val="ListParagraph"/>
        <w:numPr>
          <w:ilvl w:val="0"/>
          <w:numId w:val="14"/>
        </w:numPr>
        <w:tabs>
          <w:tab w:pos="1559" w:val="left" w:leader="none"/>
        </w:tabs>
        <w:spacing w:line="305" w:lineRule="exact" w:before="0" w:after="0"/>
        <w:ind w:left="1559" w:right="0" w:hanging="360"/>
        <w:jc w:val="left"/>
        <w:rPr>
          <w:sz w:val="24"/>
        </w:rPr>
      </w:pPr>
      <w:r>
        <w:rPr>
          <w:sz w:val="24"/>
        </w:rPr>
        <w:t>Vehicle/facility</w:t>
      </w:r>
      <w:r>
        <w:rPr>
          <w:spacing w:val="-1"/>
          <w:sz w:val="24"/>
        </w:rPr>
        <w:t> </w:t>
      </w:r>
      <w:r>
        <w:rPr>
          <w:spacing w:val="-2"/>
          <w:sz w:val="24"/>
        </w:rPr>
        <w:t>inspections</w:t>
      </w:r>
    </w:p>
    <w:p>
      <w:pPr>
        <w:pStyle w:val="ListParagraph"/>
        <w:numPr>
          <w:ilvl w:val="0"/>
          <w:numId w:val="14"/>
        </w:numPr>
        <w:tabs>
          <w:tab w:pos="1559" w:val="left" w:leader="none"/>
        </w:tabs>
        <w:spacing w:line="305" w:lineRule="exact" w:before="1" w:after="0"/>
        <w:ind w:left="1559" w:right="0" w:hanging="360"/>
        <w:jc w:val="left"/>
        <w:rPr>
          <w:sz w:val="24"/>
        </w:rPr>
      </w:pPr>
      <w:r>
        <w:rPr>
          <w:sz w:val="24"/>
        </w:rPr>
        <w:t>Site </w:t>
      </w:r>
      <w:r>
        <w:rPr>
          <w:spacing w:val="-2"/>
          <w:sz w:val="24"/>
        </w:rPr>
        <w:t>visits</w:t>
      </w:r>
    </w:p>
    <w:p>
      <w:pPr>
        <w:pStyle w:val="ListParagraph"/>
        <w:numPr>
          <w:ilvl w:val="0"/>
          <w:numId w:val="14"/>
        </w:numPr>
        <w:tabs>
          <w:tab w:pos="1559" w:val="left" w:leader="none"/>
        </w:tabs>
        <w:spacing w:line="305" w:lineRule="exact" w:before="0" w:after="0"/>
        <w:ind w:left="1559" w:right="0" w:hanging="360"/>
        <w:jc w:val="left"/>
        <w:rPr>
          <w:sz w:val="24"/>
        </w:rPr>
      </w:pPr>
      <w:r>
        <w:rPr>
          <w:sz w:val="24"/>
        </w:rPr>
        <w:t>Training/technical</w:t>
      </w:r>
      <w:r>
        <w:rPr>
          <w:spacing w:val="-6"/>
          <w:sz w:val="24"/>
        </w:rPr>
        <w:t> </w:t>
      </w:r>
      <w:r>
        <w:rPr>
          <w:spacing w:val="-2"/>
          <w:sz w:val="24"/>
        </w:rPr>
        <w:t>assistance</w:t>
      </w:r>
    </w:p>
    <w:p>
      <w:pPr>
        <w:pStyle w:val="BodyText"/>
        <w:spacing w:before="2"/>
      </w:pPr>
    </w:p>
    <w:p>
      <w:pPr>
        <w:pStyle w:val="Heading9"/>
        <w:ind w:left="840" w:right="935"/>
      </w:pPr>
      <w:r>
        <w:rPr/>
        <w:t>Assessment</w:t>
      </w:r>
      <w:r>
        <w:rPr>
          <w:spacing w:val="-2"/>
        </w:rPr>
        <w:t> </w:t>
      </w:r>
      <w:r>
        <w:rPr/>
        <w:t>of</w:t>
      </w:r>
      <w:r>
        <w:rPr>
          <w:spacing w:val="-4"/>
        </w:rPr>
        <w:t> </w:t>
      </w:r>
      <w:r>
        <w:rPr/>
        <w:t>Needs</w:t>
      </w:r>
      <w:r>
        <w:rPr>
          <w:spacing w:val="-2"/>
        </w:rPr>
        <w:t> </w:t>
      </w:r>
      <w:r>
        <w:rPr/>
        <w:t>and</w:t>
      </w:r>
      <w:r>
        <w:rPr>
          <w:spacing w:val="-2"/>
        </w:rPr>
        <w:t> </w:t>
      </w:r>
      <w:r>
        <w:rPr/>
        <w:t>Resources</w:t>
      </w:r>
      <w:r>
        <w:rPr>
          <w:spacing w:val="-5"/>
        </w:rPr>
        <w:t> </w:t>
      </w:r>
      <w:r>
        <w:rPr/>
        <w:t>for</w:t>
      </w:r>
      <w:r>
        <w:rPr>
          <w:spacing w:val="-1"/>
        </w:rPr>
        <w:t> </w:t>
      </w:r>
      <w:r>
        <w:rPr/>
        <w:t>LEP</w:t>
      </w:r>
      <w:r>
        <w:rPr>
          <w:spacing w:val="-3"/>
        </w:rPr>
        <w:t> </w:t>
      </w:r>
      <w:r>
        <w:rPr/>
        <w:t>Populations</w:t>
      </w:r>
      <w:r>
        <w:rPr>
          <w:spacing w:val="-5"/>
        </w:rPr>
        <w:t> </w:t>
      </w:r>
      <w:r>
        <w:rPr/>
        <w:t>in</w:t>
      </w:r>
      <w:r>
        <w:rPr>
          <w:spacing w:val="-2"/>
        </w:rPr>
        <w:t> </w:t>
      </w:r>
      <w:r>
        <w:rPr/>
        <w:t>Maine</w:t>
      </w:r>
      <w:r>
        <w:rPr>
          <w:spacing w:val="-5"/>
        </w:rPr>
        <w:t> </w:t>
      </w:r>
      <w:r>
        <w:rPr/>
        <w:t>Through</w:t>
      </w:r>
      <w:r>
        <w:rPr>
          <w:spacing w:val="-2"/>
        </w:rPr>
        <w:t> </w:t>
      </w:r>
      <w:r>
        <w:rPr/>
        <w:t>the</w:t>
      </w:r>
      <w:r>
        <w:rPr>
          <w:spacing w:val="-3"/>
        </w:rPr>
        <w:t> </w:t>
      </w:r>
      <w:r>
        <w:rPr/>
        <w:t>Four</w:t>
      </w:r>
      <w:r>
        <w:rPr>
          <w:spacing w:val="-4"/>
        </w:rPr>
        <w:t> </w:t>
      </w:r>
      <w:r>
        <w:rPr/>
        <w:t>Factor </w:t>
      </w:r>
      <w:r>
        <w:rPr>
          <w:spacing w:val="-2"/>
        </w:rPr>
        <w:t>Analysis</w:t>
      </w:r>
    </w:p>
    <w:p>
      <w:pPr>
        <w:pStyle w:val="BodyText"/>
        <w:rPr>
          <w:b/>
        </w:rPr>
      </w:pPr>
    </w:p>
    <w:p>
      <w:pPr>
        <w:pStyle w:val="BodyText"/>
        <w:ind w:left="840" w:right="935"/>
      </w:pPr>
      <w:r>
        <w:rPr/>
        <w:t>The</w:t>
      </w:r>
      <w:r>
        <w:rPr>
          <w:spacing w:val="-4"/>
        </w:rPr>
        <w:t> </w:t>
      </w:r>
      <w:r>
        <w:rPr/>
        <w:t>need</w:t>
      </w:r>
      <w:r>
        <w:rPr>
          <w:spacing w:val="-1"/>
        </w:rPr>
        <w:t> </w:t>
      </w:r>
      <w:r>
        <w:rPr/>
        <w:t>and</w:t>
      </w:r>
      <w:r>
        <w:rPr>
          <w:spacing w:val="-4"/>
        </w:rPr>
        <w:t> </w:t>
      </w:r>
      <w:r>
        <w:rPr/>
        <w:t>resources</w:t>
      </w:r>
      <w:r>
        <w:rPr>
          <w:spacing w:val="-5"/>
        </w:rPr>
        <w:t> </w:t>
      </w:r>
      <w:r>
        <w:rPr/>
        <w:t>for</w:t>
      </w:r>
      <w:r>
        <w:rPr>
          <w:spacing w:val="-2"/>
        </w:rPr>
        <w:t> </w:t>
      </w:r>
      <w:r>
        <w:rPr/>
        <w:t>LEP</w:t>
      </w:r>
      <w:r>
        <w:rPr>
          <w:spacing w:val="-2"/>
        </w:rPr>
        <w:t> </w:t>
      </w:r>
      <w:r>
        <w:rPr/>
        <w:t>language</w:t>
      </w:r>
      <w:r>
        <w:rPr>
          <w:spacing w:val="-4"/>
        </w:rPr>
        <w:t> </w:t>
      </w:r>
      <w:r>
        <w:rPr/>
        <w:t>assistance</w:t>
      </w:r>
      <w:r>
        <w:rPr>
          <w:spacing w:val="-2"/>
        </w:rPr>
        <w:t> </w:t>
      </w:r>
      <w:r>
        <w:rPr/>
        <w:t>were</w:t>
      </w:r>
      <w:r>
        <w:rPr>
          <w:spacing w:val="-4"/>
        </w:rPr>
        <w:t> </w:t>
      </w:r>
      <w:r>
        <w:rPr/>
        <w:t>determined</w:t>
      </w:r>
      <w:r>
        <w:rPr>
          <w:spacing w:val="-4"/>
        </w:rPr>
        <w:t> </w:t>
      </w:r>
      <w:r>
        <w:rPr/>
        <w:t>through</w:t>
      </w:r>
      <w:r>
        <w:rPr>
          <w:spacing w:val="-1"/>
        </w:rPr>
        <w:t> </w:t>
      </w:r>
      <w:r>
        <w:rPr/>
        <w:t>a</w:t>
      </w:r>
      <w:r>
        <w:rPr>
          <w:spacing w:val="-5"/>
        </w:rPr>
        <w:t> </w:t>
      </w:r>
      <w:r>
        <w:rPr/>
        <w:t>four-factor analysis as recommended by FTA guidance.</w:t>
      </w:r>
    </w:p>
    <w:p>
      <w:pPr>
        <w:pStyle w:val="BodyText"/>
        <w:spacing w:before="11"/>
        <w:rPr>
          <w:sz w:val="23"/>
        </w:rPr>
      </w:pPr>
    </w:p>
    <w:p>
      <w:pPr>
        <w:pStyle w:val="BodyText"/>
        <w:spacing w:before="1"/>
        <w:ind w:left="840" w:right="935"/>
      </w:pPr>
      <w:r>
        <w:rPr/>
        <w:t>This analysis considered four factors in determining the reasonable extent to which access shall be provided. Ultimately, a program, service, or activity with a demonstrated need for language services was deemed “critical,” as indicated by the US DOT Policy Guidance Concerning Recipients’ Responsibilities to LEP persons.</w:t>
      </w:r>
    </w:p>
    <w:p>
      <w:pPr>
        <w:spacing w:after="0"/>
        <w:sectPr>
          <w:pgSz w:w="12240" w:h="15840"/>
          <w:pgMar w:header="0" w:footer="997" w:top="960" w:bottom="1260" w:left="600" w:right="500"/>
        </w:sectPr>
      </w:pPr>
    </w:p>
    <w:p>
      <w:pPr>
        <w:pStyle w:val="BodyText"/>
        <w:spacing w:before="28"/>
        <w:ind w:left="840" w:right="933"/>
        <w:jc w:val="both"/>
      </w:pPr>
      <w:r>
        <w:rPr/>
        <w:t>MaineDOT</w:t>
      </w:r>
      <w:r>
        <w:rPr>
          <w:spacing w:val="-14"/>
        </w:rPr>
        <w:t> </w:t>
      </w:r>
      <w:r>
        <w:rPr/>
        <w:t>will</w:t>
      </w:r>
      <w:r>
        <w:rPr>
          <w:spacing w:val="-14"/>
        </w:rPr>
        <w:t> </w:t>
      </w:r>
      <w:r>
        <w:rPr/>
        <w:t>continue</w:t>
      </w:r>
      <w:r>
        <w:rPr>
          <w:spacing w:val="-13"/>
        </w:rPr>
        <w:t> </w:t>
      </w:r>
      <w:r>
        <w:rPr/>
        <w:t>to</w:t>
      </w:r>
      <w:r>
        <w:rPr>
          <w:spacing w:val="-14"/>
        </w:rPr>
        <w:t> </w:t>
      </w:r>
      <w:r>
        <w:rPr/>
        <w:t>conduct</w:t>
      </w:r>
      <w:r>
        <w:rPr>
          <w:spacing w:val="-13"/>
        </w:rPr>
        <w:t> </w:t>
      </w:r>
      <w:r>
        <w:rPr/>
        <w:t>public</w:t>
      </w:r>
      <w:r>
        <w:rPr>
          <w:spacing w:val="-14"/>
        </w:rPr>
        <w:t> </w:t>
      </w:r>
      <w:r>
        <w:rPr/>
        <w:t>outreach</w:t>
      </w:r>
      <w:r>
        <w:rPr>
          <w:spacing w:val="-13"/>
        </w:rPr>
        <w:t> </w:t>
      </w:r>
      <w:r>
        <w:rPr/>
        <w:t>to</w:t>
      </w:r>
      <w:r>
        <w:rPr>
          <w:spacing w:val="-14"/>
        </w:rPr>
        <w:t> </w:t>
      </w:r>
      <w:r>
        <w:rPr/>
        <w:t>establish</w:t>
      </w:r>
      <w:r>
        <w:rPr>
          <w:spacing w:val="-14"/>
        </w:rPr>
        <w:t> </w:t>
      </w:r>
      <w:r>
        <w:rPr/>
        <w:t>which</w:t>
      </w:r>
      <w:r>
        <w:rPr>
          <w:spacing w:val="-13"/>
        </w:rPr>
        <w:t> </w:t>
      </w:r>
      <w:r>
        <w:rPr/>
        <w:t>particular</w:t>
      </w:r>
      <w:r>
        <w:rPr>
          <w:spacing w:val="-14"/>
        </w:rPr>
        <w:t> </w:t>
      </w:r>
      <w:r>
        <w:rPr/>
        <w:t>language</w:t>
      </w:r>
      <w:r>
        <w:rPr>
          <w:spacing w:val="-13"/>
        </w:rPr>
        <w:t> </w:t>
      </w:r>
      <w:r>
        <w:rPr/>
        <w:t>groups are interacting with public transportation services. This may include surveys with public transit employees and passengers to identify specific languages requiring translation within the larger “Other” language groups defined in the U.S. Census, American Community Survey.</w:t>
      </w:r>
    </w:p>
    <w:p>
      <w:pPr>
        <w:pStyle w:val="BodyText"/>
        <w:spacing w:before="11"/>
        <w:rPr>
          <w:sz w:val="23"/>
        </w:rPr>
      </w:pPr>
    </w:p>
    <w:p>
      <w:pPr>
        <w:pStyle w:val="BodyText"/>
        <w:ind w:left="839" w:right="1546"/>
        <w:jc w:val="both"/>
      </w:pPr>
      <w:r>
        <w:rPr/>
        <w:t>The</w:t>
      </w:r>
      <w:r>
        <w:rPr>
          <w:spacing w:val="-3"/>
        </w:rPr>
        <w:t> </w:t>
      </w:r>
      <w:r>
        <w:rPr/>
        <w:t>following</w:t>
      </w:r>
      <w:r>
        <w:rPr>
          <w:spacing w:val="-4"/>
        </w:rPr>
        <w:t> </w:t>
      </w:r>
      <w:r>
        <w:rPr/>
        <w:t>four</w:t>
      </w:r>
      <w:r>
        <w:rPr>
          <w:spacing w:val="-4"/>
        </w:rPr>
        <w:t> </w:t>
      </w:r>
      <w:r>
        <w:rPr/>
        <w:t>factors</w:t>
      </w:r>
      <w:r>
        <w:rPr>
          <w:spacing w:val="-2"/>
        </w:rPr>
        <w:t> </w:t>
      </w:r>
      <w:r>
        <w:rPr/>
        <w:t>were</w:t>
      </w:r>
      <w:r>
        <w:rPr>
          <w:spacing w:val="-3"/>
        </w:rPr>
        <w:t> </w:t>
      </w:r>
      <w:r>
        <w:rPr/>
        <w:t>considered</w:t>
      </w:r>
      <w:r>
        <w:rPr>
          <w:spacing w:val="-3"/>
        </w:rPr>
        <w:t> </w:t>
      </w:r>
      <w:r>
        <w:rPr/>
        <w:t>for</w:t>
      </w:r>
      <w:r>
        <w:rPr>
          <w:spacing w:val="-4"/>
        </w:rPr>
        <w:t> </w:t>
      </w:r>
      <w:r>
        <w:rPr/>
        <w:t>each program</w:t>
      </w:r>
      <w:r>
        <w:rPr>
          <w:spacing w:val="-1"/>
        </w:rPr>
        <w:t> </w:t>
      </w:r>
      <w:r>
        <w:rPr/>
        <w:t>or</w:t>
      </w:r>
      <w:r>
        <w:rPr>
          <w:spacing w:val="-4"/>
        </w:rPr>
        <w:t> </w:t>
      </w:r>
      <w:r>
        <w:rPr/>
        <w:t>activity</w:t>
      </w:r>
      <w:r>
        <w:rPr>
          <w:spacing w:val="-2"/>
        </w:rPr>
        <w:t> </w:t>
      </w:r>
      <w:r>
        <w:rPr/>
        <w:t>conducted</w:t>
      </w:r>
      <w:r>
        <w:rPr>
          <w:spacing w:val="-3"/>
        </w:rPr>
        <w:t> </w:t>
      </w:r>
      <w:r>
        <w:rPr/>
        <w:t>by</w:t>
      </w:r>
      <w:r>
        <w:rPr>
          <w:spacing w:val="-5"/>
        </w:rPr>
        <w:t> </w:t>
      </w:r>
      <w:r>
        <w:rPr/>
        <w:t>this </w:t>
      </w:r>
      <w:r>
        <w:rPr>
          <w:spacing w:val="-2"/>
        </w:rPr>
        <w:t>Department:</w:t>
      </w:r>
    </w:p>
    <w:p>
      <w:pPr>
        <w:pStyle w:val="ListParagraph"/>
        <w:numPr>
          <w:ilvl w:val="0"/>
          <w:numId w:val="15"/>
        </w:numPr>
        <w:tabs>
          <w:tab w:pos="1968" w:val="left" w:leader="none"/>
          <w:tab w:pos="1970" w:val="left" w:leader="none"/>
        </w:tabs>
        <w:spacing w:line="240" w:lineRule="auto" w:before="2" w:after="0"/>
        <w:ind w:left="1970" w:right="935" w:hanging="360"/>
        <w:jc w:val="both"/>
        <w:rPr>
          <w:sz w:val="24"/>
        </w:rPr>
      </w:pPr>
      <w:r>
        <w:rPr>
          <w:sz w:val="24"/>
          <w:u w:val="single"/>
        </w:rPr>
        <w:t>The number or proportion of LEP persons served or encountered in the eligible</w:t>
      </w:r>
      <w:r>
        <w:rPr>
          <w:sz w:val="24"/>
        </w:rPr>
        <w:t> </w:t>
      </w:r>
      <w:r>
        <w:rPr>
          <w:sz w:val="24"/>
          <w:u w:val="single"/>
        </w:rPr>
        <w:t>service</w:t>
      </w:r>
      <w:r>
        <w:rPr>
          <w:spacing w:val="-2"/>
          <w:sz w:val="24"/>
          <w:u w:val="single"/>
        </w:rPr>
        <w:t> </w:t>
      </w:r>
      <w:r>
        <w:rPr>
          <w:sz w:val="24"/>
          <w:u w:val="single"/>
        </w:rPr>
        <w:t>population</w:t>
      </w:r>
      <w:r>
        <w:rPr>
          <w:sz w:val="24"/>
        </w:rPr>
        <w:t>.</w:t>
      </w:r>
      <w:r>
        <w:rPr>
          <w:spacing w:val="-3"/>
          <w:sz w:val="24"/>
        </w:rPr>
        <w:t> </w:t>
      </w:r>
      <w:r>
        <w:rPr>
          <w:sz w:val="24"/>
        </w:rPr>
        <w:t>This</w:t>
      </w:r>
      <w:r>
        <w:rPr>
          <w:spacing w:val="-3"/>
          <w:sz w:val="24"/>
        </w:rPr>
        <w:t> </w:t>
      </w:r>
      <w:r>
        <w:rPr>
          <w:sz w:val="24"/>
        </w:rPr>
        <w:t>information</w:t>
      </w:r>
      <w:r>
        <w:rPr>
          <w:spacing w:val="-1"/>
          <w:sz w:val="24"/>
        </w:rPr>
        <w:t> </w:t>
      </w:r>
      <w:r>
        <w:rPr>
          <w:sz w:val="24"/>
        </w:rPr>
        <w:t>consisted</w:t>
      </w:r>
      <w:r>
        <w:rPr>
          <w:spacing w:val="-4"/>
          <w:sz w:val="24"/>
        </w:rPr>
        <w:t> </w:t>
      </w:r>
      <w:r>
        <w:rPr>
          <w:sz w:val="24"/>
        </w:rPr>
        <w:t>of</w:t>
      </w:r>
      <w:r>
        <w:rPr>
          <w:spacing w:val="-4"/>
          <w:sz w:val="24"/>
        </w:rPr>
        <w:t> </w:t>
      </w:r>
      <w:r>
        <w:rPr>
          <w:sz w:val="24"/>
        </w:rPr>
        <w:t>Census</w:t>
      </w:r>
      <w:r>
        <w:rPr>
          <w:spacing w:val="-3"/>
          <w:sz w:val="24"/>
        </w:rPr>
        <w:t> </w:t>
      </w:r>
      <w:r>
        <w:rPr>
          <w:sz w:val="24"/>
        </w:rPr>
        <w:t>data</w:t>
      </w:r>
      <w:r>
        <w:rPr>
          <w:spacing w:val="-2"/>
          <w:sz w:val="24"/>
        </w:rPr>
        <w:t> </w:t>
      </w:r>
      <w:r>
        <w:rPr>
          <w:sz w:val="24"/>
        </w:rPr>
        <w:t>relevant</w:t>
      </w:r>
      <w:r>
        <w:rPr>
          <w:spacing w:val="-4"/>
          <w:sz w:val="24"/>
        </w:rPr>
        <w:t> </w:t>
      </w:r>
      <w:r>
        <w:rPr>
          <w:sz w:val="24"/>
        </w:rPr>
        <w:t>to</w:t>
      </w:r>
      <w:r>
        <w:rPr>
          <w:spacing w:val="-4"/>
          <w:sz w:val="24"/>
        </w:rPr>
        <w:t> </w:t>
      </w:r>
      <w:r>
        <w:rPr>
          <w:sz w:val="24"/>
        </w:rPr>
        <w:t>the</w:t>
      </w:r>
      <w:r>
        <w:rPr>
          <w:spacing w:val="-2"/>
          <w:sz w:val="24"/>
        </w:rPr>
        <w:t> </w:t>
      </w:r>
      <w:r>
        <w:rPr>
          <w:sz w:val="24"/>
        </w:rPr>
        <w:t>service area of each program or activity reviewed.</w:t>
      </w:r>
    </w:p>
    <w:p>
      <w:pPr>
        <w:pStyle w:val="ListParagraph"/>
        <w:numPr>
          <w:ilvl w:val="0"/>
          <w:numId w:val="15"/>
        </w:numPr>
        <w:tabs>
          <w:tab w:pos="1968" w:val="left" w:leader="none"/>
          <w:tab w:pos="1970" w:val="left" w:leader="none"/>
        </w:tabs>
        <w:spacing w:line="240" w:lineRule="auto" w:before="0" w:after="0"/>
        <w:ind w:left="1970" w:right="935" w:hanging="360"/>
        <w:jc w:val="both"/>
        <w:rPr>
          <w:sz w:val="24"/>
        </w:rPr>
      </w:pPr>
      <w:r>
        <w:rPr>
          <w:sz w:val="24"/>
          <w:u w:val="single"/>
        </w:rPr>
        <w:t>The</w:t>
      </w:r>
      <w:r>
        <w:rPr>
          <w:spacing w:val="-7"/>
          <w:sz w:val="24"/>
          <w:u w:val="single"/>
        </w:rPr>
        <w:t> </w:t>
      </w:r>
      <w:r>
        <w:rPr>
          <w:sz w:val="24"/>
          <w:u w:val="single"/>
        </w:rPr>
        <w:t>frequency</w:t>
      </w:r>
      <w:r>
        <w:rPr>
          <w:spacing w:val="-8"/>
          <w:sz w:val="24"/>
          <w:u w:val="single"/>
        </w:rPr>
        <w:t> </w:t>
      </w:r>
      <w:r>
        <w:rPr>
          <w:sz w:val="24"/>
          <w:u w:val="single"/>
        </w:rPr>
        <w:t>with</w:t>
      </w:r>
      <w:r>
        <w:rPr>
          <w:spacing w:val="-6"/>
          <w:sz w:val="24"/>
          <w:u w:val="single"/>
        </w:rPr>
        <w:t> </w:t>
      </w:r>
      <w:r>
        <w:rPr>
          <w:sz w:val="24"/>
          <w:u w:val="single"/>
        </w:rPr>
        <w:t>which</w:t>
      </w:r>
      <w:r>
        <w:rPr>
          <w:spacing w:val="-4"/>
          <w:sz w:val="24"/>
          <w:u w:val="single"/>
        </w:rPr>
        <w:t> </w:t>
      </w:r>
      <w:r>
        <w:rPr>
          <w:sz w:val="24"/>
          <w:u w:val="single"/>
        </w:rPr>
        <w:t>LEP</w:t>
      </w:r>
      <w:r>
        <w:rPr>
          <w:spacing w:val="-7"/>
          <w:sz w:val="24"/>
          <w:u w:val="single"/>
        </w:rPr>
        <w:t> </w:t>
      </w:r>
      <w:r>
        <w:rPr>
          <w:sz w:val="24"/>
          <w:u w:val="single"/>
        </w:rPr>
        <w:t>individuals</w:t>
      </w:r>
      <w:r>
        <w:rPr>
          <w:spacing w:val="-8"/>
          <w:sz w:val="24"/>
          <w:u w:val="single"/>
        </w:rPr>
        <w:t> </w:t>
      </w:r>
      <w:r>
        <w:rPr>
          <w:sz w:val="24"/>
          <w:u w:val="single"/>
        </w:rPr>
        <w:t>come</w:t>
      </w:r>
      <w:r>
        <w:rPr>
          <w:spacing w:val="-7"/>
          <w:sz w:val="24"/>
          <w:u w:val="single"/>
        </w:rPr>
        <w:t> </w:t>
      </w:r>
      <w:r>
        <w:rPr>
          <w:sz w:val="24"/>
          <w:u w:val="single"/>
        </w:rPr>
        <w:t>in</w:t>
      </w:r>
      <w:r>
        <w:rPr>
          <w:spacing w:val="-6"/>
          <w:sz w:val="24"/>
          <w:u w:val="single"/>
        </w:rPr>
        <w:t> </w:t>
      </w:r>
      <w:r>
        <w:rPr>
          <w:sz w:val="24"/>
          <w:u w:val="single"/>
        </w:rPr>
        <w:t>contact</w:t>
      </w:r>
      <w:r>
        <w:rPr>
          <w:spacing w:val="-6"/>
          <w:sz w:val="24"/>
          <w:u w:val="single"/>
        </w:rPr>
        <w:t> </w:t>
      </w:r>
      <w:r>
        <w:rPr>
          <w:sz w:val="24"/>
          <w:u w:val="single"/>
        </w:rPr>
        <w:t>with</w:t>
      </w:r>
      <w:r>
        <w:rPr>
          <w:spacing w:val="-9"/>
          <w:sz w:val="24"/>
          <w:u w:val="single"/>
        </w:rPr>
        <w:t> </w:t>
      </w:r>
      <w:r>
        <w:rPr>
          <w:sz w:val="24"/>
          <w:u w:val="single"/>
        </w:rPr>
        <w:t>the</w:t>
      </w:r>
      <w:r>
        <w:rPr>
          <w:spacing w:val="-9"/>
          <w:sz w:val="24"/>
          <w:u w:val="single"/>
        </w:rPr>
        <w:t> </w:t>
      </w:r>
      <w:r>
        <w:rPr>
          <w:sz w:val="24"/>
          <w:u w:val="single"/>
        </w:rPr>
        <w:t>program,</w:t>
      </w:r>
      <w:r>
        <w:rPr>
          <w:spacing w:val="-5"/>
          <w:sz w:val="24"/>
          <w:u w:val="single"/>
        </w:rPr>
        <w:t> </w:t>
      </w:r>
      <w:r>
        <w:rPr>
          <w:sz w:val="24"/>
          <w:u w:val="single"/>
        </w:rPr>
        <w:t>activity,</w:t>
      </w:r>
      <w:r>
        <w:rPr>
          <w:sz w:val="24"/>
        </w:rPr>
        <w:t> </w:t>
      </w:r>
      <w:r>
        <w:rPr>
          <w:sz w:val="24"/>
          <w:u w:val="single"/>
        </w:rPr>
        <w:t>or</w:t>
      </w:r>
      <w:r>
        <w:rPr>
          <w:spacing w:val="-8"/>
          <w:sz w:val="24"/>
          <w:u w:val="single"/>
        </w:rPr>
        <w:t> </w:t>
      </w:r>
      <w:r>
        <w:rPr>
          <w:sz w:val="24"/>
          <w:u w:val="single"/>
        </w:rPr>
        <w:t>services</w:t>
      </w:r>
      <w:r>
        <w:rPr>
          <w:sz w:val="24"/>
        </w:rPr>
        <w:t>.</w:t>
      </w:r>
      <w:r>
        <w:rPr>
          <w:spacing w:val="-9"/>
          <w:sz w:val="24"/>
        </w:rPr>
        <w:t> </w:t>
      </w:r>
      <w:r>
        <w:rPr>
          <w:sz w:val="24"/>
        </w:rPr>
        <w:t>This</w:t>
      </w:r>
      <w:r>
        <w:rPr>
          <w:spacing w:val="-9"/>
          <w:sz w:val="24"/>
        </w:rPr>
        <w:t> </w:t>
      </w:r>
      <w:r>
        <w:rPr>
          <w:sz w:val="24"/>
        </w:rPr>
        <w:t>information</w:t>
      </w:r>
      <w:r>
        <w:rPr>
          <w:spacing w:val="-7"/>
          <w:sz w:val="24"/>
        </w:rPr>
        <w:t> </w:t>
      </w:r>
      <w:r>
        <w:rPr>
          <w:sz w:val="24"/>
        </w:rPr>
        <w:t>was</w:t>
      </w:r>
      <w:r>
        <w:rPr>
          <w:spacing w:val="-9"/>
          <w:sz w:val="24"/>
        </w:rPr>
        <w:t> </w:t>
      </w:r>
      <w:r>
        <w:rPr>
          <w:sz w:val="24"/>
        </w:rPr>
        <w:t>based</w:t>
      </w:r>
      <w:r>
        <w:rPr>
          <w:spacing w:val="-7"/>
          <w:sz w:val="24"/>
        </w:rPr>
        <w:t> </w:t>
      </w:r>
      <w:r>
        <w:rPr>
          <w:sz w:val="24"/>
        </w:rPr>
        <w:t>on</w:t>
      </w:r>
      <w:r>
        <w:rPr>
          <w:spacing w:val="-7"/>
          <w:sz w:val="24"/>
        </w:rPr>
        <w:t> </w:t>
      </w:r>
      <w:r>
        <w:rPr>
          <w:sz w:val="24"/>
        </w:rPr>
        <w:t>anecdotal</w:t>
      </w:r>
      <w:r>
        <w:rPr>
          <w:spacing w:val="-8"/>
          <w:sz w:val="24"/>
        </w:rPr>
        <w:t> </w:t>
      </w:r>
      <w:r>
        <w:rPr>
          <w:sz w:val="24"/>
        </w:rPr>
        <w:t>evidence</w:t>
      </w:r>
      <w:r>
        <w:rPr>
          <w:spacing w:val="-8"/>
          <w:sz w:val="24"/>
        </w:rPr>
        <w:t> </w:t>
      </w:r>
      <w:r>
        <w:rPr>
          <w:sz w:val="24"/>
        </w:rPr>
        <w:t>and</w:t>
      </w:r>
      <w:r>
        <w:rPr>
          <w:spacing w:val="-7"/>
          <w:sz w:val="24"/>
        </w:rPr>
        <w:t> </w:t>
      </w:r>
      <w:r>
        <w:rPr>
          <w:sz w:val="24"/>
        </w:rPr>
        <w:t>statistical</w:t>
      </w:r>
      <w:r>
        <w:rPr>
          <w:spacing w:val="-8"/>
          <w:sz w:val="24"/>
        </w:rPr>
        <w:t> </w:t>
      </w:r>
      <w:r>
        <w:rPr>
          <w:sz w:val="24"/>
        </w:rPr>
        <w:t>records relating to previous encounters with LEP persons.</w:t>
      </w:r>
    </w:p>
    <w:p>
      <w:pPr>
        <w:pStyle w:val="ListParagraph"/>
        <w:numPr>
          <w:ilvl w:val="0"/>
          <w:numId w:val="15"/>
        </w:numPr>
        <w:tabs>
          <w:tab w:pos="1968" w:val="left" w:leader="none"/>
        </w:tabs>
        <w:spacing w:line="292" w:lineRule="exact" w:before="0" w:after="0"/>
        <w:ind w:left="1968" w:right="0" w:hanging="358"/>
        <w:jc w:val="both"/>
        <w:rPr>
          <w:sz w:val="24"/>
        </w:rPr>
      </w:pPr>
      <w:r>
        <w:rPr>
          <w:sz w:val="24"/>
          <w:u w:val="single"/>
        </w:rPr>
        <w:t>The</w:t>
      </w:r>
      <w:r>
        <w:rPr>
          <w:spacing w:val="-5"/>
          <w:sz w:val="24"/>
          <w:u w:val="single"/>
        </w:rPr>
        <w:t> </w:t>
      </w:r>
      <w:r>
        <w:rPr>
          <w:sz w:val="24"/>
          <w:u w:val="single"/>
        </w:rPr>
        <w:t>nature</w:t>
      </w:r>
      <w:r>
        <w:rPr>
          <w:spacing w:val="-2"/>
          <w:sz w:val="24"/>
          <w:u w:val="single"/>
        </w:rPr>
        <w:t> </w:t>
      </w:r>
      <w:r>
        <w:rPr>
          <w:sz w:val="24"/>
          <w:u w:val="single"/>
        </w:rPr>
        <w:t>and importance of</w:t>
      </w:r>
      <w:r>
        <w:rPr>
          <w:spacing w:val="-3"/>
          <w:sz w:val="24"/>
          <w:u w:val="single"/>
        </w:rPr>
        <w:t> </w:t>
      </w:r>
      <w:r>
        <w:rPr>
          <w:sz w:val="24"/>
          <w:u w:val="single"/>
        </w:rPr>
        <w:t>the</w:t>
      </w:r>
      <w:r>
        <w:rPr>
          <w:spacing w:val="-2"/>
          <w:sz w:val="24"/>
          <w:u w:val="single"/>
        </w:rPr>
        <w:t> </w:t>
      </w:r>
      <w:r>
        <w:rPr>
          <w:sz w:val="24"/>
          <w:u w:val="single"/>
        </w:rPr>
        <w:t>program,</w:t>
      </w:r>
      <w:r>
        <w:rPr>
          <w:spacing w:val="-4"/>
          <w:sz w:val="24"/>
          <w:u w:val="single"/>
        </w:rPr>
        <w:t> </w:t>
      </w:r>
      <w:r>
        <w:rPr>
          <w:sz w:val="24"/>
          <w:u w:val="single"/>
        </w:rPr>
        <w:t>activity, or </w:t>
      </w:r>
      <w:r>
        <w:rPr>
          <w:spacing w:val="-2"/>
          <w:sz w:val="24"/>
          <w:u w:val="single"/>
        </w:rPr>
        <w:t>service</w:t>
      </w:r>
      <w:r>
        <w:rPr>
          <w:spacing w:val="-2"/>
          <w:sz w:val="24"/>
        </w:rPr>
        <w:t>.</w:t>
      </w:r>
    </w:p>
    <w:p>
      <w:pPr>
        <w:pStyle w:val="ListParagraph"/>
        <w:numPr>
          <w:ilvl w:val="0"/>
          <w:numId w:val="15"/>
        </w:numPr>
        <w:tabs>
          <w:tab w:pos="1968" w:val="left" w:leader="none"/>
        </w:tabs>
        <w:spacing w:line="240" w:lineRule="auto" w:before="0" w:after="0"/>
        <w:ind w:left="1968" w:right="0" w:hanging="358"/>
        <w:jc w:val="both"/>
        <w:rPr>
          <w:sz w:val="24"/>
        </w:rPr>
      </w:pPr>
      <w:r>
        <w:rPr>
          <w:sz w:val="24"/>
          <w:u w:val="single"/>
        </w:rPr>
        <w:t>Resources</w:t>
      </w:r>
      <w:r>
        <w:rPr>
          <w:spacing w:val="-3"/>
          <w:sz w:val="24"/>
          <w:u w:val="single"/>
        </w:rPr>
        <w:t> </w:t>
      </w:r>
      <w:r>
        <w:rPr>
          <w:sz w:val="24"/>
          <w:u w:val="single"/>
        </w:rPr>
        <w:t>Available</w:t>
      </w:r>
      <w:r>
        <w:rPr>
          <w:spacing w:val="-1"/>
          <w:sz w:val="24"/>
          <w:u w:val="single"/>
        </w:rPr>
        <w:t> </w:t>
      </w:r>
      <w:r>
        <w:rPr>
          <w:sz w:val="24"/>
          <w:u w:val="single"/>
        </w:rPr>
        <w:t>and</w:t>
      </w:r>
      <w:r>
        <w:rPr>
          <w:spacing w:val="-5"/>
          <w:sz w:val="24"/>
          <w:u w:val="single"/>
        </w:rPr>
        <w:t> </w:t>
      </w:r>
      <w:r>
        <w:rPr>
          <w:spacing w:val="-2"/>
          <w:sz w:val="24"/>
          <w:u w:val="single"/>
        </w:rPr>
        <w:t>Costs</w:t>
      </w:r>
      <w:r>
        <w:rPr>
          <w:spacing w:val="-2"/>
          <w:sz w:val="24"/>
        </w:rPr>
        <w:t>.</w:t>
      </w:r>
    </w:p>
    <w:p>
      <w:pPr>
        <w:pStyle w:val="BodyText"/>
        <w:spacing w:before="9"/>
        <w:rPr>
          <w:sz w:val="19"/>
        </w:rPr>
      </w:pPr>
    </w:p>
    <w:p>
      <w:pPr>
        <w:pStyle w:val="Heading9"/>
        <w:numPr>
          <w:ilvl w:val="1"/>
          <w:numId w:val="10"/>
        </w:numPr>
        <w:tabs>
          <w:tab w:pos="1197" w:val="left" w:leader="none"/>
          <w:tab w:pos="1199" w:val="left" w:leader="none"/>
        </w:tabs>
        <w:spacing w:line="240" w:lineRule="auto" w:before="52" w:after="0"/>
        <w:ind w:left="1199" w:right="989" w:hanging="360"/>
        <w:jc w:val="left"/>
      </w:pPr>
      <w:r>
        <w:rPr/>
        <w:t>Results</w:t>
      </w:r>
      <w:r>
        <w:rPr>
          <w:spacing w:val="-2"/>
        </w:rPr>
        <w:t> </w:t>
      </w:r>
      <w:r>
        <w:rPr/>
        <w:t>of</w:t>
      </w:r>
      <w:r>
        <w:rPr>
          <w:spacing w:val="-2"/>
        </w:rPr>
        <w:t> </w:t>
      </w:r>
      <w:r>
        <w:rPr/>
        <w:t>the</w:t>
      </w:r>
      <w:r>
        <w:rPr>
          <w:spacing w:val="-3"/>
        </w:rPr>
        <w:t> </w:t>
      </w:r>
      <w:r>
        <w:rPr/>
        <w:t>Four</w:t>
      </w:r>
      <w:r>
        <w:rPr>
          <w:spacing w:val="-1"/>
        </w:rPr>
        <w:t> </w:t>
      </w:r>
      <w:r>
        <w:rPr/>
        <w:t>Factor</w:t>
      </w:r>
      <w:r>
        <w:rPr>
          <w:spacing w:val="-1"/>
        </w:rPr>
        <w:t> </w:t>
      </w:r>
      <w:r>
        <w:rPr/>
        <w:t>Analysis</w:t>
      </w:r>
      <w:r>
        <w:rPr>
          <w:spacing w:val="-5"/>
        </w:rPr>
        <w:t> </w:t>
      </w:r>
      <w:r>
        <w:rPr/>
        <w:t>(see</w:t>
      </w:r>
      <w:r>
        <w:rPr>
          <w:spacing w:val="-3"/>
        </w:rPr>
        <w:t> </w:t>
      </w:r>
      <w:r>
        <w:rPr/>
        <w:t>Appendix</w:t>
      </w:r>
      <w:r>
        <w:rPr>
          <w:spacing w:val="-2"/>
        </w:rPr>
        <w:t> </w:t>
      </w:r>
      <w:r>
        <w:rPr/>
        <w:t>II</w:t>
      </w:r>
      <w:r>
        <w:rPr>
          <w:spacing w:val="-4"/>
        </w:rPr>
        <w:t> </w:t>
      </w:r>
      <w:r>
        <w:rPr/>
        <w:t>for</w:t>
      </w:r>
      <w:r>
        <w:rPr>
          <w:spacing w:val="-1"/>
        </w:rPr>
        <w:t> </w:t>
      </w:r>
      <w:r>
        <w:rPr/>
        <w:t>complete</w:t>
      </w:r>
      <w:r>
        <w:rPr>
          <w:spacing w:val="-3"/>
        </w:rPr>
        <w:t> </w:t>
      </w:r>
      <w:r>
        <w:rPr/>
        <w:t>text</w:t>
      </w:r>
      <w:r>
        <w:rPr>
          <w:spacing w:val="-4"/>
        </w:rPr>
        <w:t> </w:t>
      </w:r>
      <w:r>
        <w:rPr/>
        <w:t>of</w:t>
      </w:r>
      <w:r>
        <w:rPr>
          <w:spacing w:val="-7"/>
        </w:rPr>
        <w:t> </w:t>
      </w:r>
      <w:r>
        <w:rPr/>
        <w:t>MaineDOT’s</w:t>
      </w:r>
      <w:r>
        <w:rPr>
          <w:spacing w:val="-2"/>
        </w:rPr>
        <w:t> </w:t>
      </w:r>
      <w:r>
        <w:rPr/>
        <w:t>2023 Four Factor Analysis).</w:t>
      </w:r>
    </w:p>
    <w:p>
      <w:pPr>
        <w:pStyle w:val="BodyText"/>
        <w:spacing w:before="11"/>
        <w:rPr>
          <w:b/>
          <w:sz w:val="23"/>
        </w:rPr>
      </w:pPr>
    </w:p>
    <w:p>
      <w:pPr>
        <w:pStyle w:val="BodyText"/>
        <w:ind w:left="839" w:right="935"/>
      </w:pPr>
      <w:r>
        <w:rPr/>
        <w:t>The LEP Safe Harbor Threshold provision of Title VI stipulates that written translation of vital documents</w:t>
      </w:r>
      <w:r>
        <w:rPr>
          <w:spacing w:val="-4"/>
        </w:rPr>
        <w:t> </w:t>
      </w:r>
      <w:r>
        <w:rPr/>
        <w:t>must</w:t>
      </w:r>
      <w:r>
        <w:rPr>
          <w:spacing w:val="-4"/>
        </w:rPr>
        <w:t> </w:t>
      </w:r>
      <w:r>
        <w:rPr/>
        <w:t>be</w:t>
      </w:r>
      <w:r>
        <w:rPr>
          <w:spacing w:val="-2"/>
        </w:rPr>
        <w:t> </w:t>
      </w:r>
      <w:r>
        <w:rPr/>
        <w:t>provided</w:t>
      </w:r>
      <w:r>
        <w:rPr>
          <w:spacing w:val="-4"/>
        </w:rPr>
        <w:t> </w:t>
      </w:r>
      <w:r>
        <w:rPr/>
        <w:t>for</w:t>
      </w:r>
      <w:r>
        <w:rPr>
          <w:spacing w:val="-4"/>
        </w:rPr>
        <w:t> </w:t>
      </w:r>
      <w:r>
        <w:rPr/>
        <w:t>each</w:t>
      </w:r>
      <w:r>
        <w:rPr>
          <w:spacing w:val="-4"/>
        </w:rPr>
        <w:t> </w:t>
      </w:r>
      <w:r>
        <w:rPr/>
        <w:t>LEP</w:t>
      </w:r>
      <w:r>
        <w:rPr>
          <w:spacing w:val="-4"/>
        </w:rPr>
        <w:t> </w:t>
      </w:r>
      <w:r>
        <w:rPr/>
        <w:t>group</w:t>
      </w:r>
      <w:r>
        <w:rPr>
          <w:spacing w:val="-4"/>
        </w:rPr>
        <w:t> </w:t>
      </w:r>
      <w:r>
        <w:rPr/>
        <w:t>that</w:t>
      </w:r>
      <w:r>
        <w:rPr>
          <w:spacing w:val="-1"/>
        </w:rPr>
        <w:t> </w:t>
      </w:r>
      <w:r>
        <w:rPr/>
        <w:t>speaks</w:t>
      </w:r>
      <w:r>
        <w:rPr>
          <w:spacing w:val="-3"/>
        </w:rPr>
        <w:t> </w:t>
      </w:r>
      <w:r>
        <w:rPr/>
        <w:t>English</w:t>
      </w:r>
      <w:r>
        <w:rPr>
          <w:spacing w:val="-1"/>
        </w:rPr>
        <w:t> </w:t>
      </w:r>
      <w:r>
        <w:rPr/>
        <w:t>“less</w:t>
      </w:r>
      <w:r>
        <w:rPr>
          <w:spacing w:val="-3"/>
        </w:rPr>
        <w:t> </w:t>
      </w:r>
      <w:r>
        <w:rPr/>
        <w:t>than</w:t>
      </w:r>
      <w:r>
        <w:rPr>
          <w:spacing w:val="-1"/>
        </w:rPr>
        <w:t> </w:t>
      </w:r>
      <w:r>
        <w:rPr/>
        <w:t>very</w:t>
      </w:r>
      <w:r>
        <w:rPr>
          <w:spacing w:val="-3"/>
        </w:rPr>
        <w:t> </w:t>
      </w:r>
      <w:r>
        <w:rPr/>
        <w:t>well”</w:t>
      </w:r>
      <w:r>
        <w:rPr>
          <w:spacing w:val="-4"/>
        </w:rPr>
        <w:t> </w:t>
      </w:r>
      <w:r>
        <w:rPr/>
        <w:t>that constitutes either 5% of the total population to be served or 1,000 individuals (whichever is </w:t>
      </w:r>
      <w:r>
        <w:rPr>
          <w:spacing w:val="-2"/>
        </w:rPr>
        <w:t>less).</w:t>
      </w:r>
    </w:p>
    <w:p>
      <w:pPr>
        <w:pStyle w:val="BodyText"/>
        <w:spacing w:before="2"/>
      </w:pPr>
    </w:p>
    <w:p>
      <w:pPr>
        <w:pStyle w:val="Heading9"/>
        <w:ind w:left="1199" w:right="1079"/>
      </w:pPr>
      <w:r>
        <w:rPr/>
        <w:t>Factor</w:t>
      </w:r>
      <w:r>
        <w:rPr>
          <w:spacing w:val="-1"/>
        </w:rPr>
        <w:t> </w:t>
      </w:r>
      <w:r>
        <w:rPr/>
        <w:t>#</w:t>
      </w:r>
      <w:r>
        <w:rPr>
          <w:spacing w:val="-4"/>
        </w:rPr>
        <w:t> </w:t>
      </w:r>
      <w:r>
        <w:rPr/>
        <w:t>1.</w:t>
      </w:r>
      <w:r>
        <w:rPr>
          <w:spacing w:val="-4"/>
        </w:rPr>
        <w:t> </w:t>
      </w:r>
      <w:r>
        <w:rPr/>
        <w:t>Assessment</w:t>
      </w:r>
      <w:r>
        <w:rPr>
          <w:spacing w:val="-4"/>
        </w:rPr>
        <w:t> </w:t>
      </w:r>
      <w:r>
        <w:rPr/>
        <w:t>of</w:t>
      </w:r>
      <w:r>
        <w:rPr>
          <w:spacing w:val="-2"/>
        </w:rPr>
        <w:t> </w:t>
      </w:r>
      <w:r>
        <w:rPr/>
        <w:t>the</w:t>
      </w:r>
      <w:r>
        <w:rPr>
          <w:spacing w:val="-6"/>
        </w:rPr>
        <w:t> </w:t>
      </w:r>
      <w:r>
        <w:rPr/>
        <w:t>Number</w:t>
      </w:r>
      <w:r>
        <w:rPr>
          <w:spacing w:val="-1"/>
        </w:rPr>
        <w:t> </w:t>
      </w:r>
      <w:r>
        <w:rPr/>
        <w:t>and</w:t>
      </w:r>
      <w:r>
        <w:rPr>
          <w:spacing w:val="-2"/>
        </w:rPr>
        <w:t> </w:t>
      </w:r>
      <w:r>
        <w:rPr/>
        <w:t>Proportion</w:t>
      </w:r>
      <w:r>
        <w:rPr>
          <w:spacing w:val="-2"/>
        </w:rPr>
        <w:t> </w:t>
      </w:r>
      <w:r>
        <w:rPr/>
        <w:t>of</w:t>
      </w:r>
      <w:r>
        <w:rPr>
          <w:spacing w:val="-2"/>
        </w:rPr>
        <w:t> </w:t>
      </w:r>
      <w:r>
        <w:rPr/>
        <w:t>LEP</w:t>
      </w:r>
      <w:r>
        <w:rPr>
          <w:spacing w:val="-3"/>
        </w:rPr>
        <w:t> </w:t>
      </w:r>
      <w:r>
        <w:rPr/>
        <w:t>Persons</w:t>
      </w:r>
      <w:r>
        <w:rPr>
          <w:spacing w:val="-2"/>
        </w:rPr>
        <w:t> </w:t>
      </w:r>
      <w:r>
        <w:rPr/>
        <w:t>Likely</w:t>
      </w:r>
      <w:r>
        <w:rPr>
          <w:spacing w:val="-3"/>
        </w:rPr>
        <w:t> </w:t>
      </w:r>
      <w:r>
        <w:rPr/>
        <w:t>to</w:t>
      </w:r>
      <w:r>
        <w:rPr>
          <w:spacing w:val="-4"/>
        </w:rPr>
        <w:t> </w:t>
      </w:r>
      <w:r>
        <w:rPr/>
        <w:t>be</w:t>
      </w:r>
      <w:r>
        <w:rPr>
          <w:spacing w:val="-3"/>
        </w:rPr>
        <w:t> </w:t>
      </w:r>
      <w:r>
        <w:rPr/>
        <w:t>Served or Encountered in the Eligible Service Population.</w:t>
      </w:r>
    </w:p>
    <w:p>
      <w:pPr>
        <w:pStyle w:val="BodyText"/>
        <w:spacing w:before="11"/>
        <w:rPr>
          <w:b/>
          <w:sz w:val="23"/>
        </w:rPr>
      </w:pPr>
    </w:p>
    <w:p>
      <w:pPr>
        <w:pStyle w:val="BodyText"/>
        <w:ind w:left="1199" w:right="931"/>
        <w:jc w:val="both"/>
      </w:pPr>
      <w:r>
        <w:rPr/>
        <w:t>MaineDOT</w:t>
      </w:r>
      <w:r>
        <w:rPr>
          <w:spacing w:val="-3"/>
        </w:rPr>
        <w:t> </w:t>
      </w:r>
      <w:r>
        <w:rPr/>
        <w:t>has</w:t>
      </w:r>
      <w:r>
        <w:rPr>
          <w:spacing w:val="-1"/>
        </w:rPr>
        <w:t> </w:t>
      </w:r>
      <w:r>
        <w:rPr/>
        <w:t>reviewed</w:t>
      </w:r>
      <w:r>
        <w:rPr>
          <w:spacing w:val="-4"/>
        </w:rPr>
        <w:t> </w:t>
      </w:r>
      <w:r>
        <w:rPr/>
        <w:t>census</w:t>
      </w:r>
      <w:r>
        <w:rPr>
          <w:spacing w:val="-3"/>
        </w:rPr>
        <w:t> </w:t>
      </w:r>
      <w:r>
        <w:rPr/>
        <w:t>data</w:t>
      </w:r>
      <w:r>
        <w:rPr>
          <w:spacing w:val="-3"/>
        </w:rPr>
        <w:t> </w:t>
      </w:r>
      <w:r>
        <w:rPr/>
        <w:t>on</w:t>
      </w:r>
      <w:r>
        <w:rPr>
          <w:spacing w:val="-2"/>
        </w:rPr>
        <w:t> </w:t>
      </w:r>
      <w:r>
        <w:rPr/>
        <w:t>the</w:t>
      </w:r>
      <w:r>
        <w:rPr>
          <w:spacing w:val="-2"/>
        </w:rPr>
        <w:t> </w:t>
      </w:r>
      <w:r>
        <w:rPr/>
        <w:t>number</w:t>
      </w:r>
      <w:r>
        <w:rPr>
          <w:spacing w:val="-3"/>
        </w:rPr>
        <w:t> </w:t>
      </w:r>
      <w:r>
        <w:rPr/>
        <w:t>of</w:t>
      </w:r>
      <w:r>
        <w:rPr>
          <w:spacing w:val="-2"/>
        </w:rPr>
        <w:t> </w:t>
      </w:r>
      <w:r>
        <w:rPr/>
        <w:t>individuals</w:t>
      </w:r>
      <w:r>
        <w:rPr>
          <w:spacing w:val="-1"/>
        </w:rPr>
        <w:t> </w:t>
      </w:r>
      <w:r>
        <w:rPr/>
        <w:t>in</w:t>
      </w:r>
      <w:r>
        <w:rPr>
          <w:spacing w:val="-2"/>
        </w:rPr>
        <w:t> </w:t>
      </w:r>
      <w:r>
        <w:rPr/>
        <w:t>the</w:t>
      </w:r>
      <w:r>
        <w:rPr>
          <w:spacing w:val="-2"/>
        </w:rPr>
        <w:t> </w:t>
      </w:r>
      <w:r>
        <w:rPr/>
        <w:t>state</w:t>
      </w:r>
      <w:r>
        <w:rPr>
          <w:spacing w:val="-2"/>
        </w:rPr>
        <w:t> </w:t>
      </w:r>
      <w:r>
        <w:rPr/>
        <w:t>of</w:t>
      </w:r>
      <w:r>
        <w:rPr>
          <w:spacing w:val="-2"/>
        </w:rPr>
        <w:t> </w:t>
      </w:r>
      <w:r>
        <w:rPr/>
        <w:t>Maine</w:t>
      </w:r>
      <w:r>
        <w:rPr>
          <w:spacing w:val="-5"/>
        </w:rPr>
        <w:t> </w:t>
      </w:r>
      <w:r>
        <w:rPr/>
        <w:t>that have limited English Proficiency, as well as the languages they speak.</w:t>
      </w:r>
      <w:r>
        <w:rPr>
          <w:spacing w:val="40"/>
        </w:rPr>
        <w:t> </w:t>
      </w:r>
      <w:r>
        <w:rPr/>
        <w:t>Maine has a relatively low percentage of people who speak English less than very well. An analysis of Census data reflected in</w:t>
      </w:r>
      <w:r>
        <w:rPr>
          <w:spacing w:val="-1"/>
        </w:rPr>
        <w:t> </w:t>
      </w:r>
      <w:r>
        <w:rPr/>
        <w:t>American Community</w:t>
      </w:r>
      <w:r>
        <w:rPr>
          <w:spacing w:val="-1"/>
        </w:rPr>
        <w:t> </w:t>
      </w:r>
      <w:r>
        <w:rPr/>
        <w:t>Survey (ACS)</w:t>
      </w:r>
      <w:r>
        <w:rPr>
          <w:spacing w:val="-1"/>
        </w:rPr>
        <w:t> </w:t>
      </w:r>
      <w:r>
        <w:rPr/>
        <w:t>data</w:t>
      </w:r>
      <w:r>
        <w:rPr>
          <w:spacing w:val="-1"/>
        </w:rPr>
        <w:t> </w:t>
      </w:r>
      <w:r>
        <w:rPr/>
        <w:t>for</w:t>
      </w:r>
      <w:r>
        <w:rPr>
          <w:spacing w:val="-1"/>
        </w:rPr>
        <w:t> </w:t>
      </w:r>
      <w:r>
        <w:rPr/>
        <w:t>2017 –</w:t>
      </w:r>
      <w:r>
        <w:rPr>
          <w:spacing w:val="-1"/>
        </w:rPr>
        <w:t> </w:t>
      </w:r>
      <w:r>
        <w:rPr/>
        <w:t>2021</w:t>
      </w:r>
      <w:r>
        <w:rPr>
          <w:spacing w:val="-1"/>
        </w:rPr>
        <w:t> </w:t>
      </w:r>
      <w:r>
        <w:rPr/>
        <w:t>five-year data estimate release</w:t>
      </w:r>
      <w:r>
        <w:rPr>
          <w:spacing w:val="-8"/>
        </w:rPr>
        <w:t> </w:t>
      </w:r>
      <w:r>
        <w:rPr/>
        <w:t>shows</w:t>
      </w:r>
      <w:r>
        <w:rPr>
          <w:spacing w:val="-9"/>
        </w:rPr>
        <w:t> </w:t>
      </w:r>
      <w:r>
        <w:rPr/>
        <w:t>that</w:t>
      </w:r>
      <w:r>
        <w:rPr>
          <w:spacing w:val="-8"/>
        </w:rPr>
        <w:t> </w:t>
      </w:r>
      <w:r>
        <w:rPr/>
        <w:t>statewide,</w:t>
      </w:r>
      <w:r>
        <w:rPr>
          <w:spacing w:val="-11"/>
        </w:rPr>
        <w:t> </w:t>
      </w:r>
      <w:r>
        <w:rPr/>
        <w:t>there</w:t>
      </w:r>
      <w:r>
        <w:rPr>
          <w:spacing w:val="-11"/>
        </w:rPr>
        <w:t> </w:t>
      </w:r>
      <w:r>
        <w:rPr/>
        <w:t>are</w:t>
      </w:r>
      <w:r>
        <w:rPr>
          <w:spacing w:val="-11"/>
        </w:rPr>
        <w:t> </w:t>
      </w:r>
      <w:r>
        <w:rPr/>
        <w:t>18,141</w:t>
      </w:r>
      <w:r>
        <w:rPr>
          <w:spacing w:val="-11"/>
        </w:rPr>
        <w:t> </w:t>
      </w:r>
      <w:r>
        <w:rPr/>
        <w:t>people</w:t>
      </w:r>
      <w:r>
        <w:rPr>
          <w:spacing w:val="-11"/>
        </w:rPr>
        <w:t> </w:t>
      </w:r>
      <w:r>
        <w:rPr/>
        <w:t>over</w:t>
      </w:r>
      <w:r>
        <w:rPr>
          <w:spacing w:val="-11"/>
        </w:rPr>
        <w:t> </w:t>
      </w:r>
      <w:r>
        <w:rPr/>
        <w:t>the</w:t>
      </w:r>
      <w:r>
        <w:rPr>
          <w:spacing w:val="-11"/>
        </w:rPr>
        <w:t> </w:t>
      </w:r>
      <w:r>
        <w:rPr/>
        <w:t>age</w:t>
      </w:r>
      <w:r>
        <w:rPr>
          <w:spacing w:val="-11"/>
        </w:rPr>
        <w:t> </w:t>
      </w:r>
      <w:r>
        <w:rPr/>
        <w:t>of</w:t>
      </w:r>
      <w:r>
        <w:rPr>
          <w:spacing w:val="-10"/>
        </w:rPr>
        <w:t> </w:t>
      </w:r>
      <w:r>
        <w:rPr/>
        <w:t>5,</w:t>
      </w:r>
      <w:r>
        <w:rPr>
          <w:spacing w:val="-11"/>
        </w:rPr>
        <w:t> </w:t>
      </w:r>
      <w:r>
        <w:rPr/>
        <w:t>or</w:t>
      </w:r>
      <w:r>
        <w:rPr>
          <w:spacing w:val="-8"/>
        </w:rPr>
        <w:t> </w:t>
      </w:r>
      <w:r>
        <w:rPr/>
        <w:t>about</w:t>
      </w:r>
      <w:r>
        <w:rPr>
          <w:spacing w:val="-10"/>
        </w:rPr>
        <w:t> </w:t>
      </w:r>
      <w:r>
        <w:rPr/>
        <w:t>1.4%</w:t>
      </w:r>
      <w:r>
        <w:rPr>
          <w:spacing w:val="-10"/>
        </w:rPr>
        <w:t> </w:t>
      </w:r>
      <w:r>
        <w:rPr/>
        <w:t>of</w:t>
      </w:r>
      <w:r>
        <w:rPr>
          <w:spacing w:val="-10"/>
        </w:rPr>
        <w:t> </w:t>
      </w:r>
      <w:r>
        <w:rPr/>
        <w:t>the total population of people over the age of 5 (1,293,114 people) who speak English less than very well.</w:t>
      </w:r>
    </w:p>
    <w:p>
      <w:pPr>
        <w:pStyle w:val="BodyText"/>
        <w:spacing w:before="1"/>
      </w:pPr>
    </w:p>
    <w:p>
      <w:pPr>
        <w:pStyle w:val="BodyText"/>
        <w:spacing w:before="1"/>
        <w:ind w:left="1199" w:right="935"/>
        <w:jc w:val="both"/>
      </w:pPr>
      <w:r>
        <w:rPr/>
        <w:t>Information</w:t>
      </w:r>
      <w:r>
        <w:rPr>
          <w:spacing w:val="-9"/>
        </w:rPr>
        <w:t> </w:t>
      </w:r>
      <w:r>
        <w:rPr/>
        <w:t>from</w:t>
      </w:r>
      <w:r>
        <w:rPr>
          <w:spacing w:val="-9"/>
        </w:rPr>
        <w:t> </w:t>
      </w:r>
      <w:r>
        <w:rPr/>
        <w:t>the</w:t>
      </w:r>
      <w:r>
        <w:rPr>
          <w:spacing w:val="-9"/>
        </w:rPr>
        <w:t> </w:t>
      </w:r>
      <w:r>
        <w:rPr/>
        <w:t>2017-2021</w:t>
      </w:r>
      <w:r>
        <w:rPr>
          <w:spacing w:val="-9"/>
        </w:rPr>
        <w:t> </w:t>
      </w:r>
      <w:r>
        <w:rPr/>
        <w:t>ACS</w:t>
      </w:r>
      <w:r>
        <w:rPr>
          <w:spacing w:val="-9"/>
        </w:rPr>
        <w:t> </w:t>
      </w:r>
      <w:r>
        <w:rPr/>
        <w:t>also</w:t>
      </w:r>
      <w:r>
        <w:rPr>
          <w:spacing w:val="-11"/>
        </w:rPr>
        <w:t> </w:t>
      </w:r>
      <w:r>
        <w:rPr/>
        <w:t>provides</w:t>
      </w:r>
      <w:r>
        <w:rPr>
          <w:spacing w:val="-9"/>
        </w:rPr>
        <w:t> </w:t>
      </w:r>
      <w:r>
        <w:rPr/>
        <w:t>more</w:t>
      </w:r>
      <w:r>
        <w:rPr>
          <w:spacing w:val="-9"/>
        </w:rPr>
        <w:t> </w:t>
      </w:r>
      <w:r>
        <w:rPr/>
        <w:t>detail</w:t>
      </w:r>
      <w:r>
        <w:rPr>
          <w:spacing w:val="-9"/>
        </w:rPr>
        <w:t> </w:t>
      </w:r>
      <w:r>
        <w:rPr/>
        <w:t>on</w:t>
      </w:r>
      <w:r>
        <w:rPr>
          <w:spacing w:val="-9"/>
        </w:rPr>
        <w:t> </w:t>
      </w:r>
      <w:r>
        <w:rPr/>
        <w:t>the</w:t>
      </w:r>
      <w:r>
        <w:rPr>
          <w:spacing w:val="-9"/>
        </w:rPr>
        <w:t> </w:t>
      </w:r>
      <w:r>
        <w:rPr/>
        <w:t>specific</w:t>
      </w:r>
      <w:r>
        <w:rPr>
          <w:spacing w:val="-9"/>
        </w:rPr>
        <w:t> </w:t>
      </w:r>
      <w:r>
        <w:rPr/>
        <w:t>languages</w:t>
      </w:r>
      <w:r>
        <w:rPr>
          <w:spacing w:val="-11"/>
        </w:rPr>
        <w:t> </w:t>
      </w:r>
      <w:r>
        <w:rPr/>
        <w:t>that are</w:t>
      </w:r>
      <w:r>
        <w:rPr>
          <w:spacing w:val="-14"/>
        </w:rPr>
        <w:t> </w:t>
      </w:r>
      <w:r>
        <w:rPr/>
        <w:t>spoken</w:t>
      </w:r>
      <w:r>
        <w:rPr>
          <w:spacing w:val="-14"/>
        </w:rPr>
        <w:t> </w:t>
      </w:r>
      <w:r>
        <w:rPr/>
        <w:t>by</w:t>
      </w:r>
      <w:r>
        <w:rPr>
          <w:spacing w:val="-13"/>
        </w:rPr>
        <w:t> </w:t>
      </w:r>
      <w:r>
        <w:rPr/>
        <w:t>those</w:t>
      </w:r>
      <w:r>
        <w:rPr>
          <w:spacing w:val="-14"/>
        </w:rPr>
        <w:t> </w:t>
      </w:r>
      <w:r>
        <w:rPr/>
        <w:t>who</w:t>
      </w:r>
      <w:r>
        <w:rPr>
          <w:spacing w:val="-13"/>
        </w:rPr>
        <w:t> </w:t>
      </w:r>
      <w:r>
        <w:rPr/>
        <w:t>report</w:t>
      </w:r>
      <w:r>
        <w:rPr>
          <w:spacing w:val="-13"/>
        </w:rPr>
        <w:t> </w:t>
      </w:r>
      <w:r>
        <w:rPr/>
        <w:t>that</w:t>
      </w:r>
      <w:r>
        <w:rPr>
          <w:spacing w:val="-12"/>
        </w:rPr>
        <w:t> </w:t>
      </w:r>
      <w:r>
        <w:rPr/>
        <w:t>they</w:t>
      </w:r>
      <w:r>
        <w:rPr>
          <w:spacing w:val="-14"/>
        </w:rPr>
        <w:t> </w:t>
      </w:r>
      <w:r>
        <w:rPr/>
        <w:t>speak</w:t>
      </w:r>
      <w:r>
        <w:rPr>
          <w:spacing w:val="-14"/>
        </w:rPr>
        <w:t> </w:t>
      </w:r>
      <w:r>
        <w:rPr/>
        <w:t>English</w:t>
      </w:r>
      <w:r>
        <w:rPr>
          <w:spacing w:val="-9"/>
        </w:rPr>
        <w:t> </w:t>
      </w:r>
      <w:r>
        <w:rPr/>
        <w:t>less</w:t>
      </w:r>
      <w:r>
        <w:rPr>
          <w:spacing w:val="-14"/>
        </w:rPr>
        <w:t> </w:t>
      </w:r>
      <w:r>
        <w:rPr/>
        <w:t>than</w:t>
      </w:r>
      <w:r>
        <w:rPr>
          <w:spacing w:val="-10"/>
        </w:rPr>
        <w:t> </w:t>
      </w:r>
      <w:r>
        <w:rPr/>
        <w:t>very</w:t>
      </w:r>
      <w:r>
        <w:rPr>
          <w:spacing w:val="-14"/>
        </w:rPr>
        <w:t> </w:t>
      </w:r>
      <w:r>
        <w:rPr/>
        <w:t>well.</w:t>
      </w:r>
      <w:r>
        <w:rPr>
          <w:spacing w:val="-14"/>
        </w:rPr>
        <w:t> </w:t>
      </w:r>
      <w:r>
        <w:rPr/>
        <w:t>Languages</w:t>
      </w:r>
      <w:r>
        <w:rPr>
          <w:spacing w:val="-13"/>
        </w:rPr>
        <w:t> </w:t>
      </w:r>
      <w:r>
        <w:rPr/>
        <w:t>spoken at home by those with LEP are presented below.</w:t>
      </w:r>
      <w:r>
        <w:rPr>
          <w:spacing w:val="40"/>
        </w:rPr>
        <w:t> </w:t>
      </w:r>
      <w:r>
        <w:rPr/>
        <w:t>These data indicate the extent to which translations into other languages are needed to meet the needs of LEP persons.</w:t>
      </w:r>
    </w:p>
    <w:p>
      <w:pPr>
        <w:pStyle w:val="BodyText"/>
        <w:spacing w:before="11"/>
        <w:rPr>
          <w:sz w:val="23"/>
        </w:rPr>
      </w:pPr>
    </w:p>
    <w:p>
      <w:pPr>
        <w:pStyle w:val="BodyText"/>
        <w:ind w:left="1199" w:right="934"/>
        <w:jc w:val="both"/>
      </w:pPr>
      <w:r>
        <w:rPr/>
        <w:t>There are six languages/census language “Other” groups/clusters in which the number of persons</w:t>
      </w:r>
      <w:r>
        <w:rPr>
          <w:spacing w:val="-14"/>
        </w:rPr>
        <w:t> </w:t>
      </w:r>
      <w:r>
        <w:rPr/>
        <w:t>who</w:t>
      </w:r>
      <w:r>
        <w:rPr>
          <w:spacing w:val="-11"/>
        </w:rPr>
        <w:t> </w:t>
      </w:r>
      <w:r>
        <w:rPr/>
        <w:t>speak</w:t>
      </w:r>
      <w:r>
        <w:rPr>
          <w:spacing w:val="-12"/>
        </w:rPr>
        <w:t> </w:t>
      </w:r>
      <w:r>
        <w:rPr/>
        <w:t>English</w:t>
      </w:r>
      <w:r>
        <w:rPr>
          <w:spacing w:val="-11"/>
        </w:rPr>
        <w:t> </w:t>
      </w:r>
      <w:r>
        <w:rPr/>
        <w:t>less</w:t>
      </w:r>
      <w:r>
        <w:rPr>
          <w:spacing w:val="-11"/>
        </w:rPr>
        <w:t> </w:t>
      </w:r>
      <w:r>
        <w:rPr/>
        <w:t>than</w:t>
      </w:r>
      <w:r>
        <w:rPr>
          <w:spacing w:val="-12"/>
        </w:rPr>
        <w:t> </w:t>
      </w:r>
      <w:r>
        <w:rPr/>
        <w:t>“very</w:t>
      </w:r>
      <w:r>
        <w:rPr>
          <w:spacing w:val="-12"/>
        </w:rPr>
        <w:t> </w:t>
      </w:r>
      <w:r>
        <w:rPr/>
        <w:t>well”</w:t>
      </w:r>
      <w:r>
        <w:rPr>
          <w:spacing w:val="-11"/>
        </w:rPr>
        <w:t> </w:t>
      </w:r>
      <w:r>
        <w:rPr/>
        <w:t>exceed</w:t>
      </w:r>
      <w:r>
        <w:rPr>
          <w:spacing w:val="-11"/>
        </w:rPr>
        <w:t> </w:t>
      </w:r>
      <w:r>
        <w:rPr/>
        <w:t>the</w:t>
      </w:r>
      <w:r>
        <w:rPr>
          <w:spacing w:val="-13"/>
        </w:rPr>
        <w:t> </w:t>
      </w:r>
      <w:r>
        <w:rPr/>
        <w:t>1,000</w:t>
      </w:r>
      <w:r>
        <w:rPr>
          <w:spacing w:val="-11"/>
        </w:rPr>
        <w:t> </w:t>
      </w:r>
      <w:r>
        <w:rPr/>
        <w:t>person/5%</w:t>
      </w:r>
      <w:r>
        <w:rPr>
          <w:spacing w:val="-11"/>
        </w:rPr>
        <w:t> </w:t>
      </w:r>
      <w:r>
        <w:rPr/>
        <w:t>threshold.</w:t>
      </w:r>
      <w:r>
        <w:rPr>
          <w:spacing w:val="29"/>
        </w:rPr>
        <w:t> </w:t>
      </w:r>
      <w:r>
        <w:rPr/>
        <w:t>They are: French, Haitian or Cajun, Spanish, Chinese (including Mandarin and Cantonese), Other Asian and Pacific Island languages, Other Indo-European languages, and Other and Unspecified languages.</w:t>
      </w:r>
    </w:p>
    <w:p>
      <w:pPr>
        <w:spacing w:after="0"/>
        <w:jc w:val="both"/>
        <w:sectPr>
          <w:pgSz w:w="12240" w:h="15840"/>
          <w:pgMar w:header="0" w:footer="997" w:top="1260" w:bottom="1260" w:left="600" w:right="500"/>
        </w:sectPr>
      </w:pPr>
    </w:p>
    <w:p>
      <w:pPr>
        <w:pStyle w:val="BodyText"/>
        <w:spacing w:before="28"/>
        <w:ind w:left="1200" w:right="933"/>
        <w:jc w:val="both"/>
      </w:pPr>
      <w:r>
        <w:rPr/>
        <w:t>Since</w:t>
      </w:r>
      <w:r>
        <w:rPr>
          <w:spacing w:val="-7"/>
        </w:rPr>
        <w:t> </w:t>
      </w:r>
      <w:r>
        <w:rPr/>
        <w:t>MaineDOT</w:t>
      </w:r>
      <w:r>
        <w:rPr>
          <w:spacing w:val="-9"/>
        </w:rPr>
        <w:t> </w:t>
      </w:r>
      <w:r>
        <w:rPr/>
        <w:t>does</w:t>
      </w:r>
      <w:r>
        <w:rPr>
          <w:spacing w:val="-10"/>
        </w:rPr>
        <w:t> </w:t>
      </w:r>
      <w:r>
        <w:rPr/>
        <w:t>not</w:t>
      </w:r>
      <w:r>
        <w:rPr>
          <w:spacing w:val="-6"/>
        </w:rPr>
        <w:t> </w:t>
      </w:r>
      <w:r>
        <w:rPr/>
        <w:t>operate</w:t>
      </w:r>
      <w:r>
        <w:rPr>
          <w:spacing w:val="-7"/>
        </w:rPr>
        <w:t> </w:t>
      </w:r>
      <w:r>
        <w:rPr/>
        <w:t>a</w:t>
      </w:r>
      <w:r>
        <w:rPr>
          <w:spacing w:val="-10"/>
        </w:rPr>
        <w:t> </w:t>
      </w:r>
      <w:r>
        <w:rPr/>
        <w:t>transit</w:t>
      </w:r>
      <w:r>
        <w:rPr>
          <w:spacing w:val="-9"/>
        </w:rPr>
        <w:t> </w:t>
      </w:r>
      <w:r>
        <w:rPr/>
        <w:t>service,</w:t>
      </w:r>
      <w:r>
        <w:rPr>
          <w:spacing w:val="-7"/>
        </w:rPr>
        <w:t> </w:t>
      </w:r>
      <w:r>
        <w:rPr/>
        <w:t>the</w:t>
      </w:r>
      <w:r>
        <w:rPr>
          <w:spacing w:val="-7"/>
        </w:rPr>
        <w:t> </w:t>
      </w:r>
      <w:r>
        <w:rPr/>
        <w:t>most</w:t>
      </w:r>
      <w:r>
        <w:rPr>
          <w:spacing w:val="-6"/>
        </w:rPr>
        <w:t> </w:t>
      </w:r>
      <w:r>
        <w:rPr/>
        <w:t>likely</w:t>
      </w:r>
      <w:r>
        <w:rPr>
          <w:spacing w:val="-8"/>
        </w:rPr>
        <w:t> </w:t>
      </w:r>
      <w:r>
        <w:rPr/>
        <w:t>contacts</w:t>
      </w:r>
      <w:r>
        <w:rPr>
          <w:spacing w:val="-8"/>
        </w:rPr>
        <w:t> </w:t>
      </w:r>
      <w:r>
        <w:rPr/>
        <w:t>with</w:t>
      </w:r>
      <w:r>
        <w:rPr>
          <w:spacing w:val="-6"/>
        </w:rPr>
        <w:t> </w:t>
      </w:r>
      <w:r>
        <w:rPr/>
        <w:t>LEP</w:t>
      </w:r>
      <w:r>
        <w:rPr>
          <w:spacing w:val="-7"/>
        </w:rPr>
        <w:t> </w:t>
      </w:r>
      <w:r>
        <w:rPr/>
        <w:t>persons will</w:t>
      </w:r>
      <w:r>
        <w:rPr>
          <w:spacing w:val="-11"/>
        </w:rPr>
        <w:t> </w:t>
      </w:r>
      <w:r>
        <w:rPr/>
        <w:t>be</w:t>
      </w:r>
      <w:r>
        <w:rPr>
          <w:spacing w:val="-11"/>
        </w:rPr>
        <w:t> </w:t>
      </w:r>
      <w:r>
        <w:rPr/>
        <w:t>at</w:t>
      </w:r>
      <w:r>
        <w:rPr>
          <w:spacing w:val="-10"/>
        </w:rPr>
        <w:t> </w:t>
      </w:r>
      <w:r>
        <w:rPr/>
        <w:t>public</w:t>
      </w:r>
      <w:r>
        <w:rPr>
          <w:spacing w:val="-12"/>
        </w:rPr>
        <w:t> </w:t>
      </w:r>
      <w:r>
        <w:rPr/>
        <w:t>meetings</w:t>
      </w:r>
      <w:r>
        <w:rPr>
          <w:spacing w:val="-11"/>
        </w:rPr>
        <w:t> </w:t>
      </w:r>
      <w:r>
        <w:rPr/>
        <w:t>dedicated</w:t>
      </w:r>
      <w:r>
        <w:rPr>
          <w:spacing w:val="-10"/>
        </w:rPr>
        <w:t> </w:t>
      </w:r>
      <w:r>
        <w:rPr/>
        <w:t>to</w:t>
      </w:r>
      <w:r>
        <w:rPr>
          <w:spacing w:val="-11"/>
        </w:rPr>
        <w:t> </w:t>
      </w:r>
      <w:r>
        <w:rPr/>
        <w:t>transit</w:t>
      </w:r>
      <w:r>
        <w:rPr>
          <w:spacing w:val="-10"/>
        </w:rPr>
        <w:t> </w:t>
      </w:r>
      <w:r>
        <w:rPr/>
        <w:t>planning</w:t>
      </w:r>
      <w:r>
        <w:rPr>
          <w:spacing w:val="-11"/>
        </w:rPr>
        <w:t> </w:t>
      </w:r>
      <w:r>
        <w:rPr/>
        <w:t>efforts,</w:t>
      </w:r>
      <w:r>
        <w:rPr>
          <w:spacing w:val="-11"/>
        </w:rPr>
        <w:t> </w:t>
      </w:r>
      <w:r>
        <w:rPr/>
        <w:t>or</w:t>
      </w:r>
      <w:r>
        <w:rPr>
          <w:spacing w:val="-12"/>
        </w:rPr>
        <w:t> </w:t>
      </w:r>
      <w:r>
        <w:rPr/>
        <w:t>when</w:t>
      </w:r>
      <w:r>
        <w:rPr>
          <w:spacing w:val="-10"/>
        </w:rPr>
        <w:t> </w:t>
      </w:r>
      <w:r>
        <w:rPr/>
        <w:t>an</w:t>
      </w:r>
      <w:r>
        <w:rPr>
          <w:spacing w:val="-10"/>
        </w:rPr>
        <w:t> </w:t>
      </w:r>
      <w:r>
        <w:rPr/>
        <w:t>LEP</w:t>
      </w:r>
      <w:r>
        <w:rPr>
          <w:spacing w:val="-8"/>
        </w:rPr>
        <w:t> </w:t>
      </w:r>
      <w:r>
        <w:rPr/>
        <w:t>individual</w:t>
      </w:r>
      <w:r>
        <w:rPr>
          <w:spacing w:val="-14"/>
        </w:rPr>
        <w:t> </w:t>
      </w:r>
      <w:r>
        <w:rPr/>
        <w:t>files a complaint with MaineDOT.</w:t>
      </w:r>
    </w:p>
    <w:p>
      <w:pPr>
        <w:spacing w:after="0"/>
        <w:jc w:val="both"/>
        <w:sectPr>
          <w:pgSz w:w="12240" w:h="15840"/>
          <w:pgMar w:header="0" w:footer="997" w:top="1260" w:bottom="1260" w:left="600" w:right="500"/>
        </w:sectPr>
      </w:pPr>
    </w:p>
    <w:tbl>
      <w:tblPr>
        <w:tblW w:w="0" w:type="auto"/>
        <w:jc w:val="left"/>
        <w:tblInd w:w="2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33"/>
        <w:gridCol w:w="3012"/>
        <w:gridCol w:w="1496"/>
      </w:tblGrid>
      <w:tr>
        <w:trPr>
          <w:trHeight w:val="807" w:hRule="atLeast"/>
        </w:trPr>
        <w:tc>
          <w:tcPr>
            <w:tcW w:w="7041" w:type="dxa"/>
            <w:gridSpan w:val="3"/>
            <w:tcBorders>
              <w:bottom w:val="single" w:sz="8" w:space="0" w:color="000000"/>
              <w:right w:val="single" w:sz="8" w:space="0" w:color="000000"/>
            </w:tcBorders>
            <w:shd w:val="clear" w:color="auto" w:fill="D9D9D9"/>
          </w:tcPr>
          <w:p>
            <w:pPr>
              <w:pStyle w:val="TableParagraph"/>
              <w:spacing w:line="240" w:lineRule="auto" w:before="214"/>
              <w:ind w:left="3014" w:right="3004"/>
              <w:jc w:val="center"/>
              <w:rPr>
                <w:rFonts w:ascii="Calibri"/>
                <w:b/>
                <w:sz w:val="32"/>
              </w:rPr>
            </w:pPr>
            <w:r>
              <w:rPr>
                <w:rFonts w:ascii="Calibri"/>
                <w:b/>
                <w:spacing w:val="-2"/>
                <w:w w:val="115"/>
                <w:sz w:val="32"/>
              </w:rPr>
              <w:t>Maine</w:t>
            </w:r>
          </w:p>
        </w:tc>
      </w:tr>
      <w:tr>
        <w:trPr>
          <w:trHeight w:val="429" w:hRule="atLeast"/>
        </w:trPr>
        <w:tc>
          <w:tcPr>
            <w:tcW w:w="2533" w:type="dxa"/>
            <w:tcBorders>
              <w:top w:val="single" w:sz="8" w:space="0" w:color="000000"/>
            </w:tcBorders>
          </w:tcPr>
          <w:p>
            <w:pPr>
              <w:pStyle w:val="TableParagraph"/>
              <w:spacing w:line="240" w:lineRule="auto" w:before="119"/>
              <w:ind w:left="598"/>
              <w:rPr>
                <w:rFonts w:ascii="Calibri"/>
                <w:b/>
                <w:sz w:val="16"/>
              </w:rPr>
            </w:pPr>
            <w:r>
              <w:rPr>
                <w:rFonts w:ascii="Calibri"/>
                <w:b/>
                <w:w w:val="110"/>
                <w:sz w:val="16"/>
              </w:rPr>
              <w:t>Language</w:t>
            </w:r>
            <w:r>
              <w:rPr>
                <w:rFonts w:ascii="Calibri"/>
                <w:b/>
                <w:spacing w:val="30"/>
                <w:w w:val="110"/>
                <w:sz w:val="16"/>
              </w:rPr>
              <w:t> </w:t>
            </w:r>
            <w:r>
              <w:rPr>
                <w:rFonts w:ascii="Calibri"/>
                <w:b/>
                <w:spacing w:val="-2"/>
                <w:w w:val="110"/>
                <w:sz w:val="16"/>
              </w:rPr>
              <w:t>Spoken</w:t>
            </w:r>
          </w:p>
        </w:tc>
        <w:tc>
          <w:tcPr>
            <w:tcW w:w="3012" w:type="dxa"/>
            <w:tcBorders>
              <w:top w:val="single" w:sz="8" w:space="0" w:color="000000"/>
            </w:tcBorders>
          </w:tcPr>
          <w:p>
            <w:pPr>
              <w:pStyle w:val="TableParagraph"/>
              <w:spacing w:line="240" w:lineRule="auto" w:before="119"/>
              <w:ind w:left="348"/>
              <w:rPr>
                <w:rFonts w:ascii="Calibri"/>
                <w:b/>
                <w:sz w:val="16"/>
              </w:rPr>
            </w:pPr>
            <w:r>
              <w:rPr>
                <w:rFonts w:ascii="Calibri"/>
                <w:b/>
                <w:w w:val="110"/>
                <w:sz w:val="16"/>
              </w:rPr>
              <w:t>Estimated</w:t>
            </w:r>
            <w:r>
              <w:rPr>
                <w:rFonts w:ascii="Calibri"/>
                <w:b/>
                <w:spacing w:val="14"/>
                <w:w w:val="110"/>
                <w:sz w:val="16"/>
              </w:rPr>
              <w:t> </w:t>
            </w:r>
            <w:r>
              <w:rPr>
                <w:rFonts w:ascii="Calibri"/>
                <w:b/>
                <w:w w:val="110"/>
                <w:sz w:val="16"/>
              </w:rPr>
              <w:t>Number</w:t>
            </w:r>
            <w:r>
              <w:rPr>
                <w:rFonts w:ascii="Calibri"/>
                <w:b/>
                <w:spacing w:val="4"/>
                <w:w w:val="110"/>
                <w:sz w:val="16"/>
              </w:rPr>
              <w:t> </w:t>
            </w:r>
            <w:r>
              <w:rPr>
                <w:rFonts w:ascii="Calibri"/>
                <w:b/>
                <w:w w:val="110"/>
                <w:sz w:val="16"/>
              </w:rPr>
              <w:t>of</w:t>
            </w:r>
            <w:r>
              <w:rPr>
                <w:rFonts w:ascii="Calibri"/>
                <w:b/>
                <w:spacing w:val="14"/>
                <w:w w:val="110"/>
                <w:sz w:val="16"/>
              </w:rPr>
              <w:t> </w:t>
            </w:r>
            <w:r>
              <w:rPr>
                <w:rFonts w:ascii="Calibri"/>
                <w:b/>
                <w:spacing w:val="-2"/>
                <w:w w:val="110"/>
                <w:sz w:val="16"/>
              </w:rPr>
              <w:t>Speakers</w:t>
            </w:r>
          </w:p>
        </w:tc>
        <w:tc>
          <w:tcPr>
            <w:tcW w:w="1496" w:type="dxa"/>
            <w:tcBorders>
              <w:top w:val="single" w:sz="8" w:space="0" w:color="000000"/>
              <w:right w:val="single" w:sz="8" w:space="0" w:color="000000"/>
            </w:tcBorders>
          </w:tcPr>
          <w:p>
            <w:pPr>
              <w:pStyle w:val="TableParagraph"/>
              <w:spacing w:line="240" w:lineRule="auto" w:before="119"/>
              <w:ind w:left="158"/>
              <w:rPr>
                <w:rFonts w:ascii="Calibri"/>
                <w:b/>
                <w:sz w:val="16"/>
              </w:rPr>
            </w:pPr>
            <w:r>
              <w:rPr>
                <w:rFonts w:ascii="Calibri"/>
                <w:b/>
                <w:w w:val="110"/>
                <w:sz w:val="16"/>
              </w:rPr>
              <w:t>Percent</w:t>
            </w:r>
            <w:r>
              <w:rPr>
                <w:rFonts w:ascii="Calibri"/>
                <w:b/>
                <w:spacing w:val="7"/>
                <w:w w:val="110"/>
                <w:sz w:val="16"/>
              </w:rPr>
              <w:t> </w:t>
            </w:r>
            <w:r>
              <w:rPr>
                <w:rFonts w:ascii="Calibri"/>
                <w:b/>
                <w:w w:val="110"/>
                <w:sz w:val="16"/>
              </w:rPr>
              <w:t>of</w:t>
            </w:r>
            <w:r>
              <w:rPr>
                <w:rFonts w:ascii="Calibri"/>
                <w:b/>
                <w:spacing w:val="13"/>
                <w:w w:val="110"/>
                <w:sz w:val="16"/>
              </w:rPr>
              <w:t> </w:t>
            </w:r>
            <w:r>
              <w:rPr>
                <w:rFonts w:ascii="Calibri"/>
                <w:b/>
                <w:spacing w:val="-2"/>
                <w:w w:val="110"/>
                <w:sz w:val="16"/>
              </w:rPr>
              <w:t>Total</w:t>
            </w:r>
          </w:p>
        </w:tc>
      </w:tr>
      <w:tr>
        <w:trPr>
          <w:trHeight w:val="201" w:hRule="atLeast"/>
        </w:trPr>
        <w:tc>
          <w:tcPr>
            <w:tcW w:w="2533" w:type="dxa"/>
            <w:tcBorders>
              <w:right w:val="single" w:sz="8" w:space="0" w:color="000000"/>
            </w:tcBorders>
            <w:shd w:val="clear" w:color="auto" w:fill="FFFF00"/>
          </w:tcPr>
          <w:p>
            <w:pPr>
              <w:pStyle w:val="TableParagraph"/>
              <w:spacing w:line="176" w:lineRule="exact" w:before="5"/>
              <w:ind w:left="39"/>
              <w:rPr>
                <w:rFonts w:ascii="Calibri"/>
                <w:sz w:val="16"/>
              </w:rPr>
            </w:pPr>
            <w:r>
              <w:rPr>
                <w:rFonts w:ascii="Calibri"/>
                <w:spacing w:val="-2"/>
                <w:w w:val="110"/>
                <w:sz w:val="16"/>
              </w:rPr>
              <w:t>Total:</w:t>
            </w:r>
          </w:p>
        </w:tc>
        <w:tc>
          <w:tcPr>
            <w:tcW w:w="3012" w:type="dxa"/>
            <w:tcBorders>
              <w:left w:val="single" w:sz="8" w:space="0" w:color="000000"/>
            </w:tcBorders>
            <w:shd w:val="clear" w:color="auto" w:fill="FFFF00"/>
          </w:tcPr>
          <w:p>
            <w:pPr>
              <w:pStyle w:val="TableParagraph"/>
              <w:spacing w:line="176" w:lineRule="exact" w:before="5"/>
              <w:ind w:left="34"/>
              <w:rPr>
                <w:rFonts w:ascii="Calibri"/>
                <w:sz w:val="16"/>
              </w:rPr>
            </w:pPr>
            <w:r>
              <w:rPr>
                <w:rFonts w:ascii="Calibri"/>
                <w:spacing w:val="-2"/>
                <w:w w:val="110"/>
                <w:sz w:val="16"/>
              </w:rPr>
              <w:t>1,293,114</w:t>
            </w:r>
          </w:p>
        </w:tc>
        <w:tc>
          <w:tcPr>
            <w:tcW w:w="1496" w:type="dxa"/>
            <w:shd w:val="clear" w:color="auto" w:fill="FFFF00"/>
          </w:tcPr>
          <w:p>
            <w:pPr>
              <w:pStyle w:val="TableParagraph"/>
              <w:spacing w:line="176" w:lineRule="exact" w:before="5"/>
              <w:ind w:right="18"/>
              <w:jc w:val="right"/>
              <w:rPr>
                <w:rFonts w:ascii="Calibri"/>
                <w:sz w:val="16"/>
              </w:rPr>
            </w:pPr>
            <w:r>
              <w:rPr>
                <w:rFonts w:ascii="Calibri"/>
                <w:spacing w:val="-5"/>
                <w:w w:val="110"/>
                <w:sz w:val="16"/>
              </w:rPr>
              <w:t>100</w:t>
            </w:r>
          </w:p>
        </w:tc>
      </w:tr>
      <w:tr>
        <w:trPr>
          <w:trHeight w:val="201" w:hRule="atLeast"/>
        </w:trPr>
        <w:tc>
          <w:tcPr>
            <w:tcW w:w="2533" w:type="dxa"/>
          </w:tcPr>
          <w:p>
            <w:pPr>
              <w:pStyle w:val="TableParagraph"/>
              <w:spacing w:line="176" w:lineRule="exact" w:before="5"/>
              <w:ind w:left="159"/>
              <w:rPr>
                <w:rFonts w:ascii="Calibri"/>
                <w:sz w:val="16"/>
              </w:rPr>
            </w:pPr>
            <w:r>
              <w:rPr>
                <w:rFonts w:ascii="Calibri"/>
                <w:w w:val="110"/>
                <w:sz w:val="16"/>
              </w:rPr>
              <w:t>Speak only</w:t>
            </w:r>
            <w:r>
              <w:rPr>
                <w:rFonts w:ascii="Calibri"/>
                <w:spacing w:val="2"/>
                <w:w w:val="110"/>
                <w:sz w:val="16"/>
              </w:rPr>
              <w:t> </w:t>
            </w:r>
            <w:r>
              <w:rPr>
                <w:rFonts w:ascii="Calibri"/>
                <w:spacing w:val="-2"/>
                <w:w w:val="110"/>
                <w:sz w:val="16"/>
              </w:rPr>
              <w:t>English</w:t>
            </w:r>
          </w:p>
        </w:tc>
        <w:tc>
          <w:tcPr>
            <w:tcW w:w="3012" w:type="dxa"/>
          </w:tcPr>
          <w:p>
            <w:pPr>
              <w:pStyle w:val="TableParagraph"/>
              <w:spacing w:line="176" w:lineRule="exact" w:before="5"/>
              <w:ind w:left="39"/>
              <w:rPr>
                <w:rFonts w:ascii="Calibri"/>
                <w:sz w:val="16"/>
              </w:rPr>
            </w:pPr>
            <w:r>
              <w:rPr>
                <w:rFonts w:ascii="Calibri"/>
                <w:spacing w:val="-2"/>
                <w:w w:val="110"/>
                <w:sz w:val="16"/>
              </w:rPr>
              <w:t>1,216,827</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left="159"/>
              <w:rPr>
                <w:rFonts w:ascii="Calibri"/>
                <w:sz w:val="16"/>
              </w:rPr>
            </w:pPr>
            <w:r>
              <w:rPr>
                <w:rFonts w:ascii="Calibri"/>
                <w:spacing w:val="-2"/>
                <w:w w:val="110"/>
                <w:sz w:val="16"/>
              </w:rPr>
              <w:t>Spanish:</w:t>
            </w:r>
          </w:p>
        </w:tc>
        <w:tc>
          <w:tcPr>
            <w:tcW w:w="3012" w:type="dxa"/>
          </w:tcPr>
          <w:p>
            <w:pPr>
              <w:pStyle w:val="TableParagraph"/>
              <w:spacing w:line="176" w:lineRule="exact" w:before="5"/>
              <w:ind w:left="39"/>
              <w:rPr>
                <w:rFonts w:ascii="Calibri"/>
                <w:sz w:val="16"/>
              </w:rPr>
            </w:pPr>
            <w:r>
              <w:rPr>
                <w:rFonts w:ascii="Calibri"/>
                <w:spacing w:val="-2"/>
                <w:w w:val="110"/>
                <w:sz w:val="16"/>
              </w:rPr>
              <w:t>11,920</w:t>
            </w:r>
          </w:p>
        </w:tc>
        <w:tc>
          <w:tcPr>
            <w:tcW w:w="1496" w:type="dxa"/>
          </w:tcPr>
          <w:p>
            <w:pPr>
              <w:pStyle w:val="TableParagraph"/>
              <w:spacing w:line="240" w:lineRule="auto"/>
              <w:rPr>
                <w:sz w:val="14"/>
              </w:rPr>
            </w:pPr>
          </w:p>
        </w:tc>
      </w:tr>
      <w:tr>
        <w:trPr>
          <w:trHeight w:val="201" w:hRule="atLeast"/>
        </w:trPr>
        <w:tc>
          <w:tcPr>
            <w:tcW w:w="2533" w:type="dxa"/>
            <w:tcBorders>
              <w:right w:val="single" w:sz="8" w:space="0" w:color="000000"/>
            </w:tcBorders>
          </w:tcPr>
          <w:p>
            <w:pPr>
              <w:pStyle w:val="TableParagraph"/>
              <w:spacing w:line="176" w:lineRule="exact" w:before="5"/>
              <w:ind w:right="440"/>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Borders>
              <w:left w:val="single" w:sz="8" w:space="0" w:color="000000"/>
            </w:tcBorders>
          </w:tcPr>
          <w:p>
            <w:pPr>
              <w:pStyle w:val="TableParagraph"/>
              <w:spacing w:line="176" w:lineRule="exact" w:before="5"/>
              <w:ind w:left="34"/>
              <w:rPr>
                <w:rFonts w:ascii="Calibri"/>
                <w:sz w:val="16"/>
              </w:rPr>
            </w:pPr>
            <w:r>
              <w:rPr>
                <w:rFonts w:ascii="Calibri"/>
                <w:spacing w:val="-4"/>
                <w:w w:val="110"/>
                <w:sz w:val="16"/>
              </w:rPr>
              <w:t>9,208</w:t>
            </w:r>
          </w:p>
        </w:tc>
        <w:tc>
          <w:tcPr>
            <w:tcW w:w="1496" w:type="dxa"/>
          </w:tcPr>
          <w:p>
            <w:pPr>
              <w:pStyle w:val="TableParagraph"/>
              <w:spacing w:line="240" w:lineRule="auto"/>
              <w:rPr>
                <w:sz w:val="14"/>
              </w:rPr>
            </w:pPr>
          </w:p>
        </w:tc>
      </w:tr>
      <w:tr>
        <w:trPr>
          <w:trHeight w:val="412" w:hRule="atLeast"/>
        </w:trPr>
        <w:tc>
          <w:tcPr>
            <w:tcW w:w="2533" w:type="dxa"/>
            <w:tcBorders>
              <w:right w:val="single" w:sz="8" w:space="0" w:color="000000"/>
            </w:tcBorders>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tcBorders>
              <w:left w:val="single" w:sz="8" w:space="0" w:color="000000"/>
            </w:tcBorders>
            <w:shd w:val="clear" w:color="auto" w:fill="FFFF00"/>
          </w:tcPr>
          <w:p>
            <w:pPr>
              <w:pStyle w:val="TableParagraph"/>
              <w:spacing w:line="240" w:lineRule="auto" w:before="9"/>
              <w:rPr>
                <w:rFonts w:ascii="Calibri"/>
                <w:sz w:val="17"/>
              </w:rPr>
            </w:pPr>
          </w:p>
          <w:p>
            <w:pPr>
              <w:pStyle w:val="TableParagraph"/>
              <w:spacing w:line="176" w:lineRule="exact"/>
              <w:ind w:left="34"/>
              <w:rPr>
                <w:rFonts w:ascii="Calibri"/>
                <w:sz w:val="16"/>
              </w:rPr>
            </w:pPr>
            <w:r>
              <w:rPr>
                <w:rFonts w:ascii="Calibri"/>
                <w:spacing w:val="-4"/>
                <w:w w:val="110"/>
                <w:sz w:val="16"/>
              </w:rPr>
              <w:t>2,712</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0.209726289</w:t>
            </w:r>
          </w:p>
        </w:tc>
      </w:tr>
      <w:tr>
        <w:trPr>
          <w:trHeight w:val="201" w:hRule="atLeast"/>
        </w:trPr>
        <w:tc>
          <w:tcPr>
            <w:tcW w:w="2533" w:type="dxa"/>
          </w:tcPr>
          <w:p>
            <w:pPr>
              <w:pStyle w:val="TableParagraph"/>
              <w:spacing w:line="176" w:lineRule="exact" w:before="5"/>
              <w:ind w:left="159"/>
              <w:rPr>
                <w:rFonts w:ascii="Calibri"/>
                <w:sz w:val="16"/>
              </w:rPr>
            </w:pPr>
            <w:r>
              <w:rPr>
                <w:rFonts w:ascii="Calibri"/>
                <w:w w:val="110"/>
                <w:sz w:val="16"/>
              </w:rPr>
              <w:t>French,</w:t>
            </w:r>
            <w:r>
              <w:rPr>
                <w:rFonts w:ascii="Calibri"/>
                <w:spacing w:val="-4"/>
                <w:w w:val="110"/>
                <w:sz w:val="16"/>
              </w:rPr>
              <w:t> </w:t>
            </w:r>
            <w:r>
              <w:rPr>
                <w:rFonts w:ascii="Calibri"/>
                <w:w w:val="110"/>
                <w:sz w:val="16"/>
              </w:rPr>
              <w:t>Haitian,</w:t>
            </w:r>
            <w:r>
              <w:rPr>
                <w:rFonts w:ascii="Calibri"/>
                <w:spacing w:val="-3"/>
                <w:w w:val="110"/>
                <w:sz w:val="16"/>
              </w:rPr>
              <w:t> </w:t>
            </w:r>
            <w:r>
              <w:rPr>
                <w:rFonts w:ascii="Calibri"/>
                <w:w w:val="110"/>
                <w:sz w:val="16"/>
              </w:rPr>
              <w:t>or</w:t>
            </w:r>
            <w:r>
              <w:rPr>
                <w:rFonts w:ascii="Calibri"/>
                <w:spacing w:val="-1"/>
                <w:w w:val="110"/>
                <w:sz w:val="16"/>
              </w:rPr>
              <w:t> </w:t>
            </w:r>
            <w:r>
              <w:rPr>
                <w:rFonts w:ascii="Calibri"/>
                <w:spacing w:val="-2"/>
                <w:w w:val="110"/>
                <w:sz w:val="16"/>
              </w:rPr>
              <w:t>Cajun:</w:t>
            </w:r>
          </w:p>
        </w:tc>
        <w:tc>
          <w:tcPr>
            <w:tcW w:w="3012" w:type="dxa"/>
          </w:tcPr>
          <w:p>
            <w:pPr>
              <w:pStyle w:val="TableParagraph"/>
              <w:spacing w:line="176" w:lineRule="exact" w:before="5"/>
              <w:ind w:left="39"/>
              <w:rPr>
                <w:rFonts w:ascii="Calibri"/>
                <w:sz w:val="16"/>
              </w:rPr>
            </w:pPr>
            <w:r>
              <w:rPr>
                <w:rFonts w:ascii="Calibri"/>
                <w:spacing w:val="-2"/>
                <w:w w:val="110"/>
                <w:sz w:val="16"/>
              </w:rPr>
              <w:t>33,695</w:t>
            </w:r>
          </w:p>
        </w:tc>
        <w:tc>
          <w:tcPr>
            <w:tcW w:w="1496" w:type="dxa"/>
          </w:tcPr>
          <w:p>
            <w:pPr>
              <w:pStyle w:val="TableParagraph"/>
              <w:spacing w:line="240" w:lineRule="auto"/>
              <w:rPr>
                <w:sz w:val="14"/>
              </w:rPr>
            </w:pPr>
          </w:p>
        </w:tc>
      </w:tr>
      <w:tr>
        <w:trPr>
          <w:trHeight w:val="201" w:hRule="atLeast"/>
        </w:trPr>
        <w:tc>
          <w:tcPr>
            <w:tcW w:w="2533" w:type="dxa"/>
            <w:tcBorders>
              <w:right w:val="single" w:sz="8" w:space="0" w:color="000000"/>
            </w:tcBorders>
          </w:tcPr>
          <w:p>
            <w:pPr>
              <w:pStyle w:val="TableParagraph"/>
              <w:spacing w:line="176" w:lineRule="exact" w:before="5"/>
              <w:ind w:right="440"/>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Borders>
              <w:left w:val="single" w:sz="8" w:space="0" w:color="000000"/>
            </w:tcBorders>
          </w:tcPr>
          <w:p>
            <w:pPr>
              <w:pStyle w:val="TableParagraph"/>
              <w:spacing w:line="176" w:lineRule="exact" w:before="5"/>
              <w:ind w:left="34"/>
              <w:rPr>
                <w:rFonts w:ascii="Calibri"/>
                <w:sz w:val="16"/>
              </w:rPr>
            </w:pPr>
            <w:r>
              <w:rPr>
                <w:rFonts w:ascii="Calibri"/>
                <w:spacing w:val="-2"/>
                <w:w w:val="110"/>
                <w:sz w:val="16"/>
              </w:rPr>
              <w:t>27,260</w:t>
            </w:r>
          </w:p>
        </w:tc>
        <w:tc>
          <w:tcPr>
            <w:tcW w:w="1496" w:type="dxa"/>
          </w:tcPr>
          <w:p>
            <w:pPr>
              <w:pStyle w:val="TableParagraph"/>
              <w:spacing w:line="240" w:lineRule="auto"/>
              <w:rPr>
                <w:sz w:val="14"/>
              </w:rPr>
            </w:pPr>
          </w:p>
        </w:tc>
      </w:tr>
      <w:tr>
        <w:trPr>
          <w:trHeight w:val="412" w:hRule="atLeast"/>
        </w:trPr>
        <w:tc>
          <w:tcPr>
            <w:tcW w:w="2533" w:type="dxa"/>
            <w:tcBorders>
              <w:right w:val="single" w:sz="8" w:space="0" w:color="000000"/>
            </w:tcBorders>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tcBorders>
              <w:left w:val="single" w:sz="8" w:space="0" w:color="000000"/>
            </w:tcBorders>
            <w:shd w:val="clear" w:color="auto" w:fill="FFFF00"/>
          </w:tcPr>
          <w:p>
            <w:pPr>
              <w:pStyle w:val="TableParagraph"/>
              <w:spacing w:line="240" w:lineRule="auto" w:before="9"/>
              <w:rPr>
                <w:rFonts w:ascii="Calibri"/>
                <w:sz w:val="17"/>
              </w:rPr>
            </w:pPr>
          </w:p>
          <w:p>
            <w:pPr>
              <w:pStyle w:val="TableParagraph"/>
              <w:spacing w:line="176" w:lineRule="exact"/>
              <w:ind w:left="34"/>
              <w:rPr>
                <w:rFonts w:ascii="Calibri"/>
                <w:sz w:val="16"/>
              </w:rPr>
            </w:pPr>
            <w:r>
              <w:rPr>
                <w:rFonts w:ascii="Calibri"/>
                <w:spacing w:val="-4"/>
                <w:w w:val="110"/>
                <w:sz w:val="16"/>
              </w:rPr>
              <w:t>6,435</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0.497635939</w:t>
            </w:r>
          </w:p>
        </w:tc>
      </w:tr>
      <w:tr>
        <w:trPr>
          <w:trHeight w:val="412" w:hRule="atLeast"/>
        </w:trPr>
        <w:tc>
          <w:tcPr>
            <w:tcW w:w="2533" w:type="dxa"/>
            <w:tcBorders>
              <w:right w:val="single" w:sz="8" w:space="0" w:color="000000"/>
            </w:tcBorders>
          </w:tcPr>
          <w:p>
            <w:pPr>
              <w:pStyle w:val="TableParagraph"/>
              <w:spacing w:line="240" w:lineRule="auto" w:before="5"/>
              <w:ind w:left="159"/>
              <w:rPr>
                <w:rFonts w:ascii="Calibri"/>
                <w:sz w:val="16"/>
              </w:rPr>
            </w:pPr>
            <w:r>
              <w:rPr>
                <w:rFonts w:ascii="Calibri"/>
                <w:w w:val="110"/>
                <w:sz w:val="16"/>
              </w:rPr>
              <w:t>German or</w:t>
            </w:r>
            <w:r>
              <w:rPr>
                <w:rFonts w:ascii="Calibri"/>
                <w:spacing w:val="2"/>
                <w:w w:val="110"/>
                <w:sz w:val="16"/>
              </w:rPr>
              <w:t> </w:t>
            </w:r>
            <w:r>
              <w:rPr>
                <w:rFonts w:ascii="Calibri"/>
                <w:w w:val="110"/>
                <w:sz w:val="16"/>
              </w:rPr>
              <w:t>other</w:t>
            </w:r>
            <w:r>
              <w:rPr>
                <w:rFonts w:ascii="Calibri"/>
                <w:spacing w:val="2"/>
                <w:w w:val="110"/>
                <w:sz w:val="16"/>
              </w:rPr>
              <w:t> </w:t>
            </w:r>
            <w:r>
              <w:rPr>
                <w:rFonts w:ascii="Calibri"/>
                <w:spacing w:val="-4"/>
                <w:w w:val="110"/>
                <w:sz w:val="16"/>
              </w:rPr>
              <w:t>West</w:t>
            </w:r>
          </w:p>
          <w:p>
            <w:pPr>
              <w:pStyle w:val="TableParagraph"/>
              <w:spacing w:line="176" w:lineRule="exact" w:before="16"/>
              <w:ind w:left="159"/>
              <w:rPr>
                <w:rFonts w:ascii="Calibri"/>
                <w:sz w:val="16"/>
              </w:rPr>
            </w:pPr>
            <w:r>
              <w:rPr>
                <w:rFonts w:ascii="Calibri"/>
                <w:w w:val="110"/>
                <w:sz w:val="16"/>
              </w:rPr>
              <w:t>Germanic </w:t>
            </w:r>
            <w:r>
              <w:rPr>
                <w:rFonts w:ascii="Calibri"/>
                <w:spacing w:val="-2"/>
                <w:w w:val="110"/>
                <w:sz w:val="16"/>
              </w:rPr>
              <w:t>languages:</w:t>
            </w:r>
          </w:p>
        </w:tc>
        <w:tc>
          <w:tcPr>
            <w:tcW w:w="3012" w:type="dxa"/>
            <w:tcBorders>
              <w:left w:val="single" w:sz="8" w:space="0" w:color="000000"/>
            </w:tcBorders>
          </w:tcPr>
          <w:p>
            <w:pPr>
              <w:pStyle w:val="TableParagraph"/>
              <w:spacing w:line="240" w:lineRule="auto" w:before="9"/>
              <w:rPr>
                <w:rFonts w:ascii="Calibri"/>
                <w:sz w:val="17"/>
              </w:rPr>
            </w:pPr>
          </w:p>
          <w:p>
            <w:pPr>
              <w:pStyle w:val="TableParagraph"/>
              <w:spacing w:line="176" w:lineRule="exact"/>
              <w:ind w:left="34"/>
              <w:rPr>
                <w:rFonts w:ascii="Calibri"/>
                <w:sz w:val="16"/>
              </w:rPr>
            </w:pPr>
            <w:r>
              <w:rPr>
                <w:rFonts w:ascii="Calibri"/>
                <w:spacing w:val="-4"/>
                <w:w w:val="110"/>
                <w:sz w:val="16"/>
              </w:rPr>
              <w:t>4,185</w:t>
            </w:r>
          </w:p>
        </w:tc>
        <w:tc>
          <w:tcPr>
            <w:tcW w:w="1496" w:type="dxa"/>
          </w:tcPr>
          <w:p>
            <w:pPr>
              <w:pStyle w:val="TableParagraph"/>
              <w:spacing w:line="240" w:lineRule="auto"/>
              <w:rPr>
                <w:sz w:val="18"/>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3,695</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490</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0.037893024</w:t>
            </w:r>
          </w:p>
        </w:tc>
      </w:tr>
      <w:tr>
        <w:trPr>
          <w:trHeight w:val="412" w:hRule="atLeast"/>
        </w:trPr>
        <w:tc>
          <w:tcPr>
            <w:tcW w:w="2533" w:type="dxa"/>
            <w:tcBorders>
              <w:right w:val="single" w:sz="8" w:space="0" w:color="000000"/>
            </w:tcBorders>
          </w:tcPr>
          <w:p>
            <w:pPr>
              <w:pStyle w:val="TableParagraph"/>
              <w:spacing w:line="240" w:lineRule="auto" w:before="5"/>
              <w:ind w:left="159"/>
              <w:rPr>
                <w:rFonts w:ascii="Calibri"/>
                <w:sz w:val="16"/>
              </w:rPr>
            </w:pPr>
            <w:r>
              <w:rPr>
                <w:rFonts w:ascii="Calibri"/>
                <w:w w:val="110"/>
                <w:sz w:val="16"/>
              </w:rPr>
              <w:t>Russian,</w:t>
            </w:r>
            <w:r>
              <w:rPr>
                <w:rFonts w:ascii="Calibri"/>
                <w:spacing w:val="-2"/>
                <w:w w:val="110"/>
                <w:sz w:val="16"/>
              </w:rPr>
              <w:t> </w:t>
            </w:r>
            <w:r>
              <w:rPr>
                <w:rFonts w:ascii="Calibri"/>
                <w:w w:val="110"/>
                <w:sz w:val="16"/>
              </w:rPr>
              <w:t>Polish,</w:t>
            </w:r>
            <w:r>
              <w:rPr>
                <w:rFonts w:ascii="Calibri"/>
                <w:spacing w:val="-2"/>
                <w:w w:val="110"/>
                <w:sz w:val="16"/>
              </w:rPr>
              <w:t> </w:t>
            </w:r>
            <w:r>
              <w:rPr>
                <w:rFonts w:ascii="Calibri"/>
                <w:w w:val="110"/>
                <w:sz w:val="16"/>
              </w:rPr>
              <w:t>or</w:t>
            </w:r>
            <w:r>
              <w:rPr>
                <w:rFonts w:ascii="Calibri"/>
                <w:spacing w:val="1"/>
                <w:w w:val="110"/>
                <w:sz w:val="16"/>
              </w:rPr>
              <w:t> </w:t>
            </w:r>
            <w:r>
              <w:rPr>
                <w:rFonts w:ascii="Calibri"/>
                <w:w w:val="110"/>
                <w:sz w:val="16"/>
              </w:rPr>
              <w:t>other </w:t>
            </w:r>
            <w:r>
              <w:rPr>
                <w:rFonts w:ascii="Calibri"/>
                <w:spacing w:val="-2"/>
                <w:w w:val="110"/>
                <w:sz w:val="16"/>
              </w:rPr>
              <w:t>Slavic</w:t>
            </w:r>
          </w:p>
          <w:p>
            <w:pPr>
              <w:pStyle w:val="TableParagraph"/>
              <w:spacing w:line="176" w:lineRule="exact" w:before="16"/>
              <w:ind w:left="159"/>
              <w:rPr>
                <w:rFonts w:ascii="Calibri"/>
                <w:sz w:val="16"/>
              </w:rPr>
            </w:pPr>
            <w:r>
              <w:rPr>
                <w:rFonts w:ascii="Calibri"/>
                <w:spacing w:val="-2"/>
                <w:w w:val="110"/>
                <w:sz w:val="16"/>
              </w:rPr>
              <w:t>languages:</w:t>
            </w:r>
          </w:p>
        </w:tc>
        <w:tc>
          <w:tcPr>
            <w:tcW w:w="3012" w:type="dxa"/>
            <w:tcBorders>
              <w:left w:val="single" w:sz="8" w:space="0" w:color="000000"/>
            </w:tcBorders>
          </w:tcPr>
          <w:p>
            <w:pPr>
              <w:pStyle w:val="TableParagraph"/>
              <w:spacing w:line="240" w:lineRule="auto" w:before="9"/>
              <w:rPr>
                <w:rFonts w:ascii="Calibri"/>
                <w:sz w:val="17"/>
              </w:rPr>
            </w:pPr>
          </w:p>
          <w:p>
            <w:pPr>
              <w:pStyle w:val="TableParagraph"/>
              <w:spacing w:line="176" w:lineRule="exact"/>
              <w:ind w:left="34"/>
              <w:rPr>
                <w:rFonts w:ascii="Calibri"/>
                <w:sz w:val="16"/>
              </w:rPr>
            </w:pPr>
            <w:r>
              <w:rPr>
                <w:rFonts w:ascii="Calibri"/>
                <w:spacing w:val="-4"/>
                <w:w w:val="110"/>
                <w:sz w:val="16"/>
              </w:rPr>
              <w:t>2,801</w:t>
            </w:r>
          </w:p>
        </w:tc>
        <w:tc>
          <w:tcPr>
            <w:tcW w:w="1496" w:type="dxa"/>
          </w:tcPr>
          <w:p>
            <w:pPr>
              <w:pStyle w:val="TableParagraph"/>
              <w:spacing w:line="240" w:lineRule="auto"/>
              <w:rPr>
                <w:sz w:val="18"/>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2,297</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504</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0.038975682</w:t>
            </w:r>
          </w:p>
        </w:tc>
      </w:tr>
      <w:tr>
        <w:trPr>
          <w:trHeight w:val="201" w:hRule="atLeast"/>
        </w:trPr>
        <w:tc>
          <w:tcPr>
            <w:tcW w:w="2533" w:type="dxa"/>
          </w:tcPr>
          <w:p>
            <w:pPr>
              <w:pStyle w:val="TableParagraph"/>
              <w:spacing w:line="176" w:lineRule="exact" w:before="5"/>
              <w:ind w:left="159"/>
              <w:rPr>
                <w:rFonts w:ascii="Calibri"/>
                <w:sz w:val="16"/>
              </w:rPr>
            </w:pPr>
            <w:r>
              <w:rPr>
                <w:rFonts w:ascii="Calibri"/>
                <w:w w:val="110"/>
                <w:sz w:val="16"/>
              </w:rPr>
              <w:t>Other</w:t>
            </w:r>
            <w:r>
              <w:rPr>
                <w:rFonts w:ascii="Calibri"/>
                <w:spacing w:val="7"/>
                <w:w w:val="110"/>
                <w:sz w:val="16"/>
              </w:rPr>
              <w:t> </w:t>
            </w:r>
            <w:r>
              <w:rPr>
                <w:rFonts w:ascii="Calibri"/>
                <w:w w:val="110"/>
                <w:sz w:val="16"/>
              </w:rPr>
              <w:t>Indo-</w:t>
            </w:r>
            <w:r>
              <w:rPr>
                <w:rFonts w:ascii="Calibri"/>
                <w:spacing w:val="-2"/>
                <w:w w:val="110"/>
                <w:sz w:val="16"/>
              </w:rPr>
              <w:t>European</w:t>
            </w:r>
          </w:p>
        </w:tc>
        <w:tc>
          <w:tcPr>
            <w:tcW w:w="3012" w:type="dxa"/>
          </w:tcPr>
          <w:p>
            <w:pPr>
              <w:pStyle w:val="TableParagraph"/>
              <w:spacing w:line="176" w:lineRule="exact" w:before="5"/>
              <w:ind w:left="39"/>
              <w:rPr>
                <w:rFonts w:ascii="Calibri"/>
                <w:sz w:val="16"/>
              </w:rPr>
            </w:pPr>
            <w:r>
              <w:rPr>
                <w:rFonts w:ascii="Calibri"/>
                <w:spacing w:val="-4"/>
                <w:w w:val="110"/>
                <w:sz w:val="16"/>
              </w:rPr>
              <w:t>6,209</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4,647</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1,562</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0.120793681</w:t>
            </w:r>
          </w:p>
        </w:tc>
      </w:tr>
      <w:tr>
        <w:trPr>
          <w:trHeight w:val="201" w:hRule="atLeast"/>
        </w:trPr>
        <w:tc>
          <w:tcPr>
            <w:tcW w:w="2533" w:type="dxa"/>
          </w:tcPr>
          <w:p>
            <w:pPr>
              <w:pStyle w:val="TableParagraph"/>
              <w:spacing w:line="176" w:lineRule="exact" w:before="5"/>
              <w:ind w:left="159"/>
              <w:rPr>
                <w:rFonts w:ascii="Calibri"/>
                <w:sz w:val="16"/>
              </w:rPr>
            </w:pPr>
            <w:r>
              <w:rPr>
                <w:rFonts w:ascii="Calibri"/>
                <w:spacing w:val="-2"/>
                <w:w w:val="110"/>
                <w:sz w:val="16"/>
              </w:rPr>
              <w:t>Korean:</w:t>
            </w:r>
          </w:p>
        </w:tc>
        <w:tc>
          <w:tcPr>
            <w:tcW w:w="3012" w:type="dxa"/>
          </w:tcPr>
          <w:p>
            <w:pPr>
              <w:pStyle w:val="TableParagraph"/>
              <w:spacing w:line="176" w:lineRule="exact" w:before="5"/>
              <w:ind w:left="39"/>
              <w:rPr>
                <w:rFonts w:ascii="Calibri"/>
                <w:sz w:val="16"/>
              </w:rPr>
            </w:pPr>
            <w:r>
              <w:rPr>
                <w:rFonts w:ascii="Calibri"/>
                <w:spacing w:val="-5"/>
                <w:w w:val="110"/>
                <w:sz w:val="16"/>
              </w:rPr>
              <w:t>643</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5"/>
                <w:w w:val="110"/>
                <w:sz w:val="16"/>
              </w:rPr>
              <w:t>451</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192</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0.014847879</w:t>
            </w:r>
          </w:p>
        </w:tc>
      </w:tr>
      <w:tr>
        <w:trPr>
          <w:trHeight w:val="412" w:hRule="atLeast"/>
        </w:trPr>
        <w:tc>
          <w:tcPr>
            <w:tcW w:w="2533" w:type="dxa"/>
          </w:tcPr>
          <w:p>
            <w:pPr>
              <w:pStyle w:val="TableParagraph"/>
              <w:spacing w:line="240" w:lineRule="auto" w:before="5"/>
              <w:ind w:left="159"/>
              <w:rPr>
                <w:rFonts w:ascii="Calibri"/>
                <w:sz w:val="16"/>
              </w:rPr>
            </w:pPr>
            <w:r>
              <w:rPr>
                <w:rFonts w:ascii="Calibri"/>
                <w:w w:val="110"/>
                <w:sz w:val="16"/>
              </w:rPr>
              <w:t>Chinese</w:t>
            </w:r>
            <w:r>
              <w:rPr>
                <w:rFonts w:ascii="Calibri"/>
                <w:spacing w:val="-2"/>
                <w:w w:val="110"/>
                <w:sz w:val="16"/>
              </w:rPr>
              <w:t> </w:t>
            </w:r>
            <w:r>
              <w:rPr>
                <w:rFonts w:ascii="Calibri"/>
                <w:w w:val="110"/>
                <w:sz w:val="16"/>
              </w:rPr>
              <w:t>(incl.</w:t>
            </w:r>
            <w:r>
              <w:rPr>
                <w:rFonts w:ascii="Calibri"/>
                <w:spacing w:val="3"/>
                <w:w w:val="110"/>
                <w:sz w:val="16"/>
              </w:rPr>
              <w:t> </w:t>
            </w:r>
            <w:r>
              <w:rPr>
                <w:rFonts w:ascii="Calibri"/>
                <w:spacing w:val="-2"/>
                <w:w w:val="110"/>
                <w:sz w:val="16"/>
              </w:rPr>
              <w:t>Mandarin,</w:t>
            </w:r>
          </w:p>
          <w:p>
            <w:pPr>
              <w:pStyle w:val="TableParagraph"/>
              <w:spacing w:line="176" w:lineRule="exact" w:before="16"/>
              <w:ind w:left="159"/>
              <w:rPr>
                <w:rFonts w:ascii="Calibri"/>
                <w:sz w:val="16"/>
              </w:rPr>
            </w:pPr>
            <w:r>
              <w:rPr>
                <w:rFonts w:ascii="Calibri"/>
                <w:spacing w:val="-2"/>
                <w:w w:val="110"/>
                <w:sz w:val="16"/>
              </w:rPr>
              <w:t>Cantonese):</w:t>
            </w:r>
          </w:p>
        </w:tc>
        <w:tc>
          <w:tcPr>
            <w:tcW w:w="3012" w:type="dxa"/>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3,102</w:t>
            </w:r>
          </w:p>
        </w:tc>
        <w:tc>
          <w:tcPr>
            <w:tcW w:w="1496" w:type="dxa"/>
          </w:tcPr>
          <w:p>
            <w:pPr>
              <w:pStyle w:val="TableParagraph"/>
              <w:spacing w:line="240" w:lineRule="auto"/>
              <w:rPr>
                <w:sz w:val="18"/>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1,731</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1,371</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0.106023135</w:t>
            </w:r>
          </w:p>
        </w:tc>
      </w:tr>
      <w:tr>
        <w:trPr>
          <w:trHeight w:val="201" w:hRule="atLeast"/>
        </w:trPr>
        <w:tc>
          <w:tcPr>
            <w:tcW w:w="2533" w:type="dxa"/>
          </w:tcPr>
          <w:p>
            <w:pPr>
              <w:pStyle w:val="TableParagraph"/>
              <w:spacing w:line="176" w:lineRule="exact" w:before="5"/>
              <w:ind w:left="159"/>
              <w:rPr>
                <w:rFonts w:ascii="Calibri"/>
                <w:sz w:val="16"/>
              </w:rPr>
            </w:pPr>
            <w:r>
              <w:rPr>
                <w:rFonts w:ascii="Calibri"/>
                <w:spacing w:val="-2"/>
                <w:w w:val="110"/>
                <w:sz w:val="16"/>
              </w:rPr>
              <w:t>Vietnamese:</w:t>
            </w:r>
          </w:p>
        </w:tc>
        <w:tc>
          <w:tcPr>
            <w:tcW w:w="3012" w:type="dxa"/>
          </w:tcPr>
          <w:p>
            <w:pPr>
              <w:pStyle w:val="TableParagraph"/>
              <w:spacing w:line="176" w:lineRule="exact" w:before="5"/>
              <w:ind w:left="39"/>
              <w:rPr>
                <w:rFonts w:ascii="Calibri"/>
                <w:sz w:val="16"/>
              </w:rPr>
            </w:pPr>
            <w:r>
              <w:rPr>
                <w:rFonts w:ascii="Calibri"/>
                <w:spacing w:val="-5"/>
                <w:w w:val="110"/>
                <w:sz w:val="16"/>
              </w:rPr>
              <w:t>832</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5"/>
                <w:w w:val="110"/>
                <w:sz w:val="16"/>
              </w:rPr>
              <w:t>303</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529</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0.040909</w:t>
            </w:r>
          </w:p>
        </w:tc>
      </w:tr>
      <w:tr>
        <w:trPr>
          <w:trHeight w:val="201" w:hRule="atLeast"/>
        </w:trPr>
        <w:tc>
          <w:tcPr>
            <w:tcW w:w="2533" w:type="dxa"/>
          </w:tcPr>
          <w:p>
            <w:pPr>
              <w:pStyle w:val="TableParagraph"/>
              <w:spacing w:line="176" w:lineRule="exact" w:before="5"/>
              <w:ind w:left="159"/>
              <w:rPr>
                <w:rFonts w:ascii="Calibri"/>
                <w:sz w:val="16"/>
              </w:rPr>
            </w:pPr>
            <w:r>
              <w:rPr>
                <w:rFonts w:ascii="Calibri"/>
                <w:w w:val="110"/>
                <w:sz w:val="16"/>
              </w:rPr>
              <w:t>Tagalog</w:t>
            </w:r>
            <w:r>
              <w:rPr>
                <w:rFonts w:ascii="Calibri"/>
                <w:spacing w:val="-1"/>
                <w:w w:val="110"/>
                <w:sz w:val="16"/>
              </w:rPr>
              <w:t> </w:t>
            </w:r>
            <w:r>
              <w:rPr>
                <w:rFonts w:ascii="Calibri"/>
                <w:w w:val="110"/>
                <w:sz w:val="16"/>
              </w:rPr>
              <w:t>(incl.</w:t>
            </w:r>
            <w:r>
              <w:rPr>
                <w:rFonts w:ascii="Calibri"/>
                <w:spacing w:val="11"/>
                <w:w w:val="110"/>
                <w:sz w:val="16"/>
              </w:rPr>
              <w:t> </w:t>
            </w:r>
            <w:r>
              <w:rPr>
                <w:rFonts w:ascii="Calibri"/>
                <w:spacing w:val="-2"/>
                <w:w w:val="110"/>
                <w:sz w:val="16"/>
              </w:rPr>
              <w:t>Filipino):</w:t>
            </w:r>
          </w:p>
        </w:tc>
        <w:tc>
          <w:tcPr>
            <w:tcW w:w="3012" w:type="dxa"/>
          </w:tcPr>
          <w:p>
            <w:pPr>
              <w:pStyle w:val="TableParagraph"/>
              <w:spacing w:line="176" w:lineRule="exact" w:before="5"/>
              <w:ind w:left="39"/>
              <w:rPr>
                <w:rFonts w:ascii="Calibri"/>
                <w:sz w:val="16"/>
              </w:rPr>
            </w:pPr>
            <w:r>
              <w:rPr>
                <w:rFonts w:ascii="Calibri"/>
                <w:spacing w:val="-4"/>
                <w:w w:val="110"/>
                <w:sz w:val="16"/>
              </w:rPr>
              <w:t>1,026</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5"/>
                <w:w w:val="110"/>
                <w:sz w:val="16"/>
              </w:rPr>
              <w:t>771</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255</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0.019719839</w:t>
            </w:r>
          </w:p>
        </w:tc>
      </w:tr>
      <w:tr>
        <w:trPr>
          <w:trHeight w:val="412" w:hRule="atLeast"/>
        </w:trPr>
        <w:tc>
          <w:tcPr>
            <w:tcW w:w="2533" w:type="dxa"/>
          </w:tcPr>
          <w:p>
            <w:pPr>
              <w:pStyle w:val="TableParagraph"/>
              <w:spacing w:line="240" w:lineRule="auto" w:before="5"/>
              <w:ind w:left="159"/>
              <w:rPr>
                <w:rFonts w:ascii="Calibri"/>
                <w:sz w:val="16"/>
              </w:rPr>
            </w:pPr>
            <w:r>
              <w:rPr>
                <w:rFonts w:ascii="Calibri"/>
                <w:w w:val="110"/>
                <w:sz w:val="16"/>
              </w:rPr>
              <w:t>Other Asian and Pacific</w:t>
            </w:r>
            <w:r>
              <w:rPr>
                <w:rFonts w:ascii="Calibri"/>
                <w:spacing w:val="9"/>
                <w:w w:val="110"/>
                <w:sz w:val="16"/>
              </w:rPr>
              <w:t> </w:t>
            </w:r>
            <w:r>
              <w:rPr>
                <w:rFonts w:ascii="Calibri"/>
                <w:spacing w:val="-2"/>
                <w:w w:val="110"/>
                <w:sz w:val="16"/>
              </w:rPr>
              <w:t>Island</w:t>
            </w:r>
          </w:p>
          <w:p>
            <w:pPr>
              <w:pStyle w:val="TableParagraph"/>
              <w:spacing w:line="176" w:lineRule="exact" w:before="16"/>
              <w:ind w:left="159"/>
              <w:rPr>
                <w:rFonts w:ascii="Calibri"/>
                <w:sz w:val="16"/>
              </w:rPr>
            </w:pPr>
            <w:r>
              <w:rPr>
                <w:rFonts w:ascii="Calibri"/>
                <w:spacing w:val="-2"/>
                <w:w w:val="110"/>
                <w:sz w:val="16"/>
              </w:rPr>
              <w:t>languages:</w:t>
            </w:r>
          </w:p>
        </w:tc>
        <w:tc>
          <w:tcPr>
            <w:tcW w:w="3012" w:type="dxa"/>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3,026</w:t>
            </w:r>
          </w:p>
        </w:tc>
        <w:tc>
          <w:tcPr>
            <w:tcW w:w="1496" w:type="dxa"/>
          </w:tcPr>
          <w:p>
            <w:pPr>
              <w:pStyle w:val="TableParagraph"/>
              <w:spacing w:line="240" w:lineRule="auto"/>
              <w:rPr>
                <w:sz w:val="18"/>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1,876</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1,150</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0.088932608</w:t>
            </w:r>
          </w:p>
        </w:tc>
      </w:tr>
      <w:tr>
        <w:trPr>
          <w:trHeight w:val="201" w:hRule="atLeast"/>
        </w:trPr>
        <w:tc>
          <w:tcPr>
            <w:tcW w:w="2533" w:type="dxa"/>
          </w:tcPr>
          <w:p>
            <w:pPr>
              <w:pStyle w:val="TableParagraph"/>
              <w:spacing w:line="176" w:lineRule="exact" w:before="5"/>
              <w:ind w:left="159"/>
              <w:rPr>
                <w:rFonts w:ascii="Calibri"/>
                <w:sz w:val="16"/>
              </w:rPr>
            </w:pPr>
            <w:r>
              <w:rPr>
                <w:rFonts w:ascii="Calibri"/>
                <w:spacing w:val="-2"/>
                <w:w w:val="110"/>
                <w:sz w:val="16"/>
              </w:rPr>
              <w:t>Arabic:</w:t>
            </w:r>
          </w:p>
        </w:tc>
        <w:tc>
          <w:tcPr>
            <w:tcW w:w="3012" w:type="dxa"/>
          </w:tcPr>
          <w:p>
            <w:pPr>
              <w:pStyle w:val="TableParagraph"/>
              <w:spacing w:line="176" w:lineRule="exact" w:before="5"/>
              <w:ind w:left="39"/>
              <w:rPr>
                <w:rFonts w:ascii="Calibri"/>
                <w:sz w:val="16"/>
              </w:rPr>
            </w:pPr>
            <w:r>
              <w:rPr>
                <w:rFonts w:ascii="Calibri"/>
                <w:spacing w:val="-4"/>
                <w:w w:val="110"/>
                <w:sz w:val="16"/>
              </w:rPr>
              <w:t>1,438</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5"/>
                <w:w w:val="110"/>
                <w:sz w:val="16"/>
              </w:rPr>
              <w:t>902</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5"/>
                <w:w w:val="110"/>
                <w:sz w:val="16"/>
              </w:rPr>
              <w:t>536</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0.041450328</w:t>
            </w:r>
          </w:p>
        </w:tc>
      </w:tr>
      <w:tr>
        <w:trPr>
          <w:trHeight w:val="201" w:hRule="atLeast"/>
        </w:trPr>
        <w:tc>
          <w:tcPr>
            <w:tcW w:w="2533" w:type="dxa"/>
          </w:tcPr>
          <w:p>
            <w:pPr>
              <w:pStyle w:val="TableParagraph"/>
              <w:spacing w:line="176" w:lineRule="exact" w:before="5"/>
              <w:ind w:left="159"/>
              <w:rPr>
                <w:rFonts w:ascii="Calibri"/>
                <w:sz w:val="16"/>
              </w:rPr>
            </w:pPr>
            <w:r>
              <w:rPr>
                <w:rFonts w:ascii="Calibri"/>
                <w:w w:val="110"/>
                <w:sz w:val="16"/>
              </w:rPr>
              <w:t>Other</w:t>
            </w:r>
            <w:r>
              <w:rPr>
                <w:rFonts w:ascii="Calibri"/>
                <w:spacing w:val="-2"/>
                <w:w w:val="110"/>
                <w:sz w:val="16"/>
              </w:rPr>
              <w:t> </w:t>
            </w:r>
            <w:r>
              <w:rPr>
                <w:rFonts w:ascii="Calibri"/>
                <w:w w:val="110"/>
                <w:sz w:val="16"/>
              </w:rPr>
              <w:t>and</w:t>
            </w:r>
            <w:r>
              <w:rPr>
                <w:rFonts w:ascii="Calibri"/>
                <w:spacing w:val="-2"/>
                <w:w w:val="110"/>
                <w:sz w:val="16"/>
              </w:rPr>
              <w:t> unspecified</w:t>
            </w:r>
          </w:p>
        </w:tc>
        <w:tc>
          <w:tcPr>
            <w:tcW w:w="3012" w:type="dxa"/>
          </w:tcPr>
          <w:p>
            <w:pPr>
              <w:pStyle w:val="TableParagraph"/>
              <w:spacing w:line="176" w:lineRule="exact" w:before="5"/>
              <w:ind w:left="39"/>
              <w:rPr>
                <w:rFonts w:ascii="Calibri"/>
                <w:sz w:val="16"/>
              </w:rPr>
            </w:pPr>
            <w:r>
              <w:rPr>
                <w:rFonts w:ascii="Calibri"/>
                <w:spacing w:val="-4"/>
                <w:w w:val="110"/>
                <w:sz w:val="16"/>
              </w:rPr>
              <w:t>7,410</w:t>
            </w:r>
          </w:p>
        </w:tc>
        <w:tc>
          <w:tcPr>
            <w:tcW w:w="1496" w:type="dxa"/>
          </w:tcPr>
          <w:p>
            <w:pPr>
              <w:pStyle w:val="TableParagraph"/>
              <w:spacing w:line="240" w:lineRule="auto"/>
              <w:rPr>
                <w:sz w:val="14"/>
              </w:rPr>
            </w:pPr>
          </w:p>
        </w:tc>
      </w:tr>
      <w:tr>
        <w:trPr>
          <w:trHeight w:val="201" w:hRule="atLeast"/>
        </w:trPr>
        <w:tc>
          <w:tcPr>
            <w:tcW w:w="2533" w:type="dxa"/>
          </w:tcPr>
          <w:p>
            <w:pPr>
              <w:pStyle w:val="TableParagraph"/>
              <w:spacing w:line="176" w:lineRule="exact" w:before="5"/>
              <w:ind w:right="445"/>
              <w:jc w:val="right"/>
              <w:rPr>
                <w:rFonts w:ascii="Calibri"/>
                <w:sz w:val="16"/>
              </w:rPr>
            </w:pPr>
            <w:r>
              <w:rPr>
                <w:rFonts w:ascii="Calibri"/>
                <w:w w:val="110"/>
                <w:sz w:val="16"/>
              </w:rPr>
              <w:t>Speak</w:t>
            </w:r>
            <w:r>
              <w:rPr>
                <w:rFonts w:ascii="Calibri"/>
                <w:spacing w:val="-4"/>
                <w:w w:val="110"/>
                <w:sz w:val="16"/>
              </w:rPr>
              <w:t> </w:t>
            </w:r>
            <w:r>
              <w:rPr>
                <w:rFonts w:ascii="Calibri"/>
                <w:w w:val="110"/>
                <w:sz w:val="16"/>
              </w:rPr>
              <w:t>English</w:t>
            </w:r>
            <w:r>
              <w:rPr>
                <w:rFonts w:ascii="Calibri"/>
                <w:spacing w:val="-5"/>
                <w:w w:val="110"/>
                <w:sz w:val="16"/>
              </w:rPr>
              <w:t> </w:t>
            </w:r>
            <w:r>
              <w:rPr>
                <w:rFonts w:ascii="Calibri"/>
                <w:w w:val="110"/>
                <w:sz w:val="16"/>
              </w:rPr>
              <w:t>"very</w:t>
            </w:r>
            <w:r>
              <w:rPr>
                <w:rFonts w:ascii="Calibri"/>
                <w:spacing w:val="-3"/>
                <w:w w:val="110"/>
                <w:sz w:val="16"/>
              </w:rPr>
              <w:t> </w:t>
            </w:r>
            <w:r>
              <w:rPr>
                <w:rFonts w:ascii="Calibri"/>
                <w:spacing w:val="-2"/>
                <w:w w:val="110"/>
                <w:sz w:val="16"/>
              </w:rPr>
              <w:t>well"</w:t>
            </w:r>
          </w:p>
        </w:tc>
        <w:tc>
          <w:tcPr>
            <w:tcW w:w="3012" w:type="dxa"/>
          </w:tcPr>
          <w:p>
            <w:pPr>
              <w:pStyle w:val="TableParagraph"/>
              <w:spacing w:line="176" w:lineRule="exact" w:before="5"/>
              <w:ind w:left="39"/>
              <w:rPr>
                <w:rFonts w:ascii="Calibri"/>
                <w:sz w:val="16"/>
              </w:rPr>
            </w:pPr>
            <w:r>
              <w:rPr>
                <w:rFonts w:ascii="Calibri"/>
                <w:spacing w:val="-4"/>
                <w:w w:val="110"/>
                <w:sz w:val="16"/>
              </w:rPr>
              <w:t>5,005</w:t>
            </w:r>
          </w:p>
        </w:tc>
        <w:tc>
          <w:tcPr>
            <w:tcW w:w="1496" w:type="dxa"/>
          </w:tcPr>
          <w:p>
            <w:pPr>
              <w:pStyle w:val="TableParagraph"/>
              <w:spacing w:line="240" w:lineRule="auto"/>
              <w:rPr>
                <w:sz w:val="14"/>
              </w:rPr>
            </w:pPr>
          </w:p>
        </w:tc>
      </w:tr>
      <w:tr>
        <w:trPr>
          <w:trHeight w:val="412" w:hRule="atLeast"/>
        </w:trPr>
        <w:tc>
          <w:tcPr>
            <w:tcW w:w="2533" w:type="dxa"/>
            <w:shd w:val="clear" w:color="auto" w:fill="FFFF00"/>
          </w:tcPr>
          <w:p>
            <w:pPr>
              <w:pStyle w:val="TableParagraph"/>
              <w:spacing w:line="240" w:lineRule="auto" w:before="5"/>
              <w:ind w:left="279"/>
              <w:rPr>
                <w:rFonts w:ascii="Calibri"/>
                <w:sz w:val="16"/>
              </w:rPr>
            </w:pPr>
            <w:r>
              <w:rPr>
                <w:rFonts w:ascii="Calibri"/>
                <w:w w:val="110"/>
                <w:sz w:val="16"/>
              </w:rPr>
              <w:t>Speak</w:t>
            </w:r>
            <w:r>
              <w:rPr>
                <w:rFonts w:ascii="Calibri"/>
                <w:spacing w:val="-2"/>
                <w:w w:val="110"/>
                <w:sz w:val="16"/>
              </w:rPr>
              <w:t> </w:t>
            </w:r>
            <w:r>
              <w:rPr>
                <w:rFonts w:ascii="Calibri"/>
                <w:w w:val="110"/>
                <w:sz w:val="16"/>
              </w:rPr>
              <w:t>English</w:t>
            </w:r>
            <w:r>
              <w:rPr>
                <w:rFonts w:ascii="Calibri"/>
                <w:spacing w:val="-4"/>
                <w:w w:val="110"/>
                <w:sz w:val="16"/>
              </w:rPr>
              <w:t> </w:t>
            </w:r>
            <w:r>
              <w:rPr>
                <w:rFonts w:ascii="Calibri"/>
                <w:w w:val="110"/>
                <w:sz w:val="16"/>
              </w:rPr>
              <w:t>less than</w:t>
            </w:r>
            <w:r>
              <w:rPr>
                <w:rFonts w:ascii="Calibri"/>
                <w:spacing w:val="-3"/>
                <w:w w:val="110"/>
                <w:sz w:val="16"/>
              </w:rPr>
              <w:t> </w:t>
            </w:r>
            <w:r>
              <w:rPr>
                <w:rFonts w:ascii="Calibri"/>
                <w:spacing w:val="-2"/>
                <w:w w:val="110"/>
                <w:sz w:val="16"/>
              </w:rPr>
              <w:t>"very</w:t>
            </w:r>
          </w:p>
          <w:p>
            <w:pPr>
              <w:pStyle w:val="TableParagraph"/>
              <w:spacing w:line="176" w:lineRule="exact" w:before="16"/>
              <w:ind w:left="279"/>
              <w:rPr>
                <w:rFonts w:ascii="Calibri"/>
                <w:sz w:val="16"/>
              </w:rPr>
            </w:pPr>
            <w:r>
              <w:rPr>
                <w:rFonts w:ascii="Calibri"/>
                <w:spacing w:val="-4"/>
                <w:w w:val="110"/>
                <w:sz w:val="16"/>
              </w:rPr>
              <w:t>well"</w:t>
            </w:r>
          </w:p>
        </w:tc>
        <w:tc>
          <w:tcPr>
            <w:tcW w:w="3012" w:type="dxa"/>
            <w:shd w:val="clear" w:color="auto" w:fill="FFFF00"/>
          </w:tcPr>
          <w:p>
            <w:pPr>
              <w:pStyle w:val="TableParagraph"/>
              <w:spacing w:line="240" w:lineRule="auto" w:before="9"/>
              <w:rPr>
                <w:rFonts w:ascii="Calibri"/>
                <w:sz w:val="17"/>
              </w:rPr>
            </w:pPr>
          </w:p>
          <w:p>
            <w:pPr>
              <w:pStyle w:val="TableParagraph"/>
              <w:spacing w:line="176" w:lineRule="exact"/>
              <w:ind w:left="39"/>
              <w:rPr>
                <w:rFonts w:ascii="Calibri"/>
                <w:sz w:val="16"/>
              </w:rPr>
            </w:pPr>
            <w:r>
              <w:rPr>
                <w:rFonts w:ascii="Calibri"/>
                <w:spacing w:val="-4"/>
                <w:w w:val="110"/>
                <w:sz w:val="16"/>
              </w:rPr>
              <w:t>2,405</w:t>
            </w:r>
          </w:p>
        </w:tc>
        <w:tc>
          <w:tcPr>
            <w:tcW w:w="1496" w:type="dxa"/>
            <w:shd w:val="clear" w:color="auto" w:fill="FFFF00"/>
          </w:tcPr>
          <w:p>
            <w:pPr>
              <w:pStyle w:val="TableParagraph"/>
              <w:spacing w:line="240" w:lineRule="auto" w:before="9"/>
              <w:rPr>
                <w:rFonts w:ascii="Calibri"/>
                <w:sz w:val="17"/>
              </w:rPr>
            </w:pPr>
          </w:p>
          <w:p>
            <w:pPr>
              <w:pStyle w:val="TableParagraph"/>
              <w:spacing w:line="176" w:lineRule="exact"/>
              <w:ind w:right="18"/>
              <w:jc w:val="right"/>
              <w:rPr>
                <w:rFonts w:ascii="Calibri"/>
                <w:sz w:val="16"/>
              </w:rPr>
            </w:pPr>
            <w:r>
              <w:rPr>
                <w:rFonts w:ascii="Calibri"/>
                <w:spacing w:val="-2"/>
                <w:w w:val="110"/>
                <w:sz w:val="16"/>
              </w:rPr>
              <w:t>0.185985149</w:t>
            </w:r>
          </w:p>
        </w:tc>
      </w:tr>
    </w:tbl>
    <w:p>
      <w:pPr>
        <w:pStyle w:val="BodyText"/>
        <w:spacing w:before="9"/>
        <w:rPr>
          <w:sz w:val="22"/>
        </w:rPr>
      </w:pPr>
    </w:p>
    <w:p>
      <w:pPr>
        <w:spacing w:before="52"/>
        <w:ind w:left="1199" w:right="0" w:firstLine="0"/>
        <w:jc w:val="left"/>
        <w:rPr>
          <w:i/>
          <w:sz w:val="24"/>
        </w:rPr>
      </w:pPr>
      <w:r>
        <w:rPr>
          <w:i/>
          <w:sz w:val="24"/>
        </w:rPr>
        <w:t>Source:</w:t>
      </w:r>
      <w:r>
        <w:rPr>
          <w:i/>
          <w:spacing w:val="-4"/>
          <w:sz w:val="24"/>
        </w:rPr>
        <w:t> </w:t>
      </w:r>
      <w:r>
        <w:rPr>
          <w:i/>
          <w:sz w:val="24"/>
        </w:rPr>
        <w:t>American</w:t>
      </w:r>
      <w:r>
        <w:rPr>
          <w:i/>
          <w:spacing w:val="-2"/>
          <w:sz w:val="24"/>
        </w:rPr>
        <w:t> </w:t>
      </w:r>
      <w:r>
        <w:rPr>
          <w:i/>
          <w:sz w:val="24"/>
        </w:rPr>
        <w:t>Community</w:t>
      </w:r>
      <w:r>
        <w:rPr>
          <w:i/>
          <w:spacing w:val="-2"/>
          <w:sz w:val="24"/>
        </w:rPr>
        <w:t> </w:t>
      </w:r>
      <w:r>
        <w:rPr>
          <w:i/>
          <w:sz w:val="24"/>
        </w:rPr>
        <w:t>Survey</w:t>
      </w:r>
      <w:r>
        <w:rPr>
          <w:i/>
          <w:spacing w:val="-1"/>
          <w:sz w:val="24"/>
        </w:rPr>
        <w:t> </w:t>
      </w:r>
      <w:r>
        <w:rPr>
          <w:i/>
          <w:sz w:val="24"/>
        </w:rPr>
        <w:t>(ACS)</w:t>
      </w:r>
      <w:r>
        <w:rPr>
          <w:i/>
          <w:spacing w:val="-2"/>
          <w:sz w:val="24"/>
        </w:rPr>
        <w:t> </w:t>
      </w:r>
      <w:r>
        <w:rPr>
          <w:i/>
          <w:sz w:val="24"/>
        </w:rPr>
        <w:t>data</w:t>
      </w:r>
      <w:r>
        <w:rPr>
          <w:i/>
          <w:spacing w:val="-3"/>
          <w:sz w:val="24"/>
        </w:rPr>
        <w:t> </w:t>
      </w:r>
      <w:r>
        <w:rPr>
          <w:i/>
          <w:sz w:val="24"/>
        </w:rPr>
        <w:t>for</w:t>
      </w:r>
      <w:r>
        <w:rPr>
          <w:i/>
          <w:spacing w:val="-2"/>
          <w:sz w:val="24"/>
        </w:rPr>
        <w:t> </w:t>
      </w:r>
      <w:r>
        <w:rPr>
          <w:i/>
          <w:sz w:val="24"/>
        </w:rPr>
        <w:t>2017</w:t>
      </w:r>
      <w:r>
        <w:rPr>
          <w:i/>
          <w:spacing w:val="-3"/>
          <w:sz w:val="24"/>
        </w:rPr>
        <w:t> </w:t>
      </w:r>
      <w:r>
        <w:rPr>
          <w:i/>
          <w:sz w:val="24"/>
        </w:rPr>
        <w:t>–</w:t>
      </w:r>
      <w:r>
        <w:rPr>
          <w:i/>
          <w:spacing w:val="-1"/>
          <w:sz w:val="24"/>
        </w:rPr>
        <w:t> </w:t>
      </w:r>
      <w:r>
        <w:rPr>
          <w:i/>
          <w:sz w:val="24"/>
        </w:rPr>
        <w:t>2021</w:t>
      </w:r>
      <w:r>
        <w:rPr>
          <w:i/>
          <w:spacing w:val="-3"/>
          <w:sz w:val="24"/>
        </w:rPr>
        <w:t> </w:t>
      </w:r>
      <w:r>
        <w:rPr>
          <w:i/>
          <w:sz w:val="24"/>
        </w:rPr>
        <w:t>five-year</w:t>
      </w:r>
      <w:r>
        <w:rPr>
          <w:i/>
          <w:spacing w:val="-2"/>
          <w:sz w:val="24"/>
        </w:rPr>
        <w:t> </w:t>
      </w:r>
      <w:r>
        <w:rPr>
          <w:i/>
          <w:sz w:val="24"/>
        </w:rPr>
        <w:t>data</w:t>
      </w:r>
      <w:r>
        <w:rPr>
          <w:i/>
          <w:spacing w:val="-2"/>
          <w:sz w:val="24"/>
        </w:rPr>
        <w:t> estimate.</w:t>
      </w:r>
    </w:p>
    <w:p>
      <w:pPr>
        <w:spacing w:after="0"/>
        <w:jc w:val="left"/>
        <w:rPr>
          <w:sz w:val="24"/>
        </w:rPr>
        <w:sectPr>
          <w:pgSz w:w="12240" w:h="15840"/>
          <w:pgMar w:header="0" w:footer="997" w:top="980" w:bottom="1260" w:left="600" w:right="500"/>
        </w:sectPr>
      </w:pPr>
    </w:p>
    <w:p>
      <w:pPr>
        <w:pStyle w:val="Heading9"/>
        <w:spacing w:before="35"/>
        <w:ind w:left="1200" w:right="937"/>
        <w:jc w:val="both"/>
      </w:pPr>
      <w:r>
        <w:rPr/>
        <w:t>Factor #2: Assessment of Frequency LEP Individuals Come into Contact with MaineDOT Services or System.</w:t>
      </w:r>
    </w:p>
    <w:p>
      <w:pPr>
        <w:pStyle w:val="BodyText"/>
        <w:spacing w:before="12"/>
        <w:rPr>
          <w:b/>
          <w:sz w:val="23"/>
        </w:rPr>
      </w:pPr>
    </w:p>
    <w:p>
      <w:pPr>
        <w:pStyle w:val="BodyText"/>
        <w:ind w:left="1200" w:right="935"/>
        <w:jc w:val="both"/>
      </w:pPr>
      <w:r>
        <w:rPr/>
        <w:t>As indicated in discussion of Factor 1, MaineDOT is most likely to have contact with LEP individuals at public meetings associated with public transportation planning efforts. MaineDOT</w:t>
      </w:r>
      <w:r>
        <w:rPr>
          <w:spacing w:val="-14"/>
        </w:rPr>
        <w:t> </w:t>
      </w:r>
      <w:r>
        <w:rPr/>
        <w:t>does</w:t>
      </w:r>
      <w:r>
        <w:rPr>
          <w:spacing w:val="-14"/>
        </w:rPr>
        <w:t> </w:t>
      </w:r>
      <w:r>
        <w:rPr/>
        <w:t>not</w:t>
      </w:r>
      <w:r>
        <w:rPr>
          <w:spacing w:val="-13"/>
        </w:rPr>
        <w:t> </w:t>
      </w:r>
      <w:r>
        <w:rPr/>
        <w:t>operate</w:t>
      </w:r>
      <w:r>
        <w:rPr>
          <w:spacing w:val="-14"/>
        </w:rPr>
        <w:t> </w:t>
      </w:r>
      <w:r>
        <w:rPr/>
        <w:t>a</w:t>
      </w:r>
      <w:r>
        <w:rPr>
          <w:spacing w:val="-13"/>
        </w:rPr>
        <w:t> </w:t>
      </w:r>
      <w:r>
        <w:rPr/>
        <w:t>transit</w:t>
      </w:r>
      <w:r>
        <w:rPr>
          <w:spacing w:val="-11"/>
        </w:rPr>
        <w:t> </w:t>
      </w:r>
      <w:r>
        <w:rPr/>
        <w:t>service.</w:t>
      </w:r>
      <w:r>
        <w:rPr>
          <w:spacing w:val="-13"/>
        </w:rPr>
        <w:t> </w:t>
      </w:r>
      <w:r>
        <w:rPr/>
        <w:t>MaineDOT</w:t>
      </w:r>
      <w:r>
        <w:rPr>
          <w:spacing w:val="-14"/>
        </w:rPr>
        <w:t> </w:t>
      </w:r>
      <w:r>
        <w:rPr/>
        <w:t>has</w:t>
      </w:r>
      <w:r>
        <w:rPr>
          <w:spacing w:val="-13"/>
        </w:rPr>
        <w:t> </w:t>
      </w:r>
      <w:r>
        <w:rPr/>
        <w:t>on-call</w:t>
      </w:r>
      <w:r>
        <w:rPr>
          <w:spacing w:val="-14"/>
        </w:rPr>
        <w:t> </w:t>
      </w:r>
      <w:r>
        <w:rPr/>
        <w:t>translation</w:t>
      </w:r>
      <w:r>
        <w:rPr>
          <w:spacing w:val="-13"/>
        </w:rPr>
        <w:t> </w:t>
      </w:r>
      <w:r>
        <w:rPr/>
        <w:t>via</w:t>
      </w:r>
      <w:r>
        <w:rPr>
          <w:spacing w:val="-13"/>
        </w:rPr>
        <w:t> </w:t>
      </w:r>
      <w:r>
        <w:rPr/>
        <w:t>telephone available</w:t>
      </w:r>
      <w:r>
        <w:rPr>
          <w:spacing w:val="-8"/>
        </w:rPr>
        <w:t> </w:t>
      </w:r>
      <w:r>
        <w:rPr/>
        <w:t>if</w:t>
      </w:r>
      <w:r>
        <w:rPr>
          <w:spacing w:val="-8"/>
        </w:rPr>
        <w:t> </w:t>
      </w:r>
      <w:r>
        <w:rPr/>
        <w:t>requested.</w:t>
      </w:r>
      <w:r>
        <w:rPr>
          <w:spacing w:val="-7"/>
        </w:rPr>
        <w:t> </w:t>
      </w:r>
      <w:r>
        <w:rPr/>
        <w:t>However,</w:t>
      </w:r>
      <w:r>
        <w:rPr>
          <w:spacing w:val="-9"/>
        </w:rPr>
        <w:t> </w:t>
      </w:r>
      <w:r>
        <w:rPr/>
        <w:t>during</w:t>
      </w:r>
      <w:r>
        <w:rPr>
          <w:spacing w:val="-9"/>
        </w:rPr>
        <w:t> </w:t>
      </w:r>
      <w:r>
        <w:rPr/>
        <w:t>the</w:t>
      </w:r>
      <w:r>
        <w:rPr>
          <w:spacing w:val="-11"/>
        </w:rPr>
        <w:t> </w:t>
      </w:r>
      <w:r>
        <w:rPr/>
        <w:t>past</w:t>
      </w:r>
      <w:r>
        <w:rPr>
          <w:spacing w:val="-8"/>
        </w:rPr>
        <w:t> </w:t>
      </w:r>
      <w:r>
        <w:rPr/>
        <w:t>three</w:t>
      </w:r>
      <w:r>
        <w:rPr>
          <w:spacing w:val="-8"/>
        </w:rPr>
        <w:t> </w:t>
      </w:r>
      <w:r>
        <w:rPr/>
        <w:t>years,</w:t>
      </w:r>
      <w:r>
        <w:rPr>
          <w:spacing w:val="-9"/>
        </w:rPr>
        <w:t> </w:t>
      </w:r>
      <w:r>
        <w:rPr/>
        <w:t>there</w:t>
      </w:r>
      <w:r>
        <w:rPr>
          <w:spacing w:val="-8"/>
        </w:rPr>
        <w:t> </w:t>
      </w:r>
      <w:r>
        <w:rPr/>
        <w:t>have</w:t>
      </w:r>
      <w:r>
        <w:rPr>
          <w:spacing w:val="-8"/>
        </w:rPr>
        <w:t> </w:t>
      </w:r>
      <w:r>
        <w:rPr/>
        <w:t>been</w:t>
      </w:r>
      <w:r>
        <w:rPr>
          <w:spacing w:val="-8"/>
        </w:rPr>
        <w:t> </w:t>
      </w:r>
      <w:r>
        <w:rPr/>
        <w:t>no</w:t>
      </w:r>
      <w:r>
        <w:rPr>
          <w:spacing w:val="-8"/>
        </w:rPr>
        <w:t> </w:t>
      </w:r>
      <w:r>
        <w:rPr/>
        <w:t>LEP</w:t>
      </w:r>
      <w:r>
        <w:rPr>
          <w:spacing w:val="-8"/>
        </w:rPr>
        <w:t> </w:t>
      </w:r>
      <w:r>
        <w:rPr/>
        <w:t>persons calling MaineDOT to use the service.</w:t>
      </w:r>
    </w:p>
    <w:p>
      <w:pPr>
        <w:pStyle w:val="BodyText"/>
        <w:spacing w:before="1"/>
      </w:pPr>
    </w:p>
    <w:p>
      <w:pPr>
        <w:pStyle w:val="BodyText"/>
        <w:ind w:left="1200" w:right="932"/>
        <w:jc w:val="both"/>
      </w:pPr>
      <w:r>
        <w:rPr/>
        <w:t>Additionally,</w:t>
      </w:r>
      <w:r>
        <w:rPr>
          <w:spacing w:val="-5"/>
        </w:rPr>
        <w:t> </w:t>
      </w:r>
      <w:r>
        <w:rPr/>
        <w:t>MaineDOT</w:t>
      </w:r>
      <w:r>
        <w:rPr>
          <w:spacing w:val="-9"/>
        </w:rPr>
        <w:t> </w:t>
      </w:r>
      <w:r>
        <w:rPr/>
        <w:t>reviews</w:t>
      </w:r>
      <w:r>
        <w:rPr>
          <w:spacing w:val="-8"/>
        </w:rPr>
        <w:t> </w:t>
      </w:r>
      <w:r>
        <w:rPr/>
        <w:t>the</w:t>
      </w:r>
      <w:r>
        <w:rPr>
          <w:spacing w:val="-7"/>
        </w:rPr>
        <w:t> </w:t>
      </w:r>
      <w:r>
        <w:rPr/>
        <w:t>relevant</w:t>
      </w:r>
      <w:r>
        <w:rPr>
          <w:spacing w:val="-6"/>
        </w:rPr>
        <w:t> </w:t>
      </w:r>
      <w:r>
        <w:rPr/>
        <w:t>benefits,</w:t>
      </w:r>
      <w:r>
        <w:rPr>
          <w:spacing w:val="-5"/>
        </w:rPr>
        <w:t> </w:t>
      </w:r>
      <w:r>
        <w:rPr/>
        <w:t>services,</w:t>
      </w:r>
      <w:r>
        <w:rPr>
          <w:spacing w:val="-5"/>
        </w:rPr>
        <w:t> </w:t>
      </w:r>
      <w:r>
        <w:rPr/>
        <w:t>and</w:t>
      </w:r>
      <w:r>
        <w:rPr>
          <w:spacing w:val="-4"/>
        </w:rPr>
        <w:t> </w:t>
      </w:r>
      <w:r>
        <w:rPr/>
        <w:t>information</w:t>
      </w:r>
      <w:r>
        <w:rPr>
          <w:spacing w:val="-6"/>
        </w:rPr>
        <w:t> </w:t>
      </w:r>
      <w:r>
        <w:rPr/>
        <w:t>provided</w:t>
      </w:r>
      <w:r>
        <w:rPr>
          <w:spacing w:val="-4"/>
        </w:rPr>
        <w:t> </w:t>
      </w:r>
      <w:r>
        <w:rPr/>
        <w:t>by its subrecipients to determine the extent to which LEP persons have encountered these functions through site visit reviews, virtual reviews, and desk audits.</w:t>
      </w:r>
    </w:p>
    <w:p>
      <w:pPr>
        <w:pStyle w:val="BodyText"/>
        <w:spacing w:before="12"/>
        <w:rPr>
          <w:sz w:val="23"/>
        </w:rPr>
      </w:pPr>
    </w:p>
    <w:p>
      <w:pPr>
        <w:pStyle w:val="BodyText"/>
        <w:ind w:left="1200" w:right="935"/>
        <w:jc w:val="both"/>
      </w:pPr>
      <w:r>
        <w:rPr/>
        <w:t>MaineDOT</w:t>
      </w:r>
      <w:r>
        <w:rPr>
          <w:spacing w:val="-1"/>
        </w:rPr>
        <w:t> </w:t>
      </w:r>
      <w:r>
        <w:rPr/>
        <w:t>has</w:t>
      </w:r>
      <w:r>
        <w:rPr>
          <w:spacing w:val="-1"/>
        </w:rPr>
        <w:t> </w:t>
      </w:r>
      <w:r>
        <w:rPr/>
        <w:t>implemented a survey</w:t>
      </w:r>
      <w:r>
        <w:rPr>
          <w:spacing w:val="-2"/>
        </w:rPr>
        <w:t> </w:t>
      </w:r>
      <w:r>
        <w:rPr/>
        <w:t>process</w:t>
      </w:r>
      <w:r>
        <w:rPr>
          <w:spacing w:val="-1"/>
        </w:rPr>
        <w:t> </w:t>
      </w:r>
      <w:r>
        <w:rPr/>
        <w:t>whereby it asks</w:t>
      </w:r>
      <w:r>
        <w:rPr>
          <w:spacing w:val="-1"/>
        </w:rPr>
        <w:t> </w:t>
      </w:r>
      <w:r>
        <w:rPr/>
        <w:t>employees/subrecipients</w:t>
      </w:r>
      <w:r>
        <w:rPr>
          <w:spacing w:val="-1"/>
        </w:rPr>
        <w:t> </w:t>
      </w:r>
      <w:r>
        <w:rPr/>
        <w:t>and community partners the following questions for its Four Factor Analysis:</w:t>
      </w:r>
    </w:p>
    <w:p>
      <w:pPr>
        <w:pStyle w:val="BodyText"/>
        <w:rPr>
          <w:sz w:val="22"/>
        </w:rPr>
      </w:pPr>
      <w:r>
        <w:rPr/>
        <mc:AlternateContent>
          <mc:Choice Requires="wps">
            <w:drawing>
              <wp:anchor distT="0" distB="0" distL="0" distR="0" allowOverlap="1" layoutInCell="1" locked="0" behindDoc="1" simplePos="0" relativeHeight="487592960">
                <wp:simplePos x="0" y="0"/>
                <wp:positionH relativeFrom="page">
                  <wp:posOffset>969263</wp:posOffset>
                </wp:positionH>
                <wp:positionV relativeFrom="paragraph">
                  <wp:posOffset>185772</wp:posOffset>
                </wp:positionV>
                <wp:extent cx="5949950" cy="557657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5949950" cy="5576570"/>
                          <a:chExt cx="5949950" cy="5576570"/>
                        </a:xfrm>
                      </wpg:grpSpPr>
                      <wps:wsp>
                        <wps:cNvPr id="33" name="Graphic 33"/>
                        <wps:cNvSpPr/>
                        <wps:spPr>
                          <a:xfrm>
                            <a:off x="0" y="0"/>
                            <a:ext cx="5949950" cy="5576570"/>
                          </a:xfrm>
                          <a:custGeom>
                            <a:avLst/>
                            <a:gdLst/>
                            <a:ahLst/>
                            <a:cxnLst/>
                            <a:rect l="l" t="t" r="r" b="b"/>
                            <a:pathLst>
                              <a:path w="5949950" h="5576570">
                                <a:moveTo>
                                  <a:pt x="5943587" y="0"/>
                                </a:moveTo>
                                <a:lnTo>
                                  <a:pt x="6096" y="0"/>
                                </a:lnTo>
                                <a:lnTo>
                                  <a:pt x="0" y="0"/>
                                </a:lnTo>
                                <a:lnTo>
                                  <a:pt x="0" y="6108"/>
                                </a:lnTo>
                                <a:lnTo>
                                  <a:pt x="0" y="5570232"/>
                                </a:lnTo>
                                <a:lnTo>
                                  <a:pt x="0" y="5576328"/>
                                </a:lnTo>
                                <a:lnTo>
                                  <a:pt x="6096" y="5576328"/>
                                </a:lnTo>
                                <a:lnTo>
                                  <a:pt x="5943587" y="5576328"/>
                                </a:lnTo>
                                <a:lnTo>
                                  <a:pt x="5943587" y="5570232"/>
                                </a:lnTo>
                                <a:lnTo>
                                  <a:pt x="6096" y="5570232"/>
                                </a:lnTo>
                                <a:lnTo>
                                  <a:pt x="6096" y="6108"/>
                                </a:lnTo>
                                <a:lnTo>
                                  <a:pt x="5943587" y="6108"/>
                                </a:lnTo>
                                <a:lnTo>
                                  <a:pt x="5943587" y="0"/>
                                </a:lnTo>
                                <a:close/>
                              </a:path>
                              <a:path w="5949950" h="5576570">
                                <a:moveTo>
                                  <a:pt x="5949696" y="0"/>
                                </a:moveTo>
                                <a:lnTo>
                                  <a:pt x="5943600" y="0"/>
                                </a:lnTo>
                                <a:lnTo>
                                  <a:pt x="5943600" y="6108"/>
                                </a:lnTo>
                                <a:lnTo>
                                  <a:pt x="5943600" y="5570232"/>
                                </a:lnTo>
                                <a:lnTo>
                                  <a:pt x="5943600" y="5576328"/>
                                </a:lnTo>
                                <a:lnTo>
                                  <a:pt x="5949696" y="5576328"/>
                                </a:lnTo>
                                <a:lnTo>
                                  <a:pt x="5949696" y="5570232"/>
                                </a:lnTo>
                                <a:lnTo>
                                  <a:pt x="5949696" y="6108"/>
                                </a:lnTo>
                                <a:lnTo>
                                  <a:pt x="5949696" y="0"/>
                                </a:lnTo>
                                <a:close/>
                              </a:path>
                            </a:pathLst>
                          </a:custGeom>
                          <a:solidFill>
                            <a:srgbClr val="000000"/>
                          </a:solidFill>
                        </wps:spPr>
                        <wps:bodyPr wrap="square" lIns="0" tIns="0" rIns="0" bIns="0" rtlCol="0">
                          <a:prstTxWarp prst="textNoShape">
                            <a:avLst/>
                          </a:prstTxWarp>
                          <a:noAutofit/>
                        </wps:bodyPr>
                      </wps:wsp>
                      <wps:wsp>
                        <wps:cNvPr id="34" name="Textbox 34"/>
                        <wps:cNvSpPr txBox="1"/>
                        <wps:spPr>
                          <a:xfrm>
                            <a:off x="64007" y="36588"/>
                            <a:ext cx="5777865" cy="5118100"/>
                          </a:xfrm>
                          <a:prstGeom prst="rect">
                            <a:avLst/>
                          </a:prstGeom>
                        </wps:spPr>
                        <wps:txbx>
                          <w:txbxContent>
                            <w:p>
                              <w:pPr>
                                <w:spacing w:line="244" w:lineRule="exact" w:before="0"/>
                                <w:ind w:left="2475" w:right="2411" w:firstLine="0"/>
                                <w:jc w:val="center"/>
                                <w:rPr>
                                  <w:b/>
                                  <w:sz w:val="24"/>
                                </w:rPr>
                              </w:pPr>
                              <w:r>
                                <w:rPr>
                                  <w:b/>
                                  <w:sz w:val="24"/>
                                  <w:u w:val="single"/>
                                </w:rPr>
                                <w:t>Employee/Subrecipient</w:t>
                              </w:r>
                              <w:r>
                                <w:rPr>
                                  <w:b/>
                                  <w:spacing w:val="-5"/>
                                  <w:sz w:val="24"/>
                                  <w:u w:val="single"/>
                                </w:rPr>
                                <w:t> </w:t>
                              </w:r>
                              <w:r>
                                <w:rPr>
                                  <w:b/>
                                  <w:sz w:val="24"/>
                                  <w:u w:val="single"/>
                                </w:rPr>
                                <w:t>Survey</w:t>
                              </w:r>
                              <w:r>
                                <w:rPr>
                                  <w:b/>
                                  <w:spacing w:val="-3"/>
                                  <w:sz w:val="24"/>
                                  <w:u w:val="single"/>
                                </w:rPr>
                                <w:t> </w:t>
                              </w:r>
                              <w:r>
                                <w:rPr>
                                  <w:b/>
                                  <w:spacing w:val="-2"/>
                                  <w:sz w:val="24"/>
                                  <w:u w:val="single"/>
                                </w:rPr>
                                <w:t>Questions:</w:t>
                              </w:r>
                            </w:p>
                            <w:p>
                              <w:pPr>
                                <w:spacing w:line="240" w:lineRule="auto" w:before="0"/>
                                <w:rPr>
                                  <w:b/>
                                  <w:sz w:val="22"/>
                                </w:rPr>
                              </w:pPr>
                            </w:p>
                            <w:p>
                              <w:pPr>
                                <w:numPr>
                                  <w:ilvl w:val="0"/>
                                  <w:numId w:val="16"/>
                                </w:numPr>
                                <w:tabs>
                                  <w:tab w:pos="359" w:val="left" w:leader="none"/>
                                </w:tabs>
                                <w:spacing w:before="0"/>
                                <w:ind w:left="359" w:right="0" w:hanging="359"/>
                                <w:jc w:val="left"/>
                                <w:rPr>
                                  <w:sz w:val="24"/>
                                </w:rPr>
                              </w:pPr>
                              <w:r>
                                <w:rPr>
                                  <w:sz w:val="24"/>
                                </w:rPr>
                                <w:t>What</w:t>
                              </w:r>
                              <w:r>
                                <w:rPr>
                                  <w:spacing w:val="-3"/>
                                  <w:sz w:val="24"/>
                                </w:rPr>
                                <w:t> </w:t>
                              </w:r>
                              <w:r>
                                <w:rPr>
                                  <w:sz w:val="24"/>
                                </w:rPr>
                                <w:t>way(s)</w:t>
                              </w:r>
                              <w:r>
                                <w:rPr>
                                  <w:spacing w:val="-1"/>
                                  <w:sz w:val="24"/>
                                </w:rPr>
                                <w:t> </w:t>
                              </w:r>
                              <w:r>
                                <w:rPr>
                                  <w:sz w:val="24"/>
                                </w:rPr>
                                <w:t>do</w:t>
                              </w:r>
                              <w:r>
                                <w:rPr>
                                  <w:spacing w:val="-3"/>
                                  <w:sz w:val="24"/>
                                </w:rPr>
                                <w:t> </w:t>
                              </w:r>
                              <w:r>
                                <w:rPr>
                                  <w:sz w:val="24"/>
                                </w:rPr>
                                <w:t>you</w:t>
                              </w:r>
                              <w:r>
                                <w:rPr>
                                  <w:spacing w:val="1"/>
                                  <w:sz w:val="24"/>
                                </w:rPr>
                                <w:t> </w:t>
                              </w:r>
                              <w:r>
                                <w:rPr>
                                  <w:sz w:val="24"/>
                                </w:rPr>
                                <w:t>interact with</w:t>
                              </w:r>
                              <w:r>
                                <w:rPr>
                                  <w:spacing w:val="-2"/>
                                  <w:sz w:val="24"/>
                                </w:rPr>
                                <w:t> riders?</w:t>
                              </w:r>
                            </w:p>
                            <w:p>
                              <w:pPr>
                                <w:numPr>
                                  <w:ilvl w:val="0"/>
                                  <w:numId w:val="16"/>
                                </w:numPr>
                                <w:tabs>
                                  <w:tab w:pos="359" w:val="left" w:leader="none"/>
                                </w:tabs>
                                <w:spacing w:before="19"/>
                                <w:ind w:left="359" w:right="0" w:hanging="359"/>
                                <w:jc w:val="left"/>
                                <w:rPr>
                                  <w:sz w:val="24"/>
                                </w:rPr>
                              </w:pPr>
                              <w:r>
                                <w:rPr>
                                  <w:sz w:val="24"/>
                                </w:rPr>
                                <w:t>How</w:t>
                              </w:r>
                              <w:r>
                                <w:rPr>
                                  <w:spacing w:val="-2"/>
                                  <w:sz w:val="24"/>
                                </w:rPr>
                                <w:t> </w:t>
                              </w:r>
                              <w:r>
                                <w:rPr>
                                  <w:sz w:val="24"/>
                                </w:rPr>
                                <w:t>often</w:t>
                              </w:r>
                              <w:r>
                                <w:rPr>
                                  <w:spacing w:val="-3"/>
                                  <w:sz w:val="24"/>
                                </w:rPr>
                                <w:t> </w:t>
                              </w:r>
                              <w:r>
                                <w:rPr>
                                  <w:sz w:val="24"/>
                                </w:rPr>
                                <w:t>do</w:t>
                              </w:r>
                              <w:r>
                                <w:rPr>
                                  <w:spacing w:val="-1"/>
                                  <w:sz w:val="24"/>
                                </w:rPr>
                                <w:t> </w:t>
                              </w:r>
                              <w:r>
                                <w:rPr>
                                  <w:sz w:val="24"/>
                                </w:rPr>
                                <w:t>you come</w:t>
                              </w:r>
                              <w:r>
                                <w:rPr>
                                  <w:spacing w:val="-3"/>
                                  <w:sz w:val="24"/>
                                </w:rPr>
                                <w:t> </w:t>
                              </w:r>
                              <w:r>
                                <w:rPr>
                                  <w:sz w:val="24"/>
                                </w:rPr>
                                <w:t>into</w:t>
                              </w:r>
                              <w:r>
                                <w:rPr>
                                  <w:spacing w:val="-3"/>
                                  <w:sz w:val="24"/>
                                </w:rPr>
                                <w:t> </w:t>
                              </w:r>
                              <w:r>
                                <w:rPr>
                                  <w:sz w:val="24"/>
                                </w:rPr>
                                <w:t>contact</w:t>
                              </w:r>
                              <w:r>
                                <w:rPr>
                                  <w:spacing w:val="-3"/>
                                  <w:sz w:val="24"/>
                                </w:rPr>
                                <w:t> </w:t>
                              </w:r>
                              <w:r>
                                <w:rPr>
                                  <w:sz w:val="24"/>
                                </w:rPr>
                                <w:t>with Limited</w:t>
                              </w:r>
                              <w:r>
                                <w:rPr>
                                  <w:spacing w:val="-3"/>
                                  <w:sz w:val="24"/>
                                </w:rPr>
                                <w:t> </w:t>
                              </w:r>
                              <w:r>
                                <w:rPr>
                                  <w:sz w:val="24"/>
                                </w:rPr>
                                <w:t>English</w:t>
                              </w:r>
                              <w:r>
                                <w:rPr>
                                  <w:spacing w:val="-3"/>
                                  <w:sz w:val="24"/>
                                </w:rPr>
                                <w:t> </w:t>
                              </w:r>
                              <w:r>
                                <w:rPr>
                                  <w:sz w:val="24"/>
                                </w:rPr>
                                <w:t>Proficient</w:t>
                              </w:r>
                              <w:r>
                                <w:rPr>
                                  <w:spacing w:val="1"/>
                                  <w:sz w:val="24"/>
                                </w:rPr>
                                <w:t> </w:t>
                              </w:r>
                              <w:r>
                                <w:rPr>
                                  <w:spacing w:val="-2"/>
                                  <w:sz w:val="24"/>
                                </w:rPr>
                                <w:t>riders?</w:t>
                              </w:r>
                            </w:p>
                            <w:p>
                              <w:pPr>
                                <w:numPr>
                                  <w:ilvl w:val="0"/>
                                  <w:numId w:val="16"/>
                                </w:numPr>
                                <w:tabs>
                                  <w:tab w:pos="360" w:val="left" w:leader="none"/>
                                </w:tabs>
                                <w:spacing w:line="254" w:lineRule="auto" w:before="21"/>
                                <w:ind w:left="360" w:right="18" w:hanging="360"/>
                                <w:jc w:val="left"/>
                                <w:rPr>
                                  <w:sz w:val="24"/>
                                </w:rPr>
                              </w:pPr>
                              <w:r>
                                <w:rPr>
                                  <w:sz w:val="24"/>
                                </w:rPr>
                                <w:t>Please</w:t>
                              </w:r>
                              <w:r>
                                <w:rPr>
                                  <w:spacing w:val="-2"/>
                                  <w:sz w:val="24"/>
                                </w:rPr>
                                <w:t> </w:t>
                              </w:r>
                              <w:r>
                                <w:rPr>
                                  <w:sz w:val="24"/>
                                </w:rPr>
                                <w:t>identify</w:t>
                              </w:r>
                              <w:r>
                                <w:rPr>
                                  <w:spacing w:val="-6"/>
                                  <w:sz w:val="24"/>
                                </w:rPr>
                                <w:t> </w:t>
                              </w:r>
                              <w:r>
                                <w:rPr>
                                  <w:sz w:val="24"/>
                                </w:rPr>
                                <w:t>through</w:t>
                              </w:r>
                              <w:r>
                                <w:rPr>
                                  <w:spacing w:val="-4"/>
                                  <w:sz w:val="24"/>
                                </w:rPr>
                                <w:t> </w:t>
                              </w:r>
                              <w:r>
                                <w:rPr>
                                  <w:sz w:val="24"/>
                                </w:rPr>
                                <w:t>percentages,</w:t>
                              </w:r>
                              <w:r>
                                <w:rPr>
                                  <w:spacing w:val="-2"/>
                                  <w:sz w:val="24"/>
                                </w:rPr>
                                <w:t> </w:t>
                              </w:r>
                              <w:r>
                                <w:rPr>
                                  <w:sz w:val="24"/>
                                </w:rPr>
                                <w:t>how</w:t>
                              </w:r>
                              <w:r>
                                <w:rPr>
                                  <w:spacing w:val="-4"/>
                                  <w:sz w:val="24"/>
                                </w:rPr>
                                <w:t> </w:t>
                              </w:r>
                              <w:r>
                                <w:rPr>
                                  <w:sz w:val="24"/>
                                </w:rPr>
                                <w:t>often</w:t>
                              </w:r>
                              <w:r>
                                <w:rPr>
                                  <w:spacing w:val="-4"/>
                                  <w:sz w:val="24"/>
                                </w:rPr>
                                <w:t> </w:t>
                              </w:r>
                              <w:r>
                                <w:rPr>
                                  <w:sz w:val="24"/>
                                </w:rPr>
                                <w:t>you</w:t>
                              </w:r>
                              <w:r>
                                <w:rPr>
                                  <w:spacing w:val="-1"/>
                                  <w:sz w:val="24"/>
                                </w:rPr>
                                <w:t> </w:t>
                              </w:r>
                              <w:r>
                                <w:rPr>
                                  <w:sz w:val="24"/>
                                </w:rPr>
                                <w:t>interact</w:t>
                              </w:r>
                              <w:r>
                                <w:rPr>
                                  <w:spacing w:val="-4"/>
                                  <w:sz w:val="24"/>
                                </w:rPr>
                                <w:t> </w:t>
                              </w:r>
                              <w:r>
                                <w:rPr>
                                  <w:sz w:val="24"/>
                                </w:rPr>
                                <w:t>with</w:t>
                              </w:r>
                              <w:r>
                                <w:rPr>
                                  <w:spacing w:val="-4"/>
                                  <w:sz w:val="24"/>
                                </w:rPr>
                                <w:t> </w:t>
                              </w:r>
                              <w:r>
                                <w:rPr>
                                  <w:sz w:val="24"/>
                                </w:rPr>
                                <w:t>the</w:t>
                              </w:r>
                              <w:r>
                                <w:rPr>
                                  <w:spacing w:val="-4"/>
                                  <w:sz w:val="24"/>
                                </w:rPr>
                                <w:t> </w:t>
                              </w:r>
                              <w:r>
                                <w:rPr>
                                  <w:sz w:val="24"/>
                                </w:rPr>
                                <w:t>following</w:t>
                              </w:r>
                              <w:r>
                                <w:rPr>
                                  <w:spacing w:val="-3"/>
                                  <w:sz w:val="24"/>
                                </w:rPr>
                                <w:t> </w:t>
                              </w:r>
                              <w:r>
                                <w:rPr>
                                  <w:sz w:val="24"/>
                                </w:rPr>
                                <w:t>languages during your workday:</w:t>
                              </w:r>
                            </w:p>
                            <w:p>
                              <w:pPr>
                                <w:numPr>
                                  <w:ilvl w:val="1"/>
                                  <w:numId w:val="16"/>
                                </w:numPr>
                                <w:tabs>
                                  <w:tab w:pos="1079" w:val="left" w:leader="none"/>
                                </w:tabs>
                                <w:spacing w:before="5"/>
                                <w:ind w:left="1079" w:right="0" w:hanging="359"/>
                                <w:jc w:val="left"/>
                                <w:rPr>
                                  <w:sz w:val="24"/>
                                </w:rPr>
                              </w:pPr>
                              <w:r>
                                <w:rPr>
                                  <w:spacing w:val="-2"/>
                                  <w:sz w:val="24"/>
                                </w:rPr>
                                <w:t>English</w:t>
                              </w:r>
                            </w:p>
                            <w:p>
                              <w:pPr>
                                <w:numPr>
                                  <w:ilvl w:val="1"/>
                                  <w:numId w:val="16"/>
                                </w:numPr>
                                <w:tabs>
                                  <w:tab w:pos="1079" w:val="left" w:leader="none"/>
                                </w:tabs>
                                <w:spacing w:before="20"/>
                                <w:ind w:left="1079" w:right="0" w:hanging="359"/>
                                <w:jc w:val="left"/>
                                <w:rPr>
                                  <w:sz w:val="24"/>
                                </w:rPr>
                              </w:pPr>
                              <w:r>
                                <w:rPr>
                                  <w:spacing w:val="-2"/>
                                  <w:sz w:val="24"/>
                                </w:rPr>
                                <w:t>Spanish</w:t>
                              </w:r>
                            </w:p>
                            <w:p>
                              <w:pPr>
                                <w:numPr>
                                  <w:ilvl w:val="1"/>
                                  <w:numId w:val="16"/>
                                </w:numPr>
                                <w:tabs>
                                  <w:tab w:pos="1079" w:val="left" w:leader="none"/>
                                </w:tabs>
                                <w:spacing w:before="19"/>
                                <w:ind w:left="1079" w:right="0" w:hanging="359"/>
                                <w:jc w:val="left"/>
                                <w:rPr>
                                  <w:sz w:val="24"/>
                                </w:rPr>
                              </w:pPr>
                              <w:r>
                                <w:rPr>
                                  <w:spacing w:val="-2"/>
                                  <w:sz w:val="24"/>
                                </w:rPr>
                                <w:t>French</w:t>
                              </w:r>
                            </w:p>
                            <w:p>
                              <w:pPr>
                                <w:numPr>
                                  <w:ilvl w:val="1"/>
                                  <w:numId w:val="16"/>
                                </w:numPr>
                                <w:tabs>
                                  <w:tab w:pos="1079" w:val="left" w:leader="none"/>
                                </w:tabs>
                                <w:spacing w:before="20"/>
                                <w:ind w:left="1079" w:right="0" w:hanging="359"/>
                                <w:jc w:val="left"/>
                                <w:rPr>
                                  <w:sz w:val="24"/>
                                </w:rPr>
                              </w:pPr>
                              <w:r>
                                <w:rPr>
                                  <w:spacing w:val="-2"/>
                                  <w:sz w:val="24"/>
                                </w:rPr>
                                <w:t>Chinese</w:t>
                              </w:r>
                            </w:p>
                            <w:p>
                              <w:pPr>
                                <w:numPr>
                                  <w:ilvl w:val="1"/>
                                  <w:numId w:val="16"/>
                                </w:numPr>
                                <w:tabs>
                                  <w:tab w:pos="1079" w:val="left" w:leader="none"/>
                                </w:tabs>
                                <w:spacing w:before="19"/>
                                <w:ind w:left="1079" w:right="0" w:hanging="359"/>
                                <w:jc w:val="left"/>
                                <w:rPr>
                                  <w:sz w:val="24"/>
                                </w:rPr>
                              </w:pPr>
                              <w:r>
                                <w:rPr>
                                  <w:sz w:val="24"/>
                                </w:rPr>
                                <w:t>Other</w:t>
                              </w:r>
                              <w:r>
                                <w:rPr>
                                  <w:spacing w:val="-4"/>
                                  <w:sz w:val="24"/>
                                </w:rPr>
                                <w:t> </w:t>
                              </w:r>
                              <w:r>
                                <w:rPr>
                                  <w:sz w:val="24"/>
                                </w:rPr>
                                <w:t>languages</w:t>
                              </w:r>
                              <w:r>
                                <w:rPr>
                                  <w:spacing w:val="-2"/>
                                  <w:sz w:val="24"/>
                                </w:rPr>
                                <w:t> </w:t>
                              </w:r>
                              <w:r>
                                <w:rPr>
                                  <w:sz w:val="24"/>
                                </w:rPr>
                                <w:t>(name</w:t>
                              </w:r>
                              <w:r>
                                <w:rPr>
                                  <w:spacing w:val="-3"/>
                                  <w:sz w:val="24"/>
                                </w:rPr>
                                <w:t> </w:t>
                              </w:r>
                              <w:r>
                                <w:rPr>
                                  <w:sz w:val="24"/>
                                </w:rPr>
                                <w:t>the</w:t>
                              </w:r>
                              <w:r>
                                <w:rPr>
                                  <w:spacing w:val="-1"/>
                                  <w:sz w:val="24"/>
                                </w:rPr>
                                <w:t> </w:t>
                              </w:r>
                              <w:r>
                                <w:rPr>
                                  <w:sz w:val="24"/>
                                </w:rPr>
                                <w:t>languages</w:t>
                              </w:r>
                              <w:r>
                                <w:rPr>
                                  <w:spacing w:val="-3"/>
                                  <w:sz w:val="24"/>
                                </w:rPr>
                                <w:t> </w:t>
                              </w:r>
                              <w:r>
                                <w:rPr>
                                  <w:spacing w:val="-2"/>
                                  <w:sz w:val="24"/>
                                </w:rPr>
                                <w:t>encountered)</w:t>
                              </w:r>
                            </w:p>
                            <w:p>
                              <w:pPr>
                                <w:spacing w:line="240" w:lineRule="auto" w:before="6"/>
                                <w:rPr>
                                  <w:sz w:val="25"/>
                                </w:rPr>
                              </w:pPr>
                            </w:p>
                            <w:p>
                              <w:pPr>
                                <w:numPr>
                                  <w:ilvl w:val="0"/>
                                  <w:numId w:val="16"/>
                                </w:numPr>
                                <w:tabs>
                                  <w:tab w:pos="360" w:val="left" w:leader="none"/>
                                </w:tabs>
                                <w:spacing w:line="254" w:lineRule="auto" w:before="0"/>
                                <w:ind w:left="360" w:right="1091" w:hanging="360"/>
                                <w:jc w:val="left"/>
                                <w:rPr>
                                  <w:sz w:val="24"/>
                                </w:rPr>
                              </w:pPr>
                              <w:r>
                                <w:rPr>
                                  <w:sz w:val="24"/>
                                </w:rPr>
                                <w:t>What</w:t>
                              </w:r>
                              <w:r>
                                <w:rPr>
                                  <w:spacing w:val="-6"/>
                                  <w:sz w:val="24"/>
                                </w:rPr>
                                <w:t> </w:t>
                              </w:r>
                              <w:r>
                                <w:rPr>
                                  <w:sz w:val="24"/>
                                </w:rPr>
                                <w:t>method</w:t>
                              </w:r>
                              <w:r>
                                <w:rPr>
                                  <w:spacing w:val="-3"/>
                                  <w:sz w:val="24"/>
                                </w:rPr>
                                <w:t> </w:t>
                              </w:r>
                              <w:r>
                                <w:rPr>
                                  <w:sz w:val="24"/>
                                </w:rPr>
                                <w:t>of</w:t>
                              </w:r>
                              <w:r>
                                <w:rPr>
                                  <w:spacing w:val="-3"/>
                                  <w:sz w:val="24"/>
                                </w:rPr>
                                <w:t> </w:t>
                              </w:r>
                              <w:r>
                                <w:rPr>
                                  <w:sz w:val="24"/>
                                </w:rPr>
                                <w:t>communication</w:t>
                              </w:r>
                              <w:r>
                                <w:rPr>
                                  <w:spacing w:val="-3"/>
                                  <w:sz w:val="24"/>
                                </w:rPr>
                                <w:t> </w:t>
                              </w:r>
                              <w:r>
                                <w:rPr>
                                  <w:sz w:val="24"/>
                                </w:rPr>
                                <w:t>do</w:t>
                              </w:r>
                              <w:r>
                                <w:rPr>
                                  <w:spacing w:val="-4"/>
                                  <w:sz w:val="24"/>
                                </w:rPr>
                                <w:t> </w:t>
                              </w:r>
                              <w:r>
                                <w:rPr>
                                  <w:sz w:val="24"/>
                                </w:rPr>
                                <w:t>you</w:t>
                              </w:r>
                              <w:r>
                                <w:rPr>
                                  <w:spacing w:val="-3"/>
                                  <w:sz w:val="24"/>
                                </w:rPr>
                                <w:t> </w:t>
                              </w:r>
                              <w:r>
                                <w:rPr>
                                  <w:sz w:val="24"/>
                                </w:rPr>
                                <w:t>use</w:t>
                              </w:r>
                              <w:r>
                                <w:rPr>
                                  <w:spacing w:val="-4"/>
                                  <w:sz w:val="24"/>
                                </w:rPr>
                                <w:t> </w:t>
                              </w:r>
                              <w:r>
                                <w:rPr>
                                  <w:sz w:val="24"/>
                                </w:rPr>
                                <w:t>when</w:t>
                              </w:r>
                              <w:r>
                                <w:rPr>
                                  <w:spacing w:val="-3"/>
                                  <w:sz w:val="24"/>
                                </w:rPr>
                                <w:t> </w:t>
                              </w:r>
                              <w:r>
                                <w:rPr>
                                  <w:sz w:val="24"/>
                                </w:rPr>
                                <w:t>communicating</w:t>
                              </w:r>
                              <w:r>
                                <w:rPr>
                                  <w:spacing w:val="-7"/>
                                  <w:sz w:val="24"/>
                                </w:rPr>
                                <w:t> </w:t>
                              </w:r>
                              <w:r>
                                <w:rPr>
                                  <w:sz w:val="24"/>
                                </w:rPr>
                                <w:t>with</w:t>
                              </w:r>
                              <w:r>
                                <w:rPr>
                                  <w:spacing w:val="-6"/>
                                  <w:sz w:val="24"/>
                                </w:rPr>
                                <w:t> </w:t>
                              </w:r>
                              <w:r>
                                <w:rPr>
                                  <w:sz w:val="24"/>
                                </w:rPr>
                                <w:t>transit </w:t>
                              </w:r>
                              <w:r>
                                <w:rPr>
                                  <w:spacing w:val="-2"/>
                                  <w:sz w:val="24"/>
                                </w:rPr>
                                <w:t>customers?</w:t>
                              </w:r>
                            </w:p>
                            <w:p>
                              <w:pPr>
                                <w:spacing w:before="3"/>
                                <w:ind w:left="360" w:right="0" w:firstLine="0"/>
                                <w:jc w:val="left"/>
                                <w:rPr>
                                  <w:sz w:val="24"/>
                                </w:rPr>
                              </w:pPr>
                              <w:r>
                                <w:rPr>
                                  <w:sz w:val="24"/>
                                </w:rPr>
                                <w:t>(Mark</w:t>
                              </w:r>
                              <w:r>
                                <w:rPr>
                                  <w:spacing w:val="-2"/>
                                  <w:sz w:val="24"/>
                                </w:rPr>
                                <w:t> </w:t>
                              </w:r>
                              <w:r>
                                <w:rPr>
                                  <w:sz w:val="24"/>
                                </w:rPr>
                                <w:t>all</w:t>
                              </w:r>
                              <w:r>
                                <w:rPr>
                                  <w:spacing w:val="1"/>
                                  <w:sz w:val="24"/>
                                </w:rPr>
                                <w:t> </w:t>
                              </w:r>
                              <w:r>
                                <w:rPr>
                                  <w:sz w:val="24"/>
                                </w:rPr>
                                <w:t>that</w:t>
                              </w:r>
                              <w:r>
                                <w:rPr>
                                  <w:spacing w:val="-1"/>
                                  <w:sz w:val="24"/>
                                </w:rPr>
                                <w:t> </w:t>
                              </w:r>
                              <w:r>
                                <w:rPr>
                                  <w:spacing w:val="-2"/>
                                  <w:sz w:val="24"/>
                                </w:rPr>
                                <w:t>apply)</w:t>
                              </w:r>
                            </w:p>
                            <w:p>
                              <w:pPr>
                                <w:numPr>
                                  <w:ilvl w:val="1"/>
                                  <w:numId w:val="16"/>
                                </w:numPr>
                                <w:tabs>
                                  <w:tab w:pos="1079" w:val="left" w:leader="none"/>
                                </w:tabs>
                                <w:spacing w:before="2"/>
                                <w:ind w:left="1079" w:right="0" w:hanging="359"/>
                                <w:jc w:val="left"/>
                                <w:rPr>
                                  <w:sz w:val="24"/>
                                </w:rPr>
                              </w:pPr>
                              <w:r>
                                <w:rPr>
                                  <w:spacing w:val="-2"/>
                                  <w:sz w:val="24"/>
                                </w:rPr>
                                <w:t>Telephone</w:t>
                              </w:r>
                            </w:p>
                            <w:p>
                              <w:pPr>
                                <w:numPr>
                                  <w:ilvl w:val="1"/>
                                  <w:numId w:val="16"/>
                                </w:numPr>
                                <w:tabs>
                                  <w:tab w:pos="1079" w:val="left" w:leader="none"/>
                                </w:tabs>
                                <w:spacing w:before="20"/>
                                <w:ind w:left="1079" w:right="0" w:hanging="359"/>
                                <w:jc w:val="left"/>
                                <w:rPr>
                                  <w:sz w:val="24"/>
                                </w:rPr>
                              </w:pPr>
                              <w:r>
                                <w:rPr>
                                  <w:sz w:val="24"/>
                                </w:rPr>
                                <w:t>Face</w:t>
                              </w:r>
                              <w:r>
                                <w:rPr>
                                  <w:spacing w:val="-1"/>
                                  <w:sz w:val="24"/>
                                </w:rPr>
                                <w:t> </w:t>
                              </w:r>
                              <w:r>
                                <w:rPr>
                                  <w:sz w:val="24"/>
                                </w:rPr>
                                <w:t>to</w:t>
                              </w:r>
                              <w:r>
                                <w:rPr>
                                  <w:spacing w:val="-1"/>
                                  <w:sz w:val="24"/>
                                </w:rPr>
                                <w:t> </w:t>
                              </w:r>
                              <w:r>
                                <w:rPr>
                                  <w:spacing w:val="-4"/>
                                  <w:sz w:val="24"/>
                                </w:rPr>
                                <w:t>Face</w:t>
                              </w:r>
                            </w:p>
                            <w:p>
                              <w:pPr>
                                <w:numPr>
                                  <w:ilvl w:val="1"/>
                                  <w:numId w:val="16"/>
                                </w:numPr>
                                <w:tabs>
                                  <w:tab w:pos="1079" w:val="left" w:leader="none"/>
                                </w:tabs>
                                <w:spacing w:before="19"/>
                                <w:ind w:left="1079" w:right="0" w:hanging="359"/>
                                <w:jc w:val="left"/>
                                <w:rPr>
                                  <w:sz w:val="24"/>
                                </w:rPr>
                              </w:pPr>
                              <w:r>
                                <w:rPr>
                                  <w:spacing w:val="-2"/>
                                  <w:sz w:val="24"/>
                                </w:rPr>
                                <w:t>Email</w:t>
                              </w:r>
                            </w:p>
                            <w:p>
                              <w:pPr>
                                <w:numPr>
                                  <w:ilvl w:val="1"/>
                                  <w:numId w:val="16"/>
                                </w:numPr>
                                <w:tabs>
                                  <w:tab w:pos="1079" w:val="left" w:leader="none"/>
                                </w:tabs>
                                <w:spacing w:before="20"/>
                                <w:ind w:left="1079" w:right="0" w:hanging="359"/>
                                <w:jc w:val="left"/>
                                <w:rPr>
                                  <w:sz w:val="24"/>
                                </w:rPr>
                              </w:pPr>
                              <w:r>
                                <w:rPr>
                                  <w:spacing w:val="-5"/>
                                  <w:sz w:val="24"/>
                                </w:rPr>
                                <w:t>Fax</w:t>
                              </w:r>
                            </w:p>
                            <w:p>
                              <w:pPr>
                                <w:spacing w:line="240" w:lineRule="auto" w:before="4"/>
                                <w:rPr>
                                  <w:sz w:val="25"/>
                                </w:rPr>
                              </w:pPr>
                            </w:p>
                            <w:p>
                              <w:pPr>
                                <w:numPr>
                                  <w:ilvl w:val="0"/>
                                  <w:numId w:val="16"/>
                                </w:numPr>
                                <w:tabs>
                                  <w:tab w:pos="358" w:val="left" w:leader="none"/>
                                  <w:tab w:pos="729" w:val="left" w:leader="none"/>
                                </w:tabs>
                                <w:spacing w:line="242" w:lineRule="auto" w:before="0"/>
                                <w:ind w:left="729" w:right="177" w:hanging="730"/>
                                <w:jc w:val="left"/>
                                <w:rPr>
                                  <w:sz w:val="24"/>
                                </w:rPr>
                              </w:pPr>
                              <w:r>
                                <w:rPr>
                                  <w:sz w:val="24"/>
                                </w:rPr>
                                <w:t>How</w:t>
                              </w:r>
                              <w:r>
                                <w:rPr>
                                  <w:spacing w:val="-1"/>
                                  <w:sz w:val="24"/>
                                </w:rPr>
                                <w:t> </w:t>
                              </w:r>
                              <w:r>
                                <w:rPr>
                                  <w:sz w:val="24"/>
                                </w:rPr>
                                <w:t>often</w:t>
                              </w:r>
                              <w:r>
                                <w:rPr>
                                  <w:spacing w:val="-4"/>
                                  <w:sz w:val="24"/>
                                </w:rPr>
                                <w:t> </w:t>
                              </w:r>
                              <w:r>
                                <w:rPr>
                                  <w:sz w:val="24"/>
                                </w:rPr>
                                <w:t>do</w:t>
                              </w:r>
                              <w:r>
                                <w:rPr>
                                  <w:spacing w:val="-2"/>
                                  <w:sz w:val="24"/>
                                </w:rPr>
                                <w:t> </w:t>
                              </w:r>
                              <w:r>
                                <w:rPr>
                                  <w:sz w:val="24"/>
                                </w:rPr>
                                <w:t>you</w:t>
                              </w:r>
                              <w:r>
                                <w:rPr>
                                  <w:spacing w:val="-1"/>
                                  <w:sz w:val="24"/>
                                </w:rPr>
                                <w:t> </w:t>
                              </w:r>
                              <w:r>
                                <w:rPr>
                                  <w:sz w:val="24"/>
                                </w:rPr>
                                <w:t>interact</w:t>
                              </w:r>
                              <w:r>
                                <w:rPr>
                                  <w:spacing w:val="-1"/>
                                  <w:sz w:val="24"/>
                                </w:rPr>
                                <w:t> </w:t>
                              </w:r>
                              <w:r>
                                <w:rPr>
                                  <w:sz w:val="24"/>
                                </w:rPr>
                                <w:t>with</w:t>
                              </w:r>
                              <w:r>
                                <w:rPr>
                                  <w:spacing w:val="-4"/>
                                  <w:sz w:val="24"/>
                                </w:rPr>
                                <w:t> </w:t>
                              </w:r>
                              <w:r>
                                <w:rPr>
                                  <w:sz w:val="24"/>
                                </w:rPr>
                                <w:t>passengers</w:t>
                              </w:r>
                              <w:r>
                                <w:rPr>
                                  <w:spacing w:val="-5"/>
                                  <w:sz w:val="24"/>
                                </w:rPr>
                                <w:t> </w:t>
                              </w:r>
                              <w:r>
                                <w:rPr>
                                  <w:sz w:val="24"/>
                                </w:rPr>
                                <w:t>who</w:t>
                              </w:r>
                              <w:r>
                                <w:rPr>
                                  <w:spacing w:val="-4"/>
                                  <w:sz w:val="24"/>
                                </w:rPr>
                                <w:t> </w:t>
                              </w:r>
                              <w:r>
                                <w:rPr>
                                  <w:sz w:val="24"/>
                                </w:rPr>
                                <w:t>speak</w:t>
                              </w:r>
                              <w:r>
                                <w:rPr>
                                  <w:spacing w:val="-4"/>
                                  <w:sz w:val="24"/>
                                </w:rPr>
                                <w:t> </w:t>
                              </w:r>
                              <w:r>
                                <w:rPr>
                                  <w:sz w:val="24"/>
                                </w:rPr>
                                <w:t>languages</w:t>
                              </w:r>
                              <w:r>
                                <w:rPr>
                                  <w:spacing w:val="-5"/>
                                  <w:sz w:val="24"/>
                                </w:rPr>
                                <w:t> </w:t>
                              </w:r>
                              <w:r>
                                <w:rPr>
                                  <w:sz w:val="24"/>
                                </w:rPr>
                                <w:t>other</w:t>
                              </w:r>
                              <w:r>
                                <w:rPr>
                                  <w:spacing w:val="-5"/>
                                  <w:sz w:val="24"/>
                                </w:rPr>
                                <w:t> </w:t>
                              </w:r>
                              <w:r>
                                <w:rPr>
                                  <w:sz w:val="24"/>
                                </w:rPr>
                                <w:t>than</w:t>
                              </w:r>
                              <w:r>
                                <w:rPr>
                                  <w:spacing w:val="-1"/>
                                  <w:sz w:val="24"/>
                                </w:rPr>
                                <w:t> </w:t>
                              </w:r>
                              <w:r>
                                <w:rPr>
                                  <w:sz w:val="24"/>
                                </w:rPr>
                                <w:t>English</w:t>
                              </w:r>
                              <w:r>
                                <w:rPr>
                                  <w:spacing w:val="-1"/>
                                  <w:sz w:val="24"/>
                                </w:rPr>
                                <w:t> </w:t>
                              </w:r>
                              <w:r>
                                <w:rPr>
                                  <w:sz w:val="24"/>
                                </w:rPr>
                                <w:t>in</w:t>
                              </w:r>
                              <w:r>
                                <w:rPr>
                                  <w:spacing w:val="-1"/>
                                  <w:sz w:val="24"/>
                                </w:rPr>
                                <w:t> </w:t>
                              </w:r>
                              <w:r>
                                <w:rPr>
                                  <w:sz w:val="24"/>
                                </w:rPr>
                                <w:t>a typical work day?</w:t>
                              </w:r>
                            </w:p>
                            <w:p>
                              <w:pPr>
                                <w:numPr>
                                  <w:ilvl w:val="1"/>
                                  <w:numId w:val="16"/>
                                </w:numPr>
                                <w:tabs>
                                  <w:tab w:pos="1079" w:val="left" w:leader="none"/>
                                </w:tabs>
                                <w:spacing w:line="304" w:lineRule="exact" w:before="0"/>
                                <w:ind w:left="1079" w:right="0" w:hanging="360"/>
                                <w:jc w:val="left"/>
                                <w:rPr>
                                  <w:sz w:val="24"/>
                                </w:rPr>
                              </w:pPr>
                              <w:r>
                                <w:rPr>
                                  <w:spacing w:val="-2"/>
                                  <w:sz w:val="24"/>
                                </w:rPr>
                                <w:t>Often</w:t>
                              </w:r>
                            </w:p>
                            <w:p>
                              <w:pPr>
                                <w:numPr>
                                  <w:ilvl w:val="1"/>
                                  <w:numId w:val="16"/>
                                </w:numPr>
                                <w:tabs>
                                  <w:tab w:pos="1079" w:val="left" w:leader="none"/>
                                </w:tabs>
                                <w:spacing w:before="19"/>
                                <w:ind w:left="1079" w:right="0" w:hanging="360"/>
                                <w:jc w:val="left"/>
                                <w:rPr>
                                  <w:sz w:val="24"/>
                                </w:rPr>
                              </w:pPr>
                              <w:r>
                                <w:rPr>
                                  <w:spacing w:val="-2"/>
                                  <w:sz w:val="24"/>
                                </w:rPr>
                                <w:t>Sometimes</w:t>
                              </w:r>
                            </w:p>
                            <w:p>
                              <w:pPr>
                                <w:numPr>
                                  <w:ilvl w:val="1"/>
                                  <w:numId w:val="16"/>
                                </w:numPr>
                                <w:tabs>
                                  <w:tab w:pos="1079" w:val="left" w:leader="none"/>
                                </w:tabs>
                                <w:spacing w:before="20"/>
                                <w:ind w:left="1079" w:right="0" w:hanging="360"/>
                                <w:jc w:val="left"/>
                                <w:rPr>
                                  <w:sz w:val="24"/>
                                </w:rPr>
                              </w:pPr>
                              <w:r>
                                <w:rPr>
                                  <w:spacing w:val="-2"/>
                                  <w:sz w:val="24"/>
                                </w:rPr>
                                <w:t>Rarely</w:t>
                              </w:r>
                            </w:p>
                            <w:p>
                              <w:pPr>
                                <w:numPr>
                                  <w:ilvl w:val="1"/>
                                  <w:numId w:val="16"/>
                                </w:numPr>
                                <w:tabs>
                                  <w:tab w:pos="1079" w:val="left" w:leader="none"/>
                                </w:tabs>
                                <w:spacing w:line="301" w:lineRule="exact" w:before="19"/>
                                <w:ind w:left="1079" w:right="0" w:hanging="360"/>
                                <w:jc w:val="left"/>
                                <w:rPr>
                                  <w:sz w:val="24"/>
                                </w:rPr>
                              </w:pPr>
                              <w:r>
                                <w:rPr>
                                  <w:spacing w:val="-4"/>
                                  <w:sz w:val="24"/>
                                </w:rPr>
                                <w:t>Never</w:t>
                              </w:r>
                            </w:p>
                          </w:txbxContent>
                        </wps:txbx>
                        <wps:bodyPr wrap="square" lIns="0" tIns="0" rIns="0" bIns="0" rtlCol="0">
                          <a:noAutofit/>
                        </wps:bodyPr>
                      </wps:wsp>
                      <wps:wsp>
                        <wps:cNvPr id="35" name="Textbox 35"/>
                        <wps:cNvSpPr txBox="1"/>
                        <wps:spPr>
                          <a:xfrm>
                            <a:off x="70103" y="5300484"/>
                            <a:ext cx="129539" cy="152400"/>
                          </a:xfrm>
                          <a:prstGeom prst="rect">
                            <a:avLst/>
                          </a:prstGeom>
                        </wps:spPr>
                        <wps:txbx>
                          <w:txbxContent>
                            <w:p>
                              <w:pPr>
                                <w:spacing w:line="240" w:lineRule="exact" w:before="0"/>
                                <w:ind w:left="0" w:right="0" w:firstLine="0"/>
                                <w:jc w:val="left"/>
                                <w:rPr>
                                  <w:sz w:val="24"/>
                                </w:rPr>
                              </w:pPr>
                              <w:r>
                                <w:rPr>
                                  <w:spacing w:val="-5"/>
                                  <w:sz w:val="24"/>
                                </w:rPr>
                                <w:t>6.</w:t>
                              </w:r>
                            </w:p>
                          </w:txbxContent>
                        </wps:txbx>
                        <wps:bodyPr wrap="square" lIns="0" tIns="0" rIns="0" bIns="0" rtlCol="0">
                          <a:noAutofit/>
                        </wps:bodyPr>
                      </wps:wsp>
                      <wps:wsp>
                        <wps:cNvPr id="36" name="Textbox 36"/>
                        <wps:cNvSpPr txBox="1"/>
                        <wps:spPr>
                          <a:xfrm>
                            <a:off x="527304" y="5300484"/>
                            <a:ext cx="5161915" cy="152400"/>
                          </a:xfrm>
                          <a:prstGeom prst="rect">
                            <a:avLst/>
                          </a:prstGeom>
                        </wps:spPr>
                        <wps:txbx>
                          <w:txbxContent>
                            <w:p>
                              <w:pPr>
                                <w:spacing w:line="240" w:lineRule="exact" w:before="0"/>
                                <w:ind w:left="0" w:right="0" w:firstLine="0"/>
                                <w:jc w:val="left"/>
                                <w:rPr>
                                  <w:sz w:val="24"/>
                                </w:rPr>
                              </w:pPr>
                              <w:r>
                                <w:rPr>
                                  <w:sz w:val="24"/>
                                </w:rPr>
                                <w:t>How</w:t>
                              </w:r>
                              <w:r>
                                <w:rPr>
                                  <w:spacing w:val="-3"/>
                                  <w:sz w:val="24"/>
                                </w:rPr>
                                <w:t> </w:t>
                              </w:r>
                              <w:r>
                                <w:rPr>
                                  <w:sz w:val="24"/>
                                </w:rPr>
                                <w:t>effective</w:t>
                              </w:r>
                              <w:r>
                                <w:rPr>
                                  <w:spacing w:val="-2"/>
                                  <w:sz w:val="24"/>
                                </w:rPr>
                                <w:t> </w:t>
                              </w:r>
                              <w:r>
                                <w:rPr>
                                  <w:sz w:val="24"/>
                                </w:rPr>
                                <w:t>do</w:t>
                              </w:r>
                              <w:r>
                                <w:rPr>
                                  <w:spacing w:val="-2"/>
                                  <w:sz w:val="24"/>
                                </w:rPr>
                                <w:t> </w:t>
                              </w:r>
                              <w:r>
                                <w:rPr>
                                  <w:sz w:val="24"/>
                                </w:rPr>
                                <w:t>you</w:t>
                              </w:r>
                              <w:r>
                                <w:rPr>
                                  <w:spacing w:val="-1"/>
                                  <w:sz w:val="24"/>
                                </w:rPr>
                                <w:t> </w:t>
                              </w:r>
                              <w:r>
                                <w:rPr>
                                  <w:sz w:val="24"/>
                                </w:rPr>
                                <w:t>feel</w:t>
                              </w:r>
                              <w:r>
                                <w:rPr>
                                  <w:spacing w:val="-1"/>
                                  <w:sz w:val="24"/>
                                </w:rPr>
                                <w:t> </w:t>
                              </w:r>
                              <w:r>
                                <w:rPr>
                                  <w:sz w:val="24"/>
                                </w:rPr>
                                <w:t>you</w:t>
                              </w:r>
                              <w:r>
                                <w:rPr>
                                  <w:spacing w:val="-1"/>
                                  <w:sz w:val="24"/>
                                </w:rPr>
                                <w:t> </w:t>
                              </w:r>
                              <w:r>
                                <w:rPr>
                                  <w:sz w:val="24"/>
                                </w:rPr>
                                <w:t>are</w:t>
                              </w:r>
                              <w:r>
                                <w:rPr>
                                  <w:spacing w:val="-2"/>
                                  <w:sz w:val="24"/>
                                </w:rPr>
                                <w:t> </w:t>
                              </w:r>
                              <w:r>
                                <w:rPr>
                                  <w:sz w:val="24"/>
                                </w:rPr>
                                <w:t>at</w:t>
                              </w:r>
                              <w:r>
                                <w:rPr>
                                  <w:spacing w:val="-1"/>
                                  <w:sz w:val="24"/>
                                </w:rPr>
                                <w:t> </w:t>
                              </w:r>
                              <w:r>
                                <w:rPr>
                                  <w:sz w:val="24"/>
                                </w:rPr>
                                <w:t>communicating</w:t>
                              </w:r>
                              <w:r>
                                <w:rPr>
                                  <w:spacing w:val="-3"/>
                                  <w:sz w:val="24"/>
                                </w:rPr>
                                <w:t> </w:t>
                              </w:r>
                              <w:r>
                                <w:rPr>
                                  <w:sz w:val="24"/>
                                </w:rPr>
                                <w:t>with</w:t>
                              </w:r>
                              <w:r>
                                <w:rPr>
                                  <w:spacing w:val="-3"/>
                                  <w:sz w:val="24"/>
                                </w:rPr>
                                <w:t> </w:t>
                              </w:r>
                              <w:r>
                                <w:rPr>
                                  <w:sz w:val="24"/>
                                </w:rPr>
                                <w:t>Limited</w:t>
                              </w:r>
                              <w:r>
                                <w:rPr>
                                  <w:spacing w:val="-4"/>
                                  <w:sz w:val="24"/>
                                </w:rPr>
                                <w:t> </w:t>
                              </w:r>
                              <w:r>
                                <w:rPr>
                                  <w:sz w:val="24"/>
                                </w:rPr>
                                <w:t>English</w:t>
                              </w:r>
                              <w:r>
                                <w:rPr>
                                  <w:spacing w:val="-3"/>
                                  <w:sz w:val="24"/>
                                </w:rPr>
                                <w:t> </w:t>
                              </w:r>
                              <w:r>
                                <w:rPr>
                                  <w:spacing w:val="-2"/>
                                  <w:sz w:val="24"/>
                                </w:rPr>
                                <w:t>Proficient</w:t>
                              </w:r>
                            </w:p>
                          </w:txbxContent>
                        </wps:txbx>
                        <wps:bodyPr wrap="square" lIns="0" tIns="0" rIns="0" bIns="0" rtlCol="0">
                          <a:noAutofit/>
                        </wps:bodyPr>
                      </wps:wsp>
                    </wpg:wgp>
                  </a:graphicData>
                </a:graphic>
              </wp:anchor>
            </w:drawing>
          </mc:Choice>
          <mc:Fallback>
            <w:pict>
              <v:group style="position:absolute;margin-left:76.320pt;margin-top:14.627734pt;width:468.5pt;height:439.1pt;mso-position-horizontal-relative:page;mso-position-vertical-relative:paragraph;z-index:-15723520;mso-wrap-distance-left:0;mso-wrap-distance-right:0" id="docshapegroup28" coordorigin="1526,293" coordsize="9370,8782">
                <v:shape style="position:absolute;left:1526;top:292;width:9370;height:8782" id="docshape29" coordorigin="1526,293" coordsize="9370,8782" path="m10886,293l1536,293,1526,293,1526,302,1526,9065,1526,9074,1536,9074,10886,9074,10886,9065,1536,9065,1536,302,10886,302,10886,293xm10896,293l10886,293,10886,302,10886,9065,10886,9074,10896,9074,10896,9065,10896,302,10896,293xe" filled="true" fillcolor="#000000" stroked="false">
                  <v:path arrowok="t"/>
                  <v:fill type="solid"/>
                </v:shape>
                <v:shape style="position:absolute;left:1627;top:350;width:9099;height:8060" type="#_x0000_t202" id="docshape30" filled="false" stroked="false">
                  <v:textbox inset="0,0,0,0">
                    <w:txbxContent>
                      <w:p>
                        <w:pPr>
                          <w:spacing w:line="244" w:lineRule="exact" w:before="0"/>
                          <w:ind w:left="2475" w:right="2411" w:firstLine="0"/>
                          <w:jc w:val="center"/>
                          <w:rPr>
                            <w:b/>
                            <w:sz w:val="24"/>
                          </w:rPr>
                        </w:pPr>
                        <w:r>
                          <w:rPr>
                            <w:b/>
                            <w:sz w:val="24"/>
                            <w:u w:val="single"/>
                          </w:rPr>
                          <w:t>Employee/Subrecipient</w:t>
                        </w:r>
                        <w:r>
                          <w:rPr>
                            <w:b/>
                            <w:spacing w:val="-5"/>
                            <w:sz w:val="24"/>
                            <w:u w:val="single"/>
                          </w:rPr>
                          <w:t> </w:t>
                        </w:r>
                        <w:r>
                          <w:rPr>
                            <w:b/>
                            <w:sz w:val="24"/>
                            <w:u w:val="single"/>
                          </w:rPr>
                          <w:t>Survey</w:t>
                        </w:r>
                        <w:r>
                          <w:rPr>
                            <w:b/>
                            <w:spacing w:val="-3"/>
                            <w:sz w:val="24"/>
                            <w:u w:val="single"/>
                          </w:rPr>
                          <w:t> </w:t>
                        </w:r>
                        <w:r>
                          <w:rPr>
                            <w:b/>
                            <w:spacing w:val="-2"/>
                            <w:sz w:val="24"/>
                            <w:u w:val="single"/>
                          </w:rPr>
                          <w:t>Questions:</w:t>
                        </w:r>
                      </w:p>
                      <w:p>
                        <w:pPr>
                          <w:spacing w:line="240" w:lineRule="auto" w:before="0"/>
                          <w:rPr>
                            <w:b/>
                            <w:sz w:val="22"/>
                          </w:rPr>
                        </w:pPr>
                      </w:p>
                      <w:p>
                        <w:pPr>
                          <w:numPr>
                            <w:ilvl w:val="0"/>
                            <w:numId w:val="16"/>
                          </w:numPr>
                          <w:tabs>
                            <w:tab w:pos="359" w:val="left" w:leader="none"/>
                          </w:tabs>
                          <w:spacing w:before="0"/>
                          <w:ind w:left="359" w:right="0" w:hanging="359"/>
                          <w:jc w:val="left"/>
                          <w:rPr>
                            <w:sz w:val="24"/>
                          </w:rPr>
                        </w:pPr>
                        <w:r>
                          <w:rPr>
                            <w:sz w:val="24"/>
                          </w:rPr>
                          <w:t>What</w:t>
                        </w:r>
                        <w:r>
                          <w:rPr>
                            <w:spacing w:val="-3"/>
                            <w:sz w:val="24"/>
                          </w:rPr>
                          <w:t> </w:t>
                        </w:r>
                        <w:r>
                          <w:rPr>
                            <w:sz w:val="24"/>
                          </w:rPr>
                          <w:t>way(s)</w:t>
                        </w:r>
                        <w:r>
                          <w:rPr>
                            <w:spacing w:val="-1"/>
                            <w:sz w:val="24"/>
                          </w:rPr>
                          <w:t> </w:t>
                        </w:r>
                        <w:r>
                          <w:rPr>
                            <w:sz w:val="24"/>
                          </w:rPr>
                          <w:t>do</w:t>
                        </w:r>
                        <w:r>
                          <w:rPr>
                            <w:spacing w:val="-3"/>
                            <w:sz w:val="24"/>
                          </w:rPr>
                          <w:t> </w:t>
                        </w:r>
                        <w:r>
                          <w:rPr>
                            <w:sz w:val="24"/>
                          </w:rPr>
                          <w:t>you</w:t>
                        </w:r>
                        <w:r>
                          <w:rPr>
                            <w:spacing w:val="1"/>
                            <w:sz w:val="24"/>
                          </w:rPr>
                          <w:t> </w:t>
                        </w:r>
                        <w:r>
                          <w:rPr>
                            <w:sz w:val="24"/>
                          </w:rPr>
                          <w:t>interact with</w:t>
                        </w:r>
                        <w:r>
                          <w:rPr>
                            <w:spacing w:val="-2"/>
                            <w:sz w:val="24"/>
                          </w:rPr>
                          <w:t> riders?</w:t>
                        </w:r>
                      </w:p>
                      <w:p>
                        <w:pPr>
                          <w:numPr>
                            <w:ilvl w:val="0"/>
                            <w:numId w:val="16"/>
                          </w:numPr>
                          <w:tabs>
                            <w:tab w:pos="359" w:val="left" w:leader="none"/>
                          </w:tabs>
                          <w:spacing w:before="19"/>
                          <w:ind w:left="359" w:right="0" w:hanging="359"/>
                          <w:jc w:val="left"/>
                          <w:rPr>
                            <w:sz w:val="24"/>
                          </w:rPr>
                        </w:pPr>
                        <w:r>
                          <w:rPr>
                            <w:sz w:val="24"/>
                          </w:rPr>
                          <w:t>How</w:t>
                        </w:r>
                        <w:r>
                          <w:rPr>
                            <w:spacing w:val="-2"/>
                            <w:sz w:val="24"/>
                          </w:rPr>
                          <w:t> </w:t>
                        </w:r>
                        <w:r>
                          <w:rPr>
                            <w:sz w:val="24"/>
                          </w:rPr>
                          <w:t>often</w:t>
                        </w:r>
                        <w:r>
                          <w:rPr>
                            <w:spacing w:val="-3"/>
                            <w:sz w:val="24"/>
                          </w:rPr>
                          <w:t> </w:t>
                        </w:r>
                        <w:r>
                          <w:rPr>
                            <w:sz w:val="24"/>
                          </w:rPr>
                          <w:t>do</w:t>
                        </w:r>
                        <w:r>
                          <w:rPr>
                            <w:spacing w:val="-1"/>
                            <w:sz w:val="24"/>
                          </w:rPr>
                          <w:t> </w:t>
                        </w:r>
                        <w:r>
                          <w:rPr>
                            <w:sz w:val="24"/>
                          </w:rPr>
                          <w:t>you come</w:t>
                        </w:r>
                        <w:r>
                          <w:rPr>
                            <w:spacing w:val="-3"/>
                            <w:sz w:val="24"/>
                          </w:rPr>
                          <w:t> </w:t>
                        </w:r>
                        <w:r>
                          <w:rPr>
                            <w:sz w:val="24"/>
                          </w:rPr>
                          <w:t>into</w:t>
                        </w:r>
                        <w:r>
                          <w:rPr>
                            <w:spacing w:val="-3"/>
                            <w:sz w:val="24"/>
                          </w:rPr>
                          <w:t> </w:t>
                        </w:r>
                        <w:r>
                          <w:rPr>
                            <w:sz w:val="24"/>
                          </w:rPr>
                          <w:t>contact</w:t>
                        </w:r>
                        <w:r>
                          <w:rPr>
                            <w:spacing w:val="-3"/>
                            <w:sz w:val="24"/>
                          </w:rPr>
                          <w:t> </w:t>
                        </w:r>
                        <w:r>
                          <w:rPr>
                            <w:sz w:val="24"/>
                          </w:rPr>
                          <w:t>with Limited</w:t>
                        </w:r>
                        <w:r>
                          <w:rPr>
                            <w:spacing w:val="-3"/>
                            <w:sz w:val="24"/>
                          </w:rPr>
                          <w:t> </w:t>
                        </w:r>
                        <w:r>
                          <w:rPr>
                            <w:sz w:val="24"/>
                          </w:rPr>
                          <w:t>English</w:t>
                        </w:r>
                        <w:r>
                          <w:rPr>
                            <w:spacing w:val="-3"/>
                            <w:sz w:val="24"/>
                          </w:rPr>
                          <w:t> </w:t>
                        </w:r>
                        <w:r>
                          <w:rPr>
                            <w:sz w:val="24"/>
                          </w:rPr>
                          <w:t>Proficient</w:t>
                        </w:r>
                        <w:r>
                          <w:rPr>
                            <w:spacing w:val="1"/>
                            <w:sz w:val="24"/>
                          </w:rPr>
                          <w:t> </w:t>
                        </w:r>
                        <w:r>
                          <w:rPr>
                            <w:spacing w:val="-2"/>
                            <w:sz w:val="24"/>
                          </w:rPr>
                          <w:t>riders?</w:t>
                        </w:r>
                      </w:p>
                      <w:p>
                        <w:pPr>
                          <w:numPr>
                            <w:ilvl w:val="0"/>
                            <w:numId w:val="16"/>
                          </w:numPr>
                          <w:tabs>
                            <w:tab w:pos="360" w:val="left" w:leader="none"/>
                          </w:tabs>
                          <w:spacing w:line="254" w:lineRule="auto" w:before="21"/>
                          <w:ind w:left="360" w:right="18" w:hanging="360"/>
                          <w:jc w:val="left"/>
                          <w:rPr>
                            <w:sz w:val="24"/>
                          </w:rPr>
                        </w:pPr>
                        <w:r>
                          <w:rPr>
                            <w:sz w:val="24"/>
                          </w:rPr>
                          <w:t>Please</w:t>
                        </w:r>
                        <w:r>
                          <w:rPr>
                            <w:spacing w:val="-2"/>
                            <w:sz w:val="24"/>
                          </w:rPr>
                          <w:t> </w:t>
                        </w:r>
                        <w:r>
                          <w:rPr>
                            <w:sz w:val="24"/>
                          </w:rPr>
                          <w:t>identify</w:t>
                        </w:r>
                        <w:r>
                          <w:rPr>
                            <w:spacing w:val="-6"/>
                            <w:sz w:val="24"/>
                          </w:rPr>
                          <w:t> </w:t>
                        </w:r>
                        <w:r>
                          <w:rPr>
                            <w:sz w:val="24"/>
                          </w:rPr>
                          <w:t>through</w:t>
                        </w:r>
                        <w:r>
                          <w:rPr>
                            <w:spacing w:val="-4"/>
                            <w:sz w:val="24"/>
                          </w:rPr>
                          <w:t> </w:t>
                        </w:r>
                        <w:r>
                          <w:rPr>
                            <w:sz w:val="24"/>
                          </w:rPr>
                          <w:t>percentages,</w:t>
                        </w:r>
                        <w:r>
                          <w:rPr>
                            <w:spacing w:val="-2"/>
                            <w:sz w:val="24"/>
                          </w:rPr>
                          <w:t> </w:t>
                        </w:r>
                        <w:r>
                          <w:rPr>
                            <w:sz w:val="24"/>
                          </w:rPr>
                          <w:t>how</w:t>
                        </w:r>
                        <w:r>
                          <w:rPr>
                            <w:spacing w:val="-4"/>
                            <w:sz w:val="24"/>
                          </w:rPr>
                          <w:t> </w:t>
                        </w:r>
                        <w:r>
                          <w:rPr>
                            <w:sz w:val="24"/>
                          </w:rPr>
                          <w:t>often</w:t>
                        </w:r>
                        <w:r>
                          <w:rPr>
                            <w:spacing w:val="-4"/>
                            <w:sz w:val="24"/>
                          </w:rPr>
                          <w:t> </w:t>
                        </w:r>
                        <w:r>
                          <w:rPr>
                            <w:sz w:val="24"/>
                          </w:rPr>
                          <w:t>you</w:t>
                        </w:r>
                        <w:r>
                          <w:rPr>
                            <w:spacing w:val="-1"/>
                            <w:sz w:val="24"/>
                          </w:rPr>
                          <w:t> </w:t>
                        </w:r>
                        <w:r>
                          <w:rPr>
                            <w:sz w:val="24"/>
                          </w:rPr>
                          <w:t>interact</w:t>
                        </w:r>
                        <w:r>
                          <w:rPr>
                            <w:spacing w:val="-4"/>
                            <w:sz w:val="24"/>
                          </w:rPr>
                          <w:t> </w:t>
                        </w:r>
                        <w:r>
                          <w:rPr>
                            <w:sz w:val="24"/>
                          </w:rPr>
                          <w:t>with</w:t>
                        </w:r>
                        <w:r>
                          <w:rPr>
                            <w:spacing w:val="-4"/>
                            <w:sz w:val="24"/>
                          </w:rPr>
                          <w:t> </w:t>
                        </w:r>
                        <w:r>
                          <w:rPr>
                            <w:sz w:val="24"/>
                          </w:rPr>
                          <w:t>the</w:t>
                        </w:r>
                        <w:r>
                          <w:rPr>
                            <w:spacing w:val="-4"/>
                            <w:sz w:val="24"/>
                          </w:rPr>
                          <w:t> </w:t>
                        </w:r>
                        <w:r>
                          <w:rPr>
                            <w:sz w:val="24"/>
                          </w:rPr>
                          <w:t>following</w:t>
                        </w:r>
                        <w:r>
                          <w:rPr>
                            <w:spacing w:val="-3"/>
                            <w:sz w:val="24"/>
                          </w:rPr>
                          <w:t> </w:t>
                        </w:r>
                        <w:r>
                          <w:rPr>
                            <w:sz w:val="24"/>
                          </w:rPr>
                          <w:t>languages during your workday:</w:t>
                        </w:r>
                      </w:p>
                      <w:p>
                        <w:pPr>
                          <w:numPr>
                            <w:ilvl w:val="1"/>
                            <w:numId w:val="16"/>
                          </w:numPr>
                          <w:tabs>
                            <w:tab w:pos="1079" w:val="left" w:leader="none"/>
                          </w:tabs>
                          <w:spacing w:before="5"/>
                          <w:ind w:left="1079" w:right="0" w:hanging="359"/>
                          <w:jc w:val="left"/>
                          <w:rPr>
                            <w:sz w:val="24"/>
                          </w:rPr>
                        </w:pPr>
                        <w:r>
                          <w:rPr>
                            <w:spacing w:val="-2"/>
                            <w:sz w:val="24"/>
                          </w:rPr>
                          <w:t>English</w:t>
                        </w:r>
                      </w:p>
                      <w:p>
                        <w:pPr>
                          <w:numPr>
                            <w:ilvl w:val="1"/>
                            <w:numId w:val="16"/>
                          </w:numPr>
                          <w:tabs>
                            <w:tab w:pos="1079" w:val="left" w:leader="none"/>
                          </w:tabs>
                          <w:spacing w:before="20"/>
                          <w:ind w:left="1079" w:right="0" w:hanging="359"/>
                          <w:jc w:val="left"/>
                          <w:rPr>
                            <w:sz w:val="24"/>
                          </w:rPr>
                        </w:pPr>
                        <w:r>
                          <w:rPr>
                            <w:spacing w:val="-2"/>
                            <w:sz w:val="24"/>
                          </w:rPr>
                          <w:t>Spanish</w:t>
                        </w:r>
                      </w:p>
                      <w:p>
                        <w:pPr>
                          <w:numPr>
                            <w:ilvl w:val="1"/>
                            <w:numId w:val="16"/>
                          </w:numPr>
                          <w:tabs>
                            <w:tab w:pos="1079" w:val="left" w:leader="none"/>
                          </w:tabs>
                          <w:spacing w:before="19"/>
                          <w:ind w:left="1079" w:right="0" w:hanging="359"/>
                          <w:jc w:val="left"/>
                          <w:rPr>
                            <w:sz w:val="24"/>
                          </w:rPr>
                        </w:pPr>
                        <w:r>
                          <w:rPr>
                            <w:spacing w:val="-2"/>
                            <w:sz w:val="24"/>
                          </w:rPr>
                          <w:t>French</w:t>
                        </w:r>
                      </w:p>
                      <w:p>
                        <w:pPr>
                          <w:numPr>
                            <w:ilvl w:val="1"/>
                            <w:numId w:val="16"/>
                          </w:numPr>
                          <w:tabs>
                            <w:tab w:pos="1079" w:val="left" w:leader="none"/>
                          </w:tabs>
                          <w:spacing w:before="20"/>
                          <w:ind w:left="1079" w:right="0" w:hanging="359"/>
                          <w:jc w:val="left"/>
                          <w:rPr>
                            <w:sz w:val="24"/>
                          </w:rPr>
                        </w:pPr>
                        <w:r>
                          <w:rPr>
                            <w:spacing w:val="-2"/>
                            <w:sz w:val="24"/>
                          </w:rPr>
                          <w:t>Chinese</w:t>
                        </w:r>
                      </w:p>
                      <w:p>
                        <w:pPr>
                          <w:numPr>
                            <w:ilvl w:val="1"/>
                            <w:numId w:val="16"/>
                          </w:numPr>
                          <w:tabs>
                            <w:tab w:pos="1079" w:val="left" w:leader="none"/>
                          </w:tabs>
                          <w:spacing w:before="19"/>
                          <w:ind w:left="1079" w:right="0" w:hanging="359"/>
                          <w:jc w:val="left"/>
                          <w:rPr>
                            <w:sz w:val="24"/>
                          </w:rPr>
                        </w:pPr>
                        <w:r>
                          <w:rPr>
                            <w:sz w:val="24"/>
                          </w:rPr>
                          <w:t>Other</w:t>
                        </w:r>
                        <w:r>
                          <w:rPr>
                            <w:spacing w:val="-4"/>
                            <w:sz w:val="24"/>
                          </w:rPr>
                          <w:t> </w:t>
                        </w:r>
                        <w:r>
                          <w:rPr>
                            <w:sz w:val="24"/>
                          </w:rPr>
                          <w:t>languages</w:t>
                        </w:r>
                        <w:r>
                          <w:rPr>
                            <w:spacing w:val="-2"/>
                            <w:sz w:val="24"/>
                          </w:rPr>
                          <w:t> </w:t>
                        </w:r>
                        <w:r>
                          <w:rPr>
                            <w:sz w:val="24"/>
                          </w:rPr>
                          <w:t>(name</w:t>
                        </w:r>
                        <w:r>
                          <w:rPr>
                            <w:spacing w:val="-3"/>
                            <w:sz w:val="24"/>
                          </w:rPr>
                          <w:t> </w:t>
                        </w:r>
                        <w:r>
                          <w:rPr>
                            <w:sz w:val="24"/>
                          </w:rPr>
                          <w:t>the</w:t>
                        </w:r>
                        <w:r>
                          <w:rPr>
                            <w:spacing w:val="-1"/>
                            <w:sz w:val="24"/>
                          </w:rPr>
                          <w:t> </w:t>
                        </w:r>
                        <w:r>
                          <w:rPr>
                            <w:sz w:val="24"/>
                          </w:rPr>
                          <w:t>languages</w:t>
                        </w:r>
                        <w:r>
                          <w:rPr>
                            <w:spacing w:val="-3"/>
                            <w:sz w:val="24"/>
                          </w:rPr>
                          <w:t> </w:t>
                        </w:r>
                        <w:r>
                          <w:rPr>
                            <w:spacing w:val="-2"/>
                            <w:sz w:val="24"/>
                          </w:rPr>
                          <w:t>encountered)</w:t>
                        </w:r>
                      </w:p>
                      <w:p>
                        <w:pPr>
                          <w:spacing w:line="240" w:lineRule="auto" w:before="6"/>
                          <w:rPr>
                            <w:sz w:val="25"/>
                          </w:rPr>
                        </w:pPr>
                      </w:p>
                      <w:p>
                        <w:pPr>
                          <w:numPr>
                            <w:ilvl w:val="0"/>
                            <w:numId w:val="16"/>
                          </w:numPr>
                          <w:tabs>
                            <w:tab w:pos="360" w:val="left" w:leader="none"/>
                          </w:tabs>
                          <w:spacing w:line="254" w:lineRule="auto" w:before="0"/>
                          <w:ind w:left="360" w:right="1091" w:hanging="360"/>
                          <w:jc w:val="left"/>
                          <w:rPr>
                            <w:sz w:val="24"/>
                          </w:rPr>
                        </w:pPr>
                        <w:r>
                          <w:rPr>
                            <w:sz w:val="24"/>
                          </w:rPr>
                          <w:t>What</w:t>
                        </w:r>
                        <w:r>
                          <w:rPr>
                            <w:spacing w:val="-6"/>
                            <w:sz w:val="24"/>
                          </w:rPr>
                          <w:t> </w:t>
                        </w:r>
                        <w:r>
                          <w:rPr>
                            <w:sz w:val="24"/>
                          </w:rPr>
                          <w:t>method</w:t>
                        </w:r>
                        <w:r>
                          <w:rPr>
                            <w:spacing w:val="-3"/>
                            <w:sz w:val="24"/>
                          </w:rPr>
                          <w:t> </w:t>
                        </w:r>
                        <w:r>
                          <w:rPr>
                            <w:sz w:val="24"/>
                          </w:rPr>
                          <w:t>of</w:t>
                        </w:r>
                        <w:r>
                          <w:rPr>
                            <w:spacing w:val="-3"/>
                            <w:sz w:val="24"/>
                          </w:rPr>
                          <w:t> </w:t>
                        </w:r>
                        <w:r>
                          <w:rPr>
                            <w:sz w:val="24"/>
                          </w:rPr>
                          <w:t>communication</w:t>
                        </w:r>
                        <w:r>
                          <w:rPr>
                            <w:spacing w:val="-3"/>
                            <w:sz w:val="24"/>
                          </w:rPr>
                          <w:t> </w:t>
                        </w:r>
                        <w:r>
                          <w:rPr>
                            <w:sz w:val="24"/>
                          </w:rPr>
                          <w:t>do</w:t>
                        </w:r>
                        <w:r>
                          <w:rPr>
                            <w:spacing w:val="-4"/>
                            <w:sz w:val="24"/>
                          </w:rPr>
                          <w:t> </w:t>
                        </w:r>
                        <w:r>
                          <w:rPr>
                            <w:sz w:val="24"/>
                          </w:rPr>
                          <w:t>you</w:t>
                        </w:r>
                        <w:r>
                          <w:rPr>
                            <w:spacing w:val="-3"/>
                            <w:sz w:val="24"/>
                          </w:rPr>
                          <w:t> </w:t>
                        </w:r>
                        <w:r>
                          <w:rPr>
                            <w:sz w:val="24"/>
                          </w:rPr>
                          <w:t>use</w:t>
                        </w:r>
                        <w:r>
                          <w:rPr>
                            <w:spacing w:val="-4"/>
                            <w:sz w:val="24"/>
                          </w:rPr>
                          <w:t> </w:t>
                        </w:r>
                        <w:r>
                          <w:rPr>
                            <w:sz w:val="24"/>
                          </w:rPr>
                          <w:t>when</w:t>
                        </w:r>
                        <w:r>
                          <w:rPr>
                            <w:spacing w:val="-3"/>
                            <w:sz w:val="24"/>
                          </w:rPr>
                          <w:t> </w:t>
                        </w:r>
                        <w:r>
                          <w:rPr>
                            <w:sz w:val="24"/>
                          </w:rPr>
                          <w:t>communicating</w:t>
                        </w:r>
                        <w:r>
                          <w:rPr>
                            <w:spacing w:val="-7"/>
                            <w:sz w:val="24"/>
                          </w:rPr>
                          <w:t> </w:t>
                        </w:r>
                        <w:r>
                          <w:rPr>
                            <w:sz w:val="24"/>
                          </w:rPr>
                          <w:t>with</w:t>
                        </w:r>
                        <w:r>
                          <w:rPr>
                            <w:spacing w:val="-6"/>
                            <w:sz w:val="24"/>
                          </w:rPr>
                          <w:t> </w:t>
                        </w:r>
                        <w:r>
                          <w:rPr>
                            <w:sz w:val="24"/>
                          </w:rPr>
                          <w:t>transit </w:t>
                        </w:r>
                        <w:r>
                          <w:rPr>
                            <w:spacing w:val="-2"/>
                            <w:sz w:val="24"/>
                          </w:rPr>
                          <w:t>customers?</w:t>
                        </w:r>
                      </w:p>
                      <w:p>
                        <w:pPr>
                          <w:spacing w:before="3"/>
                          <w:ind w:left="360" w:right="0" w:firstLine="0"/>
                          <w:jc w:val="left"/>
                          <w:rPr>
                            <w:sz w:val="24"/>
                          </w:rPr>
                        </w:pPr>
                        <w:r>
                          <w:rPr>
                            <w:sz w:val="24"/>
                          </w:rPr>
                          <w:t>(Mark</w:t>
                        </w:r>
                        <w:r>
                          <w:rPr>
                            <w:spacing w:val="-2"/>
                            <w:sz w:val="24"/>
                          </w:rPr>
                          <w:t> </w:t>
                        </w:r>
                        <w:r>
                          <w:rPr>
                            <w:sz w:val="24"/>
                          </w:rPr>
                          <w:t>all</w:t>
                        </w:r>
                        <w:r>
                          <w:rPr>
                            <w:spacing w:val="1"/>
                            <w:sz w:val="24"/>
                          </w:rPr>
                          <w:t> </w:t>
                        </w:r>
                        <w:r>
                          <w:rPr>
                            <w:sz w:val="24"/>
                          </w:rPr>
                          <w:t>that</w:t>
                        </w:r>
                        <w:r>
                          <w:rPr>
                            <w:spacing w:val="-1"/>
                            <w:sz w:val="24"/>
                          </w:rPr>
                          <w:t> </w:t>
                        </w:r>
                        <w:r>
                          <w:rPr>
                            <w:spacing w:val="-2"/>
                            <w:sz w:val="24"/>
                          </w:rPr>
                          <w:t>apply)</w:t>
                        </w:r>
                      </w:p>
                      <w:p>
                        <w:pPr>
                          <w:numPr>
                            <w:ilvl w:val="1"/>
                            <w:numId w:val="16"/>
                          </w:numPr>
                          <w:tabs>
                            <w:tab w:pos="1079" w:val="left" w:leader="none"/>
                          </w:tabs>
                          <w:spacing w:before="2"/>
                          <w:ind w:left="1079" w:right="0" w:hanging="359"/>
                          <w:jc w:val="left"/>
                          <w:rPr>
                            <w:sz w:val="24"/>
                          </w:rPr>
                        </w:pPr>
                        <w:r>
                          <w:rPr>
                            <w:spacing w:val="-2"/>
                            <w:sz w:val="24"/>
                          </w:rPr>
                          <w:t>Telephone</w:t>
                        </w:r>
                      </w:p>
                      <w:p>
                        <w:pPr>
                          <w:numPr>
                            <w:ilvl w:val="1"/>
                            <w:numId w:val="16"/>
                          </w:numPr>
                          <w:tabs>
                            <w:tab w:pos="1079" w:val="left" w:leader="none"/>
                          </w:tabs>
                          <w:spacing w:before="20"/>
                          <w:ind w:left="1079" w:right="0" w:hanging="359"/>
                          <w:jc w:val="left"/>
                          <w:rPr>
                            <w:sz w:val="24"/>
                          </w:rPr>
                        </w:pPr>
                        <w:r>
                          <w:rPr>
                            <w:sz w:val="24"/>
                          </w:rPr>
                          <w:t>Face</w:t>
                        </w:r>
                        <w:r>
                          <w:rPr>
                            <w:spacing w:val="-1"/>
                            <w:sz w:val="24"/>
                          </w:rPr>
                          <w:t> </w:t>
                        </w:r>
                        <w:r>
                          <w:rPr>
                            <w:sz w:val="24"/>
                          </w:rPr>
                          <w:t>to</w:t>
                        </w:r>
                        <w:r>
                          <w:rPr>
                            <w:spacing w:val="-1"/>
                            <w:sz w:val="24"/>
                          </w:rPr>
                          <w:t> </w:t>
                        </w:r>
                        <w:r>
                          <w:rPr>
                            <w:spacing w:val="-4"/>
                            <w:sz w:val="24"/>
                          </w:rPr>
                          <w:t>Face</w:t>
                        </w:r>
                      </w:p>
                      <w:p>
                        <w:pPr>
                          <w:numPr>
                            <w:ilvl w:val="1"/>
                            <w:numId w:val="16"/>
                          </w:numPr>
                          <w:tabs>
                            <w:tab w:pos="1079" w:val="left" w:leader="none"/>
                          </w:tabs>
                          <w:spacing w:before="19"/>
                          <w:ind w:left="1079" w:right="0" w:hanging="359"/>
                          <w:jc w:val="left"/>
                          <w:rPr>
                            <w:sz w:val="24"/>
                          </w:rPr>
                        </w:pPr>
                        <w:r>
                          <w:rPr>
                            <w:spacing w:val="-2"/>
                            <w:sz w:val="24"/>
                          </w:rPr>
                          <w:t>Email</w:t>
                        </w:r>
                      </w:p>
                      <w:p>
                        <w:pPr>
                          <w:numPr>
                            <w:ilvl w:val="1"/>
                            <w:numId w:val="16"/>
                          </w:numPr>
                          <w:tabs>
                            <w:tab w:pos="1079" w:val="left" w:leader="none"/>
                          </w:tabs>
                          <w:spacing w:before="20"/>
                          <w:ind w:left="1079" w:right="0" w:hanging="359"/>
                          <w:jc w:val="left"/>
                          <w:rPr>
                            <w:sz w:val="24"/>
                          </w:rPr>
                        </w:pPr>
                        <w:r>
                          <w:rPr>
                            <w:spacing w:val="-5"/>
                            <w:sz w:val="24"/>
                          </w:rPr>
                          <w:t>Fax</w:t>
                        </w:r>
                      </w:p>
                      <w:p>
                        <w:pPr>
                          <w:spacing w:line="240" w:lineRule="auto" w:before="4"/>
                          <w:rPr>
                            <w:sz w:val="25"/>
                          </w:rPr>
                        </w:pPr>
                      </w:p>
                      <w:p>
                        <w:pPr>
                          <w:numPr>
                            <w:ilvl w:val="0"/>
                            <w:numId w:val="16"/>
                          </w:numPr>
                          <w:tabs>
                            <w:tab w:pos="358" w:val="left" w:leader="none"/>
                            <w:tab w:pos="729" w:val="left" w:leader="none"/>
                          </w:tabs>
                          <w:spacing w:line="242" w:lineRule="auto" w:before="0"/>
                          <w:ind w:left="729" w:right="177" w:hanging="730"/>
                          <w:jc w:val="left"/>
                          <w:rPr>
                            <w:sz w:val="24"/>
                          </w:rPr>
                        </w:pPr>
                        <w:r>
                          <w:rPr>
                            <w:sz w:val="24"/>
                          </w:rPr>
                          <w:t>How</w:t>
                        </w:r>
                        <w:r>
                          <w:rPr>
                            <w:spacing w:val="-1"/>
                            <w:sz w:val="24"/>
                          </w:rPr>
                          <w:t> </w:t>
                        </w:r>
                        <w:r>
                          <w:rPr>
                            <w:sz w:val="24"/>
                          </w:rPr>
                          <w:t>often</w:t>
                        </w:r>
                        <w:r>
                          <w:rPr>
                            <w:spacing w:val="-4"/>
                            <w:sz w:val="24"/>
                          </w:rPr>
                          <w:t> </w:t>
                        </w:r>
                        <w:r>
                          <w:rPr>
                            <w:sz w:val="24"/>
                          </w:rPr>
                          <w:t>do</w:t>
                        </w:r>
                        <w:r>
                          <w:rPr>
                            <w:spacing w:val="-2"/>
                            <w:sz w:val="24"/>
                          </w:rPr>
                          <w:t> </w:t>
                        </w:r>
                        <w:r>
                          <w:rPr>
                            <w:sz w:val="24"/>
                          </w:rPr>
                          <w:t>you</w:t>
                        </w:r>
                        <w:r>
                          <w:rPr>
                            <w:spacing w:val="-1"/>
                            <w:sz w:val="24"/>
                          </w:rPr>
                          <w:t> </w:t>
                        </w:r>
                        <w:r>
                          <w:rPr>
                            <w:sz w:val="24"/>
                          </w:rPr>
                          <w:t>interact</w:t>
                        </w:r>
                        <w:r>
                          <w:rPr>
                            <w:spacing w:val="-1"/>
                            <w:sz w:val="24"/>
                          </w:rPr>
                          <w:t> </w:t>
                        </w:r>
                        <w:r>
                          <w:rPr>
                            <w:sz w:val="24"/>
                          </w:rPr>
                          <w:t>with</w:t>
                        </w:r>
                        <w:r>
                          <w:rPr>
                            <w:spacing w:val="-4"/>
                            <w:sz w:val="24"/>
                          </w:rPr>
                          <w:t> </w:t>
                        </w:r>
                        <w:r>
                          <w:rPr>
                            <w:sz w:val="24"/>
                          </w:rPr>
                          <w:t>passengers</w:t>
                        </w:r>
                        <w:r>
                          <w:rPr>
                            <w:spacing w:val="-5"/>
                            <w:sz w:val="24"/>
                          </w:rPr>
                          <w:t> </w:t>
                        </w:r>
                        <w:r>
                          <w:rPr>
                            <w:sz w:val="24"/>
                          </w:rPr>
                          <w:t>who</w:t>
                        </w:r>
                        <w:r>
                          <w:rPr>
                            <w:spacing w:val="-4"/>
                            <w:sz w:val="24"/>
                          </w:rPr>
                          <w:t> </w:t>
                        </w:r>
                        <w:r>
                          <w:rPr>
                            <w:sz w:val="24"/>
                          </w:rPr>
                          <w:t>speak</w:t>
                        </w:r>
                        <w:r>
                          <w:rPr>
                            <w:spacing w:val="-4"/>
                            <w:sz w:val="24"/>
                          </w:rPr>
                          <w:t> </w:t>
                        </w:r>
                        <w:r>
                          <w:rPr>
                            <w:sz w:val="24"/>
                          </w:rPr>
                          <w:t>languages</w:t>
                        </w:r>
                        <w:r>
                          <w:rPr>
                            <w:spacing w:val="-5"/>
                            <w:sz w:val="24"/>
                          </w:rPr>
                          <w:t> </w:t>
                        </w:r>
                        <w:r>
                          <w:rPr>
                            <w:sz w:val="24"/>
                          </w:rPr>
                          <w:t>other</w:t>
                        </w:r>
                        <w:r>
                          <w:rPr>
                            <w:spacing w:val="-5"/>
                            <w:sz w:val="24"/>
                          </w:rPr>
                          <w:t> </w:t>
                        </w:r>
                        <w:r>
                          <w:rPr>
                            <w:sz w:val="24"/>
                          </w:rPr>
                          <w:t>than</w:t>
                        </w:r>
                        <w:r>
                          <w:rPr>
                            <w:spacing w:val="-1"/>
                            <w:sz w:val="24"/>
                          </w:rPr>
                          <w:t> </w:t>
                        </w:r>
                        <w:r>
                          <w:rPr>
                            <w:sz w:val="24"/>
                          </w:rPr>
                          <w:t>English</w:t>
                        </w:r>
                        <w:r>
                          <w:rPr>
                            <w:spacing w:val="-1"/>
                            <w:sz w:val="24"/>
                          </w:rPr>
                          <w:t> </w:t>
                        </w:r>
                        <w:r>
                          <w:rPr>
                            <w:sz w:val="24"/>
                          </w:rPr>
                          <w:t>in</w:t>
                        </w:r>
                        <w:r>
                          <w:rPr>
                            <w:spacing w:val="-1"/>
                            <w:sz w:val="24"/>
                          </w:rPr>
                          <w:t> </w:t>
                        </w:r>
                        <w:r>
                          <w:rPr>
                            <w:sz w:val="24"/>
                          </w:rPr>
                          <w:t>a typical work day?</w:t>
                        </w:r>
                      </w:p>
                      <w:p>
                        <w:pPr>
                          <w:numPr>
                            <w:ilvl w:val="1"/>
                            <w:numId w:val="16"/>
                          </w:numPr>
                          <w:tabs>
                            <w:tab w:pos="1079" w:val="left" w:leader="none"/>
                          </w:tabs>
                          <w:spacing w:line="304" w:lineRule="exact" w:before="0"/>
                          <w:ind w:left="1079" w:right="0" w:hanging="360"/>
                          <w:jc w:val="left"/>
                          <w:rPr>
                            <w:sz w:val="24"/>
                          </w:rPr>
                        </w:pPr>
                        <w:r>
                          <w:rPr>
                            <w:spacing w:val="-2"/>
                            <w:sz w:val="24"/>
                          </w:rPr>
                          <w:t>Often</w:t>
                        </w:r>
                      </w:p>
                      <w:p>
                        <w:pPr>
                          <w:numPr>
                            <w:ilvl w:val="1"/>
                            <w:numId w:val="16"/>
                          </w:numPr>
                          <w:tabs>
                            <w:tab w:pos="1079" w:val="left" w:leader="none"/>
                          </w:tabs>
                          <w:spacing w:before="19"/>
                          <w:ind w:left="1079" w:right="0" w:hanging="360"/>
                          <w:jc w:val="left"/>
                          <w:rPr>
                            <w:sz w:val="24"/>
                          </w:rPr>
                        </w:pPr>
                        <w:r>
                          <w:rPr>
                            <w:spacing w:val="-2"/>
                            <w:sz w:val="24"/>
                          </w:rPr>
                          <w:t>Sometimes</w:t>
                        </w:r>
                      </w:p>
                      <w:p>
                        <w:pPr>
                          <w:numPr>
                            <w:ilvl w:val="1"/>
                            <w:numId w:val="16"/>
                          </w:numPr>
                          <w:tabs>
                            <w:tab w:pos="1079" w:val="left" w:leader="none"/>
                          </w:tabs>
                          <w:spacing w:before="20"/>
                          <w:ind w:left="1079" w:right="0" w:hanging="360"/>
                          <w:jc w:val="left"/>
                          <w:rPr>
                            <w:sz w:val="24"/>
                          </w:rPr>
                        </w:pPr>
                        <w:r>
                          <w:rPr>
                            <w:spacing w:val="-2"/>
                            <w:sz w:val="24"/>
                          </w:rPr>
                          <w:t>Rarely</w:t>
                        </w:r>
                      </w:p>
                      <w:p>
                        <w:pPr>
                          <w:numPr>
                            <w:ilvl w:val="1"/>
                            <w:numId w:val="16"/>
                          </w:numPr>
                          <w:tabs>
                            <w:tab w:pos="1079" w:val="left" w:leader="none"/>
                          </w:tabs>
                          <w:spacing w:line="301" w:lineRule="exact" w:before="19"/>
                          <w:ind w:left="1079" w:right="0" w:hanging="360"/>
                          <w:jc w:val="left"/>
                          <w:rPr>
                            <w:sz w:val="24"/>
                          </w:rPr>
                        </w:pPr>
                        <w:r>
                          <w:rPr>
                            <w:spacing w:val="-4"/>
                            <w:sz w:val="24"/>
                          </w:rPr>
                          <w:t>Never</w:t>
                        </w:r>
                      </w:p>
                    </w:txbxContent>
                  </v:textbox>
                  <w10:wrap type="none"/>
                </v:shape>
                <v:shape style="position:absolute;left:1636;top:8639;width:204;height:240" type="#_x0000_t202" id="docshape31" filled="false" stroked="false">
                  <v:textbox inset="0,0,0,0">
                    <w:txbxContent>
                      <w:p>
                        <w:pPr>
                          <w:spacing w:line="240" w:lineRule="exact" w:before="0"/>
                          <w:ind w:left="0" w:right="0" w:firstLine="0"/>
                          <w:jc w:val="left"/>
                          <w:rPr>
                            <w:sz w:val="24"/>
                          </w:rPr>
                        </w:pPr>
                        <w:r>
                          <w:rPr>
                            <w:spacing w:val="-5"/>
                            <w:sz w:val="24"/>
                          </w:rPr>
                          <w:t>6.</w:t>
                        </w:r>
                      </w:p>
                    </w:txbxContent>
                  </v:textbox>
                  <w10:wrap type="none"/>
                </v:shape>
                <v:shape style="position:absolute;left:2356;top:8639;width:8129;height:240" type="#_x0000_t202" id="docshape32" filled="false" stroked="false">
                  <v:textbox inset="0,0,0,0">
                    <w:txbxContent>
                      <w:p>
                        <w:pPr>
                          <w:spacing w:line="240" w:lineRule="exact" w:before="0"/>
                          <w:ind w:left="0" w:right="0" w:firstLine="0"/>
                          <w:jc w:val="left"/>
                          <w:rPr>
                            <w:sz w:val="24"/>
                          </w:rPr>
                        </w:pPr>
                        <w:r>
                          <w:rPr>
                            <w:sz w:val="24"/>
                          </w:rPr>
                          <w:t>How</w:t>
                        </w:r>
                        <w:r>
                          <w:rPr>
                            <w:spacing w:val="-3"/>
                            <w:sz w:val="24"/>
                          </w:rPr>
                          <w:t> </w:t>
                        </w:r>
                        <w:r>
                          <w:rPr>
                            <w:sz w:val="24"/>
                          </w:rPr>
                          <w:t>effective</w:t>
                        </w:r>
                        <w:r>
                          <w:rPr>
                            <w:spacing w:val="-2"/>
                            <w:sz w:val="24"/>
                          </w:rPr>
                          <w:t> </w:t>
                        </w:r>
                        <w:r>
                          <w:rPr>
                            <w:sz w:val="24"/>
                          </w:rPr>
                          <w:t>do</w:t>
                        </w:r>
                        <w:r>
                          <w:rPr>
                            <w:spacing w:val="-2"/>
                            <w:sz w:val="24"/>
                          </w:rPr>
                          <w:t> </w:t>
                        </w:r>
                        <w:r>
                          <w:rPr>
                            <w:sz w:val="24"/>
                          </w:rPr>
                          <w:t>you</w:t>
                        </w:r>
                        <w:r>
                          <w:rPr>
                            <w:spacing w:val="-1"/>
                            <w:sz w:val="24"/>
                          </w:rPr>
                          <w:t> </w:t>
                        </w:r>
                        <w:r>
                          <w:rPr>
                            <w:sz w:val="24"/>
                          </w:rPr>
                          <w:t>feel</w:t>
                        </w:r>
                        <w:r>
                          <w:rPr>
                            <w:spacing w:val="-1"/>
                            <w:sz w:val="24"/>
                          </w:rPr>
                          <w:t> </w:t>
                        </w:r>
                        <w:r>
                          <w:rPr>
                            <w:sz w:val="24"/>
                          </w:rPr>
                          <w:t>you</w:t>
                        </w:r>
                        <w:r>
                          <w:rPr>
                            <w:spacing w:val="-1"/>
                            <w:sz w:val="24"/>
                          </w:rPr>
                          <w:t> </w:t>
                        </w:r>
                        <w:r>
                          <w:rPr>
                            <w:sz w:val="24"/>
                          </w:rPr>
                          <w:t>are</w:t>
                        </w:r>
                        <w:r>
                          <w:rPr>
                            <w:spacing w:val="-2"/>
                            <w:sz w:val="24"/>
                          </w:rPr>
                          <w:t> </w:t>
                        </w:r>
                        <w:r>
                          <w:rPr>
                            <w:sz w:val="24"/>
                          </w:rPr>
                          <w:t>at</w:t>
                        </w:r>
                        <w:r>
                          <w:rPr>
                            <w:spacing w:val="-1"/>
                            <w:sz w:val="24"/>
                          </w:rPr>
                          <w:t> </w:t>
                        </w:r>
                        <w:r>
                          <w:rPr>
                            <w:sz w:val="24"/>
                          </w:rPr>
                          <w:t>communicating</w:t>
                        </w:r>
                        <w:r>
                          <w:rPr>
                            <w:spacing w:val="-3"/>
                            <w:sz w:val="24"/>
                          </w:rPr>
                          <w:t> </w:t>
                        </w:r>
                        <w:r>
                          <w:rPr>
                            <w:sz w:val="24"/>
                          </w:rPr>
                          <w:t>with</w:t>
                        </w:r>
                        <w:r>
                          <w:rPr>
                            <w:spacing w:val="-3"/>
                            <w:sz w:val="24"/>
                          </w:rPr>
                          <w:t> </w:t>
                        </w:r>
                        <w:r>
                          <w:rPr>
                            <w:sz w:val="24"/>
                          </w:rPr>
                          <w:t>Limited</w:t>
                        </w:r>
                        <w:r>
                          <w:rPr>
                            <w:spacing w:val="-4"/>
                            <w:sz w:val="24"/>
                          </w:rPr>
                          <w:t> </w:t>
                        </w:r>
                        <w:r>
                          <w:rPr>
                            <w:sz w:val="24"/>
                          </w:rPr>
                          <w:t>English</w:t>
                        </w:r>
                        <w:r>
                          <w:rPr>
                            <w:spacing w:val="-3"/>
                            <w:sz w:val="24"/>
                          </w:rPr>
                          <w:t> </w:t>
                        </w:r>
                        <w:r>
                          <w:rPr>
                            <w:spacing w:val="-2"/>
                            <w:sz w:val="24"/>
                          </w:rPr>
                          <w:t>Proficient</w:t>
                        </w:r>
                      </w:p>
                    </w:txbxContent>
                  </v:textbox>
                  <w10:wrap type="none"/>
                </v:shape>
                <w10:wrap type="topAndBottom"/>
              </v:group>
            </w:pict>
          </mc:Fallback>
        </mc:AlternateContent>
      </w:r>
    </w:p>
    <w:p>
      <w:pPr>
        <w:spacing w:after="0"/>
        <w:rPr>
          <w:sz w:val="22"/>
        </w:rPr>
        <w:sectPr>
          <w:pgSz w:w="12240" w:h="15840"/>
          <w:pgMar w:header="0" w:footer="997" w:top="960" w:bottom="1260" w:left="600" w:right="500"/>
        </w:sectPr>
      </w:pPr>
    </w:p>
    <w:p>
      <w:pPr>
        <w:pStyle w:val="BodyText"/>
        <w:ind w:left="926"/>
        <w:rPr>
          <w:sz w:val="20"/>
        </w:rPr>
      </w:pPr>
      <w:r>
        <w:rPr>
          <w:sz w:val="20"/>
        </w:rPr>
        <mc:AlternateContent>
          <mc:Choice Requires="wps">
            <w:drawing>
              <wp:inline distT="0" distB="0" distL="0" distR="0">
                <wp:extent cx="5943600" cy="1080770"/>
                <wp:effectExtent l="9525" t="0" r="0" b="5080"/>
                <wp:docPr id="37" name="Textbox 37"/>
                <wp:cNvGraphicFramePr>
                  <a:graphicFrameLocks/>
                </wp:cNvGraphicFramePr>
                <a:graphic>
                  <a:graphicData uri="http://schemas.microsoft.com/office/word/2010/wordprocessingShape">
                    <wps:wsp>
                      <wps:cNvPr id="37" name="Textbox 37"/>
                      <wps:cNvSpPr txBox="1"/>
                      <wps:spPr>
                        <a:xfrm>
                          <a:off x="0" y="0"/>
                          <a:ext cx="5943600" cy="1080770"/>
                        </a:xfrm>
                        <a:prstGeom prst="rect">
                          <a:avLst/>
                        </a:prstGeom>
                        <a:ln w="6096">
                          <a:solidFill>
                            <a:srgbClr val="000000"/>
                          </a:solidFill>
                          <a:prstDash val="solid"/>
                        </a:ln>
                      </wps:spPr>
                      <wps:txbx>
                        <w:txbxContent>
                          <w:p>
                            <w:pPr>
                              <w:pStyle w:val="BodyText"/>
                              <w:spacing w:line="292" w:lineRule="exact"/>
                              <w:ind w:left="753"/>
                            </w:pPr>
                            <w:r>
                              <w:rPr>
                                <w:spacing w:val="-2"/>
                              </w:rPr>
                              <w:t>passengers?</w:t>
                            </w:r>
                          </w:p>
                          <w:p>
                            <w:pPr>
                              <w:pStyle w:val="BodyText"/>
                              <w:numPr>
                                <w:ilvl w:val="0"/>
                                <w:numId w:val="17"/>
                              </w:numPr>
                              <w:tabs>
                                <w:tab w:pos="1180" w:val="left" w:leader="none"/>
                              </w:tabs>
                              <w:spacing w:line="240" w:lineRule="auto" w:before="20" w:after="0"/>
                              <w:ind w:left="1180" w:right="0" w:hanging="360"/>
                              <w:jc w:val="left"/>
                            </w:pPr>
                            <w:r>
                              <w:rPr/>
                              <w:t>Very </w:t>
                            </w:r>
                            <w:r>
                              <w:rPr>
                                <w:spacing w:val="-2"/>
                              </w:rPr>
                              <w:t>Effective</w:t>
                            </w:r>
                          </w:p>
                          <w:p>
                            <w:pPr>
                              <w:pStyle w:val="BodyText"/>
                              <w:numPr>
                                <w:ilvl w:val="0"/>
                                <w:numId w:val="17"/>
                              </w:numPr>
                              <w:tabs>
                                <w:tab w:pos="1180" w:val="left" w:leader="none"/>
                              </w:tabs>
                              <w:spacing w:line="240" w:lineRule="auto" w:before="21" w:after="0"/>
                              <w:ind w:left="1180" w:right="0" w:hanging="360"/>
                              <w:jc w:val="left"/>
                            </w:pPr>
                            <w:r>
                              <w:rPr/>
                              <w:t>Moderately</w:t>
                            </w:r>
                            <w:r>
                              <w:rPr>
                                <w:spacing w:val="-2"/>
                              </w:rPr>
                              <w:t> Effective</w:t>
                            </w:r>
                          </w:p>
                          <w:p>
                            <w:pPr>
                              <w:pStyle w:val="BodyText"/>
                              <w:numPr>
                                <w:ilvl w:val="0"/>
                                <w:numId w:val="17"/>
                              </w:numPr>
                              <w:tabs>
                                <w:tab w:pos="1180" w:val="left" w:leader="none"/>
                              </w:tabs>
                              <w:spacing w:line="240" w:lineRule="auto" w:before="18" w:after="0"/>
                              <w:ind w:left="1180" w:right="0" w:hanging="360"/>
                              <w:jc w:val="left"/>
                            </w:pPr>
                            <w:r>
                              <w:rPr/>
                              <w:t>Less</w:t>
                            </w:r>
                            <w:r>
                              <w:rPr>
                                <w:spacing w:val="-4"/>
                              </w:rPr>
                              <w:t> </w:t>
                            </w:r>
                            <w:r>
                              <w:rPr>
                                <w:spacing w:val="-2"/>
                              </w:rPr>
                              <w:t>Effective</w:t>
                            </w:r>
                          </w:p>
                          <w:p>
                            <w:pPr>
                              <w:pStyle w:val="BodyText"/>
                              <w:numPr>
                                <w:ilvl w:val="0"/>
                                <w:numId w:val="17"/>
                              </w:numPr>
                              <w:tabs>
                                <w:tab w:pos="1180" w:val="left" w:leader="none"/>
                              </w:tabs>
                              <w:spacing w:line="240" w:lineRule="auto" w:before="21" w:after="0"/>
                              <w:ind w:left="1180" w:right="0" w:hanging="360"/>
                              <w:jc w:val="left"/>
                            </w:pPr>
                            <w:r>
                              <w:rPr/>
                              <w:t>Unable to </w:t>
                            </w:r>
                            <w:r>
                              <w:rPr>
                                <w:spacing w:val="-2"/>
                              </w:rPr>
                              <w:t>Communicate</w:t>
                            </w:r>
                          </w:p>
                        </w:txbxContent>
                      </wps:txbx>
                      <wps:bodyPr wrap="square" lIns="0" tIns="0" rIns="0" bIns="0" rtlCol="0">
                        <a:noAutofit/>
                      </wps:bodyPr>
                    </wps:wsp>
                  </a:graphicData>
                </a:graphic>
              </wp:inline>
            </w:drawing>
          </mc:Choice>
          <mc:Fallback>
            <w:pict>
              <v:shape style="width:468pt;height:85.1pt;mso-position-horizontal-relative:char;mso-position-vertical-relative:line" type="#_x0000_t202" id="docshape33" filled="false" stroked="true" strokeweight=".48pt" strokecolor="#000000">
                <w10:anchorlock/>
                <v:textbox inset="0,0,0,0">
                  <w:txbxContent>
                    <w:p>
                      <w:pPr>
                        <w:pStyle w:val="BodyText"/>
                        <w:spacing w:line="292" w:lineRule="exact"/>
                        <w:ind w:left="753"/>
                      </w:pPr>
                      <w:r>
                        <w:rPr>
                          <w:spacing w:val="-2"/>
                        </w:rPr>
                        <w:t>passengers?</w:t>
                      </w:r>
                    </w:p>
                    <w:p>
                      <w:pPr>
                        <w:pStyle w:val="BodyText"/>
                        <w:numPr>
                          <w:ilvl w:val="0"/>
                          <w:numId w:val="17"/>
                        </w:numPr>
                        <w:tabs>
                          <w:tab w:pos="1180" w:val="left" w:leader="none"/>
                        </w:tabs>
                        <w:spacing w:line="240" w:lineRule="auto" w:before="20" w:after="0"/>
                        <w:ind w:left="1180" w:right="0" w:hanging="360"/>
                        <w:jc w:val="left"/>
                      </w:pPr>
                      <w:r>
                        <w:rPr/>
                        <w:t>Very </w:t>
                      </w:r>
                      <w:r>
                        <w:rPr>
                          <w:spacing w:val="-2"/>
                        </w:rPr>
                        <w:t>Effective</w:t>
                      </w:r>
                    </w:p>
                    <w:p>
                      <w:pPr>
                        <w:pStyle w:val="BodyText"/>
                        <w:numPr>
                          <w:ilvl w:val="0"/>
                          <w:numId w:val="17"/>
                        </w:numPr>
                        <w:tabs>
                          <w:tab w:pos="1180" w:val="left" w:leader="none"/>
                        </w:tabs>
                        <w:spacing w:line="240" w:lineRule="auto" w:before="21" w:after="0"/>
                        <w:ind w:left="1180" w:right="0" w:hanging="360"/>
                        <w:jc w:val="left"/>
                      </w:pPr>
                      <w:r>
                        <w:rPr/>
                        <w:t>Moderately</w:t>
                      </w:r>
                      <w:r>
                        <w:rPr>
                          <w:spacing w:val="-2"/>
                        </w:rPr>
                        <w:t> Effective</w:t>
                      </w:r>
                    </w:p>
                    <w:p>
                      <w:pPr>
                        <w:pStyle w:val="BodyText"/>
                        <w:numPr>
                          <w:ilvl w:val="0"/>
                          <w:numId w:val="17"/>
                        </w:numPr>
                        <w:tabs>
                          <w:tab w:pos="1180" w:val="left" w:leader="none"/>
                        </w:tabs>
                        <w:spacing w:line="240" w:lineRule="auto" w:before="18" w:after="0"/>
                        <w:ind w:left="1180" w:right="0" w:hanging="360"/>
                        <w:jc w:val="left"/>
                      </w:pPr>
                      <w:r>
                        <w:rPr/>
                        <w:t>Less</w:t>
                      </w:r>
                      <w:r>
                        <w:rPr>
                          <w:spacing w:val="-4"/>
                        </w:rPr>
                        <w:t> </w:t>
                      </w:r>
                      <w:r>
                        <w:rPr>
                          <w:spacing w:val="-2"/>
                        </w:rPr>
                        <w:t>Effective</w:t>
                      </w:r>
                    </w:p>
                    <w:p>
                      <w:pPr>
                        <w:pStyle w:val="BodyText"/>
                        <w:numPr>
                          <w:ilvl w:val="0"/>
                          <w:numId w:val="17"/>
                        </w:numPr>
                        <w:tabs>
                          <w:tab w:pos="1180" w:val="left" w:leader="none"/>
                        </w:tabs>
                        <w:spacing w:line="240" w:lineRule="auto" w:before="21" w:after="0"/>
                        <w:ind w:left="1180" w:right="0" w:hanging="360"/>
                        <w:jc w:val="left"/>
                      </w:pPr>
                      <w:r>
                        <w:rPr/>
                        <w:t>Unable to </w:t>
                      </w:r>
                      <w:r>
                        <w:rPr>
                          <w:spacing w:val="-2"/>
                        </w:rPr>
                        <w:t>Communicate</w:t>
                      </w:r>
                    </w:p>
                  </w:txbxContent>
                </v:textbox>
                <v:stroke dashstyle="solid"/>
              </v:shape>
            </w:pict>
          </mc:Fallback>
        </mc:AlternateContent>
      </w:r>
      <w:r>
        <w:rPr>
          <w:sz w:val="20"/>
        </w:rPr>
      </w:r>
    </w:p>
    <w:p>
      <w:pPr>
        <w:pStyle w:val="BodyText"/>
        <w:rPr>
          <w:sz w:val="20"/>
        </w:rPr>
      </w:pPr>
    </w:p>
    <w:p>
      <w:pPr>
        <w:pStyle w:val="BodyText"/>
        <w:spacing w:before="5"/>
        <w:rPr>
          <w:sz w:val="22"/>
        </w:rPr>
      </w:pPr>
      <w:r>
        <w:rPr/>
        <mc:AlternateContent>
          <mc:Choice Requires="wps">
            <w:drawing>
              <wp:anchor distT="0" distB="0" distL="0" distR="0" allowOverlap="1" layoutInCell="1" locked="0" behindDoc="1" simplePos="0" relativeHeight="487593984">
                <wp:simplePos x="0" y="0"/>
                <wp:positionH relativeFrom="page">
                  <wp:posOffset>958596</wp:posOffset>
                </wp:positionH>
                <wp:positionV relativeFrom="paragraph">
                  <wp:posOffset>192436</wp:posOffset>
                </wp:positionV>
                <wp:extent cx="5910580" cy="1400810"/>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5910580" cy="1400810"/>
                        </a:xfrm>
                        <a:prstGeom prst="rect">
                          <a:avLst/>
                        </a:prstGeom>
                        <a:ln w="6096">
                          <a:solidFill>
                            <a:srgbClr val="000000"/>
                          </a:solidFill>
                          <a:prstDash val="solid"/>
                        </a:ln>
                      </wps:spPr>
                      <wps:txbx>
                        <w:txbxContent>
                          <w:p>
                            <w:pPr>
                              <w:spacing w:line="292" w:lineRule="exact" w:before="0"/>
                              <w:ind w:left="2734" w:right="2734" w:firstLine="0"/>
                              <w:jc w:val="center"/>
                              <w:rPr>
                                <w:b/>
                                <w:sz w:val="24"/>
                              </w:rPr>
                            </w:pPr>
                            <w:r>
                              <w:rPr>
                                <w:b/>
                                <w:sz w:val="24"/>
                                <w:u w:val="single"/>
                              </w:rPr>
                              <w:t>Community</w:t>
                            </w:r>
                            <w:r>
                              <w:rPr>
                                <w:b/>
                                <w:spacing w:val="-4"/>
                                <w:sz w:val="24"/>
                                <w:u w:val="single"/>
                              </w:rPr>
                              <w:t> </w:t>
                            </w:r>
                            <w:r>
                              <w:rPr>
                                <w:b/>
                                <w:sz w:val="24"/>
                                <w:u w:val="single"/>
                              </w:rPr>
                              <w:t>Partner</w:t>
                            </w:r>
                            <w:r>
                              <w:rPr>
                                <w:b/>
                                <w:spacing w:val="-3"/>
                                <w:sz w:val="24"/>
                                <w:u w:val="single"/>
                              </w:rPr>
                              <w:t> </w:t>
                            </w:r>
                            <w:r>
                              <w:rPr>
                                <w:b/>
                                <w:sz w:val="24"/>
                                <w:u w:val="single"/>
                              </w:rPr>
                              <w:t>Survey</w:t>
                            </w:r>
                            <w:r>
                              <w:rPr>
                                <w:b/>
                                <w:spacing w:val="-3"/>
                                <w:sz w:val="24"/>
                                <w:u w:val="single"/>
                              </w:rPr>
                              <w:t> </w:t>
                            </w:r>
                            <w:r>
                              <w:rPr>
                                <w:b/>
                                <w:spacing w:val="-2"/>
                                <w:sz w:val="24"/>
                                <w:u w:val="single"/>
                              </w:rPr>
                              <w:t>Questions:</w:t>
                            </w:r>
                          </w:p>
                          <w:p>
                            <w:pPr>
                              <w:pStyle w:val="BodyText"/>
                              <w:rPr>
                                <w:b/>
                                <w:sz w:val="22"/>
                              </w:rPr>
                            </w:pPr>
                          </w:p>
                          <w:p>
                            <w:pPr>
                              <w:pStyle w:val="BodyText"/>
                              <w:numPr>
                                <w:ilvl w:val="0"/>
                                <w:numId w:val="18"/>
                              </w:numPr>
                              <w:tabs>
                                <w:tab w:pos="752" w:val="left" w:leader="none"/>
                              </w:tabs>
                              <w:spacing w:line="240" w:lineRule="auto" w:before="0" w:after="0"/>
                              <w:ind w:left="752" w:right="0" w:hanging="359"/>
                              <w:jc w:val="left"/>
                            </w:pPr>
                            <w:r>
                              <w:rPr/>
                              <w:t>Do</w:t>
                            </w:r>
                            <w:r>
                              <w:rPr>
                                <w:spacing w:val="-2"/>
                              </w:rPr>
                              <w:t> </w:t>
                            </w:r>
                            <w:r>
                              <w:rPr/>
                              <w:t>you</w:t>
                            </w:r>
                            <w:r>
                              <w:rPr>
                                <w:spacing w:val="-1"/>
                              </w:rPr>
                              <w:t> </w:t>
                            </w:r>
                            <w:r>
                              <w:rPr/>
                              <w:t>encounter</w:t>
                            </w:r>
                            <w:r>
                              <w:rPr>
                                <w:spacing w:val="-4"/>
                              </w:rPr>
                              <w:t> </w:t>
                            </w:r>
                            <w:r>
                              <w:rPr/>
                              <w:t>non-English</w:t>
                            </w:r>
                            <w:r>
                              <w:rPr>
                                <w:spacing w:val="-1"/>
                              </w:rPr>
                              <w:t> </w:t>
                            </w:r>
                            <w:r>
                              <w:rPr/>
                              <w:t>speaking/</w:t>
                            </w:r>
                            <w:r>
                              <w:rPr>
                                <w:spacing w:val="-3"/>
                              </w:rPr>
                              <w:t> </w:t>
                            </w:r>
                            <w:r>
                              <w:rPr/>
                              <w:t>reading</w:t>
                            </w:r>
                            <w:r>
                              <w:rPr>
                                <w:spacing w:val="-4"/>
                              </w:rPr>
                              <w:t> </w:t>
                            </w:r>
                            <w:r>
                              <w:rPr>
                                <w:spacing w:val="-2"/>
                              </w:rPr>
                              <w:t>people?</w:t>
                            </w:r>
                          </w:p>
                          <w:p>
                            <w:pPr>
                              <w:pStyle w:val="BodyText"/>
                              <w:numPr>
                                <w:ilvl w:val="0"/>
                                <w:numId w:val="18"/>
                              </w:numPr>
                              <w:tabs>
                                <w:tab w:pos="752" w:val="left" w:leader="none"/>
                              </w:tabs>
                              <w:spacing w:line="240" w:lineRule="auto" w:before="19" w:after="0"/>
                              <w:ind w:left="752" w:right="0" w:hanging="359"/>
                              <w:jc w:val="left"/>
                            </w:pPr>
                            <w:r>
                              <w:rPr/>
                              <w:t>Top</w:t>
                            </w:r>
                            <w:r>
                              <w:rPr>
                                <w:spacing w:val="-5"/>
                              </w:rPr>
                              <w:t> </w:t>
                            </w:r>
                            <w:r>
                              <w:rPr/>
                              <w:t>three</w:t>
                            </w:r>
                            <w:r>
                              <w:rPr>
                                <w:spacing w:val="-1"/>
                              </w:rPr>
                              <w:t> </w:t>
                            </w:r>
                            <w:r>
                              <w:rPr/>
                              <w:t>languages</w:t>
                            </w:r>
                            <w:r>
                              <w:rPr>
                                <w:spacing w:val="-1"/>
                              </w:rPr>
                              <w:t> </w:t>
                            </w:r>
                            <w:r>
                              <w:rPr/>
                              <w:t>that</w:t>
                            </w:r>
                            <w:r>
                              <w:rPr>
                                <w:spacing w:val="-3"/>
                              </w:rPr>
                              <w:t> </w:t>
                            </w:r>
                            <w:r>
                              <w:rPr/>
                              <w:t>you</w:t>
                            </w:r>
                            <w:r>
                              <w:rPr>
                                <w:spacing w:val="1"/>
                              </w:rPr>
                              <w:t> </w:t>
                            </w:r>
                            <w:r>
                              <w:rPr>
                                <w:spacing w:val="-2"/>
                              </w:rPr>
                              <w:t>encounter?</w:t>
                            </w:r>
                          </w:p>
                          <w:p>
                            <w:pPr>
                              <w:pStyle w:val="BodyText"/>
                              <w:numPr>
                                <w:ilvl w:val="0"/>
                                <w:numId w:val="18"/>
                              </w:numPr>
                              <w:tabs>
                                <w:tab w:pos="752" w:val="left" w:leader="none"/>
                              </w:tabs>
                              <w:spacing w:line="240" w:lineRule="auto" w:before="21" w:after="0"/>
                              <w:ind w:left="752" w:right="0" w:hanging="359"/>
                              <w:jc w:val="left"/>
                            </w:pPr>
                            <w:r>
                              <w:rPr/>
                              <w:t>How</w:t>
                            </w:r>
                            <w:r>
                              <w:rPr>
                                <w:spacing w:val="-1"/>
                              </w:rPr>
                              <w:t> </w:t>
                            </w:r>
                            <w:r>
                              <w:rPr/>
                              <w:t>do</w:t>
                            </w:r>
                            <w:r>
                              <w:rPr>
                                <w:spacing w:val="-1"/>
                              </w:rPr>
                              <w:t> </w:t>
                            </w:r>
                            <w:r>
                              <w:rPr/>
                              <w:t>you</w:t>
                            </w:r>
                            <w:r>
                              <w:rPr>
                                <w:spacing w:val="-3"/>
                              </w:rPr>
                              <w:t> </w:t>
                            </w:r>
                            <w:r>
                              <w:rPr/>
                              <w:t>address</w:t>
                            </w:r>
                            <w:r>
                              <w:rPr>
                                <w:spacing w:val="-2"/>
                              </w:rPr>
                              <w:t> </w:t>
                            </w:r>
                            <w:r>
                              <w:rPr/>
                              <w:t>language</w:t>
                            </w:r>
                            <w:r>
                              <w:rPr>
                                <w:spacing w:val="-3"/>
                              </w:rPr>
                              <w:t> </w:t>
                            </w:r>
                            <w:r>
                              <w:rPr>
                                <w:spacing w:val="-2"/>
                              </w:rPr>
                              <w:t>barriers?</w:t>
                            </w:r>
                          </w:p>
                          <w:p>
                            <w:pPr>
                              <w:pStyle w:val="BodyText"/>
                              <w:numPr>
                                <w:ilvl w:val="0"/>
                                <w:numId w:val="18"/>
                              </w:numPr>
                              <w:tabs>
                                <w:tab w:pos="752" w:val="left" w:leader="none"/>
                              </w:tabs>
                              <w:spacing w:line="240" w:lineRule="auto" w:before="19" w:after="0"/>
                              <w:ind w:left="752" w:right="0" w:hanging="359"/>
                              <w:jc w:val="left"/>
                            </w:pPr>
                            <w:r>
                              <w:rPr/>
                              <w:t>Do you</w:t>
                            </w:r>
                            <w:r>
                              <w:rPr>
                                <w:spacing w:val="1"/>
                              </w:rPr>
                              <w:t> </w:t>
                            </w:r>
                            <w:r>
                              <w:rPr/>
                              <w:t>find</w:t>
                            </w:r>
                            <w:r>
                              <w:rPr>
                                <w:spacing w:val="-2"/>
                              </w:rPr>
                              <w:t> </w:t>
                            </w:r>
                            <w:r>
                              <w:rPr/>
                              <w:t>language</w:t>
                            </w:r>
                            <w:r>
                              <w:rPr>
                                <w:spacing w:val="-2"/>
                              </w:rPr>
                              <w:t> </w:t>
                            </w:r>
                            <w:r>
                              <w:rPr/>
                              <w:t>to</w:t>
                            </w:r>
                            <w:r>
                              <w:rPr>
                                <w:spacing w:val="-5"/>
                              </w:rPr>
                              <w:t> </w:t>
                            </w:r>
                            <w:r>
                              <w:rPr/>
                              <w:t>be a</w:t>
                            </w:r>
                            <w:r>
                              <w:rPr>
                                <w:spacing w:val="-3"/>
                              </w:rPr>
                              <w:t> </w:t>
                            </w:r>
                            <w:r>
                              <w:rPr/>
                              <w:t>barrier</w:t>
                            </w:r>
                            <w:r>
                              <w:rPr>
                                <w:spacing w:val="-3"/>
                              </w:rPr>
                              <w:t> </w:t>
                            </w:r>
                            <w:r>
                              <w:rPr/>
                              <w:t>preventing</w:t>
                            </w:r>
                            <w:r>
                              <w:rPr>
                                <w:spacing w:val="-1"/>
                              </w:rPr>
                              <w:t> </w:t>
                            </w:r>
                            <w:r>
                              <w:rPr/>
                              <w:t>you</w:t>
                            </w:r>
                            <w:r>
                              <w:rPr>
                                <w:spacing w:val="-2"/>
                              </w:rPr>
                              <w:t> </w:t>
                            </w:r>
                            <w:r>
                              <w:rPr/>
                              <w:t>from</w:t>
                            </w:r>
                            <w:r>
                              <w:rPr>
                                <w:spacing w:val="-3"/>
                              </w:rPr>
                              <w:t> </w:t>
                            </w:r>
                            <w:r>
                              <w:rPr/>
                              <w:t>providing </w:t>
                            </w:r>
                            <w:r>
                              <w:rPr>
                                <w:spacing w:val="-2"/>
                              </w:rPr>
                              <w:t>service?</w:t>
                            </w:r>
                          </w:p>
                        </w:txbxContent>
                      </wps:txbx>
                      <wps:bodyPr wrap="square" lIns="0" tIns="0" rIns="0" bIns="0" rtlCol="0">
                        <a:noAutofit/>
                      </wps:bodyPr>
                    </wps:wsp>
                  </a:graphicData>
                </a:graphic>
              </wp:anchor>
            </w:drawing>
          </mc:Choice>
          <mc:Fallback>
            <w:pict>
              <v:shape style="position:absolute;margin-left:75.480003pt;margin-top:15.152469pt;width:465.4pt;height:110.3pt;mso-position-horizontal-relative:page;mso-position-vertical-relative:paragraph;z-index:-15722496;mso-wrap-distance-left:0;mso-wrap-distance-right:0" type="#_x0000_t202" id="docshape34" filled="false" stroked="true" strokeweight=".48pt" strokecolor="#000000">
                <v:textbox inset="0,0,0,0">
                  <w:txbxContent>
                    <w:p>
                      <w:pPr>
                        <w:spacing w:line="292" w:lineRule="exact" w:before="0"/>
                        <w:ind w:left="2734" w:right="2734" w:firstLine="0"/>
                        <w:jc w:val="center"/>
                        <w:rPr>
                          <w:b/>
                          <w:sz w:val="24"/>
                        </w:rPr>
                      </w:pPr>
                      <w:r>
                        <w:rPr>
                          <w:b/>
                          <w:sz w:val="24"/>
                          <w:u w:val="single"/>
                        </w:rPr>
                        <w:t>Community</w:t>
                      </w:r>
                      <w:r>
                        <w:rPr>
                          <w:b/>
                          <w:spacing w:val="-4"/>
                          <w:sz w:val="24"/>
                          <w:u w:val="single"/>
                        </w:rPr>
                        <w:t> </w:t>
                      </w:r>
                      <w:r>
                        <w:rPr>
                          <w:b/>
                          <w:sz w:val="24"/>
                          <w:u w:val="single"/>
                        </w:rPr>
                        <w:t>Partner</w:t>
                      </w:r>
                      <w:r>
                        <w:rPr>
                          <w:b/>
                          <w:spacing w:val="-3"/>
                          <w:sz w:val="24"/>
                          <w:u w:val="single"/>
                        </w:rPr>
                        <w:t> </w:t>
                      </w:r>
                      <w:r>
                        <w:rPr>
                          <w:b/>
                          <w:sz w:val="24"/>
                          <w:u w:val="single"/>
                        </w:rPr>
                        <w:t>Survey</w:t>
                      </w:r>
                      <w:r>
                        <w:rPr>
                          <w:b/>
                          <w:spacing w:val="-3"/>
                          <w:sz w:val="24"/>
                          <w:u w:val="single"/>
                        </w:rPr>
                        <w:t> </w:t>
                      </w:r>
                      <w:r>
                        <w:rPr>
                          <w:b/>
                          <w:spacing w:val="-2"/>
                          <w:sz w:val="24"/>
                          <w:u w:val="single"/>
                        </w:rPr>
                        <w:t>Questions:</w:t>
                      </w:r>
                    </w:p>
                    <w:p>
                      <w:pPr>
                        <w:pStyle w:val="BodyText"/>
                        <w:rPr>
                          <w:b/>
                          <w:sz w:val="22"/>
                        </w:rPr>
                      </w:pPr>
                    </w:p>
                    <w:p>
                      <w:pPr>
                        <w:pStyle w:val="BodyText"/>
                        <w:numPr>
                          <w:ilvl w:val="0"/>
                          <w:numId w:val="18"/>
                        </w:numPr>
                        <w:tabs>
                          <w:tab w:pos="752" w:val="left" w:leader="none"/>
                        </w:tabs>
                        <w:spacing w:line="240" w:lineRule="auto" w:before="0" w:after="0"/>
                        <w:ind w:left="752" w:right="0" w:hanging="359"/>
                        <w:jc w:val="left"/>
                      </w:pPr>
                      <w:r>
                        <w:rPr/>
                        <w:t>Do</w:t>
                      </w:r>
                      <w:r>
                        <w:rPr>
                          <w:spacing w:val="-2"/>
                        </w:rPr>
                        <w:t> </w:t>
                      </w:r>
                      <w:r>
                        <w:rPr/>
                        <w:t>you</w:t>
                      </w:r>
                      <w:r>
                        <w:rPr>
                          <w:spacing w:val="-1"/>
                        </w:rPr>
                        <w:t> </w:t>
                      </w:r>
                      <w:r>
                        <w:rPr/>
                        <w:t>encounter</w:t>
                      </w:r>
                      <w:r>
                        <w:rPr>
                          <w:spacing w:val="-4"/>
                        </w:rPr>
                        <w:t> </w:t>
                      </w:r>
                      <w:r>
                        <w:rPr/>
                        <w:t>non-English</w:t>
                      </w:r>
                      <w:r>
                        <w:rPr>
                          <w:spacing w:val="-1"/>
                        </w:rPr>
                        <w:t> </w:t>
                      </w:r>
                      <w:r>
                        <w:rPr/>
                        <w:t>speaking/</w:t>
                      </w:r>
                      <w:r>
                        <w:rPr>
                          <w:spacing w:val="-3"/>
                        </w:rPr>
                        <w:t> </w:t>
                      </w:r>
                      <w:r>
                        <w:rPr/>
                        <w:t>reading</w:t>
                      </w:r>
                      <w:r>
                        <w:rPr>
                          <w:spacing w:val="-4"/>
                        </w:rPr>
                        <w:t> </w:t>
                      </w:r>
                      <w:r>
                        <w:rPr>
                          <w:spacing w:val="-2"/>
                        </w:rPr>
                        <w:t>people?</w:t>
                      </w:r>
                    </w:p>
                    <w:p>
                      <w:pPr>
                        <w:pStyle w:val="BodyText"/>
                        <w:numPr>
                          <w:ilvl w:val="0"/>
                          <w:numId w:val="18"/>
                        </w:numPr>
                        <w:tabs>
                          <w:tab w:pos="752" w:val="left" w:leader="none"/>
                        </w:tabs>
                        <w:spacing w:line="240" w:lineRule="auto" w:before="19" w:after="0"/>
                        <w:ind w:left="752" w:right="0" w:hanging="359"/>
                        <w:jc w:val="left"/>
                      </w:pPr>
                      <w:r>
                        <w:rPr/>
                        <w:t>Top</w:t>
                      </w:r>
                      <w:r>
                        <w:rPr>
                          <w:spacing w:val="-5"/>
                        </w:rPr>
                        <w:t> </w:t>
                      </w:r>
                      <w:r>
                        <w:rPr/>
                        <w:t>three</w:t>
                      </w:r>
                      <w:r>
                        <w:rPr>
                          <w:spacing w:val="-1"/>
                        </w:rPr>
                        <w:t> </w:t>
                      </w:r>
                      <w:r>
                        <w:rPr/>
                        <w:t>languages</w:t>
                      </w:r>
                      <w:r>
                        <w:rPr>
                          <w:spacing w:val="-1"/>
                        </w:rPr>
                        <w:t> </w:t>
                      </w:r>
                      <w:r>
                        <w:rPr/>
                        <w:t>that</w:t>
                      </w:r>
                      <w:r>
                        <w:rPr>
                          <w:spacing w:val="-3"/>
                        </w:rPr>
                        <w:t> </w:t>
                      </w:r>
                      <w:r>
                        <w:rPr/>
                        <w:t>you</w:t>
                      </w:r>
                      <w:r>
                        <w:rPr>
                          <w:spacing w:val="1"/>
                        </w:rPr>
                        <w:t> </w:t>
                      </w:r>
                      <w:r>
                        <w:rPr>
                          <w:spacing w:val="-2"/>
                        </w:rPr>
                        <w:t>encounter?</w:t>
                      </w:r>
                    </w:p>
                    <w:p>
                      <w:pPr>
                        <w:pStyle w:val="BodyText"/>
                        <w:numPr>
                          <w:ilvl w:val="0"/>
                          <w:numId w:val="18"/>
                        </w:numPr>
                        <w:tabs>
                          <w:tab w:pos="752" w:val="left" w:leader="none"/>
                        </w:tabs>
                        <w:spacing w:line="240" w:lineRule="auto" w:before="21" w:after="0"/>
                        <w:ind w:left="752" w:right="0" w:hanging="359"/>
                        <w:jc w:val="left"/>
                      </w:pPr>
                      <w:r>
                        <w:rPr/>
                        <w:t>How</w:t>
                      </w:r>
                      <w:r>
                        <w:rPr>
                          <w:spacing w:val="-1"/>
                        </w:rPr>
                        <w:t> </w:t>
                      </w:r>
                      <w:r>
                        <w:rPr/>
                        <w:t>do</w:t>
                      </w:r>
                      <w:r>
                        <w:rPr>
                          <w:spacing w:val="-1"/>
                        </w:rPr>
                        <w:t> </w:t>
                      </w:r>
                      <w:r>
                        <w:rPr/>
                        <w:t>you</w:t>
                      </w:r>
                      <w:r>
                        <w:rPr>
                          <w:spacing w:val="-3"/>
                        </w:rPr>
                        <w:t> </w:t>
                      </w:r>
                      <w:r>
                        <w:rPr/>
                        <w:t>address</w:t>
                      </w:r>
                      <w:r>
                        <w:rPr>
                          <w:spacing w:val="-2"/>
                        </w:rPr>
                        <w:t> </w:t>
                      </w:r>
                      <w:r>
                        <w:rPr/>
                        <w:t>language</w:t>
                      </w:r>
                      <w:r>
                        <w:rPr>
                          <w:spacing w:val="-3"/>
                        </w:rPr>
                        <w:t> </w:t>
                      </w:r>
                      <w:r>
                        <w:rPr>
                          <w:spacing w:val="-2"/>
                        </w:rPr>
                        <w:t>barriers?</w:t>
                      </w:r>
                    </w:p>
                    <w:p>
                      <w:pPr>
                        <w:pStyle w:val="BodyText"/>
                        <w:numPr>
                          <w:ilvl w:val="0"/>
                          <w:numId w:val="18"/>
                        </w:numPr>
                        <w:tabs>
                          <w:tab w:pos="752" w:val="left" w:leader="none"/>
                        </w:tabs>
                        <w:spacing w:line="240" w:lineRule="auto" w:before="19" w:after="0"/>
                        <w:ind w:left="752" w:right="0" w:hanging="359"/>
                        <w:jc w:val="left"/>
                      </w:pPr>
                      <w:r>
                        <w:rPr/>
                        <w:t>Do you</w:t>
                      </w:r>
                      <w:r>
                        <w:rPr>
                          <w:spacing w:val="1"/>
                        </w:rPr>
                        <w:t> </w:t>
                      </w:r>
                      <w:r>
                        <w:rPr/>
                        <w:t>find</w:t>
                      </w:r>
                      <w:r>
                        <w:rPr>
                          <w:spacing w:val="-2"/>
                        </w:rPr>
                        <w:t> </w:t>
                      </w:r>
                      <w:r>
                        <w:rPr/>
                        <w:t>language</w:t>
                      </w:r>
                      <w:r>
                        <w:rPr>
                          <w:spacing w:val="-2"/>
                        </w:rPr>
                        <w:t> </w:t>
                      </w:r>
                      <w:r>
                        <w:rPr/>
                        <w:t>to</w:t>
                      </w:r>
                      <w:r>
                        <w:rPr>
                          <w:spacing w:val="-5"/>
                        </w:rPr>
                        <w:t> </w:t>
                      </w:r>
                      <w:r>
                        <w:rPr/>
                        <w:t>be a</w:t>
                      </w:r>
                      <w:r>
                        <w:rPr>
                          <w:spacing w:val="-3"/>
                        </w:rPr>
                        <w:t> </w:t>
                      </w:r>
                      <w:r>
                        <w:rPr/>
                        <w:t>barrier</w:t>
                      </w:r>
                      <w:r>
                        <w:rPr>
                          <w:spacing w:val="-3"/>
                        </w:rPr>
                        <w:t> </w:t>
                      </w:r>
                      <w:r>
                        <w:rPr/>
                        <w:t>preventing</w:t>
                      </w:r>
                      <w:r>
                        <w:rPr>
                          <w:spacing w:val="-1"/>
                        </w:rPr>
                        <w:t> </w:t>
                      </w:r>
                      <w:r>
                        <w:rPr/>
                        <w:t>you</w:t>
                      </w:r>
                      <w:r>
                        <w:rPr>
                          <w:spacing w:val="-2"/>
                        </w:rPr>
                        <w:t> </w:t>
                      </w:r>
                      <w:r>
                        <w:rPr/>
                        <w:t>from</w:t>
                      </w:r>
                      <w:r>
                        <w:rPr>
                          <w:spacing w:val="-3"/>
                        </w:rPr>
                        <w:t> </w:t>
                      </w:r>
                      <w:r>
                        <w:rPr/>
                        <w:t>providing </w:t>
                      </w:r>
                      <w:r>
                        <w:rPr>
                          <w:spacing w:val="-2"/>
                        </w:rPr>
                        <w:t>service?</w:t>
                      </w:r>
                    </w:p>
                  </w:txbxContent>
                </v:textbox>
                <v:stroke dashstyle="solid"/>
                <w10:wrap type="topAndBottom"/>
              </v:shape>
            </w:pict>
          </mc:Fallback>
        </mc:AlternateContent>
      </w:r>
    </w:p>
    <w:p>
      <w:pPr>
        <w:pStyle w:val="BodyText"/>
        <w:spacing w:before="3"/>
      </w:pPr>
    </w:p>
    <w:p>
      <w:pPr>
        <w:pStyle w:val="BodyText"/>
        <w:spacing w:before="51"/>
        <w:ind w:left="1200" w:right="932"/>
        <w:jc w:val="both"/>
      </w:pPr>
      <w:r>
        <w:rPr/>
        <w:t>MaineDOT</w:t>
      </w:r>
      <w:r>
        <w:rPr>
          <w:spacing w:val="-5"/>
        </w:rPr>
        <w:t> </w:t>
      </w:r>
      <w:r>
        <w:rPr/>
        <w:t>uses</w:t>
      </w:r>
      <w:r>
        <w:rPr>
          <w:spacing w:val="-3"/>
        </w:rPr>
        <w:t> </w:t>
      </w:r>
      <w:r>
        <w:rPr/>
        <w:t>survey</w:t>
      </w:r>
      <w:r>
        <w:rPr>
          <w:spacing w:val="-6"/>
        </w:rPr>
        <w:t> </w:t>
      </w:r>
      <w:r>
        <w:rPr/>
        <w:t>results</w:t>
      </w:r>
      <w:r>
        <w:rPr>
          <w:spacing w:val="-6"/>
        </w:rPr>
        <w:t> </w:t>
      </w:r>
      <w:r>
        <w:rPr/>
        <w:t>to</w:t>
      </w:r>
      <w:r>
        <w:rPr>
          <w:spacing w:val="-5"/>
        </w:rPr>
        <w:t> </w:t>
      </w:r>
      <w:r>
        <w:rPr/>
        <w:t>develop</w:t>
      </w:r>
      <w:r>
        <w:rPr>
          <w:spacing w:val="-2"/>
        </w:rPr>
        <w:t> </w:t>
      </w:r>
      <w:r>
        <w:rPr/>
        <w:t>its</w:t>
      </w:r>
      <w:r>
        <w:rPr>
          <w:spacing w:val="-3"/>
        </w:rPr>
        <w:t> </w:t>
      </w:r>
      <w:r>
        <w:rPr/>
        <w:t>LAP</w:t>
      </w:r>
      <w:r>
        <w:rPr>
          <w:spacing w:val="-7"/>
        </w:rPr>
        <w:t> </w:t>
      </w:r>
      <w:r>
        <w:rPr/>
        <w:t>and</w:t>
      </w:r>
      <w:r>
        <w:rPr>
          <w:spacing w:val="-4"/>
        </w:rPr>
        <w:t> </w:t>
      </w:r>
      <w:r>
        <w:rPr/>
        <w:t>to</w:t>
      </w:r>
      <w:r>
        <w:rPr>
          <w:spacing w:val="-5"/>
        </w:rPr>
        <w:t> </w:t>
      </w:r>
      <w:r>
        <w:rPr/>
        <w:t>determine</w:t>
      </w:r>
      <w:r>
        <w:rPr>
          <w:spacing w:val="-5"/>
        </w:rPr>
        <w:t> </w:t>
      </w:r>
      <w:r>
        <w:rPr/>
        <w:t>the</w:t>
      </w:r>
      <w:r>
        <w:rPr>
          <w:spacing w:val="-5"/>
        </w:rPr>
        <w:t> </w:t>
      </w:r>
      <w:r>
        <w:rPr/>
        <w:t>frequency</w:t>
      </w:r>
      <w:r>
        <w:rPr>
          <w:spacing w:val="-4"/>
        </w:rPr>
        <w:t> </w:t>
      </w:r>
      <w:r>
        <w:rPr/>
        <w:t>with</w:t>
      </w:r>
      <w:r>
        <w:rPr>
          <w:spacing w:val="-4"/>
        </w:rPr>
        <w:t> </w:t>
      </w:r>
      <w:r>
        <w:rPr/>
        <w:t>which LEP persons come into contact with MaineDOT, and which languages in which to translate vital documents and provide language assistance.</w:t>
      </w:r>
    </w:p>
    <w:p>
      <w:pPr>
        <w:pStyle w:val="BodyText"/>
        <w:spacing w:before="12"/>
        <w:rPr>
          <w:sz w:val="23"/>
        </w:rPr>
      </w:pPr>
    </w:p>
    <w:p>
      <w:pPr>
        <w:pStyle w:val="BodyText"/>
        <w:ind w:left="1200"/>
        <w:jc w:val="both"/>
      </w:pPr>
      <w:r>
        <w:rPr/>
        <w:t>Survey</w:t>
      </w:r>
      <w:r>
        <w:rPr>
          <w:spacing w:val="-2"/>
        </w:rPr>
        <w:t> </w:t>
      </w:r>
      <w:r>
        <w:rPr/>
        <w:t>results</w:t>
      </w:r>
      <w:r>
        <w:rPr>
          <w:spacing w:val="-1"/>
        </w:rPr>
        <w:t> </w:t>
      </w:r>
      <w:r>
        <w:rPr/>
        <w:t>can be</w:t>
      </w:r>
      <w:r>
        <w:rPr>
          <w:spacing w:val="-3"/>
        </w:rPr>
        <w:t> </w:t>
      </w:r>
      <w:r>
        <w:rPr/>
        <w:t>provided</w:t>
      </w:r>
      <w:r>
        <w:rPr>
          <w:spacing w:val="-2"/>
        </w:rPr>
        <w:t> </w:t>
      </w:r>
      <w:r>
        <w:rPr/>
        <w:t>upon</w:t>
      </w:r>
      <w:r>
        <w:rPr>
          <w:spacing w:val="-2"/>
        </w:rPr>
        <w:t> request.</w:t>
      </w:r>
    </w:p>
    <w:p>
      <w:pPr>
        <w:pStyle w:val="BodyText"/>
        <w:spacing w:before="11"/>
        <w:rPr>
          <w:sz w:val="23"/>
        </w:rPr>
      </w:pPr>
    </w:p>
    <w:p>
      <w:pPr>
        <w:pStyle w:val="BodyText"/>
        <w:spacing w:before="1"/>
        <w:ind w:left="1199" w:right="934"/>
        <w:jc w:val="both"/>
      </w:pPr>
      <w:r>
        <w:rPr>
          <w:b/>
        </w:rPr>
        <w:t>Factor #3: The nature and importance of programs, activities or services to the LEP population</w:t>
      </w:r>
      <w:r>
        <w:rPr/>
        <w:t>. Many LEP persons rely on public transportation for their mobility needs. The state’s public transit providers are responsible for ensuring that LEP individuals are not hindered from using local transit systems because they speak English less than very well. MaineDOT takes proactive measures to ensure through its extensive subrecipient oversight activities that the providers are upholding this responsibility.</w:t>
      </w:r>
    </w:p>
    <w:p>
      <w:pPr>
        <w:pStyle w:val="BodyText"/>
        <w:spacing w:before="10"/>
        <w:rPr>
          <w:sz w:val="23"/>
        </w:rPr>
      </w:pPr>
    </w:p>
    <w:p>
      <w:pPr>
        <w:pStyle w:val="BodyText"/>
        <w:spacing w:before="1"/>
        <w:ind w:left="1199" w:right="933"/>
        <w:jc w:val="both"/>
      </w:pPr>
      <w:r>
        <w:rPr/>
        <w:t>For</w:t>
      </w:r>
      <w:r>
        <w:rPr>
          <w:spacing w:val="-6"/>
        </w:rPr>
        <w:t> </w:t>
      </w:r>
      <w:r>
        <w:rPr/>
        <w:t>example,</w:t>
      </w:r>
      <w:r>
        <w:rPr>
          <w:spacing w:val="-7"/>
        </w:rPr>
        <w:t> </w:t>
      </w:r>
      <w:r>
        <w:rPr/>
        <w:t>MaineDOT</w:t>
      </w:r>
      <w:r>
        <w:rPr>
          <w:spacing w:val="-7"/>
        </w:rPr>
        <w:t> </w:t>
      </w:r>
      <w:r>
        <w:rPr/>
        <w:t>conducts</w:t>
      </w:r>
      <w:r>
        <w:rPr>
          <w:spacing w:val="-6"/>
        </w:rPr>
        <w:t> </w:t>
      </w:r>
      <w:r>
        <w:rPr/>
        <w:t>regular</w:t>
      </w:r>
      <w:r>
        <w:rPr>
          <w:spacing w:val="-6"/>
        </w:rPr>
        <w:t> </w:t>
      </w:r>
      <w:r>
        <w:rPr/>
        <w:t>meetings</w:t>
      </w:r>
      <w:r>
        <w:rPr>
          <w:spacing w:val="-6"/>
        </w:rPr>
        <w:t> </w:t>
      </w:r>
      <w:r>
        <w:rPr/>
        <w:t>with</w:t>
      </w:r>
      <w:r>
        <w:rPr>
          <w:spacing w:val="-5"/>
        </w:rPr>
        <w:t> </w:t>
      </w:r>
      <w:r>
        <w:rPr/>
        <w:t>subrecipients,</w:t>
      </w:r>
      <w:r>
        <w:rPr>
          <w:spacing w:val="-7"/>
        </w:rPr>
        <w:t> </w:t>
      </w:r>
      <w:r>
        <w:rPr/>
        <w:t>performs</w:t>
      </w:r>
      <w:r>
        <w:rPr>
          <w:spacing w:val="-6"/>
        </w:rPr>
        <w:t> </w:t>
      </w:r>
      <w:r>
        <w:rPr/>
        <w:t>vehicle</w:t>
      </w:r>
      <w:r>
        <w:rPr>
          <w:spacing w:val="-7"/>
        </w:rPr>
        <w:t> </w:t>
      </w:r>
      <w:r>
        <w:rPr/>
        <w:t>and facility</w:t>
      </w:r>
      <w:r>
        <w:rPr>
          <w:spacing w:val="-7"/>
        </w:rPr>
        <w:t> </w:t>
      </w:r>
      <w:r>
        <w:rPr/>
        <w:t>inspections,</w:t>
      </w:r>
      <w:r>
        <w:rPr>
          <w:spacing w:val="-8"/>
        </w:rPr>
        <w:t> </w:t>
      </w:r>
      <w:r>
        <w:rPr/>
        <w:t>site</w:t>
      </w:r>
      <w:r>
        <w:rPr>
          <w:spacing w:val="-5"/>
        </w:rPr>
        <w:t> </w:t>
      </w:r>
      <w:r>
        <w:rPr/>
        <w:t>visits</w:t>
      </w:r>
      <w:r>
        <w:rPr>
          <w:spacing w:val="-6"/>
        </w:rPr>
        <w:t> </w:t>
      </w:r>
      <w:r>
        <w:rPr/>
        <w:t>and</w:t>
      </w:r>
      <w:r>
        <w:rPr>
          <w:spacing w:val="-7"/>
        </w:rPr>
        <w:t> </w:t>
      </w:r>
      <w:r>
        <w:rPr/>
        <w:t>provides</w:t>
      </w:r>
      <w:r>
        <w:rPr>
          <w:spacing w:val="-9"/>
        </w:rPr>
        <w:t> </w:t>
      </w:r>
      <w:r>
        <w:rPr/>
        <w:t>training</w:t>
      </w:r>
      <w:r>
        <w:rPr>
          <w:spacing w:val="-6"/>
        </w:rPr>
        <w:t> </w:t>
      </w:r>
      <w:r>
        <w:rPr/>
        <w:t>and</w:t>
      </w:r>
      <w:r>
        <w:rPr>
          <w:spacing w:val="-7"/>
        </w:rPr>
        <w:t> </w:t>
      </w:r>
      <w:r>
        <w:rPr/>
        <w:t>technical</w:t>
      </w:r>
      <w:r>
        <w:rPr>
          <w:spacing w:val="-6"/>
        </w:rPr>
        <w:t> </w:t>
      </w:r>
      <w:r>
        <w:rPr/>
        <w:t>assistance</w:t>
      </w:r>
      <w:r>
        <w:rPr>
          <w:spacing w:val="-5"/>
        </w:rPr>
        <w:t> </w:t>
      </w:r>
      <w:r>
        <w:rPr/>
        <w:t>for</w:t>
      </w:r>
      <w:r>
        <w:rPr>
          <w:spacing w:val="-6"/>
        </w:rPr>
        <w:t> </w:t>
      </w:r>
      <w:r>
        <w:rPr/>
        <w:t>subrecipients to ensure they continue to comply with federal requirements around Title VI.</w:t>
      </w:r>
    </w:p>
    <w:p>
      <w:pPr>
        <w:pStyle w:val="BodyText"/>
        <w:spacing w:before="1"/>
      </w:pPr>
    </w:p>
    <w:p>
      <w:pPr>
        <w:pStyle w:val="BodyText"/>
        <w:ind w:left="1199" w:right="930"/>
        <w:jc w:val="both"/>
      </w:pPr>
      <w:r>
        <w:rPr/>
        <w:t>In addition, as the state transportation agency responsible for coordinating the statewide transportation</w:t>
      </w:r>
      <w:r>
        <w:rPr>
          <w:spacing w:val="-10"/>
        </w:rPr>
        <w:t> </w:t>
      </w:r>
      <w:r>
        <w:rPr/>
        <w:t>planning</w:t>
      </w:r>
      <w:r>
        <w:rPr>
          <w:spacing w:val="-14"/>
        </w:rPr>
        <w:t> </w:t>
      </w:r>
      <w:r>
        <w:rPr/>
        <w:t>process,</w:t>
      </w:r>
      <w:r>
        <w:rPr>
          <w:spacing w:val="-11"/>
        </w:rPr>
        <w:t> </w:t>
      </w:r>
      <w:r>
        <w:rPr/>
        <w:t>MaineDOT</w:t>
      </w:r>
      <w:r>
        <w:rPr>
          <w:spacing w:val="-11"/>
        </w:rPr>
        <w:t> </w:t>
      </w:r>
      <w:r>
        <w:rPr/>
        <w:t>must</w:t>
      </w:r>
      <w:r>
        <w:rPr>
          <w:spacing w:val="-10"/>
        </w:rPr>
        <w:t> </w:t>
      </w:r>
      <w:r>
        <w:rPr/>
        <w:t>ensure</w:t>
      </w:r>
      <w:r>
        <w:rPr>
          <w:spacing w:val="-11"/>
        </w:rPr>
        <w:t> </w:t>
      </w:r>
      <w:r>
        <w:rPr/>
        <w:t>that</w:t>
      </w:r>
      <w:r>
        <w:rPr>
          <w:spacing w:val="-8"/>
        </w:rPr>
        <w:t> </w:t>
      </w:r>
      <w:r>
        <w:rPr/>
        <w:t>all</w:t>
      </w:r>
      <w:r>
        <w:rPr>
          <w:spacing w:val="-9"/>
        </w:rPr>
        <w:t> </w:t>
      </w:r>
      <w:r>
        <w:rPr/>
        <w:t>segments</w:t>
      </w:r>
      <w:r>
        <w:rPr>
          <w:spacing w:val="-11"/>
        </w:rPr>
        <w:t> </w:t>
      </w:r>
      <w:r>
        <w:rPr/>
        <w:t>of</w:t>
      </w:r>
      <w:r>
        <w:rPr>
          <w:spacing w:val="-10"/>
        </w:rPr>
        <w:t> </w:t>
      </w:r>
      <w:r>
        <w:rPr/>
        <w:t>the</w:t>
      </w:r>
      <w:r>
        <w:rPr>
          <w:spacing w:val="-11"/>
        </w:rPr>
        <w:t> </w:t>
      </w:r>
      <w:r>
        <w:rPr/>
        <w:t>population, including LEP persons, have been involved or have had the opportunity to be involved with the planning process.</w:t>
      </w:r>
      <w:r>
        <w:rPr>
          <w:spacing w:val="40"/>
        </w:rPr>
        <w:t> </w:t>
      </w:r>
      <w:r>
        <w:rPr/>
        <w:t>The impact of proposed transportation investments on underserved and underrepresented population groups are part of the evaluation process.</w:t>
      </w:r>
      <w:r>
        <w:rPr>
          <w:spacing w:val="40"/>
        </w:rPr>
        <w:t> </w:t>
      </w:r>
      <w:r>
        <w:rPr/>
        <w:t>As detailed herein,</w:t>
      </w:r>
      <w:r>
        <w:rPr>
          <w:spacing w:val="-5"/>
        </w:rPr>
        <w:t> </w:t>
      </w:r>
      <w:r>
        <w:rPr/>
        <w:t>MaineDOT</w:t>
      </w:r>
      <w:r>
        <w:rPr>
          <w:spacing w:val="-4"/>
        </w:rPr>
        <w:t> </w:t>
      </w:r>
      <w:r>
        <w:rPr/>
        <w:t>provides</w:t>
      </w:r>
      <w:r>
        <w:rPr>
          <w:spacing w:val="-5"/>
        </w:rPr>
        <w:t> </w:t>
      </w:r>
      <w:r>
        <w:rPr/>
        <w:t>extensive</w:t>
      </w:r>
      <w:r>
        <w:rPr>
          <w:spacing w:val="-4"/>
        </w:rPr>
        <w:t> </w:t>
      </w:r>
      <w:r>
        <w:rPr/>
        <w:t>subrecipient</w:t>
      </w:r>
      <w:r>
        <w:rPr>
          <w:spacing w:val="-4"/>
        </w:rPr>
        <w:t> </w:t>
      </w:r>
      <w:r>
        <w:rPr/>
        <w:t>oversight</w:t>
      </w:r>
      <w:r>
        <w:rPr>
          <w:spacing w:val="-6"/>
        </w:rPr>
        <w:t> </w:t>
      </w:r>
      <w:r>
        <w:rPr/>
        <w:t>and</w:t>
      </w:r>
      <w:r>
        <w:rPr>
          <w:spacing w:val="-4"/>
        </w:rPr>
        <w:t> </w:t>
      </w:r>
      <w:r>
        <w:rPr/>
        <w:t>ensures</w:t>
      </w:r>
      <w:r>
        <w:rPr>
          <w:spacing w:val="-8"/>
        </w:rPr>
        <w:t> </w:t>
      </w:r>
      <w:r>
        <w:rPr/>
        <w:t>in</w:t>
      </w:r>
      <w:r>
        <w:rPr>
          <w:spacing w:val="-4"/>
        </w:rPr>
        <w:t> </w:t>
      </w:r>
      <w:r>
        <w:rPr/>
        <w:t>its</w:t>
      </w:r>
      <w:r>
        <w:rPr>
          <w:spacing w:val="-8"/>
        </w:rPr>
        <w:t> </w:t>
      </w:r>
      <w:r>
        <w:rPr/>
        <w:t>own</w:t>
      </w:r>
      <w:r>
        <w:rPr>
          <w:spacing w:val="-4"/>
        </w:rPr>
        <w:t> </w:t>
      </w:r>
      <w:r>
        <w:rPr/>
        <w:t>planning projects that LEP, minorities, and other protected classes of persons are represented in the transportation planning process.</w:t>
      </w:r>
    </w:p>
    <w:p>
      <w:pPr>
        <w:pStyle w:val="BodyText"/>
        <w:spacing w:before="11"/>
        <w:rPr>
          <w:sz w:val="23"/>
        </w:rPr>
      </w:pPr>
    </w:p>
    <w:p>
      <w:pPr>
        <w:pStyle w:val="BodyText"/>
        <w:ind w:left="1199" w:right="936"/>
        <w:jc w:val="both"/>
      </w:pPr>
      <w:r>
        <w:rPr/>
        <w:t>MaineDOT’s</w:t>
      </w:r>
      <w:r>
        <w:rPr>
          <w:spacing w:val="-9"/>
        </w:rPr>
        <w:t> </w:t>
      </w:r>
      <w:r>
        <w:rPr/>
        <w:t>services</w:t>
      </w:r>
      <w:r>
        <w:rPr>
          <w:spacing w:val="-9"/>
        </w:rPr>
        <w:t> </w:t>
      </w:r>
      <w:r>
        <w:rPr/>
        <w:t>are</w:t>
      </w:r>
      <w:r>
        <w:rPr>
          <w:spacing w:val="-11"/>
        </w:rPr>
        <w:t> </w:t>
      </w:r>
      <w:r>
        <w:rPr/>
        <w:t>therefore</w:t>
      </w:r>
      <w:r>
        <w:rPr>
          <w:spacing w:val="-9"/>
        </w:rPr>
        <w:t> </w:t>
      </w:r>
      <w:r>
        <w:rPr/>
        <w:t>important</w:t>
      </w:r>
      <w:r>
        <w:rPr>
          <w:spacing w:val="-9"/>
        </w:rPr>
        <w:t> </w:t>
      </w:r>
      <w:r>
        <w:rPr/>
        <w:t>to</w:t>
      </w:r>
      <w:r>
        <w:rPr>
          <w:spacing w:val="-9"/>
        </w:rPr>
        <w:t> </w:t>
      </w:r>
      <w:r>
        <w:rPr/>
        <w:t>LEP</w:t>
      </w:r>
      <w:r>
        <w:rPr>
          <w:spacing w:val="-9"/>
        </w:rPr>
        <w:t> </w:t>
      </w:r>
      <w:r>
        <w:rPr/>
        <w:t>person’s</w:t>
      </w:r>
      <w:r>
        <w:rPr>
          <w:spacing w:val="-9"/>
        </w:rPr>
        <w:t> </w:t>
      </w:r>
      <w:r>
        <w:rPr/>
        <w:t>lives,</w:t>
      </w:r>
      <w:r>
        <w:rPr>
          <w:spacing w:val="-9"/>
        </w:rPr>
        <w:t> </w:t>
      </w:r>
      <w:r>
        <w:rPr/>
        <w:t>and</w:t>
      </w:r>
      <w:r>
        <w:rPr>
          <w:spacing w:val="-9"/>
        </w:rPr>
        <w:t> </w:t>
      </w:r>
      <w:r>
        <w:rPr/>
        <w:t>must</w:t>
      </w:r>
      <w:r>
        <w:rPr>
          <w:spacing w:val="-9"/>
        </w:rPr>
        <w:t> </w:t>
      </w:r>
      <w:r>
        <w:rPr/>
        <w:t>be</w:t>
      </w:r>
      <w:r>
        <w:rPr>
          <w:spacing w:val="-9"/>
        </w:rPr>
        <w:t> </w:t>
      </w:r>
      <w:r>
        <w:rPr/>
        <w:t>accessible</w:t>
      </w:r>
      <w:r>
        <w:rPr>
          <w:spacing w:val="-9"/>
        </w:rPr>
        <w:t> </w:t>
      </w:r>
      <w:r>
        <w:rPr/>
        <w:t>to everyone, regardless of ability to speak English.</w:t>
      </w:r>
    </w:p>
    <w:p>
      <w:pPr>
        <w:spacing w:after="0"/>
        <w:jc w:val="both"/>
        <w:sectPr>
          <w:pgSz w:w="12240" w:h="15840"/>
          <w:pgMar w:header="0" w:footer="997" w:top="1000" w:bottom="1260" w:left="600" w:right="500"/>
        </w:sectPr>
      </w:pPr>
    </w:p>
    <w:p>
      <w:pPr>
        <w:pStyle w:val="BodyText"/>
        <w:spacing w:before="35"/>
        <w:ind w:left="1199" w:right="934"/>
        <w:jc w:val="both"/>
      </w:pPr>
      <w:r>
        <w:rPr>
          <w:b/>
        </w:rPr>
        <w:t>Factor #4: Resources available</w:t>
      </w:r>
      <w:r>
        <w:rPr>
          <w:b/>
          <w:spacing w:val="-1"/>
        </w:rPr>
        <w:t> </w:t>
      </w:r>
      <w:r>
        <w:rPr>
          <w:b/>
        </w:rPr>
        <w:t>to the</w:t>
      </w:r>
      <w:r>
        <w:rPr>
          <w:b/>
          <w:spacing w:val="-1"/>
        </w:rPr>
        <w:t> </w:t>
      </w:r>
      <w:r>
        <w:rPr>
          <w:b/>
        </w:rPr>
        <w:t>recipient and overall costs to provide LEP assistance. </w:t>
      </w:r>
      <w:r>
        <w:rPr/>
        <w:t>Because</w:t>
      </w:r>
      <w:r>
        <w:rPr>
          <w:spacing w:val="-9"/>
        </w:rPr>
        <w:t> </w:t>
      </w:r>
      <w:r>
        <w:rPr/>
        <w:t>of</w:t>
      </w:r>
      <w:r>
        <w:rPr>
          <w:spacing w:val="-11"/>
        </w:rPr>
        <w:t> </w:t>
      </w:r>
      <w:r>
        <w:rPr/>
        <w:t>the</w:t>
      </w:r>
      <w:r>
        <w:rPr>
          <w:spacing w:val="-12"/>
        </w:rPr>
        <w:t> </w:t>
      </w:r>
      <w:r>
        <w:rPr/>
        <w:t>low</w:t>
      </w:r>
      <w:r>
        <w:rPr>
          <w:spacing w:val="-9"/>
        </w:rPr>
        <w:t> </w:t>
      </w:r>
      <w:r>
        <w:rPr/>
        <w:t>incidence</w:t>
      </w:r>
      <w:r>
        <w:rPr>
          <w:spacing w:val="-9"/>
        </w:rPr>
        <w:t> </w:t>
      </w:r>
      <w:r>
        <w:rPr/>
        <w:t>of</w:t>
      </w:r>
      <w:r>
        <w:rPr>
          <w:spacing w:val="-9"/>
        </w:rPr>
        <w:t> </w:t>
      </w:r>
      <w:r>
        <w:rPr/>
        <w:t>LEP</w:t>
      </w:r>
      <w:r>
        <w:rPr>
          <w:spacing w:val="-11"/>
        </w:rPr>
        <w:t> </w:t>
      </w:r>
      <w:r>
        <w:rPr/>
        <w:t>persons</w:t>
      </w:r>
      <w:r>
        <w:rPr>
          <w:spacing w:val="-10"/>
        </w:rPr>
        <w:t> </w:t>
      </w:r>
      <w:r>
        <w:rPr/>
        <w:t>in</w:t>
      </w:r>
      <w:r>
        <w:rPr>
          <w:spacing w:val="-11"/>
        </w:rPr>
        <w:t> </w:t>
      </w:r>
      <w:r>
        <w:rPr/>
        <w:t>Maine</w:t>
      </w:r>
      <w:r>
        <w:rPr>
          <w:spacing w:val="-9"/>
        </w:rPr>
        <w:t> </w:t>
      </w:r>
      <w:r>
        <w:rPr/>
        <w:t>overall,</w:t>
      </w:r>
      <w:r>
        <w:rPr>
          <w:spacing w:val="-12"/>
        </w:rPr>
        <w:t> </w:t>
      </w:r>
      <w:r>
        <w:rPr/>
        <w:t>the</w:t>
      </w:r>
      <w:r>
        <w:rPr>
          <w:spacing w:val="-9"/>
        </w:rPr>
        <w:t> </w:t>
      </w:r>
      <w:r>
        <w:rPr/>
        <w:t>cost</w:t>
      </w:r>
      <w:r>
        <w:rPr>
          <w:spacing w:val="-11"/>
        </w:rPr>
        <w:t> </w:t>
      </w:r>
      <w:r>
        <w:rPr/>
        <w:t>to</w:t>
      </w:r>
      <w:r>
        <w:rPr>
          <w:spacing w:val="-12"/>
        </w:rPr>
        <w:t> </w:t>
      </w:r>
      <w:r>
        <w:rPr/>
        <w:t>accommodate</w:t>
      </w:r>
      <w:r>
        <w:rPr>
          <w:spacing w:val="-12"/>
        </w:rPr>
        <w:t> </w:t>
      </w:r>
      <w:r>
        <w:rPr/>
        <w:t>them has not been burdensome.</w:t>
      </w:r>
      <w:r>
        <w:rPr>
          <w:spacing w:val="40"/>
        </w:rPr>
        <w:t> </w:t>
      </w:r>
      <w:r>
        <w:rPr/>
        <w:t>There are a number of resources that are being provided. MaineDOT has distributed to all transit providers “I Speak” language Identification cards. MaineDOT</w:t>
      </w:r>
      <w:r>
        <w:rPr>
          <w:spacing w:val="-4"/>
        </w:rPr>
        <w:t> </w:t>
      </w:r>
      <w:r>
        <w:rPr/>
        <w:t>rarely</w:t>
      </w:r>
      <w:r>
        <w:rPr>
          <w:spacing w:val="-6"/>
        </w:rPr>
        <w:t> </w:t>
      </w:r>
      <w:r>
        <w:rPr/>
        <w:t>uses</w:t>
      </w:r>
      <w:r>
        <w:rPr>
          <w:spacing w:val="-5"/>
        </w:rPr>
        <w:t> </w:t>
      </w:r>
      <w:r>
        <w:rPr/>
        <w:t>translation</w:t>
      </w:r>
      <w:r>
        <w:rPr>
          <w:spacing w:val="-4"/>
        </w:rPr>
        <w:t> </w:t>
      </w:r>
      <w:r>
        <w:rPr/>
        <w:t>services</w:t>
      </w:r>
      <w:r>
        <w:rPr>
          <w:spacing w:val="-5"/>
        </w:rPr>
        <w:t> </w:t>
      </w:r>
      <w:r>
        <w:rPr/>
        <w:t>but</w:t>
      </w:r>
      <w:r>
        <w:rPr>
          <w:spacing w:val="-4"/>
        </w:rPr>
        <w:t> </w:t>
      </w:r>
      <w:r>
        <w:rPr/>
        <w:t>they</w:t>
      </w:r>
      <w:r>
        <w:rPr>
          <w:spacing w:val="-3"/>
        </w:rPr>
        <w:t> </w:t>
      </w:r>
      <w:r>
        <w:rPr/>
        <w:t>are</w:t>
      </w:r>
      <w:r>
        <w:rPr>
          <w:spacing w:val="-4"/>
        </w:rPr>
        <w:t> </w:t>
      </w:r>
      <w:r>
        <w:rPr/>
        <w:t>available</w:t>
      </w:r>
      <w:r>
        <w:rPr>
          <w:spacing w:val="-4"/>
        </w:rPr>
        <w:t> </w:t>
      </w:r>
      <w:r>
        <w:rPr/>
        <w:t>under</w:t>
      </w:r>
      <w:r>
        <w:rPr>
          <w:spacing w:val="-5"/>
        </w:rPr>
        <w:t> </w:t>
      </w:r>
      <w:r>
        <w:rPr/>
        <w:t>State</w:t>
      </w:r>
      <w:r>
        <w:rPr>
          <w:spacing w:val="-4"/>
        </w:rPr>
        <w:t> </w:t>
      </w:r>
      <w:r>
        <w:rPr/>
        <w:t>contract.</w:t>
      </w:r>
      <w:r>
        <w:rPr>
          <w:spacing w:val="40"/>
        </w:rPr>
        <w:t> </w:t>
      </w:r>
      <w:r>
        <w:rPr/>
        <w:t>Costs for these services range in the $50.00 – $65.00/hr range.</w:t>
      </w:r>
      <w:r>
        <w:rPr>
          <w:spacing w:val="40"/>
        </w:rPr>
        <w:t> </w:t>
      </w:r>
      <w:r>
        <w:rPr/>
        <w:t>Cost at this time is minimal given the limited need and requests.</w:t>
      </w:r>
    </w:p>
    <w:p>
      <w:pPr>
        <w:pStyle w:val="BodyText"/>
        <w:spacing w:before="1"/>
      </w:pPr>
    </w:p>
    <w:p>
      <w:pPr>
        <w:pStyle w:val="Heading9"/>
        <w:ind w:left="1199"/>
        <w:jc w:val="both"/>
      </w:pPr>
      <w:r>
        <w:rPr/>
        <w:t>Language</w:t>
      </w:r>
      <w:r>
        <w:rPr>
          <w:spacing w:val="-2"/>
        </w:rPr>
        <w:t> </w:t>
      </w:r>
      <w:r>
        <w:rPr/>
        <w:t>Assistance</w:t>
      </w:r>
      <w:r>
        <w:rPr>
          <w:spacing w:val="-1"/>
        </w:rPr>
        <w:t> </w:t>
      </w:r>
      <w:r>
        <w:rPr>
          <w:spacing w:val="-2"/>
        </w:rPr>
        <w:t>Resources</w:t>
      </w:r>
    </w:p>
    <w:p>
      <w:pPr>
        <w:pStyle w:val="BodyText"/>
        <w:ind w:left="1199" w:right="932"/>
        <w:jc w:val="both"/>
      </w:pPr>
      <w:r>
        <w:rPr/>
        <w:t>In</w:t>
      </w:r>
      <w:r>
        <w:rPr>
          <w:spacing w:val="-8"/>
        </w:rPr>
        <w:t> </w:t>
      </w:r>
      <w:r>
        <w:rPr/>
        <w:t>order</w:t>
      </w:r>
      <w:r>
        <w:rPr>
          <w:spacing w:val="-11"/>
        </w:rPr>
        <w:t> </w:t>
      </w:r>
      <w:r>
        <w:rPr/>
        <w:t>to</w:t>
      </w:r>
      <w:r>
        <w:rPr>
          <w:spacing w:val="-11"/>
        </w:rPr>
        <w:t> </w:t>
      </w:r>
      <w:r>
        <w:rPr/>
        <w:t>ensure</w:t>
      </w:r>
      <w:r>
        <w:rPr>
          <w:spacing w:val="-11"/>
        </w:rPr>
        <w:t> </w:t>
      </w:r>
      <w:r>
        <w:rPr/>
        <w:t>meaningful</w:t>
      </w:r>
      <w:r>
        <w:rPr>
          <w:spacing w:val="-11"/>
        </w:rPr>
        <w:t> </w:t>
      </w:r>
      <w:r>
        <w:rPr/>
        <w:t>access</w:t>
      </w:r>
      <w:r>
        <w:rPr>
          <w:spacing w:val="-11"/>
        </w:rPr>
        <w:t> </w:t>
      </w:r>
      <w:r>
        <w:rPr/>
        <w:t>to</w:t>
      </w:r>
      <w:r>
        <w:rPr>
          <w:spacing w:val="-11"/>
        </w:rPr>
        <w:t> </w:t>
      </w:r>
      <w:r>
        <w:rPr/>
        <w:t>programs,</w:t>
      </w:r>
      <w:r>
        <w:rPr>
          <w:spacing w:val="-9"/>
        </w:rPr>
        <w:t> </w:t>
      </w:r>
      <w:r>
        <w:rPr/>
        <w:t>services</w:t>
      </w:r>
      <w:r>
        <w:rPr>
          <w:spacing w:val="-9"/>
        </w:rPr>
        <w:t> </w:t>
      </w:r>
      <w:r>
        <w:rPr/>
        <w:t>and</w:t>
      </w:r>
      <w:r>
        <w:rPr>
          <w:spacing w:val="-10"/>
        </w:rPr>
        <w:t> </w:t>
      </w:r>
      <w:r>
        <w:rPr/>
        <w:t>activities,</w:t>
      </w:r>
      <w:r>
        <w:rPr>
          <w:spacing w:val="-14"/>
        </w:rPr>
        <w:t> </w:t>
      </w:r>
      <w:r>
        <w:rPr/>
        <w:t>MaineDOT</w:t>
      </w:r>
      <w:r>
        <w:rPr>
          <w:spacing w:val="-11"/>
        </w:rPr>
        <w:t> </w:t>
      </w:r>
      <w:r>
        <w:rPr/>
        <w:t>uses</w:t>
      </w:r>
      <w:r>
        <w:rPr>
          <w:spacing w:val="-11"/>
        </w:rPr>
        <w:t> </w:t>
      </w:r>
      <w:r>
        <w:rPr/>
        <w:t>the information obtained in a Four Factor Analysis to determine the specific language services that are appropriate. This analysis helps MaineDOT to determine if it communicates effectively with LEP persons and informs language access planning.</w:t>
      </w:r>
    </w:p>
    <w:p>
      <w:pPr>
        <w:pStyle w:val="BodyText"/>
        <w:spacing w:before="11"/>
        <w:rPr>
          <w:sz w:val="23"/>
        </w:rPr>
      </w:pPr>
    </w:p>
    <w:p>
      <w:pPr>
        <w:pStyle w:val="Heading9"/>
        <w:ind w:left="1199"/>
        <w:jc w:val="both"/>
      </w:pPr>
      <w:r>
        <w:rPr/>
        <w:t>Document</w:t>
      </w:r>
      <w:r>
        <w:rPr>
          <w:spacing w:val="-4"/>
        </w:rPr>
        <w:t> </w:t>
      </w:r>
      <w:r>
        <w:rPr>
          <w:spacing w:val="-2"/>
        </w:rPr>
        <w:t>Translation</w:t>
      </w:r>
    </w:p>
    <w:p>
      <w:pPr>
        <w:pStyle w:val="BodyText"/>
        <w:ind w:left="1199" w:right="936"/>
        <w:jc w:val="both"/>
      </w:pPr>
      <w:r>
        <w:rPr/>
        <w:t>The department has translated and posted on its webpage the following documents based on the language needs present across the state:</w:t>
      </w:r>
    </w:p>
    <w:p>
      <w:pPr>
        <w:pStyle w:val="ListParagraph"/>
        <w:numPr>
          <w:ilvl w:val="0"/>
          <w:numId w:val="19"/>
        </w:numPr>
        <w:tabs>
          <w:tab w:pos="1970" w:val="left" w:leader="none"/>
        </w:tabs>
        <w:spacing w:line="305" w:lineRule="exact" w:before="0" w:after="0"/>
        <w:ind w:left="1970" w:right="0" w:hanging="360"/>
        <w:jc w:val="left"/>
        <w:rPr>
          <w:sz w:val="24"/>
        </w:rPr>
      </w:pPr>
      <w:r>
        <w:rPr>
          <w:sz w:val="24"/>
        </w:rPr>
        <w:t>LEP</w:t>
      </w:r>
      <w:r>
        <w:rPr>
          <w:spacing w:val="-2"/>
          <w:sz w:val="24"/>
        </w:rPr>
        <w:t> </w:t>
      </w:r>
      <w:r>
        <w:rPr>
          <w:sz w:val="24"/>
        </w:rPr>
        <w:t>language</w:t>
      </w:r>
      <w:r>
        <w:rPr>
          <w:spacing w:val="-2"/>
          <w:sz w:val="24"/>
        </w:rPr>
        <w:t> </w:t>
      </w:r>
      <w:r>
        <w:rPr>
          <w:sz w:val="24"/>
        </w:rPr>
        <w:t>translation</w:t>
      </w:r>
      <w:r>
        <w:rPr>
          <w:spacing w:val="-2"/>
          <w:sz w:val="24"/>
        </w:rPr>
        <w:t> </w:t>
      </w:r>
      <w:r>
        <w:rPr>
          <w:sz w:val="24"/>
        </w:rPr>
        <w:t>of</w:t>
      </w:r>
      <w:r>
        <w:rPr>
          <w:spacing w:val="-2"/>
          <w:sz w:val="24"/>
        </w:rPr>
        <w:t> </w:t>
      </w:r>
      <w:r>
        <w:rPr>
          <w:sz w:val="24"/>
        </w:rPr>
        <w:t>the</w:t>
      </w:r>
      <w:r>
        <w:rPr>
          <w:spacing w:val="-1"/>
          <w:sz w:val="24"/>
        </w:rPr>
        <w:t> </w:t>
      </w:r>
      <w:r>
        <w:rPr>
          <w:sz w:val="24"/>
        </w:rPr>
        <w:t>Title VI</w:t>
      </w:r>
      <w:r>
        <w:rPr>
          <w:spacing w:val="-3"/>
          <w:sz w:val="24"/>
        </w:rPr>
        <w:t> </w:t>
      </w:r>
      <w:r>
        <w:rPr>
          <w:sz w:val="24"/>
        </w:rPr>
        <w:t>Notice</w:t>
      </w:r>
      <w:r>
        <w:rPr>
          <w:spacing w:val="-2"/>
          <w:sz w:val="24"/>
        </w:rPr>
        <w:t> </w:t>
      </w:r>
      <w:r>
        <w:rPr>
          <w:sz w:val="24"/>
        </w:rPr>
        <w:t>to</w:t>
      </w:r>
      <w:r>
        <w:rPr>
          <w:spacing w:val="-2"/>
          <w:sz w:val="24"/>
        </w:rPr>
        <w:t> </w:t>
      </w:r>
      <w:r>
        <w:rPr>
          <w:sz w:val="24"/>
        </w:rPr>
        <w:t>the</w:t>
      </w:r>
      <w:r>
        <w:rPr>
          <w:spacing w:val="1"/>
          <w:sz w:val="24"/>
        </w:rPr>
        <w:t> </w:t>
      </w:r>
      <w:r>
        <w:rPr>
          <w:spacing w:val="-2"/>
          <w:sz w:val="24"/>
        </w:rPr>
        <w:t>Public;</w:t>
      </w:r>
    </w:p>
    <w:p>
      <w:pPr>
        <w:pStyle w:val="ListParagraph"/>
        <w:numPr>
          <w:ilvl w:val="0"/>
          <w:numId w:val="19"/>
        </w:numPr>
        <w:tabs>
          <w:tab w:pos="1970" w:val="left" w:leader="none"/>
        </w:tabs>
        <w:spacing w:line="240" w:lineRule="auto" w:before="2" w:after="0"/>
        <w:ind w:left="1970" w:right="936" w:hanging="360"/>
        <w:jc w:val="left"/>
        <w:rPr>
          <w:sz w:val="24"/>
        </w:rPr>
      </w:pPr>
      <w:r>
        <w:rPr>
          <w:sz w:val="24"/>
        </w:rPr>
        <w:t>LEP</w:t>
      </w:r>
      <w:r>
        <w:rPr>
          <w:spacing w:val="40"/>
          <w:sz w:val="24"/>
        </w:rPr>
        <w:t> </w:t>
      </w:r>
      <w:r>
        <w:rPr>
          <w:sz w:val="24"/>
        </w:rPr>
        <w:t>language</w:t>
      </w:r>
      <w:r>
        <w:rPr>
          <w:spacing w:val="40"/>
          <w:sz w:val="24"/>
        </w:rPr>
        <w:t> </w:t>
      </w:r>
      <w:r>
        <w:rPr>
          <w:sz w:val="24"/>
        </w:rPr>
        <w:t>translation</w:t>
      </w:r>
      <w:r>
        <w:rPr>
          <w:spacing w:val="40"/>
          <w:sz w:val="24"/>
        </w:rPr>
        <w:t> </w:t>
      </w:r>
      <w:r>
        <w:rPr>
          <w:sz w:val="24"/>
        </w:rPr>
        <w:t>of</w:t>
      </w:r>
      <w:r>
        <w:rPr>
          <w:spacing w:val="40"/>
          <w:sz w:val="24"/>
        </w:rPr>
        <w:t> </w:t>
      </w:r>
      <w:r>
        <w:rPr>
          <w:sz w:val="24"/>
        </w:rPr>
        <w:t>the</w:t>
      </w:r>
      <w:r>
        <w:rPr>
          <w:spacing w:val="40"/>
          <w:sz w:val="24"/>
        </w:rPr>
        <w:t> </w:t>
      </w:r>
      <w:r>
        <w:rPr>
          <w:sz w:val="24"/>
        </w:rPr>
        <w:t>Title</w:t>
      </w:r>
      <w:r>
        <w:rPr>
          <w:spacing w:val="40"/>
          <w:sz w:val="24"/>
        </w:rPr>
        <w:t> </w:t>
      </w:r>
      <w:r>
        <w:rPr>
          <w:sz w:val="24"/>
        </w:rPr>
        <w:t>VI</w:t>
      </w:r>
      <w:r>
        <w:rPr>
          <w:spacing w:val="40"/>
          <w:sz w:val="24"/>
        </w:rPr>
        <w:t> </w:t>
      </w:r>
      <w:r>
        <w:rPr>
          <w:sz w:val="24"/>
        </w:rPr>
        <w:t>Brochure</w:t>
      </w:r>
      <w:r>
        <w:rPr>
          <w:spacing w:val="40"/>
          <w:sz w:val="24"/>
        </w:rPr>
        <w:t> </w:t>
      </w:r>
      <w:r>
        <w:rPr>
          <w:sz w:val="24"/>
        </w:rPr>
        <w:t>(which</w:t>
      </w:r>
      <w:r>
        <w:rPr>
          <w:spacing w:val="40"/>
          <w:sz w:val="24"/>
        </w:rPr>
        <w:t> </w:t>
      </w:r>
      <w:r>
        <w:rPr>
          <w:sz w:val="24"/>
        </w:rPr>
        <w:t>includes</w:t>
      </w:r>
      <w:r>
        <w:rPr>
          <w:spacing w:val="40"/>
          <w:sz w:val="24"/>
        </w:rPr>
        <w:t> </w:t>
      </w:r>
      <w:r>
        <w:rPr>
          <w:sz w:val="24"/>
        </w:rPr>
        <w:t>the</w:t>
      </w:r>
      <w:r>
        <w:rPr>
          <w:spacing w:val="40"/>
          <w:sz w:val="24"/>
        </w:rPr>
        <w:t> </w:t>
      </w:r>
      <w:r>
        <w:rPr>
          <w:sz w:val="24"/>
        </w:rPr>
        <w:t>complaint </w:t>
      </w:r>
      <w:r>
        <w:rPr>
          <w:spacing w:val="-2"/>
          <w:sz w:val="24"/>
        </w:rPr>
        <w:t>process);</w:t>
      </w:r>
    </w:p>
    <w:p>
      <w:pPr>
        <w:pStyle w:val="ListParagraph"/>
        <w:numPr>
          <w:ilvl w:val="0"/>
          <w:numId w:val="19"/>
        </w:numPr>
        <w:tabs>
          <w:tab w:pos="1970" w:val="left" w:leader="none"/>
        </w:tabs>
        <w:spacing w:line="305" w:lineRule="exact" w:before="0" w:after="0"/>
        <w:ind w:left="1970" w:right="0" w:hanging="360"/>
        <w:jc w:val="left"/>
        <w:rPr>
          <w:sz w:val="24"/>
        </w:rPr>
      </w:pPr>
      <w:r>
        <w:rPr>
          <w:sz w:val="24"/>
        </w:rPr>
        <w:t>LEP</w:t>
      </w:r>
      <w:r>
        <w:rPr>
          <w:spacing w:val="-1"/>
          <w:sz w:val="24"/>
        </w:rPr>
        <w:t> </w:t>
      </w:r>
      <w:r>
        <w:rPr>
          <w:sz w:val="24"/>
        </w:rPr>
        <w:t>language</w:t>
      </w:r>
      <w:r>
        <w:rPr>
          <w:spacing w:val="-2"/>
          <w:sz w:val="24"/>
        </w:rPr>
        <w:t> </w:t>
      </w:r>
      <w:r>
        <w:rPr>
          <w:sz w:val="24"/>
        </w:rPr>
        <w:t>translation</w:t>
      </w:r>
      <w:r>
        <w:rPr>
          <w:spacing w:val="-2"/>
          <w:sz w:val="24"/>
        </w:rPr>
        <w:t> </w:t>
      </w:r>
      <w:r>
        <w:rPr>
          <w:sz w:val="24"/>
        </w:rPr>
        <w:t>of</w:t>
      </w:r>
      <w:r>
        <w:rPr>
          <w:spacing w:val="-2"/>
          <w:sz w:val="24"/>
        </w:rPr>
        <w:t> </w:t>
      </w:r>
      <w:r>
        <w:rPr>
          <w:sz w:val="24"/>
        </w:rPr>
        <w:t>the</w:t>
      </w:r>
      <w:r>
        <w:rPr>
          <w:spacing w:val="-3"/>
          <w:sz w:val="24"/>
        </w:rPr>
        <w:t> </w:t>
      </w:r>
      <w:r>
        <w:rPr>
          <w:sz w:val="24"/>
        </w:rPr>
        <w:t>Title VI</w:t>
      </w:r>
      <w:r>
        <w:rPr>
          <w:spacing w:val="-3"/>
          <w:sz w:val="24"/>
        </w:rPr>
        <w:t> </w:t>
      </w:r>
      <w:r>
        <w:rPr>
          <w:sz w:val="24"/>
        </w:rPr>
        <w:t>Complaint</w:t>
      </w:r>
      <w:r>
        <w:rPr>
          <w:spacing w:val="-4"/>
          <w:sz w:val="24"/>
        </w:rPr>
        <w:t> </w:t>
      </w:r>
      <w:r>
        <w:rPr>
          <w:spacing w:val="-2"/>
          <w:sz w:val="24"/>
        </w:rPr>
        <w:t>Form.</w:t>
      </w:r>
    </w:p>
    <w:p>
      <w:pPr>
        <w:pStyle w:val="BodyText"/>
        <w:spacing w:before="2"/>
      </w:pPr>
    </w:p>
    <w:p>
      <w:pPr>
        <w:pStyle w:val="Heading9"/>
        <w:ind w:left="1199"/>
        <w:jc w:val="both"/>
      </w:pPr>
      <w:r>
        <w:rPr/>
        <w:t>External</w:t>
      </w:r>
      <w:r>
        <w:rPr>
          <w:spacing w:val="1"/>
        </w:rPr>
        <w:t> </w:t>
      </w:r>
      <w:r>
        <w:rPr>
          <w:spacing w:val="-2"/>
        </w:rPr>
        <w:t>Resources</w:t>
      </w:r>
    </w:p>
    <w:p>
      <w:pPr>
        <w:pStyle w:val="BodyText"/>
        <w:ind w:left="1199" w:right="932"/>
        <w:jc w:val="both"/>
      </w:pPr>
      <w:r>
        <w:rPr/>
        <w:t>Translation and Interpretation Services – MaineDOT has active contracts with the following professional language translation providers:</w:t>
      </w:r>
    </w:p>
    <w:p>
      <w:pPr>
        <w:pStyle w:val="BodyText"/>
        <w:spacing w:before="12"/>
        <w:rPr>
          <w:sz w:val="23"/>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90"/>
      </w:tblGrid>
      <w:tr>
        <w:trPr>
          <w:trHeight w:val="292" w:hRule="atLeast"/>
        </w:trPr>
        <w:tc>
          <w:tcPr>
            <w:tcW w:w="8990" w:type="dxa"/>
            <w:shd w:val="clear" w:color="auto" w:fill="D9D9D9"/>
          </w:tcPr>
          <w:p>
            <w:pPr>
              <w:pStyle w:val="TableParagraph"/>
              <w:spacing w:line="272" w:lineRule="exact"/>
              <w:ind w:left="1947" w:right="1940"/>
              <w:jc w:val="center"/>
              <w:rPr>
                <w:rFonts w:ascii="Calibri"/>
                <w:b/>
                <w:sz w:val="24"/>
              </w:rPr>
            </w:pPr>
            <w:r>
              <w:rPr>
                <w:rFonts w:ascii="Calibri"/>
                <w:b/>
                <w:sz w:val="24"/>
              </w:rPr>
              <w:t>In-Person</w:t>
            </w:r>
            <w:r>
              <w:rPr>
                <w:rFonts w:ascii="Calibri"/>
                <w:b/>
                <w:spacing w:val="-3"/>
                <w:sz w:val="24"/>
              </w:rPr>
              <w:t> </w:t>
            </w:r>
            <w:r>
              <w:rPr>
                <w:rFonts w:ascii="Calibri"/>
                <w:b/>
                <w:sz w:val="24"/>
              </w:rPr>
              <w:t>Spoken</w:t>
            </w:r>
            <w:r>
              <w:rPr>
                <w:rFonts w:ascii="Calibri"/>
                <w:b/>
                <w:spacing w:val="-3"/>
                <w:sz w:val="24"/>
              </w:rPr>
              <w:t> </w:t>
            </w:r>
            <w:r>
              <w:rPr>
                <w:rFonts w:ascii="Calibri"/>
                <w:b/>
                <w:sz w:val="24"/>
              </w:rPr>
              <w:t>Language</w:t>
            </w:r>
            <w:r>
              <w:rPr>
                <w:rFonts w:ascii="Calibri"/>
                <w:b/>
                <w:spacing w:val="-3"/>
                <w:sz w:val="24"/>
              </w:rPr>
              <w:t> </w:t>
            </w:r>
            <w:r>
              <w:rPr>
                <w:rFonts w:ascii="Calibri"/>
                <w:b/>
                <w:sz w:val="24"/>
              </w:rPr>
              <w:t>Interpretation</w:t>
            </w:r>
            <w:r>
              <w:rPr>
                <w:rFonts w:ascii="Calibri"/>
                <w:b/>
                <w:spacing w:val="-2"/>
                <w:sz w:val="24"/>
              </w:rPr>
              <w:t> Services</w:t>
            </w:r>
          </w:p>
        </w:tc>
      </w:tr>
      <w:tr>
        <w:trPr>
          <w:trHeight w:val="292" w:hRule="atLeast"/>
        </w:trPr>
        <w:tc>
          <w:tcPr>
            <w:tcW w:w="8990" w:type="dxa"/>
          </w:tcPr>
          <w:p>
            <w:pPr>
              <w:pStyle w:val="TableParagraph"/>
              <w:spacing w:line="272" w:lineRule="exact"/>
              <w:ind w:left="107"/>
              <w:rPr>
                <w:rFonts w:ascii="Calibri" w:hAnsi="Calibri"/>
                <w:sz w:val="24"/>
              </w:rPr>
            </w:pPr>
            <w:r>
              <w:rPr>
                <w:rFonts w:ascii="Calibri" w:hAnsi="Calibri"/>
                <w:sz w:val="24"/>
              </w:rPr>
              <w:t>Language</w:t>
            </w:r>
            <w:r>
              <w:rPr>
                <w:rFonts w:ascii="Calibri" w:hAnsi="Calibri"/>
                <w:spacing w:val="-3"/>
                <w:sz w:val="24"/>
              </w:rPr>
              <w:t> </w:t>
            </w:r>
            <w:r>
              <w:rPr>
                <w:rFonts w:ascii="Calibri" w:hAnsi="Calibri"/>
                <w:sz w:val="24"/>
              </w:rPr>
              <w:t>Partners</w:t>
            </w:r>
            <w:r>
              <w:rPr>
                <w:rFonts w:ascii="Calibri" w:hAnsi="Calibri"/>
                <w:spacing w:val="-4"/>
                <w:sz w:val="24"/>
              </w:rPr>
              <w:t> </w:t>
            </w:r>
            <w:r>
              <w:rPr>
                <w:rFonts w:ascii="Calibri" w:hAnsi="Calibri"/>
                <w:sz w:val="24"/>
              </w:rPr>
              <w:t>–</w:t>
            </w:r>
            <w:r>
              <w:rPr>
                <w:rFonts w:ascii="Calibri" w:hAnsi="Calibri"/>
                <w:spacing w:val="-1"/>
                <w:sz w:val="24"/>
              </w:rPr>
              <w:t> </w:t>
            </w:r>
            <w:r>
              <w:rPr>
                <w:rFonts w:ascii="Calibri" w:hAnsi="Calibri"/>
                <w:sz w:val="24"/>
              </w:rPr>
              <w:t>(replaces</w:t>
            </w:r>
            <w:r>
              <w:rPr>
                <w:rFonts w:ascii="Calibri" w:hAnsi="Calibri"/>
                <w:spacing w:val="-2"/>
                <w:sz w:val="24"/>
              </w:rPr>
              <w:t> </w:t>
            </w:r>
            <w:r>
              <w:rPr>
                <w:rFonts w:ascii="Calibri" w:hAnsi="Calibri"/>
                <w:spacing w:val="-4"/>
                <w:sz w:val="24"/>
              </w:rPr>
              <w:t>CCM)</w:t>
            </w:r>
          </w:p>
        </w:tc>
      </w:tr>
      <w:tr>
        <w:trPr>
          <w:trHeight w:val="292" w:hRule="atLeast"/>
        </w:trPr>
        <w:tc>
          <w:tcPr>
            <w:tcW w:w="8990" w:type="dxa"/>
          </w:tcPr>
          <w:p>
            <w:pPr>
              <w:pStyle w:val="TableParagraph"/>
              <w:spacing w:line="272" w:lineRule="exact"/>
              <w:ind w:left="107"/>
              <w:rPr>
                <w:rFonts w:ascii="Calibri"/>
                <w:sz w:val="24"/>
              </w:rPr>
            </w:pPr>
            <w:r>
              <w:rPr>
                <w:rFonts w:ascii="Calibri"/>
                <w:sz w:val="24"/>
              </w:rPr>
              <w:t>House</w:t>
            </w:r>
            <w:r>
              <w:rPr>
                <w:rFonts w:ascii="Calibri"/>
                <w:spacing w:val="-2"/>
                <w:sz w:val="24"/>
              </w:rPr>
              <w:t> </w:t>
            </w:r>
            <w:r>
              <w:rPr>
                <w:rFonts w:ascii="Calibri"/>
                <w:sz w:val="24"/>
              </w:rPr>
              <w:t>of</w:t>
            </w:r>
            <w:r>
              <w:rPr>
                <w:rFonts w:ascii="Calibri"/>
                <w:spacing w:val="-1"/>
                <w:sz w:val="24"/>
              </w:rPr>
              <w:t> </w:t>
            </w:r>
            <w:r>
              <w:rPr>
                <w:rFonts w:ascii="Calibri"/>
                <w:sz w:val="24"/>
              </w:rPr>
              <w:t>Languages,</w:t>
            </w:r>
            <w:r>
              <w:rPr>
                <w:rFonts w:ascii="Calibri"/>
                <w:spacing w:val="-4"/>
                <w:sz w:val="24"/>
              </w:rPr>
              <w:t> Inc.</w:t>
            </w:r>
          </w:p>
        </w:tc>
      </w:tr>
      <w:tr>
        <w:trPr>
          <w:trHeight w:val="294" w:hRule="atLeast"/>
        </w:trPr>
        <w:tc>
          <w:tcPr>
            <w:tcW w:w="8990" w:type="dxa"/>
          </w:tcPr>
          <w:p>
            <w:pPr>
              <w:pStyle w:val="TableParagraph"/>
              <w:spacing w:line="273" w:lineRule="exact" w:before="1"/>
              <w:ind w:left="107"/>
              <w:rPr>
                <w:rFonts w:ascii="Calibri"/>
                <w:sz w:val="24"/>
              </w:rPr>
            </w:pPr>
            <w:r>
              <w:rPr>
                <w:rFonts w:ascii="Calibri"/>
                <w:sz w:val="24"/>
              </w:rPr>
              <w:t>Maine</w:t>
            </w:r>
            <w:r>
              <w:rPr>
                <w:rFonts w:ascii="Calibri"/>
                <w:spacing w:val="-3"/>
                <w:sz w:val="24"/>
              </w:rPr>
              <w:t> </w:t>
            </w:r>
            <w:r>
              <w:rPr>
                <w:rFonts w:ascii="Calibri"/>
                <w:sz w:val="24"/>
              </w:rPr>
              <w:t>Language</w:t>
            </w:r>
            <w:r>
              <w:rPr>
                <w:rFonts w:ascii="Calibri"/>
                <w:spacing w:val="-1"/>
                <w:sz w:val="24"/>
              </w:rPr>
              <w:t> </w:t>
            </w:r>
            <w:r>
              <w:rPr>
                <w:rFonts w:ascii="Calibri"/>
                <w:sz w:val="24"/>
              </w:rPr>
              <w:t>Connect, </w:t>
            </w:r>
            <w:r>
              <w:rPr>
                <w:rFonts w:ascii="Calibri"/>
                <w:spacing w:val="-5"/>
                <w:sz w:val="24"/>
              </w:rPr>
              <w:t>LLC</w:t>
            </w:r>
          </w:p>
        </w:tc>
      </w:tr>
      <w:tr>
        <w:trPr>
          <w:trHeight w:val="292" w:hRule="atLeast"/>
        </w:trPr>
        <w:tc>
          <w:tcPr>
            <w:tcW w:w="8990" w:type="dxa"/>
            <w:shd w:val="clear" w:color="auto" w:fill="D9D9D9"/>
          </w:tcPr>
          <w:p>
            <w:pPr>
              <w:pStyle w:val="TableParagraph"/>
              <w:spacing w:line="272" w:lineRule="exact"/>
              <w:ind w:left="1947" w:right="1940"/>
              <w:jc w:val="center"/>
              <w:rPr>
                <w:rFonts w:ascii="Calibri"/>
                <w:b/>
                <w:sz w:val="24"/>
              </w:rPr>
            </w:pPr>
            <w:r>
              <w:rPr>
                <w:rFonts w:ascii="Calibri"/>
                <w:b/>
                <w:sz w:val="24"/>
              </w:rPr>
              <w:t>Telephonic</w:t>
            </w:r>
            <w:r>
              <w:rPr>
                <w:rFonts w:ascii="Calibri"/>
                <w:b/>
                <w:spacing w:val="-5"/>
                <w:sz w:val="24"/>
              </w:rPr>
              <w:t> </w:t>
            </w:r>
            <w:r>
              <w:rPr>
                <w:rFonts w:ascii="Calibri"/>
                <w:b/>
                <w:sz w:val="24"/>
              </w:rPr>
              <w:t>Interpreting</w:t>
            </w:r>
            <w:r>
              <w:rPr>
                <w:rFonts w:ascii="Calibri"/>
                <w:b/>
                <w:spacing w:val="-5"/>
                <w:sz w:val="24"/>
              </w:rPr>
              <w:t> </w:t>
            </w:r>
            <w:r>
              <w:rPr>
                <w:rFonts w:ascii="Calibri"/>
                <w:b/>
                <w:spacing w:val="-2"/>
                <w:sz w:val="24"/>
              </w:rPr>
              <w:t>Services</w:t>
            </w:r>
          </w:p>
        </w:tc>
      </w:tr>
      <w:tr>
        <w:trPr>
          <w:trHeight w:val="292" w:hRule="atLeast"/>
        </w:trPr>
        <w:tc>
          <w:tcPr>
            <w:tcW w:w="8990" w:type="dxa"/>
          </w:tcPr>
          <w:p>
            <w:pPr>
              <w:pStyle w:val="TableParagraph"/>
              <w:spacing w:line="272" w:lineRule="exact"/>
              <w:ind w:left="107"/>
              <w:rPr>
                <w:rFonts w:ascii="Calibri"/>
                <w:sz w:val="24"/>
              </w:rPr>
            </w:pPr>
            <w:r>
              <w:rPr>
                <w:rFonts w:ascii="Calibri"/>
                <w:sz w:val="24"/>
              </w:rPr>
              <w:t>CTS</w:t>
            </w:r>
            <w:r>
              <w:rPr>
                <w:rFonts w:ascii="Calibri"/>
                <w:spacing w:val="-3"/>
                <w:sz w:val="24"/>
              </w:rPr>
              <w:t> </w:t>
            </w:r>
            <w:r>
              <w:rPr>
                <w:rFonts w:ascii="Calibri"/>
                <w:sz w:val="24"/>
              </w:rPr>
              <w:t>/</w:t>
            </w:r>
            <w:r>
              <w:rPr>
                <w:rFonts w:ascii="Calibri"/>
                <w:spacing w:val="-1"/>
                <w:sz w:val="24"/>
              </w:rPr>
              <w:t> </w:t>
            </w:r>
            <w:r>
              <w:rPr>
                <w:rFonts w:ascii="Calibri"/>
                <w:sz w:val="24"/>
              </w:rPr>
              <w:t>Language</w:t>
            </w:r>
            <w:r>
              <w:rPr>
                <w:rFonts w:ascii="Calibri"/>
                <w:spacing w:val="-2"/>
                <w:sz w:val="24"/>
              </w:rPr>
              <w:t> </w:t>
            </w:r>
            <w:r>
              <w:rPr>
                <w:rFonts w:ascii="Calibri"/>
                <w:spacing w:val="-4"/>
                <w:sz w:val="24"/>
              </w:rPr>
              <w:t>Link</w:t>
            </w:r>
          </w:p>
        </w:tc>
      </w:tr>
      <w:tr>
        <w:trPr>
          <w:trHeight w:val="292" w:hRule="atLeast"/>
        </w:trPr>
        <w:tc>
          <w:tcPr>
            <w:tcW w:w="8990" w:type="dxa"/>
          </w:tcPr>
          <w:p>
            <w:pPr>
              <w:pStyle w:val="TableParagraph"/>
              <w:spacing w:line="272" w:lineRule="exact"/>
              <w:ind w:left="107"/>
              <w:rPr>
                <w:rFonts w:ascii="Calibri"/>
                <w:sz w:val="24"/>
              </w:rPr>
            </w:pPr>
            <w:r>
              <w:rPr>
                <w:rFonts w:ascii="Calibri"/>
                <w:sz w:val="24"/>
              </w:rPr>
              <w:t>Interpreters</w:t>
            </w:r>
            <w:r>
              <w:rPr>
                <w:rFonts w:ascii="Calibri"/>
                <w:spacing w:val="-3"/>
                <w:sz w:val="24"/>
              </w:rPr>
              <w:t> </w:t>
            </w:r>
            <w:r>
              <w:rPr>
                <w:rFonts w:ascii="Calibri"/>
                <w:spacing w:val="-2"/>
                <w:sz w:val="24"/>
              </w:rPr>
              <w:t>Unlimited</w:t>
            </w:r>
          </w:p>
        </w:tc>
      </w:tr>
      <w:tr>
        <w:trPr>
          <w:trHeight w:val="294" w:hRule="atLeast"/>
        </w:trPr>
        <w:tc>
          <w:tcPr>
            <w:tcW w:w="8990" w:type="dxa"/>
          </w:tcPr>
          <w:p>
            <w:pPr>
              <w:pStyle w:val="TableParagraph"/>
              <w:spacing w:line="273" w:lineRule="exact" w:before="1"/>
              <w:ind w:left="107"/>
              <w:rPr>
                <w:rFonts w:ascii="Calibri"/>
                <w:sz w:val="24"/>
              </w:rPr>
            </w:pPr>
            <w:r>
              <w:rPr>
                <w:rFonts w:ascii="Calibri"/>
                <w:spacing w:val="-4"/>
                <w:sz w:val="24"/>
              </w:rPr>
              <w:t>SLUSA</w:t>
            </w:r>
          </w:p>
        </w:tc>
      </w:tr>
      <w:tr>
        <w:trPr>
          <w:trHeight w:val="292" w:hRule="atLeast"/>
        </w:trPr>
        <w:tc>
          <w:tcPr>
            <w:tcW w:w="8990" w:type="dxa"/>
          </w:tcPr>
          <w:p>
            <w:pPr>
              <w:pStyle w:val="TableParagraph"/>
              <w:spacing w:line="272" w:lineRule="exact"/>
              <w:ind w:left="107"/>
              <w:rPr>
                <w:rFonts w:ascii="Calibri"/>
                <w:sz w:val="24"/>
              </w:rPr>
            </w:pPr>
            <w:r>
              <w:rPr>
                <w:rFonts w:ascii="Calibri"/>
                <w:sz w:val="24"/>
              </w:rPr>
              <w:t>Propio</w:t>
            </w:r>
            <w:r>
              <w:rPr>
                <w:rFonts w:ascii="Calibri"/>
                <w:spacing w:val="-1"/>
                <w:sz w:val="24"/>
              </w:rPr>
              <w:t> </w:t>
            </w:r>
            <w:r>
              <w:rPr>
                <w:rFonts w:ascii="Calibri"/>
                <w:sz w:val="24"/>
              </w:rPr>
              <w:t>LS,</w:t>
            </w:r>
            <w:r>
              <w:rPr>
                <w:rFonts w:ascii="Calibri"/>
                <w:spacing w:val="1"/>
                <w:sz w:val="24"/>
              </w:rPr>
              <w:t> </w:t>
            </w:r>
            <w:r>
              <w:rPr>
                <w:rFonts w:ascii="Calibri"/>
                <w:spacing w:val="-5"/>
                <w:sz w:val="24"/>
              </w:rPr>
              <w:t>LLC</w:t>
            </w:r>
          </w:p>
        </w:tc>
      </w:tr>
      <w:tr>
        <w:trPr>
          <w:trHeight w:val="292" w:hRule="atLeast"/>
        </w:trPr>
        <w:tc>
          <w:tcPr>
            <w:tcW w:w="8990" w:type="dxa"/>
            <w:shd w:val="clear" w:color="auto" w:fill="D9D9D9"/>
          </w:tcPr>
          <w:p>
            <w:pPr>
              <w:pStyle w:val="TableParagraph"/>
              <w:spacing w:line="272" w:lineRule="exact"/>
              <w:ind w:left="1946" w:right="1940"/>
              <w:jc w:val="center"/>
              <w:rPr>
                <w:rFonts w:ascii="Calibri"/>
                <w:b/>
                <w:sz w:val="24"/>
              </w:rPr>
            </w:pPr>
            <w:r>
              <w:rPr>
                <w:rFonts w:ascii="Calibri"/>
                <w:b/>
                <w:sz w:val="24"/>
              </w:rPr>
              <w:t>Written</w:t>
            </w:r>
            <w:r>
              <w:rPr>
                <w:rFonts w:ascii="Calibri"/>
                <w:b/>
                <w:spacing w:val="-4"/>
                <w:sz w:val="24"/>
              </w:rPr>
              <w:t> </w:t>
            </w:r>
            <w:r>
              <w:rPr>
                <w:rFonts w:ascii="Calibri"/>
                <w:b/>
                <w:sz w:val="24"/>
              </w:rPr>
              <w:t>Translation</w:t>
            </w:r>
            <w:r>
              <w:rPr>
                <w:rFonts w:ascii="Calibri"/>
                <w:b/>
                <w:spacing w:val="-1"/>
                <w:sz w:val="24"/>
              </w:rPr>
              <w:t> </w:t>
            </w:r>
            <w:r>
              <w:rPr>
                <w:rFonts w:ascii="Calibri"/>
                <w:b/>
                <w:spacing w:val="-2"/>
                <w:sz w:val="24"/>
              </w:rPr>
              <w:t>Services</w:t>
            </w:r>
          </w:p>
        </w:tc>
      </w:tr>
      <w:tr>
        <w:trPr>
          <w:trHeight w:val="294" w:hRule="atLeast"/>
        </w:trPr>
        <w:tc>
          <w:tcPr>
            <w:tcW w:w="8990" w:type="dxa"/>
          </w:tcPr>
          <w:p>
            <w:pPr>
              <w:pStyle w:val="TableParagraph"/>
              <w:spacing w:line="275" w:lineRule="exact"/>
              <w:ind w:left="107"/>
              <w:rPr>
                <w:rFonts w:ascii="Calibri"/>
                <w:sz w:val="24"/>
              </w:rPr>
            </w:pPr>
            <w:r>
              <w:rPr>
                <w:rFonts w:ascii="Calibri"/>
                <w:sz w:val="24"/>
              </w:rPr>
              <w:t>Latin</w:t>
            </w:r>
            <w:r>
              <w:rPr>
                <w:rFonts w:ascii="Calibri"/>
                <w:spacing w:val="-4"/>
                <w:sz w:val="24"/>
              </w:rPr>
              <w:t> </w:t>
            </w:r>
            <w:r>
              <w:rPr>
                <w:rFonts w:ascii="Calibri"/>
                <w:sz w:val="24"/>
              </w:rPr>
              <w:t>American</w:t>
            </w:r>
            <w:r>
              <w:rPr>
                <w:rFonts w:ascii="Calibri"/>
                <w:spacing w:val="-4"/>
                <w:sz w:val="24"/>
              </w:rPr>
              <w:t> </w:t>
            </w:r>
            <w:r>
              <w:rPr>
                <w:rFonts w:ascii="Calibri"/>
                <w:sz w:val="24"/>
              </w:rPr>
              <w:t>Translators</w:t>
            </w:r>
            <w:r>
              <w:rPr>
                <w:rFonts w:ascii="Calibri"/>
                <w:spacing w:val="-2"/>
                <w:sz w:val="24"/>
              </w:rPr>
              <w:t> Network</w:t>
            </w:r>
          </w:p>
        </w:tc>
      </w:tr>
    </w:tbl>
    <w:p>
      <w:pPr>
        <w:pStyle w:val="BodyText"/>
        <w:spacing w:before="4"/>
      </w:pPr>
    </w:p>
    <w:p>
      <w:pPr>
        <w:spacing w:before="0"/>
        <w:ind w:left="840" w:right="0" w:firstLine="0"/>
        <w:jc w:val="left"/>
        <w:rPr>
          <w:i/>
          <w:sz w:val="24"/>
        </w:rPr>
      </w:pPr>
      <w:r>
        <w:rPr>
          <w:i/>
          <w:spacing w:val="-2"/>
          <w:sz w:val="24"/>
        </w:rPr>
        <w:t>Source:</w:t>
      </w:r>
      <w:r>
        <w:rPr>
          <w:i/>
          <w:spacing w:val="35"/>
          <w:sz w:val="24"/>
        </w:rPr>
        <w:t>  </w:t>
      </w:r>
      <w:hyperlink r:id="rId42">
        <w:r>
          <w:rPr>
            <w:i/>
            <w:color w:val="0000FF"/>
            <w:spacing w:val="-2"/>
            <w:sz w:val="24"/>
            <w:u w:val="single" w:color="0000FF"/>
          </w:rPr>
          <w:t>https://www.maine.gov/dafs/bbm/procurementservices/reports/statewide-contracts</w:t>
        </w:r>
      </w:hyperlink>
    </w:p>
    <w:p>
      <w:pPr>
        <w:pStyle w:val="BodyText"/>
        <w:spacing w:before="9"/>
        <w:rPr>
          <w:i/>
          <w:sz w:val="19"/>
        </w:rPr>
      </w:pPr>
    </w:p>
    <w:p>
      <w:pPr>
        <w:pStyle w:val="BodyText"/>
        <w:spacing w:before="52"/>
        <w:ind w:left="1200"/>
      </w:pPr>
      <w:r>
        <w:rPr/>
        <w:t>MaineDOT</w:t>
      </w:r>
      <w:r>
        <w:rPr>
          <w:spacing w:val="35"/>
        </w:rPr>
        <w:t> </w:t>
      </w:r>
      <w:r>
        <w:rPr/>
        <w:t>provides</w:t>
      </w:r>
      <w:r>
        <w:rPr>
          <w:spacing w:val="36"/>
        </w:rPr>
        <w:t> </w:t>
      </w:r>
      <w:r>
        <w:rPr/>
        <w:t>the</w:t>
      </w:r>
      <w:r>
        <w:rPr>
          <w:spacing w:val="35"/>
        </w:rPr>
        <w:t> </w:t>
      </w:r>
      <w:r>
        <w:rPr/>
        <w:t>following</w:t>
      </w:r>
      <w:r>
        <w:rPr>
          <w:spacing w:val="34"/>
        </w:rPr>
        <w:t> </w:t>
      </w:r>
      <w:r>
        <w:rPr/>
        <w:t>process</w:t>
      </w:r>
      <w:r>
        <w:rPr>
          <w:spacing w:val="34"/>
        </w:rPr>
        <w:t> </w:t>
      </w:r>
      <w:r>
        <w:rPr/>
        <w:t>and</w:t>
      </w:r>
      <w:r>
        <w:rPr>
          <w:spacing w:val="33"/>
        </w:rPr>
        <w:t> </w:t>
      </w:r>
      <w:r>
        <w:rPr/>
        <w:t>guidance</w:t>
      </w:r>
      <w:r>
        <w:rPr>
          <w:spacing w:val="35"/>
        </w:rPr>
        <w:t> </w:t>
      </w:r>
      <w:r>
        <w:rPr/>
        <w:t>for</w:t>
      </w:r>
      <w:r>
        <w:rPr>
          <w:spacing w:val="37"/>
        </w:rPr>
        <w:t> </w:t>
      </w:r>
      <w:r>
        <w:rPr/>
        <w:t>its</w:t>
      </w:r>
      <w:r>
        <w:rPr>
          <w:spacing w:val="34"/>
        </w:rPr>
        <w:t> </w:t>
      </w:r>
      <w:r>
        <w:rPr/>
        <w:t>meeting</w:t>
      </w:r>
      <w:r>
        <w:rPr>
          <w:spacing w:val="36"/>
        </w:rPr>
        <w:t> </w:t>
      </w:r>
      <w:r>
        <w:rPr/>
        <w:t>organizers</w:t>
      </w:r>
      <w:r>
        <w:rPr>
          <w:spacing w:val="34"/>
        </w:rPr>
        <w:t> </w:t>
      </w:r>
      <w:r>
        <w:rPr/>
        <w:t>when organizing public meetings at which LEP individuals may be encountered.</w:t>
      </w:r>
    </w:p>
    <w:p>
      <w:pPr>
        <w:spacing w:after="0"/>
        <w:sectPr>
          <w:pgSz w:w="12240" w:h="15840"/>
          <w:pgMar w:header="0" w:footer="997" w:top="960" w:bottom="1260" w:left="600" w:right="500"/>
        </w:sectPr>
      </w:pPr>
    </w:p>
    <w:p>
      <w:pPr>
        <w:pStyle w:val="BodyText"/>
        <w:spacing w:before="2"/>
        <w:rPr>
          <w:sz w:val="20"/>
        </w:rPr>
      </w:pPr>
      <w:r>
        <w:rPr/>
        <mc:AlternateContent>
          <mc:Choice Requires="wps">
            <w:drawing>
              <wp:anchor distT="0" distB="0" distL="0" distR="0" allowOverlap="1" layoutInCell="1" locked="0" behindDoc="1" simplePos="0" relativeHeight="478352384">
                <wp:simplePos x="0" y="0"/>
                <wp:positionH relativeFrom="page">
                  <wp:posOffset>720852</wp:posOffset>
                </wp:positionH>
                <wp:positionV relativeFrom="page">
                  <wp:posOffset>632446</wp:posOffset>
                </wp:positionV>
                <wp:extent cx="6373495" cy="860361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373495" cy="8603615"/>
                        </a:xfrm>
                        <a:custGeom>
                          <a:avLst/>
                          <a:gdLst/>
                          <a:ahLst/>
                          <a:cxnLst/>
                          <a:rect l="l" t="t" r="r" b="b"/>
                          <a:pathLst>
                            <a:path w="6373495" h="8603615">
                              <a:moveTo>
                                <a:pt x="6083" y="0"/>
                              </a:moveTo>
                              <a:lnTo>
                                <a:pt x="0" y="0"/>
                              </a:lnTo>
                              <a:lnTo>
                                <a:pt x="0" y="6108"/>
                              </a:lnTo>
                              <a:lnTo>
                                <a:pt x="0" y="8596897"/>
                              </a:lnTo>
                              <a:lnTo>
                                <a:pt x="0" y="8602993"/>
                              </a:lnTo>
                              <a:lnTo>
                                <a:pt x="6083" y="8602993"/>
                              </a:lnTo>
                              <a:lnTo>
                                <a:pt x="6083" y="8596897"/>
                              </a:lnTo>
                              <a:lnTo>
                                <a:pt x="6083" y="6108"/>
                              </a:lnTo>
                              <a:lnTo>
                                <a:pt x="6083" y="0"/>
                              </a:lnTo>
                              <a:close/>
                            </a:path>
                            <a:path w="6373495" h="8603615">
                              <a:moveTo>
                                <a:pt x="6373381" y="0"/>
                              </a:moveTo>
                              <a:lnTo>
                                <a:pt x="6367272" y="0"/>
                              </a:lnTo>
                              <a:lnTo>
                                <a:pt x="6096" y="0"/>
                              </a:lnTo>
                              <a:lnTo>
                                <a:pt x="6096" y="6108"/>
                              </a:lnTo>
                              <a:lnTo>
                                <a:pt x="6367272" y="6108"/>
                              </a:lnTo>
                              <a:lnTo>
                                <a:pt x="6367272" y="8596897"/>
                              </a:lnTo>
                              <a:lnTo>
                                <a:pt x="6096" y="8596897"/>
                              </a:lnTo>
                              <a:lnTo>
                                <a:pt x="6096" y="8602993"/>
                              </a:lnTo>
                              <a:lnTo>
                                <a:pt x="6367272" y="8602993"/>
                              </a:lnTo>
                              <a:lnTo>
                                <a:pt x="6373381" y="8602993"/>
                              </a:lnTo>
                              <a:lnTo>
                                <a:pt x="6373381" y="8596897"/>
                              </a:lnTo>
                              <a:lnTo>
                                <a:pt x="6373381" y="6108"/>
                              </a:lnTo>
                              <a:lnTo>
                                <a:pt x="637338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6.760002pt;margin-top:49.798965pt;width:501.85pt;height:677.45pt;mso-position-horizontal-relative:page;mso-position-vertical-relative:page;z-index:-24964096" id="docshape35" coordorigin="1135,996" coordsize="10037,13549" path="m1145,996l1135,996,1135,1006,1135,14534,1135,14544,1145,14544,1145,14534,1145,1006,1145,996xm11172,996l11162,996,1145,996,1145,1006,11162,1006,11162,14534,1145,14534,1145,14544,11162,14544,11172,14544,11172,14534,11172,1006,11172,996xe" filled="true" fillcolor="#000000" stroked="false">
                <v:path arrowok="t"/>
                <v:fill type="solid"/>
                <w10:wrap type="none"/>
              </v:shape>
            </w:pict>
          </mc:Fallback>
        </mc:AlternateContent>
      </w:r>
    </w:p>
    <w:p>
      <w:pPr>
        <w:pStyle w:val="Heading9"/>
        <w:spacing w:line="386" w:lineRule="auto" w:before="51"/>
        <w:ind w:left="3345" w:right="2496" w:hanging="322"/>
      </w:pPr>
      <w:r>
        <w:rPr/>
        <w:t>MaineDOT</w:t>
      </w:r>
      <w:r>
        <w:rPr>
          <w:spacing w:val="-9"/>
        </w:rPr>
        <w:t> </w:t>
      </w:r>
      <w:r>
        <w:rPr/>
        <w:t>Accommodation</w:t>
      </w:r>
      <w:r>
        <w:rPr>
          <w:spacing w:val="-10"/>
        </w:rPr>
        <w:t> </w:t>
      </w:r>
      <w:r>
        <w:rPr/>
        <w:t>Requests</w:t>
      </w:r>
      <w:r>
        <w:rPr>
          <w:spacing w:val="-10"/>
        </w:rPr>
        <w:t> </w:t>
      </w:r>
      <w:r>
        <w:rPr/>
        <w:t>for</w:t>
      </w:r>
      <w:r>
        <w:rPr>
          <w:spacing w:val="-9"/>
        </w:rPr>
        <w:t> </w:t>
      </w:r>
      <w:r>
        <w:rPr/>
        <w:t>Meetings Guidance for MaineDOT Meeting Organizers</w:t>
      </w:r>
    </w:p>
    <w:p>
      <w:pPr>
        <w:pStyle w:val="BodyText"/>
        <w:spacing w:line="256" w:lineRule="auto" w:before="3"/>
        <w:ind w:left="947" w:right="583"/>
      </w:pPr>
      <w:r>
        <w:rPr/>
        <w:t>Note: For Project Development Public Meetings, the accommodation request will</w:t>
      </w:r>
      <w:r>
        <w:rPr>
          <w:spacing w:val="-1"/>
        </w:rPr>
        <w:t> </w:t>
      </w:r>
      <w:r>
        <w:rPr/>
        <w:t>be directed to the</w:t>
      </w:r>
      <w:r>
        <w:rPr>
          <w:spacing w:val="-3"/>
        </w:rPr>
        <w:t> </w:t>
      </w:r>
      <w:r>
        <w:rPr/>
        <w:t>Project</w:t>
      </w:r>
      <w:r>
        <w:rPr>
          <w:spacing w:val="-3"/>
        </w:rPr>
        <w:t> </w:t>
      </w:r>
      <w:r>
        <w:rPr/>
        <w:t>Manager.</w:t>
      </w:r>
      <w:r>
        <w:rPr>
          <w:spacing w:val="-2"/>
        </w:rPr>
        <w:t> </w:t>
      </w:r>
      <w:r>
        <w:rPr/>
        <w:t>For</w:t>
      </w:r>
      <w:r>
        <w:rPr>
          <w:spacing w:val="-4"/>
        </w:rPr>
        <w:t> </w:t>
      </w:r>
      <w:r>
        <w:rPr/>
        <w:t>all</w:t>
      </w:r>
      <w:r>
        <w:rPr>
          <w:spacing w:val="-1"/>
        </w:rPr>
        <w:t> </w:t>
      </w:r>
      <w:r>
        <w:rPr/>
        <w:t>other</w:t>
      </w:r>
      <w:r>
        <w:rPr>
          <w:spacing w:val="-1"/>
        </w:rPr>
        <w:t> </w:t>
      </w:r>
      <w:r>
        <w:rPr/>
        <w:t>meetings</w:t>
      </w:r>
      <w:r>
        <w:rPr>
          <w:spacing w:val="-2"/>
        </w:rPr>
        <w:t> </w:t>
      </w:r>
      <w:r>
        <w:rPr/>
        <w:t>and events,</w:t>
      </w:r>
      <w:r>
        <w:rPr>
          <w:spacing w:val="-1"/>
        </w:rPr>
        <w:t> </w:t>
      </w:r>
      <w:r>
        <w:rPr/>
        <w:t>requests</w:t>
      </w:r>
      <w:r>
        <w:rPr>
          <w:spacing w:val="-4"/>
        </w:rPr>
        <w:t> </w:t>
      </w:r>
      <w:r>
        <w:rPr/>
        <w:t>will</w:t>
      </w:r>
      <w:r>
        <w:rPr>
          <w:spacing w:val="-4"/>
        </w:rPr>
        <w:t> </w:t>
      </w:r>
      <w:r>
        <w:rPr/>
        <w:t>be</w:t>
      </w:r>
      <w:r>
        <w:rPr>
          <w:spacing w:val="-3"/>
        </w:rPr>
        <w:t> </w:t>
      </w:r>
      <w:r>
        <w:rPr/>
        <w:t>directed</w:t>
      </w:r>
      <w:r>
        <w:rPr>
          <w:spacing w:val="-3"/>
        </w:rPr>
        <w:t> </w:t>
      </w:r>
      <w:r>
        <w:rPr/>
        <w:t>to</w:t>
      </w:r>
      <w:r>
        <w:rPr>
          <w:spacing w:val="-3"/>
        </w:rPr>
        <w:t> </w:t>
      </w:r>
      <w:r>
        <w:rPr/>
        <w:t>the</w:t>
      </w:r>
      <w:r>
        <w:rPr>
          <w:spacing w:val="-3"/>
        </w:rPr>
        <w:t> </w:t>
      </w:r>
      <w:r>
        <w:rPr/>
        <w:t>meeting organizer/contact person. This document helps to provide guidance on meeting such accommodation requests based on the type of meeting being held.</w:t>
      </w:r>
    </w:p>
    <w:p>
      <w:pPr>
        <w:pStyle w:val="Heading9"/>
        <w:spacing w:before="155"/>
        <w:ind w:left="2344"/>
      </w:pPr>
      <w:r>
        <w:rPr>
          <w:u w:val="single"/>
        </w:rPr>
        <w:t>Available</w:t>
      </w:r>
      <w:r>
        <w:rPr>
          <w:spacing w:val="-3"/>
          <w:u w:val="single"/>
        </w:rPr>
        <w:t> </w:t>
      </w:r>
      <w:r>
        <w:rPr>
          <w:u w:val="single"/>
        </w:rPr>
        <w:t>Accommodations</w:t>
      </w:r>
      <w:r>
        <w:rPr>
          <w:spacing w:val="-1"/>
          <w:u w:val="single"/>
        </w:rPr>
        <w:t> </w:t>
      </w:r>
      <w:r>
        <w:rPr>
          <w:u w:val="single"/>
        </w:rPr>
        <w:t>Based</w:t>
      </w:r>
      <w:r>
        <w:rPr>
          <w:spacing w:val="-1"/>
          <w:u w:val="single"/>
        </w:rPr>
        <w:t> </w:t>
      </w:r>
      <w:r>
        <w:rPr>
          <w:u w:val="single"/>
        </w:rPr>
        <w:t>on</w:t>
      </w:r>
      <w:r>
        <w:rPr>
          <w:spacing w:val="-2"/>
          <w:u w:val="single"/>
        </w:rPr>
        <w:t> </w:t>
      </w:r>
      <w:r>
        <w:rPr>
          <w:u w:val="single"/>
        </w:rPr>
        <w:t>the</w:t>
      </w:r>
      <w:r>
        <w:rPr>
          <w:spacing w:val="-2"/>
          <w:u w:val="single"/>
        </w:rPr>
        <w:t> </w:t>
      </w:r>
      <w:r>
        <w:rPr>
          <w:u w:val="single"/>
        </w:rPr>
        <w:t>Type</w:t>
      </w:r>
      <w:r>
        <w:rPr>
          <w:spacing w:val="-5"/>
          <w:u w:val="single"/>
        </w:rPr>
        <w:t> </w:t>
      </w:r>
      <w:r>
        <w:rPr>
          <w:u w:val="single"/>
        </w:rPr>
        <w:t>of</w:t>
      </w:r>
      <w:r>
        <w:rPr>
          <w:spacing w:val="-1"/>
          <w:u w:val="single"/>
        </w:rPr>
        <w:t> </w:t>
      </w:r>
      <w:r>
        <w:rPr>
          <w:spacing w:val="-2"/>
          <w:u w:val="single"/>
        </w:rPr>
        <w:t>Meeting/Event</w:t>
      </w:r>
    </w:p>
    <w:p>
      <w:pPr>
        <w:pStyle w:val="BodyText"/>
        <w:spacing w:before="179"/>
        <w:ind w:left="648"/>
      </w:pPr>
      <w:r>
        <w:rPr>
          <w:b/>
        </w:rPr>
        <w:t>On-Demand</w:t>
      </w:r>
      <w:r>
        <w:rPr>
          <w:b/>
          <w:spacing w:val="-5"/>
        </w:rPr>
        <w:t> </w:t>
      </w:r>
      <w:r>
        <w:rPr>
          <w:b/>
        </w:rPr>
        <w:t>Meetings</w:t>
      </w:r>
      <w:r>
        <w:rPr/>
        <w:t>.</w:t>
      </w:r>
      <w:r>
        <w:rPr>
          <w:spacing w:val="-3"/>
        </w:rPr>
        <w:t> </w:t>
      </w:r>
      <w:r>
        <w:rPr/>
        <w:t>(Any</w:t>
      </w:r>
      <w:r>
        <w:rPr>
          <w:spacing w:val="-3"/>
        </w:rPr>
        <w:t> </w:t>
      </w:r>
      <w:r>
        <w:rPr/>
        <w:t>videos</w:t>
      </w:r>
      <w:r>
        <w:rPr>
          <w:spacing w:val="-3"/>
        </w:rPr>
        <w:t> </w:t>
      </w:r>
      <w:r>
        <w:rPr/>
        <w:t>for</w:t>
      </w:r>
      <w:r>
        <w:rPr>
          <w:spacing w:val="-2"/>
        </w:rPr>
        <w:t> </w:t>
      </w:r>
      <w:r>
        <w:rPr/>
        <w:t>Virtual</w:t>
      </w:r>
      <w:r>
        <w:rPr>
          <w:spacing w:val="-3"/>
        </w:rPr>
        <w:t> </w:t>
      </w:r>
      <w:r>
        <w:rPr/>
        <w:t>Public</w:t>
      </w:r>
      <w:r>
        <w:rPr>
          <w:spacing w:val="-3"/>
        </w:rPr>
        <w:t> </w:t>
      </w:r>
      <w:r>
        <w:rPr/>
        <w:t>Meetings</w:t>
      </w:r>
      <w:r>
        <w:rPr>
          <w:spacing w:val="-3"/>
        </w:rPr>
        <w:t> </w:t>
      </w:r>
      <w:r>
        <w:rPr/>
        <w:t>already</w:t>
      </w:r>
      <w:r>
        <w:rPr>
          <w:spacing w:val="-3"/>
        </w:rPr>
        <w:t> </w:t>
      </w:r>
      <w:r>
        <w:rPr/>
        <w:t>provide</w:t>
      </w:r>
      <w:r>
        <w:rPr>
          <w:spacing w:val="-2"/>
        </w:rPr>
        <w:t> </w:t>
      </w:r>
      <w:r>
        <w:rPr/>
        <w:t>closed</w:t>
      </w:r>
      <w:r>
        <w:rPr>
          <w:spacing w:val="-1"/>
        </w:rPr>
        <w:t> </w:t>
      </w:r>
      <w:r>
        <w:rPr>
          <w:spacing w:val="-2"/>
        </w:rPr>
        <w:t>captioning.)</w:t>
      </w:r>
    </w:p>
    <w:p>
      <w:pPr>
        <w:pStyle w:val="ListParagraph"/>
        <w:numPr>
          <w:ilvl w:val="0"/>
          <w:numId w:val="20"/>
        </w:numPr>
        <w:tabs>
          <w:tab w:pos="1367" w:val="left" w:leader="none"/>
        </w:tabs>
        <w:spacing w:line="240" w:lineRule="auto" w:before="182" w:after="0"/>
        <w:ind w:left="1367" w:right="0" w:hanging="360"/>
        <w:jc w:val="left"/>
        <w:rPr>
          <w:sz w:val="24"/>
        </w:rPr>
      </w:pPr>
      <w:r>
        <w:rPr>
          <w:sz w:val="24"/>
        </w:rPr>
        <w:t>Language</w:t>
      </w:r>
      <w:r>
        <w:rPr>
          <w:spacing w:val="-2"/>
          <w:sz w:val="24"/>
        </w:rPr>
        <w:t> Translation.</w:t>
      </w:r>
    </w:p>
    <w:p>
      <w:pPr>
        <w:pStyle w:val="BodyText"/>
        <w:spacing w:line="256" w:lineRule="auto" w:before="177"/>
        <w:ind w:left="647" w:right="583"/>
      </w:pPr>
      <w:r>
        <w:rPr>
          <w:b/>
        </w:rPr>
        <w:t>Live</w:t>
      </w:r>
      <w:r>
        <w:rPr>
          <w:b/>
          <w:spacing w:val="-3"/>
        </w:rPr>
        <w:t> </w:t>
      </w:r>
      <w:r>
        <w:rPr>
          <w:b/>
        </w:rPr>
        <w:t>Virtual</w:t>
      </w:r>
      <w:r>
        <w:rPr>
          <w:b/>
          <w:spacing w:val="-4"/>
        </w:rPr>
        <w:t> </w:t>
      </w:r>
      <w:r>
        <w:rPr>
          <w:b/>
        </w:rPr>
        <w:t>Meetings</w:t>
      </w:r>
      <w:r>
        <w:rPr/>
        <w:t>.</w:t>
      </w:r>
      <w:r>
        <w:rPr>
          <w:spacing w:val="-3"/>
        </w:rPr>
        <w:t> </w:t>
      </w:r>
      <w:r>
        <w:rPr/>
        <w:t>(Most</w:t>
      </w:r>
      <w:r>
        <w:rPr>
          <w:spacing w:val="-4"/>
        </w:rPr>
        <w:t> </w:t>
      </w:r>
      <w:r>
        <w:rPr/>
        <w:t>platforms</w:t>
      </w:r>
      <w:r>
        <w:rPr>
          <w:spacing w:val="-3"/>
        </w:rPr>
        <w:t> </w:t>
      </w:r>
      <w:r>
        <w:rPr/>
        <w:t>such</w:t>
      </w:r>
      <w:r>
        <w:rPr>
          <w:spacing w:val="-4"/>
        </w:rPr>
        <w:t> </w:t>
      </w:r>
      <w:r>
        <w:rPr/>
        <w:t>as</w:t>
      </w:r>
      <w:r>
        <w:rPr>
          <w:spacing w:val="-3"/>
        </w:rPr>
        <w:t> </w:t>
      </w:r>
      <w:r>
        <w:rPr/>
        <w:t>Zoom</w:t>
      </w:r>
      <w:r>
        <w:rPr>
          <w:spacing w:val="-2"/>
        </w:rPr>
        <w:t> </w:t>
      </w:r>
      <w:r>
        <w:rPr/>
        <w:t>may</w:t>
      </w:r>
      <w:r>
        <w:rPr>
          <w:spacing w:val="-5"/>
        </w:rPr>
        <w:t> </w:t>
      </w:r>
      <w:r>
        <w:rPr/>
        <w:t>provide</w:t>
      </w:r>
      <w:r>
        <w:rPr>
          <w:spacing w:val="-2"/>
        </w:rPr>
        <w:t> </w:t>
      </w:r>
      <w:r>
        <w:rPr/>
        <w:t>some</w:t>
      </w:r>
      <w:r>
        <w:rPr>
          <w:spacing w:val="-2"/>
        </w:rPr>
        <w:t> </w:t>
      </w:r>
      <w:r>
        <w:rPr/>
        <w:t>level</w:t>
      </w:r>
      <w:r>
        <w:rPr>
          <w:spacing w:val="-2"/>
        </w:rPr>
        <w:t> </w:t>
      </w:r>
      <w:r>
        <w:rPr/>
        <w:t>of</w:t>
      </w:r>
      <w:r>
        <w:rPr>
          <w:spacing w:val="-4"/>
        </w:rPr>
        <w:t> </w:t>
      </w:r>
      <w:r>
        <w:rPr/>
        <w:t>closed</w:t>
      </w:r>
      <w:r>
        <w:rPr>
          <w:spacing w:val="-4"/>
        </w:rPr>
        <w:t> </w:t>
      </w:r>
      <w:r>
        <w:rPr/>
        <w:t>captioning.</w:t>
      </w:r>
      <w:r>
        <w:rPr>
          <w:spacing w:val="-3"/>
        </w:rPr>
        <w:t> </w:t>
      </w:r>
      <w:r>
        <w:rPr/>
        <w:t>A live closed captioner is only provided if requested.)</w:t>
      </w:r>
    </w:p>
    <w:p>
      <w:pPr>
        <w:pStyle w:val="ListParagraph"/>
        <w:numPr>
          <w:ilvl w:val="0"/>
          <w:numId w:val="20"/>
        </w:numPr>
        <w:tabs>
          <w:tab w:pos="1367" w:val="left" w:leader="none"/>
        </w:tabs>
        <w:spacing w:line="240" w:lineRule="auto" w:before="162" w:after="0"/>
        <w:ind w:left="1367" w:right="0" w:hanging="360"/>
        <w:jc w:val="left"/>
        <w:rPr>
          <w:sz w:val="24"/>
        </w:rPr>
      </w:pPr>
      <w:r>
        <w:rPr>
          <w:sz w:val="24"/>
        </w:rPr>
        <w:t>Language</w:t>
      </w:r>
      <w:r>
        <w:rPr>
          <w:spacing w:val="-2"/>
          <w:sz w:val="24"/>
        </w:rPr>
        <w:t> Translation</w:t>
      </w:r>
    </w:p>
    <w:p>
      <w:pPr>
        <w:pStyle w:val="ListParagraph"/>
        <w:numPr>
          <w:ilvl w:val="0"/>
          <w:numId w:val="20"/>
        </w:numPr>
        <w:tabs>
          <w:tab w:pos="1367" w:val="left" w:leader="none"/>
        </w:tabs>
        <w:spacing w:line="240" w:lineRule="auto" w:before="23" w:after="0"/>
        <w:ind w:left="1367" w:right="0" w:hanging="360"/>
        <w:jc w:val="left"/>
        <w:rPr>
          <w:sz w:val="24"/>
        </w:rPr>
      </w:pPr>
      <w:r>
        <w:rPr>
          <w:sz w:val="24"/>
        </w:rPr>
        <w:t>American</w:t>
      </w:r>
      <w:r>
        <w:rPr>
          <w:spacing w:val="-1"/>
          <w:sz w:val="24"/>
        </w:rPr>
        <w:t> </w:t>
      </w:r>
      <w:r>
        <w:rPr>
          <w:sz w:val="24"/>
        </w:rPr>
        <w:t>Sign</w:t>
      </w:r>
      <w:r>
        <w:rPr>
          <w:spacing w:val="-1"/>
          <w:sz w:val="24"/>
        </w:rPr>
        <w:t> </w:t>
      </w:r>
      <w:r>
        <w:rPr>
          <w:sz w:val="24"/>
        </w:rPr>
        <w:t>Language</w:t>
      </w:r>
      <w:r>
        <w:rPr>
          <w:spacing w:val="-6"/>
          <w:sz w:val="24"/>
        </w:rPr>
        <w:t> </w:t>
      </w:r>
      <w:r>
        <w:rPr>
          <w:spacing w:val="-2"/>
          <w:sz w:val="24"/>
        </w:rPr>
        <w:t>Translation</w:t>
      </w:r>
    </w:p>
    <w:p>
      <w:pPr>
        <w:pStyle w:val="ListParagraph"/>
        <w:numPr>
          <w:ilvl w:val="0"/>
          <w:numId w:val="20"/>
        </w:numPr>
        <w:tabs>
          <w:tab w:pos="1367" w:val="left" w:leader="none"/>
        </w:tabs>
        <w:spacing w:line="240" w:lineRule="auto" w:before="23" w:after="0"/>
        <w:ind w:left="1367" w:right="0" w:hanging="360"/>
        <w:jc w:val="left"/>
        <w:rPr>
          <w:sz w:val="24"/>
        </w:rPr>
      </w:pPr>
      <w:r>
        <w:rPr>
          <w:sz w:val="24"/>
        </w:rPr>
        <w:t>Live</w:t>
      </w:r>
      <w:r>
        <w:rPr>
          <w:spacing w:val="-1"/>
          <w:sz w:val="24"/>
        </w:rPr>
        <w:t> </w:t>
      </w:r>
      <w:r>
        <w:rPr>
          <w:sz w:val="24"/>
        </w:rPr>
        <w:t>Closed </w:t>
      </w:r>
      <w:r>
        <w:rPr>
          <w:spacing w:val="-2"/>
          <w:sz w:val="24"/>
        </w:rPr>
        <w:t>Captioning</w:t>
      </w:r>
    </w:p>
    <w:p>
      <w:pPr>
        <w:pStyle w:val="BodyText"/>
        <w:spacing w:before="6"/>
        <w:rPr>
          <w:sz w:val="27"/>
        </w:rPr>
      </w:pPr>
    </w:p>
    <w:p>
      <w:pPr>
        <w:spacing w:before="1"/>
        <w:ind w:left="647" w:right="0" w:firstLine="0"/>
        <w:jc w:val="left"/>
        <w:rPr>
          <w:sz w:val="24"/>
        </w:rPr>
      </w:pPr>
      <w:r>
        <w:rPr>
          <w:b/>
          <w:sz w:val="24"/>
        </w:rPr>
        <w:t>In-Person</w:t>
      </w:r>
      <w:r>
        <w:rPr>
          <w:b/>
          <w:spacing w:val="-3"/>
          <w:sz w:val="24"/>
        </w:rPr>
        <w:t> </w:t>
      </w:r>
      <w:r>
        <w:rPr>
          <w:b/>
          <w:sz w:val="24"/>
        </w:rPr>
        <w:t>Meetings.</w:t>
      </w:r>
      <w:r>
        <w:rPr>
          <w:b/>
          <w:spacing w:val="-1"/>
          <w:sz w:val="24"/>
        </w:rPr>
        <w:t> </w:t>
      </w:r>
      <w:r>
        <w:rPr>
          <w:sz w:val="24"/>
        </w:rPr>
        <w:t>(These</w:t>
      </w:r>
      <w:r>
        <w:rPr>
          <w:spacing w:val="-1"/>
          <w:sz w:val="24"/>
        </w:rPr>
        <w:t> </w:t>
      </w:r>
      <w:r>
        <w:rPr>
          <w:sz w:val="24"/>
        </w:rPr>
        <w:t>meetings</w:t>
      </w:r>
      <w:r>
        <w:rPr>
          <w:spacing w:val="-4"/>
          <w:sz w:val="24"/>
        </w:rPr>
        <w:t> </w:t>
      </w:r>
      <w:r>
        <w:rPr>
          <w:sz w:val="24"/>
        </w:rPr>
        <w:t>need</w:t>
      </w:r>
      <w:r>
        <w:rPr>
          <w:spacing w:val="-3"/>
          <w:sz w:val="24"/>
        </w:rPr>
        <w:t> </w:t>
      </w:r>
      <w:r>
        <w:rPr>
          <w:sz w:val="24"/>
        </w:rPr>
        <w:t>to</w:t>
      </w:r>
      <w:r>
        <w:rPr>
          <w:spacing w:val="-3"/>
          <w:sz w:val="24"/>
        </w:rPr>
        <w:t> </w:t>
      </w:r>
      <w:r>
        <w:rPr>
          <w:sz w:val="24"/>
        </w:rPr>
        <w:t>be</w:t>
      </w:r>
      <w:r>
        <w:rPr>
          <w:spacing w:val="-6"/>
          <w:sz w:val="24"/>
        </w:rPr>
        <w:t> </w:t>
      </w:r>
      <w:r>
        <w:rPr>
          <w:sz w:val="24"/>
        </w:rPr>
        <w:t>held</w:t>
      </w:r>
      <w:r>
        <w:rPr>
          <w:spacing w:val="-3"/>
          <w:sz w:val="24"/>
        </w:rPr>
        <w:t> </w:t>
      </w:r>
      <w:r>
        <w:rPr>
          <w:sz w:val="24"/>
        </w:rPr>
        <w:t>in confirmed</w:t>
      </w:r>
      <w:r>
        <w:rPr>
          <w:spacing w:val="-3"/>
          <w:sz w:val="24"/>
        </w:rPr>
        <w:t> </w:t>
      </w:r>
      <w:r>
        <w:rPr>
          <w:sz w:val="24"/>
        </w:rPr>
        <w:t>ADA</w:t>
      </w:r>
      <w:r>
        <w:rPr>
          <w:spacing w:val="-1"/>
          <w:sz w:val="24"/>
        </w:rPr>
        <w:t> </w:t>
      </w:r>
      <w:r>
        <w:rPr>
          <w:sz w:val="24"/>
        </w:rPr>
        <w:t>accessible </w:t>
      </w:r>
      <w:r>
        <w:rPr>
          <w:spacing w:val="-2"/>
          <w:sz w:val="24"/>
        </w:rPr>
        <w:t>locations.)</w:t>
      </w:r>
    </w:p>
    <w:p>
      <w:pPr>
        <w:pStyle w:val="ListParagraph"/>
        <w:numPr>
          <w:ilvl w:val="1"/>
          <w:numId w:val="20"/>
        </w:numPr>
        <w:tabs>
          <w:tab w:pos="1727" w:val="left" w:leader="none"/>
        </w:tabs>
        <w:spacing w:line="240" w:lineRule="auto" w:before="186" w:after="0"/>
        <w:ind w:left="1727" w:right="0" w:hanging="360"/>
        <w:jc w:val="left"/>
        <w:rPr>
          <w:sz w:val="24"/>
        </w:rPr>
      </w:pPr>
      <w:r>
        <w:rPr>
          <w:sz w:val="24"/>
        </w:rPr>
        <w:t>Specific</w:t>
      </w:r>
      <w:r>
        <w:rPr>
          <w:spacing w:val="-1"/>
          <w:sz w:val="24"/>
        </w:rPr>
        <w:t> </w:t>
      </w:r>
      <w:r>
        <w:rPr>
          <w:sz w:val="24"/>
        </w:rPr>
        <w:t>ADA</w:t>
      </w:r>
      <w:r>
        <w:rPr>
          <w:spacing w:val="1"/>
          <w:sz w:val="24"/>
        </w:rPr>
        <w:t> </w:t>
      </w:r>
      <w:r>
        <w:rPr>
          <w:spacing w:val="-2"/>
          <w:sz w:val="24"/>
        </w:rPr>
        <w:t>Requests</w:t>
      </w:r>
    </w:p>
    <w:p>
      <w:pPr>
        <w:pStyle w:val="ListParagraph"/>
        <w:numPr>
          <w:ilvl w:val="1"/>
          <w:numId w:val="20"/>
        </w:numPr>
        <w:tabs>
          <w:tab w:pos="1727" w:val="left" w:leader="none"/>
        </w:tabs>
        <w:spacing w:line="240" w:lineRule="auto" w:before="23" w:after="0"/>
        <w:ind w:left="1727" w:right="0" w:hanging="360"/>
        <w:jc w:val="left"/>
        <w:rPr>
          <w:sz w:val="24"/>
        </w:rPr>
      </w:pPr>
      <w:r>
        <w:rPr>
          <w:sz w:val="24"/>
        </w:rPr>
        <w:t>Language</w:t>
      </w:r>
      <w:r>
        <w:rPr>
          <w:spacing w:val="-2"/>
          <w:sz w:val="24"/>
        </w:rPr>
        <w:t> Translation</w:t>
      </w:r>
    </w:p>
    <w:p>
      <w:pPr>
        <w:pStyle w:val="ListParagraph"/>
        <w:numPr>
          <w:ilvl w:val="1"/>
          <w:numId w:val="20"/>
        </w:numPr>
        <w:tabs>
          <w:tab w:pos="1727" w:val="left" w:leader="none"/>
        </w:tabs>
        <w:spacing w:line="240" w:lineRule="auto" w:before="23" w:after="0"/>
        <w:ind w:left="1727" w:right="0" w:hanging="360"/>
        <w:jc w:val="left"/>
        <w:rPr>
          <w:sz w:val="24"/>
        </w:rPr>
      </w:pPr>
      <w:r>
        <w:rPr>
          <w:sz w:val="24"/>
        </w:rPr>
        <w:t>American</w:t>
      </w:r>
      <w:r>
        <w:rPr>
          <w:spacing w:val="-1"/>
          <w:sz w:val="24"/>
        </w:rPr>
        <w:t> </w:t>
      </w:r>
      <w:r>
        <w:rPr>
          <w:sz w:val="24"/>
        </w:rPr>
        <w:t>Sign</w:t>
      </w:r>
      <w:r>
        <w:rPr>
          <w:spacing w:val="-1"/>
          <w:sz w:val="24"/>
        </w:rPr>
        <w:t> </w:t>
      </w:r>
      <w:r>
        <w:rPr>
          <w:sz w:val="24"/>
        </w:rPr>
        <w:t>Language</w:t>
      </w:r>
      <w:r>
        <w:rPr>
          <w:spacing w:val="-6"/>
          <w:sz w:val="24"/>
        </w:rPr>
        <w:t> </w:t>
      </w:r>
      <w:r>
        <w:rPr>
          <w:spacing w:val="-2"/>
          <w:sz w:val="24"/>
        </w:rPr>
        <w:t>Translation</w:t>
      </w:r>
    </w:p>
    <w:p>
      <w:pPr>
        <w:pStyle w:val="ListParagraph"/>
        <w:numPr>
          <w:ilvl w:val="1"/>
          <w:numId w:val="20"/>
        </w:numPr>
        <w:tabs>
          <w:tab w:pos="1727" w:val="left" w:leader="none"/>
        </w:tabs>
        <w:spacing w:line="240" w:lineRule="auto" w:before="23" w:after="0"/>
        <w:ind w:left="1727" w:right="0" w:hanging="360"/>
        <w:jc w:val="left"/>
        <w:rPr>
          <w:sz w:val="24"/>
        </w:rPr>
      </w:pPr>
      <w:r>
        <w:rPr>
          <w:sz w:val="24"/>
        </w:rPr>
        <w:t>Assistive</w:t>
      </w:r>
      <w:r>
        <w:rPr>
          <w:spacing w:val="-2"/>
          <w:sz w:val="24"/>
        </w:rPr>
        <w:t> </w:t>
      </w:r>
      <w:r>
        <w:rPr>
          <w:sz w:val="24"/>
        </w:rPr>
        <w:t>Listening</w:t>
      </w:r>
      <w:r>
        <w:rPr>
          <w:spacing w:val="-3"/>
          <w:sz w:val="24"/>
        </w:rPr>
        <w:t> </w:t>
      </w:r>
      <w:r>
        <w:rPr>
          <w:spacing w:val="-2"/>
          <w:sz w:val="24"/>
        </w:rPr>
        <w:t>Devices</w:t>
      </w:r>
    </w:p>
    <w:p>
      <w:pPr>
        <w:pStyle w:val="ListParagraph"/>
        <w:numPr>
          <w:ilvl w:val="1"/>
          <w:numId w:val="20"/>
        </w:numPr>
        <w:tabs>
          <w:tab w:pos="1727" w:val="left" w:leader="none"/>
        </w:tabs>
        <w:spacing w:line="240" w:lineRule="auto" w:before="23" w:after="0"/>
        <w:ind w:left="1727" w:right="0" w:hanging="360"/>
        <w:jc w:val="left"/>
        <w:rPr>
          <w:sz w:val="24"/>
        </w:rPr>
      </w:pPr>
      <w:r>
        <w:rPr>
          <w:sz w:val="24"/>
        </w:rPr>
        <w:t>Reserved</w:t>
      </w:r>
      <w:r>
        <w:rPr>
          <w:spacing w:val="-2"/>
          <w:sz w:val="24"/>
        </w:rPr>
        <w:t> </w:t>
      </w:r>
      <w:r>
        <w:rPr>
          <w:sz w:val="24"/>
        </w:rPr>
        <w:t>Seating</w:t>
      </w:r>
      <w:r>
        <w:rPr>
          <w:spacing w:val="-3"/>
          <w:sz w:val="24"/>
        </w:rPr>
        <w:t> </w:t>
      </w:r>
      <w:r>
        <w:rPr>
          <w:sz w:val="24"/>
        </w:rPr>
        <w:t>for</w:t>
      </w:r>
      <w:r>
        <w:rPr>
          <w:spacing w:val="-2"/>
          <w:sz w:val="24"/>
        </w:rPr>
        <w:t> </w:t>
      </w:r>
      <w:r>
        <w:rPr>
          <w:sz w:val="24"/>
        </w:rPr>
        <w:t>ADA</w:t>
      </w:r>
      <w:r>
        <w:rPr>
          <w:spacing w:val="-2"/>
          <w:sz w:val="24"/>
        </w:rPr>
        <w:t> Accommodations</w:t>
      </w:r>
    </w:p>
    <w:p>
      <w:pPr>
        <w:pStyle w:val="ListParagraph"/>
        <w:numPr>
          <w:ilvl w:val="1"/>
          <w:numId w:val="20"/>
        </w:numPr>
        <w:tabs>
          <w:tab w:pos="1727" w:val="left" w:leader="none"/>
        </w:tabs>
        <w:spacing w:line="240" w:lineRule="auto" w:before="23" w:after="0"/>
        <w:ind w:left="1727" w:right="0" w:hanging="360"/>
        <w:jc w:val="left"/>
        <w:rPr>
          <w:sz w:val="24"/>
        </w:rPr>
      </w:pPr>
      <w:r>
        <w:rPr>
          <w:sz w:val="24"/>
        </w:rPr>
        <w:t>Other</w:t>
      </w:r>
      <w:r>
        <w:rPr>
          <w:spacing w:val="-3"/>
          <w:sz w:val="24"/>
        </w:rPr>
        <w:t> </w:t>
      </w:r>
      <w:r>
        <w:rPr>
          <w:sz w:val="24"/>
        </w:rPr>
        <w:t>Requests</w:t>
      </w:r>
      <w:r>
        <w:rPr>
          <w:spacing w:val="-3"/>
          <w:sz w:val="24"/>
        </w:rPr>
        <w:t> </w:t>
      </w:r>
      <w:r>
        <w:rPr>
          <w:sz w:val="24"/>
        </w:rPr>
        <w:t>not</w:t>
      </w:r>
      <w:r>
        <w:rPr>
          <w:spacing w:val="-2"/>
          <w:sz w:val="24"/>
        </w:rPr>
        <w:t> </w:t>
      </w:r>
      <w:r>
        <w:rPr>
          <w:sz w:val="24"/>
        </w:rPr>
        <w:t>specified</w:t>
      </w:r>
      <w:r>
        <w:rPr>
          <w:spacing w:val="-1"/>
          <w:sz w:val="24"/>
        </w:rPr>
        <w:t> </w:t>
      </w:r>
      <w:r>
        <w:rPr>
          <w:spacing w:val="-4"/>
          <w:sz w:val="24"/>
        </w:rPr>
        <w:t>above</w:t>
      </w:r>
    </w:p>
    <w:p>
      <w:pPr>
        <w:pStyle w:val="Heading9"/>
        <w:spacing w:line="480" w:lineRule="auto" w:before="182"/>
        <w:ind w:left="647" w:right="1672" w:firstLine="1912"/>
      </w:pPr>
      <w:r>
        <w:rPr/>
        <w:t>Contacts/Resources for Providing Accommodation Requests Language</w:t>
      </w:r>
      <w:r>
        <w:rPr>
          <w:spacing w:val="-5"/>
        </w:rPr>
        <w:t> </w:t>
      </w:r>
      <w:r>
        <w:rPr/>
        <w:t>Translation,</w:t>
      </w:r>
      <w:r>
        <w:rPr>
          <w:spacing w:val="-6"/>
        </w:rPr>
        <w:t> </w:t>
      </w:r>
      <w:r>
        <w:rPr/>
        <w:t>American</w:t>
      </w:r>
      <w:r>
        <w:rPr>
          <w:spacing w:val="-4"/>
        </w:rPr>
        <w:t> </w:t>
      </w:r>
      <w:r>
        <w:rPr/>
        <w:t>Sign</w:t>
      </w:r>
      <w:r>
        <w:rPr>
          <w:spacing w:val="-4"/>
        </w:rPr>
        <w:t> </w:t>
      </w:r>
      <w:r>
        <w:rPr/>
        <w:t>Language</w:t>
      </w:r>
      <w:r>
        <w:rPr>
          <w:spacing w:val="-5"/>
        </w:rPr>
        <w:t> </w:t>
      </w:r>
      <w:r>
        <w:rPr/>
        <w:t>Translation,</w:t>
      </w:r>
      <w:r>
        <w:rPr>
          <w:spacing w:val="-6"/>
        </w:rPr>
        <w:t> </w:t>
      </w:r>
      <w:r>
        <w:rPr/>
        <w:t>and</w:t>
      </w:r>
      <w:r>
        <w:rPr>
          <w:spacing w:val="-4"/>
        </w:rPr>
        <w:t> </w:t>
      </w:r>
      <w:r>
        <w:rPr/>
        <w:t>Live</w:t>
      </w:r>
      <w:r>
        <w:rPr>
          <w:spacing w:val="-5"/>
        </w:rPr>
        <w:t> </w:t>
      </w:r>
      <w:r>
        <w:rPr/>
        <w:t>Closed</w:t>
      </w:r>
      <w:r>
        <w:rPr>
          <w:spacing w:val="-4"/>
        </w:rPr>
        <w:t> </w:t>
      </w:r>
      <w:r>
        <w:rPr/>
        <w:t>Captioning</w:t>
      </w:r>
    </w:p>
    <w:p>
      <w:pPr>
        <w:pStyle w:val="BodyText"/>
        <w:ind w:left="648" w:right="583"/>
      </w:pPr>
      <w:r>
        <w:rPr/>
        <w:t>Master</w:t>
      </w:r>
      <w:r>
        <w:rPr>
          <w:spacing w:val="-14"/>
        </w:rPr>
        <w:t> </w:t>
      </w:r>
      <w:r>
        <w:rPr/>
        <w:t>contracts</w:t>
      </w:r>
      <w:r>
        <w:rPr>
          <w:spacing w:val="-14"/>
        </w:rPr>
        <w:t> </w:t>
      </w:r>
      <w:r>
        <w:rPr/>
        <w:t>were</w:t>
      </w:r>
      <w:r>
        <w:rPr>
          <w:spacing w:val="-14"/>
        </w:rPr>
        <w:t> </w:t>
      </w:r>
      <w:r>
        <w:rPr/>
        <w:t>recently</w:t>
      </w:r>
      <w:r>
        <w:rPr>
          <w:spacing w:val="-13"/>
        </w:rPr>
        <w:t> </w:t>
      </w:r>
      <w:r>
        <w:rPr/>
        <w:t>renewed.</w:t>
      </w:r>
      <w:r>
        <w:rPr>
          <w:spacing w:val="26"/>
        </w:rPr>
        <w:t> </w:t>
      </w:r>
      <w:r>
        <w:rPr/>
        <w:t>Try</w:t>
      </w:r>
      <w:r>
        <w:rPr>
          <w:spacing w:val="-14"/>
        </w:rPr>
        <w:t> </w:t>
      </w:r>
      <w:r>
        <w:rPr/>
        <w:t>to</w:t>
      </w:r>
      <w:r>
        <w:rPr>
          <w:spacing w:val="-11"/>
        </w:rPr>
        <w:t> </w:t>
      </w:r>
      <w:r>
        <w:rPr/>
        <w:t>give</w:t>
      </w:r>
      <w:r>
        <w:rPr>
          <w:spacing w:val="-11"/>
        </w:rPr>
        <w:t> </w:t>
      </w:r>
      <w:r>
        <w:rPr/>
        <w:t>them</w:t>
      </w:r>
      <w:r>
        <w:rPr>
          <w:spacing w:val="-13"/>
        </w:rPr>
        <w:t> </w:t>
      </w:r>
      <w:r>
        <w:rPr/>
        <w:t>seven</w:t>
      </w:r>
      <w:r>
        <w:rPr>
          <w:spacing w:val="-12"/>
        </w:rPr>
        <w:t> </w:t>
      </w:r>
      <w:r>
        <w:rPr/>
        <w:t>days’</w:t>
      </w:r>
      <w:r>
        <w:rPr>
          <w:spacing w:val="-13"/>
        </w:rPr>
        <w:t> </w:t>
      </w:r>
      <w:r>
        <w:rPr/>
        <w:t>notice,</w:t>
      </w:r>
      <w:r>
        <w:rPr>
          <w:spacing w:val="-11"/>
        </w:rPr>
        <w:t> </w:t>
      </w:r>
      <w:r>
        <w:rPr/>
        <w:t>but</w:t>
      </w:r>
      <w:r>
        <w:rPr>
          <w:spacing w:val="-12"/>
        </w:rPr>
        <w:t> </w:t>
      </w:r>
      <w:r>
        <w:rPr/>
        <w:t>they’re</w:t>
      </w:r>
      <w:r>
        <w:rPr>
          <w:spacing w:val="-14"/>
        </w:rPr>
        <w:t> </w:t>
      </w:r>
      <w:r>
        <w:rPr/>
        <w:t>pretty</w:t>
      </w:r>
      <w:r>
        <w:rPr>
          <w:spacing w:val="-12"/>
        </w:rPr>
        <w:t> </w:t>
      </w:r>
      <w:r>
        <w:rPr/>
        <w:t>good at handling short notice requests as well.</w:t>
      </w:r>
    </w:p>
    <w:p>
      <w:pPr>
        <w:pStyle w:val="BodyText"/>
        <w:spacing w:before="11"/>
        <w:rPr>
          <w:sz w:val="23"/>
        </w:rPr>
      </w:pPr>
    </w:p>
    <w:p>
      <w:pPr>
        <w:pStyle w:val="BodyText"/>
        <w:spacing w:line="292" w:lineRule="exact"/>
        <w:ind w:left="648"/>
      </w:pPr>
      <w:r>
        <w:rPr/>
        <w:t>The</w:t>
      </w:r>
      <w:r>
        <w:rPr>
          <w:spacing w:val="-3"/>
        </w:rPr>
        <w:t> </w:t>
      </w:r>
      <w:r>
        <w:rPr/>
        <w:t>five companies</w:t>
      </w:r>
      <w:r>
        <w:rPr>
          <w:spacing w:val="-3"/>
        </w:rPr>
        <w:t> </w:t>
      </w:r>
      <w:r>
        <w:rPr/>
        <w:t>that</w:t>
      </w:r>
      <w:r>
        <w:rPr>
          <w:spacing w:val="-2"/>
        </w:rPr>
        <w:t> </w:t>
      </w:r>
      <w:r>
        <w:rPr/>
        <w:t>we</w:t>
      </w:r>
      <w:r>
        <w:rPr>
          <w:spacing w:val="-2"/>
        </w:rPr>
        <w:t> </w:t>
      </w:r>
      <w:r>
        <w:rPr/>
        <w:t>will</w:t>
      </w:r>
      <w:r>
        <w:rPr>
          <w:spacing w:val="-4"/>
        </w:rPr>
        <w:t> </w:t>
      </w:r>
      <w:r>
        <w:rPr/>
        <w:t>have master</w:t>
      </w:r>
      <w:r>
        <w:rPr>
          <w:spacing w:val="-3"/>
        </w:rPr>
        <w:t> </w:t>
      </w:r>
      <w:r>
        <w:rPr/>
        <w:t>agreements</w:t>
      </w:r>
      <w:r>
        <w:rPr>
          <w:spacing w:val="-1"/>
        </w:rPr>
        <w:t> </w:t>
      </w:r>
      <w:r>
        <w:rPr/>
        <w:t>with</w:t>
      </w:r>
      <w:r>
        <w:rPr>
          <w:spacing w:val="-2"/>
        </w:rPr>
        <w:t> </w:t>
      </w:r>
      <w:r>
        <w:rPr/>
        <w:t>soon</w:t>
      </w:r>
      <w:r>
        <w:rPr>
          <w:spacing w:val="1"/>
        </w:rPr>
        <w:t> </w:t>
      </w:r>
      <w:r>
        <w:rPr>
          <w:spacing w:val="-4"/>
        </w:rPr>
        <w:t>are:</w:t>
      </w:r>
    </w:p>
    <w:p>
      <w:pPr>
        <w:pStyle w:val="ListParagraph"/>
        <w:numPr>
          <w:ilvl w:val="0"/>
          <w:numId w:val="20"/>
        </w:numPr>
        <w:tabs>
          <w:tab w:pos="1367" w:val="left" w:leader="none"/>
        </w:tabs>
        <w:spacing w:line="305" w:lineRule="exact" w:before="0" w:after="0"/>
        <w:ind w:left="1367" w:right="0" w:hanging="359"/>
        <w:jc w:val="left"/>
        <w:rPr>
          <w:sz w:val="24"/>
        </w:rPr>
      </w:pPr>
      <w:r>
        <w:rPr>
          <w:sz w:val="24"/>
        </w:rPr>
        <w:t>3Play </w:t>
      </w:r>
      <w:r>
        <w:rPr>
          <w:spacing w:val="-2"/>
          <w:sz w:val="24"/>
        </w:rPr>
        <w:t>Media</w:t>
      </w:r>
    </w:p>
    <w:p>
      <w:pPr>
        <w:pStyle w:val="ListParagraph"/>
        <w:numPr>
          <w:ilvl w:val="0"/>
          <w:numId w:val="20"/>
        </w:numPr>
        <w:tabs>
          <w:tab w:pos="1367" w:val="left" w:leader="none"/>
        </w:tabs>
        <w:spacing w:line="305" w:lineRule="exact" w:before="2" w:after="0"/>
        <w:ind w:left="1367" w:right="0" w:hanging="359"/>
        <w:jc w:val="left"/>
        <w:rPr>
          <w:sz w:val="24"/>
        </w:rPr>
      </w:pPr>
      <w:r>
        <w:rPr>
          <w:sz w:val="24"/>
        </w:rPr>
        <w:t>Automatic Sync</w:t>
      </w:r>
      <w:r>
        <w:rPr>
          <w:spacing w:val="-3"/>
          <w:sz w:val="24"/>
        </w:rPr>
        <w:t> </w:t>
      </w:r>
      <w:r>
        <w:rPr>
          <w:spacing w:val="-2"/>
          <w:sz w:val="24"/>
        </w:rPr>
        <w:t>Technologies</w:t>
      </w:r>
    </w:p>
    <w:p>
      <w:pPr>
        <w:pStyle w:val="ListParagraph"/>
        <w:numPr>
          <w:ilvl w:val="0"/>
          <w:numId w:val="20"/>
        </w:numPr>
        <w:tabs>
          <w:tab w:pos="1367" w:val="left" w:leader="none"/>
        </w:tabs>
        <w:spacing w:line="305" w:lineRule="exact" w:before="0" w:after="0"/>
        <w:ind w:left="1367" w:right="0" w:hanging="359"/>
        <w:jc w:val="left"/>
        <w:rPr>
          <w:sz w:val="24"/>
        </w:rPr>
      </w:pPr>
      <w:r>
        <w:rPr>
          <w:sz w:val="24"/>
        </w:rPr>
        <w:t>Karasch &amp; </w:t>
      </w:r>
      <w:r>
        <w:rPr>
          <w:spacing w:val="-2"/>
          <w:sz w:val="24"/>
        </w:rPr>
        <w:t>Associates</w:t>
      </w:r>
    </w:p>
    <w:p>
      <w:pPr>
        <w:pStyle w:val="ListParagraph"/>
        <w:numPr>
          <w:ilvl w:val="0"/>
          <w:numId w:val="20"/>
        </w:numPr>
        <w:tabs>
          <w:tab w:pos="1367" w:val="left" w:leader="none"/>
        </w:tabs>
        <w:spacing w:line="305" w:lineRule="exact" w:before="1" w:after="0"/>
        <w:ind w:left="1367" w:right="0" w:hanging="359"/>
        <w:jc w:val="left"/>
        <w:rPr>
          <w:sz w:val="24"/>
        </w:rPr>
      </w:pPr>
      <w:r>
        <w:rPr>
          <w:spacing w:val="-2"/>
          <w:sz w:val="24"/>
        </w:rPr>
        <w:t>Linguabee</w:t>
      </w:r>
    </w:p>
    <w:p>
      <w:pPr>
        <w:pStyle w:val="ListParagraph"/>
        <w:numPr>
          <w:ilvl w:val="0"/>
          <w:numId w:val="20"/>
        </w:numPr>
        <w:tabs>
          <w:tab w:pos="1367" w:val="left" w:leader="none"/>
        </w:tabs>
        <w:spacing w:line="305" w:lineRule="exact" w:before="0" w:after="0"/>
        <w:ind w:left="1367" w:right="0" w:hanging="359"/>
        <w:jc w:val="left"/>
        <w:rPr>
          <w:sz w:val="24"/>
        </w:rPr>
      </w:pPr>
      <w:r>
        <w:rPr>
          <w:spacing w:val="-2"/>
          <w:sz w:val="24"/>
        </w:rPr>
        <w:t>SimplyCaptions</w:t>
      </w:r>
    </w:p>
    <w:p>
      <w:pPr>
        <w:pStyle w:val="BodyText"/>
      </w:pPr>
    </w:p>
    <w:p>
      <w:pPr>
        <w:pStyle w:val="BodyText"/>
        <w:ind w:left="648" w:right="583"/>
      </w:pPr>
      <w:r>
        <w:rPr/>
        <w:t>If we want details of ASL services, translation services, etc., those master agreements are already in place and can be found here on the left-hand navigation:</w:t>
      </w:r>
    </w:p>
    <w:p>
      <w:pPr>
        <w:spacing w:after="0"/>
        <w:sectPr>
          <w:pgSz w:w="12240" w:h="15840"/>
          <w:pgMar w:header="0" w:footer="997" w:top="1000" w:bottom="1220" w:left="600" w:right="500"/>
        </w:sectPr>
      </w:pPr>
    </w:p>
    <w:p>
      <w:pPr>
        <w:pStyle w:val="BodyText"/>
        <w:ind w:left="535"/>
        <w:rPr>
          <w:sz w:val="20"/>
        </w:rPr>
      </w:pPr>
      <w:r>
        <w:rPr>
          <w:sz w:val="20"/>
        </w:rPr>
        <mc:AlternateContent>
          <mc:Choice Requires="wps">
            <w:drawing>
              <wp:inline distT="0" distB="0" distL="0" distR="0">
                <wp:extent cx="6367780" cy="2508885"/>
                <wp:effectExtent l="9525" t="0" r="0" b="5714"/>
                <wp:docPr id="40" name="Textbox 40"/>
                <wp:cNvGraphicFramePr>
                  <a:graphicFrameLocks/>
                </wp:cNvGraphicFramePr>
                <a:graphic>
                  <a:graphicData uri="http://schemas.microsoft.com/office/word/2010/wordprocessingShape">
                    <wps:wsp>
                      <wps:cNvPr id="40" name="Textbox 40"/>
                      <wps:cNvSpPr txBox="1"/>
                      <wps:spPr>
                        <a:xfrm>
                          <a:off x="0" y="0"/>
                          <a:ext cx="6367780" cy="2508885"/>
                        </a:xfrm>
                        <a:prstGeom prst="rect">
                          <a:avLst/>
                        </a:prstGeom>
                        <a:ln w="6108">
                          <a:solidFill>
                            <a:srgbClr val="000000"/>
                          </a:solidFill>
                          <a:prstDash val="solid"/>
                        </a:ln>
                      </wps:spPr>
                      <wps:txbx>
                        <w:txbxContent>
                          <w:p>
                            <w:pPr>
                              <w:pStyle w:val="BodyText"/>
                              <w:spacing w:line="292" w:lineRule="exact"/>
                              <w:ind w:left="103"/>
                            </w:pPr>
                            <w:hyperlink r:id="rId42">
                              <w:r>
                                <w:rPr>
                                  <w:color w:val="0000FF"/>
                                  <w:spacing w:val="-2"/>
                                  <w:u w:val="single" w:color="0000FF"/>
                                </w:rPr>
                                <w:t>https://www.maine.gov/dafs/bbm/procurementservices/reports/statewide-contracts</w:t>
                              </w:r>
                            </w:hyperlink>
                          </w:p>
                          <w:p>
                            <w:pPr>
                              <w:pStyle w:val="BodyText"/>
                              <w:spacing w:before="11"/>
                              <w:rPr>
                                <w:sz w:val="23"/>
                              </w:rPr>
                            </w:pPr>
                          </w:p>
                          <w:p>
                            <w:pPr>
                              <w:pStyle w:val="BodyText"/>
                              <w:spacing w:before="1"/>
                              <w:ind w:left="103"/>
                            </w:pPr>
                            <w:r>
                              <w:rPr/>
                              <w:t>Each one of those different vendors will have their own parameters for</w:t>
                            </w:r>
                            <w:r>
                              <w:rPr>
                                <w:spacing w:val="-1"/>
                              </w:rPr>
                              <w:t> </w:t>
                            </w:r>
                            <w:r>
                              <w:rPr/>
                              <w:t>how much notice they need. The 10 days we have in place is a good option for now.</w:t>
                            </w:r>
                          </w:p>
                          <w:p>
                            <w:pPr>
                              <w:pStyle w:val="BodyText"/>
                              <w:spacing w:before="1"/>
                            </w:pPr>
                          </w:p>
                          <w:p>
                            <w:pPr>
                              <w:spacing w:before="0"/>
                              <w:ind w:left="103" w:right="0" w:firstLine="0"/>
                              <w:jc w:val="left"/>
                              <w:rPr>
                                <w:sz w:val="24"/>
                              </w:rPr>
                            </w:pPr>
                            <w:r>
                              <w:rPr>
                                <w:b/>
                                <w:sz w:val="24"/>
                              </w:rPr>
                              <w:t>Assistive</w:t>
                            </w:r>
                            <w:r>
                              <w:rPr>
                                <w:b/>
                                <w:spacing w:val="-5"/>
                                <w:sz w:val="24"/>
                              </w:rPr>
                              <w:t> </w:t>
                            </w:r>
                            <w:r>
                              <w:rPr>
                                <w:b/>
                                <w:sz w:val="24"/>
                              </w:rPr>
                              <w:t>Listening</w:t>
                            </w:r>
                            <w:r>
                              <w:rPr>
                                <w:b/>
                                <w:spacing w:val="-3"/>
                                <w:sz w:val="24"/>
                              </w:rPr>
                              <w:t> </w:t>
                            </w:r>
                            <w:r>
                              <w:rPr>
                                <w:b/>
                                <w:sz w:val="24"/>
                              </w:rPr>
                              <w:t>Devices.</w:t>
                            </w:r>
                            <w:r>
                              <w:rPr>
                                <w:b/>
                                <w:spacing w:val="-1"/>
                                <w:sz w:val="24"/>
                              </w:rPr>
                              <w:t> </w:t>
                            </w:r>
                            <w:r>
                              <w:rPr>
                                <w:sz w:val="24"/>
                              </w:rPr>
                              <w:t>The</w:t>
                            </w:r>
                            <w:r>
                              <w:rPr>
                                <w:spacing w:val="-3"/>
                                <w:sz w:val="24"/>
                              </w:rPr>
                              <w:t> </w:t>
                            </w:r>
                            <w:r>
                              <w:rPr>
                                <w:sz w:val="24"/>
                              </w:rPr>
                              <w:t>hearing</w:t>
                            </w:r>
                            <w:r>
                              <w:rPr>
                                <w:spacing w:val="-4"/>
                                <w:sz w:val="24"/>
                              </w:rPr>
                              <w:t> </w:t>
                            </w:r>
                            <w:r>
                              <w:rPr>
                                <w:sz w:val="24"/>
                              </w:rPr>
                              <w:t>assistance</w:t>
                            </w:r>
                            <w:r>
                              <w:rPr>
                                <w:spacing w:val="-1"/>
                                <w:sz w:val="24"/>
                              </w:rPr>
                              <w:t> </w:t>
                            </w:r>
                            <w:r>
                              <w:rPr>
                                <w:sz w:val="24"/>
                              </w:rPr>
                              <w:t>devices</w:t>
                            </w:r>
                            <w:r>
                              <w:rPr>
                                <w:spacing w:val="-4"/>
                                <w:sz w:val="24"/>
                              </w:rPr>
                              <w:t> </w:t>
                            </w:r>
                            <w:r>
                              <w:rPr>
                                <w:sz w:val="24"/>
                              </w:rPr>
                              <w:t>are</w:t>
                            </w:r>
                            <w:r>
                              <w:rPr>
                                <w:spacing w:val="-1"/>
                                <w:sz w:val="24"/>
                              </w:rPr>
                              <w:t> </w:t>
                            </w:r>
                            <w:r>
                              <w:rPr>
                                <w:sz w:val="24"/>
                              </w:rPr>
                              <w:t>located in</w:t>
                            </w:r>
                            <w:r>
                              <w:rPr>
                                <w:spacing w:val="-3"/>
                                <w:sz w:val="24"/>
                              </w:rPr>
                              <w:t> </w:t>
                            </w:r>
                            <w:r>
                              <w:rPr>
                                <w:sz w:val="24"/>
                              </w:rPr>
                              <w:t>Creative</w:t>
                            </w:r>
                            <w:r>
                              <w:rPr>
                                <w:spacing w:val="-1"/>
                                <w:sz w:val="24"/>
                              </w:rPr>
                              <w:t> </w:t>
                            </w:r>
                            <w:r>
                              <w:rPr>
                                <w:spacing w:val="-2"/>
                                <w:sz w:val="24"/>
                              </w:rPr>
                              <w:t>Services.</w:t>
                            </w:r>
                          </w:p>
                          <w:p>
                            <w:pPr>
                              <w:pStyle w:val="BodyText"/>
                            </w:pPr>
                          </w:p>
                          <w:p>
                            <w:pPr>
                              <w:spacing w:before="0"/>
                              <w:ind w:left="103" w:right="41" w:firstLine="0"/>
                              <w:jc w:val="left"/>
                              <w:rPr>
                                <w:sz w:val="24"/>
                              </w:rPr>
                            </w:pPr>
                            <w:r>
                              <w:rPr>
                                <w:b/>
                                <w:sz w:val="24"/>
                              </w:rPr>
                              <w:t>Reserved Seating for ADA Accommodations. </w:t>
                            </w:r>
                            <w:r>
                              <w:rPr>
                                <w:sz w:val="24"/>
                              </w:rPr>
                              <w:t>This will require the meeting organizer to save a seat for any requests made.</w:t>
                            </w:r>
                          </w:p>
                          <w:p>
                            <w:pPr>
                              <w:pStyle w:val="BodyText"/>
                              <w:spacing w:before="12"/>
                              <w:rPr>
                                <w:sz w:val="23"/>
                              </w:rPr>
                            </w:pPr>
                          </w:p>
                          <w:p>
                            <w:pPr>
                              <w:spacing w:before="0"/>
                              <w:ind w:left="103" w:right="0" w:firstLine="0"/>
                              <w:jc w:val="left"/>
                              <w:rPr>
                                <w:sz w:val="24"/>
                              </w:rPr>
                            </w:pPr>
                            <w:r>
                              <w:rPr>
                                <w:b/>
                                <w:sz w:val="24"/>
                              </w:rPr>
                              <w:t>Specific ADA Requests and Other Requests not specified above. </w:t>
                            </w:r>
                            <w:r>
                              <w:rPr>
                                <w:sz w:val="24"/>
                              </w:rPr>
                              <w:t>These will be request specific. For any help contact the Civil Rights Office.</w:t>
                            </w:r>
                          </w:p>
                        </w:txbxContent>
                      </wps:txbx>
                      <wps:bodyPr wrap="square" lIns="0" tIns="0" rIns="0" bIns="0" rtlCol="0">
                        <a:noAutofit/>
                      </wps:bodyPr>
                    </wps:wsp>
                  </a:graphicData>
                </a:graphic>
              </wp:inline>
            </w:drawing>
          </mc:Choice>
          <mc:Fallback>
            <w:pict>
              <v:shape style="width:501.4pt;height:197.55pt;mso-position-horizontal-relative:char;mso-position-vertical-relative:line" type="#_x0000_t202" id="docshape36" filled="false" stroked="true" strokeweight=".481pt" strokecolor="#000000">
                <w10:anchorlock/>
                <v:textbox inset="0,0,0,0">
                  <w:txbxContent>
                    <w:p>
                      <w:pPr>
                        <w:pStyle w:val="BodyText"/>
                        <w:spacing w:line="292" w:lineRule="exact"/>
                        <w:ind w:left="103"/>
                      </w:pPr>
                      <w:hyperlink r:id="rId42">
                        <w:r>
                          <w:rPr>
                            <w:color w:val="0000FF"/>
                            <w:spacing w:val="-2"/>
                            <w:u w:val="single" w:color="0000FF"/>
                          </w:rPr>
                          <w:t>https://www.maine.gov/dafs/bbm/procurementservices/reports/statewide-contracts</w:t>
                        </w:r>
                      </w:hyperlink>
                    </w:p>
                    <w:p>
                      <w:pPr>
                        <w:pStyle w:val="BodyText"/>
                        <w:spacing w:before="11"/>
                        <w:rPr>
                          <w:sz w:val="23"/>
                        </w:rPr>
                      </w:pPr>
                    </w:p>
                    <w:p>
                      <w:pPr>
                        <w:pStyle w:val="BodyText"/>
                        <w:spacing w:before="1"/>
                        <w:ind w:left="103"/>
                      </w:pPr>
                      <w:r>
                        <w:rPr/>
                        <w:t>Each one of those different vendors will have their own parameters for</w:t>
                      </w:r>
                      <w:r>
                        <w:rPr>
                          <w:spacing w:val="-1"/>
                        </w:rPr>
                        <w:t> </w:t>
                      </w:r>
                      <w:r>
                        <w:rPr/>
                        <w:t>how much notice they need. The 10 days we have in place is a good option for now.</w:t>
                      </w:r>
                    </w:p>
                    <w:p>
                      <w:pPr>
                        <w:pStyle w:val="BodyText"/>
                        <w:spacing w:before="1"/>
                      </w:pPr>
                    </w:p>
                    <w:p>
                      <w:pPr>
                        <w:spacing w:before="0"/>
                        <w:ind w:left="103" w:right="0" w:firstLine="0"/>
                        <w:jc w:val="left"/>
                        <w:rPr>
                          <w:sz w:val="24"/>
                        </w:rPr>
                      </w:pPr>
                      <w:r>
                        <w:rPr>
                          <w:b/>
                          <w:sz w:val="24"/>
                        </w:rPr>
                        <w:t>Assistive</w:t>
                      </w:r>
                      <w:r>
                        <w:rPr>
                          <w:b/>
                          <w:spacing w:val="-5"/>
                          <w:sz w:val="24"/>
                        </w:rPr>
                        <w:t> </w:t>
                      </w:r>
                      <w:r>
                        <w:rPr>
                          <w:b/>
                          <w:sz w:val="24"/>
                        </w:rPr>
                        <w:t>Listening</w:t>
                      </w:r>
                      <w:r>
                        <w:rPr>
                          <w:b/>
                          <w:spacing w:val="-3"/>
                          <w:sz w:val="24"/>
                        </w:rPr>
                        <w:t> </w:t>
                      </w:r>
                      <w:r>
                        <w:rPr>
                          <w:b/>
                          <w:sz w:val="24"/>
                        </w:rPr>
                        <w:t>Devices.</w:t>
                      </w:r>
                      <w:r>
                        <w:rPr>
                          <w:b/>
                          <w:spacing w:val="-1"/>
                          <w:sz w:val="24"/>
                        </w:rPr>
                        <w:t> </w:t>
                      </w:r>
                      <w:r>
                        <w:rPr>
                          <w:sz w:val="24"/>
                        </w:rPr>
                        <w:t>The</w:t>
                      </w:r>
                      <w:r>
                        <w:rPr>
                          <w:spacing w:val="-3"/>
                          <w:sz w:val="24"/>
                        </w:rPr>
                        <w:t> </w:t>
                      </w:r>
                      <w:r>
                        <w:rPr>
                          <w:sz w:val="24"/>
                        </w:rPr>
                        <w:t>hearing</w:t>
                      </w:r>
                      <w:r>
                        <w:rPr>
                          <w:spacing w:val="-4"/>
                          <w:sz w:val="24"/>
                        </w:rPr>
                        <w:t> </w:t>
                      </w:r>
                      <w:r>
                        <w:rPr>
                          <w:sz w:val="24"/>
                        </w:rPr>
                        <w:t>assistance</w:t>
                      </w:r>
                      <w:r>
                        <w:rPr>
                          <w:spacing w:val="-1"/>
                          <w:sz w:val="24"/>
                        </w:rPr>
                        <w:t> </w:t>
                      </w:r>
                      <w:r>
                        <w:rPr>
                          <w:sz w:val="24"/>
                        </w:rPr>
                        <w:t>devices</w:t>
                      </w:r>
                      <w:r>
                        <w:rPr>
                          <w:spacing w:val="-4"/>
                          <w:sz w:val="24"/>
                        </w:rPr>
                        <w:t> </w:t>
                      </w:r>
                      <w:r>
                        <w:rPr>
                          <w:sz w:val="24"/>
                        </w:rPr>
                        <w:t>are</w:t>
                      </w:r>
                      <w:r>
                        <w:rPr>
                          <w:spacing w:val="-1"/>
                          <w:sz w:val="24"/>
                        </w:rPr>
                        <w:t> </w:t>
                      </w:r>
                      <w:r>
                        <w:rPr>
                          <w:sz w:val="24"/>
                        </w:rPr>
                        <w:t>located in</w:t>
                      </w:r>
                      <w:r>
                        <w:rPr>
                          <w:spacing w:val="-3"/>
                          <w:sz w:val="24"/>
                        </w:rPr>
                        <w:t> </w:t>
                      </w:r>
                      <w:r>
                        <w:rPr>
                          <w:sz w:val="24"/>
                        </w:rPr>
                        <w:t>Creative</w:t>
                      </w:r>
                      <w:r>
                        <w:rPr>
                          <w:spacing w:val="-1"/>
                          <w:sz w:val="24"/>
                        </w:rPr>
                        <w:t> </w:t>
                      </w:r>
                      <w:r>
                        <w:rPr>
                          <w:spacing w:val="-2"/>
                          <w:sz w:val="24"/>
                        </w:rPr>
                        <w:t>Services.</w:t>
                      </w:r>
                    </w:p>
                    <w:p>
                      <w:pPr>
                        <w:pStyle w:val="BodyText"/>
                      </w:pPr>
                    </w:p>
                    <w:p>
                      <w:pPr>
                        <w:spacing w:before="0"/>
                        <w:ind w:left="103" w:right="41" w:firstLine="0"/>
                        <w:jc w:val="left"/>
                        <w:rPr>
                          <w:sz w:val="24"/>
                        </w:rPr>
                      </w:pPr>
                      <w:r>
                        <w:rPr>
                          <w:b/>
                          <w:sz w:val="24"/>
                        </w:rPr>
                        <w:t>Reserved Seating for ADA Accommodations. </w:t>
                      </w:r>
                      <w:r>
                        <w:rPr>
                          <w:sz w:val="24"/>
                        </w:rPr>
                        <w:t>This will require the meeting organizer to save a seat for any requests made.</w:t>
                      </w:r>
                    </w:p>
                    <w:p>
                      <w:pPr>
                        <w:pStyle w:val="BodyText"/>
                        <w:spacing w:before="12"/>
                        <w:rPr>
                          <w:sz w:val="23"/>
                        </w:rPr>
                      </w:pPr>
                    </w:p>
                    <w:p>
                      <w:pPr>
                        <w:spacing w:before="0"/>
                        <w:ind w:left="103" w:right="0" w:firstLine="0"/>
                        <w:jc w:val="left"/>
                        <w:rPr>
                          <w:sz w:val="24"/>
                        </w:rPr>
                      </w:pPr>
                      <w:r>
                        <w:rPr>
                          <w:b/>
                          <w:sz w:val="24"/>
                        </w:rPr>
                        <w:t>Specific ADA Requests and Other Requests not specified above. </w:t>
                      </w:r>
                      <w:r>
                        <w:rPr>
                          <w:sz w:val="24"/>
                        </w:rPr>
                        <w:t>These will be request specific. For any help contact the Civil Rights Office.</w:t>
                      </w:r>
                    </w:p>
                  </w:txbxContent>
                </v:textbox>
                <v:stroke dashstyle="solid"/>
              </v:shape>
            </w:pict>
          </mc:Fallback>
        </mc:AlternateContent>
      </w:r>
      <w:r>
        <w:rPr>
          <w:sz w:val="20"/>
        </w:rPr>
      </w:r>
    </w:p>
    <w:p>
      <w:pPr>
        <w:pStyle w:val="BodyText"/>
        <w:spacing w:before="7"/>
        <w:rPr>
          <w:sz w:val="21"/>
        </w:rPr>
      </w:pPr>
    </w:p>
    <w:p>
      <w:pPr>
        <w:pStyle w:val="BodyText"/>
        <w:spacing w:before="51"/>
        <w:ind w:left="1199" w:right="933"/>
        <w:jc w:val="both"/>
      </w:pPr>
      <w:r>
        <w:rPr/>
        <w:t>MaineDOT personnel with frequent contact with the public receive training in the use of contracted</w:t>
      </w:r>
      <w:r>
        <w:rPr>
          <w:spacing w:val="-10"/>
        </w:rPr>
        <w:t> </w:t>
      </w:r>
      <w:r>
        <w:rPr/>
        <w:t>telephone</w:t>
      </w:r>
      <w:r>
        <w:rPr>
          <w:spacing w:val="-10"/>
        </w:rPr>
        <w:t> </w:t>
      </w:r>
      <w:r>
        <w:rPr/>
        <w:t>translation</w:t>
      </w:r>
      <w:r>
        <w:rPr>
          <w:spacing w:val="-7"/>
        </w:rPr>
        <w:t> </w:t>
      </w:r>
      <w:r>
        <w:rPr/>
        <w:t>services.</w:t>
      </w:r>
      <w:r>
        <w:rPr>
          <w:spacing w:val="38"/>
        </w:rPr>
        <w:t> </w:t>
      </w:r>
      <w:r>
        <w:rPr/>
        <w:t>Language</w:t>
      </w:r>
      <w:r>
        <w:rPr>
          <w:spacing w:val="-8"/>
        </w:rPr>
        <w:t> </w:t>
      </w:r>
      <w:r>
        <w:rPr/>
        <w:t>interpretation</w:t>
      </w:r>
      <w:r>
        <w:rPr>
          <w:spacing w:val="-7"/>
        </w:rPr>
        <w:t> </w:t>
      </w:r>
      <w:r>
        <w:rPr/>
        <w:t>services</w:t>
      </w:r>
      <w:r>
        <w:rPr>
          <w:spacing w:val="-9"/>
        </w:rPr>
        <w:t> </w:t>
      </w:r>
      <w:r>
        <w:rPr/>
        <w:t>can</w:t>
      </w:r>
      <w:r>
        <w:rPr>
          <w:spacing w:val="-7"/>
        </w:rPr>
        <w:t> </w:t>
      </w:r>
      <w:r>
        <w:rPr/>
        <w:t>be</w:t>
      </w:r>
      <w:r>
        <w:rPr>
          <w:spacing w:val="-8"/>
        </w:rPr>
        <w:t> </w:t>
      </w:r>
      <w:r>
        <w:rPr/>
        <w:t>arranged using “I speak Cards” and/or interpretation/translation agencies in Maine.</w:t>
      </w:r>
    </w:p>
    <w:p>
      <w:pPr>
        <w:pStyle w:val="BodyText"/>
        <w:spacing w:before="2"/>
      </w:pPr>
    </w:p>
    <w:p>
      <w:pPr>
        <w:pStyle w:val="BodyText"/>
        <w:ind w:left="1199" w:right="932"/>
        <w:jc w:val="both"/>
      </w:pPr>
      <w:r>
        <w:rPr/>
        <w:t>All language services purchased or contracted as a direct project cost must be documented and reported to the Title VI Coordinator for payment processing and statistical tracking and analysis. The Department of Transportation Policy Guidance Concerning Recipients’ Responsibilities</w:t>
      </w:r>
      <w:r>
        <w:rPr>
          <w:spacing w:val="-14"/>
        </w:rPr>
        <w:t> </w:t>
      </w:r>
      <w:r>
        <w:rPr/>
        <w:t>to</w:t>
      </w:r>
      <w:r>
        <w:rPr>
          <w:spacing w:val="-14"/>
        </w:rPr>
        <w:t> </w:t>
      </w:r>
      <w:r>
        <w:rPr/>
        <w:t>Limited</w:t>
      </w:r>
      <w:r>
        <w:rPr>
          <w:spacing w:val="-12"/>
        </w:rPr>
        <w:t> </w:t>
      </w:r>
      <w:r>
        <w:rPr/>
        <w:t>English</w:t>
      </w:r>
      <w:r>
        <w:rPr>
          <w:spacing w:val="-12"/>
        </w:rPr>
        <w:t> </w:t>
      </w:r>
      <w:r>
        <w:rPr/>
        <w:t>Proficiency</w:t>
      </w:r>
      <w:r>
        <w:rPr>
          <w:spacing w:val="-13"/>
        </w:rPr>
        <w:t> </w:t>
      </w:r>
      <w:r>
        <w:rPr/>
        <w:t>(LEP)</w:t>
      </w:r>
      <w:r>
        <w:rPr>
          <w:spacing w:val="-13"/>
        </w:rPr>
        <w:t> </w:t>
      </w:r>
      <w:r>
        <w:rPr/>
        <w:t>Persons</w:t>
      </w:r>
      <w:r>
        <w:rPr>
          <w:spacing w:val="-12"/>
        </w:rPr>
        <w:t> </w:t>
      </w:r>
      <w:r>
        <w:rPr/>
        <w:t>published</w:t>
      </w:r>
      <w:r>
        <w:rPr>
          <w:spacing w:val="-13"/>
        </w:rPr>
        <w:t> </w:t>
      </w:r>
      <w:r>
        <w:rPr/>
        <w:t>in</w:t>
      </w:r>
      <w:r>
        <w:rPr>
          <w:spacing w:val="-14"/>
        </w:rPr>
        <w:t> </w:t>
      </w:r>
      <w:r>
        <w:rPr/>
        <w:t>the</w:t>
      </w:r>
      <w:r>
        <w:rPr>
          <w:spacing w:val="-12"/>
        </w:rPr>
        <w:t> </w:t>
      </w:r>
      <w:r>
        <w:rPr/>
        <w:t>Federal</w:t>
      </w:r>
      <w:r>
        <w:rPr>
          <w:spacing w:val="-14"/>
        </w:rPr>
        <w:t> </w:t>
      </w:r>
      <w:r>
        <w:rPr/>
        <w:t>Register: December 14, 2005 (Volume 70, Number 239) states: “A recipient’s level of resources and the</w:t>
      </w:r>
      <w:r>
        <w:rPr>
          <w:spacing w:val="-1"/>
        </w:rPr>
        <w:t> </w:t>
      </w:r>
      <w:r>
        <w:rPr/>
        <w:t>costs imposed may</w:t>
      </w:r>
      <w:r>
        <w:rPr>
          <w:spacing w:val="-2"/>
        </w:rPr>
        <w:t> </w:t>
      </w:r>
      <w:r>
        <w:rPr/>
        <w:t>have an impact on the</w:t>
      </w:r>
      <w:r>
        <w:rPr>
          <w:spacing w:val="-1"/>
        </w:rPr>
        <w:t> </w:t>
      </w:r>
      <w:r>
        <w:rPr/>
        <w:t>nature</w:t>
      </w:r>
      <w:r>
        <w:rPr>
          <w:spacing w:val="-1"/>
        </w:rPr>
        <w:t> </w:t>
      </w:r>
      <w:r>
        <w:rPr/>
        <w:t>of the steps</w:t>
      </w:r>
      <w:r>
        <w:rPr>
          <w:spacing w:val="-2"/>
        </w:rPr>
        <w:t> </w:t>
      </w:r>
      <w:r>
        <w:rPr/>
        <w:t>it should take in providing meaningful access for LEP persons. Smaller recipients with more limited budgets are not expected to provide the same level of language services as larger recipients with larger budgets. In addition, “reasonable steps” may cease to be reasonable where the costs imposed</w:t>
      </w:r>
      <w:r>
        <w:rPr>
          <w:spacing w:val="-9"/>
        </w:rPr>
        <w:t> </w:t>
      </w:r>
      <w:r>
        <w:rPr/>
        <w:t>substantially</w:t>
      </w:r>
      <w:r>
        <w:rPr>
          <w:spacing w:val="-8"/>
        </w:rPr>
        <w:t> </w:t>
      </w:r>
      <w:r>
        <w:rPr/>
        <w:t>exceed</w:t>
      </w:r>
      <w:r>
        <w:rPr>
          <w:spacing w:val="-9"/>
        </w:rPr>
        <w:t> </w:t>
      </w:r>
      <w:r>
        <w:rPr/>
        <w:t>the</w:t>
      </w:r>
      <w:r>
        <w:rPr>
          <w:spacing w:val="-9"/>
        </w:rPr>
        <w:t> </w:t>
      </w:r>
      <w:r>
        <w:rPr/>
        <w:t>benefits.</w:t>
      </w:r>
      <w:r>
        <w:rPr>
          <w:spacing w:val="-8"/>
        </w:rPr>
        <w:t> </w:t>
      </w:r>
      <w:r>
        <w:rPr/>
        <w:t>Recipients</w:t>
      </w:r>
      <w:r>
        <w:rPr>
          <w:spacing w:val="-10"/>
        </w:rPr>
        <w:t> </w:t>
      </w:r>
      <w:r>
        <w:rPr/>
        <w:t>should</w:t>
      </w:r>
      <w:r>
        <w:rPr>
          <w:spacing w:val="-9"/>
        </w:rPr>
        <w:t> </w:t>
      </w:r>
      <w:r>
        <w:rPr/>
        <w:t>carefully</w:t>
      </w:r>
      <w:r>
        <w:rPr>
          <w:spacing w:val="-10"/>
        </w:rPr>
        <w:t> </w:t>
      </w:r>
      <w:r>
        <w:rPr/>
        <w:t>explore</w:t>
      </w:r>
      <w:r>
        <w:rPr>
          <w:spacing w:val="-9"/>
        </w:rPr>
        <w:t> </w:t>
      </w:r>
      <w:r>
        <w:rPr/>
        <w:t>the</w:t>
      </w:r>
      <w:r>
        <w:rPr>
          <w:spacing w:val="-9"/>
        </w:rPr>
        <w:t> </w:t>
      </w:r>
      <w:r>
        <w:rPr/>
        <w:t>most</w:t>
      </w:r>
      <w:r>
        <w:rPr>
          <w:spacing w:val="-9"/>
        </w:rPr>
        <w:t> </w:t>
      </w:r>
      <w:r>
        <w:rPr/>
        <w:t>cost- effective means of delivering competent and accurate language services before limiting services due to resource concerns. “</w:t>
      </w:r>
    </w:p>
    <w:p>
      <w:pPr>
        <w:pStyle w:val="BodyText"/>
        <w:spacing w:before="10"/>
        <w:rPr>
          <w:sz w:val="23"/>
        </w:rPr>
      </w:pPr>
    </w:p>
    <w:p>
      <w:pPr>
        <w:pStyle w:val="BodyText"/>
        <w:ind w:left="1199" w:right="935"/>
        <w:jc w:val="both"/>
      </w:pPr>
      <w:r>
        <w:rPr/>
        <w:t>Based on this guidance and to ensure accessibility for LEP individuals, MaineDOT has reviewed its resources and deemed that given the low level of LEP individuals in Maine, the Department will proactively translate vital documents into the languages identified by the LAP,</w:t>
      </w:r>
      <w:r>
        <w:rPr>
          <w:spacing w:val="-5"/>
        </w:rPr>
        <w:t> </w:t>
      </w:r>
      <w:r>
        <w:rPr/>
        <w:t>and</w:t>
      </w:r>
      <w:r>
        <w:rPr>
          <w:spacing w:val="-6"/>
        </w:rPr>
        <w:t> </w:t>
      </w:r>
      <w:r>
        <w:rPr/>
        <w:t>“Other”</w:t>
      </w:r>
      <w:r>
        <w:rPr>
          <w:spacing w:val="-5"/>
        </w:rPr>
        <w:t> </w:t>
      </w:r>
      <w:r>
        <w:rPr/>
        <w:t>clustered</w:t>
      </w:r>
      <w:r>
        <w:rPr>
          <w:spacing w:val="-4"/>
        </w:rPr>
        <w:t> </w:t>
      </w:r>
      <w:r>
        <w:rPr/>
        <w:t>languages</w:t>
      </w:r>
      <w:r>
        <w:rPr>
          <w:spacing w:val="-8"/>
        </w:rPr>
        <w:t> </w:t>
      </w:r>
      <w:r>
        <w:rPr/>
        <w:t>will</w:t>
      </w:r>
      <w:r>
        <w:rPr>
          <w:spacing w:val="-7"/>
        </w:rPr>
        <w:t> </w:t>
      </w:r>
      <w:r>
        <w:rPr/>
        <w:t>be</w:t>
      </w:r>
      <w:r>
        <w:rPr>
          <w:spacing w:val="-7"/>
        </w:rPr>
        <w:t> </w:t>
      </w:r>
      <w:r>
        <w:rPr/>
        <w:t>translated</w:t>
      </w:r>
      <w:r>
        <w:rPr>
          <w:spacing w:val="-6"/>
        </w:rPr>
        <w:t> </w:t>
      </w:r>
      <w:r>
        <w:rPr/>
        <w:t>upon</w:t>
      </w:r>
      <w:r>
        <w:rPr>
          <w:spacing w:val="-6"/>
        </w:rPr>
        <w:t> </w:t>
      </w:r>
      <w:r>
        <w:rPr/>
        <w:t>request</w:t>
      </w:r>
      <w:r>
        <w:rPr>
          <w:spacing w:val="-4"/>
        </w:rPr>
        <w:t> </w:t>
      </w:r>
      <w:r>
        <w:rPr/>
        <w:t>and/or</w:t>
      </w:r>
      <w:r>
        <w:rPr>
          <w:spacing w:val="-7"/>
        </w:rPr>
        <w:t> </w:t>
      </w:r>
      <w:r>
        <w:rPr/>
        <w:t>oral</w:t>
      </w:r>
      <w:r>
        <w:rPr>
          <w:spacing w:val="-7"/>
        </w:rPr>
        <w:t> </w:t>
      </w:r>
      <w:r>
        <w:rPr/>
        <w:t>translation will</w:t>
      </w:r>
      <w:r>
        <w:rPr>
          <w:spacing w:val="-4"/>
        </w:rPr>
        <w:t> </w:t>
      </w:r>
      <w:r>
        <w:rPr/>
        <w:t>be</w:t>
      </w:r>
      <w:r>
        <w:rPr>
          <w:spacing w:val="-3"/>
        </w:rPr>
        <w:t> </w:t>
      </w:r>
      <w:r>
        <w:rPr/>
        <w:t>provided</w:t>
      </w:r>
      <w:r>
        <w:rPr>
          <w:spacing w:val="-3"/>
        </w:rPr>
        <w:t> </w:t>
      </w:r>
      <w:r>
        <w:rPr/>
        <w:t>upon request</w:t>
      </w:r>
      <w:r>
        <w:rPr>
          <w:spacing w:val="-4"/>
        </w:rPr>
        <w:t> </w:t>
      </w:r>
      <w:r>
        <w:rPr/>
        <w:t>because</w:t>
      </w:r>
      <w:r>
        <w:rPr>
          <w:spacing w:val="-3"/>
        </w:rPr>
        <w:t> </w:t>
      </w:r>
      <w:r>
        <w:rPr/>
        <w:t>it</w:t>
      </w:r>
      <w:r>
        <w:rPr>
          <w:spacing w:val="-3"/>
        </w:rPr>
        <w:t> </w:t>
      </w:r>
      <w:r>
        <w:rPr/>
        <w:t>is</w:t>
      </w:r>
      <w:r>
        <w:rPr>
          <w:spacing w:val="-4"/>
        </w:rPr>
        <w:t> </w:t>
      </w:r>
      <w:r>
        <w:rPr/>
        <w:t>difficult</w:t>
      </w:r>
      <w:r>
        <w:rPr>
          <w:spacing w:val="-3"/>
        </w:rPr>
        <w:t> </w:t>
      </w:r>
      <w:r>
        <w:rPr/>
        <w:t>for</w:t>
      </w:r>
      <w:r>
        <w:rPr>
          <w:spacing w:val="-6"/>
        </w:rPr>
        <w:t> </w:t>
      </w:r>
      <w:r>
        <w:rPr/>
        <w:t>MaineDOT</w:t>
      </w:r>
      <w:r>
        <w:rPr>
          <w:spacing w:val="-3"/>
        </w:rPr>
        <w:t> </w:t>
      </w:r>
      <w:r>
        <w:rPr/>
        <w:t>to</w:t>
      </w:r>
      <w:r>
        <w:rPr>
          <w:spacing w:val="-3"/>
        </w:rPr>
        <w:t> </w:t>
      </w:r>
      <w:r>
        <w:rPr/>
        <w:t>know specifically</w:t>
      </w:r>
      <w:r>
        <w:rPr>
          <w:spacing w:val="-5"/>
        </w:rPr>
        <w:t> </w:t>
      </w:r>
      <w:r>
        <w:rPr/>
        <w:t>which language of many in the “Other” category/cluster is needed.</w:t>
      </w:r>
    </w:p>
    <w:p>
      <w:pPr>
        <w:pStyle w:val="BodyText"/>
        <w:spacing w:before="1"/>
      </w:pPr>
    </w:p>
    <w:p>
      <w:pPr>
        <w:pStyle w:val="BodyText"/>
        <w:ind w:left="1200" w:right="935"/>
        <w:jc w:val="both"/>
      </w:pPr>
      <w:r>
        <w:rPr/>
        <w:t>Although</w:t>
      </w:r>
      <w:r>
        <w:rPr>
          <w:spacing w:val="-14"/>
        </w:rPr>
        <w:t> </w:t>
      </w:r>
      <w:r>
        <w:rPr/>
        <w:t>there</w:t>
      </w:r>
      <w:r>
        <w:rPr>
          <w:spacing w:val="-14"/>
        </w:rPr>
        <w:t> </w:t>
      </w:r>
      <w:r>
        <w:rPr/>
        <w:t>will</w:t>
      </w:r>
      <w:r>
        <w:rPr>
          <w:spacing w:val="-13"/>
        </w:rPr>
        <w:t> </w:t>
      </w:r>
      <w:r>
        <w:rPr/>
        <w:t>not</w:t>
      </w:r>
      <w:r>
        <w:rPr>
          <w:spacing w:val="-14"/>
        </w:rPr>
        <w:t> </w:t>
      </w:r>
      <w:r>
        <w:rPr/>
        <w:t>be</w:t>
      </w:r>
      <w:r>
        <w:rPr>
          <w:spacing w:val="-13"/>
        </w:rPr>
        <w:t> </w:t>
      </w:r>
      <w:r>
        <w:rPr/>
        <w:t>a</w:t>
      </w:r>
      <w:r>
        <w:rPr>
          <w:spacing w:val="-14"/>
        </w:rPr>
        <w:t> </w:t>
      </w:r>
      <w:r>
        <w:rPr/>
        <w:t>fixed</w:t>
      </w:r>
      <w:r>
        <w:rPr>
          <w:spacing w:val="-13"/>
        </w:rPr>
        <w:t> </w:t>
      </w:r>
      <w:r>
        <w:rPr/>
        <w:t>amount</w:t>
      </w:r>
      <w:r>
        <w:rPr>
          <w:spacing w:val="-13"/>
        </w:rPr>
        <w:t> </w:t>
      </w:r>
      <w:r>
        <w:rPr/>
        <w:t>allocated</w:t>
      </w:r>
      <w:r>
        <w:rPr>
          <w:spacing w:val="-12"/>
        </w:rPr>
        <w:t> </w:t>
      </w:r>
      <w:r>
        <w:rPr/>
        <w:t>from</w:t>
      </w:r>
      <w:r>
        <w:rPr>
          <w:spacing w:val="-14"/>
        </w:rPr>
        <w:t> </w:t>
      </w:r>
      <w:r>
        <w:rPr/>
        <w:t>our</w:t>
      </w:r>
      <w:r>
        <w:rPr>
          <w:spacing w:val="-12"/>
        </w:rPr>
        <w:t> </w:t>
      </w:r>
      <w:r>
        <w:rPr/>
        <w:t>yearly</w:t>
      </w:r>
      <w:r>
        <w:rPr>
          <w:spacing w:val="-14"/>
        </w:rPr>
        <w:t> </w:t>
      </w:r>
      <w:r>
        <w:rPr/>
        <w:t>budget</w:t>
      </w:r>
      <w:r>
        <w:rPr>
          <w:spacing w:val="-14"/>
        </w:rPr>
        <w:t> </w:t>
      </w:r>
      <w:r>
        <w:rPr/>
        <w:t>for</w:t>
      </w:r>
      <w:r>
        <w:rPr>
          <w:spacing w:val="-12"/>
        </w:rPr>
        <w:t> </w:t>
      </w:r>
      <w:r>
        <w:rPr/>
        <w:t>the</w:t>
      </w:r>
      <w:r>
        <w:rPr>
          <w:spacing w:val="-13"/>
        </w:rPr>
        <w:t> </w:t>
      </w:r>
      <w:r>
        <w:rPr/>
        <w:t>translation of documents, the cost associated with the necessary translation of documents in order to comply with LEP requirements will be allocated on an as-needed basis.</w:t>
      </w:r>
    </w:p>
    <w:p>
      <w:pPr>
        <w:spacing w:after="0"/>
        <w:jc w:val="both"/>
        <w:sectPr>
          <w:pgSz w:w="12240" w:h="15840"/>
          <w:pgMar w:header="0" w:footer="997" w:top="1000" w:bottom="1260" w:left="600" w:right="500"/>
        </w:sectPr>
      </w:pPr>
    </w:p>
    <w:p>
      <w:pPr>
        <w:pStyle w:val="Heading9"/>
        <w:spacing w:before="28"/>
        <w:ind w:left="1200"/>
        <w:jc w:val="both"/>
      </w:pPr>
      <w:r>
        <w:rPr/>
        <w:t>Safe</w:t>
      </w:r>
      <w:r>
        <w:rPr>
          <w:spacing w:val="-2"/>
        </w:rPr>
        <w:t> </w:t>
      </w:r>
      <w:r>
        <w:rPr/>
        <w:t>Harbor</w:t>
      </w:r>
      <w:r>
        <w:rPr>
          <w:spacing w:val="1"/>
        </w:rPr>
        <w:t> </w:t>
      </w:r>
      <w:r>
        <w:rPr>
          <w:spacing w:val="-2"/>
        </w:rPr>
        <w:t>Stipulation</w:t>
      </w:r>
    </w:p>
    <w:p>
      <w:pPr>
        <w:pStyle w:val="BodyText"/>
        <w:spacing w:before="12"/>
        <w:rPr>
          <w:b/>
          <w:sz w:val="23"/>
        </w:rPr>
      </w:pPr>
    </w:p>
    <w:p>
      <w:pPr>
        <w:pStyle w:val="BodyText"/>
        <w:ind w:left="1200" w:right="933"/>
        <w:jc w:val="both"/>
      </w:pPr>
      <w:r>
        <w:rPr/>
        <w:t>Federal law provides a "safe harbor" situation so that recipients can ensure with greater certainty that they comply with their obligation to provide written translations in languages other than English.</w:t>
      </w:r>
      <w:r>
        <w:rPr>
          <w:spacing w:val="40"/>
        </w:rPr>
        <w:t> </w:t>
      </w:r>
      <w:r>
        <w:rPr/>
        <w:t>A "safe harbor" means that if a recipient provides written translation in certain</w:t>
      </w:r>
      <w:r>
        <w:rPr>
          <w:spacing w:val="-9"/>
        </w:rPr>
        <w:t> </w:t>
      </w:r>
      <w:r>
        <w:rPr/>
        <w:t>circumstances,</w:t>
      </w:r>
      <w:r>
        <w:rPr>
          <w:spacing w:val="-10"/>
        </w:rPr>
        <w:t> </w:t>
      </w:r>
      <w:r>
        <w:rPr/>
        <w:t>such</w:t>
      </w:r>
      <w:r>
        <w:rPr>
          <w:spacing w:val="-6"/>
        </w:rPr>
        <w:t> </w:t>
      </w:r>
      <w:r>
        <w:rPr/>
        <w:t>action</w:t>
      </w:r>
      <w:r>
        <w:rPr>
          <w:spacing w:val="-9"/>
        </w:rPr>
        <w:t> </w:t>
      </w:r>
      <w:r>
        <w:rPr/>
        <w:t>will</w:t>
      </w:r>
      <w:r>
        <w:rPr>
          <w:spacing w:val="-10"/>
        </w:rPr>
        <w:t> </w:t>
      </w:r>
      <w:r>
        <w:rPr/>
        <w:t>be</w:t>
      </w:r>
      <w:r>
        <w:rPr>
          <w:spacing w:val="-9"/>
        </w:rPr>
        <w:t> </w:t>
      </w:r>
      <w:r>
        <w:rPr/>
        <w:t>considered</w:t>
      </w:r>
      <w:r>
        <w:rPr>
          <w:spacing w:val="-9"/>
        </w:rPr>
        <w:t> </w:t>
      </w:r>
      <w:r>
        <w:rPr/>
        <w:t>strong</w:t>
      </w:r>
      <w:r>
        <w:rPr>
          <w:spacing w:val="-10"/>
        </w:rPr>
        <w:t> </w:t>
      </w:r>
      <w:r>
        <w:rPr/>
        <w:t>evidence</w:t>
      </w:r>
      <w:r>
        <w:rPr>
          <w:spacing w:val="-9"/>
        </w:rPr>
        <w:t> </w:t>
      </w:r>
      <w:r>
        <w:rPr/>
        <w:t>of</w:t>
      </w:r>
      <w:r>
        <w:rPr>
          <w:spacing w:val="-9"/>
        </w:rPr>
        <w:t> </w:t>
      </w:r>
      <w:r>
        <w:rPr/>
        <w:t>compliance</w:t>
      </w:r>
      <w:r>
        <w:rPr>
          <w:spacing w:val="-9"/>
        </w:rPr>
        <w:t> </w:t>
      </w:r>
      <w:r>
        <w:rPr/>
        <w:t>with</w:t>
      </w:r>
      <w:r>
        <w:rPr>
          <w:spacing w:val="-11"/>
        </w:rPr>
        <w:t> </w:t>
      </w:r>
      <w:r>
        <w:rPr/>
        <w:t>the recipient's written-translation obligations under Title VI.</w:t>
      </w:r>
    </w:p>
    <w:p>
      <w:pPr>
        <w:pStyle w:val="BodyText"/>
        <w:spacing w:before="1"/>
      </w:pPr>
    </w:p>
    <w:p>
      <w:pPr>
        <w:pStyle w:val="BodyText"/>
        <w:ind w:left="1200" w:right="933"/>
        <w:jc w:val="both"/>
      </w:pPr>
      <w:r>
        <w:rPr/>
        <w:t>The failure to provide written translations under the circumstances does not mean there is noncompliance,</w:t>
      </w:r>
      <w:r>
        <w:rPr>
          <w:spacing w:val="-9"/>
        </w:rPr>
        <w:t> </w:t>
      </w:r>
      <w:r>
        <w:rPr/>
        <w:t>but</w:t>
      </w:r>
      <w:r>
        <w:rPr>
          <w:spacing w:val="-8"/>
        </w:rPr>
        <w:t> </w:t>
      </w:r>
      <w:r>
        <w:rPr/>
        <w:t>rather</w:t>
      </w:r>
      <w:r>
        <w:rPr>
          <w:spacing w:val="-7"/>
        </w:rPr>
        <w:t> </w:t>
      </w:r>
      <w:r>
        <w:rPr/>
        <w:t>provides</w:t>
      </w:r>
      <w:r>
        <w:rPr>
          <w:spacing w:val="-9"/>
        </w:rPr>
        <w:t> </w:t>
      </w:r>
      <w:r>
        <w:rPr/>
        <w:t>a</w:t>
      </w:r>
      <w:r>
        <w:rPr>
          <w:spacing w:val="-9"/>
        </w:rPr>
        <w:t> </w:t>
      </w:r>
      <w:r>
        <w:rPr/>
        <w:t>guide</w:t>
      </w:r>
      <w:r>
        <w:rPr>
          <w:spacing w:val="-8"/>
        </w:rPr>
        <w:t> </w:t>
      </w:r>
      <w:r>
        <w:rPr/>
        <w:t>for</w:t>
      </w:r>
      <w:r>
        <w:rPr>
          <w:spacing w:val="-8"/>
        </w:rPr>
        <w:t> </w:t>
      </w:r>
      <w:r>
        <w:rPr/>
        <w:t>recipients</w:t>
      </w:r>
      <w:r>
        <w:rPr>
          <w:spacing w:val="-11"/>
        </w:rPr>
        <w:t> </w:t>
      </w:r>
      <w:r>
        <w:rPr/>
        <w:t>that</w:t>
      </w:r>
      <w:r>
        <w:rPr>
          <w:spacing w:val="-8"/>
        </w:rPr>
        <w:t> </w:t>
      </w:r>
      <w:r>
        <w:rPr/>
        <w:t>would</w:t>
      </w:r>
      <w:r>
        <w:rPr>
          <w:spacing w:val="-8"/>
        </w:rPr>
        <w:t> </w:t>
      </w:r>
      <w:r>
        <w:rPr/>
        <w:t>like</w:t>
      </w:r>
      <w:r>
        <w:rPr>
          <w:spacing w:val="-7"/>
        </w:rPr>
        <w:t> </w:t>
      </w:r>
      <w:r>
        <w:rPr/>
        <w:t>greater</w:t>
      </w:r>
      <w:r>
        <w:rPr>
          <w:spacing w:val="-8"/>
        </w:rPr>
        <w:t> </w:t>
      </w:r>
      <w:r>
        <w:rPr/>
        <w:t>certainty</w:t>
      </w:r>
      <w:r>
        <w:rPr>
          <w:spacing w:val="-7"/>
        </w:rPr>
        <w:t> </w:t>
      </w:r>
      <w:r>
        <w:rPr/>
        <w:t>of compliance</w:t>
      </w:r>
      <w:r>
        <w:rPr>
          <w:spacing w:val="-1"/>
        </w:rPr>
        <w:t> </w:t>
      </w:r>
      <w:r>
        <w:rPr/>
        <w:t>than can be</w:t>
      </w:r>
      <w:r>
        <w:rPr>
          <w:spacing w:val="-3"/>
        </w:rPr>
        <w:t> </w:t>
      </w:r>
      <w:r>
        <w:rPr/>
        <w:t>provided by a fact-intensive, four factor</w:t>
      </w:r>
      <w:r>
        <w:rPr>
          <w:spacing w:val="-1"/>
        </w:rPr>
        <w:t> </w:t>
      </w:r>
      <w:r>
        <w:rPr/>
        <w:t>analysis.</w:t>
      </w:r>
      <w:r>
        <w:rPr>
          <w:spacing w:val="-2"/>
        </w:rPr>
        <w:t> </w:t>
      </w:r>
      <w:r>
        <w:rPr/>
        <w:t>For example, even if a safe harbor is not used, if written translation of a certain document(s) would be so burdensome as to defeat the legitimate objectives of its program, it is not necessary.</w:t>
      </w:r>
      <w:r>
        <w:rPr>
          <w:spacing w:val="40"/>
        </w:rPr>
        <w:t> </w:t>
      </w:r>
      <w:r>
        <w:rPr/>
        <w:t>Other ways of providing meaningful access, such as effective oral interpretation of certain vital documents, might be acceptable under such circumstances. Strong evidence of compliance with the recipient's written translation obligations under "safe harbor" includes providing written</w:t>
      </w:r>
      <w:r>
        <w:rPr>
          <w:spacing w:val="-1"/>
        </w:rPr>
        <w:t> </w:t>
      </w:r>
      <w:r>
        <w:rPr/>
        <w:t>translations of vital documents for each eligible LEP language group that constitutes 5% or 1,000, whichever is less, of the population of persons eligible to be served or likely to be affected or encountered.</w:t>
      </w:r>
      <w:r>
        <w:rPr>
          <w:spacing w:val="40"/>
        </w:rPr>
        <w:t> </w:t>
      </w:r>
      <w:r>
        <w:rPr/>
        <w:t>Translation of other documents, if needed, can be provided </w:t>
      </w:r>
      <w:r>
        <w:rPr>
          <w:spacing w:val="-2"/>
        </w:rPr>
        <w:t>orally.</w:t>
      </w:r>
    </w:p>
    <w:p>
      <w:pPr>
        <w:pStyle w:val="BodyText"/>
      </w:pPr>
    </w:p>
    <w:p>
      <w:pPr>
        <w:pStyle w:val="BodyText"/>
        <w:ind w:left="1200" w:right="931"/>
        <w:jc w:val="both"/>
      </w:pPr>
      <w:r>
        <w:rPr/>
        <w:t>This</w:t>
      </w:r>
      <w:r>
        <w:rPr>
          <w:spacing w:val="-2"/>
        </w:rPr>
        <w:t> </w:t>
      </w:r>
      <w:r>
        <w:rPr/>
        <w:t>"safe</w:t>
      </w:r>
      <w:r>
        <w:rPr>
          <w:spacing w:val="-3"/>
        </w:rPr>
        <w:t> </w:t>
      </w:r>
      <w:r>
        <w:rPr/>
        <w:t>harbor"</w:t>
      </w:r>
      <w:r>
        <w:rPr>
          <w:spacing w:val="-6"/>
        </w:rPr>
        <w:t> </w:t>
      </w:r>
      <w:r>
        <w:rPr/>
        <w:t>provision</w:t>
      </w:r>
      <w:r>
        <w:rPr>
          <w:spacing w:val="-3"/>
        </w:rPr>
        <w:t> </w:t>
      </w:r>
      <w:r>
        <w:rPr/>
        <w:t>applies</w:t>
      </w:r>
      <w:r>
        <w:rPr>
          <w:spacing w:val="-4"/>
        </w:rPr>
        <w:t> </w:t>
      </w:r>
      <w:r>
        <w:rPr/>
        <w:t>to</w:t>
      </w:r>
      <w:r>
        <w:rPr>
          <w:spacing w:val="-6"/>
        </w:rPr>
        <w:t> </w:t>
      </w:r>
      <w:r>
        <w:rPr/>
        <w:t>the</w:t>
      </w:r>
      <w:r>
        <w:rPr>
          <w:spacing w:val="-6"/>
        </w:rPr>
        <w:t> </w:t>
      </w:r>
      <w:r>
        <w:rPr/>
        <w:t>translation</w:t>
      </w:r>
      <w:r>
        <w:rPr>
          <w:spacing w:val="-3"/>
        </w:rPr>
        <w:t> </w:t>
      </w:r>
      <w:r>
        <w:rPr/>
        <w:t>of</w:t>
      </w:r>
      <w:r>
        <w:rPr>
          <w:spacing w:val="-5"/>
        </w:rPr>
        <w:t> </w:t>
      </w:r>
      <w:r>
        <w:rPr/>
        <w:t>written</w:t>
      </w:r>
      <w:r>
        <w:rPr>
          <w:spacing w:val="-5"/>
        </w:rPr>
        <w:t> </w:t>
      </w:r>
      <w:r>
        <w:rPr/>
        <w:t>documents</w:t>
      </w:r>
      <w:r>
        <w:rPr>
          <w:spacing w:val="-2"/>
        </w:rPr>
        <w:t> </w:t>
      </w:r>
      <w:r>
        <w:rPr/>
        <w:t>only.</w:t>
      </w:r>
      <w:r>
        <w:rPr>
          <w:spacing w:val="-5"/>
        </w:rPr>
        <w:t> </w:t>
      </w:r>
      <w:r>
        <w:rPr/>
        <w:t>It</w:t>
      </w:r>
      <w:r>
        <w:rPr>
          <w:spacing w:val="-3"/>
        </w:rPr>
        <w:t> </w:t>
      </w:r>
      <w:r>
        <w:rPr/>
        <w:t>does</w:t>
      </w:r>
      <w:r>
        <w:rPr>
          <w:spacing w:val="-4"/>
        </w:rPr>
        <w:t> </w:t>
      </w:r>
      <w:r>
        <w:rPr/>
        <w:t>not affect the requirement to provide meaningful access to LEP individuals through competent oral interpreters as oral language services are needed and are reasonable.</w:t>
      </w:r>
    </w:p>
    <w:p>
      <w:pPr>
        <w:pStyle w:val="BodyText"/>
      </w:pPr>
    </w:p>
    <w:p>
      <w:pPr>
        <w:pStyle w:val="Heading9"/>
        <w:numPr>
          <w:ilvl w:val="1"/>
          <w:numId w:val="10"/>
        </w:numPr>
        <w:tabs>
          <w:tab w:pos="1198" w:val="left" w:leader="none"/>
        </w:tabs>
        <w:spacing w:line="240" w:lineRule="auto" w:before="0" w:after="0"/>
        <w:ind w:left="1198" w:right="0" w:hanging="358"/>
        <w:jc w:val="left"/>
      </w:pPr>
      <w:r>
        <w:rPr/>
        <w:t>Description</w:t>
      </w:r>
      <w:r>
        <w:rPr>
          <w:spacing w:val="-6"/>
        </w:rPr>
        <w:t> </w:t>
      </w:r>
      <w:r>
        <w:rPr/>
        <w:t>of</w:t>
      </w:r>
      <w:r>
        <w:rPr>
          <w:spacing w:val="-3"/>
        </w:rPr>
        <w:t> </w:t>
      </w:r>
      <w:r>
        <w:rPr/>
        <w:t>How</w:t>
      </w:r>
      <w:r>
        <w:rPr>
          <w:spacing w:val="-3"/>
        </w:rPr>
        <w:t> </w:t>
      </w:r>
      <w:r>
        <w:rPr/>
        <w:t>MaineDOT Provides</w:t>
      </w:r>
      <w:r>
        <w:rPr>
          <w:spacing w:val="-2"/>
        </w:rPr>
        <w:t> </w:t>
      </w:r>
      <w:r>
        <w:rPr/>
        <w:t>Language</w:t>
      </w:r>
      <w:r>
        <w:rPr>
          <w:spacing w:val="-2"/>
        </w:rPr>
        <w:t> </w:t>
      </w:r>
      <w:r>
        <w:rPr/>
        <w:t>Assistance</w:t>
      </w:r>
      <w:r>
        <w:rPr>
          <w:spacing w:val="-3"/>
        </w:rPr>
        <w:t> </w:t>
      </w:r>
      <w:r>
        <w:rPr/>
        <w:t>Services</w:t>
      </w:r>
      <w:r>
        <w:rPr>
          <w:spacing w:val="-4"/>
        </w:rPr>
        <w:t> </w:t>
      </w:r>
      <w:r>
        <w:rPr/>
        <w:t>by</w:t>
      </w:r>
      <w:r>
        <w:rPr>
          <w:spacing w:val="-2"/>
        </w:rPr>
        <w:t> Language.</w:t>
      </w:r>
    </w:p>
    <w:p>
      <w:pPr>
        <w:pStyle w:val="BodyText"/>
        <w:spacing w:before="11"/>
        <w:rPr>
          <w:b/>
          <w:sz w:val="23"/>
        </w:rPr>
      </w:pPr>
    </w:p>
    <w:p>
      <w:pPr>
        <w:pStyle w:val="BodyText"/>
        <w:spacing w:before="1"/>
        <w:ind w:left="1200" w:right="931"/>
        <w:jc w:val="both"/>
      </w:pPr>
      <w:r>
        <w:rPr/>
        <w:t>U.S.</w:t>
      </w:r>
      <w:r>
        <w:rPr>
          <w:spacing w:val="-14"/>
        </w:rPr>
        <w:t> </w:t>
      </w:r>
      <w:r>
        <w:rPr/>
        <w:t>DOT</w:t>
      </w:r>
      <w:r>
        <w:rPr>
          <w:spacing w:val="-14"/>
        </w:rPr>
        <w:t> </w:t>
      </w:r>
      <w:r>
        <w:rPr/>
        <w:t>guidelines</w:t>
      </w:r>
      <w:r>
        <w:rPr>
          <w:spacing w:val="-13"/>
        </w:rPr>
        <w:t> </w:t>
      </w:r>
      <w:r>
        <w:rPr/>
        <w:t>require</w:t>
      </w:r>
      <w:r>
        <w:rPr>
          <w:spacing w:val="-14"/>
        </w:rPr>
        <w:t> </w:t>
      </w:r>
      <w:r>
        <w:rPr/>
        <w:t>that</w:t>
      </w:r>
      <w:r>
        <w:rPr>
          <w:spacing w:val="-13"/>
        </w:rPr>
        <w:t> </w:t>
      </w:r>
      <w:r>
        <w:rPr/>
        <w:t>recipients</w:t>
      </w:r>
      <w:r>
        <w:rPr>
          <w:spacing w:val="-14"/>
        </w:rPr>
        <w:t> </w:t>
      </w:r>
      <w:r>
        <w:rPr/>
        <w:t>of</w:t>
      </w:r>
      <w:r>
        <w:rPr>
          <w:spacing w:val="-13"/>
        </w:rPr>
        <w:t> </w:t>
      </w:r>
      <w:r>
        <w:rPr/>
        <w:t>federal</w:t>
      </w:r>
      <w:r>
        <w:rPr>
          <w:spacing w:val="-14"/>
        </w:rPr>
        <w:t> </w:t>
      </w:r>
      <w:r>
        <w:rPr/>
        <w:t>financial</w:t>
      </w:r>
      <w:r>
        <w:rPr>
          <w:spacing w:val="-14"/>
        </w:rPr>
        <w:t> </w:t>
      </w:r>
      <w:r>
        <w:rPr/>
        <w:t>assistance</w:t>
      </w:r>
      <w:r>
        <w:rPr>
          <w:spacing w:val="-13"/>
        </w:rPr>
        <w:t> </w:t>
      </w:r>
      <w:r>
        <w:rPr/>
        <w:t>provide</w:t>
      </w:r>
      <w:r>
        <w:rPr>
          <w:spacing w:val="-14"/>
        </w:rPr>
        <w:t> </w:t>
      </w:r>
      <w:r>
        <w:rPr/>
        <w:t>“meaningful access to programs and activities” by giving LEP persons adequate and understandable information and allowing them</w:t>
      </w:r>
      <w:r>
        <w:rPr>
          <w:spacing w:val="-2"/>
        </w:rPr>
        <w:t> </w:t>
      </w:r>
      <w:r>
        <w:rPr/>
        <w:t>to</w:t>
      </w:r>
      <w:r>
        <w:rPr>
          <w:spacing w:val="-2"/>
        </w:rPr>
        <w:t> </w:t>
      </w:r>
      <w:r>
        <w:rPr/>
        <w:t>participate in</w:t>
      </w:r>
      <w:r>
        <w:rPr>
          <w:spacing w:val="-1"/>
        </w:rPr>
        <w:t> </w:t>
      </w:r>
      <w:r>
        <w:rPr/>
        <w:t>programs and activities,</w:t>
      </w:r>
      <w:r>
        <w:rPr>
          <w:spacing w:val="-2"/>
        </w:rPr>
        <w:t> </w:t>
      </w:r>
      <w:r>
        <w:rPr/>
        <w:t>where appropriate. The Department takes reasonable steps to remove barriers for LEP individuals.</w:t>
      </w:r>
    </w:p>
    <w:p>
      <w:pPr>
        <w:pStyle w:val="BodyText"/>
        <w:spacing w:before="11"/>
        <w:rPr>
          <w:sz w:val="23"/>
        </w:rPr>
      </w:pPr>
    </w:p>
    <w:p>
      <w:pPr>
        <w:pStyle w:val="BodyText"/>
        <w:ind w:left="1200" w:right="934"/>
        <w:jc w:val="both"/>
      </w:pPr>
      <w:r>
        <w:rPr/>
        <w:t>There</w:t>
      </w:r>
      <w:r>
        <w:rPr>
          <w:spacing w:val="-14"/>
        </w:rPr>
        <w:t> </w:t>
      </w:r>
      <w:r>
        <w:rPr/>
        <w:t>are</w:t>
      </w:r>
      <w:r>
        <w:rPr>
          <w:spacing w:val="-14"/>
        </w:rPr>
        <w:t> </w:t>
      </w:r>
      <w:r>
        <w:rPr/>
        <w:t>six</w:t>
      </w:r>
      <w:r>
        <w:rPr>
          <w:spacing w:val="-13"/>
        </w:rPr>
        <w:t> </w:t>
      </w:r>
      <w:r>
        <w:rPr/>
        <w:t>languages/census</w:t>
      </w:r>
      <w:r>
        <w:rPr>
          <w:spacing w:val="-14"/>
        </w:rPr>
        <w:t> </w:t>
      </w:r>
      <w:r>
        <w:rPr/>
        <w:t>language</w:t>
      </w:r>
      <w:r>
        <w:rPr>
          <w:spacing w:val="-13"/>
        </w:rPr>
        <w:t> </w:t>
      </w:r>
      <w:r>
        <w:rPr/>
        <w:t>“Other”</w:t>
      </w:r>
      <w:r>
        <w:rPr>
          <w:spacing w:val="-14"/>
        </w:rPr>
        <w:t> </w:t>
      </w:r>
      <w:r>
        <w:rPr/>
        <w:t>groups</w:t>
      </w:r>
      <w:r>
        <w:rPr>
          <w:spacing w:val="-13"/>
        </w:rPr>
        <w:t> </w:t>
      </w:r>
      <w:r>
        <w:rPr/>
        <w:t>in</w:t>
      </w:r>
      <w:r>
        <w:rPr>
          <w:spacing w:val="-14"/>
        </w:rPr>
        <w:t> </w:t>
      </w:r>
      <w:r>
        <w:rPr/>
        <w:t>which</w:t>
      </w:r>
      <w:r>
        <w:rPr>
          <w:spacing w:val="-14"/>
        </w:rPr>
        <w:t> </w:t>
      </w:r>
      <w:r>
        <w:rPr/>
        <w:t>the</w:t>
      </w:r>
      <w:r>
        <w:rPr>
          <w:spacing w:val="-13"/>
        </w:rPr>
        <w:t> </w:t>
      </w:r>
      <w:r>
        <w:rPr/>
        <w:t>number</w:t>
      </w:r>
      <w:r>
        <w:rPr>
          <w:spacing w:val="-14"/>
        </w:rPr>
        <w:t> </w:t>
      </w:r>
      <w:r>
        <w:rPr/>
        <w:t>of</w:t>
      </w:r>
      <w:r>
        <w:rPr>
          <w:spacing w:val="-13"/>
        </w:rPr>
        <w:t> </w:t>
      </w:r>
      <w:r>
        <w:rPr/>
        <w:t>persons</w:t>
      </w:r>
      <w:r>
        <w:rPr>
          <w:spacing w:val="-14"/>
        </w:rPr>
        <w:t> </w:t>
      </w:r>
      <w:r>
        <w:rPr/>
        <w:t>who speak</w:t>
      </w:r>
      <w:r>
        <w:rPr>
          <w:spacing w:val="-5"/>
        </w:rPr>
        <w:t> </w:t>
      </w:r>
      <w:r>
        <w:rPr/>
        <w:t>English</w:t>
      </w:r>
      <w:r>
        <w:rPr>
          <w:spacing w:val="-5"/>
        </w:rPr>
        <w:t> </w:t>
      </w:r>
      <w:r>
        <w:rPr/>
        <w:t>less</w:t>
      </w:r>
      <w:r>
        <w:rPr>
          <w:spacing w:val="-7"/>
        </w:rPr>
        <w:t> </w:t>
      </w:r>
      <w:r>
        <w:rPr/>
        <w:t>than</w:t>
      </w:r>
      <w:r>
        <w:rPr>
          <w:spacing w:val="-5"/>
        </w:rPr>
        <w:t> </w:t>
      </w:r>
      <w:r>
        <w:rPr/>
        <w:t>“very</w:t>
      </w:r>
      <w:r>
        <w:rPr>
          <w:spacing w:val="-5"/>
        </w:rPr>
        <w:t> </w:t>
      </w:r>
      <w:r>
        <w:rPr/>
        <w:t>well”</w:t>
      </w:r>
      <w:r>
        <w:rPr>
          <w:spacing w:val="-6"/>
        </w:rPr>
        <w:t> </w:t>
      </w:r>
      <w:r>
        <w:rPr/>
        <w:t>exceed</w:t>
      </w:r>
      <w:r>
        <w:rPr>
          <w:spacing w:val="-5"/>
        </w:rPr>
        <w:t> </w:t>
      </w:r>
      <w:r>
        <w:rPr/>
        <w:t>the</w:t>
      </w:r>
      <w:r>
        <w:rPr>
          <w:spacing w:val="-6"/>
        </w:rPr>
        <w:t> </w:t>
      </w:r>
      <w:r>
        <w:rPr/>
        <w:t>1,000</w:t>
      </w:r>
      <w:r>
        <w:rPr>
          <w:spacing w:val="-6"/>
        </w:rPr>
        <w:t> </w:t>
      </w:r>
      <w:r>
        <w:rPr/>
        <w:t>person/5%</w:t>
      </w:r>
      <w:r>
        <w:rPr>
          <w:spacing w:val="-5"/>
        </w:rPr>
        <w:t> </w:t>
      </w:r>
      <w:r>
        <w:rPr/>
        <w:t>threshold.</w:t>
      </w:r>
      <w:r>
        <w:rPr>
          <w:spacing w:val="40"/>
        </w:rPr>
        <w:t> </w:t>
      </w:r>
      <w:r>
        <w:rPr/>
        <w:t>They</w:t>
      </w:r>
      <w:r>
        <w:rPr>
          <w:spacing w:val="-7"/>
        </w:rPr>
        <w:t> </w:t>
      </w:r>
      <w:r>
        <w:rPr/>
        <w:t>are:</w:t>
      </w:r>
      <w:r>
        <w:rPr>
          <w:spacing w:val="-6"/>
        </w:rPr>
        <w:t> </w:t>
      </w:r>
      <w:r>
        <w:rPr/>
        <w:t>French, Haitian or Cajun, Spanish, Chinese (including Mandarin and Cantonese), Other Asian and Pacific Island languages, Other Indo-European languages, and Other and Unspecified </w:t>
      </w:r>
      <w:r>
        <w:rPr>
          <w:spacing w:val="-2"/>
        </w:rPr>
        <w:t>languages.</w:t>
      </w:r>
    </w:p>
    <w:p>
      <w:pPr>
        <w:pStyle w:val="BodyText"/>
        <w:spacing w:before="1"/>
      </w:pPr>
    </w:p>
    <w:p>
      <w:pPr>
        <w:pStyle w:val="BodyText"/>
        <w:ind w:left="1200" w:right="933"/>
        <w:jc w:val="both"/>
      </w:pPr>
      <w:r>
        <w:rPr/>
        <w:t>MaineDOT’s complaint process (on the website) alerts French, Spanish, and Chinese (including Mandarin and Cantonese), speakers that complaint information is available in other languages.</w:t>
      </w:r>
      <w:r>
        <w:rPr>
          <w:spacing w:val="40"/>
        </w:rPr>
        <w:t> </w:t>
      </w:r>
      <w:r>
        <w:rPr/>
        <w:t>To date, there has been no demand for the form in any language.</w:t>
      </w:r>
    </w:p>
    <w:p>
      <w:pPr>
        <w:spacing w:after="0"/>
        <w:jc w:val="both"/>
        <w:sectPr>
          <w:pgSz w:w="12240" w:h="15840"/>
          <w:pgMar w:header="0" w:footer="997" w:top="1260" w:bottom="1260" w:left="600" w:right="500"/>
        </w:sectPr>
      </w:pPr>
    </w:p>
    <w:p>
      <w:pPr>
        <w:pStyle w:val="Heading9"/>
        <w:spacing w:before="35"/>
        <w:ind w:left="1200"/>
        <w:jc w:val="both"/>
      </w:pPr>
      <w:r>
        <w:rPr/>
        <w:t>MaineDOT</w:t>
      </w:r>
      <w:r>
        <w:rPr>
          <w:spacing w:val="-3"/>
        </w:rPr>
        <w:t> </w:t>
      </w:r>
      <w:r>
        <w:rPr/>
        <w:t>Places</w:t>
      </w:r>
      <w:r>
        <w:rPr>
          <w:spacing w:val="-1"/>
        </w:rPr>
        <w:t> </w:t>
      </w:r>
      <w:r>
        <w:rPr/>
        <w:t>the</w:t>
      </w:r>
      <w:r>
        <w:rPr>
          <w:spacing w:val="-3"/>
        </w:rPr>
        <w:t> </w:t>
      </w:r>
      <w:r>
        <w:rPr/>
        <w:t>Following</w:t>
      </w:r>
      <w:r>
        <w:rPr>
          <w:spacing w:val="-3"/>
        </w:rPr>
        <w:t> </w:t>
      </w:r>
      <w:r>
        <w:rPr/>
        <w:t>Requirements</w:t>
      </w:r>
      <w:r>
        <w:rPr>
          <w:spacing w:val="-4"/>
        </w:rPr>
        <w:t> </w:t>
      </w:r>
      <w:r>
        <w:rPr/>
        <w:t>on</w:t>
      </w:r>
      <w:r>
        <w:rPr>
          <w:spacing w:val="-2"/>
        </w:rPr>
        <w:t> Subrecipients:</w:t>
      </w:r>
    </w:p>
    <w:p>
      <w:pPr>
        <w:pStyle w:val="BodyText"/>
        <w:rPr>
          <w:b/>
        </w:rPr>
      </w:pPr>
    </w:p>
    <w:p>
      <w:pPr>
        <w:pStyle w:val="BodyText"/>
        <w:ind w:left="1200" w:right="931"/>
        <w:jc w:val="both"/>
      </w:pPr>
      <w:r>
        <w:rPr/>
        <w:t>Subrecipients shall take steps to ensure that LEP individuals riding on transit in minority service areas will have access to bus schedules published in languages other than English, including, but not limited to French, Spanish, and Chinese (including Mandarin and Cantonese), depending upon the needs of the transit area.</w:t>
      </w:r>
    </w:p>
    <w:p>
      <w:pPr>
        <w:pStyle w:val="BodyText"/>
        <w:spacing w:before="11"/>
        <w:rPr>
          <w:sz w:val="23"/>
        </w:rPr>
      </w:pPr>
    </w:p>
    <w:p>
      <w:pPr>
        <w:pStyle w:val="BodyText"/>
        <w:ind w:left="1200" w:right="932"/>
        <w:jc w:val="both"/>
      </w:pPr>
      <w:r>
        <w:rPr/>
        <w:t>Public notices and other vital public information or resources shall be printed in languages other</w:t>
      </w:r>
      <w:r>
        <w:rPr>
          <w:spacing w:val="-9"/>
        </w:rPr>
        <w:t> </w:t>
      </w:r>
      <w:r>
        <w:rPr/>
        <w:t>than</w:t>
      </w:r>
      <w:r>
        <w:rPr>
          <w:spacing w:val="-10"/>
        </w:rPr>
        <w:t> </w:t>
      </w:r>
      <w:r>
        <w:rPr/>
        <w:t>English</w:t>
      </w:r>
      <w:r>
        <w:rPr>
          <w:spacing w:val="-9"/>
        </w:rPr>
        <w:t> </w:t>
      </w:r>
      <w:r>
        <w:rPr/>
        <w:t>where</w:t>
      </w:r>
      <w:r>
        <w:rPr>
          <w:spacing w:val="-11"/>
        </w:rPr>
        <w:t> </w:t>
      </w:r>
      <w:r>
        <w:rPr/>
        <w:t>a</w:t>
      </w:r>
      <w:r>
        <w:rPr>
          <w:spacing w:val="-10"/>
        </w:rPr>
        <w:t> </w:t>
      </w:r>
      <w:r>
        <w:rPr/>
        <w:t>concentration</w:t>
      </w:r>
      <w:r>
        <w:rPr>
          <w:spacing w:val="-10"/>
        </w:rPr>
        <w:t> </w:t>
      </w:r>
      <w:r>
        <w:rPr/>
        <w:t>of</w:t>
      </w:r>
      <w:r>
        <w:rPr>
          <w:spacing w:val="-10"/>
        </w:rPr>
        <w:t> </w:t>
      </w:r>
      <w:r>
        <w:rPr/>
        <w:t>LEP</w:t>
      </w:r>
      <w:r>
        <w:rPr>
          <w:spacing w:val="-9"/>
        </w:rPr>
        <w:t> </w:t>
      </w:r>
      <w:r>
        <w:rPr/>
        <w:t>individuals</w:t>
      </w:r>
      <w:r>
        <w:rPr>
          <w:spacing w:val="-11"/>
        </w:rPr>
        <w:t> </w:t>
      </w:r>
      <w:r>
        <w:rPr/>
        <w:t>requires</w:t>
      </w:r>
      <w:r>
        <w:rPr>
          <w:spacing w:val="-11"/>
        </w:rPr>
        <w:t> </w:t>
      </w:r>
      <w:r>
        <w:rPr/>
        <w:t>the</w:t>
      </w:r>
      <w:r>
        <w:rPr>
          <w:spacing w:val="-9"/>
        </w:rPr>
        <w:t> </w:t>
      </w:r>
      <w:r>
        <w:rPr/>
        <w:t>need</w:t>
      </w:r>
      <w:r>
        <w:rPr>
          <w:spacing w:val="-9"/>
        </w:rPr>
        <w:t> </w:t>
      </w:r>
      <w:r>
        <w:rPr/>
        <w:t>for</w:t>
      </w:r>
      <w:r>
        <w:rPr>
          <w:spacing w:val="-9"/>
        </w:rPr>
        <w:t> </w:t>
      </w:r>
      <w:r>
        <w:rPr/>
        <w:t>translation. Generally,</w:t>
      </w:r>
      <w:r>
        <w:rPr>
          <w:spacing w:val="-9"/>
        </w:rPr>
        <w:t> </w:t>
      </w:r>
      <w:r>
        <w:rPr/>
        <w:t>this</w:t>
      </w:r>
      <w:r>
        <w:rPr>
          <w:spacing w:val="-7"/>
        </w:rPr>
        <w:t> </w:t>
      </w:r>
      <w:r>
        <w:rPr/>
        <w:t>is</w:t>
      </w:r>
      <w:r>
        <w:rPr>
          <w:spacing w:val="-11"/>
        </w:rPr>
        <w:t> </w:t>
      </w:r>
      <w:r>
        <w:rPr/>
        <w:t>when</w:t>
      </w:r>
      <w:r>
        <w:rPr>
          <w:spacing w:val="-8"/>
        </w:rPr>
        <w:t> </w:t>
      </w:r>
      <w:r>
        <w:rPr/>
        <w:t>more</w:t>
      </w:r>
      <w:r>
        <w:rPr>
          <w:spacing w:val="-8"/>
        </w:rPr>
        <w:t> </w:t>
      </w:r>
      <w:r>
        <w:rPr/>
        <w:t>than</w:t>
      </w:r>
      <w:r>
        <w:rPr>
          <w:spacing w:val="-8"/>
        </w:rPr>
        <w:t> </w:t>
      </w:r>
      <w:r>
        <w:rPr/>
        <w:t>5%</w:t>
      </w:r>
      <w:r>
        <w:rPr>
          <w:spacing w:val="-8"/>
        </w:rPr>
        <w:t> </w:t>
      </w:r>
      <w:r>
        <w:rPr/>
        <w:t>of</w:t>
      </w:r>
      <w:r>
        <w:rPr>
          <w:spacing w:val="-8"/>
        </w:rPr>
        <w:t> </w:t>
      </w:r>
      <w:r>
        <w:rPr/>
        <w:t>a</w:t>
      </w:r>
      <w:r>
        <w:rPr>
          <w:spacing w:val="-9"/>
        </w:rPr>
        <w:t> </w:t>
      </w:r>
      <w:r>
        <w:rPr/>
        <w:t>census</w:t>
      </w:r>
      <w:r>
        <w:rPr>
          <w:spacing w:val="-7"/>
        </w:rPr>
        <w:t> </w:t>
      </w:r>
      <w:r>
        <w:rPr/>
        <w:t>area,</w:t>
      </w:r>
      <w:r>
        <w:rPr>
          <w:spacing w:val="-9"/>
        </w:rPr>
        <w:t> </w:t>
      </w:r>
      <w:r>
        <w:rPr/>
        <w:t>or</w:t>
      </w:r>
      <w:r>
        <w:rPr>
          <w:spacing w:val="-8"/>
        </w:rPr>
        <w:t> </w:t>
      </w:r>
      <w:r>
        <w:rPr/>
        <w:t>more</w:t>
      </w:r>
      <w:r>
        <w:rPr>
          <w:spacing w:val="-11"/>
        </w:rPr>
        <w:t> </w:t>
      </w:r>
      <w:r>
        <w:rPr/>
        <w:t>than</w:t>
      </w:r>
      <w:r>
        <w:rPr>
          <w:spacing w:val="-8"/>
        </w:rPr>
        <w:t> </w:t>
      </w:r>
      <w:r>
        <w:rPr/>
        <w:t>1,000</w:t>
      </w:r>
      <w:r>
        <w:rPr>
          <w:spacing w:val="-8"/>
        </w:rPr>
        <w:t> </w:t>
      </w:r>
      <w:r>
        <w:rPr/>
        <w:t>people</w:t>
      </w:r>
      <w:r>
        <w:rPr>
          <w:spacing w:val="-8"/>
        </w:rPr>
        <w:t> </w:t>
      </w:r>
      <w:r>
        <w:rPr/>
        <w:t>in</w:t>
      </w:r>
      <w:r>
        <w:rPr>
          <w:spacing w:val="-8"/>
        </w:rPr>
        <w:t> </w:t>
      </w:r>
      <w:r>
        <w:rPr/>
        <w:t>a</w:t>
      </w:r>
      <w:r>
        <w:rPr>
          <w:spacing w:val="-9"/>
        </w:rPr>
        <w:t> </w:t>
      </w:r>
      <w:r>
        <w:rPr/>
        <w:t>census area, speak primarily the same language other than English.</w:t>
      </w:r>
      <w:r>
        <w:rPr>
          <w:spacing w:val="40"/>
        </w:rPr>
        <w:t> </w:t>
      </w:r>
      <w:r>
        <w:rPr/>
        <w:t>MaineDOT is in the process of translating</w:t>
      </w:r>
      <w:r>
        <w:rPr>
          <w:spacing w:val="-16"/>
        </w:rPr>
        <w:t> </w:t>
      </w:r>
      <w:r>
        <w:rPr/>
        <w:t>all</w:t>
      </w:r>
      <w:r>
        <w:rPr>
          <w:spacing w:val="-12"/>
        </w:rPr>
        <w:t> </w:t>
      </w:r>
      <w:r>
        <w:rPr/>
        <w:t>public</w:t>
      </w:r>
      <w:r>
        <w:rPr>
          <w:spacing w:val="-11"/>
        </w:rPr>
        <w:t> </w:t>
      </w:r>
      <w:r>
        <w:rPr/>
        <w:t>notices</w:t>
      </w:r>
      <w:r>
        <w:rPr>
          <w:spacing w:val="-10"/>
        </w:rPr>
        <w:t> </w:t>
      </w:r>
      <w:r>
        <w:rPr/>
        <w:t>in</w:t>
      </w:r>
      <w:r>
        <w:rPr>
          <w:spacing w:val="-11"/>
        </w:rPr>
        <w:t> </w:t>
      </w:r>
      <w:r>
        <w:rPr/>
        <w:t>the</w:t>
      </w:r>
      <w:r>
        <w:rPr>
          <w:spacing w:val="-12"/>
        </w:rPr>
        <w:t> </w:t>
      </w:r>
      <w:r>
        <w:rPr/>
        <w:t>languages</w:t>
      </w:r>
      <w:r>
        <w:rPr>
          <w:spacing w:val="-10"/>
        </w:rPr>
        <w:t> </w:t>
      </w:r>
      <w:r>
        <w:rPr/>
        <w:t>identified</w:t>
      </w:r>
      <w:r>
        <w:rPr>
          <w:spacing w:val="-9"/>
        </w:rPr>
        <w:t> </w:t>
      </w:r>
      <w:r>
        <w:rPr/>
        <w:t>as</w:t>
      </w:r>
      <w:r>
        <w:rPr>
          <w:spacing w:val="-13"/>
        </w:rPr>
        <w:t> </w:t>
      </w:r>
      <w:r>
        <w:rPr/>
        <w:t>meeting</w:t>
      </w:r>
      <w:r>
        <w:rPr>
          <w:spacing w:val="-13"/>
        </w:rPr>
        <w:t> </w:t>
      </w:r>
      <w:r>
        <w:rPr/>
        <w:t>the</w:t>
      </w:r>
      <w:r>
        <w:rPr>
          <w:spacing w:val="-10"/>
        </w:rPr>
        <w:t> </w:t>
      </w:r>
      <w:r>
        <w:rPr/>
        <w:t>Safe</w:t>
      </w:r>
      <w:r>
        <w:rPr>
          <w:spacing w:val="-12"/>
        </w:rPr>
        <w:t> </w:t>
      </w:r>
      <w:r>
        <w:rPr/>
        <w:t>Harbor</w:t>
      </w:r>
      <w:r>
        <w:rPr>
          <w:spacing w:val="-12"/>
        </w:rPr>
        <w:t> </w:t>
      </w:r>
      <w:r>
        <w:rPr>
          <w:spacing w:val="-2"/>
        </w:rPr>
        <w:t>threshold.</w:t>
      </w:r>
    </w:p>
    <w:p>
      <w:pPr>
        <w:pStyle w:val="BodyText"/>
        <w:spacing w:before="1"/>
      </w:pPr>
    </w:p>
    <w:p>
      <w:pPr>
        <w:pStyle w:val="BodyText"/>
        <w:spacing w:before="1"/>
        <w:ind w:left="1200" w:right="935"/>
        <w:jc w:val="both"/>
      </w:pPr>
      <w:r>
        <w:rPr/>
        <w:t>Any LEP individual directly impacted or benefiting from MaineDOT programs should be offered translation proactively as a rule.</w:t>
      </w:r>
      <w:r>
        <w:rPr>
          <w:spacing w:val="40"/>
        </w:rPr>
        <w:t> </w:t>
      </w:r>
      <w:r>
        <w:rPr/>
        <w:t>We require transit providers to hire a translation service to</w:t>
      </w:r>
      <w:r>
        <w:rPr>
          <w:spacing w:val="-1"/>
        </w:rPr>
        <w:t> </w:t>
      </w:r>
      <w:r>
        <w:rPr/>
        <w:t>be available</w:t>
      </w:r>
      <w:r>
        <w:rPr>
          <w:spacing w:val="-1"/>
        </w:rPr>
        <w:t> </w:t>
      </w:r>
      <w:r>
        <w:rPr/>
        <w:t>for transit users.</w:t>
      </w:r>
      <w:r>
        <w:rPr>
          <w:spacing w:val="40"/>
        </w:rPr>
        <w:t> </w:t>
      </w:r>
      <w:r>
        <w:rPr/>
        <w:t>The service should be</w:t>
      </w:r>
      <w:r>
        <w:rPr>
          <w:spacing w:val="-1"/>
        </w:rPr>
        <w:t> </w:t>
      </w:r>
      <w:r>
        <w:rPr/>
        <w:t>similar</w:t>
      </w:r>
      <w:r>
        <w:rPr>
          <w:spacing w:val="-1"/>
        </w:rPr>
        <w:t> </w:t>
      </w:r>
      <w:r>
        <w:rPr/>
        <w:t>to</w:t>
      </w:r>
      <w:r>
        <w:rPr>
          <w:spacing w:val="-1"/>
        </w:rPr>
        <w:t> </w:t>
      </w:r>
      <w:r>
        <w:rPr/>
        <w:t>the AT&amp;T Language Line service and available on all busses.</w:t>
      </w:r>
      <w:r>
        <w:rPr>
          <w:spacing w:val="40"/>
        </w:rPr>
        <w:t> </w:t>
      </w:r>
      <w:hyperlink r:id="rId43">
        <w:r>
          <w:rPr>
            <w:color w:val="0000FF"/>
            <w:u w:val="single" w:color="0000FF"/>
          </w:rPr>
          <w:t>http://www.languageline.com/</w:t>
        </w:r>
      </w:hyperlink>
    </w:p>
    <w:p>
      <w:pPr>
        <w:pStyle w:val="BodyText"/>
        <w:spacing w:before="8"/>
        <w:rPr>
          <w:sz w:val="19"/>
        </w:rPr>
      </w:pPr>
    </w:p>
    <w:p>
      <w:pPr>
        <w:pStyle w:val="BodyText"/>
        <w:spacing w:before="52"/>
        <w:ind w:left="1199" w:right="933"/>
        <w:jc w:val="both"/>
      </w:pPr>
      <w:r>
        <w:rPr/>
        <w:t>All</w:t>
      </w:r>
      <w:r>
        <w:rPr>
          <w:spacing w:val="-9"/>
        </w:rPr>
        <w:t> </w:t>
      </w:r>
      <w:r>
        <w:rPr/>
        <w:t>programs</w:t>
      </w:r>
      <w:r>
        <w:rPr>
          <w:spacing w:val="-11"/>
        </w:rPr>
        <w:t> </w:t>
      </w:r>
      <w:r>
        <w:rPr/>
        <w:t>and</w:t>
      </w:r>
      <w:r>
        <w:rPr>
          <w:spacing w:val="-8"/>
        </w:rPr>
        <w:t> </w:t>
      </w:r>
      <w:r>
        <w:rPr/>
        <w:t>services</w:t>
      </w:r>
      <w:r>
        <w:rPr>
          <w:spacing w:val="-9"/>
        </w:rPr>
        <w:t> </w:t>
      </w:r>
      <w:r>
        <w:rPr/>
        <w:t>shall</w:t>
      </w:r>
      <w:r>
        <w:rPr>
          <w:spacing w:val="-11"/>
        </w:rPr>
        <w:t> </w:t>
      </w:r>
      <w:r>
        <w:rPr/>
        <w:t>make</w:t>
      </w:r>
      <w:r>
        <w:rPr>
          <w:spacing w:val="-11"/>
        </w:rPr>
        <w:t> </w:t>
      </w:r>
      <w:r>
        <w:rPr/>
        <w:t>use</w:t>
      </w:r>
      <w:r>
        <w:rPr>
          <w:spacing w:val="-11"/>
        </w:rPr>
        <w:t> </w:t>
      </w:r>
      <w:r>
        <w:rPr/>
        <w:t>of</w:t>
      </w:r>
      <w:r>
        <w:rPr>
          <w:spacing w:val="-12"/>
        </w:rPr>
        <w:t> </w:t>
      </w:r>
      <w:r>
        <w:rPr/>
        <w:t>the</w:t>
      </w:r>
      <w:r>
        <w:rPr>
          <w:spacing w:val="-11"/>
        </w:rPr>
        <w:t> </w:t>
      </w:r>
      <w:r>
        <w:rPr/>
        <w:t>Language</w:t>
      </w:r>
      <w:r>
        <w:rPr>
          <w:spacing w:val="-11"/>
        </w:rPr>
        <w:t> </w:t>
      </w:r>
      <w:r>
        <w:rPr/>
        <w:t>Identification</w:t>
      </w:r>
      <w:r>
        <w:rPr>
          <w:spacing w:val="-10"/>
        </w:rPr>
        <w:t> </w:t>
      </w:r>
      <w:r>
        <w:rPr/>
        <w:t>FlashCards</w:t>
      </w:r>
      <w:r>
        <w:rPr>
          <w:spacing w:val="-11"/>
        </w:rPr>
        <w:t> </w:t>
      </w:r>
      <w:r>
        <w:rPr/>
        <w:t>to</w:t>
      </w:r>
      <w:r>
        <w:rPr>
          <w:spacing w:val="-11"/>
        </w:rPr>
        <w:t> </w:t>
      </w:r>
      <w:r>
        <w:rPr/>
        <w:t>identify a language that an LEP individual can understand.</w:t>
      </w:r>
      <w:r>
        <w:rPr>
          <w:spacing w:val="40"/>
        </w:rPr>
        <w:t> </w:t>
      </w:r>
      <w:r>
        <w:rPr/>
        <w:t>The United States Census Language Identification</w:t>
      </w:r>
      <w:r>
        <w:rPr>
          <w:spacing w:val="-7"/>
        </w:rPr>
        <w:t> </w:t>
      </w:r>
      <w:r>
        <w:rPr/>
        <w:t>Flashcard</w:t>
      </w:r>
      <w:r>
        <w:rPr>
          <w:spacing w:val="-2"/>
        </w:rPr>
        <w:t> </w:t>
      </w:r>
      <w:r>
        <w:rPr/>
        <w:t>is</w:t>
      </w:r>
      <w:r>
        <w:rPr>
          <w:spacing w:val="-4"/>
        </w:rPr>
        <w:t> </w:t>
      </w:r>
      <w:r>
        <w:rPr/>
        <w:t>available</w:t>
      </w:r>
      <w:r>
        <w:rPr>
          <w:spacing w:val="-5"/>
        </w:rPr>
        <w:t> </w:t>
      </w:r>
      <w:r>
        <w:rPr/>
        <w:t>by</w:t>
      </w:r>
      <w:r>
        <w:rPr>
          <w:spacing w:val="-6"/>
        </w:rPr>
        <w:t> </w:t>
      </w:r>
      <w:r>
        <w:rPr/>
        <w:t>contacting</w:t>
      </w:r>
      <w:r>
        <w:rPr>
          <w:spacing w:val="-9"/>
        </w:rPr>
        <w:t> </w:t>
      </w:r>
      <w:r>
        <w:rPr/>
        <w:t>the</w:t>
      </w:r>
      <w:r>
        <w:rPr>
          <w:spacing w:val="-5"/>
        </w:rPr>
        <w:t> </w:t>
      </w:r>
      <w:r>
        <w:rPr/>
        <w:t>Civil</w:t>
      </w:r>
      <w:r>
        <w:rPr>
          <w:spacing w:val="-3"/>
        </w:rPr>
        <w:t> </w:t>
      </w:r>
      <w:r>
        <w:rPr/>
        <w:t>Rights</w:t>
      </w:r>
      <w:r>
        <w:rPr>
          <w:spacing w:val="-4"/>
        </w:rPr>
        <w:t> </w:t>
      </w:r>
      <w:r>
        <w:rPr/>
        <w:t>Office</w:t>
      </w:r>
      <w:r>
        <w:rPr>
          <w:spacing w:val="-2"/>
        </w:rPr>
        <w:t> </w:t>
      </w:r>
      <w:r>
        <w:rPr/>
        <w:t>or</w:t>
      </w:r>
      <w:r>
        <w:rPr>
          <w:spacing w:val="-5"/>
        </w:rPr>
        <w:t> </w:t>
      </w:r>
      <w:r>
        <w:rPr/>
        <w:t>any</w:t>
      </w:r>
      <w:r>
        <w:rPr>
          <w:spacing w:val="-5"/>
        </w:rPr>
        <w:t> </w:t>
      </w:r>
      <w:r>
        <w:rPr/>
        <w:t>Title</w:t>
      </w:r>
      <w:r>
        <w:rPr>
          <w:spacing w:val="-5"/>
        </w:rPr>
        <w:t> </w:t>
      </w:r>
      <w:r>
        <w:rPr/>
        <w:t>VI</w:t>
      </w:r>
      <w:r>
        <w:rPr>
          <w:spacing w:val="-3"/>
        </w:rPr>
        <w:t> </w:t>
      </w:r>
      <w:r>
        <w:rPr>
          <w:spacing w:val="-2"/>
        </w:rPr>
        <w:t>liaison.</w:t>
      </w:r>
    </w:p>
    <w:p>
      <w:pPr>
        <w:pStyle w:val="BodyText"/>
        <w:spacing w:before="1"/>
      </w:pPr>
    </w:p>
    <w:p>
      <w:pPr>
        <w:pStyle w:val="BodyText"/>
        <w:spacing w:before="1"/>
        <w:ind w:left="1199"/>
      </w:pPr>
      <w:r>
        <w:rPr/>
        <w:t>The</w:t>
      </w:r>
      <w:r>
        <w:rPr>
          <w:spacing w:val="-2"/>
        </w:rPr>
        <w:t> </w:t>
      </w:r>
      <w:r>
        <w:rPr/>
        <w:t>Flashcards</w:t>
      </w:r>
      <w:r>
        <w:rPr>
          <w:spacing w:val="-5"/>
        </w:rPr>
        <w:t> </w:t>
      </w:r>
      <w:r>
        <w:rPr/>
        <w:t>can</w:t>
      </w:r>
      <w:r>
        <w:rPr>
          <w:spacing w:val="-4"/>
        </w:rPr>
        <w:t> </w:t>
      </w:r>
      <w:r>
        <w:rPr/>
        <w:t>be</w:t>
      </w:r>
      <w:r>
        <w:rPr>
          <w:spacing w:val="-4"/>
        </w:rPr>
        <w:t> </w:t>
      </w:r>
      <w:r>
        <w:rPr/>
        <w:t>found</w:t>
      </w:r>
      <w:r>
        <w:rPr>
          <w:spacing w:val="-4"/>
        </w:rPr>
        <w:t> </w:t>
      </w:r>
      <w:r>
        <w:rPr/>
        <w:t>on</w:t>
      </w:r>
      <w:r>
        <w:rPr>
          <w:spacing w:val="-4"/>
        </w:rPr>
        <w:t> </w:t>
      </w:r>
      <w:r>
        <w:rPr/>
        <w:t>MaineDOT’s</w:t>
      </w:r>
      <w:r>
        <w:rPr>
          <w:spacing w:val="-6"/>
        </w:rPr>
        <w:t> </w:t>
      </w:r>
      <w:r>
        <w:rPr/>
        <w:t>website</w:t>
      </w:r>
      <w:r>
        <w:rPr>
          <w:spacing w:val="-2"/>
        </w:rPr>
        <w:t> </w:t>
      </w:r>
      <w:r>
        <w:rPr/>
        <w:t>via</w:t>
      </w:r>
      <w:r>
        <w:rPr>
          <w:spacing w:val="-5"/>
        </w:rPr>
        <w:t> </w:t>
      </w:r>
      <w:r>
        <w:rPr/>
        <w:t>the</w:t>
      </w:r>
      <w:r>
        <w:rPr>
          <w:spacing w:val="-4"/>
        </w:rPr>
        <w:t> </w:t>
      </w:r>
      <w:r>
        <w:rPr/>
        <w:t>following</w:t>
      </w:r>
      <w:r>
        <w:rPr>
          <w:spacing w:val="-5"/>
        </w:rPr>
        <w:t> </w:t>
      </w:r>
      <w:r>
        <w:rPr/>
        <w:t>link: </w:t>
      </w:r>
      <w:hyperlink r:id="rId44">
        <w:r>
          <w:rPr>
            <w:color w:val="0000FF"/>
            <w:spacing w:val="-2"/>
            <w:u w:val="single" w:color="0000FF"/>
          </w:rPr>
          <w:t>http://www.maine.gov/dhhs/documents/Language_ID_Card.pdf</w:t>
        </w:r>
      </w:hyperlink>
    </w:p>
    <w:p>
      <w:pPr>
        <w:pStyle w:val="BodyText"/>
        <w:spacing w:before="8"/>
        <w:rPr>
          <w:sz w:val="19"/>
        </w:rPr>
      </w:pPr>
    </w:p>
    <w:p>
      <w:pPr>
        <w:pStyle w:val="BodyText"/>
        <w:spacing w:before="52"/>
        <w:ind w:left="1200" w:right="935"/>
      </w:pPr>
      <w:r>
        <w:rPr/>
        <w:t>MaineDOT’s Title VI Notice provides language assistance information translated in French, Spanish, and Chinese languages.</w:t>
      </w:r>
    </w:p>
    <w:p>
      <w:pPr>
        <w:pStyle w:val="BodyText"/>
        <w:spacing w:before="12"/>
        <w:rPr>
          <w:sz w:val="23"/>
        </w:rPr>
      </w:pPr>
    </w:p>
    <w:p>
      <w:pPr>
        <w:pStyle w:val="BodyText"/>
        <w:ind w:left="1199" w:right="935"/>
      </w:pPr>
      <w:r>
        <w:rPr/>
        <w:t>A</w:t>
      </w:r>
      <w:r>
        <w:rPr>
          <w:spacing w:val="40"/>
        </w:rPr>
        <w:t> </w:t>
      </w:r>
      <w:r>
        <w:rPr/>
        <w:t>list</w:t>
      </w:r>
      <w:r>
        <w:rPr>
          <w:spacing w:val="40"/>
        </w:rPr>
        <w:t> </w:t>
      </w:r>
      <w:r>
        <w:rPr/>
        <w:t>of</w:t>
      </w:r>
      <w:r>
        <w:rPr>
          <w:spacing w:val="40"/>
        </w:rPr>
        <w:t> </w:t>
      </w:r>
      <w:r>
        <w:rPr/>
        <w:t>language</w:t>
      </w:r>
      <w:r>
        <w:rPr>
          <w:spacing w:val="40"/>
        </w:rPr>
        <w:t> </w:t>
      </w:r>
      <w:r>
        <w:rPr/>
        <w:t>interpreters</w:t>
      </w:r>
      <w:r>
        <w:rPr>
          <w:spacing w:val="40"/>
        </w:rPr>
        <w:t> </w:t>
      </w:r>
      <w:r>
        <w:rPr/>
        <w:t>and</w:t>
      </w:r>
      <w:r>
        <w:rPr>
          <w:spacing w:val="40"/>
        </w:rPr>
        <w:t> </w:t>
      </w:r>
      <w:r>
        <w:rPr/>
        <w:t>information</w:t>
      </w:r>
      <w:r>
        <w:rPr>
          <w:spacing w:val="40"/>
        </w:rPr>
        <w:t> </w:t>
      </w:r>
      <w:r>
        <w:rPr/>
        <w:t>pertaining</w:t>
      </w:r>
      <w:r>
        <w:rPr>
          <w:spacing w:val="40"/>
        </w:rPr>
        <w:t> </w:t>
      </w:r>
      <w:r>
        <w:rPr/>
        <w:t>to</w:t>
      </w:r>
      <w:r>
        <w:rPr>
          <w:spacing w:val="40"/>
        </w:rPr>
        <w:t> </w:t>
      </w:r>
      <w:r>
        <w:rPr/>
        <w:t>interpreters</w:t>
      </w:r>
      <w:r>
        <w:rPr>
          <w:spacing w:val="40"/>
        </w:rPr>
        <w:t> </w:t>
      </w:r>
      <w:r>
        <w:rPr/>
        <w:t>and</w:t>
      </w:r>
      <w:r>
        <w:rPr>
          <w:spacing w:val="40"/>
        </w:rPr>
        <w:t> </w:t>
      </w:r>
      <w:r>
        <w:rPr/>
        <w:t>language assistance is on our website at </w:t>
      </w:r>
      <w:hyperlink r:id="rId9">
        <w:r>
          <w:rPr>
            <w:color w:val="0000FF"/>
            <w:u w:val="single" w:color="0000FF"/>
          </w:rPr>
          <w:t>https://www.maine.gov/mdot/civilrights/title-vi/</w:t>
        </w:r>
      </w:hyperlink>
    </w:p>
    <w:p>
      <w:pPr>
        <w:pStyle w:val="BodyText"/>
        <w:ind w:left="1200" w:right="935"/>
      </w:pPr>
      <w:r>
        <w:rPr/>
        <w:t>or</w:t>
      </w:r>
      <w:r>
        <w:rPr>
          <w:spacing w:val="75"/>
        </w:rPr>
        <w:t> </w:t>
      </w:r>
      <w:r>
        <w:rPr/>
        <w:t>by</w:t>
      </w:r>
      <w:r>
        <w:rPr>
          <w:spacing w:val="74"/>
        </w:rPr>
        <w:t> </w:t>
      </w:r>
      <w:r>
        <w:rPr/>
        <w:t>contacting</w:t>
      </w:r>
      <w:r>
        <w:rPr>
          <w:spacing w:val="72"/>
        </w:rPr>
        <w:t> </w:t>
      </w:r>
      <w:r>
        <w:rPr/>
        <w:t>the</w:t>
      </w:r>
      <w:r>
        <w:rPr>
          <w:spacing w:val="73"/>
        </w:rPr>
        <w:t> </w:t>
      </w:r>
      <w:r>
        <w:rPr/>
        <w:t>Title</w:t>
      </w:r>
      <w:r>
        <w:rPr>
          <w:spacing w:val="76"/>
        </w:rPr>
        <w:t> </w:t>
      </w:r>
      <w:r>
        <w:rPr/>
        <w:t>VI/EJ</w:t>
      </w:r>
      <w:r>
        <w:rPr>
          <w:spacing w:val="75"/>
        </w:rPr>
        <w:t> </w:t>
      </w:r>
      <w:r>
        <w:rPr/>
        <w:t>Specialist</w:t>
      </w:r>
      <w:r>
        <w:rPr>
          <w:spacing w:val="74"/>
        </w:rPr>
        <w:t> </w:t>
      </w:r>
      <w:r>
        <w:rPr/>
        <w:t>or</w:t>
      </w:r>
      <w:r>
        <w:rPr>
          <w:spacing w:val="73"/>
        </w:rPr>
        <w:t> </w:t>
      </w:r>
      <w:r>
        <w:rPr/>
        <w:t>through</w:t>
      </w:r>
      <w:r>
        <w:rPr>
          <w:spacing w:val="74"/>
        </w:rPr>
        <w:t> </w:t>
      </w:r>
      <w:r>
        <w:rPr/>
        <w:t>the</w:t>
      </w:r>
      <w:r>
        <w:rPr>
          <w:spacing w:val="76"/>
        </w:rPr>
        <w:t> </w:t>
      </w:r>
      <w:r>
        <w:rPr/>
        <w:t>State</w:t>
      </w:r>
      <w:r>
        <w:rPr>
          <w:spacing w:val="73"/>
        </w:rPr>
        <w:t> </w:t>
      </w:r>
      <w:r>
        <w:rPr/>
        <w:t>of</w:t>
      </w:r>
      <w:r>
        <w:rPr>
          <w:spacing w:val="71"/>
        </w:rPr>
        <w:t> </w:t>
      </w:r>
      <w:r>
        <w:rPr/>
        <w:t>Maine</w:t>
      </w:r>
      <w:r>
        <w:rPr>
          <w:spacing w:val="73"/>
        </w:rPr>
        <w:t> </w:t>
      </w:r>
      <w:r>
        <w:rPr/>
        <w:t>Bureau</w:t>
      </w:r>
      <w:r>
        <w:rPr>
          <w:spacing w:val="76"/>
        </w:rPr>
        <w:t> </w:t>
      </w:r>
      <w:r>
        <w:rPr/>
        <w:t>of Procurement Services under “Interpreting Services” at their website: </w:t>
      </w:r>
      <w:hyperlink r:id="rId45">
        <w:r>
          <w:rPr>
            <w:color w:val="0000FF"/>
            <w:spacing w:val="-2"/>
            <w:u w:val="single" w:color="0000FF"/>
          </w:rPr>
          <w:t>https://www.maine.gov/dafs/bbm/procurementservices/reports/statewide-contracts</w:t>
        </w:r>
      </w:hyperlink>
    </w:p>
    <w:p>
      <w:pPr>
        <w:pStyle w:val="BodyText"/>
        <w:spacing w:before="8"/>
        <w:rPr>
          <w:sz w:val="19"/>
        </w:rPr>
      </w:pPr>
    </w:p>
    <w:p>
      <w:pPr>
        <w:pStyle w:val="BodyText"/>
        <w:spacing w:before="52"/>
        <w:ind w:left="1200" w:right="933"/>
        <w:jc w:val="both"/>
      </w:pPr>
      <w:r>
        <w:rPr/>
        <w:t>MaineDOT also provides information on Minority and Outreach information for special populations so that our</w:t>
      </w:r>
      <w:r>
        <w:rPr>
          <w:spacing w:val="-2"/>
        </w:rPr>
        <w:t> </w:t>
      </w:r>
      <w:r>
        <w:rPr/>
        <w:t>employees and subrecipients have contacts to cultural agencies and </w:t>
      </w:r>
      <w:r>
        <w:rPr>
          <w:spacing w:val="-2"/>
        </w:rPr>
        <w:t>information.</w:t>
      </w:r>
    </w:p>
    <w:p>
      <w:pPr>
        <w:pStyle w:val="BodyText"/>
        <w:spacing w:before="1"/>
      </w:pPr>
    </w:p>
    <w:p>
      <w:pPr>
        <w:pStyle w:val="BodyText"/>
        <w:ind w:left="1200" w:right="936"/>
        <w:jc w:val="both"/>
      </w:pPr>
      <w:r>
        <w:rPr/>
        <w:t>MaineDOT requires that subrecipients take other reasonable steps, where necessary. Other reasonable steps will depend on:</w:t>
      </w:r>
    </w:p>
    <w:p>
      <w:pPr>
        <w:pStyle w:val="BodyText"/>
        <w:spacing w:before="11"/>
        <w:rPr>
          <w:sz w:val="23"/>
        </w:rPr>
      </w:pPr>
    </w:p>
    <w:p>
      <w:pPr>
        <w:pStyle w:val="ListParagraph"/>
        <w:numPr>
          <w:ilvl w:val="0"/>
          <w:numId w:val="21"/>
        </w:numPr>
        <w:tabs>
          <w:tab w:pos="1920" w:val="left" w:leader="none"/>
        </w:tabs>
        <w:spacing w:line="240" w:lineRule="auto" w:before="0" w:after="0"/>
        <w:ind w:left="1920" w:right="934" w:hanging="360"/>
        <w:jc w:val="both"/>
        <w:rPr>
          <w:sz w:val="24"/>
        </w:rPr>
      </w:pPr>
      <w:r>
        <w:rPr>
          <w:sz w:val="24"/>
        </w:rPr>
        <w:t>The number and proportion of LEP persons potentially served by the recipient’s programs or activities and the variety of languages spoken in the recipient’s service </w:t>
      </w:r>
      <w:r>
        <w:rPr>
          <w:spacing w:val="-2"/>
          <w:sz w:val="24"/>
        </w:rPr>
        <w:t>area.</w:t>
      </w:r>
    </w:p>
    <w:p>
      <w:pPr>
        <w:pStyle w:val="ListParagraph"/>
        <w:numPr>
          <w:ilvl w:val="0"/>
          <w:numId w:val="21"/>
        </w:numPr>
        <w:tabs>
          <w:tab w:pos="1919" w:val="left" w:leader="none"/>
        </w:tabs>
        <w:spacing w:line="304" w:lineRule="exact" w:before="0" w:after="0"/>
        <w:ind w:left="1919" w:right="0" w:hanging="359"/>
        <w:jc w:val="both"/>
        <w:rPr>
          <w:sz w:val="24"/>
        </w:rPr>
      </w:pPr>
      <w:r>
        <w:rPr>
          <w:sz w:val="24"/>
        </w:rPr>
        <w:t>The</w:t>
      </w:r>
      <w:r>
        <w:rPr>
          <w:spacing w:val="-5"/>
          <w:sz w:val="24"/>
        </w:rPr>
        <w:t> </w:t>
      </w:r>
      <w:r>
        <w:rPr>
          <w:sz w:val="24"/>
        </w:rPr>
        <w:t>frequency</w:t>
      </w:r>
      <w:r>
        <w:rPr>
          <w:spacing w:val="-1"/>
          <w:sz w:val="24"/>
        </w:rPr>
        <w:t> </w:t>
      </w:r>
      <w:r>
        <w:rPr>
          <w:sz w:val="24"/>
        </w:rPr>
        <w:t>with</w:t>
      </w:r>
      <w:r>
        <w:rPr>
          <w:spacing w:val="-2"/>
          <w:sz w:val="24"/>
        </w:rPr>
        <w:t> </w:t>
      </w:r>
      <w:r>
        <w:rPr>
          <w:sz w:val="24"/>
        </w:rPr>
        <w:t>which</w:t>
      </w:r>
      <w:r>
        <w:rPr>
          <w:spacing w:val="1"/>
          <w:sz w:val="24"/>
        </w:rPr>
        <w:t> </w:t>
      </w:r>
      <w:r>
        <w:rPr>
          <w:sz w:val="24"/>
        </w:rPr>
        <w:t>LEP</w:t>
      </w:r>
      <w:r>
        <w:rPr>
          <w:spacing w:val="-2"/>
          <w:sz w:val="24"/>
        </w:rPr>
        <w:t> </w:t>
      </w:r>
      <w:r>
        <w:rPr>
          <w:sz w:val="24"/>
        </w:rPr>
        <w:t>individuals</w:t>
      </w:r>
      <w:r>
        <w:rPr>
          <w:spacing w:val="-1"/>
          <w:sz w:val="24"/>
        </w:rPr>
        <w:t> </w:t>
      </w:r>
      <w:r>
        <w:rPr>
          <w:sz w:val="24"/>
        </w:rPr>
        <w:t>are</w:t>
      </w:r>
      <w:r>
        <w:rPr>
          <w:spacing w:val="-2"/>
          <w:sz w:val="24"/>
        </w:rPr>
        <w:t> </w:t>
      </w:r>
      <w:r>
        <w:rPr>
          <w:sz w:val="24"/>
        </w:rPr>
        <w:t>affected</w:t>
      </w:r>
      <w:r>
        <w:rPr>
          <w:spacing w:val="-2"/>
          <w:sz w:val="24"/>
        </w:rPr>
        <w:t> </w:t>
      </w:r>
      <w:r>
        <w:rPr>
          <w:sz w:val="24"/>
        </w:rPr>
        <w:t>by</w:t>
      </w:r>
      <w:r>
        <w:rPr>
          <w:spacing w:val="-1"/>
          <w:sz w:val="24"/>
        </w:rPr>
        <w:t> </w:t>
      </w:r>
      <w:r>
        <w:rPr>
          <w:sz w:val="24"/>
        </w:rPr>
        <w:t>the</w:t>
      </w:r>
      <w:r>
        <w:rPr>
          <w:spacing w:val="-2"/>
          <w:sz w:val="24"/>
        </w:rPr>
        <w:t> </w:t>
      </w:r>
      <w:r>
        <w:rPr>
          <w:sz w:val="24"/>
        </w:rPr>
        <w:t>program or</w:t>
      </w:r>
      <w:r>
        <w:rPr>
          <w:spacing w:val="-3"/>
          <w:sz w:val="24"/>
        </w:rPr>
        <w:t> </w:t>
      </w:r>
      <w:r>
        <w:rPr>
          <w:spacing w:val="-2"/>
          <w:sz w:val="24"/>
        </w:rPr>
        <w:t>activity.</w:t>
      </w:r>
    </w:p>
    <w:p>
      <w:pPr>
        <w:pStyle w:val="ListParagraph"/>
        <w:numPr>
          <w:ilvl w:val="0"/>
          <w:numId w:val="21"/>
        </w:numPr>
        <w:tabs>
          <w:tab w:pos="1919" w:val="left" w:leader="none"/>
        </w:tabs>
        <w:spacing w:line="240" w:lineRule="auto" w:before="2" w:after="0"/>
        <w:ind w:left="1919" w:right="0" w:hanging="359"/>
        <w:jc w:val="both"/>
        <w:rPr>
          <w:sz w:val="24"/>
        </w:rPr>
      </w:pPr>
      <w:r>
        <w:rPr>
          <w:sz w:val="24"/>
        </w:rPr>
        <w:t>The</w:t>
      </w:r>
      <w:r>
        <w:rPr>
          <w:spacing w:val="-3"/>
          <w:sz w:val="24"/>
        </w:rPr>
        <w:t> </w:t>
      </w:r>
      <w:r>
        <w:rPr>
          <w:sz w:val="24"/>
        </w:rPr>
        <w:t>importance</w:t>
      </w:r>
      <w:r>
        <w:rPr>
          <w:spacing w:val="-3"/>
          <w:sz w:val="24"/>
        </w:rPr>
        <w:t> </w:t>
      </w:r>
      <w:r>
        <w:rPr>
          <w:sz w:val="24"/>
        </w:rPr>
        <w:t>of the</w:t>
      </w:r>
      <w:r>
        <w:rPr>
          <w:spacing w:val="-2"/>
          <w:sz w:val="24"/>
        </w:rPr>
        <w:t> </w:t>
      </w:r>
      <w:r>
        <w:rPr>
          <w:sz w:val="24"/>
        </w:rPr>
        <w:t>effect</w:t>
      </w:r>
      <w:r>
        <w:rPr>
          <w:spacing w:val="-3"/>
          <w:sz w:val="24"/>
        </w:rPr>
        <w:t> </w:t>
      </w:r>
      <w:r>
        <w:rPr>
          <w:sz w:val="24"/>
        </w:rPr>
        <w:t>of</w:t>
      </w:r>
      <w:r>
        <w:rPr>
          <w:spacing w:val="-3"/>
          <w:sz w:val="24"/>
        </w:rPr>
        <w:t> </w:t>
      </w:r>
      <w:r>
        <w:rPr>
          <w:sz w:val="24"/>
        </w:rPr>
        <w:t>the</w:t>
      </w:r>
      <w:r>
        <w:rPr>
          <w:spacing w:val="-1"/>
          <w:sz w:val="24"/>
        </w:rPr>
        <w:t> </w:t>
      </w:r>
      <w:r>
        <w:rPr>
          <w:sz w:val="24"/>
        </w:rPr>
        <w:t>recipient’s</w:t>
      </w:r>
      <w:r>
        <w:rPr>
          <w:spacing w:val="-3"/>
          <w:sz w:val="24"/>
        </w:rPr>
        <w:t> </w:t>
      </w:r>
      <w:r>
        <w:rPr>
          <w:sz w:val="24"/>
        </w:rPr>
        <w:t>program</w:t>
      </w:r>
      <w:r>
        <w:rPr>
          <w:spacing w:val="-1"/>
          <w:sz w:val="24"/>
        </w:rPr>
        <w:t> </w:t>
      </w:r>
      <w:r>
        <w:rPr>
          <w:sz w:val="24"/>
        </w:rPr>
        <w:t>on LEP</w:t>
      </w:r>
      <w:r>
        <w:rPr>
          <w:spacing w:val="-2"/>
          <w:sz w:val="24"/>
        </w:rPr>
        <w:t> individuals.</w:t>
      </w:r>
    </w:p>
    <w:p>
      <w:pPr>
        <w:spacing w:after="0" w:line="240" w:lineRule="auto"/>
        <w:jc w:val="both"/>
        <w:rPr>
          <w:sz w:val="24"/>
        </w:rPr>
        <w:sectPr>
          <w:pgSz w:w="12240" w:h="15840"/>
          <w:pgMar w:header="0" w:footer="997" w:top="960" w:bottom="1240" w:left="600" w:right="500"/>
        </w:sectPr>
      </w:pPr>
    </w:p>
    <w:p>
      <w:pPr>
        <w:pStyle w:val="ListParagraph"/>
        <w:numPr>
          <w:ilvl w:val="0"/>
          <w:numId w:val="21"/>
        </w:numPr>
        <w:tabs>
          <w:tab w:pos="1919" w:val="left" w:leader="none"/>
        </w:tabs>
        <w:spacing w:line="305" w:lineRule="exact" w:before="74" w:after="0"/>
        <w:ind w:left="1919" w:right="0" w:hanging="359"/>
        <w:jc w:val="left"/>
        <w:rPr>
          <w:sz w:val="24"/>
        </w:rPr>
      </w:pPr>
      <w:r>
        <w:rPr>
          <w:sz w:val="24"/>
        </w:rPr>
        <w:t>The</w:t>
      </w:r>
      <w:r>
        <w:rPr>
          <w:spacing w:val="-3"/>
          <w:sz w:val="24"/>
        </w:rPr>
        <w:t> </w:t>
      </w:r>
      <w:r>
        <w:rPr>
          <w:sz w:val="24"/>
        </w:rPr>
        <w:t>resources</w:t>
      </w:r>
      <w:r>
        <w:rPr>
          <w:spacing w:val="-4"/>
          <w:sz w:val="24"/>
        </w:rPr>
        <w:t> </w:t>
      </w:r>
      <w:r>
        <w:rPr>
          <w:sz w:val="24"/>
        </w:rPr>
        <w:t>available</w:t>
      </w:r>
      <w:r>
        <w:rPr>
          <w:spacing w:val="-2"/>
          <w:sz w:val="24"/>
        </w:rPr>
        <w:t> </w:t>
      </w:r>
      <w:r>
        <w:rPr>
          <w:sz w:val="24"/>
        </w:rPr>
        <w:t>to</w:t>
      </w:r>
      <w:r>
        <w:rPr>
          <w:spacing w:val="-1"/>
          <w:sz w:val="24"/>
        </w:rPr>
        <w:t> </w:t>
      </w:r>
      <w:r>
        <w:rPr>
          <w:sz w:val="24"/>
        </w:rPr>
        <w:t>the recipient</w:t>
      </w:r>
      <w:r>
        <w:rPr>
          <w:spacing w:val="-3"/>
          <w:sz w:val="24"/>
        </w:rPr>
        <w:t> </w:t>
      </w:r>
      <w:r>
        <w:rPr>
          <w:sz w:val="24"/>
        </w:rPr>
        <w:t>and</w:t>
      </w:r>
      <w:r>
        <w:rPr>
          <w:spacing w:val="-2"/>
          <w:sz w:val="24"/>
        </w:rPr>
        <w:t> </w:t>
      </w:r>
      <w:r>
        <w:rPr>
          <w:sz w:val="24"/>
        </w:rPr>
        <w:t>the</w:t>
      </w:r>
      <w:r>
        <w:rPr>
          <w:spacing w:val="-3"/>
          <w:sz w:val="24"/>
        </w:rPr>
        <w:t> </w:t>
      </w:r>
      <w:r>
        <w:rPr>
          <w:sz w:val="24"/>
        </w:rPr>
        <w:t>urgency</w:t>
      </w:r>
      <w:r>
        <w:rPr>
          <w:spacing w:val="-1"/>
          <w:sz w:val="24"/>
        </w:rPr>
        <w:t> </w:t>
      </w:r>
      <w:r>
        <w:rPr>
          <w:sz w:val="24"/>
        </w:rPr>
        <w:t>of</w:t>
      </w:r>
      <w:r>
        <w:rPr>
          <w:spacing w:val="-3"/>
          <w:sz w:val="24"/>
        </w:rPr>
        <w:t> </w:t>
      </w:r>
      <w:r>
        <w:rPr>
          <w:sz w:val="24"/>
        </w:rPr>
        <w:t>the </w:t>
      </w:r>
      <w:r>
        <w:rPr>
          <w:spacing w:val="-2"/>
          <w:sz w:val="24"/>
        </w:rPr>
        <w:t>situation.</w:t>
      </w:r>
    </w:p>
    <w:p>
      <w:pPr>
        <w:pStyle w:val="ListParagraph"/>
        <w:numPr>
          <w:ilvl w:val="0"/>
          <w:numId w:val="21"/>
        </w:numPr>
        <w:tabs>
          <w:tab w:pos="1919" w:val="left" w:leader="none"/>
        </w:tabs>
        <w:spacing w:line="305" w:lineRule="exact" w:before="0" w:after="0"/>
        <w:ind w:left="1919" w:right="0" w:hanging="359"/>
        <w:jc w:val="left"/>
        <w:rPr>
          <w:sz w:val="24"/>
        </w:rPr>
      </w:pPr>
      <w:r>
        <w:rPr>
          <w:sz w:val="24"/>
        </w:rPr>
        <w:t>The</w:t>
      </w:r>
      <w:r>
        <w:rPr>
          <w:spacing w:val="-1"/>
          <w:sz w:val="24"/>
        </w:rPr>
        <w:t> </w:t>
      </w:r>
      <w:r>
        <w:rPr>
          <w:sz w:val="24"/>
        </w:rPr>
        <w:t>level</w:t>
      </w:r>
      <w:r>
        <w:rPr>
          <w:spacing w:val="-1"/>
          <w:sz w:val="24"/>
        </w:rPr>
        <w:t> </w:t>
      </w:r>
      <w:r>
        <w:rPr>
          <w:sz w:val="24"/>
        </w:rPr>
        <w:t>of services</w:t>
      </w:r>
      <w:r>
        <w:rPr>
          <w:spacing w:val="-2"/>
          <w:sz w:val="24"/>
        </w:rPr>
        <w:t> </w:t>
      </w:r>
      <w:r>
        <w:rPr>
          <w:sz w:val="24"/>
        </w:rPr>
        <w:t>provided</w:t>
      </w:r>
      <w:r>
        <w:rPr>
          <w:spacing w:val="-3"/>
          <w:sz w:val="24"/>
        </w:rPr>
        <w:t> </w:t>
      </w:r>
      <w:r>
        <w:rPr>
          <w:sz w:val="24"/>
        </w:rPr>
        <w:t>to</w:t>
      </w:r>
      <w:r>
        <w:rPr>
          <w:spacing w:val="-3"/>
          <w:sz w:val="24"/>
        </w:rPr>
        <w:t> </w:t>
      </w:r>
      <w:r>
        <w:rPr>
          <w:sz w:val="24"/>
        </w:rPr>
        <w:t>fully</w:t>
      </w:r>
      <w:r>
        <w:rPr>
          <w:spacing w:val="-2"/>
          <w:sz w:val="24"/>
        </w:rPr>
        <w:t> </w:t>
      </w:r>
      <w:r>
        <w:rPr>
          <w:sz w:val="24"/>
        </w:rPr>
        <w:t>English</w:t>
      </w:r>
      <w:r>
        <w:rPr>
          <w:spacing w:val="-3"/>
          <w:sz w:val="24"/>
        </w:rPr>
        <w:t> </w:t>
      </w:r>
      <w:r>
        <w:rPr>
          <w:sz w:val="24"/>
        </w:rPr>
        <w:t>proficient</w:t>
      </w:r>
      <w:r>
        <w:rPr>
          <w:spacing w:val="-2"/>
          <w:sz w:val="24"/>
        </w:rPr>
        <w:t> people.</w:t>
      </w:r>
    </w:p>
    <w:p>
      <w:pPr>
        <w:pStyle w:val="ListParagraph"/>
        <w:numPr>
          <w:ilvl w:val="0"/>
          <w:numId w:val="21"/>
        </w:numPr>
        <w:tabs>
          <w:tab w:pos="1920" w:val="left" w:leader="none"/>
        </w:tabs>
        <w:spacing w:line="240" w:lineRule="auto" w:before="2" w:after="0"/>
        <w:ind w:left="1920" w:right="1133" w:hanging="360"/>
        <w:jc w:val="left"/>
        <w:rPr>
          <w:sz w:val="24"/>
        </w:rPr>
      </w:pPr>
      <w:r>
        <w:rPr>
          <w:sz w:val="24"/>
        </w:rPr>
        <w:t>Whether</w:t>
      </w:r>
      <w:r>
        <w:rPr>
          <w:spacing w:val="-2"/>
          <w:sz w:val="24"/>
        </w:rPr>
        <w:t> </w:t>
      </w:r>
      <w:r>
        <w:rPr>
          <w:sz w:val="24"/>
        </w:rPr>
        <w:t>LEP</w:t>
      </w:r>
      <w:r>
        <w:rPr>
          <w:spacing w:val="-4"/>
          <w:sz w:val="24"/>
        </w:rPr>
        <w:t> </w:t>
      </w:r>
      <w:r>
        <w:rPr>
          <w:sz w:val="24"/>
        </w:rPr>
        <w:t>persons</w:t>
      </w:r>
      <w:r>
        <w:rPr>
          <w:spacing w:val="-3"/>
          <w:sz w:val="24"/>
        </w:rPr>
        <w:t> </w:t>
      </w:r>
      <w:r>
        <w:rPr>
          <w:sz w:val="24"/>
        </w:rPr>
        <w:t>are</w:t>
      </w:r>
      <w:r>
        <w:rPr>
          <w:spacing w:val="-2"/>
          <w:sz w:val="24"/>
        </w:rPr>
        <w:t> </w:t>
      </w:r>
      <w:r>
        <w:rPr>
          <w:sz w:val="24"/>
        </w:rPr>
        <w:t>being</w:t>
      </w:r>
      <w:r>
        <w:rPr>
          <w:spacing w:val="-3"/>
          <w:sz w:val="24"/>
        </w:rPr>
        <w:t> </w:t>
      </w:r>
      <w:r>
        <w:rPr>
          <w:sz w:val="24"/>
        </w:rPr>
        <w:t>excluded</w:t>
      </w:r>
      <w:r>
        <w:rPr>
          <w:spacing w:val="-4"/>
          <w:sz w:val="24"/>
        </w:rPr>
        <w:t> </w:t>
      </w:r>
      <w:r>
        <w:rPr>
          <w:sz w:val="24"/>
        </w:rPr>
        <w:t>from</w:t>
      </w:r>
      <w:r>
        <w:rPr>
          <w:spacing w:val="-2"/>
          <w:sz w:val="24"/>
        </w:rPr>
        <w:t> </w:t>
      </w:r>
      <w:r>
        <w:rPr>
          <w:sz w:val="24"/>
        </w:rPr>
        <w:t>services</w:t>
      </w:r>
      <w:r>
        <w:rPr>
          <w:spacing w:val="-3"/>
          <w:sz w:val="24"/>
        </w:rPr>
        <w:t> </w:t>
      </w:r>
      <w:r>
        <w:rPr>
          <w:sz w:val="24"/>
        </w:rPr>
        <w:t>or</w:t>
      </w:r>
      <w:r>
        <w:rPr>
          <w:spacing w:val="-2"/>
          <w:sz w:val="24"/>
        </w:rPr>
        <w:t> </w:t>
      </w:r>
      <w:r>
        <w:rPr>
          <w:sz w:val="24"/>
        </w:rPr>
        <w:t>provided</w:t>
      </w:r>
      <w:r>
        <w:rPr>
          <w:spacing w:val="-1"/>
          <w:sz w:val="24"/>
        </w:rPr>
        <w:t> </w:t>
      </w:r>
      <w:r>
        <w:rPr>
          <w:sz w:val="24"/>
        </w:rPr>
        <w:t>a</w:t>
      </w:r>
      <w:r>
        <w:rPr>
          <w:spacing w:val="-5"/>
          <w:sz w:val="24"/>
        </w:rPr>
        <w:t> </w:t>
      </w:r>
      <w:r>
        <w:rPr>
          <w:sz w:val="24"/>
        </w:rPr>
        <w:t>lower</w:t>
      </w:r>
      <w:r>
        <w:rPr>
          <w:spacing w:val="-2"/>
          <w:sz w:val="24"/>
        </w:rPr>
        <w:t> </w:t>
      </w:r>
      <w:r>
        <w:rPr>
          <w:sz w:val="24"/>
        </w:rPr>
        <w:t>level</w:t>
      </w:r>
      <w:r>
        <w:rPr>
          <w:spacing w:val="-5"/>
          <w:sz w:val="24"/>
        </w:rPr>
        <w:t> </w:t>
      </w:r>
      <w:r>
        <w:rPr>
          <w:sz w:val="24"/>
        </w:rPr>
        <w:t>of </w:t>
      </w:r>
      <w:r>
        <w:rPr>
          <w:spacing w:val="-2"/>
          <w:sz w:val="24"/>
        </w:rPr>
        <w:t>services.</w:t>
      </w:r>
    </w:p>
    <w:p>
      <w:pPr>
        <w:pStyle w:val="ListParagraph"/>
        <w:numPr>
          <w:ilvl w:val="0"/>
          <w:numId w:val="21"/>
        </w:numPr>
        <w:tabs>
          <w:tab w:pos="1919" w:val="left" w:leader="none"/>
        </w:tabs>
        <w:spacing w:line="242" w:lineRule="auto" w:before="0" w:after="0"/>
        <w:ind w:left="1919" w:right="934" w:hanging="360"/>
        <w:jc w:val="left"/>
        <w:rPr>
          <w:sz w:val="24"/>
        </w:rPr>
      </w:pPr>
      <w:r>
        <w:rPr>
          <w:sz w:val="24"/>
        </w:rPr>
        <w:t>Whether the</w:t>
      </w:r>
      <w:r>
        <w:rPr>
          <w:spacing w:val="27"/>
          <w:sz w:val="24"/>
        </w:rPr>
        <w:t> </w:t>
      </w:r>
      <w:r>
        <w:rPr>
          <w:sz w:val="24"/>
        </w:rPr>
        <w:t>recipient has adequate justification for restrictions, if</w:t>
      </w:r>
      <w:r>
        <w:rPr>
          <w:spacing w:val="27"/>
          <w:sz w:val="24"/>
        </w:rPr>
        <w:t> </w:t>
      </w:r>
      <w:r>
        <w:rPr>
          <w:sz w:val="24"/>
        </w:rPr>
        <w:t>any, on</w:t>
      </w:r>
      <w:r>
        <w:rPr>
          <w:spacing w:val="27"/>
          <w:sz w:val="24"/>
        </w:rPr>
        <w:t> </w:t>
      </w:r>
      <w:r>
        <w:rPr>
          <w:sz w:val="24"/>
        </w:rPr>
        <w:t>special language services or on speaking languages other than English.</w:t>
      </w:r>
    </w:p>
    <w:p>
      <w:pPr>
        <w:pStyle w:val="BodyText"/>
        <w:spacing w:before="7"/>
        <w:rPr>
          <w:sz w:val="23"/>
        </w:rPr>
      </w:pPr>
    </w:p>
    <w:p>
      <w:pPr>
        <w:pStyle w:val="Heading9"/>
        <w:numPr>
          <w:ilvl w:val="1"/>
          <w:numId w:val="10"/>
        </w:numPr>
        <w:tabs>
          <w:tab w:pos="1165" w:val="left" w:leader="none"/>
          <w:tab w:pos="1200" w:val="left" w:leader="none"/>
        </w:tabs>
        <w:spacing w:line="240" w:lineRule="auto" w:before="0" w:after="0"/>
        <w:ind w:left="1200" w:right="934" w:hanging="360"/>
        <w:jc w:val="left"/>
      </w:pPr>
      <w:r>
        <w:rPr/>
        <w:t>Description of How the Recipient Provides Notice to LEP Persons about the Availability of Language Assistance.</w:t>
      </w:r>
    </w:p>
    <w:p>
      <w:pPr>
        <w:pStyle w:val="BodyText"/>
        <w:spacing w:before="11"/>
        <w:rPr>
          <w:b/>
          <w:sz w:val="23"/>
        </w:rPr>
      </w:pPr>
    </w:p>
    <w:p>
      <w:pPr>
        <w:pStyle w:val="BodyText"/>
        <w:spacing w:before="1"/>
        <w:ind w:left="1200" w:right="935"/>
      </w:pPr>
      <w:r>
        <w:rPr/>
        <w:t>MaineDOT does not operate a transit system but does include in notices of public meetings that language assistance is available upon request.</w:t>
      </w:r>
    </w:p>
    <w:p>
      <w:pPr>
        <w:pStyle w:val="BodyText"/>
        <w:spacing w:before="11"/>
        <w:rPr>
          <w:sz w:val="23"/>
        </w:rPr>
      </w:pPr>
    </w:p>
    <w:p>
      <w:pPr>
        <w:pStyle w:val="BodyText"/>
        <w:ind w:left="1200" w:right="935"/>
      </w:pPr>
      <w:r>
        <w:rPr/>
        <w:t>MaineDOT</w:t>
      </w:r>
      <w:r>
        <w:rPr>
          <w:spacing w:val="-2"/>
        </w:rPr>
        <w:t> </w:t>
      </w:r>
      <w:r>
        <w:rPr/>
        <w:t>provides</w:t>
      </w:r>
      <w:r>
        <w:rPr>
          <w:spacing w:val="-3"/>
        </w:rPr>
        <w:t> </w:t>
      </w:r>
      <w:r>
        <w:rPr/>
        <w:t>specific</w:t>
      </w:r>
      <w:r>
        <w:rPr>
          <w:spacing w:val="-1"/>
        </w:rPr>
        <w:t> </w:t>
      </w:r>
      <w:r>
        <w:rPr/>
        <w:t>guidance</w:t>
      </w:r>
      <w:r>
        <w:rPr>
          <w:spacing w:val="-4"/>
        </w:rPr>
        <w:t> </w:t>
      </w:r>
      <w:r>
        <w:rPr/>
        <w:t>to</w:t>
      </w:r>
      <w:r>
        <w:rPr>
          <w:spacing w:val="-2"/>
        </w:rPr>
        <w:t> </w:t>
      </w:r>
      <w:r>
        <w:rPr/>
        <w:t>subrecipients</w:t>
      </w:r>
      <w:r>
        <w:rPr>
          <w:spacing w:val="-4"/>
        </w:rPr>
        <w:t> </w:t>
      </w:r>
      <w:r>
        <w:rPr/>
        <w:t>regarding</w:t>
      </w:r>
      <w:r>
        <w:rPr>
          <w:spacing w:val="-3"/>
        </w:rPr>
        <w:t> </w:t>
      </w:r>
      <w:r>
        <w:rPr/>
        <w:t>language</w:t>
      </w:r>
      <w:r>
        <w:rPr>
          <w:spacing w:val="-4"/>
        </w:rPr>
        <w:t> </w:t>
      </w:r>
      <w:r>
        <w:rPr/>
        <w:t>assistance</w:t>
      </w:r>
      <w:r>
        <w:rPr>
          <w:spacing w:val="-2"/>
        </w:rPr>
        <w:t> </w:t>
      </w:r>
      <w:r>
        <w:rPr/>
        <w:t>for</w:t>
      </w:r>
      <w:r>
        <w:rPr>
          <w:spacing w:val="-2"/>
        </w:rPr>
        <w:t> </w:t>
      </w:r>
      <w:r>
        <w:rPr/>
        <w:t>LEP persons as follows:</w:t>
      </w:r>
    </w:p>
    <w:p>
      <w:pPr>
        <w:pStyle w:val="BodyText"/>
        <w:spacing w:before="11"/>
        <w:rPr>
          <w:sz w:val="23"/>
        </w:rPr>
      </w:pPr>
    </w:p>
    <w:p>
      <w:pPr>
        <w:pStyle w:val="ListParagraph"/>
        <w:numPr>
          <w:ilvl w:val="2"/>
          <w:numId w:val="10"/>
        </w:numPr>
        <w:tabs>
          <w:tab w:pos="1560" w:val="left" w:leader="none"/>
        </w:tabs>
        <w:spacing w:line="242" w:lineRule="auto" w:before="0" w:after="0"/>
        <w:ind w:left="1560" w:right="936" w:hanging="360"/>
        <w:jc w:val="both"/>
        <w:rPr>
          <w:sz w:val="24"/>
        </w:rPr>
      </w:pPr>
      <w:r>
        <w:rPr>
          <w:b/>
          <w:sz w:val="24"/>
        </w:rPr>
        <w:t>Planning</w:t>
      </w:r>
      <w:r>
        <w:rPr>
          <w:b/>
          <w:spacing w:val="-8"/>
          <w:sz w:val="24"/>
        </w:rPr>
        <w:t> </w:t>
      </w:r>
      <w:r>
        <w:rPr>
          <w:b/>
          <w:sz w:val="24"/>
        </w:rPr>
        <w:t>Process:</w:t>
      </w:r>
      <w:r>
        <w:rPr>
          <w:b/>
          <w:spacing w:val="37"/>
          <w:sz w:val="24"/>
        </w:rPr>
        <w:t> </w:t>
      </w:r>
      <w:r>
        <w:rPr>
          <w:sz w:val="24"/>
        </w:rPr>
        <w:t>Subrecipients</w:t>
      </w:r>
      <w:r>
        <w:rPr>
          <w:spacing w:val="-10"/>
          <w:sz w:val="24"/>
        </w:rPr>
        <w:t> </w:t>
      </w:r>
      <w:r>
        <w:rPr>
          <w:sz w:val="24"/>
        </w:rPr>
        <w:t>are</w:t>
      </w:r>
      <w:r>
        <w:rPr>
          <w:spacing w:val="-11"/>
          <w:sz w:val="24"/>
        </w:rPr>
        <w:t> </w:t>
      </w:r>
      <w:r>
        <w:rPr>
          <w:sz w:val="24"/>
        </w:rPr>
        <w:t>directed</w:t>
      </w:r>
      <w:r>
        <w:rPr>
          <w:spacing w:val="-9"/>
          <w:sz w:val="24"/>
        </w:rPr>
        <w:t> </w:t>
      </w:r>
      <w:r>
        <w:rPr>
          <w:sz w:val="24"/>
        </w:rPr>
        <w:t>to</w:t>
      </w:r>
      <w:r>
        <w:rPr>
          <w:spacing w:val="-9"/>
          <w:sz w:val="24"/>
        </w:rPr>
        <w:t> </w:t>
      </w:r>
      <w:r>
        <w:rPr>
          <w:sz w:val="24"/>
        </w:rPr>
        <w:t>follow</w:t>
      </w:r>
      <w:r>
        <w:rPr>
          <w:spacing w:val="-9"/>
          <w:sz w:val="24"/>
        </w:rPr>
        <w:t> </w:t>
      </w:r>
      <w:r>
        <w:rPr>
          <w:sz w:val="24"/>
        </w:rPr>
        <w:t>all</w:t>
      </w:r>
      <w:r>
        <w:rPr>
          <w:spacing w:val="-10"/>
          <w:sz w:val="24"/>
        </w:rPr>
        <w:t> </w:t>
      </w:r>
      <w:r>
        <w:rPr>
          <w:sz w:val="24"/>
        </w:rPr>
        <w:t>guidelines</w:t>
      </w:r>
      <w:r>
        <w:rPr>
          <w:spacing w:val="-8"/>
          <w:sz w:val="24"/>
        </w:rPr>
        <w:t> </w:t>
      </w:r>
      <w:r>
        <w:rPr>
          <w:sz w:val="24"/>
        </w:rPr>
        <w:t>above</w:t>
      </w:r>
      <w:r>
        <w:rPr>
          <w:spacing w:val="-7"/>
          <w:sz w:val="24"/>
        </w:rPr>
        <w:t> </w:t>
      </w:r>
      <w:r>
        <w:rPr>
          <w:sz w:val="24"/>
        </w:rPr>
        <w:t>and</w:t>
      </w:r>
      <w:r>
        <w:rPr>
          <w:spacing w:val="-9"/>
          <w:sz w:val="24"/>
        </w:rPr>
        <w:t> </w:t>
      </w:r>
      <w:r>
        <w:rPr>
          <w:sz w:val="24"/>
        </w:rPr>
        <w:t>make</w:t>
      </w:r>
      <w:r>
        <w:rPr>
          <w:spacing w:val="-9"/>
          <w:sz w:val="24"/>
        </w:rPr>
        <w:t> </w:t>
      </w:r>
      <w:r>
        <w:rPr>
          <w:sz w:val="24"/>
        </w:rPr>
        <w:t>use of the Language Translation Card Guide.</w:t>
      </w:r>
    </w:p>
    <w:p>
      <w:pPr>
        <w:pStyle w:val="ListParagraph"/>
        <w:numPr>
          <w:ilvl w:val="2"/>
          <w:numId w:val="10"/>
        </w:numPr>
        <w:tabs>
          <w:tab w:pos="1560" w:val="left" w:leader="none"/>
        </w:tabs>
        <w:spacing w:line="240" w:lineRule="auto" w:before="0" w:after="0"/>
        <w:ind w:left="1560" w:right="932" w:hanging="360"/>
        <w:jc w:val="both"/>
        <w:rPr>
          <w:sz w:val="24"/>
        </w:rPr>
      </w:pPr>
      <w:r>
        <w:rPr>
          <w:b/>
          <w:sz w:val="24"/>
        </w:rPr>
        <w:t>Public Meetings:</w:t>
      </w:r>
      <w:r>
        <w:rPr>
          <w:b/>
          <w:spacing w:val="40"/>
          <w:sz w:val="24"/>
        </w:rPr>
        <w:t> </w:t>
      </w:r>
      <w:r>
        <w:rPr>
          <w:sz w:val="24"/>
        </w:rPr>
        <w:t>Subrecipients are directed to outreach ahead of time, find out how to communicate with the affected area, and make use of Language Translation Cards.</w:t>
      </w:r>
    </w:p>
    <w:p>
      <w:pPr>
        <w:pStyle w:val="ListParagraph"/>
        <w:numPr>
          <w:ilvl w:val="2"/>
          <w:numId w:val="10"/>
        </w:numPr>
        <w:tabs>
          <w:tab w:pos="1559" w:val="left" w:leader="none"/>
        </w:tabs>
        <w:spacing w:line="242" w:lineRule="auto" w:before="0" w:after="0"/>
        <w:ind w:left="1559" w:right="940" w:hanging="360"/>
        <w:jc w:val="both"/>
        <w:rPr>
          <w:sz w:val="24"/>
        </w:rPr>
      </w:pPr>
      <w:r>
        <w:rPr>
          <w:b/>
          <w:sz w:val="24"/>
        </w:rPr>
        <w:t>Property</w:t>
      </w:r>
      <w:r>
        <w:rPr>
          <w:b/>
          <w:spacing w:val="-14"/>
          <w:sz w:val="24"/>
        </w:rPr>
        <w:t> </w:t>
      </w:r>
      <w:r>
        <w:rPr>
          <w:b/>
          <w:sz w:val="24"/>
        </w:rPr>
        <w:t>Acquisition:</w:t>
      </w:r>
      <w:r>
        <w:rPr>
          <w:b/>
          <w:spacing w:val="21"/>
          <w:sz w:val="24"/>
        </w:rPr>
        <w:t> </w:t>
      </w:r>
      <w:r>
        <w:rPr>
          <w:sz w:val="24"/>
        </w:rPr>
        <w:t>Subrecipients</w:t>
      </w:r>
      <w:r>
        <w:rPr>
          <w:spacing w:val="-14"/>
          <w:sz w:val="24"/>
        </w:rPr>
        <w:t> </w:t>
      </w:r>
      <w:r>
        <w:rPr>
          <w:sz w:val="24"/>
        </w:rPr>
        <w:t>are</w:t>
      </w:r>
      <w:r>
        <w:rPr>
          <w:spacing w:val="-14"/>
          <w:sz w:val="24"/>
        </w:rPr>
        <w:t> </w:t>
      </w:r>
      <w:r>
        <w:rPr>
          <w:sz w:val="24"/>
        </w:rPr>
        <w:t>directed</w:t>
      </w:r>
      <w:r>
        <w:rPr>
          <w:spacing w:val="-13"/>
          <w:sz w:val="24"/>
        </w:rPr>
        <w:t> </w:t>
      </w:r>
      <w:r>
        <w:rPr>
          <w:sz w:val="24"/>
        </w:rPr>
        <w:t>to</w:t>
      </w:r>
      <w:r>
        <w:rPr>
          <w:spacing w:val="-12"/>
          <w:sz w:val="24"/>
        </w:rPr>
        <w:t> </w:t>
      </w:r>
      <w:r>
        <w:rPr>
          <w:sz w:val="24"/>
        </w:rPr>
        <w:t>bring</w:t>
      </w:r>
      <w:r>
        <w:rPr>
          <w:spacing w:val="-14"/>
          <w:sz w:val="24"/>
        </w:rPr>
        <w:t> </w:t>
      </w:r>
      <w:r>
        <w:rPr>
          <w:sz w:val="24"/>
        </w:rPr>
        <w:t>Language</w:t>
      </w:r>
      <w:r>
        <w:rPr>
          <w:spacing w:val="-14"/>
          <w:sz w:val="24"/>
        </w:rPr>
        <w:t> </w:t>
      </w:r>
      <w:r>
        <w:rPr>
          <w:sz w:val="24"/>
        </w:rPr>
        <w:t>Translation</w:t>
      </w:r>
      <w:r>
        <w:rPr>
          <w:spacing w:val="-13"/>
          <w:sz w:val="24"/>
        </w:rPr>
        <w:t> </w:t>
      </w:r>
      <w:r>
        <w:rPr>
          <w:sz w:val="24"/>
        </w:rPr>
        <w:t>Cards</w:t>
      </w:r>
      <w:r>
        <w:rPr>
          <w:spacing w:val="-14"/>
          <w:sz w:val="24"/>
        </w:rPr>
        <w:t> </w:t>
      </w:r>
      <w:r>
        <w:rPr>
          <w:sz w:val="24"/>
        </w:rPr>
        <w:t>and arrange for translators.</w:t>
      </w:r>
    </w:p>
    <w:p>
      <w:pPr>
        <w:pStyle w:val="ListParagraph"/>
        <w:numPr>
          <w:ilvl w:val="2"/>
          <w:numId w:val="10"/>
        </w:numPr>
        <w:tabs>
          <w:tab w:pos="1559" w:val="left" w:leader="none"/>
        </w:tabs>
        <w:spacing w:line="240" w:lineRule="auto" w:before="0" w:after="0"/>
        <w:ind w:left="1559" w:right="937" w:hanging="360"/>
        <w:jc w:val="both"/>
        <w:rPr>
          <w:sz w:val="24"/>
        </w:rPr>
      </w:pPr>
      <w:r>
        <w:rPr>
          <w:b/>
          <w:sz w:val="24"/>
        </w:rPr>
        <w:t>Construction:</w:t>
      </w:r>
      <w:r>
        <w:rPr>
          <w:b/>
          <w:spacing w:val="40"/>
          <w:sz w:val="24"/>
        </w:rPr>
        <w:t> </w:t>
      </w:r>
      <w:r>
        <w:rPr>
          <w:sz w:val="24"/>
        </w:rPr>
        <w:t>Subrecipients are directed to have Language Translation Cards on hand and arrange for translators.</w:t>
      </w:r>
    </w:p>
    <w:p>
      <w:pPr>
        <w:pStyle w:val="ListParagraph"/>
        <w:numPr>
          <w:ilvl w:val="2"/>
          <w:numId w:val="10"/>
        </w:numPr>
        <w:tabs>
          <w:tab w:pos="1559" w:val="left" w:leader="none"/>
        </w:tabs>
        <w:spacing w:line="240" w:lineRule="auto" w:before="0" w:after="0"/>
        <w:ind w:left="1559" w:right="933" w:hanging="360"/>
        <w:jc w:val="both"/>
        <w:rPr>
          <w:sz w:val="24"/>
        </w:rPr>
      </w:pPr>
      <w:r>
        <w:rPr>
          <w:b/>
          <w:sz w:val="24"/>
        </w:rPr>
        <w:t>Transit Programs:</w:t>
      </w:r>
      <w:r>
        <w:rPr>
          <w:b/>
          <w:spacing w:val="40"/>
          <w:sz w:val="24"/>
        </w:rPr>
        <w:t> </w:t>
      </w:r>
      <w:r>
        <w:rPr>
          <w:sz w:val="24"/>
        </w:rPr>
        <w:t>Subrecipients are directed to use Language Translation Cards as a polling tool, become familiar with languages used on the routes, consider publishing in most predominant languages other than English, and obtain a professional language translation</w:t>
      </w:r>
      <w:r>
        <w:rPr>
          <w:spacing w:val="-1"/>
          <w:sz w:val="24"/>
        </w:rPr>
        <w:t> </w:t>
      </w:r>
      <w:r>
        <w:rPr>
          <w:sz w:val="24"/>
        </w:rPr>
        <w:t>phone service.</w:t>
      </w:r>
      <w:r>
        <w:rPr>
          <w:spacing w:val="40"/>
          <w:sz w:val="24"/>
        </w:rPr>
        <w:t> </w:t>
      </w:r>
      <w:r>
        <w:rPr>
          <w:sz w:val="24"/>
        </w:rPr>
        <w:t>For public</w:t>
      </w:r>
      <w:r>
        <w:rPr>
          <w:spacing w:val="-1"/>
          <w:sz w:val="24"/>
        </w:rPr>
        <w:t> </w:t>
      </w:r>
      <w:r>
        <w:rPr>
          <w:sz w:val="24"/>
        </w:rPr>
        <w:t>processes and planning, subrecipients are directed to refer to the US DOT Guide.</w:t>
      </w:r>
    </w:p>
    <w:p>
      <w:pPr>
        <w:pStyle w:val="BodyText"/>
        <w:spacing w:before="2"/>
        <w:rPr>
          <w:sz w:val="23"/>
        </w:rPr>
      </w:pPr>
    </w:p>
    <w:p>
      <w:pPr>
        <w:pStyle w:val="BodyText"/>
        <w:spacing w:before="1"/>
        <w:ind w:left="1199" w:right="935"/>
      </w:pPr>
      <w:r>
        <w:rPr/>
        <w:t>MaineDOT</w:t>
      </w:r>
      <w:r>
        <w:rPr>
          <w:spacing w:val="-9"/>
        </w:rPr>
        <w:t> </w:t>
      </w:r>
      <w:r>
        <w:rPr/>
        <w:t>ensures</w:t>
      </w:r>
      <w:r>
        <w:rPr>
          <w:spacing w:val="-10"/>
        </w:rPr>
        <w:t> </w:t>
      </w:r>
      <w:r>
        <w:rPr/>
        <w:t>LEP</w:t>
      </w:r>
      <w:r>
        <w:rPr>
          <w:spacing w:val="-9"/>
        </w:rPr>
        <w:t> </w:t>
      </w:r>
      <w:r>
        <w:rPr/>
        <w:t>persons</w:t>
      </w:r>
      <w:r>
        <w:rPr>
          <w:spacing w:val="-10"/>
        </w:rPr>
        <w:t> </w:t>
      </w:r>
      <w:r>
        <w:rPr/>
        <w:t>are</w:t>
      </w:r>
      <w:r>
        <w:rPr>
          <w:spacing w:val="-12"/>
        </w:rPr>
        <w:t> </w:t>
      </w:r>
      <w:r>
        <w:rPr/>
        <w:t>notified</w:t>
      </w:r>
      <w:r>
        <w:rPr>
          <w:spacing w:val="-9"/>
        </w:rPr>
        <w:t> </w:t>
      </w:r>
      <w:r>
        <w:rPr/>
        <w:t>of</w:t>
      </w:r>
      <w:r>
        <w:rPr>
          <w:spacing w:val="-9"/>
        </w:rPr>
        <w:t> </w:t>
      </w:r>
      <w:r>
        <w:rPr/>
        <w:t>the</w:t>
      </w:r>
      <w:r>
        <w:rPr>
          <w:spacing w:val="-12"/>
        </w:rPr>
        <w:t> </w:t>
      </w:r>
      <w:r>
        <w:rPr/>
        <w:t>availability</w:t>
      </w:r>
      <w:r>
        <w:rPr>
          <w:spacing w:val="-10"/>
        </w:rPr>
        <w:t> </w:t>
      </w:r>
      <w:r>
        <w:rPr/>
        <w:t>of</w:t>
      </w:r>
      <w:r>
        <w:rPr>
          <w:spacing w:val="-9"/>
        </w:rPr>
        <w:t> </w:t>
      </w:r>
      <w:r>
        <w:rPr/>
        <w:t>language</w:t>
      </w:r>
      <w:r>
        <w:rPr>
          <w:spacing w:val="-9"/>
        </w:rPr>
        <w:t> </w:t>
      </w:r>
      <w:r>
        <w:rPr/>
        <w:t>assistance</w:t>
      </w:r>
      <w:r>
        <w:rPr>
          <w:spacing w:val="-9"/>
        </w:rPr>
        <w:t> </w:t>
      </w:r>
      <w:r>
        <w:rPr/>
        <w:t>through the following approaches:</w:t>
      </w:r>
    </w:p>
    <w:p>
      <w:pPr>
        <w:pStyle w:val="BodyText"/>
        <w:spacing w:before="10"/>
        <w:rPr>
          <w:sz w:val="23"/>
        </w:rPr>
      </w:pPr>
    </w:p>
    <w:p>
      <w:pPr>
        <w:pStyle w:val="ListParagraph"/>
        <w:numPr>
          <w:ilvl w:val="2"/>
          <w:numId w:val="10"/>
        </w:numPr>
        <w:tabs>
          <w:tab w:pos="1559" w:val="left" w:leader="none"/>
        </w:tabs>
        <w:spacing w:line="240" w:lineRule="auto" w:before="0" w:after="0"/>
        <w:ind w:left="1559" w:right="0" w:hanging="360"/>
        <w:jc w:val="left"/>
        <w:rPr>
          <w:sz w:val="24"/>
        </w:rPr>
      </w:pPr>
      <w:r>
        <w:rPr>
          <w:sz w:val="24"/>
        </w:rPr>
        <w:t>Following</w:t>
      </w:r>
      <w:r>
        <w:rPr>
          <w:spacing w:val="-4"/>
          <w:sz w:val="24"/>
        </w:rPr>
        <w:t> </w:t>
      </w:r>
      <w:r>
        <w:rPr>
          <w:sz w:val="24"/>
        </w:rPr>
        <w:t>our</w:t>
      </w:r>
      <w:r>
        <w:rPr>
          <w:spacing w:val="-3"/>
          <w:sz w:val="24"/>
        </w:rPr>
        <w:t> </w:t>
      </w:r>
      <w:r>
        <w:rPr>
          <w:sz w:val="24"/>
        </w:rPr>
        <w:t>Title</w:t>
      </w:r>
      <w:r>
        <w:rPr>
          <w:spacing w:val="-3"/>
          <w:sz w:val="24"/>
        </w:rPr>
        <w:t> </w:t>
      </w:r>
      <w:r>
        <w:rPr>
          <w:sz w:val="24"/>
        </w:rPr>
        <w:t>VI</w:t>
      </w:r>
      <w:r>
        <w:rPr>
          <w:spacing w:val="-3"/>
          <w:sz w:val="24"/>
        </w:rPr>
        <w:t> </w:t>
      </w:r>
      <w:r>
        <w:rPr>
          <w:sz w:val="24"/>
        </w:rPr>
        <w:t>policy</w:t>
      </w:r>
      <w:r>
        <w:rPr>
          <w:spacing w:val="-1"/>
          <w:sz w:val="24"/>
        </w:rPr>
        <w:t> </w:t>
      </w:r>
      <w:r>
        <w:rPr>
          <w:sz w:val="24"/>
        </w:rPr>
        <w:t>statement</w:t>
      </w:r>
      <w:r>
        <w:rPr>
          <w:spacing w:val="-3"/>
          <w:sz w:val="24"/>
        </w:rPr>
        <w:t> </w:t>
      </w:r>
      <w:r>
        <w:rPr>
          <w:sz w:val="24"/>
        </w:rPr>
        <w:t>included</w:t>
      </w:r>
      <w:r>
        <w:rPr>
          <w:spacing w:val="1"/>
          <w:sz w:val="24"/>
        </w:rPr>
        <w:t> </w:t>
      </w:r>
      <w:r>
        <w:rPr>
          <w:sz w:val="24"/>
        </w:rPr>
        <w:t>on our vital </w:t>
      </w:r>
      <w:r>
        <w:rPr>
          <w:spacing w:val="-2"/>
          <w:sz w:val="24"/>
        </w:rPr>
        <w:t>documents;</w:t>
      </w:r>
    </w:p>
    <w:p>
      <w:pPr>
        <w:pStyle w:val="ListParagraph"/>
        <w:numPr>
          <w:ilvl w:val="2"/>
          <w:numId w:val="10"/>
        </w:numPr>
        <w:tabs>
          <w:tab w:pos="1559" w:val="left" w:leader="none"/>
        </w:tabs>
        <w:spacing w:line="305" w:lineRule="exact" w:before="2" w:after="0"/>
        <w:ind w:left="1559" w:right="0" w:hanging="360"/>
        <w:jc w:val="left"/>
        <w:rPr>
          <w:sz w:val="24"/>
        </w:rPr>
      </w:pPr>
      <w:r>
        <w:rPr>
          <w:sz w:val="24"/>
        </w:rPr>
        <w:t>On</w:t>
      </w:r>
      <w:r>
        <w:rPr>
          <w:spacing w:val="-2"/>
          <w:sz w:val="24"/>
        </w:rPr>
        <w:t> </w:t>
      </w:r>
      <w:r>
        <w:rPr>
          <w:sz w:val="24"/>
        </w:rPr>
        <w:t>our</w:t>
      </w:r>
      <w:r>
        <w:rPr>
          <w:spacing w:val="-3"/>
          <w:sz w:val="24"/>
        </w:rPr>
        <w:t> </w:t>
      </w:r>
      <w:r>
        <w:rPr>
          <w:sz w:val="24"/>
        </w:rPr>
        <w:t>website,</w:t>
      </w:r>
      <w:r>
        <w:rPr>
          <w:spacing w:val="-3"/>
          <w:sz w:val="24"/>
        </w:rPr>
        <w:t> </w:t>
      </w:r>
      <w:r>
        <w:rPr>
          <w:sz w:val="24"/>
        </w:rPr>
        <w:t>with links</w:t>
      </w:r>
      <w:r>
        <w:rPr>
          <w:spacing w:val="-1"/>
          <w:sz w:val="24"/>
        </w:rPr>
        <w:t> </w:t>
      </w:r>
      <w:r>
        <w:rPr>
          <w:sz w:val="24"/>
        </w:rPr>
        <w:t>to</w:t>
      </w:r>
      <w:r>
        <w:rPr>
          <w:spacing w:val="-2"/>
          <w:sz w:val="24"/>
        </w:rPr>
        <w:t> </w:t>
      </w:r>
      <w:r>
        <w:rPr>
          <w:sz w:val="24"/>
        </w:rPr>
        <w:t>translations</w:t>
      </w:r>
      <w:r>
        <w:rPr>
          <w:spacing w:val="-1"/>
          <w:sz w:val="24"/>
        </w:rPr>
        <w:t> </w:t>
      </w:r>
      <w:r>
        <w:rPr>
          <w:sz w:val="24"/>
        </w:rPr>
        <w:t>of vital</w:t>
      </w:r>
      <w:r>
        <w:rPr>
          <w:spacing w:val="-3"/>
          <w:sz w:val="24"/>
        </w:rPr>
        <w:t> </w:t>
      </w:r>
      <w:r>
        <w:rPr>
          <w:sz w:val="24"/>
        </w:rPr>
        <w:t>documents</w:t>
      </w:r>
      <w:r>
        <w:rPr>
          <w:spacing w:val="-3"/>
          <w:sz w:val="24"/>
        </w:rPr>
        <w:t> </w:t>
      </w:r>
      <w:r>
        <w:rPr>
          <w:sz w:val="24"/>
        </w:rPr>
        <w:t>in</w:t>
      </w:r>
      <w:r>
        <w:rPr>
          <w:spacing w:val="-2"/>
          <w:sz w:val="24"/>
        </w:rPr>
        <w:t> </w:t>
      </w:r>
      <w:r>
        <w:rPr>
          <w:sz w:val="24"/>
        </w:rPr>
        <w:t>other </w:t>
      </w:r>
      <w:r>
        <w:rPr>
          <w:spacing w:val="-2"/>
          <w:sz w:val="24"/>
        </w:rPr>
        <w:t>languages;</w:t>
      </w:r>
    </w:p>
    <w:p>
      <w:pPr>
        <w:pStyle w:val="ListParagraph"/>
        <w:numPr>
          <w:ilvl w:val="2"/>
          <w:numId w:val="10"/>
        </w:numPr>
        <w:tabs>
          <w:tab w:pos="1559" w:val="left" w:leader="none"/>
        </w:tabs>
        <w:spacing w:line="305" w:lineRule="exact" w:before="0" w:after="0"/>
        <w:ind w:left="1559" w:right="0" w:hanging="360"/>
        <w:jc w:val="left"/>
        <w:rPr>
          <w:sz w:val="24"/>
        </w:rPr>
      </w:pPr>
      <w:r>
        <w:rPr>
          <w:sz w:val="24"/>
        </w:rPr>
        <w:t>Through</w:t>
      </w:r>
      <w:r>
        <w:rPr>
          <w:spacing w:val="-3"/>
          <w:sz w:val="24"/>
        </w:rPr>
        <w:t> </w:t>
      </w:r>
      <w:r>
        <w:rPr>
          <w:sz w:val="24"/>
        </w:rPr>
        <w:t>signs</w:t>
      </w:r>
      <w:r>
        <w:rPr>
          <w:spacing w:val="-3"/>
          <w:sz w:val="24"/>
        </w:rPr>
        <w:t> </w:t>
      </w:r>
      <w:r>
        <w:rPr>
          <w:sz w:val="24"/>
        </w:rPr>
        <w:t>posted in</w:t>
      </w:r>
      <w:r>
        <w:rPr>
          <w:spacing w:val="-4"/>
          <w:sz w:val="24"/>
        </w:rPr>
        <w:t> </w:t>
      </w:r>
      <w:r>
        <w:rPr>
          <w:sz w:val="24"/>
        </w:rPr>
        <w:t>our</w:t>
      </w:r>
      <w:r>
        <w:rPr>
          <w:spacing w:val="-1"/>
          <w:sz w:val="24"/>
        </w:rPr>
        <w:t> </w:t>
      </w:r>
      <w:r>
        <w:rPr>
          <w:sz w:val="24"/>
        </w:rPr>
        <w:t>customer</w:t>
      </w:r>
      <w:r>
        <w:rPr>
          <w:spacing w:val="-2"/>
          <w:sz w:val="24"/>
        </w:rPr>
        <w:t> </w:t>
      </w:r>
      <w:r>
        <w:rPr>
          <w:sz w:val="24"/>
        </w:rPr>
        <w:t>service</w:t>
      </w:r>
      <w:r>
        <w:rPr>
          <w:spacing w:val="-3"/>
          <w:sz w:val="24"/>
        </w:rPr>
        <w:t> </w:t>
      </w:r>
      <w:r>
        <w:rPr>
          <w:sz w:val="24"/>
        </w:rPr>
        <w:t>and</w:t>
      </w:r>
      <w:r>
        <w:rPr>
          <w:spacing w:val="-1"/>
          <w:sz w:val="24"/>
        </w:rPr>
        <w:t> </w:t>
      </w:r>
      <w:r>
        <w:rPr>
          <w:sz w:val="24"/>
        </w:rPr>
        <w:t>administrative</w:t>
      </w:r>
      <w:r>
        <w:rPr>
          <w:spacing w:val="-3"/>
          <w:sz w:val="24"/>
        </w:rPr>
        <w:t> </w:t>
      </w:r>
      <w:r>
        <w:rPr>
          <w:spacing w:val="-2"/>
          <w:sz w:val="24"/>
        </w:rPr>
        <w:t>offices;</w:t>
      </w:r>
    </w:p>
    <w:p>
      <w:pPr>
        <w:pStyle w:val="ListParagraph"/>
        <w:numPr>
          <w:ilvl w:val="2"/>
          <w:numId w:val="10"/>
        </w:numPr>
        <w:tabs>
          <w:tab w:pos="1559" w:val="left" w:leader="none"/>
        </w:tabs>
        <w:spacing w:line="242" w:lineRule="auto" w:before="0" w:after="0"/>
        <w:ind w:left="1559" w:right="934" w:hanging="360"/>
        <w:jc w:val="left"/>
        <w:rPr>
          <w:sz w:val="24"/>
        </w:rPr>
      </w:pPr>
      <w:r>
        <w:rPr>
          <w:sz w:val="24"/>
        </w:rPr>
        <w:t>Through</w:t>
      </w:r>
      <w:r>
        <w:rPr>
          <w:spacing w:val="37"/>
          <w:sz w:val="24"/>
        </w:rPr>
        <w:t> </w:t>
      </w:r>
      <w:r>
        <w:rPr>
          <w:sz w:val="24"/>
        </w:rPr>
        <w:t>ongoing</w:t>
      </w:r>
      <w:r>
        <w:rPr>
          <w:spacing w:val="33"/>
          <w:sz w:val="24"/>
        </w:rPr>
        <w:t> </w:t>
      </w:r>
      <w:r>
        <w:rPr>
          <w:sz w:val="24"/>
        </w:rPr>
        <w:t>outreach</w:t>
      </w:r>
      <w:r>
        <w:rPr>
          <w:spacing w:val="37"/>
          <w:sz w:val="24"/>
        </w:rPr>
        <w:t> </w:t>
      </w:r>
      <w:r>
        <w:rPr>
          <w:sz w:val="24"/>
        </w:rPr>
        <w:t>efforts</w:t>
      </w:r>
      <w:r>
        <w:rPr>
          <w:spacing w:val="33"/>
          <w:sz w:val="24"/>
        </w:rPr>
        <w:t> </w:t>
      </w:r>
      <w:r>
        <w:rPr>
          <w:sz w:val="24"/>
        </w:rPr>
        <w:t>to</w:t>
      </w:r>
      <w:r>
        <w:rPr>
          <w:spacing w:val="36"/>
          <w:sz w:val="24"/>
        </w:rPr>
        <w:t> </w:t>
      </w:r>
      <w:r>
        <w:rPr>
          <w:sz w:val="24"/>
        </w:rPr>
        <w:t>community</w:t>
      </w:r>
      <w:r>
        <w:rPr>
          <w:spacing w:val="35"/>
          <w:sz w:val="24"/>
        </w:rPr>
        <w:t> </w:t>
      </w:r>
      <w:r>
        <w:rPr>
          <w:sz w:val="24"/>
        </w:rPr>
        <w:t>organizations,</w:t>
      </w:r>
      <w:r>
        <w:rPr>
          <w:spacing w:val="36"/>
          <w:sz w:val="24"/>
        </w:rPr>
        <w:t> </w:t>
      </w:r>
      <w:r>
        <w:rPr>
          <w:sz w:val="24"/>
        </w:rPr>
        <w:t>schools,</w:t>
      </w:r>
      <w:r>
        <w:rPr>
          <w:spacing w:val="33"/>
          <w:sz w:val="24"/>
        </w:rPr>
        <w:t> </w:t>
      </w:r>
      <w:r>
        <w:rPr>
          <w:sz w:val="24"/>
        </w:rPr>
        <w:t>and</w:t>
      </w:r>
      <w:r>
        <w:rPr>
          <w:spacing w:val="37"/>
          <w:sz w:val="24"/>
        </w:rPr>
        <w:t> </w:t>
      </w:r>
      <w:r>
        <w:rPr>
          <w:sz w:val="24"/>
        </w:rPr>
        <w:t>religious </w:t>
      </w:r>
      <w:r>
        <w:rPr>
          <w:spacing w:val="-2"/>
          <w:sz w:val="24"/>
        </w:rPr>
        <w:t>organizations;</w:t>
      </w:r>
    </w:p>
    <w:p>
      <w:pPr>
        <w:pStyle w:val="ListParagraph"/>
        <w:numPr>
          <w:ilvl w:val="2"/>
          <w:numId w:val="10"/>
        </w:numPr>
        <w:tabs>
          <w:tab w:pos="1559" w:val="left" w:leader="none"/>
        </w:tabs>
        <w:spacing w:line="240" w:lineRule="auto" w:before="0" w:after="0"/>
        <w:ind w:left="1559" w:right="934" w:hanging="360"/>
        <w:jc w:val="left"/>
        <w:rPr>
          <w:sz w:val="24"/>
        </w:rPr>
      </w:pPr>
      <w:r>
        <w:rPr>
          <w:sz w:val="24"/>
        </w:rPr>
        <w:t>Through use of an automated telephone menu system in the most common languages encountered in Maine (French, Spanish, Chinese);</w:t>
      </w:r>
    </w:p>
    <w:p>
      <w:pPr>
        <w:pStyle w:val="ListParagraph"/>
        <w:numPr>
          <w:ilvl w:val="2"/>
          <w:numId w:val="10"/>
        </w:numPr>
        <w:tabs>
          <w:tab w:pos="1559" w:val="left" w:leader="none"/>
        </w:tabs>
        <w:spacing w:line="305" w:lineRule="exact" w:before="0" w:after="0"/>
        <w:ind w:left="1559" w:right="0" w:hanging="360"/>
        <w:jc w:val="left"/>
        <w:rPr>
          <w:sz w:val="24"/>
        </w:rPr>
      </w:pPr>
      <w:r>
        <w:rPr>
          <w:sz w:val="24"/>
        </w:rPr>
        <w:t>Including</w:t>
      </w:r>
      <w:r>
        <w:rPr>
          <w:spacing w:val="-6"/>
          <w:sz w:val="24"/>
        </w:rPr>
        <w:t> </w:t>
      </w:r>
      <w:r>
        <w:rPr>
          <w:sz w:val="24"/>
        </w:rPr>
        <w:t>the</w:t>
      </w:r>
      <w:r>
        <w:rPr>
          <w:spacing w:val="-1"/>
          <w:sz w:val="24"/>
        </w:rPr>
        <w:t> </w:t>
      </w:r>
      <w:r>
        <w:rPr>
          <w:sz w:val="24"/>
        </w:rPr>
        <w:t>language</w:t>
      </w:r>
      <w:r>
        <w:rPr>
          <w:spacing w:val="-1"/>
          <w:sz w:val="24"/>
        </w:rPr>
        <w:t> </w:t>
      </w:r>
      <w:r>
        <w:rPr>
          <w:sz w:val="24"/>
        </w:rPr>
        <w:t>translation</w:t>
      </w:r>
      <w:r>
        <w:rPr>
          <w:spacing w:val="1"/>
          <w:sz w:val="24"/>
        </w:rPr>
        <w:t> </w:t>
      </w:r>
      <w:r>
        <w:rPr>
          <w:sz w:val="24"/>
        </w:rPr>
        <w:t>line</w:t>
      </w:r>
      <w:r>
        <w:rPr>
          <w:spacing w:val="-3"/>
          <w:sz w:val="24"/>
        </w:rPr>
        <w:t> </w:t>
      </w:r>
      <w:r>
        <w:rPr>
          <w:sz w:val="24"/>
        </w:rPr>
        <w:t>on</w:t>
      </w:r>
      <w:r>
        <w:rPr>
          <w:spacing w:val="-3"/>
          <w:sz w:val="24"/>
        </w:rPr>
        <w:t> </w:t>
      </w:r>
      <w:r>
        <w:rPr>
          <w:sz w:val="24"/>
        </w:rPr>
        <w:t>all </w:t>
      </w:r>
      <w:r>
        <w:rPr>
          <w:spacing w:val="-2"/>
          <w:sz w:val="24"/>
        </w:rPr>
        <w:t>materials;</w:t>
      </w:r>
    </w:p>
    <w:p>
      <w:pPr>
        <w:pStyle w:val="ListParagraph"/>
        <w:numPr>
          <w:ilvl w:val="2"/>
          <w:numId w:val="10"/>
        </w:numPr>
        <w:tabs>
          <w:tab w:pos="1559" w:val="left" w:leader="none"/>
        </w:tabs>
        <w:spacing w:line="240" w:lineRule="auto" w:before="0" w:after="0"/>
        <w:ind w:left="1559" w:right="936" w:hanging="360"/>
        <w:jc w:val="left"/>
        <w:rPr>
          <w:sz w:val="24"/>
        </w:rPr>
      </w:pPr>
      <w:r>
        <w:rPr>
          <w:sz w:val="24"/>
        </w:rPr>
        <w:t>Providing information tables with bilingual staff at community service events of interest to LEP groups; and</w:t>
      </w:r>
    </w:p>
    <w:p>
      <w:pPr>
        <w:spacing w:after="0" w:line="240" w:lineRule="auto"/>
        <w:jc w:val="left"/>
        <w:rPr>
          <w:sz w:val="24"/>
        </w:rPr>
        <w:sectPr>
          <w:pgSz w:w="12240" w:h="15840"/>
          <w:pgMar w:header="0" w:footer="997" w:top="920" w:bottom="1260" w:left="600" w:right="500"/>
        </w:sectPr>
      </w:pPr>
    </w:p>
    <w:p>
      <w:pPr>
        <w:pStyle w:val="ListParagraph"/>
        <w:numPr>
          <w:ilvl w:val="2"/>
          <w:numId w:val="10"/>
        </w:numPr>
        <w:tabs>
          <w:tab w:pos="1560" w:val="left" w:leader="none"/>
        </w:tabs>
        <w:spacing w:line="240" w:lineRule="auto" w:before="74" w:after="0"/>
        <w:ind w:left="1560" w:right="931" w:hanging="360"/>
        <w:jc w:val="both"/>
        <w:rPr>
          <w:sz w:val="24"/>
        </w:rPr>
      </w:pPr>
      <w:r>
        <w:rPr>
          <w:sz w:val="24"/>
        </w:rPr>
        <w:t>Sending translated news releases and public service announcements about the availability</w:t>
      </w:r>
      <w:r>
        <w:rPr>
          <w:spacing w:val="-14"/>
          <w:sz w:val="24"/>
        </w:rPr>
        <w:t> </w:t>
      </w:r>
      <w:r>
        <w:rPr>
          <w:sz w:val="24"/>
        </w:rPr>
        <w:t>of</w:t>
      </w:r>
      <w:r>
        <w:rPr>
          <w:spacing w:val="-14"/>
          <w:sz w:val="24"/>
        </w:rPr>
        <w:t> </w:t>
      </w:r>
      <w:r>
        <w:rPr>
          <w:sz w:val="24"/>
        </w:rPr>
        <w:t>translated</w:t>
      </w:r>
      <w:r>
        <w:rPr>
          <w:spacing w:val="-13"/>
          <w:sz w:val="24"/>
        </w:rPr>
        <w:t> </w:t>
      </w:r>
      <w:r>
        <w:rPr>
          <w:sz w:val="24"/>
        </w:rPr>
        <w:t>information</w:t>
      </w:r>
      <w:r>
        <w:rPr>
          <w:spacing w:val="-14"/>
          <w:sz w:val="24"/>
        </w:rPr>
        <w:t> </w:t>
      </w:r>
      <w:r>
        <w:rPr>
          <w:sz w:val="24"/>
        </w:rPr>
        <w:t>to</w:t>
      </w:r>
      <w:r>
        <w:rPr>
          <w:spacing w:val="-13"/>
          <w:sz w:val="24"/>
        </w:rPr>
        <w:t> </w:t>
      </w:r>
      <w:r>
        <w:rPr>
          <w:sz w:val="24"/>
        </w:rPr>
        <w:t>newspapers</w:t>
      </w:r>
      <w:r>
        <w:rPr>
          <w:spacing w:val="-14"/>
          <w:sz w:val="24"/>
        </w:rPr>
        <w:t> </w:t>
      </w:r>
      <w:r>
        <w:rPr>
          <w:sz w:val="24"/>
        </w:rPr>
        <w:t>and</w:t>
      </w:r>
      <w:r>
        <w:rPr>
          <w:spacing w:val="-13"/>
          <w:sz w:val="24"/>
        </w:rPr>
        <w:t> </w:t>
      </w:r>
      <w:r>
        <w:rPr>
          <w:sz w:val="24"/>
        </w:rPr>
        <w:t>broadcast</w:t>
      </w:r>
      <w:r>
        <w:rPr>
          <w:spacing w:val="-14"/>
          <w:sz w:val="24"/>
        </w:rPr>
        <w:t> </w:t>
      </w:r>
      <w:r>
        <w:rPr>
          <w:sz w:val="24"/>
        </w:rPr>
        <w:t>media</w:t>
      </w:r>
      <w:r>
        <w:rPr>
          <w:spacing w:val="-14"/>
          <w:sz w:val="24"/>
        </w:rPr>
        <w:t> </w:t>
      </w:r>
      <w:r>
        <w:rPr>
          <w:sz w:val="24"/>
        </w:rPr>
        <w:t>that</w:t>
      </w:r>
      <w:r>
        <w:rPr>
          <w:spacing w:val="-13"/>
          <w:sz w:val="24"/>
        </w:rPr>
        <w:t> </w:t>
      </w:r>
      <w:r>
        <w:rPr>
          <w:sz w:val="24"/>
        </w:rPr>
        <w:t>target</w:t>
      </w:r>
      <w:r>
        <w:rPr>
          <w:spacing w:val="-14"/>
          <w:sz w:val="24"/>
        </w:rPr>
        <w:t> </w:t>
      </w:r>
      <w:r>
        <w:rPr>
          <w:sz w:val="24"/>
        </w:rPr>
        <w:t>local LEP communities.</w:t>
      </w:r>
    </w:p>
    <w:p>
      <w:pPr>
        <w:pStyle w:val="BodyText"/>
        <w:spacing w:before="2"/>
      </w:pPr>
    </w:p>
    <w:p>
      <w:pPr>
        <w:pStyle w:val="Heading9"/>
        <w:numPr>
          <w:ilvl w:val="1"/>
          <w:numId w:val="10"/>
        </w:numPr>
        <w:tabs>
          <w:tab w:pos="1164" w:val="left" w:leader="none"/>
        </w:tabs>
        <w:spacing w:line="240" w:lineRule="auto" w:before="0" w:after="0"/>
        <w:ind w:left="1164" w:right="0" w:hanging="324"/>
        <w:jc w:val="left"/>
      </w:pPr>
      <w:r>
        <w:rPr/>
        <w:t>Description</w:t>
      </w:r>
      <w:r>
        <w:rPr>
          <w:spacing w:val="-6"/>
        </w:rPr>
        <w:t> </w:t>
      </w:r>
      <w:r>
        <w:rPr/>
        <w:t>of</w:t>
      </w:r>
      <w:r>
        <w:rPr>
          <w:spacing w:val="-3"/>
        </w:rPr>
        <w:t> </w:t>
      </w:r>
      <w:r>
        <w:rPr/>
        <w:t>How</w:t>
      </w:r>
      <w:r>
        <w:rPr>
          <w:spacing w:val="-6"/>
        </w:rPr>
        <w:t> </w:t>
      </w:r>
      <w:r>
        <w:rPr/>
        <w:t>MaineDOT Provides</w:t>
      </w:r>
      <w:r>
        <w:rPr>
          <w:spacing w:val="-3"/>
        </w:rPr>
        <w:t> </w:t>
      </w:r>
      <w:r>
        <w:rPr/>
        <w:t>Translation</w:t>
      </w:r>
      <w:r>
        <w:rPr>
          <w:spacing w:val="-1"/>
        </w:rPr>
        <w:t> </w:t>
      </w:r>
      <w:r>
        <w:rPr/>
        <w:t>of</w:t>
      </w:r>
      <w:r>
        <w:rPr>
          <w:spacing w:val="-2"/>
        </w:rPr>
        <w:t> </w:t>
      </w:r>
      <w:r>
        <w:rPr/>
        <w:t>Vital </w:t>
      </w:r>
      <w:r>
        <w:rPr>
          <w:spacing w:val="-2"/>
        </w:rPr>
        <w:t>Documents</w:t>
      </w:r>
    </w:p>
    <w:p>
      <w:pPr>
        <w:pStyle w:val="BodyText"/>
        <w:rPr>
          <w:b/>
        </w:rPr>
      </w:pPr>
    </w:p>
    <w:p>
      <w:pPr>
        <w:pStyle w:val="BodyText"/>
        <w:ind w:left="1199" w:right="934"/>
        <w:jc w:val="both"/>
      </w:pPr>
      <w:r>
        <w:rPr/>
        <w:t>As</w:t>
      </w:r>
      <w:r>
        <w:rPr>
          <w:spacing w:val="-2"/>
        </w:rPr>
        <w:t> </w:t>
      </w:r>
      <w:r>
        <w:rPr/>
        <w:t>stated</w:t>
      </w:r>
      <w:r>
        <w:rPr>
          <w:spacing w:val="-3"/>
        </w:rPr>
        <w:t> </w:t>
      </w:r>
      <w:r>
        <w:rPr/>
        <w:t>above</w:t>
      </w:r>
      <w:r>
        <w:rPr>
          <w:spacing w:val="-3"/>
        </w:rPr>
        <w:t> </w:t>
      </w:r>
      <w:r>
        <w:rPr/>
        <w:t>we</w:t>
      </w:r>
      <w:r>
        <w:rPr>
          <w:spacing w:val="-3"/>
        </w:rPr>
        <w:t> </w:t>
      </w:r>
      <w:r>
        <w:rPr/>
        <w:t>inform</w:t>
      </w:r>
      <w:r>
        <w:rPr>
          <w:spacing w:val="-1"/>
        </w:rPr>
        <w:t> </w:t>
      </w:r>
      <w:r>
        <w:rPr/>
        <w:t>the</w:t>
      </w:r>
      <w:r>
        <w:rPr>
          <w:spacing w:val="-3"/>
        </w:rPr>
        <w:t> </w:t>
      </w:r>
      <w:r>
        <w:rPr/>
        <w:t>public</w:t>
      </w:r>
      <w:r>
        <w:rPr>
          <w:spacing w:val="-5"/>
        </w:rPr>
        <w:t> </w:t>
      </w:r>
      <w:r>
        <w:rPr/>
        <w:t>of</w:t>
      </w:r>
      <w:r>
        <w:rPr>
          <w:spacing w:val="-5"/>
        </w:rPr>
        <w:t> </w:t>
      </w:r>
      <w:r>
        <w:rPr/>
        <w:t>translation services</w:t>
      </w:r>
      <w:r>
        <w:rPr>
          <w:spacing w:val="-4"/>
        </w:rPr>
        <w:t> </w:t>
      </w:r>
      <w:r>
        <w:rPr/>
        <w:t>on</w:t>
      </w:r>
      <w:r>
        <w:rPr>
          <w:spacing w:val="-3"/>
        </w:rPr>
        <w:t> </w:t>
      </w:r>
      <w:r>
        <w:rPr/>
        <w:t>our</w:t>
      </w:r>
      <w:r>
        <w:rPr>
          <w:spacing w:val="-4"/>
        </w:rPr>
        <w:t> </w:t>
      </w:r>
      <w:r>
        <w:rPr/>
        <w:t>Public</w:t>
      </w:r>
      <w:r>
        <w:rPr>
          <w:spacing w:val="-7"/>
        </w:rPr>
        <w:t> </w:t>
      </w:r>
      <w:r>
        <w:rPr/>
        <w:t>Title</w:t>
      </w:r>
      <w:r>
        <w:rPr>
          <w:spacing w:val="-3"/>
        </w:rPr>
        <w:t> </w:t>
      </w:r>
      <w:r>
        <w:rPr/>
        <w:t>VI</w:t>
      </w:r>
      <w:r>
        <w:rPr>
          <w:spacing w:val="-4"/>
        </w:rPr>
        <w:t> </w:t>
      </w:r>
      <w:r>
        <w:rPr/>
        <w:t>Notice</w:t>
      </w:r>
      <w:r>
        <w:rPr>
          <w:spacing w:val="-3"/>
        </w:rPr>
        <w:t> </w:t>
      </w:r>
      <w:r>
        <w:rPr/>
        <w:t>and our</w:t>
      </w:r>
      <w:r>
        <w:rPr>
          <w:spacing w:val="-13"/>
        </w:rPr>
        <w:t> </w:t>
      </w:r>
      <w:r>
        <w:rPr/>
        <w:t>Title</w:t>
      </w:r>
      <w:r>
        <w:rPr>
          <w:spacing w:val="-13"/>
        </w:rPr>
        <w:t> </w:t>
      </w:r>
      <w:r>
        <w:rPr/>
        <w:t>VI</w:t>
      </w:r>
      <w:r>
        <w:rPr>
          <w:spacing w:val="-12"/>
        </w:rPr>
        <w:t> </w:t>
      </w:r>
      <w:r>
        <w:rPr/>
        <w:t>Complaint</w:t>
      </w:r>
      <w:r>
        <w:rPr>
          <w:spacing w:val="-10"/>
        </w:rPr>
        <w:t> </w:t>
      </w:r>
      <w:r>
        <w:rPr/>
        <w:t>Form,</w:t>
      </w:r>
      <w:r>
        <w:rPr>
          <w:spacing w:val="-11"/>
        </w:rPr>
        <w:t> </w:t>
      </w:r>
      <w:r>
        <w:rPr/>
        <w:t>to</w:t>
      </w:r>
      <w:r>
        <w:rPr>
          <w:spacing w:val="-13"/>
        </w:rPr>
        <w:t> </w:t>
      </w:r>
      <w:r>
        <w:rPr/>
        <w:t>date,</w:t>
      </w:r>
      <w:r>
        <w:rPr>
          <w:spacing w:val="-13"/>
        </w:rPr>
        <w:t> </w:t>
      </w:r>
      <w:r>
        <w:rPr/>
        <w:t>there</w:t>
      </w:r>
      <w:r>
        <w:rPr>
          <w:spacing w:val="-13"/>
        </w:rPr>
        <w:t> </w:t>
      </w:r>
      <w:r>
        <w:rPr/>
        <w:t>have</w:t>
      </w:r>
      <w:r>
        <w:rPr>
          <w:spacing w:val="-13"/>
        </w:rPr>
        <w:t> </w:t>
      </w:r>
      <w:r>
        <w:rPr/>
        <w:t>been</w:t>
      </w:r>
      <w:r>
        <w:rPr>
          <w:spacing w:val="-12"/>
        </w:rPr>
        <w:t> </w:t>
      </w:r>
      <w:r>
        <w:rPr/>
        <w:t>no</w:t>
      </w:r>
      <w:r>
        <w:rPr>
          <w:spacing w:val="-13"/>
        </w:rPr>
        <w:t> </w:t>
      </w:r>
      <w:r>
        <w:rPr/>
        <w:t>requests</w:t>
      </w:r>
      <w:r>
        <w:rPr>
          <w:spacing w:val="-14"/>
        </w:rPr>
        <w:t> </w:t>
      </w:r>
      <w:r>
        <w:rPr/>
        <w:t>for</w:t>
      </w:r>
      <w:r>
        <w:rPr>
          <w:spacing w:val="-10"/>
        </w:rPr>
        <w:t> </w:t>
      </w:r>
      <w:r>
        <w:rPr/>
        <w:t>a</w:t>
      </w:r>
      <w:r>
        <w:rPr>
          <w:spacing w:val="-13"/>
        </w:rPr>
        <w:t> </w:t>
      </w:r>
      <w:r>
        <w:rPr/>
        <w:t>copy</w:t>
      </w:r>
      <w:r>
        <w:rPr>
          <w:spacing w:val="-12"/>
        </w:rPr>
        <w:t> </w:t>
      </w:r>
      <w:r>
        <w:rPr/>
        <w:t>of</w:t>
      </w:r>
      <w:r>
        <w:rPr>
          <w:spacing w:val="-13"/>
        </w:rPr>
        <w:t> </w:t>
      </w:r>
      <w:r>
        <w:rPr/>
        <w:t>this</w:t>
      </w:r>
      <w:r>
        <w:rPr>
          <w:spacing w:val="-14"/>
        </w:rPr>
        <w:t> </w:t>
      </w:r>
      <w:r>
        <w:rPr/>
        <w:t>document by any LEP person.</w:t>
      </w:r>
      <w:r>
        <w:rPr>
          <w:spacing w:val="40"/>
        </w:rPr>
        <w:t> </w:t>
      </w:r>
      <w:r>
        <w:rPr/>
        <w:t>These vital documents are in the process of being translated into the languages that meet the Safe Harbor threshold.</w:t>
      </w:r>
      <w:r>
        <w:rPr>
          <w:spacing w:val="40"/>
        </w:rPr>
        <w:t> </w:t>
      </w:r>
      <w:r>
        <w:rPr/>
        <w:t>MaineDOT continues to monitor the need to prepare vital documents in the “Other” categories/clusters identified by the US Census, however, to date, there have been no requests to see these vital documents in any other languages aside from English.</w:t>
      </w:r>
    </w:p>
    <w:p>
      <w:pPr>
        <w:pStyle w:val="BodyText"/>
        <w:spacing w:before="10"/>
        <w:rPr>
          <w:sz w:val="23"/>
        </w:rPr>
      </w:pPr>
    </w:p>
    <w:p>
      <w:pPr>
        <w:pStyle w:val="BodyText"/>
        <w:spacing w:before="1"/>
        <w:ind w:left="1200" w:right="931"/>
      </w:pPr>
      <w:r>
        <w:rPr/>
        <w:t>MaineDOT also provides translation services to any who request those.</w:t>
      </w:r>
      <w:r>
        <w:rPr>
          <w:spacing w:val="40"/>
        </w:rPr>
        <w:t> </w:t>
      </w:r>
      <w:r>
        <w:rPr/>
        <w:t>Our website directs individuals to contact us if they need translation services.</w:t>
      </w:r>
      <w:r>
        <w:rPr>
          <w:spacing w:val="40"/>
        </w:rPr>
        <w:t> </w:t>
      </w:r>
      <w:r>
        <w:rPr/>
        <w:t>Those directions are in Spanish,</w:t>
      </w:r>
      <w:r>
        <w:rPr>
          <w:spacing w:val="40"/>
        </w:rPr>
        <w:t> </w:t>
      </w:r>
      <w:r>
        <w:rPr/>
        <w:t>Chinese,</w:t>
      </w:r>
      <w:r>
        <w:rPr>
          <w:spacing w:val="29"/>
        </w:rPr>
        <w:t> </w:t>
      </w:r>
      <w:r>
        <w:rPr/>
        <w:t>and</w:t>
      </w:r>
      <w:r>
        <w:rPr>
          <w:spacing w:val="30"/>
        </w:rPr>
        <w:t> </w:t>
      </w:r>
      <w:r>
        <w:rPr/>
        <w:t>French.</w:t>
      </w:r>
      <w:r>
        <w:rPr>
          <w:spacing w:val="28"/>
        </w:rPr>
        <w:t> </w:t>
      </w:r>
      <w:r>
        <w:rPr/>
        <w:t>The</w:t>
      </w:r>
      <w:r>
        <w:rPr>
          <w:spacing w:val="31"/>
        </w:rPr>
        <w:t> </w:t>
      </w:r>
      <w:r>
        <w:rPr/>
        <w:t>State</w:t>
      </w:r>
      <w:r>
        <w:rPr>
          <w:spacing w:val="29"/>
        </w:rPr>
        <w:t> </w:t>
      </w:r>
      <w:r>
        <w:rPr/>
        <w:t>of</w:t>
      </w:r>
      <w:r>
        <w:rPr>
          <w:spacing w:val="27"/>
        </w:rPr>
        <w:t> </w:t>
      </w:r>
      <w:r>
        <w:rPr/>
        <w:t>Maine</w:t>
      </w:r>
      <w:r>
        <w:rPr>
          <w:spacing w:val="29"/>
        </w:rPr>
        <w:t> </w:t>
      </w:r>
      <w:r>
        <w:rPr/>
        <w:t>contracts</w:t>
      </w:r>
      <w:r>
        <w:rPr>
          <w:spacing w:val="31"/>
        </w:rPr>
        <w:t> </w:t>
      </w:r>
      <w:r>
        <w:rPr/>
        <w:t>with</w:t>
      </w:r>
      <w:r>
        <w:rPr>
          <w:spacing w:val="29"/>
        </w:rPr>
        <w:t> </w:t>
      </w:r>
      <w:r>
        <w:rPr/>
        <w:t>a</w:t>
      </w:r>
      <w:r>
        <w:rPr>
          <w:spacing w:val="27"/>
        </w:rPr>
        <w:t> </w:t>
      </w:r>
      <w:r>
        <w:rPr/>
        <w:t>number</w:t>
      </w:r>
      <w:r>
        <w:rPr>
          <w:spacing w:val="29"/>
        </w:rPr>
        <w:t> </w:t>
      </w:r>
      <w:r>
        <w:rPr/>
        <w:t>of</w:t>
      </w:r>
      <w:r>
        <w:rPr>
          <w:spacing w:val="30"/>
        </w:rPr>
        <w:t> </w:t>
      </w:r>
      <w:r>
        <w:rPr/>
        <w:t>translation</w:t>
      </w:r>
      <w:r>
        <w:rPr>
          <w:spacing w:val="30"/>
        </w:rPr>
        <w:t> </w:t>
      </w:r>
      <w:r>
        <w:rPr/>
        <w:t>services which are linked on our website.</w:t>
      </w:r>
      <w:r>
        <w:rPr>
          <w:spacing w:val="40"/>
        </w:rPr>
        <w:t> </w:t>
      </w:r>
      <w:r>
        <w:rPr/>
        <w:t>That information is available to MaineDOT employees. </w:t>
      </w:r>
      <w:hyperlink r:id="rId45">
        <w:r>
          <w:rPr>
            <w:color w:val="0000FF"/>
            <w:spacing w:val="-2"/>
            <w:u w:val="single" w:color="0000FF"/>
          </w:rPr>
          <w:t>https://www.maine.gov/dafs/bbm/procurementservices/reports/statewide-contracts</w:t>
        </w:r>
      </w:hyperlink>
    </w:p>
    <w:p>
      <w:pPr>
        <w:pStyle w:val="BodyText"/>
        <w:rPr>
          <w:sz w:val="20"/>
        </w:rPr>
      </w:pPr>
    </w:p>
    <w:p>
      <w:pPr>
        <w:pStyle w:val="Heading9"/>
        <w:numPr>
          <w:ilvl w:val="1"/>
          <w:numId w:val="10"/>
        </w:numPr>
        <w:tabs>
          <w:tab w:pos="1160" w:val="left" w:leader="none"/>
          <w:tab w:pos="1200" w:val="left" w:leader="none"/>
        </w:tabs>
        <w:spacing w:line="240" w:lineRule="auto" w:before="196" w:after="0"/>
        <w:ind w:left="1200" w:right="938" w:hanging="360"/>
        <w:jc w:val="left"/>
      </w:pPr>
      <w:r>
        <w:rPr/>
        <w:t>Description of How MaineDOT Monitors, Evaluates and Updates the Language Assistance </w:t>
      </w:r>
      <w:r>
        <w:rPr>
          <w:spacing w:val="-4"/>
        </w:rPr>
        <w:t>Plan.</w:t>
      </w:r>
    </w:p>
    <w:p>
      <w:pPr>
        <w:pStyle w:val="BodyText"/>
        <w:rPr>
          <w:b/>
        </w:rPr>
      </w:pPr>
    </w:p>
    <w:p>
      <w:pPr>
        <w:pStyle w:val="BodyText"/>
        <w:ind w:left="1199" w:right="933"/>
        <w:jc w:val="both"/>
      </w:pPr>
      <w:r>
        <w:rPr/>
        <w:t>On</w:t>
      </w:r>
      <w:r>
        <w:rPr>
          <w:spacing w:val="-14"/>
        </w:rPr>
        <w:t> </w:t>
      </w:r>
      <w:r>
        <w:rPr/>
        <w:t>a</w:t>
      </w:r>
      <w:r>
        <w:rPr>
          <w:spacing w:val="-14"/>
        </w:rPr>
        <w:t> </w:t>
      </w:r>
      <w:r>
        <w:rPr/>
        <w:t>triennial</w:t>
      </w:r>
      <w:r>
        <w:rPr>
          <w:spacing w:val="-13"/>
        </w:rPr>
        <w:t> </w:t>
      </w:r>
      <w:r>
        <w:rPr/>
        <w:t>basis,</w:t>
      </w:r>
      <w:r>
        <w:rPr>
          <w:spacing w:val="-14"/>
        </w:rPr>
        <w:t> </w:t>
      </w:r>
      <w:r>
        <w:rPr/>
        <w:t>MaineDOT’s</w:t>
      </w:r>
      <w:r>
        <w:rPr>
          <w:spacing w:val="-13"/>
        </w:rPr>
        <w:t> </w:t>
      </w:r>
      <w:r>
        <w:rPr/>
        <w:t>Civil</w:t>
      </w:r>
      <w:r>
        <w:rPr>
          <w:spacing w:val="-14"/>
        </w:rPr>
        <w:t> </w:t>
      </w:r>
      <w:r>
        <w:rPr/>
        <w:t>Rights</w:t>
      </w:r>
      <w:r>
        <w:rPr>
          <w:spacing w:val="-13"/>
        </w:rPr>
        <w:t> </w:t>
      </w:r>
      <w:r>
        <w:rPr/>
        <w:t>Office</w:t>
      </w:r>
      <w:r>
        <w:rPr>
          <w:spacing w:val="-14"/>
        </w:rPr>
        <w:t> </w:t>
      </w:r>
      <w:r>
        <w:rPr/>
        <w:t>reviews</w:t>
      </w:r>
      <w:r>
        <w:rPr>
          <w:spacing w:val="-14"/>
        </w:rPr>
        <w:t> </w:t>
      </w:r>
      <w:r>
        <w:rPr/>
        <w:t>the</w:t>
      </w:r>
      <w:r>
        <w:rPr>
          <w:spacing w:val="-13"/>
        </w:rPr>
        <w:t> </w:t>
      </w:r>
      <w:r>
        <w:rPr/>
        <w:t>FTA</w:t>
      </w:r>
      <w:r>
        <w:rPr>
          <w:spacing w:val="-14"/>
        </w:rPr>
        <w:t> </w:t>
      </w:r>
      <w:r>
        <w:rPr/>
        <w:t>Title</w:t>
      </w:r>
      <w:r>
        <w:rPr>
          <w:spacing w:val="-13"/>
        </w:rPr>
        <w:t> </w:t>
      </w:r>
      <w:r>
        <w:rPr/>
        <w:t>VI</w:t>
      </w:r>
      <w:r>
        <w:rPr>
          <w:spacing w:val="-14"/>
        </w:rPr>
        <w:t> </w:t>
      </w:r>
      <w:r>
        <w:rPr/>
        <w:t>plan</w:t>
      </w:r>
      <w:r>
        <w:rPr>
          <w:spacing w:val="-13"/>
        </w:rPr>
        <w:t> </w:t>
      </w:r>
      <w:r>
        <w:rPr/>
        <w:t>in</w:t>
      </w:r>
      <w:r>
        <w:rPr>
          <w:spacing w:val="-14"/>
        </w:rPr>
        <w:t> </w:t>
      </w:r>
      <w:r>
        <w:rPr/>
        <w:t>conjunction with Census data and FTA requirements.</w:t>
      </w:r>
      <w:r>
        <w:rPr>
          <w:spacing w:val="40"/>
        </w:rPr>
        <w:t> </w:t>
      </w:r>
      <w:r>
        <w:rPr/>
        <w:t>The update process considers any developments that would impact the plan including complaints and requests for language assistance services. The Civil Rights Office also updates and makes available to transit providers information on available language translation services.</w:t>
      </w:r>
    </w:p>
    <w:p>
      <w:pPr>
        <w:pStyle w:val="BodyText"/>
        <w:spacing w:before="11"/>
        <w:rPr>
          <w:sz w:val="23"/>
        </w:rPr>
      </w:pPr>
    </w:p>
    <w:p>
      <w:pPr>
        <w:pStyle w:val="BodyText"/>
        <w:ind w:left="1199" w:right="933"/>
        <w:jc w:val="both"/>
      </w:pPr>
      <w:r>
        <w:rPr/>
        <w:t>MaineDOT also receives information from subrecipients on any changes that they may encounter with LEP populations in their service areas.</w:t>
      </w:r>
      <w:r>
        <w:rPr>
          <w:spacing w:val="40"/>
        </w:rPr>
        <w:t> </w:t>
      </w:r>
      <w:r>
        <w:rPr/>
        <w:t>All subrecipients are required to provide</w:t>
      </w:r>
      <w:r>
        <w:rPr>
          <w:spacing w:val="-13"/>
        </w:rPr>
        <w:t> </w:t>
      </w:r>
      <w:r>
        <w:rPr/>
        <w:t>MaineDOT</w:t>
      </w:r>
      <w:r>
        <w:rPr>
          <w:spacing w:val="-13"/>
        </w:rPr>
        <w:t> </w:t>
      </w:r>
      <w:r>
        <w:rPr/>
        <w:t>with</w:t>
      </w:r>
      <w:r>
        <w:rPr>
          <w:spacing w:val="-13"/>
        </w:rPr>
        <w:t> </w:t>
      </w:r>
      <w:r>
        <w:rPr/>
        <w:t>a</w:t>
      </w:r>
      <w:r>
        <w:rPr>
          <w:spacing w:val="-11"/>
        </w:rPr>
        <w:t> </w:t>
      </w:r>
      <w:r>
        <w:rPr/>
        <w:t>Language</w:t>
      </w:r>
      <w:r>
        <w:rPr>
          <w:spacing w:val="-11"/>
        </w:rPr>
        <w:t> </w:t>
      </w:r>
      <w:r>
        <w:rPr/>
        <w:t>Assistance</w:t>
      </w:r>
      <w:r>
        <w:rPr>
          <w:spacing w:val="-11"/>
        </w:rPr>
        <w:t> </w:t>
      </w:r>
      <w:r>
        <w:rPr/>
        <w:t>Plan</w:t>
      </w:r>
      <w:r>
        <w:rPr>
          <w:spacing w:val="-10"/>
        </w:rPr>
        <w:t> </w:t>
      </w:r>
      <w:r>
        <w:rPr/>
        <w:t>(LAP)</w:t>
      </w:r>
      <w:r>
        <w:rPr>
          <w:spacing w:val="-12"/>
        </w:rPr>
        <w:t> </w:t>
      </w:r>
      <w:r>
        <w:rPr/>
        <w:t>and</w:t>
      </w:r>
      <w:r>
        <w:rPr>
          <w:spacing w:val="-12"/>
        </w:rPr>
        <w:t> </w:t>
      </w:r>
      <w:r>
        <w:rPr/>
        <w:t>MaineDOT</w:t>
      </w:r>
      <w:r>
        <w:rPr>
          <w:spacing w:val="-13"/>
        </w:rPr>
        <w:t> </w:t>
      </w:r>
      <w:r>
        <w:rPr/>
        <w:t>also</w:t>
      </w:r>
      <w:r>
        <w:rPr>
          <w:spacing w:val="-11"/>
        </w:rPr>
        <w:t> </w:t>
      </w:r>
      <w:r>
        <w:rPr/>
        <w:t>shares</w:t>
      </w:r>
      <w:r>
        <w:rPr>
          <w:spacing w:val="-11"/>
        </w:rPr>
        <w:t> </w:t>
      </w:r>
      <w:r>
        <w:rPr/>
        <w:t>our</w:t>
      </w:r>
      <w:r>
        <w:rPr>
          <w:spacing w:val="-11"/>
        </w:rPr>
        <w:t> </w:t>
      </w:r>
      <w:r>
        <w:rPr/>
        <w:t>own information from our Four Factor Analysis with subrecipients.</w:t>
      </w:r>
    </w:p>
    <w:p>
      <w:pPr>
        <w:pStyle w:val="BodyText"/>
        <w:spacing w:before="1"/>
      </w:pPr>
    </w:p>
    <w:p>
      <w:pPr>
        <w:pStyle w:val="Heading9"/>
        <w:numPr>
          <w:ilvl w:val="1"/>
          <w:numId w:val="10"/>
        </w:numPr>
        <w:tabs>
          <w:tab w:pos="1056" w:val="left" w:leader="none"/>
          <w:tab w:pos="1199" w:val="left" w:leader="none"/>
        </w:tabs>
        <w:spacing w:line="240" w:lineRule="auto" w:before="1" w:after="0"/>
        <w:ind w:left="1199" w:right="940" w:hanging="360"/>
        <w:jc w:val="left"/>
      </w:pPr>
      <w:r>
        <w:rPr/>
        <w:t>Description</w:t>
      </w:r>
      <w:r>
        <w:rPr>
          <w:spacing w:val="-14"/>
        </w:rPr>
        <w:t> </w:t>
      </w:r>
      <w:r>
        <w:rPr/>
        <w:t>of</w:t>
      </w:r>
      <w:r>
        <w:rPr>
          <w:spacing w:val="-14"/>
        </w:rPr>
        <w:t> </w:t>
      </w:r>
      <w:r>
        <w:rPr/>
        <w:t>How</w:t>
      </w:r>
      <w:r>
        <w:rPr>
          <w:spacing w:val="-13"/>
        </w:rPr>
        <w:t> </w:t>
      </w:r>
      <w:r>
        <w:rPr/>
        <w:t>MaineDOT</w:t>
      </w:r>
      <w:r>
        <w:rPr>
          <w:spacing w:val="-14"/>
        </w:rPr>
        <w:t> </w:t>
      </w:r>
      <w:r>
        <w:rPr/>
        <w:t>Trains</w:t>
      </w:r>
      <w:r>
        <w:rPr>
          <w:spacing w:val="-13"/>
        </w:rPr>
        <w:t> </w:t>
      </w:r>
      <w:r>
        <w:rPr/>
        <w:t>Employees</w:t>
      </w:r>
      <w:r>
        <w:rPr>
          <w:spacing w:val="-14"/>
        </w:rPr>
        <w:t> </w:t>
      </w:r>
      <w:r>
        <w:rPr/>
        <w:t>to</w:t>
      </w:r>
      <w:r>
        <w:rPr>
          <w:spacing w:val="-13"/>
        </w:rPr>
        <w:t> </w:t>
      </w:r>
      <w:r>
        <w:rPr/>
        <w:t>Provide</w:t>
      </w:r>
      <w:r>
        <w:rPr>
          <w:spacing w:val="-15"/>
        </w:rPr>
        <w:t> </w:t>
      </w:r>
      <w:r>
        <w:rPr/>
        <w:t>Timely</w:t>
      </w:r>
      <w:r>
        <w:rPr>
          <w:spacing w:val="-14"/>
        </w:rPr>
        <w:t> </w:t>
      </w:r>
      <w:r>
        <w:rPr/>
        <w:t>and</w:t>
      </w:r>
      <w:r>
        <w:rPr>
          <w:spacing w:val="-16"/>
        </w:rPr>
        <w:t> </w:t>
      </w:r>
      <w:r>
        <w:rPr/>
        <w:t>Reasonable</w:t>
      </w:r>
      <w:r>
        <w:rPr>
          <w:spacing w:val="-14"/>
        </w:rPr>
        <w:t> </w:t>
      </w:r>
      <w:r>
        <w:rPr/>
        <w:t>Language Assistance to LEP Populations.</w:t>
      </w:r>
    </w:p>
    <w:p>
      <w:pPr>
        <w:pStyle w:val="BodyText"/>
        <w:spacing w:before="11"/>
        <w:rPr>
          <w:b/>
          <w:sz w:val="23"/>
        </w:rPr>
      </w:pPr>
    </w:p>
    <w:p>
      <w:pPr>
        <w:pStyle w:val="BodyText"/>
        <w:ind w:left="1199" w:right="936"/>
        <w:jc w:val="both"/>
      </w:pPr>
      <w:r>
        <w:rPr/>
        <w:t>The Director of MaineDOT’s Civil Rights Office provides training sessions as needed to MaineDOT</w:t>
      </w:r>
      <w:r>
        <w:rPr>
          <w:spacing w:val="-14"/>
        </w:rPr>
        <w:t> </w:t>
      </w:r>
      <w:r>
        <w:rPr/>
        <w:t>Bureau</w:t>
      </w:r>
      <w:r>
        <w:rPr>
          <w:spacing w:val="-14"/>
        </w:rPr>
        <w:t> </w:t>
      </w:r>
      <w:r>
        <w:rPr/>
        <w:t>of</w:t>
      </w:r>
      <w:r>
        <w:rPr>
          <w:spacing w:val="-13"/>
        </w:rPr>
        <w:t> </w:t>
      </w:r>
      <w:r>
        <w:rPr/>
        <w:t>Planning</w:t>
      </w:r>
      <w:r>
        <w:rPr>
          <w:spacing w:val="-14"/>
        </w:rPr>
        <w:t> </w:t>
      </w:r>
      <w:r>
        <w:rPr/>
        <w:t>and</w:t>
      </w:r>
      <w:r>
        <w:rPr>
          <w:spacing w:val="-13"/>
        </w:rPr>
        <w:t> </w:t>
      </w:r>
      <w:r>
        <w:rPr/>
        <w:t>Project</w:t>
      </w:r>
      <w:r>
        <w:rPr>
          <w:spacing w:val="-13"/>
        </w:rPr>
        <w:t> </w:t>
      </w:r>
      <w:r>
        <w:rPr/>
        <w:t>Development</w:t>
      </w:r>
      <w:r>
        <w:rPr>
          <w:spacing w:val="-12"/>
        </w:rPr>
        <w:t> </w:t>
      </w:r>
      <w:r>
        <w:rPr/>
        <w:t>staff</w:t>
      </w:r>
      <w:r>
        <w:rPr>
          <w:spacing w:val="-13"/>
        </w:rPr>
        <w:t> </w:t>
      </w:r>
      <w:r>
        <w:rPr/>
        <w:t>including</w:t>
      </w:r>
      <w:r>
        <w:rPr>
          <w:spacing w:val="-14"/>
        </w:rPr>
        <w:t> </w:t>
      </w:r>
      <w:r>
        <w:rPr/>
        <w:t>how</w:t>
      </w:r>
      <w:r>
        <w:rPr>
          <w:spacing w:val="-13"/>
        </w:rPr>
        <w:t> </w:t>
      </w:r>
      <w:r>
        <w:rPr/>
        <w:t>to</w:t>
      </w:r>
      <w:r>
        <w:rPr>
          <w:spacing w:val="-14"/>
        </w:rPr>
        <w:t> </w:t>
      </w:r>
      <w:r>
        <w:rPr/>
        <w:t>provide</w:t>
      </w:r>
      <w:r>
        <w:rPr>
          <w:spacing w:val="-13"/>
        </w:rPr>
        <w:t> </w:t>
      </w:r>
      <w:r>
        <w:rPr/>
        <w:t>timely and reasonable assistance to LEP populations.</w:t>
      </w:r>
    </w:p>
    <w:p>
      <w:pPr>
        <w:pStyle w:val="BodyText"/>
        <w:spacing w:before="12"/>
        <w:rPr>
          <w:sz w:val="23"/>
        </w:rPr>
      </w:pPr>
    </w:p>
    <w:p>
      <w:pPr>
        <w:pStyle w:val="BodyText"/>
        <w:ind w:left="1199" w:right="935"/>
      </w:pPr>
      <w:r>
        <w:rPr/>
        <w:t>MaineDOT also distributes to staff and has available a training document entitled “How to Work</w:t>
      </w:r>
      <w:r>
        <w:rPr>
          <w:spacing w:val="27"/>
        </w:rPr>
        <w:t> </w:t>
      </w:r>
      <w:r>
        <w:rPr/>
        <w:t>with</w:t>
      </w:r>
      <w:r>
        <w:rPr>
          <w:spacing w:val="27"/>
        </w:rPr>
        <w:t> </w:t>
      </w:r>
      <w:r>
        <w:rPr/>
        <w:t>a Telephone Interpreter” and</w:t>
      </w:r>
      <w:r>
        <w:rPr>
          <w:spacing w:val="30"/>
        </w:rPr>
        <w:t> </w:t>
      </w:r>
      <w:r>
        <w:rPr/>
        <w:t>language</w:t>
      </w:r>
      <w:r>
        <w:rPr>
          <w:spacing w:val="29"/>
        </w:rPr>
        <w:t> </w:t>
      </w:r>
      <w:r>
        <w:rPr/>
        <w:t>interpretation</w:t>
      </w:r>
      <w:r>
        <w:rPr>
          <w:spacing w:val="27"/>
        </w:rPr>
        <w:t> </w:t>
      </w:r>
      <w:r>
        <w:rPr/>
        <w:t>cards are</w:t>
      </w:r>
      <w:r>
        <w:rPr>
          <w:spacing w:val="27"/>
        </w:rPr>
        <w:t> </w:t>
      </w:r>
      <w:r>
        <w:rPr/>
        <w:t>downloadable available on our website: </w:t>
      </w:r>
      <w:hyperlink r:id="rId46">
        <w:r>
          <w:rPr>
            <w:color w:val="0000FF"/>
            <w:spacing w:val="-2"/>
            <w:u w:val="single" w:color="0000FF"/>
          </w:rPr>
          <w:t>https://www.maine.gov/mdot/civilrights/docs/title6/Language_ID_Card.pdf</w:t>
        </w:r>
      </w:hyperlink>
    </w:p>
    <w:p>
      <w:pPr>
        <w:spacing w:after="0"/>
        <w:sectPr>
          <w:pgSz w:w="12240" w:h="15840"/>
          <w:pgMar w:header="0" w:footer="997" w:top="920" w:bottom="1260" w:left="600" w:right="500"/>
        </w:sectPr>
      </w:pPr>
    </w:p>
    <w:p>
      <w:pPr>
        <w:spacing w:line="480" w:lineRule="auto" w:before="28"/>
        <w:ind w:left="1200" w:right="4972" w:firstLine="0"/>
        <w:jc w:val="both"/>
        <w:rPr>
          <w:b/>
          <w:sz w:val="24"/>
        </w:rPr>
      </w:pPr>
      <w:r>
        <w:rPr>
          <w:sz w:val="24"/>
        </w:rPr>
        <w:t>These</w:t>
      </w:r>
      <w:r>
        <w:rPr>
          <w:spacing w:val="-6"/>
          <w:sz w:val="24"/>
        </w:rPr>
        <w:t> </w:t>
      </w:r>
      <w:r>
        <w:rPr>
          <w:sz w:val="24"/>
        </w:rPr>
        <w:t>documents</w:t>
      </w:r>
      <w:r>
        <w:rPr>
          <w:spacing w:val="-6"/>
          <w:sz w:val="24"/>
        </w:rPr>
        <w:t> </w:t>
      </w:r>
      <w:r>
        <w:rPr>
          <w:sz w:val="24"/>
        </w:rPr>
        <w:t>are</w:t>
      </w:r>
      <w:r>
        <w:rPr>
          <w:spacing w:val="-6"/>
          <w:sz w:val="24"/>
        </w:rPr>
        <w:t> </w:t>
      </w:r>
      <w:r>
        <w:rPr>
          <w:sz w:val="24"/>
        </w:rPr>
        <w:t>also</w:t>
      </w:r>
      <w:r>
        <w:rPr>
          <w:spacing w:val="-5"/>
          <w:sz w:val="24"/>
        </w:rPr>
        <w:t> </w:t>
      </w:r>
      <w:r>
        <w:rPr>
          <w:sz w:val="24"/>
        </w:rPr>
        <w:t>provided</w:t>
      </w:r>
      <w:r>
        <w:rPr>
          <w:spacing w:val="-4"/>
          <w:sz w:val="24"/>
        </w:rPr>
        <w:t> </w:t>
      </w:r>
      <w:r>
        <w:rPr>
          <w:sz w:val="24"/>
        </w:rPr>
        <w:t>in</w:t>
      </w:r>
      <w:r>
        <w:rPr>
          <w:spacing w:val="-6"/>
          <w:sz w:val="24"/>
        </w:rPr>
        <w:t> </w:t>
      </w:r>
      <w:r>
        <w:rPr>
          <w:b/>
          <w:sz w:val="24"/>
        </w:rPr>
        <w:t>Appendix</w:t>
      </w:r>
      <w:r>
        <w:rPr>
          <w:b/>
          <w:spacing w:val="-7"/>
          <w:sz w:val="24"/>
        </w:rPr>
        <w:t> </w:t>
      </w:r>
      <w:r>
        <w:rPr>
          <w:b/>
          <w:sz w:val="24"/>
        </w:rPr>
        <w:t>V. Training Summary</w:t>
      </w:r>
    </w:p>
    <w:p>
      <w:pPr>
        <w:pStyle w:val="BodyText"/>
        <w:ind w:left="1200" w:right="936"/>
        <w:jc w:val="both"/>
      </w:pPr>
      <w:r>
        <w:rPr/>
        <w:t>MaineDOT’s</w:t>
      </w:r>
      <w:r>
        <w:rPr>
          <w:spacing w:val="-14"/>
        </w:rPr>
        <w:t> </w:t>
      </w:r>
      <w:r>
        <w:rPr/>
        <w:t>Office</w:t>
      </w:r>
      <w:r>
        <w:rPr>
          <w:spacing w:val="-14"/>
        </w:rPr>
        <w:t> </w:t>
      </w:r>
      <w:r>
        <w:rPr/>
        <w:t>of</w:t>
      </w:r>
      <w:r>
        <w:rPr>
          <w:spacing w:val="-13"/>
        </w:rPr>
        <w:t> </w:t>
      </w:r>
      <w:r>
        <w:rPr/>
        <w:t>Civil</w:t>
      </w:r>
      <w:r>
        <w:rPr>
          <w:spacing w:val="-14"/>
        </w:rPr>
        <w:t> </w:t>
      </w:r>
      <w:r>
        <w:rPr/>
        <w:t>Rights</w:t>
      </w:r>
      <w:r>
        <w:rPr>
          <w:spacing w:val="-13"/>
        </w:rPr>
        <w:t> </w:t>
      </w:r>
      <w:r>
        <w:rPr/>
        <w:t>regularly</w:t>
      </w:r>
      <w:r>
        <w:rPr>
          <w:spacing w:val="-14"/>
        </w:rPr>
        <w:t> </w:t>
      </w:r>
      <w:r>
        <w:rPr/>
        <w:t>reviews</w:t>
      </w:r>
      <w:r>
        <w:rPr>
          <w:spacing w:val="-13"/>
        </w:rPr>
        <w:t> </w:t>
      </w:r>
      <w:r>
        <w:rPr/>
        <w:t>subrecipients</w:t>
      </w:r>
      <w:r>
        <w:rPr>
          <w:spacing w:val="-14"/>
        </w:rPr>
        <w:t> </w:t>
      </w:r>
      <w:r>
        <w:rPr/>
        <w:t>for</w:t>
      </w:r>
      <w:r>
        <w:rPr>
          <w:spacing w:val="-14"/>
        </w:rPr>
        <w:t> </w:t>
      </w:r>
      <w:r>
        <w:rPr/>
        <w:t>Title</w:t>
      </w:r>
      <w:r>
        <w:rPr>
          <w:spacing w:val="-13"/>
        </w:rPr>
        <w:t> </w:t>
      </w:r>
      <w:r>
        <w:rPr/>
        <w:t>VI</w:t>
      </w:r>
      <w:r>
        <w:rPr>
          <w:spacing w:val="-14"/>
        </w:rPr>
        <w:t> </w:t>
      </w:r>
      <w:r>
        <w:rPr/>
        <w:t>compliance.</w:t>
      </w:r>
      <w:r>
        <w:rPr>
          <w:spacing w:val="20"/>
        </w:rPr>
        <w:t> </w:t>
      </w:r>
      <w:r>
        <w:rPr/>
        <w:t>Each review</w:t>
      </w:r>
      <w:r>
        <w:rPr>
          <w:spacing w:val="-1"/>
        </w:rPr>
        <w:t> </w:t>
      </w:r>
      <w:r>
        <w:rPr/>
        <w:t>consists</w:t>
      </w:r>
      <w:r>
        <w:rPr>
          <w:spacing w:val="-5"/>
        </w:rPr>
        <w:t> </w:t>
      </w:r>
      <w:r>
        <w:rPr/>
        <w:t>of</w:t>
      </w:r>
      <w:r>
        <w:rPr>
          <w:spacing w:val="-4"/>
        </w:rPr>
        <w:t> </w:t>
      </w:r>
      <w:r>
        <w:rPr/>
        <w:t>a</w:t>
      </w:r>
      <w:r>
        <w:rPr>
          <w:spacing w:val="-2"/>
        </w:rPr>
        <w:t> </w:t>
      </w:r>
      <w:r>
        <w:rPr/>
        <w:t>review</w:t>
      </w:r>
      <w:r>
        <w:rPr>
          <w:spacing w:val="-1"/>
        </w:rPr>
        <w:t> </w:t>
      </w:r>
      <w:r>
        <w:rPr/>
        <w:t>of</w:t>
      </w:r>
      <w:r>
        <w:rPr>
          <w:spacing w:val="-4"/>
        </w:rPr>
        <w:t> </w:t>
      </w:r>
      <w:r>
        <w:rPr/>
        <w:t>documents</w:t>
      </w:r>
      <w:r>
        <w:rPr>
          <w:spacing w:val="-5"/>
        </w:rPr>
        <w:t> </w:t>
      </w:r>
      <w:r>
        <w:rPr/>
        <w:t>(i.e.,</w:t>
      </w:r>
      <w:r>
        <w:rPr>
          <w:spacing w:val="-2"/>
        </w:rPr>
        <w:t> </w:t>
      </w:r>
      <w:r>
        <w:rPr/>
        <w:t>operations</w:t>
      </w:r>
      <w:r>
        <w:rPr>
          <w:spacing w:val="-3"/>
        </w:rPr>
        <w:t> </w:t>
      </w:r>
      <w:r>
        <w:rPr/>
        <w:t>manuals,</w:t>
      </w:r>
      <w:r>
        <w:rPr>
          <w:spacing w:val="-5"/>
        </w:rPr>
        <w:t> </w:t>
      </w:r>
      <w:r>
        <w:rPr/>
        <w:t>annual</w:t>
      </w:r>
      <w:r>
        <w:rPr>
          <w:spacing w:val="-5"/>
        </w:rPr>
        <w:t> </w:t>
      </w:r>
      <w:r>
        <w:rPr/>
        <w:t>reports,</w:t>
      </w:r>
      <w:r>
        <w:rPr>
          <w:spacing w:val="-5"/>
        </w:rPr>
        <w:t> </w:t>
      </w:r>
      <w:r>
        <w:rPr/>
        <w:t>etc.)</w:t>
      </w:r>
      <w:r>
        <w:rPr>
          <w:spacing w:val="-3"/>
        </w:rPr>
        <w:t> </w:t>
      </w:r>
      <w:r>
        <w:rPr/>
        <w:t>and interviews with subject matter experts among subrecipients.</w:t>
      </w:r>
    </w:p>
    <w:p>
      <w:pPr>
        <w:pStyle w:val="BodyText"/>
        <w:spacing w:before="1"/>
      </w:pPr>
    </w:p>
    <w:p>
      <w:pPr>
        <w:pStyle w:val="BodyText"/>
        <w:ind w:left="1200" w:right="935"/>
        <w:jc w:val="both"/>
      </w:pPr>
      <w:r>
        <w:rPr/>
        <w:t>MaineDOT’s Office of Civil Rights implements a Title VI/Nondiscrimination Training Program that incorporates internal staff and external entities or subrecipients.</w:t>
      </w:r>
    </w:p>
    <w:p>
      <w:pPr>
        <w:pStyle w:val="BodyText"/>
        <w:spacing w:before="12"/>
        <w:rPr>
          <w:sz w:val="23"/>
        </w:rPr>
      </w:pPr>
    </w:p>
    <w:p>
      <w:pPr>
        <w:pStyle w:val="Heading9"/>
        <w:ind w:left="1200"/>
        <w:jc w:val="both"/>
      </w:pPr>
      <w:r>
        <w:rPr/>
        <w:t>Internal</w:t>
      </w:r>
      <w:r>
        <w:rPr>
          <w:spacing w:val="-2"/>
        </w:rPr>
        <w:t> Training:</w:t>
      </w:r>
    </w:p>
    <w:p>
      <w:pPr>
        <w:pStyle w:val="BodyText"/>
        <w:spacing w:before="11"/>
        <w:rPr>
          <w:b/>
          <w:sz w:val="23"/>
        </w:rPr>
      </w:pPr>
    </w:p>
    <w:p>
      <w:pPr>
        <w:pStyle w:val="ListParagraph"/>
        <w:numPr>
          <w:ilvl w:val="0"/>
          <w:numId w:val="22"/>
        </w:numPr>
        <w:tabs>
          <w:tab w:pos="1920" w:val="left" w:leader="none"/>
        </w:tabs>
        <w:spacing w:line="240" w:lineRule="auto" w:before="0" w:after="0"/>
        <w:ind w:left="1920" w:right="932" w:hanging="360"/>
        <w:jc w:val="both"/>
        <w:rPr>
          <w:sz w:val="24"/>
        </w:rPr>
      </w:pPr>
      <w:r>
        <w:rPr>
          <w:sz w:val="24"/>
        </w:rPr>
        <w:t>The Office of Civil Rights provides Title VI/Nondiscrimination trainings.</w:t>
      </w:r>
      <w:r>
        <w:rPr>
          <w:spacing w:val="40"/>
          <w:sz w:val="24"/>
        </w:rPr>
        <w:t> </w:t>
      </w:r>
      <w:r>
        <w:rPr>
          <w:sz w:val="24"/>
        </w:rPr>
        <w:t>This training is conducted annually and is intended to provide Liaisons with an opportunity to discuss</w:t>
      </w:r>
      <w:r>
        <w:rPr>
          <w:spacing w:val="-7"/>
          <w:sz w:val="24"/>
        </w:rPr>
        <w:t> </w:t>
      </w:r>
      <w:r>
        <w:rPr>
          <w:sz w:val="24"/>
        </w:rPr>
        <w:t>issues,</w:t>
      </w:r>
      <w:r>
        <w:rPr>
          <w:spacing w:val="-7"/>
          <w:sz w:val="24"/>
        </w:rPr>
        <w:t> </w:t>
      </w:r>
      <w:r>
        <w:rPr>
          <w:sz w:val="24"/>
        </w:rPr>
        <w:t>ask</w:t>
      </w:r>
      <w:r>
        <w:rPr>
          <w:spacing w:val="-7"/>
          <w:sz w:val="24"/>
        </w:rPr>
        <w:t> </w:t>
      </w:r>
      <w:r>
        <w:rPr>
          <w:sz w:val="24"/>
        </w:rPr>
        <w:t>questions</w:t>
      </w:r>
      <w:r>
        <w:rPr>
          <w:spacing w:val="-7"/>
          <w:sz w:val="24"/>
        </w:rPr>
        <w:t> </w:t>
      </w:r>
      <w:r>
        <w:rPr>
          <w:sz w:val="24"/>
        </w:rPr>
        <w:t>regarding</w:t>
      </w:r>
      <w:r>
        <w:rPr>
          <w:spacing w:val="-9"/>
          <w:sz w:val="24"/>
        </w:rPr>
        <w:t> </w:t>
      </w:r>
      <w:r>
        <w:rPr>
          <w:sz w:val="24"/>
        </w:rPr>
        <w:t>reviews</w:t>
      </w:r>
      <w:r>
        <w:rPr>
          <w:spacing w:val="-9"/>
          <w:sz w:val="24"/>
        </w:rPr>
        <w:t> </w:t>
      </w:r>
      <w:r>
        <w:rPr>
          <w:sz w:val="24"/>
        </w:rPr>
        <w:t>conducted</w:t>
      </w:r>
      <w:r>
        <w:rPr>
          <w:spacing w:val="-8"/>
          <w:sz w:val="24"/>
        </w:rPr>
        <w:t> </w:t>
      </w:r>
      <w:r>
        <w:rPr>
          <w:sz w:val="24"/>
        </w:rPr>
        <w:t>or</w:t>
      </w:r>
      <w:r>
        <w:rPr>
          <w:spacing w:val="-8"/>
          <w:sz w:val="24"/>
        </w:rPr>
        <w:t> </w:t>
      </w:r>
      <w:r>
        <w:rPr>
          <w:sz w:val="24"/>
        </w:rPr>
        <w:t>to</w:t>
      </w:r>
      <w:r>
        <w:rPr>
          <w:spacing w:val="-8"/>
          <w:sz w:val="24"/>
        </w:rPr>
        <w:t> </w:t>
      </w:r>
      <w:r>
        <w:rPr>
          <w:sz w:val="24"/>
        </w:rPr>
        <w:t>be</w:t>
      </w:r>
      <w:r>
        <w:rPr>
          <w:spacing w:val="-7"/>
          <w:sz w:val="24"/>
        </w:rPr>
        <w:t> </w:t>
      </w:r>
      <w:r>
        <w:rPr>
          <w:sz w:val="24"/>
        </w:rPr>
        <w:t>conducted,</w:t>
      </w:r>
      <w:r>
        <w:rPr>
          <w:spacing w:val="-7"/>
          <w:sz w:val="24"/>
        </w:rPr>
        <w:t> </w:t>
      </w:r>
      <w:r>
        <w:rPr>
          <w:sz w:val="24"/>
        </w:rPr>
        <w:t>review specific scenarios, and share experiences. It is also an opportunity to provide individualized training relating to Title VI.</w:t>
      </w:r>
    </w:p>
    <w:p>
      <w:pPr>
        <w:pStyle w:val="ListParagraph"/>
        <w:numPr>
          <w:ilvl w:val="0"/>
          <w:numId w:val="22"/>
        </w:numPr>
        <w:tabs>
          <w:tab w:pos="1920" w:val="left" w:leader="none"/>
        </w:tabs>
        <w:spacing w:line="240" w:lineRule="auto" w:before="1" w:after="0"/>
        <w:ind w:left="1920" w:right="935" w:hanging="360"/>
        <w:jc w:val="both"/>
        <w:rPr>
          <w:sz w:val="24"/>
        </w:rPr>
      </w:pPr>
      <w:r>
        <w:rPr>
          <w:sz w:val="24"/>
        </w:rPr>
        <w:t>Nondiscrimination requirements and how to apply the requirements to the specific Federal Program Area.</w:t>
      </w:r>
    </w:p>
    <w:p>
      <w:pPr>
        <w:pStyle w:val="BodyText"/>
        <w:spacing w:before="11"/>
        <w:rPr>
          <w:sz w:val="23"/>
        </w:rPr>
      </w:pPr>
    </w:p>
    <w:p>
      <w:pPr>
        <w:pStyle w:val="Heading9"/>
        <w:ind w:left="1200"/>
        <w:jc w:val="both"/>
      </w:pPr>
      <w:r>
        <w:rPr/>
        <w:t>External</w:t>
      </w:r>
      <w:r>
        <w:rPr>
          <w:spacing w:val="-2"/>
        </w:rPr>
        <w:t> Training:</w:t>
      </w:r>
    </w:p>
    <w:p>
      <w:pPr>
        <w:pStyle w:val="BodyText"/>
        <w:rPr>
          <w:b/>
        </w:rPr>
      </w:pPr>
    </w:p>
    <w:p>
      <w:pPr>
        <w:pStyle w:val="BodyText"/>
        <w:ind w:left="1199" w:right="934"/>
        <w:jc w:val="both"/>
      </w:pPr>
      <w:r>
        <w:rPr/>
        <w:t>Documentation training provided to project managers, inspectors, Project Development staff, and contractors.</w:t>
      </w:r>
      <w:r>
        <w:rPr>
          <w:spacing w:val="40"/>
        </w:rPr>
        <w:t> </w:t>
      </w:r>
      <w:r>
        <w:rPr/>
        <w:t>This annual training was held in various locations throughout the </w:t>
      </w:r>
      <w:r>
        <w:rPr>
          <w:spacing w:val="-2"/>
        </w:rPr>
        <w:t>State.</w:t>
      </w:r>
    </w:p>
    <w:p>
      <w:pPr>
        <w:pStyle w:val="BodyText"/>
        <w:spacing w:before="2"/>
      </w:pPr>
    </w:p>
    <w:p>
      <w:pPr>
        <w:spacing w:before="0"/>
        <w:ind w:left="1200" w:right="0" w:firstLine="0"/>
        <w:jc w:val="both"/>
        <w:rPr>
          <w:b/>
          <w:sz w:val="24"/>
        </w:rPr>
      </w:pPr>
      <w:r>
        <w:rPr>
          <w:b/>
          <w:sz w:val="24"/>
          <w:u w:val="single"/>
        </w:rPr>
        <w:t>External</w:t>
      </w:r>
      <w:r>
        <w:rPr>
          <w:b/>
          <w:spacing w:val="-3"/>
          <w:sz w:val="24"/>
          <w:u w:val="single"/>
        </w:rPr>
        <w:t> </w:t>
      </w:r>
      <w:r>
        <w:rPr>
          <w:b/>
          <w:sz w:val="24"/>
          <w:u w:val="single"/>
        </w:rPr>
        <w:t>Civil</w:t>
      </w:r>
      <w:r>
        <w:rPr>
          <w:b/>
          <w:spacing w:val="1"/>
          <w:sz w:val="24"/>
          <w:u w:val="single"/>
        </w:rPr>
        <w:t> </w:t>
      </w:r>
      <w:r>
        <w:rPr>
          <w:b/>
          <w:sz w:val="24"/>
          <w:u w:val="single"/>
        </w:rPr>
        <w:t>Rights</w:t>
      </w:r>
      <w:r>
        <w:rPr>
          <w:b/>
          <w:spacing w:val="-3"/>
          <w:sz w:val="24"/>
          <w:u w:val="single"/>
        </w:rPr>
        <w:t> </w:t>
      </w:r>
      <w:r>
        <w:rPr>
          <w:b/>
          <w:spacing w:val="-2"/>
          <w:sz w:val="24"/>
          <w:u w:val="single"/>
        </w:rPr>
        <w:t>Training</w:t>
      </w:r>
    </w:p>
    <w:p>
      <w:pPr>
        <w:pStyle w:val="BodyText"/>
        <w:rPr>
          <w:b/>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4"/>
      </w:tblGrid>
      <w:tr>
        <w:trPr>
          <w:trHeight w:val="292" w:hRule="atLeast"/>
        </w:trPr>
        <w:tc>
          <w:tcPr>
            <w:tcW w:w="5666" w:type="dxa"/>
            <w:shd w:val="clear" w:color="auto" w:fill="D9D9D9"/>
          </w:tcPr>
          <w:p>
            <w:pPr>
              <w:pStyle w:val="TableParagraph"/>
              <w:spacing w:line="272" w:lineRule="exact"/>
              <w:ind w:left="1997" w:right="1988"/>
              <w:jc w:val="center"/>
              <w:rPr>
                <w:rFonts w:ascii="Calibri"/>
                <w:b/>
                <w:sz w:val="24"/>
              </w:rPr>
            </w:pPr>
            <w:r>
              <w:rPr>
                <w:rFonts w:ascii="Calibri"/>
                <w:b/>
                <w:spacing w:val="-2"/>
                <w:sz w:val="24"/>
              </w:rPr>
              <w:t>Location</w:t>
            </w:r>
          </w:p>
        </w:tc>
        <w:tc>
          <w:tcPr>
            <w:tcW w:w="3324" w:type="dxa"/>
            <w:shd w:val="clear" w:color="auto" w:fill="D9D9D9"/>
          </w:tcPr>
          <w:p>
            <w:pPr>
              <w:pStyle w:val="TableParagraph"/>
              <w:spacing w:line="272" w:lineRule="exact"/>
              <w:ind w:left="1411" w:right="1405"/>
              <w:jc w:val="center"/>
              <w:rPr>
                <w:rFonts w:ascii="Calibri"/>
                <w:b/>
                <w:sz w:val="24"/>
              </w:rPr>
            </w:pPr>
            <w:r>
              <w:rPr>
                <w:rFonts w:ascii="Calibri"/>
                <w:b/>
                <w:spacing w:val="-4"/>
                <w:sz w:val="24"/>
              </w:rPr>
              <w:t>Date</w:t>
            </w:r>
          </w:p>
        </w:tc>
      </w:tr>
      <w:tr>
        <w:trPr>
          <w:trHeight w:val="292" w:hRule="atLeast"/>
        </w:trPr>
        <w:tc>
          <w:tcPr>
            <w:tcW w:w="5666" w:type="dxa"/>
          </w:tcPr>
          <w:p>
            <w:pPr>
              <w:pStyle w:val="TableParagraph"/>
              <w:spacing w:line="272" w:lineRule="exact"/>
              <w:ind w:left="107"/>
              <w:rPr>
                <w:rFonts w:ascii="Calibri"/>
                <w:sz w:val="24"/>
              </w:rPr>
            </w:pPr>
            <w:r>
              <w:rPr>
                <w:rFonts w:ascii="Calibri"/>
                <w:spacing w:val="-2"/>
                <w:sz w:val="24"/>
              </w:rPr>
              <w:t>Fairfield</w:t>
            </w:r>
          </w:p>
        </w:tc>
        <w:tc>
          <w:tcPr>
            <w:tcW w:w="3324" w:type="dxa"/>
          </w:tcPr>
          <w:p>
            <w:pPr>
              <w:pStyle w:val="TableParagraph"/>
              <w:spacing w:line="272" w:lineRule="exact"/>
              <w:ind w:left="105"/>
              <w:rPr>
                <w:rFonts w:ascii="Calibri"/>
                <w:sz w:val="24"/>
              </w:rPr>
            </w:pPr>
            <w:r>
              <w:rPr>
                <w:rFonts w:ascii="Calibri"/>
                <w:sz w:val="24"/>
              </w:rPr>
              <w:t>April</w:t>
            </w:r>
            <w:r>
              <w:rPr>
                <w:rFonts w:ascii="Calibri"/>
                <w:spacing w:val="-4"/>
                <w:sz w:val="24"/>
              </w:rPr>
              <w:t> </w:t>
            </w:r>
            <w:r>
              <w:rPr>
                <w:rFonts w:ascii="Calibri"/>
                <w:sz w:val="24"/>
              </w:rPr>
              <w:t>1,</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pacing w:val="-2"/>
                <w:sz w:val="24"/>
              </w:rPr>
              <w:t>Scarborough</w:t>
            </w:r>
          </w:p>
        </w:tc>
        <w:tc>
          <w:tcPr>
            <w:tcW w:w="3324" w:type="dxa"/>
          </w:tcPr>
          <w:p>
            <w:pPr>
              <w:pStyle w:val="TableParagraph"/>
              <w:spacing w:line="272" w:lineRule="exact"/>
              <w:ind w:left="105"/>
              <w:rPr>
                <w:rFonts w:ascii="Calibri"/>
                <w:sz w:val="24"/>
              </w:rPr>
            </w:pPr>
            <w:r>
              <w:rPr>
                <w:rFonts w:ascii="Calibri"/>
                <w:sz w:val="24"/>
              </w:rPr>
              <w:t>April</w:t>
            </w:r>
            <w:r>
              <w:rPr>
                <w:rFonts w:ascii="Calibri"/>
                <w:spacing w:val="-4"/>
                <w:sz w:val="24"/>
              </w:rPr>
              <w:t> </w:t>
            </w:r>
            <w:r>
              <w:rPr>
                <w:rFonts w:ascii="Calibri"/>
                <w:sz w:val="24"/>
              </w:rPr>
              <w:t>5,</w:t>
            </w:r>
            <w:r>
              <w:rPr>
                <w:rFonts w:ascii="Calibri"/>
                <w:spacing w:val="2"/>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Presque</w:t>
            </w:r>
            <w:r>
              <w:rPr>
                <w:rFonts w:ascii="Calibri"/>
                <w:spacing w:val="-3"/>
                <w:sz w:val="24"/>
              </w:rPr>
              <w:t> </w:t>
            </w:r>
            <w:r>
              <w:rPr>
                <w:rFonts w:ascii="Calibri"/>
                <w:spacing w:val="-4"/>
                <w:sz w:val="24"/>
              </w:rPr>
              <w:t>Isle</w:t>
            </w:r>
          </w:p>
        </w:tc>
        <w:tc>
          <w:tcPr>
            <w:tcW w:w="3324" w:type="dxa"/>
          </w:tcPr>
          <w:p>
            <w:pPr>
              <w:pStyle w:val="TableParagraph"/>
              <w:spacing w:line="273" w:lineRule="exact" w:before="1"/>
              <w:ind w:left="105"/>
              <w:rPr>
                <w:rFonts w:ascii="Calibri"/>
                <w:sz w:val="24"/>
              </w:rPr>
            </w:pPr>
            <w:r>
              <w:rPr>
                <w:rFonts w:ascii="Calibri"/>
                <w:sz w:val="24"/>
              </w:rPr>
              <w:t>April</w:t>
            </w:r>
            <w:r>
              <w:rPr>
                <w:rFonts w:ascii="Calibri"/>
                <w:spacing w:val="-4"/>
                <w:sz w:val="24"/>
              </w:rPr>
              <w:t> </w:t>
            </w:r>
            <w:r>
              <w:rPr>
                <w:rFonts w:ascii="Calibri"/>
                <w:sz w:val="24"/>
              </w:rPr>
              <w:t>7,</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pacing w:val="-2"/>
                <w:sz w:val="24"/>
              </w:rPr>
              <w:t>Bangor</w:t>
            </w:r>
          </w:p>
        </w:tc>
        <w:tc>
          <w:tcPr>
            <w:tcW w:w="3324" w:type="dxa"/>
          </w:tcPr>
          <w:p>
            <w:pPr>
              <w:pStyle w:val="TableParagraph"/>
              <w:spacing w:line="272" w:lineRule="exact"/>
              <w:ind w:left="105"/>
              <w:rPr>
                <w:rFonts w:ascii="Calibri"/>
                <w:sz w:val="24"/>
              </w:rPr>
            </w:pPr>
            <w:r>
              <w:rPr>
                <w:rFonts w:ascii="Calibri"/>
                <w:sz w:val="24"/>
              </w:rPr>
              <w:t>April</w:t>
            </w:r>
            <w:r>
              <w:rPr>
                <w:rFonts w:ascii="Calibri"/>
                <w:spacing w:val="-4"/>
                <w:sz w:val="24"/>
              </w:rPr>
              <w:t> </w:t>
            </w:r>
            <w:r>
              <w:rPr>
                <w:rFonts w:ascii="Calibri"/>
                <w:sz w:val="24"/>
              </w:rPr>
              <w:t>8,</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pacing w:val="-2"/>
                <w:sz w:val="24"/>
              </w:rPr>
              <w:t>Wilton</w:t>
            </w:r>
          </w:p>
        </w:tc>
        <w:tc>
          <w:tcPr>
            <w:tcW w:w="3324" w:type="dxa"/>
          </w:tcPr>
          <w:p>
            <w:pPr>
              <w:pStyle w:val="TableParagraph"/>
              <w:spacing w:line="272" w:lineRule="exact"/>
              <w:ind w:left="105"/>
              <w:rPr>
                <w:rFonts w:ascii="Calibri"/>
                <w:sz w:val="24"/>
              </w:rPr>
            </w:pPr>
            <w:r>
              <w:rPr>
                <w:rFonts w:ascii="Calibri"/>
                <w:sz w:val="24"/>
              </w:rPr>
              <w:t>April</w:t>
            </w:r>
            <w:r>
              <w:rPr>
                <w:rFonts w:ascii="Calibri"/>
                <w:spacing w:val="-2"/>
                <w:sz w:val="24"/>
              </w:rPr>
              <w:t> </w:t>
            </w:r>
            <w:r>
              <w:rPr>
                <w:rFonts w:ascii="Calibri"/>
                <w:sz w:val="24"/>
              </w:rPr>
              <w:t>11,</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pacing w:val="-2"/>
                <w:sz w:val="24"/>
              </w:rPr>
              <w:t>Scarborough</w:t>
            </w:r>
          </w:p>
        </w:tc>
        <w:tc>
          <w:tcPr>
            <w:tcW w:w="3324" w:type="dxa"/>
          </w:tcPr>
          <w:p>
            <w:pPr>
              <w:pStyle w:val="TableParagraph"/>
              <w:spacing w:line="272" w:lineRule="exact"/>
              <w:ind w:left="105"/>
              <w:rPr>
                <w:rFonts w:ascii="Calibri"/>
                <w:sz w:val="24"/>
              </w:rPr>
            </w:pPr>
            <w:r>
              <w:rPr>
                <w:rFonts w:ascii="Calibri"/>
                <w:sz w:val="24"/>
              </w:rPr>
              <w:t>April</w:t>
            </w:r>
            <w:r>
              <w:rPr>
                <w:rFonts w:ascii="Calibri"/>
                <w:spacing w:val="-2"/>
                <w:sz w:val="24"/>
              </w:rPr>
              <w:t> </w:t>
            </w:r>
            <w:r>
              <w:rPr>
                <w:rFonts w:ascii="Calibri"/>
                <w:sz w:val="24"/>
              </w:rPr>
              <w:t>26,</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pacing w:val="-2"/>
                <w:sz w:val="24"/>
              </w:rPr>
              <w:t>Fairfield</w:t>
            </w:r>
          </w:p>
        </w:tc>
        <w:tc>
          <w:tcPr>
            <w:tcW w:w="3324" w:type="dxa"/>
          </w:tcPr>
          <w:p>
            <w:pPr>
              <w:pStyle w:val="TableParagraph"/>
              <w:spacing w:line="273" w:lineRule="exact" w:before="1"/>
              <w:ind w:left="105"/>
              <w:rPr>
                <w:rFonts w:ascii="Calibri"/>
                <w:sz w:val="24"/>
              </w:rPr>
            </w:pPr>
            <w:r>
              <w:rPr>
                <w:rFonts w:ascii="Calibri"/>
                <w:sz w:val="24"/>
              </w:rPr>
              <w:t>April</w:t>
            </w:r>
            <w:r>
              <w:rPr>
                <w:rFonts w:ascii="Calibri"/>
                <w:spacing w:val="-2"/>
                <w:sz w:val="24"/>
              </w:rPr>
              <w:t> </w:t>
            </w:r>
            <w:r>
              <w:rPr>
                <w:rFonts w:ascii="Calibri"/>
                <w:sz w:val="24"/>
              </w:rPr>
              <w:t>27,</w:t>
            </w:r>
            <w:r>
              <w:rPr>
                <w:rFonts w:ascii="Calibri"/>
                <w:spacing w:val="-1"/>
                <w:sz w:val="24"/>
              </w:rPr>
              <w:t> </w:t>
            </w:r>
            <w:r>
              <w:rPr>
                <w:rFonts w:ascii="Calibri"/>
                <w:spacing w:val="-4"/>
                <w:sz w:val="24"/>
              </w:rPr>
              <w:t>2022</w:t>
            </w:r>
          </w:p>
        </w:tc>
      </w:tr>
    </w:tbl>
    <w:p>
      <w:pPr>
        <w:pStyle w:val="BodyText"/>
        <w:spacing w:before="2"/>
        <w:rPr>
          <w:b/>
        </w:rPr>
      </w:pPr>
    </w:p>
    <w:p>
      <w:pPr>
        <w:spacing w:before="1"/>
        <w:ind w:left="1200" w:right="0" w:firstLine="0"/>
        <w:jc w:val="both"/>
        <w:rPr>
          <w:b/>
          <w:sz w:val="24"/>
        </w:rPr>
      </w:pPr>
      <w:r>
        <w:rPr>
          <w:b/>
          <w:sz w:val="24"/>
          <w:u w:val="single"/>
        </w:rPr>
        <w:t>Training</w:t>
      </w:r>
      <w:r>
        <w:rPr>
          <w:b/>
          <w:spacing w:val="-3"/>
          <w:sz w:val="24"/>
          <w:u w:val="single"/>
        </w:rPr>
        <w:t> </w:t>
      </w:r>
      <w:r>
        <w:rPr>
          <w:b/>
          <w:sz w:val="24"/>
          <w:u w:val="single"/>
        </w:rPr>
        <w:t>Provided</w:t>
      </w:r>
      <w:r>
        <w:rPr>
          <w:b/>
          <w:spacing w:val="-2"/>
          <w:sz w:val="24"/>
          <w:u w:val="single"/>
        </w:rPr>
        <w:t> </w:t>
      </w:r>
      <w:r>
        <w:rPr>
          <w:b/>
          <w:sz w:val="24"/>
          <w:u w:val="single"/>
        </w:rPr>
        <w:t>by</w:t>
      </w:r>
      <w:r>
        <w:rPr>
          <w:b/>
          <w:spacing w:val="-2"/>
          <w:sz w:val="24"/>
          <w:u w:val="single"/>
        </w:rPr>
        <w:t> </w:t>
      </w:r>
      <w:r>
        <w:rPr>
          <w:b/>
          <w:sz w:val="24"/>
          <w:u w:val="single"/>
        </w:rPr>
        <w:t>the</w:t>
      </w:r>
      <w:r>
        <w:rPr>
          <w:b/>
          <w:spacing w:val="-4"/>
          <w:sz w:val="24"/>
          <w:u w:val="single"/>
        </w:rPr>
        <w:t> </w:t>
      </w:r>
      <w:r>
        <w:rPr>
          <w:b/>
          <w:sz w:val="24"/>
          <w:u w:val="single"/>
        </w:rPr>
        <w:t>Office</w:t>
      </w:r>
      <w:r>
        <w:rPr>
          <w:b/>
          <w:spacing w:val="-2"/>
          <w:sz w:val="24"/>
          <w:u w:val="single"/>
        </w:rPr>
        <w:t> </w:t>
      </w:r>
      <w:r>
        <w:rPr>
          <w:b/>
          <w:sz w:val="24"/>
          <w:u w:val="single"/>
        </w:rPr>
        <w:t>of Civil</w:t>
      </w:r>
      <w:r>
        <w:rPr>
          <w:b/>
          <w:spacing w:val="-2"/>
          <w:sz w:val="24"/>
          <w:u w:val="single"/>
        </w:rPr>
        <w:t> Rights</w:t>
      </w:r>
    </w:p>
    <w:p>
      <w:pPr>
        <w:pStyle w:val="BodyText"/>
        <w:rPr>
          <w:b/>
        </w:r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4"/>
      </w:tblGrid>
      <w:tr>
        <w:trPr>
          <w:trHeight w:val="292" w:hRule="atLeast"/>
        </w:trPr>
        <w:tc>
          <w:tcPr>
            <w:tcW w:w="5666" w:type="dxa"/>
            <w:shd w:val="clear" w:color="auto" w:fill="D9D9D9"/>
          </w:tcPr>
          <w:p>
            <w:pPr>
              <w:pStyle w:val="TableParagraph"/>
              <w:spacing w:line="272" w:lineRule="exact"/>
              <w:ind w:left="1998" w:right="1988"/>
              <w:jc w:val="center"/>
              <w:rPr>
                <w:rFonts w:ascii="Calibri"/>
                <w:b/>
                <w:sz w:val="24"/>
              </w:rPr>
            </w:pPr>
            <w:r>
              <w:rPr>
                <w:rFonts w:ascii="Calibri"/>
                <w:b/>
                <w:sz w:val="24"/>
              </w:rPr>
              <w:t>Training</w:t>
            </w:r>
            <w:r>
              <w:rPr>
                <w:rFonts w:ascii="Calibri"/>
                <w:b/>
                <w:spacing w:val="-2"/>
                <w:sz w:val="24"/>
              </w:rPr>
              <w:t> Topic(s)</w:t>
            </w:r>
          </w:p>
        </w:tc>
        <w:tc>
          <w:tcPr>
            <w:tcW w:w="3324" w:type="dxa"/>
            <w:shd w:val="clear" w:color="auto" w:fill="D9D9D9"/>
          </w:tcPr>
          <w:p>
            <w:pPr>
              <w:pStyle w:val="TableParagraph"/>
              <w:spacing w:line="272" w:lineRule="exact"/>
              <w:ind w:right="1414"/>
              <w:jc w:val="right"/>
              <w:rPr>
                <w:rFonts w:ascii="Calibri"/>
                <w:b/>
                <w:sz w:val="24"/>
              </w:rPr>
            </w:pPr>
            <w:r>
              <w:rPr>
                <w:rFonts w:ascii="Calibri"/>
                <w:b/>
                <w:spacing w:val="-4"/>
                <w:sz w:val="24"/>
              </w:rPr>
              <w:t>Date</w:t>
            </w:r>
          </w:p>
        </w:tc>
      </w:tr>
      <w:tr>
        <w:trPr>
          <w:trHeight w:val="880" w:hRule="atLeast"/>
        </w:trPr>
        <w:tc>
          <w:tcPr>
            <w:tcW w:w="5666" w:type="dxa"/>
          </w:tcPr>
          <w:p>
            <w:pPr>
              <w:pStyle w:val="TableParagraph"/>
              <w:spacing w:line="240" w:lineRule="auto"/>
              <w:ind w:left="107"/>
              <w:rPr>
                <w:rFonts w:ascii="Calibri"/>
                <w:sz w:val="24"/>
              </w:rPr>
            </w:pPr>
            <w:r>
              <w:rPr>
                <w:rFonts w:ascii="Calibri"/>
                <w:sz w:val="24"/>
              </w:rPr>
              <w:t>Locally Administered Projects Training (Including overview</w:t>
            </w:r>
            <w:r>
              <w:rPr>
                <w:rFonts w:ascii="Calibri"/>
                <w:spacing w:val="-5"/>
                <w:sz w:val="24"/>
              </w:rPr>
              <w:t> </w:t>
            </w:r>
            <w:r>
              <w:rPr>
                <w:rFonts w:ascii="Calibri"/>
                <w:sz w:val="24"/>
              </w:rPr>
              <w:t>of</w:t>
            </w:r>
            <w:r>
              <w:rPr>
                <w:rFonts w:ascii="Calibri"/>
                <w:spacing w:val="-5"/>
                <w:sz w:val="24"/>
              </w:rPr>
              <w:t> </w:t>
            </w:r>
            <w:r>
              <w:rPr>
                <w:rFonts w:ascii="Calibri"/>
                <w:sz w:val="24"/>
              </w:rPr>
              <w:t>Civil</w:t>
            </w:r>
            <w:r>
              <w:rPr>
                <w:rFonts w:ascii="Calibri"/>
                <w:spacing w:val="-3"/>
                <w:sz w:val="24"/>
              </w:rPr>
              <w:t> </w:t>
            </w:r>
            <w:r>
              <w:rPr>
                <w:rFonts w:ascii="Calibri"/>
                <w:sz w:val="24"/>
              </w:rPr>
              <w:t>Rights,</w:t>
            </w:r>
            <w:r>
              <w:rPr>
                <w:rFonts w:ascii="Calibri"/>
                <w:spacing w:val="-8"/>
                <w:sz w:val="24"/>
              </w:rPr>
              <w:t> </w:t>
            </w:r>
            <w:r>
              <w:rPr>
                <w:rFonts w:ascii="Calibri"/>
                <w:sz w:val="24"/>
              </w:rPr>
              <w:t>Title</w:t>
            </w:r>
            <w:r>
              <w:rPr>
                <w:rFonts w:ascii="Calibri"/>
                <w:spacing w:val="-5"/>
                <w:sz w:val="24"/>
              </w:rPr>
              <w:t> </w:t>
            </w:r>
            <w:r>
              <w:rPr>
                <w:rFonts w:ascii="Calibri"/>
                <w:sz w:val="24"/>
              </w:rPr>
              <w:t>VI,</w:t>
            </w:r>
            <w:r>
              <w:rPr>
                <w:rFonts w:ascii="Calibri"/>
                <w:spacing w:val="-3"/>
                <w:sz w:val="24"/>
              </w:rPr>
              <w:t> </w:t>
            </w:r>
            <w:r>
              <w:rPr>
                <w:rFonts w:ascii="Calibri"/>
                <w:sz w:val="24"/>
              </w:rPr>
              <w:t>DBE,</w:t>
            </w:r>
            <w:r>
              <w:rPr>
                <w:rFonts w:ascii="Calibri"/>
                <w:spacing w:val="-6"/>
                <w:sz w:val="24"/>
              </w:rPr>
              <w:t> </w:t>
            </w:r>
            <w:r>
              <w:rPr>
                <w:rFonts w:ascii="Calibri"/>
                <w:sz w:val="24"/>
              </w:rPr>
              <w:t>ADA</w:t>
            </w:r>
            <w:r>
              <w:rPr>
                <w:rFonts w:ascii="Calibri"/>
                <w:spacing w:val="-6"/>
                <w:sz w:val="24"/>
              </w:rPr>
              <w:t> </w:t>
            </w:r>
            <w:r>
              <w:rPr>
                <w:rFonts w:ascii="Calibri"/>
                <w:sz w:val="24"/>
              </w:rPr>
              <w:t>and</w:t>
            </w:r>
            <w:r>
              <w:rPr>
                <w:rFonts w:ascii="Calibri"/>
                <w:spacing w:val="-2"/>
                <w:sz w:val="24"/>
              </w:rPr>
              <w:t> </w:t>
            </w:r>
            <w:r>
              <w:rPr>
                <w:rFonts w:ascii="Calibri"/>
                <w:sz w:val="24"/>
              </w:rPr>
              <w:t>OJT</w:t>
            </w:r>
          </w:p>
          <w:p>
            <w:pPr>
              <w:pStyle w:val="TableParagraph"/>
              <w:spacing w:line="273" w:lineRule="exact" w:before="1"/>
              <w:ind w:left="107"/>
              <w:rPr>
                <w:rFonts w:ascii="Calibri"/>
                <w:sz w:val="24"/>
              </w:rPr>
            </w:pPr>
            <w:r>
              <w:rPr>
                <w:rFonts w:ascii="Calibri"/>
                <w:spacing w:val="-2"/>
                <w:sz w:val="24"/>
              </w:rPr>
              <w:t>training)</w:t>
            </w:r>
          </w:p>
        </w:tc>
        <w:tc>
          <w:tcPr>
            <w:tcW w:w="3324" w:type="dxa"/>
          </w:tcPr>
          <w:p>
            <w:pPr>
              <w:pStyle w:val="TableParagraph"/>
              <w:spacing w:line="292" w:lineRule="exact"/>
              <w:ind w:right="1396"/>
              <w:jc w:val="right"/>
              <w:rPr>
                <w:rFonts w:ascii="Calibri"/>
                <w:sz w:val="24"/>
              </w:rPr>
            </w:pPr>
            <w:r>
              <w:rPr>
                <w:rFonts w:ascii="Calibri"/>
                <w:sz w:val="24"/>
              </w:rPr>
              <w:t>November</w:t>
            </w:r>
            <w:r>
              <w:rPr>
                <w:rFonts w:ascii="Calibri"/>
                <w:spacing w:val="-3"/>
                <w:sz w:val="24"/>
              </w:rPr>
              <w:t> </w:t>
            </w:r>
            <w:r>
              <w:rPr>
                <w:rFonts w:ascii="Calibri"/>
                <w:sz w:val="24"/>
              </w:rPr>
              <w:t>2,</w:t>
            </w:r>
            <w:r>
              <w:rPr>
                <w:rFonts w:ascii="Calibri"/>
                <w:spacing w:val="-2"/>
                <w:sz w:val="24"/>
              </w:rPr>
              <w:t> </w:t>
            </w:r>
            <w:r>
              <w:rPr>
                <w:rFonts w:ascii="Calibri"/>
                <w:spacing w:val="-4"/>
                <w:sz w:val="24"/>
              </w:rPr>
              <w:t>2022</w:t>
            </w:r>
          </w:p>
        </w:tc>
      </w:tr>
    </w:tbl>
    <w:p>
      <w:pPr>
        <w:spacing w:after="0" w:line="292" w:lineRule="exact"/>
        <w:jc w:val="right"/>
        <w:rPr>
          <w:rFonts w:ascii="Calibri"/>
          <w:sz w:val="24"/>
        </w:rPr>
        <w:sectPr>
          <w:pgSz w:w="12240" w:h="15840"/>
          <w:pgMar w:header="0" w:footer="997" w:top="1260" w:bottom="1260" w:left="600" w:right="500"/>
        </w:sectPr>
      </w:pPr>
    </w:p>
    <w:tbl>
      <w:tblPr>
        <w:tblW w:w="0" w:type="auto"/>
        <w:jc w:val="left"/>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4"/>
      </w:tblGrid>
      <w:tr>
        <w:trPr>
          <w:trHeight w:val="1170" w:hRule="atLeast"/>
        </w:trPr>
        <w:tc>
          <w:tcPr>
            <w:tcW w:w="5666" w:type="dxa"/>
          </w:tcPr>
          <w:p>
            <w:pPr>
              <w:pStyle w:val="TableParagraph"/>
              <w:spacing w:line="240" w:lineRule="auto"/>
              <w:ind w:left="107"/>
              <w:rPr>
                <w:rFonts w:ascii="Calibri"/>
                <w:sz w:val="24"/>
              </w:rPr>
            </w:pPr>
            <w:r>
              <w:rPr>
                <w:rFonts w:ascii="Calibri"/>
                <w:sz w:val="24"/>
              </w:rPr>
              <w:t>Bureau</w:t>
            </w:r>
            <w:r>
              <w:rPr>
                <w:rFonts w:ascii="Calibri"/>
                <w:spacing w:val="-8"/>
                <w:sz w:val="24"/>
              </w:rPr>
              <w:t> </w:t>
            </w:r>
            <w:r>
              <w:rPr>
                <w:rFonts w:ascii="Calibri"/>
                <w:sz w:val="24"/>
              </w:rPr>
              <w:t>of</w:t>
            </w:r>
            <w:r>
              <w:rPr>
                <w:rFonts w:ascii="Calibri"/>
                <w:spacing w:val="-8"/>
                <w:sz w:val="24"/>
              </w:rPr>
              <w:t> </w:t>
            </w:r>
            <w:r>
              <w:rPr>
                <w:rFonts w:ascii="Calibri"/>
                <w:sz w:val="24"/>
              </w:rPr>
              <w:t>Project</w:t>
            </w:r>
            <w:r>
              <w:rPr>
                <w:rFonts w:ascii="Calibri"/>
                <w:spacing w:val="-8"/>
                <w:sz w:val="24"/>
              </w:rPr>
              <w:t> </w:t>
            </w:r>
            <w:r>
              <w:rPr>
                <w:rFonts w:ascii="Calibri"/>
                <w:sz w:val="24"/>
              </w:rPr>
              <w:t>Development</w:t>
            </w:r>
            <w:r>
              <w:rPr>
                <w:rFonts w:ascii="Calibri"/>
                <w:spacing w:val="-5"/>
                <w:sz w:val="24"/>
              </w:rPr>
              <w:t> </w:t>
            </w:r>
            <w:r>
              <w:rPr>
                <w:rFonts w:ascii="Calibri"/>
                <w:sz w:val="24"/>
              </w:rPr>
              <w:t>Construction</w:t>
            </w:r>
            <w:r>
              <w:rPr>
                <w:rFonts w:ascii="Calibri"/>
                <w:spacing w:val="-5"/>
                <w:sz w:val="24"/>
              </w:rPr>
              <w:t> </w:t>
            </w:r>
            <w:r>
              <w:rPr>
                <w:rFonts w:ascii="Calibri"/>
                <w:sz w:val="24"/>
              </w:rPr>
              <w:t>Training </w:t>
            </w:r>
            <w:r>
              <w:rPr>
                <w:rFonts w:ascii="Calibri"/>
                <w:spacing w:val="-2"/>
                <w:sz w:val="24"/>
              </w:rPr>
              <w:t>(Including</w:t>
            </w:r>
          </w:p>
          <w:p>
            <w:pPr>
              <w:pStyle w:val="TableParagraph"/>
              <w:spacing w:line="293" w:lineRule="exact"/>
              <w:ind w:left="107"/>
              <w:rPr>
                <w:rFonts w:ascii="Calibri"/>
                <w:sz w:val="24"/>
              </w:rPr>
            </w:pPr>
            <w:r>
              <w:rPr>
                <w:rFonts w:ascii="Calibri"/>
                <w:sz w:val="24"/>
              </w:rPr>
              <w:t>overview</w:t>
            </w:r>
            <w:r>
              <w:rPr>
                <w:rFonts w:ascii="Calibri"/>
                <w:spacing w:val="-2"/>
                <w:sz w:val="24"/>
              </w:rPr>
              <w:t> </w:t>
            </w:r>
            <w:r>
              <w:rPr>
                <w:rFonts w:ascii="Calibri"/>
                <w:sz w:val="24"/>
              </w:rPr>
              <w:t>of</w:t>
            </w:r>
            <w:r>
              <w:rPr>
                <w:rFonts w:ascii="Calibri"/>
                <w:spacing w:val="-2"/>
                <w:sz w:val="24"/>
              </w:rPr>
              <w:t> </w:t>
            </w:r>
            <w:r>
              <w:rPr>
                <w:rFonts w:ascii="Calibri"/>
                <w:sz w:val="24"/>
              </w:rPr>
              <w:t>Civil Rights,</w:t>
            </w:r>
            <w:r>
              <w:rPr>
                <w:rFonts w:ascii="Calibri"/>
                <w:spacing w:val="-4"/>
                <w:sz w:val="24"/>
              </w:rPr>
              <w:t> </w:t>
            </w:r>
            <w:r>
              <w:rPr>
                <w:rFonts w:ascii="Calibri"/>
                <w:sz w:val="24"/>
              </w:rPr>
              <w:t>Title</w:t>
            </w:r>
            <w:r>
              <w:rPr>
                <w:rFonts w:ascii="Calibri"/>
                <w:spacing w:val="-2"/>
                <w:sz w:val="24"/>
              </w:rPr>
              <w:t> </w:t>
            </w:r>
            <w:r>
              <w:rPr>
                <w:rFonts w:ascii="Calibri"/>
                <w:sz w:val="24"/>
              </w:rPr>
              <w:t>VI,</w:t>
            </w:r>
            <w:r>
              <w:rPr>
                <w:rFonts w:ascii="Calibri"/>
                <w:spacing w:val="1"/>
                <w:sz w:val="24"/>
              </w:rPr>
              <w:t> </w:t>
            </w:r>
            <w:r>
              <w:rPr>
                <w:rFonts w:ascii="Calibri"/>
                <w:sz w:val="24"/>
              </w:rPr>
              <w:t>DBE,</w:t>
            </w:r>
            <w:r>
              <w:rPr>
                <w:rFonts w:ascii="Calibri"/>
                <w:spacing w:val="-3"/>
                <w:sz w:val="24"/>
              </w:rPr>
              <w:t> </w:t>
            </w:r>
            <w:r>
              <w:rPr>
                <w:rFonts w:ascii="Calibri"/>
                <w:sz w:val="24"/>
              </w:rPr>
              <w:t>ADA</w:t>
            </w:r>
            <w:r>
              <w:rPr>
                <w:rFonts w:ascii="Calibri"/>
                <w:spacing w:val="-3"/>
                <w:sz w:val="24"/>
              </w:rPr>
              <w:t> </w:t>
            </w:r>
            <w:r>
              <w:rPr>
                <w:rFonts w:ascii="Calibri"/>
                <w:sz w:val="24"/>
              </w:rPr>
              <w:t>and</w:t>
            </w:r>
            <w:r>
              <w:rPr>
                <w:rFonts w:ascii="Calibri"/>
                <w:spacing w:val="2"/>
                <w:sz w:val="24"/>
              </w:rPr>
              <w:t> </w:t>
            </w:r>
            <w:r>
              <w:rPr>
                <w:rFonts w:ascii="Calibri"/>
                <w:spacing w:val="-5"/>
                <w:sz w:val="24"/>
              </w:rPr>
              <w:t>OJT</w:t>
            </w:r>
          </w:p>
          <w:p>
            <w:pPr>
              <w:pStyle w:val="TableParagraph"/>
              <w:spacing w:line="273" w:lineRule="exact"/>
              <w:ind w:left="107"/>
              <w:rPr>
                <w:rFonts w:ascii="Calibri"/>
                <w:sz w:val="24"/>
              </w:rPr>
            </w:pP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March</w:t>
            </w:r>
            <w:r>
              <w:rPr>
                <w:rFonts w:ascii="Calibri"/>
                <w:spacing w:val="-1"/>
                <w:sz w:val="24"/>
              </w:rPr>
              <w:t> </w:t>
            </w:r>
            <w:r>
              <w:rPr>
                <w:rFonts w:ascii="Calibri"/>
                <w:sz w:val="24"/>
              </w:rPr>
              <w:t>24,</w:t>
            </w:r>
            <w:r>
              <w:rPr>
                <w:rFonts w:ascii="Calibri"/>
                <w:spacing w:val="-2"/>
                <w:sz w:val="24"/>
              </w:rPr>
              <w:t> </w:t>
            </w:r>
            <w:r>
              <w:rPr>
                <w:rFonts w:ascii="Calibri"/>
                <w:spacing w:val="-4"/>
                <w:sz w:val="24"/>
              </w:rPr>
              <w:t>2022</w:t>
            </w:r>
          </w:p>
        </w:tc>
      </w:tr>
      <w:tr>
        <w:trPr>
          <w:trHeight w:val="880" w:hRule="atLeast"/>
        </w:trPr>
        <w:tc>
          <w:tcPr>
            <w:tcW w:w="5666" w:type="dxa"/>
          </w:tcPr>
          <w:p>
            <w:pPr>
              <w:pStyle w:val="TableParagraph"/>
              <w:spacing w:line="240" w:lineRule="auto" w:before="1"/>
              <w:ind w:left="107"/>
              <w:rPr>
                <w:rFonts w:ascii="Calibri"/>
                <w:sz w:val="24"/>
              </w:rPr>
            </w:pPr>
            <w:r>
              <w:rPr>
                <w:rFonts w:ascii="Calibri"/>
                <w:sz w:val="24"/>
              </w:rPr>
              <w:t>Documentation</w:t>
            </w:r>
            <w:r>
              <w:rPr>
                <w:rFonts w:ascii="Calibri"/>
                <w:spacing w:val="-6"/>
                <w:sz w:val="24"/>
              </w:rPr>
              <w:t> </w:t>
            </w:r>
            <w:r>
              <w:rPr>
                <w:rFonts w:ascii="Calibri"/>
                <w:sz w:val="24"/>
              </w:rPr>
              <w:t>Training</w:t>
            </w:r>
            <w:r>
              <w:rPr>
                <w:rFonts w:ascii="Calibri"/>
                <w:spacing w:val="-12"/>
                <w:sz w:val="24"/>
              </w:rPr>
              <w:t> </w:t>
            </w:r>
            <w:r>
              <w:rPr>
                <w:rFonts w:ascii="Calibri"/>
                <w:sz w:val="24"/>
              </w:rPr>
              <w:t>(Including</w:t>
            </w:r>
            <w:r>
              <w:rPr>
                <w:rFonts w:ascii="Calibri"/>
                <w:spacing w:val="-9"/>
                <w:sz w:val="24"/>
              </w:rPr>
              <w:t> </w:t>
            </w:r>
            <w:r>
              <w:rPr>
                <w:rFonts w:ascii="Calibri"/>
                <w:sz w:val="24"/>
              </w:rPr>
              <w:t>overview</w:t>
            </w:r>
            <w:r>
              <w:rPr>
                <w:rFonts w:ascii="Calibri"/>
                <w:spacing w:val="-6"/>
                <w:sz w:val="24"/>
              </w:rPr>
              <w:t> </w:t>
            </w:r>
            <w:r>
              <w:rPr>
                <w:rFonts w:ascii="Calibri"/>
                <w:sz w:val="24"/>
              </w:rPr>
              <w:t>of</w:t>
            </w:r>
            <w:r>
              <w:rPr>
                <w:rFonts w:ascii="Calibri"/>
                <w:spacing w:val="-6"/>
                <w:sz w:val="24"/>
              </w:rPr>
              <w:t> </w:t>
            </w:r>
            <w:r>
              <w:rPr>
                <w:rFonts w:ascii="Calibri"/>
                <w:sz w:val="24"/>
              </w:rPr>
              <w:t>Civil Rights, Title VI,</w:t>
            </w:r>
          </w:p>
          <w:p>
            <w:pPr>
              <w:pStyle w:val="TableParagraph"/>
              <w:spacing w:line="273" w:lineRule="exact"/>
              <w:ind w:left="107"/>
              <w:rPr>
                <w:rFonts w:ascii="Calibri"/>
                <w:sz w:val="24"/>
              </w:rPr>
            </w:pPr>
            <w:r>
              <w:rPr>
                <w:rFonts w:ascii="Calibri"/>
                <w:sz w:val="24"/>
              </w:rPr>
              <w:t>DBE, ADA</w:t>
            </w:r>
            <w:r>
              <w:rPr>
                <w:rFonts w:ascii="Calibri"/>
                <w:spacing w:val="-2"/>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40" w:lineRule="auto" w:before="1"/>
              <w:ind w:left="105"/>
              <w:rPr>
                <w:rFonts w:ascii="Calibri"/>
                <w:sz w:val="24"/>
              </w:rPr>
            </w:pPr>
            <w:r>
              <w:rPr>
                <w:rFonts w:ascii="Calibri"/>
                <w:sz w:val="24"/>
              </w:rPr>
              <w:t>April</w:t>
            </w:r>
            <w:r>
              <w:rPr>
                <w:rFonts w:ascii="Calibri"/>
                <w:spacing w:val="-4"/>
                <w:sz w:val="24"/>
              </w:rPr>
              <w:t> </w:t>
            </w:r>
            <w:r>
              <w:rPr>
                <w:rFonts w:ascii="Calibri"/>
                <w:sz w:val="24"/>
              </w:rPr>
              <w:t>4,</w:t>
            </w:r>
            <w:r>
              <w:rPr>
                <w:rFonts w:ascii="Calibri"/>
                <w:spacing w:val="2"/>
                <w:sz w:val="24"/>
              </w:rPr>
              <w:t> </w:t>
            </w:r>
            <w:r>
              <w:rPr>
                <w:rFonts w:ascii="Calibri"/>
                <w:spacing w:val="-4"/>
                <w:sz w:val="24"/>
              </w:rPr>
              <w:t>2022</w:t>
            </w:r>
          </w:p>
        </w:tc>
      </w:tr>
      <w:tr>
        <w:trPr>
          <w:trHeight w:val="877" w:hRule="atLeast"/>
        </w:trPr>
        <w:tc>
          <w:tcPr>
            <w:tcW w:w="5666" w:type="dxa"/>
          </w:tcPr>
          <w:p>
            <w:pPr>
              <w:pStyle w:val="TableParagraph"/>
              <w:spacing w:line="240" w:lineRule="auto"/>
              <w:ind w:left="107"/>
              <w:rPr>
                <w:rFonts w:ascii="Calibri"/>
                <w:sz w:val="24"/>
              </w:rPr>
            </w:pPr>
            <w:r>
              <w:rPr>
                <w:rFonts w:ascii="Calibri"/>
                <w:sz w:val="24"/>
              </w:rPr>
              <w:t>Documentation</w:t>
            </w:r>
            <w:r>
              <w:rPr>
                <w:rFonts w:ascii="Calibri"/>
                <w:spacing w:val="-6"/>
                <w:sz w:val="24"/>
              </w:rPr>
              <w:t> </w:t>
            </w:r>
            <w:r>
              <w:rPr>
                <w:rFonts w:ascii="Calibri"/>
                <w:sz w:val="24"/>
              </w:rPr>
              <w:t>Training</w:t>
            </w:r>
            <w:r>
              <w:rPr>
                <w:rFonts w:ascii="Calibri"/>
                <w:spacing w:val="-12"/>
                <w:sz w:val="24"/>
              </w:rPr>
              <w:t> </w:t>
            </w:r>
            <w:r>
              <w:rPr>
                <w:rFonts w:ascii="Calibri"/>
                <w:sz w:val="24"/>
              </w:rPr>
              <w:t>(Including</w:t>
            </w:r>
            <w:r>
              <w:rPr>
                <w:rFonts w:ascii="Calibri"/>
                <w:spacing w:val="-9"/>
                <w:sz w:val="24"/>
              </w:rPr>
              <w:t> </w:t>
            </w:r>
            <w:r>
              <w:rPr>
                <w:rFonts w:ascii="Calibri"/>
                <w:sz w:val="24"/>
              </w:rPr>
              <w:t>overview</w:t>
            </w:r>
            <w:r>
              <w:rPr>
                <w:rFonts w:ascii="Calibri"/>
                <w:spacing w:val="-6"/>
                <w:sz w:val="24"/>
              </w:rPr>
              <w:t> </w:t>
            </w:r>
            <w:r>
              <w:rPr>
                <w:rFonts w:ascii="Calibri"/>
                <w:sz w:val="24"/>
              </w:rPr>
              <w:t>of</w:t>
            </w:r>
            <w:r>
              <w:rPr>
                <w:rFonts w:ascii="Calibri"/>
                <w:spacing w:val="-6"/>
                <w:sz w:val="24"/>
              </w:rPr>
              <w:t> </w:t>
            </w:r>
            <w:r>
              <w:rPr>
                <w:rFonts w:ascii="Calibri"/>
                <w:sz w:val="24"/>
              </w:rPr>
              <w:t>Civil Rights, Title VI,</w:t>
            </w:r>
          </w:p>
          <w:p>
            <w:pPr>
              <w:pStyle w:val="TableParagraph"/>
              <w:spacing w:line="273" w:lineRule="exact"/>
              <w:ind w:left="107"/>
              <w:rPr>
                <w:rFonts w:ascii="Calibri"/>
                <w:sz w:val="24"/>
              </w:rPr>
            </w:pPr>
            <w:r>
              <w:rPr>
                <w:rFonts w:ascii="Calibri"/>
                <w:sz w:val="24"/>
              </w:rPr>
              <w:t>DBE, ADA</w:t>
            </w:r>
            <w:r>
              <w:rPr>
                <w:rFonts w:ascii="Calibri"/>
                <w:spacing w:val="-2"/>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4"/>
                <w:sz w:val="24"/>
              </w:rPr>
              <w:t> </w:t>
            </w:r>
            <w:r>
              <w:rPr>
                <w:rFonts w:ascii="Calibri"/>
                <w:sz w:val="24"/>
              </w:rPr>
              <w:t>5,</w:t>
            </w:r>
            <w:r>
              <w:rPr>
                <w:rFonts w:ascii="Calibri"/>
                <w:spacing w:val="2"/>
                <w:sz w:val="24"/>
              </w:rPr>
              <w:t> </w:t>
            </w:r>
            <w:r>
              <w:rPr>
                <w:rFonts w:ascii="Calibri"/>
                <w:spacing w:val="-4"/>
                <w:sz w:val="24"/>
              </w:rPr>
              <w:t>2022</w:t>
            </w:r>
          </w:p>
        </w:tc>
      </w:tr>
      <w:tr>
        <w:trPr>
          <w:trHeight w:val="880" w:hRule="atLeast"/>
        </w:trPr>
        <w:tc>
          <w:tcPr>
            <w:tcW w:w="5666" w:type="dxa"/>
          </w:tcPr>
          <w:p>
            <w:pPr>
              <w:pStyle w:val="TableParagraph"/>
              <w:spacing w:line="240" w:lineRule="auto"/>
              <w:ind w:left="107"/>
              <w:rPr>
                <w:rFonts w:ascii="Calibri"/>
                <w:sz w:val="24"/>
              </w:rPr>
            </w:pPr>
            <w:r>
              <w:rPr>
                <w:rFonts w:ascii="Calibri"/>
                <w:sz w:val="24"/>
              </w:rPr>
              <w:t>Documentation</w:t>
            </w:r>
            <w:r>
              <w:rPr>
                <w:rFonts w:ascii="Calibri"/>
                <w:spacing w:val="-6"/>
                <w:sz w:val="24"/>
              </w:rPr>
              <w:t> </w:t>
            </w:r>
            <w:r>
              <w:rPr>
                <w:rFonts w:ascii="Calibri"/>
                <w:sz w:val="24"/>
              </w:rPr>
              <w:t>Training</w:t>
            </w:r>
            <w:r>
              <w:rPr>
                <w:rFonts w:ascii="Calibri"/>
                <w:spacing w:val="-12"/>
                <w:sz w:val="24"/>
              </w:rPr>
              <w:t> </w:t>
            </w:r>
            <w:r>
              <w:rPr>
                <w:rFonts w:ascii="Calibri"/>
                <w:sz w:val="24"/>
              </w:rPr>
              <w:t>(Including</w:t>
            </w:r>
            <w:r>
              <w:rPr>
                <w:rFonts w:ascii="Calibri"/>
                <w:spacing w:val="-9"/>
                <w:sz w:val="24"/>
              </w:rPr>
              <w:t> </w:t>
            </w:r>
            <w:r>
              <w:rPr>
                <w:rFonts w:ascii="Calibri"/>
                <w:sz w:val="24"/>
              </w:rPr>
              <w:t>overview</w:t>
            </w:r>
            <w:r>
              <w:rPr>
                <w:rFonts w:ascii="Calibri"/>
                <w:spacing w:val="-6"/>
                <w:sz w:val="24"/>
              </w:rPr>
              <w:t> </w:t>
            </w:r>
            <w:r>
              <w:rPr>
                <w:rFonts w:ascii="Calibri"/>
                <w:sz w:val="24"/>
              </w:rPr>
              <w:t>of</w:t>
            </w:r>
            <w:r>
              <w:rPr>
                <w:rFonts w:ascii="Calibri"/>
                <w:spacing w:val="-7"/>
                <w:sz w:val="24"/>
              </w:rPr>
              <w:t> </w:t>
            </w:r>
            <w:r>
              <w:rPr>
                <w:rFonts w:ascii="Calibri"/>
                <w:sz w:val="24"/>
              </w:rPr>
              <w:t>Civil Rights, Title VI,</w:t>
            </w:r>
          </w:p>
          <w:p>
            <w:pPr>
              <w:pStyle w:val="TableParagraph"/>
              <w:spacing w:line="273" w:lineRule="exact" w:before="1"/>
              <w:ind w:left="107"/>
              <w:rPr>
                <w:rFonts w:ascii="Calibri"/>
                <w:sz w:val="24"/>
              </w:rPr>
            </w:pPr>
            <w:r>
              <w:rPr>
                <w:rFonts w:ascii="Calibri"/>
                <w:sz w:val="24"/>
              </w:rPr>
              <w:t>DBE, ADA</w:t>
            </w:r>
            <w:r>
              <w:rPr>
                <w:rFonts w:ascii="Calibri"/>
                <w:spacing w:val="-2"/>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4"/>
                <w:sz w:val="24"/>
              </w:rPr>
              <w:t> </w:t>
            </w:r>
            <w:r>
              <w:rPr>
                <w:rFonts w:ascii="Calibri"/>
                <w:sz w:val="24"/>
              </w:rPr>
              <w:t>7,</w:t>
            </w:r>
            <w:r>
              <w:rPr>
                <w:rFonts w:ascii="Calibri"/>
                <w:spacing w:val="2"/>
                <w:sz w:val="24"/>
              </w:rPr>
              <w:t> </w:t>
            </w:r>
            <w:r>
              <w:rPr>
                <w:rFonts w:ascii="Calibri"/>
                <w:spacing w:val="-4"/>
                <w:sz w:val="24"/>
              </w:rPr>
              <w:t>2022</w:t>
            </w:r>
          </w:p>
        </w:tc>
      </w:tr>
      <w:tr>
        <w:trPr>
          <w:trHeight w:val="877" w:hRule="atLeast"/>
        </w:trPr>
        <w:tc>
          <w:tcPr>
            <w:tcW w:w="5666" w:type="dxa"/>
          </w:tcPr>
          <w:p>
            <w:pPr>
              <w:pStyle w:val="TableParagraph"/>
              <w:spacing w:line="240" w:lineRule="auto"/>
              <w:ind w:left="107"/>
              <w:rPr>
                <w:rFonts w:ascii="Calibri"/>
                <w:sz w:val="24"/>
              </w:rPr>
            </w:pPr>
            <w:r>
              <w:rPr>
                <w:rFonts w:ascii="Calibri"/>
                <w:sz w:val="24"/>
              </w:rPr>
              <w:t>Documentation</w:t>
            </w:r>
            <w:r>
              <w:rPr>
                <w:rFonts w:ascii="Calibri"/>
                <w:spacing w:val="-6"/>
                <w:sz w:val="24"/>
              </w:rPr>
              <w:t> </w:t>
            </w:r>
            <w:r>
              <w:rPr>
                <w:rFonts w:ascii="Calibri"/>
                <w:sz w:val="24"/>
              </w:rPr>
              <w:t>Training</w:t>
            </w:r>
            <w:r>
              <w:rPr>
                <w:rFonts w:ascii="Calibri"/>
                <w:spacing w:val="-12"/>
                <w:sz w:val="24"/>
              </w:rPr>
              <w:t> </w:t>
            </w:r>
            <w:r>
              <w:rPr>
                <w:rFonts w:ascii="Calibri"/>
                <w:sz w:val="24"/>
              </w:rPr>
              <w:t>(Including</w:t>
            </w:r>
            <w:r>
              <w:rPr>
                <w:rFonts w:ascii="Calibri"/>
                <w:spacing w:val="-9"/>
                <w:sz w:val="24"/>
              </w:rPr>
              <w:t> </w:t>
            </w:r>
            <w:r>
              <w:rPr>
                <w:rFonts w:ascii="Calibri"/>
                <w:sz w:val="24"/>
              </w:rPr>
              <w:t>overview</w:t>
            </w:r>
            <w:r>
              <w:rPr>
                <w:rFonts w:ascii="Calibri"/>
                <w:spacing w:val="-6"/>
                <w:sz w:val="24"/>
              </w:rPr>
              <w:t> </w:t>
            </w:r>
            <w:r>
              <w:rPr>
                <w:rFonts w:ascii="Calibri"/>
                <w:sz w:val="24"/>
              </w:rPr>
              <w:t>of</w:t>
            </w:r>
            <w:r>
              <w:rPr>
                <w:rFonts w:ascii="Calibri"/>
                <w:spacing w:val="-6"/>
                <w:sz w:val="24"/>
              </w:rPr>
              <w:t> </w:t>
            </w:r>
            <w:r>
              <w:rPr>
                <w:rFonts w:ascii="Calibri"/>
                <w:sz w:val="24"/>
              </w:rPr>
              <w:t>Civil Rights, Title VI,</w:t>
            </w:r>
          </w:p>
          <w:p>
            <w:pPr>
              <w:pStyle w:val="TableParagraph"/>
              <w:spacing w:line="273" w:lineRule="exact"/>
              <w:ind w:left="107"/>
              <w:rPr>
                <w:rFonts w:ascii="Calibri"/>
                <w:sz w:val="24"/>
              </w:rPr>
            </w:pPr>
            <w:r>
              <w:rPr>
                <w:rFonts w:ascii="Calibri"/>
                <w:sz w:val="24"/>
              </w:rPr>
              <w:t>DBE, ADA</w:t>
            </w:r>
            <w:r>
              <w:rPr>
                <w:rFonts w:ascii="Calibri"/>
                <w:spacing w:val="-2"/>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4"/>
                <w:sz w:val="24"/>
              </w:rPr>
              <w:t> </w:t>
            </w:r>
            <w:r>
              <w:rPr>
                <w:rFonts w:ascii="Calibri"/>
                <w:sz w:val="24"/>
              </w:rPr>
              <w:t>8,</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Documentation</w:t>
            </w:r>
            <w:r>
              <w:rPr>
                <w:rFonts w:ascii="Calibri"/>
                <w:spacing w:val="-2"/>
                <w:sz w:val="24"/>
              </w:rPr>
              <w:t> </w:t>
            </w:r>
            <w:r>
              <w:rPr>
                <w:rFonts w:ascii="Calibri"/>
                <w:sz w:val="24"/>
              </w:rPr>
              <w:t>Training</w:t>
            </w:r>
            <w:r>
              <w:rPr>
                <w:rFonts w:ascii="Calibri"/>
                <w:spacing w:val="-7"/>
                <w:sz w:val="24"/>
              </w:rPr>
              <w:t> </w:t>
            </w:r>
            <w:r>
              <w:rPr>
                <w:rFonts w:ascii="Calibri"/>
                <w:sz w:val="24"/>
              </w:rPr>
              <w:t>(Including</w:t>
            </w:r>
            <w:r>
              <w:rPr>
                <w:rFonts w:ascii="Calibri"/>
                <w:spacing w:val="-4"/>
                <w:sz w:val="24"/>
              </w:rPr>
              <w:t> </w:t>
            </w:r>
            <w:r>
              <w:rPr>
                <w:rFonts w:ascii="Calibri"/>
                <w:sz w:val="24"/>
              </w:rPr>
              <w:t>overview of</w:t>
            </w:r>
            <w:r>
              <w:rPr>
                <w:rFonts w:ascii="Calibri"/>
                <w:spacing w:val="1"/>
                <w:sz w:val="24"/>
              </w:rPr>
              <w:t> </w:t>
            </w:r>
            <w:r>
              <w:rPr>
                <w:rFonts w:ascii="Calibri"/>
                <w:spacing w:val="-4"/>
                <w:sz w:val="24"/>
              </w:rPr>
              <w:t>Civil</w:t>
            </w:r>
          </w:p>
          <w:p>
            <w:pPr>
              <w:pStyle w:val="TableParagraph"/>
              <w:spacing w:line="273" w:lineRule="exact"/>
              <w:ind w:left="107"/>
              <w:rPr>
                <w:rFonts w:ascii="Calibri"/>
                <w:sz w:val="24"/>
              </w:rPr>
            </w:pPr>
            <w:r>
              <w:rPr>
                <w:rFonts w:ascii="Calibri"/>
                <w:sz w:val="24"/>
              </w:rPr>
              <w:t>Rights, Title</w:t>
            </w:r>
            <w:r>
              <w:rPr>
                <w:rFonts w:ascii="Calibri"/>
                <w:spacing w:val="-1"/>
                <w:sz w:val="24"/>
              </w:rPr>
              <w:t> </w:t>
            </w:r>
            <w:r>
              <w:rPr>
                <w:rFonts w:ascii="Calibri"/>
                <w:sz w:val="24"/>
              </w:rPr>
              <w:t>VI, DBE,</w:t>
            </w:r>
            <w:r>
              <w:rPr>
                <w:rFonts w:ascii="Calibri"/>
                <w:spacing w:val="-2"/>
                <w:sz w:val="24"/>
              </w:rPr>
              <w:t> </w:t>
            </w:r>
            <w:r>
              <w:rPr>
                <w:rFonts w:ascii="Calibri"/>
                <w:sz w:val="24"/>
              </w:rPr>
              <w:t>ADA</w:t>
            </w:r>
            <w:r>
              <w:rPr>
                <w:rFonts w:ascii="Calibri"/>
                <w:spacing w:val="-3"/>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2"/>
                <w:sz w:val="24"/>
              </w:rPr>
              <w:t> </w:t>
            </w:r>
            <w:r>
              <w:rPr>
                <w:rFonts w:ascii="Calibri"/>
                <w:sz w:val="24"/>
              </w:rPr>
              <w:t>11,</w:t>
            </w:r>
            <w:r>
              <w:rPr>
                <w:rFonts w:ascii="Calibri"/>
                <w:spacing w:val="-1"/>
                <w:sz w:val="24"/>
              </w:rPr>
              <w:t> </w:t>
            </w:r>
            <w:r>
              <w:rPr>
                <w:rFonts w:ascii="Calibri"/>
                <w:spacing w:val="-4"/>
                <w:sz w:val="24"/>
              </w:rPr>
              <w:t>2022</w:t>
            </w:r>
          </w:p>
        </w:tc>
      </w:tr>
      <w:tr>
        <w:trPr>
          <w:trHeight w:val="587" w:hRule="atLeast"/>
        </w:trPr>
        <w:tc>
          <w:tcPr>
            <w:tcW w:w="5666" w:type="dxa"/>
          </w:tcPr>
          <w:p>
            <w:pPr>
              <w:pStyle w:val="TableParagraph"/>
              <w:spacing w:line="292" w:lineRule="exact"/>
              <w:ind w:left="107"/>
              <w:rPr>
                <w:rFonts w:ascii="Calibri"/>
                <w:sz w:val="24"/>
              </w:rPr>
            </w:pPr>
            <w:r>
              <w:rPr>
                <w:rFonts w:ascii="Calibri"/>
                <w:sz w:val="24"/>
              </w:rPr>
              <w:t>Documentation</w:t>
            </w:r>
            <w:r>
              <w:rPr>
                <w:rFonts w:ascii="Calibri"/>
                <w:spacing w:val="-2"/>
                <w:sz w:val="24"/>
              </w:rPr>
              <w:t> </w:t>
            </w:r>
            <w:r>
              <w:rPr>
                <w:rFonts w:ascii="Calibri"/>
                <w:sz w:val="24"/>
              </w:rPr>
              <w:t>Training</w:t>
            </w:r>
            <w:r>
              <w:rPr>
                <w:rFonts w:ascii="Calibri"/>
                <w:spacing w:val="-7"/>
                <w:sz w:val="24"/>
              </w:rPr>
              <w:t> </w:t>
            </w:r>
            <w:r>
              <w:rPr>
                <w:rFonts w:ascii="Calibri"/>
                <w:sz w:val="24"/>
              </w:rPr>
              <w:t>(Including</w:t>
            </w:r>
            <w:r>
              <w:rPr>
                <w:rFonts w:ascii="Calibri"/>
                <w:spacing w:val="-4"/>
                <w:sz w:val="24"/>
              </w:rPr>
              <w:t> </w:t>
            </w:r>
            <w:r>
              <w:rPr>
                <w:rFonts w:ascii="Calibri"/>
                <w:sz w:val="24"/>
              </w:rPr>
              <w:t>overview of</w:t>
            </w:r>
            <w:r>
              <w:rPr>
                <w:rFonts w:ascii="Calibri"/>
                <w:spacing w:val="1"/>
                <w:sz w:val="24"/>
              </w:rPr>
              <w:t> </w:t>
            </w:r>
            <w:r>
              <w:rPr>
                <w:rFonts w:ascii="Calibri"/>
                <w:spacing w:val="-4"/>
                <w:sz w:val="24"/>
              </w:rPr>
              <w:t>Civil</w:t>
            </w:r>
          </w:p>
          <w:p>
            <w:pPr>
              <w:pStyle w:val="TableParagraph"/>
              <w:spacing w:line="275" w:lineRule="exact"/>
              <w:ind w:left="107"/>
              <w:rPr>
                <w:rFonts w:ascii="Calibri"/>
                <w:sz w:val="24"/>
              </w:rPr>
            </w:pPr>
            <w:r>
              <w:rPr>
                <w:rFonts w:ascii="Calibri"/>
                <w:sz w:val="24"/>
              </w:rPr>
              <w:t>Rights, Title</w:t>
            </w:r>
            <w:r>
              <w:rPr>
                <w:rFonts w:ascii="Calibri"/>
                <w:spacing w:val="-1"/>
                <w:sz w:val="24"/>
              </w:rPr>
              <w:t> </w:t>
            </w:r>
            <w:r>
              <w:rPr>
                <w:rFonts w:ascii="Calibri"/>
                <w:sz w:val="24"/>
              </w:rPr>
              <w:t>VI, DBE,</w:t>
            </w:r>
            <w:r>
              <w:rPr>
                <w:rFonts w:ascii="Calibri"/>
                <w:spacing w:val="-2"/>
                <w:sz w:val="24"/>
              </w:rPr>
              <w:t> </w:t>
            </w:r>
            <w:r>
              <w:rPr>
                <w:rFonts w:ascii="Calibri"/>
                <w:sz w:val="24"/>
              </w:rPr>
              <w:t>ADA</w:t>
            </w:r>
            <w:r>
              <w:rPr>
                <w:rFonts w:ascii="Calibri"/>
                <w:spacing w:val="-3"/>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2"/>
                <w:sz w:val="24"/>
              </w:rPr>
              <w:t> </w:t>
            </w:r>
            <w:r>
              <w:rPr>
                <w:rFonts w:ascii="Calibri"/>
                <w:sz w:val="24"/>
              </w:rPr>
              <w:t>26,</w:t>
            </w:r>
            <w:r>
              <w:rPr>
                <w:rFonts w:ascii="Calibri"/>
                <w:spacing w:val="-1"/>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Documentation</w:t>
            </w:r>
            <w:r>
              <w:rPr>
                <w:rFonts w:ascii="Calibri"/>
                <w:spacing w:val="-2"/>
                <w:sz w:val="24"/>
              </w:rPr>
              <w:t> </w:t>
            </w:r>
            <w:r>
              <w:rPr>
                <w:rFonts w:ascii="Calibri"/>
                <w:sz w:val="24"/>
              </w:rPr>
              <w:t>Training</w:t>
            </w:r>
            <w:r>
              <w:rPr>
                <w:rFonts w:ascii="Calibri"/>
                <w:spacing w:val="-7"/>
                <w:sz w:val="24"/>
              </w:rPr>
              <w:t> </w:t>
            </w:r>
            <w:r>
              <w:rPr>
                <w:rFonts w:ascii="Calibri"/>
                <w:sz w:val="24"/>
              </w:rPr>
              <w:t>(Including</w:t>
            </w:r>
            <w:r>
              <w:rPr>
                <w:rFonts w:ascii="Calibri"/>
                <w:spacing w:val="-4"/>
                <w:sz w:val="24"/>
              </w:rPr>
              <w:t> </w:t>
            </w:r>
            <w:r>
              <w:rPr>
                <w:rFonts w:ascii="Calibri"/>
                <w:sz w:val="24"/>
              </w:rPr>
              <w:t>overview of</w:t>
            </w:r>
            <w:r>
              <w:rPr>
                <w:rFonts w:ascii="Calibri"/>
                <w:spacing w:val="1"/>
                <w:sz w:val="24"/>
              </w:rPr>
              <w:t> </w:t>
            </w:r>
            <w:r>
              <w:rPr>
                <w:rFonts w:ascii="Calibri"/>
                <w:spacing w:val="-4"/>
                <w:sz w:val="24"/>
              </w:rPr>
              <w:t>Civil</w:t>
            </w:r>
          </w:p>
          <w:p>
            <w:pPr>
              <w:pStyle w:val="TableParagraph"/>
              <w:spacing w:line="273" w:lineRule="exact"/>
              <w:ind w:left="107"/>
              <w:rPr>
                <w:rFonts w:ascii="Calibri"/>
                <w:sz w:val="24"/>
              </w:rPr>
            </w:pPr>
            <w:r>
              <w:rPr>
                <w:rFonts w:ascii="Calibri"/>
                <w:sz w:val="24"/>
              </w:rPr>
              <w:t>Rights, Title</w:t>
            </w:r>
            <w:r>
              <w:rPr>
                <w:rFonts w:ascii="Calibri"/>
                <w:spacing w:val="-1"/>
                <w:sz w:val="24"/>
              </w:rPr>
              <w:t> </w:t>
            </w:r>
            <w:r>
              <w:rPr>
                <w:rFonts w:ascii="Calibri"/>
                <w:sz w:val="24"/>
              </w:rPr>
              <w:t>VI, DBE,</w:t>
            </w:r>
            <w:r>
              <w:rPr>
                <w:rFonts w:ascii="Calibri"/>
                <w:spacing w:val="-2"/>
                <w:sz w:val="24"/>
              </w:rPr>
              <w:t> </w:t>
            </w:r>
            <w:r>
              <w:rPr>
                <w:rFonts w:ascii="Calibri"/>
                <w:sz w:val="24"/>
              </w:rPr>
              <w:t>ADA</w:t>
            </w:r>
            <w:r>
              <w:rPr>
                <w:rFonts w:ascii="Calibri"/>
                <w:spacing w:val="-3"/>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April</w:t>
            </w:r>
            <w:r>
              <w:rPr>
                <w:rFonts w:ascii="Calibri"/>
                <w:spacing w:val="-3"/>
                <w:sz w:val="24"/>
              </w:rPr>
              <w:t> </w:t>
            </w:r>
            <w:r>
              <w:rPr>
                <w:rFonts w:ascii="Calibri"/>
                <w:sz w:val="24"/>
              </w:rPr>
              <w:t>27,</w:t>
            </w:r>
            <w:r>
              <w:rPr>
                <w:rFonts w:ascii="Calibri"/>
                <w:spacing w:val="-1"/>
                <w:sz w:val="24"/>
              </w:rPr>
              <w:t> </w:t>
            </w:r>
            <w:r>
              <w:rPr>
                <w:rFonts w:ascii="Calibri"/>
                <w:spacing w:val="-4"/>
                <w:sz w:val="24"/>
              </w:rPr>
              <w:t>2022</w:t>
            </w:r>
          </w:p>
        </w:tc>
      </w:tr>
      <w:tr>
        <w:trPr>
          <w:trHeight w:val="877" w:hRule="atLeast"/>
        </w:trPr>
        <w:tc>
          <w:tcPr>
            <w:tcW w:w="5666" w:type="dxa"/>
          </w:tcPr>
          <w:p>
            <w:pPr>
              <w:pStyle w:val="TableParagraph"/>
              <w:spacing w:line="240" w:lineRule="auto"/>
              <w:ind w:left="107"/>
              <w:rPr>
                <w:rFonts w:ascii="Calibri"/>
                <w:sz w:val="24"/>
              </w:rPr>
            </w:pPr>
            <w:r>
              <w:rPr>
                <w:rFonts w:ascii="Calibri"/>
                <w:sz w:val="24"/>
              </w:rPr>
              <w:t>Locally</w:t>
            </w:r>
            <w:r>
              <w:rPr>
                <w:rFonts w:ascii="Calibri"/>
                <w:spacing w:val="-9"/>
                <w:sz w:val="24"/>
              </w:rPr>
              <w:t> </w:t>
            </w:r>
            <w:r>
              <w:rPr>
                <w:rFonts w:ascii="Calibri"/>
                <w:sz w:val="24"/>
              </w:rPr>
              <w:t>Administered</w:t>
            </w:r>
            <w:r>
              <w:rPr>
                <w:rFonts w:ascii="Calibri"/>
                <w:spacing w:val="-9"/>
                <w:sz w:val="24"/>
              </w:rPr>
              <w:t> </w:t>
            </w:r>
            <w:r>
              <w:rPr>
                <w:rFonts w:ascii="Calibri"/>
                <w:sz w:val="24"/>
              </w:rPr>
              <w:t>Projects</w:t>
            </w:r>
            <w:r>
              <w:rPr>
                <w:rFonts w:ascii="Calibri"/>
                <w:spacing w:val="-9"/>
                <w:sz w:val="24"/>
              </w:rPr>
              <w:t> </w:t>
            </w:r>
            <w:r>
              <w:rPr>
                <w:rFonts w:ascii="Calibri"/>
                <w:sz w:val="24"/>
              </w:rPr>
              <w:t>Training</w:t>
            </w:r>
            <w:r>
              <w:rPr>
                <w:rFonts w:ascii="Calibri"/>
                <w:spacing w:val="-10"/>
                <w:sz w:val="24"/>
              </w:rPr>
              <w:t> </w:t>
            </w:r>
            <w:r>
              <w:rPr>
                <w:rFonts w:ascii="Calibri"/>
                <w:sz w:val="24"/>
              </w:rPr>
              <w:t>(Including overview of Civil</w:t>
            </w:r>
          </w:p>
          <w:p>
            <w:pPr>
              <w:pStyle w:val="TableParagraph"/>
              <w:spacing w:line="273" w:lineRule="exact"/>
              <w:ind w:left="107"/>
              <w:rPr>
                <w:rFonts w:ascii="Calibri"/>
                <w:sz w:val="24"/>
              </w:rPr>
            </w:pPr>
            <w:r>
              <w:rPr>
                <w:rFonts w:ascii="Calibri"/>
                <w:sz w:val="24"/>
              </w:rPr>
              <w:t>Rights, Title</w:t>
            </w:r>
            <w:r>
              <w:rPr>
                <w:rFonts w:ascii="Calibri"/>
                <w:spacing w:val="-1"/>
                <w:sz w:val="24"/>
              </w:rPr>
              <w:t> </w:t>
            </w:r>
            <w:r>
              <w:rPr>
                <w:rFonts w:ascii="Calibri"/>
                <w:sz w:val="24"/>
              </w:rPr>
              <w:t>VI, DBE,</w:t>
            </w:r>
            <w:r>
              <w:rPr>
                <w:rFonts w:ascii="Calibri"/>
                <w:spacing w:val="-2"/>
                <w:sz w:val="24"/>
              </w:rPr>
              <w:t> </w:t>
            </w:r>
            <w:r>
              <w:rPr>
                <w:rFonts w:ascii="Calibri"/>
                <w:sz w:val="24"/>
              </w:rPr>
              <w:t>ADA</w:t>
            </w:r>
            <w:r>
              <w:rPr>
                <w:rFonts w:ascii="Calibri"/>
                <w:spacing w:val="-3"/>
                <w:sz w:val="24"/>
              </w:rPr>
              <w:t> </w:t>
            </w:r>
            <w:r>
              <w:rPr>
                <w:rFonts w:ascii="Calibri"/>
                <w:sz w:val="24"/>
              </w:rPr>
              <w:t>and</w:t>
            </w:r>
            <w:r>
              <w:rPr>
                <w:rFonts w:ascii="Calibri"/>
                <w:spacing w:val="-1"/>
                <w:sz w:val="24"/>
              </w:rPr>
              <w:t> </w:t>
            </w:r>
            <w:r>
              <w:rPr>
                <w:rFonts w:ascii="Calibri"/>
                <w:sz w:val="24"/>
              </w:rPr>
              <w:t>OJT</w:t>
            </w:r>
            <w:r>
              <w:rPr>
                <w:rFonts w:ascii="Calibri"/>
                <w:spacing w:val="-1"/>
                <w:sz w:val="24"/>
              </w:rPr>
              <w:t> </w:t>
            </w:r>
            <w:r>
              <w:rPr>
                <w:rFonts w:ascii="Calibri"/>
                <w:spacing w:val="-2"/>
                <w:sz w:val="24"/>
              </w:rPr>
              <w:t>training)</w:t>
            </w:r>
          </w:p>
        </w:tc>
        <w:tc>
          <w:tcPr>
            <w:tcW w:w="3324" w:type="dxa"/>
          </w:tcPr>
          <w:p>
            <w:pPr>
              <w:pStyle w:val="TableParagraph"/>
              <w:spacing w:line="292" w:lineRule="exact"/>
              <w:ind w:left="105"/>
              <w:rPr>
                <w:rFonts w:ascii="Calibri"/>
                <w:sz w:val="24"/>
              </w:rPr>
            </w:pPr>
            <w:r>
              <w:rPr>
                <w:rFonts w:ascii="Calibri"/>
                <w:sz w:val="24"/>
              </w:rPr>
              <w:t>May</w:t>
            </w:r>
            <w:r>
              <w:rPr>
                <w:rFonts w:ascii="Calibri"/>
                <w:spacing w:val="-2"/>
                <w:sz w:val="24"/>
              </w:rPr>
              <w:t> </w:t>
            </w:r>
            <w:r>
              <w:rPr>
                <w:rFonts w:ascii="Calibri"/>
                <w:sz w:val="24"/>
              </w:rPr>
              <w:t>4,</w:t>
            </w:r>
            <w:r>
              <w:rPr>
                <w:rFonts w:ascii="Calibri"/>
                <w:spacing w:val="-1"/>
                <w:sz w:val="24"/>
              </w:rPr>
              <w:t> </w:t>
            </w:r>
            <w:r>
              <w:rPr>
                <w:rFonts w:ascii="Calibri"/>
                <w:spacing w:val="-4"/>
                <w:sz w:val="24"/>
              </w:rPr>
              <w:t>2022</w:t>
            </w:r>
          </w:p>
        </w:tc>
      </w:tr>
    </w:tbl>
    <w:p>
      <w:pPr>
        <w:pStyle w:val="BodyText"/>
        <w:spacing w:before="5"/>
        <w:rPr>
          <w:b/>
          <w:sz w:val="21"/>
        </w:rPr>
      </w:pPr>
    </w:p>
    <w:p>
      <w:pPr>
        <w:spacing w:before="52"/>
        <w:ind w:left="1166" w:right="0" w:firstLine="0"/>
        <w:jc w:val="left"/>
        <w:rPr>
          <w:b/>
          <w:sz w:val="24"/>
        </w:rPr>
      </w:pPr>
      <w:r>
        <w:rPr>
          <w:b/>
          <w:sz w:val="24"/>
          <w:u w:val="single"/>
        </w:rPr>
        <w:t>Training</w:t>
      </w:r>
      <w:r>
        <w:rPr>
          <w:b/>
          <w:spacing w:val="-5"/>
          <w:sz w:val="24"/>
          <w:u w:val="single"/>
        </w:rPr>
        <w:t> </w:t>
      </w:r>
      <w:r>
        <w:rPr>
          <w:b/>
          <w:sz w:val="24"/>
          <w:u w:val="single"/>
        </w:rPr>
        <w:t>Attended</w:t>
      </w:r>
      <w:r>
        <w:rPr>
          <w:b/>
          <w:spacing w:val="-2"/>
          <w:sz w:val="24"/>
          <w:u w:val="single"/>
        </w:rPr>
        <w:t> </w:t>
      </w:r>
      <w:r>
        <w:rPr>
          <w:b/>
          <w:sz w:val="24"/>
          <w:u w:val="single"/>
        </w:rPr>
        <w:t>by</w:t>
      </w:r>
      <w:r>
        <w:rPr>
          <w:b/>
          <w:spacing w:val="-2"/>
          <w:sz w:val="24"/>
          <w:u w:val="single"/>
        </w:rPr>
        <w:t> </w:t>
      </w:r>
      <w:r>
        <w:rPr>
          <w:b/>
          <w:sz w:val="24"/>
          <w:u w:val="single"/>
        </w:rPr>
        <w:t>the</w:t>
      </w:r>
      <w:r>
        <w:rPr>
          <w:b/>
          <w:spacing w:val="-1"/>
          <w:sz w:val="24"/>
          <w:u w:val="single"/>
        </w:rPr>
        <w:t> </w:t>
      </w:r>
      <w:r>
        <w:rPr>
          <w:b/>
          <w:sz w:val="24"/>
          <w:u w:val="single"/>
        </w:rPr>
        <w:t>Office</w:t>
      </w:r>
      <w:r>
        <w:rPr>
          <w:b/>
          <w:spacing w:val="-2"/>
          <w:sz w:val="24"/>
          <w:u w:val="single"/>
        </w:rPr>
        <w:t> </w:t>
      </w:r>
      <w:r>
        <w:rPr>
          <w:b/>
          <w:sz w:val="24"/>
          <w:u w:val="single"/>
        </w:rPr>
        <w:t>of</w:t>
      </w:r>
      <w:r>
        <w:rPr>
          <w:b/>
          <w:spacing w:val="-2"/>
          <w:sz w:val="24"/>
          <w:u w:val="single"/>
        </w:rPr>
        <w:t> </w:t>
      </w:r>
      <w:r>
        <w:rPr>
          <w:b/>
          <w:sz w:val="24"/>
          <w:u w:val="single"/>
        </w:rPr>
        <w:t>Civil</w:t>
      </w:r>
      <w:r>
        <w:rPr>
          <w:b/>
          <w:spacing w:val="1"/>
          <w:sz w:val="24"/>
          <w:u w:val="single"/>
        </w:rPr>
        <w:t> </w:t>
      </w:r>
      <w:r>
        <w:rPr>
          <w:b/>
          <w:spacing w:val="-2"/>
          <w:sz w:val="24"/>
          <w:u w:val="single"/>
        </w:rPr>
        <w:t>Rights</w:t>
      </w:r>
    </w:p>
    <w:p>
      <w:pPr>
        <w:pStyle w:val="BodyText"/>
        <w:spacing w:before="2"/>
        <w:rPr>
          <w:b/>
        </w:r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8"/>
      </w:tblGrid>
      <w:tr>
        <w:trPr>
          <w:trHeight w:val="292" w:hRule="atLeast"/>
        </w:trPr>
        <w:tc>
          <w:tcPr>
            <w:tcW w:w="5666" w:type="dxa"/>
            <w:shd w:val="clear" w:color="auto" w:fill="D9D9D9"/>
          </w:tcPr>
          <w:p>
            <w:pPr>
              <w:pStyle w:val="TableParagraph"/>
              <w:spacing w:line="272" w:lineRule="exact"/>
              <w:ind w:left="1998" w:right="1988"/>
              <w:jc w:val="center"/>
              <w:rPr>
                <w:rFonts w:ascii="Calibri"/>
                <w:b/>
                <w:sz w:val="24"/>
              </w:rPr>
            </w:pPr>
            <w:r>
              <w:rPr>
                <w:rFonts w:ascii="Calibri"/>
                <w:b/>
                <w:sz w:val="24"/>
              </w:rPr>
              <w:t>Training</w:t>
            </w:r>
            <w:r>
              <w:rPr>
                <w:rFonts w:ascii="Calibri"/>
                <w:b/>
                <w:spacing w:val="-2"/>
                <w:sz w:val="24"/>
              </w:rPr>
              <w:t> Topic(s)</w:t>
            </w:r>
          </w:p>
        </w:tc>
        <w:tc>
          <w:tcPr>
            <w:tcW w:w="3328" w:type="dxa"/>
            <w:shd w:val="clear" w:color="auto" w:fill="D9D9D9"/>
          </w:tcPr>
          <w:p>
            <w:pPr>
              <w:pStyle w:val="TableParagraph"/>
              <w:spacing w:line="272" w:lineRule="exact"/>
              <w:ind w:left="1413" w:right="1406"/>
              <w:jc w:val="center"/>
              <w:rPr>
                <w:rFonts w:ascii="Calibri"/>
                <w:b/>
                <w:sz w:val="24"/>
              </w:rPr>
            </w:pPr>
            <w:r>
              <w:rPr>
                <w:rFonts w:ascii="Calibri"/>
                <w:b/>
                <w:spacing w:val="-4"/>
                <w:sz w:val="24"/>
              </w:rPr>
              <w:t>Date</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National</w:t>
            </w:r>
            <w:r>
              <w:rPr>
                <w:rFonts w:ascii="Calibri"/>
                <w:spacing w:val="-4"/>
                <w:sz w:val="24"/>
              </w:rPr>
              <w:t> </w:t>
            </w:r>
            <w:r>
              <w:rPr>
                <w:rFonts w:ascii="Calibri"/>
                <w:sz w:val="24"/>
              </w:rPr>
              <w:t>Disability</w:t>
            </w:r>
            <w:r>
              <w:rPr>
                <w:rFonts w:ascii="Calibri"/>
                <w:spacing w:val="-1"/>
                <w:sz w:val="24"/>
              </w:rPr>
              <w:t> </w:t>
            </w:r>
            <w:r>
              <w:rPr>
                <w:rFonts w:ascii="Calibri"/>
                <w:sz w:val="24"/>
              </w:rPr>
              <w:t>Employment</w:t>
            </w:r>
            <w:r>
              <w:rPr>
                <w:rFonts w:ascii="Calibri"/>
                <w:spacing w:val="-2"/>
                <w:sz w:val="24"/>
              </w:rPr>
              <w:t> Awareness</w:t>
            </w:r>
          </w:p>
        </w:tc>
        <w:tc>
          <w:tcPr>
            <w:tcW w:w="3328" w:type="dxa"/>
          </w:tcPr>
          <w:p>
            <w:pPr>
              <w:pStyle w:val="TableParagraph"/>
              <w:spacing w:line="272" w:lineRule="exact"/>
              <w:ind w:left="105"/>
              <w:rPr>
                <w:rFonts w:ascii="Calibri"/>
                <w:sz w:val="24"/>
              </w:rPr>
            </w:pPr>
            <w:r>
              <w:rPr>
                <w:rFonts w:ascii="Calibri"/>
                <w:sz w:val="24"/>
              </w:rPr>
              <w:t>October</w:t>
            </w:r>
            <w:r>
              <w:rPr>
                <w:rFonts w:ascii="Calibri"/>
                <w:spacing w:val="-4"/>
                <w:sz w:val="24"/>
              </w:rPr>
              <w:t> </w:t>
            </w:r>
            <w:r>
              <w:rPr>
                <w:rFonts w:ascii="Calibri"/>
                <w:sz w:val="24"/>
              </w:rPr>
              <w:t>20,</w:t>
            </w:r>
            <w:r>
              <w:rPr>
                <w:rFonts w:ascii="Calibri"/>
                <w:spacing w:val="-2"/>
                <w:sz w:val="24"/>
              </w:rPr>
              <w:t> </w:t>
            </w:r>
            <w:r>
              <w:rPr>
                <w:rFonts w:ascii="Calibri"/>
                <w:spacing w:val="-4"/>
                <w:sz w:val="24"/>
              </w:rPr>
              <w:t>2021</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Peer</w:t>
            </w:r>
            <w:r>
              <w:rPr>
                <w:rFonts w:ascii="Calibri"/>
                <w:spacing w:val="-3"/>
                <w:sz w:val="24"/>
              </w:rPr>
              <w:t> </w:t>
            </w:r>
            <w:r>
              <w:rPr>
                <w:rFonts w:ascii="Calibri"/>
                <w:sz w:val="24"/>
              </w:rPr>
              <w:t>Exchange</w:t>
            </w:r>
            <w:r>
              <w:rPr>
                <w:rFonts w:ascii="Calibri"/>
                <w:spacing w:val="-2"/>
                <w:sz w:val="24"/>
              </w:rPr>
              <w:t> </w:t>
            </w:r>
            <w:r>
              <w:rPr>
                <w:rFonts w:ascii="Calibri"/>
                <w:sz w:val="24"/>
              </w:rPr>
              <w:t>hosted</w:t>
            </w:r>
            <w:r>
              <w:rPr>
                <w:rFonts w:ascii="Calibri"/>
                <w:spacing w:val="-1"/>
                <w:sz w:val="24"/>
              </w:rPr>
              <w:t> </w:t>
            </w:r>
            <w:r>
              <w:rPr>
                <w:rFonts w:ascii="Calibri"/>
                <w:sz w:val="24"/>
              </w:rPr>
              <w:t>by</w:t>
            </w:r>
            <w:r>
              <w:rPr>
                <w:rFonts w:ascii="Calibri"/>
                <w:spacing w:val="-4"/>
                <w:sz w:val="24"/>
              </w:rPr>
              <w:t> </w:t>
            </w:r>
            <w:r>
              <w:rPr>
                <w:rFonts w:ascii="Calibri"/>
                <w:sz w:val="24"/>
              </w:rPr>
              <w:t>Minnesota</w:t>
            </w:r>
            <w:r>
              <w:rPr>
                <w:rFonts w:ascii="Calibri"/>
                <w:spacing w:val="-2"/>
                <w:sz w:val="24"/>
              </w:rPr>
              <w:t> </w:t>
            </w:r>
            <w:r>
              <w:rPr>
                <w:rFonts w:ascii="Calibri"/>
                <w:spacing w:val="-5"/>
                <w:sz w:val="24"/>
              </w:rPr>
              <w:t>DOT</w:t>
            </w:r>
          </w:p>
        </w:tc>
        <w:tc>
          <w:tcPr>
            <w:tcW w:w="3328" w:type="dxa"/>
          </w:tcPr>
          <w:p>
            <w:pPr>
              <w:pStyle w:val="TableParagraph"/>
              <w:spacing w:line="272" w:lineRule="exact"/>
              <w:ind w:left="105"/>
              <w:rPr>
                <w:rFonts w:ascii="Calibri"/>
                <w:sz w:val="24"/>
              </w:rPr>
            </w:pPr>
            <w:r>
              <w:rPr>
                <w:rFonts w:ascii="Calibri"/>
                <w:sz w:val="24"/>
              </w:rPr>
              <w:t>October</w:t>
            </w:r>
            <w:r>
              <w:rPr>
                <w:rFonts w:ascii="Calibri"/>
                <w:spacing w:val="-4"/>
                <w:sz w:val="24"/>
              </w:rPr>
              <w:t> </w:t>
            </w:r>
            <w:r>
              <w:rPr>
                <w:rFonts w:ascii="Calibri"/>
                <w:sz w:val="24"/>
              </w:rPr>
              <w:t>27</w:t>
            </w:r>
            <w:r>
              <w:rPr>
                <w:rFonts w:ascii="Calibri"/>
                <w:spacing w:val="-1"/>
                <w:sz w:val="24"/>
              </w:rPr>
              <w:t> </w:t>
            </w:r>
            <w:r>
              <w:rPr>
                <w:rFonts w:ascii="Calibri"/>
                <w:sz w:val="24"/>
              </w:rPr>
              <w:t>-</w:t>
            </w:r>
            <w:r>
              <w:rPr>
                <w:rFonts w:ascii="Calibri"/>
                <w:spacing w:val="-1"/>
                <w:sz w:val="24"/>
              </w:rPr>
              <w:t> </w:t>
            </w:r>
            <w:r>
              <w:rPr>
                <w:rFonts w:ascii="Calibri"/>
                <w:sz w:val="24"/>
              </w:rPr>
              <w:t>28,</w:t>
            </w:r>
            <w:r>
              <w:rPr>
                <w:rFonts w:ascii="Calibri"/>
                <w:spacing w:val="-2"/>
                <w:sz w:val="24"/>
              </w:rPr>
              <w:t> </w:t>
            </w:r>
            <w:r>
              <w:rPr>
                <w:rFonts w:ascii="Calibri"/>
                <w:spacing w:val="-4"/>
                <w:sz w:val="24"/>
              </w:rPr>
              <w:t>2021</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CEI: Women</w:t>
            </w:r>
            <w:r>
              <w:rPr>
                <w:rFonts w:ascii="Calibri"/>
                <w:spacing w:val="-1"/>
                <w:sz w:val="24"/>
              </w:rPr>
              <w:t> </w:t>
            </w:r>
            <w:r>
              <w:rPr>
                <w:rFonts w:ascii="Calibri"/>
                <w:sz w:val="24"/>
              </w:rPr>
              <w:t>in</w:t>
            </w:r>
            <w:r>
              <w:rPr>
                <w:rFonts w:ascii="Calibri"/>
                <w:spacing w:val="-2"/>
                <w:sz w:val="24"/>
              </w:rPr>
              <w:t> </w:t>
            </w:r>
            <w:r>
              <w:rPr>
                <w:rFonts w:ascii="Calibri"/>
                <w:sz w:val="24"/>
              </w:rPr>
              <w:t>Small</w:t>
            </w:r>
            <w:r>
              <w:rPr>
                <w:rFonts w:ascii="Calibri"/>
                <w:spacing w:val="1"/>
                <w:sz w:val="24"/>
              </w:rPr>
              <w:t> </w:t>
            </w:r>
            <w:r>
              <w:rPr>
                <w:rFonts w:ascii="Calibri"/>
                <w:spacing w:val="-2"/>
                <w:sz w:val="24"/>
              </w:rPr>
              <w:t>Business</w:t>
            </w:r>
          </w:p>
        </w:tc>
        <w:tc>
          <w:tcPr>
            <w:tcW w:w="3328" w:type="dxa"/>
          </w:tcPr>
          <w:p>
            <w:pPr>
              <w:pStyle w:val="TableParagraph"/>
              <w:spacing w:line="273" w:lineRule="exact" w:before="1"/>
              <w:ind w:left="105"/>
              <w:rPr>
                <w:rFonts w:ascii="Calibri"/>
                <w:sz w:val="24"/>
              </w:rPr>
            </w:pPr>
            <w:r>
              <w:rPr>
                <w:rFonts w:ascii="Calibri"/>
                <w:sz w:val="24"/>
              </w:rPr>
              <w:t>November</w:t>
            </w:r>
            <w:r>
              <w:rPr>
                <w:rFonts w:ascii="Calibri"/>
                <w:spacing w:val="-3"/>
                <w:sz w:val="24"/>
              </w:rPr>
              <w:t> </w:t>
            </w:r>
            <w:r>
              <w:rPr>
                <w:rFonts w:ascii="Calibri"/>
                <w:sz w:val="24"/>
              </w:rPr>
              <w:t>4,</w:t>
            </w:r>
            <w:r>
              <w:rPr>
                <w:rFonts w:ascii="Calibri"/>
                <w:spacing w:val="-2"/>
                <w:sz w:val="24"/>
              </w:rPr>
              <w:t> </w:t>
            </w:r>
            <w:r>
              <w:rPr>
                <w:rFonts w:ascii="Calibri"/>
                <w:spacing w:val="-4"/>
                <w:sz w:val="24"/>
              </w:rPr>
              <w:t>2021</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U.S.</w:t>
            </w:r>
            <w:r>
              <w:rPr>
                <w:rFonts w:ascii="Calibri"/>
                <w:spacing w:val="35"/>
                <w:sz w:val="24"/>
              </w:rPr>
              <w:t> </w:t>
            </w:r>
            <w:r>
              <w:rPr>
                <w:rFonts w:ascii="Calibri"/>
                <w:sz w:val="24"/>
              </w:rPr>
              <w:t>Department</w:t>
            </w:r>
            <w:r>
              <w:rPr>
                <w:rFonts w:ascii="Calibri"/>
                <w:spacing w:val="37"/>
                <w:sz w:val="24"/>
              </w:rPr>
              <w:t> </w:t>
            </w:r>
            <w:r>
              <w:rPr>
                <w:rFonts w:ascii="Calibri"/>
                <w:sz w:val="24"/>
              </w:rPr>
              <w:t>of</w:t>
            </w:r>
            <w:r>
              <w:rPr>
                <w:rFonts w:ascii="Calibri"/>
                <w:spacing w:val="38"/>
                <w:sz w:val="24"/>
              </w:rPr>
              <w:t> </w:t>
            </w:r>
            <w:r>
              <w:rPr>
                <w:rFonts w:ascii="Calibri"/>
                <w:sz w:val="24"/>
              </w:rPr>
              <w:t>Transportation</w:t>
            </w:r>
            <w:r>
              <w:rPr>
                <w:rFonts w:ascii="Calibri"/>
                <w:spacing w:val="34"/>
                <w:sz w:val="24"/>
              </w:rPr>
              <w:t> </w:t>
            </w:r>
            <w:r>
              <w:rPr>
                <w:rFonts w:ascii="Calibri"/>
                <w:sz w:val="24"/>
              </w:rPr>
              <w:t>Public</w:t>
            </w:r>
            <w:r>
              <w:rPr>
                <w:rFonts w:ascii="Calibri"/>
                <w:spacing w:val="36"/>
                <w:sz w:val="24"/>
              </w:rPr>
              <w:t> </w:t>
            </w:r>
            <w:r>
              <w:rPr>
                <w:rFonts w:ascii="Calibri"/>
                <w:sz w:val="24"/>
              </w:rPr>
              <w:t>Meeting</w:t>
            </w:r>
            <w:r>
              <w:rPr>
                <w:rFonts w:ascii="Calibri"/>
                <w:spacing w:val="36"/>
                <w:sz w:val="24"/>
              </w:rPr>
              <w:t> </w:t>
            </w:r>
            <w:r>
              <w:rPr>
                <w:rFonts w:ascii="Calibri"/>
                <w:spacing w:val="-7"/>
                <w:sz w:val="24"/>
              </w:rPr>
              <w:t>on</w:t>
            </w:r>
          </w:p>
          <w:p>
            <w:pPr>
              <w:pStyle w:val="TableParagraph"/>
              <w:spacing w:line="273" w:lineRule="exact"/>
              <w:ind w:left="107"/>
              <w:rPr>
                <w:rFonts w:ascii="Calibri" w:hAnsi="Calibri"/>
                <w:sz w:val="24"/>
              </w:rPr>
            </w:pPr>
            <w:r>
              <w:rPr>
                <w:rFonts w:ascii="Calibri" w:hAnsi="Calibri"/>
                <w:sz w:val="24"/>
              </w:rPr>
              <w:t>Justice40</w:t>
            </w:r>
            <w:r>
              <w:rPr>
                <w:rFonts w:ascii="Calibri" w:hAnsi="Calibri"/>
                <w:spacing w:val="-3"/>
                <w:sz w:val="24"/>
              </w:rPr>
              <w:t> </w:t>
            </w:r>
            <w:r>
              <w:rPr>
                <w:rFonts w:ascii="Calibri" w:hAnsi="Calibri"/>
                <w:sz w:val="24"/>
              </w:rPr>
              <w:t>–Session</w:t>
            </w:r>
            <w:r>
              <w:rPr>
                <w:rFonts w:ascii="Calibri" w:hAnsi="Calibri"/>
                <w:spacing w:val="-4"/>
                <w:sz w:val="24"/>
              </w:rPr>
              <w:t> </w:t>
            </w:r>
            <w:r>
              <w:rPr>
                <w:rFonts w:ascii="Calibri" w:hAnsi="Calibri"/>
                <w:spacing w:val="-10"/>
                <w:sz w:val="24"/>
              </w:rPr>
              <w:t>1</w:t>
            </w:r>
          </w:p>
        </w:tc>
        <w:tc>
          <w:tcPr>
            <w:tcW w:w="3328" w:type="dxa"/>
          </w:tcPr>
          <w:p>
            <w:pPr>
              <w:pStyle w:val="TableParagraph"/>
              <w:spacing w:line="292" w:lineRule="exact"/>
              <w:ind w:left="105"/>
              <w:rPr>
                <w:rFonts w:ascii="Calibri"/>
                <w:sz w:val="24"/>
              </w:rPr>
            </w:pPr>
            <w:r>
              <w:rPr>
                <w:rFonts w:ascii="Calibri"/>
                <w:sz w:val="24"/>
              </w:rPr>
              <w:t>November</w:t>
            </w:r>
            <w:r>
              <w:rPr>
                <w:rFonts w:ascii="Calibri"/>
                <w:spacing w:val="-3"/>
                <w:sz w:val="24"/>
              </w:rPr>
              <w:t> </w:t>
            </w:r>
            <w:r>
              <w:rPr>
                <w:rFonts w:ascii="Calibri"/>
                <w:sz w:val="24"/>
              </w:rPr>
              <w:t>9,</w:t>
            </w:r>
            <w:r>
              <w:rPr>
                <w:rFonts w:ascii="Calibri"/>
                <w:spacing w:val="-2"/>
                <w:sz w:val="24"/>
              </w:rPr>
              <w:t> </w:t>
            </w:r>
            <w:r>
              <w:rPr>
                <w:rFonts w:ascii="Calibri"/>
                <w:spacing w:val="-4"/>
                <w:sz w:val="24"/>
              </w:rPr>
              <w:t>2021</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U.S.</w:t>
            </w:r>
            <w:r>
              <w:rPr>
                <w:rFonts w:ascii="Calibri"/>
                <w:spacing w:val="35"/>
                <w:sz w:val="24"/>
              </w:rPr>
              <w:t> </w:t>
            </w:r>
            <w:r>
              <w:rPr>
                <w:rFonts w:ascii="Calibri"/>
                <w:sz w:val="24"/>
              </w:rPr>
              <w:t>Department</w:t>
            </w:r>
            <w:r>
              <w:rPr>
                <w:rFonts w:ascii="Calibri"/>
                <w:spacing w:val="37"/>
                <w:sz w:val="24"/>
              </w:rPr>
              <w:t> </w:t>
            </w:r>
            <w:r>
              <w:rPr>
                <w:rFonts w:ascii="Calibri"/>
                <w:sz w:val="24"/>
              </w:rPr>
              <w:t>of</w:t>
            </w:r>
            <w:r>
              <w:rPr>
                <w:rFonts w:ascii="Calibri"/>
                <w:spacing w:val="38"/>
                <w:sz w:val="24"/>
              </w:rPr>
              <w:t> </w:t>
            </w:r>
            <w:r>
              <w:rPr>
                <w:rFonts w:ascii="Calibri"/>
                <w:sz w:val="24"/>
              </w:rPr>
              <w:t>Transportation</w:t>
            </w:r>
            <w:r>
              <w:rPr>
                <w:rFonts w:ascii="Calibri"/>
                <w:spacing w:val="34"/>
                <w:sz w:val="24"/>
              </w:rPr>
              <w:t> </w:t>
            </w:r>
            <w:r>
              <w:rPr>
                <w:rFonts w:ascii="Calibri"/>
                <w:sz w:val="24"/>
              </w:rPr>
              <w:t>Public</w:t>
            </w:r>
            <w:r>
              <w:rPr>
                <w:rFonts w:ascii="Calibri"/>
                <w:spacing w:val="36"/>
                <w:sz w:val="24"/>
              </w:rPr>
              <w:t> </w:t>
            </w:r>
            <w:r>
              <w:rPr>
                <w:rFonts w:ascii="Calibri"/>
                <w:sz w:val="24"/>
              </w:rPr>
              <w:t>Meeting</w:t>
            </w:r>
            <w:r>
              <w:rPr>
                <w:rFonts w:ascii="Calibri"/>
                <w:spacing w:val="36"/>
                <w:sz w:val="24"/>
              </w:rPr>
              <w:t> </w:t>
            </w:r>
            <w:r>
              <w:rPr>
                <w:rFonts w:ascii="Calibri"/>
                <w:spacing w:val="-7"/>
                <w:sz w:val="24"/>
              </w:rPr>
              <w:t>on</w:t>
            </w:r>
          </w:p>
          <w:p>
            <w:pPr>
              <w:pStyle w:val="TableParagraph"/>
              <w:spacing w:line="273" w:lineRule="exact"/>
              <w:ind w:left="107"/>
              <w:rPr>
                <w:rFonts w:ascii="Calibri" w:hAnsi="Calibri"/>
                <w:sz w:val="24"/>
              </w:rPr>
            </w:pPr>
            <w:r>
              <w:rPr>
                <w:rFonts w:ascii="Calibri" w:hAnsi="Calibri"/>
                <w:sz w:val="24"/>
              </w:rPr>
              <w:t>Justice40</w:t>
            </w:r>
            <w:r>
              <w:rPr>
                <w:rFonts w:ascii="Calibri" w:hAnsi="Calibri"/>
                <w:spacing w:val="-3"/>
                <w:sz w:val="24"/>
              </w:rPr>
              <w:t> </w:t>
            </w:r>
            <w:r>
              <w:rPr>
                <w:rFonts w:ascii="Calibri" w:hAnsi="Calibri"/>
                <w:sz w:val="24"/>
              </w:rPr>
              <w:t>–Session</w:t>
            </w:r>
            <w:r>
              <w:rPr>
                <w:rFonts w:ascii="Calibri" w:hAnsi="Calibri"/>
                <w:spacing w:val="-4"/>
                <w:sz w:val="24"/>
              </w:rPr>
              <w:t> </w:t>
            </w:r>
            <w:r>
              <w:rPr>
                <w:rFonts w:ascii="Calibri" w:hAnsi="Calibri"/>
                <w:spacing w:val="-10"/>
                <w:sz w:val="24"/>
              </w:rPr>
              <w:t>2</w:t>
            </w:r>
          </w:p>
        </w:tc>
        <w:tc>
          <w:tcPr>
            <w:tcW w:w="3328" w:type="dxa"/>
          </w:tcPr>
          <w:p>
            <w:pPr>
              <w:pStyle w:val="TableParagraph"/>
              <w:spacing w:line="292" w:lineRule="exact"/>
              <w:ind w:left="105"/>
              <w:rPr>
                <w:rFonts w:ascii="Calibri"/>
                <w:sz w:val="24"/>
              </w:rPr>
            </w:pPr>
            <w:r>
              <w:rPr>
                <w:rFonts w:ascii="Calibri"/>
                <w:sz w:val="24"/>
              </w:rPr>
              <w:t>November</w:t>
            </w:r>
            <w:r>
              <w:rPr>
                <w:rFonts w:ascii="Calibri"/>
                <w:spacing w:val="-3"/>
                <w:sz w:val="24"/>
              </w:rPr>
              <w:t> </w:t>
            </w:r>
            <w:r>
              <w:rPr>
                <w:rFonts w:ascii="Calibri"/>
                <w:sz w:val="24"/>
              </w:rPr>
              <w:t>16,</w:t>
            </w:r>
            <w:r>
              <w:rPr>
                <w:rFonts w:ascii="Calibri"/>
                <w:spacing w:val="-1"/>
                <w:sz w:val="24"/>
              </w:rPr>
              <w:t> </w:t>
            </w:r>
            <w:r>
              <w:rPr>
                <w:rFonts w:ascii="Calibri"/>
                <w:spacing w:val="-4"/>
                <w:sz w:val="24"/>
              </w:rPr>
              <w:t>2021</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19th</w:t>
            </w:r>
            <w:r>
              <w:rPr>
                <w:rFonts w:ascii="Calibri"/>
                <w:spacing w:val="-4"/>
                <w:sz w:val="24"/>
              </w:rPr>
              <w:t> </w:t>
            </w:r>
            <w:r>
              <w:rPr>
                <w:rFonts w:ascii="Calibri"/>
                <w:sz w:val="24"/>
              </w:rPr>
              <w:t>Annual</w:t>
            </w:r>
            <w:r>
              <w:rPr>
                <w:rFonts w:ascii="Calibri"/>
                <w:spacing w:val="-2"/>
                <w:sz w:val="24"/>
              </w:rPr>
              <w:t> </w:t>
            </w:r>
            <w:r>
              <w:rPr>
                <w:rFonts w:ascii="Calibri"/>
                <w:sz w:val="24"/>
              </w:rPr>
              <w:t>Employment</w:t>
            </w:r>
            <w:r>
              <w:rPr>
                <w:rFonts w:ascii="Calibri"/>
                <w:spacing w:val="-1"/>
                <w:sz w:val="24"/>
              </w:rPr>
              <w:t> </w:t>
            </w:r>
            <w:r>
              <w:rPr>
                <w:rFonts w:ascii="Calibri"/>
                <w:sz w:val="24"/>
              </w:rPr>
              <w:t>Law</w:t>
            </w:r>
            <w:r>
              <w:rPr>
                <w:rFonts w:ascii="Calibri"/>
                <w:spacing w:val="-4"/>
                <w:sz w:val="24"/>
              </w:rPr>
              <w:t> </w:t>
            </w:r>
            <w:r>
              <w:rPr>
                <w:rFonts w:ascii="Calibri"/>
                <w:spacing w:val="-2"/>
                <w:sz w:val="24"/>
              </w:rPr>
              <w:t>Seminar</w:t>
            </w:r>
          </w:p>
        </w:tc>
        <w:tc>
          <w:tcPr>
            <w:tcW w:w="3328" w:type="dxa"/>
          </w:tcPr>
          <w:p>
            <w:pPr>
              <w:pStyle w:val="TableParagraph"/>
              <w:spacing w:line="272" w:lineRule="exact"/>
              <w:ind w:left="105"/>
              <w:rPr>
                <w:rFonts w:ascii="Calibri"/>
                <w:sz w:val="24"/>
              </w:rPr>
            </w:pPr>
            <w:r>
              <w:rPr>
                <w:rFonts w:ascii="Calibri"/>
                <w:sz w:val="24"/>
              </w:rPr>
              <w:t>November</w:t>
            </w:r>
            <w:r>
              <w:rPr>
                <w:rFonts w:ascii="Calibri"/>
                <w:spacing w:val="-3"/>
                <w:sz w:val="24"/>
              </w:rPr>
              <w:t> </w:t>
            </w:r>
            <w:r>
              <w:rPr>
                <w:rFonts w:ascii="Calibri"/>
                <w:sz w:val="24"/>
              </w:rPr>
              <w:t>18,</w:t>
            </w:r>
            <w:r>
              <w:rPr>
                <w:rFonts w:ascii="Calibri"/>
                <w:spacing w:val="-1"/>
                <w:sz w:val="24"/>
              </w:rPr>
              <w:t> </w:t>
            </w:r>
            <w:r>
              <w:rPr>
                <w:rFonts w:ascii="Calibri"/>
                <w:spacing w:val="-4"/>
                <w:sz w:val="24"/>
              </w:rPr>
              <w:t>2021</w:t>
            </w:r>
          </w:p>
        </w:tc>
      </w:tr>
      <w:tr>
        <w:trPr>
          <w:trHeight w:val="294" w:hRule="atLeast"/>
        </w:trPr>
        <w:tc>
          <w:tcPr>
            <w:tcW w:w="5666" w:type="dxa"/>
          </w:tcPr>
          <w:p>
            <w:pPr>
              <w:pStyle w:val="TableParagraph"/>
              <w:spacing w:line="273" w:lineRule="exact" w:before="1"/>
              <w:ind w:left="107"/>
              <w:rPr>
                <w:rFonts w:ascii="Calibri" w:hAnsi="Calibri"/>
                <w:sz w:val="24"/>
              </w:rPr>
            </w:pPr>
            <w:r>
              <w:rPr>
                <w:rFonts w:ascii="Calibri" w:hAnsi="Calibri"/>
                <w:sz w:val="24"/>
              </w:rPr>
              <w:t>Davis</w:t>
            </w:r>
            <w:r>
              <w:rPr>
                <w:rFonts w:ascii="Calibri" w:hAnsi="Calibri"/>
                <w:spacing w:val="-2"/>
                <w:sz w:val="24"/>
              </w:rPr>
              <w:t> </w:t>
            </w:r>
            <w:r>
              <w:rPr>
                <w:rFonts w:ascii="Calibri" w:hAnsi="Calibri"/>
                <w:sz w:val="24"/>
              </w:rPr>
              <w:t>– Bacon</w:t>
            </w:r>
            <w:r>
              <w:rPr>
                <w:rFonts w:ascii="Calibri" w:hAnsi="Calibri"/>
                <w:spacing w:val="-3"/>
                <w:sz w:val="24"/>
              </w:rPr>
              <w:t> </w:t>
            </w:r>
            <w:r>
              <w:rPr>
                <w:rFonts w:ascii="Calibri" w:hAnsi="Calibri"/>
                <w:sz w:val="24"/>
              </w:rPr>
              <w:t>and</w:t>
            </w:r>
            <w:r>
              <w:rPr>
                <w:rFonts w:ascii="Calibri" w:hAnsi="Calibri"/>
                <w:spacing w:val="1"/>
                <w:sz w:val="24"/>
              </w:rPr>
              <w:t> </w:t>
            </w:r>
            <w:r>
              <w:rPr>
                <w:rFonts w:ascii="Calibri" w:hAnsi="Calibri"/>
                <w:sz w:val="24"/>
              </w:rPr>
              <w:t>Related Acts</w:t>
            </w:r>
            <w:r>
              <w:rPr>
                <w:rFonts w:ascii="Calibri" w:hAnsi="Calibri"/>
                <w:spacing w:val="-1"/>
                <w:sz w:val="24"/>
              </w:rPr>
              <w:t> </w:t>
            </w:r>
            <w:r>
              <w:rPr>
                <w:rFonts w:ascii="Calibri" w:hAnsi="Calibri"/>
                <w:spacing w:val="-2"/>
                <w:sz w:val="24"/>
              </w:rPr>
              <w:t>Outreach</w:t>
            </w:r>
          </w:p>
        </w:tc>
        <w:tc>
          <w:tcPr>
            <w:tcW w:w="3328" w:type="dxa"/>
          </w:tcPr>
          <w:p>
            <w:pPr>
              <w:pStyle w:val="TableParagraph"/>
              <w:spacing w:line="273" w:lineRule="exact" w:before="1"/>
              <w:ind w:left="105"/>
              <w:rPr>
                <w:rFonts w:ascii="Calibri"/>
                <w:sz w:val="24"/>
              </w:rPr>
            </w:pPr>
            <w:r>
              <w:rPr>
                <w:rFonts w:ascii="Calibri"/>
                <w:sz w:val="24"/>
              </w:rPr>
              <w:t>November</w:t>
            </w:r>
            <w:r>
              <w:rPr>
                <w:rFonts w:ascii="Calibri"/>
                <w:spacing w:val="-3"/>
                <w:sz w:val="24"/>
              </w:rPr>
              <w:t> </w:t>
            </w:r>
            <w:r>
              <w:rPr>
                <w:rFonts w:ascii="Calibri"/>
                <w:sz w:val="24"/>
              </w:rPr>
              <w:t>30,</w:t>
            </w:r>
            <w:r>
              <w:rPr>
                <w:rFonts w:ascii="Calibri"/>
                <w:spacing w:val="-1"/>
                <w:sz w:val="24"/>
              </w:rPr>
              <w:t> </w:t>
            </w:r>
            <w:r>
              <w:rPr>
                <w:rFonts w:ascii="Calibri"/>
                <w:spacing w:val="-4"/>
                <w:sz w:val="24"/>
              </w:rPr>
              <w:t>2021</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Leadership</w:t>
            </w:r>
            <w:r>
              <w:rPr>
                <w:rFonts w:ascii="Calibri"/>
                <w:spacing w:val="-1"/>
                <w:sz w:val="24"/>
              </w:rPr>
              <w:t> </w:t>
            </w:r>
            <w:r>
              <w:rPr>
                <w:rFonts w:ascii="Calibri"/>
                <w:spacing w:val="-2"/>
                <w:sz w:val="24"/>
              </w:rPr>
              <w:t>Challenge</w:t>
            </w:r>
          </w:p>
        </w:tc>
        <w:tc>
          <w:tcPr>
            <w:tcW w:w="3328" w:type="dxa"/>
          </w:tcPr>
          <w:p>
            <w:pPr>
              <w:pStyle w:val="TableParagraph"/>
              <w:spacing w:line="272" w:lineRule="exact"/>
              <w:ind w:left="105"/>
              <w:rPr>
                <w:rFonts w:ascii="Calibri" w:hAnsi="Calibri"/>
                <w:sz w:val="24"/>
              </w:rPr>
            </w:pPr>
            <w:r>
              <w:rPr>
                <w:rFonts w:ascii="Calibri" w:hAnsi="Calibri"/>
                <w:sz w:val="24"/>
              </w:rPr>
              <w:t>December</w:t>
            </w:r>
            <w:r>
              <w:rPr>
                <w:rFonts w:ascii="Calibri" w:hAnsi="Calibri"/>
                <w:spacing w:val="-2"/>
                <w:sz w:val="24"/>
              </w:rPr>
              <w:t> </w:t>
            </w:r>
            <w:r>
              <w:rPr>
                <w:rFonts w:ascii="Calibri" w:hAnsi="Calibri"/>
                <w:sz w:val="24"/>
              </w:rPr>
              <w:t>7</w:t>
            </w:r>
            <w:r>
              <w:rPr>
                <w:rFonts w:ascii="Calibri" w:hAnsi="Calibri"/>
                <w:spacing w:val="-1"/>
                <w:sz w:val="24"/>
              </w:rPr>
              <w:t> </w:t>
            </w:r>
            <w:r>
              <w:rPr>
                <w:rFonts w:ascii="Calibri" w:hAnsi="Calibri"/>
                <w:sz w:val="24"/>
              </w:rPr>
              <w:t>–</w:t>
            </w:r>
            <w:r>
              <w:rPr>
                <w:rFonts w:ascii="Calibri" w:hAnsi="Calibri"/>
                <w:spacing w:val="-1"/>
                <w:sz w:val="24"/>
              </w:rPr>
              <w:t> </w:t>
            </w:r>
            <w:r>
              <w:rPr>
                <w:rFonts w:ascii="Calibri" w:hAnsi="Calibri"/>
                <w:sz w:val="24"/>
              </w:rPr>
              <w:t>9,</w:t>
            </w:r>
            <w:r>
              <w:rPr>
                <w:rFonts w:ascii="Calibri" w:hAnsi="Calibri"/>
                <w:spacing w:val="1"/>
                <w:sz w:val="24"/>
              </w:rPr>
              <w:t> </w:t>
            </w:r>
            <w:r>
              <w:rPr>
                <w:rFonts w:ascii="Calibri" w:hAnsi="Calibri"/>
                <w:spacing w:val="-4"/>
                <w:sz w:val="24"/>
              </w:rPr>
              <w:t>2021</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Moving</w:t>
            </w:r>
            <w:r>
              <w:rPr>
                <w:rFonts w:ascii="Calibri"/>
                <w:spacing w:val="60"/>
                <w:sz w:val="24"/>
              </w:rPr>
              <w:t> </w:t>
            </w:r>
            <w:r>
              <w:rPr>
                <w:rFonts w:ascii="Calibri"/>
                <w:sz w:val="24"/>
              </w:rPr>
              <w:t>to</w:t>
            </w:r>
            <w:r>
              <w:rPr>
                <w:rFonts w:ascii="Calibri"/>
                <w:spacing w:val="65"/>
                <w:sz w:val="24"/>
              </w:rPr>
              <w:t> </w:t>
            </w:r>
            <w:r>
              <w:rPr>
                <w:rFonts w:ascii="Calibri"/>
                <w:sz w:val="24"/>
              </w:rPr>
              <w:t>Action:</w:t>
            </w:r>
            <w:r>
              <w:rPr>
                <w:rFonts w:ascii="Calibri"/>
                <w:spacing w:val="65"/>
                <w:sz w:val="24"/>
              </w:rPr>
              <w:t> </w:t>
            </w:r>
            <w:r>
              <w:rPr>
                <w:rFonts w:ascii="Calibri"/>
                <w:sz w:val="24"/>
              </w:rPr>
              <w:t>The</w:t>
            </w:r>
            <w:r>
              <w:rPr>
                <w:rFonts w:ascii="Calibri"/>
                <w:spacing w:val="62"/>
                <w:sz w:val="24"/>
              </w:rPr>
              <w:t> </w:t>
            </w:r>
            <w:r>
              <w:rPr>
                <w:rFonts w:ascii="Calibri"/>
                <w:sz w:val="24"/>
              </w:rPr>
              <w:t>National</w:t>
            </w:r>
            <w:r>
              <w:rPr>
                <w:rFonts w:ascii="Calibri"/>
                <w:spacing w:val="62"/>
                <w:sz w:val="24"/>
              </w:rPr>
              <w:t> </w:t>
            </w:r>
            <w:r>
              <w:rPr>
                <w:rFonts w:ascii="Calibri"/>
                <w:sz w:val="24"/>
              </w:rPr>
              <w:t>Strategy</w:t>
            </w:r>
            <w:r>
              <w:rPr>
                <w:rFonts w:ascii="Calibri"/>
                <w:spacing w:val="63"/>
                <w:sz w:val="24"/>
              </w:rPr>
              <w:t> </w:t>
            </w:r>
            <w:r>
              <w:rPr>
                <w:rFonts w:ascii="Calibri"/>
                <w:sz w:val="24"/>
              </w:rPr>
              <w:t>on</w:t>
            </w:r>
            <w:r>
              <w:rPr>
                <w:rFonts w:ascii="Calibri"/>
                <w:spacing w:val="63"/>
                <w:sz w:val="24"/>
              </w:rPr>
              <w:t> </w:t>
            </w:r>
            <w:r>
              <w:rPr>
                <w:rFonts w:ascii="Calibri"/>
                <w:spacing w:val="-2"/>
                <w:sz w:val="24"/>
              </w:rPr>
              <w:t>Gender</w:t>
            </w:r>
          </w:p>
          <w:p>
            <w:pPr>
              <w:pStyle w:val="TableParagraph"/>
              <w:spacing w:line="273" w:lineRule="exact"/>
              <w:ind w:left="107"/>
              <w:rPr>
                <w:rFonts w:ascii="Calibri"/>
                <w:sz w:val="24"/>
              </w:rPr>
            </w:pPr>
            <w:r>
              <w:rPr>
                <w:rFonts w:ascii="Calibri"/>
                <w:sz w:val="24"/>
              </w:rPr>
              <w:t>Equity</w:t>
            </w:r>
            <w:r>
              <w:rPr>
                <w:rFonts w:ascii="Calibri"/>
                <w:spacing w:val="-1"/>
                <w:sz w:val="24"/>
              </w:rPr>
              <w:t> </w:t>
            </w:r>
            <w:r>
              <w:rPr>
                <w:rFonts w:ascii="Calibri"/>
                <w:sz w:val="24"/>
              </w:rPr>
              <w:t>and</w:t>
            </w:r>
            <w:r>
              <w:rPr>
                <w:rFonts w:ascii="Calibri"/>
                <w:spacing w:val="1"/>
                <w:sz w:val="24"/>
              </w:rPr>
              <w:t> </w:t>
            </w:r>
            <w:r>
              <w:rPr>
                <w:rFonts w:ascii="Calibri"/>
                <w:spacing w:val="-2"/>
                <w:sz w:val="24"/>
              </w:rPr>
              <w:t>Equality</w:t>
            </w:r>
          </w:p>
        </w:tc>
        <w:tc>
          <w:tcPr>
            <w:tcW w:w="3328" w:type="dxa"/>
          </w:tcPr>
          <w:p>
            <w:pPr>
              <w:pStyle w:val="TableParagraph"/>
              <w:spacing w:line="292" w:lineRule="exact"/>
              <w:ind w:left="105"/>
              <w:rPr>
                <w:rFonts w:ascii="Calibri"/>
                <w:sz w:val="24"/>
              </w:rPr>
            </w:pPr>
            <w:r>
              <w:rPr>
                <w:rFonts w:ascii="Calibri"/>
                <w:sz w:val="24"/>
              </w:rPr>
              <w:t>December</w:t>
            </w:r>
            <w:r>
              <w:rPr>
                <w:rFonts w:ascii="Calibri"/>
                <w:spacing w:val="-3"/>
                <w:sz w:val="24"/>
              </w:rPr>
              <w:t> </w:t>
            </w:r>
            <w:r>
              <w:rPr>
                <w:rFonts w:ascii="Calibri"/>
                <w:sz w:val="24"/>
              </w:rPr>
              <w:t>14, </w:t>
            </w:r>
            <w:r>
              <w:rPr>
                <w:rFonts w:ascii="Calibri"/>
                <w:spacing w:val="-4"/>
                <w:sz w:val="24"/>
              </w:rPr>
              <w:t>2021</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Basics</w:t>
            </w:r>
            <w:r>
              <w:rPr>
                <w:rFonts w:ascii="Calibri"/>
                <w:spacing w:val="-2"/>
                <w:sz w:val="24"/>
              </w:rPr>
              <w:t> </w:t>
            </w:r>
            <w:r>
              <w:rPr>
                <w:rFonts w:ascii="Calibri"/>
                <w:sz w:val="24"/>
              </w:rPr>
              <w:t>of</w:t>
            </w:r>
            <w:r>
              <w:rPr>
                <w:rFonts w:ascii="Calibri"/>
                <w:spacing w:val="1"/>
                <w:sz w:val="24"/>
              </w:rPr>
              <w:t> </w:t>
            </w:r>
            <w:r>
              <w:rPr>
                <w:rFonts w:ascii="Calibri"/>
                <w:sz w:val="24"/>
              </w:rPr>
              <w:t>Finding</w:t>
            </w:r>
            <w:r>
              <w:rPr>
                <w:rFonts w:ascii="Calibri"/>
                <w:spacing w:val="-4"/>
                <w:sz w:val="24"/>
              </w:rPr>
              <w:t> </w:t>
            </w:r>
            <w:r>
              <w:rPr>
                <w:rFonts w:ascii="Calibri"/>
                <w:sz w:val="24"/>
              </w:rPr>
              <w:t>Data Using</w:t>
            </w:r>
            <w:r>
              <w:rPr>
                <w:rFonts w:ascii="Calibri"/>
                <w:spacing w:val="-1"/>
                <w:sz w:val="24"/>
              </w:rPr>
              <w:t> </w:t>
            </w:r>
            <w:r>
              <w:rPr>
                <w:rFonts w:ascii="Calibri"/>
                <w:spacing w:val="-2"/>
                <w:sz w:val="24"/>
              </w:rPr>
              <w:t>data.census.gov</w:t>
            </w:r>
          </w:p>
        </w:tc>
        <w:tc>
          <w:tcPr>
            <w:tcW w:w="3328" w:type="dxa"/>
          </w:tcPr>
          <w:p>
            <w:pPr>
              <w:pStyle w:val="TableParagraph"/>
              <w:spacing w:line="272" w:lineRule="exact"/>
              <w:ind w:left="105"/>
              <w:rPr>
                <w:rFonts w:ascii="Calibri"/>
                <w:sz w:val="24"/>
              </w:rPr>
            </w:pPr>
            <w:r>
              <w:rPr>
                <w:rFonts w:ascii="Calibri"/>
                <w:sz w:val="24"/>
              </w:rPr>
              <w:t>January</w:t>
            </w:r>
            <w:r>
              <w:rPr>
                <w:rFonts w:ascii="Calibri"/>
                <w:spacing w:val="-4"/>
                <w:sz w:val="24"/>
              </w:rPr>
              <w:t> </w:t>
            </w:r>
            <w:r>
              <w:rPr>
                <w:rFonts w:ascii="Calibri"/>
                <w:sz w:val="24"/>
              </w:rPr>
              <w:t>18,</w:t>
            </w:r>
            <w:r>
              <w:rPr>
                <w:rFonts w:ascii="Calibri"/>
                <w:spacing w:val="-1"/>
                <w:sz w:val="24"/>
              </w:rPr>
              <w:t> </w:t>
            </w:r>
            <w:r>
              <w:rPr>
                <w:rFonts w:ascii="Calibri"/>
                <w:spacing w:val="-4"/>
                <w:sz w:val="24"/>
              </w:rPr>
              <w:t>2022</w:t>
            </w:r>
          </w:p>
        </w:tc>
      </w:tr>
      <w:tr>
        <w:trPr>
          <w:trHeight w:val="880" w:hRule="atLeast"/>
        </w:trPr>
        <w:tc>
          <w:tcPr>
            <w:tcW w:w="5666" w:type="dxa"/>
          </w:tcPr>
          <w:p>
            <w:pPr>
              <w:pStyle w:val="TableParagraph"/>
              <w:spacing w:line="290" w:lineRule="atLeast"/>
              <w:ind w:left="107" w:right="95"/>
              <w:jc w:val="both"/>
              <w:rPr>
                <w:rFonts w:ascii="Calibri"/>
                <w:sz w:val="24"/>
              </w:rPr>
            </w:pPr>
            <w:r>
              <w:rPr>
                <w:rFonts w:ascii="Calibri"/>
                <w:sz w:val="24"/>
              </w:rPr>
              <w:t>Book Talk: Leading Global Diversity, Equity, and Inclusion: A Guide</w:t>
            </w:r>
            <w:r>
              <w:rPr>
                <w:rFonts w:ascii="Calibri"/>
                <w:spacing w:val="-2"/>
                <w:sz w:val="24"/>
              </w:rPr>
              <w:t> </w:t>
            </w:r>
            <w:r>
              <w:rPr>
                <w:rFonts w:ascii="Calibri"/>
                <w:sz w:val="24"/>
              </w:rPr>
              <w:t>for Systemic Change in Multinational </w:t>
            </w:r>
            <w:r>
              <w:rPr>
                <w:rFonts w:ascii="Calibri"/>
                <w:spacing w:val="-2"/>
                <w:sz w:val="24"/>
              </w:rPr>
              <w:t>Organizations</w:t>
            </w:r>
          </w:p>
        </w:tc>
        <w:tc>
          <w:tcPr>
            <w:tcW w:w="3328" w:type="dxa"/>
          </w:tcPr>
          <w:p>
            <w:pPr>
              <w:pStyle w:val="TableParagraph"/>
              <w:spacing w:line="240" w:lineRule="auto" w:before="1"/>
              <w:ind w:left="105"/>
              <w:rPr>
                <w:rFonts w:ascii="Calibri"/>
                <w:sz w:val="24"/>
              </w:rPr>
            </w:pPr>
            <w:r>
              <w:rPr>
                <w:rFonts w:ascii="Calibri"/>
                <w:sz w:val="24"/>
              </w:rPr>
              <w:t>January</w:t>
            </w:r>
            <w:r>
              <w:rPr>
                <w:rFonts w:ascii="Calibri"/>
                <w:spacing w:val="-4"/>
                <w:sz w:val="24"/>
              </w:rPr>
              <w:t> </w:t>
            </w:r>
            <w:r>
              <w:rPr>
                <w:rFonts w:ascii="Calibri"/>
                <w:sz w:val="24"/>
              </w:rPr>
              <w:t>27,</w:t>
            </w:r>
            <w:r>
              <w:rPr>
                <w:rFonts w:ascii="Calibri"/>
                <w:spacing w:val="-1"/>
                <w:sz w:val="24"/>
              </w:rPr>
              <w:t> </w:t>
            </w:r>
            <w:r>
              <w:rPr>
                <w:rFonts w:ascii="Calibri"/>
                <w:spacing w:val="-4"/>
                <w:sz w:val="24"/>
              </w:rPr>
              <w:t>2022</w:t>
            </w:r>
          </w:p>
        </w:tc>
      </w:tr>
    </w:tbl>
    <w:p>
      <w:pPr>
        <w:spacing w:after="0" w:line="240" w:lineRule="auto"/>
        <w:rPr>
          <w:rFonts w:ascii="Calibri"/>
          <w:sz w:val="24"/>
        </w:rPr>
        <w:sectPr>
          <w:type w:val="continuous"/>
          <w:pgSz w:w="12240" w:h="15840"/>
          <w:pgMar w:header="0" w:footer="997" w:top="980" w:bottom="1260" w:left="600" w:right="500"/>
        </w:sect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8"/>
      </w:tblGrid>
      <w:tr>
        <w:trPr>
          <w:trHeight w:val="585" w:hRule="atLeast"/>
        </w:trPr>
        <w:tc>
          <w:tcPr>
            <w:tcW w:w="5666" w:type="dxa"/>
          </w:tcPr>
          <w:p>
            <w:pPr>
              <w:pStyle w:val="TableParagraph"/>
              <w:spacing w:line="292" w:lineRule="exact"/>
              <w:ind w:left="107"/>
              <w:rPr>
                <w:rFonts w:ascii="Calibri"/>
                <w:sz w:val="24"/>
              </w:rPr>
            </w:pPr>
            <w:r>
              <w:rPr>
                <w:rFonts w:ascii="Calibri"/>
                <w:sz w:val="24"/>
              </w:rPr>
              <w:t>Department</w:t>
            </w:r>
            <w:r>
              <w:rPr>
                <w:rFonts w:ascii="Calibri"/>
                <w:spacing w:val="26"/>
                <w:sz w:val="24"/>
              </w:rPr>
              <w:t> </w:t>
            </w:r>
            <w:r>
              <w:rPr>
                <w:rFonts w:ascii="Calibri"/>
                <w:sz w:val="24"/>
              </w:rPr>
              <w:t>of</w:t>
            </w:r>
            <w:r>
              <w:rPr>
                <w:rFonts w:ascii="Calibri"/>
                <w:spacing w:val="27"/>
                <w:sz w:val="24"/>
              </w:rPr>
              <w:t> </w:t>
            </w:r>
            <w:r>
              <w:rPr>
                <w:rFonts w:ascii="Calibri"/>
                <w:sz w:val="24"/>
              </w:rPr>
              <w:t>Labor</w:t>
            </w:r>
            <w:r>
              <w:rPr>
                <w:rFonts w:ascii="Calibri"/>
                <w:spacing w:val="23"/>
                <w:sz w:val="24"/>
              </w:rPr>
              <w:t> </w:t>
            </w:r>
            <w:r>
              <w:rPr>
                <w:rFonts w:ascii="Calibri"/>
                <w:sz w:val="24"/>
              </w:rPr>
              <w:t>Minimum</w:t>
            </w:r>
            <w:r>
              <w:rPr>
                <w:rFonts w:ascii="Calibri"/>
                <w:spacing w:val="26"/>
                <w:sz w:val="24"/>
              </w:rPr>
              <w:t> </w:t>
            </w:r>
            <w:r>
              <w:rPr>
                <w:rFonts w:ascii="Calibri"/>
                <w:sz w:val="24"/>
              </w:rPr>
              <w:t>Wage</w:t>
            </w:r>
            <w:r>
              <w:rPr>
                <w:rFonts w:ascii="Calibri"/>
                <w:spacing w:val="26"/>
                <w:sz w:val="24"/>
              </w:rPr>
              <w:t> </w:t>
            </w:r>
            <w:r>
              <w:rPr>
                <w:rFonts w:ascii="Calibri"/>
                <w:sz w:val="24"/>
              </w:rPr>
              <w:t>Executive</w:t>
            </w:r>
            <w:r>
              <w:rPr>
                <w:rFonts w:ascii="Calibri"/>
                <w:spacing w:val="24"/>
                <w:sz w:val="24"/>
              </w:rPr>
              <w:t> </w:t>
            </w:r>
            <w:r>
              <w:rPr>
                <w:rFonts w:ascii="Calibri"/>
                <w:spacing w:val="-4"/>
                <w:sz w:val="24"/>
              </w:rPr>
              <w:t>Order</w:t>
            </w:r>
          </w:p>
          <w:p>
            <w:pPr>
              <w:pStyle w:val="TableParagraph"/>
              <w:spacing w:line="273" w:lineRule="exact"/>
              <w:ind w:left="107"/>
              <w:rPr>
                <w:rFonts w:ascii="Calibri"/>
                <w:sz w:val="24"/>
              </w:rPr>
            </w:pPr>
            <w:r>
              <w:rPr>
                <w:rFonts w:ascii="Calibri"/>
                <w:spacing w:val="-2"/>
                <w:sz w:val="24"/>
              </w:rPr>
              <w:t>Seminar</w:t>
            </w:r>
          </w:p>
        </w:tc>
        <w:tc>
          <w:tcPr>
            <w:tcW w:w="3328" w:type="dxa"/>
          </w:tcPr>
          <w:p>
            <w:pPr>
              <w:pStyle w:val="TableParagraph"/>
              <w:spacing w:line="292" w:lineRule="exact"/>
              <w:ind w:left="105"/>
              <w:rPr>
                <w:rFonts w:ascii="Calibri"/>
                <w:sz w:val="24"/>
              </w:rPr>
            </w:pPr>
            <w:r>
              <w:rPr>
                <w:rFonts w:ascii="Calibri"/>
                <w:sz w:val="24"/>
              </w:rPr>
              <w:t>January</w:t>
            </w:r>
            <w:r>
              <w:rPr>
                <w:rFonts w:ascii="Calibri"/>
                <w:spacing w:val="-4"/>
                <w:sz w:val="24"/>
              </w:rPr>
              <w:t> </w:t>
            </w:r>
            <w:r>
              <w:rPr>
                <w:rFonts w:ascii="Calibri"/>
                <w:sz w:val="24"/>
              </w:rPr>
              <w:t>27,</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5" w:lineRule="exact"/>
              <w:ind w:left="107"/>
              <w:rPr>
                <w:rFonts w:ascii="Calibri"/>
                <w:sz w:val="24"/>
              </w:rPr>
            </w:pPr>
            <w:r>
              <w:rPr>
                <w:rFonts w:ascii="Calibri"/>
                <w:sz w:val="24"/>
              </w:rPr>
              <w:t>OFCCP</w:t>
            </w:r>
            <w:r>
              <w:rPr>
                <w:rFonts w:ascii="Calibri"/>
                <w:spacing w:val="-2"/>
                <w:sz w:val="24"/>
              </w:rPr>
              <w:t> </w:t>
            </w:r>
            <w:r>
              <w:rPr>
                <w:rFonts w:ascii="Calibri"/>
                <w:sz w:val="24"/>
              </w:rPr>
              <w:t>Contractor</w:t>
            </w:r>
            <w:r>
              <w:rPr>
                <w:rFonts w:ascii="Calibri"/>
                <w:spacing w:val="-1"/>
                <w:sz w:val="24"/>
              </w:rPr>
              <w:t> </w:t>
            </w:r>
            <w:r>
              <w:rPr>
                <w:rFonts w:ascii="Calibri"/>
                <w:spacing w:val="-2"/>
                <w:sz w:val="24"/>
              </w:rPr>
              <w:t>Portal</w:t>
            </w:r>
          </w:p>
        </w:tc>
        <w:tc>
          <w:tcPr>
            <w:tcW w:w="3328" w:type="dxa"/>
          </w:tcPr>
          <w:p>
            <w:pPr>
              <w:pStyle w:val="TableParagraph"/>
              <w:spacing w:line="275" w:lineRule="exact"/>
              <w:ind w:left="105"/>
              <w:rPr>
                <w:rFonts w:ascii="Calibri"/>
                <w:sz w:val="24"/>
              </w:rPr>
            </w:pPr>
            <w:r>
              <w:rPr>
                <w:rFonts w:ascii="Calibri"/>
                <w:sz w:val="24"/>
              </w:rPr>
              <w:t>February</w:t>
            </w:r>
            <w:r>
              <w:rPr>
                <w:rFonts w:ascii="Calibri"/>
                <w:spacing w:val="-3"/>
                <w:sz w:val="24"/>
              </w:rPr>
              <w:t> </w:t>
            </w:r>
            <w:r>
              <w:rPr>
                <w:rFonts w:ascii="Calibri"/>
                <w:sz w:val="24"/>
              </w:rPr>
              <w:t>1,</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Improving</w:t>
            </w:r>
            <w:r>
              <w:rPr>
                <w:rFonts w:ascii="Calibri"/>
                <w:spacing w:val="53"/>
                <w:sz w:val="24"/>
              </w:rPr>
              <w:t> </w:t>
            </w:r>
            <w:r>
              <w:rPr>
                <w:rFonts w:ascii="Calibri"/>
                <w:sz w:val="24"/>
              </w:rPr>
              <w:t>Diversity</w:t>
            </w:r>
            <w:r>
              <w:rPr>
                <w:rFonts w:ascii="Calibri"/>
                <w:spacing w:val="56"/>
                <w:sz w:val="24"/>
              </w:rPr>
              <w:t> </w:t>
            </w:r>
            <w:r>
              <w:rPr>
                <w:rFonts w:ascii="Calibri"/>
                <w:sz w:val="24"/>
              </w:rPr>
              <w:t>and</w:t>
            </w:r>
            <w:r>
              <w:rPr>
                <w:rFonts w:ascii="Calibri"/>
                <w:spacing w:val="55"/>
                <w:sz w:val="24"/>
              </w:rPr>
              <w:t> </w:t>
            </w:r>
            <w:r>
              <w:rPr>
                <w:rFonts w:ascii="Calibri"/>
                <w:sz w:val="24"/>
              </w:rPr>
              <w:t>Inclusion</w:t>
            </w:r>
            <w:r>
              <w:rPr>
                <w:rFonts w:ascii="Calibri"/>
                <w:spacing w:val="55"/>
                <w:sz w:val="24"/>
              </w:rPr>
              <w:t> </w:t>
            </w:r>
            <w:r>
              <w:rPr>
                <w:rFonts w:ascii="Calibri"/>
                <w:sz w:val="24"/>
              </w:rPr>
              <w:t>Programs</w:t>
            </w:r>
            <w:r>
              <w:rPr>
                <w:rFonts w:ascii="Calibri"/>
                <w:spacing w:val="54"/>
                <w:sz w:val="24"/>
              </w:rPr>
              <w:t> </w:t>
            </w:r>
            <w:r>
              <w:rPr>
                <w:rFonts w:ascii="Calibri"/>
                <w:sz w:val="24"/>
              </w:rPr>
              <w:t>in</w:t>
            </w:r>
            <w:r>
              <w:rPr>
                <w:rFonts w:ascii="Calibri"/>
                <w:spacing w:val="53"/>
                <w:sz w:val="24"/>
              </w:rPr>
              <w:t> </w:t>
            </w:r>
            <w:r>
              <w:rPr>
                <w:rFonts w:ascii="Calibri"/>
                <w:spacing w:val="-2"/>
                <w:sz w:val="24"/>
              </w:rPr>
              <w:t>Public</w:t>
            </w:r>
          </w:p>
          <w:p>
            <w:pPr>
              <w:pStyle w:val="TableParagraph"/>
              <w:spacing w:line="273" w:lineRule="exact"/>
              <w:ind w:left="107"/>
              <w:rPr>
                <w:rFonts w:ascii="Calibri"/>
                <w:sz w:val="24"/>
              </w:rPr>
            </w:pPr>
            <w:r>
              <w:rPr>
                <w:rFonts w:ascii="Calibri"/>
                <w:spacing w:val="-2"/>
                <w:sz w:val="24"/>
              </w:rPr>
              <w:t>Transportation</w:t>
            </w:r>
          </w:p>
        </w:tc>
        <w:tc>
          <w:tcPr>
            <w:tcW w:w="3328" w:type="dxa"/>
          </w:tcPr>
          <w:p>
            <w:pPr>
              <w:pStyle w:val="TableParagraph"/>
              <w:spacing w:line="292" w:lineRule="exact"/>
              <w:ind w:left="105"/>
              <w:rPr>
                <w:rFonts w:ascii="Calibri"/>
                <w:sz w:val="24"/>
              </w:rPr>
            </w:pPr>
            <w:r>
              <w:rPr>
                <w:rFonts w:ascii="Calibri"/>
                <w:sz w:val="24"/>
              </w:rPr>
              <w:t>February</w:t>
            </w:r>
            <w:r>
              <w:rPr>
                <w:rFonts w:ascii="Calibri"/>
                <w:spacing w:val="-3"/>
                <w:sz w:val="24"/>
              </w:rPr>
              <w:t> </w:t>
            </w:r>
            <w:r>
              <w:rPr>
                <w:rFonts w:ascii="Calibri"/>
                <w:sz w:val="24"/>
              </w:rPr>
              <w:t>3,</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Stream-lining</w:t>
            </w:r>
            <w:r>
              <w:rPr>
                <w:rFonts w:ascii="Calibri"/>
                <w:spacing w:val="-2"/>
                <w:sz w:val="24"/>
              </w:rPr>
              <w:t> </w:t>
            </w:r>
            <w:r>
              <w:rPr>
                <w:rFonts w:ascii="Calibri"/>
                <w:sz w:val="24"/>
              </w:rPr>
              <w:t>the</w:t>
            </w:r>
            <w:r>
              <w:rPr>
                <w:rFonts w:ascii="Calibri"/>
                <w:spacing w:val="-3"/>
                <w:sz w:val="24"/>
              </w:rPr>
              <w:t> </w:t>
            </w:r>
            <w:r>
              <w:rPr>
                <w:rFonts w:ascii="Calibri"/>
                <w:sz w:val="24"/>
              </w:rPr>
              <w:t>Way</w:t>
            </w:r>
            <w:r>
              <w:rPr>
                <w:rFonts w:ascii="Calibri"/>
                <w:spacing w:val="-2"/>
                <w:sz w:val="24"/>
              </w:rPr>
              <w:t> </w:t>
            </w:r>
            <w:r>
              <w:rPr>
                <w:rFonts w:ascii="Calibri"/>
                <w:sz w:val="24"/>
              </w:rPr>
              <w:t>You Get</w:t>
            </w:r>
            <w:r>
              <w:rPr>
                <w:rFonts w:ascii="Calibri"/>
                <w:spacing w:val="-2"/>
                <w:sz w:val="24"/>
              </w:rPr>
              <w:t> </w:t>
            </w:r>
            <w:r>
              <w:rPr>
                <w:rFonts w:ascii="Calibri"/>
                <w:spacing w:val="-4"/>
                <w:sz w:val="24"/>
              </w:rPr>
              <w:t>Data</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10,</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Invisible</w:t>
            </w:r>
            <w:r>
              <w:rPr>
                <w:rFonts w:ascii="Calibri"/>
                <w:spacing w:val="-2"/>
                <w:sz w:val="24"/>
              </w:rPr>
              <w:t> </w:t>
            </w:r>
            <w:r>
              <w:rPr>
                <w:rFonts w:ascii="Calibri"/>
                <w:sz w:val="24"/>
              </w:rPr>
              <w:t>Warriors:</w:t>
            </w:r>
            <w:r>
              <w:rPr>
                <w:rFonts w:ascii="Calibri"/>
                <w:spacing w:val="-4"/>
                <w:sz w:val="24"/>
              </w:rPr>
              <w:t> </w:t>
            </w:r>
            <w:r>
              <w:rPr>
                <w:rFonts w:ascii="Calibri"/>
                <w:sz w:val="24"/>
              </w:rPr>
              <w:t>African-American</w:t>
            </w:r>
            <w:r>
              <w:rPr>
                <w:rFonts w:ascii="Calibri"/>
                <w:spacing w:val="-1"/>
                <w:sz w:val="24"/>
              </w:rPr>
              <w:t> </w:t>
            </w:r>
            <w:r>
              <w:rPr>
                <w:rFonts w:ascii="Calibri"/>
                <w:sz w:val="24"/>
              </w:rPr>
              <w:t>Women</w:t>
            </w:r>
            <w:r>
              <w:rPr>
                <w:rFonts w:ascii="Calibri"/>
                <w:spacing w:val="-4"/>
                <w:sz w:val="24"/>
              </w:rPr>
              <w:t> </w:t>
            </w:r>
            <w:r>
              <w:rPr>
                <w:rFonts w:ascii="Calibri"/>
                <w:sz w:val="24"/>
              </w:rPr>
              <w:t>in</w:t>
            </w:r>
            <w:r>
              <w:rPr>
                <w:rFonts w:ascii="Calibri"/>
                <w:spacing w:val="-5"/>
                <w:sz w:val="24"/>
              </w:rPr>
              <w:t> </w:t>
            </w:r>
            <w:r>
              <w:rPr>
                <w:rFonts w:ascii="Calibri"/>
                <w:spacing w:val="-4"/>
                <w:sz w:val="24"/>
              </w:rPr>
              <w:t>WWII</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14,</w:t>
            </w:r>
            <w:r>
              <w:rPr>
                <w:rFonts w:ascii="Calibri"/>
                <w:spacing w:val="-2"/>
                <w:sz w:val="24"/>
              </w:rPr>
              <w:t> </w:t>
            </w:r>
            <w:r>
              <w:rPr>
                <w:rFonts w:ascii="Calibri"/>
                <w:spacing w:val="-4"/>
                <w:sz w:val="24"/>
              </w:rPr>
              <w:t>2022</w:t>
            </w:r>
          </w:p>
        </w:tc>
      </w:tr>
      <w:tr>
        <w:trPr>
          <w:trHeight w:val="294" w:hRule="atLeast"/>
        </w:trPr>
        <w:tc>
          <w:tcPr>
            <w:tcW w:w="5666" w:type="dxa"/>
          </w:tcPr>
          <w:p>
            <w:pPr>
              <w:pStyle w:val="TableParagraph"/>
              <w:spacing w:line="275" w:lineRule="exact"/>
              <w:ind w:left="107"/>
              <w:rPr>
                <w:rFonts w:ascii="Calibri"/>
                <w:sz w:val="24"/>
              </w:rPr>
            </w:pPr>
            <w:r>
              <w:rPr>
                <w:rFonts w:ascii="Calibri"/>
                <w:sz w:val="24"/>
              </w:rPr>
              <w:t>DBE</w:t>
            </w:r>
            <w:r>
              <w:rPr>
                <w:rFonts w:ascii="Calibri"/>
                <w:spacing w:val="1"/>
                <w:sz w:val="24"/>
              </w:rPr>
              <w:t> </w:t>
            </w:r>
            <w:r>
              <w:rPr>
                <w:rFonts w:ascii="Calibri"/>
                <w:spacing w:val="-2"/>
                <w:sz w:val="24"/>
              </w:rPr>
              <w:t>Training</w:t>
            </w:r>
          </w:p>
        </w:tc>
        <w:tc>
          <w:tcPr>
            <w:tcW w:w="3328" w:type="dxa"/>
          </w:tcPr>
          <w:p>
            <w:pPr>
              <w:pStyle w:val="TableParagraph"/>
              <w:spacing w:line="275" w:lineRule="exact"/>
              <w:ind w:left="105"/>
              <w:rPr>
                <w:rFonts w:ascii="Calibri"/>
                <w:sz w:val="24"/>
              </w:rPr>
            </w:pPr>
            <w:r>
              <w:rPr>
                <w:rFonts w:ascii="Calibri"/>
                <w:sz w:val="24"/>
              </w:rPr>
              <w:t>February</w:t>
            </w:r>
            <w:r>
              <w:rPr>
                <w:rFonts w:ascii="Calibri"/>
                <w:spacing w:val="-3"/>
                <w:sz w:val="24"/>
              </w:rPr>
              <w:t> </w:t>
            </w:r>
            <w:r>
              <w:rPr>
                <w:rFonts w:ascii="Calibri"/>
                <w:sz w:val="24"/>
              </w:rPr>
              <w:t>14,</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DBE</w:t>
            </w:r>
            <w:r>
              <w:rPr>
                <w:rFonts w:ascii="Calibri"/>
                <w:spacing w:val="1"/>
                <w:sz w:val="24"/>
              </w:rPr>
              <w:t> </w:t>
            </w:r>
            <w:r>
              <w:rPr>
                <w:rFonts w:ascii="Calibri"/>
                <w:spacing w:val="-2"/>
                <w:sz w:val="24"/>
              </w:rPr>
              <w:t>Training</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15,</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DBE</w:t>
            </w:r>
            <w:r>
              <w:rPr>
                <w:rFonts w:ascii="Calibri"/>
                <w:spacing w:val="1"/>
                <w:sz w:val="24"/>
              </w:rPr>
              <w:t> </w:t>
            </w:r>
            <w:r>
              <w:rPr>
                <w:rFonts w:ascii="Calibri"/>
                <w:spacing w:val="-2"/>
                <w:sz w:val="24"/>
              </w:rPr>
              <w:t>Training</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16,</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DBE</w:t>
            </w:r>
            <w:r>
              <w:rPr>
                <w:rFonts w:ascii="Calibri"/>
                <w:spacing w:val="1"/>
                <w:sz w:val="24"/>
              </w:rPr>
              <w:t> </w:t>
            </w:r>
            <w:r>
              <w:rPr>
                <w:rFonts w:ascii="Calibri"/>
                <w:spacing w:val="-2"/>
                <w:sz w:val="24"/>
              </w:rPr>
              <w:t>Training</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17,</w:t>
            </w:r>
            <w:r>
              <w:rPr>
                <w:rFonts w:ascii="Calibri"/>
                <w:spacing w:val="-2"/>
                <w:sz w:val="24"/>
              </w:rPr>
              <w:t> </w:t>
            </w:r>
            <w:r>
              <w:rPr>
                <w:rFonts w:ascii="Calibri"/>
                <w:spacing w:val="-4"/>
                <w:sz w:val="24"/>
              </w:rPr>
              <w:t>2022</w:t>
            </w:r>
          </w:p>
        </w:tc>
      </w:tr>
      <w:tr>
        <w:trPr>
          <w:trHeight w:val="587" w:hRule="atLeast"/>
        </w:trPr>
        <w:tc>
          <w:tcPr>
            <w:tcW w:w="5666" w:type="dxa"/>
          </w:tcPr>
          <w:p>
            <w:pPr>
              <w:pStyle w:val="TableParagraph"/>
              <w:spacing w:line="292" w:lineRule="exact"/>
              <w:ind w:left="107"/>
              <w:rPr>
                <w:rFonts w:ascii="Calibri"/>
                <w:sz w:val="24"/>
              </w:rPr>
            </w:pPr>
            <w:r>
              <w:rPr>
                <w:rFonts w:ascii="Calibri"/>
                <w:sz w:val="24"/>
              </w:rPr>
              <w:t>How</w:t>
            </w:r>
            <w:r>
              <w:rPr>
                <w:rFonts w:ascii="Calibri"/>
                <w:spacing w:val="-6"/>
                <w:sz w:val="24"/>
              </w:rPr>
              <w:t> </w:t>
            </w:r>
            <w:r>
              <w:rPr>
                <w:rFonts w:ascii="Calibri"/>
                <w:sz w:val="24"/>
              </w:rPr>
              <w:t>to</w:t>
            </w:r>
            <w:r>
              <w:rPr>
                <w:rFonts w:ascii="Calibri"/>
                <w:spacing w:val="-3"/>
                <w:sz w:val="24"/>
              </w:rPr>
              <w:t> </w:t>
            </w:r>
            <w:r>
              <w:rPr>
                <w:rFonts w:ascii="Calibri"/>
                <w:sz w:val="24"/>
              </w:rPr>
              <w:t>Gain</w:t>
            </w:r>
            <w:r>
              <w:rPr>
                <w:rFonts w:ascii="Calibri"/>
                <w:spacing w:val="-3"/>
                <w:sz w:val="24"/>
              </w:rPr>
              <w:t> </w:t>
            </w:r>
            <w:r>
              <w:rPr>
                <w:rFonts w:ascii="Calibri"/>
                <w:sz w:val="24"/>
              </w:rPr>
              <w:t>Richer</w:t>
            </w:r>
            <w:r>
              <w:rPr>
                <w:rFonts w:ascii="Calibri"/>
                <w:spacing w:val="-7"/>
                <w:sz w:val="24"/>
              </w:rPr>
              <w:t> </w:t>
            </w:r>
            <w:r>
              <w:rPr>
                <w:rFonts w:ascii="Calibri"/>
                <w:sz w:val="24"/>
              </w:rPr>
              <w:t>Feedback</w:t>
            </w:r>
            <w:r>
              <w:rPr>
                <w:rFonts w:ascii="Calibri"/>
                <w:spacing w:val="-5"/>
                <w:sz w:val="24"/>
              </w:rPr>
              <w:t> </w:t>
            </w:r>
            <w:r>
              <w:rPr>
                <w:rFonts w:ascii="Calibri"/>
                <w:sz w:val="24"/>
              </w:rPr>
              <w:t>and</w:t>
            </w:r>
            <w:r>
              <w:rPr>
                <w:rFonts w:ascii="Calibri"/>
                <w:spacing w:val="-5"/>
                <w:sz w:val="24"/>
              </w:rPr>
              <w:t> </w:t>
            </w:r>
            <w:r>
              <w:rPr>
                <w:rFonts w:ascii="Calibri"/>
                <w:sz w:val="24"/>
              </w:rPr>
              <w:t>Engagement</w:t>
            </w:r>
            <w:r>
              <w:rPr>
                <w:rFonts w:ascii="Calibri"/>
                <w:spacing w:val="-5"/>
                <w:sz w:val="24"/>
              </w:rPr>
              <w:t> </w:t>
            </w:r>
            <w:r>
              <w:rPr>
                <w:rFonts w:ascii="Calibri"/>
                <w:sz w:val="24"/>
              </w:rPr>
              <w:t>from</w:t>
            </w:r>
            <w:r>
              <w:rPr>
                <w:rFonts w:ascii="Calibri"/>
                <w:spacing w:val="-4"/>
                <w:sz w:val="24"/>
              </w:rPr>
              <w:t> </w:t>
            </w:r>
            <w:r>
              <w:rPr>
                <w:rFonts w:ascii="Calibri"/>
                <w:spacing w:val="-5"/>
                <w:sz w:val="24"/>
              </w:rPr>
              <w:t>the</w:t>
            </w:r>
          </w:p>
          <w:p>
            <w:pPr>
              <w:pStyle w:val="TableParagraph"/>
              <w:spacing w:line="273" w:lineRule="exact" w:before="2"/>
              <w:ind w:left="107"/>
              <w:rPr>
                <w:rFonts w:ascii="Calibri"/>
                <w:sz w:val="24"/>
              </w:rPr>
            </w:pPr>
            <w:r>
              <w:rPr>
                <w:rFonts w:ascii="Calibri"/>
                <w:spacing w:val="-2"/>
                <w:sz w:val="24"/>
              </w:rPr>
              <w:t>Public</w:t>
            </w:r>
          </w:p>
        </w:tc>
        <w:tc>
          <w:tcPr>
            <w:tcW w:w="3328" w:type="dxa"/>
          </w:tcPr>
          <w:p>
            <w:pPr>
              <w:pStyle w:val="TableParagraph"/>
              <w:spacing w:line="292" w:lineRule="exact"/>
              <w:ind w:left="105"/>
              <w:rPr>
                <w:rFonts w:ascii="Calibri"/>
                <w:sz w:val="24"/>
              </w:rPr>
            </w:pPr>
            <w:r>
              <w:rPr>
                <w:rFonts w:ascii="Calibri"/>
                <w:sz w:val="24"/>
              </w:rPr>
              <w:t>February</w:t>
            </w:r>
            <w:r>
              <w:rPr>
                <w:rFonts w:ascii="Calibri"/>
                <w:spacing w:val="-3"/>
                <w:sz w:val="24"/>
              </w:rPr>
              <w:t> </w:t>
            </w:r>
            <w:r>
              <w:rPr>
                <w:rFonts w:ascii="Calibri"/>
                <w:sz w:val="24"/>
              </w:rPr>
              <w:t>17,</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EMDC</w:t>
            </w:r>
            <w:r>
              <w:rPr>
                <w:rFonts w:ascii="Calibri"/>
                <w:spacing w:val="-2"/>
                <w:sz w:val="24"/>
              </w:rPr>
              <w:t> </w:t>
            </w:r>
            <w:r>
              <w:rPr>
                <w:rFonts w:ascii="Calibri"/>
                <w:sz w:val="24"/>
              </w:rPr>
              <w:t>Youth</w:t>
            </w:r>
            <w:r>
              <w:rPr>
                <w:rFonts w:ascii="Calibri"/>
                <w:spacing w:val="-2"/>
                <w:sz w:val="24"/>
              </w:rPr>
              <w:t> </w:t>
            </w:r>
            <w:r>
              <w:rPr>
                <w:rFonts w:ascii="Calibri"/>
                <w:sz w:val="24"/>
              </w:rPr>
              <w:t>Information</w:t>
            </w:r>
            <w:r>
              <w:rPr>
                <w:rFonts w:ascii="Calibri"/>
                <w:spacing w:val="-2"/>
                <w:sz w:val="24"/>
              </w:rPr>
              <w:t> </w:t>
            </w:r>
            <w:r>
              <w:rPr>
                <w:rFonts w:ascii="Calibri"/>
                <w:sz w:val="24"/>
              </w:rPr>
              <w:t>Session</w:t>
            </w:r>
            <w:r>
              <w:rPr>
                <w:rFonts w:ascii="Calibri"/>
                <w:spacing w:val="-2"/>
                <w:sz w:val="24"/>
              </w:rPr>
              <w:t> </w:t>
            </w:r>
            <w:r>
              <w:rPr>
                <w:rFonts w:ascii="Calibri"/>
                <w:sz w:val="24"/>
              </w:rPr>
              <w:t>for</w:t>
            </w:r>
            <w:r>
              <w:rPr>
                <w:rFonts w:ascii="Calibri"/>
                <w:spacing w:val="-3"/>
                <w:sz w:val="24"/>
              </w:rPr>
              <w:t> </w:t>
            </w:r>
            <w:r>
              <w:rPr>
                <w:rFonts w:ascii="Calibri"/>
                <w:spacing w:val="-2"/>
                <w:sz w:val="24"/>
              </w:rPr>
              <w:t>Employers</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22,</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Transportation</w:t>
            </w:r>
            <w:r>
              <w:rPr>
                <w:rFonts w:ascii="Calibri"/>
                <w:spacing w:val="-1"/>
                <w:sz w:val="24"/>
              </w:rPr>
              <w:t> </w:t>
            </w:r>
            <w:r>
              <w:rPr>
                <w:rFonts w:ascii="Calibri"/>
                <w:sz w:val="24"/>
              </w:rPr>
              <w:t>Diversity,</w:t>
            </w:r>
            <w:r>
              <w:rPr>
                <w:rFonts w:ascii="Calibri"/>
                <w:spacing w:val="-5"/>
                <w:sz w:val="24"/>
              </w:rPr>
              <w:t> </w:t>
            </w:r>
            <w:r>
              <w:rPr>
                <w:rFonts w:ascii="Calibri"/>
                <w:sz w:val="24"/>
              </w:rPr>
              <w:t>Equity</w:t>
            </w:r>
            <w:r>
              <w:rPr>
                <w:rFonts w:ascii="Calibri"/>
                <w:spacing w:val="-2"/>
                <w:sz w:val="24"/>
              </w:rPr>
              <w:t> </w:t>
            </w:r>
            <w:r>
              <w:rPr>
                <w:rFonts w:ascii="Calibri"/>
                <w:sz w:val="24"/>
              </w:rPr>
              <w:t>and</w:t>
            </w:r>
            <w:r>
              <w:rPr>
                <w:rFonts w:ascii="Calibri"/>
                <w:spacing w:val="-4"/>
                <w:sz w:val="24"/>
              </w:rPr>
              <w:t> </w:t>
            </w:r>
            <w:r>
              <w:rPr>
                <w:rFonts w:ascii="Calibri"/>
                <w:sz w:val="24"/>
              </w:rPr>
              <w:t>Inclusion </w:t>
            </w:r>
            <w:r>
              <w:rPr>
                <w:rFonts w:ascii="Calibri"/>
                <w:spacing w:val="-2"/>
                <w:sz w:val="24"/>
              </w:rPr>
              <w:t>Initiative</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23,</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Creating</w:t>
            </w:r>
            <w:r>
              <w:rPr>
                <w:rFonts w:ascii="Calibri"/>
                <w:spacing w:val="2"/>
                <w:sz w:val="24"/>
              </w:rPr>
              <w:t> </w:t>
            </w:r>
            <w:r>
              <w:rPr>
                <w:rFonts w:ascii="Calibri"/>
                <w:sz w:val="24"/>
              </w:rPr>
              <w:t>Custom</w:t>
            </w:r>
            <w:r>
              <w:rPr>
                <w:rFonts w:ascii="Calibri"/>
                <w:spacing w:val="3"/>
                <w:sz w:val="24"/>
              </w:rPr>
              <w:t> </w:t>
            </w:r>
            <w:r>
              <w:rPr>
                <w:rFonts w:ascii="Calibri"/>
                <w:sz w:val="24"/>
              </w:rPr>
              <w:t>Tables using</w:t>
            </w:r>
            <w:r>
              <w:rPr>
                <w:rFonts w:ascii="Calibri"/>
                <w:spacing w:val="2"/>
                <w:sz w:val="24"/>
              </w:rPr>
              <w:t> </w:t>
            </w:r>
            <w:r>
              <w:rPr>
                <w:rFonts w:ascii="Calibri"/>
                <w:sz w:val="24"/>
              </w:rPr>
              <w:t>the</w:t>
            </w:r>
            <w:r>
              <w:rPr>
                <w:rFonts w:ascii="Calibri"/>
                <w:spacing w:val="3"/>
                <w:sz w:val="24"/>
              </w:rPr>
              <w:t> </w:t>
            </w:r>
            <w:r>
              <w:rPr>
                <w:rFonts w:ascii="Calibri"/>
                <w:sz w:val="24"/>
              </w:rPr>
              <w:t>American</w:t>
            </w:r>
            <w:r>
              <w:rPr>
                <w:rFonts w:ascii="Calibri"/>
                <w:spacing w:val="4"/>
                <w:sz w:val="24"/>
              </w:rPr>
              <w:t> </w:t>
            </w:r>
            <w:r>
              <w:rPr>
                <w:rFonts w:ascii="Calibri"/>
                <w:spacing w:val="-2"/>
                <w:sz w:val="24"/>
              </w:rPr>
              <w:t>Community</w:t>
            </w:r>
          </w:p>
          <w:p>
            <w:pPr>
              <w:pStyle w:val="TableParagraph"/>
              <w:spacing w:line="273" w:lineRule="exact"/>
              <w:ind w:left="107"/>
              <w:rPr>
                <w:rFonts w:ascii="Calibri"/>
                <w:sz w:val="24"/>
              </w:rPr>
            </w:pPr>
            <w:r>
              <w:rPr>
                <w:rFonts w:ascii="Calibri"/>
                <w:sz w:val="24"/>
              </w:rPr>
              <w:t>Survey</w:t>
            </w:r>
            <w:r>
              <w:rPr>
                <w:rFonts w:ascii="Calibri"/>
                <w:spacing w:val="-1"/>
                <w:sz w:val="24"/>
              </w:rPr>
              <w:t> </w:t>
            </w:r>
            <w:r>
              <w:rPr>
                <w:rFonts w:ascii="Calibri"/>
                <w:sz w:val="24"/>
              </w:rPr>
              <w:t>Public</w:t>
            </w:r>
            <w:r>
              <w:rPr>
                <w:rFonts w:ascii="Calibri"/>
                <w:spacing w:val="-1"/>
                <w:sz w:val="24"/>
              </w:rPr>
              <w:t> </w:t>
            </w:r>
            <w:r>
              <w:rPr>
                <w:rFonts w:ascii="Calibri"/>
                <w:sz w:val="24"/>
              </w:rPr>
              <w:t>Use</w:t>
            </w:r>
            <w:r>
              <w:rPr>
                <w:rFonts w:ascii="Calibri"/>
                <w:spacing w:val="-1"/>
                <w:sz w:val="24"/>
              </w:rPr>
              <w:t> </w:t>
            </w:r>
            <w:r>
              <w:rPr>
                <w:rFonts w:ascii="Calibri"/>
                <w:sz w:val="24"/>
              </w:rPr>
              <w:t>Microdata</w:t>
            </w:r>
            <w:r>
              <w:rPr>
                <w:rFonts w:ascii="Calibri"/>
                <w:spacing w:val="-2"/>
                <w:sz w:val="24"/>
              </w:rPr>
              <w:t> Sample</w:t>
            </w:r>
          </w:p>
        </w:tc>
        <w:tc>
          <w:tcPr>
            <w:tcW w:w="3328" w:type="dxa"/>
          </w:tcPr>
          <w:p>
            <w:pPr>
              <w:pStyle w:val="TableParagraph"/>
              <w:spacing w:line="292" w:lineRule="exact"/>
              <w:ind w:left="105"/>
              <w:rPr>
                <w:rFonts w:ascii="Calibri"/>
                <w:sz w:val="24"/>
              </w:rPr>
            </w:pPr>
            <w:r>
              <w:rPr>
                <w:rFonts w:ascii="Calibri"/>
                <w:sz w:val="24"/>
              </w:rPr>
              <w:t>February</w:t>
            </w:r>
            <w:r>
              <w:rPr>
                <w:rFonts w:ascii="Calibri"/>
                <w:spacing w:val="-3"/>
                <w:sz w:val="24"/>
              </w:rPr>
              <w:t> </w:t>
            </w:r>
            <w:r>
              <w:rPr>
                <w:rFonts w:ascii="Calibri"/>
                <w:sz w:val="24"/>
              </w:rPr>
              <w:t>23,</w:t>
            </w:r>
            <w:r>
              <w:rPr>
                <w:rFonts w:ascii="Calibri"/>
                <w:spacing w:val="-2"/>
                <w:sz w:val="24"/>
              </w:rPr>
              <w:t> </w:t>
            </w:r>
            <w:r>
              <w:rPr>
                <w:rFonts w:ascii="Calibri"/>
                <w:spacing w:val="-4"/>
                <w:sz w:val="24"/>
              </w:rPr>
              <w:t>2022</w:t>
            </w:r>
          </w:p>
        </w:tc>
      </w:tr>
      <w:tr>
        <w:trPr>
          <w:trHeight w:val="587" w:hRule="atLeast"/>
        </w:trPr>
        <w:tc>
          <w:tcPr>
            <w:tcW w:w="5666" w:type="dxa"/>
          </w:tcPr>
          <w:p>
            <w:pPr>
              <w:pStyle w:val="TableParagraph"/>
              <w:spacing w:line="290" w:lineRule="atLeast"/>
              <w:ind w:left="107"/>
              <w:rPr>
                <w:rFonts w:ascii="Calibri"/>
                <w:sz w:val="24"/>
              </w:rPr>
            </w:pPr>
            <w:r>
              <w:rPr>
                <w:rFonts w:ascii="Calibri"/>
                <w:sz w:val="24"/>
              </w:rPr>
              <w:t>Ending</w:t>
            </w:r>
            <w:r>
              <w:rPr>
                <w:rFonts w:ascii="Calibri"/>
                <w:spacing w:val="-11"/>
                <w:sz w:val="24"/>
              </w:rPr>
              <w:t> </w:t>
            </w:r>
            <w:r>
              <w:rPr>
                <w:rFonts w:ascii="Calibri"/>
                <w:sz w:val="24"/>
              </w:rPr>
              <w:t>Retaliation,</w:t>
            </w:r>
            <w:r>
              <w:rPr>
                <w:rFonts w:ascii="Calibri"/>
                <w:spacing w:val="-13"/>
                <w:sz w:val="24"/>
              </w:rPr>
              <w:t> </w:t>
            </w:r>
            <w:r>
              <w:rPr>
                <w:rFonts w:ascii="Calibri"/>
                <w:sz w:val="24"/>
              </w:rPr>
              <w:t>Securing</w:t>
            </w:r>
            <w:r>
              <w:rPr>
                <w:rFonts w:ascii="Calibri"/>
                <w:spacing w:val="-11"/>
                <w:sz w:val="24"/>
              </w:rPr>
              <w:t> </w:t>
            </w:r>
            <w:r>
              <w:rPr>
                <w:rFonts w:ascii="Calibri"/>
                <w:sz w:val="24"/>
              </w:rPr>
              <w:t>Racial</w:t>
            </w:r>
            <w:r>
              <w:rPr>
                <w:rFonts w:ascii="Calibri"/>
                <w:spacing w:val="-10"/>
                <w:sz w:val="24"/>
              </w:rPr>
              <w:t> </w:t>
            </w:r>
            <w:r>
              <w:rPr>
                <w:rFonts w:ascii="Calibri"/>
                <w:sz w:val="24"/>
              </w:rPr>
              <w:t>and</w:t>
            </w:r>
            <w:r>
              <w:rPr>
                <w:rFonts w:ascii="Calibri"/>
                <w:spacing w:val="-12"/>
                <w:sz w:val="24"/>
              </w:rPr>
              <w:t> </w:t>
            </w:r>
            <w:r>
              <w:rPr>
                <w:rFonts w:ascii="Calibri"/>
                <w:sz w:val="24"/>
              </w:rPr>
              <w:t>Economic</w:t>
            </w:r>
            <w:r>
              <w:rPr>
                <w:rFonts w:ascii="Calibri"/>
                <w:spacing w:val="-11"/>
                <w:sz w:val="24"/>
              </w:rPr>
              <w:t> </w:t>
            </w:r>
            <w:r>
              <w:rPr>
                <w:rFonts w:ascii="Calibri"/>
                <w:sz w:val="24"/>
              </w:rPr>
              <w:t>Justice in the Workplace</w:t>
            </w:r>
          </w:p>
        </w:tc>
        <w:tc>
          <w:tcPr>
            <w:tcW w:w="3328" w:type="dxa"/>
          </w:tcPr>
          <w:p>
            <w:pPr>
              <w:pStyle w:val="TableParagraph"/>
              <w:spacing w:line="240" w:lineRule="auto" w:before="1"/>
              <w:ind w:left="105"/>
              <w:rPr>
                <w:rFonts w:ascii="Calibri"/>
                <w:sz w:val="24"/>
              </w:rPr>
            </w:pPr>
            <w:r>
              <w:rPr>
                <w:rFonts w:ascii="Calibri"/>
                <w:sz w:val="24"/>
              </w:rPr>
              <w:t>February</w:t>
            </w:r>
            <w:r>
              <w:rPr>
                <w:rFonts w:ascii="Calibri"/>
                <w:spacing w:val="-3"/>
                <w:sz w:val="24"/>
              </w:rPr>
              <w:t> </w:t>
            </w:r>
            <w:r>
              <w:rPr>
                <w:rFonts w:ascii="Calibri"/>
                <w:sz w:val="24"/>
              </w:rPr>
              <w:t>24,</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Equity in</w:t>
            </w:r>
            <w:r>
              <w:rPr>
                <w:rFonts w:ascii="Calibri"/>
                <w:spacing w:val="-1"/>
                <w:sz w:val="24"/>
              </w:rPr>
              <w:t> </w:t>
            </w:r>
            <w:r>
              <w:rPr>
                <w:rFonts w:ascii="Calibri"/>
                <w:spacing w:val="-2"/>
                <w:sz w:val="24"/>
              </w:rPr>
              <w:t>Focus</w:t>
            </w:r>
          </w:p>
        </w:tc>
        <w:tc>
          <w:tcPr>
            <w:tcW w:w="3328" w:type="dxa"/>
          </w:tcPr>
          <w:p>
            <w:pPr>
              <w:pStyle w:val="TableParagraph"/>
              <w:spacing w:line="272" w:lineRule="exact"/>
              <w:ind w:left="105"/>
              <w:rPr>
                <w:rFonts w:ascii="Calibri"/>
                <w:sz w:val="24"/>
              </w:rPr>
            </w:pPr>
            <w:r>
              <w:rPr>
                <w:rFonts w:ascii="Calibri"/>
                <w:sz w:val="24"/>
              </w:rPr>
              <w:t>February</w:t>
            </w:r>
            <w:r>
              <w:rPr>
                <w:rFonts w:ascii="Calibri"/>
                <w:spacing w:val="-3"/>
                <w:sz w:val="24"/>
              </w:rPr>
              <w:t> </w:t>
            </w:r>
            <w:r>
              <w:rPr>
                <w:rFonts w:ascii="Calibri"/>
                <w:sz w:val="24"/>
              </w:rPr>
              <w:t>24,</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tabs>
                <w:tab w:pos="1662" w:val="left" w:leader="none"/>
                <w:tab w:pos="3165" w:val="left" w:leader="none"/>
                <w:tab w:pos="3892" w:val="left" w:leader="none"/>
                <w:tab w:pos="4579" w:val="left" w:leader="none"/>
              </w:tabs>
              <w:spacing w:line="292" w:lineRule="exact"/>
              <w:ind w:left="107"/>
              <w:rPr>
                <w:rFonts w:ascii="Calibri"/>
                <w:sz w:val="24"/>
              </w:rPr>
            </w:pPr>
            <w:r>
              <w:rPr>
                <w:rFonts w:ascii="Calibri"/>
                <w:spacing w:val="-2"/>
                <w:sz w:val="24"/>
              </w:rPr>
              <w:t>Davis-Bacon</w:t>
            </w:r>
            <w:r>
              <w:rPr>
                <w:rFonts w:ascii="Calibri"/>
                <w:sz w:val="24"/>
              </w:rPr>
              <w:tab/>
            </w:r>
            <w:r>
              <w:rPr>
                <w:rFonts w:ascii="Calibri"/>
                <w:spacing w:val="-2"/>
                <w:sz w:val="24"/>
              </w:rPr>
              <w:t>Compliance</w:t>
            </w:r>
            <w:r>
              <w:rPr>
                <w:rFonts w:ascii="Calibri"/>
                <w:sz w:val="24"/>
              </w:rPr>
              <w:tab/>
            </w:r>
            <w:r>
              <w:rPr>
                <w:rFonts w:ascii="Calibri"/>
                <w:spacing w:val="-5"/>
                <w:sz w:val="24"/>
              </w:rPr>
              <w:t>and</w:t>
            </w:r>
            <w:r>
              <w:rPr>
                <w:rFonts w:ascii="Calibri"/>
                <w:sz w:val="24"/>
              </w:rPr>
              <w:tab/>
            </w:r>
            <w:r>
              <w:rPr>
                <w:rFonts w:ascii="Calibri"/>
                <w:spacing w:val="-5"/>
                <w:sz w:val="24"/>
              </w:rPr>
              <w:t>the</w:t>
            </w:r>
            <w:r>
              <w:rPr>
                <w:rFonts w:ascii="Calibri"/>
                <w:sz w:val="24"/>
              </w:rPr>
              <w:tab/>
            </w:r>
            <w:r>
              <w:rPr>
                <w:rFonts w:ascii="Calibri"/>
                <w:spacing w:val="-2"/>
                <w:sz w:val="24"/>
              </w:rPr>
              <w:t>Bipartisan</w:t>
            </w:r>
          </w:p>
          <w:p>
            <w:pPr>
              <w:pStyle w:val="TableParagraph"/>
              <w:spacing w:line="273" w:lineRule="exact"/>
              <w:ind w:left="107"/>
              <w:rPr>
                <w:rFonts w:ascii="Calibri"/>
                <w:sz w:val="24"/>
              </w:rPr>
            </w:pPr>
            <w:r>
              <w:rPr>
                <w:rFonts w:ascii="Calibri"/>
                <w:sz w:val="24"/>
              </w:rPr>
              <w:t>Infrastructure</w:t>
            </w:r>
            <w:r>
              <w:rPr>
                <w:rFonts w:ascii="Calibri"/>
                <w:spacing w:val="-4"/>
                <w:sz w:val="24"/>
              </w:rPr>
              <w:t> </w:t>
            </w:r>
            <w:r>
              <w:rPr>
                <w:rFonts w:ascii="Calibri"/>
                <w:spacing w:val="-5"/>
                <w:sz w:val="24"/>
              </w:rPr>
              <w:t>Law</w:t>
            </w:r>
          </w:p>
        </w:tc>
        <w:tc>
          <w:tcPr>
            <w:tcW w:w="3328" w:type="dxa"/>
          </w:tcPr>
          <w:p>
            <w:pPr>
              <w:pStyle w:val="TableParagraph"/>
              <w:spacing w:line="292" w:lineRule="exact"/>
              <w:ind w:left="105"/>
              <w:rPr>
                <w:rFonts w:ascii="Calibri"/>
                <w:sz w:val="24"/>
              </w:rPr>
            </w:pPr>
            <w:r>
              <w:rPr>
                <w:rFonts w:ascii="Calibri"/>
                <w:sz w:val="24"/>
              </w:rPr>
              <w:t>February</w:t>
            </w:r>
            <w:r>
              <w:rPr>
                <w:rFonts w:ascii="Calibri"/>
                <w:spacing w:val="-3"/>
                <w:sz w:val="24"/>
              </w:rPr>
              <w:t> </w:t>
            </w:r>
            <w:r>
              <w:rPr>
                <w:rFonts w:ascii="Calibri"/>
                <w:sz w:val="24"/>
              </w:rPr>
              <w:t>28,</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USDOT</w:t>
            </w:r>
            <w:r>
              <w:rPr>
                <w:rFonts w:ascii="Calibri"/>
                <w:spacing w:val="-1"/>
                <w:sz w:val="24"/>
              </w:rPr>
              <w:t> </w:t>
            </w:r>
            <w:r>
              <w:rPr>
                <w:rFonts w:ascii="Calibri"/>
                <w:sz w:val="24"/>
              </w:rPr>
              <w:t>DBE</w:t>
            </w:r>
            <w:r>
              <w:rPr>
                <w:rFonts w:ascii="Calibri"/>
                <w:spacing w:val="-1"/>
                <w:sz w:val="24"/>
              </w:rPr>
              <w:t> </w:t>
            </w:r>
            <w:r>
              <w:rPr>
                <w:rFonts w:ascii="Calibri"/>
                <w:sz w:val="24"/>
              </w:rPr>
              <w:t>Contract Goal</w:t>
            </w:r>
            <w:r>
              <w:rPr>
                <w:rFonts w:ascii="Calibri"/>
                <w:spacing w:val="-1"/>
                <w:sz w:val="24"/>
              </w:rPr>
              <w:t> </w:t>
            </w:r>
            <w:r>
              <w:rPr>
                <w:rFonts w:ascii="Calibri"/>
                <w:sz w:val="24"/>
              </w:rPr>
              <w:t>Setting</w:t>
            </w:r>
            <w:r>
              <w:rPr>
                <w:rFonts w:ascii="Calibri"/>
                <w:spacing w:val="-3"/>
                <w:sz w:val="24"/>
              </w:rPr>
              <w:t> </w:t>
            </w:r>
            <w:r>
              <w:rPr>
                <w:rFonts w:ascii="Calibri"/>
                <w:spacing w:val="-2"/>
                <w:sz w:val="24"/>
              </w:rPr>
              <w:t>Webinar</w:t>
            </w:r>
          </w:p>
        </w:tc>
        <w:tc>
          <w:tcPr>
            <w:tcW w:w="3328" w:type="dxa"/>
          </w:tcPr>
          <w:p>
            <w:pPr>
              <w:pStyle w:val="TableParagraph"/>
              <w:spacing w:line="272" w:lineRule="exact"/>
              <w:ind w:left="105"/>
              <w:rPr>
                <w:rFonts w:ascii="Calibri"/>
                <w:sz w:val="24"/>
              </w:rPr>
            </w:pPr>
            <w:r>
              <w:rPr>
                <w:rFonts w:ascii="Calibri"/>
                <w:sz w:val="24"/>
              </w:rPr>
              <w:t>March</w:t>
            </w:r>
            <w:r>
              <w:rPr>
                <w:rFonts w:ascii="Calibri"/>
                <w:spacing w:val="-3"/>
                <w:sz w:val="24"/>
              </w:rPr>
              <w:t> </w:t>
            </w:r>
            <w:r>
              <w:rPr>
                <w:rFonts w:ascii="Calibri"/>
                <w:sz w:val="24"/>
              </w:rPr>
              <w:t>2,</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Understanding</w:t>
            </w:r>
            <w:r>
              <w:rPr>
                <w:rFonts w:ascii="Calibri"/>
                <w:spacing w:val="-3"/>
                <w:sz w:val="24"/>
              </w:rPr>
              <w:t> </w:t>
            </w:r>
            <w:r>
              <w:rPr>
                <w:rFonts w:ascii="Calibri"/>
                <w:spacing w:val="-5"/>
                <w:sz w:val="24"/>
              </w:rPr>
              <w:t>ADA</w:t>
            </w:r>
          </w:p>
        </w:tc>
        <w:tc>
          <w:tcPr>
            <w:tcW w:w="3328" w:type="dxa"/>
          </w:tcPr>
          <w:p>
            <w:pPr>
              <w:pStyle w:val="TableParagraph"/>
              <w:spacing w:line="273" w:lineRule="exact" w:before="1"/>
              <w:ind w:left="105"/>
              <w:rPr>
                <w:rFonts w:ascii="Calibri"/>
                <w:sz w:val="24"/>
              </w:rPr>
            </w:pPr>
            <w:r>
              <w:rPr>
                <w:rFonts w:ascii="Calibri"/>
                <w:sz w:val="24"/>
              </w:rPr>
              <w:t>March</w:t>
            </w:r>
            <w:r>
              <w:rPr>
                <w:rFonts w:ascii="Calibri"/>
                <w:spacing w:val="-3"/>
                <w:sz w:val="24"/>
              </w:rPr>
              <w:t> </w:t>
            </w:r>
            <w:r>
              <w:rPr>
                <w:rFonts w:ascii="Calibri"/>
                <w:sz w:val="24"/>
              </w:rPr>
              <w:t>8,</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Using</w:t>
            </w:r>
            <w:r>
              <w:rPr>
                <w:rFonts w:ascii="Calibri"/>
                <w:spacing w:val="-3"/>
                <w:sz w:val="24"/>
              </w:rPr>
              <w:t> </w:t>
            </w:r>
            <w:r>
              <w:rPr>
                <w:rFonts w:ascii="Calibri"/>
                <w:sz w:val="24"/>
              </w:rPr>
              <w:t>Population</w:t>
            </w:r>
            <w:r>
              <w:rPr>
                <w:rFonts w:ascii="Calibri"/>
                <w:spacing w:val="-3"/>
                <w:sz w:val="24"/>
              </w:rPr>
              <w:t> </w:t>
            </w:r>
            <w:r>
              <w:rPr>
                <w:rFonts w:ascii="Calibri"/>
                <w:sz w:val="24"/>
              </w:rPr>
              <w:t>Estimates</w:t>
            </w:r>
            <w:r>
              <w:rPr>
                <w:rFonts w:ascii="Calibri"/>
                <w:spacing w:val="-3"/>
                <w:sz w:val="24"/>
              </w:rPr>
              <w:t> </w:t>
            </w:r>
            <w:r>
              <w:rPr>
                <w:rFonts w:ascii="Calibri"/>
                <w:sz w:val="24"/>
              </w:rPr>
              <w:t>and </w:t>
            </w:r>
            <w:r>
              <w:rPr>
                <w:rFonts w:ascii="Calibri"/>
                <w:spacing w:val="-2"/>
                <w:sz w:val="24"/>
              </w:rPr>
              <w:t>Projections</w:t>
            </w:r>
          </w:p>
        </w:tc>
        <w:tc>
          <w:tcPr>
            <w:tcW w:w="3328" w:type="dxa"/>
          </w:tcPr>
          <w:p>
            <w:pPr>
              <w:pStyle w:val="TableParagraph"/>
              <w:spacing w:line="272" w:lineRule="exact"/>
              <w:ind w:left="105"/>
              <w:rPr>
                <w:rFonts w:ascii="Calibri"/>
                <w:sz w:val="24"/>
              </w:rPr>
            </w:pPr>
            <w:r>
              <w:rPr>
                <w:rFonts w:ascii="Calibri"/>
                <w:sz w:val="24"/>
              </w:rPr>
              <w:t>March</w:t>
            </w:r>
            <w:r>
              <w:rPr>
                <w:rFonts w:ascii="Calibri"/>
                <w:spacing w:val="-1"/>
                <w:sz w:val="24"/>
              </w:rPr>
              <w:t> </w:t>
            </w:r>
            <w:r>
              <w:rPr>
                <w:rFonts w:ascii="Calibri"/>
                <w:sz w:val="24"/>
              </w:rPr>
              <w:t>10,</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hAnsi="Calibri"/>
                <w:sz w:val="24"/>
              </w:rPr>
            </w:pPr>
            <w:r>
              <w:rPr>
                <w:rFonts w:ascii="Calibri" w:hAnsi="Calibri"/>
                <w:sz w:val="24"/>
              </w:rPr>
              <w:t>Disadvantaged</w:t>
            </w:r>
            <w:r>
              <w:rPr>
                <w:rFonts w:ascii="Calibri" w:hAnsi="Calibri"/>
                <w:spacing w:val="-4"/>
                <w:sz w:val="24"/>
              </w:rPr>
              <w:t> </w:t>
            </w:r>
            <w:r>
              <w:rPr>
                <w:rFonts w:ascii="Calibri" w:hAnsi="Calibri"/>
                <w:sz w:val="24"/>
              </w:rPr>
              <w:t>Business</w:t>
            </w:r>
            <w:r>
              <w:rPr>
                <w:rFonts w:ascii="Calibri" w:hAnsi="Calibri"/>
                <w:spacing w:val="-5"/>
                <w:sz w:val="24"/>
              </w:rPr>
              <w:t> </w:t>
            </w:r>
            <w:r>
              <w:rPr>
                <w:rFonts w:ascii="Calibri" w:hAnsi="Calibri"/>
                <w:sz w:val="24"/>
              </w:rPr>
              <w:t>Enterprise</w:t>
            </w:r>
            <w:r>
              <w:rPr>
                <w:rFonts w:ascii="Calibri" w:hAnsi="Calibri"/>
                <w:spacing w:val="-4"/>
                <w:sz w:val="24"/>
              </w:rPr>
              <w:t> </w:t>
            </w:r>
            <w:r>
              <w:rPr>
                <w:rFonts w:ascii="Calibri" w:hAnsi="Calibri"/>
                <w:sz w:val="24"/>
              </w:rPr>
              <w:t>(DBE)</w:t>
            </w:r>
            <w:r>
              <w:rPr>
                <w:rFonts w:ascii="Calibri" w:hAnsi="Calibri"/>
                <w:spacing w:val="-3"/>
                <w:sz w:val="24"/>
              </w:rPr>
              <w:t> </w:t>
            </w:r>
            <w:r>
              <w:rPr>
                <w:rFonts w:ascii="Calibri" w:hAnsi="Calibri"/>
                <w:sz w:val="24"/>
              </w:rPr>
              <w:t>Program</w:t>
            </w:r>
            <w:r>
              <w:rPr>
                <w:rFonts w:ascii="Calibri" w:hAnsi="Calibri"/>
                <w:spacing w:val="-2"/>
                <w:sz w:val="24"/>
              </w:rPr>
              <w:t> </w:t>
            </w:r>
            <w:r>
              <w:rPr>
                <w:rFonts w:ascii="Calibri" w:hAnsi="Calibri"/>
                <w:spacing w:val="-10"/>
                <w:sz w:val="24"/>
              </w:rPr>
              <w:t>–</w:t>
            </w:r>
          </w:p>
          <w:p>
            <w:pPr>
              <w:pStyle w:val="TableParagraph"/>
              <w:spacing w:line="273" w:lineRule="exact"/>
              <w:ind w:left="107"/>
              <w:rPr>
                <w:rFonts w:ascii="Calibri"/>
                <w:sz w:val="24"/>
              </w:rPr>
            </w:pPr>
            <w:r>
              <w:rPr>
                <w:rFonts w:ascii="Calibri"/>
                <w:sz w:val="24"/>
              </w:rPr>
              <w:t>New</w:t>
            </w:r>
            <w:r>
              <w:rPr>
                <w:rFonts w:ascii="Calibri"/>
                <w:spacing w:val="-3"/>
                <w:sz w:val="24"/>
              </w:rPr>
              <w:t> </w:t>
            </w:r>
            <w:r>
              <w:rPr>
                <w:rFonts w:ascii="Calibri"/>
                <w:sz w:val="24"/>
              </w:rPr>
              <w:t>NAICS</w:t>
            </w:r>
            <w:r>
              <w:rPr>
                <w:rFonts w:ascii="Calibri"/>
                <w:spacing w:val="-1"/>
                <w:sz w:val="24"/>
              </w:rPr>
              <w:t> </w:t>
            </w:r>
            <w:r>
              <w:rPr>
                <w:rFonts w:ascii="Calibri"/>
                <w:sz w:val="24"/>
              </w:rPr>
              <w:t>Code Official</w:t>
            </w:r>
            <w:r>
              <w:rPr>
                <w:rFonts w:ascii="Calibri"/>
                <w:spacing w:val="-3"/>
                <w:sz w:val="24"/>
              </w:rPr>
              <w:t> </w:t>
            </w:r>
            <w:r>
              <w:rPr>
                <w:rFonts w:ascii="Calibri"/>
                <w:spacing w:val="-2"/>
                <w:sz w:val="24"/>
              </w:rPr>
              <w:t>Guidance</w:t>
            </w:r>
          </w:p>
        </w:tc>
        <w:tc>
          <w:tcPr>
            <w:tcW w:w="3328" w:type="dxa"/>
          </w:tcPr>
          <w:p>
            <w:pPr>
              <w:pStyle w:val="TableParagraph"/>
              <w:spacing w:line="292" w:lineRule="exact"/>
              <w:ind w:left="105"/>
              <w:rPr>
                <w:rFonts w:ascii="Calibri"/>
                <w:sz w:val="24"/>
              </w:rPr>
            </w:pPr>
            <w:r>
              <w:rPr>
                <w:rFonts w:ascii="Calibri"/>
                <w:sz w:val="24"/>
              </w:rPr>
              <w:t>March</w:t>
            </w:r>
            <w:r>
              <w:rPr>
                <w:rFonts w:ascii="Calibri"/>
                <w:spacing w:val="-1"/>
                <w:sz w:val="24"/>
              </w:rPr>
              <w:t> </w:t>
            </w:r>
            <w:r>
              <w:rPr>
                <w:rFonts w:ascii="Calibri"/>
                <w:sz w:val="24"/>
              </w:rPr>
              <w:t>10,</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Climate</w:t>
            </w:r>
            <w:r>
              <w:rPr>
                <w:rFonts w:ascii="Calibri"/>
                <w:spacing w:val="-1"/>
                <w:sz w:val="24"/>
              </w:rPr>
              <w:t> </w:t>
            </w:r>
            <w:r>
              <w:rPr>
                <w:rFonts w:ascii="Calibri"/>
                <w:sz w:val="24"/>
              </w:rPr>
              <w:t>and</w:t>
            </w:r>
            <w:r>
              <w:rPr>
                <w:rFonts w:ascii="Calibri"/>
                <w:spacing w:val="-3"/>
                <w:sz w:val="24"/>
              </w:rPr>
              <w:t> </w:t>
            </w:r>
            <w:r>
              <w:rPr>
                <w:rFonts w:ascii="Calibri"/>
                <w:sz w:val="24"/>
              </w:rPr>
              <w:t>Economic</w:t>
            </w:r>
            <w:r>
              <w:rPr>
                <w:rFonts w:ascii="Calibri"/>
                <w:spacing w:val="-2"/>
                <w:sz w:val="24"/>
              </w:rPr>
              <w:t> </w:t>
            </w:r>
            <w:r>
              <w:rPr>
                <w:rFonts w:ascii="Calibri"/>
                <w:sz w:val="24"/>
              </w:rPr>
              <w:t>Justice</w:t>
            </w:r>
            <w:r>
              <w:rPr>
                <w:rFonts w:ascii="Calibri"/>
                <w:spacing w:val="-1"/>
                <w:sz w:val="24"/>
              </w:rPr>
              <w:t> </w:t>
            </w:r>
            <w:r>
              <w:rPr>
                <w:rFonts w:ascii="Calibri"/>
                <w:sz w:val="24"/>
              </w:rPr>
              <w:t>Screening</w:t>
            </w:r>
            <w:r>
              <w:rPr>
                <w:rFonts w:ascii="Calibri"/>
                <w:spacing w:val="-3"/>
                <w:sz w:val="24"/>
              </w:rPr>
              <w:t> </w:t>
            </w:r>
            <w:r>
              <w:rPr>
                <w:rFonts w:ascii="Calibri"/>
                <w:spacing w:val="-4"/>
                <w:sz w:val="24"/>
              </w:rPr>
              <w:t>Tool</w:t>
            </w:r>
          </w:p>
        </w:tc>
        <w:tc>
          <w:tcPr>
            <w:tcW w:w="3328" w:type="dxa"/>
          </w:tcPr>
          <w:p>
            <w:pPr>
              <w:pStyle w:val="TableParagraph"/>
              <w:spacing w:line="272" w:lineRule="exact"/>
              <w:ind w:left="105"/>
              <w:rPr>
                <w:rFonts w:ascii="Calibri"/>
                <w:sz w:val="24"/>
              </w:rPr>
            </w:pPr>
            <w:r>
              <w:rPr>
                <w:rFonts w:ascii="Calibri"/>
                <w:sz w:val="24"/>
              </w:rPr>
              <w:t>March</w:t>
            </w:r>
            <w:r>
              <w:rPr>
                <w:rFonts w:ascii="Calibri"/>
                <w:spacing w:val="-1"/>
                <w:sz w:val="24"/>
              </w:rPr>
              <w:t> </w:t>
            </w:r>
            <w:r>
              <w:rPr>
                <w:rFonts w:ascii="Calibri"/>
                <w:sz w:val="24"/>
              </w:rPr>
              <w:t>10,</w:t>
            </w:r>
            <w:r>
              <w:rPr>
                <w:rFonts w:ascii="Calibri"/>
                <w:spacing w:val="-2"/>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TPM</w:t>
            </w:r>
            <w:r>
              <w:rPr>
                <w:rFonts w:ascii="Calibri"/>
                <w:spacing w:val="-1"/>
                <w:sz w:val="24"/>
              </w:rPr>
              <w:t> </w:t>
            </w:r>
            <w:r>
              <w:rPr>
                <w:rFonts w:ascii="Calibri"/>
                <w:spacing w:val="-2"/>
                <w:sz w:val="24"/>
              </w:rPr>
              <w:t>Webinar</w:t>
            </w:r>
          </w:p>
        </w:tc>
        <w:tc>
          <w:tcPr>
            <w:tcW w:w="3328" w:type="dxa"/>
          </w:tcPr>
          <w:p>
            <w:pPr>
              <w:pStyle w:val="TableParagraph"/>
              <w:spacing w:line="273" w:lineRule="exact" w:before="1"/>
              <w:ind w:left="105"/>
              <w:rPr>
                <w:rFonts w:ascii="Calibri"/>
                <w:sz w:val="24"/>
              </w:rPr>
            </w:pPr>
            <w:r>
              <w:rPr>
                <w:rFonts w:ascii="Calibri"/>
                <w:sz w:val="24"/>
              </w:rPr>
              <w:t>March</w:t>
            </w:r>
            <w:r>
              <w:rPr>
                <w:rFonts w:ascii="Calibri"/>
                <w:spacing w:val="-1"/>
                <w:sz w:val="24"/>
              </w:rPr>
              <w:t> </w:t>
            </w:r>
            <w:r>
              <w:rPr>
                <w:rFonts w:ascii="Calibri"/>
                <w:sz w:val="24"/>
              </w:rPr>
              <w:t>16,</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Public</w:t>
            </w:r>
            <w:r>
              <w:rPr>
                <w:rFonts w:ascii="Calibri"/>
                <w:spacing w:val="-2"/>
                <w:sz w:val="24"/>
              </w:rPr>
              <w:t> </w:t>
            </w:r>
            <w:r>
              <w:rPr>
                <w:rFonts w:ascii="Calibri"/>
                <w:sz w:val="24"/>
              </w:rPr>
              <w:t>Meeting </w:t>
            </w:r>
            <w:r>
              <w:rPr>
                <w:rFonts w:ascii="Calibri"/>
                <w:spacing w:val="-2"/>
                <w:sz w:val="24"/>
              </w:rPr>
              <w:t>Accommodations</w:t>
            </w:r>
          </w:p>
        </w:tc>
        <w:tc>
          <w:tcPr>
            <w:tcW w:w="3328" w:type="dxa"/>
          </w:tcPr>
          <w:p>
            <w:pPr>
              <w:pStyle w:val="TableParagraph"/>
              <w:spacing w:line="272" w:lineRule="exact"/>
              <w:ind w:left="105"/>
              <w:rPr>
                <w:rFonts w:ascii="Calibri"/>
                <w:sz w:val="24"/>
              </w:rPr>
            </w:pPr>
            <w:r>
              <w:rPr>
                <w:rFonts w:ascii="Calibri"/>
                <w:sz w:val="24"/>
              </w:rPr>
              <w:t>March</w:t>
            </w:r>
            <w:r>
              <w:rPr>
                <w:rFonts w:ascii="Calibri"/>
                <w:spacing w:val="-1"/>
                <w:sz w:val="24"/>
              </w:rPr>
              <w:t> </w:t>
            </w:r>
            <w:r>
              <w:rPr>
                <w:rFonts w:ascii="Calibri"/>
                <w:sz w:val="24"/>
              </w:rPr>
              <w:t>17,</w:t>
            </w:r>
            <w:r>
              <w:rPr>
                <w:rFonts w:ascii="Calibri"/>
                <w:spacing w:val="-2"/>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Service</w:t>
            </w:r>
            <w:r>
              <w:rPr>
                <w:rFonts w:ascii="Calibri"/>
                <w:spacing w:val="-2"/>
                <w:sz w:val="24"/>
              </w:rPr>
              <w:t> </w:t>
            </w:r>
            <w:r>
              <w:rPr>
                <w:rFonts w:ascii="Calibri"/>
                <w:sz w:val="24"/>
              </w:rPr>
              <w:t>Contract</w:t>
            </w:r>
            <w:r>
              <w:rPr>
                <w:rFonts w:ascii="Calibri"/>
                <w:spacing w:val="-4"/>
                <w:sz w:val="24"/>
              </w:rPr>
              <w:t> </w:t>
            </w:r>
            <w:r>
              <w:rPr>
                <w:rFonts w:ascii="Calibri"/>
                <w:sz w:val="24"/>
              </w:rPr>
              <w:t>Act</w:t>
            </w:r>
            <w:r>
              <w:rPr>
                <w:rFonts w:ascii="Calibri"/>
                <w:spacing w:val="-1"/>
                <w:sz w:val="24"/>
              </w:rPr>
              <w:t> </w:t>
            </w:r>
            <w:r>
              <w:rPr>
                <w:rFonts w:ascii="Calibri"/>
                <w:sz w:val="24"/>
              </w:rPr>
              <w:t>(SCA)</w:t>
            </w:r>
            <w:r>
              <w:rPr>
                <w:rFonts w:ascii="Calibri"/>
                <w:spacing w:val="-2"/>
                <w:sz w:val="24"/>
              </w:rPr>
              <w:t> Compliance</w:t>
            </w:r>
          </w:p>
        </w:tc>
        <w:tc>
          <w:tcPr>
            <w:tcW w:w="3328" w:type="dxa"/>
          </w:tcPr>
          <w:p>
            <w:pPr>
              <w:pStyle w:val="TableParagraph"/>
              <w:spacing w:line="272" w:lineRule="exact"/>
              <w:ind w:left="105"/>
              <w:rPr>
                <w:rFonts w:ascii="Calibri"/>
                <w:sz w:val="24"/>
              </w:rPr>
            </w:pPr>
            <w:r>
              <w:rPr>
                <w:rFonts w:ascii="Calibri"/>
                <w:sz w:val="24"/>
              </w:rPr>
              <w:t>March</w:t>
            </w:r>
            <w:r>
              <w:rPr>
                <w:rFonts w:ascii="Calibri"/>
                <w:spacing w:val="-1"/>
                <w:sz w:val="24"/>
              </w:rPr>
              <w:t> </w:t>
            </w:r>
            <w:r>
              <w:rPr>
                <w:rFonts w:ascii="Calibri"/>
                <w:sz w:val="24"/>
              </w:rPr>
              <w:t>30,</w:t>
            </w:r>
            <w:r>
              <w:rPr>
                <w:rFonts w:ascii="Calibri"/>
                <w:spacing w:val="-2"/>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Building</w:t>
            </w:r>
            <w:r>
              <w:rPr>
                <w:rFonts w:ascii="Calibri"/>
                <w:spacing w:val="63"/>
                <w:sz w:val="24"/>
              </w:rPr>
              <w:t> </w:t>
            </w:r>
            <w:r>
              <w:rPr>
                <w:rFonts w:ascii="Calibri"/>
                <w:sz w:val="24"/>
              </w:rPr>
              <w:t>Skills</w:t>
            </w:r>
            <w:r>
              <w:rPr>
                <w:rFonts w:ascii="Calibri"/>
                <w:spacing w:val="65"/>
                <w:sz w:val="24"/>
              </w:rPr>
              <w:t> </w:t>
            </w:r>
            <w:r>
              <w:rPr>
                <w:rFonts w:ascii="Calibri"/>
                <w:sz w:val="24"/>
              </w:rPr>
              <w:t>for</w:t>
            </w:r>
            <w:r>
              <w:rPr>
                <w:rFonts w:ascii="Calibri"/>
                <w:spacing w:val="63"/>
                <w:sz w:val="24"/>
              </w:rPr>
              <w:t> </w:t>
            </w:r>
            <w:r>
              <w:rPr>
                <w:rFonts w:ascii="Calibri"/>
                <w:sz w:val="24"/>
              </w:rPr>
              <w:t>Successful</w:t>
            </w:r>
            <w:r>
              <w:rPr>
                <w:rFonts w:ascii="Calibri"/>
                <w:spacing w:val="63"/>
                <w:sz w:val="24"/>
              </w:rPr>
              <w:t> </w:t>
            </w:r>
            <w:r>
              <w:rPr>
                <w:rFonts w:ascii="Calibri"/>
                <w:sz w:val="24"/>
              </w:rPr>
              <w:t>Transportation</w:t>
            </w:r>
            <w:r>
              <w:rPr>
                <w:rFonts w:ascii="Calibri"/>
                <w:spacing w:val="65"/>
                <w:sz w:val="24"/>
              </w:rPr>
              <w:t> </w:t>
            </w:r>
            <w:r>
              <w:rPr>
                <w:rFonts w:ascii="Calibri"/>
                <w:spacing w:val="-2"/>
                <w:sz w:val="24"/>
              </w:rPr>
              <w:t>Program</w:t>
            </w:r>
          </w:p>
          <w:p>
            <w:pPr>
              <w:pStyle w:val="TableParagraph"/>
              <w:spacing w:line="273" w:lineRule="exact"/>
              <w:ind w:left="107"/>
              <w:rPr>
                <w:rFonts w:ascii="Calibri"/>
                <w:sz w:val="24"/>
              </w:rPr>
            </w:pPr>
            <w:r>
              <w:rPr>
                <w:rFonts w:ascii="Calibri"/>
                <w:spacing w:val="-2"/>
                <w:sz w:val="24"/>
              </w:rPr>
              <w:t>Delivery</w:t>
            </w:r>
          </w:p>
        </w:tc>
        <w:tc>
          <w:tcPr>
            <w:tcW w:w="3328" w:type="dxa"/>
          </w:tcPr>
          <w:p>
            <w:pPr>
              <w:pStyle w:val="TableParagraph"/>
              <w:spacing w:line="292" w:lineRule="exact"/>
              <w:ind w:left="105"/>
              <w:rPr>
                <w:rFonts w:ascii="Calibri"/>
                <w:sz w:val="24"/>
              </w:rPr>
            </w:pPr>
            <w:r>
              <w:rPr>
                <w:rFonts w:ascii="Calibri"/>
                <w:sz w:val="24"/>
              </w:rPr>
              <w:t>April</w:t>
            </w:r>
            <w:r>
              <w:rPr>
                <w:rFonts w:ascii="Calibri"/>
                <w:spacing w:val="-2"/>
                <w:sz w:val="24"/>
              </w:rPr>
              <w:t> </w:t>
            </w:r>
            <w:r>
              <w:rPr>
                <w:rFonts w:ascii="Calibri"/>
                <w:sz w:val="24"/>
              </w:rPr>
              <w:t>12,</w:t>
            </w:r>
            <w:r>
              <w:rPr>
                <w:rFonts w:ascii="Calibri"/>
                <w:spacing w:val="-1"/>
                <w:sz w:val="24"/>
              </w:rPr>
              <w:t> </w:t>
            </w:r>
            <w:r>
              <w:rPr>
                <w:rFonts w:ascii="Calibri"/>
                <w:spacing w:val="-4"/>
                <w:sz w:val="24"/>
              </w:rPr>
              <w:t>2022</w:t>
            </w:r>
          </w:p>
        </w:tc>
      </w:tr>
      <w:tr>
        <w:trPr>
          <w:trHeight w:val="587" w:hRule="atLeast"/>
        </w:trPr>
        <w:tc>
          <w:tcPr>
            <w:tcW w:w="5666" w:type="dxa"/>
          </w:tcPr>
          <w:p>
            <w:pPr>
              <w:pStyle w:val="TableParagraph"/>
              <w:spacing w:line="290" w:lineRule="atLeast"/>
              <w:ind w:left="107"/>
              <w:rPr>
                <w:rFonts w:ascii="Calibri"/>
                <w:sz w:val="24"/>
              </w:rPr>
            </w:pPr>
            <w:r>
              <w:rPr>
                <w:rFonts w:ascii="Calibri"/>
                <w:sz w:val="24"/>
              </w:rPr>
              <w:t>Building</w:t>
            </w:r>
            <w:r>
              <w:rPr>
                <w:rFonts w:ascii="Calibri"/>
                <w:spacing w:val="40"/>
                <w:sz w:val="24"/>
              </w:rPr>
              <w:t> </w:t>
            </w:r>
            <w:r>
              <w:rPr>
                <w:rFonts w:ascii="Calibri"/>
                <w:sz w:val="24"/>
              </w:rPr>
              <w:t>Skills</w:t>
            </w:r>
            <w:r>
              <w:rPr>
                <w:rFonts w:ascii="Calibri"/>
                <w:spacing w:val="40"/>
                <w:sz w:val="24"/>
              </w:rPr>
              <w:t> </w:t>
            </w:r>
            <w:r>
              <w:rPr>
                <w:rFonts w:ascii="Calibri"/>
                <w:sz w:val="24"/>
              </w:rPr>
              <w:t>for</w:t>
            </w:r>
            <w:r>
              <w:rPr>
                <w:rFonts w:ascii="Calibri"/>
                <w:spacing w:val="40"/>
                <w:sz w:val="24"/>
              </w:rPr>
              <w:t> </w:t>
            </w:r>
            <w:r>
              <w:rPr>
                <w:rFonts w:ascii="Calibri"/>
                <w:sz w:val="24"/>
              </w:rPr>
              <w:t>Successful</w:t>
            </w:r>
            <w:r>
              <w:rPr>
                <w:rFonts w:ascii="Calibri"/>
                <w:spacing w:val="40"/>
                <w:sz w:val="24"/>
              </w:rPr>
              <w:t> </w:t>
            </w:r>
            <w:r>
              <w:rPr>
                <w:rFonts w:ascii="Calibri"/>
                <w:sz w:val="24"/>
              </w:rPr>
              <w:t>Transportation</w:t>
            </w:r>
            <w:r>
              <w:rPr>
                <w:rFonts w:ascii="Calibri"/>
                <w:spacing w:val="40"/>
                <w:sz w:val="24"/>
              </w:rPr>
              <w:t> </w:t>
            </w:r>
            <w:r>
              <w:rPr>
                <w:rFonts w:ascii="Calibri"/>
                <w:sz w:val="24"/>
              </w:rPr>
              <w:t>Program </w:t>
            </w:r>
            <w:r>
              <w:rPr>
                <w:rFonts w:ascii="Calibri"/>
                <w:spacing w:val="-2"/>
                <w:sz w:val="24"/>
              </w:rPr>
              <w:t>Delivery</w:t>
            </w:r>
          </w:p>
        </w:tc>
        <w:tc>
          <w:tcPr>
            <w:tcW w:w="3328" w:type="dxa"/>
          </w:tcPr>
          <w:p>
            <w:pPr>
              <w:pStyle w:val="TableParagraph"/>
              <w:spacing w:line="240" w:lineRule="auto" w:before="1"/>
              <w:ind w:left="105"/>
              <w:rPr>
                <w:rFonts w:ascii="Calibri"/>
                <w:sz w:val="24"/>
              </w:rPr>
            </w:pPr>
            <w:r>
              <w:rPr>
                <w:rFonts w:ascii="Calibri"/>
                <w:sz w:val="24"/>
              </w:rPr>
              <w:t>April</w:t>
            </w:r>
            <w:r>
              <w:rPr>
                <w:rFonts w:ascii="Calibri"/>
                <w:spacing w:val="-2"/>
                <w:sz w:val="24"/>
              </w:rPr>
              <w:t> </w:t>
            </w:r>
            <w:r>
              <w:rPr>
                <w:rFonts w:ascii="Calibri"/>
                <w:sz w:val="24"/>
              </w:rPr>
              <w:t>13,</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CEJST</w:t>
            </w:r>
            <w:r>
              <w:rPr>
                <w:rFonts w:ascii="Calibri"/>
                <w:spacing w:val="-4"/>
                <w:sz w:val="24"/>
              </w:rPr>
              <w:t> </w:t>
            </w:r>
            <w:r>
              <w:rPr>
                <w:rFonts w:ascii="Calibri"/>
                <w:sz w:val="24"/>
              </w:rPr>
              <w:t>Public</w:t>
            </w:r>
            <w:r>
              <w:rPr>
                <w:rFonts w:ascii="Calibri"/>
                <w:spacing w:val="-2"/>
                <w:sz w:val="24"/>
              </w:rPr>
              <w:t> </w:t>
            </w:r>
            <w:r>
              <w:rPr>
                <w:rFonts w:ascii="Calibri"/>
                <w:sz w:val="24"/>
              </w:rPr>
              <w:t>Listening</w:t>
            </w:r>
            <w:r>
              <w:rPr>
                <w:rFonts w:ascii="Calibri"/>
                <w:spacing w:val="-1"/>
                <w:sz w:val="24"/>
              </w:rPr>
              <w:t> </w:t>
            </w:r>
            <w:r>
              <w:rPr>
                <w:rFonts w:ascii="Calibri"/>
                <w:spacing w:val="-2"/>
                <w:sz w:val="24"/>
              </w:rPr>
              <w:t>Session</w:t>
            </w:r>
          </w:p>
        </w:tc>
        <w:tc>
          <w:tcPr>
            <w:tcW w:w="3328" w:type="dxa"/>
          </w:tcPr>
          <w:p>
            <w:pPr>
              <w:pStyle w:val="TableParagraph"/>
              <w:spacing w:line="272" w:lineRule="exact"/>
              <w:ind w:left="105"/>
              <w:rPr>
                <w:rFonts w:ascii="Calibri"/>
                <w:sz w:val="24"/>
              </w:rPr>
            </w:pPr>
            <w:r>
              <w:rPr>
                <w:rFonts w:ascii="Calibri"/>
                <w:sz w:val="24"/>
              </w:rPr>
              <w:t>April</w:t>
            </w:r>
            <w:r>
              <w:rPr>
                <w:rFonts w:ascii="Calibri"/>
                <w:spacing w:val="-2"/>
                <w:sz w:val="24"/>
              </w:rPr>
              <w:t> </w:t>
            </w:r>
            <w:r>
              <w:rPr>
                <w:rFonts w:ascii="Calibri"/>
                <w:sz w:val="24"/>
              </w:rPr>
              <w:t>15,</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Elation System</w:t>
            </w:r>
            <w:r>
              <w:rPr>
                <w:rFonts w:ascii="Calibri"/>
                <w:spacing w:val="-3"/>
                <w:sz w:val="24"/>
              </w:rPr>
              <w:t> </w:t>
            </w:r>
            <w:r>
              <w:rPr>
                <w:rFonts w:ascii="Calibri"/>
                <w:sz w:val="24"/>
              </w:rPr>
              <w:t>Training</w:t>
            </w:r>
            <w:r>
              <w:rPr>
                <w:rFonts w:ascii="Calibri"/>
                <w:spacing w:val="-3"/>
                <w:sz w:val="24"/>
              </w:rPr>
              <w:t> </w:t>
            </w:r>
            <w:r>
              <w:rPr>
                <w:rFonts w:ascii="Calibri"/>
                <w:sz w:val="24"/>
              </w:rPr>
              <w:t>for </w:t>
            </w:r>
            <w:r>
              <w:rPr>
                <w:rFonts w:ascii="Calibri"/>
                <w:spacing w:val="-2"/>
                <w:sz w:val="24"/>
              </w:rPr>
              <w:t>Contractors</w:t>
            </w:r>
          </w:p>
        </w:tc>
        <w:tc>
          <w:tcPr>
            <w:tcW w:w="3328" w:type="dxa"/>
          </w:tcPr>
          <w:p>
            <w:pPr>
              <w:pStyle w:val="TableParagraph"/>
              <w:spacing w:line="272" w:lineRule="exact"/>
              <w:ind w:left="105"/>
              <w:rPr>
                <w:rFonts w:ascii="Calibri"/>
                <w:sz w:val="24"/>
              </w:rPr>
            </w:pPr>
            <w:r>
              <w:rPr>
                <w:rFonts w:ascii="Calibri"/>
                <w:sz w:val="24"/>
              </w:rPr>
              <w:t>April</w:t>
            </w:r>
            <w:r>
              <w:rPr>
                <w:rFonts w:ascii="Calibri"/>
                <w:spacing w:val="-2"/>
                <w:sz w:val="24"/>
              </w:rPr>
              <w:t> </w:t>
            </w:r>
            <w:r>
              <w:rPr>
                <w:rFonts w:ascii="Calibri"/>
                <w:sz w:val="24"/>
              </w:rPr>
              <w:t>19,</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DBE</w:t>
            </w:r>
            <w:r>
              <w:rPr>
                <w:rFonts w:ascii="Calibri"/>
                <w:spacing w:val="-1"/>
                <w:sz w:val="24"/>
              </w:rPr>
              <w:t> </w:t>
            </w:r>
            <w:r>
              <w:rPr>
                <w:rFonts w:ascii="Calibri"/>
                <w:sz w:val="24"/>
              </w:rPr>
              <w:t>Prompt</w:t>
            </w:r>
            <w:r>
              <w:rPr>
                <w:rFonts w:ascii="Calibri"/>
                <w:spacing w:val="-1"/>
                <w:sz w:val="24"/>
              </w:rPr>
              <w:t> </w:t>
            </w:r>
            <w:r>
              <w:rPr>
                <w:rFonts w:ascii="Calibri"/>
                <w:spacing w:val="-2"/>
                <w:sz w:val="24"/>
              </w:rPr>
              <w:t>Payment</w:t>
            </w:r>
          </w:p>
        </w:tc>
        <w:tc>
          <w:tcPr>
            <w:tcW w:w="3328" w:type="dxa"/>
          </w:tcPr>
          <w:p>
            <w:pPr>
              <w:pStyle w:val="TableParagraph"/>
              <w:spacing w:line="272" w:lineRule="exact"/>
              <w:ind w:left="105"/>
              <w:rPr>
                <w:rFonts w:ascii="Calibri"/>
                <w:sz w:val="24"/>
              </w:rPr>
            </w:pPr>
            <w:r>
              <w:rPr>
                <w:rFonts w:ascii="Calibri"/>
                <w:sz w:val="24"/>
              </w:rPr>
              <w:t>April</w:t>
            </w:r>
            <w:r>
              <w:rPr>
                <w:rFonts w:ascii="Calibri"/>
                <w:spacing w:val="-2"/>
                <w:sz w:val="24"/>
              </w:rPr>
              <w:t> </w:t>
            </w:r>
            <w:r>
              <w:rPr>
                <w:rFonts w:ascii="Calibri"/>
                <w:sz w:val="24"/>
              </w:rPr>
              <w:t>20,</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U.S.</w:t>
            </w:r>
            <w:r>
              <w:rPr>
                <w:rFonts w:ascii="Calibri"/>
                <w:spacing w:val="-2"/>
                <w:sz w:val="24"/>
              </w:rPr>
              <w:t> </w:t>
            </w:r>
            <w:r>
              <w:rPr>
                <w:rFonts w:ascii="Calibri"/>
                <w:sz w:val="24"/>
              </w:rPr>
              <w:t>Census</w:t>
            </w:r>
            <w:r>
              <w:rPr>
                <w:rFonts w:ascii="Calibri"/>
                <w:spacing w:val="-1"/>
                <w:sz w:val="24"/>
              </w:rPr>
              <w:t> </w:t>
            </w:r>
            <w:r>
              <w:rPr>
                <w:rFonts w:ascii="Calibri"/>
                <w:sz w:val="24"/>
              </w:rPr>
              <w:t>Bureau Top</w:t>
            </w:r>
            <w:r>
              <w:rPr>
                <w:rFonts w:ascii="Calibri"/>
                <w:spacing w:val="-4"/>
                <w:sz w:val="24"/>
              </w:rPr>
              <w:t> </w:t>
            </w:r>
            <w:r>
              <w:rPr>
                <w:rFonts w:ascii="Calibri"/>
                <w:sz w:val="24"/>
              </w:rPr>
              <w:t>3</w:t>
            </w:r>
            <w:r>
              <w:rPr>
                <w:rFonts w:ascii="Calibri"/>
                <w:spacing w:val="-1"/>
                <w:sz w:val="24"/>
              </w:rPr>
              <w:t> </w:t>
            </w:r>
            <w:r>
              <w:rPr>
                <w:rFonts w:ascii="Calibri"/>
                <w:sz w:val="24"/>
              </w:rPr>
              <w:t>Tools</w:t>
            </w:r>
            <w:r>
              <w:rPr>
                <w:rFonts w:ascii="Calibri"/>
                <w:spacing w:val="-1"/>
                <w:sz w:val="24"/>
              </w:rPr>
              <w:t> </w:t>
            </w:r>
            <w:r>
              <w:rPr>
                <w:rFonts w:ascii="Calibri"/>
                <w:spacing w:val="-4"/>
                <w:sz w:val="24"/>
              </w:rPr>
              <w:t>Tour</w:t>
            </w:r>
          </w:p>
        </w:tc>
        <w:tc>
          <w:tcPr>
            <w:tcW w:w="3328" w:type="dxa"/>
          </w:tcPr>
          <w:p>
            <w:pPr>
              <w:pStyle w:val="TableParagraph"/>
              <w:spacing w:line="273" w:lineRule="exact" w:before="1"/>
              <w:ind w:left="105"/>
              <w:rPr>
                <w:rFonts w:ascii="Calibri"/>
                <w:sz w:val="24"/>
              </w:rPr>
            </w:pPr>
            <w:r>
              <w:rPr>
                <w:rFonts w:ascii="Calibri"/>
                <w:sz w:val="24"/>
              </w:rPr>
              <w:t>April</w:t>
            </w:r>
            <w:r>
              <w:rPr>
                <w:rFonts w:ascii="Calibri"/>
                <w:spacing w:val="-2"/>
                <w:sz w:val="24"/>
              </w:rPr>
              <w:t> </w:t>
            </w:r>
            <w:r>
              <w:rPr>
                <w:rFonts w:ascii="Calibri"/>
                <w:sz w:val="24"/>
              </w:rPr>
              <w:t>28,</w:t>
            </w:r>
            <w:r>
              <w:rPr>
                <w:rFonts w:ascii="Calibri"/>
                <w:spacing w:val="-1"/>
                <w:sz w:val="24"/>
              </w:rPr>
              <w:t> </w:t>
            </w:r>
            <w:r>
              <w:rPr>
                <w:rFonts w:ascii="Calibri"/>
                <w:spacing w:val="-4"/>
                <w:sz w:val="24"/>
              </w:rPr>
              <w:t>2022</w:t>
            </w:r>
          </w:p>
        </w:tc>
      </w:tr>
      <w:tr>
        <w:trPr>
          <w:trHeight w:val="585" w:hRule="atLeast"/>
        </w:trPr>
        <w:tc>
          <w:tcPr>
            <w:tcW w:w="5666" w:type="dxa"/>
          </w:tcPr>
          <w:p>
            <w:pPr>
              <w:pStyle w:val="TableParagraph"/>
              <w:tabs>
                <w:tab w:pos="1548" w:val="left" w:leader="none"/>
                <w:tab w:pos="2397" w:val="left" w:leader="none"/>
                <w:tab w:pos="2918" w:val="left" w:leader="none"/>
                <w:tab w:pos="3983" w:val="left" w:leader="none"/>
                <w:tab w:pos="4656" w:val="left" w:leader="none"/>
                <w:tab w:pos="5378" w:val="left" w:leader="none"/>
              </w:tabs>
              <w:spacing w:line="292" w:lineRule="exact"/>
              <w:ind w:left="107"/>
              <w:rPr>
                <w:rFonts w:ascii="Calibri"/>
                <w:sz w:val="24"/>
              </w:rPr>
            </w:pPr>
            <w:r>
              <w:rPr>
                <w:rFonts w:ascii="Calibri"/>
                <w:spacing w:val="-2"/>
                <w:sz w:val="24"/>
              </w:rPr>
              <w:t>Reimagining</w:t>
            </w:r>
            <w:r>
              <w:rPr>
                <w:rFonts w:ascii="Calibri"/>
                <w:sz w:val="24"/>
              </w:rPr>
              <w:tab/>
            </w:r>
            <w:r>
              <w:rPr>
                <w:rFonts w:ascii="Calibri"/>
                <w:spacing w:val="-2"/>
                <w:sz w:val="24"/>
              </w:rPr>
              <w:t>Equity</w:t>
            </w:r>
            <w:r>
              <w:rPr>
                <w:rFonts w:ascii="Calibri"/>
                <w:sz w:val="24"/>
              </w:rPr>
              <w:tab/>
            </w:r>
            <w:r>
              <w:rPr>
                <w:rFonts w:ascii="Calibri"/>
                <w:spacing w:val="-5"/>
                <w:sz w:val="24"/>
              </w:rPr>
              <w:t>for</w:t>
            </w:r>
            <w:r>
              <w:rPr>
                <w:rFonts w:ascii="Calibri"/>
                <w:sz w:val="24"/>
              </w:rPr>
              <w:tab/>
            </w:r>
            <w:r>
              <w:rPr>
                <w:rFonts w:ascii="Calibri"/>
                <w:spacing w:val="-2"/>
                <w:sz w:val="24"/>
              </w:rPr>
              <w:t>Workers</w:t>
            </w:r>
            <w:r>
              <w:rPr>
                <w:rFonts w:ascii="Calibri"/>
                <w:sz w:val="24"/>
              </w:rPr>
              <w:tab/>
            </w:r>
            <w:r>
              <w:rPr>
                <w:rFonts w:ascii="Calibri"/>
                <w:spacing w:val="-4"/>
                <w:sz w:val="24"/>
              </w:rPr>
              <w:t>with</w:t>
            </w:r>
            <w:r>
              <w:rPr>
                <w:rFonts w:ascii="Calibri"/>
                <w:sz w:val="24"/>
              </w:rPr>
              <w:tab/>
            </w:r>
            <w:r>
              <w:rPr>
                <w:rFonts w:ascii="Calibri"/>
                <w:spacing w:val="-4"/>
                <w:sz w:val="24"/>
              </w:rPr>
              <w:t>Gaps</w:t>
            </w:r>
            <w:r>
              <w:rPr>
                <w:rFonts w:ascii="Calibri"/>
                <w:sz w:val="24"/>
              </w:rPr>
              <w:tab/>
            </w:r>
            <w:r>
              <w:rPr>
                <w:rFonts w:ascii="Calibri"/>
                <w:spacing w:val="-5"/>
                <w:sz w:val="24"/>
              </w:rPr>
              <w:t>in</w:t>
            </w:r>
          </w:p>
          <w:p>
            <w:pPr>
              <w:pStyle w:val="TableParagraph"/>
              <w:spacing w:line="273" w:lineRule="exact"/>
              <w:ind w:left="107"/>
              <w:rPr>
                <w:rFonts w:ascii="Calibri"/>
                <w:sz w:val="24"/>
              </w:rPr>
            </w:pPr>
            <w:r>
              <w:rPr>
                <w:rFonts w:ascii="Calibri"/>
                <w:sz w:val="24"/>
              </w:rPr>
              <w:t>Employment</w:t>
            </w:r>
            <w:r>
              <w:rPr>
                <w:rFonts w:ascii="Calibri"/>
                <w:spacing w:val="1"/>
                <w:sz w:val="24"/>
              </w:rPr>
              <w:t> </w:t>
            </w:r>
            <w:r>
              <w:rPr>
                <w:rFonts w:ascii="Calibri"/>
                <w:spacing w:val="-2"/>
                <w:sz w:val="24"/>
              </w:rPr>
              <w:t>History</w:t>
            </w:r>
          </w:p>
        </w:tc>
        <w:tc>
          <w:tcPr>
            <w:tcW w:w="3328" w:type="dxa"/>
          </w:tcPr>
          <w:p>
            <w:pPr>
              <w:pStyle w:val="TableParagraph"/>
              <w:spacing w:line="292" w:lineRule="exact"/>
              <w:ind w:left="105"/>
              <w:rPr>
                <w:rFonts w:ascii="Calibri"/>
                <w:sz w:val="24"/>
              </w:rPr>
            </w:pPr>
            <w:r>
              <w:rPr>
                <w:rFonts w:ascii="Calibri"/>
                <w:sz w:val="24"/>
              </w:rPr>
              <w:t>April</w:t>
            </w:r>
            <w:r>
              <w:rPr>
                <w:rFonts w:ascii="Calibri"/>
                <w:spacing w:val="-2"/>
                <w:sz w:val="24"/>
              </w:rPr>
              <w:t> </w:t>
            </w:r>
            <w:r>
              <w:rPr>
                <w:rFonts w:ascii="Calibri"/>
                <w:sz w:val="24"/>
              </w:rPr>
              <w:t>28,</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Elation System</w:t>
            </w:r>
            <w:r>
              <w:rPr>
                <w:rFonts w:ascii="Calibri"/>
                <w:spacing w:val="-4"/>
                <w:sz w:val="24"/>
              </w:rPr>
              <w:t> </w:t>
            </w:r>
            <w:r>
              <w:rPr>
                <w:rFonts w:ascii="Calibri"/>
                <w:sz w:val="24"/>
              </w:rPr>
              <w:t>Training</w:t>
            </w:r>
            <w:r>
              <w:rPr>
                <w:rFonts w:ascii="Calibri"/>
                <w:spacing w:val="-3"/>
                <w:sz w:val="24"/>
              </w:rPr>
              <w:t> </w:t>
            </w:r>
            <w:r>
              <w:rPr>
                <w:rFonts w:ascii="Calibri"/>
                <w:sz w:val="24"/>
              </w:rPr>
              <w:t>for</w:t>
            </w:r>
            <w:r>
              <w:rPr>
                <w:rFonts w:ascii="Calibri"/>
                <w:spacing w:val="-1"/>
                <w:sz w:val="24"/>
              </w:rPr>
              <w:t> </w:t>
            </w:r>
            <w:r>
              <w:rPr>
                <w:rFonts w:ascii="Calibri"/>
                <w:sz w:val="24"/>
              </w:rPr>
              <w:t>MaineDOT </w:t>
            </w:r>
            <w:r>
              <w:rPr>
                <w:rFonts w:ascii="Calibri"/>
                <w:spacing w:val="-4"/>
                <w:sz w:val="24"/>
              </w:rPr>
              <w:t>Staff</w:t>
            </w:r>
          </w:p>
        </w:tc>
        <w:tc>
          <w:tcPr>
            <w:tcW w:w="3328" w:type="dxa"/>
          </w:tcPr>
          <w:p>
            <w:pPr>
              <w:pStyle w:val="TableParagraph"/>
              <w:spacing w:line="272" w:lineRule="exact"/>
              <w:ind w:left="105"/>
              <w:rPr>
                <w:rFonts w:ascii="Calibri"/>
                <w:sz w:val="24"/>
              </w:rPr>
            </w:pPr>
            <w:r>
              <w:rPr>
                <w:rFonts w:ascii="Calibri"/>
                <w:sz w:val="24"/>
              </w:rPr>
              <w:t>May</w:t>
            </w:r>
            <w:r>
              <w:rPr>
                <w:rFonts w:ascii="Calibri"/>
                <w:spacing w:val="-2"/>
                <w:sz w:val="24"/>
              </w:rPr>
              <w:t> </w:t>
            </w:r>
            <w:r>
              <w:rPr>
                <w:rFonts w:ascii="Calibri"/>
                <w:sz w:val="24"/>
              </w:rPr>
              <w:t>10,</w:t>
            </w:r>
            <w:r>
              <w:rPr>
                <w:rFonts w:ascii="Calibri"/>
                <w:spacing w:val="-1"/>
                <w:sz w:val="24"/>
              </w:rPr>
              <w:t> </w:t>
            </w:r>
            <w:r>
              <w:rPr>
                <w:rFonts w:ascii="Calibri"/>
                <w:spacing w:val="-4"/>
                <w:sz w:val="24"/>
              </w:rPr>
              <w:t>2022</w:t>
            </w:r>
          </w:p>
        </w:tc>
      </w:tr>
      <w:tr>
        <w:trPr>
          <w:trHeight w:val="587" w:hRule="atLeast"/>
        </w:trPr>
        <w:tc>
          <w:tcPr>
            <w:tcW w:w="5666" w:type="dxa"/>
          </w:tcPr>
          <w:p>
            <w:pPr>
              <w:pStyle w:val="TableParagraph"/>
              <w:spacing w:line="292" w:lineRule="exact"/>
              <w:ind w:left="107"/>
              <w:rPr>
                <w:rFonts w:ascii="Calibri"/>
                <w:sz w:val="24"/>
              </w:rPr>
            </w:pPr>
            <w:r>
              <w:rPr>
                <w:rFonts w:ascii="Calibri"/>
                <w:sz w:val="24"/>
              </w:rPr>
              <w:t>U.S.</w:t>
            </w:r>
            <w:r>
              <w:rPr>
                <w:rFonts w:ascii="Calibri"/>
                <w:spacing w:val="6"/>
                <w:sz w:val="24"/>
              </w:rPr>
              <w:t> </w:t>
            </w:r>
            <w:r>
              <w:rPr>
                <w:rFonts w:ascii="Calibri"/>
                <w:sz w:val="24"/>
              </w:rPr>
              <w:t>Census</w:t>
            </w:r>
            <w:r>
              <w:rPr>
                <w:rFonts w:ascii="Calibri"/>
                <w:spacing w:val="6"/>
                <w:sz w:val="24"/>
              </w:rPr>
              <w:t> </w:t>
            </w:r>
            <w:r>
              <w:rPr>
                <w:rFonts w:ascii="Calibri"/>
                <w:sz w:val="24"/>
              </w:rPr>
              <w:t>Bureau</w:t>
            </w:r>
            <w:r>
              <w:rPr>
                <w:rFonts w:ascii="Calibri"/>
                <w:spacing w:val="9"/>
                <w:sz w:val="24"/>
              </w:rPr>
              <w:t> </w:t>
            </w:r>
            <w:r>
              <w:rPr>
                <w:rFonts w:ascii="Calibri"/>
                <w:sz w:val="24"/>
              </w:rPr>
              <w:t>To</w:t>
            </w:r>
            <w:r>
              <w:rPr>
                <w:rFonts w:ascii="Calibri"/>
                <w:spacing w:val="7"/>
                <w:sz w:val="24"/>
              </w:rPr>
              <w:t> </w:t>
            </w:r>
            <w:r>
              <w:rPr>
                <w:rFonts w:ascii="Calibri"/>
                <w:sz w:val="24"/>
              </w:rPr>
              <w:t>Nest,</w:t>
            </w:r>
            <w:r>
              <w:rPr>
                <w:rFonts w:ascii="Calibri"/>
                <w:spacing w:val="7"/>
                <w:sz w:val="24"/>
              </w:rPr>
              <w:t> </w:t>
            </w:r>
            <w:r>
              <w:rPr>
                <w:rFonts w:ascii="Calibri"/>
                <w:sz w:val="24"/>
              </w:rPr>
              <w:t>or</w:t>
            </w:r>
            <w:r>
              <w:rPr>
                <w:rFonts w:ascii="Calibri"/>
                <w:spacing w:val="6"/>
                <w:sz w:val="24"/>
              </w:rPr>
              <w:t> </w:t>
            </w:r>
            <w:r>
              <w:rPr>
                <w:rFonts w:ascii="Calibri"/>
                <w:sz w:val="24"/>
              </w:rPr>
              <w:t>Not</w:t>
            </w:r>
            <w:r>
              <w:rPr>
                <w:rFonts w:ascii="Calibri"/>
                <w:spacing w:val="5"/>
                <w:sz w:val="24"/>
              </w:rPr>
              <w:t> </w:t>
            </w:r>
            <w:r>
              <w:rPr>
                <w:rFonts w:ascii="Calibri"/>
                <w:sz w:val="24"/>
              </w:rPr>
              <w:t>to</w:t>
            </w:r>
            <w:r>
              <w:rPr>
                <w:rFonts w:ascii="Calibri"/>
                <w:spacing w:val="5"/>
                <w:sz w:val="24"/>
              </w:rPr>
              <w:t> </w:t>
            </w:r>
            <w:r>
              <w:rPr>
                <w:rFonts w:ascii="Calibri"/>
                <w:sz w:val="24"/>
              </w:rPr>
              <w:t>Nest,</w:t>
            </w:r>
            <w:r>
              <w:rPr>
                <w:rFonts w:ascii="Calibri"/>
                <w:spacing w:val="8"/>
                <w:sz w:val="24"/>
              </w:rPr>
              <w:t> </w:t>
            </w:r>
            <w:r>
              <w:rPr>
                <w:rFonts w:ascii="Calibri"/>
                <w:sz w:val="24"/>
              </w:rPr>
              <w:t>That</w:t>
            </w:r>
            <w:r>
              <w:rPr>
                <w:rFonts w:ascii="Calibri"/>
                <w:spacing w:val="5"/>
                <w:sz w:val="24"/>
              </w:rPr>
              <w:t> </w:t>
            </w:r>
            <w:r>
              <w:rPr>
                <w:rFonts w:ascii="Calibri"/>
                <w:sz w:val="24"/>
              </w:rPr>
              <w:t>is</w:t>
            </w:r>
            <w:r>
              <w:rPr>
                <w:rFonts w:ascii="Calibri"/>
                <w:spacing w:val="7"/>
                <w:sz w:val="24"/>
              </w:rPr>
              <w:t> </w:t>
            </w:r>
            <w:r>
              <w:rPr>
                <w:rFonts w:ascii="Calibri"/>
                <w:spacing w:val="-5"/>
                <w:sz w:val="24"/>
              </w:rPr>
              <w:t>The</w:t>
            </w:r>
          </w:p>
          <w:p>
            <w:pPr>
              <w:pStyle w:val="TableParagraph"/>
              <w:spacing w:line="273" w:lineRule="exact" w:before="2"/>
              <w:ind w:left="107"/>
              <w:rPr>
                <w:rFonts w:ascii="Calibri"/>
                <w:sz w:val="24"/>
              </w:rPr>
            </w:pPr>
            <w:r>
              <w:rPr>
                <w:rFonts w:ascii="Calibri"/>
                <w:spacing w:val="-2"/>
                <w:sz w:val="24"/>
              </w:rPr>
              <w:t>Quest</w:t>
            </w:r>
          </w:p>
        </w:tc>
        <w:tc>
          <w:tcPr>
            <w:tcW w:w="3328" w:type="dxa"/>
          </w:tcPr>
          <w:p>
            <w:pPr>
              <w:pStyle w:val="TableParagraph"/>
              <w:spacing w:line="292" w:lineRule="exact"/>
              <w:ind w:left="105"/>
              <w:rPr>
                <w:rFonts w:ascii="Calibri"/>
                <w:sz w:val="24"/>
              </w:rPr>
            </w:pPr>
            <w:r>
              <w:rPr>
                <w:rFonts w:ascii="Calibri"/>
                <w:sz w:val="24"/>
              </w:rPr>
              <w:t>May</w:t>
            </w:r>
            <w:r>
              <w:rPr>
                <w:rFonts w:ascii="Calibri"/>
                <w:spacing w:val="-2"/>
                <w:sz w:val="24"/>
              </w:rPr>
              <w:t> </w:t>
            </w:r>
            <w:r>
              <w:rPr>
                <w:rFonts w:ascii="Calibri"/>
                <w:sz w:val="24"/>
              </w:rPr>
              <w:t>12,</w:t>
            </w:r>
            <w:r>
              <w:rPr>
                <w:rFonts w:ascii="Calibri"/>
                <w:spacing w:val="-1"/>
                <w:sz w:val="24"/>
              </w:rPr>
              <w:t> </w:t>
            </w:r>
            <w:r>
              <w:rPr>
                <w:rFonts w:ascii="Calibri"/>
                <w:spacing w:val="-4"/>
                <w:sz w:val="24"/>
              </w:rPr>
              <w:t>2012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Good Faith</w:t>
            </w:r>
            <w:r>
              <w:rPr>
                <w:rFonts w:ascii="Calibri"/>
                <w:spacing w:val="-2"/>
                <w:sz w:val="24"/>
              </w:rPr>
              <w:t> Effort</w:t>
            </w:r>
          </w:p>
        </w:tc>
        <w:tc>
          <w:tcPr>
            <w:tcW w:w="3328" w:type="dxa"/>
          </w:tcPr>
          <w:p>
            <w:pPr>
              <w:pStyle w:val="TableParagraph"/>
              <w:spacing w:line="272" w:lineRule="exact"/>
              <w:ind w:left="105"/>
              <w:rPr>
                <w:rFonts w:ascii="Calibri"/>
                <w:sz w:val="24"/>
              </w:rPr>
            </w:pPr>
            <w:r>
              <w:rPr>
                <w:rFonts w:ascii="Calibri"/>
                <w:sz w:val="24"/>
              </w:rPr>
              <w:t>May</w:t>
            </w:r>
            <w:r>
              <w:rPr>
                <w:rFonts w:ascii="Calibri"/>
                <w:spacing w:val="-2"/>
                <w:sz w:val="24"/>
              </w:rPr>
              <w:t> </w:t>
            </w:r>
            <w:r>
              <w:rPr>
                <w:rFonts w:ascii="Calibri"/>
                <w:sz w:val="24"/>
              </w:rPr>
              <w:t>17,</w:t>
            </w:r>
            <w:r>
              <w:rPr>
                <w:rFonts w:ascii="Calibri"/>
                <w:spacing w:val="-1"/>
                <w:sz w:val="24"/>
              </w:rPr>
              <w:t> </w:t>
            </w:r>
            <w:r>
              <w:rPr>
                <w:rFonts w:ascii="Calibri"/>
                <w:spacing w:val="-4"/>
                <w:sz w:val="24"/>
              </w:rPr>
              <w:t>2022</w:t>
            </w:r>
          </w:p>
        </w:tc>
      </w:tr>
    </w:tbl>
    <w:p>
      <w:pPr>
        <w:spacing w:after="0" w:line="272" w:lineRule="exact"/>
        <w:rPr>
          <w:rFonts w:ascii="Calibri"/>
          <w:sz w:val="24"/>
        </w:rPr>
        <w:sectPr>
          <w:type w:val="continuous"/>
          <w:pgSz w:w="12240" w:h="15840"/>
          <w:pgMar w:header="0" w:footer="997" w:top="980" w:bottom="1220" w:left="600" w:right="500"/>
        </w:sectPr>
      </w:pPr>
    </w:p>
    <w:tbl>
      <w:tblPr>
        <w:tblW w:w="0" w:type="auto"/>
        <w:jc w:val="left"/>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6"/>
        <w:gridCol w:w="3328"/>
      </w:tblGrid>
      <w:tr>
        <w:trPr>
          <w:trHeight w:val="292" w:hRule="atLeast"/>
        </w:trPr>
        <w:tc>
          <w:tcPr>
            <w:tcW w:w="5666" w:type="dxa"/>
          </w:tcPr>
          <w:p>
            <w:pPr>
              <w:pStyle w:val="TableParagraph"/>
              <w:spacing w:line="272" w:lineRule="exact"/>
              <w:ind w:left="107"/>
              <w:rPr>
                <w:rFonts w:ascii="Calibri"/>
                <w:sz w:val="24"/>
              </w:rPr>
            </w:pPr>
            <w:r>
              <w:rPr>
                <w:rFonts w:ascii="Calibri"/>
                <w:sz w:val="24"/>
              </w:rPr>
              <w:t>DBA</w:t>
            </w:r>
            <w:r>
              <w:rPr>
                <w:rFonts w:ascii="Calibri"/>
                <w:spacing w:val="1"/>
                <w:sz w:val="24"/>
              </w:rPr>
              <w:t> </w:t>
            </w:r>
            <w:r>
              <w:rPr>
                <w:rFonts w:ascii="Calibri"/>
                <w:spacing w:val="-2"/>
                <w:sz w:val="24"/>
              </w:rPr>
              <w:t>Compliance</w:t>
            </w:r>
          </w:p>
        </w:tc>
        <w:tc>
          <w:tcPr>
            <w:tcW w:w="3328" w:type="dxa"/>
          </w:tcPr>
          <w:p>
            <w:pPr>
              <w:pStyle w:val="TableParagraph"/>
              <w:spacing w:line="272" w:lineRule="exact"/>
              <w:ind w:left="105"/>
              <w:rPr>
                <w:rFonts w:ascii="Calibri"/>
                <w:sz w:val="24"/>
              </w:rPr>
            </w:pPr>
            <w:r>
              <w:rPr>
                <w:rFonts w:ascii="Calibri"/>
                <w:sz w:val="24"/>
              </w:rPr>
              <w:t>May</w:t>
            </w:r>
            <w:r>
              <w:rPr>
                <w:rFonts w:ascii="Calibri"/>
                <w:spacing w:val="-2"/>
                <w:sz w:val="24"/>
              </w:rPr>
              <w:t> </w:t>
            </w:r>
            <w:r>
              <w:rPr>
                <w:rFonts w:ascii="Calibri"/>
                <w:sz w:val="24"/>
              </w:rPr>
              <w:t>18,</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Advancing</w:t>
            </w:r>
            <w:r>
              <w:rPr>
                <w:rFonts w:ascii="Calibri"/>
                <w:spacing w:val="-5"/>
                <w:sz w:val="24"/>
              </w:rPr>
              <w:t> </w:t>
            </w:r>
            <w:r>
              <w:rPr>
                <w:rFonts w:ascii="Calibri"/>
                <w:sz w:val="24"/>
              </w:rPr>
              <w:t>Equity</w:t>
            </w:r>
            <w:r>
              <w:rPr>
                <w:rFonts w:ascii="Calibri"/>
                <w:spacing w:val="-3"/>
                <w:sz w:val="24"/>
              </w:rPr>
              <w:t> </w:t>
            </w:r>
            <w:r>
              <w:rPr>
                <w:rFonts w:ascii="Calibri"/>
                <w:sz w:val="24"/>
              </w:rPr>
              <w:t>for</w:t>
            </w:r>
            <w:r>
              <w:rPr>
                <w:rFonts w:ascii="Calibri"/>
                <w:spacing w:val="-2"/>
                <w:sz w:val="24"/>
              </w:rPr>
              <w:t> </w:t>
            </w:r>
            <w:r>
              <w:rPr>
                <w:rFonts w:ascii="Calibri"/>
                <w:sz w:val="24"/>
              </w:rPr>
              <w:t>AANHPI </w:t>
            </w:r>
            <w:r>
              <w:rPr>
                <w:rFonts w:ascii="Calibri"/>
                <w:spacing w:val="-2"/>
                <w:sz w:val="24"/>
              </w:rPr>
              <w:t>Women</w:t>
            </w:r>
          </w:p>
        </w:tc>
        <w:tc>
          <w:tcPr>
            <w:tcW w:w="3328" w:type="dxa"/>
          </w:tcPr>
          <w:p>
            <w:pPr>
              <w:pStyle w:val="TableParagraph"/>
              <w:spacing w:line="272" w:lineRule="exact"/>
              <w:ind w:left="105"/>
              <w:rPr>
                <w:rFonts w:ascii="Calibri"/>
                <w:sz w:val="24"/>
              </w:rPr>
            </w:pPr>
            <w:r>
              <w:rPr>
                <w:rFonts w:ascii="Calibri"/>
                <w:sz w:val="24"/>
              </w:rPr>
              <w:t>May</w:t>
            </w:r>
            <w:r>
              <w:rPr>
                <w:rFonts w:ascii="Calibri"/>
                <w:spacing w:val="-2"/>
                <w:sz w:val="24"/>
              </w:rPr>
              <w:t> </w:t>
            </w:r>
            <w:r>
              <w:rPr>
                <w:rFonts w:ascii="Calibri"/>
                <w:sz w:val="24"/>
              </w:rPr>
              <w:t>25,</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Commercially</w:t>
            </w:r>
            <w:r>
              <w:rPr>
                <w:rFonts w:ascii="Calibri"/>
                <w:spacing w:val="-3"/>
                <w:sz w:val="24"/>
              </w:rPr>
              <w:t> </w:t>
            </w:r>
            <w:r>
              <w:rPr>
                <w:rFonts w:ascii="Calibri"/>
                <w:sz w:val="24"/>
              </w:rPr>
              <w:t>Useful</w:t>
            </w:r>
            <w:r>
              <w:rPr>
                <w:rFonts w:ascii="Calibri"/>
                <w:spacing w:val="-2"/>
                <w:sz w:val="24"/>
              </w:rPr>
              <w:t> </w:t>
            </w:r>
            <w:r>
              <w:rPr>
                <w:rFonts w:ascii="Calibri"/>
                <w:sz w:val="24"/>
              </w:rPr>
              <w:t>Function</w:t>
            </w:r>
            <w:r>
              <w:rPr>
                <w:rFonts w:ascii="Calibri"/>
                <w:spacing w:val="-1"/>
                <w:sz w:val="24"/>
              </w:rPr>
              <w:t> </w:t>
            </w:r>
            <w:r>
              <w:rPr>
                <w:rFonts w:ascii="Calibri"/>
                <w:sz w:val="24"/>
              </w:rPr>
              <w:t>and</w:t>
            </w:r>
            <w:r>
              <w:rPr>
                <w:rFonts w:ascii="Calibri"/>
                <w:spacing w:val="-3"/>
                <w:sz w:val="24"/>
              </w:rPr>
              <w:t> </w:t>
            </w:r>
            <w:r>
              <w:rPr>
                <w:rFonts w:ascii="Calibri"/>
                <w:spacing w:val="-2"/>
                <w:sz w:val="24"/>
              </w:rPr>
              <w:t>Counting</w:t>
            </w:r>
          </w:p>
        </w:tc>
        <w:tc>
          <w:tcPr>
            <w:tcW w:w="3328" w:type="dxa"/>
          </w:tcPr>
          <w:p>
            <w:pPr>
              <w:pStyle w:val="TableParagraph"/>
              <w:spacing w:line="273" w:lineRule="exact" w:before="1"/>
              <w:ind w:left="105"/>
              <w:rPr>
                <w:rFonts w:ascii="Calibri"/>
                <w:sz w:val="24"/>
              </w:rPr>
            </w:pPr>
            <w:r>
              <w:rPr>
                <w:rFonts w:ascii="Calibri"/>
                <w:sz w:val="24"/>
              </w:rPr>
              <w:t>June</w:t>
            </w:r>
            <w:r>
              <w:rPr>
                <w:rFonts w:ascii="Calibri"/>
                <w:spacing w:val="-2"/>
                <w:sz w:val="24"/>
              </w:rPr>
              <w:t> </w:t>
            </w:r>
            <w:r>
              <w:rPr>
                <w:rFonts w:ascii="Calibri"/>
                <w:sz w:val="24"/>
              </w:rPr>
              <w:t>9,</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Davis-Bacon</w:t>
            </w:r>
            <w:r>
              <w:rPr>
                <w:rFonts w:ascii="Calibri"/>
                <w:spacing w:val="-1"/>
                <w:sz w:val="24"/>
              </w:rPr>
              <w:t> </w:t>
            </w:r>
            <w:r>
              <w:rPr>
                <w:rFonts w:ascii="Calibri"/>
                <w:spacing w:val="-2"/>
                <w:sz w:val="24"/>
              </w:rPr>
              <w:t>Compliance</w:t>
            </w:r>
          </w:p>
        </w:tc>
        <w:tc>
          <w:tcPr>
            <w:tcW w:w="3328" w:type="dxa"/>
          </w:tcPr>
          <w:p>
            <w:pPr>
              <w:pStyle w:val="TableParagraph"/>
              <w:spacing w:line="272" w:lineRule="exact"/>
              <w:ind w:left="105"/>
              <w:rPr>
                <w:rFonts w:ascii="Calibri"/>
                <w:sz w:val="24"/>
              </w:rPr>
            </w:pPr>
            <w:r>
              <w:rPr>
                <w:rFonts w:ascii="Calibri"/>
                <w:sz w:val="24"/>
              </w:rPr>
              <w:t>June</w:t>
            </w:r>
            <w:r>
              <w:rPr>
                <w:rFonts w:ascii="Calibri"/>
                <w:spacing w:val="-2"/>
                <w:sz w:val="24"/>
              </w:rPr>
              <w:t> </w:t>
            </w:r>
            <w:r>
              <w:rPr>
                <w:rFonts w:ascii="Calibri"/>
                <w:sz w:val="24"/>
              </w:rPr>
              <w:t>14,</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SCA </w:t>
            </w:r>
            <w:r>
              <w:rPr>
                <w:rFonts w:ascii="Calibri"/>
                <w:spacing w:val="-2"/>
                <w:sz w:val="24"/>
              </w:rPr>
              <w:t>Compliance</w:t>
            </w:r>
          </w:p>
        </w:tc>
        <w:tc>
          <w:tcPr>
            <w:tcW w:w="3328" w:type="dxa"/>
          </w:tcPr>
          <w:p>
            <w:pPr>
              <w:pStyle w:val="TableParagraph"/>
              <w:spacing w:line="272" w:lineRule="exact"/>
              <w:ind w:left="105"/>
              <w:rPr>
                <w:rFonts w:ascii="Calibri"/>
                <w:sz w:val="24"/>
              </w:rPr>
            </w:pPr>
            <w:r>
              <w:rPr>
                <w:rFonts w:ascii="Calibri"/>
                <w:sz w:val="24"/>
              </w:rPr>
              <w:t>June</w:t>
            </w:r>
            <w:r>
              <w:rPr>
                <w:rFonts w:ascii="Calibri"/>
                <w:spacing w:val="-2"/>
                <w:sz w:val="24"/>
              </w:rPr>
              <w:t> </w:t>
            </w:r>
            <w:r>
              <w:rPr>
                <w:rFonts w:ascii="Calibri"/>
                <w:sz w:val="24"/>
              </w:rPr>
              <w:t>15,</w:t>
            </w:r>
            <w:r>
              <w:rPr>
                <w:rFonts w:ascii="Calibri"/>
                <w:spacing w:val="-1"/>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Understanding</w:t>
            </w:r>
            <w:r>
              <w:rPr>
                <w:rFonts w:ascii="Calibri"/>
                <w:spacing w:val="-2"/>
                <w:sz w:val="24"/>
              </w:rPr>
              <w:t> </w:t>
            </w:r>
            <w:r>
              <w:rPr>
                <w:rFonts w:ascii="Calibri"/>
                <w:sz w:val="24"/>
              </w:rPr>
              <w:t>Contracts</w:t>
            </w:r>
            <w:r>
              <w:rPr>
                <w:rFonts w:ascii="Calibri"/>
                <w:spacing w:val="-3"/>
                <w:sz w:val="24"/>
              </w:rPr>
              <w:t> </w:t>
            </w:r>
            <w:r>
              <w:rPr>
                <w:rFonts w:ascii="Calibri"/>
                <w:sz w:val="24"/>
              </w:rPr>
              <w:t>&amp;</w:t>
            </w:r>
            <w:r>
              <w:rPr>
                <w:rFonts w:ascii="Calibri"/>
                <w:spacing w:val="-3"/>
                <w:sz w:val="24"/>
              </w:rPr>
              <w:t> </w:t>
            </w:r>
            <w:r>
              <w:rPr>
                <w:rFonts w:ascii="Calibri"/>
                <w:sz w:val="24"/>
              </w:rPr>
              <w:t>Managing</w:t>
            </w:r>
            <w:r>
              <w:rPr>
                <w:rFonts w:ascii="Calibri"/>
                <w:spacing w:val="-1"/>
                <w:sz w:val="24"/>
              </w:rPr>
              <w:t> </w:t>
            </w:r>
            <w:r>
              <w:rPr>
                <w:rFonts w:ascii="Calibri"/>
                <w:spacing w:val="-2"/>
                <w:sz w:val="24"/>
              </w:rPr>
              <w:t>Consultant</w:t>
            </w:r>
          </w:p>
          <w:p>
            <w:pPr>
              <w:pStyle w:val="TableParagraph"/>
              <w:spacing w:line="273" w:lineRule="exact"/>
              <w:ind w:left="107"/>
              <w:rPr>
                <w:rFonts w:ascii="Calibri"/>
                <w:sz w:val="24"/>
              </w:rPr>
            </w:pPr>
            <w:r>
              <w:rPr>
                <w:rFonts w:ascii="Calibri"/>
                <w:sz w:val="24"/>
              </w:rPr>
              <w:t>Contractors</w:t>
            </w:r>
            <w:r>
              <w:rPr>
                <w:rFonts w:ascii="Calibri"/>
                <w:spacing w:val="-2"/>
                <w:sz w:val="24"/>
              </w:rPr>
              <w:t> Performance</w:t>
            </w:r>
          </w:p>
        </w:tc>
        <w:tc>
          <w:tcPr>
            <w:tcW w:w="3328" w:type="dxa"/>
          </w:tcPr>
          <w:p>
            <w:pPr>
              <w:pStyle w:val="TableParagraph"/>
              <w:spacing w:line="292" w:lineRule="exact"/>
              <w:ind w:left="105"/>
              <w:rPr>
                <w:rFonts w:ascii="Calibri"/>
                <w:sz w:val="24"/>
              </w:rPr>
            </w:pPr>
            <w:r>
              <w:rPr>
                <w:rFonts w:ascii="Calibri"/>
                <w:sz w:val="24"/>
              </w:rPr>
              <w:t>June</w:t>
            </w:r>
            <w:r>
              <w:rPr>
                <w:rFonts w:ascii="Calibri"/>
                <w:spacing w:val="-2"/>
                <w:sz w:val="24"/>
              </w:rPr>
              <w:t> </w:t>
            </w:r>
            <w:r>
              <w:rPr>
                <w:rFonts w:ascii="Calibri"/>
                <w:sz w:val="24"/>
              </w:rPr>
              <w:t>22,</w:t>
            </w:r>
            <w:r>
              <w:rPr>
                <w:rFonts w:ascii="Calibri"/>
                <w:spacing w:val="-1"/>
                <w:sz w:val="24"/>
              </w:rPr>
              <w:t> </w:t>
            </w:r>
            <w:r>
              <w:rPr>
                <w:rFonts w:ascii="Calibri"/>
                <w:spacing w:val="-4"/>
                <w:sz w:val="24"/>
              </w:rPr>
              <w:t>2022</w:t>
            </w:r>
          </w:p>
        </w:tc>
      </w:tr>
      <w:tr>
        <w:trPr>
          <w:trHeight w:val="294" w:hRule="atLeast"/>
        </w:trPr>
        <w:tc>
          <w:tcPr>
            <w:tcW w:w="5666" w:type="dxa"/>
          </w:tcPr>
          <w:p>
            <w:pPr>
              <w:pStyle w:val="TableParagraph"/>
              <w:spacing w:line="273" w:lineRule="exact" w:before="1"/>
              <w:ind w:left="107"/>
              <w:rPr>
                <w:rFonts w:ascii="Calibri"/>
                <w:sz w:val="24"/>
              </w:rPr>
            </w:pPr>
            <w:r>
              <w:rPr>
                <w:rFonts w:ascii="Calibri"/>
                <w:sz w:val="24"/>
              </w:rPr>
              <w:t>Recruiting</w:t>
            </w:r>
            <w:r>
              <w:rPr>
                <w:rFonts w:ascii="Calibri"/>
                <w:spacing w:val="-3"/>
                <w:sz w:val="24"/>
              </w:rPr>
              <w:t> </w:t>
            </w:r>
            <w:r>
              <w:rPr>
                <w:rFonts w:ascii="Calibri"/>
                <w:sz w:val="24"/>
              </w:rPr>
              <w:t>and Retaining</w:t>
            </w:r>
            <w:r>
              <w:rPr>
                <w:rFonts w:ascii="Calibri"/>
                <w:spacing w:val="-2"/>
                <w:sz w:val="24"/>
              </w:rPr>
              <w:t> </w:t>
            </w:r>
            <w:r>
              <w:rPr>
                <w:rFonts w:ascii="Calibri"/>
                <w:sz w:val="24"/>
              </w:rPr>
              <w:t>Women</w:t>
            </w:r>
            <w:r>
              <w:rPr>
                <w:rFonts w:ascii="Calibri"/>
                <w:spacing w:val="-2"/>
                <w:sz w:val="24"/>
              </w:rPr>
              <w:t> </w:t>
            </w:r>
            <w:r>
              <w:rPr>
                <w:rFonts w:ascii="Calibri"/>
                <w:sz w:val="24"/>
              </w:rPr>
              <w:t>in</w:t>
            </w:r>
            <w:r>
              <w:rPr>
                <w:rFonts w:ascii="Calibri"/>
                <w:spacing w:val="-2"/>
                <w:sz w:val="24"/>
              </w:rPr>
              <w:t> Apprenticeships</w:t>
            </w:r>
          </w:p>
        </w:tc>
        <w:tc>
          <w:tcPr>
            <w:tcW w:w="3328" w:type="dxa"/>
          </w:tcPr>
          <w:p>
            <w:pPr>
              <w:pStyle w:val="TableParagraph"/>
              <w:spacing w:line="273" w:lineRule="exact" w:before="1"/>
              <w:ind w:left="105"/>
              <w:rPr>
                <w:rFonts w:ascii="Calibri"/>
                <w:sz w:val="24"/>
              </w:rPr>
            </w:pPr>
            <w:r>
              <w:rPr>
                <w:rFonts w:ascii="Calibri"/>
                <w:sz w:val="24"/>
              </w:rPr>
              <w:t>July</w:t>
            </w:r>
            <w:r>
              <w:rPr>
                <w:rFonts w:ascii="Calibri"/>
                <w:spacing w:val="-2"/>
                <w:sz w:val="24"/>
              </w:rPr>
              <w:t> </w:t>
            </w:r>
            <w:r>
              <w:rPr>
                <w:rFonts w:ascii="Calibri"/>
                <w:sz w:val="24"/>
              </w:rPr>
              <w:t>19,</w:t>
            </w:r>
            <w:r>
              <w:rPr>
                <w:rFonts w:ascii="Calibri"/>
                <w:spacing w:val="-1"/>
                <w:sz w:val="24"/>
              </w:rPr>
              <w:t> </w:t>
            </w:r>
            <w:r>
              <w:rPr>
                <w:rFonts w:ascii="Calibri"/>
                <w:spacing w:val="-4"/>
                <w:sz w:val="24"/>
              </w:rPr>
              <w:t>2022</w:t>
            </w:r>
          </w:p>
        </w:tc>
      </w:tr>
      <w:tr>
        <w:trPr>
          <w:trHeight w:val="292" w:hRule="atLeast"/>
        </w:trPr>
        <w:tc>
          <w:tcPr>
            <w:tcW w:w="5666" w:type="dxa"/>
          </w:tcPr>
          <w:p>
            <w:pPr>
              <w:pStyle w:val="TableParagraph"/>
              <w:spacing w:line="272" w:lineRule="exact"/>
              <w:ind w:left="107"/>
              <w:rPr>
                <w:rFonts w:ascii="Calibri"/>
                <w:sz w:val="24"/>
              </w:rPr>
            </w:pPr>
            <w:r>
              <w:rPr>
                <w:rFonts w:ascii="Calibri"/>
                <w:sz w:val="24"/>
              </w:rPr>
              <w:t>Davis-Bacon and</w:t>
            </w:r>
            <w:r>
              <w:rPr>
                <w:rFonts w:ascii="Calibri"/>
                <w:spacing w:val="-3"/>
                <w:sz w:val="24"/>
              </w:rPr>
              <w:t> </w:t>
            </w:r>
            <w:r>
              <w:rPr>
                <w:rFonts w:ascii="Calibri"/>
                <w:sz w:val="24"/>
              </w:rPr>
              <w:t>Related</w:t>
            </w:r>
            <w:r>
              <w:rPr>
                <w:rFonts w:ascii="Calibri"/>
                <w:spacing w:val="-3"/>
                <w:sz w:val="24"/>
              </w:rPr>
              <w:t> </w:t>
            </w:r>
            <w:r>
              <w:rPr>
                <w:rFonts w:ascii="Calibri"/>
                <w:sz w:val="24"/>
              </w:rPr>
              <w:t>Acts</w:t>
            </w:r>
            <w:r>
              <w:rPr>
                <w:rFonts w:ascii="Calibri"/>
                <w:spacing w:val="-1"/>
                <w:sz w:val="24"/>
              </w:rPr>
              <w:t> </w:t>
            </w:r>
            <w:r>
              <w:rPr>
                <w:rFonts w:ascii="Calibri"/>
                <w:spacing w:val="-2"/>
                <w:sz w:val="24"/>
              </w:rPr>
              <w:t>Training</w:t>
            </w:r>
          </w:p>
        </w:tc>
        <w:tc>
          <w:tcPr>
            <w:tcW w:w="3328" w:type="dxa"/>
          </w:tcPr>
          <w:p>
            <w:pPr>
              <w:pStyle w:val="TableParagraph"/>
              <w:spacing w:line="272" w:lineRule="exact"/>
              <w:ind w:left="105"/>
              <w:rPr>
                <w:rFonts w:ascii="Calibri"/>
                <w:sz w:val="24"/>
              </w:rPr>
            </w:pPr>
            <w:r>
              <w:rPr>
                <w:rFonts w:ascii="Calibri"/>
                <w:sz w:val="24"/>
              </w:rPr>
              <w:t>September</w:t>
            </w:r>
            <w:r>
              <w:rPr>
                <w:rFonts w:ascii="Calibri"/>
                <w:spacing w:val="-4"/>
                <w:sz w:val="24"/>
              </w:rPr>
              <w:t> </w:t>
            </w:r>
            <w:r>
              <w:rPr>
                <w:rFonts w:ascii="Calibri"/>
                <w:sz w:val="24"/>
              </w:rPr>
              <w:t>12,</w:t>
            </w:r>
            <w:r>
              <w:rPr>
                <w:rFonts w:ascii="Calibri"/>
                <w:spacing w:val="-1"/>
                <w:sz w:val="24"/>
              </w:rPr>
              <w:t> </w:t>
            </w:r>
            <w:r>
              <w:rPr>
                <w:rFonts w:ascii="Calibri"/>
                <w:spacing w:val="-4"/>
                <w:sz w:val="24"/>
              </w:rPr>
              <w:t>2022</w:t>
            </w:r>
          </w:p>
        </w:tc>
      </w:tr>
      <w:tr>
        <w:trPr>
          <w:trHeight w:val="585" w:hRule="atLeast"/>
        </w:trPr>
        <w:tc>
          <w:tcPr>
            <w:tcW w:w="5666" w:type="dxa"/>
          </w:tcPr>
          <w:p>
            <w:pPr>
              <w:pStyle w:val="TableParagraph"/>
              <w:spacing w:line="292" w:lineRule="exact"/>
              <w:ind w:left="107"/>
              <w:rPr>
                <w:rFonts w:ascii="Calibri"/>
                <w:sz w:val="24"/>
              </w:rPr>
            </w:pPr>
            <w:r>
              <w:rPr>
                <w:rFonts w:ascii="Calibri"/>
                <w:sz w:val="24"/>
              </w:rPr>
              <w:t>Transportation</w:t>
            </w:r>
            <w:r>
              <w:rPr>
                <w:rFonts w:ascii="Calibri"/>
                <w:spacing w:val="-1"/>
                <w:sz w:val="24"/>
              </w:rPr>
              <w:t> </w:t>
            </w:r>
            <w:r>
              <w:rPr>
                <w:rFonts w:ascii="Calibri"/>
                <w:sz w:val="24"/>
              </w:rPr>
              <w:t>Diversity,</w:t>
            </w:r>
            <w:r>
              <w:rPr>
                <w:rFonts w:ascii="Calibri"/>
                <w:spacing w:val="-5"/>
                <w:sz w:val="24"/>
              </w:rPr>
              <w:t> </w:t>
            </w:r>
            <w:r>
              <w:rPr>
                <w:rFonts w:ascii="Calibri"/>
                <w:sz w:val="24"/>
              </w:rPr>
              <w:t>Equity</w:t>
            </w:r>
            <w:r>
              <w:rPr>
                <w:rFonts w:ascii="Calibri"/>
                <w:spacing w:val="-2"/>
                <w:sz w:val="24"/>
              </w:rPr>
              <w:t> </w:t>
            </w:r>
            <w:r>
              <w:rPr>
                <w:rFonts w:ascii="Calibri"/>
                <w:sz w:val="24"/>
              </w:rPr>
              <w:t>and</w:t>
            </w:r>
            <w:r>
              <w:rPr>
                <w:rFonts w:ascii="Calibri"/>
                <w:spacing w:val="-4"/>
                <w:sz w:val="24"/>
              </w:rPr>
              <w:t> </w:t>
            </w:r>
            <w:r>
              <w:rPr>
                <w:rFonts w:ascii="Calibri"/>
                <w:sz w:val="24"/>
              </w:rPr>
              <w:t>Inclusion </w:t>
            </w:r>
            <w:r>
              <w:rPr>
                <w:rFonts w:ascii="Calibri"/>
                <w:spacing w:val="-2"/>
                <w:sz w:val="24"/>
              </w:rPr>
              <w:t>(DEI)</w:t>
            </w:r>
          </w:p>
          <w:p>
            <w:pPr>
              <w:pStyle w:val="TableParagraph"/>
              <w:spacing w:line="273" w:lineRule="exact"/>
              <w:ind w:left="107"/>
              <w:rPr>
                <w:rFonts w:ascii="Calibri"/>
                <w:sz w:val="24"/>
              </w:rPr>
            </w:pPr>
            <w:r>
              <w:rPr>
                <w:rFonts w:ascii="Calibri"/>
                <w:spacing w:val="-2"/>
                <w:sz w:val="24"/>
              </w:rPr>
              <w:t>Initiative</w:t>
            </w:r>
          </w:p>
        </w:tc>
        <w:tc>
          <w:tcPr>
            <w:tcW w:w="3328" w:type="dxa"/>
          </w:tcPr>
          <w:p>
            <w:pPr>
              <w:pStyle w:val="TableParagraph"/>
              <w:spacing w:line="292" w:lineRule="exact"/>
              <w:ind w:left="105"/>
              <w:rPr>
                <w:rFonts w:ascii="Calibri"/>
                <w:sz w:val="24"/>
              </w:rPr>
            </w:pPr>
            <w:r>
              <w:rPr>
                <w:rFonts w:ascii="Calibri"/>
                <w:sz w:val="24"/>
              </w:rPr>
              <w:t>September</w:t>
            </w:r>
            <w:r>
              <w:rPr>
                <w:rFonts w:ascii="Calibri"/>
                <w:spacing w:val="-4"/>
                <w:sz w:val="24"/>
              </w:rPr>
              <w:t> </w:t>
            </w:r>
            <w:r>
              <w:rPr>
                <w:rFonts w:ascii="Calibri"/>
                <w:sz w:val="24"/>
              </w:rPr>
              <w:t>21,</w:t>
            </w:r>
            <w:r>
              <w:rPr>
                <w:rFonts w:ascii="Calibri"/>
                <w:spacing w:val="-1"/>
                <w:sz w:val="24"/>
              </w:rPr>
              <w:t> </w:t>
            </w:r>
            <w:r>
              <w:rPr>
                <w:rFonts w:ascii="Calibri"/>
                <w:spacing w:val="-4"/>
                <w:sz w:val="24"/>
              </w:rPr>
              <w:t>2022</w:t>
            </w:r>
          </w:p>
        </w:tc>
      </w:tr>
    </w:tbl>
    <w:p>
      <w:pPr>
        <w:pStyle w:val="BodyText"/>
        <w:rPr>
          <w:b/>
          <w:sz w:val="20"/>
        </w:rPr>
      </w:pPr>
    </w:p>
    <w:p>
      <w:pPr>
        <w:pStyle w:val="BodyText"/>
        <w:spacing w:before="2"/>
        <w:rPr>
          <w:b/>
          <w:sz w:val="21"/>
        </w:rPr>
      </w:pPr>
    </w:p>
    <w:p>
      <w:pPr>
        <w:pStyle w:val="Heading9"/>
        <w:numPr>
          <w:ilvl w:val="0"/>
          <w:numId w:val="10"/>
        </w:numPr>
        <w:tabs>
          <w:tab w:pos="1198" w:val="left" w:leader="none"/>
        </w:tabs>
        <w:spacing w:line="240" w:lineRule="auto" w:before="51" w:after="0"/>
        <w:ind w:left="1198" w:right="0" w:hanging="358"/>
        <w:jc w:val="left"/>
      </w:pPr>
      <w:bookmarkStart w:name="5. Advisory Committees" w:id="22"/>
      <w:bookmarkEnd w:id="22"/>
      <w:r>
        <w:rPr>
          <w:b w:val="0"/>
        </w:rPr>
      </w:r>
      <w:bookmarkStart w:name="_bookmark10" w:id="23"/>
      <w:bookmarkEnd w:id="23"/>
      <w:r>
        <w:rPr>
          <w:b w:val="0"/>
        </w:rPr>
      </w:r>
      <w:r>
        <w:rPr>
          <w:u w:val="single"/>
        </w:rPr>
        <w:t>Advisory</w:t>
      </w:r>
      <w:r>
        <w:rPr>
          <w:spacing w:val="-3"/>
          <w:u w:val="single"/>
        </w:rPr>
        <w:t> </w:t>
      </w:r>
      <w:r>
        <w:rPr>
          <w:spacing w:val="-2"/>
          <w:u w:val="single"/>
        </w:rPr>
        <w:t>Committees</w:t>
      </w:r>
    </w:p>
    <w:p>
      <w:pPr>
        <w:pStyle w:val="BodyText"/>
        <w:spacing w:before="8"/>
        <w:rPr>
          <w:b/>
        </w:rPr>
      </w:pPr>
    </w:p>
    <w:p>
      <w:pPr>
        <w:pStyle w:val="BodyText"/>
        <w:spacing w:before="52"/>
        <w:ind w:left="839" w:right="933"/>
        <w:jc w:val="both"/>
      </w:pPr>
      <w:r>
        <w:rPr/>
        <w:t>In</w:t>
      </w:r>
      <w:r>
        <w:rPr>
          <w:spacing w:val="-4"/>
        </w:rPr>
        <w:t> </w:t>
      </w:r>
      <w:r>
        <w:rPr/>
        <w:t>2015,</w:t>
      </w:r>
      <w:r>
        <w:rPr>
          <w:spacing w:val="-5"/>
        </w:rPr>
        <w:t> </w:t>
      </w:r>
      <w:r>
        <w:rPr/>
        <w:t>the</w:t>
      </w:r>
      <w:r>
        <w:rPr>
          <w:spacing w:val="-4"/>
        </w:rPr>
        <w:t> </w:t>
      </w:r>
      <w:r>
        <w:rPr/>
        <w:t>Maine</w:t>
      </w:r>
      <w:r>
        <w:rPr>
          <w:spacing w:val="-4"/>
        </w:rPr>
        <w:t> </w:t>
      </w:r>
      <w:r>
        <w:rPr/>
        <w:t>Legislature</w:t>
      </w:r>
      <w:r>
        <w:rPr>
          <w:spacing w:val="-7"/>
        </w:rPr>
        <w:t> </w:t>
      </w:r>
      <w:r>
        <w:rPr/>
        <w:t>established</w:t>
      </w:r>
      <w:r>
        <w:rPr>
          <w:spacing w:val="-4"/>
        </w:rPr>
        <w:t> </w:t>
      </w:r>
      <w:r>
        <w:rPr/>
        <w:t>the</w:t>
      </w:r>
      <w:r>
        <w:rPr>
          <w:spacing w:val="-4"/>
        </w:rPr>
        <w:t> </w:t>
      </w:r>
      <w:r>
        <w:rPr/>
        <w:t>Public</w:t>
      </w:r>
      <w:r>
        <w:rPr>
          <w:spacing w:val="-6"/>
        </w:rPr>
        <w:t> </w:t>
      </w:r>
      <w:r>
        <w:rPr/>
        <w:t>Transit</w:t>
      </w:r>
      <w:r>
        <w:rPr>
          <w:spacing w:val="-4"/>
        </w:rPr>
        <w:t> </w:t>
      </w:r>
      <w:r>
        <w:rPr/>
        <w:t>Advisory</w:t>
      </w:r>
      <w:r>
        <w:rPr>
          <w:spacing w:val="-6"/>
        </w:rPr>
        <w:t> </w:t>
      </w:r>
      <w:r>
        <w:rPr/>
        <w:t>Council</w:t>
      </w:r>
      <w:r>
        <w:rPr>
          <w:spacing w:val="-5"/>
        </w:rPr>
        <w:t> </w:t>
      </w:r>
      <w:r>
        <w:rPr/>
        <w:t>(“PTAC”)</w:t>
      </w:r>
      <w:r>
        <w:rPr>
          <w:spacing w:val="-6"/>
        </w:rPr>
        <w:t> </w:t>
      </w:r>
      <w:r>
        <w:rPr/>
        <w:t>pursuant to 23 MRS §4209-A for the purpose of advising the Legislature and MaineDOT regarding public. transit services in Maine. PTAC advises MaineDOT on the review and approval of Locally Coordinated Plans for regional transit and advises on any statewide strategic transit planning undertaken by MaineDOT, including short-term and long-term fiscal, operating and capital investments, and the integration of transit planning with the state’s Sensible Transportation Policy Act.</w:t>
      </w:r>
      <w:r>
        <w:rPr>
          <w:spacing w:val="40"/>
        </w:rPr>
        <w:t> </w:t>
      </w:r>
      <w:r>
        <w:rPr/>
        <w:t>The statute requires that PTAC’s membership must include:</w:t>
      </w:r>
    </w:p>
    <w:p>
      <w:pPr>
        <w:pStyle w:val="BodyText"/>
        <w:spacing w:before="10"/>
        <w:rPr>
          <w:sz w:val="23"/>
        </w:rPr>
      </w:pPr>
    </w:p>
    <w:p>
      <w:pPr>
        <w:pStyle w:val="ListParagraph"/>
        <w:numPr>
          <w:ilvl w:val="0"/>
          <w:numId w:val="23"/>
        </w:numPr>
        <w:tabs>
          <w:tab w:pos="1560" w:val="left" w:leader="none"/>
        </w:tabs>
        <w:spacing w:line="242" w:lineRule="auto" w:before="0" w:after="0"/>
        <w:ind w:left="1560" w:right="934" w:hanging="360"/>
        <w:jc w:val="left"/>
        <w:rPr>
          <w:sz w:val="24"/>
        </w:rPr>
      </w:pPr>
      <w:r>
        <w:rPr>
          <w:sz w:val="24"/>
        </w:rPr>
        <w:t>The</w:t>
      </w:r>
      <w:r>
        <w:rPr>
          <w:spacing w:val="-9"/>
          <w:sz w:val="24"/>
        </w:rPr>
        <w:t> </w:t>
      </w:r>
      <w:r>
        <w:rPr>
          <w:sz w:val="24"/>
        </w:rPr>
        <w:t>MaineDOT</w:t>
      </w:r>
      <w:r>
        <w:rPr>
          <w:spacing w:val="-7"/>
          <w:sz w:val="24"/>
        </w:rPr>
        <w:t> </w:t>
      </w:r>
      <w:r>
        <w:rPr>
          <w:sz w:val="24"/>
        </w:rPr>
        <w:t>Commissioner</w:t>
      </w:r>
      <w:r>
        <w:rPr>
          <w:spacing w:val="-7"/>
          <w:sz w:val="24"/>
        </w:rPr>
        <w:t> </w:t>
      </w:r>
      <w:r>
        <w:rPr>
          <w:sz w:val="24"/>
        </w:rPr>
        <w:t>or</w:t>
      </w:r>
      <w:r>
        <w:rPr>
          <w:spacing w:val="-7"/>
          <w:sz w:val="24"/>
        </w:rPr>
        <w:t> </w:t>
      </w:r>
      <w:r>
        <w:rPr>
          <w:sz w:val="24"/>
        </w:rPr>
        <w:t>his</w:t>
      </w:r>
      <w:r>
        <w:rPr>
          <w:spacing w:val="-9"/>
          <w:sz w:val="24"/>
        </w:rPr>
        <w:t> </w:t>
      </w:r>
      <w:r>
        <w:rPr>
          <w:sz w:val="24"/>
        </w:rPr>
        <w:t>designee,</w:t>
      </w:r>
      <w:r>
        <w:rPr>
          <w:spacing w:val="-7"/>
          <w:sz w:val="24"/>
        </w:rPr>
        <w:t> </w:t>
      </w:r>
      <w:r>
        <w:rPr>
          <w:sz w:val="24"/>
        </w:rPr>
        <w:t>and</w:t>
      </w:r>
      <w:r>
        <w:rPr>
          <w:spacing w:val="-9"/>
          <w:sz w:val="24"/>
        </w:rPr>
        <w:t> </w:t>
      </w:r>
      <w:r>
        <w:rPr>
          <w:sz w:val="24"/>
        </w:rPr>
        <w:t>the</w:t>
      </w:r>
      <w:r>
        <w:rPr>
          <w:spacing w:val="-9"/>
          <w:sz w:val="24"/>
        </w:rPr>
        <w:t> </w:t>
      </w:r>
      <w:r>
        <w:rPr>
          <w:sz w:val="24"/>
        </w:rPr>
        <w:t>following</w:t>
      </w:r>
      <w:r>
        <w:rPr>
          <w:spacing w:val="-8"/>
          <w:sz w:val="24"/>
        </w:rPr>
        <w:t> </w:t>
      </w:r>
      <w:r>
        <w:rPr>
          <w:sz w:val="24"/>
        </w:rPr>
        <w:t>individuals</w:t>
      </w:r>
      <w:r>
        <w:rPr>
          <w:spacing w:val="-8"/>
          <w:sz w:val="24"/>
        </w:rPr>
        <w:t> </w:t>
      </w:r>
      <w:r>
        <w:rPr>
          <w:sz w:val="24"/>
        </w:rPr>
        <w:t>appointed</w:t>
      </w:r>
      <w:r>
        <w:rPr>
          <w:spacing w:val="-9"/>
          <w:sz w:val="24"/>
        </w:rPr>
        <w:t> </w:t>
      </w:r>
      <w:r>
        <w:rPr>
          <w:sz w:val="24"/>
        </w:rPr>
        <w:t>by the Commissioner:</w:t>
      </w:r>
    </w:p>
    <w:p>
      <w:pPr>
        <w:pStyle w:val="ListParagraph"/>
        <w:numPr>
          <w:ilvl w:val="1"/>
          <w:numId w:val="23"/>
        </w:numPr>
        <w:tabs>
          <w:tab w:pos="2280" w:val="left" w:leader="none"/>
        </w:tabs>
        <w:spacing w:line="232" w:lineRule="auto" w:before="3" w:after="0"/>
        <w:ind w:left="2280" w:right="933" w:hanging="360"/>
        <w:jc w:val="left"/>
        <w:rPr>
          <w:sz w:val="24"/>
        </w:rPr>
      </w:pPr>
      <w:r>
        <w:rPr>
          <w:sz w:val="24"/>
        </w:rPr>
        <w:t>One representative from the federally designated planning organizations for the Bangor, Kittery, Lewiston and Auburn and Portland regions;</w:t>
      </w:r>
    </w:p>
    <w:p>
      <w:pPr>
        <w:pStyle w:val="ListParagraph"/>
        <w:numPr>
          <w:ilvl w:val="1"/>
          <w:numId w:val="23"/>
        </w:numPr>
        <w:tabs>
          <w:tab w:pos="2279" w:val="left" w:leader="none"/>
        </w:tabs>
        <w:spacing w:line="297" w:lineRule="exact" w:before="3" w:after="0"/>
        <w:ind w:left="2279" w:right="0" w:hanging="359"/>
        <w:jc w:val="left"/>
        <w:rPr>
          <w:sz w:val="24"/>
        </w:rPr>
      </w:pPr>
      <w:r>
        <w:rPr>
          <w:sz w:val="24"/>
        </w:rPr>
        <w:t>One</w:t>
      </w:r>
      <w:r>
        <w:rPr>
          <w:spacing w:val="-1"/>
          <w:sz w:val="24"/>
        </w:rPr>
        <w:t> </w:t>
      </w:r>
      <w:r>
        <w:rPr>
          <w:sz w:val="24"/>
        </w:rPr>
        <w:t>representative</w:t>
      </w:r>
      <w:r>
        <w:rPr>
          <w:spacing w:val="-2"/>
          <w:sz w:val="24"/>
        </w:rPr>
        <w:t> </w:t>
      </w:r>
      <w:r>
        <w:rPr>
          <w:sz w:val="24"/>
        </w:rPr>
        <w:t>of</w:t>
      </w:r>
      <w:r>
        <w:rPr>
          <w:spacing w:val="-2"/>
          <w:sz w:val="24"/>
        </w:rPr>
        <w:t> </w:t>
      </w:r>
      <w:r>
        <w:rPr>
          <w:sz w:val="24"/>
        </w:rPr>
        <w:t>private</w:t>
      </w:r>
      <w:r>
        <w:rPr>
          <w:spacing w:val="-2"/>
          <w:sz w:val="24"/>
        </w:rPr>
        <w:t> </w:t>
      </w:r>
      <w:r>
        <w:rPr>
          <w:sz w:val="24"/>
        </w:rPr>
        <w:t>bus</w:t>
      </w:r>
      <w:r>
        <w:rPr>
          <w:spacing w:val="-2"/>
          <w:sz w:val="24"/>
        </w:rPr>
        <w:t> owners;</w:t>
      </w:r>
    </w:p>
    <w:p>
      <w:pPr>
        <w:pStyle w:val="ListParagraph"/>
        <w:numPr>
          <w:ilvl w:val="1"/>
          <w:numId w:val="23"/>
        </w:numPr>
        <w:tabs>
          <w:tab w:pos="2280" w:val="left" w:leader="none"/>
        </w:tabs>
        <w:spacing w:line="232" w:lineRule="auto" w:before="3" w:after="0"/>
        <w:ind w:left="2280" w:right="935" w:hanging="360"/>
        <w:jc w:val="left"/>
        <w:rPr>
          <w:sz w:val="24"/>
        </w:rPr>
      </w:pPr>
      <w:r>
        <w:rPr>
          <w:sz w:val="24"/>
        </w:rPr>
        <w:t>One representative of a statewide nonprofit agency that advocates on behalf of the elderly;</w:t>
      </w:r>
    </w:p>
    <w:p>
      <w:pPr>
        <w:pStyle w:val="ListParagraph"/>
        <w:numPr>
          <w:ilvl w:val="1"/>
          <w:numId w:val="23"/>
        </w:numPr>
        <w:tabs>
          <w:tab w:pos="2279" w:val="left" w:leader="none"/>
        </w:tabs>
        <w:spacing w:line="297" w:lineRule="exact" w:before="3" w:after="0"/>
        <w:ind w:left="2279" w:right="0" w:hanging="359"/>
        <w:jc w:val="left"/>
        <w:rPr>
          <w:sz w:val="24"/>
        </w:rPr>
      </w:pPr>
      <w:r>
        <w:rPr>
          <w:sz w:val="24"/>
        </w:rPr>
        <w:t>One</w:t>
      </w:r>
      <w:r>
        <w:rPr>
          <w:spacing w:val="-1"/>
          <w:sz w:val="24"/>
        </w:rPr>
        <w:t> </w:t>
      </w:r>
      <w:r>
        <w:rPr>
          <w:sz w:val="24"/>
        </w:rPr>
        <w:t>representative</w:t>
      </w:r>
      <w:r>
        <w:rPr>
          <w:spacing w:val="-2"/>
          <w:sz w:val="24"/>
        </w:rPr>
        <w:t> </w:t>
      </w:r>
      <w:r>
        <w:rPr>
          <w:sz w:val="24"/>
        </w:rPr>
        <w:t>of</w:t>
      </w:r>
      <w:r>
        <w:rPr>
          <w:spacing w:val="1"/>
          <w:sz w:val="24"/>
        </w:rPr>
        <w:t> </w:t>
      </w:r>
      <w:r>
        <w:rPr>
          <w:sz w:val="24"/>
        </w:rPr>
        <w:t>a</w:t>
      </w:r>
      <w:r>
        <w:rPr>
          <w:spacing w:val="-5"/>
          <w:sz w:val="24"/>
        </w:rPr>
        <w:t> </w:t>
      </w:r>
      <w:r>
        <w:rPr>
          <w:sz w:val="24"/>
        </w:rPr>
        <w:t>medical</w:t>
      </w:r>
      <w:r>
        <w:rPr>
          <w:spacing w:val="-2"/>
          <w:sz w:val="24"/>
        </w:rPr>
        <w:t> provider;</w:t>
      </w:r>
    </w:p>
    <w:p>
      <w:pPr>
        <w:pStyle w:val="ListParagraph"/>
        <w:numPr>
          <w:ilvl w:val="1"/>
          <w:numId w:val="23"/>
        </w:numPr>
        <w:tabs>
          <w:tab w:pos="2279" w:val="left" w:leader="none"/>
        </w:tabs>
        <w:spacing w:line="293" w:lineRule="exact" w:before="0" w:after="0"/>
        <w:ind w:left="2279" w:right="0" w:hanging="359"/>
        <w:jc w:val="left"/>
        <w:rPr>
          <w:sz w:val="24"/>
        </w:rPr>
      </w:pPr>
      <w:r>
        <w:rPr>
          <w:sz w:val="24"/>
        </w:rPr>
        <w:t>One</w:t>
      </w:r>
      <w:r>
        <w:rPr>
          <w:spacing w:val="-2"/>
          <w:sz w:val="24"/>
        </w:rPr>
        <w:t> </w:t>
      </w:r>
      <w:r>
        <w:rPr>
          <w:sz w:val="24"/>
        </w:rPr>
        <w:t>representative</w:t>
      </w:r>
      <w:r>
        <w:rPr>
          <w:spacing w:val="-2"/>
          <w:sz w:val="24"/>
        </w:rPr>
        <w:t> </w:t>
      </w:r>
      <w:r>
        <w:rPr>
          <w:sz w:val="24"/>
        </w:rPr>
        <w:t>of</w:t>
      </w:r>
      <w:r>
        <w:rPr>
          <w:spacing w:val="1"/>
          <w:sz w:val="24"/>
        </w:rPr>
        <w:t> </w:t>
      </w:r>
      <w:r>
        <w:rPr>
          <w:sz w:val="24"/>
        </w:rPr>
        <w:t>a</w:t>
      </w:r>
      <w:r>
        <w:rPr>
          <w:spacing w:val="-5"/>
          <w:sz w:val="24"/>
        </w:rPr>
        <w:t> </w:t>
      </w:r>
      <w:r>
        <w:rPr>
          <w:sz w:val="24"/>
        </w:rPr>
        <w:t>business</w:t>
      </w:r>
      <w:r>
        <w:rPr>
          <w:spacing w:val="-1"/>
          <w:sz w:val="24"/>
        </w:rPr>
        <w:t> </w:t>
      </w:r>
      <w:r>
        <w:rPr>
          <w:sz w:val="24"/>
        </w:rPr>
        <w:t>that</w:t>
      </w:r>
      <w:r>
        <w:rPr>
          <w:spacing w:val="-2"/>
          <w:sz w:val="24"/>
        </w:rPr>
        <w:t> </w:t>
      </w:r>
      <w:r>
        <w:rPr>
          <w:sz w:val="24"/>
        </w:rPr>
        <w:t>relies</w:t>
      </w:r>
      <w:r>
        <w:rPr>
          <w:spacing w:val="-3"/>
          <w:sz w:val="24"/>
        </w:rPr>
        <w:t> </w:t>
      </w:r>
      <w:r>
        <w:rPr>
          <w:sz w:val="24"/>
        </w:rPr>
        <w:t>on</w:t>
      </w:r>
      <w:r>
        <w:rPr>
          <w:spacing w:val="-2"/>
          <w:sz w:val="24"/>
        </w:rPr>
        <w:t> </w:t>
      </w:r>
      <w:r>
        <w:rPr>
          <w:sz w:val="24"/>
        </w:rPr>
        <w:t>public</w:t>
      </w:r>
      <w:r>
        <w:rPr>
          <w:spacing w:val="-3"/>
          <w:sz w:val="24"/>
        </w:rPr>
        <w:t> </w:t>
      </w:r>
      <w:r>
        <w:rPr>
          <w:spacing w:val="-2"/>
          <w:sz w:val="24"/>
        </w:rPr>
        <w:t>transportation;</w:t>
      </w:r>
    </w:p>
    <w:p>
      <w:pPr>
        <w:pStyle w:val="ListParagraph"/>
        <w:numPr>
          <w:ilvl w:val="1"/>
          <w:numId w:val="23"/>
        </w:numPr>
        <w:tabs>
          <w:tab w:pos="2280" w:val="left" w:leader="none"/>
        </w:tabs>
        <w:spacing w:line="232" w:lineRule="auto" w:before="3" w:after="0"/>
        <w:ind w:left="2280" w:right="936" w:hanging="360"/>
        <w:jc w:val="left"/>
        <w:rPr>
          <w:sz w:val="24"/>
        </w:rPr>
      </w:pPr>
      <w:r>
        <w:rPr>
          <w:sz w:val="24"/>
        </w:rPr>
        <w:t>One</w:t>
      </w:r>
      <w:r>
        <w:rPr>
          <w:spacing w:val="40"/>
          <w:sz w:val="24"/>
        </w:rPr>
        <w:t> </w:t>
      </w:r>
      <w:r>
        <w:rPr>
          <w:sz w:val="24"/>
        </w:rPr>
        <w:t>representative</w:t>
      </w:r>
      <w:r>
        <w:rPr>
          <w:spacing w:val="40"/>
          <w:sz w:val="24"/>
        </w:rPr>
        <w:t> </w:t>
      </w:r>
      <w:r>
        <w:rPr>
          <w:sz w:val="24"/>
        </w:rPr>
        <w:t>of</w:t>
      </w:r>
      <w:r>
        <w:rPr>
          <w:spacing w:val="40"/>
          <w:sz w:val="24"/>
        </w:rPr>
        <w:t> </w:t>
      </w:r>
      <w:r>
        <w:rPr>
          <w:sz w:val="24"/>
        </w:rPr>
        <w:t>a</w:t>
      </w:r>
      <w:r>
        <w:rPr>
          <w:spacing w:val="40"/>
          <w:sz w:val="24"/>
        </w:rPr>
        <w:t> </w:t>
      </w:r>
      <w:r>
        <w:rPr>
          <w:sz w:val="24"/>
        </w:rPr>
        <w:t>statewide</w:t>
      </w:r>
      <w:r>
        <w:rPr>
          <w:spacing w:val="40"/>
          <w:sz w:val="24"/>
        </w:rPr>
        <w:t> </w:t>
      </w:r>
      <w:r>
        <w:rPr>
          <w:sz w:val="24"/>
        </w:rPr>
        <w:t>association</w:t>
      </w:r>
      <w:r>
        <w:rPr>
          <w:spacing w:val="40"/>
          <w:sz w:val="24"/>
        </w:rPr>
        <w:t> </w:t>
      </w:r>
      <w:r>
        <w:rPr>
          <w:sz w:val="24"/>
        </w:rPr>
        <w:t>of</w:t>
      </w:r>
      <w:r>
        <w:rPr>
          <w:spacing w:val="40"/>
          <w:sz w:val="24"/>
        </w:rPr>
        <w:t> </w:t>
      </w:r>
      <w:r>
        <w:rPr>
          <w:sz w:val="24"/>
        </w:rPr>
        <w:t>planning</w:t>
      </w:r>
      <w:r>
        <w:rPr>
          <w:spacing w:val="40"/>
          <w:sz w:val="24"/>
        </w:rPr>
        <w:t> </w:t>
      </w:r>
      <w:r>
        <w:rPr>
          <w:sz w:val="24"/>
        </w:rPr>
        <w:t>and</w:t>
      </w:r>
      <w:r>
        <w:rPr>
          <w:spacing w:val="40"/>
          <w:sz w:val="24"/>
        </w:rPr>
        <w:t> </w:t>
      </w:r>
      <w:r>
        <w:rPr>
          <w:sz w:val="24"/>
        </w:rPr>
        <w:t>development </w:t>
      </w:r>
      <w:r>
        <w:rPr>
          <w:spacing w:val="-2"/>
          <w:sz w:val="24"/>
        </w:rPr>
        <w:t>agencies;</w:t>
      </w:r>
    </w:p>
    <w:p>
      <w:pPr>
        <w:pStyle w:val="ListParagraph"/>
        <w:numPr>
          <w:ilvl w:val="1"/>
          <w:numId w:val="23"/>
        </w:numPr>
        <w:tabs>
          <w:tab w:pos="2279" w:val="left" w:leader="none"/>
        </w:tabs>
        <w:spacing w:line="297" w:lineRule="exact" w:before="3" w:after="0"/>
        <w:ind w:left="2279" w:right="0" w:hanging="359"/>
        <w:jc w:val="left"/>
        <w:rPr>
          <w:sz w:val="24"/>
        </w:rPr>
      </w:pPr>
      <w:r>
        <w:rPr>
          <w:sz w:val="24"/>
        </w:rPr>
        <w:t>One</w:t>
      </w:r>
      <w:r>
        <w:rPr>
          <w:spacing w:val="-4"/>
          <w:sz w:val="24"/>
        </w:rPr>
        <w:t> </w:t>
      </w:r>
      <w:r>
        <w:rPr>
          <w:sz w:val="24"/>
        </w:rPr>
        <w:t>representative</w:t>
      </w:r>
      <w:r>
        <w:rPr>
          <w:spacing w:val="-4"/>
          <w:sz w:val="24"/>
        </w:rPr>
        <w:t> </w:t>
      </w:r>
      <w:r>
        <w:rPr>
          <w:sz w:val="24"/>
        </w:rPr>
        <w:t>of an</w:t>
      </w:r>
      <w:r>
        <w:rPr>
          <w:spacing w:val="-4"/>
          <w:sz w:val="24"/>
        </w:rPr>
        <w:t> </w:t>
      </w:r>
      <w:r>
        <w:rPr>
          <w:sz w:val="24"/>
        </w:rPr>
        <w:t>organization</w:t>
      </w:r>
      <w:r>
        <w:rPr>
          <w:spacing w:val="-3"/>
          <w:sz w:val="24"/>
        </w:rPr>
        <w:t> </w:t>
      </w:r>
      <w:r>
        <w:rPr>
          <w:sz w:val="24"/>
        </w:rPr>
        <w:t>representing</w:t>
      </w:r>
      <w:r>
        <w:rPr>
          <w:spacing w:val="-3"/>
          <w:sz w:val="24"/>
        </w:rPr>
        <w:t> </w:t>
      </w:r>
      <w:r>
        <w:rPr>
          <w:sz w:val="24"/>
        </w:rPr>
        <w:t>persons</w:t>
      </w:r>
      <w:r>
        <w:rPr>
          <w:spacing w:val="-4"/>
          <w:sz w:val="24"/>
        </w:rPr>
        <w:t> </w:t>
      </w:r>
      <w:r>
        <w:rPr>
          <w:sz w:val="24"/>
        </w:rPr>
        <w:t>with</w:t>
      </w:r>
      <w:r>
        <w:rPr>
          <w:spacing w:val="-3"/>
          <w:sz w:val="24"/>
        </w:rPr>
        <w:t> </w:t>
      </w:r>
      <w:r>
        <w:rPr>
          <w:spacing w:val="-2"/>
          <w:sz w:val="24"/>
        </w:rPr>
        <w:t>disabilities;</w:t>
      </w:r>
    </w:p>
    <w:p>
      <w:pPr>
        <w:pStyle w:val="ListParagraph"/>
        <w:numPr>
          <w:ilvl w:val="1"/>
          <w:numId w:val="23"/>
        </w:numPr>
        <w:tabs>
          <w:tab w:pos="2278" w:val="left" w:leader="none"/>
        </w:tabs>
        <w:spacing w:line="293" w:lineRule="exact" w:before="0" w:after="0"/>
        <w:ind w:left="2278" w:right="0" w:hanging="359"/>
        <w:jc w:val="left"/>
        <w:rPr>
          <w:sz w:val="24"/>
        </w:rPr>
      </w:pPr>
      <w:r>
        <w:rPr>
          <w:sz w:val="24"/>
        </w:rPr>
        <w:t>One</w:t>
      </w:r>
      <w:r>
        <w:rPr>
          <w:spacing w:val="-1"/>
          <w:sz w:val="24"/>
        </w:rPr>
        <w:t> </w:t>
      </w:r>
      <w:r>
        <w:rPr>
          <w:sz w:val="24"/>
        </w:rPr>
        <w:t>representative</w:t>
      </w:r>
      <w:r>
        <w:rPr>
          <w:spacing w:val="-2"/>
          <w:sz w:val="24"/>
        </w:rPr>
        <w:t> </w:t>
      </w:r>
      <w:r>
        <w:rPr>
          <w:sz w:val="24"/>
        </w:rPr>
        <w:t>of a</w:t>
      </w:r>
      <w:r>
        <w:rPr>
          <w:spacing w:val="-5"/>
          <w:sz w:val="24"/>
        </w:rPr>
        <w:t> </w:t>
      </w:r>
      <w:r>
        <w:rPr>
          <w:sz w:val="24"/>
        </w:rPr>
        <w:t>nonprofit</w:t>
      </w:r>
      <w:r>
        <w:rPr>
          <w:spacing w:val="-2"/>
          <w:sz w:val="24"/>
        </w:rPr>
        <w:t> </w:t>
      </w:r>
      <w:r>
        <w:rPr>
          <w:sz w:val="24"/>
        </w:rPr>
        <w:t>transit</w:t>
      </w:r>
      <w:r>
        <w:rPr>
          <w:spacing w:val="-2"/>
          <w:sz w:val="24"/>
        </w:rPr>
        <w:t> provider;</w:t>
      </w:r>
    </w:p>
    <w:p>
      <w:pPr>
        <w:pStyle w:val="ListParagraph"/>
        <w:numPr>
          <w:ilvl w:val="1"/>
          <w:numId w:val="23"/>
        </w:numPr>
        <w:tabs>
          <w:tab w:pos="2278" w:val="left" w:leader="none"/>
        </w:tabs>
        <w:spacing w:line="294" w:lineRule="exact" w:before="0" w:after="0"/>
        <w:ind w:left="2278" w:right="0" w:hanging="359"/>
        <w:jc w:val="left"/>
        <w:rPr>
          <w:sz w:val="24"/>
        </w:rPr>
      </w:pPr>
      <w:r>
        <w:rPr>
          <w:sz w:val="24"/>
        </w:rPr>
        <w:t>One</w:t>
      </w:r>
      <w:r>
        <w:rPr>
          <w:spacing w:val="-1"/>
          <w:sz w:val="24"/>
        </w:rPr>
        <w:t> </w:t>
      </w:r>
      <w:r>
        <w:rPr>
          <w:sz w:val="24"/>
        </w:rPr>
        <w:t>representative</w:t>
      </w:r>
      <w:r>
        <w:rPr>
          <w:spacing w:val="-3"/>
          <w:sz w:val="24"/>
        </w:rPr>
        <w:t> </w:t>
      </w:r>
      <w:r>
        <w:rPr>
          <w:sz w:val="24"/>
        </w:rPr>
        <w:t>of an</w:t>
      </w:r>
      <w:r>
        <w:rPr>
          <w:spacing w:val="-3"/>
          <w:sz w:val="24"/>
        </w:rPr>
        <w:t> </w:t>
      </w:r>
      <w:r>
        <w:rPr>
          <w:sz w:val="24"/>
        </w:rPr>
        <w:t>economic</w:t>
      </w:r>
      <w:r>
        <w:rPr>
          <w:spacing w:val="-5"/>
          <w:sz w:val="24"/>
        </w:rPr>
        <w:t> </w:t>
      </w:r>
      <w:r>
        <w:rPr>
          <w:sz w:val="24"/>
        </w:rPr>
        <w:t>development</w:t>
      </w:r>
      <w:r>
        <w:rPr>
          <w:spacing w:val="-5"/>
          <w:sz w:val="24"/>
        </w:rPr>
        <w:t> </w:t>
      </w:r>
      <w:r>
        <w:rPr>
          <w:sz w:val="24"/>
        </w:rPr>
        <w:t>organization;</w:t>
      </w:r>
      <w:r>
        <w:rPr>
          <w:spacing w:val="-2"/>
          <w:sz w:val="24"/>
        </w:rPr>
        <w:t> </w:t>
      </w:r>
      <w:r>
        <w:rPr>
          <w:spacing w:val="-5"/>
          <w:sz w:val="24"/>
        </w:rPr>
        <w:t>and</w:t>
      </w:r>
    </w:p>
    <w:p>
      <w:pPr>
        <w:pStyle w:val="ListParagraph"/>
        <w:numPr>
          <w:ilvl w:val="1"/>
          <w:numId w:val="23"/>
        </w:numPr>
        <w:tabs>
          <w:tab w:pos="2278" w:val="left" w:leader="none"/>
        </w:tabs>
        <w:spacing w:line="298" w:lineRule="exact" w:before="0" w:after="0"/>
        <w:ind w:left="2278" w:right="0" w:hanging="359"/>
        <w:jc w:val="left"/>
        <w:rPr>
          <w:sz w:val="24"/>
        </w:rPr>
      </w:pPr>
      <w:r>
        <w:rPr>
          <w:sz w:val="24"/>
        </w:rPr>
        <w:t>One</w:t>
      </w:r>
      <w:r>
        <w:rPr>
          <w:spacing w:val="-5"/>
          <w:sz w:val="24"/>
        </w:rPr>
        <w:t> </w:t>
      </w:r>
      <w:r>
        <w:rPr>
          <w:sz w:val="24"/>
        </w:rPr>
        <w:t>representative</w:t>
      </w:r>
      <w:r>
        <w:rPr>
          <w:spacing w:val="-4"/>
          <w:sz w:val="24"/>
        </w:rPr>
        <w:t> </w:t>
      </w:r>
      <w:r>
        <w:rPr>
          <w:sz w:val="24"/>
        </w:rPr>
        <w:t>of</w:t>
      </w:r>
      <w:r>
        <w:rPr>
          <w:spacing w:val="-1"/>
          <w:sz w:val="24"/>
        </w:rPr>
        <w:t> </w:t>
      </w:r>
      <w:r>
        <w:rPr>
          <w:sz w:val="24"/>
        </w:rPr>
        <w:t>an</w:t>
      </w:r>
      <w:r>
        <w:rPr>
          <w:spacing w:val="-4"/>
          <w:sz w:val="24"/>
        </w:rPr>
        <w:t> </w:t>
      </w:r>
      <w:r>
        <w:rPr>
          <w:sz w:val="24"/>
        </w:rPr>
        <w:t>organization</w:t>
      </w:r>
      <w:r>
        <w:rPr>
          <w:spacing w:val="-4"/>
          <w:sz w:val="24"/>
        </w:rPr>
        <w:t> </w:t>
      </w:r>
      <w:r>
        <w:rPr>
          <w:sz w:val="24"/>
        </w:rPr>
        <w:t>representing</w:t>
      </w:r>
      <w:r>
        <w:rPr>
          <w:spacing w:val="-3"/>
          <w:sz w:val="24"/>
        </w:rPr>
        <w:t> </w:t>
      </w:r>
      <w:r>
        <w:rPr>
          <w:sz w:val="24"/>
        </w:rPr>
        <w:t>low-income</w:t>
      </w:r>
      <w:r>
        <w:rPr>
          <w:spacing w:val="-3"/>
          <w:sz w:val="24"/>
        </w:rPr>
        <w:t> </w:t>
      </w:r>
      <w:r>
        <w:rPr>
          <w:spacing w:val="-2"/>
          <w:sz w:val="24"/>
        </w:rPr>
        <w:t>persons.</w:t>
      </w:r>
    </w:p>
    <w:p>
      <w:pPr>
        <w:pStyle w:val="BodyText"/>
        <w:spacing w:before="4"/>
        <w:rPr>
          <w:sz w:val="23"/>
        </w:rPr>
      </w:pPr>
    </w:p>
    <w:p>
      <w:pPr>
        <w:pStyle w:val="BodyText"/>
        <w:ind w:left="839" w:right="930"/>
        <w:jc w:val="both"/>
      </w:pPr>
      <w:r>
        <w:rPr/>
        <w:t>In making the appointments, the Commissioner must ensure that rural and urban areas of the State are represented.</w:t>
      </w:r>
      <w:r>
        <w:rPr>
          <w:spacing w:val="40"/>
        </w:rPr>
        <w:t> </w:t>
      </w:r>
      <w:r>
        <w:rPr/>
        <w:t>In addition, the Commissioner shall invite at least two members of the Legislature joint standing committee on transportation matters and at least one representative of the Northern New England Passenger Authority to participate in PTAC meetings.</w:t>
      </w:r>
    </w:p>
    <w:p>
      <w:pPr>
        <w:spacing w:after="0"/>
        <w:jc w:val="both"/>
        <w:sectPr>
          <w:type w:val="continuous"/>
          <w:pgSz w:w="12240" w:h="15840"/>
          <w:pgMar w:header="0" w:footer="997" w:top="980" w:bottom="1260" w:left="600" w:right="500"/>
        </w:sectPr>
      </w:pPr>
    </w:p>
    <w:p>
      <w:pPr>
        <w:pStyle w:val="BodyText"/>
        <w:spacing w:before="35"/>
        <w:ind w:left="840" w:right="932"/>
        <w:jc w:val="both"/>
      </w:pPr>
      <w:r>
        <w:rPr/>
        <w:t>The PTAC makes biennial reports to the Governor of Maine and the joint standing legislative committees who have jurisdiction over transportation matters and health and human services matters.</w:t>
      </w:r>
      <w:r>
        <w:rPr>
          <w:spacing w:val="80"/>
        </w:rPr>
        <w:t> </w:t>
      </w:r>
      <w:r>
        <w:rPr/>
        <w:t>Their report must include an assessment of the level of transportation services provided</w:t>
      </w:r>
      <w:r>
        <w:rPr>
          <w:spacing w:val="-11"/>
        </w:rPr>
        <w:t> </w:t>
      </w:r>
      <w:r>
        <w:rPr/>
        <w:t>to</w:t>
      </w:r>
      <w:r>
        <w:rPr>
          <w:spacing w:val="-12"/>
        </w:rPr>
        <w:t> </w:t>
      </w:r>
      <w:r>
        <w:rPr/>
        <w:t>the</w:t>
      </w:r>
      <w:r>
        <w:rPr>
          <w:spacing w:val="-12"/>
        </w:rPr>
        <w:t> </w:t>
      </w:r>
      <w:r>
        <w:rPr/>
        <w:t>public;</w:t>
      </w:r>
      <w:r>
        <w:rPr>
          <w:spacing w:val="-9"/>
        </w:rPr>
        <w:t> </w:t>
      </w:r>
      <w:r>
        <w:rPr/>
        <w:t>recommendations</w:t>
      </w:r>
      <w:r>
        <w:rPr>
          <w:spacing w:val="-10"/>
        </w:rPr>
        <w:t> </w:t>
      </w:r>
      <w:r>
        <w:rPr/>
        <w:t>for</w:t>
      </w:r>
      <w:r>
        <w:rPr>
          <w:spacing w:val="-12"/>
        </w:rPr>
        <w:t> </w:t>
      </w:r>
      <w:r>
        <w:rPr/>
        <w:t>the</w:t>
      </w:r>
      <w:r>
        <w:rPr>
          <w:spacing w:val="-9"/>
        </w:rPr>
        <w:t> </w:t>
      </w:r>
      <w:r>
        <w:rPr/>
        <w:t>level</w:t>
      </w:r>
      <w:r>
        <w:rPr>
          <w:spacing w:val="-10"/>
        </w:rPr>
        <w:t> </w:t>
      </w:r>
      <w:r>
        <w:rPr/>
        <w:t>of</w:t>
      </w:r>
      <w:r>
        <w:rPr>
          <w:spacing w:val="-9"/>
        </w:rPr>
        <w:t> </w:t>
      </w:r>
      <w:r>
        <w:rPr/>
        <w:t>service</w:t>
      </w:r>
      <w:r>
        <w:rPr>
          <w:spacing w:val="-12"/>
        </w:rPr>
        <w:t> </w:t>
      </w:r>
      <w:r>
        <w:rPr/>
        <w:t>that</w:t>
      </w:r>
      <w:r>
        <w:rPr>
          <w:spacing w:val="-9"/>
        </w:rPr>
        <w:t> </w:t>
      </w:r>
      <w:r>
        <w:rPr/>
        <w:t>should</w:t>
      </w:r>
      <w:r>
        <w:rPr>
          <w:spacing w:val="-9"/>
        </w:rPr>
        <w:t> </w:t>
      </w:r>
      <w:r>
        <w:rPr/>
        <w:t>be</w:t>
      </w:r>
      <w:r>
        <w:rPr>
          <w:spacing w:val="-9"/>
        </w:rPr>
        <w:t> </w:t>
      </w:r>
      <w:r>
        <w:rPr/>
        <w:t>provided</w:t>
      </w:r>
      <w:r>
        <w:rPr>
          <w:spacing w:val="-9"/>
        </w:rPr>
        <w:t> </w:t>
      </w:r>
      <w:r>
        <w:rPr/>
        <w:t>and</w:t>
      </w:r>
      <w:r>
        <w:rPr>
          <w:spacing w:val="-11"/>
        </w:rPr>
        <w:t> </w:t>
      </w:r>
      <w:r>
        <w:rPr/>
        <w:t>the cost of such service; and recommendations for the optimal coordination of transit services with other senior and veterans’ services.</w:t>
      </w:r>
    </w:p>
    <w:p>
      <w:pPr>
        <w:pStyle w:val="BodyText"/>
        <w:spacing w:before="11"/>
        <w:rPr>
          <w:sz w:val="23"/>
        </w:rPr>
      </w:pPr>
    </w:p>
    <w:p>
      <w:pPr>
        <w:pStyle w:val="BodyText"/>
        <w:spacing w:line="242" w:lineRule="auto"/>
        <w:ind w:left="840" w:right="934"/>
        <w:jc w:val="both"/>
      </w:pPr>
      <w:r>
        <w:rPr/>
        <w:t>The</w:t>
      </w:r>
      <w:r>
        <w:rPr>
          <w:spacing w:val="-2"/>
        </w:rPr>
        <w:t> </w:t>
      </w:r>
      <w:r>
        <w:rPr/>
        <w:t>PTAC</w:t>
      </w:r>
      <w:r>
        <w:rPr>
          <w:spacing w:val="-3"/>
        </w:rPr>
        <w:t> </w:t>
      </w:r>
      <w:r>
        <w:rPr/>
        <w:t>also</w:t>
      </w:r>
      <w:r>
        <w:rPr>
          <w:spacing w:val="-2"/>
        </w:rPr>
        <w:t> </w:t>
      </w:r>
      <w:r>
        <w:rPr/>
        <w:t>advises</w:t>
      </w:r>
      <w:r>
        <w:rPr>
          <w:spacing w:val="-3"/>
        </w:rPr>
        <w:t> </w:t>
      </w:r>
      <w:r>
        <w:rPr/>
        <w:t>MaineDOT,</w:t>
      </w:r>
      <w:r>
        <w:rPr>
          <w:spacing w:val="-2"/>
        </w:rPr>
        <w:t> </w:t>
      </w:r>
      <w:r>
        <w:rPr/>
        <w:t>and</w:t>
      </w:r>
      <w:r>
        <w:rPr>
          <w:spacing w:val="-4"/>
        </w:rPr>
        <w:t> </w:t>
      </w:r>
      <w:r>
        <w:rPr/>
        <w:t>Maine’s</w:t>
      </w:r>
      <w:r>
        <w:rPr>
          <w:spacing w:val="-3"/>
        </w:rPr>
        <w:t> </w:t>
      </w:r>
      <w:r>
        <w:rPr/>
        <w:t>Departments</w:t>
      </w:r>
      <w:r>
        <w:rPr>
          <w:spacing w:val="-3"/>
        </w:rPr>
        <w:t> </w:t>
      </w:r>
      <w:r>
        <w:rPr/>
        <w:t>of</w:t>
      </w:r>
      <w:r>
        <w:rPr>
          <w:spacing w:val="-1"/>
        </w:rPr>
        <w:t> </w:t>
      </w:r>
      <w:r>
        <w:rPr/>
        <w:t>Health</w:t>
      </w:r>
      <w:r>
        <w:rPr>
          <w:spacing w:val="-1"/>
        </w:rPr>
        <w:t> </w:t>
      </w:r>
      <w:r>
        <w:rPr/>
        <w:t>and</w:t>
      </w:r>
      <w:r>
        <w:rPr>
          <w:spacing w:val="-1"/>
        </w:rPr>
        <w:t> </w:t>
      </w:r>
      <w:r>
        <w:rPr/>
        <w:t>Human</w:t>
      </w:r>
      <w:r>
        <w:rPr>
          <w:spacing w:val="-1"/>
        </w:rPr>
        <w:t> </w:t>
      </w:r>
      <w:r>
        <w:rPr/>
        <w:t>Services,</w:t>
      </w:r>
      <w:r>
        <w:rPr>
          <w:spacing w:val="-2"/>
        </w:rPr>
        <w:t> </w:t>
      </w:r>
      <w:r>
        <w:rPr/>
        <w:t>and Labor in matters concerning public transportation.</w:t>
      </w:r>
    </w:p>
    <w:p>
      <w:pPr>
        <w:spacing w:after="0" w:line="242" w:lineRule="auto"/>
        <w:jc w:val="both"/>
        <w:sectPr>
          <w:pgSz w:w="12240" w:h="15840"/>
          <w:pgMar w:header="0" w:footer="997" w:top="960" w:bottom="1260" w:left="600" w:right="500"/>
        </w:sect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8"/>
        <w:gridCol w:w="1468"/>
        <w:gridCol w:w="1382"/>
        <w:gridCol w:w="1696"/>
        <w:gridCol w:w="1199"/>
        <w:gridCol w:w="2123"/>
      </w:tblGrid>
      <w:tr>
        <w:trPr>
          <w:trHeight w:val="292" w:hRule="atLeast"/>
        </w:trPr>
        <w:tc>
          <w:tcPr>
            <w:tcW w:w="9346" w:type="dxa"/>
            <w:gridSpan w:val="6"/>
            <w:shd w:val="clear" w:color="auto" w:fill="D9D9D9"/>
          </w:tcPr>
          <w:p>
            <w:pPr>
              <w:pStyle w:val="TableParagraph"/>
              <w:spacing w:line="272" w:lineRule="exact"/>
              <w:ind w:left="2090" w:right="2079"/>
              <w:jc w:val="center"/>
              <w:rPr>
                <w:rFonts w:ascii="Calibri"/>
                <w:b/>
                <w:sz w:val="24"/>
              </w:rPr>
            </w:pPr>
            <w:r>
              <w:rPr>
                <w:rFonts w:ascii="Calibri"/>
                <w:b/>
                <w:sz w:val="24"/>
              </w:rPr>
              <w:t>Minority</w:t>
            </w:r>
            <w:r>
              <w:rPr>
                <w:rFonts w:ascii="Calibri"/>
                <w:b/>
                <w:spacing w:val="-4"/>
                <w:sz w:val="24"/>
              </w:rPr>
              <w:t> </w:t>
            </w:r>
            <w:r>
              <w:rPr>
                <w:rFonts w:ascii="Calibri"/>
                <w:b/>
                <w:sz w:val="24"/>
              </w:rPr>
              <w:t>Representation</w:t>
            </w:r>
            <w:r>
              <w:rPr>
                <w:rFonts w:ascii="Calibri"/>
                <w:b/>
                <w:spacing w:val="-2"/>
                <w:sz w:val="24"/>
              </w:rPr>
              <w:t> </w:t>
            </w:r>
            <w:r>
              <w:rPr>
                <w:rFonts w:ascii="Calibri"/>
                <w:b/>
                <w:sz w:val="24"/>
              </w:rPr>
              <w:t>on</w:t>
            </w:r>
            <w:r>
              <w:rPr>
                <w:rFonts w:ascii="Calibri"/>
                <w:b/>
                <w:spacing w:val="-4"/>
                <w:sz w:val="24"/>
              </w:rPr>
              <w:t> </w:t>
            </w:r>
            <w:r>
              <w:rPr>
                <w:rFonts w:ascii="Calibri"/>
                <w:b/>
                <w:sz w:val="24"/>
              </w:rPr>
              <w:t>MaineDOT</w:t>
            </w:r>
            <w:r>
              <w:rPr>
                <w:rFonts w:ascii="Calibri"/>
                <w:b/>
                <w:spacing w:val="-3"/>
                <w:sz w:val="24"/>
              </w:rPr>
              <w:t> </w:t>
            </w:r>
            <w:r>
              <w:rPr>
                <w:rFonts w:ascii="Calibri"/>
                <w:b/>
                <w:spacing w:val="-2"/>
                <w:sz w:val="24"/>
              </w:rPr>
              <w:t>Committees</w:t>
            </w:r>
          </w:p>
        </w:tc>
      </w:tr>
      <w:tr>
        <w:trPr>
          <w:trHeight w:val="1367" w:hRule="atLeast"/>
        </w:trPr>
        <w:tc>
          <w:tcPr>
            <w:tcW w:w="1478" w:type="dxa"/>
          </w:tcPr>
          <w:p>
            <w:pPr>
              <w:pStyle w:val="TableParagraph"/>
              <w:spacing w:line="240" w:lineRule="auto"/>
              <w:rPr>
                <w:sz w:val="22"/>
              </w:rPr>
            </w:pPr>
          </w:p>
        </w:tc>
        <w:tc>
          <w:tcPr>
            <w:tcW w:w="1468" w:type="dxa"/>
          </w:tcPr>
          <w:p>
            <w:pPr>
              <w:pStyle w:val="TableParagraph"/>
              <w:spacing w:line="240" w:lineRule="auto"/>
              <w:ind w:left="122" w:right="110" w:firstLine="2"/>
              <w:jc w:val="center"/>
              <w:rPr>
                <w:rFonts w:ascii="Calibri"/>
                <w:i/>
                <w:sz w:val="20"/>
              </w:rPr>
            </w:pPr>
            <w:r>
              <w:rPr>
                <w:rFonts w:ascii="Calibri"/>
                <w:b/>
                <w:sz w:val="24"/>
              </w:rPr>
              <w:t>White or </w:t>
            </w:r>
            <w:r>
              <w:rPr>
                <w:rFonts w:ascii="Calibri"/>
                <w:b/>
                <w:spacing w:val="-2"/>
                <w:sz w:val="24"/>
              </w:rPr>
              <w:t>Caucasian </w:t>
            </w:r>
            <w:r>
              <w:rPr>
                <w:rFonts w:ascii="Calibri"/>
                <w:i/>
                <w:sz w:val="20"/>
              </w:rPr>
              <w:t>(White alone,</w:t>
            </w:r>
            <w:r>
              <w:rPr>
                <w:rFonts w:ascii="Calibri"/>
                <w:i/>
                <w:sz w:val="20"/>
              </w:rPr>
              <w:t> not</w:t>
            </w:r>
            <w:r>
              <w:rPr>
                <w:rFonts w:ascii="Calibri"/>
                <w:i/>
                <w:spacing w:val="-12"/>
                <w:sz w:val="20"/>
              </w:rPr>
              <w:t> </w:t>
            </w:r>
            <w:r>
              <w:rPr>
                <w:rFonts w:ascii="Calibri"/>
                <w:i/>
                <w:sz w:val="20"/>
              </w:rPr>
              <w:t>Hispanic</w:t>
            </w:r>
            <w:r>
              <w:rPr>
                <w:rFonts w:ascii="Calibri"/>
                <w:i/>
                <w:spacing w:val="-11"/>
                <w:sz w:val="20"/>
              </w:rPr>
              <w:t> </w:t>
            </w:r>
            <w:r>
              <w:rPr>
                <w:rFonts w:ascii="Calibri"/>
                <w:i/>
                <w:sz w:val="20"/>
              </w:rPr>
              <w:t>or </w:t>
            </w:r>
            <w:r>
              <w:rPr>
                <w:rFonts w:ascii="Calibri"/>
                <w:i/>
                <w:spacing w:val="-2"/>
                <w:sz w:val="20"/>
              </w:rPr>
              <w:t>Latino)</w:t>
            </w:r>
          </w:p>
        </w:tc>
        <w:tc>
          <w:tcPr>
            <w:tcW w:w="1382" w:type="dxa"/>
          </w:tcPr>
          <w:p>
            <w:pPr>
              <w:pStyle w:val="TableParagraph"/>
              <w:spacing w:line="240" w:lineRule="auto"/>
              <w:ind w:left="135" w:right="122"/>
              <w:jc w:val="center"/>
              <w:rPr>
                <w:rFonts w:ascii="Calibri"/>
                <w:i/>
                <w:sz w:val="20"/>
              </w:rPr>
            </w:pPr>
            <w:r>
              <w:rPr>
                <w:rFonts w:ascii="Calibri"/>
                <w:b/>
                <w:sz w:val="24"/>
              </w:rPr>
              <w:t>Hispanic</w:t>
            </w:r>
            <w:r>
              <w:rPr>
                <w:rFonts w:ascii="Calibri"/>
                <w:b/>
                <w:spacing w:val="-14"/>
                <w:sz w:val="24"/>
              </w:rPr>
              <w:t> </w:t>
            </w:r>
            <w:r>
              <w:rPr>
                <w:rFonts w:ascii="Calibri"/>
                <w:b/>
                <w:sz w:val="24"/>
              </w:rPr>
              <w:t>or </w:t>
            </w:r>
            <w:r>
              <w:rPr>
                <w:rFonts w:ascii="Calibri"/>
                <w:b/>
                <w:spacing w:val="-2"/>
                <w:sz w:val="24"/>
              </w:rPr>
              <w:t>Latino </w:t>
            </w:r>
            <w:r>
              <w:rPr>
                <w:rFonts w:ascii="Calibri"/>
                <w:i/>
                <w:sz w:val="20"/>
              </w:rPr>
              <w:t>(Hispanic or</w:t>
            </w:r>
            <w:r>
              <w:rPr>
                <w:rFonts w:ascii="Calibri"/>
                <w:i/>
                <w:sz w:val="20"/>
              </w:rPr>
              <w:t> Latino of any </w:t>
            </w:r>
            <w:r>
              <w:rPr>
                <w:rFonts w:ascii="Calibri"/>
                <w:i/>
                <w:spacing w:val="-2"/>
                <w:sz w:val="20"/>
              </w:rPr>
              <w:t>race)</w:t>
            </w:r>
          </w:p>
        </w:tc>
        <w:tc>
          <w:tcPr>
            <w:tcW w:w="1696" w:type="dxa"/>
          </w:tcPr>
          <w:p>
            <w:pPr>
              <w:pStyle w:val="TableParagraph"/>
              <w:spacing w:line="240" w:lineRule="auto"/>
              <w:ind w:left="183" w:right="168" w:hanging="2"/>
              <w:jc w:val="center"/>
              <w:rPr>
                <w:rFonts w:ascii="Calibri"/>
                <w:b/>
                <w:sz w:val="24"/>
              </w:rPr>
            </w:pPr>
            <w:r>
              <w:rPr>
                <w:rFonts w:ascii="Calibri"/>
                <w:b/>
                <w:sz w:val="24"/>
              </w:rPr>
              <w:t>Black or </w:t>
            </w:r>
            <w:r>
              <w:rPr>
                <w:rFonts w:ascii="Calibri"/>
                <w:b/>
                <w:spacing w:val="-2"/>
                <w:sz w:val="24"/>
              </w:rPr>
              <w:t>African American</w:t>
            </w:r>
          </w:p>
          <w:p>
            <w:pPr>
              <w:pStyle w:val="TableParagraph"/>
              <w:spacing w:line="240" w:lineRule="atLeast"/>
              <w:ind w:left="183" w:right="168"/>
              <w:jc w:val="center"/>
              <w:rPr>
                <w:rFonts w:ascii="Calibri"/>
                <w:i/>
                <w:sz w:val="20"/>
              </w:rPr>
            </w:pPr>
            <w:r>
              <w:rPr>
                <w:rFonts w:ascii="Calibri"/>
                <w:i/>
                <w:sz w:val="20"/>
              </w:rPr>
              <w:t>(Black</w:t>
            </w:r>
            <w:r>
              <w:rPr>
                <w:rFonts w:ascii="Calibri"/>
                <w:i/>
                <w:spacing w:val="-12"/>
                <w:sz w:val="20"/>
              </w:rPr>
              <w:t> </w:t>
            </w:r>
            <w:r>
              <w:rPr>
                <w:rFonts w:ascii="Calibri"/>
                <w:i/>
                <w:sz w:val="20"/>
              </w:rPr>
              <w:t>or</w:t>
            </w:r>
            <w:r>
              <w:rPr>
                <w:rFonts w:ascii="Calibri"/>
                <w:i/>
                <w:spacing w:val="-11"/>
                <w:sz w:val="20"/>
              </w:rPr>
              <w:t> </w:t>
            </w:r>
            <w:r>
              <w:rPr>
                <w:rFonts w:ascii="Calibri"/>
                <w:i/>
                <w:sz w:val="20"/>
              </w:rPr>
              <w:t>African</w:t>
            </w:r>
            <w:r>
              <w:rPr>
                <w:rFonts w:ascii="Calibri"/>
                <w:i/>
                <w:sz w:val="20"/>
              </w:rPr>
              <w:t> American</w:t>
            </w:r>
            <w:r>
              <w:rPr>
                <w:rFonts w:ascii="Calibri"/>
                <w:i/>
                <w:spacing w:val="-10"/>
                <w:sz w:val="20"/>
              </w:rPr>
              <w:t> </w:t>
            </w:r>
            <w:r>
              <w:rPr>
                <w:rFonts w:ascii="Calibri"/>
                <w:i/>
                <w:spacing w:val="-2"/>
                <w:sz w:val="20"/>
              </w:rPr>
              <w:t>alone)</w:t>
            </w:r>
          </w:p>
        </w:tc>
        <w:tc>
          <w:tcPr>
            <w:tcW w:w="1199" w:type="dxa"/>
          </w:tcPr>
          <w:p>
            <w:pPr>
              <w:pStyle w:val="TableParagraph"/>
              <w:spacing w:line="240" w:lineRule="auto"/>
              <w:ind w:left="124" w:right="108" w:hanging="3"/>
              <w:jc w:val="center"/>
              <w:rPr>
                <w:rFonts w:ascii="Calibri"/>
                <w:i/>
                <w:sz w:val="20"/>
              </w:rPr>
            </w:pPr>
            <w:r>
              <w:rPr>
                <w:rFonts w:ascii="Calibri"/>
                <w:b/>
                <w:spacing w:val="-2"/>
                <w:sz w:val="24"/>
              </w:rPr>
              <w:t>Asian American </w:t>
            </w:r>
            <w:r>
              <w:rPr>
                <w:rFonts w:ascii="Calibri"/>
                <w:i/>
                <w:spacing w:val="-2"/>
                <w:sz w:val="20"/>
              </w:rPr>
              <w:t>(Asian</w:t>
            </w:r>
            <w:r>
              <w:rPr>
                <w:rFonts w:ascii="Calibri"/>
                <w:i/>
                <w:spacing w:val="-2"/>
                <w:sz w:val="20"/>
              </w:rPr>
              <w:t> alone)</w:t>
            </w:r>
          </w:p>
        </w:tc>
        <w:tc>
          <w:tcPr>
            <w:tcW w:w="2123" w:type="dxa"/>
          </w:tcPr>
          <w:p>
            <w:pPr>
              <w:pStyle w:val="TableParagraph"/>
              <w:spacing w:line="240" w:lineRule="auto"/>
              <w:ind w:left="168" w:right="151" w:hanging="2"/>
              <w:jc w:val="center"/>
              <w:rPr>
                <w:rFonts w:ascii="Calibri"/>
                <w:i/>
                <w:sz w:val="20"/>
              </w:rPr>
            </w:pPr>
            <w:r>
              <w:rPr>
                <w:rFonts w:ascii="Calibri"/>
                <w:b/>
                <w:sz w:val="24"/>
              </w:rPr>
              <w:t>American Indian and</w:t>
            </w:r>
            <w:r>
              <w:rPr>
                <w:rFonts w:ascii="Calibri"/>
                <w:b/>
                <w:spacing w:val="-14"/>
                <w:sz w:val="24"/>
              </w:rPr>
              <w:t> </w:t>
            </w:r>
            <w:r>
              <w:rPr>
                <w:rFonts w:ascii="Calibri"/>
                <w:b/>
                <w:sz w:val="24"/>
              </w:rPr>
              <w:t>Alaska</w:t>
            </w:r>
            <w:r>
              <w:rPr>
                <w:rFonts w:ascii="Calibri"/>
                <w:b/>
                <w:spacing w:val="-14"/>
                <w:sz w:val="24"/>
              </w:rPr>
              <w:t> </w:t>
            </w:r>
            <w:r>
              <w:rPr>
                <w:rFonts w:ascii="Calibri"/>
                <w:b/>
                <w:sz w:val="24"/>
              </w:rPr>
              <w:t>Native </w:t>
            </w:r>
            <w:r>
              <w:rPr>
                <w:rFonts w:ascii="Calibri"/>
                <w:i/>
                <w:sz w:val="20"/>
              </w:rPr>
              <w:t>(American Indian and</w:t>
            </w:r>
            <w:r>
              <w:rPr>
                <w:rFonts w:ascii="Calibri"/>
                <w:i/>
                <w:sz w:val="20"/>
              </w:rPr>
              <w:t> Alaska Native alone)</w:t>
            </w:r>
          </w:p>
        </w:tc>
      </w:tr>
      <w:tr>
        <w:trPr>
          <w:trHeight w:val="585" w:hRule="atLeast"/>
        </w:trPr>
        <w:tc>
          <w:tcPr>
            <w:tcW w:w="1478" w:type="dxa"/>
          </w:tcPr>
          <w:p>
            <w:pPr>
              <w:pStyle w:val="TableParagraph"/>
              <w:spacing w:line="292" w:lineRule="exact"/>
              <w:ind w:left="107"/>
              <w:rPr>
                <w:rFonts w:ascii="Calibri"/>
                <w:b/>
                <w:sz w:val="24"/>
              </w:rPr>
            </w:pPr>
            <w:r>
              <w:rPr>
                <w:rFonts w:ascii="Calibri"/>
                <w:b/>
                <w:spacing w:val="-2"/>
                <w:sz w:val="24"/>
              </w:rPr>
              <w:t>Maine</w:t>
            </w:r>
          </w:p>
          <w:p>
            <w:pPr>
              <w:pStyle w:val="TableParagraph"/>
              <w:spacing w:line="273" w:lineRule="exact"/>
              <w:ind w:left="107"/>
              <w:rPr>
                <w:rFonts w:ascii="Calibri"/>
                <w:b/>
                <w:sz w:val="24"/>
              </w:rPr>
            </w:pPr>
            <w:r>
              <w:rPr>
                <w:rFonts w:ascii="Calibri"/>
                <w:b/>
                <w:spacing w:val="-2"/>
                <w:sz w:val="24"/>
              </w:rPr>
              <w:t>Population</w:t>
            </w:r>
          </w:p>
        </w:tc>
        <w:tc>
          <w:tcPr>
            <w:tcW w:w="1468" w:type="dxa"/>
          </w:tcPr>
          <w:p>
            <w:pPr>
              <w:pStyle w:val="TableParagraph"/>
              <w:spacing w:line="292" w:lineRule="exact"/>
              <w:ind w:left="106" w:right="96"/>
              <w:jc w:val="center"/>
              <w:rPr>
                <w:rFonts w:ascii="Calibri"/>
                <w:sz w:val="24"/>
              </w:rPr>
            </w:pPr>
            <w:r>
              <w:rPr>
                <w:rFonts w:ascii="Calibri"/>
                <w:spacing w:val="-5"/>
                <w:sz w:val="24"/>
              </w:rPr>
              <w:t>92%</w:t>
            </w:r>
          </w:p>
        </w:tc>
        <w:tc>
          <w:tcPr>
            <w:tcW w:w="1382" w:type="dxa"/>
          </w:tcPr>
          <w:p>
            <w:pPr>
              <w:pStyle w:val="TableParagraph"/>
              <w:spacing w:line="292" w:lineRule="exact"/>
              <w:ind w:left="452"/>
              <w:rPr>
                <w:rFonts w:ascii="Calibri"/>
                <w:sz w:val="24"/>
              </w:rPr>
            </w:pPr>
            <w:r>
              <w:rPr>
                <w:rFonts w:ascii="Calibri"/>
                <w:spacing w:val="-4"/>
                <w:sz w:val="24"/>
              </w:rPr>
              <w:t>1.8%</w:t>
            </w:r>
          </w:p>
        </w:tc>
        <w:tc>
          <w:tcPr>
            <w:tcW w:w="1696" w:type="dxa"/>
          </w:tcPr>
          <w:p>
            <w:pPr>
              <w:pStyle w:val="TableParagraph"/>
              <w:spacing w:line="292" w:lineRule="exact"/>
              <w:ind w:left="180" w:right="168"/>
              <w:jc w:val="center"/>
              <w:rPr>
                <w:rFonts w:ascii="Calibri"/>
                <w:sz w:val="24"/>
              </w:rPr>
            </w:pPr>
            <w:r>
              <w:rPr>
                <w:rFonts w:ascii="Calibri"/>
                <w:spacing w:val="-4"/>
                <w:sz w:val="24"/>
              </w:rPr>
              <w:t>1.4%</w:t>
            </w:r>
          </w:p>
        </w:tc>
        <w:tc>
          <w:tcPr>
            <w:tcW w:w="1199" w:type="dxa"/>
          </w:tcPr>
          <w:p>
            <w:pPr>
              <w:pStyle w:val="TableParagraph"/>
              <w:spacing w:line="292" w:lineRule="exact"/>
              <w:ind w:left="362"/>
              <w:rPr>
                <w:rFonts w:ascii="Calibri"/>
                <w:sz w:val="24"/>
              </w:rPr>
            </w:pPr>
            <w:r>
              <w:rPr>
                <w:rFonts w:ascii="Calibri"/>
                <w:spacing w:val="-4"/>
                <w:sz w:val="24"/>
              </w:rPr>
              <w:t>1.1%</w:t>
            </w:r>
          </w:p>
        </w:tc>
        <w:tc>
          <w:tcPr>
            <w:tcW w:w="2123" w:type="dxa"/>
          </w:tcPr>
          <w:p>
            <w:pPr>
              <w:pStyle w:val="TableParagraph"/>
              <w:spacing w:line="292" w:lineRule="exact"/>
              <w:ind w:left="814" w:right="798"/>
              <w:jc w:val="center"/>
              <w:rPr>
                <w:rFonts w:ascii="Calibri"/>
                <w:sz w:val="24"/>
              </w:rPr>
            </w:pPr>
            <w:r>
              <w:rPr>
                <w:rFonts w:ascii="Calibri"/>
                <w:spacing w:val="-4"/>
                <w:sz w:val="24"/>
              </w:rPr>
              <w:t>0.5%</w:t>
            </w:r>
          </w:p>
        </w:tc>
      </w:tr>
      <w:tr>
        <w:trPr>
          <w:trHeight w:val="1173" w:hRule="atLeast"/>
        </w:trPr>
        <w:tc>
          <w:tcPr>
            <w:tcW w:w="1478" w:type="dxa"/>
          </w:tcPr>
          <w:p>
            <w:pPr>
              <w:pStyle w:val="TableParagraph"/>
              <w:spacing w:line="290" w:lineRule="atLeast"/>
              <w:ind w:left="107" w:right="114"/>
              <w:rPr>
                <w:rFonts w:ascii="Calibri"/>
                <w:b/>
                <w:sz w:val="24"/>
              </w:rPr>
            </w:pPr>
            <w:r>
              <w:rPr>
                <w:rFonts w:ascii="Calibri"/>
                <w:b/>
                <w:spacing w:val="-2"/>
                <w:sz w:val="24"/>
              </w:rPr>
              <w:t>Public Transit Advisory Council</w:t>
            </w:r>
          </w:p>
        </w:tc>
        <w:tc>
          <w:tcPr>
            <w:tcW w:w="1468" w:type="dxa"/>
          </w:tcPr>
          <w:p>
            <w:pPr>
              <w:pStyle w:val="TableParagraph"/>
              <w:spacing w:line="240" w:lineRule="auto" w:before="1"/>
              <w:ind w:left="110" w:right="96"/>
              <w:jc w:val="center"/>
              <w:rPr>
                <w:rFonts w:ascii="Calibri"/>
                <w:sz w:val="24"/>
              </w:rPr>
            </w:pPr>
            <w:r>
              <w:rPr>
                <w:rFonts w:ascii="Calibri"/>
                <w:sz w:val="24"/>
              </w:rPr>
              <w:t>28</w:t>
            </w:r>
            <w:r>
              <w:rPr>
                <w:rFonts w:ascii="Calibri"/>
                <w:spacing w:val="1"/>
                <w:sz w:val="24"/>
              </w:rPr>
              <w:t> </w:t>
            </w:r>
            <w:r>
              <w:rPr>
                <w:rFonts w:ascii="Calibri"/>
                <w:spacing w:val="-2"/>
                <w:sz w:val="24"/>
              </w:rPr>
              <w:t>members</w:t>
            </w:r>
          </w:p>
          <w:p>
            <w:pPr>
              <w:pStyle w:val="TableParagraph"/>
              <w:spacing w:line="240" w:lineRule="auto"/>
              <w:rPr>
                <w:rFonts w:ascii="Calibri"/>
                <w:sz w:val="24"/>
              </w:rPr>
            </w:pPr>
          </w:p>
          <w:p>
            <w:pPr>
              <w:pStyle w:val="TableParagraph"/>
              <w:spacing w:line="240" w:lineRule="auto"/>
              <w:ind w:left="108" w:right="96"/>
              <w:jc w:val="center"/>
              <w:rPr>
                <w:rFonts w:ascii="Calibri"/>
                <w:sz w:val="24"/>
              </w:rPr>
            </w:pPr>
            <w:r>
              <w:rPr>
                <w:rFonts w:ascii="Calibri"/>
                <w:spacing w:val="-4"/>
                <w:sz w:val="24"/>
              </w:rPr>
              <w:t>100%</w:t>
            </w:r>
          </w:p>
        </w:tc>
        <w:tc>
          <w:tcPr>
            <w:tcW w:w="1382" w:type="dxa"/>
          </w:tcPr>
          <w:p>
            <w:pPr>
              <w:pStyle w:val="TableParagraph"/>
              <w:spacing w:line="240" w:lineRule="auto"/>
              <w:rPr>
                <w:sz w:val="22"/>
              </w:rPr>
            </w:pPr>
          </w:p>
        </w:tc>
        <w:tc>
          <w:tcPr>
            <w:tcW w:w="1696" w:type="dxa"/>
          </w:tcPr>
          <w:p>
            <w:pPr>
              <w:pStyle w:val="TableParagraph"/>
              <w:spacing w:line="240" w:lineRule="auto"/>
              <w:rPr>
                <w:sz w:val="22"/>
              </w:rPr>
            </w:pPr>
          </w:p>
        </w:tc>
        <w:tc>
          <w:tcPr>
            <w:tcW w:w="1199" w:type="dxa"/>
          </w:tcPr>
          <w:p>
            <w:pPr>
              <w:pStyle w:val="TableParagraph"/>
              <w:spacing w:line="240" w:lineRule="auto"/>
              <w:rPr>
                <w:sz w:val="22"/>
              </w:rPr>
            </w:pPr>
          </w:p>
        </w:tc>
        <w:tc>
          <w:tcPr>
            <w:tcW w:w="2123" w:type="dxa"/>
          </w:tcPr>
          <w:p>
            <w:pPr>
              <w:pStyle w:val="TableParagraph"/>
              <w:spacing w:line="240" w:lineRule="auto"/>
              <w:rPr>
                <w:sz w:val="22"/>
              </w:rPr>
            </w:pPr>
          </w:p>
        </w:tc>
      </w:tr>
    </w:tbl>
    <w:p>
      <w:pPr>
        <w:pStyle w:val="BodyText"/>
        <w:spacing w:before="9"/>
        <w:rPr>
          <w:sz w:val="16"/>
        </w:rPr>
      </w:pPr>
    </w:p>
    <w:p>
      <w:pPr>
        <w:spacing w:before="52"/>
        <w:ind w:left="840" w:right="0" w:firstLine="0"/>
        <w:jc w:val="left"/>
        <w:rPr>
          <w:i/>
          <w:sz w:val="24"/>
        </w:rPr>
      </w:pPr>
      <w:bookmarkStart w:name="Source: 2021 United States Bureau of the" w:id="24"/>
      <w:bookmarkEnd w:id="24"/>
      <w:r>
        <w:rPr/>
      </w:r>
      <w:bookmarkStart w:name="_bookmark11" w:id="25"/>
      <w:bookmarkEnd w:id="25"/>
      <w:r>
        <w:rPr/>
      </w:r>
      <w:r>
        <w:rPr>
          <w:i/>
          <w:sz w:val="24"/>
        </w:rPr>
        <w:t>Source:</w:t>
      </w:r>
      <w:r>
        <w:rPr>
          <w:i/>
          <w:spacing w:val="-4"/>
          <w:sz w:val="24"/>
        </w:rPr>
        <w:t> </w:t>
      </w:r>
      <w:r>
        <w:rPr>
          <w:i/>
          <w:sz w:val="24"/>
        </w:rPr>
        <w:t>2021</w:t>
      </w:r>
      <w:r>
        <w:rPr>
          <w:i/>
          <w:spacing w:val="-3"/>
          <w:sz w:val="24"/>
        </w:rPr>
        <w:t> </w:t>
      </w:r>
      <w:r>
        <w:rPr>
          <w:i/>
          <w:sz w:val="24"/>
        </w:rPr>
        <w:t>United</w:t>
      </w:r>
      <w:r>
        <w:rPr>
          <w:i/>
          <w:spacing w:val="-4"/>
          <w:sz w:val="24"/>
        </w:rPr>
        <w:t> </w:t>
      </w:r>
      <w:r>
        <w:rPr>
          <w:i/>
          <w:sz w:val="24"/>
        </w:rPr>
        <w:t>States</w:t>
      </w:r>
      <w:r>
        <w:rPr>
          <w:i/>
          <w:spacing w:val="-1"/>
          <w:sz w:val="24"/>
        </w:rPr>
        <w:t> </w:t>
      </w:r>
      <w:r>
        <w:rPr>
          <w:i/>
          <w:sz w:val="24"/>
        </w:rPr>
        <w:t>Bureau</w:t>
      </w:r>
      <w:r>
        <w:rPr>
          <w:i/>
          <w:spacing w:val="-3"/>
          <w:sz w:val="24"/>
        </w:rPr>
        <w:t> </w:t>
      </w:r>
      <w:r>
        <w:rPr>
          <w:i/>
          <w:sz w:val="24"/>
        </w:rPr>
        <w:t>of</w:t>
      </w:r>
      <w:r>
        <w:rPr>
          <w:i/>
          <w:spacing w:val="-1"/>
          <w:sz w:val="24"/>
        </w:rPr>
        <w:t> </w:t>
      </w:r>
      <w:r>
        <w:rPr>
          <w:i/>
          <w:sz w:val="24"/>
        </w:rPr>
        <w:t>the</w:t>
      </w:r>
      <w:r>
        <w:rPr>
          <w:i/>
          <w:spacing w:val="-1"/>
          <w:sz w:val="24"/>
        </w:rPr>
        <w:t> </w:t>
      </w:r>
      <w:r>
        <w:rPr>
          <w:i/>
          <w:sz w:val="24"/>
        </w:rPr>
        <w:t>Census,</w:t>
      </w:r>
      <w:r>
        <w:rPr>
          <w:i/>
          <w:spacing w:val="-2"/>
          <w:sz w:val="24"/>
        </w:rPr>
        <w:t> </w:t>
      </w:r>
      <w:r>
        <w:rPr>
          <w:i/>
          <w:sz w:val="24"/>
        </w:rPr>
        <w:t>American</w:t>
      </w:r>
      <w:r>
        <w:rPr>
          <w:i/>
          <w:spacing w:val="-3"/>
          <w:sz w:val="24"/>
        </w:rPr>
        <w:t> </w:t>
      </w:r>
      <w:r>
        <w:rPr>
          <w:i/>
          <w:sz w:val="24"/>
        </w:rPr>
        <w:t>Community</w:t>
      </w:r>
      <w:r>
        <w:rPr>
          <w:i/>
          <w:spacing w:val="-2"/>
          <w:sz w:val="24"/>
        </w:rPr>
        <w:t> </w:t>
      </w:r>
      <w:r>
        <w:rPr>
          <w:i/>
          <w:sz w:val="24"/>
        </w:rPr>
        <w:t>Survey</w:t>
      </w:r>
      <w:r>
        <w:rPr>
          <w:i/>
          <w:spacing w:val="-1"/>
          <w:sz w:val="24"/>
        </w:rPr>
        <w:t> </w:t>
      </w:r>
      <w:r>
        <w:rPr>
          <w:i/>
          <w:sz w:val="24"/>
        </w:rPr>
        <w:t>5-year</w:t>
      </w:r>
      <w:r>
        <w:rPr>
          <w:i/>
          <w:spacing w:val="-2"/>
          <w:sz w:val="24"/>
        </w:rPr>
        <w:t> Estimates</w:t>
      </w:r>
    </w:p>
    <w:p>
      <w:pPr>
        <w:pStyle w:val="BodyText"/>
        <w:spacing w:before="8"/>
        <w:rPr>
          <w:i/>
          <w:sz w:val="19"/>
        </w:rPr>
      </w:pPr>
    </w:p>
    <w:p>
      <w:pPr>
        <w:pStyle w:val="Heading9"/>
        <w:numPr>
          <w:ilvl w:val="0"/>
          <w:numId w:val="10"/>
        </w:numPr>
        <w:tabs>
          <w:tab w:pos="1198" w:val="left" w:leader="none"/>
        </w:tabs>
        <w:spacing w:line="240" w:lineRule="auto" w:before="0" w:after="0"/>
        <w:ind w:left="1198" w:right="0" w:hanging="358"/>
        <w:jc w:val="left"/>
      </w:pPr>
      <w:bookmarkStart w:name="6. Ensuring Minority and LEP Representat" w:id="26"/>
      <w:bookmarkEnd w:id="26"/>
      <w:r>
        <w:rPr>
          <w:b w:val="0"/>
        </w:rPr>
      </w:r>
      <w:r>
        <w:rPr>
          <w:u w:val="single"/>
        </w:rPr>
        <w:t>Ensuring</w:t>
      </w:r>
      <w:r>
        <w:rPr>
          <w:spacing w:val="-4"/>
          <w:u w:val="single"/>
        </w:rPr>
        <w:t> </w:t>
      </w:r>
      <w:r>
        <w:rPr>
          <w:u w:val="single"/>
        </w:rPr>
        <w:t>Minority</w:t>
      </w:r>
      <w:r>
        <w:rPr>
          <w:spacing w:val="-3"/>
          <w:u w:val="single"/>
        </w:rPr>
        <w:t> </w:t>
      </w:r>
      <w:r>
        <w:rPr>
          <w:u w:val="single"/>
        </w:rPr>
        <w:t>and</w:t>
      </w:r>
      <w:r>
        <w:rPr>
          <w:spacing w:val="-4"/>
          <w:u w:val="single"/>
        </w:rPr>
        <w:t> </w:t>
      </w:r>
      <w:r>
        <w:rPr>
          <w:u w:val="single"/>
        </w:rPr>
        <w:t>LEP</w:t>
      </w:r>
      <w:r>
        <w:rPr>
          <w:spacing w:val="-3"/>
          <w:u w:val="single"/>
        </w:rPr>
        <w:t> </w:t>
      </w:r>
      <w:r>
        <w:rPr>
          <w:u w:val="single"/>
        </w:rPr>
        <w:t>Representation</w:t>
      </w:r>
      <w:r>
        <w:rPr>
          <w:spacing w:val="-2"/>
          <w:u w:val="single"/>
        </w:rPr>
        <w:t> </w:t>
      </w:r>
      <w:r>
        <w:rPr>
          <w:u w:val="single"/>
        </w:rPr>
        <w:t>on</w:t>
      </w:r>
      <w:r>
        <w:rPr>
          <w:spacing w:val="-2"/>
          <w:u w:val="single"/>
        </w:rPr>
        <w:t> </w:t>
      </w:r>
      <w:r>
        <w:rPr>
          <w:u w:val="single"/>
        </w:rPr>
        <w:t>MaineDOT </w:t>
      </w:r>
      <w:r>
        <w:rPr>
          <w:spacing w:val="-2"/>
          <w:u w:val="single"/>
        </w:rPr>
        <w:t>Committees</w:t>
      </w:r>
    </w:p>
    <w:p>
      <w:pPr>
        <w:pStyle w:val="BodyText"/>
        <w:spacing w:before="8"/>
        <w:rPr>
          <w:b/>
        </w:rPr>
      </w:pPr>
    </w:p>
    <w:p>
      <w:pPr>
        <w:pStyle w:val="BodyText"/>
        <w:spacing w:before="51"/>
        <w:ind w:left="840" w:right="934"/>
        <w:jc w:val="both"/>
      </w:pPr>
      <w:r>
        <w:rPr/>
        <w:t>MaineDOT understands diverse representation on committees, councils, and boards results in sound policy reflective of its entire population.</w:t>
      </w:r>
      <w:r>
        <w:rPr>
          <w:spacing w:val="40"/>
        </w:rPr>
        <w:t> </w:t>
      </w:r>
      <w:r>
        <w:rPr/>
        <w:t>As such, MaineDOT encourages participation from minority and LEP citizens.</w:t>
      </w:r>
    </w:p>
    <w:p>
      <w:pPr>
        <w:pStyle w:val="BodyText"/>
      </w:pPr>
    </w:p>
    <w:p>
      <w:pPr>
        <w:pStyle w:val="BodyText"/>
        <w:ind w:left="840" w:right="935"/>
        <w:jc w:val="both"/>
      </w:pPr>
      <w:r>
        <w:rPr/>
        <w:t>As</w:t>
      </w:r>
      <w:r>
        <w:rPr>
          <w:spacing w:val="-9"/>
        </w:rPr>
        <w:t> </w:t>
      </w:r>
      <w:r>
        <w:rPr/>
        <w:t>vacancies</w:t>
      </w:r>
      <w:r>
        <w:rPr>
          <w:spacing w:val="-9"/>
        </w:rPr>
        <w:t> </w:t>
      </w:r>
      <w:r>
        <w:rPr/>
        <w:t>on</w:t>
      </w:r>
      <w:r>
        <w:rPr>
          <w:spacing w:val="-8"/>
        </w:rPr>
        <w:t> </w:t>
      </w:r>
      <w:r>
        <w:rPr/>
        <w:t>its</w:t>
      </w:r>
      <w:r>
        <w:rPr>
          <w:spacing w:val="-11"/>
        </w:rPr>
        <w:t> </w:t>
      </w:r>
      <w:r>
        <w:rPr/>
        <w:t>Public</w:t>
      </w:r>
      <w:r>
        <w:rPr>
          <w:spacing w:val="-12"/>
        </w:rPr>
        <w:t> </w:t>
      </w:r>
      <w:r>
        <w:rPr/>
        <w:t>Transit</w:t>
      </w:r>
      <w:r>
        <w:rPr>
          <w:spacing w:val="-8"/>
        </w:rPr>
        <w:t> </w:t>
      </w:r>
      <w:r>
        <w:rPr/>
        <w:t>Advisory</w:t>
      </w:r>
      <w:r>
        <w:rPr>
          <w:spacing w:val="-9"/>
        </w:rPr>
        <w:t> </w:t>
      </w:r>
      <w:r>
        <w:rPr/>
        <w:t>Council</w:t>
      </w:r>
      <w:r>
        <w:rPr>
          <w:spacing w:val="-11"/>
        </w:rPr>
        <w:t> </w:t>
      </w:r>
      <w:r>
        <w:rPr/>
        <w:t>(PTAC)</w:t>
      </w:r>
      <w:r>
        <w:rPr>
          <w:spacing w:val="-10"/>
        </w:rPr>
        <w:t> </w:t>
      </w:r>
      <w:r>
        <w:rPr/>
        <w:t>become</w:t>
      </w:r>
      <w:r>
        <w:rPr>
          <w:spacing w:val="-11"/>
        </w:rPr>
        <w:t> </w:t>
      </w:r>
      <w:r>
        <w:rPr/>
        <w:t>available,</w:t>
      </w:r>
      <w:r>
        <w:rPr>
          <w:spacing w:val="-9"/>
        </w:rPr>
        <w:t> </w:t>
      </w:r>
      <w:r>
        <w:rPr/>
        <w:t>MaineDOT</w:t>
      </w:r>
      <w:r>
        <w:rPr>
          <w:spacing w:val="-11"/>
        </w:rPr>
        <w:t> </w:t>
      </w:r>
      <w:r>
        <w:rPr/>
        <w:t>will</w:t>
      </w:r>
      <w:r>
        <w:rPr>
          <w:spacing w:val="-11"/>
        </w:rPr>
        <w:t> </w:t>
      </w:r>
      <w:r>
        <w:rPr/>
        <w:t>make robust</w:t>
      </w:r>
      <w:r>
        <w:rPr>
          <w:spacing w:val="-6"/>
        </w:rPr>
        <w:t> </w:t>
      </w:r>
      <w:r>
        <w:rPr/>
        <w:t>efforts</w:t>
      </w:r>
      <w:r>
        <w:rPr>
          <w:spacing w:val="-8"/>
        </w:rPr>
        <w:t> </w:t>
      </w:r>
      <w:r>
        <w:rPr/>
        <w:t>to</w:t>
      </w:r>
      <w:r>
        <w:rPr>
          <w:spacing w:val="-7"/>
        </w:rPr>
        <w:t> </w:t>
      </w:r>
      <w:r>
        <w:rPr/>
        <w:t>encourage</w:t>
      </w:r>
      <w:r>
        <w:rPr>
          <w:spacing w:val="-4"/>
        </w:rPr>
        <w:t> </w:t>
      </w:r>
      <w:r>
        <w:rPr/>
        <w:t>and</w:t>
      </w:r>
      <w:r>
        <w:rPr>
          <w:spacing w:val="-6"/>
        </w:rPr>
        <w:t> </w:t>
      </w:r>
      <w:r>
        <w:rPr/>
        <w:t>promote</w:t>
      </w:r>
      <w:r>
        <w:rPr>
          <w:spacing w:val="-9"/>
        </w:rPr>
        <w:t> </w:t>
      </w:r>
      <w:r>
        <w:rPr/>
        <w:t>diversity.</w:t>
      </w:r>
      <w:r>
        <w:rPr>
          <w:spacing w:val="40"/>
        </w:rPr>
        <w:t> </w:t>
      </w:r>
      <w:r>
        <w:rPr/>
        <w:t>To</w:t>
      </w:r>
      <w:r>
        <w:rPr>
          <w:spacing w:val="-4"/>
        </w:rPr>
        <w:t> </w:t>
      </w:r>
      <w:r>
        <w:rPr/>
        <w:t>encourage</w:t>
      </w:r>
      <w:r>
        <w:rPr>
          <w:spacing w:val="-7"/>
        </w:rPr>
        <w:t> </w:t>
      </w:r>
      <w:r>
        <w:rPr/>
        <w:t>minority</w:t>
      </w:r>
      <w:r>
        <w:rPr>
          <w:spacing w:val="-8"/>
        </w:rPr>
        <w:t> </w:t>
      </w:r>
      <w:r>
        <w:rPr/>
        <w:t>and</w:t>
      </w:r>
      <w:r>
        <w:rPr>
          <w:spacing w:val="-6"/>
        </w:rPr>
        <w:t> </w:t>
      </w:r>
      <w:r>
        <w:rPr/>
        <w:t>LEP</w:t>
      </w:r>
      <w:r>
        <w:rPr>
          <w:spacing w:val="-7"/>
        </w:rPr>
        <w:t> </w:t>
      </w:r>
      <w:r>
        <w:rPr/>
        <w:t>participation on its PTAC, MaineDOT will continue to reach out to community, ethnic, and cultural organizations</w:t>
      </w:r>
      <w:r>
        <w:rPr>
          <w:spacing w:val="-5"/>
        </w:rPr>
        <w:t> </w:t>
      </w:r>
      <w:r>
        <w:rPr/>
        <w:t>to</w:t>
      </w:r>
      <w:r>
        <w:rPr>
          <w:spacing w:val="-2"/>
        </w:rPr>
        <w:t> </w:t>
      </w:r>
      <w:r>
        <w:rPr/>
        <w:t>connect</w:t>
      </w:r>
      <w:r>
        <w:rPr>
          <w:spacing w:val="-4"/>
        </w:rPr>
        <w:t> </w:t>
      </w:r>
      <w:r>
        <w:rPr/>
        <w:t>with</w:t>
      </w:r>
      <w:r>
        <w:rPr>
          <w:spacing w:val="-1"/>
        </w:rPr>
        <w:t> </w:t>
      </w:r>
      <w:r>
        <w:rPr/>
        <w:t>minority</w:t>
      </w:r>
      <w:r>
        <w:rPr>
          <w:spacing w:val="-3"/>
        </w:rPr>
        <w:t> </w:t>
      </w:r>
      <w:r>
        <w:rPr/>
        <w:t>and</w:t>
      </w:r>
      <w:r>
        <w:rPr>
          <w:spacing w:val="-1"/>
        </w:rPr>
        <w:t> </w:t>
      </w:r>
      <w:r>
        <w:rPr/>
        <w:t>LEP</w:t>
      </w:r>
      <w:r>
        <w:rPr>
          <w:spacing w:val="-4"/>
        </w:rPr>
        <w:t> </w:t>
      </w:r>
      <w:r>
        <w:rPr/>
        <w:t>populations</w:t>
      </w:r>
      <w:r>
        <w:rPr>
          <w:spacing w:val="-3"/>
        </w:rPr>
        <w:t> </w:t>
      </w:r>
      <w:r>
        <w:rPr/>
        <w:t>and</w:t>
      </w:r>
      <w:r>
        <w:rPr>
          <w:spacing w:val="-4"/>
        </w:rPr>
        <w:t> </w:t>
      </w:r>
      <w:r>
        <w:rPr/>
        <w:t>to</w:t>
      </w:r>
      <w:r>
        <w:rPr>
          <w:spacing w:val="-2"/>
        </w:rPr>
        <w:t> </w:t>
      </w:r>
      <w:r>
        <w:rPr/>
        <w:t>announce</w:t>
      </w:r>
      <w:r>
        <w:rPr>
          <w:spacing w:val="-2"/>
        </w:rPr>
        <w:t> </w:t>
      </w:r>
      <w:r>
        <w:rPr/>
        <w:t>PTAC</w:t>
      </w:r>
      <w:r>
        <w:rPr>
          <w:spacing w:val="-6"/>
        </w:rPr>
        <w:t> </w:t>
      </w:r>
      <w:r>
        <w:rPr/>
        <w:t>membership </w:t>
      </w:r>
      <w:r>
        <w:rPr>
          <w:spacing w:val="-2"/>
        </w:rPr>
        <w:t>vacancies.</w:t>
      </w:r>
    </w:p>
    <w:p>
      <w:pPr>
        <w:pStyle w:val="BodyText"/>
        <w:spacing w:before="1"/>
      </w:pPr>
    </w:p>
    <w:p>
      <w:pPr>
        <w:pStyle w:val="BodyText"/>
        <w:ind w:left="840" w:right="932"/>
        <w:jc w:val="both"/>
      </w:pPr>
      <w:r>
        <w:rPr/>
        <w:t>Moreover,</w:t>
      </w:r>
      <w:r>
        <w:rPr>
          <w:spacing w:val="-9"/>
        </w:rPr>
        <w:t> </w:t>
      </w:r>
      <w:r>
        <w:rPr/>
        <w:t>MaineDOT</w:t>
      </w:r>
      <w:r>
        <w:rPr>
          <w:spacing w:val="-11"/>
        </w:rPr>
        <w:t> </w:t>
      </w:r>
      <w:r>
        <w:rPr/>
        <w:t>will</w:t>
      </w:r>
      <w:r>
        <w:rPr>
          <w:spacing w:val="-9"/>
        </w:rPr>
        <w:t> </w:t>
      </w:r>
      <w:r>
        <w:rPr/>
        <w:t>continue</w:t>
      </w:r>
      <w:r>
        <w:rPr>
          <w:spacing w:val="-8"/>
        </w:rPr>
        <w:t> </w:t>
      </w:r>
      <w:r>
        <w:rPr/>
        <w:t>to</w:t>
      </w:r>
      <w:r>
        <w:rPr>
          <w:spacing w:val="-8"/>
        </w:rPr>
        <w:t> </w:t>
      </w:r>
      <w:r>
        <w:rPr/>
        <w:t>use</w:t>
      </w:r>
      <w:r>
        <w:rPr>
          <w:spacing w:val="-8"/>
        </w:rPr>
        <w:t> </w:t>
      </w:r>
      <w:r>
        <w:rPr/>
        <w:t>inclusive</w:t>
      </w:r>
      <w:r>
        <w:rPr>
          <w:spacing w:val="-8"/>
        </w:rPr>
        <w:t> </w:t>
      </w:r>
      <w:r>
        <w:rPr/>
        <w:t>methods</w:t>
      </w:r>
      <w:r>
        <w:rPr>
          <w:spacing w:val="-9"/>
        </w:rPr>
        <w:t> </w:t>
      </w:r>
      <w:r>
        <w:rPr/>
        <w:t>to</w:t>
      </w:r>
      <w:r>
        <w:rPr>
          <w:spacing w:val="-8"/>
        </w:rPr>
        <w:t> </w:t>
      </w:r>
      <w:r>
        <w:rPr/>
        <w:t>make</w:t>
      </w:r>
      <w:r>
        <w:rPr>
          <w:spacing w:val="-8"/>
        </w:rPr>
        <w:t> </w:t>
      </w:r>
      <w:r>
        <w:rPr/>
        <w:t>PTAC</w:t>
      </w:r>
      <w:r>
        <w:rPr>
          <w:spacing w:val="-12"/>
        </w:rPr>
        <w:t> </w:t>
      </w:r>
      <w:r>
        <w:rPr/>
        <w:t>participation</w:t>
      </w:r>
      <w:r>
        <w:rPr>
          <w:spacing w:val="-8"/>
        </w:rPr>
        <w:t> </w:t>
      </w:r>
      <w:r>
        <w:rPr/>
        <w:t>realistic and</w:t>
      </w:r>
      <w:r>
        <w:rPr>
          <w:spacing w:val="-9"/>
        </w:rPr>
        <w:t> </w:t>
      </w:r>
      <w:r>
        <w:rPr/>
        <w:t>accommodating</w:t>
      </w:r>
      <w:r>
        <w:rPr>
          <w:spacing w:val="-10"/>
        </w:rPr>
        <w:t> </w:t>
      </w:r>
      <w:r>
        <w:rPr/>
        <w:t>to</w:t>
      </w:r>
      <w:r>
        <w:rPr>
          <w:spacing w:val="-9"/>
        </w:rPr>
        <w:t> </w:t>
      </w:r>
      <w:r>
        <w:rPr/>
        <w:t>all</w:t>
      </w:r>
      <w:r>
        <w:rPr>
          <w:spacing w:val="-10"/>
        </w:rPr>
        <w:t> </w:t>
      </w:r>
      <w:r>
        <w:rPr/>
        <w:t>citizens,</w:t>
      </w:r>
      <w:r>
        <w:rPr>
          <w:spacing w:val="-10"/>
        </w:rPr>
        <w:t> </w:t>
      </w:r>
      <w:r>
        <w:rPr/>
        <w:t>especially</w:t>
      </w:r>
      <w:r>
        <w:rPr>
          <w:spacing w:val="-13"/>
        </w:rPr>
        <w:t> </w:t>
      </w:r>
      <w:r>
        <w:rPr/>
        <w:t>those</w:t>
      </w:r>
      <w:r>
        <w:rPr>
          <w:spacing w:val="-9"/>
        </w:rPr>
        <w:t> </w:t>
      </w:r>
      <w:r>
        <w:rPr/>
        <w:t>who</w:t>
      </w:r>
      <w:r>
        <w:rPr>
          <w:spacing w:val="-12"/>
        </w:rPr>
        <w:t> </w:t>
      </w:r>
      <w:r>
        <w:rPr/>
        <w:t>are</w:t>
      </w:r>
      <w:r>
        <w:rPr>
          <w:spacing w:val="-9"/>
        </w:rPr>
        <w:t> </w:t>
      </w:r>
      <w:r>
        <w:rPr/>
        <w:t>underrepresented</w:t>
      </w:r>
      <w:r>
        <w:rPr>
          <w:spacing w:val="-9"/>
        </w:rPr>
        <w:t> </w:t>
      </w:r>
      <w:r>
        <w:rPr/>
        <w:t>and</w:t>
      </w:r>
      <w:r>
        <w:rPr>
          <w:spacing w:val="-9"/>
        </w:rPr>
        <w:t> </w:t>
      </w:r>
      <w:r>
        <w:rPr/>
        <w:t>underserved. Such inclusive methods include scheduling meetings at times that are accessible to working people, or those who require transit to attend meetings.</w:t>
      </w:r>
    </w:p>
    <w:p>
      <w:pPr>
        <w:pStyle w:val="BodyText"/>
        <w:spacing w:before="7"/>
        <w:rPr>
          <w:sz w:val="19"/>
        </w:rPr>
      </w:pPr>
    </w:p>
    <w:p>
      <w:pPr>
        <w:pStyle w:val="Heading9"/>
        <w:numPr>
          <w:ilvl w:val="0"/>
          <w:numId w:val="10"/>
        </w:numPr>
        <w:tabs>
          <w:tab w:pos="1198" w:val="left" w:leader="none"/>
        </w:tabs>
        <w:spacing w:line="240" w:lineRule="auto" w:before="1" w:after="0"/>
        <w:ind w:left="1198" w:right="0" w:hanging="358"/>
        <w:jc w:val="left"/>
      </w:pPr>
      <w:bookmarkStart w:name="7. Ensuring Subrecipient Assistance and " w:id="27"/>
      <w:bookmarkEnd w:id="27"/>
      <w:r>
        <w:rPr>
          <w:b w:val="0"/>
        </w:rPr>
      </w:r>
      <w:r>
        <w:rPr>
          <w:u w:val="single"/>
        </w:rPr>
        <w:t>Ensuring</w:t>
      </w:r>
      <w:r>
        <w:rPr>
          <w:spacing w:val="-3"/>
          <w:u w:val="single"/>
        </w:rPr>
        <w:t> </w:t>
      </w:r>
      <w:r>
        <w:rPr>
          <w:u w:val="single"/>
        </w:rPr>
        <w:t>Subrecipient</w:t>
      </w:r>
      <w:r>
        <w:rPr>
          <w:spacing w:val="-3"/>
          <w:u w:val="single"/>
        </w:rPr>
        <w:t> </w:t>
      </w:r>
      <w:r>
        <w:rPr>
          <w:u w:val="single"/>
        </w:rPr>
        <w:t>Assistance</w:t>
      </w:r>
      <w:r>
        <w:rPr>
          <w:spacing w:val="-2"/>
          <w:u w:val="single"/>
        </w:rPr>
        <w:t> </w:t>
      </w:r>
      <w:r>
        <w:rPr>
          <w:u w:val="single"/>
        </w:rPr>
        <w:t>and</w:t>
      </w:r>
      <w:r>
        <w:rPr>
          <w:spacing w:val="-2"/>
          <w:u w:val="single"/>
        </w:rPr>
        <w:t> </w:t>
      </w:r>
      <w:r>
        <w:rPr>
          <w:u w:val="single"/>
        </w:rPr>
        <w:t>Compliance</w:t>
      </w:r>
      <w:r>
        <w:rPr>
          <w:spacing w:val="-2"/>
          <w:u w:val="single"/>
        </w:rPr>
        <w:t> </w:t>
      </w:r>
      <w:r>
        <w:rPr>
          <w:u w:val="single"/>
        </w:rPr>
        <w:t>with</w:t>
      </w:r>
      <w:r>
        <w:rPr>
          <w:spacing w:val="-3"/>
          <w:u w:val="single"/>
        </w:rPr>
        <w:t> </w:t>
      </w:r>
      <w:r>
        <w:rPr>
          <w:u w:val="single"/>
        </w:rPr>
        <w:t>Title</w:t>
      </w:r>
      <w:r>
        <w:rPr>
          <w:spacing w:val="-2"/>
          <w:u w:val="single"/>
        </w:rPr>
        <w:t> </w:t>
      </w:r>
      <w:r>
        <w:rPr>
          <w:spacing w:val="-5"/>
          <w:u w:val="single"/>
        </w:rPr>
        <w:t>VI</w:t>
      </w:r>
    </w:p>
    <w:p>
      <w:pPr>
        <w:pStyle w:val="BodyText"/>
        <w:spacing w:before="179"/>
        <w:ind w:left="840" w:right="936"/>
        <w:jc w:val="both"/>
      </w:pPr>
      <w:r>
        <w:rPr/>
        <w:t>Under</w:t>
      </w:r>
      <w:r>
        <w:rPr>
          <w:spacing w:val="-12"/>
        </w:rPr>
        <w:t> </w:t>
      </w:r>
      <w:r>
        <w:rPr/>
        <w:t>the</w:t>
      </w:r>
      <w:r>
        <w:rPr>
          <w:spacing w:val="-9"/>
        </w:rPr>
        <w:t> </w:t>
      </w:r>
      <w:r>
        <w:rPr/>
        <w:t>Civil</w:t>
      </w:r>
      <w:r>
        <w:rPr>
          <w:spacing w:val="-10"/>
        </w:rPr>
        <w:t> </w:t>
      </w:r>
      <w:r>
        <w:rPr/>
        <w:t>Rights</w:t>
      </w:r>
      <w:r>
        <w:rPr>
          <w:spacing w:val="-10"/>
        </w:rPr>
        <w:t> </w:t>
      </w:r>
      <w:r>
        <w:rPr/>
        <w:t>circular</w:t>
      </w:r>
      <w:r>
        <w:rPr>
          <w:spacing w:val="-9"/>
        </w:rPr>
        <w:t> </w:t>
      </w:r>
      <w:r>
        <w:rPr/>
        <w:t>4702.1B,</w:t>
      </w:r>
      <w:r>
        <w:rPr>
          <w:spacing w:val="-10"/>
        </w:rPr>
        <w:t> </w:t>
      </w:r>
      <w:r>
        <w:rPr/>
        <w:t>MaineDOT</w:t>
      </w:r>
      <w:r>
        <w:rPr>
          <w:spacing w:val="-9"/>
        </w:rPr>
        <w:t> </w:t>
      </w:r>
      <w:r>
        <w:rPr/>
        <w:t>will</w:t>
      </w:r>
      <w:r>
        <w:rPr>
          <w:spacing w:val="-10"/>
        </w:rPr>
        <w:t> </w:t>
      </w:r>
      <w:r>
        <w:rPr/>
        <w:t>require</w:t>
      </w:r>
      <w:r>
        <w:rPr>
          <w:spacing w:val="-9"/>
        </w:rPr>
        <w:t> </w:t>
      </w:r>
      <w:r>
        <w:rPr/>
        <w:t>and</w:t>
      </w:r>
      <w:r>
        <w:rPr>
          <w:spacing w:val="-9"/>
        </w:rPr>
        <w:t> </w:t>
      </w:r>
      <w:r>
        <w:rPr/>
        <w:t>approve</w:t>
      </w:r>
      <w:r>
        <w:rPr>
          <w:spacing w:val="-9"/>
        </w:rPr>
        <w:t> </w:t>
      </w:r>
      <w:r>
        <w:rPr/>
        <w:t>all</w:t>
      </w:r>
      <w:r>
        <w:rPr>
          <w:spacing w:val="-10"/>
        </w:rPr>
        <w:t> </w:t>
      </w:r>
      <w:r>
        <w:rPr/>
        <w:t>subrecipients</w:t>
      </w:r>
      <w:r>
        <w:rPr>
          <w:spacing w:val="-12"/>
        </w:rPr>
        <w:t> </w:t>
      </w:r>
      <w:r>
        <w:rPr/>
        <w:t>Title VI Plans every three years.</w:t>
      </w:r>
      <w:r>
        <w:rPr>
          <w:spacing w:val="40"/>
        </w:rPr>
        <w:t> </w:t>
      </w:r>
      <w:r>
        <w:rPr/>
        <w:t>This compliance activity will be reported to the FTA Region I Civil Rights Office, as required.</w:t>
      </w:r>
    </w:p>
    <w:p>
      <w:pPr>
        <w:pStyle w:val="BodyText"/>
        <w:spacing w:before="180"/>
        <w:ind w:left="839" w:right="932"/>
        <w:jc w:val="both"/>
      </w:pPr>
      <w:r>
        <w:rPr/>
        <w:t>MaineDOT requires a five-year cycle for the FTA Compliance Reviews for its subrecipients with the exception of the Title VI Plans that will be submitted and reviewed every three years.</w:t>
      </w:r>
      <w:r>
        <w:rPr>
          <w:spacing w:val="40"/>
        </w:rPr>
        <w:t> </w:t>
      </w:r>
      <w:r>
        <w:rPr/>
        <w:t>A MaineDOT on-site visit to the subrecipient will be completed during the first year of a five-year cycle.</w:t>
      </w:r>
      <w:r>
        <w:rPr>
          <w:spacing w:val="37"/>
        </w:rPr>
        <w:t> </w:t>
      </w:r>
      <w:r>
        <w:rPr/>
        <w:t>For</w:t>
      </w:r>
      <w:r>
        <w:rPr>
          <w:spacing w:val="-10"/>
        </w:rPr>
        <w:t> </w:t>
      </w:r>
      <w:r>
        <w:rPr/>
        <w:t>each</w:t>
      </w:r>
      <w:r>
        <w:rPr>
          <w:spacing w:val="-10"/>
        </w:rPr>
        <w:t> </w:t>
      </w:r>
      <w:r>
        <w:rPr/>
        <w:t>of</w:t>
      </w:r>
      <w:r>
        <w:rPr>
          <w:spacing w:val="-10"/>
        </w:rPr>
        <w:t> </w:t>
      </w:r>
      <w:r>
        <w:rPr/>
        <w:t>the</w:t>
      </w:r>
      <w:r>
        <w:rPr>
          <w:spacing w:val="-10"/>
        </w:rPr>
        <w:t> </w:t>
      </w:r>
      <w:r>
        <w:rPr/>
        <w:t>remaining</w:t>
      </w:r>
      <w:r>
        <w:rPr>
          <w:spacing w:val="-10"/>
        </w:rPr>
        <w:t> </w:t>
      </w:r>
      <w:r>
        <w:rPr/>
        <w:t>four</w:t>
      </w:r>
      <w:r>
        <w:rPr>
          <w:spacing w:val="-11"/>
        </w:rPr>
        <w:t> </w:t>
      </w:r>
      <w:r>
        <w:rPr/>
        <w:t>years,</w:t>
      </w:r>
      <w:r>
        <w:rPr>
          <w:spacing w:val="-10"/>
        </w:rPr>
        <w:t> </w:t>
      </w:r>
      <w:r>
        <w:rPr/>
        <w:t>the</w:t>
      </w:r>
      <w:r>
        <w:rPr>
          <w:spacing w:val="-10"/>
        </w:rPr>
        <w:t> </w:t>
      </w:r>
      <w:r>
        <w:rPr/>
        <w:t>subrecipient</w:t>
      </w:r>
      <w:r>
        <w:rPr>
          <w:spacing w:val="-10"/>
        </w:rPr>
        <w:t> </w:t>
      </w:r>
      <w:r>
        <w:rPr/>
        <w:t>will</w:t>
      </w:r>
      <w:r>
        <w:rPr>
          <w:spacing w:val="-10"/>
        </w:rPr>
        <w:t> </w:t>
      </w:r>
      <w:r>
        <w:rPr/>
        <w:t>receive</w:t>
      </w:r>
      <w:r>
        <w:rPr>
          <w:spacing w:val="-10"/>
        </w:rPr>
        <w:t> </w:t>
      </w:r>
      <w:r>
        <w:rPr/>
        <w:t>a</w:t>
      </w:r>
      <w:r>
        <w:rPr>
          <w:spacing w:val="-11"/>
        </w:rPr>
        <w:t> </w:t>
      </w:r>
      <w:r>
        <w:rPr/>
        <w:t>checklist</w:t>
      </w:r>
      <w:r>
        <w:rPr>
          <w:spacing w:val="-10"/>
        </w:rPr>
        <w:t> </w:t>
      </w:r>
      <w:r>
        <w:rPr/>
        <w:t>to</w:t>
      </w:r>
      <w:r>
        <w:rPr>
          <w:spacing w:val="-10"/>
        </w:rPr>
        <w:t> </w:t>
      </w:r>
      <w:r>
        <w:rPr/>
        <w:t>self-certify that</w:t>
      </w:r>
      <w:r>
        <w:rPr>
          <w:spacing w:val="-8"/>
        </w:rPr>
        <w:t> </w:t>
      </w:r>
      <w:r>
        <w:rPr/>
        <w:t>their</w:t>
      </w:r>
      <w:r>
        <w:rPr>
          <w:spacing w:val="-6"/>
        </w:rPr>
        <w:t> </w:t>
      </w:r>
      <w:r>
        <w:rPr/>
        <w:t>agency</w:t>
      </w:r>
      <w:r>
        <w:rPr>
          <w:spacing w:val="-7"/>
        </w:rPr>
        <w:t> </w:t>
      </w:r>
      <w:r>
        <w:rPr/>
        <w:t>is</w:t>
      </w:r>
      <w:r>
        <w:rPr>
          <w:spacing w:val="-7"/>
        </w:rPr>
        <w:t> </w:t>
      </w:r>
      <w:r>
        <w:rPr/>
        <w:t>in</w:t>
      </w:r>
      <w:r>
        <w:rPr>
          <w:spacing w:val="-6"/>
        </w:rPr>
        <w:t> </w:t>
      </w:r>
      <w:r>
        <w:rPr/>
        <w:t>compliance</w:t>
      </w:r>
      <w:r>
        <w:rPr>
          <w:spacing w:val="-8"/>
        </w:rPr>
        <w:t> </w:t>
      </w:r>
      <w:r>
        <w:rPr/>
        <w:t>with</w:t>
      </w:r>
      <w:r>
        <w:rPr>
          <w:spacing w:val="-8"/>
        </w:rPr>
        <w:t> </w:t>
      </w:r>
      <w:r>
        <w:rPr/>
        <w:t>applicable</w:t>
      </w:r>
      <w:r>
        <w:rPr>
          <w:spacing w:val="-8"/>
        </w:rPr>
        <w:t> </w:t>
      </w:r>
      <w:r>
        <w:rPr/>
        <w:t>FTA</w:t>
      </w:r>
      <w:r>
        <w:rPr>
          <w:spacing w:val="-8"/>
        </w:rPr>
        <w:t> </w:t>
      </w:r>
      <w:r>
        <w:rPr/>
        <w:t>guidelines.</w:t>
      </w:r>
      <w:r>
        <w:rPr>
          <w:spacing w:val="39"/>
        </w:rPr>
        <w:t> </w:t>
      </w:r>
      <w:r>
        <w:rPr/>
        <w:t>The</w:t>
      </w:r>
      <w:r>
        <w:rPr>
          <w:spacing w:val="-8"/>
        </w:rPr>
        <w:t> </w:t>
      </w:r>
      <w:r>
        <w:rPr/>
        <w:t>subrecipient</w:t>
      </w:r>
      <w:r>
        <w:rPr>
          <w:spacing w:val="-8"/>
        </w:rPr>
        <w:t> </w:t>
      </w:r>
      <w:r>
        <w:rPr/>
        <w:t>will</w:t>
      </w:r>
      <w:r>
        <w:rPr>
          <w:spacing w:val="-9"/>
        </w:rPr>
        <w:t> </w:t>
      </w:r>
      <w:r>
        <w:rPr/>
        <w:t>complete the</w:t>
      </w:r>
      <w:r>
        <w:rPr>
          <w:spacing w:val="-2"/>
        </w:rPr>
        <w:t> </w:t>
      </w:r>
      <w:r>
        <w:rPr/>
        <w:t>self-certifying checklist and return it</w:t>
      </w:r>
      <w:r>
        <w:rPr>
          <w:spacing w:val="-1"/>
        </w:rPr>
        <w:t> </w:t>
      </w:r>
      <w:r>
        <w:rPr/>
        <w:t>to</w:t>
      </w:r>
      <w:r>
        <w:rPr>
          <w:spacing w:val="-2"/>
        </w:rPr>
        <w:t> </w:t>
      </w:r>
      <w:r>
        <w:rPr/>
        <w:t>MaineDOT along with</w:t>
      </w:r>
      <w:r>
        <w:rPr>
          <w:spacing w:val="-1"/>
        </w:rPr>
        <w:t> </w:t>
      </w:r>
      <w:r>
        <w:rPr/>
        <w:t>copies of</w:t>
      </w:r>
      <w:r>
        <w:rPr>
          <w:spacing w:val="-1"/>
        </w:rPr>
        <w:t> </w:t>
      </w:r>
      <w:r>
        <w:rPr/>
        <w:t>any</w:t>
      </w:r>
      <w:r>
        <w:rPr>
          <w:spacing w:val="-1"/>
        </w:rPr>
        <w:t> </w:t>
      </w:r>
      <w:r>
        <w:rPr/>
        <w:t>updated policies and procedures.</w:t>
      </w:r>
      <w:r>
        <w:rPr>
          <w:spacing w:val="40"/>
        </w:rPr>
        <w:t> </w:t>
      </w:r>
      <w:r>
        <w:rPr/>
        <w:t>If at any time during the four-year self-certifying period MaineDOT becomes aware</w:t>
      </w:r>
      <w:r>
        <w:rPr>
          <w:spacing w:val="-11"/>
        </w:rPr>
        <w:t> </w:t>
      </w:r>
      <w:r>
        <w:rPr/>
        <w:t>of</w:t>
      </w:r>
      <w:r>
        <w:rPr>
          <w:spacing w:val="-9"/>
        </w:rPr>
        <w:t> </w:t>
      </w:r>
      <w:r>
        <w:rPr/>
        <w:t>a</w:t>
      </w:r>
      <w:r>
        <w:rPr>
          <w:spacing w:val="-8"/>
        </w:rPr>
        <w:t> </w:t>
      </w:r>
      <w:r>
        <w:rPr/>
        <w:t>status</w:t>
      </w:r>
      <w:r>
        <w:rPr>
          <w:spacing w:val="-8"/>
        </w:rPr>
        <w:t> </w:t>
      </w:r>
      <w:r>
        <w:rPr/>
        <w:t>change</w:t>
      </w:r>
      <w:r>
        <w:rPr>
          <w:spacing w:val="-12"/>
        </w:rPr>
        <w:t> </w:t>
      </w:r>
      <w:r>
        <w:rPr/>
        <w:t>and/or</w:t>
      </w:r>
      <w:r>
        <w:rPr>
          <w:spacing w:val="-7"/>
        </w:rPr>
        <w:t> </w:t>
      </w:r>
      <w:r>
        <w:rPr/>
        <w:t>complaint,</w:t>
      </w:r>
      <w:r>
        <w:rPr>
          <w:spacing w:val="-10"/>
        </w:rPr>
        <w:t> </w:t>
      </w:r>
      <w:r>
        <w:rPr/>
        <w:t>MaineDOT</w:t>
      </w:r>
      <w:r>
        <w:rPr>
          <w:spacing w:val="-8"/>
        </w:rPr>
        <w:t> </w:t>
      </w:r>
      <w:r>
        <w:rPr/>
        <w:t>has</w:t>
      </w:r>
      <w:r>
        <w:rPr>
          <w:spacing w:val="-10"/>
        </w:rPr>
        <w:t> </w:t>
      </w:r>
      <w:r>
        <w:rPr/>
        <w:t>the</w:t>
      </w:r>
      <w:r>
        <w:rPr>
          <w:spacing w:val="-7"/>
        </w:rPr>
        <w:t> </w:t>
      </w:r>
      <w:r>
        <w:rPr/>
        <w:t>right</w:t>
      </w:r>
      <w:r>
        <w:rPr>
          <w:spacing w:val="-9"/>
        </w:rPr>
        <w:t> </w:t>
      </w:r>
      <w:r>
        <w:rPr/>
        <w:t>to</w:t>
      </w:r>
      <w:r>
        <w:rPr>
          <w:spacing w:val="-10"/>
        </w:rPr>
        <w:t> </w:t>
      </w:r>
      <w:r>
        <w:rPr/>
        <w:t>perform</w:t>
      </w:r>
      <w:r>
        <w:rPr>
          <w:spacing w:val="-7"/>
        </w:rPr>
        <w:t> </w:t>
      </w:r>
      <w:r>
        <w:rPr/>
        <w:t>a</w:t>
      </w:r>
      <w:r>
        <w:rPr>
          <w:spacing w:val="-8"/>
        </w:rPr>
        <w:t> </w:t>
      </w:r>
      <w:r>
        <w:rPr/>
        <w:t>random</w:t>
      </w:r>
      <w:r>
        <w:rPr>
          <w:spacing w:val="-7"/>
        </w:rPr>
        <w:t> </w:t>
      </w:r>
      <w:r>
        <w:rPr/>
        <w:t>on-</w:t>
      </w:r>
      <w:r>
        <w:rPr>
          <w:spacing w:val="-4"/>
        </w:rPr>
        <w:t>site</w:t>
      </w:r>
    </w:p>
    <w:p>
      <w:pPr>
        <w:spacing w:after="0"/>
        <w:jc w:val="both"/>
        <w:sectPr>
          <w:pgSz w:w="12240" w:h="15840"/>
          <w:pgMar w:header="0" w:footer="997" w:top="980" w:bottom="1260" w:left="600" w:right="500"/>
        </w:sectPr>
      </w:pPr>
    </w:p>
    <w:p>
      <w:pPr>
        <w:pStyle w:val="BodyText"/>
        <w:spacing w:before="35"/>
        <w:ind w:left="840" w:right="936"/>
        <w:jc w:val="both"/>
      </w:pPr>
      <w:r>
        <w:rPr/>
        <w:t>visit.</w:t>
      </w:r>
      <w:r>
        <w:rPr>
          <w:spacing w:val="40"/>
        </w:rPr>
        <w:t> </w:t>
      </w:r>
      <w:r>
        <w:rPr/>
        <w:t>After the fourth year of self-certifying, MaineDOT will schedule another on-site visit beginning the five-year cycle.</w:t>
      </w:r>
    </w:p>
    <w:p>
      <w:pPr>
        <w:pStyle w:val="BodyText"/>
        <w:spacing w:before="180"/>
        <w:ind w:left="840" w:right="935"/>
        <w:jc w:val="both"/>
      </w:pPr>
      <w:r>
        <w:rPr/>
        <w:t>MaineDOT</w:t>
      </w:r>
      <w:r>
        <w:rPr>
          <w:spacing w:val="-8"/>
        </w:rPr>
        <w:t> </w:t>
      </w:r>
      <w:r>
        <w:rPr/>
        <w:t>site</w:t>
      </w:r>
      <w:r>
        <w:rPr>
          <w:spacing w:val="-8"/>
        </w:rPr>
        <w:t> </w:t>
      </w:r>
      <w:r>
        <w:rPr/>
        <w:t>visits</w:t>
      </w:r>
      <w:r>
        <w:rPr>
          <w:spacing w:val="-9"/>
        </w:rPr>
        <w:t> </w:t>
      </w:r>
      <w:r>
        <w:rPr/>
        <w:t>include</w:t>
      </w:r>
      <w:r>
        <w:rPr>
          <w:spacing w:val="-11"/>
        </w:rPr>
        <w:t> </w:t>
      </w:r>
      <w:r>
        <w:rPr/>
        <w:t>the</w:t>
      </w:r>
      <w:r>
        <w:rPr>
          <w:spacing w:val="-8"/>
        </w:rPr>
        <w:t> </w:t>
      </w:r>
      <w:r>
        <w:rPr/>
        <w:t>review</w:t>
      </w:r>
      <w:r>
        <w:rPr>
          <w:spacing w:val="-8"/>
        </w:rPr>
        <w:t> </w:t>
      </w:r>
      <w:r>
        <w:rPr/>
        <w:t>of</w:t>
      </w:r>
      <w:r>
        <w:rPr>
          <w:spacing w:val="-8"/>
        </w:rPr>
        <w:t> </w:t>
      </w:r>
      <w:r>
        <w:rPr/>
        <w:t>Civil</w:t>
      </w:r>
      <w:r>
        <w:rPr>
          <w:spacing w:val="-9"/>
        </w:rPr>
        <w:t> </w:t>
      </w:r>
      <w:r>
        <w:rPr/>
        <w:t>Rights</w:t>
      </w:r>
      <w:r>
        <w:rPr>
          <w:spacing w:val="-10"/>
        </w:rPr>
        <w:t> </w:t>
      </w:r>
      <w:r>
        <w:rPr/>
        <w:t>policies</w:t>
      </w:r>
      <w:r>
        <w:rPr>
          <w:spacing w:val="-9"/>
        </w:rPr>
        <w:t> </w:t>
      </w:r>
      <w:r>
        <w:rPr/>
        <w:t>and</w:t>
      </w:r>
      <w:r>
        <w:rPr>
          <w:spacing w:val="-10"/>
        </w:rPr>
        <w:t> </w:t>
      </w:r>
      <w:r>
        <w:rPr/>
        <w:t>processes</w:t>
      </w:r>
      <w:r>
        <w:rPr>
          <w:spacing w:val="-9"/>
        </w:rPr>
        <w:t> </w:t>
      </w:r>
      <w:r>
        <w:rPr/>
        <w:t>including</w:t>
      </w:r>
      <w:r>
        <w:rPr>
          <w:spacing w:val="-9"/>
        </w:rPr>
        <w:t> </w:t>
      </w:r>
      <w:r>
        <w:rPr/>
        <w:t>Title</w:t>
      </w:r>
      <w:r>
        <w:rPr>
          <w:spacing w:val="-8"/>
        </w:rPr>
        <w:t> </w:t>
      </w:r>
      <w:r>
        <w:rPr/>
        <w:t>VI/EJ, ADA and Disadvantaged Business Enterprise Programs and processes, and public outreach and complaint procedures. The complete site visit form and policy can be found in the MaineDOT State Management Plan.</w:t>
      </w:r>
    </w:p>
    <w:p>
      <w:pPr>
        <w:pStyle w:val="BodyText"/>
        <w:spacing w:before="11"/>
        <w:rPr>
          <w:sz w:val="23"/>
        </w:rPr>
      </w:pPr>
    </w:p>
    <w:p>
      <w:pPr>
        <w:pStyle w:val="BodyText"/>
        <w:ind w:left="840" w:right="932"/>
        <w:jc w:val="both"/>
        <w:rPr>
          <w:b/>
          <w:i/>
        </w:rPr>
      </w:pPr>
      <w:r>
        <w:rPr/>
        <w:t>Subrecipients are required to complete and submit Title VI Plans for their organizations to the MaineDOT.</w:t>
      </w:r>
      <w:r>
        <w:rPr>
          <w:spacing w:val="80"/>
        </w:rPr>
        <w:t> </w:t>
      </w:r>
      <w:r>
        <w:rPr/>
        <w:t>The MaineDOT has developed a template for subrecipients that they may use to assist them in the development of a Title VI Plan.</w:t>
      </w:r>
      <w:r>
        <w:rPr>
          <w:spacing w:val="80"/>
        </w:rPr>
        <w:t> </w:t>
      </w:r>
      <w:r>
        <w:rPr/>
        <w:t>A more detailed description of assistance provided to subrecipients can be found further in section </w:t>
      </w:r>
      <w:r>
        <w:rPr>
          <w:b/>
          <w:i/>
        </w:rPr>
        <w:t>H. Description of Procedures</w:t>
      </w:r>
      <w:r>
        <w:rPr>
          <w:b/>
          <w:i/>
        </w:rPr>
        <w:t> MaineDOT uses to Assist Potential Subrecipients.</w:t>
      </w:r>
    </w:p>
    <w:p>
      <w:pPr>
        <w:pStyle w:val="BodyText"/>
        <w:spacing w:before="1"/>
        <w:rPr>
          <w:b/>
          <w:i/>
        </w:rPr>
      </w:pPr>
    </w:p>
    <w:p>
      <w:pPr>
        <w:pStyle w:val="BodyText"/>
        <w:spacing w:before="1"/>
        <w:ind w:left="840" w:right="4750"/>
      </w:pPr>
      <w:r>
        <w:rPr/>
        <w:t>Information</w:t>
      </w:r>
      <w:r>
        <w:rPr>
          <w:spacing w:val="-3"/>
        </w:rPr>
        <w:t> </w:t>
      </w:r>
      <w:r>
        <w:rPr/>
        <w:t>on</w:t>
      </w:r>
      <w:r>
        <w:rPr>
          <w:spacing w:val="-3"/>
        </w:rPr>
        <w:t> </w:t>
      </w:r>
      <w:r>
        <w:rPr/>
        <w:t>Title</w:t>
      </w:r>
      <w:r>
        <w:rPr>
          <w:spacing w:val="-5"/>
        </w:rPr>
        <w:t> </w:t>
      </w:r>
      <w:r>
        <w:rPr/>
        <w:t>VI</w:t>
      </w:r>
      <w:r>
        <w:rPr>
          <w:spacing w:val="-6"/>
        </w:rPr>
        <w:t> </w:t>
      </w:r>
      <w:r>
        <w:rPr/>
        <w:t>for</w:t>
      </w:r>
      <w:r>
        <w:rPr>
          <w:spacing w:val="-3"/>
        </w:rPr>
        <w:t> </w:t>
      </w:r>
      <w:r>
        <w:rPr/>
        <w:t>subrecipients</w:t>
      </w:r>
      <w:r>
        <w:rPr>
          <w:spacing w:val="-6"/>
        </w:rPr>
        <w:t> </w:t>
      </w:r>
      <w:r>
        <w:rPr/>
        <w:t>can</w:t>
      </w:r>
      <w:r>
        <w:rPr>
          <w:spacing w:val="-5"/>
        </w:rPr>
        <w:t> </w:t>
      </w:r>
      <w:r>
        <w:rPr/>
        <w:t>be</w:t>
      </w:r>
      <w:r>
        <w:rPr>
          <w:spacing w:val="-5"/>
        </w:rPr>
        <w:t> </w:t>
      </w:r>
      <w:r>
        <w:rPr/>
        <w:t>found</w:t>
      </w:r>
      <w:r>
        <w:rPr>
          <w:spacing w:val="-3"/>
        </w:rPr>
        <w:t> </w:t>
      </w:r>
      <w:r>
        <w:rPr/>
        <w:t>at: </w:t>
      </w:r>
      <w:hyperlink r:id="rId9">
        <w:r>
          <w:rPr>
            <w:color w:val="0000FF"/>
            <w:spacing w:val="-2"/>
            <w:u w:val="single" w:color="0000FF"/>
          </w:rPr>
          <w:t>https://www.maine.gov/mdot/civilrights/title-vi/</w:t>
        </w:r>
      </w:hyperlink>
    </w:p>
    <w:p>
      <w:pPr>
        <w:pStyle w:val="BodyText"/>
        <w:spacing w:before="8"/>
        <w:rPr>
          <w:sz w:val="19"/>
        </w:rPr>
      </w:pPr>
    </w:p>
    <w:p>
      <w:pPr>
        <w:pStyle w:val="BodyText"/>
        <w:spacing w:before="52"/>
        <w:ind w:left="840" w:right="935"/>
      </w:pPr>
      <w:r>
        <w:rPr/>
        <w:t>Title VI plans are due every three years on the first of October.</w:t>
      </w:r>
      <w:r>
        <w:rPr>
          <w:spacing w:val="76"/>
        </w:rPr>
        <w:t> </w:t>
      </w:r>
      <w:r>
        <w:rPr/>
        <w:t>Plans include or reference the following information:</w:t>
      </w:r>
    </w:p>
    <w:p>
      <w:pPr>
        <w:pStyle w:val="BodyText"/>
        <w:spacing w:before="12"/>
        <w:rPr>
          <w:sz w:val="23"/>
        </w:rPr>
      </w:pPr>
    </w:p>
    <w:p>
      <w:pPr>
        <w:pStyle w:val="ListParagraph"/>
        <w:numPr>
          <w:ilvl w:val="0"/>
          <w:numId w:val="24"/>
        </w:numPr>
        <w:tabs>
          <w:tab w:pos="2279" w:val="left" w:leader="none"/>
        </w:tabs>
        <w:spacing w:line="240" w:lineRule="auto" w:before="0" w:after="0"/>
        <w:ind w:left="2279" w:right="0" w:hanging="359"/>
        <w:jc w:val="left"/>
        <w:rPr>
          <w:sz w:val="24"/>
        </w:rPr>
      </w:pPr>
      <w:r>
        <w:rPr>
          <w:sz w:val="24"/>
        </w:rPr>
        <w:t>New</w:t>
      </w:r>
      <w:r>
        <w:rPr>
          <w:spacing w:val="-2"/>
          <w:sz w:val="24"/>
        </w:rPr>
        <w:t> </w:t>
      </w:r>
      <w:r>
        <w:rPr>
          <w:sz w:val="24"/>
        </w:rPr>
        <w:t>signed Title</w:t>
      </w:r>
      <w:r>
        <w:rPr>
          <w:spacing w:val="-1"/>
          <w:sz w:val="24"/>
        </w:rPr>
        <w:t> </w:t>
      </w:r>
      <w:r>
        <w:rPr>
          <w:sz w:val="24"/>
        </w:rPr>
        <w:t>VI</w:t>
      </w:r>
      <w:r>
        <w:rPr>
          <w:spacing w:val="-1"/>
          <w:sz w:val="24"/>
        </w:rPr>
        <w:t> </w:t>
      </w:r>
      <w:r>
        <w:rPr>
          <w:spacing w:val="-2"/>
          <w:sz w:val="24"/>
        </w:rPr>
        <w:t>Assurances</w:t>
      </w:r>
    </w:p>
    <w:p>
      <w:pPr>
        <w:pStyle w:val="ListParagraph"/>
        <w:numPr>
          <w:ilvl w:val="0"/>
          <w:numId w:val="24"/>
        </w:numPr>
        <w:tabs>
          <w:tab w:pos="2279" w:val="left" w:leader="none"/>
        </w:tabs>
        <w:spacing w:line="240" w:lineRule="auto" w:before="0" w:after="0"/>
        <w:ind w:left="2279" w:right="0" w:hanging="359"/>
        <w:jc w:val="left"/>
        <w:rPr>
          <w:sz w:val="24"/>
        </w:rPr>
      </w:pPr>
      <w:r>
        <w:rPr>
          <w:sz w:val="24"/>
        </w:rPr>
        <w:t>A</w:t>
      </w:r>
      <w:r>
        <w:rPr>
          <w:spacing w:val="-1"/>
          <w:sz w:val="24"/>
        </w:rPr>
        <w:t> </w:t>
      </w:r>
      <w:r>
        <w:rPr>
          <w:sz w:val="24"/>
        </w:rPr>
        <w:t>designated</w:t>
      </w:r>
      <w:r>
        <w:rPr>
          <w:spacing w:val="1"/>
          <w:sz w:val="24"/>
        </w:rPr>
        <w:t> </w:t>
      </w:r>
      <w:r>
        <w:rPr>
          <w:sz w:val="24"/>
        </w:rPr>
        <w:t>Title</w:t>
      </w:r>
      <w:r>
        <w:rPr>
          <w:spacing w:val="-3"/>
          <w:sz w:val="24"/>
        </w:rPr>
        <w:t> </w:t>
      </w:r>
      <w:r>
        <w:rPr>
          <w:sz w:val="24"/>
        </w:rPr>
        <w:t>VI</w:t>
      </w:r>
      <w:r>
        <w:rPr>
          <w:spacing w:val="-1"/>
          <w:sz w:val="24"/>
        </w:rPr>
        <w:t> </w:t>
      </w:r>
      <w:r>
        <w:rPr>
          <w:sz w:val="24"/>
        </w:rPr>
        <w:t>Coordinator</w:t>
      </w:r>
      <w:r>
        <w:rPr>
          <w:spacing w:val="-3"/>
          <w:sz w:val="24"/>
        </w:rPr>
        <w:t> </w:t>
      </w:r>
      <w:r>
        <w:rPr>
          <w:sz w:val="24"/>
        </w:rPr>
        <w:t>responsible</w:t>
      </w:r>
      <w:r>
        <w:rPr>
          <w:spacing w:val="-1"/>
          <w:sz w:val="24"/>
        </w:rPr>
        <w:t> </w:t>
      </w:r>
      <w:r>
        <w:rPr>
          <w:sz w:val="24"/>
        </w:rPr>
        <w:t>for</w:t>
      </w:r>
      <w:r>
        <w:rPr>
          <w:spacing w:val="-3"/>
          <w:sz w:val="24"/>
        </w:rPr>
        <w:t> </w:t>
      </w:r>
      <w:r>
        <w:rPr>
          <w:sz w:val="24"/>
        </w:rPr>
        <w:t>Title</w:t>
      </w:r>
      <w:r>
        <w:rPr>
          <w:spacing w:val="-2"/>
          <w:sz w:val="24"/>
        </w:rPr>
        <w:t> </w:t>
      </w:r>
      <w:r>
        <w:rPr>
          <w:sz w:val="24"/>
        </w:rPr>
        <w:t>VI</w:t>
      </w:r>
      <w:r>
        <w:rPr>
          <w:spacing w:val="-1"/>
          <w:sz w:val="24"/>
        </w:rPr>
        <w:t> </w:t>
      </w:r>
      <w:r>
        <w:rPr>
          <w:spacing w:val="-2"/>
          <w:sz w:val="24"/>
        </w:rPr>
        <w:t>compliance</w:t>
      </w:r>
    </w:p>
    <w:p>
      <w:pPr>
        <w:pStyle w:val="ListParagraph"/>
        <w:numPr>
          <w:ilvl w:val="0"/>
          <w:numId w:val="24"/>
        </w:numPr>
        <w:tabs>
          <w:tab w:pos="2279" w:val="left" w:leader="none"/>
        </w:tabs>
        <w:spacing w:line="240" w:lineRule="auto" w:before="0" w:after="0"/>
        <w:ind w:left="2279" w:right="0" w:hanging="359"/>
        <w:jc w:val="left"/>
        <w:rPr>
          <w:sz w:val="24"/>
        </w:rPr>
      </w:pPr>
      <w:r>
        <w:rPr>
          <w:sz w:val="24"/>
        </w:rPr>
        <w:t>Appendix A</w:t>
      </w:r>
      <w:r>
        <w:rPr>
          <w:spacing w:val="-2"/>
          <w:sz w:val="24"/>
        </w:rPr>
        <w:t> </w:t>
      </w:r>
      <w:r>
        <w:rPr>
          <w:sz w:val="24"/>
        </w:rPr>
        <w:t>&amp; E</w:t>
      </w:r>
      <w:r>
        <w:rPr>
          <w:spacing w:val="-2"/>
          <w:sz w:val="24"/>
        </w:rPr>
        <w:t> </w:t>
      </w:r>
      <w:r>
        <w:rPr>
          <w:sz w:val="24"/>
        </w:rPr>
        <w:t>included</w:t>
      </w:r>
      <w:r>
        <w:rPr>
          <w:spacing w:val="-3"/>
          <w:sz w:val="24"/>
        </w:rPr>
        <w:t> </w:t>
      </w:r>
      <w:r>
        <w:rPr>
          <w:sz w:val="24"/>
        </w:rPr>
        <w:t>in</w:t>
      </w:r>
      <w:r>
        <w:rPr>
          <w:spacing w:val="3"/>
          <w:sz w:val="24"/>
        </w:rPr>
        <w:t> </w:t>
      </w:r>
      <w:r>
        <w:rPr>
          <w:spacing w:val="-2"/>
          <w:sz w:val="24"/>
        </w:rPr>
        <w:t>contracts</w:t>
      </w:r>
    </w:p>
    <w:p>
      <w:pPr>
        <w:pStyle w:val="ListParagraph"/>
        <w:numPr>
          <w:ilvl w:val="0"/>
          <w:numId w:val="24"/>
        </w:numPr>
        <w:tabs>
          <w:tab w:pos="2279" w:val="left" w:leader="none"/>
        </w:tabs>
        <w:spacing w:line="240" w:lineRule="auto" w:before="2" w:after="0"/>
        <w:ind w:left="2279" w:right="0" w:hanging="359"/>
        <w:jc w:val="left"/>
        <w:rPr>
          <w:sz w:val="24"/>
        </w:rPr>
      </w:pPr>
      <w:r>
        <w:rPr>
          <w:sz w:val="24"/>
        </w:rPr>
        <w:t>Title</w:t>
      </w:r>
      <w:r>
        <w:rPr>
          <w:spacing w:val="-3"/>
          <w:sz w:val="24"/>
        </w:rPr>
        <w:t> </w:t>
      </w:r>
      <w:r>
        <w:rPr>
          <w:sz w:val="24"/>
        </w:rPr>
        <w:t>VI</w:t>
      </w:r>
      <w:r>
        <w:rPr>
          <w:spacing w:val="-1"/>
          <w:sz w:val="24"/>
        </w:rPr>
        <w:t> </w:t>
      </w:r>
      <w:r>
        <w:rPr>
          <w:sz w:val="24"/>
        </w:rPr>
        <w:t>Complaint</w:t>
      </w:r>
      <w:r>
        <w:rPr>
          <w:spacing w:val="1"/>
          <w:sz w:val="24"/>
        </w:rPr>
        <w:t> </w:t>
      </w:r>
      <w:r>
        <w:rPr>
          <w:spacing w:val="-2"/>
          <w:sz w:val="24"/>
        </w:rPr>
        <w:t>Process</w:t>
      </w:r>
    </w:p>
    <w:p>
      <w:pPr>
        <w:pStyle w:val="ListParagraph"/>
        <w:numPr>
          <w:ilvl w:val="0"/>
          <w:numId w:val="24"/>
        </w:numPr>
        <w:tabs>
          <w:tab w:pos="2279" w:val="left" w:leader="none"/>
        </w:tabs>
        <w:spacing w:line="240" w:lineRule="auto" w:before="0" w:after="0"/>
        <w:ind w:left="2279" w:right="0" w:hanging="359"/>
        <w:jc w:val="left"/>
        <w:rPr>
          <w:sz w:val="24"/>
        </w:rPr>
      </w:pPr>
      <w:r>
        <w:rPr>
          <w:sz w:val="24"/>
        </w:rPr>
        <w:t>Four</w:t>
      </w:r>
      <w:r>
        <w:rPr>
          <w:spacing w:val="-3"/>
          <w:sz w:val="24"/>
        </w:rPr>
        <w:t> </w:t>
      </w:r>
      <w:r>
        <w:rPr>
          <w:sz w:val="24"/>
        </w:rPr>
        <w:t>Factor</w:t>
      </w:r>
      <w:r>
        <w:rPr>
          <w:spacing w:val="-2"/>
          <w:sz w:val="24"/>
        </w:rPr>
        <w:t> Analysis</w:t>
      </w:r>
    </w:p>
    <w:p>
      <w:pPr>
        <w:pStyle w:val="ListParagraph"/>
        <w:numPr>
          <w:ilvl w:val="0"/>
          <w:numId w:val="24"/>
        </w:numPr>
        <w:tabs>
          <w:tab w:pos="2279" w:val="left" w:leader="none"/>
        </w:tabs>
        <w:spacing w:line="240" w:lineRule="auto" w:before="0" w:after="0"/>
        <w:ind w:left="2279" w:right="0" w:hanging="359"/>
        <w:jc w:val="left"/>
        <w:rPr>
          <w:sz w:val="24"/>
        </w:rPr>
      </w:pPr>
      <w:r>
        <w:rPr>
          <w:sz w:val="24"/>
        </w:rPr>
        <w:t>Language</w:t>
      </w:r>
      <w:r>
        <w:rPr>
          <w:spacing w:val="-3"/>
          <w:sz w:val="24"/>
        </w:rPr>
        <w:t> </w:t>
      </w:r>
      <w:r>
        <w:rPr>
          <w:sz w:val="24"/>
        </w:rPr>
        <w:t>Assistance</w:t>
      </w:r>
      <w:r>
        <w:rPr>
          <w:spacing w:val="-3"/>
          <w:sz w:val="24"/>
        </w:rPr>
        <w:t> </w:t>
      </w:r>
      <w:r>
        <w:rPr>
          <w:sz w:val="24"/>
        </w:rPr>
        <w:t>Plan </w:t>
      </w:r>
      <w:r>
        <w:rPr>
          <w:spacing w:val="-2"/>
          <w:sz w:val="24"/>
        </w:rPr>
        <w:t>(LAP)</w:t>
      </w:r>
    </w:p>
    <w:p>
      <w:pPr>
        <w:pStyle w:val="ListParagraph"/>
        <w:numPr>
          <w:ilvl w:val="0"/>
          <w:numId w:val="24"/>
        </w:numPr>
        <w:tabs>
          <w:tab w:pos="2279" w:val="left" w:leader="none"/>
        </w:tabs>
        <w:spacing w:line="240" w:lineRule="auto" w:before="0" w:after="0"/>
        <w:ind w:left="2279" w:right="0" w:hanging="360"/>
        <w:jc w:val="left"/>
        <w:rPr>
          <w:sz w:val="24"/>
        </w:rPr>
      </w:pPr>
      <w:r>
        <w:rPr>
          <w:sz w:val="24"/>
        </w:rPr>
        <w:t>Public</w:t>
      </w:r>
      <w:r>
        <w:rPr>
          <w:spacing w:val="-4"/>
          <w:sz w:val="24"/>
        </w:rPr>
        <w:t> </w:t>
      </w:r>
      <w:r>
        <w:rPr>
          <w:sz w:val="24"/>
        </w:rPr>
        <w:t>Participation</w:t>
      </w:r>
      <w:r>
        <w:rPr>
          <w:spacing w:val="-2"/>
          <w:sz w:val="24"/>
        </w:rPr>
        <w:t> </w:t>
      </w:r>
      <w:r>
        <w:rPr>
          <w:spacing w:val="-4"/>
          <w:sz w:val="24"/>
        </w:rPr>
        <w:t>Plan</w:t>
      </w:r>
    </w:p>
    <w:p>
      <w:pPr>
        <w:pStyle w:val="BodyText"/>
        <w:spacing w:before="11"/>
        <w:rPr>
          <w:sz w:val="23"/>
        </w:rPr>
      </w:pPr>
    </w:p>
    <w:p>
      <w:pPr>
        <w:pStyle w:val="BodyText"/>
        <w:ind w:left="839"/>
      </w:pPr>
      <w:r>
        <w:rPr/>
        <w:t>Providers</w:t>
      </w:r>
      <w:r>
        <w:rPr>
          <w:spacing w:val="-5"/>
        </w:rPr>
        <w:t> </w:t>
      </w:r>
      <w:r>
        <w:rPr/>
        <w:t>required</w:t>
      </w:r>
      <w:r>
        <w:rPr>
          <w:spacing w:val="-2"/>
        </w:rPr>
        <w:t> </w:t>
      </w:r>
      <w:r>
        <w:rPr/>
        <w:t>to submit</w:t>
      </w:r>
      <w:r>
        <w:rPr>
          <w:spacing w:val="-1"/>
        </w:rPr>
        <w:t> </w:t>
      </w:r>
      <w:r>
        <w:rPr/>
        <w:t>their</w:t>
      </w:r>
      <w:r>
        <w:rPr>
          <w:spacing w:val="-3"/>
        </w:rPr>
        <w:t> </w:t>
      </w:r>
      <w:r>
        <w:rPr/>
        <w:t>Title</w:t>
      </w:r>
      <w:r>
        <w:rPr>
          <w:spacing w:val="-1"/>
        </w:rPr>
        <w:t> </w:t>
      </w:r>
      <w:r>
        <w:rPr/>
        <w:t>VI</w:t>
      </w:r>
      <w:r>
        <w:rPr>
          <w:spacing w:val="-3"/>
        </w:rPr>
        <w:t> </w:t>
      </w:r>
      <w:r>
        <w:rPr/>
        <w:t>Plans</w:t>
      </w:r>
      <w:r>
        <w:rPr>
          <w:spacing w:val="-3"/>
        </w:rPr>
        <w:t> </w:t>
      </w:r>
      <w:r>
        <w:rPr/>
        <w:t>to</w:t>
      </w:r>
      <w:r>
        <w:rPr>
          <w:spacing w:val="1"/>
        </w:rPr>
        <w:t> </w:t>
      </w:r>
      <w:r>
        <w:rPr>
          <w:spacing w:val="-2"/>
        </w:rPr>
        <w:t>MaineDOT:</w:t>
      </w:r>
    </w:p>
    <w:p>
      <w:pPr>
        <w:pStyle w:val="BodyText"/>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1320"/>
        <w:gridCol w:w="1320"/>
        <w:gridCol w:w="1320"/>
        <w:gridCol w:w="1320"/>
      </w:tblGrid>
      <w:tr>
        <w:trPr>
          <w:trHeight w:val="669" w:hRule="atLeast"/>
        </w:trPr>
        <w:tc>
          <w:tcPr>
            <w:tcW w:w="3259" w:type="dxa"/>
            <w:shd w:val="clear" w:color="auto" w:fill="D9D9D9"/>
          </w:tcPr>
          <w:p>
            <w:pPr>
              <w:pStyle w:val="TableParagraph"/>
              <w:spacing w:line="240" w:lineRule="auto"/>
              <w:ind w:left="412" w:hanging="8"/>
              <w:rPr>
                <w:rFonts w:ascii="Calibri"/>
                <w:b/>
                <w:sz w:val="24"/>
              </w:rPr>
            </w:pPr>
            <w:r>
              <w:rPr>
                <w:rFonts w:ascii="Calibri"/>
                <w:b/>
                <w:sz w:val="24"/>
              </w:rPr>
              <w:t>FTA</w:t>
            </w:r>
            <w:r>
              <w:rPr>
                <w:rFonts w:ascii="Calibri"/>
                <w:b/>
                <w:spacing w:val="-8"/>
                <w:sz w:val="24"/>
              </w:rPr>
              <w:t> </w:t>
            </w:r>
            <w:r>
              <w:rPr>
                <w:rFonts w:ascii="Calibri"/>
                <w:b/>
                <w:sz w:val="24"/>
              </w:rPr>
              <w:t>Funding</w:t>
            </w:r>
            <w:r>
              <w:rPr>
                <w:rFonts w:ascii="Calibri"/>
                <w:b/>
                <w:spacing w:val="-12"/>
                <w:sz w:val="24"/>
              </w:rPr>
              <w:t> </w:t>
            </w:r>
            <w:r>
              <w:rPr>
                <w:rFonts w:ascii="Calibri"/>
                <w:b/>
                <w:sz w:val="24"/>
              </w:rPr>
              <w:t>by</w:t>
            </w:r>
            <w:r>
              <w:rPr>
                <w:rFonts w:ascii="Calibri"/>
                <w:b/>
                <w:spacing w:val="-9"/>
                <w:sz w:val="24"/>
              </w:rPr>
              <w:t> </w:t>
            </w:r>
            <w:r>
              <w:rPr>
                <w:rFonts w:ascii="Calibri"/>
                <w:b/>
                <w:sz w:val="24"/>
              </w:rPr>
              <w:t>Type</w:t>
            </w:r>
            <w:r>
              <w:rPr>
                <w:rFonts w:ascii="Calibri"/>
                <w:b/>
                <w:spacing w:val="-9"/>
                <w:sz w:val="24"/>
              </w:rPr>
              <w:t> </w:t>
            </w:r>
            <w:r>
              <w:rPr>
                <w:rFonts w:ascii="Calibri"/>
                <w:b/>
                <w:sz w:val="24"/>
              </w:rPr>
              <w:t>per </w:t>
            </w:r>
            <w:r>
              <w:rPr>
                <w:rFonts w:ascii="Calibri"/>
                <w:b/>
                <w:spacing w:val="-2"/>
                <w:sz w:val="24"/>
              </w:rPr>
              <w:t>Subrecipient/Contractor</w:t>
            </w:r>
          </w:p>
        </w:tc>
        <w:tc>
          <w:tcPr>
            <w:tcW w:w="1320" w:type="dxa"/>
            <w:shd w:val="clear" w:color="auto" w:fill="D9D9D9"/>
          </w:tcPr>
          <w:p>
            <w:pPr>
              <w:pStyle w:val="TableParagraph"/>
              <w:spacing w:line="292" w:lineRule="exact"/>
              <w:ind w:left="415"/>
              <w:rPr>
                <w:rFonts w:ascii="Calibri"/>
                <w:b/>
                <w:sz w:val="24"/>
              </w:rPr>
            </w:pPr>
            <w:r>
              <w:rPr>
                <w:rFonts w:ascii="Calibri"/>
                <w:b/>
                <w:spacing w:val="-4"/>
                <w:sz w:val="24"/>
              </w:rPr>
              <w:t>5310</w:t>
            </w:r>
          </w:p>
        </w:tc>
        <w:tc>
          <w:tcPr>
            <w:tcW w:w="1320" w:type="dxa"/>
            <w:shd w:val="clear" w:color="auto" w:fill="D9D9D9"/>
          </w:tcPr>
          <w:p>
            <w:pPr>
              <w:pStyle w:val="TableParagraph"/>
              <w:spacing w:line="292" w:lineRule="exact"/>
              <w:ind w:left="415"/>
              <w:rPr>
                <w:rFonts w:ascii="Calibri"/>
                <w:b/>
                <w:sz w:val="24"/>
              </w:rPr>
            </w:pPr>
            <w:r>
              <w:rPr>
                <w:rFonts w:ascii="Calibri"/>
                <w:b/>
                <w:spacing w:val="-4"/>
                <w:sz w:val="24"/>
              </w:rPr>
              <w:t>5311</w:t>
            </w:r>
          </w:p>
        </w:tc>
        <w:tc>
          <w:tcPr>
            <w:tcW w:w="1320" w:type="dxa"/>
            <w:shd w:val="clear" w:color="auto" w:fill="D9D9D9"/>
          </w:tcPr>
          <w:p>
            <w:pPr>
              <w:pStyle w:val="TableParagraph"/>
              <w:spacing w:line="292" w:lineRule="exact"/>
              <w:ind w:left="231" w:right="221"/>
              <w:jc w:val="center"/>
              <w:rPr>
                <w:rFonts w:ascii="Calibri"/>
                <w:b/>
                <w:sz w:val="24"/>
              </w:rPr>
            </w:pPr>
            <w:r>
              <w:rPr>
                <w:rFonts w:ascii="Calibri"/>
                <w:b/>
                <w:spacing w:val="-4"/>
                <w:sz w:val="24"/>
              </w:rPr>
              <w:t>5311</w:t>
            </w:r>
          </w:p>
          <w:p>
            <w:pPr>
              <w:pStyle w:val="TableParagraph"/>
              <w:spacing w:line="240" w:lineRule="auto"/>
              <w:ind w:left="232" w:right="221"/>
              <w:jc w:val="center"/>
              <w:rPr>
                <w:rFonts w:ascii="Calibri"/>
                <w:b/>
                <w:sz w:val="24"/>
              </w:rPr>
            </w:pPr>
            <w:r>
              <w:rPr>
                <w:rFonts w:ascii="Calibri"/>
                <w:b/>
                <w:spacing w:val="-2"/>
                <w:sz w:val="24"/>
              </w:rPr>
              <w:t>intercity</w:t>
            </w:r>
          </w:p>
        </w:tc>
        <w:tc>
          <w:tcPr>
            <w:tcW w:w="1320" w:type="dxa"/>
            <w:shd w:val="clear" w:color="auto" w:fill="D9D9D9"/>
          </w:tcPr>
          <w:p>
            <w:pPr>
              <w:pStyle w:val="TableParagraph"/>
              <w:spacing w:line="292" w:lineRule="exact"/>
              <w:ind w:left="415"/>
              <w:rPr>
                <w:rFonts w:ascii="Calibri"/>
                <w:b/>
                <w:sz w:val="24"/>
              </w:rPr>
            </w:pPr>
            <w:r>
              <w:rPr>
                <w:rFonts w:ascii="Calibri"/>
                <w:b/>
                <w:spacing w:val="-4"/>
                <w:sz w:val="24"/>
              </w:rPr>
              <w:t>5339</w:t>
            </w:r>
          </w:p>
        </w:tc>
      </w:tr>
      <w:tr>
        <w:trPr>
          <w:trHeight w:val="292" w:hRule="atLeast"/>
        </w:trPr>
        <w:tc>
          <w:tcPr>
            <w:tcW w:w="3259" w:type="dxa"/>
          </w:tcPr>
          <w:p>
            <w:pPr>
              <w:pStyle w:val="TableParagraph"/>
              <w:spacing w:line="272" w:lineRule="exact"/>
              <w:ind w:left="107"/>
              <w:rPr>
                <w:rFonts w:ascii="Calibri"/>
                <w:sz w:val="24"/>
              </w:rPr>
            </w:pPr>
            <w:r>
              <w:rPr>
                <w:rFonts w:ascii="Calibri"/>
                <w:spacing w:val="-4"/>
                <w:sz w:val="24"/>
              </w:rPr>
              <w:t>ARTS</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z w:val="24"/>
              </w:rPr>
              <w:t>City of</w:t>
            </w:r>
            <w:r>
              <w:rPr>
                <w:rFonts w:ascii="Calibri"/>
                <w:spacing w:val="2"/>
                <w:sz w:val="24"/>
              </w:rPr>
              <w:t> </w:t>
            </w:r>
            <w:r>
              <w:rPr>
                <w:rFonts w:ascii="Calibri"/>
                <w:spacing w:val="-2"/>
                <w:sz w:val="24"/>
              </w:rPr>
              <w:t>Bangor</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4" w:hRule="atLeast"/>
        </w:trPr>
        <w:tc>
          <w:tcPr>
            <w:tcW w:w="3259" w:type="dxa"/>
          </w:tcPr>
          <w:p>
            <w:pPr>
              <w:pStyle w:val="TableParagraph"/>
              <w:spacing w:line="273" w:lineRule="exact" w:before="1"/>
              <w:ind w:left="107"/>
              <w:rPr>
                <w:rFonts w:ascii="Calibri"/>
                <w:sz w:val="24"/>
              </w:rPr>
            </w:pPr>
            <w:r>
              <w:rPr>
                <w:rFonts w:ascii="Calibri"/>
                <w:sz w:val="24"/>
              </w:rPr>
              <w:t>BSOOB</w:t>
            </w:r>
            <w:r>
              <w:rPr>
                <w:rFonts w:ascii="Calibri"/>
                <w:spacing w:val="-3"/>
                <w:sz w:val="24"/>
              </w:rPr>
              <w:t> </w:t>
            </w:r>
            <w:r>
              <w:rPr>
                <w:rFonts w:ascii="Calibri"/>
                <w:spacing w:val="-2"/>
                <w:sz w:val="24"/>
              </w:rPr>
              <w:t>Transit</w:t>
            </w:r>
          </w:p>
        </w:tc>
        <w:tc>
          <w:tcPr>
            <w:tcW w:w="1320" w:type="dxa"/>
          </w:tcPr>
          <w:p>
            <w:pPr>
              <w:pStyle w:val="TableParagraph"/>
              <w:spacing w:line="240" w:lineRule="auto"/>
              <w:rPr>
                <w:sz w:val="22"/>
              </w:rPr>
            </w:pPr>
          </w:p>
        </w:tc>
        <w:tc>
          <w:tcPr>
            <w:tcW w:w="1320" w:type="dxa"/>
          </w:tcPr>
          <w:p>
            <w:pPr>
              <w:pStyle w:val="TableParagraph"/>
              <w:spacing w:line="273" w:lineRule="exact" w:before="1"/>
              <w:ind w:left="108"/>
              <w:rPr>
                <w:rFonts w:ascii="Calibri"/>
                <w:sz w:val="24"/>
              </w:rPr>
            </w:pPr>
            <w:r>
              <w:rPr>
                <w:rFonts w:ascii="Calibri"/>
                <w:sz w:val="24"/>
              </w:rPr>
              <w:t>x</w:t>
            </w:r>
          </w:p>
        </w:tc>
        <w:tc>
          <w:tcPr>
            <w:tcW w:w="1320" w:type="dxa"/>
          </w:tcPr>
          <w:p>
            <w:pPr>
              <w:pStyle w:val="TableParagraph"/>
              <w:spacing w:line="273" w:lineRule="exact" w:before="1"/>
              <w:ind w:left="108"/>
              <w:rPr>
                <w:rFonts w:ascii="Calibri"/>
                <w:sz w:val="24"/>
              </w:rPr>
            </w:pPr>
            <w:r>
              <w:rPr>
                <w:rFonts w:ascii="Calibri"/>
                <w:sz w:val="24"/>
              </w:rPr>
              <w:t>x</w:t>
            </w:r>
          </w:p>
        </w:tc>
        <w:tc>
          <w:tcPr>
            <w:tcW w:w="1320" w:type="dxa"/>
          </w:tcPr>
          <w:p>
            <w:pPr>
              <w:pStyle w:val="TableParagraph"/>
              <w:spacing w:line="240" w:lineRule="auto"/>
              <w:rPr>
                <w:sz w:val="22"/>
              </w:rPr>
            </w:pPr>
          </w:p>
        </w:tc>
      </w:tr>
      <w:tr>
        <w:trPr>
          <w:trHeight w:val="585" w:hRule="atLeast"/>
        </w:trPr>
        <w:tc>
          <w:tcPr>
            <w:tcW w:w="3259" w:type="dxa"/>
          </w:tcPr>
          <w:p>
            <w:pPr>
              <w:pStyle w:val="TableParagraph"/>
              <w:spacing w:line="292" w:lineRule="exact"/>
              <w:ind w:left="107"/>
              <w:rPr>
                <w:rFonts w:ascii="Calibri"/>
                <w:sz w:val="24"/>
              </w:rPr>
            </w:pPr>
            <w:r>
              <w:rPr>
                <w:rFonts w:ascii="Calibri"/>
                <w:sz w:val="24"/>
              </w:rPr>
              <w:t>Casco</w:t>
            </w:r>
            <w:r>
              <w:rPr>
                <w:rFonts w:ascii="Calibri"/>
                <w:spacing w:val="-1"/>
                <w:sz w:val="24"/>
              </w:rPr>
              <w:t> </w:t>
            </w:r>
            <w:r>
              <w:rPr>
                <w:rFonts w:ascii="Calibri"/>
                <w:sz w:val="24"/>
              </w:rPr>
              <w:t>Bay</w:t>
            </w:r>
            <w:r>
              <w:rPr>
                <w:rFonts w:ascii="Calibri"/>
                <w:spacing w:val="-2"/>
                <w:sz w:val="24"/>
              </w:rPr>
              <w:t> </w:t>
            </w:r>
            <w:r>
              <w:rPr>
                <w:rFonts w:ascii="Calibri"/>
                <w:sz w:val="24"/>
              </w:rPr>
              <w:t>Island</w:t>
            </w:r>
            <w:r>
              <w:rPr>
                <w:rFonts w:ascii="Calibri"/>
                <w:spacing w:val="1"/>
                <w:sz w:val="24"/>
              </w:rPr>
              <w:t> </w:t>
            </w:r>
            <w:r>
              <w:rPr>
                <w:rFonts w:ascii="Calibri"/>
                <w:spacing w:val="-2"/>
                <w:sz w:val="24"/>
              </w:rPr>
              <w:t>Transit</w:t>
            </w:r>
          </w:p>
          <w:p>
            <w:pPr>
              <w:pStyle w:val="TableParagraph"/>
              <w:spacing w:line="273" w:lineRule="exact"/>
              <w:ind w:left="107"/>
              <w:rPr>
                <w:rFonts w:ascii="Calibri"/>
                <w:sz w:val="24"/>
              </w:rPr>
            </w:pPr>
            <w:r>
              <w:rPr>
                <w:rFonts w:ascii="Calibri"/>
                <w:spacing w:val="-2"/>
                <w:sz w:val="24"/>
              </w:rPr>
              <w:t>District</w:t>
            </w:r>
          </w:p>
        </w:tc>
        <w:tc>
          <w:tcPr>
            <w:tcW w:w="1320" w:type="dxa"/>
          </w:tcPr>
          <w:p>
            <w:pPr>
              <w:pStyle w:val="TableParagraph"/>
              <w:spacing w:line="240" w:lineRule="auto"/>
              <w:rPr>
                <w:sz w:val="24"/>
              </w:rPr>
            </w:pPr>
          </w:p>
        </w:tc>
        <w:tc>
          <w:tcPr>
            <w:tcW w:w="1320" w:type="dxa"/>
          </w:tcPr>
          <w:p>
            <w:pPr>
              <w:pStyle w:val="TableParagraph"/>
              <w:spacing w:line="292" w:lineRule="exact"/>
              <w:ind w:left="108"/>
              <w:rPr>
                <w:rFonts w:ascii="Calibri"/>
                <w:sz w:val="24"/>
              </w:rPr>
            </w:pPr>
            <w:r>
              <w:rPr>
                <w:rFonts w:ascii="Calibri"/>
                <w:sz w:val="24"/>
              </w:rPr>
              <w:t>x</w:t>
            </w:r>
          </w:p>
        </w:tc>
        <w:tc>
          <w:tcPr>
            <w:tcW w:w="1320" w:type="dxa"/>
          </w:tcPr>
          <w:p>
            <w:pPr>
              <w:pStyle w:val="TableParagraph"/>
              <w:spacing w:line="240" w:lineRule="auto"/>
              <w:rPr>
                <w:sz w:val="24"/>
              </w:rPr>
            </w:pPr>
          </w:p>
        </w:tc>
        <w:tc>
          <w:tcPr>
            <w:tcW w:w="1320" w:type="dxa"/>
          </w:tcPr>
          <w:p>
            <w:pPr>
              <w:pStyle w:val="TableParagraph"/>
              <w:spacing w:line="240" w:lineRule="auto"/>
              <w:rPr>
                <w:sz w:val="24"/>
              </w:rPr>
            </w:pPr>
          </w:p>
        </w:tc>
      </w:tr>
      <w:tr>
        <w:trPr>
          <w:trHeight w:val="292" w:hRule="atLeast"/>
        </w:trPr>
        <w:tc>
          <w:tcPr>
            <w:tcW w:w="3259" w:type="dxa"/>
          </w:tcPr>
          <w:p>
            <w:pPr>
              <w:pStyle w:val="TableParagraph"/>
              <w:spacing w:line="272" w:lineRule="exact"/>
              <w:ind w:left="107"/>
              <w:rPr>
                <w:rFonts w:ascii="Calibri"/>
                <w:sz w:val="24"/>
              </w:rPr>
            </w:pPr>
            <w:r>
              <w:rPr>
                <w:rFonts w:ascii="Calibri"/>
                <w:sz w:val="24"/>
              </w:rPr>
              <w:t>Concord</w:t>
            </w:r>
            <w:r>
              <w:rPr>
                <w:rFonts w:ascii="Calibri"/>
                <w:spacing w:val="-3"/>
                <w:sz w:val="24"/>
              </w:rPr>
              <w:t> </w:t>
            </w:r>
            <w:r>
              <w:rPr>
                <w:rFonts w:ascii="Calibri"/>
                <w:sz w:val="24"/>
              </w:rPr>
              <w:t>Coach</w:t>
            </w:r>
            <w:r>
              <w:rPr>
                <w:rFonts w:ascii="Calibri"/>
                <w:spacing w:val="-1"/>
                <w:sz w:val="24"/>
              </w:rPr>
              <w:t> </w:t>
            </w:r>
            <w:r>
              <w:rPr>
                <w:rFonts w:ascii="Calibri"/>
                <w:spacing w:val="-4"/>
                <w:sz w:val="24"/>
              </w:rPr>
              <w:t>Lines</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r>
      <w:tr>
        <w:trPr>
          <w:trHeight w:val="292" w:hRule="atLeast"/>
        </w:trPr>
        <w:tc>
          <w:tcPr>
            <w:tcW w:w="3259" w:type="dxa"/>
          </w:tcPr>
          <w:p>
            <w:pPr>
              <w:pStyle w:val="TableParagraph"/>
              <w:spacing w:line="272" w:lineRule="exact"/>
              <w:ind w:left="107"/>
              <w:rPr>
                <w:rFonts w:ascii="Calibri"/>
                <w:sz w:val="24"/>
              </w:rPr>
            </w:pPr>
            <w:r>
              <w:rPr>
                <w:rFonts w:ascii="Calibri"/>
                <w:sz w:val="24"/>
              </w:rPr>
              <w:t>Cyr</w:t>
            </w:r>
            <w:r>
              <w:rPr>
                <w:rFonts w:ascii="Calibri"/>
                <w:spacing w:val="-2"/>
                <w:sz w:val="24"/>
              </w:rPr>
              <w:t> </w:t>
            </w:r>
            <w:r>
              <w:rPr>
                <w:rFonts w:ascii="Calibri"/>
                <w:sz w:val="24"/>
              </w:rPr>
              <w:t>Bus</w:t>
            </w:r>
            <w:r>
              <w:rPr>
                <w:rFonts w:ascii="Calibri"/>
                <w:spacing w:val="-1"/>
                <w:sz w:val="24"/>
              </w:rPr>
              <w:t> </w:t>
            </w:r>
            <w:r>
              <w:rPr>
                <w:rFonts w:ascii="Calibri"/>
                <w:spacing w:val="-4"/>
                <w:sz w:val="24"/>
              </w:rPr>
              <w:t>Lines</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r>
      <w:tr>
        <w:trPr>
          <w:trHeight w:val="587" w:hRule="atLeast"/>
        </w:trPr>
        <w:tc>
          <w:tcPr>
            <w:tcW w:w="3259" w:type="dxa"/>
          </w:tcPr>
          <w:p>
            <w:pPr>
              <w:pStyle w:val="TableParagraph"/>
              <w:spacing w:line="290" w:lineRule="atLeast"/>
              <w:ind w:left="107" w:right="196"/>
              <w:rPr>
                <w:rFonts w:ascii="Calibri"/>
                <w:sz w:val="24"/>
              </w:rPr>
            </w:pPr>
            <w:r>
              <w:rPr>
                <w:rFonts w:ascii="Calibri"/>
                <w:sz w:val="24"/>
              </w:rPr>
              <w:t>Downeast</w:t>
            </w:r>
            <w:r>
              <w:rPr>
                <w:rFonts w:ascii="Calibri"/>
                <w:spacing w:val="-14"/>
                <w:sz w:val="24"/>
              </w:rPr>
              <w:t> </w:t>
            </w:r>
            <w:r>
              <w:rPr>
                <w:rFonts w:ascii="Calibri"/>
                <w:sz w:val="24"/>
              </w:rPr>
              <w:t>Community </w:t>
            </w:r>
            <w:r>
              <w:rPr>
                <w:rFonts w:ascii="Calibri"/>
                <w:spacing w:val="-2"/>
                <w:sz w:val="24"/>
              </w:rPr>
              <w:t>Partners</w:t>
            </w:r>
          </w:p>
        </w:tc>
        <w:tc>
          <w:tcPr>
            <w:tcW w:w="1320" w:type="dxa"/>
          </w:tcPr>
          <w:p>
            <w:pPr>
              <w:pStyle w:val="TableParagraph"/>
              <w:spacing w:line="240" w:lineRule="auto" w:before="1"/>
              <w:ind w:left="108"/>
              <w:rPr>
                <w:rFonts w:ascii="Calibri"/>
                <w:sz w:val="24"/>
              </w:rPr>
            </w:pPr>
            <w:r>
              <w:rPr>
                <w:rFonts w:ascii="Calibri"/>
                <w:sz w:val="24"/>
              </w:rPr>
              <w:t>x</w:t>
            </w:r>
          </w:p>
        </w:tc>
        <w:tc>
          <w:tcPr>
            <w:tcW w:w="1320" w:type="dxa"/>
          </w:tcPr>
          <w:p>
            <w:pPr>
              <w:pStyle w:val="TableParagraph"/>
              <w:spacing w:line="240" w:lineRule="auto" w:before="1"/>
              <w:ind w:left="108"/>
              <w:rPr>
                <w:rFonts w:ascii="Calibri"/>
                <w:sz w:val="24"/>
              </w:rPr>
            </w:pPr>
            <w:r>
              <w:rPr>
                <w:rFonts w:ascii="Calibri"/>
                <w:sz w:val="24"/>
              </w:rPr>
              <w:t>x</w:t>
            </w:r>
          </w:p>
        </w:tc>
        <w:tc>
          <w:tcPr>
            <w:tcW w:w="1320" w:type="dxa"/>
          </w:tcPr>
          <w:p>
            <w:pPr>
              <w:pStyle w:val="TableParagraph"/>
              <w:spacing w:line="240" w:lineRule="auto"/>
              <w:rPr>
                <w:sz w:val="24"/>
              </w:rPr>
            </w:pPr>
          </w:p>
        </w:tc>
        <w:tc>
          <w:tcPr>
            <w:tcW w:w="1320" w:type="dxa"/>
          </w:tcPr>
          <w:p>
            <w:pPr>
              <w:pStyle w:val="TableParagraph"/>
              <w:spacing w:line="240" w:lineRule="auto" w:before="1"/>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z w:val="24"/>
              </w:rPr>
              <w:t>Downeast</w:t>
            </w:r>
            <w:r>
              <w:rPr>
                <w:rFonts w:ascii="Calibri"/>
                <w:spacing w:val="-2"/>
                <w:sz w:val="24"/>
              </w:rPr>
              <w:t> Transportation</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pacing w:val="-2"/>
                <w:sz w:val="24"/>
              </w:rPr>
              <w:t>Greyhound</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r>
      <w:tr>
        <w:trPr>
          <w:trHeight w:val="292" w:hRule="atLeast"/>
        </w:trPr>
        <w:tc>
          <w:tcPr>
            <w:tcW w:w="3259" w:type="dxa"/>
          </w:tcPr>
          <w:p>
            <w:pPr>
              <w:pStyle w:val="TableParagraph"/>
              <w:spacing w:line="272" w:lineRule="exact"/>
              <w:ind w:left="107"/>
              <w:rPr>
                <w:rFonts w:ascii="Calibri"/>
                <w:sz w:val="24"/>
              </w:rPr>
            </w:pPr>
            <w:r>
              <w:rPr>
                <w:rFonts w:ascii="Calibri"/>
                <w:spacing w:val="-2"/>
                <w:sz w:val="24"/>
              </w:rPr>
              <w:t>KVCAP</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4" w:hRule="atLeast"/>
        </w:trPr>
        <w:tc>
          <w:tcPr>
            <w:tcW w:w="3259" w:type="dxa"/>
          </w:tcPr>
          <w:p>
            <w:pPr>
              <w:pStyle w:val="TableParagraph"/>
              <w:spacing w:line="273" w:lineRule="exact" w:before="1"/>
              <w:ind w:left="107"/>
              <w:rPr>
                <w:rFonts w:ascii="Calibri"/>
                <w:sz w:val="24"/>
              </w:rPr>
            </w:pPr>
            <w:r>
              <w:rPr>
                <w:rFonts w:ascii="Calibri"/>
                <w:spacing w:val="-2"/>
                <w:sz w:val="24"/>
              </w:rPr>
              <w:t>LATC-citylink</w:t>
            </w:r>
          </w:p>
        </w:tc>
        <w:tc>
          <w:tcPr>
            <w:tcW w:w="1320" w:type="dxa"/>
          </w:tcPr>
          <w:p>
            <w:pPr>
              <w:pStyle w:val="TableParagraph"/>
              <w:spacing w:line="240" w:lineRule="auto"/>
              <w:rPr>
                <w:sz w:val="22"/>
              </w:rPr>
            </w:pPr>
          </w:p>
        </w:tc>
        <w:tc>
          <w:tcPr>
            <w:tcW w:w="1320" w:type="dxa"/>
          </w:tcPr>
          <w:p>
            <w:pPr>
              <w:pStyle w:val="TableParagraph"/>
              <w:spacing w:line="240" w:lineRule="auto"/>
              <w:rPr>
                <w:sz w:val="22"/>
              </w:rPr>
            </w:pPr>
          </w:p>
        </w:tc>
        <w:tc>
          <w:tcPr>
            <w:tcW w:w="1320" w:type="dxa"/>
          </w:tcPr>
          <w:p>
            <w:pPr>
              <w:pStyle w:val="TableParagraph"/>
              <w:spacing w:line="240" w:lineRule="auto"/>
              <w:rPr>
                <w:sz w:val="22"/>
              </w:rPr>
            </w:pPr>
          </w:p>
        </w:tc>
        <w:tc>
          <w:tcPr>
            <w:tcW w:w="1320" w:type="dxa"/>
          </w:tcPr>
          <w:p>
            <w:pPr>
              <w:pStyle w:val="TableParagraph"/>
              <w:spacing w:line="273" w:lineRule="exact" w:before="1"/>
              <w:ind w:left="108"/>
              <w:rPr>
                <w:rFonts w:ascii="Calibri"/>
                <w:sz w:val="24"/>
              </w:rPr>
            </w:pPr>
            <w:r>
              <w:rPr>
                <w:rFonts w:ascii="Calibri"/>
                <w:sz w:val="24"/>
              </w:rPr>
              <w:t>x</w:t>
            </w:r>
          </w:p>
        </w:tc>
      </w:tr>
    </w:tbl>
    <w:p>
      <w:pPr>
        <w:spacing w:after="0" w:line="273" w:lineRule="exact"/>
        <w:rPr>
          <w:rFonts w:ascii="Calibri"/>
          <w:sz w:val="24"/>
        </w:rPr>
        <w:sectPr>
          <w:pgSz w:w="12240" w:h="15840"/>
          <w:pgMar w:header="0" w:footer="997" w:top="960" w:bottom="1419" w:left="600" w:right="500"/>
        </w:sect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59"/>
        <w:gridCol w:w="1320"/>
        <w:gridCol w:w="1320"/>
        <w:gridCol w:w="1320"/>
        <w:gridCol w:w="1320"/>
      </w:tblGrid>
      <w:tr>
        <w:trPr>
          <w:trHeight w:val="292" w:hRule="atLeast"/>
        </w:trPr>
        <w:tc>
          <w:tcPr>
            <w:tcW w:w="3259" w:type="dxa"/>
          </w:tcPr>
          <w:p>
            <w:pPr>
              <w:pStyle w:val="TableParagraph"/>
              <w:spacing w:line="272" w:lineRule="exact"/>
              <w:ind w:left="107"/>
              <w:rPr>
                <w:rFonts w:ascii="Calibri"/>
                <w:sz w:val="24"/>
              </w:rPr>
            </w:pPr>
            <w:r>
              <w:rPr>
                <w:rFonts w:ascii="Calibri"/>
                <w:spacing w:val="-2"/>
                <w:sz w:val="24"/>
              </w:rPr>
              <w:t>Penquis-</w:t>
            </w:r>
            <w:r>
              <w:rPr>
                <w:rFonts w:ascii="Calibri"/>
                <w:spacing w:val="-4"/>
                <w:sz w:val="24"/>
              </w:rPr>
              <w:t>Lynx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587" w:hRule="atLeast"/>
        </w:trPr>
        <w:tc>
          <w:tcPr>
            <w:tcW w:w="3259" w:type="dxa"/>
          </w:tcPr>
          <w:p>
            <w:pPr>
              <w:pStyle w:val="TableParagraph"/>
              <w:spacing w:line="292" w:lineRule="exact"/>
              <w:ind w:left="107"/>
              <w:rPr>
                <w:rFonts w:ascii="Calibri"/>
                <w:sz w:val="24"/>
              </w:rPr>
            </w:pPr>
            <w:r>
              <w:rPr>
                <w:rFonts w:ascii="Calibri"/>
                <w:sz w:val="24"/>
              </w:rPr>
              <w:t>Regional </w:t>
            </w:r>
            <w:r>
              <w:rPr>
                <w:rFonts w:ascii="Calibri"/>
                <w:spacing w:val="-2"/>
                <w:sz w:val="24"/>
              </w:rPr>
              <w:t>Transportation</w:t>
            </w:r>
          </w:p>
          <w:p>
            <w:pPr>
              <w:pStyle w:val="TableParagraph"/>
              <w:spacing w:line="275" w:lineRule="exact"/>
              <w:ind w:left="107"/>
              <w:rPr>
                <w:rFonts w:ascii="Calibri"/>
                <w:sz w:val="24"/>
              </w:rPr>
            </w:pPr>
            <w:r>
              <w:rPr>
                <w:rFonts w:ascii="Calibri"/>
                <w:spacing w:val="-2"/>
                <w:sz w:val="24"/>
              </w:rPr>
              <w:t>Program</w:t>
            </w:r>
          </w:p>
        </w:tc>
        <w:tc>
          <w:tcPr>
            <w:tcW w:w="1320" w:type="dxa"/>
          </w:tcPr>
          <w:p>
            <w:pPr>
              <w:pStyle w:val="TableParagraph"/>
              <w:spacing w:line="292" w:lineRule="exact"/>
              <w:ind w:left="108"/>
              <w:rPr>
                <w:rFonts w:ascii="Calibri"/>
                <w:sz w:val="24"/>
              </w:rPr>
            </w:pPr>
            <w:r>
              <w:rPr>
                <w:rFonts w:ascii="Calibri"/>
                <w:sz w:val="24"/>
              </w:rPr>
              <w:t>X</w:t>
            </w:r>
          </w:p>
        </w:tc>
        <w:tc>
          <w:tcPr>
            <w:tcW w:w="1320" w:type="dxa"/>
          </w:tcPr>
          <w:p>
            <w:pPr>
              <w:pStyle w:val="TableParagraph"/>
              <w:spacing w:line="292" w:lineRule="exact"/>
              <w:ind w:left="108"/>
              <w:rPr>
                <w:rFonts w:ascii="Calibri"/>
                <w:sz w:val="24"/>
              </w:rPr>
            </w:pPr>
            <w:r>
              <w:rPr>
                <w:rFonts w:ascii="Calibri"/>
                <w:sz w:val="24"/>
              </w:rPr>
              <w:t>x</w:t>
            </w:r>
          </w:p>
        </w:tc>
        <w:tc>
          <w:tcPr>
            <w:tcW w:w="1320" w:type="dxa"/>
          </w:tcPr>
          <w:p>
            <w:pPr>
              <w:pStyle w:val="TableParagraph"/>
              <w:spacing w:line="240" w:lineRule="auto"/>
              <w:rPr>
                <w:sz w:val="24"/>
              </w:rPr>
            </w:pPr>
          </w:p>
        </w:tc>
        <w:tc>
          <w:tcPr>
            <w:tcW w:w="1320" w:type="dxa"/>
          </w:tcPr>
          <w:p>
            <w:pPr>
              <w:pStyle w:val="TableParagraph"/>
              <w:spacing w:line="292" w:lineRule="exact"/>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z w:val="24"/>
              </w:rPr>
              <w:t>South Portland</w:t>
            </w:r>
            <w:r>
              <w:rPr>
                <w:rFonts w:ascii="Calibri"/>
                <w:spacing w:val="-2"/>
                <w:sz w:val="24"/>
              </w:rPr>
              <w:t> </w:t>
            </w:r>
            <w:r>
              <w:rPr>
                <w:rFonts w:ascii="Calibri"/>
                <w:sz w:val="24"/>
              </w:rPr>
              <w:t>Bus</w:t>
            </w:r>
            <w:r>
              <w:rPr>
                <w:rFonts w:ascii="Calibri"/>
                <w:spacing w:val="-1"/>
                <w:sz w:val="24"/>
              </w:rPr>
              <w:t> </w:t>
            </w:r>
            <w:r>
              <w:rPr>
                <w:rFonts w:ascii="Calibri"/>
                <w:spacing w:val="-2"/>
                <w:sz w:val="24"/>
              </w:rPr>
              <w:t>Service</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pacing w:val="-2"/>
                <w:sz w:val="24"/>
              </w:rPr>
              <w:t>WaldoCAP</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z w:val="24"/>
              </w:rPr>
              <w:t>West's</w:t>
            </w:r>
            <w:r>
              <w:rPr>
                <w:rFonts w:ascii="Calibri"/>
                <w:spacing w:val="-1"/>
                <w:sz w:val="24"/>
              </w:rPr>
              <w:t> </w:t>
            </w:r>
            <w:r>
              <w:rPr>
                <w:rFonts w:ascii="Calibri"/>
                <w:spacing w:val="-2"/>
                <w:sz w:val="24"/>
              </w:rPr>
              <w:t>Transportation</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r>
      <w:tr>
        <w:trPr>
          <w:trHeight w:val="292" w:hRule="atLeast"/>
        </w:trPr>
        <w:tc>
          <w:tcPr>
            <w:tcW w:w="3259" w:type="dxa"/>
          </w:tcPr>
          <w:p>
            <w:pPr>
              <w:pStyle w:val="TableParagraph"/>
              <w:spacing w:line="272" w:lineRule="exact"/>
              <w:ind w:left="107"/>
              <w:rPr>
                <w:rFonts w:ascii="Calibri"/>
                <w:sz w:val="24"/>
              </w:rPr>
            </w:pPr>
            <w:r>
              <w:rPr>
                <w:rFonts w:ascii="Calibri"/>
                <w:sz w:val="24"/>
              </w:rPr>
              <w:t>Western</w:t>
            </w:r>
            <w:r>
              <w:rPr>
                <w:rFonts w:ascii="Calibri"/>
                <w:spacing w:val="-2"/>
                <w:sz w:val="24"/>
              </w:rPr>
              <w:t> </w:t>
            </w:r>
            <w:r>
              <w:rPr>
                <w:rFonts w:ascii="Calibri"/>
                <w:sz w:val="24"/>
              </w:rPr>
              <w:t>Maine</w:t>
            </w:r>
            <w:r>
              <w:rPr>
                <w:rFonts w:ascii="Calibri"/>
                <w:spacing w:val="-2"/>
                <w:sz w:val="24"/>
              </w:rPr>
              <w:t> Transportation</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r>
      <w:tr>
        <w:trPr>
          <w:trHeight w:val="294" w:hRule="atLeast"/>
        </w:trPr>
        <w:tc>
          <w:tcPr>
            <w:tcW w:w="3259" w:type="dxa"/>
          </w:tcPr>
          <w:p>
            <w:pPr>
              <w:pStyle w:val="TableParagraph"/>
              <w:spacing w:line="273" w:lineRule="exact" w:before="1"/>
              <w:ind w:left="107"/>
              <w:rPr>
                <w:rFonts w:ascii="Calibri"/>
                <w:sz w:val="24"/>
              </w:rPr>
            </w:pPr>
            <w:r>
              <w:rPr>
                <w:rFonts w:ascii="Calibri"/>
                <w:spacing w:val="-4"/>
                <w:sz w:val="24"/>
              </w:rPr>
              <w:t>YCCAC</w:t>
            </w:r>
          </w:p>
        </w:tc>
        <w:tc>
          <w:tcPr>
            <w:tcW w:w="1320" w:type="dxa"/>
          </w:tcPr>
          <w:p>
            <w:pPr>
              <w:pStyle w:val="TableParagraph"/>
              <w:spacing w:line="273" w:lineRule="exact" w:before="1"/>
              <w:ind w:left="108"/>
              <w:rPr>
                <w:rFonts w:ascii="Calibri"/>
                <w:sz w:val="24"/>
              </w:rPr>
            </w:pPr>
            <w:r>
              <w:rPr>
                <w:rFonts w:ascii="Calibri"/>
                <w:sz w:val="24"/>
              </w:rPr>
              <w:t>x</w:t>
            </w:r>
          </w:p>
        </w:tc>
        <w:tc>
          <w:tcPr>
            <w:tcW w:w="1320" w:type="dxa"/>
          </w:tcPr>
          <w:p>
            <w:pPr>
              <w:pStyle w:val="TableParagraph"/>
              <w:spacing w:line="273" w:lineRule="exact" w:before="1"/>
              <w:ind w:left="108"/>
              <w:rPr>
                <w:rFonts w:ascii="Calibri"/>
                <w:sz w:val="24"/>
              </w:rPr>
            </w:pPr>
            <w:r>
              <w:rPr>
                <w:rFonts w:ascii="Calibri"/>
                <w:sz w:val="24"/>
              </w:rPr>
              <w:t>x</w:t>
            </w:r>
          </w:p>
        </w:tc>
        <w:tc>
          <w:tcPr>
            <w:tcW w:w="1320" w:type="dxa"/>
          </w:tcPr>
          <w:p>
            <w:pPr>
              <w:pStyle w:val="TableParagraph"/>
              <w:spacing w:line="240" w:lineRule="auto"/>
              <w:rPr>
                <w:sz w:val="22"/>
              </w:rPr>
            </w:pPr>
          </w:p>
        </w:tc>
        <w:tc>
          <w:tcPr>
            <w:tcW w:w="1320" w:type="dxa"/>
          </w:tcPr>
          <w:p>
            <w:pPr>
              <w:pStyle w:val="TableParagraph"/>
              <w:spacing w:line="273" w:lineRule="exact" w:before="1"/>
              <w:ind w:left="108"/>
              <w:rPr>
                <w:rFonts w:ascii="Calibri"/>
                <w:sz w:val="24"/>
              </w:rPr>
            </w:pPr>
            <w:r>
              <w:rPr>
                <w:rFonts w:ascii="Calibri"/>
                <w:sz w:val="24"/>
              </w:rPr>
              <w:t>x</w:t>
            </w:r>
          </w:p>
        </w:tc>
      </w:tr>
      <w:tr>
        <w:trPr>
          <w:trHeight w:val="292" w:hRule="atLeast"/>
        </w:trPr>
        <w:tc>
          <w:tcPr>
            <w:tcW w:w="3259" w:type="dxa"/>
          </w:tcPr>
          <w:p>
            <w:pPr>
              <w:pStyle w:val="TableParagraph"/>
              <w:spacing w:line="272" w:lineRule="exact"/>
              <w:ind w:left="107"/>
              <w:rPr>
                <w:rFonts w:ascii="Calibri"/>
                <w:sz w:val="24"/>
              </w:rPr>
            </w:pPr>
            <w:r>
              <w:rPr>
                <w:rFonts w:ascii="Calibri"/>
                <w:sz w:val="24"/>
              </w:rPr>
              <w:t>Isle</w:t>
            </w:r>
            <w:r>
              <w:rPr>
                <w:rFonts w:ascii="Calibri"/>
                <w:spacing w:val="-2"/>
                <w:sz w:val="24"/>
              </w:rPr>
              <w:t> </w:t>
            </w:r>
            <w:r>
              <w:rPr>
                <w:rFonts w:ascii="Calibri"/>
                <w:sz w:val="24"/>
              </w:rPr>
              <w:t>au Haut Boat </w:t>
            </w:r>
            <w:r>
              <w:rPr>
                <w:rFonts w:ascii="Calibri"/>
                <w:spacing w:val="-2"/>
                <w:sz w:val="24"/>
              </w:rPr>
              <w:t>Services</w:t>
            </w:r>
          </w:p>
        </w:tc>
        <w:tc>
          <w:tcPr>
            <w:tcW w:w="1320" w:type="dxa"/>
          </w:tcPr>
          <w:p>
            <w:pPr>
              <w:pStyle w:val="TableParagraph"/>
              <w:spacing w:line="240" w:lineRule="auto"/>
              <w:rPr>
                <w:sz w:val="20"/>
              </w:rPr>
            </w:pPr>
          </w:p>
        </w:tc>
        <w:tc>
          <w:tcPr>
            <w:tcW w:w="1320" w:type="dxa"/>
          </w:tcPr>
          <w:p>
            <w:pPr>
              <w:pStyle w:val="TableParagraph"/>
              <w:spacing w:line="272" w:lineRule="exact"/>
              <w:ind w:left="108"/>
              <w:rPr>
                <w:rFonts w:ascii="Calibri"/>
                <w:sz w:val="24"/>
              </w:rPr>
            </w:pPr>
            <w:r>
              <w:rPr>
                <w:rFonts w:ascii="Calibri"/>
                <w:sz w:val="24"/>
              </w:rPr>
              <w:t>x</w:t>
            </w:r>
          </w:p>
        </w:tc>
        <w:tc>
          <w:tcPr>
            <w:tcW w:w="1320" w:type="dxa"/>
          </w:tcPr>
          <w:p>
            <w:pPr>
              <w:pStyle w:val="TableParagraph"/>
              <w:spacing w:line="240" w:lineRule="auto"/>
              <w:rPr>
                <w:sz w:val="20"/>
              </w:rPr>
            </w:pPr>
          </w:p>
        </w:tc>
        <w:tc>
          <w:tcPr>
            <w:tcW w:w="1320" w:type="dxa"/>
          </w:tcPr>
          <w:p>
            <w:pPr>
              <w:pStyle w:val="TableParagraph"/>
              <w:spacing w:line="240" w:lineRule="auto"/>
              <w:rPr>
                <w:sz w:val="20"/>
              </w:rPr>
            </w:pPr>
          </w:p>
        </w:tc>
      </w:tr>
      <w:tr>
        <w:trPr>
          <w:trHeight w:val="299" w:hRule="atLeast"/>
        </w:trPr>
        <w:tc>
          <w:tcPr>
            <w:tcW w:w="3259" w:type="dxa"/>
          </w:tcPr>
          <w:p>
            <w:pPr>
              <w:pStyle w:val="TableParagraph"/>
              <w:spacing w:line="280" w:lineRule="exact"/>
              <w:ind w:left="107"/>
              <w:rPr>
                <w:rFonts w:ascii="Calibri"/>
                <w:sz w:val="24"/>
              </w:rPr>
            </w:pPr>
            <w:r>
              <w:rPr>
                <w:rFonts w:ascii="Calibri"/>
                <w:sz w:val="24"/>
              </w:rPr>
              <w:t>Cranberry</w:t>
            </w:r>
            <w:r>
              <w:rPr>
                <w:rFonts w:ascii="Calibri"/>
                <w:spacing w:val="1"/>
                <w:sz w:val="24"/>
              </w:rPr>
              <w:t> </w:t>
            </w:r>
            <w:r>
              <w:rPr>
                <w:rFonts w:ascii="Calibri"/>
                <w:spacing w:val="-2"/>
                <w:sz w:val="24"/>
              </w:rPr>
              <w:t>Isles</w:t>
            </w:r>
          </w:p>
        </w:tc>
        <w:tc>
          <w:tcPr>
            <w:tcW w:w="1320" w:type="dxa"/>
          </w:tcPr>
          <w:p>
            <w:pPr>
              <w:pStyle w:val="TableParagraph"/>
              <w:spacing w:line="240" w:lineRule="auto"/>
              <w:rPr>
                <w:sz w:val="22"/>
              </w:rPr>
            </w:pPr>
          </w:p>
        </w:tc>
        <w:tc>
          <w:tcPr>
            <w:tcW w:w="1320" w:type="dxa"/>
          </w:tcPr>
          <w:p>
            <w:pPr>
              <w:pStyle w:val="TableParagraph"/>
              <w:spacing w:line="280" w:lineRule="exact"/>
              <w:ind w:left="108"/>
              <w:rPr>
                <w:rFonts w:ascii="Calibri"/>
                <w:sz w:val="24"/>
              </w:rPr>
            </w:pPr>
            <w:r>
              <w:rPr>
                <w:rFonts w:ascii="Calibri"/>
                <w:sz w:val="24"/>
              </w:rPr>
              <w:t>x</w:t>
            </w:r>
          </w:p>
        </w:tc>
        <w:tc>
          <w:tcPr>
            <w:tcW w:w="1320" w:type="dxa"/>
          </w:tcPr>
          <w:p>
            <w:pPr>
              <w:pStyle w:val="TableParagraph"/>
              <w:spacing w:line="240" w:lineRule="auto"/>
              <w:rPr>
                <w:sz w:val="22"/>
              </w:rPr>
            </w:pPr>
          </w:p>
        </w:tc>
        <w:tc>
          <w:tcPr>
            <w:tcW w:w="1320" w:type="dxa"/>
          </w:tcPr>
          <w:p>
            <w:pPr>
              <w:pStyle w:val="TableParagraph"/>
              <w:spacing w:line="240" w:lineRule="auto"/>
              <w:rPr>
                <w:sz w:val="22"/>
              </w:rPr>
            </w:pPr>
          </w:p>
        </w:tc>
      </w:tr>
    </w:tbl>
    <w:p>
      <w:pPr>
        <w:pStyle w:val="BodyText"/>
        <w:rPr>
          <w:sz w:val="17"/>
        </w:rPr>
      </w:pPr>
    </w:p>
    <w:p>
      <w:pPr>
        <w:pStyle w:val="Heading9"/>
        <w:numPr>
          <w:ilvl w:val="0"/>
          <w:numId w:val="10"/>
        </w:numPr>
        <w:tabs>
          <w:tab w:pos="1198" w:val="left" w:leader="none"/>
        </w:tabs>
        <w:spacing w:line="240" w:lineRule="auto" w:before="52" w:after="0"/>
        <w:ind w:left="1198" w:right="0" w:hanging="358"/>
        <w:jc w:val="left"/>
      </w:pPr>
      <w:bookmarkStart w:name="8.  Title VI Equity Analysis for Constru" w:id="28"/>
      <w:bookmarkEnd w:id="28"/>
      <w:r>
        <w:rPr>
          <w:b w:val="0"/>
        </w:rPr>
      </w:r>
      <w:bookmarkStart w:name="_bookmark12" w:id="29"/>
      <w:bookmarkEnd w:id="29"/>
      <w:r>
        <w:rPr>
          <w:spacing w:val="10"/>
        </w:rPr>
      </w:r>
      <w:r>
        <w:rPr>
          <w:spacing w:val="-2"/>
          <w:u w:val="single"/>
        </w:rPr>
        <w:t> </w:t>
      </w:r>
      <w:r>
        <w:rPr>
          <w:u w:val="single"/>
        </w:rPr>
        <w:t>Title</w:t>
      </w:r>
      <w:r>
        <w:rPr>
          <w:spacing w:val="-1"/>
          <w:u w:val="single"/>
        </w:rPr>
        <w:t> </w:t>
      </w:r>
      <w:r>
        <w:rPr>
          <w:u w:val="single"/>
        </w:rPr>
        <w:t>VI</w:t>
      </w:r>
      <w:r>
        <w:rPr>
          <w:spacing w:val="-2"/>
          <w:u w:val="single"/>
        </w:rPr>
        <w:t> </w:t>
      </w:r>
      <w:r>
        <w:rPr>
          <w:u w:val="single"/>
        </w:rPr>
        <w:t>Equity</w:t>
      </w:r>
      <w:r>
        <w:rPr>
          <w:spacing w:val="-4"/>
          <w:u w:val="single"/>
        </w:rPr>
        <w:t> </w:t>
      </w:r>
      <w:r>
        <w:rPr>
          <w:u w:val="single"/>
        </w:rPr>
        <w:t>Analysis</w:t>
      </w:r>
      <w:r>
        <w:rPr>
          <w:spacing w:val="-3"/>
          <w:u w:val="single"/>
        </w:rPr>
        <w:t> </w:t>
      </w:r>
      <w:r>
        <w:rPr>
          <w:u w:val="single"/>
        </w:rPr>
        <w:t>for</w:t>
      </w:r>
      <w:r>
        <w:rPr>
          <w:spacing w:val="1"/>
          <w:u w:val="single"/>
        </w:rPr>
        <w:t> </w:t>
      </w:r>
      <w:r>
        <w:rPr>
          <w:u w:val="single"/>
        </w:rPr>
        <w:t>Construction</w:t>
      </w:r>
      <w:r>
        <w:rPr>
          <w:spacing w:val="-2"/>
          <w:u w:val="single"/>
        </w:rPr>
        <w:t> Projects</w:t>
      </w:r>
    </w:p>
    <w:p>
      <w:pPr>
        <w:pStyle w:val="BodyText"/>
        <w:spacing w:before="9"/>
        <w:rPr>
          <w:b/>
          <w:sz w:val="28"/>
        </w:rPr>
      </w:pPr>
    </w:p>
    <w:p>
      <w:pPr>
        <w:pStyle w:val="BodyText"/>
        <w:spacing w:before="52"/>
        <w:ind w:left="840" w:right="931"/>
        <w:jc w:val="both"/>
      </w:pPr>
      <w:r>
        <w:rPr/>
        <w:t>When the MaineDOT embarks on FTA funded construction projects not covered by the requirements of the current circular or National Environmental Protection Act (NEPA) it will complete a Title VI equity analysis during the planning stage with regard to where a project is located</w:t>
      </w:r>
      <w:r>
        <w:rPr>
          <w:spacing w:val="-12"/>
        </w:rPr>
        <w:t> </w:t>
      </w:r>
      <w:r>
        <w:rPr/>
        <w:t>or</w:t>
      </w:r>
      <w:r>
        <w:rPr>
          <w:spacing w:val="-11"/>
        </w:rPr>
        <w:t> </w:t>
      </w:r>
      <w:r>
        <w:rPr/>
        <w:t>sited</w:t>
      </w:r>
      <w:r>
        <w:rPr>
          <w:spacing w:val="-12"/>
        </w:rPr>
        <w:t> </w:t>
      </w:r>
      <w:r>
        <w:rPr/>
        <w:t>to</w:t>
      </w:r>
      <w:r>
        <w:rPr>
          <w:spacing w:val="-13"/>
        </w:rPr>
        <w:t> </w:t>
      </w:r>
      <w:r>
        <w:rPr/>
        <w:t>ensure</w:t>
      </w:r>
      <w:r>
        <w:rPr>
          <w:spacing w:val="-11"/>
        </w:rPr>
        <w:t> </w:t>
      </w:r>
      <w:r>
        <w:rPr/>
        <w:t>the</w:t>
      </w:r>
      <w:r>
        <w:rPr>
          <w:spacing w:val="-11"/>
        </w:rPr>
        <w:t> </w:t>
      </w:r>
      <w:r>
        <w:rPr/>
        <w:t>location</w:t>
      </w:r>
      <w:r>
        <w:rPr>
          <w:spacing w:val="-10"/>
        </w:rPr>
        <w:t> </w:t>
      </w:r>
      <w:r>
        <w:rPr/>
        <w:t>is</w:t>
      </w:r>
      <w:r>
        <w:rPr>
          <w:spacing w:val="-11"/>
        </w:rPr>
        <w:t> </w:t>
      </w:r>
      <w:r>
        <w:rPr/>
        <w:t>selected</w:t>
      </w:r>
      <w:r>
        <w:rPr>
          <w:spacing w:val="-12"/>
        </w:rPr>
        <w:t> </w:t>
      </w:r>
      <w:r>
        <w:rPr/>
        <w:t>without</w:t>
      </w:r>
      <w:r>
        <w:rPr>
          <w:spacing w:val="-10"/>
        </w:rPr>
        <w:t> </w:t>
      </w:r>
      <w:r>
        <w:rPr/>
        <w:t>regard</w:t>
      </w:r>
      <w:r>
        <w:rPr>
          <w:spacing w:val="-12"/>
        </w:rPr>
        <w:t> </w:t>
      </w:r>
      <w:r>
        <w:rPr/>
        <w:t>to</w:t>
      </w:r>
      <w:r>
        <w:rPr>
          <w:spacing w:val="-11"/>
        </w:rPr>
        <w:t> </w:t>
      </w:r>
      <w:r>
        <w:rPr/>
        <w:t>race,</w:t>
      </w:r>
      <w:r>
        <w:rPr>
          <w:spacing w:val="-11"/>
        </w:rPr>
        <w:t> </w:t>
      </w:r>
      <w:r>
        <w:rPr/>
        <w:t>color,</w:t>
      </w:r>
      <w:r>
        <w:rPr>
          <w:spacing w:val="-11"/>
        </w:rPr>
        <w:t> </w:t>
      </w:r>
      <w:r>
        <w:rPr/>
        <w:t>or</w:t>
      </w:r>
      <w:r>
        <w:rPr>
          <w:spacing w:val="-13"/>
        </w:rPr>
        <w:t> </w:t>
      </w:r>
      <w:r>
        <w:rPr/>
        <w:t>national</w:t>
      </w:r>
      <w:r>
        <w:rPr>
          <w:spacing w:val="-13"/>
        </w:rPr>
        <w:t> </w:t>
      </w:r>
      <w:r>
        <w:rPr/>
        <w:t>origin. The</w:t>
      </w:r>
      <w:r>
        <w:rPr>
          <w:spacing w:val="-3"/>
        </w:rPr>
        <w:t> </w:t>
      </w:r>
      <w:r>
        <w:rPr/>
        <w:t>MaineDOT</w:t>
      </w:r>
      <w:r>
        <w:rPr>
          <w:spacing w:val="-3"/>
        </w:rPr>
        <w:t> </w:t>
      </w:r>
      <w:r>
        <w:rPr/>
        <w:t>will</w:t>
      </w:r>
      <w:r>
        <w:rPr>
          <w:spacing w:val="-4"/>
        </w:rPr>
        <w:t> </w:t>
      </w:r>
      <w:r>
        <w:rPr/>
        <w:t>engage</w:t>
      </w:r>
      <w:r>
        <w:rPr>
          <w:spacing w:val="-1"/>
        </w:rPr>
        <w:t> </w:t>
      </w:r>
      <w:r>
        <w:rPr/>
        <w:t>in</w:t>
      </w:r>
      <w:r>
        <w:rPr>
          <w:spacing w:val="-3"/>
        </w:rPr>
        <w:t> </w:t>
      </w:r>
      <w:r>
        <w:rPr/>
        <w:t>outreach</w:t>
      </w:r>
      <w:r>
        <w:rPr>
          <w:spacing w:val="-3"/>
        </w:rPr>
        <w:t> </w:t>
      </w:r>
      <w:r>
        <w:rPr/>
        <w:t>to</w:t>
      </w:r>
      <w:r>
        <w:rPr>
          <w:spacing w:val="-3"/>
        </w:rPr>
        <w:t> </w:t>
      </w:r>
      <w:r>
        <w:rPr/>
        <w:t>persons</w:t>
      </w:r>
      <w:r>
        <w:rPr>
          <w:spacing w:val="-2"/>
        </w:rPr>
        <w:t> </w:t>
      </w:r>
      <w:r>
        <w:rPr/>
        <w:t>potentially</w:t>
      </w:r>
      <w:r>
        <w:rPr>
          <w:spacing w:val="-2"/>
        </w:rPr>
        <w:t> </w:t>
      </w:r>
      <w:r>
        <w:rPr/>
        <w:t>impacted</w:t>
      </w:r>
      <w:r>
        <w:rPr>
          <w:spacing w:val="-3"/>
        </w:rPr>
        <w:t> </w:t>
      </w:r>
      <w:r>
        <w:rPr/>
        <w:t>by</w:t>
      </w:r>
      <w:r>
        <w:rPr>
          <w:spacing w:val="-5"/>
        </w:rPr>
        <w:t> </w:t>
      </w:r>
      <w:r>
        <w:rPr/>
        <w:t>the</w:t>
      </w:r>
      <w:r>
        <w:rPr>
          <w:spacing w:val="-3"/>
        </w:rPr>
        <w:t> </w:t>
      </w:r>
      <w:r>
        <w:rPr/>
        <w:t>siting</w:t>
      </w:r>
      <w:r>
        <w:rPr>
          <w:spacing w:val="-2"/>
        </w:rPr>
        <w:t> </w:t>
      </w:r>
      <w:r>
        <w:rPr/>
        <w:t>of facilities. The Title VI equity analysis must compare the equity impacts of various siting alternatives, and the analysis must occur before the selection of the preferred site.</w:t>
      </w:r>
    </w:p>
    <w:p>
      <w:pPr>
        <w:pStyle w:val="BodyText"/>
        <w:spacing w:before="7"/>
        <w:rPr>
          <w:sz w:val="19"/>
        </w:rPr>
      </w:pPr>
    </w:p>
    <w:p>
      <w:pPr>
        <w:pStyle w:val="BodyText"/>
        <w:ind w:left="840" w:right="934"/>
        <w:jc w:val="both"/>
      </w:pPr>
      <w:r>
        <w:rPr/>
        <w:t>Because</w:t>
      </w:r>
      <w:r>
        <w:rPr>
          <w:spacing w:val="-6"/>
        </w:rPr>
        <w:t> </w:t>
      </w:r>
      <w:r>
        <w:rPr/>
        <w:t>it</w:t>
      </w:r>
      <w:r>
        <w:rPr>
          <w:spacing w:val="-5"/>
        </w:rPr>
        <w:t> </w:t>
      </w:r>
      <w:r>
        <w:rPr/>
        <w:t>is</w:t>
      </w:r>
      <w:r>
        <w:rPr>
          <w:spacing w:val="-7"/>
        </w:rPr>
        <w:t> </w:t>
      </w:r>
      <w:r>
        <w:rPr/>
        <w:t>not</w:t>
      </w:r>
      <w:r>
        <w:rPr>
          <w:spacing w:val="-5"/>
        </w:rPr>
        <w:t> </w:t>
      </w:r>
      <w:r>
        <w:rPr/>
        <w:t>common</w:t>
      </w:r>
      <w:r>
        <w:rPr>
          <w:spacing w:val="-5"/>
        </w:rPr>
        <w:t> </w:t>
      </w:r>
      <w:r>
        <w:rPr/>
        <w:t>for</w:t>
      </w:r>
      <w:r>
        <w:rPr>
          <w:spacing w:val="-8"/>
        </w:rPr>
        <w:t> </w:t>
      </w:r>
      <w:r>
        <w:rPr/>
        <w:t>MaineDOT</w:t>
      </w:r>
      <w:r>
        <w:rPr>
          <w:spacing w:val="-8"/>
        </w:rPr>
        <w:t> </w:t>
      </w:r>
      <w:r>
        <w:rPr/>
        <w:t>to</w:t>
      </w:r>
      <w:r>
        <w:rPr>
          <w:spacing w:val="-8"/>
        </w:rPr>
        <w:t> </w:t>
      </w:r>
      <w:r>
        <w:rPr/>
        <w:t>undergo</w:t>
      </w:r>
      <w:r>
        <w:rPr>
          <w:spacing w:val="-6"/>
        </w:rPr>
        <w:t> </w:t>
      </w:r>
      <w:r>
        <w:rPr/>
        <w:t>construction</w:t>
      </w:r>
      <w:r>
        <w:rPr>
          <w:spacing w:val="-5"/>
        </w:rPr>
        <w:t> </w:t>
      </w:r>
      <w:r>
        <w:rPr/>
        <w:t>projects</w:t>
      </w:r>
      <w:r>
        <w:rPr>
          <w:spacing w:val="-9"/>
        </w:rPr>
        <w:t> </w:t>
      </w:r>
      <w:r>
        <w:rPr/>
        <w:t>or</w:t>
      </w:r>
      <w:r>
        <w:rPr>
          <w:spacing w:val="-6"/>
        </w:rPr>
        <w:t> </w:t>
      </w:r>
      <w:r>
        <w:rPr/>
        <w:t>facilities</w:t>
      </w:r>
      <w:r>
        <w:rPr>
          <w:spacing w:val="-7"/>
        </w:rPr>
        <w:t> </w:t>
      </w:r>
      <w:r>
        <w:rPr/>
        <w:t>other</w:t>
      </w:r>
      <w:r>
        <w:rPr>
          <w:spacing w:val="-8"/>
        </w:rPr>
        <w:t> </w:t>
      </w:r>
      <w:r>
        <w:rPr/>
        <w:t>than transit amenities, transit stations, or other facilities covered under the requirements of NEPA it will rely on the NEPA process to ensure equity for such facility development.</w:t>
      </w:r>
    </w:p>
    <w:p>
      <w:pPr>
        <w:pStyle w:val="BodyText"/>
        <w:spacing w:before="7"/>
        <w:rPr>
          <w:sz w:val="19"/>
        </w:rPr>
      </w:pPr>
    </w:p>
    <w:p>
      <w:pPr>
        <w:pStyle w:val="Heading9"/>
        <w:numPr>
          <w:ilvl w:val="0"/>
          <w:numId w:val="10"/>
        </w:numPr>
        <w:tabs>
          <w:tab w:pos="1255" w:val="left" w:leader="none"/>
        </w:tabs>
        <w:spacing w:line="240" w:lineRule="auto" w:before="0" w:after="0"/>
        <w:ind w:left="1255" w:right="0" w:hanging="415"/>
        <w:jc w:val="left"/>
      </w:pPr>
      <w:r>
        <w:rPr>
          <w:u w:val="single"/>
        </w:rPr>
        <w:t>Additional</w:t>
      </w:r>
      <w:r>
        <w:rPr>
          <w:spacing w:val="-4"/>
          <w:u w:val="single"/>
        </w:rPr>
        <w:t> </w:t>
      </w:r>
      <w:r>
        <w:rPr>
          <w:spacing w:val="-2"/>
          <w:u w:val="single"/>
        </w:rPr>
        <w:t>Information</w:t>
      </w:r>
    </w:p>
    <w:p>
      <w:pPr>
        <w:pStyle w:val="BodyText"/>
        <w:spacing w:before="10"/>
        <w:rPr>
          <w:b/>
          <w:sz w:val="15"/>
        </w:rPr>
      </w:pPr>
    </w:p>
    <w:p>
      <w:pPr>
        <w:pStyle w:val="BodyText"/>
        <w:spacing w:before="52"/>
        <w:ind w:left="840"/>
      </w:pPr>
      <w:r>
        <w:rPr/>
        <w:t>See</w:t>
      </w:r>
      <w:r>
        <w:rPr>
          <w:spacing w:val="-1"/>
        </w:rPr>
        <w:t> </w:t>
      </w:r>
      <w:r>
        <w:rPr/>
        <w:t>Chapter</w:t>
      </w:r>
      <w:r>
        <w:rPr>
          <w:spacing w:val="-3"/>
        </w:rPr>
        <w:t> </w:t>
      </w:r>
      <w:r>
        <w:rPr/>
        <w:t>V</w:t>
      </w:r>
      <w:r>
        <w:rPr>
          <w:spacing w:val="-2"/>
        </w:rPr>
        <w:t> </w:t>
      </w:r>
      <w:r>
        <w:rPr/>
        <w:t>requirements,</w:t>
      </w:r>
      <w:r>
        <w:rPr>
          <w:spacing w:val="-3"/>
        </w:rPr>
        <w:t> </w:t>
      </w:r>
      <w:r>
        <w:rPr/>
        <w:t>next</w:t>
      </w:r>
      <w:r>
        <w:rPr>
          <w:spacing w:val="-2"/>
        </w:rPr>
        <w:t> </w:t>
      </w:r>
      <w:r>
        <w:rPr>
          <w:spacing w:val="-4"/>
        </w:rPr>
        <w:t>page.</w:t>
      </w:r>
    </w:p>
    <w:p>
      <w:pPr>
        <w:spacing w:after="0"/>
        <w:sectPr>
          <w:type w:val="continuous"/>
          <w:pgSz w:w="12240" w:h="15840"/>
          <w:pgMar w:header="0" w:footer="997" w:top="980" w:bottom="1260" w:left="600" w:right="500"/>
        </w:sectPr>
      </w:pPr>
    </w:p>
    <w:p>
      <w:pPr>
        <w:pStyle w:val="Heading8"/>
        <w:spacing w:before="35"/>
        <w:ind w:left="3401" w:right="3500"/>
        <w:rPr>
          <w:u w:val="none"/>
        </w:rPr>
      </w:pPr>
      <w:bookmarkStart w:name="CHAPTER V REQUIREMENTS" w:id="30"/>
      <w:bookmarkEnd w:id="30"/>
      <w:r>
        <w:rPr>
          <w:b w:val="0"/>
          <w:u w:val="none"/>
        </w:rPr>
      </w:r>
      <w:bookmarkStart w:name="_bookmark13" w:id="31"/>
      <w:bookmarkEnd w:id="31"/>
      <w:r>
        <w:rPr>
          <w:b w:val="0"/>
          <w:u w:val="none"/>
        </w:rPr>
      </w:r>
      <w:r>
        <w:rPr>
          <w:u w:val="single"/>
        </w:rPr>
        <w:t>CHAPTER</w:t>
      </w:r>
      <w:r>
        <w:rPr>
          <w:spacing w:val="-1"/>
          <w:u w:val="single"/>
        </w:rPr>
        <w:t> </w:t>
      </w:r>
      <w:r>
        <w:rPr>
          <w:u w:val="single"/>
        </w:rPr>
        <w:t>V </w:t>
      </w:r>
      <w:r>
        <w:rPr>
          <w:spacing w:val="-2"/>
          <w:u w:val="single"/>
        </w:rPr>
        <w:t>REQUIREMENTS</w:t>
      </w:r>
    </w:p>
    <w:p>
      <w:pPr>
        <w:pStyle w:val="BodyText"/>
        <w:spacing w:before="9"/>
        <w:rPr>
          <w:b/>
          <w:sz w:val="19"/>
        </w:rPr>
      </w:pPr>
    </w:p>
    <w:p>
      <w:pPr>
        <w:pStyle w:val="BodyText"/>
        <w:spacing w:before="52"/>
        <w:ind w:left="839" w:right="935"/>
      </w:pPr>
      <w:r>
        <w:rPr/>
        <w:t>As</w:t>
      </w:r>
      <w:r>
        <w:rPr>
          <w:spacing w:val="-3"/>
        </w:rPr>
        <w:t> </w:t>
      </w:r>
      <w:r>
        <w:rPr/>
        <w:t>a</w:t>
      </w:r>
      <w:r>
        <w:rPr>
          <w:spacing w:val="-2"/>
        </w:rPr>
        <w:t> </w:t>
      </w:r>
      <w:r>
        <w:rPr/>
        <w:t>state</w:t>
      </w:r>
      <w:r>
        <w:rPr>
          <w:spacing w:val="-4"/>
        </w:rPr>
        <w:t> </w:t>
      </w:r>
      <w:r>
        <w:rPr/>
        <w:t>agency,</w:t>
      </w:r>
      <w:r>
        <w:rPr>
          <w:spacing w:val="-5"/>
        </w:rPr>
        <w:t> </w:t>
      </w:r>
      <w:r>
        <w:rPr/>
        <w:t>MaineDOT</w:t>
      </w:r>
      <w:r>
        <w:rPr>
          <w:spacing w:val="-2"/>
        </w:rPr>
        <w:t> </w:t>
      </w:r>
      <w:r>
        <w:rPr/>
        <w:t>is</w:t>
      </w:r>
      <w:r>
        <w:rPr>
          <w:spacing w:val="-3"/>
        </w:rPr>
        <w:t> </w:t>
      </w:r>
      <w:r>
        <w:rPr/>
        <w:t>required</w:t>
      </w:r>
      <w:r>
        <w:rPr>
          <w:spacing w:val="-4"/>
        </w:rPr>
        <w:t> </w:t>
      </w:r>
      <w:r>
        <w:rPr/>
        <w:t>to</w:t>
      </w:r>
      <w:r>
        <w:rPr>
          <w:spacing w:val="-2"/>
        </w:rPr>
        <w:t> </w:t>
      </w:r>
      <w:r>
        <w:rPr/>
        <w:t>meet</w:t>
      </w:r>
      <w:r>
        <w:rPr>
          <w:spacing w:val="-4"/>
        </w:rPr>
        <w:t> </w:t>
      </w:r>
      <w:r>
        <w:rPr/>
        <w:t>the</w:t>
      </w:r>
      <w:r>
        <w:rPr>
          <w:spacing w:val="-4"/>
        </w:rPr>
        <w:t> </w:t>
      </w:r>
      <w:r>
        <w:rPr/>
        <w:t>requirements</w:t>
      </w:r>
      <w:r>
        <w:rPr>
          <w:spacing w:val="-3"/>
        </w:rPr>
        <w:t> </w:t>
      </w:r>
      <w:r>
        <w:rPr/>
        <w:t>of</w:t>
      </w:r>
      <w:r>
        <w:rPr>
          <w:spacing w:val="-1"/>
        </w:rPr>
        <w:t> </w:t>
      </w:r>
      <w:r>
        <w:rPr/>
        <w:t>both</w:t>
      </w:r>
      <w:r>
        <w:rPr>
          <w:spacing w:val="-1"/>
        </w:rPr>
        <w:t> </w:t>
      </w:r>
      <w:r>
        <w:rPr/>
        <w:t>Chapter</w:t>
      </w:r>
      <w:r>
        <w:rPr>
          <w:spacing w:val="-5"/>
        </w:rPr>
        <w:t> </w:t>
      </w:r>
      <w:r>
        <w:rPr/>
        <w:t>III</w:t>
      </w:r>
      <w:r>
        <w:rPr>
          <w:spacing w:val="-3"/>
        </w:rPr>
        <w:t> </w:t>
      </w:r>
      <w:r>
        <w:rPr/>
        <w:t>and </w:t>
      </w:r>
      <w:bookmarkStart w:name="A. General Requirements, Section 4 of Ch" w:id="32"/>
      <w:bookmarkEnd w:id="32"/>
      <w:r>
        <w:rPr/>
      </w:r>
      <w:bookmarkStart w:name="_bookmark14" w:id="33"/>
      <w:bookmarkEnd w:id="33"/>
      <w:r>
        <w:rPr/>
        <w:t>C</w:t>
      </w:r>
      <w:r>
        <w:rPr/>
        <w:t>hapter V of FTA Circular 4702.1B.</w:t>
      </w:r>
    </w:p>
    <w:p>
      <w:pPr>
        <w:pStyle w:val="BodyText"/>
        <w:spacing w:before="7"/>
        <w:rPr>
          <w:sz w:val="19"/>
        </w:rPr>
      </w:pPr>
    </w:p>
    <w:p>
      <w:pPr>
        <w:pStyle w:val="Heading9"/>
        <w:numPr>
          <w:ilvl w:val="0"/>
          <w:numId w:val="25"/>
        </w:numPr>
        <w:tabs>
          <w:tab w:pos="1198" w:val="left" w:leader="none"/>
        </w:tabs>
        <w:spacing w:line="240" w:lineRule="auto" w:before="1" w:after="0"/>
        <w:ind w:left="1198" w:right="0" w:hanging="358"/>
        <w:jc w:val="left"/>
      </w:pPr>
      <w:r>
        <w:rPr>
          <w:u w:val="single"/>
        </w:rPr>
        <w:t>General</w:t>
      </w:r>
      <w:r>
        <w:rPr>
          <w:spacing w:val="-1"/>
          <w:u w:val="single"/>
        </w:rPr>
        <w:t> </w:t>
      </w:r>
      <w:r>
        <w:rPr>
          <w:u w:val="single"/>
        </w:rPr>
        <w:t>Requirements,</w:t>
      </w:r>
      <w:r>
        <w:rPr>
          <w:spacing w:val="-3"/>
          <w:u w:val="single"/>
        </w:rPr>
        <w:t> </w:t>
      </w:r>
      <w:r>
        <w:rPr>
          <w:u w:val="single"/>
        </w:rPr>
        <w:t>Section</w:t>
      </w:r>
      <w:r>
        <w:rPr>
          <w:spacing w:val="-4"/>
          <w:u w:val="single"/>
        </w:rPr>
        <w:t> </w:t>
      </w:r>
      <w:r>
        <w:rPr>
          <w:u w:val="single"/>
        </w:rPr>
        <w:t>4</w:t>
      </w:r>
      <w:r>
        <w:rPr>
          <w:spacing w:val="-1"/>
          <w:u w:val="single"/>
        </w:rPr>
        <w:t> </w:t>
      </w:r>
      <w:r>
        <w:rPr>
          <w:u w:val="single"/>
        </w:rPr>
        <w:t>of</w:t>
      </w:r>
      <w:r>
        <w:rPr>
          <w:spacing w:val="-2"/>
          <w:u w:val="single"/>
        </w:rPr>
        <w:t> </w:t>
      </w:r>
      <w:r>
        <w:rPr>
          <w:u w:val="single"/>
        </w:rPr>
        <w:t>Chapter </w:t>
      </w:r>
      <w:r>
        <w:rPr>
          <w:spacing w:val="-4"/>
          <w:u w:val="single"/>
        </w:rPr>
        <w:t>III.</w:t>
      </w:r>
    </w:p>
    <w:p>
      <w:pPr>
        <w:pStyle w:val="BodyText"/>
        <w:spacing w:before="8"/>
        <w:rPr>
          <w:b/>
        </w:rPr>
      </w:pPr>
    </w:p>
    <w:p>
      <w:pPr>
        <w:pStyle w:val="BodyText"/>
        <w:spacing w:before="51"/>
        <w:ind w:left="840"/>
      </w:pPr>
      <w:bookmarkStart w:name="B. Requirements for Transit Providers, C" w:id="34"/>
      <w:bookmarkEnd w:id="34"/>
      <w:r>
        <w:rPr/>
      </w:r>
      <w:bookmarkStart w:name="_bookmark15" w:id="35"/>
      <w:bookmarkEnd w:id="35"/>
      <w:r>
        <w:rPr/>
      </w:r>
      <w:r>
        <w:rPr/>
        <w:t>See</w:t>
      </w:r>
      <w:r>
        <w:rPr>
          <w:spacing w:val="-4"/>
        </w:rPr>
        <w:t> </w:t>
      </w:r>
      <w:r>
        <w:rPr/>
        <w:t>Federal</w:t>
      </w:r>
      <w:r>
        <w:rPr>
          <w:spacing w:val="-5"/>
        </w:rPr>
        <w:t> </w:t>
      </w:r>
      <w:r>
        <w:rPr/>
        <w:t>Transit</w:t>
      </w:r>
      <w:r>
        <w:rPr>
          <w:spacing w:val="-1"/>
        </w:rPr>
        <w:t> </w:t>
      </w:r>
      <w:r>
        <w:rPr/>
        <w:t>Administration</w:t>
      </w:r>
      <w:r>
        <w:rPr>
          <w:spacing w:val="-4"/>
        </w:rPr>
        <w:t> </w:t>
      </w:r>
      <w:r>
        <w:rPr/>
        <w:t>Title</w:t>
      </w:r>
      <w:r>
        <w:rPr>
          <w:spacing w:val="-4"/>
        </w:rPr>
        <w:t> </w:t>
      </w:r>
      <w:r>
        <w:rPr/>
        <w:t>VI/Environmental</w:t>
      </w:r>
      <w:r>
        <w:rPr>
          <w:spacing w:val="-5"/>
        </w:rPr>
        <w:t> </w:t>
      </w:r>
      <w:r>
        <w:rPr/>
        <w:t>Program,</w:t>
      </w:r>
      <w:r>
        <w:rPr>
          <w:spacing w:val="-5"/>
        </w:rPr>
        <w:t> </w:t>
      </w:r>
      <w:r>
        <w:rPr/>
        <w:t>Chapter</w:t>
      </w:r>
      <w:r>
        <w:rPr>
          <w:spacing w:val="-1"/>
        </w:rPr>
        <w:t> </w:t>
      </w:r>
      <w:r>
        <w:rPr>
          <w:spacing w:val="-4"/>
        </w:rPr>
        <w:t>III.</w:t>
      </w:r>
    </w:p>
    <w:p>
      <w:pPr>
        <w:pStyle w:val="BodyText"/>
        <w:spacing w:before="8"/>
        <w:rPr>
          <w:sz w:val="19"/>
        </w:rPr>
      </w:pPr>
    </w:p>
    <w:p>
      <w:pPr>
        <w:pStyle w:val="Heading9"/>
        <w:numPr>
          <w:ilvl w:val="0"/>
          <w:numId w:val="25"/>
        </w:numPr>
        <w:tabs>
          <w:tab w:pos="1198" w:val="left" w:leader="none"/>
        </w:tabs>
        <w:spacing w:line="240" w:lineRule="auto" w:before="0" w:after="0"/>
        <w:ind w:left="1198" w:right="0" w:hanging="358"/>
        <w:jc w:val="left"/>
      </w:pPr>
      <w:r>
        <w:rPr>
          <w:u w:val="single"/>
        </w:rPr>
        <w:t>Requirements</w:t>
      </w:r>
      <w:r>
        <w:rPr>
          <w:spacing w:val="-4"/>
          <w:u w:val="single"/>
        </w:rPr>
        <w:t> </w:t>
      </w:r>
      <w:r>
        <w:rPr>
          <w:u w:val="single"/>
        </w:rPr>
        <w:t>for</w:t>
      </w:r>
      <w:r>
        <w:rPr>
          <w:spacing w:val="-4"/>
          <w:u w:val="single"/>
        </w:rPr>
        <w:t> </w:t>
      </w:r>
      <w:r>
        <w:rPr>
          <w:u w:val="single"/>
        </w:rPr>
        <w:t>Transit</w:t>
      </w:r>
      <w:r>
        <w:rPr>
          <w:spacing w:val="-2"/>
          <w:u w:val="single"/>
        </w:rPr>
        <w:t> </w:t>
      </w:r>
      <w:r>
        <w:rPr>
          <w:u w:val="single"/>
        </w:rPr>
        <w:t>Providers,</w:t>
      </w:r>
      <w:r>
        <w:rPr>
          <w:spacing w:val="-4"/>
          <w:u w:val="single"/>
        </w:rPr>
        <w:t> </w:t>
      </w:r>
      <w:r>
        <w:rPr>
          <w:u w:val="single"/>
        </w:rPr>
        <w:t>Chapter</w:t>
      </w:r>
      <w:r>
        <w:rPr>
          <w:spacing w:val="-3"/>
          <w:u w:val="single"/>
        </w:rPr>
        <w:t> </w:t>
      </w:r>
      <w:r>
        <w:rPr>
          <w:spacing w:val="-5"/>
          <w:u w:val="single"/>
        </w:rPr>
        <w:t>IV.</w:t>
      </w:r>
    </w:p>
    <w:p>
      <w:pPr>
        <w:pStyle w:val="BodyText"/>
        <w:spacing w:before="11"/>
        <w:rPr>
          <w:b/>
        </w:rPr>
      </w:pPr>
    </w:p>
    <w:p>
      <w:pPr>
        <w:pStyle w:val="BodyText"/>
        <w:spacing w:before="51"/>
        <w:ind w:left="840"/>
      </w:pPr>
      <w:bookmarkStart w:name="C. Demographic Profile of Minority Popul" w:id="36"/>
      <w:bookmarkEnd w:id="36"/>
      <w:r>
        <w:rPr/>
      </w:r>
      <w:bookmarkStart w:name="_bookmark16" w:id="37"/>
      <w:bookmarkEnd w:id="37"/>
      <w:r>
        <w:rPr/>
      </w:r>
      <w:r>
        <w:rPr/>
        <w:t>Not</w:t>
      </w:r>
      <w:r>
        <w:rPr>
          <w:spacing w:val="-3"/>
        </w:rPr>
        <w:t> </w:t>
      </w:r>
      <w:r>
        <w:rPr/>
        <w:t>applicable.</w:t>
      </w:r>
      <w:r>
        <w:rPr>
          <w:spacing w:val="-4"/>
        </w:rPr>
        <w:t> </w:t>
      </w:r>
      <w:r>
        <w:rPr/>
        <w:t>The</w:t>
      </w:r>
      <w:r>
        <w:rPr>
          <w:spacing w:val="-2"/>
        </w:rPr>
        <w:t> </w:t>
      </w:r>
      <w:r>
        <w:rPr/>
        <w:t>State</w:t>
      </w:r>
      <w:r>
        <w:rPr>
          <w:spacing w:val="-3"/>
        </w:rPr>
        <w:t> </w:t>
      </w:r>
      <w:r>
        <w:rPr/>
        <w:t>of</w:t>
      </w:r>
      <w:r>
        <w:rPr>
          <w:spacing w:val="-2"/>
        </w:rPr>
        <w:t> </w:t>
      </w:r>
      <w:r>
        <w:rPr/>
        <w:t>Maine is</w:t>
      </w:r>
      <w:r>
        <w:rPr>
          <w:spacing w:val="-3"/>
        </w:rPr>
        <w:t> </w:t>
      </w:r>
      <w:r>
        <w:rPr/>
        <w:t>not a</w:t>
      </w:r>
      <w:r>
        <w:rPr>
          <w:spacing w:val="-3"/>
        </w:rPr>
        <w:t> </w:t>
      </w:r>
      <w:r>
        <w:rPr/>
        <w:t>provider of fixed</w:t>
      </w:r>
      <w:r>
        <w:rPr>
          <w:spacing w:val="1"/>
        </w:rPr>
        <w:t> </w:t>
      </w:r>
      <w:r>
        <w:rPr/>
        <w:t>route</w:t>
      </w:r>
      <w:r>
        <w:rPr>
          <w:spacing w:val="-2"/>
        </w:rPr>
        <w:t> </w:t>
      </w:r>
      <w:r>
        <w:rPr/>
        <w:t>transportation</w:t>
      </w:r>
      <w:r>
        <w:rPr>
          <w:spacing w:val="1"/>
        </w:rPr>
        <w:t> </w:t>
      </w:r>
      <w:r>
        <w:rPr>
          <w:spacing w:val="-2"/>
        </w:rPr>
        <w:t>services.</w:t>
      </w:r>
    </w:p>
    <w:p>
      <w:pPr>
        <w:pStyle w:val="BodyText"/>
        <w:spacing w:before="8"/>
        <w:rPr>
          <w:sz w:val="19"/>
        </w:rPr>
      </w:pPr>
    </w:p>
    <w:p>
      <w:pPr>
        <w:pStyle w:val="Heading9"/>
        <w:numPr>
          <w:ilvl w:val="0"/>
          <w:numId w:val="25"/>
        </w:numPr>
        <w:tabs>
          <w:tab w:pos="1198" w:val="left" w:leader="none"/>
        </w:tabs>
        <w:spacing w:line="240" w:lineRule="auto" w:before="0" w:after="0"/>
        <w:ind w:left="1198" w:right="0" w:hanging="358"/>
        <w:jc w:val="left"/>
      </w:pPr>
      <w:r>
        <w:rPr>
          <w:u w:val="single"/>
        </w:rPr>
        <w:t>Demographic</w:t>
      </w:r>
      <w:r>
        <w:rPr>
          <w:spacing w:val="-1"/>
          <w:u w:val="single"/>
        </w:rPr>
        <w:t> </w:t>
      </w:r>
      <w:r>
        <w:rPr>
          <w:u w:val="single"/>
        </w:rPr>
        <w:t>Profile</w:t>
      </w:r>
      <w:r>
        <w:rPr>
          <w:spacing w:val="-4"/>
          <w:u w:val="single"/>
        </w:rPr>
        <w:t> </w:t>
      </w:r>
      <w:r>
        <w:rPr>
          <w:u w:val="single"/>
        </w:rPr>
        <w:t>of</w:t>
      </w:r>
      <w:r>
        <w:rPr>
          <w:spacing w:val="-4"/>
          <w:u w:val="single"/>
        </w:rPr>
        <w:t> </w:t>
      </w:r>
      <w:r>
        <w:rPr>
          <w:u w:val="single"/>
        </w:rPr>
        <w:t>Minority</w:t>
      </w:r>
      <w:r>
        <w:rPr>
          <w:spacing w:val="-1"/>
          <w:u w:val="single"/>
        </w:rPr>
        <w:t> </w:t>
      </w:r>
      <w:r>
        <w:rPr>
          <w:spacing w:val="-2"/>
          <w:u w:val="single"/>
        </w:rPr>
        <w:t>Populations</w:t>
      </w:r>
    </w:p>
    <w:p>
      <w:pPr>
        <w:pStyle w:val="BodyText"/>
        <w:spacing w:before="8"/>
        <w:rPr>
          <w:b/>
        </w:rPr>
      </w:pPr>
    </w:p>
    <w:p>
      <w:pPr>
        <w:spacing w:before="52"/>
        <w:ind w:left="840" w:right="0" w:firstLine="0"/>
        <w:jc w:val="both"/>
        <w:rPr>
          <w:b/>
          <w:sz w:val="24"/>
        </w:rPr>
      </w:pPr>
      <w:r>
        <w:rPr>
          <w:b/>
          <w:sz w:val="24"/>
        </w:rPr>
        <w:t>Maine’s</w:t>
      </w:r>
      <w:r>
        <w:rPr>
          <w:b/>
          <w:spacing w:val="-1"/>
          <w:sz w:val="24"/>
        </w:rPr>
        <w:t> </w:t>
      </w:r>
      <w:r>
        <w:rPr>
          <w:b/>
          <w:sz w:val="24"/>
        </w:rPr>
        <w:t>History</w:t>
      </w:r>
      <w:r>
        <w:rPr>
          <w:b/>
          <w:spacing w:val="-1"/>
          <w:sz w:val="24"/>
        </w:rPr>
        <w:t> </w:t>
      </w:r>
      <w:r>
        <w:rPr>
          <w:b/>
          <w:sz w:val="24"/>
        </w:rPr>
        <w:t>of</w:t>
      </w:r>
      <w:r>
        <w:rPr>
          <w:b/>
          <w:spacing w:val="-1"/>
          <w:sz w:val="24"/>
        </w:rPr>
        <w:t> </w:t>
      </w:r>
      <w:r>
        <w:rPr>
          <w:b/>
          <w:spacing w:val="-2"/>
          <w:sz w:val="24"/>
        </w:rPr>
        <w:t>Immigration</w:t>
      </w:r>
    </w:p>
    <w:p>
      <w:pPr>
        <w:pStyle w:val="BodyText"/>
        <w:spacing w:before="11"/>
        <w:rPr>
          <w:b/>
          <w:sz w:val="23"/>
        </w:rPr>
      </w:pPr>
    </w:p>
    <w:p>
      <w:pPr>
        <w:pStyle w:val="BodyText"/>
        <w:spacing w:before="1"/>
        <w:ind w:left="839" w:right="933"/>
        <w:jc w:val="both"/>
      </w:pPr>
      <w:r>
        <w:rPr/>
        <w:t>Maine</w:t>
      </w:r>
      <w:r>
        <w:rPr>
          <w:spacing w:val="-1"/>
        </w:rPr>
        <w:t> </w:t>
      </w:r>
      <w:r>
        <w:rPr/>
        <w:t>has a</w:t>
      </w:r>
      <w:r>
        <w:rPr>
          <w:spacing w:val="-1"/>
        </w:rPr>
        <w:t> </w:t>
      </w:r>
      <w:r>
        <w:rPr/>
        <w:t>robust history of immigration.</w:t>
      </w:r>
      <w:r>
        <w:rPr>
          <w:spacing w:val="40"/>
        </w:rPr>
        <w:t> </w:t>
      </w:r>
      <w:r>
        <w:rPr/>
        <w:t>While</w:t>
      </w:r>
      <w:r>
        <w:rPr>
          <w:spacing w:val="-1"/>
        </w:rPr>
        <w:t> </w:t>
      </w:r>
      <w:r>
        <w:rPr/>
        <w:t>the</w:t>
      </w:r>
      <w:r>
        <w:rPr>
          <w:spacing w:val="-1"/>
        </w:rPr>
        <w:t> </w:t>
      </w:r>
      <w:r>
        <w:rPr/>
        <w:t>original inhabitants</w:t>
      </w:r>
      <w:r>
        <w:rPr>
          <w:spacing w:val="-2"/>
        </w:rPr>
        <w:t> </w:t>
      </w:r>
      <w:r>
        <w:rPr/>
        <w:t>of Maine</w:t>
      </w:r>
      <w:r>
        <w:rPr>
          <w:spacing w:val="-1"/>
        </w:rPr>
        <w:t> </w:t>
      </w:r>
      <w:r>
        <w:rPr/>
        <w:t>were</w:t>
      </w:r>
      <w:r>
        <w:rPr>
          <w:spacing w:val="-1"/>
        </w:rPr>
        <w:t> </w:t>
      </w:r>
      <w:r>
        <w:rPr/>
        <w:t>Native Americans, English and Scotch-Irish Protestants were the first Europeans to arrive. Immigrants from</w:t>
      </w:r>
      <w:r>
        <w:rPr>
          <w:spacing w:val="-1"/>
        </w:rPr>
        <w:t> </w:t>
      </w:r>
      <w:r>
        <w:rPr/>
        <w:t>those locations</w:t>
      </w:r>
      <w:r>
        <w:rPr>
          <w:spacing w:val="-2"/>
        </w:rPr>
        <w:t> </w:t>
      </w:r>
      <w:r>
        <w:rPr/>
        <w:t>- and their</w:t>
      </w:r>
      <w:r>
        <w:rPr>
          <w:spacing w:val="-1"/>
        </w:rPr>
        <w:t> </w:t>
      </w:r>
      <w:r>
        <w:rPr/>
        <w:t>descendants</w:t>
      </w:r>
      <w:r>
        <w:rPr>
          <w:spacing w:val="-2"/>
        </w:rPr>
        <w:t> </w:t>
      </w:r>
      <w:r>
        <w:rPr/>
        <w:t>- essentially</w:t>
      </w:r>
      <w:r>
        <w:rPr>
          <w:spacing w:val="-2"/>
        </w:rPr>
        <w:t> </w:t>
      </w:r>
      <w:r>
        <w:rPr/>
        <w:t>formed</w:t>
      </w:r>
      <w:r>
        <w:rPr>
          <w:spacing w:val="-1"/>
        </w:rPr>
        <w:t> </w:t>
      </w:r>
      <w:r>
        <w:rPr/>
        <w:t>the state</w:t>
      </w:r>
      <w:r>
        <w:rPr>
          <w:spacing w:val="-1"/>
        </w:rPr>
        <w:t> </w:t>
      </w:r>
      <w:r>
        <w:rPr/>
        <w:t>as we</w:t>
      </w:r>
      <w:r>
        <w:rPr>
          <w:spacing w:val="-1"/>
        </w:rPr>
        <w:t> </w:t>
      </w:r>
      <w:r>
        <w:rPr/>
        <w:t>know it today, accounting for the majority of the total population.</w:t>
      </w:r>
    </w:p>
    <w:p>
      <w:pPr>
        <w:pStyle w:val="BodyText"/>
        <w:spacing w:before="11"/>
        <w:rPr>
          <w:sz w:val="23"/>
        </w:rPr>
      </w:pPr>
    </w:p>
    <w:p>
      <w:pPr>
        <w:pStyle w:val="BodyText"/>
        <w:ind w:left="839" w:right="935"/>
        <w:jc w:val="both"/>
      </w:pPr>
      <w:r>
        <w:rPr/>
        <w:t>They were, however, not the only early migrants. The British drove French inhabitants out of Nova Scotia, which is to the east, in 1763, and many of them went to what is now Maine's northern border. Cajuns from Louisiana also began migrating northward, with many settling in Maine, notably the St. John Valley, where other French speakers from Canada had landed.</w:t>
      </w:r>
    </w:p>
    <w:p>
      <w:pPr>
        <w:pStyle w:val="BodyText"/>
        <w:spacing w:before="1"/>
      </w:pPr>
    </w:p>
    <w:p>
      <w:pPr>
        <w:pStyle w:val="BodyText"/>
        <w:spacing w:before="1"/>
        <w:ind w:left="839" w:right="934"/>
        <w:jc w:val="both"/>
      </w:pPr>
      <w:r>
        <w:rPr/>
        <w:t>Throughout the 18th century, Irish and French immigrants continued to settle in Maine. However, Swedes began to arrive in the 1870s, establishing a community in Aroostook County.</w:t>
      </w:r>
    </w:p>
    <w:p>
      <w:pPr>
        <w:pStyle w:val="BodyText"/>
        <w:spacing w:before="11"/>
        <w:rPr>
          <w:sz w:val="23"/>
        </w:rPr>
      </w:pPr>
    </w:p>
    <w:p>
      <w:pPr>
        <w:pStyle w:val="BodyText"/>
        <w:ind w:left="840" w:right="931"/>
        <w:jc w:val="both"/>
      </w:pPr>
      <w:r>
        <w:rPr/>
        <w:t>Migrants of many nationalities eventually arrived in Maine over time. In addition to African Americans, Hispanics, Pacific Islanders, and Asians began to settle in the state. However, state reservations for Passamaquoddy and Penobscot peoples remained in the area, housing the state's few thousand remaining Native Americans.</w:t>
      </w:r>
    </w:p>
    <w:p>
      <w:pPr>
        <w:pStyle w:val="BodyText"/>
        <w:spacing w:before="11"/>
        <w:rPr>
          <w:sz w:val="23"/>
        </w:rPr>
      </w:pPr>
    </w:p>
    <w:p>
      <w:pPr>
        <w:pStyle w:val="Heading9"/>
        <w:spacing w:before="1"/>
        <w:ind w:left="839"/>
      </w:pPr>
      <w:r>
        <w:rPr>
          <w:spacing w:val="-2"/>
        </w:rPr>
        <w:t>Minorities</w:t>
      </w:r>
    </w:p>
    <w:p>
      <w:pPr>
        <w:pStyle w:val="BodyText"/>
        <w:spacing w:before="11"/>
        <w:rPr>
          <w:b/>
          <w:sz w:val="23"/>
        </w:rPr>
      </w:pPr>
    </w:p>
    <w:p>
      <w:pPr>
        <w:pStyle w:val="BodyText"/>
        <w:spacing w:before="1"/>
        <w:ind w:left="839" w:right="933"/>
        <w:jc w:val="both"/>
      </w:pPr>
      <w:r>
        <w:rPr/>
        <w:t>Based on the 2021 United States Bureau of the Census, American Community Survey 5-year Estimates (most recent data available), Maine has a small but growing minority population that is geographically spread across the state with concentrations in the urbanized areas served by direct recipient transit systems.</w:t>
      </w:r>
      <w:r>
        <w:rPr>
          <w:spacing w:val="40"/>
        </w:rPr>
        <w:t> </w:t>
      </w:r>
      <w:r>
        <w:rPr/>
        <w:t>In fact, 14 of Maine’s 16 counties have minority populations of greater than 5%, and remaining counties have seen increases in their minority populations, according</w:t>
      </w:r>
      <w:r>
        <w:rPr>
          <w:spacing w:val="-14"/>
        </w:rPr>
        <w:t> </w:t>
      </w:r>
      <w:r>
        <w:rPr/>
        <w:t>to</w:t>
      </w:r>
      <w:r>
        <w:rPr>
          <w:spacing w:val="-13"/>
        </w:rPr>
        <w:t> </w:t>
      </w:r>
      <w:r>
        <w:rPr/>
        <w:t>the</w:t>
      </w:r>
      <w:r>
        <w:rPr>
          <w:spacing w:val="-11"/>
        </w:rPr>
        <w:t> </w:t>
      </w:r>
      <w:r>
        <w:rPr/>
        <w:t>most</w:t>
      </w:r>
      <w:r>
        <w:rPr>
          <w:spacing w:val="-10"/>
        </w:rPr>
        <w:t> </w:t>
      </w:r>
      <w:r>
        <w:rPr/>
        <w:t>recent</w:t>
      </w:r>
      <w:r>
        <w:rPr>
          <w:spacing w:val="-10"/>
        </w:rPr>
        <w:t> </w:t>
      </w:r>
      <w:r>
        <w:rPr/>
        <w:t>available</w:t>
      </w:r>
      <w:r>
        <w:rPr>
          <w:spacing w:val="-13"/>
        </w:rPr>
        <w:t> </w:t>
      </w:r>
      <w:r>
        <w:rPr/>
        <w:t>data.</w:t>
      </w:r>
      <w:r>
        <w:rPr>
          <w:spacing w:val="29"/>
        </w:rPr>
        <w:t> </w:t>
      </w:r>
      <w:r>
        <w:rPr/>
        <w:t>The</w:t>
      </w:r>
      <w:r>
        <w:rPr>
          <w:spacing w:val="-13"/>
        </w:rPr>
        <w:t> </w:t>
      </w:r>
      <w:r>
        <w:rPr/>
        <w:t>summary</w:t>
      </w:r>
      <w:r>
        <w:rPr>
          <w:spacing w:val="-12"/>
        </w:rPr>
        <w:t> </w:t>
      </w:r>
      <w:r>
        <w:rPr/>
        <w:t>table</w:t>
      </w:r>
      <w:r>
        <w:rPr>
          <w:spacing w:val="-13"/>
        </w:rPr>
        <w:t> </w:t>
      </w:r>
      <w:r>
        <w:rPr/>
        <w:t>below</w:t>
      </w:r>
      <w:r>
        <w:rPr>
          <w:spacing w:val="-12"/>
        </w:rPr>
        <w:t> </w:t>
      </w:r>
      <w:r>
        <w:rPr/>
        <w:t>shows</w:t>
      </w:r>
      <w:r>
        <w:rPr>
          <w:spacing w:val="-14"/>
        </w:rPr>
        <w:t> </w:t>
      </w:r>
      <w:r>
        <w:rPr/>
        <w:t>white</w:t>
      </w:r>
      <w:r>
        <w:rPr>
          <w:spacing w:val="-11"/>
        </w:rPr>
        <w:t> </w:t>
      </w:r>
      <w:r>
        <w:rPr/>
        <w:t>and</w:t>
      </w:r>
      <w:r>
        <w:rPr>
          <w:spacing w:val="-12"/>
        </w:rPr>
        <w:t> </w:t>
      </w:r>
      <w:r>
        <w:rPr/>
        <w:t>minority populations for each of the counties. White is defined as one race, white alone, not Hispanic or Latino.</w:t>
      </w:r>
      <w:r>
        <w:rPr>
          <w:spacing w:val="44"/>
        </w:rPr>
        <w:t>  </w:t>
      </w:r>
      <w:r>
        <w:rPr/>
        <w:t>Minority</w:t>
      </w:r>
      <w:r>
        <w:rPr>
          <w:spacing w:val="46"/>
        </w:rPr>
        <w:t> </w:t>
      </w:r>
      <w:r>
        <w:rPr/>
        <w:t>is</w:t>
      </w:r>
      <w:r>
        <w:rPr>
          <w:spacing w:val="45"/>
        </w:rPr>
        <w:t> </w:t>
      </w:r>
      <w:r>
        <w:rPr/>
        <w:t>defined</w:t>
      </w:r>
      <w:r>
        <w:rPr>
          <w:spacing w:val="46"/>
        </w:rPr>
        <w:t> </w:t>
      </w:r>
      <w:r>
        <w:rPr/>
        <w:t>as</w:t>
      </w:r>
      <w:r>
        <w:rPr>
          <w:spacing w:val="46"/>
        </w:rPr>
        <w:t> </w:t>
      </w:r>
      <w:r>
        <w:rPr/>
        <w:t>Hispanic</w:t>
      </w:r>
      <w:r>
        <w:rPr>
          <w:spacing w:val="47"/>
        </w:rPr>
        <w:t> </w:t>
      </w:r>
      <w:r>
        <w:rPr/>
        <w:t>or</w:t>
      </w:r>
      <w:r>
        <w:rPr>
          <w:spacing w:val="44"/>
        </w:rPr>
        <w:t> </w:t>
      </w:r>
      <w:r>
        <w:rPr/>
        <w:t>Latino,</w:t>
      </w:r>
      <w:r>
        <w:rPr>
          <w:spacing w:val="47"/>
        </w:rPr>
        <w:t> </w:t>
      </w:r>
      <w:r>
        <w:rPr/>
        <w:t>Black</w:t>
      </w:r>
      <w:r>
        <w:rPr>
          <w:spacing w:val="46"/>
        </w:rPr>
        <w:t> </w:t>
      </w:r>
      <w:r>
        <w:rPr/>
        <w:t>or</w:t>
      </w:r>
      <w:r>
        <w:rPr>
          <w:spacing w:val="44"/>
        </w:rPr>
        <w:t> </w:t>
      </w:r>
      <w:r>
        <w:rPr/>
        <w:t>African</w:t>
      </w:r>
      <w:r>
        <w:rPr>
          <w:spacing w:val="48"/>
        </w:rPr>
        <w:t> </w:t>
      </w:r>
      <w:r>
        <w:rPr/>
        <w:t>American,</w:t>
      </w:r>
      <w:r>
        <w:rPr>
          <w:spacing w:val="47"/>
        </w:rPr>
        <w:t> </w:t>
      </w:r>
      <w:r>
        <w:rPr/>
        <w:t>Asian,</w:t>
      </w:r>
      <w:r>
        <w:rPr>
          <w:spacing w:val="44"/>
        </w:rPr>
        <w:t> </w:t>
      </w:r>
      <w:r>
        <w:rPr>
          <w:spacing w:val="-2"/>
        </w:rPr>
        <w:t>Native</w:t>
      </w:r>
    </w:p>
    <w:p>
      <w:pPr>
        <w:spacing w:after="0"/>
        <w:jc w:val="both"/>
        <w:sectPr>
          <w:pgSz w:w="12240" w:h="15840"/>
          <w:pgMar w:header="0" w:footer="997" w:top="960" w:bottom="1260" w:left="600" w:right="500"/>
        </w:sectPr>
      </w:pPr>
    </w:p>
    <w:p>
      <w:pPr>
        <w:pStyle w:val="BodyText"/>
        <w:spacing w:before="35"/>
        <w:ind w:left="840" w:right="933"/>
        <w:jc w:val="both"/>
      </w:pPr>
      <w:r>
        <w:rPr/>
        <w:t>Hawaiian</w:t>
      </w:r>
      <w:r>
        <w:rPr>
          <w:spacing w:val="-10"/>
        </w:rPr>
        <w:t> </w:t>
      </w:r>
      <w:r>
        <w:rPr/>
        <w:t>or</w:t>
      </w:r>
      <w:r>
        <w:rPr>
          <w:spacing w:val="-11"/>
        </w:rPr>
        <w:t> </w:t>
      </w:r>
      <w:r>
        <w:rPr/>
        <w:t>Pacific</w:t>
      </w:r>
      <w:r>
        <w:rPr>
          <w:spacing w:val="-12"/>
        </w:rPr>
        <w:t> </w:t>
      </w:r>
      <w:r>
        <w:rPr/>
        <w:t>Islander,</w:t>
      </w:r>
      <w:r>
        <w:rPr>
          <w:spacing w:val="-9"/>
        </w:rPr>
        <w:t> </w:t>
      </w:r>
      <w:r>
        <w:rPr/>
        <w:t>American</w:t>
      </w:r>
      <w:r>
        <w:rPr>
          <w:spacing w:val="-10"/>
        </w:rPr>
        <w:t> </w:t>
      </w:r>
      <w:r>
        <w:rPr/>
        <w:t>Indian</w:t>
      </w:r>
      <w:r>
        <w:rPr>
          <w:spacing w:val="-10"/>
        </w:rPr>
        <w:t> </w:t>
      </w:r>
      <w:r>
        <w:rPr/>
        <w:t>or</w:t>
      </w:r>
      <w:r>
        <w:rPr>
          <w:spacing w:val="-11"/>
        </w:rPr>
        <w:t> </w:t>
      </w:r>
      <w:r>
        <w:rPr/>
        <w:t>Alaska</w:t>
      </w:r>
      <w:r>
        <w:rPr>
          <w:spacing w:val="-9"/>
        </w:rPr>
        <w:t> </w:t>
      </w:r>
      <w:r>
        <w:rPr/>
        <w:t>Native,</w:t>
      </w:r>
      <w:r>
        <w:rPr>
          <w:spacing w:val="-11"/>
        </w:rPr>
        <w:t> </w:t>
      </w:r>
      <w:r>
        <w:rPr/>
        <w:t>Other</w:t>
      </w:r>
      <w:r>
        <w:rPr>
          <w:spacing w:val="-11"/>
        </w:rPr>
        <w:t> </w:t>
      </w:r>
      <w:r>
        <w:rPr/>
        <w:t>race,</w:t>
      </w:r>
      <w:r>
        <w:rPr>
          <w:spacing w:val="-11"/>
        </w:rPr>
        <w:t> </w:t>
      </w:r>
      <w:r>
        <w:rPr/>
        <w:t>or</w:t>
      </w:r>
      <w:r>
        <w:rPr>
          <w:spacing w:val="-8"/>
        </w:rPr>
        <w:t> </w:t>
      </w:r>
      <w:r>
        <w:rPr/>
        <w:t>Multi-racial.</w:t>
      </w:r>
      <w:r>
        <w:rPr>
          <w:spacing w:val="34"/>
        </w:rPr>
        <w:t> </w:t>
      </w:r>
      <w:r>
        <w:rPr/>
        <w:t>Maine as a whole has a minority population of 7.99%.</w:t>
      </w:r>
    </w:p>
    <w:p>
      <w:pPr>
        <w:pStyle w:val="BodyText"/>
        <w:spacing w:before="12"/>
        <w:rPr>
          <w:sz w:val="23"/>
        </w:rPr>
      </w:pPr>
    </w:p>
    <w:p>
      <w:pPr>
        <w:pStyle w:val="BodyText"/>
        <w:ind w:left="840"/>
        <w:jc w:val="both"/>
      </w:pPr>
      <w:r>
        <w:rPr/>
        <w:t>Approximately</w:t>
      </w:r>
      <w:r>
        <w:rPr>
          <w:spacing w:val="-7"/>
        </w:rPr>
        <w:t> </w:t>
      </w:r>
      <w:r>
        <w:rPr/>
        <w:t>67%</w:t>
      </w:r>
      <w:r>
        <w:rPr>
          <w:spacing w:val="-3"/>
        </w:rPr>
        <w:t> </w:t>
      </w:r>
      <w:r>
        <w:rPr/>
        <w:t>of Maine’s</w:t>
      </w:r>
      <w:r>
        <w:rPr>
          <w:spacing w:val="-2"/>
        </w:rPr>
        <w:t> </w:t>
      </w:r>
      <w:r>
        <w:rPr/>
        <w:t>minority</w:t>
      </w:r>
      <w:r>
        <w:rPr>
          <w:spacing w:val="-2"/>
        </w:rPr>
        <w:t> </w:t>
      </w:r>
      <w:r>
        <w:rPr/>
        <w:t>population lives</w:t>
      </w:r>
      <w:r>
        <w:rPr>
          <w:spacing w:val="-2"/>
        </w:rPr>
        <w:t> </w:t>
      </w:r>
      <w:r>
        <w:rPr/>
        <w:t>in</w:t>
      </w:r>
      <w:r>
        <w:rPr>
          <w:spacing w:val="-3"/>
        </w:rPr>
        <w:t> </w:t>
      </w:r>
      <w:r>
        <w:rPr/>
        <w:t>four </w:t>
      </w:r>
      <w:r>
        <w:rPr>
          <w:spacing w:val="-2"/>
        </w:rPr>
        <w:t>counties:</w:t>
      </w:r>
    </w:p>
    <w:p>
      <w:pPr>
        <w:pStyle w:val="BodyText"/>
        <w:spacing w:before="11"/>
        <w:rPr>
          <w:sz w:val="23"/>
        </w:rPr>
      </w:pPr>
    </w:p>
    <w:p>
      <w:pPr>
        <w:pStyle w:val="ListParagraph"/>
        <w:numPr>
          <w:ilvl w:val="0"/>
          <w:numId w:val="26"/>
        </w:numPr>
        <w:tabs>
          <w:tab w:pos="1560" w:val="left" w:leader="none"/>
        </w:tabs>
        <w:spacing w:line="242" w:lineRule="auto" w:before="0" w:after="0"/>
        <w:ind w:left="1560" w:right="936" w:hanging="360"/>
        <w:jc w:val="both"/>
        <w:rPr>
          <w:sz w:val="24"/>
        </w:rPr>
      </w:pPr>
      <w:r>
        <w:rPr>
          <w:sz w:val="24"/>
        </w:rPr>
        <w:t>Androscoggin County:</w:t>
      </w:r>
      <w:r>
        <w:rPr>
          <w:spacing w:val="-3"/>
          <w:sz w:val="24"/>
        </w:rPr>
        <w:t> </w:t>
      </w:r>
      <w:r>
        <w:rPr>
          <w:sz w:val="24"/>
        </w:rPr>
        <w:t>11,571</w:t>
      </w:r>
      <w:r>
        <w:rPr>
          <w:spacing w:val="-2"/>
          <w:sz w:val="24"/>
        </w:rPr>
        <w:t> </w:t>
      </w:r>
      <w:r>
        <w:rPr>
          <w:sz w:val="24"/>
        </w:rPr>
        <w:t>people, of whom</w:t>
      </w:r>
      <w:r>
        <w:rPr>
          <w:spacing w:val="-2"/>
          <w:sz w:val="24"/>
        </w:rPr>
        <w:t> </w:t>
      </w:r>
      <w:r>
        <w:rPr>
          <w:sz w:val="24"/>
        </w:rPr>
        <w:t>approximately</w:t>
      </w:r>
      <w:r>
        <w:rPr>
          <w:spacing w:val="-1"/>
          <w:sz w:val="24"/>
        </w:rPr>
        <w:t> </w:t>
      </w:r>
      <w:r>
        <w:rPr>
          <w:sz w:val="24"/>
        </w:rPr>
        <w:t>62%, live in</w:t>
      </w:r>
      <w:r>
        <w:rPr>
          <w:spacing w:val="-2"/>
          <w:sz w:val="24"/>
        </w:rPr>
        <w:t> </w:t>
      </w:r>
      <w:r>
        <w:rPr>
          <w:sz w:val="24"/>
        </w:rPr>
        <w:t>urban Auburn and Lewiston, both of which are served by CityLink bus service.</w:t>
      </w:r>
    </w:p>
    <w:p>
      <w:pPr>
        <w:pStyle w:val="ListParagraph"/>
        <w:numPr>
          <w:ilvl w:val="0"/>
          <w:numId w:val="26"/>
        </w:numPr>
        <w:tabs>
          <w:tab w:pos="1560" w:val="left" w:leader="none"/>
        </w:tabs>
        <w:spacing w:line="240" w:lineRule="auto" w:before="0" w:after="0"/>
        <w:ind w:left="1560" w:right="934" w:hanging="360"/>
        <w:jc w:val="both"/>
        <w:rPr>
          <w:sz w:val="24"/>
        </w:rPr>
      </w:pPr>
      <w:r>
        <w:rPr>
          <w:sz w:val="24"/>
        </w:rPr>
        <w:t>Cumberland County: 34,026 people, of whom approximately 66%, live in the Portland metropolitan area (Portland, Westbrook, South Portland and Scarborough), all of which are served by direct-recipient transit systems (Metro and South Portland Bus Service).</w:t>
      </w:r>
    </w:p>
    <w:p>
      <w:pPr>
        <w:pStyle w:val="ListParagraph"/>
        <w:numPr>
          <w:ilvl w:val="0"/>
          <w:numId w:val="26"/>
        </w:numPr>
        <w:tabs>
          <w:tab w:pos="1560" w:val="left" w:leader="none"/>
        </w:tabs>
        <w:spacing w:line="240" w:lineRule="auto" w:before="0" w:after="0"/>
        <w:ind w:left="1560" w:right="934" w:hanging="360"/>
        <w:jc w:val="both"/>
        <w:rPr>
          <w:sz w:val="24"/>
        </w:rPr>
      </w:pPr>
      <w:r>
        <w:rPr>
          <w:sz w:val="24"/>
        </w:rPr>
        <w:t>Penobscot</w:t>
      </w:r>
      <w:r>
        <w:rPr>
          <w:spacing w:val="-1"/>
          <w:sz w:val="24"/>
        </w:rPr>
        <w:t> </w:t>
      </w:r>
      <w:r>
        <w:rPr>
          <w:sz w:val="24"/>
        </w:rPr>
        <w:t>County:</w:t>
      </w:r>
      <w:r>
        <w:rPr>
          <w:spacing w:val="-2"/>
          <w:sz w:val="24"/>
        </w:rPr>
        <w:t> </w:t>
      </w:r>
      <w:r>
        <w:rPr>
          <w:sz w:val="24"/>
        </w:rPr>
        <w:t>11,142,</w:t>
      </w:r>
      <w:r>
        <w:rPr>
          <w:spacing w:val="-2"/>
          <w:sz w:val="24"/>
        </w:rPr>
        <w:t> </w:t>
      </w:r>
      <w:r>
        <w:rPr>
          <w:sz w:val="24"/>
        </w:rPr>
        <w:t>of</w:t>
      </w:r>
      <w:r>
        <w:rPr>
          <w:spacing w:val="-4"/>
          <w:sz w:val="24"/>
        </w:rPr>
        <w:t> </w:t>
      </w:r>
      <w:r>
        <w:rPr>
          <w:sz w:val="24"/>
        </w:rPr>
        <w:t>whom</w:t>
      </w:r>
      <w:r>
        <w:rPr>
          <w:spacing w:val="-2"/>
          <w:sz w:val="24"/>
        </w:rPr>
        <w:t> </w:t>
      </w:r>
      <w:r>
        <w:rPr>
          <w:sz w:val="24"/>
        </w:rPr>
        <w:t>approximately</w:t>
      </w:r>
      <w:r>
        <w:rPr>
          <w:spacing w:val="-3"/>
          <w:sz w:val="24"/>
        </w:rPr>
        <w:t> </w:t>
      </w:r>
      <w:r>
        <w:rPr>
          <w:sz w:val="24"/>
        </w:rPr>
        <w:t>78%,</w:t>
      </w:r>
      <w:r>
        <w:rPr>
          <w:spacing w:val="-2"/>
          <w:sz w:val="24"/>
        </w:rPr>
        <w:t> </w:t>
      </w:r>
      <w:r>
        <w:rPr>
          <w:sz w:val="24"/>
        </w:rPr>
        <w:t>live</w:t>
      </w:r>
      <w:r>
        <w:rPr>
          <w:spacing w:val="-2"/>
          <w:sz w:val="24"/>
        </w:rPr>
        <w:t> </w:t>
      </w:r>
      <w:r>
        <w:rPr>
          <w:sz w:val="24"/>
        </w:rPr>
        <w:t>in</w:t>
      </w:r>
      <w:r>
        <w:rPr>
          <w:spacing w:val="-4"/>
          <w:sz w:val="24"/>
        </w:rPr>
        <w:t> </w:t>
      </w:r>
      <w:r>
        <w:rPr>
          <w:sz w:val="24"/>
        </w:rPr>
        <w:t>the</w:t>
      </w:r>
      <w:r>
        <w:rPr>
          <w:spacing w:val="-2"/>
          <w:sz w:val="24"/>
        </w:rPr>
        <w:t> </w:t>
      </w:r>
      <w:r>
        <w:rPr>
          <w:sz w:val="24"/>
        </w:rPr>
        <w:t>Bangor</w:t>
      </w:r>
      <w:r>
        <w:rPr>
          <w:spacing w:val="-5"/>
          <w:sz w:val="24"/>
        </w:rPr>
        <w:t> </w:t>
      </w:r>
      <w:r>
        <w:rPr>
          <w:sz w:val="24"/>
        </w:rPr>
        <w:t>metropolitan area</w:t>
      </w:r>
      <w:r>
        <w:rPr>
          <w:spacing w:val="-7"/>
          <w:sz w:val="24"/>
        </w:rPr>
        <w:t> </w:t>
      </w:r>
      <w:r>
        <w:rPr>
          <w:sz w:val="24"/>
        </w:rPr>
        <w:t>(Bangor,</w:t>
      </w:r>
      <w:r>
        <w:rPr>
          <w:spacing w:val="-10"/>
          <w:sz w:val="24"/>
        </w:rPr>
        <w:t> </w:t>
      </w:r>
      <w:r>
        <w:rPr>
          <w:sz w:val="24"/>
        </w:rPr>
        <w:t>Brewer,</w:t>
      </w:r>
      <w:r>
        <w:rPr>
          <w:spacing w:val="-7"/>
          <w:sz w:val="24"/>
        </w:rPr>
        <w:t> </w:t>
      </w:r>
      <w:r>
        <w:rPr>
          <w:sz w:val="24"/>
        </w:rPr>
        <w:t>Old</w:t>
      </w:r>
      <w:r>
        <w:rPr>
          <w:spacing w:val="-6"/>
          <w:sz w:val="24"/>
        </w:rPr>
        <w:t> </w:t>
      </w:r>
      <w:r>
        <w:rPr>
          <w:sz w:val="24"/>
        </w:rPr>
        <w:t>Town,</w:t>
      </w:r>
      <w:r>
        <w:rPr>
          <w:spacing w:val="-7"/>
          <w:sz w:val="24"/>
        </w:rPr>
        <w:t> </w:t>
      </w:r>
      <w:r>
        <w:rPr>
          <w:sz w:val="24"/>
        </w:rPr>
        <w:t>Orono,</w:t>
      </w:r>
      <w:r>
        <w:rPr>
          <w:spacing w:val="-10"/>
          <w:sz w:val="24"/>
        </w:rPr>
        <w:t> </w:t>
      </w:r>
      <w:r>
        <w:rPr>
          <w:sz w:val="24"/>
        </w:rPr>
        <w:t>Veazie</w:t>
      </w:r>
      <w:r>
        <w:rPr>
          <w:spacing w:val="-9"/>
          <w:sz w:val="24"/>
        </w:rPr>
        <w:t> </w:t>
      </w:r>
      <w:r>
        <w:rPr>
          <w:sz w:val="24"/>
        </w:rPr>
        <w:t>and</w:t>
      </w:r>
      <w:r>
        <w:rPr>
          <w:spacing w:val="-6"/>
          <w:sz w:val="24"/>
        </w:rPr>
        <w:t> </w:t>
      </w:r>
      <w:r>
        <w:rPr>
          <w:sz w:val="24"/>
        </w:rPr>
        <w:t>Hampden),</w:t>
      </w:r>
      <w:r>
        <w:rPr>
          <w:spacing w:val="-7"/>
          <w:sz w:val="24"/>
        </w:rPr>
        <w:t> </w:t>
      </w:r>
      <w:r>
        <w:rPr>
          <w:sz w:val="24"/>
        </w:rPr>
        <w:t>all</w:t>
      </w:r>
      <w:r>
        <w:rPr>
          <w:spacing w:val="-10"/>
          <w:sz w:val="24"/>
        </w:rPr>
        <w:t> </w:t>
      </w:r>
      <w:r>
        <w:rPr>
          <w:sz w:val="24"/>
        </w:rPr>
        <w:t>of</w:t>
      </w:r>
      <w:r>
        <w:rPr>
          <w:spacing w:val="-9"/>
          <w:sz w:val="24"/>
        </w:rPr>
        <w:t> </w:t>
      </w:r>
      <w:r>
        <w:rPr>
          <w:sz w:val="24"/>
        </w:rPr>
        <w:t>which</w:t>
      </w:r>
      <w:r>
        <w:rPr>
          <w:spacing w:val="-6"/>
          <w:sz w:val="24"/>
        </w:rPr>
        <w:t> </w:t>
      </w:r>
      <w:r>
        <w:rPr>
          <w:sz w:val="24"/>
        </w:rPr>
        <w:t>are</w:t>
      </w:r>
      <w:r>
        <w:rPr>
          <w:spacing w:val="-7"/>
          <w:sz w:val="24"/>
        </w:rPr>
        <w:t> </w:t>
      </w:r>
      <w:r>
        <w:rPr>
          <w:sz w:val="24"/>
        </w:rPr>
        <w:t>served</w:t>
      </w:r>
      <w:r>
        <w:rPr>
          <w:spacing w:val="-9"/>
          <w:sz w:val="24"/>
        </w:rPr>
        <w:t> </w:t>
      </w:r>
      <w:r>
        <w:rPr>
          <w:sz w:val="24"/>
        </w:rPr>
        <w:t>by a direct-recipient transit system, Community Connector.</w:t>
      </w:r>
    </w:p>
    <w:p>
      <w:pPr>
        <w:pStyle w:val="ListParagraph"/>
        <w:numPr>
          <w:ilvl w:val="0"/>
          <w:numId w:val="26"/>
        </w:numPr>
        <w:tabs>
          <w:tab w:pos="1560" w:val="left" w:leader="none"/>
        </w:tabs>
        <w:spacing w:line="240" w:lineRule="auto" w:before="0" w:after="0"/>
        <w:ind w:left="1560" w:right="936" w:hanging="360"/>
        <w:jc w:val="both"/>
        <w:rPr>
          <w:sz w:val="24"/>
        </w:rPr>
      </w:pPr>
      <w:r>
        <w:rPr>
          <w:sz w:val="24"/>
        </w:rPr>
        <w:t>York</w:t>
      </w:r>
      <w:r>
        <w:rPr>
          <w:spacing w:val="-8"/>
          <w:sz w:val="24"/>
        </w:rPr>
        <w:t> </w:t>
      </w:r>
      <w:r>
        <w:rPr>
          <w:sz w:val="24"/>
        </w:rPr>
        <w:t>County:</w:t>
      </w:r>
      <w:r>
        <w:rPr>
          <w:spacing w:val="-9"/>
          <w:sz w:val="24"/>
        </w:rPr>
        <w:t> </w:t>
      </w:r>
      <w:r>
        <w:rPr>
          <w:sz w:val="24"/>
        </w:rPr>
        <w:t>15,858</w:t>
      </w:r>
      <w:r>
        <w:rPr>
          <w:spacing w:val="-9"/>
          <w:sz w:val="24"/>
        </w:rPr>
        <w:t> </w:t>
      </w:r>
      <w:r>
        <w:rPr>
          <w:sz w:val="24"/>
        </w:rPr>
        <w:t>people,</w:t>
      </w:r>
      <w:r>
        <w:rPr>
          <w:spacing w:val="-10"/>
          <w:sz w:val="24"/>
        </w:rPr>
        <w:t> </w:t>
      </w:r>
      <w:r>
        <w:rPr>
          <w:sz w:val="24"/>
        </w:rPr>
        <w:t>of</w:t>
      </w:r>
      <w:r>
        <w:rPr>
          <w:spacing w:val="-9"/>
          <w:sz w:val="24"/>
        </w:rPr>
        <w:t> </w:t>
      </w:r>
      <w:r>
        <w:rPr>
          <w:sz w:val="24"/>
        </w:rPr>
        <w:t>whom</w:t>
      </w:r>
      <w:r>
        <w:rPr>
          <w:spacing w:val="-7"/>
          <w:sz w:val="24"/>
        </w:rPr>
        <w:t> </w:t>
      </w:r>
      <w:r>
        <w:rPr>
          <w:sz w:val="24"/>
        </w:rPr>
        <w:t>approximately</w:t>
      </w:r>
      <w:r>
        <w:rPr>
          <w:spacing w:val="-8"/>
          <w:sz w:val="24"/>
        </w:rPr>
        <w:t> </w:t>
      </w:r>
      <w:r>
        <w:rPr>
          <w:sz w:val="24"/>
        </w:rPr>
        <w:t>36%,</w:t>
      </w:r>
      <w:r>
        <w:rPr>
          <w:spacing w:val="-7"/>
          <w:sz w:val="24"/>
        </w:rPr>
        <w:t> </w:t>
      </w:r>
      <w:r>
        <w:rPr>
          <w:sz w:val="24"/>
        </w:rPr>
        <w:t>live</w:t>
      </w:r>
      <w:r>
        <w:rPr>
          <w:spacing w:val="-9"/>
          <w:sz w:val="24"/>
        </w:rPr>
        <w:t> </w:t>
      </w:r>
      <w:r>
        <w:rPr>
          <w:sz w:val="24"/>
        </w:rPr>
        <w:t>in</w:t>
      </w:r>
      <w:r>
        <w:rPr>
          <w:spacing w:val="-9"/>
          <w:sz w:val="24"/>
        </w:rPr>
        <w:t> </w:t>
      </w:r>
      <w:r>
        <w:rPr>
          <w:sz w:val="24"/>
        </w:rPr>
        <w:t>Biddeford,</w:t>
      </w:r>
      <w:r>
        <w:rPr>
          <w:spacing w:val="-7"/>
          <w:sz w:val="24"/>
        </w:rPr>
        <w:t> </w:t>
      </w:r>
      <w:r>
        <w:rPr>
          <w:sz w:val="24"/>
        </w:rPr>
        <w:t>Saco</w:t>
      </w:r>
      <w:r>
        <w:rPr>
          <w:spacing w:val="-7"/>
          <w:sz w:val="24"/>
        </w:rPr>
        <w:t> </w:t>
      </w:r>
      <w:r>
        <w:rPr>
          <w:sz w:val="24"/>
        </w:rPr>
        <w:t>and</w:t>
      </w:r>
      <w:r>
        <w:rPr>
          <w:spacing w:val="-9"/>
          <w:sz w:val="24"/>
        </w:rPr>
        <w:t> </w:t>
      </w:r>
      <w:r>
        <w:rPr>
          <w:sz w:val="24"/>
        </w:rPr>
        <w:t>Old Orchard</w:t>
      </w:r>
      <w:r>
        <w:rPr>
          <w:spacing w:val="-12"/>
          <w:sz w:val="24"/>
        </w:rPr>
        <w:t> </w:t>
      </w:r>
      <w:r>
        <w:rPr>
          <w:sz w:val="24"/>
        </w:rPr>
        <w:t>Beach,</w:t>
      </w:r>
      <w:r>
        <w:rPr>
          <w:spacing w:val="-12"/>
          <w:sz w:val="24"/>
        </w:rPr>
        <w:t> </w:t>
      </w:r>
      <w:r>
        <w:rPr>
          <w:sz w:val="24"/>
        </w:rPr>
        <w:t>all</w:t>
      </w:r>
      <w:r>
        <w:rPr>
          <w:spacing w:val="-12"/>
          <w:sz w:val="24"/>
        </w:rPr>
        <w:t> </w:t>
      </w:r>
      <w:r>
        <w:rPr>
          <w:sz w:val="24"/>
        </w:rPr>
        <w:t>of</w:t>
      </w:r>
      <w:r>
        <w:rPr>
          <w:spacing w:val="-11"/>
          <w:sz w:val="24"/>
        </w:rPr>
        <w:t> </w:t>
      </w:r>
      <w:r>
        <w:rPr>
          <w:sz w:val="24"/>
        </w:rPr>
        <w:t>which</w:t>
      </w:r>
      <w:r>
        <w:rPr>
          <w:spacing w:val="-11"/>
          <w:sz w:val="24"/>
        </w:rPr>
        <w:t> </w:t>
      </w:r>
      <w:r>
        <w:rPr>
          <w:sz w:val="24"/>
        </w:rPr>
        <w:t>are</w:t>
      </w:r>
      <w:r>
        <w:rPr>
          <w:spacing w:val="-9"/>
          <w:sz w:val="24"/>
        </w:rPr>
        <w:t> </w:t>
      </w:r>
      <w:r>
        <w:rPr>
          <w:sz w:val="24"/>
        </w:rPr>
        <w:t>served</w:t>
      </w:r>
      <w:r>
        <w:rPr>
          <w:spacing w:val="-13"/>
          <w:sz w:val="24"/>
        </w:rPr>
        <w:t> </w:t>
      </w:r>
      <w:r>
        <w:rPr>
          <w:sz w:val="24"/>
        </w:rPr>
        <w:t>by</w:t>
      </w:r>
      <w:r>
        <w:rPr>
          <w:spacing w:val="-10"/>
          <w:sz w:val="24"/>
        </w:rPr>
        <w:t> </w:t>
      </w:r>
      <w:r>
        <w:rPr>
          <w:sz w:val="24"/>
        </w:rPr>
        <w:t>a</w:t>
      </w:r>
      <w:r>
        <w:rPr>
          <w:spacing w:val="-14"/>
          <w:sz w:val="24"/>
        </w:rPr>
        <w:t> </w:t>
      </w:r>
      <w:r>
        <w:rPr>
          <w:sz w:val="24"/>
        </w:rPr>
        <w:t>direct-recipient</w:t>
      </w:r>
      <w:r>
        <w:rPr>
          <w:spacing w:val="-11"/>
          <w:sz w:val="24"/>
        </w:rPr>
        <w:t> </w:t>
      </w:r>
      <w:r>
        <w:rPr>
          <w:sz w:val="24"/>
        </w:rPr>
        <w:t>transit</w:t>
      </w:r>
      <w:r>
        <w:rPr>
          <w:spacing w:val="-11"/>
          <w:sz w:val="24"/>
        </w:rPr>
        <w:t> </w:t>
      </w:r>
      <w:r>
        <w:rPr>
          <w:sz w:val="24"/>
        </w:rPr>
        <w:t>system,</w:t>
      </w:r>
      <w:r>
        <w:rPr>
          <w:spacing w:val="-14"/>
          <w:sz w:val="24"/>
        </w:rPr>
        <w:t> </w:t>
      </w:r>
      <w:r>
        <w:rPr>
          <w:sz w:val="24"/>
        </w:rPr>
        <w:t>BSOOB</w:t>
      </w:r>
      <w:r>
        <w:rPr>
          <w:spacing w:val="-12"/>
          <w:sz w:val="24"/>
        </w:rPr>
        <w:t> </w:t>
      </w:r>
      <w:r>
        <w:rPr>
          <w:sz w:val="24"/>
        </w:rPr>
        <w:t>transit.</w:t>
      </w:r>
    </w:p>
    <w:p>
      <w:pPr>
        <w:pStyle w:val="BodyText"/>
        <w:spacing w:before="7"/>
        <w:rPr>
          <w:sz w:val="23"/>
        </w:rPr>
      </w:pPr>
    </w:p>
    <w:p>
      <w:pPr>
        <w:pStyle w:val="BodyText"/>
        <w:ind w:left="840" w:right="934"/>
        <w:jc w:val="both"/>
      </w:pPr>
      <w:r>
        <w:rPr/>
        <w:t>Cumberland and Washington Counties have the greatest percentages of minority populations with 11.31% and 11.26% respectively, while Androscoggin County follows with 10.48%.</w:t>
      </w:r>
      <w:r>
        <w:rPr>
          <w:spacing w:val="40"/>
        </w:rPr>
        <w:t> </w:t>
      </w:r>
      <w:r>
        <w:rPr/>
        <w:t>The Washington County minority population is comprised of the Native American Passamaquoddy Tribe, with some Penobscot and Maliseet presence.</w:t>
      </w:r>
      <w:r>
        <w:rPr>
          <w:spacing w:val="40"/>
        </w:rPr>
        <w:t> </w:t>
      </w:r>
      <w:r>
        <w:rPr/>
        <w:t>There is a Latin community in southern Washington County</w:t>
      </w:r>
      <w:r>
        <w:rPr>
          <w:spacing w:val="-1"/>
        </w:rPr>
        <w:t> </w:t>
      </w:r>
      <w:r>
        <w:rPr/>
        <w:t>(and</w:t>
      </w:r>
      <w:r>
        <w:rPr>
          <w:spacing w:val="-1"/>
        </w:rPr>
        <w:t> </w:t>
      </w:r>
      <w:r>
        <w:rPr/>
        <w:t>northern Hancock</w:t>
      </w:r>
      <w:r>
        <w:rPr>
          <w:spacing w:val="-1"/>
        </w:rPr>
        <w:t> </w:t>
      </w:r>
      <w:r>
        <w:rPr/>
        <w:t>County)</w:t>
      </w:r>
      <w:r>
        <w:rPr>
          <w:spacing w:val="-1"/>
        </w:rPr>
        <w:t> </w:t>
      </w:r>
      <w:r>
        <w:rPr/>
        <w:t>as well.</w:t>
      </w:r>
      <w:r>
        <w:rPr>
          <w:spacing w:val="40"/>
        </w:rPr>
        <w:t> </w:t>
      </w:r>
      <w:r>
        <w:rPr/>
        <w:t>The Androscoggin County</w:t>
      </w:r>
      <w:r>
        <w:rPr>
          <w:spacing w:val="-1"/>
        </w:rPr>
        <w:t> </w:t>
      </w:r>
      <w:r>
        <w:rPr/>
        <w:t>minority population is comprised primarily of African immigrants.</w:t>
      </w:r>
      <w:r>
        <w:rPr>
          <w:spacing w:val="40"/>
        </w:rPr>
        <w:t> </w:t>
      </w:r>
      <w:r>
        <w:rPr/>
        <w:t>Otherwise, the metropolitan areas of Androscoggin and Cumberland Counties account for minority population concentrations.</w:t>
      </w:r>
    </w:p>
    <w:p>
      <w:pPr>
        <w:spacing w:after="0"/>
        <w:jc w:val="both"/>
        <w:sectPr>
          <w:pgSz w:w="12240" w:h="15840"/>
          <w:pgMar w:header="0" w:footer="997" w:top="960" w:bottom="1260" w:left="600" w:right="500"/>
        </w:sectPr>
      </w:pPr>
    </w:p>
    <w:p>
      <w:pPr>
        <w:pStyle w:val="BodyText"/>
        <w:spacing w:before="35"/>
        <w:ind w:left="840"/>
      </w:pPr>
      <w:r>
        <w:rPr/>
        <w:t>The</w:t>
      </w:r>
      <w:r>
        <w:rPr>
          <w:spacing w:val="-3"/>
        </w:rPr>
        <w:t> </w:t>
      </w:r>
      <w:r>
        <w:rPr/>
        <w:t>following</w:t>
      </w:r>
      <w:r>
        <w:rPr>
          <w:spacing w:val="-3"/>
        </w:rPr>
        <w:t> </w:t>
      </w:r>
      <w:r>
        <w:rPr/>
        <w:t>table</w:t>
      </w:r>
      <w:r>
        <w:rPr>
          <w:spacing w:val="-2"/>
        </w:rPr>
        <w:t> </w:t>
      </w:r>
      <w:r>
        <w:rPr/>
        <w:t>identifies</w:t>
      </w:r>
      <w:r>
        <w:rPr>
          <w:spacing w:val="-1"/>
        </w:rPr>
        <w:t> </w:t>
      </w:r>
      <w:r>
        <w:rPr/>
        <w:t>minority</w:t>
      </w:r>
      <w:r>
        <w:rPr>
          <w:spacing w:val="-1"/>
        </w:rPr>
        <w:t> </w:t>
      </w:r>
      <w:r>
        <w:rPr/>
        <w:t>populations</w:t>
      </w:r>
      <w:r>
        <w:rPr>
          <w:spacing w:val="-1"/>
        </w:rPr>
        <w:t> </w:t>
      </w:r>
      <w:r>
        <w:rPr/>
        <w:t>by</w:t>
      </w:r>
      <w:r>
        <w:rPr>
          <w:spacing w:val="-1"/>
        </w:rPr>
        <w:t> </w:t>
      </w:r>
      <w:r>
        <w:rPr>
          <w:spacing w:val="-2"/>
        </w:rPr>
        <w:t>county:</w:t>
      </w:r>
    </w:p>
    <w:p>
      <w:pPr>
        <w:pStyle w:val="BodyText"/>
        <w:rPr>
          <w:sz w:val="20"/>
        </w:rPr>
      </w:pPr>
    </w:p>
    <w:p>
      <w:pPr>
        <w:pStyle w:val="BodyText"/>
        <w:rPr>
          <w:sz w:val="28"/>
        </w:rPr>
      </w:pPr>
    </w:p>
    <w:tbl>
      <w:tblPr>
        <w:tblW w:w="0" w:type="auto"/>
        <w:jc w:val="left"/>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48"/>
        <w:gridCol w:w="1622"/>
        <w:gridCol w:w="2161"/>
        <w:gridCol w:w="2250"/>
        <w:gridCol w:w="1261"/>
      </w:tblGrid>
      <w:tr>
        <w:trPr>
          <w:trHeight w:val="618" w:hRule="atLeast"/>
        </w:trPr>
        <w:tc>
          <w:tcPr>
            <w:tcW w:w="9242" w:type="dxa"/>
            <w:gridSpan w:val="5"/>
            <w:tcBorders>
              <w:left w:val="single" w:sz="6" w:space="0" w:color="000000"/>
            </w:tcBorders>
            <w:shd w:val="clear" w:color="auto" w:fill="D9D9D9"/>
          </w:tcPr>
          <w:p>
            <w:pPr>
              <w:pStyle w:val="TableParagraph"/>
              <w:spacing w:line="268" w:lineRule="exact"/>
              <w:ind w:left="2948" w:right="2939"/>
              <w:jc w:val="center"/>
              <w:rPr>
                <w:rFonts w:ascii="Calibri"/>
                <w:b/>
                <w:sz w:val="22"/>
              </w:rPr>
            </w:pPr>
            <w:r>
              <w:rPr>
                <w:rFonts w:ascii="Calibri"/>
                <w:b/>
                <w:sz w:val="22"/>
              </w:rPr>
              <w:t>State</w:t>
            </w:r>
            <w:r>
              <w:rPr>
                <w:rFonts w:ascii="Calibri"/>
                <w:b/>
                <w:spacing w:val="-2"/>
                <w:sz w:val="22"/>
              </w:rPr>
              <w:t> </w:t>
            </w:r>
            <w:r>
              <w:rPr>
                <w:rFonts w:ascii="Calibri"/>
                <w:b/>
                <w:sz w:val="22"/>
              </w:rPr>
              <w:t>of</w:t>
            </w:r>
            <w:r>
              <w:rPr>
                <w:rFonts w:ascii="Calibri"/>
                <w:b/>
                <w:spacing w:val="-1"/>
                <w:sz w:val="22"/>
              </w:rPr>
              <w:t> </w:t>
            </w:r>
            <w:r>
              <w:rPr>
                <w:rFonts w:ascii="Calibri"/>
                <w:b/>
                <w:spacing w:val="-2"/>
                <w:sz w:val="22"/>
              </w:rPr>
              <w:t>Maine</w:t>
            </w:r>
          </w:p>
          <w:p>
            <w:pPr>
              <w:pStyle w:val="TableParagraph"/>
              <w:spacing w:line="240" w:lineRule="auto" w:before="41"/>
              <w:ind w:left="2948" w:right="2942"/>
              <w:jc w:val="center"/>
              <w:rPr>
                <w:rFonts w:ascii="Calibri"/>
                <w:b/>
                <w:sz w:val="22"/>
              </w:rPr>
            </w:pPr>
            <w:r>
              <w:rPr>
                <w:rFonts w:ascii="Calibri"/>
                <w:b/>
                <w:sz w:val="22"/>
              </w:rPr>
              <w:t>Race</w:t>
            </w:r>
            <w:r>
              <w:rPr>
                <w:rFonts w:ascii="Calibri"/>
                <w:b/>
                <w:spacing w:val="-6"/>
                <w:sz w:val="22"/>
              </w:rPr>
              <w:t> </w:t>
            </w:r>
            <w:r>
              <w:rPr>
                <w:rFonts w:ascii="Calibri"/>
                <w:b/>
                <w:sz w:val="22"/>
              </w:rPr>
              <w:t>Demographics</w:t>
            </w:r>
            <w:r>
              <w:rPr>
                <w:rFonts w:ascii="Calibri"/>
                <w:b/>
                <w:spacing w:val="-3"/>
                <w:sz w:val="22"/>
              </w:rPr>
              <w:t> </w:t>
            </w:r>
            <w:r>
              <w:rPr>
                <w:rFonts w:ascii="Calibri"/>
                <w:b/>
                <w:sz w:val="22"/>
              </w:rPr>
              <w:t>by</w:t>
            </w:r>
            <w:r>
              <w:rPr>
                <w:rFonts w:ascii="Calibri"/>
                <w:b/>
                <w:spacing w:val="-5"/>
                <w:sz w:val="22"/>
              </w:rPr>
              <w:t> </w:t>
            </w:r>
            <w:r>
              <w:rPr>
                <w:rFonts w:ascii="Calibri"/>
                <w:b/>
                <w:spacing w:val="-2"/>
                <w:sz w:val="22"/>
              </w:rPr>
              <w:t>State/County</w:t>
            </w:r>
          </w:p>
        </w:tc>
      </w:tr>
      <w:tr>
        <w:trPr>
          <w:trHeight w:val="2469" w:hRule="atLeast"/>
        </w:trPr>
        <w:tc>
          <w:tcPr>
            <w:tcW w:w="1948" w:type="dxa"/>
            <w:tcBorders>
              <w:left w:val="single" w:sz="6" w:space="0" w:color="000000"/>
              <w:right w:val="single" w:sz="6" w:space="0" w:color="000000"/>
            </w:tcBorders>
          </w:tcPr>
          <w:p>
            <w:pPr>
              <w:pStyle w:val="TableParagraph"/>
              <w:spacing w:line="240" w:lineRule="auto" w:before="3"/>
              <w:rPr>
                <w:rFonts w:ascii="Calibri"/>
                <w:sz w:val="25"/>
              </w:rPr>
            </w:pPr>
          </w:p>
          <w:p>
            <w:pPr>
              <w:pStyle w:val="TableParagraph"/>
              <w:spacing w:line="240" w:lineRule="auto"/>
              <w:ind w:left="647"/>
              <w:rPr>
                <w:rFonts w:ascii="Calibri"/>
                <w:b/>
                <w:sz w:val="22"/>
              </w:rPr>
            </w:pPr>
            <w:r>
              <w:rPr>
                <w:rFonts w:ascii="Calibri"/>
                <w:b/>
                <w:spacing w:val="-2"/>
                <w:sz w:val="22"/>
              </w:rPr>
              <w:t>County</w:t>
            </w:r>
          </w:p>
        </w:tc>
        <w:tc>
          <w:tcPr>
            <w:tcW w:w="1622" w:type="dxa"/>
            <w:tcBorders>
              <w:left w:val="single" w:sz="6" w:space="0" w:color="000000"/>
            </w:tcBorders>
          </w:tcPr>
          <w:p>
            <w:pPr>
              <w:pStyle w:val="TableParagraph"/>
              <w:spacing w:line="276" w:lineRule="auto"/>
              <w:ind w:left="307" w:right="297" w:hanging="4"/>
              <w:jc w:val="center"/>
              <w:rPr>
                <w:rFonts w:ascii="Calibri"/>
                <w:b/>
                <w:sz w:val="22"/>
              </w:rPr>
            </w:pPr>
            <w:r>
              <w:rPr>
                <w:rFonts w:ascii="Calibri"/>
                <w:b/>
                <w:spacing w:val="-2"/>
                <w:sz w:val="22"/>
              </w:rPr>
              <w:t>Total Population (2021)</w:t>
            </w:r>
          </w:p>
        </w:tc>
        <w:tc>
          <w:tcPr>
            <w:tcW w:w="2161" w:type="dxa"/>
          </w:tcPr>
          <w:p>
            <w:pPr>
              <w:pStyle w:val="TableParagraph"/>
              <w:spacing w:line="268" w:lineRule="exact"/>
              <w:ind w:left="177" w:right="173"/>
              <w:jc w:val="center"/>
              <w:rPr>
                <w:rFonts w:ascii="Calibri"/>
                <w:b/>
                <w:sz w:val="22"/>
              </w:rPr>
            </w:pPr>
            <w:r>
              <w:rPr>
                <w:rFonts w:ascii="Calibri"/>
                <w:b/>
                <w:spacing w:val="-2"/>
                <w:sz w:val="22"/>
              </w:rPr>
              <w:t>White</w:t>
            </w:r>
          </w:p>
          <w:p>
            <w:pPr>
              <w:pStyle w:val="TableParagraph"/>
              <w:spacing w:line="276" w:lineRule="auto" w:before="41"/>
              <w:ind w:left="178" w:right="173"/>
              <w:jc w:val="center"/>
              <w:rPr>
                <w:rFonts w:ascii="Calibri"/>
                <w:sz w:val="22"/>
              </w:rPr>
            </w:pPr>
            <w:r>
              <w:rPr>
                <w:rFonts w:ascii="Calibri"/>
                <w:sz w:val="22"/>
              </w:rPr>
              <w:t>(One race, White alone,</w:t>
            </w:r>
            <w:r>
              <w:rPr>
                <w:rFonts w:ascii="Calibri"/>
                <w:spacing w:val="-13"/>
                <w:sz w:val="22"/>
              </w:rPr>
              <w:t> </w:t>
            </w:r>
            <w:r>
              <w:rPr>
                <w:rFonts w:ascii="Calibri"/>
                <w:sz w:val="22"/>
              </w:rPr>
              <w:t>Non-Hispanic or Latino)</w:t>
            </w:r>
          </w:p>
          <w:p>
            <w:pPr>
              <w:pStyle w:val="TableParagraph"/>
              <w:spacing w:line="268" w:lineRule="exact"/>
              <w:ind w:left="4"/>
              <w:jc w:val="center"/>
              <w:rPr>
                <w:rFonts w:ascii="Calibri"/>
                <w:b/>
                <w:sz w:val="22"/>
              </w:rPr>
            </w:pPr>
            <w:r>
              <w:rPr>
                <w:rFonts w:ascii="Calibri"/>
                <w:b/>
                <w:w w:val="100"/>
                <w:sz w:val="22"/>
              </w:rPr>
              <w:t>#</w:t>
            </w:r>
          </w:p>
        </w:tc>
        <w:tc>
          <w:tcPr>
            <w:tcW w:w="2250" w:type="dxa"/>
          </w:tcPr>
          <w:p>
            <w:pPr>
              <w:pStyle w:val="TableParagraph"/>
              <w:spacing w:line="276" w:lineRule="auto"/>
              <w:ind w:left="160" w:firstLine="564"/>
              <w:rPr>
                <w:rFonts w:ascii="Calibri"/>
                <w:sz w:val="22"/>
              </w:rPr>
            </w:pPr>
            <w:r>
              <w:rPr>
                <w:rFonts w:ascii="Calibri"/>
                <w:b/>
                <w:spacing w:val="-2"/>
                <w:sz w:val="22"/>
              </w:rPr>
              <w:t>Minority </w:t>
            </w:r>
            <w:r>
              <w:rPr>
                <w:rFonts w:ascii="Calibri"/>
                <w:sz w:val="22"/>
              </w:rPr>
              <w:t>(Hispanic or Latino, Black,</w:t>
            </w:r>
            <w:r>
              <w:rPr>
                <w:rFonts w:ascii="Calibri"/>
                <w:spacing w:val="-12"/>
                <w:sz w:val="22"/>
              </w:rPr>
              <w:t> </w:t>
            </w:r>
            <w:r>
              <w:rPr>
                <w:rFonts w:ascii="Calibri"/>
                <w:sz w:val="22"/>
              </w:rPr>
              <w:t>Asian</w:t>
            </w:r>
            <w:r>
              <w:rPr>
                <w:rFonts w:ascii="Calibri"/>
                <w:spacing w:val="-13"/>
                <w:sz w:val="22"/>
              </w:rPr>
              <w:t> </w:t>
            </w:r>
            <w:r>
              <w:rPr>
                <w:rFonts w:ascii="Calibri"/>
                <w:sz w:val="22"/>
              </w:rPr>
              <w:t>or</w:t>
            </w:r>
            <w:r>
              <w:rPr>
                <w:rFonts w:ascii="Calibri"/>
                <w:spacing w:val="-12"/>
                <w:sz w:val="22"/>
              </w:rPr>
              <w:t> </w:t>
            </w:r>
            <w:r>
              <w:rPr>
                <w:rFonts w:ascii="Calibri"/>
                <w:sz w:val="22"/>
              </w:rPr>
              <w:t>Pacific Islander, American</w:t>
            </w:r>
          </w:p>
          <w:p>
            <w:pPr>
              <w:pStyle w:val="TableParagraph"/>
              <w:spacing w:line="276" w:lineRule="auto"/>
              <w:ind w:left="273" w:right="267" w:firstLine="4"/>
              <w:jc w:val="center"/>
              <w:rPr>
                <w:rFonts w:ascii="Calibri"/>
                <w:sz w:val="22"/>
              </w:rPr>
            </w:pPr>
            <w:r>
              <w:rPr>
                <w:rFonts w:ascii="Calibri"/>
                <w:sz w:val="22"/>
              </w:rPr>
              <w:t>Indian or Alaska Native,</w:t>
            </w:r>
            <w:r>
              <w:rPr>
                <w:rFonts w:ascii="Calibri"/>
                <w:spacing w:val="-13"/>
                <w:sz w:val="22"/>
              </w:rPr>
              <w:t> </w:t>
            </w:r>
            <w:r>
              <w:rPr>
                <w:rFonts w:ascii="Calibri"/>
                <w:sz w:val="22"/>
              </w:rPr>
              <w:t>Other</w:t>
            </w:r>
            <w:r>
              <w:rPr>
                <w:rFonts w:ascii="Calibri"/>
                <w:spacing w:val="-12"/>
                <w:sz w:val="22"/>
              </w:rPr>
              <w:t> </w:t>
            </w:r>
            <w:r>
              <w:rPr>
                <w:rFonts w:ascii="Calibri"/>
                <w:sz w:val="22"/>
              </w:rPr>
              <w:t>race, </w:t>
            </w:r>
            <w:r>
              <w:rPr>
                <w:rFonts w:ascii="Calibri"/>
                <w:spacing w:val="-2"/>
                <w:sz w:val="22"/>
              </w:rPr>
              <w:t>Multi-racial)</w:t>
            </w:r>
          </w:p>
          <w:p>
            <w:pPr>
              <w:pStyle w:val="TableParagraph"/>
              <w:spacing w:line="268" w:lineRule="exact"/>
              <w:ind w:left="6"/>
              <w:jc w:val="center"/>
              <w:rPr>
                <w:rFonts w:ascii="Calibri"/>
                <w:b/>
                <w:sz w:val="22"/>
              </w:rPr>
            </w:pPr>
            <w:r>
              <w:rPr>
                <w:rFonts w:ascii="Calibri"/>
                <w:b/>
                <w:w w:val="100"/>
                <w:sz w:val="22"/>
              </w:rPr>
              <w:t>#</w:t>
            </w:r>
          </w:p>
        </w:tc>
        <w:tc>
          <w:tcPr>
            <w:tcW w:w="1261" w:type="dxa"/>
          </w:tcPr>
          <w:p>
            <w:pPr>
              <w:pStyle w:val="TableParagraph"/>
              <w:spacing w:line="268" w:lineRule="exact"/>
              <w:ind w:left="219" w:right="211"/>
              <w:jc w:val="center"/>
              <w:rPr>
                <w:rFonts w:ascii="Calibri"/>
                <w:b/>
                <w:sz w:val="22"/>
              </w:rPr>
            </w:pPr>
            <w:r>
              <w:rPr>
                <w:rFonts w:ascii="Calibri"/>
                <w:b/>
                <w:spacing w:val="-2"/>
                <w:sz w:val="22"/>
              </w:rPr>
              <w:t>Minority</w:t>
            </w:r>
          </w:p>
          <w:p>
            <w:pPr>
              <w:pStyle w:val="TableParagraph"/>
              <w:spacing w:line="240" w:lineRule="auto" w:before="41"/>
              <w:ind w:left="6"/>
              <w:jc w:val="center"/>
              <w:rPr>
                <w:rFonts w:ascii="Calibri"/>
                <w:b/>
                <w:sz w:val="22"/>
              </w:rPr>
            </w:pPr>
            <w:r>
              <w:rPr>
                <w:rFonts w:ascii="Calibri"/>
                <w:b/>
                <w:w w:val="100"/>
                <w:sz w:val="22"/>
              </w:rPr>
              <w:t>%</w:t>
            </w:r>
          </w:p>
        </w:tc>
      </w:tr>
      <w:tr>
        <w:trPr>
          <w:trHeight w:val="309" w:hRule="atLeast"/>
        </w:trPr>
        <w:tc>
          <w:tcPr>
            <w:tcW w:w="1948" w:type="dxa"/>
            <w:shd w:val="clear" w:color="auto" w:fill="D9D9D9"/>
          </w:tcPr>
          <w:p>
            <w:pPr>
              <w:pStyle w:val="TableParagraph"/>
              <w:spacing w:line="240" w:lineRule="auto" w:before="1"/>
              <w:ind w:left="651" w:right="639"/>
              <w:jc w:val="center"/>
              <w:rPr>
                <w:rFonts w:ascii="Calibri"/>
                <w:b/>
                <w:sz w:val="22"/>
              </w:rPr>
            </w:pPr>
            <w:r>
              <w:rPr>
                <w:rFonts w:ascii="Calibri"/>
                <w:b/>
                <w:spacing w:val="-2"/>
                <w:sz w:val="22"/>
              </w:rPr>
              <w:t>Maine</w:t>
            </w:r>
          </w:p>
        </w:tc>
        <w:tc>
          <w:tcPr>
            <w:tcW w:w="1622" w:type="dxa"/>
            <w:shd w:val="clear" w:color="auto" w:fill="D9D9D9"/>
          </w:tcPr>
          <w:p>
            <w:pPr>
              <w:pStyle w:val="TableParagraph"/>
              <w:spacing w:line="240" w:lineRule="auto" w:before="1"/>
              <w:ind w:left="353" w:right="343"/>
              <w:jc w:val="center"/>
              <w:rPr>
                <w:rFonts w:ascii="Calibri"/>
                <w:b/>
                <w:sz w:val="22"/>
              </w:rPr>
            </w:pPr>
            <w:r>
              <w:rPr>
                <w:rFonts w:ascii="Calibri"/>
                <w:b/>
                <w:spacing w:val="-2"/>
                <w:sz w:val="22"/>
              </w:rPr>
              <w:t>1,357,046</w:t>
            </w:r>
          </w:p>
        </w:tc>
        <w:tc>
          <w:tcPr>
            <w:tcW w:w="2161" w:type="dxa"/>
            <w:shd w:val="clear" w:color="auto" w:fill="D9D9D9"/>
          </w:tcPr>
          <w:p>
            <w:pPr>
              <w:pStyle w:val="TableParagraph"/>
              <w:spacing w:line="240" w:lineRule="auto" w:before="1"/>
              <w:ind w:left="176" w:right="173"/>
              <w:jc w:val="center"/>
              <w:rPr>
                <w:rFonts w:ascii="Calibri"/>
                <w:b/>
                <w:sz w:val="22"/>
              </w:rPr>
            </w:pPr>
            <w:r>
              <w:rPr>
                <w:rFonts w:ascii="Calibri"/>
                <w:b/>
                <w:spacing w:val="-2"/>
                <w:sz w:val="22"/>
              </w:rPr>
              <w:t>1248581</w:t>
            </w:r>
          </w:p>
        </w:tc>
        <w:tc>
          <w:tcPr>
            <w:tcW w:w="2250" w:type="dxa"/>
            <w:shd w:val="clear" w:color="auto" w:fill="D9D9D9"/>
          </w:tcPr>
          <w:p>
            <w:pPr>
              <w:pStyle w:val="TableParagraph"/>
              <w:spacing w:line="240" w:lineRule="auto" w:before="1"/>
              <w:ind w:left="747" w:right="740"/>
              <w:jc w:val="center"/>
              <w:rPr>
                <w:rFonts w:ascii="Calibri"/>
                <w:b/>
                <w:sz w:val="22"/>
              </w:rPr>
            </w:pPr>
            <w:r>
              <w:rPr>
                <w:rFonts w:ascii="Calibri"/>
                <w:b/>
                <w:spacing w:val="-2"/>
                <w:sz w:val="22"/>
              </w:rPr>
              <w:t>108,465</w:t>
            </w:r>
          </w:p>
        </w:tc>
        <w:tc>
          <w:tcPr>
            <w:tcW w:w="1261" w:type="dxa"/>
            <w:shd w:val="clear" w:color="auto" w:fill="D9D9D9"/>
          </w:tcPr>
          <w:p>
            <w:pPr>
              <w:pStyle w:val="TableParagraph"/>
              <w:spacing w:line="240" w:lineRule="auto" w:before="1"/>
              <w:ind w:left="219" w:right="210"/>
              <w:jc w:val="center"/>
              <w:rPr>
                <w:rFonts w:ascii="Calibri"/>
                <w:b/>
                <w:sz w:val="22"/>
              </w:rPr>
            </w:pPr>
            <w:r>
              <w:rPr>
                <w:rFonts w:ascii="Calibri"/>
                <w:b/>
                <w:spacing w:val="-4"/>
                <w:sz w:val="22"/>
              </w:rPr>
              <w:t>7.99%</w:t>
            </w:r>
          </w:p>
        </w:tc>
      </w:tr>
      <w:tr>
        <w:trPr>
          <w:trHeight w:val="309" w:hRule="atLeast"/>
        </w:trPr>
        <w:tc>
          <w:tcPr>
            <w:tcW w:w="1948" w:type="dxa"/>
          </w:tcPr>
          <w:p>
            <w:pPr>
              <w:pStyle w:val="TableParagraph"/>
              <w:spacing w:line="268" w:lineRule="exact"/>
              <w:ind w:right="349"/>
              <w:jc w:val="right"/>
              <w:rPr>
                <w:rFonts w:ascii="Calibri"/>
                <w:sz w:val="22"/>
              </w:rPr>
            </w:pPr>
            <w:r>
              <w:rPr>
                <w:rFonts w:ascii="Calibri"/>
                <w:spacing w:val="-2"/>
                <w:sz w:val="22"/>
              </w:rPr>
              <w:t>Androscoggin</w:t>
            </w:r>
          </w:p>
        </w:tc>
        <w:tc>
          <w:tcPr>
            <w:tcW w:w="1622" w:type="dxa"/>
          </w:tcPr>
          <w:p>
            <w:pPr>
              <w:pStyle w:val="TableParagraph"/>
              <w:spacing w:line="268" w:lineRule="exact"/>
              <w:ind w:left="353" w:right="295"/>
              <w:jc w:val="center"/>
              <w:rPr>
                <w:rFonts w:ascii="Calibri"/>
                <w:sz w:val="22"/>
              </w:rPr>
            </w:pPr>
            <w:r>
              <w:rPr>
                <w:rFonts w:ascii="Calibri"/>
                <w:spacing w:val="-2"/>
                <w:sz w:val="22"/>
              </w:rPr>
              <w:t>110,378</w:t>
            </w:r>
          </w:p>
        </w:tc>
        <w:tc>
          <w:tcPr>
            <w:tcW w:w="2161" w:type="dxa"/>
          </w:tcPr>
          <w:p>
            <w:pPr>
              <w:pStyle w:val="TableParagraph"/>
              <w:spacing w:line="268" w:lineRule="exact"/>
              <w:ind w:left="178" w:right="119"/>
              <w:jc w:val="center"/>
              <w:rPr>
                <w:rFonts w:ascii="Calibri"/>
                <w:sz w:val="22"/>
              </w:rPr>
            </w:pPr>
            <w:r>
              <w:rPr>
                <w:rFonts w:ascii="Calibri"/>
                <w:spacing w:val="-2"/>
                <w:sz w:val="22"/>
              </w:rPr>
              <w:t>98,807</w:t>
            </w:r>
          </w:p>
        </w:tc>
        <w:tc>
          <w:tcPr>
            <w:tcW w:w="2250" w:type="dxa"/>
          </w:tcPr>
          <w:p>
            <w:pPr>
              <w:pStyle w:val="TableParagraph"/>
              <w:spacing w:line="268" w:lineRule="exact"/>
              <w:ind w:left="745" w:right="740"/>
              <w:jc w:val="center"/>
              <w:rPr>
                <w:rFonts w:ascii="Calibri"/>
                <w:sz w:val="22"/>
              </w:rPr>
            </w:pPr>
            <w:r>
              <w:rPr>
                <w:rFonts w:ascii="Calibri"/>
                <w:spacing w:val="-2"/>
                <w:sz w:val="22"/>
              </w:rPr>
              <w:t>11,571</w:t>
            </w:r>
          </w:p>
        </w:tc>
        <w:tc>
          <w:tcPr>
            <w:tcW w:w="1261" w:type="dxa"/>
          </w:tcPr>
          <w:p>
            <w:pPr>
              <w:pStyle w:val="TableParagraph"/>
              <w:spacing w:line="268" w:lineRule="exact"/>
              <w:ind w:left="219" w:right="210"/>
              <w:jc w:val="center"/>
              <w:rPr>
                <w:rFonts w:ascii="Calibri"/>
                <w:sz w:val="22"/>
              </w:rPr>
            </w:pPr>
            <w:r>
              <w:rPr>
                <w:rFonts w:ascii="Calibri"/>
                <w:spacing w:val="-2"/>
                <w:sz w:val="22"/>
              </w:rPr>
              <w:t>10.48%</w:t>
            </w:r>
          </w:p>
        </w:tc>
      </w:tr>
      <w:tr>
        <w:trPr>
          <w:trHeight w:val="309" w:hRule="atLeast"/>
        </w:trPr>
        <w:tc>
          <w:tcPr>
            <w:tcW w:w="1948" w:type="dxa"/>
          </w:tcPr>
          <w:p>
            <w:pPr>
              <w:pStyle w:val="TableParagraph"/>
              <w:spacing w:line="268" w:lineRule="exact"/>
              <w:ind w:left="510"/>
              <w:rPr>
                <w:rFonts w:ascii="Calibri"/>
                <w:sz w:val="22"/>
              </w:rPr>
            </w:pPr>
            <w:r>
              <w:rPr>
                <w:rFonts w:ascii="Calibri"/>
                <w:spacing w:val="-2"/>
                <w:sz w:val="22"/>
              </w:rPr>
              <w:t>Aroostook</w:t>
            </w:r>
          </w:p>
        </w:tc>
        <w:tc>
          <w:tcPr>
            <w:tcW w:w="1622" w:type="dxa"/>
          </w:tcPr>
          <w:p>
            <w:pPr>
              <w:pStyle w:val="TableParagraph"/>
              <w:spacing w:line="268" w:lineRule="exact"/>
              <w:ind w:left="353" w:right="343"/>
              <w:jc w:val="center"/>
              <w:rPr>
                <w:rFonts w:ascii="Calibri"/>
                <w:sz w:val="22"/>
              </w:rPr>
            </w:pPr>
            <w:r>
              <w:rPr>
                <w:rFonts w:ascii="Calibri"/>
                <w:spacing w:val="-2"/>
                <w:sz w:val="22"/>
              </w:rPr>
              <w:t>67,272</w:t>
            </w:r>
          </w:p>
        </w:tc>
        <w:tc>
          <w:tcPr>
            <w:tcW w:w="2161" w:type="dxa"/>
          </w:tcPr>
          <w:p>
            <w:pPr>
              <w:pStyle w:val="TableParagraph"/>
              <w:spacing w:line="268" w:lineRule="exact"/>
              <w:ind w:left="178" w:right="173"/>
              <w:jc w:val="center"/>
              <w:rPr>
                <w:rFonts w:ascii="Calibri"/>
                <w:sz w:val="22"/>
              </w:rPr>
            </w:pPr>
            <w:r>
              <w:rPr>
                <w:rFonts w:ascii="Calibri"/>
                <w:spacing w:val="-2"/>
                <w:sz w:val="22"/>
              </w:rPr>
              <w:t>62,809</w:t>
            </w:r>
          </w:p>
        </w:tc>
        <w:tc>
          <w:tcPr>
            <w:tcW w:w="2250" w:type="dxa"/>
          </w:tcPr>
          <w:p>
            <w:pPr>
              <w:pStyle w:val="TableParagraph"/>
              <w:spacing w:line="268" w:lineRule="exact"/>
              <w:ind w:left="746" w:right="740"/>
              <w:jc w:val="center"/>
              <w:rPr>
                <w:rFonts w:ascii="Calibri"/>
                <w:sz w:val="22"/>
              </w:rPr>
            </w:pPr>
            <w:r>
              <w:rPr>
                <w:rFonts w:ascii="Calibri"/>
                <w:spacing w:val="-2"/>
                <w:sz w:val="22"/>
              </w:rPr>
              <w:t>4,463</w:t>
            </w:r>
          </w:p>
        </w:tc>
        <w:tc>
          <w:tcPr>
            <w:tcW w:w="1261" w:type="dxa"/>
          </w:tcPr>
          <w:p>
            <w:pPr>
              <w:pStyle w:val="TableParagraph"/>
              <w:spacing w:line="268" w:lineRule="exact"/>
              <w:ind w:left="216" w:right="211"/>
              <w:jc w:val="center"/>
              <w:rPr>
                <w:rFonts w:ascii="Calibri"/>
                <w:sz w:val="22"/>
              </w:rPr>
            </w:pPr>
            <w:r>
              <w:rPr>
                <w:rFonts w:ascii="Calibri"/>
                <w:spacing w:val="-2"/>
                <w:sz w:val="22"/>
              </w:rPr>
              <w:t>6.63%</w:t>
            </w:r>
          </w:p>
        </w:tc>
      </w:tr>
      <w:tr>
        <w:trPr>
          <w:trHeight w:val="309" w:hRule="atLeast"/>
        </w:trPr>
        <w:tc>
          <w:tcPr>
            <w:tcW w:w="1948" w:type="dxa"/>
          </w:tcPr>
          <w:p>
            <w:pPr>
              <w:pStyle w:val="TableParagraph"/>
              <w:spacing w:line="268" w:lineRule="exact"/>
              <w:ind w:right="409"/>
              <w:jc w:val="right"/>
              <w:rPr>
                <w:rFonts w:ascii="Calibri"/>
                <w:sz w:val="22"/>
              </w:rPr>
            </w:pPr>
            <w:r>
              <w:rPr>
                <w:rFonts w:ascii="Calibri"/>
                <w:spacing w:val="-2"/>
                <w:sz w:val="22"/>
              </w:rPr>
              <w:t>Cumberland</w:t>
            </w:r>
          </w:p>
        </w:tc>
        <w:tc>
          <w:tcPr>
            <w:tcW w:w="1622" w:type="dxa"/>
          </w:tcPr>
          <w:p>
            <w:pPr>
              <w:pStyle w:val="TableParagraph"/>
              <w:spacing w:line="268" w:lineRule="exact"/>
              <w:ind w:left="351" w:right="343"/>
              <w:jc w:val="center"/>
              <w:rPr>
                <w:rFonts w:ascii="Calibri"/>
                <w:sz w:val="22"/>
              </w:rPr>
            </w:pPr>
            <w:r>
              <w:rPr>
                <w:rFonts w:ascii="Calibri"/>
                <w:spacing w:val="-2"/>
                <w:sz w:val="22"/>
              </w:rPr>
              <w:t>300,776</w:t>
            </w:r>
          </w:p>
        </w:tc>
        <w:tc>
          <w:tcPr>
            <w:tcW w:w="2161" w:type="dxa"/>
          </w:tcPr>
          <w:p>
            <w:pPr>
              <w:pStyle w:val="TableParagraph"/>
              <w:spacing w:line="268" w:lineRule="exact"/>
              <w:ind w:left="178" w:right="170"/>
              <w:jc w:val="center"/>
              <w:rPr>
                <w:rFonts w:ascii="Calibri"/>
                <w:sz w:val="22"/>
              </w:rPr>
            </w:pPr>
            <w:r>
              <w:rPr>
                <w:rFonts w:ascii="Calibri"/>
                <w:spacing w:val="-2"/>
                <w:sz w:val="22"/>
              </w:rPr>
              <w:t>266,750</w:t>
            </w:r>
          </w:p>
        </w:tc>
        <w:tc>
          <w:tcPr>
            <w:tcW w:w="2250" w:type="dxa"/>
          </w:tcPr>
          <w:p>
            <w:pPr>
              <w:pStyle w:val="TableParagraph"/>
              <w:spacing w:line="268" w:lineRule="exact"/>
              <w:ind w:left="745" w:right="740"/>
              <w:jc w:val="center"/>
              <w:rPr>
                <w:rFonts w:ascii="Calibri"/>
                <w:sz w:val="22"/>
              </w:rPr>
            </w:pPr>
            <w:r>
              <w:rPr>
                <w:rFonts w:ascii="Calibri"/>
                <w:spacing w:val="-2"/>
                <w:sz w:val="22"/>
              </w:rPr>
              <w:t>34,026</w:t>
            </w:r>
          </w:p>
        </w:tc>
        <w:tc>
          <w:tcPr>
            <w:tcW w:w="1261" w:type="dxa"/>
          </w:tcPr>
          <w:p>
            <w:pPr>
              <w:pStyle w:val="TableParagraph"/>
              <w:spacing w:line="268" w:lineRule="exact"/>
              <w:ind w:left="219" w:right="210"/>
              <w:jc w:val="center"/>
              <w:rPr>
                <w:rFonts w:ascii="Calibri"/>
                <w:sz w:val="22"/>
              </w:rPr>
            </w:pPr>
            <w:r>
              <w:rPr>
                <w:rFonts w:ascii="Calibri"/>
                <w:spacing w:val="-2"/>
                <w:sz w:val="22"/>
              </w:rPr>
              <w:t>11.31%</w:t>
            </w:r>
          </w:p>
        </w:tc>
      </w:tr>
      <w:tr>
        <w:trPr>
          <w:trHeight w:val="309" w:hRule="atLeast"/>
        </w:trPr>
        <w:tc>
          <w:tcPr>
            <w:tcW w:w="1948" w:type="dxa"/>
          </w:tcPr>
          <w:p>
            <w:pPr>
              <w:pStyle w:val="TableParagraph"/>
              <w:spacing w:line="268" w:lineRule="exact"/>
              <w:ind w:left="616"/>
              <w:rPr>
                <w:rFonts w:ascii="Calibri"/>
                <w:sz w:val="22"/>
              </w:rPr>
            </w:pPr>
            <w:r>
              <w:rPr>
                <w:rFonts w:ascii="Calibri"/>
                <w:spacing w:val="-2"/>
                <w:sz w:val="22"/>
              </w:rPr>
              <w:t>Franklin</w:t>
            </w:r>
          </w:p>
        </w:tc>
        <w:tc>
          <w:tcPr>
            <w:tcW w:w="1622" w:type="dxa"/>
          </w:tcPr>
          <w:p>
            <w:pPr>
              <w:pStyle w:val="TableParagraph"/>
              <w:spacing w:line="268" w:lineRule="exact"/>
              <w:ind w:left="353" w:right="343"/>
              <w:jc w:val="center"/>
              <w:rPr>
                <w:rFonts w:ascii="Calibri"/>
                <w:sz w:val="22"/>
              </w:rPr>
            </w:pPr>
            <w:r>
              <w:rPr>
                <w:rFonts w:ascii="Calibri"/>
                <w:spacing w:val="-2"/>
                <w:sz w:val="22"/>
              </w:rPr>
              <w:t>29,487</w:t>
            </w:r>
          </w:p>
        </w:tc>
        <w:tc>
          <w:tcPr>
            <w:tcW w:w="2161" w:type="dxa"/>
          </w:tcPr>
          <w:p>
            <w:pPr>
              <w:pStyle w:val="TableParagraph"/>
              <w:spacing w:line="268" w:lineRule="exact"/>
              <w:ind w:left="178" w:right="173"/>
              <w:jc w:val="center"/>
              <w:rPr>
                <w:rFonts w:ascii="Calibri"/>
                <w:sz w:val="22"/>
              </w:rPr>
            </w:pPr>
            <w:r>
              <w:rPr>
                <w:rFonts w:ascii="Calibri"/>
                <w:spacing w:val="-2"/>
                <w:sz w:val="22"/>
              </w:rPr>
              <w:t>28,021</w:t>
            </w:r>
          </w:p>
        </w:tc>
        <w:tc>
          <w:tcPr>
            <w:tcW w:w="2250" w:type="dxa"/>
          </w:tcPr>
          <w:p>
            <w:pPr>
              <w:pStyle w:val="TableParagraph"/>
              <w:spacing w:line="268" w:lineRule="exact"/>
              <w:ind w:left="746" w:right="740"/>
              <w:jc w:val="center"/>
              <w:rPr>
                <w:rFonts w:ascii="Calibri"/>
                <w:sz w:val="22"/>
              </w:rPr>
            </w:pPr>
            <w:r>
              <w:rPr>
                <w:rFonts w:ascii="Calibri"/>
                <w:spacing w:val="-2"/>
                <w:sz w:val="22"/>
              </w:rPr>
              <w:t>1,466</w:t>
            </w:r>
          </w:p>
        </w:tc>
        <w:tc>
          <w:tcPr>
            <w:tcW w:w="1261" w:type="dxa"/>
          </w:tcPr>
          <w:p>
            <w:pPr>
              <w:pStyle w:val="TableParagraph"/>
              <w:spacing w:line="268" w:lineRule="exact"/>
              <w:ind w:left="216" w:right="211"/>
              <w:jc w:val="center"/>
              <w:rPr>
                <w:rFonts w:ascii="Calibri"/>
                <w:sz w:val="22"/>
              </w:rPr>
            </w:pPr>
            <w:r>
              <w:rPr>
                <w:rFonts w:ascii="Calibri"/>
                <w:spacing w:val="-2"/>
                <w:sz w:val="22"/>
              </w:rPr>
              <w:t>4.97%</w:t>
            </w:r>
          </w:p>
        </w:tc>
      </w:tr>
      <w:tr>
        <w:trPr>
          <w:trHeight w:val="306" w:hRule="atLeast"/>
        </w:trPr>
        <w:tc>
          <w:tcPr>
            <w:tcW w:w="1948" w:type="dxa"/>
          </w:tcPr>
          <w:p>
            <w:pPr>
              <w:pStyle w:val="TableParagraph"/>
              <w:spacing w:line="268" w:lineRule="exact"/>
              <w:ind w:left="594"/>
              <w:rPr>
                <w:rFonts w:ascii="Calibri"/>
                <w:sz w:val="22"/>
              </w:rPr>
            </w:pPr>
            <w:r>
              <w:rPr>
                <w:rFonts w:ascii="Calibri"/>
                <w:spacing w:val="-2"/>
                <w:sz w:val="22"/>
              </w:rPr>
              <w:t>Hancock</w:t>
            </w:r>
          </w:p>
        </w:tc>
        <w:tc>
          <w:tcPr>
            <w:tcW w:w="1622" w:type="dxa"/>
          </w:tcPr>
          <w:p>
            <w:pPr>
              <w:pStyle w:val="TableParagraph"/>
              <w:spacing w:line="268" w:lineRule="exact"/>
              <w:ind w:left="352" w:right="343"/>
              <w:jc w:val="center"/>
              <w:rPr>
                <w:rFonts w:ascii="Calibri"/>
                <w:sz w:val="22"/>
              </w:rPr>
            </w:pPr>
            <w:r>
              <w:rPr>
                <w:rFonts w:ascii="Calibri"/>
                <w:spacing w:val="-2"/>
                <w:sz w:val="22"/>
              </w:rPr>
              <w:t>55,417</w:t>
            </w:r>
          </w:p>
        </w:tc>
        <w:tc>
          <w:tcPr>
            <w:tcW w:w="2161" w:type="dxa"/>
          </w:tcPr>
          <w:p>
            <w:pPr>
              <w:pStyle w:val="TableParagraph"/>
              <w:spacing w:line="268" w:lineRule="exact"/>
              <w:ind w:left="176" w:right="173"/>
              <w:jc w:val="center"/>
              <w:rPr>
                <w:rFonts w:ascii="Calibri"/>
                <w:sz w:val="22"/>
              </w:rPr>
            </w:pPr>
            <w:r>
              <w:rPr>
                <w:rFonts w:ascii="Calibri"/>
                <w:spacing w:val="-2"/>
                <w:sz w:val="22"/>
              </w:rPr>
              <w:t>52,117</w:t>
            </w:r>
          </w:p>
        </w:tc>
        <w:tc>
          <w:tcPr>
            <w:tcW w:w="2250" w:type="dxa"/>
          </w:tcPr>
          <w:p>
            <w:pPr>
              <w:pStyle w:val="TableParagraph"/>
              <w:spacing w:line="268" w:lineRule="exact"/>
              <w:ind w:left="746" w:right="740"/>
              <w:jc w:val="center"/>
              <w:rPr>
                <w:rFonts w:ascii="Calibri"/>
                <w:sz w:val="22"/>
              </w:rPr>
            </w:pPr>
            <w:r>
              <w:rPr>
                <w:rFonts w:ascii="Calibri"/>
                <w:spacing w:val="-2"/>
                <w:sz w:val="22"/>
              </w:rPr>
              <w:t>3,300</w:t>
            </w:r>
          </w:p>
        </w:tc>
        <w:tc>
          <w:tcPr>
            <w:tcW w:w="1261" w:type="dxa"/>
          </w:tcPr>
          <w:p>
            <w:pPr>
              <w:pStyle w:val="TableParagraph"/>
              <w:spacing w:line="268" w:lineRule="exact"/>
              <w:ind w:left="216" w:right="211"/>
              <w:jc w:val="center"/>
              <w:rPr>
                <w:rFonts w:ascii="Calibri"/>
                <w:sz w:val="22"/>
              </w:rPr>
            </w:pPr>
            <w:r>
              <w:rPr>
                <w:rFonts w:ascii="Calibri"/>
                <w:spacing w:val="-2"/>
                <w:sz w:val="22"/>
              </w:rPr>
              <w:t>5.95%</w:t>
            </w:r>
          </w:p>
        </w:tc>
      </w:tr>
      <w:tr>
        <w:trPr>
          <w:trHeight w:val="309" w:hRule="atLeast"/>
        </w:trPr>
        <w:tc>
          <w:tcPr>
            <w:tcW w:w="1948" w:type="dxa"/>
          </w:tcPr>
          <w:p>
            <w:pPr>
              <w:pStyle w:val="TableParagraph"/>
              <w:spacing w:line="240" w:lineRule="auto" w:before="1"/>
              <w:ind w:left="532"/>
              <w:rPr>
                <w:rFonts w:ascii="Calibri"/>
                <w:sz w:val="22"/>
              </w:rPr>
            </w:pPr>
            <w:r>
              <w:rPr>
                <w:rFonts w:ascii="Calibri"/>
                <w:spacing w:val="-2"/>
                <w:sz w:val="22"/>
              </w:rPr>
              <w:t>Kennebec</w:t>
            </w:r>
          </w:p>
        </w:tc>
        <w:tc>
          <w:tcPr>
            <w:tcW w:w="1622" w:type="dxa"/>
          </w:tcPr>
          <w:p>
            <w:pPr>
              <w:pStyle w:val="TableParagraph"/>
              <w:spacing w:line="240" w:lineRule="auto" w:before="1"/>
              <w:ind w:left="351" w:right="343"/>
              <w:jc w:val="center"/>
              <w:rPr>
                <w:rFonts w:ascii="Calibri"/>
                <w:sz w:val="22"/>
              </w:rPr>
            </w:pPr>
            <w:r>
              <w:rPr>
                <w:rFonts w:ascii="Calibri"/>
                <w:spacing w:val="-2"/>
                <w:sz w:val="22"/>
              </w:rPr>
              <w:t>123,293</w:t>
            </w:r>
          </w:p>
        </w:tc>
        <w:tc>
          <w:tcPr>
            <w:tcW w:w="2161" w:type="dxa"/>
          </w:tcPr>
          <w:p>
            <w:pPr>
              <w:pStyle w:val="TableParagraph"/>
              <w:spacing w:line="240" w:lineRule="auto" w:before="1"/>
              <w:ind w:left="178" w:right="170"/>
              <w:jc w:val="center"/>
              <w:rPr>
                <w:rFonts w:ascii="Calibri"/>
                <w:sz w:val="22"/>
              </w:rPr>
            </w:pPr>
            <w:r>
              <w:rPr>
                <w:rFonts w:ascii="Calibri"/>
                <w:spacing w:val="-2"/>
                <w:sz w:val="22"/>
              </w:rPr>
              <w:t>115,799</w:t>
            </w:r>
          </w:p>
        </w:tc>
        <w:tc>
          <w:tcPr>
            <w:tcW w:w="2250" w:type="dxa"/>
          </w:tcPr>
          <w:p>
            <w:pPr>
              <w:pStyle w:val="TableParagraph"/>
              <w:spacing w:line="240" w:lineRule="auto" w:before="1"/>
              <w:ind w:left="746" w:right="740"/>
              <w:jc w:val="center"/>
              <w:rPr>
                <w:rFonts w:ascii="Calibri"/>
                <w:sz w:val="22"/>
              </w:rPr>
            </w:pPr>
            <w:r>
              <w:rPr>
                <w:rFonts w:ascii="Calibri"/>
                <w:spacing w:val="-2"/>
                <w:sz w:val="22"/>
              </w:rPr>
              <w:t>7,494</w:t>
            </w:r>
          </w:p>
        </w:tc>
        <w:tc>
          <w:tcPr>
            <w:tcW w:w="1261" w:type="dxa"/>
          </w:tcPr>
          <w:p>
            <w:pPr>
              <w:pStyle w:val="TableParagraph"/>
              <w:spacing w:line="240" w:lineRule="auto" w:before="1"/>
              <w:ind w:left="216" w:right="211"/>
              <w:jc w:val="center"/>
              <w:rPr>
                <w:rFonts w:ascii="Calibri"/>
                <w:sz w:val="22"/>
              </w:rPr>
            </w:pPr>
            <w:r>
              <w:rPr>
                <w:rFonts w:ascii="Calibri"/>
                <w:spacing w:val="-2"/>
                <w:sz w:val="22"/>
              </w:rPr>
              <w:t>6.08%</w:t>
            </w:r>
          </w:p>
        </w:tc>
      </w:tr>
      <w:tr>
        <w:trPr>
          <w:trHeight w:val="309" w:hRule="atLeast"/>
        </w:trPr>
        <w:tc>
          <w:tcPr>
            <w:tcW w:w="1948" w:type="dxa"/>
          </w:tcPr>
          <w:p>
            <w:pPr>
              <w:pStyle w:val="TableParagraph"/>
              <w:spacing w:line="268" w:lineRule="exact"/>
              <w:ind w:left="651" w:right="639"/>
              <w:jc w:val="center"/>
              <w:rPr>
                <w:rFonts w:ascii="Calibri"/>
                <w:sz w:val="22"/>
              </w:rPr>
            </w:pPr>
            <w:r>
              <w:rPr>
                <w:rFonts w:ascii="Calibri"/>
                <w:spacing w:val="-4"/>
                <w:sz w:val="22"/>
              </w:rPr>
              <w:t>Knox</w:t>
            </w:r>
          </w:p>
        </w:tc>
        <w:tc>
          <w:tcPr>
            <w:tcW w:w="1622" w:type="dxa"/>
          </w:tcPr>
          <w:p>
            <w:pPr>
              <w:pStyle w:val="TableParagraph"/>
              <w:spacing w:line="268" w:lineRule="exact"/>
              <w:ind w:left="352" w:right="343"/>
              <w:jc w:val="center"/>
              <w:rPr>
                <w:rFonts w:ascii="Calibri"/>
                <w:sz w:val="22"/>
              </w:rPr>
            </w:pPr>
            <w:r>
              <w:rPr>
                <w:rFonts w:ascii="Calibri"/>
                <w:spacing w:val="-2"/>
                <w:sz w:val="22"/>
              </w:rPr>
              <w:t>40,519</w:t>
            </w:r>
          </w:p>
        </w:tc>
        <w:tc>
          <w:tcPr>
            <w:tcW w:w="2161" w:type="dxa"/>
          </w:tcPr>
          <w:p>
            <w:pPr>
              <w:pStyle w:val="TableParagraph"/>
              <w:spacing w:line="268" w:lineRule="exact"/>
              <w:ind w:left="176" w:right="173"/>
              <w:jc w:val="center"/>
              <w:rPr>
                <w:rFonts w:ascii="Calibri"/>
                <w:sz w:val="22"/>
              </w:rPr>
            </w:pPr>
            <w:r>
              <w:rPr>
                <w:rFonts w:ascii="Calibri"/>
                <w:spacing w:val="-2"/>
                <w:sz w:val="22"/>
              </w:rPr>
              <w:t>38,390</w:t>
            </w:r>
          </w:p>
        </w:tc>
        <w:tc>
          <w:tcPr>
            <w:tcW w:w="2250" w:type="dxa"/>
          </w:tcPr>
          <w:p>
            <w:pPr>
              <w:pStyle w:val="TableParagraph"/>
              <w:spacing w:line="268" w:lineRule="exact"/>
              <w:ind w:left="746" w:right="740"/>
              <w:jc w:val="center"/>
              <w:rPr>
                <w:rFonts w:ascii="Calibri"/>
                <w:sz w:val="22"/>
              </w:rPr>
            </w:pPr>
            <w:r>
              <w:rPr>
                <w:rFonts w:ascii="Calibri"/>
                <w:spacing w:val="-2"/>
                <w:sz w:val="22"/>
              </w:rPr>
              <w:t>2,129</w:t>
            </w:r>
          </w:p>
        </w:tc>
        <w:tc>
          <w:tcPr>
            <w:tcW w:w="1261" w:type="dxa"/>
          </w:tcPr>
          <w:p>
            <w:pPr>
              <w:pStyle w:val="TableParagraph"/>
              <w:spacing w:line="268" w:lineRule="exact"/>
              <w:ind w:left="216" w:right="211"/>
              <w:jc w:val="center"/>
              <w:rPr>
                <w:rFonts w:ascii="Calibri"/>
                <w:sz w:val="22"/>
              </w:rPr>
            </w:pPr>
            <w:r>
              <w:rPr>
                <w:rFonts w:ascii="Calibri"/>
                <w:spacing w:val="-2"/>
                <w:sz w:val="22"/>
              </w:rPr>
              <w:t>5.25%</w:t>
            </w:r>
          </w:p>
        </w:tc>
      </w:tr>
      <w:tr>
        <w:trPr>
          <w:trHeight w:val="309" w:hRule="atLeast"/>
        </w:trPr>
        <w:tc>
          <w:tcPr>
            <w:tcW w:w="1948" w:type="dxa"/>
          </w:tcPr>
          <w:p>
            <w:pPr>
              <w:pStyle w:val="TableParagraph"/>
              <w:spacing w:line="268" w:lineRule="exact"/>
              <w:ind w:left="657"/>
              <w:rPr>
                <w:rFonts w:ascii="Calibri"/>
                <w:sz w:val="22"/>
              </w:rPr>
            </w:pPr>
            <w:r>
              <w:rPr>
                <w:rFonts w:ascii="Calibri"/>
                <w:spacing w:val="-2"/>
                <w:sz w:val="22"/>
              </w:rPr>
              <w:t>Lincoln</w:t>
            </w:r>
          </w:p>
        </w:tc>
        <w:tc>
          <w:tcPr>
            <w:tcW w:w="1622" w:type="dxa"/>
          </w:tcPr>
          <w:p>
            <w:pPr>
              <w:pStyle w:val="TableParagraph"/>
              <w:spacing w:line="268" w:lineRule="exact"/>
              <w:ind w:left="352" w:right="343"/>
              <w:jc w:val="center"/>
              <w:rPr>
                <w:rFonts w:ascii="Calibri"/>
                <w:sz w:val="22"/>
              </w:rPr>
            </w:pPr>
            <w:r>
              <w:rPr>
                <w:rFonts w:ascii="Calibri"/>
                <w:spacing w:val="-2"/>
                <w:sz w:val="22"/>
              </w:rPr>
              <w:t>35,065</w:t>
            </w:r>
          </w:p>
        </w:tc>
        <w:tc>
          <w:tcPr>
            <w:tcW w:w="2161" w:type="dxa"/>
          </w:tcPr>
          <w:p>
            <w:pPr>
              <w:pStyle w:val="TableParagraph"/>
              <w:spacing w:line="268" w:lineRule="exact"/>
              <w:ind w:left="176" w:right="173"/>
              <w:jc w:val="center"/>
              <w:rPr>
                <w:rFonts w:ascii="Calibri"/>
                <w:sz w:val="22"/>
              </w:rPr>
            </w:pPr>
            <w:r>
              <w:rPr>
                <w:rFonts w:ascii="Calibri"/>
                <w:spacing w:val="-2"/>
                <w:sz w:val="22"/>
              </w:rPr>
              <w:t>33,053</w:t>
            </w:r>
          </w:p>
        </w:tc>
        <w:tc>
          <w:tcPr>
            <w:tcW w:w="2250" w:type="dxa"/>
          </w:tcPr>
          <w:p>
            <w:pPr>
              <w:pStyle w:val="TableParagraph"/>
              <w:spacing w:line="268" w:lineRule="exact"/>
              <w:ind w:left="746" w:right="740"/>
              <w:jc w:val="center"/>
              <w:rPr>
                <w:rFonts w:ascii="Calibri"/>
                <w:sz w:val="22"/>
              </w:rPr>
            </w:pPr>
            <w:r>
              <w:rPr>
                <w:rFonts w:ascii="Calibri"/>
                <w:spacing w:val="-2"/>
                <w:sz w:val="22"/>
              </w:rPr>
              <w:t>2,012</w:t>
            </w:r>
          </w:p>
        </w:tc>
        <w:tc>
          <w:tcPr>
            <w:tcW w:w="1261" w:type="dxa"/>
          </w:tcPr>
          <w:p>
            <w:pPr>
              <w:pStyle w:val="TableParagraph"/>
              <w:spacing w:line="268" w:lineRule="exact"/>
              <w:ind w:left="216" w:right="211"/>
              <w:jc w:val="center"/>
              <w:rPr>
                <w:rFonts w:ascii="Calibri"/>
                <w:sz w:val="22"/>
              </w:rPr>
            </w:pPr>
            <w:r>
              <w:rPr>
                <w:rFonts w:ascii="Calibri"/>
                <w:spacing w:val="-2"/>
                <w:sz w:val="22"/>
              </w:rPr>
              <w:t>5.74%</w:t>
            </w:r>
          </w:p>
        </w:tc>
      </w:tr>
      <w:tr>
        <w:trPr>
          <w:trHeight w:val="309" w:hRule="atLeast"/>
        </w:trPr>
        <w:tc>
          <w:tcPr>
            <w:tcW w:w="1948" w:type="dxa"/>
          </w:tcPr>
          <w:p>
            <w:pPr>
              <w:pStyle w:val="TableParagraph"/>
              <w:spacing w:line="268" w:lineRule="exact"/>
              <w:ind w:left="654" w:right="639"/>
              <w:jc w:val="center"/>
              <w:rPr>
                <w:rFonts w:ascii="Calibri"/>
                <w:sz w:val="22"/>
              </w:rPr>
            </w:pPr>
            <w:r>
              <w:rPr>
                <w:rFonts w:ascii="Calibri"/>
                <w:spacing w:val="-2"/>
                <w:sz w:val="22"/>
              </w:rPr>
              <w:t>Oxford</w:t>
            </w:r>
          </w:p>
        </w:tc>
        <w:tc>
          <w:tcPr>
            <w:tcW w:w="1622" w:type="dxa"/>
          </w:tcPr>
          <w:p>
            <w:pPr>
              <w:pStyle w:val="TableParagraph"/>
              <w:spacing w:line="268" w:lineRule="exact"/>
              <w:ind w:left="352" w:right="343"/>
              <w:jc w:val="center"/>
              <w:rPr>
                <w:rFonts w:ascii="Calibri"/>
                <w:sz w:val="22"/>
              </w:rPr>
            </w:pPr>
            <w:r>
              <w:rPr>
                <w:rFonts w:ascii="Calibri"/>
                <w:spacing w:val="-2"/>
                <w:sz w:val="22"/>
              </w:rPr>
              <w:t>57,807</w:t>
            </w:r>
          </w:p>
        </w:tc>
        <w:tc>
          <w:tcPr>
            <w:tcW w:w="2161" w:type="dxa"/>
          </w:tcPr>
          <w:p>
            <w:pPr>
              <w:pStyle w:val="TableParagraph"/>
              <w:spacing w:line="268" w:lineRule="exact"/>
              <w:ind w:left="178" w:right="173"/>
              <w:jc w:val="center"/>
              <w:rPr>
                <w:rFonts w:ascii="Calibri"/>
                <w:sz w:val="22"/>
              </w:rPr>
            </w:pPr>
            <w:r>
              <w:rPr>
                <w:rFonts w:ascii="Calibri"/>
                <w:spacing w:val="-2"/>
                <w:sz w:val="22"/>
              </w:rPr>
              <w:t>54,379</w:t>
            </w:r>
          </w:p>
        </w:tc>
        <w:tc>
          <w:tcPr>
            <w:tcW w:w="2250" w:type="dxa"/>
          </w:tcPr>
          <w:p>
            <w:pPr>
              <w:pStyle w:val="TableParagraph"/>
              <w:spacing w:line="268" w:lineRule="exact"/>
              <w:ind w:left="746" w:right="740"/>
              <w:jc w:val="center"/>
              <w:rPr>
                <w:rFonts w:ascii="Calibri"/>
                <w:sz w:val="22"/>
              </w:rPr>
            </w:pPr>
            <w:r>
              <w:rPr>
                <w:rFonts w:ascii="Calibri"/>
                <w:spacing w:val="-2"/>
                <w:sz w:val="22"/>
              </w:rPr>
              <w:t>3,428</w:t>
            </w:r>
          </w:p>
        </w:tc>
        <w:tc>
          <w:tcPr>
            <w:tcW w:w="1261" w:type="dxa"/>
          </w:tcPr>
          <w:p>
            <w:pPr>
              <w:pStyle w:val="TableParagraph"/>
              <w:spacing w:line="268" w:lineRule="exact"/>
              <w:ind w:left="216" w:right="211"/>
              <w:jc w:val="center"/>
              <w:rPr>
                <w:rFonts w:ascii="Calibri"/>
                <w:sz w:val="22"/>
              </w:rPr>
            </w:pPr>
            <w:r>
              <w:rPr>
                <w:rFonts w:ascii="Calibri"/>
                <w:spacing w:val="-2"/>
                <w:sz w:val="22"/>
              </w:rPr>
              <w:t>5.93%</w:t>
            </w:r>
          </w:p>
        </w:tc>
      </w:tr>
      <w:tr>
        <w:trPr>
          <w:trHeight w:val="309" w:hRule="atLeast"/>
        </w:trPr>
        <w:tc>
          <w:tcPr>
            <w:tcW w:w="1948" w:type="dxa"/>
          </w:tcPr>
          <w:p>
            <w:pPr>
              <w:pStyle w:val="TableParagraph"/>
              <w:spacing w:line="268" w:lineRule="exact"/>
              <w:ind w:left="506"/>
              <w:rPr>
                <w:rFonts w:ascii="Calibri"/>
                <w:sz w:val="22"/>
              </w:rPr>
            </w:pPr>
            <w:r>
              <w:rPr>
                <w:rFonts w:ascii="Calibri"/>
                <w:spacing w:val="-2"/>
                <w:sz w:val="22"/>
              </w:rPr>
              <w:t>Penobscot</w:t>
            </w:r>
          </w:p>
        </w:tc>
        <w:tc>
          <w:tcPr>
            <w:tcW w:w="1622" w:type="dxa"/>
          </w:tcPr>
          <w:p>
            <w:pPr>
              <w:pStyle w:val="TableParagraph"/>
              <w:spacing w:line="268" w:lineRule="exact"/>
              <w:ind w:left="351" w:right="343"/>
              <w:jc w:val="center"/>
              <w:rPr>
                <w:rFonts w:ascii="Calibri"/>
                <w:sz w:val="22"/>
              </w:rPr>
            </w:pPr>
            <w:r>
              <w:rPr>
                <w:rFonts w:ascii="Calibri"/>
                <w:spacing w:val="-2"/>
                <w:sz w:val="22"/>
              </w:rPr>
              <w:t>152,211</w:t>
            </w:r>
          </w:p>
        </w:tc>
        <w:tc>
          <w:tcPr>
            <w:tcW w:w="2161" w:type="dxa"/>
          </w:tcPr>
          <w:p>
            <w:pPr>
              <w:pStyle w:val="TableParagraph"/>
              <w:spacing w:line="268" w:lineRule="exact"/>
              <w:ind w:left="178" w:right="170"/>
              <w:jc w:val="center"/>
              <w:rPr>
                <w:rFonts w:ascii="Calibri"/>
                <w:sz w:val="22"/>
              </w:rPr>
            </w:pPr>
            <w:r>
              <w:rPr>
                <w:rFonts w:ascii="Calibri"/>
                <w:spacing w:val="-2"/>
                <w:sz w:val="22"/>
              </w:rPr>
              <w:t>141,069</w:t>
            </w:r>
          </w:p>
        </w:tc>
        <w:tc>
          <w:tcPr>
            <w:tcW w:w="2250" w:type="dxa"/>
          </w:tcPr>
          <w:p>
            <w:pPr>
              <w:pStyle w:val="TableParagraph"/>
              <w:spacing w:line="268" w:lineRule="exact"/>
              <w:ind w:left="745" w:right="740"/>
              <w:jc w:val="center"/>
              <w:rPr>
                <w:rFonts w:ascii="Calibri"/>
                <w:sz w:val="22"/>
              </w:rPr>
            </w:pPr>
            <w:r>
              <w:rPr>
                <w:rFonts w:ascii="Calibri"/>
                <w:spacing w:val="-2"/>
                <w:sz w:val="22"/>
              </w:rPr>
              <w:t>11,142</w:t>
            </w:r>
          </w:p>
        </w:tc>
        <w:tc>
          <w:tcPr>
            <w:tcW w:w="1261" w:type="dxa"/>
          </w:tcPr>
          <w:p>
            <w:pPr>
              <w:pStyle w:val="TableParagraph"/>
              <w:spacing w:line="268" w:lineRule="exact"/>
              <w:ind w:left="216" w:right="211"/>
              <w:jc w:val="center"/>
              <w:rPr>
                <w:rFonts w:ascii="Calibri"/>
                <w:sz w:val="22"/>
              </w:rPr>
            </w:pPr>
            <w:r>
              <w:rPr>
                <w:rFonts w:ascii="Calibri"/>
                <w:spacing w:val="-2"/>
                <w:sz w:val="22"/>
              </w:rPr>
              <w:t>7.32%</w:t>
            </w:r>
          </w:p>
        </w:tc>
      </w:tr>
      <w:tr>
        <w:trPr>
          <w:trHeight w:val="309" w:hRule="atLeast"/>
        </w:trPr>
        <w:tc>
          <w:tcPr>
            <w:tcW w:w="1948" w:type="dxa"/>
          </w:tcPr>
          <w:p>
            <w:pPr>
              <w:pStyle w:val="TableParagraph"/>
              <w:spacing w:line="268" w:lineRule="exact"/>
              <w:ind w:left="477"/>
              <w:rPr>
                <w:rFonts w:ascii="Calibri"/>
                <w:sz w:val="22"/>
              </w:rPr>
            </w:pPr>
            <w:r>
              <w:rPr>
                <w:rFonts w:ascii="Calibri"/>
                <w:spacing w:val="-2"/>
                <w:sz w:val="22"/>
              </w:rPr>
              <w:t>Piscataquis</w:t>
            </w:r>
          </w:p>
        </w:tc>
        <w:tc>
          <w:tcPr>
            <w:tcW w:w="1622" w:type="dxa"/>
          </w:tcPr>
          <w:p>
            <w:pPr>
              <w:pStyle w:val="TableParagraph"/>
              <w:spacing w:line="268" w:lineRule="exact"/>
              <w:ind w:left="352" w:right="343"/>
              <w:jc w:val="center"/>
              <w:rPr>
                <w:rFonts w:ascii="Calibri"/>
                <w:sz w:val="22"/>
              </w:rPr>
            </w:pPr>
            <w:r>
              <w:rPr>
                <w:rFonts w:ascii="Calibri"/>
                <w:spacing w:val="-2"/>
                <w:sz w:val="22"/>
              </w:rPr>
              <w:t>16,760</w:t>
            </w:r>
          </w:p>
        </w:tc>
        <w:tc>
          <w:tcPr>
            <w:tcW w:w="2161" w:type="dxa"/>
          </w:tcPr>
          <w:p>
            <w:pPr>
              <w:pStyle w:val="TableParagraph"/>
              <w:spacing w:line="268" w:lineRule="exact"/>
              <w:ind w:left="176" w:right="173"/>
              <w:jc w:val="center"/>
              <w:rPr>
                <w:rFonts w:ascii="Calibri"/>
                <w:sz w:val="22"/>
              </w:rPr>
            </w:pPr>
            <w:r>
              <w:rPr>
                <w:rFonts w:ascii="Calibri"/>
                <w:spacing w:val="-2"/>
                <w:sz w:val="22"/>
              </w:rPr>
              <w:t>15,645</w:t>
            </w:r>
          </w:p>
        </w:tc>
        <w:tc>
          <w:tcPr>
            <w:tcW w:w="2250" w:type="dxa"/>
          </w:tcPr>
          <w:p>
            <w:pPr>
              <w:pStyle w:val="TableParagraph"/>
              <w:spacing w:line="268" w:lineRule="exact"/>
              <w:ind w:left="746" w:right="740"/>
              <w:jc w:val="center"/>
              <w:rPr>
                <w:rFonts w:ascii="Calibri"/>
                <w:sz w:val="22"/>
              </w:rPr>
            </w:pPr>
            <w:r>
              <w:rPr>
                <w:rFonts w:ascii="Calibri"/>
                <w:spacing w:val="-2"/>
                <w:sz w:val="22"/>
              </w:rPr>
              <w:t>1,115</w:t>
            </w:r>
          </w:p>
        </w:tc>
        <w:tc>
          <w:tcPr>
            <w:tcW w:w="1261" w:type="dxa"/>
          </w:tcPr>
          <w:p>
            <w:pPr>
              <w:pStyle w:val="TableParagraph"/>
              <w:spacing w:line="268" w:lineRule="exact"/>
              <w:ind w:left="216" w:right="211"/>
              <w:jc w:val="center"/>
              <w:rPr>
                <w:rFonts w:ascii="Calibri"/>
                <w:sz w:val="22"/>
              </w:rPr>
            </w:pPr>
            <w:r>
              <w:rPr>
                <w:rFonts w:ascii="Calibri"/>
                <w:spacing w:val="-2"/>
                <w:sz w:val="22"/>
              </w:rPr>
              <w:t>6.65%</w:t>
            </w:r>
          </w:p>
        </w:tc>
      </w:tr>
      <w:tr>
        <w:trPr>
          <w:trHeight w:val="306" w:hRule="atLeast"/>
        </w:trPr>
        <w:tc>
          <w:tcPr>
            <w:tcW w:w="1948" w:type="dxa"/>
          </w:tcPr>
          <w:p>
            <w:pPr>
              <w:pStyle w:val="TableParagraph"/>
              <w:spacing w:line="268" w:lineRule="exact"/>
              <w:ind w:left="494"/>
              <w:rPr>
                <w:rFonts w:ascii="Calibri"/>
                <w:sz w:val="22"/>
              </w:rPr>
            </w:pPr>
            <w:r>
              <w:rPr>
                <w:rFonts w:ascii="Calibri"/>
                <w:spacing w:val="-2"/>
                <w:sz w:val="22"/>
              </w:rPr>
              <w:t>Sagadahoc</w:t>
            </w:r>
          </w:p>
        </w:tc>
        <w:tc>
          <w:tcPr>
            <w:tcW w:w="1622" w:type="dxa"/>
          </w:tcPr>
          <w:p>
            <w:pPr>
              <w:pStyle w:val="TableParagraph"/>
              <w:spacing w:line="268" w:lineRule="exact"/>
              <w:ind w:left="352" w:right="343"/>
              <w:jc w:val="center"/>
              <w:rPr>
                <w:rFonts w:ascii="Calibri"/>
                <w:sz w:val="22"/>
              </w:rPr>
            </w:pPr>
            <w:r>
              <w:rPr>
                <w:rFonts w:ascii="Calibri"/>
                <w:spacing w:val="-2"/>
                <w:sz w:val="22"/>
              </w:rPr>
              <w:t>36,530</w:t>
            </w:r>
          </w:p>
        </w:tc>
        <w:tc>
          <w:tcPr>
            <w:tcW w:w="2161" w:type="dxa"/>
          </w:tcPr>
          <w:p>
            <w:pPr>
              <w:pStyle w:val="TableParagraph"/>
              <w:spacing w:line="268" w:lineRule="exact"/>
              <w:ind w:left="176" w:right="173"/>
              <w:jc w:val="center"/>
              <w:rPr>
                <w:rFonts w:ascii="Calibri"/>
                <w:sz w:val="22"/>
              </w:rPr>
            </w:pPr>
            <w:r>
              <w:rPr>
                <w:rFonts w:ascii="Calibri"/>
                <w:spacing w:val="-2"/>
                <w:sz w:val="22"/>
              </w:rPr>
              <w:t>34,210</w:t>
            </w:r>
          </w:p>
        </w:tc>
        <w:tc>
          <w:tcPr>
            <w:tcW w:w="2250" w:type="dxa"/>
          </w:tcPr>
          <w:p>
            <w:pPr>
              <w:pStyle w:val="TableParagraph"/>
              <w:spacing w:line="268" w:lineRule="exact"/>
              <w:ind w:left="746" w:right="740"/>
              <w:jc w:val="center"/>
              <w:rPr>
                <w:rFonts w:ascii="Calibri"/>
                <w:sz w:val="22"/>
              </w:rPr>
            </w:pPr>
            <w:r>
              <w:rPr>
                <w:rFonts w:ascii="Calibri"/>
                <w:spacing w:val="-2"/>
                <w:sz w:val="22"/>
              </w:rPr>
              <w:t>2,320</w:t>
            </w:r>
          </w:p>
        </w:tc>
        <w:tc>
          <w:tcPr>
            <w:tcW w:w="1261" w:type="dxa"/>
          </w:tcPr>
          <w:p>
            <w:pPr>
              <w:pStyle w:val="TableParagraph"/>
              <w:spacing w:line="268" w:lineRule="exact"/>
              <w:ind w:left="216" w:right="211"/>
              <w:jc w:val="center"/>
              <w:rPr>
                <w:rFonts w:ascii="Calibri"/>
                <w:sz w:val="22"/>
              </w:rPr>
            </w:pPr>
            <w:r>
              <w:rPr>
                <w:rFonts w:ascii="Calibri"/>
                <w:spacing w:val="-2"/>
                <w:sz w:val="22"/>
              </w:rPr>
              <w:t>6.35%</w:t>
            </w:r>
          </w:p>
        </w:tc>
      </w:tr>
      <w:tr>
        <w:trPr>
          <w:trHeight w:val="309" w:hRule="atLeast"/>
        </w:trPr>
        <w:tc>
          <w:tcPr>
            <w:tcW w:w="1948" w:type="dxa"/>
          </w:tcPr>
          <w:p>
            <w:pPr>
              <w:pStyle w:val="TableParagraph"/>
              <w:spacing w:line="240" w:lineRule="auto" w:before="1"/>
              <w:ind w:left="551"/>
              <w:rPr>
                <w:rFonts w:ascii="Calibri"/>
                <w:sz w:val="22"/>
              </w:rPr>
            </w:pPr>
            <w:r>
              <w:rPr>
                <w:rFonts w:ascii="Calibri"/>
                <w:spacing w:val="-2"/>
                <w:sz w:val="22"/>
              </w:rPr>
              <w:t>Somerset</w:t>
            </w:r>
          </w:p>
        </w:tc>
        <w:tc>
          <w:tcPr>
            <w:tcW w:w="1622" w:type="dxa"/>
          </w:tcPr>
          <w:p>
            <w:pPr>
              <w:pStyle w:val="TableParagraph"/>
              <w:spacing w:line="240" w:lineRule="auto" w:before="1"/>
              <w:ind w:left="352" w:right="343"/>
              <w:jc w:val="center"/>
              <w:rPr>
                <w:rFonts w:ascii="Calibri"/>
                <w:sz w:val="22"/>
              </w:rPr>
            </w:pPr>
            <w:r>
              <w:rPr>
                <w:rFonts w:ascii="Calibri"/>
                <w:spacing w:val="-2"/>
                <w:sz w:val="22"/>
              </w:rPr>
              <w:t>50,424</w:t>
            </w:r>
          </w:p>
        </w:tc>
        <w:tc>
          <w:tcPr>
            <w:tcW w:w="2161" w:type="dxa"/>
          </w:tcPr>
          <w:p>
            <w:pPr>
              <w:pStyle w:val="TableParagraph"/>
              <w:spacing w:line="240" w:lineRule="auto" w:before="1"/>
              <w:ind w:left="178" w:right="173"/>
              <w:jc w:val="center"/>
              <w:rPr>
                <w:rFonts w:ascii="Calibri"/>
                <w:sz w:val="22"/>
              </w:rPr>
            </w:pPr>
            <w:r>
              <w:rPr>
                <w:rFonts w:ascii="Calibri"/>
                <w:spacing w:val="-2"/>
                <w:sz w:val="22"/>
              </w:rPr>
              <w:t>48,011</w:t>
            </w:r>
          </w:p>
        </w:tc>
        <w:tc>
          <w:tcPr>
            <w:tcW w:w="2250" w:type="dxa"/>
          </w:tcPr>
          <w:p>
            <w:pPr>
              <w:pStyle w:val="TableParagraph"/>
              <w:spacing w:line="240" w:lineRule="auto" w:before="1"/>
              <w:ind w:left="746" w:right="740"/>
              <w:jc w:val="center"/>
              <w:rPr>
                <w:rFonts w:ascii="Calibri"/>
                <w:sz w:val="22"/>
              </w:rPr>
            </w:pPr>
            <w:r>
              <w:rPr>
                <w:rFonts w:ascii="Calibri"/>
                <w:spacing w:val="-2"/>
                <w:sz w:val="22"/>
              </w:rPr>
              <w:t>2,413</w:t>
            </w:r>
          </w:p>
        </w:tc>
        <w:tc>
          <w:tcPr>
            <w:tcW w:w="1261" w:type="dxa"/>
          </w:tcPr>
          <w:p>
            <w:pPr>
              <w:pStyle w:val="TableParagraph"/>
              <w:spacing w:line="240" w:lineRule="auto" w:before="1"/>
              <w:ind w:left="216" w:right="211"/>
              <w:jc w:val="center"/>
              <w:rPr>
                <w:rFonts w:ascii="Calibri"/>
                <w:sz w:val="22"/>
              </w:rPr>
            </w:pPr>
            <w:r>
              <w:rPr>
                <w:rFonts w:ascii="Calibri"/>
                <w:spacing w:val="-2"/>
                <w:sz w:val="22"/>
              </w:rPr>
              <w:t>4.79%</w:t>
            </w:r>
          </w:p>
        </w:tc>
      </w:tr>
      <w:tr>
        <w:trPr>
          <w:trHeight w:val="309" w:hRule="atLeast"/>
        </w:trPr>
        <w:tc>
          <w:tcPr>
            <w:tcW w:w="1948" w:type="dxa"/>
          </w:tcPr>
          <w:p>
            <w:pPr>
              <w:pStyle w:val="TableParagraph"/>
              <w:spacing w:line="268" w:lineRule="exact"/>
              <w:ind w:left="652" w:right="639"/>
              <w:jc w:val="center"/>
              <w:rPr>
                <w:rFonts w:ascii="Calibri"/>
                <w:sz w:val="22"/>
              </w:rPr>
            </w:pPr>
            <w:r>
              <w:rPr>
                <w:rFonts w:ascii="Calibri"/>
                <w:spacing w:val="-2"/>
                <w:sz w:val="22"/>
              </w:rPr>
              <w:t>Waldo</w:t>
            </w:r>
          </w:p>
        </w:tc>
        <w:tc>
          <w:tcPr>
            <w:tcW w:w="1622" w:type="dxa"/>
          </w:tcPr>
          <w:p>
            <w:pPr>
              <w:pStyle w:val="TableParagraph"/>
              <w:spacing w:line="268" w:lineRule="exact"/>
              <w:ind w:left="352" w:right="343"/>
              <w:jc w:val="center"/>
              <w:rPr>
                <w:rFonts w:ascii="Calibri"/>
                <w:sz w:val="22"/>
              </w:rPr>
            </w:pPr>
            <w:r>
              <w:rPr>
                <w:rFonts w:ascii="Calibri"/>
                <w:spacing w:val="-2"/>
                <w:sz w:val="22"/>
              </w:rPr>
              <w:t>39,618</w:t>
            </w:r>
          </w:p>
        </w:tc>
        <w:tc>
          <w:tcPr>
            <w:tcW w:w="2161" w:type="dxa"/>
          </w:tcPr>
          <w:p>
            <w:pPr>
              <w:pStyle w:val="TableParagraph"/>
              <w:spacing w:line="268" w:lineRule="exact"/>
              <w:ind w:left="178" w:right="173"/>
              <w:jc w:val="center"/>
              <w:rPr>
                <w:rFonts w:ascii="Calibri"/>
                <w:sz w:val="22"/>
              </w:rPr>
            </w:pPr>
            <w:r>
              <w:rPr>
                <w:rFonts w:ascii="Calibri"/>
                <w:spacing w:val="-2"/>
                <w:sz w:val="22"/>
              </w:rPr>
              <w:t>37,382</w:t>
            </w:r>
          </w:p>
        </w:tc>
        <w:tc>
          <w:tcPr>
            <w:tcW w:w="2250" w:type="dxa"/>
          </w:tcPr>
          <w:p>
            <w:pPr>
              <w:pStyle w:val="TableParagraph"/>
              <w:spacing w:line="268" w:lineRule="exact"/>
              <w:ind w:left="746" w:right="740"/>
              <w:jc w:val="center"/>
              <w:rPr>
                <w:rFonts w:ascii="Calibri"/>
                <w:sz w:val="22"/>
              </w:rPr>
            </w:pPr>
            <w:r>
              <w:rPr>
                <w:rFonts w:ascii="Calibri"/>
                <w:spacing w:val="-2"/>
                <w:sz w:val="22"/>
              </w:rPr>
              <w:t>2,236</w:t>
            </w:r>
          </w:p>
        </w:tc>
        <w:tc>
          <w:tcPr>
            <w:tcW w:w="1261" w:type="dxa"/>
          </w:tcPr>
          <w:p>
            <w:pPr>
              <w:pStyle w:val="TableParagraph"/>
              <w:spacing w:line="268" w:lineRule="exact"/>
              <w:ind w:left="216" w:right="211"/>
              <w:jc w:val="center"/>
              <w:rPr>
                <w:rFonts w:ascii="Calibri"/>
                <w:sz w:val="22"/>
              </w:rPr>
            </w:pPr>
            <w:r>
              <w:rPr>
                <w:rFonts w:ascii="Calibri"/>
                <w:spacing w:val="-2"/>
                <w:sz w:val="22"/>
              </w:rPr>
              <w:t>5.64%</w:t>
            </w:r>
          </w:p>
        </w:tc>
      </w:tr>
      <w:tr>
        <w:trPr>
          <w:trHeight w:val="309" w:hRule="atLeast"/>
        </w:trPr>
        <w:tc>
          <w:tcPr>
            <w:tcW w:w="1948" w:type="dxa"/>
          </w:tcPr>
          <w:p>
            <w:pPr>
              <w:pStyle w:val="TableParagraph"/>
              <w:spacing w:line="268" w:lineRule="exact"/>
              <w:ind w:left="436"/>
              <w:rPr>
                <w:rFonts w:ascii="Calibri"/>
                <w:sz w:val="22"/>
              </w:rPr>
            </w:pPr>
            <w:r>
              <w:rPr>
                <w:rFonts w:ascii="Calibri"/>
                <w:spacing w:val="-2"/>
                <w:sz w:val="22"/>
              </w:rPr>
              <w:t>Washington</w:t>
            </w:r>
          </w:p>
        </w:tc>
        <w:tc>
          <w:tcPr>
            <w:tcW w:w="1622" w:type="dxa"/>
          </w:tcPr>
          <w:p>
            <w:pPr>
              <w:pStyle w:val="TableParagraph"/>
              <w:spacing w:line="268" w:lineRule="exact"/>
              <w:ind w:left="352" w:right="343"/>
              <w:jc w:val="center"/>
              <w:rPr>
                <w:rFonts w:ascii="Calibri"/>
                <w:sz w:val="22"/>
              </w:rPr>
            </w:pPr>
            <w:r>
              <w:rPr>
                <w:rFonts w:ascii="Calibri"/>
                <w:spacing w:val="-2"/>
                <w:sz w:val="22"/>
              </w:rPr>
              <w:t>31,003</w:t>
            </w:r>
          </w:p>
        </w:tc>
        <w:tc>
          <w:tcPr>
            <w:tcW w:w="2161" w:type="dxa"/>
          </w:tcPr>
          <w:p>
            <w:pPr>
              <w:pStyle w:val="TableParagraph"/>
              <w:spacing w:line="268" w:lineRule="exact"/>
              <w:ind w:left="176" w:right="173"/>
              <w:jc w:val="center"/>
              <w:rPr>
                <w:rFonts w:ascii="Calibri"/>
                <w:sz w:val="22"/>
              </w:rPr>
            </w:pPr>
            <w:r>
              <w:rPr>
                <w:rFonts w:ascii="Calibri"/>
                <w:spacing w:val="-2"/>
                <w:sz w:val="22"/>
              </w:rPr>
              <w:t>27,511</w:t>
            </w:r>
          </w:p>
        </w:tc>
        <w:tc>
          <w:tcPr>
            <w:tcW w:w="2250" w:type="dxa"/>
          </w:tcPr>
          <w:p>
            <w:pPr>
              <w:pStyle w:val="TableParagraph"/>
              <w:spacing w:line="268" w:lineRule="exact"/>
              <w:ind w:left="746" w:right="740"/>
              <w:jc w:val="center"/>
              <w:rPr>
                <w:rFonts w:ascii="Calibri"/>
                <w:sz w:val="22"/>
              </w:rPr>
            </w:pPr>
            <w:r>
              <w:rPr>
                <w:rFonts w:ascii="Calibri"/>
                <w:spacing w:val="-2"/>
                <w:sz w:val="22"/>
              </w:rPr>
              <w:t>3,492</w:t>
            </w:r>
          </w:p>
        </w:tc>
        <w:tc>
          <w:tcPr>
            <w:tcW w:w="1261" w:type="dxa"/>
          </w:tcPr>
          <w:p>
            <w:pPr>
              <w:pStyle w:val="TableParagraph"/>
              <w:spacing w:line="268" w:lineRule="exact"/>
              <w:ind w:left="219" w:right="210"/>
              <w:jc w:val="center"/>
              <w:rPr>
                <w:rFonts w:ascii="Calibri"/>
                <w:sz w:val="22"/>
              </w:rPr>
            </w:pPr>
            <w:r>
              <w:rPr>
                <w:rFonts w:ascii="Calibri"/>
                <w:spacing w:val="-2"/>
                <w:sz w:val="22"/>
              </w:rPr>
              <w:t>11.26%</w:t>
            </w:r>
          </w:p>
        </w:tc>
      </w:tr>
      <w:tr>
        <w:trPr>
          <w:trHeight w:val="309" w:hRule="atLeast"/>
        </w:trPr>
        <w:tc>
          <w:tcPr>
            <w:tcW w:w="1948" w:type="dxa"/>
          </w:tcPr>
          <w:p>
            <w:pPr>
              <w:pStyle w:val="TableParagraph"/>
              <w:spacing w:line="268" w:lineRule="exact"/>
              <w:ind w:left="653" w:right="639"/>
              <w:jc w:val="center"/>
              <w:rPr>
                <w:rFonts w:ascii="Calibri"/>
                <w:sz w:val="22"/>
              </w:rPr>
            </w:pPr>
            <w:r>
              <w:rPr>
                <w:rFonts w:ascii="Calibri"/>
                <w:spacing w:val="-4"/>
                <w:sz w:val="22"/>
              </w:rPr>
              <w:t>York</w:t>
            </w:r>
          </w:p>
        </w:tc>
        <w:tc>
          <w:tcPr>
            <w:tcW w:w="1622" w:type="dxa"/>
          </w:tcPr>
          <w:p>
            <w:pPr>
              <w:pStyle w:val="TableParagraph"/>
              <w:spacing w:line="268" w:lineRule="exact"/>
              <w:ind w:left="351" w:right="343"/>
              <w:jc w:val="center"/>
              <w:rPr>
                <w:rFonts w:ascii="Calibri"/>
                <w:sz w:val="22"/>
              </w:rPr>
            </w:pPr>
            <w:r>
              <w:rPr>
                <w:rFonts w:ascii="Calibri"/>
                <w:spacing w:val="-2"/>
                <w:sz w:val="22"/>
              </w:rPr>
              <w:t>210,486</w:t>
            </w:r>
          </w:p>
        </w:tc>
        <w:tc>
          <w:tcPr>
            <w:tcW w:w="2161" w:type="dxa"/>
          </w:tcPr>
          <w:p>
            <w:pPr>
              <w:pStyle w:val="TableParagraph"/>
              <w:spacing w:line="268" w:lineRule="exact"/>
              <w:ind w:left="178" w:right="171"/>
              <w:jc w:val="center"/>
              <w:rPr>
                <w:rFonts w:ascii="Calibri"/>
                <w:sz w:val="22"/>
              </w:rPr>
            </w:pPr>
            <w:r>
              <w:rPr>
                <w:rFonts w:ascii="Calibri"/>
                <w:spacing w:val="-2"/>
                <w:sz w:val="22"/>
              </w:rPr>
              <w:t>194,628</w:t>
            </w:r>
          </w:p>
        </w:tc>
        <w:tc>
          <w:tcPr>
            <w:tcW w:w="2250" w:type="dxa"/>
          </w:tcPr>
          <w:p>
            <w:pPr>
              <w:pStyle w:val="TableParagraph"/>
              <w:spacing w:line="268" w:lineRule="exact"/>
              <w:ind w:left="745" w:right="740"/>
              <w:jc w:val="center"/>
              <w:rPr>
                <w:rFonts w:ascii="Calibri"/>
                <w:sz w:val="22"/>
              </w:rPr>
            </w:pPr>
            <w:r>
              <w:rPr>
                <w:rFonts w:ascii="Calibri"/>
                <w:spacing w:val="-2"/>
                <w:sz w:val="22"/>
              </w:rPr>
              <w:t>15,858</w:t>
            </w:r>
          </w:p>
        </w:tc>
        <w:tc>
          <w:tcPr>
            <w:tcW w:w="1261" w:type="dxa"/>
          </w:tcPr>
          <w:p>
            <w:pPr>
              <w:pStyle w:val="TableParagraph"/>
              <w:spacing w:line="268" w:lineRule="exact"/>
              <w:ind w:left="216" w:right="211"/>
              <w:jc w:val="center"/>
              <w:rPr>
                <w:rFonts w:ascii="Calibri"/>
                <w:sz w:val="22"/>
              </w:rPr>
            </w:pPr>
            <w:r>
              <w:rPr>
                <w:rFonts w:ascii="Calibri"/>
                <w:spacing w:val="-2"/>
                <w:sz w:val="22"/>
              </w:rPr>
              <w:t>7.53%</w:t>
            </w:r>
          </w:p>
        </w:tc>
      </w:tr>
    </w:tbl>
    <w:p>
      <w:pPr>
        <w:pStyle w:val="BodyText"/>
        <w:spacing w:before="8"/>
        <w:rPr>
          <w:sz w:val="19"/>
        </w:rPr>
      </w:pPr>
    </w:p>
    <w:p>
      <w:pPr>
        <w:spacing w:before="59"/>
        <w:ind w:left="840" w:right="0" w:firstLine="0"/>
        <w:jc w:val="left"/>
        <w:rPr>
          <w:i/>
          <w:sz w:val="20"/>
        </w:rPr>
      </w:pPr>
      <w:r>
        <w:rPr>
          <w:i/>
          <w:sz w:val="20"/>
        </w:rPr>
        <w:t>Source:</w:t>
      </w:r>
      <w:r>
        <w:rPr>
          <w:i/>
          <w:spacing w:val="-8"/>
          <w:sz w:val="20"/>
        </w:rPr>
        <w:t> </w:t>
      </w:r>
      <w:r>
        <w:rPr>
          <w:i/>
          <w:sz w:val="20"/>
        </w:rPr>
        <w:t>2021</w:t>
      </w:r>
      <w:r>
        <w:rPr>
          <w:i/>
          <w:spacing w:val="-7"/>
          <w:sz w:val="20"/>
        </w:rPr>
        <w:t> </w:t>
      </w:r>
      <w:r>
        <w:rPr>
          <w:i/>
          <w:sz w:val="20"/>
        </w:rPr>
        <w:t>United</w:t>
      </w:r>
      <w:r>
        <w:rPr>
          <w:i/>
          <w:spacing w:val="-6"/>
          <w:sz w:val="20"/>
        </w:rPr>
        <w:t> </w:t>
      </w:r>
      <w:r>
        <w:rPr>
          <w:i/>
          <w:sz w:val="20"/>
        </w:rPr>
        <w:t>States</w:t>
      </w:r>
      <w:r>
        <w:rPr>
          <w:i/>
          <w:spacing w:val="-8"/>
          <w:sz w:val="20"/>
        </w:rPr>
        <w:t> </w:t>
      </w:r>
      <w:r>
        <w:rPr>
          <w:i/>
          <w:sz w:val="20"/>
        </w:rPr>
        <w:t>Bureau</w:t>
      </w:r>
      <w:r>
        <w:rPr>
          <w:i/>
          <w:spacing w:val="-6"/>
          <w:sz w:val="20"/>
        </w:rPr>
        <w:t> </w:t>
      </w:r>
      <w:r>
        <w:rPr>
          <w:i/>
          <w:sz w:val="20"/>
        </w:rPr>
        <w:t>of</w:t>
      </w:r>
      <w:r>
        <w:rPr>
          <w:i/>
          <w:spacing w:val="-8"/>
          <w:sz w:val="20"/>
        </w:rPr>
        <w:t> </w:t>
      </w:r>
      <w:r>
        <w:rPr>
          <w:i/>
          <w:sz w:val="20"/>
        </w:rPr>
        <w:t>the</w:t>
      </w:r>
      <w:r>
        <w:rPr>
          <w:i/>
          <w:spacing w:val="-6"/>
          <w:sz w:val="20"/>
        </w:rPr>
        <w:t> </w:t>
      </w:r>
      <w:r>
        <w:rPr>
          <w:i/>
          <w:sz w:val="20"/>
        </w:rPr>
        <w:t>Census,</w:t>
      </w:r>
      <w:r>
        <w:rPr>
          <w:i/>
          <w:spacing w:val="-6"/>
          <w:sz w:val="20"/>
        </w:rPr>
        <w:t> </w:t>
      </w:r>
      <w:r>
        <w:rPr>
          <w:i/>
          <w:sz w:val="20"/>
        </w:rPr>
        <w:t>American</w:t>
      </w:r>
      <w:r>
        <w:rPr>
          <w:i/>
          <w:spacing w:val="-6"/>
          <w:sz w:val="20"/>
        </w:rPr>
        <w:t> </w:t>
      </w:r>
      <w:r>
        <w:rPr>
          <w:i/>
          <w:sz w:val="20"/>
        </w:rPr>
        <w:t>Community</w:t>
      </w:r>
      <w:r>
        <w:rPr>
          <w:i/>
          <w:spacing w:val="-7"/>
          <w:sz w:val="20"/>
        </w:rPr>
        <w:t> </w:t>
      </w:r>
      <w:r>
        <w:rPr>
          <w:i/>
          <w:sz w:val="20"/>
        </w:rPr>
        <w:t>Survey</w:t>
      </w:r>
      <w:r>
        <w:rPr>
          <w:i/>
          <w:spacing w:val="-7"/>
          <w:sz w:val="20"/>
        </w:rPr>
        <w:t> </w:t>
      </w:r>
      <w:r>
        <w:rPr>
          <w:i/>
          <w:sz w:val="20"/>
        </w:rPr>
        <w:t>5-year</w:t>
      </w:r>
      <w:r>
        <w:rPr>
          <w:i/>
          <w:spacing w:val="-8"/>
          <w:sz w:val="20"/>
        </w:rPr>
        <w:t> </w:t>
      </w:r>
      <w:r>
        <w:rPr>
          <w:i/>
          <w:spacing w:val="-2"/>
          <w:sz w:val="20"/>
        </w:rPr>
        <w:t>Estimates</w:t>
      </w:r>
    </w:p>
    <w:p>
      <w:pPr>
        <w:spacing w:after="0"/>
        <w:jc w:val="left"/>
        <w:rPr>
          <w:sz w:val="20"/>
        </w:rPr>
        <w:sectPr>
          <w:pgSz w:w="12240" w:h="15840"/>
          <w:pgMar w:header="0" w:footer="997" w:top="960" w:bottom="1260" w:left="600" w:right="500"/>
        </w:sectPr>
      </w:pPr>
    </w:p>
    <w:p>
      <w:pPr>
        <w:pStyle w:val="BodyText"/>
        <w:spacing w:before="35"/>
        <w:ind w:left="840"/>
      </w:pPr>
      <w:r>
        <w:rPr/>
        <w:t>The</w:t>
      </w:r>
      <w:r>
        <w:rPr>
          <w:spacing w:val="-2"/>
        </w:rPr>
        <w:t> </w:t>
      </w:r>
      <w:r>
        <w:rPr/>
        <w:t>following</w:t>
      </w:r>
      <w:r>
        <w:rPr>
          <w:spacing w:val="-3"/>
        </w:rPr>
        <w:t> </w:t>
      </w:r>
      <w:r>
        <w:rPr/>
        <w:t>map</w:t>
      </w:r>
      <w:r>
        <w:rPr>
          <w:spacing w:val="-2"/>
        </w:rPr>
        <w:t> </w:t>
      </w:r>
      <w:r>
        <w:rPr/>
        <w:t>identifies</w:t>
      </w:r>
      <w:r>
        <w:rPr>
          <w:spacing w:val="-3"/>
        </w:rPr>
        <w:t> </w:t>
      </w:r>
      <w:r>
        <w:rPr/>
        <w:t>Maine</w:t>
      </w:r>
      <w:r>
        <w:rPr>
          <w:spacing w:val="-2"/>
        </w:rPr>
        <w:t> </w:t>
      </w:r>
      <w:r>
        <w:rPr/>
        <w:t>census</w:t>
      </w:r>
      <w:r>
        <w:rPr>
          <w:spacing w:val="-1"/>
        </w:rPr>
        <w:t> </w:t>
      </w:r>
      <w:r>
        <w:rPr/>
        <w:t>tracts</w:t>
      </w:r>
      <w:r>
        <w:rPr>
          <w:spacing w:val="-3"/>
        </w:rPr>
        <w:t> </w:t>
      </w:r>
      <w:r>
        <w:rPr/>
        <w:t>with</w:t>
      </w:r>
      <w:r>
        <w:rPr>
          <w:spacing w:val="1"/>
        </w:rPr>
        <w:t> </w:t>
      </w:r>
      <w:r>
        <w:rPr/>
        <w:t>minority</w:t>
      </w:r>
      <w:r>
        <w:rPr>
          <w:spacing w:val="-4"/>
        </w:rPr>
        <w:t> </w:t>
      </w:r>
      <w:r>
        <w:rPr/>
        <w:t>populations</w:t>
      </w:r>
      <w:r>
        <w:rPr>
          <w:spacing w:val="-1"/>
        </w:rPr>
        <w:t> </w:t>
      </w:r>
      <w:r>
        <w:rPr/>
        <w:t>of</w:t>
      </w:r>
      <w:r>
        <w:rPr>
          <w:spacing w:val="-2"/>
        </w:rPr>
        <w:t> </w:t>
      </w:r>
      <w:r>
        <w:rPr/>
        <w:t>5%</w:t>
      </w:r>
      <w:r>
        <w:rPr>
          <w:spacing w:val="-2"/>
        </w:rPr>
        <w:t> </w:t>
      </w:r>
      <w:r>
        <w:rPr/>
        <w:t>or</w:t>
      </w:r>
      <w:r>
        <w:rPr>
          <w:spacing w:val="-2"/>
        </w:rPr>
        <w:t> more.</w:t>
      </w:r>
    </w:p>
    <w:p>
      <w:pPr>
        <w:pStyle w:val="BodyText"/>
        <w:rPr>
          <w:sz w:val="20"/>
        </w:rPr>
      </w:pPr>
    </w:p>
    <w:p>
      <w:pPr>
        <w:pStyle w:val="BodyText"/>
        <w:spacing w:before="10"/>
        <w:rPr>
          <w:sz w:val="21"/>
        </w:rPr>
      </w:pPr>
      <w:r>
        <w:rPr/>
        <w:drawing>
          <wp:anchor distT="0" distB="0" distL="0" distR="0" allowOverlap="1" layoutInCell="1" locked="0" behindDoc="1" simplePos="0" relativeHeight="487595520">
            <wp:simplePos x="0" y="0"/>
            <wp:positionH relativeFrom="page">
              <wp:posOffset>914400</wp:posOffset>
            </wp:positionH>
            <wp:positionV relativeFrom="paragraph">
              <wp:posOffset>184487</wp:posOffset>
            </wp:positionV>
            <wp:extent cx="5479971" cy="7089743"/>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47" cstate="print"/>
                    <a:stretch>
                      <a:fillRect/>
                    </a:stretch>
                  </pic:blipFill>
                  <pic:spPr>
                    <a:xfrm>
                      <a:off x="0" y="0"/>
                      <a:ext cx="5479971" cy="7089743"/>
                    </a:xfrm>
                    <a:prstGeom prst="rect">
                      <a:avLst/>
                    </a:prstGeom>
                  </pic:spPr>
                </pic:pic>
              </a:graphicData>
            </a:graphic>
          </wp:anchor>
        </w:drawing>
      </w:r>
    </w:p>
    <w:p>
      <w:pPr>
        <w:spacing w:after="0"/>
        <w:rPr>
          <w:sz w:val="21"/>
        </w:rPr>
        <w:sectPr>
          <w:pgSz w:w="12240" w:h="15840"/>
          <w:pgMar w:header="0" w:footer="997" w:top="960" w:bottom="1260" w:left="600" w:right="500"/>
        </w:sectPr>
      </w:pPr>
    </w:p>
    <w:p>
      <w:pPr>
        <w:pStyle w:val="Heading9"/>
        <w:spacing w:before="35"/>
        <w:ind w:left="840"/>
      </w:pPr>
      <w:r>
        <w:rPr/>
        <w:t>Non-American</w:t>
      </w:r>
      <w:r>
        <w:rPr>
          <w:spacing w:val="-4"/>
        </w:rPr>
        <w:t> </w:t>
      </w:r>
      <w:r>
        <w:rPr/>
        <w:t>National</w:t>
      </w:r>
      <w:r>
        <w:rPr>
          <w:spacing w:val="-6"/>
        </w:rPr>
        <w:t> </w:t>
      </w:r>
      <w:r>
        <w:rPr>
          <w:spacing w:val="-2"/>
        </w:rPr>
        <w:t>Origin</w:t>
      </w:r>
    </w:p>
    <w:p>
      <w:pPr>
        <w:pStyle w:val="BodyText"/>
        <w:rPr>
          <w:b/>
        </w:rPr>
      </w:pPr>
    </w:p>
    <w:p>
      <w:pPr>
        <w:pStyle w:val="BodyText"/>
        <w:ind w:left="839" w:right="933"/>
        <w:jc w:val="both"/>
      </w:pPr>
      <w:r>
        <w:rPr/>
        <w:t>The map representing data on the national origin of Maine residents is similar in many ways to the</w:t>
      </w:r>
      <w:r>
        <w:rPr>
          <w:spacing w:val="-8"/>
        </w:rPr>
        <w:t> </w:t>
      </w:r>
      <w:r>
        <w:rPr/>
        <w:t>maps</w:t>
      </w:r>
      <w:r>
        <w:rPr>
          <w:spacing w:val="-9"/>
        </w:rPr>
        <w:t> </w:t>
      </w:r>
      <w:r>
        <w:rPr/>
        <w:t>of</w:t>
      </w:r>
      <w:r>
        <w:rPr>
          <w:spacing w:val="-8"/>
        </w:rPr>
        <w:t> </w:t>
      </w:r>
      <w:r>
        <w:rPr/>
        <w:t>minorities.</w:t>
      </w:r>
      <w:r>
        <w:rPr>
          <w:spacing w:val="-9"/>
        </w:rPr>
        <w:t> </w:t>
      </w:r>
      <w:r>
        <w:rPr/>
        <w:t>The</w:t>
      </w:r>
      <w:r>
        <w:rPr>
          <w:spacing w:val="-8"/>
        </w:rPr>
        <w:t> </w:t>
      </w:r>
      <w:r>
        <w:rPr/>
        <w:t>core</w:t>
      </w:r>
      <w:r>
        <w:rPr>
          <w:spacing w:val="-8"/>
        </w:rPr>
        <w:t> </w:t>
      </w:r>
      <w:r>
        <w:rPr/>
        <w:t>of</w:t>
      </w:r>
      <w:r>
        <w:rPr>
          <w:spacing w:val="-8"/>
        </w:rPr>
        <w:t> </w:t>
      </w:r>
      <w:r>
        <w:rPr/>
        <w:t>Cumberland</w:t>
      </w:r>
      <w:r>
        <w:rPr>
          <w:spacing w:val="-8"/>
        </w:rPr>
        <w:t> </w:t>
      </w:r>
      <w:r>
        <w:rPr/>
        <w:t>County</w:t>
      </w:r>
      <w:r>
        <w:rPr>
          <w:spacing w:val="-9"/>
        </w:rPr>
        <w:t> </w:t>
      </w:r>
      <w:r>
        <w:rPr/>
        <w:t>again</w:t>
      </w:r>
      <w:r>
        <w:rPr>
          <w:spacing w:val="-10"/>
        </w:rPr>
        <w:t> </w:t>
      </w:r>
      <w:r>
        <w:rPr/>
        <w:t>has</w:t>
      </w:r>
      <w:r>
        <w:rPr>
          <w:spacing w:val="-9"/>
        </w:rPr>
        <w:t> </w:t>
      </w:r>
      <w:r>
        <w:rPr/>
        <w:t>the</w:t>
      </w:r>
      <w:r>
        <w:rPr>
          <w:spacing w:val="-8"/>
        </w:rPr>
        <w:t> </w:t>
      </w:r>
      <w:r>
        <w:rPr/>
        <w:t>highest</w:t>
      </w:r>
      <w:r>
        <w:rPr>
          <w:spacing w:val="-8"/>
        </w:rPr>
        <w:t> </w:t>
      </w:r>
      <w:r>
        <w:rPr/>
        <w:t>percentage</w:t>
      </w:r>
      <w:r>
        <w:rPr>
          <w:spacing w:val="-8"/>
        </w:rPr>
        <w:t> </w:t>
      </w:r>
      <w:r>
        <w:rPr/>
        <w:t>of</w:t>
      </w:r>
      <w:r>
        <w:rPr>
          <w:spacing w:val="-10"/>
        </w:rPr>
        <w:t> </w:t>
      </w:r>
      <w:r>
        <w:rPr/>
        <w:t>non- American-born persons. The Saint John River Valley of Aroostook County has large numbers of non-native born residents. Towns along the Canadian border show up more prominently in this map than the minorities map, reflecting a higher representation of French Canadians. The map of concentrations of</w:t>
      </w:r>
      <w:r>
        <w:rPr>
          <w:spacing w:val="-1"/>
        </w:rPr>
        <w:t> </w:t>
      </w:r>
      <w:r>
        <w:rPr/>
        <w:t>non-American</w:t>
      </w:r>
      <w:r>
        <w:rPr>
          <w:spacing w:val="-1"/>
        </w:rPr>
        <w:t> </w:t>
      </w:r>
      <w:r>
        <w:rPr/>
        <w:t>born residents shows many</w:t>
      </w:r>
      <w:r>
        <w:rPr>
          <w:spacing w:val="-1"/>
        </w:rPr>
        <w:t> </w:t>
      </w:r>
      <w:r>
        <w:rPr/>
        <w:t>of these Canadian border</w:t>
      </w:r>
      <w:r>
        <w:rPr>
          <w:spacing w:val="-2"/>
        </w:rPr>
        <w:t> </w:t>
      </w:r>
      <w:r>
        <w:rPr/>
        <w:t>towns with percentages higher than the state average, though most of these towns are sparsely populated. Cumberland and Androscoggin Counties have concentrations of non-natives, due to the Maine Refugee Resettlement Program centered in Portland (Cumberland County.) and Lewiston</w:t>
      </w:r>
      <w:r>
        <w:rPr>
          <w:spacing w:val="-14"/>
        </w:rPr>
        <w:t> </w:t>
      </w:r>
      <w:r>
        <w:rPr/>
        <w:t>(Androscoggin</w:t>
      </w:r>
      <w:r>
        <w:rPr>
          <w:spacing w:val="-14"/>
        </w:rPr>
        <w:t> </w:t>
      </w:r>
      <w:r>
        <w:rPr/>
        <w:t>County). There</w:t>
      </w:r>
      <w:r>
        <w:rPr>
          <w:spacing w:val="-14"/>
        </w:rPr>
        <w:t> </w:t>
      </w:r>
      <w:r>
        <w:rPr/>
        <w:t>are</w:t>
      </w:r>
      <w:r>
        <w:rPr>
          <w:spacing w:val="-13"/>
        </w:rPr>
        <w:t> </w:t>
      </w:r>
      <w:r>
        <w:rPr/>
        <w:t>relatively</w:t>
      </w:r>
      <w:r>
        <w:rPr>
          <w:spacing w:val="-14"/>
        </w:rPr>
        <w:t> </w:t>
      </w:r>
      <w:r>
        <w:rPr/>
        <w:t>few</w:t>
      </w:r>
      <w:r>
        <w:rPr>
          <w:spacing w:val="-13"/>
        </w:rPr>
        <w:t> </w:t>
      </w:r>
      <w:r>
        <w:rPr/>
        <w:t>towns</w:t>
      </w:r>
      <w:r>
        <w:rPr>
          <w:spacing w:val="-14"/>
        </w:rPr>
        <w:t> </w:t>
      </w:r>
      <w:r>
        <w:rPr/>
        <w:t>in</w:t>
      </w:r>
      <w:r>
        <w:rPr>
          <w:spacing w:val="-14"/>
        </w:rPr>
        <w:t> </w:t>
      </w:r>
      <w:r>
        <w:rPr/>
        <w:t>the</w:t>
      </w:r>
      <w:r>
        <w:rPr>
          <w:spacing w:val="-13"/>
        </w:rPr>
        <w:t> </w:t>
      </w:r>
      <w:r>
        <w:rPr/>
        <w:t>western</w:t>
      </w:r>
      <w:r>
        <w:rPr>
          <w:spacing w:val="-14"/>
        </w:rPr>
        <w:t> </w:t>
      </w:r>
      <w:r>
        <w:rPr/>
        <w:t>and</w:t>
      </w:r>
      <w:r>
        <w:rPr>
          <w:spacing w:val="-13"/>
        </w:rPr>
        <w:t> </w:t>
      </w:r>
      <w:r>
        <w:rPr/>
        <w:t>eastern</w:t>
      </w:r>
      <w:r>
        <w:rPr>
          <w:spacing w:val="-14"/>
        </w:rPr>
        <w:t> </w:t>
      </w:r>
      <w:r>
        <w:rPr/>
        <w:t>areas of</w:t>
      </w:r>
      <w:r>
        <w:rPr>
          <w:spacing w:val="-5"/>
        </w:rPr>
        <w:t> </w:t>
      </w:r>
      <w:r>
        <w:rPr/>
        <w:t>the</w:t>
      </w:r>
      <w:r>
        <w:rPr>
          <w:spacing w:val="-2"/>
        </w:rPr>
        <w:t> </w:t>
      </w:r>
      <w:r>
        <w:rPr/>
        <w:t>state</w:t>
      </w:r>
      <w:r>
        <w:rPr>
          <w:spacing w:val="-5"/>
        </w:rPr>
        <w:t> </w:t>
      </w:r>
      <w:r>
        <w:rPr/>
        <w:t>with</w:t>
      </w:r>
      <w:r>
        <w:rPr>
          <w:spacing w:val="-2"/>
        </w:rPr>
        <w:t> </w:t>
      </w:r>
      <w:r>
        <w:rPr/>
        <w:t>concentrations</w:t>
      </w:r>
      <w:r>
        <w:rPr>
          <w:spacing w:val="-7"/>
        </w:rPr>
        <w:t> </w:t>
      </w:r>
      <w:r>
        <w:rPr/>
        <w:t>of</w:t>
      </w:r>
      <w:r>
        <w:rPr>
          <w:spacing w:val="-4"/>
        </w:rPr>
        <w:t> </w:t>
      </w:r>
      <w:r>
        <w:rPr/>
        <w:t>non-natives,</w:t>
      </w:r>
      <w:r>
        <w:rPr>
          <w:spacing w:val="-3"/>
        </w:rPr>
        <w:t> </w:t>
      </w:r>
      <w:r>
        <w:rPr/>
        <w:t>other</w:t>
      </w:r>
      <w:r>
        <w:rPr>
          <w:spacing w:val="-3"/>
        </w:rPr>
        <w:t> </w:t>
      </w:r>
      <w:r>
        <w:rPr/>
        <w:t>than</w:t>
      </w:r>
      <w:r>
        <w:rPr>
          <w:spacing w:val="-5"/>
        </w:rPr>
        <w:t> </w:t>
      </w:r>
      <w:r>
        <w:rPr/>
        <w:t>clusters</w:t>
      </w:r>
      <w:r>
        <w:rPr>
          <w:spacing w:val="-3"/>
        </w:rPr>
        <w:t> </w:t>
      </w:r>
      <w:r>
        <w:rPr/>
        <w:t>around</w:t>
      </w:r>
      <w:r>
        <w:rPr>
          <w:spacing w:val="-4"/>
        </w:rPr>
        <w:t> </w:t>
      </w:r>
      <w:r>
        <w:rPr/>
        <w:t>Augusta</w:t>
      </w:r>
      <w:r>
        <w:rPr>
          <w:spacing w:val="-5"/>
        </w:rPr>
        <w:t> </w:t>
      </w:r>
      <w:r>
        <w:rPr/>
        <w:t>and</w:t>
      </w:r>
      <w:r>
        <w:rPr>
          <w:spacing w:val="-2"/>
        </w:rPr>
        <w:t> Bangor.</w:t>
      </w:r>
    </w:p>
    <w:p>
      <w:pPr>
        <w:pStyle w:val="BodyText"/>
      </w:pPr>
    </w:p>
    <w:p>
      <w:pPr>
        <w:pStyle w:val="BodyText"/>
        <w:ind w:left="840"/>
      </w:pPr>
      <w:r>
        <w:rPr/>
        <w:t>The</w:t>
      </w:r>
      <w:r>
        <w:rPr>
          <w:spacing w:val="-4"/>
        </w:rPr>
        <w:t> </w:t>
      </w:r>
      <w:r>
        <w:rPr/>
        <w:t>following</w:t>
      </w:r>
      <w:r>
        <w:rPr>
          <w:spacing w:val="-3"/>
        </w:rPr>
        <w:t> </w:t>
      </w:r>
      <w:r>
        <w:rPr/>
        <w:t>table</w:t>
      </w:r>
      <w:r>
        <w:rPr>
          <w:spacing w:val="-2"/>
        </w:rPr>
        <w:t> </w:t>
      </w:r>
      <w:r>
        <w:rPr/>
        <w:t>identifies</w:t>
      </w:r>
      <w:r>
        <w:rPr>
          <w:spacing w:val="-3"/>
        </w:rPr>
        <w:t> </w:t>
      </w:r>
      <w:r>
        <w:rPr/>
        <w:t>non-native</w:t>
      </w:r>
      <w:r>
        <w:rPr>
          <w:spacing w:val="-2"/>
        </w:rPr>
        <w:t> </w:t>
      </w:r>
      <w:r>
        <w:rPr/>
        <w:t>populations</w:t>
      </w:r>
      <w:r>
        <w:rPr>
          <w:spacing w:val="-1"/>
        </w:rPr>
        <w:t> </w:t>
      </w:r>
      <w:r>
        <w:rPr/>
        <w:t>by</w:t>
      </w:r>
      <w:r>
        <w:rPr>
          <w:spacing w:val="-3"/>
        </w:rPr>
        <w:t> </w:t>
      </w:r>
      <w:r>
        <w:rPr>
          <w:spacing w:val="-2"/>
        </w:rPr>
        <w:t>county:</w:t>
      </w:r>
    </w:p>
    <w:p>
      <w:pPr>
        <w:pStyle w:val="BodyText"/>
      </w:pPr>
    </w:p>
    <w:tbl>
      <w:tblPr>
        <w:tblW w:w="0" w:type="auto"/>
        <w:jc w:val="left"/>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9"/>
        <w:gridCol w:w="1893"/>
        <w:gridCol w:w="1801"/>
        <w:gridCol w:w="1621"/>
        <w:gridCol w:w="1621"/>
      </w:tblGrid>
      <w:tr>
        <w:trPr>
          <w:trHeight w:val="673" w:hRule="atLeast"/>
        </w:trPr>
        <w:tc>
          <w:tcPr>
            <w:tcW w:w="9275" w:type="dxa"/>
            <w:gridSpan w:val="5"/>
            <w:tcBorders>
              <w:left w:val="single" w:sz="6" w:space="0" w:color="000000"/>
            </w:tcBorders>
            <w:shd w:val="clear" w:color="auto" w:fill="D9D9D9"/>
          </w:tcPr>
          <w:p>
            <w:pPr>
              <w:pStyle w:val="TableParagraph"/>
              <w:spacing w:line="292" w:lineRule="exact"/>
              <w:ind w:left="3364" w:right="3355"/>
              <w:jc w:val="center"/>
              <w:rPr>
                <w:rFonts w:ascii="Calibri"/>
                <w:b/>
                <w:sz w:val="24"/>
              </w:rPr>
            </w:pPr>
            <w:r>
              <w:rPr>
                <w:rFonts w:ascii="Calibri"/>
                <w:b/>
                <w:sz w:val="24"/>
              </w:rPr>
              <w:t>State</w:t>
            </w:r>
            <w:r>
              <w:rPr>
                <w:rFonts w:ascii="Calibri"/>
                <w:b/>
                <w:spacing w:val="-3"/>
                <w:sz w:val="24"/>
              </w:rPr>
              <w:t> </w:t>
            </w:r>
            <w:r>
              <w:rPr>
                <w:rFonts w:ascii="Calibri"/>
                <w:b/>
                <w:sz w:val="24"/>
              </w:rPr>
              <w:t>of </w:t>
            </w:r>
            <w:r>
              <w:rPr>
                <w:rFonts w:ascii="Calibri"/>
                <w:b/>
                <w:spacing w:val="-2"/>
                <w:sz w:val="24"/>
              </w:rPr>
              <w:t>Maine</w:t>
            </w:r>
          </w:p>
          <w:p>
            <w:pPr>
              <w:pStyle w:val="TableParagraph"/>
              <w:spacing w:line="240" w:lineRule="auto" w:before="45"/>
              <w:ind w:left="3364" w:right="3361"/>
              <w:jc w:val="center"/>
              <w:rPr>
                <w:rFonts w:ascii="Calibri"/>
                <w:b/>
                <w:sz w:val="24"/>
              </w:rPr>
            </w:pPr>
            <w:r>
              <w:rPr>
                <w:rFonts w:ascii="Calibri"/>
                <w:b/>
                <w:sz w:val="24"/>
              </w:rPr>
              <w:t>Foreign</w:t>
            </w:r>
            <w:r>
              <w:rPr>
                <w:rFonts w:ascii="Calibri"/>
                <w:b/>
                <w:spacing w:val="-1"/>
                <w:sz w:val="24"/>
              </w:rPr>
              <w:t> </w:t>
            </w:r>
            <w:r>
              <w:rPr>
                <w:rFonts w:ascii="Calibri"/>
                <w:b/>
                <w:sz w:val="24"/>
              </w:rPr>
              <w:t>Born</w:t>
            </w:r>
            <w:r>
              <w:rPr>
                <w:rFonts w:ascii="Calibri"/>
                <w:b/>
                <w:spacing w:val="-1"/>
                <w:sz w:val="24"/>
              </w:rPr>
              <w:t> </w:t>
            </w:r>
            <w:r>
              <w:rPr>
                <w:rFonts w:ascii="Calibri"/>
                <w:b/>
                <w:spacing w:val="-2"/>
                <w:sz w:val="24"/>
              </w:rPr>
              <w:t>Populations</w:t>
            </w:r>
          </w:p>
        </w:tc>
      </w:tr>
      <w:tr>
        <w:trPr>
          <w:trHeight w:val="674" w:hRule="atLeast"/>
        </w:trPr>
        <w:tc>
          <w:tcPr>
            <w:tcW w:w="2339" w:type="dxa"/>
            <w:tcBorders>
              <w:left w:val="single" w:sz="6" w:space="0" w:color="000000"/>
              <w:right w:val="single" w:sz="6" w:space="0" w:color="000000"/>
            </w:tcBorders>
          </w:tcPr>
          <w:p>
            <w:pPr>
              <w:pStyle w:val="TableParagraph"/>
              <w:spacing w:line="240" w:lineRule="auto" w:before="8"/>
              <w:rPr>
                <w:rFonts w:ascii="Calibri"/>
                <w:sz w:val="27"/>
              </w:rPr>
            </w:pPr>
          </w:p>
          <w:p>
            <w:pPr>
              <w:pStyle w:val="TableParagraph"/>
              <w:spacing w:line="240" w:lineRule="auto"/>
              <w:ind w:right="794"/>
              <w:jc w:val="right"/>
              <w:rPr>
                <w:rFonts w:ascii="Calibri"/>
                <w:b/>
                <w:sz w:val="24"/>
              </w:rPr>
            </w:pPr>
            <w:r>
              <w:rPr>
                <w:rFonts w:ascii="Calibri"/>
                <w:b/>
                <w:spacing w:val="-2"/>
                <w:sz w:val="24"/>
              </w:rPr>
              <w:t>County</w:t>
            </w:r>
          </w:p>
        </w:tc>
        <w:tc>
          <w:tcPr>
            <w:tcW w:w="1893" w:type="dxa"/>
            <w:tcBorders>
              <w:left w:val="single" w:sz="6" w:space="0" w:color="000000"/>
            </w:tcBorders>
          </w:tcPr>
          <w:p>
            <w:pPr>
              <w:pStyle w:val="TableParagraph"/>
              <w:spacing w:line="292" w:lineRule="exact"/>
              <w:ind w:left="109" w:right="98"/>
              <w:jc w:val="center"/>
              <w:rPr>
                <w:rFonts w:ascii="Calibri"/>
                <w:b/>
                <w:sz w:val="24"/>
              </w:rPr>
            </w:pPr>
            <w:r>
              <w:rPr>
                <w:rFonts w:ascii="Calibri"/>
                <w:b/>
                <w:sz w:val="24"/>
              </w:rPr>
              <w:t>Total</w:t>
            </w:r>
            <w:r>
              <w:rPr>
                <w:rFonts w:ascii="Calibri"/>
                <w:b/>
                <w:spacing w:val="-1"/>
                <w:sz w:val="24"/>
              </w:rPr>
              <w:t> </w:t>
            </w:r>
            <w:r>
              <w:rPr>
                <w:rFonts w:ascii="Calibri"/>
                <w:b/>
                <w:spacing w:val="-2"/>
                <w:sz w:val="24"/>
              </w:rPr>
              <w:t>Population</w:t>
            </w:r>
          </w:p>
          <w:p>
            <w:pPr>
              <w:pStyle w:val="TableParagraph"/>
              <w:spacing w:line="240" w:lineRule="auto" w:before="45"/>
              <w:ind w:left="109" w:right="96"/>
              <w:jc w:val="center"/>
              <w:rPr>
                <w:rFonts w:ascii="Calibri"/>
                <w:b/>
                <w:sz w:val="24"/>
              </w:rPr>
            </w:pPr>
            <w:r>
              <w:rPr>
                <w:rFonts w:ascii="Calibri"/>
                <w:b/>
                <w:spacing w:val="-2"/>
                <w:sz w:val="24"/>
              </w:rPr>
              <w:t>(2021)</w:t>
            </w:r>
          </w:p>
        </w:tc>
        <w:tc>
          <w:tcPr>
            <w:tcW w:w="1801" w:type="dxa"/>
          </w:tcPr>
          <w:p>
            <w:pPr>
              <w:pStyle w:val="TableParagraph"/>
              <w:spacing w:line="292" w:lineRule="exact"/>
              <w:ind w:left="296" w:right="288"/>
              <w:jc w:val="center"/>
              <w:rPr>
                <w:rFonts w:ascii="Calibri"/>
                <w:b/>
                <w:sz w:val="24"/>
              </w:rPr>
            </w:pPr>
            <w:r>
              <w:rPr>
                <w:rFonts w:ascii="Calibri"/>
                <w:b/>
                <w:sz w:val="24"/>
              </w:rPr>
              <w:t>Native</w:t>
            </w:r>
            <w:r>
              <w:rPr>
                <w:rFonts w:ascii="Calibri"/>
                <w:b/>
                <w:spacing w:val="-3"/>
                <w:sz w:val="24"/>
              </w:rPr>
              <w:t> </w:t>
            </w:r>
            <w:r>
              <w:rPr>
                <w:rFonts w:ascii="Calibri"/>
                <w:b/>
                <w:spacing w:val="-4"/>
                <w:sz w:val="24"/>
              </w:rPr>
              <w:t>Born</w:t>
            </w:r>
          </w:p>
          <w:p>
            <w:pPr>
              <w:pStyle w:val="TableParagraph"/>
              <w:spacing w:line="240" w:lineRule="auto" w:before="45"/>
              <w:ind w:left="6"/>
              <w:jc w:val="center"/>
              <w:rPr>
                <w:rFonts w:ascii="Calibri"/>
                <w:b/>
                <w:sz w:val="24"/>
              </w:rPr>
            </w:pPr>
            <w:r>
              <w:rPr>
                <w:rFonts w:ascii="Calibri"/>
                <w:b/>
                <w:sz w:val="24"/>
              </w:rPr>
              <w:t>#</w:t>
            </w:r>
          </w:p>
        </w:tc>
        <w:tc>
          <w:tcPr>
            <w:tcW w:w="1621" w:type="dxa"/>
          </w:tcPr>
          <w:p>
            <w:pPr>
              <w:pStyle w:val="TableParagraph"/>
              <w:spacing w:line="292" w:lineRule="exact"/>
              <w:ind w:left="157" w:right="149"/>
              <w:jc w:val="center"/>
              <w:rPr>
                <w:rFonts w:ascii="Calibri"/>
                <w:b/>
                <w:sz w:val="24"/>
              </w:rPr>
            </w:pPr>
            <w:r>
              <w:rPr>
                <w:rFonts w:ascii="Calibri"/>
                <w:b/>
                <w:sz w:val="24"/>
              </w:rPr>
              <w:t>Native</w:t>
            </w:r>
            <w:r>
              <w:rPr>
                <w:rFonts w:ascii="Calibri"/>
                <w:b/>
                <w:spacing w:val="-3"/>
                <w:sz w:val="24"/>
              </w:rPr>
              <w:t> </w:t>
            </w:r>
            <w:r>
              <w:rPr>
                <w:rFonts w:ascii="Calibri"/>
                <w:b/>
                <w:spacing w:val="-4"/>
                <w:sz w:val="24"/>
              </w:rPr>
              <w:t>Born</w:t>
            </w:r>
          </w:p>
          <w:p>
            <w:pPr>
              <w:pStyle w:val="TableParagraph"/>
              <w:spacing w:line="240" w:lineRule="auto" w:before="45"/>
              <w:ind w:left="4"/>
              <w:jc w:val="center"/>
              <w:rPr>
                <w:rFonts w:ascii="Calibri"/>
                <w:b/>
                <w:sz w:val="24"/>
              </w:rPr>
            </w:pPr>
            <w:r>
              <w:rPr>
                <w:rFonts w:ascii="Calibri"/>
                <w:b/>
                <w:sz w:val="24"/>
              </w:rPr>
              <w:t>%</w:t>
            </w:r>
          </w:p>
        </w:tc>
        <w:tc>
          <w:tcPr>
            <w:tcW w:w="1621" w:type="dxa"/>
          </w:tcPr>
          <w:p>
            <w:pPr>
              <w:pStyle w:val="TableParagraph"/>
              <w:spacing w:line="292" w:lineRule="exact"/>
              <w:ind w:left="157" w:right="151"/>
              <w:jc w:val="center"/>
              <w:rPr>
                <w:rFonts w:ascii="Calibri"/>
                <w:b/>
                <w:sz w:val="24"/>
              </w:rPr>
            </w:pPr>
            <w:r>
              <w:rPr>
                <w:rFonts w:ascii="Calibri"/>
                <w:b/>
                <w:sz w:val="24"/>
              </w:rPr>
              <w:t>Foreign</w:t>
            </w:r>
            <w:r>
              <w:rPr>
                <w:rFonts w:ascii="Calibri"/>
                <w:b/>
                <w:spacing w:val="-1"/>
                <w:sz w:val="24"/>
              </w:rPr>
              <w:t> </w:t>
            </w:r>
            <w:r>
              <w:rPr>
                <w:rFonts w:ascii="Calibri"/>
                <w:b/>
                <w:spacing w:val="-4"/>
                <w:sz w:val="24"/>
              </w:rPr>
              <w:t>Born</w:t>
            </w:r>
          </w:p>
          <w:p>
            <w:pPr>
              <w:pStyle w:val="TableParagraph"/>
              <w:spacing w:line="240" w:lineRule="auto" w:before="45"/>
              <w:ind w:left="2"/>
              <w:jc w:val="center"/>
              <w:rPr>
                <w:rFonts w:ascii="Calibri"/>
                <w:b/>
                <w:sz w:val="24"/>
              </w:rPr>
            </w:pPr>
            <w:r>
              <w:rPr>
                <w:rFonts w:ascii="Calibri"/>
                <w:b/>
                <w:sz w:val="24"/>
              </w:rPr>
              <w:t>%</w:t>
            </w:r>
          </w:p>
        </w:tc>
      </w:tr>
      <w:tr>
        <w:trPr>
          <w:trHeight w:val="338" w:hRule="atLeast"/>
        </w:trPr>
        <w:tc>
          <w:tcPr>
            <w:tcW w:w="2339" w:type="dxa"/>
            <w:shd w:val="clear" w:color="auto" w:fill="DFDFDF"/>
          </w:tcPr>
          <w:p>
            <w:pPr>
              <w:pStyle w:val="TableParagraph"/>
              <w:spacing w:line="292" w:lineRule="exact"/>
              <w:ind w:right="835"/>
              <w:jc w:val="right"/>
              <w:rPr>
                <w:rFonts w:ascii="Calibri"/>
                <w:b/>
                <w:sz w:val="24"/>
              </w:rPr>
            </w:pPr>
            <w:r>
              <w:rPr>
                <w:rFonts w:ascii="Calibri"/>
                <w:b/>
                <w:spacing w:val="-2"/>
                <w:sz w:val="24"/>
              </w:rPr>
              <w:t>Maine</w:t>
            </w:r>
          </w:p>
        </w:tc>
        <w:tc>
          <w:tcPr>
            <w:tcW w:w="1893" w:type="dxa"/>
            <w:shd w:val="clear" w:color="auto" w:fill="DFDFDF"/>
          </w:tcPr>
          <w:p>
            <w:pPr>
              <w:pStyle w:val="TableParagraph"/>
              <w:spacing w:line="292" w:lineRule="exact"/>
              <w:ind w:left="450" w:right="434"/>
              <w:jc w:val="center"/>
              <w:rPr>
                <w:rFonts w:ascii="Calibri"/>
                <w:b/>
                <w:sz w:val="24"/>
              </w:rPr>
            </w:pPr>
            <w:r>
              <w:rPr>
                <w:rFonts w:ascii="Calibri"/>
                <w:b/>
                <w:spacing w:val="-2"/>
                <w:sz w:val="24"/>
              </w:rPr>
              <w:t>1,357,046</w:t>
            </w:r>
          </w:p>
        </w:tc>
        <w:tc>
          <w:tcPr>
            <w:tcW w:w="1801" w:type="dxa"/>
            <w:shd w:val="clear" w:color="auto" w:fill="DFDFDF"/>
          </w:tcPr>
          <w:p>
            <w:pPr>
              <w:pStyle w:val="TableParagraph"/>
              <w:spacing w:line="292" w:lineRule="exact"/>
              <w:ind w:left="294" w:right="288"/>
              <w:jc w:val="center"/>
              <w:rPr>
                <w:rFonts w:ascii="Calibri"/>
                <w:b/>
                <w:sz w:val="24"/>
              </w:rPr>
            </w:pPr>
            <w:r>
              <w:rPr>
                <w:rFonts w:ascii="Calibri"/>
                <w:b/>
                <w:spacing w:val="-2"/>
                <w:sz w:val="24"/>
              </w:rPr>
              <w:t>1,307,743</w:t>
            </w:r>
          </w:p>
        </w:tc>
        <w:tc>
          <w:tcPr>
            <w:tcW w:w="1621" w:type="dxa"/>
            <w:shd w:val="clear" w:color="auto" w:fill="DFDFDF"/>
          </w:tcPr>
          <w:p>
            <w:pPr>
              <w:pStyle w:val="TableParagraph"/>
              <w:spacing w:line="292" w:lineRule="exact"/>
              <w:ind w:left="157" w:right="147"/>
              <w:jc w:val="center"/>
              <w:rPr>
                <w:rFonts w:ascii="Calibri"/>
                <w:b/>
                <w:sz w:val="24"/>
              </w:rPr>
            </w:pPr>
            <w:r>
              <w:rPr>
                <w:rFonts w:ascii="Calibri"/>
                <w:b/>
                <w:spacing w:val="-2"/>
                <w:sz w:val="24"/>
              </w:rPr>
              <w:t>96.4%</w:t>
            </w:r>
          </w:p>
        </w:tc>
        <w:tc>
          <w:tcPr>
            <w:tcW w:w="1621" w:type="dxa"/>
            <w:shd w:val="clear" w:color="auto" w:fill="DFDFDF"/>
          </w:tcPr>
          <w:p>
            <w:pPr>
              <w:pStyle w:val="TableParagraph"/>
              <w:spacing w:line="292" w:lineRule="exact"/>
              <w:ind w:left="156" w:right="151"/>
              <w:jc w:val="center"/>
              <w:rPr>
                <w:rFonts w:ascii="Calibri"/>
                <w:b/>
                <w:sz w:val="24"/>
              </w:rPr>
            </w:pPr>
            <w:r>
              <w:rPr>
                <w:rFonts w:ascii="Calibri"/>
                <w:b/>
                <w:spacing w:val="-4"/>
                <w:sz w:val="24"/>
              </w:rPr>
              <w:t>3.6%</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Androscoggin</w:t>
            </w:r>
          </w:p>
        </w:tc>
        <w:tc>
          <w:tcPr>
            <w:tcW w:w="1893" w:type="dxa"/>
          </w:tcPr>
          <w:p>
            <w:pPr>
              <w:pStyle w:val="TableParagraph"/>
              <w:spacing w:line="292" w:lineRule="exact"/>
              <w:ind w:left="450" w:right="378"/>
              <w:jc w:val="center"/>
              <w:rPr>
                <w:rFonts w:ascii="Calibri"/>
                <w:sz w:val="24"/>
              </w:rPr>
            </w:pPr>
            <w:r>
              <w:rPr>
                <w:rFonts w:ascii="Calibri"/>
                <w:spacing w:val="-2"/>
                <w:sz w:val="24"/>
              </w:rPr>
              <w:t>110,378</w:t>
            </w:r>
          </w:p>
        </w:tc>
        <w:tc>
          <w:tcPr>
            <w:tcW w:w="1801" w:type="dxa"/>
          </w:tcPr>
          <w:p>
            <w:pPr>
              <w:pStyle w:val="TableParagraph"/>
              <w:spacing w:line="292" w:lineRule="exact"/>
              <w:ind w:left="294" w:right="288"/>
              <w:jc w:val="center"/>
              <w:rPr>
                <w:rFonts w:ascii="Calibri"/>
                <w:sz w:val="24"/>
              </w:rPr>
            </w:pPr>
            <w:r>
              <w:rPr>
                <w:rFonts w:ascii="Calibri"/>
                <w:spacing w:val="-2"/>
                <w:sz w:val="24"/>
              </w:rPr>
              <w:t>106,373</w:t>
            </w:r>
          </w:p>
        </w:tc>
        <w:tc>
          <w:tcPr>
            <w:tcW w:w="1621" w:type="dxa"/>
          </w:tcPr>
          <w:p>
            <w:pPr>
              <w:pStyle w:val="TableParagraph"/>
              <w:spacing w:line="292" w:lineRule="exact"/>
              <w:ind w:left="157" w:right="151"/>
              <w:jc w:val="center"/>
              <w:rPr>
                <w:rFonts w:ascii="Calibri"/>
                <w:sz w:val="24"/>
              </w:rPr>
            </w:pPr>
            <w:r>
              <w:rPr>
                <w:rFonts w:ascii="Calibri"/>
                <w:spacing w:val="-4"/>
                <w:sz w:val="24"/>
              </w:rPr>
              <w:t>96.4</w:t>
            </w:r>
          </w:p>
        </w:tc>
        <w:tc>
          <w:tcPr>
            <w:tcW w:w="1621" w:type="dxa"/>
          </w:tcPr>
          <w:p>
            <w:pPr>
              <w:pStyle w:val="TableParagraph"/>
              <w:spacing w:line="292" w:lineRule="exact"/>
              <w:ind w:left="152" w:right="151"/>
              <w:jc w:val="center"/>
              <w:rPr>
                <w:rFonts w:ascii="Calibri"/>
                <w:sz w:val="24"/>
              </w:rPr>
            </w:pPr>
            <w:r>
              <w:rPr>
                <w:rFonts w:ascii="Calibri"/>
                <w:spacing w:val="-4"/>
                <w:sz w:val="24"/>
              </w:rPr>
              <w:t>3.6%</w:t>
            </w:r>
          </w:p>
        </w:tc>
      </w:tr>
      <w:tr>
        <w:trPr>
          <w:trHeight w:val="337" w:hRule="atLeast"/>
        </w:trPr>
        <w:tc>
          <w:tcPr>
            <w:tcW w:w="2339" w:type="dxa"/>
          </w:tcPr>
          <w:p>
            <w:pPr>
              <w:pStyle w:val="TableParagraph"/>
              <w:spacing w:line="292" w:lineRule="exact"/>
              <w:ind w:left="117"/>
              <w:rPr>
                <w:rFonts w:ascii="Calibri"/>
                <w:sz w:val="24"/>
              </w:rPr>
            </w:pPr>
            <w:r>
              <w:rPr>
                <w:rFonts w:ascii="Calibri"/>
                <w:spacing w:val="-2"/>
                <w:sz w:val="24"/>
              </w:rPr>
              <w:t>Aroostook</w:t>
            </w:r>
          </w:p>
        </w:tc>
        <w:tc>
          <w:tcPr>
            <w:tcW w:w="1893" w:type="dxa"/>
          </w:tcPr>
          <w:p>
            <w:pPr>
              <w:pStyle w:val="TableParagraph"/>
              <w:spacing w:line="292" w:lineRule="exact"/>
              <w:ind w:left="448" w:right="434"/>
              <w:jc w:val="center"/>
              <w:rPr>
                <w:rFonts w:ascii="Calibri"/>
                <w:sz w:val="24"/>
              </w:rPr>
            </w:pPr>
            <w:r>
              <w:rPr>
                <w:rFonts w:ascii="Calibri"/>
                <w:spacing w:val="-2"/>
                <w:sz w:val="24"/>
              </w:rPr>
              <w:t>67,272</w:t>
            </w:r>
          </w:p>
        </w:tc>
        <w:tc>
          <w:tcPr>
            <w:tcW w:w="1801" w:type="dxa"/>
          </w:tcPr>
          <w:p>
            <w:pPr>
              <w:pStyle w:val="TableParagraph"/>
              <w:spacing w:line="292" w:lineRule="exact"/>
              <w:ind w:left="294" w:right="288"/>
              <w:jc w:val="center"/>
              <w:rPr>
                <w:rFonts w:ascii="Calibri"/>
                <w:sz w:val="24"/>
              </w:rPr>
            </w:pPr>
            <w:r>
              <w:rPr>
                <w:rFonts w:ascii="Calibri"/>
                <w:spacing w:val="-2"/>
                <w:sz w:val="24"/>
              </w:rPr>
              <w:t>64,503</w:t>
            </w:r>
          </w:p>
        </w:tc>
        <w:tc>
          <w:tcPr>
            <w:tcW w:w="1621" w:type="dxa"/>
          </w:tcPr>
          <w:p>
            <w:pPr>
              <w:pStyle w:val="TableParagraph"/>
              <w:spacing w:line="292" w:lineRule="exact"/>
              <w:ind w:left="157" w:right="151"/>
              <w:jc w:val="center"/>
              <w:rPr>
                <w:rFonts w:ascii="Calibri"/>
                <w:sz w:val="24"/>
              </w:rPr>
            </w:pPr>
            <w:r>
              <w:rPr>
                <w:rFonts w:ascii="Calibri"/>
                <w:spacing w:val="-4"/>
                <w:sz w:val="24"/>
              </w:rPr>
              <w:t>95.9</w:t>
            </w:r>
          </w:p>
        </w:tc>
        <w:tc>
          <w:tcPr>
            <w:tcW w:w="1621" w:type="dxa"/>
          </w:tcPr>
          <w:p>
            <w:pPr>
              <w:pStyle w:val="TableParagraph"/>
              <w:spacing w:line="292" w:lineRule="exact"/>
              <w:ind w:left="152" w:right="151"/>
              <w:jc w:val="center"/>
              <w:rPr>
                <w:rFonts w:ascii="Calibri"/>
                <w:sz w:val="24"/>
              </w:rPr>
            </w:pPr>
            <w:r>
              <w:rPr>
                <w:rFonts w:ascii="Calibri"/>
                <w:spacing w:val="-4"/>
                <w:sz w:val="24"/>
              </w:rPr>
              <w:t>4.1%</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Cumberland</w:t>
            </w:r>
          </w:p>
        </w:tc>
        <w:tc>
          <w:tcPr>
            <w:tcW w:w="1893" w:type="dxa"/>
          </w:tcPr>
          <w:p>
            <w:pPr>
              <w:pStyle w:val="TableParagraph"/>
              <w:spacing w:line="292" w:lineRule="exact"/>
              <w:ind w:left="447" w:right="434"/>
              <w:jc w:val="center"/>
              <w:rPr>
                <w:rFonts w:ascii="Calibri"/>
                <w:sz w:val="24"/>
              </w:rPr>
            </w:pPr>
            <w:r>
              <w:rPr>
                <w:rFonts w:ascii="Calibri"/>
                <w:spacing w:val="-2"/>
                <w:sz w:val="24"/>
              </w:rPr>
              <w:t>300,776</w:t>
            </w:r>
          </w:p>
        </w:tc>
        <w:tc>
          <w:tcPr>
            <w:tcW w:w="1801" w:type="dxa"/>
          </w:tcPr>
          <w:p>
            <w:pPr>
              <w:pStyle w:val="TableParagraph"/>
              <w:spacing w:line="292" w:lineRule="exact"/>
              <w:ind w:left="294" w:right="288"/>
              <w:jc w:val="center"/>
              <w:rPr>
                <w:rFonts w:ascii="Calibri"/>
                <w:sz w:val="24"/>
              </w:rPr>
            </w:pPr>
            <w:r>
              <w:rPr>
                <w:rFonts w:ascii="Calibri"/>
                <w:spacing w:val="-2"/>
                <w:sz w:val="24"/>
              </w:rPr>
              <w:t>282,508</w:t>
            </w:r>
          </w:p>
        </w:tc>
        <w:tc>
          <w:tcPr>
            <w:tcW w:w="1621" w:type="dxa"/>
          </w:tcPr>
          <w:p>
            <w:pPr>
              <w:pStyle w:val="TableParagraph"/>
              <w:spacing w:line="292" w:lineRule="exact"/>
              <w:ind w:left="157" w:right="151"/>
              <w:jc w:val="center"/>
              <w:rPr>
                <w:rFonts w:ascii="Calibri"/>
                <w:sz w:val="24"/>
              </w:rPr>
            </w:pPr>
            <w:r>
              <w:rPr>
                <w:rFonts w:ascii="Calibri"/>
                <w:spacing w:val="-2"/>
                <w:sz w:val="24"/>
              </w:rPr>
              <w:t>93.9%</w:t>
            </w:r>
          </w:p>
        </w:tc>
        <w:tc>
          <w:tcPr>
            <w:tcW w:w="1621" w:type="dxa"/>
          </w:tcPr>
          <w:p>
            <w:pPr>
              <w:pStyle w:val="TableParagraph"/>
              <w:spacing w:line="292" w:lineRule="exact"/>
              <w:ind w:left="153" w:right="151"/>
              <w:jc w:val="center"/>
              <w:rPr>
                <w:rFonts w:ascii="Calibri"/>
                <w:sz w:val="24"/>
              </w:rPr>
            </w:pPr>
            <w:r>
              <w:rPr>
                <w:rFonts w:ascii="Calibri"/>
                <w:spacing w:val="-4"/>
                <w:sz w:val="24"/>
              </w:rPr>
              <w:t>6.1%</w:t>
            </w:r>
          </w:p>
        </w:tc>
      </w:tr>
      <w:tr>
        <w:trPr>
          <w:trHeight w:val="337" w:hRule="atLeast"/>
        </w:trPr>
        <w:tc>
          <w:tcPr>
            <w:tcW w:w="2339" w:type="dxa"/>
          </w:tcPr>
          <w:p>
            <w:pPr>
              <w:pStyle w:val="TableParagraph"/>
              <w:spacing w:line="292" w:lineRule="exact"/>
              <w:ind w:left="117"/>
              <w:rPr>
                <w:rFonts w:ascii="Calibri"/>
                <w:sz w:val="24"/>
              </w:rPr>
            </w:pPr>
            <w:r>
              <w:rPr>
                <w:rFonts w:ascii="Calibri"/>
                <w:spacing w:val="-2"/>
                <w:sz w:val="24"/>
              </w:rPr>
              <w:t>Franklin</w:t>
            </w:r>
          </w:p>
        </w:tc>
        <w:tc>
          <w:tcPr>
            <w:tcW w:w="1893" w:type="dxa"/>
          </w:tcPr>
          <w:p>
            <w:pPr>
              <w:pStyle w:val="TableParagraph"/>
              <w:spacing w:line="292" w:lineRule="exact"/>
              <w:ind w:left="448" w:right="434"/>
              <w:jc w:val="center"/>
              <w:rPr>
                <w:rFonts w:ascii="Calibri"/>
                <w:sz w:val="24"/>
              </w:rPr>
            </w:pPr>
            <w:r>
              <w:rPr>
                <w:rFonts w:ascii="Calibri"/>
                <w:spacing w:val="-2"/>
                <w:sz w:val="24"/>
              </w:rPr>
              <w:t>29,487</w:t>
            </w:r>
          </w:p>
        </w:tc>
        <w:tc>
          <w:tcPr>
            <w:tcW w:w="1801" w:type="dxa"/>
          </w:tcPr>
          <w:p>
            <w:pPr>
              <w:pStyle w:val="TableParagraph"/>
              <w:spacing w:line="292" w:lineRule="exact"/>
              <w:ind w:left="294" w:right="288"/>
              <w:jc w:val="center"/>
              <w:rPr>
                <w:rFonts w:ascii="Calibri"/>
                <w:sz w:val="24"/>
              </w:rPr>
            </w:pPr>
            <w:r>
              <w:rPr>
                <w:rFonts w:ascii="Calibri"/>
                <w:spacing w:val="-2"/>
                <w:sz w:val="24"/>
              </w:rPr>
              <w:t>28,925</w:t>
            </w:r>
          </w:p>
        </w:tc>
        <w:tc>
          <w:tcPr>
            <w:tcW w:w="1621" w:type="dxa"/>
          </w:tcPr>
          <w:p>
            <w:pPr>
              <w:pStyle w:val="TableParagraph"/>
              <w:spacing w:line="292" w:lineRule="exact"/>
              <w:ind w:left="157" w:right="151"/>
              <w:jc w:val="center"/>
              <w:rPr>
                <w:rFonts w:ascii="Calibri"/>
                <w:sz w:val="24"/>
              </w:rPr>
            </w:pPr>
            <w:r>
              <w:rPr>
                <w:rFonts w:ascii="Calibri"/>
                <w:spacing w:val="-4"/>
                <w:sz w:val="24"/>
              </w:rPr>
              <w:t>98.1</w:t>
            </w:r>
          </w:p>
        </w:tc>
        <w:tc>
          <w:tcPr>
            <w:tcW w:w="1621" w:type="dxa"/>
          </w:tcPr>
          <w:p>
            <w:pPr>
              <w:pStyle w:val="TableParagraph"/>
              <w:spacing w:line="292" w:lineRule="exact"/>
              <w:ind w:left="152" w:right="151"/>
              <w:jc w:val="center"/>
              <w:rPr>
                <w:rFonts w:ascii="Calibri"/>
                <w:sz w:val="24"/>
              </w:rPr>
            </w:pPr>
            <w:r>
              <w:rPr>
                <w:rFonts w:ascii="Calibri"/>
                <w:spacing w:val="-4"/>
                <w:sz w:val="24"/>
              </w:rPr>
              <w:t>1.9%</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Hancock</w:t>
            </w:r>
          </w:p>
        </w:tc>
        <w:tc>
          <w:tcPr>
            <w:tcW w:w="1893" w:type="dxa"/>
          </w:tcPr>
          <w:p>
            <w:pPr>
              <w:pStyle w:val="TableParagraph"/>
              <w:spacing w:line="292" w:lineRule="exact"/>
              <w:ind w:left="448" w:right="434"/>
              <w:jc w:val="center"/>
              <w:rPr>
                <w:rFonts w:ascii="Calibri"/>
                <w:sz w:val="24"/>
              </w:rPr>
            </w:pPr>
            <w:r>
              <w:rPr>
                <w:rFonts w:ascii="Calibri"/>
                <w:spacing w:val="-2"/>
                <w:sz w:val="24"/>
              </w:rPr>
              <w:t>55,417</w:t>
            </w:r>
          </w:p>
        </w:tc>
        <w:tc>
          <w:tcPr>
            <w:tcW w:w="1801" w:type="dxa"/>
          </w:tcPr>
          <w:p>
            <w:pPr>
              <w:pStyle w:val="TableParagraph"/>
              <w:spacing w:line="292" w:lineRule="exact"/>
              <w:ind w:left="294" w:right="288"/>
              <w:jc w:val="center"/>
              <w:rPr>
                <w:rFonts w:ascii="Calibri"/>
                <w:sz w:val="24"/>
              </w:rPr>
            </w:pPr>
            <w:r>
              <w:rPr>
                <w:rFonts w:ascii="Calibri"/>
                <w:spacing w:val="-2"/>
                <w:sz w:val="24"/>
              </w:rPr>
              <w:t>53,865</w:t>
            </w:r>
          </w:p>
        </w:tc>
        <w:tc>
          <w:tcPr>
            <w:tcW w:w="1621" w:type="dxa"/>
          </w:tcPr>
          <w:p>
            <w:pPr>
              <w:pStyle w:val="TableParagraph"/>
              <w:spacing w:line="292" w:lineRule="exact"/>
              <w:ind w:left="157" w:right="151"/>
              <w:jc w:val="center"/>
              <w:rPr>
                <w:rFonts w:ascii="Calibri"/>
                <w:sz w:val="24"/>
              </w:rPr>
            </w:pPr>
            <w:r>
              <w:rPr>
                <w:rFonts w:ascii="Calibri"/>
                <w:spacing w:val="-4"/>
                <w:sz w:val="24"/>
              </w:rPr>
              <w:t>97.2</w:t>
            </w:r>
          </w:p>
        </w:tc>
        <w:tc>
          <w:tcPr>
            <w:tcW w:w="1621" w:type="dxa"/>
          </w:tcPr>
          <w:p>
            <w:pPr>
              <w:pStyle w:val="TableParagraph"/>
              <w:spacing w:line="292" w:lineRule="exact"/>
              <w:ind w:left="152" w:right="151"/>
              <w:jc w:val="center"/>
              <w:rPr>
                <w:rFonts w:ascii="Calibri"/>
                <w:sz w:val="24"/>
              </w:rPr>
            </w:pPr>
            <w:r>
              <w:rPr>
                <w:rFonts w:ascii="Calibri"/>
                <w:spacing w:val="-4"/>
                <w:sz w:val="24"/>
              </w:rPr>
              <w:t>2.8%</w:t>
            </w:r>
          </w:p>
        </w:tc>
      </w:tr>
      <w:tr>
        <w:trPr>
          <w:trHeight w:val="338" w:hRule="atLeast"/>
        </w:trPr>
        <w:tc>
          <w:tcPr>
            <w:tcW w:w="2339" w:type="dxa"/>
          </w:tcPr>
          <w:p>
            <w:pPr>
              <w:pStyle w:val="TableParagraph"/>
              <w:spacing w:line="292" w:lineRule="exact"/>
              <w:ind w:left="117"/>
              <w:rPr>
                <w:rFonts w:ascii="Calibri"/>
                <w:sz w:val="24"/>
              </w:rPr>
            </w:pPr>
            <w:r>
              <w:rPr>
                <w:rFonts w:ascii="Calibri"/>
                <w:spacing w:val="-2"/>
                <w:sz w:val="24"/>
              </w:rPr>
              <w:t>Kennebec</w:t>
            </w:r>
          </w:p>
        </w:tc>
        <w:tc>
          <w:tcPr>
            <w:tcW w:w="1893" w:type="dxa"/>
          </w:tcPr>
          <w:p>
            <w:pPr>
              <w:pStyle w:val="TableParagraph"/>
              <w:spacing w:line="292" w:lineRule="exact"/>
              <w:ind w:left="447" w:right="434"/>
              <w:jc w:val="center"/>
              <w:rPr>
                <w:rFonts w:ascii="Calibri"/>
                <w:sz w:val="24"/>
              </w:rPr>
            </w:pPr>
            <w:r>
              <w:rPr>
                <w:rFonts w:ascii="Calibri"/>
                <w:spacing w:val="-2"/>
                <w:sz w:val="24"/>
              </w:rPr>
              <w:t>123,293</w:t>
            </w:r>
          </w:p>
        </w:tc>
        <w:tc>
          <w:tcPr>
            <w:tcW w:w="1801" w:type="dxa"/>
          </w:tcPr>
          <w:p>
            <w:pPr>
              <w:pStyle w:val="TableParagraph"/>
              <w:spacing w:line="292" w:lineRule="exact"/>
              <w:ind w:left="294" w:right="288"/>
              <w:jc w:val="center"/>
              <w:rPr>
                <w:rFonts w:ascii="Calibri"/>
                <w:sz w:val="24"/>
              </w:rPr>
            </w:pPr>
            <w:r>
              <w:rPr>
                <w:rFonts w:ascii="Calibri"/>
                <w:spacing w:val="-2"/>
                <w:sz w:val="24"/>
              </w:rPr>
              <w:t>120,552</w:t>
            </w:r>
          </w:p>
        </w:tc>
        <w:tc>
          <w:tcPr>
            <w:tcW w:w="1621" w:type="dxa"/>
          </w:tcPr>
          <w:p>
            <w:pPr>
              <w:pStyle w:val="TableParagraph"/>
              <w:spacing w:line="292" w:lineRule="exact"/>
              <w:ind w:left="157" w:right="151"/>
              <w:jc w:val="center"/>
              <w:rPr>
                <w:rFonts w:ascii="Calibri"/>
                <w:sz w:val="24"/>
              </w:rPr>
            </w:pPr>
            <w:r>
              <w:rPr>
                <w:rFonts w:ascii="Calibri"/>
                <w:spacing w:val="-4"/>
                <w:sz w:val="24"/>
              </w:rPr>
              <w:t>97.8</w:t>
            </w:r>
          </w:p>
        </w:tc>
        <w:tc>
          <w:tcPr>
            <w:tcW w:w="1621" w:type="dxa"/>
          </w:tcPr>
          <w:p>
            <w:pPr>
              <w:pStyle w:val="TableParagraph"/>
              <w:spacing w:line="292" w:lineRule="exact"/>
              <w:ind w:left="152" w:right="151"/>
              <w:jc w:val="center"/>
              <w:rPr>
                <w:rFonts w:ascii="Calibri"/>
                <w:sz w:val="24"/>
              </w:rPr>
            </w:pPr>
            <w:r>
              <w:rPr>
                <w:rFonts w:ascii="Calibri"/>
                <w:spacing w:val="-4"/>
                <w:sz w:val="24"/>
              </w:rPr>
              <w:t>2.2%</w:t>
            </w:r>
          </w:p>
        </w:tc>
      </w:tr>
      <w:tr>
        <w:trPr>
          <w:trHeight w:val="335" w:hRule="atLeast"/>
        </w:trPr>
        <w:tc>
          <w:tcPr>
            <w:tcW w:w="2339" w:type="dxa"/>
          </w:tcPr>
          <w:p>
            <w:pPr>
              <w:pStyle w:val="TableParagraph"/>
              <w:spacing w:line="292" w:lineRule="exact"/>
              <w:ind w:left="117"/>
              <w:rPr>
                <w:rFonts w:ascii="Calibri"/>
                <w:sz w:val="24"/>
              </w:rPr>
            </w:pPr>
            <w:r>
              <w:rPr>
                <w:rFonts w:ascii="Calibri"/>
                <w:spacing w:val="-4"/>
                <w:sz w:val="24"/>
              </w:rPr>
              <w:t>Knox</w:t>
            </w:r>
          </w:p>
        </w:tc>
        <w:tc>
          <w:tcPr>
            <w:tcW w:w="1893" w:type="dxa"/>
          </w:tcPr>
          <w:p>
            <w:pPr>
              <w:pStyle w:val="TableParagraph"/>
              <w:spacing w:line="292" w:lineRule="exact"/>
              <w:ind w:left="448" w:right="434"/>
              <w:jc w:val="center"/>
              <w:rPr>
                <w:rFonts w:ascii="Calibri"/>
                <w:sz w:val="24"/>
              </w:rPr>
            </w:pPr>
            <w:r>
              <w:rPr>
                <w:rFonts w:ascii="Calibri"/>
                <w:spacing w:val="-2"/>
                <w:sz w:val="24"/>
              </w:rPr>
              <w:t>40,519</w:t>
            </w:r>
          </w:p>
        </w:tc>
        <w:tc>
          <w:tcPr>
            <w:tcW w:w="1801" w:type="dxa"/>
          </w:tcPr>
          <w:p>
            <w:pPr>
              <w:pStyle w:val="TableParagraph"/>
              <w:spacing w:line="292" w:lineRule="exact"/>
              <w:ind w:left="294" w:right="288"/>
              <w:jc w:val="center"/>
              <w:rPr>
                <w:rFonts w:ascii="Calibri"/>
                <w:sz w:val="24"/>
              </w:rPr>
            </w:pPr>
            <w:r>
              <w:rPr>
                <w:rFonts w:ascii="Calibri"/>
                <w:spacing w:val="-2"/>
                <w:sz w:val="24"/>
              </w:rPr>
              <w:t>39,338</w:t>
            </w:r>
          </w:p>
        </w:tc>
        <w:tc>
          <w:tcPr>
            <w:tcW w:w="1621" w:type="dxa"/>
          </w:tcPr>
          <w:p>
            <w:pPr>
              <w:pStyle w:val="TableParagraph"/>
              <w:spacing w:line="292" w:lineRule="exact"/>
              <w:ind w:left="157" w:right="151"/>
              <w:jc w:val="center"/>
              <w:rPr>
                <w:rFonts w:ascii="Calibri"/>
                <w:sz w:val="24"/>
              </w:rPr>
            </w:pPr>
            <w:r>
              <w:rPr>
                <w:rFonts w:ascii="Calibri"/>
                <w:spacing w:val="-4"/>
                <w:sz w:val="24"/>
              </w:rPr>
              <w:t>97.1</w:t>
            </w:r>
          </w:p>
        </w:tc>
        <w:tc>
          <w:tcPr>
            <w:tcW w:w="1621" w:type="dxa"/>
          </w:tcPr>
          <w:p>
            <w:pPr>
              <w:pStyle w:val="TableParagraph"/>
              <w:spacing w:line="292" w:lineRule="exact"/>
              <w:ind w:left="152" w:right="151"/>
              <w:jc w:val="center"/>
              <w:rPr>
                <w:rFonts w:ascii="Calibri"/>
                <w:sz w:val="24"/>
              </w:rPr>
            </w:pPr>
            <w:r>
              <w:rPr>
                <w:rFonts w:ascii="Calibri"/>
                <w:spacing w:val="-4"/>
                <w:sz w:val="24"/>
              </w:rPr>
              <w:t>2.9%</w:t>
            </w:r>
          </w:p>
        </w:tc>
      </w:tr>
      <w:tr>
        <w:trPr>
          <w:trHeight w:val="338" w:hRule="atLeast"/>
        </w:trPr>
        <w:tc>
          <w:tcPr>
            <w:tcW w:w="2339" w:type="dxa"/>
          </w:tcPr>
          <w:p>
            <w:pPr>
              <w:pStyle w:val="TableParagraph"/>
              <w:spacing w:line="240" w:lineRule="auto" w:before="1"/>
              <w:ind w:left="117"/>
              <w:rPr>
                <w:rFonts w:ascii="Calibri"/>
                <w:sz w:val="24"/>
              </w:rPr>
            </w:pPr>
            <w:r>
              <w:rPr>
                <w:rFonts w:ascii="Calibri"/>
                <w:spacing w:val="-2"/>
                <w:sz w:val="24"/>
              </w:rPr>
              <w:t>Lincoln</w:t>
            </w:r>
          </w:p>
        </w:tc>
        <w:tc>
          <w:tcPr>
            <w:tcW w:w="1893" w:type="dxa"/>
          </w:tcPr>
          <w:p>
            <w:pPr>
              <w:pStyle w:val="TableParagraph"/>
              <w:spacing w:line="240" w:lineRule="auto" w:before="1"/>
              <w:ind w:left="448" w:right="434"/>
              <w:jc w:val="center"/>
              <w:rPr>
                <w:rFonts w:ascii="Calibri"/>
                <w:sz w:val="24"/>
              </w:rPr>
            </w:pPr>
            <w:r>
              <w:rPr>
                <w:rFonts w:ascii="Calibri"/>
                <w:spacing w:val="-2"/>
                <w:sz w:val="24"/>
              </w:rPr>
              <w:t>35,065</w:t>
            </w:r>
          </w:p>
        </w:tc>
        <w:tc>
          <w:tcPr>
            <w:tcW w:w="1801" w:type="dxa"/>
          </w:tcPr>
          <w:p>
            <w:pPr>
              <w:pStyle w:val="TableParagraph"/>
              <w:spacing w:line="240" w:lineRule="auto" w:before="1"/>
              <w:ind w:left="294" w:right="288"/>
              <w:jc w:val="center"/>
              <w:rPr>
                <w:rFonts w:ascii="Calibri"/>
                <w:sz w:val="24"/>
              </w:rPr>
            </w:pPr>
            <w:r>
              <w:rPr>
                <w:rFonts w:ascii="Calibri"/>
                <w:spacing w:val="-2"/>
                <w:sz w:val="24"/>
              </w:rPr>
              <w:t>34,300</w:t>
            </w:r>
          </w:p>
        </w:tc>
        <w:tc>
          <w:tcPr>
            <w:tcW w:w="1621" w:type="dxa"/>
          </w:tcPr>
          <w:p>
            <w:pPr>
              <w:pStyle w:val="TableParagraph"/>
              <w:spacing w:line="240" w:lineRule="auto" w:before="1"/>
              <w:ind w:left="157" w:right="151"/>
              <w:jc w:val="center"/>
              <w:rPr>
                <w:rFonts w:ascii="Calibri"/>
                <w:sz w:val="24"/>
              </w:rPr>
            </w:pPr>
            <w:r>
              <w:rPr>
                <w:rFonts w:ascii="Calibri"/>
                <w:spacing w:val="-4"/>
                <w:sz w:val="24"/>
              </w:rPr>
              <w:t>97.8</w:t>
            </w:r>
          </w:p>
        </w:tc>
        <w:tc>
          <w:tcPr>
            <w:tcW w:w="1621" w:type="dxa"/>
          </w:tcPr>
          <w:p>
            <w:pPr>
              <w:pStyle w:val="TableParagraph"/>
              <w:spacing w:line="240" w:lineRule="auto" w:before="1"/>
              <w:ind w:left="152" w:right="151"/>
              <w:jc w:val="center"/>
              <w:rPr>
                <w:rFonts w:ascii="Calibri"/>
                <w:sz w:val="24"/>
              </w:rPr>
            </w:pPr>
            <w:r>
              <w:rPr>
                <w:rFonts w:ascii="Calibri"/>
                <w:spacing w:val="-4"/>
                <w:sz w:val="24"/>
              </w:rPr>
              <w:t>2.2%</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Oxford</w:t>
            </w:r>
          </w:p>
        </w:tc>
        <w:tc>
          <w:tcPr>
            <w:tcW w:w="1893" w:type="dxa"/>
          </w:tcPr>
          <w:p>
            <w:pPr>
              <w:pStyle w:val="TableParagraph"/>
              <w:spacing w:line="292" w:lineRule="exact"/>
              <w:ind w:left="448" w:right="434"/>
              <w:jc w:val="center"/>
              <w:rPr>
                <w:rFonts w:ascii="Calibri"/>
                <w:sz w:val="24"/>
              </w:rPr>
            </w:pPr>
            <w:r>
              <w:rPr>
                <w:rFonts w:ascii="Calibri"/>
                <w:spacing w:val="-2"/>
                <w:sz w:val="24"/>
              </w:rPr>
              <w:t>57,807</w:t>
            </w:r>
          </w:p>
        </w:tc>
        <w:tc>
          <w:tcPr>
            <w:tcW w:w="1801" w:type="dxa"/>
          </w:tcPr>
          <w:p>
            <w:pPr>
              <w:pStyle w:val="TableParagraph"/>
              <w:spacing w:line="292" w:lineRule="exact"/>
              <w:ind w:left="294" w:right="288"/>
              <w:jc w:val="center"/>
              <w:rPr>
                <w:rFonts w:ascii="Calibri"/>
                <w:sz w:val="24"/>
              </w:rPr>
            </w:pPr>
            <w:r>
              <w:rPr>
                <w:rFonts w:ascii="Calibri"/>
                <w:spacing w:val="-2"/>
                <w:sz w:val="24"/>
              </w:rPr>
              <w:t>56,966</w:t>
            </w:r>
          </w:p>
        </w:tc>
        <w:tc>
          <w:tcPr>
            <w:tcW w:w="1621" w:type="dxa"/>
          </w:tcPr>
          <w:p>
            <w:pPr>
              <w:pStyle w:val="TableParagraph"/>
              <w:spacing w:line="292" w:lineRule="exact"/>
              <w:ind w:left="157" w:right="151"/>
              <w:jc w:val="center"/>
              <w:rPr>
                <w:rFonts w:ascii="Calibri"/>
                <w:sz w:val="24"/>
              </w:rPr>
            </w:pPr>
            <w:r>
              <w:rPr>
                <w:rFonts w:ascii="Calibri"/>
                <w:spacing w:val="-2"/>
                <w:sz w:val="24"/>
              </w:rPr>
              <w:t>98.5%</w:t>
            </w:r>
          </w:p>
        </w:tc>
        <w:tc>
          <w:tcPr>
            <w:tcW w:w="1621" w:type="dxa"/>
          </w:tcPr>
          <w:p>
            <w:pPr>
              <w:pStyle w:val="TableParagraph"/>
              <w:spacing w:line="292" w:lineRule="exact"/>
              <w:ind w:left="153" w:right="151"/>
              <w:jc w:val="center"/>
              <w:rPr>
                <w:rFonts w:ascii="Calibri"/>
                <w:sz w:val="24"/>
              </w:rPr>
            </w:pPr>
            <w:r>
              <w:rPr>
                <w:rFonts w:ascii="Calibri"/>
                <w:spacing w:val="-4"/>
                <w:sz w:val="24"/>
              </w:rPr>
              <w:t>1.5%</w:t>
            </w:r>
          </w:p>
        </w:tc>
      </w:tr>
      <w:tr>
        <w:trPr>
          <w:trHeight w:val="337" w:hRule="atLeast"/>
        </w:trPr>
        <w:tc>
          <w:tcPr>
            <w:tcW w:w="2339" w:type="dxa"/>
          </w:tcPr>
          <w:p>
            <w:pPr>
              <w:pStyle w:val="TableParagraph"/>
              <w:spacing w:line="240" w:lineRule="auto" w:before="1"/>
              <w:ind w:left="117"/>
              <w:rPr>
                <w:rFonts w:ascii="Calibri"/>
                <w:sz w:val="24"/>
              </w:rPr>
            </w:pPr>
            <w:r>
              <w:rPr>
                <w:rFonts w:ascii="Calibri"/>
                <w:spacing w:val="-2"/>
                <w:sz w:val="24"/>
              </w:rPr>
              <w:t>Penobscot</w:t>
            </w:r>
          </w:p>
        </w:tc>
        <w:tc>
          <w:tcPr>
            <w:tcW w:w="1893" w:type="dxa"/>
          </w:tcPr>
          <w:p>
            <w:pPr>
              <w:pStyle w:val="TableParagraph"/>
              <w:spacing w:line="240" w:lineRule="auto" w:before="1"/>
              <w:ind w:left="447" w:right="434"/>
              <w:jc w:val="center"/>
              <w:rPr>
                <w:rFonts w:ascii="Calibri"/>
                <w:sz w:val="24"/>
              </w:rPr>
            </w:pPr>
            <w:r>
              <w:rPr>
                <w:rFonts w:ascii="Calibri"/>
                <w:spacing w:val="-2"/>
                <w:sz w:val="24"/>
              </w:rPr>
              <w:t>152,211</w:t>
            </w:r>
          </w:p>
        </w:tc>
        <w:tc>
          <w:tcPr>
            <w:tcW w:w="1801" w:type="dxa"/>
          </w:tcPr>
          <w:p>
            <w:pPr>
              <w:pStyle w:val="TableParagraph"/>
              <w:spacing w:line="240" w:lineRule="auto" w:before="1"/>
              <w:ind w:left="294" w:right="288"/>
              <w:jc w:val="center"/>
              <w:rPr>
                <w:rFonts w:ascii="Calibri"/>
                <w:sz w:val="24"/>
              </w:rPr>
            </w:pPr>
            <w:r>
              <w:rPr>
                <w:rFonts w:ascii="Calibri"/>
                <w:spacing w:val="-2"/>
                <w:sz w:val="24"/>
              </w:rPr>
              <w:t>147,648</w:t>
            </w:r>
          </w:p>
        </w:tc>
        <w:tc>
          <w:tcPr>
            <w:tcW w:w="1621" w:type="dxa"/>
          </w:tcPr>
          <w:p>
            <w:pPr>
              <w:pStyle w:val="TableParagraph"/>
              <w:spacing w:line="240" w:lineRule="auto" w:before="1"/>
              <w:ind w:left="157" w:right="151"/>
              <w:jc w:val="center"/>
              <w:rPr>
                <w:rFonts w:ascii="Calibri"/>
                <w:sz w:val="24"/>
              </w:rPr>
            </w:pPr>
            <w:r>
              <w:rPr>
                <w:rFonts w:ascii="Calibri"/>
                <w:spacing w:val="-4"/>
                <w:sz w:val="24"/>
              </w:rPr>
              <w:t>97.0</w:t>
            </w:r>
          </w:p>
        </w:tc>
        <w:tc>
          <w:tcPr>
            <w:tcW w:w="1621" w:type="dxa"/>
          </w:tcPr>
          <w:p>
            <w:pPr>
              <w:pStyle w:val="TableParagraph"/>
              <w:spacing w:line="240" w:lineRule="auto" w:before="1"/>
              <w:ind w:left="152" w:right="151"/>
              <w:jc w:val="center"/>
              <w:rPr>
                <w:rFonts w:ascii="Calibri"/>
                <w:sz w:val="24"/>
              </w:rPr>
            </w:pPr>
            <w:r>
              <w:rPr>
                <w:rFonts w:ascii="Calibri"/>
                <w:spacing w:val="-4"/>
                <w:sz w:val="24"/>
              </w:rPr>
              <w:t>3.0%</w:t>
            </w:r>
          </w:p>
        </w:tc>
      </w:tr>
      <w:tr>
        <w:trPr>
          <w:trHeight w:val="338" w:hRule="atLeast"/>
        </w:trPr>
        <w:tc>
          <w:tcPr>
            <w:tcW w:w="2339" w:type="dxa"/>
          </w:tcPr>
          <w:p>
            <w:pPr>
              <w:pStyle w:val="TableParagraph"/>
              <w:spacing w:line="292" w:lineRule="exact"/>
              <w:ind w:left="117"/>
              <w:rPr>
                <w:rFonts w:ascii="Calibri"/>
                <w:sz w:val="24"/>
              </w:rPr>
            </w:pPr>
            <w:r>
              <w:rPr>
                <w:rFonts w:ascii="Calibri"/>
                <w:spacing w:val="-2"/>
                <w:sz w:val="24"/>
              </w:rPr>
              <w:t>Piscataquis</w:t>
            </w:r>
          </w:p>
        </w:tc>
        <w:tc>
          <w:tcPr>
            <w:tcW w:w="1893" w:type="dxa"/>
          </w:tcPr>
          <w:p>
            <w:pPr>
              <w:pStyle w:val="TableParagraph"/>
              <w:spacing w:line="292" w:lineRule="exact"/>
              <w:ind w:left="448" w:right="434"/>
              <w:jc w:val="center"/>
              <w:rPr>
                <w:rFonts w:ascii="Calibri"/>
                <w:sz w:val="24"/>
              </w:rPr>
            </w:pPr>
            <w:r>
              <w:rPr>
                <w:rFonts w:ascii="Calibri"/>
                <w:spacing w:val="-2"/>
                <w:sz w:val="24"/>
              </w:rPr>
              <w:t>16,760</w:t>
            </w:r>
          </w:p>
        </w:tc>
        <w:tc>
          <w:tcPr>
            <w:tcW w:w="1801" w:type="dxa"/>
          </w:tcPr>
          <w:p>
            <w:pPr>
              <w:pStyle w:val="TableParagraph"/>
              <w:spacing w:line="292" w:lineRule="exact"/>
              <w:ind w:left="294" w:right="288"/>
              <w:jc w:val="center"/>
              <w:rPr>
                <w:rFonts w:ascii="Calibri"/>
                <w:sz w:val="24"/>
              </w:rPr>
            </w:pPr>
            <w:r>
              <w:rPr>
                <w:rFonts w:ascii="Calibri"/>
                <w:spacing w:val="-2"/>
                <w:sz w:val="24"/>
              </w:rPr>
              <w:t>16,330</w:t>
            </w:r>
          </w:p>
        </w:tc>
        <w:tc>
          <w:tcPr>
            <w:tcW w:w="1621" w:type="dxa"/>
          </w:tcPr>
          <w:p>
            <w:pPr>
              <w:pStyle w:val="TableParagraph"/>
              <w:spacing w:line="292" w:lineRule="exact"/>
              <w:ind w:left="157" w:right="151"/>
              <w:jc w:val="center"/>
              <w:rPr>
                <w:rFonts w:ascii="Calibri"/>
                <w:sz w:val="24"/>
              </w:rPr>
            </w:pPr>
            <w:r>
              <w:rPr>
                <w:rFonts w:ascii="Calibri"/>
                <w:spacing w:val="-4"/>
                <w:sz w:val="24"/>
              </w:rPr>
              <w:t>97.4</w:t>
            </w:r>
          </w:p>
        </w:tc>
        <w:tc>
          <w:tcPr>
            <w:tcW w:w="1621" w:type="dxa"/>
          </w:tcPr>
          <w:p>
            <w:pPr>
              <w:pStyle w:val="TableParagraph"/>
              <w:spacing w:line="292" w:lineRule="exact"/>
              <w:ind w:left="152" w:right="151"/>
              <w:jc w:val="center"/>
              <w:rPr>
                <w:rFonts w:ascii="Calibri"/>
                <w:sz w:val="24"/>
              </w:rPr>
            </w:pPr>
            <w:r>
              <w:rPr>
                <w:rFonts w:ascii="Calibri"/>
                <w:spacing w:val="-4"/>
                <w:sz w:val="24"/>
              </w:rPr>
              <w:t>2.6%</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Sagadahoc</w:t>
            </w:r>
          </w:p>
        </w:tc>
        <w:tc>
          <w:tcPr>
            <w:tcW w:w="1893" w:type="dxa"/>
          </w:tcPr>
          <w:p>
            <w:pPr>
              <w:pStyle w:val="TableParagraph"/>
              <w:spacing w:line="292" w:lineRule="exact"/>
              <w:ind w:left="448" w:right="434"/>
              <w:jc w:val="center"/>
              <w:rPr>
                <w:rFonts w:ascii="Calibri"/>
                <w:sz w:val="24"/>
              </w:rPr>
            </w:pPr>
            <w:r>
              <w:rPr>
                <w:rFonts w:ascii="Calibri"/>
                <w:spacing w:val="-2"/>
                <w:sz w:val="24"/>
              </w:rPr>
              <w:t>36,530</w:t>
            </w:r>
          </w:p>
        </w:tc>
        <w:tc>
          <w:tcPr>
            <w:tcW w:w="1801" w:type="dxa"/>
          </w:tcPr>
          <w:p>
            <w:pPr>
              <w:pStyle w:val="TableParagraph"/>
              <w:spacing w:line="292" w:lineRule="exact"/>
              <w:ind w:left="294" w:right="288"/>
              <w:jc w:val="center"/>
              <w:rPr>
                <w:rFonts w:ascii="Calibri"/>
                <w:sz w:val="24"/>
              </w:rPr>
            </w:pPr>
            <w:r>
              <w:rPr>
                <w:rFonts w:ascii="Calibri"/>
                <w:spacing w:val="-2"/>
                <w:sz w:val="24"/>
              </w:rPr>
              <w:t>35,334</w:t>
            </w:r>
          </w:p>
        </w:tc>
        <w:tc>
          <w:tcPr>
            <w:tcW w:w="1621" w:type="dxa"/>
          </w:tcPr>
          <w:p>
            <w:pPr>
              <w:pStyle w:val="TableParagraph"/>
              <w:spacing w:line="292" w:lineRule="exact"/>
              <w:ind w:left="157" w:right="151"/>
              <w:jc w:val="center"/>
              <w:rPr>
                <w:rFonts w:ascii="Calibri"/>
                <w:sz w:val="24"/>
              </w:rPr>
            </w:pPr>
            <w:r>
              <w:rPr>
                <w:rFonts w:ascii="Calibri"/>
                <w:spacing w:val="-4"/>
                <w:sz w:val="24"/>
              </w:rPr>
              <w:t>96.7</w:t>
            </w:r>
          </w:p>
        </w:tc>
        <w:tc>
          <w:tcPr>
            <w:tcW w:w="1621" w:type="dxa"/>
          </w:tcPr>
          <w:p>
            <w:pPr>
              <w:pStyle w:val="TableParagraph"/>
              <w:spacing w:line="292" w:lineRule="exact"/>
              <w:ind w:left="152" w:right="151"/>
              <w:jc w:val="center"/>
              <w:rPr>
                <w:rFonts w:ascii="Calibri"/>
                <w:sz w:val="24"/>
              </w:rPr>
            </w:pPr>
            <w:r>
              <w:rPr>
                <w:rFonts w:ascii="Calibri"/>
                <w:spacing w:val="-4"/>
                <w:sz w:val="24"/>
              </w:rPr>
              <w:t>3.3%</w:t>
            </w:r>
          </w:p>
        </w:tc>
      </w:tr>
      <w:tr>
        <w:trPr>
          <w:trHeight w:val="337" w:hRule="atLeast"/>
        </w:trPr>
        <w:tc>
          <w:tcPr>
            <w:tcW w:w="2339" w:type="dxa"/>
          </w:tcPr>
          <w:p>
            <w:pPr>
              <w:pStyle w:val="TableParagraph"/>
              <w:spacing w:line="292" w:lineRule="exact"/>
              <w:ind w:left="117"/>
              <w:rPr>
                <w:rFonts w:ascii="Calibri"/>
                <w:sz w:val="24"/>
              </w:rPr>
            </w:pPr>
            <w:r>
              <w:rPr>
                <w:rFonts w:ascii="Calibri"/>
                <w:spacing w:val="-2"/>
                <w:sz w:val="24"/>
              </w:rPr>
              <w:t>Somerset</w:t>
            </w:r>
          </w:p>
        </w:tc>
        <w:tc>
          <w:tcPr>
            <w:tcW w:w="1893" w:type="dxa"/>
          </w:tcPr>
          <w:p>
            <w:pPr>
              <w:pStyle w:val="TableParagraph"/>
              <w:spacing w:line="292" w:lineRule="exact"/>
              <w:ind w:left="448" w:right="434"/>
              <w:jc w:val="center"/>
              <w:rPr>
                <w:rFonts w:ascii="Calibri"/>
                <w:sz w:val="24"/>
              </w:rPr>
            </w:pPr>
            <w:r>
              <w:rPr>
                <w:rFonts w:ascii="Calibri"/>
                <w:spacing w:val="-2"/>
                <w:sz w:val="24"/>
              </w:rPr>
              <w:t>50,424</w:t>
            </w:r>
          </w:p>
        </w:tc>
        <w:tc>
          <w:tcPr>
            <w:tcW w:w="1801" w:type="dxa"/>
          </w:tcPr>
          <w:p>
            <w:pPr>
              <w:pStyle w:val="TableParagraph"/>
              <w:spacing w:line="292" w:lineRule="exact"/>
              <w:ind w:left="294" w:right="288"/>
              <w:jc w:val="center"/>
              <w:rPr>
                <w:rFonts w:ascii="Calibri"/>
                <w:sz w:val="24"/>
              </w:rPr>
            </w:pPr>
            <w:r>
              <w:rPr>
                <w:rFonts w:ascii="Calibri"/>
                <w:spacing w:val="-2"/>
                <w:sz w:val="24"/>
              </w:rPr>
              <w:t>49,611</w:t>
            </w:r>
          </w:p>
        </w:tc>
        <w:tc>
          <w:tcPr>
            <w:tcW w:w="1621" w:type="dxa"/>
          </w:tcPr>
          <w:p>
            <w:pPr>
              <w:pStyle w:val="TableParagraph"/>
              <w:spacing w:line="292" w:lineRule="exact"/>
              <w:ind w:left="157" w:right="151"/>
              <w:jc w:val="center"/>
              <w:rPr>
                <w:rFonts w:ascii="Calibri"/>
                <w:sz w:val="24"/>
              </w:rPr>
            </w:pPr>
            <w:r>
              <w:rPr>
                <w:rFonts w:ascii="Calibri"/>
                <w:spacing w:val="-2"/>
                <w:sz w:val="24"/>
              </w:rPr>
              <w:t>98.4%</w:t>
            </w:r>
          </w:p>
        </w:tc>
        <w:tc>
          <w:tcPr>
            <w:tcW w:w="1621" w:type="dxa"/>
          </w:tcPr>
          <w:p>
            <w:pPr>
              <w:pStyle w:val="TableParagraph"/>
              <w:spacing w:line="292" w:lineRule="exact"/>
              <w:ind w:left="153" w:right="151"/>
              <w:jc w:val="center"/>
              <w:rPr>
                <w:rFonts w:ascii="Calibri"/>
                <w:sz w:val="24"/>
              </w:rPr>
            </w:pPr>
            <w:r>
              <w:rPr>
                <w:rFonts w:ascii="Calibri"/>
                <w:spacing w:val="-4"/>
                <w:sz w:val="24"/>
              </w:rPr>
              <w:t>1.6%</w:t>
            </w:r>
          </w:p>
        </w:tc>
      </w:tr>
      <w:tr>
        <w:trPr>
          <w:trHeight w:val="335" w:hRule="atLeast"/>
        </w:trPr>
        <w:tc>
          <w:tcPr>
            <w:tcW w:w="2339" w:type="dxa"/>
          </w:tcPr>
          <w:p>
            <w:pPr>
              <w:pStyle w:val="TableParagraph"/>
              <w:spacing w:line="292" w:lineRule="exact"/>
              <w:ind w:left="117"/>
              <w:rPr>
                <w:rFonts w:ascii="Calibri"/>
                <w:sz w:val="24"/>
              </w:rPr>
            </w:pPr>
            <w:r>
              <w:rPr>
                <w:rFonts w:ascii="Calibri"/>
                <w:spacing w:val="-2"/>
                <w:sz w:val="24"/>
              </w:rPr>
              <w:t>Waldo</w:t>
            </w:r>
          </w:p>
        </w:tc>
        <w:tc>
          <w:tcPr>
            <w:tcW w:w="1893" w:type="dxa"/>
          </w:tcPr>
          <w:p>
            <w:pPr>
              <w:pStyle w:val="TableParagraph"/>
              <w:spacing w:line="292" w:lineRule="exact"/>
              <w:ind w:left="448" w:right="434"/>
              <w:jc w:val="center"/>
              <w:rPr>
                <w:rFonts w:ascii="Calibri"/>
                <w:sz w:val="24"/>
              </w:rPr>
            </w:pPr>
            <w:r>
              <w:rPr>
                <w:rFonts w:ascii="Calibri"/>
                <w:spacing w:val="-2"/>
                <w:sz w:val="24"/>
              </w:rPr>
              <w:t>39,618</w:t>
            </w:r>
          </w:p>
        </w:tc>
        <w:tc>
          <w:tcPr>
            <w:tcW w:w="1801" w:type="dxa"/>
          </w:tcPr>
          <w:p>
            <w:pPr>
              <w:pStyle w:val="TableParagraph"/>
              <w:spacing w:line="292" w:lineRule="exact"/>
              <w:ind w:left="294" w:right="288"/>
              <w:jc w:val="center"/>
              <w:rPr>
                <w:rFonts w:ascii="Calibri"/>
                <w:sz w:val="24"/>
              </w:rPr>
            </w:pPr>
            <w:r>
              <w:rPr>
                <w:rFonts w:ascii="Calibri"/>
                <w:spacing w:val="-2"/>
                <w:sz w:val="24"/>
              </w:rPr>
              <w:t>38,766</w:t>
            </w:r>
          </w:p>
        </w:tc>
        <w:tc>
          <w:tcPr>
            <w:tcW w:w="1621" w:type="dxa"/>
          </w:tcPr>
          <w:p>
            <w:pPr>
              <w:pStyle w:val="TableParagraph"/>
              <w:spacing w:line="292" w:lineRule="exact"/>
              <w:ind w:left="157" w:right="151"/>
              <w:jc w:val="center"/>
              <w:rPr>
                <w:rFonts w:ascii="Calibri"/>
                <w:sz w:val="24"/>
              </w:rPr>
            </w:pPr>
            <w:r>
              <w:rPr>
                <w:rFonts w:ascii="Calibri"/>
                <w:spacing w:val="-4"/>
                <w:sz w:val="24"/>
              </w:rPr>
              <w:t>97.8</w:t>
            </w:r>
          </w:p>
        </w:tc>
        <w:tc>
          <w:tcPr>
            <w:tcW w:w="1621" w:type="dxa"/>
          </w:tcPr>
          <w:p>
            <w:pPr>
              <w:pStyle w:val="TableParagraph"/>
              <w:spacing w:line="292" w:lineRule="exact"/>
              <w:ind w:left="152" w:right="151"/>
              <w:jc w:val="center"/>
              <w:rPr>
                <w:rFonts w:ascii="Calibri"/>
                <w:sz w:val="24"/>
              </w:rPr>
            </w:pPr>
            <w:r>
              <w:rPr>
                <w:rFonts w:ascii="Calibri"/>
                <w:spacing w:val="-4"/>
                <w:sz w:val="24"/>
              </w:rPr>
              <w:t>2.2%</w:t>
            </w:r>
          </w:p>
        </w:tc>
      </w:tr>
      <w:tr>
        <w:trPr>
          <w:trHeight w:val="337" w:hRule="atLeast"/>
        </w:trPr>
        <w:tc>
          <w:tcPr>
            <w:tcW w:w="2339" w:type="dxa"/>
          </w:tcPr>
          <w:p>
            <w:pPr>
              <w:pStyle w:val="TableParagraph"/>
              <w:spacing w:line="292" w:lineRule="exact"/>
              <w:ind w:left="117"/>
              <w:rPr>
                <w:rFonts w:ascii="Calibri"/>
                <w:sz w:val="24"/>
              </w:rPr>
            </w:pPr>
            <w:r>
              <w:rPr>
                <w:rFonts w:ascii="Calibri"/>
                <w:spacing w:val="-2"/>
                <w:sz w:val="24"/>
              </w:rPr>
              <w:t>Washington</w:t>
            </w:r>
          </w:p>
        </w:tc>
        <w:tc>
          <w:tcPr>
            <w:tcW w:w="1893" w:type="dxa"/>
          </w:tcPr>
          <w:p>
            <w:pPr>
              <w:pStyle w:val="TableParagraph"/>
              <w:spacing w:line="292" w:lineRule="exact"/>
              <w:ind w:left="448" w:right="434"/>
              <w:jc w:val="center"/>
              <w:rPr>
                <w:rFonts w:ascii="Calibri"/>
                <w:sz w:val="24"/>
              </w:rPr>
            </w:pPr>
            <w:r>
              <w:rPr>
                <w:rFonts w:ascii="Calibri"/>
                <w:spacing w:val="-2"/>
                <w:sz w:val="24"/>
              </w:rPr>
              <w:t>31,003</w:t>
            </w:r>
          </w:p>
        </w:tc>
        <w:tc>
          <w:tcPr>
            <w:tcW w:w="1801" w:type="dxa"/>
          </w:tcPr>
          <w:p>
            <w:pPr>
              <w:pStyle w:val="TableParagraph"/>
              <w:spacing w:line="292" w:lineRule="exact"/>
              <w:ind w:left="294" w:right="288"/>
              <w:jc w:val="center"/>
              <w:rPr>
                <w:rFonts w:ascii="Calibri"/>
                <w:sz w:val="24"/>
              </w:rPr>
            </w:pPr>
            <w:r>
              <w:rPr>
                <w:rFonts w:ascii="Calibri"/>
                <w:spacing w:val="-2"/>
                <w:sz w:val="24"/>
              </w:rPr>
              <w:t>29,951</w:t>
            </w:r>
          </w:p>
        </w:tc>
        <w:tc>
          <w:tcPr>
            <w:tcW w:w="1621" w:type="dxa"/>
          </w:tcPr>
          <w:p>
            <w:pPr>
              <w:pStyle w:val="TableParagraph"/>
              <w:spacing w:line="292" w:lineRule="exact"/>
              <w:ind w:left="157" w:right="151"/>
              <w:jc w:val="center"/>
              <w:rPr>
                <w:rFonts w:ascii="Calibri"/>
                <w:sz w:val="24"/>
              </w:rPr>
            </w:pPr>
            <w:r>
              <w:rPr>
                <w:rFonts w:ascii="Calibri"/>
                <w:spacing w:val="-4"/>
                <w:sz w:val="24"/>
              </w:rPr>
              <w:t>96.6</w:t>
            </w:r>
          </w:p>
        </w:tc>
        <w:tc>
          <w:tcPr>
            <w:tcW w:w="1621" w:type="dxa"/>
          </w:tcPr>
          <w:p>
            <w:pPr>
              <w:pStyle w:val="TableParagraph"/>
              <w:spacing w:line="292" w:lineRule="exact"/>
              <w:ind w:left="152" w:right="151"/>
              <w:jc w:val="center"/>
              <w:rPr>
                <w:rFonts w:ascii="Calibri"/>
                <w:sz w:val="24"/>
              </w:rPr>
            </w:pPr>
            <w:r>
              <w:rPr>
                <w:rFonts w:ascii="Calibri"/>
                <w:spacing w:val="-4"/>
                <w:sz w:val="24"/>
              </w:rPr>
              <w:t>3.4%</w:t>
            </w:r>
          </w:p>
        </w:tc>
      </w:tr>
      <w:tr>
        <w:trPr>
          <w:trHeight w:val="335" w:hRule="atLeast"/>
        </w:trPr>
        <w:tc>
          <w:tcPr>
            <w:tcW w:w="2339" w:type="dxa"/>
          </w:tcPr>
          <w:p>
            <w:pPr>
              <w:pStyle w:val="TableParagraph"/>
              <w:spacing w:line="292" w:lineRule="exact"/>
              <w:ind w:left="117"/>
              <w:rPr>
                <w:rFonts w:ascii="Calibri"/>
                <w:sz w:val="24"/>
              </w:rPr>
            </w:pPr>
            <w:r>
              <w:rPr>
                <w:rFonts w:ascii="Calibri"/>
                <w:spacing w:val="-4"/>
                <w:sz w:val="24"/>
              </w:rPr>
              <w:t>York</w:t>
            </w:r>
          </w:p>
        </w:tc>
        <w:tc>
          <w:tcPr>
            <w:tcW w:w="1893" w:type="dxa"/>
          </w:tcPr>
          <w:p>
            <w:pPr>
              <w:pStyle w:val="TableParagraph"/>
              <w:spacing w:line="292" w:lineRule="exact"/>
              <w:ind w:left="447" w:right="434"/>
              <w:jc w:val="center"/>
              <w:rPr>
                <w:rFonts w:ascii="Calibri"/>
                <w:sz w:val="24"/>
              </w:rPr>
            </w:pPr>
            <w:r>
              <w:rPr>
                <w:rFonts w:ascii="Calibri"/>
                <w:spacing w:val="-2"/>
                <w:sz w:val="24"/>
              </w:rPr>
              <w:t>210,486</w:t>
            </w:r>
          </w:p>
        </w:tc>
        <w:tc>
          <w:tcPr>
            <w:tcW w:w="1801" w:type="dxa"/>
          </w:tcPr>
          <w:p>
            <w:pPr>
              <w:pStyle w:val="TableParagraph"/>
              <w:spacing w:line="292" w:lineRule="exact"/>
              <w:ind w:left="294" w:right="288"/>
              <w:jc w:val="center"/>
              <w:rPr>
                <w:rFonts w:ascii="Calibri"/>
                <w:sz w:val="24"/>
              </w:rPr>
            </w:pPr>
            <w:r>
              <w:rPr>
                <w:rFonts w:ascii="Calibri"/>
                <w:spacing w:val="-2"/>
                <w:sz w:val="24"/>
              </w:rPr>
              <w:t>202,773</w:t>
            </w:r>
          </w:p>
        </w:tc>
        <w:tc>
          <w:tcPr>
            <w:tcW w:w="1621" w:type="dxa"/>
          </w:tcPr>
          <w:p>
            <w:pPr>
              <w:pStyle w:val="TableParagraph"/>
              <w:spacing w:line="292" w:lineRule="exact"/>
              <w:ind w:left="157" w:right="151"/>
              <w:jc w:val="center"/>
              <w:rPr>
                <w:rFonts w:ascii="Calibri"/>
                <w:sz w:val="24"/>
              </w:rPr>
            </w:pPr>
            <w:r>
              <w:rPr>
                <w:rFonts w:ascii="Calibri"/>
                <w:spacing w:val="-4"/>
                <w:sz w:val="24"/>
              </w:rPr>
              <w:t>96.3</w:t>
            </w:r>
          </w:p>
        </w:tc>
        <w:tc>
          <w:tcPr>
            <w:tcW w:w="1621" w:type="dxa"/>
          </w:tcPr>
          <w:p>
            <w:pPr>
              <w:pStyle w:val="TableParagraph"/>
              <w:spacing w:line="292" w:lineRule="exact"/>
              <w:ind w:left="152" w:right="151"/>
              <w:jc w:val="center"/>
              <w:rPr>
                <w:rFonts w:ascii="Calibri"/>
                <w:sz w:val="24"/>
              </w:rPr>
            </w:pPr>
            <w:r>
              <w:rPr>
                <w:rFonts w:ascii="Calibri"/>
                <w:spacing w:val="-4"/>
                <w:sz w:val="24"/>
              </w:rPr>
              <w:t>3.7%</w:t>
            </w:r>
          </w:p>
        </w:tc>
      </w:tr>
    </w:tbl>
    <w:p>
      <w:pPr>
        <w:pStyle w:val="BodyText"/>
        <w:spacing w:before="10"/>
        <w:rPr>
          <w:sz w:val="20"/>
        </w:rPr>
      </w:pPr>
    </w:p>
    <w:p>
      <w:pPr>
        <w:spacing w:before="0"/>
        <w:ind w:left="840" w:right="0" w:firstLine="0"/>
        <w:jc w:val="left"/>
        <w:rPr>
          <w:i/>
          <w:sz w:val="22"/>
        </w:rPr>
      </w:pPr>
      <w:r>
        <w:rPr>
          <w:i/>
          <w:sz w:val="22"/>
        </w:rPr>
        <w:t>Source:</w:t>
      </w:r>
      <w:r>
        <w:rPr>
          <w:i/>
          <w:spacing w:val="-5"/>
          <w:sz w:val="22"/>
        </w:rPr>
        <w:t> </w:t>
      </w:r>
      <w:r>
        <w:rPr>
          <w:i/>
          <w:sz w:val="22"/>
        </w:rPr>
        <w:t>2021</w:t>
      </w:r>
      <w:r>
        <w:rPr>
          <w:i/>
          <w:spacing w:val="-3"/>
          <w:sz w:val="22"/>
        </w:rPr>
        <w:t> </w:t>
      </w:r>
      <w:r>
        <w:rPr>
          <w:i/>
          <w:sz w:val="22"/>
        </w:rPr>
        <w:t>United</w:t>
      </w:r>
      <w:r>
        <w:rPr>
          <w:i/>
          <w:spacing w:val="-5"/>
          <w:sz w:val="22"/>
        </w:rPr>
        <w:t> </w:t>
      </w:r>
      <w:r>
        <w:rPr>
          <w:i/>
          <w:sz w:val="22"/>
        </w:rPr>
        <w:t>States</w:t>
      </w:r>
      <w:r>
        <w:rPr>
          <w:i/>
          <w:spacing w:val="-8"/>
          <w:sz w:val="22"/>
        </w:rPr>
        <w:t> </w:t>
      </w:r>
      <w:r>
        <w:rPr>
          <w:i/>
          <w:sz w:val="22"/>
        </w:rPr>
        <w:t>Bureau</w:t>
      </w:r>
      <w:r>
        <w:rPr>
          <w:i/>
          <w:spacing w:val="-5"/>
          <w:sz w:val="22"/>
        </w:rPr>
        <w:t> </w:t>
      </w:r>
      <w:r>
        <w:rPr>
          <w:i/>
          <w:sz w:val="22"/>
        </w:rPr>
        <w:t>of</w:t>
      </w:r>
      <w:r>
        <w:rPr>
          <w:i/>
          <w:spacing w:val="-4"/>
          <w:sz w:val="22"/>
        </w:rPr>
        <w:t> </w:t>
      </w:r>
      <w:r>
        <w:rPr>
          <w:i/>
          <w:sz w:val="22"/>
        </w:rPr>
        <w:t>the</w:t>
      </w:r>
      <w:r>
        <w:rPr>
          <w:i/>
          <w:spacing w:val="-5"/>
          <w:sz w:val="22"/>
        </w:rPr>
        <w:t> </w:t>
      </w:r>
      <w:r>
        <w:rPr>
          <w:i/>
          <w:sz w:val="22"/>
        </w:rPr>
        <w:t>Census,</w:t>
      </w:r>
      <w:r>
        <w:rPr>
          <w:i/>
          <w:spacing w:val="-4"/>
          <w:sz w:val="22"/>
        </w:rPr>
        <w:t> </w:t>
      </w:r>
      <w:r>
        <w:rPr>
          <w:i/>
          <w:sz w:val="22"/>
        </w:rPr>
        <w:t>American</w:t>
      </w:r>
      <w:r>
        <w:rPr>
          <w:i/>
          <w:spacing w:val="-5"/>
          <w:sz w:val="22"/>
        </w:rPr>
        <w:t> </w:t>
      </w:r>
      <w:r>
        <w:rPr>
          <w:i/>
          <w:sz w:val="22"/>
        </w:rPr>
        <w:t>Community</w:t>
      </w:r>
      <w:r>
        <w:rPr>
          <w:i/>
          <w:spacing w:val="-7"/>
          <w:sz w:val="22"/>
        </w:rPr>
        <w:t> </w:t>
      </w:r>
      <w:r>
        <w:rPr>
          <w:i/>
          <w:sz w:val="22"/>
        </w:rPr>
        <w:t>Survey</w:t>
      </w:r>
      <w:r>
        <w:rPr>
          <w:i/>
          <w:spacing w:val="-6"/>
          <w:sz w:val="22"/>
        </w:rPr>
        <w:t> </w:t>
      </w:r>
      <w:r>
        <w:rPr>
          <w:i/>
          <w:sz w:val="22"/>
        </w:rPr>
        <w:t>5-year</w:t>
      </w:r>
      <w:r>
        <w:rPr>
          <w:i/>
          <w:spacing w:val="-3"/>
          <w:sz w:val="22"/>
        </w:rPr>
        <w:t> </w:t>
      </w:r>
      <w:r>
        <w:rPr>
          <w:i/>
          <w:spacing w:val="-2"/>
          <w:sz w:val="22"/>
        </w:rPr>
        <w:t>Estimates</w:t>
      </w:r>
    </w:p>
    <w:p>
      <w:pPr>
        <w:spacing w:after="0"/>
        <w:jc w:val="left"/>
        <w:rPr>
          <w:sz w:val="22"/>
        </w:rPr>
        <w:sectPr>
          <w:pgSz w:w="12240" w:h="15840"/>
          <w:pgMar w:header="0" w:footer="997" w:top="960" w:bottom="1260" w:left="600" w:right="500"/>
        </w:sectPr>
      </w:pPr>
    </w:p>
    <w:p>
      <w:pPr>
        <w:pStyle w:val="BodyText"/>
        <w:spacing w:before="35"/>
        <w:ind w:left="840"/>
      </w:pPr>
      <w:r>
        <w:rPr/>
        <w:t>The</w:t>
      </w:r>
      <w:r>
        <w:rPr>
          <w:spacing w:val="-5"/>
        </w:rPr>
        <w:t> </w:t>
      </w:r>
      <w:r>
        <w:rPr/>
        <w:t>following</w:t>
      </w:r>
      <w:r>
        <w:rPr>
          <w:spacing w:val="-3"/>
        </w:rPr>
        <w:t> </w:t>
      </w:r>
      <w:r>
        <w:rPr/>
        <w:t>map</w:t>
      </w:r>
      <w:r>
        <w:rPr>
          <w:spacing w:val="-2"/>
        </w:rPr>
        <w:t> </w:t>
      </w:r>
      <w:r>
        <w:rPr/>
        <w:t>identifies</w:t>
      </w:r>
      <w:r>
        <w:rPr>
          <w:spacing w:val="-3"/>
        </w:rPr>
        <w:t> </w:t>
      </w:r>
      <w:r>
        <w:rPr/>
        <w:t>the</w:t>
      </w:r>
      <w:r>
        <w:rPr>
          <w:spacing w:val="-2"/>
        </w:rPr>
        <w:t> </w:t>
      </w:r>
      <w:r>
        <w:rPr/>
        <w:t>foreign-born</w:t>
      </w:r>
      <w:r>
        <w:rPr>
          <w:spacing w:val="-2"/>
        </w:rPr>
        <w:t> </w:t>
      </w:r>
      <w:r>
        <w:rPr/>
        <w:t>populations</w:t>
      </w:r>
      <w:r>
        <w:rPr>
          <w:spacing w:val="-1"/>
        </w:rPr>
        <w:t> </w:t>
      </w:r>
      <w:r>
        <w:rPr/>
        <w:t>of</w:t>
      </w:r>
      <w:r>
        <w:rPr>
          <w:spacing w:val="-2"/>
        </w:rPr>
        <w:t> </w:t>
      </w:r>
      <w:r>
        <w:rPr/>
        <w:t>Maine </w:t>
      </w:r>
      <w:r>
        <w:rPr>
          <w:spacing w:val="-2"/>
        </w:rPr>
        <w:t>counties.</w:t>
      </w:r>
    </w:p>
    <w:p>
      <w:pPr>
        <w:pStyle w:val="BodyText"/>
        <w:rPr>
          <w:sz w:val="20"/>
        </w:rPr>
      </w:pPr>
    </w:p>
    <w:p>
      <w:pPr>
        <w:pStyle w:val="BodyText"/>
        <w:spacing w:before="1"/>
        <w:rPr>
          <w:sz w:val="19"/>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163709</wp:posOffset>
            </wp:positionV>
            <wp:extent cx="5388257" cy="6970966"/>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8" cstate="print"/>
                    <a:stretch>
                      <a:fillRect/>
                    </a:stretch>
                  </pic:blipFill>
                  <pic:spPr>
                    <a:xfrm>
                      <a:off x="0" y="0"/>
                      <a:ext cx="5388257" cy="6970966"/>
                    </a:xfrm>
                    <a:prstGeom prst="rect">
                      <a:avLst/>
                    </a:prstGeom>
                  </pic:spPr>
                </pic:pic>
              </a:graphicData>
            </a:graphic>
          </wp:anchor>
        </w:drawing>
      </w:r>
    </w:p>
    <w:p>
      <w:pPr>
        <w:spacing w:after="0"/>
        <w:rPr>
          <w:sz w:val="19"/>
        </w:rPr>
        <w:sectPr>
          <w:pgSz w:w="12240" w:h="15840"/>
          <w:pgMar w:header="0" w:footer="997" w:top="960" w:bottom="1260" w:left="600" w:right="500"/>
        </w:sectPr>
      </w:pPr>
    </w:p>
    <w:p>
      <w:pPr>
        <w:pStyle w:val="Heading9"/>
        <w:spacing w:before="35"/>
        <w:ind w:left="840"/>
      </w:pPr>
      <w:r>
        <w:rPr>
          <w:spacing w:val="-2"/>
        </w:rPr>
        <w:t>Poverty</w:t>
      </w:r>
    </w:p>
    <w:p>
      <w:pPr>
        <w:pStyle w:val="BodyText"/>
        <w:rPr>
          <w:b/>
          <w:sz w:val="20"/>
        </w:rPr>
      </w:pPr>
    </w:p>
    <w:p>
      <w:pPr>
        <w:pStyle w:val="BodyText"/>
        <w:spacing w:before="1"/>
        <w:ind w:left="840" w:right="932"/>
        <w:jc w:val="both"/>
      </w:pPr>
      <w:r>
        <w:rPr/>
        <w:t>As a rural state without a large base of high-paying jobs—outside of Cumberland and Androscoggin Counties— poverty is more widespread in Maine than any of the other factors considered in the Title VI program. In the 2021 American Community Survey some 145,992 people were estimated to be in households that have incomes below the federal poverty threshold. (In dollar terms, that threshold varies by household size.)</w:t>
      </w:r>
      <w:r>
        <w:rPr>
          <w:spacing w:val="40"/>
        </w:rPr>
        <w:t> </w:t>
      </w:r>
      <w:r>
        <w:rPr/>
        <w:t>This number represents about</w:t>
      </w:r>
      <w:r>
        <w:rPr>
          <w:spacing w:val="-8"/>
        </w:rPr>
        <w:t> </w:t>
      </w:r>
      <w:r>
        <w:rPr/>
        <w:t>11%</w:t>
      </w:r>
      <w:r>
        <w:rPr>
          <w:spacing w:val="-8"/>
        </w:rPr>
        <w:t> </w:t>
      </w:r>
      <w:r>
        <w:rPr/>
        <w:t>of</w:t>
      </w:r>
      <w:r>
        <w:rPr>
          <w:spacing w:val="-8"/>
        </w:rPr>
        <w:t> </w:t>
      </w:r>
      <w:r>
        <w:rPr/>
        <w:t>the</w:t>
      </w:r>
      <w:r>
        <w:rPr>
          <w:spacing w:val="-8"/>
        </w:rPr>
        <w:t> </w:t>
      </w:r>
      <w:r>
        <w:rPr/>
        <w:t>population</w:t>
      </w:r>
      <w:r>
        <w:rPr>
          <w:spacing w:val="-8"/>
        </w:rPr>
        <w:t> </w:t>
      </w:r>
      <w:r>
        <w:rPr/>
        <w:t>for</w:t>
      </w:r>
      <w:r>
        <w:rPr>
          <w:spacing w:val="-8"/>
        </w:rPr>
        <w:t> </w:t>
      </w:r>
      <w:r>
        <w:rPr/>
        <w:t>whom</w:t>
      </w:r>
      <w:r>
        <w:rPr>
          <w:spacing w:val="-8"/>
        </w:rPr>
        <w:t> </w:t>
      </w:r>
      <w:r>
        <w:rPr/>
        <w:t>it</w:t>
      </w:r>
      <w:r>
        <w:rPr>
          <w:spacing w:val="-8"/>
        </w:rPr>
        <w:t> </w:t>
      </w:r>
      <w:r>
        <w:rPr/>
        <w:t>is</w:t>
      </w:r>
      <w:r>
        <w:rPr>
          <w:spacing w:val="-9"/>
        </w:rPr>
        <w:t> </w:t>
      </w:r>
      <w:r>
        <w:rPr/>
        <w:t>possible</w:t>
      </w:r>
      <w:r>
        <w:rPr>
          <w:spacing w:val="-8"/>
        </w:rPr>
        <w:t> </w:t>
      </w:r>
      <w:r>
        <w:rPr/>
        <w:t>to</w:t>
      </w:r>
      <w:r>
        <w:rPr>
          <w:spacing w:val="-8"/>
        </w:rPr>
        <w:t> </w:t>
      </w:r>
      <w:r>
        <w:rPr/>
        <w:t>determine</w:t>
      </w:r>
      <w:r>
        <w:rPr>
          <w:spacing w:val="-8"/>
        </w:rPr>
        <w:t> </w:t>
      </w:r>
      <w:r>
        <w:rPr/>
        <w:t>poverty</w:t>
      </w:r>
      <w:r>
        <w:rPr>
          <w:spacing w:val="-9"/>
        </w:rPr>
        <w:t> </w:t>
      </w:r>
      <w:r>
        <w:rPr/>
        <w:t>status.</w:t>
      </w:r>
      <w:r>
        <w:rPr>
          <w:spacing w:val="39"/>
        </w:rPr>
        <w:t> </w:t>
      </w:r>
      <w:r>
        <w:rPr/>
        <w:t>In</w:t>
      </w:r>
      <w:r>
        <w:rPr>
          <w:spacing w:val="-8"/>
        </w:rPr>
        <w:t> </w:t>
      </w:r>
      <w:r>
        <w:rPr/>
        <w:t>comparison, 7.99%</w:t>
      </w:r>
      <w:r>
        <w:rPr>
          <w:spacing w:val="-5"/>
        </w:rPr>
        <w:t> </w:t>
      </w:r>
      <w:r>
        <w:rPr/>
        <w:t>of</w:t>
      </w:r>
      <w:r>
        <w:rPr>
          <w:spacing w:val="-5"/>
        </w:rPr>
        <w:t> </w:t>
      </w:r>
      <w:r>
        <w:rPr/>
        <w:t>residents</w:t>
      </w:r>
      <w:r>
        <w:rPr>
          <w:spacing w:val="-4"/>
        </w:rPr>
        <w:t> </w:t>
      </w:r>
      <w:r>
        <w:rPr/>
        <w:t>are</w:t>
      </w:r>
      <w:r>
        <w:rPr>
          <w:spacing w:val="-3"/>
        </w:rPr>
        <w:t> </w:t>
      </w:r>
      <w:r>
        <w:rPr/>
        <w:t>minorities,</w:t>
      </w:r>
      <w:r>
        <w:rPr>
          <w:spacing w:val="-4"/>
        </w:rPr>
        <w:t> </w:t>
      </w:r>
      <w:r>
        <w:rPr/>
        <w:t>and</w:t>
      </w:r>
      <w:r>
        <w:rPr>
          <w:spacing w:val="-5"/>
        </w:rPr>
        <w:t> </w:t>
      </w:r>
      <w:r>
        <w:rPr/>
        <w:t>3.6</w:t>
      </w:r>
      <w:r>
        <w:rPr>
          <w:spacing w:val="-6"/>
        </w:rPr>
        <w:t> </w:t>
      </w:r>
      <w:r>
        <w:rPr/>
        <w:t>%</w:t>
      </w:r>
      <w:r>
        <w:rPr>
          <w:spacing w:val="-5"/>
        </w:rPr>
        <w:t> </w:t>
      </w:r>
      <w:r>
        <w:rPr/>
        <w:t>of</w:t>
      </w:r>
      <w:r>
        <w:rPr>
          <w:spacing w:val="-5"/>
        </w:rPr>
        <w:t> </w:t>
      </w:r>
      <w:r>
        <w:rPr/>
        <w:t>residents</w:t>
      </w:r>
      <w:r>
        <w:rPr>
          <w:spacing w:val="-7"/>
        </w:rPr>
        <w:t> </w:t>
      </w:r>
      <w:r>
        <w:rPr/>
        <w:t>were</w:t>
      </w:r>
      <w:r>
        <w:rPr>
          <w:spacing w:val="-6"/>
        </w:rPr>
        <w:t> </w:t>
      </w:r>
      <w:r>
        <w:rPr/>
        <w:t>not</w:t>
      </w:r>
      <w:r>
        <w:rPr>
          <w:spacing w:val="-5"/>
        </w:rPr>
        <w:t> </w:t>
      </w:r>
      <w:r>
        <w:rPr/>
        <w:t>born</w:t>
      </w:r>
      <w:r>
        <w:rPr>
          <w:spacing w:val="-3"/>
        </w:rPr>
        <w:t> </w:t>
      </w:r>
      <w:r>
        <w:rPr/>
        <w:t>in</w:t>
      </w:r>
      <w:r>
        <w:rPr>
          <w:spacing w:val="-5"/>
        </w:rPr>
        <w:t> </w:t>
      </w:r>
      <w:r>
        <w:rPr/>
        <w:t>the</w:t>
      </w:r>
      <w:r>
        <w:rPr>
          <w:spacing w:val="-3"/>
        </w:rPr>
        <w:t> </w:t>
      </w:r>
      <w:r>
        <w:rPr/>
        <w:t>United</w:t>
      </w:r>
      <w:r>
        <w:rPr>
          <w:spacing w:val="-3"/>
        </w:rPr>
        <w:t> </w:t>
      </w:r>
      <w:r>
        <w:rPr/>
        <w:t>States.</w:t>
      </w:r>
      <w:r>
        <w:rPr>
          <w:spacing w:val="-7"/>
        </w:rPr>
        <w:t> </w:t>
      </w:r>
      <w:r>
        <w:rPr/>
        <w:t>The highest concentration of low-income people resides in Cumberland County with 22,916 people. The cost of living and more urban settings reflect higher service needs in these areas.</w:t>
      </w:r>
    </w:p>
    <w:p>
      <w:pPr>
        <w:pStyle w:val="BodyText"/>
        <w:spacing w:before="10"/>
        <w:rPr>
          <w:sz w:val="23"/>
        </w:rPr>
      </w:pPr>
    </w:p>
    <w:p>
      <w:pPr>
        <w:pStyle w:val="BodyText"/>
        <w:ind w:left="840" w:right="935"/>
        <w:jc w:val="both"/>
      </w:pPr>
      <w:r>
        <w:rPr/>
        <w:t>In spite of the high number of low-income people in Cumberland County the percentages of people in poverty in most of these communities is below the state average. The highest percentages of low income per county are the rural counties of Washington (18.7%), Somerset (17.9%), Piscataquis (16%), Aroostook (14.5%), and Oxford (14%).</w:t>
      </w:r>
    </w:p>
    <w:p>
      <w:pPr>
        <w:pStyle w:val="BodyText"/>
        <w:spacing w:before="2"/>
      </w:pPr>
    </w:p>
    <w:p>
      <w:pPr>
        <w:pStyle w:val="BodyText"/>
        <w:ind w:left="840"/>
        <w:jc w:val="both"/>
      </w:pPr>
      <w:r>
        <w:rPr/>
        <w:t>The</w:t>
      </w:r>
      <w:r>
        <w:rPr>
          <w:spacing w:val="-4"/>
        </w:rPr>
        <w:t> </w:t>
      </w:r>
      <w:r>
        <w:rPr/>
        <w:t>following</w:t>
      </w:r>
      <w:r>
        <w:rPr>
          <w:spacing w:val="-3"/>
        </w:rPr>
        <w:t> </w:t>
      </w:r>
      <w:r>
        <w:rPr/>
        <w:t>table</w:t>
      </w:r>
      <w:r>
        <w:rPr>
          <w:spacing w:val="-2"/>
        </w:rPr>
        <w:t> </w:t>
      </w:r>
      <w:r>
        <w:rPr/>
        <w:t>identifies</w:t>
      </w:r>
      <w:r>
        <w:rPr>
          <w:spacing w:val="-1"/>
        </w:rPr>
        <w:t> </w:t>
      </w:r>
      <w:r>
        <w:rPr/>
        <w:t>low-income</w:t>
      </w:r>
      <w:r>
        <w:rPr>
          <w:spacing w:val="-2"/>
        </w:rPr>
        <w:t> </w:t>
      </w:r>
      <w:r>
        <w:rPr/>
        <w:t>populations</w:t>
      </w:r>
      <w:r>
        <w:rPr>
          <w:spacing w:val="-3"/>
        </w:rPr>
        <w:t> </w:t>
      </w:r>
      <w:r>
        <w:rPr/>
        <w:t>by</w:t>
      </w:r>
      <w:r>
        <w:rPr>
          <w:spacing w:val="-1"/>
        </w:rPr>
        <w:t> </w:t>
      </w:r>
      <w:r>
        <w:rPr>
          <w:spacing w:val="-2"/>
        </w:rPr>
        <w:t>county:</w:t>
      </w:r>
    </w:p>
    <w:p>
      <w:pPr>
        <w:pStyle w:val="BodyText"/>
      </w:pPr>
    </w:p>
    <w:tbl>
      <w:tblPr>
        <w:tblW w:w="0" w:type="auto"/>
        <w:jc w:val="left"/>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
        <w:gridCol w:w="1983"/>
        <w:gridCol w:w="2513"/>
        <w:gridCol w:w="2608"/>
        <w:gridCol w:w="2162"/>
        <w:gridCol w:w="88"/>
      </w:tblGrid>
      <w:tr>
        <w:trPr>
          <w:trHeight w:val="673" w:hRule="atLeast"/>
        </w:trPr>
        <w:tc>
          <w:tcPr>
            <w:tcW w:w="86" w:type="dxa"/>
            <w:tcBorders>
              <w:left w:val="single" w:sz="6" w:space="0" w:color="000000"/>
              <w:right w:val="nil"/>
            </w:tcBorders>
            <w:shd w:val="clear" w:color="auto" w:fill="D9D9D9"/>
          </w:tcPr>
          <w:p>
            <w:pPr>
              <w:pStyle w:val="TableParagraph"/>
              <w:spacing w:line="240" w:lineRule="auto"/>
              <w:rPr>
                <w:sz w:val="22"/>
              </w:rPr>
            </w:pPr>
          </w:p>
        </w:tc>
        <w:tc>
          <w:tcPr>
            <w:tcW w:w="9266" w:type="dxa"/>
            <w:gridSpan w:val="4"/>
            <w:tcBorders>
              <w:left w:val="nil"/>
              <w:right w:val="nil"/>
            </w:tcBorders>
            <w:shd w:val="clear" w:color="auto" w:fill="D9D9D9"/>
          </w:tcPr>
          <w:p>
            <w:pPr>
              <w:pStyle w:val="TableParagraph"/>
              <w:spacing w:line="292" w:lineRule="exact"/>
              <w:ind w:left="2790" w:right="2769"/>
              <w:jc w:val="center"/>
              <w:rPr>
                <w:rFonts w:ascii="Calibri"/>
                <w:b/>
                <w:sz w:val="24"/>
              </w:rPr>
            </w:pPr>
            <w:r>
              <w:rPr>
                <w:rFonts w:ascii="Calibri"/>
                <w:b/>
                <w:sz w:val="24"/>
              </w:rPr>
              <w:t>State</w:t>
            </w:r>
            <w:r>
              <w:rPr>
                <w:rFonts w:ascii="Calibri"/>
                <w:b/>
                <w:spacing w:val="-3"/>
                <w:sz w:val="24"/>
              </w:rPr>
              <w:t> </w:t>
            </w:r>
            <w:r>
              <w:rPr>
                <w:rFonts w:ascii="Calibri"/>
                <w:b/>
                <w:sz w:val="24"/>
              </w:rPr>
              <w:t>of </w:t>
            </w:r>
            <w:r>
              <w:rPr>
                <w:rFonts w:ascii="Calibri"/>
                <w:b/>
                <w:spacing w:val="-2"/>
                <w:sz w:val="24"/>
              </w:rPr>
              <w:t>Maine</w:t>
            </w:r>
          </w:p>
          <w:p>
            <w:pPr>
              <w:pStyle w:val="TableParagraph"/>
              <w:spacing w:line="240" w:lineRule="auto" w:before="43"/>
              <w:ind w:left="2790" w:right="2770"/>
              <w:jc w:val="center"/>
              <w:rPr>
                <w:rFonts w:ascii="Calibri"/>
                <w:b/>
                <w:sz w:val="24"/>
              </w:rPr>
            </w:pPr>
            <w:r>
              <w:rPr>
                <w:rFonts w:ascii="Calibri"/>
                <w:b/>
                <w:sz w:val="24"/>
              </w:rPr>
              <w:t>Poverty</w:t>
            </w:r>
            <w:r>
              <w:rPr>
                <w:rFonts w:ascii="Calibri"/>
                <w:b/>
                <w:spacing w:val="-2"/>
                <w:sz w:val="24"/>
              </w:rPr>
              <w:t> </w:t>
            </w:r>
            <w:r>
              <w:rPr>
                <w:rFonts w:ascii="Calibri"/>
                <w:b/>
                <w:sz w:val="24"/>
              </w:rPr>
              <w:t>Status</w:t>
            </w:r>
            <w:r>
              <w:rPr>
                <w:rFonts w:ascii="Calibri"/>
                <w:b/>
                <w:spacing w:val="-1"/>
                <w:sz w:val="24"/>
              </w:rPr>
              <w:t> </w:t>
            </w:r>
            <w:r>
              <w:rPr>
                <w:rFonts w:ascii="Calibri"/>
                <w:b/>
                <w:sz w:val="24"/>
              </w:rPr>
              <w:t>in</w:t>
            </w:r>
            <w:r>
              <w:rPr>
                <w:rFonts w:ascii="Calibri"/>
                <w:b/>
                <w:spacing w:val="-1"/>
                <w:sz w:val="24"/>
              </w:rPr>
              <w:t> </w:t>
            </w:r>
            <w:r>
              <w:rPr>
                <w:rFonts w:ascii="Calibri"/>
                <w:b/>
                <w:sz w:val="24"/>
              </w:rPr>
              <w:t>the</w:t>
            </w:r>
            <w:r>
              <w:rPr>
                <w:rFonts w:ascii="Calibri"/>
                <w:b/>
                <w:spacing w:val="-1"/>
                <w:sz w:val="24"/>
              </w:rPr>
              <w:t> </w:t>
            </w:r>
            <w:r>
              <w:rPr>
                <w:rFonts w:ascii="Calibri"/>
                <w:b/>
                <w:sz w:val="24"/>
              </w:rPr>
              <w:t>Past</w:t>
            </w:r>
            <w:r>
              <w:rPr>
                <w:rFonts w:ascii="Calibri"/>
                <w:b/>
                <w:spacing w:val="-1"/>
                <w:sz w:val="24"/>
              </w:rPr>
              <w:t> </w:t>
            </w:r>
            <w:r>
              <w:rPr>
                <w:rFonts w:ascii="Calibri"/>
                <w:b/>
                <w:sz w:val="24"/>
              </w:rPr>
              <w:t>12</w:t>
            </w:r>
            <w:r>
              <w:rPr>
                <w:rFonts w:ascii="Calibri"/>
                <w:b/>
                <w:spacing w:val="-2"/>
                <w:sz w:val="24"/>
              </w:rPr>
              <w:t> Months</w:t>
            </w:r>
          </w:p>
        </w:tc>
        <w:tc>
          <w:tcPr>
            <w:tcW w:w="88" w:type="dxa"/>
            <w:tcBorders>
              <w:left w:val="nil"/>
            </w:tcBorders>
            <w:shd w:val="clear" w:color="auto" w:fill="D9D9D9"/>
          </w:tcPr>
          <w:p>
            <w:pPr>
              <w:pStyle w:val="TableParagraph"/>
              <w:spacing w:line="240" w:lineRule="auto"/>
              <w:rPr>
                <w:sz w:val="22"/>
              </w:rPr>
            </w:pPr>
          </w:p>
        </w:tc>
      </w:tr>
      <w:tr>
        <w:trPr>
          <w:trHeight w:val="1009" w:hRule="atLeast"/>
        </w:trPr>
        <w:tc>
          <w:tcPr>
            <w:tcW w:w="2069" w:type="dxa"/>
            <w:gridSpan w:val="2"/>
            <w:tcBorders>
              <w:left w:val="single" w:sz="6" w:space="0" w:color="000000"/>
              <w:right w:val="single" w:sz="6" w:space="0" w:color="000000"/>
            </w:tcBorders>
          </w:tcPr>
          <w:p>
            <w:pPr>
              <w:pStyle w:val="TableParagraph"/>
              <w:spacing w:line="240" w:lineRule="auto" w:before="5"/>
              <w:rPr>
                <w:rFonts w:ascii="Calibri"/>
                <w:sz w:val="27"/>
              </w:rPr>
            </w:pPr>
          </w:p>
          <w:p>
            <w:pPr>
              <w:pStyle w:val="TableParagraph"/>
              <w:spacing w:line="240" w:lineRule="auto"/>
              <w:ind w:left="678"/>
              <w:rPr>
                <w:rFonts w:ascii="Calibri"/>
                <w:b/>
                <w:sz w:val="24"/>
              </w:rPr>
            </w:pPr>
            <w:r>
              <w:rPr>
                <w:rFonts w:ascii="Calibri"/>
                <w:b/>
                <w:spacing w:val="-2"/>
                <w:sz w:val="24"/>
              </w:rPr>
              <w:t>County</w:t>
            </w:r>
          </w:p>
        </w:tc>
        <w:tc>
          <w:tcPr>
            <w:tcW w:w="2513" w:type="dxa"/>
            <w:tcBorders>
              <w:left w:val="single" w:sz="6" w:space="0" w:color="000000"/>
            </w:tcBorders>
          </w:tcPr>
          <w:p>
            <w:pPr>
              <w:pStyle w:val="TableParagraph"/>
              <w:spacing w:line="240" w:lineRule="auto" w:before="5"/>
              <w:rPr>
                <w:rFonts w:ascii="Calibri"/>
                <w:sz w:val="27"/>
              </w:rPr>
            </w:pPr>
          </w:p>
          <w:p>
            <w:pPr>
              <w:pStyle w:val="TableParagraph"/>
              <w:spacing w:line="240" w:lineRule="auto"/>
              <w:ind w:left="703" w:right="685"/>
              <w:jc w:val="center"/>
              <w:rPr>
                <w:rFonts w:ascii="Calibri"/>
                <w:b/>
                <w:sz w:val="24"/>
              </w:rPr>
            </w:pPr>
            <w:r>
              <w:rPr>
                <w:rFonts w:ascii="Calibri"/>
                <w:b/>
                <w:spacing w:val="-2"/>
                <w:sz w:val="24"/>
              </w:rPr>
              <w:t>Population</w:t>
            </w:r>
          </w:p>
        </w:tc>
        <w:tc>
          <w:tcPr>
            <w:tcW w:w="2608" w:type="dxa"/>
          </w:tcPr>
          <w:p>
            <w:pPr>
              <w:pStyle w:val="TableParagraph"/>
              <w:spacing w:line="240" w:lineRule="auto" w:before="7"/>
              <w:rPr>
                <w:rFonts w:ascii="Calibri"/>
                <w:sz w:val="23"/>
              </w:rPr>
            </w:pPr>
          </w:p>
          <w:p>
            <w:pPr>
              <w:pStyle w:val="TableParagraph"/>
              <w:spacing w:line="340" w:lineRule="atLeast"/>
              <w:ind w:left="635" w:hanging="144"/>
              <w:rPr>
                <w:rFonts w:ascii="Calibri"/>
                <w:b/>
                <w:sz w:val="24"/>
              </w:rPr>
            </w:pPr>
            <w:r>
              <w:rPr>
                <w:rFonts w:ascii="Calibri"/>
                <w:b/>
                <w:sz w:val="24"/>
              </w:rPr>
              <w:t>#</w:t>
            </w:r>
            <w:r>
              <w:rPr>
                <w:rFonts w:ascii="Calibri"/>
                <w:b/>
                <w:spacing w:val="-14"/>
                <w:sz w:val="24"/>
              </w:rPr>
              <w:t> </w:t>
            </w:r>
            <w:r>
              <w:rPr>
                <w:rFonts w:ascii="Calibri"/>
                <w:b/>
                <w:sz w:val="24"/>
              </w:rPr>
              <w:t>Persons</w:t>
            </w:r>
            <w:r>
              <w:rPr>
                <w:rFonts w:ascii="Calibri"/>
                <w:b/>
                <w:spacing w:val="-14"/>
                <w:sz w:val="24"/>
              </w:rPr>
              <w:t> </w:t>
            </w:r>
            <w:r>
              <w:rPr>
                <w:rFonts w:ascii="Calibri"/>
                <w:b/>
                <w:sz w:val="24"/>
              </w:rPr>
              <w:t>below Poverty Level</w:t>
            </w:r>
          </w:p>
        </w:tc>
        <w:tc>
          <w:tcPr>
            <w:tcW w:w="2250" w:type="dxa"/>
            <w:gridSpan w:val="2"/>
          </w:tcPr>
          <w:p>
            <w:pPr>
              <w:pStyle w:val="TableParagraph"/>
              <w:spacing w:line="240" w:lineRule="auto" w:before="7"/>
              <w:rPr>
                <w:rFonts w:ascii="Calibri"/>
                <w:sz w:val="23"/>
              </w:rPr>
            </w:pPr>
          </w:p>
          <w:p>
            <w:pPr>
              <w:pStyle w:val="TableParagraph"/>
              <w:spacing w:line="340" w:lineRule="atLeast"/>
              <w:ind w:left="458" w:hanging="171"/>
              <w:rPr>
                <w:rFonts w:ascii="Calibri"/>
                <w:b/>
                <w:sz w:val="24"/>
              </w:rPr>
            </w:pPr>
            <w:r>
              <w:rPr>
                <w:rFonts w:ascii="Calibri"/>
                <w:b/>
                <w:sz w:val="24"/>
              </w:rPr>
              <w:t>%</w:t>
            </w:r>
            <w:r>
              <w:rPr>
                <w:rFonts w:ascii="Calibri"/>
                <w:b/>
                <w:spacing w:val="-14"/>
                <w:sz w:val="24"/>
              </w:rPr>
              <w:t> </w:t>
            </w:r>
            <w:r>
              <w:rPr>
                <w:rFonts w:ascii="Calibri"/>
                <w:b/>
                <w:sz w:val="24"/>
              </w:rPr>
              <w:t>Persons</w:t>
            </w:r>
            <w:r>
              <w:rPr>
                <w:rFonts w:ascii="Calibri"/>
                <w:b/>
                <w:spacing w:val="-14"/>
                <w:sz w:val="24"/>
              </w:rPr>
              <w:t> </w:t>
            </w:r>
            <w:r>
              <w:rPr>
                <w:rFonts w:ascii="Calibri"/>
                <w:b/>
                <w:sz w:val="24"/>
              </w:rPr>
              <w:t>below Poverty Level</w:t>
            </w:r>
          </w:p>
        </w:tc>
      </w:tr>
      <w:tr>
        <w:trPr>
          <w:trHeight w:val="338" w:hRule="atLeast"/>
        </w:trPr>
        <w:tc>
          <w:tcPr>
            <w:tcW w:w="2069" w:type="dxa"/>
            <w:gridSpan w:val="2"/>
            <w:shd w:val="clear" w:color="auto" w:fill="D9D9D9"/>
          </w:tcPr>
          <w:p>
            <w:pPr>
              <w:pStyle w:val="TableParagraph"/>
              <w:spacing w:line="292" w:lineRule="exact"/>
              <w:ind w:left="117"/>
              <w:rPr>
                <w:rFonts w:ascii="Calibri"/>
                <w:b/>
                <w:sz w:val="24"/>
              </w:rPr>
            </w:pPr>
            <w:r>
              <w:rPr>
                <w:rFonts w:ascii="Calibri"/>
                <w:b/>
                <w:spacing w:val="-2"/>
                <w:sz w:val="24"/>
              </w:rPr>
              <w:t>Maine</w:t>
            </w:r>
          </w:p>
        </w:tc>
        <w:tc>
          <w:tcPr>
            <w:tcW w:w="2513" w:type="dxa"/>
            <w:shd w:val="clear" w:color="auto" w:fill="D9D9D9"/>
          </w:tcPr>
          <w:p>
            <w:pPr>
              <w:pStyle w:val="TableParagraph"/>
              <w:spacing w:line="292" w:lineRule="exact"/>
              <w:ind w:left="761" w:right="744"/>
              <w:jc w:val="center"/>
              <w:rPr>
                <w:rFonts w:ascii="Calibri"/>
                <w:b/>
                <w:sz w:val="24"/>
              </w:rPr>
            </w:pPr>
            <w:r>
              <w:rPr>
                <w:rFonts w:ascii="Calibri"/>
                <w:b/>
                <w:spacing w:val="-2"/>
                <w:sz w:val="24"/>
              </w:rPr>
              <w:t>1,357,046</w:t>
            </w:r>
          </w:p>
        </w:tc>
        <w:tc>
          <w:tcPr>
            <w:tcW w:w="2608" w:type="dxa"/>
            <w:shd w:val="clear" w:color="auto" w:fill="D9D9D9"/>
          </w:tcPr>
          <w:p>
            <w:pPr>
              <w:pStyle w:val="TableParagraph"/>
              <w:spacing w:line="292" w:lineRule="exact"/>
              <w:ind w:left="899" w:right="881"/>
              <w:jc w:val="center"/>
              <w:rPr>
                <w:rFonts w:ascii="Calibri"/>
                <w:b/>
                <w:sz w:val="24"/>
              </w:rPr>
            </w:pPr>
            <w:r>
              <w:rPr>
                <w:rFonts w:ascii="Calibri"/>
                <w:b/>
                <w:spacing w:val="-2"/>
                <w:sz w:val="24"/>
              </w:rPr>
              <w:t>145,992</w:t>
            </w:r>
          </w:p>
        </w:tc>
        <w:tc>
          <w:tcPr>
            <w:tcW w:w="2250" w:type="dxa"/>
            <w:gridSpan w:val="2"/>
            <w:shd w:val="clear" w:color="auto" w:fill="D9D9D9"/>
          </w:tcPr>
          <w:p>
            <w:pPr>
              <w:pStyle w:val="TableParagraph"/>
              <w:spacing w:line="292" w:lineRule="exact"/>
              <w:ind w:left="747" w:right="724"/>
              <w:jc w:val="center"/>
              <w:rPr>
                <w:rFonts w:ascii="Calibri"/>
                <w:b/>
                <w:sz w:val="24"/>
              </w:rPr>
            </w:pPr>
            <w:r>
              <w:rPr>
                <w:rFonts w:ascii="Calibri"/>
                <w:b/>
                <w:spacing w:val="-5"/>
                <w:sz w:val="24"/>
              </w:rPr>
              <w:t>11%</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Androscoggin</w:t>
            </w:r>
          </w:p>
        </w:tc>
        <w:tc>
          <w:tcPr>
            <w:tcW w:w="2513" w:type="dxa"/>
          </w:tcPr>
          <w:p>
            <w:pPr>
              <w:pStyle w:val="TableParagraph"/>
              <w:spacing w:line="292" w:lineRule="exact"/>
              <w:ind w:left="761" w:right="688"/>
              <w:jc w:val="center"/>
              <w:rPr>
                <w:rFonts w:ascii="Calibri"/>
                <w:sz w:val="24"/>
              </w:rPr>
            </w:pPr>
            <w:r>
              <w:rPr>
                <w:rFonts w:ascii="Calibri"/>
                <w:spacing w:val="-2"/>
                <w:sz w:val="24"/>
              </w:rPr>
              <w:t>110,378</w:t>
            </w:r>
          </w:p>
        </w:tc>
        <w:tc>
          <w:tcPr>
            <w:tcW w:w="2608" w:type="dxa"/>
          </w:tcPr>
          <w:p>
            <w:pPr>
              <w:pStyle w:val="TableParagraph"/>
              <w:spacing w:line="292" w:lineRule="exact"/>
              <w:ind w:left="897" w:right="881"/>
              <w:jc w:val="center"/>
              <w:rPr>
                <w:rFonts w:ascii="Calibri"/>
                <w:sz w:val="24"/>
              </w:rPr>
            </w:pPr>
            <w:r>
              <w:rPr>
                <w:rFonts w:ascii="Calibri"/>
                <w:spacing w:val="-2"/>
                <w:sz w:val="24"/>
              </w:rPr>
              <w:t>12,793</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11.9</w:t>
            </w:r>
          </w:p>
        </w:tc>
      </w:tr>
      <w:tr>
        <w:trPr>
          <w:trHeight w:val="337" w:hRule="atLeast"/>
        </w:trPr>
        <w:tc>
          <w:tcPr>
            <w:tcW w:w="2069" w:type="dxa"/>
            <w:gridSpan w:val="2"/>
          </w:tcPr>
          <w:p>
            <w:pPr>
              <w:pStyle w:val="TableParagraph"/>
              <w:spacing w:line="292" w:lineRule="exact"/>
              <w:ind w:left="117"/>
              <w:rPr>
                <w:rFonts w:ascii="Calibri"/>
                <w:sz w:val="24"/>
              </w:rPr>
            </w:pPr>
            <w:r>
              <w:rPr>
                <w:rFonts w:ascii="Calibri"/>
                <w:spacing w:val="-2"/>
                <w:sz w:val="24"/>
              </w:rPr>
              <w:t>Aroostook</w:t>
            </w:r>
          </w:p>
        </w:tc>
        <w:tc>
          <w:tcPr>
            <w:tcW w:w="2513" w:type="dxa"/>
          </w:tcPr>
          <w:p>
            <w:pPr>
              <w:pStyle w:val="TableParagraph"/>
              <w:spacing w:line="292" w:lineRule="exact"/>
              <w:ind w:left="760" w:right="744"/>
              <w:jc w:val="center"/>
              <w:rPr>
                <w:rFonts w:ascii="Calibri"/>
                <w:sz w:val="24"/>
              </w:rPr>
            </w:pPr>
            <w:r>
              <w:rPr>
                <w:rFonts w:ascii="Calibri"/>
                <w:spacing w:val="-2"/>
                <w:sz w:val="24"/>
              </w:rPr>
              <w:t>67,272</w:t>
            </w:r>
          </w:p>
        </w:tc>
        <w:tc>
          <w:tcPr>
            <w:tcW w:w="2608" w:type="dxa"/>
          </w:tcPr>
          <w:p>
            <w:pPr>
              <w:pStyle w:val="TableParagraph"/>
              <w:spacing w:line="292" w:lineRule="exact"/>
              <w:ind w:left="899" w:right="880"/>
              <w:jc w:val="center"/>
              <w:rPr>
                <w:rFonts w:ascii="Calibri"/>
                <w:sz w:val="24"/>
              </w:rPr>
            </w:pPr>
            <w:r>
              <w:rPr>
                <w:rFonts w:ascii="Calibri"/>
                <w:spacing w:val="-2"/>
                <w:sz w:val="24"/>
              </w:rPr>
              <w:t>9,466</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14.5</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Cumberland</w:t>
            </w:r>
          </w:p>
        </w:tc>
        <w:tc>
          <w:tcPr>
            <w:tcW w:w="2513" w:type="dxa"/>
          </w:tcPr>
          <w:p>
            <w:pPr>
              <w:pStyle w:val="TableParagraph"/>
              <w:spacing w:line="292" w:lineRule="exact"/>
              <w:ind w:left="761" w:right="741"/>
              <w:jc w:val="center"/>
              <w:rPr>
                <w:rFonts w:ascii="Calibri"/>
                <w:sz w:val="24"/>
              </w:rPr>
            </w:pPr>
            <w:r>
              <w:rPr>
                <w:rFonts w:ascii="Calibri"/>
                <w:spacing w:val="-2"/>
                <w:sz w:val="24"/>
              </w:rPr>
              <w:t>300,776</w:t>
            </w:r>
          </w:p>
        </w:tc>
        <w:tc>
          <w:tcPr>
            <w:tcW w:w="2608" w:type="dxa"/>
          </w:tcPr>
          <w:p>
            <w:pPr>
              <w:pStyle w:val="TableParagraph"/>
              <w:spacing w:line="292" w:lineRule="exact"/>
              <w:ind w:left="897" w:right="881"/>
              <w:jc w:val="center"/>
              <w:rPr>
                <w:rFonts w:ascii="Calibri"/>
                <w:sz w:val="24"/>
              </w:rPr>
            </w:pPr>
            <w:r>
              <w:rPr>
                <w:rFonts w:ascii="Calibri"/>
                <w:spacing w:val="-2"/>
                <w:sz w:val="24"/>
              </w:rPr>
              <w:t>22,916</w:t>
            </w:r>
          </w:p>
        </w:tc>
        <w:tc>
          <w:tcPr>
            <w:tcW w:w="2250" w:type="dxa"/>
            <w:gridSpan w:val="2"/>
          </w:tcPr>
          <w:p>
            <w:pPr>
              <w:pStyle w:val="TableParagraph"/>
              <w:spacing w:line="292" w:lineRule="exact"/>
              <w:ind w:left="747" w:right="725"/>
              <w:jc w:val="center"/>
              <w:rPr>
                <w:rFonts w:ascii="Calibri"/>
                <w:sz w:val="24"/>
              </w:rPr>
            </w:pPr>
            <w:r>
              <w:rPr>
                <w:rFonts w:ascii="Calibri"/>
                <w:spacing w:val="-5"/>
                <w:sz w:val="24"/>
              </w:rPr>
              <w:t>7.8</w:t>
            </w:r>
          </w:p>
        </w:tc>
      </w:tr>
      <w:tr>
        <w:trPr>
          <w:trHeight w:val="337" w:hRule="atLeast"/>
        </w:trPr>
        <w:tc>
          <w:tcPr>
            <w:tcW w:w="2069" w:type="dxa"/>
            <w:gridSpan w:val="2"/>
          </w:tcPr>
          <w:p>
            <w:pPr>
              <w:pStyle w:val="TableParagraph"/>
              <w:spacing w:line="292" w:lineRule="exact"/>
              <w:ind w:left="117"/>
              <w:rPr>
                <w:rFonts w:ascii="Calibri"/>
                <w:sz w:val="24"/>
              </w:rPr>
            </w:pPr>
            <w:r>
              <w:rPr>
                <w:rFonts w:ascii="Calibri"/>
                <w:spacing w:val="-2"/>
                <w:sz w:val="24"/>
              </w:rPr>
              <w:t>Franklin</w:t>
            </w:r>
          </w:p>
        </w:tc>
        <w:tc>
          <w:tcPr>
            <w:tcW w:w="2513" w:type="dxa"/>
          </w:tcPr>
          <w:p>
            <w:pPr>
              <w:pStyle w:val="TableParagraph"/>
              <w:spacing w:line="292" w:lineRule="exact"/>
              <w:ind w:left="760" w:right="744"/>
              <w:jc w:val="center"/>
              <w:rPr>
                <w:rFonts w:ascii="Calibri"/>
                <w:sz w:val="24"/>
              </w:rPr>
            </w:pPr>
            <w:r>
              <w:rPr>
                <w:rFonts w:ascii="Calibri"/>
                <w:spacing w:val="-2"/>
                <w:sz w:val="24"/>
              </w:rPr>
              <w:t>29,487</w:t>
            </w:r>
          </w:p>
        </w:tc>
        <w:tc>
          <w:tcPr>
            <w:tcW w:w="2608" w:type="dxa"/>
          </w:tcPr>
          <w:p>
            <w:pPr>
              <w:pStyle w:val="TableParagraph"/>
              <w:spacing w:line="292" w:lineRule="exact"/>
              <w:ind w:left="899" w:right="880"/>
              <w:jc w:val="center"/>
              <w:rPr>
                <w:rFonts w:ascii="Calibri"/>
                <w:sz w:val="24"/>
              </w:rPr>
            </w:pPr>
            <w:r>
              <w:rPr>
                <w:rFonts w:ascii="Calibri"/>
                <w:spacing w:val="-2"/>
                <w:sz w:val="24"/>
              </w:rPr>
              <w:t>3,367</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11.9</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Hancock</w:t>
            </w:r>
          </w:p>
        </w:tc>
        <w:tc>
          <w:tcPr>
            <w:tcW w:w="2513" w:type="dxa"/>
          </w:tcPr>
          <w:p>
            <w:pPr>
              <w:pStyle w:val="TableParagraph"/>
              <w:spacing w:line="292" w:lineRule="exact"/>
              <w:ind w:left="760" w:right="744"/>
              <w:jc w:val="center"/>
              <w:rPr>
                <w:rFonts w:ascii="Calibri"/>
                <w:sz w:val="24"/>
              </w:rPr>
            </w:pPr>
            <w:r>
              <w:rPr>
                <w:rFonts w:ascii="Calibri"/>
                <w:spacing w:val="-2"/>
                <w:sz w:val="24"/>
              </w:rPr>
              <w:t>55,417</w:t>
            </w:r>
          </w:p>
        </w:tc>
        <w:tc>
          <w:tcPr>
            <w:tcW w:w="2608" w:type="dxa"/>
          </w:tcPr>
          <w:p>
            <w:pPr>
              <w:pStyle w:val="TableParagraph"/>
              <w:spacing w:line="292" w:lineRule="exact"/>
              <w:ind w:left="899" w:right="880"/>
              <w:jc w:val="center"/>
              <w:rPr>
                <w:rFonts w:ascii="Calibri"/>
                <w:sz w:val="24"/>
              </w:rPr>
            </w:pPr>
            <w:r>
              <w:rPr>
                <w:rFonts w:ascii="Calibri"/>
                <w:spacing w:val="-2"/>
                <w:sz w:val="24"/>
              </w:rPr>
              <w:t>5,548</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10.3</w:t>
            </w:r>
          </w:p>
        </w:tc>
      </w:tr>
      <w:tr>
        <w:trPr>
          <w:trHeight w:val="338" w:hRule="atLeast"/>
        </w:trPr>
        <w:tc>
          <w:tcPr>
            <w:tcW w:w="2069" w:type="dxa"/>
            <w:gridSpan w:val="2"/>
          </w:tcPr>
          <w:p>
            <w:pPr>
              <w:pStyle w:val="TableParagraph"/>
              <w:spacing w:line="240" w:lineRule="auto" w:before="1"/>
              <w:ind w:left="117"/>
              <w:rPr>
                <w:rFonts w:ascii="Calibri"/>
                <w:sz w:val="24"/>
              </w:rPr>
            </w:pPr>
            <w:r>
              <w:rPr>
                <w:rFonts w:ascii="Calibri"/>
                <w:spacing w:val="-2"/>
                <w:sz w:val="24"/>
              </w:rPr>
              <w:t>Kennebec</w:t>
            </w:r>
          </w:p>
        </w:tc>
        <w:tc>
          <w:tcPr>
            <w:tcW w:w="2513" w:type="dxa"/>
          </w:tcPr>
          <w:p>
            <w:pPr>
              <w:pStyle w:val="TableParagraph"/>
              <w:spacing w:line="240" w:lineRule="auto" w:before="1"/>
              <w:ind w:left="761" w:right="741"/>
              <w:jc w:val="center"/>
              <w:rPr>
                <w:rFonts w:ascii="Calibri"/>
                <w:sz w:val="24"/>
              </w:rPr>
            </w:pPr>
            <w:r>
              <w:rPr>
                <w:rFonts w:ascii="Calibri"/>
                <w:spacing w:val="-2"/>
                <w:sz w:val="24"/>
              </w:rPr>
              <w:t>123,293</w:t>
            </w:r>
          </w:p>
        </w:tc>
        <w:tc>
          <w:tcPr>
            <w:tcW w:w="2608" w:type="dxa"/>
          </w:tcPr>
          <w:p>
            <w:pPr>
              <w:pStyle w:val="TableParagraph"/>
              <w:spacing w:line="240" w:lineRule="auto" w:before="1"/>
              <w:ind w:left="897" w:right="881"/>
              <w:jc w:val="center"/>
              <w:rPr>
                <w:rFonts w:ascii="Calibri"/>
                <w:sz w:val="24"/>
              </w:rPr>
            </w:pPr>
            <w:r>
              <w:rPr>
                <w:rFonts w:ascii="Calibri"/>
                <w:spacing w:val="-2"/>
                <w:sz w:val="24"/>
              </w:rPr>
              <w:t>14,380</w:t>
            </w:r>
          </w:p>
        </w:tc>
        <w:tc>
          <w:tcPr>
            <w:tcW w:w="2250" w:type="dxa"/>
            <w:gridSpan w:val="2"/>
          </w:tcPr>
          <w:p>
            <w:pPr>
              <w:pStyle w:val="TableParagraph"/>
              <w:spacing w:line="240" w:lineRule="auto" w:before="1"/>
              <w:ind w:left="747" w:right="723"/>
              <w:jc w:val="center"/>
              <w:rPr>
                <w:rFonts w:ascii="Calibri"/>
                <w:sz w:val="24"/>
              </w:rPr>
            </w:pPr>
            <w:r>
              <w:rPr>
                <w:rFonts w:ascii="Calibri"/>
                <w:spacing w:val="-4"/>
                <w:sz w:val="24"/>
              </w:rPr>
              <w:t>12.0</w:t>
            </w:r>
          </w:p>
        </w:tc>
      </w:tr>
      <w:tr>
        <w:trPr>
          <w:trHeight w:val="337" w:hRule="atLeast"/>
        </w:trPr>
        <w:tc>
          <w:tcPr>
            <w:tcW w:w="2069" w:type="dxa"/>
            <w:gridSpan w:val="2"/>
          </w:tcPr>
          <w:p>
            <w:pPr>
              <w:pStyle w:val="TableParagraph"/>
              <w:spacing w:line="292" w:lineRule="exact"/>
              <w:ind w:left="117"/>
              <w:rPr>
                <w:rFonts w:ascii="Calibri"/>
                <w:sz w:val="24"/>
              </w:rPr>
            </w:pPr>
            <w:r>
              <w:rPr>
                <w:rFonts w:ascii="Calibri"/>
                <w:spacing w:val="-4"/>
                <w:sz w:val="24"/>
              </w:rPr>
              <w:t>Knox</w:t>
            </w:r>
          </w:p>
        </w:tc>
        <w:tc>
          <w:tcPr>
            <w:tcW w:w="2513" w:type="dxa"/>
          </w:tcPr>
          <w:p>
            <w:pPr>
              <w:pStyle w:val="TableParagraph"/>
              <w:spacing w:line="292" w:lineRule="exact"/>
              <w:ind w:left="760" w:right="744"/>
              <w:jc w:val="center"/>
              <w:rPr>
                <w:rFonts w:ascii="Calibri"/>
                <w:sz w:val="24"/>
              </w:rPr>
            </w:pPr>
            <w:r>
              <w:rPr>
                <w:rFonts w:ascii="Calibri"/>
                <w:spacing w:val="-2"/>
                <w:sz w:val="24"/>
              </w:rPr>
              <w:t>40,519</w:t>
            </w:r>
          </w:p>
        </w:tc>
        <w:tc>
          <w:tcPr>
            <w:tcW w:w="2608" w:type="dxa"/>
          </w:tcPr>
          <w:p>
            <w:pPr>
              <w:pStyle w:val="TableParagraph"/>
              <w:spacing w:line="292" w:lineRule="exact"/>
              <w:ind w:left="899" w:right="880"/>
              <w:jc w:val="center"/>
              <w:rPr>
                <w:rFonts w:ascii="Calibri"/>
                <w:sz w:val="24"/>
              </w:rPr>
            </w:pPr>
            <w:r>
              <w:rPr>
                <w:rFonts w:ascii="Calibri"/>
                <w:spacing w:val="-2"/>
                <w:sz w:val="24"/>
              </w:rPr>
              <w:t>3,613</w:t>
            </w:r>
          </w:p>
        </w:tc>
        <w:tc>
          <w:tcPr>
            <w:tcW w:w="2250" w:type="dxa"/>
            <w:gridSpan w:val="2"/>
          </w:tcPr>
          <w:p>
            <w:pPr>
              <w:pStyle w:val="TableParagraph"/>
              <w:spacing w:line="292" w:lineRule="exact"/>
              <w:ind w:left="747" w:right="725"/>
              <w:jc w:val="center"/>
              <w:rPr>
                <w:rFonts w:ascii="Calibri"/>
                <w:sz w:val="24"/>
              </w:rPr>
            </w:pPr>
            <w:r>
              <w:rPr>
                <w:rFonts w:ascii="Calibri"/>
                <w:spacing w:val="-5"/>
                <w:sz w:val="24"/>
              </w:rPr>
              <w:t>9.3</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Lincoln</w:t>
            </w:r>
          </w:p>
        </w:tc>
        <w:tc>
          <w:tcPr>
            <w:tcW w:w="2513" w:type="dxa"/>
          </w:tcPr>
          <w:p>
            <w:pPr>
              <w:pStyle w:val="TableParagraph"/>
              <w:spacing w:line="292" w:lineRule="exact"/>
              <w:ind w:left="760" w:right="744"/>
              <w:jc w:val="center"/>
              <w:rPr>
                <w:rFonts w:ascii="Calibri"/>
                <w:sz w:val="24"/>
              </w:rPr>
            </w:pPr>
            <w:r>
              <w:rPr>
                <w:rFonts w:ascii="Calibri"/>
                <w:spacing w:val="-2"/>
                <w:sz w:val="24"/>
              </w:rPr>
              <w:t>35,065</w:t>
            </w:r>
          </w:p>
        </w:tc>
        <w:tc>
          <w:tcPr>
            <w:tcW w:w="2608" w:type="dxa"/>
          </w:tcPr>
          <w:p>
            <w:pPr>
              <w:pStyle w:val="TableParagraph"/>
              <w:spacing w:line="292" w:lineRule="exact"/>
              <w:ind w:left="899" w:right="880"/>
              <w:jc w:val="center"/>
              <w:rPr>
                <w:rFonts w:ascii="Calibri"/>
                <w:sz w:val="24"/>
              </w:rPr>
            </w:pPr>
            <w:r>
              <w:rPr>
                <w:rFonts w:ascii="Calibri"/>
                <w:spacing w:val="-2"/>
                <w:sz w:val="24"/>
              </w:rPr>
              <w:t>3,665</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10.6</w:t>
            </w:r>
          </w:p>
        </w:tc>
      </w:tr>
      <w:tr>
        <w:trPr>
          <w:trHeight w:val="337" w:hRule="atLeast"/>
        </w:trPr>
        <w:tc>
          <w:tcPr>
            <w:tcW w:w="2069" w:type="dxa"/>
            <w:gridSpan w:val="2"/>
          </w:tcPr>
          <w:p>
            <w:pPr>
              <w:pStyle w:val="TableParagraph"/>
              <w:spacing w:line="292" w:lineRule="exact"/>
              <w:ind w:left="117"/>
              <w:rPr>
                <w:rFonts w:ascii="Calibri"/>
                <w:sz w:val="24"/>
              </w:rPr>
            </w:pPr>
            <w:r>
              <w:rPr>
                <w:rFonts w:ascii="Calibri"/>
                <w:spacing w:val="-2"/>
                <w:sz w:val="24"/>
              </w:rPr>
              <w:t>Oxford</w:t>
            </w:r>
          </w:p>
        </w:tc>
        <w:tc>
          <w:tcPr>
            <w:tcW w:w="2513" w:type="dxa"/>
          </w:tcPr>
          <w:p>
            <w:pPr>
              <w:pStyle w:val="TableParagraph"/>
              <w:spacing w:line="292" w:lineRule="exact"/>
              <w:ind w:left="760" w:right="744"/>
              <w:jc w:val="center"/>
              <w:rPr>
                <w:rFonts w:ascii="Calibri"/>
                <w:sz w:val="24"/>
              </w:rPr>
            </w:pPr>
            <w:r>
              <w:rPr>
                <w:rFonts w:ascii="Calibri"/>
                <w:spacing w:val="-2"/>
                <w:sz w:val="24"/>
              </w:rPr>
              <w:t>57,807</w:t>
            </w:r>
          </w:p>
        </w:tc>
        <w:tc>
          <w:tcPr>
            <w:tcW w:w="2608" w:type="dxa"/>
          </w:tcPr>
          <w:p>
            <w:pPr>
              <w:pStyle w:val="TableParagraph"/>
              <w:spacing w:line="292" w:lineRule="exact"/>
              <w:ind w:left="899" w:right="880"/>
              <w:jc w:val="center"/>
              <w:rPr>
                <w:rFonts w:ascii="Calibri"/>
                <w:sz w:val="24"/>
              </w:rPr>
            </w:pPr>
            <w:r>
              <w:rPr>
                <w:rFonts w:ascii="Calibri"/>
                <w:spacing w:val="-2"/>
                <w:sz w:val="24"/>
              </w:rPr>
              <w:t>7,990</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14.0</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Penobscot</w:t>
            </w:r>
          </w:p>
        </w:tc>
        <w:tc>
          <w:tcPr>
            <w:tcW w:w="2513" w:type="dxa"/>
          </w:tcPr>
          <w:p>
            <w:pPr>
              <w:pStyle w:val="TableParagraph"/>
              <w:spacing w:line="292" w:lineRule="exact"/>
              <w:ind w:left="761" w:right="741"/>
              <w:jc w:val="center"/>
              <w:rPr>
                <w:rFonts w:ascii="Calibri"/>
                <w:sz w:val="24"/>
              </w:rPr>
            </w:pPr>
            <w:r>
              <w:rPr>
                <w:rFonts w:ascii="Calibri"/>
                <w:spacing w:val="-2"/>
                <w:sz w:val="24"/>
              </w:rPr>
              <w:t>152,211</w:t>
            </w:r>
          </w:p>
        </w:tc>
        <w:tc>
          <w:tcPr>
            <w:tcW w:w="2608" w:type="dxa"/>
          </w:tcPr>
          <w:p>
            <w:pPr>
              <w:pStyle w:val="TableParagraph"/>
              <w:spacing w:line="292" w:lineRule="exact"/>
              <w:ind w:left="897" w:right="881"/>
              <w:jc w:val="center"/>
              <w:rPr>
                <w:rFonts w:ascii="Calibri"/>
                <w:sz w:val="24"/>
              </w:rPr>
            </w:pPr>
            <w:r>
              <w:rPr>
                <w:rFonts w:ascii="Calibri"/>
                <w:spacing w:val="-2"/>
                <w:sz w:val="24"/>
              </w:rPr>
              <w:t>20,031</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13.8</w:t>
            </w:r>
          </w:p>
        </w:tc>
      </w:tr>
      <w:tr>
        <w:trPr>
          <w:trHeight w:val="338" w:hRule="atLeast"/>
        </w:trPr>
        <w:tc>
          <w:tcPr>
            <w:tcW w:w="2069" w:type="dxa"/>
            <w:gridSpan w:val="2"/>
          </w:tcPr>
          <w:p>
            <w:pPr>
              <w:pStyle w:val="TableParagraph"/>
              <w:spacing w:line="292" w:lineRule="exact"/>
              <w:ind w:left="117"/>
              <w:rPr>
                <w:rFonts w:ascii="Calibri"/>
                <w:sz w:val="24"/>
              </w:rPr>
            </w:pPr>
            <w:r>
              <w:rPr>
                <w:rFonts w:ascii="Calibri"/>
                <w:spacing w:val="-2"/>
                <w:sz w:val="24"/>
              </w:rPr>
              <w:t>Piscataquis</w:t>
            </w:r>
          </w:p>
        </w:tc>
        <w:tc>
          <w:tcPr>
            <w:tcW w:w="2513" w:type="dxa"/>
          </w:tcPr>
          <w:p>
            <w:pPr>
              <w:pStyle w:val="TableParagraph"/>
              <w:spacing w:line="292" w:lineRule="exact"/>
              <w:ind w:left="760" w:right="744"/>
              <w:jc w:val="center"/>
              <w:rPr>
                <w:rFonts w:ascii="Calibri"/>
                <w:sz w:val="24"/>
              </w:rPr>
            </w:pPr>
            <w:r>
              <w:rPr>
                <w:rFonts w:ascii="Calibri"/>
                <w:spacing w:val="-2"/>
                <w:sz w:val="24"/>
              </w:rPr>
              <w:t>16,760</w:t>
            </w:r>
          </w:p>
        </w:tc>
        <w:tc>
          <w:tcPr>
            <w:tcW w:w="2608" w:type="dxa"/>
          </w:tcPr>
          <w:p>
            <w:pPr>
              <w:pStyle w:val="TableParagraph"/>
              <w:spacing w:line="292" w:lineRule="exact"/>
              <w:ind w:left="899" w:right="880"/>
              <w:jc w:val="center"/>
              <w:rPr>
                <w:rFonts w:ascii="Calibri"/>
                <w:sz w:val="24"/>
              </w:rPr>
            </w:pPr>
            <w:r>
              <w:rPr>
                <w:rFonts w:ascii="Calibri"/>
                <w:spacing w:val="-2"/>
                <w:sz w:val="24"/>
              </w:rPr>
              <w:t>2,622</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16.0</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Sagadahoc</w:t>
            </w:r>
          </w:p>
        </w:tc>
        <w:tc>
          <w:tcPr>
            <w:tcW w:w="2513" w:type="dxa"/>
          </w:tcPr>
          <w:p>
            <w:pPr>
              <w:pStyle w:val="TableParagraph"/>
              <w:spacing w:line="292" w:lineRule="exact"/>
              <w:ind w:left="760" w:right="744"/>
              <w:jc w:val="center"/>
              <w:rPr>
                <w:rFonts w:ascii="Calibri"/>
                <w:sz w:val="24"/>
              </w:rPr>
            </w:pPr>
            <w:r>
              <w:rPr>
                <w:rFonts w:ascii="Calibri"/>
                <w:spacing w:val="-2"/>
                <w:sz w:val="24"/>
              </w:rPr>
              <w:t>36,530</w:t>
            </w:r>
          </w:p>
        </w:tc>
        <w:tc>
          <w:tcPr>
            <w:tcW w:w="2608" w:type="dxa"/>
          </w:tcPr>
          <w:p>
            <w:pPr>
              <w:pStyle w:val="TableParagraph"/>
              <w:spacing w:line="292" w:lineRule="exact"/>
              <w:ind w:left="899" w:right="880"/>
              <w:jc w:val="center"/>
              <w:rPr>
                <w:rFonts w:ascii="Calibri"/>
                <w:sz w:val="24"/>
              </w:rPr>
            </w:pPr>
            <w:r>
              <w:rPr>
                <w:rFonts w:ascii="Calibri"/>
                <w:spacing w:val="-2"/>
                <w:sz w:val="24"/>
              </w:rPr>
              <w:t>4,061</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11.2</w:t>
            </w:r>
          </w:p>
        </w:tc>
      </w:tr>
      <w:tr>
        <w:trPr>
          <w:trHeight w:val="337" w:hRule="atLeast"/>
        </w:trPr>
        <w:tc>
          <w:tcPr>
            <w:tcW w:w="2069" w:type="dxa"/>
            <w:gridSpan w:val="2"/>
          </w:tcPr>
          <w:p>
            <w:pPr>
              <w:pStyle w:val="TableParagraph"/>
              <w:spacing w:line="292" w:lineRule="exact"/>
              <w:ind w:left="117"/>
              <w:rPr>
                <w:rFonts w:ascii="Calibri"/>
                <w:sz w:val="24"/>
              </w:rPr>
            </w:pPr>
            <w:r>
              <w:rPr>
                <w:rFonts w:ascii="Calibri"/>
                <w:spacing w:val="-2"/>
                <w:sz w:val="24"/>
              </w:rPr>
              <w:t>Somerset</w:t>
            </w:r>
          </w:p>
        </w:tc>
        <w:tc>
          <w:tcPr>
            <w:tcW w:w="2513" w:type="dxa"/>
          </w:tcPr>
          <w:p>
            <w:pPr>
              <w:pStyle w:val="TableParagraph"/>
              <w:spacing w:line="292" w:lineRule="exact"/>
              <w:ind w:left="760" w:right="744"/>
              <w:jc w:val="center"/>
              <w:rPr>
                <w:rFonts w:ascii="Calibri"/>
                <w:sz w:val="24"/>
              </w:rPr>
            </w:pPr>
            <w:r>
              <w:rPr>
                <w:rFonts w:ascii="Calibri"/>
                <w:spacing w:val="-2"/>
                <w:sz w:val="24"/>
              </w:rPr>
              <w:t>50,424</w:t>
            </w:r>
          </w:p>
        </w:tc>
        <w:tc>
          <w:tcPr>
            <w:tcW w:w="2608" w:type="dxa"/>
          </w:tcPr>
          <w:p>
            <w:pPr>
              <w:pStyle w:val="TableParagraph"/>
              <w:spacing w:line="292" w:lineRule="exact"/>
              <w:ind w:left="899" w:right="880"/>
              <w:jc w:val="center"/>
              <w:rPr>
                <w:rFonts w:ascii="Calibri"/>
                <w:sz w:val="24"/>
              </w:rPr>
            </w:pPr>
            <w:r>
              <w:rPr>
                <w:rFonts w:ascii="Calibri"/>
                <w:spacing w:val="-2"/>
                <w:sz w:val="24"/>
              </w:rPr>
              <w:t>8,866</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17.9</w:t>
            </w:r>
          </w:p>
        </w:tc>
      </w:tr>
      <w:tr>
        <w:trPr>
          <w:trHeight w:val="335" w:hRule="atLeast"/>
        </w:trPr>
        <w:tc>
          <w:tcPr>
            <w:tcW w:w="2069" w:type="dxa"/>
            <w:gridSpan w:val="2"/>
          </w:tcPr>
          <w:p>
            <w:pPr>
              <w:pStyle w:val="TableParagraph"/>
              <w:spacing w:line="292" w:lineRule="exact"/>
              <w:ind w:left="117"/>
              <w:rPr>
                <w:rFonts w:ascii="Calibri"/>
                <w:sz w:val="24"/>
              </w:rPr>
            </w:pPr>
            <w:r>
              <w:rPr>
                <w:rFonts w:ascii="Calibri"/>
                <w:spacing w:val="-2"/>
                <w:sz w:val="24"/>
              </w:rPr>
              <w:t>Waldo</w:t>
            </w:r>
          </w:p>
        </w:tc>
        <w:tc>
          <w:tcPr>
            <w:tcW w:w="2513" w:type="dxa"/>
          </w:tcPr>
          <w:p>
            <w:pPr>
              <w:pStyle w:val="TableParagraph"/>
              <w:spacing w:line="292" w:lineRule="exact"/>
              <w:ind w:left="760" w:right="744"/>
              <w:jc w:val="center"/>
              <w:rPr>
                <w:rFonts w:ascii="Calibri"/>
                <w:sz w:val="24"/>
              </w:rPr>
            </w:pPr>
            <w:r>
              <w:rPr>
                <w:rFonts w:ascii="Calibri"/>
                <w:spacing w:val="-2"/>
                <w:sz w:val="24"/>
              </w:rPr>
              <w:t>39,618</w:t>
            </w:r>
          </w:p>
        </w:tc>
        <w:tc>
          <w:tcPr>
            <w:tcW w:w="2608" w:type="dxa"/>
          </w:tcPr>
          <w:p>
            <w:pPr>
              <w:pStyle w:val="TableParagraph"/>
              <w:spacing w:line="292" w:lineRule="exact"/>
              <w:ind w:left="899" w:right="880"/>
              <w:jc w:val="center"/>
              <w:rPr>
                <w:rFonts w:ascii="Calibri"/>
                <w:sz w:val="24"/>
              </w:rPr>
            </w:pPr>
            <w:r>
              <w:rPr>
                <w:rFonts w:ascii="Calibri"/>
                <w:spacing w:val="-2"/>
                <w:sz w:val="24"/>
              </w:rPr>
              <w:t>5,064</w:t>
            </w:r>
          </w:p>
        </w:tc>
        <w:tc>
          <w:tcPr>
            <w:tcW w:w="2250" w:type="dxa"/>
            <w:gridSpan w:val="2"/>
          </w:tcPr>
          <w:p>
            <w:pPr>
              <w:pStyle w:val="TableParagraph"/>
              <w:spacing w:line="292" w:lineRule="exact"/>
              <w:ind w:left="747" w:right="723"/>
              <w:jc w:val="center"/>
              <w:rPr>
                <w:rFonts w:ascii="Calibri"/>
                <w:sz w:val="24"/>
              </w:rPr>
            </w:pPr>
            <w:r>
              <w:rPr>
                <w:rFonts w:ascii="Calibri"/>
                <w:spacing w:val="-4"/>
                <w:sz w:val="24"/>
              </w:rPr>
              <w:t>13.0</w:t>
            </w:r>
          </w:p>
        </w:tc>
      </w:tr>
      <w:tr>
        <w:trPr>
          <w:trHeight w:val="337" w:hRule="atLeast"/>
        </w:trPr>
        <w:tc>
          <w:tcPr>
            <w:tcW w:w="2069" w:type="dxa"/>
            <w:gridSpan w:val="2"/>
          </w:tcPr>
          <w:p>
            <w:pPr>
              <w:pStyle w:val="TableParagraph"/>
              <w:spacing w:line="240" w:lineRule="auto" w:before="1"/>
              <w:ind w:left="117"/>
              <w:rPr>
                <w:rFonts w:ascii="Calibri"/>
                <w:sz w:val="24"/>
              </w:rPr>
            </w:pPr>
            <w:r>
              <w:rPr>
                <w:rFonts w:ascii="Calibri"/>
                <w:spacing w:val="-2"/>
                <w:sz w:val="24"/>
              </w:rPr>
              <w:t>Washington</w:t>
            </w:r>
          </w:p>
        </w:tc>
        <w:tc>
          <w:tcPr>
            <w:tcW w:w="2513" w:type="dxa"/>
          </w:tcPr>
          <w:p>
            <w:pPr>
              <w:pStyle w:val="TableParagraph"/>
              <w:spacing w:line="240" w:lineRule="auto" w:before="1"/>
              <w:ind w:left="760" w:right="744"/>
              <w:jc w:val="center"/>
              <w:rPr>
                <w:rFonts w:ascii="Calibri"/>
                <w:sz w:val="24"/>
              </w:rPr>
            </w:pPr>
            <w:r>
              <w:rPr>
                <w:rFonts w:ascii="Calibri"/>
                <w:spacing w:val="-2"/>
                <w:sz w:val="24"/>
              </w:rPr>
              <w:t>31,003</w:t>
            </w:r>
          </w:p>
        </w:tc>
        <w:tc>
          <w:tcPr>
            <w:tcW w:w="2608" w:type="dxa"/>
          </w:tcPr>
          <w:p>
            <w:pPr>
              <w:pStyle w:val="TableParagraph"/>
              <w:spacing w:line="240" w:lineRule="auto" w:before="1"/>
              <w:ind w:left="899" w:right="880"/>
              <w:jc w:val="center"/>
              <w:rPr>
                <w:rFonts w:ascii="Calibri"/>
                <w:sz w:val="24"/>
              </w:rPr>
            </w:pPr>
            <w:r>
              <w:rPr>
                <w:rFonts w:ascii="Calibri"/>
                <w:spacing w:val="-2"/>
                <w:sz w:val="24"/>
              </w:rPr>
              <w:t>5,616</w:t>
            </w:r>
          </w:p>
        </w:tc>
        <w:tc>
          <w:tcPr>
            <w:tcW w:w="2250" w:type="dxa"/>
            <w:gridSpan w:val="2"/>
          </w:tcPr>
          <w:p>
            <w:pPr>
              <w:pStyle w:val="TableParagraph"/>
              <w:spacing w:line="240" w:lineRule="auto" w:before="1"/>
              <w:ind w:left="747" w:right="723"/>
              <w:jc w:val="center"/>
              <w:rPr>
                <w:rFonts w:ascii="Calibri"/>
                <w:sz w:val="24"/>
              </w:rPr>
            </w:pPr>
            <w:r>
              <w:rPr>
                <w:rFonts w:ascii="Calibri"/>
                <w:spacing w:val="-4"/>
                <w:sz w:val="24"/>
              </w:rPr>
              <w:t>18.7</w:t>
            </w:r>
          </w:p>
        </w:tc>
      </w:tr>
      <w:tr>
        <w:trPr>
          <w:trHeight w:val="338" w:hRule="atLeast"/>
        </w:trPr>
        <w:tc>
          <w:tcPr>
            <w:tcW w:w="2069" w:type="dxa"/>
            <w:gridSpan w:val="2"/>
          </w:tcPr>
          <w:p>
            <w:pPr>
              <w:pStyle w:val="TableParagraph"/>
              <w:spacing w:line="292" w:lineRule="exact"/>
              <w:ind w:left="117"/>
              <w:rPr>
                <w:rFonts w:ascii="Calibri"/>
                <w:sz w:val="24"/>
              </w:rPr>
            </w:pPr>
            <w:r>
              <w:rPr>
                <w:rFonts w:ascii="Calibri"/>
                <w:spacing w:val="-4"/>
                <w:sz w:val="24"/>
              </w:rPr>
              <w:t>York</w:t>
            </w:r>
          </w:p>
        </w:tc>
        <w:tc>
          <w:tcPr>
            <w:tcW w:w="2513" w:type="dxa"/>
          </w:tcPr>
          <w:p>
            <w:pPr>
              <w:pStyle w:val="TableParagraph"/>
              <w:spacing w:line="292" w:lineRule="exact"/>
              <w:ind w:left="761" w:right="741"/>
              <w:jc w:val="center"/>
              <w:rPr>
                <w:rFonts w:ascii="Calibri"/>
                <w:sz w:val="24"/>
              </w:rPr>
            </w:pPr>
            <w:r>
              <w:rPr>
                <w:rFonts w:ascii="Calibri"/>
                <w:spacing w:val="-2"/>
                <w:sz w:val="24"/>
              </w:rPr>
              <w:t>210,486</w:t>
            </w:r>
          </w:p>
        </w:tc>
        <w:tc>
          <w:tcPr>
            <w:tcW w:w="2608" w:type="dxa"/>
          </w:tcPr>
          <w:p>
            <w:pPr>
              <w:pStyle w:val="TableParagraph"/>
              <w:spacing w:line="292" w:lineRule="exact"/>
              <w:ind w:left="897" w:right="881"/>
              <w:jc w:val="center"/>
              <w:rPr>
                <w:rFonts w:ascii="Calibri"/>
                <w:sz w:val="24"/>
              </w:rPr>
            </w:pPr>
            <w:r>
              <w:rPr>
                <w:rFonts w:ascii="Calibri"/>
                <w:spacing w:val="-2"/>
                <w:sz w:val="24"/>
              </w:rPr>
              <w:t>15,994</w:t>
            </w:r>
          </w:p>
        </w:tc>
        <w:tc>
          <w:tcPr>
            <w:tcW w:w="2250" w:type="dxa"/>
            <w:gridSpan w:val="2"/>
          </w:tcPr>
          <w:p>
            <w:pPr>
              <w:pStyle w:val="TableParagraph"/>
              <w:spacing w:line="292" w:lineRule="exact"/>
              <w:ind w:left="747" w:right="725"/>
              <w:jc w:val="center"/>
              <w:rPr>
                <w:rFonts w:ascii="Calibri"/>
                <w:sz w:val="24"/>
              </w:rPr>
            </w:pPr>
            <w:r>
              <w:rPr>
                <w:rFonts w:ascii="Calibri"/>
                <w:spacing w:val="-5"/>
                <w:sz w:val="24"/>
              </w:rPr>
              <w:t>7.7</w:t>
            </w:r>
          </w:p>
        </w:tc>
      </w:tr>
    </w:tbl>
    <w:p>
      <w:pPr>
        <w:pStyle w:val="BodyText"/>
        <w:spacing w:before="11"/>
        <w:rPr>
          <w:sz w:val="18"/>
        </w:rPr>
      </w:pPr>
    </w:p>
    <w:p>
      <w:pPr>
        <w:spacing w:before="1"/>
        <w:ind w:left="840" w:right="0" w:firstLine="0"/>
        <w:jc w:val="both"/>
        <w:rPr>
          <w:i/>
          <w:sz w:val="18"/>
        </w:rPr>
      </w:pPr>
      <w:r>
        <w:rPr>
          <w:i/>
          <w:sz w:val="18"/>
        </w:rPr>
        <w:t>Source:</w:t>
      </w:r>
      <w:r>
        <w:rPr>
          <w:i/>
          <w:spacing w:val="-3"/>
          <w:sz w:val="18"/>
        </w:rPr>
        <w:t> </w:t>
      </w:r>
      <w:r>
        <w:rPr>
          <w:i/>
          <w:sz w:val="18"/>
        </w:rPr>
        <w:t>2021</w:t>
      </w:r>
      <w:r>
        <w:rPr>
          <w:i/>
          <w:spacing w:val="-2"/>
          <w:sz w:val="18"/>
        </w:rPr>
        <w:t> </w:t>
      </w:r>
      <w:r>
        <w:rPr>
          <w:i/>
          <w:sz w:val="18"/>
        </w:rPr>
        <w:t>United</w:t>
      </w:r>
      <w:r>
        <w:rPr>
          <w:i/>
          <w:spacing w:val="-2"/>
          <w:sz w:val="18"/>
        </w:rPr>
        <w:t> </w:t>
      </w:r>
      <w:r>
        <w:rPr>
          <w:i/>
          <w:sz w:val="18"/>
        </w:rPr>
        <w:t>States</w:t>
      </w:r>
      <w:r>
        <w:rPr>
          <w:i/>
          <w:spacing w:val="-3"/>
          <w:sz w:val="18"/>
        </w:rPr>
        <w:t> </w:t>
      </w:r>
      <w:r>
        <w:rPr>
          <w:i/>
          <w:sz w:val="18"/>
        </w:rPr>
        <w:t>Bureau</w:t>
      </w:r>
      <w:r>
        <w:rPr>
          <w:i/>
          <w:spacing w:val="-2"/>
          <w:sz w:val="18"/>
        </w:rPr>
        <w:t> </w:t>
      </w:r>
      <w:r>
        <w:rPr>
          <w:i/>
          <w:sz w:val="18"/>
        </w:rPr>
        <w:t>of</w:t>
      </w:r>
      <w:r>
        <w:rPr>
          <w:i/>
          <w:spacing w:val="-2"/>
          <w:sz w:val="18"/>
        </w:rPr>
        <w:t> </w:t>
      </w:r>
      <w:r>
        <w:rPr>
          <w:i/>
          <w:sz w:val="18"/>
        </w:rPr>
        <w:t>the</w:t>
      </w:r>
      <w:r>
        <w:rPr>
          <w:i/>
          <w:spacing w:val="-2"/>
          <w:sz w:val="18"/>
        </w:rPr>
        <w:t> </w:t>
      </w:r>
      <w:r>
        <w:rPr>
          <w:i/>
          <w:sz w:val="18"/>
        </w:rPr>
        <w:t>Census,</w:t>
      </w:r>
      <w:r>
        <w:rPr>
          <w:i/>
          <w:spacing w:val="-3"/>
          <w:sz w:val="18"/>
        </w:rPr>
        <w:t> </w:t>
      </w:r>
      <w:r>
        <w:rPr>
          <w:i/>
          <w:sz w:val="18"/>
        </w:rPr>
        <w:t>American</w:t>
      </w:r>
      <w:r>
        <w:rPr>
          <w:i/>
          <w:spacing w:val="-1"/>
          <w:sz w:val="18"/>
        </w:rPr>
        <w:t> </w:t>
      </w:r>
      <w:r>
        <w:rPr>
          <w:i/>
          <w:sz w:val="18"/>
        </w:rPr>
        <w:t>Community</w:t>
      </w:r>
      <w:r>
        <w:rPr>
          <w:i/>
          <w:spacing w:val="-2"/>
          <w:sz w:val="18"/>
        </w:rPr>
        <w:t> </w:t>
      </w:r>
      <w:r>
        <w:rPr>
          <w:i/>
          <w:sz w:val="18"/>
        </w:rPr>
        <w:t>Survey</w:t>
      </w:r>
      <w:r>
        <w:rPr>
          <w:i/>
          <w:spacing w:val="-1"/>
          <w:sz w:val="18"/>
        </w:rPr>
        <w:t> </w:t>
      </w:r>
      <w:r>
        <w:rPr>
          <w:i/>
          <w:sz w:val="18"/>
        </w:rPr>
        <w:t>5-year</w:t>
      </w:r>
      <w:r>
        <w:rPr>
          <w:i/>
          <w:spacing w:val="-4"/>
          <w:sz w:val="18"/>
        </w:rPr>
        <w:t> </w:t>
      </w:r>
      <w:r>
        <w:rPr>
          <w:i/>
          <w:spacing w:val="-2"/>
          <w:sz w:val="18"/>
        </w:rPr>
        <w:t>Estimates</w:t>
      </w:r>
    </w:p>
    <w:p>
      <w:pPr>
        <w:spacing w:after="0"/>
        <w:jc w:val="both"/>
        <w:rPr>
          <w:sz w:val="18"/>
        </w:rPr>
        <w:sectPr>
          <w:pgSz w:w="12240" w:h="15840"/>
          <w:pgMar w:header="0" w:footer="997" w:top="960" w:bottom="1180" w:left="600" w:right="500"/>
        </w:sectPr>
      </w:pPr>
    </w:p>
    <w:p>
      <w:pPr>
        <w:pStyle w:val="BodyText"/>
        <w:spacing w:before="35"/>
        <w:ind w:left="840"/>
      </w:pPr>
      <w:r>
        <w:rPr/>
        <w:t>The</w:t>
      </w:r>
      <w:r>
        <w:rPr>
          <w:spacing w:val="-4"/>
        </w:rPr>
        <w:t> </w:t>
      </w:r>
      <w:r>
        <w:rPr/>
        <w:t>following</w:t>
      </w:r>
      <w:r>
        <w:rPr>
          <w:spacing w:val="-3"/>
        </w:rPr>
        <w:t> </w:t>
      </w:r>
      <w:r>
        <w:rPr/>
        <w:t>map</w:t>
      </w:r>
      <w:r>
        <w:rPr>
          <w:spacing w:val="-2"/>
        </w:rPr>
        <w:t> </w:t>
      </w:r>
      <w:r>
        <w:rPr/>
        <w:t>identifies</w:t>
      </w:r>
      <w:r>
        <w:rPr>
          <w:spacing w:val="-3"/>
        </w:rPr>
        <w:t> </w:t>
      </w:r>
      <w:r>
        <w:rPr/>
        <w:t>the</w:t>
      </w:r>
      <w:r>
        <w:rPr>
          <w:spacing w:val="-2"/>
        </w:rPr>
        <w:t> </w:t>
      </w:r>
      <w:r>
        <w:rPr/>
        <w:t>poverty</w:t>
      </w:r>
      <w:r>
        <w:rPr>
          <w:spacing w:val="-4"/>
        </w:rPr>
        <w:t> </w:t>
      </w:r>
      <w:r>
        <w:rPr/>
        <w:t>percentages</w:t>
      </w:r>
      <w:r>
        <w:rPr>
          <w:spacing w:val="-1"/>
        </w:rPr>
        <w:t> </w:t>
      </w:r>
      <w:r>
        <w:rPr/>
        <w:t>of</w:t>
      </w:r>
      <w:r>
        <w:rPr>
          <w:spacing w:val="-2"/>
        </w:rPr>
        <w:t> </w:t>
      </w:r>
      <w:r>
        <w:rPr/>
        <w:t>Maine</w:t>
      </w:r>
      <w:r>
        <w:rPr>
          <w:spacing w:val="-1"/>
        </w:rPr>
        <w:t> </w:t>
      </w:r>
      <w:r>
        <w:rPr/>
        <w:t>census</w:t>
      </w:r>
      <w:r>
        <w:rPr>
          <w:spacing w:val="-2"/>
        </w:rPr>
        <w:t> tracts.</w:t>
      </w:r>
    </w:p>
    <w:p>
      <w:pPr>
        <w:pStyle w:val="BodyText"/>
        <w:rPr>
          <w:sz w:val="20"/>
        </w:rPr>
      </w:pPr>
    </w:p>
    <w:p>
      <w:pPr>
        <w:pStyle w:val="BodyText"/>
        <w:rPr>
          <w:sz w:val="22"/>
        </w:rPr>
      </w:pPr>
      <w:r>
        <w:rPr/>
        <w:drawing>
          <wp:anchor distT="0" distB="0" distL="0" distR="0" allowOverlap="1" layoutInCell="1" locked="0" behindDoc="1" simplePos="0" relativeHeight="487596544">
            <wp:simplePos x="0" y="0"/>
            <wp:positionH relativeFrom="page">
              <wp:posOffset>914400</wp:posOffset>
            </wp:positionH>
            <wp:positionV relativeFrom="paragraph">
              <wp:posOffset>185951</wp:posOffset>
            </wp:positionV>
            <wp:extent cx="5622627" cy="727405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9" cstate="print"/>
                    <a:stretch>
                      <a:fillRect/>
                    </a:stretch>
                  </pic:blipFill>
                  <pic:spPr>
                    <a:xfrm>
                      <a:off x="0" y="0"/>
                      <a:ext cx="5622627" cy="7274052"/>
                    </a:xfrm>
                    <a:prstGeom prst="rect">
                      <a:avLst/>
                    </a:prstGeom>
                  </pic:spPr>
                </pic:pic>
              </a:graphicData>
            </a:graphic>
          </wp:anchor>
        </w:drawing>
      </w:r>
    </w:p>
    <w:p>
      <w:pPr>
        <w:spacing w:after="0"/>
        <w:rPr>
          <w:sz w:val="22"/>
        </w:rPr>
        <w:sectPr>
          <w:pgSz w:w="12240" w:h="15840"/>
          <w:pgMar w:header="0" w:footer="997" w:top="960" w:bottom="1260" w:left="600" w:right="500"/>
        </w:sectPr>
      </w:pPr>
    </w:p>
    <w:p>
      <w:pPr>
        <w:pStyle w:val="Heading9"/>
        <w:numPr>
          <w:ilvl w:val="0"/>
          <w:numId w:val="25"/>
        </w:numPr>
        <w:tabs>
          <w:tab w:pos="1670" w:val="left" w:leader="none"/>
        </w:tabs>
        <w:spacing w:line="240" w:lineRule="auto" w:before="35" w:after="0"/>
        <w:ind w:left="1670" w:right="0" w:hanging="470"/>
        <w:jc w:val="left"/>
      </w:pPr>
      <w:bookmarkStart w:name="D.   Demographic Impacts of FTA/MaineDOT" w:id="38"/>
      <w:bookmarkEnd w:id="38"/>
      <w:r>
        <w:rPr>
          <w:b w:val="0"/>
        </w:rPr>
      </w:r>
      <w:bookmarkStart w:name="_bookmark17" w:id="39"/>
      <w:bookmarkEnd w:id="39"/>
      <w:r>
        <w:rPr/>
      </w:r>
      <w:r>
        <w:rPr>
          <w:u w:val="single"/>
        </w:rPr>
        <w:t>Demographic</w:t>
      </w:r>
      <w:r>
        <w:rPr>
          <w:spacing w:val="-5"/>
          <w:u w:val="single"/>
        </w:rPr>
        <w:t> </w:t>
      </w:r>
      <w:r>
        <w:rPr>
          <w:u w:val="single"/>
        </w:rPr>
        <w:t>Impacts</w:t>
      </w:r>
      <w:r>
        <w:rPr>
          <w:spacing w:val="-6"/>
          <w:u w:val="single"/>
        </w:rPr>
        <w:t> </w:t>
      </w:r>
      <w:r>
        <w:rPr>
          <w:u w:val="single"/>
        </w:rPr>
        <w:t>of</w:t>
      </w:r>
      <w:r>
        <w:rPr>
          <w:spacing w:val="-1"/>
          <w:u w:val="single"/>
        </w:rPr>
        <w:t> </w:t>
      </w:r>
      <w:r>
        <w:rPr>
          <w:u w:val="single"/>
        </w:rPr>
        <w:t>FTA/MaineDOT</w:t>
      </w:r>
      <w:r>
        <w:rPr>
          <w:spacing w:val="-3"/>
          <w:u w:val="single"/>
        </w:rPr>
        <w:t> </w:t>
      </w:r>
      <w:r>
        <w:rPr>
          <w:spacing w:val="-2"/>
          <w:u w:val="single"/>
        </w:rPr>
        <w:t>Funding</w:t>
      </w:r>
    </w:p>
    <w:p>
      <w:pPr>
        <w:pStyle w:val="BodyText"/>
        <w:rPr>
          <w:b/>
          <w:sz w:val="20"/>
        </w:rPr>
      </w:pPr>
    </w:p>
    <w:p>
      <w:pPr>
        <w:pStyle w:val="BodyText"/>
        <w:spacing w:before="8"/>
        <w:rPr>
          <w:b/>
          <w:sz w:val="28"/>
        </w:rPr>
      </w:pPr>
    </w:p>
    <w:p>
      <w:pPr>
        <w:spacing w:before="52"/>
        <w:ind w:left="840" w:right="0" w:firstLine="0"/>
        <w:jc w:val="left"/>
        <w:rPr>
          <w:b/>
          <w:sz w:val="24"/>
        </w:rPr>
      </w:pPr>
      <w:r>
        <w:rPr>
          <w:b/>
          <w:sz w:val="24"/>
        </w:rPr>
        <w:t>Funding</w:t>
      </w:r>
      <w:r>
        <w:rPr>
          <w:b/>
          <w:spacing w:val="-5"/>
          <w:sz w:val="24"/>
        </w:rPr>
        <w:t> </w:t>
      </w:r>
      <w:r>
        <w:rPr>
          <w:b/>
          <w:sz w:val="24"/>
        </w:rPr>
        <w:t>Distribution</w:t>
      </w:r>
      <w:r>
        <w:rPr>
          <w:b/>
          <w:spacing w:val="-3"/>
          <w:sz w:val="24"/>
        </w:rPr>
        <w:t> </w:t>
      </w:r>
      <w:r>
        <w:rPr>
          <w:b/>
          <w:spacing w:val="-2"/>
          <w:sz w:val="24"/>
        </w:rPr>
        <w:t>Analysis</w:t>
      </w:r>
    </w:p>
    <w:p>
      <w:pPr>
        <w:pStyle w:val="BodyText"/>
        <w:spacing w:before="11"/>
        <w:rPr>
          <w:b/>
          <w:sz w:val="23"/>
        </w:rPr>
      </w:pPr>
    </w:p>
    <w:p>
      <w:pPr>
        <w:pStyle w:val="BodyText"/>
        <w:spacing w:before="1"/>
        <w:ind w:left="840" w:right="934"/>
        <w:jc w:val="both"/>
      </w:pPr>
      <w:r>
        <w:rPr/>
        <w:t>The</w:t>
      </w:r>
      <w:r>
        <w:rPr>
          <w:spacing w:val="-8"/>
        </w:rPr>
        <w:t> </w:t>
      </w:r>
      <w:r>
        <w:rPr/>
        <w:t>tables</w:t>
      </w:r>
      <w:r>
        <w:rPr>
          <w:spacing w:val="-7"/>
        </w:rPr>
        <w:t> </w:t>
      </w:r>
      <w:r>
        <w:rPr/>
        <w:t>and</w:t>
      </w:r>
      <w:r>
        <w:rPr>
          <w:spacing w:val="-5"/>
        </w:rPr>
        <w:t> </w:t>
      </w:r>
      <w:r>
        <w:rPr/>
        <w:t>charts</w:t>
      </w:r>
      <w:r>
        <w:rPr>
          <w:spacing w:val="-9"/>
        </w:rPr>
        <w:t> </w:t>
      </w:r>
      <w:r>
        <w:rPr/>
        <w:t>below</w:t>
      </w:r>
      <w:r>
        <w:rPr>
          <w:spacing w:val="-8"/>
        </w:rPr>
        <w:t> </w:t>
      </w:r>
      <w:r>
        <w:rPr/>
        <w:t>display</w:t>
      </w:r>
      <w:r>
        <w:rPr>
          <w:spacing w:val="-9"/>
        </w:rPr>
        <w:t> </w:t>
      </w:r>
      <w:r>
        <w:rPr/>
        <w:t>the</w:t>
      </w:r>
      <w:r>
        <w:rPr>
          <w:spacing w:val="-8"/>
        </w:rPr>
        <w:t> </w:t>
      </w:r>
      <w:r>
        <w:rPr/>
        <w:t>percentages</w:t>
      </w:r>
      <w:r>
        <w:rPr>
          <w:spacing w:val="-7"/>
        </w:rPr>
        <w:t> </w:t>
      </w:r>
      <w:r>
        <w:rPr/>
        <w:t>of</w:t>
      </w:r>
      <w:r>
        <w:rPr>
          <w:spacing w:val="-8"/>
        </w:rPr>
        <w:t> </w:t>
      </w:r>
      <w:r>
        <w:rPr/>
        <w:t>the</w:t>
      </w:r>
      <w:r>
        <w:rPr>
          <w:spacing w:val="-6"/>
        </w:rPr>
        <w:t> </w:t>
      </w:r>
      <w:r>
        <w:rPr/>
        <w:t>minority</w:t>
      </w:r>
      <w:r>
        <w:rPr>
          <w:spacing w:val="-7"/>
        </w:rPr>
        <w:t> </w:t>
      </w:r>
      <w:r>
        <w:rPr/>
        <w:t>and</w:t>
      </w:r>
      <w:r>
        <w:rPr>
          <w:spacing w:val="-8"/>
        </w:rPr>
        <w:t> </w:t>
      </w:r>
      <w:r>
        <w:rPr/>
        <w:t>the</w:t>
      </w:r>
      <w:r>
        <w:rPr>
          <w:spacing w:val="-6"/>
        </w:rPr>
        <w:t> </w:t>
      </w:r>
      <w:r>
        <w:rPr/>
        <w:t>white</w:t>
      </w:r>
      <w:r>
        <w:rPr>
          <w:spacing w:val="-8"/>
        </w:rPr>
        <w:t> </w:t>
      </w:r>
      <w:r>
        <w:rPr/>
        <w:t>population</w:t>
      </w:r>
      <w:r>
        <w:rPr>
          <w:spacing w:val="-8"/>
        </w:rPr>
        <w:t> </w:t>
      </w:r>
      <w:r>
        <w:rPr/>
        <w:t>by year-round bus route service area. For the purpose of this analysis, funding for bus operations was separated by fixed route services (all of which are direct FTA recipients), flex route service and demand response services.</w:t>
      </w:r>
    </w:p>
    <w:p>
      <w:pPr>
        <w:pStyle w:val="BodyText"/>
      </w:pPr>
    </w:p>
    <w:p>
      <w:pPr>
        <w:pStyle w:val="BodyText"/>
        <w:spacing w:before="1"/>
      </w:pPr>
    </w:p>
    <w:p>
      <w:pPr>
        <w:pStyle w:val="Heading9"/>
        <w:ind w:left="3404" w:right="3500"/>
        <w:jc w:val="center"/>
      </w:pPr>
      <w:r>
        <w:rPr/>
        <w:t>Bus</w:t>
      </w:r>
      <w:r>
        <w:rPr>
          <w:spacing w:val="-1"/>
        </w:rPr>
        <w:t> </w:t>
      </w:r>
      <w:r>
        <w:rPr/>
        <w:t>Route</w:t>
      </w:r>
      <w:r>
        <w:rPr>
          <w:spacing w:val="-1"/>
        </w:rPr>
        <w:t> </w:t>
      </w:r>
      <w:r>
        <w:rPr/>
        <w:t>Service</w:t>
      </w:r>
      <w:r>
        <w:rPr>
          <w:spacing w:val="-2"/>
        </w:rPr>
        <w:t> </w:t>
      </w:r>
      <w:r>
        <w:rPr/>
        <w:t>Area</w:t>
      </w:r>
      <w:r>
        <w:rPr>
          <w:spacing w:val="-4"/>
        </w:rPr>
        <w:t> </w:t>
      </w:r>
      <w:r>
        <w:rPr/>
        <w:t>and </w:t>
      </w:r>
      <w:r>
        <w:rPr>
          <w:spacing w:val="-2"/>
        </w:rPr>
        <w:t>Funding</w:t>
      </w:r>
    </w:p>
    <w:p>
      <w:pPr>
        <w:pStyle w:val="BodyText"/>
        <w:spacing w:before="12"/>
        <w:rPr>
          <w:b/>
          <w:sz w:val="23"/>
        </w:rPr>
      </w:pPr>
    </w:p>
    <w:p>
      <w:pPr>
        <w:spacing w:before="0"/>
        <w:ind w:left="840" w:right="0" w:firstLine="0"/>
        <w:jc w:val="left"/>
        <w:rPr>
          <w:b/>
          <w:sz w:val="24"/>
        </w:rPr>
      </w:pPr>
      <w:r>
        <w:rPr>
          <w:b/>
          <w:sz w:val="24"/>
        </w:rPr>
        <w:t>Fixed</w:t>
      </w:r>
      <w:r>
        <w:rPr>
          <w:b/>
          <w:spacing w:val="-1"/>
          <w:sz w:val="24"/>
        </w:rPr>
        <w:t> </w:t>
      </w:r>
      <w:r>
        <w:rPr>
          <w:b/>
          <w:sz w:val="24"/>
        </w:rPr>
        <w:t>Route</w:t>
      </w:r>
      <w:r>
        <w:rPr>
          <w:b/>
          <w:spacing w:val="-1"/>
          <w:sz w:val="24"/>
        </w:rPr>
        <w:t> </w:t>
      </w:r>
      <w:r>
        <w:rPr>
          <w:b/>
          <w:spacing w:val="-2"/>
          <w:sz w:val="24"/>
        </w:rPr>
        <w:t>Services</w:t>
      </w:r>
    </w:p>
    <w:p>
      <w:pPr>
        <w:pStyle w:val="BodyText"/>
        <w:rPr>
          <w:b/>
        </w:rPr>
      </w:pPr>
    </w:p>
    <w:tbl>
      <w:tblPr>
        <w:tblW w:w="0" w:type="auto"/>
        <w:jc w:val="left"/>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6"/>
        <w:gridCol w:w="1348"/>
        <w:gridCol w:w="1530"/>
        <w:gridCol w:w="1280"/>
        <w:gridCol w:w="1326"/>
        <w:gridCol w:w="1350"/>
        <w:gridCol w:w="1799"/>
      </w:tblGrid>
      <w:tr>
        <w:trPr>
          <w:trHeight w:val="954" w:hRule="atLeast"/>
        </w:trPr>
        <w:tc>
          <w:tcPr>
            <w:tcW w:w="1346" w:type="dxa"/>
          </w:tcPr>
          <w:p>
            <w:pPr>
              <w:pStyle w:val="TableParagraph"/>
              <w:spacing w:line="292" w:lineRule="exact"/>
              <w:ind w:left="107"/>
              <w:rPr>
                <w:rFonts w:ascii="Calibri"/>
                <w:b/>
                <w:sz w:val="24"/>
              </w:rPr>
            </w:pPr>
            <w:r>
              <w:rPr>
                <w:rFonts w:ascii="Calibri"/>
                <w:b/>
                <w:spacing w:val="-2"/>
                <w:sz w:val="24"/>
              </w:rPr>
              <w:t>Service</w:t>
            </w:r>
          </w:p>
        </w:tc>
        <w:tc>
          <w:tcPr>
            <w:tcW w:w="1348" w:type="dxa"/>
          </w:tcPr>
          <w:p>
            <w:pPr>
              <w:pStyle w:val="TableParagraph"/>
              <w:spacing w:line="278" w:lineRule="auto"/>
              <w:ind w:left="125" w:right="116" w:hanging="2"/>
              <w:jc w:val="center"/>
              <w:rPr>
                <w:rFonts w:ascii="Calibri"/>
                <w:b/>
                <w:sz w:val="24"/>
              </w:rPr>
            </w:pPr>
            <w:r>
              <w:rPr>
                <w:rFonts w:ascii="Calibri"/>
                <w:b/>
                <w:spacing w:val="-2"/>
                <w:sz w:val="24"/>
              </w:rPr>
              <w:t>Service Population</w:t>
            </w:r>
          </w:p>
          <w:p>
            <w:pPr>
              <w:pStyle w:val="TableParagraph"/>
              <w:spacing w:line="153" w:lineRule="exact"/>
              <w:ind w:left="4"/>
              <w:jc w:val="center"/>
              <w:rPr>
                <w:rFonts w:ascii="Calibri"/>
                <w:sz w:val="13"/>
              </w:rPr>
            </w:pPr>
            <w:r>
              <w:rPr>
                <w:rFonts w:ascii="Calibri"/>
                <w:w w:val="99"/>
                <w:sz w:val="13"/>
              </w:rPr>
              <w:t>1</w:t>
            </w:r>
          </w:p>
        </w:tc>
        <w:tc>
          <w:tcPr>
            <w:tcW w:w="1530" w:type="dxa"/>
          </w:tcPr>
          <w:p>
            <w:pPr>
              <w:pStyle w:val="TableParagraph"/>
              <w:spacing w:line="292" w:lineRule="exact"/>
              <w:ind w:left="326" w:right="317"/>
              <w:jc w:val="center"/>
              <w:rPr>
                <w:rFonts w:ascii="Calibri"/>
                <w:sz w:val="13"/>
              </w:rPr>
            </w:pPr>
            <w:r>
              <w:rPr>
                <w:rFonts w:ascii="Calibri"/>
                <w:b/>
                <w:sz w:val="24"/>
              </w:rPr>
              <w:t>White</w:t>
            </w:r>
            <w:r>
              <w:rPr>
                <w:rFonts w:ascii="Calibri"/>
                <w:b/>
                <w:spacing w:val="-2"/>
                <w:sz w:val="24"/>
              </w:rPr>
              <w:t> </w:t>
            </w:r>
            <w:r>
              <w:rPr>
                <w:rFonts w:ascii="Calibri"/>
                <w:b/>
                <w:spacing w:val="-5"/>
                <w:sz w:val="24"/>
              </w:rPr>
              <w:t>#</w:t>
            </w:r>
            <w:r>
              <w:rPr>
                <w:rFonts w:ascii="Calibri"/>
                <w:spacing w:val="-5"/>
                <w:position w:val="7"/>
                <w:sz w:val="13"/>
              </w:rPr>
              <w:t>1</w:t>
            </w:r>
          </w:p>
        </w:tc>
        <w:tc>
          <w:tcPr>
            <w:tcW w:w="1280" w:type="dxa"/>
          </w:tcPr>
          <w:p>
            <w:pPr>
              <w:pStyle w:val="TableParagraph"/>
              <w:spacing w:line="292" w:lineRule="exact"/>
              <w:ind w:left="173" w:right="164"/>
              <w:jc w:val="center"/>
              <w:rPr>
                <w:rFonts w:ascii="Calibri"/>
                <w:sz w:val="13"/>
              </w:rPr>
            </w:pPr>
            <w:r>
              <w:rPr>
                <w:rFonts w:ascii="Calibri"/>
                <w:b/>
                <w:sz w:val="24"/>
              </w:rPr>
              <w:t>White</w:t>
            </w:r>
            <w:r>
              <w:rPr>
                <w:rFonts w:ascii="Calibri"/>
                <w:b/>
                <w:spacing w:val="-2"/>
                <w:sz w:val="24"/>
              </w:rPr>
              <w:t> </w:t>
            </w:r>
            <w:r>
              <w:rPr>
                <w:rFonts w:ascii="Calibri"/>
                <w:b/>
                <w:spacing w:val="-5"/>
                <w:sz w:val="24"/>
              </w:rPr>
              <w:t>%</w:t>
            </w:r>
            <w:r>
              <w:rPr>
                <w:rFonts w:ascii="Calibri"/>
                <w:spacing w:val="-5"/>
                <w:position w:val="7"/>
                <w:sz w:val="13"/>
              </w:rPr>
              <w:t>1</w:t>
            </w:r>
          </w:p>
        </w:tc>
        <w:tc>
          <w:tcPr>
            <w:tcW w:w="1326" w:type="dxa"/>
          </w:tcPr>
          <w:p>
            <w:pPr>
              <w:pStyle w:val="TableParagraph"/>
              <w:spacing w:line="292" w:lineRule="exact"/>
              <w:ind w:left="100" w:right="78"/>
              <w:jc w:val="center"/>
              <w:rPr>
                <w:rFonts w:ascii="Calibri"/>
                <w:sz w:val="13"/>
              </w:rPr>
            </w:pPr>
            <w:r>
              <w:rPr>
                <w:rFonts w:ascii="Calibri"/>
                <w:b/>
                <w:sz w:val="24"/>
              </w:rPr>
              <w:t>Minority</w:t>
            </w:r>
            <w:r>
              <w:rPr>
                <w:rFonts w:ascii="Calibri"/>
                <w:b/>
                <w:spacing w:val="-1"/>
                <w:sz w:val="24"/>
              </w:rPr>
              <w:t> </w:t>
            </w:r>
            <w:r>
              <w:rPr>
                <w:rFonts w:ascii="Calibri"/>
                <w:b/>
                <w:spacing w:val="-5"/>
                <w:sz w:val="24"/>
              </w:rPr>
              <w:t>#</w:t>
            </w:r>
            <w:r>
              <w:rPr>
                <w:rFonts w:ascii="Calibri"/>
                <w:spacing w:val="-5"/>
                <w:position w:val="7"/>
                <w:sz w:val="13"/>
              </w:rPr>
              <w:t>1</w:t>
            </w:r>
          </w:p>
        </w:tc>
        <w:tc>
          <w:tcPr>
            <w:tcW w:w="1350" w:type="dxa"/>
          </w:tcPr>
          <w:p>
            <w:pPr>
              <w:pStyle w:val="TableParagraph"/>
              <w:spacing w:line="292" w:lineRule="exact"/>
              <w:ind w:left="115" w:right="96"/>
              <w:jc w:val="center"/>
              <w:rPr>
                <w:rFonts w:ascii="Calibri"/>
                <w:sz w:val="13"/>
              </w:rPr>
            </w:pPr>
            <w:r>
              <w:rPr>
                <w:rFonts w:ascii="Calibri"/>
                <w:b/>
                <w:spacing w:val="-2"/>
                <w:sz w:val="24"/>
              </w:rPr>
              <w:t>Minority%</w:t>
            </w:r>
            <w:r>
              <w:rPr>
                <w:rFonts w:ascii="Calibri"/>
                <w:spacing w:val="-2"/>
                <w:position w:val="7"/>
                <w:sz w:val="13"/>
              </w:rPr>
              <w:t>1</w:t>
            </w:r>
          </w:p>
        </w:tc>
        <w:tc>
          <w:tcPr>
            <w:tcW w:w="1799" w:type="dxa"/>
          </w:tcPr>
          <w:p>
            <w:pPr>
              <w:pStyle w:val="TableParagraph"/>
              <w:spacing w:line="278" w:lineRule="auto"/>
              <w:ind w:left="471" w:right="103" w:hanging="351"/>
              <w:rPr>
                <w:rFonts w:ascii="Calibri"/>
                <w:sz w:val="13"/>
              </w:rPr>
            </w:pPr>
            <w:r>
              <w:rPr>
                <w:rFonts w:ascii="Calibri"/>
                <w:b/>
                <w:sz w:val="24"/>
              </w:rPr>
              <w:t>MaineDOT,</w:t>
            </w:r>
            <w:r>
              <w:rPr>
                <w:rFonts w:ascii="Calibri"/>
                <w:b/>
                <w:spacing w:val="-14"/>
                <w:sz w:val="24"/>
              </w:rPr>
              <w:t> </w:t>
            </w:r>
            <w:r>
              <w:rPr>
                <w:rFonts w:ascii="Calibri"/>
                <w:b/>
                <w:sz w:val="24"/>
              </w:rPr>
              <w:t>FTA </w:t>
            </w:r>
            <w:r>
              <w:rPr>
                <w:rFonts w:ascii="Calibri"/>
                <w:b/>
                <w:spacing w:val="-2"/>
                <w:sz w:val="24"/>
              </w:rPr>
              <w:t>Funding</w:t>
            </w:r>
            <w:r>
              <w:rPr>
                <w:rFonts w:ascii="Calibri"/>
                <w:spacing w:val="-2"/>
                <w:position w:val="7"/>
                <w:sz w:val="13"/>
              </w:rPr>
              <w:t>2</w:t>
            </w:r>
          </w:p>
        </w:tc>
      </w:tr>
      <w:tr>
        <w:trPr>
          <w:trHeight w:val="337" w:hRule="atLeast"/>
        </w:trPr>
        <w:tc>
          <w:tcPr>
            <w:tcW w:w="1346" w:type="dxa"/>
          </w:tcPr>
          <w:p>
            <w:pPr>
              <w:pStyle w:val="TableParagraph"/>
              <w:spacing w:line="292" w:lineRule="exact"/>
              <w:ind w:left="107"/>
              <w:rPr>
                <w:rFonts w:ascii="Calibri"/>
                <w:sz w:val="24"/>
              </w:rPr>
            </w:pPr>
            <w:r>
              <w:rPr>
                <w:rFonts w:ascii="Calibri"/>
                <w:spacing w:val="-2"/>
                <w:sz w:val="24"/>
              </w:rPr>
              <w:t>Metro</w:t>
            </w:r>
          </w:p>
        </w:tc>
        <w:tc>
          <w:tcPr>
            <w:tcW w:w="1348" w:type="dxa"/>
          </w:tcPr>
          <w:p>
            <w:pPr>
              <w:pStyle w:val="TableParagraph"/>
              <w:spacing w:line="292" w:lineRule="exact"/>
              <w:ind w:left="264" w:right="258"/>
              <w:jc w:val="center"/>
              <w:rPr>
                <w:rFonts w:ascii="Calibri"/>
                <w:sz w:val="24"/>
              </w:rPr>
            </w:pPr>
            <w:r>
              <w:rPr>
                <w:rFonts w:ascii="Calibri"/>
                <w:spacing w:val="-2"/>
                <w:sz w:val="24"/>
              </w:rPr>
              <w:t>209,491</w:t>
            </w:r>
          </w:p>
        </w:tc>
        <w:tc>
          <w:tcPr>
            <w:tcW w:w="1530" w:type="dxa"/>
          </w:tcPr>
          <w:p>
            <w:pPr>
              <w:pStyle w:val="TableParagraph"/>
              <w:spacing w:line="292" w:lineRule="exact"/>
              <w:ind w:left="326" w:right="313"/>
              <w:jc w:val="center"/>
              <w:rPr>
                <w:rFonts w:ascii="Calibri"/>
                <w:sz w:val="24"/>
              </w:rPr>
            </w:pPr>
            <w:r>
              <w:rPr>
                <w:rFonts w:ascii="Calibri"/>
                <w:spacing w:val="-2"/>
                <w:sz w:val="24"/>
              </w:rPr>
              <w:t>177,247</w:t>
            </w:r>
          </w:p>
        </w:tc>
        <w:tc>
          <w:tcPr>
            <w:tcW w:w="1280" w:type="dxa"/>
          </w:tcPr>
          <w:p>
            <w:pPr>
              <w:pStyle w:val="TableParagraph"/>
              <w:spacing w:line="292" w:lineRule="exact"/>
              <w:ind w:left="173" w:right="164"/>
              <w:jc w:val="center"/>
              <w:rPr>
                <w:rFonts w:ascii="Calibri"/>
                <w:sz w:val="24"/>
              </w:rPr>
            </w:pPr>
            <w:r>
              <w:rPr>
                <w:rFonts w:ascii="Calibri"/>
                <w:spacing w:val="-2"/>
                <w:sz w:val="24"/>
              </w:rPr>
              <w:t>84.61%</w:t>
            </w:r>
          </w:p>
        </w:tc>
        <w:tc>
          <w:tcPr>
            <w:tcW w:w="1326" w:type="dxa"/>
          </w:tcPr>
          <w:p>
            <w:pPr>
              <w:pStyle w:val="TableParagraph"/>
              <w:spacing w:line="292" w:lineRule="exact"/>
              <w:ind w:left="96" w:right="78"/>
              <w:jc w:val="center"/>
              <w:rPr>
                <w:rFonts w:ascii="Calibri"/>
                <w:sz w:val="24"/>
              </w:rPr>
            </w:pPr>
            <w:r>
              <w:rPr>
                <w:rFonts w:ascii="Calibri"/>
                <w:spacing w:val="-2"/>
                <w:sz w:val="24"/>
              </w:rPr>
              <w:t>32,244</w:t>
            </w:r>
          </w:p>
        </w:tc>
        <w:tc>
          <w:tcPr>
            <w:tcW w:w="1350" w:type="dxa"/>
          </w:tcPr>
          <w:p>
            <w:pPr>
              <w:pStyle w:val="TableParagraph"/>
              <w:spacing w:line="292" w:lineRule="exact"/>
              <w:ind w:left="113" w:right="96"/>
              <w:jc w:val="center"/>
              <w:rPr>
                <w:rFonts w:ascii="Calibri"/>
                <w:sz w:val="24"/>
              </w:rPr>
            </w:pPr>
            <w:r>
              <w:rPr>
                <w:rFonts w:ascii="Calibri"/>
                <w:spacing w:val="-2"/>
                <w:sz w:val="24"/>
              </w:rPr>
              <w:t>15.39%</w:t>
            </w:r>
          </w:p>
        </w:tc>
        <w:tc>
          <w:tcPr>
            <w:tcW w:w="1799" w:type="dxa"/>
          </w:tcPr>
          <w:p>
            <w:pPr>
              <w:pStyle w:val="TableParagraph"/>
              <w:spacing w:line="292" w:lineRule="exact"/>
              <w:ind w:left="347" w:right="271"/>
              <w:jc w:val="center"/>
              <w:rPr>
                <w:rFonts w:ascii="Calibri"/>
                <w:sz w:val="24"/>
              </w:rPr>
            </w:pPr>
            <w:r>
              <w:rPr>
                <w:rFonts w:ascii="Calibri"/>
                <w:spacing w:val="-2"/>
                <w:sz w:val="24"/>
              </w:rPr>
              <w:t>$6,382,631</w:t>
            </w:r>
          </w:p>
        </w:tc>
      </w:tr>
      <w:tr>
        <w:trPr>
          <w:trHeight w:val="671" w:hRule="atLeast"/>
        </w:trPr>
        <w:tc>
          <w:tcPr>
            <w:tcW w:w="1346" w:type="dxa"/>
          </w:tcPr>
          <w:p>
            <w:pPr>
              <w:pStyle w:val="TableParagraph"/>
              <w:spacing w:line="292" w:lineRule="exact"/>
              <w:ind w:left="107"/>
              <w:rPr>
                <w:rFonts w:ascii="Calibri"/>
                <w:sz w:val="24"/>
              </w:rPr>
            </w:pPr>
            <w:r>
              <w:rPr>
                <w:rFonts w:ascii="Calibri"/>
                <w:sz w:val="24"/>
              </w:rPr>
              <w:t>S. </w:t>
            </w:r>
            <w:r>
              <w:rPr>
                <w:rFonts w:ascii="Calibri"/>
                <w:spacing w:val="-2"/>
                <w:sz w:val="24"/>
              </w:rPr>
              <w:t>Portland</w:t>
            </w:r>
          </w:p>
          <w:p>
            <w:pPr>
              <w:pStyle w:val="TableParagraph"/>
              <w:spacing w:line="240" w:lineRule="auto" w:before="43"/>
              <w:ind w:left="107"/>
              <w:rPr>
                <w:rFonts w:ascii="Calibri"/>
                <w:sz w:val="24"/>
              </w:rPr>
            </w:pPr>
            <w:r>
              <w:rPr>
                <w:rFonts w:ascii="Calibri"/>
                <w:spacing w:val="-5"/>
                <w:sz w:val="24"/>
              </w:rPr>
              <w:t>Bus</w:t>
            </w:r>
          </w:p>
        </w:tc>
        <w:tc>
          <w:tcPr>
            <w:tcW w:w="1348" w:type="dxa"/>
          </w:tcPr>
          <w:p>
            <w:pPr>
              <w:pStyle w:val="TableParagraph"/>
              <w:spacing w:line="292" w:lineRule="exact"/>
              <w:ind w:left="264" w:right="256"/>
              <w:jc w:val="center"/>
              <w:rPr>
                <w:rFonts w:ascii="Calibri"/>
                <w:sz w:val="24"/>
              </w:rPr>
            </w:pPr>
            <w:r>
              <w:rPr>
                <w:rFonts w:ascii="Calibri"/>
                <w:spacing w:val="-2"/>
                <w:sz w:val="24"/>
              </w:rPr>
              <w:t>26,428</w:t>
            </w:r>
          </w:p>
        </w:tc>
        <w:tc>
          <w:tcPr>
            <w:tcW w:w="1530" w:type="dxa"/>
          </w:tcPr>
          <w:p>
            <w:pPr>
              <w:pStyle w:val="TableParagraph"/>
              <w:spacing w:line="292" w:lineRule="exact"/>
              <w:ind w:left="326" w:right="316"/>
              <w:jc w:val="center"/>
              <w:rPr>
                <w:rFonts w:ascii="Calibri"/>
                <w:sz w:val="24"/>
              </w:rPr>
            </w:pPr>
            <w:r>
              <w:rPr>
                <w:rFonts w:ascii="Calibri"/>
                <w:spacing w:val="-2"/>
                <w:sz w:val="24"/>
              </w:rPr>
              <w:t>22,992</w:t>
            </w:r>
          </w:p>
        </w:tc>
        <w:tc>
          <w:tcPr>
            <w:tcW w:w="1280" w:type="dxa"/>
          </w:tcPr>
          <w:p>
            <w:pPr>
              <w:pStyle w:val="TableParagraph"/>
              <w:spacing w:line="292" w:lineRule="exact"/>
              <w:ind w:left="173" w:right="164"/>
              <w:jc w:val="center"/>
              <w:rPr>
                <w:rFonts w:ascii="Calibri"/>
                <w:sz w:val="24"/>
              </w:rPr>
            </w:pPr>
            <w:r>
              <w:rPr>
                <w:rFonts w:ascii="Calibri"/>
                <w:spacing w:val="-5"/>
                <w:sz w:val="24"/>
              </w:rPr>
              <w:t>87%</w:t>
            </w:r>
          </w:p>
        </w:tc>
        <w:tc>
          <w:tcPr>
            <w:tcW w:w="1326" w:type="dxa"/>
          </w:tcPr>
          <w:p>
            <w:pPr>
              <w:pStyle w:val="TableParagraph"/>
              <w:spacing w:line="292" w:lineRule="exact"/>
              <w:ind w:left="96" w:right="78"/>
              <w:jc w:val="center"/>
              <w:rPr>
                <w:rFonts w:ascii="Calibri"/>
                <w:sz w:val="24"/>
              </w:rPr>
            </w:pPr>
            <w:r>
              <w:rPr>
                <w:rFonts w:ascii="Calibri"/>
                <w:spacing w:val="-2"/>
                <w:sz w:val="24"/>
              </w:rPr>
              <w:t>3,436</w:t>
            </w:r>
          </w:p>
        </w:tc>
        <w:tc>
          <w:tcPr>
            <w:tcW w:w="1350" w:type="dxa"/>
          </w:tcPr>
          <w:p>
            <w:pPr>
              <w:pStyle w:val="TableParagraph"/>
              <w:spacing w:line="292" w:lineRule="exact"/>
              <w:ind w:left="113" w:right="96"/>
              <w:jc w:val="center"/>
              <w:rPr>
                <w:rFonts w:ascii="Calibri"/>
                <w:sz w:val="24"/>
              </w:rPr>
            </w:pPr>
            <w:r>
              <w:rPr>
                <w:rFonts w:ascii="Calibri"/>
                <w:spacing w:val="-5"/>
                <w:sz w:val="24"/>
              </w:rPr>
              <w:t>13%</w:t>
            </w:r>
          </w:p>
        </w:tc>
        <w:tc>
          <w:tcPr>
            <w:tcW w:w="1799" w:type="dxa"/>
          </w:tcPr>
          <w:p>
            <w:pPr>
              <w:pStyle w:val="TableParagraph"/>
              <w:spacing w:line="292" w:lineRule="exact"/>
              <w:ind w:left="347" w:right="271"/>
              <w:jc w:val="center"/>
              <w:rPr>
                <w:rFonts w:ascii="Calibri"/>
                <w:sz w:val="24"/>
              </w:rPr>
            </w:pPr>
            <w:r>
              <w:rPr>
                <w:rFonts w:ascii="Calibri"/>
                <w:spacing w:val="-2"/>
                <w:sz w:val="24"/>
              </w:rPr>
              <w:t>$1,458,791</w:t>
            </w:r>
          </w:p>
        </w:tc>
      </w:tr>
      <w:tr>
        <w:trPr>
          <w:trHeight w:val="337" w:hRule="atLeast"/>
        </w:trPr>
        <w:tc>
          <w:tcPr>
            <w:tcW w:w="1346" w:type="dxa"/>
          </w:tcPr>
          <w:p>
            <w:pPr>
              <w:pStyle w:val="TableParagraph"/>
              <w:spacing w:line="240" w:lineRule="auto" w:before="1"/>
              <w:ind w:left="107"/>
              <w:rPr>
                <w:rFonts w:ascii="Calibri"/>
                <w:sz w:val="24"/>
              </w:rPr>
            </w:pPr>
            <w:r>
              <w:rPr>
                <w:rFonts w:ascii="Calibri"/>
                <w:spacing w:val="-2"/>
                <w:sz w:val="24"/>
              </w:rPr>
              <w:t>Citylink</w:t>
            </w:r>
          </w:p>
        </w:tc>
        <w:tc>
          <w:tcPr>
            <w:tcW w:w="1348" w:type="dxa"/>
          </w:tcPr>
          <w:p>
            <w:pPr>
              <w:pStyle w:val="TableParagraph"/>
              <w:spacing w:line="240" w:lineRule="auto" w:before="1"/>
              <w:ind w:left="264" w:right="258"/>
              <w:jc w:val="center"/>
              <w:rPr>
                <w:rFonts w:ascii="Calibri"/>
                <w:sz w:val="24"/>
              </w:rPr>
            </w:pPr>
            <w:r>
              <w:rPr>
                <w:rFonts w:ascii="Calibri"/>
                <w:spacing w:val="-2"/>
                <w:sz w:val="24"/>
              </w:rPr>
              <w:t>117,660</w:t>
            </w:r>
          </w:p>
        </w:tc>
        <w:tc>
          <w:tcPr>
            <w:tcW w:w="1530" w:type="dxa"/>
          </w:tcPr>
          <w:p>
            <w:pPr>
              <w:pStyle w:val="TableParagraph"/>
              <w:spacing w:line="240" w:lineRule="auto" w:before="1"/>
              <w:ind w:left="326" w:right="313"/>
              <w:jc w:val="center"/>
              <w:rPr>
                <w:rFonts w:ascii="Calibri"/>
                <w:sz w:val="24"/>
              </w:rPr>
            </w:pPr>
            <w:r>
              <w:rPr>
                <w:rFonts w:ascii="Calibri"/>
                <w:spacing w:val="-2"/>
                <w:sz w:val="24"/>
              </w:rPr>
              <w:t>105,689</w:t>
            </w:r>
          </w:p>
        </w:tc>
        <w:tc>
          <w:tcPr>
            <w:tcW w:w="1280" w:type="dxa"/>
          </w:tcPr>
          <w:p>
            <w:pPr>
              <w:pStyle w:val="TableParagraph"/>
              <w:spacing w:line="240" w:lineRule="auto" w:before="1"/>
              <w:ind w:left="173" w:right="164"/>
              <w:jc w:val="center"/>
              <w:rPr>
                <w:rFonts w:ascii="Calibri"/>
                <w:sz w:val="24"/>
              </w:rPr>
            </w:pPr>
            <w:r>
              <w:rPr>
                <w:rFonts w:ascii="Calibri"/>
                <w:spacing w:val="-2"/>
                <w:sz w:val="24"/>
              </w:rPr>
              <w:t>89.83%</w:t>
            </w:r>
          </w:p>
        </w:tc>
        <w:tc>
          <w:tcPr>
            <w:tcW w:w="1326" w:type="dxa"/>
          </w:tcPr>
          <w:p>
            <w:pPr>
              <w:pStyle w:val="TableParagraph"/>
              <w:spacing w:line="240" w:lineRule="auto" w:before="1"/>
              <w:ind w:left="96" w:right="78"/>
              <w:jc w:val="center"/>
              <w:rPr>
                <w:rFonts w:ascii="Calibri"/>
                <w:sz w:val="24"/>
              </w:rPr>
            </w:pPr>
            <w:r>
              <w:rPr>
                <w:rFonts w:ascii="Calibri"/>
                <w:spacing w:val="-2"/>
                <w:sz w:val="24"/>
              </w:rPr>
              <w:t>11,971</w:t>
            </w:r>
          </w:p>
        </w:tc>
        <w:tc>
          <w:tcPr>
            <w:tcW w:w="1350" w:type="dxa"/>
          </w:tcPr>
          <w:p>
            <w:pPr>
              <w:pStyle w:val="TableParagraph"/>
              <w:spacing w:line="240" w:lineRule="auto" w:before="1"/>
              <w:ind w:left="113" w:right="96"/>
              <w:jc w:val="center"/>
              <w:rPr>
                <w:rFonts w:ascii="Calibri"/>
                <w:sz w:val="24"/>
              </w:rPr>
            </w:pPr>
            <w:r>
              <w:rPr>
                <w:rFonts w:ascii="Calibri"/>
                <w:spacing w:val="-2"/>
                <w:sz w:val="24"/>
              </w:rPr>
              <w:t>10.17%</w:t>
            </w:r>
          </w:p>
        </w:tc>
        <w:tc>
          <w:tcPr>
            <w:tcW w:w="1799" w:type="dxa"/>
          </w:tcPr>
          <w:p>
            <w:pPr>
              <w:pStyle w:val="TableParagraph"/>
              <w:spacing w:line="240" w:lineRule="auto" w:before="1"/>
              <w:ind w:left="347" w:right="271"/>
              <w:jc w:val="center"/>
              <w:rPr>
                <w:rFonts w:ascii="Calibri"/>
                <w:sz w:val="24"/>
              </w:rPr>
            </w:pPr>
            <w:r>
              <w:rPr>
                <w:rFonts w:ascii="Calibri"/>
                <w:spacing w:val="-2"/>
                <w:sz w:val="24"/>
              </w:rPr>
              <w:t>$1,276,560</w:t>
            </w:r>
          </w:p>
        </w:tc>
      </w:tr>
      <w:tr>
        <w:trPr>
          <w:trHeight w:val="673" w:hRule="atLeast"/>
        </w:trPr>
        <w:tc>
          <w:tcPr>
            <w:tcW w:w="1346" w:type="dxa"/>
          </w:tcPr>
          <w:p>
            <w:pPr>
              <w:pStyle w:val="TableParagraph"/>
              <w:spacing w:line="292" w:lineRule="exact"/>
              <w:ind w:left="107"/>
              <w:rPr>
                <w:rFonts w:ascii="Calibri"/>
                <w:sz w:val="24"/>
              </w:rPr>
            </w:pPr>
            <w:r>
              <w:rPr>
                <w:rFonts w:ascii="Calibri"/>
                <w:spacing w:val="-2"/>
                <w:sz w:val="24"/>
              </w:rPr>
              <w:t>Comm.</w:t>
            </w:r>
          </w:p>
          <w:p>
            <w:pPr>
              <w:pStyle w:val="TableParagraph"/>
              <w:spacing w:line="240" w:lineRule="auto" w:before="45"/>
              <w:ind w:left="107"/>
              <w:rPr>
                <w:rFonts w:ascii="Calibri"/>
                <w:sz w:val="24"/>
              </w:rPr>
            </w:pPr>
            <w:r>
              <w:rPr>
                <w:rFonts w:ascii="Calibri"/>
                <w:spacing w:val="-2"/>
                <w:sz w:val="24"/>
              </w:rPr>
              <w:t>Conn.</w:t>
            </w:r>
          </w:p>
        </w:tc>
        <w:tc>
          <w:tcPr>
            <w:tcW w:w="1348" w:type="dxa"/>
          </w:tcPr>
          <w:p>
            <w:pPr>
              <w:pStyle w:val="TableParagraph"/>
              <w:spacing w:line="292" w:lineRule="exact"/>
              <w:ind w:left="264" w:right="256"/>
              <w:jc w:val="center"/>
              <w:rPr>
                <w:rFonts w:ascii="Calibri"/>
                <w:sz w:val="24"/>
              </w:rPr>
            </w:pPr>
            <w:r>
              <w:rPr>
                <w:rFonts w:ascii="Calibri"/>
                <w:spacing w:val="-2"/>
                <w:sz w:val="24"/>
              </w:rPr>
              <w:t>41,526</w:t>
            </w:r>
          </w:p>
        </w:tc>
        <w:tc>
          <w:tcPr>
            <w:tcW w:w="1530" w:type="dxa"/>
          </w:tcPr>
          <w:p>
            <w:pPr>
              <w:pStyle w:val="TableParagraph"/>
              <w:spacing w:line="292" w:lineRule="exact"/>
              <w:ind w:left="326" w:right="316"/>
              <w:jc w:val="center"/>
              <w:rPr>
                <w:rFonts w:ascii="Calibri"/>
                <w:sz w:val="24"/>
              </w:rPr>
            </w:pPr>
            <w:r>
              <w:rPr>
                <w:rFonts w:ascii="Calibri"/>
                <w:spacing w:val="-2"/>
                <w:sz w:val="24"/>
              </w:rPr>
              <w:t>37,297</w:t>
            </w:r>
          </w:p>
        </w:tc>
        <w:tc>
          <w:tcPr>
            <w:tcW w:w="1280" w:type="dxa"/>
          </w:tcPr>
          <w:p>
            <w:pPr>
              <w:pStyle w:val="TableParagraph"/>
              <w:spacing w:line="292" w:lineRule="exact"/>
              <w:ind w:left="173" w:right="164"/>
              <w:jc w:val="center"/>
              <w:rPr>
                <w:rFonts w:ascii="Calibri"/>
                <w:sz w:val="24"/>
              </w:rPr>
            </w:pPr>
            <w:r>
              <w:rPr>
                <w:rFonts w:ascii="Calibri"/>
                <w:spacing w:val="-2"/>
                <w:sz w:val="24"/>
              </w:rPr>
              <w:t>89.82%</w:t>
            </w:r>
          </w:p>
        </w:tc>
        <w:tc>
          <w:tcPr>
            <w:tcW w:w="1326" w:type="dxa"/>
          </w:tcPr>
          <w:p>
            <w:pPr>
              <w:pStyle w:val="TableParagraph"/>
              <w:spacing w:line="292" w:lineRule="exact"/>
              <w:ind w:left="96" w:right="78"/>
              <w:jc w:val="center"/>
              <w:rPr>
                <w:rFonts w:ascii="Calibri"/>
                <w:sz w:val="24"/>
              </w:rPr>
            </w:pPr>
            <w:r>
              <w:rPr>
                <w:rFonts w:ascii="Calibri"/>
                <w:spacing w:val="-2"/>
                <w:sz w:val="24"/>
              </w:rPr>
              <w:t>4,229</w:t>
            </w:r>
          </w:p>
        </w:tc>
        <w:tc>
          <w:tcPr>
            <w:tcW w:w="1350" w:type="dxa"/>
          </w:tcPr>
          <w:p>
            <w:pPr>
              <w:pStyle w:val="TableParagraph"/>
              <w:spacing w:line="292" w:lineRule="exact"/>
              <w:ind w:left="113" w:right="96"/>
              <w:jc w:val="center"/>
              <w:rPr>
                <w:rFonts w:ascii="Calibri"/>
                <w:sz w:val="24"/>
              </w:rPr>
            </w:pPr>
            <w:r>
              <w:rPr>
                <w:rFonts w:ascii="Calibri"/>
                <w:spacing w:val="-2"/>
                <w:sz w:val="24"/>
              </w:rPr>
              <w:t>10.18%</w:t>
            </w:r>
          </w:p>
        </w:tc>
        <w:tc>
          <w:tcPr>
            <w:tcW w:w="1799" w:type="dxa"/>
          </w:tcPr>
          <w:p>
            <w:pPr>
              <w:pStyle w:val="TableParagraph"/>
              <w:spacing w:line="292" w:lineRule="exact"/>
              <w:ind w:left="318" w:right="300"/>
              <w:jc w:val="center"/>
              <w:rPr>
                <w:rFonts w:ascii="Calibri"/>
                <w:sz w:val="24"/>
              </w:rPr>
            </w:pPr>
            <w:r>
              <w:rPr>
                <w:rFonts w:ascii="Calibri"/>
                <w:spacing w:val="-2"/>
                <w:sz w:val="24"/>
              </w:rPr>
              <w:t>$2,339,400</w:t>
            </w:r>
          </w:p>
        </w:tc>
      </w:tr>
    </w:tbl>
    <w:p>
      <w:pPr>
        <w:spacing w:before="5"/>
        <w:ind w:left="840" w:right="935" w:firstLine="0"/>
        <w:jc w:val="left"/>
        <w:rPr>
          <w:sz w:val="20"/>
        </w:rPr>
      </w:pPr>
      <w:r>
        <w:rPr>
          <w:sz w:val="20"/>
        </w:rPr>
        <w:t>Note:</w:t>
      </w:r>
      <w:r>
        <w:rPr>
          <w:spacing w:val="-4"/>
          <w:sz w:val="20"/>
        </w:rPr>
        <w:t> </w:t>
      </w:r>
      <w:r>
        <w:rPr>
          <w:sz w:val="20"/>
        </w:rPr>
        <w:t>Metro</w:t>
      </w:r>
      <w:r>
        <w:rPr>
          <w:spacing w:val="-3"/>
          <w:sz w:val="20"/>
        </w:rPr>
        <w:t> </w:t>
      </w:r>
      <w:r>
        <w:rPr>
          <w:sz w:val="20"/>
        </w:rPr>
        <w:t>serves</w:t>
      </w:r>
      <w:r>
        <w:rPr>
          <w:spacing w:val="-2"/>
          <w:sz w:val="20"/>
        </w:rPr>
        <w:t> </w:t>
      </w:r>
      <w:r>
        <w:rPr>
          <w:sz w:val="20"/>
        </w:rPr>
        <w:t>the</w:t>
      </w:r>
      <w:r>
        <w:rPr>
          <w:spacing w:val="-4"/>
          <w:sz w:val="20"/>
        </w:rPr>
        <w:t> </w:t>
      </w:r>
      <w:r>
        <w:rPr>
          <w:sz w:val="20"/>
        </w:rPr>
        <w:t>greater</w:t>
      </w:r>
      <w:r>
        <w:rPr>
          <w:spacing w:val="-3"/>
          <w:sz w:val="20"/>
        </w:rPr>
        <w:t> </w:t>
      </w:r>
      <w:r>
        <w:rPr>
          <w:sz w:val="20"/>
        </w:rPr>
        <w:t>Portland</w:t>
      </w:r>
      <w:r>
        <w:rPr>
          <w:spacing w:val="-2"/>
          <w:sz w:val="20"/>
        </w:rPr>
        <w:t> </w:t>
      </w:r>
      <w:r>
        <w:rPr>
          <w:sz w:val="20"/>
        </w:rPr>
        <w:t>area;</w:t>
      </w:r>
      <w:r>
        <w:rPr>
          <w:spacing w:val="-4"/>
          <w:sz w:val="20"/>
        </w:rPr>
        <w:t> </w:t>
      </w:r>
      <w:r>
        <w:rPr>
          <w:sz w:val="20"/>
        </w:rPr>
        <w:t>the</w:t>
      </w:r>
      <w:r>
        <w:rPr>
          <w:spacing w:val="-4"/>
          <w:sz w:val="20"/>
        </w:rPr>
        <w:t> </w:t>
      </w:r>
      <w:r>
        <w:rPr>
          <w:sz w:val="20"/>
        </w:rPr>
        <w:t>South</w:t>
      </w:r>
      <w:r>
        <w:rPr>
          <w:spacing w:val="-2"/>
          <w:sz w:val="20"/>
        </w:rPr>
        <w:t> </w:t>
      </w:r>
      <w:r>
        <w:rPr>
          <w:sz w:val="20"/>
        </w:rPr>
        <w:t>Portland</w:t>
      </w:r>
      <w:r>
        <w:rPr>
          <w:spacing w:val="-2"/>
          <w:sz w:val="20"/>
        </w:rPr>
        <w:t> </w:t>
      </w:r>
      <w:r>
        <w:rPr>
          <w:sz w:val="20"/>
        </w:rPr>
        <w:t>Bus</w:t>
      </w:r>
      <w:r>
        <w:rPr>
          <w:spacing w:val="-2"/>
          <w:sz w:val="20"/>
        </w:rPr>
        <w:t> </w:t>
      </w:r>
      <w:r>
        <w:rPr>
          <w:sz w:val="20"/>
        </w:rPr>
        <w:t>services</w:t>
      </w:r>
      <w:r>
        <w:rPr>
          <w:spacing w:val="-2"/>
          <w:sz w:val="20"/>
        </w:rPr>
        <w:t> </w:t>
      </w:r>
      <w:r>
        <w:rPr>
          <w:sz w:val="20"/>
        </w:rPr>
        <w:t>the</w:t>
      </w:r>
      <w:r>
        <w:rPr>
          <w:spacing w:val="-4"/>
          <w:sz w:val="20"/>
        </w:rPr>
        <w:t> </w:t>
      </w:r>
      <w:r>
        <w:rPr>
          <w:sz w:val="20"/>
        </w:rPr>
        <w:t>City</w:t>
      </w:r>
      <w:r>
        <w:rPr>
          <w:spacing w:val="-2"/>
          <w:sz w:val="20"/>
        </w:rPr>
        <w:t> </w:t>
      </w:r>
      <w:r>
        <w:rPr>
          <w:sz w:val="20"/>
        </w:rPr>
        <w:t>of</w:t>
      </w:r>
      <w:r>
        <w:rPr>
          <w:spacing w:val="-4"/>
          <w:sz w:val="20"/>
        </w:rPr>
        <w:t> </w:t>
      </w:r>
      <w:r>
        <w:rPr>
          <w:sz w:val="20"/>
        </w:rPr>
        <w:t>South</w:t>
      </w:r>
      <w:r>
        <w:rPr>
          <w:spacing w:val="-2"/>
          <w:sz w:val="20"/>
        </w:rPr>
        <w:t> </w:t>
      </w:r>
      <w:r>
        <w:rPr>
          <w:sz w:val="20"/>
        </w:rPr>
        <w:t>Portland;</w:t>
      </w:r>
      <w:r>
        <w:rPr>
          <w:spacing w:val="-4"/>
          <w:sz w:val="20"/>
        </w:rPr>
        <w:t> </w:t>
      </w:r>
      <w:r>
        <w:rPr>
          <w:sz w:val="20"/>
        </w:rPr>
        <w:t>Citylink serves the Cities of Lewiston and Auburn, and Community Connector serves the greater Bangor/Brewer area.</w:t>
      </w:r>
    </w:p>
    <w:p>
      <w:pPr>
        <w:spacing w:line="243" w:lineRule="exact" w:before="0"/>
        <w:ind w:left="840" w:right="0" w:firstLine="0"/>
        <w:jc w:val="left"/>
        <w:rPr>
          <w:sz w:val="20"/>
        </w:rPr>
      </w:pPr>
      <w:r>
        <w:rPr>
          <w:sz w:val="20"/>
          <w:vertAlign w:val="superscript"/>
        </w:rPr>
        <w:t>1</w:t>
      </w:r>
      <w:r>
        <w:rPr>
          <w:sz w:val="20"/>
          <w:vertAlign w:val="baseline"/>
        </w:rPr>
        <w:t>Source:</w:t>
      </w:r>
      <w:r>
        <w:rPr>
          <w:spacing w:val="-8"/>
          <w:sz w:val="20"/>
          <w:vertAlign w:val="baseline"/>
        </w:rPr>
        <w:t> </w:t>
      </w:r>
      <w:r>
        <w:rPr>
          <w:sz w:val="20"/>
          <w:vertAlign w:val="baseline"/>
        </w:rPr>
        <w:t>American</w:t>
      </w:r>
      <w:r>
        <w:rPr>
          <w:spacing w:val="-6"/>
          <w:sz w:val="20"/>
          <w:vertAlign w:val="baseline"/>
        </w:rPr>
        <w:t> </w:t>
      </w:r>
      <w:r>
        <w:rPr>
          <w:sz w:val="20"/>
          <w:vertAlign w:val="baseline"/>
        </w:rPr>
        <w:t>Community</w:t>
      </w:r>
      <w:r>
        <w:rPr>
          <w:spacing w:val="-7"/>
          <w:sz w:val="20"/>
          <w:vertAlign w:val="baseline"/>
        </w:rPr>
        <w:t> </w:t>
      </w:r>
      <w:r>
        <w:rPr>
          <w:sz w:val="20"/>
          <w:vertAlign w:val="baseline"/>
        </w:rPr>
        <w:t>Survey</w:t>
      </w:r>
      <w:r>
        <w:rPr>
          <w:spacing w:val="-6"/>
          <w:sz w:val="20"/>
          <w:vertAlign w:val="baseline"/>
        </w:rPr>
        <w:t> </w:t>
      </w:r>
      <w:r>
        <w:rPr>
          <w:sz w:val="20"/>
          <w:vertAlign w:val="baseline"/>
        </w:rPr>
        <w:t>5</w:t>
      </w:r>
      <w:r>
        <w:rPr>
          <w:spacing w:val="-7"/>
          <w:sz w:val="20"/>
          <w:vertAlign w:val="baseline"/>
        </w:rPr>
        <w:t> </w:t>
      </w:r>
      <w:r>
        <w:rPr>
          <w:sz w:val="20"/>
          <w:vertAlign w:val="baseline"/>
        </w:rPr>
        <w:t>Year</w:t>
      </w:r>
      <w:r>
        <w:rPr>
          <w:spacing w:val="-7"/>
          <w:sz w:val="20"/>
          <w:vertAlign w:val="baseline"/>
        </w:rPr>
        <w:t> </w:t>
      </w:r>
      <w:r>
        <w:rPr>
          <w:sz w:val="20"/>
          <w:vertAlign w:val="baseline"/>
        </w:rPr>
        <w:t>Estimates,</w:t>
      </w:r>
      <w:r>
        <w:rPr>
          <w:spacing w:val="-6"/>
          <w:sz w:val="20"/>
          <w:vertAlign w:val="baseline"/>
        </w:rPr>
        <w:t> </w:t>
      </w:r>
      <w:r>
        <w:rPr>
          <w:spacing w:val="-4"/>
          <w:sz w:val="20"/>
          <w:vertAlign w:val="baseline"/>
        </w:rPr>
        <w:t>2021</w:t>
      </w:r>
    </w:p>
    <w:p>
      <w:pPr>
        <w:spacing w:before="1"/>
        <w:ind w:left="840" w:right="0" w:firstLine="0"/>
        <w:jc w:val="left"/>
        <w:rPr>
          <w:sz w:val="20"/>
        </w:rPr>
      </w:pPr>
      <w:r>
        <w:rPr>
          <w:sz w:val="20"/>
          <w:vertAlign w:val="superscript"/>
        </w:rPr>
        <w:t>2</w:t>
      </w:r>
      <w:r>
        <w:rPr>
          <w:spacing w:val="-18"/>
          <w:sz w:val="20"/>
          <w:vertAlign w:val="baseline"/>
        </w:rPr>
        <w:t> </w:t>
      </w:r>
      <w:r>
        <w:rPr>
          <w:sz w:val="20"/>
          <w:vertAlign w:val="baseline"/>
        </w:rPr>
        <w:t>Source:</w:t>
      </w:r>
      <w:r>
        <w:rPr>
          <w:spacing w:val="-11"/>
          <w:sz w:val="20"/>
          <w:vertAlign w:val="baseline"/>
        </w:rPr>
        <w:t> </w:t>
      </w:r>
      <w:r>
        <w:rPr>
          <w:sz w:val="20"/>
          <w:vertAlign w:val="baseline"/>
        </w:rPr>
        <w:t>MaineDOT,</w:t>
      </w:r>
      <w:r>
        <w:rPr>
          <w:spacing w:val="-5"/>
          <w:sz w:val="20"/>
          <w:vertAlign w:val="baseline"/>
        </w:rPr>
        <w:t> </w:t>
      </w:r>
      <w:r>
        <w:rPr>
          <w:sz w:val="20"/>
          <w:vertAlign w:val="baseline"/>
        </w:rPr>
        <w:t>FFY</w:t>
      </w:r>
      <w:r>
        <w:rPr>
          <w:spacing w:val="-6"/>
          <w:sz w:val="20"/>
          <w:vertAlign w:val="baseline"/>
        </w:rPr>
        <w:t> </w:t>
      </w:r>
      <w:r>
        <w:rPr>
          <w:spacing w:val="-4"/>
          <w:sz w:val="20"/>
          <w:vertAlign w:val="baseline"/>
        </w:rPr>
        <w:t>2023</w:t>
      </w:r>
    </w:p>
    <w:p>
      <w:pPr>
        <w:pStyle w:val="BodyText"/>
        <w:spacing w:before="11"/>
        <w:rPr>
          <w:sz w:val="19"/>
        </w:rPr>
      </w:pPr>
    </w:p>
    <w:p>
      <w:pPr>
        <w:pStyle w:val="BodyText"/>
        <w:ind w:left="840"/>
      </w:pPr>
      <w:r>
        <w:rPr/>
        <w:t>Please</w:t>
      </w:r>
      <w:r>
        <w:rPr>
          <w:spacing w:val="40"/>
        </w:rPr>
        <w:t>  </w:t>
      </w:r>
      <w:r>
        <w:rPr/>
        <w:t>note</w:t>
      </w:r>
      <w:r>
        <w:rPr>
          <w:spacing w:val="40"/>
        </w:rPr>
        <w:t>  </w:t>
      </w:r>
      <w:r>
        <w:rPr/>
        <w:t>that</w:t>
      </w:r>
      <w:r>
        <w:rPr>
          <w:spacing w:val="40"/>
        </w:rPr>
        <w:t>  </w:t>
      </w:r>
      <w:r>
        <w:rPr/>
        <w:t>the</w:t>
      </w:r>
      <w:r>
        <w:rPr>
          <w:spacing w:val="40"/>
        </w:rPr>
        <w:t>  </w:t>
      </w:r>
      <w:r>
        <w:rPr/>
        <w:t>MaineDOT/FTA</w:t>
      </w:r>
      <w:r>
        <w:rPr>
          <w:spacing w:val="40"/>
        </w:rPr>
        <w:t>  </w:t>
      </w:r>
      <w:r>
        <w:rPr/>
        <w:t>Funding</w:t>
      </w:r>
      <w:r>
        <w:rPr>
          <w:spacing w:val="40"/>
        </w:rPr>
        <w:t>  </w:t>
      </w:r>
      <w:r>
        <w:rPr/>
        <w:t>amounts</w:t>
      </w:r>
      <w:r>
        <w:rPr>
          <w:spacing w:val="80"/>
          <w:w w:val="150"/>
        </w:rPr>
        <w:t> </w:t>
      </w:r>
      <w:r>
        <w:rPr/>
        <w:t>do</w:t>
      </w:r>
      <w:r>
        <w:rPr>
          <w:spacing w:val="40"/>
        </w:rPr>
        <w:t>  </w:t>
      </w:r>
      <w:r>
        <w:rPr/>
        <w:t>not</w:t>
      </w:r>
      <w:r>
        <w:rPr>
          <w:spacing w:val="40"/>
        </w:rPr>
        <w:t>  </w:t>
      </w:r>
      <w:r>
        <w:rPr/>
        <w:t>include</w:t>
      </w:r>
      <w:r>
        <w:rPr>
          <w:spacing w:val="40"/>
        </w:rPr>
        <w:t>  </w:t>
      </w:r>
      <w:r>
        <w:rPr/>
        <w:t>any</w:t>
      </w:r>
      <w:r>
        <w:rPr>
          <w:spacing w:val="40"/>
        </w:rPr>
        <w:t>  </w:t>
      </w:r>
      <w:r>
        <w:rPr/>
        <w:t>recent CARES/CRRSAA/ARPA contract amounts as those were unusual.</w:t>
      </w:r>
    </w:p>
    <w:p>
      <w:pPr>
        <w:pStyle w:val="BodyText"/>
      </w:pPr>
    </w:p>
    <w:p>
      <w:pPr>
        <w:pStyle w:val="BodyText"/>
        <w:ind w:left="840" w:right="933"/>
        <w:jc w:val="both"/>
      </w:pPr>
      <w:r>
        <w:rPr/>
        <w:t>The</w:t>
      </w:r>
      <w:r>
        <w:rPr>
          <w:spacing w:val="-14"/>
        </w:rPr>
        <w:t> </w:t>
      </w:r>
      <w:r>
        <w:rPr/>
        <w:t>data</w:t>
      </w:r>
      <w:r>
        <w:rPr>
          <w:spacing w:val="-13"/>
        </w:rPr>
        <w:t> </w:t>
      </w:r>
      <w:r>
        <w:rPr/>
        <w:t>in</w:t>
      </w:r>
      <w:r>
        <w:rPr>
          <w:spacing w:val="-12"/>
        </w:rPr>
        <w:t> </w:t>
      </w:r>
      <w:r>
        <w:rPr/>
        <w:t>the</w:t>
      </w:r>
      <w:r>
        <w:rPr>
          <w:spacing w:val="-13"/>
        </w:rPr>
        <w:t> </w:t>
      </w:r>
      <w:r>
        <w:rPr/>
        <w:t>table</w:t>
      </w:r>
      <w:r>
        <w:rPr>
          <w:spacing w:val="-13"/>
        </w:rPr>
        <w:t> </w:t>
      </w:r>
      <w:r>
        <w:rPr/>
        <w:t>above</w:t>
      </w:r>
      <w:r>
        <w:rPr>
          <w:spacing w:val="-11"/>
        </w:rPr>
        <w:t> </w:t>
      </w:r>
      <w:r>
        <w:rPr/>
        <w:t>is</w:t>
      </w:r>
      <w:r>
        <w:rPr>
          <w:spacing w:val="-14"/>
        </w:rPr>
        <w:t> </w:t>
      </w:r>
      <w:r>
        <w:rPr/>
        <w:t>presented</w:t>
      </w:r>
      <w:r>
        <w:rPr>
          <w:spacing w:val="-11"/>
        </w:rPr>
        <w:t> </w:t>
      </w:r>
      <w:r>
        <w:rPr/>
        <w:t>in</w:t>
      </w:r>
      <w:r>
        <w:rPr>
          <w:spacing w:val="-12"/>
        </w:rPr>
        <w:t> </w:t>
      </w:r>
      <w:r>
        <w:rPr/>
        <w:t>chart</w:t>
      </w:r>
      <w:r>
        <w:rPr>
          <w:spacing w:val="-12"/>
        </w:rPr>
        <w:t> </w:t>
      </w:r>
      <w:r>
        <w:rPr/>
        <w:t>form</w:t>
      </w:r>
      <w:r>
        <w:rPr>
          <w:spacing w:val="-13"/>
        </w:rPr>
        <w:t> </w:t>
      </w:r>
      <w:r>
        <w:rPr/>
        <w:t>below.</w:t>
      </w:r>
      <w:r>
        <w:rPr>
          <w:spacing w:val="29"/>
        </w:rPr>
        <w:t> </w:t>
      </w:r>
      <w:r>
        <w:rPr/>
        <w:t>The</w:t>
      </w:r>
      <w:r>
        <w:rPr>
          <w:spacing w:val="-13"/>
        </w:rPr>
        <w:t> </w:t>
      </w:r>
      <w:r>
        <w:rPr/>
        <w:t>funding</w:t>
      </w:r>
      <w:r>
        <w:rPr>
          <w:spacing w:val="-11"/>
        </w:rPr>
        <w:t> </w:t>
      </w:r>
      <w:r>
        <w:rPr/>
        <w:t>line</w:t>
      </w:r>
      <w:r>
        <w:rPr>
          <w:spacing w:val="-11"/>
        </w:rPr>
        <w:t> </w:t>
      </w:r>
      <w:r>
        <w:rPr/>
        <w:t>is</w:t>
      </w:r>
      <w:r>
        <w:rPr>
          <w:spacing w:val="-14"/>
        </w:rPr>
        <w:t> </w:t>
      </w:r>
      <w:r>
        <w:rPr/>
        <w:t>the</w:t>
      </w:r>
      <w:r>
        <w:rPr>
          <w:spacing w:val="-12"/>
        </w:rPr>
        <w:t> </w:t>
      </w:r>
      <w:r>
        <w:rPr/>
        <w:t>total</w:t>
      </w:r>
      <w:r>
        <w:rPr>
          <w:spacing w:val="-13"/>
        </w:rPr>
        <w:t> </w:t>
      </w:r>
      <w:r>
        <w:rPr/>
        <w:t>amount of FTA and MaineDOT funding.</w:t>
      </w:r>
      <w:r>
        <w:rPr>
          <w:spacing w:val="40"/>
        </w:rPr>
        <w:t> </w:t>
      </w:r>
      <w:r>
        <w:rPr/>
        <w:t>The minority factor is the minority population multiplied by </w:t>
      </w:r>
      <w:r>
        <w:rPr>
          <w:spacing w:val="-2"/>
        </w:rPr>
        <w:t>1,000.</w:t>
      </w:r>
    </w:p>
    <w:p>
      <w:pPr>
        <w:spacing w:after="0"/>
        <w:jc w:val="both"/>
        <w:sectPr>
          <w:pgSz w:w="12240" w:h="15840"/>
          <w:pgMar w:header="0" w:footer="997" w:top="960" w:bottom="1260" w:left="600" w:right="500"/>
        </w:sectPr>
      </w:pPr>
    </w:p>
    <w:p>
      <w:pPr>
        <w:pStyle w:val="Heading9"/>
        <w:spacing w:before="35"/>
        <w:ind w:left="840"/>
      </w:pPr>
      <w:r>
        <w:rPr/>
        <w:t>Fixed</w:t>
      </w:r>
      <w:r>
        <w:rPr>
          <w:spacing w:val="-1"/>
        </w:rPr>
        <w:t> </w:t>
      </w:r>
      <w:r>
        <w:rPr/>
        <w:t>Route</w:t>
      </w:r>
      <w:r>
        <w:rPr>
          <w:spacing w:val="-1"/>
        </w:rPr>
        <w:t> </w:t>
      </w:r>
      <w:r>
        <w:rPr/>
        <w:t>Funding</w:t>
      </w:r>
      <w:r>
        <w:rPr>
          <w:spacing w:val="-2"/>
        </w:rPr>
        <w:t> </w:t>
      </w:r>
      <w:r>
        <w:rPr/>
        <w:t>vs</w:t>
      </w:r>
      <w:r>
        <w:rPr>
          <w:spacing w:val="-5"/>
        </w:rPr>
        <w:t> </w:t>
      </w:r>
      <w:r>
        <w:rPr/>
        <w:t>Minority</w:t>
      </w:r>
      <w:r>
        <w:rPr>
          <w:spacing w:val="-1"/>
        </w:rPr>
        <w:t> </w:t>
      </w:r>
      <w:r>
        <w:rPr>
          <w:spacing w:val="-2"/>
        </w:rPr>
        <w:t>Factor</w:t>
      </w:r>
    </w:p>
    <w:p>
      <w:pPr>
        <w:pStyle w:val="BodyText"/>
        <w:spacing w:before="3"/>
        <w:rPr>
          <w:b/>
          <w:sz w:val="22"/>
        </w:rPr>
      </w:pPr>
      <w:r>
        <w:rPr/>
        <mc:AlternateContent>
          <mc:Choice Requires="wps">
            <w:drawing>
              <wp:anchor distT="0" distB="0" distL="0" distR="0" allowOverlap="1" layoutInCell="1" locked="0" behindDoc="1" simplePos="0" relativeHeight="487597056">
                <wp:simplePos x="0" y="0"/>
                <wp:positionH relativeFrom="page">
                  <wp:posOffset>914400</wp:posOffset>
                </wp:positionH>
                <wp:positionV relativeFrom="paragraph">
                  <wp:posOffset>187728</wp:posOffset>
                </wp:positionV>
                <wp:extent cx="5308600" cy="2468880"/>
                <wp:effectExtent l="0" t="0" r="0" b="0"/>
                <wp:wrapTopAndBottom/>
                <wp:docPr id="44" name="Group 44"/>
                <wp:cNvGraphicFramePr>
                  <a:graphicFrameLocks/>
                </wp:cNvGraphicFramePr>
                <a:graphic>
                  <a:graphicData uri="http://schemas.microsoft.com/office/word/2010/wordprocessingGroup">
                    <wpg:wgp>
                      <wpg:cNvPr id="44" name="Group 44"/>
                      <wpg:cNvGrpSpPr/>
                      <wpg:grpSpPr>
                        <a:xfrm>
                          <a:off x="0" y="0"/>
                          <a:ext cx="5308600" cy="2468880"/>
                          <a:chExt cx="5308600" cy="2468880"/>
                        </a:xfrm>
                      </wpg:grpSpPr>
                      <wps:wsp>
                        <wps:cNvPr id="45" name="Graphic 45"/>
                        <wps:cNvSpPr/>
                        <wps:spPr>
                          <a:xfrm>
                            <a:off x="0" y="0"/>
                            <a:ext cx="5308600" cy="2468880"/>
                          </a:xfrm>
                          <a:custGeom>
                            <a:avLst/>
                            <a:gdLst/>
                            <a:ahLst/>
                            <a:cxnLst/>
                            <a:rect l="l" t="t" r="r" b="b"/>
                            <a:pathLst>
                              <a:path w="5308600" h="2468880">
                                <a:moveTo>
                                  <a:pt x="5308092" y="0"/>
                                </a:moveTo>
                                <a:lnTo>
                                  <a:pt x="5302008" y="0"/>
                                </a:lnTo>
                                <a:lnTo>
                                  <a:pt x="5301996" y="6096"/>
                                </a:lnTo>
                                <a:lnTo>
                                  <a:pt x="5301996" y="2462784"/>
                                </a:lnTo>
                                <a:lnTo>
                                  <a:pt x="6096" y="2462784"/>
                                </a:lnTo>
                                <a:lnTo>
                                  <a:pt x="6096" y="6096"/>
                                </a:lnTo>
                                <a:lnTo>
                                  <a:pt x="5301996" y="6096"/>
                                </a:lnTo>
                                <a:lnTo>
                                  <a:pt x="5301996" y="0"/>
                                </a:lnTo>
                                <a:lnTo>
                                  <a:pt x="6096" y="0"/>
                                </a:lnTo>
                                <a:lnTo>
                                  <a:pt x="0" y="0"/>
                                </a:lnTo>
                                <a:lnTo>
                                  <a:pt x="0" y="6083"/>
                                </a:lnTo>
                                <a:lnTo>
                                  <a:pt x="0" y="2462784"/>
                                </a:lnTo>
                                <a:lnTo>
                                  <a:pt x="0" y="2468880"/>
                                </a:lnTo>
                                <a:lnTo>
                                  <a:pt x="6096" y="2468880"/>
                                </a:lnTo>
                                <a:lnTo>
                                  <a:pt x="5301996" y="2468880"/>
                                </a:lnTo>
                                <a:lnTo>
                                  <a:pt x="5308092" y="2468880"/>
                                </a:lnTo>
                                <a:lnTo>
                                  <a:pt x="5308092" y="2462784"/>
                                </a:lnTo>
                                <a:lnTo>
                                  <a:pt x="5308092" y="6096"/>
                                </a:lnTo>
                                <a:lnTo>
                                  <a:pt x="5308092"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785188" y="146024"/>
                            <a:ext cx="3003550" cy="1704339"/>
                          </a:xfrm>
                          <a:custGeom>
                            <a:avLst/>
                            <a:gdLst/>
                            <a:ahLst/>
                            <a:cxnLst/>
                            <a:rect l="l" t="t" r="r" b="b"/>
                            <a:pathLst>
                              <a:path w="3003550" h="1704339">
                                <a:moveTo>
                                  <a:pt x="0" y="1704111"/>
                                </a:moveTo>
                                <a:lnTo>
                                  <a:pt x="3003029" y="1704111"/>
                                </a:lnTo>
                              </a:path>
                              <a:path w="3003550" h="1704339">
                                <a:moveTo>
                                  <a:pt x="0" y="1420647"/>
                                </a:moveTo>
                                <a:lnTo>
                                  <a:pt x="3003029" y="1420647"/>
                                </a:lnTo>
                              </a:path>
                              <a:path w="3003550" h="1704339">
                                <a:moveTo>
                                  <a:pt x="0" y="1137183"/>
                                </a:moveTo>
                                <a:lnTo>
                                  <a:pt x="3003029" y="1137183"/>
                                </a:lnTo>
                              </a:path>
                              <a:path w="3003550" h="1704339">
                                <a:moveTo>
                                  <a:pt x="0" y="852195"/>
                                </a:moveTo>
                                <a:lnTo>
                                  <a:pt x="3003029" y="852195"/>
                                </a:lnTo>
                              </a:path>
                              <a:path w="3003550" h="1704339">
                                <a:moveTo>
                                  <a:pt x="0" y="568731"/>
                                </a:moveTo>
                                <a:lnTo>
                                  <a:pt x="3003029" y="568731"/>
                                </a:lnTo>
                              </a:path>
                              <a:path w="3003550" h="1704339">
                                <a:moveTo>
                                  <a:pt x="0" y="283743"/>
                                </a:moveTo>
                                <a:lnTo>
                                  <a:pt x="3003029" y="283743"/>
                                </a:lnTo>
                              </a:path>
                              <a:path w="3003550" h="1704339">
                                <a:moveTo>
                                  <a:pt x="0" y="0"/>
                                </a:moveTo>
                                <a:lnTo>
                                  <a:pt x="3003029" y="0"/>
                                </a:lnTo>
                              </a:path>
                            </a:pathLst>
                          </a:custGeom>
                          <a:ln w="9525">
                            <a:solidFill>
                              <a:srgbClr val="858585"/>
                            </a:solidFill>
                            <a:prstDash val="solid"/>
                          </a:ln>
                        </wps:spPr>
                        <wps:bodyPr wrap="square" lIns="0" tIns="0" rIns="0" bIns="0" rtlCol="0">
                          <a:prstTxWarp prst="textNoShape">
                            <a:avLst/>
                          </a:prstTxWarp>
                          <a:noAutofit/>
                        </wps:bodyPr>
                      </wps:wsp>
                      <wps:wsp>
                        <wps:cNvPr id="47" name="Graphic 47"/>
                        <wps:cNvSpPr/>
                        <wps:spPr>
                          <a:xfrm>
                            <a:off x="785188" y="146024"/>
                            <a:ext cx="1270" cy="1988820"/>
                          </a:xfrm>
                          <a:custGeom>
                            <a:avLst/>
                            <a:gdLst/>
                            <a:ahLst/>
                            <a:cxnLst/>
                            <a:rect l="l" t="t" r="r" b="b"/>
                            <a:pathLst>
                              <a:path w="0" h="1988820">
                                <a:moveTo>
                                  <a:pt x="0" y="1988769"/>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48" name="Graphic 48"/>
                        <wps:cNvSpPr/>
                        <wps:spPr>
                          <a:xfrm>
                            <a:off x="744888" y="146024"/>
                            <a:ext cx="40640" cy="1988820"/>
                          </a:xfrm>
                          <a:custGeom>
                            <a:avLst/>
                            <a:gdLst/>
                            <a:ahLst/>
                            <a:cxnLst/>
                            <a:rect l="l" t="t" r="r" b="b"/>
                            <a:pathLst>
                              <a:path w="40640" h="1988820">
                                <a:moveTo>
                                  <a:pt x="0" y="1988769"/>
                                </a:moveTo>
                                <a:lnTo>
                                  <a:pt x="40297" y="1988769"/>
                                </a:lnTo>
                              </a:path>
                              <a:path w="40640" h="1988820">
                                <a:moveTo>
                                  <a:pt x="0" y="1704111"/>
                                </a:moveTo>
                                <a:lnTo>
                                  <a:pt x="40297" y="1704111"/>
                                </a:lnTo>
                              </a:path>
                              <a:path w="40640" h="1988820">
                                <a:moveTo>
                                  <a:pt x="0" y="1420647"/>
                                </a:moveTo>
                                <a:lnTo>
                                  <a:pt x="40297" y="1420647"/>
                                </a:lnTo>
                              </a:path>
                              <a:path w="40640" h="1988820">
                                <a:moveTo>
                                  <a:pt x="0" y="1137183"/>
                                </a:moveTo>
                                <a:lnTo>
                                  <a:pt x="40297" y="1137183"/>
                                </a:lnTo>
                              </a:path>
                              <a:path w="40640" h="1988820">
                                <a:moveTo>
                                  <a:pt x="0" y="852195"/>
                                </a:moveTo>
                                <a:lnTo>
                                  <a:pt x="40297" y="852195"/>
                                </a:lnTo>
                              </a:path>
                              <a:path w="40640" h="1988820">
                                <a:moveTo>
                                  <a:pt x="0" y="568731"/>
                                </a:moveTo>
                                <a:lnTo>
                                  <a:pt x="40297" y="568731"/>
                                </a:lnTo>
                              </a:path>
                              <a:path w="40640" h="1988820">
                                <a:moveTo>
                                  <a:pt x="0" y="283743"/>
                                </a:moveTo>
                                <a:lnTo>
                                  <a:pt x="40297" y="283743"/>
                                </a:lnTo>
                              </a:path>
                              <a:path w="40640" h="1988820">
                                <a:moveTo>
                                  <a:pt x="0" y="0"/>
                                </a:moveTo>
                                <a:lnTo>
                                  <a:pt x="40297" y="0"/>
                                </a:lnTo>
                              </a:path>
                            </a:pathLst>
                          </a:custGeom>
                          <a:ln w="9525">
                            <a:solidFill>
                              <a:srgbClr val="858585"/>
                            </a:solidFill>
                            <a:prstDash val="solid"/>
                          </a:ln>
                        </wps:spPr>
                        <wps:bodyPr wrap="square" lIns="0" tIns="0" rIns="0" bIns="0" rtlCol="0">
                          <a:prstTxWarp prst="textNoShape">
                            <a:avLst/>
                          </a:prstTxWarp>
                          <a:noAutofit/>
                        </wps:bodyPr>
                      </wps:wsp>
                      <wps:wsp>
                        <wps:cNvPr id="49" name="Graphic 49"/>
                        <wps:cNvSpPr/>
                        <wps:spPr>
                          <a:xfrm>
                            <a:off x="785188" y="2134793"/>
                            <a:ext cx="3003550" cy="40640"/>
                          </a:xfrm>
                          <a:custGeom>
                            <a:avLst/>
                            <a:gdLst/>
                            <a:ahLst/>
                            <a:cxnLst/>
                            <a:rect l="l" t="t" r="r" b="b"/>
                            <a:pathLst>
                              <a:path w="3003550" h="40640">
                                <a:moveTo>
                                  <a:pt x="0" y="0"/>
                                </a:moveTo>
                                <a:lnTo>
                                  <a:pt x="3003029" y="0"/>
                                </a:lnTo>
                              </a:path>
                              <a:path w="3003550" h="40640">
                                <a:moveTo>
                                  <a:pt x="0" y="0"/>
                                </a:moveTo>
                                <a:lnTo>
                                  <a:pt x="0" y="40297"/>
                                </a:lnTo>
                              </a:path>
                              <a:path w="3003550" h="40640">
                                <a:moveTo>
                                  <a:pt x="751001" y="0"/>
                                </a:moveTo>
                                <a:lnTo>
                                  <a:pt x="751001" y="40297"/>
                                </a:lnTo>
                              </a:path>
                              <a:path w="3003550" h="40640">
                                <a:moveTo>
                                  <a:pt x="1500809" y="0"/>
                                </a:moveTo>
                                <a:lnTo>
                                  <a:pt x="1500809" y="40297"/>
                                </a:lnTo>
                              </a:path>
                              <a:path w="3003550" h="40640">
                                <a:moveTo>
                                  <a:pt x="2252141" y="0"/>
                                </a:moveTo>
                                <a:lnTo>
                                  <a:pt x="2252141" y="40297"/>
                                </a:lnTo>
                              </a:path>
                              <a:path w="3003550" h="40640">
                                <a:moveTo>
                                  <a:pt x="3003029" y="0"/>
                                </a:moveTo>
                                <a:lnTo>
                                  <a:pt x="3003029" y="40297"/>
                                </a:lnTo>
                              </a:path>
                            </a:pathLst>
                          </a:custGeom>
                          <a:ln w="9525">
                            <a:solidFill>
                              <a:srgbClr val="858585"/>
                            </a:solidFill>
                            <a:prstDash val="solid"/>
                          </a:ln>
                        </wps:spPr>
                        <wps:bodyPr wrap="square" lIns="0" tIns="0" rIns="0" bIns="0" rtlCol="0">
                          <a:prstTxWarp prst="textNoShape">
                            <a:avLst/>
                          </a:prstTxWarp>
                          <a:noAutofit/>
                        </wps:bodyPr>
                      </wps:wsp>
                      <wps:wsp>
                        <wps:cNvPr id="50" name="Graphic 50"/>
                        <wps:cNvSpPr/>
                        <wps:spPr>
                          <a:xfrm>
                            <a:off x="1160566" y="1772121"/>
                            <a:ext cx="2252345" cy="290195"/>
                          </a:xfrm>
                          <a:custGeom>
                            <a:avLst/>
                            <a:gdLst/>
                            <a:ahLst/>
                            <a:cxnLst/>
                            <a:rect l="l" t="t" r="r" b="b"/>
                            <a:pathLst>
                              <a:path w="2252345" h="290195">
                                <a:moveTo>
                                  <a:pt x="0" y="0"/>
                                </a:moveTo>
                                <a:lnTo>
                                  <a:pt x="750531" y="279184"/>
                                </a:lnTo>
                                <a:lnTo>
                                  <a:pt x="1501863" y="290131"/>
                                </a:lnTo>
                                <a:lnTo>
                                  <a:pt x="2252268" y="230416"/>
                                </a:lnTo>
                              </a:path>
                            </a:pathLst>
                          </a:custGeom>
                          <a:ln w="28575">
                            <a:solidFill>
                              <a:srgbClr val="497DBA"/>
                            </a:solidFill>
                            <a:prstDash val="solid"/>
                          </a:ln>
                        </wps:spPr>
                        <wps:bodyPr wrap="square" lIns="0" tIns="0" rIns="0" bIns="0" rtlCol="0">
                          <a:prstTxWarp prst="textNoShape">
                            <a:avLst/>
                          </a:prstTxWarp>
                          <a:noAutofit/>
                        </wps:bodyPr>
                      </wps:wsp>
                      <wps:wsp>
                        <wps:cNvPr id="51" name="Graphic 51"/>
                        <wps:cNvSpPr/>
                        <wps:spPr>
                          <a:xfrm>
                            <a:off x="1160566" y="302628"/>
                            <a:ext cx="2252345" cy="1637030"/>
                          </a:xfrm>
                          <a:custGeom>
                            <a:avLst/>
                            <a:gdLst/>
                            <a:ahLst/>
                            <a:cxnLst/>
                            <a:rect l="l" t="t" r="r" b="b"/>
                            <a:pathLst>
                              <a:path w="2252345" h="1637030">
                                <a:moveTo>
                                  <a:pt x="0" y="0"/>
                                </a:moveTo>
                                <a:lnTo>
                                  <a:pt x="750531" y="1636928"/>
                                </a:lnTo>
                                <a:lnTo>
                                  <a:pt x="1501863" y="1151267"/>
                                </a:lnTo>
                                <a:lnTo>
                                  <a:pt x="2252268" y="1591703"/>
                                </a:lnTo>
                              </a:path>
                            </a:pathLst>
                          </a:custGeom>
                          <a:ln w="28575">
                            <a:solidFill>
                              <a:srgbClr val="BD4A47"/>
                            </a:solidFill>
                            <a:prstDash val="solid"/>
                          </a:ln>
                        </wps:spPr>
                        <wps:bodyPr wrap="square" lIns="0" tIns="0" rIns="0" bIns="0" rtlCol="0">
                          <a:prstTxWarp prst="textNoShape">
                            <a:avLst/>
                          </a:prstTxWarp>
                          <a:noAutofit/>
                        </wps:bodyPr>
                      </wps:wsp>
                      <wps:wsp>
                        <wps:cNvPr id="52" name="Graphic 52"/>
                        <wps:cNvSpPr/>
                        <wps:spPr>
                          <a:xfrm>
                            <a:off x="3970778" y="1208921"/>
                            <a:ext cx="243840" cy="1270"/>
                          </a:xfrm>
                          <a:custGeom>
                            <a:avLst/>
                            <a:gdLst/>
                            <a:ahLst/>
                            <a:cxnLst/>
                            <a:rect l="l" t="t" r="r" b="b"/>
                            <a:pathLst>
                              <a:path w="243840" h="0">
                                <a:moveTo>
                                  <a:pt x="0" y="0"/>
                                </a:moveTo>
                                <a:lnTo>
                                  <a:pt x="243840" y="0"/>
                                </a:lnTo>
                              </a:path>
                            </a:pathLst>
                          </a:custGeom>
                          <a:ln w="28575">
                            <a:solidFill>
                              <a:srgbClr val="497DBA"/>
                            </a:solidFill>
                            <a:prstDash val="solid"/>
                          </a:ln>
                        </wps:spPr>
                        <wps:bodyPr wrap="square" lIns="0" tIns="0" rIns="0" bIns="0" rtlCol="0">
                          <a:prstTxWarp prst="textNoShape">
                            <a:avLst/>
                          </a:prstTxWarp>
                          <a:noAutofit/>
                        </wps:bodyPr>
                      </wps:wsp>
                      <wps:wsp>
                        <wps:cNvPr id="53" name="Graphic 53"/>
                        <wps:cNvSpPr/>
                        <wps:spPr>
                          <a:xfrm>
                            <a:off x="3970778" y="1449701"/>
                            <a:ext cx="243840" cy="1270"/>
                          </a:xfrm>
                          <a:custGeom>
                            <a:avLst/>
                            <a:gdLst/>
                            <a:ahLst/>
                            <a:cxnLst/>
                            <a:rect l="l" t="t" r="r" b="b"/>
                            <a:pathLst>
                              <a:path w="243840" h="0">
                                <a:moveTo>
                                  <a:pt x="0" y="0"/>
                                </a:moveTo>
                                <a:lnTo>
                                  <a:pt x="243840" y="0"/>
                                </a:lnTo>
                              </a:path>
                            </a:pathLst>
                          </a:custGeom>
                          <a:ln w="28575">
                            <a:solidFill>
                              <a:srgbClr val="BD4A47"/>
                            </a:solidFill>
                            <a:prstDash val="solid"/>
                          </a:ln>
                        </wps:spPr>
                        <wps:bodyPr wrap="square" lIns="0" tIns="0" rIns="0" bIns="0" rtlCol="0">
                          <a:prstTxWarp prst="textNoShape">
                            <a:avLst/>
                          </a:prstTxWarp>
                          <a:noAutofit/>
                        </wps:bodyPr>
                      </wps:wsp>
                      <wps:wsp>
                        <wps:cNvPr id="54" name="Graphic 54"/>
                        <wps:cNvSpPr/>
                        <wps:spPr>
                          <a:xfrm>
                            <a:off x="6350" y="5029"/>
                            <a:ext cx="5295900" cy="2447925"/>
                          </a:xfrm>
                          <a:custGeom>
                            <a:avLst/>
                            <a:gdLst/>
                            <a:ahLst/>
                            <a:cxnLst/>
                            <a:rect l="l" t="t" r="r" b="b"/>
                            <a:pathLst>
                              <a:path w="5295900" h="2447925">
                                <a:moveTo>
                                  <a:pt x="0" y="0"/>
                                </a:moveTo>
                                <a:lnTo>
                                  <a:pt x="5295900" y="0"/>
                                </a:lnTo>
                                <a:lnTo>
                                  <a:pt x="5295900" y="2447925"/>
                                </a:lnTo>
                                <a:lnTo>
                                  <a:pt x="0" y="2447925"/>
                                </a:lnTo>
                                <a:lnTo>
                                  <a:pt x="0" y="0"/>
                                </a:lnTo>
                                <a:close/>
                              </a:path>
                            </a:pathLst>
                          </a:custGeom>
                          <a:ln w="9525">
                            <a:solidFill>
                              <a:srgbClr val="858585"/>
                            </a:solidFill>
                            <a:prstDash val="solid"/>
                          </a:ln>
                        </wps:spPr>
                        <wps:bodyPr wrap="square" lIns="0" tIns="0" rIns="0" bIns="0" rtlCol="0">
                          <a:prstTxWarp prst="textNoShape">
                            <a:avLst/>
                          </a:prstTxWarp>
                          <a:noAutofit/>
                        </wps:bodyPr>
                      </wps:wsp>
                      <wps:wsp>
                        <wps:cNvPr id="55" name="Textbox 55"/>
                        <wps:cNvSpPr txBox="1"/>
                        <wps:spPr>
                          <a:xfrm>
                            <a:off x="88933" y="87110"/>
                            <a:ext cx="590550" cy="1263015"/>
                          </a:xfrm>
                          <a:prstGeom prst="rect">
                            <a:avLst/>
                          </a:prstGeom>
                        </wps:spPr>
                        <wps:txbx>
                          <w:txbxContent>
                            <w:p>
                              <w:pPr>
                                <w:spacing w:line="203" w:lineRule="exact" w:before="0"/>
                                <w:ind w:left="0" w:right="0" w:firstLine="0"/>
                                <w:jc w:val="left"/>
                                <w:rPr>
                                  <w:sz w:val="20"/>
                                </w:rPr>
                              </w:pPr>
                              <w:r>
                                <w:rPr>
                                  <w:spacing w:val="-2"/>
                                  <w:sz w:val="20"/>
                                </w:rPr>
                                <w:t>35,000,000</w:t>
                              </w:r>
                            </w:p>
                            <w:p>
                              <w:pPr>
                                <w:spacing w:line="240" w:lineRule="auto" w:before="7"/>
                                <w:rPr>
                                  <w:sz w:val="16"/>
                                </w:rPr>
                              </w:pPr>
                            </w:p>
                            <w:p>
                              <w:pPr>
                                <w:spacing w:before="1"/>
                                <w:ind w:left="0" w:right="0" w:firstLine="0"/>
                                <w:jc w:val="left"/>
                                <w:rPr>
                                  <w:sz w:val="20"/>
                                </w:rPr>
                              </w:pPr>
                              <w:r>
                                <w:rPr>
                                  <w:spacing w:val="-2"/>
                                  <w:sz w:val="20"/>
                                </w:rPr>
                                <w:t>30,000,000</w:t>
                              </w:r>
                            </w:p>
                            <w:p>
                              <w:pPr>
                                <w:spacing w:line="240" w:lineRule="auto" w:before="7"/>
                                <w:rPr>
                                  <w:sz w:val="16"/>
                                </w:rPr>
                              </w:pPr>
                            </w:p>
                            <w:p>
                              <w:pPr>
                                <w:spacing w:before="1"/>
                                <w:ind w:left="0" w:right="0" w:firstLine="0"/>
                                <w:jc w:val="left"/>
                                <w:rPr>
                                  <w:sz w:val="20"/>
                                </w:rPr>
                              </w:pPr>
                              <w:r>
                                <w:rPr>
                                  <w:spacing w:val="-2"/>
                                  <w:sz w:val="20"/>
                                </w:rPr>
                                <w:t>25,000,000</w:t>
                              </w:r>
                            </w:p>
                            <w:p>
                              <w:pPr>
                                <w:spacing w:line="240" w:lineRule="auto" w:before="7"/>
                                <w:rPr>
                                  <w:sz w:val="16"/>
                                </w:rPr>
                              </w:pPr>
                            </w:p>
                            <w:p>
                              <w:pPr>
                                <w:spacing w:before="1"/>
                                <w:ind w:left="0" w:right="0" w:firstLine="0"/>
                                <w:jc w:val="left"/>
                                <w:rPr>
                                  <w:sz w:val="20"/>
                                </w:rPr>
                              </w:pPr>
                              <w:r>
                                <w:rPr>
                                  <w:spacing w:val="-2"/>
                                  <w:sz w:val="20"/>
                                </w:rPr>
                                <w:t>20,000,000</w:t>
                              </w:r>
                            </w:p>
                            <w:p>
                              <w:pPr>
                                <w:spacing w:line="240" w:lineRule="auto" w:before="7"/>
                                <w:rPr>
                                  <w:sz w:val="16"/>
                                </w:rPr>
                              </w:pPr>
                            </w:p>
                            <w:p>
                              <w:pPr>
                                <w:spacing w:line="240" w:lineRule="exact" w:before="1"/>
                                <w:ind w:left="0" w:right="0" w:firstLine="0"/>
                                <w:jc w:val="left"/>
                                <w:rPr>
                                  <w:sz w:val="20"/>
                                </w:rPr>
                              </w:pPr>
                              <w:r>
                                <w:rPr>
                                  <w:spacing w:val="-2"/>
                                  <w:sz w:val="20"/>
                                </w:rPr>
                                <w:t>15,000,000</w:t>
                              </w:r>
                            </w:p>
                          </w:txbxContent>
                        </wps:txbx>
                        <wps:bodyPr wrap="square" lIns="0" tIns="0" rIns="0" bIns="0" rtlCol="0">
                          <a:noAutofit/>
                        </wps:bodyPr>
                      </wps:wsp>
                      <wps:wsp>
                        <wps:cNvPr id="56" name="Textbox 56"/>
                        <wps:cNvSpPr txBox="1"/>
                        <wps:spPr>
                          <a:xfrm>
                            <a:off x="4240334" y="1149945"/>
                            <a:ext cx="900430" cy="367665"/>
                          </a:xfrm>
                          <a:prstGeom prst="rect">
                            <a:avLst/>
                          </a:prstGeom>
                        </wps:spPr>
                        <wps:txbx>
                          <w:txbxContent>
                            <w:p>
                              <w:pPr>
                                <w:spacing w:line="203" w:lineRule="exact" w:before="0"/>
                                <w:ind w:left="0" w:right="0" w:firstLine="0"/>
                                <w:jc w:val="left"/>
                                <w:rPr>
                                  <w:sz w:val="20"/>
                                </w:rPr>
                              </w:pPr>
                              <w:r>
                                <w:rPr>
                                  <w:sz w:val="20"/>
                                </w:rPr>
                                <w:t>$</w:t>
                              </w:r>
                              <w:r>
                                <w:rPr>
                                  <w:spacing w:val="-2"/>
                                  <w:sz w:val="20"/>
                                </w:rPr>
                                <w:t> FTA/MaineDOT</w:t>
                              </w:r>
                            </w:p>
                            <w:p>
                              <w:pPr>
                                <w:spacing w:line="240" w:lineRule="exact" w:before="135"/>
                                <w:ind w:left="0" w:right="0" w:firstLine="0"/>
                                <w:jc w:val="left"/>
                                <w:rPr>
                                  <w:sz w:val="20"/>
                                </w:rPr>
                              </w:pPr>
                              <w:r>
                                <w:rPr>
                                  <w:sz w:val="20"/>
                                </w:rPr>
                                <w:t>Minority</w:t>
                              </w:r>
                              <w:r>
                                <w:rPr>
                                  <w:spacing w:val="-10"/>
                                  <w:sz w:val="20"/>
                                </w:rPr>
                                <w:t> </w:t>
                              </w:r>
                              <w:r>
                                <w:rPr>
                                  <w:spacing w:val="-2"/>
                                  <w:sz w:val="20"/>
                                </w:rPr>
                                <w:t>Factor</w:t>
                              </w:r>
                            </w:p>
                          </w:txbxContent>
                        </wps:txbx>
                        <wps:bodyPr wrap="square" lIns="0" tIns="0" rIns="0" bIns="0" rtlCol="0">
                          <a:noAutofit/>
                        </wps:bodyPr>
                      </wps:wsp>
                      <wps:wsp>
                        <wps:cNvPr id="57" name="Textbox 57"/>
                        <wps:cNvSpPr txBox="1"/>
                        <wps:spPr>
                          <a:xfrm>
                            <a:off x="88933" y="1507615"/>
                            <a:ext cx="591185" cy="694690"/>
                          </a:xfrm>
                          <a:prstGeom prst="rect">
                            <a:avLst/>
                          </a:prstGeom>
                        </wps:spPr>
                        <wps:txbx>
                          <w:txbxContent>
                            <w:p>
                              <w:pPr>
                                <w:spacing w:line="203" w:lineRule="exact" w:before="0"/>
                                <w:ind w:left="0" w:right="18" w:firstLine="0"/>
                                <w:jc w:val="right"/>
                                <w:rPr>
                                  <w:sz w:val="20"/>
                                </w:rPr>
                              </w:pPr>
                              <w:r>
                                <w:rPr>
                                  <w:spacing w:val="-2"/>
                                  <w:sz w:val="20"/>
                                </w:rPr>
                                <w:t>10,000,000</w:t>
                              </w:r>
                            </w:p>
                            <w:p>
                              <w:pPr>
                                <w:spacing w:line="240" w:lineRule="auto" w:before="7"/>
                                <w:rPr>
                                  <w:sz w:val="16"/>
                                </w:rPr>
                              </w:pPr>
                            </w:p>
                            <w:p>
                              <w:pPr>
                                <w:spacing w:before="1"/>
                                <w:ind w:left="101" w:right="0" w:firstLine="0"/>
                                <w:jc w:val="left"/>
                                <w:rPr>
                                  <w:sz w:val="20"/>
                                </w:rPr>
                              </w:pPr>
                              <w:r>
                                <w:rPr>
                                  <w:spacing w:val="-2"/>
                                  <w:sz w:val="20"/>
                                </w:rPr>
                                <w:t>5,000,000</w:t>
                              </w:r>
                            </w:p>
                            <w:p>
                              <w:pPr>
                                <w:spacing w:line="240" w:lineRule="auto" w:before="7"/>
                                <w:rPr>
                                  <w:sz w:val="16"/>
                                </w:rPr>
                              </w:pPr>
                            </w:p>
                            <w:p>
                              <w:pPr>
                                <w:spacing w:line="240" w:lineRule="exact" w:before="1"/>
                                <w:ind w:left="0" w:right="18" w:firstLine="0"/>
                                <w:jc w:val="right"/>
                                <w:rPr>
                                  <w:sz w:val="20"/>
                                </w:rPr>
                              </w:pPr>
                              <w:r>
                                <w:rPr>
                                  <w:w w:val="99"/>
                                  <w:sz w:val="20"/>
                                </w:rPr>
                                <w:t>0</w:t>
                              </w:r>
                            </w:p>
                          </w:txbxContent>
                        </wps:txbx>
                        <wps:bodyPr wrap="square" lIns="0" tIns="0" rIns="0" bIns="0" rtlCol="0">
                          <a:noAutofit/>
                        </wps:bodyPr>
                      </wps:wsp>
                      <wps:wsp>
                        <wps:cNvPr id="58" name="Textbox 58"/>
                        <wps:cNvSpPr txBox="1"/>
                        <wps:spPr>
                          <a:xfrm>
                            <a:off x="997778" y="2241016"/>
                            <a:ext cx="338455" cy="127000"/>
                          </a:xfrm>
                          <a:prstGeom prst="rect">
                            <a:avLst/>
                          </a:prstGeom>
                        </wps:spPr>
                        <wps:txbx>
                          <w:txbxContent>
                            <w:p>
                              <w:pPr>
                                <w:spacing w:line="199" w:lineRule="exact" w:before="0"/>
                                <w:ind w:left="0" w:right="0" w:firstLine="0"/>
                                <w:jc w:val="left"/>
                                <w:rPr>
                                  <w:sz w:val="20"/>
                                </w:rPr>
                              </w:pPr>
                              <w:r>
                                <w:rPr>
                                  <w:spacing w:val="-2"/>
                                  <w:sz w:val="20"/>
                                </w:rPr>
                                <w:t>Metro</w:t>
                              </w:r>
                            </w:p>
                          </w:txbxContent>
                        </wps:txbx>
                        <wps:bodyPr wrap="square" lIns="0" tIns="0" rIns="0" bIns="0" rtlCol="0">
                          <a:noAutofit/>
                        </wps:bodyPr>
                      </wps:wsp>
                      <wps:wsp>
                        <wps:cNvPr id="59" name="Textbox 59"/>
                        <wps:cNvSpPr txBox="1"/>
                        <wps:spPr>
                          <a:xfrm>
                            <a:off x="1630365" y="2241016"/>
                            <a:ext cx="574675" cy="127000"/>
                          </a:xfrm>
                          <a:prstGeom prst="rect">
                            <a:avLst/>
                          </a:prstGeom>
                        </wps:spPr>
                        <wps:txbx>
                          <w:txbxContent>
                            <w:p>
                              <w:pPr>
                                <w:spacing w:line="199" w:lineRule="exact" w:before="0"/>
                                <w:ind w:left="0" w:right="0" w:firstLine="0"/>
                                <w:jc w:val="left"/>
                                <w:rPr>
                                  <w:sz w:val="20"/>
                                </w:rPr>
                              </w:pPr>
                              <w:r>
                                <w:rPr>
                                  <w:sz w:val="20"/>
                                </w:rPr>
                                <w:t>S.</w:t>
                              </w:r>
                              <w:r>
                                <w:rPr>
                                  <w:spacing w:val="-3"/>
                                  <w:sz w:val="20"/>
                                </w:rPr>
                                <w:t> </w:t>
                              </w:r>
                              <w:r>
                                <w:rPr>
                                  <w:spacing w:val="-2"/>
                                  <w:sz w:val="20"/>
                                </w:rPr>
                                <w:t>Portland</w:t>
                              </w:r>
                            </w:p>
                          </w:txbxContent>
                        </wps:txbx>
                        <wps:bodyPr wrap="square" lIns="0" tIns="0" rIns="0" bIns="0" rtlCol="0">
                          <a:noAutofit/>
                        </wps:bodyPr>
                      </wps:wsp>
                      <wps:wsp>
                        <wps:cNvPr id="60" name="Textbox 60"/>
                        <wps:cNvSpPr txBox="1"/>
                        <wps:spPr>
                          <a:xfrm>
                            <a:off x="2472295" y="2241016"/>
                            <a:ext cx="1287780" cy="127000"/>
                          </a:xfrm>
                          <a:prstGeom prst="rect">
                            <a:avLst/>
                          </a:prstGeom>
                        </wps:spPr>
                        <wps:txbx>
                          <w:txbxContent>
                            <w:p>
                              <w:pPr>
                                <w:tabs>
                                  <w:tab w:pos="955" w:val="left" w:leader="none"/>
                                </w:tabs>
                                <w:spacing w:line="199" w:lineRule="exact" w:before="0"/>
                                <w:ind w:left="0" w:right="0" w:firstLine="0"/>
                                <w:jc w:val="left"/>
                                <w:rPr>
                                  <w:sz w:val="20"/>
                                </w:rPr>
                              </w:pPr>
                              <w:r>
                                <w:rPr>
                                  <w:spacing w:val="-2"/>
                                  <w:sz w:val="20"/>
                                </w:rPr>
                                <w:t>Citylink</w:t>
                              </w:r>
                              <w:r>
                                <w:rPr>
                                  <w:sz w:val="20"/>
                                </w:rPr>
                                <w:tab/>
                                <w:t>C.</w:t>
                              </w:r>
                              <w:r>
                                <w:rPr>
                                  <w:spacing w:val="-3"/>
                                  <w:sz w:val="20"/>
                                </w:rPr>
                                <w:t> </w:t>
                              </w:r>
                              <w:r>
                                <w:rPr>
                                  <w:spacing w:val="-2"/>
                                  <w:sz w:val="20"/>
                                </w:rPr>
                                <w:t>Connector</w:t>
                              </w:r>
                            </w:p>
                          </w:txbxContent>
                        </wps:txbx>
                        <wps:bodyPr wrap="square" lIns="0" tIns="0" rIns="0" bIns="0" rtlCol="0">
                          <a:noAutofit/>
                        </wps:bodyPr>
                      </wps:wsp>
                    </wpg:wgp>
                  </a:graphicData>
                </a:graphic>
              </wp:anchor>
            </w:drawing>
          </mc:Choice>
          <mc:Fallback>
            <w:pict>
              <v:group style="position:absolute;margin-left:72pt;margin-top:14.781734pt;width:418pt;height:194.4pt;mso-position-horizontal-relative:page;mso-position-vertical-relative:paragraph;z-index:-15719424;mso-wrap-distance-left:0;mso-wrap-distance-right:0" id="docshapegroup37" coordorigin="1440,296" coordsize="8360,3888">
                <v:shape style="position:absolute;left:1440;top:295;width:8360;height:3888" id="docshape38" coordorigin="1440,296" coordsize="8360,3888" path="m9799,296l9790,296,9790,305,9790,4174,1450,4174,1450,305,9790,305,9790,296,1450,296,1440,296,1440,305,1440,4174,1440,4184,1450,4184,9790,4184,9799,4184,9799,4174,9799,305,9799,296xe" filled="true" fillcolor="#000000" stroked="false">
                  <v:path arrowok="t"/>
                  <v:fill type="solid"/>
                </v:shape>
                <v:shape style="position:absolute;left:2676;top:525;width:4730;height:2684" id="docshape39" coordorigin="2677,526" coordsize="4730,2684" path="m2677,3209l7406,3209m2677,2763l7406,2763m2677,2316l7406,2316m2677,1868l7406,1868m2677,1421l7406,1421m2677,972l7406,972m2677,526l7406,526e" filled="false" stroked="true" strokeweight=".75pt" strokecolor="#858585">
                  <v:path arrowok="t"/>
                  <v:stroke dashstyle="solid"/>
                </v:shape>
                <v:line style="position:absolute" from="2677,3658" to="2677,526" stroked="true" strokeweight=".75pt" strokecolor="#858585">
                  <v:stroke dashstyle="solid"/>
                </v:line>
                <v:shape style="position:absolute;left:2613;top:525;width:64;height:3132" id="docshape40" coordorigin="2613,526" coordsize="64,3132" path="m2613,3658l2677,3658m2613,3209l2677,3209m2613,2763l2677,2763m2613,2316l2677,2316m2613,1868l2677,1868m2613,1421l2677,1421m2613,972l2677,972m2613,526l2677,526e" filled="false" stroked="true" strokeweight=".75pt" strokecolor="#858585">
                  <v:path arrowok="t"/>
                  <v:stroke dashstyle="solid"/>
                </v:shape>
                <v:shape style="position:absolute;left:2676;top:3657;width:4730;height:64" id="docshape41" coordorigin="2677,3658" coordsize="4730,64" path="m2677,3658l7406,3658m2677,3658l2677,3721m3859,3658l3859,3721m5040,3658l5040,3721m6223,3658l6223,3721m7406,3658l7406,3721e" filled="false" stroked="true" strokeweight=".75pt" strokecolor="#858585">
                  <v:path arrowok="t"/>
                  <v:stroke dashstyle="solid"/>
                </v:shape>
                <v:shape style="position:absolute;left:3267;top:3086;width:3547;height:457" id="docshape42" coordorigin="3268,3086" coordsize="3547,457" path="m3268,3086l4450,3526,5633,3543,6815,3449e" filled="false" stroked="true" strokeweight="2.25pt" strokecolor="#497dba">
                  <v:path arrowok="t"/>
                  <v:stroke dashstyle="solid"/>
                </v:shape>
                <v:shape style="position:absolute;left:3267;top:772;width:3547;height:2578" id="docshape43" coordorigin="3268,772" coordsize="3547,2578" path="m3268,772l4450,3350,5633,2585,6815,3279e" filled="false" stroked="true" strokeweight="2.25pt" strokecolor="#bd4a47">
                  <v:path arrowok="t"/>
                  <v:stroke dashstyle="solid"/>
                </v:shape>
                <v:line style="position:absolute" from="7693,2199" to="8077,2199" stroked="true" strokeweight="2.25pt" strokecolor="#497dba">
                  <v:stroke dashstyle="solid"/>
                </v:line>
                <v:line style="position:absolute" from="7693,2579" to="8077,2579" stroked="true" strokeweight="2.25pt" strokecolor="#bd4a47">
                  <v:stroke dashstyle="solid"/>
                </v:line>
                <v:rect style="position:absolute;left:1450;top:303;width:8340;height:3855" id="docshape44" filled="false" stroked="true" strokeweight=".75pt" strokecolor="#858585">
                  <v:stroke dashstyle="solid"/>
                </v:rect>
                <v:shape style="position:absolute;left:1580;top:432;width:930;height:1989" type="#_x0000_t202" id="docshape45" filled="false" stroked="false">
                  <v:textbox inset="0,0,0,0">
                    <w:txbxContent>
                      <w:p>
                        <w:pPr>
                          <w:spacing w:line="203" w:lineRule="exact" w:before="0"/>
                          <w:ind w:left="0" w:right="0" w:firstLine="0"/>
                          <w:jc w:val="left"/>
                          <w:rPr>
                            <w:sz w:val="20"/>
                          </w:rPr>
                        </w:pPr>
                        <w:r>
                          <w:rPr>
                            <w:spacing w:val="-2"/>
                            <w:sz w:val="20"/>
                          </w:rPr>
                          <w:t>35,000,000</w:t>
                        </w:r>
                      </w:p>
                      <w:p>
                        <w:pPr>
                          <w:spacing w:line="240" w:lineRule="auto" w:before="7"/>
                          <w:rPr>
                            <w:sz w:val="16"/>
                          </w:rPr>
                        </w:pPr>
                      </w:p>
                      <w:p>
                        <w:pPr>
                          <w:spacing w:before="1"/>
                          <w:ind w:left="0" w:right="0" w:firstLine="0"/>
                          <w:jc w:val="left"/>
                          <w:rPr>
                            <w:sz w:val="20"/>
                          </w:rPr>
                        </w:pPr>
                        <w:r>
                          <w:rPr>
                            <w:spacing w:val="-2"/>
                            <w:sz w:val="20"/>
                          </w:rPr>
                          <w:t>30,000,000</w:t>
                        </w:r>
                      </w:p>
                      <w:p>
                        <w:pPr>
                          <w:spacing w:line="240" w:lineRule="auto" w:before="7"/>
                          <w:rPr>
                            <w:sz w:val="16"/>
                          </w:rPr>
                        </w:pPr>
                      </w:p>
                      <w:p>
                        <w:pPr>
                          <w:spacing w:before="1"/>
                          <w:ind w:left="0" w:right="0" w:firstLine="0"/>
                          <w:jc w:val="left"/>
                          <w:rPr>
                            <w:sz w:val="20"/>
                          </w:rPr>
                        </w:pPr>
                        <w:r>
                          <w:rPr>
                            <w:spacing w:val="-2"/>
                            <w:sz w:val="20"/>
                          </w:rPr>
                          <w:t>25,000,000</w:t>
                        </w:r>
                      </w:p>
                      <w:p>
                        <w:pPr>
                          <w:spacing w:line="240" w:lineRule="auto" w:before="7"/>
                          <w:rPr>
                            <w:sz w:val="16"/>
                          </w:rPr>
                        </w:pPr>
                      </w:p>
                      <w:p>
                        <w:pPr>
                          <w:spacing w:before="1"/>
                          <w:ind w:left="0" w:right="0" w:firstLine="0"/>
                          <w:jc w:val="left"/>
                          <w:rPr>
                            <w:sz w:val="20"/>
                          </w:rPr>
                        </w:pPr>
                        <w:r>
                          <w:rPr>
                            <w:spacing w:val="-2"/>
                            <w:sz w:val="20"/>
                          </w:rPr>
                          <w:t>20,000,000</w:t>
                        </w:r>
                      </w:p>
                      <w:p>
                        <w:pPr>
                          <w:spacing w:line="240" w:lineRule="auto" w:before="7"/>
                          <w:rPr>
                            <w:sz w:val="16"/>
                          </w:rPr>
                        </w:pPr>
                      </w:p>
                      <w:p>
                        <w:pPr>
                          <w:spacing w:line="240" w:lineRule="exact" w:before="1"/>
                          <w:ind w:left="0" w:right="0" w:firstLine="0"/>
                          <w:jc w:val="left"/>
                          <w:rPr>
                            <w:sz w:val="20"/>
                          </w:rPr>
                        </w:pPr>
                        <w:r>
                          <w:rPr>
                            <w:spacing w:val="-2"/>
                            <w:sz w:val="20"/>
                          </w:rPr>
                          <w:t>15,000,000</w:t>
                        </w:r>
                      </w:p>
                    </w:txbxContent>
                  </v:textbox>
                  <w10:wrap type="none"/>
                </v:shape>
                <v:shape style="position:absolute;left:8117;top:2106;width:1418;height:579" type="#_x0000_t202" id="docshape46" filled="false" stroked="false">
                  <v:textbox inset="0,0,0,0">
                    <w:txbxContent>
                      <w:p>
                        <w:pPr>
                          <w:spacing w:line="203" w:lineRule="exact" w:before="0"/>
                          <w:ind w:left="0" w:right="0" w:firstLine="0"/>
                          <w:jc w:val="left"/>
                          <w:rPr>
                            <w:sz w:val="20"/>
                          </w:rPr>
                        </w:pPr>
                        <w:r>
                          <w:rPr>
                            <w:sz w:val="20"/>
                          </w:rPr>
                          <w:t>$</w:t>
                        </w:r>
                        <w:r>
                          <w:rPr>
                            <w:spacing w:val="-2"/>
                            <w:sz w:val="20"/>
                          </w:rPr>
                          <w:t> FTA/MaineDOT</w:t>
                        </w:r>
                      </w:p>
                      <w:p>
                        <w:pPr>
                          <w:spacing w:line="240" w:lineRule="exact" w:before="135"/>
                          <w:ind w:left="0" w:right="0" w:firstLine="0"/>
                          <w:jc w:val="left"/>
                          <w:rPr>
                            <w:sz w:val="20"/>
                          </w:rPr>
                        </w:pPr>
                        <w:r>
                          <w:rPr>
                            <w:sz w:val="20"/>
                          </w:rPr>
                          <w:t>Minority</w:t>
                        </w:r>
                        <w:r>
                          <w:rPr>
                            <w:spacing w:val="-10"/>
                            <w:sz w:val="20"/>
                          </w:rPr>
                          <w:t> </w:t>
                        </w:r>
                        <w:r>
                          <w:rPr>
                            <w:spacing w:val="-2"/>
                            <w:sz w:val="20"/>
                          </w:rPr>
                          <w:t>Factor</w:t>
                        </w:r>
                      </w:p>
                    </w:txbxContent>
                  </v:textbox>
                  <w10:wrap type="none"/>
                </v:shape>
                <v:shape style="position:absolute;left:1580;top:2669;width:931;height:1094" type="#_x0000_t202" id="docshape47" filled="false" stroked="false">
                  <v:textbox inset="0,0,0,0">
                    <w:txbxContent>
                      <w:p>
                        <w:pPr>
                          <w:spacing w:line="203" w:lineRule="exact" w:before="0"/>
                          <w:ind w:left="0" w:right="18" w:firstLine="0"/>
                          <w:jc w:val="right"/>
                          <w:rPr>
                            <w:sz w:val="20"/>
                          </w:rPr>
                        </w:pPr>
                        <w:r>
                          <w:rPr>
                            <w:spacing w:val="-2"/>
                            <w:sz w:val="20"/>
                          </w:rPr>
                          <w:t>10,000,000</w:t>
                        </w:r>
                      </w:p>
                      <w:p>
                        <w:pPr>
                          <w:spacing w:line="240" w:lineRule="auto" w:before="7"/>
                          <w:rPr>
                            <w:sz w:val="16"/>
                          </w:rPr>
                        </w:pPr>
                      </w:p>
                      <w:p>
                        <w:pPr>
                          <w:spacing w:before="1"/>
                          <w:ind w:left="101" w:right="0" w:firstLine="0"/>
                          <w:jc w:val="left"/>
                          <w:rPr>
                            <w:sz w:val="20"/>
                          </w:rPr>
                        </w:pPr>
                        <w:r>
                          <w:rPr>
                            <w:spacing w:val="-2"/>
                            <w:sz w:val="20"/>
                          </w:rPr>
                          <w:t>5,000,000</w:t>
                        </w:r>
                      </w:p>
                      <w:p>
                        <w:pPr>
                          <w:spacing w:line="240" w:lineRule="auto" w:before="7"/>
                          <w:rPr>
                            <w:sz w:val="16"/>
                          </w:rPr>
                        </w:pPr>
                      </w:p>
                      <w:p>
                        <w:pPr>
                          <w:spacing w:line="240" w:lineRule="exact" w:before="1"/>
                          <w:ind w:left="0" w:right="18" w:firstLine="0"/>
                          <w:jc w:val="right"/>
                          <w:rPr>
                            <w:sz w:val="20"/>
                          </w:rPr>
                        </w:pPr>
                        <w:r>
                          <w:rPr>
                            <w:w w:val="99"/>
                            <w:sz w:val="20"/>
                          </w:rPr>
                          <w:t>0</w:t>
                        </w:r>
                      </w:p>
                    </w:txbxContent>
                  </v:textbox>
                  <w10:wrap type="none"/>
                </v:shape>
                <v:shape style="position:absolute;left:3011;top:3824;width:533;height:200" type="#_x0000_t202" id="docshape48" filled="false" stroked="false">
                  <v:textbox inset="0,0,0,0">
                    <w:txbxContent>
                      <w:p>
                        <w:pPr>
                          <w:spacing w:line="199" w:lineRule="exact" w:before="0"/>
                          <w:ind w:left="0" w:right="0" w:firstLine="0"/>
                          <w:jc w:val="left"/>
                          <w:rPr>
                            <w:sz w:val="20"/>
                          </w:rPr>
                        </w:pPr>
                        <w:r>
                          <w:rPr>
                            <w:spacing w:val="-2"/>
                            <w:sz w:val="20"/>
                          </w:rPr>
                          <w:t>Metro</w:t>
                        </w:r>
                      </w:p>
                    </w:txbxContent>
                  </v:textbox>
                  <w10:wrap type="none"/>
                </v:shape>
                <v:shape style="position:absolute;left:4007;top:3824;width:905;height:200" type="#_x0000_t202" id="docshape49" filled="false" stroked="false">
                  <v:textbox inset="0,0,0,0">
                    <w:txbxContent>
                      <w:p>
                        <w:pPr>
                          <w:spacing w:line="199" w:lineRule="exact" w:before="0"/>
                          <w:ind w:left="0" w:right="0" w:firstLine="0"/>
                          <w:jc w:val="left"/>
                          <w:rPr>
                            <w:sz w:val="20"/>
                          </w:rPr>
                        </w:pPr>
                        <w:r>
                          <w:rPr>
                            <w:sz w:val="20"/>
                          </w:rPr>
                          <w:t>S.</w:t>
                        </w:r>
                        <w:r>
                          <w:rPr>
                            <w:spacing w:val="-3"/>
                            <w:sz w:val="20"/>
                          </w:rPr>
                          <w:t> </w:t>
                        </w:r>
                        <w:r>
                          <w:rPr>
                            <w:spacing w:val="-2"/>
                            <w:sz w:val="20"/>
                          </w:rPr>
                          <w:t>Portland</w:t>
                        </w:r>
                      </w:p>
                    </w:txbxContent>
                  </v:textbox>
                  <w10:wrap type="none"/>
                </v:shape>
                <v:shape style="position:absolute;left:5333;top:3824;width:2028;height:200" type="#_x0000_t202" id="docshape50" filled="false" stroked="false">
                  <v:textbox inset="0,0,0,0">
                    <w:txbxContent>
                      <w:p>
                        <w:pPr>
                          <w:tabs>
                            <w:tab w:pos="955" w:val="left" w:leader="none"/>
                          </w:tabs>
                          <w:spacing w:line="199" w:lineRule="exact" w:before="0"/>
                          <w:ind w:left="0" w:right="0" w:firstLine="0"/>
                          <w:jc w:val="left"/>
                          <w:rPr>
                            <w:sz w:val="20"/>
                          </w:rPr>
                        </w:pPr>
                        <w:r>
                          <w:rPr>
                            <w:spacing w:val="-2"/>
                            <w:sz w:val="20"/>
                          </w:rPr>
                          <w:t>Citylink</w:t>
                        </w:r>
                        <w:r>
                          <w:rPr>
                            <w:sz w:val="20"/>
                          </w:rPr>
                          <w:tab/>
                          <w:t>C.</w:t>
                        </w:r>
                        <w:r>
                          <w:rPr>
                            <w:spacing w:val="-3"/>
                            <w:sz w:val="20"/>
                          </w:rPr>
                          <w:t> </w:t>
                        </w:r>
                        <w:r>
                          <w:rPr>
                            <w:spacing w:val="-2"/>
                            <w:sz w:val="20"/>
                          </w:rPr>
                          <w:t>Connector</w:t>
                        </w:r>
                      </w:p>
                    </w:txbxContent>
                  </v:textbox>
                  <w10:wrap type="none"/>
                </v:shape>
                <w10:wrap type="topAndBottom"/>
              </v:group>
            </w:pict>
          </mc:Fallback>
        </mc:AlternateContent>
      </w:r>
    </w:p>
    <w:p>
      <w:pPr>
        <w:spacing w:after="0"/>
        <w:rPr>
          <w:sz w:val="22"/>
        </w:rPr>
        <w:sectPr>
          <w:pgSz w:w="12240" w:h="15840"/>
          <w:pgMar w:header="0" w:footer="997" w:top="960" w:bottom="1260" w:left="600" w:right="500"/>
        </w:sectPr>
      </w:pPr>
    </w:p>
    <w:p>
      <w:pPr>
        <w:spacing w:before="35"/>
        <w:ind w:left="840" w:right="0" w:firstLine="0"/>
        <w:jc w:val="both"/>
        <w:rPr>
          <w:b/>
          <w:sz w:val="24"/>
        </w:rPr>
      </w:pPr>
      <w:r>
        <w:rPr>
          <w:b/>
          <w:sz w:val="24"/>
        </w:rPr>
        <w:t>Flex Route </w:t>
      </w:r>
      <w:r>
        <w:rPr>
          <w:b/>
          <w:spacing w:val="-2"/>
          <w:sz w:val="24"/>
        </w:rPr>
        <w:t>Services</w:t>
      </w:r>
    </w:p>
    <w:p>
      <w:pPr>
        <w:pStyle w:val="BodyText"/>
        <w:rPr>
          <w:b/>
        </w:rPr>
      </w:pPr>
    </w:p>
    <w:tbl>
      <w:tblPr>
        <w:tblW w:w="0" w:type="auto"/>
        <w:jc w:val="left"/>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6"/>
        <w:gridCol w:w="1440"/>
        <w:gridCol w:w="974"/>
        <w:gridCol w:w="895"/>
        <w:gridCol w:w="1101"/>
        <w:gridCol w:w="1168"/>
        <w:gridCol w:w="2394"/>
      </w:tblGrid>
      <w:tr>
        <w:trPr>
          <w:trHeight w:val="674" w:hRule="atLeast"/>
        </w:trPr>
        <w:tc>
          <w:tcPr>
            <w:tcW w:w="1726" w:type="dxa"/>
          </w:tcPr>
          <w:p>
            <w:pPr>
              <w:pStyle w:val="TableParagraph"/>
              <w:spacing w:line="292" w:lineRule="exact"/>
              <w:ind w:left="107"/>
              <w:rPr>
                <w:rFonts w:ascii="Calibri"/>
                <w:b/>
                <w:sz w:val="24"/>
              </w:rPr>
            </w:pPr>
            <w:r>
              <w:rPr>
                <w:rFonts w:ascii="Calibri"/>
                <w:b/>
                <w:spacing w:val="-2"/>
                <w:sz w:val="24"/>
              </w:rPr>
              <w:t>Service</w:t>
            </w:r>
          </w:p>
        </w:tc>
        <w:tc>
          <w:tcPr>
            <w:tcW w:w="1440" w:type="dxa"/>
          </w:tcPr>
          <w:p>
            <w:pPr>
              <w:pStyle w:val="TableParagraph"/>
              <w:spacing w:line="292" w:lineRule="exact"/>
              <w:ind w:left="128" w:right="121"/>
              <w:jc w:val="center"/>
              <w:rPr>
                <w:rFonts w:ascii="Calibri"/>
                <w:b/>
                <w:sz w:val="24"/>
              </w:rPr>
            </w:pPr>
            <w:r>
              <w:rPr>
                <w:rFonts w:ascii="Calibri"/>
                <w:b/>
                <w:spacing w:val="-2"/>
                <w:sz w:val="24"/>
              </w:rPr>
              <w:t>Service</w:t>
            </w:r>
          </w:p>
          <w:p>
            <w:pPr>
              <w:pStyle w:val="TableParagraph"/>
              <w:spacing w:line="240" w:lineRule="auto" w:before="45"/>
              <w:ind w:left="133" w:right="121"/>
              <w:jc w:val="center"/>
              <w:rPr>
                <w:rFonts w:ascii="Calibri"/>
                <w:sz w:val="13"/>
              </w:rPr>
            </w:pPr>
            <w:r>
              <w:rPr>
                <w:rFonts w:ascii="Calibri"/>
                <w:b/>
                <w:spacing w:val="-2"/>
                <w:sz w:val="24"/>
              </w:rPr>
              <w:t>Population</w:t>
            </w:r>
            <w:r>
              <w:rPr>
                <w:rFonts w:ascii="Calibri"/>
                <w:spacing w:val="-2"/>
                <w:position w:val="7"/>
                <w:sz w:val="13"/>
              </w:rPr>
              <w:t>1</w:t>
            </w:r>
          </w:p>
        </w:tc>
        <w:tc>
          <w:tcPr>
            <w:tcW w:w="974" w:type="dxa"/>
          </w:tcPr>
          <w:p>
            <w:pPr>
              <w:pStyle w:val="TableParagraph"/>
              <w:spacing w:line="268" w:lineRule="exact" w:before="13"/>
              <w:ind w:left="393" w:right="163" w:hanging="212"/>
              <w:rPr>
                <w:rFonts w:ascii="Calibri"/>
                <w:sz w:val="13"/>
              </w:rPr>
            </w:pPr>
            <w:r>
              <w:rPr>
                <w:rFonts w:ascii="Calibri"/>
                <w:b/>
                <w:spacing w:val="-2"/>
                <w:sz w:val="24"/>
              </w:rPr>
              <w:t>White </w:t>
            </w:r>
            <w:r>
              <w:rPr>
                <w:rFonts w:ascii="Calibri"/>
                <w:b/>
                <w:spacing w:val="-6"/>
                <w:position w:val="-6"/>
                <w:sz w:val="24"/>
              </w:rPr>
              <w:t>#</w:t>
            </w:r>
            <w:r>
              <w:rPr>
                <w:rFonts w:ascii="Calibri"/>
                <w:spacing w:val="-6"/>
                <w:sz w:val="13"/>
              </w:rPr>
              <w:t>1</w:t>
            </w:r>
          </w:p>
        </w:tc>
        <w:tc>
          <w:tcPr>
            <w:tcW w:w="895" w:type="dxa"/>
          </w:tcPr>
          <w:p>
            <w:pPr>
              <w:pStyle w:val="TableParagraph"/>
              <w:spacing w:line="292" w:lineRule="exact"/>
              <w:ind w:left="128" w:right="117"/>
              <w:jc w:val="center"/>
              <w:rPr>
                <w:rFonts w:ascii="Calibri"/>
                <w:b/>
                <w:sz w:val="24"/>
              </w:rPr>
            </w:pPr>
            <w:r>
              <w:rPr>
                <w:rFonts w:ascii="Calibri"/>
                <w:b/>
                <w:spacing w:val="-2"/>
                <w:sz w:val="24"/>
              </w:rPr>
              <w:t>White</w:t>
            </w:r>
          </w:p>
          <w:p>
            <w:pPr>
              <w:pStyle w:val="TableParagraph"/>
              <w:spacing w:line="240" w:lineRule="auto" w:before="46"/>
              <w:ind w:left="125" w:right="117"/>
              <w:jc w:val="center"/>
              <w:rPr>
                <w:rFonts w:ascii="Calibri"/>
                <w:sz w:val="13"/>
              </w:rPr>
            </w:pPr>
            <w:r>
              <w:rPr>
                <w:rFonts w:ascii="Calibri"/>
                <w:b/>
                <w:spacing w:val="-5"/>
                <w:position w:val="-6"/>
                <w:sz w:val="24"/>
              </w:rPr>
              <w:t>%</w:t>
            </w:r>
            <w:r>
              <w:rPr>
                <w:rFonts w:ascii="Calibri"/>
                <w:spacing w:val="-5"/>
                <w:sz w:val="13"/>
              </w:rPr>
              <w:t>1</w:t>
            </w:r>
          </w:p>
        </w:tc>
        <w:tc>
          <w:tcPr>
            <w:tcW w:w="1101" w:type="dxa"/>
          </w:tcPr>
          <w:p>
            <w:pPr>
              <w:pStyle w:val="TableParagraph"/>
              <w:spacing w:line="268" w:lineRule="exact" w:before="13"/>
              <w:ind w:left="458" w:hanging="344"/>
              <w:rPr>
                <w:rFonts w:ascii="Calibri"/>
                <w:sz w:val="13"/>
              </w:rPr>
            </w:pPr>
            <w:r>
              <w:rPr>
                <w:rFonts w:ascii="Calibri"/>
                <w:b/>
                <w:spacing w:val="-2"/>
                <w:sz w:val="24"/>
              </w:rPr>
              <w:t>Minority </w:t>
            </w:r>
            <w:r>
              <w:rPr>
                <w:rFonts w:ascii="Calibri"/>
                <w:b/>
                <w:spacing w:val="-6"/>
                <w:position w:val="-6"/>
                <w:sz w:val="24"/>
              </w:rPr>
              <w:t>#</w:t>
            </w:r>
            <w:r>
              <w:rPr>
                <w:rFonts w:ascii="Calibri"/>
                <w:spacing w:val="-6"/>
                <w:sz w:val="13"/>
              </w:rPr>
              <w:t>1</w:t>
            </w:r>
          </w:p>
        </w:tc>
        <w:tc>
          <w:tcPr>
            <w:tcW w:w="1168" w:type="dxa"/>
          </w:tcPr>
          <w:p>
            <w:pPr>
              <w:pStyle w:val="TableParagraph"/>
              <w:spacing w:line="292" w:lineRule="exact"/>
              <w:ind w:left="138" w:right="128"/>
              <w:jc w:val="center"/>
              <w:rPr>
                <w:rFonts w:ascii="Calibri"/>
                <w:b/>
                <w:sz w:val="24"/>
              </w:rPr>
            </w:pPr>
            <w:r>
              <w:rPr>
                <w:rFonts w:ascii="Calibri"/>
                <w:b/>
                <w:spacing w:val="-2"/>
                <w:sz w:val="24"/>
              </w:rPr>
              <w:t>Minority</w:t>
            </w:r>
          </w:p>
          <w:p>
            <w:pPr>
              <w:pStyle w:val="TableParagraph"/>
              <w:spacing w:line="240" w:lineRule="auto" w:before="46"/>
              <w:ind w:left="138" w:right="128"/>
              <w:jc w:val="center"/>
              <w:rPr>
                <w:rFonts w:ascii="Calibri"/>
                <w:sz w:val="13"/>
              </w:rPr>
            </w:pPr>
            <w:r>
              <w:rPr>
                <w:rFonts w:ascii="Calibri"/>
                <w:b/>
                <w:spacing w:val="-5"/>
                <w:position w:val="-6"/>
                <w:sz w:val="24"/>
              </w:rPr>
              <w:t>%</w:t>
            </w:r>
            <w:r>
              <w:rPr>
                <w:rFonts w:ascii="Calibri"/>
                <w:spacing w:val="-5"/>
                <w:sz w:val="13"/>
              </w:rPr>
              <w:t>1</w:t>
            </w:r>
          </w:p>
        </w:tc>
        <w:tc>
          <w:tcPr>
            <w:tcW w:w="2394" w:type="dxa"/>
          </w:tcPr>
          <w:p>
            <w:pPr>
              <w:pStyle w:val="TableParagraph"/>
              <w:spacing w:line="292" w:lineRule="exact"/>
              <w:ind w:left="120" w:right="110"/>
              <w:jc w:val="center"/>
              <w:rPr>
                <w:rFonts w:ascii="Calibri"/>
                <w:b/>
                <w:sz w:val="24"/>
              </w:rPr>
            </w:pPr>
            <w:r>
              <w:rPr>
                <w:rFonts w:ascii="Calibri"/>
                <w:b/>
                <w:sz w:val="24"/>
              </w:rPr>
              <w:t>MaineDOT,</w:t>
            </w:r>
            <w:r>
              <w:rPr>
                <w:rFonts w:ascii="Calibri"/>
                <w:b/>
                <w:spacing w:val="-3"/>
                <w:sz w:val="24"/>
              </w:rPr>
              <w:t> </w:t>
            </w:r>
            <w:r>
              <w:rPr>
                <w:rFonts w:ascii="Calibri"/>
                <w:b/>
                <w:spacing w:val="-5"/>
                <w:sz w:val="24"/>
              </w:rPr>
              <w:t>FTA</w:t>
            </w:r>
          </w:p>
          <w:p>
            <w:pPr>
              <w:pStyle w:val="TableParagraph"/>
              <w:spacing w:line="240" w:lineRule="auto" w:before="45"/>
              <w:ind w:left="124" w:right="110"/>
              <w:jc w:val="center"/>
              <w:rPr>
                <w:rFonts w:ascii="Calibri"/>
                <w:sz w:val="13"/>
              </w:rPr>
            </w:pPr>
            <w:r>
              <w:rPr>
                <w:rFonts w:ascii="Calibri"/>
                <w:b/>
                <w:spacing w:val="-2"/>
                <w:sz w:val="24"/>
              </w:rPr>
              <w:t>Funding</w:t>
            </w:r>
            <w:r>
              <w:rPr>
                <w:rFonts w:ascii="Calibri"/>
                <w:spacing w:val="-2"/>
                <w:position w:val="7"/>
                <w:sz w:val="13"/>
              </w:rPr>
              <w:t>2</w:t>
            </w:r>
          </w:p>
        </w:tc>
      </w:tr>
      <w:tr>
        <w:trPr>
          <w:trHeight w:val="674" w:hRule="atLeast"/>
        </w:trPr>
        <w:tc>
          <w:tcPr>
            <w:tcW w:w="1726" w:type="dxa"/>
          </w:tcPr>
          <w:p>
            <w:pPr>
              <w:pStyle w:val="TableParagraph"/>
              <w:spacing w:line="292" w:lineRule="exact"/>
              <w:ind w:left="107"/>
              <w:rPr>
                <w:rFonts w:ascii="Calibri"/>
                <w:sz w:val="24"/>
              </w:rPr>
            </w:pPr>
            <w:r>
              <w:rPr>
                <w:rFonts w:ascii="Calibri"/>
                <w:sz w:val="24"/>
              </w:rPr>
              <w:t>Bath</w:t>
            </w:r>
            <w:r>
              <w:rPr>
                <w:rFonts w:ascii="Calibri"/>
                <w:spacing w:val="2"/>
                <w:sz w:val="24"/>
              </w:rPr>
              <w:t> </w:t>
            </w:r>
            <w:r>
              <w:rPr>
                <w:rFonts w:ascii="Calibri"/>
                <w:spacing w:val="-2"/>
                <w:sz w:val="24"/>
              </w:rPr>
              <w:t>CityBus</w:t>
            </w:r>
          </w:p>
        </w:tc>
        <w:tc>
          <w:tcPr>
            <w:tcW w:w="1440" w:type="dxa"/>
          </w:tcPr>
          <w:p>
            <w:pPr>
              <w:pStyle w:val="TableParagraph"/>
              <w:spacing w:line="292" w:lineRule="exact"/>
              <w:ind w:right="432"/>
              <w:jc w:val="right"/>
              <w:rPr>
                <w:rFonts w:ascii="Calibri"/>
                <w:sz w:val="24"/>
              </w:rPr>
            </w:pPr>
            <w:r>
              <w:rPr>
                <w:rFonts w:ascii="Calibri"/>
                <w:spacing w:val="-2"/>
                <w:sz w:val="24"/>
              </w:rPr>
              <w:t>8,718</w:t>
            </w:r>
          </w:p>
        </w:tc>
        <w:tc>
          <w:tcPr>
            <w:tcW w:w="974" w:type="dxa"/>
          </w:tcPr>
          <w:p>
            <w:pPr>
              <w:pStyle w:val="TableParagraph"/>
              <w:spacing w:line="292" w:lineRule="exact"/>
              <w:ind w:right="199"/>
              <w:jc w:val="right"/>
              <w:rPr>
                <w:rFonts w:ascii="Calibri"/>
                <w:sz w:val="24"/>
              </w:rPr>
            </w:pPr>
            <w:r>
              <w:rPr>
                <w:rFonts w:ascii="Calibri"/>
                <w:spacing w:val="-2"/>
                <w:sz w:val="24"/>
              </w:rPr>
              <w:t>8,292</w:t>
            </w:r>
          </w:p>
        </w:tc>
        <w:tc>
          <w:tcPr>
            <w:tcW w:w="895" w:type="dxa"/>
          </w:tcPr>
          <w:p>
            <w:pPr>
              <w:pStyle w:val="TableParagraph"/>
              <w:spacing w:line="292" w:lineRule="exact"/>
              <w:ind w:left="126" w:right="117"/>
              <w:jc w:val="center"/>
              <w:rPr>
                <w:rFonts w:ascii="Calibri"/>
                <w:sz w:val="24"/>
              </w:rPr>
            </w:pPr>
            <w:r>
              <w:rPr>
                <w:rFonts w:ascii="Calibri"/>
                <w:spacing w:val="-2"/>
                <w:sz w:val="24"/>
              </w:rPr>
              <w:t>95.11</w:t>
            </w:r>
          </w:p>
          <w:p>
            <w:pPr>
              <w:pStyle w:val="TableParagraph"/>
              <w:spacing w:line="240" w:lineRule="auto" w:before="45"/>
              <w:ind w:left="10"/>
              <w:jc w:val="center"/>
              <w:rPr>
                <w:rFonts w:ascii="Calibri"/>
                <w:sz w:val="24"/>
              </w:rPr>
            </w:pPr>
            <w:r>
              <w:rPr>
                <w:rFonts w:ascii="Calibri"/>
                <w:sz w:val="24"/>
              </w:rPr>
              <w:t>%</w:t>
            </w:r>
          </w:p>
        </w:tc>
        <w:tc>
          <w:tcPr>
            <w:tcW w:w="1101" w:type="dxa"/>
          </w:tcPr>
          <w:p>
            <w:pPr>
              <w:pStyle w:val="TableParagraph"/>
              <w:spacing w:line="292" w:lineRule="exact"/>
              <w:ind w:left="262" w:right="252"/>
              <w:jc w:val="center"/>
              <w:rPr>
                <w:rFonts w:ascii="Calibri"/>
                <w:sz w:val="24"/>
              </w:rPr>
            </w:pPr>
            <w:r>
              <w:rPr>
                <w:rFonts w:ascii="Calibri"/>
                <w:spacing w:val="-5"/>
                <w:sz w:val="24"/>
              </w:rPr>
              <w:t>426</w:t>
            </w:r>
          </w:p>
        </w:tc>
        <w:tc>
          <w:tcPr>
            <w:tcW w:w="1168" w:type="dxa"/>
          </w:tcPr>
          <w:p>
            <w:pPr>
              <w:pStyle w:val="TableParagraph"/>
              <w:spacing w:line="292" w:lineRule="exact"/>
              <w:ind w:left="286"/>
              <w:rPr>
                <w:rFonts w:ascii="Calibri"/>
                <w:sz w:val="24"/>
              </w:rPr>
            </w:pPr>
            <w:r>
              <w:rPr>
                <w:rFonts w:ascii="Calibri"/>
                <w:spacing w:val="-4"/>
                <w:sz w:val="24"/>
              </w:rPr>
              <w:t>4.89%</w:t>
            </w:r>
          </w:p>
        </w:tc>
        <w:tc>
          <w:tcPr>
            <w:tcW w:w="2394" w:type="dxa"/>
          </w:tcPr>
          <w:p>
            <w:pPr>
              <w:pStyle w:val="TableParagraph"/>
              <w:spacing w:line="292" w:lineRule="exact"/>
              <w:ind w:left="126" w:right="110"/>
              <w:jc w:val="center"/>
              <w:rPr>
                <w:rFonts w:ascii="Calibri"/>
                <w:sz w:val="24"/>
              </w:rPr>
            </w:pPr>
            <w:r>
              <w:rPr>
                <w:rFonts w:ascii="Calibri"/>
                <w:spacing w:val="-2"/>
                <w:sz w:val="24"/>
              </w:rPr>
              <w:t>$154,949</w:t>
            </w:r>
          </w:p>
        </w:tc>
      </w:tr>
      <w:tr>
        <w:trPr>
          <w:trHeight w:val="673" w:hRule="atLeast"/>
        </w:trPr>
        <w:tc>
          <w:tcPr>
            <w:tcW w:w="1726" w:type="dxa"/>
          </w:tcPr>
          <w:p>
            <w:pPr>
              <w:pStyle w:val="TableParagraph"/>
              <w:spacing w:line="292" w:lineRule="exact"/>
              <w:ind w:left="107"/>
              <w:rPr>
                <w:rFonts w:ascii="Calibri"/>
                <w:sz w:val="24"/>
              </w:rPr>
            </w:pPr>
            <w:r>
              <w:rPr>
                <w:rFonts w:ascii="Calibri"/>
                <w:sz w:val="24"/>
              </w:rPr>
              <w:t>Brunswick</w:t>
            </w:r>
            <w:r>
              <w:rPr>
                <w:rFonts w:ascii="Calibri"/>
                <w:spacing w:val="-3"/>
                <w:sz w:val="24"/>
              </w:rPr>
              <w:t> </w:t>
            </w:r>
            <w:r>
              <w:rPr>
                <w:rFonts w:ascii="Calibri"/>
                <w:spacing w:val="-4"/>
                <w:sz w:val="24"/>
              </w:rPr>
              <w:t>Link</w:t>
            </w:r>
          </w:p>
        </w:tc>
        <w:tc>
          <w:tcPr>
            <w:tcW w:w="1440" w:type="dxa"/>
          </w:tcPr>
          <w:p>
            <w:pPr>
              <w:pStyle w:val="TableParagraph"/>
              <w:spacing w:line="292" w:lineRule="exact"/>
              <w:ind w:right="373"/>
              <w:jc w:val="right"/>
              <w:rPr>
                <w:rFonts w:ascii="Calibri"/>
                <w:sz w:val="24"/>
              </w:rPr>
            </w:pPr>
            <w:r>
              <w:rPr>
                <w:rFonts w:ascii="Calibri"/>
                <w:spacing w:val="-2"/>
                <w:sz w:val="24"/>
              </w:rPr>
              <w:t>16,554</w:t>
            </w:r>
          </w:p>
        </w:tc>
        <w:tc>
          <w:tcPr>
            <w:tcW w:w="974" w:type="dxa"/>
          </w:tcPr>
          <w:p>
            <w:pPr>
              <w:pStyle w:val="TableParagraph"/>
              <w:spacing w:line="292" w:lineRule="exact"/>
              <w:ind w:right="140"/>
              <w:jc w:val="right"/>
              <w:rPr>
                <w:rFonts w:ascii="Calibri"/>
                <w:sz w:val="24"/>
              </w:rPr>
            </w:pPr>
            <w:r>
              <w:rPr>
                <w:rFonts w:ascii="Calibri"/>
                <w:spacing w:val="-2"/>
                <w:sz w:val="24"/>
              </w:rPr>
              <w:t>14,728</w:t>
            </w:r>
          </w:p>
        </w:tc>
        <w:tc>
          <w:tcPr>
            <w:tcW w:w="895" w:type="dxa"/>
          </w:tcPr>
          <w:p>
            <w:pPr>
              <w:pStyle w:val="TableParagraph"/>
              <w:spacing w:line="292" w:lineRule="exact"/>
              <w:ind w:left="126" w:right="117"/>
              <w:jc w:val="center"/>
              <w:rPr>
                <w:rFonts w:ascii="Calibri"/>
                <w:sz w:val="24"/>
              </w:rPr>
            </w:pPr>
            <w:r>
              <w:rPr>
                <w:rFonts w:ascii="Calibri"/>
                <w:spacing w:val="-2"/>
                <w:sz w:val="24"/>
              </w:rPr>
              <w:t>88.97</w:t>
            </w:r>
          </w:p>
          <w:p>
            <w:pPr>
              <w:pStyle w:val="TableParagraph"/>
              <w:spacing w:line="240" w:lineRule="auto" w:before="45"/>
              <w:ind w:left="10"/>
              <w:jc w:val="center"/>
              <w:rPr>
                <w:rFonts w:ascii="Calibri"/>
                <w:sz w:val="24"/>
              </w:rPr>
            </w:pPr>
            <w:r>
              <w:rPr>
                <w:rFonts w:ascii="Calibri"/>
                <w:sz w:val="24"/>
              </w:rPr>
              <w:t>%</w:t>
            </w:r>
          </w:p>
        </w:tc>
        <w:tc>
          <w:tcPr>
            <w:tcW w:w="1101" w:type="dxa"/>
          </w:tcPr>
          <w:p>
            <w:pPr>
              <w:pStyle w:val="TableParagraph"/>
              <w:spacing w:line="292" w:lineRule="exact"/>
              <w:ind w:left="262" w:right="252"/>
              <w:jc w:val="center"/>
              <w:rPr>
                <w:rFonts w:ascii="Calibri"/>
                <w:sz w:val="24"/>
              </w:rPr>
            </w:pPr>
            <w:r>
              <w:rPr>
                <w:rFonts w:ascii="Calibri"/>
                <w:spacing w:val="-2"/>
                <w:sz w:val="24"/>
              </w:rPr>
              <w:t>1,826</w:t>
            </w:r>
          </w:p>
        </w:tc>
        <w:tc>
          <w:tcPr>
            <w:tcW w:w="1168" w:type="dxa"/>
          </w:tcPr>
          <w:p>
            <w:pPr>
              <w:pStyle w:val="TableParagraph"/>
              <w:spacing w:line="292" w:lineRule="exact"/>
              <w:ind w:left="226"/>
              <w:rPr>
                <w:rFonts w:ascii="Calibri"/>
                <w:sz w:val="24"/>
              </w:rPr>
            </w:pPr>
            <w:r>
              <w:rPr>
                <w:rFonts w:ascii="Calibri"/>
                <w:spacing w:val="-2"/>
                <w:sz w:val="24"/>
              </w:rPr>
              <w:t>11.03%</w:t>
            </w:r>
          </w:p>
        </w:tc>
        <w:tc>
          <w:tcPr>
            <w:tcW w:w="2394" w:type="dxa"/>
          </w:tcPr>
          <w:p>
            <w:pPr>
              <w:pStyle w:val="TableParagraph"/>
              <w:spacing w:line="292" w:lineRule="exact"/>
              <w:ind w:left="176" w:right="110"/>
              <w:jc w:val="center"/>
              <w:rPr>
                <w:rFonts w:ascii="Calibri"/>
                <w:i/>
                <w:sz w:val="24"/>
              </w:rPr>
            </w:pPr>
            <w:r>
              <w:rPr>
                <w:rFonts w:ascii="Calibri"/>
                <w:i/>
                <w:sz w:val="24"/>
              </w:rPr>
              <w:t>part of</w:t>
            </w:r>
            <w:r>
              <w:rPr>
                <w:rFonts w:ascii="Calibri"/>
                <w:i/>
                <w:spacing w:val="1"/>
                <w:sz w:val="24"/>
              </w:rPr>
              <w:t> </w:t>
            </w:r>
            <w:r>
              <w:rPr>
                <w:rFonts w:ascii="Calibri"/>
                <w:i/>
                <w:sz w:val="24"/>
              </w:rPr>
              <w:t>WMTS</w:t>
            </w:r>
            <w:r>
              <w:rPr>
                <w:rFonts w:ascii="Calibri"/>
                <w:i/>
                <w:spacing w:val="-3"/>
                <w:sz w:val="24"/>
              </w:rPr>
              <w:t> </w:t>
            </w:r>
            <w:r>
              <w:rPr>
                <w:rFonts w:ascii="Calibri"/>
                <w:i/>
                <w:spacing w:val="-2"/>
                <w:sz w:val="24"/>
              </w:rPr>
              <w:t>overall</w:t>
            </w:r>
          </w:p>
          <w:p>
            <w:pPr>
              <w:pStyle w:val="TableParagraph"/>
              <w:spacing w:line="240" w:lineRule="auto" w:before="45"/>
              <w:ind w:left="120" w:right="110"/>
              <w:jc w:val="center"/>
              <w:rPr>
                <w:rFonts w:ascii="Calibri"/>
                <w:i/>
                <w:sz w:val="24"/>
              </w:rPr>
            </w:pPr>
            <w:r>
              <w:rPr>
                <w:rFonts w:ascii="Calibri"/>
                <w:i/>
                <w:spacing w:val="-2"/>
                <w:sz w:val="24"/>
              </w:rPr>
              <w:t>allocation</w:t>
            </w:r>
          </w:p>
        </w:tc>
      </w:tr>
      <w:tr>
        <w:trPr>
          <w:trHeight w:val="674" w:hRule="atLeast"/>
        </w:trPr>
        <w:tc>
          <w:tcPr>
            <w:tcW w:w="1726" w:type="dxa"/>
          </w:tcPr>
          <w:p>
            <w:pPr>
              <w:pStyle w:val="TableParagraph"/>
              <w:spacing w:line="292" w:lineRule="exact"/>
              <w:ind w:left="107"/>
              <w:rPr>
                <w:rFonts w:ascii="Calibri"/>
                <w:sz w:val="24"/>
              </w:rPr>
            </w:pPr>
            <w:r>
              <w:rPr>
                <w:rFonts w:ascii="Calibri"/>
                <w:spacing w:val="-2"/>
                <w:sz w:val="24"/>
              </w:rPr>
              <w:t>Kennebec</w:t>
            </w:r>
          </w:p>
          <w:p>
            <w:pPr>
              <w:pStyle w:val="TableParagraph"/>
              <w:spacing w:line="240" w:lineRule="auto" w:before="43"/>
              <w:ind w:left="107"/>
              <w:rPr>
                <w:rFonts w:ascii="Calibri"/>
                <w:sz w:val="24"/>
              </w:rPr>
            </w:pPr>
            <w:r>
              <w:rPr>
                <w:rFonts w:ascii="Calibri"/>
                <w:spacing w:val="-2"/>
                <w:sz w:val="24"/>
              </w:rPr>
              <w:t>Explorer</w:t>
            </w:r>
          </w:p>
        </w:tc>
        <w:tc>
          <w:tcPr>
            <w:tcW w:w="1440" w:type="dxa"/>
          </w:tcPr>
          <w:p>
            <w:pPr>
              <w:pStyle w:val="TableParagraph"/>
              <w:spacing w:line="292" w:lineRule="exact"/>
              <w:ind w:right="373"/>
              <w:jc w:val="right"/>
              <w:rPr>
                <w:rFonts w:ascii="Calibri"/>
                <w:sz w:val="24"/>
              </w:rPr>
            </w:pPr>
            <w:r>
              <w:rPr>
                <w:rFonts w:ascii="Calibri"/>
                <w:spacing w:val="-2"/>
                <w:sz w:val="24"/>
              </w:rPr>
              <w:t>50,712</w:t>
            </w:r>
          </w:p>
        </w:tc>
        <w:tc>
          <w:tcPr>
            <w:tcW w:w="974" w:type="dxa"/>
          </w:tcPr>
          <w:p>
            <w:pPr>
              <w:pStyle w:val="TableParagraph"/>
              <w:spacing w:line="292" w:lineRule="exact"/>
              <w:ind w:right="140"/>
              <w:jc w:val="right"/>
              <w:rPr>
                <w:rFonts w:ascii="Calibri"/>
                <w:sz w:val="24"/>
              </w:rPr>
            </w:pPr>
            <w:r>
              <w:rPr>
                <w:rFonts w:ascii="Calibri"/>
                <w:spacing w:val="-2"/>
                <w:sz w:val="24"/>
              </w:rPr>
              <w:t>46,674</w:t>
            </w:r>
          </w:p>
        </w:tc>
        <w:tc>
          <w:tcPr>
            <w:tcW w:w="895" w:type="dxa"/>
          </w:tcPr>
          <w:p>
            <w:pPr>
              <w:pStyle w:val="TableParagraph"/>
              <w:spacing w:line="292" w:lineRule="exact"/>
              <w:ind w:left="126" w:right="117"/>
              <w:jc w:val="center"/>
              <w:rPr>
                <w:rFonts w:ascii="Calibri"/>
                <w:sz w:val="24"/>
              </w:rPr>
            </w:pPr>
            <w:r>
              <w:rPr>
                <w:rFonts w:ascii="Calibri"/>
                <w:spacing w:val="-2"/>
                <w:sz w:val="24"/>
              </w:rPr>
              <w:t>92.04</w:t>
            </w:r>
          </w:p>
          <w:p>
            <w:pPr>
              <w:pStyle w:val="TableParagraph"/>
              <w:spacing w:line="240" w:lineRule="auto" w:before="43"/>
              <w:ind w:left="10"/>
              <w:jc w:val="center"/>
              <w:rPr>
                <w:rFonts w:ascii="Calibri"/>
                <w:sz w:val="24"/>
              </w:rPr>
            </w:pPr>
            <w:r>
              <w:rPr>
                <w:rFonts w:ascii="Calibri"/>
                <w:sz w:val="24"/>
              </w:rPr>
              <w:t>%</w:t>
            </w:r>
          </w:p>
        </w:tc>
        <w:tc>
          <w:tcPr>
            <w:tcW w:w="1101" w:type="dxa"/>
          </w:tcPr>
          <w:p>
            <w:pPr>
              <w:pStyle w:val="TableParagraph"/>
              <w:spacing w:line="292" w:lineRule="exact"/>
              <w:ind w:left="262" w:right="252"/>
              <w:jc w:val="center"/>
              <w:rPr>
                <w:rFonts w:ascii="Calibri"/>
                <w:sz w:val="24"/>
              </w:rPr>
            </w:pPr>
            <w:r>
              <w:rPr>
                <w:rFonts w:ascii="Calibri"/>
                <w:spacing w:val="-2"/>
                <w:sz w:val="24"/>
              </w:rPr>
              <w:t>4,038</w:t>
            </w:r>
          </w:p>
        </w:tc>
        <w:tc>
          <w:tcPr>
            <w:tcW w:w="1168" w:type="dxa"/>
          </w:tcPr>
          <w:p>
            <w:pPr>
              <w:pStyle w:val="TableParagraph"/>
              <w:spacing w:line="292" w:lineRule="exact"/>
              <w:ind w:left="286"/>
              <w:rPr>
                <w:rFonts w:ascii="Calibri"/>
                <w:sz w:val="24"/>
              </w:rPr>
            </w:pPr>
            <w:r>
              <w:rPr>
                <w:rFonts w:ascii="Calibri"/>
                <w:spacing w:val="-4"/>
                <w:sz w:val="24"/>
              </w:rPr>
              <w:t>7.96%</w:t>
            </w:r>
          </w:p>
        </w:tc>
        <w:tc>
          <w:tcPr>
            <w:tcW w:w="2394" w:type="dxa"/>
          </w:tcPr>
          <w:p>
            <w:pPr>
              <w:pStyle w:val="TableParagraph"/>
              <w:spacing w:line="292" w:lineRule="exact"/>
              <w:ind w:left="126" w:right="110"/>
              <w:jc w:val="center"/>
              <w:rPr>
                <w:rFonts w:ascii="Calibri"/>
                <w:sz w:val="24"/>
              </w:rPr>
            </w:pPr>
            <w:r>
              <w:rPr>
                <w:rFonts w:ascii="Calibri"/>
                <w:spacing w:val="-2"/>
                <w:sz w:val="24"/>
              </w:rPr>
              <w:t>$583,520</w:t>
            </w:r>
          </w:p>
        </w:tc>
      </w:tr>
      <w:tr>
        <w:trPr>
          <w:trHeight w:val="673" w:hRule="atLeast"/>
        </w:trPr>
        <w:tc>
          <w:tcPr>
            <w:tcW w:w="1726" w:type="dxa"/>
          </w:tcPr>
          <w:p>
            <w:pPr>
              <w:pStyle w:val="TableParagraph"/>
              <w:spacing w:line="292" w:lineRule="exact"/>
              <w:ind w:left="107"/>
              <w:rPr>
                <w:rFonts w:ascii="Calibri"/>
                <w:sz w:val="24"/>
              </w:rPr>
            </w:pPr>
            <w:r>
              <w:rPr>
                <w:rFonts w:ascii="Calibri"/>
                <w:sz w:val="24"/>
              </w:rPr>
              <w:t>BSOOB</w:t>
            </w:r>
            <w:r>
              <w:rPr>
                <w:rFonts w:ascii="Calibri"/>
                <w:spacing w:val="-3"/>
                <w:sz w:val="24"/>
              </w:rPr>
              <w:t> </w:t>
            </w:r>
            <w:r>
              <w:rPr>
                <w:rFonts w:ascii="Calibri"/>
                <w:spacing w:val="-2"/>
                <w:sz w:val="24"/>
              </w:rPr>
              <w:t>Transit</w:t>
            </w:r>
          </w:p>
        </w:tc>
        <w:tc>
          <w:tcPr>
            <w:tcW w:w="1440" w:type="dxa"/>
          </w:tcPr>
          <w:p>
            <w:pPr>
              <w:pStyle w:val="TableParagraph"/>
              <w:spacing w:line="292" w:lineRule="exact"/>
              <w:ind w:right="373"/>
              <w:jc w:val="right"/>
              <w:rPr>
                <w:rFonts w:ascii="Calibri"/>
                <w:sz w:val="24"/>
              </w:rPr>
            </w:pPr>
            <w:r>
              <w:rPr>
                <w:rFonts w:ascii="Calibri"/>
                <w:spacing w:val="-2"/>
                <w:sz w:val="24"/>
              </w:rPr>
              <w:t>51,488</w:t>
            </w:r>
          </w:p>
        </w:tc>
        <w:tc>
          <w:tcPr>
            <w:tcW w:w="974" w:type="dxa"/>
          </w:tcPr>
          <w:p>
            <w:pPr>
              <w:pStyle w:val="TableParagraph"/>
              <w:spacing w:line="292" w:lineRule="exact"/>
              <w:ind w:right="140"/>
              <w:jc w:val="right"/>
              <w:rPr>
                <w:rFonts w:ascii="Calibri"/>
                <w:sz w:val="24"/>
              </w:rPr>
            </w:pPr>
            <w:r>
              <w:rPr>
                <w:rFonts w:ascii="Calibri"/>
                <w:spacing w:val="-2"/>
                <w:sz w:val="24"/>
              </w:rPr>
              <w:t>46,693</w:t>
            </w:r>
          </w:p>
        </w:tc>
        <w:tc>
          <w:tcPr>
            <w:tcW w:w="895" w:type="dxa"/>
          </w:tcPr>
          <w:p>
            <w:pPr>
              <w:pStyle w:val="TableParagraph"/>
              <w:spacing w:line="292" w:lineRule="exact"/>
              <w:ind w:left="126" w:right="117"/>
              <w:jc w:val="center"/>
              <w:rPr>
                <w:rFonts w:ascii="Calibri"/>
                <w:sz w:val="24"/>
              </w:rPr>
            </w:pPr>
            <w:r>
              <w:rPr>
                <w:rFonts w:ascii="Calibri"/>
                <w:spacing w:val="-2"/>
                <w:sz w:val="24"/>
              </w:rPr>
              <w:t>90.69</w:t>
            </w:r>
          </w:p>
          <w:p>
            <w:pPr>
              <w:pStyle w:val="TableParagraph"/>
              <w:spacing w:line="240" w:lineRule="auto" w:before="43"/>
              <w:ind w:left="10"/>
              <w:jc w:val="center"/>
              <w:rPr>
                <w:rFonts w:ascii="Calibri"/>
                <w:sz w:val="24"/>
              </w:rPr>
            </w:pPr>
            <w:r>
              <w:rPr>
                <w:rFonts w:ascii="Calibri"/>
                <w:sz w:val="24"/>
              </w:rPr>
              <w:t>%</w:t>
            </w:r>
          </w:p>
        </w:tc>
        <w:tc>
          <w:tcPr>
            <w:tcW w:w="1101" w:type="dxa"/>
          </w:tcPr>
          <w:p>
            <w:pPr>
              <w:pStyle w:val="TableParagraph"/>
              <w:spacing w:line="292" w:lineRule="exact"/>
              <w:ind w:left="262" w:right="252"/>
              <w:jc w:val="center"/>
              <w:rPr>
                <w:rFonts w:ascii="Calibri"/>
                <w:sz w:val="24"/>
              </w:rPr>
            </w:pPr>
            <w:r>
              <w:rPr>
                <w:rFonts w:ascii="Calibri"/>
                <w:spacing w:val="-2"/>
                <w:sz w:val="24"/>
              </w:rPr>
              <w:t>4,795</w:t>
            </w:r>
          </w:p>
        </w:tc>
        <w:tc>
          <w:tcPr>
            <w:tcW w:w="1168" w:type="dxa"/>
          </w:tcPr>
          <w:p>
            <w:pPr>
              <w:pStyle w:val="TableParagraph"/>
              <w:spacing w:line="292" w:lineRule="exact"/>
              <w:ind w:left="286"/>
              <w:rPr>
                <w:rFonts w:ascii="Calibri"/>
                <w:sz w:val="24"/>
              </w:rPr>
            </w:pPr>
            <w:r>
              <w:rPr>
                <w:rFonts w:ascii="Calibri"/>
                <w:spacing w:val="-4"/>
                <w:sz w:val="24"/>
              </w:rPr>
              <w:t>9.31%</w:t>
            </w:r>
          </w:p>
        </w:tc>
        <w:tc>
          <w:tcPr>
            <w:tcW w:w="2394" w:type="dxa"/>
          </w:tcPr>
          <w:p>
            <w:pPr>
              <w:pStyle w:val="TableParagraph"/>
              <w:spacing w:line="292" w:lineRule="exact"/>
              <w:ind w:left="123" w:right="110"/>
              <w:jc w:val="center"/>
              <w:rPr>
                <w:rFonts w:ascii="Calibri"/>
                <w:sz w:val="24"/>
              </w:rPr>
            </w:pPr>
            <w:r>
              <w:rPr>
                <w:rFonts w:ascii="Calibri"/>
                <w:spacing w:val="-2"/>
                <w:sz w:val="24"/>
              </w:rPr>
              <w:t>$1,659,720</w:t>
            </w:r>
          </w:p>
        </w:tc>
      </w:tr>
      <w:tr>
        <w:trPr>
          <w:trHeight w:val="674" w:hRule="atLeast"/>
        </w:trPr>
        <w:tc>
          <w:tcPr>
            <w:tcW w:w="1726" w:type="dxa"/>
          </w:tcPr>
          <w:p>
            <w:pPr>
              <w:pStyle w:val="TableParagraph"/>
              <w:spacing w:line="292" w:lineRule="exact"/>
              <w:ind w:left="107"/>
              <w:rPr>
                <w:rFonts w:ascii="Calibri"/>
                <w:sz w:val="24"/>
              </w:rPr>
            </w:pPr>
            <w:r>
              <w:rPr>
                <w:rFonts w:ascii="Calibri"/>
                <w:sz w:val="24"/>
              </w:rPr>
              <w:t>Sanford</w:t>
            </w:r>
            <w:r>
              <w:rPr>
                <w:rFonts w:ascii="Calibri"/>
                <w:spacing w:val="-2"/>
                <w:sz w:val="24"/>
              </w:rPr>
              <w:t> Transit</w:t>
            </w:r>
          </w:p>
        </w:tc>
        <w:tc>
          <w:tcPr>
            <w:tcW w:w="1440" w:type="dxa"/>
          </w:tcPr>
          <w:p>
            <w:pPr>
              <w:pStyle w:val="TableParagraph"/>
              <w:spacing w:line="292" w:lineRule="exact"/>
              <w:ind w:right="376"/>
              <w:jc w:val="right"/>
              <w:rPr>
                <w:rFonts w:ascii="Calibri"/>
                <w:sz w:val="24"/>
              </w:rPr>
            </w:pPr>
            <w:r>
              <w:rPr>
                <w:rFonts w:ascii="Calibri"/>
                <w:spacing w:val="-2"/>
                <w:sz w:val="24"/>
              </w:rPr>
              <w:t>21,812</w:t>
            </w:r>
          </w:p>
        </w:tc>
        <w:tc>
          <w:tcPr>
            <w:tcW w:w="974" w:type="dxa"/>
          </w:tcPr>
          <w:p>
            <w:pPr>
              <w:pStyle w:val="TableParagraph"/>
              <w:spacing w:line="292" w:lineRule="exact"/>
              <w:ind w:right="140"/>
              <w:jc w:val="right"/>
              <w:rPr>
                <w:rFonts w:ascii="Calibri"/>
                <w:sz w:val="24"/>
              </w:rPr>
            </w:pPr>
            <w:r>
              <w:rPr>
                <w:rFonts w:ascii="Calibri"/>
                <w:spacing w:val="-2"/>
                <w:sz w:val="24"/>
              </w:rPr>
              <w:t>20,063</w:t>
            </w:r>
          </w:p>
        </w:tc>
        <w:tc>
          <w:tcPr>
            <w:tcW w:w="895" w:type="dxa"/>
          </w:tcPr>
          <w:p>
            <w:pPr>
              <w:pStyle w:val="TableParagraph"/>
              <w:spacing w:line="292" w:lineRule="exact"/>
              <w:ind w:left="126" w:right="117"/>
              <w:jc w:val="center"/>
              <w:rPr>
                <w:rFonts w:ascii="Calibri"/>
                <w:sz w:val="24"/>
              </w:rPr>
            </w:pPr>
            <w:r>
              <w:rPr>
                <w:rFonts w:ascii="Calibri"/>
                <w:spacing w:val="-2"/>
                <w:sz w:val="24"/>
              </w:rPr>
              <w:t>91.98</w:t>
            </w:r>
          </w:p>
          <w:p>
            <w:pPr>
              <w:pStyle w:val="TableParagraph"/>
              <w:spacing w:line="240" w:lineRule="auto" w:before="43"/>
              <w:ind w:left="10"/>
              <w:jc w:val="center"/>
              <w:rPr>
                <w:rFonts w:ascii="Calibri"/>
                <w:sz w:val="24"/>
              </w:rPr>
            </w:pPr>
            <w:r>
              <w:rPr>
                <w:rFonts w:ascii="Calibri"/>
                <w:sz w:val="24"/>
              </w:rPr>
              <w:t>%</w:t>
            </w:r>
          </w:p>
        </w:tc>
        <w:tc>
          <w:tcPr>
            <w:tcW w:w="1101" w:type="dxa"/>
          </w:tcPr>
          <w:p>
            <w:pPr>
              <w:pStyle w:val="TableParagraph"/>
              <w:spacing w:line="292" w:lineRule="exact"/>
              <w:ind w:left="262" w:right="252"/>
              <w:jc w:val="center"/>
              <w:rPr>
                <w:rFonts w:ascii="Calibri"/>
                <w:sz w:val="24"/>
              </w:rPr>
            </w:pPr>
            <w:r>
              <w:rPr>
                <w:rFonts w:ascii="Calibri"/>
                <w:spacing w:val="-2"/>
                <w:sz w:val="24"/>
              </w:rPr>
              <w:t>1,749</w:t>
            </w:r>
          </w:p>
        </w:tc>
        <w:tc>
          <w:tcPr>
            <w:tcW w:w="1168" w:type="dxa"/>
          </w:tcPr>
          <w:p>
            <w:pPr>
              <w:pStyle w:val="TableParagraph"/>
              <w:spacing w:line="292" w:lineRule="exact"/>
              <w:ind w:left="286"/>
              <w:rPr>
                <w:rFonts w:ascii="Calibri"/>
                <w:sz w:val="24"/>
              </w:rPr>
            </w:pPr>
            <w:r>
              <w:rPr>
                <w:rFonts w:ascii="Calibri"/>
                <w:spacing w:val="-4"/>
                <w:sz w:val="24"/>
              </w:rPr>
              <w:t>8.02%</w:t>
            </w:r>
          </w:p>
        </w:tc>
        <w:tc>
          <w:tcPr>
            <w:tcW w:w="2394" w:type="dxa"/>
          </w:tcPr>
          <w:p>
            <w:pPr>
              <w:pStyle w:val="TableParagraph"/>
              <w:spacing w:line="292" w:lineRule="exact"/>
              <w:ind w:left="176" w:right="107"/>
              <w:jc w:val="center"/>
              <w:rPr>
                <w:rFonts w:ascii="Calibri"/>
                <w:i/>
                <w:sz w:val="24"/>
              </w:rPr>
            </w:pPr>
            <w:r>
              <w:rPr>
                <w:rFonts w:ascii="Calibri"/>
                <w:i/>
                <w:sz w:val="24"/>
              </w:rPr>
              <w:t>part</w:t>
            </w:r>
            <w:r>
              <w:rPr>
                <w:rFonts w:ascii="Calibri"/>
                <w:i/>
                <w:spacing w:val="-1"/>
                <w:sz w:val="24"/>
              </w:rPr>
              <w:t> </w:t>
            </w:r>
            <w:r>
              <w:rPr>
                <w:rFonts w:ascii="Calibri"/>
                <w:i/>
                <w:sz w:val="24"/>
              </w:rPr>
              <w:t>of YCCAC</w:t>
            </w:r>
            <w:r>
              <w:rPr>
                <w:rFonts w:ascii="Calibri"/>
                <w:i/>
                <w:spacing w:val="-1"/>
                <w:sz w:val="24"/>
              </w:rPr>
              <w:t> </w:t>
            </w:r>
            <w:r>
              <w:rPr>
                <w:rFonts w:ascii="Calibri"/>
                <w:i/>
                <w:spacing w:val="-2"/>
                <w:sz w:val="24"/>
              </w:rPr>
              <w:t>overall</w:t>
            </w:r>
          </w:p>
          <w:p>
            <w:pPr>
              <w:pStyle w:val="TableParagraph"/>
              <w:spacing w:line="240" w:lineRule="auto" w:before="43"/>
              <w:ind w:left="120" w:right="110"/>
              <w:jc w:val="center"/>
              <w:rPr>
                <w:rFonts w:ascii="Calibri"/>
                <w:i/>
                <w:sz w:val="24"/>
              </w:rPr>
            </w:pPr>
            <w:r>
              <w:rPr>
                <w:rFonts w:ascii="Calibri"/>
                <w:i/>
                <w:spacing w:val="-2"/>
                <w:sz w:val="24"/>
              </w:rPr>
              <w:t>allocation</w:t>
            </w:r>
          </w:p>
        </w:tc>
      </w:tr>
    </w:tbl>
    <w:p>
      <w:pPr>
        <w:spacing w:line="244" w:lineRule="exact" w:before="3"/>
        <w:ind w:left="840" w:right="0" w:firstLine="0"/>
        <w:jc w:val="left"/>
        <w:rPr>
          <w:sz w:val="20"/>
        </w:rPr>
      </w:pPr>
      <w:r>
        <w:rPr>
          <w:spacing w:val="-2"/>
          <w:sz w:val="20"/>
        </w:rPr>
        <w:t>Note:</w:t>
      </w:r>
    </w:p>
    <w:p>
      <w:pPr>
        <w:pStyle w:val="ListParagraph"/>
        <w:numPr>
          <w:ilvl w:val="0"/>
          <w:numId w:val="27"/>
        </w:numPr>
        <w:tabs>
          <w:tab w:pos="1612" w:val="left" w:leader="none"/>
        </w:tabs>
        <w:spacing w:line="254" w:lineRule="exact" w:before="0" w:after="0"/>
        <w:ind w:left="1612" w:right="0" w:hanging="360"/>
        <w:jc w:val="left"/>
        <w:rPr>
          <w:rFonts w:ascii="Symbol" w:hAnsi="Symbol"/>
          <w:sz w:val="20"/>
        </w:rPr>
      </w:pPr>
      <w:r>
        <w:rPr>
          <w:sz w:val="20"/>
        </w:rPr>
        <w:t>Bath</w:t>
      </w:r>
      <w:r>
        <w:rPr>
          <w:spacing w:val="-5"/>
          <w:sz w:val="20"/>
        </w:rPr>
        <w:t> </w:t>
      </w:r>
      <w:r>
        <w:rPr>
          <w:sz w:val="20"/>
        </w:rPr>
        <w:t>CityBus</w:t>
      </w:r>
      <w:r>
        <w:rPr>
          <w:spacing w:val="-4"/>
          <w:sz w:val="20"/>
        </w:rPr>
        <w:t> </w:t>
      </w:r>
      <w:r>
        <w:rPr>
          <w:sz w:val="20"/>
        </w:rPr>
        <w:t>serves</w:t>
      </w:r>
      <w:r>
        <w:rPr>
          <w:spacing w:val="-4"/>
          <w:sz w:val="20"/>
        </w:rPr>
        <w:t> </w:t>
      </w:r>
      <w:r>
        <w:rPr>
          <w:sz w:val="20"/>
        </w:rPr>
        <w:t>the</w:t>
      </w:r>
      <w:r>
        <w:rPr>
          <w:spacing w:val="-6"/>
          <w:sz w:val="20"/>
        </w:rPr>
        <w:t> </w:t>
      </w:r>
      <w:r>
        <w:rPr>
          <w:sz w:val="20"/>
        </w:rPr>
        <w:t>City</w:t>
      </w:r>
      <w:r>
        <w:rPr>
          <w:spacing w:val="-4"/>
          <w:sz w:val="20"/>
        </w:rPr>
        <w:t> </w:t>
      </w:r>
      <w:r>
        <w:rPr>
          <w:sz w:val="20"/>
        </w:rPr>
        <w:t>of</w:t>
      </w:r>
      <w:r>
        <w:rPr>
          <w:spacing w:val="-6"/>
          <w:sz w:val="20"/>
        </w:rPr>
        <w:t> </w:t>
      </w:r>
      <w:r>
        <w:rPr>
          <w:sz w:val="20"/>
        </w:rPr>
        <w:t>Bath;</w:t>
      </w:r>
      <w:r>
        <w:rPr>
          <w:spacing w:val="-6"/>
          <w:sz w:val="20"/>
        </w:rPr>
        <w:t> </w:t>
      </w:r>
      <w:r>
        <w:rPr>
          <w:sz w:val="20"/>
        </w:rPr>
        <w:t>*Bath</w:t>
      </w:r>
      <w:r>
        <w:rPr>
          <w:spacing w:val="-4"/>
          <w:sz w:val="20"/>
        </w:rPr>
        <w:t> </w:t>
      </w:r>
      <w:r>
        <w:rPr>
          <w:sz w:val="20"/>
        </w:rPr>
        <w:t>service</w:t>
      </w:r>
      <w:r>
        <w:rPr>
          <w:spacing w:val="-6"/>
          <w:sz w:val="20"/>
        </w:rPr>
        <w:t> </w:t>
      </w:r>
      <w:r>
        <w:rPr>
          <w:sz w:val="20"/>
        </w:rPr>
        <w:t>now</w:t>
      </w:r>
      <w:r>
        <w:rPr>
          <w:spacing w:val="-6"/>
          <w:sz w:val="20"/>
        </w:rPr>
        <w:t> </w:t>
      </w:r>
      <w:r>
        <w:rPr>
          <w:sz w:val="20"/>
        </w:rPr>
        <w:t>operated</w:t>
      </w:r>
      <w:r>
        <w:rPr>
          <w:spacing w:val="-4"/>
          <w:sz w:val="20"/>
        </w:rPr>
        <w:t> </w:t>
      </w:r>
      <w:r>
        <w:rPr>
          <w:sz w:val="20"/>
        </w:rPr>
        <w:t>by</w:t>
      </w:r>
      <w:r>
        <w:rPr>
          <w:spacing w:val="-4"/>
          <w:sz w:val="20"/>
        </w:rPr>
        <w:t> </w:t>
      </w:r>
      <w:r>
        <w:rPr>
          <w:sz w:val="20"/>
        </w:rPr>
        <w:t>Western</w:t>
      </w:r>
      <w:r>
        <w:rPr>
          <w:spacing w:val="-4"/>
          <w:sz w:val="20"/>
        </w:rPr>
        <w:t> </w:t>
      </w:r>
      <w:r>
        <w:rPr>
          <w:sz w:val="20"/>
        </w:rPr>
        <w:t>Maine</w:t>
      </w:r>
      <w:r>
        <w:rPr>
          <w:spacing w:val="-6"/>
          <w:sz w:val="20"/>
        </w:rPr>
        <w:t> </w:t>
      </w:r>
      <w:r>
        <w:rPr>
          <w:spacing w:val="-2"/>
          <w:sz w:val="20"/>
        </w:rPr>
        <w:t>Transportation</w:t>
      </w:r>
    </w:p>
    <w:p>
      <w:pPr>
        <w:pStyle w:val="ListParagraph"/>
        <w:numPr>
          <w:ilvl w:val="0"/>
          <w:numId w:val="27"/>
        </w:numPr>
        <w:tabs>
          <w:tab w:pos="1612" w:val="left" w:leader="none"/>
        </w:tabs>
        <w:spacing w:line="240" w:lineRule="auto" w:before="0" w:after="0"/>
        <w:ind w:left="1612" w:right="1021" w:hanging="361"/>
        <w:jc w:val="left"/>
        <w:rPr>
          <w:rFonts w:ascii="Symbol" w:hAnsi="Symbol"/>
          <w:sz w:val="20"/>
        </w:rPr>
      </w:pPr>
      <w:r>
        <w:rPr>
          <w:sz w:val="20"/>
        </w:rPr>
        <w:t>Brunswick</w:t>
      </w:r>
      <w:r>
        <w:rPr>
          <w:spacing w:val="-3"/>
          <w:sz w:val="20"/>
        </w:rPr>
        <w:t> </w:t>
      </w:r>
      <w:r>
        <w:rPr>
          <w:sz w:val="20"/>
        </w:rPr>
        <w:t>Explorer</w:t>
      </w:r>
      <w:r>
        <w:rPr>
          <w:spacing w:val="-3"/>
          <w:sz w:val="20"/>
        </w:rPr>
        <w:t> </w:t>
      </w:r>
      <w:r>
        <w:rPr>
          <w:sz w:val="20"/>
        </w:rPr>
        <w:t>serves</w:t>
      </w:r>
      <w:r>
        <w:rPr>
          <w:spacing w:val="-2"/>
          <w:sz w:val="20"/>
        </w:rPr>
        <w:t> </w:t>
      </w:r>
      <w:r>
        <w:rPr>
          <w:sz w:val="20"/>
        </w:rPr>
        <w:t>the</w:t>
      </w:r>
      <w:r>
        <w:rPr>
          <w:spacing w:val="-4"/>
          <w:sz w:val="20"/>
        </w:rPr>
        <w:t> </w:t>
      </w:r>
      <w:r>
        <w:rPr>
          <w:sz w:val="20"/>
        </w:rPr>
        <w:t>Town</w:t>
      </w:r>
      <w:r>
        <w:rPr>
          <w:spacing w:val="-2"/>
          <w:sz w:val="20"/>
        </w:rPr>
        <w:t> </w:t>
      </w:r>
      <w:r>
        <w:rPr>
          <w:sz w:val="20"/>
        </w:rPr>
        <w:t>of</w:t>
      </w:r>
      <w:r>
        <w:rPr>
          <w:spacing w:val="-4"/>
          <w:sz w:val="20"/>
        </w:rPr>
        <w:t> </w:t>
      </w:r>
      <w:r>
        <w:rPr>
          <w:sz w:val="20"/>
        </w:rPr>
        <w:t>Brunswick;</w:t>
      </w:r>
      <w:r>
        <w:rPr>
          <w:spacing w:val="-4"/>
          <w:sz w:val="20"/>
        </w:rPr>
        <w:t> </w:t>
      </w:r>
      <w:r>
        <w:rPr>
          <w:sz w:val="20"/>
        </w:rPr>
        <w:t>renamed</w:t>
      </w:r>
      <w:r>
        <w:rPr>
          <w:spacing w:val="-2"/>
          <w:sz w:val="20"/>
        </w:rPr>
        <w:t> </w:t>
      </w:r>
      <w:r>
        <w:rPr>
          <w:sz w:val="20"/>
        </w:rPr>
        <w:t>to</w:t>
      </w:r>
      <w:r>
        <w:rPr>
          <w:spacing w:val="-3"/>
          <w:sz w:val="20"/>
        </w:rPr>
        <w:t> </w:t>
      </w:r>
      <w:r>
        <w:rPr>
          <w:sz w:val="20"/>
        </w:rPr>
        <w:t>Brunswick</w:t>
      </w:r>
      <w:r>
        <w:rPr>
          <w:spacing w:val="-2"/>
          <w:sz w:val="20"/>
        </w:rPr>
        <w:t> </w:t>
      </w:r>
      <w:r>
        <w:rPr>
          <w:sz w:val="20"/>
        </w:rPr>
        <w:t>Link,</w:t>
      </w:r>
      <w:r>
        <w:rPr>
          <w:spacing w:val="-2"/>
          <w:sz w:val="20"/>
        </w:rPr>
        <w:t> </w:t>
      </w:r>
      <w:r>
        <w:rPr>
          <w:sz w:val="20"/>
        </w:rPr>
        <w:t>now</w:t>
      </w:r>
      <w:r>
        <w:rPr>
          <w:spacing w:val="-4"/>
          <w:sz w:val="20"/>
        </w:rPr>
        <w:t> </w:t>
      </w:r>
      <w:r>
        <w:rPr>
          <w:sz w:val="20"/>
        </w:rPr>
        <w:t>fixed</w:t>
      </w:r>
      <w:r>
        <w:rPr>
          <w:spacing w:val="-2"/>
          <w:sz w:val="20"/>
        </w:rPr>
        <w:t> </w:t>
      </w:r>
      <w:r>
        <w:rPr>
          <w:sz w:val="20"/>
        </w:rPr>
        <w:t>route</w:t>
      </w:r>
      <w:r>
        <w:rPr>
          <w:spacing w:val="-4"/>
          <w:sz w:val="20"/>
        </w:rPr>
        <w:t> </w:t>
      </w:r>
      <w:r>
        <w:rPr>
          <w:sz w:val="20"/>
        </w:rPr>
        <w:t>with</w:t>
      </w:r>
      <w:r>
        <w:rPr>
          <w:spacing w:val="-2"/>
          <w:sz w:val="20"/>
        </w:rPr>
        <w:t> </w:t>
      </w:r>
      <w:r>
        <w:rPr>
          <w:sz w:val="20"/>
        </w:rPr>
        <w:t>ADA </w:t>
      </w:r>
      <w:r>
        <w:rPr>
          <w:spacing w:val="-2"/>
          <w:sz w:val="20"/>
        </w:rPr>
        <w:t>paratransit</w:t>
      </w:r>
    </w:p>
    <w:p>
      <w:pPr>
        <w:pStyle w:val="ListParagraph"/>
        <w:numPr>
          <w:ilvl w:val="0"/>
          <w:numId w:val="27"/>
        </w:numPr>
        <w:tabs>
          <w:tab w:pos="1612" w:val="left" w:leader="none"/>
        </w:tabs>
        <w:spacing w:line="255" w:lineRule="exact" w:before="0" w:after="0"/>
        <w:ind w:left="1612" w:right="0" w:hanging="360"/>
        <w:jc w:val="left"/>
        <w:rPr>
          <w:rFonts w:ascii="Symbol" w:hAnsi="Symbol"/>
          <w:sz w:val="20"/>
        </w:rPr>
      </w:pPr>
      <w:r>
        <w:rPr>
          <w:sz w:val="20"/>
        </w:rPr>
        <w:t>Kennebec</w:t>
      </w:r>
      <w:r>
        <w:rPr>
          <w:spacing w:val="-10"/>
          <w:sz w:val="20"/>
        </w:rPr>
        <w:t> </w:t>
      </w:r>
      <w:r>
        <w:rPr>
          <w:sz w:val="20"/>
        </w:rPr>
        <w:t>Explorer</w:t>
      </w:r>
      <w:r>
        <w:rPr>
          <w:spacing w:val="-9"/>
          <w:sz w:val="20"/>
        </w:rPr>
        <w:t> </w:t>
      </w:r>
      <w:r>
        <w:rPr>
          <w:sz w:val="20"/>
        </w:rPr>
        <w:t>serves</w:t>
      </w:r>
      <w:r>
        <w:rPr>
          <w:spacing w:val="-8"/>
          <w:sz w:val="20"/>
        </w:rPr>
        <w:t> </w:t>
      </w:r>
      <w:r>
        <w:rPr>
          <w:sz w:val="20"/>
        </w:rPr>
        <w:t>Waterville,</w:t>
      </w:r>
      <w:r>
        <w:rPr>
          <w:spacing w:val="-9"/>
          <w:sz w:val="20"/>
        </w:rPr>
        <w:t> </w:t>
      </w:r>
      <w:r>
        <w:rPr>
          <w:sz w:val="20"/>
        </w:rPr>
        <w:t>Winslow,</w:t>
      </w:r>
      <w:r>
        <w:rPr>
          <w:spacing w:val="-8"/>
          <w:sz w:val="20"/>
        </w:rPr>
        <w:t> </w:t>
      </w:r>
      <w:r>
        <w:rPr>
          <w:sz w:val="20"/>
        </w:rPr>
        <w:t>Augusta,</w:t>
      </w:r>
      <w:r>
        <w:rPr>
          <w:spacing w:val="-8"/>
          <w:sz w:val="20"/>
        </w:rPr>
        <w:t> </w:t>
      </w:r>
      <w:r>
        <w:rPr>
          <w:sz w:val="20"/>
        </w:rPr>
        <w:t>Farmingdale,</w:t>
      </w:r>
      <w:r>
        <w:rPr>
          <w:spacing w:val="-9"/>
          <w:sz w:val="20"/>
        </w:rPr>
        <w:t> </w:t>
      </w:r>
      <w:r>
        <w:rPr>
          <w:sz w:val="20"/>
        </w:rPr>
        <w:t>Hallowell</w:t>
      </w:r>
      <w:r>
        <w:rPr>
          <w:spacing w:val="-9"/>
          <w:sz w:val="20"/>
        </w:rPr>
        <w:t> </w:t>
      </w:r>
      <w:r>
        <w:rPr>
          <w:sz w:val="20"/>
        </w:rPr>
        <w:t>and</w:t>
      </w:r>
      <w:r>
        <w:rPr>
          <w:spacing w:val="-8"/>
          <w:sz w:val="20"/>
        </w:rPr>
        <w:t> </w:t>
      </w:r>
      <w:r>
        <w:rPr>
          <w:spacing w:val="-2"/>
          <w:sz w:val="20"/>
        </w:rPr>
        <w:t>Gardiner;</w:t>
      </w:r>
    </w:p>
    <w:p>
      <w:pPr>
        <w:pStyle w:val="ListParagraph"/>
        <w:numPr>
          <w:ilvl w:val="0"/>
          <w:numId w:val="27"/>
        </w:numPr>
        <w:tabs>
          <w:tab w:pos="1612" w:val="left" w:leader="none"/>
        </w:tabs>
        <w:spacing w:line="254" w:lineRule="exact" w:before="0" w:after="0"/>
        <w:ind w:left="1612" w:right="0" w:hanging="360"/>
        <w:jc w:val="left"/>
        <w:rPr>
          <w:rFonts w:ascii="Symbol" w:hAnsi="Symbol"/>
          <w:sz w:val="20"/>
        </w:rPr>
      </w:pPr>
      <w:r>
        <w:rPr>
          <w:sz w:val="20"/>
        </w:rPr>
        <w:t>BSOOB</w:t>
      </w:r>
      <w:r>
        <w:rPr>
          <w:spacing w:val="-5"/>
          <w:sz w:val="20"/>
        </w:rPr>
        <w:t> </w:t>
      </w:r>
      <w:r>
        <w:rPr>
          <w:sz w:val="20"/>
        </w:rPr>
        <w:t>Transit</w:t>
      </w:r>
      <w:r>
        <w:rPr>
          <w:spacing w:val="-4"/>
          <w:sz w:val="20"/>
        </w:rPr>
        <w:t> </w:t>
      </w:r>
      <w:r>
        <w:rPr>
          <w:sz w:val="20"/>
        </w:rPr>
        <w:t>serves</w:t>
      </w:r>
      <w:r>
        <w:rPr>
          <w:spacing w:val="-5"/>
          <w:sz w:val="20"/>
        </w:rPr>
        <w:t> </w:t>
      </w:r>
      <w:r>
        <w:rPr>
          <w:sz w:val="20"/>
        </w:rPr>
        <w:t>Biddeford,</w:t>
      </w:r>
      <w:r>
        <w:rPr>
          <w:spacing w:val="-5"/>
          <w:sz w:val="20"/>
        </w:rPr>
        <w:t> </w:t>
      </w:r>
      <w:r>
        <w:rPr>
          <w:sz w:val="20"/>
        </w:rPr>
        <w:t>Saco</w:t>
      </w:r>
      <w:r>
        <w:rPr>
          <w:spacing w:val="-6"/>
          <w:sz w:val="20"/>
        </w:rPr>
        <w:t> </w:t>
      </w:r>
      <w:r>
        <w:rPr>
          <w:sz w:val="20"/>
        </w:rPr>
        <w:t>and</w:t>
      </w:r>
      <w:r>
        <w:rPr>
          <w:spacing w:val="-5"/>
          <w:sz w:val="20"/>
        </w:rPr>
        <w:t> </w:t>
      </w:r>
      <w:r>
        <w:rPr>
          <w:sz w:val="20"/>
        </w:rPr>
        <w:t>Old</w:t>
      </w:r>
      <w:r>
        <w:rPr>
          <w:spacing w:val="-5"/>
          <w:sz w:val="20"/>
        </w:rPr>
        <w:t> </w:t>
      </w:r>
      <w:r>
        <w:rPr>
          <w:sz w:val="20"/>
        </w:rPr>
        <w:t>Orchard</w:t>
      </w:r>
      <w:r>
        <w:rPr>
          <w:spacing w:val="-5"/>
          <w:sz w:val="20"/>
        </w:rPr>
        <w:t> </w:t>
      </w:r>
      <w:r>
        <w:rPr>
          <w:spacing w:val="-2"/>
          <w:sz w:val="20"/>
        </w:rPr>
        <w:t>Beach;</w:t>
      </w:r>
    </w:p>
    <w:p>
      <w:pPr>
        <w:pStyle w:val="ListParagraph"/>
        <w:numPr>
          <w:ilvl w:val="0"/>
          <w:numId w:val="27"/>
        </w:numPr>
        <w:tabs>
          <w:tab w:pos="1612" w:val="left" w:leader="none"/>
        </w:tabs>
        <w:spacing w:line="240" w:lineRule="auto" w:before="0" w:after="0"/>
        <w:ind w:left="840" w:right="5330" w:firstLine="412"/>
        <w:jc w:val="left"/>
        <w:rPr>
          <w:rFonts w:ascii="Symbol" w:hAnsi="Symbol"/>
          <w:sz w:val="20"/>
        </w:rPr>
      </w:pPr>
      <w:r>
        <w:rPr>
          <w:sz w:val="20"/>
        </w:rPr>
        <w:t>Sanford Transit serves the Town of Sanford. </w:t>
      </w:r>
      <w:r>
        <w:rPr>
          <w:sz w:val="20"/>
          <w:vertAlign w:val="superscript"/>
        </w:rPr>
        <w:t>1</w:t>
      </w:r>
      <w:r>
        <w:rPr>
          <w:sz w:val="20"/>
          <w:vertAlign w:val="baseline"/>
        </w:rPr>
        <w:t>Source:</w:t>
      </w:r>
      <w:r>
        <w:rPr>
          <w:spacing w:val="-7"/>
          <w:sz w:val="20"/>
          <w:vertAlign w:val="baseline"/>
        </w:rPr>
        <w:t> </w:t>
      </w:r>
      <w:r>
        <w:rPr>
          <w:sz w:val="20"/>
          <w:vertAlign w:val="baseline"/>
        </w:rPr>
        <w:t>American</w:t>
      </w:r>
      <w:r>
        <w:rPr>
          <w:spacing w:val="-6"/>
          <w:sz w:val="20"/>
          <w:vertAlign w:val="baseline"/>
        </w:rPr>
        <w:t> </w:t>
      </w:r>
      <w:r>
        <w:rPr>
          <w:sz w:val="20"/>
          <w:vertAlign w:val="baseline"/>
        </w:rPr>
        <w:t>Community</w:t>
      </w:r>
      <w:r>
        <w:rPr>
          <w:spacing w:val="-6"/>
          <w:sz w:val="20"/>
          <w:vertAlign w:val="baseline"/>
        </w:rPr>
        <w:t> </w:t>
      </w:r>
      <w:r>
        <w:rPr>
          <w:sz w:val="20"/>
          <w:vertAlign w:val="baseline"/>
        </w:rPr>
        <w:t>Survey</w:t>
      </w:r>
      <w:r>
        <w:rPr>
          <w:spacing w:val="-6"/>
          <w:sz w:val="20"/>
          <w:vertAlign w:val="baseline"/>
        </w:rPr>
        <w:t> </w:t>
      </w:r>
      <w:r>
        <w:rPr>
          <w:sz w:val="20"/>
          <w:vertAlign w:val="baseline"/>
        </w:rPr>
        <w:t>5</w:t>
      </w:r>
      <w:r>
        <w:rPr>
          <w:spacing w:val="-6"/>
          <w:sz w:val="20"/>
          <w:vertAlign w:val="baseline"/>
        </w:rPr>
        <w:t> </w:t>
      </w:r>
      <w:r>
        <w:rPr>
          <w:sz w:val="20"/>
          <w:vertAlign w:val="baseline"/>
        </w:rPr>
        <w:t>Year</w:t>
      </w:r>
      <w:r>
        <w:rPr>
          <w:spacing w:val="-6"/>
          <w:sz w:val="20"/>
          <w:vertAlign w:val="baseline"/>
        </w:rPr>
        <w:t> </w:t>
      </w:r>
      <w:r>
        <w:rPr>
          <w:sz w:val="20"/>
          <w:vertAlign w:val="baseline"/>
        </w:rPr>
        <w:t>Estimates,</w:t>
      </w:r>
      <w:r>
        <w:rPr>
          <w:spacing w:val="-6"/>
          <w:sz w:val="20"/>
          <w:vertAlign w:val="baseline"/>
        </w:rPr>
        <w:t> </w:t>
      </w:r>
      <w:r>
        <w:rPr>
          <w:sz w:val="20"/>
          <w:vertAlign w:val="baseline"/>
        </w:rPr>
        <w:t>2021 </w:t>
      </w:r>
      <w:r>
        <w:rPr>
          <w:sz w:val="20"/>
          <w:vertAlign w:val="superscript"/>
        </w:rPr>
        <w:t>2</w:t>
      </w:r>
      <w:r>
        <w:rPr>
          <w:sz w:val="20"/>
          <w:vertAlign w:val="baseline"/>
        </w:rPr>
        <w:t> Source: MaineDOT, FFY 2023</w:t>
      </w:r>
    </w:p>
    <w:p>
      <w:pPr>
        <w:pStyle w:val="BodyText"/>
        <w:spacing w:before="12"/>
        <w:rPr>
          <w:sz w:val="23"/>
        </w:rPr>
      </w:pPr>
    </w:p>
    <w:p>
      <w:pPr>
        <w:pStyle w:val="BodyText"/>
        <w:ind w:left="840" w:right="938"/>
        <w:jc w:val="both"/>
      </w:pPr>
      <w:r>
        <w:rPr/>
        <w:t>Please note that the MaineDOT/FTA Funding amounts do not include any recent CARES/CRRSAA/ARPA contract amounts as those were unusual.</w:t>
      </w:r>
    </w:p>
    <w:p>
      <w:pPr>
        <w:pStyle w:val="BodyText"/>
        <w:spacing w:before="11"/>
        <w:rPr>
          <w:sz w:val="23"/>
        </w:rPr>
      </w:pPr>
    </w:p>
    <w:p>
      <w:pPr>
        <w:pStyle w:val="BodyText"/>
        <w:ind w:left="840" w:right="933"/>
        <w:jc w:val="both"/>
      </w:pPr>
      <w:r>
        <w:rPr/>
        <w:t>The</w:t>
      </w:r>
      <w:r>
        <w:rPr>
          <w:spacing w:val="-14"/>
        </w:rPr>
        <w:t> </w:t>
      </w:r>
      <w:r>
        <w:rPr/>
        <w:t>data</w:t>
      </w:r>
      <w:r>
        <w:rPr>
          <w:spacing w:val="-13"/>
        </w:rPr>
        <w:t> </w:t>
      </w:r>
      <w:r>
        <w:rPr/>
        <w:t>in</w:t>
      </w:r>
      <w:r>
        <w:rPr>
          <w:spacing w:val="-12"/>
        </w:rPr>
        <w:t> </w:t>
      </w:r>
      <w:r>
        <w:rPr/>
        <w:t>the</w:t>
      </w:r>
      <w:r>
        <w:rPr>
          <w:spacing w:val="-13"/>
        </w:rPr>
        <w:t> </w:t>
      </w:r>
      <w:r>
        <w:rPr/>
        <w:t>table</w:t>
      </w:r>
      <w:r>
        <w:rPr>
          <w:spacing w:val="-13"/>
        </w:rPr>
        <w:t> </w:t>
      </w:r>
      <w:r>
        <w:rPr/>
        <w:t>above</w:t>
      </w:r>
      <w:r>
        <w:rPr>
          <w:spacing w:val="-11"/>
        </w:rPr>
        <w:t> </w:t>
      </w:r>
      <w:r>
        <w:rPr/>
        <w:t>is</w:t>
      </w:r>
      <w:r>
        <w:rPr>
          <w:spacing w:val="-14"/>
        </w:rPr>
        <w:t> </w:t>
      </w:r>
      <w:r>
        <w:rPr/>
        <w:t>presented</w:t>
      </w:r>
      <w:r>
        <w:rPr>
          <w:spacing w:val="-11"/>
        </w:rPr>
        <w:t> </w:t>
      </w:r>
      <w:r>
        <w:rPr/>
        <w:t>in</w:t>
      </w:r>
      <w:r>
        <w:rPr>
          <w:spacing w:val="-12"/>
        </w:rPr>
        <w:t> </w:t>
      </w:r>
      <w:r>
        <w:rPr/>
        <w:t>chart</w:t>
      </w:r>
      <w:r>
        <w:rPr>
          <w:spacing w:val="-12"/>
        </w:rPr>
        <w:t> </w:t>
      </w:r>
      <w:r>
        <w:rPr/>
        <w:t>form</w:t>
      </w:r>
      <w:r>
        <w:rPr>
          <w:spacing w:val="-13"/>
        </w:rPr>
        <w:t> </w:t>
      </w:r>
      <w:r>
        <w:rPr/>
        <w:t>below.</w:t>
      </w:r>
      <w:r>
        <w:rPr>
          <w:spacing w:val="29"/>
        </w:rPr>
        <w:t> </w:t>
      </w:r>
      <w:r>
        <w:rPr/>
        <w:t>The</w:t>
      </w:r>
      <w:r>
        <w:rPr>
          <w:spacing w:val="-13"/>
        </w:rPr>
        <w:t> </w:t>
      </w:r>
      <w:r>
        <w:rPr/>
        <w:t>funding</w:t>
      </w:r>
      <w:r>
        <w:rPr>
          <w:spacing w:val="-11"/>
        </w:rPr>
        <w:t> </w:t>
      </w:r>
      <w:r>
        <w:rPr/>
        <w:t>line</w:t>
      </w:r>
      <w:r>
        <w:rPr>
          <w:spacing w:val="-11"/>
        </w:rPr>
        <w:t> </w:t>
      </w:r>
      <w:r>
        <w:rPr/>
        <w:t>is</w:t>
      </w:r>
      <w:r>
        <w:rPr>
          <w:spacing w:val="-14"/>
        </w:rPr>
        <w:t> </w:t>
      </w:r>
      <w:r>
        <w:rPr/>
        <w:t>the</w:t>
      </w:r>
      <w:r>
        <w:rPr>
          <w:spacing w:val="-12"/>
        </w:rPr>
        <w:t> </w:t>
      </w:r>
      <w:r>
        <w:rPr/>
        <w:t>total</w:t>
      </w:r>
      <w:r>
        <w:rPr>
          <w:spacing w:val="-13"/>
        </w:rPr>
        <w:t> </w:t>
      </w:r>
      <w:r>
        <w:rPr/>
        <w:t>amount of FTA and MaineDOT funding.</w:t>
      </w:r>
      <w:r>
        <w:rPr>
          <w:spacing w:val="40"/>
        </w:rPr>
        <w:t> </w:t>
      </w:r>
      <w:r>
        <w:rPr/>
        <w:t>The minority factor is the minority population multiplied by </w:t>
      </w:r>
      <w:r>
        <w:rPr>
          <w:spacing w:val="-2"/>
        </w:rPr>
        <w:t>1,000.</w:t>
      </w:r>
    </w:p>
    <w:p>
      <w:pPr>
        <w:spacing w:after="0"/>
        <w:jc w:val="both"/>
        <w:sectPr>
          <w:pgSz w:w="12240" w:h="15840"/>
          <w:pgMar w:header="0" w:footer="997" w:top="960" w:bottom="1260" w:left="600" w:right="500"/>
        </w:sectPr>
      </w:pPr>
    </w:p>
    <w:p>
      <w:pPr>
        <w:pStyle w:val="Heading9"/>
        <w:spacing w:before="35"/>
        <w:ind w:left="840"/>
      </w:pPr>
      <w:r>
        <w:rPr/>
        <w:t>Flex</w:t>
      </w:r>
      <w:r>
        <w:rPr>
          <w:spacing w:val="-2"/>
        </w:rPr>
        <w:t> </w:t>
      </w:r>
      <w:r>
        <w:rPr/>
        <w:t>Route</w:t>
      </w:r>
      <w:r>
        <w:rPr>
          <w:spacing w:val="-2"/>
        </w:rPr>
        <w:t> </w:t>
      </w:r>
      <w:r>
        <w:rPr/>
        <w:t>Funding</w:t>
      </w:r>
      <w:r>
        <w:rPr>
          <w:spacing w:val="-2"/>
        </w:rPr>
        <w:t> </w:t>
      </w:r>
      <w:r>
        <w:rPr/>
        <w:t>vs</w:t>
      </w:r>
      <w:r>
        <w:rPr>
          <w:spacing w:val="-1"/>
        </w:rPr>
        <w:t> </w:t>
      </w:r>
      <w:r>
        <w:rPr/>
        <w:t>Minority</w:t>
      </w:r>
      <w:r>
        <w:rPr>
          <w:spacing w:val="-2"/>
        </w:rPr>
        <w:t> Factor</w:t>
      </w:r>
    </w:p>
    <w:p>
      <w:pPr>
        <w:pStyle w:val="BodyText"/>
        <w:spacing w:before="1"/>
        <w:rPr>
          <w:b/>
          <w:sz w:val="22"/>
        </w:rPr>
      </w:pPr>
      <w:r>
        <w:rPr/>
        <mc:AlternateContent>
          <mc:Choice Requires="wps">
            <w:drawing>
              <wp:anchor distT="0" distB="0" distL="0" distR="0" allowOverlap="1" layoutInCell="1" locked="0" behindDoc="1" simplePos="0" relativeHeight="487597568">
                <wp:simplePos x="0" y="0"/>
                <wp:positionH relativeFrom="page">
                  <wp:posOffset>914400</wp:posOffset>
                </wp:positionH>
                <wp:positionV relativeFrom="paragraph">
                  <wp:posOffset>186455</wp:posOffset>
                </wp:positionV>
                <wp:extent cx="5537200" cy="3251200"/>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5537200" cy="3251200"/>
                          <a:chExt cx="5537200" cy="3251200"/>
                        </a:xfrm>
                      </wpg:grpSpPr>
                      <wps:wsp>
                        <wps:cNvPr id="62" name="Graphic 62"/>
                        <wps:cNvSpPr/>
                        <wps:spPr>
                          <a:xfrm>
                            <a:off x="0" y="0"/>
                            <a:ext cx="5537200" cy="3251200"/>
                          </a:xfrm>
                          <a:custGeom>
                            <a:avLst/>
                            <a:gdLst/>
                            <a:ahLst/>
                            <a:cxnLst/>
                            <a:rect l="l" t="t" r="r" b="b"/>
                            <a:pathLst>
                              <a:path w="5537200" h="3251200">
                                <a:moveTo>
                                  <a:pt x="5536692" y="0"/>
                                </a:moveTo>
                                <a:lnTo>
                                  <a:pt x="5530608" y="0"/>
                                </a:lnTo>
                                <a:lnTo>
                                  <a:pt x="5530596" y="6096"/>
                                </a:lnTo>
                                <a:lnTo>
                                  <a:pt x="5530596" y="3244583"/>
                                </a:lnTo>
                                <a:lnTo>
                                  <a:pt x="6096" y="3244583"/>
                                </a:lnTo>
                                <a:lnTo>
                                  <a:pt x="6096" y="6096"/>
                                </a:lnTo>
                                <a:lnTo>
                                  <a:pt x="5530596" y="6096"/>
                                </a:lnTo>
                                <a:lnTo>
                                  <a:pt x="5530596" y="0"/>
                                </a:lnTo>
                                <a:lnTo>
                                  <a:pt x="6096" y="0"/>
                                </a:lnTo>
                                <a:lnTo>
                                  <a:pt x="0" y="0"/>
                                </a:lnTo>
                                <a:lnTo>
                                  <a:pt x="0" y="6096"/>
                                </a:lnTo>
                                <a:lnTo>
                                  <a:pt x="0" y="3244583"/>
                                </a:lnTo>
                                <a:lnTo>
                                  <a:pt x="0" y="3250692"/>
                                </a:lnTo>
                                <a:lnTo>
                                  <a:pt x="6096" y="3250692"/>
                                </a:lnTo>
                                <a:lnTo>
                                  <a:pt x="5530596" y="3250692"/>
                                </a:lnTo>
                                <a:lnTo>
                                  <a:pt x="5536692" y="3250692"/>
                                </a:lnTo>
                                <a:lnTo>
                                  <a:pt x="5536692" y="3244596"/>
                                </a:lnTo>
                                <a:lnTo>
                                  <a:pt x="5536692" y="6096"/>
                                </a:lnTo>
                                <a:lnTo>
                                  <a:pt x="5536692" y="0"/>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720799" y="147548"/>
                            <a:ext cx="3315335" cy="2308225"/>
                          </a:xfrm>
                          <a:custGeom>
                            <a:avLst/>
                            <a:gdLst/>
                            <a:ahLst/>
                            <a:cxnLst/>
                            <a:rect l="l" t="t" r="r" b="b"/>
                            <a:pathLst>
                              <a:path w="3315335" h="2308225">
                                <a:moveTo>
                                  <a:pt x="0" y="2307615"/>
                                </a:moveTo>
                                <a:lnTo>
                                  <a:pt x="3315195" y="2307615"/>
                                </a:lnTo>
                              </a:path>
                              <a:path w="3315335" h="2308225">
                                <a:moveTo>
                                  <a:pt x="0" y="1845843"/>
                                </a:moveTo>
                                <a:lnTo>
                                  <a:pt x="3315195" y="1845843"/>
                                </a:lnTo>
                              </a:path>
                              <a:path w="3315335" h="2308225">
                                <a:moveTo>
                                  <a:pt x="0" y="1385595"/>
                                </a:moveTo>
                                <a:lnTo>
                                  <a:pt x="3315195" y="1385595"/>
                                </a:lnTo>
                              </a:path>
                              <a:path w="3315335" h="2308225">
                                <a:moveTo>
                                  <a:pt x="0" y="923823"/>
                                </a:moveTo>
                                <a:lnTo>
                                  <a:pt x="3315195" y="923823"/>
                                </a:lnTo>
                              </a:path>
                              <a:path w="3315335" h="2308225">
                                <a:moveTo>
                                  <a:pt x="0" y="462051"/>
                                </a:moveTo>
                                <a:lnTo>
                                  <a:pt x="3315195" y="462051"/>
                                </a:lnTo>
                              </a:path>
                              <a:path w="3315335" h="2308225">
                                <a:moveTo>
                                  <a:pt x="0" y="0"/>
                                </a:moveTo>
                                <a:lnTo>
                                  <a:pt x="3315195" y="0"/>
                                </a:lnTo>
                              </a:path>
                            </a:pathLst>
                          </a:custGeom>
                          <a:ln w="9525">
                            <a:solidFill>
                              <a:srgbClr val="858585"/>
                            </a:solidFill>
                            <a:prstDash val="solid"/>
                          </a:ln>
                        </wps:spPr>
                        <wps:bodyPr wrap="square" lIns="0" tIns="0" rIns="0" bIns="0" rtlCol="0">
                          <a:prstTxWarp prst="textNoShape">
                            <a:avLst/>
                          </a:prstTxWarp>
                          <a:noAutofit/>
                        </wps:bodyPr>
                      </wps:wsp>
                      <wps:wsp>
                        <wps:cNvPr id="64" name="Graphic 64"/>
                        <wps:cNvSpPr/>
                        <wps:spPr>
                          <a:xfrm>
                            <a:off x="720799" y="147548"/>
                            <a:ext cx="1270" cy="2769870"/>
                          </a:xfrm>
                          <a:custGeom>
                            <a:avLst/>
                            <a:gdLst/>
                            <a:ahLst/>
                            <a:cxnLst/>
                            <a:rect l="l" t="t" r="r" b="b"/>
                            <a:pathLst>
                              <a:path w="0" h="2769870">
                                <a:moveTo>
                                  <a:pt x="0" y="2769819"/>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65" name="Graphic 65"/>
                        <wps:cNvSpPr/>
                        <wps:spPr>
                          <a:xfrm>
                            <a:off x="680499" y="147548"/>
                            <a:ext cx="40640" cy="2769870"/>
                          </a:xfrm>
                          <a:custGeom>
                            <a:avLst/>
                            <a:gdLst/>
                            <a:ahLst/>
                            <a:cxnLst/>
                            <a:rect l="l" t="t" r="r" b="b"/>
                            <a:pathLst>
                              <a:path w="40640" h="2769870">
                                <a:moveTo>
                                  <a:pt x="0" y="2769819"/>
                                </a:moveTo>
                                <a:lnTo>
                                  <a:pt x="40297" y="2769819"/>
                                </a:lnTo>
                              </a:path>
                              <a:path w="40640" h="2769870">
                                <a:moveTo>
                                  <a:pt x="0" y="2307615"/>
                                </a:moveTo>
                                <a:lnTo>
                                  <a:pt x="40297" y="2307615"/>
                                </a:lnTo>
                              </a:path>
                              <a:path w="40640" h="2769870">
                                <a:moveTo>
                                  <a:pt x="0" y="1845843"/>
                                </a:moveTo>
                                <a:lnTo>
                                  <a:pt x="40297" y="1845843"/>
                                </a:lnTo>
                              </a:path>
                              <a:path w="40640" h="2769870">
                                <a:moveTo>
                                  <a:pt x="0" y="1385595"/>
                                </a:moveTo>
                                <a:lnTo>
                                  <a:pt x="40297" y="1385595"/>
                                </a:lnTo>
                              </a:path>
                              <a:path w="40640" h="2769870">
                                <a:moveTo>
                                  <a:pt x="0" y="923823"/>
                                </a:moveTo>
                                <a:lnTo>
                                  <a:pt x="40297" y="923823"/>
                                </a:lnTo>
                              </a:path>
                              <a:path w="40640" h="2769870">
                                <a:moveTo>
                                  <a:pt x="0" y="462051"/>
                                </a:moveTo>
                                <a:lnTo>
                                  <a:pt x="40297" y="462051"/>
                                </a:lnTo>
                              </a:path>
                              <a:path w="40640" h="2769870">
                                <a:moveTo>
                                  <a:pt x="0" y="0"/>
                                </a:moveTo>
                                <a:lnTo>
                                  <a:pt x="40297" y="0"/>
                                </a:lnTo>
                              </a:path>
                            </a:pathLst>
                          </a:custGeom>
                          <a:ln w="9525">
                            <a:solidFill>
                              <a:srgbClr val="858585"/>
                            </a:solidFill>
                            <a:prstDash val="solid"/>
                          </a:ln>
                        </wps:spPr>
                        <wps:bodyPr wrap="square" lIns="0" tIns="0" rIns="0" bIns="0" rtlCol="0">
                          <a:prstTxWarp prst="textNoShape">
                            <a:avLst/>
                          </a:prstTxWarp>
                          <a:noAutofit/>
                        </wps:bodyPr>
                      </wps:wsp>
                      <wps:wsp>
                        <wps:cNvPr id="66" name="Graphic 66"/>
                        <wps:cNvSpPr/>
                        <wps:spPr>
                          <a:xfrm>
                            <a:off x="720799" y="2917367"/>
                            <a:ext cx="3315335" cy="40640"/>
                          </a:xfrm>
                          <a:custGeom>
                            <a:avLst/>
                            <a:gdLst/>
                            <a:ahLst/>
                            <a:cxnLst/>
                            <a:rect l="l" t="t" r="r" b="b"/>
                            <a:pathLst>
                              <a:path w="3315335" h="40640">
                                <a:moveTo>
                                  <a:pt x="0" y="0"/>
                                </a:moveTo>
                                <a:lnTo>
                                  <a:pt x="3315195" y="0"/>
                                </a:lnTo>
                              </a:path>
                              <a:path w="3315335" h="40640">
                                <a:moveTo>
                                  <a:pt x="0" y="0"/>
                                </a:moveTo>
                                <a:lnTo>
                                  <a:pt x="0" y="40297"/>
                                </a:lnTo>
                              </a:path>
                              <a:path w="3315335" h="40640">
                                <a:moveTo>
                                  <a:pt x="829106" y="0"/>
                                </a:moveTo>
                                <a:lnTo>
                                  <a:pt x="829106" y="40297"/>
                                </a:lnTo>
                              </a:path>
                              <a:path w="3315335" h="40640">
                                <a:moveTo>
                                  <a:pt x="1658162" y="0"/>
                                </a:moveTo>
                                <a:lnTo>
                                  <a:pt x="1658162" y="40297"/>
                                </a:lnTo>
                              </a:path>
                              <a:path w="3315335" h="40640">
                                <a:moveTo>
                                  <a:pt x="2485694" y="0"/>
                                </a:moveTo>
                                <a:lnTo>
                                  <a:pt x="2485694" y="40297"/>
                                </a:lnTo>
                              </a:path>
                              <a:path w="3315335" h="40640">
                                <a:moveTo>
                                  <a:pt x="3315195" y="0"/>
                                </a:moveTo>
                                <a:lnTo>
                                  <a:pt x="3315195" y="40297"/>
                                </a:lnTo>
                              </a:path>
                            </a:pathLst>
                          </a:custGeom>
                          <a:ln w="9525">
                            <a:solidFill>
                              <a:srgbClr val="858585"/>
                            </a:solidFill>
                            <a:prstDash val="solid"/>
                          </a:ln>
                        </wps:spPr>
                        <wps:bodyPr wrap="square" lIns="0" tIns="0" rIns="0" bIns="0" rtlCol="0">
                          <a:prstTxWarp prst="textNoShape">
                            <a:avLst/>
                          </a:prstTxWarp>
                          <a:noAutofit/>
                        </wps:bodyPr>
                      </wps:wsp>
                      <wps:wsp>
                        <wps:cNvPr id="67" name="Graphic 67"/>
                        <wps:cNvSpPr/>
                        <wps:spPr>
                          <a:xfrm>
                            <a:off x="1135198" y="2151176"/>
                            <a:ext cx="2486660" cy="766445"/>
                          </a:xfrm>
                          <a:custGeom>
                            <a:avLst/>
                            <a:gdLst/>
                            <a:ahLst/>
                            <a:cxnLst/>
                            <a:rect l="l" t="t" r="r" b="b"/>
                            <a:pathLst>
                              <a:path w="2486660" h="766445">
                                <a:moveTo>
                                  <a:pt x="0" y="694131"/>
                                </a:moveTo>
                                <a:lnTo>
                                  <a:pt x="829233" y="497535"/>
                                </a:lnTo>
                                <a:lnTo>
                                  <a:pt x="1658289" y="0"/>
                                </a:lnTo>
                                <a:lnTo>
                                  <a:pt x="2486393" y="766190"/>
                                </a:lnTo>
                              </a:path>
                            </a:pathLst>
                          </a:custGeom>
                          <a:ln w="28575">
                            <a:solidFill>
                              <a:srgbClr val="497DBA"/>
                            </a:solidFill>
                            <a:prstDash val="solid"/>
                          </a:ln>
                        </wps:spPr>
                        <wps:bodyPr wrap="square" lIns="0" tIns="0" rIns="0" bIns="0" rtlCol="0">
                          <a:prstTxWarp prst="textNoShape">
                            <a:avLst/>
                          </a:prstTxWarp>
                          <a:noAutofit/>
                        </wps:bodyPr>
                      </wps:wsp>
                      <wps:wsp>
                        <wps:cNvPr id="68" name="Graphic 68"/>
                        <wps:cNvSpPr/>
                        <wps:spPr>
                          <a:xfrm>
                            <a:off x="1135198" y="703821"/>
                            <a:ext cx="2486660" cy="2213610"/>
                          </a:xfrm>
                          <a:custGeom>
                            <a:avLst/>
                            <a:gdLst/>
                            <a:ahLst/>
                            <a:cxnLst/>
                            <a:rect l="l" t="t" r="r" b="b"/>
                            <a:pathLst>
                              <a:path w="2486660" h="2213610">
                                <a:moveTo>
                                  <a:pt x="0" y="2016518"/>
                                </a:moveTo>
                                <a:lnTo>
                                  <a:pt x="829233" y="349262"/>
                                </a:lnTo>
                                <a:lnTo>
                                  <a:pt x="1658289" y="0"/>
                                </a:lnTo>
                                <a:lnTo>
                                  <a:pt x="2486393" y="2213546"/>
                                </a:lnTo>
                              </a:path>
                            </a:pathLst>
                          </a:custGeom>
                          <a:ln w="28575">
                            <a:solidFill>
                              <a:srgbClr val="BD4A47"/>
                            </a:solidFill>
                            <a:prstDash val="solid"/>
                          </a:ln>
                        </wps:spPr>
                        <wps:bodyPr wrap="square" lIns="0" tIns="0" rIns="0" bIns="0" rtlCol="0">
                          <a:prstTxWarp prst="textNoShape">
                            <a:avLst/>
                          </a:prstTxWarp>
                          <a:noAutofit/>
                        </wps:bodyPr>
                      </wps:wsp>
                      <wps:wsp>
                        <wps:cNvPr id="69" name="Graphic 69"/>
                        <wps:cNvSpPr/>
                        <wps:spPr>
                          <a:xfrm>
                            <a:off x="4229277" y="1512082"/>
                            <a:ext cx="243840" cy="1270"/>
                          </a:xfrm>
                          <a:custGeom>
                            <a:avLst/>
                            <a:gdLst/>
                            <a:ahLst/>
                            <a:cxnLst/>
                            <a:rect l="l" t="t" r="r" b="b"/>
                            <a:pathLst>
                              <a:path w="243840" h="0">
                                <a:moveTo>
                                  <a:pt x="0" y="0"/>
                                </a:moveTo>
                                <a:lnTo>
                                  <a:pt x="243840" y="0"/>
                                </a:lnTo>
                              </a:path>
                            </a:pathLst>
                          </a:custGeom>
                          <a:ln w="28575">
                            <a:solidFill>
                              <a:srgbClr val="497DBA"/>
                            </a:solidFill>
                            <a:prstDash val="solid"/>
                          </a:ln>
                        </wps:spPr>
                        <wps:bodyPr wrap="square" lIns="0" tIns="0" rIns="0" bIns="0" rtlCol="0">
                          <a:prstTxWarp prst="textNoShape">
                            <a:avLst/>
                          </a:prstTxWarp>
                          <a:noAutofit/>
                        </wps:bodyPr>
                      </wps:wsp>
                      <wps:wsp>
                        <wps:cNvPr id="70" name="Graphic 70"/>
                        <wps:cNvSpPr/>
                        <wps:spPr>
                          <a:xfrm>
                            <a:off x="4229277" y="1749797"/>
                            <a:ext cx="243840" cy="1270"/>
                          </a:xfrm>
                          <a:custGeom>
                            <a:avLst/>
                            <a:gdLst/>
                            <a:ahLst/>
                            <a:cxnLst/>
                            <a:rect l="l" t="t" r="r" b="b"/>
                            <a:pathLst>
                              <a:path w="243840" h="0">
                                <a:moveTo>
                                  <a:pt x="0" y="0"/>
                                </a:moveTo>
                                <a:lnTo>
                                  <a:pt x="243840" y="0"/>
                                </a:lnTo>
                              </a:path>
                            </a:pathLst>
                          </a:custGeom>
                          <a:ln w="28575">
                            <a:solidFill>
                              <a:srgbClr val="BD4A47"/>
                            </a:solidFill>
                            <a:prstDash val="solid"/>
                          </a:ln>
                        </wps:spPr>
                        <wps:bodyPr wrap="square" lIns="0" tIns="0" rIns="0" bIns="0" rtlCol="0">
                          <a:prstTxWarp prst="textNoShape">
                            <a:avLst/>
                          </a:prstTxWarp>
                          <a:noAutofit/>
                        </wps:bodyPr>
                      </wps:wsp>
                      <wps:wsp>
                        <wps:cNvPr id="71" name="Graphic 71"/>
                        <wps:cNvSpPr/>
                        <wps:spPr>
                          <a:xfrm>
                            <a:off x="6350" y="6553"/>
                            <a:ext cx="5514975" cy="3228975"/>
                          </a:xfrm>
                          <a:custGeom>
                            <a:avLst/>
                            <a:gdLst/>
                            <a:ahLst/>
                            <a:cxnLst/>
                            <a:rect l="l" t="t" r="r" b="b"/>
                            <a:pathLst>
                              <a:path w="5514975" h="3228975">
                                <a:moveTo>
                                  <a:pt x="0" y="0"/>
                                </a:moveTo>
                                <a:lnTo>
                                  <a:pt x="5514975" y="0"/>
                                </a:lnTo>
                                <a:lnTo>
                                  <a:pt x="5514975" y="3228975"/>
                                </a:lnTo>
                                <a:lnTo>
                                  <a:pt x="0" y="3228975"/>
                                </a:lnTo>
                                <a:lnTo>
                                  <a:pt x="0" y="0"/>
                                </a:lnTo>
                                <a:close/>
                              </a:path>
                            </a:pathLst>
                          </a:custGeom>
                          <a:ln w="9525">
                            <a:solidFill>
                              <a:srgbClr val="858585"/>
                            </a:solidFill>
                            <a:prstDash val="solid"/>
                          </a:ln>
                        </wps:spPr>
                        <wps:bodyPr wrap="square" lIns="0" tIns="0" rIns="0" bIns="0" rtlCol="0">
                          <a:prstTxWarp prst="textNoShape">
                            <a:avLst/>
                          </a:prstTxWarp>
                          <a:noAutofit/>
                        </wps:bodyPr>
                      </wps:wsp>
                      <wps:wsp>
                        <wps:cNvPr id="72" name="Textbox 72"/>
                        <wps:cNvSpPr txBox="1"/>
                        <wps:spPr>
                          <a:xfrm>
                            <a:off x="88929" y="88216"/>
                            <a:ext cx="526415" cy="127000"/>
                          </a:xfrm>
                          <a:prstGeom prst="rect">
                            <a:avLst/>
                          </a:prstGeom>
                        </wps:spPr>
                        <wps:txbx>
                          <w:txbxContent>
                            <w:p>
                              <w:pPr>
                                <w:spacing w:line="199" w:lineRule="exact" w:before="0"/>
                                <w:ind w:left="0" w:right="0" w:firstLine="0"/>
                                <w:jc w:val="left"/>
                                <w:rPr>
                                  <w:sz w:val="20"/>
                                </w:rPr>
                              </w:pPr>
                              <w:r>
                                <w:rPr>
                                  <w:spacing w:val="-2"/>
                                  <w:sz w:val="20"/>
                                </w:rPr>
                                <w:t>6,000,000</w:t>
                              </w:r>
                            </w:p>
                          </w:txbxContent>
                        </wps:txbx>
                        <wps:bodyPr wrap="square" lIns="0" tIns="0" rIns="0" bIns="0" rtlCol="0">
                          <a:noAutofit/>
                        </wps:bodyPr>
                      </wps:wsp>
                      <wps:wsp>
                        <wps:cNvPr id="73" name="Textbox 73"/>
                        <wps:cNvSpPr txBox="1"/>
                        <wps:spPr>
                          <a:xfrm>
                            <a:off x="88929" y="549912"/>
                            <a:ext cx="526415" cy="127000"/>
                          </a:xfrm>
                          <a:prstGeom prst="rect">
                            <a:avLst/>
                          </a:prstGeom>
                        </wps:spPr>
                        <wps:txbx>
                          <w:txbxContent>
                            <w:p>
                              <w:pPr>
                                <w:spacing w:line="199" w:lineRule="exact" w:before="0"/>
                                <w:ind w:left="0" w:right="0" w:firstLine="0"/>
                                <w:jc w:val="left"/>
                                <w:rPr>
                                  <w:sz w:val="20"/>
                                </w:rPr>
                              </w:pPr>
                              <w:r>
                                <w:rPr>
                                  <w:spacing w:val="-2"/>
                                  <w:sz w:val="20"/>
                                </w:rPr>
                                <w:t>5,000,000</w:t>
                              </w:r>
                            </w:p>
                          </w:txbxContent>
                        </wps:txbx>
                        <wps:bodyPr wrap="square" lIns="0" tIns="0" rIns="0" bIns="0" rtlCol="0">
                          <a:noAutofit/>
                        </wps:bodyPr>
                      </wps:wsp>
                      <wps:wsp>
                        <wps:cNvPr id="74" name="Textbox 74"/>
                        <wps:cNvSpPr txBox="1"/>
                        <wps:spPr>
                          <a:xfrm>
                            <a:off x="88929" y="1011608"/>
                            <a:ext cx="526415" cy="127000"/>
                          </a:xfrm>
                          <a:prstGeom prst="rect">
                            <a:avLst/>
                          </a:prstGeom>
                        </wps:spPr>
                        <wps:txbx>
                          <w:txbxContent>
                            <w:p>
                              <w:pPr>
                                <w:spacing w:line="199" w:lineRule="exact" w:before="0"/>
                                <w:ind w:left="0" w:right="0" w:firstLine="0"/>
                                <w:jc w:val="left"/>
                                <w:rPr>
                                  <w:sz w:val="20"/>
                                </w:rPr>
                              </w:pPr>
                              <w:r>
                                <w:rPr>
                                  <w:spacing w:val="-2"/>
                                  <w:sz w:val="20"/>
                                </w:rPr>
                                <w:t>4,000,000</w:t>
                              </w:r>
                            </w:p>
                          </w:txbxContent>
                        </wps:txbx>
                        <wps:bodyPr wrap="square" lIns="0" tIns="0" rIns="0" bIns="0" rtlCol="0">
                          <a:noAutofit/>
                        </wps:bodyPr>
                      </wps:wsp>
                      <wps:wsp>
                        <wps:cNvPr id="75" name="Textbox 75"/>
                        <wps:cNvSpPr txBox="1"/>
                        <wps:spPr>
                          <a:xfrm>
                            <a:off x="88929" y="1473304"/>
                            <a:ext cx="526415" cy="127000"/>
                          </a:xfrm>
                          <a:prstGeom prst="rect">
                            <a:avLst/>
                          </a:prstGeom>
                        </wps:spPr>
                        <wps:txbx>
                          <w:txbxContent>
                            <w:p>
                              <w:pPr>
                                <w:spacing w:line="199" w:lineRule="exact" w:before="0"/>
                                <w:ind w:left="0" w:right="0" w:firstLine="0"/>
                                <w:jc w:val="left"/>
                                <w:rPr>
                                  <w:sz w:val="20"/>
                                </w:rPr>
                              </w:pPr>
                              <w:r>
                                <w:rPr>
                                  <w:spacing w:val="-2"/>
                                  <w:sz w:val="20"/>
                                </w:rPr>
                                <w:t>3,000,000</w:t>
                              </w:r>
                            </w:p>
                          </w:txbxContent>
                        </wps:txbx>
                        <wps:bodyPr wrap="square" lIns="0" tIns="0" rIns="0" bIns="0" rtlCol="0">
                          <a:noAutofit/>
                        </wps:bodyPr>
                      </wps:wsp>
                      <wps:wsp>
                        <wps:cNvPr id="76" name="Textbox 76"/>
                        <wps:cNvSpPr txBox="1"/>
                        <wps:spPr>
                          <a:xfrm>
                            <a:off x="4498835" y="1453106"/>
                            <a:ext cx="900430" cy="364490"/>
                          </a:xfrm>
                          <a:prstGeom prst="rect">
                            <a:avLst/>
                          </a:prstGeom>
                        </wps:spPr>
                        <wps:txbx>
                          <w:txbxContent>
                            <w:p>
                              <w:pPr>
                                <w:spacing w:line="203" w:lineRule="exact" w:before="0"/>
                                <w:ind w:left="0" w:right="0" w:firstLine="0"/>
                                <w:jc w:val="left"/>
                                <w:rPr>
                                  <w:sz w:val="20"/>
                                </w:rPr>
                              </w:pPr>
                              <w:r>
                                <w:rPr>
                                  <w:sz w:val="20"/>
                                </w:rPr>
                                <w:t>$</w:t>
                              </w:r>
                              <w:r>
                                <w:rPr>
                                  <w:spacing w:val="-2"/>
                                  <w:sz w:val="20"/>
                                </w:rPr>
                                <w:t> FTA/MaineDOT</w:t>
                              </w:r>
                            </w:p>
                            <w:p>
                              <w:pPr>
                                <w:spacing w:line="240" w:lineRule="exact" w:before="130"/>
                                <w:ind w:left="0" w:right="0" w:firstLine="0"/>
                                <w:jc w:val="left"/>
                                <w:rPr>
                                  <w:sz w:val="20"/>
                                </w:rPr>
                              </w:pPr>
                              <w:r>
                                <w:rPr>
                                  <w:sz w:val="20"/>
                                </w:rPr>
                                <w:t>Minority</w:t>
                              </w:r>
                              <w:r>
                                <w:rPr>
                                  <w:spacing w:val="-10"/>
                                  <w:sz w:val="20"/>
                                </w:rPr>
                                <w:t> </w:t>
                              </w:r>
                              <w:r>
                                <w:rPr>
                                  <w:spacing w:val="-2"/>
                                  <w:sz w:val="20"/>
                                </w:rPr>
                                <w:t>Factor</w:t>
                              </w:r>
                            </w:p>
                          </w:txbxContent>
                        </wps:txbx>
                        <wps:bodyPr wrap="square" lIns="0" tIns="0" rIns="0" bIns="0" rtlCol="0">
                          <a:noAutofit/>
                        </wps:bodyPr>
                      </wps:wsp>
                      <wps:wsp>
                        <wps:cNvPr id="77" name="Textbox 77"/>
                        <wps:cNvSpPr txBox="1"/>
                        <wps:spPr>
                          <a:xfrm>
                            <a:off x="88929" y="1934999"/>
                            <a:ext cx="526415" cy="127000"/>
                          </a:xfrm>
                          <a:prstGeom prst="rect">
                            <a:avLst/>
                          </a:prstGeom>
                        </wps:spPr>
                        <wps:txbx>
                          <w:txbxContent>
                            <w:p>
                              <w:pPr>
                                <w:spacing w:line="199" w:lineRule="exact" w:before="0"/>
                                <w:ind w:left="0" w:right="0" w:firstLine="0"/>
                                <w:jc w:val="left"/>
                                <w:rPr>
                                  <w:sz w:val="20"/>
                                </w:rPr>
                              </w:pPr>
                              <w:r>
                                <w:rPr>
                                  <w:spacing w:val="-2"/>
                                  <w:sz w:val="20"/>
                                </w:rPr>
                                <w:t>2,000,000</w:t>
                              </w:r>
                            </w:p>
                          </w:txbxContent>
                        </wps:txbx>
                        <wps:bodyPr wrap="square" lIns="0" tIns="0" rIns="0" bIns="0" rtlCol="0">
                          <a:noAutofit/>
                        </wps:bodyPr>
                      </wps:wsp>
                      <wps:wsp>
                        <wps:cNvPr id="78" name="Textbox 78"/>
                        <wps:cNvSpPr txBox="1"/>
                        <wps:spPr>
                          <a:xfrm>
                            <a:off x="88929" y="2396695"/>
                            <a:ext cx="526415" cy="127000"/>
                          </a:xfrm>
                          <a:prstGeom prst="rect">
                            <a:avLst/>
                          </a:prstGeom>
                        </wps:spPr>
                        <wps:txbx>
                          <w:txbxContent>
                            <w:p>
                              <w:pPr>
                                <w:spacing w:line="199" w:lineRule="exact" w:before="0"/>
                                <w:ind w:left="0" w:right="0" w:firstLine="0"/>
                                <w:jc w:val="left"/>
                                <w:rPr>
                                  <w:sz w:val="20"/>
                                </w:rPr>
                              </w:pPr>
                              <w:r>
                                <w:rPr>
                                  <w:spacing w:val="-2"/>
                                  <w:sz w:val="20"/>
                                </w:rPr>
                                <w:t>1,000,000</w:t>
                              </w:r>
                            </w:p>
                          </w:txbxContent>
                        </wps:txbx>
                        <wps:bodyPr wrap="square" lIns="0" tIns="0" rIns="0" bIns="0" rtlCol="0">
                          <a:noAutofit/>
                        </wps:bodyPr>
                      </wps:wsp>
                      <wps:wsp>
                        <wps:cNvPr id="79" name="Textbox 79"/>
                        <wps:cNvSpPr txBox="1"/>
                        <wps:spPr>
                          <a:xfrm>
                            <a:off x="538608" y="2858391"/>
                            <a:ext cx="76835" cy="127000"/>
                          </a:xfrm>
                          <a:prstGeom prst="rect">
                            <a:avLst/>
                          </a:prstGeom>
                        </wps:spPr>
                        <wps:txbx>
                          <w:txbxContent>
                            <w:p>
                              <w:pPr>
                                <w:spacing w:line="199" w:lineRule="exact" w:before="0"/>
                                <w:ind w:left="0" w:right="0" w:firstLine="0"/>
                                <w:jc w:val="left"/>
                                <w:rPr>
                                  <w:sz w:val="20"/>
                                </w:rPr>
                              </w:pPr>
                              <w:r>
                                <w:rPr>
                                  <w:w w:val="99"/>
                                  <w:sz w:val="20"/>
                                </w:rPr>
                                <w:t>0</w:t>
                              </w:r>
                            </w:p>
                          </w:txbxContent>
                        </wps:txbx>
                        <wps:bodyPr wrap="square" lIns="0" tIns="0" rIns="0" bIns="0" rtlCol="0">
                          <a:noAutofit/>
                        </wps:bodyPr>
                      </wps:wsp>
                      <wps:wsp>
                        <wps:cNvPr id="80" name="Textbox 80"/>
                        <wps:cNvSpPr txBox="1"/>
                        <wps:spPr>
                          <a:xfrm>
                            <a:off x="1015609" y="3023084"/>
                            <a:ext cx="251460" cy="127000"/>
                          </a:xfrm>
                          <a:prstGeom prst="rect">
                            <a:avLst/>
                          </a:prstGeom>
                        </wps:spPr>
                        <wps:txbx>
                          <w:txbxContent>
                            <w:p>
                              <w:pPr>
                                <w:spacing w:line="199" w:lineRule="exact" w:before="0"/>
                                <w:ind w:left="0" w:right="0" w:firstLine="0"/>
                                <w:jc w:val="left"/>
                                <w:rPr>
                                  <w:sz w:val="20"/>
                                </w:rPr>
                              </w:pPr>
                              <w:r>
                                <w:rPr>
                                  <w:spacing w:val="-4"/>
                                  <w:sz w:val="20"/>
                                </w:rPr>
                                <w:t>Bath</w:t>
                              </w:r>
                            </w:p>
                          </w:txbxContent>
                        </wps:txbx>
                        <wps:bodyPr wrap="square" lIns="0" tIns="0" rIns="0" bIns="0" rtlCol="0">
                          <a:noAutofit/>
                        </wps:bodyPr>
                      </wps:wsp>
                      <wps:wsp>
                        <wps:cNvPr id="81" name="Textbox 81"/>
                        <wps:cNvSpPr txBox="1"/>
                        <wps:spPr>
                          <a:xfrm>
                            <a:off x="1636432" y="3023084"/>
                            <a:ext cx="668020" cy="127000"/>
                          </a:xfrm>
                          <a:prstGeom prst="rect">
                            <a:avLst/>
                          </a:prstGeom>
                        </wps:spPr>
                        <wps:txbx>
                          <w:txbxContent>
                            <w:p>
                              <w:pPr>
                                <w:spacing w:line="199" w:lineRule="exact" w:before="0"/>
                                <w:ind w:left="0" w:right="0" w:firstLine="0"/>
                                <w:jc w:val="left"/>
                                <w:rPr>
                                  <w:sz w:val="20"/>
                                </w:rPr>
                              </w:pPr>
                              <w:r>
                                <w:rPr>
                                  <w:sz w:val="20"/>
                                </w:rPr>
                                <w:t>Kennebec</w:t>
                              </w:r>
                              <w:r>
                                <w:rPr>
                                  <w:spacing w:val="-11"/>
                                  <w:sz w:val="20"/>
                                </w:rPr>
                                <w:t> </w:t>
                              </w:r>
                              <w:r>
                                <w:rPr>
                                  <w:spacing w:val="-5"/>
                                  <w:sz w:val="20"/>
                                </w:rPr>
                                <w:t>Ex</w:t>
                              </w:r>
                            </w:p>
                          </w:txbxContent>
                        </wps:txbx>
                        <wps:bodyPr wrap="square" lIns="0" tIns="0" rIns="0" bIns="0" rtlCol="0">
                          <a:noAutofit/>
                        </wps:bodyPr>
                      </wps:wsp>
                      <wps:wsp>
                        <wps:cNvPr id="82" name="Textbox 82"/>
                        <wps:cNvSpPr txBox="1"/>
                        <wps:spPr>
                          <a:xfrm>
                            <a:off x="2610547" y="3023084"/>
                            <a:ext cx="377825" cy="127000"/>
                          </a:xfrm>
                          <a:prstGeom prst="rect">
                            <a:avLst/>
                          </a:prstGeom>
                        </wps:spPr>
                        <wps:txbx>
                          <w:txbxContent>
                            <w:p>
                              <w:pPr>
                                <w:spacing w:line="199" w:lineRule="exact" w:before="0"/>
                                <w:ind w:left="0" w:right="0" w:firstLine="0"/>
                                <w:jc w:val="left"/>
                                <w:rPr>
                                  <w:sz w:val="20"/>
                                </w:rPr>
                              </w:pPr>
                              <w:r>
                                <w:rPr>
                                  <w:spacing w:val="-4"/>
                                  <w:sz w:val="20"/>
                                </w:rPr>
                                <w:t>BSOOB</w:t>
                              </w:r>
                            </w:p>
                          </w:txbxContent>
                        </wps:txbx>
                        <wps:bodyPr wrap="square" lIns="0" tIns="0" rIns="0" bIns="0" rtlCol="0">
                          <a:noAutofit/>
                        </wps:bodyPr>
                      </wps:wsp>
                    </wpg:wgp>
                  </a:graphicData>
                </a:graphic>
              </wp:anchor>
            </w:drawing>
          </mc:Choice>
          <mc:Fallback>
            <w:pict>
              <v:group style="position:absolute;margin-left:72pt;margin-top:14.681562pt;width:436pt;height:256pt;mso-position-horizontal-relative:page;mso-position-vertical-relative:paragraph;z-index:-15718912;mso-wrap-distance-left:0;mso-wrap-distance-right:0" id="docshapegroup51" coordorigin="1440,294" coordsize="8720,5120">
                <v:shape style="position:absolute;left:1440;top:293;width:8720;height:5120" id="docshape52" coordorigin="1440,294" coordsize="8720,5120" path="m10159,294l10150,294,10150,303,10150,5403,1450,5403,1450,303,10150,303,10150,294,1450,294,1440,294,1440,303,1440,5403,1440,5413,1450,5413,10150,5413,10159,5413,10159,5403,10159,303,10159,294xe" filled="true" fillcolor="#000000" stroked="false">
                  <v:path arrowok="t"/>
                  <v:fill type="solid"/>
                </v:shape>
                <v:shape style="position:absolute;left:2575;top:526;width:5221;height:3635" id="docshape53" coordorigin="2575,526" coordsize="5221,3635" path="m2575,4160l7796,4160m2575,3433l7796,3433m2575,2708l7796,2708m2575,1981l7796,1981m2575,1254l7796,1254m2575,526l7796,526e" filled="false" stroked="true" strokeweight=".75pt" strokecolor="#858585">
                  <v:path arrowok="t"/>
                  <v:stroke dashstyle="solid"/>
                </v:shape>
                <v:line style="position:absolute" from="2575,4888" to="2575,526" stroked="true" strokeweight=".75pt" strokecolor="#858585">
                  <v:stroke dashstyle="solid"/>
                </v:line>
                <v:shape style="position:absolute;left:2511;top:526;width:64;height:4362" id="docshape54" coordorigin="2512,526" coordsize="64,4362" path="m2512,4888l2575,4888m2512,4160l2575,4160m2512,3433l2575,3433m2512,2708l2575,2708m2512,1981l2575,1981m2512,1254l2575,1254m2512,526l2575,526e" filled="false" stroked="true" strokeweight=".75pt" strokecolor="#858585">
                  <v:path arrowok="t"/>
                  <v:stroke dashstyle="solid"/>
                </v:shape>
                <v:shape style="position:absolute;left:2575;top:4887;width:5221;height:64" id="docshape55" coordorigin="2575,4888" coordsize="5221,64" path="m2575,4888l7796,4888m2575,4888l2575,4951m3881,4888l3881,4951m5186,4888l5186,4951m6490,4888l6490,4951m7796,4888l7796,4951e" filled="false" stroked="true" strokeweight=".75pt" strokecolor="#858585">
                  <v:path arrowok="t"/>
                  <v:stroke dashstyle="solid"/>
                </v:shape>
                <v:shape style="position:absolute;left:3227;top:3681;width:3916;height:1207" id="docshape56" coordorigin="3228,3681" coordsize="3916,1207" path="m3228,4774l4534,4465,5839,3681,7143,4888e" filled="false" stroked="true" strokeweight="2.25pt" strokecolor="#497dba">
                  <v:path arrowok="t"/>
                  <v:stroke dashstyle="solid"/>
                </v:shape>
                <v:shape style="position:absolute;left:3227;top:1402;width:3916;height:3486" id="docshape57" coordorigin="3228,1402" coordsize="3916,3486" path="m3228,4578l4534,1952,5839,1402,7143,4888e" filled="false" stroked="true" strokeweight="2.25pt" strokecolor="#bd4a47">
                  <v:path arrowok="t"/>
                  <v:stroke dashstyle="solid"/>
                </v:shape>
                <v:line style="position:absolute" from="8100,2675" to="8484,2675" stroked="true" strokeweight="2.25pt" strokecolor="#497dba">
                  <v:stroke dashstyle="solid"/>
                </v:line>
                <v:line style="position:absolute" from="8100,3049" to="8484,3049" stroked="true" strokeweight="2.25pt" strokecolor="#bd4a47">
                  <v:stroke dashstyle="solid"/>
                </v:line>
                <v:rect style="position:absolute;left:1450;top:303;width:8685;height:5085" id="docshape58" filled="false" stroked="true" strokeweight=".75pt" strokecolor="#858585">
                  <v:stroke dashstyle="solid"/>
                </v:rect>
                <v:shape style="position:absolute;left:1580;top:432;width:829;height:200" type="#_x0000_t202" id="docshape59" filled="false" stroked="false">
                  <v:textbox inset="0,0,0,0">
                    <w:txbxContent>
                      <w:p>
                        <w:pPr>
                          <w:spacing w:line="199" w:lineRule="exact" w:before="0"/>
                          <w:ind w:left="0" w:right="0" w:firstLine="0"/>
                          <w:jc w:val="left"/>
                          <w:rPr>
                            <w:sz w:val="20"/>
                          </w:rPr>
                        </w:pPr>
                        <w:r>
                          <w:rPr>
                            <w:spacing w:val="-2"/>
                            <w:sz w:val="20"/>
                          </w:rPr>
                          <w:t>6,000,000</w:t>
                        </w:r>
                      </w:p>
                    </w:txbxContent>
                  </v:textbox>
                  <w10:wrap type="none"/>
                </v:shape>
                <v:shape style="position:absolute;left:1580;top:1159;width:829;height:200" type="#_x0000_t202" id="docshape60" filled="false" stroked="false">
                  <v:textbox inset="0,0,0,0">
                    <w:txbxContent>
                      <w:p>
                        <w:pPr>
                          <w:spacing w:line="199" w:lineRule="exact" w:before="0"/>
                          <w:ind w:left="0" w:right="0" w:firstLine="0"/>
                          <w:jc w:val="left"/>
                          <w:rPr>
                            <w:sz w:val="20"/>
                          </w:rPr>
                        </w:pPr>
                        <w:r>
                          <w:rPr>
                            <w:spacing w:val="-2"/>
                            <w:sz w:val="20"/>
                          </w:rPr>
                          <w:t>5,000,000</w:t>
                        </w:r>
                      </w:p>
                    </w:txbxContent>
                  </v:textbox>
                  <w10:wrap type="none"/>
                </v:shape>
                <v:shape style="position:absolute;left:1580;top:1886;width:829;height:200" type="#_x0000_t202" id="docshape61" filled="false" stroked="false">
                  <v:textbox inset="0,0,0,0">
                    <w:txbxContent>
                      <w:p>
                        <w:pPr>
                          <w:spacing w:line="199" w:lineRule="exact" w:before="0"/>
                          <w:ind w:left="0" w:right="0" w:firstLine="0"/>
                          <w:jc w:val="left"/>
                          <w:rPr>
                            <w:sz w:val="20"/>
                          </w:rPr>
                        </w:pPr>
                        <w:r>
                          <w:rPr>
                            <w:spacing w:val="-2"/>
                            <w:sz w:val="20"/>
                          </w:rPr>
                          <w:t>4,000,000</w:t>
                        </w:r>
                      </w:p>
                    </w:txbxContent>
                  </v:textbox>
                  <w10:wrap type="none"/>
                </v:shape>
                <v:shape style="position:absolute;left:1580;top:2613;width:829;height:200" type="#_x0000_t202" id="docshape62" filled="false" stroked="false">
                  <v:textbox inset="0,0,0,0">
                    <w:txbxContent>
                      <w:p>
                        <w:pPr>
                          <w:spacing w:line="199" w:lineRule="exact" w:before="0"/>
                          <w:ind w:left="0" w:right="0" w:firstLine="0"/>
                          <w:jc w:val="left"/>
                          <w:rPr>
                            <w:sz w:val="20"/>
                          </w:rPr>
                        </w:pPr>
                        <w:r>
                          <w:rPr>
                            <w:spacing w:val="-2"/>
                            <w:sz w:val="20"/>
                          </w:rPr>
                          <w:t>3,000,000</w:t>
                        </w:r>
                      </w:p>
                    </w:txbxContent>
                  </v:textbox>
                  <w10:wrap type="none"/>
                </v:shape>
                <v:shape style="position:absolute;left:8524;top:2581;width:1418;height:574" type="#_x0000_t202" id="docshape63" filled="false" stroked="false">
                  <v:textbox inset="0,0,0,0">
                    <w:txbxContent>
                      <w:p>
                        <w:pPr>
                          <w:spacing w:line="203" w:lineRule="exact" w:before="0"/>
                          <w:ind w:left="0" w:right="0" w:firstLine="0"/>
                          <w:jc w:val="left"/>
                          <w:rPr>
                            <w:sz w:val="20"/>
                          </w:rPr>
                        </w:pPr>
                        <w:r>
                          <w:rPr>
                            <w:sz w:val="20"/>
                          </w:rPr>
                          <w:t>$</w:t>
                        </w:r>
                        <w:r>
                          <w:rPr>
                            <w:spacing w:val="-2"/>
                            <w:sz w:val="20"/>
                          </w:rPr>
                          <w:t> FTA/MaineDOT</w:t>
                        </w:r>
                      </w:p>
                      <w:p>
                        <w:pPr>
                          <w:spacing w:line="240" w:lineRule="exact" w:before="130"/>
                          <w:ind w:left="0" w:right="0" w:firstLine="0"/>
                          <w:jc w:val="left"/>
                          <w:rPr>
                            <w:sz w:val="20"/>
                          </w:rPr>
                        </w:pPr>
                        <w:r>
                          <w:rPr>
                            <w:sz w:val="20"/>
                          </w:rPr>
                          <w:t>Minority</w:t>
                        </w:r>
                        <w:r>
                          <w:rPr>
                            <w:spacing w:val="-10"/>
                            <w:sz w:val="20"/>
                          </w:rPr>
                          <w:t> </w:t>
                        </w:r>
                        <w:r>
                          <w:rPr>
                            <w:spacing w:val="-2"/>
                            <w:sz w:val="20"/>
                          </w:rPr>
                          <w:t>Factor</w:t>
                        </w:r>
                      </w:p>
                    </w:txbxContent>
                  </v:textbox>
                  <w10:wrap type="none"/>
                </v:shape>
                <v:shape style="position:absolute;left:1580;top:3340;width:829;height:200" type="#_x0000_t202" id="docshape64" filled="false" stroked="false">
                  <v:textbox inset="0,0,0,0">
                    <w:txbxContent>
                      <w:p>
                        <w:pPr>
                          <w:spacing w:line="199" w:lineRule="exact" w:before="0"/>
                          <w:ind w:left="0" w:right="0" w:firstLine="0"/>
                          <w:jc w:val="left"/>
                          <w:rPr>
                            <w:sz w:val="20"/>
                          </w:rPr>
                        </w:pPr>
                        <w:r>
                          <w:rPr>
                            <w:spacing w:val="-2"/>
                            <w:sz w:val="20"/>
                          </w:rPr>
                          <w:t>2,000,000</w:t>
                        </w:r>
                      </w:p>
                    </w:txbxContent>
                  </v:textbox>
                  <w10:wrap type="none"/>
                </v:shape>
                <v:shape style="position:absolute;left:1580;top:4067;width:829;height:200" type="#_x0000_t202" id="docshape65" filled="false" stroked="false">
                  <v:textbox inset="0,0,0,0">
                    <w:txbxContent>
                      <w:p>
                        <w:pPr>
                          <w:spacing w:line="199" w:lineRule="exact" w:before="0"/>
                          <w:ind w:left="0" w:right="0" w:firstLine="0"/>
                          <w:jc w:val="left"/>
                          <w:rPr>
                            <w:sz w:val="20"/>
                          </w:rPr>
                        </w:pPr>
                        <w:r>
                          <w:rPr>
                            <w:spacing w:val="-2"/>
                            <w:sz w:val="20"/>
                          </w:rPr>
                          <w:t>1,000,000</w:t>
                        </w:r>
                      </w:p>
                    </w:txbxContent>
                  </v:textbox>
                  <w10:wrap type="none"/>
                </v:shape>
                <v:shape style="position:absolute;left:2288;top:4795;width:121;height:200" type="#_x0000_t202" id="docshape66" filled="false" stroked="false">
                  <v:textbox inset="0,0,0,0">
                    <w:txbxContent>
                      <w:p>
                        <w:pPr>
                          <w:spacing w:line="199" w:lineRule="exact" w:before="0"/>
                          <w:ind w:left="0" w:right="0" w:firstLine="0"/>
                          <w:jc w:val="left"/>
                          <w:rPr>
                            <w:sz w:val="20"/>
                          </w:rPr>
                        </w:pPr>
                        <w:r>
                          <w:rPr>
                            <w:w w:val="99"/>
                            <w:sz w:val="20"/>
                          </w:rPr>
                          <w:t>0</w:t>
                        </w:r>
                      </w:p>
                    </w:txbxContent>
                  </v:textbox>
                  <w10:wrap type="none"/>
                </v:shape>
                <v:shape style="position:absolute;left:3039;top:5054;width:396;height:200" type="#_x0000_t202" id="docshape67" filled="false" stroked="false">
                  <v:textbox inset="0,0,0,0">
                    <w:txbxContent>
                      <w:p>
                        <w:pPr>
                          <w:spacing w:line="199" w:lineRule="exact" w:before="0"/>
                          <w:ind w:left="0" w:right="0" w:firstLine="0"/>
                          <w:jc w:val="left"/>
                          <w:rPr>
                            <w:sz w:val="20"/>
                          </w:rPr>
                        </w:pPr>
                        <w:r>
                          <w:rPr>
                            <w:spacing w:val="-4"/>
                            <w:sz w:val="20"/>
                          </w:rPr>
                          <w:t>Bath</w:t>
                        </w:r>
                      </w:p>
                    </w:txbxContent>
                  </v:textbox>
                  <w10:wrap type="none"/>
                </v:shape>
                <v:shape style="position:absolute;left:4017;top:5054;width:1052;height:200" type="#_x0000_t202" id="docshape68" filled="false" stroked="false">
                  <v:textbox inset="0,0,0,0">
                    <w:txbxContent>
                      <w:p>
                        <w:pPr>
                          <w:spacing w:line="199" w:lineRule="exact" w:before="0"/>
                          <w:ind w:left="0" w:right="0" w:firstLine="0"/>
                          <w:jc w:val="left"/>
                          <w:rPr>
                            <w:sz w:val="20"/>
                          </w:rPr>
                        </w:pPr>
                        <w:r>
                          <w:rPr>
                            <w:sz w:val="20"/>
                          </w:rPr>
                          <w:t>Kennebec</w:t>
                        </w:r>
                        <w:r>
                          <w:rPr>
                            <w:spacing w:val="-11"/>
                            <w:sz w:val="20"/>
                          </w:rPr>
                          <w:t> </w:t>
                        </w:r>
                        <w:r>
                          <w:rPr>
                            <w:spacing w:val="-5"/>
                            <w:sz w:val="20"/>
                          </w:rPr>
                          <w:t>Ex</w:t>
                        </w:r>
                      </w:p>
                    </w:txbxContent>
                  </v:textbox>
                  <w10:wrap type="none"/>
                </v:shape>
                <v:shape style="position:absolute;left:5551;top:5054;width:595;height:200" type="#_x0000_t202" id="docshape69" filled="false" stroked="false">
                  <v:textbox inset="0,0,0,0">
                    <w:txbxContent>
                      <w:p>
                        <w:pPr>
                          <w:spacing w:line="199" w:lineRule="exact" w:before="0"/>
                          <w:ind w:left="0" w:right="0" w:firstLine="0"/>
                          <w:jc w:val="left"/>
                          <w:rPr>
                            <w:sz w:val="20"/>
                          </w:rPr>
                        </w:pPr>
                        <w:r>
                          <w:rPr>
                            <w:spacing w:val="-4"/>
                            <w:sz w:val="20"/>
                          </w:rPr>
                          <w:t>BSOOB</w:t>
                        </w:r>
                      </w:p>
                    </w:txbxContent>
                  </v:textbox>
                  <w10:wrap type="none"/>
                </v:shape>
                <w10:wrap type="topAndBottom"/>
              </v:group>
            </w:pict>
          </mc:Fallback>
        </mc:AlternateContent>
      </w:r>
    </w:p>
    <w:p>
      <w:pPr>
        <w:spacing w:after="0"/>
        <w:rPr>
          <w:sz w:val="22"/>
        </w:rPr>
        <w:sectPr>
          <w:pgSz w:w="12240" w:h="15840"/>
          <w:pgMar w:header="0" w:footer="997" w:top="960" w:bottom="1260" w:left="600" w:right="500"/>
        </w:sectPr>
      </w:pPr>
    </w:p>
    <w:p>
      <w:pPr>
        <w:spacing w:before="35"/>
        <w:ind w:left="840" w:right="0" w:firstLine="0"/>
        <w:jc w:val="both"/>
        <w:rPr>
          <w:b/>
          <w:sz w:val="24"/>
        </w:rPr>
      </w:pPr>
      <w:r>
        <w:rPr>
          <w:b/>
          <w:sz w:val="24"/>
        </w:rPr>
        <w:t>Demand</w:t>
      </w:r>
      <w:r>
        <w:rPr>
          <w:b/>
          <w:spacing w:val="-3"/>
          <w:sz w:val="24"/>
        </w:rPr>
        <w:t> </w:t>
      </w:r>
      <w:r>
        <w:rPr>
          <w:b/>
          <w:sz w:val="24"/>
        </w:rPr>
        <w:t>Response</w:t>
      </w:r>
      <w:r>
        <w:rPr>
          <w:b/>
          <w:spacing w:val="-2"/>
          <w:sz w:val="24"/>
        </w:rPr>
        <w:t> Services</w:t>
      </w:r>
    </w:p>
    <w:p>
      <w:pPr>
        <w:pStyle w:val="BodyText"/>
        <w:rPr>
          <w:b/>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40"/>
        <w:gridCol w:w="1889"/>
        <w:gridCol w:w="1080"/>
        <w:gridCol w:w="900"/>
        <w:gridCol w:w="1171"/>
        <w:gridCol w:w="1349"/>
        <w:gridCol w:w="1891"/>
      </w:tblGrid>
      <w:tr>
        <w:trPr>
          <w:trHeight w:val="618" w:hRule="atLeast"/>
        </w:trPr>
        <w:tc>
          <w:tcPr>
            <w:tcW w:w="1440" w:type="dxa"/>
          </w:tcPr>
          <w:p>
            <w:pPr>
              <w:pStyle w:val="TableParagraph"/>
              <w:spacing w:line="268" w:lineRule="exact"/>
              <w:ind w:left="107"/>
              <w:rPr>
                <w:rFonts w:ascii="Calibri"/>
                <w:b/>
                <w:sz w:val="22"/>
              </w:rPr>
            </w:pPr>
            <w:r>
              <w:rPr>
                <w:rFonts w:ascii="Calibri"/>
                <w:b/>
                <w:spacing w:val="-2"/>
                <w:sz w:val="22"/>
              </w:rPr>
              <w:t>Service</w:t>
            </w:r>
          </w:p>
        </w:tc>
        <w:tc>
          <w:tcPr>
            <w:tcW w:w="1889" w:type="dxa"/>
          </w:tcPr>
          <w:p>
            <w:pPr>
              <w:pStyle w:val="TableParagraph"/>
              <w:spacing w:line="268" w:lineRule="exact"/>
              <w:ind w:left="398" w:right="388"/>
              <w:jc w:val="center"/>
              <w:rPr>
                <w:rFonts w:ascii="Calibri"/>
                <w:b/>
                <w:sz w:val="22"/>
              </w:rPr>
            </w:pPr>
            <w:r>
              <w:rPr>
                <w:rFonts w:ascii="Calibri"/>
                <w:b/>
                <w:spacing w:val="-2"/>
                <w:sz w:val="22"/>
              </w:rPr>
              <w:t>Service</w:t>
            </w:r>
          </w:p>
          <w:p>
            <w:pPr>
              <w:pStyle w:val="TableParagraph"/>
              <w:spacing w:line="240" w:lineRule="auto" w:before="41"/>
              <w:ind w:left="398" w:right="391"/>
              <w:jc w:val="center"/>
              <w:rPr>
                <w:rFonts w:ascii="Calibri"/>
                <w:sz w:val="22"/>
              </w:rPr>
            </w:pPr>
            <w:r>
              <w:rPr>
                <w:rFonts w:ascii="Calibri"/>
                <w:b/>
                <w:spacing w:val="-2"/>
                <w:sz w:val="22"/>
              </w:rPr>
              <w:t>Population</w:t>
            </w:r>
            <w:r>
              <w:rPr>
                <w:rFonts w:ascii="Calibri"/>
                <w:spacing w:val="-2"/>
                <w:sz w:val="22"/>
                <w:vertAlign w:val="superscript"/>
              </w:rPr>
              <w:t>1</w:t>
            </w:r>
          </w:p>
        </w:tc>
        <w:tc>
          <w:tcPr>
            <w:tcW w:w="1080" w:type="dxa"/>
          </w:tcPr>
          <w:p>
            <w:pPr>
              <w:pStyle w:val="TableParagraph"/>
              <w:spacing w:line="230" w:lineRule="exact" w:before="24"/>
              <w:ind w:left="448" w:right="243" w:hanging="190"/>
              <w:rPr>
                <w:rFonts w:ascii="Calibri"/>
                <w:sz w:val="14"/>
              </w:rPr>
            </w:pPr>
            <w:r>
              <w:rPr>
                <w:rFonts w:ascii="Calibri"/>
                <w:b/>
                <w:spacing w:val="-2"/>
                <w:sz w:val="22"/>
              </w:rPr>
              <w:t>White </w:t>
            </w:r>
            <w:r>
              <w:rPr>
                <w:rFonts w:ascii="Calibri"/>
                <w:b/>
                <w:spacing w:val="-6"/>
                <w:position w:val="-7"/>
                <w:sz w:val="22"/>
              </w:rPr>
              <w:t>#</w:t>
            </w:r>
            <w:r>
              <w:rPr>
                <w:rFonts w:ascii="Calibri"/>
                <w:spacing w:val="-6"/>
                <w:sz w:val="14"/>
              </w:rPr>
              <w:t>1</w:t>
            </w:r>
          </w:p>
        </w:tc>
        <w:tc>
          <w:tcPr>
            <w:tcW w:w="900" w:type="dxa"/>
          </w:tcPr>
          <w:p>
            <w:pPr>
              <w:pStyle w:val="TableParagraph"/>
              <w:spacing w:line="268" w:lineRule="exact"/>
              <w:ind w:left="106" w:right="96"/>
              <w:jc w:val="center"/>
              <w:rPr>
                <w:rFonts w:ascii="Calibri"/>
                <w:b/>
                <w:sz w:val="22"/>
              </w:rPr>
            </w:pPr>
            <w:r>
              <w:rPr>
                <w:rFonts w:ascii="Calibri"/>
                <w:b/>
                <w:spacing w:val="-2"/>
                <w:sz w:val="22"/>
              </w:rPr>
              <w:t>White</w:t>
            </w:r>
          </w:p>
          <w:p>
            <w:pPr>
              <w:pStyle w:val="TableParagraph"/>
              <w:spacing w:line="240" w:lineRule="auto" w:before="38"/>
              <w:ind w:left="103" w:right="96"/>
              <w:jc w:val="center"/>
              <w:rPr>
                <w:rFonts w:ascii="Calibri"/>
                <w:sz w:val="14"/>
              </w:rPr>
            </w:pPr>
            <w:r>
              <w:rPr>
                <w:rFonts w:ascii="Calibri"/>
                <w:b/>
                <w:spacing w:val="-5"/>
                <w:position w:val="-7"/>
                <w:sz w:val="22"/>
              </w:rPr>
              <w:t>%</w:t>
            </w:r>
            <w:r>
              <w:rPr>
                <w:rFonts w:ascii="Calibri"/>
                <w:spacing w:val="-5"/>
                <w:sz w:val="14"/>
              </w:rPr>
              <w:t>1</w:t>
            </w:r>
          </w:p>
        </w:tc>
        <w:tc>
          <w:tcPr>
            <w:tcW w:w="1171" w:type="dxa"/>
          </w:tcPr>
          <w:p>
            <w:pPr>
              <w:pStyle w:val="TableParagraph"/>
              <w:spacing w:line="268" w:lineRule="exact"/>
              <w:ind w:left="121" w:right="113"/>
              <w:jc w:val="center"/>
              <w:rPr>
                <w:rFonts w:ascii="Calibri"/>
                <w:b/>
                <w:sz w:val="22"/>
              </w:rPr>
            </w:pPr>
            <w:r>
              <w:rPr>
                <w:rFonts w:ascii="Calibri"/>
                <w:b/>
                <w:spacing w:val="-2"/>
                <w:sz w:val="22"/>
              </w:rPr>
              <w:t>Minority#</w:t>
            </w:r>
          </w:p>
          <w:p>
            <w:pPr>
              <w:pStyle w:val="TableParagraph"/>
              <w:spacing w:line="240" w:lineRule="auto" w:before="38"/>
              <w:ind w:left="3"/>
              <w:jc w:val="center"/>
              <w:rPr>
                <w:rFonts w:ascii="Calibri"/>
                <w:sz w:val="14"/>
              </w:rPr>
            </w:pPr>
            <w:r>
              <w:rPr>
                <w:rFonts w:ascii="Calibri"/>
                <w:w w:val="99"/>
                <w:sz w:val="14"/>
              </w:rPr>
              <w:t>1</w:t>
            </w:r>
          </w:p>
        </w:tc>
        <w:tc>
          <w:tcPr>
            <w:tcW w:w="1349" w:type="dxa"/>
          </w:tcPr>
          <w:p>
            <w:pPr>
              <w:pStyle w:val="TableParagraph"/>
              <w:spacing w:line="268" w:lineRule="exact"/>
              <w:ind w:left="123" w:right="116"/>
              <w:jc w:val="center"/>
              <w:rPr>
                <w:rFonts w:ascii="Calibri"/>
                <w:sz w:val="22"/>
              </w:rPr>
            </w:pPr>
            <w:r>
              <w:rPr>
                <w:rFonts w:ascii="Calibri"/>
                <w:b/>
                <w:sz w:val="22"/>
              </w:rPr>
              <w:t>Minority</w:t>
            </w:r>
            <w:r>
              <w:rPr>
                <w:rFonts w:ascii="Calibri"/>
                <w:b/>
                <w:spacing w:val="-8"/>
                <w:sz w:val="22"/>
              </w:rPr>
              <w:t> </w:t>
            </w:r>
            <w:r>
              <w:rPr>
                <w:rFonts w:ascii="Calibri"/>
                <w:b/>
                <w:spacing w:val="-5"/>
                <w:sz w:val="22"/>
              </w:rPr>
              <w:t>%</w:t>
            </w:r>
            <w:r>
              <w:rPr>
                <w:rFonts w:ascii="Calibri"/>
                <w:spacing w:val="-5"/>
                <w:sz w:val="22"/>
                <w:vertAlign w:val="superscript"/>
              </w:rPr>
              <w:t>1</w:t>
            </w:r>
          </w:p>
        </w:tc>
        <w:tc>
          <w:tcPr>
            <w:tcW w:w="1891" w:type="dxa"/>
          </w:tcPr>
          <w:p>
            <w:pPr>
              <w:pStyle w:val="TableParagraph"/>
              <w:spacing w:line="268" w:lineRule="exact"/>
              <w:ind w:left="217" w:right="211"/>
              <w:jc w:val="center"/>
              <w:rPr>
                <w:rFonts w:ascii="Calibri"/>
                <w:b/>
                <w:sz w:val="22"/>
              </w:rPr>
            </w:pPr>
            <w:r>
              <w:rPr>
                <w:rFonts w:ascii="Calibri"/>
                <w:b/>
                <w:sz w:val="22"/>
              </w:rPr>
              <w:t>MaineDOT,</w:t>
            </w:r>
            <w:r>
              <w:rPr>
                <w:rFonts w:ascii="Calibri"/>
                <w:b/>
                <w:spacing w:val="-3"/>
                <w:sz w:val="22"/>
              </w:rPr>
              <w:t> </w:t>
            </w:r>
            <w:r>
              <w:rPr>
                <w:rFonts w:ascii="Calibri"/>
                <w:b/>
                <w:spacing w:val="-5"/>
                <w:sz w:val="22"/>
              </w:rPr>
              <w:t>FTA</w:t>
            </w:r>
          </w:p>
          <w:p>
            <w:pPr>
              <w:pStyle w:val="TableParagraph"/>
              <w:spacing w:line="240" w:lineRule="auto" w:before="41"/>
              <w:ind w:left="216" w:right="211"/>
              <w:jc w:val="center"/>
              <w:rPr>
                <w:rFonts w:ascii="Calibri"/>
                <w:sz w:val="22"/>
              </w:rPr>
            </w:pPr>
            <w:r>
              <w:rPr>
                <w:rFonts w:ascii="Calibri"/>
                <w:b/>
                <w:spacing w:val="-2"/>
                <w:sz w:val="22"/>
              </w:rPr>
              <w:t>Funding</w:t>
            </w:r>
            <w:r>
              <w:rPr>
                <w:rFonts w:ascii="Calibri"/>
                <w:spacing w:val="-2"/>
                <w:sz w:val="22"/>
                <w:vertAlign w:val="superscript"/>
              </w:rPr>
              <w:t>2</w:t>
            </w:r>
          </w:p>
        </w:tc>
      </w:tr>
      <w:tr>
        <w:trPr>
          <w:trHeight w:val="616" w:hRule="atLeast"/>
        </w:trPr>
        <w:tc>
          <w:tcPr>
            <w:tcW w:w="1440" w:type="dxa"/>
          </w:tcPr>
          <w:p>
            <w:pPr>
              <w:pStyle w:val="TableParagraph"/>
              <w:spacing w:line="268" w:lineRule="exact"/>
              <w:ind w:left="107"/>
              <w:rPr>
                <w:rFonts w:ascii="Calibri"/>
                <w:sz w:val="22"/>
              </w:rPr>
            </w:pPr>
            <w:r>
              <w:rPr>
                <w:rFonts w:ascii="Calibri"/>
                <w:spacing w:val="-4"/>
                <w:sz w:val="22"/>
              </w:rPr>
              <w:t>ARTS</w:t>
            </w:r>
          </w:p>
        </w:tc>
        <w:tc>
          <w:tcPr>
            <w:tcW w:w="1889" w:type="dxa"/>
          </w:tcPr>
          <w:p>
            <w:pPr>
              <w:pStyle w:val="TableParagraph"/>
              <w:spacing w:line="268" w:lineRule="exact"/>
              <w:ind w:left="638"/>
              <w:rPr>
                <w:rFonts w:ascii="Calibri"/>
                <w:sz w:val="22"/>
              </w:rPr>
            </w:pPr>
            <w:r>
              <w:rPr>
                <w:rFonts w:ascii="Calibri"/>
                <w:spacing w:val="-2"/>
                <w:sz w:val="22"/>
              </w:rPr>
              <w:t>68,132</w:t>
            </w:r>
          </w:p>
        </w:tc>
        <w:tc>
          <w:tcPr>
            <w:tcW w:w="1080" w:type="dxa"/>
          </w:tcPr>
          <w:p>
            <w:pPr>
              <w:pStyle w:val="TableParagraph"/>
              <w:spacing w:line="268" w:lineRule="exact"/>
              <w:ind w:left="162" w:right="154"/>
              <w:jc w:val="center"/>
              <w:rPr>
                <w:rFonts w:ascii="Calibri"/>
                <w:sz w:val="22"/>
              </w:rPr>
            </w:pPr>
            <w:r>
              <w:rPr>
                <w:rFonts w:ascii="Calibri"/>
                <w:spacing w:val="-2"/>
                <w:sz w:val="22"/>
              </w:rPr>
              <w:t>63,650</w:t>
            </w:r>
          </w:p>
        </w:tc>
        <w:tc>
          <w:tcPr>
            <w:tcW w:w="900" w:type="dxa"/>
          </w:tcPr>
          <w:p>
            <w:pPr>
              <w:pStyle w:val="TableParagraph"/>
              <w:spacing w:line="268" w:lineRule="exact"/>
              <w:ind w:left="107" w:right="96"/>
              <w:jc w:val="center"/>
              <w:rPr>
                <w:rFonts w:ascii="Calibri"/>
                <w:sz w:val="22"/>
              </w:rPr>
            </w:pPr>
            <w:r>
              <w:rPr>
                <w:rFonts w:ascii="Calibri"/>
                <w:spacing w:val="-2"/>
                <w:sz w:val="22"/>
              </w:rPr>
              <w:t>93.42%</w:t>
            </w:r>
          </w:p>
        </w:tc>
        <w:tc>
          <w:tcPr>
            <w:tcW w:w="1171" w:type="dxa"/>
          </w:tcPr>
          <w:p>
            <w:pPr>
              <w:pStyle w:val="TableParagraph"/>
              <w:spacing w:line="268" w:lineRule="exact"/>
              <w:ind w:left="333"/>
              <w:rPr>
                <w:rFonts w:ascii="Calibri"/>
                <w:sz w:val="22"/>
              </w:rPr>
            </w:pPr>
            <w:r>
              <w:rPr>
                <w:rFonts w:ascii="Calibri"/>
                <w:spacing w:val="-2"/>
                <w:sz w:val="22"/>
              </w:rPr>
              <w:t>4,482</w:t>
            </w:r>
          </w:p>
        </w:tc>
        <w:tc>
          <w:tcPr>
            <w:tcW w:w="1349" w:type="dxa"/>
          </w:tcPr>
          <w:p>
            <w:pPr>
              <w:pStyle w:val="TableParagraph"/>
              <w:spacing w:line="268" w:lineRule="exact"/>
              <w:ind w:left="123" w:right="114"/>
              <w:jc w:val="center"/>
              <w:rPr>
                <w:rFonts w:ascii="Calibri"/>
                <w:sz w:val="22"/>
              </w:rPr>
            </w:pPr>
            <w:r>
              <w:rPr>
                <w:rFonts w:ascii="Calibri"/>
                <w:spacing w:val="-4"/>
                <w:sz w:val="22"/>
              </w:rPr>
              <w:t>6.58</w:t>
            </w:r>
          </w:p>
          <w:p>
            <w:pPr>
              <w:pStyle w:val="TableParagraph"/>
              <w:spacing w:line="240" w:lineRule="auto" w:before="41"/>
              <w:ind w:left="8"/>
              <w:jc w:val="center"/>
              <w:rPr>
                <w:rFonts w:ascii="Calibri"/>
                <w:sz w:val="22"/>
              </w:rPr>
            </w:pPr>
            <w:r>
              <w:rPr>
                <w:rFonts w:ascii="Calibri"/>
                <w:w w:val="100"/>
                <w:sz w:val="22"/>
              </w:rPr>
              <w:t>%</w:t>
            </w:r>
          </w:p>
        </w:tc>
        <w:tc>
          <w:tcPr>
            <w:tcW w:w="1891" w:type="dxa"/>
          </w:tcPr>
          <w:p>
            <w:pPr>
              <w:pStyle w:val="TableParagraph"/>
              <w:spacing w:line="268" w:lineRule="exact"/>
              <w:ind w:left="217" w:right="211"/>
              <w:jc w:val="center"/>
              <w:rPr>
                <w:rFonts w:ascii="Calibri"/>
                <w:sz w:val="22"/>
              </w:rPr>
            </w:pPr>
            <w:r>
              <w:rPr>
                <w:rFonts w:ascii="Calibri"/>
                <w:spacing w:val="-2"/>
                <w:sz w:val="22"/>
              </w:rPr>
              <w:t>$679,786</w:t>
            </w:r>
          </w:p>
        </w:tc>
      </w:tr>
      <w:tr>
        <w:trPr>
          <w:trHeight w:val="618" w:hRule="atLeast"/>
        </w:trPr>
        <w:tc>
          <w:tcPr>
            <w:tcW w:w="1440" w:type="dxa"/>
          </w:tcPr>
          <w:p>
            <w:pPr>
              <w:pStyle w:val="TableParagraph"/>
              <w:spacing w:line="268" w:lineRule="exact"/>
              <w:ind w:left="107"/>
              <w:rPr>
                <w:rFonts w:ascii="Calibri"/>
                <w:sz w:val="22"/>
              </w:rPr>
            </w:pPr>
            <w:r>
              <w:rPr>
                <w:rFonts w:ascii="Calibri"/>
                <w:sz w:val="22"/>
              </w:rPr>
              <w:t>DCP,</w:t>
            </w:r>
            <w:r>
              <w:rPr>
                <w:rFonts w:ascii="Calibri"/>
                <w:spacing w:val="-2"/>
                <w:sz w:val="22"/>
              </w:rPr>
              <w:t> </w:t>
            </w:r>
            <w:r>
              <w:rPr>
                <w:rFonts w:ascii="Calibri"/>
                <w:spacing w:val="-4"/>
                <w:sz w:val="22"/>
              </w:rPr>
              <w:t>DTI,</w:t>
            </w:r>
          </w:p>
          <w:p>
            <w:pPr>
              <w:pStyle w:val="TableParagraph"/>
              <w:spacing w:line="240" w:lineRule="auto" w:before="41"/>
              <w:ind w:left="107"/>
              <w:rPr>
                <w:rFonts w:ascii="Calibri" w:hAnsi="Calibri"/>
                <w:sz w:val="22"/>
              </w:rPr>
            </w:pPr>
            <w:r>
              <w:rPr>
                <w:rFonts w:ascii="Calibri" w:hAnsi="Calibri"/>
                <w:spacing w:val="-2"/>
                <w:sz w:val="22"/>
              </w:rPr>
              <w:t>West’s</w:t>
            </w:r>
          </w:p>
        </w:tc>
        <w:tc>
          <w:tcPr>
            <w:tcW w:w="1889" w:type="dxa"/>
          </w:tcPr>
          <w:p>
            <w:pPr>
              <w:pStyle w:val="TableParagraph"/>
              <w:spacing w:line="268" w:lineRule="exact"/>
              <w:ind w:left="638"/>
              <w:rPr>
                <w:rFonts w:ascii="Calibri"/>
                <w:sz w:val="22"/>
              </w:rPr>
            </w:pPr>
            <w:r>
              <w:rPr>
                <w:rFonts w:ascii="Calibri"/>
                <w:spacing w:val="-2"/>
                <w:sz w:val="22"/>
              </w:rPr>
              <w:t>85,949</w:t>
            </w:r>
          </w:p>
        </w:tc>
        <w:tc>
          <w:tcPr>
            <w:tcW w:w="1080" w:type="dxa"/>
          </w:tcPr>
          <w:p>
            <w:pPr>
              <w:pStyle w:val="TableParagraph"/>
              <w:spacing w:line="268" w:lineRule="exact"/>
              <w:ind w:left="162" w:right="154"/>
              <w:jc w:val="center"/>
              <w:rPr>
                <w:rFonts w:ascii="Calibri"/>
                <w:sz w:val="22"/>
              </w:rPr>
            </w:pPr>
            <w:r>
              <w:rPr>
                <w:rFonts w:ascii="Calibri"/>
                <w:spacing w:val="-2"/>
                <w:sz w:val="22"/>
              </w:rPr>
              <w:t>79,171</w:t>
            </w:r>
          </w:p>
        </w:tc>
        <w:tc>
          <w:tcPr>
            <w:tcW w:w="900" w:type="dxa"/>
          </w:tcPr>
          <w:p>
            <w:pPr>
              <w:pStyle w:val="TableParagraph"/>
              <w:spacing w:line="268" w:lineRule="exact"/>
              <w:ind w:left="107" w:right="96"/>
              <w:jc w:val="center"/>
              <w:rPr>
                <w:rFonts w:ascii="Calibri"/>
                <w:sz w:val="22"/>
              </w:rPr>
            </w:pPr>
            <w:r>
              <w:rPr>
                <w:rFonts w:ascii="Calibri"/>
                <w:spacing w:val="-2"/>
                <w:sz w:val="22"/>
              </w:rPr>
              <w:t>92.11%</w:t>
            </w:r>
          </w:p>
        </w:tc>
        <w:tc>
          <w:tcPr>
            <w:tcW w:w="1171" w:type="dxa"/>
          </w:tcPr>
          <w:p>
            <w:pPr>
              <w:pStyle w:val="TableParagraph"/>
              <w:spacing w:line="268" w:lineRule="exact"/>
              <w:ind w:left="333"/>
              <w:rPr>
                <w:rFonts w:ascii="Calibri"/>
                <w:sz w:val="22"/>
              </w:rPr>
            </w:pPr>
            <w:r>
              <w:rPr>
                <w:rFonts w:ascii="Calibri"/>
                <w:spacing w:val="-2"/>
                <w:sz w:val="22"/>
              </w:rPr>
              <w:t>6,778</w:t>
            </w:r>
          </w:p>
        </w:tc>
        <w:tc>
          <w:tcPr>
            <w:tcW w:w="1349" w:type="dxa"/>
          </w:tcPr>
          <w:p>
            <w:pPr>
              <w:pStyle w:val="TableParagraph"/>
              <w:spacing w:line="268" w:lineRule="exact"/>
              <w:ind w:left="123" w:right="112"/>
              <w:jc w:val="center"/>
              <w:rPr>
                <w:rFonts w:ascii="Calibri"/>
                <w:sz w:val="22"/>
              </w:rPr>
            </w:pPr>
            <w:r>
              <w:rPr>
                <w:rFonts w:ascii="Calibri"/>
                <w:spacing w:val="-2"/>
                <w:sz w:val="22"/>
              </w:rPr>
              <w:t>7.89%</w:t>
            </w:r>
          </w:p>
        </w:tc>
        <w:tc>
          <w:tcPr>
            <w:tcW w:w="1891" w:type="dxa"/>
          </w:tcPr>
          <w:p>
            <w:pPr>
              <w:pStyle w:val="TableParagraph"/>
              <w:spacing w:line="268" w:lineRule="exact"/>
              <w:ind w:left="217" w:right="209"/>
              <w:jc w:val="center"/>
              <w:rPr>
                <w:rFonts w:ascii="Calibri"/>
                <w:sz w:val="22"/>
              </w:rPr>
            </w:pPr>
            <w:r>
              <w:rPr>
                <w:rFonts w:ascii="Calibri"/>
                <w:spacing w:val="-2"/>
                <w:sz w:val="22"/>
              </w:rPr>
              <w:t>$1,470,513</w:t>
            </w:r>
          </w:p>
        </w:tc>
      </w:tr>
      <w:tr>
        <w:trPr>
          <w:trHeight w:val="309" w:hRule="atLeast"/>
        </w:trPr>
        <w:tc>
          <w:tcPr>
            <w:tcW w:w="1440" w:type="dxa"/>
          </w:tcPr>
          <w:p>
            <w:pPr>
              <w:pStyle w:val="TableParagraph"/>
              <w:spacing w:line="268" w:lineRule="exact"/>
              <w:ind w:left="107"/>
              <w:rPr>
                <w:rFonts w:ascii="Calibri"/>
                <w:sz w:val="22"/>
              </w:rPr>
            </w:pPr>
            <w:r>
              <w:rPr>
                <w:rFonts w:ascii="Calibri"/>
                <w:spacing w:val="-2"/>
                <w:sz w:val="22"/>
              </w:rPr>
              <w:t>Penquis</w:t>
            </w:r>
          </w:p>
        </w:tc>
        <w:tc>
          <w:tcPr>
            <w:tcW w:w="1889" w:type="dxa"/>
          </w:tcPr>
          <w:p>
            <w:pPr>
              <w:pStyle w:val="TableParagraph"/>
              <w:spacing w:line="268" w:lineRule="exact"/>
              <w:ind w:left="580"/>
              <w:rPr>
                <w:rFonts w:ascii="Calibri"/>
                <w:sz w:val="22"/>
              </w:rPr>
            </w:pPr>
            <w:r>
              <w:rPr>
                <w:rFonts w:ascii="Calibri"/>
                <w:spacing w:val="-2"/>
                <w:sz w:val="22"/>
              </w:rPr>
              <w:t>168,582</w:t>
            </w:r>
          </w:p>
        </w:tc>
        <w:tc>
          <w:tcPr>
            <w:tcW w:w="1080" w:type="dxa"/>
          </w:tcPr>
          <w:p>
            <w:pPr>
              <w:pStyle w:val="TableParagraph"/>
              <w:spacing w:line="268" w:lineRule="exact"/>
              <w:ind w:left="165" w:right="154"/>
              <w:jc w:val="center"/>
              <w:rPr>
                <w:rFonts w:ascii="Calibri"/>
                <w:sz w:val="22"/>
              </w:rPr>
            </w:pPr>
            <w:r>
              <w:rPr>
                <w:rFonts w:ascii="Calibri"/>
                <w:spacing w:val="-2"/>
                <w:sz w:val="22"/>
              </w:rPr>
              <w:t>156,330</w:t>
            </w:r>
          </w:p>
        </w:tc>
        <w:tc>
          <w:tcPr>
            <w:tcW w:w="900" w:type="dxa"/>
          </w:tcPr>
          <w:p>
            <w:pPr>
              <w:pStyle w:val="TableParagraph"/>
              <w:spacing w:line="268" w:lineRule="exact"/>
              <w:ind w:left="107" w:right="96"/>
              <w:jc w:val="center"/>
              <w:rPr>
                <w:rFonts w:ascii="Calibri"/>
                <w:sz w:val="22"/>
              </w:rPr>
            </w:pPr>
            <w:r>
              <w:rPr>
                <w:rFonts w:ascii="Calibri"/>
                <w:spacing w:val="-2"/>
                <w:sz w:val="22"/>
              </w:rPr>
              <w:t>92.73%</w:t>
            </w:r>
          </w:p>
        </w:tc>
        <w:tc>
          <w:tcPr>
            <w:tcW w:w="1171" w:type="dxa"/>
          </w:tcPr>
          <w:p>
            <w:pPr>
              <w:pStyle w:val="TableParagraph"/>
              <w:spacing w:line="268" w:lineRule="exact"/>
              <w:ind w:left="278"/>
              <w:rPr>
                <w:rFonts w:ascii="Calibri"/>
                <w:sz w:val="22"/>
              </w:rPr>
            </w:pPr>
            <w:r>
              <w:rPr>
                <w:rFonts w:ascii="Calibri"/>
                <w:spacing w:val="-2"/>
                <w:sz w:val="22"/>
              </w:rPr>
              <w:t>12,252</w:t>
            </w:r>
          </w:p>
        </w:tc>
        <w:tc>
          <w:tcPr>
            <w:tcW w:w="1349" w:type="dxa"/>
          </w:tcPr>
          <w:p>
            <w:pPr>
              <w:pStyle w:val="TableParagraph"/>
              <w:spacing w:line="268" w:lineRule="exact"/>
              <w:ind w:left="123" w:right="112"/>
              <w:jc w:val="center"/>
              <w:rPr>
                <w:rFonts w:ascii="Calibri"/>
                <w:sz w:val="22"/>
              </w:rPr>
            </w:pPr>
            <w:r>
              <w:rPr>
                <w:rFonts w:ascii="Calibri"/>
                <w:spacing w:val="-2"/>
                <w:sz w:val="22"/>
              </w:rPr>
              <w:t>7.27%</w:t>
            </w:r>
          </w:p>
        </w:tc>
        <w:tc>
          <w:tcPr>
            <w:tcW w:w="1891" w:type="dxa"/>
          </w:tcPr>
          <w:p>
            <w:pPr>
              <w:pStyle w:val="TableParagraph"/>
              <w:spacing w:line="268" w:lineRule="exact"/>
              <w:ind w:left="217" w:right="211"/>
              <w:jc w:val="center"/>
              <w:rPr>
                <w:rFonts w:ascii="Calibri"/>
                <w:sz w:val="22"/>
              </w:rPr>
            </w:pPr>
            <w:r>
              <w:rPr>
                <w:rFonts w:ascii="Calibri"/>
                <w:spacing w:val="-2"/>
                <w:sz w:val="22"/>
              </w:rPr>
              <w:t>$979,730</w:t>
            </w:r>
          </w:p>
        </w:tc>
      </w:tr>
      <w:tr>
        <w:trPr>
          <w:trHeight w:val="616" w:hRule="atLeast"/>
        </w:trPr>
        <w:tc>
          <w:tcPr>
            <w:tcW w:w="1440" w:type="dxa"/>
          </w:tcPr>
          <w:p>
            <w:pPr>
              <w:pStyle w:val="TableParagraph"/>
              <w:spacing w:line="268" w:lineRule="exact"/>
              <w:ind w:left="107"/>
              <w:rPr>
                <w:rFonts w:ascii="Calibri"/>
                <w:sz w:val="22"/>
              </w:rPr>
            </w:pPr>
            <w:r>
              <w:rPr>
                <w:rFonts w:ascii="Calibri"/>
                <w:sz w:val="22"/>
              </w:rPr>
              <w:t>WCAP</w:t>
            </w:r>
            <w:r>
              <w:rPr>
                <w:rFonts w:ascii="Calibri"/>
                <w:spacing w:val="-1"/>
                <w:sz w:val="22"/>
              </w:rPr>
              <w:t> </w:t>
            </w:r>
            <w:r>
              <w:rPr>
                <w:rFonts w:ascii="Calibri"/>
                <w:spacing w:val="-2"/>
                <w:sz w:val="22"/>
              </w:rPr>
              <w:t>d/b/a</w:t>
            </w:r>
          </w:p>
          <w:p>
            <w:pPr>
              <w:pStyle w:val="TableParagraph"/>
              <w:spacing w:line="240" w:lineRule="auto" w:before="38"/>
              <w:ind w:left="107"/>
              <w:rPr>
                <w:rFonts w:ascii="Calibri"/>
                <w:sz w:val="22"/>
              </w:rPr>
            </w:pPr>
            <w:r>
              <w:rPr>
                <w:rFonts w:ascii="Calibri"/>
                <w:spacing w:val="-4"/>
                <w:sz w:val="22"/>
              </w:rPr>
              <w:t>MCPT</w:t>
            </w:r>
          </w:p>
        </w:tc>
        <w:tc>
          <w:tcPr>
            <w:tcW w:w="1889" w:type="dxa"/>
          </w:tcPr>
          <w:p>
            <w:pPr>
              <w:pStyle w:val="TableParagraph"/>
              <w:spacing w:line="268" w:lineRule="exact"/>
              <w:ind w:left="580"/>
              <w:rPr>
                <w:rFonts w:ascii="Calibri"/>
                <w:sz w:val="22"/>
              </w:rPr>
            </w:pPr>
            <w:r>
              <w:rPr>
                <w:rFonts w:ascii="Calibri"/>
                <w:spacing w:val="-2"/>
                <w:sz w:val="22"/>
              </w:rPr>
              <w:t>173,271</w:t>
            </w:r>
          </w:p>
        </w:tc>
        <w:tc>
          <w:tcPr>
            <w:tcW w:w="1080" w:type="dxa"/>
          </w:tcPr>
          <w:p>
            <w:pPr>
              <w:pStyle w:val="TableParagraph"/>
              <w:spacing w:line="268" w:lineRule="exact"/>
              <w:ind w:left="165" w:right="154"/>
              <w:jc w:val="center"/>
              <w:rPr>
                <w:rFonts w:ascii="Calibri"/>
                <w:sz w:val="22"/>
              </w:rPr>
            </w:pPr>
            <w:r>
              <w:rPr>
                <w:rFonts w:ascii="Calibri"/>
                <w:spacing w:val="-2"/>
                <w:sz w:val="22"/>
              </w:rPr>
              <w:t>162,660</w:t>
            </w:r>
          </w:p>
        </w:tc>
        <w:tc>
          <w:tcPr>
            <w:tcW w:w="900" w:type="dxa"/>
          </w:tcPr>
          <w:p>
            <w:pPr>
              <w:pStyle w:val="TableParagraph"/>
              <w:spacing w:line="268" w:lineRule="exact"/>
              <w:ind w:left="107" w:right="96"/>
              <w:jc w:val="center"/>
              <w:rPr>
                <w:rFonts w:ascii="Calibri"/>
                <w:sz w:val="22"/>
              </w:rPr>
            </w:pPr>
            <w:r>
              <w:rPr>
                <w:rFonts w:ascii="Calibri"/>
                <w:spacing w:val="-2"/>
                <w:sz w:val="22"/>
              </w:rPr>
              <w:t>93.88%</w:t>
            </w:r>
          </w:p>
        </w:tc>
        <w:tc>
          <w:tcPr>
            <w:tcW w:w="1171" w:type="dxa"/>
          </w:tcPr>
          <w:p>
            <w:pPr>
              <w:pStyle w:val="TableParagraph"/>
              <w:spacing w:line="268" w:lineRule="exact"/>
              <w:ind w:left="278"/>
              <w:rPr>
                <w:rFonts w:ascii="Calibri"/>
                <w:sz w:val="22"/>
              </w:rPr>
            </w:pPr>
            <w:r>
              <w:rPr>
                <w:rFonts w:ascii="Calibri"/>
                <w:spacing w:val="-2"/>
                <w:sz w:val="22"/>
              </w:rPr>
              <w:t>10,611</w:t>
            </w:r>
          </w:p>
        </w:tc>
        <w:tc>
          <w:tcPr>
            <w:tcW w:w="1349" w:type="dxa"/>
          </w:tcPr>
          <w:p>
            <w:pPr>
              <w:pStyle w:val="TableParagraph"/>
              <w:spacing w:line="268" w:lineRule="exact"/>
              <w:ind w:left="123" w:right="112"/>
              <w:jc w:val="center"/>
              <w:rPr>
                <w:rFonts w:ascii="Calibri"/>
                <w:sz w:val="22"/>
              </w:rPr>
            </w:pPr>
            <w:r>
              <w:rPr>
                <w:rFonts w:ascii="Calibri"/>
                <w:spacing w:val="-2"/>
                <w:sz w:val="22"/>
              </w:rPr>
              <w:t>6.12%</w:t>
            </w:r>
          </w:p>
        </w:tc>
        <w:tc>
          <w:tcPr>
            <w:tcW w:w="1891" w:type="dxa"/>
          </w:tcPr>
          <w:p>
            <w:pPr>
              <w:pStyle w:val="TableParagraph"/>
              <w:spacing w:line="268" w:lineRule="exact"/>
              <w:ind w:left="217" w:right="211"/>
              <w:jc w:val="center"/>
              <w:rPr>
                <w:rFonts w:ascii="Calibri"/>
                <w:sz w:val="22"/>
              </w:rPr>
            </w:pPr>
            <w:r>
              <w:rPr>
                <w:rFonts w:ascii="Calibri"/>
                <w:spacing w:val="-2"/>
                <w:sz w:val="22"/>
              </w:rPr>
              <w:t>$569,798</w:t>
            </w:r>
          </w:p>
        </w:tc>
      </w:tr>
      <w:tr>
        <w:trPr>
          <w:trHeight w:val="309" w:hRule="atLeast"/>
        </w:trPr>
        <w:tc>
          <w:tcPr>
            <w:tcW w:w="1440" w:type="dxa"/>
          </w:tcPr>
          <w:p>
            <w:pPr>
              <w:pStyle w:val="TableParagraph"/>
              <w:spacing w:line="268" w:lineRule="exact"/>
              <w:ind w:left="107"/>
              <w:rPr>
                <w:rFonts w:ascii="Calibri"/>
                <w:sz w:val="22"/>
              </w:rPr>
            </w:pPr>
            <w:r>
              <w:rPr>
                <w:rFonts w:ascii="Calibri"/>
                <w:spacing w:val="-5"/>
                <w:sz w:val="22"/>
              </w:rPr>
              <w:t>RTP</w:t>
            </w:r>
          </w:p>
        </w:tc>
        <w:tc>
          <w:tcPr>
            <w:tcW w:w="1889" w:type="dxa"/>
          </w:tcPr>
          <w:p>
            <w:pPr>
              <w:pStyle w:val="TableParagraph"/>
              <w:spacing w:line="268" w:lineRule="exact"/>
              <w:ind w:left="580"/>
              <w:rPr>
                <w:rFonts w:ascii="Calibri"/>
                <w:sz w:val="22"/>
              </w:rPr>
            </w:pPr>
            <w:r>
              <w:rPr>
                <w:rFonts w:ascii="Calibri"/>
                <w:spacing w:val="-2"/>
                <w:sz w:val="22"/>
              </w:rPr>
              <w:t>279,237</w:t>
            </w:r>
          </w:p>
        </w:tc>
        <w:tc>
          <w:tcPr>
            <w:tcW w:w="1080" w:type="dxa"/>
          </w:tcPr>
          <w:p>
            <w:pPr>
              <w:pStyle w:val="TableParagraph"/>
              <w:spacing w:line="268" w:lineRule="exact"/>
              <w:ind w:left="165" w:right="154"/>
              <w:jc w:val="center"/>
              <w:rPr>
                <w:rFonts w:ascii="Calibri"/>
                <w:sz w:val="22"/>
              </w:rPr>
            </w:pPr>
            <w:r>
              <w:rPr>
                <w:rFonts w:ascii="Calibri"/>
                <w:spacing w:val="-2"/>
                <w:sz w:val="22"/>
              </w:rPr>
              <w:t>247,125</w:t>
            </w:r>
          </w:p>
        </w:tc>
        <w:tc>
          <w:tcPr>
            <w:tcW w:w="900" w:type="dxa"/>
          </w:tcPr>
          <w:p>
            <w:pPr>
              <w:pStyle w:val="TableParagraph"/>
              <w:spacing w:line="268" w:lineRule="exact"/>
              <w:ind w:left="104" w:right="96"/>
              <w:jc w:val="center"/>
              <w:rPr>
                <w:rFonts w:ascii="Calibri"/>
                <w:sz w:val="22"/>
              </w:rPr>
            </w:pPr>
            <w:r>
              <w:rPr>
                <w:rFonts w:ascii="Calibri"/>
                <w:spacing w:val="-2"/>
                <w:sz w:val="22"/>
              </w:rPr>
              <w:t>88.5%</w:t>
            </w:r>
          </w:p>
        </w:tc>
        <w:tc>
          <w:tcPr>
            <w:tcW w:w="1171" w:type="dxa"/>
          </w:tcPr>
          <w:p>
            <w:pPr>
              <w:pStyle w:val="TableParagraph"/>
              <w:spacing w:line="268" w:lineRule="exact"/>
              <w:ind w:left="278"/>
              <w:rPr>
                <w:rFonts w:ascii="Calibri"/>
                <w:sz w:val="22"/>
              </w:rPr>
            </w:pPr>
            <w:r>
              <w:rPr>
                <w:rFonts w:ascii="Calibri"/>
                <w:spacing w:val="-2"/>
                <w:sz w:val="22"/>
              </w:rPr>
              <w:t>32,112</w:t>
            </w:r>
          </w:p>
        </w:tc>
        <w:tc>
          <w:tcPr>
            <w:tcW w:w="1349" w:type="dxa"/>
          </w:tcPr>
          <w:p>
            <w:pPr>
              <w:pStyle w:val="TableParagraph"/>
              <w:spacing w:line="268" w:lineRule="exact"/>
              <w:ind w:left="123" w:right="112"/>
              <w:jc w:val="center"/>
              <w:rPr>
                <w:rFonts w:ascii="Calibri"/>
                <w:sz w:val="22"/>
              </w:rPr>
            </w:pPr>
            <w:r>
              <w:rPr>
                <w:rFonts w:ascii="Calibri"/>
                <w:spacing w:val="-2"/>
                <w:sz w:val="22"/>
              </w:rPr>
              <w:t>11.5%</w:t>
            </w:r>
          </w:p>
        </w:tc>
        <w:tc>
          <w:tcPr>
            <w:tcW w:w="1891" w:type="dxa"/>
          </w:tcPr>
          <w:p>
            <w:pPr>
              <w:pStyle w:val="TableParagraph"/>
              <w:spacing w:line="268" w:lineRule="exact"/>
              <w:ind w:left="217" w:right="209"/>
              <w:jc w:val="center"/>
              <w:rPr>
                <w:rFonts w:ascii="Calibri"/>
                <w:sz w:val="22"/>
              </w:rPr>
            </w:pPr>
            <w:r>
              <w:rPr>
                <w:rFonts w:ascii="Calibri"/>
                <w:spacing w:val="-2"/>
                <w:sz w:val="22"/>
              </w:rPr>
              <w:t>$1,106,678</w:t>
            </w:r>
          </w:p>
        </w:tc>
      </w:tr>
      <w:tr>
        <w:trPr>
          <w:trHeight w:val="309" w:hRule="atLeast"/>
        </w:trPr>
        <w:tc>
          <w:tcPr>
            <w:tcW w:w="1440" w:type="dxa"/>
          </w:tcPr>
          <w:p>
            <w:pPr>
              <w:pStyle w:val="TableParagraph"/>
              <w:spacing w:line="268" w:lineRule="exact"/>
              <w:ind w:left="107"/>
              <w:rPr>
                <w:rFonts w:ascii="Calibri"/>
                <w:sz w:val="22"/>
              </w:rPr>
            </w:pPr>
            <w:r>
              <w:rPr>
                <w:rFonts w:ascii="Calibri"/>
                <w:spacing w:val="-4"/>
                <w:sz w:val="22"/>
              </w:rPr>
              <w:t>WMTS</w:t>
            </w:r>
          </w:p>
        </w:tc>
        <w:tc>
          <w:tcPr>
            <w:tcW w:w="1889" w:type="dxa"/>
          </w:tcPr>
          <w:p>
            <w:pPr>
              <w:pStyle w:val="TableParagraph"/>
              <w:spacing w:line="268" w:lineRule="exact"/>
              <w:ind w:left="580"/>
              <w:rPr>
                <w:rFonts w:ascii="Calibri"/>
                <w:sz w:val="22"/>
              </w:rPr>
            </w:pPr>
            <w:r>
              <w:rPr>
                <w:rFonts w:ascii="Calibri"/>
                <w:spacing w:val="-2"/>
                <w:sz w:val="22"/>
              </w:rPr>
              <w:t>197,672</w:t>
            </w:r>
          </w:p>
        </w:tc>
        <w:tc>
          <w:tcPr>
            <w:tcW w:w="1080" w:type="dxa"/>
          </w:tcPr>
          <w:p>
            <w:pPr>
              <w:pStyle w:val="TableParagraph"/>
              <w:spacing w:line="268" w:lineRule="exact"/>
              <w:ind w:left="165" w:right="154"/>
              <w:jc w:val="center"/>
              <w:rPr>
                <w:rFonts w:ascii="Calibri"/>
                <w:sz w:val="22"/>
              </w:rPr>
            </w:pPr>
            <w:r>
              <w:rPr>
                <w:rFonts w:ascii="Calibri"/>
                <w:spacing w:val="-2"/>
                <w:sz w:val="22"/>
              </w:rPr>
              <w:t>181,207</w:t>
            </w:r>
          </w:p>
        </w:tc>
        <w:tc>
          <w:tcPr>
            <w:tcW w:w="900" w:type="dxa"/>
          </w:tcPr>
          <w:p>
            <w:pPr>
              <w:pStyle w:val="TableParagraph"/>
              <w:spacing w:line="268" w:lineRule="exact"/>
              <w:ind w:left="107" w:right="96"/>
              <w:jc w:val="center"/>
              <w:rPr>
                <w:rFonts w:ascii="Calibri"/>
                <w:sz w:val="22"/>
              </w:rPr>
            </w:pPr>
            <w:r>
              <w:rPr>
                <w:rFonts w:ascii="Calibri"/>
                <w:spacing w:val="-2"/>
                <w:sz w:val="22"/>
              </w:rPr>
              <w:t>91.67%</w:t>
            </w:r>
          </w:p>
        </w:tc>
        <w:tc>
          <w:tcPr>
            <w:tcW w:w="1171" w:type="dxa"/>
          </w:tcPr>
          <w:p>
            <w:pPr>
              <w:pStyle w:val="TableParagraph"/>
              <w:spacing w:line="268" w:lineRule="exact"/>
              <w:ind w:left="278"/>
              <w:rPr>
                <w:rFonts w:ascii="Calibri"/>
                <w:sz w:val="22"/>
              </w:rPr>
            </w:pPr>
            <w:r>
              <w:rPr>
                <w:rFonts w:ascii="Calibri"/>
                <w:spacing w:val="-2"/>
                <w:sz w:val="22"/>
              </w:rPr>
              <w:t>16,465</w:t>
            </w:r>
          </w:p>
        </w:tc>
        <w:tc>
          <w:tcPr>
            <w:tcW w:w="1349" w:type="dxa"/>
          </w:tcPr>
          <w:p>
            <w:pPr>
              <w:pStyle w:val="TableParagraph"/>
              <w:spacing w:line="268" w:lineRule="exact"/>
              <w:ind w:left="123" w:right="112"/>
              <w:jc w:val="center"/>
              <w:rPr>
                <w:rFonts w:ascii="Calibri"/>
                <w:sz w:val="22"/>
              </w:rPr>
            </w:pPr>
            <w:r>
              <w:rPr>
                <w:rFonts w:ascii="Calibri"/>
                <w:spacing w:val="-2"/>
                <w:sz w:val="22"/>
              </w:rPr>
              <w:t>8.33%</w:t>
            </w:r>
          </w:p>
        </w:tc>
        <w:tc>
          <w:tcPr>
            <w:tcW w:w="1891" w:type="dxa"/>
          </w:tcPr>
          <w:p>
            <w:pPr>
              <w:pStyle w:val="TableParagraph"/>
              <w:spacing w:line="268" w:lineRule="exact"/>
              <w:ind w:left="217" w:right="209"/>
              <w:jc w:val="center"/>
              <w:rPr>
                <w:rFonts w:ascii="Calibri"/>
                <w:sz w:val="22"/>
              </w:rPr>
            </w:pPr>
            <w:r>
              <w:rPr>
                <w:rFonts w:ascii="Calibri"/>
                <w:spacing w:val="-2"/>
                <w:sz w:val="22"/>
              </w:rPr>
              <w:t>$1,585,401</w:t>
            </w:r>
          </w:p>
        </w:tc>
      </w:tr>
      <w:tr>
        <w:trPr>
          <w:trHeight w:val="309" w:hRule="atLeast"/>
        </w:trPr>
        <w:tc>
          <w:tcPr>
            <w:tcW w:w="1440" w:type="dxa"/>
          </w:tcPr>
          <w:p>
            <w:pPr>
              <w:pStyle w:val="TableParagraph"/>
              <w:spacing w:line="268" w:lineRule="exact"/>
              <w:ind w:left="107"/>
              <w:rPr>
                <w:rFonts w:ascii="Calibri"/>
                <w:sz w:val="22"/>
              </w:rPr>
            </w:pPr>
            <w:r>
              <w:rPr>
                <w:rFonts w:ascii="Calibri"/>
                <w:spacing w:val="-2"/>
                <w:sz w:val="22"/>
              </w:rPr>
              <w:t>YCCAC</w:t>
            </w:r>
          </w:p>
        </w:tc>
        <w:tc>
          <w:tcPr>
            <w:tcW w:w="1889" w:type="dxa"/>
          </w:tcPr>
          <w:p>
            <w:pPr>
              <w:pStyle w:val="TableParagraph"/>
              <w:spacing w:line="268" w:lineRule="exact"/>
              <w:ind w:left="580"/>
              <w:rPr>
                <w:rFonts w:ascii="Calibri"/>
                <w:sz w:val="22"/>
              </w:rPr>
            </w:pPr>
            <w:r>
              <w:rPr>
                <w:rFonts w:ascii="Calibri"/>
                <w:spacing w:val="-2"/>
                <w:sz w:val="22"/>
              </w:rPr>
              <w:t>210,486</w:t>
            </w:r>
          </w:p>
        </w:tc>
        <w:tc>
          <w:tcPr>
            <w:tcW w:w="1080" w:type="dxa"/>
          </w:tcPr>
          <w:p>
            <w:pPr>
              <w:pStyle w:val="TableParagraph"/>
              <w:spacing w:line="268" w:lineRule="exact"/>
              <w:ind w:left="165" w:right="154"/>
              <w:jc w:val="center"/>
              <w:rPr>
                <w:rFonts w:ascii="Calibri"/>
                <w:sz w:val="22"/>
              </w:rPr>
            </w:pPr>
            <w:r>
              <w:rPr>
                <w:rFonts w:ascii="Calibri"/>
                <w:spacing w:val="-2"/>
                <w:sz w:val="22"/>
              </w:rPr>
              <w:t>194,628</w:t>
            </w:r>
          </w:p>
        </w:tc>
        <w:tc>
          <w:tcPr>
            <w:tcW w:w="900" w:type="dxa"/>
          </w:tcPr>
          <w:p>
            <w:pPr>
              <w:pStyle w:val="TableParagraph"/>
              <w:spacing w:line="268" w:lineRule="exact"/>
              <w:ind w:left="107" w:right="96"/>
              <w:jc w:val="center"/>
              <w:rPr>
                <w:rFonts w:ascii="Calibri"/>
                <w:sz w:val="22"/>
              </w:rPr>
            </w:pPr>
            <w:r>
              <w:rPr>
                <w:rFonts w:ascii="Calibri"/>
                <w:spacing w:val="-2"/>
                <w:sz w:val="22"/>
              </w:rPr>
              <w:t>92.47%</w:t>
            </w:r>
          </w:p>
        </w:tc>
        <w:tc>
          <w:tcPr>
            <w:tcW w:w="1171" w:type="dxa"/>
          </w:tcPr>
          <w:p>
            <w:pPr>
              <w:pStyle w:val="TableParagraph"/>
              <w:spacing w:line="268" w:lineRule="exact"/>
              <w:ind w:left="278"/>
              <w:rPr>
                <w:rFonts w:ascii="Calibri"/>
                <w:sz w:val="22"/>
              </w:rPr>
            </w:pPr>
            <w:r>
              <w:rPr>
                <w:rFonts w:ascii="Calibri"/>
                <w:spacing w:val="-2"/>
                <w:sz w:val="22"/>
              </w:rPr>
              <w:t>15,858</w:t>
            </w:r>
          </w:p>
        </w:tc>
        <w:tc>
          <w:tcPr>
            <w:tcW w:w="1349" w:type="dxa"/>
          </w:tcPr>
          <w:p>
            <w:pPr>
              <w:pStyle w:val="TableParagraph"/>
              <w:spacing w:line="268" w:lineRule="exact"/>
              <w:ind w:left="123" w:right="112"/>
              <w:jc w:val="center"/>
              <w:rPr>
                <w:rFonts w:ascii="Calibri"/>
                <w:sz w:val="22"/>
              </w:rPr>
            </w:pPr>
            <w:r>
              <w:rPr>
                <w:rFonts w:ascii="Calibri"/>
                <w:spacing w:val="-2"/>
                <w:sz w:val="22"/>
              </w:rPr>
              <w:t>7.53%</w:t>
            </w:r>
          </w:p>
        </w:tc>
        <w:tc>
          <w:tcPr>
            <w:tcW w:w="1891" w:type="dxa"/>
          </w:tcPr>
          <w:p>
            <w:pPr>
              <w:pStyle w:val="TableParagraph"/>
              <w:spacing w:line="268" w:lineRule="exact"/>
              <w:ind w:left="217" w:right="211"/>
              <w:jc w:val="center"/>
              <w:rPr>
                <w:rFonts w:ascii="Calibri"/>
                <w:sz w:val="22"/>
              </w:rPr>
            </w:pPr>
            <w:r>
              <w:rPr>
                <w:rFonts w:ascii="Calibri"/>
                <w:spacing w:val="-2"/>
                <w:sz w:val="22"/>
              </w:rPr>
              <w:t>$918,160</w:t>
            </w:r>
          </w:p>
        </w:tc>
      </w:tr>
    </w:tbl>
    <w:p>
      <w:pPr>
        <w:spacing w:line="244" w:lineRule="exact" w:before="4"/>
        <w:ind w:left="840" w:right="0" w:firstLine="0"/>
        <w:jc w:val="left"/>
        <w:rPr>
          <w:sz w:val="20"/>
        </w:rPr>
      </w:pPr>
      <w:r>
        <w:rPr>
          <w:spacing w:val="-2"/>
          <w:sz w:val="20"/>
        </w:rPr>
        <w:t>Note:</w:t>
      </w:r>
    </w:p>
    <w:p>
      <w:pPr>
        <w:pStyle w:val="ListParagraph"/>
        <w:numPr>
          <w:ilvl w:val="0"/>
          <w:numId w:val="27"/>
        </w:numPr>
        <w:tabs>
          <w:tab w:pos="1558" w:val="left" w:leader="none"/>
        </w:tabs>
        <w:spacing w:line="254" w:lineRule="exact" w:before="0" w:after="0"/>
        <w:ind w:left="1558" w:right="0" w:hanging="359"/>
        <w:jc w:val="both"/>
        <w:rPr>
          <w:rFonts w:ascii="Symbol" w:hAnsi="Symbol"/>
          <w:sz w:val="20"/>
        </w:rPr>
      </w:pPr>
      <w:r>
        <w:rPr>
          <w:sz w:val="20"/>
        </w:rPr>
        <w:t>ARTS</w:t>
      </w:r>
      <w:r>
        <w:rPr>
          <w:spacing w:val="-7"/>
          <w:sz w:val="20"/>
        </w:rPr>
        <w:t> </w:t>
      </w:r>
      <w:r>
        <w:rPr>
          <w:sz w:val="20"/>
        </w:rPr>
        <w:t>serves</w:t>
      </w:r>
      <w:r>
        <w:rPr>
          <w:spacing w:val="-5"/>
          <w:sz w:val="20"/>
        </w:rPr>
        <w:t> </w:t>
      </w:r>
      <w:r>
        <w:rPr>
          <w:sz w:val="20"/>
        </w:rPr>
        <w:t>Aroostook</w:t>
      </w:r>
      <w:r>
        <w:rPr>
          <w:spacing w:val="-6"/>
          <w:sz w:val="20"/>
        </w:rPr>
        <w:t> </w:t>
      </w:r>
      <w:r>
        <w:rPr>
          <w:sz w:val="20"/>
        </w:rPr>
        <w:t>County</w:t>
      </w:r>
      <w:r>
        <w:rPr>
          <w:spacing w:val="-5"/>
          <w:sz w:val="20"/>
        </w:rPr>
        <w:t> </w:t>
      </w:r>
      <w:r>
        <w:rPr>
          <w:sz w:val="20"/>
        </w:rPr>
        <w:t>plus</w:t>
      </w:r>
      <w:r>
        <w:rPr>
          <w:spacing w:val="-6"/>
          <w:sz w:val="20"/>
        </w:rPr>
        <w:t> </w:t>
      </w:r>
      <w:r>
        <w:rPr>
          <w:sz w:val="20"/>
        </w:rPr>
        <w:t>Patten</w:t>
      </w:r>
      <w:r>
        <w:rPr>
          <w:spacing w:val="-5"/>
          <w:sz w:val="20"/>
        </w:rPr>
        <w:t> </w:t>
      </w:r>
      <w:r>
        <w:rPr>
          <w:sz w:val="20"/>
        </w:rPr>
        <w:t>in</w:t>
      </w:r>
      <w:r>
        <w:rPr>
          <w:spacing w:val="-8"/>
          <w:sz w:val="20"/>
        </w:rPr>
        <w:t> </w:t>
      </w:r>
      <w:r>
        <w:rPr>
          <w:sz w:val="20"/>
        </w:rPr>
        <w:t>Penobscot</w:t>
      </w:r>
      <w:r>
        <w:rPr>
          <w:spacing w:val="-6"/>
          <w:sz w:val="20"/>
        </w:rPr>
        <w:t> </w:t>
      </w:r>
      <w:r>
        <w:rPr>
          <w:sz w:val="20"/>
        </w:rPr>
        <w:t>County</w:t>
      </w:r>
      <w:r>
        <w:rPr>
          <w:spacing w:val="-6"/>
          <w:sz w:val="20"/>
        </w:rPr>
        <w:t> </w:t>
      </w:r>
      <w:r>
        <w:rPr>
          <w:sz w:val="20"/>
        </w:rPr>
        <w:t>and</w:t>
      </w:r>
      <w:r>
        <w:rPr>
          <w:spacing w:val="-8"/>
          <w:sz w:val="20"/>
        </w:rPr>
        <w:t> </w:t>
      </w:r>
      <w:r>
        <w:rPr>
          <w:sz w:val="20"/>
        </w:rPr>
        <w:t>Danforth</w:t>
      </w:r>
      <w:r>
        <w:rPr>
          <w:spacing w:val="-5"/>
          <w:sz w:val="20"/>
        </w:rPr>
        <w:t> </w:t>
      </w:r>
      <w:r>
        <w:rPr>
          <w:sz w:val="20"/>
        </w:rPr>
        <w:t>in</w:t>
      </w:r>
      <w:r>
        <w:rPr>
          <w:spacing w:val="-6"/>
          <w:sz w:val="20"/>
        </w:rPr>
        <w:t> </w:t>
      </w:r>
      <w:r>
        <w:rPr>
          <w:sz w:val="20"/>
        </w:rPr>
        <w:t>Washington</w:t>
      </w:r>
      <w:r>
        <w:rPr>
          <w:spacing w:val="-5"/>
          <w:sz w:val="20"/>
        </w:rPr>
        <w:t> </w:t>
      </w:r>
      <w:r>
        <w:rPr>
          <w:spacing w:val="-2"/>
          <w:sz w:val="20"/>
        </w:rPr>
        <w:t>County.</w:t>
      </w:r>
    </w:p>
    <w:p>
      <w:pPr>
        <w:pStyle w:val="ListParagraph"/>
        <w:numPr>
          <w:ilvl w:val="0"/>
          <w:numId w:val="27"/>
        </w:numPr>
        <w:tabs>
          <w:tab w:pos="1559" w:val="left" w:leader="none"/>
        </w:tabs>
        <w:spacing w:line="240" w:lineRule="auto" w:before="0" w:after="0"/>
        <w:ind w:left="1559" w:right="1080" w:hanging="360"/>
        <w:jc w:val="both"/>
        <w:rPr>
          <w:rFonts w:ascii="Symbol" w:hAnsi="Symbol"/>
          <w:sz w:val="20"/>
        </w:rPr>
      </w:pPr>
      <w:r>
        <w:rPr>
          <w:sz w:val="20"/>
        </w:rPr>
        <w:t>DCP serves Hancock and Washington Counties exclusive</w:t>
      </w:r>
      <w:r>
        <w:rPr>
          <w:spacing w:val="-1"/>
          <w:sz w:val="20"/>
        </w:rPr>
        <w:t> </w:t>
      </w:r>
      <w:r>
        <w:rPr>
          <w:sz w:val="20"/>
        </w:rPr>
        <w:t>of</w:t>
      </w:r>
      <w:r>
        <w:rPr>
          <w:spacing w:val="-1"/>
          <w:sz w:val="20"/>
        </w:rPr>
        <w:t> </w:t>
      </w:r>
      <w:r>
        <w:rPr>
          <w:sz w:val="20"/>
        </w:rPr>
        <w:t>Danforth in Washington County. The</w:t>
      </w:r>
      <w:r>
        <w:rPr>
          <w:spacing w:val="-1"/>
          <w:sz w:val="20"/>
        </w:rPr>
        <w:t> </w:t>
      </w:r>
      <w:r>
        <w:rPr>
          <w:sz w:val="20"/>
        </w:rPr>
        <w:t>funding column</w:t>
      </w:r>
      <w:r>
        <w:rPr>
          <w:spacing w:val="-3"/>
          <w:sz w:val="20"/>
        </w:rPr>
        <w:t> </w:t>
      </w:r>
      <w:r>
        <w:rPr>
          <w:sz w:val="20"/>
        </w:rPr>
        <w:t>includes</w:t>
      </w:r>
      <w:r>
        <w:rPr>
          <w:spacing w:val="-3"/>
          <w:sz w:val="20"/>
        </w:rPr>
        <w:t> </w:t>
      </w:r>
      <w:r>
        <w:rPr>
          <w:sz w:val="20"/>
        </w:rPr>
        <w:t>FTA</w:t>
      </w:r>
      <w:r>
        <w:rPr>
          <w:spacing w:val="-4"/>
          <w:sz w:val="20"/>
        </w:rPr>
        <w:t> </w:t>
      </w:r>
      <w:r>
        <w:rPr>
          <w:sz w:val="20"/>
        </w:rPr>
        <w:t>and</w:t>
      </w:r>
      <w:r>
        <w:rPr>
          <w:spacing w:val="-3"/>
          <w:sz w:val="20"/>
        </w:rPr>
        <w:t> </w:t>
      </w:r>
      <w:r>
        <w:rPr>
          <w:sz w:val="20"/>
        </w:rPr>
        <w:t>MaineDOT</w:t>
      </w:r>
      <w:r>
        <w:rPr>
          <w:spacing w:val="-3"/>
          <w:sz w:val="20"/>
        </w:rPr>
        <w:t> </w:t>
      </w:r>
      <w:r>
        <w:rPr>
          <w:sz w:val="20"/>
        </w:rPr>
        <w:t>funds</w:t>
      </w:r>
      <w:r>
        <w:rPr>
          <w:spacing w:val="-3"/>
          <w:sz w:val="20"/>
        </w:rPr>
        <w:t> </w:t>
      </w:r>
      <w:r>
        <w:rPr>
          <w:sz w:val="20"/>
        </w:rPr>
        <w:t>for</w:t>
      </w:r>
      <w:r>
        <w:rPr>
          <w:spacing w:val="-4"/>
          <w:sz w:val="20"/>
        </w:rPr>
        <w:t> </w:t>
      </w:r>
      <w:r>
        <w:rPr>
          <w:sz w:val="20"/>
        </w:rPr>
        <w:t>year-round</w:t>
      </w:r>
      <w:r>
        <w:rPr>
          <w:spacing w:val="-3"/>
          <w:sz w:val="20"/>
        </w:rPr>
        <w:t> </w:t>
      </w:r>
      <w:r>
        <w:rPr>
          <w:sz w:val="20"/>
        </w:rPr>
        <w:t>services</w:t>
      </w:r>
      <w:r>
        <w:rPr>
          <w:spacing w:val="-3"/>
          <w:sz w:val="20"/>
        </w:rPr>
        <w:t> </w:t>
      </w:r>
      <w:r>
        <w:rPr>
          <w:sz w:val="20"/>
        </w:rPr>
        <w:t>provided</w:t>
      </w:r>
      <w:r>
        <w:rPr>
          <w:spacing w:val="-3"/>
          <w:sz w:val="20"/>
        </w:rPr>
        <w:t> </w:t>
      </w:r>
      <w:r>
        <w:rPr>
          <w:sz w:val="20"/>
        </w:rPr>
        <w:t>by</w:t>
      </w:r>
      <w:r>
        <w:rPr>
          <w:spacing w:val="-3"/>
          <w:sz w:val="20"/>
        </w:rPr>
        <w:t> </w:t>
      </w:r>
      <w:r>
        <w:rPr>
          <w:sz w:val="20"/>
        </w:rPr>
        <w:t>Downeast</w:t>
      </w:r>
      <w:r>
        <w:rPr>
          <w:spacing w:val="-4"/>
          <w:sz w:val="20"/>
        </w:rPr>
        <w:t> </w:t>
      </w:r>
      <w:r>
        <w:rPr>
          <w:sz w:val="20"/>
        </w:rPr>
        <w:t>Transportation (DTI) in Hancock County, and West’s in Washington County.</w:t>
      </w:r>
    </w:p>
    <w:p>
      <w:pPr>
        <w:pStyle w:val="ListParagraph"/>
        <w:numPr>
          <w:ilvl w:val="0"/>
          <w:numId w:val="27"/>
        </w:numPr>
        <w:tabs>
          <w:tab w:pos="1559" w:val="left" w:leader="none"/>
        </w:tabs>
        <w:spacing w:line="253" w:lineRule="exact" w:before="0" w:after="0"/>
        <w:ind w:left="1559" w:right="0" w:hanging="359"/>
        <w:jc w:val="both"/>
        <w:rPr>
          <w:rFonts w:ascii="Symbol" w:hAnsi="Symbol"/>
          <w:sz w:val="20"/>
        </w:rPr>
      </w:pPr>
      <w:r>
        <w:rPr>
          <w:sz w:val="20"/>
        </w:rPr>
        <w:t>Penquis</w:t>
      </w:r>
      <w:r>
        <w:rPr>
          <w:spacing w:val="-7"/>
          <w:sz w:val="20"/>
        </w:rPr>
        <w:t> </w:t>
      </w:r>
      <w:r>
        <w:rPr>
          <w:sz w:val="20"/>
        </w:rPr>
        <w:t>serves</w:t>
      </w:r>
      <w:r>
        <w:rPr>
          <w:spacing w:val="-6"/>
          <w:sz w:val="20"/>
        </w:rPr>
        <w:t> </w:t>
      </w:r>
      <w:r>
        <w:rPr>
          <w:sz w:val="20"/>
        </w:rPr>
        <w:t>Penobscot</w:t>
      </w:r>
      <w:r>
        <w:rPr>
          <w:spacing w:val="-7"/>
          <w:sz w:val="20"/>
        </w:rPr>
        <w:t> </w:t>
      </w:r>
      <w:r>
        <w:rPr>
          <w:sz w:val="20"/>
        </w:rPr>
        <w:t>County</w:t>
      </w:r>
      <w:r>
        <w:rPr>
          <w:spacing w:val="-6"/>
          <w:sz w:val="20"/>
        </w:rPr>
        <w:t> </w:t>
      </w:r>
      <w:r>
        <w:rPr>
          <w:sz w:val="20"/>
        </w:rPr>
        <w:t>exclusive</w:t>
      </w:r>
      <w:r>
        <w:rPr>
          <w:spacing w:val="-8"/>
          <w:sz w:val="20"/>
        </w:rPr>
        <w:t> </w:t>
      </w:r>
      <w:r>
        <w:rPr>
          <w:sz w:val="20"/>
        </w:rPr>
        <w:t>of</w:t>
      </w:r>
      <w:r>
        <w:rPr>
          <w:spacing w:val="-8"/>
          <w:sz w:val="20"/>
        </w:rPr>
        <w:t> </w:t>
      </w:r>
      <w:r>
        <w:rPr>
          <w:sz w:val="20"/>
        </w:rPr>
        <w:t>Patten</w:t>
      </w:r>
      <w:r>
        <w:rPr>
          <w:spacing w:val="-6"/>
          <w:sz w:val="20"/>
        </w:rPr>
        <w:t> </w:t>
      </w:r>
      <w:r>
        <w:rPr>
          <w:sz w:val="20"/>
        </w:rPr>
        <w:t>and</w:t>
      </w:r>
      <w:r>
        <w:rPr>
          <w:spacing w:val="-6"/>
          <w:sz w:val="20"/>
        </w:rPr>
        <w:t> </w:t>
      </w:r>
      <w:r>
        <w:rPr>
          <w:sz w:val="20"/>
        </w:rPr>
        <w:t>Piscataquis</w:t>
      </w:r>
      <w:r>
        <w:rPr>
          <w:spacing w:val="-6"/>
          <w:sz w:val="20"/>
        </w:rPr>
        <w:t> </w:t>
      </w:r>
      <w:r>
        <w:rPr>
          <w:spacing w:val="-2"/>
          <w:sz w:val="20"/>
        </w:rPr>
        <w:t>County.</w:t>
      </w:r>
    </w:p>
    <w:p>
      <w:pPr>
        <w:pStyle w:val="ListParagraph"/>
        <w:numPr>
          <w:ilvl w:val="0"/>
          <w:numId w:val="27"/>
        </w:numPr>
        <w:tabs>
          <w:tab w:pos="1560" w:val="left" w:leader="none"/>
        </w:tabs>
        <w:spacing w:line="240" w:lineRule="auto" w:before="0" w:after="0"/>
        <w:ind w:left="1560" w:right="1263" w:hanging="360"/>
        <w:jc w:val="left"/>
        <w:rPr>
          <w:rFonts w:ascii="Symbol" w:hAnsi="Symbol"/>
          <w:sz w:val="20"/>
        </w:rPr>
      </w:pPr>
      <w:r>
        <w:rPr>
          <w:sz w:val="20"/>
        </w:rPr>
        <w:t>WCAP,</w:t>
      </w:r>
      <w:r>
        <w:rPr>
          <w:spacing w:val="-3"/>
          <w:sz w:val="20"/>
        </w:rPr>
        <w:t> </w:t>
      </w:r>
      <w:r>
        <w:rPr>
          <w:sz w:val="20"/>
        </w:rPr>
        <w:t>doing</w:t>
      </w:r>
      <w:r>
        <w:rPr>
          <w:spacing w:val="-4"/>
          <w:sz w:val="20"/>
        </w:rPr>
        <w:t> </w:t>
      </w:r>
      <w:r>
        <w:rPr>
          <w:sz w:val="20"/>
        </w:rPr>
        <w:t>business</w:t>
      </w:r>
      <w:r>
        <w:rPr>
          <w:spacing w:val="-3"/>
          <w:sz w:val="20"/>
        </w:rPr>
        <w:t> </w:t>
      </w:r>
      <w:r>
        <w:rPr>
          <w:sz w:val="20"/>
        </w:rPr>
        <w:t>as</w:t>
      </w:r>
      <w:r>
        <w:rPr>
          <w:spacing w:val="-3"/>
          <w:sz w:val="20"/>
        </w:rPr>
        <w:t> </w:t>
      </w:r>
      <w:r>
        <w:rPr>
          <w:sz w:val="20"/>
        </w:rPr>
        <w:t>Mid-Coast</w:t>
      </w:r>
      <w:r>
        <w:rPr>
          <w:spacing w:val="-4"/>
          <w:sz w:val="20"/>
        </w:rPr>
        <w:t> </w:t>
      </w:r>
      <w:r>
        <w:rPr>
          <w:sz w:val="20"/>
        </w:rPr>
        <w:t>Public</w:t>
      </w:r>
      <w:r>
        <w:rPr>
          <w:spacing w:val="-4"/>
          <w:sz w:val="20"/>
        </w:rPr>
        <w:t> </w:t>
      </w:r>
      <w:r>
        <w:rPr>
          <w:sz w:val="20"/>
        </w:rPr>
        <w:t>Transportation,</w:t>
      </w:r>
      <w:r>
        <w:rPr>
          <w:spacing w:val="-6"/>
          <w:sz w:val="20"/>
        </w:rPr>
        <w:t> </w:t>
      </w:r>
      <w:r>
        <w:rPr>
          <w:sz w:val="20"/>
        </w:rPr>
        <w:t>serves</w:t>
      </w:r>
      <w:r>
        <w:rPr>
          <w:spacing w:val="-3"/>
          <w:sz w:val="20"/>
        </w:rPr>
        <w:t> </w:t>
      </w:r>
      <w:r>
        <w:rPr>
          <w:sz w:val="20"/>
        </w:rPr>
        <w:t>Waldo,</w:t>
      </w:r>
      <w:r>
        <w:rPr>
          <w:spacing w:val="-3"/>
          <w:sz w:val="20"/>
        </w:rPr>
        <w:t> </w:t>
      </w:r>
      <w:r>
        <w:rPr>
          <w:sz w:val="20"/>
        </w:rPr>
        <w:t>Knox,</w:t>
      </w:r>
      <w:r>
        <w:rPr>
          <w:spacing w:val="-3"/>
          <w:sz w:val="20"/>
        </w:rPr>
        <w:t> </w:t>
      </w:r>
      <w:r>
        <w:rPr>
          <w:sz w:val="20"/>
        </w:rPr>
        <w:t>Lincoln</w:t>
      </w:r>
      <w:r>
        <w:rPr>
          <w:spacing w:val="-3"/>
          <w:sz w:val="20"/>
        </w:rPr>
        <w:t> </w:t>
      </w:r>
      <w:r>
        <w:rPr>
          <w:sz w:val="20"/>
        </w:rPr>
        <w:t>and</w:t>
      </w:r>
      <w:r>
        <w:rPr>
          <w:spacing w:val="-3"/>
          <w:sz w:val="20"/>
        </w:rPr>
        <w:t> </w:t>
      </w:r>
      <w:r>
        <w:rPr>
          <w:sz w:val="20"/>
        </w:rPr>
        <w:t>Sagadahoc Counties as well as the towns of Brunswick and Harpswell in Cumberland County.</w:t>
      </w:r>
    </w:p>
    <w:p>
      <w:pPr>
        <w:pStyle w:val="ListParagraph"/>
        <w:numPr>
          <w:ilvl w:val="0"/>
          <w:numId w:val="27"/>
        </w:numPr>
        <w:tabs>
          <w:tab w:pos="1559" w:val="left" w:leader="none"/>
        </w:tabs>
        <w:spacing w:line="240" w:lineRule="auto" w:before="0" w:after="0"/>
        <w:ind w:left="1559" w:right="0" w:hanging="360"/>
        <w:jc w:val="left"/>
        <w:rPr>
          <w:rFonts w:ascii="Symbol" w:hAnsi="Symbol"/>
          <w:sz w:val="20"/>
        </w:rPr>
      </w:pPr>
      <w:r>
        <w:rPr>
          <w:sz w:val="20"/>
        </w:rPr>
        <w:t>RTP</w:t>
      </w:r>
      <w:r>
        <w:rPr>
          <w:spacing w:val="-7"/>
          <w:sz w:val="20"/>
        </w:rPr>
        <w:t> </w:t>
      </w:r>
      <w:r>
        <w:rPr>
          <w:sz w:val="20"/>
        </w:rPr>
        <w:t>serves</w:t>
      </w:r>
      <w:r>
        <w:rPr>
          <w:spacing w:val="-5"/>
          <w:sz w:val="20"/>
        </w:rPr>
        <w:t> </w:t>
      </w:r>
      <w:r>
        <w:rPr>
          <w:sz w:val="20"/>
        </w:rPr>
        <w:t>Cumberland</w:t>
      </w:r>
      <w:r>
        <w:rPr>
          <w:spacing w:val="-6"/>
          <w:sz w:val="20"/>
        </w:rPr>
        <w:t> </w:t>
      </w:r>
      <w:r>
        <w:rPr>
          <w:sz w:val="20"/>
        </w:rPr>
        <w:t>County</w:t>
      </w:r>
      <w:r>
        <w:rPr>
          <w:spacing w:val="-5"/>
          <w:sz w:val="20"/>
        </w:rPr>
        <w:t> </w:t>
      </w:r>
      <w:r>
        <w:rPr>
          <w:sz w:val="20"/>
        </w:rPr>
        <w:t>exclusive</w:t>
      </w:r>
      <w:r>
        <w:rPr>
          <w:spacing w:val="-7"/>
          <w:sz w:val="20"/>
        </w:rPr>
        <w:t> </w:t>
      </w:r>
      <w:r>
        <w:rPr>
          <w:sz w:val="20"/>
        </w:rPr>
        <w:t>of</w:t>
      </w:r>
      <w:r>
        <w:rPr>
          <w:spacing w:val="-7"/>
          <w:sz w:val="20"/>
        </w:rPr>
        <w:t> </w:t>
      </w:r>
      <w:r>
        <w:rPr>
          <w:sz w:val="20"/>
        </w:rPr>
        <w:t>Brunswick</w:t>
      </w:r>
      <w:r>
        <w:rPr>
          <w:spacing w:val="-6"/>
          <w:sz w:val="20"/>
        </w:rPr>
        <w:t> </w:t>
      </w:r>
      <w:r>
        <w:rPr>
          <w:sz w:val="20"/>
        </w:rPr>
        <w:t>and</w:t>
      </w:r>
      <w:r>
        <w:rPr>
          <w:spacing w:val="-5"/>
          <w:sz w:val="20"/>
        </w:rPr>
        <w:t> </w:t>
      </w:r>
      <w:r>
        <w:rPr>
          <w:spacing w:val="-2"/>
          <w:sz w:val="20"/>
        </w:rPr>
        <w:t>Harpswell.</w:t>
      </w:r>
    </w:p>
    <w:p>
      <w:pPr>
        <w:pStyle w:val="ListParagraph"/>
        <w:numPr>
          <w:ilvl w:val="0"/>
          <w:numId w:val="27"/>
        </w:numPr>
        <w:tabs>
          <w:tab w:pos="1559" w:val="left" w:leader="none"/>
        </w:tabs>
        <w:spacing w:line="255" w:lineRule="exact" w:before="2" w:after="0"/>
        <w:ind w:left="1559" w:right="0" w:hanging="360"/>
        <w:jc w:val="left"/>
        <w:rPr>
          <w:rFonts w:ascii="Symbol" w:hAnsi="Symbol"/>
          <w:sz w:val="20"/>
        </w:rPr>
      </w:pPr>
      <w:r>
        <w:rPr>
          <w:sz w:val="20"/>
        </w:rPr>
        <w:t>WMTS</w:t>
      </w:r>
      <w:r>
        <w:rPr>
          <w:spacing w:val="-7"/>
          <w:sz w:val="20"/>
        </w:rPr>
        <w:t> </w:t>
      </w:r>
      <w:r>
        <w:rPr>
          <w:sz w:val="20"/>
        </w:rPr>
        <w:t>serves</w:t>
      </w:r>
      <w:r>
        <w:rPr>
          <w:spacing w:val="-6"/>
          <w:sz w:val="20"/>
        </w:rPr>
        <w:t> </w:t>
      </w:r>
      <w:r>
        <w:rPr>
          <w:sz w:val="20"/>
        </w:rPr>
        <w:t>Androscoggin,</w:t>
      </w:r>
      <w:r>
        <w:rPr>
          <w:spacing w:val="-6"/>
          <w:sz w:val="20"/>
        </w:rPr>
        <w:t> </w:t>
      </w:r>
      <w:r>
        <w:rPr>
          <w:sz w:val="20"/>
        </w:rPr>
        <w:t>Franklin</w:t>
      </w:r>
      <w:r>
        <w:rPr>
          <w:spacing w:val="-5"/>
          <w:sz w:val="20"/>
        </w:rPr>
        <w:t> </w:t>
      </w:r>
      <w:r>
        <w:rPr>
          <w:sz w:val="20"/>
        </w:rPr>
        <w:t>and</w:t>
      </w:r>
      <w:r>
        <w:rPr>
          <w:spacing w:val="-6"/>
          <w:sz w:val="20"/>
        </w:rPr>
        <w:t> </w:t>
      </w:r>
      <w:r>
        <w:rPr>
          <w:sz w:val="20"/>
        </w:rPr>
        <w:t>Oxford</w:t>
      </w:r>
      <w:r>
        <w:rPr>
          <w:spacing w:val="-6"/>
          <w:sz w:val="20"/>
        </w:rPr>
        <w:t> </w:t>
      </w:r>
      <w:r>
        <w:rPr>
          <w:spacing w:val="-2"/>
          <w:sz w:val="20"/>
        </w:rPr>
        <w:t>Counties.</w:t>
      </w:r>
    </w:p>
    <w:p>
      <w:pPr>
        <w:pStyle w:val="ListParagraph"/>
        <w:numPr>
          <w:ilvl w:val="0"/>
          <w:numId w:val="27"/>
        </w:numPr>
        <w:tabs>
          <w:tab w:pos="1559" w:val="left" w:leader="none"/>
        </w:tabs>
        <w:spacing w:line="255" w:lineRule="exact" w:before="0" w:after="0"/>
        <w:ind w:left="1559" w:right="0" w:hanging="360"/>
        <w:jc w:val="left"/>
        <w:rPr>
          <w:rFonts w:ascii="Symbol" w:hAnsi="Symbol"/>
          <w:sz w:val="20"/>
        </w:rPr>
      </w:pPr>
      <w:r>
        <w:rPr>
          <w:sz w:val="20"/>
        </w:rPr>
        <w:t>YCCAC</w:t>
      </w:r>
      <w:r>
        <w:rPr>
          <w:spacing w:val="-8"/>
          <w:sz w:val="20"/>
        </w:rPr>
        <w:t> </w:t>
      </w:r>
      <w:r>
        <w:rPr>
          <w:sz w:val="20"/>
        </w:rPr>
        <w:t>serves</w:t>
      </w:r>
      <w:r>
        <w:rPr>
          <w:spacing w:val="-5"/>
          <w:sz w:val="20"/>
        </w:rPr>
        <w:t> </w:t>
      </w:r>
      <w:r>
        <w:rPr>
          <w:sz w:val="20"/>
        </w:rPr>
        <w:t>York</w:t>
      </w:r>
      <w:r>
        <w:rPr>
          <w:spacing w:val="-6"/>
          <w:sz w:val="20"/>
        </w:rPr>
        <w:t> </w:t>
      </w:r>
      <w:r>
        <w:rPr>
          <w:spacing w:val="-2"/>
          <w:sz w:val="20"/>
        </w:rPr>
        <w:t>County.</w:t>
      </w:r>
    </w:p>
    <w:p>
      <w:pPr>
        <w:spacing w:line="243" w:lineRule="exact" w:before="1"/>
        <w:ind w:left="840" w:right="0" w:firstLine="0"/>
        <w:jc w:val="left"/>
        <w:rPr>
          <w:sz w:val="20"/>
        </w:rPr>
      </w:pPr>
      <w:r>
        <w:rPr>
          <w:sz w:val="20"/>
          <w:vertAlign w:val="superscript"/>
        </w:rPr>
        <w:t>1</w:t>
      </w:r>
      <w:r>
        <w:rPr>
          <w:sz w:val="20"/>
          <w:vertAlign w:val="baseline"/>
        </w:rPr>
        <w:t>Source:</w:t>
      </w:r>
      <w:r>
        <w:rPr>
          <w:spacing w:val="-8"/>
          <w:sz w:val="20"/>
          <w:vertAlign w:val="baseline"/>
        </w:rPr>
        <w:t> </w:t>
      </w:r>
      <w:r>
        <w:rPr>
          <w:sz w:val="20"/>
          <w:vertAlign w:val="baseline"/>
        </w:rPr>
        <w:t>American</w:t>
      </w:r>
      <w:r>
        <w:rPr>
          <w:spacing w:val="-6"/>
          <w:sz w:val="20"/>
          <w:vertAlign w:val="baseline"/>
        </w:rPr>
        <w:t> </w:t>
      </w:r>
      <w:r>
        <w:rPr>
          <w:sz w:val="20"/>
          <w:vertAlign w:val="baseline"/>
        </w:rPr>
        <w:t>Community</w:t>
      </w:r>
      <w:r>
        <w:rPr>
          <w:spacing w:val="-7"/>
          <w:sz w:val="20"/>
          <w:vertAlign w:val="baseline"/>
        </w:rPr>
        <w:t> </w:t>
      </w:r>
      <w:r>
        <w:rPr>
          <w:sz w:val="20"/>
          <w:vertAlign w:val="baseline"/>
        </w:rPr>
        <w:t>Survey</w:t>
      </w:r>
      <w:r>
        <w:rPr>
          <w:spacing w:val="-6"/>
          <w:sz w:val="20"/>
          <w:vertAlign w:val="baseline"/>
        </w:rPr>
        <w:t> </w:t>
      </w:r>
      <w:r>
        <w:rPr>
          <w:sz w:val="20"/>
          <w:vertAlign w:val="baseline"/>
        </w:rPr>
        <w:t>5</w:t>
      </w:r>
      <w:r>
        <w:rPr>
          <w:spacing w:val="-7"/>
          <w:sz w:val="20"/>
          <w:vertAlign w:val="baseline"/>
        </w:rPr>
        <w:t> </w:t>
      </w:r>
      <w:r>
        <w:rPr>
          <w:sz w:val="20"/>
          <w:vertAlign w:val="baseline"/>
        </w:rPr>
        <w:t>Year</w:t>
      </w:r>
      <w:r>
        <w:rPr>
          <w:spacing w:val="-7"/>
          <w:sz w:val="20"/>
          <w:vertAlign w:val="baseline"/>
        </w:rPr>
        <w:t> </w:t>
      </w:r>
      <w:r>
        <w:rPr>
          <w:sz w:val="20"/>
          <w:vertAlign w:val="baseline"/>
        </w:rPr>
        <w:t>Estimates,</w:t>
      </w:r>
      <w:r>
        <w:rPr>
          <w:spacing w:val="-6"/>
          <w:sz w:val="20"/>
          <w:vertAlign w:val="baseline"/>
        </w:rPr>
        <w:t> </w:t>
      </w:r>
      <w:r>
        <w:rPr>
          <w:spacing w:val="-4"/>
          <w:sz w:val="20"/>
          <w:vertAlign w:val="baseline"/>
        </w:rPr>
        <w:t>2021</w:t>
      </w:r>
    </w:p>
    <w:p>
      <w:pPr>
        <w:spacing w:line="243" w:lineRule="exact" w:before="0"/>
        <w:ind w:left="840" w:right="0" w:firstLine="0"/>
        <w:jc w:val="left"/>
        <w:rPr>
          <w:sz w:val="20"/>
        </w:rPr>
      </w:pPr>
      <w:r>
        <w:rPr>
          <w:sz w:val="20"/>
          <w:vertAlign w:val="superscript"/>
        </w:rPr>
        <w:t>2</w:t>
      </w:r>
      <w:r>
        <w:rPr>
          <w:spacing w:val="-18"/>
          <w:sz w:val="20"/>
          <w:vertAlign w:val="baseline"/>
        </w:rPr>
        <w:t> </w:t>
      </w:r>
      <w:r>
        <w:rPr>
          <w:sz w:val="20"/>
          <w:vertAlign w:val="baseline"/>
        </w:rPr>
        <w:t>Source:</w:t>
      </w:r>
      <w:r>
        <w:rPr>
          <w:spacing w:val="-11"/>
          <w:sz w:val="20"/>
          <w:vertAlign w:val="baseline"/>
        </w:rPr>
        <w:t> </w:t>
      </w:r>
      <w:r>
        <w:rPr>
          <w:sz w:val="20"/>
          <w:vertAlign w:val="baseline"/>
        </w:rPr>
        <w:t>MaineDOT,</w:t>
      </w:r>
      <w:r>
        <w:rPr>
          <w:spacing w:val="-5"/>
          <w:sz w:val="20"/>
          <w:vertAlign w:val="baseline"/>
        </w:rPr>
        <w:t> </w:t>
      </w:r>
      <w:r>
        <w:rPr>
          <w:sz w:val="20"/>
          <w:vertAlign w:val="baseline"/>
        </w:rPr>
        <w:t>FFY</w:t>
      </w:r>
      <w:r>
        <w:rPr>
          <w:spacing w:val="-6"/>
          <w:sz w:val="20"/>
          <w:vertAlign w:val="baseline"/>
        </w:rPr>
        <w:t> </w:t>
      </w:r>
      <w:r>
        <w:rPr>
          <w:spacing w:val="-4"/>
          <w:sz w:val="20"/>
          <w:vertAlign w:val="baseline"/>
        </w:rPr>
        <w:t>2023</w:t>
      </w:r>
    </w:p>
    <w:p>
      <w:pPr>
        <w:pStyle w:val="BodyText"/>
        <w:spacing w:before="11"/>
        <w:rPr>
          <w:sz w:val="19"/>
        </w:rPr>
      </w:pPr>
    </w:p>
    <w:p>
      <w:pPr>
        <w:pStyle w:val="BodyText"/>
        <w:ind w:left="840" w:right="938"/>
        <w:jc w:val="both"/>
      </w:pPr>
      <w:r>
        <w:rPr/>
        <w:t>Please note that the MaineDOT/FTA Funding amounts do not include any recent CARES/CRRSAA/ARPA contract amounts as those were unusual.</w:t>
      </w:r>
    </w:p>
    <w:p>
      <w:pPr>
        <w:pStyle w:val="BodyText"/>
        <w:rPr>
          <w:sz w:val="22"/>
        </w:rPr>
      </w:pPr>
    </w:p>
    <w:p>
      <w:pPr>
        <w:pStyle w:val="BodyText"/>
        <w:ind w:left="839" w:right="933"/>
        <w:jc w:val="both"/>
      </w:pPr>
      <w:r>
        <w:rPr/>
        <w:t>The</w:t>
      </w:r>
      <w:r>
        <w:rPr>
          <w:spacing w:val="-14"/>
        </w:rPr>
        <w:t> </w:t>
      </w:r>
      <w:r>
        <w:rPr/>
        <w:t>data</w:t>
      </w:r>
      <w:r>
        <w:rPr>
          <w:spacing w:val="-13"/>
        </w:rPr>
        <w:t> </w:t>
      </w:r>
      <w:r>
        <w:rPr/>
        <w:t>in</w:t>
      </w:r>
      <w:r>
        <w:rPr>
          <w:spacing w:val="-12"/>
        </w:rPr>
        <w:t> </w:t>
      </w:r>
      <w:r>
        <w:rPr/>
        <w:t>the</w:t>
      </w:r>
      <w:r>
        <w:rPr>
          <w:spacing w:val="-13"/>
        </w:rPr>
        <w:t> </w:t>
      </w:r>
      <w:r>
        <w:rPr/>
        <w:t>table</w:t>
      </w:r>
      <w:r>
        <w:rPr>
          <w:spacing w:val="-13"/>
        </w:rPr>
        <w:t> </w:t>
      </w:r>
      <w:r>
        <w:rPr/>
        <w:t>above</w:t>
      </w:r>
      <w:r>
        <w:rPr>
          <w:spacing w:val="-11"/>
        </w:rPr>
        <w:t> </w:t>
      </w:r>
      <w:r>
        <w:rPr/>
        <w:t>is</w:t>
      </w:r>
      <w:r>
        <w:rPr>
          <w:spacing w:val="-14"/>
        </w:rPr>
        <w:t> </w:t>
      </w:r>
      <w:r>
        <w:rPr/>
        <w:t>presented</w:t>
      </w:r>
      <w:r>
        <w:rPr>
          <w:spacing w:val="-11"/>
        </w:rPr>
        <w:t> </w:t>
      </w:r>
      <w:r>
        <w:rPr/>
        <w:t>in</w:t>
      </w:r>
      <w:r>
        <w:rPr>
          <w:spacing w:val="-12"/>
        </w:rPr>
        <w:t> </w:t>
      </w:r>
      <w:r>
        <w:rPr/>
        <w:t>chart</w:t>
      </w:r>
      <w:r>
        <w:rPr>
          <w:spacing w:val="-12"/>
        </w:rPr>
        <w:t> </w:t>
      </w:r>
      <w:r>
        <w:rPr/>
        <w:t>form</w:t>
      </w:r>
      <w:r>
        <w:rPr>
          <w:spacing w:val="-13"/>
        </w:rPr>
        <w:t> </w:t>
      </w:r>
      <w:r>
        <w:rPr/>
        <w:t>below.</w:t>
      </w:r>
      <w:r>
        <w:rPr>
          <w:spacing w:val="29"/>
        </w:rPr>
        <w:t> </w:t>
      </w:r>
      <w:r>
        <w:rPr/>
        <w:t>The</w:t>
      </w:r>
      <w:r>
        <w:rPr>
          <w:spacing w:val="-13"/>
        </w:rPr>
        <w:t> </w:t>
      </w:r>
      <w:r>
        <w:rPr/>
        <w:t>funding</w:t>
      </w:r>
      <w:r>
        <w:rPr>
          <w:spacing w:val="-11"/>
        </w:rPr>
        <w:t> </w:t>
      </w:r>
      <w:r>
        <w:rPr/>
        <w:t>line</w:t>
      </w:r>
      <w:r>
        <w:rPr>
          <w:spacing w:val="-11"/>
        </w:rPr>
        <w:t> </w:t>
      </w:r>
      <w:r>
        <w:rPr/>
        <w:t>is</w:t>
      </w:r>
      <w:r>
        <w:rPr>
          <w:spacing w:val="-14"/>
        </w:rPr>
        <w:t> </w:t>
      </w:r>
      <w:r>
        <w:rPr/>
        <w:t>the</w:t>
      </w:r>
      <w:r>
        <w:rPr>
          <w:spacing w:val="-12"/>
        </w:rPr>
        <w:t> </w:t>
      </w:r>
      <w:r>
        <w:rPr/>
        <w:t>total</w:t>
      </w:r>
      <w:r>
        <w:rPr>
          <w:spacing w:val="-13"/>
        </w:rPr>
        <w:t> </w:t>
      </w:r>
      <w:r>
        <w:rPr/>
        <w:t>amount of FTA and MaineDOT funding.</w:t>
      </w:r>
      <w:r>
        <w:rPr>
          <w:spacing w:val="40"/>
        </w:rPr>
        <w:t> </w:t>
      </w:r>
      <w:r>
        <w:rPr/>
        <w:t>The minority factor is the minority population multiplied by </w:t>
      </w:r>
      <w:r>
        <w:rPr>
          <w:spacing w:val="-2"/>
        </w:rPr>
        <w:t>1,000.</w:t>
      </w:r>
    </w:p>
    <w:p>
      <w:pPr>
        <w:spacing w:after="0"/>
        <w:jc w:val="both"/>
        <w:sectPr>
          <w:pgSz w:w="12240" w:h="15840"/>
          <w:pgMar w:header="0" w:footer="997" w:top="960" w:bottom="1260" w:left="600" w:right="500"/>
        </w:sectPr>
      </w:pPr>
    </w:p>
    <w:p>
      <w:pPr>
        <w:pStyle w:val="Heading9"/>
        <w:spacing w:before="35"/>
        <w:ind w:left="840"/>
      </w:pPr>
      <w:r>
        <w:rPr/>
        <w:t>Demand</w:t>
      </w:r>
      <w:r>
        <w:rPr>
          <w:spacing w:val="-2"/>
        </w:rPr>
        <w:t> </w:t>
      </w:r>
      <w:r>
        <w:rPr/>
        <w:t>Response</w:t>
      </w:r>
      <w:r>
        <w:rPr>
          <w:spacing w:val="-3"/>
        </w:rPr>
        <w:t> </w:t>
      </w:r>
      <w:r>
        <w:rPr/>
        <w:t>Funding</w:t>
      </w:r>
      <w:r>
        <w:rPr>
          <w:spacing w:val="-3"/>
        </w:rPr>
        <w:t> </w:t>
      </w:r>
      <w:r>
        <w:rPr/>
        <w:t>vs</w:t>
      </w:r>
      <w:r>
        <w:rPr>
          <w:spacing w:val="-2"/>
        </w:rPr>
        <w:t> </w:t>
      </w:r>
      <w:r>
        <w:rPr/>
        <w:t>Minority</w:t>
      </w:r>
      <w:r>
        <w:rPr>
          <w:spacing w:val="-2"/>
        </w:rPr>
        <w:t> Factor</w:t>
      </w:r>
    </w:p>
    <w:p>
      <w:pPr>
        <w:pStyle w:val="BodyText"/>
        <w:spacing w:before="1"/>
        <w:rPr>
          <w:b/>
          <w:sz w:val="22"/>
        </w:rPr>
      </w:pPr>
      <w:r>
        <w:rPr/>
        <mc:AlternateContent>
          <mc:Choice Requires="wps">
            <w:drawing>
              <wp:anchor distT="0" distB="0" distL="0" distR="0" allowOverlap="1" layoutInCell="1" locked="0" behindDoc="1" simplePos="0" relativeHeight="487598080">
                <wp:simplePos x="0" y="0"/>
                <wp:positionH relativeFrom="page">
                  <wp:posOffset>914400</wp:posOffset>
                </wp:positionH>
                <wp:positionV relativeFrom="paragraph">
                  <wp:posOffset>186455</wp:posOffset>
                </wp:positionV>
                <wp:extent cx="5537200" cy="252730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5537200" cy="2527300"/>
                          <a:chExt cx="5537200" cy="2527300"/>
                        </a:xfrm>
                      </wpg:grpSpPr>
                      <wps:wsp>
                        <wps:cNvPr id="84" name="Graphic 84"/>
                        <wps:cNvSpPr/>
                        <wps:spPr>
                          <a:xfrm>
                            <a:off x="0" y="0"/>
                            <a:ext cx="5537200" cy="2527300"/>
                          </a:xfrm>
                          <a:custGeom>
                            <a:avLst/>
                            <a:gdLst/>
                            <a:ahLst/>
                            <a:cxnLst/>
                            <a:rect l="l" t="t" r="r" b="b"/>
                            <a:pathLst>
                              <a:path w="5537200" h="2527300">
                                <a:moveTo>
                                  <a:pt x="5536692" y="0"/>
                                </a:moveTo>
                                <a:lnTo>
                                  <a:pt x="5530608" y="0"/>
                                </a:lnTo>
                                <a:lnTo>
                                  <a:pt x="5530596" y="6096"/>
                                </a:lnTo>
                                <a:lnTo>
                                  <a:pt x="5530596" y="2520696"/>
                                </a:lnTo>
                                <a:lnTo>
                                  <a:pt x="6096" y="2520696"/>
                                </a:lnTo>
                                <a:lnTo>
                                  <a:pt x="6096" y="6096"/>
                                </a:lnTo>
                                <a:lnTo>
                                  <a:pt x="5530596" y="6096"/>
                                </a:lnTo>
                                <a:lnTo>
                                  <a:pt x="5530596" y="0"/>
                                </a:lnTo>
                                <a:lnTo>
                                  <a:pt x="6096" y="0"/>
                                </a:lnTo>
                                <a:lnTo>
                                  <a:pt x="0" y="0"/>
                                </a:lnTo>
                                <a:lnTo>
                                  <a:pt x="0" y="6096"/>
                                </a:lnTo>
                                <a:lnTo>
                                  <a:pt x="0" y="2520696"/>
                                </a:lnTo>
                                <a:lnTo>
                                  <a:pt x="0" y="2526792"/>
                                </a:lnTo>
                                <a:lnTo>
                                  <a:pt x="6096" y="2526792"/>
                                </a:lnTo>
                                <a:lnTo>
                                  <a:pt x="5530596" y="2526792"/>
                                </a:lnTo>
                                <a:lnTo>
                                  <a:pt x="5536692" y="2526792"/>
                                </a:lnTo>
                                <a:lnTo>
                                  <a:pt x="5536692" y="2520696"/>
                                </a:lnTo>
                                <a:lnTo>
                                  <a:pt x="5536692" y="6096"/>
                                </a:lnTo>
                                <a:lnTo>
                                  <a:pt x="553669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878279" y="147548"/>
                            <a:ext cx="3157855" cy="1360170"/>
                          </a:xfrm>
                          <a:custGeom>
                            <a:avLst/>
                            <a:gdLst/>
                            <a:ahLst/>
                            <a:cxnLst/>
                            <a:rect l="l" t="t" r="r" b="b"/>
                            <a:pathLst>
                              <a:path w="3157855" h="1360170">
                                <a:moveTo>
                                  <a:pt x="0" y="1359687"/>
                                </a:moveTo>
                                <a:lnTo>
                                  <a:pt x="3157715" y="1359687"/>
                                </a:lnTo>
                              </a:path>
                              <a:path w="3157855" h="1360170">
                                <a:moveTo>
                                  <a:pt x="0" y="1132611"/>
                                </a:moveTo>
                                <a:lnTo>
                                  <a:pt x="3157715" y="1132611"/>
                                </a:lnTo>
                              </a:path>
                              <a:path w="3157855" h="1360170">
                                <a:moveTo>
                                  <a:pt x="0" y="905535"/>
                                </a:moveTo>
                                <a:lnTo>
                                  <a:pt x="3157715" y="905535"/>
                                </a:lnTo>
                              </a:path>
                              <a:path w="3157855" h="1360170">
                                <a:moveTo>
                                  <a:pt x="0" y="679983"/>
                                </a:moveTo>
                                <a:lnTo>
                                  <a:pt x="3157715" y="679983"/>
                                </a:lnTo>
                              </a:path>
                              <a:path w="3157855" h="1360170">
                                <a:moveTo>
                                  <a:pt x="0" y="452907"/>
                                </a:moveTo>
                                <a:lnTo>
                                  <a:pt x="3157715" y="452907"/>
                                </a:lnTo>
                              </a:path>
                              <a:path w="3157855" h="1360170">
                                <a:moveTo>
                                  <a:pt x="0" y="225831"/>
                                </a:moveTo>
                                <a:lnTo>
                                  <a:pt x="3157715" y="225831"/>
                                </a:lnTo>
                              </a:path>
                              <a:path w="3157855" h="1360170">
                                <a:moveTo>
                                  <a:pt x="0" y="0"/>
                                </a:moveTo>
                                <a:lnTo>
                                  <a:pt x="3157715" y="0"/>
                                </a:lnTo>
                              </a:path>
                            </a:pathLst>
                          </a:custGeom>
                          <a:ln w="9525">
                            <a:solidFill>
                              <a:srgbClr val="858585"/>
                            </a:solidFill>
                            <a:prstDash val="solid"/>
                          </a:ln>
                        </wps:spPr>
                        <wps:bodyPr wrap="square" lIns="0" tIns="0" rIns="0" bIns="0" rtlCol="0">
                          <a:prstTxWarp prst="textNoShape">
                            <a:avLst/>
                          </a:prstTxWarp>
                          <a:noAutofit/>
                        </wps:bodyPr>
                      </wps:wsp>
                      <wps:wsp>
                        <wps:cNvPr id="86" name="Graphic 86"/>
                        <wps:cNvSpPr/>
                        <wps:spPr>
                          <a:xfrm>
                            <a:off x="878279" y="147554"/>
                            <a:ext cx="1270" cy="1586230"/>
                          </a:xfrm>
                          <a:custGeom>
                            <a:avLst/>
                            <a:gdLst/>
                            <a:ahLst/>
                            <a:cxnLst/>
                            <a:rect l="l" t="t" r="r" b="b"/>
                            <a:pathLst>
                              <a:path w="0" h="1586230">
                                <a:moveTo>
                                  <a:pt x="0" y="1585633"/>
                                </a:moveTo>
                                <a:lnTo>
                                  <a:pt x="0" y="0"/>
                                </a:lnTo>
                              </a:path>
                            </a:pathLst>
                          </a:custGeom>
                          <a:ln w="9525">
                            <a:solidFill>
                              <a:srgbClr val="858585"/>
                            </a:solidFill>
                            <a:prstDash val="solid"/>
                          </a:ln>
                        </wps:spPr>
                        <wps:bodyPr wrap="square" lIns="0" tIns="0" rIns="0" bIns="0" rtlCol="0">
                          <a:prstTxWarp prst="textNoShape">
                            <a:avLst/>
                          </a:prstTxWarp>
                          <a:noAutofit/>
                        </wps:bodyPr>
                      </wps:wsp>
                      <wps:wsp>
                        <wps:cNvPr id="87" name="Graphic 87"/>
                        <wps:cNvSpPr/>
                        <wps:spPr>
                          <a:xfrm>
                            <a:off x="837978" y="147554"/>
                            <a:ext cx="40640" cy="1586230"/>
                          </a:xfrm>
                          <a:custGeom>
                            <a:avLst/>
                            <a:gdLst/>
                            <a:ahLst/>
                            <a:cxnLst/>
                            <a:rect l="l" t="t" r="r" b="b"/>
                            <a:pathLst>
                              <a:path w="40640" h="1586230">
                                <a:moveTo>
                                  <a:pt x="0" y="1585633"/>
                                </a:moveTo>
                                <a:lnTo>
                                  <a:pt x="40297" y="1585633"/>
                                </a:lnTo>
                              </a:path>
                              <a:path w="40640" h="1586230">
                                <a:moveTo>
                                  <a:pt x="0" y="1359674"/>
                                </a:moveTo>
                                <a:lnTo>
                                  <a:pt x="40297" y="1359674"/>
                                </a:lnTo>
                              </a:path>
                              <a:path w="40640" h="1586230">
                                <a:moveTo>
                                  <a:pt x="0" y="1132598"/>
                                </a:moveTo>
                                <a:lnTo>
                                  <a:pt x="40297" y="1132598"/>
                                </a:lnTo>
                              </a:path>
                              <a:path w="40640" h="1586230">
                                <a:moveTo>
                                  <a:pt x="0" y="905522"/>
                                </a:moveTo>
                                <a:lnTo>
                                  <a:pt x="40297" y="905522"/>
                                </a:lnTo>
                              </a:path>
                              <a:path w="40640" h="1586230">
                                <a:moveTo>
                                  <a:pt x="0" y="679970"/>
                                </a:moveTo>
                                <a:lnTo>
                                  <a:pt x="40297" y="679970"/>
                                </a:lnTo>
                              </a:path>
                              <a:path w="40640" h="1586230">
                                <a:moveTo>
                                  <a:pt x="0" y="452894"/>
                                </a:moveTo>
                                <a:lnTo>
                                  <a:pt x="40297" y="452894"/>
                                </a:lnTo>
                              </a:path>
                              <a:path w="40640" h="1586230">
                                <a:moveTo>
                                  <a:pt x="0" y="225818"/>
                                </a:moveTo>
                                <a:lnTo>
                                  <a:pt x="40297" y="225818"/>
                                </a:lnTo>
                              </a:path>
                              <a:path w="40640" h="1586230">
                                <a:moveTo>
                                  <a:pt x="0" y="0"/>
                                </a:moveTo>
                                <a:lnTo>
                                  <a:pt x="40297" y="0"/>
                                </a:lnTo>
                              </a:path>
                            </a:pathLst>
                          </a:custGeom>
                          <a:ln w="9525">
                            <a:solidFill>
                              <a:srgbClr val="858585"/>
                            </a:solidFill>
                            <a:prstDash val="solid"/>
                          </a:ln>
                        </wps:spPr>
                        <wps:bodyPr wrap="square" lIns="0" tIns="0" rIns="0" bIns="0" rtlCol="0">
                          <a:prstTxWarp prst="textNoShape">
                            <a:avLst/>
                          </a:prstTxWarp>
                          <a:noAutofit/>
                        </wps:bodyPr>
                      </wps:wsp>
                      <wps:wsp>
                        <wps:cNvPr id="88" name="Graphic 88"/>
                        <wps:cNvSpPr/>
                        <wps:spPr>
                          <a:xfrm>
                            <a:off x="878279" y="1733188"/>
                            <a:ext cx="3157855" cy="40640"/>
                          </a:xfrm>
                          <a:custGeom>
                            <a:avLst/>
                            <a:gdLst/>
                            <a:ahLst/>
                            <a:cxnLst/>
                            <a:rect l="l" t="t" r="r" b="b"/>
                            <a:pathLst>
                              <a:path w="3157855" h="40640">
                                <a:moveTo>
                                  <a:pt x="0" y="0"/>
                                </a:moveTo>
                                <a:lnTo>
                                  <a:pt x="3157715" y="0"/>
                                </a:lnTo>
                              </a:path>
                              <a:path w="3157855" h="40640">
                                <a:moveTo>
                                  <a:pt x="0" y="0"/>
                                </a:moveTo>
                                <a:lnTo>
                                  <a:pt x="0" y="40297"/>
                                </a:lnTo>
                              </a:path>
                              <a:path w="3157855" h="40640">
                                <a:moveTo>
                                  <a:pt x="450646" y="0"/>
                                </a:moveTo>
                                <a:lnTo>
                                  <a:pt x="450646" y="40297"/>
                                </a:lnTo>
                              </a:path>
                              <a:path w="3157855" h="40640">
                                <a:moveTo>
                                  <a:pt x="901750" y="0"/>
                                </a:moveTo>
                                <a:lnTo>
                                  <a:pt x="901750" y="40297"/>
                                </a:lnTo>
                              </a:path>
                              <a:path w="3157855" h="40640">
                                <a:moveTo>
                                  <a:pt x="1352854" y="0"/>
                                </a:moveTo>
                                <a:lnTo>
                                  <a:pt x="1352854" y="40297"/>
                                </a:lnTo>
                              </a:path>
                              <a:path w="3157855" h="40640">
                                <a:moveTo>
                                  <a:pt x="1803958" y="0"/>
                                </a:moveTo>
                                <a:lnTo>
                                  <a:pt x="1803958" y="40297"/>
                                </a:lnTo>
                              </a:path>
                              <a:path w="3157855" h="40640">
                                <a:moveTo>
                                  <a:pt x="2255062" y="0"/>
                                </a:moveTo>
                                <a:lnTo>
                                  <a:pt x="2255062" y="40297"/>
                                </a:lnTo>
                              </a:path>
                              <a:path w="3157855" h="40640">
                                <a:moveTo>
                                  <a:pt x="2706166" y="0"/>
                                </a:moveTo>
                                <a:lnTo>
                                  <a:pt x="2706166" y="40297"/>
                                </a:lnTo>
                              </a:path>
                              <a:path w="3157855" h="40640">
                                <a:moveTo>
                                  <a:pt x="3157715" y="0"/>
                                </a:moveTo>
                                <a:lnTo>
                                  <a:pt x="3157715" y="40297"/>
                                </a:lnTo>
                              </a:path>
                            </a:pathLst>
                          </a:custGeom>
                          <a:ln w="9525">
                            <a:solidFill>
                              <a:srgbClr val="858585"/>
                            </a:solidFill>
                            <a:prstDash val="solid"/>
                          </a:ln>
                        </wps:spPr>
                        <wps:bodyPr wrap="square" lIns="0" tIns="0" rIns="0" bIns="0" rtlCol="0">
                          <a:prstTxWarp prst="textNoShape">
                            <a:avLst/>
                          </a:prstTxWarp>
                          <a:noAutofit/>
                        </wps:bodyPr>
                      </wps:wsp>
                      <wps:wsp>
                        <wps:cNvPr id="89" name="Graphic 89"/>
                        <wps:cNvSpPr/>
                        <wps:spPr>
                          <a:xfrm>
                            <a:off x="1103830" y="1661363"/>
                            <a:ext cx="2707005" cy="46355"/>
                          </a:xfrm>
                          <a:custGeom>
                            <a:avLst/>
                            <a:gdLst/>
                            <a:ahLst/>
                            <a:cxnLst/>
                            <a:rect l="l" t="t" r="r" b="b"/>
                            <a:pathLst>
                              <a:path w="2707005" h="46355">
                                <a:moveTo>
                                  <a:pt x="0" y="40944"/>
                                </a:moveTo>
                                <a:lnTo>
                                  <a:pt x="450646" y="5892"/>
                                </a:lnTo>
                                <a:lnTo>
                                  <a:pt x="901750" y="27228"/>
                                </a:lnTo>
                                <a:lnTo>
                                  <a:pt x="1352854" y="46012"/>
                                </a:lnTo>
                                <a:lnTo>
                                  <a:pt x="1803958" y="21132"/>
                                </a:lnTo>
                                <a:lnTo>
                                  <a:pt x="2255062" y="0"/>
                                </a:lnTo>
                                <a:lnTo>
                                  <a:pt x="2706611" y="30276"/>
                                </a:lnTo>
                              </a:path>
                            </a:pathLst>
                          </a:custGeom>
                          <a:ln w="28575">
                            <a:solidFill>
                              <a:srgbClr val="497DBA"/>
                            </a:solidFill>
                            <a:prstDash val="solid"/>
                          </a:ln>
                        </wps:spPr>
                        <wps:bodyPr wrap="square" lIns="0" tIns="0" rIns="0" bIns="0" rtlCol="0">
                          <a:prstTxWarp prst="textNoShape">
                            <a:avLst/>
                          </a:prstTxWarp>
                          <a:noAutofit/>
                        </wps:bodyPr>
                      </wps:wsp>
                      <wps:wsp>
                        <wps:cNvPr id="90" name="Graphic 90"/>
                        <wps:cNvSpPr/>
                        <wps:spPr>
                          <a:xfrm>
                            <a:off x="1103830" y="278385"/>
                            <a:ext cx="2707005" cy="1252220"/>
                          </a:xfrm>
                          <a:custGeom>
                            <a:avLst/>
                            <a:gdLst/>
                            <a:ahLst/>
                            <a:cxnLst/>
                            <a:rect l="l" t="t" r="r" b="b"/>
                            <a:pathLst>
                              <a:path w="2707005" h="1252220">
                                <a:moveTo>
                                  <a:pt x="0" y="1251750"/>
                                </a:moveTo>
                                <a:lnTo>
                                  <a:pt x="450646" y="1148080"/>
                                </a:lnTo>
                                <a:lnTo>
                                  <a:pt x="901750" y="899667"/>
                                </a:lnTo>
                                <a:lnTo>
                                  <a:pt x="1352854" y="974343"/>
                                </a:lnTo>
                                <a:lnTo>
                                  <a:pt x="1803958" y="0"/>
                                </a:lnTo>
                                <a:lnTo>
                                  <a:pt x="2255062" y="709167"/>
                                </a:lnTo>
                                <a:lnTo>
                                  <a:pt x="2706611" y="736599"/>
                                </a:lnTo>
                              </a:path>
                            </a:pathLst>
                          </a:custGeom>
                          <a:ln w="28575">
                            <a:solidFill>
                              <a:srgbClr val="BD4A47"/>
                            </a:solidFill>
                            <a:prstDash val="solid"/>
                          </a:ln>
                        </wps:spPr>
                        <wps:bodyPr wrap="square" lIns="0" tIns="0" rIns="0" bIns="0" rtlCol="0">
                          <a:prstTxWarp prst="textNoShape">
                            <a:avLst/>
                          </a:prstTxWarp>
                          <a:noAutofit/>
                        </wps:bodyPr>
                      </wps:wsp>
                      <pic:pic>
                        <pic:nvPicPr>
                          <pic:cNvPr id="91" name="Image 91"/>
                          <pic:cNvPicPr/>
                        </pic:nvPicPr>
                        <pic:blipFill>
                          <a:blip r:embed="rId50" cstate="print"/>
                          <a:stretch>
                            <a:fillRect/>
                          </a:stretch>
                        </pic:blipFill>
                        <pic:spPr>
                          <a:xfrm>
                            <a:off x="913757" y="1852709"/>
                            <a:ext cx="666611" cy="542961"/>
                          </a:xfrm>
                          <a:prstGeom prst="rect">
                            <a:avLst/>
                          </a:prstGeom>
                        </pic:spPr>
                      </pic:pic>
                      <pic:pic>
                        <pic:nvPicPr>
                          <pic:cNvPr id="92" name="Image 92"/>
                          <pic:cNvPicPr/>
                        </pic:nvPicPr>
                        <pic:blipFill>
                          <a:blip r:embed="rId51" cstate="print"/>
                          <a:stretch>
                            <a:fillRect/>
                          </a:stretch>
                        </pic:blipFill>
                        <pic:spPr>
                          <a:xfrm>
                            <a:off x="1700545" y="1867090"/>
                            <a:ext cx="325627" cy="312039"/>
                          </a:xfrm>
                          <a:prstGeom prst="rect">
                            <a:avLst/>
                          </a:prstGeom>
                        </pic:spPr>
                      </pic:pic>
                      <pic:pic>
                        <pic:nvPicPr>
                          <pic:cNvPr id="93" name="Image 93"/>
                          <pic:cNvPicPr/>
                        </pic:nvPicPr>
                        <pic:blipFill>
                          <a:blip r:embed="rId52" cstate="print"/>
                          <a:stretch>
                            <a:fillRect/>
                          </a:stretch>
                        </pic:blipFill>
                        <pic:spPr>
                          <a:xfrm>
                            <a:off x="2208083" y="1855801"/>
                            <a:ext cx="247624" cy="250189"/>
                          </a:xfrm>
                          <a:prstGeom prst="rect">
                            <a:avLst/>
                          </a:prstGeom>
                        </pic:spPr>
                      </pic:pic>
                      <pic:pic>
                        <pic:nvPicPr>
                          <pic:cNvPr id="94" name="Image 94"/>
                          <pic:cNvPicPr/>
                        </pic:nvPicPr>
                        <pic:blipFill>
                          <a:blip r:embed="rId53" cstate="print"/>
                          <a:stretch>
                            <a:fillRect/>
                          </a:stretch>
                        </pic:blipFill>
                        <pic:spPr>
                          <a:xfrm>
                            <a:off x="2752068" y="1855709"/>
                            <a:ext cx="154533" cy="173989"/>
                          </a:xfrm>
                          <a:prstGeom prst="rect">
                            <a:avLst/>
                          </a:prstGeom>
                        </pic:spPr>
                      </pic:pic>
                      <wps:wsp>
                        <wps:cNvPr id="95" name="Graphic 95"/>
                        <wps:cNvSpPr/>
                        <wps:spPr>
                          <a:xfrm>
                            <a:off x="3094659" y="1850376"/>
                            <a:ext cx="738505" cy="271780"/>
                          </a:xfrm>
                          <a:custGeom>
                            <a:avLst/>
                            <a:gdLst/>
                            <a:ahLst/>
                            <a:cxnLst/>
                            <a:rect l="l" t="t" r="r" b="b"/>
                            <a:pathLst>
                              <a:path w="738505" h="271780">
                                <a:moveTo>
                                  <a:pt x="113715" y="228066"/>
                                </a:moveTo>
                                <a:lnTo>
                                  <a:pt x="113271" y="228066"/>
                                </a:lnTo>
                                <a:lnTo>
                                  <a:pt x="112560" y="226796"/>
                                </a:lnTo>
                                <a:lnTo>
                                  <a:pt x="76111" y="160756"/>
                                </a:lnTo>
                                <a:lnTo>
                                  <a:pt x="75577" y="159486"/>
                                </a:lnTo>
                                <a:lnTo>
                                  <a:pt x="75133" y="159486"/>
                                </a:lnTo>
                                <a:lnTo>
                                  <a:pt x="74409" y="158216"/>
                                </a:lnTo>
                                <a:lnTo>
                                  <a:pt x="72631" y="158216"/>
                                </a:lnTo>
                                <a:lnTo>
                                  <a:pt x="71462" y="159486"/>
                                </a:lnTo>
                                <a:lnTo>
                                  <a:pt x="70739" y="159486"/>
                                </a:lnTo>
                                <a:lnTo>
                                  <a:pt x="69011" y="162026"/>
                                </a:lnTo>
                                <a:lnTo>
                                  <a:pt x="68364" y="162026"/>
                                </a:lnTo>
                                <a:lnTo>
                                  <a:pt x="67462" y="163296"/>
                                </a:lnTo>
                                <a:lnTo>
                                  <a:pt x="67157" y="164566"/>
                                </a:lnTo>
                                <a:lnTo>
                                  <a:pt x="66827" y="164566"/>
                                </a:lnTo>
                                <a:lnTo>
                                  <a:pt x="67081" y="165836"/>
                                </a:lnTo>
                                <a:lnTo>
                                  <a:pt x="67462" y="165836"/>
                                </a:lnTo>
                                <a:lnTo>
                                  <a:pt x="102311" y="226796"/>
                                </a:lnTo>
                                <a:lnTo>
                                  <a:pt x="69735" y="207746"/>
                                </a:lnTo>
                                <a:lnTo>
                                  <a:pt x="41592" y="191236"/>
                                </a:lnTo>
                                <a:lnTo>
                                  <a:pt x="39319" y="191236"/>
                                </a:lnTo>
                                <a:lnTo>
                                  <a:pt x="38849" y="192506"/>
                                </a:lnTo>
                                <a:lnTo>
                                  <a:pt x="37769" y="192506"/>
                                </a:lnTo>
                                <a:lnTo>
                                  <a:pt x="37084" y="193776"/>
                                </a:lnTo>
                                <a:lnTo>
                                  <a:pt x="35394" y="195046"/>
                                </a:lnTo>
                                <a:lnTo>
                                  <a:pt x="34721" y="196316"/>
                                </a:lnTo>
                                <a:lnTo>
                                  <a:pt x="33769" y="197586"/>
                                </a:lnTo>
                                <a:lnTo>
                                  <a:pt x="33439" y="197586"/>
                                </a:lnTo>
                                <a:lnTo>
                                  <a:pt x="33083" y="198856"/>
                                </a:lnTo>
                                <a:lnTo>
                                  <a:pt x="33223" y="200126"/>
                                </a:lnTo>
                                <a:lnTo>
                                  <a:pt x="33375" y="200126"/>
                                </a:lnTo>
                                <a:lnTo>
                                  <a:pt x="68808" y="259816"/>
                                </a:lnTo>
                                <a:lnTo>
                                  <a:pt x="8712" y="225526"/>
                                </a:lnTo>
                                <a:lnTo>
                                  <a:pt x="8343" y="224256"/>
                                </a:lnTo>
                                <a:lnTo>
                                  <a:pt x="6248" y="224256"/>
                                </a:lnTo>
                                <a:lnTo>
                                  <a:pt x="5765" y="225526"/>
                                </a:lnTo>
                                <a:lnTo>
                                  <a:pt x="4635" y="225526"/>
                                </a:lnTo>
                                <a:lnTo>
                                  <a:pt x="3898" y="226796"/>
                                </a:lnTo>
                                <a:lnTo>
                                  <a:pt x="2057" y="228066"/>
                                </a:lnTo>
                                <a:lnTo>
                                  <a:pt x="1346" y="229336"/>
                                </a:lnTo>
                                <a:lnTo>
                                  <a:pt x="355" y="230606"/>
                                </a:lnTo>
                                <a:lnTo>
                                  <a:pt x="88" y="230606"/>
                                </a:lnTo>
                                <a:lnTo>
                                  <a:pt x="0" y="231876"/>
                                </a:lnTo>
                                <a:lnTo>
                                  <a:pt x="177" y="231876"/>
                                </a:lnTo>
                                <a:lnTo>
                                  <a:pt x="965" y="233146"/>
                                </a:lnTo>
                                <a:lnTo>
                                  <a:pt x="1587" y="233146"/>
                                </a:lnTo>
                                <a:lnTo>
                                  <a:pt x="2425" y="234416"/>
                                </a:lnTo>
                                <a:lnTo>
                                  <a:pt x="69557" y="271246"/>
                                </a:lnTo>
                                <a:lnTo>
                                  <a:pt x="73660" y="271246"/>
                                </a:lnTo>
                                <a:lnTo>
                                  <a:pt x="75057" y="269976"/>
                                </a:lnTo>
                                <a:lnTo>
                                  <a:pt x="75882" y="268706"/>
                                </a:lnTo>
                                <a:lnTo>
                                  <a:pt x="77774" y="267436"/>
                                </a:lnTo>
                                <a:lnTo>
                                  <a:pt x="78511" y="266166"/>
                                </a:lnTo>
                                <a:lnTo>
                                  <a:pt x="79590" y="264896"/>
                                </a:lnTo>
                                <a:lnTo>
                                  <a:pt x="79984" y="264896"/>
                                </a:lnTo>
                                <a:lnTo>
                                  <a:pt x="80479" y="263626"/>
                                </a:lnTo>
                                <a:lnTo>
                                  <a:pt x="80492" y="262356"/>
                                </a:lnTo>
                                <a:lnTo>
                                  <a:pt x="80314" y="261086"/>
                                </a:lnTo>
                                <a:lnTo>
                                  <a:pt x="79997" y="261086"/>
                                </a:lnTo>
                                <a:lnTo>
                                  <a:pt x="79235" y="259816"/>
                                </a:lnTo>
                                <a:lnTo>
                                  <a:pt x="48247" y="207746"/>
                                </a:lnTo>
                                <a:lnTo>
                                  <a:pt x="103352" y="238226"/>
                                </a:lnTo>
                                <a:lnTo>
                                  <a:pt x="106324" y="238226"/>
                                </a:lnTo>
                                <a:lnTo>
                                  <a:pt x="106934" y="236956"/>
                                </a:lnTo>
                                <a:lnTo>
                                  <a:pt x="108305" y="236956"/>
                                </a:lnTo>
                                <a:lnTo>
                                  <a:pt x="109093" y="235686"/>
                                </a:lnTo>
                                <a:lnTo>
                                  <a:pt x="110871" y="234416"/>
                                </a:lnTo>
                                <a:lnTo>
                                  <a:pt x="111569" y="233146"/>
                                </a:lnTo>
                                <a:lnTo>
                                  <a:pt x="112649" y="231876"/>
                                </a:lnTo>
                                <a:lnTo>
                                  <a:pt x="113055" y="230606"/>
                                </a:lnTo>
                                <a:lnTo>
                                  <a:pt x="113614" y="230606"/>
                                </a:lnTo>
                                <a:lnTo>
                                  <a:pt x="113715" y="228066"/>
                                </a:lnTo>
                                <a:close/>
                              </a:path>
                              <a:path w="738505" h="271780">
                                <a:moveTo>
                                  <a:pt x="201358" y="141706"/>
                                </a:moveTo>
                                <a:lnTo>
                                  <a:pt x="201104" y="141706"/>
                                </a:lnTo>
                                <a:lnTo>
                                  <a:pt x="200875" y="140436"/>
                                </a:lnTo>
                                <a:lnTo>
                                  <a:pt x="159829" y="99796"/>
                                </a:lnTo>
                                <a:lnTo>
                                  <a:pt x="148297" y="88366"/>
                                </a:lnTo>
                                <a:lnTo>
                                  <a:pt x="147688" y="88366"/>
                                </a:lnTo>
                                <a:lnTo>
                                  <a:pt x="146494" y="87096"/>
                                </a:lnTo>
                                <a:lnTo>
                                  <a:pt x="144246" y="87096"/>
                                </a:lnTo>
                                <a:lnTo>
                                  <a:pt x="143192" y="88366"/>
                                </a:lnTo>
                                <a:lnTo>
                                  <a:pt x="142709" y="88366"/>
                                </a:lnTo>
                                <a:lnTo>
                                  <a:pt x="136690" y="94716"/>
                                </a:lnTo>
                                <a:lnTo>
                                  <a:pt x="136118" y="94716"/>
                                </a:lnTo>
                                <a:lnTo>
                                  <a:pt x="135305" y="97256"/>
                                </a:lnTo>
                                <a:lnTo>
                                  <a:pt x="135064" y="97256"/>
                                </a:lnTo>
                                <a:lnTo>
                                  <a:pt x="134874" y="98526"/>
                                </a:lnTo>
                                <a:lnTo>
                                  <a:pt x="134937" y="99796"/>
                                </a:lnTo>
                                <a:lnTo>
                                  <a:pt x="135394" y="102336"/>
                                </a:lnTo>
                                <a:lnTo>
                                  <a:pt x="135775" y="103606"/>
                                </a:lnTo>
                                <a:lnTo>
                                  <a:pt x="160299" y="162026"/>
                                </a:lnTo>
                                <a:lnTo>
                                  <a:pt x="160083" y="162026"/>
                                </a:lnTo>
                                <a:lnTo>
                                  <a:pt x="121031" y="145516"/>
                                </a:lnTo>
                                <a:lnTo>
                                  <a:pt x="103009" y="137896"/>
                                </a:lnTo>
                                <a:lnTo>
                                  <a:pt x="101955" y="136626"/>
                                </a:lnTo>
                                <a:lnTo>
                                  <a:pt x="100952" y="136626"/>
                                </a:lnTo>
                                <a:lnTo>
                                  <a:pt x="99085" y="135356"/>
                                </a:lnTo>
                                <a:lnTo>
                                  <a:pt x="98158" y="135356"/>
                                </a:lnTo>
                                <a:lnTo>
                                  <a:pt x="96342" y="136626"/>
                                </a:lnTo>
                                <a:lnTo>
                                  <a:pt x="95440" y="136626"/>
                                </a:lnTo>
                                <a:lnTo>
                                  <a:pt x="93675" y="137896"/>
                                </a:lnTo>
                                <a:lnTo>
                                  <a:pt x="92760" y="137896"/>
                                </a:lnTo>
                                <a:lnTo>
                                  <a:pt x="86398" y="144246"/>
                                </a:lnTo>
                                <a:lnTo>
                                  <a:pt x="85940" y="145516"/>
                                </a:lnTo>
                                <a:lnTo>
                                  <a:pt x="85686" y="148056"/>
                                </a:lnTo>
                                <a:lnTo>
                                  <a:pt x="86233" y="149326"/>
                                </a:lnTo>
                                <a:lnTo>
                                  <a:pt x="139661" y="202666"/>
                                </a:lnTo>
                                <a:lnTo>
                                  <a:pt x="142049" y="202666"/>
                                </a:lnTo>
                                <a:lnTo>
                                  <a:pt x="143154" y="201396"/>
                                </a:lnTo>
                                <a:lnTo>
                                  <a:pt x="143789" y="201396"/>
                                </a:lnTo>
                                <a:lnTo>
                                  <a:pt x="145262" y="198856"/>
                                </a:lnTo>
                                <a:lnTo>
                                  <a:pt x="145846" y="198856"/>
                                </a:lnTo>
                                <a:lnTo>
                                  <a:pt x="146659" y="197586"/>
                                </a:lnTo>
                                <a:lnTo>
                                  <a:pt x="146964" y="197586"/>
                                </a:lnTo>
                                <a:lnTo>
                                  <a:pt x="147358" y="196316"/>
                                </a:lnTo>
                                <a:lnTo>
                                  <a:pt x="147320" y="195046"/>
                                </a:lnTo>
                                <a:lnTo>
                                  <a:pt x="147167" y="195046"/>
                                </a:lnTo>
                                <a:lnTo>
                                  <a:pt x="97726" y="145516"/>
                                </a:lnTo>
                                <a:lnTo>
                                  <a:pt x="166471" y="175996"/>
                                </a:lnTo>
                                <a:lnTo>
                                  <a:pt x="168935" y="175996"/>
                                </a:lnTo>
                                <a:lnTo>
                                  <a:pt x="169926" y="174726"/>
                                </a:lnTo>
                                <a:lnTo>
                                  <a:pt x="170484" y="174726"/>
                                </a:lnTo>
                                <a:lnTo>
                                  <a:pt x="171678" y="173456"/>
                                </a:lnTo>
                                <a:lnTo>
                                  <a:pt x="172148" y="172186"/>
                                </a:lnTo>
                                <a:lnTo>
                                  <a:pt x="172910" y="172186"/>
                                </a:lnTo>
                                <a:lnTo>
                                  <a:pt x="173202" y="170916"/>
                                </a:lnTo>
                                <a:lnTo>
                                  <a:pt x="173609" y="170916"/>
                                </a:lnTo>
                                <a:lnTo>
                                  <a:pt x="173697" y="169646"/>
                                </a:lnTo>
                                <a:lnTo>
                                  <a:pt x="170459" y="162026"/>
                                </a:lnTo>
                                <a:lnTo>
                                  <a:pt x="144056" y="99796"/>
                                </a:lnTo>
                                <a:lnTo>
                                  <a:pt x="193598" y="149326"/>
                                </a:lnTo>
                                <a:lnTo>
                                  <a:pt x="194792" y="149326"/>
                                </a:lnTo>
                                <a:lnTo>
                                  <a:pt x="195567" y="148056"/>
                                </a:lnTo>
                                <a:lnTo>
                                  <a:pt x="197180" y="148056"/>
                                </a:lnTo>
                                <a:lnTo>
                                  <a:pt x="197802" y="146786"/>
                                </a:lnTo>
                                <a:lnTo>
                                  <a:pt x="199250" y="145516"/>
                                </a:lnTo>
                                <a:lnTo>
                                  <a:pt x="199821" y="144246"/>
                                </a:lnTo>
                                <a:lnTo>
                                  <a:pt x="200596" y="144246"/>
                                </a:lnTo>
                                <a:lnTo>
                                  <a:pt x="200901" y="142976"/>
                                </a:lnTo>
                                <a:lnTo>
                                  <a:pt x="201295" y="142976"/>
                                </a:lnTo>
                                <a:lnTo>
                                  <a:pt x="201358" y="141706"/>
                                </a:lnTo>
                                <a:close/>
                              </a:path>
                              <a:path w="738505" h="271780">
                                <a:moveTo>
                                  <a:pt x="234467" y="108686"/>
                                </a:moveTo>
                                <a:lnTo>
                                  <a:pt x="234213" y="108686"/>
                                </a:lnTo>
                                <a:lnTo>
                                  <a:pt x="192544" y="66776"/>
                                </a:lnTo>
                                <a:lnTo>
                                  <a:pt x="184975" y="59156"/>
                                </a:lnTo>
                                <a:lnTo>
                                  <a:pt x="201104" y="42646"/>
                                </a:lnTo>
                                <a:lnTo>
                                  <a:pt x="201256" y="42646"/>
                                </a:lnTo>
                                <a:lnTo>
                                  <a:pt x="201409" y="41376"/>
                                </a:lnTo>
                                <a:lnTo>
                                  <a:pt x="201155" y="41376"/>
                                </a:lnTo>
                                <a:lnTo>
                                  <a:pt x="200914" y="40106"/>
                                </a:lnTo>
                                <a:lnTo>
                                  <a:pt x="200215" y="40106"/>
                                </a:lnTo>
                                <a:lnTo>
                                  <a:pt x="199771" y="38836"/>
                                </a:lnTo>
                                <a:lnTo>
                                  <a:pt x="199212" y="38836"/>
                                </a:lnTo>
                                <a:lnTo>
                                  <a:pt x="198666" y="37566"/>
                                </a:lnTo>
                                <a:lnTo>
                                  <a:pt x="198145" y="37566"/>
                                </a:lnTo>
                                <a:lnTo>
                                  <a:pt x="197180" y="36296"/>
                                </a:lnTo>
                                <a:lnTo>
                                  <a:pt x="194729" y="36296"/>
                                </a:lnTo>
                                <a:lnTo>
                                  <a:pt x="154952" y="75666"/>
                                </a:lnTo>
                                <a:lnTo>
                                  <a:pt x="154800" y="76936"/>
                                </a:lnTo>
                                <a:lnTo>
                                  <a:pt x="154990" y="78206"/>
                                </a:lnTo>
                                <a:lnTo>
                                  <a:pt x="155232" y="78206"/>
                                </a:lnTo>
                                <a:lnTo>
                                  <a:pt x="155930" y="79476"/>
                                </a:lnTo>
                                <a:lnTo>
                                  <a:pt x="156387" y="80746"/>
                                </a:lnTo>
                                <a:lnTo>
                                  <a:pt x="157492" y="80746"/>
                                </a:lnTo>
                                <a:lnTo>
                                  <a:pt x="158013" y="82016"/>
                                </a:lnTo>
                                <a:lnTo>
                                  <a:pt x="159385" y="82016"/>
                                </a:lnTo>
                                <a:lnTo>
                                  <a:pt x="160121" y="83286"/>
                                </a:lnTo>
                                <a:lnTo>
                                  <a:pt x="161061" y="83286"/>
                                </a:lnTo>
                                <a:lnTo>
                                  <a:pt x="161328" y="82016"/>
                                </a:lnTo>
                                <a:lnTo>
                                  <a:pt x="177469" y="66776"/>
                                </a:lnTo>
                                <a:lnTo>
                                  <a:pt x="226695" y="116306"/>
                                </a:lnTo>
                                <a:lnTo>
                                  <a:pt x="227888" y="116306"/>
                                </a:lnTo>
                                <a:lnTo>
                                  <a:pt x="228676" y="115036"/>
                                </a:lnTo>
                                <a:lnTo>
                                  <a:pt x="229146" y="115036"/>
                                </a:lnTo>
                                <a:lnTo>
                                  <a:pt x="230289" y="113766"/>
                                </a:lnTo>
                                <a:lnTo>
                                  <a:pt x="230924" y="113766"/>
                                </a:lnTo>
                                <a:lnTo>
                                  <a:pt x="232346" y="112496"/>
                                </a:lnTo>
                                <a:lnTo>
                                  <a:pt x="232918" y="111226"/>
                                </a:lnTo>
                                <a:lnTo>
                                  <a:pt x="233730" y="111226"/>
                                </a:lnTo>
                                <a:lnTo>
                                  <a:pt x="234022" y="109956"/>
                                </a:lnTo>
                                <a:lnTo>
                                  <a:pt x="234403" y="109956"/>
                                </a:lnTo>
                                <a:lnTo>
                                  <a:pt x="234467" y="108686"/>
                                </a:lnTo>
                                <a:close/>
                              </a:path>
                              <a:path w="738505" h="271780">
                                <a:moveTo>
                                  <a:pt x="282867" y="51536"/>
                                </a:moveTo>
                                <a:lnTo>
                                  <a:pt x="282460" y="47726"/>
                                </a:lnTo>
                                <a:lnTo>
                                  <a:pt x="280276" y="42646"/>
                                </a:lnTo>
                                <a:lnTo>
                                  <a:pt x="279654" y="41376"/>
                                </a:lnTo>
                                <a:lnTo>
                                  <a:pt x="278409" y="38836"/>
                                </a:lnTo>
                                <a:lnTo>
                                  <a:pt x="275755" y="36296"/>
                                </a:lnTo>
                                <a:lnTo>
                                  <a:pt x="273519" y="35026"/>
                                </a:lnTo>
                                <a:lnTo>
                                  <a:pt x="271195" y="32486"/>
                                </a:lnTo>
                                <a:lnTo>
                                  <a:pt x="266420" y="31216"/>
                                </a:lnTo>
                                <a:lnTo>
                                  <a:pt x="256768" y="31216"/>
                                </a:lnTo>
                                <a:lnTo>
                                  <a:pt x="251904" y="32486"/>
                                </a:lnTo>
                                <a:lnTo>
                                  <a:pt x="249516" y="32486"/>
                                </a:lnTo>
                                <a:lnTo>
                                  <a:pt x="247180" y="33756"/>
                                </a:lnTo>
                                <a:lnTo>
                                  <a:pt x="237985" y="37566"/>
                                </a:lnTo>
                                <a:lnTo>
                                  <a:pt x="235800" y="37566"/>
                                </a:lnTo>
                                <a:lnTo>
                                  <a:pt x="231635" y="38836"/>
                                </a:lnTo>
                                <a:lnTo>
                                  <a:pt x="229666" y="38836"/>
                                </a:lnTo>
                                <a:lnTo>
                                  <a:pt x="225945" y="37566"/>
                                </a:lnTo>
                                <a:lnTo>
                                  <a:pt x="219316" y="28676"/>
                                </a:lnTo>
                                <a:lnTo>
                                  <a:pt x="219430" y="26136"/>
                                </a:lnTo>
                                <a:lnTo>
                                  <a:pt x="219837" y="24866"/>
                                </a:lnTo>
                                <a:lnTo>
                                  <a:pt x="221322" y="21056"/>
                                </a:lnTo>
                                <a:lnTo>
                                  <a:pt x="222478" y="19786"/>
                                </a:lnTo>
                                <a:lnTo>
                                  <a:pt x="225742" y="15976"/>
                                </a:lnTo>
                                <a:lnTo>
                                  <a:pt x="227469" y="14706"/>
                                </a:lnTo>
                                <a:lnTo>
                                  <a:pt x="231025" y="13436"/>
                                </a:lnTo>
                                <a:lnTo>
                                  <a:pt x="232664" y="12166"/>
                                </a:lnTo>
                                <a:lnTo>
                                  <a:pt x="235661" y="10896"/>
                                </a:lnTo>
                                <a:lnTo>
                                  <a:pt x="239141" y="10896"/>
                                </a:lnTo>
                                <a:lnTo>
                                  <a:pt x="239839" y="9626"/>
                                </a:lnTo>
                                <a:lnTo>
                                  <a:pt x="240487" y="9626"/>
                                </a:lnTo>
                                <a:lnTo>
                                  <a:pt x="240538" y="8356"/>
                                </a:lnTo>
                                <a:lnTo>
                                  <a:pt x="240080" y="8356"/>
                                </a:lnTo>
                                <a:lnTo>
                                  <a:pt x="239814" y="7086"/>
                                </a:lnTo>
                                <a:lnTo>
                                  <a:pt x="239077" y="7086"/>
                                </a:lnTo>
                                <a:lnTo>
                                  <a:pt x="238633" y="5816"/>
                                </a:lnTo>
                                <a:lnTo>
                                  <a:pt x="237096" y="4546"/>
                                </a:lnTo>
                                <a:lnTo>
                                  <a:pt x="236334" y="3276"/>
                                </a:lnTo>
                                <a:lnTo>
                                  <a:pt x="232168" y="3276"/>
                                </a:lnTo>
                                <a:lnTo>
                                  <a:pt x="229514" y="4546"/>
                                </a:lnTo>
                                <a:lnTo>
                                  <a:pt x="228104" y="4546"/>
                                </a:lnTo>
                                <a:lnTo>
                                  <a:pt x="225145" y="5816"/>
                                </a:lnTo>
                                <a:lnTo>
                                  <a:pt x="220687" y="9626"/>
                                </a:lnTo>
                                <a:lnTo>
                                  <a:pt x="219316" y="9626"/>
                                </a:lnTo>
                                <a:lnTo>
                                  <a:pt x="209334" y="29946"/>
                                </a:lnTo>
                                <a:lnTo>
                                  <a:pt x="209689" y="32486"/>
                                </a:lnTo>
                                <a:lnTo>
                                  <a:pt x="211670" y="38836"/>
                                </a:lnTo>
                                <a:lnTo>
                                  <a:pt x="213347" y="41376"/>
                                </a:lnTo>
                                <a:lnTo>
                                  <a:pt x="218008" y="45186"/>
                                </a:lnTo>
                                <a:lnTo>
                                  <a:pt x="220345" y="47726"/>
                                </a:lnTo>
                                <a:lnTo>
                                  <a:pt x="225120" y="48996"/>
                                </a:lnTo>
                                <a:lnTo>
                                  <a:pt x="227533" y="48996"/>
                                </a:lnTo>
                                <a:lnTo>
                                  <a:pt x="232359" y="50266"/>
                                </a:lnTo>
                                <a:lnTo>
                                  <a:pt x="234772" y="48996"/>
                                </a:lnTo>
                                <a:lnTo>
                                  <a:pt x="239610" y="47726"/>
                                </a:lnTo>
                                <a:lnTo>
                                  <a:pt x="241985" y="47726"/>
                                </a:lnTo>
                                <a:lnTo>
                                  <a:pt x="253453" y="42646"/>
                                </a:lnTo>
                                <a:lnTo>
                                  <a:pt x="255600" y="42646"/>
                                </a:lnTo>
                                <a:lnTo>
                                  <a:pt x="259702" y="41376"/>
                                </a:lnTo>
                                <a:lnTo>
                                  <a:pt x="261670" y="41376"/>
                                </a:lnTo>
                                <a:lnTo>
                                  <a:pt x="265391" y="42646"/>
                                </a:lnTo>
                                <a:lnTo>
                                  <a:pt x="267131" y="43916"/>
                                </a:lnTo>
                                <a:lnTo>
                                  <a:pt x="270217" y="46456"/>
                                </a:lnTo>
                                <a:lnTo>
                                  <a:pt x="271272" y="48996"/>
                                </a:lnTo>
                                <a:lnTo>
                                  <a:pt x="272554" y="51536"/>
                                </a:lnTo>
                                <a:lnTo>
                                  <a:pt x="258533" y="71856"/>
                                </a:lnTo>
                                <a:lnTo>
                                  <a:pt x="256590" y="73126"/>
                                </a:lnTo>
                                <a:lnTo>
                                  <a:pt x="253085" y="74396"/>
                                </a:lnTo>
                                <a:lnTo>
                                  <a:pt x="249123" y="74396"/>
                                </a:lnTo>
                                <a:lnTo>
                                  <a:pt x="248297" y="75666"/>
                                </a:lnTo>
                                <a:lnTo>
                                  <a:pt x="247510" y="75666"/>
                                </a:lnTo>
                                <a:lnTo>
                                  <a:pt x="247357" y="76936"/>
                                </a:lnTo>
                                <a:lnTo>
                                  <a:pt x="247688" y="78206"/>
                                </a:lnTo>
                                <a:lnTo>
                                  <a:pt x="247942" y="78206"/>
                                </a:lnTo>
                                <a:lnTo>
                                  <a:pt x="248678" y="79476"/>
                                </a:lnTo>
                                <a:lnTo>
                                  <a:pt x="249174" y="79476"/>
                                </a:lnTo>
                                <a:lnTo>
                                  <a:pt x="250723" y="80746"/>
                                </a:lnTo>
                                <a:lnTo>
                                  <a:pt x="251523" y="82016"/>
                                </a:lnTo>
                                <a:lnTo>
                                  <a:pt x="252920" y="82016"/>
                                </a:lnTo>
                                <a:lnTo>
                                  <a:pt x="253606" y="83286"/>
                                </a:lnTo>
                                <a:lnTo>
                                  <a:pt x="255993" y="83286"/>
                                </a:lnTo>
                                <a:lnTo>
                                  <a:pt x="258699" y="82016"/>
                                </a:lnTo>
                                <a:lnTo>
                                  <a:pt x="260248" y="80746"/>
                                </a:lnTo>
                                <a:lnTo>
                                  <a:pt x="263715" y="79476"/>
                                </a:lnTo>
                                <a:lnTo>
                                  <a:pt x="265544" y="78206"/>
                                </a:lnTo>
                                <a:lnTo>
                                  <a:pt x="271335" y="74396"/>
                                </a:lnTo>
                                <a:lnTo>
                                  <a:pt x="275932" y="69316"/>
                                </a:lnTo>
                                <a:lnTo>
                                  <a:pt x="278091" y="66776"/>
                                </a:lnTo>
                                <a:lnTo>
                                  <a:pt x="281330" y="60426"/>
                                </a:lnTo>
                                <a:lnTo>
                                  <a:pt x="282282" y="57886"/>
                                </a:lnTo>
                                <a:lnTo>
                                  <a:pt x="282867" y="51536"/>
                                </a:lnTo>
                                <a:close/>
                              </a:path>
                              <a:path w="738505" h="271780">
                                <a:moveTo>
                                  <a:pt x="531583" y="262890"/>
                                </a:moveTo>
                                <a:lnTo>
                                  <a:pt x="531393" y="261620"/>
                                </a:lnTo>
                                <a:lnTo>
                                  <a:pt x="510324" y="241300"/>
                                </a:lnTo>
                                <a:lnTo>
                                  <a:pt x="509066" y="237490"/>
                                </a:lnTo>
                                <a:lnTo>
                                  <a:pt x="494106" y="191770"/>
                                </a:lnTo>
                                <a:lnTo>
                                  <a:pt x="493788" y="191770"/>
                                </a:lnTo>
                                <a:lnTo>
                                  <a:pt x="493179" y="190500"/>
                                </a:lnTo>
                                <a:lnTo>
                                  <a:pt x="491388" y="190500"/>
                                </a:lnTo>
                                <a:lnTo>
                                  <a:pt x="490042" y="191770"/>
                                </a:lnTo>
                                <a:lnTo>
                                  <a:pt x="489191" y="193040"/>
                                </a:lnTo>
                                <a:lnTo>
                                  <a:pt x="487375" y="194310"/>
                                </a:lnTo>
                                <a:lnTo>
                                  <a:pt x="486778" y="195580"/>
                                </a:lnTo>
                                <a:lnTo>
                                  <a:pt x="485914" y="195580"/>
                                </a:lnTo>
                                <a:lnTo>
                                  <a:pt x="485609" y="196850"/>
                                </a:lnTo>
                                <a:lnTo>
                                  <a:pt x="485254" y="196850"/>
                                </a:lnTo>
                                <a:lnTo>
                                  <a:pt x="485190" y="198120"/>
                                </a:lnTo>
                                <a:lnTo>
                                  <a:pt x="485406" y="199390"/>
                                </a:lnTo>
                                <a:lnTo>
                                  <a:pt x="485609" y="199390"/>
                                </a:lnTo>
                                <a:lnTo>
                                  <a:pt x="495858" y="228600"/>
                                </a:lnTo>
                                <a:lnTo>
                                  <a:pt x="497725" y="232410"/>
                                </a:lnTo>
                                <a:lnTo>
                                  <a:pt x="498690" y="234950"/>
                                </a:lnTo>
                                <a:lnTo>
                                  <a:pt x="499694" y="237490"/>
                                </a:lnTo>
                                <a:lnTo>
                                  <a:pt x="497128" y="236220"/>
                                </a:lnTo>
                                <a:lnTo>
                                  <a:pt x="489864" y="233680"/>
                                </a:lnTo>
                                <a:lnTo>
                                  <a:pt x="487527" y="232410"/>
                                </a:lnTo>
                                <a:lnTo>
                                  <a:pt x="485254" y="232410"/>
                                </a:lnTo>
                                <a:lnTo>
                                  <a:pt x="460756" y="223520"/>
                                </a:lnTo>
                                <a:lnTo>
                                  <a:pt x="457923" y="223520"/>
                                </a:lnTo>
                                <a:lnTo>
                                  <a:pt x="456730" y="224790"/>
                                </a:lnTo>
                                <a:lnTo>
                                  <a:pt x="455993" y="226060"/>
                                </a:lnTo>
                                <a:lnTo>
                                  <a:pt x="454164" y="227330"/>
                                </a:lnTo>
                                <a:lnTo>
                                  <a:pt x="453428" y="228600"/>
                                </a:lnTo>
                                <a:lnTo>
                                  <a:pt x="452412" y="229870"/>
                                </a:lnTo>
                                <a:lnTo>
                                  <a:pt x="452145" y="229870"/>
                                </a:lnTo>
                                <a:lnTo>
                                  <a:pt x="452120" y="231140"/>
                                </a:lnTo>
                                <a:lnTo>
                                  <a:pt x="452335" y="231140"/>
                                </a:lnTo>
                                <a:lnTo>
                                  <a:pt x="453237" y="232410"/>
                                </a:lnTo>
                                <a:lnTo>
                                  <a:pt x="454952" y="232410"/>
                                </a:lnTo>
                                <a:lnTo>
                                  <a:pt x="502818" y="248920"/>
                                </a:lnTo>
                                <a:lnTo>
                                  <a:pt x="523875" y="269240"/>
                                </a:lnTo>
                                <a:lnTo>
                                  <a:pt x="526364" y="269240"/>
                                </a:lnTo>
                                <a:lnTo>
                                  <a:pt x="527456" y="267970"/>
                                </a:lnTo>
                                <a:lnTo>
                                  <a:pt x="528091" y="267970"/>
                                </a:lnTo>
                                <a:lnTo>
                                  <a:pt x="529513" y="266700"/>
                                </a:lnTo>
                                <a:lnTo>
                                  <a:pt x="530072" y="265430"/>
                                </a:lnTo>
                                <a:lnTo>
                                  <a:pt x="530910" y="264160"/>
                                </a:lnTo>
                                <a:lnTo>
                                  <a:pt x="531215" y="264160"/>
                                </a:lnTo>
                                <a:lnTo>
                                  <a:pt x="531583" y="262890"/>
                                </a:lnTo>
                                <a:close/>
                              </a:path>
                              <a:path w="738505" h="271780">
                                <a:moveTo>
                                  <a:pt x="590715" y="196850"/>
                                </a:moveTo>
                                <a:lnTo>
                                  <a:pt x="590664" y="194310"/>
                                </a:lnTo>
                                <a:lnTo>
                                  <a:pt x="590359" y="194310"/>
                                </a:lnTo>
                                <a:lnTo>
                                  <a:pt x="589978" y="193040"/>
                                </a:lnTo>
                                <a:lnTo>
                                  <a:pt x="589724" y="193040"/>
                                </a:lnTo>
                                <a:lnTo>
                                  <a:pt x="589076" y="191770"/>
                                </a:lnTo>
                                <a:lnTo>
                                  <a:pt x="588225" y="190500"/>
                                </a:lnTo>
                                <a:lnTo>
                                  <a:pt x="586981" y="190500"/>
                                </a:lnTo>
                                <a:lnTo>
                                  <a:pt x="586016" y="189230"/>
                                </a:lnTo>
                                <a:lnTo>
                                  <a:pt x="585609" y="189230"/>
                                </a:lnTo>
                                <a:lnTo>
                                  <a:pt x="584936" y="187960"/>
                                </a:lnTo>
                                <a:lnTo>
                                  <a:pt x="584187" y="187960"/>
                                </a:lnTo>
                                <a:lnTo>
                                  <a:pt x="583971" y="189230"/>
                                </a:lnTo>
                                <a:lnTo>
                                  <a:pt x="583323" y="189230"/>
                                </a:lnTo>
                                <a:lnTo>
                                  <a:pt x="583006" y="190500"/>
                                </a:lnTo>
                                <a:lnTo>
                                  <a:pt x="582587" y="193040"/>
                                </a:lnTo>
                                <a:lnTo>
                                  <a:pt x="582231" y="194310"/>
                                </a:lnTo>
                                <a:lnTo>
                                  <a:pt x="562571" y="215900"/>
                                </a:lnTo>
                                <a:lnTo>
                                  <a:pt x="552805" y="215900"/>
                                </a:lnTo>
                                <a:lnTo>
                                  <a:pt x="524776" y="189230"/>
                                </a:lnTo>
                                <a:lnTo>
                                  <a:pt x="522554" y="179070"/>
                                </a:lnTo>
                                <a:lnTo>
                                  <a:pt x="522846" y="176530"/>
                                </a:lnTo>
                                <a:lnTo>
                                  <a:pt x="524954" y="170180"/>
                                </a:lnTo>
                                <a:lnTo>
                                  <a:pt x="526745" y="167640"/>
                                </a:lnTo>
                                <a:lnTo>
                                  <a:pt x="531583" y="162560"/>
                                </a:lnTo>
                                <a:lnTo>
                                  <a:pt x="538289" y="158750"/>
                                </a:lnTo>
                                <a:lnTo>
                                  <a:pt x="540321" y="157480"/>
                                </a:lnTo>
                                <a:lnTo>
                                  <a:pt x="544004" y="156210"/>
                                </a:lnTo>
                                <a:lnTo>
                                  <a:pt x="549021" y="156210"/>
                                </a:lnTo>
                                <a:lnTo>
                                  <a:pt x="549668" y="154940"/>
                                </a:lnTo>
                                <a:lnTo>
                                  <a:pt x="549859" y="154940"/>
                                </a:lnTo>
                                <a:lnTo>
                                  <a:pt x="549795" y="153670"/>
                                </a:lnTo>
                                <a:lnTo>
                                  <a:pt x="549478" y="153670"/>
                                </a:lnTo>
                                <a:lnTo>
                                  <a:pt x="549224" y="152400"/>
                                </a:lnTo>
                                <a:lnTo>
                                  <a:pt x="548525" y="152400"/>
                                </a:lnTo>
                                <a:lnTo>
                                  <a:pt x="548055" y="151130"/>
                                </a:lnTo>
                                <a:lnTo>
                                  <a:pt x="546950" y="149860"/>
                                </a:lnTo>
                                <a:lnTo>
                                  <a:pt x="546481" y="149860"/>
                                </a:lnTo>
                                <a:lnTo>
                                  <a:pt x="545630" y="148590"/>
                                </a:lnTo>
                                <a:lnTo>
                                  <a:pt x="536981" y="148590"/>
                                </a:lnTo>
                                <a:lnTo>
                                  <a:pt x="535279" y="149860"/>
                                </a:lnTo>
                                <a:lnTo>
                                  <a:pt x="531723" y="151130"/>
                                </a:lnTo>
                                <a:lnTo>
                                  <a:pt x="526211" y="154940"/>
                                </a:lnTo>
                                <a:lnTo>
                                  <a:pt x="512470" y="180340"/>
                                </a:lnTo>
                                <a:lnTo>
                                  <a:pt x="513092" y="187960"/>
                                </a:lnTo>
                                <a:lnTo>
                                  <a:pt x="536867" y="220980"/>
                                </a:lnTo>
                                <a:lnTo>
                                  <a:pt x="546125" y="224790"/>
                                </a:lnTo>
                                <a:lnTo>
                                  <a:pt x="550672" y="227330"/>
                                </a:lnTo>
                                <a:lnTo>
                                  <a:pt x="559612" y="227330"/>
                                </a:lnTo>
                                <a:lnTo>
                                  <a:pt x="572287" y="223520"/>
                                </a:lnTo>
                                <a:lnTo>
                                  <a:pt x="576211" y="220980"/>
                                </a:lnTo>
                                <a:lnTo>
                                  <a:pt x="580834" y="215900"/>
                                </a:lnTo>
                                <a:lnTo>
                                  <a:pt x="582002" y="214630"/>
                                </a:lnTo>
                                <a:lnTo>
                                  <a:pt x="583768" y="212090"/>
                                </a:lnTo>
                                <a:lnTo>
                                  <a:pt x="586562" y="208280"/>
                                </a:lnTo>
                                <a:lnTo>
                                  <a:pt x="589305" y="201930"/>
                                </a:lnTo>
                                <a:lnTo>
                                  <a:pt x="589876" y="200660"/>
                                </a:lnTo>
                                <a:lnTo>
                                  <a:pt x="590550" y="196850"/>
                                </a:lnTo>
                                <a:lnTo>
                                  <a:pt x="590715" y="196850"/>
                                </a:lnTo>
                                <a:close/>
                              </a:path>
                              <a:path w="738505" h="271780">
                                <a:moveTo>
                                  <a:pt x="638124" y="148590"/>
                                </a:moveTo>
                                <a:lnTo>
                                  <a:pt x="638086" y="147320"/>
                                </a:lnTo>
                                <a:lnTo>
                                  <a:pt x="637908" y="146050"/>
                                </a:lnTo>
                                <a:lnTo>
                                  <a:pt x="637387" y="146050"/>
                                </a:lnTo>
                                <a:lnTo>
                                  <a:pt x="637133" y="144780"/>
                                </a:lnTo>
                                <a:lnTo>
                                  <a:pt x="636104" y="143510"/>
                                </a:lnTo>
                                <a:lnTo>
                                  <a:pt x="634974" y="143510"/>
                                </a:lnTo>
                                <a:lnTo>
                                  <a:pt x="634390" y="142240"/>
                                </a:lnTo>
                                <a:lnTo>
                                  <a:pt x="633437" y="142240"/>
                                </a:lnTo>
                                <a:lnTo>
                                  <a:pt x="633018" y="140970"/>
                                </a:lnTo>
                                <a:lnTo>
                                  <a:pt x="631380" y="140970"/>
                                </a:lnTo>
                                <a:lnTo>
                                  <a:pt x="630732" y="142240"/>
                                </a:lnTo>
                                <a:lnTo>
                                  <a:pt x="630415" y="142240"/>
                                </a:lnTo>
                                <a:lnTo>
                                  <a:pt x="629996" y="146050"/>
                                </a:lnTo>
                                <a:lnTo>
                                  <a:pt x="629640" y="147320"/>
                                </a:lnTo>
                                <a:lnTo>
                                  <a:pt x="628637" y="151130"/>
                                </a:lnTo>
                                <a:lnTo>
                                  <a:pt x="627824" y="152400"/>
                                </a:lnTo>
                                <a:lnTo>
                                  <a:pt x="625563" y="157480"/>
                                </a:lnTo>
                                <a:lnTo>
                                  <a:pt x="623874" y="160020"/>
                                </a:lnTo>
                                <a:lnTo>
                                  <a:pt x="618959" y="163830"/>
                                </a:lnTo>
                                <a:lnTo>
                                  <a:pt x="616102" y="166370"/>
                                </a:lnTo>
                                <a:lnTo>
                                  <a:pt x="609993" y="168910"/>
                                </a:lnTo>
                                <a:lnTo>
                                  <a:pt x="606818" y="168910"/>
                                </a:lnTo>
                                <a:lnTo>
                                  <a:pt x="600227" y="167640"/>
                                </a:lnTo>
                                <a:lnTo>
                                  <a:pt x="596811" y="167640"/>
                                </a:lnTo>
                                <a:lnTo>
                                  <a:pt x="570941" y="138430"/>
                                </a:lnTo>
                                <a:lnTo>
                                  <a:pt x="569976" y="132080"/>
                                </a:lnTo>
                                <a:lnTo>
                                  <a:pt x="570255" y="128270"/>
                                </a:lnTo>
                                <a:lnTo>
                                  <a:pt x="572376" y="123190"/>
                                </a:lnTo>
                                <a:lnTo>
                                  <a:pt x="574167" y="119380"/>
                                </a:lnTo>
                                <a:lnTo>
                                  <a:pt x="578993" y="115570"/>
                                </a:lnTo>
                                <a:lnTo>
                                  <a:pt x="581266" y="113030"/>
                                </a:lnTo>
                                <a:lnTo>
                                  <a:pt x="585698" y="110490"/>
                                </a:lnTo>
                                <a:lnTo>
                                  <a:pt x="587730" y="110490"/>
                                </a:lnTo>
                                <a:lnTo>
                                  <a:pt x="591413" y="109220"/>
                                </a:lnTo>
                                <a:lnTo>
                                  <a:pt x="595579" y="109220"/>
                                </a:lnTo>
                                <a:lnTo>
                                  <a:pt x="596442" y="107950"/>
                                </a:lnTo>
                                <a:lnTo>
                                  <a:pt x="597217" y="107950"/>
                                </a:lnTo>
                                <a:lnTo>
                                  <a:pt x="597204" y="106680"/>
                                </a:lnTo>
                                <a:lnTo>
                                  <a:pt x="596887" y="105410"/>
                                </a:lnTo>
                                <a:lnTo>
                                  <a:pt x="596633" y="105410"/>
                                </a:lnTo>
                                <a:lnTo>
                                  <a:pt x="595934" y="104140"/>
                                </a:lnTo>
                                <a:lnTo>
                                  <a:pt x="595477" y="104140"/>
                                </a:lnTo>
                                <a:lnTo>
                                  <a:pt x="594372" y="102870"/>
                                </a:lnTo>
                                <a:lnTo>
                                  <a:pt x="593890" y="102870"/>
                                </a:lnTo>
                                <a:lnTo>
                                  <a:pt x="593051" y="101600"/>
                                </a:lnTo>
                                <a:lnTo>
                                  <a:pt x="591959" y="101600"/>
                                </a:lnTo>
                                <a:lnTo>
                                  <a:pt x="591629" y="100330"/>
                                </a:lnTo>
                                <a:lnTo>
                                  <a:pt x="587654" y="100330"/>
                                </a:lnTo>
                                <a:lnTo>
                                  <a:pt x="584390" y="101600"/>
                                </a:lnTo>
                                <a:lnTo>
                                  <a:pt x="582688" y="102870"/>
                                </a:lnTo>
                                <a:lnTo>
                                  <a:pt x="579145" y="104140"/>
                                </a:lnTo>
                                <a:lnTo>
                                  <a:pt x="559790" y="132080"/>
                                </a:lnTo>
                                <a:lnTo>
                                  <a:pt x="560514" y="140970"/>
                                </a:lnTo>
                                <a:lnTo>
                                  <a:pt x="561924" y="146050"/>
                                </a:lnTo>
                                <a:lnTo>
                                  <a:pt x="566851" y="156210"/>
                                </a:lnTo>
                                <a:lnTo>
                                  <a:pt x="570420" y="160020"/>
                                </a:lnTo>
                                <a:lnTo>
                                  <a:pt x="579678" y="170180"/>
                                </a:lnTo>
                                <a:lnTo>
                                  <a:pt x="593534" y="177800"/>
                                </a:lnTo>
                                <a:lnTo>
                                  <a:pt x="598081" y="179070"/>
                                </a:lnTo>
                                <a:lnTo>
                                  <a:pt x="607021" y="180340"/>
                                </a:lnTo>
                                <a:lnTo>
                                  <a:pt x="611352" y="179070"/>
                                </a:lnTo>
                                <a:lnTo>
                                  <a:pt x="619709" y="175260"/>
                                </a:lnTo>
                                <a:lnTo>
                                  <a:pt x="623633" y="172720"/>
                                </a:lnTo>
                                <a:lnTo>
                                  <a:pt x="627976" y="168910"/>
                                </a:lnTo>
                                <a:lnTo>
                                  <a:pt x="629424" y="167640"/>
                                </a:lnTo>
                                <a:lnTo>
                                  <a:pt x="631190" y="165100"/>
                                </a:lnTo>
                                <a:lnTo>
                                  <a:pt x="633984" y="161290"/>
                                </a:lnTo>
                                <a:lnTo>
                                  <a:pt x="636714" y="154940"/>
                                </a:lnTo>
                                <a:lnTo>
                                  <a:pt x="637286" y="152400"/>
                                </a:lnTo>
                                <a:lnTo>
                                  <a:pt x="637959" y="149860"/>
                                </a:lnTo>
                                <a:lnTo>
                                  <a:pt x="638124" y="148590"/>
                                </a:lnTo>
                                <a:close/>
                              </a:path>
                              <a:path w="738505" h="271780">
                                <a:moveTo>
                                  <a:pt x="695490" y="99060"/>
                                </a:moveTo>
                                <a:lnTo>
                                  <a:pt x="695299" y="99060"/>
                                </a:lnTo>
                                <a:lnTo>
                                  <a:pt x="694486" y="97790"/>
                                </a:lnTo>
                                <a:lnTo>
                                  <a:pt x="693839" y="97790"/>
                                </a:lnTo>
                                <a:lnTo>
                                  <a:pt x="692962" y="96520"/>
                                </a:lnTo>
                                <a:lnTo>
                                  <a:pt x="660349" y="81546"/>
                                </a:lnTo>
                                <a:lnTo>
                                  <a:pt x="660349" y="92710"/>
                                </a:lnTo>
                                <a:lnTo>
                                  <a:pt x="640689" y="113030"/>
                                </a:lnTo>
                                <a:lnTo>
                                  <a:pt x="622261" y="74930"/>
                                </a:lnTo>
                                <a:lnTo>
                                  <a:pt x="660349" y="92710"/>
                                </a:lnTo>
                                <a:lnTo>
                                  <a:pt x="660349" y="81546"/>
                                </a:lnTo>
                                <a:lnTo>
                                  <a:pt x="645960" y="74930"/>
                                </a:lnTo>
                                <a:lnTo>
                                  <a:pt x="621080" y="63500"/>
                                </a:lnTo>
                                <a:lnTo>
                                  <a:pt x="618363" y="63500"/>
                                </a:lnTo>
                                <a:lnTo>
                                  <a:pt x="617778" y="64770"/>
                                </a:lnTo>
                                <a:lnTo>
                                  <a:pt x="616470" y="64770"/>
                                </a:lnTo>
                                <a:lnTo>
                                  <a:pt x="614743" y="67310"/>
                                </a:lnTo>
                                <a:lnTo>
                                  <a:pt x="613181" y="68580"/>
                                </a:lnTo>
                                <a:lnTo>
                                  <a:pt x="612127" y="69850"/>
                                </a:lnTo>
                                <a:lnTo>
                                  <a:pt x="611746" y="69850"/>
                                </a:lnTo>
                                <a:lnTo>
                                  <a:pt x="611251" y="71120"/>
                                </a:lnTo>
                                <a:lnTo>
                                  <a:pt x="611136" y="72390"/>
                                </a:lnTo>
                                <a:lnTo>
                                  <a:pt x="611263" y="72390"/>
                                </a:lnTo>
                                <a:lnTo>
                                  <a:pt x="645426" y="146050"/>
                                </a:lnTo>
                                <a:lnTo>
                                  <a:pt x="645820" y="146050"/>
                                </a:lnTo>
                                <a:lnTo>
                                  <a:pt x="646569" y="147320"/>
                                </a:lnTo>
                                <a:lnTo>
                                  <a:pt x="648335" y="147320"/>
                                </a:lnTo>
                                <a:lnTo>
                                  <a:pt x="649554" y="146050"/>
                                </a:lnTo>
                                <a:lnTo>
                                  <a:pt x="650290" y="146050"/>
                                </a:lnTo>
                                <a:lnTo>
                                  <a:pt x="651941" y="143510"/>
                                </a:lnTo>
                                <a:lnTo>
                                  <a:pt x="652576" y="143510"/>
                                </a:lnTo>
                                <a:lnTo>
                                  <a:pt x="653478" y="142240"/>
                                </a:lnTo>
                                <a:lnTo>
                                  <a:pt x="653783" y="140970"/>
                                </a:lnTo>
                                <a:lnTo>
                                  <a:pt x="654126" y="140970"/>
                                </a:lnTo>
                                <a:lnTo>
                                  <a:pt x="654037" y="139700"/>
                                </a:lnTo>
                                <a:lnTo>
                                  <a:pt x="644791" y="120650"/>
                                </a:lnTo>
                                <a:lnTo>
                                  <a:pt x="652614" y="113030"/>
                                </a:lnTo>
                                <a:lnTo>
                                  <a:pt x="668286" y="97790"/>
                                </a:lnTo>
                                <a:lnTo>
                                  <a:pt x="686892" y="106680"/>
                                </a:lnTo>
                                <a:lnTo>
                                  <a:pt x="689330" y="106680"/>
                                </a:lnTo>
                                <a:lnTo>
                                  <a:pt x="689813" y="105410"/>
                                </a:lnTo>
                                <a:lnTo>
                                  <a:pt x="690968" y="105410"/>
                                </a:lnTo>
                                <a:lnTo>
                                  <a:pt x="691718" y="104140"/>
                                </a:lnTo>
                                <a:lnTo>
                                  <a:pt x="693521" y="102870"/>
                                </a:lnTo>
                                <a:lnTo>
                                  <a:pt x="694207" y="101600"/>
                                </a:lnTo>
                                <a:lnTo>
                                  <a:pt x="695172" y="100330"/>
                                </a:lnTo>
                                <a:lnTo>
                                  <a:pt x="695426" y="100330"/>
                                </a:lnTo>
                                <a:lnTo>
                                  <a:pt x="695490" y="99060"/>
                                </a:lnTo>
                                <a:close/>
                              </a:path>
                              <a:path w="738505" h="271780">
                                <a:moveTo>
                                  <a:pt x="738352" y="46990"/>
                                </a:moveTo>
                                <a:lnTo>
                                  <a:pt x="738124" y="46990"/>
                                </a:lnTo>
                                <a:lnTo>
                                  <a:pt x="737997" y="45720"/>
                                </a:lnTo>
                                <a:lnTo>
                                  <a:pt x="737362" y="45720"/>
                                </a:lnTo>
                                <a:lnTo>
                                  <a:pt x="736714" y="44450"/>
                                </a:lnTo>
                                <a:lnTo>
                                  <a:pt x="735863" y="43180"/>
                                </a:lnTo>
                                <a:lnTo>
                                  <a:pt x="734618" y="41910"/>
                                </a:lnTo>
                                <a:lnTo>
                                  <a:pt x="733653" y="41910"/>
                                </a:lnTo>
                                <a:lnTo>
                                  <a:pt x="733247" y="40640"/>
                                </a:lnTo>
                                <a:lnTo>
                                  <a:pt x="731608" y="40640"/>
                                </a:lnTo>
                                <a:lnTo>
                                  <a:pt x="730961" y="41910"/>
                                </a:lnTo>
                                <a:lnTo>
                                  <a:pt x="730631" y="43180"/>
                                </a:lnTo>
                                <a:lnTo>
                                  <a:pt x="730224" y="45720"/>
                                </a:lnTo>
                                <a:lnTo>
                                  <a:pt x="729869" y="46990"/>
                                </a:lnTo>
                                <a:lnTo>
                                  <a:pt x="728865" y="50800"/>
                                </a:lnTo>
                                <a:lnTo>
                                  <a:pt x="728052" y="52070"/>
                                </a:lnTo>
                                <a:lnTo>
                                  <a:pt x="725792" y="57150"/>
                                </a:lnTo>
                                <a:lnTo>
                                  <a:pt x="724090" y="59690"/>
                                </a:lnTo>
                                <a:lnTo>
                                  <a:pt x="719175" y="64770"/>
                                </a:lnTo>
                                <a:lnTo>
                                  <a:pt x="716318" y="66040"/>
                                </a:lnTo>
                                <a:lnTo>
                                  <a:pt x="710209" y="68580"/>
                                </a:lnTo>
                                <a:lnTo>
                                  <a:pt x="700443" y="68580"/>
                                </a:lnTo>
                                <a:lnTo>
                                  <a:pt x="697026" y="67310"/>
                                </a:lnTo>
                                <a:lnTo>
                                  <a:pt x="689978" y="63500"/>
                                </a:lnTo>
                                <a:lnTo>
                                  <a:pt x="686422" y="59690"/>
                                </a:lnTo>
                                <a:lnTo>
                                  <a:pt x="679234" y="53340"/>
                                </a:lnTo>
                                <a:lnTo>
                                  <a:pt x="676414" y="49530"/>
                                </a:lnTo>
                                <a:lnTo>
                                  <a:pt x="672414" y="41910"/>
                                </a:lnTo>
                                <a:lnTo>
                                  <a:pt x="671169" y="38100"/>
                                </a:lnTo>
                                <a:lnTo>
                                  <a:pt x="670191" y="31750"/>
                                </a:lnTo>
                                <a:lnTo>
                                  <a:pt x="670471" y="27940"/>
                                </a:lnTo>
                                <a:lnTo>
                                  <a:pt x="672592" y="22860"/>
                                </a:lnTo>
                                <a:lnTo>
                                  <a:pt x="674382" y="19050"/>
                                </a:lnTo>
                                <a:lnTo>
                                  <a:pt x="679208" y="15240"/>
                                </a:lnTo>
                                <a:lnTo>
                                  <a:pt x="681482" y="12700"/>
                                </a:lnTo>
                                <a:lnTo>
                                  <a:pt x="685927" y="11430"/>
                                </a:lnTo>
                                <a:lnTo>
                                  <a:pt x="687959" y="10160"/>
                                </a:lnTo>
                                <a:lnTo>
                                  <a:pt x="691629" y="8890"/>
                                </a:lnTo>
                                <a:lnTo>
                                  <a:pt x="695807" y="8890"/>
                                </a:lnTo>
                                <a:lnTo>
                                  <a:pt x="696658" y="7620"/>
                                </a:lnTo>
                                <a:lnTo>
                                  <a:pt x="697433" y="7620"/>
                                </a:lnTo>
                                <a:lnTo>
                                  <a:pt x="697433" y="6350"/>
                                </a:lnTo>
                                <a:lnTo>
                                  <a:pt x="697115" y="5080"/>
                                </a:lnTo>
                                <a:lnTo>
                                  <a:pt x="696861" y="5080"/>
                                </a:lnTo>
                                <a:lnTo>
                                  <a:pt x="696163" y="3810"/>
                                </a:lnTo>
                                <a:lnTo>
                                  <a:pt x="695693" y="3810"/>
                                </a:lnTo>
                                <a:lnTo>
                                  <a:pt x="694588" y="2540"/>
                                </a:lnTo>
                                <a:lnTo>
                                  <a:pt x="694118" y="2540"/>
                                </a:lnTo>
                                <a:lnTo>
                                  <a:pt x="693267" y="1270"/>
                                </a:lnTo>
                                <a:lnTo>
                                  <a:pt x="691845" y="1270"/>
                                </a:lnTo>
                                <a:lnTo>
                                  <a:pt x="691210" y="0"/>
                                </a:lnTo>
                                <a:lnTo>
                                  <a:pt x="689089" y="0"/>
                                </a:lnTo>
                                <a:lnTo>
                                  <a:pt x="687870" y="1270"/>
                                </a:lnTo>
                                <a:lnTo>
                                  <a:pt x="684618" y="1270"/>
                                </a:lnTo>
                                <a:lnTo>
                                  <a:pt x="682917" y="2540"/>
                                </a:lnTo>
                                <a:lnTo>
                                  <a:pt x="679361" y="3810"/>
                                </a:lnTo>
                                <a:lnTo>
                                  <a:pt x="673849" y="7620"/>
                                </a:lnTo>
                                <a:lnTo>
                                  <a:pt x="660006" y="31750"/>
                                </a:lnTo>
                                <a:lnTo>
                                  <a:pt x="660730" y="40640"/>
                                </a:lnTo>
                                <a:lnTo>
                                  <a:pt x="662139" y="45720"/>
                                </a:lnTo>
                                <a:lnTo>
                                  <a:pt x="667067" y="55880"/>
                                </a:lnTo>
                                <a:lnTo>
                                  <a:pt x="670636" y="59690"/>
                                </a:lnTo>
                                <a:lnTo>
                                  <a:pt x="679894" y="69850"/>
                                </a:lnTo>
                                <a:lnTo>
                                  <a:pt x="693762" y="77470"/>
                                </a:lnTo>
                                <a:lnTo>
                                  <a:pt x="698309" y="78740"/>
                                </a:lnTo>
                                <a:lnTo>
                                  <a:pt x="707250" y="80010"/>
                                </a:lnTo>
                                <a:lnTo>
                                  <a:pt x="711568" y="78740"/>
                                </a:lnTo>
                                <a:lnTo>
                                  <a:pt x="719924" y="74930"/>
                                </a:lnTo>
                                <a:lnTo>
                                  <a:pt x="723849" y="72390"/>
                                </a:lnTo>
                                <a:lnTo>
                                  <a:pt x="728192" y="68580"/>
                                </a:lnTo>
                                <a:lnTo>
                                  <a:pt x="729640" y="67310"/>
                                </a:lnTo>
                                <a:lnTo>
                                  <a:pt x="731405" y="64770"/>
                                </a:lnTo>
                                <a:lnTo>
                                  <a:pt x="734199" y="60960"/>
                                </a:lnTo>
                                <a:lnTo>
                                  <a:pt x="736930" y="54610"/>
                                </a:lnTo>
                                <a:lnTo>
                                  <a:pt x="737514" y="53340"/>
                                </a:lnTo>
                                <a:lnTo>
                                  <a:pt x="738174" y="49530"/>
                                </a:lnTo>
                                <a:lnTo>
                                  <a:pt x="738352" y="48260"/>
                                </a:lnTo>
                                <a:lnTo>
                                  <a:pt x="738352" y="4699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4229277" y="1149737"/>
                            <a:ext cx="243840" cy="1270"/>
                          </a:xfrm>
                          <a:custGeom>
                            <a:avLst/>
                            <a:gdLst/>
                            <a:ahLst/>
                            <a:cxnLst/>
                            <a:rect l="l" t="t" r="r" b="b"/>
                            <a:pathLst>
                              <a:path w="243840" h="0">
                                <a:moveTo>
                                  <a:pt x="0" y="0"/>
                                </a:moveTo>
                                <a:lnTo>
                                  <a:pt x="243840" y="0"/>
                                </a:lnTo>
                              </a:path>
                            </a:pathLst>
                          </a:custGeom>
                          <a:ln w="28575">
                            <a:solidFill>
                              <a:srgbClr val="497DBA"/>
                            </a:solidFill>
                            <a:prstDash val="solid"/>
                          </a:ln>
                        </wps:spPr>
                        <wps:bodyPr wrap="square" lIns="0" tIns="0" rIns="0" bIns="0" rtlCol="0">
                          <a:prstTxWarp prst="textNoShape">
                            <a:avLst/>
                          </a:prstTxWarp>
                          <a:noAutofit/>
                        </wps:bodyPr>
                      </wps:wsp>
                      <wps:wsp>
                        <wps:cNvPr id="97" name="Graphic 97"/>
                        <wps:cNvSpPr/>
                        <wps:spPr>
                          <a:xfrm>
                            <a:off x="4229277" y="1388314"/>
                            <a:ext cx="243840" cy="1270"/>
                          </a:xfrm>
                          <a:custGeom>
                            <a:avLst/>
                            <a:gdLst/>
                            <a:ahLst/>
                            <a:cxnLst/>
                            <a:rect l="l" t="t" r="r" b="b"/>
                            <a:pathLst>
                              <a:path w="243840" h="0">
                                <a:moveTo>
                                  <a:pt x="0" y="0"/>
                                </a:moveTo>
                                <a:lnTo>
                                  <a:pt x="243840" y="0"/>
                                </a:lnTo>
                              </a:path>
                            </a:pathLst>
                          </a:custGeom>
                          <a:ln w="28575">
                            <a:solidFill>
                              <a:srgbClr val="BD4A47"/>
                            </a:solidFill>
                            <a:prstDash val="solid"/>
                          </a:ln>
                        </wps:spPr>
                        <wps:bodyPr wrap="square" lIns="0" tIns="0" rIns="0" bIns="0" rtlCol="0">
                          <a:prstTxWarp prst="textNoShape">
                            <a:avLst/>
                          </a:prstTxWarp>
                          <a:noAutofit/>
                        </wps:bodyPr>
                      </wps:wsp>
                      <wps:wsp>
                        <wps:cNvPr id="98" name="Graphic 98"/>
                        <wps:cNvSpPr/>
                        <wps:spPr>
                          <a:xfrm>
                            <a:off x="6350" y="6553"/>
                            <a:ext cx="5514975" cy="2505075"/>
                          </a:xfrm>
                          <a:custGeom>
                            <a:avLst/>
                            <a:gdLst/>
                            <a:ahLst/>
                            <a:cxnLst/>
                            <a:rect l="l" t="t" r="r" b="b"/>
                            <a:pathLst>
                              <a:path w="5514975" h="2505075">
                                <a:moveTo>
                                  <a:pt x="0" y="0"/>
                                </a:moveTo>
                                <a:lnTo>
                                  <a:pt x="5514975" y="0"/>
                                </a:lnTo>
                                <a:lnTo>
                                  <a:pt x="5514975" y="2505075"/>
                                </a:lnTo>
                                <a:lnTo>
                                  <a:pt x="0" y="2505075"/>
                                </a:lnTo>
                                <a:lnTo>
                                  <a:pt x="0" y="0"/>
                                </a:lnTo>
                                <a:close/>
                              </a:path>
                            </a:pathLst>
                          </a:custGeom>
                          <a:ln w="9525">
                            <a:solidFill>
                              <a:srgbClr val="858585"/>
                            </a:solidFill>
                            <a:prstDash val="solid"/>
                          </a:ln>
                        </wps:spPr>
                        <wps:bodyPr wrap="square" lIns="0" tIns="0" rIns="0" bIns="0" rtlCol="0">
                          <a:prstTxWarp prst="textNoShape">
                            <a:avLst/>
                          </a:prstTxWarp>
                          <a:noAutofit/>
                        </wps:bodyPr>
                      </wps:wsp>
                      <wps:wsp>
                        <wps:cNvPr id="99" name="Textbox 99"/>
                        <wps:cNvSpPr txBox="1"/>
                        <wps:spPr>
                          <a:xfrm>
                            <a:off x="88933" y="88381"/>
                            <a:ext cx="656590" cy="1712595"/>
                          </a:xfrm>
                          <a:prstGeom prst="rect">
                            <a:avLst/>
                          </a:prstGeom>
                        </wps:spPr>
                        <wps:txbx>
                          <w:txbxContent>
                            <w:p>
                              <w:pPr>
                                <w:spacing w:line="203" w:lineRule="exact" w:before="0"/>
                                <w:ind w:left="0" w:right="18" w:firstLine="0"/>
                                <w:jc w:val="right"/>
                                <w:rPr>
                                  <w:sz w:val="20"/>
                                </w:rPr>
                              </w:pPr>
                              <w:r>
                                <w:rPr>
                                  <w:spacing w:val="-2"/>
                                  <w:sz w:val="20"/>
                                </w:rPr>
                                <w:t>$35,000,000</w:t>
                              </w:r>
                            </w:p>
                            <w:p>
                              <w:pPr>
                                <w:spacing w:before="112"/>
                                <w:ind w:left="0" w:right="18" w:firstLine="0"/>
                                <w:jc w:val="right"/>
                                <w:rPr>
                                  <w:sz w:val="20"/>
                                </w:rPr>
                              </w:pPr>
                              <w:r>
                                <w:rPr>
                                  <w:spacing w:val="-2"/>
                                  <w:sz w:val="20"/>
                                </w:rPr>
                                <w:t>$30,000,000</w:t>
                              </w:r>
                            </w:p>
                            <w:p>
                              <w:pPr>
                                <w:spacing w:before="113"/>
                                <w:ind w:left="0" w:right="18" w:firstLine="0"/>
                                <w:jc w:val="right"/>
                                <w:rPr>
                                  <w:sz w:val="20"/>
                                </w:rPr>
                              </w:pPr>
                              <w:r>
                                <w:rPr>
                                  <w:spacing w:val="-2"/>
                                  <w:sz w:val="20"/>
                                </w:rPr>
                                <w:t>$25,000,000</w:t>
                              </w:r>
                            </w:p>
                            <w:p>
                              <w:pPr>
                                <w:spacing w:before="113"/>
                                <w:ind w:left="0" w:right="18" w:firstLine="0"/>
                                <w:jc w:val="right"/>
                                <w:rPr>
                                  <w:sz w:val="20"/>
                                </w:rPr>
                              </w:pPr>
                              <w:r>
                                <w:rPr>
                                  <w:spacing w:val="-2"/>
                                  <w:sz w:val="20"/>
                                </w:rPr>
                                <w:t>$20,000,000</w:t>
                              </w:r>
                            </w:p>
                            <w:p>
                              <w:pPr>
                                <w:spacing w:before="112"/>
                                <w:ind w:left="0" w:right="18" w:firstLine="0"/>
                                <w:jc w:val="right"/>
                                <w:rPr>
                                  <w:sz w:val="20"/>
                                </w:rPr>
                              </w:pPr>
                              <w:r>
                                <w:rPr>
                                  <w:spacing w:val="-2"/>
                                  <w:sz w:val="20"/>
                                </w:rPr>
                                <w:t>$15,000,000</w:t>
                              </w:r>
                            </w:p>
                            <w:p>
                              <w:pPr>
                                <w:spacing w:before="113"/>
                                <w:ind w:left="0" w:right="18" w:firstLine="0"/>
                                <w:jc w:val="right"/>
                                <w:rPr>
                                  <w:sz w:val="20"/>
                                </w:rPr>
                              </w:pPr>
                              <w:r>
                                <w:rPr>
                                  <w:spacing w:val="-2"/>
                                  <w:sz w:val="20"/>
                                </w:rPr>
                                <w:t>$10,000,000</w:t>
                              </w:r>
                            </w:p>
                            <w:p>
                              <w:pPr>
                                <w:spacing w:before="112"/>
                                <w:ind w:left="0" w:right="20" w:firstLine="0"/>
                                <w:jc w:val="right"/>
                                <w:rPr>
                                  <w:sz w:val="20"/>
                                </w:rPr>
                              </w:pPr>
                              <w:r>
                                <w:rPr>
                                  <w:spacing w:val="-2"/>
                                  <w:sz w:val="20"/>
                                </w:rPr>
                                <w:t>$5,000,000</w:t>
                              </w:r>
                            </w:p>
                            <w:p>
                              <w:pPr>
                                <w:spacing w:line="240" w:lineRule="exact" w:before="113"/>
                                <w:ind w:left="0" w:right="20" w:firstLine="0"/>
                                <w:jc w:val="right"/>
                                <w:rPr>
                                  <w:sz w:val="20"/>
                                </w:rPr>
                              </w:pPr>
                              <w:r>
                                <w:rPr>
                                  <w:spacing w:val="-5"/>
                                  <w:sz w:val="20"/>
                                </w:rPr>
                                <w:t>$0</w:t>
                              </w:r>
                            </w:p>
                          </w:txbxContent>
                        </wps:txbx>
                        <wps:bodyPr wrap="square" lIns="0" tIns="0" rIns="0" bIns="0" rtlCol="0">
                          <a:noAutofit/>
                        </wps:bodyPr>
                      </wps:wsp>
                      <wps:wsp>
                        <wps:cNvPr id="100" name="Textbox 100"/>
                        <wps:cNvSpPr txBox="1"/>
                        <wps:spPr>
                          <a:xfrm>
                            <a:off x="4498835" y="1090761"/>
                            <a:ext cx="900430" cy="127000"/>
                          </a:xfrm>
                          <a:prstGeom prst="rect">
                            <a:avLst/>
                          </a:prstGeom>
                        </wps:spPr>
                        <wps:txbx>
                          <w:txbxContent>
                            <w:p>
                              <w:pPr>
                                <w:spacing w:line="199" w:lineRule="exact" w:before="0"/>
                                <w:ind w:left="0" w:right="0" w:firstLine="0"/>
                                <w:jc w:val="left"/>
                                <w:rPr>
                                  <w:sz w:val="20"/>
                                </w:rPr>
                              </w:pPr>
                              <w:r>
                                <w:rPr>
                                  <w:sz w:val="20"/>
                                </w:rPr>
                                <w:t>$</w:t>
                              </w:r>
                              <w:r>
                                <w:rPr>
                                  <w:spacing w:val="-2"/>
                                  <w:sz w:val="20"/>
                                </w:rPr>
                                <w:t> FTA/MaineDOT</w:t>
                              </w:r>
                            </w:p>
                          </w:txbxContent>
                        </wps:txbx>
                        <wps:bodyPr wrap="square" lIns="0" tIns="0" rIns="0" bIns="0" rtlCol="0">
                          <a:noAutofit/>
                        </wps:bodyPr>
                      </wps:wsp>
                      <wps:wsp>
                        <wps:cNvPr id="101" name="Textbox 101"/>
                        <wps:cNvSpPr txBox="1"/>
                        <wps:spPr>
                          <a:xfrm>
                            <a:off x="4498835" y="1329338"/>
                            <a:ext cx="813435" cy="127000"/>
                          </a:xfrm>
                          <a:prstGeom prst="rect">
                            <a:avLst/>
                          </a:prstGeom>
                        </wps:spPr>
                        <wps:txbx>
                          <w:txbxContent>
                            <w:p>
                              <w:pPr>
                                <w:spacing w:line="199" w:lineRule="exact" w:before="0"/>
                                <w:ind w:left="0" w:right="0" w:firstLine="0"/>
                                <w:jc w:val="left"/>
                                <w:rPr>
                                  <w:sz w:val="20"/>
                                </w:rPr>
                              </w:pPr>
                              <w:r>
                                <w:rPr>
                                  <w:sz w:val="20"/>
                                </w:rPr>
                                <w:t>Minority</w:t>
                              </w:r>
                              <w:r>
                                <w:rPr>
                                  <w:spacing w:val="-10"/>
                                  <w:sz w:val="20"/>
                                </w:rPr>
                                <w:t> </w:t>
                              </w:r>
                              <w:r>
                                <w:rPr>
                                  <w:spacing w:val="-2"/>
                                  <w:sz w:val="20"/>
                                </w:rPr>
                                <w:t>Factor</w:t>
                              </w:r>
                            </w:p>
                          </w:txbxContent>
                        </wps:txbx>
                        <wps:bodyPr wrap="square" lIns="0" tIns="0" rIns="0" bIns="0" rtlCol="0">
                          <a:noAutofit/>
                        </wps:bodyPr>
                      </wps:wsp>
                    </wpg:wgp>
                  </a:graphicData>
                </a:graphic>
              </wp:anchor>
            </w:drawing>
          </mc:Choice>
          <mc:Fallback>
            <w:pict>
              <v:group style="position:absolute;margin-left:72pt;margin-top:14.681562pt;width:436pt;height:199pt;mso-position-horizontal-relative:page;mso-position-vertical-relative:paragraph;z-index:-15718400;mso-wrap-distance-left:0;mso-wrap-distance-right:0" id="docshapegroup70" coordorigin="1440,294" coordsize="8720,3980">
                <v:shape style="position:absolute;left:1440;top:293;width:8720;height:3980" id="docshape71" coordorigin="1440,294" coordsize="8720,3980" path="m10159,294l10150,294,10150,303,10150,4263,1450,4263,1450,303,10150,303,10150,294,1450,294,1440,294,1440,303,1440,4263,1440,4273,1450,4273,10150,4273,10159,4273,10159,4263,10159,303,10159,294xe" filled="true" fillcolor="#000000" stroked="false">
                  <v:path arrowok="t"/>
                  <v:fill type="solid"/>
                </v:shape>
                <v:shape style="position:absolute;left:2823;top:526;width:4973;height:2142" id="docshape72" coordorigin="2823,526" coordsize="4973,2142" path="m2823,2667l7796,2667m2823,2310l7796,2310m2823,1952l7796,1952m2823,1597l7796,1597m2823,1239l7796,1239m2823,882l7796,882m2823,526l7796,526e" filled="false" stroked="true" strokeweight=".75pt" strokecolor="#858585">
                  <v:path arrowok="t"/>
                  <v:stroke dashstyle="solid"/>
                </v:shape>
                <v:line style="position:absolute" from="2823,3023" to="2823,526" stroked="true" strokeweight=".75pt" strokecolor="#858585">
                  <v:stroke dashstyle="solid"/>
                </v:line>
                <v:shape style="position:absolute;left:2759;top:526;width:64;height:2498" id="docshape73" coordorigin="2760,526" coordsize="64,2498" path="m2760,3023l2823,3023m2760,2667l2823,2667m2760,2310l2823,2310m2760,1952l2823,1952m2760,1597l2823,1597m2760,1239l2823,1239m2760,882l2823,882m2760,526l2823,526e" filled="false" stroked="true" strokeweight=".75pt" strokecolor="#858585">
                  <v:path arrowok="t"/>
                  <v:stroke dashstyle="solid"/>
                </v:shape>
                <v:shape style="position:absolute;left:2823;top:3023;width:4973;height:64" id="docshape74" coordorigin="2823,3023" coordsize="4973,64" path="m2823,3023l7796,3023m2823,3023l2823,3087m3533,3023l3533,3087m4243,3023l4243,3087m4954,3023l4954,3087m5664,3023l5664,3087m6374,3023l6374,3087m7085,3023l7085,3087m7796,3023l7796,3087e" filled="false" stroked="true" strokeweight=".75pt" strokecolor="#858585">
                  <v:path arrowok="t"/>
                  <v:stroke dashstyle="solid"/>
                </v:shape>
                <v:shape style="position:absolute;left:3178;top:2909;width:4263;height:73" id="docshape75" coordorigin="3178,2910" coordsize="4263,73" path="m3178,2974l3888,2919,4598,2953,5309,2982,6019,2943,6730,2910,7441,2958e" filled="false" stroked="true" strokeweight="2.25pt" strokecolor="#497dba">
                  <v:path arrowok="t"/>
                  <v:stroke dashstyle="solid"/>
                </v:shape>
                <v:shape style="position:absolute;left:3178;top:732;width:4263;height:1972" id="docshape76" coordorigin="3178,732" coordsize="4263,1972" path="m3178,2703l3888,2540,4598,2149,5309,2266,6019,732,6730,1849,7441,1892e" filled="false" stroked="true" strokeweight="2.25pt" strokecolor="#bd4a47">
                  <v:path arrowok="t"/>
                  <v:stroke dashstyle="solid"/>
                </v:shape>
                <v:shape style="position:absolute;left:2878;top:3211;width:1050;height:856" type="#_x0000_t75" id="docshape77" stroked="false">
                  <v:imagedata r:id="rId50" o:title=""/>
                </v:shape>
                <v:shape style="position:absolute;left:4118;top:3233;width:513;height:492" type="#_x0000_t75" id="docshape78" stroked="false">
                  <v:imagedata r:id="rId51" o:title=""/>
                </v:shape>
                <v:shape style="position:absolute;left:4917;top:3216;width:390;height:394" type="#_x0000_t75" id="docshape79" stroked="false">
                  <v:imagedata r:id="rId52" o:title=""/>
                </v:shape>
                <v:shape style="position:absolute;left:5773;top:3216;width:244;height:274" type="#_x0000_t75" id="docshape80" stroked="false">
                  <v:imagedata r:id="rId53" o:title=""/>
                </v:shape>
                <v:shape style="position:absolute;left:6313;top:3207;width:1163;height:428" id="docshape81" coordorigin="6313,3208" coordsize="1163,428" path="m6493,3567l6492,3567,6491,3565,6433,3461,6433,3459,6432,3459,6431,3457,6428,3457,6426,3459,6425,3459,6422,3463,6421,3463,6420,3465,6419,3467,6419,3467,6419,3469,6420,3469,6475,3565,6474,3565,6423,3535,6379,3509,6375,3509,6375,3511,6373,3511,6372,3513,6369,3515,6368,3517,6367,3519,6366,3519,6366,3521,6366,3521,6366,3523,6366,3523,6422,3617,6422,3617,6327,3563,6327,3561,6323,3561,6323,3563,6321,3563,6320,3565,6317,3567,6316,3569,6314,3571,6314,3571,6313,3573,6314,3573,6315,3575,6316,3575,6317,3577,6423,3635,6429,3635,6432,3633,6433,3631,6436,3629,6437,3627,6439,3625,6439,3625,6440,3623,6440,3621,6440,3619,6439,3619,6438,3617,6389,3535,6390,3535,6476,3583,6481,3583,6482,3581,6484,3581,6485,3579,6488,3577,6489,3575,6491,3573,6492,3571,6492,3571,6493,3567xm6631,3431l6630,3431,6630,3429,6565,3365,6547,3347,6546,3347,6544,3345,6541,3345,6539,3347,6538,3347,6529,3357,6528,3357,6527,3361,6526,3361,6526,3363,6526,3365,6527,3369,6527,3371,6566,3463,6566,3463,6504,3437,6476,3425,6474,3423,6472,3423,6470,3421,6468,3421,6465,3423,6464,3423,6461,3425,6460,3425,6450,3435,6449,3437,6448,3441,6449,3443,6533,3527,6537,3527,6539,3525,6540,3525,6542,3521,6543,3521,6544,3519,6545,3519,6546,3517,6546,3517,6545,3515,6545,3515,6467,3437,6467,3437,6576,3485,6580,3485,6581,3483,6582,3483,6584,3481,6585,3479,6586,3479,6586,3477,6587,3477,6587,3475,6582,3463,6540,3365,6540,3365,6618,3443,6620,3443,6621,3441,6624,3441,6625,3439,6627,3437,6628,3435,6629,3435,6630,3433,6630,3433,6631,3431xm6683,3379l6682,3379,6617,3313,6605,3301,6630,3275,6630,3275,6631,3273,6630,3273,6630,3271,6629,3271,6628,3269,6627,3269,6626,3267,6626,3267,6624,3265,6620,3265,6558,3327,6557,3329,6557,3329,6558,3331,6558,3331,6559,3333,6560,3335,6562,3335,6562,3337,6564,3337,6566,3339,6567,3339,6568,3337,6593,3313,6670,3391,6672,3391,6674,3389,6674,3389,6676,3387,6677,3387,6679,3385,6680,3383,6682,3383,6682,3381,6683,3381,6683,3379xm6759,3289l6758,3283,6755,3275,6754,3273,6752,3269,6748,3265,6744,3263,6741,3259,6733,3257,6718,3257,6710,3259,6706,3259,6703,3261,6688,3267,6685,3267,6678,3269,6675,3269,6669,3267,6667,3265,6662,3261,6661,3259,6659,3255,6659,3253,6659,3249,6660,3247,6662,3241,6664,3239,6669,3233,6672,3231,6677,3229,6680,3227,6685,3225,6690,3225,6691,3223,6692,3223,6692,3221,6692,3221,6691,3219,6690,3219,6689,3217,6687,3215,6686,3213,6679,3213,6675,3215,6673,3215,6668,3217,6661,3223,6659,3223,6653,3229,6650,3233,6645,3243,6644,3247,6643,3255,6644,3259,6647,3269,6649,3273,6657,3279,6660,3283,6668,3285,6672,3285,6679,3287,6683,3285,6691,3283,6695,3283,6713,3275,6716,3275,6722,3273,6726,3273,6731,3275,6734,3277,6739,3281,6741,3285,6743,3289,6743,3293,6743,3297,6742,3301,6739,3307,6731,3315,6721,3321,6718,3323,6712,3325,6706,3325,6705,3327,6703,3327,6703,3329,6703,3329,6704,3331,6704,3331,6705,3333,6706,3333,6708,3335,6710,3337,6712,3337,6713,3339,6717,3339,6721,3337,6723,3335,6729,3333,6732,3331,6741,3325,6748,3317,6751,3313,6757,3303,6758,3299,6759,3289xm7151,3622l7151,3622,7150,3620,7117,3588,7115,3582,7092,3510,7091,3510,7090,3508,7087,3508,7085,3510,7084,3512,7081,3514,7080,3516,7079,3516,7078,3518,7078,3518,7078,3520,7078,3520,7078,3522,7078,3522,7094,3568,7097,3574,7099,3578,7100,3582,7100,3582,7096,3580,7085,3576,7081,3574,7078,3574,7039,3560,7035,3560,7033,3562,7032,3564,7029,3566,7028,3568,7026,3570,7026,3570,7025,3572,7026,3572,7027,3574,7030,3574,7105,3600,7138,3632,7142,3632,7144,3630,7145,3630,7147,3628,7148,3626,7150,3624,7150,3624,7151,3622xm7244,3518l7244,3514,7243,3514,7243,3512,7242,3512,7241,3510,7240,3508,7238,3508,7236,3506,7236,3506,7235,3504,7233,3504,7233,3506,7232,3506,7232,3508,7231,3512,7230,3514,7229,3520,7228,3524,7224,3530,7221,3534,7214,3542,7209,3544,7199,3548,7184,3548,7179,3546,7168,3540,7162,3536,7151,3524,7146,3518,7140,3506,7138,3502,7136,3490,7137,3486,7140,3476,7143,3472,7151,3464,7161,3458,7164,3456,7170,3454,7178,3454,7179,3452,7179,3452,7179,3450,7179,3450,7178,3448,7177,3448,7177,3446,7175,3444,7174,3444,7173,3442,7159,3442,7156,3444,7151,3446,7142,3452,7139,3454,7131,3462,7127,3470,7121,3482,7121,3488,7121,3492,7122,3504,7124,3512,7131,3528,7137,3536,7152,3550,7159,3556,7174,3562,7181,3566,7195,3566,7215,3560,7221,3556,7228,3548,7230,3546,7233,3542,7237,3536,7242,3526,7242,3524,7243,3518,7244,3518xm7318,3442l7318,3440,7318,3438,7317,3438,7317,3436,7315,3434,7313,3434,7313,3432,7311,3432,7310,3430,7308,3430,7307,3432,7306,3432,7306,3438,7305,3440,7303,3446,7302,3448,7299,3456,7296,3460,7288,3466,7284,3470,7274,3474,7269,3474,7259,3472,7253,3472,7237,3460,7225,3450,7221,3444,7215,3432,7213,3426,7211,3416,7212,3410,7215,3402,7218,3396,7225,3390,7229,3386,7236,3382,7239,3382,7245,3380,7251,3380,7253,3378,7254,3378,7254,3376,7253,3374,7253,3374,7252,3372,7251,3372,7250,3370,7249,3370,7247,3368,7246,3368,7245,3366,7239,3366,7234,3368,7231,3370,7226,3372,7217,3378,7214,3380,7206,3388,7201,3394,7196,3408,7195,3416,7196,3430,7198,3438,7206,3454,7212,3460,7226,3476,7248,3488,7255,3490,7269,3492,7276,3490,7289,3484,7296,3480,7302,3474,7305,3472,7307,3468,7312,3462,7316,3452,7317,3448,7318,3444,7318,3442xm7409,3364l7408,3364,7407,3362,7406,3362,7405,3360,7353,3336,7353,3354,7322,3386,7293,3326,7293,3326,7353,3354,7353,3336,7331,3326,7292,3308,7287,3308,7286,3310,7284,3310,7282,3314,7279,3316,7277,3318,7277,3318,7276,3320,7276,3322,7276,3322,7330,3438,7331,3438,7332,3440,7334,3440,7336,3438,7338,3438,7340,3434,7341,3434,7343,3432,7343,3430,7344,3430,7343,3428,7343,3428,7329,3398,7341,3386,7366,3362,7395,3376,7399,3376,7400,3374,7402,3374,7403,3372,7406,3370,7407,3368,7408,3366,7409,3366,7409,3364xm7476,3282l7476,3282,7476,3280,7475,3280,7474,3278,7472,3276,7470,3274,7469,3274,7468,3272,7466,3272,7465,3274,7464,3276,7463,3280,7463,3282,7461,3288,7460,3290,7456,3298,7454,3302,7446,3310,7442,3312,7432,3316,7417,3316,7411,3314,7400,3308,7394,3302,7383,3292,7379,3286,7372,3274,7370,3268,7369,3258,7369,3252,7373,3244,7376,3238,7383,3232,7387,3228,7394,3226,7397,3224,7403,3222,7409,3222,7411,3220,7412,3220,7412,3218,7411,3216,7411,3216,7410,3214,7409,3214,7407,3212,7407,3212,7405,3210,7403,3210,7402,3208,7399,3208,7397,3210,7392,3210,7389,3212,7383,3214,7375,3220,7372,3222,7364,3230,7359,3236,7354,3250,7353,3258,7354,3272,7356,3280,7364,3296,7370,3302,7384,3318,7406,3330,7413,3332,7427,3334,7434,3332,7447,3326,7453,3322,7460,3316,7463,3314,7465,3310,7470,3304,7474,3294,7475,3292,7476,3286,7476,3284,7476,3282xe" filled="true" fillcolor="#000000" stroked="false">
                  <v:path arrowok="t"/>
                  <v:fill type="solid"/>
                </v:shape>
                <v:line style="position:absolute" from="8100,2104" to="8484,2104" stroked="true" strokeweight="2.25pt" strokecolor="#497dba">
                  <v:stroke dashstyle="solid"/>
                </v:line>
                <v:line style="position:absolute" from="8100,2480" to="8484,2480" stroked="true" strokeweight="2.25pt" strokecolor="#bd4a47">
                  <v:stroke dashstyle="solid"/>
                </v:line>
                <v:rect style="position:absolute;left:1450;top:303;width:8685;height:3945" id="docshape82" filled="false" stroked="true" strokeweight=".75pt" strokecolor="#858585">
                  <v:stroke dashstyle="solid"/>
                </v:rect>
                <v:shape style="position:absolute;left:1580;top:432;width:1034;height:2697" type="#_x0000_t202" id="docshape83" filled="false" stroked="false">
                  <v:textbox inset="0,0,0,0">
                    <w:txbxContent>
                      <w:p>
                        <w:pPr>
                          <w:spacing w:line="203" w:lineRule="exact" w:before="0"/>
                          <w:ind w:left="0" w:right="18" w:firstLine="0"/>
                          <w:jc w:val="right"/>
                          <w:rPr>
                            <w:sz w:val="20"/>
                          </w:rPr>
                        </w:pPr>
                        <w:r>
                          <w:rPr>
                            <w:spacing w:val="-2"/>
                            <w:sz w:val="20"/>
                          </w:rPr>
                          <w:t>$35,000,000</w:t>
                        </w:r>
                      </w:p>
                      <w:p>
                        <w:pPr>
                          <w:spacing w:before="112"/>
                          <w:ind w:left="0" w:right="18" w:firstLine="0"/>
                          <w:jc w:val="right"/>
                          <w:rPr>
                            <w:sz w:val="20"/>
                          </w:rPr>
                        </w:pPr>
                        <w:r>
                          <w:rPr>
                            <w:spacing w:val="-2"/>
                            <w:sz w:val="20"/>
                          </w:rPr>
                          <w:t>$30,000,000</w:t>
                        </w:r>
                      </w:p>
                      <w:p>
                        <w:pPr>
                          <w:spacing w:before="113"/>
                          <w:ind w:left="0" w:right="18" w:firstLine="0"/>
                          <w:jc w:val="right"/>
                          <w:rPr>
                            <w:sz w:val="20"/>
                          </w:rPr>
                        </w:pPr>
                        <w:r>
                          <w:rPr>
                            <w:spacing w:val="-2"/>
                            <w:sz w:val="20"/>
                          </w:rPr>
                          <w:t>$25,000,000</w:t>
                        </w:r>
                      </w:p>
                      <w:p>
                        <w:pPr>
                          <w:spacing w:before="113"/>
                          <w:ind w:left="0" w:right="18" w:firstLine="0"/>
                          <w:jc w:val="right"/>
                          <w:rPr>
                            <w:sz w:val="20"/>
                          </w:rPr>
                        </w:pPr>
                        <w:r>
                          <w:rPr>
                            <w:spacing w:val="-2"/>
                            <w:sz w:val="20"/>
                          </w:rPr>
                          <w:t>$20,000,000</w:t>
                        </w:r>
                      </w:p>
                      <w:p>
                        <w:pPr>
                          <w:spacing w:before="112"/>
                          <w:ind w:left="0" w:right="18" w:firstLine="0"/>
                          <w:jc w:val="right"/>
                          <w:rPr>
                            <w:sz w:val="20"/>
                          </w:rPr>
                        </w:pPr>
                        <w:r>
                          <w:rPr>
                            <w:spacing w:val="-2"/>
                            <w:sz w:val="20"/>
                          </w:rPr>
                          <w:t>$15,000,000</w:t>
                        </w:r>
                      </w:p>
                      <w:p>
                        <w:pPr>
                          <w:spacing w:before="113"/>
                          <w:ind w:left="0" w:right="18" w:firstLine="0"/>
                          <w:jc w:val="right"/>
                          <w:rPr>
                            <w:sz w:val="20"/>
                          </w:rPr>
                        </w:pPr>
                        <w:r>
                          <w:rPr>
                            <w:spacing w:val="-2"/>
                            <w:sz w:val="20"/>
                          </w:rPr>
                          <w:t>$10,000,000</w:t>
                        </w:r>
                      </w:p>
                      <w:p>
                        <w:pPr>
                          <w:spacing w:before="112"/>
                          <w:ind w:left="0" w:right="20" w:firstLine="0"/>
                          <w:jc w:val="right"/>
                          <w:rPr>
                            <w:sz w:val="20"/>
                          </w:rPr>
                        </w:pPr>
                        <w:r>
                          <w:rPr>
                            <w:spacing w:val="-2"/>
                            <w:sz w:val="20"/>
                          </w:rPr>
                          <w:t>$5,000,000</w:t>
                        </w:r>
                      </w:p>
                      <w:p>
                        <w:pPr>
                          <w:spacing w:line="240" w:lineRule="exact" w:before="113"/>
                          <w:ind w:left="0" w:right="20" w:firstLine="0"/>
                          <w:jc w:val="right"/>
                          <w:rPr>
                            <w:sz w:val="20"/>
                          </w:rPr>
                        </w:pPr>
                        <w:r>
                          <w:rPr>
                            <w:spacing w:val="-5"/>
                            <w:sz w:val="20"/>
                          </w:rPr>
                          <w:t>$0</w:t>
                        </w:r>
                      </w:p>
                    </w:txbxContent>
                  </v:textbox>
                  <w10:wrap type="none"/>
                </v:shape>
                <v:shape style="position:absolute;left:8524;top:2011;width:1418;height:200" type="#_x0000_t202" id="docshape84" filled="false" stroked="false">
                  <v:textbox inset="0,0,0,0">
                    <w:txbxContent>
                      <w:p>
                        <w:pPr>
                          <w:spacing w:line="199" w:lineRule="exact" w:before="0"/>
                          <w:ind w:left="0" w:right="0" w:firstLine="0"/>
                          <w:jc w:val="left"/>
                          <w:rPr>
                            <w:sz w:val="20"/>
                          </w:rPr>
                        </w:pPr>
                        <w:r>
                          <w:rPr>
                            <w:sz w:val="20"/>
                          </w:rPr>
                          <w:t>$</w:t>
                        </w:r>
                        <w:r>
                          <w:rPr>
                            <w:spacing w:val="-2"/>
                            <w:sz w:val="20"/>
                          </w:rPr>
                          <w:t> FTA/MaineDOT</w:t>
                        </w:r>
                      </w:p>
                    </w:txbxContent>
                  </v:textbox>
                  <w10:wrap type="none"/>
                </v:shape>
                <v:shape style="position:absolute;left:8524;top:2387;width:1281;height:200" type="#_x0000_t202" id="docshape85" filled="false" stroked="false">
                  <v:textbox inset="0,0,0,0">
                    <w:txbxContent>
                      <w:p>
                        <w:pPr>
                          <w:spacing w:line="199" w:lineRule="exact" w:before="0"/>
                          <w:ind w:left="0" w:right="0" w:firstLine="0"/>
                          <w:jc w:val="left"/>
                          <w:rPr>
                            <w:sz w:val="20"/>
                          </w:rPr>
                        </w:pPr>
                        <w:r>
                          <w:rPr>
                            <w:sz w:val="20"/>
                          </w:rPr>
                          <w:t>Minority</w:t>
                        </w:r>
                        <w:r>
                          <w:rPr>
                            <w:spacing w:val="-10"/>
                            <w:sz w:val="20"/>
                          </w:rPr>
                          <w:t> </w:t>
                        </w:r>
                        <w:r>
                          <w:rPr>
                            <w:spacing w:val="-2"/>
                            <w:sz w:val="20"/>
                          </w:rPr>
                          <w:t>Factor</w:t>
                        </w:r>
                      </w:p>
                    </w:txbxContent>
                  </v:textbox>
                  <w10:wrap type="none"/>
                </v:shape>
                <w10:wrap type="topAndBottom"/>
              </v:group>
            </w:pict>
          </mc:Fallback>
        </mc:AlternateContent>
      </w:r>
    </w:p>
    <w:p>
      <w:pPr>
        <w:spacing w:after="0"/>
        <w:rPr>
          <w:sz w:val="22"/>
        </w:rPr>
        <w:sectPr>
          <w:pgSz w:w="12240" w:h="15840"/>
          <w:pgMar w:header="0" w:footer="997" w:top="960" w:bottom="1260" w:left="600" w:right="500"/>
        </w:sectPr>
      </w:pPr>
    </w:p>
    <w:p>
      <w:pPr>
        <w:pStyle w:val="Heading9"/>
        <w:numPr>
          <w:ilvl w:val="0"/>
          <w:numId w:val="25"/>
        </w:numPr>
        <w:tabs>
          <w:tab w:pos="1615" w:val="left" w:leader="none"/>
        </w:tabs>
        <w:spacing w:line="240" w:lineRule="auto" w:before="35" w:after="0"/>
        <w:ind w:left="1615" w:right="0" w:hanging="415"/>
        <w:jc w:val="left"/>
      </w:pPr>
      <w:bookmarkStart w:name="E.  Disparate Impacts Analysis" w:id="40"/>
      <w:bookmarkEnd w:id="40"/>
      <w:r>
        <w:rPr>
          <w:b w:val="0"/>
        </w:rPr>
      </w:r>
      <w:bookmarkStart w:name="_bookmark18" w:id="41"/>
      <w:bookmarkEnd w:id="41"/>
      <w:r>
        <w:rPr/>
      </w:r>
      <w:r>
        <w:rPr>
          <w:u w:val="single"/>
        </w:rPr>
        <w:t>Disparate</w:t>
      </w:r>
      <w:r>
        <w:rPr>
          <w:spacing w:val="-5"/>
          <w:u w:val="single"/>
        </w:rPr>
        <w:t> </w:t>
      </w:r>
      <w:r>
        <w:rPr>
          <w:u w:val="single"/>
        </w:rPr>
        <w:t>Impacts</w:t>
      </w:r>
      <w:r>
        <w:rPr>
          <w:spacing w:val="-3"/>
          <w:u w:val="single"/>
        </w:rPr>
        <w:t> </w:t>
      </w:r>
      <w:r>
        <w:rPr>
          <w:spacing w:val="-2"/>
          <w:u w:val="single"/>
        </w:rPr>
        <w:t>Analysis</w:t>
      </w:r>
    </w:p>
    <w:p>
      <w:pPr>
        <w:pStyle w:val="BodyText"/>
        <w:spacing w:before="8"/>
        <w:rPr>
          <w:b/>
        </w:rPr>
      </w:pPr>
    </w:p>
    <w:p>
      <w:pPr>
        <w:pStyle w:val="BodyText"/>
        <w:spacing w:before="52"/>
        <w:ind w:left="840" w:right="932"/>
        <w:jc w:val="both"/>
      </w:pPr>
      <w:r>
        <w:rPr>
          <w:color w:val="212121"/>
        </w:rPr>
        <w:t>Disparate</w:t>
      </w:r>
      <w:r>
        <w:rPr>
          <w:color w:val="212121"/>
          <w:spacing w:val="-14"/>
        </w:rPr>
        <w:t> </w:t>
      </w:r>
      <w:r>
        <w:rPr>
          <w:color w:val="212121"/>
        </w:rPr>
        <w:t>impact</w:t>
      </w:r>
      <w:r>
        <w:rPr>
          <w:color w:val="212121"/>
          <w:spacing w:val="-14"/>
        </w:rPr>
        <w:t> </w:t>
      </w:r>
      <w:r>
        <w:rPr>
          <w:color w:val="212121"/>
        </w:rPr>
        <w:t>is</w:t>
      </w:r>
      <w:r>
        <w:rPr>
          <w:color w:val="212121"/>
          <w:spacing w:val="-13"/>
        </w:rPr>
        <w:t> </w:t>
      </w:r>
      <w:r>
        <w:rPr>
          <w:color w:val="212121"/>
        </w:rPr>
        <w:t>a</w:t>
      </w:r>
      <w:r>
        <w:rPr>
          <w:color w:val="212121"/>
          <w:spacing w:val="-14"/>
        </w:rPr>
        <w:t> </w:t>
      </w:r>
      <w:r>
        <w:rPr>
          <w:color w:val="212121"/>
        </w:rPr>
        <w:t>way</w:t>
      </w:r>
      <w:r>
        <w:rPr>
          <w:color w:val="212121"/>
          <w:spacing w:val="-13"/>
        </w:rPr>
        <w:t> </w:t>
      </w:r>
      <w:r>
        <w:rPr>
          <w:color w:val="212121"/>
        </w:rPr>
        <w:t>to</w:t>
      </w:r>
      <w:r>
        <w:rPr>
          <w:color w:val="212121"/>
          <w:spacing w:val="-14"/>
        </w:rPr>
        <w:t> </w:t>
      </w:r>
      <w:r>
        <w:rPr>
          <w:color w:val="212121"/>
        </w:rPr>
        <w:t>prove</w:t>
      </w:r>
      <w:r>
        <w:rPr>
          <w:color w:val="212121"/>
          <w:spacing w:val="-13"/>
        </w:rPr>
        <w:t> </w:t>
      </w:r>
      <w:r>
        <w:rPr>
          <w:color w:val="212121"/>
        </w:rPr>
        <w:t>discrimination</w:t>
      </w:r>
      <w:r>
        <w:rPr>
          <w:color w:val="212121"/>
          <w:spacing w:val="-14"/>
        </w:rPr>
        <w:t> </w:t>
      </w:r>
      <w:r>
        <w:rPr>
          <w:color w:val="212121"/>
        </w:rPr>
        <w:t>based</w:t>
      </w:r>
      <w:r>
        <w:rPr>
          <w:color w:val="212121"/>
          <w:spacing w:val="-14"/>
        </w:rPr>
        <w:t> </w:t>
      </w:r>
      <w:r>
        <w:rPr>
          <w:color w:val="212121"/>
        </w:rPr>
        <w:t>on</w:t>
      </w:r>
      <w:r>
        <w:rPr>
          <w:color w:val="212121"/>
          <w:spacing w:val="-13"/>
        </w:rPr>
        <w:t> </w:t>
      </w:r>
      <w:r>
        <w:rPr>
          <w:color w:val="212121"/>
        </w:rPr>
        <w:t>the</w:t>
      </w:r>
      <w:r>
        <w:rPr>
          <w:color w:val="212121"/>
          <w:spacing w:val="-14"/>
        </w:rPr>
        <w:t> </w:t>
      </w:r>
      <w:r>
        <w:rPr>
          <w:color w:val="212121"/>
        </w:rPr>
        <w:t>effect</w:t>
      </w:r>
      <w:r>
        <w:rPr>
          <w:color w:val="212121"/>
          <w:spacing w:val="-13"/>
        </w:rPr>
        <w:t> </w:t>
      </w:r>
      <w:r>
        <w:rPr>
          <w:color w:val="212121"/>
        </w:rPr>
        <w:t>of</w:t>
      </w:r>
      <w:r>
        <w:rPr>
          <w:color w:val="212121"/>
          <w:spacing w:val="-14"/>
        </w:rPr>
        <w:t> </w:t>
      </w:r>
      <w:r>
        <w:rPr>
          <w:color w:val="212121"/>
        </w:rPr>
        <w:t>a</w:t>
      </w:r>
      <w:r>
        <w:rPr>
          <w:color w:val="212121"/>
          <w:spacing w:val="-13"/>
        </w:rPr>
        <w:t> </w:t>
      </w:r>
      <w:r>
        <w:rPr>
          <w:color w:val="212121"/>
        </w:rPr>
        <w:t>policy</w:t>
      </w:r>
      <w:r>
        <w:rPr>
          <w:color w:val="212121"/>
          <w:spacing w:val="-14"/>
        </w:rPr>
        <w:t> </w:t>
      </w:r>
      <w:r>
        <w:rPr>
          <w:color w:val="212121"/>
        </w:rPr>
        <w:t>or</w:t>
      </w:r>
      <w:r>
        <w:rPr>
          <w:color w:val="212121"/>
          <w:spacing w:val="-14"/>
        </w:rPr>
        <w:t> </w:t>
      </w:r>
      <w:r>
        <w:rPr>
          <w:color w:val="212121"/>
        </w:rPr>
        <w:t>practice</w:t>
      </w:r>
      <w:r>
        <w:rPr>
          <w:color w:val="212121"/>
          <w:spacing w:val="-13"/>
        </w:rPr>
        <w:t> </w:t>
      </w:r>
      <w:r>
        <w:rPr>
          <w:color w:val="212121"/>
        </w:rPr>
        <w:t>rather than the intent behind it. Laws that prohibit discrimination apply not only to intentional discrimination,</w:t>
      </w:r>
      <w:r>
        <w:rPr>
          <w:color w:val="212121"/>
          <w:spacing w:val="-9"/>
        </w:rPr>
        <w:t> </w:t>
      </w:r>
      <w:r>
        <w:rPr>
          <w:color w:val="212121"/>
        </w:rPr>
        <w:t>but</w:t>
      </w:r>
      <w:r>
        <w:rPr>
          <w:color w:val="212121"/>
          <w:spacing w:val="-5"/>
        </w:rPr>
        <w:t> </w:t>
      </w:r>
      <w:r>
        <w:rPr>
          <w:color w:val="212121"/>
        </w:rPr>
        <w:t>also</w:t>
      </w:r>
      <w:r>
        <w:rPr>
          <w:color w:val="212121"/>
          <w:spacing w:val="-6"/>
        </w:rPr>
        <w:t> </w:t>
      </w:r>
      <w:r>
        <w:rPr>
          <w:color w:val="212121"/>
        </w:rPr>
        <w:t>to</w:t>
      </w:r>
      <w:r>
        <w:rPr>
          <w:color w:val="212121"/>
          <w:spacing w:val="-6"/>
        </w:rPr>
        <w:t> </w:t>
      </w:r>
      <w:r>
        <w:rPr>
          <w:color w:val="212121"/>
        </w:rPr>
        <w:t>apparently</w:t>
      </w:r>
      <w:r>
        <w:rPr>
          <w:color w:val="212121"/>
          <w:spacing w:val="-7"/>
        </w:rPr>
        <w:t> </w:t>
      </w:r>
      <w:r>
        <w:rPr>
          <w:color w:val="212121"/>
        </w:rPr>
        <w:t>neutral</w:t>
      </w:r>
      <w:r>
        <w:rPr>
          <w:color w:val="212121"/>
          <w:spacing w:val="-9"/>
        </w:rPr>
        <w:t> </w:t>
      </w:r>
      <w:r>
        <w:rPr>
          <w:color w:val="212121"/>
        </w:rPr>
        <w:t>policies</w:t>
      </w:r>
      <w:r>
        <w:rPr>
          <w:color w:val="212121"/>
          <w:spacing w:val="-7"/>
        </w:rPr>
        <w:t> </w:t>
      </w:r>
      <w:r>
        <w:rPr>
          <w:color w:val="212121"/>
        </w:rPr>
        <w:t>and</w:t>
      </w:r>
      <w:r>
        <w:rPr>
          <w:color w:val="212121"/>
          <w:spacing w:val="-5"/>
        </w:rPr>
        <w:t> </w:t>
      </w:r>
      <w:r>
        <w:rPr>
          <w:color w:val="212121"/>
        </w:rPr>
        <w:t>practices</w:t>
      </w:r>
      <w:r>
        <w:rPr>
          <w:color w:val="212121"/>
          <w:spacing w:val="-7"/>
        </w:rPr>
        <w:t> </w:t>
      </w:r>
      <w:r>
        <w:rPr>
          <w:color w:val="212121"/>
        </w:rPr>
        <w:t>that</w:t>
      </w:r>
      <w:r>
        <w:rPr>
          <w:color w:val="212121"/>
          <w:spacing w:val="-8"/>
        </w:rPr>
        <w:t> </w:t>
      </w:r>
      <w:r>
        <w:rPr>
          <w:color w:val="212121"/>
        </w:rPr>
        <w:t>have</w:t>
      </w:r>
      <w:r>
        <w:rPr>
          <w:color w:val="212121"/>
          <w:spacing w:val="-6"/>
        </w:rPr>
        <w:t> </w:t>
      </w:r>
      <w:r>
        <w:rPr>
          <w:color w:val="212121"/>
        </w:rPr>
        <w:t>a</w:t>
      </w:r>
      <w:r>
        <w:rPr>
          <w:color w:val="212121"/>
          <w:spacing w:val="-6"/>
        </w:rPr>
        <w:t> </w:t>
      </w:r>
      <w:r>
        <w:rPr>
          <w:color w:val="212121"/>
        </w:rPr>
        <w:t>disproportionate adverse effect on members of a protected class. An example may be providing and planning for transit</w:t>
      </w:r>
      <w:r>
        <w:rPr>
          <w:color w:val="212121"/>
          <w:spacing w:val="-4"/>
        </w:rPr>
        <w:t> </w:t>
      </w:r>
      <w:r>
        <w:rPr>
          <w:color w:val="212121"/>
        </w:rPr>
        <w:t>services</w:t>
      </w:r>
      <w:r>
        <w:rPr>
          <w:color w:val="212121"/>
          <w:spacing w:val="-8"/>
        </w:rPr>
        <w:t> </w:t>
      </w:r>
      <w:r>
        <w:rPr>
          <w:color w:val="212121"/>
        </w:rPr>
        <w:t>that</w:t>
      </w:r>
      <w:r>
        <w:rPr>
          <w:color w:val="212121"/>
          <w:spacing w:val="-4"/>
        </w:rPr>
        <w:t> </w:t>
      </w:r>
      <w:r>
        <w:rPr>
          <w:color w:val="212121"/>
        </w:rPr>
        <w:t>serve</w:t>
      </w:r>
      <w:r>
        <w:rPr>
          <w:color w:val="212121"/>
          <w:spacing w:val="-4"/>
        </w:rPr>
        <w:t> </w:t>
      </w:r>
      <w:r>
        <w:rPr>
          <w:color w:val="212121"/>
        </w:rPr>
        <w:t>a</w:t>
      </w:r>
      <w:r>
        <w:rPr>
          <w:color w:val="212121"/>
          <w:spacing w:val="-7"/>
        </w:rPr>
        <w:t> </w:t>
      </w:r>
      <w:r>
        <w:rPr>
          <w:color w:val="212121"/>
        </w:rPr>
        <w:t>heavily</w:t>
      </w:r>
      <w:r>
        <w:rPr>
          <w:color w:val="212121"/>
          <w:spacing w:val="-6"/>
        </w:rPr>
        <w:t> </w:t>
      </w:r>
      <w:r>
        <w:rPr>
          <w:color w:val="212121"/>
        </w:rPr>
        <w:t>populated</w:t>
      </w:r>
      <w:r>
        <w:rPr>
          <w:color w:val="212121"/>
          <w:spacing w:val="-4"/>
        </w:rPr>
        <w:t> </w:t>
      </w:r>
      <w:r>
        <w:rPr>
          <w:color w:val="212121"/>
        </w:rPr>
        <w:t>area</w:t>
      </w:r>
      <w:r>
        <w:rPr>
          <w:color w:val="212121"/>
          <w:spacing w:val="-5"/>
        </w:rPr>
        <w:t> </w:t>
      </w:r>
      <w:r>
        <w:rPr>
          <w:color w:val="212121"/>
        </w:rPr>
        <w:t>but</w:t>
      </w:r>
      <w:r>
        <w:rPr>
          <w:color w:val="212121"/>
          <w:spacing w:val="-6"/>
        </w:rPr>
        <w:t> </w:t>
      </w:r>
      <w:r>
        <w:rPr>
          <w:color w:val="212121"/>
        </w:rPr>
        <w:t>do</w:t>
      </w:r>
      <w:r>
        <w:rPr>
          <w:color w:val="212121"/>
          <w:spacing w:val="-7"/>
        </w:rPr>
        <w:t> </w:t>
      </w:r>
      <w:r>
        <w:rPr>
          <w:color w:val="212121"/>
        </w:rPr>
        <w:t>not</w:t>
      </w:r>
      <w:r>
        <w:rPr>
          <w:color w:val="212121"/>
          <w:spacing w:val="-4"/>
        </w:rPr>
        <w:t> </w:t>
      </w:r>
      <w:r>
        <w:rPr>
          <w:color w:val="212121"/>
        </w:rPr>
        <w:t>take</w:t>
      </w:r>
      <w:r>
        <w:rPr>
          <w:color w:val="212121"/>
          <w:spacing w:val="-7"/>
        </w:rPr>
        <w:t> </w:t>
      </w:r>
      <w:r>
        <w:rPr>
          <w:color w:val="212121"/>
        </w:rPr>
        <w:t>into</w:t>
      </w:r>
      <w:r>
        <w:rPr>
          <w:color w:val="212121"/>
          <w:spacing w:val="-4"/>
        </w:rPr>
        <w:t> </w:t>
      </w:r>
      <w:r>
        <w:rPr>
          <w:color w:val="212121"/>
        </w:rPr>
        <w:t>consideration</w:t>
      </w:r>
      <w:r>
        <w:rPr>
          <w:color w:val="212121"/>
          <w:spacing w:val="-4"/>
        </w:rPr>
        <w:t> </w:t>
      </w:r>
      <w:r>
        <w:rPr>
          <w:color w:val="212121"/>
        </w:rPr>
        <w:t>of</w:t>
      </w:r>
      <w:r>
        <w:rPr>
          <w:color w:val="212121"/>
          <w:spacing w:val="-4"/>
        </w:rPr>
        <w:t> </w:t>
      </w:r>
      <w:r>
        <w:rPr>
          <w:color w:val="212121"/>
        </w:rPr>
        <w:t>cultural or minority populations that need the service in other areas.</w:t>
      </w:r>
    </w:p>
    <w:p>
      <w:pPr>
        <w:pStyle w:val="BodyText"/>
        <w:spacing w:before="1"/>
      </w:pPr>
    </w:p>
    <w:p>
      <w:pPr>
        <w:pStyle w:val="BodyText"/>
        <w:ind w:left="839" w:right="930"/>
        <w:jc w:val="both"/>
      </w:pPr>
      <w:r>
        <w:rPr/>
        <w:t>Based on data contained in the preceding tables, the percentage of minority populations is highest in the service areas of the following fixed route providers.</w:t>
      </w:r>
      <w:r>
        <w:rPr>
          <w:spacing w:val="40"/>
        </w:rPr>
        <w:t> </w:t>
      </w:r>
      <w:r>
        <w:rPr/>
        <w:t>As might be expected, the highest percentage is in Metro’s service area (15.39%) which includes the City of Portland and vicinity.</w:t>
      </w:r>
      <w:r>
        <w:rPr>
          <w:spacing w:val="40"/>
        </w:rPr>
        <w:t> </w:t>
      </w:r>
      <w:r>
        <w:rPr/>
        <w:t>The second-highest percentage is South Portland Bus (13%) which serves the City of South</w:t>
      </w:r>
      <w:r>
        <w:rPr>
          <w:spacing w:val="-14"/>
        </w:rPr>
        <w:t> </w:t>
      </w:r>
      <w:r>
        <w:rPr/>
        <w:t>Portland.</w:t>
      </w:r>
      <w:r>
        <w:rPr>
          <w:spacing w:val="17"/>
        </w:rPr>
        <w:t> </w:t>
      </w:r>
      <w:r>
        <w:rPr/>
        <w:t>The</w:t>
      </w:r>
      <w:r>
        <w:rPr>
          <w:spacing w:val="-14"/>
        </w:rPr>
        <w:t> </w:t>
      </w:r>
      <w:r>
        <w:rPr/>
        <w:t>third</w:t>
      </w:r>
      <w:r>
        <w:rPr>
          <w:spacing w:val="-12"/>
        </w:rPr>
        <w:t> </w:t>
      </w:r>
      <w:r>
        <w:rPr/>
        <w:t>highest</w:t>
      </w:r>
      <w:r>
        <w:rPr>
          <w:spacing w:val="-14"/>
        </w:rPr>
        <w:t> </w:t>
      </w:r>
      <w:r>
        <w:rPr/>
        <w:t>percentage</w:t>
      </w:r>
      <w:r>
        <w:rPr>
          <w:spacing w:val="-13"/>
        </w:rPr>
        <w:t> </w:t>
      </w:r>
      <w:r>
        <w:rPr/>
        <w:t>is</w:t>
      </w:r>
      <w:r>
        <w:rPr>
          <w:spacing w:val="-14"/>
        </w:rPr>
        <w:t> </w:t>
      </w:r>
      <w:r>
        <w:rPr/>
        <w:t>the</w:t>
      </w:r>
      <w:r>
        <w:rPr>
          <w:spacing w:val="-13"/>
        </w:rPr>
        <w:t> </w:t>
      </w:r>
      <w:r>
        <w:rPr/>
        <w:t>Community</w:t>
      </w:r>
      <w:r>
        <w:rPr>
          <w:spacing w:val="-14"/>
        </w:rPr>
        <w:t> </w:t>
      </w:r>
      <w:r>
        <w:rPr/>
        <w:t>Connector</w:t>
      </w:r>
      <w:r>
        <w:rPr>
          <w:spacing w:val="-13"/>
        </w:rPr>
        <w:t> </w:t>
      </w:r>
      <w:r>
        <w:rPr/>
        <w:t>(10.18%)</w:t>
      </w:r>
      <w:r>
        <w:rPr>
          <w:spacing w:val="-14"/>
        </w:rPr>
        <w:t> </w:t>
      </w:r>
      <w:r>
        <w:rPr/>
        <w:t>which</w:t>
      </w:r>
      <w:r>
        <w:rPr>
          <w:spacing w:val="-12"/>
        </w:rPr>
        <w:t> </w:t>
      </w:r>
      <w:r>
        <w:rPr/>
        <w:t>serves the</w:t>
      </w:r>
      <w:r>
        <w:rPr>
          <w:spacing w:val="-13"/>
        </w:rPr>
        <w:t> </w:t>
      </w:r>
      <w:r>
        <w:rPr/>
        <w:t>greater</w:t>
      </w:r>
      <w:r>
        <w:rPr>
          <w:spacing w:val="-11"/>
        </w:rPr>
        <w:t> </w:t>
      </w:r>
      <w:r>
        <w:rPr/>
        <w:t>Bangor/Brewer</w:t>
      </w:r>
      <w:r>
        <w:rPr>
          <w:spacing w:val="-11"/>
        </w:rPr>
        <w:t> </w:t>
      </w:r>
      <w:r>
        <w:rPr/>
        <w:t>area.</w:t>
      </w:r>
      <w:r>
        <w:rPr>
          <w:spacing w:val="29"/>
        </w:rPr>
        <w:t> </w:t>
      </w:r>
      <w:r>
        <w:rPr/>
        <w:t>The</w:t>
      </w:r>
      <w:r>
        <w:rPr>
          <w:spacing w:val="-13"/>
        </w:rPr>
        <w:t> </w:t>
      </w:r>
      <w:r>
        <w:rPr/>
        <w:t>area</w:t>
      </w:r>
      <w:r>
        <w:rPr>
          <w:spacing w:val="-13"/>
        </w:rPr>
        <w:t> </w:t>
      </w:r>
      <w:r>
        <w:rPr/>
        <w:t>with</w:t>
      </w:r>
      <w:r>
        <w:rPr>
          <w:spacing w:val="-12"/>
        </w:rPr>
        <w:t> </w:t>
      </w:r>
      <w:r>
        <w:rPr/>
        <w:t>the</w:t>
      </w:r>
      <w:r>
        <w:rPr>
          <w:spacing w:val="-11"/>
        </w:rPr>
        <w:t> </w:t>
      </w:r>
      <w:r>
        <w:rPr/>
        <w:t>fourth</w:t>
      </w:r>
      <w:r>
        <w:rPr>
          <w:spacing w:val="-12"/>
        </w:rPr>
        <w:t> </w:t>
      </w:r>
      <w:r>
        <w:rPr/>
        <w:t>highest</w:t>
      </w:r>
      <w:r>
        <w:rPr>
          <w:spacing w:val="-12"/>
        </w:rPr>
        <w:t> </w:t>
      </w:r>
      <w:r>
        <w:rPr/>
        <w:t>minority</w:t>
      </w:r>
      <w:r>
        <w:rPr>
          <w:spacing w:val="-14"/>
        </w:rPr>
        <w:t> </w:t>
      </w:r>
      <w:r>
        <w:rPr/>
        <w:t>percentage</w:t>
      </w:r>
      <w:r>
        <w:rPr>
          <w:spacing w:val="-13"/>
        </w:rPr>
        <w:t> </w:t>
      </w:r>
      <w:r>
        <w:rPr/>
        <w:t>is</w:t>
      </w:r>
      <w:r>
        <w:rPr>
          <w:spacing w:val="-11"/>
        </w:rPr>
        <w:t> </w:t>
      </w:r>
      <w:r>
        <w:rPr/>
        <w:t>the</w:t>
      </w:r>
      <w:r>
        <w:rPr>
          <w:spacing w:val="-11"/>
        </w:rPr>
        <w:t> </w:t>
      </w:r>
      <w:r>
        <w:rPr/>
        <w:t>City Link</w:t>
      </w:r>
      <w:r>
        <w:rPr>
          <w:spacing w:val="-7"/>
        </w:rPr>
        <w:t> </w:t>
      </w:r>
      <w:r>
        <w:rPr/>
        <w:t>(10.17%)</w:t>
      </w:r>
      <w:r>
        <w:rPr>
          <w:spacing w:val="-7"/>
        </w:rPr>
        <w:t> </w:t>
      </w:r>
      <w:r>
        <w:rPr/>
        <w:t>which</w:t>
      </w:r>
      <w:r>
        <w:rPr>
          <w:spacing w:val="-5"/>
        </w:rPr>
        <w:t> </w:t>
      </w:r>
      <w:r>
        <w:rPr/>
        <w:t>serves</w:t>
      </w:r>
      <w:r>
        <w:rPr>
          <w:spacing w:val="-7"/>
        </w:rPr>
        <w:t> </w:t>
      </w:r>
      <w:r>
        <w:rPr/>
        <w:t>the</w:t>
      </w:r>
      <w:r>
        <w:rPr>
          <w:spacing w:val="-6"/>
        </w:rPr>
        <w:t> </w:t>
      </w:r>
      <w:r>
        <w:rPr/>
        <w:t>Cities</w:t>
      </w:r>
      <w:r>
        <w:rPr>
          <w:spacing w:val="-7"/>
        </w:rPr>
        <w:t> </w:t>
      </w:r>
      <w:r>
        <w:rPr/>
        <w:t>of</w:t>
      </w:r>
      <w:r>
        <w:rPr>
          <w:spacing w:val="-5"/>
        </w:rPr>
        <w:t> </w:t>
      </w:r>
      <w:r>
        <w:rPr/>
        <w:t>Lewiston</w:t>
      </w:r>
      <w:r>
        <w:rPr>
          <w:spacing w:val="-8"/>
        </w:rPr>
        <w:t> </w:t>
      </w:r>
      <w:r>
        <w:rPr/>
        <w:t>and</w:t>
      </w:r>
      <w:r>
        <w:rPr>
          <w:spacing w:val="-8"/>
        </w:rPr>
        <w:t> </w:t>
      </w:r>
      <w:r>
        <w:rPr/>
        <w:t>Auburn.</w:t>
      </w:r>
      <w:r>
        <w:rPr>
          <w:spacing w:val="40"/>
        </w:rPr>
        <w:t> </w:t>
      </w:r>
      <w:r>
        <w:rPr/>
        <w:t>Compared</w:t>
      </w:r>
      <w:r>
        <w:rPr>
          <w:spacing w:val="-10"/>
        </w:rPr>
        <w:t> </w:t>
      </w:r>
      <w:r>
        <w:rPr/>
        <w:t>with</w:t>
      </w:r>
      <w:r>
        <w:rPr>
          <w:spacing w:val="-5"/>
        </w:rPr>
        <w:t> </w:t>
      </w:r>
      <w:r>
        <w:rPr/>
        <w:t>the</w:t>
      </w:r>
      <w:r>
        <w:rPr>
          <w:spacing w:val="-8"/>
        </w:rPr>
        <w:t> </w:t>
      </w:r>
      <w:r>
        <w:rPr/>
        <w:t>past,</w:t>
      </w:r>
      <w:r>
        <w:rPr>
          <w:spacing w:val="-9"/>
        </w:rPr>
        <w:t> </w:t>
      </w:r>
      <w:r>
        <w:rPr/>
        <w:t>minority populations have increased statewide, ranging from 15.39% for the urbanized greater Portland area served by Metro to a low of 4.89% for the Bath City Bus.</w:t>
      </w:r>
      <w:r>
        <w:rPr>
          <w:spacing w:val="40"/>
        </w:rPr>
        <w:t> </w:t>
      </w:r>
      <w:r>
        <w:rPr/>
        <w:t>Given that funding is higher in areas</w:t>
      </w:r>
      <w:r>
        <w:rPr>
          <w:spacing w:val="-9"/>
        </w:rPr>
        <w:t> </w:t>
      </w:r>
      <w:r>
        <w:rPr/>
        <w:t>with</w:t>
      </w:r>
      <w:r>
        <w:rPr>
          <w:spacing w:val="-10"/>
        </w:rPr>
        <w:t> </w:t>
      </w:r>
      <w:r>
        <w:rPr/>
        <w:t>higher</w:t>
      </w:r>
      <w:r>
        <w:rPr>
          <w:spacing w:val="-11"/>
        </w:rPr>
        <w:t> </w:t>
      </w:r>
      <w:r>
        <w:rPr/>
        <w:t>minority</w:t>
      </w:r>
      <w:r>
        <w:rPr>
          <w:spacing w:val="-9"/>
        </w:rPr>
        <w:t> </w:t>
      </w:r>
      <w:r>
        <w:rPr/>
        <w:t>population</w:t>
      </w:r>
      <w:r>
        <w:rPr>
          <w:spacing w:val="-10"/>
        </w:rPr>
        <w:t> </w:t>
      </w:r>
      <w:r>
        <w:rPr/>
        <w:t>percentages,</w:t>
      </w:r>
      <w:r>
        <w:rPr>
          <w:spacing w:val="-9"/>
        </w:rPr>
        <w:t> </w:t>
      </w:r>
      <w:r>
        <w:rPr/>
        <w:t>it</w:t>
      </w:r>
      <w:r>
        <w:rPr>
          <w:spacing w:val="-8"/>
        </w:rPr>
        <w:t> </w:t>
      </w:r>
      <w:r>
        <w:rPr/>
        <w:t>is</w:t>
      </w:r>
      <w:r>
        <w:rPr>
          <w:spacing w:val="-9"/>
        </w:rPr>
        <w:t> </w:t>
      </w:r>
      <w:r>
        <w:rPr/>
        <w:t>difficult</w:t>
      </w:r>
      <w:r>
        <w:rPr>
          <w:spacing w:val="-10"/>
        </w:rPr>
        <w:t> </w:t>
      </w:r>
      <w:r>
        <w:rPr/>
        <w:t>to</w:t>
      </w:r>
      <w:r>
        <w:rPr>
          <w:spacing w:val="-8"/>
        </w:rPr>
        <w:t> </w:t>
      </w:r>
      <w:r>
        <w:rPr/>
        <w:t>identify</w:t>
      </w:r>
      <w:r>
        <w:rPr>
          <w:spacing w:val="-12"/>
        </w:rPr>
        <w:t> </w:t>
      </w:r>
      <w:r>
        <w:rPr/>
        <w:t>any</w:t>
      </w:r>
      <w:r>
        <w:rPr>
          <w:spacing w:val="-9"/>
        </w:rPr>
        <w:t> </w:t>
      </w:r>
      <w:r>
        <w:rPr/>
        <w:t>disparate</w:t>
      </w:r>
      <w:r>
        <w:rPr>
          <w:spacing w:val="-11"/>
        </w:rPr>
        <w:t> </w:t>
      </w:r>
      <w:r>
        <w:rPr/>
        <w:t>impacts of funding decisions based on race, color, or national origin.</w:t>
      </w:r>
    </w:p>
    <w:p>
      <w:pPr>
        <w:pStyle w:val="BodyText"/>
        <w:spacing w:before="10"/>
        <w:rPr>
          <w:sz w:val="23"/>
        </w:rPr>
      </w:pPr>
    </w:p>
    <w:p>
      <w:pPr>
        <w:pStyle w:val="BodyText"/>
        <w:spacing w:line="242" w:lineRule="auto"/>
        <w:ind w:left="839" w:right="932"/>
        <w:jc w:val="both"/>
      </w:pPr>
      <w:r>
        <w:rPr/>
        <w:t>Based on a review of the charts on the preceding pages, the funding distribution by providers corresponds relatively well with the distribution of minority populations across the state.</w:t>
      </w:r>
    </w:p>
    <w:p>
      <w:pPr>
        <w:pStyle w:val="BodyText"/>
        <w:spacing w:before="8"/>
        <w:rPr>
          <w:sz w:val="23"/>
        </w:rPr>
      </w:pPr>
    </w:p>
    <w:p>
      <w:pPr>
        <w:pStyle w:val="ListParagraph"/>
        <w:numPr>
          <w:ilvl w:val="0"/>
          <w:numId w:val="27"/>
        </w:numPr>
        <w:tabs>
          <w:tab w:pos="1619" w:val="left" w:leader="none"/>
        </w:tabs>
        <w:spacing w:line="240" w:lineRule="auto" w:before="0" w:after="0"/>
        <w:ind w:left="1619" w:right="932" w:hanging="360"/>
        <w:jc w:val="both"/>
        <w:rPr>
          <w:rFonts w:ascii="Symbol" w:hAnsi="Symbol"/>
          <w:sz w:val="24"/>
        </w:rPr>
      </w:pPr>
      <w:r>
        <w:rPr>
          <w:sz w:val="24"/>
        </w:rPr>
        <w:t>For fixed route services, federal and state transit dollars are higher for those providers with</w:t>
      </w:r>
      <w:r>
        <w:rPr>
          <w:spacing w:val="-6"/>
          <w:sz w:val="24"/>
        </w:rPr>
        <w:t> </w:t>
      </w:r>
      <w:r>
        <w:rPr>
          <w:sz w:val="24"/>
        </w:rPr>
        <w:t>higher</w:t>
      </w:r>
      <w:r>
        <w:rPr>
          <w:spacing w:val="-7"/>
          <w:sz w:val="24"/>
        </w:rPr>
        <w:t> </w:t>
      </w:r>
      <w:r>
        <w:rPr>
          <w:sz w:val="24"/>
        </w:rPr>
        <w:t>numbers</w:t>
      </w:r>
      <w:r>
        <w:rPr>
          <w:spacing w:val="-8"/>
          <w:sz w:val="24"/>
        </w:rPr>
        <w:t> </w:t>
      </w:r>
      <w:r>
        <w:rPr>
          <w:sz w:val="24"/>
        </w:rPr>
        <w:t>of</w:t>
      </w:r>
      <w:r>
        <w:rPr>
          <w:spacing w:val="-9"/>
          <w:sz w:val="24"/>
        </w:rPr>
        <w:t> </w:t>
      </w:r>
      <w:r>
        <w:rPr>
          <w:sz w:val="24"/>
        </w:rPr>
        <w:t>minority</w:t>
      </w:r>
      <w:r>
        <w:rPr>
          <w:spacing w:val="-6"/>
          <w:sz w:val="24"/>
        </w:rPr>
        <w:t> </w:t>
      </w:r>
      <w:r>
        <w:rPr>
          <w:sz w:val="24"/>
        </w:rPr>
        <w:t>residents,</w:t>
      </w:r>
      <w:r>
        <w:rPr>
          <w:spacing w:val="-7"/>
          <w:sz w:val="24"/>
        </w:rPr>
        <w:t> </w:t>
      </w:r>
      <w:r>
        <w:rPr>
          <w:sz w:val="24"/>
        </w:rPr>
        <w:t>and</w:t>
      </w:r>
      <w:r>
        <w:rPr>
          <w:spacing w:val="-4"/>
          <w:sz w:val="24"/>
        </w:rPr>
        <w:t> </w:t>
      </w:r>
      <w:r>
        <w:rPr>
          <w:sz w:val="24"/>
        </w:rPr>
        <w:t>lower</w:t>
      </w:r>
      <w:r>
        <w:rPr>
          <w:spacing w:val="-7"/>
          <w:sz w:val="24"/>
        </w:rPr>
        <w:t> </w:t>
      </w:r>
      <w:r>
        <w:rPr>
          <w:sz w:val="24"/>
        </w:rPr>
        <w:t>for</w:t>
      </w:r>
      <w:r>
        <w:rPr>
          <w:spacing w:val="-7"/>
          <w:sz w:val="24"/>
        </w:rPr>
        <w:t> </w:t>
      </w:r>
      <w:r>
        <w:rPr>
          <w:sz w:val="24"/>
        </w:rPr>
        <w:t>those</w:t>
      </w:r>
      <w:r>
        <w:rPr>
          <w:spacing w:val="-7"/>
          <w:sz w:val="24"/>
        </w:rPr>
        <w:t> </w:t>
      </w:r>
      <w:r>
        <w:rPr>
          <w:sz w:val="24"/>
        </w:rPr>
        <w:t>with</w:t>
      </w:r>
      <w:r>
        <w:rPr>
          <w:spacing w:val="-6"/>
          <w:sz w:val="24"/>
        </w:rPr>
        <w:t> </w:t>
      </w:r>
      <w:r>
        <w:rPr>
          <w:sz w:val="24"/>
        </w:rPr>
        <w:t>lower</w:t>
      </w:r>
      <w:r>
        <w:rPr>
          <w:spacing w:val="-5"/>
          <w:sz w:val="24"/>
        </w:rPr>
        <w:t> </w:t>
      </w:r>
      <w:r>
        <w:rPr>
          <w:sz w:val="24"/>
        </w:rPr>
        <w:t>numbers</w:t>
      </w:r>
      <w:r>
        <w:rPr>
          <w:spacing w:val="-5"/>
          <w:sz w:val="24"/>
        </w:rPr>
        <w:t> </w:t>
      </w:r>
      <w:r>
        <w:rPr>
          <w:sz w:val="24"/>
        </w:rPr>
        <w:t>(the minority factors shown in the chart correspond to numbers of non-white residents).</w:t>
      </w:r>
    </w:p>
    <w:p>
      <w:pPr>
        <w:pStyle w:val="ListParagraph"/>
        <w:numPr>
          <w:ilvl w:val="0"/>
          <w:numId w:val="27"/>
        </w:numPr>
        <w:tabs>
          <w:tab w:pos="1619" w:val="left" w:leader="none"/>
        </w:tabs>
        <w:spacing w:line="240" w:lineRule="auto" w:before="0" w:after="0"/>
        <w:ind w:left="1619" w:right="934" w:hanging="360"/>
        <w:jc w:val="both"/>
        <w:rPr>
          <w:rFonts w:ascii="Symbol" w:hAnsi="Symbol"/>
          <w:sz w:val="24"/>
        </w:rPr>
      </w:pPr>
      <w:r>
        <w:rPr>
          <w:sz w:val="24"/>
        </w:rPr>
        <w:t>For flex route providers, federal and state transit dollars are generally higher for those providers with higher numbers of minority residents, and lower for those with lower </w:t>
      </w:r>
      <w:r>
        <w:rPr>
          <w:spacing w:val="-2"/>
          <w:sz w:val="24"/>
        </w:rPr>
        <w:t>numbers.</w:t>
      </w:r>
    </w:p>
    <w:p>
      <w:pPr>
        <w:pStyle w:val="ListParagraph"/>
        <w:numPr>
          <w:ilvl w:val="0"/>
          <w:numId w:val="27"/>
        </w:numPr>
        <w:tabs>
          <w:tab w:pos="1619" w:val="left" w:leader="none"/>
        </w:tabs>
        <w:spacing w:line="240" w:lineRule="auto" w:before="0" w:after="0"/>
        <w:ind w:left="1619" w:right="932" w:hanging="360"/>
        <w:jc w:val="both"/>
        <w:rPr>
          <w:rFonts w:ascii="Symbol" w:hAnsi="Symbol"/>
          <w:sz w:val="24"/>
        </w:rPr>
      </w:pPr>
      <w:r>
        <w:rPr>
          <w:sz w:val="24"/>
        </w:rPr>
        <w:t>For</w:t>
      </w:r>
      <w:r>
        <w:rPr>
          <w:spacing w:val="-5"/>
          <w:sz w:val="24"/>
        </w:rPr>
        <w:t> </w:t>
      </w:r>
      <w:r>
        <w:rPr>
          <w:sz w:val="24"/>
        </w:rPr>
        <w:t>demand</w:t>
      </w:r>
      <w:r>
        <w:rPr>
          <w:spacing w:val="-4"/>
          <w:sz w:val="24"/>
        </w:rPr>
        <w:t> </w:t>
      </w:r>
      <w:r>
        <w:rPr>
          <w:sz w:val="24"/>
        </w:rPr>
        <w:t>response</w:t>
      </w:r>
      <w:r>
        <w:rPr>
          <w:spacing w:val="-7"/>
          <w:sz w:val="24"/>
        </w:rPr>
        <w:t> </w:t>
      </w:r>
      <w:r>
        <w:rPr>
          <w:sz w:val="24"/>
        </w:rPr>
        <w:t>providers,</w:t>
      </w:r>
      <w:r>
        <w:rPr>
          <w:spacing w:val="-7"/>
          <w:sz w:val="24"/>
        </w:rPr>
        <w:t> </w:t>
      </w:r>
      <w:r>
        <w:rPr>
          <w:sz w:val="24"/>
        </w:rPr>
        <w:t>federal</w:t>
      </w:r>
      <w:r>
        <w:rPr>
          <w:spacing w:val="-5"/>
          <w:sz w:val="24"/>
        </w:rPr>
        <w:t> </w:t>
      </w:r>
      <w:r>
        <w:rPr>
          <w:sz w:val="24"/>
        </w:rPr>
        <w:t>and</w:t>
      </w:r>
      <w:r>
        <w:rPr>
          <w:spacing w:val="-4"/>
          <w:sz w:val="24"/>
        </w:rPr>
        <w:t> </w:t>
      </w:r>
      <w:r>
        <w:rPr>
          <w:sz w:val="24"/>
        </w:rPr>
        <w:t>state</w:t>
      </w:r>
      <w:r>
        <w:rPr>
          <w:spacing w:val="-4"/>
          <w:sz w:val="24"/>
        </w:rPr>
        <w:t> </w:t>
      </w:r>
      <w:r>
        <w:rPr>
          <w:sz w:val="24"/>
        </w:rPr>
        <w:t>transit</w:t>
      </w:r>
      <w:r>
        <w:rPr>
          <w:spacing w:val="-6"/>
          <w:sz w:val="24"/>
        </w:rPr>
        <w:t> </w:t>
      </w:r>
      <w:r>
        <w:rPr>
          <w:sz w:val="24"/>
        </w:rPr>
        <w:t>dollars</w:t>
      </w:r>
      <w:r>
        <w:rPr>
          <w:spacing w:val="-8"/>
          <w:sz w:val="24"/>
        </w:rPr>
        <w:t> </w:t>
      </w:r>
      <w:r>
        <w:rPr>
          <w:sz w:val="24"/>
        </w:rPr>
        <w:t>are</w:t>
      </w:r>
      <w:r>
        <w:rPr>
          <w:spacing w:val="-4"/>
          <w:sz w:val="24"/>
        </w:rPr>
        <w:t> </w:t>
      </w:r>
      <w:r>
        <w:rPr>
          <w:sz w:val="24"/>
        </w:rPr>
        <w:t>generally</w:t>
      </w:r>
      <w:r>
        <w:rPr>
          <w:spacing w:val="-6"/>
          <w:sz w:val="24"/>
        </w:rPr>
        <w:t> </w:t>
      </w:r>
      <w:r>
        <w:rPr>
          <w:sz w:val="24"/>
        </w:rPr>
        <w:t>higher</w:t>
      </w:r>
      <w:r>
        <w:rPr>
          <w:spacing w:val="-5"/>
          <w:sz w:val="24"/>
        </w:rPr>
        <w:t> </w:t>
      </w:r>
      <w:r>
        <w:rPr>
          <w:sz w:val="24"/>
        </w:rPr>
        <w:t>for those providers with higher numbers of minority residents, and lower for those with lower</w:t>
      </w:r>
      <w:r>
        <w:rPr>
          <w:spacing w:val="-4"/>
          <w:sz w:val="24"/>
        </w:rPr>
        <w:t> </w:t>
      </w:r>
      <w:r>
        <w:rPr>
          <w:sz w:val="24"/>
        </w:rPr>
        <w:t>numbers,</w:t>
      </w:r>
      <w:r>
        <w:rPr>
          <w:spacing w:val="-4"/>
          <w:sz w:val="24"/>
        </w:rPr>
        <w:t> </w:t>
      </w:r>
      <w:r>
        <w:rPr>
          <w:sz w:val="24"/>
        </w:rPr>
        <w:t>but</w:t>
      </w:r>
      <w:r>
        <w:rPr>
          <w:spacing w:val="-3"/>
          <w:sz w:val="24"/>
        </w:rPr>
        <w:t> </w:t>
      </w:r>
      <w:r>
        <w:rPr>
          <w:sz w:val="24"/>
        </w:rPr>
        <w:t>there</w:t>
      </w:r>
      <w:r>
        <w:rPr>
          <w:spacing w:val="-1"/>
          <w:sz w:val="24"/>
        </w:rPr>
        <w:t> </w:t>
      </w:r>
      <w:r>
        <w:rPr>
          <w:sz w:val="24"/>
        </w:rPr>
        <w:t>are</w:t>
      </w:r>
      <w:r>
        <w:rPr>
          <w:spacing w:val="-3"/>
          <w:sz w:val="24"/>
        </w:rPr>
        <w:t> </w:t>
      </w:r>
      <w:r>
        <w:rPr>
          <w:sz w:val="24"/>
        </w:rPr>
        <w:t>three</w:t>
      </w:r>
      <w:r>
        <w:rPr>
          <w:spacing w:val="-3"/>
          <w:sz w:val="24"/>
        </w:rPr>
        <w:t> </w:t>
      </w:r>
      <w:r>
        <w:rPr>
          <w:sz w:val="24"/>
        </w:rPr>
        <w:t>exceptions.</w:t>
      </w:r>
      <w:r>
        <w:rPr>
          <w:spacing w:val="40"/>
          <w:sz w:val="24"/>
        </w:rPr>
        <w:t> </w:t>
      </w:r>
      <w:r>
        <w:rPr>
          <w:sz w:val="24"/>
        </w:rPr>
        <w:t>WMTS</w:t>
      </w:r>
      <w:r>
        <w:rPr>
          <w:spacing w:val="-4"/>
          <w:sz w:val="24"/>
        </w:rPr>
        <w:t> </w:t>
      </w:r>
      <w:r>
        <w:rPr>
          <w:sz w:val="24"/>
        </w:rPr>
        <w:t>receives</w:t>
      </w:r>
      <w:r>
        <w:rPr>
          <w:spacing w:val="-4"/>
          <w:sz w:val="24"/>
        </w:rPr>
        <w:t> </w:t>
      </w:r>
      <w:r>
        <w:rPr>
          <w:sz w:val="24"/>
        </w:rPr>
        <w:t>more</w:t>
      </w:r>
      <w:r>
        <w:rPr>
          <w:spacing w:val="-3"/>
          <w:sz w:val="24"/>
        </w:rPr>
        <w:t> </w:t>
      </w:r>
      <w:r>
        <w:rPr>
          <w:sz w:val="24"/>
        </w:rPr>
        <w:t>money</w:t>
      </w:r>
      <w:r>
        <w:rPr>
          <w:spacing w:val="-2"/>
          <w:sz w:val="24"/>
        </w:rPr>
        <w:t> </w:t>
      </w:r>
      <w:r>
        <w:rPr>
          <w:sz w:val="24"/>
        </w:rPr>
        <w:t>relative</w:t>
      </w:r>
      <w:r>
        <w:rPr>
          <w:spacing w:val="-6"/>
          <w:sz w:val="24"/>
        </w:rPr>
        <w:t> </w:t>
      </w:r>
      <w:r>
        <w:rPr>
          <w:sz w:val="24"/>
        </w:rPr>
        <w:t>to its minority population than might initially be expected, but this is because it serves a three-county area with relatively low percentages of minority residents.</w:t>
      </w:r>
      <w:r>
        <w:rPr>
          <w:spacing w:val="40"/>
          <w:sz w:val="24"/>
        </w:rPr>
        <w:t> </w:t>
      </w:r>
      <w:r>
        <w:rPr>
          <w:sz w:val="24"/>
        </w:rPr>
        <w:t>YCCAC also receives</w:t>
      </w:r>
      <w:r>
        <w:rPr>
          <w:spacing w:val="-8"/>
          <w:sz w:val="24"/>
        </w:rPr>
        <w:t> </w:t>
      </w:r>
      <w:r>
        <w:rPr>
          <w:sz w:val="24"/>
        </w:rPr>
        <w:t>more</w:t>
      </w:r>
      <w:r>
        <w:rPr>
          <w:spacing w:val="-7"/>
          <w:sz w:val="24"/>
        </w:rPr>
        <w:t> </w:t>
      </w:r>
      <w:r>
        <w:rPr>
          <w:sz w:val="24"/>
        </w:rPr>
        <w:t>money</w:t>
      </w:r>
      <w:r>
        <w:rPr>
          <w:spacing w:val="-8"/>
          <w:sz w:val="24"/>
        </w:rPr>
        <w:t> </w:t>
      </w:r>
      <w:r>
        <w:rPr>
          <w:sz w:val="24"/>
        </w:rPr>
        <w:t>relative</w:t>
      </w:r>
      <w:r>
        <w:rPr>
          <w:spacing w:val="-7"/>
          <w:sz w:val="24"/>
        </w:rPr>
        <w:t> </w:t>
      </w:r>
      <w:r>
        <w:rPr>
          <w:sz w:val="24"/>
        </w:rPr>
        <w:t>to</w:t>
      </w:r>
      <w:r>
        <w:rPr>
          <w:spacing w:val="-7"/>
          <w:sz w:val="24"/>
        </w:rPr>
        <w:t> </w:t>
      </w:r>
      <w:r>
        <w:rPr>
          <w:sz w:val="24"/>
        </w:rPr>
        <w:t>its</w:t>
      </w:r>
      <w:r>
        <w:rPr>
          <w:spacing w:val="-8"/>
          <w:sz w:val="24"/>
        </w:rPr>
        <w:t> </w:t>
      </w:r>
      <w:r>
        <w:rPr>
          <w:sz w:val="24"/>
        </w:rPr>
        <w:t>minority</w:t>
      </w:r>
      <w:r>
        <w:rPr>
          <w:spacing w:val="-8"/>
          <w:sz w:val="24"/>
        </w:rPr>
        <w:t> </w:t>
      </w:r>
      <w:r>
        <w:rPr>
          <w:sz w:val="24"/>
        </w:rPr>
        <w:t>population</w:t>
      </w:r>
      <w:r>
        <w:rPr>
          <w:spacing w:val="-9"/>
          <w:sz w:val="24"/>
        </w:rPr>
        <w:t> </w:t>
      </w:r>
      <w:r>
        <w:rPr>
          <w:sz w:val="24"/>
        </w:rPr>
        <w:t>than</w:t>
      </w:r>
      <w:r>
        <w:rPr>
          <w:spacing w:val="-6"/>
          <w:sz w:val="24"/>
        </w:rPr>
        <w:t> </w:t>
      </w:r>
      <w:r>
        <w:rPr>
          <w:sz w:val="24"/>
        </w:rPr>
        <w:t>might</w:t>
      </w:r>
      <w:r>
        <w:rPr>
          <w:spacing w:val="-6"/>
          <w:sz w:val="24"/>
        </w:rPr>
        <w:t> </w:t>
      </w:r>
      <w:r>
        <w:rPr>
          <w:sz w:val="24"/>
        </w:rPr>
        <w:t>initially</w:t>
      </w:r>
      <w:r>
        <w:rPr>
          <w:spacing w:val="-8"/>
          <w:sz w:val="24"/>
        </w:rPr>
        <w:t> </w:t>
      </w:r>
      <w:r>
        <w:rPr>
          <w:sz w:val="24"/>
        </w:rPr>
        <w:t>be</w:t>
      </w:r>
      <w:r>
        <w:rPr>
          <w:spacing w:val="-7"/>
          <w:sz w:val="24"/>
        </w:rPr>
        <w:t> </w:t>
      </w:r>
      <w:r>
        <w:rPr>
          <w:sz w:val="24"/>
        </w:rPr>
        <w:t>expected, but this is primarily due to York County’s relatively small minority population, and the fact</w:t>
      </w:r>
      <w:r>
        <w:rPr>
          <w:spacing w:val="-6"/>
          <w:sz w:val="24"/>
        </w:rPr>
        <w:t> </w:t>
      </w:r>
      <w:r>
        <w:rPr>
          <w:sz w:val="24"/>
        </w:rPr>
        <w:t>that</w:t>
      </w:r>
      <w:r>
        <w:rPr>
          <w:spacing w:val="-6"/>
          <w:sz w:val="24"/>
        </w:rPr>
        <w:t> </w:t>
      </w:r>
      <w:r>
        <w:rPr>
          <w:sz w:val="24"/>
        </w:rPr>
        <w:t>YCCAC</w:t>
      </w:r>
      <w:r>
        <w:rPr>
          <w:spacing w:val="-8"/>
          <w:sz w:val="24"/>
        </w:rPr>
        <w:t> </w:t>
      </w:r>
      <w:r>
        <w:rPr>
          <w:sz w:val="24"/>
        </w:rPr>
        <w:t>operates</w:t>
      </w:r>
      <w:r>
        <w:rPr>
          <w:spacing w:val="-8"/>
          <w:sz w:val="24"/>
        </w:rPr>
        <w:t> </w:t>
      </w:r>
      <w:r>
        <w:rPr>
          <w:sz w:val="24"/>
        </w:rPr>
        <w:t>several</w:t>
      </w:r>
      <w:r>
        <w:rPr>
          <w:spacing w:val="-7"/>
          <w:sz w:val="24"/>
        </w:rPr>
        <w:t> </w:t>
      </w:r>
      <w:r>
        <w:rPr>
          <w:sz w:val="24"/>
        </w:rPr>
        <w:t>small</w:t>
      </w:r>
      <w:r>
        <w:rPr>
          <w:spacing w:val="-7"/>
          <w:sz w:val="24"/>
        </w:rPr>
        <w:t> </w:t>
      </w:r>
      <w:r>
        <w:rPr>
          <w:sz w:val="24"/>
        </w:rPr>
        <w:t>systems</w:t>
      </w:r>
      <w:r>
        <w:rPr>
          <w:spacing w:val="-5"/>
          <w:sz w:val="24"/>
        </w:rPr>
        <w:t> </w:t>
      </w:r>
      <w:r>
        <w:rPr>
          <w:sz w:val="24"/>
        </w:rPr>
        <w:t>such</w:t>
      </w:r>
      <w:r>
        <w:rPr>
          <w:spacing w:val="-4"/>
          <w:sz w:val="24"/>
        </w:rPr>
        <w:t> </w:t>
      </w:r>
      <w:r>
        <w:rPr>
          <w:sz w:val="24"/>
        </w:rPr>
        <w:t>as</w:t>
      </w:r>
      <w:r>
        <w:rPr>
          <w:spacing w:val="-8"/>
          <w:sz w:val="24"/>
        </w:rPr>
        <w:t> </w:t>
      </w:r>
      <w:r>
        <w:rPr>
          <w:sz w:val="24"/>
        </w:rPr>
        <w:t>the</w:t>
      </w:r>
      <w:r>
        <w:rPr>
          <w:spacing w:val="-7"/>
          <w:sz w:val="24"/>
        </w:rPr>
        <w:t> </w:t>
      </w:r>
      <w:r>
        <w:rPr>
          <w:sz w:val="24"/>
        </w:rPr>
        <w:t>WAVE</w:t>
      </w:r>
      <w:r>
        <w:rPr>
          <w:spacing w:val="-5"/>
          <w:sz w:val="24"/>
        </w:rPr>
        <w:t> </w:t>
      </w:r>
      <w:r>
        <w:rPr>
          <w:sz w:val="24"/>
        </w:rPr>
        <w:t>commuter</w:t>
      </w:r>
      <w:r>
        <w:rPr>
          <w:spacing w:val="-5"/>
          <w:sz w:val="24"/>
        </w:rPr>
        <w:t> </w:t>
      </w:r>
      <w:r>
        <w:rPr>
          <w:sz w:val="24"/>
        </w:rPr>
        <w:t>service</w:t>
      </w:r>
      <w:r>
        <w:rPr>
          <w:spacing w:val="-4"/>
          <w:sz w:val="24"/>
        </w:rPr>
        <w:t> </w:t>
      </w:r>
      <w:r>
        <w:rPr>
          <w:sz w:val="24"/>
        </w:rPr>
        <w:t>and the Shoreline Explorer.</w:t>
      </w:r>
    </w:p>
    <w:p>
      <w:pPr>
        <w:pStyle w:val="BodyText"/>
      </w:pPr>
    </w:p>
    <w:p>
      <w:pPr>
        <w:pStyle w:val="BodyText"/>
        <w:ind w:left="839" w:right="933"/>
        <w:jc w:val="both"/>
      </w:pPr>
      <w:r>
        <w:rPr/>
        <w:t>The conclusion of this analysis, based on the fact that there is slight variation in the percentage of</w:t>
      </w:r>
      <w:r>
        <w:rPr>
          <w:spacing w:val="-8"/>
        </w:rPr>
        <w:t> </w:t>
      </w:r>
      <w:r>
        <w:rPr/>
        <w:t>minorities</w:t>
      </w:r>
      <w:r>
        <w:rPr>
          <w:spacing w:val="-9"/>
        </w:rPr>
        <w:t> </w:t>
      </w:r>
      <w:r>
        <w:rPr/>
        <w:t>across</w:t>
      </w:r>
      <w:r>
        <w:rPr>
          <w:spacing w:val="-9"/>
        </w:rPr>
        <w:t> </w:t>
      </w:r>
      <w:r>
        <w:rPr/>
        <w:t>the</w:t>
      </w:r>
      <w:r>
        <w:rPr>
          <w:spacing w:val="-8"/>
        </w:rPr>
        <w:t> </w:t>
      </w:r>
      <w:r>
        <w:rPr/>
        <w:t>state</w:t>
      </w:r>
      <w:r>
        <w:rPr>
          <w:spacing w:val="-8"/>
        </w:rPr>
        <w:t> </w:t>
      </w:r>
      <w:r>
        <w:rPr/>
        <w:t>(except</w:t>
      </w:r>
      <w:r>
        <w:rPr>
          <w:spacing w:val="-8"/>
        </w:rPr>
        <w:t> </w:t>
      </w:r>
      <w:r>
        <w:rPr/>
        <w:t>in</w:t>
      </w:r>
      <w:r>
        <w:rPr>
          <w:spacing w:val="-10"/>
        </w:rPr>
        <w:t> </w:t>
      </w:r>
      <w:r>
        <w:rPr/>
        <w:t>the</w:t>
      </w:r>
      <w:r>
        <w:rPr>
          <w:spacing w:val="-8"/>
        </w:rPr>
        <w:t> </w:t>
      </w:r>
      <w:r>
        <w:rPr/>
        <w:t>largest</w:t>
      </w:r>
      <w:r>
        <w:rPr>
          <w:spacing w:val="-8"/>
        </w:rPr>
        <w:t> </w:t>
      </w:r>
      <w:r>
        <w:rPr/>
        <w:t>urban</w:t>
      </w:r>
      <w:r>
        <w:rPr>
          <w:spacing w:val="-8"/>
        </w:rPr>
        <w:t> </w:t>
      </w:r>
      <w:r>
        <w:rPr/>
        <w:t>areas),</w:t>
      </w:r>
      <w:r>
        <w:rPr>
          <w:spacing w:val="-9"/>
        </w:rPr>
        <w:t> </w:t>
      </w:r>
      <w:r>
        <w:rPr/>
        <w:t>and</w:t>
      </w:r>
      <w:r>
        <w:rPr>
          <w:spacing w:val="-10"/>
        </w:rPr>
        <w:t> </w:t>
      </w:r>
      <w:r>
        <w:rPr/>
        <w:t>the</w:t>
      </w:r>
      <w:r>
        <w:rPr>
          <w:spacing w:val="-8"/>
        </w:rPr>
        <w:t> </w:t>
      </w:r>
      <w:r>
        <w:rPr/>
        <w:t>services</w:t>
      </w:r>
      <w:r>
        <w:rPr>
          <w:spacing w:val="-9"/>
        </w:rPr>
        <w:t> </w:t>
      </w:r>
      <w:r>
        <w:rPr/>
        <w:t>with</w:t>
      </w:r>
      <w:r>
        <w:rPr>
          <w:spacing w:val="-8"/>
        </w:rPr>
        <w:t> </w:t>
      </w:r>
      <w:r>
        <w:rPr/>
        <w:t>the</w:t>
      </w:r>
      <w:r>
        <w:rPr>
          <w:spacing w:val="-8"/>
        </w:rPr>
        <w:t> </w:t>
      </w:r>
      <w:r>
        <w:rPr/>
        <w:t>higher percentages of minorities generally receive greater funding, is that there are no apparent disparate impacts of funding decisions with respect to race, color or national origin.</w:t>
      </w:r>
    </w:p>
    <w:p>
      <w:pPr>
        <w:spacing w:after="0"/>
        <w:jc w:val="both"/>
        <w:sectPr>
          <w:pgSz w:w="12240" w:h="15840"/>
          <w:pgMar w:header="0" w:footer="997" w:top="960" w:bottom="1260" w:left="600" w:right="500"/>
        </w:sectPr>
      </w:pPr>
    </w:p>
    <w:p>
      <w:pPr>
        <w:pStyle w:val="Heading9"/>
        <w:numPr>
          <w:ilvl w:val="0"/>
          <w:numId w:val="25"/>
        </w:numPr>
        <w:tabs>
          <w:tab w:pos="1200" w:val="left" w:leader="none"/>
        </w:tabs>
        <w:spacing w:line="240" w:lineRule="auto" w:before="35" w:after="0"/>
        <w:ind w:left="1200" w:right="1198" w:hanging="360"/>
        <w:jc w:val="left"/>
      </w:pPr>
      <w:bookmarkStart w:name="F. Description of Statewide Transportati" w:id="42"/>
      <w:bookmarkEnd w:id="42"/>
      <w:r>
        <w:rPr>
          <w:b w:val="0"/>
        </w:rPr>
      </w:r>
      <w:bookmarkStart w:name="_bookmark19" w:id="43"/>
      <w:bookmarkEnd w:id="43"/>
      <w:r>
        <w:rPr>
          <w:b w:val="0"/>
        </w:rPr>
      </w:r>
      <w:r>
        <w:rPr>
          <w:u w:val="single"/>
        </w:rPr>
        <w:t>Description</w:t>
      </w:r>
      <w:r>
        <w:rPr>
          <w:spacing w:val="-5"/>
          <w:u w:val="single"/>
        </w:rPr>
        <w:t> </w:t>
      </w:r>
      <w:r>
        <w:rPr>
          <w:u w:val="single"/>
        </w:rPr>
        <w:t>of</w:t>
      </w:r>
      <w:r>
        <w:rPr>
          <w:spacing w:val="-5"/>
          <w:u w:val="single"/>
        </w:rPr>
        <w:t> </w:t>
      </w:r>
      <w:r>
        <w:rPr>
          <w:u w:val="single"/>
        </w:rPr>
        <w:t>Statewide</w:t>
      </w:r>
      <w:r>
        <w:rPr>
          <w:spacing w:val="-4"/>
          <w:u w:val="single"/>
        </w:rPr>
        <w:t> </w:t>
      </w:r>
      <w:r>
        <w:rPr>
          <w:u w:val="single"/>
        </w:rPr>
        <w:t>Transportation</w:t>
      </w:r>
      <w:r>
        <w:rPr>
          <w:spacing w:val="-5"/>
          <w:u w:val="single"/>
        </w:rPr>
        <w:t> </w:t>
      </w:r>
      <w:r>
        <w:rPr>
          <w:u w:val="single"/>
        </w:rPr>
        <w:t>Planning</w:t>
      </w:r>
      <w:r>
        <w:rPr>
          <w:spacing w:val="-5"/>
          <w:u w:val="single"/>
        </w:rPr>
        <w:t> </w:t>
      </w:r>
      <w:r>
        <w:rPr>
          <w:u w:val="single"/>
        </w:rPr>
        <w:t>Process</w:t>
      </w:r>
      <w:r>
        <w:rPr>
          <w:spacing w:val="-6"/>
          <w:u w:val="single"/>
        </w:rPr>
        <w:t> </w:t>
      </w:r>
      <w:r>
        <w:rPr>
          <w:u w:val="single"/>
        </w:rPr>
        <w:t>that</w:t>
      </w:r>
      <w:r>
        <w:rPr>
          <w:spacing w:val="-5"/>
          <w:u w:val="single"/>
        </w:rPr>
        <w:t> </w:t>
      </w:r>
      <w:r>
        <w:rPr>
          <w:u w:val="single"/>
        </w:rPr>
        <w:t>Identifies</w:t>
      </w:r>
      <w:r>
        <w:rPr>
          <w:spacing w:val="-4"/>
          <w:u w:val="single"/>
        </w:rPr>
        <w:t> </w:t>
      </w:r>
      <w:r>
        <w:rPr>
          <w:u w:val="single"/>
        </w:rPr>
        <w:t>Transportation</w:t>
      </w:r>
      <w:r>
        <w:rPr/>
        <w:t> </w:t>
      </w:r>
      <w:r>
        <w:rPr>
          <w:u w:val="single"/>
        </w:rPr>
        <w:t>Needs of Minority Populations.</w:t>
      </w:r>
    </w:p>
    <w:p>
      <w:pPr>
        <w:pStyle w:val="BodyText"/>
        <w:spacing w:before="8"/>
        <w:rPr>
          <w:b/>
        </w:rPr>
      </w:pPr>
    </w:p>
    <w:p>
      <w:pPr>
        <w:pStyle w:val="BodyText"/>
        <w:spacing w:before="52"/>
        <w:ind w:left="839" w:right="934"/>
        <w:jc w:val="both"/>
      </w:pPr>
      <w:r>
        <w:rPr/>
        <w:t>There</w:t>
      </w:r>
      <w:r>
        <w:rPr>
          <w:spacing w:val="-6"/>
        </w:rPr>
        <w:t> </w:t>
      </w:r>
      <w:r>
        <w:rPr/>
        <w:t>are</w:t>
      </w:r>
      <w:r>
        <w:rPr>
          <w:spacing w:val="-6"/>
        </w:rPr>
        <w:t> </w:t>
      </w:r>
      <w:r>
        <w:rPr/>
        <w:t>several</w:t>
      </w:r>
      <w:r>
        <w:rPr>
          <w:spacing w:val="-5"/>
        </w:rPr>
        <w:t> </w:t>
      </w:r>
      <w:r>
        <w:rPr/>
        <w:t>components</w:t>
      </w:r>
      <w:r>
        <w:rPr>
          <w:spacing w:val="-5"/>
        </w:rPr>
        <w:t> </w:t>
      </w:r>
      <w:r>
        <w:rPr/>
        <w:t>of</w:t>
      </w:r>
      <w:r>
        <w:rPr>
          <w:spacing w:val="-5"/>
        </w:rPr>
        <w:t> </w:t>
      </w:r>
      <w:r>
        <w:rPr/>
        <w:t>Maine’s</w:t>
      </w:r>
      <w:r>
        <w:rPr>
          <w:spacing w:val="-7"/>
        </w:rPr>
        <w:t> </w:t>
      </w:r>
      <w:r>
        <w:rPr/>
        <w:t>transportation</w:t>
      </w:r>
      <w:r>
        <w:rPr>
          <w:spacing w:val="-5"/>
        </w:rPr>
        <w:t> </w:t>
      </w:r>
      <w:r>
        <w:rPr/>
        <w:t>planning</w:t>
      </w:r>
      <w:r>
        <w:rPr>
          <w:spacing w:val="-7"/>
        </w:rPr>
        <w:t> </w:t>
      </w:r>
      <w:r>
        <w:rPr/>
        <w:t>process,</w:t>
      </w:r>
      <w:r>
        <w:rPr>
          <w:spacing w:val="-5"/>
        </w:rPr>
        <w:t> </w:t>
      </w:r>
      <w:r>
        <w:rPr/>
        <w:t>including</w:t>
      </w:r>
      <w:r>
        <w:rPr>
          <w:spacing w:val="-6"/>
        </w:rPr>
        <w:t> </w:t>
      </w:r>
      <w:r>
        <w:rPr/>
        <w:t>the</w:t>
      </w:r>
      <w:r>
        <w:rPr>
          <w:spacing w:val="-4"/>
        </w:rPr>
        <w:t> </w:t>
      </w:r>
      <w:r>
        <w:rPr/>
        <w:t>work</w:t>
      </w:r>
      <w:r>
        <w:rPr>
          <w:spacing w:val="-5"/>
        </w:rPr>
        <w:t> </w:t>
      </w:r>
      <w:r>
        <w:rPr/>
        <w:t>of MaineDOT’s Civil Right Office, the work of MaineDOT’s Freight and Passenger Services Division, and</w:t>
      </w:r>
      <w:r>
        <w:rPr>
          <w:spacing w:val="-10"/>
        </w:rPr>
        <w:t> </w:t>
      </w:r>
      <w:r>
        <w:rPr/>
        <w:t>the</w:t>
      </w:r>
      <w:r>
        <w:rPr>
          <w:spacing w:val="-11"/>
        </w:rPr>
        <w:t> </w:t>
      </w:r>
      <w:r>
        <w:rPr/>
        <w:t>use</w:t>
      </w:r>
      <w:r>
        <w:rPr>
          <w:spacing w:val="-11"/>
        </w:rPr>
        <w:t> </w:t>
      </w:r>
      <w:r>
        <w:rPr/>
        <w:t>of</w:t>
      </w:r>
      <w:r>
        <w:rPr>
          <w:spacing w:val="-10"/>
        </w:rPr>
        <w:t> </w:t>
      </w:r>
      <w:r>
        <w:rPr/>
        <w:t>the</w:t>
      </w:r>
      <w:r>
        <w:rPr>
          <w:spacing w:val="-11"/>
        </w:rPr>
        <w:t> </w:t>
      </w:r>
      <w:r>
        <w:rPr/>
        <w:t>Public</w:t>
      </w:r>
      <w:r>
        <w:rPr>
          <w:spacing w:val="-12"/>
        </w:rPr>
        <w:t> </w:t>
      </w:r>
      <w:r>
        <w:rPr/>
        <w:t>Transit</w:t>
      </w:r>
      <w:r>
        <w:rPr>
          <w:spacing w:val="-10"/>
        </w:rPr>
        <w:t> </w:t>
      </w:r>
      <w:r>
        <w:rPr/>
        <w:t>Advisory</w:t>
      </w:r>
      <w:r>
        <w:rPr>
          <w:spacing w:val="-9"/>
        </w:rPr>
        <w:t> </w:t>
      </w:r>
      <w:r>
        <w:rPr/>
        <w:t>Committee</w:t>
      </w:r>
      <w:r>
        <w:rPr>
          <w:spacing w:val="-10"/>
        </w:rPr>
        <w:t> </w:t>
      </w:r>
      <w:r>
        <w:rPr/>
        <w:t>established</w:t>
      </w:r>
      <w:r>
        <w:rPr>
          <w:spacing w:val="-10"/>
        </w:rPr>
        <w:t> </w:t>
      </w:r>
      <w:r>
        <w:rPr/>
        <w:t>by</w:t>
      </w:r>
      <w:r>
        <w:rPr>
          <w:spacing w:val="-12"/>
        </w:rPr>
        <w:t> </w:t>
      </w:r>
      <w:r>
        <w:rPr/>
        <w:t>Maine</w:t>
      </w:r>
      <w:r>
        <w:rPr>
          <w:spacing w:val="-11"/>
        </w:rPr>
        <w:t> </w:t>
      </w:r>
      <w:r>
        <w:rPr/>
        <w:t>statute.</w:t>
      </w:r>
      <w:r>
        <w:rPr>
          <w:spacing w:val="-9"/>
        </w:rPr>
        <w:t> </w:t>
      </w:r>
      <w:r>
        <w:rPr/>
        <w:t>As</w:t>
      </w:r>
      <w:r>
        <w:rPr>
          <w:spacing w:val="-11"/>
        </w:rPr>
        <w:t> </w:t>
      </w:r>
      <w:r>
        <w:rPr/>
        <w:t>previously described, the planning process includes:</w:t>
      </w:r>
    </w:p>
    <w:p>
      <w:pPr>
        <w:pStyle w:val="BodyText"/>
        <w:spacing w:before="1"/>
      </w:pPr>
    </w:p>
    <w:p>
      <w:pPr>
        <w:pStyle w:val="BodyText"/>
        <w:ind w:left="839" w:right="932"/>
        <w:jc w:val="both"/>
      </w:pPr>
      <w:r>
        <w:rPr/>
        <w:t>MaineDOT</w:t>
      </w:r>
      <w:r>
        <w:rPr>
          <w:spacing w:val="-14"/>
        </w:rPr>
        <w:t> </w:t>
      </w:r>
      <w:r>
        <w:rPr/>
        <w:t>personnel</w:t>
      </w:r>
      <w:r>
        <w:rPr>
          <w:spacing w:val="-14"/>
        </w:rPr>
        <w:t> </w:t>
      </w:r>
      <w:r>
        <w:rPr/>
        <w:t>assigned</w:t>
      </w:r>
      <w:r>
        <w:rPr>
          <w:spacing w:val="-13"/>
        </w:rPr>
        <w:t> </w:t>
      </w:r>
      <w:r>
        <w:rPr/>
        <w:t>to</w:t>
      </w:r>
      <w:r>
        <w:rPr>
          <w:spacing w:val="-14"/>
        </w:rPr>
        <w:t> </w:t>
      </w:r>
      <w:r>
        <w:rPr/>
        <w:t>the</w:t>
      </w:r>
      <w:r>
        <w:rPr>
          <w:spacing w:val="-13"/>
        </w:rPr>
        <w:t> </w:t>
      </w:r>
      <w:r>
        <w:rPr/>
        <w:t>Bureau</w:t>
      </w:r>
      <w:r>
        <w:rPr>
          <w:spacing w:val="-14"/>
        </w:rPr>
        <w:t> </w:t>
      </w:r>
      <w:r>
        <w:rPr/>
        <w:t>of</w:t>
      </w:r>
      <w:r>
        <w:rPr>
          <w:spacing w:val="-13"/>
        </w:rPr>
        <w:t> </w:t>
      </w:r>
      <w:r>
        <w:rPr/>
        <w:t>Planning,</w:t>
      </w:r>
      <w:r>
        <w:rPr>
          <w:spacing w:val="-14"/>
        </w:rPr>
        <w:t> </w:t>
      </w:r>
      <w:r>
        <w:rPr/>
        <w:t>Freight</w:t>
      </w:r>
      <w:r>
        <w:rPr>
          <w:spacing w:val="-14"/>
        </w:rPr>
        <w:t> </w:t>
      </w:r>
      <w:r>
        <w:rPr/>
        <w:t>and</w:t>
      </w:r>
      <w:r>
        <w:rPr>
          <w:spacing w:val="-13"/>
        </w:rPr>
        <w:t> </w:t>
      </w:r>
      <w:r>
        <w:rPr/>
        <w:t>Passenger</w:t>
      </w:r>
      <w:r>
        <w:rPr>
          <w:spacing w:val="-14"/>
        </w:rPr>
        <w:t> </w:t>
      </w:r>
      <w:r>
        <w:rPr/>
        <w:t>Services</w:t>
      </w:r>
      <w:r>
        <w:rPr>
          <w:spacing w:val="-13"/>
        </w:rPr>
        <w:t> </w:t>
      </w:r>
      <w:r>
        <w:rPr/>
        <w:t>Division, are assigned specific types of FTA Programs.</w:t>
      </w:r>
      <w:r>
        <w:rPr>
          <w:spacing w:val="40"/>
        </w:rPr>
        <w:t> </w:t>
      </w:r>
      <w:r>
        <w:rPr/>
        <w:t>MaineDOT staff provides technical assistance and monitor the subrecipients as required to ensure compliance with the requirements of Title VI, EEO, and Section 105(f) (DBE).</w:t>
      </w:r>
      <w:r>
        <w:rPr>
          <w:spacing w:val="40"/>
        </w:rPr>
        <w:t> </w:t>
      </w:r>
      <w:r>
        <w:rPr/>
        <w:t>This is accomplished through the Site Visits to the provider agencies</w:t>
      </w:r>
      <w:r>
        <w:rPr>
          <w:spacing w:val="-8"/>
        </w:rPr>
        <w:t> </w:t>
      </w:r>
      <w:r>
        <w:rPr/>
        <w:t>and</w:t>
      </w:r>
      <w:r>
        <w:rPr>
          <w:spacing w:val="-6"/>
        </w:rPr>
        <w:t> </w:t>
      </w:r>
      <w:r>
        <w:rPr/>
        <w:t>administrative</w:t>
      </w:r>
      <w:r>
        <w:rPr>
          <w:spacing w:val="-7"/>
        </w:rPr>
        <w:t> </w:t>
      </w:r>
      <w:r>
        <w:rPr/>
        <w:t>contacts.</w:t>
      </w:r>
      <w:r>
        <w:rPr>
          <w:spacing w:val="40"/>
        </w:rPr>
        <w:t> </w:t>
      </w:r>
      <w:r>
        <w:rPr/>
        <w:t>The</w:t>
      </w:r>
      <w:r>
        <w:rPr>
          <w:spacing w:val="-7"/>
        </w:rPr>
        <w:t> </w:t>
      </w:r>
      <w:r>
        <w:rPr/>
        <w:t>service</w:t>
      </w:r>
      <w:r>
        <w:rPr>
          <w:spacing w:val="-9"/>
        </w:rPr>
        <w:t> </w:t>
      </w:r>
      <w:r>
        <w:rPr/>
        <w:t>provided</w:t>
      </w:r>
      <w:r>
        <w:rPr>
          <w:spacing w:val="-9"/>
        </w:rPr>
        <w:t> </w:t>
      </w:r>
      <w:r>
        <w:rPr/>
        <w:t>and/or</w:t>
      </w:r>
      <w:r>
        <w:rPr>
          <w:spacing w:val="-9"/>
        </w:rPr>
        <w:t> </w:t>
      </w:r>
      <w:r>
        <w:rPr/>
        <w:t>available</w:t>
      </w:r>
      <w:r>
        <w:rPr>
          <w:spacing w:val="-7"/>
        </w:rPr>
        <w:t> </w:t>
      </w:r>
      <w:r>
        <w:rPr/>
        <w:t>to</w:t>
      </w:r>
      <w:r>
        <w:rPr>
          <w:spacing w:val="-9"/>
        </w:rPr>
        <w:t> </w:t>
      </w:r>
      <w:r>
        <w:rPr/>
        <w:t>identified</w:t>
      </w:r>
      <w:r>
        <w:rPr>
          <w:spacing w:val="-6"/>
        </w:rPr>
        <w:t> </w:t>
      </w:r>
      <w:r>
        <w:rPr/>
        <w:t>groups is</w:t>
      </w:r>
      <w:r>
        <w:rPr>
          <w:spacing w:val="-9"/>
        </w:rPr>
        <w:t> </w:t>
      </w:r>
      <w:r>
        <w:rPr/>
        <w:t>determined</w:t>
      </w:r>
      <w:r>
        <w:rPr>
          <w:spacing w:val="-10"/>
        </w:rPr>
        <w:t> </w:t>
      </w:r>
      <w:r>
        <w:rPr/>
        <w:t>by</w:t>
      </w:r>
      <w:r>
        <w:rPr>
          <w:spacing w:val="-12"/>
        </w:rPr>
        <w:t> </w:t>
      </w:r>
      <w:r>
        <w:rPr/>
        <w:t>the</w:t>
      </w:r>
      <w:r>
        <w:rPr>
          <w:spacing w:val="-8"/>
        </w:rPr>
        <w:t> </w:t>
      </w:r>
      <w:r>
        <w:rPr/>
        <w:t>subrecipient</w:t>
      </w:r>
      <w:r>
        <w:rPr>
          <w:spacing w:val="-8"/>
        </w:rPr>
        <w:t> </w:t>
      </w:r>
      <w:r>
        <w:rPr/>
        <w:t>and</w:t>
      </w:r>
      <w:r>
        <w:rPr>
          <w:spacing w:val="-10"/>
        </w:rPr>
        <w:t> </w:t>
      </w:r>
      <w:r>
        <w:rPr/>
        <w:t>verified</w:t>
      </w:r>
      <w:r>
        <w:rPr>
          <w:spacing w:val="-10"/>
        </w:rPr>
        <w:t> </w:t>
      </w:r>
      <w:r>
        <w:rPr/>
        <w:t>by</w:t>
      </w:r>
      <w:r>
        <w:rPr>
          <w:spacing w:val="-14"/>
        </w:rPr>
        <w:t> </w:t>
      </w:r>
      <w:r>
        <w:rPr/>
        <w:t>the</w:t>
      </w:r>
      <w:r>
        <w:rPr>
          <w:spacing w:val="-11"/>
        </w:rPr>
        <w:t> </w:t>
      </w:r>
      <w:r>
        <w:rPr/>
        <w:t>Office</w:t>
      </w:r>
      <w:r>
        <w:rPr>
          <w:spacing w:val="-8"/>
        </w:rPr>
        <w:t> </w:t>
      </w:r>
      <w:r>
        <w:rPr/>
        <w:t>of</w:t>
      </w:r>
      <w:r>
        <w:rPr>
          <w:spacing w:val="-8"/>
        </w:rPr>
        <w:t> </w:t>
      </w:r>
      <w:r>
        <w:rPr/>
        <w:t>Civil</w:t>
      </w:r>
      <w:r>
        <w:rPr>
          <w:spacing w:val="-11"/>
        </w:rPr>
        <w:t> </w:t>
      </w:r>
      <w:r>
        <w:rPr/>
        <w:t>Rights</w:t>
      </w:r>
      <w:r>
        <w:rPr>
          <w:spacing w:val="-11"/>
        </w:rPr>
        <w:t> </w:t>
      </w:r>
      <w:r>
        <w:rPr/>
        <w:t>in</w:t>
      </w:r>
      <w:r>
        <w:rPr>
          <w:spacing w:val="-8"/>
        </w:rPr>
        <w:t> </w:t>
      </w:r>
      <w:r>
        <w:rPr/>
        <w:t>conjunction</w:t>
      </w:r>
      <w:r>
        <w:rPr>
          <w:spacing w:val="-10"/>
        </w:rPr>
        <w:t> </w:t>
      </w:r>
      <w:r>
        <w:rPr/>
        <w:t>with</w:t>
      </w:r>
      <w:r>
        <w:rPr>
          <w:spacing w:val="-12"/>
        </w:rPr>
        <w:t> </w:t>
      </w:r>
      <w:r>
        <w:rPr/>
        <w:t>the Freight and Passenger Services Division.</w:t>
      </w:r>
      <w:r>
        <w:rPr>
          <w:spacing w:val="80"/>
        </w:rPr>
        <w:t> </w:t>
      </w:r>
      <w:r>
        <w:rPr/>
        <w:t>The subrecipient will be provided with all the appropriate census data for their region and all information available to the MaineDOT concerning</w:t>
      </w:r>
      <w:r>
        <w:rPr>
          <w:spacing w:val="-3"/>
        </w:rPr>
        <w:t> </w:t>
      </w:r>
      <w:r>
        <w:rPr/>
        <w:t>contacts in</w:t>
      </w:r>
      <w:r>
        <w:rPr>
          <w:spacing w:val="-1"/>
        </w:rPr>
        <w:t> </w:t>
      </w:r>
      <w:r>
        <w:rPr/>
        <w:t>their</w:t>
      </w:r>
      <w:r>
        <w:rPr>
          <w:spacing w:val="-2"/>
        </w:rPr>
        <w:t> </w:t>
      </w:r>
      <w:r>
        <w:rPr/>
        <w:t>area</w:t>
      </w:r>
      <w:r>
        <w:rPr>
          <w:spacing w:val="-5"/>
        </w:rPr>
        <w:t> </w:t>
      </w:r>
      <w:r>
        <w:rPr/>
        <w:t>with</w:t>
      </w:r>
      <w:r>
        <w:rPr>
          <w:spacing w:val="-1"/>
        </w:rPr>
        <w:t> </w:t>
      </w:r>
      <w:r>
        <w:rPr/>
        <w:t>groups</w:t>
      </w:r>
      <w:r>
        <w:rPr>
          <w:spacing w:val="-3"/>
        </w:rPr>
        <w:t> </w:t>
      </w:r>
      <w:r>
        <w:rPr/>
        <w:t>representing</w:t>
      </w:r>
      <w:r>
        <w:rPr>
          <w:spacing w:val="-5"/>
        </w:rPr>
        <w:t> </w:t>
      </w:r>
      <w:r>
        <w:rPr/>
        <w:t>the</w:t>
      </w:r>
      <w:r>
        <w:rPr>
          <w:spacing w:val="-2"/>
        </w:rPr>
        <w:t> </w:t>
      </w:r>
      <w:r>
        <w:rPr/>
        <w:t>minorities, low-income</w:t>
      </w:r>
      <w:r>
        <w:rPr>
          <w:spacing w:val="-2"/>
        </w:rPr>
        <w:t> </w:t>
      </w:r>
      <w:r>
        <w:rPr/>
        <w:t>residents and those with Limited English Proficiency. MaineDOT will review Title VI Plans submitted by subrecipients to further identify underserved and minority populations in those areas.</w:t>
      </w:r>
      <w:r>
        <w:rPr>
          <w:spacing w:val="40"/>
        </w:rPr>
        <w:t> </w:t>
      </w:r>
      <w:r>
        <w:rPr/>
        <w:t>At the time of the Annual Certifications and Assurances, providers will be required to provide signed Title VI Assurances.</w:t>
      </w:r>
    </w:p>
    <w:p>
      <w:pPr>
        <w:pStyle w:val="BodyText"/>
      </w:pPr>
    </w:p>
    <w:p>
      <w:pPr>
        <w:pStyle w:val="Heading9"/>
        <w:ind w:left="840"/>
        <w:jc w:val="both"/>
      </w:pPr>
      <w:r>
        <w:rPr>
          <w:u w:val="single"/>
        </w:rPr>
        <w:t>Advisory</w:t>
      </w:r>
      <w:r>
        <w:rPr>
          <w:spacing w:val="-3"/>
          <w:u w:val="single"/>
        </w:rPr>
        <w:t> </w:t>
      </w:r>
      <w:r>
        <w:rPr>
          <w:spacing w:val="-2"/>
          <w:u w:val="single"/>
        </w:rPr>
        <w:t>Committees</w:t>
      </w:r>
    </w:p>
    <w:p>
      <w:pPr>
        <w:pStyle w:val="BodyText"/>
        <w:spacing w:before="9"/>
        <w:rPr>
          <w:b/>
          <w:sz w:val="19"/>
        </w:rPr>
      </w:pPr>
    </w:p>
    <w:p>
      <w:pPr>
        <w:pStyle w:val="BodyText"/>
        <w:spacing w:before="52"/>
        <w:ind w:left="840" w:right="933"/>
        <w:jc w:val="both"/>
      </w:pPr>
      <w:r>
        <w:rPr/>
        <w:t>The Public Transit Advisory Council is composed of knowledgeable people with a diversity of affiliations</w:t>
      </w:r>
      <w:r>
        <w:rPr>
          <w:spacing w:val="-14"/>
        </w:rPr>
        <w:t> </w:t>
      </w:r>
      <w:r>
        <w:rPr/>
        <w:t>and</w:t>
      </w:r>
      <w:r>
        <w:rPr>
          <w:spacing w:val="-14"/>
        </w:rPr>
        <w:t> </w:t>
      </w:r>
      <w:r>
        <w:rPr/>
        <w:t>networking</w:t>
      </w:r>
      <w:r>
        <w:rPr>
          <w:spacing w:val="-13"/>
        </w:rPr>
        <w:t> </w:t>
      </w:r>
      <w:r>
        <w:rPr/>
        <w:t>capacity</w:t>
      </w:r>
      <w:r>
        <w:rPr>
          <w:spacing w:val="-14"/>
        </w:rPr>
        <w:t> </w:t>
      </w:r>
      <w:r>
        <w:rPr/>
        <w:t>to</w:t>
      </w:r>
      <w:r>
        <w:rPr>
          <w:spacing w:val="-13"/>
        </w:rPr>
        <w:t> </w:t>
      </w:r>
      <w:r>
        <w:rPr/>
        <w:t>extend</w:t>
      </w:r>
      <w:r>
        <w:rPr>
          <w:spacing w:val="-14"/>
        </w:rPr>
        <w:t> </w:t>
      </w:r>
      <w:r>
        <w:rPr/>
        <w:t>MaineDOT’s</w:t>
      </w:r>
      <w:r>
        <w:rPr>
          <w:spacing w:val="-13"/>
        </w:rPr>
        <w:t> </w:t>
      </w:r>
      <w:r>
        <w:rPr/>
        <w:t>reach</w:t>
      </w:r>
      <w:r>
        <w:rPr>
          <w:spacing w:val="-14"/>
        </w:rPr>
        <w:t> </w:t>
      </w:r>
      <w:r>
        <w:rPr/>
        <w:t>into</w:t>
      </w:r>
      <w:r>
        <w:rPr>
          <w:spacing w:val="-14"/>
        </w:rPr>
        <w:t> </w:t>
      </w:r>
      <w:r>
        <w:rPr/>
        <w:t>targeted</w:t>
      </w:r>
      <w:r>
        <w:rPr>
          <w:spacing w:val="-13"/>
        </w:rPr>
        <w:t> </w:t>
      </w:r>
      <w:r>
        <w:rPr/>
        <w:t>population.</w:t>
      </w:r>
      <w:r>
        <w:rPr>
          <w:spacing w:val="10"/>
        </w:rPr>
        <w:t> </w:t>
      </w:r>
      <w:r>
        <w:rPr/>
        <w:t>These connections</w:t>
      </w:r>
      <w:r>
        <w:rPr>
          <w:spacing w:val="-7"/>
        </w:rPr>
        <w:t> </w:t>
      </w:r>
      <w:r>
        <w:rPr/>
        <w:t>were</w:t>
      </w:r>
      <w:r>
        <w:rPr>
          <w:spacing w:val="-7"/>
        </w:rPr>
        <w:t> </w:t>
      </w:r>
      <w:r>
        <w:rPr/>
        <w:t>used</w:t>
      </w:r>
      <w:r>
        <w:rPr>
          <w:spacing w:val="-4"/>
        </w:rPr>
        <w:t> </w:t>
      </w:r>
      <w:r>
        <w:rPr/>
        <w:t>extensively</w:t>
      </w:r>
      <w:r>
        <w:rPr>
          <w:spacing w:val="-6"/>
        </w:rPr>
        <w:t> </w:t>
      </w:r>
      <w:r>
        <w:rPr/>
        <w:t>during</w:t>
      </w:r>
      <w:r>
        <w:rPr>
          <w:spacing w:val="-7"/>
        </w:rPr>
        <w:t> </w:t>
      </w:r>
      <w:r>
        <w:rPr/>
        <w:t>development</w:t>
      </w:r>
      <w:r>
        <w:rPr>
          <w:spacing w:val="-4"/>
        </w:rPr>
        <w:t> </w:t>
      </w:r>
      <w:r>
        <w:rPr/>
        <w:t>of</w:t>
      </w:r>
      <w:r>
        <w:rPr>
          <w:spacing w:val="-6"/>
        </w:rPr>
        <w:t> </w:t>
      </w:r>
      <w:r>
        <w:rPr/>
        <w:t>the</w:t>
      </w:r>
      <w:r>
        <w:rPr>
          <w:spacing w:val="-7"/>
        </w:rPr>
        <w:t> </w:t>
      </w:r>
      <w:r>
        <w:rPr/>
        <w:t>2019-23</w:t>
      </w:r>
      <w:r>
        <w:rPr>
          <w:spacing w:val="-4"/>
        </w:rPr>
        <w:t> </w:t>
      </w:r>
      <w:r>
        <w:rPr/>
        <w:t>Locally</w:t>
      </w:r>
      <w:r>
        <w:rPr>
          <w:spacing w:val="-6"/>
        </w:rPr>
        <w:t> </w:t>
      </w:r>
      <w:r>
        <w:rPr/>
        <w:t>Coordinated</w:t>
      </w:r>
      <w:r>
        <w:rPr>
          <w:spacing w:val="-6"/>
        </w:rPr>
        <w:t> </w:t>
      </w:r>
      <w:r>
        <w:rPr/>
        <w:t>Plan to</w:t>
      </w:r>
      <w:r>
        <w:rPr>
          <w:spacing w:val="-14"/>
        </w:rPr>
        <w:t> </w:t>
      </w:r>
      <w:r>
        <w:rPr/>
        <w:t>provide</w:t>
      </w:r>
      <w:r>
        <w:rPr>
          <w:spacing w:val="-14"/>
        </w:rPr>
        <w:t> </w:t>
      </w:r>
      <w:r>
        <w:rPr/>
        <w:t>outreach</w:t>
      </w:r>
      <w:r>
        <w:rPr>
          <w:spacing w:val="-13"/>
        </w:rPr>
        <w:t> </w:t>
      </w:r>
      <w:r>
        <w:rPr/>
        <w:t>through</w:t>
      </w:r>
      <w:r>
        <w:rPr>
          <w:spacing w:val="-14"/>
        </w:rPr>
        <w:t> </w:t>
      </w:r>
      <w:r>
        <w:rPr/>
        <w:t>and</w:t>
      </w:r>
      <w:r>
        <w:rPr>
          <w:spacing w:val="-13"/>
        </w:rPr>
        <w:t> </w:t>
      </w:r>
      <w:r>
        <w:rPr/>
        <w:t>received</w:t>
      </w:r>
      <w:r>
        <w:rPr>
          <w:spacing w:val="-14"/>
        </w:rPr>
        <w:t> </w:t>
      </w:r>
      <w:r>
        <w:rPr/>
        <w:t>input</w:t>
      </w:r>
      <w:r>
        <w:rPr>
          <w:spacing w:val="-13"/>
        </w:rPr>
        <w:t> </w:t>
      </w:r>
      <w:r>
        <w:rPr/>
        <w:t>from</w:t>
      </w:r>
      <w:r>
        <w:rPr>
          <w:spacing w:val="-14"/>
        </w:rPr>
        <w:t> </w:t>
      </w:r>
      <w:r>
        <w:rPr/>
        <w:t>efforts</w:t>
      </w:r>
      <w:r>
        <w:rPr>
          <w:spacing w:val="-14"/>
        </w:rPr>
        <w:t> </w:t>
      </w:r>
      <w:r>
        <w:rPr/>
        <w:t>performed</w:t>
      </w:r>
      <w:r>
        <w:rPr>
          <w:spacing w:val="-13"/>
        </w:rPr>
        <w:t> </w:t>
      </w:r>
      <w:r>
        <w:rPr/>
        <w:t>by</w:t>
      </w:r>
      <w:r>
        <w:rPr>
          <w:spacing w:val="-14"/>
        </w:rPr>
        <w:t> </w:t>
      </w:r>
      <w:r>
        <w:rPr/>
        <w:t>partner</w:t>
      </w:r>
      <w:r>
        <w:rPr>
          <w:spacing w:val="-13"/>
        </w:rPr>
        <w:t> </w:t>
      </w:r>
      <w:r>
        <w:rPr/>
        <w:t>organizations, such the Metropolitan Planning Organizations, Maine Council on Aging and various other organizations working with people with disabilities.</w:t>
      </w:r>
      <w:r>
        <w:rPr>
          <w:spacing w:val="40"/>
        </w:rPr>
        <w:t> </w:t>
      </w:r>
      <w:r>
        <w:rPr/>
        <w:t>Through these networks, MaineDOT received</w:t>
      </w:r>
      <w:r>
        <w:rPr>
          <w:spacing w:val="-11"/>
        </w:rPr>
        <w:t> </w:t>
      </w:r>
      <w:r>
        <w:rPr/>
        <w:t>input</w:t>
      </w:r>
      <w:r>
        <w:rPr>
          <w:spacing w:val="-11"/>
        </w:rPr>
        <w:t> </w:t>
      </w:r>
      <w:r>
        <w:rPr/>
        <w:t>from</w:t>
      </w:r>
      <w:r>
        <w:rPr>
          <w:spacing w:val="-14"/>
        </w:rPr>
        <w:t> </w:t>
      </w:r>
      <w:r>
        <w:rPr/>
        <w:t>the</w:t>
      </w:r>
      <w:r>
        <w:rPr>
          <w:spacing w:val="-14"/>
        </w:rPr>
        <w:t> </w:t>
      </w:r>
      <w:r>
        <w:rPr/>
        <w:t>Portland</w:t>
      </w:r>
      <w:r>
        <w:rPr>
          <w:spacing w:val="-10"/>
        </w:rPr>
        <w:t> </w:t>
      </w:r>
      <w:r>
        <w:rPr/>
        <w:t>immigrant</w:t>
      </w:r>
      <w:r>
        <w:rPr>
          <w:spacing w:val="-11"/>
        </w:rPr>
        <w:t> </w:t>
      </w:r>
      <w:r>
        <w:rPr/>
        <w:t>community</w:t>
      </w:r>
      <w:r>
        <w:rPr>
          <w:spacing w:val="-10"/>
        </w:rPr>
        <w:t> </w:t>
      </w:r>
      <w:r>
        <w:rPr/>
        <w:t>and</w:t>
      </w:r>
      <w:r>
        <w:rPr>
          <w:spacing w:val="-11"/>
        </w:rPr>
        <w:t> </w:t>
      </w:r>
      <w:r>
        <w:rPr/>
        <w:t>attended</w:t>
      </w:r>
      <w:r>
        <w:rPr>
          <w:spacing w:val="-9"/>
        </w:rPr>
        <w:t> </w:t>
      </w:r>
      <w:r>
        <w:rPr/>
        <w:t>statewide</w:t>
      </w:r>
      <w:r>
        <w:rPr>
          <w:spacing w:val="-12"/>
        </w:rPr>
        <w:t> </w:t>
      </w:r>
      <w:r>
        <w:rPr/>
        <w:t>outreach</w:t>
      </w:r>
      <w:r>
        <w:rPr>
          <w:spacing w:val="-11"/>
        </w:rPr>
        <w:t> </w:t>
      </w:r>
      <w:r>
        <w:rPr/>
        <w:t>events for veterans and people with disabilities.</w:t>
      </w:r>
    </w:p>
    <w:p>
      <w:pPr>
        <w:pStyle w:val="BodyText"/>
        <w:spacing w:before="10"/>
        <w:rPr>
          <w:sz w:val="23"/>
        </w:rPr>
      </w:pPr>
    </w:p>
    <w:p>
      <w:pPr>
        <w:pStyle w:val="Heading9"/>
        <w:spacing w:before="1"/>
        <w:ind w:left="840"/>
        <w:jc w:val="both"/>
      </w:pPr>
      <w:r>
        <w:rPr>
          <w:u w:val="single"/>
        </w:rPr>
        <w:t>Metropolitan</w:t>
      </w:r>
      <w:r>
        <w:rPr>
          <w:spacing w:val="-2"/>
          <w:u w:val="single"/>
        </w:rPr>
        <w:t> </w:t>
      </w:r>
      <w:r>
        <w:rPr>
          <w:u w:val="single"/>
        </w:rPr>
        <w:t>Regional</w:t>
      </w:r>
      <w:r>
        <w:rPr>
          <w:spacing w:val="-3"/>
          <w:u w:val="single"/>
        </w:rPr>
        <w:t> </w:t>
      </w:r>
      <w:r>
        <w:rPr>
          <w:u w:val="single"/>
        </w:rPr>
        <w:t>Advisory</w:t>
      </w:r>
      <w:r>
        <w:rPr>
          <w:spacing w:val="-2"/>
          <w:u w:val="single"/>
        </w:rPr>
        <w:t> Committees</w:t>
      </w:r>
    </w:p>
    <w:p>
      <w:pPr>
        <w:pStyle w:val="BodyText"/>
        <w:spacing w:before="9"/>
        <w:rPr>
          <w:b/>
          <w:sz w:val="19"/>
        </w:rPr>
      </w:pPr>
    </w:p>
    <w:p>
      <w:pPr>
        <w:pStyle w:val="BodyText"/>
        <w:spacing w:before="51"/>
        <w:ind w:left="840" w:right="935"/>
        <w:jc w:val="both"/>
      </w:pPr>
      <w:r>
        <w:rPr/>
        <w:t>MaineDOT staff attend meetings organized by the MPOs and urban transit providers, who are also performing outreach to minority populations within their service areas and have picked up pertinent information through those on-the-ground outreach efforts.</w:t>
      </w:r>
    </w:p>
    <w:p>
      <w:pPr>
        <w:pStyle w:val="BodyText"/>
        <w:spacing w:before="2"/>
      </w:pPr>
    </w:p>
    <w:p>
      <w:pPr>
        <w:pStyle w:val="Heading9"/>
        <w:ind w:left="840"/>
        <w:jc w:val="both"/>
      </w:pPr>
      <w:r>
        <w:rPr>
          <w:u w:val="single"/>
        </w:rPr>
        <w:t>Key</w:t>
      </w:r>
      <w:r>
        <w:rPr>
          <w:spacing w:val="-2"/>
          <w:u w:val="single"/>
        </w:rPr>
        <w:t> </w:t>
      </w:r>
      <w:r>
        <w:rPr>
          <w:u w:val="single"/>
        </w:rPr>
        <w:t>Informant</w:t>
      </w:r>
      <w:r>
        <w:rPr>
          <w:spacing w:val="-1"/>
          <w:u w:val="single"/>
        </w:rPr>
        <w:t> </w:t>
      </w:r>
      <w:r>
        <w:rPr>
          <w:spacing w:val="-2"/>
          <w:u w:val="single"/>
        </w:rPr>
        <w:t>Interviews</w:t>
      </w:r>
    </w:p>
    <w:p>
      <w:pPr>
        <w:pStyle w:val="BodyText"/>
        <w:spacing w:before="9"/>
        <w:rPr>
          <w:b/>
          <w:sz w:val="19"/>
        </w:rPr>
      </w:pPr>
    </w:p>
    <w:p>
      <w:pPr>
        <w:pStyle w:val="BodyText"/>
        <w:spacing w:before="52"/>
        <w:ind w:left="840" w:right="930"/>
        <w:jc w:val="both"/>
      </w:pPr>
      <w:r>
        <w:rPr/>
        <w:t>Key</w:t>
      </w:r>
      <w:r>
        <w:rPr>
          <w:spacing w:val="-14"/>
        </w:rPr>
        <w:t> </w:t>
      </w:r>
      <w:r>
        <w:rPr/>
        <w:t>informant</w:t>
      </w:r>
      <w:r>
        <w:rPr>
          <w:spacing w:val="-14"/>
        </w:rPr>
        <w:t> </w:t>
      </w:r>
      <w:r>
        <w:rPr/>
        <w:t>intervies</w:t>
      </w:r>
      <w:r>
        <w:rPr>
          <w:spacing w:val="-13"/>
        </w:rPr>
        <w:t> </w:t>
      </w:r>
      <w:r>
        <w:rPr/>
        <w:t>were</w:t>
      </w:r>
      <w:r>
        <w:rPr>
          <w:spacing w:val="-14"/>
        </w:rPr>
        <w:t> </w:t>
      </w:r>
      <w:r>
        <w:rPr/>
        <w:t>conducted</w:t>
      </w:r>
      <w:r>
        <w:rPr>
          <w:spacing w:val="-13"/>
        </w:rPr>
        <w:t> </w:t>
      </w:r>
      <w:r>
        <w:rPr/>
        <w:t>by</w:t>
      </w:r>
      <w:r>
        <w:rPr>
          <w:spacing w:val="-14"/>
        </w:rPr>
        <w:t> </w:t>
      </w:r>
      <w:r>
        <w:rPr/>
        <w:t>MaineDOT</w:t>
      </w:r>
      <w:r>
        <w:rPr>
          <w:spacing w:val="-13"/>
        </w:rPr>
        <w:t> </w:t>
      </w:r>
      <w:r>
        <w:rPr/>
        <w:t>to</w:t>
      </w:r>
      <w:r>
        <w:rPr>
          <w:spacing w:val="-14"/>
        </w:rPr>
        <w:t> </w:t>
      </w:r>
      <w:r>
        <w:rPr/>
        <w:t>ensure</w:t>
      </w:r>
      <w:r>
        <w:rPr>
          <w:spacing w:val="-14"/>
        </w:rPr>
        <w:t> </w:t>
      </w:r>
      <w:r>
        <w:rPr/>
        <w:t>that</w:t>
      </w:r>
      <w:r>
        <w:rPr>
          <w:spacing w:val="-13"/>
        </w:rPr>
        <w:t> </w:t>
      </w:r>
      <w:r>
        <w:rPr/>
        <w:t>tribal</w:t>
      </w:r>
      <w:r>
        <w:rPr>
          <w:spacing w:val="-14"/>
        </w:rPr>
        <w:t> </w:t>
      </w:r>
      <w:r>
        <w:rPr/>
        <w:t>member</w:t>
      </w:r>
      <w:r>
        <w:rPr>
          <w:spacing w:val="-13"/>
        </w:rPr>
        <w:t> </w:t>
      </w:r>
      <w:r>
        <w:rPr/>
        <w:t>transit</w:t>
      </w:r>
      <w:r>
        <w:rPr>
          <w:spacing w:val="-14"/>
        </w:rPr>
        <w:t> </w:t>
      </w:r>
      <w:r>
        <w:rPr/>
        <w:t>needs were understood and included in recommendations within the Locally Coordinated Plan. MaineDOT staff have offered assistance to the tribal planners to prepare FTA grant applications and connect the tribes with regional transit resources.</w:t>
      </w:r>
      <w:r>
        <w:rPr>
          <w:spacing w:val="40"/>
        </w:rPr>
        <w:t> </w:t>
      </w:r>
      <w:r>
        <w:rPr/>
        <w:t>The notes from these consultations appear in the Locally Coordinated Transit Plan Appendix.</w:t>
      </w:r>
    </w:p>
    <w:p>
      <w:pPr>
        <w:spacing w:after="0"/>
        <w:jc w:val="both"/>
        <w:sectPr>
          <w:pgSz w:w="12240" w:h="15840"/>
          <w:pgMar w:header="0" w:footer="997" w:top="960" w:bottom="1220" w:left="600" w:right="500"/>
        </w:sectPr>
      </w:pPr>
    </w:p>
    <w:p>
      <w:pPr>
        <w:pStyle w:val="Heading9"/>
        <w:spacing w:before="35"/>
        <w:ind w:left="840"/>
      </w:pPr>
      <w:r>
        <w:rPr>
          <w:u w:val="single"/>
        </w:rPr>
        <w:t>Regional</w:t>
      </w:r>
      <w:r>
        <w:rPr>
          <w:spacing w:val="-1"/>
          <w:u w:val="single"/>
        </w:rPr>
        <w:t> </w:t>
      </w:r>
      <w:r>
        <w:rPr>
          <w:u w:val="single"/>
        </w:rPr>
        <w:t>Transit</w:t>
      </w:r>
      <w:r>
        <w:rPr>
          <w:spacing w:val="-2"/>
          <w:u w:val="single"/>
        </w:rPr>
        <w:t> Forums</w:t>
      </w:r>
    </w:p>
    <w:p>
      <w:pPr>
        <w:pStyle w:val="BodyText"/>
        <w:spacing w:before="9"/>
        <w:rPr>
          <w:b/>
          <w:sz w:val="19"/>
        </w:rPr>
      </w:pPr>
    </w:p>
    <w:p>
      <w:pPr>
        <w:pStyle w:val="BodyText"/>
        <w:spacing w:before="52"/>
        <w:ind w:left="840" w:right="934"/>
        <w:jc w:val="both"/>
      </w:pPr>
      <w:r>
        <w:rPr/>
        <w:t>MaineDOT hosts regional transit forums to assist in the preparation of Maine’s Locally Coordinated Transit Plan (LCP).</w:t>
      </w:r>
      <w:r>
        <w:rPr>
          <w:spacing w:val="40"/>
        </w:rPr>
        <w:t> </w:t>
      </w:r>
      <w:r>
        <w:rPr/>
        <w:t>For example, six forums were held in 2018 to advise MaineDOT on future public transit needs, strategies, and priorities across Maine.</w:t>
      </w:r>
      <w:r>
        <w:rPr>
          <w:spacing w:val="40"/>
        </w:rPr>
        <w:t> </w:t>
      </w:r>
      <w:r>
        <w:rPr/>
        <w:t>The forums were held in partnership</w:t>
      </w:r>
      <w:r>
        <w:rPr>
          <w:spacing w:val="-7"/>
        </w:rPr>
        <w:t> </w:t>
      </w:r>
      <w:r>
        <w:rPr/>
        <w:t>with</w:t>
      </w:r>
      <w:r>
        <w:rPr>
          <w:spacing w:val="-10"/>
        </w:rPr>
        <w:t> </w:t>
      </w:r>
      <w:r>
        <w:rPr/>
        <w:t>age-friendly</w:t>
      </w:r>
      <w:r>
        <w:rPr>
          <w:spacing w:val="-9"/>
        </w:rPr>
        <w:t> </w:t>
      </w:r>
      <w:r>
        <w:rPr/>
        <w:t>groups,</w:t>
      </w:r>
      <w:r>
        <w:rPr>
          <w:spacing w:val="-8"/>
        </w:rPr>
        <w:t> </w:t>
      </w:r>
      <w:r>
        <w:rPr/>
        <w:t>planning</w:t>
      </w:r>
      <w:r>
        <w:rPr>
          <w:spacing w:val="-9"/>
        </w:rPr>
        <w:t> </w:t>
      </w:r>
      <w:r>
        <w:rPr/>
        <w:t>commissions,</w:t>
      </w:r>
      <w:r>
        <w:rPr>
          <w:spacing w:val="-8"/>
        </w:rPr>
        <w:t> </w:t>
      </w:r>
      <w:r>
        <w:rPr/>
        <w:t>regional</w:t>
      </w:r>
      <w:r>
        <w:rPr>
          <w:spacing w:val="-11"/>
        </w:rPr>
        <w:t> </w:t>
      </w:r>
      <w:r>
        <w:rPr/>
        <w:t>transit</w:t>
      </w:r>
      <w:r>
        <w:rPr>
          <w:spacing w:val="-7"/>
        </w:rPr>
        <w:t> </w:t>
      </w:r>
      <w:r>
        <w:rPr/>
        <w:t>agencies,</w:t>
      </w:r>
      <w:r>
        <w:rPr>
          <w:spacing w:val="-8"/>
        </w:rPr>
        <w:t> </w:t>
      </w:r>
      <w:r>
        <w:rPr/>
        <w:t>municipal governments, health care centers, etc.</w:t>
      </w:r>
      <w:r>
        <w:rPr>
          <w:spacing w:val="40"/>
        </w:rPr>
        <w:t> </w:t>
      </w:r>
      <w:r>
        <w:rPr/>
        <w:t>In-person Regional Transit Forums had been limited during the global COVID pandemic (2020 – 2022), however, MaineDOT is gearing up to reinvigorate the in-person Regional Transit Forums process.</w:t>
      </w:r>
    </w:p>
    <w:p>
      <w:pPr>
        <w:pStyle w:val="BodyText"/>
        <w:spacing w:before="9"/>
        <w:rPr>
          <w:sz w:val="19"/>
        </w:rPr>
      </w:pPr>
    </w:p>
    <w:p>
      <w:pPr>
        <w:pStyle w:val="Heading9"/>
        <w:numPr>
          <w:ilvl w:val="0"/>
          <w:numId w:val="25"/>
        </w:numPr>
        <w:tabs>
          <w:tab w:pos="1057" w:val="left" w:leader="none"/>
        </w:tabs>
        <w:spacing w:line="240" w:lineRule="auto" w:before="0" w:after="0"/>
        <w:ind w:left="840" w:right="2150" w:firstLine="0"/>
        <w:jc w:val="left"/>
        <w:rPr>
          <w:u w:val="single"/>
        </w:rPr>
      </w:pPr>
      <w:bookmarkStart w:name="G.  Procedures MaineDOT Uses to Pass-thr" w:id="44"/>
      <w:bookmarkEnd w:id="44"/>
      <w:r>
        <w:rPr>
          <w:b w:val="0"/>
        </w:rPr>
      </w:r>
      <w:bookmarkStart w:name="_bookmark20" w:id="45"/>
      <w:bookmarkEnd w:id="45"/>
      <w:r>
        <w:rPr>
          <w:b w:val="0"/>
        </w:rPr>
      </w:r>
      <w:r>
        <w:rPr>
          <w:spacing w:val="-4"/>
          <w:u w:val="single"/>
        </w:rPr>
        <w:t> </w:t>
      </w:r>
      <w:r>
        <w:rPr>
          <w:u w:val="single"/>
        </w:rPr>
        <w:t>​</w:t>
      </w:r>
      <w:r>
        <w:rPr>
          <w:spacing w:val="-4"/>
          <w:u w:val="single"/>
        </w:rPr>
        <w:t> </w:t>
      </w:r>
      <w:r>
        <w:rPr>
          <w:u w:val="single"/>
        </w:rPr>
        <w:t>Procedures</w:t>
      </w:r>
      <w:r>
        <w:rPr>
          <w:spacing w:val="-3"/>
          <w:u w:val="single"/>
        </w:rPr>
        <w:t> </w:t>
      </w:r>
      <w:r>
        <w:rPr>
          <w:u w:val="single"/>
        </w:rPr>
        <w:t>MaineDOT</w:t>
      </w:r>
      <w:r>
        <w:rPr>
          <w:spacing w:val="-2"/>
          <w:u w:val="single"/>
        </w:rPr>
        <w:t> </w:t>
      </w:r>
      <w:r>
        <w:rPr>
          <w:u w:val="single"/>
        </w:rPr>
        <w:t>Uses</w:t>
      </w:r>
      <w:r>
        <w:rPr>
          <w:spacing w:val="-3"/>
          <w:u w:val="single"/>
        </w:rPr>
        <w:t> </w:t>
      </w:r>
      <w:r>
        <w:rPr>
          <w:u w:val="single"/>
        </w:rPr>
        <w:t>to</w:t>
      </w:r>
      <w:r>
        <w:rPr>
          <w:spacing w:val="-5"/>
          <w:u w:val="single"/>
        </w:rPr>
        <w:t> </w:t>
      </w:r>
      <w:r>
        <w:rPr>
          <w:u w:val="single"/>
        </w:rPr>
        <w:t>Pass-through</w:t>
      </w:r>
      <w:r>
        <w:rPr>
          <w:spacing w:val="-5"/>
          <w:u w:val="single"/>
        </w:rPr>
        <w:t> </w:t>
      </w:r>
      <w:r>
        <w:rPr>
          <w:u w:val="single"/>
        </w:rPr>
        <w:t>FTA</w:t>
      </w:r>
      <w:r>
        <w:rPr>
          <w:spacing w:val="-3"/>
          <w:u w:val="single"/>
        </w:rPr>
        <w:t> </w:t>
      </w:r>
      <w:r>
        <w:rPr>
          <w:u w:val="single"/>
        </w:rPr>
        <w:t>Financial</w:t>
      </w:r>
      <w:r>
        <w:rPr>
          <w:spacing w:val="-5"/>
          <w:u w:val="single"/>
        </w:rPr>
        <w:t> </w:t>
      </w:r>
      <w:r>
        <w:rPr>
          <w:u w:val="single"/>
        </w:rPr>
        <w:t>Assistance</w:t>
      </w:r>
      <w:r>
        <w:rPr>
          <w:spacing w:val="-4"/>
          <w:u w:val="single"/>
        </w:rPr>
        <w:t> </w:t>
      </w:r>
      <w:r>
        <w:rPr>
          <w:u w:val="single"/>
        </w:rPr>
        <w:t>in</w:t>
      </w:r>
      <w:r>
        <w:rPr>
          <w:spacing w:val="-2"/>
          <w:u w:val="single"/>
        </w:rPr>
        <w:t> </w:t>
      </w:r>
      <w:r>
        <w:rPr>
          <w:u w:val="single"/>
        </w:rPr>
        <w:t>a</w:t>
      </w:r>
      <w:r>
        <w:rPr>
          <w:spacing w:val="-4"/>
          <w:u w:val="single"/>
        </w:rPr>
        <w:t> </w:t>
      </w:r>
      <w:r>
        <w:rPr>
          <w:u w:val="single"/>
        </w:rPr>
        <w:t>Non-</w:t>
      </w:r>
      <w:r>
        <w:rPr/>
        <w:t> </w:t>
      </w:r>
      <w:r>
        <w:rPr>
          <w:u w:val="single"/>
        </w:rPr>
        <w:t>discriminatory Manner</w:t>
      </w:r>
    </w:p>
    <w:p>
      <w:pPr>
        <w:pStyle w:val="BodyText"/>
        <w:spacing w:before="8"/>
        <w:rPr>
          <w:b/>
        </w:rPr>
      </w:pPr>
    </w:p>
    <w:p>
      <w:pPr>
        <w:pStyle w:val="BodyText"/>
        <w:spacing w:before="52"/>
        <w:ind w:left="839" w:right="931"/>
        <w:jc w:val="both"/>
      </w:pPr>
      <w:r>
        <w:rPr/>
        <w:t>Title VI prohibits discrimination on the basis of race, color and national origin.</w:t>
      </w:r>
      <w:r>
        <w:rPr>
          <w:spacing w:val="40"/>
        </w:rPr>
        <w:t> </w:t>
      </w:r>
      <w:r>
        <w:rPr/>
        <w:t>In an effort to make investments that would not impose disproportionately high and adverse effects on minority or low-income populations; MaineDOT and subrecipients utilize the charts and maps included</w:t>
      </w:r>
      <w:r>
        <w:rPr>
          <w:spacing w:val="-5"/>
        </w:rPr>
        <w:t> </w:t>
      </w:r>
      <w:r>
        <w:rPr/>
        <w:t>in</w:t>
      </w:r>
      <w:r>
        <w:rPr>
          <w:spacing w:val="-5"/>
        </w:rPr>
        <w:t> </w:t>
      </w:r>
      <w:r>
        <w:rPr/>
        <w:t>Chapter</w:t>
      </w:r>
      <w:r>
        <w:rPr>
          <w:spacing w:val="-6"/>
        </w:rPr>
        <w:t> </w:t>
      </w:r>
      <w:r>
        <w:rPr/>
        <w:t>V,</w:t>
      </w:r>
      <w:r>
        <w:rPr>
          <w:spacing w:val="-6"/>
        </w:rPr>
        <w:t> </w:t>
      </w:r>
      <w:r>
        <w:rPr/>
        <w:t>Section</w:t>
      </w:r>
      <w:r>
        <w:rPr>
          <w:spacing w:val="-5"/>
        </w:rPr>
        <w:t> </w:t>
      </w:r>
      <w:r>
        <w:rPr/>
        <w:t>C</w:t>
      </w:r>
      <w:r>
        <w:rPr>
          <w:spacing w:val="-5"/>
        </w:rPr>
        <w:t> </w:t>
      </w:r>
      <w:r>
        <w:rPr/>
        <w:t>to</w:t>
      </w:r>
      <w:r>
        <w:rPr>
          <w:spacing w:val="-6"/>
        </w:rPr>
        <w:t> </w:t>
      </w:r>
      <w:r>
        <w:rPr/>
        <w:t>plan</w:t>
      </w:r>
      <w:r>
        <w:rPr>
          <w:spacing w:val="-5"/>
        </w:rPr>
        <w:t> </w:t>
      </w:r>
      <w:r>
        <w:rPr/>
        <w:t>statewide</w:t>
      </w:r>
      <w:r>
        <w:rPr>
          <w:spacing w:val="-6"/>
        </w:rPr>
        <w:t> </w:t>
      </w:r>
      <w:r>
        <w:rPr/>
        <w:t>demand</w:t>
      </w:r>
      <w:r>
        <w:rPr>
          <w:spacing w:val="-5"/>
        </w:rPr>
        <w:t> </w:t>
      </w:r>
      <w:r>
        <w:rPr/>
        <w:t>response</w:t>
      </w:r>
      <w:r>
        <w:rPr>
          <w:spacing w:val="-3"/>
        </w:rPr>
        <w:t> </w:t>
      </w:r>
      <w:r>
        <w:rPr/>
        <w:t>and</w:t>
      </w:r>
      <w:r>
        <w:rPr>
          <w:spacing w:val="-5"/>
        </w:rPr>
        <w:t> </w:t>
      </w:r>
      <w:r>
        <w:rPr/>
        <w:t>flex</w:t>
      </w:r>
      <w:r>
        <w:rPr>
          <w:spacing w:val="-5"/>
        </w:rPr>
        <w:t> </w:t>
      </w:r>
      <w:r>
        <w:rPr/>
        <w:t>route</w:t>
      </w:r>
      <w:r>
        <w:rPr>
          <w:spacing w:val="-6"/>
        </w:rPr>
        <w:t> </w:t>
      </w:r>
      <w:r>
        <w:rPr/>
        <w:t>projects.</w:t>
      </w:r>
      <w:r>
        <w:rPr>
          <w:spacing w:val="-7"/>
        </w:rPr>
        <w:t> </w:t>
      </w:r>
      <w:r>
        <w:rPr/>
        <w:t>The State is divided into eight regions defined, generally along county lines, in order to distribute funds</w:t>
      </w:r>
      <w:r>
        <w:rPr>
          <w:spacing w:val="-11"/>
        </w:rPr>
        <w:t> </w:t>
      </w:r>
      <w:r>
        <w:rPr/>
        <w:t>on</w:t>
      </w:r>
      <w:r>
        <w:rPr>
          <w:spacing w:val="-10"/>
        </w:rPr>
        <w:t> </w:t>
      </w:r>
      <w:r>
        <w:rPr/>
        <w:t>a</w:t>
      </w:r>
      <w:r>
        <w:rPr>
          <w:spacing w:val="-11"/>
        </w:rPr>
        <w:t> </w:t>
      </w:r>
      <w:r>
        <w:rPr/>
        <w:t>fair</w:t>
      </w:r>
      <w:r>
        <w:rPr>
          <w:spacing w:val="-11"/>
        </w:rPr>
        <w:t> </w:t>
      </w:r>
      <w:r>
        <w:rPr/>
        <w:t>and</w:t>
      </w:r>
      <w:r>
        <w:rPr>
          <w:spacing w:val="-10"/>
        </w:rPr>
        <w:t> </w:t>
      </w:r>
      <w:r>
        <w:rPr/>
        <w:t>equitable</w:t>
      </w:r>
      <w:r>
        <w:rPr>
          <w:spacing w:val="-11"/>
        </w:rPr>
        <w:t> </w:t>
      </w:r>
      <w:r>
        <w:rPr/>
        <w:t>basis</w:t>
      </w:r>
      <w:r>
        <w:rPr>
          <w:spacing w:val="-14"/>
        </w:rPr>
        <w:t> </w:t>
      </w:r>
      <w:r>
        <w:rPr/>
        <w:t>for</w:t>
      </w:r>
      <w:r>
        <w:rPr>
          <w:spacing w:val="-12"/>
        </w:rPr>
        <w:t> </w:t>
      </w:r>
      <w:r>
        <w:rPr/>
        <w:t>the</w:t>
      </w:r>
      <w:r>
        <w:rPr>
          <w:spacing w:val="-11"/>
        </w:rPr>
        <w:t> </w:t>
      </w:r>
      <w:r>
        <w:rPr/>
        <w:t>rural</w:t>
      </w:r>
      <w:r>
        <w:rPr>
          <w:spacing w:val="-11"/>
        </w:rPr>
        <w:t> </w:t>
      </w:r>
      <w:r>
        <w:rPr/>
        <w:t>5310</w:t>
      </w:r>
      <w:r>
        <w:rPr>
          <w:spacing w:val="-10"/>
        </w:rPr>
        <w:t> </w:t>
      </w:r>
      <w:r>
        <w:rPr/>
        <w:t>elders</w:t>
      </w:r>
      <w:r>
        <w:rPr>
          <w:spacing w:val="-11"/>
        </w:rPr>
        <w:t> </w:t>
      </w:r>
      <w:r>
        <w:rPr/>
        <w:t>and</w:t>
      </w:r>
      <w:r>
        <w:rPr>
          <w:spacing w:val="-10"/>
        </w:rPr>
        <w:t> </w:t>
      </w:r>
      <w:r>
        <w:rPr/>
        <w:t>persons</w:t>
      </w:r>
      <w:r>
        <w:rPr>
          <w:spacing w:val="-14"/>
        </w:rPr>
        <w:t> </w:t>
      </w:r>
      <w:r>
        <w:rPr/>
        <w:t>with</w:t>
      </w:r>
      <w:r>
        <w:rPr>
          <w:spacing w:val="-9"/>
        </w:rPr>
        <w:t> </w:t>
      </w:r>
      <w:r>
        <w:rPr/>
        <w:t>disabilities</w:t>
      </w:r>
      <w:r>
        <w:rPr>
          <w:spacing w:val="-14"/>
        </w:rPr>
        <w:t> </w:t>
      </w:r>
      <w:r>
        <w:rPr/>
        <w:t>and</w:t>
      </w:r>
      <w:r>
        <w:rPr>
          <w:spacing w:val="-11"/>
        </w:rPr>
        <w:t> </w:t>
      </w:r>
      <w:r>
        <w:rPr/>
        <w:t>non- urbanized area</w:t>
      </w:r>
      <w:r>
        <w:rPr>
          <w:spacing w:val="-1"/>
        </w:rPr>
        <w:t> </w:t>
      </w:r>
      <w:r>
        <w:rPr/>
        <w:t>5311</w:t>
      </w:r>
      <w:r>
        <w:rPr>
          <w:spacing w:val="-1"/>
        </w:rPr>
        <w:t> </w:t>
      </w:r>
      <w:r>
        <w:rPr/>
        <w:t>funds.</w:t>
      </w:r>
      <w:r>
        <w:rPr>
          <w:spacing w:val="40"/>
        </w:rPr>
        <w:t> </w:t>
      </w:r>
      <w:r>
        <w:rPr/>
        <w:t>In each region,</w:t>
      </w:r>
      <w:r>
        <w:rPr>
          <w:spacing w:val="-1"/>
        </w:rPr>
        <w:t> </w:t>
      </w:r>
      <w:r>
        <w:rPr/>
        <w:t>the</w:t>
      </w:r>
      <w:r>
        <w:rPr>
          <w:spacing w:val="-1"/>
        </w:rPr>
        <w:t> </w:t>
      </w:r>
      <w:r>
        <w:rPr/>
        <w:t>use of a</w:t>
      </w:r>
      <w:r>
        <w:rPr>
          <w:spacing w:val="-1"/>
        </w:rPr>
        <w:t> </w:t>
      </w:r>
      <w:r>
        <w:rPr/>
        <w:t>formula</w:t>
      </w:r>
      <w:r>
        <w:rPr>
          <w:spacing w:val="-1"/>
        </w:rPr>
        <w:t> </w:t>
      </w:r>
      <w:r>
        <w:rPr/>
        <w:t>includes</w:t>
      </w:r>
      <w:r>
        <w:rPr>
          <w:spacing w:val="-4"/>
        </w:rPr>
        <w:t> </w:t>
      </w:r>
      <w:r>
        <w:rPr/>
        <w:t>the</w:t>
      </w:r>
      <w:r>
        <w:rPr>
          <w:spacing w:val="-1"/>
        </w:rPr>
        <w:t> </w:t>
      </w:r>
      <w:r>
        <w:rPr/>
        <w:t>three</w:t>
      </w:r>
      <w:r>
        <w:rPr>
          <w:spacing w:val="-1"/>
        </w:rPr>
        <w:t> </w:t>
      </w:r>
      <w:r>
        <w:rPr/>
        <w:t>basic factors of population demographics including minority populations, road mileage and square miles. Approximately 30% of rural funding remaining is distributed by this formula and the balance is assigned to projects which meet needs identified by MaineDOT through the regional Locally Coordinated Plans (LCP).</w:t>
      </w:r>
    </w:p>
    <w:p>
      <w:pPr>
        <w:pStyle w:val="BodyText"/>
      </w:pPr>
    </w:p>
    <w:p>
      <w:pPr>
        <w:pStyle w:val="BodyText"/>
        <w:ind w:left="839" w:right="932"/>
        <w:jc w:val="both"/>
      </w:pPr>
      <w:r>
        <w:rPr/>
        <w:t>The</w:t>
      </w:r>
      <w:r>
        <w:rPr>
          <w:spacing w:val="-6"/>
        </w:rPr>
        <w:t> </w:t>
      </w:r>
      <w:r>
        <w:rPr/>
        <w:t>“non-formula”</w:t>
      </w:r>
      <w:r>
        <w:rPr>
          <w:spacing w:val="-8"/>
        </w:rPr>
        <w:t> </w:t>
      </w:r>
      <w:r>
        <w:rPr/>
        <w:t>projects</w:t>
      </w:r>
      <w:r>
        <w:rPr>
          <w:spacing w:val="-4"/>
        </w:rPr>
        <w:t> </w:t>
      </w:r>
      <w:r>
        <w:rPr/>
        <w:t>are</w:t>
      </w:r>
      <w:r>
        <w:rPr>
          <w:spacing w:val="-6"/>
        </w:rPr>
        <w:t> </w:t>
      </w:r>
      <w:r>
        <w:rPr/>
        <w:t>solicited</w:t>
      </w:r>
      <w:r>
        <w:rPr>
          <w:spacing w:val="-5"/>
        </w:rPr>
        <w:t> </w:t>
      </w:r>
      <w:r>
        <w:rPr/>
        <w:t>in</w:t>
      </w:r>
      <w:r>
        <w:rPr>
          <w:spacing w:val="-5"/>
        </w:rPr>
        <w:t> </w:t>
      </w:r>
      <w:r>
        <w:rPr/>
        <w:t>a</w:t>
      </w:r>
      <w:r>
        <w:rPr>
          <w:spacing w:val="-6"/>
        </w:rPr>
        <w:t> </w:t>
      </w:r>
      <w:r>
        <w:rPr/>
        <w:t>variety</w:t>
      </w:r>
      <w:r>
        <w:rPr>
          <w:spacing w:val="-5"/>
        </w:rPr>
        <w:t> </w:t>
      </w:r>
      <w:r>
        <w:rPr/>
        <w:t>of</w:t>
      </w:r>
      <w:r>
        <w:rPr>
          <w:spacing w:val="-5"/>
        </w:rPr>
        <w:t> </w:t>
      </w:r>
      <w:r>
        <w:rPr/>
        <w:t>ways.</w:t>
      </w:r>
      <w:r>
        <w:rPr>
          <w:spacing w:val="40"/>
        </w:rPr>
        <w:t> </w:t>
      </w:r>
      <w:r>
        <w:rPr/>
        <w:t>Periodically,</w:t>
      </w:r>
      <w:r>
        <w:rPr>
          <w:spacing w:val="-6"/>
        </w:rPr>
        <w:t> </w:t>
      </w:r>
      <w:r>
        <w:rPr/>
        <w:t>MaineDOT</w:t>
      </w:r>
      <w:r>
        <w:rPr>
          <w:spacing w:val="-6"/>
        </w:rPr>
        <w:t> </w:t>
      </w:r>
      <w:r>
        <w:rPr/>
        <w:t>conducts</w:t>
      </w:r>
      <w:r>
        <w:rPr>
          <w:spacing w:val="-9"/>
        </w:rPr>
        <w:t> </w:t>
      </w:r>
      <w:r>
        <w:rPr/>
        <w:t>a series of public meetings as part of the LCP planning process and solicits project ideas and comments to determine gaps in service, under-served minority populations and inadequate funding</w:t>
      </w:r>
      <w:r>
        <w:rPr>
          <w:spacing w:val="-9"/>
        </w:rPr>
        <w:t> </w:t>
      </w:r>
      <w:r>
        <w:rPr/>
        <w:t>distribution.</w:t>
      </w:r>
      <w:r>
        <w:rPr>
          <w:spacing w:val="40"/>
        </w:rPr>
        <w:t> </w:t>
      </w:r>
      <w:r>
        <w:rPr/>
        <w:t>In</w:t>
      </w:r>
      <w:r>
        <w:rPr>
          <w:spacing w:val="-5"/>
        </w:rPr>
        <w:t> </w:t>
      </w:r>
      <w:r>
        <w:rPr/>
        <w:t>addition,</w:t>
      </w:r>
      <w:r>
        <w:rPr>
          <w:spacing w:val="-9"/>
        </w:rPr>
        <w:t> </w:t>
      </w:r>
      <w:r>
        <w:rPr/>
        <w:t>MaineDOT</w:t>
      </w:r>
      <w:r>
        <w:rPr>
          <w:spacing w:val="-6"/>
        </w:rPr>
        <w:t> </w:t>
      </w:r>
      <w:r>
        <w:rPr/>
        <w:t>publishes</w:t>
      </w:r>
      <w:r>
        <w:rPr>
          <w:spacing w:val="-7"/>
        </w:rPr>
        <w:t> </w:t>
      </w:r>
      <w:r>
        <w:rPr/>
        <w:t>a</w:t>
      </w:r>
      <w:r>
        <w:rPr>
          <w:spacing w:val="-6"/>
        </w:rPr>
        <w:t> </w:t>
      </w:r>
      <w:r>
        <w:rPr/>
        <w:t>20-Year</w:t>
      </w:r>
      <w:r>
        <w:rPr>
          <w:spacing w:val="-6"/>
        </w:rPr>
        <w:t> </w:t>
      </w:r>
      <w:r>
        <w:rPr/>
        <w:t>Long</w:t>
      </w:r>
      <w:r>
        <w:rPr>
          <w:spacing w:val="-7"/>
        </w:rPr>
        <w:t> </w:t>
      </w:r>
      <w:r>
        <w:rPr/>
        <w:t>Range</w:t>
      </w:r>
      <w:r>
        <w:rPr>
          <w:spacing w:val="-6"/>
        </w:rPr>
        <w:t> </w:t>
      </w:r>
      <w:r>
        <w:rPr/>
        <w:t>Plan</w:t>
      </w:r>
      <w:r>
        <w:rPr>
          <w:spacing w:val="-5"/>
        </w:rPr>
        <w:t> </w:t>
      </w:r>
      <w:r>
        <w:rPr/>
        <w:t>which</w:t>
      </w:r>
      <w:r>
        <w:rPr>
          <w:spacing w:val="-5"/>
        </w:rPr>
        <w:t> </w:t>
      </w:r>
      <w:r>
        <w:rPr/>
        <w:t>receives public comment, as well as, a capital 3-year calendar work plan and 4-year Statewide Transportation Improvement Program (STIP).</w:t>
      </w:r>
      <w:r>
        <w:rPr>
          <w:spacing w:val="40"/>
        </w:rPr>
        <w:t> </w:t>
      </w:r>
      <w:r>
        <w:rPr/>
        <w:t>All of these plans go through an extensive public comment process and contain projects solicited and chosen from both external and internal sources. MaineDOT publishes legal notices announcing meetings and grant programs; and, invites inquiries and applications from the public and potential transportation providers.</w:t>
      </w:r>
      <w:r>
        <w:rPr>
          <w:spacing w:val="40"/>
        </w:rPr>
        <w:t> </w:t>
      </w:r>
      <w:r>
        <w:rPr/>
        <w:t>All public meetings are held as part of the public involvement process, noticed in accordance with requirements</w:t>
      </w:r>
      <w:r>
        <w:rPr>
          <w:spacing w:val="-7"/>
        </w:rPr>
        <w:t> </w:t>
      </w:r>
      <w:r>
        <w:rPr/>
        <w:t>of</w:t>
      </w:r>
      <w:r>
        <w:rPr>
          <w:spacing w:val="-5"/>
        </w:rPr>
        <w:t> </w:t>
      </w:r>
      <w:r>
        <w:rPr/>
        <w:t>Title</w:t>
      </w:r>
      <w:r>
        <w:rPr>
          <w:spacing w:val="-6"/>
        </w:rPr>
        <w:t> </w:t>
      </w:r>
      <w:r>
        <w:rPr/>
        <w:t>VI,</w:t>
      </w:r>
      <w:r>
        <w:rPr>
          <w:spacing w:val="-9"/>
        </w:rPr>
        <w:t> </w:t>
      </w:r>
      <w:r>
        <w:rPr/>
        <w:t>held</w:t>
      </w:r>
      <w:r>
        <w:rPr>
          <w:spacing w:val="-5"/>
        </w:rPr>
        <w:t> </w:t>
      </w:r>
      <w:r>
        <w:rPr/>
        <w:t>in</w:t>
      </w:r>
      <w:r>
        <w:rPr>
          <w:spacing w:val="-5"/>
        </w:rPr>
        <w:t> </w:t>
      </w:r>
      <w:r>
        <w:rPr/>
        <w:t>locations</w:t>
      </w:r>
      <w:r>
        <w:rPr>
          <w:spacing w:val="-9"/>
        </w:rPr>
        <w:t> </w:t>
      </w:r>
      <w:r>
        <w:rPr/>
        <w:t>that</w:t>
      </w:r>
      <w:r>
        <w:rPr>
          <w:spacing w:val="-5"/>
        </w:rPr>
        <w:t> </w:t>
      </w:r>
      <w:r>
        <w:rPr/>
        <w:t>are</w:t>
      </w:r>
      <w:r>
        <w:rPr>
          <w:spacing w:val="-8"/>
        </w:rPr>
        <w:t> </w:t>
      </w:r>
      <w:r>
        <w:rPr/>
        <w:t>conveniently</w:t>
      </w:r>
      <w:r>
        <w:rPr>
          <w:spacing w:val="-7"/>
        </w:rPr>
        <w:t> </w:t>
      </w:r>
      <w:r>
        <w:rPr/>
        <w:t>situated</w:t>
      </w:r>
      <w:r>
        <w:rPr>
          <w:spacing w:val="-8"/>
        </w:rPr>
        <w:t> </w:t>
      </w:r>
      <w:r>
        <w:rPr/>
        <w:t>with</w:t>
      </w:r>
      <w:r>
        <w:rPr>
          <w:spacing w:val="-5"/>
        </w:rPr>
        <w:t> </w:t>
      </w:r>
      <w:r>
        <w:rPr/>
        <w:t>respect</w:t>
      </w:r>
      <w:r>
        <w:rPr>
          <w:spacing w:val="-8"/>
        </w:rPr>
        <w:t> </w:t>
      </w:r>
      <w:r>
        <w:rPr/>
        <w:t>to</w:t>
      </w:r>
      <w:r>
        <w:rPr>
          <w:spacing w:val="-6"/>
        </w:rPr>
        <w:t> </w:t>
      </w:r>
      <w:r>
        <w:rPr/>
        <w:t>minority and low-income populations and with access to public transit whenever possible.</w:t>
      </w:r>
      <w:r>
        <w:rPr>
          <w:spacing w:val="40"/>
        </w:rPr>
        <w:t> </w:t>
      </w:r>
      <w:r>
        <w:rPr/>
        <w:t>Since 1970, the population statistics from the most recent United States Department of Commerce Census have been used to determine percentages of minority population, non-American and elderly populations.</w:t>
      </w:r>
      <w:r>
        <w:rPr>
          <w:spacing w:val="40"/>
        </w:rPr>
        <w:t> </w:t>
      </w:r>
      <w:r>
        <w:rPr/>
        <w:t>Since the allocation of 49 USC §5311 Federal funds is based on Maine's rural and small</w:t>
      </w:r>
      <w:r>
        <w:rPr>
          <w:spacing w:val="-14"/>
        </w:rPr>
        <w:t> </w:t>
      </w:r>
      <w:r>
        <w:rPr/>
        <w:t>urban</w:t>
      </w:r>
      <w:r>
        <w:rPr>
          <w:spacing w:val="-14"/>
        </w:rPr>
        <w:t> </w:t>
      </w:r>
      <w:r>
        <w:rPr/>
        <w:t>population,</w:t>
      </w:r>
      <w:r>
        <w:rPr>
          <w:spacing w:val="-13"/>
        </w:rPr>
        <w:t> </w:t>
      </w:r>
      <w:r>
        <w:rPr/>
        <w:t>the</w:t>
      </w:r>
      <w:r>
        <w:rPr>
          <w:spacing w:val="-14"/>
        </w:rPr>
        <w:t> </w:t>
      </w:r>
      <w:r>
        <w:rPr/>
        <w:t>urbanized</w:t>
      </w:r>
      <w:r>
        <w:rPr>
          <w:spacing w:val="-13"/>
        </w:rPr>
        <w:t> </w:t>
      </w:r>
      <w:r>
        <w:rPr/>
        <w:t>populations</w:t>
      </w:r>
      <w:r>
        <w:rPr>
          <w:spacing w:val="-14"/>
        </w:rPr>
        <w:t> </w:t>
      </w:r>
      <w:r>
        <w:rPr/>
        <w:t>of</w:t>
      </w:r>
      <w:r>
        <w:rPr>
          <w:spacing w:val="-13"/>
        </w:rPr>
        <w:t> </w:t>
      </w:r>
      <w:r>
        <w:rPr/>
        <w:t>the</w:t>
      </w:r>
      <w:r>
        <w:rPr>
          <w:spacing w:val="-14"/>
        </w:rPr>
        <w:t> </w:t>
      </w:r>
      <w:r>
        <w:rPr/>
        <w:t>Portland,</w:t>
      </w:r>
      <w:r>
        <w:rPr>
          <w:spacing w:val="-14"/>
        </w:rPr>
        <w:t> </w:t>
      </w:r>
      <w:r>
        <w:rPr/>
        <w:t>Lewiston/Auburn,</w:t>
      </w:r>
      <w:r>
        <w:rPr>
          <w:spacing w:val="-13"/>
        </w:rPr>
        <w:t> </w:t>
      </w:r>
      <w:r>
        <w:rPr/>
        <w:t>Bangor</w:t>
      </w:r>
      <w:r>
        <w:rPr>
          <w:spacing w:val="-14"/>
        </w:rPr>
        <w:t> </w:t>
      </w:r>
      <w:r>
        <w:rPr/>
        <w:t>and Kittery</w:t>
      </w:r>
      <w:r>
        <w:rPr>
          <w:spacing w:val="-5"/>
        </w:rPr>
        <w:t> </w:t>
      </w:r>
      <w:r>
        <w:rPr/>
        <w:t>areas</w:t>
      </w:r>
      <w:r>
        <w:rPr>
          <w:spacing w:val="-4"/>
        </w:rPr>
        <w:t> </w:t>
      </w:r>
      <w:r>
        <w:rPr/>
        <w:t>were</w:t>
      </w:r>
      <w:r>
        <w:rPr>
          <w:spacing w:val="-3"/>
        </w:rPr>
        <w:t> </w:t>
      </w:r>
      <w:r>
        <w:rPr/>
        <w:t>not</w:t>
      </w:r>
      <w:r>
        <w:rPr>
          <w:spacing w:val="-3"/>
        </w:rPr>
        <w:t> </w:t>
      </w:r>
      <w:r>
        <w:rPr/>
        <w:t>included</w:t>
      </w:r>
      <w:r>
        <w:rPr>
          <w:spacing w:val="-3"/>
        </w:rPr>
        <w:t> </w:t>
      </w:r>
      <w:r>
        <w:rPr/>
        <w:t>in</w:t>
      </w:r>
      <w:r>
        <w:rPr>
          <w:spacing w:val="-3"/>
        </w:rPr>
        <w:t> </w:t>
      </w:r>
      <w:r>
        <w:rPr/>
        <w:t>their</w:t>
      </w:r>
      <w:r>
        <w:rPr>
          <w:spacing w:val="-4"/>
        </w:rPr>
        <w:t> </w:t>
      </w:r>
      <w:r>
        <w:rPr/>
        <w:t>respective</w:t>
      </w:r>
      <w:r>
        <w:rPr>
          <w:spacing w:val="-1"/>
        </w:rPr>
        <w:t> </w:t>
      </w:r>
      <w:r>
        <w:rPr/>
        <w:t>regions.</w:t>
      </w:r>
      <w:r>
        <w:rPr>
          <w:spacing w:val="40"/>
        </w:rPr>
        <w:t> </w:t>
      </w:r>
      <w:r>
        <w:rPr/>
        <w:t>Mileage</w:t>
      </w:r>
      <w:r>
        <w:rPr>
          <w:spacing w:val="-3"/>
        </w:rPr>
        <w:t> </w:t>
      </w:r>
      <w:r>
        <w:rPr/>
        <w:t>statistics</w:t>
      </w:r>
      <w:r>
        <w:rPr>
          <w:spacing w:val="-2"/>
        </w:rPr>
        <w:t> </w:t>
      </w:r>
      <w:r>
        <w:rPr/>
        <w:t>were</w:t>
      </w:r>
      <w:r>
        <w:rPr>
          <w:spacing w:val="-3"/>
        </w:rPr>
        <w:t> </w:t>
      </w:r>
      <w:r>
        <w:rPr/>
        <w:t>derived</w:t>
      </w:r>
      <w:r>
        <w:rPr>
          <w:spacing w:val="-3"/>
        </w:rPr>
        <w:t> </w:t>
      </w:r>
      <w:r>
        <w:rPr/>
        <w:t>from the Maine Department of Transportation's State Highway Mileage Table.</w:t>
      </w:r>
      <w:r>
        <w:rPr>
          <w:spacing w:val="40"/>
        </w:rPr>
        <w:t> </w:t>
      </w:r>
      <w:r>
        <w:rPr/>
        <w:t>Road mileage located in</w:t>
      </w:r>
      <w:r>
        <w:rPr>
          <w:spacing w:val="-14"/>
        </w:rPr>
        <w:t> </w:t>
      </w:r>
      <w:r>
        <w:rPr/>
        <w:t>the</w:t>
      </w:r>
      <w:r>
        <w:rPr>
          <w:spacing w:val="-14"/>
        </w:rPr>
        <w:t> </w:t>
      </w:r>
      <w:r>
        <w:rPr/>
        <w:t>four</w:t>
      </w:r>
      <w:r>
        <w:rPr>
          <w:spacing w:val="-13"/>
        </w:rPr>
        <w:t> </w:t>
      </w:r>
      <w:r>
        <w:rPr/>
        <w:t>urbanized</w:t>
      </w:r>
      <w:r>
        <w:rPr>
          <w:spacing w:val="-14"/>
        </w:rPr>
        <w:t> </w:t>
      </w:r>
      <w:r>
        <w:rPr/>
        <w:t>sections</w:t>
      </w:r>
      <w:r>
        <w:rPr>
          <w:spacing w:val="-13"/>
        </w:rPr>
        <w:t> </w:t>
      </w:r>
      <w:r>
        <w:rPr/>
        <w:t>mentioned</w:t>
      </w:r>
      <w:r>
        <w:rPr>
          <w:spacing w:val="-14"/>
        </w:rPr>
        <w:t> </w:t>
      </w:r>
      <w:r>
        <w:rPr/>
        <w:t>above</w:t>
      </w:r>
      <w:r>
        <w:rPr>
          <w:spacing w:val="-13"/>
        </w:rPr>
        <w:t> </w:t>
      </w:r>
      <w:r>
        <w:rPr/>
        <w:t>was</w:t>
      </w:r>
      <w:r>
        <w:rPr>
          <w:spacing w:val="-14"/>
        </w:rPr>
        <w:t> </w:t>
      </w:r>
      <w:r>
        <w:rPr/>
        <w:t>not</w:t>
      </w:r>
      <w:r>
        <w:rPr>
          <w:spacing w:val="-14"/>
        </w:rPr>
        <w:t> </w:t>
      </w:r>
      <w:r>
        <w:rPr/>
        <w:t>included</w:t>
      </w:r>
      <w:r>
        <w:rPr>
          <w:spacing w:val="-13"/>
        </w:rPr>
        <w:t> </w:t>
      </w:r>
      <w:r>
        <w:rPr/>
        <w:t>in</w:t>
      </w:r>
      <w:r>
        <w:rPr>
          <w:spacing w:val="-14"/>
        </w:rPr>
        <w:t> </w:t>
      </w:r>
      <w:r>
        <w:rPr/>
        <w:t>those</w:t>
      </w:r>
      <w:r>
        <w:rPr>
          <w:spacing w:val="-13"/>
        </w:rPr>
        <w:t> </w:t>
      </w:r>
      <w:r>
        <w:rPr/>
        <w:t>regions'</w:t>
      </w:r>
      <w:r>
        <w:rPr>
          <w:spacing w:val="-14"/>
        </w:rPr>
        <w:t> </w:t>
      </w:r>
      <w:r>
        <w:rPr/>
        <w:t>computations. It</w:t>
      </w:r>
      <w:r>
        <w:rPr>
          <w:spacing w:val="-8"/>
        </w:rPr>
        <w:t> </w:t>
      </w:r>
      <w:r>
        <w:rPr/>
        <w:t>was</w:t>
      </w:r>
      <w:r>
        <w:rPr>
          <w:spacing w:val="-7"/>
        </w:rPr>
        <w:t> </w:t>
      </w:r>
      <w:r>
        <w:rPr/>
        <w:t>also</w:t>
      </w:r>
      <w:r>
        <w:rPr>
          <w:spacing w:val="-8"/>
        </w:rPr>
        <w:t> </w:t>
      </w:r>
      <w:r>
        <w:rPr/>
        <w:t>decided</w:t>
      </w:r>
      <w:r>
        <w:rPr>
          <w:spacing w:val="-8"/>
        </w:rPr>
        <w:t> </w:t>
      </w:r>
      <w:r>
        <w:rPr/>
        <w:t>that</w:t>
      </w:r>
      <w:r>
        <w:rPr>
          <w:spacing w:val="-8"/>
        </w:rPr>
        <w:t> </w:t>
      </w:r>
      <w:r>
        <w:rPr/>
        <w:t>a</w:t>
      </w:r>
      <w:r>
        <w:rPr>
          <w:spacing w:val="-9"/>
        </w:rPr>
        <w:t> </w:t>
      </w:r>
      <w:r>
        <w:rPr/>
        <w:t>density</w:t>
      </w:r>
      <w:r>
        <w:rPr>
          <w:spacing w:val="-9"/>
        </w:rPr>
        <w:t> </w:t>
      </w:r>
      <w:r>
        <w:rPr/>
        <w:t>factor</w:t>
      </w:r>
      <w:r>
        <w:rPr>
          <w:spacing w:val="-8"/>
        </w:rPr>
        <w:t> </w:t>
      </w:r>
      <w:r>
        <w:rPr/>
        <w:t>pertaining</w:t>
      </w:r>
      <w:r>
        <w:rPr>
          <w:spacing w:val="-9"/>
        </w:rPr>
        <w:t> </w:t>
      </w:r>
      <w:r>
        <w:rPr/>
        <w:t>to</w:t>
      </w:r>
      <w:r>
        <w:rPr>
          <w:spacing w:val="-8"/>
        </w:rPr>
        <w:t> </w:t>
      </w:r>
      <w:r>
        <w:rPr/>
        <w:t>the</w:t>
      </w:r>
      <w:r>
        <w:rPr>
          <w:spacing w:val="-6"/>
        </w:rPr>
        <w:t> </w:t>
      </w:r>
      <w:r>
        <w:rPr/>
        <w:t>road</w:t>
      </w:r>
      <w:r>
        <w:rPr>
          <w:spacing w:val="-8"/>
        </w:rPr>
        <w:t> </w:t>
      </w:r>
      <w:r>
        <w:rPr/>
        <w:t>miles</w:t>
      </w:r>
      <w:r>
        <w:rPr>
          <w:spacing w:val="-10"/>
        </w:rPr>
        <w:t> </w:t>
      </w:r>
      <w:r>
        <w:rPr/>
        <w:t>per</w:t>
      </w:r>
      <w:r>
        <w:rPr>
          <w:spacing w:val="-8"/>
        </w:rPr>
        <w:t> </w:t>
      </w:r>
      <w:r>
        <w:rPr/>
        <w:t>1,000</w:t>
      </w:r>
      <w:r>
        <w:rPr>
          <w:spacing w:val="-8"/>
        </w:rPr>
        <w:t> </w:t>
      </w:r>
      <w:r>
        <w:rPr/>
        <w:t>persons</w:t>
      </w:r>
      <w:r>
        <w:rPr>
          <w:spacing w:val="-9"/>
        </w:rPr>
        <w:t> </w:t>
      </w:r>
      <w:r>
        <w:rPr/>
        <w:t>should</w:t>
      </w:r>
      <w:r>
        <w:rPr>
          <w:spacing w:val="-8"/>
        </w:rPr>
        <w:t> </w:t>
      </w:r>
      <w:r>
        <w:rPr/>
        <w:t>be used.</w:t>
      </w:r>
      <w:r>
        <w:rPr>
          <w:spacing w:val="64"/>
        </w:rPr>
        <w:t> </w:t>
      </w:r>
      <w:r>
        <w:rPr/>
        <w:t>This</w:t>
      </w:r>
      <w:r>
        <w:rPr>
          <w:spacing w:val="4"/>
        </w:rPr>
        <w:t> </w:t>
      </w:r>
      <w:r>
        <w:rPr/>
        <w:t>was</w:t>
      </w:r>
      <w:r>
        <w:rPr>
          <w:spacing w:val="4"/>
        </w:rPr>
        <w:t> </w:t>
      </w:r>
      <w:r>
        <w:rPr/>
        <w:t>accomplished</w:t>
      </w:r>
      <w:r>
        <w:rPr>
          <w:spacing w:val="5"/>
        </w:rPr>
        <w:t> </w:t>
      </w:r>
      <w:r>
        <w:rPr/>
        <w:t>by</w:t>
      </w:r>
      <w:r>
        <w:rPr>
          <w:spacing w:val="6"/>
        </w:rPr>
        <w:t> </w:t>
      </w:r>
      <w:r>
        <w:rPr/>
        <w:t>dividing</w:t>
      </w:r>
      <w:r>
        <w:rPr>
          <w:spacing w:val="4"/>
        </w:rPr>
        <w:t> </w:t>
      </w:r>
      <w:r>
        <w:rPr/>
        <w:t>the</w:t>
      </w:r>
      <w:r>
        <w:rPr>
          <w:spacing w:val="7"/>
        </w:rPr>
        <w:t> </w:t>
      </w:r>
      <w:r>
        <w:rPr/>
        <w:t>region</w:t>
      </w:r>
      <w:r>
        <w:rPr>
          <w:spacing w:val="4"/>
        </w:rPr>
        <w:t> </w:t>
      </w:r>
      <w:r>
        <w:rPr/>
        <w:t>population</w:t>
      </w:r>
      <w:r>
        <w:rPr>
          <w:spacing w:val="5"/>
        </w:rPr>
        <w:t> </w:t>
      </w:r>
      <w:r>
        <w:rPr/>
        <w:t>into</w:t>
      </w:r>
      <w:r>
        <w:rPr>
          <w:spacing w:val="5"/>
        </w:rPr>
        <w:t> </w:t>
      </w:r>
      <w:r>
        <w:rPr/>
        <w:t>the</w:t>
      </w:r>
      <w:r>
        <w:rPr>
          <w:spacing w:val="5"/>
        </w:rPr>
        <w:t> </w:t>
      </w:r>
      <w:r>
        <w:rPr/>
        <w:t>region</w:t>
      </w:r>
      <w:r>
        <w:rPr>
          <w:spacing w:val="8"/>
        </w:rPr>
        <w:t> </w:t>
      </w:r>
      <w:r>
        <w:rPr/>
        <w:t>road</w:t>
      </w:r>
      <w:r>
        <w:rPr>
          <w:spacing w:val="5"/>
        </w:rPr>
        <w:t> </w:t>
      </w:r>
      <w:r>
        <w:rPr/>
        <w:t>miles.</w:t>
      </w:r>
      <w:r>
        <w:rPr>
          <w:spacing w:val="65"/>
        </w:rPr>
        <w:t> </w:t>
      </w:r>
      <w:r>
        <w:rPr>
          <w:spacing w:val="-5"/>
        </w:rPr>
        <w:t>The</w:t>
      </w:r>
    </w:p>
    <w:p>
      <w:pPr>
        <w:spacing w:after="0"/>
        <w:jc w:val="both"/>
        <w:sectPr>
          <w:pgSz w:w="12240" w:h="15840"/>
          <w:pgMar w:header="0" w:footer="997" w:top="960" w:bottom="1260" w:left="600" w:right="500"/>
        </w:sectPr>
      </w:pPr>
    </w:p>
    <w:p>
      <w:pPr>
        <w:pStyle w:val="BodyText"/>
        <w:spacing w:before="35"/>
        <w:ind w:left="840" w:right="934"/>
        <w:jc w:val="both"/>
      </w:pPr>
      <w:r>
        <w:rPr/>
        <w:t>density</w:t>
      </w:r>
      <w:r>
        <w:rPr>
          <w:spacing w:val="-9"/>
        </w:rPr>
        <w:t> </w:t>
      </w:r>
      <w:r>
        <w:rPr/>
        <w:t>factor</w:t>
      </w:r>
      <w:r>
        <w:rPr>
          <w:spacing w:val="-8"/>
        </w:rPr>
        <w:t> </w:t>
      </w:r>
      <w:r>
        <w:rPr/>
        <w:t>and</w:t>
      </w:r>
      <w:r>
        <w:rPr>
          <w:spacing w:val="-10"/>
        </w:rPr>
        <w:t> </w:t>
      </w:r>
      <w:r>
        <w:rPr/>
        <w:t>the</w:t>
      </w:r>
      <w:r>
        <w:rPr>
          <w:spacing w:val="-11"/>
        </w:rPr>
        <w:t> </w:t>
      </w:r>
      <w:r>
        <w:rPr/>
        <w:t>population</w:t>
      </w:r>
      <w:r>
        <w:rPr>
          <w:spacing w:val="-10"/>
        </w:rPr>
        <w:t> </w:t>
      </w:r>
      <w:r>
        <w:rPr/>
        <w:t>factor</w:t>
      </w:r>
      <w:r>
        <w:rPr>
          <w:spacing w:val="-11"/>
        </w:rPr>
        <w:t> </w:t>
      </w:r>
      <w:r>
        <w:rPr/>
        <w:t>were</w:t>
      </w:r>
      <w:r>
        <w:rPr>
          <w:spacing w:val="-11"/>
        </w:rPr>
        <w:t> </w:t>
      </w:r>
      <w:r>
        <w:rPr/>
        <w:t>given</w:t>
      </w:r>
      <w:r>
        <w:rPr>
          <w:spacing w:val="-8"/>
        </w:rPr>
        <w:t> </w:t>
      </w:r>
      <w:r>
        <w:rPr/>
        <w:t>an</w:t>
      </w:r>
      <w:r>
        <w:rPr>
          <w:spacing w:val="-10"/>
        </w:rPr>
        <w:t> </w:t>
      </w:r>
      <w:r>
        <w:rPr/>
        <w:t>equal</w:t>
      </w:r>
      <w:r>
        <w:rPr>
          <w:spacing w:val="-11"/>
        </w:rPr>
        <w:t> </w:t>
      </w:r>
      <w:r>
        <w:rPr/>
        <w:t>weight</w:t>
      </w:r>
      <w:r>
        <w:rPr>
          <w:spacing w:val="-8"/>
        </w:rPr>
        <w:t> </w:t>
      </w:r>
      <w:r>
        <w:rPr/>
        <w:t>in</w:t>
      </w:r>
      <w:r>
        <w:rPr>
          <w:spacing w:val="-10"/>
        </w:rPr>
        <w:t> </w:t>
      </w:r>
      <w:r>
        <w:rPr/>
        <w:t>determining</w:t>
      </w:r>
      <w:r>
        <w:rPr>
          <w:spacing w:val="-11"/>
        </w:rPr>
        <w:t> </w:t>
      </w:r>
      <w:r>
        <w:rPr/>
        <w:t>each</w:t>
      </w:r>
      <w:r>
        <w:rPr>
          <w:spacing w:val="-10"/>
        </w:rPr>
        <w:t> </w:t>
      </w:r>
      <w:r>
        <w:rPr/>
        <w:t>region's percentage of the total allocation.</w:t>
      </w:r>
      <w:r>
        <w:rPr>
          <w:spacing w:val="40"/>
        </w:rPr>
        <w:t> </w:t>
      </w:r>
      <w:r>
        <w:rPr/>
        <w:t>(Appendices G and H are copies of the formula used to disburse 49 USC §5310 and §5311 allocations, respectively).</w:t>
      </w:r>
    </w:p>
    <w:p>
      <w:pPr>
        <w:pStyle w:val="BodyText"/>
        <w:spacing w:before="12"/>
        <w:rPr>
          <w:sz w:val="23"/>
        </w:rPr>
      </w:pPr>
    </w:p>
    <w:p>
      <w:pPr>
        <w:pStyle w:val="BodyText"/>
        <w:ind w:left="840" w:right="933"/>
        <w:jc w:val="both"/>
      </w:pPr>
      <w:r>
        <w:rPr/>
        <w:t>With the inception of MAP-21 and FAST, MaineDOT receives additional Section 5310 funds and a new program, Section 5339 funds.</w:t>
      </w:r>
      <w:r>
        <w:rPr>
          <w:spacing w:val="40"/>
        </w:rPr>
        <w:t> </w:t>
      </w:r>
      <w:r>
        <w:rPr/>
        <w:t>The new Section 5310 funds are for the small urban and UZA areas.</w:t>
      </w:r>
      <w:r>
        <w:rPr>
          <w:spacing w:val="40"/>
        </w:rPr>
        <w:t> </w:t>
      </w:r>
      <w:r>
        <w:rPr/>
        <w:t>These are distributed by MaineDOT based on a combination of need and formula, and it is anticipated that these funds will become competitive in the future.</w:t>
      </w:r>
      <w:r>
        <w:rPr>
          <w:spacing w:val="40"/>
        </w:rPr>
        <w:t> </w:t>
      </w:r>
      <w:r>
        <w:rPr/>
        <w:t>The new Section 5339 funds are apportioned to Maine in three categories: rural, small urban, and UZA.</w:t>
      </w:r>
      <w:r>
        <w:rPr>
          <w:spacing w:val="40"/>
        </w:rPr>
        <w:t> </w:t>
      </w:r>
      <w:r>
        <w:rPr/>
        <w:t>These funds</w:t>
      </w:r>
      <w:r>
        <w:rPr>
          <w:spacing w:val="-11"/>
        </w:rPr>
        <w:t> </w:t>
      </w:r>
      <w:r>
        <w:rPr/>
        <w:t>are</w:t>
      </w:r>
      <w:r>
        <w:rPr>
          <w:spacing w:val="-11"/>
        </w:rPr>
        <w:t> </w:t>
      </w:r>
      <w:r>
        <w:rPr/>
        <w:t>competitive</w:t>
      </w:r>
      <w:r>
        <w:rPr>
          <w:spacing w:val="-11"/>
        </w:rPr>
        <w:t> </w:t>
      </w:r>
      <w:r>
        <w:rPr/>
        <w:t>in</w:t>
      </w:r>
      <w:r>
        <w:rPr>
          <w:spacing w:val="-12"/>
        </w:rPr>
        <w:t> </w:t>
      </w:r>
      <w:r>
        <w:rPr/>
        <w:t>nature</w:t>
      </w:r>
      <w:r>
        <w:rPr>
          <w:spacing w:val="-11"/>
        </w:rPr>
        <w:t> </w:t>
      </w:r>
      <w:r>
        <w:rPr/>
        <w:t>but</w:t>
      </w:r>
      <w:r>
        <w:rPr>
          <w:spacing w:val="-10"/>
        </w:rPr>
        <w:t> </w:t>
      </w:r>
      <w:r>
        <w:rPr/>
        <w:t>may</w:t>
      </w:r>
      <w:r>
        <w:rPr>
          <w:spacing w:val="-12"/>
        </w:rPr>
        <w:t> </w:t>
      </w:r>
      <w:r>
        <w:rPr/>
        <w:t>also</w:t>
      </w:r>
      <w:r>
        <w:rPr>
          <w:spacing w:val="-11"/>
        </w:rPr>
        <w:t> </w:t>
      </w:r>
      <w:r>
        <w:rPr/>
        <w:t>be</w:t>
      </w:r>
      <w:r>
        <w:rPr>
          <w:spacing w:val="-13"/>
        </w:rPr>
        <w:t> </w:t>
      </w:r>
      <w:r>
        <w:rPr/>
        <w:t>designated</w:t>
      </w:r>
      <w:r>
        <w:rPr>
          <w:spacing w:val="-10"/>
        </w:rPr>
        <w:t> </w:t>
      </w:r>
      <w:r>
        <w:rPr/>
        <w:t>to</w:t>
      </w:r>
      <w:r>
        <w:rPr>
          <w:spacing w:val="-11"/>
        </w:rPr>
        <w:t> </w:t>
      </w:r>
      <w:r>
        <w:rPr/>
        <w:t>transit</w:t>
      </w:r>
      <w:r>
        <w:rPr>
          <w:spacing w:val="-10"/>
        </w:rPr>
        <w:t> </w:t>
      </w:r>
      <w:r>
        <w:rPr/>
        <w:t>agencies</w:t>
      </w:r>
      <w:r>
        <w:rPr>
          <w:spacing w:val="-11"/>
        </w:rPr>
        <w:t> </w:t>
      </w:r>
      <w:r>
        <w:rPr/>
        <w:t>to</w:t>
      </w:r>
      <w:r>
        <w:rPr>
          <w:spacing w:val="-11"/>
        </w:rPr>
        <w:t> </w:t>
      </w:r>
      <w:r>
        <w:rPr/>
        <w:t>meet</w:t>
      </w:r>
      <w:r>
        <w:rPr>
          <w:spacing w:val="-10"/>
        </w:rPr>
        <w:t> </w:t>
      </w:r>
      <w:r>
        <w:rPr/>
        <w:t>the</w:t>
      </w:r>
      <w:r>
        <w:rPr>
          <w:spacing w:val="-11"/>
        </w:rPr>
        <w:t> </w:t>
      </w:r>
      <w:r>
        <w:rPr/>
        <w:t>needs of minority &amp; low-income and the disability community.</w:t>
      </w:r>
    </w:p>
    <w:p>
      <w:pPr>
        <w:pStyle w:val="BodyText"/>
        <w:spacing w:before="1"/>
      </w:pPr>
    </w:p>
    <w:p>
      <w:pPr>
        <w:pStyle w:val="Heading9"/>
        <w:ind w:left="840"/>
        <w:jc w:val="both"/>
      </w:pPr>
      <w:r>
        <w:rPr>
          <w:u w:val="single"/>
        </w:rPr>
        <w:t>Application</w:t>
      </w:r>
      <w:r>
        <w:rPr>
          <w:spacing w:val="-2"/>
          <w:u w:val="single"/>
        </w:rPr>
        <w:t> </w:t>
      </w:r>
      <w:r>
        <w:rPr>
          <w:u w:val="single"/>
        </w:rPr>
        <w:t>Process</w:t>
      </w:r>
      <w:r>
        <w:rPr>
          <w:spacing w:val="-1"/>
          <w:u w:val="single"/>
        </w:rPr>
        <w:t> </w:t>
      </w:r>
      <w:r>
        <w:rPr>
          <w:u w:val="single"/>
        </w:rPr>
        <w:t>and</w:t>
      </w:r>
      <w:r>
        <w:rPr>
          <w:spacing w:val="-3"/>
          <w:u w:val="single"/>
        </w:rPr>
        <w:t> </w:t>
      </w:r>
      <w:r>
        <w:rPr>
          <w:u w:val="single"/>
        </w:rPr>
        <w:t>Evaluation</w:t>
      </w:r>
      <w:r>
        <w:rPr>
          <w:spacing w:val="-3"/>
          <w:u w:val="single"/>
        </w:rPr>
        <w:t> </w:t>
      </w:r>
      <w:r>
        <w:rPr>
          <w:u w:val="single"/>
        </w:rPr>
        <w:t>of</w:t>
      </w:r>
      <w:r>
        <w:rPr>
          <w:spacing w:val="-2"/>
          <w:u w:val="single"/>
        </w:rPr>
        <w:t> Projects</w:t>
      </w:r>
    </w:p>
    <w:p>
      <w:pPr>
        <w:pStyle w:val="BodyText"/>
        <w:spacing w:before="9"/>
        <w:rPr>
          <w:b/>
          <w:sz w:val="19"/>
        </w:rPr>
      </w:pPr>
    </w:p>
    <w:p>
      <w:pPr>
        <w:pStyle w:val="BodyText"/>
        <w:spacing w:before="51"/>
        <w:ind w:left="840" w:right="932"/>
        <w:jc w:val="both"/>
      </w:pPr>
      <w:r>
        <w:rPr/>
        <w:t>In general,</w:t>
      </w:r>
      <w:r>
        <w:rPr>
          <w:spacing w:val="-1"/>
        </w:rPr>
        <w:t> </w:t>
      </w:r>
      <w:r>
        <w:rPr/>
        <w:t>transit</w:t>
      </w:r>
      <w:r>
        <w:rPr>
          <w:spacing w:val="-1"/>
        </w:rPr>
        <w:t> </w:t>
      </w:r>
      <w:r>
        <w:rPr/>
        <w:t>projects funded</w:t>
      </w:r>
      <w:r>
        <w:rPr>
          <w:spacing w:val="-1"/>
        </w:rPr>
        <w:t> </w:t>
      </w:r>
      <w:r>
        <w:rPr/>
        <w:t>by</w:t>
      </w:r>
      <w:r>
        <w:rPr>
          <w:spacing w:val="-2"/>
        </w:rPr>
        <w:t> </w:t>
      </w:r>
      <w:r>
        <w:rPr/>
        <w:t>MaineDOT</w:t>
      </w:r>
      <w:r>
        <w:rPr>
          <w:spacing w:val="-1"/>
        </w:rPr>
        <w:t> </w:t>
      </w:r>
      <w:r>
        <w:rPr/>
        <w:t>are funded in</w:t>
      </w:r>
      <w:r>
        <w:rPr>
          <w:spacing w:val="-1"/>
        </w:rPr>
        <w:t> </w:t>
      </w:r>
      <w:r>
        <w:rPr/>
        <w:t>part</w:t>
      </w:r>
      <w:r>
        <w:rPr>
          <w:spacing w:val="-1"/>
        </w:rPr>
        <w:t> </w:t>
      </w:r>
      <w:r>
        <w:rPr/>
        <w:t>by</w:t>
      </w:r>
      <w:r>
        <w:rPr>
          <w:spacing w:val="-2"/>
        </w:rPr>
        <w:t> </w:t>
      </w:r>
      <w:r>
        <w:rPr/>
        <w:t>formula grants</w:t>
      </w:r>
      <w:r>
        <w:rPr>
          <w:spacing w:val="-2"/>
        </w:rPr>
        <w:t> </w:t>
      </w:r>
      <w:r>
        <w:rPr/>
        <w:t>and</w:t>
      </w:r>
      <w:r>
        <w:rPr>
          <w:spacing w:val="-1"/>
        </w:rPr>
        <w:t> </w:t>
      </w:r>
      <w:r>
        <w:rPr/>
        <w:t>need. In all cases MaineDOT requires that transportation providers submit an application for funding. Applicants are responsible for ensuring Title VI program development and identifying minority and low-income population in the areas served. Following submission of an application or applications to MaineDOT, the Bureau of Planning takes the following steps:</w:t>
      </w:r>
    </w:p>
    <w:p>
      <w:pPr>
        <w:pStyle w:val="BodyText"/>
        <w:spacing w:before="11"/>
        <w:rPr>
          <w:sz w:val="23"/>
        </w:rPr>
      </w:pPr>
    </w:p>
    <w:p>
      <w:pPr>
        <w:pStyle w:val="ListParagraph"/>
        <w:numPr>
          <w:ilvl w:val="1"/>
          <w:numId w:val="25"/>
        </w:numPr>
        <w:tabs>
          <w:tab w:pos="1559" w:val="left" w:leader="none"/>
        </w:tabs>
        <w:spacing w:line="240" w:lineRule="auto" w:before="1" w:after="0"/>
        <w:ind w:left="1559" w:right="0" w:hanging="359"/>
        <w:jc w:val="left"/>
        <w:rPr>
          <w:sz w:val="24"/>
        </w:rPr>
      </w:pPr>
      <w:r>
        <w:rPr>
          <w:sz w:val="24"/>
        </w:rPr>
        <w:t>Confirm</w:t>
      </w:r>
      <w:r>
        <w:rPr>
          <w:spacing w:val="-3"/>
          <w:sz w:val="24"/>
        </w:rPr>
        <w:t> </w:t>
      </w:r>
      <w:r>
        <w:rPr>
          <w:sz w:val="24"/>
        </w:rPr>
        <w:t>Title</w:t>
      </w:r>
      <w:r>
        <w:rPr>
          <w:spacing w:val="1"/>
          <w:sz w:val="24"/>
        </w:rPr>
        <w:t> </w:t>
      </w:r>
      <w:r>
        <w:rPr>
          <w:sz w:val="24"/>
        </w:rPr>
        <w:t>VI</w:t>
      </w:r>
      <w:r>
        <w:rPr>
          <w:spacing w:val="-2"/>
          <w:sz w:val="24"/>
        </w:rPr>
        <w:t> compliance;</w:t>
      </w:r>
    </w:p>
    <w:p>
      <w:pPr>
        <w:pStyle w:val="ListParagraph"/>
        <w:numPr>
          <w:ilvl w:val="1"/>
          <w:numId w:val="25"/>
        </w:numPr>
        <w:tabs>
          <w:tab w:pos="1559" w:val="left" w:leader="none"/>
        </w:tabs>
        <w:spacing w:line="240" w:lineRule="auto" w:before="0" w:after="0"/>
        <w:ind w:left="1559" w:right="0" w:hanging="359"/>
        <w:jc w:val="left"/>
        <w:rPr>
          <w:sz w:val="24"/>
        </w:rPr>
      </w:pPr>
      <w:r>
        <w:rPr>
          <w:sz w:val="24"/>
        </w:rPr>
        <w:t>Review projects</w:t>
      </w:r>
      <w:r>
        <w:rPr>
          <w:spacing w:val="-3"/>
          <w:sz w:val="24"/>
        </w:rPr>
        <w:t> </w:t>
      </w:r>
      <w:r>
        <w:rPr>
          <w:sz w:val="24"/>
        </w:rPr>
        <w:t>to</w:t>
      </w:r>
      <w:r>
        <w:rPr>
          <w:spacing w:val="-3"/>
          <w:sz w:val="24"/>
        </w:rPr>
        <w:t> </w:t>
      </w:r>
      <w:r>
        <w:rPr>
          <w:sz w:val="24"/>
        </w:rPr>
        <w:t>determine </w:t>
      </w:r>
      <w:r>
        <w:rPr>
          <w:spacing w:val="-2"/>
          <w:sz w:val="24"/>
        </w:rPr>
        <w:t>eligibility;</w:t>
      </w:r>
    </w:p>
    <w:p>
      <w:pPr>
        <w:pStyle w:val="ListParagraph"/>
        <w:numPr>
          <w:ilvl w:val="1"/>
          <w:numId w:val="25"/>
        </w:numPr>
        <w:tabs>
          <w:tab w:pos="1559" w:val="left" w:leader="none"/>
        </w:tabs>
        <w:spacing w:line="240" w:lineRule="auto" w:before="2" w:after="0"/>
        <w:ind w:left="1559" w:right="0" w:hanging="359"/>
        <w:jc w:val="left"/>
        <w:rPr>
          <w:sz w:val="24"/>
        </w:rPr>
      </w:pPr>
      <w:r>
        <w:rPr>
          <w:sz w:val="24"/>
        </w:rPr>
        <w:t>Identify</w:t>
      </w:r>
      <w:r>
        <w:rPr>
          <w:spacing w:val="-3"/>
          <w:sz w:val="24"/>
        </w:rPr>
        <w:t> </w:t>
      </w:r>
      <w:r>
        <w:rPr>
          <w:sz w:val="24"/>
        </w:rPr>
        <w:t>projects</w:t>
      </w:r>
      <w:r>
        <w:rPr>
          <w:spacing w:val="-2"/>
          <w:sz w:val="24"/>
        </w:rPr>
        <w:t> </w:t>
      </w:r>
      <w:r>
        <w:rPr>
          <w:sz w:val="24"/>
        </w:rPr>
        <w:t>funded</w:t>
      </w:r>
      <w:r>
        <w:rPr>
          <w:spacing w:val="-3"/>
          <w:sz w:val="24"/>
        </w:rPr>
        <w:t> </w:t>
      </w:r>
      <w:r>
        <w:rPr>
          <w:sz w:val="24"/>
        </w:rPr>
        <w:t>by </w:t>
      </w:r>
      <w:r>
        <w:rPr>
          <w:spacing w:val="-2"/>
          <w:sz w:val="24"/>
        </w:rPr>
        <w:t>formula;</w:t>
      </w:r>
    </w:p>
    <w:p>
      <w:pPr>
        <w:pStyle w:val="ListParagraph"/>
        <w:numPr>
          <w:ilvl w:val="1"/>
          <w:numId w:val="25"/>
        </w:numPr>
        <w:tabs>
          <w:tab w:pos="1558" w:val="left" w:leader="none"/>
        </w:tabs>
        <w:spacing w:line="240" w:lineRule="auto" w:before="0" w:after="0"/>
        <w:ind w:left="1558" w:right="0" w:hanging="359"/>
        <w:jc w:val="left"/>
        <w:rPr>
          <w:sz w:val="24"/>
        </w:rPr>
      </w:pPr>
      <w:r>
        <w:rPr>
          <w:sz w:val="24"/>
        </w:rPr>
        <w:t>Prioritize</w:t>
      </w:r>
      <w:r>
        <w:rPr>
          <w:spacing w:val="-2"/>
          <w:sz w:val="24"/>
        </w:rPr>
        <w:t> </w:t>
      </w:r>
      <w:r>
        <w:rPr>
          <w:sz w:val="24"/>
        </w:rPr>
        <w:t>training</w:t>
      </w:r>
      <w:r>
        <w:rPr>
          <w:spacing w:val="-3"/>
          <w:sz w:val="24"/>
        </w:rPr>
        <w:t> </w:t>
      </w:r>
      <w:r>
        <w:rPr>
          <w:sz w:val="24"/>
        </w:rPr>
        <w:t>needs;</w:t>
      </w:r>
      <w:r>
        <w:rPr>
          <w:spacing w:val="-4"/>
          <w:sz w:val="24"/>
        </w:rPr>
        <w:t> </w:t>
      </w:r>
      <w:r>
        <w:rPr>
          <w:spacing w:val="-5"/>
          <w:sz w:val="24"/>
        </w:rPr>
        <w:t>and</w:t>
      </w:r>
    </w:p>
    <w:p>
      <w:pPr>
        <w:pStyle w:val="ListParagraph"/>
        <w:numPr>
          <w:ilvl w:val="1"/>
          <w:numId w:val="25"/>
        </w:numPr>
        <w:tabs>
          <w:tab w:pos="1558" w:val="left" w:leader="none"/>
        </w:tabs>
        <w:spacing w:line="240" w:lineRule="auto" w:before="0" w:after="0"/>
        <w:ind w:left="1558" w:right="0" w:hanging="359"/>
        <w:jc w:val="left"/>
        <w:rPr>
          <w:sz w:val="24"/>
        </w:rPr>
      </w:pPr>
      <w:r>
        <w:rPr>
          <w:sz w:val="24"/>
        </w:rPr>
        <w:t>Prepare</w:t>
      </w:r>
      <w:r>
        <w:rPr>
          <w:spacing w:val="-4"/>
          <w:sz w:val="24"/>
        </w:rPr>
        <w:t> </w:t>
      </w:r>
      <w:r>
        <w:rPr>
          <w:sz w:val="24"/>
        </w:rPr>
        <w:t>a</w:t>
      </w:r>
      <w:r>
        <w:rPr>
          <w:spacing w:val="-3"/>
          <w:sz w:val="24"/>
        </w:rPr>
        <w:t> </w:t>
      </w:r>
      <w:r>
        <w:rPr>
          <w:sz w:val="24"/>
        </w:rPr>
        <w:t>Program</w:t>
      </w:r>
      <w:r>
        <w:rPr>
          <w:spacing w:val="-2"/>
          <w:sz w:val="24"/>
        </w:rPr>
        <w:t> </w:t>
      </w:r>
      <w:r>
        <w:rPr>
          <w:sz w:val="24"/>
        </w:rPr>
        <w:t>of Projects</w:t>
      </w:r>
      <w:r>
        <w:rPr>
          <w:spacing w:val="-4"/>
          <w:sz w:val="24"/>
        </w:rPr>
        <w:t> </w:t>
      </w:r>
      <w:r>
        <w:rPr>
          <w:sz w:val="24"/>
        </w:rPr>
        <w:t>based</w:t>
      </w:r>
      <w:r>
        <w:rPr>
          <w:spacing w:val="-3"/>
          <w:sz w:val="24"/>
        </w:rPr>
        <w:t> </w:t>
      </w:r>
      <w:r>
        <w:rPr>
          <w:sz w:val="24"/>
        </w:rPr>
        <w:t>on</w:t>
      </w:r>
      <w:r>
        <w:rPr>
          <w:spacing w:val="-3"/>
          <w:sz w:val="24"/>
        </w:rPr>
        <w:t> </w:t>
      </w:r>
      <w:r>
        <w:rPr>
          <w:sz w:val="24"/>
        </w:rPr>
        <w:t>available</w:t>
      </w:r>
      <w:r>
        <w:rPr>
          <w:spacing w:val="-2"/>
          <w:sz w:val="24"/>
        </w:rPr>
        <w:t> funding.</w:t>
      </w:r>
    </w:p>
    <w:p>
      <w:pPr>
        <w:spacing w:line="580" w:lineRule="atLeast" w:before="5"/>
        <w:ind w:left="840" w:right="2060" w:firstLine="0"/>
        <w:jc w:val="left"/>
        <w:rPr>
          <w:sz w:val="24"/>
        </w:rPr>
      </w:pPr>
      <w:r>
        <w:rPr>
          <w:b/>
          <w:sz w:val="24"/>
        </w:rPr>
        <w:t>Specific Procedures for Distributing FTA Section 5311 Funds are as Follows:</w:t>
      </w:r>
      <w:r>
        <w:rPr>
          <w:b/>
          <w:spacing w:val="80"/>
          <w:sz w:val="24"/>
        </w:rPr>
        <w:t> </w:t>
      </w:r>
      <w:r>
        <w:rPr>
          <w:b/>
          <w:sz w:val="24"/>
        </w:rPr>
        <w:t>Priority</w:t>
      </w:r>
      <w:r>
        <w:rPr>
          <w:b/>
          <w:spacing w:val="-5"/>
          <w:sz w:val="24"/>
        </w:rPr>
        <w:t> </w:t>
      </w:r>
      <w:r>
        <w:rPr>
          <w:b/>
          <w:sz w:val="24"/>
        </w:rPr>
        <w:t>One</w:t>
      </w:r>
      <w:r>
        <w:rPr>
          <w:b/>
          <w:spacing w:val="-3"/>
          <w:sz w:val="24"/>
        </w:rPr>
        <w:t> </w:t>
      </w:r>
      <w:r>
        <w:rPr>
          <w:sz w:val="24"/>
        </w:rPr>
        <w:t>-</w:t>
      </w:r>
      <w:r>
        <w:rPr>
          <w:spacing w:val="-3"/>
          <w:sz w:val="24"/>
        </w:rPr>
        <w:t> </w:t>
      </w:r>
      <w:r>
        <w:rPr>
          <w:sz w:val="24"/>
        </w:rPr>
        <w:t>The</w:t>
      </w:r>
      <w:r>
        <w:rPr>
          <w:spacing w:val="-1"/>
          <w:sz w:val="24"/>
        </w:rPr>
        <w:t> </w:t>
      </w:r>
      <w:r>
        <w:rPr>
          <w:sz w:val="24"/>
        </w:rPr>
        <w:t>first</w:t>
      </w:r>
      <w:r>
        <w:rPr>
          <w:spacing w:val="-3"/>
          <w:sz w:val="24"/>
        </w:rPr>
        <w:t> </w:t>
      </w:r>
      <w:r>
        <w:rPr>
          <w:sz w:val="24"/>
        </w:rPr>
        <w:t>funding</w:t>
      </w:r>
      <w:r>
        <w:rPr>
          <w:spacing w:val="-4"/>
          <w:sz w:val="24"/>
        </w:rPr>
        <w:t> </w:t>
      </w:r>
      <w:r>
        <w:rPr>
          <w:sz w:val="24"/>
        </w:rPr>
        <w:t>priority</w:t>
      </w:r>
      <w:r>
        <w:rPr>
          <w:spacing w:val="-2"/>
          <w:sz w:val="24"/>
        </w:rPr>
        <w:t> </w:t>
      </w:r>
      <w:r>
        <w:rPr>
          <w:sz w:val="24"/>
        </w:rPr>
        <w:t>is</w:t>
      </w:r>
      <w:r>
        <w:rPr>
          <w:spacing w:val="-4"/>
          <w:sz w:val="24"/>
        </w:rPr>
        <w:t> </w:t>
      </w:r>
      <w:r>
        <w:rPr>
          <w:sz w:val="24"/>
        </w:rPr>
        <w:t>to</w:t>
      </w:r>
      <w:r>
        <w:rPr>
          <w:spacing w:val="-1"/>
          <w:sz w:val="24"/>
        </w:rPr>
        <w:t> </w:t>
      </w:r>
      <w:r>
        <w:rPr>
          <w:sz w:val="24"/>
        </w:rPr>
        <w:t>continue</w:t>
      </w:r>
      <w:r>
        <w:rPr>
          <w:spacing w:val="-1"/>
          <w:sz w:val="24"/>
        </w:rPr>
        <w:t> </w:t>
      </w:r>
      <w:r>
        <w:rPr>
          <w:sz w:val="24"/>
        </w:rPr>
        <w:t>operating</w:t>
      </w:r>
      <w:r>
        <w:rPr>
          <w:spacing w:val="-4"/>
          <w:sz w:val="24"/>
        </w:rPr>
        <w:t> </w:t>
      </w:r>
      <w:r>
        <w:rPr>
          <w:sz w:val="24"/>
        </w:rPr>
        <w:t>assistance</w:t>
      </w:r>
      <w:r>
        <w:rPr>
          <w:spacing w:val="-3"/>
          <w:sz w:val="24"/>
        </w:rPr>
        <w:t> </w:t>
      </w:r>
      <w:r>
        <w:rPr>
          <w:sz w:val="24"/>
        </w:rPr>
        <w:t>to</w:t>
      </w:r>
      <w:r>
        <w:rPr>
          <w:spacing w:val="-1"/>
          <w:sz w:val="24"/>
        </w:rPr>
        <w:t> </w:t>
      </w:r>
      <w:r>
        <w:rPr>
          <w:sz w:val="24"/>
        </w:rPr>
        <w:t>current</w:t>
      </w:r>
    </w:p>
    <w:p>
      <w:pPr>
        <w:pStyle w:val="BodyText"/>
        <w:spacing w:before="5"/>
        <w:ind w:left="840" w:right="935"/>
        <w:jc w:val="both"/>
      </w:pPr>
      <w:r>
        <w:rPr/>
        <w:t>Section</w:t>
      </w:r>
      <w:r>
        <w:rPr>
          <w:spacing w:val="-11"/>
        </w:rPr>
        <w:t> </w:t>
      </w:r>
      <w:r>
        <w:rPr/>
        <w:t>5311</w:t>
      </w:r>
      <w:r>
        <w:rPr>
          <w:spacing w:val="-9"/>
        </w:rPr>
        <w:t> </w:t>
      </w:r>
      <w:r>
        <w:rPr/>
        <w:t>recipients</w:t>
      </w:r>
      <w:r>
        <w:rPr>
          <w:spacing w:val="-12"/>
        </w:rPr>
        <w:t> </w:t>
      </w:r>
      <w:r>
        <w:rPr/>
        <w:t>where</w:t>
      </w:r>
      <w:r>
        <w:rPr>
          <w:spacing w:val="-9"/>
        </w:rPr>
        <w:t> </w:t>
      </w:r>
      <w:r>
        <w:rPr/>
        <w:t>there</w:t>
      </w:r>
      <w:r>
        <w:rPr>
          <w:spacing w:val="-12"/>
        </w:rPr>
        <w:t> </w:t>
      </w:r>
      <w:r>
        <w:rPr/>
        <w:t>exists</w:t>
      </w:r>
      <w:r>
        <w:rPr>
          <w:spacing w:val="-10"/>
        </w:rPr>
        <w:t> </w:t>
      </w:r>
      <w:r>
        <w:rPr/>
        <w:t>a</w:t>
      </w:r>
      <w:r>
        <w:rPr>
          <w:spacing w:val="-10"/>
        </w:rPr>
        <w:t> </w:t>
      </w:r>
      <w:r>
        <w:rPr/>
        <w:t>continuing</w:t>
      </w:r>
      <w:r>
        <w:rPr>
          <w:spacing w:val="-12"/>
        </w:rPr>
        <w:t> </w:t>
      </w:r>
      <w:r>
        <w:rPr/>
        <w:t>demand</w:t>
      </w:r>
      <w:r>
        <w:rPr>
          <w:spacing w:val="-11"/>
        </w:rPr>
        <w:t> </w:t>
      </w:r>
      <w:r>
        <w:rPr/>
        <w:t>for</w:t>
      </w:r>
      <w:r>
        <w:rPr>
          <w:spacing w:val="-9"/>
        </w:rPr>
        <w:t> </w:t>
      </w:r>
      <w:r>
        <w:rPr/>
        <w:t>public</w:t>
      </w:r>
      <w:r>
        <w:rPr>
          <w:spacing w:val="-13"/>
        </w:rPr>
        <w:t> </w:t>
      </w:r>
      <w:r>
        <w:rPr/>
        <w:t>transportation</w:t>
      </w:r>
      <w:r>
        <w:rPr>
          <w:spacing w:val="-9"/>
        </w:rPr>
        <w:t> </w:t>
      </w:r>
      <w:r>
        <w:rPr/>
        <w:t>service and a</w:t>
      </w:r>
      <w:r>
        <w:rPr>
          <w:spacing w:val="-1"/>
        </w:rPr>
        <w:t> </w:t>
      </w:r>
      <w:r>
        <w:rPr/>
        <w:t>need for</w:t>
      </w:r>
      <w:r>
        <w:rPr>
          <w:spacing w:val="-1"/>
        </w:rPr>
        <w:t> </w:t>
      </w:r>
      <w:r>
        <w:rPr/>
        <w:t>federal</w:t>
      </w:r>
      <w:r>
        <w:rPr>
          <w:spacing w:val="-1"/>
        </w:rPr>
        <w:t> </w:t>
      </w:r>
      <w:r>
        <w:rPr/>
        <w:t>subsidy. Emphasis</w:t>
      </w:r>
      <w:r>
        <w:rPr>
          <w:spacing w:val="-2"/>
        </w:rPr>
        <w:t> </w:t>
      </w:r>
      <w:r>
        <w:rPr/>
        <w:t>is</w:t>
      </w:r>
      <w:r>
        <w:rPr>
          <w:spacing w:val="-2"/>
        </w:rPr>
        <w:t> </w:t>
      </w:r>
      <w:r>
        <w:rPr/>
        <w:t>placed on</w:t>
      </w:r>
      <w:r>
        <w:rPr>
          <w:spacing w:val="-3"/>
        </w:rPr>
        <w:t> </w:t>
      </w:r>
      <w:r>
        <w:rPr/>
        <w:t>funding</w:t>
      </w:r>
      <w:r>
        <w:rPr>
          <w:spacing w:val="-2"/>
        </w:rPr>
        <w:t> </w:t>
      </w:r>
      <w:r>
        <w:rPr/>
        <w:t>for</w:t>
      </w:r>
      <w:r>
        <w:rPr>
          <w:spacing w:val="-1"/>
        </w:rPr>
        <w:t> </w:t>
      </w:r>
      <w:r>
        <w:rPr/>
        <w:t>services</w:t>
      </w:r>
      <w:r>
        <w:rPr>
          <w:spacing w:val="-2"/>
        </w:rPr>
        <w:t> </w:t>
      </w:r>
      <w:r>
        <w:rPr/>
        <w:t>that offer</w:t>
      </w:r>
      <w:r>
        <w:rPr>
          <w:spacing w:val="-1"/>
        </w:rPr>
        <w:t> </w:t>
      </w:r>
      <w:r>
        <w:rPr/>
        <w:t>mobility</w:t>
      </w:r>
      <w:r>
        <w:rPr>
          <w:spacing w:val="-2"/>
        </w:rPr>
        <w:t> </w:t>
      </w:r>
      <w:r>
        <w:rPr/>
        <w:t>for transit-dependent, minority populations, multiple county or regional transportation systems.</w:t>
      </w:r>
    </w:p>
    <w:p>
      <w:pPr>
        <w:pStyle w:val="BodyText"/>
      </w:pPr>
    </w:p>
    <w:p>
      <w:pPr>
        <w:pStyle w:val="BodyText"/>
        <w:ind w:left="839" w:right="934"/>
        <w:jc w:val="both"/>
      </w:pPr>
      <w:r>
        <w:rPr>
          <w:b/>
        </w:rPr>
        <w:t>Priority</w:t>
      </w:r>
      <w:r>
        <w:rPr>
          <w:b/>
          <w:spacing w:val="-2"/>
        </w:rPr>
        <w:t> </w:t>
      </w:r>
      <w:r>
        <w:rPr>
          <w:b/>
        </w:rPr>
        <w:t>Two</w:t>
      </w:r>
      <w:r>
        <w:rPr>
          <w:b/>
          <w:spacing w:val="-1"/>
        </w:rPr>
        <w:t> </w:t>
      </w:r>
      <w:r>
        <w:rPr/>
        <w:t>– The</w:t>
      </w:r>
      <w:r>
        <w:rPr>
          <w:spacing w:val="-1"/>
        </w:rPr>
        <w:t> </w:t>
      </w:r>
      <w:r>
        <w:rPr/>
        <w:t>second priority</w:t>
      </w:r>
      <w:r>
        <w:rPr>
          <w:spacing w:val="-2"/>
        </w:rPr>
        <w:t> </w:t>
      </w:r>
      <w:r>
        <w:rPr/>
        <w:t>for</w:t>
      </w:r>
      <w:r>
        <w:rPr>
          <w:spacing w:val="-1"/>
        </w:rPr>
        <w:t> </w:t>
      </w:r>
      <w:r>
        <w:rPr/>
        <w:t>funding</w:t>
      </w:r>
      <w:r>
        <w:rPr>
          <w:spacing w:val="-2"/>
        </w:rPr>
        <w:t> </w:t>
      </w:r>
      <w:r>
        <w:rPr/>
        <w:t>is</w:t>
      </w:r>
      <w:r>
        <w:rPr>
          <w:spacing w:val="-2"/>
        </w:rPr>
        <w:t> </w:t>
      </w:r>
      <w:r>
        <w:rPr/>
        <w:t>to support capital</w:t>
      </w:r>
      <w:r>
        <w:rPr>
          <w:spacing w:val="-1"/>
        </w:rPr>
        <w:t> </w:t>
      </w:r>
      <w:r>
        <w:rPr/>
        <w:t>projects for</w:t>
      </w:r>
      <w:r>
        <w:rPr>
          <w:spacing w:val="-1"/>
        </w:rPr>
        <w:t> </w:t>
      </w:r>
      <w:r>
        <w:rPr/>
        <w:t>existing</w:t>
      </w:r>
      <w:r>
        <w:rPr>
          <w:spacing w:val="-2"/>
        </w:rPr>
        <w:t> </w:t>
      </w:r>
      <w:r>
        <w:rPr/>
        <w:t>systems. If</w:t>
      </w:r>
      <w:r>
        <w:rPr>
          <w:spacing w:val="-10"/>
        </w:rPr>
        <w:t> </w:t>
      </w:r>
      <w:r>
        <w:rPr/>
        <w:t>and</w:t>
      </w:r>
      <w:r>
        <w:rPr>
          <w:spacing w:val="-12"/>
        </w:rPr>
        <w:t> </w:t>
      </w:r>
      <w:r>
        <w:rPr/>
        <w:t>when</w:t>
      </w:r>
      <w:r>
        <w:rPr>
          <w:spacing w:val="-10"/>
        </w:rPr>
        <w:t> </w:t>
      </w:r>
      <w:r>
        <w:rPr/>
        <w:t>capital</w:t>
      </w:r>
      <w:r>
        <w:rPr>
          <w:spacing w:val="-11"/>
        </w:rPr>
        <w:t> </w:t>
      </w:r>
      <w:r>
        <w:rPr/>
        <w:t>funding</w:t>
      </w:r>
      <w:r>
        <w:rPr>
          <w:spacing w:val="-11"/>
        </w:rPr>
        <w:t> </w:t>
      </w:r>
      <w:r>
        <w:rPr/>
        <w:t>is</w:t>
      </w:r>
      <w:r>
        <w:rPr>
          <w:spacing w:val="-11"/>
        </w:rPr>
        <w:t> </w:t>
      </w:r>
      <w:r>
        <w:rPr/>
        <w:t>made</w:t>
      </w:r>
      <w:r>
        <w:rPr>
          <w:spacing w:val="-11"/>
        </w:rPr>
        <w:t> </w:t>
      </w:r>
      <w:r>
        <w:rPr/>
        <w:t>available,</w:t>
      </w:r>
      <w:r>
        <w:rPr>
          <w:spacing w:val="-11"/>
        </w:rPr>
        <w:t> </w:t>
      </w:r>
      <w:r>
        <w:rPr/>
        <w:t>eligible</w:t>
      </w:r>
      <w:r>
        <w:rPr>
          <w:spacing w:val="-11"/>
        </w:rPr>
        <w:t> </w:t>
      </w:r>
      <w:r>
        <w:rPr/>
        <w:t>requests</w:t>
      </w:r>
      <w:r>
        <w:rPr>
          <w:spacing w:val="-11"/>
        </w:rPr>
        <w:t> </w:t>
      </w:r>
      <w:r>
        <w:rPr/>
        <w:t>will</w:t>
      </w:r>
      <w:r>
        <w:rPr>
          <w:spacing w:val="-11"/>
        </w:rPr>
        <w:t> </w:t>
      </w:r>
      <w:r>
        <w:rPr/>
        <w:t>be</w:t>
      </w:r>
      <w:r>
        <w:rPr>
          <w:spacing w:val="-11"/>
        </w:rPr>
        <w:t> </w:t>
      </w:r>
      <w:r>
        <w:rPr/>
        <w:t>prioritized</w:t>
      </w:r>
      <w:r>
        <w:rPr>
          <w:spacing w:val="-10"/>
        </w:rPr>
        <w:t> </w:t>
      </w:r>
      <w:r>
        <w:rPr/>
        <w:t>on</w:t>
      </w:r>
      <w:r>
        <w:rPr>
          <w:spacing w:val="-12"/>
        </w:rPr>
        <w:t> </w:t>
      </w:r>
      <w:r>
        <w:rPr/>
        <w:t>the</w:t>
      </w:r>
      <w:r>
        <w:rPr>
          <w:spacing w:val="-13"/>
        </w:rPr>
        <w:t> </w:t>
      </w:r>
      <w:r>
        <w:rPr/>
        <w:t>following </w:t>
      </w:r>
      <w:r>
        <w:rPr>
          <w:spacing w:val="-2"/>
        </w:rPr>
        <w:t>basis:</w:t>
      </w:r>
    </w:p>
    <w:p>
      <w:pPr>
        <w:pStyle w:val="BodyText"/>
        <w:spacing w:before="1"/>
      </w:pPr>
    </w:p>
    <w:p>
      <w:pPr>
        <w:pStyle w:val="ListParagraph"/>
        <w:numPr>
          <w:ilvl w:val="2"/>
          <w:numId w:val="25"/>
        </w:numPr>
        <w:tabs>
          <w:tab w:pos="1559" w:val="left" w:leader="none"/>
        </w:tabs>
        <w:spacing w:line="305" w:lineRule="exact" w:before="0" w:after="0"/>
        <w:ind w:left="1559" w:right="0" w:hanging="359"/>
        <w:jc w:val="left"/>
        <w:rPr>
          <w:sz w:val="24"/>
        </w:rPr>
      </w:pPr>
      <w:r>
        <w:rPr>
          <w:sz w:val="24"/>
        </w:rPr>
        <w:t>Highest</w:t>
      </w:r>
      <w:r>
        <w:rPr>
          <w:spacing w:val="-5"/>
          <w:sz w:val="24"/>
        </w:rPr>
        <w:t> </w:t>
      </w:r>
      <w:r>
        <w:rPr>
          <w:sz w:val="24"/>
        </w:rPr>
        <w:t>percentage</w:t>
      </w:r>
      <w:r>
        <w:rPr>
          <w:spacing w:val="-2"/>
          <w:sz w:val="24"/>
        </w:rPr>
        <w:t> </w:t>
      </w:r>
      <w:r>
        <w:rPr>
          <w:sz w:val="24"/>
        </w:rPr>
        <w:t>of</w:t>
      </w:r>
      <w:r>
        <w:rPr>
          <w:spacing w:val="-3"/>
          <w:sz w:val="24"/>
        </w:rPr>
        <w:t> </w:t>
      </w:r>
      <w:r>
        <w:rPr>
          <w:sz w:val="24"/>
        </w:rPr>
        <w:t>minority</w:t>
      </w:r>
      <w:r>
        <w:rPr>
          <w:spacing w:val="-4"/>
          <w:sz w:val="24"/>
        </w:rPr>
        <w:t> </w:t>
      </w:r>
      <w:r>
        <w:rPr>
          <w:sz w:val="24"/>
        </w:rPr>
        <w:t>populations</w:t>
      </w:r>
      <w:r>
        <w:rPr>
          <w:spacing w:val="-2"/>
          <w:sz w:val="24"/>
        </w:rPr>
        <w:t> </w:t>
      </w:r>
      <w:r>
        <w:rPr>
          <w:sz w:val="24"/>
        </w:rPr>
        <w:t>and</w:t>
      </w:r>
      <w:r>
        <w:rPr>
          <w:spacing w:val="-2"/>
          <w:sz w:val="24"/>
        </w:rPr>
        <w:t> </w:t>
      </w:r>
      <w:r>
        <w:rPr>
          <w:sz w:val="24"/>
        </w:rPr>
        <w:t>the </w:t>
      </w:r>
      <w:r>
        <w:rPr>
          <w:spacing w:val="-2"/>
          <w:sz w:val="24"/>
        </w:rPr>
        <w:t>elderly;</w:t>
      </w:r>
    </w:p>
    <w:p>
      <w:pPr>
        <w:pStyle w:val="ListParagraph"/>
        <w:numPr>
          <w:ilvl w:val="2"/>
          <w:numId w:val="25"/>
        </w:numPr>
        <w:tabs>
          <w:tab w:pos="1559" w:val="left" w:leader="none"/>
        </w:tabs>
        <w:spacing w:line="305" w:lineRule="exact" w:before="0" w:after="0"/>
        <w:ind w:left="1559" w:right="0" w:hanging="359"/>
        <w:jc w:val="left"/>
        <w:rPr>
          <w:sz w:val="24"/>
        </w:rPr>
      </w:pPr>
      <w:r>
        <w:rPr>
          <w:sz w:val="24"/>
        </w:rPr>
        <w:t>Replacement of</w:t>
      </w:r>
      <w:r>
        <w:rPr>
          <w:spacing w:val="-3"/>
          <w:sz w:val="24"/>
        </w:rPr>
        <w:t> </w:t>
      </w:r>
      <w:r>
        <w:rPr>
          <w:sz w:val="24"/>
        </w:rPr>
        <w:t>old,</w:t>
      </w:r>
      <w:r>
        <w:rPr>
          <w:spacing w:val="-4"/>
          <w:sz w:val="24"/>
        </w:rPr>
        <w:t> </w:t>
      </w:r>
      <w:r>
        <w:rPr>
          <w:sz w:val="24"/>
        </w:rPr>
        <w:t>worn-out</w:t>
      </w:r>
      <w:r>
        <w:rPr>
          <w:spacing w:val="-2"/>
          <w:sz w:val="24"/>
        </w:rPr>
        <w:t> </w:t>
      </w:r>
      <w:r>
        <w:rPr>
          <w:sz w:val="24"/>
        </w:rPr>
        <w:t>or</w:t>
      </w:r>
      <w:r>
        <w:rPr>
          <w:spacing w:val="-4"/>
          <w:sz w:val="24"/>
        </w:rPr>
        <w:t> </w:t>
      </w:r>
      <w:r>
        <w:rPr>
          <w:sz w:val="24"/>
        </w:rPr>
        <w:t>unsafe</w:t>
      </w:r>
      <w:r>
        <w:rPr>
          <w:spacing w:val="-1"/>
          <w:sz w:val="24"/>
        </w:rPr>
        <w:t> </w:t>
      </w:r>
      <w:r>
        <w:rPr>
          <w:sz w:val="24"/>
        </w:rPr>
        <w:t>revenue</w:t>
      </w:r>
      <w:r>
        <w:rPr>
          <w:spacing w:val="-2"/>
          <w:sz w:val="24"/>
        </w:rPr>
        <w:t> vehicles;</w:t>
      </w:r>
    </w:p>
    <w:p>
      <w:pPr>
        <w:pStyle w:val="ListParagraph"/>
        <w:numPr>
          <w:ilvl w:val="2"/>
          <w:numId w:val="25"/>
        </w:numPr>
        <w:tabs>
          <w:tab w:pos="1560" w:val="left" w:leader="none"/>
        </w:tabs>
        <w:spacing w:line="242" w:lineRule="auto" w:before="0" w:after="0"/>
        <w:ind w:left="1560" w:right="935" w:hanging="360"/>
        <w:jc w:val="left"/>
        <w:rPr>
          <w:sz w:val="24"/>
        </w:rPr>
      </w:pPr>
      <w:r>
        <w:rPr>
          <w:sz w:val="24"/>
        </w:rPr>
        <w:t>Purchase</w:t>
      </w:r>
      <w:r>
        <w:rPr>
          <w:spacing w:val="39"/>
          <w:sz w:val="24"/>
        </w:rPr>
        <w:t> </w:t>
      </w:r>
      <w:r>
        <w:rPr>
          <w:sz w:val="24"/>
        </w:rPr>
        <w:t>of</w:t>
      </w:r>
      <w:r>
        <w:rPr>
          <w:spacing w:val="40"/>
          <w:sz w:val="24"/>
        </w:rPr>
        <w:t> </w:t>
      </w:r>
      <w:r>
        <w:rPr>
          <w:sz w:val="24"/>
        </w:rPr>
        <w:t>vehicles</w:t>
      </w:r>
      <w:r>
        <w:rPr>
          <w:spacing w:val="40"/>
          <w:sz w:val="24"/>
        </w:rPr>
        <w:t> </w:t>
      </w:r>
      <w:r>
        <w:rPr>
          <w:sz w:val="24"/>
        </w:rPr>
        <w:t>for</w:t>
      </w:r>
      <w:r>
        <w:rPr>
          <w:spacing w:val="38"/>
          <w:sz w:val="24"/>
        </w:rPr>
        <w:t> </w:t>
      </w:r>
      <w:r>
        <w:rPr>
          <w:sz w:val="24"/>
        </w:rPr>
        <w:t>the</w:t>
      </w:r>
      <w:r>
        <w:rPr>
          <w:spacing w:val="40"/>
          <w:sz w:val="24"/>
        </w:rPr>
        <w:t> </w:t>
      </w:r>
      <w:r>
        <w:rPr>
          <w:sz w:val="24"/>
        </w:rPr>
        <w:t>expansion</w:t>
      </w:r>
      <w:r>
        <w:rPr>
          <w:spacing w:val="39"/>
          <w:sz w:val="24"/>
        </w:rPr>
        <w:t> </w:t>
      </w:r>
      <w:r>
        <w:rPr>
          <w:sz w:val="24"/>
        </w:rPr>
        <w:t>of</w:t>
      </w:r>
      <w:r>
        <w:rPr>
          <w:spacing w:val="39"/>
          <w:sz w:val="24"/>
        </w:rPr>
        <w:t> </w:t>
      </w:r>
      <w:r>
        <w:rPr>
          <w:sz w:val="24"/>
        </w:rPr>
        <w:t>existing</w:t>
      </w:r>
      <w:r>
        <w:rPr>
          <w:spacing w:val="40"/>
          <w:sz w:val="24"/>
        </w:rPr>
        <w:t> </w:t>
      </w:r>
      <w:r>
        <w:rPr>
          <w:sz w:val="24"/>
        </w:rPr>
        <w:t>services</w:t>
      </w:r>
      <w:r>
        <w:rPr>
          <w:spacing w:val="38"/>
          <w:sz w:val="24"/>
        </w:rPr>
        <w:t> </w:t>
      </w:r>
      <w:r>
        <w:rPr>
          <w:sz w:val="24"/>
        </w:rPr>
        <w:t>or</w:t>
      </w:r>
      <w:r>
        <w:rPr>
          <w:spacing w:val="38"/>
          <w:sz w:val="24"/>
        </w:rPr>
        <w:t> </w:t>
      </w:r>
      <w:r>
        <w:rPr>
          <w:sz w:val="24"/>
        </w:rPr>
        <w:t>purchase</w:t>
      </w:r>
      <w:r>
        <w:rPr>
          <w:spacing w:val="38"/>
          <w:sz w:val="24"/>
        </w:rPr>
        <w:t> </w:t>
      </w:r>
      <w:r>
        <w:rPr>
          <w:sz w:val="24"/>
        </w:rPr>
        <w:t>of</w:t>
      </w:r>
      <w:r>
        <w:rPr>
          <w:spacing w:val="39"/>
          <w:sz w:val="24"/>
        </w:rPr>
        <w:t> </w:t>
      </w:r>
      <w:r>
        <w:rPr>
          <w:sz w:val="24"/>
        </w:rPr>
        <w:t>additional vehicles to meet demonstrated capacity problems on current routes;</w:t>
      </w:r>
    </w:p>
    <w:p>
      <w:pPr>
        <w:pStyle w:val="ListParagraph"/>
        <w:numPr>
          <w:ilvl w:val="2"/>
          <w:numId w:val="25"/>
        </w:numPr>
        <w:tabs>
          <w:tab w:pos="1559" w:val="left" w:leader="none"/>
        </w:tabs>
        <w:spacing w:line="301" w:lineRule="exact" w:before="0" w:after="0"/>
        <w:ind w:left="1559" w:right="0" w:hanging="359"/>
        <w:jc w:val="left"/>
        <w:rPr>
          <w:sz w:val="24"/>
        </w:rPr>
      </w:pPr>
      <w:r>
        <w:rPr>
          <w:sz w:val="24"/>
        </w:rPr>
        <w:t>Purchase</w:t>
      </w:r>
      <w:r>
        <w:rPr>
          <w:spacing w:val="-4"/>
          <w:sz w:val="24"/>
        </w:rPr>
        <w:t> </w:t>
      </w:r>
      <w:r>
        <w:rPr>
          <w:sz w:val="24"/>
        </w:rPr>
        <w:t>of</w:t>
      </w:r>
      <w:r>
        <w:rPr>
          <w:spacing w:val="-3"/>
          <w:sz w:val="24"/>
        </w:rPr>
        <w:t> </w:t>
      </w:r>
      <w:r>
        <w:rPr>
          <w:sz w:val="24"/>
        </w:rPr>
        <w:t>miscellaneous</w:t>
      </w:r>
      <w:r>
        <w:rPr>
          <w:spacing w:val="-2"/>
          <w:sz w:val="24"/>
        </w:rPr>
        <w:t> </w:t>
      </w:r>
      <w:r>
        <w:rPr>
          <w:sz w:val="24"/>
        </w:rPr>
        <w:t>capital</w:t>
      </w:r>
      <w:r>
        <w:rPr>
          <w:spacing w:val="-1"/>
          <w:sz w:val="24"/>
        </w:rPr>
        <w:t> </w:t>
      </w:r>
      <w:r>
        <w:rPr>
          <w:sz w:val="24"/>
        </w:rPr>
        <w:t>equipment (e.g.</w:t>
      </w:r>
      <w:r>
        <w:rPr>
          <w:spacing w:val="-2"/>
          <w:sz w:val="24"/>
        </w:rPr>
        <w:t> </w:t>
      </w:r>
      <w:r>
        <w:rPr>
          <w:sz w:val="24"/>
        </w:rPr>
        <w:t>radios,</w:t>
      </w:r>
      <w:r>
        <w:rPr>
          <w:spacing w:val="-1"/>
          <w:sz w:val="24"/>
        </w:rPr>
        <w:t> </w:t>
      </w:r>
      <w:r>
        <w:rPr>
          <w:sz w:val="24"/>
        </w:rPr>
        <w:t>shop</w:t>
      </w:r>
      <w:r>
        <w:rPr>
          <w:spacing w:val="-3"/>
          <w:sz w:val="24"/>
        </w:rPr>
        <w:t> </w:t>
      </w:r>
      <w:r>
        <w:rPr>
          <w:sz w:val="24"/>
        </w:rPr>
        <w:t>equipment,</w:t>
      </w:r>
      <w:r>
        <w:rPr>
          <w:spacing w:val="-4"/>
          <w:sz w:val="24"/>
        </w:rPr>
        <w:t> </w:t>
      </w:r>
      <w:r>
        <w:rPr>
          <w:sz w:val="24"/>
        </w:rPr>
        <w:t>etc.);</w:t>
      </w:r>
      <w:r>
        <w:rPr>
          <w:spacing w:val="-1"/>
          <w:sz w:val="24"/>
        </w:rPr>
        <w:t> </w:t>
      </w:r>
      <w:r>
        <w:rPr>
          <w:spacing w:val="-4"/>
          <w:sz w:val="24"/>
        </w:rPr>
        <w:t>and,</w:t>
      </w:r>
    </w:p>
    <w:p>
      <w:pPr>
        <w:pStyle w:val="ListParagraph"/>
        <w:numPr>
          <w:ilvl w:val="2"/>
          <w:numId w:val="25"/>
        </w:numPr>
        <w:tabs>
          <w:tab w:pos="1559" w:val="left" w:leader="none"/>
        </w:tabs>
        <w:spacing w:line="305" w:lineRule="exact" w:before="0" w:after="0"/>
        <w:ind w:left="1559" w:right="0" w:hanging="359"/>
        <w:jc w:val="left"/>
        <w:rPr>
          <w:sz w:val="24"/>
        </w:rPr>
      </w:pPr>
      <w:r>
        <w:rPr>
          <w:sz w:val="24"/>
        </w:rPr>
        <w:t>Construction</w:t>
      </w:r>
      <w:r>
        <w:rPr>
          <w:spacing w:val="-4"/>
          <w:sz w:val="24"/>
        </w:rPr>
        <w:t> </w:t>
      </w:r>
      <w:r>
        <w:rPr>
          <w:sz w:val="24"/>
        </w:rPr>
        <w:t>and/or</w:t>
      </w:r>
      <w:r>
        <w:rPr>
          <w:spacing w:val="-2"/>
          <w:sz w:val="24"/>
        </w:rPr>
        <w:t> </w:t>
      </w:r>
      <w:r>
        <w:rPr>
          <w:sz w:val="24"/>
        </w:rPr>
        <w:t>renovation</w:t>
      </w:r>
      <w:r>
        <w:rPr>
          <w:spacing w:val="-4"/>
          <w:sz w:val="24"/>
        </w:rPr>
        <w:t> </w:t>
      </w:r>
      <w:r>
        <w:rPr>
          <w:sz w:val="24"/>
        </w:rPr>
        <w:t>of </w:t>
      </w:r>
      <w:r>
        <w:rPr>
          <w:spacing w:val="-2"/>
          <w:sz w:val="24"/>
        </w:rPr>
        <w:t>facilities.</w:t>
      </w:r>
    </w:p>
    <w:p>
      <w:pPr>
        <w:pStyle w:val="BodyText"/>
        <w:spacing w:before="1"/>
      </w:pPr>
    </w:p>
    <w:p>
      <w:pPr>
        <w:pStyle w:val="BodyText"/>
        <w:ind w:left="839" w:right="935"/>
        <w:jc w:val="both"/>
      </w:pPr>
      <w:r>
        <w:rPr>
          <w:b/>
        </w:rPr>
        <w:t>Priority Three </w:t>
      </w:r>
      <w:r>
        <w:rPr/>
        <w:t>– The third priority is the funding</w:t>
      </w:r>
      <w:r>
        <w:rPr>
          <w:spacing w:val="-1"/>
        </w:rPr>
        <w:t> </w:t>
      </w:r>
      <w:r>
        <w:rPr/>
        <w:t>of operating and capital expenses</w:t>
      </w:r>
      <w:r>
        <w:rPr>
          <w:spacing w:val="-1"/>
        </w:rPr>
        <w:t> </w:t>
      </w:r>
      <w:r>
        <w:rPr/>
        <w:t>for new rural transportation</w:t>
      </w:r>
      <w:r>
        <w:rPr>
          <w:spacing w:val="36"/>
        </w:rPr>
        <w:t> </w:t>
      </w:r>
      <w:r>
        <w:rPr/>
        <w:t>systems.</w:t>
      </w:r>
      <w:r>
        <w:rPr>
          <w:spacing w:val="34"/>
        </w:rPr>
        <w:t> </w:t>
      </w:r>
      <w:r>
        <w:rPr/>
        <w:t>When</w:t>
      </w:r>
      <w:r>
        <w:rPr>
          <w:spacing w:val="35"/>
        </w:rPr>
        <w:t> </w:t>
      </w:r>
      <w:r>
        <w:rPr/>
        <w:t>establishing</w:t>
      </w:r>
      <w:r>
        <w:rPr>
          <w:spacing w:val="36"/>
        </w:rPr>
        <w:t> </w:t>
      </w:r>
      <w:r>
        <w:rPr/>
        <w:t>new</w:t>
      </w:r>
      <w:r>
        <w:rPr>
          <w:spacing w:val="35"/>
        </w:rPr>
        <w:t> </w:t>
      </w:r>
      <w:r>
        <w:rPr/>
        <w:t>service,</w:t>
      </w:r>
      <w:r>
        <w:rPr>
          <w:spacing w:val="38"/>
        </w:rPr>
        <w:t> </w:t>
      </w:r>
      <w:r>
        <w:rPr/>
        <w:t>the</w:t>
      </w:r>
      <w:r>
        <w:rPr>
          <w:spacing w:val="37"/>
        </w:rPr>
        <w:t> </w:t>
      </w:r>
      <w:r>
        <w:rPr/>
        <w:t>Department</w:t>
      </w:r>
      <w:r>
        <w:rPr>
          <w:spacing w:val="35"/>
        </w:rPr>
        <w:t> </w:t>
      </w:r>
      <w:r>
        <w:rPr/>
        <w:t>will</w:t>
      </w:r>
      <w:r>
        <w:rPr>
          <w:spacing w:val="37"/>
        </w:rPr>
        <w:t> </w:t>
      </w:r>
      <w:r>
        <w:rPr/>
        <w:t>give</w:t>
      </w:r>
      <w:r>
        <w:rPr>
          <w:spacing w:val="35"/>
        </w:rPr>
        <w:t> </w:t>
      </w:r>
      <w:r>
        <w:rPr/>
        <w:t>priority</w:t>
      </w:r>
      <w:r>
        <w:rPr>
          <w:spacing w:val="35"/>
        </w:rPr>
        <w:t> </w:t>
      </w:r>
      <w:r>
        <w:rPr>
          <w:spacing w:val="-5"/>
        </w:rPr>
        <w:t>to</w:t>
      </w:r>
    </w:p>
    <w:p>
      <w:pPr>
        <w:spacing w:after="0"/>
        <w:jc w:val="both"/>
        <w:sectPr>
          <w:pgSz w:w="12240" w:h="15840"/>
          <w:pgMar w:header="0" w:footer="997" w:top="960" w:bottom="1220" w:left="600" w:right="500"/>
        </w:sectPr>
      </w:pPr>
    </w:p>
    <w:p>
      <w:pPr>
        <w:pStyle w:val="BodyText"/>
        <w:spacing w:before="35"/>
        <w:ind w:left="840" w:right="935"/>
      </w:pPr>
      <w:r>
        <w:rPr/>
        <w:t>those areas which are identified in minority and economically distressed counties. Other areas may also be considered.</w:t>
      </w:r>
    </w:p>
    <w:p>
      <w:pPr>
        <w:pStyle w:val="BodyText"/>
        <w:spacing w:before="12"/>
        <w:rPr>
          <w:sz w:val="23"/>
        </w:rPr>
      </w:pPr>
    </w:p>
    <w:p>
      <w:pPr>
        <w:pStyle w:val="BodyText"/>
        <w:ind w:left="840"/>
      </w:pPr>
      <w:r>
        <w:rPr/>
        <w:t>Before</w:t>
      </w:r>
      <w:r>
        <w:rPr>
          <w:spacing w:val="-4"/>
        </w:rPr>
        <w:t> </w:t>
      </w:r>
      <w:r>
        <w:rPr/>
        <w:t>MaineDOT</w:t>
      </w:r>
      <w:r>
        <w:rPr>
          <w:spacing w:val="-2"/>
        </w:rPr>
        <w:t> </w:t>
      </w:r>
      <w:r>
        <w:rPr/>
        <w:t>will</w:t>
      </w:r>
      <w:r>
        <w:rPr>
          <w:spacing w:val="-3"/>
        </w:rPr>
        <w:t> </w:t>
      </w:r>
      <w:r>
        <w:rPr/>
        <w:t>approve any</w:t>
      </w:r>
      <w:r>
        <w:rPr>
          <w:spacing w:val="-1"/>
        </w:rPr>
        <w:t> </w:t>
      </w:r>
      <w:r>
        <w:rPr/>
        <w:t>new</w:t>
      </w:r>
      <w:r>
        <w:rPr>
          <w:spacing w:val="-2"/>
        </w:rPr>
        <w:t> </w:t>
      </w:r>
      <w:r>
        <w:rPr/>
        <w:t>rural</w:t>
      </w:r>
      <w:r>
        <w:rPr>
          <w:spacing w:val="-2"/>
        </w:rPr>
        <w:t> </w:t>
      </w:r>
      <w:r>
        <w:rPr/>
        <w:t>transit</w:t>
      </w:r>
      <w:r>
        <w:rPr>
          <w:spacing w:val="1"/>
        </w:rPr>
        <w:t> </w:t>
      </w:r>
      <w:r>
        <w:rPr/>
        <w:t>project,</w:t>
      </w:r>
      <w:r>
        <w:rPr>
          <w:spacing w:val="-3"/>
        </w:rPr>
        <w:t> </w:t>
      </w:r>
      <w:r>
        <w:rPr/>
        <w:t>the</w:t>
      </w:r>
      <w:r>
        <w:rPr>
          <w:spacing w:val="-2"/>
        </w:rPr>
        <w:t> </w:t>
      </w:r>
      <w:r>
        <w:rPr/>
        <w:t>following</w:t>
      </w:r>
      <w:r>
        <w:rPr>
          <w:spacing w:val="-6"/>
        </w:rPr>
        <w:t> </w:t>
      </w:r>
      <w:r>
        <w:rPr/>
        <w:t>must</w:t>
      </w:r>
      <w:r>
        <w:rPr>
          <w:spacing w:val="-2"/>
        </w:rPr>
        <w:t> </w:t>
      </w:r>
      <w:r>
        <w:rPr/>
        <w:t>be</w:t>
      </w:r>
      <w:r>
        <w:rPr>
          <w:spacing w:val="-1"/>
        </w:rPr>
        <w:t> </w:t>
      </w:r>
      <w:r>
        <w:rPr>
          <w:spacing w:val="-2"/>
        </w:rPr>
        <w:t>determined:</w:t>
      </w:r>
    </w:p>
    <w:p>
      <w:pPr>
        <w:pStyle w:val="BodyText"/>
        <w:spacing w:before="11"/>
        <w:rPr>
          <w:sz w:val="23"/>
        </w:rPr>
      </w:pPr>
    </w:p>
    <w:p>
      <w:pPr>
        <w:pStyle w:val="ListParagraph"/>
        <w:numPr>
          <w:ilvl w:val="2"/>
          <w:numId w:val="25"/>
        </w:numPr>
        <w:tabs>
          <w:tab w:pos="1560" w:val="left" w:leader="none"/>
        </w:tabs>
        <w:spacing w:line="240" w:lineRule="auto" w:before="0" w:after="0"/>
        <w:ind w:left="1560" w:right="934" w:hanging="360"/>
        <w:jc w:val="both"/>
        <w:rPr>
          <w:sz w:val="24"/>
        </w:rPr>
      </w:pPr>
      <w:r>
        <w:rPr>
          <w:b/>
          <w:sz w:val="24"/>
        </w:rPr>
        <w:t>Goals</w:t>
      </w:r>
      <w:r>
        <w:rPr>
          <w:b/>
          <w:spacing w:val="-8"/>
          <w:sz w:val="24"/>
        </w:rPr>
        <w:t> </w:t>
      </w:r>
      <w:r>
        <w:rPr>
          <w:b/>
          <w:sz w:val="24"/>
        </w:rPr>
        <w:t>and</w:t>
      </w:r>
      <w:r>
        <w:rPr>
          <w:b/>
          <w:spacing w:val="-10"/>
          <w:sz w:val="24"/>
        </w:rPr>
        <w:t> </w:t>
      </w:r>
      <w:r>
        <w:rPr>
          <w:b/>
          <w:sz w:val="24"/>
        </w:rPr>
        <w:t>Objectives</w:t>
      </w:r>
      <w:r>
        <w:rPr>
          <w:sz w:val="24"/>
        </w:rPr>
        <w:t>.</w:t>
      </w:r>
      <w:r>
        <w:rPr>
          <w:spacing w:val="36"/>
          <w:sz w:val="24"/>
        </w:rPr>
        <w:t> </w:t>
      </w:r>
      <w:r>
        <w:rPr>
          <w:sz w:val="24"/>
        </w:rPr>
        <w:t>An</w:t>
      </w:r>
      <w:r>
        <w:rPr>
          <w:spacing w:val="-8"/>
          <w:sz w:val="24"/>
        </w:rPr>
        <w:t> </w:t>
      </w:r>
      <w:r>
        <w:rPr>
          <w:sz w:val="24"/>
        </w:rPr>
        <w:t>agency</w:t>
      </w:r>
      <w:r>
        <w:rPr>
          <w:spacing w:val="-9"/>
          <w:sz w:val="24"/>
        </w:rPr>
        <w:t> </w:t>
      </w:r>
      <w:r>
        <w:rPr>
          <w:sz w:val="24"/>
        </w:rPr>
        <w:t>should</w:t>
      </w:r>
      <w:r>
        <w:rPr>
          <w:spacing w:val="-10"/>
          <w:sz w:val="24"/>
        </w:rPr>
        <w:t> </w:t>
      </w:r>
      <w:r>
        <w:rPr>
          <w:sz w:val="24"/>
        </w:rPr>
        <w:t>determine</w:t>
      </w:r>
      <w:r>
        <w:rPr>
          <w:spacing w:val="-11"/>
          <w:sz w:val="24"/>
        </w:rPr>
        <w:t> </w:t>
      </w:r>
      <w:r>
        <w:rPr>
          <w:sz w:val="24"/>
        </w:rPr>
        <w:t>why</w:t>
      </w:r>
      <w:r>
        <w:rPr>
          <w:spacing w:val="-9"/>
          <w:sz w:val="24"/>
        </w:rPr>
        <w:t> </w:t>
      </w:r>
      <w:r>
        <w:rPr>
          <w:sz w:val="24"/>
        </w:rPr>
        <w:t>and</w:t>
      </w:r>
      <w:r>
        <w:rPr>
          <w:spacing w:val="-10"/>
          <w:sz w:val="24"/>
        </w:rPr>
        <w:t> </w:t>
      </w:r>
      <w:r>
        <w:rPr>
          <w:sz w:val="24"/>
        </w:rPr>
        <w:t>to</w:t>
      </w:r>
      <w:r>
        <w:rPr>
          <w:spacing w:val="-11"/>
          <w:sz w:val="24"/>
        </w:rPr>
        <w:t> </w:t>
      </w:r>
      <w:r>
        <w:rPr>
          <w:sz w:val="24"/>
        </w:rPr>
        <w:t>whom</w:t>
      </w:r>
      <w:r>
        <w:rPr>
          <w:spacing w:val="-8"/>
          <w:sz w:val="24"/>
        </w:rPr>
        <w:t> </w:t>
      </w:r>
      <w:r>
        <w:rPr>
          <w:sz w:val="24"/>
        </w:rPr>
        <w:t>it</w:t>
      </w:r>
      <w:r>
        <w:rPr>
          <w:spacing w:val="-10"/>
          <w:sz w:val="24"/>
        </w:rPr>
        <w:t> </w:t>
      </w:r>
      <w:r>
        <w:rPr>
          <w:sz w:val="24"/>
        </w:rPr>
        <w:t>wants</w:t>
      </w:r>
      <w:r>
        <w:rPr>
          <w:spacing w:val="-11"/>
          <w:sz w:val="24"/>
        </w:rPr>
        <w:t> </w:t>
      </w:r>
      <w:r>
        <w:rPr>
          <w:sz w:val="24"/>
        </w:rPr>
        <w:t>to</w:t>
      </w:r>
      <w:r>
        <w:rPr>
          <w:spacing w:val="-11"/>
          <w:sz w:val="24"/>
        </w:rPr>
        <w:t> </w:t>
      </w:r>
      <w:r>
        <w:rPr>
          <w:sz w:val="24"/>
        </w:rPr>
        <w:t>provide transportation.</w:t>
      </w:r>
      <w:r>
        <w:rPr>
          <w:spacing w:val="-14"/>
          <w:sz w:val="24"/>
        </w:rPr>
        <w:t> </w:t>
      </w:r>
      <w:r>
        <w:rPr>
          <w:sz w:val="24"/>
        </w:rPr>
        <w:t>As</w:t>
      </w:r>
      <w:r>
        <w:rPr>
          <w:spacing w:val="-14"/>
          <w:sz w:val="24"/>
        </w:rPr>
        <w:t> </w:t>
      </w:r>
      <w:r>
        <w:rPr>
          <w:sz w:val="24"/>
        </w:rPr>
        <w:t>the</w:t>
      </w:r>
      <w:r>
        <w:rPr>
          <w:spacing w:val="-13"/>
          <w:sz w:val="24"/>
        </w:rPr>
        <w:t> </w:t>
      </w:r>
      <w:r>
        <w:rPr>
          <w:sz w:val="24"/>
        </w:rPr>
        <w:t>mission</w:t>
      </w:r>
      <w:r>
        <w:rPr>
          <w:spacing w:val="-14"/>
          <w:sz w:val="24"/>
        </w:rPr>
        <w:t> </w:t>
      </w:r>
      <w:r>
        <w:rPr>
          <w:sz w:val="24"/>
        </w:rPr>
        <w:t>of</w:t>
      </w:r>
      <w:r>
        <w:rPr>
          <w:spacing w:val="-13"/>
          <w:sz w:val="24"/>
        </w:rPr>
        <w:t> </w:t>
      </w:r>
      <w:r>
        <w:rPr>
          <w:sz w:val="24"/>
        </w:rPr>
        <w:t>the</w:t>
      </w:r>
      <w:r>
        <w:rPr>
          <w:spacing w:val="-14"/>
          <w:sz w:val="24"/>
        </w:rPr>
        <w:t> </w:t>
      </w:r>
      <w:r>
        <w:rPr>
          <w:sz w:val="24"/>
        </w:rPr>
        <w:t>transportation</w:t>
      </w:r>
      <w:r>
        <w:rPr>
          <w:spacing w:val="-13"/>
          <w:sz w:val="24"/>
        </w:rPr>
        <w:t> </w:t>
      </w:r>
      <w:r>
        <w:rPr>
          <w:sz w:val="24"/>
        </w:rPr>
        <w:t>program</w:t>
      </w:r>
      <w:r>
        <w:rPr>
          <w:spacing w:val="-14"/>
          <w:sz w:val="24"/>
        </w:rPr>
        <w:t> </w:t>
      </w:r>
      <w:r>
        <w:rPr>
          <w:sz w:val="24"/>
        </w:rPr>
        <w:t>is</w:t>
      </w:r>
      <w:r>
        <w:rPr>
          <w:spacing w:val="-14"/>
          <w:sz w:val="24"/>
        </w:rPr>
        <w:t> </w:t>
      </w:r>
      <w:r>
        <w:rPr>
          <w:sz w:val="24"/>
        </w:rPr>
        <w:t>clarified,</w:t>
      </w:r>
      <w:r>
        <w:rPr>
          <w:spacing w:val="-13"/>
          <w:sz w:val="24"/>
        </w:rPr>
        <w:t> </w:t>
      </w:r>
      <w:r>
        <w:rPr>
          <w:sz w:val="24"/>
        </w:rPr>
        <w:t>there</w:t>
      </w:r>
      <w:r>
        <w:rPr>
          <w:spacing w:val="-14"/>
          <w:sz w:val="24"/>
        </w:rPr>
        <w:t> </w:t>
      </w:r>
      <w:r>
        <w:rPr>
          <w:sz w:val="24"/>
        </w:rPr>
        <w:t>are</w:t>
      </w:r>
      <w:r>
        <w:rPr>
          <w:spacing w:val="-13"/>
          <w:sz w:val="24"/>
        </w:rPr>
        <w:t> </w:t>
      </w:r>
      <w:r>
        <w:rPr>
          <w:sz w:val="24"/>
        </w:rPr>
        <w:t>specific issues that will shape a transportation system. These include determining the minority and low-income populations, the geographic area to be served, the area’s greatest transportation gaps and needs, and current transportation resources.</w:t>
      </w:r>
    </w:p>
    <w:p>
      <w:pPr>
        <w:pStyle w:val="BodyText"/>
      </w:pPr>
    </w:p>
    <w:p>
      <w:pPr>
        <w:pStyle w:val="ListParagraph"/>
        <w:numPr>
          <w:ilvl w:val="2"/>
          <w:numId w:val="25"/>
        </w:numPr>
        <w:tabs>
          <w:tab w:pos="1560" w:val="left" w:leader="none"/>
        </w:tabs>
        <w:spacing w:line="240" w:lineRule="auto" w:before="1" w:after="0"/>
        <w:ind w:left="1560" w:right="935" w:hanging="360"/>
        <w:jc w:val="both"/>
        <w:rPr>
          <w:sz w:val="24"/>
        </w:rPr>
      </w:pPr>
      <w:r>
        <w:rPr>
          <w:b/>
          <w:sz w:val="24"/>
        </w:rPr>
        <w:t>Needs Assessment</w:t>
      </w:r>
      <w:r>
        <w:rPr>
          <w:sz w:val="24"/>
        </w:rPr>
        <w:t>.</w:t>
      </w:r>
      <w:r>
        <w:rPr>
          <w:spacing w:val="40"/>
          <w:sz w:val="24"/>
        </w:rPr>
        <w:t> </w:t>
      </w:r>
      <w:r>
        <w:rPr>
          <w:sz w:val="24"/>
        </w:rPr>
        <w:t>Once the goals, objectives and service area are defined, a provider must determine what transportation needs are not being met by conducting a needs assessment within the proposed service area and focused to better meet the needs of minority, low-income and disabled populations. This needs assessment will aid a system in determining:</w:t>
      </w:r>
    </w:p>
    <w:p>
      <w:pPr>
        <w:pStyle w:val="BodyText"/>
        <w:spacing w:before="1"/>
      </w:pPr>
    </w:p>
    <w:p>
      <w:pPr>
        <w:pStyle w:val="ListParagraph"/>
        <w:numPr>
          <w:ilvl w:val="3"/>
          <w:numId w:val="25"/>
        </w:numPr>
        <w:tabs>
          <w:tab w:pos="2279" w:val="left" w:leader="none"/>
        </w:tabs>
        <w:spacing w:line="297" w:lineRule="exact" w:before="0" w:after="0"/>
        <w:ind w:left="2279" w:right="0" w:hanging="359"/>
        <w:jc w:val="both"/>
        <w:rPr>
          <w:sz w:val="24"/>
        </w:rPr>
      </w:pPr>
      <w:r>
        <w:rPr>
          <w:sz w:val="24"/>
        </w:rPr>
        <w:t>Transportation</w:t>
      </w:r>
      <w:r>
        <w:rPr>
          <w:spacing w:val="-2"/>
          <w:sz w:val="24"/>
        </w:rPr>
        <w:t> </w:t>
      </w:r>
      <w:r>
        <w:rPr>
          <w:sz w:val="24"/>
        </w:rPr>
        <w:t>needs</w:t>
      </w:r>
      <w:r>
        <w:rPr>
          <w:spacing w:val="-4"/>
          <w:sz w:val="24"/>
        </w:rPr>
        <w:t> </w:t>
      </w:r>
      <w:r>
        <w:rPr>
          <w:sz w:val="24"/>
        </w:rPr>
        <w:t>for</w:t>
      </w:r>
      <w:r>
        <w:rPr>
          <w:spacing w:val="-4"/>
          <w:sz w:val="24"/>
        </w:rPr>
        <w:t> </w:t>
      </w:r>
      <w:r>
        <w:rPr>
          <w:sz w:val="24"/>
        </w:rPr>
        <w:t>human services</w:t>
      </w:r>
      <w:r>
        <w:rPr>
          <w:spacing w:val="-2"/>
          <w:sz w:val="24"/>
        </w:rPr>
        <w:t> </w:t>
      </w:r>
      <w:r>
        <w:rPr>
          <w:sz w:val="24"/>
        </w:rPr>
        <w:t>clients</w:t>
      </w:r>
      <w:r>
        <w:rPr>
          <w:spacing w:val="-2"/>
          <w:sz w:val="24"/>
        </w:rPr>
        <w:t> </w:t>
      </w:r>
      <w:r>
        <w:rPr>
          <w:sz w:val="24"/>
        </w:rPr>
        <w:t>as</w:t>
      </w:r>
      <w:r>
        <w:rPr>
          <w:spacing w:val="-2"/>
          <w:sz w:val="24"/>
        </w:rPr>
        <w:t> </w:t>
      </w:r>
      <w:r>
        <w:rPr>
          <w:sz w:val="24"/>
        </w:rPr>
        <w:t>well</w:t>
      </w:r>
      <w:r>
        <w:rPr>
          <w:spacing w:val="-4"/>
          <w:sz w:val="24"/>
        </w:rPr>
        <w:t> </w:t>
      </w:r>
      <w:r>
        <w:rPr>
          <w:sz w:val="24"/>
        </w:rPr>
        <w:t>as</w:t>
      </w:r>
      <w:r>
        <w:rPr>
          <w:spacing w:val="-2"/>
          <w:sz w:val="24"/>
        </w:rPr>
        <w:t> </w:t>
      </w:r>
      <w:r>
        <w:rPr>
          <w:sz w:val="24"/>
        </w:rPr>
        <w:t>the</w:t>
      </w:r>
      <w:r>
        <w:rPr>
          <w:spacing w:val="-1"/>
          <w:sz w:val="24"/>
        </w:rPr>
        <w:t> </w:t>
      </w:r>
      <w:r>
        <w:rPr>
          <w:sz w:val="24"/>
        </w:rPr>
        <w:t>general </w:t>
      </w:r>
      <w:r>
        <w:rPr>
          <w:spacing w:val="-2"/>
          <w:sz w:val="24"/>
        </w:rPr>
        <w:t>public;</w:t>
      </w:r>
    </w:p>
    <w:p>
      <w:pPr>
        <w:pStyle w:val="ListParagraph"/>
        <w:numPr>
          <w:ilvl w:val="3"/>
          <w:numId w:val="25"/>
        </w:numPr>
        <w:tabs>
          <w:tab w:pos="2279" w:val="left" w:leader="none"/>
        </w:tabs>
        <w:spacing w:line="293" w:lineRule="exact" w:before="0" w:after="0"/>
        <w:ind w:left="2279" w:right="0" w:hanging="359"/>
        <w:jc w:val="both"/>
        <w:rPr>
          <w:sz w:val="24"/>
        </w:rPr>
      </w:pPr>
      <w:r>
        <w:rPr>
          <w:sz w:val="24"/>
        </w:rPr>
        <w:t>Revenue</w:t>
      </w:r>
      <w:r>
        <w:rPr>
          <w:spacing w:val="-3"/>
          <w:sz w:val="24"/>
        </w:rPr>
        <w:t> </w:t>
      </w:r>
      <w:r>
        <w:rPr>
          <w:sz w:val="24"/>
        </w:rPr>
        <w:t>sources</w:t>
      </w:r>
      <w:r>
        <w:rPr>
          <w:spacing w:val="-3"/>
          <w:sz w:val="24"/>
        </w:rPr>
        <w:t> </w:t>
      </w:r>
      <w:r>
        <w:rPr>
          <w:sz w:val="24"/>
        </w:rPr>
        <w:t>to</w:t>
      </w:r>
      <w:r>
        <w:rPr>
          <w:spacing w:val="-2"/>
          <w:sz w:val="24"/>
        </w:rPr>
        <w:t> </w:t>
      </w:r>
      <w:r>
        <w:rPr>
          <w:sz w:val="24"/>
        </w:rPr>
        <w:t>provide</w:t>
      </w:r>
      <w:r>
        <w:rPr>
          <w:spacing w:val="-1"/>
          <w:sz w:val="24"/>
        </w:rPr>
        <w:t> </w:t>
      </w:r>
      <w:r>
        <w:rPr>
          <w:sz w:val="24"/>
        </w:rPr>
        <w:t>an</w:t>
      </w:r>
      <w:r>
        <w:rPr>
          <w:spacing w:val="1"/>
          <w:sz w:val="24"/>
        </w:rPr>
        <w:t> </w:t>
      </w:r>
      <w:r>
        <w:rPr>
          <w:sz w:val="24"/>
        </w:rPr>
        <w:t>adequate</w:t>
      </w:r>
      <w:r>
        <w:rPr>
          <w:spacing w:val="-1"/>
          <w:sz w:val="24"/>
        </w:rPr>
        <w:t> </w:t>
      </w:r>
      <w:r>
        <w:rPr>
          <w:sz w:val="24"/>
        </w:rPr>
        <w:t>level</w:t>
      </w:r>
      <w:r>
        <w:rPr>
          <w:spacing w:val="-3"/>
          <w:sz w:val="24"/>
        </w:rPr>
        <w:t> </w:t>
      </w:r>
      <w:r>
        <w:rPr>
          <w:sz w:val="24"/>
        </w:rPr>
        <w:t>of</w:t>
      </w:r>
      <w:r>
        <w:rPr>
          <w:spacing w:val="-2"/>
          <w:sz w:val="24"/>
        </w:rPr>
        <w:t> </w:t>
      </w:r>
      <w:r>
        <w:rPr>
          <w:sz w:val="24"/>
        </w:rPr>
        <w:t>service</w:t>
      </w:r>
      <w:r>
        <w:rPr>
          <w:spacing w:val="-1"/>
          <w:sz w:val="24"/>
        </w:rPr>
        <w:t> </w:t>
      </w:r>
      <w:r>
        <w:rPr>
          <w:sz w:val="24"/>
        </w:rPr>
        <w:t>to</w:t>
      </w:r>
      <w:r>
        <w:rPr>
          <w:spacing w:val="-2"/>
          <w:sz w:val="24"/>
        </w:rPr>
        <w:t> </w:t>
      </w:r>
      <w:r>
        <w:rPr>
          <w:sz w:val="24"/>
        </w:rPr>
        <w:t>meet</w:t>
      </w:r>
      <w:r>
        <w:rPr>
          <w:spacing w:val="-2"/>
          <w:sz w:val="24"/>
        </w:rPr>
        <w:t> </w:t>
      </w:r>
      <w:r>
        <w:rPr>
          <w:sz w:val="24"/>
        </w:rPr>
        <w:t>these</w:t>
      </w:r>
      <w:r>
        <w:rPr>
          <w:spacing w:val="-2"/>
          <w:sz w:val="24"/>
        </w:rPr>
        <w:t> needs;</w:t>
      </w:r>
    </w:p>
    <w:p>
      <w:pPr>
        <w:pStyle w:val="ListParagraph"/>
        <w:numPr>
          <w:ilvl w:val="3"/>
          <w:numId w:val="25"/>
        </w:numPr>
        <w:tabs>
          <w:tab w:pos="2280" w:val="left" w:leader="none"/>
        </w:tabs>
        <w:spacing w:line="237" w:lineRule="auto" w:before="0" w:after="0"/>
        <w:ind w:left="2280" w:right="933" w:hanging="360"/>
        <w:jc w:val="both"/>
        <w:rPr>
          <w:sz w:val="24"/>
        </w:rPr>
      </w:pPr>
      <w:r>
        <w:rPr>
          <w:sz w:val="24"/>
        </w:rPr>
        <w:t>Existing</w:t>
      </w:r>
      <w:r>
        <w:rPr>
          <w:spacing w:val="-14"/>
          <w:sz w:val="24"/>
        </w:rPr>
        <w:t> </w:t>
      </w:r>
      <w:r>
        <w:rPr>
          <w:sz w:val="24"/>
        </w:rPr>
        <w:t>transportation</w:t>
      </w:r>
      <w:r>
        <w:rPr>
          <w:spacing w:val="-14"/>
          <w:sz w:val="24"/>
        </w:rPr>
        <w:t> </w:t>
      </w:r>
      <w:r>
        <w:rPr>
          <w:sz w:val="24"/>
        </w:rPr>
        <w:t>services,</w:t>
      </w:r>
      <w:r>
        <w:rPr>
          <w:spacing w:val="-13"/>
          <w:sz w:val="24"/>
        </w:rPr>
        <w:t> </w:t>
      </w:r>
      <w:r>
        <w:rPr>
          <w:sz w:val="24"/>
        </w:rPr>
        <w:t>both</w:t>
      </w:r>
      <w:r>
        <w:rPr>
          <w:spacing w:val="-14"/>
          <w:sz w:val="24"/>
        </w:rPr>
        <w:t> </w:t>
      </w:r>
      <w:r>
        <w:rPr>
          <w:sz w:val="24"/>
        </w:rPr>
        <w:t>public</w:t>
      </w:r>
      <w:r>
        <w:rPr>
          <w:spacing w:val="-13"/>
          <w:sz w:val="24"/>
        </w:rPr>
        <w:t> </w:t>
      </w:r>
      <w:r>
        <w:rPr>
          <w:sz w:val="24"/>
        </w:rPr>
        <w:t>and</w:t>
      </w:r>
      <w:r>
        <w:rPr>
          <w:spacing w:val="-14"/>
          <w:sz w:val="24"/>
        </w:rPr>
        <w:t> </w:t>
      </w:r>
      <w:r>
        <w:rPr>
          <w:sz w:val="24"/>
        </w:rPr>
        <w:t>private</w:t>
      </w:r>
      <w:r>
        <w:rPr>
          <w:spacing w:val="-13"/>
          <w:sz w:val="24"/>
        </w:rPr>
        <w:t> </w:t>
      </w:r>
      <w:r>
        <w:rPr>
          <w:sz w:val="24"/>
        </w:rPr>
        <w:t>as</w:t>
      </w:r>
      <w:r>
        <w:rPr>
          <w:spacing w:val="-14"/>
          <w:sz w:val="24"/>
        </w:rPr>
        <w:t> </w:t>
      </w:r>
      <w:r>
        <w:rPr>
          <w:sz w:val="24"/>
        </w:rPr>
        <w:t>well</w:t>
      </w:r>
      <w:r>
        <w:rPr>
          <w:spacing w:val="-14"/>
          <w:sz w:val="24"/>
        </w:rPr>
        <w:t> </w:t>
      </w:r>
      <w:r>
        <w:rPr>
          <w:sz w:val="24"/>
        </w:rPr>
        <w:t>as</w:t>
      </w:r>
      <w:r>
        <w:rPr>
          <w:spacing w:val="-13"/>
          <w:sz w:val="24"/>
        </w:rPr>
        <w:t> </w:t>
      </w:r>
      <w:r>
        <w:rPr>
          <w:sz w:val="24"/>
        </w:rPr>
        <w:t>existing</w:t>
      </w:r>
      <w:r>
        <w:rPr>
          <w:spacing w:val="-14"/>
          <w:sz w:val="24"/>
        </w:rPr>
        <w:t> </w:t>
      </w:r>
      <w:r>
        <w:rPr>
          <w:sz w:val="24"/>
        </w:rPr>
        <w:t>vehicles in the service area, including their type, age, condition, seating capacity and whether for sale, lease or shared use;</w:t>
      </w:r>
    </w:p>
    <w:p>
      <w:pPr>
        <w:pStyle w:val="ListParagraph"/>
        <w:numPr>
          <w:ilvl w:val="3"/>
          <w:numId w:val="25"/>
        </w:numPr>
        <w:tabs>
          <w:tab w:pos="2279" w:val="left" w:leader="none"/>
        </w:tabs>
        <w:spacing w:line="295" w:lineRule="exact" w:before="0" w:after="0"/>
        <w:ind w:left="2279" w:right="0" w:hanging="359"/>
        <w:jc w:val="both"/>
        <w:rPr>
          <w:sz w:val="24"/>
        </w:rPr>
      </w:pPr>
      <w:r>
        <w:rPr>
          <w:sz w:val="24"/>
        </w:rPr>
        <w:t>New</w:t>
      </w:r>
      <w:r>
        <w:rPr>
          <w:spacing w:val="-3"/>
          <w:sz w:val="24"/>
        </w:rPr>
        <w:t> </w:t>
      </w:r>
      <w:r>
        <w:rPr>
          <w:sz w:val="24"/>
        </w:rPr>
        <w:t>vehicle</w:t>
      </w:r>
      <w:r>
        <w:rPr>
          <w:spacing w:val="-2"/>
          <w:sz w:val="24"/>
        </w:rPr>
        <w:t> </w:t>
      </w:r>
      <w:r>
        <w:rPr>
          <w:sz w:val="24"/>
        </w:rPr>
        <w:t>and</w:t>
      </w:r>
      <w:r>
        <w:rPr>
          <w:spacing w:val="1"/>
          <w:sz w:val="24"/>
        </w:rPr>
        <w:t> </w:t>
      </w:r>
      <w:r>
        <w:rPr>
          <w:sz w:val="24"/>
        </w:rPr>
        <w:t>other capital</w:t>
      </w:r>
      <w:r>
        <w:rPr>
          <w:spacing w:val="-3"/>
          <w:sz w:val="24"/>
        </w:rPr>
        <w:t> </w:t>
      </w:r>
      <w:r>
        <w:rPr>
          <w:spacing w:val="-2"/>
          <w:sz w:val="24"/>
        </w:rPr>
        <w:t>needs;</w:t>
      </w:r>
    </w:p>
    <w:p>
      <w:pPr>
        <w:pStyle w:val="ListParagraph"/>
        <w:numPr>
          <w:ilvl w:val="3"/>
          <w:numId w:val="25"/>
        </w:numPr>
        <w:tabs>
          <w:tab w:pos="2279" w:val="left" w:leader="none"/>
        </w:tabs>
        <w:spacing w:line="293" w:lineRule="exact" w:before="0" w:after="0"/>
        <w:ind w:left="2279" w:right="0" w:hanging="359"/>
        <w:jc w:val="both"/>
        <w:rPr>
          <w:sz w:val="24"/>
        </w:rPr>
      </w:pPr>
      <w:r>
        <w:rPr>
          <w:sz w:val="24"/>
        </w:rPr>
        <w:t>Municipal</w:t>
      </w:r>
      <w:r>
        <w:rPr>
          <w:spacing w:val="-1"/>
          <w:sz w:val="24"/>
        </w:rPr>
        <w:t> </w:t>
      </w:r>
      <w:r>
        <w:rPr>
          <w:sz w:val="24"/>
        </w:rPr>
        <w:t>government</w:t>
      </w:r>
      <w:r>
        <w:rPr>
          <w:spacing w:val="-3"/>
          <w:sz w:val="24"/>
        </w:rPr>
        <w:t> </w:t>
      </w:r>
      <w:r>
        <w:rPr>
          <w:sz w:val="24"/>
        </w:rPr>
        <w:t>support</w:t>
      </w:r>
      <w:r>
        <w:rPr>
          <w:spacing w:val="-3"/>
          <w:sz w:val="24"/>
        </w:rPr>
        <w:t> </w:t>
      </w:r>
      <w:r>
        <w:rPr>
          <w:sz w:val="24"/>
        </w:rPr>
        <w:t>of</w:t>
      </w:r>
      <w:r>
        <w:rPr>
          <w:spacing w:val="-3"/>
          <w:sz w:val="24"/>
        </w:rPr>
        <w:t> </w:t>
      </w:r>
      <w:r>
        <w:rPr>
          <w:sz w:val="24"/>
        </w:rPr>
        <w:t>rural</w:t>
      </w:r>
      <w:r>
        <w:rPr>
          <w:spacing w:val="-3"/>
          <w:sz w:val="24"/>
        </w:rPr>
        <w:t> </w:t>
      </w:r>
      <w:r>
        <w:rPr>
          <w:spacing w:val="-2"/>
          <w:sz w:val="24"/>
        </w:rPr>
        <w:t>transit;</w:t>
      </w:r>
    </w:p>
    <w:p>
      <w:pPr>
        <w:pStyle w:val="ListParagraph"/>
        <w:numPr>
          <w:ilvl w:val="3"/>
          <w:numId w:val="25"/>
        </w:numPr>
        <w:tabs>
          <w:tab w:pos="2280" w:val="left" w:leader="none"/>
        </w:tabs>
        <w:spacing w:line="237" w:lineRule="auto" w:before="0" w:after="0"/>
        <w:ind w:left="2280" w:right="936" w:hanging="360"/>
        <w:jc w:val="both"/>
        <w:rPr>
          <w:sz w:val="24"/>
        </w:rPr>
      </w:pPr>
      <w:r>
        <w:rPr>
          <w:sz w:val="24"/>
        </w:rPr>
        <w:t>A</w:t>
      </w:r>
      <w:r>
        <w:rPr>
          <w:spacing w:val="-9"/>
          <w:sz w:val="24"/>
        </w:rPr>
        <w:t> </w:t>
      </w:r>
      <w:r>
        <w:rPr>
          <w:sz w:val="24"/>
        </w:rPr>
        <w:t>multi-year</w:t>
      </w:r>
      <w:r>
        <w:rPr>
          <w:spacing w:val="-12"/>
          <w:sz w:val="24"/>
        </w:rPr>
        <w:t> </w:t>
      </w:r>
      <w:r>
        <w:rPr>
          <w:sz w:val="24"/>
        </w:rPr>
        <w:t>financial</w:t>
      </w:r>
      <w:r>
        <w:rPr>
          <w:spacing w:val="-12"/>
          <w:sz w:val="24"/>
        </w:rPr>
        <w:t> </w:t>
      </w:r>
      <w:r>
        <w:rPr>
          <w:sz w:val="24"/>
        </w:rPr>
        <w:t>plan.</w:t>
      </w:r>
      <w:r>
        <w:rPr>
          <w:spacing w:val="-10"/>
          <w:sz w:val="24"/>
        </w:rPr>
        <w:t> </w:t>
      </w:r>
      <w:r>
        <w:rPr>
          <w:sz w:val="24"/>
        </w:rPr>
        <w:t>MaineDOT</w:t>
      </w:r>
      <w:r>
        <w:rPr>
          <w:spacing w:val="-12"/>
          <w:sz w:val="24"/>
        </w:rPr>
        <w:t> </w:t>
      </w:r>
      <w:r>
        <w:rPr>
          <w:sz w:val="24"/>
        </w:rPr>
        <w:t>reserves</w:t>
      </w:r>
      <w:r>
        <w:rPr>
          <w:spacing w:val="-12"/>
          <w:sz w:val="24"/>
        </w:rPr>
        <w:t> </w:t>
      </w:r>
      <w:r>
        <w:rPr>
          <w:sz w:val="24"/>
        </w:rPr>
        <w:t>the</w:t>
      </w:r>
      <w:r>
        <w:rPr>
          <w:spacing w:val="-9"/>
          <w:sz w:val="24"/>
        </w:rPr>
        <w:t> </w:t>
      </w:r>
      <w:r>
        <w:rPr>
          <w:sz w:val="24"/>
        </w:rPr>
        <w:t>right</w:t>
      </w:r>
      <w:r>
        <w:rPr>
          <w:spacing w:val="-9"/>
          <w:sz w:val="24"/>
        </w:rPr>
        <w:t> </w:t>
      </w:r>
      <w:r>
        <w:rPr>
          <w:sz w:val="24"/>
        </w:rPr>
        <w:t>to</w:t>
      </w:r>
      <w:r>
        <w:rPr>
          <w:spacing w:val="-9"/>
          <w:sz w:val="24"/>
        </w:rPr>
        <w:t> </w:t>
      </w:r>
      <w:r>
        <w:rPr>
          <w:sz w:val="24"/>
        </w:rPr>
        <w:t>fund</w:t>
      </w:r>
      <w:r>
        <w:rPr>
          <w:spacing w:val="-11"/>
          <w:sz w:val="24"/>
        </w:rPr>
        <w:t> </w:t>
      </w:r>
      <w:r>
        <w:rPr>
          <w:sz w:val="24"/>
        </w:rPr>
        <w:t>projects</w:t>
      </w:r>
      <w:r>
        <w:rPr>
          <w:spacing w:val="-12"/>
          <w:sz w:val="24"/>
        </w:rPr>
        <w:t> </w:t>
      </w:r>
      <w:r>
        <w:rPr>
          <w:sz w:val="24"/>
        </w:rPr>
        <w:t>aimed</w:t>
      </w:r>
      <w:r>
        <w:rPr>
          <w:spacing w:val="-9"/>
          <w:sz w:val="24"/>
        </w:rPr>
        <w:t> </w:t>
      </w:r>
      <w:r>
        <w:rPr>
          <w:sz w:val="24"/>
        </w:rPr>
        <w:t>at meeting transit needs that may not be identified through the public processes outlined below.</w:t>
      </w:r>
    </w:p>
    <w:p>
      <w:pPr>
        <w:pStyle w:val="BodyText"/>
        <w:spacing w:before="9"/>
        <w:rPr>
          <w:sz w:val="23"/>
        </w:rPr>
      </w:pPr>
    </w:p>
    <w:p>
      <w:pPr>
        <w:pStyle w:val="Heading9"/>
        <w:spacing w:before="1"/>
        <w:ind w:left="840"/>
      </w:pPr>
      <w:r>
        <w:rPr>
          <w:u w:val="single"/>
        </w:rPr>
        <w:t>Locally</w:t>
      </w:r>
      <w:r>
        <w:rPr>
          <w:spacing w:val="-3"/>
          <w:u w:val="single"/>
        </w:rPr>
        <w:t> </w:t>
      </w:r>
      <w:r>
        <w:rPr>
          <w:u w:val="single"/>
        </w:rPr>
        <w:t>Coordinated</w:t>
      </w:r>
      <w:r>
        <w:rPr>
          <w:spacing w:val="-3"/>
          <w:u w:val="single"/>
        </w:rPr>
        <w:t> </w:t>
      </w:r>
      <w:r>
        <w:rPr>
          <w:u w:val="single"/>
        </w:rPr>
        <w:t>Transit</w:t>
      </w:r>
      <w:r>
        <w:rPr>
          <w:spacing w:val="-3"/>
          <w:u w:val="single"/>
        </w:rPr>
        <w:t> </w:t>
      </w:r>
      <w:r>
        <w:rPr>
          <w:u w:val="single"/>
        </w:rPr>
        <w:t>Plans</w:t>
      </w:r>
      <w:r>
        <w:rPr>
          <w:spacing w:val="-1"/>
          <w:u w:val="single"/>
        </w:rPr>
        <w:t> </w:t>
      </w:r>
      <w:r>
        <w:rPr>
          <w:u w:val="single"/>
        </w:rPr>
        <w:t>and</w:t>
      </w:r>
      <w:r>
        <w:rPr>
          <w:spacing w:val="-1"/>
          <w:u w:val="single"/>
        </w:rPr>
        <w:t> </w:t>
      </w:r>
      <w:r>
        <w:rPr>
          <w:u w:val="single"/>
        </w:rPr>
        <w:t>Project</w:t>
      </w:r>
      <w:r>
        <w:rPr>
          <w:spacing w:val="-3"/>
          <w:u w:val="single"/>
        </w:rPr>
        <w:t> </w:t>
      </w:r>
      <w:r>
        <w:rPr>
          <w:u w:val="single"/>
        </w:rPr>
        <w:t>Approval </w:t>
      </w:r>
      <w:r>
        <w:rPr>
          <w:spacing w:val="-2"/>
          <w:u w:val="single"/>
        </w:rPr>
        <w:t>Process</w:t>
      </w:r>
    </w:p>
    <w:p>
      <w:pPr>
        <w:pStyle w:val="BodyText"/>
        <w:spacing w:before="9"/>
        <w:rPr>
          <w:b/>
          <w:sz w:val="19"/>
        </w:rPr>
      </w:pPr>
    </w:p>
    <w:p>
      <w:pPr>
        <w:pStyle w:val="BodyText"/>
        <w:spacing w:before="51"/>
        <w:ind w:left="840" w:right="932"/>
        <w:jc w:val="both"/>
      </w:pPr>
      <w:r>
        <w:rPr/>
        <w:t>The State is divided into eight geographic regions for distribution of the Maine Department of Transportation administered transit funds.</w:t>
      </w:r>
      <w:r>
        <w:rPr>
          <w:spacing w:val="40"/>
        </w:rPr>
        <w:t> </w:t>
      </w:r>
      <w:r>
        <w:rPr/>
        <w:t>Every five years a Locally Coordinated Transit Plan (LCP)</w:t>
      </w:r>
      <w:r>
        <w:rPr>
          <w:spacing w:val="-7"/>
        </w:rPr>
        <w:t> </w:t>
      </w:r>
      <w:r>
        <w:rPr/>
        <w:t>is</w:t>
      </w:r>
      <w:r>
        <w:rPr>
          <w:spacing w:val="-7"/>
        </w:rPr>
        <w:t> </w:t>
      </w:r>
      <w:r>
        <w:rPr/>
        <w:t>prepared</w:t>
      </w:r>
      <w:r>
        <w:rPr>
          <w:spacing w:val="-8"/>
        </w:rPr>
        <w:t> </w:t>
      </w:r>
      <w:r>
        <w:rPr/>
        <w:t>for</w:t>
      </w:r>
      <w:r>
        <w:rPr>
          <w:spacing w:val="-8"/>
        </w:rPr>
        <w:t> </w:t>
      </w:r>
      <w:r>
        <w:rPr/>
        <w:t>each</w:t>
      </w:r>
      <w:r>
        <w:rPr>
          <w:spacing w:val="-5"/>
        </w:rPr>
        <w:t> </w:t>
      </w:r>
      <w:r>
        <w:rPr/>
        <w:t>of</w:t>
      </w:r>
      <w:r>
        <w:rPr>
          <w:spacing w:val="-8"/>
        </w:rPr>
        <w:t> </w:t>
      </w:r>
      <w:r>
        <w:rPr/>
        <w:t>the</w:t>
      </w:r>
      <w:r>
        <w:rPr>
          <w:spacing w:val="-8"/>
        </w:rPr>
        <w:t> </w:t>
      </w:r>
      <w:r>
        <w:rPr/>
        <w:t>eight</w:t>
      </w:r>
      <w:r>
        <w:rPr>
          <w:spacing w:val="-8"/>
        </w:rPr>
        <w:t> </w:t>
      </w:r>
      <w:r>
        <w:rPr/>
        <w:t>regions.</w:t>
      </w:r>
      <w:r>
        <w:rPr>
          <w:spacing w:val="40"/>
        </w:rPr>
        <w:t> </w:t>
      </w:r>
      <w:r>
        <w:rPr/>
        <w:t>By</w:t>
      </w:r>
      <w:r>
        <w:rPr>
          <w:spacing w:val="-7"/>
        </w:rPr>
        <w:t> </w:t>
      </w:r>
      <w:r>
        <w:rPr/>
        <w:t>State</w:t>
      </w:r>
      <w:r>
        <w:rPr>
          <w:spacing w:val="-6"/>
        </w:rPr>
        <w:t> </w:t>
      </w:r>
      <w:r>
        <w:rPr/>
        <w:t>law</w:t>
      </w:r>
      <w:r>
        <w:rPr>
          <w:spacing w:val="-8"/>
        </w:rPr>
        <w:t> </w:t>
      </w:r>
      <w:r>
        <w:rPr/>
        <w:t>the</w:t>
      </w:r>
      <w:r>
        <w:rPr>
          <w:spacing w:val="-8"/>
        </w:rPr>
        <w:t> </w:t>
      </w:r>
      <w:r>
        <w:rPr/>
        <w:t>Plan</w:t>
      </w:r>
      <w:r>
        <w:rPr>
          <w:spacing w:val="-5"/>
        </w:rPr>
        <w:t> </w:t>
      </w:r>
      <w:r>
        <w:rPr/>
        <w:t>is</w:t>
      </w:r>
      <w:r>
        <w:rPr>
          <w:spacing w:val="-9"/>
        </w:rPr>
        <w:t> </w:t>
      </w:r>
      <w:r>
        <w:rPr/>
        <w:t>approved</w:t>
      </w:r>
      <w:r>
        <w:rPr>
          <w:spacing w:val="-8"/>
        </w:rPr>
        <w:t> </w:t>
      </w:r>
      <w:r>
        <w:rPr/>
        <w:t>with</w:t>
      </w:r>
      <w:r>
        <w:rPr>
          <w:spacing w:val="-8"/>
        </w:rPr>
        <w:t> </w:t>
      </w:r>
      <w:r>
        <w:rPr/>
        <w:t>input</w:t>
      </w:r>
      <w:r>
        <w:rPr>
          <w:spacing w:val="-8"/>
        </w:rPr>
        <w:t> </w:t>
      </w:r>
      <w:r>
        <w:rPr/>
        <w:t>from the</w:t>
      </w:r>
      <w:r>
        <w:rPr>
          <w:spacing w:val="-2"/>
        </w:rPr>
        <w:t> </w:t>
      </w:r>
      <w:r>
        <w:rPr/>
        <w:t>Public</w:t>
      </w:r>
      <w:r>
        <w:rPr>
          <w:spacing w:val="-1"/>
        </w:rPr>
        <w:t> </w:t>
      </w:r>
      <w:r>
        <w:rPr/>
        <w:t>Transit</w:t>
      </w:r>
      <w:r>
        <w:rPr>
          <w:spacing w:val="-2"/>
        </w:rPr>
        <w:t> </w:t>
      </w:r>
      <w:r>
        <w:rPr/>
        <w:t>Advisory</w:t>
      </w:r>
      <w:r>
        <w:rPr>
          <w:spacing w:val="-1"/>
        </w:rPr>
        <w:t> </w:t>
      </w:r>
      <w:r>
        <w:rPr/>
        <w:t>Committee including</w:t>
      </w:r>
      <w:r>
        <w:rPr>
          <w:spacing w:val="-3"/>
        </w:rPr>
        <w:t> </w:t>
      </w:r>
      <w:r>
        <w:rPr/>
        <w:t>the</w:t>
      </w:r>
      <w:r>
        <w:rPr>
          <w:spacing w:val="-2"/>
        </w:rPr>
        <w:t> </w:t>
      </w:r>
      <w:r>
        <w:rPr/>
        <w:t>Department</w:t>
      </w:r>
      <w:r>
        <w:rPr>
          <w:spacing w:val="-2"/>
        </w:rPr>
        <w:t> </w:t>
      </w:r>
      <w:r>
        <w:rPr/>
        <w:t>of</w:t>
      </w:r>
      <w:r>
        <w:rPr>
          <w:spacing w:val="-2"/>
        </w:rPr>
        <w:t> </w:t>
      </w:r>
      <w:r>
        <w:rPr/>
        <w:t>Health</w:t>
      </w:r>
      <w:r>
        <w:rPr>
          <w:spacing w:val="-2"/>
        </w:rPr>
        <w:t> </w:t>
      </w:r>
      <w:r>
        <w:rPr/>
        <w:t>and</w:t>
      </w:r>
      <w:r>
        <w:rPr>
          <w:spacing w:val="-2"/>
        </w:rPr>
        <w:t> </w:t>
      </w:r>
      <w:r>
        <w:rPr/>
        <w:t>Human Services.</w:t>
      </w:r>
    </w:p>
    <w:p>
      <w:pPr>
        <w:pStyle w:val="BodyText"/>
        <w:spacing w:before="11"/>
        <w:rPr>
          <w:sz w:val="23"/>
        </w:rPr>
      </w:pPr>
    </w:p>
    <w:p>
      <w:pPr>
        <w:pStyle w:val="BodyText"/>
        <w:spacing w:before="1"/>
        <w:ind w:left="840"/>
        <w:jc w:val="both"/>
      </w:pPr>
      <w:r>
        <w:rPr/>
        <w:t>The</w:t>
      </w:r>
      <w:r>
        <w:rPr>
          <w:spacing w:val="-3"/>
        </w:rPr>
        <w:t> </w:t>
      </w:r>
      <w:r>
        <w:rPr/>
        <w:t>LCP</w:t>
      </w:r>
      <w:r>
        <w:rPr>
          <w:spacing w:val="-3"/>
        </w:rPr>
        <w:t> </w:t>
      </w:r>
      <w:r>
        <w:rPr/>
        <w:t>submitted</w:t>
      </w:r>
      <w:r>
        <w:rPr>
          <w:spacing w:val="-3"/>
        </w:rPr>
        <w:t> </w:t>
      </w:r>
      <w:r>
        <w:rPr/>
        <w:t>for each regional</w:t>
      </w:r>
      <w:r>
        <w:rPr>
          <w:spacing w:val="-4"/>
        </w:rPr>
        <w:t> </w:t>
      </w:r>
      <w:r>
        <w:rPr/>
        <w:t>public</w:t>
      </w:r>
      <w:r>
        <w:rPr>
          <w:spacing w:val="-1"/>
        </w:rPr>
        <w:t> </w:t>
      </w:r>
      <w:r>
        <w:rPr/>
        <w:t>transportation</w:t>
      </w:r>
      <w:r>
        <w:rPr>
          <w:spacing w:val="-3"/>
        </w:rPr>
        <w:t> </w:t>
      </w:r>
      <w:r>
        <w:rPr/>
        <w:t>agency</w:t>
      </w:r>
      <w:r>
        <w:rPr>
          <w:spacing w:val="-5"/>
        </w:rPr>
        <w:t> </w:t>
      </w:r>
      <w:r>
        <w:rPr/>
        <w:t>provides</w:t>
      </w:r>
      <w:r>
        <w:rPr>
          <w:spacing w:val="-3"/>
        </w:rPr>
        <w:t> </w:t>
      </w:r>
      <w:r>
        <w:rPr/>
        <w:t>for</w:t>
      </w:r>
      <w:r>
        <w:rPr>
          <w:spacing w:val="-4"/>
        </w:rPr>
        <w:t> </w:t>
      </w:r>
      <w:r>
        <w:rPr/>
        <w:t>the</w:t>
      </w:r>
      <w:r>
        <w:rPr>
          <w:spacing w:val="-2"/>
        </w:rPr>
        <w:t> following:</w:t>
      </w:r>
    </w:p>
    <w:p>
      <w:pPr>
        <w:pStyle w:val="BodyText"/>
        <w:spacing w:before="11"/>
        <w:rPr>
          <w:sz w:val="23"/>
        </w:rPr>
      </w:pPr>
    </w:p>
    <w:p>
      <w:pPr>
        <w:pStyle w:val="ListParagraph"/>
        <w:numPr>
          <w:ilvl w:val="0"/>
          <w:numId w:val="28"/>
        </w:numPr>
        <w:tabs>
          <w:tab w:pos="1560" w:val="left" w:leader="none"/>
        </w:tabs>
        <w:spacing w:line="240" w:lineRule="auto" w:before="0" w:after="0"/>
        <w:ind w:left="1560" w:right="935" w:hanging="360"/>
        <w:jc w:val="left"/>
        <w:rPr>
          <w:sz w:val="24"/>
        </w:rPr>
      </w:pPr>
      <w:r>
        <w:rPr>
          <w:sz w:val="24"/>
        </w:rPr>
        <w:t>Maximum</w:t>
      </w:r>
      <w:r>
        <w:rPr>
          <w:spacing w:val="80"/>
          <w:sz w:val="24"/>
        </w:rPr>
        <w:t> </w:t>
      </w:r>
      <w:r>
        <w:rPr>
          <w:sz w:val="24"/>
        </w:rPr>
        <w:t>feasible</w:t>
      </w:r>
      <w:r>
        <w:rPr>
          <w:spacing w:val="80"/>
          <w:sz w:val="24"/>
        </w:rPr>
        <w:t> </w:t>
      </w:r>
      <w:r>
        <w:rPr>
          <w:sz w:val="24"/>
        </w:rPr>
        <w:t>coordination</w:t>
      </w:r>
      <w:r>
        <w:rPr>
          <w:spacing w:val="80"/>
          <w:sz w:val="24"/>
        </w:rPr>
        <w:t> </w:t>
      </w:r>
      <w:r>
        <w:rPr>
          <w:sz w:val="24"/>
        </w:rPr>
        <w:t>of</w:t>
      </w:r>
      <w:r>
        <w:rPr>
          <w:spacing w:val="80"/>
          <w:sz w:val="24"/>
        </w:rPr>
        <w:t> </w:t>
      </w:r>
      <w:r>
        <w:rPr>
          <w:sz w:val="24"/>
        </w:rPr>
        <w:t>funds</w:t>
      </w:r>
      <w:r>
        <w:rPr>
          <w:spacing w:val="80"/>
          <w:sz w:val="24"/>
        </w:rPr>
        <w:t> </w:t>
      </w:r>
      <w:r>
        <w:rPr>
          <w:sz w:val="24"/>
        </w:rPr>
        <w:t>among</w:t>
      </w:r>
      <w:r>
        <w:rPr>
          <w:spacing w:val="80"/>
          <w:sz w:val="24"/>
        </w:rPr>
        <w:t> </w:t>
      </w:r>
      <w:r>
        <w:rPr>
          <w:sz w:val="24"/>
        </w:rPr>
        <w:t>all</w:t>
      </w:r>
      <w:r>
        <w:rPr>
          <w:spacing w:val="80"/>
          <w:sz w:val="24"/>
        </w:rPr>
        <w:t> </w:t>
      </w:r>
      <w:r>
        <w:rPr>
          <w:sz w:val="24"/>
        </w:rPr>
        <w:t>State</w:t>
      </w:r>
      <w:r>
        <w:rPr>
          <w:spacing w:val="80"/>
          <w:sz w:val="24"/>
        </w:rPr>
        <w:t> </w:t>
      </w:r>
      <w:r>
        <w:rPr>
          <w:sz w:val="24"/>
        </w:rPr>
        <w:t>agencies</w:t>
      </w:r>
      <w:r>
        <w:rPr>
          <w:spacing w:val="80"/>
          <w:sz w:val="24"/>
        </w:rPr>
        <w:t> </w:t>
      </w:r>
      <w:r>
        <w:rPr>
          <w:sz w:val="24"/>
        </w:rPr>
        <w:t>that</w:t>
      </w:r>
      <w:r>
        <w:rPr>
          <w:spacing w:val="80"/>
          <w:sz w:val="24"/>
        </w:rPr>
        <w:t> </w:t>
      </w:r>
      <w:r>
        <w:rPr>
          <w:sz w:val="24"/>
        </w:rPr>
        <w:t>sponsor transportation in the region;</w:t>
      </w:r>
    </w:p>
    <w:p>
      <w:pPr>
        <w:pStyle w:val="ListParagraph"/>
        <w:numPr>
          <w:ilvl w:val="0"/>
          <w:numId w:val="28"/>
        </w:numPr>
        <w:tabs>
          <w:tab w:pos="1560" w:val="left" w:leader="none"/>
        </w:tabs>
        <w:spacing w:line="240" w:lineRule="auto" w:before="0" w:after="0"/>
        <w:ind w:left="1560" w:right="939" w:hanging="360"/>
        <w:jc w:val="left"/>
        <w:rPr>
          <w:sz w:val="24"/>
        </w:rPr>
      </w:pPr>
      <w:r>
        <w:rPr>
          <w:sz w:val="24"/>
        </w:rPr>
        <w:t>Development</w:t>
      </w:r>
      <w:r>
        <w:rPr>
          <w:spacing w:val="-13"/>
          <w:sz w:val="24"/>
        </w:rPr>
        <w:t> </w:t>
      </w:r>
      <w:r>
        <w:rPr>
          <w:sz w:val="24"/>
        </w:rPr>
        <w:t>and</w:t>
      </w:r>
      <w:r>
        <w:rPr>
          <w:spacing w:val="-12"/>
          <w:sz w:val="24"/>
        </w:rPr>
        <w:t> </w:t>
      </w:r>
      <w:r>
        <w:rPr>
          <w:sz w:val="24"/>
        </w:rPr>
        <w:t>maintenance</w:t>
      </w:r>
      <w:r>
        <w:rPr>
          <w:spacing w:val="-13"/>
          <w:sz w:val="24"/>
        </w:rPr>
        <w:t> </w:t>
      </w:r>
      <w:r>
        <w:rPr>
          <w:sz w:val="24"/>
        </w:rPr>
        <w:t>of</w:t>
      </w:r>
      <w:r>
        <w:rPr>
          <w:spacing w:val="-12"/>
          <w:sz w:val="24"/>
        </w:rPr>
        <w:t> </w:t>
      </w:r>
      <w:r>
        <w:rPr>
          <w:sz w:val="24"/>
        </w:rPr>
        <w:t>a</w:t>
      </w:r>
      <w:r>
        <w:rPr>
          <w:spacing w:val="-13"/>
          <w:sz w:val="24"/>
        </w:rPr>
        <w:t> </w:t>
      </w:r>
      <w:r>
        <w:rPr>
          <w:sz w:val="24"/>
        </w:rPr>
        <w:t>permanent</w:t>
      </w:r>
      <w:r>
        <w:rPr>
          <w:spacing w:val="-12"/>
          <w:sz w:val="24"/>
        </w:rPr>
        <w:t> </w:t>
      </w:r>
      <w:r>
        <w:rPr>
          <w:sz w:val="24"/>
        </w:rPr>
        <w:t>and</w:t>
      </w:r>
      <w:r>
        <w:rPr>
          <w:spacing w:val="-12"/>
          <w:sz w:val="24"/>
        </w:rPr>
        <w:t> </w:t>
      </w:r>
      <w:r>
        <w:rPr>
          <w:sz w:val="24"/>
        </w:rPr>
        <w:t>effective</w:t>
      </w:r>
      <w:r>
        <w:rPr>
          <w:spacing w:val="-13"/>
          <w:sz w:val="24"/>
        </w:rPr>
        <w:t> </w:t>
      </w:r>
      <w:r>
        <w:rPr>
          <w:sz w:val="24"/>
        </w:rPr>
        <w:t>transportation</w:t>
      </w:r>
      <w:r>
        <w:rPr>
          <w:spacing w:val="-12"/>
          <w:sz w:val="24"/>
        </w:rPr>
        <w:t> </w:t>
      </w:r>
      <w:r>
        <w:rPr>
          <w:sz w:val="24"/>
        </w:rPr>
        <w:t>system,</w:t>
      </w:r>
      <w:r>
        <w:rPr>
          <w:spacing w:val="-14"/>
          <w:sz w:val="24"/>
        </w:rPr>
        <w:t> </w:t>
      </w:r>
      <w:r>
        <w:rPr>
          <w:sz w:val="24"/>
        </w:rPr>
        <w:t>with particular regard to seniors, persons with disabilities and low-income persons.</w:t>
      </w:r>
    </w:p>
    <w:p>
      <w:pPr>
        <w:pStyle w:val="ListParagraph"/>
        <w:numPr>
          <w:ilvl w:val="0"/>
          <w:numId w:val="28"/>
        </w:numPr>
        <w:tabs>
          <w:tab w:pos="1560" w:val="left" w:leader="none"/>
        </w:tabs>
        <w:spacing w:line="240" w:lineRule="auto" w:before="2" w:after="0"/>
        <w:ind w:left="1560" w:right="936" w:hanging="360"/>
        <w:jc w:val="left"/>
        <w:rPr>
          <w:sz w:val="24"/>
        </w:rPr>
      </w:pPr>
      <w:r>
        <w:rPr>
          <w:sz w:val="24"/>
        </w:rPr>
        <w:t>Participation</w:t>
      </w:r>
      <w:r>
        <w:rPr>
          <w:spacing w:val="40"/>
          <w:sz w:val="24"/>
        </w:rPr>
        <w:t> </w:t>
      </w:r>
      <w:r>
        <w:rPr>
          <w:sz w:val="24"/>
        </w:rPr>
        <w:t>of</w:t>
      </w:r>
      <w:r>
        <w:rPr>
          <w:spacing w:val="40"/>
          <w:sz w:val="24"/>
        </w:rPr>
        <w:t> </w:t>
      </w:r>
      <w:r>
        <w:rPr>
          <w:sz w:val="24"/>
        </w:rPr>
        <w:t>private</w:t>
      </w:r>
      <w:r>
        <w:rPr>
          <w:spacing w:val="40"/>
          <w:sz w:val="24"/>
        </w:rPr>
        <w:t> </w:t>
      </w:r>
      <w:r>
        <w:rPr>
          <w:sz w:val="24"/>
        </w:rPr>
        <w:t>transit</w:t>
      </w:r>
      <w:r>
        <w:rPr>
          <w:spacing w:val="40"/>
          <w:sz w:val="24"/>
        </w:rPr>
        <w:t> </w:t>
      </w:r>
      <w:r>
        <w:rPr>
          <w:sz w:val="24"/>
        </w:rPr>
        <w:t>operators</w:t>
      </w:r>
      <w:r>
        <w:rPr>
          <w:spacing w:val="40"/>
          <w:sz w:val="24"/>
        </w:rPr>
        <w:t> </w:t>
      </w:r>
      <w:r>
        <w:rPr>
          <w:sz w:val="24"/>
        </w:rPr>
        <w:t>in</w:t>
      </w:r>
      <w:r>
        <w:rPr>
          <w:spacing w:val="40"/>
          <w:sz w:val="24"/>
        </w:rPr>
        <w:t> </w:t>
      </w:r>
      <w:r>
        <w:rPr>
          <w:sz w:val="24"/>
        </w:rPr>
        <w:t>the</w:t>
      </w:r>
      <w:r>
        <w:rPr>
          <w:spacing w:val="40"/>
          <w:sz w:val="24"/>
        </w:rPr>
        <w:t> </w:t>
      </w:r>
      <w:r>
        <w:rPr>
          <w:sz w:val="24"/>
        </w:rPr>
        <w:t>service</w:t>
      </w:r>
      <w:r>
        <w:rPr>
          <w:spacing w:val="40"/>
          <w:sz w:val="24"/>
        </w:rPr>
        <w:t> </w:t>
      </w:r>
      <w:r>
        <w:rPr>
          <w:sz w:val="24"/>
        </w:rPr>
        <w:t>area</w:t>
      </w:r>
      <w:r>
        <w:rPr>
          <w:spacing w:val="40"/>
          <w:sz w:val="24"/>
        </w:rPr>
        <w:t> </w:t>
      </w:r>
      <w:r>
        <w:rPr>
          <w:sz w:val="24"/>
        </w:rPr>
        <w:t>to</w:t>
      </w:r>
      <w:r>
        <w:rPr>
          <w:spacing w:val="40"/>
          <w:sz w:val="24"/>
        </w:rPr>
        <w:t> </w:t>
      </w:r>
      <w:r>
        <w:rPr>
          <w:sz w:val="24"/>
        </w:rPr>
        <w:t>the</w:t>
      </w:r>
      <w:r>
        <w:rPr>
          <w:spacing w:val="40"/>
          <w:sz w:val="24"/>
        </w:rPr>
        <w:t> </w:t>
      </w:r>
      <w:r>
        <w:rPr>
          <w:sz w:val="24"/>
        </w:rPr>
        <w:t>greatest</w:t>
      </w:r>
      <w:r>
        <w:rPr>
          <w:spacing w:val="40"/>
          <w:sz w:val="24"/>
        </w:rPr>
        <w:t> </w:t>
      </w:r>
      <w:r>
        <w:rPr>
          <w:sz w:val="24"/>
        </w:rPr>
        <w:t>extent </w:t>
      </w:r>
      <w:r>
        <w:rPr>
          <w:spacing w:val="-2"/>
          <w:sz w:val="24"/>
        </w:rPr>
        <w:t>possible.</w:t>
      </w:r>
    </w:p>
    <w:p>
      <w:pPr>
        <w:pStyle w:val="ListParagraph"/>
        <w:numPr>
          <w:ilvl w:val="0"/>
          <w:numId w:val="28"/>
        </w:numPr>
        <w:tabs>
          <w:tab w:pos="1560" w:val="left" w:leader="none"/>
        </w:tabs>
        <w:spacing w:line="240" w:lineRule="auto" w:before="0" w:after="0"/>
        <w:ind w:left="1560" w:right="936" w:hanging="360"/>
        <w:jc w:val="left"/>
        <w:rPr>
          <w:sz w:val="24"/>
        </w:rPr>
      </w:pPr>
      <w:r>
        <w:rPr>
          <w:sz w:val="24"/>
        </w:rPr>
        <w:t>Conformity</w:t>
      </w:r>
      <w:r>
        <w:rPr>
          <w:spacing w:val="80"/>
          <w:sz w:val="24"/>
        </w:rPr>
        <w:t> </w:t>
      </w:r>
      <w:r>
        <w:rPr>
          <w:sz w:val="24"/>
        </w:rPr>
        <w:t>with</w:t>
      </w:r>
      <w:r>
        <w:rPr>
          <w:spacing w:val="80"/>
          <w:sz w:val="24"/>
        </w:rPr>
        <w:t> </w:t>
      </w:r>
      <w:r>
        <w:rPr>
          <w:sz w:val="24"/>
        </w:rPr>
        <w:t>general</w:t>
      </w:r>
      <w:r>
        <w:rPr>
          <w:spacing w:val="80"/>
          <w:sz w:val="24"/>
        </w:rPr>
        <w:t> </w:t>
      </w:r>
      <w:r>
        <w:rPr>
          <w:sz w:val="24"/>
        </w:rPr>
        <w:t>operational</w:t>
      </w:r>
      <w:r>
        <w:rPr>
          <w:spacing w:val="80"/>
          <w:sz w:val="24"/>
        </w:rPr>
        <w:t> </w:t>
      </w:r>
      <w:r>
        <w:rPr>
          <w:sz w:val="24"/>
        </w:rPr>
        <w:t>requirements</w:t>
      </w:r>
      <w:r>
        <w:rPr>
          <w:spacing w:val="80"/>
          <w:sz w:val="24"/>
        </w:rPr>
        <w:t> </w:t>
      </w:r>
      <w:r>
        <w:rPr>
          <w:sz w:val="24"/>
        </w:rPr>
        <w:t>as</w:t>
      </w:r>
      <w:r>
        <w:rPr>
          <w:spacing w:val="80"/>
          <w:sz w:val="24"/>
        </w:rPr>
        <w:t> </w:t>
      </w:r>
      <w:r>
        <w:rPr>
          <w:sz w:val="24"/>
        </w:rPr>
        <w:t>may</w:t>
      </w:r>
      <w:r>
        <w:rPr>
          <w:spacing w:val="80"/>
          <w:sz w:val="24"/>
        </w:rPr>
        <w:t> </w:t>
      </w:r>
      <w:r>
        <w:rPr>
          <w:sz w:val="24"/>
        </w:rPr>
        <w:t>be</w:t>
      </w:r>
      <w:r>
        <w:rPr>
          <w:spacing w:val="80"/>
          <w:sz w:val="24"/>
        </w:rPr>
        <w:t> </w:t>
      </w:r>
      <w:r>
        <w:rPr>
          <w:sz w:val="24"/>
        </w:rPr>
        <w:t>prescribed</w:t>
      </w:r>
      <w:r>
        <w:rPr>
          <w:spacing w:val="80"/>
          <w:sz w:val="24"/>
        </w:rPr>
        <w:t> </w:t>
      </w:r>
      <w:r>
        <w:rPr>
          <w:sz w:val="24"/>
        </w:rPr>
        <w:t>by</w:t>
      </w:r>
      <w:r>
        <w:rPr>
          <w:spacing w:val="80"/>
          <w:sz w:val="24"/>
        </w:rPr>
        <w:t> </w:t>
      </w:r>
      <w:r>
        <w:rPr>
          <w:sz w:val="24"/>
        </w:rPr>
        <w:t>the Commissioner of MaineDOT.</w:t>
      </w:r>
    </w:p>
    <w:p>
      <w:pPr>
        <w:spacing w:after="0" w:line="240" w:lineRule="auto"/>
        <w:jc w:val="left"/>
        <w:rPr>
          <w:sz w:val="24"/>
        </w:rPr>
        <w:sectPr>
          <w:pgSz w:w="12240" w:h="15840"/>
          <w:pgMar w:header="0" w:footer="997" w:top="960" w:bottom="1260" w:left="600" w:right="500"/>
        </w:sectPr>
      </w:pPr>
    </w:p>
    <w:p>
      <w:pPr>
        <w:pStyle w:val="ListParagraph"/>
        <w:numPr>
          <w:ilvl w:val="0"/>
          <w:numId w:val="28"/>
        </w:numPr>
        <w:tabs>
          <w:tab w:pos="1560" w:val="left" w:leader="none"/>
        </w:tabs>
        <w:spacing w:line="240" w:lineRule="auto" w:before="35" w:after="0"/>
        <w:ind w:left="1560" w:right="934" w:hanging="360"/>
        <w:jc w:val="both"/>
        <w:rPr>
          <w:sz w:val="24"/>
        </w:rPr>
      </w:pPr>
      <w:r>
        <w:rPr>
          <w:sz w:val="24"/>
        </w:rPr>
        <w:t>MaineDOT</w:t>
      </w:r>
      <w:r>
        <w:rPr>
          <w:spacing w:val="-4"/>
          <w:sz w:val="24"/>
        </w:rPr>
        <w:t> </w:t>
      </w:r>
      <w:r>
        <w:rPr>
          <w:sz w:val="24"/>
        </w:rPr>
        <w:t>may</w:t>
      </w:r>
      <w:r>
        <w:rPr>
          <w:spacing w:val="-6"/>
          <w:sz w:val="24"/>
        </w:rPr>
        <w:t> </w:t>
      </w:r>
      <w:r>
        <w:rPr>
          <w:sz w:val="24"/>
        </w:rPr>
        <w:t>transfer</w:t>
      </w:r>
      <w:r>
        <w:rPr>
          <w:spacing w:val="-7"/>
          <w:sz w:val="24"/>
        </w:rPr>
        <w:t> </w:t>
      </w:r>
      <w:r>
        <w:rPr>
          <w:sz w:val="24"/>
        </w:rPr>
        <w:t>any</w:t>
      </w:r>
      <w:r>
        <w:rPr>
          <w:spacing w:val="-3"/>
          <w:sz w:val="24"/>
        </w:rPr>
        <w:t> </w:t>
      </w:r>
      <w:r>
        <w:rPr>
          <w:sz w:val="24"/>
        </w:rPr>
        <w:t>amount</w:t>
      </w:r>
      <w:r>
        <w:rPr>
          <w:spacing w:val="-4"/>
          <w:sz w:val="24"/>
        </w:rPr>
        <w:t> </w:t>
      </w:r>
      <w:r>
        <w:rPr>
          <w:sz w:val="24"/>
        </w:rPr>
        <w:t>of</w:t>
      </w:r>
      <w:r>
        <w:rPr>
          <w:spacing w:val="-4"/>
          <w:sz w:val="24"/>
        </w:rPr>
        <w:t> </w:t>
      </w:r>
      <w:r>
        <w:rPr>
          <w:sz w:val="24"/>
        </w:rPr>
        <w:t>the</w:t>
      </w:r>
      <w:r>
        <w:rPr>
          <w:spacing w:val="-2"/>
          <w:sz w:val="24"/>
        </w:rPr>
        <w:t> </w:t>
      </w:r>
      <w:r>
        <w:rPr>
          <w:sz w:val="24"/>
        </w:rPr>
        <w:t>State's</w:t>
      </w:r>
      <w:r>
        <w:rPr>
          <w:spacing w:val="-3"/>
          <w:sz w:val="24"/>
        </w:rPr>
        <w:t> </w:t>
      </w:r>
      <w:r>
        <w:rPr>
          <w:sz w:val="24"/>
        </w:rPr>
        <w:t>apportionment</w:t>
      </w:r>
      <w:r>
        <w:rPr>
          <w:spacing w:val="-4"/>
          <w:sz w:val="24"/>
        </w:rPr>
        <w:t> </w:t>
      </w:r>
      <w:r>
        <w:rPr>
          <w:sz w:val="24"/>
        </w:rPr>
        <w:t>for</w:t>
      </w:r>
      <w:r>
        <w:rPr>
          <w:spacing w:val="-7"/>
          <w:sz w:val="24"/>
        </w:rPr>
        <w:t> </w:t>
      </w:r>
      <w:r>
        <w:rPr>
          <w:sz w:val="24"/>
        </w:rPr>
        <w:t>urbanized</w:t>
      </w:r>
      <w:r>
        <w:rPr>
          <w:spacing w:val="-4"/>
          <w:sz w:val="24"/>
        </w:rPr>
        <w:t> </w:t>
      </w:r>
      <w:r>
        <w:rPr>
          <w:sz w:val="24"/>
        </w:rPr>
        <w:t>areas</w:t>
      </w:r>
      <w:r>
        <w:rPr>
          <w:spacing w:val="-5"/>
          <w:sz w:val="24"/>
        </w:rPr>
        <w:t> </w:t>
      </w:r>
      <w:r>
        <w:rPr>
          <w:sz w:val="24"/>
        </w:rPr>
        <w:t>to any urbanized area in the State or with the Governor’s permission, to supplement the State's 49 USC §5311 Program.</w:t>
      </w:r>
      <w:r>
        <w:rPr>
          <w:spacing w:val="40"/>
          <w:sz w:val="24"/>
        </w:rPr>
        <w:t> </w:t>
      </w:r>
      <w:r>
        <w:rPr>
          <w:sz w:val="24"/>
        </w:rPr>
        <w:t>MaineDOT will make such transfers only after consultation with the responsible local elected officials and publicly-owned operators of transportation services in each area to which the funding was originally apportioned.</w:t>
      </w:r>
    </w:p>
    <w:p>
      <w:pPr>
        <w:pStyle w:val="BodyText"/>
        <w:spacing w:before="11"/>
        <w:rPr>
          <w:sz w:val="23"/>
        </w:rPr>
      </w:pPr>
    </w:p>
    <w:p>
      <w:pPr>
        <w:pStyle w:val="BodyText"/>
        <w:ind w:left="840" w:right="935"/>
        <w:jc w:val="both"/>
      </w:pPr>
      <w:r>
        <w:rPr/>
        <w:t>Public meetings are held periodically to assess needs, determine performance, communication levels, coordination of service and distribution of funds.</w:t>
      </w:r>
      <w:r>
        <w:rPr>
          <w:spacing w:val="40"/>
        </w:rPr>
        <w:t> </w:t>
      </w:r>
      <w:r>
        <w:rPr/>
        <w:t>Prior to submission of the plan to MaineDOT for approval, the plans are subjected to public meetings at the local level.</w:t>
      </w:r>
    </w:p>
    <w:p>
      <w:pPr>
        <w:pStyle w:val="BodyText"/>
        <w:spacing w:before="2"/>
      </w:pPr>
    </w:p>
    <w:p>
      <w:pPr>
        <w:pStyle w:val="BodyText"/>
        <w:ind w:left="840" w:right="932"/>
        <w:jc w:val="both"/>
      </w:pPr>
      <w:r>
        <w:rPr/>
        <w:t>Approval of each plan is given by MaineDOT with input from the Public Transit Advisory Committee including the Department of Health and Human Services.</w:t>
      </w:r>
      <w:r>
        <w:rPr>
          <w:spacing w:val="40"/>
        </w:rPr>
        <w:t> </w:t>
      </w:r>
      <w:r>
        <w:rPr/>
        <w:t>This is currently done through</w:t>
      </w:r>
      <w:r>
        <w:rPr>
          <w:spacing w:val="-4"/>
        </w:rPr>
        <w:t> </w:t>
      </w:r>
      <w:r>
        <w:rPr/>
        <w:t>the</w:t>
      </w:r>
      <w:r>
        <w:rPr>
          <w:spacing w:val="-2"/>
        </w:rPr>
        <w:t> </w:t>
      </w:r>
      <w:r>
        <w:rPr/>
        <w:t>Governor’s</w:t>
      </w:r>
      <w:r>
        <w:rPr>
          <w:spacing w:val="-3"/>
        </w:rPr>
        <w:t> </w:t>
      </w:r>
      <w:r>
        <w:rPr/>
        <w:t>Interagency</w:t>
      </w:r>
      <w:r>
        <w:rPr>
          <w:spacing w:val="-3"/>
        </w:rPr>
        <w:t> </w:t>
      </w:r>
      <w:r>
        <w:rPr/>
        <w:t>Coordinating</w:t>
      </w:r>
      <w:r>
        <w:rPr>
          <w:spacing w:val="-5"/>
        </w:rPr>
        <w:t> </w:t>
      </w:r>
      <w:r>
        <w:rPr/>
        <w:t>Committee</w:t>
      </w:r>
      <w:r>
        <w:rPr>
          <w:spacing w:val="-2"/>
        </w:rPr>
        <w:t> </w:t>
      </w:r>
      <w:r>
        <w:rPr/>
        <w:t>consisting</w:t>
      </w:r>
      <w:r>
        <w:rPr>
          <w:spacing w:val="-3"/>
        </w:rPr>
        <w:t> </w:t>
      </w:r>
      <w:r>
        <w:rPr/>
        <w:t>of</w:t>
      </w:r>
      <w:r>
        <w:rPr>
          <w:spacing w:val="-4"/>
        </w:rPr>
        <w:t> </w:t>
      </w:r>
      <w:r>
        <w:rPr/>
        <w:t>representatives</w:t>
      </w:r>
      <w:r>
        <w:rPr>
          <w:spacing w:val="-5"/>
        </w:rPr>
        <w:t> </w:t>
      </w:r>
      <w:r>
        <w:rPr/>
        <w:t>from the various offices of the Department of Health and Human Services and the Department of Labor.</w:t>
      </w:r>
      <w:r>
        <w:rPr>
          <w:spacing w:val="32"/>
        </w:rPr>
        <w:t> </w:t>
      </w:r>
      <w:r>
        <w:rPr/>
        <w:t>Upon</w:t>
      </w:r>
      <w:r>
        <w:rPr>
          <w:spacing w:val="-12"/>
        </w:rPr>
        <w:t> </w:t>
      </w:r>
      <w:r>
        <w:rPr/>
        <w:t>approval,</w:t>
      </w:r>
      <w:r>
        <w:rPr>
          <w:spacing w:val="-11"/>
        </w:rPr>
        <w:t> </w:t>
      </w:r>
      <w:r>
        <w:rPr/>
        <w:t>all</w:t>
      </w:r>
      <w:r>
        <w:rPr>
          <w:spacing w:val="-11"/>
        </w:rPr>
        <w:t> </w:t>
      </w:r>
      <w:r>
        <w:rPr/>
        <w:t>agencies,</w:t>
      </w:r>
      <w:r>
        <w:rPr>
          <w:spacing w:val="-11"/>
        </w:rPr>
        <w:t> </w:t>
      </w:r>
      <w:r>
        <w:rPr/>
        <w:t>groups</w:t>
      </w:r>
      <w:r>
        <w:rPr>
          <w:spacing w:val="-11"/>
        </w:rPr>
        <w:t> </w:t>
      </w:r>
      <w:r>
        <w:rPr/>
        <w:t>or</w:t>
      </w:r>
      <w:r>
        <w:rPr>
          <w:spacing w:val="-13"/>
        </w:rPr>
        <w:t> </w:t>
      </w:r>
      <w:r>
        <w:rPr/>
        <w:t>organizations</w:t>
      </w:r>
      <w:r>
        <w:rPr>
          <w:spacing w:val="-14"/>
        </w:rPr>
        <w:t> </w:t>
      </w:r>
      <w:r>
        <w:rPr/>
        <w:t>named</w:t>
      </w:r>
      <w:r>
        <w:rPr>
          <w:spacing w:val="-12"/>
        </w:rPr>
        <w:t> </w:t>
      </w:r>
      <w:r>
        <w:rPr/>
        <w:t>to</w:t>
      </w:r>
      <w:r>
        <w:rPr>
          <w:spacing w:val="-13"/>
        </w:rPr>
        <w:t> </w:t>
      </w:r>
      <w:r>
        <w:rPr/>
        <w:t>participate</w:t>
      </w:r>
      <w:r>
        <w:rPr>
          <w:spacing w:val="-13"/>
        </w:rPr>
        <w:t> </w:t>
      </w:r>
      <w:r>
        <w:rPr/>
        <w:t>in</w:t>
      </w:r>
      <w:r>
        <w:rPr>
          <w:spacing w:val="-12"/>
        </w:rPr>
        <w:t> </w:t>
      </w:r>
      <w:r>
        <w:rPr/>
        <w:t>the</w:t>
      </w:r>
      <w:r>
        <w:rPr>
          <w:spacing w:val="-11"/>
        </w:rPr>
        <w:t> </w:t>
      </w:r>
      <w:r>
        <w:rPr/>
        <w:t>provision of service in accordance with the regional operation plan, become eligible to receive funds administered by MaineDOT.</w:t>
      </w:r>
      <w:r>
        <w:rPr>
          <w:spacing w:val="40"/>
        </w:rPr>
        <w:t> </w:t>
      </w:r>
      <w:r>
        <w:rPr/>
        <w:t>Separate contracts are then written between MaineDOT and each provider agency.</w:t>
      </w:r>
      <w:r>
        <w:rPr>
          <w:spacing w:val="40"/>
        </w:rPr>
        <w:t> </w:t>
      </w:r>
      <w:r>
        <w:rPr/>
        <w:t>MaineDOT’s Locally Coordinated Plan for 2019-2023 can be found at: </w:t>
      </w:r>
      <w:hyperlink r:id="rId54">
        <w:r>
          <w:rPr>
            <w:color w:val="0000FF"/>
            <w:spacing w:val="-2"/>
            <w:u w:val="single" w:color="0000FF"/>
          </w:rPr>
          <w:t>https://www.maine.gov/mdot/transit/publications/lcp/</w:t>
        </w:r>
      </w:hyperlink>
    </w:p>
    <w:p>
      <w:pPr>
        <w:pStyle w:val="BodyText"/>
        <w:spacing w:before="4"/>
        <w:rPr>
          <w:sz w:val="27"/>
        </w:rPr>
      </w:pPr>
    </w:p>
    <w:p>
      <w:pPr>
        <w:pStyle w:val="Heading9"/>
        <w:numPr>
          <w:ilvl w:val="0"/>
          <w:numId w:val="25"/>
        </w:numPr>
        <w:tabs>
          <w:tab w:pos="1051" w:val="left" w:leader="none"/>
        </w:tabs>
        <w:spacing w:line="240" w:lineRule="auto" w:before="51" w:after="0"/>
        <w:ind w:left="1051" w:right="0" w:hanging="211"/>
        <w:jc w:val="left"/>
        <w:rPr>
          <w:u w:val="single"/>
        </w:rPr>
      </w:pPr>
      <w:bookmarkStart w:name="H.   Description of Procedures MaineDOT " w:id="46"/>
      <w:bookmarkEnd w:id="46"/>
      <w:r>
        <w:rPr>
          <w:b w:val="0"/>
        </w:rPr>
      </w:r>
      <w:bookmarkStart w:name="_bookmark21" w:id="47"/>
      <w:bookmarkEnd w:id="47"/>
      <w:r>
        <w:rPr>
          <w:b w:val="0"/>
        </w:rPr>
      </w:r>
      <w:r>
        <w:rPr>
          <w:b w:val="0"/>
          <w:spacing w:val="49"/>
          <w:u w:val="single"/>
        </w:rPr>
        <w:t> </w:t>
      </w:r>
      <w:r>
        <w:rPr>
          <w:b w:val="0"/>
          <w:u w:val="single"/>
        </w:rPr>
        <w:t>​ </w:t>
      </w:r>
      <w:r>
        <w:rPr>
          <w:u w:val="single"/>
        </w:rPr>
        <w:t>Description</w:t>
      </w:r>
      <w:r>
        <w:rPr>
          <w:spacing w:val="-3"/>
          <w:u w:val="single"/>
        </w:rPr>
        <w:t> </w:t>
      </w:r>
      <w:r>
        <w:rPr>
          <w:u w:val="single"/>
        </w:rPr>
        <w:t>of</w:t>
      </w:r>
      <w:r>
        <w:rPr>
          <w:spacing w:val="-3"/>
          <w:u w:val="single"/>
        </w:rPr>
        <w:t> </w:t>
      </w:r>
      <w:r>
        <w:rPr>
          <w:u w:val="single"/>
        </w:rPr>
        <w:t>Procedures</w:t>
      </w:r>
      <w:r>
        <w:rPr>
          <w:spacing w:val="-2"/>
          <w:u w:val="single"/>
        </w:rPr>
        <w:t> </w:t>
      </w:r>
      <w:r>
        <w:rPr>
          <w:u w:val="single"/>
        </w:rPr>
        <w:t>MaineDOT Uses</w:t>
      </w:r>
      <w:r>
        <w:rPr>
          <w:spacing w:val="-1"/>
          <w:u w:val="single"/>
        </w:rPr>
        <w:t> </w:t>
      </w:r>
      <w:r>
        <w:rPr>
          <w:u w:val="single"/>
        </w:rPr>
        <w:t>to</w:t>
      </w:r>
      <w:r>
        <w:rPr>
          <w:spacing w:val="-2"/>
          <w:u w:val="single"/>
        </w:rPr>
        <w:t> </w:t>
      </w:r>
      <w:r>
        <w:rPr>
          <w:u w:val="single"/>
        </w:rPr>
        <w:t>Assist</w:t>
      </w:r>
      <w:r>
        <w:rPr>
          <w:spacing w:val="-1"/>
          <w:u w:val="single"/>
        </w:rPr>
        <w:t> </w:t>
      </w:r>
      <w:r>
        <w:rPr>
          <w:u w:val="single"/>
        </w:rPr>
        <w:t>Potential</w:t>
      </w:r>
      <w:r>
        <w:rPr>
          <w:spacing w:val="-1"/>
          <w:u w:val="single"/>
        </w:rPr>
        <w:t> </w:t>
      </w:r>
      <w:r>
        <w:rPr>
          <w:spacing w:val="-2"/>
          <w:u w:val="single"/>
        </w:rPr>
        <w:t>Subrecipients</w:t>
      </w:r>
    </w:p>
    <w:p>
      <w:pPr>
        <w:pStyle w:val="BodyText"/>
        <w:spacing w:before="11"/>
        <w:rPr>
          <w:b/>
        </w:rPr>
      </w:pPr>
    </w:p>
    <w:p>
      <w:pPr>
        <w:pStyle w:val="BodyText"/>
        <w:spacing w:before="51"/>
        <w:ind w:left="840" w:right="932"/>
        <w:jc w:val="both"/>
      </w:pPr>
      <w:r>
        <w:rPr/>
        <w:t>There</w:t>
      </w:r>
      <w:r>
        <w:rPr>
          <w:spacing w:val="-11"/>
        </w:rPr>
        <w:t> </w:t>
      </w:r>
      <w:r>
        <w:rPr/>
        <w:t>are</w:t>
      </w:r>
      <w:r>
        <w:rPr>
          <w:spacing w:val="-11"/>
        </w:rPr>
        <w:t> </w:t>
      </w:r>
      <w:r>
        <w:rPr/>
        <w:t>a</w:t>
      </w:r>
      <w:r>
        <w:rPr>
          <w:spacing w:val="-11"/>
        </w:rPr>
        <w:t> </w:t>
      </w:r>
      <w:r>
        <w:rPr/>
        <w:t>number</w:t>
      </w:r>
      <w:r>
        <w:rPr>
          <w:spacing w:val="-11"/>
        </w:rPr>
        <w:t> </w:t>
      </w:r>
      <w:r>
        <w:rPr/>
        <w:t>of</w:t>
      </w:r>
      <w:r>
        <w:rPr>
          <w:spacing w:val="-10"/>
        </w:rPr>
        <w:t> </w:t>
      </w:r>
      <w:r>
        <w:rPr/>
        <w:t>procedures</w:t>
      </w:r>
      <w:r>
        <w:rPr>
          <w:spacing w:val="-11"/>
        </w:rPr>
        <w:t> </w:t>
      </w:r>
      <w:r>
        <w:rPr/>
        <w:t>that</w:t>
      </w:r>
      <w:r>
        <w:rPr>
          <w:spacing w:val="-10"/>
        </w:rPr>
        <w:t> </w:t>
      </w:r>
      <w:r>
        <w:rPr/>
        <w:t>Maine</w:t>
      </w:r>
      <w:r>
        <w:rPr>
          <w:spacing w:val="-11"/>
        </w:rPr>
        <w:t> </w:t>
      </w:r>
      <w:r>
        <w:rPr/>
        <w:t>utilizes</w:t>
      </w:r>
      <w:r>
        <w:rPr>
          <w:spacing w:val="-11"/>
        </w:rPr>
        <w:t> </w:t>
      </w:r>
      <w:r>
        <w:rPr/>
        <w:t>to</w:t>
      </w:r>
      <w:r>
        <w:rPr>
          <w:spacing w:val="-11"/>
        </w:rPr>
        <w:t> </w:t>
      </w:r>
      <w:r>
        <w:rPr/>
        <w:t>assist</w:t>
      </w:r>
      <w:r>
        <w:rPr>
          <w:spacing w:val="-12"/>
        </w:rPr>
        <w:t> </w:t>
      </w:r>
      <w:r>
        <w:rPr/>
        <w:t>potential</w:t>
      </w:r>
      <w:r>
        <w:rPr>
          <w:spacing w:val="-11"/>
        </w:rPr>
        <w:t> </w:t>
      </w:r>
      <w:r>
        <w:rPr/>
        <w:t>subrecipients</w:t>
      </w:r>
      <w:r>
        <w:rPr>
          <w:spacing w:val="-11"/>
        </w:rPr>
        <w:t> </w:t>
      </w:r>
      <w:r>
        <w:rPr/>
        <w:t>in</w:t>
      </w:r>
      <w:r>
        <w:rPr>
          <w:spacing w:val="-8"/>
        </w:rPr>
        <w:t> </w:t>
      </w:r>
      <w:r>
        <w:rPr/>
        <w:t>applying for funding, including applicants that would serve predominantly minority populations.</w:t>
      </w:r>
    </w:p>
    <w:p>
      <w:pPr>
        <w:pStyle w:val="BodyText"/>
      </w:pPr>
    </w:p>
    <w:p>
      <w:pPr>
        <w:pStyle w:val="BodyText"/>
        <w:ind w:left="840" w:right="934"/>
        <w:jc w:val="both"/>
      </w:pPr>
      <w:r>
        <w:rPr>
          <w:b/>
          <w:u w:val="single"/>
        </w:rPr>
        <w:t>Advisory</w:t>
      </w:r>
      <w:r>
        <w:rPr>
          <w:b/>
          <w:spacing w:val="-12"/>
          <w:u w:val="single"/>
        </w:rPr>
        <w:t> </w:t>
      </w:r>
      <w:r>
        <w:rPr>
          <w:b/>
          <w:u w:val="single"/>
        </w:rPr>
        <w:t>committee</w:t>
      </w:r>
      <w:r>
        <w:rPr>
          <w:b/>
          <w:spacing w:val="-12"/>
          <w:u w:val="single"/>
        </w:rPr>
        <w:t> </w:t>
      </w:r>
      <w:r>
        <w:rPr>
          <w:b/>
          <w:u w:val="single"/>
        </w:rPr>
        <w:t>input</w:t>
      </w:r>
      <w:r>
        <w:rPr/>
        <w:t>.</w:t>
      </w:r>
      <w:r>
        <w:rPr>
          <w:spacing w:val="-12"/>
        </w:rPr>
        <w:t> </w:t>
      </w:r>
      <w:r>
        <w:rPr/>
        <w:t>As</w:t>
      </w:r>
      <w:r>
        <w:rPr>
          <w:spacing w:val="-11"/>
        </w:rPr>
        <w:t> </w:t>
      </w:r>
      <w:r>
        <w:rPr/>
        <w:t>more</w:t>
      </w:r>
      <w:r>
        <w:rPr>
          <w:spacing w:val="-11"/>
        </w:rPr>
        <w:t> </w:t>
      </w:r>
      <w:r>
        <w:rPr/>
        <w:t>fully</w:t>
      </w:r>
      <w:r>
        <w:rPr>
          <w:spacing w:val="-12"/>
        </w:rPr>
        <w:t> </w:t>
      </w:r>
      <w:r>
        <w:rPr/>
        <w:t>described</w:t>
      </w:r>
      <w:r>
        <w:rPr>
          <w:spacing w:val="-10"/>
        </w:rPr>
        <w:t> </w:t>
      </w:r>
      <w:r>
        <w:rPr/>
        <w:t>under</w:t>
      </w:r>
      <w:r>
        <w:rPr>
          <w:spacing w:val="-11"/>
        </w:rPr>
        <w:t> </w:t>
      </w:r>
      <w:r>
        <w:rPr/>
        <w:t>section</w:t>
      </w:r>
      <w:r>
        <w:rPr>
          <w:spacing w:val="-10"/>
        </w:rPr>
        <w:t> </w:t>
      </w:r>
      <w:r>
        <w:rPr/>
        <w:t>F.</w:t>
      </w:r>
      <w:r>
        <w:rPr>
          <w:spacing w:val="-12"/>
        </w:rPr>
        <w:t> </w:t>
      </w:r>
      <w:r>
        <w:rPr/>
        <w:t>the</w:t>
      </w:r>
      <w:r>
        <w:rPr>
          <w:spacing w:val="-11"/>
        </w:rPr>
        <w:t> </w:t>
      </w:r>
      <w:r>
        <w:rPr/>
        <w:t>Bureau</w:t>
      </w:r>
      <w:r>
        <w:rPr>
          <w:spacing w:val="-10"/>
        </w:rPr>
        <w:t> </w:t>
      </w:r>
      <w:r>
        <w:rPr/>
        <w:t>of</w:t>
      </w:r>
      <w:r>
        <w:rPr>
          <w:spacing w:val="-10"/>
        </w:rPr>
        <w:t> </w:t>
      </w:r>
      <w:r>
        <w:rPr/>
        <w:t>Planning</w:t>
      </w:r>
      <w:r>
        <w:rPr>
          <w:spacing w:val="-11"/>
        </w:rPr>
        <w:t> </w:t>
      </w:r>
      <w:r>
        <w:rPr/>
        <w:t>relies on the Public Transit Advisory Committee (PTAC) described above to help identify transit needs and opportunities.</w:t>
      </w:r>
    </w:p>
    <w:p>
      <w:pPr>
        <w:pStyle w:val="BodyText"/>
        <w:spacing w:before="11"/>
        <w:rPr>
          <w:sz w:val="23"/>
        </w:rPr>
      </w:pPr>
    </w:p>
    <w:p>
      <w:pPr>
        <w:pStyle w:val="BodyText"/>
        <w:ind w:left="839" w:right="932"/>
        <w:jc w:val="both"/>
      </w:pPr>
      <w:r>
        <w:rPr>
          <w:b/>
          <w:u w:val="single"/>
        </w:rPr>
        <w:t>Assistance to individuals and groups</w:t>
      </w:r>
      <w:r>
        <w:rPr/>
        <w:t>. As a follow-up to contacts made at planning meetings and/or</w:t>
      </w:r>
      <w:r>
        <w:rPr>
          <w:spacing w:val="-9"/>
        </w:rPr>
        <w:t> </w:t>
      </w:r>
      <w:r>
        <w:rPr/>
        <w:t>in</w:t>
      </w:r>
      <w:r>
        <w:rPr>
          <w:spacing w:val="-9"/>
        </w:rPr>
        <w:t> </w:t>
      </w:r>
      <w:r>
        <w:rPr/>
        <w:t>response</w:t>
      </w:r>
      <w:r>
        <w:rPr>
          <w:spacing w:val="-9"/>
        </w:rPr>
        <w:t> </w:t>
      </w:r>
      <w:r>
        <w:rPr/>
        <w:t>to</w:t>
      </w:r>
      <w:r>
        <w:rPr>
          <w:spacing w:val="-9"/>
        </w:rPr>
        <w:t> </w:t>
      </w:r>
      <w:r>
        <w:rPr/>
        <w:t>direct</w:t>
      </w:r>
      <w:r>
        <w:rPr>
          <w:spacing w:val="-6"/>
        </w:rPr>
        <w:t> </w:t>
      </w:r>
      <w:r>
        <w:rPr/>
        <w:t>requests</w:t>
      </w:r>
      <w:r>
        <w:rPr>
          <w:spacing w:val="-10"/>
        </w:rPr>
        <w:t> </w:t>
      </w:r>
      <w:r>
        <w:rPr/>
        <w:t>for</w:t>
      </w:r>
      <w:r>
        <w:rPr>
          <w:spacing w:val="-7"/>
        </w:rPr>
        <w:t> </w:t>
      </w:r>
      <w:r>
        <w:rPr/>
        <w:t>assistance,</w:t>
      </w:r>
      <w:r>
        <w:rPr>
          <w:spacing w:val="-7"/>
        </w:rPr>
        <w:t> </w:t>
      </w:r>
      <w:r>
        <w:rPr/>
        <w:t>MaineDOT</w:t>
      </w:r>
      <w:r>
        <w:rPr>
          <w:spacing w:val="-9"/>
        </w:rPr>
        <w:t> </w:t>
      </w:r>
      <w:r>
        <w:rPr/>
        <w:t>Bureau</w:t>
      </w:r>
      <w:r>
        <w:rPr>
          <w:spacing w:val="-6"/>
        </w:rPr>
        <w:t> </w:t>
      </w:r>
      <w:r>
        <w:rPr/>
        <w:t>of</w:t>
      </w:r>
      <w:r>
        <w:rPr>
          <w:spacing w:val="-9"/>
        </w:rPr>
        <w:t> </w:t>
      </w:r>
      <w:r>
        <w:rPr/>
        <w:t>Planning</w:t>
      </w:r>
      <w:r>
        <w:rPr>
          <w:spacing w:val="-8"/>
        </w:rPr>
        <w:t> </w:t>
      </w:r>
      <w:r>
        <w:rPr/>
        <w:t>staff</w:t>
      </w:r>
      <w:r>
        <w:rPr>
          <w:spacing w:val="-6"/>
        </w:rPr>
        <w:t> </w:t>
      </w:r>
      <w:r>
        <w:rPr/>
        <w:t>meet</w:t>
      </w:r>
      <w:r>
        <w:rPr>
          <w:spacing w:val="-9"/>
        </w:rPr>
        <w:t> </w:t>
      </w:r>
      <w:r>
        <w:rPr/>
        <w:t>on a regular basis with potential subrecipients to assist them in preparing the studies, documentation, and application process for receiving FTA funds.</w:t>
      </w:r>
    </w:p>
    <w:p>
      <w:pPr>
        <w:pStyle w:val="BodyText"/>
        <w:spacing w:before="5"/>
        <w:rPr>
          <w:sz w:val="31"/>
        </w:rPr>
      </w:pPr>
    </w:p>
    <w:p>
      <w:pPr>
        <w:pStyle w:val="BodyText"/>
        <w:ind w:left="840" w:right="934"/>
        <w:jc w:val="both"/>
      </w:pPr>
      <w:r>
        <w:rPr/>
        <mc:AlternateContent>
          <mc:Choice Requires="wps">
            <w:drawing>
              <wp:anchor distT="0" distB="0" distL="0" distR="0" allowOverlap="1" layoutInCell="1" locked="0" behindDoc="1" simplePos="0" relativeHeight="478356480">
                <wp:simplePos x="0" y="0"/>
                <wp:positionH relativeFrom="page">
                  <wp:posOffset>4130040</wp:posOffset>
                </wp:positionH>
                <wp:positionV relativeFrom="paragraph">
                  <wp:posOffset>347799</wp:posOffset>
                </wp:positionV>
                <wp:extent cx="76200" cy="1079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76200" cy="10795"/>
                        </a:xfrm>
                        <a:custGeom>
                          <a:avLst/>
                          <a:gdLst/>
                          <a:ahLst/>
                          <a:cxnLst/>
                          <a:rect l="l" t="t" r="r" b="b"/>
                          <a:pathLst>
                            <a:path w="76200" h="10795">
                              <a:moveTo>
                                <a:pt x="76200" y="0"/>
                              </a:moveTo>
                              <a:lnTo>
                                <a:pt x="0" y="0"/>
                              </a:lnTo>
                              <a:lnTo>
                                <a:pt x="0" y="10668"/>
                              </a:lnTo>
                              <a:lnTo>
                                <a:pt x="76200" y="10668"/>
                              </a:lnTo>
                              <a:lnTo>
                                <a:pt x="762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5.200012pt;margin-top:27.385778pt;width:6pt;height:.84pt;mso-position-horizontal-relative:page;mso-position-vertical-relative:paragraph;z-index:-24960000" id="docshape86" filled="true" fillcolor="#000000" stroked="false">
                <v:fill type="solid"/>
                <w10:wrap type="none"/>
              </v:rect>
            </w:pict>
          </mc:Fallback>
        </mc:AlternateContent>
      </w:r>
      <w:r>
        <w:rPr>
          <w:b/>
          <w:u w:val="single"/>
        </w:rPr>
        <w:t>Information and data analysis</w:t>
      </w:r>
      <w:r>
        <w:rPr/>
        <w:t>.</w:t>
      </w:r>
      <w:r>
        <w:rPr>
          <w:spacing w:val="40"/>
        </w:rPr>
        <w:t> </w:t>
      </w:r>
      <w:r>
        <w:rPr/>
        <w:t>As stated above, MaineDOT assists subrecipients in the development of Four Factor analyses and public participation planning. We have created documents to assist in these plans.</w:t>
      </w:r>
      <w:r>
        <w:rPr>
          <w:spacing w:val="40"/>
        </w:rPr>
        <w:t> </w:t>
      </w:r>
      <w:r>
        <w:rPr/>
        <w:t>MaineDOT has also created more detailed maps of each county and their minority populations by census tract.</w:t>
      </w:r>
      <w:r>
        <w:rPr>
          <w:spacing w:val="40"/>
        </w:rPr>
        <w:t> </w:t>
      </w:r>
      <w:r>
        <w:rPr/>
        <w:t>These maps and data can be accessed through our website under the heading “General Title VI Information, Minority Populations By County” at:</w:t>
      </w:r>
      <w:r>
        <w:rPr>
          <w:spacing w:val="40"/>
        </w:rPr>
        <w:t> </w:t>
      </w:r>
      <w:hyperlink r:id="rId9">
        <w:r>
          <w:rPr>
            <w:color w:val="0000FF"/>
            <w:u w:val="single" w:color="0000FF"/>
          </w:rPr>
          <w:t>https://www.maine.gov/mdot/civilrights/title-vi/</w:t>
        </w:r>
      </w:hyperlink>
    </w:p>
    <w:p>
      <w:pPr>
        <w:spacing w:after="0"/>
        <w:jc w:val="both"/>
        <w:sectPr>
          <w:pgSz w:w="12240" w:h="15840"/>
          <w:pgMar w:header="0" w:footer="997" w:top="960" w:bottom="1260" w:left="600" w:right="5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7"/>
        </w:rPr>
      </w:pPr>
    </w:p>
    <w:p>
      <w:pPr>
        <w:pStyle w:val="Heading6"/>
        <w:spacing w:line="252" w:lineRule="auto"/>
        <w:ind w:left="1266" w:right="1586"/>
      </w:pPr>
      <w:r>
        <w:rPr>
          <w:color w:val="383838"/>
          <w:spacing w:val="-2"/>
          <w:w w:val="105"/>
        </w:rPr>
        <w:t>MAINE</w:t>
      </w:r>
      <w:r>
        <w:rPr>
          <w:color w:val="383838"/>
          <w:spacing w:val="-16"/>
          <w:w w:val="105"/>
        </w:rPr>
        <w:t> </w:t>
      </w:r>
      <w:r>
        <w:rPr>
          <w:color w:val="383838"/>
          <w:spacing w:val="-2"/>
          <w:w w:val="105"/>
        </w:rPr>
        <w:t>DEPARTMENT</w:t>
      </w:r>
      <w:r>
        <w:rPr>
          <w:color w:val="383838"/>
          <w:spacing w:val="-16"/>
          <w:w w:val="105"/>
        </w:rPr>
        <w:t> </w:t>
      </w:r>
      <w:r>
        <w:rPr>
          <w:color w:val="383838"/>
          <w:spacing w:val="-2"/>
          <w:w w:val="105"/>
        </w:rPr>
        <w:t>OF</w:t>
      </w:r>
      <w:r>
        <w:rPr>
          <w:color w:val="383838"/>
          <w:spacing w:val="-18"/>
          <w:w w:val="105"/>
        </w:rPr>
        <w:t> </w:t>
      </w:r>
      <w:r>
        <w:rPr>
          <w:color w:val="383838"/>
          <w:spacing w:val="-2"/>
          <w:w w:val="105"/>
        </w:rPr>
        <w:t>TRANSPORTATION </w:t>
      </w:r>
      <w:r>
        <w:rPr>
          <w:color w:val="232323"/>
          <w:w w:val="105"/>
        </w:rPr>
        <w:t>NONDISCRIMINATION</w:t>
      </w:r>
      <w:r>
        <w:rPr>
          <w:color w:val="232323"/>
          <w:spacing w:val="-5"/>
          <w:w w:val="105"/>
        </w:rPr>
        <w:t> </w:t>
      </w:r>
      <w:r>
        <w:rPr>
          <w:color w:val="383838"/>
          <w:w w:val="105"/>
        </w:rPr>
        <w:t>POLICY STATEMENT</w:t>
      </w:r>
    </w:p>
    <w:p>
      <w:pPr>
        <w:pStyle w:val="BodyText"/>
        <w:spacing w:before="5"/>
        <w:rPr>
          <w:rFonts w:ascii="Times New Roman"/>
          <w:b/>
          <w:sz w:val="27"/>
        </w:rPr>
      </w:pPr>
    </w:p>
    <w:p>
      <w:pPr>
        <w:spacing w:before="0"/>
        <w:ind w:left="3176" w:right="3500" w:firstLine="0"/>
        <w:jc w:val="center"/>
        <w:rPr>
          <w:rFonts w:ascii="Times New Roman"/>
          <w:b/>
          <w:sz w:val="27"/>
        </w:rPr>
      </w:pPr>
      <w:r>
        <w:rPr>
          <w:rFonts w:ascii="Times New Roman"/>
          <w:b/>
          <w:color w:val="383838"/>
          <w:w w:val="105"/>
          <w:sz w:val="27"/>
        </w:rPr>
        <w:t>TITLE</w:t>
      </w:r>
      <w:r>
        <w:rPr>
          <w:rFonts w:ascii="Times New Roman"/>
          <w:b/>
          <w:color w:val="383838"/>
          <w:spacing w:val="-6"/>
          <w:w w:val="105"/>
          <w:sz w:val="27"/>
        </w:rPr>
        <w:t> </w:t>
      </w:r>
      <w:r>
        <w:rPr>
          <w:rFonts w:ascii="Times New Roman"/>
          <w:b/>
          <w:color w:val="383838"/>
          <w:w w:val="105"/>
          <w:sz w:val="27"/>
        </w:rPr>
        <w:t>VI</w:t>
      </w:r>
      <w:r>
        <w:rPr>
          <w:rFonts w:ascii="Times New Roman"/>
          <w:b/>
          <w:color w:val="383838"/>
          <w:spacing w:val="-15"/>
          <w:w w:val="105"/>
          <w:sz w:val="27"/>
        </w:rPr>
        <w:t> </w:t>
      </w:r>
      <w:r>
        <w:rPr>
          <w:rFonts w:ascii="Times New Roman"/>
          <w:b/>
          <w:color w:val="232323"/>
          <w:spacing w:val="-2"/>
          <w:w w:val="105"/>
          <w:sz w:val="27"/>
        </w:rPr>
        <w:t>(FT</w:t>
      </w:r>
      <w:r>
        <w:rPr>
          <w:rFonts w:ascii="Times New Roman"/>
          <w:b/>
          <w:color w:val="383838"/>
          <w:spacing w:val="-2"/>
          <w:w w:val="105"/>
          <w:sz w:val="27"/>
        </w:rPr>
        <w:t>A)</w:t>
      </w:r>
    </w:p>
    <w:p>
      <w:pPr>
        <w:pStyle w:val="BodyText"/>
        <w:spacing w:before="9"/>
        <w:rPr>
          <w:rFonts w:ascii="Times New Roman"/>
          <w:b/>
          <w:sz w:val="25"/>
        </w:rPr>
      </w:pPr>
    </w:p>
    <w:p>
      <w:pPr>
        <w:spacing w:line="254" w:lineRule="auto" w:before="0"/>
        <w:ind w:left="719" w:right="1970" w:firstLine="1"/>
        <w:jc w:val="both"/>
        <w:rPr>
          <w:rFonts w:ascii="Times New Roman"/>
          <w:sz w:val="23"/>
        </w:rPr>
      </w:pPr>
      <w:r>
        <w:rPr>
          <w:rFonts w:ascii="Times New Roman"/>
          <w:color w:val="383838"/>
          <w:w w:val="105"/>
          <w:sz w:val="23"/>
        </w:rPr>
        <w:t>The</w:t>
      </w:r>
      <w:r>
        <w:rPr>
          <w:rFonts w:ascii="Times New Roman"/>
          <w:color w:val="383838"/>
          <w:spacing w:val="-16"/>
          <w:w w:val="105"/>
          <w:sz w:val="23"/>
        </w:rPr>
        <w:t> </w:t>
      </w:r>
      <w:r>
        <w:rPr>
          <w:rFonts w:ascii="Times New Roman"/>
          <w:color w:val="383838"/>
          <w:w w:val="105"/>
          <w:sz w:val="23"/>
        </w:rPr>
        <w:t>Maine</w:t>
      </w:r>
      <w:r>
        <w:rPr>
          <w:rFonts w:ascii="Times New Roman"/>
          <w:color w:val="383838"/>
          <w:spacing w:val="-4"/>
          <w:w w:val="105"/>
          <w:sz w:val="23"/>
        </w:rPr>
        <w:t> </w:t>
      </w:r>
      <w:r>
        <w:rPr>
          <w:rFonts w:ascii="Times New Roman"/>
          <w:color w:val="232323"/>
          <w:w w:val="105"/>
          <w:sz w:val="23"/>
        </w:rPr>
        <w:t>Department of</w:t>
      </w:r>
      <w:r>
        <w:rPr>
          <w:rFonts w:ascii="Times New Roman"/>
          <w:color w:val="232323"/>
          <w:spacing w:val="-5"/>
          <w:w w:val="105"/>
          <w:sz w:val="23"/>
        </w:rPr>
        <w:t> </w:t>
      </w:r>
      <w:r>
        <w:rPr>
          <w:rFonts w:ascii="Times New Roman"/>
          <w:color w:val="232323"/>
          <w:w w:val="105"/>
          <w:sz w:val="23"/>
        </w:rPr>
        <w:t>Transportation</w:t>
      </w:r>
      <w:r>
        <w:rPr>
          <w:rFonts w:ascii="Times New Roman"/>
          <w:color w:val="232323"/>
          <w:spacing w:val="-6"/>
          <w:w w:val="105"/>
          <w:sz w:val="23"/>
        </w:rPr>
        <w:t> </w:t>
      </w:r>
      <w:r>
        <w:rPr>
          <w:rFonts w:ascii="Times New Roman"/>
          <w:color w:val="232323"/>
          <w:w w:val="105"/>
          <w:sz w:val="23"/>
        </w:rPr>
        <w:t>is</w:t>
      </w:r>
      <w:r>
        <w:rPr>
          <w:rFonts w:ascii="Times New Roman"/>
          <w:color w:val="232323"/>
          <w:spacing w:val="-13"/>
          <w:w w:val="105"/>
          <w:sz w:val="23"/>
        </w:rPr>
        <w:t> </w:t>
      </w:r>
      <w:r>
        <w:rPr>
          <w:rFonts w:ascii="Times New Roman"/>
          <w:color w:val="383838"/>
          <w:w w:val="105"/>
          <w:sz w:val="23"/>
        </w:rPr>
        <w:t>committed</w:t>
      </w:r>
      <w:r>
        <w:rPr>
          <w:rFonts w:ascii="Times New Roman"/>
          <w:color w:val="383838"/>
          <w:spacing w:val="-5"/>
          <w:w w:val="105"/>
          <w:sz w:val="23"/>
        </w:rPr>
        <w:t> </w:t>
      </w:r>
      <w:r>
        <w:rPr>
          <w:rFonts w:ascii="Times New Roman"/>
          <w:color w:val="232323"/>
          <w:w w:val="105"/>
          <w:sz w:val="23"/>
        </w:rPr>
        <w:t>to</w:t>
      </w:r>
      <w:r>
        <w:rPr>
          <w:rFonts w:ascii="Times New Roman"/>
          <w:color w:val="232323"/>
          <w:spacing w:val="-16"/>
          <w:w w:val="105"/>
          <w:sz w:val="23"/>
        </w:rPr>
        <w:t> </w:t>
      </w:r>
      <w:r>
        <w:rPr>
          <w:rFonts w:ascii="Times New Roman"/>
          <w:color w:val="383838"/>
          <w:w w:val="105"/>
          <w:sz w:val="23"/>
        </w:rPr>
        <w:t>ensuring that</w:t>
      </w:r>
      <w:r>
        <w:rPr>
          <w:rFonts w:ascii="Times New Roman"/>
          <w:color w:val="383838"/>
          <w:spacing w:val="-11"/>
          <w:w w:val="105"/>
          <w:sz w:val="23"/>
        </w:rPr>
        <w:t> </w:t>
      </w:r>
      <w:r>
        <w:rPr>
          <w:rFonts w:ascii="Times New Roman"/>
          <w:color w:val="232323"/>
          <w:w w:val="105"/>
          <w:sz w:val="23"/>
        </w:rPr>
        <w:t>the</w:t>
      </w:r>
      <w:r>
        <w:rPr>
          <w:rFonts w:ascii="Times New Roman"/>
          <w:color w:val="232323"/>
          <w:spacing w:val="-16"/>
          <w:w w:val="105"/>
          <w:sz w:val="23"/>
        </w:rPr>
        <w:t> </w:t>
      </w:r>
      <w:r>
        <w:rPr>
          <w:rFonts w:ascii="Times New Roman"/>
          <w:color w:val="232323"/>
          <w:w w:val="105"/>
          <w:sz w:val="23"/>
        </w:rPr>
        <w:t>fundamental principles</w:t>
      </w:r>
      <w:r>
        <w:rPr>
          <w:rFonts w:ascii="Times New Roman"/>
          <w:color w:val="232323"/>
          <w:spacing w:val="-8"/>
          <w:w w:val="105"/>
          <w:sz w:val="23"/>
        </w:rPr>
        <w:t> </w:t>
      </w:r>
      <w:r>
        <w:rPr>
          <w:rFonts w:ascii="Times New Roman"/>
          <w:color w:val="232323"/>
          <w:w w:val="105"/>
          <w:sz w:val="23"/>
        </w:rPr>
        <w:t>of</w:t>
      </w:r>
      <w:r>
        <w:rPr>
          <w:rFonts w:ascii="Times New Roman"/>
          <w:color w:val="232323"/>
          <w:spacing w:val="-10"/>
          <w:w w:val="105"/>
          <w:sz w:val="23"/>
        </w:rPr>
        <w:t> </w:t>
      </w:r>
      <w:r>
        <w:rPr>
          <w:rFonts w:ascii="Times New Roman"/>
          <w:color w:val="383838"/>
          <w:w w:val="105"/>
          <w:sz w:val="23"/>
        </w:rPr>
        <w:t>equal </w:t>
      </w:r>
      <w:r>
        <w:rPr>
          <w:rFonts w:ascii="Times New Roman"/>
          <w:color w:val="232323"/>
          <w:w w:val="105"/>
          <w:sz w:val="23"/>
        </w:rPr>
        <w:t>opportunity </w:t>
      </w:r>
      <w:r>
        <w:rPr>
          <w:rFonts w:ascii="Times New Roman"/>
          <w:color w:val="383838"/>
          <w:w w:val="105"/>
          <w:sz w:val="23"/>
        </w:rPr>
        <w:t>are</w:t>
      </w:r>
      <w:r>
        <w:rPr>
          <w:rFonts w:ascii="Times New Roman"/>
          <w:color w:val="383838"/>
          <w:spacing w:val="-10"/>
          <w:w w:val="105"/>
          <w:sz w:val="23"/>
        </w:rPr>
        <w:t> </w:t>
      </w:r>
      <w:r>
        <w:rPr>
          <w:rFonts w:ascii="Times New Roman"/>
          <w:color w:val="232323"/>
          <w:w w:val="105"/>
          <w:sz w:val="23"/>
        </w:rPr>
        <w:t>upheld in</w:t>
      </w:r>
      <w:r>
        <w:rPr>
          <w:rFonts w:ascii="Times New Roman"/>
          <w:color w:val="232323"/>
          <w:spacing w:val="-16"/>
          <w:w w:val="105"/>
          <w:sz w:val="23"/>
        </w:rPr>
        <w:t> </w:t>
      </w:r>
      <w:r>
        <w:rPr>
          <w:rFonts w:ascii="Times New Roman"/>
          <w:color w:val="383838"/>
          <w:w w:val="105"/>
          <w:sz w:val="23"/>
        </w:rPr>
        <w:t>all</w:t>
      </w:r>
      <w:r>
        <w:rPr>
          <w:rFonts w:ascii="Times New Roman"/>
          <w:color w:val="383838"/>
          <w:spacing w:val="-2"/>
          <w:w w:val="105"/>
          <w:sz w:val="23"/>
        </w:rPr>
        <w:t> </w:t>
      </w:r>
      <w:r>
        <w:rPr>
          <w:rFonts w:ascii="Times New Roman"/>
          <w:color w:val="232323"/>
          <w:w w:val="105"/>
          <w:sz w:val="23"/>
        </w:rPr>
        <w:t>decisions involving our</w:t>
      </w:r>
      <w:r>
        <w:rPr>
          <w:rFonts w:ascii="Times New Roman"/>
          <w:color w:val="232323"/>
          <w:spacing w:val="-10"/>
          <w:w w:val="105"/>
          <w:sz w:val="23"/>
        </w:rPr>
        <w:t> </w:t>
      </w:r>
      <w:r>
        <w:rPr>
          <w:rFonts w:ascii="Times New Roman"/>
          <w:color w:val="383838"/>
          <w:w w:val="105"/>
          <w:sz w:val="23"/>
        </w:rPr>
        <w:t>employees</w:t>
      </w:r>
      <w:r>
        <w:rPr>
          <w:rFonts w:ascii="Times New Roman"/>
          <w:color w:val="383838"/>
          <w:spacing w:val="-2"/>
          <w:w w:val="105"/>
          <w:sz w:val="23"/>
        </w:rPr>
        <w:t> </w:t>
      </w:r>
      <w:r>
        <w:rPr>
          <w:rFonts w:ascii="Times New Roman"/>
          <w:color w:val="232323"/>
          <w:w w:val="105"/>
          <w:sz w:val="23"/>
        </w:rPr>
        <w:t>and </w:t>
      </w:r>
      <w:r>
        <w:rPr>
          <w:rFonts w:ascii="Times New Roman"/>
          <w:color w:val="383838"/>
          <w:w w:val="105"/>
          <w:sz w:val="23"/>
        </w:rPr>
        <w:t>contractors/consultants,</w:t>
      </w:r>
      <w:r>
        <w:rPr>
          <w:rFonts w:ascii="Times New Roman"/>
          <w:color w:val="383838"/>
          <w:spacing w:val="-16"/>
          <w:w w:val="105"/>
          <w:sz w:val="23"/>
        </w:rPr>
        <w:t> </w:t>
      </w:r>
      <w:r>
        <w:rPr>
          <w:rFonts w:ascii="Times New Roman"/>
          <w:color w:val="383838"/>
          <w:w w:val="105"/>
          <w:sz w:val="23"/>
        </w:rPr>
        <w:t>and</w:t>
      </w:r>
      <w:r>
        <w:rPr>
          <w:rFonts w:ascii="Times New Roman"/>
          <w:color w:val="383838"/>
          <w:spacing w:val="-15"/>
          <w:w w:val="105"/>
          <w:sz w:val="23"/>
        </w:rPr>
        <w:t> </w:t>
      </w:r>
      <w:r>
        <w:rPr>
          <w:rFonts w:ascii="Times New Roman"/>
          <w:color w:val="383838"/>
          <w:w w:val="105"/>
          <w:sz w:val="23"/>
        </w:rPr>
        <w:t>to</w:t>
      </w:r>
      <w:r>
        <w:rPr>
          <w:rFonts w:ascii="Times New Roman"/>
          <w:color w:val="383838"/>
          <w:spacing w:val="-15"/>
          <w:w w:val="105"/>
          <w:sz w:val="23"/>
        </w:rPr>
        <w:t> </w:t>
      </w:r>
      <w:r>
        <w:rPr>
          <w:rFonts w:ascii="Times New Roman"/>
          <w:color w:val="232323"/>
          <w:w w:val="105"/>
          <w:sz w:val="23"/>
        </w:rPr>
        <w:t>ensuring</w:t>
      </w:r>
      <w:r>
        <w:rPr>
          <w:rFonts w:ascii="Times New Roman"/>
          <w:color w:val="232323"/>
          <w:spacing w:val="-14"/>
          <w:w w:val="105"/>
          <w:sz w:val="23"/>
        </w:rPr>
        <w:t> </w:t>
      </w:r>
      <w:r>
        <w:rPr>
          <w:rFonts w:ascii="Times New Roman"/>
          <w:color w:val="232323"/>
          <w:w w:val="105"/>
          <w:sz w:val="23"/>
        </w:rPr>
        <w:t>that</w:t>
      </w:r>
      <w:r>
        <w:rPr>
          <w:rFonts w:ascii="Times New Roman"/>
          <w:color w:val="232323"/>
          <w:spacing w:val="-4"/>
          <w:w w:val="105"/>
          <w:sz w:val="23"/>
        </w:rPr>
        <w:t> </w:t>
      </w:r>
      <w:r>
        <w:rPr>
          <w:rFonts w:ascii="Times New Roman"/>
          <w:color w:val="232323"/>
          <w:w w:val="105"/>
          <w:sz w:val="23"/>
        </w:rPr>
        <w:t>the</w:t>
      </w:r>
      <w:r>
        <w:rPr>
          <w:rFonts w:ascii="Times New Roman"/>
          <w:color w:val="232323"/>
          <w:spacing w:val="-10"/>
          <w:w w:val="105"/>
          <w:sz w:val="23"/>
        </w:rPr>
        <w:t> </w:t>
      </w:r>
      <w:r>
        <w:rPr>
          <w:rFonts w:ascii="Times New Roman"/>
          <w:color w:val="232323"/>
          <w:w w:val="105"/>
          <w:sz w:val="23"/>
        </w:rPr>
        <w:t>public-at-larg</w:t>
      </w:r>
      <w:r>
        <w:rPr>
          <w:rFonts w:ascii="Times New Roman"/>
          <w:color w:val="525252"/>
          <w:w w:val="105"/>
          <w:sz w:val="23"/>
        </w:rPr>
        <w:t>e</w:t>
      </w:r>
      <w:r>
        <w:rPr>
          <w:rFonts w:ascii="Times New Roman"/>
          <w:color w:val="525252"/>
          <w:spacing w:val="-8"/>
          <w:w w:val="105"/>
          <w:sz w:val="23"/>
        </w:rPr>
        <w:t> </w:t>
      </w:r>
      <w:r>
        <w:rPr>
          <w:rFonts w:ascii="Times New Roman"/>
          <w:color w:val="232323"/>
          <w:w w:val="105"/>
          <w:sz w:val="23"/>
        </w:rPr>
        <w:t>is</w:t>
      </w:r>
      <w:r>
        <w:rPr>
          <w:rFonts w:ascii="Times New Roman"/>
          <w:color w:val="232323"/>
          <w:spacing w:val="-4"/>
          <w:w w:val="105"/>
          <w:sz w:val="23"/>
        </w:rPr>
        <w:t> </w:t>
      </w:r>
      <w:r>
        <w:rPr>
          <w:rFonts w:ascii="Times New Roman"/>
          <w:color w:val="232323"/>
          <w:w w:val="105"/>
          <w:sz w:val="23"/>
        </w:rPr>
        <w:t>afforded </w:t>
      </w:r>
      <w:r>
        <w:rPr>
          <w:rFonts w:ascii="Times New Roman"/>
          <w:color w:val="383838"/>
          <w:w w:val="105"/>
          <w:sz w:val="23"/>
        </w:rPr>
        <w:t>access</w:t>
      </w:r>
      <w:r>
        <w:rPr>
          <w:rFonts w:ascii="Times New Roman"/>
          <w:color w:val="383838"/>
          <w:spacing w:val="-3"/>
          <w:w w:val="105"/>
          <w:sz w:val="23"/>
        </w:rPr>
        <w:t> </w:t>
      </w:r>
      <w:r>
        <w:rPr>
          <w:rFonts w:ascii="Times New Roman"/>
          <w:color w:val="383838"/>
          <w:w w:val="105"/>
          <w:sz w:val="23"/>
        </w:rPr>
        <w:t>to</w:t>
      </w:r>
      <w:r>
        <w:rPr>
          <w:rFonts w:ascii="Times New Roman"/>
          <w:color w:val="383838"/>
          <w:spacing w:val="-15"/>
          <w:w w:val="105"/>
          <w:sz w:val="23"/>
        </w:rPr>
        <w:t> </w:t>
      </w:r>
      <w:r>
        <w:rPr>
          <w:rFonts w:ascii="Times New Roman"/>
          <w:color w:val="383838"/>
          <w:w w:val="105"/>
          <w:sz w:val="23"/>
        </w:rPr>
        <w:t>our </w:t>
      </w:r>
      <w:r>
        <w:rPr>
          <w:rFonts w:ascii="Times New Roman"/>
          <w:color w:val="232323"/>
          <w:w w:val="105"/>
          <w:sz w:val="23"/>
        </w:rPr>
        <w:t>programs and </w:t>
      </w:r>
      <w:r>
        <w:rPr>
          <w:rFonts w:ascii="Times New Roman"/>
          <w:color w:val="383838"/>
          <w:w w:val="105"/>
          <w:sz w:val="23"/>
        </w:rPr>
        <w:t>services.</w:t>
      </w:r>
    </w:p>
    <w:p>
      <w:pPr>
        <w:pStyle w:val="BodyText"/>
        <w:rPr>
          <w:rFonts w:ascii="Times New Roman"/>
          <w:sz w:val="23"/>
        </w:rPr>
      </w:pPr>
    </w:p>
    <w:p>
      <w:pPr>
        <w:spacing w:line="252" w:lineRule="auto" w:before="0"/>
        <w:ind w:left="711" w:right="1079" w:firstLine="10"/>
        <w:jc w:val="left"/>
        <w:rPr>
          <w:rFonts w:ascii="Times New Roman"/>
          <w:sz w:val="23"/>
        </w:rPr>
      </w:pPr>
      <w:r>
        <w:rPr>
          <w:rFonts w:ascii="Times New Roman"/>
          <w:color w:val="232323"/>
          <w:w w:val="105"/>
          <w:sz w:val="23"/>
        </w:rPr>
        <w:t>In accordance with </w:t>
      </w:r>
      <w:r>
        <w:rPr>
          <w:rFonts w:ascii="Times New Roman"/>
          <w:color w:val="383838"/>
          <w:w w:val="105"/>
          <w:sz w:val="23"/>
        </w:rPr>
        <w:t>Title </w:t>
      </w:r>
      <w:r>
        <w:rPr>
          <w:rFonts w:ascii="Times New Roman"/>
          <w:color w:val="232323"/>
          <w:w w:val="105"/>
          <w:sz w:val="23"/>
        </w:rPr>
        <w:t>VI of</w:t>
      </w:r>
      <w:r>
        <w:rPr>
          <w:rFonts w:ascii="Times New Roman"/>
          <w:color w:val="232323"/>
          <w:spacing w:val="-1"/>
          <w:w w:val="105"/>
          <w:sz w:val="23"/>
        </w:rPr>
        <w:t> </w:t>
      </w:r>
      <w:r>
        <w:rPr>
          <w:rFonts w:ascii="Times New Roman"/>
          <w:color w:val="383838"/>
          <w:w w:val="105"/>
          <w:sz w:val="23"/>
        </w:rPr>
        <w:t>the</w:t>
      </w:r>
      <w:r>
        <w:rPr>
          <w:rFonts w:ascii="Times New Roman"/>
          <w:color w:val="383838"/>
          <w:spacing w:val="-16"/>
          <w:w w:val="105"/>
          <w:sz w:val="23"/>
        </w:rPr>
        <w:t> </w:t>
      </w:r>
      <w:r>
        <w:rPr>
          <w:rFonts w:ascii="Times New Roman"/>
          <w:color w:val="232323"/>
          <w:w w:val="105"/>
          <w:sz w:val="23"/>
        </w:rPr>
        <w:t>Civil Rights Act</w:t>
      </w:r>
      <w:r>
        <w:rPr>
          <w:rFonts w:ascii="Times New Roman"/>
          <w:color w:val="232323"/>
          <w:spacing w:val="-8"/>
          <w:w w:val="105"/>
          <w:sz w:val="23"/>
        </w:rPr>
        <w:t> </w:t>
      </w:r>
      <w:r>
        <w:rPr>
          <w:rFonts w:ascii="Times New Roman"/>
          <w:color w:val="232323"/>
          <w:w w:val="105"/>
          <w:sz w:val="23"/>
        </w:rPr>
        <w:t>of 1964</w:t>
      </w:r>
      <w:r>
        <w:rPr>
          <w:rFonts w:ascii="Times New Roman"/>
          <w:color w:val="525252"/>
          <w:w w:val="105"/>
          <w:sz w:val="23"/>
        </w:rPr>
        <w:t>, </w:t>
      </w:r>
      <w:r>
        <w:rPr>
          <w:rFonts w:ascii="Times New Roman"/>
          <w:color w:val="232323"/>
          <w:w w:val="105"/>
          <w:sz w:val="23"/>
        </w:rPr>
        <w:t>no person </w:t>
      </w:r>
      <w:r>
        <w:rPr>
          <w:rFonts w:ascii="Times New Roman"/>
          <w:color w:val="383838"/>
          <w:w w:val="105"/>
          <w:sz w:val="23"/>
        </w:rPr>
        <w:t>sha</w:t>
      </w:r>
      <w:r>
        <w:rPr>
          <w:rFonts w:ascii="Times New Roman"/>
          <w:color w:val="080808"/>
          <w:w w:val="105"/>
          <w:sz w:val="23"/>
        </w:rPr>
        <w:t>ll </w:t>
      </w:r>
      <w:r>
        <w:rPr>
          <w:rFonts w:ascii="Times New Roman"/>
          <w:color w:val="232323"/>
          <w:w w:val="105"/>
          <w:sz w:val="23"/>
        </w:rPr>
        <w:t>be</w:t>
      </w:r>
      <w:r>
        <w:rPr>
          <w:rFonts w:ascii="Times New Roman"/>
          <w:color w:val="232323"/>
          <w:spacing w:val="-19"/>
          <w:w w:val="105"/>
          <w:sz w:val="23"/>
        </w:rPr>
        <w:t> </w:t>
      </w:r>
      <w:r>
        <w:rPr>
          <w:rFonts w:ascii="Times New Roman"/>
          <w:color w:val="383838"/>
          <w:w w:val="105"/>
          <w:sz w:val="23"/>
        </w:rPr>
        <w:t>excluded </w:t>
      </w:r>
      <w:r>
        <w:rPr>
          <w:rFonts w:ascii="Times New Roman"/>
          <w:color w:val="232323"/>
          <w:w w:val="105"/>
          <w:sz w:val="23"/>
        </w:rPr>
        <w:t>from participation</w:t>
      </w:r>
      <w:r>
        <w:rPr>
          <w:rFonts w:ascii="Times New Roman"/>
          <w:color w:val="232323"/>
          <w:spacing w:val="-5"/>
          <w:w w:val="105"/>
          <w:sz w:val="23"/>
        </w:rPr>
        <w:t> </w:t>
      </w:r>
      <w:r>
        <w:rPr>
          <w:rFonts w:ascii="Times New Roman"/>
          <w:color w:val="232323"/>
          <w:w w:val="105"/>
          <w:sz w:val="23"/>
        </w:rPr>
        <w:t>in</w:t>
      </w:r>
      <w:r>
        <w:rPr>
          <w:rFonts w:ascii="Times New Roman"/>
          <w:color w:val="525252"/>
          <w:w w:val="105"/>
          <w:sz w:val="23"/>
        </w:rPr>
        <w:t>,</w:t>
      </w:r>
      <w:r>
        <w:rPr>
          <w:rFonts w:ascii="Times New Roman"/>
          <w:color w:val="525252"/>
          <w:spacing w:val="-15"/>
          <w:w w:val="105"/>
          <w:sz w:val="23"/>
        </w:rPr>
        <w:t> </w:t>
      </w:r>
      <w:r>
        <w:rPr>
          <w:rFonts w:ascii="Times New Roman"/>
          <w:color w:val="232323"/>
          <w:w w:val="105"/>
          <w:sz w:val="23"/>
        </w:rPr>
        <w:t>be</w:t>
      </w:r>
      <w:r>
        <w:rPr>
          <w:rFonts w:ascii="Times New Roman"/>
          <w:color w:val="232323"/>
          <w:spacing w:val="-13"/>
          <w:w w:val="105"/>
          <w:sz w:val="23"/>
        </w:rPr>
        <w:t> </w:t>
      </w:r>
      <w:r>
        <w:rPr>
          <w:rFonts w:ascii="Times New Roman"/>
          <w:color w:val="232323"/>
          <w:w w:val="105"/>
          <w:sz w:val="23"/>
        </w:rPr>
        <w:t>denied</w:t>
      </w:r>
      <w:r>
        <w:rPr>
          <w:rFonts w:ascii="Times New Roman"/>
          <w:color w:val="232323"/>
          <w:spacing w:val="-3"/>
          <w:w w:val="105"/>
          <w:sz w:val="23"/>
        </w:rPr>
        <w:t> </w:t>
      </w:r>
      <w:r>
        <w:rPr>
          <w:rFonts w:ascii="Times New Roman"/>
          <w:color w:val="232323"/>
          <w:w w:val="105"/>
          <w:sz w:val="23"/>
        </w:rPr>
        <w:t>the</w:t>
      </w:r>
      <w:r>
        <w:rPr>
          <w:rFonts w:ascii="Times New Roman"/>
          <w:color w:val="232323"/>
          <w:spacing w:val="-5"/>
          <w:w w:val="105"/>
          <w:sz w:val="23"/>
        </w:rPr>
        <w:t> </w:t>
      </w:r>
      <w:r>
        <w:rPr>
          <w:rFonts w:ascii="Times New Roman"/>
          <w:color w:val="232323"/>
          <w:w w:val="105"/>
          <w:sz w:val="23"/>
        </w:rPr>
        <w:t>benefits</w:t>
      </w:r>
      <w:r>
        <w:rPr>
          <w:rFonts w:ascii="Times New Roman"/>
          <w:color w:val="232323"/>
          <w:spacing w:val="-5"/>
          <w:w w:val="105"/>
          <w:sz w:val="23"/>
        </w:rPr>
        <w:t> </w:t>
      </w:r>
      <w:r>
        <w:rPr>
          <w:rFonts w:ascii="Times New Roman"/>
          <w:color w:val="232323"/>
          <w:w w:val="105"/>
          <w:sz w:val="23"/>
        </w:rPr>
        <w:t>of,</w:t>
      </w:r>
      <w:r>
        <w:rPr>
          <w:rFonts w:ascii="Times New Roman"/>
          <w:color w:val="232323"/>
          <w:spacing w:val="-16"/>
          <w:w w:val="105"/>
          <w:sz w:val="23"/>
        </w:rPr>
        <w:t> </w:t>
      </w:r>
      <w:r>
        <w:rPr>
          <w:rFonts w:ascii="Times New Roman"/>
          <w:color w:val="232323"/>
          <w:w w:val="105"/>
          <w:sz w:val="23"/>
        </w:rPr>
        <w:t>or be</w:t>
      </w:r>
      <w:r>
        <w:rPr>
          <w:rFonts w:ascii="Times New Roman"/>
          <w:color w:val="232323"/>
          <w:spacing w:val="-16"/>
          <w:w w:val="105"/>
          <w:sz w:val="23"/>
        </w:rPr>
        <w:t> </w:t>
      </w:r>
      <w:r>
        <w:rPr>
          <w:rFonts w:ascii="Times New Roman"/>
          <w:color w:val="232323"/>
          <w:w w:val="105"/>
          <w:sz w:val="23"/>
        </w:rPr>
        <w:t>otherwise</w:t>
      </w:r>
      <w:r>
        <w:rPr>
          <w:rFonts w:ascii="Times New Roman"/>
          <w:color w:val="232323"/>
          <w:spacing w:val="-5"/>
          <w:w w:val="105"/>
          <w:sz w:val="23"/>
        </w:rPr>
        <w:t> </w:t>
      </w:r>
      <w:r>
        <w:rPr>
          <w:rFonts w:ascii="Times New Roman"/>
          <w:color w:val="383838"/>
          <w:w w:val="105"/>
          <w:sz w:val="23"/>
        </w:rPr>
        <w:t>subjected</w:t>
      </w:r>
      <w:r>
        <w:rPr>
          <w:rFonts w:ascii="Times New Roman"/>
          <w:color w:val="383838"/>
          <w:spacing w:val="11"/>
          <w:w w:val="105"/>
          <w:sz w:val="23"/>
        </w:rPr>
        <w:t> </w:t>
      </w:r>
      <w:r>
        <w:rPr>
          <w:rFonts w:ascii="Times New Roman"/>
          <w:color w:val="232323"/>
          <w:w w:val="105"/>
          <w:sz w:val="23"/>
        </w:rPr>
        <w:t>to</w:t>
      </w:r>
      <w:r>
        <w:rPr>
          <w:rFonts w:ascii="Times New Roman"/>
          <w:color w:val="232323"/>
          <w:spacing w:val="-15"/>
          <w:w w:val="105"/>
          <w:sz w:val="23"/>
        </w:rPr>
        <w:t> </w:t>
      </w:r>
      <w:r>
        <w:rPr>
          <w:rFonts w:ascii="Times New Roman"/>
          <w:color w:val="232323"/>
          <w:w w:val="105"/>
          <w:sz w:val="23"/>
        </w:rPr>
        <w:t>discrimination</w:t>
      </w:r>
      <w:r>
        <w:rPr>
          <w:rFonts w:ascii="Times New Roman"/>
          <w:color w:val="232323"/>
          <w:spacing w:val="-1"/>
          <w:w w:val="105"/>
          <w:sz w:val="23"/>
        </w:rPr>
        <w:t> </w:t>
      </w:r>
      <w:r>
        <w:rPr>
          <w:rFonts w:ascii="Times New Roman"/>
          <w:color w:val="232323"/>
          <w:w w:val="105"/>
          <w:sz w:val="23"/>
        </w:rPr>
        <w:t>under</w:t>
      </w:r>
      <w:r>
        <w:rPr>
          <w:rFonts w:ascii="Times New Roman"/>
          <w:color w:val="232323"/>
          <w:spacing w:val="-11"/>
          <w:w w:val="105"/>
          <w:sz w:val="23"/>
        </w:rPr>
        <w:t> </w:t>
      </w:r>
      <w:r>
        <w:rPr>
          <w:rFonts w:ascii="Times New Roman"/>
          <w:color w:val="383838"/>
          <w:w w:val="105"/>
          <w:sz w:val="23"/>
        </w:rPr>
        <w:t>any </w:t>
      </w:r>
      <w:r>
        <w:rPr>
          <w:rFonts w:ascii="Times New Roman"/>
          <w:color w:val="232323"/>
          <w:w w:val="105"/>
          <w:sz w:val="23"/>
        </w:rPr>
        <w:t>Maine</w:t>
      </w:r>
      <w:r>
        <w:rPr>
          <w:rFonts w:ascii="Times New Roman"/>
          <w:color w:val="232323"/>
          <w:spacing w:val="-5"/>
          <w:w w:val="105"/>
          <w:sz w:val="23"/>
        </w:rPr>
        <w:t> </w:t>
      </w:r>
      <w:r>
        <w:rPr>
          <w:rFonts w:ascii="Times New Roman"/>
          <w:color w:val="232323"/>
          <w:w w:val="105"/>
          <w:sz w:val="23"/>
        </w:rPr>
        <w:t>Department</w:t>
      </w:r>
      <w:r>
        <w:rPr>
          <w:rFonts w:ascii="Times New Roman"/>
          <w:color w:val="232323"/>
          <w:spacing w:val="31"/>
          <w:w w:val="105"/>
          <w:sz w:val="23"/>
        </w:rPr>
        <w:t> </w:t>
      </w:r>
      <w:r>
        <w:rPr>
          <w:rFonts w:ascii="Times New Roman"/>
          <w:color w:val="232323"/>
          <w:w w:val="105"/>
          <w:sz w:val="23"/>
        </w:rPr>
        <w:t>of</w:t>
      </w:r>
      <w:r>
        <w:rPr>
          <w:rFonts w:ascii="Times New Roman"/>
          <w:color w:val="232323"/>
          <w:spacing w:val="-5"/>
          <w:w w:val="105"/>
          <w:sz w:val="23"/>
        </w:rPr>
        <w:t> </w:t>
      </w:r>
      <w:r>
        <w:rPr>
          <w:rFonts w:ascii="Times New Roman"/>
          <w:color w:val="232323"/>
          <w:w w:val="105"/>
          <w:sz w:val="23"/>
        </w:rPr>
        <w:t>Transportation program or activity on</w:t>
      </w:r>
      <w:r>
        <w:rPr>
          <w:rFonts w:ascii="Times New Roman"/>
          <w:color w:val="232323"/>
          <w:spacing w:val="-5"/>
          <w:w w:val="105"/>
          <w:sz w:val="23"/>
        </w:rPr>
        <w:t> </w:t>
      </w:r>
      <w:r>
        <w:rPr>
          <w:rFonts w:ascii="Times New Roman"/>
          <w:color w:val="232323"/>
          <w:w w:val="105"/>
          <w:sz w:val="23"/>
        </w:rPr>
        <w:t>the</w:t>
      </w:r>
      <w:r>
        <w:rPr>
          <w:rFonts w:ascii="Times New Roman"/>
          <w:color w:val="232323"/>
          <w:spacing w:val="-5"/>
          <w:w w:val="105"/>
          <w:sz w:val="23"/>
        </w:rPr>
        <w:t> </w:t>
      </w:r>
      <w:r>
        <w:rPr>
          <w:rFonts w:ascii="Times New Roman"/>
          <w:color w:val="232323"/>
          <w:w w:val="105"/>
          <w:sz w:val="23"/>
        </w:rPr>
        <w:t>grounds of race</w:t>
      </w:r>
      <w:r>
        <w:rPr>
          <w:rFonts w:ascii="Times New Roman"/>
          <w:color w:val="525252"/>
          <w:w w:val="105"/>
          <w:sz w:val="23"/>
        </w:rPr>
        <w:t>,</w:t>
      </w:r>
      <w:r>
        <w:rPr>
          <w:rFonts w:ascii="Times New Roman"/>
          <w:color w:val="525252"/>
          <w:spacing w:val="-4"/>
          <w:w w:val="105"/>
          <w:sz w:val="23"/>
        </w:rPr>
        <w:t> </w:t>
      </w:r>
      <w:r>
        <w:rPr>
          <w:rFonts w:ascii="Times New Roman"/>
          <w:color w:val="383838"/>
          <w:w w:val="105"/>
          <w:sz w:val="23"/>
        </w:rPr>
        <w:t>color, </w:t>
      </w:r>
      <w:r>
        <w:rPr>
          <w:rFonts w:ascii="Times New Roman"/>
          <w:color w:val="232323"/>
          <w:w w:val="105"/>
          <w:sz w:val="23"/>
        </w:rPr>
        <w:t>or national</w:t>
      </w:r>
      <w:r>
        <w:rPr>
          <w:rFonts w:ascii="Times New Roman"/>
          <w:color w:val="232323"/>
          <w:spacing w:val="-5"/>
          <w:w w:val="105"/>
          <w:sz w:val="23"/>
        </w:rPr>
        <w:t> </w:t>
      </w:r>
      <w:r>
        <w:rPr>
          <w:rFonts w:ascii="Times New Roman"/>
          <w:color w:val="232323"/>
          <w:w w:val="105"/>
          <w:sz w:val="23"/>
        </w:rPr>
        <w:t>origin.</w:t>
      </w:r>
      <w:r>
        <w:rPr>
          <w:rFonts w:ascii="Times New Roman"/>
          <w:color w:val="232323"/>
          <w:spacing w:val="33"/>
          <w:w w:val="105"/>
          <w:sz w:val="23"/>
        </w:rPr>
        <w:t> </w:t>
      </w:r>
      <w:r>
        <w:rPr>
          <w:rFonts w:ascii="Times New Roman"/>
          <w:color w:val="232323"/>
          <w:w w:val="105"/>
          <w:sz w:val="23"/>
        </w:rPr>
        <w:t>The</w:t>
      </w:r>
      <w:r>
        <w:rPr>
          <w:rFonts w:ascii="Times New Roman"/>
          <w:color w:val="232323"/>
          <w:spacing w:val="-11"/>
          <w:w w:val="105"/>
          <w:sz w:val="23"/>
        </w:rPr>
        <w:t> </w:t>
      </w:r>
      <w:r>
        <w:rPr>
          <w:rFonts w:ascii="Times New Roman"/>
          <w:color w:val="232323"/>
          <w:w w:val="105"/>
          <w:sz w:val="23"/>
        </w:rPr>
        <w:t>Maine</w:t>
      </w:r>
      <w:r>
        <w:rPr>
          <w:rFonts w:ascii="Times New Roman"/>
          <w:color w:val="232323"/>
          <w:spacing w:val="-6"/>
          <w:w w:val="105"/>
          <w:sz w:val="23"/>
        </w:rPr>
        <w:t> </w:t>
      </w:r>
      <w:r>
        <w:rPr>
          <w:rFonts w:ascii="Times New Roman"/>
          <w:color w:val="232323"/>
          <w:w w:val="105"/>
          <w:sz w:val="23"/>
        </w:rPr>
        <w:t>Department</w:t>
      </w:r>
      <w:r>
        <w:rPr>
          <w:rFonts w:ascii="Times New Roman"/>
          <w:color w:val="232323"/>
          <w:spacing w:val="-1"/>
          <w:w w:val="105"/>
          <w:sz w:val="23"/>
        </w:rPr>
        <w:t> </w:t>
      </w:r>
      <w:r>
        <w:rPr>
          <w:rFonts w:ascii="Times New Roman"/>
          <w:color w:val="232323"/>
          <w:w w:val="105"/>
          <w:sz w:val="23"/>
        </w:rPr>
        <w:t>of</w:t>
      </w:r>
      <w:r>
        <w:rPr>
          <w:rFonts w:ascii="Times New Roman"/>
          <w:color w:val="232323"/>
          <w:spacing w:val="-4"/>
          <w:w w:val="105"/>
          <w:sz w:val="23"/>
        </w:rPr>
        <w:t> </w:t>
      </w:r>
      <w:r>
        <w:rPr>
          <w:rFonts w:ascii="Times New Roman"/>
          <w:color w:val="232323"/>
          <w:w w:val="105"/>
          <w:sz w:val="23"/>
        </w:rPr>
        <w:t>Transportation</w:t>
      </w:r>
      <w:r>
        <w:rPr>
          <w:rFonts w:ascii="Times New Roman"/>
          <w:color w:val="232323"/>
          <w:spacing w:val="-5"/>
          <w:w w:val="105"/>
          <w:sz w:val="23"/>
        </w:rPr>
        <w:t> </w:t>
      </w:r>
      <w:r>
        <w:rPr>
          <w:rFonts w:ascii="Times New Roman"/>
          <w:color w:val="232323"/>
          <w:w w:val="105"/>
          <w:sz w:val="23"/>
        </w:rPr>
        <w:t>assures</w:t>
      </w:r>
      <w:r>
        <w:rPr>
          <w:rFonts w:ascii="Times New Roman"/>
          <w:color w:val="232323"/>
          <w:spacing w:val="-7"/>
          <w:w w:val="105"/>
          <w:sz w:val="23"/>
        </w:rPr>
        <w:t> </w:t>
      </w:r>
      <w:r>
        <w:rPr>
          <w:rFonts w:ascii="Times New Roman"/>
          <w:color w:val="232323"/>
          <w:w w:val="105"/>
          <w:sz w:val="23"/>
        </w:rPr>
        <w:t>all its</w:t>
      </w:r>
      <w:r>
        <w:rPr>
          <w:rFonts w:ascii="Times New Roman"/>
          <w:color w:val="232323"/>
          <w:spacing w:val="-6"/>
          <w:w w:val="105"/>
          <w:sz w:val="23"/>
        </w:rPr>
        <w:t> </w:t>
      </w:r>
      <w:r>
        <w:rPr>
          <w:rFonts w:ascii="Times New Roman"/>
          <w:color w:val="232323"/>
          <w:w w:val="105"/>
          <w:sz w:val="23"/>
        </w:rPr>
        <w:t>programs</w:t>
      </w:r>
      <w:r>
        <w:rPr>
          <w:rFonts w:ascii="Times New Roman"/>
          <w:color w:val="232323"/>
          <w:spacing w:val="-11"/>
          <w:w w:val="105"/>
          <w:sz w:val="23"/>
        </w:rPr>
        <w:t> </w:t>
      </w:r>
      <w:r>
        <w:rPr>
          <w:rFonts w:ascii="Times New Roman"/>
          <w:color w:val="383838"/>
          <w:w w:val="105"/>
          <w:sz w:val="23"/>
        </w:rPr>
        <w:t>and </w:t>
      </w:r>
      <w:r>
        <w:rPr>
          <w:rFonts w:ascii="Times New Roman"/>
          <w:color w:val="232323"/>
          <w:w w:val="105"/>
          <w:sz w:val="23"/>
        </w:rPr>
        <w:t>activities will</w:t>
      </w:r>
      <w:r>
        <w:rPr>
          <w:rFonts w:ascii="Times New Roman"/>
          <w:color w:val="232323"/>
          <w:spacing w:val="29"/>
          <w:w w:val="105"/>
          <w:sz w:val="23"/>
        </w:rPr>
        <w:t> </w:t>
      </w:r>
      <w:r>
        <w:rPr>
          <w:rFonts w:ascii="Times New Roman"/>
          <w:color w:val="232323"/>
          <w:w w:val="105"/>
          <w:sz w:val="23"/>
        </w:rPr>
        <w:t>be</w:t>
      </w:r>
      <w:r>
        <w:rPr>
          <w:rFonts w:ascii="Times New Roman"/>
          <w:color w:val="232323"/>
          <w:spacing w:val="-12"/>
          <w:w w:val="105"/>
          <w:sz w:val="23"/>
        </w:rPr>
        <w:t> </w:t>
      </w:r>
      <w:r>
        <w:rPr>
          <w:rFonts w:ascii="Times New Roman"/>
          <w:color w:val="232323"/>
          <w:w w:val="105"/>
          <w:sz w:val="23"/>
        </w:rPr>
        <w:t>free</w:t>
      </w:r>
      <w:r>
        <w:rPr>
          <w:rFonts w:ascii="Times New Roman"/>
          <w:color w:val="232323"/>
          <w:spacing w:val="-3"/>
          <w:w w:val="105"/>
          <w:sz w:val="23"/>
        </w:rPr>
        <w:t> </w:t>
      </w:r>
      <w:r>
        <w:rPr>
          <w:rFonts w:ascii="Times New Roman"/>
          <w:color w:val="232323"/>
          <w:w w:val="105"/>
          <w:sz w:val="23"/>
        </w:rPr>
        <w:t>from discrimination</w:t>
      </w:r>
      <w:r>
        <w:rPr>
          <w:rFonts w:ascii="Times New Roman"/>
          <w:color w:val="525252"/>
          <w:w w:val="105"/>
          <w:sz w:val="23"/>
        </w:rPr>
        <w:t>,</w:t>
      </w:r>
      <w:r>
        <w:rPr>
          <w:rFonts w:ascii="Times New Roman"/>
          <w:color w:val="525252"/>
          <w:spacing w:val="-6"/>
          <w:w w:val="105"/>
          <w:sz w:val="23"/>
        </w:rPr>
        <w:t> </w:t>
      </w:r>
      <w:r>
        <w:rPr>
          <w:rFonts w:ascii="Times New Roman"/>
          <w:color w:val="232323"/>
          <w:w w:val="105"/>
          <w:sz w:val="23"/>
        </w:rPr>
        <w:t>whether those</w:t>
      </w:r>
      <w:r>
        <w:rPr>
          <w:rFonts w:ascii="Times New Roman"/>
          <w:color w:val="232323"/>
          <w:spacing w:val="-1"/>
          <w:w w:val="105"/>
          <w:sz w:val="23"/>
        </w:rPr>
        <w:t> </w:t>
      </w:r>
      <w:r>
        <w:rPr>
          <w:rFonts w:ascii="Times New Roman"/>
          <w:color w:val="232323"/>
          <w:w w:val="105"/>
          <w:sz w:val="23"/>
        </w:rPr>
        <w:t>programs or</w:t>
      </w:r>
      <w:r>
        <w:rPr>
          <w:rFonts w:ascii="Times New Roman"/>
          <w:color w:val="232323"/>
          <w:spacing w:val="-11"/>
          <w:w w:val="105"/>
          <w:sz w:val="23"/>
        </w:rPr>
        <w:t> </w:t>
      </w:r>
      <w:r>
        <w:rPr>
          <w:rFonts w:ascii="Times New Roman"/>
          <w:color w:val="383838"/>
          <w:w w:val="105"/>
          <w:sz w:val="23"/>
        </w:rPr>
        <w:t>activities </w:t>
      </w:r>
      <w:r>
        <w:rPr>
          <w:rFonts w:ascii="Times New Roman"/>
          <w:color w:val="232323"/>
          <w:w w:val="105"/>
          <w:sz w:val="23"/>
        </w:rPr>
        <w:t>are</w:t>
      </w:r>
      <w:r>
        <w:rPr>
          <w:rFonts w:ascii="Times New Roman"/>
          <w:color w:val="232323"/>
          <w:spacing w:val="-2"/>
          <w:w w:val="105"/>
          <w:sz w:val="23"/>
        </w:rPr>
        <w:t> </w:t>
      </w:r>
      <w:r>
        <w:rPr>
          <w:rFonts w:ascii="Times New Roman"/>
          <w:color w:val="232323"/>
          <w:w w:val="105"/>
          <w:sz w:val="23"/>
        </w:rPr>
        <w:t>federally assisted or </w:t>
      </w:r>
      <w:r>
        <w:rPr>
          <w:rFonts w:ascii="Times New Roman"/>
          <w:color w:val="232323"/>
          <w:spacing w:val="-4"/>
          <w:w w:val="105"/>
          <w:sz w:val="23"/>
        </w:rPr>
        <w:t>not.</w:t>
      </w:r>
    </w:p>
    <w:p>
      <w:pPr>
        <w:pStyle w:val="BodyText"/>
        <w:spacing w:before="11"/>
        <w:rPr>
          <w:rFonts w:ascii="Times New Roman"/>
          <w:sz w:val="23"/>
        </w:rPr>
      </w:pPr>
    </w:p>
    <w:p>
      <w:pPr>
        <w:spacing w:line="254" w:lineRule="auto" w:before="0"/>
        <w:ind w:left="704" w:right="1079" w:firstLine="1"/>
        <w:jc w:val="left"/>
        <w:rPr>
          <w:rFonts w:ascii="Times New Roman"/>
          <w:sz w:val="23"/>
        </w:rPr>
      </w:pPr>
      <w:r>
        <w:rPr>
          <w:rFonts w:ascii="Times New Roman"/>
          <w:color w:val="232323"/>
          <w:w w:val="105"/>
          <w:sz w:val="23"/>
        </w:rPr>
        <w:t>The</w:t>
      </w:r>
      <w:r>
        <w:rPr>
          <w:rFonts w:ascii="Times New Roman"/>
          <w:color w:val="232323"/>
          <w:spacing w:val="-16"/>
          <w:w w:val="105"/>
          <w:sz w:val="23"/>
        </w:rPr>
        <w:t> </w:t>
      </w:r>
      <w:r>
        <w:rPr>
          <w:rFonts w:ascii="Times New Roman"/>
          <w:color w:val="232323"/>
          <w:w w:val="105"/>
          <w:sz w:val="23"/>
        </w:rPr>
        <w:t>Maine</w:t>
      </w:r>
      <w:r>
        <w:rPr>
          <w:rFonts w:ascii="Times New Roman"/>
          <w:color w:val="232323"/>
          <w:spacing w:val="-7"/>
          <w:w w:val="105"/>
          <w:sz w:val="23"/>
        </w:rPr>
        <w:t> </w:t>
      </w:r>
      <w:r>
        <w:rPr>
          <w:rFonts w:ascii="Times New Roman"/>
          <w:color w:val="232323"/>
          <w:w w:val="105"/>
          <w:sz w:val="23"/>
        </w:rPr>
        <w:t>Department of</w:t>
      </w:r>
      <w:r>
        <w:rPr>
          <w:rFonts w:ascii="Times New Roman"/>
          <w:color w:val="232323"/>
          <w:spacing w:val="-14"/>
          <w:w w:val="105"/>
          <w:sz w:val="23"/>
        </w:rPr>
        <w:t> </w:t>
      </w:r>
      <w:r>
        <w:rPr>
          <w:rFonts w:ascii="Times New Roman"/>
          <w:color w:val="232323"/>
          <w:w w:val="105"/>
          <w:sz w:val="23"/>
        </w:rPr>
        <w:t>Transpmtation </w:t>
      </w:r>
      <w:r>
        <w:rPr>
          <w:rFonts w:ascii="Times New Roman"/>
          <w:color w:val="383838"/>
          <w:w w:val="105"/>
          <w:sz w:val="23"/>
        </w:rPr>
        <w:t>conducts</w:t>
      </w:r>
      <w:r>
        <w:rPr>
          <w:rFonts w:ascii="Times New Roman"/>
          <w:color w:val="383838"/>
          <w:spacing w:val="-2"/>
          <w:w w:val="105"/>
          <w:sz w:val="23"/>
        </w:rPr>
        <w:t> </w:t>
      </w:r>
      <w:r>
        <w:rPr>
          <w:rFonts w:ascii="Times New Roman"/>
          <w:color w:val="232323"/>
          <w:w w:val="105"/>
          <w:sz w:val="23"/>
        </w:rPr>
        <w:t>its</w:t>
      </w:r>
      <w:r>
        <w:rPr>
          <w:rFonts w:ascii="Times New Roman"/>
          <w:color w:val="232323"/>
          <w:spacing w:val="-16"/>
          <w:w w:val="105"/>
          <w:sz w:val="23"/>
        </w:rPr>
        <w:t> </w:t>
      </w:r>
      <w:r>
        <w:rPr>
          <w:rFonts w:ascii="Times New Roman"/>
          <w:color w:val="232323"/>
          <w:w w:val="105"/>
          <w:sz w:val="23"/>
        </w:rPr>
        <w:t>Title</w:t>
      </w:r>
      <w:r>
        <w:rPr>
          <w:rFonts w:ascii="Times New Roman"/>
          <w:color w:val="232323"/>
          <w:spacing w:val="-10"/>
          <w:w w:val="105"/>
          <w:sz w:val="23"/>
        </w:rPr>
        <w:t> </w:t>
      </w:r>
      <w:r>
        <w:rPr>
          <w:rFonts w:ascii="Times New Roman"/>
          <w:color w:val="383838"/>
          <w:w w:val="105"/>
          <w:sz w:val="23"/>
        </w:rPr>
        <w:t>VI/Environmental</w:t>
      </w:r>
      <w:r>
        <w:rPr>
          <w:rFonts w:ascii="Times New Roman"/>
          <w:color w:val="383838"/>
          <w:spacing w:val="-14"/>
          <w:w w:val="105"/>
          <w:sz w:val="23"/>
        </w:rPr>
        <w:t> </w:t>
      </w:r>
      <w:r>
        <w:rPr>
          <w:rFonts w:ascii="Times New Roman"/>
          <w:color w:val="232323"/>
          <w:w w:val="105"/>
          <w:sz w:val="23"/>
        </w:rPr>
        <w:t>Justice</w:t>
      </w:r>
      <w:r>
        <w:rPr>
          <w:rFonts w:ascii="Times New Roman"/>
          <w:color w:val="232323"/>
          <w:spacing w:val="-3"/>
          <w:w w:val="105"/>
          <w:sz w:val="23"/>
        </w:rPr>
        <w:t> </w:t>
      </w:r>
      <w:r>
        <w:rPr>
          <w:rFonts w:ascii="Times New Roman"/>
          <w:color w:val="232323"/>
          <w:w w:val="105"/>
          <w:sz w:val="23"/>
        </w:rPr>
        <w:t>Program in a team approach involving personnel</w:t>
      </w:r>
      <w:r>
        <w:rPr>
          <w:rFonts w:ascii="Times New Roman"/>
          <w:color w:val="232323"/>
          <w:spacing w:val="24"/>
          <w:w w:val="105"/>
          <w:sz w:val="23"/>
        </w:rPr>
        <w:t> </w:t>
      </w:r>
      <w:r>
        <w:rPr>
          <w:rFonts w:ascii="Times New Roman"/>
          <w:color w:val="232323"/>
          <w:w w:val="105"/>
          <w:sz w:val="23"/>
        </w:rPr>
        <w:t>from all program areas,</w:t>
      </w:r>
      <w:r>
        <w:rPr>
          <w:rFonts w:ascii="Times New Roman"/>
          <w:color w:val="232323"/>
          <w:spacing w:val="-11"/>
          <w:w w:val="105"/>
          <w:sz w:val="23"/>
        </w:rPr>
        <w:t> </w:t>
      </w:r>
      <w:r>
        <w:rPr>
          <w:rFonts w:ascii="Times New Roman"/>
          <w:color w:val="383838"/>
          <w:w w:val="105"/>
          <w:sz w:val="23"/>
        </w:rPr>
        <w:t>with guidance</w:t>
      </w:r>
      <w:r>
        <w:rPr>
          <w:rFonts w:ascii="Times New Roman"/>
          <w:color w:val="383838"/>
          <w:spacing w:val="-1"/>
          <w:w w:val="105"/>
          <w:sz w:val="23"/>
        </w:rPr>
        <w:t> </w:t>
      </w:r>
      <w:r>
        <w:rPr>
          <w:rFonts w:ascii="Times New Roman"/>
          <w:color w:val="232323"/>
          <w:w w:val="105"/>
          <w:sz w:val="23"/>
        </w:rPr>
        <w:t>from </w:t>
      </w:r>
      <w:r>
        <w:rPr>
          <w:rFonts w:ascii="Times New Roman"/>
          <w:color w:val="383838"/>
          <w:w w:val="105"/>
          <w:sz w:val="23"/>
        </w:rPr>
        <w:t>within </w:t>
      </w:r>
      <w:r>
        <w:rPr>
          <w:rFonts w:ascii="Times New Roman"/>
          <w:color w:val="232323"/>
          <w:w w:val="105"/>
          <w:sz w:val="23"/>
        </w:rPr>
        <w:t>the</w:t>
      </w:r>
      <w:r>
        <w:rPr>
          <w:rFonts w:ascii="Times New Roman"/>
          <w:color w:val="232323"/>
          <w:w w:val="105"/>
          <w:sz w:val="23"/>
        </w:rPr>
        <w:t> Civil Rights</w:t>
      </w:r>
      <w:r>
        <w:rPr>
          <w:rFonts w:ascii="Times New Roman"/>
          <w:color w:val="232323"/>
          <w:spacing w:val="-8"/>
          <w:w w:val="105"/>
          <w:sz w:val="23"/>
        </w:rPr>
        <w:t> </w:t>
      </w:r>
      <w:r>
        <w:rPr>
          <w:rFonts w:ascii="Times New Roman"/>
          <w:color w:val="232323"/>
          <w:w w:val="105"/>
          <w:sz w:val="23"/>
        </w:rPr>
        <w:t>Office to</w:t>
      </w:r>
      <w:r>
        <w:rPr>
          <w:rFonts w:ascii="Times New Roman"/>
          <w:color w:val="232323"/>
          <w:spacing w:val="-11"/>
          <w:w w:val="105"/>
          <w:sz w:val="23"/>
        </w:rPr>
        <w:t> </w:t>
      </w:r>
      <w:r>
        <w:rPr>
          <w:rFonts w:ascii="Times New Roman"/>
          <w:color w:val="383838"/>
          <w:w w:val="105"/>
          <w:sz w:val="23"/>
        </w:rPr>
        <w:t>serve</w:t>
      </w:r>
      <w:r>
        <w:rPr>
          <w:rFonts w:ascii="Times New Roman"/>
          <w:color w:val="383838"/>
          <w:spacing w:val="-8"/>
          <w:w w:val="105"/>
          <w:sz w:val="23"/>
        </w:rPr>
        <w:t> </w:t>
      </w:r>
      <w:r>
        <w:rPr>
          <w:rFonts w:ascii="Times New Roman"/>
          <w:color w:val="232323"/>
          <w:w w:val="105"/>
          <w:sz w:val="23"/>
        </w:rPr>
        <w:t>as the</w:t>
      </w:r>
      <w:r>
        <w:rPr>
          <w:rFonts w:ascii="Times New Roman"/>
          <w:color w:val="232323"/>
          <w:spacing w:val="-11"/>
          <w:w w:val="105"/>
          <w:sz w:val="23"/>
        </w:rPr>
        <w:t> </w:t>
      </w:r>
      <w:r>
        <w:rPr>
          <w:rFonts w:ascii="Times New Roman"/>
          <w:color w:val="232323"/>
          <w:w w:val="105"/>
          <w:sz w:val="23"/>
        </w:rPr>
        <w:t>Title VI/Environmental</w:t>
      </w:r>
      <w:r>
        <w:rPr>
          <w:rFonts w:ascii="Times New Roman"/>
          <w:color w:val="232323"/>
          <w:spacing w:val="-16"/>
          <w:w w:val="105"/>
          <w:sz w:val="23"/>
        </w:rPr>
        <w:t> </w:t>
      </w:r>
      <w:r>
        <w:rPr>
          <w:rFonts w:ascii="Times New Roman"/>
          <w:color w:val="232323"/>
          <w:w w:val="105"/>
          <w:sz w:val="23"/>
        </w:rPr>
        <w:t>Justice</w:t>
      </w:r>
      <w:r>
        <w:rPr>
          <w:rFonts w:ascii="Times New Roman"/>
          <w:color w:val="232323"/>
          <w:spacing w:val="-4"/>
          <w:w w:val="105"/>
          <w:sz w:val="23"/>
        </w:rPr>
        <w:t> </w:t>
      </w:r>
      <w:r>
        <w:rPr>
          <w:rFonts w:ascii="Times New Roman"/>
          <w:color w:val="232323"/>
          <w:w w:val="105"/>
          <w:sz w:val="23"/>
        </w:rPr>
        <w:t>Specialist, to</w:t>
      </w:r>
      <w:r>
        <w:rPr>
          <w:rFonts w:ascii="Times New Roman"/>
          <w:color w:val="232323"/>
          <w:spacing w:val="-15"/>
          <w:w w:val="105"/>
          <w:sz w:val="23"/>
        </w:rPr>
        <w:t> </w:t>
      </w:r>
      <w:r>
        <w:rPr>
          <w:rFonts w:ascii="Times New Roman"/>
          <w:color w:val="232323"/>
          <w:w w:val="105"/>
          <w:sz w:val="23"/>
        </w:rPr>
        <w:t>ensure</w:t>
      </w:r>
      <w:r>
        <w:rPr>
          <w:rFonts w:ascii="Times New Roman"/>
          <w:color w:val="232323"/>
          <w:spacing w:val="-4"/>
          <w:w w:val="105"/>
          <w:sz w:val="23"/>
        </w:rPr>
        <w:t> </w:t>
      </w:r>
      <w:r>
        <w:rPr>
          <w:rFonts w:ascii="Times New Roman"/>
          <w:color w:val="232323"/>
          <w:w w:val="105"/>
          <w:sz w:val="23"/>
        </w:rPr>
        <w:t>the</w:t>
      </w:r>
      <w:r>
        <w:rPr>
          <w:rFonts w:ascii="Times New Roman"/>
          <w:color w:val="232323"/>
          <w:spacing w:val="-7"/>
          <w:w w:val="105"/>
          <w:sz w:val="23"/>
        </w:rPr>
        <w:t> </w:t>
      </w:r>
      <w:r>
        <w:rPr>
          <w:rFonts w:ascii="Times New Roman"/>
          <w:color w:val="383838"/>
          <w:w w:val="105"/>
          <w:sz w:val="23"/>
        </w:rPr>
        <w:t>Maine </w:t>
      </w:r>
      <w:r>
        <w:rPr>
          <w:rFonts w:ascii="Times New Roman"/>
          <w:color w:val="232323"/>
          <w:w w:val="105"/>
          <w:sz w:val="23"/>
        </w:rPr>
        <w:t>Department </w:t>
      </w:r>
      <w:r>
        <w:rPr>
          <w:rFonts w:ascii="Times New Roman"/>
          <w:color w:val="383838"/>
          <w:w w:val="105"/>
          <w:sz w:val="23"/>
        </w:rPr>
        <w:t>of</w:t>
      </w:r>
      <w:r>
        <w:rPr>
          <w:rFonts w:ascii="Times New Roman"/>
          <w:color w:val="383838"/>
          <w:spacing w:val="-2"/>
          <w:w w:val="105"/>
          <w:sz w:val="23"/>
        </w:rPr>
        <w:t> </w:t>
      </w:r>
      <w:r>
        <w:rPr>
          <w:rFonts w:ascii="Times New Roman"/>
          <w:color w:val="232323"/>
          <w:w w:val="105"/>
          <w:sz w:val="23"/>
        </w:rPr>
        <w:t>Transpo1tation's</w:t>
      </w:r>
      <w:r>
        <w:rPr>
          <w:rFonts w:ascii="Times New Roman"/>
          <w:color w:val="232323"/>
          <w:spacing w:val="-6"/>
          <w:w w:val="105"/>
          <w:sz w:val="23"/>
        </w:rPr>
        <w:t> </w:t>
      </w:r>
      <w:r>
        <w:rPr>
          <w:rFonts w:ascii="Times New Roman"/>
          <w:color w:val="232323"/>
          <w:w w:val="105"/>
          <w:sz w:val="23"/>
        </w:rPr>
        <w:t>compliance with </w:t>
      </w:r>
      <w:r>
        <w:rPr>
          <w:rFonts w:ascii="Times New Roman"/>
          <w:color w:val="383838"/>
          <w:w w:val="105"/>
          <w:sz w:val="23"/>
        </w:rPr>
        <w:t>Tit</w:t>
      </w:r>
      <w:r>
        <w:rPr>
          <w:rFonts w:ascii="Times New Roman"/>
          <w:color w:val="080808"/>
          <w:w w:val="105"/>
          <w:sz w:val="23"/>
        </w:rPr>
        <w:t>l</w:t>
      </w:r>
      <w:r>
        <w:rPr>
          <w:rFonts w:ascii="Times New Roman"/>
          <w:color w:val="232323"/>
          <w:w w:val="105"/>
          <w:sz w:val="23"/>
        </w:rPr>
        <w:t>e VI/Environmental</w:t>
      </w:r>
      <w:r>
        <w:rPr>
          <w:rFonts w:ascii="Times New Roman"/>
          <w:color w:val="232323"/>
          <w:spacing w:val="-12"/>
          <w:w w:val="105"/>
          <w:sz w:val="23"/>
        </w:rPr>
        <w:t> </w:t>
      </w:r>
      <w:r>
        <w:rPr>
          <w:rFonts w:ascii="Times New Roman"/>
          <w:color w:val="232323"/>
          <w:w w:val="105"/>
          <w:sz w:val="23"/>
        </w:rPr>
        <w:t>Justice implementing </w:t>
      </w:r>
      <w:r>
        <w:rPr>
          <w:rFonts w:ascii="Times New Roman"/>
          <w:color w:val="232323"/>
          <w:spacing w:val="-2"/>
          <w:w w:val="105"/>
          <w:sz w:val="23"/>
        </w:rPr>
        <w:t>regulations.</w:t>
      </w:r>
    </w:p>
    <w:p>
      <w:pPr>
        <w:pStyle w:val="BodyText"/>
        <w:rPr>
          <w:rFonts w:ascii="Times New Roman"/>
          <w:sz w:val="23"/>
        </w:rPr>
      </w:pPr>
    </w:p>
    <w:p>
      <w:pPr>
        <w:spacing w:line="252" w:lineRule="auto" w:before="1"/>
        <w:ind w:left="704" w:right="1672" w:firstLine="2"/>
        <w:jc w:val="left"/>
        <w:rPr>
          <w:rFonts w:ascii="Times New Roman"/>
          <w:sz w:val="23"/>
        </w:rPr>
      </w:pPr>
      <w:r>
        <w:rPr>
          <w:rFonts w:ascii="Times New Roman"/>
          <w:color w:val="232323"/>
          <w:w w:val="105"/>
          <w:sz w:val="23"/>
        </w:rPr>
        <w:t>Inquiries</w:t>
      </w:r>
      <w:r>
        <w:rPr>
          <w:rFonts w:ascii="Times New Roman"/>
          <w:color w:val="232323"/>
          <w:spacing w:val="-5"/>
          <w:w w:val="105"/>
          <w:sz w:val="23"/>
        </w:rPr>
        <w:t> </w:t>
      </w:r>
      <w:r>
        <w:rPr>
          <w:rFonts w:ascii="Times New Roman"/>
          <w:color w:val="232323"/>
          <w:w w:val="105"/>
          <w:sz w:val="23"/>
        </w:rPr>
        <w:t>concerning the</w:t>
      </w:r>
      <w:r>
        <w:rPr>
          <w:rFonts w:ascii="Times New Roman"/>
          <w:color w:val="232323"/>
          <w:spacing w:val="-8"/>
          <w:w w:val="105"/>
          <w:sz w:val="23"/>
        </w:rPr>
        <w:t> </w:t>
      </w:r>
      <w:r>
        <w:rPr>
          <w:rFonts w:ascii="Times New Roman"/>
          <w:color w:val="232323"/>
          <w:w w:val="105"/>
          <w:sz w:val="23"/>
        </w:rPr>
        <w:t>Maine Depaitment of</w:t>
      </w:r>
      <w:r>
        <w:rPr>
          <w:rFonts w:ascii="Times New Roman"/>
          <w:color w:val="232323"/>
          <w:spacing w:val="-16"/>
          <w:w w:val="105"/>
          <w:sz w:val="23"/>
        </w:rPr>
        <w:t> </w:t>
      </w:r>
      <w:r>
        <w:rPr>
          <w:rFonts w:ascii="Times New Roman"/>
          <w:color w:val="383838"/>
          <w:w w:val="105"/>
          <w:sz w:val="23"/>
        </w:rPr>
        <w:t>Transportation's</w:t>
      </w:r>
      <w:r>
        <w:rPr>
          <w:rFonts w:ascii="Times New Roman"/>
          <w:color w:val="383838"/>
          <w:spacing w:val="-14"/>
          <w:w w:val="105"/>
          <w:sz w:val="23"/>
        </w:rPr>
        <w:t> </w:t>
      </w:r>
      <w:r>
        <w:rPr>
          <w:rFonts w:ascii="Times New Roman"/>
          <w:color w:val="232323"/>
          <w:w w:val="105"/>
          <w:sz w:val="23"/>
        </w:rPr>
        <w:t>policies, </w:t>
      </w:r>
      <w:r>
        <w:rPr>
          <w:rFonts w:ascii="Times New Roman"/>
          <w:color w:val="080808"/>
          <w:w w:val="105"/>
          <w:sz w:val="23"/>
        </w:rPr>
        <w:t>investigations, </w:t>
      </w:r>
      <w:r>
        <w:rPr>
          <w:rFonts w:ascii="Times New Roman"/>
          <w:color w:val="232323"/>
          <w:w w:val="105"/>
          <w:sz w:val="23"/>
        </w:rPr>
        <w:t>complaints</w:t>
      </w:r>
      <w:r>
        <w:rPr>
          <w:rFonts w:ascii="Times New Roman"/>
          <w:color w:val="525252"/>
          <w:w w:val="105"/>
          <w:sz w:val="23"/>
        </w:rPr>
        <w:t>, </w:t>
      </w:r>
      <w:r>
        <w:rPr>
          <w:rFonts w:ascii="Times New Roman"/>
          <w:color w:val="383838"/>
          <w:w w:val="105"/>
          <w:sz w:val="23"/>
        </w:rPr>
        <w:t>compliance </w:t>
      </w:r>
      <w:r>
        <w:rPr>
          <w:rFonts w:ascii="Times New Roman"/>
          <w:color w:val="232323"/>
          <w:w w:val="105"/>
          <w:sz w:val="23"/>
        </w:rPr>
        <w:t>with applicable laws</w:t>
      </w:r>
      <w:r>
        <w:rPr>
          <w:rFonts w:ascii="Times New Roman"/>
          <w:color w:val="232323"/>
          <w:spacing w:val="-6"/>
          <w:w w:val="105"/>
          <w:sz w:val="23"/>
        </w:rPr>
        <w:t> </w:t>
      </w:r>
      <w:r>
        <w:rPr>
          <w:rFonts w:ascii="Times New Roman"/>
          <w:color w:val="383838"/>
          <w:w w:val="105"/>
          <w:sz w:val="23"/>
        </w:rPr>
        <w:t>and</w:t>
      </w:r>
      <w:r>
        <w:rPr>
          <w:rFonts w:ascii="Times New Roman"/>
          <w:color w:val="383838"/>
          <w:spacing w:val="-2"/>
          <w:w w:val="105"/>
          <w:sz w:val="23"/>
        </w:rPr>
        <w:t> </w:t>
      </w:r>
      <w:r>
        <w:rPr>
          <w:rFonts w:ascii="Times New Roman"/>
          <w:color w:val="232323"/>
          <w:w w:val="105"/>
          <w:sz w:val="23"/>
        </w:rPr>
        <w:t>regulations, and </w:t>
      </w:r>
      <w:r>
        <w:rPr>
          <w:rFonts w:ascii="Times New Roman"/>
          <w:color w:val="383838"/>
          <w:w w:val="105"/>
          <w:sz w:val="23"/>
        </w:rPr>
        <w:t>concerns regarding </w:t>
      </w:r>
      <w:r>
        <w:rPr>
          <w:rFonts w:ascii="Times New Roman"/>
          <w:color w:val="232323"/>
          <w:w w:val="105"/>
          <w:sz w:val="23"/>
        </w:rPr>
        <w:t>compliance with </w:t>
      </w:r>
      <w:r>
        <w:rPr>
          <w:rFonts w:ascii="Times New Roman"/>
          <w:color w:val="383838"/>
          <w:w w:val="105"/>
          <w:sz w:val="23"/>
        </w:rPr>
        <w:t>Title </w:t>
      </w:r>
      <w:r>
        <w:rPr>
          <w:rFonts w:ascii="Times New Roman"/>
          <w:color w:val="232323"/>
          <w:w w:val="105"/>
          <w:sz w:val="23"/>
        </w:rPr>
        <w:t>VI/Environmental</w:t>
      </w:r>
      <w:r>
        <w:rPr>
          <w:rFonts w:ascii="Times New Roman"/>
          <w:color w:val="232323"/>
          <w:spacing w:val="-1"/>
          <w:w w:val="105"/>
          <w:sz w:val="23"/>
        </w:rPr>
        <w:t> </w:t>
      </w:r>
      <w:r>
        <w:rPr>
          <w:rFonts w:ascii="Times New Roman"/>
          <w:color w:val="232323"/>
          <w:w w:val="105"/>
          <w:sz w:val="23"/>
        </w:rPr>
        <w:t>Justice may be</w:t>
      </w:r>
      <w:r>
        <w:rPr>
          <w:rFonts w:ascii="Times New Roman"/>
          <w:color w:val="232323"/>
          <w:spacing w:val="-5"/>
          <w:w w:val="105"/>
          <w:sz w:val="23"/>
        </w:rPr>
        <w:t> </w:t>
      </w:r>
      <w:r>
        <w:rPr>
          <w:rFonts w:ascii="Times New Roman"/>
          <w:color w:val="232323"/>
          <w:w w:val="105"/>
          <w:sz w:val="23"/>
        </w:rPr>
        <w:t>directed to:</w:t>
      </w:r>
    </w:p>
    <w:p>
      <w:pPr>
        <w:pStyle w:val="BodyText"/>
        <w:spacing w:before="6"/>
        <w:rPr>
          <w:rFonts w:ascii="Times New Roman"/>
          <w:sz w:val="23"/>
        </w:rPr>
      </w:pPr>
    </w:p>
    <w:p>
      <w:pPr>
        <w:spacing w:line="254" w:lineRule="auto" w:before="0"/>
        <w:ind w:left="3317" w:right="2963" w:firstLine="0"/>
        <w:jc w:val="center"/>
        <w:rPr>
          <w:rFonts w:ascii="Times New Roman"/>
          <w:sz w:val="23"/>
        </w:rPr>
      </w:pPr>
      <w:r>
        <w:rPr>
          <w:rFonts w:ascii="Times New Roman"/>
          <w:color w:val="383838"/>
          <w:w w:val="105"/>
          <w:sz w:val="23"/>
        </w:rPr>
        <w:t>Sherry</w:t>
      </w:r>
      <w:r>
        <w:rPr>
          <w:rFonts w:ascii="Times New Roman"/>
          <w:color w:val="383838"/>
          <w:spacing w:val="-2"/>
          <w:w w:val="105"/>
          <w:sz w:val="23"/>
        </w:rPr>
        <w:t> </w:t>
      </w:r>
      <w:r>
        <w:rPr>
          <w:rFonts w:ascii="Times New Roman"/>
          <w:color w:val="383838"/>
          <w:w w:val="105"/>
          <w:sz w:val="23"/>
        </w:rPr>
        <w:t>Y.</w:t>
      </w:r>
      <w:r>
        <w:rPr>
          <w:rFonts w:ascii="Times New Roman"/>
          <w:color w:val="383838"/>
          <w:spacing w:val="-17"/>
          <w:w w:val="105"/>
          <w:sz w:val="23"/>
        </w:rPr>
        <w:t> </w:t>
      </w:r>
      <w:r>
        <w:rPr>
          <w:rFonts w:ascii="Times New Roman"/>
          <w:color w:val="383838"/>
          <w:w w:val="105"/>
          <w:sz w:val="23"/>
        </w:rPr>
        <w:t>Tompkins,</w:t>
      </w:r>
      <w:r>
        <w:rPr>
          <w:rFonts w:ascii="Times New Roman"/>
          <w:color w:val="383838"/>
          <w:spacing w:val="-10"/>
          <w:w w:val="105"/>
          <w:sz w:val="23"/>
        </w:rPr>
        <w:t> </w:t>
      </w:r>
      <w:r>
        <w:rPr>
          <w:rFonts w:ascii="Times New Roman"/>
          <w:color w:val="232323"/>
          <w:w w:val="105"/>
          <w:sz w:val="23"/>
        </w:rPr>
        <w:t>Director,</w:t>
      </w:r>
      <w:r>
        <w:rPr>
          <w:rFonts w:ascii="Times New Roman"/>
          <w:color w:val="232323"/>
          <w:spacing w:val="-9"/>
          <w:w w:val="105"/>
          <w:sz w:val="23"/>
        </w:rPr>
        <w:t> </w:t>
      </w:r>
      <w:r>
        <w:rPr>
          <w:rFonts w:ascii="Times New Roman"/>
          <w:color w:val="232323"/>
          <w:w w:val="105"/>
          <w:sz w:val="23"/>
        </w:rPr>
        <w:t>Civil</w:t>
      </w:r>
      <w:r>
        <w:rPr>
          <w:rFonts w:ascii="Times New Roman"/>
          <w:color w:val="232323"/>
          <w:spacing w:val="-9"/>
          <w:w w:val="105"/>
          <w:sz w:val="23"/>
        </w:rPr>
        <w:t> </w:t>
      </w:r>
      <w:r>
        <w:rPr>
          <w:rFonts w:ascii="Times New Roman"/>
          <w:color w:val="232323"/>
          <w:w w:val="105"/>
          <w:sz w:val="23"/>
        </w:rPr>
        <w:t>Rights</w:t>
      </w:r>
      <w:r>
        <w:rPr>
          <w:rFonts w:ascii="Times New Roman"/>
          <w:color w:val="232323"/>
          <w:spacing w:val="-10"/>
          <w:w w:val="105"/>
          <w:sz w:val="23"/>
        </w:rPr>
        <w:t> </w:t>
      </w:r>
      <w:r>
        <w:rPr>
          <w:rFonts w:ascii="Times New Roman"/>
          <w:color w:val="232323"/>
          <w:w w:val="105"/>
          <w:sz w:val="23"/>
        </w:rPr>
        <w:t>Office Maine </w:t>
      </w:r>
      <w:r>
        <w:rPr>
          <w:rFonts w:ascii="Times New Roman"/>
          <w:color w:val="383838"/>
          <w:w w:val="105"/>
          <w:sz w:val="23"/>
        </w:rPr>
        <w:t>Department of Transportation</w:t>
      </w:r>
    </w:p>
    <w:p>
      <w:pPr>
        <w:spacing w:line="249" w:lineRule="auto" w:before="3"/>
        <w:ind w:left="4490" w:right="4157" w:firstLine="28"/>
        <w:jc w:val="center"/>
        <w:rPr>
          <w:rFonts w:ascii="Times New Roman"/>
          <w:sz w:val="23"/>
        </w:rPr>
      </w:pPr>
      <w:r>
        <w:rPr>
          <w:rFonts w:ascii="Times New Roman"/>
          <w:color w:val="232323"/>
          <w:w w:val="105"/>
          <w:sz w:val="23"/>
        </w:rPr>
        <w:t>16 </w:t>
      </w:r>
      <w:r>
        <w:rPr>
          <w:rFonts w:ascii="Times New Roman"/>
          <w:color w:val="383838"/>
          <w:w w:val="105"/>
          <w:sz w:val="23"/>
        </w:rPr>
        <w:t>State </w:t>
      </w:r>
      <w:r>
        <w:rPr>
          <w:rFonts w:ascii="Times New Roman"/>
          <w:color w:val="232323"/>
          <w:w w:val="105"/>
          <w:sz w:val="23"/>
        </w:rPr>
        <w:t>House </w:t>
      </w:r>
      <w:r>
        <w:rPr>
          <w:rFonts w:ascii="Times New Roman"/>
          <w:color w:val="383838"/>
          <w:w w:val="105"/>
          <w:sz w:val="23"/>
        </w:rPr>
        <w:t>Station </w:t>
      </w:r>
      <w:r>
        <w:rPr>
          <w:rFonts w:ascii="Times New Roman"/>
          <w:color w:val="232323"/>
          <w:spacing w:val="-2"/>
          <w:w w:val="105"/>
          <w:sz w:val="23"/>
        </w:rPr>
        <w:t>Augusta</w:t>
      </w:r>
      <w:r>
        <w:rPr>
          <w:rFonts w:ascii="Times New Roman"/>
          <w:color w:val="525252"/>
          <w:spacing w:val="-2"/>
          <w:w w:val="105"/>
          <w:sz w:val="23"/>
        </w:rPr>
        <w:t>,</w:t>
      </w:r>
      <w:r>
        <w:rPr>
          <w:rFonts w:ascii="Times New Roman"/>
          <w:color w:val="525252"/>
          <w:spacing w:val="-6"/>
          <w:w w:val="105"/>
          <w:sz w:val="23"/>
        </w:rPr>
        <w:t> </w:t>
      </w:r>
      <w:r>
        <w:rPr>
          <w:rFonts w:ascii="Times New Roman"/>
          <w:color w:val="232323"/>
          <w:spacing w:val="-2"/>
          <w:w w:val="105"/>
          <w:sz w:val="23"/>
        </w:rPr>
        <w:t>ME</w:t>
      </w:r>
      <w:r>
        <w:rPr>
          <w:rFonts w:ascii="Times New Roman"/>
          <w:color w:val="232323"/>
          <w:spacing w:val="-17"/>
          <w:w w:val="105"/>
          <w:sz w:val="23"/>
        </w:rPr>
        <w:t> </w:t>
      </w:r>
      <w:r>
        <w:rPr>
          <w:rFonts w:ascii="Times New Roman"/>
          <w:color w:val="232323"/>
          <w:spacing w:val="-2"/>
          <w:w w:val="105"/>
          <w:sz w:val="23"/>
        </w:rPr>
        <w:t>04333-0016</w:t>
      </w:r>
    </w:p>
    <w:p>
      <w:pPr>
        <w:spacing w:line="263" w:lineRule="exact" w:before="0"/>
        <w:ind w:left="3404" w:right="3065" w:firstLine="0"/>
        <w:jc w:val="center"/>
        <w:rPr>
          <w:rFonts w:ascii="Times New Roman"/>
          <w:sz w:val="23"/>
        </w:rPr>
      </w:pPr>
      <w:r>
        <w:rPr>
          <w:rFonts w:ascii="Times New Roman"/>
          <w:color w:val="232323"/>
          <w:w w:val="105"/>
          <w:sz w:val="23"/>
        </w:rPr>
        <w:t>Telephone</w:t>
      </w:r>
      <w:r>
        <w:rPr>
          <w:rFonts w:ascii="Times New Roman"/>
          <w:color w:val="232323"/>
          <w:spacing w:val="-10"/>
          <w:w w:val="105"/>
          <w:sz w:val="23"/>
        </w:rPr>
        <w:t> </w:t>
      </w:r>
      <w:r>
        <w:rPr>
          <w:rFonts w:ascii="Times New Roman"/>
          <w:color w:val="232323"/>
          <w:w w:val="105"/>
          <w:sz w:val="23"/>
        </w:rPr>
        <w:t>(207)</w:t>
      </w:r>
      <w:r>
        <w:rPr>
          <w:rFonts w:ascii="Times New Roman"/>
          <w:color w:val="232323"/>
          <w:spacing w:val="-15"/>
          <w:w w:val="105"/>
          <w:sz w:val="23"/>
        </w:rPr>
        <w:t> </w:t>
      </w:r>
      <w:r>
        <w:rPr>
          <w:rFonts w:ascii="Times New Roman"/>
          <w:color w:val="232323"/>
          <w:w w:val="105"/>
          <w:sz w:val="23"/>
        </w:rPr>
        <w:t>624-</w:t>
      </w:r>
      <w:r>
        <w:rPr>
          <w:rFonts w:ascii="Times New Roman"/>
          <w:color w:val="232323"/>
          <w:spacing w:val="-4"/>
          <w:w w:val="105"/>
          <w:sz w:val="23"/>
        </w:rPr>
        <w:t>3066</w:t>
      </w:r>
    </w:p>
    <w:p>
      <w:pPr>
        <w:spacing w:before="17"/>
        <w:ind w:left="3404" w:right="3067" w:firstLine="0"/>
        <w:jc w:val="center"/>
        <w:rPr>
          <w:rFonts w:ascii="Times New Roman"/>
          <w:sz w:val="23"/>
        </w:rPr>
      </w:pPr>
      <w:r>
        <w:rPr>
          <w:rFonts w:ascii="Times New Roman"/>
          <w:color w:val="232323"/>
          <w:sz w:val="23"/>
        </w:rPr>
        <w:t>TTY</w:t>
      </w:r>
      <w:r>
        <w:rPr>
          <w:rFonts w:ascii="Times New Roman"/>
          <w:color w:val="232323"/>
          <w:spacing w:val="44"/>
          <w:sz w:val="23"/>
        </w:rPr>
        <w:t> </w:t>
      </w:r>
      <w:r>
        <w:rPr>
          <w:rFonts w:ascii="Times New Roman"/>
          <w:color w:val="232323"/>
          <w:sz w:val="23"/>
        </w:rPr>
        <w:t>888-516-</w:t>
      </w:r>
      <w:r>
        <w:rPr>
          <w:rFonts w:ascii="Times New Roman"/>
          <w:color w:val="232323"/>
          <w:spacing w:val="-4"/>
          <w:sz w:val="23"/>
        </w:rPr>
        <w:t>9364</w:t>
      </w:r>
    </w:p>
    <w:p>
      <w:pPr>
        <w:spacing w:before="9"/>
        <w:ind w:left="3404" w:right="3071" w:firstLine="0"/>
        <w:jc w:val="center"/>
        <w:rPr>
          <w:rFonts w:ascii="Times New Roman"/>
          <w:sz w:val="23"/>
        </w:rPr>
      </w:pPr>
      <w:hyperlink r:id="rId56">
        <w:r>
          <w:rPr>
            <w:rFonts w:ascii="Times New Roman"/>
            <w:color w:val="2F6097"/>
            <w:spacing w:val="-2"/>
            <w:w w:val="105"/>
            <w:sz w:val="23"/>
            <w:u w:val="thick" w:color="2F6097"/>
          </w:rPr>
          <w:t>sh</w:t>
        </w:r>
        <w:r>
          <w:rPr>
            <w:rFonts w:ascii="Times New Roman"/>
            <w:color w:val="4F79A8"/>
            <w:spacing w:val="-2"/>
            <w:w w:val="105"/>
            <w:sz w:val="23"/>
            <w:u w:val="thick" w:color="2F6097"/>
          </w:rPr>
          <w:t>e</w:t>
        </w:r>
        <w:r>
          <w:rPr>
            <w:rFonts w:ascii="Times New Roman"/>
            <w:color w:val="2F6097"/>
            <w:spacing w:val="-2"/>
            <w:w w:val="105"/>
            <w:sz w:val="23"/>
            <w:u w:val="thick" w:color="2F6097"/>
          </w:rPr>
          <w:t>ny</w:t>
        </w:r>
        <w:r>
          <w:rPr>
            <w:rFonts w:ascii="Times New Roman"/>
            <w:color w:val="445977"/>
            <w:spacing w:val="-2"/>
            <w:w w:val="105"/>
            <w:sz w:val="23"/>
            <w:u w:val="thick" w:color="2F6097"/>
          </w:rPr>
          <w:t>.</w:t>
        </w:r>
        <w:r>
          <w:rPr>
            <w:rFonts w:ascii="Times New Roman"/>
            <w:color w:val="2F6097"/>
            <w:spacing w:val="-2"/>
            <w:w w:val="105"/>
            <w:sz w:val="23"/>
            <w:u w:val="thick" w:color="2F6097"/>
          </w:rPr>
          <w:t>tompkins</w:t>
        </w:r>
        <w:r>
          <w:rPr>
            <w:rFonts w:ascii="Times New Roman"/>
            <w:color w:val="4F79A8"/>
            <w:spacing w:val="-2"/>
            <w:w w:val="105"/>
            <w:sz w:val="23"/>
            <w:u w:val="thick" w:color="2F6097"/>
          </w:rPr>
          <w:t>@</w:t>
        </w:r>
        <w:r>
          <w:rPr>
            <w:rFonts w:ascii="Times New Roman"/>
            <w:color w:val="2F6097"/>
            <w:spacing w:val="-2"/>
            <w:w w:val="105"/>
            <w:sz w:val="23"/>
            <w:u w:val="thick" w:color="2F6097"/>
          </w:rPr>
          <w:t>maine</w:t>
        </w:r>
        <w:r>
          <w:rPr>
            <w:rFonts w:ascii="Times New Roman"/>
            <w:color w:val="344469"/>
            <w:spacing w:val="-2"/>
            <w:w w:val="105"/>
            <w:sz w:val="23"/>
            <w:u w:val="thick" w:color="2F6097"/>
          </w:rPr>
          <w:t>.</w:t>
        </w:r>
        <w:r>
          <w:rPr>
            <w:rFonts w:ascii="Times New Roman"/>
            <w:color w:val="2F6097"/>
            <w:spacing w:val="-2"/>
            <w:w w:val="105"/>
            <w:sz w:val="23"/>
            <w:u w:val="thick" w:color="2F6097"/>
          </w:rPr>
          <w:t>gov</w:t>
        </w:r>
      </w:hyperlink>
    </w:p>
    <w:p>
      <w:pPr>
        <w:pStyle w:val="BodyText"/>
        <w:rPr>
          <w:rFonts w:ascii="Times New Roman"/>
          <w:sz w:val="26"/>
        </w:rPr>
      </w:pPr>
    </w:p>
    <w:p>
      <w:pPr>
        <w:spacing w:line="252" w:lineRule="auto" w:before="0"/>
        <w:ind w:left="690" w:right="1371" w:firstLine="1"/>
        <w:jc w:val="both"/>
        <w:rPr>
          <w:rFonts w:ascii="Times New Roman"/>
          <w:sz w:val="23"/>
        </w:rPr>
      </w:pPr>
      <w:r>
        <w:rPr/>
        <mc:AlternateContent>
          <mc:Choice Requires="wps">
            <w:drawing>
              <wp:anchor distT="0" distB="0" distL="0" distR="0" allowOverlap="1" layoutInCell="1" locked="0" behindDoc="1" simplePos="0" relativeHeight="478358528">
                <wp:simplePos x="0" y="0"/>
                <wp:positionH relativeFrom="page">
                  <wp:posOffset>1035685</wp:posOffset>
                </wp:positionH>
                <wp:positionV relativeFrom="paragraph">
                  <wp:posOffset>506210</wp:posOffset>
                </wp:positionV>
                <wp:extent cx="2507615" cy="65024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507615" cy="650240"/>
                        </a:xfrm>
                        <a:prstGeom prst="rect">
                          <a:avLst/>
                        </a:prstGeom>
                      </wps:spPr>
                      <wps:txbx>
                        <w:txbxContent>
                          <w:p>
                            <w:pPr>
                              <w:spacing w:before="2"/>
                              <w:ind w:left="0" w:right="0" w:firstLine="0"/>
                              <w:jc w:val="left"/>
                              <w:rPr>
                                <w:rFonts w:ascii="Verdana" w:hAnsi="Verdana" w:cs="Verdana" w:eastAsia="Verdana"/>
                                <w:i/>
                                <w:iCs/>
                                <w:sz w:val="84"/>
                                <w:szCs w:val="84"/>
                              </w:rPr>
                            </w:pPr>
                            <w:r>
                              <w:rPr>
                                <w:rFonts w:ascii="Verdana" w:hAnsi="Verdana" w:cs="Verdana" w:eastAsia="Verdana"/>
                                <w:i/>
                                <w:iCs/>
                                <w:color w:val="465DBA"/>
                                <w:spacing w:val="-4"/>
                                <w:w w:val="135"/>
                                <w:sz w:val="84"/>
                                <w:szCs w:val="84"/>
                              </w:rPr>
                              <w:t>�«��</w:t>
                            </w:r>
                          </w:p>
                        </w:txbxContent>
                      </wps:txbx>
                      <wps:bodyPr wrap="square" lIns="0" tIns="0" rIns="0" bIns="0" rtlCol="0">
                        <a:noAutofit/>
                      </wps:bodyPr>
                    </wps:wsp>
                  </a:graphicData>
                </a:graphic>
              </wp:anchor>
            </w:drawing>
          </mc:Choice>
          <mc:Fallback>
            <w:pict>
              <v:shape style="position:absolute;margin-left:81.550003pt;margin-top:39.859085pt;width:197.45pt;height:51.2pt;mso-position-horizontal-relative:page;mso-position-vertical-relative:paragraph;z-index:-24957952" type="#_x0000_t202" id="docshape87" filled="false" stroked="false">
                <v:textbox inset="0,0,0,0">
                  <w:txbxContent>
                    <w:p>
                      <w:pPr>
                        <w:spacing w:before="2"/>
                        <w:ind w:left="0" w:right="0" w:firstLine="0"/>
                        <w:jc w:val="left"/>
                        <w:rPr>
                          <w:rFonts w:ascii="Verdana" w:hAnsi="Verdana" w:cs="Verdana" w:eastAsia="Verdana"/>
                          <w:i/>
                          <w:iCs/>
                          <w:sz w:val="84"/>
                          <w:szCs w:val="84"/>
                        </w:rPr>
                      </w:pPr>
                      <w:r>
                        <w:rPr>
                          <w:rFonts w:ascii="Verdana" w:hAnsi="Verdana" w:cs="Verdana" w:eastAsia="Verdana"/>
                          <w:i/>
                          <w:iCs/>
                          <w:color w:val="465DBA"/>
                          <w:spacing w:val="-4"/>
                          <w:w w:val="135"/>
                          <w:sz w:val="84"/>
                          <w:szCs w:val="84"/>
                        </w:rPr>
                        <w:t>�«��</w:t>
                      </w:r>
                    </w:p>
                  </w:txbxContent>
                </v:textbox>
                <w10:wrap type="none"/>
              </v:shape>
            </w:pict>
          </mc:Fallback>
        </mc:AlternateContent>
      </w:r>
      <w:r>
        <w:rPr/>
        <mc:AlternateContent>
          <mc:Choice Requires="wps">
            <w:drawing>
              <wp:anchor distT="0" distB="0" distL="0" distR="0" allowOverlap="1" layoutInCell="1" locked="0" behindDoc="1" simplePos="0" relativeHeight="478359040">
                <wp:simplePos x="0" y="0"/>
                <wp:positionH relativeFrom="page">
                  <wp:posOffset>5110436</wp:posOffset>
                </wp:positionH>
                <wp:positionV relativeFrom="paragraph">
                  <wp:posOffset>1006890</wp:posOffset>
                </wp:positionV>
                <wp:extent cx="28575" cy="120014"/>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8575" cy="120014"/>
                        </a:xfrm>
                        <a:prstGeom prst="rect">
                          <a:avLst/>
                        </a:prstGeom>
                      </wps:spPr>
                      <wps:txbx>
                        <w:txbxContent>
                          <w:p>
                            <w:pPr>
                              <w:spacing w:line="189" w:lineRule="exact" w:before="0"/>
                              <w:ind w:left="0" w:right="0" w:firstLine="0"/>
                              <w:jc w:val="left"/>
                              <w:rPr>
                                <w:rFonts w:ascii="Times New Roman"/>
                                <w:i/>
                                <w:sz w:val="17"/>
                              </w:rPr>
                            </w:pPr>
                            <w:r>
                              <w:rPr>
                                <w:rFonts w:ascii="Times New Roman"/>
                                <w:i/>
                                <w:color w:val="465DBA"/>
                                <w:w w:val="79"/>
                                <w:sz w:val="17"/>
                              </w:rPr>
                              <w:t>I</w:t>
                            </w:r>
                          </w:p>
                        </w:txbxContent>
                      </wps:txbx>
                      <wps:bodyPr wrap="square" lIns="0" tIns="0" rIns="0" bIns="0" rtlCol="0">
                        <a:noAutofit/>
                      </wps:bodyPr>
                    </wps:wsp>
                  </a:graphicData>
                </a:graphic>
              </wp:anchor>
            </w:drawing>
          </mc:Choice>
          <mc:Fallback>
            <w:pict>
              <v:shape style="position:absolute;margin-left:402.396606pt;margin-top:79.282745pt;width:2.25pt;height:9.450pt;mso-position-horizontal-relative:page;mso-position-vertical-relative:paragraph;z-index:-24957440" type="#_x0000_t202" id="docshape88" filled="false" stroked="false">
                <v:textbox inset="0,0,0,0">
                  <w:txbxContent>
                    <w:p>
                      <w:pPr>
                        <w:spacing w:line="189" w:lineRule="exact" w:before="0"/>
                        <w:ind w:left="0" w:right="0" w:firstLine="0"/>
                        <w:jc w:val="left"/>
                        <w:rPr>
                          <w:rFonts w:ascii="Times New Roman"/>
                          <w:i/>
                          <w:sz w:val="17"/>
                        </w:rPr>
                      </w:pPr>
                      <w:r>
                        <w:rPr>
                          <w:rFonts w:ascii="Times New Roman"/>
                          <w:i/>
                          <w:color w:val="465DBA"/>
                          <w:w w:val="79"/>
                          <w:sz w:val="17"/>
                        </w:rPr>
                        <w:t>I</w:t>
                      </w:r>
                    </w:p>
                  </w:txbxContent>
                </v:textbox>
                <w10:wrap type="none"/>
              </v:shape>
            </w:pict>
          </mc:Fallback>
        </mc:AlternateContent>
      </w:r>
      <w:r>
        <w:rPr>
          <w:rFonts w:ascii="Times New Roman"/>
          <w:color w:val="232323"/>
          <w:w w:val="105"/>
          <w:sz w:val="23"/>
        </w:rPr>
        <w:t>This</w:t>
      </w:r>
      <w:r>
        <w:rPr>
          <w:rFonts w:ascii="Times New Roman"/>
          <w:color w:val="232323"/>
          <w:spacing w:val="-2"/>
          <w:w w:val="105"/>
          <w:sz w:val="23"/>
        </w:rPr>
        <w:t> </w:t>
      </w:r>
      <w:r>
        <w:rPr>
          <w:rFonts w:ascii="Times New Roman"/>
          <w:color w:val="232323"/>
          <w:w w:val="105"/>
          <w:sz w:val="23"/>
        </w:rPr>
        <w:t>Policy Statement must be</w:t>
      </w:r>
      <w:r>
        <w:rPr>
          <w:rFonts w:ascii="Times New Roman"/>
          <w:color w:val="232323"/>
          <w:spacing w:val="-15"/>
          <w:w w:val="105"/>
          <w:sz w:val="23"/>
        </w:rPr>
        <w:t> </w:t>
      </w:r>
      <w:r>
        <w:rPr>
          <w:rFonts w:ascii="Times New Roman"/>
          <w:color w:val="232323"/>
          <w:w w:val="105"/>
          <w:sz w:val="23"/>
        </w:rPr>
        <w:t>circulated throughout</w:t>
      </w:r>
      <w:r>
        <w:rPr>
          <w:rFonts w:ascii="Times New Roman"/>
          <w:color w:val="232323"/>
          <w:spacing w:val="-1"/>
          <w:w w:val="105"/>
          <w:sz w:val="23"/>
        </w:rPr>
        <w:t> </w:t>
      </w:r>
      <w:r>
        <w:rPr>
          <w:rFonts w:ascii="Times New Roman"/>
          <w:color w:val="232323"/>
          <w:w w:val="105"/>
          <w:sz w:val="23"/>
        </w:rPr>
        <w:t>the</w:t>
      </w:r>
      <w:r>
        <w:rPr>
          <w:rFonts w:ascii="Times New Roman"/>
          <w:color w:val="232323"/>
          <w:spacing w:val="-9"/>
          <w:w w:val="105"/>
          <w:sz w:val="23"/>
        </w:rPr>
        <w:t> </w:t>
      </w:r>
      <w:r>
        <w:rPr>
          <w:rFonts w:ascii="Times New Roman"/>
          <w:color w:val="232323"/>
          <w:w w:val="105"/>
          <w:sz w:val="23"/>
        </w:rPr>
        <w:t>Maine</w:t>
      </w:r>
      <w:r>
        <w:rPr>
          <w:rFonts w:ascii="Times New Roman"/>
          <w:color w:val="232323"/>
          <w:spacing w:val="-10"/>
          <w:w w:val="105"/>
          <w:sz w:val="23"/>
        </w:rPr>
        <w:t> </w:t>
      </w:r>
      <w:r>
        <w:rPr>
          <w:rFonts w:ascii="Times New Roman"/>
          <w:color w:val="232323"/>
          <w:w w:val="105"/>
          <w:sz w:val="23"/>
        </w:rPr>
        <w:t>Department of</w:t>
      </w:r>
      <w:r>
        <w:rPr>
          <w:rFonts w:ascii="Times New Roman"/>
          <w:color w:val="232323"/>
          <w:spacing w:val="-12"/>
          <w:w w:val="105"/>
          <w:sz w:val="23"/>
        </w:rPr>
        <w:t> </w:t>
      </w:r>
      <w:r>
        <w:rPr>
          <w:rFonts w:ascii="Times New Roman"/>
          <w:color w:val="232323"/>
          <w:w w:val="105"/>
          <w:sz w:val="23"/>
        </w:rPr>
        <w:t>Transportation </w:t>
      </w:r>
      <w:r>
        <w:rPr>
          <w:rFonts w:ascii="Times New Roman"/>
          <w:color w:val="383838"/>
          <w:w w:val="105"/>
          <w:sz w:val="23"/>
        </w:rPr>
        <w:t>and</w:t>
      </w:r>
      <w:r>
        <w:rPr>
          <w:rFonts w:ascii="Times New Roman"/>
          <w:color w:val="383838"/>
          <w:spacing w:val="-12"/>
          <w:w w:val="105"/>
          <w:sz w:val="23"/>
        </w:rPr>
        <w:t> </w:t>
      </w:r>
      <w:r>
        <w:rPr>
          <w:rFonts w:ascii="Times New Roman"/>
          <w:color w:val="232323"/>
          <w:w w:val="105"/>
          <w:sz w:val="23"/>
        </w:rPr>
        <w:t>be</w:t>
      </w:r>
      <w:r>
        <w:rPr>
          <w:rFonts w:ascii="Times New Roman"/>
          <w:color w:val="232323"/>
          <w:spacing w:val="-13"/>
          <w:w w:val="105"/>
          <w:sz w:val="23"/>
        </w:rPr>
        <w:t> </w:t>
      </w:r>
      <w:r>
        <w:rPr>
          <w:rFonts w:ascii="Times New Roman"/>
          <w:color w:val="232323"/>
          <w:w w:val="105"/>
          <w:sz w:val="23"/>
        </w:rPr>
        <w:t>included by</w:t>
      </w:r>
      <w:r>
        <w:rPr>
          <w:rFonts w:ascii="Times New Roman"/>
          <w:color w:val="232323"/>
          <w:spacing w:val="-16"/>
          <w:w w:val="105"/>
          <w:sz w:val="23"/>
        </w:rPr>
        <w:t> </w:t>
      </w:r>
      <w:r>
        <w:rPr>
          <w:rFonts w:ascii="Times New Roman"/>
          <w:color w:val="232323"/>
          <w:w w:val="105"/>
          <w:sz w:val="23"/>
        </w:rPr>
        <w:t>reference</w:t>
      </w:r>
      <w:r>
        <w:rPr>
          <w:rFonts w:ascii="Times New Roman"/>
          <w:color w:val="232323"/>
          <w:spacing w:val="-12"/>
          <w:w w:val="105"/>
          <w:sz w:val="23"/>
        </w:rPr>
        <w:t> </w:t>
      </w:r>
      <w:r>
        <w:rPr>
          <w:rFonts w:ascii="Times New Roman"/>
          <w:color w:val="232323"/>
          <w:w w:val="105"/>
          <w:sz w:val="23"/>
        </w:rPr>
        <w:t>in</w:t>
      </w:r>
      <w:r>
        <w:rPr>
          <w:rFonts w:ascii="Times New Roman"/>
          <w:color w:val="232323"/>
          <w:spacing w:val="-7"/>
          <w:w w:val="105"/>
          <w:sz w:val="23"/>
        </w:rPr>
        <w:t> </w:t>
      </w:r>
      <w:r>
        <w:rPr>
          <w:rFonts w:ascii="Times New Roman"/>
          <w:color w:val="232323"/>
          <w:w w:val="105"/>
          <w:sz w:val="23"/>
        </w:rPr>
        <w:t>all</w:t>
      </w:r>
      <w:r>
        <w:rPr>
          <w:rFonts w:ascii="Times New Roman"/>
          <w:color w:val="232323"/>
          <w:spacing w:val="-16"/>
          <w:w w:val="105"/>
          <w:sz w:val="23"/>
        </w:rPr>
        <w:t> </w:t>
      </w:r>
      <w:r>
        <w:rPr>
          <w:rFonts w:ascii="Times New Roman"/>
          <w:color w:val="232323"/>
          <w:w w:val="105"/>
          <w:sz w:val="23"/>
        </w:rPr>
        <w:t>contracts,</w:t>
      </w:r>
      <w:r>
        <w:rPr>
          <w:rFonts w:ascii="Times New Roman"/>
          <w:color w:val="232323"/>
          <w:spacing w:val="-6"/>
          <w:w w:val="105"/>
          <w:sz w:val="23"/>
        </w:rPr>
        <w:t> </w:t>
      </w:r>
      <w:r>
        <w:rPr>
          <w:rFonts w:ascii="Times New Roman"/>
          <w:color w:val="383838"/>
          <w:w w:val="105"/>
          <w:sz w:val="23"/>
        </w:rPr>
        <w:t>agreements,</w:t>
      </w:r>
      <w:r>
        <w:rPr>
          <w:rFonts w:ascii="Times New Roman"/>
          <w:color w:val="383838"/>
          <w:spacing w:val="-1"/>
          <w:w w:val="105"/>
          <w:sz w:val="23"/>
        </w:rPr>
        <w:t> </w:t>
      </w:r>
      <w:r>
        <w:rPr>
          <w:rFonts w:ascii="Times New Roman"/>
          <w:color w:val="232323"/>
          <w:w w:val="105"/>
          <w:sz w:val="23"/>
        </w:rPr>
        <w:t>programs,</w:t>
      </w:r>
      <w:r>
        <w:rPr>
          <w:rFonts w:ascii="Times New Roman"/>
          <w:color w:val="232323"/>
          <w:spacing w:val="-4"/>
          <w:w w:val="105"/>
          <w:sz w:val="23"/>
        </w:rPr>
        <w:t> </w:t>
      </w:r>
      <w:r>
        <w:rPr>
          <w:rFonts w:ascii="Times New Roman"/>
          <w:color w:val="232323"/>
          <w:w w:val="105"/>
          <w:sz w:val="23"/>
        </w:rPr>
        <w:t>and</w:t>
      </w:r>
      <w:r>
        <w:rPr>
          <w:rFonts w:ascii="Times New Roman"/>
          <w:color w:val="232323"/>
          <w:spacing w:val="-16"/>
          <w:w w:val="105"/>
          <w:sz w:val="23"/>
        </w:rPr>
        <w:t> </w:t>
      </w:r>
      <w:r>
        <w:rPr>
          <w:rFonts w:ascii="Times New Roman"/>
          <w:color w:val="383838"/>
          <w:w w:val="105"/>
          <w:sz w:val="23"/>
        </w:rPr>
        <w:t>services</w:t>
      </w:r>
      <w:r>
        <w:rPr>
          <w:rFonts w:ascii="Times New Roman"/>
          <w:color w:val="383838"/>
          <w:spacing w:val="-8"/>
          <w:w w:val="105"/>
          <w:sz w:val="23"/>
        </w:rPr>
        <w:t> </w:t>
      </w:r>
      <w:r>
        <w:rPr>
          <w:rFonts w:ascii="Times New Roman"/>
          <w:color w:val="232323"/>
          <w:w w:val="105"/>
          <w:sz w:val="23"/>
        </w:rPr>
        <w:t>administered by the Department of Transportation.</w:t>
      </w:r>
    </w:p>
    <w:p>
      <w:pPr>
        <w:spacing w:after="0" w:line="252" w:lineRule="auto"/>
        <w:jc w:val="both"/>
        <w:rPr>
          <w:rFonts w:ascii="Times New Roman"/>
          <w:sz w:val="23"/>
        </w:rPr>
        <w:sectPr>
          <w:footerReference w:type="default" r:id="rId55"/>
          <w:pgSz w:w="12240" w:h="15840"/>
          <w:pgMar w:footer="0" w:header="0" w:top="0" w:bottom="0" w:left="600" w:right="500"/>
        </w:sectPr>
      </w:pPr>
    </w:p>
    <w:p>
      <w:pPr>
        <w:pStyle w:val="BodyText"/>
        <w:rPr>
          <w:rFonts w:ascii="Times New Roman"/>
          <w:sz w:val="26"/>
        </w:rPr>
      </w:pPr>
      <w:r>
        <w:rPr/>
        <mc:AlternateContent>
          <mc:Choice Requires="wps">
            <w:drawing>
              <wp:anchor distT="0" distB="0" distL="0" distR="0" allowOverlap="1" layoutInCell="1" locked="0" behindDoc="0" simplePos="0" relativeHeight="15740416">
                <wp:simplePos x="0" y="0"/>
                <wp:positionH relativeFrom="page">
                  <wp:posOffset>7736146</wp:posOffset>
                </wp:positionH>
                <wp:positionV relativeFrom="page">
                  <wp:posOffset>0</wp:posOffset>
                </wp:positionV>
                <wp:extent cx="18415" cy="9989820"/>
                <wp:effectExtent l="0" t="0" r="0" b="0"/>
                <wp:wrapNone/>
                <wp:docPr id="105" name="Graphic 105"/>
                <wp:cNvGraphicFramePr>
                  <a:graphicFrameLocks/>
                </wp:cNvGraphicFramePr>
                <a:graphic>
                  <a:graphicData uri="http://schemas.microsoft.com/office/word/2010/wordprocessingShape">
                    <wps:wsp>
                      <wps:cNvPr id="105" name="Graphic 105"/>
                      <wps:cNvSpPr/>
                      <wps:spPr>
                        <a:xfrm>
                          <a:off x="0" y="0"/>
                          <a:ext cx="18415" cy="9989820"/>
                        </a:xfrm>
                        <a:custGeom>
                          <a:avLst/>
                          <a:gdLst/>
                          <a:ahLst/>
                          <a:cxnLst/>
                          <a:rect l="l" t="t" r="r" b="b"/>
                          <a:pathLst>
                            <a:path w="18415" h="9989820">
                              <a:moveTo>
                                <a:pt x="0" y="0"/>
                              </a:moveTo>
                              <a:lnTo>
                                <a:pt x="18321" y="0"/>
                              </a:lnTo>
                              <a:lnTo>
                                <a:pt x="18321" y="9989658"/>
                              </a:lnTo>
                              <a:lnTo>
                                <a:pt x="0" y="998965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09.145386pt;margin-top:.000035pt;width:1.442618pt;height:786.587292pt;mso-position-horizontal-relative:page;mso-position-vertical-relative:page;z-index:15740416" id="docshape89" filled="true" fillcolor="#000000" stroked="false">
                <v:fill type="solid"/>
                <w10:wrap type="none"/>
              </v:rect>
            </w:pict>
          </mc:Fallback>
        </mc:AlternateContent>
      </w:r>
    </w:p>
    <w:p>
      <w:pPr>
        <w:pStyle w:val="BodyText"/>
        <w:rPr>
          <w:rFonts w:ascii="Times New Roman"/>
          <w:sz w:val="26"/>
        </w:rPr>
      </w:pPr>
    </w:p>
    <w:p>
      <w:pPr>
        <w:pStyle w:val="BodyText"/>
        <w:spacing w:before="6"/>
        <w:rPr>
          <w:rFonts w:ascii="Times New Roman"/>
          <w:sz w:val="20"/>
        </w:rPr>
      </w:pPr>
    </w:p>
    <w:p>
      <w:pPr>
        <w:spacing w:line="249" w:lineRule="auto" w:before="0"/>
        <w:ind w:left="694" w:right="0" w:hanging="1"/>
        <w:jc w:val="left"/>
        <w:rPr>
          <w:rFonts w:ascii="Times New Roman"/>
          <w:sz w:val="23"/>
        </w:rPr>
      </w:pPr>
      <w:r>
        <w:rPr/>
        <mc:AlternateContent>
          <mc:Choice Requires="wps">
            <w:drawing>
              <wp:anchor distT="0" distB="0" distL="0" distR="0" allowOverlap="1" layoutInCell="1" locked="0" behindDoc="1" simplePos="0" relativeHeight="478358016">
                <wp:simplePos x="0" y="0"/>
                <wp:positionH relativeFrom="page">
                  <wp:posOffset>1035684</wp:posOffset>
                </wp:positionH>
                <wp:positionV relativeFrom="paragraph">
                  <wp:posOffset>-14878</wp:posOffset>
                </wp:positionV>
                <wp:extent cx="2446020"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2446020" cy="1270"/>
                        </a:xfrm>
                        <a:custGeom>
                          <a:avLst/>
                          <a:gdLst/>
                          <a:ahLst/>
                          <a:cxnLst/>
                          <a:rect l="l" t="t" r="r" b="b"/>
                          <a:pathLst>
                            <a:path w="2446020" h="0">
                              <a:moveTo>
                                <a:pt x="0" y="0"/>
                              </a:moveTo>
                              <a:lnTo>
                                <a:pt x="2445886" y="0"/>
                              </a:lnTo>
                            </a:path>
                          </a:pathLst>
                        </a:custGeom>
                        <a:ln w="12729">
                          <a:solidFill>
                            <a:srgbClr val="465DBA"/>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958464" from="81.549988pt,-1.171571pt" to="274.139469pt,-1.171571pt" stroked="true" strokeweight="1.002353pt" strokecolor="#465dba">
                <v:stroke dashstyle="solid"/>
                <w10:wrap type="none"/>
              </v:line>
            </w:pict>
          </mc:Fallback>
        </mc:AlternateContent>
      </w:r>
      <w:r>
        <w:rPr>
          <w:rFonts w:ascii="Times New Roman"/>
          <w:color w:val="232323"/>
          <w:w w:val="105"/>
          <w:sz w:val="23"/>
        </w:rPr>
        <w:t>Bruce A. Van Note, </w:t>
      </w:r>
      <w:r>
        <w:rPr>
          <w:rFonts w:ascii="Times New Roman"/>
          <w:color w:val="383838"/>
          <w:w w:val="105"/>
          <w:sz w:val="23"/>
        </w:rPr>
        <w:t>Commissioner </w:t>
      </w:r>
      <w:r>
        <w:rPr>
          <w:rFonts w:ascii="Times New Roman"/>
          <w:color w:val="232323"/>
          <w:w w:val="105"/>
          <w:sz w:val="23"/>
        </w:rPr>
        <w:t>Maine</w:t>
      </w:r>
      <w:r>
        <w:rPr>
          <w:rFonts w:ascii="Times New Roman"/>
          <w:color w:val="232323"/>
          <w:spacing w:val="-16"/>
          <w:w w:val="105"/>
          <w:sz w:val="23"/>
        </w:rPr>
        <w:t> </w:t>
      </w:r>
      <w:r>
        <w:rPr>
          <w:rFonts w:ascii="Times New Roman"/>
          <w:color w:val="232323"/>
          <w:w w:val="105"/>
          <w:sz w:val="23"/>
        </w:rPr>
        <w:t>Depaitment</w:t>
      </w:r>
      <w:r>
        <w:rPr>
          <w:rFonts w:ascii="Times New Roman"/>
          <w:color w:val="232323"/>
          <w:spacing w:val="-12"/>
          <w:w w:val="105"/>
          <w:sz w:val="23"/>
        </w:rPr>
        <w:t> </w:t>
      </w:r>
      <w:r>
        <w:rPr>
          <w:rFonts w:ascii="Times New Roman"/>
          <w:color w:val="232323"/>
          <w:w w:val="105"/>
          <w:sz w:val="23"/>
        </w:rPr>
        <w:t>of</w:t>
      </w:r>
      <w:r>
        <w:rPr>
          <w:rFonts w:ascii="Times New Roman"/>
          <w:color w:val="232323"/>
          <w:spacing w:val="-15"/>
          <w:w w:val="105"/>
          <w:sz w:val="23"/>
        </w:rPr>
        <w:t> </w:t>
      </w:r>
      <w:r>
        <w:rPr>
          <w:rFonts w:ascii="Times New Roman"/>
          <w:color w:val="232323"/>
          <w:w w:val="105"/>
          <w:sz w:val="23"/>
        </w:rPr>
        <w:t>Transportation</w:t>
      </w:r>
    </w:p>
    <w:p>
      <w:pPr>
        <w:tabs>
          <w:tab w:pos="2236" w:val="left" w:leader="none"/>
        </w:tabs>
        <w:spacing w:before="89"/>
        <w:ind w:left="694" w:right="0" w:firstLine="0"/>
        <w:jc w:val="left"/>
        <w:rPr>
          <w:rFonts w:ascii="Times New Roman"/>
          <w:b/>
          <w:i/>
          <w:sz w:val="68"/>
        </w:rPr>
      </w:pPr>
      <w:r>
        <w:rPr/>
        <w:br w:type="column"/>
      </w:r>
      <w:r>
        <w:rPr>
          <w:rFonts w:ascii="Times New Roman"/>
          <w:color w:val="232323"/>
          <w:spacing w:val="-2"/>
          <w:sz w:val="23"/>
        </w:rPr>
        <w:t>Dated:</w:t>
      </w:r>
      <w:r>
        <w:rPr>
          <w:rFonts w:ascii="Times New Roman"/>
          <w:color w:val="232323"/>
          <w:sz w:val="23"/>
        </w:rPr>
        <w:tab/>
      </w:r>
      <w:r>
        <w:rPr>
          <w:rFonts w:ascii="Times New Roman"/>
          <w:b/>
          <w:i/>
          <w:color w:val="465DBA"/>
          <w:spacing w:val="-2"/>
          <w:w w:val="90"/>
          <w:sz w:val="68"/>
          <w:u w:val="thick" w:color="465DBA"/>
        </w:rPr>
        <w:t>qj.,/4,</w:t>
      </w:r>
    </w:p>
    <w:p>
      <w:pPr>
        <w:pStyle w:val="BodyText"/>
        <w:spacing w:before="10"/>
        <w:rPr>
          <w:rFonts w:ascii="Times New Roman"/>
          <w:b/>
          <w:i/>
          <w:sz w:val="2"/>
        </w:rPr>
      </w:pPr>
    </w:p>
    <w:p>
      <w:pPr>
        <w:pStyle w:val="BodyText"/>
        <w:spacing w:line="20" w:lineRule="exact"/>
        <w:ind w:left="2398"/>
        <w:rPr>
          <w:rFonts w:ascii="Times New Roman"/>
          <w:sz w:val="2"/>
        </w:rPr>
      </w:pPr>
      <w:r>
        <w:rPr>
          <w:rFonts w:ascii="Times New Roman"/>
          <w:sz w:val="2"/>
        </w:rPr>
        <mc:AlternateContent>
          <mc:Choice Requires="wps">
            <w:drawing>
              <wp:inline distT="0" distB="0" distL="0" distR="0">
                <wp:extent cx="50800" cy="13335"/>
                <wp:effectExtent l="9525" t="0" r="0" b="5714"/>
                <wp:docPr id="107" name="Group 107"/>
                <wp:cNvGraphicFramePr>
                  <a:graphicFrameLocks/>
                </wp:cNvGraphicFramePr>
                <a:graphic>
                  <a:graphicData uri="http://schemas.microsoft.com/office/word/2010/wordprocessingGroup">
                    <wpg:wgp>
                      <wpg:cNvPr id="107" name="Group 107"/>
                      <wpg:cNvGrpSpPr/>
                      <wpg:grpSpPr>
                        <a:xfrm>
                          <a:off x="0" y="0"/>
                          <a:ext cx="50800" cy="13335"/>
                          <a:chExt cx="50800" cy="13335"/>
                        </a:xfrm>
                      </wpg:grpSpPr>
                      <wps:wsp>
                        <wps:cNvPr id="108" name="Graphic 108"/>
                        <wps:cNvSpPr/>
                        <wps:spPr>
                          <a:xfrm>
                            <a:off x="0" y="6364"/>
                            <a:ext cx="50800" cy="1270"/>
                          </a:xfrm>
                          <a:custGeom>
                            <a:avLst/>
                            <a:gdLst/>
                            <a:ahLst/>
                            <a:cxnLst/>
                            <a:rect l="l" t="t" r="r" b="b"/>
                            <a:pathLst>
                              <a:path w="50800" h="0">
                                <a:moveTo>
                                  <a:pt x="0" y="0"/>
                                </a:moveTo>
                                <a:lnTo>
                                  <a:pt x="50383" y="0"/>
                                </a:lnTo>
                              </a:path>
                            </a:pathLst>
                          </a:custGeom>
                          <a:ln w="12729">
                            <a:solidFill>
                              <a:srgbClr val="465DBA"/>
                            </a:solidFill>
                            <a:prstDash val="solid"/>
                          </a:ln>
                        </wps:spPr>
                        <wps:bodyPr wrap="square" lIns="0" tIns="0" rIns="0" bIns="0" rtlCol="0">
                          <a:prstTxWarp prst="textNoShape">
                            <a:avLst/>
                          </a:prstTxWarp>
                          <a:noAutofit/>
                        </wps:bodyPr>
                      </wps:wsp>
                    </wpg:wgp>
                  </a:graphicData>
                </a:graphic>
              </wp:inline>
            </w:drawing>
          </mc:Choice>
          <mc:Fallback>
            <w:pict>
              <v:group style="width:4pt;height:1.05pt;mso-position-horizontal-relative:char;mso-position-vertical-relative:line" id="docshapegroup90" coordorigin="0,0" coordsize="80,21">
                <v:line style="position:absolute" from="0,10" to="79,10" stroked="true" strokeweight="1.002353pt" strokecolor="#465dba">
                  <v:stroke dashstyle="solid"/>
                </v:line>
              </v:group>
            </w:pict>
          </mc:Fallback>
        </mc:AlternateContent>
      </w:r>
      <w:r>
        <w:rPr>
          <w:rFonts w:ascii="Times New Roman"/>
          <w:sz w:val="2"/>
        </w:rPr>
      </w:r>
    </w:p>
    <w:p>
      <w:pPr>
        <w:spacing w:after="0" w:line="20" w:lineRule="exact"/>
        <w:rPr>
          <w:rFonts w:ascii="Times New Roman"/>
          <w:sz w:val="2"/>
        </w:rPr>
        <w:sectPr>
          <w:type w:val="continuous"/>
          <w:pgSz w:w="12240" w:h="15840"/>
          <w:pgMar w:header="0" w:footer="0" w:top="1820" w:bottom="280" w:left="600" w:right="500"/>
          <w:cols w:num="2" w:equalWidth="0">
            <w:col w:w="4277" w:space="772"/>
            <w:col w:w="6091"/>
          </w:cols>
        </w:sect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rPr>
          <w:rFonts w:ascii="Times New Roman"/>
          <w:b/>
          <w:i/>
          <w:sz w:val="20"/>
        </w:rPr>
      </w:pPr>
    </w:p>
    <w:p>
      <w:pPr>
        <w:pStyle w:val="BodyText"/>
        <w:spacing w:before="4"/>
        <w:rPr>
          <w:rFonts w:ascii="Times New Roman"/>
          <w:b/>
          <w:i/>
          <w:sz w:val="27"/>
        </w:rPr>
      </w:pPr>
    </w:p>
    <w:p>
      <w:pPr>
        <w:pStyle w:val="Heading6"/>
        <w:jc w:val="left"/>
      </w:pPr>
      <w:r>
        <w:rPr>
          <w:color w:val="424242"/>
        </w:rPr>
        <w:t>FEDERAL</w:t>
      </w:r>
      <w:r>
        <w:rPr>
          <w:color w:val="424242"/>
          <w:spacing w:val="40"/>
        </w:rPr>
        <w:t> </w:t>
      </w:r>
      <w:r>
        <w:rPr>
          <w:color w:val="424242"/>
          <w:u w:val="thick" w:color="424242"/>
        </w:rPr>
        <w:t>TRANSIT</w:t>
      </w:r>
      <w:r>
        <w:rPr>
          <w:color w:val="424242"/>
          <w:spacing w:val="72"/>
          <w:u w:val="thick" w:color="424242"/>
        </w:rPr>
        <w:t> </w:t>
      </w:r>
      <w:r>
        <w:rPr>
          <w:color w:val="424242"/>
          <w:u w:val="thick" w:color="424242"/>
        </w:rPr>
        <w:t>ADMINISTRATION</w:t>
      </w:r>
      <w:r>
        <w:rPr>
          <w:color w:val="424242"/>
          <w:spacing w:val="16"/>
          <w:u w:val="thick" w:color="424242"/>
        </w:rPr>
        <w:t> </w:t>
      </w:r>
      <w:r>
        <w:rPr>
          <w:color w:val="424242"/>
          <w:u w:val="thick" w:color="424242"/>
        </w:rPr>
        <w:t>CIVIL</w:t>
      </w:r>
      <w:r>
        <w:rPr>
          <w:color w:val="424242"/>
          <w:spacing w:val="36"/>
          <w:u w:val="thick" w:color="424242"/>
        </w:rPr>
        <w:t> </w:t>
      </w:r>
      <w:r>
        <w:rPr>
          <w:color w:val="424242"/>
          <w:u w:val="thick" w:color="424242"/>
        </w:rPr>
        <w:t>RIGHTS</w:t>
      </w:r>
      <w:r>
        <w:rPr>
          <w:color w:val="424242"/>
          <w:spacing w:val="57"/>
          <w:u w:val="thick" w:color="424242"/>
        </w:rPr>
        <w:t> </w:t>
      </w:r>
      <w:r>
        <w:rPr>
          <w:color w:val="424242"/>
          <w:spacing w:val="-2"/>
          <w:u w:val="thick" w:color="424242"/>
        </w:rPr>
        <w:t>ASSURANCE</w:t>
      </w:r>
    </w:p>
    <w:p>
      <w:pPr>
        <w:pStyle w:val="BodyText"/>
        <w:rPr>
          <w:rFonts w:ascii="Times New Roman"/>
          <w:b/>
          <w:sz w:val="20"/>
        </w:rPr>
      </w:pPr>
    </w:p>
    <w:p>
      <w:pPr>
        <w:pStyle w:val="BodyText"/>
        <w:spacing w:before="2"/>
        <w:rPr>
          <w:rFonts w:ascii="Times New Roman"/>
          <w:b/>
          <w:sz w:val="21"/>
        </w:rPr>
      </w:pPr>
    </w:p>
    <w:p>
      <w:pPr>
        <w:spacing w:line="268" w:lineRule="auto" w:before="91"/>
        <w:ind w:left="740" w:right="1429" w:firstLine="1"/>
        <w:jc w:val="both"/>
        <w:rPr>
          <w:rFonts w:ascii="Times New Roman"/>
          <w:sz w:val="23"/>
        </w:rPr>
      </w:pPr>
      <w:r>
        <w:rPr>
          <w:rFonts w:ascii="Times New Roman"/>
          <w:color w:val="2A2A2A"/>
          <w:w w:val="105"/>
          <w:sz w:val="23"/>
        </w:rPr>
        <w:t>The</w:t>
      </w:r>
      <w:r>
        <w:rPr>
          <w:rFonts w:ascii="Times New Roman"/>
          <w:color w:val="2A2A2A"/>
          <w:spacing w:val="-16"/>
          <w:w w:val="105"/>
          <w:sz w:val="23"/>
        </w:rPr>
        <w:t> </w:t>
      </w:r>
      <w:r>
        <w:rPr>
          <w:rFonts w:ascii="Times New Roman"/>
          <w:b/>
          <w:color w:val="424242"/>
          <w:w w:val="105"/>
          <w:sz w:val="23"/>
          <w:u w:val="thick" w:color="2A2A2A"/>
        </w:rPr>
        <w:t>Maine</w:t>
      </w:r>
      <w:r>
        <w:rPr>
          <w:rFonts w:ascii="Times New Roman"/>
          <w:b/>
          <w:color w:val="424242"/>
          <w:spacing w:val="-5"/>
          <w:w w:val="105"/>
          <w:sz w:val="23"/>
          <w:u w:val="thick" w:color="2A2A2A"/>
        </w:rPr>
        <w:t> </w:t>
      </w:r>
      <w:r>
        <w:rPr>
          <w:rFonts w:ascii="Times New Roman"/>
          <w:b/>
          <w:color w:val="2A2A2A"/>
          <w:w w:val="105"/>
          <w:sz w:val="23"/>
          <w:u w:val="thick" w:color="2A2A2A"/>
        </w:rPr>
        <w:t>Department of</w:t>
      </w:r>
      <w:r>
        <w:rPr>
          <w:rFonts w:ascii="Times New Roman"/>
          <w:b/>
          <w:color w:val="2A2A2A"/>
          <w:spacing w:val="-16"/>
          <w:w w:val="105"/>
          <w:sz w:val="23"/>
          <w:u w:val="thick" w:color="2A2A2A"/>
        </w:rPr>
        <w:t> </w:t>
      </w:r>
      <w:r>
        <w:rPr>
          <w:rFonts w:ascii="Times New Roman"/>
          <w:b/>
          <w:color w:val="2A2A2A"/>
          <w:w w:val="105"/>
          <w:sz w:val="23"/>
          <w:u w:val="thick" w:color="2A2A2A"/>
        </w:rPr>
        <w:t>Transportation</w:t>
      </w:r>
      <w:r>
        <w:rPr>
          <w:rFonts w:ascii="Times New Roman"/>
          <w:b/>
          <w:color w:val="2A2A2A"/>
          <w:spacing w:val="-15"/>
          <w:w w:val="105"/>
          <w:sz w:val="23"/>
        </w:rPr>
        <w:t> </w:t>
      </w:r>
      <w:r>
        <w:rPr>
          <w:rFonts w:ascii="Times New Roman"/>
          <w:color w:val="2A2A2A"/>
          <w:w w:val="105"/>
          <w:sz w:val="23"/>
        </w:rPr>
        <w:t>HEREBY</w:t>
      </w:r>
      <w:r>
        <w:rPr>
          <w:rFonts w:ascii="Times New Roman"/>
          <w:color w:val="2A2A2A"/>
          <w:spacing w:val="-9"/>
          <w:w w:val="105"/>
          <w:sz w:val="23"/>
        </w:rPr>
        <w:t> </w:t>
      </w:r>
      <w:r>
        <w:rPr>
          <w:rFonts w:ascii="Times New Roman"/>
          <w:color w:val="2A2A2A"/>
          <w:w w:val="105"/>
          <w:sz w:val="23"/>
        </w:rPr>
        <w:t>CERTIFIES</w:t>
      </w:r>
      <w:r>
        <w:rPr>
          <w:rFonts w:ascii="Times New Roman"/>
          <w:color w:val="2A2A2A"/>
          <w:spacing w:val="-7"/>
          <w:w w:val="105"/>
          <w:sz w:val="23"/>
        </w:rPr>
        <w:t> </w:t>
      </w:r>
      <w:r>
        <w:rPr>
          <w:rFonts w:ascii="Times New Roman"/>
          <w:color w:val="2A2A2A"/>
          <w:w w:val="105"/>
          <w:sz w:val="23"/>
        </w:rPr>
        <w:t>THAT,</w:t>
      </w:r>
      <w:r>
        <w:rPr>
          <w:rFonts w:ascii="Times New Roman"/>
          <w:color w:val="2A2A2A"/>
          <w:spacing w:val="-11"/>
          <w:w w:val="105"/>
          <w:sz w:val="23"/>
        </w:rPr>
        <w:t> </w:t>
      </w:r>
      <w:r>
        <w:rPr>
          <w:rFonts w:ascii="Times New Roman"/>
          <w:color w:val="2A2A2A"/>
          <w:w w:val="105"/>
          <w:sz w:val="23"/>
        </w:rPr>
        <w:t>as</w:t>
      </w:r>
      <w:r>
        <w:rPr>
          <w:rFonts w:ascii="Times New Roman"/>
          <w:color w:val="2A2A2A"/>
          <w:spacing w:val="-11"/>
          <w:w w:val="105"/>
          <w:sz w:val="23"/>
        </w:rPr>
        <w:t> </w:t>
      </w:r>
      <w:r>
        <w:rPr>
          <w:rFonts w:ascii="Times New Roman"/>
          <w:color w:val="424242"/>
          <w:w w:val="105"/>
          <w:sz w:val="23"/>
        </w:rPr>
        <w:t>a</w:t>
      </w:r>
      <w:r>
        <w:rPr>
          <w:rFonts w:ascii="Times New Roman"/>
          <w:color w:val="424242"/>
          <w:spacing w:val="-4"/>
          <w:w w:val="105"/>
          <w:sz w:val="23"/>
        </w:rPr>
        <w:t> </w:t>
      </w:r>
      <w:r>
        <w:rPr>
          <w:rFonts w:ascii="Times New Roman"/>
          <w:color w:val="2A2A2A"/>
          <w:w w:val="105"/>
          <w:sz w:val="23"/>
        </w:rPr>
        <w:t>condition of </w:t>
      </w:r>
      <w:r>
        <w:rPr>
          <w:rFonts w:ascii="Times New Roman"/>
          <w:color w:val="181818"/>
          <w:w w:val="105"/>
          <w:sz w:val="23"/>
        </w:rPr>
        <w:t>re</w:t>
      </w:r>
      <w:r>
        <w:rPr>
          <w:rFonts w:ascii="Times New Roman"/>
          <w:color w:val="424242"/>
          <w:w w:val="105"/>
          <w:sz w:val="23"/>
        </w:rPr>
        <w:t>ceivi</w:t>
      </w:r>
      <w:r>
        <w:rPr>
          <w:rFonts w:ascii="Times New Roman"/>
          <w:color w:val="181818"/>
          <w:w w:val="105"/>
          <w:sz w:val="23"/>
        </w:rPr>
        <w:t>ng </w:t>
      </w:r>
      <w:r>
        <w:rPr>
          <w:rFonts w:ascii="Times New Roman"/>
          <w:color w:val="2A2A2A"/>
          <w:w w:val="105"/>
          <w:sz w:val="23"/>
        </w:rPr>
        <w:t>Federal</w:t>
      </w:r>
      <w:r>
        <w:rPr>
          <w:rFonts w:ascii="Times New Roman"/>
          <w:color w:val="2A2A2A"/>
          <w:spacing w:val="-7"/>
          <w:w w:val="105"/>
          <w:sz w:val="23"/>
        </w:rPr>
        <w:t> </w:t>
      </w:r>
      <w:r>
        <w:rPr>
          <w:rFonts w:ascii="Times New Roman"/>
          <w:color w:val="2A2A2A"/>
          <w:w w:val="105"/>
          <w:sz w:val="23"/>
        </w:rPr>
        <w:t>financial assistance under</w:t>
      </w:r>
      <w:r>
        <w:rPr>
          <w:rFonts w:ascii="Times New Roman"/>
          <w:color w:val="2A2A2A"/>
          <w:spacing w:val="-2"/>
          <w:w w:val="105"/>
          <w:sz w:val="23"/>
        </w:rPr>
        <w:t> </w:t>
      </w:r>
      <w:r>
        <w:rPr>
          <w:rFonts w:ascii="Times New Roman"/>
          <w:color w:val="181818"/>
          <w:w w:val="105"/>
          <w:sz w:val="23"/>
        </w:rPr>
        <w:t>th</w:t>
      </w:r>
      <w:r>
        <w:rPr>
          <w:rFonts w:ascii="Times New Roman"/>
          <w:color w:val="424242"/>
          <w:w w:val="105"/>
          <w:sz w:val="23"/>
        </w:rPr>
        <w:t>e</w:t>
      </w:r>
      <w:r>
        <w:rPr>
          <w:rFonts w:ascii="Times New Roman"/>
          <w:color w:val="424242"/>
          <w:spacing w:val="-5"/>
          <w:w w:val="105"/>
          <w:sz w:val="23"/>
        </w:rPr>
        <w:t> </w:t>
      </w:r>
      <w:r>
        <w:rPr>
          <w:rFonts w:ascii="Times New Roman"/>
          <w:color w:val="2A2A2A"/>
          <w:w w:val="105"/>
          <w:sz w:val="23"/>
        </w:rPr>
        <w:t>Civil Rights Act</w:t>
      </w:r>
      <w:r>
        <w:rPr>
          <w:rFonts w:ascii="Times New Roman"/>
          <w:color w:val="2A2A2A"/>
          <w:spacing w:val="-14"/>
          <w:w w:val="105"/>
          <w:sz w:val="23"/>
        </w:rPr>
        <w:t> </w:t>
      </w:r>
      <w:r>
        <w:rPr>
          <w:rFonts w:ascii="Times New Roman"/>
          <w:color w:val="2A2A2A"/>
          <w:w w:val="105"/>
          <w:sz w:val="23"/>
        </w:rPr>
        <w:t>of</w:t>
      </w:r>
      <w:r>
        <w:rPr>
          <w:rFonts w:ascii="Times New Roman"/>
          <w:color w:val="2A2A2A"/>
          <w:spacing w:val="-10"/>
          <w:w w:val="105"/>
          <w:sz w:val="23"/>
        </w:rPr>
        <w:t> </w:t>
      </w:r>
      <w:r>
        <w:rPr>
          <w:rFonts w:ascii="Times New Roman"/>
          <w:color w:val="2A2A2A"/>
          <w:w w:val="105"/>
          <w:sz w:val="23"/>
        </w:rPr>
        <w:t>1964,</w:t>
      </w:r>
      <w:r>
        <w:rPr>
          <w:rFonts w:ascii="Times New Roman"/>
          <w:color w:val="2A2A2A"/>
          <w:spacing w:val="-10"/>
          <w:w w:val="105"/>
          <w:sz w:val="23"/>
        </w:rPr>
        <w:t> </w:t>
      </w:r>
      <w:r>
        <w:rPr>
          <w:rFonts w:ascii="Times New Roman"/>
          <w:color w:val="2A2A2A"/>
          <w:w w:val="105"/>
          <w:sz w:val="23"/>
        </w:rPr>
        <w:t>as</w:t>
      </w:r>
      <w:r>
        <w:rPr>
          <w:rFonts w:ascii="Times New Roman"/>
          <w:color w:val="2A2A2A"/>
          <w:spacing w:val="-12"/>
          <w:w w:val="105"/>
          <w:sz w:val="23"/>
        </w:rPr>
        <w:t> </w:t>
      </w:r>
      <w:r>
        <w:rPr>
          <w:rFonts w:ascii="Times New Roman"/>
          <w:color w:val="2A2A2A"/>
          <w:w w:val="105"/>
          <w:sz w:val="23"/>
        </w:rPr>
        <w:t>amended</w:t>
      </w:r>
      <w:r>
        <w:rPr>
          <w:rFonts w:ascii="Times New Roman"/>
          <w:color w:val="5D5D5D"/>
          <w:w w:val="105"/>
          <w:sz w:val="23"/>
        </w:rPr>
        <w:t>,</w:t>
      </w:r>
      <w:r>
        <w:rPr>
          <w:rFonts w:ascii="Times New Roman"/>
          <w:color w:val="5D5D5D"/>
          <w:spacing w:val="-3"/>
          <w:w w:val="105"/>
          <w:sz w:val="23"/>
        </w:rPr>
        <w:t> </w:t>
      </w:r>
      <w:r>
        <w:rPr>
          <w:rFonts w:ascii="Times New Roman"/>
          <w:color w:val="181818"/>
          <w:w w:val="105"/>
          <w:sz w:val="23"/>
        </w:rPr>
        <w:t>it</w:t>
      </w:r>
      <w:r>
        <w:rPr>
          <w:rFonts w:ascii="Times New Roman"/>
          <w:color w:val="181818"/>
          <w:spacing w:val="-4"/>
          <w:w w:val="105"/>
          <w:sz w:val="23"/>
        </w:rPr>
        <w:t> </w:t>
      </w:r>
      <w:r>
        <w:rPr>
          <w:rFonts w:ascii="Times New Roman"/>
          <w:color w:val="424242"/>
          <w:w w:val="105"/>
          <w:sz w:val="23"/>
        </w:rPr>
        <w:t>wi</w:t>
      </w:r>
      <w:r>
        <w:rPr>
          <w:rFonts w:ascii="Times New Roman"/>
          <w:color w:val="181818"/>
          <w:w w:val="105"/>
          <w:sz w:val="23"/>
        </w:rPr>
        <w:t>ll </w:t>
      </w:r>
      <w:r>
        <w:rPr>
          <w:rFonts w:ascii="Times New Roman"/>
          <w:color w:val="2A2A2A"/>
          <w:w w:val="105"/>
          <w:sz w:val="23"/>
        </w:rPr>
        <w:t>ensure that:</w:t>
      </w:r>
    </w:p>
    <w:p>
      <w:pPr>
        <w:pStyle w:val="ListParagraph"/>
        <w:numPr>
          <w:ilvl w:val="1"/>
          <w:numId w:val="25"/>
        </w:numPr>
        <w:tabs>
          <w:tab w:pos="1464" w:val="left" w:leader="none"/>
          <w:tab w:pos="1470" w:val="left" w:leader="none"/>
        </w:tabs>
        <w:spacing w:line="254" w:lineRule="auto" w:before="223" w:after="0"/>
        <w:ind w:left="1470" w:right="1043" w:hanging="350"/>
        <w:jc w:val="left"/>
        <w:rPr>
          <w:rFonts w:ascii="Arial"/>
          <w:b/>
          <w:color w:val="181818"/>
          <w:sz w:val="22"/>
        </w:rPr>
      </w:pPr>
      <w:r>
        <w:rPr>
          <w:rFonts w:ascii="Times New Roman"/>
          <w:color w:val="2A2A2A"/>
          <w:w w:val="105"/>
          <w:sz w:val="23"/>
        </w:rPr>
        <w:t>No</w:t>
      </w:r>
      <w:r>
        <w:rPr>
          <w:rFonts w:ascii="Times New Roman"/>
          <w:color w:val="2A2A2A"/>
          <w:spacing w:val="-12"/>
          <w:w w:val="105"/>
          <w:sz w:val="23"/>
        </w:rPr>
        <w:t> </w:t>
      </w:r>
      <w:r>
        <w:rPr>
          <w:rFonts w:ascii="Times New Roman"/>
          <w:color w:val="2A2A2A"/>
          <w:w w:val="105"/>
          <w:sz w:val="23"/>
        </w:rPr>
        <w:t>person</w:t>
      </w:r>
      <w:r>
        <w:rPr>
          <w:rFonts w:ascii="Times New Roman"/>
          <w:color w:val="2A2A2A"/>
          <w:spacing w:val="-14"/>
          <w:w w:val="105"/>
          <w:sz w:val="23"/>
        </w:rPr>
        <w:t> </w:t>
      </w:r>
      <w:r>
        <w:rPr>
          <w:rFonts w:ascii="Times New Roman"/>
          <w:color w:val="2A2A2A"/>
          <w:w w:val="105"/>
          <w:sz w:val="23"/>
        </w:rPr>
        <w:t>on</w:t>
      </w:r>
      <w:r>
        <w:rPr>
          <w:rFonts w:ascii="Times New Roman"/>
          <w:color w:val="2A2A2A"/>
          <w:spacing w:val="-8"/>
          <w:w w:val="105"/>
          <w:sz w:val="23"/>
        </w:rPr>
        <w:t> </w:t>
      </w:r>
      <w:r>
        <w:rPr>
          <w:rFonts w:ascii="Times New Roman"/>
          <w:color w:val="181818"/>
          <w:w w:val="105"/>
          <w:sz w:val="23"/>
        </w:rPr>
        <w:t>th</w:t>
      </w:r>
      <w:r>
        <w:rPr>
          <w:rFonts w:ascii="Times New Roman"/>
          <w:color w:val="424242"/>
          <w:w w:val="105"/>
          <w:sz w:val="23"/>
        </w:rPr>
        <w:t>e</w:t>
      </w:r>
      <w:r>
        <w:rPr>
          <w:rFonts w:ascii="Times New Roman"/>
          <w:color w:val="424242"/>
          <w:spacing w:val="-6"/>
          <w:w w:val="105"/>
          <w:sz w:val="23"/>
        </w:rPr>
        <w:t> </w:t>
      </w:r>
      <w:r>
        <w:rPr>
          <w:rFonts w:ascii="Times New Roman"/>
          <w:color w:val="2A2A2A"/>
          <w:w w:val="105"/>
          <w:sz w:val="23"/>
        </w:rPr>
        <w:t>basis</w:t>
      </w:r>
      <w:r>
        <w:rPr>
          <w:rFonts w:ascii="Times New Roman"/>
          <w:color w:val="2A2A2A"/>
          <w:spacing w:val="-2"/>
          <w:w w:val="105"/>
          <w:sz w:val="23"/>
        </w:rPr>
        <w:t> </w:t>
      </w:r>
      <w:r>
        <w:rPr>
          <w:rFonts w:ascii="Times New Roman"/>
          <w:color w:val="2A2A2A"/>
          <w:w w:val="105"/>
          <w:sz w:val="23"/>
        </w:rPr>
        <w:t>of</w:t>
      </w:r>
      <w:r>
        <w:rPr>
          <w:rFonts w:ascii="Times New Roman"/>
          <w:color w:val="2A2A2A"/>
          <w:spacing w:val="-3"/>
          <w:w w:val="105"/>
          <w:sz w:val="23"/>
        </w:rPr>
        <w:t> </w:t>
      </w:r>
      <w:r>
        <w:rPr>
          <w:rFonts w:ascii="Times New Roman"/>
          <w:color w:val="2A2A2A"/>
          <w:w w:val="105"/>
          <w:sz w:val="23"/>
        </w:rPr>
        <w:t>race,</w:t>
      </w:r>
      <w:r>
        <w:rPr>
          <w:rFonts w:ascii="Times New Roman"/>
          <w:color w:val="2A2A2A"/>
          <w:spacing w:val="-7"/>
          <w:w w:val="105"/>
          <w:sz w:val="23"/>
        </w:rPr>
        <w:t> </w:t>
      </w:r>
      <w:r>
        <w:rPr>
          <w:rFonts w:ascii="Times New Roman"/>
          <w:color w:val="2A2A2A"/>
          <w:w w:val="105"/>
          <w:sz w:val="23"/>
        </w:rPr>
        <w:t>color</w:t>
      </w:r>
      <w:r>
        <w:rPr>
          <w:rFonts w:ascii="Times New Roman"/>
          <w:color w:val="2A2A2A"/>
          <w:spacing w:val="-8"/>
          <w:w w:val="105"/>
          <w:sz w:val="23"/>
        </w:rPr>
        <w:t> </w:t>
      </w:r>
      <w:r>
        <w:rPr>
          <w:rFonts w:ascii="Times New Roman"/>
          <w:color w:val="2A2A2A"/>
          <w:w w:val="105"/>
          <w:sz w:val="23"/>
        </w:rPr>
        <w:t>or</w:t>
      </w:r>
      <w:r>
        <w:rPr>
          <w:rFonts w:ascii="Times New Roman"/>
          <w:color w:val="2A2A2A"/>
          <w:spacing w:val="-2"/>
          <w:w w:val="105"/>
          <w:sz w:val="23"/>
        </w:rPr>
        <w:t> </w:t>
      </w:r>
      <w:r>
        <w:rPr>
          <w:rFonts w:ascii="Times New Roman"/>
          <w:color w:val="2A2A2A"/>
          <w:w w:val="105"/>
          <w:sz w:val="23"/>
        </w:rPr>
        <w:t>national</w:t>
      </w:r>
      <w:r>
        <w:rPr>
          <w:rFonts w:ascii="Times New Roman"/>
          <w:color w:val="2A2A2A"/>
          <w:spacing w:val="-6"/>
          <w:w w:val="105"/>
          <w:sz w:val="23"/>
        </w:rPr>
        <w:t> </w:t>
      </w:r>
      <w:r>
        <w:rPr>
          <w:rFonts w:ascii="Times New Roman"/>
          <w:color w:val="2A2A2A"/>
          <w:w w:val="105"/>
          <w:sz w:val="23"/>
        </w:rPr>
        <w:t>origin</w:t>
      </w:r>
      <w:r>
        <w:rPr>
          <w:rFonts w:ascii="Times New Roman"/>
          <w:color w:val="2A2A2A"/>
          <w:spacing w:val="-3"/>
          <w:w w:val="105"/>
          <w:sz w:val="23"/>
        </w:rPr>
        <w:t> </w:t>
      </w:r>
      <w:r>
        <w:rPr>
          <w:rFonts w:ascii="Times New Roman"/>
          <w:color w:val="2A2A2A"/>
          <w:w w:val="105"/>
          <w:sz w:val="23"/>
        </w:rPr>
        <w:t>will</w:t>
      </w:r>
      <w:r>
        <w:rPr>
          <w:rFonts w:ascii="Times New Roman"/>
          <w:color w:val="2A2A2A"/>
          <w:spacing w:val="-1"/>
          <w:w w:val="105"/>
          <w:sz w:val="23"/>
        </w:rPr>
        <w:t> </w:t>
      </w:r>
      <w:r>
        <w:rPr>
          <w:rFonts w:ascii="Times New Roman"/>
          <w:color w:val="181818"/>
          <w:w w:val="105"/>
          <w:sz w:val="23"/>
        </w:rPr>
        <w:t>be</w:t>
      </w:r>
      <w:r>
        <w:rPr>
          <w:rFonts w:ascii="Times New Roman"/>
          <w:color w:val="181818"/>
          <w:spacing w:val="-18"/>
          <w:w w:val="105"/>
          <w:sz w:val="23"/>
        </w:rPr>
        <w:t> </w:t>
      </w:r>
      <w:r>
        <w:rPr>
          <w:rFonts w:ascii="Times New Roman"/>
          <w:color w:val="2A2A2A"/>
          <w:w w:val="105"/>
          <w:sz w:val="23"/>
        </w:rPr>
        <w:t>subjected to</w:t>
      </w:r>
      <w:r>
        <w:rPr>
          <w:rFonts w:ascii="Times New Roman"/>
          <w:color w:val="2A2A2A"/>
          <w:spacing w:val="-14"/>
          <w:w w:val="105"/>
          <w:sz w:val="23"/>
        </w:rPr>
        <w:t> </w:t>
      </w:r>
      <w:r>
        <w:rPr>
          <w:rFonts w:ascii="Times New Roman"/>
          <w:color w:val="181818"/>
          <w:w w:val="105"/>
          <w:sz w:val="23"/>
        </w:rPr>
        <w:t>di</w:t>
      </w:r>
      <w:r>
        <w:rPr>
          <w:rFonts w:ascii="Times New Roman"/>
          <w:color w:val="424242"/>
          <w:w w:val="105"/>
          <w:sz w:val="23"/>
        </w:rPr>
        <w:t>sc</w:t>
      </w:r>
      <w:r>
        <w:rPr>
          <w:rFonts w:ascii="Times New Roman"/>
          <w:color w:val="181818"/>
          <w:w w:val="105"/>
          <w:sz w:val="23"/>
        </w:rPr>
        <w:t>rimination </w:t>
      </w:r>
      <w:r>
        <w:rPr>
          <w:rFonts w:ascii="Times New Roman"/>
          <w:color w:val="2A2A2A"/>
          <w:w w:val="105"/>
          <w:sz w:val="23"/>
        </w:rPr>
        <w:t>in </w:t>
      </w:r>
      <w:r>
        <w:rPr>
          <w:rFonts w:ascii="Times New Roman"/>
          <w:color w:val="181818"/>
          <w:w w:val="105"/>
          <w:sz w:val="23"/>
        </w:rPr>
        <w:t>th</w:t>
      </w:r>
      <w:r>
        <w:rPr>
          <w:rFonts w:ascii="Times New Roman"/>
          <w:color w:val="424242"/>
          <w:w w:val="105"/>
          <w:sz w:val="23"/>
        </w:rPr>
        <w:t>e </w:t>
      </w:r>
      <w:r>
        <w:rPr>
          <w:rFonts w:ascii="Times New Roman"/>
          <w:color w:val="181818"/>
          <w:w w:val="105"/>
          <w:sz w:val="23"/>
        </w:rPr>
        <w:t>level </w:t>
      </w:r>
      <w:r>
        <w:rPr>
          <w:rFonts w:ascii="Times New Roman"/>
          <w:color w:val="2A2A2A"/>
          <w:w w:val="105"/>
          <w:sz w:val="23"/>
        </w:rPr>
        <w:t>and</w:t>
      </w:r>
      <w:r>
        <w:rPr>
          <w:rFonts w:ascii="Times New Roman"/>
          <w:color w:val="2A2A2A"/>
          <w:spacing w:val="-5"/>
          <w:w w:val="105"/>
          <w:sz w:val="23"/>
        </w:rPr>
        <w:t> </w:t>
      </w:r>
      <w:r>
        <w:rPr>
          <w:rFonts w:ascii="Times New Roman"/>
          <w:color w:val="2A2A2A"/>
          <w:w w:val="105"/>
          <w:sz w:val="23"/>
        </w:rPr>
        <w:t>quality of transportation</w:t>
      </w:r>
      <w:r>
        <w:rPr>
          <w:rFonts w:ascii="Times New Roman"/>
          <w:color w:val="2A2A2A"/>
          <w:spacing w:val="-7"/>
          <w:w w:val="105"/>
          <w:sz w:val="23"/>
        </w:rPr>
        <w:t> </w:t>
      </w:r>
      <w:r>
        <w:rPr>
          <w:rFonts w:ascii="Times New Roman"/>
          <w:color w:val="2A2A2A"/>
          <w:w w:val="105"/>
          <w:sz w:val="23"/>
        </w:rPr>
        <w:t>services and </w:t>
      </w:r>
      <w:r>
        <w:rPr>
          <w:rFonts w:ascii="Times New Roman"/>
          <w:color w:val="181818"/>
          <w:w w:val="105"/>
          <w:sz w:val="23"/>
        </w:rPr>
        <w:t>transit-rel</w:t>
      </w:r>
      <w:r>
        <w:rPr>
          <w:rFonts w:ascii="Times New Roman"/>
          <w:color w:val="424242"/>
          <w:w w:val="105"/>
          <w:sz w:val="23"/>
        </w:rPr>
        <w:t>ated </w:t>
      </w:r>
      <w:r>
        <w:rPr>
          <w:rFonts w:ascii="Times New Roman"/>
          <w:color w:val="2A2A2A"/>
          <w:w w:val="105"/>
          <w:sz w:val="23"/>
        </w:rPr>
        <w:t>benefits.</w:t>
      </w:r>
    </w:p>
    <w:p>
      <w:pPr>
        <w:pStyle w:val="BodyText"/>
        <w:spacing w:before="4"/>
        <w:rPr>
          <w:rFonts w:ascii="Times New Roman"/>
          <w:sz w:val="23"/>
        </w:rPr>
      </w:pPr>
    </w:p>
    <w:p>
      <w:pPr>
        <w:pStyle w:val="ListParagraph"/>
        <w:numPr>
          <w:ilvl w:val="1"/>
          <w:numId w:val="25"/>
        </w:numPr>
        <w:tabs>
          <w:tab w:pos="1468" w:val="left" w:leader="none"/>
          <w:tab w:pos="1473" w:val="left" w:leader="none"/>
        </w:tabs>
        <w:spacing w:line="254" w:lineRule="auto" w:before="0" w:after="0"/>
        <w:ind w:left="1473" w:right="1260" w:hanging="362"/>
        <w:jc w:val="left"/>
        <w:rPr>
          <w:rFonts w:ascii="Times New Roman"/>
          <w:color w:val="2A2A2A"/>
          <w:sz w:val="23"/>
        </w:rPr>
      </w:pPr>
      <w:r>
        <w:rPr>
          <w:rFonts w:ascii="Times New Roman"/>
          <w:color w:val="2A2A2A"/>
          <w:w w:val="105"/>
          <w:sz w:val="23"/>
        </w:rPr>
        <w:t>The</w:t>
      </w:r>
      <w:r>
        <w:rPr>
          <w:rFonts w:ascii="Times New Roman"/>
          <w:color w:val="2A2A2A"/>
          <w:spacing w:val="-16"/>
          <w:w w:val="105"/>
          <w:sz w:val="23"/>
        </w:rPr>
        <w:t> </w:t>
      </w:r>
      <w:r>
        <w:rPr>
          <w:rFonts w:ascii="Times New Roman"/>
          <w:color w:val="2A2A2A"/>
          <w:w w:val="105"/>
          <w:sz w:val="23"/>
        </w:rPr>
        <w:t>Maine</w:t>
      </w:r>
      <w:r>
        <w:rPr>
          <w:rFonts w:ascii="Times New Roman"/>
          <w:color w:val="2A2A2A"/>
          <w:spacing w:val="-8"/>
          <w:w w:val="105"/>
          <w:sz w:val="23"/>
        </w:rPr>
        <w:t> </w:t>
      </w:r>
      <w:r>
        <w:rPr>
          <w:rFonts w:ascii="Times New Roman"/>
          <w:color w:val="181818"/>
          <w:w w:val="105"/>
          <w:sz w:val="23"/>
        </w:rPr>
        <w:t>Department </w:t>
      </w:r>
      <w:r>
        <w:rPr>
          <w:rFonts w:ascii="Times New Roman"/>
          <w:color w:val="2A2A2A"/>
          <w:w w:val="105"/>
          <w:sz w:val="23"/>
        </w:rPr>
        <w:t>of Transportation</w:t>
      </w:r>
      <w:r>
        <w:rPr>
          <w:rFonts w:ascii="Times New Roman"/>
          <w:color w:val="2A2A2A"/>
          <w:spacing w:val="-16"/>
          <w:w w:val="105"/>
          <w:sz w:val="23"/>
        </w:rPr>
        <w:t> </w:t>
      </w:r>
      <w:r>
        <w:rPr>
          <w:rFonts w:ascii="Times New Roman"/>
          <w:color w:val="2A2A2A"/>
          <w:w w:val="105"/>
          <w:sz w:val="23"/>
        </w:rPr>
        <w:t>will</w:t>
      </w:r>
      <w:r>
        <w:rPr>
          <w:rFonts w:ascii="Times New Roman"/>
          <w:color w:val="2A2A2A"/>
          <w:spacing w:val="-15"/>
          <w:w w:val="105"/>
          <w:sz w:val="23"/>
        </w:rPr>
        <w:t> </w:t>
      </w:r>
      <w:r>
        <w:rPr>
          <w:rFonts w:ascii="Times New Roman"/>
          <w:color w:val="2A2A2A"/>
          <w:w w:val="105"/>
          <w:sz w:val="23"/>
        </w:rPr>
        <w:t>compile, maintain</w:t>
      </w:r>
      <w:r>
        <w:rPr>
          <w:rFonts w:ascii="Times New Roman"/>
          <w:color w:val="2A2A2A"/>
          <w:spacing w:val="-2"/>
          <w:w w:val="105"/>
          <w:sz w:val="23"/>
        </w:rPr>
        <w:t> </w:t>
      </w:r>
      <w:r>
        <w:rPr>
          <w:rFonts w:ascii="Times New Roman"/>
          <w:color w:val="2A2A2A"/>
          <w:w w:val="105"/>
          <w:sz w:val="23"/>
        </w:rPr>
        <w:t>and</w:t>
      </w:r>
      <w:r>
        <w:rPr>
          <w:rFonts w:ascii="Times New Roman"/>
          <w:color w:val="2A2A2A"/>
          <w:spacing w:val="-5"/>
          <w:w w:val="105"/>
          <w:sz w:val="23"/>
        </w:rPr>
        <w:t> </w:t>
      </w:r>
      <w:r>
        <w:rPr>
          <w:rFonts w:ascii="Times New Roman"/>
          <w:color w:val="424242"/>
          <w:w w:val="105"/>
          <w:sz w:val="23"/>
        </w:rPr>
        <w:t>subm</w:t>
      </w:r>
      <w:r>
        <w:rPr>
          <w:rFonts w:ascii="Times New Roman"/>
          <w:color w:val="181818"/>
          <w:w w:val="105"/>
          <w:sz w:val="23"/>
        </w:rPr>
        <w:t>it</w:t>
      </w:r>
      <w:r>
        <w:rPr>
          <w:rFonts w:ascii="Times New Roman"/>
          <w:color w:val="181818"/>
          <w:spacing w:val="-7"/>
          <w:w w:val="105"/>
          <w:sz w:val="23"/>
        </w:rPr>
        <w:t> </w:t>
      </w:r>
      <w:r>
        <w:rPr>
          <w:rFonts w:ascii="Times New Roman"/>
          <w:color w:val="181818"/>
          <w:w w:val="105"/>
          <w:sz w:val="23"/>
        </w:rPr>
        <w:t>in</w:t>
      </w:r>
      <w:r>
        <w:rPr>
          <w:rFonts w:ascii="Times New Roman"/>
          <w:color w:val="181818"/>
          <w:spacing w:val="-15"/>
          <w:w w:val="105"/>
          <w:sz w:val="23"/>
        </w:rPr>
        <w:t> </w:t>
      </w:r>
      <w:r>
        <w:rPr>
          <w:rFonts w:ascii="Times New Roman"/>
          <w:color w:val="2A2A2A"/>
          <w:w w:val="105"/>
          <w:sz w:val="23"/>
        </w:rPr>
        <w:t>a</w:t>
      </w:r>
      <w:r>
        <w:rPr>
          <w:rFonts w:ascii="Times New Roman"/>
          <w:color w:val="2A2A2A"/>
          <w:spacing w:val="-12"/>
          <w:w w:val="105"/>
          <w:sz w:val="23"/>
        </w:rPr>
        <w:t> </w:t>
      </w:r>
      <w:r>
        <w:rPr>
          <w:rFonts w:ascii="Times New Roman"/>
          <w:color w:val="2A2A2A"/>
          <w:w w:val="105"/>
          <w:sz w:val="23"/>
        </w:rPr>
        <w:t>timely </w:t>
      </w:r>
      <w:r>
        <w:rPr>
          <w:rFonts w:ascii="Times New Roman"/>
          <w:color w:val="181818"/>
          <w:w w:val="105"/>
          <w:sz w:val="23"/>
        </w:rPr>
        <w:t>manner</w:t>
      </w:r>
      <w:r>
        <w:rPr>
          <w:rFonts w:ascii="Times New Roman"/>
          <w:color w:val="181818"/>
          <w:spacing w:val="-4"/>
          <w:w w:val="105"/>
          <w:sz w:val="23"/>
        </w:rPr>
        <w:t> </w:t>
      </w:r>
      <w:r>
        <w:rPr>
          <w:rFonts w:ascii="Times New Roman"/>
          <w:color w:val="181818"/>
          <w:w w:val="105"/>
          <w:sz w:val="23"/>
        </w:rPr>
        <w:t>Title</w:t>
      </w:r>
      <w:r>
        <w:rPr>
          <w:rFonts w:ascii="Times New Roman"/>
          <w:color w:val="181818"/>
          <w:spacing w:val="-11"/>
          <w:w w:val="105"/>
          <w:sz w:val="23"/>
        </w:rPr>
        <w:t> </w:t>
      </w:r>
      <w:r>
        <w:rPr>
          <w:rFonts w:ascii="Times New Roman"/>
          <w:color w:val="2A2A2A"/>
          <w:w w:val="105"/>
          <w:sz w:val="23"/>
        </w:rPr>
        <w:t>VI </w:t>
      </w:r>
      <w:r>
        <w:rPr>
          <w:rFonts w:ascii="Times New Roman"/>
          <w:color w:val="181818"/>
          <w:w w:val="105"/>
          <w:sz w:val="23"/>
        </w:rPr>
        <w:t>information required </w:t>
      </w:r>
      <w:r>
        <w:rPr>
          <w:rFonts w:ascii="Times New Roman"/>
          <w:color w:val="2A2A2A"/>
          <w:w w:val="105"/>
          <w:sz w:val="23"/>
        </w:rPr>
        <w:t>by</w:t>
      </w:r>
      <w:r>
        <w:rPr>
          <w:rFonts w:ascii="Times New Roman"/>
          <w:color w:val="2A2A2A"/>
          <w:spacing w:val="-1"/>
          <w:w w:val="105"/>
          <w:sz w:val="23"/>
        </w:rPr>
        <w:t> </w:t>
      </w:r>
      <w:r>
        <w:rPr>
          <w:rFonts w:ascii="Times New Roman"/>
          <w:color w:val="2A2A2A"/>
          <w:w w:val="105"/>
          <w:sz w:val="23"/>
        </w:rPr>
        <w:t>Circular 4702.1</w:t>
      </w:r>
      <w:r>
        <w:rPr>
          <w:rFonts w:ascii="Times New Roman"/>
          <w:color w:val="181818"/>
          <w:w w:val="105"/>
          <w:sz w:val="23"/>
        </w:rPr>
        <w:t>B</w:t>
      </w:r>
      <w:r>
        <w:rPr>
          <w:rFonts w:ascii="Times New Roman"/>
          <w:color w:val="181818"/>
          <w:spacing w:val="-7"/>
          <w:w w:val="105"/>
          <w:sz w:val="23"/>
        </w:rPr>
        <w:t> </w:t>
      </w:r>
      <w:r>
        <w:rPr>
          <w:rFonts w:ascii="Times New Roman"/>
          <w:color w:val="2A2A2A"/>
          <w:w w:val="105"/>
          <w:sz w:val="23"/>
        </w:rPr>
        <w:t>and in compliance with</w:t>
      </w:r>
      <w:r>
        <w:rPr>
          <w:rFonts w:ascii="Times New Roman"/>
          <w:color w:val="2A2A2A"/>
          <w:spacing w:val="-5"/>
          <w:w w:val="105"/>
          <w:sz w:val="23"/>
        </w:rPr>
        <w:t> </w:t>
      </w:r>
      <w:r>
        <w:rPr>
          <w:rFonts w:ascii="Times New Roman"/>
          <w:color w:val="181818"/>
          <w:w w:val="105"/>
          <w:sz w:val="23"/>
        </w:rPr>
        <w:t>th</w:t>
      </w:r>
      <w:r>
        <w:rPr>
          <w:rFonts w:ascii="Times New Roman"/>
          <w:color w:val="424242"/>
          <w:w w:val="105"/>
          <w:sz w:val="23"/>
        </w:rPr>
        <w:t>e </w:t>
      </w:r>
      <w:r>
        <w:rPr>
          <w:rFonts w:ascii="Times New Roman"/>
          <w:color w:val="181818"/>
          <w:w w:val="105"/>
          <w:sz w:val="23"/>
        </w:rPr>
        <w:t>Department </w:t>
      </w:r>
      <w:r>
        <w:rPr>
          <w:rFonts w:ascii="Times New Roman"/>
          <w:color w:val="2A2A2A"/>
          <w:w w:val="105"/>
          <w:sz w:val="23"/>
        </w:rPr>
        <w:t>of Transportation's Title VI </w:t>
      </w:r>
      <w:r>
        <w:rPr>
          <w:rFonts w:ascii="Times New Roman"/>
          <w:color w:val="181818"/>
          <w:w w:val="105"/>
          <w:sz w:val="23"/>
        </w:rPr>
        <w:t>r</w:t>
      </w:r>
      <w:r>
        <w:rPr>
          <w:rFonts w:ascii="Times New Roman"/>
          <w:color w:val="424242"/>
          <w:w w:val="105"/>
          <w:sz w:val="23"/>
        </w:rPr>
        <w:t>egu</w:t>
      </w:r>
      <w:r>
        <w:rPr>
          <w:rFonts w:ascii="Times New Roman"/>
          <w:color w:val="181818"/>
          <w:w w:val="105"/>
          <w:sz w:val="23"/>
        </w:rPr>
        <w:t>lation</w:t>
      </w:r>
      <w:r>
        <w:rPr>
          <w:rFonts w:ascii="Times New Roman"/>
          <w:color w:val="424242"/>
          <w:w w:val="105"/>
          <w:sz w:val="23"/>
        </w:rPr>
        <w:t>, </w:t>
      </w:r>
      <w:r>
        <w:rPr>
          <w:rFonts w:ascii="Times New Roman"/>
          <w:color w:val="2A2A2A"/>
          <w:w w:val="105"/>
          <w:sz w:val="23"/>
        </w:rPr>
        <w:t>49 CFR Part 21.9.</w:t>
      </w:r>
    </w:p>
    <w:p>
      <w:pPr>
        <w:pStyle w:val="BodyText"/>
        <w:spacing w:before="6"/>
        <w:rPr>
          <w:rFonts w:ascii="Times New Roman"/>
          <w:sz w:val="23"/>
        </w:rPr>
      </w:pPr>
    </w:p>
    <w:p>
      <w:pPr>
        <w:pStyle w:val="ListParagraph"/>
        <w:numPr>
          <w:ilvl w:val="1"/>
          <w:numId w:val="25"/>
        </w:numPr>
        <w:tabs>
          <w:tab w:pos="1469" w:val="left" w:leader="none"/>
        </w:tabs>
        <w:spacing w:line="256" w:lineRule="auto" w:before="0" w:after="0"/>
        <w:ind w:left="1469" w:right="1139" w:hanging="348"/>
        <w:jc w:val="left"/>
        <w:rPr>
          <w:rFonts w:ascii="Times New Roman"/>
          <w:color w:val="2A2A2A"/>
          <w:sz w:val="23"/>
        </w:rPr>
      </w:pPr>
      <w:r>
        <w:rPr>
          <w:rFonts w:ascii="Times New Roman"/>
          <w:color w:val="2A2A2A"/>
          <w:w w:val="105"/>
          <w:sz w:val="23"/>
        </w:rPr>
        <w:t>The</w:t>
      </w:r>
      <w:r>
        <w:rPr>
          <w:rFonts w:ascii="Times New Roman"/>
          <w:color w:val="2A2A2A"/>
          <w:spacing w:val="-3"/>
          <w:w w:val="105"/>
          <w:sz w:val="23"/>
        </w:rPr>
        <w:t> </w:t>
      </w:r>
      <w:r>
        <w:rPr>
          <w:rFonts w:ascii="Times New Roman"/>
          <w:color w:val="2A2A2A"/>
          <w:w w:val="105"/>
          <w:sz w:val="23"/>
        </w:rPr>
        <w:t>Maine Department of Transportation will make </w:t>
      </w:r>
      <w:r>
        <w:rPr>
          <w:rFonts w:ascii="Times New Roman"/>
          <w:color w:val="181818"/>
          <w:w w:val="105"/>
          <w:sz w:val="23"/>
        </w:rPr>
        <w:t>it </w:t>
      </w:r>
      <w:r>
        <w:rPr>
          <w:rFonts w:ascii="Times New Roman"/>
          <w:color w:val="2A2A2A"/>
          <w:w w:val="105"/>
          <w:sz w:val="23"/>
        </w:rPr>
        <w:t>known to the public that those person</w:t>
      </w:r>
      <w:r>
        <w:rPr>
          <w:rFonts w:ascii="Times New Roman"/>
          <w:color w:val="2A2A2A"/>
          <w:spacing w:val="-4"/>
          <w:w w:val="105"/>
          <w:sz w:val="23"/>
        </w:rPr>
        <w:t> </w:t>
      </w:r>
      <w:r>
        <w:rPr>
          <w:rFonts w:ascii="Times New Roman"/>
          <w:color w:val="2A2A2A"/>
          <w:w w:val="105"/>
          <w:sz w:val="23"/>
        </w:rPr>
        <w:t>or </w:t>
      </w:r>
      <w:r>
        <w:rPr>
          <w:rFonts w:ascii="Times New Roman"/>
          <w:color w:val="181818"/>
          <w:w w:val="105"/>
          <w:sz w:val="23"/>
        </w:rPr>
        <w:t>persons</w:t>
      </w:r>
      <w:r>
        <w:rPr>
          <w:rFonts w:ascii="Times New Roman"/>
          <w:color w:val="181818"/>
          <w:spacing w:val="-12"/>
          <w:w w:val="105"/>
          <w:sz w:val="23"/>
        </w:rPr>
        <w:t> </w:t>
      </w:r>
      <w:r>
        <w:rPr>
          <w:rFonts w:ascii="Times New Roman"/>
          <w:color w:val="2A2A2A"/>
          <w:w w:val="105"/>
          <w:sz w:val="23"/>
        </w:rPr>
        <w:t>alleging</w:t>
      </w:r>
      <w:r>
        <w:rPr>
          <w:rFonts w:ascii="Times New Roman"/>
          <w:color w:val="2A2A2A"/>
          <w:spacing w:val="-1"/>
          <w:w w:val="105"/>
          <w:sz w:val="23"/>
        </w:rPr>
        <w:t> </w:t>
      </w:r>
      <w:r>
        <w:rPr>
          <w:rFonts w:ascii="Times New Roman"/>
          <w:color w:val="2A2A2A"/>
          <w:w w:val="105"/>
          <w:sz w:val="23"/>
        </w:rPr>
        <w:t>discrimination</w:t>
      </w:r>
      <w:r>
        <w:rPr>
          <w:rFonts w:ascii="Times New Roman"/>
          <w:color w:val="2A2A2A"/>
          <w:spacing w:val="-16"/>
          <w:w w:val="105"/>
          <w:sz w:val="23"/>
        </w:rPr>
        <w:t> </w:t>
      </w:r>
      <w:r>
        <w:rPr>
          <w:rFonts w:ascii="Times New Roman"/>
          <w:color w:val="2A2A2A"/>
          <w:w w:val="105"/>
          <w:sz w:val="23"/>
        </w:rPr>
        <w:t>on</w:t>
      </w:r>
      <w:r>
        <w:rPr>
          <w:rFonts w:ascii="Times New Roman"/>
          <w:color w:val="2A2A2A"/>
          <w:spacing w:val="-2"/>
          <w:w w:val="105"/>
          <w:sz w:val="23"/>
        </w:rPr>
        <w:t> </w:t>
      </w:r>
      <w:r>
        <w:rPr>
          <w:rFonts w:ascii="Times New Roman"/>
          <w:color w:val="181818"/>
          <w:w w:val="105"/>
          <w:sz w:val="23"/>
        </w:rPr>
        <w:t>the </w:t>
      </w:r>
      <w:r>
        <w:rPr>
          <w:rFonts w:ascii="Times New Roman"/>
          <w:color w:val="2A2A2A"/>
          <w:w w:val="105"/>
          <w:sz w:val="23"/>
        </w:rPr>
        <w:t>basis</w:t>
      </w:r>
      <w:r>
        <w:rPr>
          <w:rFonts w:ascii="Times New Roman"/>
          <w:color w:val="2A2A2A"/>
          <w:spacing w:val="-12"/>
          <w:w w:val="105"/>
          <w:sz w:val="23"/>
        </w:rPr>
        <w:t> </w:t>
      </w:r>
      <w:r>
        <w:rPr>
          <w:rFonts w:ascii="Times New Roman"/>
          <w:color w:val="2A2A2A"/>
          <w:w w:val="105"/>
          <w:sz w:val="23"/>
        </w:rPr>
        <w:t>of</w:t>
      </w:r>
      <w:r>
        <w:rPr>
          <w:rFonts w:ascii="Times New Roman"/>
          <w:color w:val="2A2A2A"/>
          <w:spacing w:val="-8"/>
          <w:w w:val="105"/>
          <w:sz w:val="23"/>
        </w:rPr>
        <w:t> </w:t>
      </w:r>
      <w:r>
        <w:rPr>
          <w:rFonts w:ascii="Times New Roman"/>
          <w:color w:val="2A2A2A"/>
          <w:w w:val="105"/>
          <w:sz w:val="23"/>
        </w:rPr>
        <w:t>race,</w:t>
      </w:r>
      <w:r>
        <w:rPr>
          <w:rFonts w:ascii="Times New Roman"/>
          <w:color w:val="2A2A2A"/>
          <w:spacing w:val="-13"/>
          <w:w w:val="105"/>
          <w:sz w:val="23"/>
        </w:rPr>
        <w:t> </w:t>
      </w:r>
      <w:r>
        <w:rPr>
          <w:rFonts w:ascii="Times New Roman"/>
          <w:color w:val="2A2A2A"/>
          <w:w w:val="105"/>
          <w:sz w:val="23"/>
        </w:rPr>
        <w:t>color</w:t>
      </w:r>
      <w:r>
        <w:rPr>
          <w:rFonts w:ascii="Times New Roman"/>
          <w:color w:val="2A2A2A"/>
          <w:spacing w:val="-5"/>
          <w:w w:val="105"/>
          <w:sz w:val="23"/>
        </w:rPr>
        <w:t> </w:t>
      </w:r>
      <w:r>
        <w:rPr>
          <w:rFonts w:ascii="Times New Roman"/>
          <w:color w:val="2A2A2A"/>
          <w:w w:val="105"/>
          <w:sz w:val="23"/>
        </w:rPr>
        <w:t>or </w:t>
      </w:r>
      <w:r>
        <w:rPr>
          <w:rFonts w:ascii="Times New Roman"/>
          <w:color w:val="181818"/>
          <w:w w:val="105"/>
          <w:sz w:val="23"/>
        </w:rPr>
        <w:t>national </w:t>
      </w:r>
      <w:r>
        <w:rPr>
          <w:rFonts w:ascii="Times New Roman"/>
          <w:color w:val="2A2A2A"/>
          <w:w w:val="105"/>
          <w:sz w:val="23"/>
        </w:rPr>
        <w:t>origin</w:t>
      </w:r>
      <w:r>
        <w:rPr>
          <w:rFonts w:ascii="Times New Roman"/>
          <w:color w:val="2A2A2A"/>
          <w:spacing w:val="-5"/>
          <w:w w:val="105"/>
          <w:sz w:val="23"/>
        </w:rPr>
        <w:t> </w:t>
      </w:r>
      <w:r>
        <w:rPr>
          <w:rFonts w:ascii="Times New Roman"/>
          <w:color w:val="2A2A2A"/>
          <w:w w:val="105"/>
          <w:sz w:val="23"/>
        </w:rPr>
        <w:t>as </w:t>
      </w:r>
      <w:r>
        <w:rPr>
          <w:rFonts w:ascii="Times New Roman"/>
          <w:color w:val="181818"/>
          <w:w w:val="105"/>
          <w:sz w:val="23"/>
        </w:rPr>
        <w:t>it</w:t>
      </w:r>
      <w:r>
        <w:rPr>
          <w:rFonts w:ascii="Times New Roman"/>
          <w:color w:val="181818"/>
          <w:spacing w:val="-2"/>
          <w:w w:val="105"/>
          <w:sz w:val="23"/>
        </w:rPr>
        <w:t> </w:t>
      </w:r>
      <w:r>
        <w:rPr>
          <w:rFonts w:ascii="Times New Roman"/>
          <w:color w:val="181818"/>
          <w:w w:val="105"/>
          <w:sz w:val="23"/>
        </w:rPr>
        <w:t>relat</w:t>
      </w:r>
      <w:r>
        <w:rPr>
          <w:rFonts w:ascii="Times New Roman"/>
          <w:color w:val="424242"/>
          <w:w w:val="105"/>
          <w:sz w:val="23"/>
        </w:rPr>
        <w:t>es</w:t>
      </w:r>
      <w:r>
        <w:rPr>
          <w:rFonts w:ascii="Times New Roman"/>
          <w:color w:val="424242"/>
          <w:spacing w:val="-1"/>
          <w:w w:val="105"/>
          <w:sz w:val="23"/>
        </w:rPr>
        <w:t> </w:t>
      </w:r>
      <w:r>
        <w:rPr>
          <w:rFonts w:ascii="Times New Roman"/>
          <w:color w:val="2A2A2A"/>
          <w:w w:val="105"/>
          <w:sz w:val="23"/>
        </w:rPr>
        <w:t>to</w:t>
      </w:r>
      <w:r>
        <w:rPr>
          <w:rFonts w:ascii="Times New Roman"/>
          <w:color w:val="2A2A2A"/>
          <w:spacing w:val="-12"/>
          <w:w w:val="105"/>
          <w:sz w:val="23"/>
        </w:rPr>
        <w:t> </w:t>
      </w:r>
      <w:r>
        <w:rPr>
          <w:rFonts w:ascii="Times New Roman"/>
          <w:color w:val="181818"/>
          <w:w w:val="105"/>
          <w:sz w:val="23"/>
        </w:rPr>
        <w:t>the</w:t>
      </w:r>
      <w:r>
        <w:rPr>
          <w:rFonts w:ascii="Times New Roman"/>
          <w:color w:val="181818"/>
          <w:spacing w:val="-12"/>
          <w:w w:val="105"/>
          <w:sz w:val="23"/>
        </w:rPr>
        <w:t> </w:t>
      </w:r>
      <w:r>
        <w:rPr>
          <w:rFonts w:ascii="Times New Roman"/>
          <w:color w:val="2A2A2A"/>
          <w:w w:val="105"/>
          <w:sz w:val="23"/>
        </w:rPr>
        <w:t>provision</w:t>
      </w:r>
      <w:r>
        <w:rPr>
          <w:rFonts w:ascii="Times New Roman"/>
          <w:color w:val="2A2A2A"/>
          <w:spacing w:val="15"/>
          <w:w w:val="105"/>
          <w:sz w:val="23"/>
        </w:rPr>
        <w:t> </w:t>
      </w:r>
      <w:r>
        <w:rPr>
          <w:rFonts w:ascii="Times New Roman"/>
          <w:color w:val="2A2A2A"/>
          <w:w w:val="105"/>
          <w:sz w:val="23"/>
        </w:rPr>
        <w:t>of</w:t>
      </w:r>
      <w:r>
        <w:rPr>
          <w:rFonts w:ascii="Times New Roman"/>
          <w:color w:val="2A2A2A"/>
          <w:spacing w:val="-6"/>
          <w:w w:val="105"/>
          <w:sz w:val="23"/>
        </w:rPr>
        <w:t> </w:t>
      </w:r>
      <w:r>
        <w:rPr>
          <w:rFonts w:ascii="Times New Roman"/>
          <w:color w:val="2A2A2A"/>
          <w:w w:val="105"/>
          <w:sz w:val="23"/>
        </w:rPr>
        <w:t>transportation</w:t>
      </w:r>
      <w:r>
        <w:rPr>
          <w:rFonts w:ascii="Times New Roman"/>
          <w:color w:val="2A2A2A"/>
          <w:spacing w:val="-22"/>
          <w:w w:val="105"/>
          <w:sz w:val="23"/>
        </w:rPr>
        <w:t> </w:t>
      </w:r>
      <w:r>
        <w:rPr>
          <w:rFonts w:ascii="Times New Roman"/>
          <w:color w:val="2A2A2A"/>
          <w:w w:val="105"/>
          <w:sz w:val="23"/>
        </w:rPr>
        <w:t>services</w:t>
      </w:r>
      <w:r>
        <w:rPr>
          <w:rFonts w:ascii="Times New Roman"/>
          <w:color w:val="2A2A2A"/>
          <w:spacing w:val="-1"/>
          <w:w w:val="105"/>
          <w:sz w:val="23"/>
        </w:rPr>
        <w:t> </w:t>
      </w:r>
      <w:r>
        <w:rPr>
          <w:rFonts w:ascii="Times New Roman"/>
          <w:color w:val="2A2A2A"/>
          <w:w w:val="105"/>
          <w:sz w:val="23"/>
        </w:rPr>
        <w:t>and</w:t>
      </w:r>
      <w:r>
        <w:rPr>
          <w:rFonts w:ascii="Times New Roman"/>
          <w:color w:val="2A2A2A"/>
          <w:spacing w:val="-6"/>
          <w:w w:val="105"/>
          <w:sz w:val="23"/>
        </w:rPr>
        <w:t> </w:t>
      </w:r>
      <w:r>
        <w:rPr>
          <w:rFonts w:ascii="Times New Roman"/>
          <w:color w:val="2A2A2A"/>
          <w:w w:val="105"/>
          <w:sz w:val="23"/>
        </w:rPr>
        <w:t>transit-related</w:t>
      </w:r>
      <w:r>
        <w:rPr>
          <w:rFonts w:ascii="Times New Roman"/>
          <w:color w:val="2A2A2A"/>
          <w:spacing w:val="-16"/>
          <w:w w:val="105"/>
          <w:sz w:val="23"/>
        </w:rPr>
        <w:t> </w:t>
      </w:r>
      <w:r>
        <w:rPr>
          <w:rFonts w:ascii="Times New Roman"/>
          <w:color w:val="2A2A2A"/>
          <w:w w:val="105"/>
          <w:sz w:val="23"/>
        </w:rPr>
        <w:t>benefits </w:t>
      </w:r>
      <w:r>
        <w:rPr>
          <w:rFonts w:ascii="Times New Roman"/>
          <w:color w:val="181818"/>
          <w:w w:val="105"/>
          <w:sz w:val="23"/>
        </w:rPr>
        <w:t>may</w:t>
      </w:r>
      <w:r>
        <w:rPr>
          <w:rFonts w:ascii="Times New Roman"/>
          <w:color w:val="181818"/>
          <w:spacing w:val="-1"/>
          <w:w w:val="105"/>
          <w:sz w:val="23"/>
        </w:rPr>
        <w:t> </w:t>
      </w:r>
      <w:r>
        <w:rPr>
          <w:rFonts w:ascii="Times New Roman"/>
          <w:color w:val="2A2A2A"/>
          <w:w w:val="105"/>
          <w:sz w:val="23"/>
        </w:rPr>
        <w:t>file</w:t>
      </w:r>
      <w:r>
        <w:rPr>
          <w:rFonts w:ascii="Times New Roman"/>
          <w:color w:val="2A2A2A"/>
          <w:spacing w:val="-13"/>
          <w:w w:val="105"/>
          <w:sz w:val="23"/>
        </w:rPr>
        <w:t> </w:t>
      </w:r>
      <w:r>
        <w:rPr>
          <w:rFonts w:ascii="Times New Roman"/>
          <w:color w:val="2A2A2A"/>
          <w:w w:val="105"/>
          <w:sz w:val="23"/>
        </w:rPr>
        <w:t>a complaint with the</w:t>
      </w:r>
      <w:r>
        <w:rPr>
          <w:rFonts w:ascii="Times New Roman"/>
          <w:color w:val="2A2A2A"/>
          <w:spacing w:val="-7"/>
          <w:w w:val="105"/>
          <w:sz w:val="23"/>
        </w:rPr>
        <w:t> </w:t>
      </w:r>
      <w:r>
        <w:rPr>
          <w:rFonts w:ascii="Times New Roman"/>
          <w:color w:val="2A2A2A"/>
          <w:w w:val="105"/>
          <w:sz w:val="23"/>
        </w:rPr>
        <w:t>Federal Transit Administration</w:t>
      </w:r>
      <w:r>
        <w:rPr>
          <w:rFonts w:ascii="Times New Roman"/>
          <w:color w:val="2A2A2A"/>
          <w:spacing w:val="-2"/>
          <w:w w:val="105"/>
          <w:sz w:val="23"/>
        </w:rPr>
        <w:t> </w:t>
      </w:r>
      <w:r>
        <w:rPr>
          <w:rFonts w:ascii="Times New Roman"/>
          <w:color w:val="2A2A2A"/>
          <w:w w:val="105"/>
          <w:sz w:val="23"/>
        </w:rPr>
        <w:t>and/or </w:t>
      </w:r>
      <w:r>
        <w:rPr>
          <w:rFonts w:ascii="Times New Roman"/>
          <w:color w:val="181818"/>
          <w:w w:val="105"/>
          <w:sz w:val="23"/>
        </w:rPr>
        <w:t>th</w:t>
      </w:r>
      <w:r>
        <w:rPr>
          <w:rFonts w:ascii="Times New Roman"/>
          <w:color w:val="424242"/>
          <w:w w:val="105"/>
          <w:sz w:val="23"/>
        </w:rPr>
        <w:t>e </w:t>
      </w:r>
      <w:r>
        <w:rPr>
          <w:rFonts w:ascii="Times New Roman"/>
          <w:color w:val="2A2A2A"/>
          <w:w w:val="105"/>
          <w:sz w:val="23"/>
        </w:rPr>
        <w:t>U.S. </w:t>
      </w:r>
      <w:r>
        <w:rPr>
          <w:rFonts w:ascii="Times New Roman"/>
          <w:color w:val="181818"/>
          <w:w w:val="105"/>
          <w:sz w:val="23"/>
        </w:rPr>
        <w:t>Departm</w:t>
      </w:r>
      <w:r>
        <w:rPr>
          <w:rFonts w:ascii="Times New Roman"/>
          <w:color w:val="424242"/>
          <w:w w:val="105"/>
          <w:sz w:val="23"/>
        </w:rPr>
        <w:t>e</w:t>
      </w:r>
      <w:r>
        <w:rPr>
          <w:rFonts w:ascii="Times New Roman"/>
          <w:color w:val="181818"/>
          <w:w w:val="105"/>
          <w:sz w:val="23"/>
        </w:rPr>
        <w:t>nt </w:t>
      </w:r>
      <w:r>
        <w:rPr>
          <w:rFonts w:ascii="Times New Roman"/>
          <w:color w:val="2A2A2A"/>
          <w:w w:val="105"/>
          <w:sz w:val="23"/>
        </w:rPr>
        <w:t>of </w:t>
      </w:r>
      <w:r>
        <w:rPr>
          <w:rFonts w:ascii="Times New Roman"/>
          <w:color w:val="2A2A2A"/>
          <w:spacing w:val="-2"/>
          <w:w w:val="105"/>
          <w:sz w:val="23"/>
        </w:rPr>
        <w:t>Transportation.</w:t>
      </w:r>
    </w:p>
    <w:p>
      <w:pPr>
        <w:pStyle w:val="BodyText"/>
        <w:spacing w:before="11"/>
        <w:rPr>
          <w:rFonts w:ascii="Times New Roman"/>
          <w:sz w:val="21"/>
        </w:rPr>
      </w:pPr>
    </w:p>
    <w:p>
      <w:pPr>
        <w:spacing w:line="268" w:lineRule="auto" w:before="0"/>
        <w:ind w:left="771" w:right="1490" w:hanging="15"/>
        <w:jc w:val="both"/>
        <w:rPr>
          <w:rFonts w:ascii="Times New Roman"/>
          <w:sz w:val="23"/>
        </w:rPr>
      </w:pPr>
      <w:r>
        <w:rPr/>
        <mc:AlternateContent>
          <mc:Choice Requires="wps">
            <w:drawing>
              <wp:anchor distT="0" distB="0" distL="0" distR="0" allowOverlap="1" layoutInCell="1" locked="0" behindDoc="1" simplePos="0" relativeHeight="478360064">
                <wp:simplePos x="0" y="0"/>
                <wp:positionH relativeFrom="page">
                  <wp:posOffset>5062166</wp:posOffset>
                </wp:positionH>
                <wp:positionV relativeFrom="paragraph">
                  <wp:posOffset>819182</wp:posOffset>
                </wp:positionV>
                <wp:extent cx="283845"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83845" cy="1270"/>
                        </a:xfrm>
                        <a:custGeom>
                          <a:avLst/>
                          <a:gdLst/>
                          <a:ahLst/>
                          <a:cxnLst/>
                          <a:rect l="l" t="t" r="r" b="b"/>
                          <a:pathLst>
                            <a:path w="283845" h="0">
                              <a:moveTo>
                                <a:pt x="0" y="0"/>
                              </a:moveTo>
                              <a:lnTo>
                                <a:pt x="283751" y="0"/>
                              </a:lnTo>
                            </a:path>
                          </a:pathLst>
                        </a:custGeom>
                        <a:ln w="12729">
                          <a:solidFill>
                            <a:srgbClr val="4B5DB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956416" from="398.595795pt,64.502594pt" to="420.938439pt,64.502594pt" stroked="true" strokeweight="1.002353pt" strokecolor="#4b5db8">
                <v:stroke dashstyle="solid"/>
                <w10:wrap type="none"/>
              </v:line>
            </w:pict>
          </mc:Fallback>
        </mc:AlternateContent>
      </w:r>
      <w:r>
        <w:rPr/>
        <mc:AlternateContent>
          <mc:Choice Requires="wps">
            <w:drawing>
              <wp:anchor distT="0" distB="0" distL="0" distR="0" allowOverlap="1" layoutInCell="1" locked="0" behindDoc="1" simplePos="0" relativeHeight="478360576">
                <wp:simplePos x="0" y="0"/>
                <wp:positionH relativeFrom="page">
                  <wp:posOffset>5290654</wp:posOffset>
                </wp:positionH>
                <wp:positionV relativeFrom="paragraph">
                  <wp:posOffset>920003</wp:posOffset>
                </wp:positionV>
                <wp:extent cx="36830" cy="127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36830" cy="1270"/>
                        </a:xfrm>
                        <a:custGeom>
                          <a:avLst/>
                          <a:gdLst/>
                          <a:ahLst/>
                          <a:cxnLst/>
                          <a:rect l="l" t="t" r="r" b="b"/>
                          <a:pathLst>
                            <a:path w="36830" h="0">
                              <a:moveTo>
                                <a:pt x="0" y="0"/>
                              </a:moveTo>
                              <a:lnTo>
                                <a:pt x="36642" y="0"/>
                              </a:lnTo>
                            </a:path>
                          </a:pathLst>
                        </a:custGeom>
                        <a:ln w="12729">
                          <a:solidFill>
                            <a:srgbClr val="4B5DB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955904" from="416.586945pt,72.441231pt" to="419.47218pt,72.441231pt" stroked="true" strokeweight="1.002353pt" strokecolor="#4b5db8">
                <v:stroke dashstyle="solid"/>
                <w10:wrap type="none"/>
              </v:line>
            </w:pict>
          </mc:Fallback>
        </mc:AlternateContent>
      </w:r>
      <w:r>
        <w:rPr>
          <w:rFonts w:ascii="Times New Roman"/>
          <w:color w:val="181818"/>
          <w:w w:val="105"/>
          <w:sz w:val="23"/>
        </w:rPr>
        <w:t>The</w:t>
      </w:r>
      <w:r>
        <w:rPr>
          <w:rFonts w:ascii="Times New Roman"/>
          <w:color w:val="181818"/>
          <w:spacing w:val="-16"/>
          <w:w w:val="105"/>
          <w:sz w:val="23"/>
        </w:rPr>
        <w:t> </w:t>
      </w:r>
      <w:r>
        <w:rPr>
          <w:rFonts w:ascii="Times New Roman"/>
          <w:color w:val="2A2A2A"/>
          <w:w w:val="105"/>
          <w:sz w:val="23"/>
        </w:rPr>
        <w:t>person</w:t>
      </w:r>
      <w:r>
        <w:rPr>
          <w:rFonts w:ascii="Times New Roman"/>
          <w:color w:val="2A2A2A"/>
          <w:spacing w:val="-6"/>
          <w:w w:val="105"/>
          <w:sz w:val="23"/>
        </w:rPr>
        <w:t> </w:t>
      </w:r>
      <w:r>
        <w:rPr>
          <w:rFonts w:ascii="Times New Roman"/>
          <w:color w:val="2A2A2A"/>
          <w:w w:val="105"/>
          <w:sz w:val="23"/>
        </w:rPr>
        <w:t>or persons whose</w:t>
      </w:r>
      <w:r>
        <w:rPr>
          <w:rFonts w:ascii="Times New Roman"/>
          <w:color w:val="2A2A2A"/>
          <w:spacing w:val="-16"/>
          <w:w w:val="105"/>
          <w:sz w:val="23"/>
        </w:rPr>
        <w:t> </w:t>
      </w:r>
      <w:r>
        <w:rPr>
          <w:rFonts w:ascii="Times New Roman"/>
          <w:color w:val="2A2A2A"/>
          <w:w w:val="105"/>
          <w:sz w:val="23"/>
        </w:rPr>
        <w:t>signature</w:t>
      </w:r>
      <w:r>
        <w:rPr>
          <w:rFonts w:ascii="Times New Roman"/>
          <w:color w:val="2A2A2A"/>
          <w:spacing w:val="-9"/>
          <w:w w:val="105"/>
          <w:sz w:val="23"/>
        </w:rPr>
        <w:t> </w:t>
      </w:r>
      <w:r>
        <w:rPr>
          <w:rFonts w:ascii="Times New Roman"/>
          <w:color w:val="2A2A2A"/>
          <w:w w:val="105"/>
          <w:sz w:val="23"/>
        </w:rPr>
        <w:t>appears below is</w:t>
      </w:r>
      <w:r>
        <w:rPr>
          <w:rFonts w:ascii="Times New Roman"/>
          <w:color w:val="2A2A2A"/>
          <w:spacing w:val="-7"/>
          <w:w w:val="105"/>
          <w:sz w:val="23"/>
        </w:rPr>
        <w:t> </w:t>
      </w:r>
      <w:r>
        <w:rPr>
          <w:rFonts w:ascii="Times New Roman"/>
          <w:color w:val="2A2A2A"/>
          <w:w w:val="105"/>
          <w:sz w:val="23"/>
        </w:rPr>
        <w:t>authorized to</w:t>
      </w:r>
      <w:r>
        <w:rPr>
          <w:rFonts w:ascii="Times New Roman"/>
          <w:color w:val="2A2A2A"/>
          <w:spacing w:val="-16"/>
          <w:w w:val="105"/>
          <w:sz w:val="23"/>
        </w:rPr>
        <w:t> </w:t>
      </w:r>
      <w:r>
        <w:rPr>
          <w:rFonts w:ascii="Times New Roman"/>
          <w:color w:val="2A2A2A"/>
          <w:w w:val="105"/>
          <w:sz w:val="23"/>
        </w:rPr>
        <w:t>sign</w:t>
      </w:r>
      <w:r>
        <w:rPr>
          <w:rFonts w:ascii="Times New Roman"/>
          <w:color w:val="2A2A2A"/>
          <w:spacing w:val="-12"/>
          <w:w w:val="105"/>
          <w:sz w:val="23"/>
        </w:rPr>
        <w:t> </w:t>
      </w:r>
      <w:r>
        <w:rPr>
          <w:rFonts w:ascii="Times New Roman"/>
          <w:color w:val="2A2A2A"/>
          <w:w w:val="105"/>
          <w:sz w:val="23"/>
        </w:rPr>
        <w:t>this</w:t>
      </w:r>
      <w:r>
        <w:rPr>
          <w:rFonts w:ascii="Times New Roman"/>
          <w:color w:val="2A2A2A"/>
          <w:spacing w:val="-12"/>
          <w:w w:val="105"/>
          <w:sz w:val="23"/>
        </w:rPr>
        <w:t> </w:t>
      </w:r>
      <w:r>
        <w:rPr>
          <w:rFonts w:ascii="Times New Roman"/>
          <w:color w:val="2A2A2A"/>
          <w:w w:val="105"/>
          <w:sz w:val="23"/>
        </w:rPr>
        <w:t>assurance</w:t>
      </w:r>
      <w:r>
        <w:rPr>
          <w:rFonts w:ascii="Times New Roman"/>
          <w:color w:val="2A2A2A"/>
          <w:spacing w:val="-6"/>
          <w:w w:val="105"/>
          <w:sz w:val="23"/>
        </w:rPr>
        <w:t> </w:t>
      </w:r>
      <w:r>
        <w:rPr>
          <w:rFonts w:ascii="Times New Roman"/>
          <w:color w:val="2A2A2A"/>
          <w:w w:val="105"/>
          <w:sz w:val="23"/>
        </w:rPr>
        <w:t>on </w:t>
      </w:r>
      <w:r>
        <w:rPr>
          <w:rFonts w:ascii="Times New Roman"/>
          <w:color w:val="181818"/>
          <w:w w:val="105"/>
          <w:sz w:val="23"/>
        </w:rPr>
        <w:t>behalf </w:t>
      </w:r>
      <w:r>
        <w:rPr>
          <w:rFonts w:ascii="Times New Roman"/>
          <w:color w:val="2A2A2A"/>
          <w:w w:val="105"/>
          <w:sz w:val="23"/>
        </w:rPr>
        <w:t>of the grant applicant or recipient.</w:t>
      </w:r>
    </w:p>
    <w:p>
      <w:pPr>
        <w:spacing w:after="0" w:line="268" w:lineRule="auto"/>
        <w:jc w:val="both"/>
        <w:rPr>
          <w:rFonts w:ascii="Times New Roman"/>
          <w:sz w:val="23"/>
        </w:rPr>
        <w:sectPr>
          <w:footerReference w:type="default" r:id="rId57"/>
          <w:pgSz w:w="12240" w:h="15840"/>
          <w:pgMar w:footer="0" w:header="0" w:top="0" w:bottom="280" w:left="600" w:right="500"/>
        </w:sectPr>
      </w:pPr>
    </w:p>
    <w:p>
      <w:pPr>
        <w:tabs>
          <w:tab w:pos="4421" w:val="left" w:leader="none"/>
        </w:tabs>
        <w:spacing w:line="519" w:lineRule="exact" w:before="316"/>
        <w:ind w:left="1324" w:right="0" w:firstLine="0"/>
        <w:jc w:val="left"/>
        <w:rPr>
          <w:rFonts w:ascii="Times New Roman"/>
          <w:i/>
          <w:sz w:val="47"/>
        </w:rPr>
      </w:pPr>
      <w:r>
        <w:rPr/>
        <mc:AlternateContent>
          <mc:Choice Requires="wps">
            <w:drawing>
              <wp:anchor distT="0" distB="0" distL="0" distR="0" allowOverlap="1" layoutInCell="1" locked="0" behindDoc="0" simplePos="0" relativeHeight="15742464">
                <wp:simplePos x="0" y="0"/>
                <wp:positionH relativeFrom="page">
                  <wp:posOffset>7763628</wp:posOffset>
                </wp:positionH>
                <wp:positionV relativeFrom="page">
                  <wp:posOffset>0</wp:posOffset>
                </wp:positionV>
                <wp:extent cx="8890" cy="937577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8890" cy="9375775"/>
                        </a:xfrm>
                        <a:custGeom>
                          <a:avLst/>
                          <a:gdLst/>
                          <a:ahLst/>
                          <a:cxnLst/>
                          <a:rect l="l" t="t" r="r" b="b"/>
                          <a:pathLst>
                            <a:path w="8890" h="9375775">
                              <a:moveTo>
                                <a:pt x="0" y="0"/>
                              </a:moveTo>
                              <a:lnTo>
                                <a:pt x="8771" y="0"/>
                              </a:lnTo>
                              <a:lnTo>
                                <a:pt x="8771" y="9375569"/>
                              </a:lnTo>
                              <a:lnTo>
                                <a:pt x="0" y="9375569"/>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1.309326pt;margin-top:.000035pt;width:.690679pt;height:738.233785pt;mso-position-horizontal-relative:page;mso-position-vertical-relative:page;z-index:15742464" id="docshape91" filled="true" fillcolor="#000000" stroked="false">
                <v:fill type="solid"/>
                <w10:wrap type="none"/>
              </v:rect>
            </w:pict>
          </mc:Fallback>
        </mc:AlternateContent>
      </w:r>
      <w:r>
        <w:rPr>
          <w:rFonts w:ascii="Times New Roman"/>
          <w:i/>
          <w:color w:val="4B5DB8"/>
          <w:spacing w:val="-2"/>
          <w:w w:val="245"/>
          <w:sz w:val="47"/>
          <w:u w:val="thick" w:color="4B5DB8"/>
        </w:rPr>
        <w:t>Kv,</w:t>
      </w:r>
      <w:r>
        <w:rPr>
          <w:rFonts w:ascii="Times New Roman"/>
          <w:i/>
          <w:color w:val="4B5DB8"/>
          <w:spacing w:val="-2"/>
          <w:w w:val="245"/>
          <w:sz w:val="47"/>
        </w:rPr>
        <w:t>7-</w:t>
      </w:r>
      <w:r>
        <w:rPr>
          <w:rFonts w:ascii="Times New Roman"/>
          <w:i/>
          <w:color w:val="6B77D4"/>
          <w:sz w:val="47"/>
          <w:u w:val="thick" w:color="6B77D4"/>
        </w:rPr>
        <w:tab/>
      </w:r>
      <w:r>
        <w:rPr>
          <w:rFonts w:ascii="Times New Roman"/>
          <w:i/>
          <w:color w:val="6B77D4"/>
          <w:spacing w:val="-10"/>
          <w:w w:val="245"/>
          <w:sz w:val="47"/>
          <w:u w:val="thick" w:color="6B77D4"/>
        </w:rPr>
        <w:t>-</w:t>
      </w:r>
      <w:r>
        <w:rPr>
          <w:rFonts w:ascii="Times New Roman"/>
          <w:i/>
          <w:color w:val="6B77D4"/>
          <w:spacing w:val="-10"/>
          <w:w w:val="245"/>
          <w:sz w:val="47"/>
          <w:u w:val="thick" w:color="6B77D4"/>
        </w:rPr>
        <w:t> </w:t>
      </w:r>
    </w:p>
    <w:p>
      <w:pPr>
        <w:spacing w:line="243" w:lineRule="exact" w:before="0"/>
        <w:ind w:left="766" w:right="0" w:firstLine="0"/>
        <w:jc w:val="left"/>
        <w:rPr>
          <w:rFonts w:ascii="Times New Roman"/>
          <w:sz w:val="23"/>
        </w:rPr>
      </w:pPr>
      <w:r>
        <w:rPr>
          <w:rFonts w:ascii="Times New Roman"/>
          <w:color w:val="2A2A2A"/>
          <w:w w:val="105"/>
          <w:sz w:val="23"/>
        </w:rPr>
        <w:t>Bruce</w:t>
      </w:r>
      <w:r>
        <w:rPr>
          <w:rFonts w:ascii="Times New Roman"/>
          <w:color w:val="2A2A2A"/>
          <w:spacing w:val="-4"/>
          <w:w w:val="105"/>
          <w:sz w:val="23"/>
        </w:rPr>
        <w:t> </w:t>
      </w:r>
      <w:r>
        <w:rPr>
          <w:rFonts w:ascii="Times New Roman"/>
          <w:color w:val="2A2A2A"/>
          <w:w w:val="105"/>
          <w:sz w:val="23"/>
        </w:rPr>
        <w:t>A.</w:t>
      </w:r>
      <w:r>
        <w:rPr>
          <w:rFonts w:ascii="Times New Roman"/>
          <w:color w:val="2A2A2A"/>
          <w:spacing w:val="-5"/>
          <w:w w:val="105"/>
          <w:sz w:val="23"/>
        </w:rPr>
        <w:t> </w:t>
      </w:r>
      <w:r>
        <w:rPr>
          <w:rFonts w:ascii="Times New Roman"/>
          <w:color w:val="2A2A2A"/>
          <w:w w:val="105"/>
          <w:sz w:val="23"/>
        </w:rPr>
        <w:t>Van</w:t>
      </w:r>
      <w:r>
        <w:rPr>
          <w:rFonts w:ascii="Times New Roman"/>
          <w:color w:val="2A2A2A"/>
          <w:spacing w:val="-8"/>
          <w:w w:val="105"/>
          <w:sz w:val="23"/>
        </w:rPr>
        <w:t> </w:t>
      </w:r>
      <w:r>
        <w:rPr>
          <w:rFonts w:ascii="Times New Roman"/>
          <w:color w:val="2A2A2A"/>
          <w:w w:val="105"/>
          <w:sz w:val="23"/>
        </w:rPr>
        <w:t>Note,</w:t>
      </w:r>
      <w:r>
        <w:rPr>
          <w:rFonts w:ascii="Times New Roman"/>
          <w:color w:val="2A2A2A"/>
          <w:spacing w:val="-5"/>
          <w:w w:val="105"/>
          <w:sz w:val="23"/>
        </w:rPr>
        <w:t> </w:t>
      </w:r>
      <w:r>
        <w:rPr>
          <w:rFonts w:ascii="Times New Roman"/>
          <w:color w:val="2A2A2A"/>
          <w:spacing w:val="-2"/>
          <w:w w:val="105"/>
          <w:sz w:val="23"/>
        </w:rPr>
        <w:t>Commissioner</w:t>
      </w:r>
    </w:p>
    <w:p>
      <w:pPr>
        <w:spacing w:before="17"/>
        <w:ind w:left="767" w:right="0" w:firstLine="0"/>
        <w:jc w:val="left"/>
        <w:rPr>
          <w:rFonts w:ascii="Times New Roman"/>
          <w:sz w:val="23"/>
        </w:rPr>
      </w:pPr>
      <w:r>
        <w:rPr>
          <w:rFonts w:ascii="Times New Roman"/>
          <w:color w:val="2A2A2A"/>
          <w:w w:val="105"/>
          <w:sz w:val="23"/>
        </w:rPr>
        <w:t>Maine</w:t>
      </w:r>
      <w:r>
        <w:rPr>
          <w:rFonts w:ascii="Times New Roman"/>
          <w:color w:val="2A2A2A"/>
          <w:spacing w:val="-16"/>
          <w:w w:val="105"/>
          <w:sz w:val="23"/>
        </w:rPr>
        <w:t> </w:t>
      </w:r>
      <w:r>
        <w:rPr>
          <w:rFonts w:ascii="Times New Roman"/>
          <w:color w:val="2A2A2A"/>
          <w:w w:val="105"/>
          <w:sz w:val="23"/>
        </w:rPr>
        <w:t>Department</w:t>
      </w:r>
      <w:r>
        <w:rPr>
          <w:rFonts w:ascii="Times New Roman"/>
          <w:color w:val="2A2A2A"/>
          <w:spacing w:val="-5"/>
          <w:w w:val="105"/>
          <w:sz w:val="23"/>
        </w:rPr>
        <w:t> </w:t>
      </w:r>
      <w:r>
        <w:rPr>
          <w:rFonts w:ascii="Times New Roman"/>
          <w:color w:val="2A2A2A"/>
          <w:w w:val="105"/>
          <w:sz w:val="23"/>
        </w:rPr>
        <w:t>of</w:t>
      </w:r>
      <w:r>
        <w:rPr>
          <w:rFonts w:ascii="Times New Roman"/>
          <w:color w:val="2A2A2A"/>
          <w:spacing w:val="-17"/>
          <w:w w:val="105"/>
          <w:sz w:val="23"/>
        </w:rPr>
        <w:t> </w:t>
      </w:r>
      <w:r>
        <w:rPr>
          <w:rFonts w:ascii="Times New Roman"/>
          <w:color w:val="2A2A2A"/>
          <w:spacing w:val="-2"/>
          <w:w w:val="105"/>
          <w:sz w:val="23"/>
        </w:rPr>
        <w:t>Transportation</w:t>
      </w:r>
    </w:p>
    <w:p>
      <w:pPr>
        <w:tabs>
          <w:tab w:pos="1745" w:val="left" w:leader="none"/>
        </w:tabs>
        <w:spacing w:before="91"/>
        <w:ind w:left="697" w:right="0" w:firstLine="0"/>
        <w:jc w:val="left"/>
        <w:rPr>
          <w:rFonts w:ascii="Times New Roman" w:hAnsi="Times New Roman"/>
          <w:b/>
          <w:i/>
          <w:sz w:val="65"/>
        </w:rPr>
      </w:pPr>
      <w:r>
        <w:rPr/>
        <w:br w:type="column"/>
      </w:r>
      <w:r>
        <w:rPr>
          <w:rFonts w:ascii="Times New Roman" w:hAnsi="Times New Roman"/>
          <w:color w:val="2A2A2A"/>
          <w:spacing w:val="-2"/>
          <w:w w:val="95"/>
          <w:sz w:val="23"/>
        </w:rPr>
        <w:t>Dated:</w:t>
      </w:r>
      <w:r>
        <w:rPr>
          <w:rFonts w:ascii="Times New Roman" w:hAnsi="Times New Roman"/>
          <w:color w:val="2A2A2A"/>
          <w:sz w:val="23"/>
        </w:rPr>
        <w:tab/>
      </w:r>
      <w:r>
        <w:rPr>
          <w:rFonts w:ascii="Times New Roman" w:hAnsi="Times New Roman"/>
          <w:b/>
          <w:i/>
          <w:color w:val="4B5DB8"/>
          <w:spacing w:val="51"/>
          <w:sz w:val="65"/>
          <w:u w:val="thick" w:color="4B5DB8"/>
        </w:rPr>
        <w:t> </w:t>
      </w:r>
      <w:r>
        <w:rPr>
          <w:rFonts w:ascii="Times New Roman" w:hAnsi="Times New Roman"/>
          <w:b/>
          <w:i/>
          <w:color w:val="4B5DB8"/>
          <w:spacing w:val="-40"/>
          <w:sz w:val="65"/>
        </w:rPr>
        <w:t> </w:t>
      </w:r>
      <w:r>
        <w:rPr>
          <w:rFonts w:ascii="Times New Roman" w:hAnsi="Times New Roman"/>
          <w:b/>
          <w:i/>
          <w:color w:val="4B5DB8"/>
          <w:spacing w:val="-7"/>
          <w:w w:val="80"/>
          <w:sz w:val="65"/>
          <w:u w:val="thick" w:color="4B5DB8"/>
        </w:rPr>
        <w:t>)e:</w:t>
      </w:r>
      <w:r>
        <w:rPr>
          <w:rFonts w:ascii="Arial" w:hAnsi="Arial"/>
          <w:color w:val="4B5DB8"/>
          <w:spacing w:val="-7"/>
          <w:w w:val="80"/>
          <w:position w:val="-15"/>
          <w:sz w:val="26"/>
        </w:rPr>
        <w:t>•</w:t>
      </w:r>
      <w:r>
        <w:rPr>
          <w:rFonts w:ascii="Times New Roman" w:hAnsi="Times New Roman"/>
          <w:b/>
          <w:i/>
          <w:color w:val="4B5DB8"/>
          <w:spacing w:val="-7"/>
          <w:w w:val="80"/>
          <w:sz w:val="65"/>
        </w:rPr>
        <w:t>t/4</w:t>
      </w:r>
    </w:p>
    <w:p>
      <w:pPr>
        <w:spacing w:after="0"/>
        <w:jc w:val="left"/>
        <w:rPr>
          <w:rFonts w:ascii="Times New Roman" w:hAnsi="Times New Roman"/>
          <w:sz w:val="65"/>
        </w:rPr>
        <w:sectPr>
          <w:type w:val="continuous"/>
          <w:pgSz w:w="12240" w:h="15840"/>
          <w:pgMar w:header="0" w:footer="0" w:top="1820" w:bottom="280" w:left="600" w:right="500"/>
          <w:cols w:num="2" w:equalWidth="0">
            <w:col w:w="5079" w:space="40"/>
            <w:col w:w="6021"/>
          </w:cols>
        </w:sectPr>
      </w:pPr>
    </w:p>
    <w:p>
      <w:pPr>
        <w:pStyle w:val="Heading3"/>
        <w:ind w:right="1586"/>
        <w:jc w:val="center"/>
      </w:pPr>
      <w:r>
        <w:rPr/>
        <w:t>The</w:t>
      </w:r>
      <w:r>
        <w:rPr>
          <w:spacing w:val="15"/>
        </w:rPr>
        <w:t> </w:t>
      </w:r>
      <w:r>
        <w:rPr/>
        <w:t>United</w:t>
      </w:r>
      <w:r>
        <w:rPr>
          <w:spacing w:val="37"/>
        </w:rPr>
        <w:t> </w:t>
      </w:r>
      <w:r>
        <w:rPr/>
        <w:t>States</w:t>
      </w:r>
      <w:r>
        <w:rPr>
          <w:spacing w:val="28"/>
        </w:rPr>
        <w:t> </w:t>
      </w:r>
      <w:r>
        <w:rPr/>
        <w:t>Department</w:t>
      </w:r>
      <w:r>
        <w:rPr>
          <w:spacing w:val="36"/>
        </w:rPr>
        <w:t> </w:t>
      </w:r>
      <w:r>
        <w:rPr/>
        <w:t>of</w:t>
      </w:r>
      <w:r>
        <w:rPr>
          <w:spacing w:val="11"/>
        </w:rPr>
        <w:t> </w:t>
      </w:r>
      <w:r>
        <w:rPr/>
        <w:t>Transportation</w:t>
      </w:r>
      <w:r>
        <w:rPr>
          <w:spacing w:val="8"/>
        </w:rPr>
        <w:t> </w:t>
      </w:r>
      <w:r>
        <w:rPr>
          <w:spacing w:val="-2"/>
        </w:rPr>
        <w:t>(USDOT)</w:t>
      </w:r>
    </w:p>
    <w:p>
      <w:pPr>
        <w:spacing w:before="6"/>
        <w:ind w:left="1282" w:right="1586" w:firstLine="0"/>
        <w:jc w:val="center"/>
        <w:rPr>
          <w:rFonts w:ascii="Times New Roman"/>
          <w:sz w:val="27"/>
        </w:rPr>
      </w:pPr>
      <w:r>
        <w:rPr>
          <w:rFonts w:ascii="Times New Roman"/>
          <w:w w:val="105"/>
          <w:sz w:val="27"/>
        </w:rPr>
        <w:t>Standard</w:t>
      </w:r>
      <w:r>
        <w:rPr>
          <w:rFonts w:ascii="Times New Roman"/>
          <w:spacing w:val="-14"/>
          <w:w w:val="105"/>
          <w:sz w:val="27"/>
        </w:rPr>
        <w:t> </w:t>
      </w:r>
      <w:r>
        <w:rPr>
          <w:rFonts w:ascii="Times New Roman"/>
          <w:w w:val="105"/>
          <w:sz w:val="27"/>
        </w:rPr>
        <w:t>Title</w:t>
      </w:r>
      <w:r>
        <w:rPr>
          <w:rFonts w:ascii="Times New Roman"/>
          <w:spacing w:val="-15"/>
          <w:w w:val="105"/>
          <w:sz w:val="27"/>
        </w:rPr>
        <w:t> </w:t>
      </w:r>
      <w:r>
        <w:rPr>
          <w:rFonts w:ascii="Times New Roman"/>
          <w:w w:val="105"/>
          <w:sz w:val="27"/>
        </w:rPr>
        <w:t>VI/</w:t>
      </w:r>
      <w:r>
        <w:rPr>
          <w:rFonts w:ascii="Times New Roman"/>
          <w:spacing w:val="48"/>
          <w:w w:val="105"/>
          <w:sz w:val="27"/>
        </w:rPr>
        <w:t> </w:t>
      </w:r>
      <w:r>
        <w:rPr>
          <w:rFonts w:ascii="Times New Roman"/>
          <w:w w:val="105"/>
          <w:sz w:val="27"/>
        </w:rPr>
        <w:t>Nondiscrimination</w:t>
      </w:r>
      <w:r>
        <w:rPr>
          <w:rFonts w:ascii="Times New Roman"/>
          <w:spacing w:val="-15"/>
          <w:w w:val="105"/>
          <w:sz w:val="27"/>
        </w:rPr>
        <w:t> </w:t>
      </w:r>
      <w:r>
        <w:rPr>
          <w:rFonts w:ascii="Times New Roman"/>
          <w:spacing w:val="-2"/>
          <w:w w:val="105"/>
          <w:sz w:val="27"/>
        </w:rPr>
        <w:t>Assurances</w:t>
      </w:r>
    </w:p>
    <w:p>
      <w:pPr>
        <w:tabs>
          <w:tab w:pos="3746" w:val="left" w:leader="none"/>
          <w:tab w:pos="10300" w:val="left" w:leader="none"/>
        </w:tabs>
        <w:spacing w:before="14"/>
        <w:ind w:left="0" w:right="306" w:firstLine="0"/>
        <w:jc w:val="center"/>
        <w:rPr>
          <w:rFonts w:ascii="Times New Roman"/>
          <w:sz w:val="27"/>
        </w:rPr>
      </w:pPr>
      <w:r>
        <w:rPr>
          <w:rFonts w:ascii="Times New Roman"/>
          <w:sz w:val="27"/>
          <w:u w:val="single"/>
        </w:rPr>
        <w:tab/>
        <w:t>DOT</w:t>
      </w:r>
      <w:r>
        <w:rPr>
          <w:rFonts w:ascii="Times New Roman"/>
          <w:spacing w:val="9"/>
          <w:sz w:val="27"/>
          <w:u w:val="single"/>
        </w:rPr>
        <w:t> </w:t>
      </w:r>
      <w:r>
        <w:rPr>
          <w:rFonts w:ascii="Times New Roman"/>
          <w:sz w:val="27"/>
          <w:u w:val="single"/>
        </w:rPr>
        <w:t>Order</w:t>
      </w:r>
      <w:r>
        <w:rPr>
          <w:rFonts w:ascii="Times New Roman"/>
          <w:spacing w:val="28"/>
          <w:sz w:val="27"/>
          <w:u w:val="single"/>
        </w:rPr>
        <w:t> </w:t>
      </w:r>
      <w:r>
        <w:rPr>
          <w:rFonts w:ascii="Times New Roman"/>
          <w:sz w:val="27"/>
          <w:u w:val="single"/>
        </w:rPr>
        <w:t>No.</w:t>
      </w:r>
      <w:r>
        <w:rPr>
          <w:rFonts w:ascii="Times New Roman"/>
          <w:spacing w:val="42"/>
          <w:sz w:val="27"/>
          <w:u w:val="single"/>
        </w:rPr>
        <w:t> </w:t>
      </w:r>
      <w:r>
        <w:rPr>
          <w:rFonts w:ascii="Times New Roman"/>
          <w:sz w:val="27"/>
          <w:u w:val="single"/>
        </w:rPr>
        <w:t>I</w:t>
      </w:r>
      <w:r>
        <w:rPr>
          <w:rFonts w:ascii="Times New Roman"/>
          <w:spacing w:val="-34"/>
          <w:sz w:val="27"/>
          <w:u w:val="single"/>
        </w:rPr>
        <w:t> </w:t>
      </w:r>
      <w:r>
        <w:rPr>
          <w:rFonts w:ascii="Times New Roman"/>
          <w:spacing w:val="-2"/>
          <w:sz w:val="27"/>
          <w:u w:val="single"/>
        </w:rPr>
        <w:t>050.2A</w:t>
      </w:r>
      <w:r>
        <w:rPr>
          <w:rFonts w:ascii="Times New Roman"/>
          <w:sz w:val="27"/>
          <w:u w:val="single"/>
        </w:rPr>
        <w:tab/>
      </w:r>
    </w:p>
    <w:p>
      <w:pPr>
        <w:pStyle w:val="BodyText"/>
        <w:spacing w:before="4"/>
        <w:rPr>
          <w:rFonts w:ascii="Times New Roman"/>
          <w:sz w:val="38"/>
        </w:rPr>
      </w:pPr>
    </w:p>
    <w:p>
      <w:pPr>
        <w:spacing w:line="259" w:lineRule="auto" w:before="0"/>
        <w:ind w:left="314" w:right="935" w:hanging="6"/>
        <w:jc w:val="left"/>
        <w:rPr>
          <w:rFonts w:ascii="Times New Roman"/>
          <w:sz w:val="23"/>
        </w:rPr>
      </w:pPr>
      <w:r>
        <w:rPr>
          <w:rFonts w:ascii="Times New Roman"/>
          <w:sz w:val="23"/>
        </w:rPr>
        <w:t>The </w:t>
      </w:r>
      <w:r>
        <w:rPr>
          <w:rFonts w:ascii="Times New Roman"/>
          <w:b/>
          <w:i/>
          <w:sz w:val="22"/>
        </w:rPr>
        <w:t>Maine</w:t>
      </w:r>
      <w:r>
        <w:rPr>
          <w:rFonts w:ascii="Times New Roman"/>
          <w:b/>
          <w:i/>
          <w:spacing w:val="39"/>
          <w:sz w:val="22"/>
        </w:rPr>
        <w:t> </w:t>
      </w:r>
      <w:r>
        <w:rPr>
          <w:rFonts w:ascii="Times New Roman"/>
          <w:b/>
          <w:i/>
          <w:sz w:val="22"/>
        </w:rPr>
        <w:t>Department</w:t>
      </w:r>
      <w:r>
        <w:rPr>
          <w:rFonts w:ascii="Times New Roman"/>
          <w:b/>
          <w:i/>
          <w:spacing w:val="40"/>
          <w:sz w:val="22"/>
        </w:rPr>
        <w:t> </w:t>
      </w:r>
      <w:r>
        <w:rPr>
          <w:rFonts w:ascii="Times New Roman"/>
          <w:b/>
          <w:i/>
          <w:sz w:val="22"/>
        </w:rPr>
        <w:t>o/Tra11sportatio11</w:t>
      </w:r>
      <w:r>
        <w:rPr>
          <w:rFonts w:ascii="Times New Roman"/>
          <w:b/>
          <w:i/>
          <w:spacing w:val="29"/>
          <w:sz w:val="22"/>
        </w:rPr>
        <w:t> </w:t>
      </w:r>
      <w:r>
        <w:rPr>
          <w:rFonts w:ascii="Times New Roman"/>
          <w:sz w:val="23"/>
        </w:rPr>
        <w:t>(herein referred</w:t>
      </w:r>
      <w:r>
        <w:rPr>
          <w:rFonts w:ascii="Times New Roman"/>
          <w:spacing w:val="40"/>
          <w:sz w:val="23"/>
        </w:rPr>
        <w:t> </w:t>
      </w:r>
      <w:r>
        <w:rPr>
          <w:rFonts w:ascii="Times New Roman"/>
          <w:sz w:val="23"/>
        </w:rPr>
        <w:t>to as the "Recipient")</w:t>
      </w:r>
      <w:r>
        <w:rPr>
          <w:rFonts w:ascii="Times New Roman"/>
          <w:spacing w:val="40"/>
          <w:sz w:val="23"/>
        </w:rPr>
        <w:t> </w:t>
      </w:r>
      <w:r>
        <w:rPr>
          <w:rFonts w:ascii="Times New Roman"/>
          <w:b/>
          <w:sz w:val="23"/>
        </w:rPr>
        <w:t>HEREBY</w:t>
      </w:r>
      <w:r>
        <w:rPr>
          <w:rFonts w:ascii="Times New Roman"/>
          <w:b/>
          <w:spacing w:val="40"/>
          <w:sz w:val="23"/>
        </w:rPr>
        <w:t> </w:t>
      </w:r>
      <w:r>
        <w:rPr>
          <w:rFonts w:ascii="Times New Roman"/>
          <w:b/>
          <w:sz w:val="23"/>
        </w:rPr>
        <w:t>AGREES THAT, </w:t>
      </w:r>
      <w:r>
        <w:rPr>
          <w:rFonts w:ascii="Times New Roman"/>
          <w:sz w:val="23"/>
        </w:rPr>
        <w:t>as a condition of</w:t>
      </w:r>
      <w:r>
        <w:rPr>
          <w:rFonts w:ascii="Times New Roman"/>
          <w:spacing w:val="40"/>
          <w:sz w:val="23"/>
        </w:rPr>
        <w:t> </w:t>
      </w:r>
      <w:r>
        <w:rPr>
          <w:rFonts w:ascii="Times New Roman"/>
          <w:sz w:val="23"/>
        </w:rPr>
        <w:t>receiving</w:t>
      </w:r>
      <w:r>
        <w:rPr>
          <w:rFonts w:ascii="Times New Roman"/>
          <w:spacing w:val="40"/>
          <w:sz w:val="23"/>
        </w:rPr>
        <w:t> </w:t>
      </w:r>
      <w:r>
        <w:rPr>
          <w:rFonts w:ascii="Times New Roman"/>
          <w:sz w:val="23"/>
        </w:rPr>
        <w:t>any</w:t>
      </w:r>
      <w:r>
        <w:rPr>
          <w:rFonts w:ascii="Times New Roman"/>
          <w:spacing w:val="37"/>
          <w:sz w:val="23"/>
        </w:rPr>
        <w:t> </w:t>
      </w:r>
      <w:r>
        <w:rPr>
          <w:rFonts w:ascii="Times New Roman"/>
          <w:sz w:val="23"/>
        </w:rPr>
        <w:t>Federal</w:t>
      </w:r>
      <w:r>
        <w:rPr>
          <w:rFonts w:ascii="Times New Roman"/>
          <w:spacing w:val="34"/>
          <w:sz w:val="23"/>
        </w:rPr>
        <w:t> </w:t>
      </w:r>
      <w:r>
        <w:rPr>
          <w:rFonts w:ascii="Times New Roman"/>
          <w:sz w:val="23"/>
        </w:rPr>
        <w:t>financial</w:t>
      </w:r>
      <w:r>
        <w:rPr>
          <w:rFonts w:ascii="Times New Roman"/>
          <w:spacing w:val="40"/>
          <w:sz w:val="23"/>
        </w:rPr>
        <w:t> </w:t>
      </w:r>
      <w:r>
        <w:rPr>
          <w:rFonts w:ascii="Times New Roman"/>
          <w:sz w:val="23"/>
        </w:rPr>
        <w:t>assistance from the U.S. Depmiment</w:t>
      </w:r>
      <w:r>
        <w:rPr>
          <w:rFonts w:ascii="Times New Roman"/>
          <w:spacing w:val="40"/>
          <w:sz w:val="23"/>
        </w:rPr>
        <w:t> </w:t>
      </w:r>
      <w:r>
        <w:rPr>
          <w:rFonts w:ascii="Times New Roman"/>
          <w:sz w:val="23"/>
        </w:rPr>
        <w:t>of Transp011ation (USDOT) through</w:t>
      </w:r>
      <w:r>
        <w:rPr>
          <w:rFonts w:ascii="Times New Roman"/>
          <w:spacing w:val="40"/>
          <w:sz w:val="23"/>
        </w:rPr>
        <w:t> </w:t>
      </w:r>
      <w:r>
        <w:rPr>
          <w:rFonts w:ascii="Times New Roman"/>
          <w:sz w:val="23"/>
        </w:rPr>
        <w:t>the</w:t>
      </w:r>
      <w:r>
        <w:rPr>
          <w:rFonts w:ascii="Times New Roman"/>
          <w:spacing w:val="40"/>
          <w:sz w:val="23"/>
        </w:rPr>
        <w:t> </w:t>
      </w:r>
      <w:r>
        <w:rPr>
          <w:rFonts w:ascii="Times New Roman"/>
          <w:b/>
          <w:i/>
          <w:sz w:val="22"/>
        </w:rPr>
        <w:t>Federal</w:t>
      </w:r>
      <w:r>
        <w:rPr>
          <w:rFonts w:ascii="Times New Roman"/>
          <w:b/>
          <w:i/>
          <w:spacing w:val="40"/>
          <w:sz w:val="22"/>
        </w:rPr>
        <w:t> </w:t>
      </w:r>
      <w:r>
        <w:rPr>
          <w:rFonts w:ascii="Times New Roman"/>
          <w:b/>
          <w:i/>
          <w:sz w:val="22"/>
        </w:rPr>
        <w:t>Transit</w:t>
      </w:r>
      <w:r>
        <w:rPr>
          <w:rFonts w:ascii="Times New Roman"/>
          <w:b/>
          <w:i/>
          <w:spacing w:val="40"/>
          <w:sz w:val="22"/>
        </w:rPr>
        <w:t> </w:t>
      </w:r>
      <w:r>
        <w:rPr>
          <w:rFonts w:ascii="Times New Roman"/>
          <w:b/>
          <w:i/>
          <w:sz w:val="22"/>
        </w:rPr>
        <w:t>Administration (FTA), </w:t>
      </w:r>
      <w:r>
        <w:rPr>
          <w:rFonts w:ascii="Times New Roman"/>
          <w:sz w:val="23"/>
        </w:rPr>
        <w:t>is subject</w:t>
      </w:r>
      <w:r>
        <w:rPr>
          <w:rFonts w:ascii="Times New Roman"/>
          <w:spacing w:val="40"/>
          <w:sz w:val="23"/>
        </w:rPr>
        <w:t> </w:t>
      </w:r>
      <w:r>
        <w:rPr>
          <w:rFonts w:ascii="Times New Roman"/>
          <w:sz w:val="23"/>
        </w:rPr>
        <w:t>to and will comply with the following:</w:t>
      </w:r>
    </w:p>
    <w:p>
      <w:pPr>
        <w:pStyle w:val="BodyText"/>
        <w:spacing w:before="9"/>
        <w:rPr>
          <w:rFonts w:ascii="Times New Roman"/>
          <w:sz w:val="15"/>
        </w:rPr>
      </w:pPr>
    </w:p>
    <w:p>
      <w:pPr>
        <w:spacing w:before="91"/>
        <w:ind w:left="318" w:right="0" w:firstLine="0"/>
        <w:jc w:val="left"/>
        <w:rPr>
          <w:rFonts w:ascii="Times New Roman"/>
          <w:b/>
          <w:sz w:val="23"/>
        </w:rPr>
      </w:pPr>
      <w:r>
        <w:rPr>
          <w:rFonts w:ascii="Times New Roman"/>
          <w:b/>
          <w:spacing w:val="2"/>
          <w:sz w:val="23"/>
          <w:u w:val="thick"/>
        </w:rPr>
        <w:t>Statutory/Regulatory</w:t>
      </w:r>
      <w:r>
        <w:rPr>
          <w:rFonts w:ascii="Times New Roman"/>
          <w:b/>
          <w:spacing w:val="41"/>
          <w:sz w:val="23"/>
          <w:u w:val="thick"/>
        </w:rPr>
        <w:t> </w:t>
      </w:r>
      <w:r>
        <w:rPr>
          <w:rFonts w:ascii="Times New Roman"/>
          <w:b/>
          <w:spacing w:val="-2"/>
          <w:sz w:val="23"/>
          <w:u w:val="thick"/>
        </w:rPr>
        <w:t>Authorities</w:t>
      </w:r>
    </w:p>
    <w:p>
      <w:pPr>
        <w:pStyle w:val="BodyText"/>
        <w:spacing w:before="8"/>
        <w:rPr>
          <w:rFonts w:ascii="Times New Roman"/>
          <w:b/>
          <w:sz w:val="29"/>
        </w:rPr>
      </w:pPr>
    </w:p>
    <w:p>
      <w:pPr>
        <w:pStyle w:val="ListParagraph"/>
        <w:numPr>
          <w:ilvl w:val="0"/>
          <w:numId w:val="29"/>
        </w:numPr>
        <w:tabs>
          <w:tab w:pos="950" w:val="left" w:leader="none"/>
        </w:tabs>
        <w:spacing w:line="261" w:lineRule="auto" w:before="0" w:after="0"/>
        <w:ind w:left="950" w:right="954" w:hanging="272"/>
        <w:jc w:val="left"/>
        <w:rPr>
          <w:rFonts w:ascii="Times New Roman" w:hAnsi="Times New Roman"/>
          <w:sz w:val="23"/>
        </w:rPr>
      </w:pPr>
      <w:r>
        <w:rPr>
          <w:rFonts w:ascii="Times New Roman" w:hAnsi="Times New Roman"/>
          <w:w w:val="105"/>
          <w:sz w:val="23"/>
        </w:rPr>
        <w:t>Title</w:t>
      </w:r>
      <w:r>
        <w:rPr>
          <w:rFonts w:ascii="Times New Roman" w:hAnsi="Times New Roman"/>
          <w:spacing w:val="-15"/>
          <w:w w:val="105"/>
          <w:sz w:val="23"/>
        </w:rPr>
        <w:t> </w:t>
      </w:r>
      <w:r>
        <w:rPr>
          <w:rFonts w:ascii="Times New Roman" w:hAnsi="Times New Roman"/>
          <w:w w:val="105"/>
          <w:sz w:val="23"/>
        </w:rPr>
        <w:t>VI</w:t>
      </w:r>
      <w:r>
        <w:rPr>
          <w:rFonts w:ascii="Times New Roman" w:hAnsi="Times New Roman"/>
          <w:spacing w:val="-13"/>
          <w:w w:val="105"/>
          <w:sz w:val="23"/>
        </w:rPr>
        <w:t> </w:t>
      </w:r>
      <w:r>
        <w:rPr>
          <w:rFonts w:ascii="Times New Roman" w:hAnsi="Times New Roman"/>
          <w:w w:val="105"/>
          <w:sz w:val="23"/>
        </w:rPr>
        <w:t>of</w:t>
      </w:r>
      <w:r>
        <w:rPr>
          <w:rFonts w:ascii="Times New Roman" w:hAnsi="Times New Roman"/>
          <w:spacing w:val="-13"/>
          <w:w w:val="105"/>
          <w:sz w:val="23"/>
        </w:rPr>
        <w:t> </w:t>
      </w:r>
      <w:r>
        <w:rPr>
          <w:rFonts w:ascii="Times New Roman" w:hAnsi="Times New Roman"/>
          <w:w w:val="105"/>
          <w:sz w:val="23"/>
        </w:rPr>
        <w:t>the</w:t>
      </w:r>
      <w:r>
        <w:rPr>
          <w:rFonts w:ascii="Times New Roman" w:hAnsi="Times New Roman"/>
          <w:spacing w:val="-8"/>
          <w:w w:val="105"/>
          <w:sz w:val="23"/>
        </w:rPr>
        <w:t> </w:t>
      </w:r>
      <w:r>
        <w:rPr>
          <w:rFonts w:ascii="Times New Roman" w:hAnsi="Times New Roman"/>
          <w:w w:val="105"/>
          <w:sz w:val="23"/>
        </w:rPr>
        <w:t>Civil</w:t>
      </w:r>
      <w:r>
        <w:rPr>
          <w:rFonts w:ascii="Times New Roman" w:hAnsi="Times New Roman"/>
          <w:spacing w:val="-7"/>
          <w:w w:val="105"/>
          <w:sz w:val="23"/>
        </w:rPr>
        <w:t> </w:t>
      </w:r>
      <w:r>
        <w:rPr>
          <w:rFonts w:ascii="Times New Roman" w:hAnsi="Times New Roman"/>
          <w:w w:val="105"/>
          <w:sz w:val="23"/>
        </w:rPr>
        <w:t>Rights</w:t>
      </w:r>
      <w:r>
        <w:rPr>
          <w:rFonts w:ascii="Times New Roman" w:hAnsi="Times New Roman"/>
          <w:spacing w:val="-3"/>
          <w:w w:val="105"/>
          <w:sz w:val="23"/>
        </w:rPr>
        <w:t> </w:t>
      </w:r>
      <w:r>
        <w:rPr>
          <w:rFonts w:ascii="Times New Roman" w:hAnsi="Times New Roman"/>
          <w:w w:val="105"/>
          <w:sz w:val="23"/>
        </w:rPr>
        <w:t>Act</w:t>
      </w:r>
      <w:r>
        <w:rPr>
          <w:rFonts w:ascii="Times New Roman" w:hAnsi="Times New Roman"/>
          <w:spacing w:val="-14"/>
          <w:w w:val="105"/>
          <w:sz w:val="23"/>
        </w:rPr>
        <w:t> </w:t>
      </w:r>
      <w:r>
        <w:rPr>
          <w:rFonts w:ascii="Times New Roman" w:hAnsi="Times New Roman"/>
          <w:w w:val="105"/>
          <w:sz w:val="23"/>
        </w:rPr>
        <w:t>of</w:t>
      </w:r>
      <w:r>
        <w:rPr>
          <w:rFonts w:ascii="Times New Roman" w:hAnsi="Times New Roman"/>
          <w:spacing w:val="-11"/>
          <w:w w:val="105"/>
          <w:sz w:val="23"/>
        </w:rPr>
        <w:t> </w:t>
      </w:r>
      <w:r>
        <w:rPr>
          <w:rFonts w:ascii="Times New Roman" w:hAnsi="Times New Roman"/>
          <w:w w:val="105"/>
          <w:sz w:val="23"/>
        </w:rPr>
        <w:t>1964</w:t>
      </w:r>
      <w:r>
        <w:rPr>
          <w:rFonts w:ascii="Times New Roman" w:hAnsi="Times New Roman"/>
          <w:spacing w:val="-10"/>
          <w:w w:val="105"/>
          <w:sz w:val="23"/>
        </w:rPr>
        <w:t> </w:t>
      </w:r>
      <w:r>
        <w:rPr>
          <w:rFonts w:ascii="Times New Roman" w:hAnsi="Times New Roman"/>
          <w:w w:val="105"/>
          <w:sz w:val="23"/>
        </w:rPr>
        <w:t>(42</w:t>
      </w:r>
      <w:r>
        <w:rPr>
          <w:rFonts w:ascii="Times New Roman" w:hAnsi="Times New Roman"/>
          <w:spacing w:val="-4"/>
          <w:w w:val="105"/>
          <w:sz w:val="23"/>
        </w:rPr>
        <w:t> </w:t>
      </w:r>
      <w:r>
        <w:rPr>
          <w:rFonts w:ascii="Times New Roman" w:hAnsi="Times New Roman"/>
          <w:w w:val="105"/>
          <w:sz w:val="23"/>
        </w:rPr>
        <w:t>U.S.C.</w:t>
      </w:r>
      <w:r>
        <w:rPr>
          <w:rFonts w:ascii="Times New Roman" w:hAnsi="Times New Roman"/>
          <w:spacing w:val="-7"/>
          <w:w w:val="105"/>
          <w:sz w:val="23"/>
        </w:rPr>
        <w:t> </w:t>
      </w:r>
      <w:r>
        <w:rPr>
          <w:rFonts w:ascii="Times New Roman" w:hAnsi="Times New Roman"/>
          <w:w w:val="105"/>
          <w:sz w:val="23"/>
        </w:rPr>
        <w:t>§2000d</w:t>
      </w:r>
      <w:r>
        <w:rPr>
          <w:rFonts w:ascii="Times New Roman" w:hAnsi="Times New Roman"/>
          <w:spacing w:val="-1"/>
          <w:w w:val="105"/>
          <w:sz w:val="23"/>
        </w:rPr>
        <w:t> </w:t>
      </w:r>
      <w:r>
        <w:rPr>
          <w:rFonts w:ascii="Times New Roman" w:hAnsi="Times New Roman"/>
          <w:i/>
          <w:w w:val="105"/>
          <w:sz w:val="23"/>
        </w:rPr>
        <w:t>et</w:t>
      </w:r>
      <w:r>
        <w:rPr>
          <w:rFonts w:ascii="Times New Roman" w:hAnsi="Times New Roman"/>
          <w:i/>
          <w:spacing w:val="-3"/>
          <w:w w:val="105"/>
          <w:sz w:val="23"/>
        </w:rPr>
        <w:t> </w:t>
      </w:r>
      <w:r>
        <w:rPr>
          <w:rFonts w:ascii="Times New Roman" w:hAnsi="Times New Roman"/>
          <w:i/>
          <w:w w:val="105"/>
          <w:sz w:val="23"/>
        </w:rPr>
        <w:t>seq.,</w:t>
      </w:r>
      <w:r>
        <w:rPr>
          <w:rFonts w:ascii="Times New Roman" w:hAnsi="Times New Roman"/>
          <w:i/>
          <w:spacing w:val="-19"/>
          <w:w w:val="105"/>
          <w:sz w:val="23"/>
        </w:rPr>
        <w:t> </w:t>
      </w:r>
      <w:r>
        <w:rPr>
          <w:rFonts w:ascii="Times New Roman" w:hAnsi="Times New Roman"/>
          <w:w w:val="105"/>
          <w:sz w:val="23"/>
        </w:rPr>
        <w:t>78</w:t>
      </w:r>
      <w:r>
        <w:rPr>
          <w:rFonts w:ascii="Times New Roman" w:hAnsi="Times New Roman"/>
          <w:spacing w:val="-15"/>
          <w:w w:val="105"/>
          <w:sz w:val="23"/>
        </w:rPr>
        <w:t> </w:t>
      </w:r>
      <w:r>
        <w:rPr>
          <w:rFonts w:ascii="Times New Roman" w:hAnsi="Times New Roman"/>
          <w:w w:val="105"/>
          <w:sz w:val="23"/>
        </w:rPr>
        <w:t>stat.</w:t>
      </w:r>
      <w:r>
        <w:rPr>
          <w:rFonts w:ascii="Times New Roman" w:hAnsi="Times New Roman"/>
          <w:spacing w:val="-6"/>
          <w:w w:val="105"/>
          <w:sz w:val="23"/>
        </w:rPr>
        <w:t> </w:t>
      </w:r>
      <w:r>
        <w:rPr>
          <w:rFonts w:ascii="Times New Roman" w:hAnsi="Times New Roman"/>
          <w:w w:val="105"/>
          <w:sz w:val="23"/>
        </w:rPr>
        <w:t>252),</w:t>
      </w:r>
      <w:r>
        <w:rPr>
          <w:rFonts w:ascii="Times New Roman" w:hAnsi="Times New Roman"/>
          <w:spacing w:val="-10"/>
          <w:w w:val="105"/>
          <w:sz w:val="23"/>
        </w:rPr>
        <w:t> </w:t>
      </w:r>
      <w:r>
        <w:rPr>
          <w:rFonts w:ascii="Times New Roman" w:hAnsi="Times New Roman"/>
          <w:w w:val="105"/>
          <w:sz w:val="23"/>
        </w:rPr>
        <w:t>which prohibits discrimination based on race, color, national origin;</w:t>
      </w:r>
    </w:p>
    <w:p>
      <w:pPr>
        <w:pStyle w:val="ListParagraph"/>
        <w:numPr>
          <w:ilvl w:val="0"/>
          <w:numId w:val="29"/>
        </w:numPr>
        <w:tabs>
          <w:tab w:pos="951" w:val="left" w:leader="none"/>
          <w:tab w:pos="953" w:val="left" w:leader="none"/>
        </w:tabs>
        <w:spacing w:line="261" w:lineRule="auto" w:before="0" w:after="0"/>
        <w:ind w:left="951" w:right="764" w:hanging="273"/>
        <w:jc w:val="left"/>
        <w:rPr>
          <w:rFonts w:ascii="Times New Roman" w:hAnsi="Times New Roman"/>
          <w:i/>
          <w:sz w:val="23"/>
        </w:rPr>
      </w:pPr>
      <w:r>
        <w:rPr>
          <w:rFonts w:ascii="Times New Roman" w:hAnsi="Times New Roman"/>
          <w:sz w:val="23"/>
        </w:rPr>
        <w:tab/>
      </w:r>
      <w:r>
        <w:rPr>
          <w:rFonts w:ascii="Times New Roman" w:hAnsi="Times New Roman"/>
          <w:w w:val="105"/>
          <w:sz w:val="23"/>
        </w:rPr>
        <w:t>49</w:t>
      </w:r>
      <w:r>
        <w:rPr>
          <w:rFonts w:ascii="Times New Roman" w:hAnsi="Times New Roman"/>
          <w:spacing w:val="-16"/>
          <w:w w:val="105"/>
          <w:sz w:val="23"/>
        </w:rPr>
        <w:t> </w:t>
      </w:r>
      <w:r>
        <w:rPr>
          <w:rFonts w:ascii="Times New Roman" w:hAnsi="Times New Roman"/>
          <w:w w:val="105"/>
          <w:sz w:val="23"/>
        </w:rPr>
        <w:t>C.F.R.</w:t>
      </w:r>
      <w:r>
        <w:rPr>
          <w:rFonts w:ascii="Times New Roman" w:hAnsi="Times New Roman"/>
          <w:spacing w:val="-15"/>
          <w:w w:val="105"/>
          <w:sz w:val="23"/>
        </w:rPr>
        <w:t> </w:t>
      </w:r>
      <w:r>
        <w:rPr>
          <w:rFonts w:ascii="Times New Roman" w:hAnsi="Times New Roman"/>
          <w:w w:val="105"/>
          <w:sz w:val="23"/>
        </w:rPr>
        <w:t>Part</w:t>
      </w:r>
      <w:r>
        <w:rPr>
          <w:rFonts w:ascii="Times New Roman" w:hAnsi="Times New Roman"/>
          <w:spacing w:val="-15"/>
          <w:w w:val="105"/>
          <w:sz w:val="23"/>
        </w:rPr>
        <w:t> </w:t>
      </w:r>
      <w:r>
        <w:rPr>
          <w:rFonts w:ascii="Times New Roman" w:hAnsi="Times New Roman"/>
          <w:w w:val="105"/>
          <w:sz w:val="23"/>
        </w:rPr>
        <w:t>21</w:t>
      </w:r>
      <w:r>
        <w:rPr>
          <w:rFonts w:ascii="Times New Roman" w:hAnsi="Times New Roman"/>
          <w:spacing w:val="-15"/>
          <w:w w:val="105"/>
          <w:sz w:val="23"/>
        </w:rPr>
        <w:t> </w:t>
      </w:r>
      <w:r>
        <w:rPr>
          <w:rFonts w:ascii="Times New Roman" w:hAnsi="Times New Roman"/>
          <w:w w:val="105"/>
          <w:sz w:val="23"/>
        </w:rPr>
        <w:t>(entitled</w:t>
      </w:r>
      <w:r>
        <w:rPr>
          <w:rFonts w:ascii="Times New Roman" w:hAnsi="Times New Roman"/>
          <w:spacing w:val="-12"/>
          <w:w w:val="105"/>
          <w:sz w:val="23"/>
        </w:rPr>
        <w:t> </w:t>
      </w:r>
      <w:r>
        <w:rPr>
          <w:rFonts w:ascii="Times New Roman" w:hAnsi="Times New Roman"/>
          <w:i/>
          <w:w w:val="105"/>
          <w:sz w:val="23"/>
        </w:rPr>
        <w:t>Non-discrimination</w:t>
      </w:r>
      <w:r>
        <w:rPr>
          <w:rFonts w:ascii="Times New Roman" w:hAnsi="Times New Roman"/>
          <w:i/>
          <w:spacing w:val="-15"/>
          <w:w w:val="105"/>
          <w:sz w:val="23"/>
        </w:rPr>
        <w:t> </w:t>
      </w:r>
      <w:r>
        <w:rPr>
          <w:rFonts w:ascii="Times New Roman" w:hAnsi="Times New Roman"/>
          <w:i/>
          <w:w w:val="105"/>
          <w:sz w:val="23"/>
        </w:rPr>
        <w:t>in</w:t>
      </w:r>
      <w:r>
        <w:rPr>
          <w:rFonts w:ascii="Times New Roman" w:hAnsi="Times New Roman"/>
          <w:i/>
          <w:spacing w:val="-15"/>
          <w:w w:val="105"/>
          <w:sz w:val="23"/>
        </w:rPr>
        <w:t> </w:t>
      </w:r>
      <w:r>
        <w:rPr>
          <w:rFonts w:ascii="Times New Roman" w:hAnsi="Times New Roman"/>
          <w:i/>
          <w:w w:val="105"/>
          <w:sz w:val="23"/>
        </w:rPr>
        <w:t>Federally-Assisted</w:t>
      </w:r>
      <w:r>
        <w:rPr>
          <w:rFonts w:ascii="Times New Roman" w:hAnsi="Times New Roman"/>
          <w:i/>
          <w:spacing w:val="-15"/>
          <w:w w:val="105"/>
          <w:sz w:val="23"/>
        </w:rPr>
        <w:t> </w:t>
      </w:r>
      <w:r>
        <w:rPr>
          <w:rFonts w:ascii="Times New Roman" w:hAnsi="Times New Roman"/>
          <w:i/>
          <w:w w:val="105"/>
          <w:sz w:val="23"/>
        </w:rPr>
        <w:t>Programs</w:t>
      </w:r>
      <w:r>
        <w:rPr>
          <w:rFonts w:ascii="Times New Roman" w:hAnsi="Times New Roman"/>
          <w:i/>
          <w:spacing w:val="-10"/>
          <w:w w:val="105"/>
          <w:sz w:val="23"/>
        </w:rPr>
        <w:t> </w:t>
      </w:r>
      <w:r>
        <w:rPr>
          <w:rFonts w:ascii="Times New Roman" w:hAnsi="Times New Roman"/>
          <w:i/>
          <w:w w:val="105"/>
          <w:sz w:val="23"/>
        </w:rPr>
        <w:t>of</w:t>
      </w:r>
      <w:r>
        <w:rPr>
          <w:rFonts w:ascii="Times New Roman" w:hAnsi="Times New Roman"/>
          <w:i/>
          <w:spacing w:val="-15"/>
          <w:w w:val="105"/>
          <w:sz w:val="23"/>
        </w:rPr>
        <w:t> </w:t>
      </w:r>
      <w:r>
        <w:rPr>
          <w:rFonts w:ascii="Times New Roman" w:hAnsi="Times New Roman"/>
          <w:i/>
          <w:w w:val="105"/>
          <w:sz w:val="23"/>
        </w:rPr>
        <w:t>the</w:t>
      </w:r>
      <w:r>
        <w:rPr>
          <w:rFonts w:ascii="Times New Roman" w:hAnsi="Times New Roman"/>
          <w:i/>
          <w:spacing w:val="54"/>
          <w:w w:val="105"/>
          <w:sz w:val="23"/>
        </w:rPr>
        <w:t> </w:t>
      </w:r>
      <w:r>
        <w:rPr>
          <w:rFonts w:ascii="Times New Roman" w:hAnsi="Times New Roman"/>
          <w:i/>
          <w:w w:val="105"/>
          <w:sz w:val="23"/>
        </w:rPr>
        <w:t>Department</w:t>
      </w:r>
      <w:r>
        <w:rPr>
          <w:rFonts w:ascii="Times New Roman" w:hAnsi="Times New Roman"/>
          <w:i/>
          <w:w w:val="105"/>
          <w:sz w:val="23"/>
        </w:rPr>
        <w:t> of Transportation F/Jectuation</w:t>
      </w:r>
      <w:r>
        <w:rPr>
          <w:rFonts w:ascii="Times New Roman" w:hAnsi="Times New Roman"/>
          <w:i/>
          <w:spacing w:val="40"/>
          <w:w w:val="105"/>
          <w:sz w:val="23"/>
        </w:rPr>
        <w:t> </w:t>
      </w:r>
      <w:r>
        <w:rPr>
          <w:rFonts w:ascii="Times New Roman" w:hAnsi="Times New Roman"/>
          <w:i/>
          <w:w w:val="105"/>
          <w:sz w:val="23"/>
        </w:rPr>
        <w:t>a/Title</w:t>
      </w:r>
      <w:r>
        <w:rPr>
          <w:rFonts w:ascii="Times New Roman" w:hAnsi="Times New Roman"/>
          <w:i/>
          <w:spacing w:val="40"/>
          <w:w w:val="105"/>
          <w:sz w:val="23"/>
        </w:rPr>
        <w:t> </w:t>
      </w:r>
      <w:r>
        <w:rPr>
          <w:rFonts w:ascii="Times New Roman" w:hAnsi="Times New Roman"/>
          <w:i/>
          <w:w w:val="105"/>
          <w:sz w:val="23"/>
        </w:rPr>
        <w:t>VI a/The Civil</w:t>
      </w:r>
      <w:r>
        <w:rPr>
          <w:rFonts w:ascii="Times New Roman" w:hAnsi="Times New Roman"/>
          <w:i/>
          <w:spacing w:val="40"/>
          <w:w w:val="105"/>
          <w:sz w:val="23"/>
        </w:rPr>
        <w:t> </w:t>
      </w:r>
      <w:r>
        <w:rPr>
          <w:rFonts w:ascii="Times New Roman" w:hAnsi="Times New Roman"/>
          <w:i/>
          <w:w w:val="105"/>
          <w:sz w:val="23"/>
        </w:rPr>
        <w:t>Rights</w:t>
      </w:r>
      <w:r>
        <w:rPr>
          <w:rFonts w:ascii="Times New Roman" w:hAnsi="Times New Roman"/>
          <w:i/>
          <w:spacing w:val="40"/>
          <w:w w:val="105"/>
          <w:sz w:val="23"/>
        </w:rPr>
        <w:t> </w:t>
      </w:r>
      <w:r>
        <w:rPr>
          <w:rFonts w:ascii="Times New Roman" w:hAnsi="Times New Roman"/>
          <w:i/>
          <w:w w:val="105"/>
          <w:sz w:val="23"/>
        </w:rPr>
        <w:t>Act</w:t>
      </w:r>
      <w:r>
        <w:rPr>
          <w:rFonts w:ascii="Times New Roman" w:hAnsi="Times New Roman"/>
          <w:i/>
          <w:spacing w:val="40"/>
          <w:w w:val="105"/>
          <w:sz w:val="23"/>
        </w:rPr>
        <w:t> </w:t>
      </w:r>
      <w:r>
        <w:rPr>
          <w:rFonts w:ascii="Times New Roman" w:hAnsi="Times New Roman"/>
          <w:i/>
          <w:w w:val="105"/>
          <w:sz w:val="23"/>
        </w:rPr>
        <w:t>o/1964);</w:t>
      </w:r>
    </w:p>
    <w:p>
      <w:pPr>
        <w:pStyle w:val="ListParagraph"/>
        <w:numPr>
          <w:ilvl w:val="0"/>
          <w:numId w:val="29"/>
        </w:numPr>
        <w:tabs>
          <w:tab w:pos="951" w:val="left" w:leader="none"/>
          <w:tab w:pos="956" w:val="left" w:leader="none"/>
        </w:tabs>
        <w:spacing w:line="268" w:lineRule="auto" w:before="0" w:after="0"/>
        <w:ind w:left="956" w:right="830" w:hanging="272"/>
        <w:jc w:val="left"/>
        <w:rPr>
          <w:rFonts w:ascii="Times New Roman" w:hAnsi="Times New Roman"/>
          <w:sz w:val="23"/>
        </w:rPr>
      </w:pPr>
      <w:r>
        <w:rPr>
          <w:rFonts w:ascii="Times New Roman" w:hAnsi="Times New Roman"/>
          <w:w w:val="105"/>
          <w:sz w:val="23"/>
        </w:rPr>
        <w:t>28</w:t>
      </w:r>
      <w:r>
        <w:rPr>
          <w:rFonts w:ascii="Times New Roman" w:hAnsi="Times New Roman"/>
          <w:spacing w:val="-16"/>
          <w:w w:val="105"/>
          <w:sz w:val="23"/>
        </w:rPr>
        <w:t> </w:t>
      </w:r>
      <w:r>
        <w:rPr>
          <w:rFonts w:ascii="Times New Roman" w:hAnsi="Times New Roman"/>
          <w:w w:val="105"/>
          <w:sz w:val="23"/>
        </w:rPr>
        <w:t>C.F.R.</w:t>
      </w:r>
      <w:r>
        <w:rPr>
          <w:rFonts w:ascii="Times New Roman" w:hAnsi="Times New Roman"/>
          <w:spacing w:val="-10"/>
          <w:w w:val="105"/>
          <w:sz w:val="23"/>
        </w:rPr>
        <w:t> </w:t>
      </w:r>
      <w:r>
        <w:rPr>
          <w:rFonts w:ascii="Times New Roman" w:hAnsi="Times New Roman"/>
          <w:w w:val="105"/>
          <w:sz w:val="23"/>
        </w:rPr>
        <w:t>section 50.3</w:t>
      </w:r>
      <w:r>
        <w:rPr>
          <w:rFonts w:ascii="Times New Roman" w:hAnsi="Times New Roman"/>
          <w:spacing w:val="-7"/>
          <w:w w:val="105"/>
          <w:sz w:val="23"/>
        </w:rPr>
        <w:t> </w:t>
      </w:r>
      <w:r>
        <w:rPr>
          <w:rFonts w:ascii="Times New Roman" w:hAnsi="Times New Roman"/>
          <w:w w:val="105"/>
          <w:sz w:val="23"/>
        </w:rPr>
        <w:t>(U.S.</w:t>
      </w:r>
      <w:r>
        <w:rPr>
          <w:rFonts w:ascii="Times New Roman" w:hAnsi="Times New Roman"/>
          <w:spacing w:val="-6"/>
          <w:w w:val="105"/>
          <w:sz w:val="23"/>
        </w:rPr>
        <w:t> </w:t>
      </w:r>
      <w:r>
        <w:rPr>
          <w:rFonts w:ascii="Times New Roman" w:hAnsi="Times New Roman"/>
          <w:w w:val="105"/>
          <w:sz w:val="23"/>
        </w:rPr>
        <w:t>Department</w:t>
      </w:r>
      <w:r>
        <w:rPr>
          <w:rFonts w:ascii="Times New Roman" w:hAnsi="Times New Roman"/>
          <w:spacing w:val="-3"/>
          <w:w w:val="105"/>
          <w:sz w:val="23"/>
        </w:rPr>
        <w:t> </w:t>
      </w:r>
      <w:r>
        <w:rPr>
          <w:rFonts w:ascii="Times New Roman" w:hAnsi="Times New Roman"/>
          <w:w w:val="105"/>
          <w:sz w:val="23"/>
        </w:rPr>
        <w:t>of</w:t>
      </w:r>
      <w:r>
        <w:rPr>
          <w:rFonts w:ascii="Times New Roman" w:hAnsi="Times New Roman"/>
          <w:spacing w:val="-13"/>
          <w:w w:val="105"/>
          <w:sz w:val="23"/>
        </w:rPr>
        <w:t> </w:t>
      </w:r>
      <w:r>
        <w:rPr>
          <w:rFonts w:ascii="Times New Roman" w:hAnsi="Times New Roman"/>
          <w:w w:val="105"/>
          <w:sz w:val="23"/>
        </w:rPr>
        <w:t>Justice</w:t>
      </w:r>
      <w:r>
        <w:rPr>
          <w:rFonts w:ascii="Times New Roman" w:hAnsi="Times New Roman"/>
          <w:spacing w:val="-12"/>
          <w:w w:val="105"/>
          <w:sz w:val="23"/>
        </w:rPr>
        <w:t> </w:t>
      </w:r>
      <w:r>
        <w:rPr>
          <w:rFonts w:ascii="Times New Roman" w:hAnsi="Times New Roman"/>
          <w:w w:val="105"/>
          <w:sz w:val="23"/>
        </w:rPr>
        <w:t>Guidelines</w:t>
      </w:r>
      <w:r>
        <w:rPr>
          <w:rFonts w:ascii="Times New Roman" w:hAnsi="Times New Roman"/>
          <w:spacing w:val="-9"/>
          <w:w w:val="105"/>
          <w:sz w:val="23"/>
        </w:rPr>
        <w:t> </w:t>
      </w:r>
      <w:r>
        <w:rPr>
          <w:rFonts w:ascii="Times New Roman" w:hAnsi="Times New Roman"/>
          <w:w w:val="105"/>
          <w:sz w:val="23"/>
        </w:rPr>
        <w:t>for</w:t>
      </w:r>
      <w:r>
        <w:rPr>
          <w:rFonts w:ascii="Times New Roman" w:hAnsi="Times New Roman"/>
          <w:spacing w:val="-13"/>
          <w:w w:val="105"/>
          <w:sz w:val="23"/>
        </w:rPr>
        <w:t> </w:t>
      </w:r>
      <w:r>
        <w:rPr>
          <w:rFonts w:ascii="Times New Roman" w:hAnsi="Times New Roman"/>
          <w:w w:val="105"/>
          <w:sz w:val="23"/>
        </w:rPr>
        <w:t>Enforcement</w:t>
      </w:r>
      <w:r>
        <w:rPr>
          <w:rFonts w:ascii="Times New Roman" w:hAnsi="Times New Roman"/>
          <w:spacing w:val="-3"/>
          <w:w w:val="105"/>
          <w:sz w:val="23"/>
        </w:rPr>
        <w:t> </w:t>
      </w:r>
      <w:r>
        <w:rPr>
          <w:rFonts w:ascii="Times New Roman" w:hAnsi="Times New Roman"/>
          <w:w w:val="105"/>
          <w:sz w:val="23"/>
        </w:rPr>
        <w:t>of</w:t>
      </w:r>
      <w:r>
        <w:rPr>
          <w:rFonts w:ascii="Times New Roman" w:hAnsi="Times New Roman"/>
          <w:spacing w:val="-16"/>
          <w:w w:val="105"/>
          <w:sz w:val="23"/>
        </w:rPr>
        <w:t> </w:t>
      </w:r>
      <w:r>
        <w:rPr>
          <w:rFonts w:ascii="Times New Roman" w:hAnsi="Times New Roman"/>
          <w:w w:val="105"/>
          <w:sz w:val="23"/>
        </w:rPr>
        <w:t>Title</w:t>
      </w:r>
      <w:r>
        <w:rPr>
          <w:rFonts w:ascii="Times New Roman" w:hAnsi="Times New Roman"/>
          <w:spacing w:val="-7"/>
          <w:w w:val="105"/>
          <w:sz w:val="23"/>
        </w:rPr>
        <w:t> </w:t>
      </w:r>
      <w:r>
        <w:rPr>
          <w:rFonts w:ascii="Times New Roman" w:hAnsi="Times New Roman"/>
          <w:w w:val="105"/>
          <w:sz w:val="23"/>
        </w:rPr>
        <w:t>VI</w:t>
      </w:r>
      <w:r>
        <w:rPr>
          <w:rFonts w:ascii="Times New Roman" w:hAnsi="Times New Roman"/>
          <w:spacing w:val="-15"/>
          <w:w w:val="105"/>
          <w:sz w:val="23"/>
        </w:rPr>
        <w:t> </w:t>
      </w:r>
      <w:r>
        <w:rPr>
          <w:rFonts w:ascii="Times New Roman" w:hAnsi="Times New Roman"/>
          <w:w w:val="105"/>
          <w:sz w:val="23"/>
        </w:rPr>
        <w:t>of</w:t>
      </w:r>
      <w:r>
        <w:rPr>
          <w:rFonts w:ascii="Times New Roman" w:hAnsi="Times New Roman"/>
          <w:spacing w:val="55"/>
          <w:w w:val="105"/>
          <w:sz w:val="23"/>
        </w:rPr>
        <w:t> </w:t>
      </w:r>
      <w:r>
        <w:rPr>
          <w:rFonts w:ascii="Times New Roman" w:hAnsi="Times New Roman"/>
          <w:w w:val="105"/>
          <w:sz w:val="23"/>
        </w:rPr>
        <w:t>the Civil Rights Act of 1964);</w:t>
      </w:r>
    </w:p>
    <w:p>
      <w:pPr>
        <w:spacing w:line="280" w:lineRule="auto" w:before="181"/>
        <w:ind w:left="328" w:right="0" w:hanging="6"/>
        <w:jc w:val="left"/>
        <w:rPr>
          <w:rFonts w:ascii="Times New Roman"/>
          <w:sz w:val="23"/>
        </w:rPr>
      </w:pPr>
      <w:r>
        <w:rPr>
          <w:rFonts w:ascii="Times New Roman"/>
          <w:w w:val="105"/>
          <w:sz w:val="23"/>
        </w:rPr>
        <w:t>The</w:t>
      </w:r>
      <w:r>
        <w:rPr>
          <w:rFonts w:ascii="Times New Roman"/>
          <w:spacing w:val="-16"/>
          <w:w w:val="105"/>
          <w:sz w:val="23"/>
        </w:rPr>
        <w:t> </w:t>
      </w:r>
      <w:r>
        <w:rPr>
          <w:rFonts w:ascii="Times New Roman"/>
          <w:w w:val="105"/>
          <w:sz w:val="23"/>
        </w:rPr>
        <w:t>preceding</w:t>
      </w:r>
      <w:r>
        <w:rPr>
          <w:rFonts w:ascii="Times New Roman"/>
          <w:spacing w:val="-15"/>
          <w:w w:val="105"/>
          <w:sz w:val="23"/>
        </w:rPr>
        <w:t> </w:t>
      </w:r>
      <w:r>
        <w:rPr>
          <w:rFonts w:ascii="Times New Roman"/>
          <w:w w:val="105"/>
          <w:sz w:val="23"/>
        </w:rPr>
        <w:t>statut01y</w:t>
      </w:r>
      <w:r>
        <w:rPr>
          <w:rFonts w:ascii="Times New Roman"/>
          <w:spacing w:val="-15"/>
          <w:w w:val="105"/>
          <w:sz w:val="23"/>
        </w:rPr>
        <w:t> </w:t>
      </w:r>
      <w:r>
        <w:rPr>
          <w:rFonts w:ascii="Times New Roman"/>
          <w:w w:val="105"/>
          <w:sz w:val="23"/>
        </w:rPr>
        <w:t>and</w:t>
      </w:r>
      <w:r>
        <w:rPr>
          <w:rFonts w:ascii="Times New Roman"/>
          <w:spacing w:val="-14"/>
          <w:w w:val="105"/>
          <w:sz w:val="23"/>
        </w:rPr>
        <w:t> </w:t>
      </w:r>
      <w:r>
        <w:rPr>
          <w:rFonts w:ascii="Times New Roman"/>
          <w:w w:val="105"/>
          <w:sz w:val="23"/>
        </w:rPr>
        <w:t>regulatory</w:t>
      </w:r>
      <w:r>
        <w:rPr>
          <w:rFonts w:ascii="Times New Roman"/>
          <w:spacing w:val="-11"/>
          <w:w w:val="105"/>
          <w:sz w:val="23"/>
        </w:rPr>
        <w:t> </w:t>
      </w:r>
      <w:r>
        <w:rPr>
          <w:rFonts w:ascii="Times New Roman"/>
          <w:w w:val="105"/>
          <w:sz w:val="23"/>
        </w:rPr>
        <w:t>cites</w:t>
      </w:r>
      <w:r>
        <w:rPr>
          <w:rFonts w:ascii="Times New Roman"/>
          <w:spacing w:val="-15"/>
          <w:w w:val="105"/>
          <w:sz w:val="23"/>
        </w:rPr>
        <w:t> </w:t>
      </w:r>
      <w:r>
        <w:rPr>
          <w:rFonts w:ascii="Times New Roman"/>
          <w:w w:val="105"/>
          <w:sz w:val="23"/>
        </w:rPr>
        <w:t>hereinafter</w:t>
      </w:r>
      <w:r>
        <w:rPr>
          <w:rFonts w:ascii="Times New Roman"/>
          <w:spacing w:val="-14"/>
          <w:w w:val="105"/>
          <w:sz w:val="23"/>
        </w:rPr>
        <w:t> </w:t>
      </w:r>
      <w:r>
        <w:rPr>
          <w:rFonts w:ascii="Times New Roman"/>
          <w:w w:val="105"/>
          <w:sz w:val="23"/>
        </w:rPr>
        <w:t>are</w:t>
      </w:r>
      <w:r>
        <w:rPr>
          <w:rFonts w:ascii="Times New Roman"/>
          <w:spacing w:val="-15"/>
          <w:w w:val="105"/>
          <w:sz w:val="23"/>
        </w:rPr>
        <w:t> </w:t>
      </w:r>
      <w:r>
        <w:rPr>
          <w:rFonts w:ascii="Times New Roman"/>
          <w:w w:val="105"/>
          <w:sz w:val="23"/>
        </w:rPr>
        <w:t>refeffed</w:t>
      </w:r>
      <w:r>
        <w:rPr>
          <w:rFonts w:ascii="Times New Roman"/>
          <w:spacing w:val="-15"/>
          <w:w w:val="105"/>
          <w:sz w:val="23"/>
        </w:rPr>
        <w:t> </w:t>
      </w:r>
      <w:r>
        <w:rPr>
          <w:rFonts w:ascii="Times New Roman"/>
          <w:w w:val="105"/>
          <w:sz w:val="23"/>
        </w:rPr>
        <w:t>to</w:t>
      </w:r>
      <w:r>
        <w:rPr>
          <w:rFonts w:ascii="Times New Roman"/>
          <w:spacing w:val="-15"/>
          <w:w w:val="105"/>
          <w:sz w:val="23"/>
        </w:rPr>
        <w:t> </w:t>
      </w:r>
      <w:r>
        <w:rPr>
          <w:rFonts w:ascii="Times New Roman"/>
          <w:w w:val="105"/>
          <w:sz w:val="23"/>
        </w:rPr>
        <w:t>as</w:t>
      </w:r>
      <w:r>
        <w:rPr>
          <w:rFonts w:ascii="Times New Roman"/>
          <w:spacing w:val="-15"/>
          <w:w w:val="105"/>
          <w:sz w:val="23"/>
        </w:rPr>
        <w:t> </w:t>
      </w:r>
      <w:r>
        <w:rPr>
          <w:rFonts w:ascii="Times New Roman"/>
          <w:w w:val="105"/>
          <w:sz w:val="23"/>
        </w:rPr>
        <w:t>the</w:t>
      </w:r>
      <w:r>
        <w:rPr>
          <w:rFonts w:ascii="Times New Roman"/>
          <w:spacing w:val="-15"/>
          <w:w w:val="105"/>
          <w:sz w:val="23"/>
        </w:rPr>
        <w:t> </w:t>
      </w:r>
      <w:r>
        <w:rPr>
          <w:rFonts w:ascii="Times New Roman"/>
          <w:w w:val="105"/>
          <w:sz w:val="23"/>
        </w:rPr>
        <w:t>"Acts"</w:t>
      </w:r>
      <w:r>
        <w:rPr>
          <w:rFonts w:ascii="Times New Roman"/>
          <w:spacing w:val="-16"/>
          <w:w w:val="105"/>
          <w:sz w:val="23"/>
        </w:rPr>
        <w:t> </w:t>
      </w:r>
      <w:r>
        <w:rPr>
          <w:rFonts w:ascii="Times New Roman"/>
          <w:w w:val="105"/>
          <w:sz w:val="23"/>
        </w:rPr>
        <w:t>and</w:t>
      </w:r>
      <w:r>
        <w:rPr>
          <w:rFonts w:ascii="Times New Roman"/>
          <w:spacing w:val="39"/>
          <w:w w:val="105"/>
          <w:sz w:val="23"/>
        </w:rPr>
        <w:t> </w:t>
      </w:r>
      <w:r>
        <w:rPr>
          <w:rFonts w:ascii="Times New Roman"/>
          <w:w w:val="105"/>
          <w:sz w:val="23"/>
        </w:rPr>
        <w:t>"Regulations" </w:t>
      </w:r>
      <w:r>
        <w:rPr>
          <w:rFonts w:ascii="Times New Roman"/>
          <w:spacing w:val="-2"/>
          <w:w w:val="105"/>
          <w:sz w:val="23"/>
        </w:rPr>
        <w:t>respectively.</w:t>
      </w:r>
    </w:p>
    <w:p>
      <w:pPr>
        <w:pStyle w:val="BodyText"/>
        <w:spacing w:before="7"/>
        <w:rPr>
          <w:rFonts w:ascii="Times New Roman"/>
          <w:sz w:val="13"/>
        </w:rPr>
      </w:pPr>
    </w:p>
    <w:p>
      <w:pPr>
        <w:spacing w:before="91"/>
        <w:ind w:left="328" w:right="0" w:firstLine="0"/>
        <w:jc w:val="left"/>
        <w:rPr>
          <w:rFonts w:ascii="Times New Roman"/>
          <w:b/>
          <w:sz w:val="23"/>
        </w:rPr>
      </w:pPr>
      <w:r>
        <w:rPr>
          <w:rFonts w:ascii="Times New Roman"/>
          <w:b/>
          <w:sz w:val="23"/>
        </w:rPr>
        <w:t>General</w:t>
      </w:r>
      <w:r>
        <w:rPr>
          <w:rFonts w:ascii="Times New Roman"/>
          <w:b/>
          <w:spacing w:val="23"/>
          <w:sz w:val="23"/>
        </w:rPr>
        <w:t> </w:t>
      </w:r>
      <w:r>
        <w:rPr>
          <w:rFonts w:ascii="Times New Roman"/>
          <w:b/>
          <w:spacing w:val="-2"/>
          <w:sz w:val="23"/>
          <w:u w:val="thick"/>
        </w:rPr>
        <w:t>Assurances</w:t>
      </w:r>
    </w:p>
    <w:p>
      <w:pPr>
        <w:pStyle w:val="BodyText"/>
        <w:spacing w:before="10"/>
        <w:rPr>
          <w:rFonts w:ascii="Times New Roman"/>
          <w:b/>
          <w:sz w:val="27"/>
        </w:rPr>
      </w:pPr>
    </w:p>
    <w:p>
      <w:pPr>
        <w:spacing w:line="268" w:lineRule="auto" w:before="0"/>
        <w:ind w:left="329" w:right="583" w:firstLine="2"/>
        <w:jc w:val="left"/>
        <w:rPr>
          <w:rFonts w:ascii="Times New Roman"/>
          <w:sz w:val="23"/>
        </w:rPr>
      </w:pPr>
      <w:r>
        <w:rPr>
          <w:rFonts w:ascii="Times New Roman"/>
          <w:w w:val="105"/>
          <w:sz w:val="23"/>
        </w:rPr>
        <w:t>In</w:t>
      </w:r>
      <w:r>
        <w:rPr>
          <w:rFonts w:ascii="Times New Roman"/>
          <w:spacing w:val="-16"/>
          <w:w w:val="105"/>
          <w:sz w:val="23"/>
        </w:rPr>
        <w:t> </w:t>
      </w:r>
      <w:r>
        <w:rPr>
          <w:rFonts w:ascii="Times New Roman"/>
          <w:w w:val="105"/>
          <w:sz w:val="23"/>
        </w:rPr>
        <w:t>accordance</w:t>
      </w:r>
      <w:r>
        <w:rPr>
          <w:rFonts w:ascii="Times New Roman"/>
          <w:spacing w:val="-15"/>
          <w:w w:val="105"/>
          <w:sz w:val="23"/>
        </w:rPr>
        <w:t> </w:t>
      </w:r>
      <w:r>
        <w:rPr>
          <w:rFonts w:ascii="Times New Roman"/>
          <w:w w:val="105"/>
          <w:sz w:val="23"/>
        </w:rPr>
        <w:t>with</w:t>
      </w:r>
      <w:r>
        <w:rPr>
          <w:rFonts w:ascii="Times New Roman"/>
          <w:spacing w:val="-15"/>
          <w:w w:val="105"/>
          <w:sz w:val="23"/>
        </w:rPr>
        <w:t> </w:t>
      </w:r>
      <w:r>
        <w:rPr>
          <w:rFonts w:ascii="Times New Roman"/>
          <w:w w:val="105"/>
          <w:sz w:val="23"/>
        </w:rPr>
        <w:t>the</w:t>
      </w:r>
      <w:r>
        <w:rPr>
          <w:rFonts w:ascii="Times New Roman"/>
          <w:spacing w:val="-15"/>
          <w:w w:val="105"/>
          <w:sz w:val="23"/>
        </w:rPr>
        <w:t> </w:t>
      </w:r>
      <w:r>
        <w:rPr>
          <w:rFonts w:ascii="Times New Roman"/>
          <w:w w:val="105"/>
          <w:sz w:val="23"/>
        </w:rPr>
        <w:t>Acts,</w:t>
      </w:r>
      <w:r>
        <w:rPr>
          <w:rFonts w:ascii="Times New Roman"/>
          <w:spacing w:val="-15"/>
          <w:w w:val="105"/>
          <w:sz w:val="23"/>
        </w:rPr>
        <w:t> </w:t>
      </w:r>
      <w:r>
        <w:rPr>
          <w:rFonts w:ascii="Times New Roman"/>
          <w:w w:val="105"/>
          <w:sz w:val="23"/>
        </w:rPr>
        <w:t>the</w:t>
      </w:r>
      <w:r>
        <w:rPr>
          <w:rFonts w:ascii="Times New Roman"/>
          <w:spacing w:val="-15"/>
          <w:w w:val="105"/>
          <w:sz w:val="23"/>
        </w:rPr>
        <w:t> </w:t>
      </w:r>
      <w:r>
        <w:rPr>
          <w:rFonts w:ascii="Times New Roman"/>
          <w:w w:val="105"/>
          <w:sz w:val="23"/>
        </w:rPr>
        <w:t>Regulations,</w:t>
      </w:r>
      <w:r>
        <w:rPr>
          <w:rFonts w:ascii="Times New Roman"/>
          <w:spacing w:val="-6"/>
          <w:w w:val="105"/>
          <w:sz w:val="23"/>
        </w:rPr>
        <w:t> </w:t>
      </w:r>
      <w:r>
        <w:rPr>
          <w:rFonts w:ascii="Times New Roman"/>
          <w:w w:val="105"/>
          <w:sz w:val="23"/>
        </w:rPr>
        <w:t>and</w:t>
      </w:r>
      <w:r>
        <w:rPr>
          <w:rFonts w:ascii="Times New Roman"/>
          <w:spacing w:val="-15"/>
          <w:w w:val="105"/>
          <w:sz w:val="23"/>
        </w:rPr>
        <w:t> </w:t>
      </w:r>
      <w:r>
        <w:rPr>
          <w:rFonts w:ascii="Times New Roman"/>
          <w:w w:val="105"/>
          <w:sz w:val="23"/>
        </w:rPr>
        <w:t>other</w:t>
      </w:r>
      <w:r>
        <w:rPr>
          <w:rFonts w:ascii="Times New Roman"/>
          <w:spacing w:val="-10"/>
          <w:w w:val="105"/>
          <w:sz w:val="23"/>
        </w:rPr>
        <w:t> </w:t>
      </w:r>
      <w:r>
        <w:rPr>
          <w:rFonts w:ascii="Times New Roman"/>
          <w:w w:val="105"/>
          <w:sz w:val="23"/>
        </w:rPr>
        <w:t>pertinent</w:t>
      </w:r>
      <w:r>
        <w:rPr>
          <w:rFonts w:ascii="Times New Roman"/>
          <w:spacing w:val="-4"/>
          <w:w w:val="105"/>
          <w:sz w:val="23"/>
        </w:rPr>
        <w:t> </w:t>
      </w:r>
      <w:r>
        <w:rPr>
          <w:rFonts w:ascii="Times New Roman"/>
          <w:w w:val="105"/>
          <w:sz w:val="23"/>
        </w:rPr>
        <w:t>directives,</w:t>
      </w:r>
      <w:r>
        <w:rPr>
          <w:rFonts w:ascii="Times New Roman"/>
          <w:spacing w:val="-7"/>
          <w:w w:val="105"/>
          <w:sz w:val="23"/>
        </w:rPr>
        <w:t> </w:t>
      </w:r>
      <w:r>
        <w:rPr>
          <w:rFonts w:ascii="Times New Roman"/>
          <w:w w:val="105"/>
          <w:sz w:val="23"/>
        </w:rPr>
        <w:t>circulars,</w:t>
      </w:r>
      <w:r>
        <w:rPr>
          <w:rFonts w:ascii="Times New Roman"/>
          <w:spacing w:val="-6"/>
          <w:w w:val="105"/>
          <w:sz w:val="23"/>
        </w:rPr>
        <w:t> </w:t>
      </w:r>
      <w:r>
        <w:rPr>
          <w:rFonts w:ascii="Times New Roman"/>
          <w:w w:val="105"/>
          <w:sz w:val="23"/>
        </w:rPr>
        <w:t>policy,</w:t>
      </w:r>
      <w:r>
        <w:rPr>
          <w:rFonts w:ascii="Times New Roman"/>
          <w:spacing w:val="54"/>
          <w:w w:val="105"/>
          <w:sz w:val="23"/>
        </w:rPr>
        <w:t> </w:t>
      </w:r>
      <w:r>
        <w:rPr>
          <w:rFonts w:ascii="Times New Roman"/>
          <w:w w:val="105"/>
          <w:sz w:val="23"/>
        </w:rPr>
        <w:t>memoranda, and/or</w:t>
      </w:r>
      <w:r>
        <w:rPr>
          <w:rFonts w:ascii="Times New Roman"/>
          <w:spacing w:val="-1"/>
          <w:w w:val="105"/>
          <w:sz w:val="23"/>
        </w:rPr>
        <w:t> </w:t>
      </w:r>
      <w:r>
        <w:rPr>
          <w:rFonts w:ascii="Times New Roman"/>
          <w:w w:val="105"/>
          <w:sz w:val="23"/>
        </w:rPr>
        <w:t>guidance, the</w:t>
      </w:r>
      <w:r>
        <w:rPr>
          <w:rFonts w:ascii="Times New Roman"/>
          <w:spacing w:val="-15"/>
          <w:w w:val="105"/>
          <w:sz w:val="23"/>
        </w:rPr>
        <w:t> </w:t>
      </w:r>
      <w:r>
        <w:rPr>
          <w:rFonts w:ascii="Times New Roman"/>
          <w:w w:val="105"/>
          <w:sz w:val="23"/>
        </w:rPr>
        <w:t>Recipient hereby gives</w:t>
      </w:r>
      <w:r>
        <w:rPr>
          <w:rFonts w:ascii="Times New Roman"/>
          <w:spacing w:val="-10"/>
          <w:w w:val="105"/>
          <w:sz w:val="23"/>
        </w:rPr>
        <w:t> </w:t>
      </w:r>
      <w:r>
        <w:rPr>
          <w:rFonts w:ascii="Times New Roman"/>
          <w:w w:val="105"/>
          <w:sz w:val="23"/>
        </w:rPr>
        <w:t>assurance</w:t>
      </w:r>
      <w:r>
        <w:rPr>
          <w:rFonts w:ascii="Times New Roman"/>
          <w:spacing w:val="-1"/>
          <w:w w:val="105"/>
          <w:sz w:val="23"/>
        </w:rPr>
        <w:t> </w:t>
      </w:r>
      <w:r>
        <w:rPr>
          <w:rFonts w:ascii="Times New Roman"/>
          <w:w w:val="105"/>
          <w:sz w:val="23"/>
        </w:rPr>
        <w:t>that</w:t>
      </w:r>
      <w:r>
        <w:rPr>
          <w:rFonts w:ascii="Times New Roman"/>
          <w:spacing w:val="-7"/>
          <w:w w:val="105"/>
          <w:sz w:val="23"/>
        </w:rPr>
        <w:t> </w:t>
      </w:r>
      <w:r>
        <w:rPr>
          <w:rFonts w:ascii="Times New Roman"/>
          <w:w w:val="105"/>
          <w:sz w:val="23"/>
        </w:rPr>
        <w:t>it</w:t>
      </w:r>
      <w:r>
        <w:rPr>
          <w:rFonts w:ascii="Times New Roman"/>
          <w:spacing w:val="-1"/>
          <w:w w:val="105"/>
          <w:sz w:val="23"/>
        </w:rPr>
        <w:t> </w:t>
      </w:r>
      <w:r>
        <w:rPr>
          <w:rFonts w:ascii="Times New Roman"/>
          <w:w w:val="105"/>
          <w:sz w:val="23"/>
        </w:rPr>
        <w:t>will promptly take</w:t>
      </w:r>
      <w:r>
        <w:rPr>
          <w:rFonts w:ascii="Times New Roman"/>
          <w:spacing w:val="-9"/>
          <w:w w:val="105"/>
          <w:sz w:val="23"/>
        </w:rPr>
        <w:t> </w:t>
      </w:r>
      <w:r>
        <w:rPr>
          <w:rFonts w:ascii="Times New Roman"/>
          <w:w w:val="105"/>
          <w:sz w:val="23"/>
        </w:rPr>
        <w:t>any</w:t>
      </w:r>
      <w:r>
        <w:rPr>
          <w:rFonts w:ascii="Times New Roman"/>
          <w:spacing w:val="40"/>
          <w:w w:val="105"/>
          <w:sz w:val="23"/>
        </w:rPr>
        <w:t> </w:t>
      </w:r>
      <w:r>
        <w:rPr>
          <w:rFonts w:ascii="Times New Roman"/>
          <w:w w:val="105"/>
          <w:sz w:val="23"/>
        </w:rPr>
        <w:t>measures necessmy</w:t>
      </w:r>
      <w:r>
        <w:rPr>
          <w:rFonts w:ascii="Times New Roman"/>
          <w:w w:val="105"/>
          <w:sz w:val="23"/>
        </w:rPr>
        <w:t> to assure that:</w:t>
      </w:r>
    </w:p>
    <w:p>
      <w:pPr>
        <w:spacing w:line="254" w:lineRule="auto" w:before="223"/>
        <w:ind w:left="1054" w:right="1443" w:firstLine="7"/>
        <w:jc w:val="left"/>
        <w:rPr>
          <w:rFonts w:ascii="Times New Roman" w:hAnsi="Times New Roman"/>
          <w:b/>
          <w:i/>
          <w:sz w:val="22"/>
        </w:rPr>
      </w:pPr>
      <w:r>
        <w:rPr>
          <w:rFonts w:ascii="Times New Roman" w:hAnsi="Times New Roman"/>
          <w:i/>
          <w:w w:val="105"/>
          <w:sz w:val="23"/>
        </w:rPr>
        <w:t>"No</w:t>
      </w:r>
      <w:r>
        <w:rPr>
          <w:rFonts w:ascii="Times New Roman" w:hAnsi="Times New Roman"/>
          <w:i/>
          <w:spacing w:val="23"/>
          <w:w w:val="105"/>
          <w:sz w:val="23"/>
        </w:rPr>
        <w:t> </w:t>
      </w:r>
      <w:r>
        <w:rPr>
          <w:rFonts w:ascii="Times New Roman" w:hAnsi="Times New Roman"/>
          <w:i/>
          <w:w w:val="105"/>
          <w:sz w:val="23"/>
        </w:rPr>
        <w:t>person in</w:t>
      </w:r>
      <w:r>
        <w:rPr>
          <w:rFonts w:ascii="Times New Roman" w:hAnsi="Times New Roman"/>
          <w:i/>
          <w:spacing w:val="-15"/>
          <w:w w:val="105"/>
          <w:sz w:val="23"/>
        </w:rPr>
        <w:t> </w:t>
      </w:r>
      <w:r>
        <w:rPr>
          <w:rFonts w:ascii="Times New Roman" w:hAnsi="Times New Roman"/>
          <w:i/>
          <w:w w:val="105"/>
          <w:sz w:val="23"/>
        </w:rPr>
        <w:t>the United</w:t>
      </w:r>
      <w:r>
        <w:rPr>
          <w:rFonts w:ascii="Times New Roman" w:hAnsi="Times New Roman"/>
          <w:i/>
          <w:spacing w:val="-3"/>
          <w:w w:val="105"/>
          <w:sz w:val="23"/>
        </w:rPr>
        <w:t> </w:t>
      </w:r>
      <w:r>
        <w:rPr>
          <w:rFonts w:ascii="Times New Roman" w:hAnsi="Times New Roman"/>
          <w:i/>
          <w:w w:val="105"/>
          <w:sz w:val="23"/>
        </w:rPr>
        <w:t>States shall, on</w:t>
      </w:r>
      <w:r>
        <w:rPr>
          <w:rFonts w:ascii="Times New Roman" w:hAnsi="Times New Roman"/>
          <w:i/>
          <w:spacing w:val="-6"/>
          <w:w w:val="105"/>
          <w:sz w:val="23"/>
        </w:rPr>
        <w:t> </w:t>
      </w:r>
      <w:r>
        <w:rPr>
          <w:rFonts w:ascii="Times New Roman" w:hAnsi="Times New Roman"/>
          <w:i/>
          <w:w w:val="105"/>
          <w:sz w:val="23"/>
        </w:rPr>
        <w:t>the grounds of</w:t>
      </w:r>
      <w:r>
        <w:rPr>
          <w:rFonts w:ascii="Times New Roman" w:hAnsi="Times New Roman"/>
          <w:i/>
          <w:spacing w:val="-8"/>
          <w:w w:val="105"/>
          <w:sz w:val="23"/>
        </w:rPr>
        <w:t> </w:t>
      </w:r>
      <w:r>
        <w:rPr>
          <w:rFonts w:ascii="Times New Roman" w:hAnsi="Times New Roman"/>
          <w:i/>
          <w:w w:val="105"/>
          <w:sz w:val="23"/>
        </w:rPr>
        <w:t>race, color, or</w:t>
      </w:r>
      <w:r>
        <w:rPr>
          <w:rFonts w:ascii="Times New Roman" w:hAnsi="Times New Roman"/>
          <w:i/>
          <w:spacing w:val="-3"/>
          <w:w w:val="105"/>
          <w:sz w:val="23"/>
        </w:rPr>
        <w:t> </w:t>
      </w:r>
      <w:r>
        <w:rPr>
          <w:rFonts w:ascii="Times New Roman" w:hAnsi="Times New Roman"/>
          <w:i/>
          <w:w w:val="105"/>
          <w:sz w:val="23"/>
        </w:rPr>
        <w:t>national origin,</w:t>
      </w:r>
      <w:r>
        <w:rPr>
          <w:rFonts w:ascii="Times New Roman" w:hAnsi="Times New Roman"/>
          <w:i/>
          <w:w w:val="105"/>
          <w:sz w:val="23"/>
        </w:rPr>
        <w:t> be</w:t>
      </w:r>
      <w:r>
        <w:rPr>
          <w:rFonts w:ascii="Times New Roman" w:hAnsi="Times New Roman"/>
          <w:i/>
          <w:spacing w:val="-14"/>
          <w:w w:val="105"/>
          <w:sz w:val="23"/>
        </w:rPr>
        <w:t> </w:t>
      </w:r>
      <w:r>
        <w:rPr>
          <w:rFonts w:ascii="Times New Roman" w:hAnsi="Times New Roman"/>
          <w:i/>
          <w:w w:val="105"/>
          <w:sz w:val="23"/>
        </w:rPr>
        <w:t>excluded</w:t>
      </w:r>
      <w:r>
        <w:rPr>
          <w:rFonts w:ascii="Times New Roman" w:hAnsi="Times New Roman"/>
          <w:i/>
          <w:spacing w:val="33"/>
          <w:w w:val="105"/>
          <w:sz w:val="23"/>
        </w:rPr>
        <w:t> </w:t>
      </w:r>
      <w:r>
        <w:rPr>
          <w:rFonts w:ascii="Times New Roman" w:hAnsi="Times New Roman"/>
          <w:i/>
          <w:w w:val="105"/>
          <w:sz w:val="23"/>
        </w:rPr>
        <w:t>fi'om</w:t>
      </w:r>
      <w:r>
        <w:rPr>
          <w:rFonts w:ascii="Times New Roman" w:hAnsi="Times New Roman"/>
          <w:i/>
          <w:spacing w:val="-11"/>
          <w:w w:val="105"/>
          <w:sz w:val="23"/>
        </w:rPr>
        <w:t> </w:t>
      </w:r>
      <w:r>
        <w:rPr>
          <w:rFonts w:ascii="Times New Roman" w:hAnsi="Times New Roman"/>
          <w:i/>
          <w:w w:val="105"/>
          <w:sz w:val="23"/>
        </w:rPr>
        <w:t>participation in,</w:t>
      </w:r>
      <w:r>
        <w:rPr>
          <w:rFonts w:ascii="Times New Roman" w:hAnsi="Times New Roman"/>
          <w:i/>
          <w:spacing w:val="-14"/>
          <w:w w:val="105"/>
          <w:sz w:val="23"/>
        </w:rPr>
        <w:t> </w:t>
      </w:r>
      <w:r>
        <w:rPr>
          <w:rFonts w:ascii="Times New Roman" w:hAnsi="Times New Roman"/>
          <w:i/>
          <w:w w:val="105"/>
          <w:sz w:val="23"/>
        </w:rPr>
        <w:t>be</w:t>
      </w:r>
      <w:r>
        <w:rPr>
          <w:rFonts w:ascii="Times New Roman" w:hAnsi="Times New Roman"/>
          <w:i/>
          <w:spacing w:val="-12"/>
          <w:w w:val="105"/>
          <w:sz w:val="23"/>
        </w:rPr>
        <w:t> </w:t>
      </w:r>
      <w:r>
        <w:rPr>
          <w:rFonts w:ascii="Times New Roman" w:hAnsi="Times New Roman"/>
          <w:i/>
          <w:w w:val="105"/>
          <w:sz w:val="23"/>
        </w:rPr>
        <w:t>denied</w:t>
      </w:r>
      <w:r>
        <w:rPr>
          <w:rFonts w:ascii="Times New Roman" w:hAnsi="Times New Roman"/>
          <w:i/>
          <w:spacing w:val="-13"/>
          <w:w w:val="105"/>
          <w:sz w:val="23"/>
        </w:rPr>
        <w:t> </w:t>
      </w:r>
      <w:r>
        <w:rPr>
          <w:rFonts w:ascii="Times New Roman" w:hAnsi="Times New Roman"/>
          <w:i/>
          <w:w w:val="105"/>
          <w:sz w:val="23"/>
        </w:rPr>
        <w:t>the</w:t>
      </w:r>
      <w:r>
        <w:rPr>
          <w:rFonts w:ascii="Times New Roman" w:hAnsi="Times New Roman"/>
          <w:i/>
          <w:spacing w:val="-10"/>
          <w:w w:val="105"/>
          <w:sz w:val="23"/>
        </w:rPr>
        <w:t> </w:t>
      </w:r>
      <w:r>
        <w:rPr>
          <w:rFonts w:ascii="Times New Roman" w:hAnsi="Times New Roman"/>
          <w:i/>
          <w:w w:val="105"/>
          <w:sz w:val="23"/>
        </w:rPr>
        <w:t>benefits</w:t>
      </w:r>
      <w:r>
        <w:rPr>
          <w:rFonts w:ascii="Times New Roman" w:hAnsi="Times New Roman"/>
          <w:i/>
          <w:spacing w:val="-10"/>
          <w:w w:val="105"/>
          <w:sz w:val="23"/>
        </w:rPr>
        <w:t> </w:t>
      </w:r>
      <w:r>
        <w:rPr>
          <w:rFonts w:ascii="Times New Roman" w:hAnsi="Times New Roman"/>
          <w:i/>
          <w:w w:val="105"/>
          <w:sz w:val="23"/>
        </w:rPr>
        <w:t>of</w:t>
      </w:r>
      <w:r>
        <w:rPr>
          <w:rFonts w:ascii="Times New Roman" w:hAnsi="Times New Roman"/>
          <w:i/>
          <w:spacing w:val="32"/>
          <w:w w:val="105"/>
          <w:sz w:val="23"/>
        </w:rPr>
        <w:t> </w:t>
      </w:r>
      <w:r>
        <w:rPr>
          <w:rFonts w:ascii="Times New Roman" w:hAnsi="Times New Roman"/>
          <w:i/>
          <w:w w:val="105"/>
          <w:sz w:val="23"/>
        </w:rPr>
        <w:t>or</w:t>
      </w:r>
      <w:r>
        <w:rPr>
          <w:rFonts w:ascii="Times New Roman" w:hAnsi="Times New Roman"/>
          <w:i/>
          <w:spacing w:val="-11"/>
          <w:w w:val="105"/>
          <w:sz w:val="23"/>
        </w:rPr>
        <w:t> </w:t>
      </w:r>
      <w:r>
        <w:rPr>
          <w:rFonts w:ascii="Times New Roman" w:hAnsi="Times New Roman"/>
          <w:i/>
          <w:w w:val="105"/>
          <w:sz w:val="23"/>
        </w:rPr>
        <w:t>be</w:t>
      </w:r>
      <w:r>
        <w:rPr>
          <w:rFonts w:ascii="Times New Roman" w:hAnsi="Times New Roman"/>
          <w:i/>
          <w:spacing w:val="-14"/>
          <w:w w:val="105"/>
          <w:sz w:val="23"/>
        </w:rPr>
        <w:t> </w:t>
      </w:r>
      <w:r>
        <w:rPr>
          <w:rFonts w:ascii="Times New Roman" w:hAnsi="Times New Roman"/>
          <w:i/>
          <w:w w:val="105"/>
          <w:sz w:val="23"/>
        </w:rPr>
        <w:t>otherwise subjected</w:t>
      </w:r>
      <w:r>
        <w:rPr>
          <w:rFonts w:ascii="Times New Roman" w:hAnsi="Times New Roman"/>
          <w:i/>
          <w:spacing w:val="-6"/>
          <w:w w:val="105"/>
          <w:sz w:val="23"/>
        </w:rPr>
        <w:t> </w:t>
      </w:r>
      <w:r>
        <w:rPr>
          <w:rFonts w:ascii="Times New Roman" w:hAnsi="Times New Roman"/>
          <w:i/>
          <w:w w:val="105"/>
          <w:sz w:val="23"/>
        </w:rPr>
        <w:t>to discrimination</w:t>
      </w:r>
      <w:r>
        <w:rPr>
          <w:rFonts w:ascii="Times New Roman" w:hAnsi="Times New Roman"/>
          <w:i/>
          <w:spacing w:val="-17"/>
          <w:w w:val="105"/>
          <w:sz w:val="23"/>
        </w:rPr>
        <w:t> </w:t>
      </w:r>
      <w:r>
        <w:rPr>
          <w:rFonts w:ascii="Times New Roman" w:hAnsi="Times New Roman"/>
          <w:i/>
          <w:w w:val="105"/>
          <w:sz w:val="23"/>
        </w:rPr>
        <w:t>under any</w:t>
      </w:r>
      <w:r>
        <w:rPr>
          <w:rFonts w:ascii="Times New Roman" w:hAnsi="Times New Roman"/>
          <w:i/>
          <w:spacing w:val="79"/>
          <w:w w:val="105"/>
          <w:sz w:val="23"/>
        </w:rPr>
        <w:t> </w:t>
      </w:r>
      <w:r>
        <w:rPr>
          <w:rFonts w:ascii="Times New Roman" w:hAnsi="Times New Roman"/>
          <w:i/>
          <w:w w:val="105"/>
          <w:sz w:val="23"/>
        </w:rPr>
        <w:t>program or</w:t>
      </w:r>
      <w:r>
        <w:rPr>
          <w:rFonts w:ascii="Times New Roman" w:hAnsi="Times New Roman"/>
          <w:i/>
          <w:spacing w:val="-4"/>
          <w:w w:val="105"/>
          <w:sz w:val="23"/>
        </w:rPr>
        <w:t> </w:t>
      </w:r>
      <w:r>
        <w:rPr>
          <w:rFonts w:ascii="Times New Roman" w:hAnsi="Times New Roman"/>
          <w:i/>
          <w:w w:val="105"/>
          <w:sz w:val="23"/>
        </w:rPr>
        <w:t>activity for</w:t>
      </w:r>
      <w:r>
        <w:rPr>
          <w:rFonts w:ascii="Times New Roman" w:hAnsi="Times New Roman"/>
          <w:i/>
          <w:spacing w:val="-5"/>
          <w:w w:val="105"/>
          <w:sz w:val="23"/>
        </w:rPr>
        <w:t> </w:t>
      </w:r>
      <w:r>
        <w:rPr>
          <w:rFonts w:ascii="Times New Roman" w:hAnsi="Times New Roman"/>
          <w:i/>
          <w:w w:val="105"/>
          <w:sz w:val="23"/>
        </w:rPr>
        <w:t>which</w:t>
      </w:r>
      <w:r>
        <w:rPr>
          <w:rFonts w:ascii="Times New Roman" w:hAnsi="Times New Roman"/>
          <w:i/>
          <w:spacing w:val="-2"/>
          <w:w w:val="105"/>
          <w:sz w:val="23"/>
        </w:rPr>
        <w:t> </w:t>
      </w:r>
      <w:r>
        <w:rPr>
          <w:rFonts w:ascii="Times New Roman" w:hAnsi="Times New Roman"/>
          <w:i/>
          <w:w w:val="105"/>
          <w:sz w:val="23"/>
        </w:rPr>
        <w:t>the Recipient receives Federal financial assistancefi·om DOT,</w:t>
      </w:r>
      <w:r>
        <w:rPr>
          <w:rFonts w:ascii="Times New Roman" w:hAnsi="Times New Roman"/>
          <w:i/>
          <w:spacing w:val="80"/>
          <w:w w:val="105"/>
          <w:sz w:val="23"/>
        </w:rPr>
        <w:t> </w:t>
      </w:r>
      <w:r>
        <w:rPr>
          <w:rFonts w:ascii="Times New Roman" w:hAnsi="Times New Roman"/>
          <w:i/>
          <w:w w:val="105"/>
          <w:sz w:val="23"/>
        </w:rPr>
        <w:t>including the </w:t>
      </w:r>
      <w:r>
        <w:rPr>
          <w:rFonts w:ascii="Times New Roman" w:hAnsi="Times New Roman"/>
          <w:b/>
          <w:i/>
          <w:w w:val="105"/>
          <w:sz w:val="22"/>
        </w:rPr>
        <w:t>FTA."</w:t>
      </w:r>
    </w:p>
    <w:p>
      <w:pPr>
        <w:pStyle w:val="BodyText"/>
        <w:spacing w:before="3"/>
        <w:rPr>
          <w:rFonts w:ascii="Times New Roman"/>
          <w:b/>
          <w:i/>
          <w:sz w:val="22"/>
        </w:rPr>
      </w:pPr>
    </w:p>
    <w:p>
      <w:pPr>
        <w:spacing w:line="254" w:lineRule="auto" w:before="1"/>
        <w:ind w:left="336" w:right="583" w:firstLine="1"/>
        <w:jc w:val="left"/>
        <w:rPr>
          <w:rFonts w:ascii="Times New Roman" w:hAnsi="Times New Roman"/>
          <w:sz w:val="23"/>
        </w:rPr>
      </w:pPr>
      <w:r>
        <w:rPr>
          <w:rFonts w:ascii="Times New Roman" w:hAnsi="Times New Roman"/>
          <w:w w:val="105"/>
          <w:sz w:val="23"/>
        </w:rPr>
        <w:t>The</w:t>
      </w:r>
      <w:r>
        <w:rPr>
          <w:rFonts w:ascii="Times New Roman" w:hAnsi="Times New Roman"/>
          <w:spacing w:val="-16"/>
          <w:w w:val="105"/>
          <w:sz w:val="23"/>
        </w:rPr>
        <w:t> </w:t>
      </w:r>
      <w:r>
        <w:rPr>
          <w:rFonts w:ascii="Times New Roman" w:hAnsi="Times New Roman"/>
          <w:w w:val="105"/>
          <w:sz w:val="23"/>
        </w:rPr>
        <w:t>Civil</w:t>
      </w:r>
      <w:r>
        <w:rPr>
          <w:rFonts w:ascii="Times New Roman" w:hAnsi="Times New Roman"/>
          <w:spacing w:val="-8"/>
          <w:w w:val="105"/>
          <w:sz w:val="23"/>
        </w:rPr>
        <w:t> </w:t>
      </w:r>
      <w:r>
        <w:rPr>
          <w:rFonts w:ascii="Times New Roman" w:hAnsi="Times New Roman"/>
          <w:w w:val="105"/>
          <w:sz w:val="23"/>
        </w:rPr>
        <w:t>Rights</w:t>
      </w:r>
      <w:r>
        <w:rPr>
          <w:rFonts w:ascii="Times New Roman" w:hAnsi="Times New Roman"/>
          <w:spacing w:val="-6"/>
          <w:w w:val="105"/>
          <w:sz w:val="23"/>
        </w:rPr>
        <w:t> </w:t>
      </w:r>
      <w:r>
        <w:rPr>
          <w:rFonts w:ascii="Times New Roman" w:hAnsi="Times New Roman"/>
          <w:w w:val="105"/>
          <w:sz w:val="23"/>
        </w:rPr>
        <w:t>Restoration</w:t>
      </w:r>
      <w:r>
        <w:rPr>
          <w:rFonts w:ascii="Times New Roman" w:hAnsi="Times New Roman"/>
          <w:spacing w:val="-3"/>
          <w:w w:val="105"/>
          <w:sz w:val="23"/>
        </w:rPr>
        <w:t> </w:t>
      </w:r>
      <w:r>
        <w:rPr>
          <w:rFonts w:ascii="Times New Roman" w:hAnsi="Times New Roman"/>
          <w:w w:val="105"/>
          <w:sz w:val="23"/>
        </w:rPr>
        <w:t>Act</w:t>
      </w:r>
      <w:r>
        <w:rPr>
          <w:rFonts w:ascii="Times New Roman" w:hAnsi="Times New Roman"/>
          <w:spacing w:val="-8"/>
          <w:w w:val="105"/>
          <w:sz w:val="23"/>
        </w:rPr>
        <w:t> </w:t>
      </w:r>
      <w:r>
        <w:rPr>
          <w:rFonts w:ascii="Times New Roman" w:hAnsi="Times New Roman"/>
          <w:w w:val="105"/>
          <w:sz w:val="23"/>
        </w:rPr>
        <w:t>of</w:t>
      </w:r>
      <w:r>
        <w:rPr>
          <w:rFonts w:ascii="Times New Roman" w:hAnsi="Times New Roman"/>
          <w:spacing w:val="-11"/>
          <w:w w:val="105"/>
          <w:sz w:val="23"/>
        </w:rPr>
        <w:t> </w:t>
      </w:r>
      <w:r>
        <w:rPr>
          <w:rFonts w:ascii="Times New Roman" w:hAnsi="Times New Roman"/>
          <w:w w:val="105"/>
          <w:sz w:val="23"/>
        </w:rPr>
        <w:t>1987</w:t>
      </w:r>
      <w:r>
        <w:rPr>
          <w:rFonts w:ascii="Times New Roman" w:hAnsi="Times New Roman"/>
          <w:spacing w:val="-16"/>
          <w:w w:val="105"/>
          <w:sz w:val="23"/>
        </w:rPr>
        <w:t> </w:t>
      </w:r>
      <w:r>
        <w:rPr>
          <w:rFonts w:ascii="Times New Roman" w:hAnsi="Times New Roman"/>
          <w:w w:val="105"/>
          <w:sz w:val="23"/>
        </w:rPr>
        <w:t>clarified</w:t>
      </w:r>
      <w:r>
        <w:rPr>
          <w:rFonts w:ascii="Times New Roman" w:hAnsi="Times New Roman"/>
          <w:spacing w:val="-11"/>
          <w:w w:val="105"/>
          <w:sz w:val="23"/>
        </w:rPr>
        <w:t> </w:t>
      </w:r>
      <w:r>
        <w:rPr>
          <w:rFonts w:ascii="Times New Roman" w:hAnsi="Times New Roman"/>
          <w:w w:val="105"/>
          <w:sz w:val="23"/>
        </w:rPr>
        <w:t>the</w:t>
      </w:r>
      <w:r>
        <w:rPr>
          <w:rFonts w:ascii="Times New Roman" w:hAnsi="Times New Roman"/>
          <w:spacing w:val="-16"/>
          <w:w w:val="105"/>
          <w:sz w:val="23"/>
        </w:rPr>
        <w:t> </w:t>
      </w:r>
      <w:r>
        <w:rPr>
          <w:rFonts w:ascii="Times New Roman" w:hAnsi="Times New Roman"/>
          <w:w w:val="105"/>
          <w:sz w:val="23"/>
        </w:rPr>
        <w:t>original</w:t>
      </w:r>
      <w:r>
        <w:rPr>
          <w:rFonts w:ascii="Times New Roman" w:hAnsi="Times New Roman"/>
          <w:spacing w:val="-6"/>
          <w:w w:val="105"/>
          <w:sz w:val="23"/>
        </w:rPr>
        <w:t> </w:t>
      </w:r>
      <w:r>
        <w:rPr>
          <w:rFonts w:ascii="Times New Roman" w:hAnsi="Times New Roman"/>
          <w:w w:val="105"/>
          <w:sz w:val="23"/>
        </w:rPr>
        <w:t>intent</w:t>
      </w:r>
      <w:r>
        <w:rPr>
          <w:rFonts w:ascii="Times New Roman" w:hAnsi="Times New Roman"/>
          <w:spacing w:val="-2"/>
          <w:w w:val="105"/>
          <w:sz w:val="23"/>
        </w:rPr>
        <w:t> </w:t>
      </w:r>
      <w:r>
        <w:rPr>
          <w:rFonts w:ascii="Times New Roman" w:hAnsi="Times New Roman"/>
          <w:w w:val="105"/>
          <w:sz w:val="23"/>
        </w:rPr>
        <w:t>of</w:t>
      </w:r>
      <w:r>
        <w:rPr>
          <w:rFonts w:ascii="Times New Roman" w:hAnsi="Times New Roman"/>
          <w:spacing w:val="-8"/>
          <w:w w:val="105"/>
          <w:sz w:val="23"/>
        </w:rPr>
        <w:t> </w:t>
      </w:r>
      <w:r>
        <w:rPr>
          <w:rFonts w:ascii="Times New Roman" w:hAnsi="Times New Roman"/>
          <w:w w:val="105"/>
          <w:sz w:val="23"/>
        </w:rPr>
        <w:t>Congress,</w:t>
      </w:r>
      <w:r>
        <w:rPr>
          <w:rFonts w:ascii="Times New Roman" w:hAnsi="Times New Roman"/>
          <w:spacing w:val="-5"/>
          <w:w w:val="105"/>
          <w:sz w:val="23"/>
        </w:rPr>
        <w:t> </w:t>
      </w:r>
      <w:r>
        <w:rPr>
          <w:rFonts w:ascii="Times New Roman" w:hAnsi="Times New Roman"/>
          <w:w w:val="105"/>
          <w:sz w:val="23"/>
        </w:rPr>
        <w:t>with</w:t>
      </w:r>
      <w:r>
        <w:rPr>
          <w:rFonts w:ascii="Times New Roman" w:hAnsi="Times New Roman"/>
          <w:spacing w:val="-4"/>
          <w:w w:val="105"/>
          <w:sz w:val="23"/>
        </w:rPr>
        <w:t> </w:t>
      </w:r>
      <w:r>
        <w:rPr>
          <w:rFonts w:ascii="Times New Roman" w:hAnsi="Times New Roman"/>
          <w:w w:val="105"/>
          <w:sz w:val="23"/>
        </w:rPr>
        <w:t>respect</w:t>
      </w:r>
      <w:r>
        <w:rPr>
          <w:rFonts w:ascii="Times New Roman" w:hAnsi="Times New Roman"/>
          <w:spacing w:val="-8"/>
          <w:w w:val="105"/>
          <w:sz w:val="23"/>
        </w:rPr>
        <w:t> </w:t>
      </w:r>
      <w:r>
        <w:rPr>
          <w:rFonts w:ascii="Times New Roman" w:hAnsi="Times New Roman"/>
          <w:w w:val="105"/>
          <w:sz w:val="23"/>
        </w:rPr>
        <w:t>to</w:t>
      </w:r>
      <w:r>
        <w:rPr>
          <w:rFonts w:ascii="Times New Roman" w:hAnsi="Times New Roman"/>
          <w:spacing w:val="-16"/>
          <w:w w:val="105"/>
          <w:sz w:val="23"/>
        </w:rPr>
        <w:t> </w:t>
      </w:r>
      <w:r>
        <w:rPr>
          <w:rFonts w:ascii="Times New Roman" w:hAnsi="Times New Roman"/>
          <w:w w:val="105"/>
          <w:sz w:val="23"/>
        </w:rPr>
        <w:t>Title</w:t>
      </w:r>
      <w:r>
        <w:rPr>
          <w:rFonts w:ascii="Times New Roman" w:hAnsi="Times New Roman"/>
          <w:spacing w:val="73"/>
          <w:w w:val="105"/>
          <w:sz w:val="23"/>
        </w:rPr>
        <w:t> </w:t>
      </w:r>
      <w:r>
        <w:rPr>
          <w:rFonts w:ascii="Times New Roman" w:hAnsi="Times New Roman"/>
          <w:w w:val="105"/>
          <w:sz w:val="23"/>
        </w:rPr>
        <w:t>VI and other non-discrimination</w:t>
      </w:r>
      <w:r>
        <w:rPr>
          <w:rFonts w:ascii="Times New Roman" w:hAnsi="Times New Roman"/>
          <w:spacing w:val="-8"/>
          <w:w w:val="105"/>
          <w:sz w:val="23"/>
        </w:rPr>
        <w:t> </w:t>
      </w:r>
      <w:r>
        <w:rPr>
          <w:rFonts w:ascii="Times New Roman" w:hAnsi="Times New Roman"/>
          <w:w w:val="105"/>
          <w:sz w:val="23"/>
        </w:rPr>
        <w:t>requirements (the Age Discrimination</w:t>
      </w:r>
      <w:r>
        <w:rPr>
          <w:rFonts w:ascii="Times New Roman" w:hAnsi="Times New Roman"/>
          <w:spacing w:val="-10"/>
          <w:w w:val="105"/>
          <w:sz w:val="23"/>
        </w:rPr>
        <w:t> </w:t>
      </w:r>
      <w:r>
        <w:rPr>
          <w:rFonts w:ascii="Times New Roman" w:hAnsi="Times New Roman"/>
          <w:w w:val="105"/>
          <w:sz w:val="23"/>
        </w:rPr>
        <w:t>Act</w:t>
      </w:r>
      <w:r>
        <w:rPr>
          <w:rFonts w:ascii="Times New Roman" w:hAnsi="Times New Roman"/>
          <w:spacing w:val="-5"/>
          <w:w w:val="105"/>
          <w:sz w:val="23"/>
        </w:rPr>
        <w:t> </w:t>
      </w:r>
      <w:r>
        <w:rPr>
          <w:rFonts w:ascii="Times New Roman" w:hAnsi="Times New Roman"/>
          <w:w w:val="105"/>
          <w:sz w:val="23"/>
        </w:rPr>
        <w:t>of 1975, and</w:t>
      </w:r>
      <w:r>
        <w:rPr>
          <w:rFonts w:ascii="Times New Roman" w:hAnsi="Times New Roman"/>
          <w:spacing w:val="-1"/>
          <w:w w:val="105"/>
          <w:sz w:val="23"/>
        </w:rPr>
        <w:t> </w:t>
      </w:r>
      <w:r>
        <w:rPr>
          <w:rFonts w:ascii="Times New Roman" w:hAnsi="Times New Roman"/>
          <w:w w:val="105"/>
          <w:sz w:val="23"/>
        </w:rPr>
        <w:t>Section 504</w:t>
      </w:r>
      <w:r>
        <w:rPr>
          <w:rFonts w:ascii="Times New Roman" w:hAnsi="Times New Roman"/>
          <w:spacing w:val="80"/>
          <w:w w:val="105"/>
          <w:sz w:val="23"/>
        </w:rPr>
        <w:t> </w:t>
      </w:r>
      <w:r>
        <w:rPr>
          <w:rFonts w:ascii="Times New Roman" w:hAnsi="Times New Roman"/>
          <w:w w:val="105"/>
          <w:sz w:val="23"/>
        </w:rPr>
        <w:t>of</w:t>
      </w:r>
      <w:r>
        <w:rPr>
          <w:rFonts w:ascii="Times New Roman" w:hAnsi="Times New Roman"/>
          <w:spacing w:val="-5"/>
          <w:w w:val="105"/>
          <w:sz w:val="23"/>
        </w:rPr>
        <w:t> </w:t>
      </w:r>
      <w:r>
        <w:rPr>
          <w:rFonts w:ascii="Times New Roman" w:hAnsi="Times New Roman"/>
          <w:w w:val="105"/>
          <w:sz w:val="23"/>
        </w:rPr>
        <w:t>the Rehabilitation</w:t>
      </w:r>
      <w:r>
        <w:rPr>
          <w:rFonts w:ascii="Times New Roman" w:hAnsi="Times New Roman"/>
          <w:spacing w:val="-10"/>
          <w:w w:val="105"/>
          <w:sz w:val="23"/>
        </w:rPr>
        <w:t> </w:t>
      </w:r>
      <w:r>
        <w:rPr>
          <w:rFonts w:ascii="Times New Roman" w:hAnsi="Times New Roman"/>
          <w:w w:val="105"/>
          <w:sz w:val="23"/>
        </w:rPr>
        <w:t>Act</w:t>
      </w:r>
      <w:r>
        <w:rPr>
          <w:rFonts w:ascii="Times New Roman" w:hAnsi="Times New Roman"/>
          <w:spacing w:val="-5"/>
          <w:w w:val="105"/>
          <w:sz w:val="23"/>
        </w:rPr>
        <w:t> </w:t>
      </w:r>
      <w:r>
        <w:rPr>
          <w:rFonts w:ascii="Times New Roman" w:hAnsi="Times New Roman"/>
          <w:w w:val="105"/>
          <w:sz w:val="23"/>
        </w:rPr>
        <w:t>of</w:t>
      </w:r>
      <w:r>
        <w:rPr>
          <w:rFonts w:ascii="Times New Roman" w:hAnsi="Times New Roman"/>
          <w:spacing w:val="-2"/>
          <w:w w:val="105"/>
          <w:sz w:val="23"/>
        </w:rPr>
        <w:t> </w:t>
      </w:r>
      <w:r>
        <w:rPr>
          <w:rFonts w:ascii="Times New Roman" w:hAnsi="Times New Roman"/>
          <w:w w:val="105"/>
          <w:sz w:val="23"/>
        </w:rPr>
        <w:t>1973) by</w:t>
      </w:r>
      <w:r>
        <w:rPr>
          <w:rFonts w:ascii="Times New Roman" w:hAnsi="Times New Roman"/>
          <w:spacing w:val="-3"/>
          <w:w w:val="105"/>
          <w:sz w:val="23"/>
        </w:rPr>
        <w:t> </w:t>
      </w:r>
      <w:r>
        <w:rPr>
          <w:rFonts w:ascii="Times New Roman" w:hAnsi="Times New Roman"/>
          <w:w w:val="105"/>
          <w:sz w:val="23"/>
        </w:rPr>
        <w:t>restoring</w:t>
      </w:r>
      <w:r>
        <w:rPr>
          <w:rFonts w:ascii="Times New Roman" w:hAnsi="Times New Roman"/>
          <w:spacing w:val="-4"/>
          <w:w w:val="105"/>
          <w:sz w:val="23"/>
        </w:rPr>
        <w:t> </w:t>
      </w:r>
      <w:r>
        <w:rPr>
          <w:rFonts w:ascii="Times New Roman" w:hAnsi="Times New Roman"/>
          <w:w w:val="105"/>
          <w:sz w:val="23"/>
        </w:rPr>
        <w:t>the</w:t>
      </w:r>
      <w:r>
        <w:rPr>
          <w:rFonts w:ascii="Times New Roman" w:hAnsi="Times New Roman"/>
          <w:spacing w:val="-5"/>
          <w:w w:val="105"/>
          <w:sz w:val="23"/>
        </w:rPr>
        <w:t> </w:t>
      </w:r>
      <w:r>
        <w:rPr>
          <w:rFonts w:ascii="Times New Roman" w:hAnsi="Times New Roman"/>
          <w:w w:val="105"/>
          <w:sz w:val="23"/>
        </w:rPr>
        <w:t>broad, institutional-wide</w:t>
      </w:r>
      <w:r>
        <w:rPr>
          <w:rFonts w:ascii="Times New Roman" w:hAnsi="Times New Roman"/>
          <w:spacing w:val="-5"/>
          <w:w w:val="105"/>
          <w:sz w:val="23"/>
        </w:rPr>
        <w:t> </w:t>
      </w:r>
      <w:r>
        <w:rPr>
          <w:rFonts w:ascii="Times New Roman" w:hAnsi="Times New Roman"/>
          <w:w w:val="105"/>
          <w:sz w:val="23"/>
        </w:rPr>
        <w:t>scope and coverage of</w:t>
      </w:r>
      <w:r>
        <w:rPr>
          <w:rFonts w:ascii="Times New Roman" w:hAnsi="Times New Roman"/>
          <w:spacing w:val="80"/>
          <w:w w:val="105"/>
          <w:sz w:val="23"/>
        </w:rPr>
        <w:t> </w:t>
      </w:r>
      <w:r>
        <w:rPr>
          <w:rFonts w:ascii="Times New Roman" w:hAnsi="Times New Roman"/>
          <w:w w:val="105"/>
          <w:sz w:val="23"/>
        </w:rPr>
        <w:t>these</w:t>
      </w:r>
      <w:r>
        <w:rPr>
          <w:rFonts w:ascii="Times New Roman" w:hAnsi="Times New Roman"/>
          <w:spacing w:val="-1"/>
          <w:w w:val="105"/>
          <w:sz w:val="23"/>
        </w:rPr>
        <w:t> </w:t>
      </w:r>
      <w:r>
        <w:rPr>
          <w:rFonts w:ascii="Times New Roman" w:hAnsi="Times New Roman"/>
          <w:w w:val="105"/>
          <w:sz w:val="23"/>
        </w:rPr>
        <w:t>non­ discrimination</w:t>
      </w:r>
      <w:r>
        <w:rPr>
          <w:rFonts w:ascii="Times New Roman" w:hAnsi="Times New Roman"/>
          <w:spacing w:val="-16"/>
          <w:w w:val="105"/>
          <w:sz w:val="23"/>
        </w:rPr>
        <w:t> </w:t>
      </w:r>
      <w:r>
        <w:rPr>
          <w:rFonts w:ascii="Times New Roman" w:hAnsi="Times New Roman"/>
          <w:w w:val="105"/>
          <w:sz w:val="23"/>
        </w:rPr>
        <w:t>statutes</w:t>
      </w:r>
      <w:r>
        <w:rPr>
          <w:rFonts w:ascii="Times New Roman" w:hAnsi="Times New Roman"/>
          <w:spacing w:val="-3"/>
          <w:w w:val="105"/>
          <w:sz w:val="23"/>
        </w:rPr>
        <w:t> </w:t>
      </w:r>
      <w:r>
        <w:rPr>
          <w:rFonts w:ascii="Times New Roman" w:hAnsi="Times New Roman"/>
          <w:w w:val="105"/>
          <w:sz w:val="23"/>
        </w:rPr>
        <w:t>and</w:t>
      </w:r>
      <w:r>
        <w:rPr>
          <w:rFonts w:ascii="Times New Roman" w:hAnsi="Times New Roman"/>
          <w:spacing w:val="-2"/>
          <w:w w:val="105"/>
          <w:sz w:val="23"/>
        </w:rPr>
        <w:t> </w:t>
      </w:r>
      <w:r>
        <w:rPr>
          <w:rFonts w:ascii="Times New Roman" w:hAnsi="Times New Roman"/>
          <w:w w:val="105"/>
          <w:sz w:val="23"/>
        </w:rPr>
        <w:t>requirements to</w:t>
      </w:r>
      <w:r>
        <w:rPr>
          <w:rFonts w:ascii="Times New Roman" w:hAnsi="Times New Roman"/>
          <w:spacing w:val="-6"/>
          <w:w w:val="105"/>
          <w:sz w:val="23"/>
        </w:rPr>
        <w:t> </w:t>
      </w:r>
      <w:r>
        <w:rPr>
          <w:rFonts w:ascii="Times New Roman" w:hAnsi="Times New Roman"/>
          <w:w w:val="105"/>
          <w:sz w:val="23"/>
        </w:rPr>
        <w:t>include</w:t>
      </w:r>
      <w:r>
        <w:rPr>
          <w:rFonts w:ascii="Times New Roman" w:hAnsi="Times New Roman"/>
          <w:spacing w:val="-7"/>
          <w:w w:val="105"/>
          <w:sz w:val="23"/>
        </w:rPr>
        <w:t> </w:t>
      </w:r>
      <w:r>
        <w:rPr>
          <w:rFonts w:ascii="Times New Roman" w:hAnsi="Times New Roman"/>
          <w:w w:val="105"/>
          <w:sz w:val="23"/>
        </w:rPr>
        <w:t>all programs</w:t>
      </w:r>
      <w:r>
        <w:rPr>
          <w:rFonts w:ascii="Times New Roman" w:hAnsi="Times New Roman"/>
          <w:spacing w:val="-3"/>
          <w:w w:val="105"/>
          <w:sz w:val="23"/>
        </w:rPr>
        <w:t> </w:t>
      </w:r>
      <w:r>
        <w:rPr>
          <w:rFonts w:ascii="Times New Roman" w:hAnsi="Times New Roman"/>
          <w:w w:val="105"/>
          <w:sz w:val="23"/>
        </w:rPr>
        <w:t>and</w:t>
      </w:r>
      <w:r>
        <w:rPr>
          <w:rFonts w:ascii="Times New Roman" w:hAnsi="Times New Roman"/>
          <w:spacing w:val="-1"/>
          <w:w w:val="105"/>
          <w:sz w:val="23"/>
        </w:rPr>
        <w:t> </w:t>
      </w:r>
      <w:r>
        <w:rPr>
          <w:rFonts w:ascii="Times New Roman" w:hAnsi="Times New Roman"/>
          <w:w w:val="105"/>
          <w:sz w:val="23"/>
        </w:rPr>
        <w:t>activities</w:t>
      </w:r>
      <w:r>
        <w:rPr>
          <w:rFonts w:ascii="Times New Roman" w:hAnsi="Times New Roman"/>
          <w:spacing w:val="-6"/>
          <w:w w:val="105"/>
          <w:sz w:val="23"/>
        </w:rPr>
        <w:t> </w:t>
      </w:r>
      <w:r>
        <w:rPr>
          <w:rFonts w:ascii="Times New Roman" w:hAnsi="Times New Roman"/>
          <w:w w:val="105"/>
          <w:sz w:val="23"/>
        </w:rPr>
        <w:t>of</w:t>
      </w:r>
      <w:r>
        <w:rPr>
          <w:rFonts w:ascii="Times New Roman" w:hAnsi="Times New Roman"/>
          <w:spacing w:val="-10"/>
          <w:w w:val="105"/>
          <w:sz w:val="23"/>
        </w:rPr>
        <w:t> </w:t>
      </w:r>
      <w:r>
        <w:rPr>
          <w:rFonts w:ascii="Times New Roman" w:hAnsi="Times New Roman"/>
          <w:w w:val="105"/>
          <w:sz w:val="23"/>
        </w:rPr>
        <w:t>the</w:t>
      </w:r>
      <w:r>
        <w:rPr>
          <w:rFonts w:ascii="Times New Roman" w:hAnsi="Times New Roman"/>
          <w:spacing w:val="-8"/>
          <w:w w:val="105"/>
          <w:sz w:val="23"/>
        </w:rPr>
        <w:t> </w:t>
      </w:r>
      <w:r>
        <w:rPr>
          <w:rFonts w:ascii="Times New Roman" w:hAnsi="Times New Roman"/>
          <w:w w:val="105"/>
          <w:sz w:val="23"/>
        </w:rPr>
        <w:t>Recipient,</w:t>
      </w:r>
      <w:r>
        <w:rPr>
          <w:rFonts w:ascii="Times New Roman" w:hAnsi="Times New Roman"/>
          <w:spacing w:val="-1"/>
          <w:w w:val="105"/>
          <w:sz w:val="23"/>
        </w:rPr>
        <w:t> </w:t>
      </w:r>
      <w:r>
        <w:rPr>
          <w:rFonts w:ascii="Times New Roman" w:hAnsi="Times New Roman"/>
          <w:w w:val="105"/>
          <w:sz w:val="23"/>
        </w:rPr>
        <w:t>so</w:t>
      </w:r>
      <w:r>
        <w:rPr>
          <w:rFonts w:ascii="Times New Roman" w:hAnsi="Times New Roman"/>
          <w:spacing w:val="-12"/>
          <w:w w:val="105"/>
          <w:sz w:val="23"/>
        </w:rPr>
        <w:t> </w:t>
      </w:r>
      <w:r>
        <w:rPr>
          <w:rFonts w:ascii="Times New Roman" w:hAnsi="Times New Roman"/>
          <w:w w:val="105"/>
          <w:sz w:val="23"/>
        </w:rPr>
        <w:t>long</w:t>
      </w:r>
      <w:r>
        <w:rPr>
          <w:rFonts w:ascii="Times New Roman" w:hAnsi="Times New Roman"/>
          <w:spacing w:val="-6"/>
          <w:w w:val="105"/>
          <w:sz w:val="23"/>
        </w:rPr>
        <w:t> </w:t>
      </w:r>
      <w:r>
        <w:rPr>
          <w:rFonts w:ascii="Times New Roman" w:hAnsi="Times New Roman"/>
          <w:w w:val="105"/>
          <w:sz w:val="23"/>
        </w:rPr>
        <w:t>as any portion of the program is Federally assisted.</w:t>
      </w:r>
    </w:p>
    <w:p>
      <w:pPr>
        <w:pStyle w:val="BodyText"/>
        <w:spacing w:before="3"/>
        <w:rPr>
          <w:rFonts w:ascii="Times New Roman"/>
          <w:sz w:val="18"/>
        </w:rPr>
      </w:pPr>
    </w:p>
    <w:p>
      <w:pPr>
        <w:spacing w:before="91"/>
        <w:ind w:left="340" w:right="0" w:firstLine="0"/>
        <w:jc w:val="left"/>
        <w:rPr>
          <w:rFonts w:ascii="Times New Roman"/>
          <w:b/>
          <w:sz w:val="23"/>
        </w:rPr>
      </w:pPr>
      <w:r>
        <w:rPr>
          <w:rFonts w:ascii="Times New Roman"/>
          <w:b/>
          <w:spacing w:val="-4"/>
          <w:sz w:val="23"/>
        </w:rPr>
        <w:t>Sn.ecific</w:t>
      </w:r>
      <w:r>
        <w:rPr>
          <w:rFonts w:ascii="Times New Roman"/>
          <w:b/>
          <w:spacing w:val="7"/>
          <w:sz w:val="23"/>
        </w:rPr>
        <w:t> </w:t>
      </w:r>
      <w:r>
        <w:rPr>
          <w:rFonts w:ascii="Times New Roman"/>
          <w:b/>
          <w:spacing w:val="-2"/>
          <w:sz w:val="23"/>
          <w:u w:val="thick"/>
        </w:rPr>
        <w:t>Assurances</w:t>
      </w:r>
    </w:p>
    <w:p>
      <w:pPr>
        <w:pStyle w:val="BodyText"/>
        <w:spacing w:before="2"/>
        <w:rPr>
          <w:rFonts w:ascii="Times New Roman"/>
          <w:b/>
          <w:sz w:val="27"/>
        </w:rPr>
      </w:pPr>
    </w:p>
    <w:p>
      <w:pPr>
        <w:spacing w:line="261" w:lineRule="auto" w:before="1"/>
        <w:ind w:left="349" w:right="583" w:hanging="2"/>
        <w:jc w:val="left"/>
        <w:rPr>
          <w:rFonts w:ascii="Times New Roman"/>
          <w:sz w:val="23"/>
        </w:rPr>
      </w:pPr>
      <w:r>
        <w:rPr>
          <w:rFonts w:ascii="Times New Roman"/>
          <w:w w:val="105"/>
          <w:sz w:val="23"/>
        </w:rPr>
        <w:t>More</w:t>
      </w:r>
      <w:r>
        <w:rPr>
          <w:rFonts w:ascii="Times New Roman"/>
          <w:spacing w:val="-16"/>
          <w:w w:val="105"/>
          <w:sz w:val="23"/>
        </w:rPr>
        <w:t> </w:t>
      </w:r>
      <w:r>
        <w:rPr>
          <w:rFonts w:ascii="Times New Roman"/>
          <w:w w:val="105"/>
          <w:sz w:val="23"/>
        </w:rPr>
        <w:t>specifically,</w:t>
      </w:r>
      <w:r>
        <w:rPr>
          <w:rFonts w:ascii="Times New Roman"/>
          <w:spacing w:val="-11"/>
          <w:w w:val="105"/>
          <w:sz w:val="23"/>
        </w:rPr>
        <w:t> </w:t>
      </w:r>
      <w:r>
        <w:rPr>
          <w:rFonts w:ascii="Times New Roman"/>
          <w:w w:val="105"/>
          <w:sz w:val="23"/>
        </w:rPr>
        <w:t>and</w:t>
      </w:r>
      <w:r>
        <w:rPr>
          <w:rFonts w:ascii="Times New Roman"/>
          <w:spacing w:val="-11"/>
          <w:w w:val="105"/>
          <w:sz w:val="23"/>
        </w:rPr>
        <w:t> </w:t>
      </w:r>
      <w:r>
        <w:rPr>
          <w:rFonts w:ascii="Times New Roman"/>
          <w:w w:val="105"/>
          <w:sz w:val="23"/>
        </w:rPr>
        <w:t>without</w:t>
      </w:r>
      <w:r>
        <w:rPr>
          <w:rFonts w:ascii="Times New Roman"/>
          <w:spacing w:val="-11"/>
          <w:w w:val="105"/>
          <w:sz w:val="23"/>
        </w:rPr>
        <w:t> </w:t>
      </w:r>
      <w:r>
        <w:rPr>
          <w:rFonts w:ascii="Times New Roman"/>
          <w:w w:val="105"/>
          <w:sz w:val="23"/>
        </w:rPr>
        <w:t>limiting</w:t>
      </w:r>
      <w:r>
        <w:rPr>
          <w:rFonts w:ascii="Times New Roman"/>
          <w:spacing w:val="-13"/>
          <w:w w:val="105"/>
          <w:sz w:val="23"/>
        </w:rPr>
        <w:t> </w:t>
      </w:r>
      <w:r>
        <w:rPr>
          <w:rFonts w:ascii="Times New Roman"/>
          <w:w w:val="105"/>
          <w:sz w:val="23"/>
        </w:rPr>
        <w:t>the</w:t>
      </w:r>
      <w:r>
        <w:rPr>
          <w:rFonts w:ascii="Times New Roman"/>
          <w:spacing w:val="-16"/>
          <w:w w:val="105"/>
          <w:sz w:val="23"/>
        </w:rPr>
        <w:t> </w:t>
      </w:r>
      <w:r>
        <w:rPr>
          <w:rFonts w:ascii="Times New Roman"/>
          <w:w w:val="105"/>
          <w:sz w:val="23"/>
        </w:rPr>
        <w:t>above</w:t>
      </w:r>
      <w:r>
        <w:rPr>
          <w:rFonts w:ascii="Times New Roman"/>
          <w:spacing w:val="-9"/>
          <w:w w:val="105"/>
          <w:sz w:val="23"/>
        </w:rPr>
        <w:t> </w:t>
      </w:r>
      <w:r>
        <w:rPr>
          <w:rFonts w:ascii="Times New Roman"/>
          <w:w w:val="105"/>
          <w:sz w:val="23"/>
        </w:rPr>
        <w:t>general</w:t>
      </w:r>
      <w:r>
        <w:rPr>
          <w:rFonts w:ascii="Times New Roman"/>
          <w:spacing w:val="-5"/>
          <w:w w:val="105"/>
          <w:sz w:val="23"/>
        </w:rPr>
        <w:t> </w:t>
      </w:r>
      <w:r>
        <w:rPr>
          <w:rFonts w:ascii="Times New Roman"/>
          <w:w w:val="105"/>
          <w:sz w:val="23"/>
        </w:rPr>
        <w:t>Assurance,</w:t>
      </w:r>
      <w:r>
        <w:rPr>
          <w:rFonts w:ascii="Times New Roman"/>
          <w:spacing w:val="-10"/>
          <w:w w:val="105"/>
          <w:sz w:val="23"/>
        </w:rPr>
        <w:t> </w:t>
      </w:r>
      <w:r>
        <w:rPr>
          <w:rFonts w:ascii="Times New Roman"/>
          <w:w w:val="105"/>
          <w:sz w:val="23"/>
        </w:rPr>
        <w:t>the</w:t>
      </w:r>
      <w:r>
        <w:rPr>
          <w:rFonts w:ascii="Times New Roman"/>
          <w:spacing w:val="-15"/>
          <w:w w:val="105"/>
          <w:sz w:val="23"/>
        </w:rPr>
        <w:t> </w:t>
      </w:r>
      <w:r>
        <w:rPr>
          <w:rFonts w:ascii="Times New Roman"/>
          <w:w w:val="105"/>
          <w:sz w:val="23"/>
        </w:rPr>
        <w:t>Recipient agrees</w:t>
      </w:r>
      <w:r>
        <w:rPr>
          <w:rFonts w:ascii="Times New Roman"/>
          <w:spacing w:val="-9"/>
          <w:w w:val="105"/>
          <w:sz w:val="23"/>
        </w:rPr>
        <w:t> </w:t>
      </w:r>
      <w:r>
        <w:rPr>
          <w:rFonts w:ascii="Times New Roman"/>
          <w:w w:val="105"/>
          <w:sz w:val="23"/>
        </w:rPr>
        <w:t>with</w:t>
      </w:r>
      <w:r>
        <w:rPr>
          <w:rFonts w:ascii="Times New Roman"/>
          <w:spacing w:val="-11"/>
          <w:w w:val="105"/>
          <w:sz w:val="23"/>
        </w:rPr>
        <w:t> </w:t>
      </w:r>
      <w:r>
        <w:rPr>
          <w:rFonts w:ascii="Times New Roman"/>
          <w:w w:val="105"/>
          <w:sz w:val="23"/>
        </w:rPr>
        <w:t>and</w:t>
      </w:r>
      <w:r>
        <w:rPr>
          <w:rFonts w:ascii="Times New Roman"/>
          <w:spacing w:val="75"/>
          <w:w w:val="105"/>
          <w:sz w:val="23"/>
        </w:rPr>
        <w:t> </w:t>
      </w:r>
      <w:r>
        <w:rPr>
          <w:rFonts w:ascii="Times New Roman"/>
          <w:w w:val="105"/>
          <w:sz w:val="23"/>
        </w:rPr>
        <w:t>gives the</w:t>
      </w:r>
      <w:r>
        <w:rPr>
          <w:rFonts w:ascii="Times New Roman"/>
          <w:spacing w:val="-4"/>
          <w:w w:val="105"/>
          <w:sz w:val="23"/>
        </w:rPr>
        <w:t> </w:t>
      </w:r>
      <w:r>
        <w:rPr>
          <w:rFonts w:ascii="Times New Roman"/>
          <w:w w:val="105"/>
          <w:sz w:val="23"/>
        </w:rPr>
        <w:t>following Assurances with respect to</w:t>
      </w:r>
      <w:r>
        <w:rPr>
          <w:rFonts w:ascii="Times New Roman"/>
          <w:spacing w:val="-6"/>
          <w:w w:val="105"/>
          <w:sz w:val="23"/>
        </w:rPr>
        <w:t> </w:t>
      </w:r>
      <w:r>
        <w:rPr>
          <w:rFonts w:ascii="Times New Roman"/>
          <w:w w:val="105"/>
          <w:sz w:val="23"/>
        </w:rPr>
        <w:t>its</w:t>
      </w:r>
      <w:r>
        <w:rPr>
          <w:rFonts w:ascii="Times New Roman"/>
          <w:spacing w:val="-10"/>
          <w:w w:val="105"/>
          <w:sz w:val="23"/>
        </w:rPr>
        <w:t> </w:t>
      </w:r>
      <w:r>
        <w:rPr>
          <w:rFonts w:ascii="Times New Roman"/>
          <w:w w:val="105"/>
          <w:sz w:val="23"/>
        </w:rPr>
        <w:t>federally assisted programs:</w:t>
      </w:r>
    </w:p>
    <w:p>
      <w:pPr>
        <w:pStyle w:val="BodyText"/>
        <w:spacing w:before="2"/>
        <w:rPr>
          <w:rFonts w:ascii="Times New Roman"/>
          <w:sz w:val="21"/>
        </w:rPr>
      </w:pPr>
    </w:p>
    <w:p>
      <w:pPr>
        <w:pStyle w:val="ListParagraph"/>
        <w:numPr>
          <w:ilvl w:val="0"/>
          <w:numId w:val="25"/>
        </w:numPr>
        <w:tabs>
          <w:tab w:pos="1065" w:val="left" w:leader="none"/>
        </w:tabs>
        <w:spacing w:line="240" w:lineRule="auto" w:before="0" w:after="0"/>
        <w:ind w:left="1065" w:right="0" w:hanging="337"/>
        <w:jc w:val="left"/>
        <w:rPr>
          <w:rFonts w:ascii="Times New Roman" w:hAnsi="Times New Roman"/>
          <w:sz w:val="24"/>
        </w:rPr>
      </w:pPr>
      <w:r>
        <w:rPr>
          <w:rFonts w:ascii="Times New Roman" w:hAnsi="Times New Roman"/>
          <w:sz w:val="23"/>
        </w:rPr>
        <w:t>The</w:t>
      </w:r>
      <w:r>
        <w:rPr>
          <w:rFonts w:ascii="Times New Roman" w:hAnsi="Times New Roman"/>
          <w:spacing w:val="16"/>
          <w:sz w:val="23"/>
        </w:rPr>
        <w:t> </w:t>
      </w:r>
      <w:r>
        <w:rPr>
          <w:rFonts w:ascii="Times New Roman" w:hAnsi="Times New Roman"/>
          <w:sz w:val="23"/>
        </w:rPr>
        <w:t>Recipient</w:t>
      </w:r>
      <w:r>
        <w:rPr>
          <w:rFonts w:ascii="Times New Roman" w:hAnsi="Times New Roman"/>
          <w:spacing w:val="31"/>
          <w:sz w:val="23"/>
        </w:rPr>
        <w:t> </w:t>
      </w:r>
      <w:r>
        <w:rPr>
          <w:rFonts w:ascii="Times New Roman" w:hAnsi="Times New Roman"/>
          <w:sz w:val="23"/>
        </w:rPr>
        <w:t>agrees</w:t>
      </w:r>
      <w:r>
        <w:rPr>
          <w:rFonts w:ascii="Times New Roman" w:hAnsi="Times New Roman"/>
          <w:spacing w:val="15"/>
          <w:sz w:val="23"/>
        </w:rPr>
        <w:t> </w:t>
      </w:r>
      <w:r>
        <w:rPr>
          <w:rFonts w:ascii="Times New Roman" w:hAnsi="Times New Roman"/>
          <w:sz w:val="23"/>
        </w:rPr>
        <w:t>that</w:t>
      </w:r>
      <w:r>
        <w:rPr>
          <w:rFonts w:ascii="Times New Roman" w:hAnsi="Times New Roman"/>
          <w:spacing w:val="22"/>
          <w:sz w:val="23"/>
        </w:rPr>
        <w:t> </w:t>
      </w:r>
      <w:r>
        <w:rPr>
          <w:rFonts w:ascii="Times New Roman" w:hAnsi="Times New Roman"/>
          <w:sz w:val="23"/>
        </w:rPr>
        <w:t>each</w:t>
      </w:r>
      <w:r>
        <w:rPr>
          <w:rFonts w:ascii="Times New Roman" w:hAnsi="Times New Roman"/>
          <w:spacing w:val="21"/>
          <w:sz w:val="23"/>
        </w:rPr>
        <w:t> </w:t>
      </w:r>
      <w:r>
        <w:rPr>
          <w:rFonts w:ascii="Times New Roman" w:hAnsi="Times New Roman"/>
          <w:sz w:val="23"/>
        </w:rPr>
        <w:t>"activity,"</w:t>
      </w:r>
      <w:r>
        <w:rPr>
          <w:rFonts w:ascii="Times New Roman" w:hAnsi="Times New Roman"/>
          <w:spacing w:val="37"/>
          <w:sz w:val="23"/>
        </w:rPr>
        <w:t> </w:t>
      </w:r>
      <w:r>
        <w:rPr>
          <w:rFonts w:ascii="Times New Roman" w:hAnsi="Times New Roman"/>
          <w:sz w:val="23"/>
        </w:rPr>
        <w:t>"facility,"</w:t>
      </w:r>
      <w:r>
        <w:rPr>
          <w:rFonts w:ascii="Times New Roman" w:hAnsi="Times New Roman"/>
          <w:spacing w:val="26"/>
          <w:sz w:val="23"/>
        </w:rPr>
        <w:t> </w:t>
      </w:r>
      <w:r>
        <w:rPr>
          <w:rFonts w:ascii="Times New Roman" w:hAnsi="Times New Roman"/>
          <w:sz w:val="23"/>
        </w:rPr>
        <w:t>or</w:t>
      </w:r>
      <w:r>
        <w:rPr>
          <w:rFonts w:ascii="Times New Roman" w:hAnsi="Times New Roman"/>
          <w:spacing w:val="11"/>
          <w:sz w:val="23"/>
        </w:rPr>
        <w:t> </w:t>
      </w:r>
      <w:r>
        <w:rPr>
          <w:rFonts w:ascii="Times New Roman" w:hAnsi="Times New Roman"/>
          <w:sz w:val="23"/>
        </w:rPr>
        <w:t>"program,"</w:t>
      </w:r>
      <w:r>
        <w:rPr>
          <w:rFonts w:ascii="Times New Roman" w:hAnsi="Times New Roman"/>
          <w:spacing w:val="40"/>
          <w:sz w:val="23"/>
        </w:rPr>
        <w:t> </w:t>
      </w:r>
      <w:r>
        <w:rPr>
          <w:rFonts w:ascii="Times New Roman" w:hAnsi="Times New Roman"/>
          <w:sz w:val="23"/>
        </w:rPr>
        <w:t>as</w:t>
      </w:r>
      <w:r>
        <w:rPr>
          <w:rFonts w:ascii="Times New Roman" w:hAnsi="Times New Roman"/>
          <w:spacing w:val="6"/>
          <w:sz w:val="23"/>
        </w:rPr>
        <w:t> </w:t>
      </w:r>
      <w:r>
        <w:rPr>
          <w:rFonts w:ascii="Times New Roman" w:hAnsi="Times New Roman"/>
          <w:sz w:val="23"/>
        </w:rPr>
        <w:t>defined</w:t>
      </w:r>
      <w:r>
        <w:rPr>
          <w:rFonts w:ascii="Times New Roman" w:hAnsi="Times New Roman"/>
          <w:spacing w:val="27"/>
          <w:sz w:val="23"/>
        </w:rPr>
        <w:t> </w:t>
      </w:r>
      <w:r>
        <w:rPr>
          <w:rFonts w:ascii="Times New Roman" w:hAnsi="Times New Roman"/>
          <w:sz w:val="23"/>
        </w:rPr>
        <w:t>in§§</w:t>
      </w:r>
      <w:r>
        <w:rPr>
          <w:rFonts w:ascii="Times New Roman" w:hAnsi="Times New Roman"/>
          <w:spacing w:val="16"/>
          <w:sz w:val="23"/>
        </w:rPr>
        <w:t> </w:t>
      </w:r>
      <w:r>
        <w:rPr>
          <w:rFonts w:ascii="Times New Roman" w:hAnsi="Times New Roman"/>
          <w:sz w:val="23"/>
        </w:rPr>
        <w:t>21.23</w:t>
      </w:r>
      <w:r>
        <w:rPr>
          <w:rFonts w:ascii="Times New Roman" w:hAnsi="Times New Roman"/>
          <w:spacing w:val="17"/>
          <w:sz w:val="23"/>
        </w:rPr>
        <w:t> </w:t>
      </w:r>
      <w:r>
        <w:rPr>
          <w:rFonts w:ascii="Times New Roman" w:hAnsi="Times New Roman"/>
          <w:sz w:val="23"/>
        </w:rPr>
        <w:t>(b)</w:t>
      </w:r>
      <w:r>
        <w:rPr>
          <w:rFonts w:ascii="Times New Roman" w:hAnsi="Times New Roman"/>
          <w:spacing w:val="32"/>
          <w:sz w:val="23"/>
        </w:rPr>
        <w:t>  </w:t>
      </w:r>
      <w:r>
        <w:rPr>
          <w:rFonts w:ascii="Times New Roman" w:hAnsi="Times New Roman"/>
          <w:spacing w:val="-5"/>
          <w:sz w:val="23"/>
        </w:rPr>
        <w:t>and</w:t>
      </w:r>
    </w:p>
    <w:p>
      <w:pPr>
        <w:spacing w:line="254" w:lineRule="auto" w:before="8"/>
        <w:ind w:left="1065" w:right="0" w:firstLine="2"/>
        <w:jc w:val="left"/>
        <w:rPr>
          <w:rFonts w:ascii="Times New Roman" w:hAnsi="Times New Roman"/>
          <w:sz w:val="23"/>
        </w:rPr>
      </w:pPr>
      <w:r>
        <w:rPr>
          <w:rFonts w:ascii="Times New Roman" w:hAnsi="Times New Roman"/>
          <w:w w:val="105"/>
          <w:sz w:val="23"/>
        </w:rPr>
        <w:t>21.23</w:t>
      </w:r>
      <w:r>
        <w:rPr>
          <w:rFonts w:ascii="Times New Roman" w:hAnsi="Times New Roman"/>
          <w:spacing w:val="-8"/>
          <w:w w:val="105"/>
          <w:sz w:val="23"/>
        </w:rPr>
        <w:t> </w:t>
      </w:r>
      <w:r>
        <w:rPr>
          <w:rFonts w:ascii="Times New Roman" w:hAnsi="Times New Roman"/>
          <w:w w:val="105"/>
          <w:sz w:val="23"/>
        </w:rPr>
        <w:t>(e)</w:t>
      </w:r>
      <w:r>
        <w:rPr>
          <w:rFonts w:ascii="Times New Roman" w:hAnsi="Times New Roman"/>
          <w:spacing w:val="-11"/>
          <w:w w:val="105"/>
          <w:sz w:val="23"/>
        </w:rPr>
        <w:t> </w:t>
      </w:r>
      <w:r>
        <w:rPr>
          <w:rFonts w:ascii="Times New Roman" w:hAnsi="Times New Roman"/>
          <w:w w:val="105"/>
          <w:sz w:val="23"/>
        </w:rPr>
        <w:t>of</w:t>
      </w:r>
      <w:r>
        <w:rPr>
          <w:rFonts w:ascii="Times New Roman" w:hAnsi="Times New Roman"/>
          <w:spacing w:val="-16"/>
          <w:w w:val="105"/>
          <w:sz w:val="23"/>
        </w:rPr>
        <w:t> </w:t>
      </w:r>
      <w:r>
        <w:rPr>
          <w:rFonts w:ascii="Times New Roman" w:hAnsi="Times New Roman"/>
          <w:w w:val="105"/>
          <w:sz w:val="23"/>
        </w:rPr>
        <w:t>49</w:t>
      </w:r>
      <w:r>
        <w:rPr>
          <w:rFonts w:ascii="Times New Roman" w:hAnsi="Times New Roman"/>
          <w:spacing w:val="-12"/>
          <w:w w:val="105"/>
          <w:sz w:val="23"/>
        </w:rPr>
        <w:t> </w:t>
      </w:r>
      <w:r>
        <w:rPr>
          <w:rFonts w:ascii="Times New Roman" w:hAnsi="Times New Roman"/>
          <w:w w:val="105"/>
          <w:sz w:val="23"/>
        </w:rPr>
        <w:t>C.F.R. §</w:t>
      </w:r>
      <w:r>
        <w:rPr>
          <w:rFonts w:ascii="Times New Roman" w:hAnsi="Times New Roman"/>
          <w:spacing w:val="-10"/>
          <w:w w:val="105"/>
          <w:sz w:val="23"/>
        </w:rPr>
        <w:t> </w:t>
      </w:r>
      <w:r>
        <w:rPr>
          <w:rFonts w:ascii="Times New Roman" w:hAnsi="Times New Roman"/>
          <w:w w:val="105"/>
          <w:sz w:val="23"/>
        </w:rPr>
        <w:t>21</w:t>
      </w:r>
      <w:r>
        <w:rPr>
          <w:rFonts w:ascii="Times New Roman" w:hAnsi="Times New Roman"/>
          <w:spacing w:val="-4"/>
          <w:w w:val="105"/>
          <w:sz w:val="23"/>
        </w:rPr>
        <w:t> </w:t>
      </w:r>
      <w:r>
        <w:rPr>
          <w:rFonts w:ascii="Times New Roman" w:hAnsi="Times New Roman"/>
          <w:w w:val="105"/>
          <w:sz w:val="23"/>
        </w:rPr>
        <w:t>will</w:t>
      </w:r>
      <w:r>
        <w:rPr>
          <w:rFonts w:ascii="Times New Roman" w:hAnsi="Times New Roman"/>
          <w:spacing w:val="-1"/>
          <w:w w:val="105"/>
          <w:sz w:val="23"/>
        </w:rPr>
        <w:t> </w:t>
      </w:r>
      <w:r>
        <w:rPr>
          <w:rFonts w:ascii="Times New Roman" w:hAnsi="Times New Roman"/>
          <w:w w:val="105"/>
          <w:sz w:val="23"/>
        </w:rPr>
        <w:t>be</w:t>
      </w:r>
      <w:r>
        <w:rPr>
          <w:rFonts w:ascii="Times New Roman" w:hAnsi="Times New Roman"/>
          <w:spacing w:val="-10"/>
          <w:w w:val="105"/>
          <w:sz w:val="23"/>
        </w:rPr>
        <w:t> </w:t>
      </w:r>
      <w:r>
        <w:rPr>
          <w:rFonts w:ascii="Times New Roman" w:hAnsi="Times New Roman"/>
          <w:w w:val="105"/>
          <w:sz w:val="23"/>
        </w:rPr>
        <w:t>(regarding</w:t>
      </w:r>
      <w:r>
        <w:rPr>
          <w:rFonts w:ascii="Times New Roman" w:hAnsi="Times New Roman"/>
          <w:spacing w:val="-2"/>
          <w:w w:val="105"/>
          <w:sz w:val="23"/>
        </w:rPr>
        <w:t> </w:t>
      </w:r>
      <w:r>
        <w:rPr>
          <w:rFonts w:ascii="Times New Roman" w:hAnsi="Times New Roman"/>
          <w:w w:val="105"/>
          <w:sz w:val="23"/>
        </w:rPr>
        <w:t>an</w:t>
      </w:r>
      <w:r>
        <w:rPr>
          <w:rFonts w:ascii="Times New Roman" w:hAnsi="Times New Roman"/>
          <w:spacing w:val="-10"/>
          <w:w w:val="105"/>
          <w:sz w:val="23"/>
        </w:rPr>
        <w:t> </w:t>
      </w:r>
      <w:r>
        <w:rPr>
          <w:rFonts w:ascii="Times New Roman" w:hAnsi="Times New Roman"/>
          <w:w w:val="105"/>
          <w:sz w:val="23"/>
        </w:rPr>
        <w:t>"activity")</w:t>
      </w:r>
      <w:r>
        <w:rPr>
          <w:rFonts w:ascii="Times New Roman" w:hAnsi="Times New Roman"/>
          <w:spacing w:val="-9"/>
          <w:w w:val="105"/>
          <w:sz w:val="23"/>
        </w:rPr>
        <w:t> </w:t>
      </w:r>
      <w:r>
        <w:rPr>
          <w:rFonts w:ascii="Times New Roman" w:hAnsi="Times New Roman"/>
          <w:w w:val="105"/>
          <w:sz w:val="23"/>
        </w:rPr>
        <w:t>facilitated,</w:t>
      </w:r>
      <w:r>
        <w:rPr>
          <w:rFonts w:ascii="Times New Roman" w:hAnsi="Times New Roman"/>
          <w:spacing w:val="-4"/>
          <w:w w:val="105"/>
          <w:sz w:val="23"/>
        </w:rPr>
        <w:t> </w:t>
      </w:r>
      <w:r>
        <w:rPr>
          <w:rFonts w:ascii="Times New Roman" w:hAnsi="Times New Roman"/>
          <w:w w:val="105"/>
          <w:sz w:val="23"/>
        </w:rPr>
        <w:t>or</w:t>
      </w:r>
      <w:r>
        <w:rPr>
          <w:rFonts w:ascii="Times New Roman" w:hAnsi="Times New Roman"/>
          <w:spacing w:val="-9"/>
          <w:w w:val="105"/>
          <w:sz w:val="23"/>
        </w:rPr>
        <w:t> </w:t>
      </w:r>
      <w:r>
        <w:rPr>
          <w:rFonts w:ascii="Times New Roman" w:hAnsi="Times New Roman"/>
          <w:w w:val="105"/>
          <w:sz w:val="23"/>
        </w:rPr>
        <w:t>will</w:t>
      </w:r>
      <w:r>
        <w:rPr>
          <w:rFonts w:ascii="Times New Roman" w:hAnsi="Times New Roman"/>
          <w:spacing w:val="-1"/>
          <w:w w:val="105"/>
          <w:sz w:val="23"/>
        </w:rPr>
        <w:t> </w:t>
      </w:r>
      <w:r>
        <w:rPr>
          <w:rFonts w:ascii="Times New Roman" w:hAnsi="Times New Roman"/>
          <w:w w:val="105"/>
          <w:sz w:val="23"/>
        </w:rPr>
        <w:t>be</w:t>
      </w:r>
      <w:r>
        <w:rPr>
          <w:rFonts w:ascii="Times New Roman" w:hAnsi="Times New Roman"/>
          <w:spacing w:val="-9"/>
          <w:w w:val="105"/>
          <w:sz w:val="23"/>
        </w:rPr>
        <w:t> </w:t>
      </w:r>
      <w:r>
        <w:rPr>
          <w:rFonts w:ascii="Times New Roman" w:hAnsi="Times New Roman"/>
          <w:w w:val="105"/>
          <w:sz w:val="23"/>
        </w:rPr>
        <w:t>(with</w:t>
      </w:r>
      <w:r>
        <w:rPr>
          <w:rFonts w:ascii="Times New Roman" w:hAnsi="Times New Roman"/>
          <w:spacing w:val="-8"/>
          <w:w w:val="105"/>
          <w:sz w:val="23"/>
        </w:rPr>
        <w:t> </w:t>
      </w:r>
      <w:r>
        <w:rPr>
          <w:rFonts w:ascii="Times New Roman" w:hAnsi="Times New Roman"/>
          <w:w w:val="105"/>
          <w:sz w:val="23"/>
        </w:rPr>
        <w:t>regard</w:t>
      </w:r>
      <w:r>
        <w:rPr>
          <w:rFonts w:ascii="Times New Roman" w:hAnsi="Times New Roman"/>
          <w:spacing w:val="-2"/>
          <w:w w:val="105"/>
          <w:sz w:val="23"/>
        </w:rPr>
        <w:t> </w:t>
      </w:r>
      <w:r>
        <w:rPr>
          <w:rFonts w:ascii="Times New Roman" w:hAnsi="Times New Roman"/>
          <w:w w:val="105"/>
          <w:sz w:val="23"/>
        </w:rPr>
        <w:t>to</w:t>
      </w:r>
      <w:r>
        <w:rPr>
          <w:rFonts w:ascii="Times New Roman" w:hAnsi="Times New Roman"/>
          <w:spacing w:val="-11"/>
          <w:w w:val="105"/>
          <w:sz w:val="23"/>
        </w:rPr>
        <w:t> </w:t>
      </w:r>
      <w:r>
        <w:rPr>
          <w:rFonts w:ascii="Times New Roman" w:hAnsi="Times New Roman"/>
          <w:w w:val="105"/>
          <w:sz w:val="23"/>
        </w:rPr>
        <w:t>a "facility")</w:t>
      </w:r>
      <w:r>
        <w:rPr>
          <w:rFonts w:ascii="Times New Roman" w:hAnsi="Times New Roman"/>
          <w:spacing w:val="-1"/>
          <w:w w:val="105"/>
          <w:sz w:val="23"/>
        </w:rPr>
        <w:t> </w:t>
      </w:r>
      <w:r>
        <w:rPr>
          <w:rFonts w:ascii="Times New Roman" w:hAnsi="Times New Roman"/>
          <w:w w:val="105"/>
          <w:sz w:val="23"/>
        </w:rPr>
        <w:t>operated, or will be</w:t>
      </w:r>
      <w:r>
        <w:rPr>
          <w:rFonts w:ascii="Times New Roman" w:hAnsi="Times New Roman"/>
          <w:spacing w:val="-11"/>
          <w:w w:val="105"/>
          <w:sz w:val="23"/>
        </w:rPr>
        <w:t> </w:t>
      </w:r>
      <w:r>
        <w:rPr>
          <w:rFonts w:ascii="Times New Roman" w:hAnsi="Times New Roman"/>
          <w:w w:val="105"/>
          <w:sz w:val="23"/>
        </w:rPr>
        <w:t>(with regard to</w:t>
      </w:r>
      <w:r>
        <w:rPr>
          <w:rFonts w:ascii="Times New Roman" w:hAnsi="Times New Roman"/>
          <w:spacing w:val="-5"/>
          <w:w w:val="105"/>
          <w:sz w:val="23"/>
        </w:rPr>
        <w:t> </w:t>
      </w:r>
      <w:r>
        <w:rPr>
          <w:rFonts w:ascii="Times New Roman" w:hAnsi="Times New Roman"/>
          <w:w w:val="105"/>
          <w:sz w:val="23"/>
        </w:rPr>
        <w:t>a</w:t>
      </w:r>
      <w:r>
        <w:rPr>
          <w:rFonts w:ascii="Times New Roman" w:hAnsi="Times New Roman"/>
          <w:spacing w:val="-5"/>
          <w:w w:val="105"/>
          <w:sz w:val="23"/>
        </w:rPr>
        <w:t> </w:t>
      </w:r>
      <w:r>
        <w:rPr>
          <w:rFonts w:ascii="Times New Roman" w:hAnsi="Times New Roman"/>
          <w:w w:val="105"/>
          <w:sz w:val="23"/>
        </w:rPr>
        <w:t>"program") conducted in</w:t>
      </w:r>
      <w:r>
        <w:rPr>
          <w:rFonts w:ascii="Times New Roman" w:hAnsi="Times New Roman"/>
          <w:spacing w:val="40"/>
          <w:w w:val="105"/>
          <w:sz w:val="23"/>
        </w:rPr>
        <w:t> </w:t>
      </w:r>
      <w:r>
        <w:rPr>
          <w:rFonts w:ascii="Times New Roman" w:hAnsi="Times New Roman"/>
          <w:w w:val="105"/>
          <w:sz w:val="23"/>
        </w:rPr>
        <w:t>compliance with</w:t>
      </w:r>
      <w:r>
        <w:rPr>
          <w:rFonts w:ascii="Times New Roman" w:hAnsi="Times New Roman"/>
          <w:spacing w:val="-1"/>
          <w:w w:val="105"/>
          <w:sz w:val="23"/>
        </w:rPr>
        <w:t> </w:t>
      </w:r>
      <w:r>
        <w:rPr>
          <w:rFonts w:ascii="Times New Roman" w:hAnsi="Times New Roman"/>
          <w:w w:val="105"/>
          <w:sz w:val="23"/>
        </w:rPr>
        <w:t>all</w:t>
      </w:r>
    </w:p>
    <w:p>
      <w:pPr>
        <w:spacing w:after="0" w:line="254" w:lineRule="auto"/>
        <w:jc w:val="left"/>
        <w:rPr>
          <w:rFonts w:ascii="Times New Roman" w:hAnsi="Times New Roman"/>
          <w:sz w:val="23"/>
        </w:rPr>
        <w:sectPr>
          <w:footerReference w:type="default" r:id="rId58"/>
          <w:pgSz w:w="12240" w:h="15840"/>
          <w:pgMar w:footer="0" w:header="0" w:top="1240" w:bottom="280" w:left="600" w:right="500"/>
        </w:sectPr>
      </w:pPr>
    </w:p>
    <w:p>
      <w:pPr>
        <w:spacing w:before="68"/>
        <w:ind w:left="1021" w:right="0" w:firstLine="0"/>
        <w:jc w:val="left"/>
        <w:rPr>
          <w:rFonts w:ascii="Times New Roman"/>
          <w:sz w:val="23"/>
        </w:rPr>
      </w:pPr>
      <w:r>
        <w:rPr/>
        <mc:AlternateContent>
          <mc:Choice Requires="wps">
            <w:drawing>
              <wp:anchor distT="0" distB="0" distL="0" distR="0" allowOverlap="1" layoutInCell="1" locked="0" behindDoc="0" simplePos="0" relativeHeight="15744000">
                <wp:simplePos x="0" y="0"/>
                <wp:positionH relativeFrom="page">
                  <wp:posOffset>7772789</wp:posOffset>
                </wp:positionH>
                <wp:positionV relativeFrom="page">
                  <wp:posOffset>7904504</wp:posOffset>
                </wp:positionV>
                <wp:extent cx="1270" cy="838835"/>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1270" cy="838835"/>
                        </a:xfrm>
                        <a:custGeom>
                          <a:avLst/>
                          <a:gdLst/>
                          <a:ahLst/>
                          <a:cxnLst/>
                          <a:rect l="l" t="t" r="r" b="b"/>
                          <a:pathLst>
                            <a:path w="0" h="838835">
                              <a:moveTo>
                                <a:pt x="0" y="83864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000" from="612.030640pt,688.436929pt" to="612.030640pt,622.401917pt" stroked="true" strokeweight=".360654pt" strokecolor="#000000">
                <v:stroke dashstyle="solid"/>
                <w10:wrap type="none"/>
              </v:line>
            </w:pict>
          </mc:Fallback>
        </mc:AlternateContent>
      </w:r>
      <w:r>
        <w:rPr/>
        <mc:AlternateContent>
          <mc:Choice Requires="wps">
            <w:drawing>
              <wp:anchor distT="0" distB="0" distL="0" distR="0" allowOverlap="1" layoutInCell="1" locked="0" behindDoc="0" simplePos="0" relativeHeight="15744512">
                <wp:simplePos x="0" y="0"/>
                <wp:positionH relativeFrom="page">
                  <wp:posOffset>7768208</wp:posOffset>
                </wp:positionH>
                <wp:positionV relativeFrom="page">
                  <wp:posOffset>5099856</wp:posOffset>
                </wp:positionV>
                <wp:extent cx="1270" cy="65595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1270" cy="655955"/>
                        </a:xfrm>
                        <a:custGeom>
                          <a:avLst/>
                          <a:gdLst/>
                          <a:ahLst/>
                          <a:cxnLst/>
                          <a:rect l="l" t="t" r="r" b="b"/>
                          <a:pathLst>
                            <a:path w="0" h="655955">
                              <a:moveTo>
                                <a:pt x="0" y="65533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4512" from="611.669983pt,453.164637pt" to="611.669983pt,401.563507pt" stroked="true" strokeweight=".360654pt" strokecolor="#000000">
                <v:stroke dashstyle="solid"/>
                <w10:wrap type="none"/>
              </v:line>
            </w:pict>
          </mc:Fallback>
        </mc:AlternateContent>
      </w:r>
      <w:r>
        <w:rPr>
          <w:rFonts w:ascii="Times New Roman"/>
          <w:sz w:val="23"/>
        </w:rPr>
        <w:t>requirements</w:t>
      </w:r>
      <w:r>
        <w:rPr>
          <w:rFonts w:ascii="Times New Roman"/>
          <w:spacing w:val="24"/>
          <w:sz w:val="23"/>
        </w:rPr>
        <w:t> </w:t>
      </w:r>
      <w:r>
        <w:rPr>
          <w:rFonts w:ascii="Times New Roman"/>
          <w:sz w:val="23"/>
        </w:rPr>
        <w:t>imposed</w:t>
      </w:r>
      <w:r>
        <w:rPr>
          <w:rFonts w:ascii="Times New Roman"/>
          <w:spacing w:val="43"/>
          <w:sz w:val="23"/>
        </w:rPr>
        <w:t> </w:t>
      </w:r>
      <w:r>
        <w:rPr>
          <w:rFonts w:ascii="Times New Roman"/>
          <w:sz w:val="23"/>
        </w:rPr>
        <w:t>by,</w:t>
      </w:r>
      <w:r>
        <w:rPr>
          <w:rFonts w:ascii="Times New Roman"/>
          <w:spacing w:val="9"/>
          <w:sz w:val="23"/>
        </w:rPr>
        <w:t> </w:t>
      </w:r>
      <w:r>
        <w:rPr>
          <w:rFonts w:ascii="Times New Roman"/>
          <w:sz w:val="23"/>
        </w:rPr>
        <w:t>or</w:t>
      </w:r>
      <w:r>
        <w:rPr>
          <w:rFonts w:ascii="Times New Roman"/>
          <w:spacing w:val="13"/>
          <w:sz w:val="23"/>
        </w:rPr>
        <w:t> </w:t>
      </w:r>
      <w:r>
        <w:rPr>
          <w:rFonts w:ascii="Times New Roman"/>
          <w:sz w:val="23"/>
        </w:rPr>
        <w:t>pursuant</w:t>
      </w:r>
      <w:r>
        <w:rPr>
          <w:rFonts w:ascii="Times New Roman"/>
          <w:spacing w:val="27"/>
          <w:sz w:val="23"/>
        </w:rPr>
        <w:t> </w:t>
      </w:r>
      <w:r>
        <w:rPr>
          <w:rFonts w:ascii="Times New Roman"/>
          <w:sz w:val="23"/>
        </w:rPr>
        <w:t>to</w:t>
      </w:r>
      <w:r>
        <w:rPr>
          <w:rFonts w:ascii="Times New Roman"/>
          <w:spacing w:val="6"/>
          <w:sz w:val="23"/>
        </w:rPr>
        <w:t> </w:t>
      </w:r>
      <w:r>
        <w:rPr>
          <w:rFonts w:ascii="Times New Roman"/>
          <w:sz w:val="23"/>
        </w:rPr>
        <w:t>the</w:t>
      </w:r>
      <w:r>
        <w:rPr>
          <w:rFonts w:ascii="Times New Roman"/>
          <w:spacing w:val="11"/>
          <w:sz w:val="23"/>
        </w:rPr>
        <w:t> </w:t>
      </w:r>
      <w:r>
        <w:rPr>
          <w:rFonts w:ascii="Times New Roman"/>
          <w:sz w:val="23"/>
        </w:rPr>
        <w:t>Acts</w:t>
      </w:r>
      <w:r>
        <w:rPr>
          <w:rFonts w:ascii="Times New Roman"/>
          <w:spacing w:val="5"/>
          <w:sz w:val="23"/>
        </w:rPr>
        <w:t> </w:t>
      </w:r>
      <w:r>
        <w:rPr>
          <w:rFonts w:ascii="Times New Roman"/>
          <w:sz w:val="23"/>
        </w:rPr>
        <w:t>and</w:t>
      </w:r>
      <w:r>
        <w:rPr>
          <w:rFonts w:ascii="Times New Roman"/>
          <w:spacing w:val="20"/>
          <w:sz w:val="23"/>
        </w:rPr>
        <w:t> </w:t>
      </w:r>
      <w:r>
        <w:rPr>
          <w:rFonts w:ascii="Times New Roman"/>
          <w:sz w:val="23"/>
        </w:rPr>
        <w:t>the</w:t>
      </w:r>
      <w:r>
        <w:rPr>
          <w:rFonts w:ascii="Times New Roman"/>
          <w:spacing w:val="8"/>
          <w:sz w:val="23"/>
        </w:rPr>
        <w:t> </w:t>
      </w:r>
      <w:r>
        <w:rPr>
          <w:rFonts w:ascii="Times New Roman"/>
          <w:spacing w:val="-2"/>
          <w:sz w:val="23"/>
        </w:rPr>
        <w:t>Regulations.</w:t>
      </w:r>
    </w:p>
    <w:p>
      <w:pPr>
        <w:pStyle w:val="BodyText"/>
        <w:spacing w:before="8"/>
        <w:rPr>
          <w:rFonts w:ascii="Times New Roman"/>
        </w:rPr>
      </w:pPr>
    </w:p>
    <w:p>
      <w:pPr>
        <w:pStyle w:val="ListParagraph"/>
        <w:numPr>
          <w:ilvl w:val="0"/>
          <w:numId w:val="30"/>
        </w:numPr>
        <w:tabs>
          <w:tab w:pos="1015" w:val="left" w:leader="none"/>
          <w:tab w:pos="1022" w:val="left" w:leader="none"/>
        </w:tabs>
        <w:spacing w:line="256" w:lineRule="auto" w:before="0" w:after="0"/>
        <w:ind w:left="1022" w:right="866" w:hanging="365"/>
        <w:jc w:val="left"/>
        <w:rPr>
          <w:rFonts w:ascii="Times New Roman"/>
          <w:sz w:val="23"/>
        </w:rPr>
      </w:pPr>
      <w:r>
        <w:rPr>
          <w:rFonts w:ascii="Times New Roman"/>
          <w:w w:val="105"/>
          <w:sz w:val="23"/>
        </w:rPr>
        <w:t>The</w:t>
      </w:r>
      <w:r>
        <w:rPr>
          <w:rFonts w:ascii="Times New Roman"/>
          <w:spacing w:val="-6"/>
          <w:w w:val="105"/>
          <w:sz w:val="23"/>
        </w:rPr>
        <w:t> </w:t>
      </w:r>
      <w:r>
        <w:rPr>
          <w:rFonts w:ascii="Times New Roman"/>
          <w:w w:val="105"/>
          <w:sz w:val="23"/>
        </w:rPr>
        <w:t>Recipient will insert</w:t>
      </w:r>
      <w:r>
        <w:rPr>
          <w:rFonts w:ascii="Times New Roman"/>
          <w:spacing w:val="-6"/>
          <w:w w:val="105"/>
          <w:sz w:val="23"/>
        </w:rPr>
        <w:t> </w:t>
      </w:r>
      <w:r>
        <w:rPr>
          <w:rFonts w:ascii="Times New Roman"/>
          <w:w w:val="105"/>
          <w:sz w:val="23"/>
        </w:rPr>
        <w:t>the</w:t>
      </w:r>
      <w:r>
        <w:rPr>
          <w:rFonts w:ascii="Times New Roman"/>
          <w:spacing w:val="-5"/>
          <w:w w:val="105"/>
          <w:sz w:val="23"/>
        </w:rPr>
        <w:t> </w:t>
      </w:r>
      <w:r>
        <w:rPr>
          <w:rFonts w:ascii="Times New Roman"/>
          <w:w w:val="105"/>
          <w:sz w:val="23"/>
        </w:rPr>
        <w:t>following notification in</w:t>
      </w:r>
      <w:r>
        <w:rPr>
          <w:rFonts w:ascii="Times New Roman"/>
          <w:spacing w:val="-7"/>
          <w:w w:val="105"/>
          <w:sz w:val="23"/>
        </w:rPr>
        <w:t> </w:t>
      </w:r>
      <w:r>
        <w:rPr>
          <w:rFonts w:ascii="Times New Roman"/>
          <w:w w:val="105"/>
          <w:sz w:val="23"/>
        </w:rPr>
        <w:t>all</w:t>
      </w:r>
      <w:r>
        <w:rPr>
          <w:rFonts w:ascii="Times New Roman"/>
          <w:spacing w:val="-12"/>
          <w:w w:val="105"/>
          <w:sz w:val="23"/>
        </w:rPr>
        <w:t> </w:t>
      </w:r>
      <w:r>
        <w:rPr>
          <w:rFonts w:ascii="Times New Roman"/>
          <w:w w:val="105"/>
          <w:sz w:val="23"/>
        </w:rPr>
        <w:t>solicitations for</w:t>
      </w:r>
      <w:r>
        <w:rPr>
          <w:rFonts w:ascii="Times New Roman"/>
          <w:spacing w:val="-1"/>
          <w:w w:val="105"/>
          <w:sz w:val="23"/>
        </w:rPr>
        <w:t> </w:t>
      </w:r>
      <w:r>
        <w:rPr>
          <w:rFonts w:ascii="Times New Roman"/>
          <w:w w:val="105"/>
          <w:sz w:val="23"/>
        </w:rPr>
        <w:t>bids,</w:t>
      </w:r>
      <w:r>
        <w:rPr>
          <w:rFonts w:ascii="Times New Roman"/>
          <w:spacing w:val="-9"/>
          <w:w w:val="105"/>
          <w:sz w:val="23"/>
        </w:rPr>
        <w:t> </w:t>
      </w:r>
      <w:r>
        <w:rPr>
          <w:rFonts w:ascii="Times New Roman"/>
          <w:w w:val="105"/>
          <w:sz w:val="23"/>
        </w:rPr>
        <w:t>Requests For Proposals</w:t>
      </w:r>
      <w:r>
        <w:rPr>
          <w:rFonts w:ascii="Times New Roman"/>
          <w:spacing w:val="-15"/>
          <w:w w:val="105"/>
          <w:sz w:val="23"/>
        </w:rPr>
        <w:t> </w:t>
      </w:r>
      <w:r>
        <w:rPr>
          <w:rFonts w:ascii="Times New Roman"/>
          <w:w w:val="105"/>
          <w:sz w:val="23"/>
        </w:rPr>
        <w:t>for</w:t>
      </w:r>
      <w:r>
        <w:rPr>
          <w:rFonts w:ascii="Times New Roman"/>
          <w:spacing w:val="-11"/>
          <w:w w:val="105"/>
          <w:sz w:val="23"/>
        </w:rPr>
        <w:t> </w:t>
      </w:r>
      <w:r>
        <w:rPr>
          <w:rFonts w:ascii="Times New Roman"/>
          <w:w w:val="105"/>
          <w:sz w:val="23"/>
        </w:rPr>
        <w:t>work,</w:t>
      </w:r>
      <w:r>
        <w:rPr>
          <w:rFonts w:ascii="Times New Roman"/>
          <w:spacing w:val="-9"/>
          <w:w w:val="105"/>
          <w:sz w:val="23"/>
        </w:rPr>
        <w:t> </w:t>
      </w:r>
      <w:r>
        <w:rPr>
          <w:rFonts w:ascii="Times New Roman"/>
          <w:w w:val="105"/>
          <w:sz w:val="23"/>
        </w:rPr>
        <w:t>or</w:t>
      </w:r>
      <w:r>
        <w:rPr>
          <w:rFonts w:ascii="Times New Roman"/>
          <w:spacing w:val="-16"/>
          <w:w w:val="105"/>
          <w:sz w:val="23"/>
        </w:rPr>
        <w:t> </w:t>
      </w:r>
      <w:r>
        <w:rPr>
          <w:rFonts w:ascii="Times New Roman"/>
          <w:w w:val="105"/>
          <w:sz w:val="23"/>
        </w:rPr>
        <w:t>material</w:t>
      </w:r>
      <w:r>
        <w:rPr>
          <w:rFonts w:ascii="Times New Roman"/>
          <w:spacing w:val="-7"/>
          <w:w w:val="105"/>
          <w:sz w:val="23"/>
        </w:rPr>
        <w:t> </w:t>
      </w:r>
      <w:r>
        <w:rPr>
          <w:rFonts w:ascii="Times New Roman"/>
          <w:w w:val="105"/>
          <w:sz w:val="23"/>
        </w:rPr>
        <w:t>subject</w:t>
      </w:r>
      <w:r>
        <w:rPr>
          <w:rFonts w:ascii="Times New Roman"/>
          <w:spacing w:val="-8"/>
          <w:w w:val="105"/>
          <w:sz w:val="23"/>
        </w:rPr>
        <w:t> </w:t>
      </w:r>
      <w:r>
        <w:rPr>
          <w:rFonts w:ascii="Times New Roman"/>
          <w:w w:val="105"/>
          <w:sz w:val="23"/>
        </w:rPr>
        <w:t>to</w:t>
      </w:r>
      <w:r>
        <w:rPr>
          <w:rFonts w:ascii="Times New Roman"/>
          <w:spacing w:val="-16"/>
          <w:w w:val="105"/>
          <w:sz w:val="23"/>
        </w:rPr>
        <w:t> </w:t>
      </w:r>
      <w:r>
        <w:rPr>
          <w:rFonts w:ascii="Times New Roman"/>
          <w:w w:val="105"/>
          <w:sz w:val="23"/>
        </w:rPr>
        <w:t>the</w:t>
      </w:r>
      <w:r>
        <w:rPr>
          <w:rFonts w:ascii="Times New Roman"/>
          <w:spacing w:val="-11"/>
          <w:w w:val="105"/>
          <w:sz w:val="23"/>
        </w:rPr>
        <w:t> </w:t>
      </w:r>
      <w:r>
        <w:rPr>
          <w:rFonts w:ascii="Times New Roman"/>
          <w:w w:val="105"/>
          <w:sz w:val="23"/>
        </w:rPr>
        <w:t>Acts</w:t>
      </w:r>
      <w:r>
        <w:rPr>
          <w:rFonts w:ascii="Times New Roman"/>
          <w:spacing w:val="-16"/>
          <w:w w:val="105"/>
          <w:sz w:val="23"/>
        </w:rPr>
        <w:t> </w:t>
      </w:r>
      <w:r>
        <w:rPr>
          <w:rFonts w:ascii="Times New Roman"/>
          <w:w w:val="105"/>
          <w:sz w:val="23"/>
        </w:rPr>
        <w:t>and</w:t>
      </w:r>
      <w:r>
        <w:rPr>
          <w:rFonts w:ascii="Times New Roman"/>
          <w:spacing w:val="-4"/>
          <w:w w:val="105"/>
          <w:sz w:val="23"/>
        </w:rPr>
        <w:t> </w:t>
      </w:r>
      <w:r>
        <w:rPr>
          <w:rFonts w:ascii="Times New Roman"/>
          <w:w w:val="105"/>
          <w:sz w:val="23"/>
        </w:rPr>
        <w:t>the</w:t>
      </w:r>
      <w:r>
        <w:rPr>
          <w:rFonts w:ascii="Times New Roman"/>
          <w:spacing w:val="-14"/>
          <w:w w:val="105"/>
          <w:sz w:val="23"/>
        </w:rPr>
        <w:t> </w:t>
      </w:r>
      <w:r>
        <w:rPr>
          <w:rFonts w:ascii="Times New Roman"/>
          <w:w w:val="105"/>
          <w:sz w:val="23"/>
        </w:rPr>
        <w:t>Regulations made</w:t>
      </w:r>
      <w:r>
        <w:rPr>
          <w:rFonts w:ascii="Times New Roman"/>
          <w:spacing w:val="-8"/>
          <w:w w:val="105"/>
          <w:sz w:val="23"/>
        </w:rPr>
        <w:t> </w:t>
      </w:r>
      <w:r>
        <w:rPr>
          <w:rFonts w:ascii="Times New Roman"/>
          <w:w w:val="105"/>
          <w:sz w:val="23"/>
        </w:rPr>
        <w:t>in</w:t>
      </w:r>
      <w:r>
        <w:rPr>
          <w:rFonts w:ascii="Times New Roman"/>
          <w:spacing w:val="-13"/>
          <w:w w:val="105"/>
          <w:sz w:val="23"/>
        </w:rPr>
        <w:t> </w:t>
      </w:r>
      <w:r>
        <w:rPr>
          <w:rFonts w:ascii="Times New Roman"/>
          <w:w w:val="105"/>
          <w:sz w:val="23"/>
        </w:rPr>
        <w:t>connection</w:t>
      </w:r>
      <w:r>
        <w:rPr>
          <w:rFonts w:ascii="Times New Roman"/>
          <w:spacing w:val="72"/>
          <w:w w:val="105"/>
          <w:sz w:val="23"/>
        </w:rPr>
        <w:t> </w:t>
      </w:r>
      <w:r>
        <w:rPr>
          <w:rFonts w:ascii="Times New Roman"/>
          <w:w w:val="105"/>
          <w:sz w:val="23"/>
        </w:rPr>
        <w:t>with all </w:t>
      </w:r>
      <w:r>
        <w:rPr>
          <w:rFonts w:ascii="Times New Roman"/>
          <w:b/>
          <w:i/>
          <w:w w:val="105"/>
          <w:sz w:val="22"/>
        </w:rPr>
        <w:t>Fedentl Transit Progrmns </w:t>
      </w:r>
      <w:r>
        <w:rPr>
          <w:rFonts w:ascii="Times New Roman"/>
          <w:w w:val="105"/>
          <w:sz w:val="23"/>
        </w:rPr>
        <w:t>and, in</w:t>
      </w:r>
      <w:r>
        <w:rPr>
          <w:rFonts w:ascii="Times New Roman"/>
          <w:spacing w:val="-1"/>
          <w:w w:val="105"/>
          <w:sz w:val="23"/>
        </w:rPr>
        <w:t> </w:t>
      </w:r>
      <w:r>
        <w:rPr>
          <w:rFonts w:ascii="Times New Roman"/>
          <w:w w:val="105"/>
          <w:sz w:val="23"/>
        </w:rPr>
        <w:t>adapted form, in</w:t>
      </w:r>
      <w:r>
        <w:rPr>
          <w:rFonts w:ascii="Times New Roman"/>
          <w:spacing w:val="-1"/>
          <w:w w:val="105"/>
          <w:sz w:val="23"/>
        </w:rPr>
        <w:t> </w:t>
      </w:r>
      <w:r>
        <w:rPr>
          <w:rFonts w:ascii="Times New Roman"/>
          <w:w w:val="105"/>
          <w:sz w:val="23"/>
        </w:rPr>
        <w:t>all proposals for negotiated</w:t>
      </w:r>
      <w:r>
        <w:rPr>
          <w:rFonts w:ascii="Times New Roman"/>
          <w:spacing w:val="80"/>
          <w:w w:val="105"/>
          <w:sz w:val="23"/>
        </w:rPr>
        <w:t> </w:t>
      </w:r>
      <w:r>
        <w:rPr>
          <w:rFonts w:ascii="Times New Roman"/>
          <w:w w:val="105"/>
          <w:sz w:val="23"/>
        </w:rPr>
        <w:t>agreements regardless of funding source:</w:t>
      </w:r>
    </w:p>
    <w:p>
      <w:pPr>
        <w:pStyle w:val="BodyText"/>
        <w:spacing w:before="3"/>
        <w:rPr>
          <w:rFonts w:ascii="Times New Roman"/>
          <w:sz w:val="21"/>
        </w:rPr>
      </w:pPr>
    </w:p>
    <w:p>
      <w:pPr>
        <w:spacing w:line="242" w:lineRule="auto" w:before="0"/>
        <w:ind w:left="1392" w:right="1901" w:firstLine="6"/>
        <w:jc w:val="left"/>
        <w:rPr>
          <w:rFonts w:ascii="Times New Roman" w:hAnsi="Times New Roman"/>
          <w:sz w:val="24"/>
        </w:rPr>
      </w:pPr>
      <w:r>
        <w:rPr>
          <w:rFonts w:ascii="Times New Roman" w:hAnsi="Times New Roman"/>
          <w:i/>
          <w:sz w:val="24"/>
        </w:rPr>
        <w:t>"The </w:t>
      </w:r>
      <w:r>
        <w:rPr>
          <w:rFonts w:ascii="Times New Roman" w:hAnsi="Times New Roman"/>
          <w:b/>
          <w:i/>
          <w:sz w:val="22"/>
        </w:rPr>
        <w:t>Maine Department of Tra11sporatio11, </w:t>
      </w:r>
      <w:r>
        <w:rPr>
          <w:rFonts w:ascii="Times New Roman" w:hAnsi="Times New Roman"/>
          <w:i/>
          <w:sz w:val="24"/>
        </w:rPr>
        <w:t>in</w:t>
      </w:r>
      <w:r>
        <w:rPr>
          <w:rFonts w:ascii="Times New Roman" w:hAnsi="Times New Roman"/>
          <w:i/>
          <w:spacing w:val="-2"/>
          <w:sz w:val="24"/>
        </w:rPr>
        <w:t> </w:t>
      </w:r>
      <w:r>
        <w:rPr>
          <w:rFonts w:ascii="Times New Roman" w:hAnsi="Times New Roman"/>
          <w:i/>
          <w:sz w:val="24"/>
        </w:rPr>
        <w:t>accordance with the provisions of</w:t>
      </w:r>
      <w:r>
        <w:rPr>
          <w:rFonts w:ascii="Times New Roman" w:hAnsi="Times New Roman"/>
          <w:i/>
          <w:sz w:val="24"/>
        </w:rPr>
        <w:t> Title VI of</w:t>
      </w:r>
      <w:r>
        <w:rPr>
          <w:rFonts w:ascii="Times New Roman" w:hAnsi="Times New Roman"/>
          <w:i/>
          <w:spacing w:val="-1"/>
          <w:sz w:val="24"/>
        </w:rPr>
        <w:t> </w:t>
      </w:r>
      <w:r>
        <w:rPr>
          <w:rFonts w:ascii="Times New Roman" w:hAnsi="Times New Roman"/>
          <w:i/>
          <w:sz w:val="24"/>
        </w:rPr>
        <w:t>the Civil Rights Act of 1964 (78 Stat. 252, 42 U.S.C. §§ 2000d to 2000d-4)</w:t>
      </w:r>
      <w:r>
        <w:rPr>
          <w:rFonts w:ascii="Times New Roman" w:hAnsi="Times New Roman"/>
          <w:i/>
          <w:spacing w:val="-12"/>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the Regulations, hereby</w:t>
      </w:r>
      <w:r>
        <w:rPr>
          <w:rFonts w:ascii="Times New Roman" w:hAnsi="Times New Roman"/>
          <w:i/>
          <w:spacing w:val="-2"/>
          <w:sz w:val="24"/>
        </w:rPr>
        <w:t> </w:t>
      </w:r>
      <w:r>
        <w:rPr>
          <w:rFonts w:ascii="Times New Roman" w:hAnsi="Times New Roman"/>
          <w:i/>
          <w:sz w:val="24"/>
        </w:rPr>
        <w:t>notifies</w:t>
      </w:r>
      <w:r>
        <w:rPr>
          <w:rFonts w:ascii="Times New Roman" w:hAnsi="Times New Roman"/>
          <w:i/>
          <w:spacing w:val="-6"/>
          <w:sz w:val="24"/>
        </w:rPr>
        <w:t> </w:t>
      </w:r>
      <w:r>
        <w:rPr>
          <w:rFonts w:ascii="Times New Roman" w:hAnsi="Times New Roman"/>
          <w:i/>
          <w:sz w:val="24"/>
        </w:rPr>
        <w:t>all</w:t>
      </w:r>
      <w:r>
        <w:rPr>
          <w:rFonts w:ascii="Times New Roman" w:hAnsi="Times New Roman"/>
          <w:i/>
          <w:spacing w:val="-2"/>
          <w:sz w:val="24"/>
        </w:rPr>
        <w:t> </w:t>
      </w:r>
      <w:r>
        <w:rPr>
          <w:rFonts w:ascii="Times New Roman" w:hAnsi="Times New Roman"/>
          <w:i/>
          <w:sz w:val="24"/>
        </w:rPr>
        <w:t>bidders</w:t>
      </w:r>
      <w:r>
        <w:rPr>
          <w:rFonts w:ascii="Times New Roman" w:hAnsi="Times New Roman"/>
          <w:i/>
          <w:spacing w:val="-5"/>
          <w:sz w:val="24"/>
        </w:rPr>
        <w:t> </w:t>
      </w:r>
      <w:r>
        <w:rPr>
          <w:rFonts w:ascii="Times New Roman" w:hAnsi="Times New Roman"/>
          <w:i/>
          <w:sz w:val="24"/>
        </w:rPr>
        <w:t>that it will</w:t>
      </w:r>
      <w:r>
        <w:rPr>
          <w:rFonts w:ascii="Times New Roman" w:hAnsi="Times New Roman"/>
          <w:i/>
          <w:spacing w:val="-6"/>
          <w:sz w:val="24"/>
        </w:rPr>
        <w:t> </w:t>
      </w:r>
      <w:r>
        <w:rPr>
          <w:rFonts w:ascii="Times New Roman" w:hAnsi="Times New Roman"/>
          <w:i/>
          <w:sz w:val="24"/>
        </w:rPr>
        <w:t>affirmatively assure that any contract entered into pursuant lo this advertisement, disadvantaged business enterprises will be afforded fidl and/air opportunity to submit bids</w:t>
      </w:r>
      <w:r>
        <w:rPr>
          <w:rFonts w:ascii="Times New Roman" w:hAnsi="Times New Roman"/>
          <w:i/>
          <w:spacing w:val="-6"/>
          <w:sz w:val="24"/>
        </w:rPr>
        <w:t> </w:t>
      </w:r>
      <w:r>
        <w:rPr>
          <w:rFonts w:ascii="Times New Roman" w:hAnsi="Times New Roman"/>
          <w:i/>
          <w:sz w:val="24"/>
        </w:rPr>
        <w:t>in</w:t>
      </w:r>
      <w:r>
        <w:rPr>
          <w:rFonts w:ascii="Times New Roman" w:hAnsi="Times New Roman"/>
          <w:i/>
          <w:spacing w:val="-12"/>
          <w:sz w:val="24"/>
        </w:rPr>
        <w:t> </w:t>
      </w:r>
      <w:r>
        <w:rPr>
          <w:rFonts w:ascii="Times New Roman" w:hAnsi="Times New Roman"/>
          <w:i/>
          <w:sz w:val="24"/>
        </w:rPr>
        <w:t>response</w:t>
      </w:r>
      <w:r>
        <w:rPr>
          <w:rFonts w:ascii="Times New Roman" w:hAnsi="Times New Roman"/>
          <w:i/>
          <w:spacing w:val="-2"/>
          <w:sz w:val="24"/>
        </w:rPr>
        <w:t> </w:t>
      </w:r>
      <w:r>
        <w:rPr>
          <w:rFonts w:ascii="Times New Roman" w:hAnsi="Times New Roman"/>
          <w:i/>
          <w:sz w:val="24"/>
        </w:rPr>
        <w:t>lo</w:t>
      </w:r>
      <w:r>
        <w:rPr>
          <w:rFonts w:ascii="Times New Roman" w:hAnsi="Times New Roman"/>
          <w:i/>
          <w:spacing w:val="-12"/>
          <w:sz w:val="24"/>
        </w:rPr>
        <w:t> </w:t>
      </w:r>
      <w:r>
        <w:rPr>
          <w:rFonts w:ascii="Times New Roman" w:hAnsi="Times New Roman"/>
          <w:i/>
          <w:sz w:val="24"/>
        </w:rPr>
        <w:t>this</w:t>
      </w:r>
      <w:r>
        <w:rPr>
          <w:rFonts w:ascii="Times New Roman" w:hAnsi="Times New Roman"/>
          <w:i/>
          <w:spacing w:val="-6"/>
          <w:sz w:val="24"/>
        </w:rPr>
        <w:t> </w:t>
      </w:r>
      <w:r>
        <w:rPr>
          <w:rFonts w:ascii="Times New Roman" w:hAnsi="Times New Roman"/>
          <w:i/>
          <w:sz w:val="24"/>
        </w:rPr>
        <w:t>invitation</w:t>
      </w:r>
      <w:r>
        <w:rPr>
          <w:rFonts w:ascii="Times New Roman" w:hAnsi="Times New Roman"/>
          <w:i/>
          <w:spacing w:val="-6"/>
          <w:sz w:val="24"/>
        </w:rPr>
        <w:t> </w:t>
      </w:r>
      <w:r>
        <w:rPr>
          <w:rFonts w:ascii="Times New Roman" w:hAnsi="Times New Roman"/>
          <w:i/>
          <w:sz w:val="24"/>
        </w:rPr>
        <w:t>and</w:t>
      </w:r>
      <w:r>
        <w:rPr>
          <w:rFonts w:ascii="Times New Roman" w:hAnsi="Times New Roman"/>
          <w:i/>
          <w:spacing w:val="-2"/>
          <w:sz w:val="24"/>
        </w:rPr>
        <w:t> </w:t>
      </w:r>
      <w:r>
        <w:rPr>
          <w:rFonts w:ascii="Times New Roman" w:hAnsi="Times New Roman"/>
          <w:i/>
          <w:sz w:val="24"/>
        </w:rPr>
        <w:t>will</w:t>
      </w:r>
      <w:r>
        <w:rPr>
          <w:rFonts w:ascii="Times New Roman" w:hAnsi="Times New Roman"/>
          <w:i/>
          <w:spacing w:val="-10"/>
          <w:sz w:val="24"/>
        </w:rPr>
        <w:t> </w:t>
      </w:r>
      <w:r>
        <w:rPr>
          <w:rFonts w:ascii="Times New Roman" w:hAnsi="Times New Roman"/>
          <w:i/>
          <w:sz w:val="24"/>
        </w:rPr>
        <w:t>not</w:t>
      </w:r>
      <w:r>
        <w:rPr>
          <w:rFonts w:ascii="Times New Roman" w:hAnsi="Times New Roman"/>
          <w:i/>
          <w:spacing w:val="-7"/>
          <w:sz w:val="24"/>
        </w:rPr>
        <w:t> </w:t>
      </w:r>
      <w:r>
        <w:rPr>
          <w:rFonts w:ascii="Times New Roman" w:hAnsi="Times New Roman"/>
          <w:i/>
          <w:sz w:val="24"/>
        </w:rPr>
        <w:t>be</w:t>
      </w:r>
      <w:r>
        <w:rPr>
          <w:rFonts w:ascii="Times New Roman" w:hAnsi="Times New Roman"/>
          <w:i/>
          <w:spacing w:val="-6"/>
          <w:sz w:val="24"/>
        </w:rPr>
        <w:t> </w:t>
      </w:r>
      <w:r>
        <w:rPr>
          <w:rFonts w:ascii="Times New Roman" w:hAnsi="Times New Roman"/>
          <w:i/>
          <w:sz w:val="24"/>
        </w:rPr>
        <w:t>discriminated</w:t>
      </w:r>
      <w:r>
        <w:rPr>
          <w:rFonts w:ascii="Times New Roman" w:hAnsi="Times New Roman"/>
          <w:i/>
          <w:spacing w:val="18"/>
          <w:sz w:val="24"/>
        </w:rPr>
        <w:t> </w:t>
      </w:r>
      <w:r>
        <w:rPr>
          <w:rFonts w:ascii="Times New Roman" w:hAnsi="Times New Roman"/>
          <w:i/>
          <w:sz w:val="24"/>
        </w:rPr>
        <w:t>against on the grounds of</w:t>
      </w:r>
      <w:r>
        <w:rPr>
          <w:rFonts w:ascii="Times New Roman" w:hAnsi="Times New Roman"/>
          <w:i/>
          <w:spacing w:val="-2"/>
          <w:sz w:val="24"/>
        </w:rPr>
        <w:t> </w:t>
      </w:r>
      <w:r>
        <w:rPr>
          <w:rFonts w:ascii="Times New Roman" w:hAnsi="Times New Roman"/>
          <w:i/>
          <w:sz w:val="24"/>
        </w:rPr>
        <w:t>race, color, or national origin in</w:t>
      </w:r>
      <w:r>
        <w:rPr>
          <w:rFonts w:ascii="Times New Roman" w:hAnsi="Times New Roman"/>
          <w:i/>
          <w:spacing w:val="-3"/>
          <w:sz w:val="24"/>
        </w:rPr>
        <w:t> </w:t>
      </w:r>
      <w:r>
        <w:rPr>
          <w:rFonts w:ascii="Times New Roman" w:hAnsi="Times New Roman"/>
          <w:i/>
          <w:sz w:val="24"/>
        </w:rPr>
        <w:t>consideration</w:t>
      </w:r>
      <w:r>
        <w:rPr>
          <w:rFonts w:ascii="Times New Roman" w:hAnsi="Times New Roman"/>
          <w:i/>
          <w:spacing w:val="33"/>
          <w:sz w:val="24"/>
        </w:rPr>
        <w:t> </w:t>
      </w:r>
      <w:r>
        <w:rPr>
          <w:rFonts w:ascii="Times New Roman" w:hAnsi="Times New Roman"/>
          <w:i/>
          <w:sz w:val="24"/>
        </w:rPr>
        <w:t>for an</w:t>
      </w:r>
      <w:r>
        <w:rPr>
          <w:rFonts w:ascii="Times New Roman" w:hAnsi="Times New Roman"/>
          <w:i/>
          <w:spacing w:val="-1"/>
          <w:sz w:val="24"/>
        </w:rPr>
        <w:t> </w:t>
      </w:r>
      <w:r>
        <w:rPr>
          <w:rFonts w:ascii="Times New Roman" w:hAnsi="Times New Roman"/>
          <w:i/>
          <w:sz w:val="24"/>
        </w:rPr>
        <w:t>award.</w:t>
      </w:r>
      <w:r>
        <w:rPr>
          <w:rFonts w:ascii="Times New Roman" w:hAnsi="Times New Roman"/>
          <w:i/>
          <w:spacing w:val="-15"/>
          <w:sz w:val="24"/>
        </w:rPr>
        <w:t> </w:t>
      </w:r>
      <w:r>
        <w:rPr>
          <w:rFonts w:ascii="Times New Roman" w:hAnsi="Times New Roman"/>
          <w:sz w:val="24"/>
        </w:rPr>
        <w:t>"</w:t>
      </w:r>
    </w:p>
    <w:p>
      <w:pPr>
        <w:pStyle w:val="BodyText"/>
        <w:spacing w:before="7"/>
        <w:rPr>
          <w:rFonts w:ascii="Times New Roman"/>
          <w:sz w:val="23"/>
        </w:rPr>
      </w:pPr>
    </w:p>
    <w:p>
      <w:pPr>
        <w:pStyle w:val="Heading9"/>
        <w:numPr>
          <w:ilvl w:val="0"/>
          <w:numId w:val="30"/>
        </w:numPr>
        <w:tabs>
          <w:tab w:pos="1026" w:val="left" w:leader="none"/>
          <w:tab w:pos="1035" w:val="left" w:leader="none"/>
        </w:tabs>
        <w:spacing w:line="252" w:lineRule="auto" w:before="0" w:after="0"/>
        <w:ind w:left="1035" w:right="602" w:hanging="363"/>
        <w:jc w:val="left"/>
        <w:rPr>
          <w:rFonts w:ascii="Times New Roman"/>
        </w:rPr>
      </w:pPr>
      <w:r>
        <w:rPr>
          <w:rFonts w:ascii="Times New Roman"/>
        </w:rPr>
        <w:t>The</w:t>
      </w:r>
      <w:r>
        <w:rPr>
          <w:rFonts w:ascii="Times New Roman"/>
          <w:spacing w:val="-14"/>
        </w:rPr>
        <w:t> </w:t>
      </w:r>
      <w:r>
        <w:rPr>
          <w:rFonts w:ascii="Times New Roman"/>
        </w:rPr>
        <w:t>Recipient</w:t>
      </w:r>
      <w:r>
        <w:rPr>
          <w:rFonts w:ascii="Times New Roman"/>
          <w:spacing w:val="-5"/>
        </w:rPr>
        <w:t> </w:t>
      </w:r>
      <w:r>
        <w:rPr>
          <w:rFonts w:ascii="Times New Roman"/>
        </w:rPr>
        <w:t>will</w:t>
      </w:r>
      <w:r>
        <w:rPr>
          <w:rFonts w:ascii="Times New Roman"/>
          <w:spacing w:val="-2"/>
        </w:rPr>
        <w:t> </w:t>
      </w:r>
      <w:r>
        <w:rPr>
          <w:rFonts w:ascii="Times New Roman"/>
        </w:rPr>
        <w:t>insert</w:t>
      </w:r>
      <w:r>
        <w:rPr>
          <w:rFonts w:ascii="Times New Roman"/>
          <w:spacing w:val="-3"/>
        </w:rPr>
        <w:t> </w:t>
      </w:r>
      <w:r>
        <w:rPr>
          <w:rFonts w:ascii="Times New Roman"/>
        </w:rPr>
        <w:t>the</w:t>
      </w:r>
      <w:r>
        <w:rPr>
          <w:rFonts w:ascii="Times New Roman"/>
          <w:spacing w:val="-12"/>
        </w:rPr>
        <w:t> </w:t>
      </w:r>
      <w:r>
        <w:rPr>
          <w:rFonts w:ascii="Times New Roman"/>
        </w:rPr>
        <w:t>clauses</w:t>
      </w:r>
      <w:r>
        <w:rPr>
          <w:rFonts w:ascii="Times New Roman"/>
          <w:spacing w:val="-4"/>
        </w:rPr>
        <w:t> </w:t>
      </w:r>
      <w:r>
        <w:rPr>
          <w:rFonts w:ascii="Times New Roman"/>
        </w:rPr>
        <w:t>of</w:t>
      </w:r>
      <w:r>
        <w:rPr>
          <w:rFonts w:ascii="Times New Roman"/>
          <w:spacing w:val="-7"/>
        </w:rPr>
        <w:t> </w:t>
      </w:r>
      <w:r>
        <w:rPr>
          <w:rFonts w:ascii="Times New Roman"/>
        </w:rPr>
        <w:t>Appendix A</w:t>
      </w:r>
      <w:r>
        <w:rPr>
          <w:rFonts w:ascii="Times New Roman"/>
          <w:spacing w:val="-13"/>
        </w:rPr>
        <w:t> </w:t>
      </w:r>
      <w:r>
        <w:rPr>
          <w:rFonts w:ascii="Times New Roman"/>
        </w:rPr>
        <w:t>and</w:t>
      </w:r>
      <w:r>
        <w:rPr>
          <w:rFonts w:ascii="Times New Roman"/>
          <w:spacing w:val="-7"/>
        </w:rPr>
        <w:t> </w:t>
      </w:r>
      <w:r>
        <w:rPr>
          <w:rFonts w:ascii="Times New Roman"/>
        </w:rPr>
        <w:t>E</w:t>
      </w:r>
      <w:r>
        <w:rPr>
          <w:rFonts w:ascii="Times New Roman"/>
          <w:spacing w:val="-14"/>
        </w:rPr>
        <w:t> </w:t>
      </w:r>
      <w:r>
        <w:rPr>
          <w:rFonts w:ascii="Times New Roman"/>
        </w:rPr>
        <w:t>of</w:t>
      </w:r>
      <w:r>
        <w:rPr>
          <w:rFonts w:ascii="Times New Roman"/>
          <w:spacing w:val="-8"/>
        </w:rPr>
        <w:t> </w:t>
      </w:r>
      <w:r>
        <w:rPr>
          <w:rFonts w:ascii="Times New Roman"/>
        </w:rPr>
        <w:t>this</w:t>
      </w:r>
      <w:r>
        <w:rPr>
          <w:rFonts w:ascii="Times New Roman"/>
          <w:spacing w:val="-7"/>
        </w:rPr>
        <w:t> </w:t>
      </w:r>
      <w:r>
        <w:rPr>
          <w:rFonts w:ascii="Times New Roman"/>
        </w:rPr>
        <w:t>Assurance in</w:t>
      </w:r>
      <w:r>
        <w:rPr>
          <w:rFonts w:ascii="Times New Roman"/>
          <w:spacing w:val="-15"/>
        </w:rPr>
        <w:t> </w:t>
      </w:r>
      <w:r>
        <w:rPr>
          <w:rFonts w:ascii="Times New Roman"/>
        </w:rPr>
        <w:t>every</w:t>
      </w:r>
      <w:r>
        <w:rPr>
          <w:rFonts w:ascii="Times New Roman"/>
          <w:spacing w:val="40"/>
        </w:rPr>
        <w:t> </w:t>
      </w:r>
      <w:r>
        <w:rPr>
          <w:rFonts w:ascii="Times New Roman"/>
        </w:rPr>
        <w:t>contract or agreement subject to the Acts and the Regulations.</w:t>
      </w:r>
    </w:p>
    <w:p>
      <w:pPr>
        <w:pStyle w:val="BodyText"/>
        <w:spacing w:before="7"/>
        <w:rPr>
          <w:rFonts w:ascii="Times New Roman"/>
          <w:b/>
          <w:sz w:val="27"/>
        </w:rPr>
      </w:pPr>
    </w:p>
    <w:p>
      <w:pPr>
        <w:pStyle w:val="ListParagraph"/>
        <w:numPr>
          <w:ilvl w:val="0"/>
          <w:numId w:val="30"/>
        </w:numPr>
        <w:tabs>
          <w:tab w:pos="1036" w:val="left" w:leader="none"/>
          <w:tab w:pos="1040" w:val="left" w:leader="none"/>
        </w:tabs>
        <w:spacing w:line="254" w:lineRule="auto" w:before="0" w:after="0"/>
        <w:ind w:left="1040" w:right="656" w:hanging="361"/>
        <w:jc w:val="left"/>
        <w:rPr>
          <w:rFonts w:ascii="Times New Roman"/>
          <w:sz w:val="23"/>
        </w:rPr>
      </w:pPr>
      <w:r>
        <w:rPr>
          <w:rFonts w:ascii="Times New Roman"/>
          <w:w w:val="105"/>
          <w:sz w:val="23"/>
        </w:rPr>
        <w:t>The</w:t>
      </w:r>
      <w:r>
        <w:rPr>
          <w:rFonts w:ascii="Times New Roman"/>
          <w:spacing w:val="-15"/>
          <w:w w:val="105"/>
          <w:sz w:val="23"/>
        </w:rPr>
        <w:t> </w:t>
      </w:r>
      <w:r>
        <w:rPr>
          <w:rFonts w:ascii="Times New Roman"/>
          <w:w w:val="105"/>
          <w:sz w:val="23"/>
        </w:rPr>
        <w:t>Recipient will</w:t>
      </w:r>
      <w:r>
        <w:rPr>
          <w:rFonts w:ascii="Times New Roman"/>
          <w:spacing w:val="-4"/>
          <w:w w:val="105"/>
          <w:sz w:val="23"/>
        </w:rPr>
        <w:t> </w:t>
      </w:r>
      <w:r>
        <w:rPr>
          <w:rFonts w:ascii="Times New Roman"/>
          <w:w w:val="105"/>
          <w:sz w:val="23"/>
        </w:rPr>
        <w:t>insert</w:t>
      </w:r>
      <w:r>
        <w:rPr>
          <w:rFonts w:ascii="Times New Roman"/>
          <w:spacing w:val="-6"/>
          <w:w w:val="105"/>
          <w:sz w:val="23"/>
        </w:rPr>
        <w:t> </w:t>
      </w:r>
      <w:r>
        <w:rPr>
          <w:rFonts w:ascii="Times New Roman"/>
          <w:w w:val="105"/>
          <w:sz w:val="23"/>
        </w:rPr>
        <w:t>the</w:t>
      </w:r>
      <w:r>
        <w:rPr>
          <w:rFonts w:ascii="Times New Roman"/>
          <w:spacing w:val="-16"/>
          <w:w w:val="105"/>
          <w:sz w:val="23"/>
        </w:rPr>
        <w:t> </w:t>
      </w:r>
      <w:r>
        <w:rPr>
          <w:rFonts w:ascii="Times New Roman"/>
          <w:w w:val="105"/>
          <w:sz w:val="23"/>
        </w:rPr>
        <w:t>clauses</w:t>
      </w:r>
      <w:r>
        <w:rPr>
          <w:rFonts w:ascii="Times New Roman"/>
          <w:spacing w:val="-12"/>
          <w:w w:val="105"/>
          <w:sz w:val="23"/>
        </w:rPr>
        <w:t> </w:t>
      </w:r>
      <w:r>
        <w:rPr>
          <w:rFonts w:ascii="Times New Roman"/>
          <w:w w:val="105"/>
          <w:sz w:val="23"/>
        </w:rPr>
        <w:t>of</w:t>
      </w:r>
      <w:r>
        <w:rPr>
          <w:rFonts w:ascii="Times New Roman"/>
          <w:spacing w:val="-9"/>
          <w:w w:val="105"/>
          <w:sz w:val="23"/>
        </w:rPr>
        <w:t> </w:t>
      </w:r>
      <w:r>
        <w:rPr>
          <w:rFonts w:ascii="Times New Roman"/>
          <w:w w:val="105"/>
          <w:sz w:val="23"/>
        </w:rPr>
        <w:t>Appendix</w:t>
      </w:r>
      <w:r>
        <w:rPr>
          <w:rFonts w:ascii="Times New Roman"/>
          <w:spacing w:val="-4"/>
          <w:w w:val="105"/>
          <w:sz w:val="23"/>
        </w:rPr>
        <w:t> </w:t>
      </w:r>
      <w:r>
        <w:rPr>
          <w:rFonts w:ascii="Times New Roman"/>
          <w:w w:val="105"/>
          <w:sz w:val="23"/>
        </w:rPr>
        <w:t>C</w:t>
      </w:r>
      <w:r>
        <w:rPr>
          <w:rFonts w:ascii="Times New Roman"/>
          <w:spacing w:val="-12"/>
          <w:w w:val="105"/>
          <w:sz w:val="23"/>
        </w:rPr>
        <w:t> </w:t>
      </w:r>
      <w:r>
        <w:rPr>
          <w:rFonts w:ascii="Times New Roman"/>
          <w:w w:val="105"/>
          <w:sz w:val="23"/>
        </w:rPr>
        <w:t>of</w:t>
      </w:r>
      <w:r>
        <w:rPr>
          <w:rFonts w:ascii="Times New Roman"/>
          <w:spacing w:val="-15"/>
          <w:w w:val="105"/>
          <w:sz w:val="23"/>
        </w:rPr>
        <w:t> </w:t>
      </w:r>
      <w:r>
        <w:rPr>
          <w:rFonts w:ascii="Times New Roman"/>
          <w:w w:val="105"/>
          <w:sz w:val="23"/>
        </w:rPr>
        <w:t>this</w:t>
      </w:r>
      <w:r>
        <w:rPr>
          <w:rFonts w:ascii="Times New Roman"/>
          <w:spacing w:val="-9"/>
          <w:w w:val="105"/>
          <w:sz w:val="23"/>
        </w:rPr>
        <w:t> </w:t>
      </w:r>
      <w:r>
        <w:rPr>
          <w:rFonts w:ascii="Times New Roman"/>
          <w:w w:val="105"/>
          <w:sz w:val="23"/>
        </w:rPr>
        <w:t>Assurance, as</w:t>
      </w:r>
      <w:r>
        <w:rPr>
          <w:rFonts w:ascii="Times New Roman"/>
          <w:spacing w:val="-16"/>
          <w:w w:val="105"/>
          <w:sz w:val="23"/>
        </w:rPr>
        <w:t> </w:t>
      </w:r>
      <w:r>
        <w:rPr>
          <w:rFonts w:ascii="Times New Roman"/>
          <w:w w:val="105"/>
          <w:sz w:val="23"/>
        </w:rPr>
        <w:t>a</w:t>
      </w:r>
      <w:r>
        <w:rPr>
          <w:rFonts w:ascii="Times New Roman"/>
          <w:spacing w:val="-15"/>
          <w:w w:val="105"/>
          <w:sz w:val="23"/>
        </w:rPr>
        <w:t> </w:t>
      </w:r>
      <w:r>
        <w:rPr>
          <w:rFonts w:ascii="Times New Roman"/>
          <w:w w:val="105"/>
          <w:sz w:val="23"/>
        </w:rPr>
        <w:t>covenant running</w:t>
      </w:r>
      <w:r>
        <w:rPr>
          <w:rFonts w:ascii="Times New Roman"/>
          <w:spacing w:val="63"/>
          <w:w w:val="105"/>
          <w:sz w:val="23"/>
        </w:rPr>
        <w:t> </w:t>
      </w:r>
      <w:r>
        <w:rPr>
          <w:rFonts w:ascii="Times New Roman"/>
          <w:w w:val="105"/>
          <w:sz w:val="23"/>
        </w:rPr>
        <w:t>with the</w:t>
      </w:r>
      <w:r>
        <w:rPr>
          <w:rFonts w:ascii="Times New Roman"/>
          <w:spacing w:val="-6"/>
          <w:w w:val="105"/>
          <w:sz w:val="23"/>
        </w:rPr>
        <w:t> </w:t>
      </w:r>
      <w:r>
        <w:rPr>
          <w:rFonts w:ascii="Times New Roman"/>
          <w:w w:val="105"/>
          <w:sz w:val="23"/>
        </w:rPr>
        <w:t>land, in</w:t>
      </w:r>
      <w:r>
        <w:rPr>
          <w:rFonts w:ascii="Times New Roman"/>
          <w:spacing w:val="-2"/>
          <w:w w:val="105"/>
          <w:sz w:val="23"/>
        </w:rPr>
        <w:t> </w:t>
      </w:r>
      <w:r>
        <w:rPr>
          <w:rFonts w:ascii="Times New Roman"/>
          <w:w w:val="105"/>
          <w:sz w:val="23"/>
        </w:rPr>
        <w:t>any</w:t>
      </w:r>
      <w:r>
        <w:rPr>
          <w:rFonts w:ascii="Times New Roman"/>
          <w:spacing w:val="-7"/>
          <w:w w:val="105"/>
          <w:sz w:val="23"/>
        </w:rPr>
        <w:t> </w:t>
      </w:r>
      <w:r>
        <w:rPr>
          <w:rFonts w:ascii="Times New Roman"/>
          <w:w w:val="105"/>
          <w:sz w:val="23"/>
        </w:rPr>
        <w:t>deed from the United States</w:t>
      </w:r>
      <w:r>
        <w:rPr>
          <w:rFonts w:ascii="Times New Roman"/>
          <w:spacing w:val="-3"/>
          <w:w w:val="105"/>
          <w:sz w:val="23"/>
        </w:rPr>
        <w:t> </w:t>
      </w:r>
      <w:r>
        <w:rPr>
          <w:rFonts w:ascii="Times New Roman"/>
          <w:w w:val="105"/>
          <w:sz w:val="23"/>
        </w:rPr>
        <w:t>effecting or</w:t>
      </w:r>
      <w:r>
        <w:rPr>
          <w:rFonts w:ascii="Times New Roman"/>
          <w:spacing w:val="-1"/>
          <w:w w:val="105"/>
          <w:sz w:val="23"/>
        </w:rPr>
        <w:t> </w:t>
      </w:r>
      <w:r>
        <w:rPr>
          <w:rFonts w:ascii="Times New Roman"/>
          <w:w w:val="105"/>
          <w:sz w:val="23"/>
        </w:rPr>
        <w:t>recording a transfer of real</w:t>
      </w:r>
      <w:r>
        <w:rPr>
          <w:rFonts w:ascii="Times New Roman"/>
          <w:spacing w:val="40"/>
          <w:w w:val="105"/>
          <w:sz w:val="23"/>
        </w:rPr>
        <w:t> </w:t>
      </w:r>
      <w:r>
        <w:rPr>
          <w:rFonts w:ascii="Times New Roman"/>
          <w:w w:val="105"/>
          <w:sz w:val="23"/>
        </w:rPr>
        <w:t>property, structures,</w:t>
      </w:r>
      <w:r>
        <w:rPr>
          <w:rFonts w:ascii="Times New Roman"/>
          <w:spacing w:val="22"/>
          <w:w w:val="105"/>
          <w:sz w:val="23"/>
        </w:rPr>
        <w:t> </w:t>
      </w:r>
      <w:r>
        <w:rPr>
          <w:rFonts w:ascii="Times New Roman"/>
          <w:w w:val="105"/>
          <w:sz w:val="23"/>
        </w:rPr>
        <w:t>use,</w:t>
      </w:r>
      <w:r>
        <w:rPr>
          <w:rFonts w:ascii="Times New Roman"/>
          <w:spacing w:val="-2"/>
          <w:w w:val="105"/>
          <w:sz w:val="23"/>
        </w:rPr>
        <w:t> </w:t>
      </w:r>
      <w:r>
        <w:rPr>
          <w:rFonts w:ascii="Times New Roman"/>
          <w:w w:val="105"/>
          <w:sz w:val="23"/>
        </w:rPr>
        <w:t>or</w:t>
      </w:r>
      <w:r>
        <w:rPr>
          <w:rFonts w:ascii="Times New Roman"/>
          <w:spacing w:val="-7"/>
          <w:w w:val="105"/>
          <w:sz w:val="23"/>
        </w:rPr>
        <w:t> </w:t>
      </w:r>
      <w:r>
        <w:rPr>
          <w:rFonts w:ascii="Times New Roman"/>
          <w:w w:val="105"/>
          <w:sz w:val="23"/>
        </w:rPr>
        <w:t>improvements thereon or interest therein to</w:t>
      </w:r>
      <w:r>
        <w:rPr>
          <w:rFonts w:ascii="Times New Roman"/>
          <w:spacing w:val="-3"/>
          <w:w w:val="105"/>
          <w:sz w:val="23"/>
        </w:rPr>
        <w:t> </w:t>
      </w:r>
      <w:r>
        <w:rPr>
          <w:rFonts w:ascii="Times New Roman"/>
          <w:w w:val="105"/>
          <w:sz w:val="23"/>
        </w:rPr>
        <w:t>a</w:t>
      </w:r>
      <w:r>
        <w:rPr>
          <w:rFonts w:ascii="Times New Roman"/>
          <w:spacing w:val="-11"/>
          <w:w w:val="105"/>
          <w:sz w:val="23"/>
        </w:rPr>
        <w:t> </w:t>
      </w:r>
      <w:r>
        <w:rPr>
          <w:rFonts w:ascii="Times New Roman"/>
          <w:w w:val="105"/>
          <w:sz w:val="23"/>
        </w:rPr>
        <w:t>Recipient.</w:t>
      </w:r>
    </w:p>
    <w:p>
      <w:pPr>
        <w:pStyle w:val="BodyText"/>
        <w:spacing w:before="6"/>
        <w:rPr>
          <w:rFonts w:ascii="Times New Roman"/>
          <w:sz w:val="23"/>
        </w:rPr>
      </w:pPr>
    </w:p>
    <w:p>
      <w:pPr>
        <w:pStyle w:val="ListParagraph"/>
        <w:numPr>
          <w:ilvl w:val="0"/>
          <w:numId w:val="30"/>
        </w:numPr>
        <w:tabs>
          <w:tab w:pos="1036" w:val="left" w:leader="none"/>
          <w:tab w:pos="1042" w:val="left" w:leader="none"/>
        </w:tabs>
        <w:spacing w:line="266" w:lineRule="auto" w:before="0" w:after="0"/>
        <w:ind w:left="1042" w:right="911" w:hanging="363"/>
        <w:jc w:val="left"/>
        <w:rPr>
          <w:rFonts w:ascii="Times New Roman"/>
          <w:sz w:val="23"/>
        </w:rPr>
      </w:pPr>
      <w:r>
        <w:rPr>
          <w:rFonts w:ascii="Times New Roman"/>
          <w:w w:val="105"/>
          <w:sz w:val="23"/>
        </w:rPr>
        <w:t>That</w:t>
      </w:r>
      <w:r>
        <w:rPr>
          <w:rFonts w:ascii="Times New Roman"/>
          <w:spacing w:val="-16"/>
          <w:w w:val="105"/>
          <w:sz w:val="23"/>
        </w:rPr>
        <w:t> </w:t>
      </w:r>
      <w:r>
        <w:rPr>
          <w:rFonts w:ascii="Times New Roman"/>
          <w:w w:val="105"/>
          <w:sz w:val="23"/>
        </w:rPr>
        <w:t>where</w:t>
      </w:r>
      <w:r>
        <w:rPr>
          <w:rFonts w:ascii="Times New Roman"/>
          <w:spacing w:val="-13"/>
          <w:w w:val="105"/>
          <w:sz w:val="23"/>
        </w:rPr>
        <w:t> </w:t>
      </w:r>
      <w:r>
        <w:rPr>
          <w:rFonts w:ascii="Times New Roman"/>
          <w:w w:val="105"/>
          <w:sz w:val="23"/>
        </w:rPr>
        <w:t>the</w:t>
      </w:r>
      <w:r>
        <w:rPr>
          <w:rFonts w:ascii="Times New Roman"/>
          <w:spacing w:val="-15"/>
          <w:w w:val="105"/>
          <w:sz w:val="23"/>
        </w:rPr>
        <w:t> </w:t>
      </w:r>
      <w:r>
        <w:rPr>
          <w:rFonts w:ascii="Times New Roman"/>
          <w:w w:val="105"/>
          <w:sz w:val="23"/>
        </w:rPr>
        <w:t>Recipient</w:t>
      </w:r>
      <w:r>
        <w:rPr>
          <w:rFonts w:ascii="Times New Roman"/>
          <w:spacing w:val="-1"/>
          <w:w w:val="105"/>
          <w:sz w:val="23"/>
        </w:rPr>
        <w:t> </w:t>
      </w:r>
      <w:r>
        <w:rPr>
          <w:rFonts w:ascii="Times New Roman"/>
          <w:w w:val="105"/>
          <w:sz w:val="23"/>
        </w:rPr>
        <w:t>receives</w:t>
      </w:r>
      <w:r>
        <w:rPr>
          <w:rFonts w:ascii="Times New Roman"/>
          <w:spacing w:val="-10"/>
          <w:w w:val="105"/>
          <w:sz w:val="23"/>
        </w:rPr>
        <w:t> </w:t>
      </w:r>
      <w:r>
        <w:rPr>
          <w:rFonts w:ascii="Times New Roman"/>
          <w:w w:val="105"/>
          <w:sz w:val="23"/>
        </w:rPr>
        <w:t>Federal</w:t>
      </w:r>
      <w:r>
        <w:rPr>
          <w:rFonts w:ascii="Times New Roman"/>
          <w:spacing w:val="-6"/>
          <w:w w:val="105"/>
          <w:sz w:val="23"/>
        </w:rPr>
        <w:t> </w:t>
      </w:r>
      <w:r>
        <w:rPr>
          <w:rFonts w:ascii="Times New Roman"/>
          <w:w w:val="105"/>
          <w:sz w:val="23"/>
        </w:rPr>
        <w:t>financial</w:t>
      </w:r>
      <w:r>
        <w:rPr>
          <w:rFonts w:ascii="Times New Roman"/>
          <w:spacing w:val="-2"/>
          <w:w w:val="105"/>
          <w:sz w:val="23"/>
        </w:rPr>
        <w:t> </w:t>
      </w:r>
      <w:r>
        <w:rPr>
          <w:rFonts w:ascii="Times New Roman"/>
          <w:w w:val="105"/>
          <w:sz w:val="23"/>
        </w:rPr>
        <w:t>assistance to</w:t>
      </w:r>
      <w:r>
        <w:rPr>
          <w:rFonts w:ascii="Times New Roman"/>
          <w:spacing w:val="-15"/>
          <w:w w:val="105"/>
          <w:sz w:val="23"/>
        </w:rPr>
        <w:t> </w:t>
      </w:r>
      <w:r>
        <w:rPr>
          <w:rFonts w:ascii="Times New Roman"/>
          <w:w w:val="105"/>
          <w:sz w:val="23"/>
        </w:rPr>
        <w:t>construct</w:t>
      </w:r>
      <w:r>
        <w:rPr>
          <w:rFonts w:ascii="Times New Roman"/>
          <w:spacing w:val="-6"/>
          <w:w w:val="105"/>
          <w:sz w:val="23"/>
        </w:rPr>
        <w:t> </w:t>
      </w:r>
      <w:r>
        <w:rPr>
          <w:rFonts w:ascii="Times New Roman"/>
          <w:w w:val="105"/>
          <w:sz w:val="23"/>
        </w:rPr>
        <w:t>a</w:t>
      </w:r>
      <w:r>
        <w:rPr>
          <w:rFonts w:ascii="Times New Roman"/>
          <w:spacing w:val="-13"/>
          <w:w w:val="105"/>
          <w:sz w:val="23"/>
        </w:rPr>
        <w:t> </w:t>
      </w:r>
      <w:r>
        <w:rPr>
          <w:rFonts w:ascii="Times New Roman"/>
          <w:w w:val="105"/>
          <w:sz w:val="23"/>
        </w:rPr>
        <w:t>facility,</w:t>
      </w:r>
      <w:r>
        <w:rPr>
          <w:rFonts w:ascii="Times New Roman"/>
          <w:spacing w:val="-12"/>
          <w:w w:val="105"/>
          <w:sz w:val="23"/>
        </w:rPr>
        <w:t> </w:t>
      </w:r>
      <w:r>
        <w:rPr>
          <w:rFonts w:ascii="Times New Roman"/>
          <w:w w:val="105"/>
          <w:sz w:val="23"/>
        </w:rPr>
        <w:t>or</w:t>
      </w:r>
      <w:r>
        <w:rPr>
          <w:rFonts w:ascii="Times New Roman"/>
          <w:spacing w:val="-11"/>
          <w:w w:val="105"/>
          <w:sz w:val="23"/>
        </w:rPr>
        <w:t> </w:t>
      </w:r>
      <w:r>
        <w:rPr>
          <w:rFonts w:ascii="Times New Roman"/>
          <w:w w:val="105"/>
          <w:sz w:val="23"/>
        </w:rPr>
        <w:t>part</w:t>
      </w:r>
      <w:r>
        <w:rPr>
          <w:rFonts w:ascii="Times New Roman"/>
          <w:spacing w:val="-15"/>
          <w:w w:val="105"/>
          <w:sz w:val="23"/>
        </w:rPr>
        <w:t> </w:t>
      </w:r>
      <w:r>
        <w:rPr>
          <w:rFonts w:ascii="Times New Roman"/>
          <w:w w:val="105"/>
          <w:sz w:val="23"/>
        </w:rPr>
        <w:t>of</w:t>
      </w:r>
      <w:r>
        <w:rPr>
          <w:rFonts w:ascii="Times New Roman"/>
          <w:spacing w:val="-12"/>
          <w:w w:val="105"/>
          <w:sz w:val="23"/>
        </w:rPr>
        <w:t> </w:t>
      </w:r>
      <w:r>
        <w:rPr>
          <w:rFonts w:ascii="Times New Roman"/>
          <w:w w:val="105"/>
          <w:sz w:val="23"/>
        </w:rPr>
        <w:t>a facility,</w:t>
      </w:r>
      <w:r>
        <w:rPr>
          <w:rFonts w:ascii="Times New Roman"/>
          <w:spacing w:val="-2"/>
          <w:w w:val="105"/>
          <w:sz w:val="23"/>
        </w:rPr>
        <w:t> </w:t>
      </w:r>
      <w:r>
        <w:rPr>
          <w:rFonts w:ascii="Times New Roman"/>
          <w:w w:val="105"/>
          <w:sz w:val="23"/>
        </w:rPr>
        <w:t>the</w:t>
      </w:r>
      <w:r>
        <w:rPr>
          <w:rFonts w:ascii="Times New Roman"/>
          <w:spacing w:val="-10"/>
          <w:w w:val="105"/>
          <w:sz w:val="23"/>
        </w:rPr>
        <w:t> </w:t>
      </w:r>
      <w:r>
        <w:rPr>
          <w:rFonts w:ascii="Times New Roman"/>
          <w:w w:val="105"/>
          <w:sz w:val="23"/>
        </w:rPr>
        <w:t>Assurance will extend to</w:t>
      </w:r>
      <w:r>
        <w:rPr>
          <w:rFonts w:ascii="Times New Roman"/>
          <w:spacing w:val="-6"/>
          <w:w w:val="105"/>
          <w:sz w:val="23"/>
        </w:rPr>
        <w:t> </w:t>
      </w:r>
      <w:r>
        <w:rPr>
          <w:rFonts w:ascii="Times New Roman"/>
          <w:w w:val="105"/>
          <w:sz w:val="23"/>
        </w:rPr>
        <w:t>the</w:t>
      </w:r>
      <w:r>
        <w:rPr>
          <w:rFonts w:ascii="Times New Roman"/>
          <w:spacing w:val="-9"/>
          <w:w w:val="105"/>
          <w:sz w:val="23"/>
        </w:rPr>
        <w:t> </w:t>
      </w:r>
      <w:r>
        <w:rPr>
          <w:rFonts w:ascii="Times New Roman"/>
          <w:w w:val="105"/>
          <w:sz w:val="23"/>
        </w:rPr>
        <w:t>entire</w:t>
      </w:r>
      <w:r>
        <w:rPr>
          <w:rFonts w:ascii="Times New Roman"/>
          <w:spacing w:val="-4"/>
          <w:w w:val="105"/>
          <w:sz w:val="23"/>
        </w:rPr>
        <w:t> </w:t>
      </w:r>
      <w:r>
        <w:rPr>
          <w:rFonts w:ascii="Times New Roman"/>
          <w:w w:val="105"/>
          <w:sz w:val="23"/>
        </w:rPr>
        <w:t>facility and facilities operated in</w:t>
      </w:r>
      <w:r>
        <w:rPr>
          <w:rFonts w:ascii="Times New Roman"/>
          <w:spacing w:val="-4"/>
          <w:w w:val="105"/>
          <w:sz w:val="23"/>
        </w:rPr>
        <w:t> </w:t>
      </w:r>
      <w:r>
        <w:rPr>
          <w:rFonts w:ascii="Times New Roman"/>
          <w:w w:val="105"/>
          <w:sz w:val="23"/>
        </w:rPr>
        <w:t>connection </w:t>
      </w:r>
      <w:r>
        <w:rPr>
          <w:rFonts w:ascii="Times New Roman"/>
          <w:spacing w:val="-2"/>
          <w:w w:val="105"/>
          <w:sz w:val="23"/>
        </w:rPr>
        <w:t>therewith.</w:t>
      </w:r>
    </w:p>
    <w:p>
      <w:pPr>
        <w:pStyle w:val="ListParagraph"/>
        <w:numPr>
          <w:ilvl w:val="0"/>
          <w:numId w:val="30"/>
        </w:numPr>
        <w:tabs>
          <w:tab w:pos="1043" w:val="left" w:leader="none"/>
        </w:tabs>
        <w:spacing w:line="261" w:lineRule="auto" w:before="231" w:after="0"/>
        <w:ind w:left="1043" w:right="593" w:hanging="363"/>
        <w:jc w:val="left"/>
        <w:rPr>
          <w:rFonts w:ascii="Times New Roman"/>
          <w:sz w:val="23"/>
        </w:rPr>
      </w:pPr>
      <w:r>
        <w:rPr>
          <w:rFonts w:ascii="Times New Roman"/>
          <w:w w:val="105"/>
          <w:sz w:val="23"/>
        </w:rPr>
        <w:t>That</w:t>
      </w:r>
      <w:r>
        <w:rPr>
          <w:rFonts w:ascii="Times New Roman"/>
          <w:spacing w:val="-16"/>
          <w:w w:val="105"/>
          <w:sz w:val="23"/>
        </w:rPr>
        <w:t> </w:t>
      </w:r>
      <w:r>
        <w:rPr>
          <w:rFonts w:ascii="Times New Roman"/>
          <w:w w:val="105"/>
          <w:sz w:val="23"/>
        </w:rPr>
        <w:t>where</w:t>
      </w:r>
      <w:r>
        <w:rPr>
          <w:rFonts w:ascii="Times New Roman"/>
          <w:spacing w:val="-7"/>
          <w:w w:val="105"/>
          <w:sz w:val="23"/>
        </w:rPr>
        <w:t> </w:t>
      </w:r>
      <w:r>
        <w:rPr>
          <w:rFonts w:ascii="Times New Roman"/>
          <w:w w:val="105"/>
          <w:sz w:val="23"/>
        </w:rPr>
        <w:t>the</w:t>
      </w:r>
      <w:r>
        <w:rPr>
          <w:rFonts w:ascii="Times New Roman"/>
          <w:spacing w:val="-14"/>
          <w:w w:val="105"/>
          <w:sz w:val="23"/>
        </w:rPr>
        <w:t> </w:t>
      </w:r>
      <w:r>
        <w:rPr>
          <w:rFonts w:ascii="Times New Roman"/>
          <w:w w:val="105"/>
          <w:sz w:val="23"/>
        </w:rPr>
        <w:t>Recipient</w:t>
      </w:r>
      <w:r>
        <w:rPr>
          <w:rFonts w:ascii="Times New Roman"/>
          <w:spacing w:val="8"/>
          <w:w w:val="105"/>
          <w:sz w:val="23"/>
        </w:rPr>
        <w:t> </w:t>
      </w:r>
      <w:r>
        <w:rPr>
          <w:rFonts w:ascii="Times New Roman"/>
          <w:w w:val="105"/>
          <w:sz w:val="23"/>
        </w:rPr>
        <w:t>receives</w:t>
      </w:r>
      <w:r>
        <w:rPr>
          <w:rFonts w:ascii="Times New Roman"/>
          <w:spacing w:val="-4"/>
          <w:w w:val="105"/>
          <w:sz w:val="23"/>
        </w:rPr>
        <w:t> </w:t>
      </w:r>
      <w:r>
        <w:rPr>
          <w:rFonts w:ascii="Times New Roman"/>
          <w:w w:val="105"/>
          <w:sz w:val="23"/>
        </w:rPr>
        <w:t>Federal</w:t>
      </w:r>
      <w:r>
        <w:rPr>
          <w:rFonts w:ascii="Times New Roman"/>
          <w:spacing w:val="-5"/>
          <w:w w:val="105"/>
          <w:sz w:val="23"/>
        </w:rPr>
        <w:t> </w:t>
      </w:r>
      <w:r>
        <w:rPr>
          <w:rFonts w:ascii="Times New Roman"/>
          <w:w w:val="105"/>
          <w:sz w:val="23"/>
        </w:rPr>
        <w:t>financial</w:t>
      </w:r>
      <w:r>
        <w:rPr>
          <w:rFonts w:ascii="Times New Roman"/>
          <w:spacing w:val="-1"/>
          <w:w w:val="105"/>
          <w:sz w:val="23"/>
        </w:rPr>
        <w:t> </w:t>
      </w:r>
      <w:r>
        <w:rPr>
          <w:rFonts w:ascii="Times New Roman"/>
          <w:w w:val="105"/>
          <w:sz w:val="23"/>
        </w:rPr>
        <w:t>assistance</w:t>
      </w:r>
      <w:r>
        <w:rPr>
          <w:rFonts w:ascii="Times New Roman"/>
          <w:spacing w:val="-3"/>
          <w:w w:val="105"/>
          <w:sz w:val="23"/>
        </w:rPr>
        <w:t> </w:t>
      </w:r>
      <w:r>
        <w:rPr>
          <w:rFonts w:ascii="Times New Roman"/>
          <w:w w:val="105"/>
          <w:sz w:val="23"/>
        </w:rPr>
        <w:t>in</w:t>
      </w:r>
      <w:r>
        <w:rPr>
          <w:rFonts w:ascii="Times New Roman"/>
          <w:spacing w:val="-15"/>
          <w:w w:val="105"/>
          <w:sz w:val="23"/>
        </w:rPr>
        <w:t> </w:t>
      </w:r>
      <w:r>
        <w:rPr>
          <w:rFonts w:ascii="Times New Roman"/>
          <w:w w:val="105"/>
          <w:sz w:val="23"/>
        </w:rPr>
        <w:t>the</w:t>
      </w:r>
      <w:r>
        <w:rPr>
          <w:rFonts w:ascii="Times New Roman"/>
          <w:spacing w:val="-16"/>
          <w:w w:val="105"/>
          <w:sz w:val="23"/>
        </w:rPr>
        <w:t> </w:t>
      </w:r>
      <w:r>
        <w:rPr>
          <w:rFonts w:ascii="Times New Roman"/>
          <w:w w:val="105"/>
          <w:sz w:val="23"/>
        </w:rPr>
        <w:t>form,</w:t>
      </w:r>
      <w:r>
        <w:rPr>
          <w:rFonts w:ascii="Times New Roman"/>
          <w:spacing w:val="-13"/>
          <w:w w:val="105"/>
          <w:sz w:val="23"/>
        </w:rPr>
        <w:t> </w:t>
      </w:r>
      <w:r>
        <w:rPr>
          <w:rFonts w:ascii="Times New Roman"/>
          <w:w w:val="105"/>
          <w:sz w:val="23"/>
        </w:rPr>
        <w:t>or</w:t>
      </w:r>
      <w:r>
        <w:rPr>
          <w:rFonts w:ascii="Times New Roman"/>
          <w:spacing w:val="-16"/>
          <w:w w:val="105"/>
          <w:sz w:val="23"/>
        </w:rPr>
        <w:t> </w:t>
      </w:r>
      <w:r>
        <w:rPr>
          <w:rFonts w:ascii="Times New Roman"/>
          <w:w w:val="105"/>
          <w:sz w:val="23"/>
        </w:rPr>
        <w:t>for</w:t>
      </w:r>
      <w:r>
        <w:rPr>
          <w:rFonts w:ascii="Times New Roman"/>
          <w:spacing w:val="-15"/>
          <w:w w:val="105"/>
          <w:sz w:val="23"/>
        </w:rPr>
        <w:t> </w:t>
      </w:r>
      <w:r>
        <w:rPr>
          <w:rFonts w:ascii="Times New Roman"/>
          <w:w w:val="105"/>
          <w:sz w:val="23"/>
        </w:rPr>
        <w:t>the</w:t>
      </w:r>
      <w:r>
        <w:rPr>
          <w:rFonts w:ascii="Times New Roman"/>
          <w:spacing w:val="40"/>
          <w:w w:val="105"/>
          <w:sz w:val="23"/>
        </w:rPr>
        <w:t> </w:t>
      </w:r>
      <w:r>
        <w:rPr>
          <w:rFonts w:ascii="Times New Roman"/>
          <w:w w:val="105"/>
          <w:sz w:val="23"/>
        </w:rPr>
        <w:t>acquisition</w:t>
      </w:r>
      <w:r>
        <w:rPr>
          <w:rFonts w:ascii="Times New Roman"/>
          <w:spacing w:val="-6"/>
          <w:w w:val="105"/>
          <w:sz w:val="23"/>
        </w:rPr>
        <w:t> </w:t>
      </w:r>
      <w:r>
        <w:rPr>
          <w:rFonts w:ascii="Times New Roman"/>
          <w:w w:val="105"/>
          <w:sz w:val="23"/>
        </w:rPr>
        <w:t>of real property</w:t>
      </w:r>
      <w:r>
        <w:rPr>
          <w:rFonts w:ascii="Times New Roman"/>
          <w:spacing w:val="-2"/>
          <w:w w:val="105"/>
          <w:sz w:val="23"/>
        </w:rPr>
        <w:t> </w:t>
      </w:r>
      <w:r>
        <w:rPr>
          <w:rFonts w:ascii="Times New Roman"/>
          <w:w w:val="105"/>
          <w:sz w:val="23"/>
        </w:rPr>
        <w:t>or</w:t>
      </w:r>
      <w:r>
        <w:rPr>
          <w:rFonts w:ascii="Times New Roman"/>
          <w:spacing w:val="-8"/>
          <w:w w:val="105"/>
          <w:sz w:val="23"/>
        </w:rPr>
        <w:t> </w:t>
      </w:r>
      <w:r>
        <w:rPr>
          <w:rFonts w:ascii="Times New Roman"/>
          <w:w w:val="105"/>
          <w:sz w:val="23"/>
        </w:rPr>
        <w:t>an interest in</w:t>
      </w:r>
      <w:r>
        <w:rPr>
          <w:rFonts w:ascii="Times New Roman"/>
          <w:spacing w:val="-3"/>
          <w:w w:val="105"/>
          <w:sz w:val="23"/>
        </w:rPr>
        <w:t> </w:t>
      </w:r>
      <w:r>
        <w:rPr>
          <w:rFonts w:ascii="Times New Roman"/>
          <w:w w:val="105"/>
          <w:sz w:val="23"/>
        </w:rPr>
        <w:t>real property, the</w:t>
      </w:r>
      <w:r>
        <w:rPr>
          <w:rFonts w:ascii="Times New Roman"/>
          <w:spacing w:val="-9"/>
          <w:w w:val="105"/>
          <w:sz w:val="23"/>
        </w:rPr>
        <w:t> </w:t>
      </w:r>
      <w:r>
        <w:rPr>
          <w:rFonts w:ascii="Times New Roman"/>
          <w:w w:val="105"/>
          <w:sz w:val="23"/>
        </w:rPr>
        <w:t>Assurance will</w:t>
      </w:r>
      <w:r>
        <w:rPr>
          <w:rFonts w:ascii="Times New Roman"/>
          <w:spacing w:val="-5"/>
          <w:w w:val="105"/>
          <w:sz w:val="23"/>
        </w:rPr>
        <w:t> </w:t>
      </w:r>
      <w:r>
        <w:rPr>
          <w:rFonts w:ascii="Times New Roman"/>
          <w:w w:val="105"/>
          <w:sz w:val="23"/>
        </w:rPr>
        <w:t>extend to</w:t>
      </w:r>
      <w:r>
        <w:rPr>
          <w:rFonts w:ascii="Times New Roman"/>
          <w:spacing w:val="-4"/>
          <w:w w:val="105"/>
          <w:sz w:val="23"/>
        </w:rPr>
        <w:t> </w:t>
      </w:r>
      <w:r>
        <w:rPr>
          <w:rFonts w:ascii="Times New Roman"/>
          <w:w w:val="105"/>
          <w:sz w:val="23"/>
        </w:rPr>
        <w:t>rights to</w:t>
      </w:r>
      <w:r>
        <w:rPr>
          <w:rFonts w:ascii="Times New Roman"/>
          <w:spacing w:val="79"/>
          <w:w w:val="105"/>
          <w:sz w:val="23"/>
        </w:rPr>
        <w:t> </w:t>
      </w:r>
      <w:r>
        <w:rPr>
          <w:rFonts w:ascii="Times New Roman"/>
          <w:w w:val="105"/>
          <w:sz w:val="23"/>
        </w:rPr>
        <w:t>space</w:t>
      </w:r>
      <w:r>
        <w:rPr>
          <w:rFonts w:ascii="Times New Roman"/>
          <w:spacing w:val="-1"/>
          <w:w w:val="105"/>
          <w:sz w:val="23"/>
        </w:rPr>
        <w:t> </w:t>
      </w:r>
      <w:r>
        <w:rPr>
          <w:rFonts w:ascii="Times New Roman"/>
          <w:w w:val="105"/>
          <w:sz w:val="23"/>
        </w:rPr>
        <w:t>on,</w:t>
      </w:r>
      <w:r>
        <w:rPr>
          <w:rFonts w:ascii="Times New Roman"/>
          <w:spacing w:val="-4"/>
          <w:w w:val="105"/>
          <w:sz w:val="23"/>
        </w:rPr>
        <w:t> </w:t>
      </w:r>
      <w:r>
        <w:rPr>
          <w:rFonts w:ascii="Times New Roman"/>
          <w:w w:val="105"/>
          <w:sz w:val="23"/>
        </w:rPr>
        <w:t>over, or under such property.</w:t>
      </w:r>
    </w:p>
    <w:p>
      <w:pPr>
        <w:pStyle w:val="BodyText"/>
        <w:spacing w:before="5"/>
        <w:rPr>
          <w:rFonts w:ascii="Times New Roman"/>
          <w:sz w:val="21"/>
        </w:rPr>
      </w:pPr>
    </w:p>
    <w:p>
      <w:pPr>
        <w:pStyle w:val="ListParagraph"/>
        <w:numPr>
          <w:ilvl w:val="0"/>
          <w:numId w:val="30"/>
        </w:numPr>
        <w:tabs>
          <w:tab w:pos="1043" w:val="left" w:leader="none"/>
          <w:tab w:pos="1047" w:val="left" w:leader="none"/>
        </w:tabs>
        <w:spacing w:line="254" w:lineRule="auto" w:before="0" w:after="0"/>
        <w:ind w:left="1047" w:right="814" w:hanging="358"/>
        <w:jc w:val="left"/>
        <w:rPr>
          <w:rFonts w:ascii="Times New Roman"/>
          <w:sz w:val="23"/>
        </w:rPr>
      </w:pPr>
      <w:r>
        <w:rPr>
          <w:rFonts w:ascii="Times New Roman"/>
          <w:w w:val="105"/>
          <w:sz w:val="23"/>
        </w:rPr>
        <w:t>That</w:t>
      </w:r>
      <w:r>
        <w:rPr>
          <w:rFonts w:ascii="Times New Roman"/>
          <w:spacing w:val="-6"/>
          <w:w w:val="105"/>
          <w:sz w:val="23"/>
        </w:rPr>
        <w:t> </w:t>
      </w:r>
      <w:r>
        <w:rPr>
          <w:rFonts w:ascii="Times New Roman"/>
          <w:w w:val="105"/>
          <w:sz w:val="23"/>
        </w:rPr>
        <w:t>the</w:t>
      </w:r>
      <w:r>
        <w:rPr>
          <w:rFonts w:ascii="Times New Roman"/>
          <w:spacing w:val="-10"/>
          <w:w w:val="105"/>
          <w:sz w:val="23"/>
        </w:rPr>
        <w:t> </w:t>
      </w:r>
      <w:r>
        <w:rPr>
          <w:rFonts w:ascii="Times New Roman"/>
          <w:w w:val="105"/>
          <w:sz w:val="23"/>
        </w:rPr>
        <w:t>Recipient will include the</w:t>
      </w:r>
      <w:r>
        <w:rPr>
          <w:rFonts w:ascii="Times New Roman"/>
          <w:spacing w:val="-6"/>
          <w:w w:val="105"/>
          <w:sz w:val="23"/>
        </w:rPr>
        <w:t> </w:t>
      </w:r>
      <w:r>
        <w:rPr>
          <w:rFonts w:ascii="Times New Roman"/>
          <w:w w:val="105"/>
          <w:sz w:val="23"/>
        </w:rPr>
        <w:t>clauses set forth in</w:t>
      </w:r>
      <w:r>
        <w:rPr>
          <w:rFonts w:ascii="Times New Roman"/>
          <w:spacing w:val="-4"/>
          <w:w w:val="105"/>
          <w:sz w:val="23"/>
        </w:rPr>
        <w:t> </w:t>
      </w:r>
      <w:r>
        <w:rPr>
          <w:rFonts w:ascii="Times New Roman"/>
          <w:w w:val="105"/>
          <w:sz w:val="23"/>
        </w:rPr>
        <w:t>Appendix B</w:t>
      </w:r>
      <w:r>
        <w:rPr>
          <w:rFonts w:ascii="Times New Roman"/>
          <w:spacing w:val="-8"/>
          <w:w w:val="105"/>
          <w:sz w:val="23"/>
        </w:rPr>
        <w:t> </w:t>
      </w:r>
      <w:r>
        <w:rPr>
          <w:rFonts w:ascii="Times New Roman"/>
          <w:w w:val="105"/>
          <w:sz w:val="23"/>
        </w:rPr>
        <w:t>and Appendix D</w:t>
      </w:r>
      <w:r>
        <w:rPr>
          <w:rFonts w:ascii="Times New Roman"/>
          <w:spacing w:val="-3"/>
          <w:w w:val="105"/>
          <w:sz w:val="23"/>
        </w:rPr>
        <w:t> </w:t>
      </w:r>
      <w:r>
        <w:rPr>
          <w:rFonts w:ascii="Times New Roman"/>
          <w:w w:val="105"/>
          <w:sz w:val="23"/>
        </w:rPr>
        <w:t>of</w:t>
      </w:r>
      <w:r>
        <w:rPr>
          <w:rFonts w:ascii="Times New Roman"/>
          <w:spacing w:val="-6"/>
          <w:w w:val="105"/>
          <w:sz w:val="23"/>
        </w:rPr>
        <w:t> </w:t>
      </w:r>
      <w:r>
        <w:rPr>
          <w:rFonts w:ascii="Times New Roman"/>
          <w:w w:val="105"/>
          <w:sz w:val="23"/>
        </w:rPr>
        <w:t>this Assurance,</w:t>
      </w:r>
      <w:r>
        <w:rPr>
          <w:rFonts w:ascii="Times New Roman"/>
          <w:spacing w:val="-11"/>
          <w:w w:val="105"/>
          <w:sz w:val="23"/>
        </w:rPr>
        <w:t> </w:t>
      </w:r>
      <w:r>
        <w:rPr>
          <w:rFonts w:ascii="Times New Roman"/>
          <w:w w:val="105"/>
          <w:sz w:val="23"/>
        </w:rPr>
        <w:t>as</w:t>
      </w:r>
      <w:r>
        <w:rPr>
          <w:rFonts w:ascii="Times New Roman"/>
          <w:spacing w:val="-16"/>
          <w:w w:val="105"/>
          <w:sz w:val="23"/>
        </w:rPr>
        <w:t> </w:t>
      </w:r>
      <w:r>
        <w:rPr>
          <w:rFonts w:ascii="Times New Roman"/>
          <w:w w:val="105"/>
          <w:sz w:val="23"/>
        </w:rPr>
        <w:t>a</w:t>
      </w:r>
      <w:r>
        <w:rPr>
          <w:rFonts w:ascii="Times New Roman"/>
          <w:spacing w:val="-14"/>
          <w:w w:val="105"/>
          <w:sz w:val="23"/>
        </w:rPr>
        <w:t> </w:t>
      </w:r>
      <w:r>
        <w:rPr>
          <w:rFonts w:ascii="Times New Roman"/>
          <w:w w:val="105"/>
          <w:sz w:val="23"/>
        </w:rPr>
        <w:t>covenant running</w:t>
      </w:r>
      <w:r>
        <w:rPr>
          <w:rFonts w:ascii="Times New Roman"/>
          <w:spacing w:val="-8"/>
          <w:w w:val="105"/>
          <w:sz w:val="23"/>
        </w:rPr>
        <w:t> </w:t>
      </w:r>
      <w:r>
        <w:rPr>
          <w:rFonts w:ascii="Times New Roman"/>
          <w:w w:val="105"/>
          <w:sz w:val="23"/>
        </w:rPr>
        <w:t>with</w:t>
      </w:r>
      <w:r>
        <w:rPr>
          <w:rFonts w:ascii="Times New Roman"/>
          <w:spacing w:val="-10"/>
          <w:w w:val="105"/>
          <w:sz w:val="23"/>
        </w:rPr>
        <w:t> </w:t>
      </w:r>
      <w:r>
        <w:rPr>
          <w:rFonts w:ascii="Times New Roman"/>
          <w:w w:val="105"/>
          <w:sz w:val="23"/>
        </w:rPr>
        <w:t>the</w:t>
      </w:r>
      <w:r>
        <w:rPr>
          <w:rFonts w:ascii="Times New Roman"/>
          <w:spacing w:val="-8"/>
          <w:w w:val="105"/>
          <w:sz w:val="23"/>
        </w:rPr>
        <w:t> </w:t>
      </w:r>
      <w:r>
        <w:rPr>
          <w:rFonts w:ascii="Times New Roman"/>
          <w:w w:val="105"/>
          <w:sz w:val="23"/>
        </w:rPr>
        <w:t>land,</w:t>
      </w:r>
      <w:r>
        <w:rPr>
          <w:rFonts w:ascii="Times New Roman"/>
          <w:spacing w:val="-8"/>
          <w:w w:val="105"/>
          <w:sz w:val="23"/>
        </w:rPr>
        <w:t> </w:t>
      </w:r>
      <w:r>
        <w:rPr>
          <w:rFonts w:ascii="Times New Roman"/>
          <w:w w:val="105"/>
          <w:sz w:val="23"/>
        </w:rPr>
        <w:t>in</w:t>
      </w:r>
      <w:r>
        <w:rPr>
          <w:rFonts w:ascii="Times New Roman"/>
          <w:spacing w:val="-16"/>
          <w:w w:val="105"/>
          <w:sz w:val="23"/>
        </w:rPr>
        <w:t> </w:t>
      </w:r>
      <w:r>
        <w:rPr>
          <w:rFonts w:ascii="Times New Roman"/>
          <w:w w:val="105"/>
          <w:sz w:val="23"/>
        </w:rPr>
        <w:t>any</w:t>
      </w:r>
      <w:r>
        <w:rPr>
          <w:rFonts w:ascii="Times New Roman"/>
          <w:spacing w:val="-8"/>
          <w:w w:val="105"/>
          <w:sz w:val="23"/>
        </w:rPr>
        <w:t> </w:t>
      </w:r>
      <w:r>
        <w:rPr>
          <w:rFonts w:ascii="Times New Roman"/>
          <w:w w:val="105"/>
          <w:sz w:val="23"/>
        </w:rPr>
        <w:t>future</w:t>
      </w:r>
      <w:r>
        <w:rPr>
          <w:rFonts w:ascii="Times New Roman"/>
          <w:spacing w:val="-8"/>
          <w:w w:val="105"/>
          <w:sz w:val="23"/>
        </w:rPr>
        <w:t> </w:t>
      </w:r>
      <w:r>
        <w:rPr>
          <w:rFonts w:ascii="Times New Roman"/>
          <w:w w:val="105"/>
          <w:sz w:val="23"/>
        </w:rPr>
        <w:t>deeds,</w:t>
      </w:r>
      <w:r>
        <w:rPr>
          <w:rFonts w:ascii="Times New Roman"/>
          <w:spacing w:val="-5"/>
          <w:w w:val="105"/>
          <w:sz w:val="23"/>
        </w:rPr>
        <w:t> </w:t>
      </w:r>
      <w:r>
        <w:rPr>
          <w:rFonts w:ascii="Times New Roman"/>
          <w:w w:val="105"/>
          <w:sz w:val="23"/>
        </w:rPr>
        <w:t>leases,</w:t>
      </w:r>
      <w:r>
        <w:rPr>
          <w:rFonts w:ascii="Times New Roman"/>
          <w:spacing w:val="-5"/>
          <w:w w:val="105"/>
          <w:sz w:val="23"/>
        </w:rPr>
        <w:t> </w:t>
      </w:r>
      <w:r>
        <w:rPr>
          <w:rFonts w:ascii="Times New Roman"/>
          <w:w w:val="105"/>
          <w:sz w:val="23"/>
        </w:rPr>
        <w:t>licenses,</w:t>
      </w:r>
      <w:r>
        <w:rPr>
          <w:rFonts w:ascii="Times New Roman"/>
          <w:spacing w:val="-1"/>
          <w:w w:val="105"/>
          <w:sz w:val="23"/>
        </w:rPr>
        <w:t> </w:t>
      </w:r>
      <w:r>
        <w:rPr>
          <w:rFonts w:ascii="Times New Roman"/>
          <w:w w:val="105"/>
          <w:sz w:val="23"/>
        </w:rPr>
        <w:t>permits,</w:t>
      </w:r>
      <w:r>
        <w:rPr>
          <w:rFonts w:ascii="Times New Roman"/>
          <w:spacing w:val="73"/>
          <w:w w:val="105"/>
          <w:sz w:val="23"/>
        </w:rPr>
        <w:t> </w:t>
      </w:r>
      <w:r>
        <w:rPr>
          <w:rFonts w:ascii="Times New Roman"/>
          <w:w w:val="105"/>
          <w:sz w:val="23"/>
        </w:rPr>
        <w:t>or similar instrwnents entered into by</w:t>
      </w:r>
      <w:r>
        <w:rPr>
          <w:rFonts w:ascii="Times New Roman"/>
          <w:spacing w:val="-3"/>
          <w:w w:val="105"/>
          <w:sz w:val="23"/>
        </w:rPr>
        <w:t> </w:t>
      </w:r>
      <w:r>
        <w:rPr>
          <w:rFonts w:ascii="Times New Roman"/>
          <w:w w:val="105"/>
          <w:sz w:val="23"/>
        </w:rPr>
        <w:t>the</w:t>
      </w:r>
      <w:r>
        <w:rPr>
          <w:rFonts w:ascii="Times New Roman"/>
          <w:spacing w:val="-2"/>
          <w:w w:val="105"/>
          <w:sz w:val="23"/>
        </w:rPr>
        <w:t> </w:t>
      </w:r>
      <w:r>
        <w:rPr>
          <w:rFonts w:ascii="Times New Roman"/>
          <w:w w:val="105"/>
          <w:sz w:val="23"/>
        </w:rPr>
        <w:t>Recipient with</w:t>
      </w:r>
      <w:r>
        <w:rPr>
          <w:rFonts w:ascii="Times New Roman"/>
          <w:spacing w:val="-5"/>
          <w:w w:val="105"/>
          <w:sz w:val="23"/>
        </w:rPr>
        <w:t> </w:t>
      </w:r>
      <w:r>
        <w:rPr>
          <w:rFonts w:ascii="Times New Roman"/>
          <w:w w:val="105"/>
          <w:sz w:val="23"/>
        </w:rPr>
        <w:t>other parties:</w:t>
      </w:r>
    </w:p>
    <w:p>
      <w:pPr>
        <w:pStyle w:val="BodyText"/>
        <w:spacing w:before="10"/>
        <w:rPr>
          <w:rFonts w:ascii="Times New Roman"/>
          <w:sz w:val="22"/>
        </w:rPr>
      </w:pPr>
    </w:p>
    <w:p>
      <w:pPr>
        <w:pStyle w:val="ListParagraph"/>
        <w:numPr>
          <w:ilvl w:val="1"/>
          <w:numId w:val="30"/>
        </w:numPr>
        <w:tabs>
          <w:tab w:pos="1682" w:val="left" w:leader="none"/>
          <w:tab w:pos="1685" w:val="left" w:leader="none"/>
        </w:tabs>
        <w:spacing w:line="268" w:lineRule="auto" w:before="0" w:after="0"/>
        <w:ind w:left="1685" w:right="1251" w:hanging="275"/>
        <w:jc w:val="left"/>
        <w:rPr>
          <w:rFonts w:ascii="Times New Roman"/>
          <w:sz w:val="23"/>
        </w:rPr>
      </w:pPr>
      <w:r>
        <w:rPr>
          <w:rFonts w:ascii="Times New Roman"/>
          <w:w w:val="105"/>
          <w:sz w:val="23"/>
        </w:rPr>
        <w:t>for</w:t>
      </w:r>
      <w:r>
        <w:rPr>
          <w:rFonts w:ascii="Times New Roman"/>
          <w:spacing w:val="-16"/>
          <w:w w:val="105"/>
          <w:sz w:val="23"/>
        </w:rPr>
        <w:t> </w:t>
      </w:r>
      <w:r>
        <w:rPr>
          <w:rFonts w:ascii="Times New Roman"/>
          <w:w w:val="105"/>
          <w:sz w:val="23"/>
        </w:rPr>
        <w:t>the</w:t>
      </w:r>
      <w:r>
        <w:rPr>
          <w:rFonts w:ascii="Times New Roman"/>
          <w:spacing w:val="-15"/>
          <w:w w:val="105"/>
          <w:sz w:val="23"/>
        </w:rPr>
        <w:t> </w:t>
      </w:r>
      <w:r>
        <w:rPr>
          <w:rFonts w:ascii="Times New Roman"/>
          <w:w w:val="105"/>
          <w:sz w:val="23"/>
        </w:rPr>
        <w:t>subsequent</w:t>
      </w:r>
      <w:r>
        <w:rPr>
          <w:rFonts w:ascii="Times New Roman"/>
          <w:spacing w:val="-5"/>
          <w:w w:val="105"/>
          <w:sz w:val="23"/>
        </w:rPr>
        <w:t> </w:t>
      </w:r>
      <w:r>
        <w:rPr>
          <w:rFonts w:ascii="Times New Roman"/>
          <w:w w:val="105"/>
          <w:sz w:val="23"/>
        </w:rPr>
        <w:t>transfer</w:t>
      </w:r>
      <w:r>
        <w:rPr>
          <w:rFonts w:ascii="Times New Roman"/>
          <w:spacing w:val="-5"/>
          <w:w w:val="105"/>
          <w:sz w:val="23"/>
        </w:rPr>
        <w:t> </w:t>
      </w:r>
      <w:r>
        <w:rPr>
          <w:rFonts w:ascii="Times New Roman"/>
          <w:w w:val="105"/>
          <w:sz w:val="23"/>
        </w:rPr>
        <w:t>of</w:t>
      </w:r>
      <w:r>
        <w:rPr>
          <w:rFonts w:ascii="Times New Roman"/>
          <w:spacing w:val="-11"/>
          <w:w w:val="105"/>
          <w:sz w:val="23"/>
        </w:rPr>
        <w:t> </w:t>
      </w:r>
      <w:r>
        <w:rPr>
          <w:rFonts w:ascii="Times New Roman"/>
          <w:w w:val="105"/>
          <w:sz w:val="23"/>
        </w:rPr>
        <w:t>real</w:t>
      </w:r>
      <w:r>
        <w:rPr>
          <w:rFonts w:ascii="Times New Roman"/>
          <w:spacing w:val="-12"/>
          <w:w w:val="105"/>
          <w:sz w:val="23"/>
        </w:rPr>
        <w:t> </w:t>
      </w:r>
      <w:r>
        <w:rPr>
          <w:rFonts w:ascii="Times New Roman"/>
          <w:w w:val="105"/>
          <w:sz w:val="23"/>
        </w:rPr>
        <w:t>property</w:t>
      </w:r>
      <w:r>
        <w:rPr>
          <w:rFonts w:ascii="Times New Roman"/>
          <w:spacing w:val="-8"/>
          <w:w w:val="105"/>
          <w:sz w:val="23"/>
        </w:rPr>
        <w:t> </w:t>
      </w:r>
      <w:r>
        <w:rPr>
          <w:rFonts w:ascii="Times New Roman"/>
          <w:w w:val="105"/>
          <w:sz w:val="23"/>
        </w:rPr>
        <w:t>acquired</w:t>
      </w:r>
      <w:r>
        <w:rPr>
          <w:rFonts w:ascii="Times New Roman"/>
          <w:spacing w:val="-11"/>
          <w:w w:val="105"/>
          <w:sz w:val="23"/>
        </w:rPr>
        <w:t> </w:t>
      </w:r>
      <w:r>
        <w:rPr>
          <w:rFonts w:ascii="Times New Roman"/>
          <w:w w:val="105"/>
          <w:sz w:val="23"/>
        </w:rPr>
        <w:t>or</w:t>
      </w:r>
      <w:r>
        <w:rPr>
          <w:rFonts w:ascii="Times New Roman"/>
          <w:spacing w:val="-11"/>
          <w:w w:val="105"/>
          <w:sz w:val="23"/>
        </w:rPr>
        <w:t> </w:t>
      </w:r>
      <w:r>
        <w:rPr>
          <w:rFonts w:ascii="Times New Roman"/>
          <w:w w:val="105"/>
          <w:sz w:val="23"/>
        </w:rPr>
        <w:t>improved</w:t>
      </w:r>
      <w:r>
        <w:rPr>
          <w:rFonts w:ascii="Times New Roman"/>
          <w:spacing w:val="-5"/>
          <w:w w:val="105"/>
          <w:sz w:val="23"/>
        </w:rPr>
        <w:t> </w:t>
      </w:r>
      <w:r>
        <w:rPr>
          <w:rFonts w:ascii="Times New Roman"/>
          <w:w w:val="105"/>
          <w:sz w:val="23"/>
        </w:rPr>
        <w:t>under</w:t>
      </w:r>
      <w:r>
        <w:rPr>
          <w:rFonts w:ascii="Times New Roman"/>
          <w:spacing w:val="-12"/>
          <w:w w:val="105"/>
          <w:sz w:val="23"/>
        </w:rPr>
        <w:t> </w:t>
      </w:r>
      <w:r>
        <w:rPr>
          <w:rFonts w:ascii="Times New Roman"/>
          <w:w w:val="105"/>
          <w:sz w:val="23"/>
        </w:rPr>
        <w:t>the</w:t>
      </w:r>
      <w:r>
        <w:rPr>
          <w:rFonts w:ascii="Times New Roman"/>
          <w:spacing w:val="-16"/>
          <w:w w:val="105"/>
          <w:sz w:val="23"/>
        </w:rPr>
        <w:t> </w:t>
      </w:r>
      <w:r>
        <w:rPr>
          <w:rFonts w:ascii="Times New Roman"/>
          <w:w w:val="105"/>
          <w:sz w:val="23"/>
        </w:rPr>
        <w:t>applicable activity, project, or program; and</w:t>
      </w:r>
    </w:p>
    <w:p>
      <w:pPr>
        <w:pStyle w:val="ListParagraph"/>
        <w:numPr>
          <w:ilvl w:val="1"/>
          <w:numId w:val="30"/>
        </w:numPr>
        <w:tabs>
          <w:tab w:pos="1684" w:val="left" w:leader="none"/>
        </w:tabs>
        <w:spacing w:line="228" w:lineRule="exact" w:before="0" w:after="0"/>
        <w:ind w:left="1684" w:right="0" w:hanging="264"/>
        <w:jc w:val="left"/>
        <w:rPr>
          <w:rFonts w:ascii="Times New Roman"/>
          <w:sz w:val="23"/>
        </w:rPr>
      </w:pPr>
      <w:r>
        <w:rPr>
          <w:rFonts w:ascii="Times New Roman"/>
          <w:w w:val="105"/>
          <w:sz w:val="23"/>
        </w:rPr>
        <w:t>for</w:t>
      </w:r>
      <w:r>
        <w:rPr>
          <w:rFonts w:ascii="Times New Roman"/>
          <w:spacing w:val="-14"/>
          <w:w w:val="105"/>
          <w:sz w:val="23"/>
        </w:rPr>
        <w:t> </w:t>
      </w:r>
      <w:r>
        <w:rPr>
          <w:rFonts w:ascii="Times New Roman"/>
          <w:w w:val="105"/>
          <w:sz w:val="23"/>
        </w:rPr>
        <w:t>the</w:t>
      </w:r>
      <w:r>
        <w:rPr>
          <w:rFonts w:ascii="Times New Roman"/>
          <w:spacing w:val="-13"/>
          <w:w w:val="105"/>
          <w:sz w:val="23"/>
        </w:rPr>
        <w:t> </w:t>
      </w:r>
      <w:r>
        <w:rPr>
          <w:rFonts w:ascii="Times New Roman"/>
          <w:w w:val="105"/>
          <w:sz w:val="23"/>
        </w:rPr>
        <w:t>construction</w:t>
      </w:r>
      <w:r>
        <w:rPr>
          <w:rFonts w:ascii="Times New Roman"/>
          <w:spacing w:val="9"/>
          <w:w w:val="105"/>
          <w:sz w:val="23"/>
        </w:rPr>
        <w:t> </w:t>
      </w:r>
      <w:r>
        <w:rPr>
          <w:rFonts w:ascii="Times New Roman"/>
          <w:w w:val="105"/>
          <w:sz w:val="23"/>
        </w:rPr>
        <w:t>or</w:t>
      </w:r>
      <w:r>
        <w:rPr>
          <w:rFonts w:ascii="Times New Roman"/>
          <w:spacing w:val="-5"/>
          <w:w w:val="105"/>
          <w:sz w:val="23"/>
        </w:rPr>
        <w:t> </w:t>
      </w:r>
      <w:r>
        <w:rPr>
          <w:rFonts w:ascii="Times New Roman"/>
          <w:w w:val="105"/>
          <w:sz w:val="23"/>
        </w:rPr>
        <w:t>use</w:t>
      </w:r>
      <w:r>
        <w:rPr>
          <w:rFonts w:ascii="Times New Roman"/>
          <w:spacing w:val="-12"/>
          <w:w w:val="105"/>
          <w:sz w:val="23"/>
        </w:rPr>
        <w:t> </w:t>
      </w:r>
      <w:r>
        <w:rPr>
          <w:rFonts w:ascii="Times New Roman"/>
          <w:w w:val="105"/>
          <w:sz w:val="23"/>
        </w:rPr>
        <w:t>of,</w:t>
      </w:r>
      <w:r>
        <w:rPr>
          <w:rFonts w:ascii="Times New Roman"/>
          <w:spacing w:val="-12"/>
          <w:w w:val="105"/>
          <w:sz w:val="23"/>
        </w:rPr>
        <w:t> </w:t>
      </w:r>
      <w:r>
        <w:rPr>
          <w:rFonts w:ascii="Times New Roman"/>
          <w:w w:val="105"/>
          <w:sz w:val="23"/>
        </w:rPr>
        <w:t>or</w:t>
      </w:r>
      <w:r>
        <w:rPr>
          <w:rFonts w:ascii="Times New Roman"/>
          <w:spacing w:val="-13"/>
          <w:w w:val="105"/>
          <w:sz w:val="23"/>
        </w:rPr>
        <w:t> </w:t>
      </w:r>
      <w:r>
        <w:rPr>
          <w:rFonts w:ascii="Times New Roman"/>
          <w:w w:val="105"/>
          <w:sz w:val="23"/>
        </w:rPr>
        <w:t>access</w:t>
      </w:r>
      <w:r>
        <w:rPr>
          <w:rFonts w:ascii="Times New Roman"/>
          <w:spacing w:val="-5"/>
          <w:w w:val="105"/>
          <w:sz w:val="23"/>
        </w:rPr>
        <w:t> </w:t>
      </w:r>
      <w:r>
        <w:rPr>
          <w:rFonts w:ascii="Times New Roman"/>
          <w:w w:val="105"/>
          <w:sz w:val="23"/>
        </w:rPr>
        <w:t>to,</w:t>
      </w:r>
      <w:r>
        <w:rPr>
          <w:rFonts w:ascii="Times New Roman"/>
          <w:spacing w:val="-14"/>
          <w:w w:val="105"/>
          <w:sz w:val="23"/>
        </w:rPr>
        <w:t> </w:t>
      </w:r>
      <w:r>
        <w:rPr>
          <w:rFonts w:ascii="Times New Roman"/>
          <w:w w:val="105"/>
          <w:sz w:val="23"/>
        </w:rPr>
        <w:t>space</w:t>
      </w:r>
      <w:r>
        <w:rPr>
          <w:rFonts w:ascii="Times New Roman"/>
          <w:spacing w:val="-7"/>
          <w:w w:val="105"/>
          <w:sz w:val="23"/>
        </w:rPr>
        <w:t> </w:t>
      </w:r>
      <w:r>
        <w:rPr>
          <w:rFonts w:ascii="Times New Roman"/>
          <w:w w:val="105"/>
          <w:sz w:val="23"/>
        </w:rPr>
        <w:t>on,</w:t>
      </w:r>
      <w:r>
        <w:rPr>
          <w:rFonts w:ascii="Times New Roman"/>
          <w:spacing w:val="-9"/>
          <w:w w:val="105"/>
          <w:sz w:val="23"/>
        </w:rPr>
        <w:t> </w:t>
      </w:r>
      <w:r>
        <w:rPr>
          <w:rFonts w:ascii="Times New Roman"/>
          <w:w w:val="105"/>
          <w:sz w:val="23"/>
        </w:rPr>
        <w:t>over,</w:t>
      </w:r>
      <w:r>
        <w:rPr>
          <w:rFonts w:ascii="Times New Roman"/>
          <w:spacing w:val="-6"/>
          <w:w w:val="105"/>
          <w:sz w:val="23"/>
        </w:rPr>
        <w:t> </w:t>
      </w:r>
      <w:r>
        <w:rPr>
          <w:rFonts w:ascii="Times New Roman"/>
          <w:w w:val="105"/>
          <w:sz w:val="23"/>
        </w:rPr>
        <w:t>or</w:t>
      </w:r>
      <w:r>
        <w:rPr>
          <w:rFonts w:ascii="Times New Roman"/>
          <w:spacing w:val="-6"/>
          <w:w w:val="105"/>
          <w:sz w:val="23"/>
        </w:rPr>
        <w:t> </w:t>
      </w:r>
      <w:r>
        <w:rPr>
          <w:rFonts w:ascii="Times New Roman"/>
          <w:w w:val="105"/>
          <w:sz w:val="23"/>
        </w:rPr>
        <w:t>under real</w:t>
      </w:r>
      <w:r>
        <w:rPr>
          <w:rFonts w:ascii="Times New Roman"/>
          <w:spacing w:val="1"/>
          <w:w w:val="105"/>
          <w:sz w:val="23"/>
        </w:rPr>
        <w:t> </w:t>
      </w:r>
      <w:r>
        <w:rPr>
          <w:rFonts w:ascii="Times New Roman"/>
          <w:w w:val="105"/>
          <w:sz w:val="23"/>
        </w:rPr>
        <w:t>property</w:t>
      </w:r>
      <w:r>
        <w:rPr>
          <w:rFonts w:ascii="Times New Roman"/>
          <w:spacing w:val="50"/>
          <w:w w:val="105"/>
          <w:sz w:val="23"/>
        </w:rPr>
        <w:t> </w:t>
      </w:r>
      <w:r>
        <w:rPr>
          <w:rFonts w:ascii="Times New Roman"/>
          <w:spacing w:val="-2"/>
          <w:w w:val="105"/>
          <w:sz w:val="23"/>
        </w:rPr>
        <w:t>acquired</w:t>
      </w:r>
    </w:p>
    <w:p>
      <w:pPr>
        <w:spacing w:before="17"/>
        <w:ind w:left="1685" w:right="0" w:firstLine="0"/>
        <w:jc w:val="left"/>
        <w:rPr>
          <w:rFonts w:ascii="Times New Roman"/>
          <w:sz w:val="23"/>
        </w:rPr>
      </w:pPr>
      <w:r>
        <w:rPr>
          <w:rFonts w:ascii="Times New Roman"/>
          <w:w w:val="105"/>
          <w:sz w:val="23"/>
        </w:rPr>
        <w:t>or</w:t>
      </w:r>
      <w:r>
        <w:rPr>
          <w:rFonts w:ascii="Times New Roman"/>
          <w:spacing w:val="-15"/>
          <w:w w:val="105"/>
          <w:sz w:val="23"/>
        </w:rPr>
        <w:t> </w:t>
      </w:r>
      <w:r>
        <w:rPr>
          <w:rFonts w:ascii="Times New Roman"/>
          <w:w w:val="105"/>
          <w:sz w:val="23"/>
        </w:rPr>
        <w:t>improved</w:t>
      </w:r>
      <w:r>
        <w:rPr>
          <w:rFonts w:ascii="Times New Roman"/>
          <w:spacing w:val="2"/>
          <w:w w:val="105"/>
          <w:sz w:val="23"/>
        </w:rPr>
        <w:t> </w:t>
      </w:r>
      <w:r>
        <w:rPr>
          <w:rFonts w:ascii="Times New Roman"/>
          <w:w w:val="105"/>
          <w:sz w:val="23"/>
        </w:rPr>
        <w:t>under</w:t>
      </w:r>
      <w:r>
        <w:rPr>
          <w:rFonts w:ascii="Times New Roman"/>
          <w:spacing w:val="-12"/>
          <w:w w:val="105"/>
          <w:sz w:val="23"/>
        </w:rPr>
        <w:t> </w:t>
      </w:r>
      <w:r>
        <w:rPr>
          <w:rFonts w:ascii="Times New Roman"/>
          <w:w w:val="105"/>
          <w:sz w:val="23"/>
        </w:rPr>
        <w:t>the</w:t>
      </w:r>
      <w:r>
        <w:rPr>
          <w:rFonts w:ascii="Times New Roman"/>
          <w:spacing w:val="-15"/>
          <w:w w:val="105"/>
          <w:sz w:val="23"/>
        </w:rPr>
        <w:t> </w:t>
      </w:r>
      <w:r>
        <w:rPr>
          <w:rFonts w:ascii="Times New Roman"/>
          <w:w w:val="105"/>
          <w:sz w:val="23"/>
        </w:rPr>
        <w:t>applicable</w:t>
      </w:r>
      <w:r>
        <w:rPr>
          <w:rFonts w:ascii="Times New Roman"/>
          <w:spacing w:val="-2"/>
          <w:w w:val="105"/>
          <w:sz w:val="23"/>
        </w:rPr>
        <w:t> </w:t>
      </w:r>
      <w:r>
        <w:rPr>
          <w:rFonts w:ascii="Times New Roman"/>
          <w:w w:val="105"/>
          <w:sz w:val="23"/>
        </w:rPr>
        <w:t>activity,</w:t>
      </w:r>
      <w:r>
        <w:rPr>
          <w:rFonts w:ascii="Times New Roman"/>
          <w:spacing w:val="-7"/>
          <w:w w:val="105"/>
          <w:sz w:val="23"/>
        </w:rPr>
        <w:t> </w:t>
      </w:r>
      <w:r>
        <w:rPr>
          <w:rFonts w:ascii="Times New Roman"/>
          <w:w w:val="105"/>
          <w:sz w:val="23"/>
        </w:rPr>
        <w:t>project,</w:t>
      </w:r>
      <w:r>
        <w:rPr>
          <w:rFonts w:ascii="Times New Roman"/>
          <w:spacing w:val="-15"/>
          <w:w w:val="105"/>
          <w:sz w:val="23"/>
        </w:rPr>
        <w:t> </w:t>
      </w:r>
      <w:r>
        <w:rPr>
          <w:rFonts w:ascii="Times New Roman"/>
          <w:w w:val="105"/>
          <w:sz w:val="23"/>
        </w:rPr>
        <w:t>or</w:t>
      </w:r>
      <w:r>
        <w:rPr>
          <w:rFonts w:ascii="Times New Roman"/>
          <w:spacing w:val="-11"/>
          <w:w w:val="105"/>
          <w:sz w:val="23"/>
        </w:rPr>
        <w:t> </w:t>
      </w:r>
      <w:r>
        <w:rPr>
          <w:rFonts w:ascii="Times New Roman"/>
          <w:spacing w:val="-2"/>
          <w:w w:val="105"/>
          <w:sz w:val="23"/>
        </w:rPr>
        <w:t>program.</w:t>
      </w:r>
    </w:p>
    <w:p>
      <w:pPr>
        <w:pStyle w:val="BodyText"/>
        <w:spacing w:before="4"/>
        <w:rPr>
          <w:rFonts w:ascii="Times New Roman"/>
          <w:sz w:val="25"/>
        </w:rPr>
      </w:pPr>
    </w:p>
    <w:p>
      <w:pPr>
        <w:pStyle w:val="ListParagraph"/>
        <w:numPr>
          <w:ilvl w:val="0"/>
          <w:numId w:val="30"/>
        </w:numPr>
        <w:tabs>
          <w:tab w:pos="1050" w:val="left" w:leader="none"/>
          <w:tab w:pos="1056" w:val="left" w:leader="none"/>
        </w:tabs>
        <w:spacing w:line="254" w:lineRule="auto" w:before="0" w:after="0"/>
        <w:ind w:left="1056" w:right="695" w:hanging="358"/>
        <w:jc w:val="left"/>
        <w:rPr>
          <w:rFonts w:ascii="Times New Roman"/>
          <w:sz w:val="23"/>
        </w:rPr>
      </w:pPr>
      <w:r>
        <w:rPr>
          <w:rFonts w:ascii="Times New Roman"/>
          <w:w w:val="105"/>
          <w:sz w:val="23"/>
        </w:rPr>
        <w:t>That</w:t>
      </w:r>
      <w:r>
        <w:rPr>
          <w:rFonts w:ascii="Times New Roman"/>
          <w:spacing w:val="-10"/>
          <w:w w:val="105"/>
          <w:sz w:val="23"/>
        </w:rPr>
        <w:t> </w:t>
      </w:r>
      <w:r>
        <w:rPr>
          <w:rFonts w:ascii="Times New Roman"/>
          <w:w w:val="105"/>
          <w:sz w:val="23"/>
        </w:rPr>
        <w:t>this</w:t>
      </w:r>
      <w:r>
        <w:rPr>
          <w:rFonts w:ascii="Times New Roman"/>
          <w:spacing w:val="-3"/>
          <w:w w:val="105"/>
          <w:sz w:val="23"/>
        </w:rPr>
        <w:t> </w:t>
      </w:r>
      <w:r>
        <w:rPr>
          <w:rFonts w:ascii="Times New Roman"/>
          <w:w w:val="105"/>
          <w:sz w:val="23"/>
        </w:rPr>
        <w:t>Assurance obligates the</w:t>
      </w:r>
      <w:r>
        <w:rPr>
          <w:rFonts w:ascii="Times New Roman"/>
          <w:spacing w:val="-6"/>
          <w:w w:val="105"/>
          <w:sz w:val="23"/>
        </w:rPr>
        <w:t> </w:t>
      </w:r>
      <w:r>
        <w:rPr>
          <w:rFonts w:ascii="Times New Roman"/>
          <w:w w:val="105"/>
          <w:sz w:val="23"/>
        </w:rPr>
        <w:t>Recipient for</w:t>
      </w:r>
      <w:r>
        <w:rPr>
          <w:rFonts w:ascii="Times New Roman"/>
          <w:spacing w:val="-4"/>
          <w:w w:val="105"/>
          <w:sz w:val="23"/>
        </w:rPr>
        <w:t> </w:t>
      </w:r>
      <w:r>
        <w:rPr>
          <w:rFonts w:ascii="Times New Roman"/>
          <w:w w:val="105"/>
          <w:sz w:val="23"/>
        </w:rPr>
        <w:t>the</w:t>
      </w:r>
      <w:r>
        <w:rPr>
          <w:rFonts w:ascii="Times New Roman"/>
          <w:spacing w:val="-8"/>
          <w:w w:val="105"/>
          <w:sz w:val="23"/>
        </w:rPr>
        <w:t> </w:t>
      </w:r>
      <w:r>
        <w:rPr>
          <w:rFonts w:ascii="Times New Roman"/>
          <w:w w:val="105"/>
          <w:sz w:val="23"/>
        </w:rPr>
        <w:t>period during which Federal financial assistance</w:t>
      </w:r>
      <w:r>
        <w:rPr>
          <w:rFonts w:ascii="Times New Roman"/>
          <w:spacing w:val="-15"/>
          <w:w w:val="105"/>
          <w:sz w:val="23"/>
        </w:rPr>
        <w:t> </w:t>
      </w:r>
      <w:r>
        <w:rPr>
          <w:rFonts w:ascii="Times New Roman"/>
          <w:w w:val="105"/>
          <w:sz w:val="23"/>
        </w:rPr>
        <w:t>is</w:t>
      </w:r>
      <w:r>
        <w:rPr>
          <w:rFonts w:ascii="Times New Roman"/>
          <w:spacing w:val="-15"/>
          <w:w w:val="105"/>
          <w:sz w:val="23"/>
        </w:rPr>
        <w:t> </w:t>
      </w:r>
      <w:r>
        <w:rPr>
          <w:rFonts w:ascii="Times New Roman"/>
          <w:w w:val="105"/>
          <w:sz w:val="23"/>
        </w:rPr>
        <w:t>extended</w:t>
      </w:r>
      <w:r>
        <w:rPr>
          <w:rFonts w:ascii="Times New Roman"/>
          <w:spacing w:val="-1"/>
          <w:w w:val="105"/>
          <w:sz w:val="23"/>
        </w:rPr>
        <w:t> </w:t>
      </w:r>
      <w:r>
        <w:rPr>
          <w:rFonts w:ascii="Times New Roman"/>
          <w:w w:val="105"/>
          <w:sz w:val="23"/>
        </w:rPr>
        <w:t>to</w:t>
      </w:r>
      <w:r>
        <w:rPr>
          <w:rFonts w:ascii="Times New Roman"/>
          <w:spacing w:val="-16"/>
          <w:w w:val="105"/>
          <w:sz w:val="23"/>
        </w:rPr>
        <w:t> </w:t>
      </w:r>
      <w:r>
        <w:rPr>
          <w:rFonts w:ascii="Times New Roman"/>
          <w:w w:val="105"/>
          <w:sz w:val="23"/>
        </w:rPr>
        <w:t>the</w:t>
      </w:r>
      <w:r>
        <w:rPr>
          <w:rFonts w:ascii="Times New Roman"/>
          <w:spacing w:val="-15"/>
          <w:w w:val="105"/>
          <w:sz w:val="23"/>
        </w:rPr>
        <w:t> </w:t>
      </w:r>
      <w:r>
        <w:rPr>
          <w:rFonts w:ascii="Times New Roman"/>
          <w:w w:val="105"/>
          <w:sz w:val="23"/>
        </w:rPr>
        <w:t>program,</w:t>
      </w:r>
      <w:r>
        <w:rPr>
          <w:rFonts w:ascii="Times New Roman"/>
          <w:spacing w:val="-7"/>
          <w:w w:val="105"/>
          <w:sz w:val="23"/>
        </w:rPr>
        <w:t> </w:t>
      </w:r>
      <w:r>
        <w:rPr>
          <w:rFonts w:ascii="Times New Roman"/>
          <w:w w:val="105"/>
          <w:sz w:val="23"/>
        </w:rPr>
        <w:t>except</w:t>
      </w:r>
      <w:r>
        <w:rPr>
          <w:rFonts w:ascii="Times New Roman"/>
          <w:spacing w:val="-3"/>
          <w:w w:val="105"/>
          <w:sz w:val="23"/>
        </w:rPr>
        <w:t> </w:t>
      </w:r>
      <w:r>
        <w:rPr>
          <w:rFonts w:ascii="Times New Roman"/>
          <w:w w:val="105"/>
          <w:sz w:val="23"/>
        </w:rPr>
        <w:t>where</w:t>
      </w:r>
      <w:r>
        <w:rPr>
          <w:rFonts w:ascii="Times New Roman"/>
          <w:spacing w:val="-11"/>
          <w:w w:val="105"/>
          <w:sz w:val="23"/>
        </w:rPr>
        <w:t> </w:t>
      </w:r>
      <w:r>
        <w:rPr>
          <w:rFonts w:ascii="Times New Roman"/>
          <w:w w:val="105"/>
          <w:sz w:val="23"/>
        </w:rPr>
        <w:t>the</w:t>
      </w:r>
      <w:r>
        <w:rPr>
          <w:rFonts w:ascii="Times New Roman"/>
          <w:spacing w:val="-14"/>
          <w:w w:val="105"/>
          <w:sz w:val="23"/>
        </w:rPr>
        <w:t> </w:t>
      </w:r>
      <w:r>
        <w:rPr>
          <w:rFonts w:ascii="Times New Roman"/>
          <w:w w:val="105"/>
          <w:sz w:val="23"/>
        </w:rPr>
        <w:t>Federal</w:t>
      </w:r>
      <w:r>
        <w:rPr>
          <w:rFonts w:ascii="Times New Roman"/>
          <w:spacing w:val="-10"/>
          <w:w w:val="105"/>
          <w:sz w:val="23"/>
        </w:rPr>
        <w:t> </w:t>
      </w:r>
      <w:r>
        <w:rPr>
          <w:rFonts w:ascii="Times New Roman"/>
          <w:w w:val="105"/>
          <w:sz w:val="23"/>
        </w:rPr>
        <w:t>financial</w:t>
      </w:r>
      <w:r>
        <w:rPr>
          <w:rFonts w:ascii="Times New Roman"/>
          <w:spacing w:val="-1"/>
          <w:w w:val="105"/>
          <w:sz w:val="23"/>
        </w:rPr>
        <w:t> </w:t>
      </w:r>
      <w:r>
        <w:rPr>
          <w:rFonts w:ascii="Times New Roman"/>
          <w:w w:val="105"/>
          <w:sz w:val="23"/>
        </w:rPr>
        <w:t>assistance</w:t>
      </w:r>
      <w:r>
        <w:rPr>
          <w:rFonts w:ascii="Times New Roman"/>
          <w:spacing w:val="-2"/>
          <w:w w:val="105"/>
          <w:sz w:val="23"/>
        </w:rPr>
        <w:t> </w:t>
      </w:r>
      <w:r>
        <w:rPr>
          <w:rFonts w:ascii="Times New Roman"/>
          <w:w w:val="105"/>
          <w:sz w:val="23"/>
        </w:rPr>
        <w:t>is</w:t>
      </w:r>
      <w:r>
        <w:rPr>
          <w:rFonts w:ascii="Times New Roman"/>
          <w:spacing w:val="-10"/>
          <w:w w:val="105"/>
          <w:sz w:val="23"/>
        </w:rPr>
        <w:t> </w:t>
      </w:r>
      <w:r>
        <w:rPr>
          <w:rFonts w:ascii="Times New Roman"/>
          <w:w w:val="105"/>
          <w:sz w:val="23"/>
        </w:rPr>
        <w:t>to</w:t>
      </w:r>
      <w:r>
        <w:rPr>
          <w:rFonts w:ascii="Times New Roman"/>
          <w:spacing w:val="63"/>
          <w:w w:val="105"/>
          <w:sz w:val="23"/>
        </w:rPr>
        <w:t> </w:t>
      </w:r>
      <w:r>
        <w:rPr>
          <w:rFonts w:ascii="Times New Roman"/>
          <w:w w:val="105"/>
          <w:sz w:val="23"/>
        </w:rPr>
        <w:t>provide, or</w:t>
      </w:r>
      <w:r>
        <w:rPr>
          <w:rFonts w:ascii="Times New Roman"/>
          <w:spacing w:val="-7"/>
          <w:w w:val="105"/>
          <w:sz w:val="23"/>
        </w:rPr>
        <w:t> </w:t>
      </w:r>
      <w:r>
        <w:rPr>
          <w:rFonts w:ascii="Times New Roman"/>
          <w:w w:val="105"/>
          <w:sz w:val="23"/>
        </w:rPr>
        <w:t>is</w:t>
      </w:r>
      <w:r>
        <w:rPr>
          <w:rFonts w:ascii="Times New Roman"/>
          <w:spacing w:val="-3"/>
          <w:w w:val="105"/>
          <w:sz w:val="23"/>
        </w:rPr>
        <w:t> </w:t>
      </w:r>
      <w:r>
        <w:rPr>
          <w:rFonts w:ascii="Times New Roman"/>
          <w:w w:val="105"/>
          <w:sz w:val="23"/>
        </w:rPr>
        <w:t>in the</w:t>
      </w:r>
      <w:r>
        <w:rPr>
          <w:rFonts w:ascii="Times New Roman"/>
          <w:spacing w:val="-7"/>
          <w:w w:val="105"/>
          <w:sz w:val="23"/>
        </w:rPr>
        <w:t> </w:t>
      </w:r>
      <w:r>
        <w:rPr>
          <w:rFonts w:ascii="Times New Roman"/>
          <w:w w:val="105"/>
          <w:sz w:val="23"/>
        </w:rPr>
        <w:t>form of,</w:t>
      </w:r>
      <w:r>
        <w:rPr>
          <w:rFonts w:ascii="Times New Roman"/>
          <w:spacing w:val="-12"/>
          <w:w w:val="105"/>
          <w:sz w:val="23"/>
        </w:rPr>
        <w:t> </w:t>
      </w:r>
      <w:r>
        <w:rPr>
          <w:rFonts w:ascii="Times New Roman"/>
          <w:w w:val="105"/>
          <w:sz w:val="23"/>
        </w:rPr>
        <w:t>personal property, or</w:t>
      </w:r>
      <w:r>
        <w:rPr>
          <w:rFonts w:ascii="Times New Roman"/>
          <w:spacing w:val="-1"/>
          <w:w w:val="105"/>
          <w:sz w:val="23"/>
        </w:rPr>
        <w:t> </w:t>
      </w:r>
      <w:r>
        <w:rPr>
          <w:rFonts w:ascii="Times New Roman"/>
          <w:w w:val="105"/>
          <w:sz w:val="23"/>
        </w:rPr>
        <w:t>real property,</w:t>
      </w:r>
      <w:r>
        <w:rPr>
          <w:rFonts w:ascii="Times New Roman"/>
          <w:spacing w:val="-3"/>
          <w:w w:val="105"/>
          <w:sz w:val="23"/>
        </w:rPr>
        <w:t> </w:t>
      </w:r>
      <w:r>
        <w:rPr>
          <w:rFonts w:ascii="Times New Roman"/>
          <w:w w:val="105"/>
          <w:sz w:val="23"/>
        </w:rPr>
        <w:t>or interest therein, or</w:t>
      </w:r>
      <w:r>
        <w:rPr>
          <w:rFonts w:ascii="Times New Roman"/>
          <w:spacing w:val="-3"/>
          <w:w w:val="105"/>
          <w:sz w:val="23"/>
        </w:rPr>
        <w:t> </w:t>
      </w:r>
      <w:r>
        <w:rPr>
          <w:rFonts w:ascii="Times New Roman"/>
          <w:w w:val="105"/>
          <w:sz w:val="23"/>
        </w:rPr>
        <w:t>strnctures</w:t>
      </w:r>
      <w:r>
        <w:rPr>
          <w:rFonts w:ascii="Times New Roman"/>
          <w:spacing w:val="80"/>
          <w:w w:val="105"/>
          <w:sz w:val="23"/>
        </w:rPr>
        <w:t> </w:t>
      </w:r>
      <w:r>
        <w:rPr>
          <w:rFonts w:ascii="Times New Roman"/>
          <w:w w:val="105"/>
          <w:sz w:val="23"/>
        </w:rPr>
        <w:t>or improvements</w:t>
      </w:r>
      <w:r>
        <w:rPr>
          <w:rFonts w:ascii="Times New Roman"/>
          <w:spacing w:val="-8"/>
          <w:w w:val="105"/>
          <w:sz w:val="23"/>
        </w:rPr>
        <w:t> </w:t>
      </w:r>
      <w:r>
        <w:rPr>
          <w:rFonts w:ascii="Times New Roman"/>
          <w:w w:val="105"/>
          <w:sz w:val="23"/>
        </w:rPr>
        <w:t>thereon,</w:t>
      </w:r>
      <w:r>
        <w:rPr>
          <w:rFonts w:ascii="Times New Roman"/>
          <w:spacing w:val="-4"/>
          <w:w w:val="105"/>
          <w:sz w:val="23"/>
        </w:rPr>
        <w:t> </w:t>
      </w:r>
      <w:r>
        <w:rPr>
          <w:rFonts w:ascii="Times New Roman"/>
          <w:w w:val="105"/>
          <w:sz w:val="23"/>
        </w:rPr>
        <w:t>in</w:t>
      </w:r>
      <w:r>
        <w:rPr>
          <w:rFonts w:ascii="Times New Roman"/>
          <w:spacing w:val="-16"/>
          <w:w w:val="105"/>
          <w:sz w:val="23"/>
        </w:rPr>
        <w:t> </w:t>
      </w:r>
      <w:r>
        <w:rPr>
          <w:rFonts w:ascii="Times New Roman"/>
          <w:w w:val="105"/>
          <w:sz w:val="23"/>
        </w:rPr>
        <w:t>which</w:t>
      </w:r>
      <w:r>
        <w:rPr>
          <w:rFonts w:ascii="Times New Roman"/>
          <w:spacing w:val="-3"/>
          <w:w w:val="105"/>
          <w:sz w:val="23"/>
        </w:rPr>
        <w:t> </w:t>
      </w:r>
      <w:r>
        <w:rPr>
          <w:rFonts w:ascii="Times New Roman"/>
          <w:w w:val="105"/>
          <w:sz w:val="23"/>
        </w:rPr>
        <w:t>case</w:t>
      </w:r>
      <w:r>
        <w:rPr>
          <w:rFonts w:ascii="Times New Roman"/>
          <w:spacing w:val="-14"/>
          <w:w w:val="105"/>
          <w:sz w:val="23"/>
        </w:rPr>
        <w:t> </w:t>
      </w:r>
      <w:r>
        <w:rPr>
          <w:rFonts w:ascii="Times New Roman"/>
          <w:w w:val="105"/>
          <w:sz w:val="23"/>
        </w:rPr>
        <w:t>the</w:t>
      </w:r>
      <w:r>
        <w:rPr>
          <w:rFonts w:ascii="Times New Roman"/>
          <w:spacing w:val="-11"/>
          <w:w w:val="105"/>
          <w:sz w:val="23"/>
        </w:rPr>
        <w:t> </w:t>
      </w:r>
      <w:r>
        <w:rPr>
          <w:rFonts w:ascii="Times New Roman"/>
          <w:w w:val="105"/>
          <w:sz w:val="23"/>
        </w:rPr>
        <w:t>Assurance</w:t>
      </w:r>
      <w:r>
        <w:rPr>
          <w:rFonts w:ascii="Times New Roman"/>
          <w:spacing w:val="-1"/>
          <w:w w:val="105"/>
          <w:sz w:val="23"/>
        </w:rPr>
        <w:t> </w:t>
      </w:r>
      <w:r>
        <w:rPr>
          <w:rFonts w:ascii="Times New Roman"/>
          <w:w w:val="105"/>
          <w:sz w:val="23"/>
        </w:rPr>
        <w:t>obligates</w:t>
      </w:r>
      <w:r>
        <w:rPr>
          <w:rFonts w:ascii="Times New Roman"/>
          <w:spacing w:val="-7"/>
          <w:w w:val="105"/>
          <w:sz w:val="23"/>
        </w:rPr>
        <w:t> </w:t>
      </w:r>
      <w:r>
        <w:rPr>
          <w:rFonts w:ascii="Times New Roman"/>
          <w:w w:val="105"/>
          <w:sz w:val="23"/>
        </w:rPr>
        <w:t>the</w:t>
      </w:r>
      <w:r>
        <w:rPr>
          <w:rFonts w:ascii="Times New Roman"/>
          <w:spacing w:val="-13"/>
          <w:w w:val="105"/>
          <w:sz w:val="23"/>
        </w:rPr>
        <w:t> </w:t>
      </w:r>
      <w:r>
        <w:rPr>
          <w:rFonts w:ascii="Times New Roman"/>
          <w:w w:val="105"/>
          <w:sz w:val="23"/>
        </w:rPr>
        <w:t>Recipient, or</w:t>
      </w:r>
      <w:r>
        <w:rPr>
          <w:rFonts w:ascii="Times New Roman"/>
          <w:spacing w:val="-9"/>
          <w:w w:val="105"/>
          <w:sz w:val="23"/>
        </w:rPr>
        <w:t> </w:t>
      </w:r>
      <w:r>
        <w:rPr>
          <w:rFonts w:ascii="Times New Roman"/>
          <w:w w:val="105"/>
          <w:sz w:val="23"/>
        </w:rPr>
        <w:t>any</w:t>
      </w:r>
      <w:r>
        <w:rPr>
          <w:rFonts w:ascii="Times New Roman"/>
          <w:spacing w:val="40"/>
          <w:w w:val="105"/>
          <w:sz w:val="23"/>
        </w:rPr>
        <w:t> </w:t>
      </w:r>
      <w:r>
        <w:rPr>
          <w:rFonts w:ascii="Times New Roman"/>
          <w:w w:val="105"/>
          <w:sz w:val="23"/>
        </w:rPr>
        <w:t>transferee</w:t>
      </w:r>
      <w:r>
        <w:rPr>
          <w:rFonts w:ascii="Times New Roman"/>
          <w:spacing w:val="-2"/>
          <w:w w:val="105"/>
          <w:sz w:val="23"/>
        </w:rPr>
        <w:t> </w:t>
      </w:r>
      <w:r>
        <w:rPr>
          <w:rFonts w:ascii="Times New Roman"/>
          <w:w w:val="105"/>
          <w:sz w:val="23"/>
        </w:rPr>
        <w:t>for the longer of the following periods:</w:t>
      </w:r>
    </w:p>
    <w:p>
      <w:pPr>
        <w:pStyle w:val="BodyText"/>
        <w:spacing w:before="5"/>
        <w:rPr>
          <w:rFonts w:ascii="Times New Roman"/>
          <w:sz w:val="22"/>
        </w:rPr>
      </w:pPr>
    </w:p>
    <w:p>
      <w:pPr>
        <w:pStyle w:val="ListParagraph"/>
        <w:numPr>
          <w:ilvl w:val="1"/>
          <w:numId w:val="30"/>
        </w:numPr>
        <w:tabs>
          <w:tab w:pos="1689" w:val="left" w:leader="none"/>
          <w:tab w:pos="1692" w:val="left" w:leader="none"/>
        </w:tabs>
        <w:spacing w:line="261" w:lineRule="auto" w:before="0" w:after="0"/>
        <w:ind w:left="1692" w:right="671" w:hanging="267"/>
        <w:jc w:val="left"/>
        <w:rPr>
          <w:rFonts w:ascii="Times New Roman"/>
          <w:sz w:val="23"/>
        </w:rPr>
      </w:pPr>
      <w:r>
        <w:rPr>
          <w:rFonts w:ascii="Times New Roman"/>
          <w:w w:val="105"/>
          <w:sz w:val="23"/>
        </w:rPr>
        <w:t>the</w:t>
      </w:r>
      <w:r>
        <w:rPr>
          <w:rFonts w:ascii="Times New Roman"/>
          <w:spacing w:val="-4"/>
          <w:w w:val="105"/>
          <w:sz w:val="23"/>
        </w:rPr>
        <w:t> </w:t>
      </w:r>
      <w:r>
        <w:rPr>
          <w:rFonts w:ascii="Times New Roman"/>
          <w:w w:val="105"/>
          <w:sz w:val="23"/>
        </w:rPr>
        <w:t>period during which the</w:t>
      </w:r>
      <w:r>
        <w:rPr>
          <w:rFonts w:ascii="Times New Roman"/>
          <w:spacing w:val="-3"/>
          <w:w w:val="105"/>
          <w:sz w:val="23"/>
        </w:rPr>
        <w:t> </w:t>
      </w:r>
      <w:r>
        <w:rPr>
          <w:rFonts w:ascii="Times New Roman"/>
          <w:w w:val="105"/>
          <w:sz w:val="23"/>
        </w:rPr>
        <w:t>property is</w:t>
      </w:r>
      <w:r>
        <w:rPr>
          <w:rFonts w:ascii="Times New Roman"/>
          <w:spacing w:val="-1"/>
          <w:w w:val="105"/>
          <w:sz w:val="23"/>
        </w:rPr>
        <w:t> </w:t>
      </w:r>
      <w:r>
        <w:rPr>
          <w:rFonts w:ascii="Times New Roman"/>
          <w:w w:val="105"/>
          <w:sz w:val="23"/>
        </w:rPr>
        <w:t>used for</w:t>
      </w:r>
      <w:r>
        <w:rPr>
          <w:rFonts w:ascii="Times New Roman"/>
          <w:spacing w:val="-5"/>
          <w:w w:val="105"/>
          <w:sz w:val="23"/>
        </w:rPr>
        <w:t> </w:t>
      </w:r>
      <w:r>
        <w:rPr>
          <w:rFonts w:ascii="Times New Roman"/>
          <w:w w:val="105"/>
          <w:sz w:val="23"/>
        </w:rPr>
        <w:t>a</w:t>
      </w:r>
      <w:r>
        <w:rPr>
          <w:rFonts w:ascii="Times New Roman"/>
          <w:spacing w:val="-1"/>
          <w:w w:val="105"/>
          <w:sz w:val="23"/>
        </w:rPr>
        <w:t> </w:t>
      </w:r>
      <w:r>
        <w:rPr>
          <w:rFonts w:ascii="Times New Roman"/>
          <w:w w:val="105"/>
          <w:sz w:val="23"/>
        </w:rPr>
        <w:t>purpose</w:t>
      </w:r>
      <w:r>
        <w:rPr>
          <w:rFonts w:ascii="Times New Roman"/>
          <w:spacing w:val="-5"/>
          <w:w w:val="105"/>
          <w:sz w:val="23"/>
        </w:rPr>
        <w:t> </w:t>
      </w:r>
      <w:r>
        <w:rPr>
          <w:rFonts w:ascii="Times New Roman"/>
          <w:w w:val="105"/>
          <w:sz w:val="23"/>
        </w:rPr>
        <w:t>for which</w:t>
      </w:r>
      <w:r>
        <w:rPr>
          <w:rFonts w:ascii="Times New Roman"/>
          <w:spacing w:val="-5"/>
          <w:w w:val="105"/>
          <w:sz w:val="23"/>
        </w:rPr>
        <w:t> </w:t>
      </w:r>
      <w:r>
        <w:rPr>
          <w:rFonts w:ascii="Times New Roman"/>
          <w:w w:val="105"/>
          <w:sz w:val="23"/>
        </w:rPr>
        <w:t>the</w:t>
      </w:r>
      <w:r>
        <w:rPr>
          <w:rFonts w:ascii="Times New Roman"/>
          <w:spacing w:val="-2"/>
          <w:w w:val="105"/>
          <w:sz w:val="23"/>
        </w:rPr>
        <w:t> </w:t>
      </w:r>
      <w:r>
        <w:rPr>
          <w:rFonts w:ascii="Times New Roman"/>
          <w:w w:val="105"/>
          <w:sz w:val="23"/>
        </w:rPr>
        <w:t>Federal</w:t>
      </w:r>
      <w:r>
        <w:rPr>
          <w:rFonts w:ascii="Times New Roman"/>
          <w:spacing w:val="40"/>
          <w:w w:val="105"/>
          <w:sz w:val="23"/>
        </w:rPr>
        <w:t> </w:t>
      </w:r>
      <w:r>
        <w:rPr>
          <w:rFonts w:ascii="Times New Roman"/>
          <w:w w:val="105"/>
          <w:sz w:val="23"/>
        </w:rPr>
        <w:t>financial assistance</w:t>
      </w:r>
      <w:r>
        <w:rPr>
          <w:rFonts w:ascii="Times New Roman"/>
          <w:spacing w:val="-3"/>
          <w:w w:val="105"/>
          <w:sz w:val="23"/>
        </w:rPr>
        <w:t> </w:t>
      </w:r>
      <w:r>
        <w:rPr>
          <w:rFonts w:ascii="Times New Roman"/>
          <w:w w:val="105"/>
          <w:sz w:val="23"/>
        </w:rPr>
        <w:t>is</w:t>
      </w:r>
      <w:r>
        <w:rPr>
          <w:rFonts w:ascii="Times New Roman"/>
          <w:spacing w:val="-13"/>
          <w:w w:val="105"/>
          <w:sz w:val="23"/>
        </w:rPr>
        <w:t> </w:t>
      </w:r>
      <w:r>
        <w:rPr>
          <w:rFonts w:ascii="Times New Roman"/>
          <w:w w:val="105"/>
          <w:sz w:val="23"/>
        </w:rPr>
        <w:t>extended,</w:t>
      </w:r>
      <w:r>
        <w:rPr>
          <w:rFonts w:ascii="Times New Roman"/>
          <w:spacing w:val="-6"/>
          <w:w w:val="105"/>
          <w:sz w:val="23"/>
        </w:rPr>
        <w:t> </w:t>
      </w:r>
      <w:r>
        <w:rPr>
          <w:rFonts w:ascii="Times New Roman"/>
          <w:w w:val="105"/>
          <w:sz w:val="23"/>
        </w:rPr>
        <w:t>or</w:t>
      </w:r>
      <w:r>
        <w:rPr>
          <w:rFonts w:ascii="Times New Roman"/>
          <w:spacing w:val="-16"/>
          <w:w w:val="105"/>
          <w:sz w:val="23"/>
        </w:rPr>
        <w:t> </w:t>
      </w:r>
      <w:r>
        <w:rPr>
          <w:rFonts w:ascii="Times New Roman"/>
          <w:w w:val="105"/>
          <w:sz w:val="23"/>
        </w:rPr>
        <w:t>for</w:t>
      </w:r>
      <w:r>
        <w:rPr>
          <w:rFonts w:ascii="Times New Roman"/>
          <w:spacing w:val="-14"/>
          <w:w w:val="105"/>
          <w:sz w:val="23"/>
        </w:rPr>
        <w:t> </w:t>
      </w:r>
      <w:r>
        <w:rPr>
          <w:rFonts w:ascii="Times New Roman"/>
          <w:w w:val="105"/>
          <w:sz w:val="23"/>
        </w:rPr>
        <w:t>another</w:t>
      </w:r>
      <w:r>
        <w:rPr>
          <w:rFonts w:ascii="Times New Roman"/>
          <w:spacing w:val="-9"/>
          <w:w w:val="105"/>
          <w:sz w:val="23"/>
        </w:rPr>
        <w:t> </w:t>
      </w:r>
      <w:r>
        <w:rPr>
          <w:rFonts w:ascii="Times New Roman"/>
          <w:w w:val="105"/>
          <w:sz w:val="23"/>
        </w:rPr>
        <w:t>purpose</w:t>
      </w:r>
      <w:r>
        <w:rPr>
          <w:rFonts w:ascii="Times New Roman"/>
          <w:spacing w:val="-2"/>
          <w:w w:val="105"/>
          <w:sz w:val="23"/>
        </w:rPr>
        <w:t> </w:t>
      </w:r>
      <w:r>
        <w:rPr>
          <w:rFonts w:ascii="Times New Roman"/>
          <w:w w:val="105"/>
          <w:sz w:val="23"/>
        </w:rPr>
        <w:t>involving</w:t>
      </w:r>
      <w:r>
        <w:rPr>
          <w:rFonts w:ascii="Times New Roman"/>
          <w:spacing w:val="-4"/>
          <w:w w:val="105"/>
          <w:sz w:val="23"/>
        </w:rPr>
        <w:t> </w:t>
      </w:r>
      <w:r>
        <w:rPr>
          <w:rFonts w:ascii="Times New Roman"/>
          <w:w w:val="105"/>
          <w:sz w:val="23"/>
        </w:rPr>
        <w:t>the</w:t>
      </w:r>
      <w:r>
        <w:rPr>
          <w:rFonts w:ascii="Times New Roman"/>
          <w:spacing w:val="-14"/>
          <w:w w:val="105"/>
          <w:sz w:val="23"/>
        </w:rPr>
        <w:t> </w:t>
      </w:r>
      <w:r>
        <w:rPr>
          <w:rFonts w:ascii="Times New Roman"/>
          <w:w w:val="105"/>
          <w:sz w:val="23"/>
        </w:rPr>
        <w:t>provision of</w:t>
      </w:r>
      <w:r>
        <w:rPr>
          <w:rFonts w:ascii="Times New Roman"/>
          <w:spacing w:val="31"/>
          <w:w w:val="105"/>
          <w:sz w:val="23"/>
        </w:rPr>
        <w:t> </w:t>
      </w:r>
      <w:r>
        <w:rPr>
          <w:rFonts w:ascii="Times New Roman"/>
          <w:w w:val="105"/>
          <w:sz w:val="23"/>
        </w:rPr>
        <w:t>similar</w:t>
      </w:r>
      <w:r>
        <w:rPr>
          <w:rFonts w:ascii="Times New Roman"/>
          <w:spacing w:val="-10"/>
          <w:w w:val="105"/>
          <w:sz w:val="23"/>
        </w:rPr>
        <w:t> </w:t>
      </w:r>
      <w:r>
        <w:rPr>
          <w:rFonts w:ascii="Times New Roman"/>
          <w:w w:val="105"/>
          <w:sz w:val="23"/>
        </w:rPr>
        <w:t>services</w:t>
      </w:r>
      <w:r>
        <w:rPr>
          <w:rFonts w:ascii="Times New Roman"/>
          <w:spacing w:val="-10"/>
          <w:w w:val="105"/>
          <w:sz w:val="23"/>
        </w:rPr>
        <w:t> </w:t>
      </w:r>
      <w:r>
        <w:rPr>
          <w:rFonts w:ascii="Times New Roman"/>
          <w:w w:val="105"/>
          <w:sz w:val="23"/>
        </w:rPr>
        <w:t>or benefits; or</w:t>
      </w:r>
    </w:p>
    <w:p>
      <w:pPr>
        <w:spacing w:after="0" w:line="261" w:lineRule="auto"/>
        <w:jc w:val="left"/>
        <w:rPr>
          <w:rFonts w:ascii="Times New Roman"/>
          <w:sz w:val="23"/>
        </w:rPr>
        <w:sectPr>
          <w:footerReference w:type="default" r:id="rId59"/>
          <w:pgSz w:w="12240" w:h="15840"/>
          <w:pgMar w:footer="0" w:header="0" w:top="1260" w:bottom="280" w:left="600" w:right="500"/>
        </w:sectPr>
      </w:pPr>
    </w:p>
    <w:p>
      <w:pPr>
        <w:pStyle w:val="BodyText"/>
        <w:rPr>
          <w:rFonts w:ascii="Times New Roman"/>
          <w:sz w:val="20"/>
        </w:rPr>
      </w:pPr>
      <w:r>
        <w:rPr/>
        <mc:AlternateContent>
          <mc:Choice Requires="wps">
            <w:drawing>
              <wp:anchor distT="0" distB="0" distL="0" distR="0" allowOverlap="1" layoutInCell="1" locked="0" behindDoc="0" simplePos="0" relativeHeight="15745024">
                <wp:simplePos x="0" y="0"/>
                <wp:positionH relativeFrom="page">
                  <wp:posOffset>7761337</wp:posOffset>
                </wp:positionH>
                <wp:positionV relativeFrom="page">
                  <wp:posOffset>0</wp:posOffset>
                </wp:positionV>
                <wp:extent cx="11430" cy="998982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1430" cy="9989820"/>
                        </a:xfrm>
                        <a:custGeom>
                          <a:avLst/>
                          <a:gdLst/>
                          <a:ahLst/>
                          <a:cxnLst/>
                          <a:rect l="l" t="t" r="r" b="b"/>
                          <a:pathLst>
                            <a:path w="11430" h="9989820">
                              <a:moveTo>
                                <a:pt x="0" y="0"/>
                              </a:moveTo>
                              <a:lnTo>
                                <a:pt x="11061" y="0"/>
                              </a:lnTo>
                              <a:lnTo>
                                <a:pt x="11061" y="9989658"/>
                              </a:lnTo>
                              <a:lnTo>
                                <a:pt x="0" y="9989658"/>
                              </a:lnTo>
                              <a:lnTo>
                                <a:pt x="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11.128967pt;margin-top:.000035pt;width:.871007pt;height:786.587292pt;mso-position-horizontal-relative:page;mso-position-vertical-relative:page;z-index:15745024" id="docshape92" filled="true" fillcolor="#000000" stroked="false">
                <v:fill type="solid"/>
                <w10:wrap type="none"/>
              </v:rect>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5"/>
        </w:rPr>
      </w:pPr>
    </w:p>
    <w:p>
      <w:pPr>
        <w:pStyle w:val="ListParagraph"/>
        <w:numPr>
          <w:ilvl w:val="1"/>
          <w:numId w:val="30"/>
        </w:numPr>
        <w:tabs>
          <w:tab w:pos="1647" w:val="left" w:leader="none"/>
        </w:tabs>
        <w:spacing w:line="240" w:lineRule="auto" w:before="91" w:after="0"/>
        <w:ind w:left="1647" w:right="0" w:hanging="263"/>
        <w:jc w:val="left"/>
        <w:rPr>
          <w:rFonts w:ascii="Times New Roman"/>
          <w:color w:val="282828"/>
          <w:sz w:val="23"/>
        </w:rPr>
      </w:pPr>
      <w:r>
        <w:rPr>
          <w:rFonts w:ascii="Times New Roman"/>
          <w:color w:val="282828"/>
          <w:w w:val="105"/>
          <w:sz w:val="23"/>
        </w:rPr>
        <w:t>the</w:t>
      </w:r>
      <w:r>
        <w:rPr>
          <w:rFonts w:ascii="Times New Roman"/>
          <w:color w:val="282828"/>
          <w:spacing w:val="-16"/>
          <w:w w:val="105"/>
          <w:sz w:val="23"/>
        </w:rPr>
        <w:t> </w:t>
      </w:r>
      <w:r>
        <w:rPr>
          <w:rFonts w:ascii="Times New Roman"/>
          <w:color w:val="151515"/>
          <w:w w:val="105"/>
          <w:sz w:val="23"/>
        </w:rPr>
        <w:t>p</w:t>
      </w:r>
      <w:r>
        <w:rPr>
          <w:rFonts w:ascii="Times New Roman"/>
          <w:color w:val="3D3D3D"/>
          <w:w w:val="105"/>
          <w:sz w:val="23"/>
        </w:rPr>
        <w:t>e</w:t>
      </w:r>
      <w:r>
        <w:rPr>
          <w:rFonts w:ascii="Times New Roman"/>
          <w:color w:val="151515"/>
          <w:w w:val="105"/>
          <w:sz w:val="23"/>
        </w:rPr>
        <w:t>riod</w:t>
      </w:r>
      <w:r>
        <w:rPr>
          <w:rFonts w:ascii="Times New Roman"/>
          <w:color w:val="151515"/>
          <w:spacing w:val="-15"/>
          <w:w w:val="105"/>
          <w:sz w:val="23"/>
        </w:rPr>
        <w:t> </w:t>
      </w:r>
      <w:r>
        <w:rPr>
          <w:rFonts w:ascii="Times New Roman"/>
          <w:color w:val="282828"/>
          <w:w w:val="105"/>
          <w:sz w:val="23"/>
        </w:rPr>
        <w:t>during</w:t>
      </w:r>
      <w:r>
        <w:rPr>
          <w:rFonts w:ascii="Times New Roman"/>
          <w:color w:val="282828"/>
          <w:spacing w:val="-12"/>
          <w:w w:val="105"/>
          <w:sz w:val="23"/>
        </w:rPr>
        <w:t> </w:t>
      </w:r>
      <w:r>
        <w:rPr>
          <w:rFonts w:ascii="Times New Roman"/>
          <w:color w:val="282828"/>
          <w:w w:val="105"/>
          <w:sz w:val="23"/>
        </w:rPr>
        <w:t>which</w:t>
      </w:r>
      <w:r>
        <w:rPr>
          <w:rFonts w:ascii="Times New Roman"/>
          <w:color w:val="282828"/>
          <w:spacing w:val="-13"/>
          <w:w w:val="105"/>
          <w:sz w:val="23"/>
        </w:rPr>
        <w:t> </w:t>
      </w:r>
      <w:r>
        <w:rPr>
          <w:rFonts w:ascii="Times New Roman"/>
          <w:color w:val="282828"/>
          <w:w w:val="105"/>
          <w:sz w:val="23"/>
        </w:rPr>
        <w:t>the</w:t>
      </w:r>
      <w:r>
        <w:rPr>
          <w:rFonts w:ascii="Times New Roman"/>
          <w:color w:val="282828"/>
          <w:spacing w:val="-15"/>
          <w:w w:val="105"/>
          <w:sz w:val="23"/>
        </w:rPr>
        <w:t> </w:t>
      </w:r>
      <w:r>
        <w:rPr>
          <w:rFonts w:ascii="Times New Roman"/>
          <w:color w:val="282828"/>
          <w:w w:val="105"/>
          <w:sz w:val="23"/>
        </w:rPr>
        <w:t>Recipient</w:t>
      </w:r>
      <w:r>
        <w:rPr>
          <w:rFonts w:ascii="Times New Roman"/>
          <w:color w:val="282828"/>
          <w:spacing w:val="8"/>
          <w:w w:val="105"/>
          <w:sz w:val="23"/>
        </w:rPr>
        <w:t> </w:t>
      </w:r>
      <w:r>
        <w:rPr>
          <w:rFonts w:ascii="Times New Roman"/>
          <w:color w:val="282828"/>
          <w:w w:val="105"/>
          <w:sz w:val="23"/>
        </w:rPr>
        <w:t>retains</w:t>
      </w:r>
      <w:r>
        <w:rPr>
          <w:rFonts w:ascii="Times New Roman"/>
          <w:color w:val="282828"/>
          <w:spacing w:val="-15"/>
          <w:w w:val="105"/>
          <w:sz w:val="23"/>
        </w:rPr>
        <w:t> </w:t>
      </w:r>
      <w:r>
        <w:rPr>
          <w:rFonts w:ascii="Times New Roman"/>
          <w:color w:val="282828"/>
          <w:w w:val="105"/>
          <w:sz w:val="23"/>
        </w:rPr>
        <w:t>ownership</w:t>
      </w:r>
      <w:r>
        <w:rPr>
          <w:rFonts w:ascii="Times New Roman"/>
          <w:color w:val="282828"/>
          <w:spacing w:val="-10"/>
          <w:w w:val="105"/>
          <w:sz w:val="23"/>
        </w:rPr>
        <w:t> </w:t>
      </w:r>
      <w:r>
        <w:rPr>
          <w:rFonts w:ascii="Times New Roman"/>
          <w:color w:val="282828"/>
          <w:w w:val="105"/>
          <w:sz w:val="23"/>
        </w:rPr>
        <w:t>or</w:t>
      </w:r>
      <w:r>
        <w:rPr>
          <w:rFonts w:ascii="Times New Roman"/>
          <w:color w:val="282828"/>
          <w:spacing w:val="-15"/>
          <w:w w:val="105"/>
          <w:sz w:val="23"/>
        </w:rPr>
        <w:t> </w:t>
      </w:r>
      <w:r>
        <w:rPr>
          <w:rFonts w:ascii="Times New Roman"/>
          <w:color w:val="282828"/>
          <w:w w:val="105"/>
          <w:sz w:val="23"/>
        </w:rPr>
        <w:t>possession</w:t>
      </w:r>
      <w:r>
        <w:rPr>
          <w:rFonts w:ascii="Times New Roman"/>
          <w:color w:val="282828"/>
          <w:spacing w:val="-7"/>
          <w:w w:val="105"/>
          <w:sz w:val="23"/>
        </w:rPr>
        <w:t> </w:t>
      </w:r>
      <w:r>
        <w:rPr>
          <w:rFonts w:ascii="Times New Roman"/>
          <w:color w:val="282828"/>
          <w:w w:val="105"/>
          <w:sz w:val="23"/>
        </w:rPr>
        <w:t>of</w:t>
      </w:r>
      <w:r>
        <w:rPr>
          <w:rFonts w:ascii="Times New Roman"/>
          <w:color w:val="282828"/>
          <w:spacing w:val="-15"/>
          <w:w w:val="105"/>
          <w:sz w:val="23"/>
        </w:rPr>
        <w:t> </w:t>
      </w:r>
      <w:r>
        <w:rPr>
          <w:rFonts w:ascii="Times New Roman"/>
          <w:color w:val="151515"/>
          <w:w w:val="105"/>
          <w:sz w:val="23"/>
        </w:rPr>
        <w:t>th</w:t>
      </w:r>
      <w:r>
        <w:rPr>
          <w:rFonts w:ascii="Times New Roman"/>
          <w:color w:val="3D3D3D"/>
          <w:w w:val="105"/>
          <w:sz w:val="23"/>
        </w:rPr>
        <w:t>e</w:t>
      </w:r>
      <w:r>
        <w:rPr>
          <w:rFonts w:ascii="Times New Roman"/>
          <w:color w:val="3D3D3D"/>
          <w:spacing w:val="-8"/>
          <w:w w:val="105"/>
          <w:sz w:val="23"/>
        </w:rPr>
        <w:t> </w:t>
      </w:r>
      <w:r>
        <w:rPr>
          <w:rFonts w:ascii="Times New Roman"/>
          <w:color w:val="282828"/>
          <w:spacing w:val="-2"/>
          <w:w w:val="105"/>
          <w:sz w:val="23"/>
        </w:rPr>
        <w:t>property.</w:t>
      </w:r>
    </w:p>
    <w:p>
      <w:pPr>
        <w:pStyle w:val="BodyText"/>
        <w:spacing w:before="11"/>
        <w:rPr>
          <w:rFonts w:ascii="Times New Roman"/>
          <w:sz w:val="25"/>
        </w:rPr>
      </w:pPr>
    </w:p>
    <w:p>
      <w:pPr>
        <w:pStyle w:val="ListParagraph"/>
        <w:numPr>
          <w:ilvl w:val="0"/>
          <w:numId w:val="30"/>
        </w:numPr>
        <w:tabs>
          <w:tab w:pos="1013" w:val="left" w:leader="none"/>
          <w:tab w:pos="1015" w:val="left" w:leader="none"/>
        </w:tabs>
        <w:spacing w:line="254" w:lineRule="auto" w:before="0" w:after="0"/>
        <w:ind w:left="1015" w:right="628" w:hanging="356"/>
        <w:jc w:val="left"/>
        <w:rPr>
          <w:rFonts w:ascii="Times New Roman"/>
          <w:color w:val="282828"/>
          <w:sz w:val="23"/>
        </w:rPr>
      </w:pPr>
      <w:r>
        <w:rPr>
          <w:rFonts w:ascii="Times New Roman"/>
          <w:color w:val="282828"/>
          <w:w w:val="105"/>
          <w:sz w:val="23"/>
        </w:rPr>
        <w:t>The</w:t>
      </w:r>
      <w:r>
        <w:rPr>
          <w:rFonts w:ascii="Times New Roman"/>
          <w:color w:val="282828"/>
          <w:spacing w:val="-16"/>
          <w:w w:val="105"/>
          <w:sz w:val="23"/>
        </w:rPr>
        <w:t> </w:t>
      </w:r>
      <w:r>
        <w:rPr>
          <w:rFonts w:ascii="Times New Roman"/>
          <w:color w:val="282828"/>
          <w:w w:val="105"/>
          <w:sz w:val="23"/>
        </w:rPr>
        <w:t>Recipient</w:t>
      </w:r>
      <w:r>
        <w:rPr>
          <w:rFonts w:ascii="Times New Roman"/>
          <w:color w:val="282828"/>
          <w:spacing w:val="-13"/>
          <w:w w:val="105"/>
          <w:sz w:val="23"/>
        </w:rPr>
        <w:t> </w:t>
      </w:r>
      <w:r>
        <w:rPr>
          <w:rFonts w:ascii="Times New Roman"/>
          <w:color w:val="282828"/>
          <w:w w:val="105"/>
          <w:sz w:val="23"/>
        </w:rPr>
        <w:t>will provide</w:t>
      </w:r>
      <w:r>
        <w:rPr>
          <w:rFonts w:ascii="Times New Roman"/>
          <w:color w:val="282828"/>
          <w:spacing w:val="-9"/>
          <w:w w:val="105"/>
          <w:sz w:val="23"/>
        </w:rPr>
        <w:t> </w:t>
      </w:r>
      <w:r>
        <w:rPr>
          <w:rFonts w:ascii="Times New Roman"/>
          <w:color w:val="282828"/>
          <w:w w:val="105"/>
          <w:sz w:val="23"/>
        </w:rPr>
        <w:t>for</w:t>
      </w:r>
      <w:r>
        <w:rPr>
          <w:rFonts w:ascii="Times New Roman"/>
          <w:color w:val="282828"/>
          <w:spacing w:val="-16"/>
          <w:w w:val="105"/>
          <w:sz w:val="23"/>
        </w:rPr>
        <w:t> </w:t>
      </w:r>
      <w:r>
        <w:rPr>
          <w:rFonts w:ascii="Times New Roman"/>
          <w:color w:val="3D3D3D"/>
          <w:w w:val="105"/>
          <w:sz w:val="23"/>
        </w:rPr>
        <w:t>suc</w:t>
      </w:r>
      <w:r>
        <w:rPr>
          <w:rFonts w:ascii="Times New Roman"/>
          <w:color w:val="151515"/>
          <w:w w:val="105"/>
          <w:sz w:val="23"/>
        </w:rPr>
        <w:t>h</w:t>
      </w:r>
      <w:r>
        <w:rPr>
          <w:rFonts w:ascii="Times New Roman"/>
          <w:color w:val="151515"/>
          <w:spacing w:val="-3"/>
          <w:w w:val="105"/>
          <w:sz w:val="23"/>
        </w:rPr>
        <w:t> </w:t>
      </w:r>
      <w:r>
        <w:rPr>
          <w:rFonts w:ascii="Times New Roman"/>
          <w:color w:val="151515"/>
          <w:w w:val="105"/>
          <w:sz w:val="23"/>
        </w:rPr>
        <w:t>m</w:t>
      </w:r>
      <w:r>
        <w:rPr>
          <w:rFonts w:ascii="Times New Roman"/>
          <w:color w:val="3D3D3D"/>
          <w:w w:val="105"/>
          <w:sz w:val="23"/>
        </w:rPr>
        <w:t>et</w:t>
      </w:r>
      <w:r>
        <w:rPr>
          <w:rFonts w:ascii="Times New Roman"/>
          <w:color w:val="151515"/>
          <w:w w:val="105"/>
          <w:sz w:val="23"/>
        </w:rPr>
        <w:t>hods</w:t>
      </w:r>
      <w:r>
        <w:rPr>
          <w:rFonts w:ascii="Times New Roman"/>
          <w:color w:val="151515"/>
          <w:spacing w:val="-16"/>
          <w:w w:val="105"/>
          <w:sz w:val="23"/>
        </w:rPr>
        <w:t> </w:t>
      </w:r>
      <w:r>
        <w:rPr>
          <w:rFonts w:ascii="Times New Roman"/>
          <w:color w:val="282828"/>
          <w:w w:val="105"/>
          <w:sz w:val="23"/>
        </w:rPr>
        <w:t>of administration</w:t>
      </w:r>
      <w:r>
        <w:rPr>
          <w:rFonts w:ascii="Times New Roman"/>
          <w:color w:val="282828"/>
          <w:spacing w:val="-16"/>
          <w:w w:val="105"/>
          <w:sz w:val="23"/>
        </w:rPr>
        <w:t> </w:t>
      </w:r>
      <w:r>
        <w:rPr>
          <w:rFonts w:ascii="Times New Roman"/>
          <w:color w:val="282828"/>
          <w:w w:val="105"/>
          <w:sz w:val="23"/>
        </w:rPr>
        <w:t>for</w:t>
      </w:r>
      <w:r>
        <w:rPr>
          <w:rFonts w:ascii="Times New Roman"/>
          <w:color w:val="282828"/>
          <w:spacing w:val="-13"/>
          <w:w w:val="105"/>
          <w:sz w:val="23"/>
        </w:rPr>
        <w:t> </w:t>
      </w:r>
      <w:r>
        <w:rPr>
          <w:rFonts w:ascii="Times New Roman"/>
          <w:color w:val="282828"/>
          <w:w w:val="105"/>
          <w:sz w:val="23"/>
        </w:rPr>
        <w:t>the</w:t>
      </w:r>
      <w:r>
        <w:rPr>
          <w:rFonts w:ascii="Times New Roman"/>
          <w:color w:val="282828"/>
          <w:spacing w:val="-13"/>
          <w:w w:val="105"/>
          <w:sz w:val="23"/>
        </w:rPr>
        <w:t> </w:t>
      </w:r>
      <w:r>
        <w:rPr>
          <w:rFonts w:ascii="Times New Roman"/>
          <w:color w:val="282828"/>
          <w:w w:val="105"/>
          <w:sz w:val="23"/>
        </w:rPr>
        <w:t>program</w:t>
      </w:r>
      <w:r>
        <w:rPr>
          <w:rFonts w:ascii="Times New Roman"/>
          <w:color w:val="282828"/>
          <w:spacing w:val="-1"/>
          <w:w w:val="105"/>
          <w:sz w:val="23"/>
        </w:rPr>
        <w:t> </w:t>
      </w:r>
      <w:r>
        <w:rPr>
          <w:rFonts w:ascii="Times New Roman"/>
          <w:color w:val="282828"/>
          <w:w w:val="105"/>
          <w:sz w:val="23"/>
        </w:rPr>
        <w:t>as</w:t>
      </w:r>
      <w:r>
        <w:rPr>
          <w:rFonts w:ascii="Times New Roman"/>
          <w:color w:val="282828"/>
          <w:spacing w:val="-11"/>
          <w:w w:val="105"/>
          <w:sz w:val="23"/>
        </w:rPr>
        <w:t> </w:t>
      </w:r>
      <w:r>
        <w:rPr>
          <w:rFonts w:ascii="Times New Roman"/>
          <w:color w:val="282828"/>
          <w:w w:val="105"/>
          <w:sz w:val="23"/>
        </w:rPr>
        <w:t>are</w:t>
      </w:r>
      <w:r>
        <w:rPr>
          <w:rFonts w:ascii="Times New Roman"/>
          <w:color w:val="282828"/>
          <w:spacing w:val="-8"/>
          <w:w w:val="105"/>
          <w:sz w:val="23"/>
        </w:rPr>
        <w:t> </w:t>
      </w:r>
      <w:r>
        <w:rPr>
          <w:rFonts w:ascii="Times New Roman"/>
          <w:color w:val="282828"/>
          <w:w w:val="105"/>
          <w:sz w:val="23"/>
        </w:rPr>
        <w:t>found</w:t>
      </w:r>
      <w:r>
        <w:rPr>
          <w:rFonts w:ascii="Times New Roman"/>
          <w:color w:val="282828"/>
          <w:spacing w:val="-3"/>
          <w:w w:val="105"/>
          <w:sz w:val="23"/>
        </w:rPr>
        <w:t> </w:t>
      </w:r>
      <w:r>
        <w:rPr>
          <w:rFonts w:ascii="Times New Roman"/>
          <w:color w:val="282828"/>
          <w:w w:val="105"/>
          <w:sz w:val="23"/>
        </w:rPr>
        <w:t>by</w:t>
      </w:r>
      <w:r>
        <w:rPr>
          <w:rFonts w:ascii="Times New Roman"/>
          <w:color w:val="282828"/>
          <w:spacing w:val="80"/>
          <w:w w:val="105"/>
          <w:sz w:val="23"/>
        </w:rPr>
        <w:t> </w:t>
      </w:r>
      <w:r>
        <w:rPr>
          <w:rFonts w:ascii="Times New Roman"/>
          <w:color w:val="151515"/>
          <w:w w:val="105"/>
          <w:sz w:val="23"/>
        </w:rPr>
        <w:t>the </w:t>
      </w:r>
      <w:r>
        <w:rPr>
          <w:rFonts w:ascii="Times New Roman"/>
          <w:color w:val="282828"/>
          <w:w w:val="105"/>
          <w:sz w:val="23"/>
        </w:rPr>
        <w:t>Secretary of</w:t>
      </w:r>
      <w:r>
        <w:rPr>
          <w:rFonts w:ascii="Times New Roman"/>
          <w:color w:val="282828"/>
          <w:spacing w:val="-16"/>
          <w:w w:val="105"/>
          <w:sz w:val="23"/>
        </w:rPr>
        <w:t> </w:t>
      </w:r>
      <w:r>
        <w:rPr>
          <w:rFonts w:ascii="Times New Roman"/>
          <w:color w:val="282828"/>
          <w:w w:val="105"/>
          <w:sz w:val="23"/>
        </w:rPr>
        <w:t>Transpo11ation</w:t>
      </w:r>
      <w:r>
        <w:rPr>
          <w:rFonts w:ascii="Times New Roman"/>
          <w:color w:val="282828"/>
          <w:spacing w:val="-21"/>
          <w:w w:val="105"/>
          <w:sz w:val="23"/>
        </w:rPr>
        <w:t> </w:t>
      </w:r>
      <w:r>
        <w:rPr>
          <w:rFonts w:ascii="Times New Roman"/>
          <w:color w:val="282828"/>
          <w:w w:val="105"/>
          <w:sz w:val="23"/>
        </w:rPr>
        <w:t>or the</w:t>
      </w:r>
      <w:r>
        <w:rPr>
          <w:rFonts w:ascii="Times New Roman"/>
          <w:color w:val="282828"/>
          <w:spacing w:val="-20"/>
          <w:w w:val="105"/>
          <w:sz w:val="23"/>
        </w:rPr>
        <w:t> </w:t>
      </w:r>
      <w:r>
        <w:rPr>
          <w:rFonts w:ascii="Times New Roman"/>
          <w:color w:val="282828"/>
          <w:w w:val="105"/>
          <w:sz w:val="23"/>
        </w:rPr>
        <w:t>official to</w:t>
      </w:r>
      <w:r>
        <w:rPr>
          <w:rFonts w:ascii="Times New Roman"/>
          <w:color w:val="282828"/>
          <w:spacing w:val="-2"/>
          <w:w w:val="105"/>
          <w:sz w:val="23"/>
        </w:rPr>
        <w:t> </w:t>
      </w:r>
      <w:r>
        <w:rPr>
          <w:rFonts w:ascii="Times New Roman"/>
          <w:color w:val="3D3D3D"/>
          <w:w w:val="105"/>
          <w:sz w:val="23"/>
        </w:rPr>
        <w:t>who</w:t>
      </w:r>
      <w:r>
        <w:rPr>
          <w:rFonts w:ascii="Times New Roman"/>
          <w:color w:val="151515"/>
          <w:w w:val="105"/>
          <w:sz w:val="23"/>
        </w:rPr>
        <w:t>m h</w:t>
      </w:r>
      <w:r>
        <w:rPr>
          <w:rFonts w:ascii="Times New Roman"/>
          <w:color w:val="3D3D3D"/>
          <w:w w:val="105"/>
          <w:sz w:val="23"/>
        </w:rPr>
        <w:t>e/she</w:t>
      </w:r>
      <w:r>
        <w:rPr>
          <w:rFonts w:ascii="Times New Roman"/>
          <w:color w:val="3D3D3D"/>
          <w:spacing w:val="-8"/>
          <w:w w:val="105"/>
          <w:sz w:val="23"/>
        </w:rPr>
        <w:t> </w:t>
      </w:r>
      <w:r>
        <w:rPr>
          <w:rFonts w:ascii="Times New Roman"/>
          <w:color w:val="282828"/>
          <w:w w:val="105"/>
          <w:sz w:val="23"/>
        </w:rPr>
        <w:t>delegates</w:t>
      </w:r>
      <w:r>
        <w:rPr>
          <w:rFonts w:ascii="Times New Roman"/>
          <w:color w:val="282828"/>
          <w:spacing w:val="-9"/>
          <w:w w:val="105"/>
          <w:sz w:val="23"/>
        </w:rPr>
        <w:t> </w:t>
      </w:r>
      <w:r>
        <w:rPr>
          <w:rFonts w:ascii="Times New Roman"/>
          <w:color w:val="3D3D3D"/>
          <w:w w:val="105"/>
          <w:sz w:val="23"/>
        </w:rPr>
        <w:t>spec</w:t>
      </w:r>
      <w:r>
        <w:rPr>
          <w:rFonts w:ascii="Times New Roman"/>
          <w:color w:val="151515"/>
          <w:w w:val="105"/>
          <w:sz w:val="23"/>
        </w:rPr>
        <w:t>ifi</w:t>
      </w:r>
      <w:r>
        <w:rPr>
          <w:rFonts w:ascii="Times New Roman"/>
          <w:color w:val="3D3D3D"/>
          <w:w w:val="105"/>
          <w:sz w:val="23"/>
        </w:rPr>
        <w:t>c</w:t>
      </w:r>
      <w:r>
        <w:rPr>
          <w:rFonts w:ascii="Times New Roman"/>
          <w:color w:val="3D3D3D"/>
          <w:spacing w:val="-2"/>
          <w:w w:val="105"/>
          <w:sz w:val="23"/>
        </w:rPr>
        <w:t> </w:t>
      </w:r>
      <w:r>
        <w:rPr>
          <w:rFonts w:ascii="Times New Roman"/>
          <w:color w:val="282828"/>
          <w:w w:val="105"/>
          <w:sz w:val="23"/>
        </w:rPr>
        <w:t>authority to</w:t>
      </w:r>
      <w:r>
        <w:rPr>
          <w:rFonts w:ascii="Times New Roman"/>
          <w:color w:val="282828"/>
          <w:spacing w:val="40"/>
          <w:w w:val="105"/>
          <w:sz w:val="23"/>
        </w:rPr>
        <w:t> </w:t>
      </w:r>
      <w:r>
        <w:rPr>
          <w:rFonts w:ascii="Times New Roman"/>
          <w:color w:val="3D3D3D"/>
          <w:w w:val="105"/>
          <w:sz w:val="23"/>
        </w:rPr>
        <w:t>g</w:t>
      </w:r>
      <w:r>
        <w:rPr>
          <w:rFonts w:ascii="Times New Roman"/>
          <w:color w:val="151515"/>
          <w:w w:val="105"/>
          <w:sz w:val="23"/>
        </w:rPr>
        <w:t>ive </w:t>
      </w:r>
      <w:r>
        <w:rPr>
          <w:rFonts w:ascii="Times New Roman"/>
          <w:color w:val="282828"/>
          <w:w w:val="105"/>
          <w:sz w:val="23"/>
        </w:rPr>
        <w:t>reasonable </w:t>
      </w:r>
      <w:r>
        <w:rPr>
          <w:rFonts w:ascii="Times New Roman"/>
          <w:color w:val="3D3D3D"/>
          <w:w w:val="105"/>
          <w:sz w:val="23"/>
        </w:rPr>
        <w:t>g</w:t>
      </w:r>
      <w:r>
        <w:rPr>
          <w:rFonts w:ascii="Times New Roman"/>
          <w:color w:val="151515"/>
          <w:w w:val="105"/>
          <w:sz w:val="23"/>
        </w:rPr>
        <w:t>uarantee</w:t>
      </w:r>
      <w:r>
        <w:rPr>
          <w:rFonts w:ascii="Times New Roman"/>
          <w:color w:val="151515"/>
          <w:spacing w:val="-1"/>
          <w:w w:val="105"/>
          <w:sz w:val="23"/>
        </w:rPr>
        <w:t> </w:t>
      </w:r>
      <w:r>
        <w:rPr>
          <w:rFonts w:ascii="Times New Roman"/>
          <w:color w:val="282828"/>
          <w:w w:val="105"/>
          <w:sz w:val="23"/>
        </w:rPr>
        <w:t>that</w:t>
      </w:r>
      <w:r>
        <w:rPr>
          <w:rFonts w:ascii="Times New Roman"/>
          <w:color w:val="282828"/>
          <w:spacing w:val="-6"/>
          <w:w w:val="105"/>
          <w:sz w:val="23"/>
        </w:rPr>
        <w:t> </w:t>
      </w:r>
      <w:r>
        <w:rPr>
          <w:rFonts w:ascii="Times New Roman"/>
          <w:color w:val="282828"/>
          <w:w w:val="105"/>
          <w:sz w:val="23"/>
        </w:rPr>
        <w:t>it</w:t>
      </w:r>
      <w:r>
        <w:rPr>
          <w:rFonts w:ascii="Times New Roman"/>
          <w:color w:val="545454"/>
          <w:w w:val="105"/>
          <w:sz w:val="23"/>
        </w:rPr>
        <w:t>,</w:t>
      </w:r>
      <w:r>
        <w:rPr>
          <w:rFonts w:ascii="Times New Roman"/>
          <w:color w:val="545454"/>
          <w:spacing w:val="-15"/>
          <w:w w:val="105"/>
          <w:sz w:val="23"/>
        </w:rPr>
        <w:t> </w:t>
      </w:r>
      <w:r>
        <w:rPr>
          <w:rFonts w:ascii="Times New Roman"/>
          <w:color w:val="282828"/>
          <w:w w:val="105"/>
          <w:sz w:val="23"/>
        </w:rPr>
        <w:t>other recipients</w:t>
      </w:r>
      <w:r>
        <w:rPr>
          <w:rFonts w:ascii="Times New Roman"/>
          <w:color w:val="545454"/>
          <w:w w:val="105"/>
          <w:sz w:val="23"/>
        </w:rPr>
        <w:t>,</w:t>
      </w:r>
      <w:r>
        <w:rPr>
          <w:rFonts w:ascii="Times New Roman"/>
          <w:color w:val="545454"/>
          <w:spacing w:val="-10"/>
          <w:w w:val="105"/>
          <w:sz w:val="23"/>
        </w:rPr>
        <w:t> </w:t>
      </w:r>
      <w:r>
        <w:rPr>
          <w:rFonts w:ascii="Times New Roman"/>
          <w:color w:val="3D3D3D"/>
          <w:w w:val="105"/>
          <w:sz w:val="23"/>
        </w:rPr>
        <w:t>sub-</w:t>
      </w:r>
      <w:r>
        <w:rPr>
          <w:rFonts w:ascii="Times New Roman"/>
          <w:color w:val="151515"/>
          <w:w w:val="105"/>
          <w:sz w:val="23"/>
        </w:rPr>
        <w:t>r</w:t>
      </w:r>
      <w:r>
        <w:rPr>
          <w:rFonts w:ascii="Times New Roman"/>
          <w:color w:val="3D3D3D"/>
          <w:w w:val="105"/>
          <w:sz w:val="23"/>
        </w:rPr>
        <w:t>ecipients,</w:t>
      </w:r>
      <w:r>
        <w:rPr>
          <w:rFonts w:ascii="Times New Roman"/>
          <w:color w:val="3D3D3D"/>
          <w:spacing w:val="-10"/>
          <w:w w:val="105"/>
          <w:sz w:val="23"/>
        </w:rPr>
        <w:t> </w:t>
      </w:r>
      <w:r>
        <w:rPr>
          <w:rFonts w:ascii="Times New Roman"/>
          <w:color w:val="282828"/>
          <w:w w:val="105"/>
          <w:sz w:val="23"/>
        </w:rPr>
        <w:t>sub-grantees,</w:t>
      </w:r>
      <w:r>
        <w:rPr>
          <w:rFonts w:ascii="Times New Roman"/>
          <w:color w:val="282828"/>
          <w:spacing w:val="20"/>
          <w:w w:val="105"/>
          <w:sz w:val="23"/>
        </w:rPr>
        <w:t> </w:t>
      </w:r>
      <w:r>
        <w:rPr>
          <w:rFonts w:ascii="Times New Roman"/>
          <w:color w:val="3D3D3D"/>
          <w:w w:val="105"/>
          <w:sz w:val="23"/>
        </w:rPr>
        <w:t>contractors, su</w:t>
      </w:r>
      <w:r>
        <w:rPr>
          <w:rFonts w:ascii="Times New Roman"/>
          <w:color w:val="151515"/>
          <w:w w:val="105"/>
          <w:sz w:val="23"/>
        </w:rPr>
        <w:t>bcontra</w:t>
      </w:r>
      <w:r>
        <w:rPr>
          <w:rFonts w:ascii="Times New Roman"/>
          <w:color w:val="3D3D3D"/>
          <w:w w:val="105"/>
          <w:sz w:val="23"/>
        </w:rPr>
        <w:t>ctors,</w:t>
      </w:r>
      <w:r>
        <w:rPr>
          <w:rFonts w:ascii="Times New Roman"/>
          <w:color w:val="3D3D3D"/>
          <w:spacing w:val="-16"/>
          <w:w w:val="105"/>
          <w:sz w:val="23"/>
        </w:rPr>
        <w:t> </w:t>
      </w:r>
      <w:r>
        <w:rPr>
          <w:rFonts w:ascii="Times New Roman"/>
          <w:color w:val="3D3D3D"/>
          <w:w w:val="105"/>
          <w:sz w:val="23"/>
        </w:rPr>
        <w:t>co</w:t>
      </w:r>
      <w:r>
        <w:rPr>
          <w:rFonts w:ascii="Times New Roman"/>
          <w:color w:val="151515"/>
          <w:w w:val="105"/>
          <w:sz w:val="23"/>
        </w:rPr>
        <w:t>n</w:t>
      </w:r>
      <w:r>
        <w:rPr>
          <w:rFonts w:ascii="Times New Roman"/>
          <w:color w:val="3D3D3D"/>
          <w:w w:val="105"/>
          <w:sz w:val="23"/>
        </w:rPr>
        <w:t>su</w:t>
      </w:r>
      <w:r>
        <w:rPr>
          <w:rFonts w:ascii="Times New Roman"/>
          <w:color w:val="151515"/>
          <w:w w:val="105"/>
          <w:sz w:val="23"/>
        </w:rPr>
        <w:t>ltant</w:t>
      </w:r>
      <w:r>
        <w:rPr>
          <w:rFonts w:ascii="Times New Roman"/>
          <w:color w:val="3D3D3D"/>
          <w:w w:val="105"/>
          <w:sz w:val="23"/>
        </w:rPr>
        <w:t>s,</w:t>
      </w:r>
      <w:r>
        <w:rPr>
          <w:rFonts w:ascii="Times New Roman"/>
          <w:color w:val="3D3D3D"/>
          <w:spacing w:val="-2"/>
          <w:w w:val="105"/>
          <w:sz w:val="23"/>
        </w:rPr>
        <w:t> </w:t>
      </w:r>
      <w:r>
        <w:rPr>
          <w:rFonts w:ascii="Times New Roman"/>
          <w:color w:val="282828"/>
          <w:w w:val="105"/>
          <w:sz w:val="23"/>
        </w:rPr>
        <w:t>transferees,</w:t>
      </w:r>
      <w:r>
        <w:rPr>
          <w:rFonts w:ascii="Times New Roman"/>
          <w:color w:val="282828"/>
          <w:spacing w:val="-1"/>
          <w:w w:val="105"/>
          <w:sz w:val="23"/>
        </w:rPr>
        <w:t> </w:t>
      </w:r>
      <w:r>
        <w:rPr>
          <w:rFonts w:ascii="Times New Roman"/>
          <w:color w:val="3D3D3D"/>
          <w:w w:val="105"/>
          <w:sz w:val="23"/>
        </w:rPr>
        <w:t>successors </w:t>
      </w:r>
      <w:r>
        <w:rPr>
          <w:rFonts w:ascii="Times New Roman"/>
          <w:color w:val="282828"/>
          <w:w w:val="105"/>
          <w:sz w:val="23"/>
        </w:rPr>
        <w:t>in interest</w:t>
      </w:r>
      <w:r>
        <w:rPr>
          <w:rFonts w:ascii="Times New Roman"/>
          <w:color w:val="6B6B6B"/>
          <w:w w:val="105"/>
          <w:sz w:val="23"/>
        </w:rPr>
        <w:t>,</w:t>
      </w:r>
      <w:r>
        <w:rPr>
          <w:rFonts w:ascii="Times New Roman"/>
          <w:color w:val="6B6B6B"/>
          <w:spacing w:val="-9"/>
          <w:w w:val="105"/>
          <w:sz w:val="23"/>
        </w:rPr>
        <w:t> </w:t>
      </w:r>
      <w:r>
        <w:rPr>
          <w:rFonts w:ascii="Times New Roman"/>
          <w:color w:val="282828"/>
          <w:w w:val="105"/>
          <w:sz w:val="23"/>
        </w:rPr>
        <w:t>and other participants of</w:t>
      </w:r>
      <w:r>
        <w:rPr>
          <w:rFonts w:ascii="Times New Roman"/>
          <w:color w:val="282828"/>
          <w:spacing w:val="-4"/>
          <w:w w:val="105"/>
          <w:sz w:val="23"/>
        </w:rPr>
        <w:t> </w:t>
      </w:r>
      <w:r>
        <w:rPr>
          <w:rFonts w:ascii="Times New Roman"/>
          <w:color w:val="3D3D3D"/>
          <w:w w:val="105"/>
          <w:sz w:val="23"/>
        </w:rPr>
        <w:t>Federa</w:t>
      </w:r>
      <w:r>
        <w:rPr>
          <w:rFonts w:ascii="Times New Roman"/>
          <w:color w:val="151515"/>
          <w:w w:val="105"/>
          <w:sz w:val="23"/>
        </w:rPr>
        <w:t>l </w:t>
      </w:r>
      <w:r>
        <w:rPr>
          <w:rFonts w:ascii="Times New Roman"/>
          <w:color w:val="282828"/>
          <w:w w:val="105"/>
          <w:sz w:val="23"/>
        </w:rPr>
        <w:t>financial</w:t>
      </w:r>
      <w:r>
        <w:rPr>
          <w:rFonts w:ascii="Times New Roman"/>
          <w:color w:val="282828"/>
          <w:spacing w:val="-8"/>
          <w:w w:val="105"/>
          <w:sz w:val="23"/>
        </w:rPr>
        <w:t> </w:t>
      </w:r>
      <w:r>
        <w:rPr>
          <w:rFonts w:ascii="Times New Roman"/>
          <w:color w:val="282828"/>
          <w:w w:val="105"/>
          <w:sz w:val="23"/>
        </w:rPr>
        <w:t>assistance</w:t>
      </w:r>
      <w:r>
        <w:rPr>
          <w:rFonts w:ascii="Times New Roman"/>
          <w:color w:val="282828"/>
          <w:spacing w:val="-9"/>
          <w:w w:val="105"/>
          <w:sz w:val="23"/>
        </w:rPr>
        <w:t> </w:t>
      </w:r>
      <w:r>
        <w:rPr>
          <w:rFonts w:ascii="Times New Roman"/>
          <w:color w:val="282828"/>
          <w:w w:val="105"/>
          <w:sz w:val="23"/>
        </w:rPr>
        <w:t>under</w:t>
      </w:r>
      <w:r>
        <w:rPr>
          <w:rFonts w:ascii="Times New Roman"/>
          <w:color w:val="282828"/>
          <w:spacing w:val="-6"/>
          <w:w w:val="105"/>
          <w:sz w:val="23"/>
        </w:rPr>
        <w:t> </w:t>
      </w:r>
      <w:r>
        <w:rPr>
          <w:rFonts w:ascii="Times New Roman"/>
          <w:color w:val="3D3D3D"/>
          <w:w w:val="105"/>
          <w:sz w:val="23"/>
        </w:rPr>
        <w:t>suc</w:t>
      </w:r>
      <w:r>
        <w:rPr>
          <w:rFonts w:ascii="Times New Roman"/>
          <w:color w:val="151515"/>
          <w:w w:val="105"/>
          <w:sz w:val="23"/>
        </w:rPr>
        <w:t>h</w:t>
      </w:r>
      <w:r>
        <w:rPr>
          <w:rFonts w:ascii="Times New Roman"/>
          <w:color w:val="151515"/>
          <w:spacing w:val="-4"/>
          <w:w w:val="105"/>
          <w:sz w:val="23"/>
        </w:rPr>
        <w:t> </w:t>
      </w:r>
      <w:r>
        <w:rPr>
          <w:rFonts w:ascii="Times New Roman"/>
          <w:color w:val="282828"/>
          <w:w w:val="105"/>
          <w:sz w:val="23"/>
        </w:rPr>
        <w:t>program</w:t>
      </w:r>
      <w:r>
        <w:rPr>
          <w:rFonts w:ascii="Times New Roman"/>
          <w:color w:val="282828"/>
          <w:spacing w:val="-5"/>
          <w:w w:val="105"/>
          <w:sz w:val="23"/>
        </w:rPr>
        <w:t> </w:t>
      </w:r>
      <w:r>
        <w:rPr>
          <w:rFonts w:ascii="Times New Roman"/>
          <w:color w:val="282828"/>
          <w:w w:val="105"/>
          <w:sz w:val="23"/>
        </w:rPr>
        <w:t>will</w:t>
      </w:r>
      <w:r>
        <w:rPr>
          <w:rFonts w:ascii="Times New Roman"/>
          <w:color w:val="282828"/>
          <w:spacing w:val="-16"/>
          <w:w w:val="105"/>
          <w:sz w:val="23"/>
        </w:rPr>
        <w:t> </w:t>
      </w:r>
      <w:r>
        <w:rPr>
          <w:rFonts w:ascii="Times New Roman"/>
          <w:color w:val="3D3D3D"/>
          <w:w w:val="105"/>
          <w:sz w:val="23"/>
        </w:rPr>
        <w:t>comp</w:t>
      </w:r>
      <w:r>
        <w:rPr>
          <w:rFonts w:ascii="Times New Roman"/>
          <w:color w:val="151515"/>
          <w:w w:val="105"/>
          <w:sz w:val="23"/>
        </w:rPr>
        <w:t>l</w:t>
      </w:r>
      <w:r>
        <w:rPr>
          <w:rFonts w:ascii="Times New Roman"/>
          <w:color w:val="3D3D3D"/>
          <w:w w:val="105"/>
          <w:sz w:val="23"/>
        </w:rPr>
        <w:t>y</w:t>
      </w:r>
      <w:r>
        <w:rPr>
          <w:rFonts w:ascii="Times New Roman"/>
          <w:color w:val="3D3D3D"/>
          <w:spacing w:val="-6"/>
          <w:w w:val="105"/>
          <w:sz w:val="23"/>
        </w:rPr>
        <w:t> </w:t>
      </w:r>
      <w:r>
        <w:rPr>
          <w:rFonts w:ascii="Times New Roman"/>
          <w:color w:val="282828"/>
          <w:w w:val="105"/>
          <w:sz w:val="23"/>
        </w:rPr>
        <w:t>with</w:t>
      </w:r>
      <w:r>
        <w:rPr>
          <w:rFonts w:ascii="Times New Roman"/>
          <w:color w:val="282828"/>
          <w:spacing w:val="-15"/>
          <w:w w:val="105"/>
          <w:sz w:val="23"/>
        </w:rPr>
        <w:t> </w:t>
      </w:r>
      <w:r>
        <w:rPr>
          <w:rFonts w:ascii="Times New Roman"/>
          <w:color w:val="282828"/>
          <w:w w:val="105"/>
          <w:sz w:val="23"/>
        </w:rPr>
        <w:t>all</w:t>
      </w:r>
      <w:r>
        <w:rPr>
          <w:rFonts w:ascii="Times New Roman"/>
          <w:color w:val="282828"/>
          <w:spacing w:val="-9"/>
          <w:w w:val="105"/>
          <w:sz w:val="23"/>
        </w:rPr>
        <w:t> </w:t>
      </w:r>
      <w:r>
        <w:rPr>
          <w:rFonts w:ascii="Times New Roman"/>
          <w:color w:val="282828"/>
          <w:w w:val="105"/>
          <w:sz w:val="23"/>
        </w:rPr>
        <w:t>requirements</w:t>
      </w:r>
      <w:r>
        <w:rPr>
          <w:rFonts w:ascii="Times New Roman"/>
          <w:color w:val="282828"/>
          <w:spacing w:val="-10"/>
          <w:w w:val="105"/>
          <w:sz w:val="23"/>
        </w:rPr>
        <w:t> </w:t>
      </w:r>
      <w:r>
        <w:rPr>
          <w:rFonts w:ascii="Times New Roman"/>
          <w:color w:val="282828"/>
          <w:w w:val="105"/>
          <w:sz w:val="23"/>
        </w:rPr>
        <w:t>imposed or</w:t>
      </w:r>
      <w:r>
        <w:rPr>
          <w:rFonts w:ascii="Times New Roman"/>
          <w:color w:val="282828"/>
          <w:spacing w:val="-15"/>
          <w:w w:val="105"/>
          <w:sz w:val="23"/>
        </w:rPr>
        <w:t> </w:t>
      </w:r>
      <w:r>
        <w:rPr>
          <w:rFonts w:ascii="Times New Roman"/>
          <w:color w:val="282828"/>
          <w:w w:val="105"/>
          <w:sz w:val="23"/>
        </w:rPr>
        <w:t>pursuant</w:t>
      </w:r>
      <w:r>
        <w:rPr>
          <w:rFonts w:ascii="Times New Roman"/>
          <w:color w:val="282828"/>
          <w:spacing w:val="79"/>
          <w:w w:val="105"/>
          <w:sz w:val="23"/>
        </w:rPr>
        <w:t> </w:t>
      </w:r>
      <w:r>
        <w:rPr>
          <w:rFonts w:ascii="Times New Roman"/>
          <w:color w:val="3D3D3D"/>
          <w:w w:val="105"/>
          <w:sz w:val="23"/>
        </w:rPr>
        <w:t>to </w:t>
      </w:r>
      <w:r>
        <w:rPr>
          <w:rFonts w:ascii="Times New Roman"/>
          <w:color w:val="282828"/>
          <w:w w:val="105"/>
          <w:sz w:val="23"/>
        </w:rPr>
        <w:t>the Acts, the Regulations</w:t>
      </w:r>
      <w:r>
        <w:rPr>
          <w:rFonts w:ascii="Times New Roman"/>
          <w:color w:val="545454"/>
          <w:w w:val="105"/>
          <w:sz w:val="23"/>
        </w:rPr>
        <w:t>, </w:t>
      </w:r>
      <w:r>
        <w:rPr>
          <w:rFonts w:ascii="Times New Roman"/>
          <w:color w:val="282828"/>
          <w:w w:val="105"/>
          <w:sz w:val="23"/>
        </w:rPr>
        <w:t>and this Assurance.</w:t>
      </w:r>
    </w:p>
    <w:p>
      <w:pPr>
        <w:pStyle w:val="BodyText"/>
        <w:spacing w:before="6"/>
        <w:rPr>
          <w:rFonts w:ascii="Times New Roman"/>
          <w:sz w:val="22"/>
        </w:rPr>
      </w:pPr>
    </w:p>
    <w:p>
      <w:pPr>
        <w:pStyle w:val="ListParagraph"/>
        <w:numPr>
          <w:ilvl w:val="0"/>
          <w:numId w:val="30"/>
        </w:numPr>
        <w:tabs>
          <w:tab w:pos="1021" w:val="left" w:leader="none"/>
          <w:tab w:pos="1035" w:val="left" w:leader="none"/>
        </w:tabs>
        <w:spacing w:line="261" w:lineRule="auto" w:before="0" w:after="0"/>
        <w:ind w:left="1035" w:right="814" w:hanging="364"/>
        <w:jc w:val="left"/>
        <w:rPr>
          <w:rFonts w:ascii="Times New Roman"/>
          <w:color w:val="282828"/>
          <w:sz w:val="23"/>
        </w:rPr>
      </w:pPr>
      <w:r>
        <w:rPr>
          <w:rFonts w:ascii="Times New Roman"/>
          <w:color w:val="282828"/>
          <w:w w:val="105"/>
          <w:sz w:val="23"/>
        </w:rPr>
        <w:t>The</w:t>
      </w:r>
      <w:r>
        <w:rPr>
          <w:rFonts w:ascii="Times New Roman"/>
          <w:color w:val="282828"/>
          <w:spacing w:val="-16"/>
          <w:w w:val="105"/>
          <w:sz w:val="23"/>
        </w:rPr>
        <w:t> </w:t>
      </w:r>
      <w:r>
        <w:rPr>
          <w:rFonts w:ascii="Times New Roman"/>
          <w:color w:val="282828"/>
          <w:w w:val="105"/>
          <w:sz w:val="23"/>
        </w:rPr>
        <w:t>Recipient</w:t>
      </w:r>
      <w:r>
        <w:rPr>
          <w:rFonts w:ascii="Times New Roman"/>
          <w:color w:val="282828"/>
          <w:spacing w:val="-15"/>
          <w:w w:val="105"/>
          <w:sz w:val="23"/>
        </w:rPr>
        <w:t> </w:t>
      </w:r>
      <w:r>
        <w:rPr>
          <w:rFonts w:ascii="Times New Roman"/>
          <w:color w:val="282828"/>
          <w:w w:val="105"/>
          <w:sz w:val="23"/>
        </w:rPr>
        <w:t>agrees</w:t>
      </w:r>
      <w:r>
        <w:rPr>
          <w:rFonts w:ascii="Times New Roman"/>
          <w:color w:val="282828"/>
          <w:spacing w:val="-13"/>
          <w:w w:val="105"/>
          <w:sz w:val="23"/>
        </w:rPr>
        <w:t> </w:t>
      </w:r>
      <w:r>
        <w:rPr>
          <w:rFonts w:ascii="Times New Roman"/>
          <w:color w:val="282828"/>
          <w:w w:val="105"/>
          <w:sz w:val="23"/>
        </w:rPr>
        <w:t>that</w:t>
      </w:r>
      <w:r>
        <w:rPr>
          <w:rFonts w:ascii="Times New Roman"/>
          <w:color w:val="282828"/>
          <w:spacing w:val="-16"/>
          <w:w w:val="105"/>
          <w:sz w:val="23"/>
        </w:rPr>
        <w:t> </w:t>
      </w:r>
      <w:r>
        <w:rPr>
          <w:rFonts w:ascii="Times New Roman"/>
          <w:color w:val="282828"/>
          <w:w w:val="105"/>
          <w:sz w:val="23"/>
        </w:rPr>
        <w:t>the</w:t>
      </w:r>
      <w:r>
        <w:rPr>
          <w:rFonts w:ascii="Times New Roman"/>
          <w:color w:val="282828"/>
          <w:spacing w:val="-15"/>
          <w:w w:val="105"/>
          <w:sz w:val="23"/>
        </w:rPr>
        <w:t> </w:t>
      </w:r>
      <w:r>
        <w:rPr>
          <w:rFonts w:ascii="Times New Roman"/>
          <w:color w:val="282828"/>
          <w:w w:val="105"/>
          <w:sz w:val="23"/>
        </w:rPr>
        <w:t>United</w:t>
      </w:r>
      <w:r>
        <w:rPr>
          <w:rFonts w:ascii="Times New Roman"/>
          <w:color w:val="282828"/>
          <w:spacing w:val="-1"/>
          <w:w w:val="105"/>
          <w:sz w:val="23"/>
        </w:rPr>
        <w:t> </w:t>
      </w:r>
      <w:r>
        <w:rPr>
          <w:rFonts w:ascii="Times New Roman"/>
          <w:color w:val="3D3D3D"/>
          <w:w w:val="105"/>
          <w:sz w:val="23"/>
        </w:rPr>
        <w:t>States</w:t>
      </w:r>
      <w:r>
        <w:rPr>
          <w:rFonts w:ascii="Times New Roman"/>
          <w:color w:val="3D3D3D"/>
          <w:spacing w:val="-10"/>
          <w:w w:val="105"/>
          <w:sz w:val="23"/>
        </w:rPr>
        <w:t> </w:t>
      </w:r>
      <w:r>
        <w:rPr>
          <w:rFonts w:ascii="Times New Roman"/>
          <w:color w:val="282828"/>
          <w:w w:val="105"/>
          <w:sz w:val="23"/>
        </w:rPr>
        <w:t>has</w:t>
      </w:r>
      <w:r>
        <w:rPr>
          <w:rFonts w:ascii="Times New Roman"/>
          <w:color w:val="282828"/>
          <w:spacing w:val="-16"/>
          <w:w w:val="105"/>
          <w:sz w:val="23"/>
        </w:rPr>
        <w:t> </w:t>
      </w:r>
      <w:r>
        <w:rPr>
          <w:rFonts w:ascii="Times New Roman"/>
          <w:color w:val="282828"/>
          <w:w w:val="105"/>
          <w:sz w:val="23"/>
        </w:rPr>
        <w:t>a</w:t>
      </w:r>
      <w:r>
        <w:rPr>
          <w:rFonts w:ascii="Times New Roman"/>
          <w:color w:val="282828"/>
          <w:spacing w:val="-4"/>
          <w:w w:val="105"/>
          <w:sz w:val="23"/>
        </w:rPr>
        <w:t> </w:t>
      </w:r>
      <w:r>
        <w:rPr>
          <w:rFonts w:ascii="Times New Roman"/>
          <w:color w:val="282828"/>
          <w:w w:val="105"/>
          <w:sz w:val="23"/>
        </w:rPr>
        <w:t>right</w:t>
      </w:r>
      <w:r>
        <w:rPr>
          <w:rFonts w:ascii="Times New Roman"/>
          <w:color w:val="282828"/>
          <w:spacing w:val="-16"/>
          <w:w w:val="105"/>
          <w:sz w:val="23"/>
        </w:rPr>
        <w:t> </w:t>
      </w:r>
      <w:r>
        <w:rPr>
          <w:rFonts w:ascii="Times New Roman"/>
          <w:color w:val="282828"/>
          <w:w w:val="105"/>
          <w:sz w:val="23"/>
        </w:rPr>
        <w:t>to</w:t>
      </w:r>
      <w:r>
        <w:rPr>
          <w:rFonts w:ascii="Times New Roman"/>
          <w:color w:val="282828"/>
          <w:spacing w:val="-9"/>
          <w:w w:val="105"/>
          <w:sz w:val="23"/>
        </w:rPr>
        <w:t> </w:t>
      </w:r>
      <w:r>
        <w:rPr>
          <w:rFonts w:ascii="Times New Roman"/>
          <w:color w:val="3D3D3D"/>
          <w:w w:val="105"/>
          <w:sz w:val="23"/>
        </w:rPr>
        <w:t>seek</w:t>
      </w:r>
      <w:r>
        <w:rPr>
          <w:rFonts w:ascii="Times New Roman"/>
          <w:color w:val="3D3D3D"/>
          <w:spacing w:val="-15"/>
          <w:w w:val="105"/>
          <w:sz w:val="23"/>
        </w:rPr>
        <w:t> </w:t>
      </w:r>
      <w:r>
        <w:rPr>
          <w:rFonts w:ascii="Times New Roman"/>
          <w:color w:val="282828"/>
          <w:w w:val="105"/>
          <w:sz w:val="23"/>
        </w:rPr>
        <w:t>judicial </w:t>
      </w:r>
      <w:r>
        <w:rPr>
          <w:rFonts w:ascii="Times New Roman"/>
          <w:color w:val="3D3D3D"/>
          <w:w w:val="105"/>
          <w:sz w:val="23"/>
        </w:rPr>
        <w:t>e</w:t>
      </w:r>
      <w:r>
        <w:rPr>
          <w:rFonts w:ascii="Times New Roman"/>
          <w:color w:val="151515"/>
          <w:w w:val="105"/>
          <w:sz w:val="23"/>
        </w:rPr>
        <w:t>nfor</w:t>
      </w:r>
      <w:r>
        <w:rPr>
          <w:rFonts w:ascii="Times New Roman"/>
          <w:color w:val="3D3D3D"/>
          <w:w w:val="105"/>
          <w:sz w:val="23"/>
        </w:rPr>
        <w:t>cement</w:t>
      </w:r>
      <w:r>
        <w:rPr>
          <w:rFonts w:ascii="Times New Roman"/>
          <w:color w:val="3D3D3D"/>
          <w:spacing w:val="-10"/>
          <w:w w:val="105"/>
          <w:sz w:val="23"/>
        </w:rPr>
        <w:t> </w:t>
      </w:r>
      <w:r>
        <w:rPr>
          <w:rFonts w:ascii="Times New Roman"/>
          <w:color w:val="282828"/>
          <w:w w:val="105"/>
          <w:sz w:val="23"/>
        </w:rPr>
        <w:t>regarding</w:t>
      </w:r>
      <w:r>
        <w:rPr>
          <w:rFonts w:ascii="Times New Roman"/>
          <w:color w:val="282828"/>
          <w:spacing w:val="-5"/>
          <w:w w:val="105"/>
          <w:sz w:val="23"/>
        </w:rPr>
        <w:t> </w:t>
      </w:r>
      <w:r>
        <w:rPr>
          <w:rFonts w:ascii="Times New Roman"/>
          <w:color w:val="282828"/>
          <w:w w:val="105"/>
          <w:sz w:val="23"/>
        </w:rPr>
        <w:t>any matter arising under the</w:t>
      </w:r>
      <w:r>
        <w:rPr>
          <w:rFonts w:ascii="Times New Roman"/>
          <w:color w:val="282828"/>
          <w:spacing w:val="-8"/>
          <w:w w:val="105"/>
          <w:sz w:val="23"/>
        </w:rPr>
        <w:t> </w:t>
      </w:r>
      <w:r>
        <w:rPr>
          <w:rFonts w:ascii="Times New Roman"/>
          <w:color w:val="282828"/>
          <w:w w:val="105"/>
          <w:sz w:val="23"/>
        </w:rPr>
        <w:t>Acts, the</w:t>
      </w:r>
      <w:r>
        <w:rPr>
          <w:rFonts w:ascii="Times New Roman"/>
          <w:color w:val="282828"/>
          <w:spacing w:val="-10"/>
          <w:w w:val="105"/>
          <w:sz w:val="23"/>
        </w:rPr>
        <w:t> </w:t>
      </w:r>
      <w:r>
        <w:rPr>
          <w:rFonts w:ascii="Times New Roman"/>
          <w:color w:val="282828"/>
          <w:w w:val="105"/>
          <w:sz w:val="23"/>
        </w:rPr>
        <w:t>Regulations, and </w:t>
      </w:r>
      <w:r>
        <w:rPr>
          <w:rFonts w:ascii="Times New Roman"/>
          <w:color w:val="3D3D3D"/>
          <w:w w:val="105"/>
          <w:sz w:val="23"/>
        </w:rPr>
        <w:t>t</w:t>
      </w:r>
      <w:r>
        <w:rPr>
          <w:rFonts w:ascii="Times New Roman"/>
          <w:color w:val="151515"/>
          <w:w w:val="105"/>
          <w:sz w:val="23"/>
        </w:rPr>
        <w:t>his </w:t>
      </w:r>
      <w:r>
        <w:rPr>
          <w:rFonts w:ascii="Times New Roman"/>
          <w:color w:val="282828"/>
          <w:w w:val="105"/>
          <w:sz w:val="23"/>
        </w:rPr>
        <w:t>Assurance.</w:t>
      </w:r>
    </w:p>
    <w:p>
      <w:pPr>
        <w:pStyle w:val="BodyText"/>
        <w:rPr>
          <w:rFonts w:ascii="Times New Roman"/>
          <w:sz w:val="22"/>
        </w:rPr>
      </w:pPr>
    </w:p>
    <w:p>
      <w:pPr>
        <w:spacing w:line="252" w:lineRule="auto" w:before="1"/>
        <w:ind w:left="315" w:right="583" w:firstLine="4"/>
        <w:jc w:val="left"/>
        <w:rPr>
          <w:rFonts w:ascii="Times New Roman"/>
          <w:sz w:val="23"/>
        </w:rPr>
      </w:pPr>
      <w:r>
        <w:rPr>
          <w:rFonts w:ascii="Times New Roman"/>
          <w:color w:val="282828"/>
          <w:w w:val="105"/>
          <w:sz w:val="23"/>
        </w:rPr>
        <w:t>By</w:t>
      </w:r>
      <w:r>
        <w:rPr>
          <w:rFonts w:ascii="Times New Roman"/>
          <w:color w:val="282828"/>
          <w:spacing w:val="-16"/>
          <w:w w:val="105"/>
          <w:sz w:val="23"/>
        </w:rPr>
        <w:t> </w:t>
      </w:r>
      <w:r>
        <w:rPr>
          <w:rFonts w:ascii="Times New Roman"/>
          <w:color w:val="3D3D3D"/>
          <w:w w:val="105"/>
          <w:sz w:val="23"/>
        </w:rPr>
        <w:t>sig</w:t>
      </w:r>
      <w:r>
        <w:rPr>
          <w:rFonts w:ascii="Times New Roman"/>
          <w:color w:val="151515"/>
          <w:w w:val="105"/>
          <w:sz w:val="23"/>
        </w:rPr>
        <w:t>ning</w:t>
      </w:r>
      <w:r>
        <w:rPr>
          <w:rFonts w:ascii="Times New Roman"/>
          <w:color w:val="151515"/>
          <w:spacing w:val="-13"/>
          <w:w w:val="105"/>
          <w:sz w:val="23"/>
        </w:rPr>
        <w:t> </w:t>
      </w:r>
      <w:r>
        <w:rPr>
          <w:rFonts w:ascii="Times New Roman"/>
          <w:color w:val="282828"/>
          <w:w w:val="105"/>
          <w:sz w:val="23"/>
        </w:rPr>
        <w:t>this</w:t>
      </w:r>
      <w:r>
        <w:rPr>
          <w:rFonts w:ascii="Times New Roman"/>
          <w:color w:val="282828"/>
          <w:spacing w:val="-15"/>
          <w:w w:val="105"/>
          <w:sz w:val="23"/>
        </w:rPr>
        <w:t> </w:t>
      </w:r>
      <w:r>
        <w:rPr>
          <w:rFonts w:ascii="Times New Roman"/>
          <w:color w:val="282828"/>
          <w:w w:val="105"/>
          <w:sz w:val="23"/>
        </w:rPr>
        <w:t>ASSURANCE,</w:t>
      </w:r>
      <w:r>
        <w:rPr>
          <w:rFonts w:ascii="Times New Roman"/>
          <w:color w:val="282828"/>
          <w:spacing w:val="-5"/>
          <w:w w:val="105"/>
          <w:sz w:val="23"/>
        </w:rPr>
        <w:t> </w:t>
      </w:r>
      <w:r>
        <w:rPr>
          <w:rFonts w:ascii="Times New Roman"/>
          <w:color w:val="282828"/>
          <w:w w:val="105"/>
          <w:sz w:val="23"/>
        </w:rPr>
        <w:t>the</w:t>
      </w:r>
      <w:r>
        <w:rPr>
          <w:rFonts w:ascii="Times New Roman"/>
          <w:color w:val="282828"/>
          <w:spacing w:val="-12"/>
          <w:w w:val="105"/>
          <w:sz w:val="23"/>
        </w:rPr>
        <w:t> </w:t>
      </w:r>
      <w:r>
        <w:rPr>
          <w:rFonts w:ascii="Times New Roman"/>
          <w:b/>
          <w:i/>
          <w:color w:val="282828"/>
          <w:w w:val="105"/>
          <w:sz w:val="23"/>
        </w:rPr>
        <w:t>M{line</w:t>
      </w:r>
      <w:r>
        <w:rPr>
          <w:rFonts w:ascii="Times New Roman"/>
          <w:b/>
          <w:i/>
          <w:color w:val="282828"/>
          <w:spacing w:val="-1"/>
          <w:w w:val="105"/>
          <w:sz w:val="23"/>
        </w:rPr>
        <w:t> </w:t>
      </w:r>
      <w:r>
        <w:rPr>
          <w:rFonts w:ascii="Times New Roman"/>
          <w:b/>
          <w:i/>
          <w:color w:val="282828"/>
          <w:w w:val="105"/>
          <w:sz w:val="23"/>
        </w:rPr>
        <w:t>Dep{lrfment of</w:t>
      </w:r>
      <w:r>
        <w:rPr>
          <w:rFonts w:ascii="Times New Roman"/>
          <w:b/>
          <w:i/>
          <w:color w:val="282828"/>
          <w:spacing w:val="-4"/>
          <w:w w:val="105"/>
          <w:sz w:val="23"/>
        </w:rPr>
        <w:t> </w:t>
      </w:r>
      <w:r>
        <w:rPr>
          <w:rFonts w:ascii="Times New Roman"/>
          <w:b/>
          <w:i/>
          <w:color w:val="282828"/>
          <w:w w:val="105"/>
          <w:sz w:val="23"/>
        </w:rPr>
        <w:t>Tr{lnsporf{lfion</w:t>
      </w:r>
      <w:r>
        <w:rPr>
          <w:rFonts w:ascii="Times New Roman"/>
          <w:b/>
          <w:i/>
          <w:color w:val="282828"/>
          <w:spacing w:val="26"/>
          <w:w w:val="105"/>
          <w:sz w:val="23"/>
        </w:rPr>
        <w:t> </w:t>
      </w:r>
      <w:r>
        <w:rPr>
          <w:rFonts w:ascii="Times New Roman"/>
          <w:color w:val="282828"/>
          <w:w w:val="105"/>
          <w:sz w:val="23"/>
        </w:rPr>
        <w:t>also</w:t>
      </w:r>
      <w:r>
        <w:rPr>
          <w:rFonts w:ascii="Times New Roman"/>
          <w:color w:val="282828"/>
          <w:spacing w:val="-16"/>
          <w:w w:val="105"/>
          <w:sz w:val="23"/>
        </w:rPr>
        <w:t> </w:t>
      </w:r>
      <w:r>
        <w:rPr>
          <w:rFonts w:ascii="Times New Roman"/>
          <w:color w:val="3D3D3D"/>
          <w:w w:val="105"/>
          <w:sz w:val="23"/>
        </w:rPr>
        <w:t>ag</w:t>
      </w:r>
      <w:r>
        <w:rPr>
          <w:rFonts w:ascii="Times New Roman"/>
          <w:color w:val="151515"/>
          <w:w w:val="105"/>
          <w:sz w:val="23"/>
        </w:rPr>
        <w:t>re</w:t>
      </w:r>
      <w:r>
        <w:rPr>
          <w:rFonts w:ascii="Times New Roman"/>
          <w:color w:val="3D3D3D"/>
          <w:w w:val="105"/>
          <w:sz w:val="23"/>
        </w:rPr>
        <w:t>es</w:t>
      </w:r>
      <w:r>
        <w:rPr>
          <w:rFonts w:ascii="Times New Roman"/>
          <w:color w:val="3D3D3D"/>
          <w:spacing w:val="-7"/>
          <w:w w:val="105"/>
          <w:sz w:val="23"/>
        </w:rPr>
        <w:t> </w:t>
      </w:r>
      <w:r>
        <w:rPr>
          <w:rFonts w:ascii="Times New Roman"/>
          <w:color w:val="282828"/>
          <w:w w:val="105"/>
          <w:sz w:val="23"/>
        </w:rPr>
        <w:t>to</w:t>
      </w:r>
      <w:r>
        <w:rPr>
          <w:rFonts w:ascii="Times New Roman"/>
          <w:color w:val="282828"/>
          <w:spacing w:val="-16"/>
          <w:w w:val="105"/>
          <w:sz w:val="23"/>
        </w:rPr>
        <w:t> </w:t>
      </w:r>
      <w:r>
        <w:rPr>
          <w:rFonts w:ascii="Times New Roman"/>
          <w:color w:val="282828"/>
          <w:w w:val="105"/>
          <w:sz w:val="23"/>
        </w:rPr>
        <w:t>comply</w:t>
      </w:r>
      <w:r>
        <w:rPr>
          <w:rFonts w:ascii="Times New Roman"/>
          <w:color w:val="282828"/>
          <w:spacing w:val="-10"/>
          <w:w w:val="105"/>
          <w:sz w:val="23"/>
        </w:rPr>
        <w:t> </w:t>
      </w:r>
      <w:r>
        <w:rPr>
          <w:rFonts w:ascii="Times New Roman"/>
          <w:color w:val="282828"/>
          <w:w w:val="105"/>
          <w:sz w:val="23"/>
        </w:rPr>
        <w:t>(and require</w:t>
      </w:r>
      <w:r>
        <w:rPr>
          <w:rFonts w:ascii="Times New Roman"/>
          <w:color w:val="282828"/>
          <w:spacing w:val="-6"/>
          <w:w w:val="105"/>
          <w:sz w:val="23"/>
        </w:rPr>
        <w:t> </w:t>
      </w:r>
      <w:r>
        <w:rPr>
          <w:rFonts w:ascii="Times New Roman"/>
          <w:color w:val="282828"/>
          <w:w w:val="105"/>
          <w:sz w:val="23"/>
        </w:rPr>
        <w:t>any</w:t>
      </w:r>
      <w:r>
        <w:rPr>
          <w:rFonts w:ascii="Times New Roman"/>
          <w:color w:val="282828"/>
          <w:spacing w:val="-12"/>
          <w:w w:val="105"/>
          <w:sz w:val="23"/>
        </w:rPr>
        <w:t> </w:t>
      </w:r>
      <w:r>
        <w:rPr>
          <w:rFonts w:ascii="Times New Roman"/>
          <w:color w:val="282828"/>
          <w:w w:val="105"/>
          <w:sz w:val="23"/>
        </w:rPr>
        <w:t>sub-recipients,</w:t>
      </w:r>
      <w:r>
        <w:rPr>
          <w:rFonts w:ascii="Times New Roman"/>
          <w:color w:val="282828"/>
          <w:spacing w:val="40"/>
          <w:w w:val="105"/>
          <w:sz w:val="23"/>
        </w:rPr>
        <w:t> </w:t>
      </w:r>
      <w:r>
        <w:rPr>
          <w:rFonts w:ascii="Times New Roman"/>
          <w:color w:val="282828"/>
          <w:w w:val="105"/>
          <w:sz w:val="23"/>
        </w:rPr>
        <w:t>sub-grantees, contractors,</w:t>
      </w:r>
      <w:r>
        <w:rPr>
          <w:rFonts w:ascii="Times New Roman"/>
          <w:color w:val="282828"/>
          <w:spacing w:val="-1"/>
          <w:w w:val="105"/>
          <w:sz w:val="23"/>
        </w:rPr>
        <w:t> </w:t>
      </w:r>
      <w:r>
        <w:rPr>
          <w:rFonts w:ascii="Times New Roman"/>
          <w:color w:val="3D3D3D"/>
          <w:w w:val="105"/>
          <w:sz w:val="23"/>
        </w:rPr>
        <w:t>s</w:t>
      </w:r>
      <w:r>
        <w:rPr>
          <w:rFonts w:ascii="Times New Roman"/>
          <w:color w:val="151515"/>
          <w:w w:val="105"/>
          <w:sz w:val="23"/>
        </w:rPr>
        <w:t>ucc</w:t>
      </w:r>
      <w:r>
        <w:rPr>
          <w:rFonts w:ascii="Times New Roman"/>
          <w:color w:val="3D3D3D"/>
          <w:w w:val="105"/>
          <w:sz w:val="23"/>
        </w:rPr>
        <w:t>essors,</w:t>
      </w:r>
      <w:r>
        <w:rPr>
          <w:rFonts w:ascii="Times New Roman"/>
          <w:color w:val="3D3D3D"/>
          <w:spacing w:val="-18"/>
          <w:w w:val="105"/>
          <w:sz w:val="23"/>
        </w:rPr>
        <w:t> </w:t>
      </w:r>
      <w:r>
        <w:rPr>
          <w:rFonts w:ascii="Times New Roman"/>
          <w:color w:val="151515"/>
          <w:w w:val="105"/>
          <w:sz w:val="23"/>
        </w:rPr>
        <w:t>tran</w:t>
      </w:r>
      <w:r>
        <w:rPr>
          <w:rFonts w:ascii="Times New Roman"/>
          <w:color w:val="3D3D3D"/>
          <w:w w:val="105"/>
          <w:sz w:val="23"/>
        </w:rPr>
        <w:t>sferees,</w:t>
      </w:r>
      <w:r>
        <w:rPr>
          <w:rFonts w:ascii="Times New Roman"/>
          <w:color w:val="3D3D3D"/>
          <w:spacing w:val="-12"/>
          <w:w w:val="105"/>
          <w:sz w:val="23"/>
        </w:rPr>
        <w:t> </w:t>
      </w:r>
      <w:r>
        <w:rPr>
          <w:rFonts w:ascii="Times New Roman"/>
          <w:color w:val="282828"/>
          <w:w w:val="105"/>
          <w:sz w:val="23"/>
        </w:rPr>
        <w:t>and</w:t>
      </w:r>
      <w:r>
        <w:rPr>
          <w:rFonts w:ascii="Times New Roman"/>
          <w:color w:val="545454"/>
          <w:w w:val="105"/>
          <w:sz w:val="23"/>
        </w:rPr>
        <w:t>/</w:t>
      </w:r>
      <w:r>
        <w:rPr>
          <w:rFonts w:ascii="Times New Roman"/>
          <w:color w:val="282828"/>
          <w:w w:val="105"/>
          <w:sz w:val="23"/>
        </w:rPr>
        <w:t>or</w:t>
      </w:r>
      <w:r>
        <w:rPr>
          <w:rFonts w:ascii="Times New Roman"/>
          <w:color w:val="282828"/>
          <w:spacing w:val="-9"/>
          <w:w w:val="105"/>
          <w:sz w:val="23"/>
        </w:rPr>
        <w:t> </w:t>
      </w:r>
      <w:r>
        <w:rPr>
          <w:rFonts w:ascii="Times New Roman"/>
          <w:color w:val="282828"/>
          <w:w w:val="105"/>
          <w:sz w:val="23"/>
        </w:rPr>
        <w:t>assignees to</w:t>
      </w:r>
      <w:r>
        <w:rPr>
          <w:rFonts w:ascii="Times New Roman"/>
          <w:color w:val="282828"/>
          <w:spacing w:val="-12"/>
          <w:w w:val="105"/>
          <w:sz w:val="23"/>
        </w:rPr>
        <w:t> </w:t>
      </w:r>
      <w:r>
        <w:rPr>
          <w:rFonts w:ascii="Times New Roman"/>
          <w:color w:val="282828"/>
          <w:w w:val="105"/>
          <w:sz w:val="23"/>
        </w:rPr>
        <w:t>comply) with all</w:t>
      </w:r>
      <w:r>
        <w:rPr>
          <w:rFonts w:ascii="Times New Roman"/>
          <w:color w:val="282828"/>
          <w:spacing w:val="-5"/>
          <w:w w:val="105"/>
          <w:sz w:val="23"/>
        </w:rPr>
        <w:t> </w:t>
      </w:r>
      <w:r>
        <w:rPr>
          <w:rFonts w:ascii="Times New Roman"/>
          <w:color w:val="282828"/>
          <w:w w:val="105"/>
          <w:sz w:val="23"/>
        </w:rPr>
        <w:t>applicable</w:t>
      </w:r>
      <w:r>
        <w:rPr>
          <w:rFonts w:ascii="Times New Roman"/>
          <w:color w:val="282828"/>
          <w:spacing w:val="80"/>
          <w:w w:val="105"/>
          <w:sz w:val="23"/>
        </w:rPr>
        <w:t> </w:t>
      </w:r>
      <w:r>
        <w:rPr>
          <w:rFonts w:ascii="Times New Roman"/>
          <w:color w:val="282828"/>
          <w:w w:val="105"/>
          <w:sz w:val="23"/>
        </w:rPr>
        <w:t>provisions </w:t>
      </w:r>
      <w:r>
        <w:rPr>
          <w:rFonts w:ascii="Times New Roman"/>
          <w:color w:val="3D3D3D"/>
          <w:w w:val="105"/>
          <w:sz w:val="23"/>
        </w:rPr>
        <w:t>gove</w:t>
      </w:r>
      <w:r>
        <w:rPr>
          <w:rFonts w:ascii="Times New Roman"/>
          <w:color w:val="151515"/>
          <w:w w:val="105"/>
          <w:sz w:val="23"/>
        </w:rPr>
        <w:t>rning</w:t>
      </w:r>
      <w:r>
        <w:rPr>
          <w:rFonts w:ascii="Times New Roman"/>
          <w:color w:val="151515"/>
          <w:spacing w:val="-4"/>
          <w:w w:val="105"/>
          <w:sz w:val="23"/>
        </w:rPr>
        <w:t> </w:t>
      </w:r>
      <w:r>
        <w:rPr>
          <w:rFonts w:ascii="Times New Roman"/>
          <w:color w:val="282828"/>
          <w:w w:val="105"/>
          <w:sz w:val="23"/>
        </w:rPr>
        <w:t>the</w:t>
      </w:r>
      <w:r>
        <w:rPr>
          <w:rFonts w:ascii="Times New Roman"/>
          <w:color w:val="282828"/>
          <w:spacing w:val="-13"/>
          <w:w w:val="105"/>
          <w:sz w:val="23"/>
        </w:rPr>
        <w:t> </w:t>
      </w:r>
      <w:r>
        <w:rPr>
          <w:rFonts w:ascii="Times New Roman"/>
          <w:b/>
          <w:i/>
          <w:color w:val="282828"/>
          <w:w w:val="105"/>
          <w:sz w:val="23"/>
        </w:rPr>
        <w:t>FTA</w:t>
      </w:r>
      <w:r>
        <w:rPr>
          <w:rFonts w:ascii="Times New Roman"/>
          <w:b/>
          <w:i/>
          <w:color w:val="282828"/>
          <w:spacing w:val="-13"/>
          <w:w w:val="105"/>
          <w:sz w:val="23"/>
        </w:rPr>
        <w:t> </w:t>
      </w:r>
      <w:r>
        <w:rPr>
          <w:rFonts w:ascii="Times New Roman"/>
          <w:color w:val="3D3D3D"/>
          <w:w w:val="105"/>
          <w:sz w:val="23"/>
        </w:rPr>
        <w:t>an</w:t>
      </w:r>
      <w:r>
        <w:rPr>
          <w:rFonts w:ascii="Times New Roman"/>
          <w:color w:val="151515"/>
          <w:w w:val="105"/>
          <w:sz w:val="23"/>
        </w:rPr>
        <w:t>d</w:t>
      </w:r>
      <w:r>
        <w:rPr>
          <w:rFonts w:ascii="Times New Roman"/>
          <w:color w:val="151515"/>
          <w:spacing w:val="-1"/>
          <w:w w:val="105"/>
          <w:sz w:val="23"/>
        </w:rPr>
        <w:t> </w:t>
      </w:r>
      <w:r>
        <w:rPr>
          <w:rFonts w:ascii="Times New Roman"/>
          <w:b/>
          <w:i/>
          <w:color w:val="282828"/>
          <w:w w:val="105"/>
          <w:sz w:val="23"/>
        </w:rPr>
        <w:t>USDOT </w:t>
      </w:r>
      <w:r>
        <w:rPr>
          <w:rFonts w:ascii="Times New Roman"/>
          <w:color w:val="282828"/>
          <w:w w:val="105"/>
          <w:sz w:val="23"/>
        </w:rPr>
        <w:t>access</w:t>
      </w:r>
      <w:r>
        <w:rPr>
          <w:rFonts w:ascii="Times New Roman"/>
          <w:color w:val="282828"/>
          <w:spacing w:val="-13"/>
          <w:w w:val="105"/>
          <w:sz w:val="23"/>
        </w:rPr>
        <w:t> </w:t>
      </w:r>
      <w:r>
        <w:rPr>
          <w:rFonts w:ascii="Times New Roman"/>
          <w:color w:val="282828"/>
          <w:w w:val="105"/>
          <w:sz w:val="23"/>
        </w:rPr>
        <w:t>to records</w:t>
      </w:r>
      <w:r>
        <w:rPr>
          <w:rFonts w:ascii="Times New Roman"/>
          <w:color w:val="545454"/>
          <w:w w:val="105"/>
          <w:sz w:val="23"/>
        </w:rPr>
        <w:t>,</w:t>
      </w:r>
      <w:r>
        <w:rPr>
          <w:rFonts w:ascii="Times New Roman"/>
          <w:color w:val="545454"/>
          <w:spacing w:val="-4"/>
          <w:w w:val="105"/>
          <w:sz w:val="23"/>
        </w:rPr>
        <w:t> </w:t>
      </w:r>
      <w:r>
        <w:rPr>
          <w:rFonts w:ascii="Times New Roman"/>
          <w:color w:val="282828"/>
          <w:w w:val="105"/>
          <w:sz w:val="23"/>
        </w:rPr>
        <w:t>accounts, documents</w:t>
      </w:r>
      <w:r>
        <w:rPr>
          <w:rFonts w:ascii="Times New Roman"/>
          <w:color w:val="545454"/>
          <w:w w:val="105"/>
          <w:sz w:val="23"/>
        </w:rPr>
        <w:t>, </w:t>
      </w:r>
      <w:r>
        <w:rPr>
          <w:rFonts w:ascii="Times New Roman"/>
          <w:color w:val="151515"/>
          <w:w w:val="105"/>
          <w:sz w:val="23"/>
        </w:rPr>
        <w:t>information</w:t>
      </w:r>
      <w:r>
        <w:rPr>
          <w:rFonts w:ascii="Times New Roman"/>
          <w:color w:val="545454"/>
          <w:w w:val="105"/>
          <w:sz w:val="23"/>
        </w:rPr>
        <w:t>,</w:t>
      </w:r>
      <w:r>
        <w:rPr>
          <w:rFonts w:ascii="Times New Roman"/>
          <w:color w:val="545454"/>
          <w:spacing w:val="-11"/>
          <w:w w:val="105"/>
          <w:sz w:val="23"/>
        </w:rPr>
        <w:t> </w:t>
      </w:r>
      <w:r>
        <w:rPr>
          <w:rFonts w:ascii="Times New Roman"/>
          <w:color w:val="282828"/>
          <w:w w:val="105"/>
          <w:sz w:val="23"/>
        </w:rPr>
        <w:t>facilities, and</w:t>
      </w:r>
      <w:r>
        <w:rPr>
          <w:rFonts w:ascii="Times New Roman"/>
          <w:color w:val="282828"/>
          <w:spacing w:val="80"/>
          <w:w w:val="105"/>
          <w:sz w:val="23"/>
        </w:rPr>
        <w:t> </w:t>
      </w:r>
      <w:r>
        <w:rPr>
          <w:rFonts w:ascii="Times New Roman"/>
          <w:color w:val="282828"/>
          <w:w w:val="105"/>
          <w:sz w:val="23"/>
        </w:rPr>
        <w:t>staff. You also recognize</w:t>
      </w:r>
      <w:r>
        <w:rPr>
          <w:rFonts w:ascii="Times New Roman"/>
          <w:color w:val="282828"/>
          <w:spacing w:val="-1"/>
          <w:w w:val="105"/>
          <w:sz w:val="23"/>
        </w:rPr>
        <w:t> </w:t>
      </w:r>
      <w:r>
        <w:rPr>
          <w:rFonts w:ascii="Times New Roman"/>
          <w:color w:val="282828"/>
          <w:w w:val="105"/>
          <w:sz w:val="23"/>
        </w:rPr>
        <w:t>that </w:t>
      </w:r>
      <w:r>
        <w:rPr>
          <w:rFonts w:ascii="Times New Roman"/>
          <w:color w:val="3D3D3D"/>
          <w:w w:val="105"/>
          <w:sz w:val="23"/>
        </w:rPr>
        <w:t>you</w:t>
      </w:r>
      <w:r>
        <w:rPr>
          <w:rFonts w:ascii="Times New Roman"/>
          <w:color w:val="3D3D3D"/>
          <w:spacing w:val="-7"/>
          <w:w w:val="105"/>
          <w:sz w:val="23"/>
        </w:rPr>
        <w:t> </w:t>
      </w:r>
      <w:r>
        <w:rPr>
          <w:rFonts w:ascii="Times New Roman"/>
          <w:color w:val="151515"/>
          <w:w w:val="105"/>
          <w:sz w:val="23"/>
        </w:rPr>
        <w:t>mu</w:t>
      </w:r>
      <w:r>
        <w:rPr>
          <w:rFonts w:ascii="Times New Roman"/>
          <w:color w:val="3D3D3D"/>
          <w:w w:val="105"/>
          <w:sz w:val="23"/>
        </w:rPr>
        <w:t>st</w:t>
      </w:r>
      <w:r>
        <w:rPr>
          <w:rFonts w:ascii="Times New Roman"/>
          <w:color w:val="3D3D3D"/>
          <w:spacing w:val="-2"/>
          <w:w w:val="105"/>
          <w:sz w:val="23"/>
        </w:rPr>
        <w:t> </w:t>
      </w:r>
      <w:r>
        <w:rPr>
          <w:rFonts w:ascii="Times New Roman"/>
          <w:color w:val="282828"/>
          <w:w w:val="105"/>
          <w:sz w:val="23"/>
        </w:rPr>
        <w:t>comply with</w:t>
      </w:r>
      <w:r>
        <w:rPr>
          <w:rFonts w:ascii="Times New Roman"/>
          <w:color w:val="282828"/>
          <w:spacing w:val="-10"/>
          <w:w w:val="105"/>
          <w:sz w:val="23"/>
        </w:rPr>
        <w:t> </w:t>
      </w:r>
      <w:r>
        <w:rPr>
          <w:rFonts w:ascii="Times New Roman"/>
          <w:color w:val="282828"/>
          <w:w w:val="105"/>
          <w:sz w:val="23"/>
        </w:rPr>
        <w:t>any program or compliance</w:t>
      </w:r>
      <w:r>
        <w:rPr>
          <w:rFonts w:ascii="Times New Roman"/>
          <w:color w:val="282828"/>
          <w:spacing w:val="-12"/>
          <w:w w:val="105"/>
          <w:sz w:val="23"/>
        </w:rPr>
        <w:t> </w:t>
      </w:r>
      <w:r>
        <w:rPr>
          <w:rFonts w:ascii="Times New Roman"/>
          <w:color w:val="282828"/>
          <w:w w:val="105"/>
          <w:sz w:val="23"/>
        </w:rPr>
        <w:t>reviews,</w:t>
      </w:r>
      <w:r>
        <w:rPr>
          <w:rFonts w:ascii="Times New Roman"/>
          <w:color w:val="282828"/>
          <w:spacing w:val="-9"/>
          <w:w w:val="105"/>
          <w:sz w:val="23"/>
        </w:rPr>
        <w:t> </w:t>
      </w:r>
      <w:r>
        <w:rPr>
          <w:rFonts w:ascii="Times New Roman"/>
          <w:color w:val="282828"/>
          <w:w w:val="105"/>
          <w:sz w:val="23"/>
        </w:rPr>
        <w:t>and/or</w:t>
      </w:r>
      <w:r>
        <w:rPr>
          <w:rFonts w:ascii="Times New Roman"/>
          <w:color w:val="282828"/>
          <w:spacing w:val="70"/>
          <w:w w:val="105"/>
          <w:sz w:val="23"/>
        </w:rPr>
        <w:t> </w:t>
      </w:r>
      <w:r>
        <w:rPr>
          <w:rFonts w:ascii="Times New Roman"/>
          <w:color w:val="282828"/>
          <w:w w:val="105"/>
          <w:sz w:val="23"/>
        </w:rPr>
        <w:t>complaint</w:t>
      </w:r>
      <w:r>
        <w:rPr>
          <w:rFonts w:ascii="Times New Roman"/>
          <w:color w:val="282828"/>
          <w:spacing w:val="-9"/>
          <w:w w:val="105"/>
          <w:sz w:val="23"/>
        </w:rPr>
        <w:t> </w:t>
      </w:r>
      <w:r>
        <w:rPr>
          <w:rFonts w:ascii="Times New Roman"/>
          <w:color w:val="282828"/>
          <w:w w:val="105"/>
          <w:sz w:val="23"/>
        </w:rPr>
        <w:t>investigations</w:t>
      </w:r>
      <w:r>
        <w:rPr>
          <w:rFonts w:ascii="Times New Roman"/>
          <w:color w:val="282828"/>
          <w:spacing w:val="-16"/>
          <w:w w:val="105"/>
          <w:sz w:val="23"/>
        </w:rPr>
        <w:t> </w:t>
      </w:r>
      <w:r>
        <w:rPr>
          <w:rFonts w:ascii="Times New Roman"/>
          <w:color w:val="282828"/>
          <w:w w:val="105"/>
          <w:sz w:val="23"/>
        </w:rPr>
        <w:t>conducted</w:t>
      </w:r>
      <w:r>
        <w:rPr>
          <w:rFonts w:ascii="Times New Roman"/>
          <w:color w:val="282828"/>
          <w:spacing w:val="13"/>
          <w:w w:val="105"/>
          <w:sz w:val="23"/>
        </w:rPr>
        <w:t> </w:t>
      </w:r>
      <w:r>
        <w:rPr>
          <w:rFonts w:ascii="Times New Roman"/>
          <w:color w:val="282828"/>
          <w:w w:val="105"/>
          <w:sz w:val="23"/>
        </w:rPr>
        <w:t>by</w:t>
      </w:r>
      <w:r>
        <w:rPr>
          <w:rFonts w:ascii="Times New Roman"/>
          <w:color w:val="282828"/>
          <w:spacing w:val="-14"/>
          <w:w w:val="105"/>
          <w:sz w:val="23"/>
        </w:rPr>
        <w:t> </w:t>
      </w:r>
      <w:r>
        <w:rPr>
          <w:rFonts w:ascii="Times New Roman"/>
          <w:color w:val="151515"/>
          <w:w w:val="105"/>
          <w:sz w:val="23"/>
        </w:rPr>
        <w:t>th</w:t>
      </w:r>
      <w:r>
        <w:rPr>
          <w:rFonts w:ascii="Times New Roman"/>
          <w:color w:val="3D3D3D"/>
          <w:w w:val="105"/>
          <w:sz w:val="23"/>
        </w:rPr>
        <w:t>e</w:t>
      </w:r>
      <w:r>
        <w:rPr>
          <w:rFonts w:ascii="Times New Roman"/>
          <w:color w:val="3D3D3D"/>
          <w:spacing w:val="-13"/>
          <w:w w:val="105"/>
          <w:sz w:val="23"/>
        </w:rPr>
        <w:t> </w:t>
      </w:r>
      <w:r>
        <w:rPr>
          <w:rFonts w:ascii="Times New Roman"/>
          <w:b/>
          <w:i/>
          <w:color w:val="282828"/>
          <w:w w:val="105"/>
          <w:sz w:val="23"/>
        </w:rPr>
        <w:t>FTA</w:t>
      </w:r>
      <w:r>
        <w:rPr>
          <w:rFonts w:ascii="Times New Roman"/>
          <w:b/>
          <w:i/>
          <w:color w:val="282828"/>
          <w:spacing w:val="-8"/>
          <w:w w:val="105"/>
          <w:sz w:val="23"/>
        </w:rPr>
        <w:t> </w:t>
      </w:r>
      <w:r>
        <w:rPr>
          <w:rFonts w:ascii="Times New Roman"/>
          <w:color w:val="282828"/>
          <w:w w:val="105"/>
          <w:sz w:val="23"/>
        </w:rPr>
        <w:t>and</w:t>
      </w:r>
      <w:r>
        <w:rPr>
          <w:rFonts w:ascii="Times New Roman"/>
          <w:color w:val="282828"/>
          <w:spacing w:val="-2"/>
          <w:w w:val="105"/>
          <w:sz w:val="23"/>
        </w:rPr>
        <w:t> </w:t>
      </w:r>
      <w:r>
        <w:rPr>
          <w:rFonts w:ascii="Times New Roman"/>
          <w:b/>
          <w:i/>
          <w:color w:val="282828"/>
          <w:w w:val="105"/>
          <w:sz w:val="23"/>
        </w:rPr>
        <w:t>USDOT.</w:t>
      </w:r>
      <w:r>
        <w:rPr>
          <w:rFonts w:ascii="Times New Roman"/>
          <w:b/>
          <w:i/>
          <w:color w:val="282828"/>
          <w:spacing w:val="-9"/>
          <w:w w:val="105"/>
          <w:sz w:val="23"/>
        </w:rPr>
        <w:t> </w:t>
      </w:r>
      <w:r>
        <w:rPr>
          <w:rFonts w:ascii="Times New Roman"/>
          <w:color w:val="282828"/>
          <w:w w:val="105"/>
          <w:sz w:val="23"/>
        </w:rPr>
        <w:t>You</w:t>
      </w:r>
      <w:r>
        <w:rPr>
          <w:rFonts w:ascii="Times New Roman"/>
          <w:color w:val="282828"/>
          <w:spacing w:val="-4"/>
          <w:w w:val="105"/>
          <w:sz w:val="23"/>
        </w:rPr>
        <w:t> </w:t>
      </w:r>
      <w:r>
        <w:rPr>
          <w:rFonts w:ascii="Times New Roman"/>
          <w:color w:val="282828"/>
          <w:w w:val="105"/>
          <w:sz w:val="23"/>
        </w:rPr>
        <w:t>must</w:t>
      </w:r>
      <w:r>
        <w:rPr>
          <w:rFonts w:ascii="Times New Roman"/>
          <w:color w:val="282828"/>
          <w:spacing w:val="-14"/>
          <w:w w:val="105"/>
          <w:sz w:val="23"/>
        </w:rPr>
        <w:t> </w:t>
      </w:r>
      <w:r>
        <w:rPr>
          <w:rFonts w:ascii="Times New Roman"/>
          <w:color w:val="3D3D3D"/>
          <w:w w:val="105"/>
          <w:sz w:val="23"/>
        </w:rPr>
        <w:t>keep </w:t>
      </w:r>
      <w:r>
        <w:rPr>
          <w:rFonts w:ascii="Times New Roman"/>
          <w:color w:val="282828"/>
          <w:w w:val="105"/>
          <w:sz w:val="23"/>
        </w:rPr>
        <w:t>records,</w:t>
      </w:r>
      <w:r>
        <w:rPr>
          <w:rFonts w:ascii="Times New Roman"/>
          <w:color w:val="282828"/>
          <w:spacing w:val="-4"/>
          <w:w w:val="105"/>
          <w:sz w:val="23"/>
        </w:rPr>
        <w:t> </w:t>
      </w:r>
      <w:r>
        <w:rPr>
          <w:rFonts w:ascii="Times New Roman"/>
          <w:color w:val="151515"/>
          <w:w w:val="105"/>
          <w:sz w:val="23"/>
        </w:rPr>
        <w:t>reports,</w:t>
      </w:r>
      <w:r>
        <w:rPr>
          <w:rFonts w:ascii="Times New Roman"/>
          <w:color w:val="151515"/>
          <w:spacing w:val="-7"/>
          <w:w w:val="105"/>
          <w:sz w:val="23"/>
        </w:rPr>
        <w:t> </w:t>
      </w:r>
      <w:r>
        <w:rPr>
          <w:rFonts w:ascii="Times New Roman"/>
          <w:color w:val="282828"/>
          <w:w w:val="105"/>
          <w:sz w:val="23"/>
        </w:rPr>
        <w:t>and</w:t>
      </w:r>
      <w:r>
        <w:rPr>
          <w:rFonts w:ascii="Times New Roman"/>
          <w:color w:val="282828"/>
          <w:spacing w:val="-13"/>
          <w:w w:val="105"/>
          <w:sz w:val="23"/>
        </w:rPr>
        <w:t> </w:t>
      </w:r>
      <w:r>
        <w:rPr>
          <w:rFonts w:ascii="Times New Roman"/>
          <w:color w:val="282828"/>
          <w:w w:val="105"/>
          <w:sz w:val="23"/>
        </w:rPr>
        <w:t>submit</w:t>
      </w:r>
      <w:r>
        <w:rPr>
          <w:rFonts w:ascii="Times New Roman"/>
          <w:color w:val="282828"/>
          <w:spacing w:val="-9"/>
          <w:w w:val="105"/>
          <w:sz w:val="23"/>
        </w:rPr>
        <w:t> </w:t>
      </w:r>
      <w:r>
        <w:rPr>
          <w:rFonts w:ascii="Times New Roman"/>
          <w:color w:val="282828"/>
          <w:w w:val="105"/>
          <w:sz w:val="23"/>
        </w:rPr>
        <w:t>the</w:t>
      </w:r>
      <w:r>
        <w:rPr>
          <w:rFonts w:ascii="Times New Roman"/>
          <w:color w:val="282828"/>
          <w:spacing w:val="40"/>
          <w:w w:val="105"/>
          <w:sz w:val="23"/>
        </w:rPr>
        <w:t> </w:t>
      </w:r>
      <w:r>
        <w:rPr>
          <w:rFonts w:ascii="Times New Roman"/>
          <w:color w:val="151515"/>
          <w:w w:val="105"/>
          <w:sz w:val="23"/>
        </w:rPr>
        <w:t>material </w:t>
      </w:r>
      <w:r>
        <w:rPr>
          <w:rFonts w:ascii="Times New Roman"/>
          <w:color w:val="282828"/>
          <w:w w:val="105"/>
          <w:sz w:val="23"/>
        </w:rPr>
        <w:t>for</w:t>
      </w:r>
      <w:r>
        <w:rPr>
          <w:rFonts w:ascii="Times New Roman"/>
          <w:color w:val="282828"/>
          <w:spacing w:val="-14"/>
          <w:w w:val="105"/>
          <w:sz w:val="23"/>
        </w:rPr>
        <w:t> </w:t>
      </w:r>
      <w:r>
        <w:rPr>
          <w:rFonts w:ascii="Times New Roman"/>
          <w:color w:val="282828"/>
          <w:w w:val="105"/>
          <w:sz w:val="23"/>
        </w:rPr>
        <w:t>review</w:t>
      </w:r>
      <w:r>
        <w:rPr>
          <w:rFonts w:ascii="Times New Roman"/>
          <w:color w:val="282828"/>
          <w:spacing w:val="-6"/>
          <w:w w:val="105"/>
          <w:sz w:val="23"/>
        </w:rPr>
        <w:t> </w:t>
      </w:r>
      <w:r>
        <w:rPr>
          <w:rFonts w:ascii="Times New Roman"/>
          <w:color w:val="151515"/>
          <w:w w:val="105"/>
          <w:sz w:val="23"/>
        </w:rPr>
        <w:t>upon</w:t>
      </w:r>
      <w:r>
        <w:rPr>
          <w:rFonts w:ascii="Times New Roman"/>
          <w:color w:val="151515"/>
          <w:spacing w:val="-6"/>
          <w:w w:val="105"/>
          <w:sz w:val="23"/>
        </w:rPr>
        <w:t> </w:t>
      </w:r>
      <w:r>
        <w:rPr>
          <w:rFonts w:ascii="Times New Roman"/>
          <w:color w:val="282828"/>
          <w:w w:val="105"/>
          <w:sz w:val="23"/>
        </w:rPr>
        <w:t>request</w:t>
      </w:r>
      <w:r>
        <w:rPr>
          <w:rFonts w:ascii="Times New Roman"/>
          <w:color w:val="282828"/>
          <w:spacing w:val="-10"/>
          <w:w w:val="105"/>
          <w:sz w:val="23"/>
        </w:rPr>
        <w:t> </w:t>
      </w:r>
      <w:r>
        <w:rPr>
          <w:rFonts w:ascii="Times New Roman"/>
          <w:color w:val="282828"/>
          <w:w w:val="105"/>
          <w:sz w:val="23"/>
        </w:rPr>
        <w:t>to</w:t>
      </w:r>
      <w:r>
        <w:rPr>
          <w:rFonts w:ascii="Times New Roman"/>
          <w:color w:val="282828"/>
          <w:spacing w:val="-5"/>
          <w:w w:val="105"/>
          <w:sz w:val="23"/>
        </w:rPr>
        <w:t> </w:t>
      </w:r>
      <w:r>
        <w:rPr>
          <w:rFonts w:ascii="Times New Roman"/>
          <w:color w:val="151515"/>
          <w:w w:val="105"/>
          <w:sz w:val="23"/>
        </w:rPr>
        <w:t>the</w:t>
      </w:r>
      <w:r>
        <w:rPr>
          <w:rFonts w:ascii="Times New Roman"/>
          <w:color w:val="151515"/>
          <w:spacing w:val="-11"/>
          <w:w w:val="105"/>
          <w:sz w:val="23"/>
        </w:rPr>
        <w:t> </w:t>
      </w:r>
      <w:r>
        <w:rPr>
          <w:rFonts w:ascii="Times New Roman"/>
          <w:b/>
          <w:i/>
          <w:color w:val="282828"/>
          <w:w w:val="105"/>
          <w:sz w:val="23"/>
        </w:rPr>
        <w:t>FTA</w:t>
      </w:r>
      <w:r>
        <w:rPr>
          <w:rFonts w:ascii="Times New Roman"/>
          <w:b/>
          <w:i/>
          <w:color w:val="282828"/>
          <w:spacing w:val="-13"/>
          <w:w w:val="105"/>
          <w:sz w:val="23"/>
        </w:rPr>
        <w:t> </w:t>
      </w:r>
      <w:r>
        <w:rPr>
          <w:rFonts w:ascii="Times New Roman"/>
          <w:color w:val="282828"/>
          <w:w w:val="105"/>
          <w:sz w:val="23"/>
        </w:rPr>
        <w:t>and</w:t>
      </w:r>
      <w:r>
        <w:rPr>
          <w:rFonts w:ascii="Times New Roman"/>
          <w:color w:val="282828"/>
          <w:spacing w:val="-4"/>
          <w:w w:val="105"/>
          <w:sz w:val="23"/>
        </w:rPr>
        <w:t> </w:t>
      </w:r>
      <w:r>
        <w:rPr>
          <w:rFonts w:ascii="Times New Roman"/>
          <w:b/>
          <w:i/>
          <w:color w:val="282828"/>
          <w:w w:val="105"/>
          <w:sz w:val="23"/>
        </w:rPr>
        <w:t>USDOT,</w:t>
      </w:r>
      <w:r>
        <w:rPr>
          <w:rFonts w:ascii="Times New Roman"/>
          <w:b/>
          <w:i/>
          <w:color w:val="282828"/>
          <w:spacing w:val="-12"/>
          <w:w w:val="105"/>
          <w:sz w:val="23"/>
        </w:rPr>
        <w:t> </w:t>
      </w:r>
      <w:r>
        <w:rPr>
          <w:rFonts w:ascii="Times New Roman"/>
          <w:color w:val="3D3D3D"/>
          <w:w w:val="105"/>
          <w:sz w:val="23"/>
        </w:rPr>
        <w:t>o</w:t>
      </w:r>
      <w:r>
        <w:rPr>
          <w:rFonts w:ascii="Times New Roman"/>
          <w:color w:val="151515"/>
          <w:w w:val="105"/>
          <w:sz w:val="23"/>
        </w:rPr>
        <w:t>r</w:t>
      </w:r>
      <w:r>
        <w:rPr>
          <w:rFonts w:ascii="Times New Roman"/>
          <w:color w:val="151515"/>
          <w:spacing w:val="-6"/>
          <w:w w:val="105"/>
          <w:sz w:val="23"/>
        </w:rPr>
        <w:t> </w:t>
      </w:r>
      <w:r>
        <w:rPr>
          <w:rFonts w:ascii="Times New Roman"/>
          <w:color w:val="282828"/>
          <w:w w:val="105"/>
          <w:sz w:val="23"/>
        </w:rPr>
        <w:t>its</w:t>
      </w:r>
      <w:r>
        <w:rPr>
          <w:rFonts w:ascii="Times New Roman"/>
          <w:color w:val="282828"/>
          <w:spacing w:val="-15"/>
          <w:w w:val="105"/>
          <w:sz w:val="23"/>
        </w:rPr>
        <w:t> </w:t>
      </w:r>
      <w:r>
        <w:rPr>
          <w:rFonts w:ascii="Times New Roman"/>
          <w:color w:val="282828"/>
          <w:w w:val="105"/>
          <w:sz w:val="23"/>
        </w:rPr>
        <w:t>designee, in</w:t>
      </w:r>
      <w:r>
        <w:rPr>
          <w:rFonts w:ascii="Times New Roman"/>
          <w:color w:val="282828"/>
          <w:spacing w:val="-7"/>
          <w:w w:val="105"/>
          <w:sz w:val="23"/>
        </w:rPr>
        <w:t> </w:t>
      </w:r>
      <w:r>
        <w:rPr>
          <w:rFonts w:ascii="Times New Roman"/>
          <w:color w:val="3D3D3D"/>
          <w:w w:val="105"/>
          <w:sz w:val="23"/>
        </w:rPr>
        <w:t>a</w:t>
      </w:r>
      <w:r>
        <w:rPr>
          <w:rFonts w:ascii="Times New Roman"/>
          <w:color w:val="3D3D3D"/>
          <w:spacing w:val="-3"/>
          <w:w w:val="105"/>
          <w:sz w:val="23"/>
        </w:rPr>
        <w:t> </w:t>
      </w:r>
      <w:r>
        <w:rPr>
          <w:rFonts w:ascii="Times New Roman"/>
          <w:color w:val="151515"/>
          <w:w w:val="105"/>
          <w:sz w:val="23"/>
        </w:rPr>
        <w:t>timely</w:t>
      </w:r>
      <w:r>
        <w:rPr>
          <w:rFonts w:ascii="Times New Roman"/>
          <w:color w:val="3D3D3D"/>
          <w:w w:val="105"/>
          <w:sz w:val="23"/>
        </w:rPr>
        <w:t>,</w:t>
      </w:r>
      <w:r>
        <w:rPr>
          <w:rFonts w:ascii="Times New Roman"/>
          <w:color w:val="3D3D3D"/>
          <w:spacing w:val="-15"/>
          <w:w w:val="105"/>
          <w:sz w:val="23"/>
        </w:rPr>
        <w:t> </w:t>
      </w:r>
      <w:r>
        <w:rPr>
          <w:rFonts w:ascii="Times New Roman"/>
          <w:color w:val="282828"/>
          <w:w w:val="105"/>
          <w:sz w:val="23"/>
        </w:rPr>
        <w:t>complete,</w:t>
      </w:r>
      <w:r>
        <w:rPr>
          <w:rFonts w:ascii="Times New Roman"/>
          <w:color w:val="282828"/>
          <w:spacing w:val="-2"/>
          <w:w w:val="105"/>
          <w:sz w:val="23"/>
        </w:rPr>
        <w:t> </w:t>
      </w:r>
      <w:r>
        <w:rPr>
          <w:rFonts w:ascii="Times New Roman"/>
          <w:color w:val="282828"/>
          <w:w w:val="105"/>
          <w:sz w:val="23"/>
        </w:rPr>
        <w:t>and</w:t>
      </w:r>
      <w:r>
        <w:rPr>
          <w:rFonts w:ascii="Times New Roman"/>
          <w:color w:val="282828"/>
          <w:spacing w:val="-11"/>
          <w:w w:val="105"/>
          <w:sz w:val="23"/>
        </w:rPr>
        <w:t> </w:t>
      </w:r>
      <w:r>
        <w:rPr>
          <w:rFonts w:ascii="Times New Roman"/>
          <w:color w:val="282828"/>
          <w:w w:val="105"/>
          <w:sz w:val="23"/>
        </w:rPr>
        <w:t>accurate</w:t>
      </w:r>
      <w:r>
        <w:rPr>
          <w:rFonts w:ascii="Times New Roman"/>
          <w:color w:val="282828"/>
          <w:spacing w:val="80"/>
          <w:w w:val="105"/>
          <w:sz w:val="23"/>
        </w:rPr>
        <w:t> </w:t>
      </w:r>
      <w:r>
        <w:rPr>
          <w:rFonts w:ascii="Times New Roman"/>
          <w:color w:val="282828"/>
          <w:w w:val="105"/>
          <w:sz w:val="23"/>
        </w:rPr>
        <w:t>way.</w:t>
      </w:r>
      <w:r>
        <w:rPr>
          <w:rFonts w:ascii="Times New Roman"/>
          <w:color w:val="282828"/>
          <w:spacing w:val="-6"/>
          <w:w w:val="105"/>
          <w:sz w:val="23"/>
        </w:rPr>
        <w:t> </w:t>
      </w:r>
      <w:r>
        <w:rPr>
          <w:rFonts w:ascii="Times New Roman"/>
          <w:color w:val="282828"/>
          <w:w w:val="105"/>
          <w:sz w:val="23"/>
        </w:rPr>
        <w:t>Additionally</w:t>
      </w:r>
      <w:r>
        <w:rPr>
          <w:rFonts w:ascii="Times New Roman"/>
          <w:color w:val="545454"/>
          <w:w w:val="105"/>
          <w:sz w:val="23"/>
        </w:rPr>
        <w:t>,</w:t>
      </w:r>
      <w:r>
        <w:rPr>
          <w:rFonts w:ascii="Times New Roman"/>
          <w:color w:val="545454"/>
          <w:spacing w:val="-8"/>
          <w:w w:val="105"/>
          <w:sz w:val="23"/>
        </w:rPr>
        <w:t> </w:t>
      </w:r>
      <w:r>
        <w:rPr>
          <w:rFonts w:ascii="Times New Roman"/>
          <w:color w:val="282828"/>
          <w:w w:val="105"/>
          <w:sz w:val="23"/>
        </w:rPr>
        <w:t>you must</w:t>
      </w:r>
      <w:r>
        <w:rPr>
          <w:rFonts w:ascii="Times New Roman"/>
          <w:color w:val="282828"/>
          <w:spacing w:val="-8"/>
          <w:w w:val="105"/>
          <w:sz w:val="23"/>
        </w:rPr>
        <w:t> </w:t>
      </w:r>
      <w:r>
        <w:rPr>
          <w:rFonts w:ascii="Times New Roman"/>
          <w:color w:val="3D3D3D"/>
          <w:w w:val="105"/>
          <w:sz w:val="23"/>
        </w:rPr>
        <w:t>comp</w:t>
      </w:r>
      <w:r>
        <w:rPr>
          <w:rFonts w:ascii="Times New Roman"/>
          <w:color w:val="151515"/>
          <w:w w:val="105"/>
          <w:sz w:val="23"/>
        </w:rPr>
        <w:t>l</w:t>
      </w:r>
      <w:r>
        <w:rPr>
          <w:rFonts w:ascii="Times New Roman"/>
          <w:color w:val="3D3D3D"/>
          <w:w w:val="105"/>
          <w:sz w:val="23"/>
        </w:rPr>
        <w:t>y </w:t>
      </w:r>
      <w:r>
        <w:rPr>
          <w:rFonts w:ascii="Times New Roman"/>
          <w:color w:val="282828"/>
          <w:w w:val="105"/>
          <w:sz w:val="23"/>
        </w:rPr>
        <w:t>with all</w:t>
      </w:r>
      <w:r>
        <w:rPr>
          <w:rFonts w:ascii="Times New Roman"/>
          <w:color w:val="282828"/>
          <w:spacing w:val="-2"/>
          <w:w w:val="105"/>
          <w:sz w:val="23"/>
        </w:rPr>
        <w:t> </w:t>
      </w:r>
      <w:r>
        <w:rPr>
          <w:rFonts w:ascii="Times New Roman"/>
          <w:color w:val="282828"/>
          <w:w w:val="105"/>
          <w:sz w:val="23"/>
        </w:rPr>
        <w:t>other </w:t>
      </w:r>
      <w:r>
        <w:rPr>
          <w:rFonts w:ascii="Times New Roman"/>
          <w:color w:val="151515"/>
          <w:w w:val="105"/>
          <w:sz w:val="23"/>
        </w:rPr>
        <w:t>repm</w:t>
      </w:r>
      <w:r>
        <w:rPr>
          <w:rFonts w:ascii="Times New Roman"/>
          <w:color w:val="3D3D3D"/>
          <w:w w:val="105"/>
          <w:sz w:val="23"/>
        </w:rPr>
        <w:t>1ing,</w:t>
      </w:r>
      <w:r>
        <w:rPr>
          <w:rFonts w:ascii="Times New Roman"/>
          <w:color w:val="3D3D3D"/>
          <w:spacing w:val="-15"/>
          <w:w w:val="105"/>
          <w:sz w:val="23"/>
        </w:rPr>
        <w:t> </w:t>
      </w:r>
      <w:r>
        <w:rPr>
          <w:rFonts w:ascii="Times New Roman"/>
          <w:color w:val="282828"/>
          <w:w w:val="105"/>
          <w:sz w:val="23"/>
        </w:rPr>
        <w:t>data collection,</w:t>
      </w:r>
      <w:r>
        <w:rPr>
          <w:rFonts w:ascii="Times New Roman"/>
          <w:color w:val="282828"/>
          <w:spacing w:val="-5"/>
          <w:w w:val="105"/>
          <w:sz w:val="23"/>
        </w:rPr>
        <w:t> </w:t>
      </w:r>
      <w:r>
        <w:rPr>
          <w:rFonts w:ascii="Times New Roman"/>
          <w:color w:val="282828"/>
          <w:w w:val="105"/>
          <w:sz w:val="23"/>
        </w:rPr>
        <w:t>and evaluation</w:t>
      </w:r>
      <w:r>
        <w:rPr>
          <w:rFonts w:ascii="Times New Roman"/>
          <w:color w:val="282828"/>
          <w:spacing w:val="80"/>
          <w:w w:val="105"/>
          <w:sz w:val="23"/>
        </w:rPr>
        <w:t> </w:t>
      </w:r>
      <w:r>
        <w:rPr>
          <w:rFonts w:ascii="Times New Roman"/>
          <w:color w:val="282828"/>
          <w:w w:val="105"/>
          <w:sz w:val="23"/>
        </w:rPr>
        <w:t>requirements, as prescribed by</w:t>
      </w:r>
      <w:r>
        <w:rPr>
          <w:rFonts w:ascii="Times New Roman"/>
          <w:color w:val="282828"/>
          <w:spacing w:val="-3"/>
          <w:w w:val="105"/>
          <w:sz w:val="23"/>
        </w:rPr>
        <w:t> </w:t>
      </w:r>
      <w:r>
        <w:rPr>
          <w:rFonts w:ascii="Times New Roman"/>
          <w:color w:val="151515"/>
          <w:w w:val="105"/>
          <w:sz w:val="23"/>
        </w:rPr>
        <w:t>law</w:t>
      </w:r>
      <w:r>
        <w:rPr>
          <w:rFonts w:ascii="Times New Roman"/>
          <w:color w:val="151515"/>
          <w:spacing w:val="-10"/>
          <w:w w:val="105"/>
          <w:sz w:val="23"/>
        </w:rPr>
        <w:t> </w:t>
      </w:r>
      <w:r>
        <w:rPr>
          <w:rFonts w:ascii="Times New Roman"/>
          <w:color w:val="282828"/>
          <w:w w:val="105"/>
          <w:sz w:val="23"/>
        </w:rPr>
        <w:t>or</w:t>
      </w:r>
      <w:r>
        <w:rPr>
          <w:rFonts w:ascii="Times New Roman"/>
          <w:color w:val="282828"/>
          <w:spacing w:val="-8"/>
          <w:w w:val="105"/>
          <w:sz w:val="23"/>
        </w:rPr>
        <w:t> </w:t>
      </w:r>
      <w:r>
        <w:rPr>
          <w:rFonts w:ascii="Times New Roman"/>
          <w:color w:val="282828"/>
          <w:w w:val="105"/>
          <w:sz w:val="23"/>
        </w:rPr>
        <w:t>detailed </w:t>
      </w:r>
      <w:r>
        <w:rPr>
          <w:rFonts w:ascii="Times New Roman"/>
          <w:b/>
          <w:color w:val="151515"/>
          <w:w w:val="105"/>
          <w:sz w:val="24"/>
        </w:rPr>
        <w:t>in</w:t>
      </w:r>
      <w:r>
        <w:rPr>
          <w:rFonts w:ascii="Times New Roman"/>
          <w:b/>
          <w:color w:val="151515"/>
          <w:spacing w:val="-16"/>
          <w:w w:val="105"/>
          <w:sz w:val="24"/>
        </w:rPr>
        <w:t> </w:t>
      </w:r>
      <w:r>
        <w:rPr>
          <w:rFonts w:ascii="Times New Roman"/>
          <w:color w:val="282828"/>
          <w:w w:val="105"/>
          <w:sz w:val="23"/>
        </w:rPr>
        <w:t>program</w:t>
      </w:r>
      <w:r>
        <w:rPr>
          <w:rFonts w:ascii="Times New Roman"/>
          <w:color w:val="282828"/>
          <w:spacing w:val="-1"/>
          <w:w w:val="105"/>
          <w:sz w:val="23"/>
        </w:rPr>
        <w:t> </w:t>
      </w:r>
      <w:r>
        <w:rPr>
          <w:rFonts w:ascii="Times New Roman"/>
          <w:color w:val="282828"/>
          <w:w w:val="105"/>
          <w:sz w:val="23"/>
        </w:rPr>
        <w:t>guidance.</w:t>
      </w:r>
    </w:p>
    <w:p>
      <w:pPr>
        <w:pStyle w:val="BodyText"/>
        <w:spacing w:before="10"/>
        <w:rPr>
          <w:rFonts w:ascii="Times New Roman"/>
          <w:sz w:val="22"/>
        </w:rPr>
      </w:pPr>
    </w:p>
    <w:p>
      <w:pPr>
        <w:spacing w:line="254" w:lineRule="auto" w:before="0"/>
        <w:ind w:left="323" w:right="583" w:firstLine="0"/>
        <w:jc w:val="left"/>
        <w:rPr>
          <w:rFonts w:ascii="Times New Roman"/>
          <w:sz w:val="23"/>
        </w:rPr>
      </w:pPr>
      <w:r>
        <w:rPr>
          <w:rFonts w:ascii="Times New Roman"/>
          <w:color w:val="151515"/>
          <w:w w:val="105"/>
          <w:sz w:val="23"/>
        </w:rPr>
        <w:t>The</w:t>
      </w:r>
      <w:r>
        <w:rPr>
          <w:rFonts w:ascii="Times New Roman"/>
          <w:color w:val="151515"/>
          <w:spacing w:val="-18"/>
          <w:w w:val="105"/>
          <w:sz w:val="23"/>
        </w:rPr>
        <w:t> </w:t>
      </w:r>
      <w:r>
        <w:rPr>
          <w:rFonts w:ascii="Times New Roman"/>
          <w:b/>
          <w:i/>
          <w:color w:val="282828"/>
          <w:w w:val="105"/>
          <w:sz w:val="23"/>
        </w:rPr>
        <w:t>M{line</w:t>
      </w:r>
      <w:r>
        <w:rPr>
          <w:rFonts w:ascii="Times New Roman"/>
          <w:b/>
          <w:i/>
          <w:color w:val="282828"/>
          <w:spacing w:val="-15"/>
          <w:w w:val="105"/>
          <w:sz w:val="23"/>
        </w:rPr>
        <w:t> </w:t>
      </w:r>
      <w:r>
        <w:rPr>
          <w:rFonts w:ascii="Times New Roman"/>
          <w:b/>
          <w:i/>
          <w:color w:val="282828"/>
          <w:w w:val="105"/>
          <w:sz w:val="23"/>
        </w:rPr>
        <w:t>Dep{lrfment</w:t>
      </w:r>
      <w:r>
        <w:rPr>
          <w:rFonts w:ascii="Times New Roman"/>
          <w:b/>
          <w:i/>
          <w:color w:val="282828"/>
          <w:spacing w:val="-14"/>
          <w:w w:val="105"/>
          <w:sz w:val="23"/>
        </w:rPr>
        <w:t> </w:t>
      </w:r>
      <w:r>
        <w:rPr>
          <w:rFonts w:ascii="Times New Roman"/>
          <w:b/>
          <w:i/>
          <w:color w:val="282828"/>
          <w:w w:val="105"/>
          <w:sz w:val="23"/>
        </w:rPr>
        <w:t>of</w:t>
      </w:r>
      <w:r>
        <w:rPr>
          <w:rFonts w:ascii="Times New Roman"/>
          <w:b/>
          <w:i/>
          <w:color w:val="282828"/>
          <w:spacing w:val="-15"/>
          <w:w w:val="105"/>
          <w:sz w:val="23"/>
        </w:rPr>
        <w:t> </w:t>
      </w:r>
      <w:r>
        <w:rPr>
          <w:rFonts w:ascii="Times New Roman"/>
          <w:b/>
          <w:i/>
          <w:color w:val="282828"/>
          <w:w w:val="105"/>
          <w:sz w:val="23"/>
        </w:rPr>
        <w:t>Transporf{lfion</w:t>
      </w:r>
      <w:r>
        <w:rPr>
          <w:rFonts w:ascii="Times New Roman"/>
          <w:b/>
          <w:i/>
          <w:color w:val="282828"/>
          <w:spacing w:val="-15"/>
          <w:w w:val="105"/>
          <w:sz w:val="23"/>
        </w:rPr>
        <w:t> </w:t>
      </w:r>
      <w:r>
        <w:rPr>
          <w:rFonts w:ascii="Times New Roman"/>
          <w:color w:val="282828"/>
          <w:w w:val="105"/>
          <w:sz w:val="23"/>
        </w:rPr>
        <w:t>gives</w:t>
      </w:r>
      <w:r>
        <w:rPr>
          <w:rFonts w:ascii="Times New Roman"/>
          <w:color w:val="282828"/>
          <w:spacing w:val="-15"/>
          <w:w w:val="105"/>
          <w:sz w:val="23"/>
        </w:rPr>
        <w:t> </w:t>
      </w:r>
      <w:r>
        <w:rPr>
          <w:rFonts w:ascii="Times New Roman"/>
          <w:color w:val="282828"/>
          <w:w w:val="105"/>
          <w:sz w:val="23"/>
        </w:rPr>
        <w:t>this</w:t>
      </w:r>
      <w:r>
        <w:rPr>
          <w:rFonts w:ascii="Times New Roman"/>
          <w:color w:val="282828"/>
          <w:spacing w:val="-15"/>
          <w:w w:val="105"/>
          <w:sz w:val="23"/>
        </w:rPr>
        <w:t> </w:t>
      </w:r>
      <w:r>
        <w:rPr>
          <w:rFonts w:ascii="Times New Roman"/>
          <w:color w:val="282828"/>
          <w:w w:val="105"/>
          <w:sz w:val="23"/>
        </w:rPr>
        <w:t>ASSURANCE</w:t>
      </w:r>
      <w:r>
        <w:rPr>
          <w:rFonts w:ascii="Times New Roman"/>
          <w:color w:val="282828"/>
          <w:spacing w:val="-10"/>
          <w:w w:val="105"/>
          <w:sz w:val="23"/>
        </w:rPr>
        <w:t> </w:t>
      </w:r>
      <w:r>
        <w:rPr>
          <w:rFonts w:ascii="Times New Roman"/>
          <w:color w:val="282828"/>
          <w:w w:val="105"/>
          <w:sz w:val="23"/>
        </w:rPr>
        <w:t>in</w:t>
      </w:r>
      <w:r>
        <w:rPr>
          <w:rFonts w:ascii="Times New Roman"/>
          <w:color w:val="282828"/>
          <w:spacing w:val="-15"/>
          <w:w w:val="105"/>
          <w:sz w:val="23"/>
        </w:rPr>
        <w:t> </w:t>
      </w:r>
      <w:r>
        <w:rPr>
          <w:rFonts w:ascii="Times New Roman"/>
          <w:color w:val="282828"/>
          <w:w w:val="105"/>
          <w:sz w:val="23"/>
        </w:rPr>
        <w:t>consideration</w:t>
      </w:r>
      <w:r>
        <w:rPr>
          <w:rFonts w:ascii="Times New Roman"/>
          <w:color w:val="282828"/>
          <w:spacing w:val="-2"/>
          <w:w w:val="105"/>
          <w:sz w:val="23"/>
        </w:rPr>
        <w:t> </w:t>
      </w:r>
      <w:r>
        <w:rPr>
          <w:rFonts w:ascii="Times New Roman"/>
          <w:color w:val="282828"/>
          <w:w w:val="105"/>
          <w:sz w:val="23"/>
        </w:rPr>
        <w:t>of</w:t>
      </w:r>
      <w:r>
        <w:rPr>
          <w:rFonts w:ascii="Times New Roman"/>
          <w:color w:val="282828"/>
          <w:spacing w:val="-16"/>
          <w:w w:val="105"/>
          <w:sz w:val="23"/>
        </w:rPr>
        <w:t> </w:t>
      </w:r>
      <w:r>
        <w:rPr>
          <w:rFonts w:ascii="Times New Roman"/>
          <w:color w:val="282828"/>
          <w:w w:val="105"/>
          <w:sz w:val="23"/>
        </w:rPr>
        <w:t>and</w:t>
      </w:r>
      <w:r>
        <w:rPr>
          <w:rFonts w:ascii="Times New Roman"/>
          <w:color w:val="282828"/>
          <w:spacing w:val="-10"/>
          <w:w w:val="105"/>
          <w:sz w:val="23"/>
        </w:rPr>
        <w:t> </w:t>
      </w:r>
      <w:r>
        <w:rPr>
          <w:rFonts w:ascii="Times New Roman"/>
          <w:color w:val="282828"/>
          <w:w w:val="105"/>
          <w:sz w:val="23"/>
        </w:rPr>
        <w:t>for</w:t>
      </w:r>
      <w:r>
        <w:rPr>
          <w:rFonts w:ascii="Times New Roman"/>
          <w:color w:val="282828"/>
          <w:spacing w:val="-16"/>
          <w:w w:val="105"/>
          <w:sz w:val="23"/>
        </w:rPr>
        <w:t> </w:t>
      </w:r>
      <w:r>
        <w:rPr>
          <w:rFonts w:ascii="Times New Roman"/>
          <w:color w:val="282828"/>
          <w:w w:val="105"/>
          <w:sz w:val="23"/>
        </w:rPr>
        <w:t>obtaining any</w:t>
      </w:r>
      <w:r>
        <w:rPr>
          <w:rFonts w:ascii="Times New Roman"/>
          <w:color w:val="282828"/>
          <w:spacing w:val="-3"/>
          <w:w w:val="105"/>
          <w:sz w:val="23"/>
        </w:rPr>
        <w:t> </w:t>
      </w:r>
      <w:r>
        <w:rPr>
          <w:rFonts w:ascii="Times New Roman"/>
          <w:color w:val="282828"/>
          <w:w w:val="105"/>
          <w:sz w:val="23"/>
        </w:rPr>
        <w:t>Federal </w:t>
      </w:r>
      <w:r>
        <w:rPr>
          <w:rFonts w:ascii="Times New Roman"/>
          <w:color w:val="3D3D3D"/>
          <w:w w:val="105"/>
          <w:sz w:val="23"/>
        </w:rPr>
        <w:t>gra</w:t>
      </w:r>
      <w:r>
        <w:rPr>
          <w:rFonts w:ascii="Times New Roman"/>
          <w:color w:val="151515"/>
          <w:w w:val="105"/>
          <w:sz w:val="23"/>
        </w:rPr>
        <w:t>nts</w:t>
      </w:r>
      <w:r>
        <w:rPr>
          <w:rFonts w:ascii="Times New Roman"/>
          <w:color w:val="3D3D3D"/>
          <w:w w:val="105"/>
          <w:sz w:val="23"/>
        </w:rPr>
        <w:t>,</w:t>
      </w:r>
      <w:r>
        <w:rPr>
          <w:rFonts w:ascii="Times New Roman"/>
          <w:color w:val="3D3D3D"/>
          <w:spacing w:val="-9"/>
          <w:w w:val="105"/>
          <w:sz w:val="23"/>
        </w:rPr>
        <w:t> </w:t>
      </w:r>
      <w:r>
        <w:rPr>
          <w:rFonts w:ascii="Times New Roman"/>
          <w:color w:val="151515"/>
          <w:w w:val="105"/>
          <w:sz w:val="23"/>
        </w:rPr>
        <w:t>loan</w:t>
      </w:r>
      <w:r>
        <w:rPr>
          <w:rFonts w:ascii="Times New Roman"/>
          <w:color w:val="3D3D3D"/>
          <w:w w:val="105"/>
          <w:sz w:val="23"/>
        </w:rPr>
        <w:t>s,</w:t>
      </w:r>
      <w:r>
        <w:rPr>
          <w:rFonts w:ascii="Times New Roman"/>
          <w:color w:val="3D3D3D"/>
          <w:spacing w:val="77"/>
          <w:w w:val="105"/>
          <w:sz w:val="23"/>
        </w:rPr>
        <w:t> </w:t>
      </w:r>
      <w:r>
        <w:rPr>
          <w:rFonts w:ascii="Times New Roman"/>
          <w:color w:val="282828"/>
          <w:w w:val="105"/>
          <w:sz w:val="23"/>
        </w:rPr>
        <w:t>contracts, agreements, </w:t>
      </w:r>
      <w:r>
        <w:rPr>
          <w:rFonts w:ascii="Times New Roman"/>
          <w:color w:val="151515"/>
          <w:w w:val="105"/>
          <w:sz w:val="23"/>
        </w:rPr>
        <w:t>prop</w:t>
      </w:r>
      <w:r>
        <w:rPr>
          <w:rFonts w:ascii="Times New Roman"/>
          <w:color w:val="3D3D3D"/>
          <w:w w:val="105"/>
          <w:sz w:val="23"/>
        </w:rPr>
        <w:t>erty,</w:t>
      </w:r>
      <w:r>
        <w:rPr>
          <w:rFonts w:ascii="Times New Roman"/>
          <w:color w:val="3D3D3D"/>
          <w:spacing w:val="-10"/>
          <w:w w:val="105"/>
          <w:sz w:val="23"/>
        </w:rPr>
        <w:t> </w:t>
      </w:r>
      <w:r>
        <w:rPr>
          <w:rFonts w:ascii="Times New Roman"/>
          <w:color w:val="282828"/>
          <w:w w:val="105"/>
          <w:sz w:val="23"/>
        </w:rPr>
        <w:t>and/or discounts,</w:t>
      </w:r>
      <w:r>
        <w:rPr>
          <w:rFonts w:ascii="Times New Roman"/>
          <w:color w:val="282828"/>
          <w:spacing w:val="-2"/>
          <w:w w:val="105"/>
          <w:sz w:val="23"/>
        </w:rPr>
        <w:t> </w:t>
      </w:r>
      <w:r>
        <w:rPr>
          <w:rFonts w:ascii="Times New Roman"/>
          <w:color w:val="282828"/>
          <w:w w:val="105"/>
          <w:sz w:val="23"/>
        </w:rPr>
        <w:t>or</w:t>
      </w:r>
      <w:r>
        <w:rPr>
          <w:rFonts w:ascii="Times New Roman"/>
          <w:color w:val="282828"/>
          <w:spacing w:val="-14"/>
          <w:w w:val="105"/>
          <w:sz w:val="23"/>
        </w:rPr>
        <w:t> </w:t>
      </w:r>
      <w:r>
        <w:rPr>
          <w:rFonts w:ascii="Times New Roman"/>
          <w:color w:val="282828"/>
          <w:w w:val="105"/>
          <w:sz w:val="23"/>
        </w:rPr>
        <w:t>other</w:t>
      </w:r>
      <w:r>
        <w:rPr>
          <w:rFonts w:ascii="Times New Roman"/>
          <w:color w:val="282828"/>
          <w:spacing w:val="-6"/>
          <w:w w:val="105"/>
          <w:sz w:val="23"/>
        </w:rPr>
        <w:t> </w:t>
      </w:r>
      <w:r>
        <w:rPr>
          <w:rFonts w:ascii="Times New Roman"/>
          <w:color w:val="282828"/>
          <w:w w:val="105"/>
          <w:sz w:val="23"/>
        </w:rPr>
        <w:t>Federal-aid and Federal financial assistance</w:t>
      </w:r>
      <w:r>
        <w:rPr>
          <w:rFonts w:ascii="Times New Roman"/>
          <w:color w:val="282828"/>
          <w:spacing w:val="80"/>
          <w:w w:val="150"/>
          <w:sz w:val="23"/>
        </w:rPr>
        <w:t> </w:t>
      </w:r>
      <w:r>
        <w:rPr>
          <w:rFonts w:ascii="Times New Roman"/>
          <w:color w:val="282828"/>
          <w:w w:val="105"/>
          <w:sz w:val="23"/>
        </w:rPr>
        <w:t>extended after</w:t>
      </w:r>
      <w:r>
        <w:rPr>
          <w:rFonts w:ascii="Times New Roman"/>
          <w:color w:val="282828"/>
          <w:spacing w:val="-12"/>
          <w:w w:val="105"/>
          <w:sz w:val="23"/>
        </w:rPr>
        <w:t> </w:t>
      </w:r>
      <w:r>
        <w:rPr>
          <w:rFonts w:ascii="Times New Roman"/>
          <w:color w:val="282828"/>
          <w:w w:val="105"/>
          <w:sz w:val="23"/>
        </w:rPr>
        <w:t>the</w:t>
      </w:r>
      <w:r>
        <w:rPr>
          <w:rFonts w:ascii="Times New Roman"/>
          <w:color w:val="282828"/>
          <w:spacing w:val="-6"/>
          <w:w w:val="105"/>
          <w:sz w:val="23"/>
        </w:rPr>
        <w:t> </w:t>
      </w:r>
      <w:r>
        <w:rPr>
          <w:rFonts w:ascii="Times New Roman"/>
          <w:color w:val="282828"/>
          <w:w w:val="105"/>
          <w:sz w:val="23"/>
        </w:rPr>
        <w:t>date</w:t>
      </w:r>
      <w:r>
        <w:rPr>
          <w:rFonts w:ascii="Times New Roman"/>
          <w:color w:val="282828"/>
          <w:spacing w:val="-11"/>
          <w:w w:val="105"/>
          <w:sz w:val="23"/>
        </w:rPr>
        <w:t> </w:t>
      </w:r>
      <w:r>
        <w:rPr>
          <w:rFonts w:ascii="Times New Roman"/>
          <w:color w:val="282828"/>
          <w:w w:val="105"/>
          <w:sz w:val="23"/>
        </w:rPr>
        <w:t>hereof to</w:t>
      </w:r>
      <w:r>
        <w:rPr>
          <w:rFonts w:ascii="Times New Roman"/>
          <w:color w:val="282828"/>
          <w:spacing w:val="-12"/>
          <w:w w:val="105"/>
          <w:sz w:val="23"/>
        </w:rPr>
        <w:t> </w:t>
      </w:r>
      <w:r>
        <w:rPr>
          <w:rFonts w:ascii="Times New Roman"/>
          <w:color w:val="282828"/>
          <w:w w:val="105"/>
          <w:sz w:val="23"/>
        </w:rPr>
        <w:t>the</w:t>
      </w:r>
      <w:r>
        <w:rPr>
          <w:rFonts w:ascii="Times New Roman"/>
          <w:color w:val="282828"/>
          <w:spacing w:val="-9"/>
          <w:w w:val="105"/>
          <w:sz w:val="23"/>
        </w:rPr>
        <w:t> </w:t>
      </w:r>
      <w:r>
        <w:rPr>
          <w:rFonts w:ascii="Times New Roman"/>
          <w:color w:val="282828"/>
          <w:w w:val="105"/>
          <w:sz w:val="23"/>
        </w:rPr>
        <w:t>recipients</w:t>
      </w:r>
      <w:r>
        <w:rPr>
          <w:rFonts w:ascii="Times New Roman"/>
          <w:color w:val="282828"/>
          <w:spacing w:val="22"/>
          <w:w w:val="105"/>
          <w:sz w:val="23"/>
        </w:rPr>
        <w:t> </w:t>
      </w:r>
      <w:r>
        <w:rPr>
          <w:rFonts w:ascii="Times New Roman"/>
          <w:color w:val="282828"/>
          <w:w w:val="105"/>
          <w:sz w:val="23"/>
        </w:rPr>
        <w:t>by the</w:t>
      </w:r>
      <w:r>
        <w:rPr>
          <w:rFonts w:ascii="Times New Roman"/>
          <w:color w:val="282828"/>
          <w:spacing w:val="-22"/>
          <w:w w:val="105"/>
          <w:sz w:val="23"/>
        </w:rPr>
        <w:t> </w:t>
      </w:r>
      <w:r>
        <w:rPr>
          <w:rFonts w:ascii="Times New Roman"/>
          <w:color w:val="282828"/>
          <w:w w:val="105"/>
          <w:sz w:val="23"/>
        </w:rPr>
        <w:t>U.S.</w:t>
      </w:r>
      <w:r>
        <w:rPr>
          <w:rFonts w:ascii="Times New Roman"/>
          <w:color w:val="282828"/>
          <w:spacing w:val="-12"/>
          <w:w w:val="105"/>
          <w:sz w:val="23"/>
        </w:rPr>
        <w:t> </w:t>
      </w:r>
      <w:r>
        <w:rPr>
          <w:rFonts w:ascii="Times New Roman"/>
          <w:color w:val="282828"/>
          <w:w w:val="105"/>
          <w:sz w:val="23"/>
        </w:rPr>
        <w:t>Department</w:t>
      </w:r>
      <w:r>
        <w:rPr>
          <w:rFonts w:ascii="Times New Roman"/>
          <w:color w:val="282828"/>
          <w:spacing w:val="20"/>
          <w:w w:val="105"/>
          <w:sz w:val="23"/>
        </w:rPr>
        <w:t> </w:t>
      </w:r>
      <w:r>
        <w:rPr>
          <w:rFonts w:ascii="Times New Roman"/>
          <w:color w:val="282828"/>
          <w:w w:val="105"/>
          <w:sz w:val="23"/>
        </w:rPr>
        <w:t>of Transportation</w:t>
      </w:r>
      <w:r>
        <w:rPr>
          <w:rFonts w:ascii="Times New Roman"/>
          <w:color w:val="282828"/>
          <w:spacing w:val="-12"/>
          <w:w w:val="105"/>
          <w:sz w:val="23"/>
        </w:rPr>
        <w:t> </w:t>
      </w:r>
      <w:r>
        <w:rPr>
          <w:rFonts w:ascii="Times New Roman"/>
          <w:color w:val="282828"/>
          <w:w w:val="105"/>
          <w:sz w:val="23"/>
        </w:rPr>
        <w:t>under</w:t>
      </w:r>
      <w:r>
        <w:rPr>
          <w:rFonts w:ascii="Times New Roman"/>
          <w:color w:val="282828"/>
          <w:spacing w:val="-7"/>
          <w:w w:val="105"/>
          <w:sz w:val="23"/>
        </w:rPr>
        <w:t> </w:t>
      </w:r>
      <w:r>
        <w:rPr>
          <w:rFonts w:ascii="Times New Roman"/>
          <w:color w:val="282828"/>
          <w:w w:val="105"/>
          <w:sz w:val="23"/>
        </w:rPr>
        <w:t>the</w:t>
      </w:r>
      <w:r>
        <w:rPr>
          <w:rFonts w:ascii="Times New Roman"/>
          <w:color w:val="282828"/>
          <w:spacing w:val="-9"/>
          <w:w w:val="105"/>
          <w:sz w:val="23"/>
        </w:rPr>
        <w:t> </w:t>
      </w:r>
      <w:r>
        <w:rPr>
          <w:rFonts w:ascii="Times New Roman"/>
          <w:b/>
          <w:i/>
          <w:color w:val="282828"/>
          <w:w w:val="105"/>
          <w:sz w:val="23"/>
        </w:rPr>
        <w:t>Fedeml</w:t>
      </w:r>
      <w:r>
        <w:rPr>
          <w:rFonts w:ascii="Times New Roman"/>
          <w:b/>
          <w:i/>
          <w:color w:val="282828"/>
          <w:spacing w:val="-6"/>
          <w:w w:val="105"/>
          <w:sz w:val="23"/>
        </w:rPr>
        <w:t> </w:t>
      </w:r>
      <w:r>
        <w:rPr>
          <w:rFonts w:ascii="Times New Roman"/>
          <w:b/>
          <w:i/>
          <w:color w:val="282828"/>
          <w:w w:val="105"/>
          <w:sz w:val="23"/>
        </w:rPr>
        <w:t>Tnmsit</w:t>
      </w:r>
      <w:r>
        <w:rPr>
          <w:rFonts w:ascii="Times New Roman"/>
          <w:b/>
          <w:i/>
          <w:color w:val="282828"/>
          <w:spacing w:val="-8"/>
          <w:w w:val="105"/>
          <w:sz w:val="23"/>
        </w:rPr>
        <w:t> </w:t>
      </w:r>
      <w:r>
        <w:rPr>
          <w:rFonts w:ascii="Times New Roman"/>
          <w:b/>
          <w:i/>
          <w:color w:val="282828"/>
          <w:w w:val="105"/>
          <w:sz w:val="23"/>
        </w:rPr>
        <w:t>Program.</w:t>
      </w:r>
      <w:r>
        <w:rPr>
          <w:rFonts w:ascii="Times New Roman"/>
          <w:b/>
          <w:i/>
          <w:color w:val="282828"/>
          <w:spacing w:val="-15"/>
          <w:w w:val="105"/>
          <w:sz w:val="23"/>
        </w:rPr>
        <w:t> </w:t>
      </w:r>
      <w:r>
        <w:rPr>
          <w:rFonts w:ascii="Times New Roman"/>
          <w:color w:val="282828"/>
          <w:w w:val="105"/>
          <w:sz w:val="23"/>
        </w:rPr>
        <w:t>This</w:t>
      </w:r>
      <w:r>
        <w:rPr>
          <w:rFonts w:ascii="Times New Roman"/>
          <w:color w:val="282828"/>
          <w:spacing w:val="68"/>
          <w:w w:val="105"/>
          <w:sz w:val="23"/>
        </w:rPr>
        <w:t> </w:t>
      </w:r>
      <w:r>
        <w:rPr>
          <w:rFonts w:ascii="Times New Roman"/>
          <w:color w:val="282828"/>
          <w:w w:val="105"/>
          <w:sz w:val="23"/>
        </w:rPr>
        <w:t>ASSURANCE</w:t>
      </w:r>
      <w:r>
        <w:rPr>
          <w:rFonts w:ascii="Times New Roman"/>
          <w:color w:val="282828"/>
          <w:spacing w:val="18"/>
          <w:w w:val="105"/>
          <w:sz w:val="23"/>
        </w:rPr>
        <w:t> </w:t>
      </w:r>
      <w:r>
        <w:rPr>
          <w:rFonts w:ascii="Times New Roman"/>
          <w:color w:val="151515"/>
          <w:w w:val="105"/>
          <w:sz w:val="23"/>
        </w:rPr>
        <w:t>i</w:t>
      </w:r>
      <w:r>
        <w:rPr>
          <w:rFonts w:ascii="Times New Roman"/>
          <w:color w:val="3D3D3D"/>
          <w:w w:val="105"/>
          <w:sz w:val="23"/>
        </w:rPr>
        <w:t>s </w:t>
      </w:r>
      <w:r>
        <w:rPr>
          <w:rFonts w:ascii="Times New Roman"/>
          <w:color w:val="282828"/>
          <w:w w:val="105"/>
          <w:sz w:val="23"/>
        </w:rPr>
        <w:t>binding on</w:t>
      </w:r>
      <w:r>
        <w:rPr>
          <w:rFonts w:ascii="Times New Roman"/>
          <w:color w:val="282828"/>
          <w:spacing w:val="-8"/>
          <w:w w:val="105"/>
          <w:sz w:val="23"/>
        </w:rPr>
        <w:t> </w:t>
      </w:r>
      <w:r>
        <w:rPr>
          <w:rFonts w:ascii="Times New Roman"/>
          <w:color w:val="282828"/>
          <w:w w:val="105"/>
          <w:sz w:val="23"/>
        </w:rPr>
        <w:t>the</w:t>
      </w:r>
      <w:r>
        <w:rPr>
          <w:rFonts w:ascii="Times New Roman"/>
          <w:color w:val="282828"/>
          <w:spacing w:val="-16"/>
          <w:w w:val="105"/>
          <w:sz w:val="23"/>
        </w:rPr>
        <w:t> </w:t>
      </w:r>
      <w:r>
        <w:rPr>
          <w:rFonts w:ascii="Times New Roman"/>
          <w:color w:val="282828"/>
          <w:w w:val="105"/>
          <w:sz w:val="23"/>
        </w:rPr>
        <w:t>State</w:t>
      </w:r>
      <w:r>
        <w:rPr>
          <w:rFonts w:ascii="Times New Roman"/>
          <w:color w:val="282828"/>
          <w:spacing w:val="-7"/>
          <w:w w:val="105"/>
          <w:sz w:val="23"/>
        </w:rPr>
        <w:t> </w:t>
      </w:r>
      <w:r>
        <w:rPr>
          <w:rFonts w:ascii="Times New Roman"/>
          <w:color w:val="282828"/>
          <w:w w:val="105"/>
          <w:sz w:val="23"/>
        </w:rPr>
        <w:t>of</w:t>
      </w:r>
      <w:r>
        <w:rPr>
          <w:rFonts w:ascii="Times New Roman"/>
          <w:color w:val="282828"/>
          <w:spacing w:val="-5"/>
          <w:w w:val="105"/>
          <w:sz w:val="23"/>
        </w:rPr>
        <w:t> </w:t>
      </w:r>
      <w:r>
        <w:rPr>
          <w:rFonts w:ascii="Times New Roman"/>
          <w:color w:val="282828"/>
          <w:w w:val="105"/>
          <w:sz w:val="23"/>
        </w:rPr>
        <w:t>Maine, other </w:t>
      </w:r>
      <w:r>
        <w:rPr>
          <w:rFonts w:ascii="Times New Roman"/>
          <w:color w:val="151515"/>
          <w:w w:val="105"/>
          <w:sz w:val="23"/>
        </w:rPr>
        <w:t>recipient</w:t>
      </w:r>
      <w:r>
        <w:rPr>
          <w:rFonts w:ascii="Times New Roman"/>
          <w:color w:val="3D3D3D"/>
          <w:w w:val="105"/>
          <w:sz w:val="23"/>
        </w:rPr>
        <w:t>s,</w:t>
      </w:r>
      <w:r>
        <w:rPr>
          <w:rFonts w:ascii="Times New Roman"/>
          <w:color w:val="3D3D3D"/>
          <w:spacing w:val="-3"/>
          <w:w w:val="105"/>
          <w:sz w:val="23"/>
        </w:rPr>
        <w:t> </w:t>
      </w:r>
      <w:r>
        <w:rPr>
          <w:rFonts w:ascii="Times New Roman"/>
          <w:color w:val="3D3D3D"/>
          <w:w w:val="105"/>
          <w:sz w:val="23"/>
        </w:rPr>
        <w:t>sub-rec</w:t>
      </w:r>
      <w:r>
        <w:rPr>
          <w:rFonts w:ascii="Times New Roman"/>
          <w:color w:val="151515"/>
          <w:w w:val="105"/>
          <w:sz w:val="23"/>
        </w:rPr>
        <w:t>ipients</w:t>
      </w:r>
      <w:r>
        <w:rPr>
          <w:rFonts w:ascii="Times New Roman"/>
          <w:color w:val="3D3D3D"/>
          <w:w w:val="105"/>
          <w:sz w:val="23"/>
        </w:rPr>
        <w:t>,</w:t>
      </w:r>
      <w:r>
        <w:rPr>
          <w:rFonts w:ascii="Times New Roman"/>
          <w:color w:val="3D3D3D"/>
          <w:spacing w:val="-10"/>
          <w:w w:val="105"/>
          <w:sz w:val="23"/>
        </w:rPr>
        <w:t> </w:t>
      </w:r>
      <w:r>
        <w:rPr>
          <w:rFonts w:ascii="Times New Roman"/>
          <w:color w:val="282828"/>
          <w:w w:val="105"/>
          <w:sz w:val="23"/>
        </w:rPr>
        <w:t>sub-grantees</w:t>
      </w:r>
      <w:r>
        <w:rPr>
          <w:rFonts w:ascii="Times New Roman"/>
          <w:color w:val="545454"/>
          <w:w w:val="105"/>
          <w:sz w:val="23"/>
        </w:rPr>
        <w:t>,</w:t>
      </w:r>
      <w:r>
        <w:rPr>
          <w:rFonts w:ascii="Times New Roman"/>
          <w:color w:val="545454"/>
          <w:spacing w:val="-15"/>
          <w:w w:val="105"/>
          <w:sz w:val="23"/>
        </w:rPr>
        <w:t> </w:t>
      </w:r>
      <w:r>
        <w:rPr>
          <w:rFonts w:ascii="Times New Roman"/>
          <w:color w:val="282828"/>
          <w:w w:val="105"/>
          <w:sz w:val="23"/>
        </w:rPr>
        <w:t>contractors,</w:t>
      </w:r>
      <w:r>
        <w:rPr>
          <w:rFonts w:ascii="Times New Roman"/>
          <w:color w:val="282828"/>
          <w:spacing w:val="80"/>
          <w:w w:val="105"/>
          <w:sz w:val="23"/>
        </w:rPr>
        <w:t> </w:t>
      </w:r>
      <w:r>
        <w:rPr>
          <w:rFonts w:ascii="Times New Roman"/>
          <w:color w:val="282828"/>
          <w:w w:val="105"/>
          <w:sz w:val="23"/>
        </w:rPr>
        <w:t>subcontractors</w:t>
      </w:r>
      <w:r>
        <w:rPr>
          <w:rFonts w:ascii="Times New Roman"/>
          <w:color w:val="282828"/>
          <w:spacing w:val="-8"/>
          <w:w w:val="105"/>
          <w:sz w:val="23"/>
        </w:rPr>
        <w:t> </w:t>
      </w:r>
      <w:r>
        <w:rPr>
          <w:rFonts w:ascii="Times New Roman"/>
          <w:color w:val="282828"/>
          <w:w w:val="105"/>
          <w:sz w:val="23"/>
        </w:rPr>
        <w:t>and their subcontractors', </w:t>
      </w:r>
      <w:r>
        <w:rPr>
          <w:rFonts w:ascii="Times New Roman"/>
          <w:color w:val="151515"/>
          <w:w w:val="105"/>
          <w:sz w:val="23"/>
        </w:rPr>
        <w:t>transferee</w:t>
      </w:r>
      <w:r>
        <w:rPr>
          <w:rFonts w:ascii="Times New Roman"/>
          <w:color w:val="3D3D3D"/>
          <w:w w:val="105"/>
          <w:sz w:val="23"/>
        </w:rPr>
        <w:t>s,</w:t>
      </w:r>
      <w:r>
        <w:rPr>
          <w:rFonts w:ascii="Times New Roman"/>
          <w:color w:val="3D3D3D"/>
          <w:spacing w:val="-6"/>
          <w:w w:val="105"/>
          <w:sz w:val="23"/>
        </w:rPr>
        <w:t> </w:t>
      </w:r>
      <w:r>
        <w:rPr>
          <w:rFonts w:ascii="Times New Roman"/>
          <w:color w:val="282828"/>
          <w:w w:val="105"/>
          <w:sz w:val="23"/>
        </w:rPr>
        <w:t>successors </w:t>
      </w:r>
      <w:r>
        <w:rPr>
          <w:rFonts w:ascii="Times New Roman"/>
          <w:b/>
          <w:color w:val="282828"/>
          <w:w w:val="105"/>
          <w:sz w:val="22"/>
        </w:rPr>
        <w:t>in </w:t>
      </w:r>
      <w:r>
        <w:rPr>
          <w:rFonts w:ascii="Times New Roman"/>
          <w:color w:val="151515"/>
          <w:w w:val="105"/>
          <w:sz w:val="23"/>
        </w:rPr>
        <w:t>intere</w:t>
      </w:r>
      <w:r>
        <w:rPr>
          <w:rFonts w:ascii="Times New Roman"/>
          <w:color w:val="3D3D3D"/>
          <w:w w:val="105"/>
          <w:sz w:val="23"/>
        </w:rPr>
        <w:t>st,</w:t>
      </w:r>
      <w:r>
        <w:rPr>
          <w:rFonts w:ascii="Times New Roman"/>
          <w:color w:val="3D3D3D"/>
          <w:spacing w:val="-3"/>
          <w:w w:val="105"/>
          <w:sz w:val="23"/>
        </w:rPr>
        <w:t> </w:t>
      </w:r>
      <w:r>
        <w:rPr>
          <w:rFonts w:ascii="Times New Roman"/>
          <w:color w:val="282828"/>
          <w:w w:val="105"/>
          <w:sz w:val="23"/>
        </w:rPr>
        <w:t>and any other participants</w:t>
      </w:r>
      <w:r>
        <w:rPr>
          <w:rFonts w:ascii="Times New Roman"/>
          <w:color w:val="282828"/>
          <w:spacing w:val="80"/>
          <w:w w:val="105"/>
          <w:sz w:val="23"/>
        </w:rPr>
        <w:t> </w:t>
      </w:r>
      <w:r>
        <w:rPr>
          <w:rFonts w:ascii="Times New Roman"/>
          <w:color w:val="151515"/>
          <w:w w:val="105"/>
          <w:sz w:val="23"/>
        </w:rPr>
        <w:t>in </w:t>
      </w:r>
      <w:r>
        <w:rPr>
          <w:rFonts w:ascii="Times New Roman"/>
          <w:color w:val="282828"/>
          <w:w w:val="105"/>
          <w:sz w:val="23"/>
        </w:rPr>
        <w:t>the </w:t>
      </w:r>
      <w:r>
        <w:rPr>
          <w:rFonts w:ascii="Times New Roman"/>
          <w:b/>
          <w:i/>
          <w:color w:val="282828"/>
          <w:w w:val="105"/>
          <w:sz w:val="23"/>
        </w:rPr>
        <w:t>Fedeml Tmnsit Progmm.</w:t>
      </w:r>
      <w:r>
        <w:rPr>
          <w:rFonts w:ascii="Times New Roman"/>
          <w:b/>
          <w:i/>
          <w:color w:val="282828"/>
          <w:spacing w:val="-5"/>
          <w:w w:val="105"/>
          <w:sz w:val="23"/>
        </w:rPr>
        <w:t> </w:t>
      </w:r>
      <w:r>
        <w:rPr>
          <w:rFonts w:ascii="Times New Roman"/>
          <w:color w:val="282828"/>
          <w:w w:val="105"/>
          <w:sz w:val="23"/>
        </w:rPr>
        <w:t>The person(s) signing below is authorized to sign</w:t>
      </w:r>
      <w:r>
        <w:rPr>
          <w:rFonts w:ascii="Times New Roman"/>
          <w:color w:val="282828"/>
          <w:spacing w:val="-4"/>
          <w:w w:val="105"/>
          <w:sz w:val="23"/>
        </w:rPr>
        <w:t> </w:t>
      </w:r>
      <w:r>
        <w:rPr>
          <w:rFonts w:ascii="Times New Roman"/>
          <w:color w:val="282828"/>
          <w:w w:val="105"/>
          <w:sz w:val="23"/>
        </w:rPr>
        <w:t>this</w:t>
      </w:r>
      <w:r>
        <w:rPr>
          <w:rFonts w:ascii="Times New Roman"/>
          <w:color w:val="282828"/>
          <w:spacing w:val="-12"/>
          <w:w w:val="105"/>
          <w:sz w:val="23"/>
        </w:rPr>
        <w:t> </w:t>
      </w:r>
      <w:r>
        <w:rPr>
          <w:rFonts w:ascii="Times New Roman"/>
          <w:color w:val="282828"/>
          <w:w w:val="105"/>
          <w:sz w:val="23"/>
        </w:rPr>
        <w:t>ASSURANCE on</w:t>
      </w:r>
      <w:r>
        <w:rPr>
          <w:rFonts w:ascii="Times New Roman"/>
          <w:color w:val="282828"/>
          <w:spacing w:val="-3"/>
          <w:w w:val="105"/>
          <w:sz w:val="23"/>
        </w:rPr>
        <w:t> </w:t>
      </w:r>
      <w:r>
        <w:rPr>
          <w:rFonts w:ascii="Times New Roman"/>
          <w:color w:val="282828"/>
          <w:w w:val="105"/>
          <w:sz w:val="23"/>
        </w:rPr>
        <w:t>behalf</w:t>
      </w:r>
      <w:r>
        <w:rPr>
          <w:rFonts w:ascii="Times New Roman"/>
          <w:color w:val="282828"/>
          <w:spacing w:val="-1"/>
          <w:w w:val="105"/>
          <w:sz w:val="23"/>
        </w:rPr>
        <w:t> </w:t>
      </w:r>
      <w:r>
        <w:rPr>
          <w:rFonts w:ascii="Times New Roman"/>
          <w:color w:val="282828"/>
          <w:w w:val="105"/>
          <w:sz w:val="23"/>
        </w:rPr>
        <w:t>of the</w:t>
      </w:r>
      <w:r>
        <w:rPr>
          <w:rFonts w:ascii="Times New Roman"/>
          <w:color w:val="282828"/>
          <w:spacing w:val="35"/>
          <w:w w:val="105"/>
          <w:sz w:val="23"/>
        </w:rPr>
        <w:t> </w:t>
      </w:r>
      <w:r>
        <w:rPr>
          <w:rFonts w:ascii="Times New Roman"/>
          <w:color w:val="282828"/>
          <w:w w:val="105"/>
          <w:sz w:val="23"/>
        </w:rPr>
        <w:t>Recipient.</w:t>
      </w:r>
    </w:p>
    <w:p>
      <w:pPr>
        <w:pStyle w:val="BodyText"/>
        <w:rPr>
          <w:rFonts w:ascii="Times New Roman"/>
          <w:sz w:val="26"/>
        </w:rPr>
      </w:pPr>
    </w:p>
    <w:p>
      <w:pPr>
        <w:pStyle w:val="Heading3"/>
        <w:spacing w:before="226"/>
        <w:ind w:left="4407"/>
      </w:pPr>
      <w:r>
        <w:rPr>
          <w:color w:val="282828"/>
        </w:rPr>
        <w:t>Maine</w:t>
      </w:r>
      <w:r>
        <w:rPr>
          <w:color w:val="282828"/>
          <w:spacing w:val="27"/>
        </w:rPr>
        <w:t> </w:t>
      </w:r>
      <w:r>
        <w:rPr>
          <w:color w:val="282828"/>
        </w:rPr>
        <w:t>Department</w:t>
      </w:r>
      <w:r>
        <w:rPr>
          <w:color w:val="282828"/>
          <w:spacing w:val="54"/>
        </w:rPr>
        <w:t> </w:t>
      </w:r>
      <w:r>
        <w:rPr>
          <w:color w:val="282828"/>
        </w:rPr>
        <w:t>of</w:t>
      </w:r>
      <w:r>
        <w:rPr>
          <w:color w:val="282828"/>
          <w:spacing w:val="-2"/>
        </w:rPr>
        <w:t> Transportation</w:t>
      </w:r>
    </w:p>
    <w:p>
      <w:pPr>
        <w:tabs>
          <w:tab w:pos="4756" w:val="left" w:leader="none"/>
        </w:tabs>
        <w:spacing w:line="755" w:lineRule="exact" w:before="117"/>
        <w:ind w:left="3927" w:right="0" w:firstLine="0"/>
        <w:jc w:val="left"/>
        <w:rPr>
          <w:rFonts w:ascii="Verdana" w:hAnsi="Verdana" w:cs="Verdana" w:eastAsia="Verdana"/>
          <w:i/>
          <w:iCs/>
          <w:sz w:val="65"/>
          <w:szCs w:val="65"/>
        </w:rPr>
      </w:pPr>
      <w:r>
        <w:rPr>
          <w:rFonts w:ascii="Arial" w:hAnsi="Arial" w:cs="Arial" w:eastAsia="Arial"/>
          <w:color w:val="282828"/>
          <w:spacing w:val="-5"/>
          <w:w w:val="120"/>
          <w:sz w:val="23"/>
          <w:szCs w:val="23"/>
        </w:rPr>
        <w:t>By</w:t>
      </w:r>
      <w:r>
        <w:rPr>
          <w:rFonts w:ascii="Arial" w:hAnsi="Arial" w:cs="Arial" w:eastAsia="Arial"/>
          <w:color w:val="282828"/>
          <w:sz w:val="23"/>
          <w:szCs w:val="23"/>
        </w:rPr>
        <w:tab/>
      </w:r>
      <w:r>
        <w:rPr>
          <w:rFonts w:ascii="Verdana" w:hAnsi="Verdana" w:cs="Verdana" w:eastAsia="Verdana"/>
          <w:i/>
          <w:iCs/>
          <w:color w:val="485DB5"/>
          <w:spacing w:val="-2"/>
          <w:w w:val="120"/>
          <w:sz w:val="65"/>
          <w:szCs w:val="65"/>
          <w:u w:val="thick" w:color="485DB5"/>
        </w:rPr>
        <w:t>,4?�?Zd(</w:t>
      </w:r>
    </w:p>
    <w:p>
      <w:pPr>
        <w:spacing w:line="230" w:lineRule="exact" w:before="0"/>
        <w:ind w:left="5144" w:right="0" w:firstLine="0"/>
        <w:jc w:val="left"/>
        <w:rPr>
          <w:rFonts w:ascii="Times New Roman"/>
          <w:sz w:val="23"/>
        </w:rPr>
      </w:pPr>
      <w:r>
        <w:rPr>
          <w:rFonts w:ascii="Times New Roman"/>
          <w:color w:val="282828"/>
          <w:w w:val="110"/>
          <w:sz w:val="23"/>
        </w:rPr>
        <w:t>Bruce</w:t>
      </w:r>
      <w:r>
        <w:rPr>
          <w:rFonts w:ascii="Times New Roman"/>
          <w:color w:val="282828"/>
          <w:spacing w:val="-3"/>
          <w:w w:val="110"/>
          <w:sz w:val="23"/>
        </w:rPr>
        <w:t> </w:t>
      </w:r>
      <w:r>
        <w:rPr>
          <w:rFonts w:ascii="Times New Roman"/>
          <w:color w:val="282828"/>
          <w:w w:val="110"/>
          <w:sz w:val="23"/>
        </w:rPr>
        <w:t>A.</w:t>
      </w:r>
      <w:r>
        <w:rPr>
          <w:rFonts w:ascii="Times New Roman"/>
          <w:color w:val="282828"/>
          <w:spacing w:val="-14"/>
          <w:w w:val="110"/>
          <w:sz w:val="23"/>
        </w:rPr>
        <w:t> </w:t>
      </w:r>
      <w:r>
        <w:rPr>
          <w:rFonts w:ascii="Times New Roman"/>
          <w:color w:val="282828"/>
          <w:w w:val="110"/>
          <w:sz w:val="23"/>
        </w:rPr>
        <w:t>Van</w:t>
      </w:r>
      <w:r>
        <w:rPr>
          <w:rFonts w:ascii="Times New Roman"/>
          <w:color w:val="282828"/>
          <w:spacing w:val="-5"/>
          <w:w w:val="110"/>
          <w:sz w:val="23"/>
        </w:rPr>
        <w:t> </w:t>
      </w:r>
      <w:r>
        <w:rPr>
          <w:rFonts w:ascii="Times New Roman"/>
          <w:color w:val="282828"/>
          <w:w w:val="110"/>
          <w:sz w:val="23"/>
        </w:rPr>
        <w:t>Note,</w:t>
      </w:r>
      <w:r>
        <w:rPr>
          <w:rFonts w:ascii="Times New Roman"/>
          <w:color w:val="282828"/>
          <w:spacing w:val="-14"/>
          <w:w w:val="110"/>
          <w:sz w:val="23"/>
        </w:rPr>
        <w:t> </w:t>
      </w:r>
      <w:r>
        <w:rPr>
          <w:rFonts w:ascii="Times New Roman"/>
          <w:color w:val="282828"/>
          <w:spacing w:val="-2"/>
          <w:w w:val="110"/>
          <w:sz w:val="23"/>
        </w:rPr>
        <w:t>Commissioner</w:t>
      </w:r>
    </w:p>
    <w:p>
      <w:pPr>
        <w:pStyle w:val="BodyText"/>
        <w:rPr>
          <w:rFonts w:ascii="Times New Roman"/>
          <w:sz w:val="26"/>
        </w:rPr>
      </w:pPr>
    </w:p>
    <w:p>
      <w:pPr>
        <w:pStyle w:val="BodyText"/>
        <w:spacing w:before="10"/>
        <w:rPr>
          <w:rFonts w:ascii="Times New Roman"/>
          <w:sz w:val="23"/>
        </w:rPr>
      </w:pPr>
    </w:p>
    <w:p>
      <w:pPr>
        <w:tabs>
          <w:tab w:pos="5627" w:val="left" w:leader="none"/>
        </w:tabs>
        <w:spacing w:before="0"/>
        <w:ind w:left="3947" w:right="0" w:firstLine="0"/>
        <w:jc w:val="left"/>
        <w:rPr>
          <w:rFonts w:ascii="Arial"/>
          <w:b/>
          <w:i/>
          <w:sz w:val="32"/>
        </w:rPr>
      </w:pPr>
      <w:r>
        <w:rPr>
          <w:rFonts w:ascii="Times New Roman"/>
          <w:color w:val="282828"/>
          <w:spacing w:val="-2"/>
          <w:w w:val="120"/>
          <w:sz w:val="23"/>
        </w:rPr>
        <w:t>Dated</w:t>
      </w:r>
      <w:r>
        <w:rPr>
          <w:rFonts w:ascii="Times New Roman"/>
          <w:color w:val="282828"/>
          <w:sz w:val="23"/>
        </w:rPr>
        <w:tab/>
      </w:r>
      <w:r>
        <w:rPr>
          <w:rFonts w:ascii="Arial"/>
          <w:b/>
          <w:i/>
          <w:color w:val="485DB5"/>
          <w:spacing w:val="-4"/>
          <w:w w:val="190"/>
          <w:sz w:val="32"/>
          <w:u w:val="thick" w:color="485DB5"/>
        </w:rPr>
        <w:t>qJ9k</w:t>
      </w:r>
    </w:p>
    <w:p>
      <w:pPr>
        <w:pStyle w:val="BodyText"/>
        <w:rPr>
          <w:rFonts w:ascii="Arial"/>
          <w:b/>
          <w:i/>
          <w:sz w:val="36"/>
        </w:rPr>
      </w:pPr>
    </w:p>
    <w:p>
      <w:pPr>
        <w:pStyle w:val="BodyText"/>
        <w:rPr>
          <w:rFonts w:ascii="Arial"/>
          <w:b/>
          <w:i/>
          <w:sz w:val="36"/>
        </w:rPr>
      </w:pPr>
    </w:p>
    <w:p>
      <w:pPr>
        <w:pStyle w:val="BodyText"/>
        <w:rPr>
          <w:rFonts w:ascii="Arial"/>
          <w:b/>
          <w:i/>
          <w:sz w:val="36"/>
        </w:rPr>
      </w:pPr>
    </w:p>
    <w:p>
      <w:pPr>
        <w:pStyle w:val="BodyText"/>
        <w:spacing w:before="1"/>
        <w:rPr>
          <w:rFonts w:ascii="Arial"/>
          <w:b/>
          <w:i/>
          <w:sz w:val="38"/>
        </w:rPr>
      </w:pPr>
    </w:p>
    <w:p>
      <w:pPr>
        <w:spacing w:before="1"/>
        <w:ind w:left="354" w:right="0" w:firstLine="0"/>
        <w:jc w:val="left"/>
        <w:rPr>
          <w:rFonts w:ascii="Times New Roman"/>
          <w:sz w:val="23"/>
        </w:rPr>
      </w:pPr>
      <w:r>
        <w:rPr>
          <w:rFonts w:ascii="Times New Roman"/>
          <w:color w:val="282828"/>
          <w:w w:val="105"/>
          <w:sz w:val="23"/>
        </w:rPr>
        <w:t>Encl.:</w:t>
      </w:r>
      <w:r>
        <w:rPr>
          <w:rFonts w:ascii="Times New Roman"/>
          <w:color w:val="282828"/>
          <w:spacing w:val="-16"/>
          <w:w w:val="105"/>
          <w:sz w:val="23"/>
        </w:rPr>
        <w:t> </w:t>
      </w:r>
      <w:r>
        <w:rPr>
          <w:rFonts w:ascii="Times New Roman"/>
          <w:color w:val="282828"/>
          <w:w w:val="105"/>
          <w:sz w:val="23"/>
        </w:rPr>
        <w:t>Appendices</w:t>
      </w:r>
      <w:r>
        <w:rPr>
          <w:rFonts w:ascii="Times New Roman"/>
          <w:color w:val="282828"/>
          <w:spacing w:val="1"/>
          <w:w w:val="105"/>
          <w:sz w:val="23"/>
        </w:rPr>
        <w:t> </w:t>
      </w:r>
      <w:r>
        <w:rPr>
          <w:rFonts w:ascii="Times New Roman"/>
          <w:color w:val="282828"/>
          <w:w w:val="105"/>
          <w:sz w:val="23"/>
        </w:rPr>
        <w:t>A,</w:t>
      </w:r>
      <w:r>
        <w:rPr>
          <w:rFonts w:ascii="Times New Roman"/>
          <w:color w:val="282828"/>
          <w:spacing w:val="-15"/>
          <w:w w:val="105"/>
          <w:sz w:val="23"/>
        </w:rPr>
        <w:t> </w:t>
      </w:r>
      <w:r>
        <w:rPr>
          <w:rFonts w:ascii="Times New Roman"/>
          <w:color w:val="282828"/>
          <w:w w:val="105"/>
          <w:sz w:val="23"/>
        </w:rPr>
        <w:t>B</w:t>
      </w:r>
      <w:r>
        <w:rPr>
          <w:rFonts w:ascii="Times New Roman"/>
          <w:color w:val="545454"/>
          <w:w w:val="105"/>
          <w:sz w:val="23"/>
        </w:rPr>
        <w:t>,</w:t>
      </w:r>
      <w:r>
        <w:rPr>
          <w:rFonts w:ascii="Times New Roman"/>
          <w:color w:val="545454"/>
          <w:spacing w:val="-15"/>
          <w:w w:val="105"/>
          <w:sz w:val="23"/>
        </w:rPr>
        <w:t> </w:t>
      </w:r>
      <w:r>
        <w:rPr>
          <w:rFonts w:ascii="Times New Roman"/>
          <w:color w:val="282828"/>
          <w:w w:val="105"/>
          <w:sz w:val="23"/>
        </w:rPr>
        <w:t>C,</w:t>
      </w:r>
      <w:r>
        <w:rPr>
          <w:rFonts w:ascii="Times New Roman"/>
          <w:color w:val="282828"/>
          <w:spacing w:val="-14"/>
          <w:w w:val="105"/>
          <w:sz w:val="23"/>
        </w:rPr>
        <w:t> </w:t>
      </w:r>
      <w:r>
        <w:rPr>
          <w:rFonts w:ascii="Times New Roman"/>
          <w:color w:val="282828"/>
          <w:w w:val="105"/>
          <w:sz w:val="23"/>
        </w:rPr>
        <w:t>D</w:t>
      </w:r>
      <w:r>
        <w:rPr>
          <w:rFonts w:ascii="Times New Roman"/>
          <w:color w:val="282828"/>
          <w:spacing w:val="-12"/>
          <w:w w:val="105"/>
          <w:sz w:val="23"/>
        </w:rPr>
        <w:t> </w:t>
      </w:r>
      <w:r>
        <w:rPr>
          <w:rFonts w:ascii="Times New Roman"/>
          <w:color w:val="282828"/>
          <w:w w:val="105"/>
          <w:sz w:val="23"/>
        </w:rPr>
        <w:t>and</w:t>
      </w:r>
      <w:r>
        <w:rPr>
          <w:rFonts w:ascii="Times New Roman"/>
          <w:color w:val="282828"/>
          <w:spacing w:val="-2"/>
          <w:w w:val="105"/>
          <w:sz w:val="23"/>
        </w:rPr>
        <w:t> </w:t>
      </w:r>
      <w:r>
        <w:rPr>
          <w:rFonts w:ascii="Times New Roman"/>
          <w:color w:val="3D3D3D"/>
          <w:spacing w:val="-10"/>
          <w:w w:val="105"/>
          <w:sz w:val="23"/>
        </w:rPr>
        <w:t>E</w:t>
      </w:r>
    </w:p>
    <w:p>
      <w:pPr>
        <w:spacing w:after="0"/>
        <w:jc w:val="left"/>
        <w:rPr>
          <w:rFonts w:ascii="Times New Roman"/>
          <w:sz w:val="23"/>
        </w:rPr>
        <w:sectPr>
          <w:footerReference w:type="default" r:id="rId60"/>
          <w:pgSz w:w="12240" w:h="15840"/>
          <w:pgMar w:footer="0" w:header="0" w:top="0" w:bottom="0" w:left="600" w:right="500"/>
        </w:sectPr>
      </w:pPr>
    </w:p>
    <w:p>
      <w:pPr>
        <w:pStyle w:val="Heading6"/>
        <w:spacing w:before="65"/>
        <w:ind w:left="3205" w:right="3500"/>
      </w:pPr>
      <w:r>
        <w:rPr/>
        <mc:AlternateContent>
          <mc:Choice Requires="wps">
            <w:drawing>
              <wp:anchor distT="0" distB="0" distL="0" distR="0" allowOverlap="1" layoutInCell="1" locked="0" behindDoc="0" simplePos="0" relativeHeight="15745536">
                <wp:simplePos x="0" y="0"/>
                <wp:positionH relativeFrom="page">
                  <wp:posOffset>7768208</wp:posOffset>
                </wp:positionH>
                <wp:positionV relativeFrom="page">
                  <wp:posOffset>9609290</wp:posOffset>
                </wp:positionV>
                <wp:extent cx="1270" cy="39433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1270" cy="394335"/>
                        </a:xfrm>
                        <a:custGeom>
                          <a:avLst/>
                          <a:gdLst/>
                          <a:ahLst/>
                          <a:cxnLst/>
                          <a:rect l="l" t="t" r="r" b="b"/>
                          <a:pathLst>
                            <a:path w="0" h="394335">
                              <a:moveTo>
                                <a:pt x="0" y="394117"/>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5536" from="611.669983pt,787.669871pt" to="611.669983pt,756.637024pt" stroked="true" strokeweight=".360654pt" strokecolor="#000000">
                <v:stroke dashstyle="solid"/>
                <w10:wrap type="none"/>
              </v:line>
            </w:pict>
          </mc:Fallback>
        </mc:AlternateContent>
      </w:r>
      <w:r>
        <w:rPr/>
        <mc:AlternateContent>
          <mc:Choice Requires="wps">
            <w:drawing>
              <wp:anchor distT="0" distB="0" distL="0" distR="0" allowOverlap="1" layoutInCell="1" locked="0" behindDoc="0" simplePos="0" relativeHeight="15746048">
                <wp:simplePos x="0" y="0"/>
                <wp:positionH relativeFrom="page">
                  <wp:posOffset>7768208</wp:posOffset>
                </wp:positionH>
                <wp:positionV relativeFrom="page">
                  <wp:posOffset>7152932</wp:posOffset>
                </wp:positionV>
                <wp:extent cx="1270" cy="79756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1270" cy="797560"/>
                        </a:xfrm>
                        <a:custGeom>
                          <a:avLst/>
                          <a:gdLst/>
                          <a:ahLst/>
                          <a:cxnLst/>
                          <a:rect l="l" t="t" r="r" b="b"/>
                          <a:pathLst>
                            <a:path w="0" h="797560">
                              <a:moveTo>
                                <a:pt x="0" y="797399"/>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048" from="611.669983pt,626.010411pt" to="611.669983pt,563.223022pt" stroked="true" strokeweight=".360654pt" strokecolor="#000000">
                <v:stroke dashstyle="solid"/>
                <w10:wrap type="none"/>
              </v:line>
            </w:pict>
          </mc:Fallback>
        </mc:AlternateContent>
      </w:r>
      <w:r>
        <w:rPr/>
        <w:t>APPENDIX</w:t>
      </w:r>
      <w:r>
        <w:rPr>
          <w:spacing w:val="42"/>
        </w:rPr>
        <w:t> </w:t>
      </w:r>
      <w:r>
        <w:rPr>
          <w:spacing w:val="-10"/>
        </w:rPr>
        <w:t>A</w:t>
      </w:r>
    </w:p>
    <w:p>
      <w:pPr>
        <w:pStyle w:val="BodyText"/>
        <w:spacing w:before="10"/>
        <w:rPr>
          <w:rFonts w:ascii="Times New Roman"/>
          <w:b/>
          <w:sz w:val="25"/>
        </w:rPr>
      </w:pPr>
    </w:p>
    <w:p>
      <w:pPr>
        <w:spacing w:before="0"/>
        <w:ind w:left="3178" w:right="3500" w:firstLine="0"/>
        <w:jc w:val="center"/>
        <w:rPr>
          <w:rFonts w:ascii="Times New Roman"/>
          <w:sz w:val="23"/>
        </w:rPr>
      </w:pPr>
      <w:r>
        <w:rPr>
          <w:rFonts w:ascii="Times New Roman"/>
          <w:sz w:val="23"/>
        </w:rPr>
        <w:t>Performance</w:t>
      </w:r>
      <w:r>
        <w:rPr>
          <w:rFonts w:ascii="Times New Roman"/>
          <w:spacing w:val="40"/>
          <w:sz w:val="23"/>
        </w:rPr>
        <w:t> </w:t>
      </w:r>
      <w:r>
        <w:rPr>
          <w:rFonts w:ascii="Times New Roman"/>
          <w:spacing w:val="-2"/>
          <w:sz w:val="23"/>
        </w:rPr>
        <w:t>Requirements</w:t>
      </w:r>
    </w:p>
    <w:p>
      <w:pPr>
        <w:pStyle w:val="BodyText"/>
        <w:spacing w:before="3"/>
        <w:rPr>
          <w:rFonts w:ascii="Times New Roman"/>
          <w:sz w:val="25"/>
        </w:rPr>
      </w:pPr>
    </w:p>
    <w:p>
      <w:pPr>
        <w:spacing w:line="261" w:lineRule="auto" w:before="1"/>
        <w:ind w:left="306" w:right="0" w:hanging="2"/>
        <w:jc w:val="left"/>
        <w:rPr>
          <w:rFonts w:ascii="Times New Roman"/>
          <w:sz w:val="23"/>
        </w:rPr>
      </w:pPr>
      <w:r>
        <w:rPr>
          <w:rFonts w:ascii="Times New Roman"/>
          <w:w w:val="105"/>
          <w:sz w:val="23"/>
        </w:rPr>
        <w:t>During</w:t>
      </w:r>
      <w:r>
        <w:rPr>
          <w:rFonts w:ascii="Times New Roman"/>
          <w:spacing w:val="-1"/>
          <w:w w:val="105"/>
          <w:sz w:val="23"/>
        </w:rPr>
        <w:t> </w:t>
      </w:r>
      <w:r>
        <w:rPr>
          <w:rFonts w:ascii="Times New Roman"/>
          <w:w w:val="105"/>
          <w:sz w:val="23"/>
        </w:rPr>
        <w:t>the</w:t>
      </w:r>
      <w:r>
        <w:rPr>
          <w:rFonts w:ascii="Times New Roman"/>
          <w:spacing w:val="-14"/>
          <w:w w:val="105"/>
          <w:sz w:val="23"/>
        </w:rPr>
        <w:t> </w:t>
      </w:r>
      <w:r>
        <w:rPr>
          <w:rFonts w:ascii="Times New Roman"/>
          <w:w w:val="105"/>
          <w:sz w:val="23"/>
        </w:rPr>
        <w:t>performance</w:t>
      </w:r>
      <w:r>
        <w:rPr>
          <w:rFonts w:ascii="Times New Roman"/>
          <w:spacing w:val="-2"/>
          <w:w w:val="105"/>
          <w:sz w:val="23"/>
        </w:rPr>
        <w:t> </w:t>
      </w:r>
      <w:r>
        <w:rPr>
          <w:rFonts w:ascii="Times New Roman"/>
          <w:w w:val="105"/>
          <w:sz w:val="23"/>
        </w:rPr>
        <w:t>of</w:t>
      </w:r>
      <w:r>
        <w:rPr>
          <w:rFonts w:ascii="Times New Roman"/>
          <w:spacing w:val="-10"/>
          <w:w w:val="105"/>
          <w:sz w:val="23"/>
        </w:rPr>
        <w:t> </w:t>
      </w:r>
      <w:r>
        <w:rPr>
          <w:rFonts w:ascii="Times New Roman"/>
          <w:w w:val="105"/>
          <w:sz w:val="23"/>
        </w:rPr>
        <w:t>this</w:t>
      </w:r>
      <w:r>
        <w:rPr>
          <w:rFonts w:ascii="Times New Roman"/>
          <w:spacing w:val="-15"/>
          <w:w w:val="105"/>
          <w:sz w:val="23"/>
        </w:rPr>
        <w:t> </w:t>
      </w:r>
      <w:r>
        <w:rPr>
          <w:rFonts w:ascii="Times New Roman"/>
          <w:w w:val="105"/>
          <w:sz w:val="23"/>
        </w:rPr>
        <w:t>contract,</w:t>
      </w:r>
      <w:r>
        <w:rPr>
          <w:rFonts w:ascii="Times New Roman"/>
          <w:spacing w:val="-10"/>
          <w:w w:val="105"/>
          <w:sz w:val="23"/>
        </w:rPr>
        <w:t> </w:t>
      </w:r>
      <w:r>
        <w:rPr>
          <w:rFonts w:ascii="Times New Roman"/>
          <w:w w:val="105"/>
          <w:sz w:val="23"/>
        </w:rPr>
        <w:t>the</w:t>
      </w:r>
      <w:r>
        <w:rPr>
          <w:rFonts w:ascii="Times New Roman"/>
          <w:spacing w:val="-15"/>
          <w:w w:val="105"/>
          <w:sz w:val="23"/>
        </w:rPr>
        <w:t> </w:t>
      </w:r>
      <w:r>
        <w:rPr>
          <w:rFonts w:ascii="Times New Roman"/>
          <w:w w:val="105"/>
          <w:sz w:val="23"/>
        </w:rPr>
        <w:t>contractor, for</w:t>
      </w:r>
      <w:r>
        <w:rPr>
          <w:rFonts w:ascii="Times New Roman"/>
          <w:spacing w:val="-8"/>
          <w:w w:val="105"/>
          <w:sz w:val="23"/>
        </w:rPr>
        <w:t> </w:t>
      </w:r>
      <w:r>
        <w:rPr>
          <w:rFonts w:ascii="Times New Roman"/>
          <w:w w:val="105"/>
          <w:sz w:val="23"/>
        </w:rPr>
        <w:t>itself,</w:t>
      </w:r>
      <w:r>
        <w:rPr>
          <w:rFonts w:ascii="Times New Roman"/>
          <w:spacing w:val="-11"/>
          <w:w w:val="105"/>
          <w:sz w:val="23"/>
        </w:rPr>
        <w:t> </w:t>
      </w:r>
      <w:r>
        <w:rPr>
          <w:rFonts w:ascii="Times New Roman"/>
          <w:w w:val="105"/>
          <w:sz w:val="23"/>
        </w:rPr>
        <w:t>its</w:t>
      </w:r>
      <w:r>
        <w:rPr>
          <w:rFonts w:ascii="Times New Roman"/>
          <w:spacing w:val="-12"/>
          <w:w w:val="105"/>
          <w:sz w:val="23"/>
        </w:rPr>
        <w:t> </w:t>
      </w:r>
      <w:r>
        <w:rPr>
          <w:rFonts w:ascii="Times New Roman"/>
          <w:w w:val="105"/>
          <w:sz w:val="23"/>
        </w:rPr>
        <w:t>assignees,</w:t>
      </w:r>
      <w:r>
        <w:rPr>
          <w:rFonts w:ascii="Times New Roman"/>
          <w:spacing w:val="-5"/>
          <w:w w:val="105"/>
          <w:sz w:val="23"/>
        </w:rPr>
        <w:t> </w:t>
      </w:r>
      <w:r>
        <w:rPr>
          <w:rFonts w:ascii="Times New Roman"/>
          <w:w w:val="105"/>
          <w:sz w:val="23"/>
        </w:rPr>
        <w:t>and</w:t>
      </w:r>
      <w:r>
        <w:rPr>
          <w:rFonts w:ascii="Times New Roman"/>
          <w:spacing w:val="-10"/>
          <w:w w:val="105"/>
          <w:sz w:val="23"/>
        </w:rPr>
        <w:t> </w:t>
      </w:r>
      <w:r>
        <w:rPr>
          <w:rFonts w:ascii="Times New Roman"/>
          <w:w w:val="105"/>
          <w:sz w:val="23"/>
        </w:rPr>
        <w:t>successors in</w:t>
      </w:r>
      <w:r>
        <w:rPr>
          <w:rFonts w:ascii="Times New Roman"/>
          <w:spacing w:val="-5"/>
          <w:w w:val="105"/>
          <w:sz w:val="23"/>
        </w:rPr>
        <w:t> </w:t>
      </w:r>
      <w:r>
        <w:rPr>
          <w:rFonts w:ascii="Times New Roman"/>
          <w:w w:val="105"/>
          <w:sz w:val="23"/>
        </w:rPr>
        <w:t>interest (hereinafter</w:t>
      </w:r>
      <w:r>
        <w:rPr>
          <w:rFonts w:ascii="Times New Roman"/>
          <w:spacing w:val="33"/>
          <w:w w:val="105"/>
          <w:sz w:val="23"/>
        </w:rPr>
        <w:t> </w:t>
      </w:r>
      <w:r>
        <w:rPr>
          <w:rFonts w:ascii="Times New Roman"/>
          <w:w w:val="105"/>
          <w:sz w:val="23"/>
        </w:rPr>
        <w:t>referred to</w:t>
      </w:r>
      <w:r>
        <w:rPr>
          <w:rFonts w:ascii="Times New Roman"/>
          <w:spacing w:val="-6"/>
          <w:w w:val="105"/>
          <w:sz w:val="23"/>
        </w:rPr>
        <w:t> </w:t>
      </w:r>
      <w:r>
        <w:rPr>
          <w:rFonts w:ascii="Times New Roman"/>
          <w:w w:val="105"/>
          <w:sz w:val="23"/>
        </w:rPr>
        <w:t>as</w:t>
      </w:r>
      <w:r>
        <w:rPr>
          <w:rFonts w:ascii="Times New Roman"/>
          <w:spacing w:val="-1"/>
          <w:w w:val="105"/>
          <w:sz w:val="23"/>
        </w:rPr>
        <w:t> </w:t>
      </w:r>
      <w:r>
        <w:rPr>
          <w:rFonts w:ascii="Times New Roman"/>
          <w:w w:val="105"/>
          <w:sz w:val="23"/>
        </w:rPr>
        <w:t>the "contractor") agrees as</w:t>
      </w:r>
      <w:r>
        <w:rPr>
          <w:rFonts w:ascii="Times New Roman"/>
          <w:spacing w:val="-7"/>
          <w:w w:val="105"/>
          <w:sz w:val="23"/>
        </w:rPr>
        <w:t> </w:t>
      </w:r>
      <w:r>
        <w:rPr>
          <w:rFonts w:ascii="Times New Roman"/>
          <w:w w:val="105"/>
          <w:sz w:val="23"/>
        </w:rPr>
        <w:t>follows:</w:t>
      </w:r>
    </w:p>
    <w:p>
      <w:pPr>
        <w:pStyle w:val="BodyText"/>
        <w:rPr>
          <w:rFonts w:ascii="Times New Roman"/>
          <w:sz w:val="22"/>
        </w:rPr>
      </w:pPr>
    </w:p>
    <w:p>
      <w:pPr>
        <w:pStyle w:val="ListParagraph"/>
        <w:numPr>
          <w:ilvl w:val="0"/>
          <w:numId w:val="31"/>
        </w:numPr>
        <w:tabs>
          <w:tab w:pos="934" w:val="left" w:leader="none"/>
        </w:tabs>
        <w:spacing w:line="254" w:lineRule="auto" w:before="0" w:after="0"/>
        <w:ind w:left="934" w:right="674" w:hanging="270"/>
        <w:jc w:val="left"/>
        <w:rPr>
          <w:rFonts w:ascii="Times New Roman"/>
          <w:sz w:val="23"/>
        </w:rPr>
      </w:pPr>
      <w:r>
        <w:rPr>
          <w:rFonts w:ascii="Times New Roman"/>
          <w:b/>
          <w:w w:val="105"/>
          <w:sz w:val="23"/>
        </w:rPr>
        <w:t>Compliance</w:t>
      </w:r>
      <w:r>
        <w:rPr>
          <w:rFonts w:ascii="Times New Roman"/>
          <w:b/>
          <w:spacing w:val="-13"/>
          <w:w w:val="105"/>
          <w:sz w:val="23"/>
        </w:rPr>
        <w:t> </w:t>
      </w:r>
      <w:r>
        <w:rPr>
          <w:rFonts w:ascii="Times New Roman"/>
          <w:b/>
          <w:w w:val="105"/>
          <w:sz w:val="23"/>
        </w:rPr>
        <w:t>with</w:t>
      </w:r>
      <w:r>
        <w:rPr>
          <w:rFonts w:ascii="Times New Roman"/>
          <w:b/>
          <w:spacing w:val="-16"/>
          <w:w w:val="105"/>
          <w:sz w:val="23"/>
        </w:rPr>
        <w:t> </w:t>
      </w:r>
      <w:r>
        <w:rPr>
          <w:rFonts w:ascii="Times New Roman"/>
          <w:b/>
          <w:w w:val="105"/>
          <w:sz w:val="23"/>
        </w:rPr>
        <w:t>Regulations:</w:t>
      </w:r>
      <w:r>
        <w:rPr>
          <w:rFonts w:ascii="Times New Roman"/>
          <w:b/>
          <w:spacing w:val="-5"/>
          <w:w w:val="105"/>
          <w:sz w:val="23"/>
        </w:rPr>
        <w:t> </w:t>
      </w:r>
      <w:r>
        <w:rPr>
          <w:rFonts w:ascii="Times New Roman"/>
          <w:w w:val="105"/>
          <w:sz w:val="23"/>
        </w:rPr>
        <w:t>The</w:t>
      </w:r>
      <w:r>
        <w:rPr>
          <w:rFonts w:ascii="Times New Roman"/>
          <w:spacing w:val="-16"/>
          <w:w w:val="105"/>
          <w:sz w:val="23"/>
        </w:rPr>
        <w:t> </w:t>
      </w:r>
      <w:r>
        <w:rPr>
          <w:rFonts w:ascii="Times New Roman"/>
          <w:w w:val="105"/>
          <w:sz w:val="23"/>
        </w:rPr>
        <w:t>contractor</w:t>
      </w:r>
      <w:r>
        <w:rPr>
          <w:rFonts w:ascii="Times New Roman"/>
          <w:spacing w:val="-5"/>
          <w:w w:val="105"/>
          <w:sz w:val="23"/>
        </w:rPr>
        <w:t> </w:t>
      </w:r>
      <w:r>
        <w:rPr>
          <w:rFonts w:ascii="Times New Roman"/>
          <w:w w:val="105"/>
          <w:sz w:val="23"/>
        </w:rPr>
        <w:t>(hereinafter</w:t>
      </w:r>
      <w:r>
        <w:rPr>
          <w:rFonts w:ascii="Times New Roman"/>
          <w:spacing w:val="-1"/>
          <w:w w:val="105"/>
          <w:sz w:val="23"/>
        </w:rPr>
        <w:t> </w:t>
      </w:r>
      <w:r>
        <w:rPr>
          <w:rFonts w:ascii="Times New Roman"/>
          <w:w w:val="105"/>
          <w:sz w:val="23"/>
        </w:rPr>
        <w:t>includes</w:t>
      </w:r>
      <w:r>
        <w:rPr>
          <w:rFonts w:ascii="Times New Roman"/>
          <w:spacing w:val="-7"/>
          <w:w w:val="105"/>
          <w:sz w:val="23"/>
        </w:rPr>
        <w:t> </w:t>
      </w:r>
      <w:r>
        <w:rPr>
          <w:rFonts w:ascii="Times New Roman"/>
          <w:w w:val="105"/>
          <w:sz w:val="23"/>
        </w:rPr>
        <w:t>consultants)</w:t>
      </w:r>
      <w:r>
        <w:rPr>
          <w:rFonts w:ascii="Times New Roman"/>
          <w:spacing w:val="-8"/>
          <w:w w:val="105"/>
          <w:sz w:val="23"/>
        </w:rPr>
        <w:t> </w:t>
      </w:r>
      <w:r>
        <w:rPr>
          <w:rFonts w:ascii="Times New Roman"/>
          <w:w w:val="105"/>
          <w:sz w:val="23"/>
        </w:rPr>
        <w:t>will</w:t>
      </w:r>
      <w:r>
        <w:rPr>
          <w:rFonts w:ascii="Times New Roman"/>
          <w:spacing w:val="-11"/>
          <w:w w:val="105"/>
          <w:sz w:val="23"/>
        </w:rPr>
        <w:t> </w:t>
      </w:r>
      <w:r>
        <w:rPr>
          <w:rFonts w:ascii="Times New Roman"/>
          <w:w w:val="105"/>
          <w:sz w:val="23"/>
        </w:rPr>
        <w:t>comply</w:t>
      </w:r>
      <w:r>
        <w:rPr>
          <w:rFonts w:ascii="Times New Roman"/>
          <w:spacing w:val="-7"/>
          <w:w w:val="105"/>
          <w:sz w:val="23"/>
        </w:rPr>
        <w:t> </w:t>
      </w:r>
      <w:r>
        <w:rPr>
          <w:rFonts w:ascii="Times New Roman"/>
          <w:w w:val="105"/>
          <w:sz w:val="23"/>
        </w:rPr>
        <w:t>with the Acts and the Regulations relative to Non-discrimination</w:t>
      </w:r>
      <w:r>
        <w:rPr>
          <w:rFonts w:ascii="Times New Roman"/>
          <w:spacing w:val="-3"/>
          <w:w w:val="105"/>
          <w:sz w:val="23"/>
        </w:rPr>
        <w:t> </w:t>
      </w:r>
      <w:r>
        <w:rPr>
          <w:rFonts w:ascii="Times New Roman"/>
          <w:w w:val="105"/>
          <w:sz w:val="23"/>
        </w:rPr>
        <w:t>in</w:t>
      </w:r>
      <w:r>
        <w:rPr>
          <w:rFonts w:ascii="Times New Roman"/>
          <w:spacing w:val="-2"/>
          <w:w w:val="105"/>
          <w:sz w:val="23"/>
        </w:rPr>
        <w:t> </w:t>
      </w:r>
      <w:r>
        <w:rPr>
          <w:rFonts w:ascii="Times New Roman"/>
          <w:w w:val="105"/>
          <w:sz w:val="23"/>
        </w:rPr>
        <w:t>Federally-assisted</w:t>
      </w:r>
      <w:r>
        <w:rPr>
          <w:rFonts w:ascii="Times New Roman"/>
          <w:spacing w:val="-3"/>
          <w:w w:val="105"/>
          <w:sz w:val="23"/>
        </w:rPr>
        <w:t> </w:t>
      </w:r>
      <w:r>
        <w:rPr>
          <w:rFonts w:ascii="Times New Roman"/>
          <w:w w:val="105"/>
          <w:sz w:val="23"/>
        </w:rPr>
        <w:t>programs of the</w:t>
      </w:r>
    </w:p>
    <w:p>
      <w:pPr>
        <w:spacing w:line="266" w:lineRule="auto" w:before="0"/>
        <w:ind w:left="935" w:right="935" w:firstLine="6"/>
        <w:jc w:val="left"/>
        <w:rPr>
          <w:rFonts w:ascii="Times New Roman"/>
          <w:sz w:val="23"/>
        </w:rPr>
      </w:pPr>
      <w:r>
        <w:rPr>
          <w:rFonts w:ascii="Times New Roman"/>
          <w:w w:val="105"/>
          <w:sz w:val="23"/>
        </w:rPr>
        <w:t>U.S. Department of</w:t>
      </w:r>
      <w:r>
        <w:rPr>
          <w:rFonts w:ascii="Times New Roman"/>
          <w:spacing w:val="-4"/>
          <w:w w:val="105"/>
          <w:sz w:val="23"/>
        </w:rPr>
        <w:t> </w:t>
      </w:r>
      <w:r>
        <w:rPr>
          <w:rFonts w:ascii="Times New Roman"/>
          <w:w w:val="105"/>
          <w:sz w:val="23"/>
        </w:rPr>
        <w:t>Transportation,</w:t>
      </w:r>
      <w:r>
        <w:rPr>
          <w:rFonts w:ascii="Times New Roman"/>
          <w:spacing w:val="-10"/>
          <w:w w:val="105"/>
          <w:sz w:val="23"/>
        </w:rPr>
        <w:t> </w:t>
      </w:r>
      <w:r>
        <w:rPr>
          <w:rFonts w:ascii="Times New Roman"/>
          <w:b/>
          <w:i/>
          <w:w w:val="105"/>
          <w:sz w:val="23"/>
        </w:rPr>
        <w:t>Federal Transit Administration (FTA), </w:t>
      </w:r>
      <w:r>
        <w:rPr>
          <w:rFonts w:ascii="Times New Roman"/>
          <w:w w:val="105"/>
          <w:sz w:val="23"/>
        </w:rPr>
        <w:t>as</w:t>
      </w:r>
      <w:r>
        <w:rPr>
          <w:rFonts w:ascii="Times New Roman"/>
          <w:spacing w:val="-4"/>
          <w:w w:val="105"/>
          <w:sz w:val="23"/>
        </w:rPr>
        <w:t> </w:t>
      </w:r>
      <w:r>
        <w:rPr>
          <w:rFonts w:ascii="Times New Roman"/>
          <w:w w:val="105"/>
          <w:sz w:val="23"/>
        </w:rPr>
        <w:t>they</w:t>
      </w:r>
      <w:r>
        <w:rPr>
          <w:rFonts w:ascii="Times New Roman"/>
          <w:spacing w:val="80"/>
          <w:w w:val="105"/>
          <w:sz w:val="23"/>
        </w:rPr>
        <w:t> </w:t>
      </w:r>
      <w:r>
        <w:rPr>
          <w:rFonts w:ascii="Times New Roman"/>
          <w:w w:val="105"/>
          <w:sz w:val="23"/>
        </w:rPr>
        <w:t>may be amended from</w:t>
      </w:r>
      <w:r>
        <w:rPr>
          <w:rFonts w:ascii="Times New Roman"/>
          <w:spacing w:val="-6"/>
          <w:w w:val="105"/>
          <w:sz w:val="23"/>
        </w:rPr>
        <w:t> </w:t>
      </w:r>
      <w:r>
        <w:rPr>
          <w:rFonts w:ascii="Times New Roman"/>
          <w:w w:val="105"/>
          <w:sz w:val="23"/>
        </w:rPr>
        <w:t>time</w:t>
      </w:r>
      <w:r>
        <w:rPr>
          <w:rFonts w:ascii="Times New Roman"/>
          <w:spacing w:val="-6"/>
          <w:w w:val="105"/>
          <w:sz w:val="23"/>
        </w:rPr>
        <w:t> </w:t>
      </w:r>
      <w:r>
        <w:rPr>
          <w:rFonts w:ascii="Times New Roman"/>
          <w:w w:val="105"/>
          <w:sz w:val="23"/>
        </w:rPr>
        <w:t>to</w:t>
      </w:r>
      <w:r>
        <w:rPr>
          <w:rFonts w:ascii="Times New Roman"/>
          <w:spacing w:val="-13"/>
          <w:w w:val="105"/>
          <w:sz w:val="23"/>
        </w:rPr>
        <w:t> </w:t>
      </w:r>
      <w:r>
        <w:rPr>
          <w:rFonts w:ascii="Times New Roman"/>
          <w:w w:val="105"/>
          <w:sz w:val="23"/>
        </w:rPr>
        <w:t>time,</w:t>
      </w:r>
      <w:r>
        <w:rPr>
          <w:rFonts w:ascii="Times New Roman"/>
          <w:spacing w:val="-11"/>
          <w:w w:val="105"/>
          <w:sz w:val="23"/>
        </w:rPr>
        <w:t> </w:t>
      </w:r>
      <w:r>
        <w:rPr>
          <w:rFonts w:ascii="Times New Roman"/>
          <w:w w:val="105"/>
          <w:sz w:val="23"/>
        </w:rPr>
        <w:t>which</w:t>
      </w:r>
      <w:r>
        <w:rPr>
          <w:rFonts w:ascii="Times New Roman"/>
          <w:spacing w:val="-3"/>
          <w:w w:val="105"/>
          <w:sz w:val="23"/>
        </w:rPr>
        <w:t> </w:t>
      </w:r>
      <w:r>
        <w:rPr>
          <w:rFonts w:ascii="Times New Roman"/>
          <w:w w:val="105"/>
          <w:sz w:val="23"/>
        </w:rPr>
        <w:t>are</w:t>
      </w:r>
      <w:r>
        <w:rPr>
          <w:rFonts w:ascii="Times New Roman"/>
          <w:spacing w:val="-9"/>
          <w:w w:val="105"/>
          <w:sz w:val="23"/>
        </w:rPr>
        <w:t> </w:t>
      </w:r>
      <w:r>
        <w:rPr>
          <w:rFonts w:ascii="Times New Roman"/>
          <w:w w:val="105"/>
          <w:sz w:val="23"/>
        </w:rPr>
        <w:t>herein</w:t>
      </w:r>
      <w:r>
        <w:rPr>
          <w:rFonts w:ascii="Times New Roman"/>
          <w:spacing w:val="-10"/>
          <w:w w:val="105"/>
          <w:sz w:val="23"/>
        </w:rPr>
        <w:t> </w:t>
      </w:r>
      <w:r>
        <w:rPr>
          <w:rFonts w:ascii="Times New Roman"/>
          <w:w w:val="105"/>
          <w:sz w:val="23"/>
        </w:rPr>
        <w:t>incorporated</w:t>
      </w:r>
      <w:r>
        <w:rPr>
          <w:rFonts w:ascii="Times New Roman"/>
          <w:spacing w:val="15"/>
          <w:w w:val="105"/>
          <w:sz w:val="23"/>
        </w:rPr>
        <w:t> </w:t>
      </w:r>
      <w:r>
        <w:rPr>
          <w:rFonts w:ascii="Times New Roman"/>
          <w:w w:val="105"/>
          <w:sz w:val="23"/>
        </w:rPr>
        <w:t>by</w:t>
      </w:r>
      <w:r>
        <w:rPr>
          <w:rFonts w:ascii="Times New Roman"/>
          <w:spacing w:val="-6"/>
          <w:w w:val="105"/>
          <w:sz w:val="23"/>
        </w:rPr>
        <w:t> </w:t>
      </w:r>
      <w:r>
        <w:rPr>
          <w:rFonts w:ascii="Times New Roman"/>
          <w:w w:val="105"/>
          <w:sz w:val="23"/>
        </w:rPr>
        <w:t>reference</w:t>
      </w:r>
      <w:r>
        <w:rPr>
          <w:rFonts w:ascii="Times New Roman"/>
          <w:spacing w:val="-8"/>
          <w:w w:val="105"/>
          <w:sz w:val="23"/>
        </w:rPr>
        <w:t> </w:t>
      </w:r>
      <w:r>
        <w:rPr>
          <w:rFonts w:ascii="Times New Roman"/>
          <w:w w:val="105"/>
          <w:sz w:val="23"/>
        </w:rPr>
        <w:t>and</w:t>
      </w:r>
      <w:r>
        <w:rPr>
          <w:rFonts w:ascii="Times New Roman"/>
          <w:spacing w:val="-1"/>
          <w:w w:val="105"/>
          <w:sz w:val="23"/>
        </w:rPr>
        <w:t> </w:t>
      </w:r>
      <w:r>
        <w:rPr>
          <w:rFonts w:ascii="Times New Roman"/>
          <w:w w:val="105"/>
          <w:sz w:val="23"/>
        </w:rPr>
        <w:t>made</w:t>
      </w:r>
      <w:r>
        <w:rPr>
          <w:rFonts w:ascii="Times New Roman"/>
          <w:spacing w:val="-12"/>
          <w:w w:val="105"/>
          <w:sz w:val="23"/>
        </w:rPr>
        <w:t> </w:t>
      </w:r>
      <w:r>
        <w:rPr>
          <w:rFonts w:ascii="Times New Roman"/>
          <w:w w:val="105"/>
          <w:sz w:val="23"/>
        </w:rPr>
        <w:t>a</w:t>
      </w:r>
      <w:r>
        <w:rPr>
          <w:rFonts w:ascii="Times New Roman"/>
          <w:spacing w:val="-11"/>
          <w:w w:val="105"/>
          <w:sz w:val="23"/>
        </w:rPr>
        <w:t> </w:t>
      </w:r>
      <w:r>
        <w:rPr>
          <w:rFonts w:ascii="Times New Roman"/>
          <w:w w:val="105"/>
          <w:sz w:val="23"/>
        </w:rPr>
        <w:t>part</w:t>
      </w:r>
      <w:r>
        <w:rPr>
          <w:rFonts w:ascii="Times New Roman"/>
          <w:spacing w:val="-11"/>
          <w:w w:val="105"/>
          <w:sz w:val="23"/>
        </w:rPr>
        <w:t> </w:t>
      </w:r>
      <w:r>
        <w:rPr>
          <w:rFonts w:ascii="Times New Roman"/>
          <w:w w:val="105"/>
          <w:sz w:val="23"/>
        </w:rPr>
        <w:t>of</w:t>
      </w:r>
      <w:r>
        <w:rPr>
          <w:rFonts w:ascii="Times New Roman"/>
          <w:spacing w:val="-8"/>
          <w:w w:val="105"/>
          <w:sz w:val="23"/>
        </w:rPr>
        <w:t> </w:t>
      </w:r>
      <w:r>
        <w:rPr>
          <w:rFonts w:ascii="Times New Roman"/>
          <w:w w:val="105"/>
          <w:sz w:val="23"/>
        </w:rPr>
        <w:t>this </w:t>
      </w:r>
      <w:r>
        <w:rPr>
          <w:rFonts w:ascii="Times New Roman"/>
          <w:spacing w:val="-2"/>
          <w:w w:val="105"/>
          <w:sz w:val="23"/>
        </w:rPr>
        <w:t>contract.</w:t>
      </w:r>
    </w:p>
    <w:p>
      <w:pPr>
        <w:pStyle w:val="ListParagraph"/>
        <w:numPr>
          <w:ilvl w:val="0"/>
          <w:numId w:val="31"/>
        </w:numPr>
        <w:tabs>
          <w:tab w:pos="939" w:val="left" w:leader="none"/>
        </w:tabs>
        <w:spacing w:line="252" w:lineRule="auto" w:before="233" w:after="0"/>
        <w:ind w:left="939" w:right="612" w:hanging="268"/>
        <w:jc w:val="left"/>
        <w:rPr>
          <w:rFonts w:ascii="Times New Roman"/>
          <w:sz w:val="23"/>
        </w:rPr>
      </w:pPr>
      <w:r>
        <w:rPr>
          <w:rFonts w:ascii="Times New Roman"/>
          <w:b/>
          <w:sz w:val="23"/>
        </w:rPr>
        <w:t>Non-discl"imination: </w:t>
      </w:r>
      <w:r>
        <w:rPr>
          <w:rFonts w:ascii="Times New Roman"/>
          <w:sz w:val="23"/>
        </w:rPr>
        <w:t>The contractor,</w:t>
      </w:r>
      <w:r>
        <w:rPr>
          <w:rFonts w:ascii="Times New Roman"/>
          <w:spacing w:val="39"/>
          <w:sz w:val="23"/>
        </w:rPr>
        <w:t> </w:t>
      </w:r>
      <w:r>
        <w:rPr>
          <w:rFonts w:ascii="Times New Roman"/>
          <w:sz w:val="23"/>
        </w:rPr>
        <w:t>with</w:t>
      </w:r>
      <w:r>
        <w:rPr>
          <w:rFonts w:ascii="Times New Roman"/>
          <w:spacing w:val="35"/>
          <w:sz w:val="23"/>
        </w:rPr>
        <w:t> </w:t>
      </w:r>
      <w:r>
        <w:rPr>
          <w:rFonts w:ascii="Times New Roman"/>
          <w:sz w:val="23"/>
        </w:rPr>
        <w:t>regard</w:t>
      </w:r>
      <w:r>
        <w:rPr>
          <w:rFonts w:ascii="Times New Roman"/>
          <w:spacing w:val="40"/>
          <w:sz w:val="23"/>
        </w:rPr>
        <w:t> </w:t>
      </w:r>
      <w:r>
        <w:rPr>
          <w:rFonts w:ascii="Times New Roman"/>
          <w:sz w:val="23"/>
        </w:rPr>
        <w:t>to the work</w:t>
      </w:r>
      <w:r>
        <w:rPr>
          <w:rFonts w:ascii="Times New Roman"/>
          <w:spacing w:val="40"/>
          <w:sz w:val="23"/>
        </w:rPr>
        <w:t> </w:t>
      </w:r>
      <w:r>
        <w:rPr>
          <w:rFonts w:ascii="Times New Roman"/>
          <w:sz w:val="23"/>
        </w:rPr>
        <w:t>performed</w:t>
      </w:r>
      <w:r>
        <w:rPr>
          <w:rFonts w:ascii="Times New Roman"/>
          <w:spacing w:val="40"/>
          <w:sz w:val="23"/>
        </w:rPr>
        <w:t> </w:t>
      </w:r>
      <w:r>
        <w:rPr>
          <w:rFonts w:ascii="Times New Roman"/>
          <w:sz w:val="23"/>
        </w:rPr>
        <w:t>by</w:t>
      </w:r>
      <w:r>
        <w:rPr>
          <w:rFonts w:ascii="Times New Roman"/>
          <w:spacing w:val="40"/>
          <w:sz w:val="23"/>
        </w:rPr>
        <w:t> </w:t>
      </w:r>
      <w:r>
        <w:rPr>
          <w:rFonts w:ascii="Times New Roman"/>
          <w:sz w:val="23"/>
        </w:rPr>
        <w:t>it during</w:t>
      </w:r>
      <w:r>
        <w:rPr>
          <w:rFonts w:ascii="Times New Roman"/>
          <w:spacing w:val="35"/>
          <w:sz w:val="23"/>
        </w:rPr>
        <w:t> </w:t>
      </w:r>
      <w:r>
        <w:rPr>
          <w:rFonts w:ascii="Times New Roman"/>
          <w:sz w:val="23"/>
        </w:rPr>
        <w:t>the contract, will</w:t>
      </w:r>
      <w:r>
        <w:rPr>
          <w:rFonts w:ascii="Times New Roman"/>
          <w:spacing w:val="38"/>
          <w:sz w:val="23"/>
        </w:rPr>
        <w:t> </w:t>
      </w:r>
      <w:r>
        <w:rPr>
          <w:rFonts w:ascii="Times New Roman"/>
          <w:sz w:val="23"/>
        </w:rPr>
        <w:t>not</w:t>
      </w:r>
      <w:r>
        <w:rPr>
          <w:rFonts w:ascii="Times New Roman"/>
          <w:spacing w:val="31"/>
          <w:sz w:val="23"/>
        </w:rPr>
        <w:t> </w:t>
      </w:r>
      <w:r>
        <w:rPr>
          <w:rFonts w:ascii="Times New Roman"/>
          <w:sz w:val="23"/>
        </w:rPr>
        <w:t>discriminate</w:t>
      </w:r>
      <w:r>
        <w:rPr>
          <w:rFonts w:ascii="Times New Roman"/>
          <w:spacing w:val="40"/>
          <w:sz w:val="23"/>
        </w:rPr>
        <w:t> </w:t>
      </w:r>
      <w:r>
        <w:rPr>
          <w:rFonts w:ascii="Times New Roman"/>
          <w:sz w:val="23"/>
        </w:rPr>
        <w:t>on</w:t>
      </w:r>
      <w:r>
        <w:rPr>
          <w:rFonts w:ascii="Times New Roman"/>
          <w:spacing w:val="22"/>
          <w:sz w:val="23"/>
        </w:rPr>
        <w:t> </w:t>
      </w:r>
      <w:r>
        <w:rPr>
          <w:rFonts w:ascii="Times New Roman"/>
          <w:sz w:val="23"/>
        </w:rPr>
        <w:t>the</w:t>
      </w:r>
      <w:r>
        <w:rPr>
          <w:rFonts w:ascii="Times New Roman"/>
          <w:spacing w:val="21"/>
          <w:sz w:val="23"/>
        </w:rPr>
        <w:t> </w:t>
      </w:r>
      <w:r>
        <w:rPr>
          <w:rFonts w:ascii="Times New Roman"/>
          <w:sz w:val="23"/>
        </w:rPr>
        <w:t>grounds</w:t>
      </w:r>
      <w:r>
        <w:rPr>
          <w:rFonts w:ascii="Times New Roman"/>
          <w:spacing w:val="32"/>
          <w:sz w:val="23"/>
        </w:rPr>
        <w:t> </w:t>
      </w:r>
      <w:r>
        <w:rPr>
          <w:rFonts w:ascii="Times New Roman"/>
          <w:sz w:val="23"/>
        </w:rPr>
        <w:t>of</w:t>
      </w:r>
      <w:r>
        <w:rPr>
          <w:rFonts w:ascii="Times New Roman"/>
          <w:spacing w:val="31"/>
          <w:sz w:val="23"/>
        </w:rPr>
        <w:t> </w:t>
      </w:r>
      <w:r>
        <w:rPr>
          <w:rFonts w:ascii="Times New Roman"/>
          <w:sz w:val="23"/>
        </w:rPr>
        <w:t>race,</w:t>
      </w:r>
      <w:r>
        <w:rPr>
          <w:rFonts w:ascii="Times New Roman"/>
          <w:spacing w:val="35"/>
          <w:sz w:val="23"/>
        </w:rPr>
        <w:t> </w:t>
      </w:r>
      <w:r>
        <w:rPr>
          <w:rFonts w:ascii="Times New Roman"/>
          <w:sz w:val="23"/>
        </w:rPr>
        <w:t>color,</w:t>
      </w:r>
      <w:r>
        <w:rPr>
          <w:rFonts w:ascii="Times New Roman"/>
          <w:spacing w:val="32"/>
          <w:sz w:val="23"/>
        </w:rPr>
        <w:t> </w:t>
      </w:r>
      <w:r>
        <w:rPr>
          <w:rFonts w:ascii="Times New Roman"/>
          <w:sz w:val="23"/>
        </w:rPr>
        <w:t>or</w:t>
      </w:r>
      <w:r>
        <w:rPr>
          <w:rFonts w:ascii="Times New Roman"/>
          <w:spacing w:val="28"/>
          <w:sz w:val="23"/>
        </w:rPr>
        <w:t> </w:t>
      </w:r>
      <w:r>
        <w:rPr>
          <w:rFonts w:ascii="Times New Roman"/>
          <w:sz w:val="23"/>
        </w:rPr>
        <w:t>national</w:t>
      </w:r>
      <w:r>
        <w:rPr>
          <w:rFonts w:ascii="Times New Roman"/>
          <w:spacing w:val="40"/>
          <w:sz w:val="23"/>
        </w:rPr>
        <w:t> </w:t>
      </w:r>
      <w:r>
        <w:rPr>
          <w:rFonts w:ascii="Times New Roman"/>
          <w:sz w:val="23"/>
        </w:rPr>
        <w:t>origin</w:t>
      </w:r>
      <w:r>
        <w:rPr>
          <w:rFonts w:ascii="Times New Roman"/>
          <w:spacing w:val="24"/>
          <w:sz w:val="23"/>
        </w:rPr>
        <w:t> </w:t>
      </w:r>
      <w:r>
        <w:rPr>
          <w:rFonts w:ascii="Times New Roman"/>
          <w:sz w:val="23"/>
        </w:rPr>
        <w:t>in</w:t>
      </w:r>
      <w:r>
        <w:rPr>
          <w:rFonts w:ascii="Times New Roman"/>
          <w:spacing w:val="21"/>
          <w:sz w:val="23"/>
        </w:rPr>
        <w:t> </w:t>
      </w:r>
      <w:r>
        <w:rPr>
          <w:rFonts w:ascii="Times New Roman"/>
          <w:sz w:val="23"/>
        </w:rPr>
        <w:t>the</w:t>
      </w:r>
      <w:r>
        <w:rPr>
          <w:rFonts w:ascii="Times New Roman"/>
          <w:spacing w:val="25"/>
          <w:sz w:val="23"/>
        </w:rPr>
        <w:t> </w:t>
      </w:r>
      <w:r>
        <w:rPr>
          <w:rFonts w:ascii="Times New Roman"/>
          <w:sz w:val="23"/>
        </w:rPr>
        <w:t>selection</w:t>
      </w:r>
      <w:r>
        <w:rPr>
          <w:rFonts w:ascii="Times New Roman"/>
          <w:spacing w:val="39"/>
          <w:sz w:val="23"/>
        </w:rPr>
        <w:t> </w:t>
      </w:r>
      <w:r>
        <w:rPr>
          <w:rFonts w:ascii="Times New Roman"/>
          <w:sz w:val="23"/>
        </w:rPr>
        <w:t>and</w:t>
      </w:r>
      <w:r>
        <w:rPr>
          <w:rFonts w:ascii="Times New Roman"/>
          <w:spacing w:val="32"/>
          <w:sz w:val="23"/>
        </w:rPr>
        <w:t> </w:t>
      </w:r>
      <w:r>
        <w:rPr>
          <w:rFonts w:ascii="Times New Roman"/>
          <w:sz w:val="23"/>
        </w:rPr>
        <w:t>retention of</w:t>
      </w:r>
      <w:r>
        <w:rPr>
          <w:rFonts w:ascii="Times New Roman"/>
          <w:spacing w:val="28"/>
          <w:sz w:val="23"/>
        </w:rPr>
        <w:t> </w:t>
      </w:r>
      <w:r>
        <w:rPr>
          <w:rFonts w:ascii="Times New Roman"/>
          <w:sz w:val="23"/>
        </w:rPr>
        <w:t>subcontractors, including</w:t>
      </w:r>
      <w:r>
        <w:rPr>
          <w:rFonts w:ascii="Times New Roman"/>
          <w:spacing w:val="39"/>
          <w:sz w:val="23"/>
        </w:rPr>
        <w:t> </w:t>
      </w:r>
      <w:r>
        <w:rPr>
          <w:rFonts w:ascii="Times New Roman"/>
          <w:sz w:val="23"/>
        </w:rPr>
        <w:t>procurements</w:t>
      </w:r>
      <w:r>
        <w:rPr>
          <w:rFonts w:ascii="Times New Roman"/>
          <w:spacing w:val="40"/>
          <w:sz w:val="23"/>
        </w:rPr>
        <w:t> </w:t>
      </w:r>
      <w:r>
        <w:rPr>
          <w:rFonts w:ascii="Times New Roman"/>
          <w:sz w:val="23"/>
        </w:rPr>
        <w:t>of</w:t>
      </w:r>
      <w:r>
        <w:rPr>
          <w:rFonts w:ascii="Times New Roman"/>
          <w:spacing w:val="29"/>
          <w:sz w:val="23"/>
        </w:rPr>
        <w:t> </w:t>
      </w:r>
      <w:r>
        <w:rPr>
          <w:rFonts w:ascii="Times New Roman"/>
          <w:sz w:val="23"/>
        </w:rPr>
        <w:t>materials</w:t>
      </w:r>
      <w:r>
        <w:rPr>
          <w:rFonts w:ascii="Times New Roman"/>
          <w:spacing w:val="29"/>
          <w:sz w:val="23"/>
        </w:rPr>
        <w:t> </w:t>
      </w:r>
      <w:r>
        <w:rPr>
          <w:rFonts w:ascii="Times New Roman"/>
          <w:sz w:val="23"/>
        </w:rPr>
        <w:t>and</w:t>
      </w:r>
      <w:r>
        <w:rPr>
          <w:rFonts w:ascii="Times New Roman"/>
          <w:spacing w:val="35"/>
          <w:sz w:val="23"/>
        </w:rPr>
        <w:t> </w:t>
      </w:r>
      <w:r>
        <w:rPr>
          <w:rFonts w:ascii="Times New Roman"/>
          <w:sz w:val="23"/>
        </w:rPr>
        <w:t>leases of equipment.</w:t>
      </w:r>
      <w:r>
        <w:rPr>
          <w:rFonts w:ascii="Times New Roman"/>
          <w:spacing w:val="40"/>
          <w:sz w:val="23"/>
        </w:rPr>
        <w:t> </w:t>
      </w:r>
      <w:r>
        <w:rPr>
          <w:rFonts w:ascii="Times New Roman"/>
          <w:sz w:val="23"/>
        </w:rPr>
        <w:t>The contractor</w:t>
      </w:r>
      <w:r>
        <w:rPr>
          <w:rFonts w:ascii="Times New Roman"/>
          <w:spacing w:val="40"/>
          <w:sz w:val="23"/>
        </w:rPr>
        <w:t> </w:t>
      </w:r>
      <w:r>
        <w:rPr>
          <w:rFonts w:ascii="Times New Roman"/>
          <w:sz w:val="23"/>
        </w:rPr>
        <w:t>will not</w:t>
      </w:r>
      <w:r>
        <w:rPr>
          <w:rFonts w:ascii="Times New Roman"/>
          <w:spacing w:val="34"/>
          <w:sz w:val="23"/>
        </w:rPr>
        <w:t> </w:t>
      </w:r>
      <w:r>
        <w:rPr>
          <w:rFonts w:ascii="Times New Roman"/>
          <w:sz w:val="23"/>
        </w:rPr>
        <w:t>participate</w:t>
      </w:r>
      <w:r>
        <w:rPr>
          <w:rFonts w:ascii="Times New Roman"/>
          <w:spacing w:val="38"/>
          <w:sz w:val="23"/>
        </w:rPr>
        <w:t> </w:t>
      </w:r>
      <w:r>
        <w:rPr>
          <w:rFonts w:ascii="Times New Roman"/>
          <w:sz w:val="23"/>
        </w:rPr>
        <w:t>directly</w:t>
      </w:r>
      <w:r>
        <w:rPr>
          <w:rFonts w:ascii="Times New Roman"/>
          <w:spacing w:val="40"/>
          <w:sz w:val="23"/>
        </w:rPr>
        <w:t> </w:t>
      </w:r>
      <w:r>
        <w:rPr>
          <w:rFonts w:ascii="Times New Roman"/>
          <w:sz w:val="23"/>
        </w:rPr>
        <w:t>or</w:t>
      </w:r>
      <w:r>
        <w:rPr>
          <w:rFonts w:ascii="Times New Roman"/>
          <w:spacing w:val="32"/>
          <w:sz w:val="23"/>
        </w:rPr>
        <w:t> </w:t>
      </w:r>
      <w:r>
        <w:rPr>
          <w:rFonts w:ascii="Times New Roman"/>
          <w:sz w:val="23"/>
        </w:rPr>
        <w:t>indirectly</w:t>
      </w:r>
      <w:r>
        <w:rPr>
          <w:rFonts w:ascii="Times New Roman"/>
          <w:spacing w:val="40"/>
          <w:sz w:val="23"/>
        </w:rPr>
        <w:t> </w:t>
      </w:r>
      <w:r>
        <w:rPr>
          <w:rFonts w:ascii="Times New Roman"/>
          <w:sz w:val="23"/>
        </w:rPr>
        <w:t>in</w:t>
      </w:r>
      <w:r>
        <w:rPr>
          <w:rFonts w:ascii="Times New Roman"/>
          <w:spacing w:val="25"/>
          <w:sz w:val="23"/>
        </w:rPr>
        <w:t> </w:t>
      </w:r>
      <w:r>
        <w:rPr>
          <w:rFonts w:ascii="Times New Roman"/>
          <w:sz w:val="23"/>
        </w:rPr>
        <w:t>the</w:t>
      </w:r>
      <w:r>
        <w:rPr>
          <w:rFonts w:ascii="Times New Roman"/>
          <w:spacing w:val="21"/>
          <w:sz w:val="23"/>
        </w:rPr>
        <w:t> </w:t>
      </w:r>
      <w:r>
        <w:rPr>
          <w:rFonts w:ascii="Times New Roman"/>
          <w:sz w:val="23"/>
        </w:rPr>
        <w:t>discrimination</w:t>
      </w:r>
      <w:r>
        <w:rPr>
          <w:rFonts w:ascii="Times New Roman"/>
          <w:spacing w:val="38"/>
          <w:sz w:val="23"/>
        </w:rPr>
        <w:t> </w:t>
      </w:r>
      <w:r>
        <w:rPr>
          <w:rFonts w:ascii="Times New Roman"/>
          <w:sz w:val="23"/>
        </w:rPr>
        <w:t>prohibited</w:t>
      </w:r>
      <w:r>
        <w:rPr>
          <w:rFonts w:ascii="Times New Roman"/>
          <w:spacing w:val="65"/>
          <w:sz w:val="23"/>
        </w:rPr>
        <w:t> </w:t>
      </w:r>
      <w:r>
        <w:rPr>
          <w:rFonts w:ascii="Times New Roman"/>
          <w:sz w:val="23"/>
        </w:rPr>
        <w:t>by</w:t>
      </w:r>
      <w:r>
        <w:rPr>
          <w:rFonts w:ascii="Times New Roman"/>
          <w:spacing w:val="38"/>
          <w:sz w:val="23"/>
        </w:rPr>
        <w:t> </w:t>
      </w:r>
      <w:r>
        <w:rPr>
          <w:rFonts w:ascii="Times New Roman"/>
          <w:sz w:val="23"/>
        </w:rPr>
        <w:t>the</w:t>
      </w:r>
      <w:r>
        <w:rPr>
          <w:rFonts w:ascii="Times New Roman"/>
          <w:spacing w:val="28"/>
          <w:sz w:val="23"/>
        </w:rPr>
        <w:t> </w:t>
      </w:r>
      <w:r>
        <w:rPr>
          <w:rFonts w:ascii="Times New Roman"/>
          <w:sz w:val="23"/>
        </w:rPr>
        <w:t>Acts</w:t>
      </w:r>
      <w:r>
        <w:rPr>
          <w:rFonts w:ascii="Times New Roman"/>
          <w:spacing w:val="24"/>
          <w:sz w:val="23"/>
        </w:rPr>
        <w:t> </w:t>
      </w:r>
      <w:r>
        <w:rPr>
          <w:rFonts w:ascii="Times New Roman"/>
          <w:sz w:val="23"/>
        </w:rPr>
        <w:t>and</w:t>
      </w:r>
      <w:r>
        <w:rPr>
          <w:rFonts w:ascii="Times New Roman"/>
          <w:spacing w:val="34"/>
          <w:sz w:val="23"/>
        </w:rPr>
        <w:t> </w:t>
      </w:r>
      <w:r>
        <w:rPr>
          <w:rFonts w:ascii="Times New Roman"/>
          <w:sz w:val="23"/>
        </w:rPr>
        <w:t>the Regulations,</w:t>
      </w:r>
      <w:r>
        <w:rPr>
          <w:rFonts w:ascii="Times New Roman"/>
          <w:spacing w:val="40"/>
          <w:sz w:val="23"/>
        </w:rPr>
        <w:t> </w:t>
      </w:r>
      <w:r>
        <w:rPr>
          <w:rFonts w:ascii="Times New Roman"/>
          <w:sz w:val="23"/>
        </w:rPr>
        <w:t>including</w:t>
      </w:r>
      <w:r>
        <w:rPr>
          <w:rFonts w:ascii="Times New Roman"/>
          <w:spacing w:val="40"/>
          <w:sz w:val="23"/>
        </w:rPr>
        <w:t> </w:t>
      </w:r>
      <w:r>
        <w:rPr>
          <w:rFonts w:ascii="Times New Roman"/>
          <w:sz w:val="23"/>
        </w:rPr>
        <w:t>employment</w:t>
      </w:r>
      <w:r>
        <w:rPr>
          <w:rFonts w:ascii="Times New Roman"/>
          <w:spacing w:val="40"/>
          <w:sz w:val="23"/>
        </w:rPr>
        <w:t> </w:t>
      </w:r>
      <w:r>
        <w:rPr>
          <w:rFonts w:ascii="Times New Roman"/>
          <w:sz w:val="23"/>
        </w:rPr>
        <w:t>practices</w:t>
      </w:r>
      <w:r>
        <w:rPr>
          <w:rFonts w:ascii="Times New Roman"/>
          <w:spacing w:val="40"/>
          <w:sz w:val="23"/>
        </w:rPr>
        <w:t> </w:t>
      </w:r>
      <w:r>
        <w:rPr>
          <w:rFonts w:ascii="Times New Roman"/>
          <w:sz w:val="23"/>
        </w:rPr>
        <w:t>when</w:t>
      </w:r>
      <w:r>
        <w:rPr>
          <w:rFonts w:ascii="Times New Roman"/>
          <w:spacing w:val="40"/>
          <w:sz w:val="23"/>
        </w:rPr>
        <w:t> </w:t>
      </w:r>
      <w:r>
        <w:rPr>
          <w:rFonts w:ascii="Times New Roman"/>
          <w:sz w:val="23"/>
        </w:rPr>
        <w:t>the contract</w:t>
      </w:r>
      <w:r>
        <w:rPr>
          <w:rFonts w:ascii="Times New Roman"/>
          <w:spacing w:val="40"/>
          <w:sz w:val="23"/>
        </w:rPr>
        <w:t> </w:t>
      </w:r>
      <w:r>
        <w:rPr>
          <w:rFonts w:ascii="Times New Roman"/>
          <w:sz w:val="23"/>
        </w:rPr>
        <w:t>covers any</w:t>
      </w:r>
      <w:r>
        <w:rPr>
          <w:rFonts w:ascii="Times New Roman"/>
          <w:spacing w:val="40"/>
          <w:sz w:val="23"/>
        </w:rPr>
        <w:t> </w:t>
      </w:r>
      <w:r>
        <w:rPr>
          <w:rFonts w:ascii="Times New Roman"/>
          <w:sz w:val="23"/>
        </w:rPr>
        <w:t>activity,</w:t>
      </w:r>
      <w:r>
        <w:rPr>
          <w:rFonts w:ascii="Times New Roman"/>
          <w:spacing w:val="40"/>
          <w:sz w:val="23"/>
        </w:rPr>
        <w:t> </w:t>
      </w:r>
      <w:r>
        <w:rPr>
          <w:rFonts w:ascii="Times New Roman"/>
          <w:sz w:val="23"/>
        </w:rPr>
        <w:t>project,</w:t>
      </w:r>
      <w:r>
        <w:rPr>
          <w:rFonts w:ascii="Times New Roman"/>
          <w:spacing w:val="40"/>
          <w:sz w:val="23"/>
        </w:rPr>
        <w:t> </w:t>
      </w:r>
      <w:r>
        <w:rPr>
          <w:rFonts w:ascii="Times New Roman"/>
          <w:sz w:val="23"/>
        </w:rPr>
        <w:t>or program set fo11h in Appendix B of 49 CFR Part</w:t>
      </w:r>
      <w:r>
        <w:rPr>
          <w:rFonts w:ascii="Times New Roman"/>
          <w:spacing w:val="40"/>
          <w:sz w:val="23"/>
        </w:rPr>
        <w:t> </w:t>
      </w:r>
      <w:r>
        <w:rPr>
          <w:rFonts w:ascii="Times New Roman"/>
          <w:sz w:val="23"/>
        </w:rPr>
        <w:t>21.</w:t>
      </w:r>
    </w:p>
    <w:p>
      <w:pPr>
        <w:pStyle w:val="BodyText"/>
        <w:spacing w:before="11"/>
        <w:rPr>
          <w:rFonts w:ascii="Times New Roman"/>
          <w:sz w:val="28"/>
        </w:rPr>
      </w:pPr>
    </w:p>
    <w:p>
      <w:pPr>
        <w:pStyle w:val="ListParagraph"/>
        <w:numPr>
          <w:ilvl w:val="0"/>
          <w:numId w:val="31"/>
        </w:numPr>
        <w:tabs>
          <w:tab w:pos="937" w:val="left" w:leader="none"/>
          <w:tab w:pos="939" w:val="left" w:leader="none"/>
        </w:tabs>
        <w:spacing w:line="254" w:lineRule="auto" w:before="0" w:after="0"/>
        <w:ind w:left="939" w:right="730" w:hanging="273"/>
        <w:jc w:val="left"/>
        <w:rPr>
          <w:rFonts w:ascii="Times New Roman"/>
          <w:sz w:val="23"/>
        </w:rPr>
      </w:pPr>
      <w:r>
        <w:rPr>
          <w:rFonts w:ascii="Times New Roman"/>
          <w:b/>
          <w:w w:val="105"/>
          <w:sz w:val="23"/>
        </w:rPr>
        <w:t>Solicitations for</w:t>
      </w:r>
      <w:r>
        <w:rPr>
          <w:rFonts w:ascii="Times New Roman"/>
          <w:b/>
          <w:spacing w:val="-8"/>
          <w:w w:val="105"/>
          <w:sz w:val="23"/>
        </w:rPr>
        <w:t> </w:t>
      </w:r>
      <w:r>
        <w:rPr>
          <w:rFonts w:ascii="Times New Roman"/>
          <w:b/>
          <w:w w:val="105"/>
          <w:sz w:val="23"/>
        </w:rPr>
        <w:t>Subcontracts, Including Procurements of</w:t>
      </w:r>
      <w:r>
        <w:rPr>
          <w:rFonts w:ascii="Times New Roman"/>
          <w:b/>
          <w:spacing w:val="-3"/>
          <w:w w:val="105"/>
          <w:sz w:val="23"/>
        </w:rPr>
        <w:t> </w:t>
      </w:r>
      <w:r>
        <w:rPr>
          <w:rFonts w:ascii="Times New Roman"/>
          <w:b/>
          <w:w w:val="105"/>
          <w:sz w:val="23"/>
        </w:rPr>
        <w:t>Materials and Equipment: </w:t>
      </w:r>
      <w:r>
        <w:rPr>
          <w:rFonts w:ascii="Times New Roman"/>
          <w:w w:val="105"/>
          <w:sz w:val="23"/>
        </w:rPr>
        <w:t>In all solicitations,</w:t>
      </w:r>
      <w:r>
        <w:rPr>
          <w:rFonts w:ascii="Times New Roman"/>
          <w:spacing w:val="-20"/>
          <w:w w:val="105"/>
          <w:sz w:val="23"/>
        </w:rPr>
        <w:t> </w:t>
      </w:r>
      <w:r>
        <w:rPr>
          <w:rFonts w:ascii="Times New Roman"/>
          <w:w w:val="105"/>
          <w:sz w:val="23"/>
        </w:rPr>
        <w:t>either by competitive bidding, or</w:t>
      </w:r>
      <w:r>
        <w:rPr>
          <w:rFonts w:ascii="Times New Roman"/>
          <w:spacing w:val="-3"/>
          <w:w w:val="105"/>
          <w:sz w:val="23"/>
        </w:rPr>
        <w:t> </w:t>
      </w:r>
      <w:r>
        <w:rPr>
          <w:rFonts w:ascii="Times New Roman"/>
          <w:w w:val="105"/>
          <w:sz w:val="23"/>
        </w:rPr>
        <w:t>negotiation made by the</w:t>
      </w:r>
      <w:r>
        <w:rPr>
          <w:rFonts w:ascii="Times New Roman"/>
          <w:spacing w:val="-3"/>
          <w:w w:val="105"/>
          <w:sz w:val="23"/>
        </w:rPr>
        <w:t> </w:t>
      </w:r>
      <w:r>
        <w:rPr>
          <w:rFonts w:ascii="Times New Roman"/>
          <w:w w:val="105"/>
          <w:sz w:val="23"/>
        </w:rPr>
        <w:t>contractor for work to be performed under</w:t>
      </w:r>
      <w:r>
        <w:rPr>
          <w:rFonts w:ascii="Times New Roman"/>
          <w:spacing w:val="-5"/>
          <w:w w:val="105"/>
          <w:sz w:val="23"/>
        </w:rPr>
        <w:t> </w:t>
      </w:r>
      <w:r>
        <w:rPr>
          <w:rFonts w:ascii="Times New Roman"/>
          <w:w w:val="105"/>
          <w:sz w:val="23"/>
        </w:rPr>
        <w:t>a</w:t>
      </w:r>
      <w:r>
        <w:rPr>
          <w:rFonts w:ascii="Times New Roman"/>
          <w:spacing w:val="-2"/>
          <w:w w:val="105"/>
          <w:sz w:val="23"/>
        </w:rPr>
        <w:t> </w:t>
      </w:r>
      <w:r>
        <w:rPr>
          <w:rFonts w:ascii="Times New Roman"/>
          <w:w w:val="105"/>
          <w:sz w:val="23"/>
        </w:rPr>
        <w:t>subcontract, including procurements of</w:t>
      </w:r>
      <w:r>
        <w:rPr>
          <w:rFonts w:ascii="Times New Roman"/>
          <w:spacing w:val="-5"/>
          <w:w w:val="105"/>
          <w:sz w:val="23"/>
        </w:rPr>
        <w:t> </w:t>
      </w:r>
      <w:r>
        <w:rPr>
          <w:rFonts w:ascii="Times New Roman"/>
          <w:w w:val="105"/>
          <w:sz w:val="23"/>
        </w:rPr>
        <w:t>materials,</w:t>
      </w:r>
      <w:r>
        <w:rPr>
          <w:rFonts w:ascii="Times New Roman"/>
          <w:spacing w:val="-2"/>
          <w:w w:val="105"/>
          <w:sz w:val="23"/>
        </w:rPr>
        <w:t> </w:t>
      </w:r>
      <w:r>
        <w:rPr>
          <w:rFonts w:ascii="Times New Roman"/>
          <w:w w:val="105"/>
          <w:sz w:val="23"/>
        </w:rPr>
        <w:t>or</w:t>
      </w:r>
      <w:r>
        <w:rPr>
          <w:rFonts w:ascii="Times New Roman"/>
          <w:spacing w:val="-5"/>
          <w:w w:val="105"/>
          <w:sz w:val="23"/>
        </w:rPr>
        <w:t> </w:t>
      </w:r>
      <w:r>
        <w:rPr>
          <w:rFonts w:ascii="Times New Roman"/>
          <w:w w:val="105"/>
          <w:sz w:val="23"/>
        </w:rPr>
        <w:t>leases</w:t>
      </w:r>
      <w:r>
        <w:rPr>
          <w:rFonts w:ascii="Times New Roman"/>
          <w:spacing w:val="-11"/>
          <w:w w:val="105"/>
          <w:sz w:val="23"/>
        </w:rPr>
        <w:t> </w:t>
      </w:r>
      <w:r>
        <w:rPr>
          <w:rFonts w:ascii="Times New Roman"/>
          <w:w w:val="105"/>
          <w:sz w:val="23"/>
        </w:rPr>
        <w:t>of</w:t>
      </w:r>
      <w:r>
        <w:rPr>
          <w:rFonts w:ascii="Times New Roman"/>
          <w:spacing w:val="-11"/>
          <w:w w:val="105"/>
          <w:sz w:val="23"/>
        </w:rPr>
        <w:t> </w:t>
      </w:r>
      <w:r>
        <w:rPr>
          <w:rFonts w:ascii="Times New Roman"/>
          <w:w w:val="105"/>
          <w:sz w:val="23"/>
        </w:rPr>
        <w:t>equipment, each potential subcontractor or</w:t>
      </w:r>
      <w:r>
        <w:rPr>
          <w:rFonts w:ascii="Times New Roman"/>
          <w:spacing w:val="-13"/>
          <w:w w:val="105"/>
          <w:sz w:val="23"/>
        </w:rPr>
        <w:t> </w:t>
      </w:r>
      <w:r>
        <w:rPr>
          <w:rFonts w:ascii="Times New Roman"/>
          <w:w w:val="105"/>
          <w:sz w:val="23"/>
        </w:rPr>
        <w:t>supplier will</w:t>
      </w:r>
      <w:r>
        <w:rPr>
          <w:rFonts w:ascii="Times New Roman"/>
          <w:spacing w:val="-3"/>
          <w:w w:val="105"/>
          <w:sz w:val="23"/>
        </w:rPr>
        <w:t> </w:t>
      </w:r>
      <w:r>
        <w:rPr>
          <w:rFonts w:ascii="Times New Roman"/>
          <w:w w:val="105"/>
          <w:sz w:val="23"/>
        </w:rPr>
        <w:t>be</w:t>
      </w:r>
      <w:r>
        <w:rPr>
          <w:rFonts w:ascii="Times New Roman"/>
          <w:spacing w:val="-11"/>
          <w:w w:val="105"/>
          <w:sz w:val="23"/>
        </w:rPr>
        <w:t> </w:t>
      </w:r>
      <w:r>
        <w:rPr>
          <w:rFonts w:ascii="Times New Roman"/>
          <w:w w:val="105"/>
          <w:sz w:val="23"/>
        </w:rPr>
        <w:t>notified by</w:t>
      </w:r>
      <w:r>
        <w:rPr>
          <w:rFonts w:ascii="Times New Roman"/>
          <w:spacing w:val="-7"/>
          <w:w w:val="105"/>
          <w:sz w:val="23"/>
        </w:rPr>
        <w:t> </w:t>
      </w:r>
      <w:r>
        <w:rPr>
          <w:rFonts w:ascii="Times New Roman"/>
          <w:w w:val="105"/>
          <w:sz w:val="23"/>
        </w:rPr>
        <w:t>the</w:t>
      </w:r>
      <w:r>
        <w:rPr>
          <w:rFonts w:ascii="Times New Roman"/>
          <w:spacing w:val="-16"/>
          <w:w w:val="105"/>
          <w:sz w:val="23"/>
        </w:rPr>
        <w:t> </w:t>
      </w:r>
      <w:r>
        <w:rPr>
          <w:rFonts w:ascii="Times New Roman"/>
          <w:w w:val="105"/>
          <w:sz w:val="23"/>
        </w:rPr>
        <w:t>contractor of</w:t>
      </w:r>
      <w:r>
        <w:rPr>
          <w:rFonts w:ascii="Times New Roman"/>
          <w:spacing w:val="-10"/>
          <w:w w:val="105"/>
          <w:sz w:val="23"/>
        </w:rPr>
        <w:t> </w:t>
      </w:r>
      <w:r>
        <w:rPr>
          <w:rFonts w:ascii="Times New Roman"/>
          <w:w w:val="105"/>
          <w:sz w:val="23"/>
        </w:rPr>
        <w:t>the</w:t>
      </w:r>
      <w:r>
        <w:rPr>
          <w:rFonts w:ascii="Times New Roman"/>
          <w:spacing w:val="-16"/>
          <w:w w:val="105"/>
          <w:sz w:val="23"/>
        </w:rPr>
        <w:t> </w:t>
      </w:r>
      <w:r>
        <w:rPr>
          <w:rFonts w:ascii="Times New Roman"/>
          <w:w w:val="105"/>
          <w:sz w:val="23"/>
        </w:rPr>
        <w:t>contractor's</w:t>
      </w:r>
      <w:r>
        <w:rPr>
          <w:rFonts w:ascii="Times New Roman"/>
          <w:spacing w:val="-1"/>
          <w:w w:val="105"/>
          <w:sz w:val="23"/>
        </w:rPr>
        <w:t> </w:t>
      </w:r>
      <w:r>
        <w:rPr>
          <w:rFonts w:ascii="Times New Roman"/>
          <w:w w:val="105"/>
          <w:sz w:val="23"/>
        </w:rPr>
        <w:t>obligations under</w:t>
      </w:r>
      <w:r>
        <w:rPr>
          <w:rFonts w:ascii="Times New Roman"/>
          <w:spacing w:val="-4"/>
          <w:w w:val="105"/>
          <w:sz w:val="23"/>
        </w:rPr>
        <w:t> </w:t>
      </w:r>
      <w:r>
        <w:rPr>
          <w:rFonts w:ascii="Times New Roman"/>
          <w:w w:val="105"/>
          <w:sz w:val="23"/>
        </w:rPr>
        <w:t>this</w:t>
      </w:r>
      <w:r>
        <w:rPr>
          <w:rFonts w:ascii="Times New Roman"/>
          <w:spacing w:val="-11"/>
          <w:w w:val="105"/>
          <w:sz w:val="23"/>
        </w:rPr>
        <w:t> </w:t>
      </w:r>
      <w:r>
        <w:rPr>
          <w:rFonts w:ascii="Times New Roman"/>
          <w:w w:val="105"/>
          <w:sz w:val="23"/>
        </w:rPr>
        <w:t>contract and</w:t>
      </w:r>
      <w:r>
        <w:rPr>
          <w:rFonts w:ascii="Times New Roman"/>
          <w:spacing w:val="-4"/>
          <w:w w:val="105"/>
          <w:sz w:val="23"/>
        </w:rPr>
        <w:t> </w:t>
      </w:r>
      <w:r>
        <w:rPr>
          <w:rFonts w:ascii="Times New Roman"/>
          <w:w w:val="105"/>
          <w:sz w:val="23"/>
        </w:rPr>
        <w:t>the</w:t>
      </w:r>
      <w:r>
        <w:rPr>
          <w:rFonts w:ascii="Times New Roman"/>
          <w:spacing w:val="-6"/>
          <w:w w:val="105"/>
          <w:sz w:val="23"/>
        </w:rPr>
        <w:t> </w:t>
      </w:r>
      <w:r>
        <w:rPr>
          <w:rFonts w:ascii="Times New Roman"/>
          <w:w w:val="105"/>
          <w:sz w:val="23"/>
        </w:rPr>
        <w:t>Acts</w:t>
      </w:r>
      <w:r>
        <w:rPr>
          <w:rFonts w:ascii="Times New Roman"/>
          <w:spacing w:val="-11"/>
          <w:w w:val="105"/>
          <w:sz w:val="23"/>
        </w:rPr>
        <w:t> </w:t>
      </w:r>
      <w:r>
        <w:rPr>
          <w:rFonts w:ascii="Times New Roman"/>
          <w:w w:val="105"/>
          <w:sz w:val="23"/>
        </w:rPr>
        <w:t>and</w:t>
      </w:r>
      <w:r>
        <w:rPr>
          <w:rFonts w:ascii="Times New Roman"/>
          <w:spacing w:val="-4"/>
          <w:w w:val="105"/>
          <w:sz w:val="23"/>
        </w:rPr>
        <w:t> </w:t>
      </w:r>
      <w:r>
        <w:rPr>
          <w:rFonts w:ascii="Times New Roman"/>
          <w:w w:val="105"/>
          <w:sz w:val="23"/>
        </w:rPr>
        <w:t>the</w:t>
      </w:r>
      <w:r>
        <w:rPr>
          <w:rFonts w:ascii="Times New Roman"/>
          <w:spacing w:val="-16"/>
          <w:w w:val="105"/>
          <w:sz w:val="23"/>
        </w:rPr>
        <w:t> </w:t>
      </w:r>
      <w:r>
        <w:rPr>
          <w:rFonts w:ascii="Times New Roman"/>
          <w:w w:val="105"/>
          <w:sz w:val="23"/>
        </w:rPr>
        <w:t>Regulations</w:t>
      </w:r>
      <w:r>
        <w:rPr>
          <w:rFonts w:ascii="Times New Roman"/>
          <w:spacing w:val="12"/>
          <w:w w:val="105"/>
          <w:sz w:val="23"/>
        </w:rPr>
        <w:t> </w:t>
      </w:r>
      <w:r>
        <w:rPr>
          <w:rFonts w:ascii="Times New Roman"/>
          <w:w w:val="105"/>
          <w:sz w:val="23"/>
        </w:rPr>
        <w:t>relative</w:t>
      </w:r>
      <w:r>
        <w:rPr>
          <w:rFonts w:ascii="Times New Roman"/>
          <w:spacing w:val="-7"/>
          <w:w w:val="105"/>
          <w:sz w:val="23"/>
        </w:rPr>
        <w:t> </w:t>
      </w:r>
      <w:r>
        <w:rPr>
          <w:rFonts w:ascii="Times New Roman"/>
          <w:w w:val="105"/>
          <w:sz w:val="23"/>
        </w:rPr>
        <w:t>to</w:t>
      </w:r>
      <w:r>
        <w:rPr>
          <w:rFonts w:ascii="Times New Roman"/>
          <w:spacing w:val="-12"/>
          <w:w w:val="105"/>
          <w:sz w:val="23"/>
        </w:rPr>
        <w:t> </w:t>
      </w:r>
      <w:r>
        <w:rPr>
          <w:rFonts w:ascii="Times New Roman"/>
          <w:w w:val="105"/>
          <w:sz w:val="23"/>
        </w:rPr>
        <w:t>Non-discrimination</w:t>
      </w:r>
      <w:r>
        <w:rPr>
          <w:rFonts w:ascii="Times New Roman"/>
          <w:spacing w:val="-16"/>
          <w:w w:val="105"/>
          <w:sz w:val="23"/>
        </w:rPr>
        <w:t> </w:t>
      </w:r>
      <w:r>
        <w:rPr>
          <w:rFonts w:ascii="Times New Roman"/>
          <w:w w:val="105"/>
          <w:sz w:val="23"/>
        </w:rPr>
        <w:t>on</w:t>
      </w:r>
      <w:r>
        <w:rPr>
          <w:rFonts w:ascii="Times New Roman"/>
          <w:spacing w:val="-10"/>
          <w:w w:val="105"/>
          <w:sz w:val="23"/>
        </w:rPr>
        <w:t> </w:t>
      </w:r>
      <w:r>
        <w:rPr>
          <w:rFonts w:ascii="Times New Roman"/>
          <w:w w:val="105"/>
          <w:sz w:val="23"/>
        </w:rPr>
        <w:t>the</w:t>
      </w:r>
      <w:r>
        <w:rPr>
          <w:rFonts w:ascii="Times New Roman"/>
          <w:spacing w:val="-12"/>
          <w:w w:val="105"/>
          <w:sz w:val="23"/>
        </w:rPr>
        <w:t> </w:t>
      </w:r>
      <w:r>
        <w:rPr>
          <w:rFonts w:ascii="Times New Roman"/>
          <w:w w:val="105"/>
          <w:sz w:val="23"/>
        </w:rPr>
        <w:t>grounds of race, color, or national origin.</w:t>
      </w:r>
    </w:p>
    <w:p>
      <w:pPr>
        <w:pStyle w:val="BodyText"/>
        <w:spacing w:before="6"/>
        <w:rPr>
          <w:rFonts w:ascii="Times New Roman"/>
          <w:sz w:val="22"/>
        </w:rPr>
      </w:pPr>
    </w:p>
    <w:p>
      <w:pPr>
        <w:pStyle w:val="ListParagraph"/>
        <w:numPr>
          <w:ilvl w:val="0"/>
          <w:numId w:val="31"/>
        </w:numPr>
        <w:tabs>
          <w:tab w:pos="937" w:val="left" w:leader="none"/>
          <w:tab w:pos="941" w:val="left" w:leader="none"/>
        </w:tabs>
        <w:spacing w:line="254" w:lineRule="auto" w:before="0" w:after="0"/>
        <w:ind w:left="941" w:right="700" w:hanging="269"/>
        <w:jc w:val="left"/>
        <w:rPr>
          <w:rFonts w:ascii="Times New Roman"/>
          <w:sz w:val="23"/>
        </w:rPr>
      </w:pPr>
      <w:r>
        <w:rPr>
          <w:rFonts w:ascii="Times New Roman"/>
          <w:b/>
          <w:w w:val="105"/>
          <w:sz w:val="23"/>
        </w:rPr>
        <w:t>Information</w:t>
      </w:r>
      <w:r>
        <w:rPr>
          <w:rFonts w:ascii="Times New Roman"/>
          <w:b/>
          <w:spacing w:val="-8"/>
          <w:w w:val="105"/>
          <w:sz w:val="23"/>
        </w:rPr>
        <w:t> </w:t>
      </w:r>
      <w:r>
        <w:rPr>
          <w:rFonts w:ascii="Times New Roman"/>
          <w:b/>
          <w:w w:val="105"/>
          <w:sz w:val="23"/>
        </w:rPr>
        <w:t>and</w:t>
      </w:r>
      <w:r>
        <w:rPr>
          <w:rFonts w:ascii="Times New Roman"/>
          <w:b/>
          <w:spacing w:val="-15"/>
          <w:w w:val="105"/>
          <w:sz w:val="23"/>
        </w:rPr>
        <w:t> </w:t>
      </w:r>
      <w:r>
        <w:rPr>
          <w:rFonts w:ascii="Times New Roman"/>
          <w:b/>
          <w:w w:val="105"/>
          <w:sz w:val="23"/>
        </w:rPr>
        <w:t>Reports:</w:t>
      </w:r>
      <w:r>
        <w:rPr>
          <w:rFonts w:ascii="Times New Roman"/>
          <w:b/>
          <w:spacing w:val="-15"/>
          <w:w w:val="105"/>
          <w:sz w:val="23"/>
        </w:rPr>
        <w:t> </w:t>
      </w:r>
      <w:r>
        <w:rPr>
          <w:rFonts w:ascii="Times New Roman"/>
          <w:w w:val="105"/>
          <w:sz w:val="23"/>
        </w:rPr>
        <w:t>The</w:t>
      </w:r>
      <w:r>
        <w:rPr>
          <w:rFonts w:ascii="Times New Roman"/>
          <w:spacing w:val="-15"/>
          <w:w w:val="105"/>
          <w:sz w:val="23"/>
        </w:rPr>
        <w:t> </w:t>
      </w:r>
      <w:r>
        <w:rPr>
          <w:rFonts w:ascii="Times New Roman"/>
          <w:w w:val="105"/>
          <w:sz w:val="23"/>
        </w:rPr>
        <w:t>contractor</w:t>
      </w:r>
      <w:r>
        <w:rPr>
          <w:rFonts w:ascii="Times New Roman"/>
          <w:spacing w:val="-11"/>
          <w:w w:val="105"/>
          <w:sz w:val="23"/>
        </w:rPr>
        <w:t> </w:t>
      </w:r>
      <w:r>
        <w:rPr>
          <w:rFonts w:ascii="Times New Roman"/>
          <w:w w:val="105"/>
          <w:sz w:val="23"/>
        </w:rPr>
        <w:t>will</w:t>
      </w:r>
      <w:r>
        <w:rPr>
          <w:rFonts w:ascii="Times New Roman"/>
          <w:spacing w:val="-16"/>
          <w:w w:val="105"/>
          <w:sz w:val="23"/>
        </w:rPr>
        <w:t> </w:t>
      </w:r>
      <w:r>
        <w:rPr>
          <w:rFonts w:ascii="Times New Roman"/>
          <w:w w:val="105"/>
          <w:sz w:val="23"/>
        </w:rPr>
        <w:t>provide</w:t>
      </w:r>
      <w:r>
        <w:rPr>
          <w:rFonts w:ascii="Times New Roman"/>
          <w:spacing w:val="-15"/>
          <w:w w:val="105"/>
          <w:sz w:val="23"/>
        </w:rPr>
        <w:t> </w:t>
      </w:r>
      <w:r>
        <w:rPr>
          <w:rFonts w:ascii="Times New Roman"/>
          <w:w w:val="105"/>
          <w:sz w:val="23"/>
        </w:rPr>
        <w:t>all</w:t>
      </w:r>
      <w:r>
        <w:rPr>
          <w:rFonts w:ascii="Times New Roman"/>
          <w:spacing w:val="-15"/>
          <w:w w:val="105"/>
          <w:sz w:val="23"/>
        </w:rPr>
        <w:t> </w:t>
      </w:r>
      <w:r>
        <w:rPr>
          <w:rFonts w:ascii="Times New Roman"/>
          <w:w w:val="105"/>
          <w:sz w:val="23"/>
        </w:rPr>
        <w:t>information</w:t>
      </w:r>
      <w:r>
        <w:rPr>
          <w:rFonts w:ascii="Times New Roman"/>
          <w:spacing w:val="-15"/>
          <w:w w:val="105"/>
          <w:sz w:val="23"/>
        </w:rPr>
        <w:t> </w:t>
      </w:r>
      <w:r>
        <w:rPr>
          <w:rFonts w:ascii="Times New Roman"/>
          <w:w w:val="105"/>
          <w:sz w:val="23"/>
        </w:rPr>
        <w:t>and</w:t>
      </w:r>
      <w:r>
        <w:rPr>
          <w:rFonts w:ascii="Times New Roman"/>
          <w:spacing w:val="-10"/>
          <w:w w:val="105"/>
          <w:sz w:val="23"/>
        </w:rPr>
        <w:t> </w:t>
      </w:r>
      <w:r>
        <w:rPr>
          <w:rFonts w:ascii="Times New Roman"/>
          <w:w w:val="105"/>
          <w:sz w:val="23"/>
        </w:rPr>
        <w:t>repo11s</w:t>
      </w:r>
      <w:r>
        <w:rPr>
          <w:rFonts w:ascii="Times New Roman"/>
          <w:spacing w:val="-14"/>
          <w:w w:val="105"/>
          <w:sz w:val="23"/>
        </w:rPr>
        <w:t> </w:t>
      </w:r>
      <w:r>
        <w:rPr>
          <w:rFonts w:ascii="Times New Roman"/>
          <w:w w:val="105"/>
          <w:sz w:val="23"/>
        </w:rPr>
        <w:t>required</w:t>
      </w:r>
      <w:r>
        <w:rPr>
          <w:rFonts w:ascii="Times New Roman"/>
          <w:spacing w:val="-10"/>
          <w:w w:val="105"/>
          <w:sz w:val="23"/>
        </w:rPr>
        <w:t> </w:t>
      </w:r>
      <w:r>
        <w:rPr>
          <w:rFonts w:ascii="Times New Roman"/>
          <w:w w:val="105"/>
          <w:sz w:val="23"/>
        </w:rPr>
        <w:t>by</w:t>
      </w:r>
      <w:r>
        <w:rPr>
          <w:rFonts w:ascii="Times New Roman"/>
          <w:spacing w:val="-15"/>
          <w:w w:val="105"/>
          <w:sz w:val="23"/>
        </w:rPr>
        <w:t> </w:t>
      </w:r>
      <w:r>
        <w:rPr>
          <w:rFonts w:ascii="Times New Roman"/>
          <w:w w:val="105"/>
          <w:sz w:val="23"/>
        </w:rPr>
        <w:t>the Acts,</w:t>
      </w:r>
      <w:r>
        <w:rPr>
          <w:rFonts w:ascii="Times New Roman"/>
          <w:spacing w:val="-3"/>
          <w:w w:val="105"/>
          <w:sz w:val="23"/>
        </w:rPr>
        <w:t> </w:t>
      </w:r>
      <w:r>
        <w:rPr>
          <w:rFonts w:ascii="Times New Roman"/>
          <w:w w:val="105"/>
          <w:sz w:val="23"/>
        </w:rPr>
        <w:t>the</w:t>
      </w:r>
      <w:r>
        <w:rPr>
          <w:rFonts w:ascii="Times New Roman"/>
          <w:spacing w:val="-2"/>
          <w:w w:val="105"/>
          <w:sz w:val="23"/>
        </w:rPr>
        <w:t> </w:t>
      </w:r>
      <w:r>
        <w:rPr>
          <w:rFonts w:ascii="Times New Roman"/>
          <w:w w:val="105"/>
          <w:sz w:val="23"/>
        </w:rPr>
        <w:t>Regulations, and directives issued pursuant thereto and will permit access to</w:t>
      </w:r>
      <w:r>
        <w:rPr>
          <w:rFonts w:ascii="Times New Roman"/>
          <w:spacing w:val="-1"/>
          <w:w w:val="105"/>
          <w:sz w:val="23"/>
        </w:rPr>
        <w:t> </w:t>
      </w:r>
      <w:r>
        <w:rPr>
          <w:rFonts w:ascii="Times New Roman"/>
          <w:w w:val="105"/>
          <w:sz w:val="23"/>
        </w:rPr>
        <w:t>its</w:t>
      </w:r>
      <w:r>
        <w:rPr>
          <w:rFonts w:ascii="Times New Roman"/>
          <w:spacing w:val="-1"/>
          <w:w w:val="105"/>
          <w:sz w:val="23"/>
        </w:rPr>
        <w:t> </w:t>
      </w:r>
      <w:r>
        <w:rPr>
          <w:rFonts w:ascii="Times New Roman"/>
          <w:w w:val="105"/>
          <w:sz w:val="23"/>
        </w:rPr>
        <w:t>books, records, accounts, other sources of</w:t>
      </w:r>
      <w:r>
        <w:rPr>
          <w:rFonts w:ascii="Times New Roman"/>
          <w:spacing w:val="-1"/>
          <w:w w:val="105"/>
          <w:sz w:val="23"/>
        </w:rPr>
        <w:t> </w:t>
      </w:r>
      <w:r>
        <w:rPr>
          <w:rFonts w:ascii="Times New Roman"/>
          <w:w w:val="105"/>
          <w:sz w:val="23"/>
        </w:rPr>
        <w:t>information, and its</w:t>
      </w:r>
      <w:r>
        <w:rPr>
          <w:rFonts w:ascii="Times New Roman"/>
          <w:spacing w:val="-10"/>
          <w:w w:val="105"/>
          <w:sz w:val="23"/>
        </w:rPr>
        <w:t> </w:t>
      </w:r>
      <w:r>
        <w:rPr>
          <w:rFonts w:ascii="Times New Roman"/>
          <w:w w:val="105"/>
          <w:sz w:val="23"/>
        </w:rPr>
        <w:t>facilities as</w:t>
      </w:r>
      <w:r>
        <w:rPr>
          <w:rFonts w:ascii="Times New Roman"/>
          <w:spacing w:val="-2"/>
          <w:w w:val="105"/>
          <w:sz w:val="23"/>
        </w:rPr>
        <w:t> </w:t>
      </w:r>
      <w:r>
        <w:rPr>
          <w:rFonts w:ascii="Times New Roman"/>
          <w:w w:val="105"/>
          <w:sz w:val="23"/>
        </w:rPr>
        <w:t>may be</w:t>
      </w:r>
      <w:r>
        <w:rPr>
          <w:rFonts w:ascii="Times New Roman"/>
          <w:spacing w:val="-4"/>
          <w:w w:val="105"/>
          <w:sz w:val="23"/>
        </w:rPr>
        <w:t> </w:t>
      </w:r>
      <w:r>
        <w:rPr>
          <w:rFonts w:ascii="Times New Roman"/>
          <w:w w:val="105"/>
          <w:sz w:val="23"/>
        </w:rPr>
        <w:t>determined by the Recipient or</w:t>
      </w:r>
      <w:r>
        <w:rPr>
          <w:rFonts w:ascii="Times New Roman"/>
          <w:spacing w:val="-5"/>
          <w:w w:val="105"/>
          <w:sz w:val="23"/>
        </w:rPr>
        <w:t> </w:t>
      </w:r>
      <w:r>
        <w:rPr>
          <w:rFonts w:ascii="Times New Roman"/>
          <w:w w:val="105"/>
          <w:sz w:val="23"/>
        </w:rPr>
        <w:t>the</w:t>
      </w:r>
      <w:r>
        <w:rPr>
          <w:rFonts w:ascii="Times New Roman"/>
          <w:spacing w:val="-4"/>
          <w:w w:val="105"/>
          <w:sz w:val="23"/>
        </w:rPr>
        <w:t> </w:t>
      </w:r>
      <w:r>
        <w:rPr>
          <w:rFonts w:ascii="Times New Roman"/>
          <w:b/>
          <w:i/>
          <w:w w:val="105"/>
          <w:sz w:val="23"/>
        </w:rPr>
        <w:t>FTA </w:t>
      </w:r>
      <w:r>
        <w:rPr>
          <w:rFonts w:ascii="Times New Roman"/>
          <w:w w:val="105"/>
          <w:sz w:val="23"/>
        </w:rPr>
        <w:t>to be pertinent to</w:t>
      </w:r>
      <w:r>
        <w:rPr>
          <w:rFonts w:ascii="Times New Roman"/>
          <w:spacing w:val="-8"/>
          <w:w w:val="105"/>
          <w:sz w:val="23"/>
        </w:rPr>
        <w:t> </w:t>
      </w:r>
      <w:r>
        <w:rPr>
          <w:rFonts w:ascii="Times New Roman"/>
          <w:w w:val="105"/>
          <w:sz w:val="23"/>
        </w:rPr>
        <w:t>ascertain compliance with such Acts,</w:t>
      </w:r>
      <w:r>
        <w:rPr>
          <w:rFonts w:ascii="Times New Roman"/>
          <w:spacing w:val="-1"/>
          <w:w w:val="105"/>
          <w:sz w:val="23"/>
        </w:rPr>
        <w:t> </w:t>
      </w:r>
      <w:r>
        <w:rPr>
          <w:rFonts w:ascii="Times New Roman"/>
          <w:w w:val="105"/>
          <w:sz w:val="23"/>
        </w:rPr>
        <w:t>Regulations, and instructions. Where any information required of</w:t>
      </w:r>
      <w:r>
        <w:rPr>
          <w:rFonts w:ascii="Times New Roman"/>
          <w:spacing w:val="-3"/>
          <w:w w:val="105"/>
          <w:sz w:val="23"/>
        </w:rPr>
        <w:t> </w:t>
      </w:r>
      <w:r>
        <w:rPr>
          <w:rFonts w:ascii="Times New Roman"/>
          <w:w w:val="105"/>
          <w:sz w:val="23"/>
        </w:rPr>
        <w:t>a</w:t>
      </w:r>
      <w:r>
        <w:rPr>
          <w:rFonts w:ascii="Times New Roman"/>
          <w:spacing w:val="-1"/>
          <w:w w:val="105"/>
          <w:sz w:val="23"/>
        </w:rPr>
        <w:t> </w:t>
      </w:r>
      <w:r>
        <w:rPr>
          <w:rFonts w:ascii="Times New Roman"/>
          <w:w w:val="105"/>
          <w:sz w:val="23"/>
        </w:rPr>
        <w:t>contractor is in</w:t>
      </w:r>
      <w:r>
        <w:rPr>
          <w:rFonts w:ascii="Times New Roman"/>
          <w:spacing w:val="-10"/>
          <w:w w:val="105"/>
          <w:sz w:val="23"/>
        </w:rPr>
        <w:t> </w:t>
      </w:r>
      <w:r>
        <w:rPr>
          <w:rFonts w:ascii="Times New Roman"/>
          <w:w w:val="105"/>
          <w:sz w:val="23"/>
        </w:rPr>
        <w:t>the exclusive possession of another who fails</w:t>
      </w:r>
      <w:r>
        <w:rPr>
          <w:rFonts w:ascii="Times New Roman"/>
          <w:spacing w:val="-1"/>
          <w:w w:val="105"/>
          <w:sz w:val="23"/>
        </w:rPr>
        <w:t> </w:t>
      </w:r>
      <w:r>
        <w:rPr>
          <w:rFonts w:ascii="Times New Roman"/>
          <w:w w:val="105"/>
          <w:sz w:val="23"/>
        </w:rPr>
        <w:t>or refuses to furnish the information, the contractor will so</w:t>
      </w:r>
      <w:r>
        <w:rPr>
          <w:rFonts w:ascii="Times New Roman"/>
          <w:spacing w:val="-4"/>
          <w:w w:val="105"/>
          <w:sz w:val="23"/>
        </w:rPr>
        <w:t> </w:t>
      </w:r>
      <w:r>
        <w:rPr>
          <w:rFonts w:ascii="Times New Roman"/>
          <w:w w:val="105"/>
          <w:sz w:val="23"/>
        </w:rPr>
        <w:t>certify to the Recipient or</w:t>
      </w:r>
      <w:r>
        <w:rPr>
          <w:rFonts w:ascii="Times New Roman"/>
          <w:spacing w:val="-5"/>
          <w:w w:val="105"/>
          <w:sz w:val="23"/>
        </w:rPr>
        <w:t> </w:t>
      </w:r>
      <w:r>
        <w:rPr>
          <w:rFonts w:ascii="Times New Roman"/>
          <w:w w:val="105"/>
          <w:sz w:val="23"/>
        </w:rPr>
        <w:t>the</w:t>
      </w:r>
      <w:r>
        <w:rPr>
          <w:rFonts w:ascii="Times New Roman"/>
          <w:spacing w:val="-4"/>
          <w:w w:val="105"/>
          <w:sz w:val="23"/>
        </w:rPr>
        <w:t> </w:t>
      </w:r>
      <w:r>
        <w:rPr>
          <w:rFonts w:ascii="Times New Roman"/>
          <w:b/>
          <w:i/>
          <w:w w:val="105"/>
          <w:sz w:val="23"/>
        </w:rPr>
        <w:t>FTA,</w:t>
      </w:r>
      <w:r>
        <w:rPr>
          <w:rFonts w:ascii="Times New Roman"/>
          <w:b/>
          <w:i/>
          <w:spacing w:val="-3"/>
          <w:w w:val="105"/>
          <w:sz w:val="23"/>
        </w:rPr>
        <w:t> </w:t>
      </w:r>
      <w:r>
        <w:rPr>
          <w:rFonts w:ascii="Times New Roman"/>
          <w:w w:val="105"/>
          <w:sz w:val="23"/>
        </w:rPr>
        <w:t>as</w:t>
      </w:r>
      <w:r>
        <w:rPr>
          <w:rFonts w:ascii="Times New Roman"/>
          <w:spacing w:val="-7"/>
          <w:w w:val="105"/>
          <w:sz w:val="23"/>
        </w:rPr>
        <w:t> </w:t>
      </w:r>
      <w:r>
        <w:rPr>
          <w:rFonts w:ascii="Times New Roman"/>
          <w:w w:val="105"/>
          <w:sz w:val="23"/>
        </w:rPr>
        <w:t>appropriate, and will set forth what efforts it has made to obtain the </w:t>
      </w:r>
      <w:r>
        <w:rPr>
          <w:rFonts w:ascii="Times New Roman"/>
          <w:spacing w:val="-2"/>
          <w:w w:val="105"/>
          <w:sz w:val="23"/>
        </w:rPr>
        <w:t>information.</w:t>
      </w:r>
    </w:p>
    <w:p>
      <w:pPr>
        <w:pStyle w:val="BodyText"/>
        <w:spacing w:before="1"/>
        <w:rPr>
          <w:rFonts w:ascii="Times New Roman"/>
          <w:sz w:val="22"/>
        </w:rPr>
      </w:pPr>
    </w:p>
    <w:p>
      <w:pPr>
        <w:pStyle w:val="ListParagraph"/>
        <w:numPr>
          <w:ilvl w:val="0"/>
          <w:numId w:val="31"/>
        </w:numPr>
        <w:tabs>
          <w:tab w:pos="937" w:val="left" w:leader="none"/>
          <w:tab w:pos="941" w:val="left" w:leader="none"/>
        </w:tabs>
        <w:spacing w:line="252" w:lineRule="auto" w:before="0" w:after="0"/>
        <w:ind w:left="941" w:right="656" w:hanging="269"/>
        <w:jc w:val="left"/>
        <w:rPr>
          <w:rFonts w:ascii="Times New Roman" w:hAnsi="Times New Roman"/>
          <w:sz w:val="23"/>
        </w:rPr>
      </w:pPr>
      <w:r>
        <w:rPr>
          <w:rFonts w:ascii="Times New Roman" w:hAnsi="Times New Roman"/>
          <w:b/>
          <w:w w:val="105"/>
          <w:sz w:val="23"/>
        </w:rPr>
        <w:t>Sanctions for</w:t>
      </w:r>
      <w:r>
        <w:rPr>
          <w:rFonts w:ascii="Times New Roman" w:hAnsi="Times New Roman"/>
          <w:b/>
          <w:spacing w:val="-1"/>
          <w:w w:val="105"/>
          <w:sz w:val="23"/>
        </w:rPr>
        <w:t> </w:t>
      </w:r>
      <w:r>
        <w:rPr>
          <w:rFonts w:ascii="Times New Roman" w:hAnsi="Times New Roman"/>
          <w:b/>
          <w:w w:val="105"/>
          <w:sz w:val="23"/>
        </w:rPr>
        <w:t>Noncompliance:</w:t>
      </w:r>
      <w:r>
        <w:rPr>
          <w:rFonts w:ascii="Times New Roman" w:hAnsi="Times New Roman"/>
          <w:b/>
          <w:spacing w:val="-9"/>
          <w:w w:val="105"/>
          <w:sz w:val="23"/>
        </w:rPr>
        <w:t> </w:t>
      </w:r>
      <w:r>
        <w:rPr>
          <w:rFonts w:ascii="Times New Roman" w:hAnsi="Times New Roman"/>
          <w:w w:val="105"/>
          <w:sz w:val="23"/>
        </w:rPr>
        <w:t>In</w:t>
      </w:r>
      <w:r>
        <w:rPr>
          <w:rFonts w:ascii="Times New Roman" w:hAnsi="Times New Roman"/>
          <w:spacing w:val="-6"/>
          <w:w w:val="105"/>
          <w:sz w:val="23"/>
        </w:rPr>
        <w:t> </w:t>
      </w:r>
      <w:r>
        <w:rPr>
          <w:rFonts w:ascii="Times New Roman" w:hAnsi="Times New Roman"/>
          <w:w w:val="105"/>
          <w:sz w:val="23"/>
        </w:rPr>
        <w:t>the</w:t>
      </w:r>
      <w:r>
        <w:rPr>
          <w:rFonts w:ascii="Times New Roman" w:hAnsi="Times New Roman"/>
          <w:spacing w:val="-2"/>
          <w:w w:val="105"/>
          <w:sz w:val="23"/>
        </w:rPr>
        <w:t> </w:t>
      </w:r>
      <w:r>
        <w:rPr>
          <w:rFonts w:ascii="Times New Roman" w:hAnsi="Times New Roman"/>
          <w:w w:val="105"/>
          <w:sz w:val="23"/>
        </w:rPr>
        <w:t>event of a contractor's noncompliance</w:t>
      </w:r>
      <w:r>
        <w:rPr>
          <w:rFonts w:ascii="Times New Roman" w:hAnsi="Times New Roman"/>
          <w:spacing w:val="28"/>
          <w:w w:val="105"/>
          <w:sz w:val="23"/>
        </w:rPr>
        <w:t> </w:t>
      </w:r>
      <w:r>
        <w:rPr>
          <w:rFonts w:ascii="Times New Roman" w:hAnsi="Times New Roman"/>
          <w:w w:val="105"/>
          <w:sz w:val="23"/>
        </w:rPr>
        <w:t>with the Non­ discrimination</w:t>
      </w:r>
      <w:r>
        <w:rPr>
          <w:rFonts w:ascii="Times New Roman" w:hAnsi="Times New Roman"/>
          <w:spacing w:val="-11"/>
          <w:w w:val="105"/>
          <w:sz w:val="23"/>
        </w:rPr>
        <w:t> </w:t>
      </w:r>
      <w:r>
        <w:rPr>
          <w:rFonts w:ascii="Times New Roman" w:hAnsi="Times New Roman"/>
          <w:w w:val="105"/>
          <w:sz w:val="23"/>
        </w:rPr>
        <w:t>provisions of</w:t>
      </w:r>
      <w:r>
        <w:rPr>
          <w:rFonts w:ascii="Times New Roman" w:hAnsi="Times New Roman"/>
          <w:spacing w:val="-9"/>
          <w:w w:val="105"/>
          <w:sz w:val="23"/>
        </w:rPr>
        <w:t> </w:t>
      </w:r>
      <w:r>
        <w:rPr>
          <w:rFonts w:ascii="Times New Roman" w:hAnsi="Times New Roman"/>
          <w:w w:val="105"/>
          <w:sz w:val="23"/>
        </w:rPr>
        <w:t>this</w:t>
      </w:r>
      <w:r>
        <w:rPr>
          <w:rFonts w:ascii="Times New Roman" w:hAnsi="Times New Roman"/>
          <w:spacing w:val="-8"/>
          <w:w w:val="105"/>
          <w:sz w:val="23"/>
        </w:rPr>
        <w:t> </w:t>
      </w:r>
      <w:r>
        <w:rPr>
          <w:rFonts w:ascii="Times New Roman" w:hAnsi="Times New Roman"/>
          <w:w w:val="105"/>
          <w:sz w:val="23"/>
        </w:rPr>
        <w:t>contract,</w:t>
      </w:r>
      <w:r>
        <w:rPr>
          <w:rFonts w:ascii="Times New Roman" w:hAnsi="Times New Roman"/>
          <w:spacing w:val="-3"/>
          <w:w w:val="105"/>
          <w:sz w:val="23"/>
        </w:rPr>
        <w:t> </w:t>
      </w:r>
      <w:r>
        <w:rPr>
          <w:rFonts w:ascii="Times New Roman" w:hAnsi="Times New Roman"/>
          <w:w w:val="105"/>
          <w:sz w:val="23"/>
        </w:rPr>
        <w:t>the</w:t>
      </w:r>
      <w:r>
        <w:rPr>
          <w:rFonts w:ascii="Times New Roman" w:hAnsi="Times New Roman"/>
          <w:spacing w:val="-11"/>
          <w:w w:val="105"/>
          <w:sz w:val="23"/>
        </w:rPr>
        <w:t> </w:t>
      </w:r>
      <w:r>
        <w:rPr>
          <w:rFonts w:ascii="Times New Roman" w:hAnsi="Times New Roman"/>
          <w:w w:val="105"/>
          <w:sz w:val="23"/>
        </w:rPr>
        <w:t>Recipient will impose</w:t>
      </w:r>
      <w:r>
        <w:rPr>
          <w:rFonts w:ascii="Times New Roman" w:hAnsi="Times New Roman"/>
          <w:spacing w:val="-4"/>
          <w:w w:val="105"/>
          <w:sz w:val="23"/>
        </w:rPr>
        <w:t> </w:t>
      </w:r>
      <w:r>
        <w:rPr>
          <w:rFonts w:ascii="Times New Roman" w:hAnsi="Times New Roman"/>
          <w:w w:val="105"/>
          <w:sz w:val="23"/>
        </w:rPr>
        <w:t>such</w:t>
      </w:r>
      <w:r>
        <w:rPr>
          <w:rFonts w:ascii="Times New Roman" w:hAnsi="Times New Roman"/>
          <w:spacing w:val="-9"/>
          <w:w w:val="105"/>
          <w:sz w:val="23"/>
        </w:rPr>
        <w:t> </w:t>
      </w:r>
      <w:r>
        <w:rPr>
          <w:rFonts w:ascii="Times New Roman" w:hAnsi="Times New Roman"/>
          <w:w w:val="105"/>
          <w:sz w:val="23"/>
        </w:rPr>
        <w:t>contract</w:t>
      </w:r>
      <w:r>
        <w:rPr>
          <w:rFonts w:ascii="Times New Roman" w:hAnsi="Times New Roman"/>
          <w:spacing w:val="-1"/>
          <w:w w:val="105"/>
          <w:sz w:val="23"/>
        </w:rPr>
        <w:t> </w:t>
      </w:r>
      <w:r>
        <w:rPr>
          <w:rFonts w:ascii="Times New Roman" w:hAnsi="Times New Roman"/>
          <w:w w:val="105"/>
          <w:sz w:val="23"/>
        </w:rPr>
        <w:t>sanctions</w:t>
      </w:r>
      <w:r>
        <w:rPr>
          <w:rFonts w:ascii="Times New Roman" w:hAnsi="Times New Roman"/>
          <w:spacing w:val="-7"/>
          <w:w w:val="105"/>
          <w:sz w:val="23"/>
        </w:rPr>
        <w:t> </w:t>
      </w:r>
      <w:r>
        <w:rPr>
          <w:rFonts w:ascii="Times New Roman" w:hAnsi="Times New Roman"/>
          <w:w w:val="105"/>
          <w:sz w:val="23"/>
        </w:rPr>
        <w:t>as</w:t>
      </w:r>
      <w:r>
        <w:rPr>
          <w:rFonts w:ascii="Times New Roman" w:hAnsi="Times New Roman"/>
          <w:spacing w:val="-16"/>
          <w:w w:val="105"/>
          <w:sz w:val="23"/>
        </w:rPr>
        <w:t> </w:t>
      </w:r>
      <w:r>
        <w:rPr>
          <w:rFonts w:ascii="Times New Roman" w:hAnsi="Times New Roman"/>
          <w:w w:val="105"/>
          <w:sz w:val="23"/>
        </w:rPr>
        <w:t>it</w:t>
      </w:r>
      <w:r>
        <w:rPr>
          <w:rFonts w:ascii="Times New Roman" w:hAnsi="Times New Roman"/>
          <w:spacing w:val="-15"/>
          <w:w w:val="105"/>
          <w:sz w:val="23"/>
        </w:rPr>
        <w:t> </w:t>
      </w:r>
      <w:r>
        <w:rPr>
          <w:rFonts w:ascii="Times New Roman" w:hAnsi="Times New Roman"/>
          <w:w w:val="105"/>
          <w:sz w:val="23"/>
        </w:rPr>
        <w:t>or the</w:t>
      </w:r>
      <w:r>
        <w:rPr>
          <w:rFonts w:ascii="Times New Roman" w:hAnsi="Times New Roman"/>
          <w:spacing w:val="-1"/>
          <w:w w:val="105"/>
          <w:sz w:val="23"/>
        </w:rPr>
        <w:t> </w:t>
      </w:r>
      <w:r>
        <w:rPr>
          <w:rFonts w:ascii="Times New Roman" w:hAnsi="Times New Roman"/>
          <w:b/>
          <w:i/>
          <w:w w:val="105"/>
          <w:sz w:val="23"/>
        </w:rPr>
        <w:t>FTA </w:t>
      </w:r>
      <w:r>
        <w:rPr>
          <w:rFonts w:ascii="Times New Roman" w:hAnsi="Times New Roman"/>
          <w:w w:val="105"/>
          <w:sz w:val="23"/>
        </w:rPr>
        <w:t>may determine to be appropriate, including, but not limited</w:t>
      </w:r>
      <w:r>
        <w:rPr>
          <w:rFonts w:ascii="Times New Roman" w:hAnsi="Times New Roman"/>
          <w:spacing w:val="40"/>
          <w:w w:val="105"/>
          <w:sz w:val="23"/>
        </w:rPr>
        <w:t> </w:t>
      </w:r>
      <w:r>
        <w:rPr>
          <w:rFonts w:ascii="Times New Roman" w:hAnsi="Times New Roman"/>
          <w:w w:val="105"/>
          <w:sz w:val="23"/>
        </w:rPr>
        <w:t>to:</w:t>
      </w:r>
    </w:p>
    <w:p>
      <w:pPr>
        <w:pStyle w:val="BodyText"/>
        <w:spacing w:before="7"/>
        <w:rPr>
          <w:rFonts w:ascii="Times New Roman"/>
          <w:sz w:val="23"/>
        </w:rPr>
      </w:pPr>
    </w:p>
    <w:p>
      <w:pPr>
        <w:pStyle w:val="ListParagraph"/>
        <w:numPr>
          <w:ilvl w:val="1"/>
          <w:numId w:val="31"/>
        </w:numPr>
        <w:tabs>
          <w:tab w:pos="1664" w:val="left" w:leader="none"/>
          <w:tab w:pos="1668" w:val="left" w:leader="none"/>
        </w:tabs>
        <w:spacing w:line="268" w:lineRule="auto" w:before="0" w:after="0"/>
        <w:ind w:left="1664" w:right="1029" w:hanging="275"/>
        <w:jc w:val="left"/>
        <w:rPr>
          <w:rFonts w:ascii="Times New Roman"/>
          <w:sz w:val="23"/>
        </w:rPr>
      </w:pPr>
      <w:r>
        <w:rPr>
          <w:rFonts w:ascii="Times New Roman"/>
          <w:sz w:val="23"/>
        </w:rPr>
        <w:tab/>
      </w:r>
      <w:r>
        <w:rPr>
          <w:rFonts w:ascii="Times New Roman"/>
          <w:w w:val="105"/>
          <w:sz w:val="23"/>
        </w:rPr>
        <w:t>withholding</w:t>
      </w:r>
      <w:r>
        <w:rPr>
          <w:rFonts w:ascii="Times New Roman"/>
          <w:spacing w:val="-13"/>
          <w:w w:val="105"/>
          <w:sz w:val="23"/>
        </w:rPr>
        <w:t> </w:t>
      </w:r>
      <w:r>
        <w:rPr>
          <w:rFonts w:ascii="Times New Roman"/>
          <w:w w:val="105"/>
          <w:sz w:val="23"/>
        </w:rPr>
        <w:t>payments</w:t>
      </w:r>
      <w:r>
        <w:rPr>
          <w:rFonts w:ascii="Times New Roman"/>
          <w:spacing w:val="-10"/>
          <w:w w:val="105"/>
          <w:sz w:val="23"/>
        </w:rPr>
        <w:t> </w:t>
      </w:r>
      <w:r>
        <w:rPr>
          <w:rFonts w:ascii="Times New Roman"/>
          <w:w w:val="105"/>
          <w:sz w:val="23"/>
        </w:rPr>
        <w:t>to</w:t>
      </w:r>
      <w:r>
        <w:rPr>
          <w:rFonts w:ascii="Times New Roman"/>
          <w:spacing w:val="-16"/>
          <w:w w:val="105"/>
          <w:sz w:val="23"/>
        </w:rPr>
        <w:t> </w:t>
      </w:r>
      <w:r>
        <w:rPr>
          <w:rFonts w:ascii="Times New Roman"/>
          <w:w w:val="105"/>
          <w:sz w:val="23"/>
        </w:rPr>
        <w:t>the</w:t>
      </w:r>
      <w:r>
        <w:rPr>
          <w:rFonts w:ascii="Times New Roman"/>
          <w:spacing w:val="-15"/>
          <w:w w:val="105"/>
          <w:sz w:val="23"/>
        </w:rPr>
        <w:t> </w:t>
      </w:r>
      <w:r>
        <w:rPr>
          <w:rFonts w:ascii="Times New Roman"/>
          <w:w w:val="105"/>
          <w:sz w:val="23"/>
        </w:rPr>
        <w:t>contractor</w:t>
      </w:r>
      <w:r>
        <w:rPr>
          <w:rFonts w:ascii="Times New Roman"/>
          <w:spacing w:val="-5"/>
          <w:w w:val="105"/>
          <w:sz w:val="23"/>
        </w:rPr>
        <w:t> </w:t>
      </w:r>
      <w:r>
        <w:rPr>
          <w:rFonts w:ascii="Times New Roman"/>
          <w:w w:val="105"/>
          <w:sz w:val="23"/>
        </w:rPr>
        <w:t>under</w:t>
      </w:r>
      <w:r>
        <w:rPr>
          <w:rFonts w:ascii="Times New Roman"/>
          <w:spacing w:val="-7"/>
          <w:w w:val="105"/>
          <w:sz w:val="23"/>
        </w:rPr>
        <w:t> </w:t>
      </w:r>
      <w:r>
        <w:rPr>
          <w:rFonts w:ascii="Times New Roman"/>
          <w:w w:val="105"/>
          <w:sz w:val="23"/>
        </w:rPr>
        <w:t>the</w:t>
      </w:r>
      <w:r>
        <w:rPr>
          <w:rFonts w:ascii="Times New Roman"/>
          <w:spacing w:val="-12"/>
          <w:w w:val="105"/>
          <w:sz w:val="23"/>
        </w:rPr>
        <w:t> </w:t>
      </w:r>
      <w:r>
        <w:rPr>
          <w:rFonts w:ascii="Times New Roman"/>
          <w:w w:val="105"/>
          <w:sz w:val="23"/>
        </w:rPr>
        <w:t>contract until</w:t>
      </w:r>
      <w:r>
        <w:rPr>
          <w:rFonts w:ascii="Times New Roman"/>
          <w:spacing w:val="-9"/>
          <w:w w:val="105"/>
          <w:sz w:val="23"/>
        </w:rPr>
        <w:t> </w:t>
      </w:r>
      <w:r>
        <w:rPr>
          <w:rFonts w:ascii="Times New Roman"/>
          <w:w w:val="105"/>
          <w:sz w:val="23"/>
        </w:rPr>
        <w:t>the</w:t>
      </w:r>
      <w:r>
        <w:rPr>
          <w:rFonts w:ascii="Times New Roman"/>
          <w:spacing w:val="-16"/>
          <w:w w:val="105"/>
          <w:sz w:val="23"/>
        </w:rPr>
        <w:t> </w:t>
      </w:r>
      <w:r>
        <w:rPr>
          <w:rFonts w:ascii="Times New Roman"/>
          <w:w w:val="105"/>
          <w:sz w:val="23"/>
        </w:rPr>
        <w:t>contractor complies; </w:t>
      </w:r>
      <w:r>
        <w:rPr>
          <w:rFonts w:ascii="Times New Roman"/>
          <w:spacing w:val="-2"/>
          <w:w w:val="105"/>
          <w:sz w:val="23"/>
        </w:rPr>
        <w:t>and/or</w:t>
      </w:r>
    </w:p>
    <w:p>
      <w:pPr>
        <w:pStyle w:val="ListParagraph"/>
        <w:numPr>
          <w:ilvl w:val="1"/>
          <w:numId w:val="31"/>
        </w:numPr>
        <w:tabs>
          <w:tab w:pos="1663" w:val="left" w:leader="none"/>
        </w:tabs>
        <w:spacing w:line="235" w:lineRule="exact" w:before="0" w:after="0"/>
        <w:ind w:left="1663" w:right="0" w:hanging="265"/>
        <w:jc w:val="left"/>
        <w:rPr>
          <w:rFonts w:ascii="Times New Roman"/>
          <w:sz w:val="23"/>
        </w:rPr>
      </w:pPr>
      <w:r>
        <w:rPr>
          <w:rFonts w:ascii="Times New Roman"/>
          <w:w w:val="105"/>
          <w:sz w:val="23"/>
        </w:rPr>
        <w:t>cancelling,</w:t>
      </w:r>
      <w:r>
        <w:rPr>
          <w:rFonts w:ascii="Times New Roman"/>
          <w:spacing w:val="-2"/>
          <w:w w:val="105"/>
          <w:sz w:val="23"/>
        </w:rPr>
        <w:t> </w:t>
      </w:r>
      <w:r>
        <w:rPr>
          <w:rFonts w:ascii="Times New Roman"/>
          <w:w w:val="105"/>
          <w:sz w:val="23"/>
        </w:rPr>
        <w:t>terminating,</w:t>
      </w:r>
      <w:r>
        <w:rPr>
          <w:rFonts w:ascii="Times New Roman"/>
          <w:spacing w:val="-4"/>
          <w:w w:val="105"/>
          <w:sz w:val="23"/>
        </w:rPr>
        <w:t> </w:t>
      </w:r>
      <w:r>
        <w:rPr>
          <w:rFonts w:ascii="Times New Roman"/>
          <w:w w:val="105"/>
          <w:sz w:val="23"/>
        </w:rPr>
        <w:t>or</w:t>
      </w:r>
      <w:r>
        <w:rPr>
          <w:rFonts w:ascii="Times New Roman"/>
          <w:spacing w:val="-8"/>
          <w:w w:val="105"/>
          <w:sz w:val="23"/>
        </w:rPr>
        <w:t> </w:t>
      </w:r>
      <w:r>
        <w:rPr>
          <w:rFonts w:ascii="Times New Roman"/>
          <w:w w:val="105"/>
          <w:sz w:val="23"/>
        </w:rPr>
        <w:t>suspending</w:t>
      </w:r>
      <w:r>
        <w:rPr>
          <w:rFonts w:ascii="Times New Roman"/>
          <w:spacing w:val="2"/>
          <w:w w:val="105"/>
          <w:sz w:val="23"/>
        </w:rPr>
        <w:t> </w:t>
      </w:r>
      <w:r>
        <w:rPr>
          <w:rFonts w:ascii="Times New Roman"/>
          <w:w w:val="105"/>
          <w:sz w:val="23"/>
        </w:rPr>
        <w:t>a</w:t>
      </w:r>
      <w:r>
        <w:rPr>
          <w:rFonts w:ascii="Times New Roman"/>
          <w:spacing w:val="-6"/>
          <w:w w:val="105"/>
          <w:sz w:val="23"/>
        </w:rPr>
        <w:t> </w:t>
      </w:r>
      <w:r>
        <w:rPr>
          <w:rFonts w:ascii="Times New Roman"/>
          <w:w w:val="105"/>
          <w:sz w:val="23"/>
        </w:rPr>
        <w:t>contract,</w:t>
      </w:r>
      <w:r>
        <w:rPr>
          <w:rFonts w:ascii="Times New Roman"/>
          <w:spacing w:val="-2"/>
          <w:w w:val="105"/>
          <w:sz w:val="23"/>
        </w:rPr>
        <w:t> </w:t>
      </w:r>
      <w:r>
        <w:rPr>
          <w:rFonts w:ascii="Times New Roman"/>
          <w:w w:val="105"/>
          <w:sz w:val="23"/>
        </w:rPr>
        <w:t>in</w:t>
      </w:r>
      <w:r>
        <w:rPr>
          <w:rFonts w:ascii="Times New Roman"/>
          <w:spacing w:val="-9"/>
          <w:w w:val="105"/>
          <w:sz w:val="23"/>
        </w:rPr>
        <w:t> </w:t>
      </w:r>
      <w:r>
        <w:rPr>
          <w:rFonts w:ascii="Times New Roman"/>
          <w:w w:val="105"/>
          <w:sz w:val="23"/>
        </w:rPr>
        <w:t>whole</w:t>
      </w:r>
      <w:r>
        <w:rPr>
          <w:rFonts w:ascii="Times New Roman"/>
          <w:spacing w:val="4"/>
          <w:w w:val="105"/>
          <w:sz w:val="23"/>
        </w:rPr>
        <w:t> </w:t>
      </w:r>
      <w:r>
        <w:rPr>
          <w:rFonts w:ascii="Times New Roman"/>
          <w:w w:val="105"/>
          <w:sz w:val="23"/>
        </w:rPr>
        <w:t>or</w:t>
      </w:r>
      <w:r>
        <w:rPr>
          <w:rFonts w:ascii="Times New Roman"/>
          <w:spacing w:val="-4"/>
          <w:w w:val="105"/>
          <w:sz w:val="23"/>
        </w:rPr>
        <w:t> </w:t>
      </w:r>
      <w:r>
        <w:rPr>
          <w:rFonts w:ascii="Times New Roman"/>
          <w:w w:val="105"/>
          <w:sz w:val="23"/>
        </w:rPr>
        <w:t>in </w:t>
      </w:r>
      <w:r>
        <w:rPr>
          <w:rFonts w:ascii="Times New Roman"/>
          <w:spacing w:val="-2"/>
          <w:w w:val="105"/>
          <w:sz w:val="23"/>
        </w:rPr>
        <w:t>pat1.</w:t>
      </w:r>
    </w:p>
    <w:p>
      <w:pPr>
        <w:pStyle w:val="BodyText"/>
        <w:spacing w:before="4"/>
        <w:rPr>
          <w:rFonts w:ascii="Times New Roman"/>
          <w:sz w:val="25"/>
        </w:rPr>
      </w:pPr>
    </w:p>
    <w:p>
      <w:pPr>
        <w:pStyle w:val="ListParagraph"/>
        <w:numPr>
          <w:ilvl w:val="0"/>
          <w:numId w:val="31"/>
        </w:numPr>
        <w:tabs>
          <w:tab w:pos="939" w:val="left" w:leader="none"/>
          <w:tab w:pos="945" w:val="left" w:leader="none"/>
        </w:tabs>
        <w:spacing w:line="252" w:lineRule="auto" w:before="0" w:after="0"/>
        <w:ind w:left="939" w:right="615" w:hanging="266"/>
        <w:jc w:val="left"/>
        <w:rPr>
          <w:rFonts w:ascii="Times New Roman"/>
          <w:sz w:val="23"/>
        </w:rPr>
      </w:pPr>
      <w:r>
        <w:rPr>
          <w:rFonts w:ascii="Times New Roman"/>
          <w:sz w:val="23"/>
        </w:rPr>
        <w:tab/>
      </w:r>
      <w:r>
        <w:rPr>
          <w:rFonts w:ascii="Times New Roman"/>
          <w:b/>
          <w:w w:val="105"/>
          <w:sz w:val="23"/>
        </w:rPr>
        <w:t>Incorporation</w:t>
      </w:r>
      <w:r>
        <w:rPr>
          <w:rFonts w:ascii="Times New Roman"/>
          <w:b/>
          <w:spacing w:val="-4"/>
          <w:w w:val="105"/>
          <w:sz w:val="23"/>
        </w:rPr>
        <w:t> </w:t>
      </w:r>
      <w:r>
        <w:rPr>
          <w:rFonts w:ascii="Times New Roman"/>
          <w:b/>
          <w:w w:val="105"/>
          <w:sz w:val="23"/>
        </w:rPr>
        <w:t>of</w:t>
      </w:r>
      <w:r>
        <w:rPr>
          <w:rFonts w:ascii="Times New Roman"/>
          <w:b/>
          <w:spacing w:val="-16"/>
          <w:w w:val="105"/>
          <w:sz w:val="23"/>
        </w:rPr>
        <w:t> </w:t>
      </w:r>
      <w:r>
        <w:rPr>
          <w:rFonts w:ascii="Times New Roman"/>
          <w:b/>
          <w:w w:val="105"/>
          <w:sz w:val="23"/>
        </w:rPr>
        <w:t>Provisions: </w:t>
      </w:r>
      <w:r>
        <w:rPr>
          <w:rFonts w:ascii="Times New Roman"/>
          <w:w w:val="105"/>
          <w:sz w:val="23"/>
        </w:rPr>
        <w:t>The</w:t>
      </w:r>
      <w:r>
        <w:rPr>
          <w:rFonts w:ascii="Times New Roman"/>
          <w:spacing w:val="-16"/>
          <w:w w:val="105"/>
          <w:sz w:val="23"/>
        </w:rPr>
        <w:t> </w:t>
      </w:r>
      <w:r>
        <w:rPr>
          <w:rFonts w:ascii="Times New Roman"/>
          <w:w w:val="105"/>
          <w:sz w:val="23"/>
        </w:rPr>
        <w:t>contractor</w:t>
      </w:r>
      <w:r>
        <w:rPr>
          <w:rFonts w:ascii="Times New Roman"/>
          <w:spacing w:val="8"/>
          <w:w w:val="105"/>
          <w:sz w:val="23"/>
        </w:rPr>
        <w:t> </w:t>
      </w:r>
      <w:r>
        <w:rPr>
          <w:rFonts w:ascii="Times New Roman"/>
          <w:w w:val="105"/>
          <w:sz w:val="23"/>
        </w:rPr>
        <w:t>will</w:t>
      </w:r>
      <w:r>
        <w:rPr>
          <w:rFonts w:ascii="Times New Roman"/>
          <w:spacing w:val="-7"/>
          <w:w w:val="105"/>
          <w:sz w:val="23"/>
        </w:rPr>
        <w:t> </w:t>
      </w:r>
      <w:r>
        <w:rPr>
          <w:rFonts w:ascii="Times New Roman"/>
          <w:w w:val="105"/>
          <w:sz w:val="23"/>
        </w:rPr>
        <w:t>include</w:t>
      </w:r>
      <w:r>
        <w:rPr>
          <w:rFonts w:ascii="Times New Roman"/>
          <w:spacing w:val="-10"/>
          <w:w w:val="105"/>
          <w:sz w:val="23"/>
        </w:rPr>
        <w:t> </w:t>
      </w:r>
      <w:r>
        <w:rPr>
          <w:rFonts w:ascii="Times New Roman"/>
          <w:w w:val="105"/>
          <w:sz w:val="23"/>
        </w:rPr>
        <w:t>the</w:t>
      </w:r>
      <w:r>
        <w:rPr>
          <w:rFonts w:ascii="Times New Roman"/>
          <w:spacing w:val="-11"/>
          <w:w w:val="105"/>
          <w:sz w:val="23"/>
        </w:rPr>
        <w:t> </w:t>
      </w:r>
      <w:r>
        <w:rPr>
          <w:rFonts w:ascii="Times New Roman"/>
          <w:w w:val="105"/>
          <w:sz w:val="23"/>
        </w:rPr>
        <w:t>provisions</w:t>
      </w:r>
      <w:r>
        <w:rPr>
          <w:rFonts w:ascii="Times New Roman"/>
          <w:spacing w:val="-6"/>
          <w:w w:val="105"/>
          <w:sz w:val="23"/>
        </w:rPr>
        <w:t> </w:t>
      </w:r>
      <w:r>
        <w:rPr>
          <w:rFonts w:ascii="Times New Roman"/>
          <w:w w:val="105"/>
          <w:sz w:val="23"/>
        </w:rPr>
        <w:t>of</w:t>
      </w:r>
      <w:r>
        <w:rPr>
          <w:rFonts w:ascii="Times New Roman"/>
          <w:spacing w:val="-15"/>
          <w:w w:val="105"/>
          <w:sz w:val="23"/>
        </w:rPr>
        <w:t> </w:t>
      </w:r>
      <w:r>
        <w:rPr>
          <w:rFonts w:ascii="Times New Roman"/>
          <w:w w:val="105"/>
          <w:sz w:val="23"/>
        </w:rPr>
        <w:t>paragraphs</w:t>
      </w:r>
      <w:r>
        <w:rPr>
          <w:rFonts w:ascii="Times New Roman"/>
          <w:spacing w:val="-7"/>
          <w:w w:val="105"/>
          <w:sz w:val="23"/>
        </w:rPr>
        <w:t> </w:t>
      </w:r>
      <w:r>
        <w:rPr>
          <w:rFonts w:ascii="Times New Roman"/>
          <w:w w:val="105"/>
          <w:sz w:val="23"/>
        </w:rPr>
        <w:t>one</w:t>
      </w:r>
      <w:r>
        <w:rPr>
          <w:rFonts w:ascii="Times New Roman"/>
          <w:spacing w:val="-13"/>
          <w:w w:val="105"/>
          <w:sz w:val="23"/>
        </w:rPr>
        <w:t> </w:t>
      </w:r>
      <w:r>
        <w:rPr>
          <w:rFonts w:ascii="Times New Roman"/>
          <w:w w:val="105"/>
          <w:sz w:val="23"/>
        </w:rPr>
        <w:t>through six in</w:t>
      </w:r>
      <w:r>
        <w:rPr>
          <w:rFonts w:ascii="Times New Roman"/>
          <w:spacing w:val="-2"/>
          <w:w w:val="105"/>
          <w:sz w:val="23"/>
        </w:rPr>
        <w:t> </w:t>
      </w:r>
      <w:r>
        <w:rPr>
          <w:rFonts w:ascii="Times New Roman"/>
          <w:w w:val="105"/>
          <w:sz w:val="23"/>
        </w:rPr>
        <w:t>every subcontract, including procurements of materials and leases</w:t>
      </w:r>
      <w:r>
        <w:rPr>
          <w:rFonts w:ascii="Times New Roman"/>
          <w:spacing w:val="-5"/>
          <w:w w:val="105"/>
          <w:sz w:val="23"/>
        </w:rPr>
        <w:t> </w:t>
      </w:r>
      <w:r>
        <w:rPr>
          <w:rFonts w:ascii="Times New Roman"/>
          <w:w w:val="105"/>
          <w:sz w:val="23"/>
        </w:rPr>
        <w:t>of equipment, unless exempt by</w:t>
      </w:r>
      <w:r>
        <w:rPr>
          <w:rFonts w:ascii="Times New Roman"/>
          <w:spacing w:val="-8"/>
          <w:w w:val="105"/>
          <w:sz w:val="23"/>
        </w:rPr>
        <w:t> </w:t>
      </w:r>
      <w:r>
        <w:rPr>
          <w:rFonts w:ascii="Times New Roman"/>
          <w:w w:val="105"/>
          <w:sz w:val="23"/>
        </w:rPr>
        <w:t>the</w:t>
      </w:r>
      <w:r>
        <w:rPr>
          <w:rFonts w:ascii="Times New Roman"/>
          <w:spacing w:val="-6"/>
          <w:w w:val="105"/>
          <w:sz w:val="23"/>
        </w:rPr>
        <w:t> </w:t>
      </w:r>
      <w:r>
        <w:rPr>
          <w:rFonts w:ascii="Times New Roman"/>
          <w:w w:val="105"/>
          <w:sz w:val="23"/>
        </w:rPr>
        <w:t>Acts,</w:t>
      </w:r>
      <w:r>
        <w:rPr>
          <w:rFonts w:ascii="Times New Roman"/>
          <w:spacing w:val="-5"/>
          <w:w w:val="105"/>
          <w:sz w:val="23"/>
        </w:rPr>
        <w:t> </w:t>
      </w:r>
      <w:r>
        <w:rPr>
          <w:rFonts w:ascii="Times New Roman"/>
          <w:w w:val="105"/>
          <w:sz w:val="23"/>
        </w:rPr>
        <w:t>the</w:t>
      </w:r>
      <w:r>
        <w:rPr>
          <w:rFonts w:ascii="Times New Roman"/>
          <w:spacing w:val="-8"/>
          <w:w w:val="105"/>
          <w:sz w:val="23"/>
        </w:rPr>
        <w:t> </w:t>
      </w:r>
      <w:r>
        <w:rPr>
          <w:rFonts w:ascii="Times New Roman"/>
          <w:w w:val="105"/>
          <w:sz w:val="23"/>
        </w:rPr>
        <w:t>Regulations and</w:t>
      </w:r>
      <w:r>
        <w:rPr>
          <w:rFonts w:ascii="Times New Roman"/>
          <w:spacing w:val="-8"/>
          <w:w w:val="105"/>
          <w:sz w:val="23"/>
        </w:rPr>
        <w:t> </w:t>
      </w:r>
      <w:r>
        <w:rPr>
          <w:rFonts w:ascii="Times New Roman"/>
          <w:w w:val="105"/>
          <w:sz w:val="23"/>
        </w:rPr>
        <w:t>directives</w:t>
      </w:r>
      <w:r>
        <w:rPr>
          <w:rFonts w:ascii="Times New Roman"/>
          <w:spacing w:val="-2"/>
          <w:w w:val="105"/>
          <w:sz w:val="23"/>
        </w:rPr>
        <w:t> </w:t>
      </w:r>
      <w:r>
        <w:rPr>
          <w:rFonts w:ascii="Times New Roman"/>
          <w:w w:val="105"/>
          <w:sz w:val="23"/>
        </w:rPr>
        <w:t>issued pursuant thereto, the</w:t>
      </w:r>
      <w:r>
        <w:rPr>
          <w:rFonts w:ascii="Times New Roman"/>
          <w:spacing w:val="-11"/>
          <w:w w:val="105"/>
          <w:sz w:val="23"/>
        </w:rPr>
        <w:t> </w:t>
      </w:r>
      <w:r>
        <w:rPr>
          <w:rFonts w:ascii="Times New Roman"/>
          <w:w w:val="105"/>
          <w:sz w:val="23"/>
        </w:rPr>
        <w:t>contractor will take action with respect to any subcontract or</w:t>
      </w:r>
      <w:r>
        <w:rPr>
          <w:rFonts w:ascii="Times New Roman"/>
          <w:spacing w:val="-2"/>
          <w:w w:val="105"/>
          <w:sz w:val="23"/>
        </w:rPr>
        <w:t> </w:t>
      </w:r>
      <w:r>
        <w:rPr>
          <w:rFonts w:ascii="Times New Roman"/>
          <w:w w:val="105"/>
          <w:sz w:val="23"/>
        </w:rPr>
        <w:t>procurement as</w:t>
      </w:r>
      <w:r>
        <w:rPr>
          <w:rFonts w:ascii="Times New Roman"/>
          <w:spacing w:val="-10"/>
          <w:w w:val="105"/>
          <w:sz w:val="23"/>
        </w:rPr>
        <w:t> </w:t>
      </w:r>
      <w:r>
        <w:rPr>
          <w:rFonts w:ascii="Times New Roman"/>
          <w:w w:val="105"/>
          <w:sz w:val="23"/>
        </w:rPr>
        <w:t>the</w:t>
      </w:r>
      <w:r>
        <w:rPr>
          <w:rFonts w:ascii="Times New Roman"/>
          <w:spacing w:val="-8"/>
          <w:w w:val="105"/>
          <w:sz w:val="23"/>
        </w:rPr>
        <w:t> </w:t>
      </w:r>
      <w:r>
        <w:rPr>
          <w:rFonts w:ascii="Times New Roman"/>
          <w:w w:val="105"/>
          <w:sz w:val="23"/>
        </w:rPr>
        <w:t>Recipient or the </w:t>
      </w:r>
      <w:r>
        <w:rPr>
          <w:rFonts w:ascii="Times New Roman"/>
          <w:b/>
          <w:i/>
          <w:w w:val="105"/>
          <w:sz w:val="23"/>
        </w:rPr>
        <w:t>FTA</w:t>
      </w:r>
      <w:r>
        <w:rPr>
          <w:rFonts w:ascii="Times New Roman"/>
          <w:b/>
          <w:i/>
          <w:spacing w:val="-3"/>
          <w:w w:val="105"/>
          <w:sz w:val="23"/>
        </w:rPr>
        <w:t> </w:t>
      </w:r>
      <w:r>
        <w:rPr>
          <w:rFonts w:ascii="Times New Roman"/>
          <w:w w:val="105"/>
          <w:sz w:val="23"/>
        </w:rPr>
        <w:t>may direct as</w:t>
      </w:r>
      <w:r>
        <w:rPr>
          <w:rFonts w:ascii="Times New Roman"/>
          <w:spacing w:val="-8"/>
          <w:w w:val="105"/>
          <w:sz w:val="23"/>
        </w:rPr>
        <w:t> </w:t>
      </w:r>
      <w:r>
        <w:rPr>
          <w:rFonts w:ascii="Times New Roman"/>
          <w:w w:val="105"/>
          <w:sz w:val="23"/>
        </w:rPr>
        <w:t>a</w:t>
      </w:r>
    </w:p>
    <w:p>
      <w:pPr>
        <w:spacing w:after="0" w:line="252" w:lineRule="auto"/>
        <w:jc w:val="left"/>
        <w:rPr>
          <w:rFonts w:ascii="Times New Roman"/>
          <w:sz w:val="23"/>
        </w:rPr>
        <w:sectPr>
          <w:footerReference w:type="default" r:id="rId61"/>
          <w:pgSz w:w="12240" w:h="15840"/>
          <w:pgMar w:footer="0" w:header="0" w:top="1240" w:bottom="0" w:left="600" w:right="500"/>
        </w:sectPr>
      </w:pPr>
    </w:p>
    <w:p>
      <w:pPr>
        <w:spacing w:line="254" w:lineRule="auto" w:before="61"/>
        <w:ind w:left="942" w:right="935" w:hanging="1"/>
        <w:jc w:val="left"/>
        <w:rPr>
          <w:rFonts w:ascii="Times New Roman"/>
          <w:sz w:val="23"/>
        </w:rPr>
      </w:pPr>
      <w:r>
        <w:rPr/>
        <mc:AlternateContent>
          <mc:Choice Requires="wps">
            <w:drawing>
              <wp:anchor distT="0" distB="0" distL="0" distR="0" allowOverlap="1" layoutInCell="1" locked="0" behindDoc="0" simplePos="0" relativeHeight="15746560">
                <wp:simplePos x="0" y="0"/>
                <wp:positionH relativeFrom="page">
                  <wp:posOffset>7772789</wp:posOffset>
                </wp:positionH>
                <wp:positionV relativeFrom="page">
                  <wp:posOffset>6548008</wp:posOffset>
                </wp:positionV>
                <wp:extent cx="1270" cy="39878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270" cy="398780"/>
                        </a:xfrm>
                        <a:custGeom>
                          <a:avLst/>
                          <a:gdLst/>
                          <a:ahLst/>
                          <a:cxnLst/>
                          <a:rect l="l" t="t" r="r" b="b"/>
                          <a:pathLst>
                            <a:path w="0" h="398780">
                              <a:moveTo>
                                <a:pt x="0" y="398699"/>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6560" from="612.030640pt,546.984881pt" to="612.030640pt,515.591187pt" stroked="true" strokeweight=".360654pt" strokecolor="#000000">
                <v:stroke dashstyle="solid"/>
                <w10:wrap type="none"/>
              </v:line>
            </w:pict>
          </mc:Fallback>
        </mc:AlternateContent>
      </w:r>
      <w:r>
        <w:rPr>
          <w:rFonts w:ascii="Times New Roman"/>
          <w:w w:val="105"/>
          <w:sz w:val="23"/>
        </w:rPr>
        <w:t>means</w:t>
      </w:r>
      <w:r>
        <w:rPr>
          <w:rFonts w:ascii="Times New Roman"/>
          <w:spacing w:val="-10"/>
          <w:w w:val="105"/>
          <w:sz w:val="23"/>
        </w:rPr>
        <w:t> </w:t>
      </w:r>
      <w:r>
        <w:rPr>
          <w:rFonts w:ascii="Times New Roman"/>
          <w:w w:val="105"/>
          <w:sz w:val="23"/>
        </w:rPr>
        <w:t>of</w:t>
      </w:r>
      <w:r>
        <w:rPr>
          <w:rFonts w:ascii="Times New Roman"/>
          <w:spacing w:val="-13"/>
          <w:w w:val="105"/>
          <w:sz w:val="23"/>
        </w:rPr>
        <w:t> </w:t>
      </w:r>
      <w:r>
        <w:rPr>
          <w:rFonts w:ascii="Times New Roman"/>
          <w:w w:val="105"/>
          <w:sz w:val="23"/>
        </w:rPr>
        <w:t>enforcing</w:t>
      </w:r>
      <w:r>
        <w:rPr>
          <w:rFonts w:ascii="Times New Roman"/>
          <w:spacing w:val="-1"/>
          <w:w w:val="105"/>
          <w:sz w:val="23"/>
        </w:rPr>
        <w:t> </w:t>
      </w:r>
      <w:r>
        <w:rPr>
          <w:rFonts w:ascii="Times New Roman"/>
          <w:w w:val="105"/>
          <w:sz w:val="23"/>
        </w:rPr>
        <w:t>such</w:t>
      </w:r>
      <w:r>
        <w:rPr>
          <w:rFonts w:ascii="Times New Roman"/>
          <w:spacing w:val="-4"/>
          <w:w w:val="105"/>
          <w:sz w:val="23"/>
        </w:rPr>
        <w:t> </w:t>
      </w:r>
      <w:r>
        <w:rPr>
          <w:rFonts w:ascii="Times New Roman"/>
          <w:w w:val="105"/>
          <w:sz w:val="23"/>
        </w:rPr>
        <w:t>provisions including</w:t>
      </w:r>
      <w:r>
        <w:rPr>
          <w:rFonts w:ascii="Times New Roman"/>
          <w:spacing w:val="-4"/>
          <w:w w:val="105"/>
          <w:sz w:val="23"/>
        </w:rPr>
        <w:t> </w:t>
      </w:r>
      <w:r>
        <w:rPr>
          <w:rFonts w:ascii="Times New Roman"/>
          <w:w w:val="105"/>
          <w:sz w:val="23"/>
        </w:rPr>
        <w:t>sanctions</w:t>
      </w:r>
      <w:r>
        <w:rPr>
          <w:rFonts w:ascii="Times New Roman"/>
          <w:spacing w:val="-6"/>
          <w:w w:val="105"/>
          <w:sz w:val="23"/>
        </w:rPr>
        <w:t> </w:t>
      </w:r>
      <w:r>
        <w:rPr>
          <w:rFonts w:ascii="Times New Roman"/>
          <w:w w:val="105"/>
          <w:sz w:val="23"/>
        </w:rPr>
        <w:t>for</w:t>
      </w:r>
      <w:r>
        <w:rPr>
          <w:rFonts w:ascii="Times New Roman"/>
          <w:spacing w:val="-7"/>
          <w:w w:val="105"/>
          <w:sz w:val="23"/>
        </w:rPr>
        <w:t> </w:t>
      </w:r>
      <w:r>
        <w:rPr>
          <w:rFonts w:ascii="Times New Roman"/>
          <w:w w:val="105"/>
          <w:sz w:val="23"/>
        </w:rPr>
        <w:t>noncompliance.</w:t>
      </w:r>
      <w:r>
        <w:rPr>
          <w:rFonts w:ascii="Times New Roman"/>
          <w:spacing w:val="-8"/>
          <w:w w:val="105"/>
          <w:sz w:val="23"/>
        </w:rPr>
        <w:t> </w:t>
      </w:r>
      <w:r>
        <w:rPr>
          <w:rFonts w:ascii="Times New Roman"/>
          <w:w w:val="105"/>
          <w:sz w:val="23"/>
        </w:rPr>
        <w:t>Provided,</w:t>
      </w:r>
      <w:r>
        <w:rPr>
          <w:rFonts w:ascii="Times New Roman"/>
          <w:spacing w:val="-6"/>
          <w:w w:val="105"/>
          <w:sz w:val="23"/>
        </w:rPr>
        <w:t> </w:t>
      </w:r>
      <w:r>
        <w:rPr>
          <w:rFonts w:ascii="Times New Roman"/>
          <w:w w:val="105"/>
          <w:sz w:val="23"/>
        </w:rPr>
        <w:t>that</w:t>
      </w:r>
      <w:r>
        <w:rPr>
          <w:rFonts w:ascii="Times New Roman"/>
          <w:spacing w:val="-4"/>
          <w:w w:val="105"/>
          <w:sz w:val="23"/>
        </w:rPr>
        <w:t> </w:t>
      </w:r>
      <w:r>
        <w:rPr>
          <w:rFonts w:ascii="Times New Roman"/>
          <w:w w:val="105"/>
          <w:sz w:val="23"/>
        </w:rPr>
        <w:t>if</w:t>
      </w:r>
      <w:r>
        <w:rPr>
          <w:rFonts w:ascii="Times New Roman"/>
          <w:spacing w:val="-9"/>
          <w:w w:val="105"/>
          <w:sz w:val="23"/>
        </w:rPr>
        <w:t> </w:t>
      </w:r>
      <w:r>
        <w:rPr>
          <w:rFonts w:ascii="Times New Roman"/>
          <w:w w:val="105"/>
          <w:sz w:val="23"/>
        </w:rPr>
        <w:t>the contractor becomes involved in,</w:t>
      </w:r>
      <w:r>
        <w:rPr>
          <w:rFonts w:ascii="Times New Roman"/>
          <w:spacing w:val="-1"/>
          <w:w w:val="105"/>
          <w:sz w:val="23"/>
        </w:rPr>
        <w:t> </w:t>
      </w:r>
      <w:r>
        <w:rPr>
          <w:rFonts w:ascii="Times New Roman"/>
          <w:w w:val="105"/>
          <w:sz w:val="23"/>
        </w:rPr>
        <w:t>or is</w:t>
      </w:r>
      <w:r>
        <w:rPr>
          <w:rFonts w:ascii="Times New Roman"/>
          <w:spacing w:val="-9"/>
          <w:w w:val="105"/>
          <w:sz w:val="23"/>
        </w:rPr>
        <w:t> </w:t>
      </w:r>
      <w:r>
        <w:rPr>
          <w:rFonts w:ascii="Times New Roman"/>
          <w:w w:val="105"/>
          <w:sz w:val="23"/>
        </w:rPr>
        <w:t>threatened with litigation by a</w:t>
      </w:r>
      <w:r>
        <w:rPr>
          <w:rFonts w:ascii="Times New Roman"/>
          <w:spacing w:val="-4"/>
          <w:w w:val="105"/>
          <w:sz w:val="23"/>
        </w:rPr>
        <w:t> </w:t>
      </w:r>
      <w:r>
        <w:rPr>
          <w:rFonts w:ascii="Times New Roman"/>
          <w:w w:val="105"/>
          <w:sz w:val="23"/>
        </w:rPr>
        <w:t>subcontractor,</w:t>
      </w:r>
      <w:r>
        <w:rPr>
          <w:rFonts w:ascii="Times New Roman"/>
          <w:spacing w:val="-11"/>
          <w:w w:val="105"/>
          <w:sz w:val="23"/>
        </w:rPr>
        <w:t> </w:t>
      </w:r>
      <w:r>
        <w:rPr>
          <w:rFonts w:ascii="Times New Roman"/>
          <w:w w:val="105"/>
          <w:sz w:val="23"/>
        </w:rPr>
        <w:t>or</w:t>
      </w:r>
      <w:r>
        <w:rPr>
          <w:rFonts w:ascii="Times New Roman"/>
          <w:spacing w:val="-7"/>
          <w:w w:val="105"/>
          <w:sz w:val="23"/>
        </w:rPr>
        <w:t> </w:t>
      </w:r>
      <w:r>
        <w:rPr>
          <w:rFonts w:ascii="Times New Roman"/>
          <w:w w:val="105"/>
          <w:sz w:val="23"/>
        </w:rPr>
        <w:t>supplier because</w:t>
      </w:r>
      <w:r>
        <w:rPr>
          <w:rFonts w:ascii="Times New Roman"/>
          <w:spacing w:val="-7"/>
          <w:w w:val="105"/>
          <w:sz w:val="23"/>
        </w:rPr>
        <w:t> </w:t>
      </w:r>
      <w:r>
        <w:rPr>
          <w:rFonts w:ascii="Times New Roman"/>
          <w:w w:val="105"/>
          <w:sz w:val="23"/>
        </w:rPr>
        <w:t>of</w:t>
      </w:r>
      <w:r>
        <w:rPr>
          <w:rFonts w:ascii="Times New Roman"/>
          <w:spacing w:val="-14"/>
          <w:w w:val="105"/>
          <w:sz w:val="23"/>
        </w:rPr>
        <w:t> </w:t>
      </w:r>
      <w:r>
        <w:rPr>
          <w:rFonts w:ascii="Times New Roman"/>
          <w:w w:val="105"/>
          <w:sz w:val="23"/>
        </w:rPr>
        <w:t>such</w:t>
      </w:r>
      <w:r>
        <w:rPr>
          <w:rFonts w:ascii="Times New Roman"/>
          <w:spacing w:val="-11"/>
          <w:w w:val="105"/>
          <w:sz w:val="23"/>
        </w:rPr>
        <w:t> </w:t>
      </w:r>
      <w:r>
        <w:rPr>
          <w:rFonts w:ascii="Times New Roman"/>
          <w:w w:val="105"/>
          <w:sz w:val="23"/>
        </w:rPr>
        <w:t>direction,</w:t>
      </w:r>
      <w:r>
        <w:rPr>
          <w:rFonts w:ascii="Times New Roman"/>
          <w:spacing w:val="-3"/>
          <w:w w:val="105"/>
          <w:sz w:val="23"/>
        </w:rPr>
        <w:t> </w:t>
      </w:r>
      <w:r>
        <w:rPr>
          <w:rFonts w:ascii="Times New Roman"/>
          <w:w w:val="105"/>
          <w:sz w:val="23"/>
        </w:rPr>
        <w:t>the</w:t>
      </w:r>
      <w:r>
        <w:rPr>
          <w:rFonts w:ascii="Times New Roman"/>
          <w:spacing w:val="-14"/>
          <w:w w:val="105"/>
          <w:sz w:val="23"/>
        </w:rPr>
        <w:t> </w:t>
      </w:r>
      <w:r>
        <w:rPr>
          <w:rFonts w:ascii="Times New Roman"/>
          <w:w w:val="105"/>
          <w:sz w:val="23"/>
        </w:rPr>
        <w:t>contractor may</w:t>
      </w:r>
      <w:r>
        <w:rPr>
          <w:rFonts w:ascii="Times New Roman"/>
          <w:spacing w:val="-1"/>
          <w:w w:val="105"/>
          <w:sz w:val="23"/>
        </w:rPr>
        <w:t> </w:t>
      </w:r>
      <w:r>
        <w:rPr>
          <w:rFonts w:ascii="Times New Roman"/>
          <w:w w:val="105"/>
          <w:sz w:val="23"/>
        </w:rPr>
        <w:t>request the</w:t>
      </w:r>
      <w:r>
        <w:rPr>
          <w:rFonts w:ascii="Times New Roman"/>
          <w:spacing w:val="-10"/>
          <w:w w:val="105"/>
          <w:sz w:val="23"/>
        </w:rPr>
        <w:t> </w:t>
      </w:r>
      <w:r>
        <w:rPr>
          <w:rFonts w:ascii="Times New Roman"/>
          <w:w w:val="105"/>
          <w:sz w:val="23"/>
        </w:rPr>
        <w:t>Recipient</w:t>
      </w:r>
      <w:r>
        <w:rPr>
          <w:rFonts w:ascii="Times New Roman"/>
          <w:spacing w:val="-2"/>
          <w:w w:val="105"/>
          <w:sz w:val="23"/>
        </w:rPr>
        <w:t> </w:t>
      </w:r>
      <w:r>
        <w:rPr>
          <w:rFonts w:ascii="Times New Roman"/>
          <w:w w:val="105"/>
          <w:sz w:val="23"/>
        </w:rPr>
        <w:t>to</w:t>
      </w:r>
      <w:r>
        <w:rPr>
          <w:rFonts w:ascii="Times New Roman"/>
          <w:spacing w:val="-16"/>
          <w:w w:val="105"/>
          <w:sz w:val="23"/>
        </w:rPr>
        <w:t> </w:t>
      </w:r>
      <w:r>
        <w:rPr>
          <w:rFonts w:ascii="Times New Roman"/>
          <w:w w:val="105"/>
          <w:sz w:val="23"/>
        </w:rPr>
        <w:t>enter</w:t>
      </w:r>
      <w:r>
        <w:rPr>
          <w:rFonts w:ascii="Times New Roman"/>
          <w:spacing w:val="-1"/>
          <w:w w:val="105"/>
          <w:sz w:val="23"/>
        </w:rPr>
        <w:t> </w:t>
      </w:r>
      <w:r>
        <w:rPr>
          <w:rFonts w:ascii="Times New Roman"/>
          <w:w w:val="105"/>
          <w:sz w:val="23"/>
        </w:rPr>
        <w:t>into</w:t>
      </w:r>
      <w:r>
        <w:rPr>
          <w:rFonts w:ascii="Times New Roman"/>
          <w:spacing w:val="-7"/>
          <w:w w:val="105"/>
          <w:sz w:val="23"/>
        </w:rPr>
        <w:t> </w:t>
      </w:r>
      <w:r>
        <w:rPr>
          <w:rFonts w:ascii="Times New Roman"/>
          <w:w w:val="105"/>
          <w:sz w:val="23"/>
        </w:rPr>
        <w:t>any</w:t>
      </w:r>
      <w:r>
        <w:rPr>
          <w:rFonts w:ascii="Times New Roman"/>
          <w:spacing w:val="-1"/>
          <w:w w:val="105"/>
          <w:sz w:val="23"/>
        </w:rPr>
        <w:t> </w:t>
      </w:r>
      <w:r>
        <w:rPr>
          <w:rFonts w:ascii="Times New Roman"/>
          <w:w w:val="105"/>
          <w:sz w:val="23"/>
        </w:rPr>
        <w:t>litigation to protect</w:t>
      </w:r>
      <w:r>
        <w:rPr>
          <w:rFonts w:ascii="Times New Roman"/>
          <w:spacing w:val="-4"/>
          <w:w w:val="105"/>
          <w:sz w:val="23"/>
        </w:rPr>
        <w:t> </w:t>
      </w:r>
      <w:r>
        <w:rPr>
          <w:rFonts w:ascii="Times New Roman"/>
          <w:w w:val="105"/>
          <w:sz w:val="23"/>
        </w:rPr>
        <w:t>the</w:t>
      </w:r>
      <w:r>
        <w:rPr>
          <w:rFonts w:ascii="Times New Roman"/>
          <w:spacing w:val="-15"/>
          <w:w w:val="105"/>
          <w:sz w:val="23"/>
        </w:rPr>
        <w:t> </w:t>
      </w:r>
      <w:r>
        <w:rPr>
          <w:rFonts w:ascii="Times New Roman"/>
          <w:w w:val="105"/>
          <w:sz w:val="23"/>
        </w:rPr>
        <w:t>interests</w:t>
      </w:r>
      <w:r>
        <w:rPr>
          <w:rFonts w:ascii="Times New Roman"/>
          <w:spacing w:val="-11"/>
          <w:w w:val="105"/>
          <w:sz w:val="23"/>
        </w:rPr>
        <w:t> </w:t>
      </w:r>
      <w:r>
        <w:rPr>
          <w:rFonts w:ascii="Times New Roman"/>
          <w:w w:val="105"/>
          <w:sz w:val="23"/>
        </w:rPr>
        <w:t>of</w:t>
      </w:r>
      <w:r>
        <w:rPr>
          <w:rFonts w:ascii="Times New Roman"/>
          <w:spacing w:val="-9"/>
          <w:w w:val="105"/>
          <w:sz w:val="23"/>
        </w:rPr>
        <w:t> </w:t>
      </w:r>
      <w:r>
        <w:rPr>
          <w:rFonts w:ascii="Times New Roman"/>
          <w:w w:val="105"/>
          <w:sz w:val="23"/>
        </w:rPr>
        <w:t>the</w:t>
      </w:r>
      <w:r>
        <w:rPr>
          <w:rFonts w:ascii="Times New Roman"/>
          <w:spacing w:val="-4"/>
          <w:w w:val="105"/>
          <w:sz w:val="23"/>
        </w:rPr>
        <w:t> </w:t>
      </w:r>
      <w:r>
        <w:rPr>
          <w:rFonts w:ascii="Times New Roman"/>
          <w:w w:val="105"/>
          <w:sz w:val="23"/>
        </w:rPr>
        <w:t>Recipient. In</w:t>
      </w:r>
      <w:r>
        <w:rPr>
          <w:rFonts w:ascii="Times New Roman"/>
          <w:spacing w:val="-10"/>
          <w:w w:val="105"/>
          <w:sz w:val="23"/>
        </w:rPr>
        <w:t> </w:t>
      </w:r>
      <w:r>
        <w:rPr>
          <w:rFonts w:ascii="Times New Roman"/>
          <w:w w:val="105"/>
          <w:sz w:val="23"/>
        </w:rPr>
        <w:t>addition,</w:t>
      </w:r>
      <w:r>
        <w:rPr>
          <w:rFonts w:ascii="Times New Roman"/>
          <w:spacing w:val="-8"/>
          <w:w w:val="105"/>
          <w:sz w:val="23"/>
        </w:rPr>
        <w:t> </w:t>
      </w:r>
      <w:r>
        <w:rPr>
          <w:rFonts w:ascii="Times New Roman"/>
          <w:w w:val="105"/>
          <w:sz w:val="23"/>
        </w:rPr>
        <w:t>the</w:t>
      </w:r>
      <w:r>
        <w:rPr>
          <w:rFonts w:ascii="Times New Roman"/>
          <w:spacing w:val="-16"/>
          <w:w w:val="105"/>
          <w:sz w:val="23"/>
        </w:rPr>
        <w:t> </w:t>
      </w:r>
      <w:r>
        <w:rPr>
          <w:rFonts w:ascii="Times New Roman"/>
          <w:w w:val="105"/>
          <w:sz w:val="23"/>
        </w:rPr>
        <w:t>contractor may</w:t>
      </w:r>
      <w:r>
        <w:rPr>
          <w:rFonts w:ascii="Times New Roman"/>
          <w:spacing w:val="-3"/>
          <w:w w:val="105"/>
          <w:sz w:val="23"/>
        </w:rPr>
        <w:t> </w:t>
      </w:r>
      <w:r>
        <w:rPr>
          <w:rFonts w:ascii="Times New Roman"/>
          <w:w w:val="105"/>
          <w:sz w:val="23"/>
        </w:rPr>
        <w:t>request the</w:t>
      </w:r>
      <w:r>
        <w:rPr>
          <w:rFonts w:ascii="Times New Roman"/>
          <w:spacing w:val="-9"/>
          <w:w w:val="105"/>
          <w:sz w:val="23"/>
        </w:rPr>
        <w:t> </w:t>
      </w:r>
      <w:r>
        <w:rPr>
          <w:rFonts w:ascii="Times New Roman"/>
          <w:w w:val="105"/>
          <w:sz w:val="23"/>
        </w:rPr>
        <w:t>United</w:t>
      </w:r>
      <w:r>
        <w:rPr>
          <w:rFonts w:ascii="Times New Roman"/>
          <w:spacing w:val="-9"/>
          <w:w w:val="105"/>
          <w:sz w:val="23"/>
        </w:rPr>
        <w:t> </w:t>
      </w:r>
      <w:r>
        <w:rPr>
          <w:rFonts w:ascii="Times New Roman"/>
          <w:w w:val="105"/>
          <w:sz w:val="23"/>
        </w:rPr>
        <w:t>States</w:t>
      </w:r>
      <w:r>
        <w:rPr>
          <w:rFonts w:ascii="Times New Roman"/>
          <w:spacing w:val="-9"/>
          <w:w w:val="105"/>
          <w:sz w:val="23"/>
        </w:rPr>
        <w:t> </w:t>
      </w:r>
      <w:r>
        <w:rPr>
          <w:rFonts w:ascii="Times New Roman"/>
          <w:w w:val="105"/>
          <w:sz w:val="23"/>
        </w:rPr>
        <w:t>to enter into the litigation to protect the</w:t>
      </w:r>
      <w:r>
        <w:rPr>
          <w:rFonts w:ascii="Times New Roman"/>
          <w:spacing w:val="-1"/>
          <w:w w:val="105"/>
          <w:sz w:val="23"/>
        </w:rPr>
        <w:t> </w:t>
      </w:r>
      <w:r>
        <w:rPr>
          <w:rFonts w:ascii="Times New Roman"/>
          <w:w w:val="105"/>
          <w:sz w:val="23"/>
        </w:rPr>
        <w:t>interests of the United States.</w:t>
      </w:r>
    </w:p>
    <w:p>
      <w:pPr>
        <w:spacing w:after="0" w:line="254" w:lineRule="auto"/>
        <w:jc w:val="left"/>
        <w:rPr>
          <w:rFonts w:ascii="Times New Roman"/>
          <w:sz w:val="23"/>
        </w:rPr>
        <w:sectPr>
          <w:footerReference w:type="default" r:id="rId62"/>
          <w:pgSz w:w="12240" w:h="15840"/>
          <w:pgMar w:footer="0" w:header="0" w:top="1260" w:bottom="280" w:left="600" w:right="500"/>
        </w:sectPr>
      </w:pPr>
    </w:p>
    <w:p>
      <w:pPr>
        <w:pStyle w:val="Heading4"/>
        <w:spacing w:before="78"/>
        <w:ind w:left="3154"/>
      </w:pPr>
      <w:r>
        <w:rPr/>
        <mc:AlternateContent>
          <mc:Choice Requires="wps">
            <w:drawing>
              <wp:anchor distT="0" distB="0" distL="0" distR="0" allowOverlap="1" layoutInCell="1" locked="0" behindDoc="0" simplePos="0" relativeHeight="15747072">
                <wp:simplePos x="0" y="0"/>
                <wp:positionH relativeFrom="page">
                  <wp:posOffset>7772789</wp:posOffset>
                </wp:positionH>
                <wp:positionV relativeFrom="page">
                  <wp:posOffset>8106145</wp:posOffset>
                </wp:positionV>
                <wp:extent cx="1270" cy="100393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1270" cy="1003935"/>
                        </a:xfrm>
                        <a:custGeom>
                          <a:avLst/>
                          <a:gdLst/>
                          <a:ahLst/>
                          <a:cxnLst/>
                          <a:rect l="l" t="t" r="r" b="b"/>
                          <a:pathLst>
                            <a:path w="0" h="1003935">
                              <a:moveTo>
                                <a:pt x="0" y="1003623"/>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7072" from="612.030640pt,717.304682pt" to="612.030640pt,638.279175pt" stroked="true" strokeweight=".360654pt" strokecolor="#000000">
                <v:stroke dashstyle="solid"/>
                <w10:wrap type="none"/>
              </v:line>
            </w:pict>
          </mc:Fallback>
        </mc:AlternateContent>
      </w:r>
      <w:r>
        <w:rPr/>
        <mc:AlternateContent>
          <mc:Choice Requires="wps">
            <w:drawing>
              <wp:anchor distT="0" distB="0" distL="0" distR="0" allowOverlap="1" layoutInCell="1" locked="0" behindDoc="0" simplePos="0" relativeHeight="15747584">
                <wp:simplePos x="0" y="0"/>
                <wp:positionH relativeFrom="page">
                  <wp:posOffset>7768208</wp:posOffset>
                </wp:positionH>
                <wp:positionV relativeFrom="page">
                  <wp:posOffset>4696573</wp:posOffset>
                </wp:positionV>
                <wp:extent cx="1270" cy="47244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270" cy="472440"/>
                        </a:xfrm>
                        <a:custGeom>
                          <a:avLst/>
                          <a:gdLst/>
                          <a:ahLst/>
                          <a:cxnLst/>
                          <a:rect l="l" t="t" r="r" b="b"/>
                          <a:pathLst>
                            <a:path w="0" h="472440">
                              <a:moveTo>
                                <a:pt x="0" y="47202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7584" from="611.669983pt,406.976207pt" to="611.669983pt,369.80896pt" stroked="true" strokeweight=".360654pt" strokecolor="#000000">
                <v:stroke dashstyle="solid"/>
                <w10:wrap type="none"/>
              </v:line>
            </w:pict>
          </mc:Fallback>
        </mc:AlternateContent>
      </w:r>
      <w:r>
        <w:rPr/>
        <mc:AlternateContent>
          <mc:Choice Requires="wps">
            <w:drawing>
              <wp:anchor distT="0" distB="0" distL="0" distR="0" allowOverlap="1" layoutInCell="1" locked="0" behindDoc="0" simplePos="0" relativeHeight="15748096">
                <wp:simplePos x="0" y="0"/>
                <wp:positionH relativeFrom="page">
                  <wp:posOffset>7772789</wp:posOffset>
                </wp:positionH>
                <wp:positionV relativeFrom="page">
                  <wp:posOffset>6016407</wp:posOffset>
                </wp:positionV>
                <wp:extent cx="1270" cy="545465"/>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1270" cy="545465"/>
                        </a:xfrm>
                        <a:custGeom>
                          <a:avLst/>
                          <a:gdLst/>
                          <a:ahLst/>
                          <a:cxnLst/>
                          <a:rect l="l" t="t" r="r" b="b"/>
                          <a:pathLst>
                            <a:path w="0" h="545465">
                              <a:moveTo>
                                <a:pt x="0" y="545348"/>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8096" from="612.030640pt,516.673711pt" to="612.030640pt,473.73291pt" stroked="true" strokeweight=".360654pt" strokecolor="#000000">
                <v:stroke dashstyle="solid"/>
                <w10:wrap type="none"/>
              </v:line>
            </w:pict>
          </mc:Fallback>
        </mc:AlternateContent>
      </w:r>
      <w:r>
        <w:rPr>
          <w:spacing w:val="-2"/>
        </w:rPr>
        <w:t>APPENDIXB</w:t>
      </w:r>
    </w:p>
    <w:p>
      <w:pPr>
        <w:pStyle w:val="BodyText"/>
        <w:spacing w:before="8"/>
        <w:rPr>
          <w:rFonts w:ascii="Times New Roman"/>
          <w:b/>
          <w:sz w:val="28"/>
        </w:rPr>
      </w:pPr>
    </w:p>
    <w:p>
      <w:pPr>
        <w:spacing w:before="1"/>
        <w:ind w:left="1269" w:right="1586" w:firstLine="0"/>
        <w:jc w:val="center"/>
        <w:rPr>
          <w:rFonts w:ascii="Times New Roman"/>
          <w:sz w:val="23"/>
        </w:rPr>
      </w:pPr>
      <w:r>
        <w:rPr>
          <w:rFonts w:ascii="Times New Roman"/>
          <w:spacing w:val="-2"/>
          <w:w w:val="105"/>
          <w:sz w:val="23"/>
        </w:rPr>
        <w:t>CLAUSES</w:t>
      </w:r>
      <w:r>
        <w:rPr>
          <w:rFonts w:ascii="Times New Roman"/>
          <w:spacing w:val="-1"/>
          <w:w w:val="105"/>
          <w:sz w:val="23"/>
        </w:rPr>
        <w:t> </w:t>
      </w:r>
      <w:r>
        <w:rPr>
          <w:rFonts w:ascii="Times New Roman"/>
          <w:spacing w:val="-2"/>
          <w:w w:val="105"/>
          <w:sz w:val="23"/>
        </w:rPr>
        <w:t>FOR</w:t>
      </w:r>
      <w:r>
        <w:rPr>
          <w:rFonts w:ascii="Times New Roman"/>
          <w:spacing w:val="-1"/>
          <w:w w:val="105"/>
          <w:sz w:val="23"/>
        </w:rPr>
        <w:t> </w:t>
      </w:r>
      <w:r>
        <w:rPr>
          <w:rFonts w:ascii="Times New Roman"/>
          <w:spacing w:val="-2"/>
          <w:w w:val="105"/>
          <w:sz w:val="23"/>
        </w:rPr>
        <w:t>DEEDS</w:t>
      </w:r>
      <w:r>
        <w:rPr>
          <w:rFonts w:ascii="Times New Roman"/>
          <w:spacing w:val="-5"/>
          <w:w w:val="105"/>
          <w:sz w:val="23"/>
        </w:rPr>
        <w:t> </w:t>
      </w:r>
      <w:r>
        <w:rPr>
          <w:rFonts w:ascii="Times New Roman"/>
          <w:spacing w:val="-2"/>
          <w:w w:val="105"/>
          <w:sz w:val="23"/>
        </w:rPr>
        <w:t>TRANSFERRING</w:t>
      </w:r>
      <w:r>
        <w:rPr>
          <w:rFonts w:ascii="Times New Roman"/>
          <w:spacing w:val="5"/>
          <w:w w:val="105"/>
          <w:sz w:val="23"/>
        </w:rPr>
        <w:t> </w:t>
      </w:r>
      <w:r>
        <w:rPr>
          <w:rFonts w:ascii="Times New Roman"/>
          <w:spacing w:val="-2"/>
          <w:w w:val="105"/>
          <w:sz w:val="23"/>
        </w:rPr>
        <w:t>UNITED</w:t>
      </w:r>
      <w:r>
        <w:rPr>
          <w:rFonts w:ascii="Times New Roman"/>
          <w:spacing w:val="-4"/>
          <w:w w:val="105"/>
          <w:sz w:val="23"/>
        </w:rPr>
        <w:t> </w:t>
      </w:r>
      <w:r>
        <w:rPr>
          <w:rFonts w:ascii="Times New Roman"/>
          <w:spacing w:val="-2"/>
          <w:w w:val="105"/>
          <w:sz w:val="23"/>
        </w:rPr>
        <w:t>STATES</w:t>
      </w:r>
      <w:r>
        <w:rPr>
          <w:rFonts w:ascii="Times New Roman"/>
          <w:spacing w:val="-3"/>
          <w:w w:val="105"/>
          <w:sz w:val="23"/>
        </w:rPr>
        <w:t> </w:t>
      </w:r>
      <w:r>
        <w:rPr>
          <w:rFonts w:ascii="Times New Roman"/>
          <w:spacing w:val="-2"/>
          <w:w w:val="105"/>
          <w:sz w:val="23"/>
        </w:rPr>
        <w:t>PROPERTY</w:t>
      </w:r>
    </w:p>
    <w:p>
      <w:pPr>
        <w:pStyle w:val="BodyText"/>
        <w:spacing w:before="3"/>
        <w:rPr>
          <w:rFonts w:ascii="Times New Roman"/>
          <w:sz w:val="25"/>
        </w:rPr>
      </w:pPr>
    </w:p>
    <w:p>
      <w:pPr>
        <w:spacing w:line="266" w:lineRule="auto" w:before="0"/>
        <w:ind w:left="304" w:right="935" w:hanging="3"/>
        <w:jc w:val="left"/>
        <w:rPr>
          <w:rFonts w:ascii="Times New Roman"/>
          <w:sz w:val="23"/>
        </w:rPr>
      </w:pPr>
      <w:r>
        <w:rPr>
          <w:rFonts w:ascii="Times New Roman"/>
          <w:w w:val="105"/>
          <w:sz w:val="23"/>
        </w:rPr>
        <w:t>The</w:t>
      </w:r>
      <w:r>
        <w:rPr>
          <w:rFonts w:ascii="Times New Roman"/>
          <w:spacing w:val="-6"/>
          <w:w w:val="105"/>
          <w:sz w:val="23"/>
        </w:rPr>
        <w:t> </w:t>
      </w:r>
      <w:r>
        <w:rPr>
          <w:rFonts w:ascii="Times New Roman"/>
          <w:w w:val="105"/>
          <w:sz w:val="23"/>
        </w:rPr>
        <w:t>following clauses will be included in</w:t>
      </w:r>
      <w:r>
        <w:rPr>
          <w:rFonts w:ascii="Times New Roman"/>
          <w:spacing w:val="-8"/>
          <w:w w:val="105"/>
          <w:sz w:val="23"/>
        </w:rPr>
        <w:t> </w:t>
      </w:r>
      <w:r>
        <w:rPr>
          <w:rFonts w:ascii="Times New Roman"/>
          <w:w w:val="105"/>
          <w:sz w:val="23"/>
        </w:rPr>
        <w:t>deeds</w:t>
      </w:r>
      <w:r>
        <w:rPr>
          <w:rFonts w:ascii="Times New Roman"/>
          <w:spacing w:val="-1"/>
          <w:w w:val="105"/>
          <w:sz w:val="23"/>
        </w:rPr>
        <w:t> </w:t>
      </w:r>
      <w:r>
        <w:rPr>
          <w:rFonts w:ascii="Times New Roman"/>
          <w:w w:val="105"/>
          <w:sz w:val="23"/>
        </w:rPr>
        <w:t>effecting or recording the transfer of real property, structures,</w:t>
      </w:r>
      <w:r>
        <w:rPr>
          <w:rFonts w:ascii="Times New Roman"/>
          <w:spacing w:val="-16"/>
          <w:w w:val="105"/>
          <w:sz w:val="23"/>
        </w:rPr>
        <w:t> </w:t>
      </w:r>
      <w:r>
        <w:rPr>
          <w:rFonts w:ascii="Times New Roman"/>
          <w:w w:val="105"/>
          <w:sz w:val="23"/>
        </w:rPr>
        <w:t>or</w:t>
      </w:r>
      <w:r>
        <w:rPr>
          <w:rFonts w:ascii="Times New Roman"/>
          <w:spacing w:val="-11"/>
          <w:w w:val="105"/>
          <w:sz w:val="23"/>
        </w:rPr>
        <w:t> </w:t>
      </w:r>
      <w:r>
        <w:rPr>
          <w:rFonts w:ascii="Times New Roman"/>
          <w:w w:val="105"/>
          <w:sz w:val="23"/>
        </w:rPr>
        <w:t>improvements thereon,</w:t>
      </w:r>
      <w:r>
        <w:rPr>
          <w:rFonts w:ascii="Times New Roman"/>
          <w:spacing w:val="-6"/>
          <w:w w:val="105"/>
          <w:sz w:val="23"/>
        </w:rPr>
        <w:t> </w:t>
      </w:r>
      <w:r>
        <w:rPr>
          <w:rFonts w:ascii="Times New Roman"/>
          <w:w w:val="105"/>
          <w:sz w:val="23"/>
        </w:rPr>
        <w:t>or</w:t>
      </w:r>
      <w:r>
        <w:rPr>
          <w:rFonts w:ascii="Times New Roman"/>
          <w:spacing w:val="-10"/>
          <w:w w:val="105"/>
          <w:sz w:val="23"/>
        </w:rPr>
        <w:t> </w:t>
      </w:r>
      <w:r>
        <w:rPr>
          <w:rFonts w:ascii="Times New Roman"/>
          <w:w w:val="105"/>
          <w:sz w:val="23"/>
        </w:rPr>
        <w:t>granting interest therein</w:t>
      </w:r>
      <w:r>
        <w:rPr>
          <w:rFonts w:ascii="Times New Roman"/>
          <w:spacing w:val="-4"/>
          <w:w w:val="105"/>
          <w:sz w:val="23"/>
        </w:rPr>
        <w:t> </w:t>
      </w:r>
      <w:r>
        <w:rPr>
          <w:rFonts w:ascii="Times New Roman"/>
          <w:w w:val="105"/>
          <w:sz w:val="23"/>
        </w:rPr>
        <w:t>from</w:t>
      </w:r>
      <w:r>
        <w:rPr>
          <w:rFonts w:ascii="Times New Roman"/>
          <w:spacing w:val="-8"/>
          <w:w w:val="105"/>
          <w:sz w:val="23"/>
        </w:rPr>
        <w:t> </w:t>
      </w:r>
      <w:r>
        <w:rPr>
          <w:rFonts w:ascii="Times New Roman"/>
          <w:w w:val="105"/>
          <w:sz w:val="23"/>
        </w:rPr>
        <w:t>the</w:t>
      </w:r>
      <w:r>
        <w:rPr>
          <w:rFonts w:ascii="Times New Roman"/>
          <w:spacing w:val="-11"/>
          <w:w w:val="105"/>
          <w:sz w:val="23"/>
        </w:rPr>
        <w:t> </w:t>
      </w:r>
      <w:r>
        <w:rPr>
          <w:rFonts w:ascii="Times New Roman"/>
          <w:w w:val="105"/>
          <w:sz w:val="23"/>
        </w:rPr>
        <w:t>United</w:t>
      </w:r>
      <w:r>
        <w:rPr>
          <w:rFonts w:ascii="Times New Roman"/>
          <w:spacing w:val="-5"/>
          <w:w w:val="105"/>
          <w:sz w:val="23"/>
        </w:rPr>
        <w:t> </w:t>
      </w:r>
      <w:r>
        <w:rPr>
          <w:rFonts w:ascii="Times New Roman"/>
          <w:w w:val="105"/>
          <w:sz w:val="23"/>
        </w:rPr>
        <w:t>States</w:t>
      </w:r>
      <w:r>
        <w:rPr>
          <w:rFonts w:ascii="Times New Roman"/>
          <w:spacing w:val="-14"/>
          <w:w w:val="105"/>
          <w:sz w:val="23"/>
        </w:rPr>
        <w:t> </w:t>
      </w:r>
      <w:r>
        <w:rPr>
          <w:rFonts w:ascii="Times New Roman"/>
          <w:w w:val="105"/>
          <w:sz w:val="23"/>
        </w:rPr>
        <w:t>pursuant to</w:t>
      </w:r>
      <w:r>
        <w:rPr>
          <w:rFonts w:ascii="Times New Roman"/>
          <w:spacing w:val="-16"/>
          <w:w w:val="105"/>
          <w:sz w:val="23"/>
        </w:rPr>
        <w:t> </w:t>
      </w:r>
      <w:r>
        <w:rPr>
          <w:rFonts w:ascii="Times New Roman"/>
          <w:w w:val="105"/>
          <w:sz w:val="23"/>
        </w:rPr>
        <w:t>the provisions of Assurance 4:</w:t>
      </w:r>
    </w:p>
    <w:p>
      <w:pPr>
        <w:pStyle w:val="BodyText"/>
        <w:spacing w:before="8"/>
        <w:rPr>
          <w:rFonts w:ascii="Times New Roman"/>
          <w:sz w:val="20"/>
        </w:rPr>
      </w:pPr>
    </w:p>
    <w:p>
      <w:pPr>
        <w:spacing w:line="252" w:lineRule="auto" w:before="0"/>
        <w:ind w:left="307" w:right="583" w:firstLine="5"/>
        <w:jc w:val="left"/>
        <w:rPr>
          <w:rFonts w:ascii="Times New Roman" w:hAnsi="Times New Roman"/>
          <w:sz w:val="23"/>
        </w:rPr>
      </w:pPr>
      <w:r>
        <w:rPr>
          <w:rFonts w:ascii="Times New Roman" w:hAnsi="Times New Roman"/>
          <w:b/>
          <w:w w:val="105"/>
          <w:sz w:val="23"/>
        </w:rPr>
        <w:t>NOW, THEREFORE,</w:t>
      </w:r>
      <w:r>
        <w:rPr>
          <w:rFonts w:ascii="Times New Roman" w:hAnsi="Times New Roman"/>
          <w:b/>
          <w:spacing w:val="27"/>
          <w:w w:val="105"/>
          <w:sz w:val="23"/>
        </w:rPr>
        <w:t> </w:t>
      </w:r>
      <w:r>
        <w:rPr>
          <w:rFonts w:ascii="Times New Roman" w:hAnsi="Times New Roman"/>
          <w:w w:val="105"/>
          <w:sz w:val="23"/>
        </w:rPr>
        <w:t>the U.S.</w:t>
      </w:r>
      <w:r>
        <w:rPr>
          <w:rFonts w:ascii="Times New Roman" w:hAnsi="Times New Roman"/>
          <w:spacing w:val="-1"/>
          <w:w w:val="105"/>
          <w:sz w:val="23"/>
        </w:rPr>
        <w:t> </w:t>
      </w:r>
      <w:r>
        <w:rPr>
          <w:rFonts w:ascii="Times New Roman" w:hAnsi="Times New Roman"/>
          <w:w w:val="105"/>
          <w:sz w:val="23"/>
        </w:rPr>
        <w:t>Department of</w:t>
      </w:r>
      <w:r>
        <w:rPr>
          <w:rFonts w:ascii="Times New Roman" w:hAnsi="Times New Roman"/>
          <w:spacing w:val="-10"/>
          <w:w w:val="105"/>
          <w:sz w:val="23"/>
        </w:rPr>
        <w:t> </w:t>
      </w:r>
      <w:r>
        <w:rPr>
          <w:rFonts w:ascii="Times New Roman" w:hAnsi="Times New Roman"/>
          <w:w w:val="105"/>
          <w:sz w:val="23"/>
        </w:rPr>
        <w:t>Transportation</w:t>
      </w:r>
      <w:r>
        <w:rPr>
          <w:rFonts w:ascii="Times New Roman" w:hAnsi="Times New Roman"/>
          <w:spacing w:val="-7"/>
          <w:w w:val="105"/>
          <w:sz w:val="23"/>
        </w:rPr>
        <w:t> </w:t>
      </w:r>
      <w:r>
        <w:rPr>
          <w:rFonts w:ascii="Times New Roman" w:hAnsi="Times New Roman"/>
          <w:w w:val="105"/>
          <w:sz w:val="23"/>
        </w:rPr>
        <w:t>as</w:t>
      </w:r>
      <w:r>
        <w:rPr>
          <w:rFonts w:ascii="Times New Roman" w:hAnsi="Times New Roman"/>
          <w:spacing w:val="-2"/>
          <w:w w:val="105"/>
          <w:sz w:val="23"/>
        </w:rPr>
        <w:t> </w:t>
      </w:r>
      <w:r>
        <w:rPr>
          <w:rFonts w:ascii="Times New Roman" w:hAnsi="Times New Roman"/>
          <w:w w:val="105"/>
          <w:sz w:val="23"/>
        </w:rPr>
        <w:t>authorized by law</w:t>
      </w:r>
      <w:r>
        <w:rPr>
          <w:rFonts w:ascii="Times New Roman" w:hAnsi="Times New Roman"/>
          <w:spacing w:val="-6"/>
          <w:w w:val="105"/>
          <w:sz w:val="23"/>
        </w:rPr>
        <w:t> </w:t>
      </w:r>
      <w:r>
        <w:rPr>
          <w:rFonts w:ascii="Times New Roman" w:hAnsi="Times New Roman"/>
          <w:w w:val="105"/>
          <w:sz w:val="23"/>
        </w:rPr>
        <w:t>and upon the condition that the</w:t>
      </w:r>
      <w:r>
        <w:rPr>
          <w:rFonts w:ascii="Times New Roman" w:hAnsi="Times New Roman"/>
          <w:spacing w:val="-6"/>
          <w:w w:val="105"/>
          <w:sz w:val="23"/>
        </w:rPr>
        <w:t> </w:t>
      </w:r>
      <w:r>
        <w:rPr>
          <w:rFonts w:ascii="Times New Roman" w:hAnsi="Times New Roman"/>
          <w:b/>
          <w:i/>
          <w:w w:val="105"/>
          <w:sz w:val="23"/>
        </w:rPr>
        <w:t>Maine Department</w:t>
      </w:r>
      <w:r>
        <w:rPr>
          <w:rFonts w:ascii="Times New Roman" w:hAnsi="Times New Roman"/>
          <w:b/>
          <w:i/>
          <w:w w:val="105"/>
          <w:sz w:val="23"/>
        </w:rPr>
        <w:t> of Transportation</w:t>
      </w:r>
      <w:r>
        <w:rPr>
          <w:rFonts w:ascii="Times New Roman" w:hAnsi="Times New Roman"/>
          <w:b/>
          <w:i/>
          <w:spacing w:val="-1"/>
          <w:w w:val="105"/>
          <w:sz w:val="23"/>
        </w:rPr>
        <w:t> </w:t>
      </w:r>
      <w:r>
        <w:rPr>
          <w:rFonts w:ascii="Times New Roman" w:hAnsi="Times New Roman"/>
          <w:w w:val="105"/>
          <w:sz w:val="23"/>
        </w:rPr>
        <w:t>will accept title</w:t>
      </w:r>
      <w:r>
        <w:rPr>
          <w:rFonts w:ascii="Times New Roman" w:hAnsi="Times New Roman"/>
          <w:spacing w:val="-2"/>
          <w:w w:val="105"/>
          <w:sz w:val="23"/>
        </w:rPr>
        <w:t> </w:t>
      </w:r>
      <w:r>
        <w:rPr>
          <w:rFonts w:ascii="Times New Roman" w:hAnsi="Times New Roman"/>
          <w:w w:val="105"/>
          <w:sz w:val="23"/>
        </w:rPr>
        <w:t>to</w:t>
      </w:r>
      <w:r>
        <w:rPr>
          <w:rFonts w:ascii="Times New Roman" w:hAnsi="Times New Roman"/>
          <w:spacing w:val="-12"/>
          <w:w w:val="105"/>
          <w:sz w:val="23"/>
        </w:rPr>
        <w:t> </w:t>
      </w:r>
      <w:r>
        <w:rPr>
          <w:rFonts w:ascii="Times New Roman" w:hAnsi="Times New Roman"/>
          <w:w w:val="105"/>
          <w:sz w:val="23"/>
        </w:rPr>
        <w:t>the</w:t>
      </w:r>
      <w:r>
        <w:rPr>
          <w:rFonts w:ascii="Times New Roman" w:hAnsi="Times New Roman"/>
          <w:spacing w:val="-1"/>
          <w:w w:val="105"/>
          <w:sz w:val="23"/>
        </w:rPr>
        <w:t> </w:t>
      </w:r>
      <w:r>
        <w:rPr>
          <w:rFonts w:ascii="Times New Roman" w:hAnsi="Times New Roman"/>
          <w:w w:val="105"/>
          <w:sz w:val="23"/>
        </w:rPr>
        <w:t>lands and maintain the project constructed thereon in</w:t>
      </w:r>
      <w:r>
        <w:rPr>
          <w:rFonts w:ascii="Times New Roman" w:hAnsi="Times New Roman"/>
          <w:spacing w:val="-8"/>
          <w:w w:val="105"/>
          <w:sz w:val="23"/>
        </w:rPr>
        <w:t> </w:t>
      </w:r>
      <w:r>
        <w:rPr>
          <w:rFonts w:ascii="Times New Roman" w:hAnsi="Times New Roman"/>
          <w:w w:val="105"/>
          <w:sz w:val="23"/>
        </w:rPr>
        <w:t>accordance with </w:t>
      </w:r>
      <w:r>
        <w:rPr>
          <w:rFonts w:ascii="Times New Roman" w:hAnsi="Times New Roman"/>
          <w:b/>
          <w:i/>
          <w:w w:val="105"/>
          <w:sz w:val="23"/>
        </w:rPr>
        <w:t>49</w:t>
      </w:r>
      <w:r>
        <w:rPr>
          <w:rFonts w:ascii="Times New Roman" w:hAnsi="Times New Roman"/>
          <w:b/>
          <w:i/>
          <w:spacing w:val="-6"/>
          <w:w w:val="105"/>
          <w:sz w:val="23"/>
        </w:rPr>
        <w:t> </w:t>
      </w:r>
      <w:r>
        <w:rPr>
          <w:rFonts w:ascii="Times New Roman" w:hAnsi="Times New Roman"/>
          <w:b/>
          <w:i/>
          <w:w w:val="105"/>
          <w:sz w:val="23"/>
        </w:rPr>
        <w:t>U.S.</w:t>
      </w:r>
      <w:r>
        <w:rPr>
          <w:rFonts w:ascii="Times New Roman" w:hAnsi="Times New Roman"/>
          <w:b/>
          <w:i/>
          <w:spacing w:val="-1"/>
          <w:w w:val="105"/>
          <w:sz w:val="23"/>
        </w:rPr>
        <w:t> </w:t>
      </w:r>
      <w:r>
        <w:rPr>
          <w:rFonts w:ascii="Times New Roman" w:hAnsi="Times New Roman"/>
          <w:b/>
          <w:w w:val="105"/>
          <w:sz w:val="23"/>
        </w:rPr>
        <w:t>Code §5334, </w:t>
      </w:r>
      <w:r>
        <w:rPr>
          <w:rFonts w:ascii="Times New Roman" w:hAnsi="Times New Roman"/>
          <w:w w:val="105"/>
          <w:sz w:val="23"/>
        </w:rPr>
        <w:t>the</w:t>
      </w:r>
      <w:r>
        <w:rPr>
          <w:rFonts w:ascii="Times New Roman" w:hAnsi="Times New Roman"/>
          <w:spacing w:val="-1"/>
          <w:w w:val="105"/>
          <w:sz w:val="23"/>
        </w:rPr>
        <w:t> </w:t>
      </w:r>
      <w:r>
        <w:rPr>
          <w:rFonts w:ascii="Times New Roman" w:hAnsi="Times New Roman"/>
          <w:w w:val="105"/>
          <w:sz w:val="23"/>
        </w:rPr>
        <w:t>Regulations for the Administration</w:t>
      </w:r>
      <w:r>
        <w:rPr>
          <w:rFonts w:ascii="Times New Roman" w:hAnsi="Times New Roman"/>
          <w:spacing w:val="-16"/>
          <w:w w:val="105"/>
          <w:sz w:val="23"/>
        </w:rPr>
        <w:t> </w:t>
      </w:r>
      <w:r>
        <w:rPr>
          <w:rFonts w:ascii="Times New Roman" w:hAnsi="Times New Roman"/>
          <w:w w:val="105"/>
          <w:sz w:val="23"/>
        </w:rPr>
        <w:t>of</w:t>
      </w:r>
      <w:r>
        <w:rPr>
          <w:rFonts w:ascii="Times New Roman" w:hAnsi="Times New Roman"/>
          <w:spacing w:val="40"/>
          <w:w w:val="105"/>
          <w:sz w:val="23"/>
        </w:rPr>
        <w:t> </w:t>
      </w:r>
      <w:r>
        <w:rPr>
          <w:rFonts w:ascii="Times New Roman" w:hAnsi="Times New Roman"/>
          <w:w w:val="105"/>
          <w:sz w:val="23"/>
        </w:rPr>
        <w:t>the</w:t>
      </w:r>
      <w:r>
        <w:rPr>
          <w:rFonts w:ascii="Times New Roman" w:hAnsi="Times New Roman"/>
          <w:spacing w:val="-4"/>
          <w:w w:val="105"/>
          <w:sz w:val="23"/>
        </w:rPr>
        <w:t> </w:t>
      </w:r>
      <w:r>
        <w:rPr>
          <w:rFonts w:ascii="Times New Roman" w:hAnsi="Times New Roman"/>
          <w:b/>
          <w:i/>
          <w:w w:val="105"/>
          <w:sz w:val="23"/>
        </w:rPr>
        <w:t>Federal Aid Transit Program, </w:t>
      </w:r>
      <w:r>
        <w:rPr>
          <w:rFonts w:ascii="Times New Roman" w:hAnsi="Times New Roman"/>
          <w:w w:val="105"/>
          <w:sz w:val="23"/>
        </w:rPr>
        <w:t>and the</w:t>
      </w:r>
      <w:r>
        <w:rPr>
          <w:rFonts w:ascii="Times New Roman" w:hAnsi="Times New Roman"/>
          <w:spacing w:val="-3"/>
          <w:w w:val="105"/>
          <w:sz w:val="23"/>
        </w:rPr>
        <w:t> </w:t>
      </w:r>
      <w:r>
        <w:rPr>
          <w:rFonts w:ascii="Times New Roman" w:hAnsi="Times New Roman"/>
          <w:w w:val="105"/>
          <w:sz w:val="23"/>
        </w:rPr>
        <w:t>policies and procedures prescribed by the </w:t>
      </w:r>
      <w:r>
        <w:rPr>
          <w:rFonts w:ascii="Times New Roman" w:hAnsi="Times New Roman"/>
          <w:b/>
          <w:i/>
          <w:w w:val="105"/>
          <w:sz w:val="23"/>
        </w:rPr>
        <w:t>FTA </w:t>
      </w:r>
      <w:r>
        <w:rPr>
          <w:rFonts w:ascii="Times New Roman" w:hAnsi="Times New Roman"/>
          <w:w w:val="105"/>
          <w:sz w:val="23"/>
        </w:rPr>
        <w:t>of</w:t>
      </w:r>
      <w:r>
        <w:rPr>
          <w:rFonts w:ascii="Times New Roman" w:hAnsi="Times New Roman"/>
          <w:spacing w:val="-4"/>
          <w:w w:val="105"/>
          <w:sz w:val="23"/>
        </w:rPr>
        <w:t> </w:t>
      </w:r>
      <w:r>
        <w:rPr>
          <w:rFonts w:ascii="Times New Roman" w:hAnsi="Times New Roman"/>
          <w:w w:val="105"/>
          <w:sz w:val="23"/>
        </w:rPr>
        <w:t>the</w:t>
      </w:r>
      <w:r>
        <w:rPr>
          <w:rFonts w:ascii="Times New Roman" w:hAnsi="Times New Roman"/>
          <w:spacing w:val="-5"/>
          <w:w w:val="105"/>
          <w:sz w:val="23"/>
        </w:rPr>
        <w:t> </w:t>
      </w:r>
      <w:r>
        <w:rPr>
          <w:rFonts w:ascii="Times New Roman" w:hAnsi="Times New Roman"/>
          <w:w w:val="105"/>
          <w:sz w:val="23"/>
        </w:rPr>
        <w:t>U.S.</w:t>
      </w:r>
      <w:r>
        <w:rPr>
          <w:rFonts w:ascii="Times New Roman" w:hAnsi="Times New Roman"/>
          <w:spacing w:val="-1"/>
          <w:w w:val="105"/>
          <w:sz w:val="23"/>
        </w:rPr>
        <w:t> </w:t>
      </w:r>
      <w:r>
        <w:rPr>
          <w:rFonts w:ascii="Times New Roman" w:hAnsi="Times New Roman"/>
          <w:w w:val="105"/>
          <w:sz w:val="23"/>
        </w:rPr>
        <w:t>Department of</w:t>
      </w:r>
      <w:r>
        <w:rPr>
          <w:rFonts w:ascii="Times New Roman" w:hAnsi="Times New Roman"/>
          <w:spacing w:val="-2"/>
          <w:w w:val="105"/>
          <w:sz w:val="23"/>
        </w:rPr>
        <w:t> </w:t>
      </w:r>
      <w:r>
        <w:rPr>
          <w:rFonts w:ascii="Times New Roman" w:hAnsi="Times New Roman"/>
          <w:w w:val="105"/>
          <w:sz w:val="23"/>
        </w:rPr>
        <w:t>Transportation</w:t>
      </w:r>
      <w:r>
        <w:rPr>
          <w:rFonts w:ascii="Times New Roman" w:hAnsi="Times New Roman"/>
          <w:spacing w:val="-13"/>
          <w:w w:val="105"/>
          <w:sz w:val="23"/>
        </w:rPr>
        <w:t> </w:t>
      </w:r>
      <w:r>
        <w:rPr>
          <w:rFonts w:ascii="Times New Roman" w:hAnsi="Times New Roman"/>
          <w:w w:val="105"/>
          <w:sz w:val="23"/>
        </w:rPr>
        <w:t>in</w:t>
      </w:r>
      <w:r>
        <w:rPr>
          <w:rFonts w:ascii="Times New Roman" w:hAnsi="Times New Roman"/>
          <w:spacing w:val="-1"/>
          <w:w w:val="105"/>
          <w:sz w:val="23"/>
        </w:rPr>
        <w:t> </w:t>
      </w:r>
      <w:r>
        <w:rPr>
          <w:rFonts w:ascii="Times New Roman" w:hAnsi="Times New Roman"/>
          <w:w w:val="105"/>
          <w:sz w:val="23"/>
        </w:rPr>
        <w:t>accordance and in</w:t>
      </w:r>
      <w:r>
        <w:rPr>
          <w:rFonts w:ascii="Times New Roman" w:hAnsi="Times New Roman"/>
          <w:spacing w:val="-1"/>
          <w:w w:val="105"/>
          <w:sz w:val="23"/>
        </w:rPr>
        <w:t> </w:t>
      </w:r>
      <w:r>
        <w:rPr>
          <w:rFonts w:ascii="Times New Roman" w:hAnsi="Times New Roman"/>
          <w:w w:val="105"/>
          <w:sz w:val="23"/>
        </w:rPr>
        <w:t>compliance with all requirements imposed</w:t>
      </w:r>
      <w:r>
        <w:rPr>
          <w:rFonts w:ascii="Times New Roman" w:hAnsi="Times New Roman"/>
          <w:spacing w:val="9"/>
          <w:w w:val="105"/>
          <w:sz w:val="23"/>
        </w:rPr>
        <w:t> </w:t>
      </w:r>
      <w:r>
        <w:rPr>
          <w:rFonts w:ascii="Times New Roman" w:hAnsi="Times New Roman"/>
          <w:w w:val="105"/>
          <w:sz w:val="23"/>
        </w:rPr>
        <w:t>by</w:t>
      </w:r>
      <w:r>
        <w:rPr>
          <w:rFonts w:ascii="Times New Roman" w:hAnsi="Times New Roman"/>
          <w:spacing w:val="-8"/>
          <w:w w:val="105"/>
          <w:sz w:val="23"/>
        </w:rPr>
        <w:t> </w:t>
      </w:r>
      <w:r>
        <w:rPr>
          <w:rFonts w:ascii="Times New Roman" w:hAnsi="Times New Roman"/>
          <w:w w:val="105"/>
          <w:sz w:val="23"/>
        </w:rPr>
        <w:t>Title</w:t>
      </w:r>
      <w:r>
        <w:rPr>
          <w:rFonts w:ascii="Times New Roman" w:hAnsi="Times New Roman"/>
          <w:spacing w:val="-6"/>
          <w:w w:val="105"/>
          <w:sz w:val="23"/>
        </w:rPr>
        <w:t> </w:t>
      </w:r>
      <w:r>
        <w:rPr>
          <w:rFonts w:ascii="Times New Roman" w:hAnsi="Times New Roman"/>
          <w:w w:val="105"/>
          <w:sz w:val="23"/>
        </w:rPr>
        <w:t>49,</w:t>
      </w:r>
      <w:r>
        <w:rPr>
          <w:rFonts w:ascii="Times New Roman" w:hAnsi="Times New Roman"/>
          <w:spacing w:val="-11"/>
          <w:w w:val="105"/>
          <w:sz w:val="23"/>
        </w:rPr>
        <w:t> </w:t>
      </w:r>
      <w:r>
        <w:rPr>
          <w:rFonts w:ascii="Times New Roman" w:hAnsi="Times New Roman"/>
          <w:w w:val="105"/>
          <w:sz w:val="23"/>
        </w:rPr>
        <w:t>Code</w:t>
      </w:r>
      <w:r>
        <w:rPr>
          <w:rFonts w:ascii="Times New Roman" w:hAnsi="Times New Roman"/>
          <w:spacing w:val="-10"/>
          <w:w w:val="105"/>
          <w:sz w:val="23"/>
        </w:rPr>
        <w:t> </w:t>
      </w:r>
      <w:r>
        <w:rPr>
          <w:rFonts w:ascii="Times New Roman" w:hAnsi="Times New Roman"/>
          <w:w w:val="105"/>
          <w:sz w:val="23"/>
        </w:rPr>
        <w:t>of</w:t>
      </w:r>
      <w:r>
        <w:rPr>
          <w:rFonts w:ascii="Times New Roman" w:hAnsi="Times New Roman"/>
          <w:spacing w:val="-7"/>
          <w:w w:val="105"/>
          <w:sz w:val="23"/>
        </w:rPr>
        <w:t> </w:t>
      </w:r>
      <w:r>
        <w:rPr>
          <w:rFonts w:ascii="Times New Roman" w:hAnsi="Times New Roman"/>
          <w:w w:val="105"/>
          <w:sz w:val="23"/>
        </w:rPr>
        <w:t>Federal Regulations, U.S.</w:t>
      </w:r>
      <w:r>
        <w:rPr>
          <w:rFonts w:ascii="Times New Roman" w:hAnsi="Times New Roman"/>
          <w:spacing w:val="-2"/>
          <w:w w:val="105"/>
          <w:sz w:val="23"/>
        </w:rPr>
        <w:t> </w:t>
      </w:r>
      <w:r>
        <w:rPr>
          <w:rFonts w:ascii="Times New Roman" w:hAnsi="Times New Roman"/>
          <w:w w:val="105"/>
          <w:sz w:val="23"/>
        </w:rPr>
        <w:t>Department of</w:t>
      </w:r>
      <w:r>
        <w:rPr>
          <w:rFonts w:ascii="Times New Roman" w:hAnsi="Times New Roman"/>
          <w:spacing w:val="-10"/>
          <w:w w:val="105"/>
          <w:sz w:val="23"/>
        </w:rPr>
        <w:t> </w:t>
      </w:r>
      <w:r>
        <w:rPr>
          <w:rFonts w:ascii="Times New Roman" w:hAnsi="Times New Roman"/>
          <w:w w:val="105"/>
          <w:sz w:val="23"/>
        </w:rPr>
        <w:t>Transportation,</w:t>
      </w:r>
      <w:r>
        <w:rPr>
          <w:rFonts w:ascii="Times New Roman" w:hAnsi="Times New Roman"/>
          <w:spacing w:val="-17"/>
          <w:w w:val="105"/>
          <w:sz w:val="23"/>
        </w:rPr>
        <w:t> </w:t>
      </w:r>
      <w:r>
        <w:rPr>
          <w:rFonts w:ascii="Times New Roman" w:hAnsi="Times New Roman"/>
          <w:w w:val="105"/>
          <w:sz w:val="23"/>
        </w:rPr>
        <w:t>Subtitle A,</w:t>
      </w:r>
      <w:r>
        <w:rPr>
          <w:rFonts w:ascii="Times New Roman" w:hAnsi="Times New Roman"/>
          <w:spacing w:val="-12"/>
          <w:w w:val="105"/>
          <w:sz w:val="23"/>
        </w:rPr>
        <w:t> </w:t>
      </w:r>
      <w:r>
        <w:rPr>
          <w:rFonts w:ascii="Times New Roman" w:hAnsi="Times New Roman"/>
          <w:w w:val="105"/>
          <w:sz w:val="23"/>
        </w:rPr>
        <w:t>Office of</w:t>
      </w:r>
      <w:r>
        <w:rPr>
          <w:rFonts w:ascii="Times New Roman" w:hAnsi="Times New Roman"/>
          <w:spacing w:val="-1"/>
          <w:w w:val="105"/>
          <w:sz w:val="23"/>
        </w:rPr>
        <w:t> </w:t>
      </w:r>
      <w:r>
        <w:rPr>
          <w:rFonts w:ascii="Times New Roman" w:hAnsi="Times New Roman"/>
          <w:w w:val="105"/>
          <w:sz w:val="23"/>
        </w:rPr>
        <w:t>the Secretmy, Pait 21, Non-discrimination</w:t>
      </w:r>
      <w:r>
        <w:rPr>
          <w:rFonts w:ascii="Times New Roman" w:hAnsi="Times New Roman"/>
          <w:spacing w:val="-14"/>
          <w:w w:val="105"/>
          <w:sz w:val="23"/>
        </w:rPr>
        <w:t> </w:t>
      </w:r>
      <w:r>
        <w:rPr>
          <w:rFonts w:ascii="Times New Roman" w:hAnsi="Times New Roman"/>
          <w:w w:val="105"/>
          <w:sz w:val="23"/>
        </w:rPr>
        <w:t>in</w:t>
      </w:r>
      <w:r>
        <w:rPr>
          <w:rFonts w:ascii="Times New Roman" w:hAnsi="Times New Roman"/>
          <w:spacing w:val="-1"/>
          <w:w w:val="105"/>
          <w:sz w:val="23"/>
        </w:rPr>
        <w:t> </w:t>
      </w:r>
      <w:r>
        <w:rPr>
          <w:rFonts w:ascii="Times New Roman" w:hAnsi="Times New Roman"/>
          <w:w w:val="105"/>
          <w:sz w:val="23"/>
        </w:rPr>
        <w:t>Federally-assisted programs of</w:t>
      </w:r>
      <w:r>
        <w:rPr>
          <w:rFonts w:ascii="Times New Roman" w:hAnsi="Times New Roman"/>
          <w:spacing w:val="-1"/>
          <w:w w:val="105"/>
          <w:sz w:val="23"/>
        </w:rPr>
        <w:t> </w:t>
      </w:r>
      <w:r>
        <w:rPr>
          <w:rFonts w:ascii="Times New Roman" w:hAnsi="Times New Roman"/>
          <w:w w:val="105"/>
          <w:sz w:val="23"/>
        </w:rPr>
        <w:t>the</w:t>
      </w:r>
      <w:r>
        <w:rPr>
          <w:rFonts w:ascii="Times New Roman" w:hAnsi="Times New Roman"/>
          <w:spacing w:val="-2"/>
          <w:w w:val="105"/>
          <w:sz w:val="23"/>
        </w:rPr>
        <w:t> </w:t>
      </w:r>
      <w:r>
        <w:rPr>
          <w:rFonts w:ascii="Times New Roman" w:hAnsi="Times New Roman"/>
          <w:w w:val="105"/>
          <w:sz w:val="23"/>
        </w:rPr>
        <w:t>U.S Depmtment of Transportation pe1taining to and effectuating the provisions of</w:t>
      </w:r>
      <w:r>
        <w:rPr>
          <w:rFonts w:ascii="Times New Roman" w:hAnsi="Times New Roman"/>
          <w:spacing w:val="-4"/>
          <w:w w:val="105"/>
          <w:sz w:val="23"/>
        </w:rPr>
        <w:t> </w:t>
      </w:r>
      <w:r>
        <w:rPr>
          <w:rFonts w:ascii="Times New Roman" w:hAnsi="Times New Roman"/>
          <w:w w:val="105"/>
          <w:sz w:val="23"/>
        </w:rPr>
        <w:t>Title VI of the Civil Rights Act of 1964 (78 Stat. 252;</w:t>
      </w:r>
      <w:r>
        <w:rPr>
          <w:rFonts w:ascii="Times New Roman" w:hAnsi="Times New Roman"/>
          <w:spacing w:val="-1"/>
          <w:w w:val="105"/>
          <w:sz w:val="23"/>
        </w:rPr>
        <w:t> </w:t>
      </w:r>
      <w:r>
        <w:rPr>
          <w:rFonts w:ascii="Times New Roman" w:hAnsi="Times New Roman"/>
          <w:w w:val="105"/>
          <w:sz w:val="23"/>
        </w:rPr>
        <w:t>42</w:t>
      </w:r>
      <w:r>
        <w:rPr>
          <w:rFonts w:ascii="Times New Roman" w:hAnsi="Times New Roman"/>
          <w:spacing w:val="-11"/>
          <w:w w:val="105"/>
          <w:sz w:val="23"/>
        </w:rPr>
        <w:t> </w:t>
      </w:r>
      <w:r>
        <w:rPr>
          <w:rFonts w:ascii="Times New Roman" w:hAnsi="Times New Roman"/>
          <w:w w:val="105"/>
          <w:sz w:val="23"/>
        </w:rPr>
        <w:t>U.S.C.</w:t>
      </w:r>
      <w:r>
        <w:rPr>
          <w:rFonts w:ascii="Times New Roman" w:hAnsi="Times New Roman"/>
          <w:spacing w:val="-3"/>
          <w:w w:val="105"/>
          <w:sz w:val="23"/>
        </w:rPr>
        <w:t> </w:t>
      </w:r>
      <w:r>
        <w:rPr>
          <w:rFonts w:ascii="Times New Roman" w:hAnsi="Times New Roman"/>
          <w:w w:val="105"/>
          <w:sz w:val="23"/>
        </w:rPr>
        <w:t>§</w:t>
      </w:r>
      <w:r>
        <w:rPr>
          <w:rFonts w:ascii="Times New Roman" w:hAnsi="Times New Roman"/>
          <w:spacing w:val="-10"/>
          <w:w w:val="105"/>
          <w:sz w:val="23"/>
        </w:rPr>
        <w:t> </w:t>
      </w:r>
      <w:r>
        <w:rPr>
          <w:rFonts w:ascii="Times New Roman" w:hAnsi="Times New Roman"/>
          <w:w w:val="105"/>
          <w:sz w:val="23"/>
        </w:rPr>
        <w:t>2000d</w:t>
      </w:r>
      <w:r>
        <w:rPr>
          <w:rFonts w:ascii="Times New Roman" w:hAnsi="Times New Roman"/>
          <w:spacing w:val="-4"/>
          <w:w w:val="105"/>
          <w:sz w:val="23"/>
        </w:rPr>
        <w:t> </w:t>
      </w:r>
      <w:r>
        <w:rPr>
          <w:rFonts w:ascii="Times New Roman" w:hAnsi="Times New Roman"/>
          <w:w w:val="105"/>
          <w:sz w:val="23"/>
        </w:rPr>
        <w:t>to</w:t>
      </w:r>
      <w:r>
        <w:rPr>
          <w:rFonts w:ascii="Times New Roman" w:hAnsi="Times New Roman"/>
          <w:spacing w:val="-14"/>
          <w:w w:val="105"/>
          <w:sz w:val="23"/>
        </w:rPr>
        <w:t> </w:t>
      </w:r>
      <w:r>
        <w:rPr>
          <w:rFonts w:ascii="Times New Roman" w:hAnsi="Times New Roman"/>
          <w:w w:val="105"/>
          <w:sz w:val="23"/>
        </w:rPr>
        <w:t>2000d-4),</w:t>
      </w:r>
      <w:r>
        <w:rPr>
          <w:rFonts w:ascii="Times New Roman" w:hAnsi="Times New Roman"/>
          <w:spacing w:val="-1"/>
          <w:w w:val="105"/>
          <w:sz w:val="23"/>
        </w:rPr>
        <w:t> </w:t>
      </w:r>
      <w:r>
        <w:rPr>
          <w:rFonts w:ascii="Times New Roman" w:hAnsi="Times New Roman"/>
          <w:w w:val="105"/>
          <w:sz w:val="23"/>
        </w:rPr>
        <w:t>does</w:t>
      </w:r>
      <w:r>
        <w:rPr>
          <w:rFonts w:ascii="Times New Roman" w:hAnsi="Times New Roman"/>
          <w:spacing w:val="-5"/>
          <w:w w:val="105"/>
          <w:sz w:val="23"/>
        </w:rPr>
        <w:t> </w:t>
      </w:r>
      <w:r>
        <w:rPr>
          <w:rFonts w:ascii="Times New Roman" w:hAnsi="Times New Roman"/>
          <w:w w:val="105"/>
          <w:sz w:val="23"/>
        </w:rPr>
        <w:t>hereby remise,</w:t>
      </w:r>
      <w:r>
        <w:rPr>
          <w:rFonts w:ascii="Times New Roman" w:hAnsi="Times New Roman"/>
          <w:spacing w:val="-4"/>
          <w:w w:val="105"/>
          <w:sz w:val="23"/>
        </w:rPr>
        <w:t> </w:t>
      </w:r>
      <w:r>
        <w:rPr>
          <w:rFonts w:ascii="Times New Roman" w:hAnsi="Times New Roman"/>
          <w:w w:val="105"/>
          <w:sz w:val="23"/>
        </w:rPr>
        <w:t>release,</w:t>
      </w:r>
      <w:r>
        <w:rPr>
          <w:rFonts w:ascii="Times New Roman" w:hAnsi="Times New Roman"/>
          <w:spacing w:val="-8"/>
          <w:w w:val="105"/>
          <w:sz w:val="23"/>
        </w:rPr>
        <w:t> </w:t>
      </w:r>
      <w:r>
        <w:rPr>
          <w:rFonts w:ascii="Times New Roman" w:hAnsi="Times New Roman"/>
          <w:w w:val="105"/>
          <w:sz w:val="23"/>
        </w:rPr>
        <w:t>quitclaim and</w:t>
      </w:r>
      <w:r>
        <w:rPr>
          <w:rFonts w:ascii="Times New Roman" w:hAnsi="Times New Roman"/>
          <w:spacing w:val="-11"/>
          <w:w w:val="105"/>
          <w:sz w:val="23"/>
        </w:rPr>
        <w:t> </w:t>
      </w:r>
      <w:r>
        <w:rPr>
          <w:rFonts w:ascii="Times New Roman" w:hAnsi="Times New Roman"/>
          <w:w w:val="105"/>
          <w:sz w:val="23"/>
        </w:rPr>
        <w:t>convey unto</w:t>
      </w:r>
      <w:r>
        <w:rPr>
          <w:rFonts w:ascii="Times New Roman" w:hAnsi="Times New Roman"/>
          <w:spacing w:val="-8"/>
          <w:w w:val="105"/>
          <w:sz w:val="23"/>
        </w:rPr>
        <w:t> </w:t>
      </w:r>
      <w:r>
        <w:rPr>
          <w:rFonts w:ascii="Times New Roman" w:hAnsi="Times New Roman"/>
          <w:w w:val="105"/>
          <w:sz w:val="23"/>
        </w:rPr>
        <w:t>the </w:t>
      </w:r>
      <w:r>
        <w:rPr>
          <w:rFonts w:ascii="Times New Roman" w:hAnsi="Times New Roman"/>
          <w:b/>
          <w:i/>
          <w:w w:val="105"/>
          <w:sz w:val="23"/>
        </w:rPr>
        <w:t>Maine Department of Transportation</w:t>
      </w:r>
      <w:r>
        <w:rPr>
          <w:rFonts w:ascii="Times New Roman" w:hAnsi="Times New Roman"/>
          <w:b/>
          <w:i/>
          <w:spacing w:val="-6"/>
          <w:w w:val="105"/>
          <w:sz w:val="23"/>
        </w:rPr>
        <w:t> </w:t>
      </w:r>
      <w:r>
        <w:rPr>
          <w:rFonts w:ascii="Times New Roman" w:hAnsi="Times New Roman"/>
          <w:w w:val="105"/>
          <w:sz w:val="23"/>
        </w:rPr>
        <w:t>all the right, title</w:t>
      </w:r>
      <w:r>
        <w:rPr>
          <w:rFonts w:ascii="Times New Roman" w:hAnsi="Times New Roman"/>
          <w:spacing w:val="-7"/>
          <w:w w:val="105"/>
          <w:sz w:val="23"/>
        </w:rPr>
        <w:t> </w:t>
      </w:r>
      <w:r>
        <w:rPr>
          <w:rFonts w:ascii="Times New Roman" w:hAnsi="Times New Roman"/>
          <w:w w:val="105"/>
          <w:sz w:val="23"/>
        </w:rPr>
        <w:t>and</w:t>
      </w:r>
      <w:r>
        <w:rPr>
          <w:rFonts w:ascii="Times New Roman" w:hAnsi="Times New Roman"/>
          <w:spacing w:val="-3"/>
          <w:w w:val="105"/>
          <w:sz w:val="23"/>
        </w:rPr>
        <w:t> </w:t>
      </w:r>
      <w:r>
        <w:rPr>
          <w:rFonts w:ascii="Times New Roman" w:hAnsi="Times New Roman"/>
          <w:w w:val="105"/>
          <w:sz w:val="23"/>
        </w:rPr>
        <w:t>interest of</w:t>
      </w:r>
      <w:r>
        <w:rPr>
          <w:rFonts w:ascii="Times New Roman" w:hAnsi="Times New Roman"/>
          <w:spacing w:val="-7"/>
          <w:w w:val="105"/>
          <w:sz w:val="23"/>
        </w:rPr>
        <w:t> </w:t>
      </w:r>
      <w:r>
        <w:rPr>
          <w:rFonts w:ascii="Times New Roman" w:hAnsi="Times New Roman"/>
          <w:w w:val="105"/>
          <w:sz w:val="23"/>
        </w:rPr>
        <w:t>the U.S. Department of Transportation</w:t>
      </w:r>
      <w:r>
        <w:rPr>
          <w:rFonts w:ascii="Times New Roman" w:hAnsi="Times New Roman"/>
          <w:spacing w:val="-11"/>
          <w:w w:val="105"/>
          <w:sz w:val="23"/>
        </w:rPr>
        <w:t> </w:t>
      </w:r>
      <w:r>
        <w:rPr>
          <w:rFonts w:ascii="Times New Roman" w:hAnsi="Times New Roman"/>
          <w:w w:val="105"/>
          <w:sz w:val="23"/>
        </w:rPr>
        <w:t>in and</w:t>
      </w:r>
      <w:r>
        <w:rPr>
          <w:rFonts w:ascii="Times New Roman" w:hAnsi="Times New Roman"/>
          <w:spacing w:val="-1"/>
          <w:w w:val="105"/>
          <w:sz w:val="23"/>
        </w:rPr>
        <w:t> </w:t>
      </w:r>
      <w:r>
        <w:rPr>
          <w:rFonts w:ascii="Times New Roman" w:hAnsi="Times New Roman"/>
          <w:w w:val="105"/>
          <w:sz w:val="23"/>
        </w:rPr>
        <w:t>to</w:t>
      </w:r>
      <w:r>
        <w:rPr>
          <w:rFonts w:ascii="Times New Roman" w:hAnsi="Times New Roman"/>
          <w:spacing w:val="-3"/>
          <w:w w:val="105"/>
          <w:sz w:val="23"/>
        </w:rPr>
        <w:t> </w:t>
      </w:r>
      <w:r>
        <w:rPr>
          <w:rFonts w:ascii="Times New Roman" w:hAnsi="Times New Roman"/>
          <w:w w:val="105"/>
          <w:sz w:val="23"/>
        </w:rPr>
        <w:t>said lands</w:t>
      </w:r>
      <w:r>
        <w:rPr>
          <w:rFonts w:ascii="Times New Roman" w:hAnsi="Times New Roman"/>
          <w:spacing w:val="-1"/>
          <w:w w:val="105"/>
          <w:sz w:val="23"/>
        </w:rPr>
        <w:t> </w:t>
      </w:r>
      <w:r>
        <w:rPr>
          <w:rFonts w:ascii="Times New Roman" w:hAnsi="Times New Roman"/>
          <w:w w:val="105"/>
          <w:sz w:val="23"/>
        </w:rPr>
        <w:t>described in Exhibit A attached hereto and made a pait</w:t>
      </w:r>
      <w:r>
        <w:rPr>
          <w:rFonts w:ascii="Times New Roman" w:hAnsi="Times New Roman"/>
          <w:spacing w:val="40"/>
          <w:w w:val="105"/>
          <w:sz w:val="23"/>
        </w:rPr>
        <w:t> </w:t>
      </w:r>
      <w:r>
        <w:rPr>
          <w:rFonts w:ascii="Times New Roman" w:hAnsi="Times New Roman"/>
          <w:w w:val="105"/>
          <w:sz w:val="23"/>
        </w:rPr>
        <w:t>hereof.</w:t>
      </w:r>
    </w:p>
    <w:p>
      <w:pPr>
        <w:pStyle w:val="BodyText"/>
        <w:spacing w:before="8"/>
        <w:rPr>
          <w:rFonts w:ascii="Times New Roman"/>
          <w:sz w:val="23"/>
        </w:rPr>
      </w:pPr>
    </w:p>
    <w:p>
      <w:pPr>
        <w:spacing w:before="0"/>
        <w:ind w:left="3227" w:right="3500" w:firstLine="0"/>
        <w:jc w:val="center"/>
        <w:rPr>
          <w:rFonts w:ascii="Times New Roman"/>
          <w:sz w:val="23"/>
        </w:rPr>
      </w:pPr>
      <w:r>
        <w:rPr>
          <w:rFonts w:ascii="Times New Roman"/>
          <w:sz w:val="23"/>
        </w:rPr>
        <w:t>(HABENDUM</w:t>
      </w:r>
      <w:r>
        <w:rPr>
          <w:rFonts w:ascii="Times New Roman"/>
          <w:spacing w:val="50"/>
          <w:sz w:val="23"/>
        </w:rPr>
        <w:t> </w:t>
      </w:r>
      <w:r>
        <w:rPr>
          <w:rFonts w:ascii="Times New Roman"/>
          <w:spacing w:val="-2"/>
          <w:sz w:val="23"/>
        </w:rPr>
        <w:t>CLAUSE)</w:t>
      </w:r>
    </w:p>
    <w:p>
      <w:pPr>
        <w:pStyle w:val="BodyText"/>
        <w:spacing w:before="4"/>
        <w:rPr>
          <w:rFonts w:ascii="Times New Roman"/>
          <w:sz w:val="25"/>
        </w:rPr>
      </w:pPr>
    </w:p>
    <w:p>
      <w:pPr>
        <w:spacing w:line="256" w:lineRule="auto" w:before="0"/>
        <w:ind w:left="322" w:right="583" w:hanging="1"/>
        <w:jc w:val="left"/>
        <w:rPr>
          <w:rFonts w:ascii="Times New Roman"/>
          <w:sz w:val="23"/>
        </w:rPr>
      </w:pPr>
      <w:r>
        <w:rPr>
          <w:rFonts w:ascii="Times New Roman"/>
          <w:b/>
          <w:w w:val="105"/>
          <w:sz w:val="23"/>
        </w:rPr>
        <w:t>TO</w:t>
      </w:r>
      <w:r>
        <w:rPr>
          <w:rFonts w:ascii="Times New Roman"/>
          <w:b/>
          <w:spacing w:val="-9"/>
          <w:w w:val="105"/>
          <w:sz w:val="23"/>
        </w:rPr>
        <w:t> </w:t>
      </w:r>
      <w:r>
        <w:rPr>
          <w:rFonts w:ascii="Times New Roman"/>
          <w:b/>
          <w:w w:val="105"/>
          <w:sz w:val="23"/>
        </w:rPr>
        <w:t>HAVE</w:t>
      </w:r>
      <w:r>
        <w:rPr>
          <w:rFonts w:ascii="Times New Roman"/>
          <w:b/>
          <w:spacing w:val="-2"/>
          <w:w w:val="105"/>
          <w:sz w:val="23"/>
        </w:rPr>
        <w:t> </w:t>
      </w:r>
      <w:r>
        <w:rPr>
          <w:rFonts w:ascii="Times New Roman"/>
          <w:b/>
          <w:w w:val="105"/>
          <w:sz w:val="23"/>
        </w:rPr>
        <w:t>AND</w:t>
      </w:r>
      <w:r>
        <w:rPr>
          <w:rFonts w:ascii="Times New Roman"/>
          <w:b/>
          <w:spacing w:val="-10"/>
          <w:w w:val="105"/>
          <w:sz w:val="23"/>
        </w:rPr>
        <w:t> </w:t>
      </w:r>
      <w:r>
        <w:rPr>
          <w:rFonts w:ascii="Times New Roman"/>
          <w:b/>
          <w:w w:val="105"/>
          <w:sz w:val="23"/>
        </w:rPr>
        <w:t>TO</w:t>
      </w:r>
      <w:r>
        <w:rPr>
          <w:rFonts w:ascii="Times New Roman"/>
          <w:b/>
          <w:spacing w:val="-11"/>
          <w:w w:val="105"/>
          <w:sz w:val="23"/>
        </w:rPr>
        <w:t> </w:t>
      </w:r>
      <w:r>
        <w:rPr>
          <w:rFonts w:ascii="Times New Roman"/>
          <w:b/>
          <w:w w:val="105"/>
          <w:sz w:val="23"/>
        </w:rPr>
        <w:t>HOLD </w:t>
      </w:r>
      <w:r>
        <w:rPr>
          <w:rFonts w:ascii="Times New Roman"/>
          <w:w w:val="105"/>
          <w:sz w:val="23"/>
        </w:rPr>
        <w:t>said</w:t>
      </w:r>
      <w:r>
        <w:rPr>
          <w:rFonts w:ascii="Times New Roman"/>
          <w:spacing w:val="-9"/>
          <w:w w:val="105"/>
          <w:sz w:val="23"/>
        </w:rPr>
        <w:t> </w:t>
      </w:r>
      <w:r>
        <w:rPr>
          <w:rFonts w:ascii="Times New Roman"/>
          <w:w w:val="105"/>
          <w:sz w:val="23"/>
        </w:rPr>
        <w:t>lands</w:t>
      </w:r>
      <w:r>
        <w:rPr>
          <w:rFonts w:ascii="Times New Roman"/>
          <w:spacing w:val="-4"/>
          <w:w w:val="105"/>
          <w:sz w:val="23"/>
        </w:rPr>
        <w:t> </w:t>
      </w:r>
      <w:r>
        <w:rPr>
          <w:rFonts w:ascii="Times New Roman"/>
          <w:w w:val="105"/>
          <w:sz w:val="23"/>
        </w:rPr>
        <w:t>and</w:t>
      </w:r>
      <w:r>
        <w:rPr>
          <w:rFonts w:ascii="Times New Roman"/>
          <w:spacing w:val="-1"/>
          <w:w w:val="105"/>
          <w:sz w:val="23"/>
        </w:rPr>
        <w:t> </w:t>
      </w:r>
      <w:r>
        <w:rPr>
          <w:rFonts w:ascii="Times New Roman"/>
          <w:w w:val="105"/>
          <w:sz w:val="23"/>
        </w:rPr>
        <w:t>interests</w:t>
      </w:r>
      <w:r>
        <w:rPr>
          <w:rFonts w:ascii="Times New Roman"/>
          <w:spacing w:val="-10"/>
          <w:w w:val="105"/>
          <w:sz w:val="23"/>
        </w:rPr>
        <w:t> </w:t>
      </w:r>
      <w:r>
        <w:rPr>
          <w:rFonts w:ascii="Times New Roman"/>
          <w:w w:val="105"/>
          <w:sz w:val="23"/>
        </w:rPr>
        <w:t>therein</w:t>
      </w:r>
      <w:r>
        <w:rPr>
          <w:rFonts w:ascii="Times New Roman"/>
          <w:spacing w:val="-2"/>
          <w:w w:val="105"/>
          <w:sz w:val="23"/>
        </w:rPr>
        <w:t> </w:t>
      </w:r>
      <w:r>
        <w:rPr>
          <w:rFonts w:ascii="Times New Roman"/>
          <w:w w:val="105"/>
          <w:sz w:val="23"/>
        </w:rPr>
        <w:t>unto</w:t>
      </w:r>
      <w:r>
        <w:rPr>
          <w:rFonts w:ascii="Times New Roman"/>
          <w:spacing w:val="-2"/>
          <w:w w:val="105"/>
          <w:sz w:val="23"/>
        </w:rPr>
        <w:t> </w:t>
      </w:r>
      <w:r>
        <w:rPr>
          <w:rFonts w:ascii="Times New Roman"/>
          <w:b/>
          <w:i/>
          <w:w w:val="105"/>
          <w:sz w:val="23"/>
        </w:rPr>
        <w:t>Maine Department of</w:t>
      </w:r>
      <w:r>
        <w:rPr>
          <w:rFonts w:ascii="Times New Roman"/>
          <w:b/>
          <w:i/>
          <w:spacing w:val="-2"/>
          <w:w w:val="105"/>
          <w:sz w:val="23"/>
        </w:rPr>
        <w:t> </w:t>
      </w:r>
      <w:r>
        <w:rPr>
          <w:rFonts w:ascii="Times New Roman"/>
          <w:b/>
          <w:i/>
          <w:w w:val="105"/>
          <w:sz w:val="23"/>
        </w:rPr>
        <w:t>Transportation</w:t>
      </w:r>
      <w:r>
        <w:rPr>
          <w:rFonts w:ascii="Times New Roman"/>
          <w:b/>
          <w:i/>
          <w:w w:val="105"/>
          <w:sz w:val="23"/>
        </w:rPr>
        <w:t> </w:t>
      </w:r>
      <w:r>
        <w:rPr>
          <w:rFonts w:ascii="Times New Roman"/>
          <w:w w:val="105"/>
          <w:sz w:val="23"/>
        </w:rPr>
        <w:t>and its</w:t>
      </w:r>
      <w:r>
        <w:rPr>
          <w:rFonts w:ascii="Times New Roman"/>
          <w:spacing w:val="-14"/>
          <w:w w:val="105"/>
          <w:sz w:val="23"/>
        </w:rPr>
        <w:t> </w:t>
      </w:r>
      <w:r>
        <w:rPr>
          <w:rFonts w:ascii="Times New Roman"/>
          <w:w w:val="105"/>
          <w:sz w:val="23"/>
        </w:rPr>
        <w:t>successors forever, subject, however, to</w:t>
      </w:r>
      <w:r>
        <w:rPr>
          <w:rFonts w:ascii="Times New Roman"/>
          <w:spacing w:val="-4"/>
          <w:w w:val="105"/>
          <w:sz w:val="23"/>
        </w:rPr>
        <w:t> </w:t>
      </w:r>
      <w:r>
        <w:rPr>
          <w:rFonts w:ascii="Times New Roman"/>
          <w:w w:val="105"/>
          <w:sz w:val="23"/>
        </w:rPr>
        <w:t>the</w:t>
      </w:r>
      <w:r>
        <w:rPr>
          <w:rFonts w:ascii="Times New Roman"/>
          <w:spacing w:val="-6"/>
          <w:w w:val="105"/>
          <w:sz w:val="23"/>
        </w:rPr>
        <w:t> </w:t>
      </w:r>
      <w:r>
        <w:rPr>
          <w:rFonts w:ascii="Times New Roman"/>
          <w:w w:val="105"/>
          <w:sz w:val="23"/>
        </w:rPr>
        <w:t>covenants, conditions, restrictions and reservations herein contained as</w:t>
      </w:r>
      <w:r>
        <w:rPr>
          <w:rFonts w:ascii="Times New Roman"/>
          <w:spacing w:val="-3"/>
          <w:w w:val="105"/>
          <w:sz w:val="23"/>
        </w:rPr>
        <w:t> </w:t>
      </w:r>
      <w:r>
        <w:rPr>
          <w:rFonts w:ascii="Times New Roman"/>
          <w:w w:val="105"/>
          <w:sz w:val="23"/>
        </w:rPr>
        <w:t>follows, which will remain in</w:t>
      </w:r>
      <w:r>
        <w:rPr>
          <w:rFonts w:ascii="Times New Roman"/>
          <w:spacing w:val="-10"/>
          <w:w w:val="105"/>
          <w:sz w:val="23"/>
        </w:rPr>
        <w:t> </w:t>
      </w:r>
      <w:r>
        <w:rPr>
          <w:rFonts w:ascii="Times New Roman"/>
          <w:w w:val="105"/>
          <w:sz w:val="23"/>
        </w:rPr>
        <w:t>effect for</w:t>
      </w:r>
      <w:r>
        <w:rPr>
          <w:rFonts w:ascii="Times New Roman"/>
          <w:spacing w:val="-7"/>
          <w:w w:val="105"/>
          <w:sz w:val="23"/>
        </w:rPr>
        <w:t> </w:t>
      </w:r>
      <w:r>
        <w:rPr>
          <w:rFonts w:ascii="Times New Roman"/>
          <w:w w:val="105"/>
          <w:sz w:val="23"/>
        </w:rPr>
        <w:t>the</w:t>
      </w:r>
      <w:r>
        <w:rPr>
          <w:rFonts w:ascii="Times New Roman"/>
          <w:spacing w:val="-4"/>
          <w:w w:val="105"/>
          <w:sz w:val="23"/>
        </w:rPr>
        <w:t> </w:t>
      </w:r>
      <w:r>
        <w:rPr>
          <w:rFonts w:ascii="Times New Roman"/>
          <w:w w:val="105"/>
          <w:sz w:val="23"/>
        </w:rPr>
        <w:t>period during which the real property or structures</w:t>
      </w:r>
      <w:r>
        <w:rPr>
          <w:rFonts w:ascii="Times New Roman"/>
          <w:spacing w:val="-7"/>
          <w:w w:val="105"/>
          <w:sz w:val="23"/>
        </w:rPr>
        <w:t> </w:t>
      </w:r>
      <w:r>
        <w:rPr>
          <w:rFonts w:ascii="Times New Roman"/>
          <w:w w:val="105"/>
          <w:sz w:val="23"/>
        </w:rPr>
        <w:t>are</w:t>
      </w:r>
      <w:r>
        <w:rPr>
          <w:rFonts w:ascii="Times New Roman"/>
          <w:spacing w:val="-9"/>
          <w:w w:val="105"/>
          <w:sz w:val="23"/>
        </w:rPr>
        <w:t> </w:t>
      </w:r>
      <w:r>
        <w:rPr>
          <w:rFonts w:ascii="Times New Roman"/>
          <w:w w:val="105"/>
          <w:sz w:val="23"/>
        </w:rPr>
        <w:t>used for</w:t>
      </w:r>
      <w:r>
        <w:rPr>
          <w:rFonts w:ascii="Times New Roman"/>
          <w:spacing w:val="-8"/>
          <w:w w:val="105"/>
          <w:sz w:val="23"/>
        </w:rPr>
        <w:t> </w:t>
      </w:r>
      <w:r>
        <w:rPr>
          <w:rFonts w:ascii="Times New Roman"/>
          <w:w w:val="105"/>
          <w:sz w:val="23"/>
        </w:rPr>
        <w:t>a</w:t>
      </w:r>
      <w:r>
        <w:rPr>
          <w:rFonts w:ascii="Times New Roman"/>
          <w:spacing w:val="-9"/>
          <w:w w:val="105"/>
          <w:sz w:val="23"/>
        </w:rPr>
        <w:t> </w:t>
      </w:r>
      <w:r>
        <w:rPr>
          <w:rFonts w:ascii="Times New Roman"/>
          <w:w w:val="105"/>
          <w:sz w:val="23"/>
        </w:rPr>
        <w:t>purpose</w:t>
      </w:r>
      <w:r>
        <w:rPr>
          <w:rFonts w:ascii="Times New Roman"/>
          <w:spacing w:val="-9"/>
          <w:w w:val="105"/>
          <w:sz w:val="23"/>
        </w:rPr>
        <w:t> </w:t>
      </w:r>
      <w:r>
        <w:rPr>
          <w:rFonts w:ascii="Times New Roman"/>
          <w:w w:val="105"/>
          <w:sz w:val="23"/>
        </w:rPr>
        <w:t>for</w:t>
      </w:r>
      <w:r>
        <w:rPr>
          <w:rFonts w:ascii="Times New Roman"/>
          <w:spacing w:val="-9"/>
          <w:w w:val="105"/>
          <w:sz w:val="23"/>
        </w:rPr>
        <w:t> </w:t>
      </w:r>
      <w:r>
        <w:rPr>
          <w:rFonts w:ascii="Times New Roman"/>
          <w:w w:val="105"/>
          <w:sz w:val="23"/>
        </w:rPr>
        <w:t>which</w:t>
      </w:r>
      <w:r>
        <w:rPr>
          <w:rFonts w:ascii="Times New Roman"/>
          <w:spacing w:val="-10"/>
          <w:w w:val="105"/>
          <w:sz w:val="23"/>
        </w:rPr>
        <w:t> </w:t>
      </w:r>
      <w:r>
        <w:rPr>
          <w:rFonts w:ascii="Times New Roman"/>
          <w:w w:val="105"/>
          <w:sz w:val="23"/>
        </w:rPr>
        <w:t>Federal</w:t>
      </w:r>
      <w:r>
        <w:rPr>
          <w:rFonts w:ascii="Times New Roman"/>
          <w:spacing w:val="-8"/>
          <w:w w:val="105"/>
          <w:sz w:val="23"/>
        </w:rPr>
        <w:t> </w:t>
      </w:r>
      <w:r>
        <w:rPr>
          <w:rFonts w:ascii="Times New Roman"/>
          <w:w w:val="105"/>
          <w:sz w:val="23"/>
        </w:rPr>
        <w:t>financial assistance is</w:t>
      </w:r>
      <w:r>
        <w:rPr>
          <w:rFonts w:ascii="Times New Roman"/>
          <w:spacing w:val="-16"/>
          <w:w w:val="105"/>
          <w:sz w:val="23"/>
        </w:rPr>
        <w:t> </w:t>
      </w:r>
      <w:r>
        <w:rPr>
          <w:rFonts w:ascii="Times New Roman"/>
          <w:w w:val="105"/>
          <w:sz w:val="23"/>
        </w:rPr>
        <w:t>extended or</w:t>
      </w:r>
      <w:r>
        <w:rPr>
          <w:rFonts w:ascii="Times New Roman"/>
          <w:spacing w:val="-10"/>
          <w:w w:val="105"/>
          <w:sz w:val="23"/>
        </w:rPr>
        <w:t> </w:t>
      </w:r>
      <w:r>
        <w:rPr>
          <w:rFonts w:ascii="Times New Roman"/>
          <w:w w:val="105"/>
          <w:sz w:val="23"/>
        </w:rPr>
        <w:t>for</w:t>
      </w:r>
      <w:r>
        <w:rPr>
          <w:rFonts w:ascii="Times New Roman"/>
          <w:spacing w:val="-15"/>
          <w:w w:val="105"/>
          <w:sz w:val="23"/>
        </w:rPr>
        <w:t> </w:t>
      </w:r>
      <w:r>
        <w:rPr>
          <w:rFonts w:ascii="Times New Roman"/>
          <w:w w:val="105"/>
          <w:sz w:val="23"/>
        </w:rPr>
        <w:t>another</w:t>
      </w:r>
      <w:r>
        <w:rPr>
          <w:rFonts w:ascii="Times New Roman"/>
          <w:spacing w:val="-3"/>
          <w:w w:val="105"/>
          <w:sz w:val="23"/>
        </w:rPr>
        <w:t> </w:t>
      </w:r>
      <w:r>
        <w:rPr>
          <w:rFonts w:ascii="Times New Roman"/>
          <w:w w:val="105"/>
          <w:sz w:val="23"/>
        </w:rPr>
        <w:t>purpose involving the provision of</w:t>
      </w:r>
      <w:r>
        <w:rPr>
          <w:rFonts w:ascii="Times New Roman"/>
          <w:spacing w:val="-10"/>
          <w:w w:val="105"/>
          <w:sz w:val="23"/>
        </w:rPr>
        <w:t> </w:t>
      </w:r>
      <w:r>
        <w:rPr>
          <w:rFonts w:ascii="Times New Roman"/>
          <w:w w:val="105"/>
          <w:sz w:val="23"/>
        </w:rPr>
        <w:t>similar services or benefits and will be</w:t>
      </w:r>
      <w:r>
        <w:rPr>
          <w:rFonts w:ascii="Times New Roman"/>
          <w:spacing w:val="-8"/>
          <w:w w:val="105"/>
          <w:sz w:val="23"/>
        </w:rPr>
        <w:t> </w:t>
      </w:r>
      <w:r>
        <w:rPr>
          <w:rFonts w:ascii="Times New Roman"/>
          <w:w w:val="105"/>
          <w:sz w:val="23"/>
        </w:rPr>
        <w:t>binding on</w:t>
      </w:r>
      <w:r>
        <w:rPr>
          <w:rFonts w:ascii="Times New Roman"/>
          <w:spacing w:val="-6"/>
          <w:w w:val="105"/>
          <w:sz w:val="23"/>
        </w:rPr>
        <w:t> </w:t>
      </w:r>
      <w:r>
        <w:rPr>
          <w:rFonts w:ascii="Times New Roman"/>
          <w:w w:val="105"/>
          <w:sz w:val="23"/>
        </w:rPr>
        <w:t>the</w:t>
      </w:r>
      <w:r>
        <w:rPr>
          <w:rFonts w:ascii="Times New Roman"/>
          <w:spacing w:val="-7"/>
          <w:w w:val="105"/>
          <w:sz w:val="23"/>
        </w:rPr>
        <w:t> </w:t>
      </w:r>
      <w:r>
        <w:rPr>
          <w:rFonts w:ascii="Times New Roman"/>
          <w:b/>
          <w:i/>
          <w:w w:val="105"/>
          <w:sz w:val="23"/>
        </w:rPr>
        <w:t>Maine Department of</w:t>
      </w:r>
      <w:r>
        <w:rPr>
          <w:rFonts w:ascii="Times New Roman"/>
          <w:b/>
          <w:i/>
          <w:w w:val="105"/>
          <w:sz w:val="23"/>
        </w:rPr>
        <w:t> Transportation, </w:t>
      </w:r>
      <w:r>
        <w:rPr>
          <w:rFonts w:ascii="Times New Roman"/>
          <w:w w:val="105"/>
          <w:sz w:val="23"/>
        </w:rPr>
        <w:t>its successors</w:t>
      </w:r>
      <w:r>
        <w:rPr>
          <w:rFonts w:ascii="Times New Roman"/>
          <w:spacing w:val="40"/>
          <w:w w:val="105"/>
          <w:sz w:val="23"/>
        </w:rPr>
        <w:t> </w:t>
      </w:r>
      <w:r>
        <w:rPr>
          <w:rFonts w:ascii="Times New Roman"/>
          <w:w w:val="105"/>
          <w:sz w:val="23"/>
        </w:rPr>
        <w:t>and assigns.</w:t>
      </w:r>
    </w:p>
    <w:p>
      <w:pPr>
        <w:pStyle w:val="BodyText"/>
        <w:spacing w:before="2"/>
        <w:rPr>
          <w:rFonts w:ascii="Times New Roman"/>
          <w:sz w:val="21"/>
        </w:rPr>
      </w:pPr>
    </w:p>
    <w:p>
      <w:pPr>
        <w:spacing w:line="252" w:lineRule="auto" w:before="0"/>
        <w:ind w:left="328" w:right="583" w:hanging="6"/>
        <w:jc w:val="left"/>
        <w:rPr>
          <w:rFonts w:ascii="Times New Roman"/>
          <w:sz w:val="23"/>
        </w:rPr>
      </w:pPr>
      <w:r>
        <w:rPr>
          <w:rFonts w:ascii="Times New Roman"/>
          <w:w w:val="105"/>
          <w:sz w:val="23"/>
        </w:rPr>
        <w:t>The</w:t>
      </w:r>
      <w:r>
        <w:rPr>
          <w:rFonts w:ascii="Times New Roman"/>
          <w:spacing w:val="-10"/>
          <w:w w:val="105"/>
          <w:sz w:val="23"/>
        </w:rPr>
        <w:t> </w:t>
      </w:r>
      <w:r>
        <w:rPr>
          <w:rFonts w:ascii="Times New Roman"/>
          <w:b/>
          <w:i/>
          <w:w w:val="105"/>
          <w:sz w:val="23"/>
        </w:rPr>
        <w:t>Maine Department of Transportation,</w:t>
      </w:r>
      <w:r>
        <w:rPr>
          <w:rFonts w:ascii="Times New Roman"/>
          <w:b/>
          <w:i/>
          <w:spacing w:val="-22"/>
          <w:w w:val="105"/>
          <w:sz w:val="23"/>
        </w:rPr>
        <w:t> </w:t>
      </w:r>
      <w:r>
        <w:rPr>
          <w:rFonts w:ascii="Times New Roman"/>
          <w:w w:val="105"/>
          <w:sz w:val="23"/>
        </w:rPr>
        <w:t>in</w:t>
      </w:r>
      <w:r>
        <w:rPr>
          <w:rFonts w:ascii="Times New Roman"/>
          <w:spacing w:val="-13"/>
          <w:w w:val="105"/>
          <w:sz w:val="23"/>
        </w:rPr>
        <w:t> </w:t>
      </w:r>
      <w:r>
        <w:rPr>
          <w:rFonts w:ascii="Times New Roman"/>
          <w:w w:val="105"/>
          <w:sz w:val="23"/>
        </w:rPr>
        <w:t>consideration of</w:t>
      </w:r>
      <w:r>
        <w:rPr>
          <w:rFonts w:ascii="Times New Roman"/>
          <w:spacing w:val="-9"/>
          <w:w w:val="105"/>
          <w:sz w:val="23"/>
        </w:rPr>
        <w:t> </w:t>
      </w:r>
      <w:r>
        <w:rPr>
          <w:rFonts w:ascii="Times New Roman"/>
          <w:w w:val="105"/>
          <w:sz w:val="23"/>
        </w:rPr>
        <w:t>the</w:t>
      </w:r>
      <w:r>
        <w:rPr>
          <w:rFonts w:ascii="Times New Roman"/>
          <w:spacing w:val="-2"/>
          <w:w w:val="105"/>
          <w:sz w:val="23"/>
        </w:rPr>
        <w:t> </w:t>
      </w:r>
      <w:r>
        <w:rPr>
          <w:rFonts w:ascii="Times New Roman"/>
          <w:w w:val="105"/>
          <w:sz w:val="23"/>
        </w:rPr>
        <w:t>conveyance of</w:t>
      </w:r>
      <w:r>
        <w:rPr>
          <w:rFonts w:ascii="Times New Roman"/>
          <w:spacing w:val="-4"/>
          <w:w w:val="105"/>
          <w:sz w:val="23"/>
        </w:rPr>
        <w:t> </w:t>
      </w:r>
      <w:r>
        <w:rPr>
          <w:rFonts w:ascii="Times New Roman"/>
          <w:w w:val="105"/>
          <w:sz w:val="23"/>
        </w:rPr>
        <w:t>said lands</w:t>
      </w:r>
      <w:r>
        <w:rPr>
          <w:rFonts w:ascii="Times New Roman"/>
          <w:spacing w:val="-7"/>
          <w:w w:val="105"/>
          <w:sz w:val="23"/>
        </w:rPr>
        <w:t> </w:t>
      </w:r>
      <w:r>
        <w:rPr>
          <w:rFonts w:ascii="Times New Roman"/>
          <w:w w:val="105"/>
          <w:sz w:val="23"/>
        </w:rPr>
        <w:t>and interests in</w:t>
      </w:r>
      <w:r>
        <w:rPr>
          <w:rFonts w:ascii="Times New Roman"/>
          <w:spacing w:val="-14"/>
          <w:w w:val="105"/>
          <w:sz w:val="23"/>
        </w:rPr>
        <w:t> </w:t>
      </w:r>
      <w:r>
        <w:rPr>
          <w:rFonts w:ascii="Times New Roman"/>
          <w:w w:val="105"/>
          <w:sz w:val="23"/>
        </w:rPr>
        <w:t>lands,</w:t>
      </w:r>
      <w:r>
        <w:rPr>
          <w:rFonts w:ascii="Times New Roman"/>
          <w:spacing w:val="-5"/>
          <w:w w:val="105"/>
          <w:sz w:val="23"/>
        </w:rPr>
        <w:t> </w:t>
      </w:r>
      <w:r>
        <w:rPr>
          <w:rFonts w:ascii="Times New Roman"/>
          <w:w w:val="105"/>
          <w:sz w:val="23"/>
        </w:rPr>
        <w:t>does</w:t>
      </w:r>
      <w:r>
        <w:rPr>
          <w:rFonts w:ascii="Times New Roman"/>
          <w:spacing w:val="-1"/>
          <w:w w:val="105"/>
          <w:sz w:val="23"/>
        </w:rPr>
        <w:t> </w:t>
      </w:r>
      <w:r>
        <w:rPr>
          <w:rFonts w:ascii="Times New Roman"/>
          <w:w w:val="105"/>
          <w:sz w:val="23"/>
        </w:rPr>
        <w:t>hereby covenant and</w:t>
      </w:r>
      <w:r>
        <w:rPr>
          <w:rFonts w:ascii="Times New Roman"/>
          <w:spacing w:val="-1"/>
          <w:w w:val="105"/>
          <w:sz w:val="23"/>
        </w:rPr>
        <w:t> </w:t>
      </w:r>
      <w:r>
        <w:rPr>
          <w:rFonts w:ascii="Times New Roman"/>
          <w:w w:val="105"/>
          <w:sz w:val="23"/>
        </w:rPr>
        <w:t>agree as</w:t>
      </w:r>
      <w:r>
        <w:rPr>
          <w:rFonts w:ascii="Times New Roman"/>
          <w:spacing w:val="-7"/>
          <w:w w:val="105"/>
          <w:sz w:val="23"/>
        </w:rPr>
        <w:t> </w:t>
      </w:r>
      <w:r>
        <w:rPr>
          <w:rFonts w:ascii="Times New Roman"/>
          <w:w w:val="105"/>
          <w:sz w:val="23"/>
        </w:rPr>
        <w:t>a</w:t>
      </w:r>
      <w:r>
        <w:rPr>
          <w:rFonts w:ascii="Times New Roman"/>
          <w:spacing w:val="-7"/>
          <w:w w:val="105"/>
          <w:sz w:val="23"/>
        </w:rPr>
        <w:t> </w:t>
      </w:r>
      <w:r>
        <w:rPr>
          <w:rFonts w:ascii="Times New Roman"/>
          <w:w w:val="105"/>
          <w:sz w:val="23"/>
        </w:rPr>
        <w:t>covenant running with</w:t>
      </w:r>
      <w:r>
        <w:rPr>
          <w:rFonts w:ascii="Times New Roman"/>
          <w:spacing w:val="-9"/>
          <w:w w:val="105"/>
          <w:sz w:val="23"/>
        </w:rPr>
        <w:t> </w:t>
      </w:r>
      <w:r>
        <w:rPr>
          <w:rFonts w:ascii="Times New Roman"/>
          <w:w w:val="105"/>
          <w:sz w:val="23"/>
        </w:rPr>
        <w:t>the</w:t>
      </w:r>
      <w:r>
        <w:rPr>
          <w:rFonts w:ascii="Times New Roman"/>
          <w:spacing w:val="-10"/>
          <w:w w:val="105"/>
          <w:sz w:val="23"/>
        </w:rPr>
        <w:t> </w:t>
      </w:r>
      <w:r>
        <w:rPr>
          <w:rFonts w:ascii="Times New Roman"/>
          <w:w w:val="105"/>
          <w:sz w:val="23"/>
        </w:rPr>
        <w:t>land for</w:t>
      </w:r>
      <w:r>
        <w:rPr>
          <w:rFonts w:ascii="Times New Roman"/>
          <w:spacing w:val="-2"/>
          <w:w w:val="105"/>
          <w:sz w:val="23"/>
        </w:rPr>
        <w:t> </w:t>
      </w:r>
      <w:r>
        <w:rPr>
          <w:rFonts w:ascii="Times New Roman"/>
          <w:w w:val="105"/>
          <w:sz w:val="23"/>
        </w:rPr>
        <w:t>itself, its</w:t>
      </w:r>
      <w:r>
        <w:rPr>
          <w:rFonts w:ascii="Times New Roman"/>
          <w:spacing w:val="-9"/>
          <w:w w:val="105"/>
          <w:sz w:val="23"/>
        </w:rPr>
        <w:t> </w:t>
      </w:r>
      <w:r>
        <w:rPr>
          <w:rFonts w:ascii="Times New Roman"/>
          <w:w w:val="105"/>
          <w:sz w:val="23"/>
        </w:rPr>
        <w:t>successors and assigns, that</w:t>
      </w:r>
      <w:r>
        <w:rPr>
          <w:rFonts w:ascii="Times New Roman"/>
          <w:spacing w:val="-2"/>
          <w:w w:val="105"/>
          <w:sz w:val="23"/>
        </w:rPr>
        <w:t> </w:t>
      </w:r>
      <w:r>
        <w:rPr>
          <w:rFonts w:ascii="Times New Roman"/>
          <w:w w:val="105"/>
          <w:sz w:val="23"/>
        </w:rPr>
        <w:t>(I)</w:t>
      </w:r>
      <w:r>
        <w:rPr>
          <w:rFonts w:ascii="Times New Roman"/>
          <w:spacing w:val="40"/>
          <w:w w:val="105"/>
          <w:sz w:val="23"/>
        </w:rPr>
        <w:t> </w:t>
      </w:r>
      <w:r>
        <w:rPr>
          <w:rFonts w:ascii="Times New Roman"/>
          <w:w w:val="105"/>
          <w:sz w:val="23"/>
        </w:rPr>
        <w:t>no</w:t>
      </w:r>
      <w:r>
        <w:rPr>
          <w:rFonts w:ascii="Times New Roman"/>
          <w:spacing w:val="-2"/>
          <w:w w:val="105"/>
          <w:sz w:val="23"/>
        </w:rPr>
        <w:t> </w:t>
      </w:r>
      <w:r>
        <w:rPr>
          <w:rFonts w:ascii="Times New Roman"/>
          <w:w w:val="105"/>
          <w:sz w:val="23"/>
        </w:rPr>
        <w:t>person will on</w:t>
      </w:r>
      <w:r>
        <w:rPr>
          <w:rFonts w:ascii="Times New Roman"/>
          <w:spacing w:val="-8"/>
          <w:w w:val="105"/>
          <w:sz w:val="23"/>
        </w:rPr>
        <w:t> </w:t>
      </w:r>
      <w:r>
        <w:rPr>
          <w:rFonts w:ascii="Times New Roman"/>
          <w:w w:val="105"/>
          <w:sz w:val="23"/>
        </w:rPr>
        <w:t>the</w:t>
      </w:r>
      <w:r>
        <w:rPr>
          <w:rFonts w:ascii="Times New Roman"/>
          <w:spacing w:val="-3"/>
          <w:w w:val="105"/>
          <w:sz w:val="23"/>
        </w:rPr>
        <w:t> </w:t>
      </w:r>
      <w:r>
        <w:rPr>
          <w:rFonts w:ascii="Times New Roman"/>
          <w:w w:val="105"/>
          <w:sz w:val="23"/>
        </w:rPr>
        <w:t>grounds of race, color,</w:t>
      </w:r>
      <w:r>
        <w:rPr>
          <w:rFonts w:ascii="Times New Roman"/>
          <w:spacing w:val="-2"/>
          <w:w w:val="105"/>
          <w:sz w:val="23"/>
        </w:rPr>
        <w:t> </w:t>
      </w:r>
      <w:r>
        <w:rPr>
          <w:rFonts w:ascii="Times New Roman"/>
          <w:w w:val="105"/>
          <w:sz w:val="23"/>
        </w:rPr>
        <w:t>or national origin, be</w:t>
      </w:r>
      <w:r>
        <w:rPr>
          <w:rFonts w:ascii="Times New Roman"/>
          <w:spacing w:val="-3"/>
          <w:w w:val="105"/>
          <w:sz w:val="23"/>
        </w:rPr>
        <w:t> </w:t>
      </w:r>
      <w:r>
        <w:rPr>
          <w:rFonts w:ascii="Times New Roman"/>
          <w:w w:val="105"/>
          <w:sz w:val="23"/>
        </w:rPr>
        <w:t>excluded from participation in,</w:t>
      </w:r>
      <w:r>
        <w:rPr>
          <w:rFonts w:ascii="Times New Roman"/>
          <w:spacing w:val="-3"/>
          <w:w w:val="105"/>
          <w:sz w:val="23"/>
        </w:rPr>
        <w:t> </w:t>
      </w:r>
      <w:r>
        <w:rPr>
          <w:rFonts w:ascii="Times New Roman"/>
          <w:w w:val="105"/>
          <w:sz w:val="23"/>
        </w:rPr>
        <w:t>be</w:t>
      </w:r>
      <w:r>
        <w:rPr>
          <w:rFonts w:ascii="Times New Roman"/>
          <w:spacing w:val="-5"/>
          <w:w w:val="105"/>
          <w:sz w:val="23"/>
        </w:rPr>
        <w:t> </w:t>
      </w:r>
      <w:r>
        <w:rPr>
          <w:rFonts w:ascii="Times New Roman"/>
          <w:w w:val="105"/>
          <w:sz w:val="23"/>
        </w:rPr>
        <w:t>denied</w:t>
      </w:r>
      <w:r>
        <w:rPr>
          <w:rFonts w:ascii="Times New Roman"/>
          <w:spacing w:val="-1"/>
          <w:w w:val="105"/>
          <w:sz w:val="23"/>
        </w:rPr>
        <w:t> </w:t>
      </w:r>
      <w:r>
        <w:rPr>
          <w:rFonts w:ascii="Times New Roman"/>
          <w:w w:val="105"/>
          <w:sz w:val="23"/>
        </w:rPr>
        <w:t>the benefits of,</w:t>
      </w:r>
      <w:r>
        <w:rPr>
          <w:rFonts w:ascii="Times New Roman"/>
          <w:spacing w:val="-5"/>
          <w:w w:val="105"/>
          <w:sz w:val="23"/>
        </w:rPr>
        <w:t> </w:t>
      </w:r>
      <w:r>
        <w:rPr>
          <w:rFonts w:ascii="Times New Roman"/>
          <w:w w:val="105"/>
          <w:sz w:val="23"/>
        </w:rPr>
        <w:t>or be</w:t>
      </w:r>
      <w:r>
        <w:rPr>
          <w:rFonts w:ascii="Times New Roman"/>
          <w:spacing w:val="-6"/>
          <w:w w:val="105"/>
          <w:sz w:val="23"/>
        </w:rPr>
        <w:t> </w:t>
      </w:r>
      <w:r>
        <w:rPr>
          <w:rFonts w:ascii="Times New Roman"/>
          <w:w w:val="105"/>
          <w:sz w:val="23"/>
        </w:rPr>
        <w:t>otherwise subjected to</w:t>
      </w:r>
      <w:r>
        <w:rPr>
          <w:rFonts w:ascii="Times New Roman"/>
          <w:spacing w:val="-8"/>
          <w:w w:val="105"/>
          <w:sz w:val="23"/>
        </w:rPr>
        <w:t> </w:t>
      </w:r>
      <w:r>
        <w:rPr>
          <w:rFonts w:ascii="Times New Roman"/>
          <w:w w:val="105"/>
          <w:sz w:val="23"/>
        </w:rPr>
        <w:t>discrimination</w:t>
      </w:r>
      <w:r>
        <w:rPr>
          <w:rFonts w:ascii="Times New Roman"/>
          <w:spacing w:val="40"/>
          <w:w w:val="105"/>
          <w:sz w:val="23"/>
        </w:rPr>
        <w:t> </w:t>
      </w:r>
      <w:r>
        <w:rPr>
          <w:rFonts w:ascii="Times New Roman"/>
          <w:w w:val="105"/>
          <w:sz w:val="23"/>
        </w:rPr>
        <w:t>with regard to</w:t>
      </w:r>
      <w:r>
        <w:rPr>
          <w:rFonts w:ascii="Times New Roman"/>
          <w:spacing w:val="-9"/>
          <w:w w:val="105"/>
          <w:sz w:val="23"/>
        </w:rPr>
        <w:t> </w:t>
      </w:r>
      <w:r>
        <w:rPr>
          <w:rFonts w:ascii="Times New Roman"/>
          <w:w w:val="105"/>
          <w:sz w:val="23"/>
        </w:rPr>
        <w:t>any facility located wholly or in pait on, over, or under such lands hereby conveyed[,] [and]* (2) that the </w:t>
      </w:r>
      <w:r>
        <w:rPr>
          <w:rFonts w:ascii="Times New Roman"/>
          <w:b/>
          <w:i/>
          <w:w w:val="105"/>
          <w:sz w:val="23"/>
        </w:rPr>
        <w:t>Maine</w:t>
      </w:r>
      <w:r>
        <w:rPr>
          <w:rFonts w:ascii="Times New Roman"/>
          <w:b/>
          <w:i/>
          <w:spacing w:val="-10"/>
          <w:w w:val="105"/>
          <w:sz w:val="23"/>
        </w:rPr>
        <w:t> </w:t>
      </w:r>
      <w:r>
        <w:rPr>
          <w:rFonts w:ascii="Times New Roman"/>
          <w:b/>
          <w:i/>
          <w:w w:val="105"/>
          <w:sz w:val="23"/>
        </w:rPr>
        <w:t>Department</w:t>
      </w:r>
      <w:r>
        <w:rPr>
          <w:rFonts w:ascii="Times New Roman"/>
          <w:b/>
          <w:i/>
          <w:spacing w:val="-3"/>
          <w:w w:val="105"/>
          <w:sz w:val="23"/>
        </w:rPr>
        <w:t> </w:t>
      </w:r>
      <w:r>
        <w:rPr>
          <w:rFonts w:ascii="Times New Roman"/>
          <w:b/>
          <w:i/>
          <w:w w:val="105"/>
          <w:sz w:val="23"/>
        </w:rPr>
        <w:t>of</w:t>
      </w:r>
      <w:r>
        <w:rPr>
          <w:rFonts w:ascii="Times New Roman"/>
          <w:b/>
          <w:i/>
          <w:spacing w:val="-9"/>
          <w:w w:val="105"/>
          <w:sz w:val="23"/>
        </w:rPr>
        <w:t> </w:t>
      </w:r>
      <w:r>
        <w:rPr>
          <w:rFonts w:ascii="Times New Roman"/>
          <w:b/>
          <w:i/>
          <w:w w:val="105"/>
          <w:sz w:val="23"/>
        </w:rPr>
        <w:t>Tra11sportatio11</w:t>
      </w:r>
      <w:r>
        <w:rPr>
          <w:rFonts w:ascii="Times New Roman"/>
          <w:b/>
          <w:i/>
          <w:spacing w:val="-12"/>
          <w:w w:val="105"/>
          <w:sz w:val="23"/>
        </w:rPr>
        <w:t> </w:t>
      </w:r>
      <w:r>
        <w:rPr>
          <w:rFonts w:ascii="Times New Roman"/>
          <w:w w:val="105"/>
          <w:sz w:val="23"/>
        </w:rPr>
        <w:t>will</w:t>
      </w:r>
      <w:r>
        <w:rPr>
          <w:rFonts w:ascii="Times New Roman"/>
          <w:spacing w:val="-6"/>
          <w:w w:val="105"/>
          <w:sz w:val="23"/>
        </w:rPr>
        <w:t> </w:t>
      </w:r>
      <w:r>
        <w:rPr>
          <w:rFonts w:ascii="Times New Roman"/>
          <w:w w:val="105"/>
          <w:sz w:val="23"/>
        </w:rPr>
        <w:t>use</w:t>
      </w:r>
      <w:r>
        <w:rPr>
          <w:rFonts w:ascii="Times New Roman"/>
          <w:spacing w:val="-16"/>
          <w:w w:val="105"/>
          <w:sz w:val="23"/>
        </w:rPr>
        <w:t> </w:t>
      </w:r>
      <w:r>
        <w:rPr>
          <w:rFonts w:ascii="Times New Roman"/>
          <w:w w:val="105"/>
          <w:sz w:val="23"/>
        </w:rPr>
        <w:t>the</w:t>
      </w:r>
      <w:r>
        <w:rPr>
          <w:rFonts w:ascii="Times New Roman"/>
          <w:spacing w:val="-15"/>
          <w:w w:val="105"/>
          <w:sz w:val="23"/>
        </w:rPr>
        <w:t> </w:t>
      </w:r>
      <w:r>
        <w:rPr>
          <w:rFonts w:ascii="Times New Roman"/>
          <w:w w:val="105"/>
          <w:sz w:val="23"/>
        </w:rPr>
        <w:t>lands</w:t>
      </w:r>
      <w:r>
        <w:rPr>
          <w:rFonts w:ascii="Times New Roman"/>
          <w:spacing w:val="-10"/>
          <w:w w:val="105"/>
          <w:sz w:val="23"/>
        </w:rPr>
        <w:t> </w:t>
      </w:r>
      <w:r>
        <w:rPr>
          <w:rFonts w:ascii="Times New Roman"/>
          <w:w w:val="105"/>
          <w:sz w:val="23"/>
        </w:rPr>
        <w:t>and</w:t>
      </w:r>
      <w:r>
        <w:rPr>
          <w:rFonts w:ascii="Times New Roman"/>
          <w:spacing w:val="-3"/>
          <w:w w:val="105"/>
          <w:sz w:val="23"/>
        </w:rPr>
        <w:t> </w:t>
      </w:r>
      <w:r>
        <w:rPr>
          <w:rFonts w:ascii="Times New Roman"/>
          <w:w w:val="105"/>
          <w:sz w:val="23"/>
        </w:rPr>
        <w:t>interests</w:t>
      </w:r>
      <w:r>
        <w:rPr>
          <w:rFonts w:ascii="Times New Roman"/>
          <w:spacing w:val="-7"/>
          <w:w w:val="105"/>
          <w:sz w:val="23"/>
        </w:rPr>
        <w:t> </w:t>
      </w:r>
      <w:r>
        <w:rPr>
          <w:rFonts w:ascii="Times New Roman"/>
          <w:w w:val="105"/>
          <w:sz w:val="23"/>
        </w:rPr>
        <w:t>in</w:t>
      </w:r>
      <w:r>
        <w:rPr>
          <w:rFonts w:ascii="Times New Roman"/>
          <w:spacing w:val="-13"/>
          <w:w w:val="105"/>
          <w:sz w:val="23"/>
        </w:rPr>
        <w:t> </w:t>
      </w:r>
      <w:r>
        <w:rPr>
          <w:rFonts w:ascii="Times New Roman"/>
          <w:w w:val="105"/>
          <w:sz w:val="23"/>
        </w:rPr>
        <w:t>lands</w:t>
      </w:r>
      <w:r>
        <w:rPr>
          <w:rFonts w:ascii="Times New Roman"/>
          <w:spacing w:val="-15"/>
          <w:w w:val="105"/>
          <w:sz w:val="23"/>
        </w:rPr>
        <w:t> </w:t>
      </w:r>
      <w:r>
        <w:rPr>
          <w:rFonts w:ascii="Times New Roman"/>
          <w:w w:val="105"/>
          <w:sz w:val="23"/>
        </w:rPr>
        <w:t>and</w:t>
      </w:r>
      <w:r>
        <w:rPr>
          <w:rFonts w:ascii="Times New Roman"/>
          <w:spacing w:val="-3"/>
          <w:w w:val="105"/>
          <w:sz w:val="23"/>
        </w:rPr>
        <w:t> </w:t>
      </w:r>
      <w:r>
        <w:rPr>
          <w:rFonts w:ascii="Times New Roman"/>
          <w:w w:val="105"/>
          <w:sz w:val="23"/>
        </w:rPr>
        <w:t>interests</w:t>
      </w:r>
      <w:r>
        <w:rPr>
          <w:rFonts w:ascii="Times New Roman"/>
          <w:spacing w:val="-13"/>
          <w:w w:val="105"/>
          <w:sz w:val="23"/>
        </w:rPr>
        <w:t> </w:t>
      </w:r>
      <w:r>
        <w:rPr>
          <w:rFonts w:ascii="Times New Roman"/>
          <w:w w:val="105"/>
          <w:sz w:val="23"/>
        </w:rPr>
        <w:t>in</w:t>
      </w:r>
      <w:r>
        <w:rPr>
          <w:rFonts w:ascii="Times New Roman"/>
          <w:spacing w:val="-16"/>
          <w:w w:val="105"/>
          <w:sz w:val="23"/>
        </w:rPr>
        <w:t> </w:t>
      </w:r>
      <w:r>
        <w:rPr>
          <w:rFonts w:ascii="Times New Roman"/>
          <w:w w:val="105"/>
          <w:sz w:val="23"/>
        </w:rPr>
        <w:t>lands</w:t>
      </w:r>
      <w:r>
        <w:rPr>
          <w:rFonts w:ascii="Times New Roman"/>
          <w:spacing w:val="-12"/>
          <w:w w:val="105"/>
          <w:sz w:val="23"/>
        </w:rPr>
        <w:t> </w:t>
      </w:r>
      <w:r>
        <w:rPr>
          <w:rFonts w:ascii="Times New Roman"/>
          <w:w w:val="105"/>
          <w:sz w:val="23"/>
        </w:rPr>
        <w:t>so conveyed, in</w:t>
      </w:r>
      <w:r>
        <w:rPr>
          <w:rFonts w:ascii="Times New Roman"/>
          <w:spacing w:val="-1"/>
          <w:w w:val="105"/>
          <w:sz w:val="23"/>
        </w:rPr>
        <w:t> </w:t>
      </w:r>
      <w:r>
        <w:rPr>
          <w:rFonts w:ascii="Times New Roman"/>
          <w:w w:val="105"/>
          <w:sz w:val="23"/>
        </w:rPr>
        <w:t>compliance with</w:t>
      </w:r>
      <w:r>
        <w:rPr>
          <w:rFonts w:ascii="Times New Roman"/>
          <w:spacing w:val="-3"/>
          <w:w w:val="105"/>
          <w:sz w:val="23"/>
        </w:rPr>
        <w:t> </w:t>
      </w:r>
      <w:r>
        <w:rPr>
          <w:rFonts w:ascii="Times New Roman"/>
          <w:w w:val="105"/>
          <w:sz w:val="23"/>
        </w:rPr>
        <w:t>all requirements imposed by or pursuant to</w:t>
      </w:r>
      <w:r>
        <w:rPr>
          <w:rFonts w:ascii="Times New Roman"/>
          <w:spacing w:val="-8"/>
          <w:w w:val="105"/>
          <w:sz w:val="23"/>
        </w:rPr>
        <w:t> </w:t>
      </w:r>
      <w:r>
        <w:rPr>
          <w:rFonts w:ascii="Times New Roman"/>
          <w:w w:val="105"/>
          <w:sz w:val="23"/>
        </w:rPr>
        <w:t>Title</w:t>
      </w:r>
      <w:r>
        <w:rPr>
          <w:rFonts w:ascii="Times New Roman"/>
          <w:spacing w:val="-6"/>
          <w:w w:val="105"/>
          <w:sz w:val="23"/>
        </w:rPr>
        <w:t> </w:t>
      </w:r>
      <w:r>
        <w:rPr>
          <w:rFonts w:ascii="Times New Roman"/>
          <w:w w:val="105"/>
          <w:sz w:val="23"/>
        </w:rPr>
        <w:t>49,</w:t>
      </w:r>
      <w:r>
        <w:rPr>
          <w:rFonts w:ascii="Times New Roman"/>
          <w:spacing w:val="-3"/>
          <w:w w:val="105"/>
          <w:sz w:val="23"/>
        </w:rPr>
        <w:t> </w:t>
      </w:r>
      <w:r>
        <w:rPr>
          <w:rFonts w:ascii="Times New Roman"/>
          <w:w w:val="105"/>
          <w:sz w:val="23"/>
        </w:rPr>
        <w:t>Code of Federal Regulations, US. Depa1tment ofTranspmtation,</w:t>
      </w:r>
      <w:r>
        <w:rPr>
          <w:rFonts w:ascii="Times New Roman"/>
          <w:spacing w:val="-1"/>
          <w:w w:val="105"/>
          <w:sz w:val="23"/>
        </w:rPr>
        <w:t> </w:t>
      </w:r>
      <w:r>
        <w:rPr>
          <w:rFonts w:ascii="Times New Roman"/>
          <w:w w:val="105"/>
          <w:sz w:val="23"/>
        </w:rPr>
        <w:t>Subtitle A, Office of the Secretary, Part 21, Nondiscrimination</w:t>
      </w:r>
      <w:r>
        <w:rPr>
          <w:rFonts w:ascii="Times New Roman"/>
          <w:spacing w:val="-17"/>
          <w:w w:val="105"/>
          <w:sz w:val="23"/>
        </w:rPr>
        <w:t> </w:t>
      </w:r>
      <w:r>
        <w:rPr>
          <w:rFonts w:ascii="Times New Roman"/>
          <w:w w:val="105"/>
          <w:sz w:val="23"/>
        </w:rPr>
        <w:t>in</w:t>
      </w:r>
      <w:r>
        <w:rPr>
          <w:rFonts w:ascii="Times New Roman"/>
          <w:spacing w:val="-15"/>
          <w:w w:val="105"/>
          <w:sz w:val="23"/>
        </w:rPr>
        <w:t> </w:t>
      </w:r>
      <w:r>
        <w:rPr>
          <w:rFonts w:ascii="Times New Roman"/>
          <w:w w:val="105"/>
          <w:sz w:val="23"/>
        </w:rPr>
        <w:t>Federally-assisted</w:t>
      </w:r>
      <w:r>
        <w:rPr>
          <w:rFonts w:ascii="Times New Roman"/>
          <w:spacing w:val="-9"/>
          <w:w w:val="105"/>
          <w:sz w:val="23"/>
        </w:rPr>
        <w:t> </w:t>
      </w:r>
      <w:r>
        <w:rPr>
          <w:rFonts w:ascii="Times New Roman"/>
          <w:w w:val="105"/>
          <w:sz w:val="23"/>
        </w:rPr>
        <w:t>programs of</w:t>
      </w:r>
      <w:r>
        <w:rPr>
          <w:rFonts w:ascii="Times New Roman"/>
          <w:spacing w:val="-12"/>
          <w:w w:val="105"/>
          <w:sz w:val="23"/>
        </w:rPr>
        <w:t> </w:t>
      </w:r>
      <w:r>
        <w:rPr>
          <w:rFonts w:ascii="Times New Roman"/>
          <w:w w:val="105"/>
          <w:sz w:val="23"/>
        </w:rPr>
        <w:t>the</w:t>
      </w:r>
      <w:r>
        <w:rPr>
          <w:rFonts w:ascii="Times New Roman"/>
          <w:spacing w:val="-6"/>
          <w:w w:val="105"/>
          <w:sz w:val="23"/>
        </w:rPr>
        <w:t> </w:t>
      </w:r>
      <w:r>
        <w:rPr>
          <w:rFonts w:ascii="Times New Roman"/>
          <w:w w:val="105"/>
          <w:sz w:val="23"/>
        </w:rPr>
        <w:t>U.S.</w:t>
      </w:r>
      <w:r>
        <w:rPr>
          <w:rFonts w:ascii="Times New Roman"/>
          <w:spacing w:val="40"/>
          <w:w w:val="105"/>
          <w:sz w:val="23"/>
        </w:rPr>
        <w:t> </w:t>
      </w:r>
      <w:r>
        <w:rPr>
          <w:rFonts w:ascii="Times New Roman"/>
          <w:w w:val="105"/>
          <w:sz w:val="23"/>
        </w:rPr>
        <w:t>Department</w:t>
      </w:r>
      <w:r>
        <w:rPr>
          <w:rFonts w:ascii="Times New Roman"/>
          <w:spacing w:val="13"/>
          <w:w w:val="105"/>
          <w:sz w:val="23"/>
        </w:rPr>
        <w:t> </w:t>
      </w:r>
      <w:r>
        <w:rPr>
          <w:rFonts w:ascii="Times New Roman"/>
          <w:w w:val="105"/>
          <w:sz w:val="23"/>
        </w:rPr>
        <w:t>of</w:t>
      </w:r>
      <w:r>
        <w:rPr>
          <w:rFonts w:ascii="Times New Roman"/>
          <w:spacing w:val="-16"/>
          <w:w w:val="105"/>
          <w:sz w:val="23"/>
        </w:rPr>
        <w:t> </w:t>
      </w:r>
      <w:r>
        <w:rPr>
          <w:rFonts w:ascii="Times New Roman"/>
          <w:w w:val="105"/>
          <w:sz w:val="23"/>
        </w:rPr>
        <w:t>Transportation,</w:t>
      </w:r>
      <w:r>
        <w:rPr>
          <w:rFonts w:ascii="Times New Roman"/>
          <w:spacing w:val="-15"/>
          <w:w w:val="105"/>
          <w:sz w:val="23"/>
        </w:rPr>
        <w:t> </w:t>
      </w:r>
      <w:r>
        <w:rPr>
          <w:rFonts w:ascii="Times New Roman"/>
          <w:w w:val="105"/>
          <w:sz w:val="23"/>
        </w:rPr>
        <w:t>Effectuation of</w:t>
      </w:r>
      <w:r>
        <w:rPr>
          <w:rFonts w:ascii="Times New Roman"/>
          <w:spacing w:val="-9"/>
          <w:w w:val="105"/>
          <w:sz w:val="23"/>
        </w:rPr>
        <w:t> </w:t>
      </w:r>
      <w:r>
        <w:rPr>
          <w:rFonts w:ascii="Times New Roman"/>
          <w:w w:val="105"/>
          <w:sz w:val="23"/>
        </w:rPr>
        <w:t>Title VI of</w:t>
      </w:r>
      <w:r>
        <w:rPr>
          <w:rFonts w:ascii="Times New Roman"/>
          <w:spacing w:val="-4"/>
          <w:w w:val="105"/>
          <w:sz w:val="23"/>
        </w:rPr>
        <w:t> </w:t>
      </w:r>
      <w:r>
        <w:rPr>
          <w:rFonts w:ascii="Times New Roman"/>
          <w:w w:val="105"/>
          <w:sz w:val="23"/>
        </w:rPr>
        <w:t>the Civil Rights</w:t>
      </w:r>
      <w:r>
        <w:rPr>
          <w:rFonts w:ascii="Times New Roman"/>
          <w:spacing w:val="-3"/>
          <w:w w:val="105"/>
          <w:sz w:val="23"/>
        </w:rPr>
        <w:t> </w:t>
      </w:r>
      <w:r>
        <w:rPr>
          <w:rFonts w:ascii="Times New Roman"/>
          <w:w w:val="105"/>
          <w:sz w:val="23"/>
        </w:rPr>
        <w:t>Act of 1964, and</w:t>
      </w:r>
      <w:r>
        <w:rPr>
          <w:rFonts w:ascii="Times New Roman"/>
          <w:spacing w:val="-1"/>
          <w:w w:val="105"/>
          <w:sz w:val="23"/>
        </w:rPr>
        <w:t> </w:t>
      </w:r>
      <w:r>
        <w:rPr>
          <w:rFonts w:ascii="Times New Roman"/>
          <w:w w:val="105"/>
          <w:sz w:val="23"/>
        </w:rPr>
        <w:t>as</w:t>
      </w:r>
      <w:r>
        <w:rPr>
          <w:rFonts w:ascii="Times New Roman"/>
          <w:spacing w:val="-12"/>
          <w:w w:val="105"/>
          <w:sz w:val="23"/>
        </w:rPr>
        <w:t> </w:t>
      </w:r>
      <w:r>
        <w:rPr>
          <w:rFonts w:ascii="Times New Roman"/>
          <w:w w:val="105"/>
          <w:sz w:val="23"/>
        </w:rPr>
        <w:t>said Regulations and Acts</w:t>
      </w:r>
      <w:r>
        <w:rPr>
          <w:rFonts w:ascii="Times New Roman"/>
          <w:spacing w:val="-5"/>
          <w:w w:val="105"/>
          <w:sz w:val="23"/>
        </w:rPr>
        <w:t> </w:t>
      </w:r>
      <w:r>
        <w:rPr>
          <w:rFonts w:ascii="Times New Roman"/>
          <w:w w:val="105"/>
          <w:sz w:val="23"/>
        </w:rPr>
        <w:t>may be</w:t>
      </w:r>
      <w:r>
        <w:rPr>
          <w:rFonts w:ascii="Times New Roman"/>
          <w:spacing w:val="-4"/>
          <w:w w:val="105"/>
          <w:sz w:val="23"/>
        </w:rPr>
        <w:t> </w:t>
      </w:r>
      <w:r>
        <w:rPr>
          <w:rFonts w:ascii="Times New Roman"/>
          <w:w w:val="105"/>
          <w:sz w:val="23"/>
        </w:rPr>
        <w:t>amended [i</w:t>
      </w:r>
      <w:r>
        <w:rPr>
          <w:rFonts w:ascii="Times New Roman"/>
          <w:spacing w:val="-8"/>
          <w:w w:val="105"/>
          <w:sz w:val="23"/>
        </w:rPr>
        <w:t> </w:t>
      </w:r>
      <w:r>
        <w:rPr>
          <w:rFonts w:ascii="Times New Roman"/>
          <w:w w:val="105"/>
          <w:sz w:val="23"/>
        </w:rPr>
        <w:t>and (3) that in the</w:t>
      </w:r>
      <w:r>
        <w:rPr>
          <w:rFonts w:ascii="Times New Roman"/>
          <w:spacing w:val="-4"/>
          <w:w w:val="105"/>
          <w:sz w:val="23"/>
        </w:rPr>
        <w:t> </w:t>
      </w:r>
      <w:r>
        <w:rPr>
          <w:rFonts w:ascii="Times New Roman"/>
          <w:w w:val="105"/>
          <w:sz w:val="23"/>
        </w:rPr>
        <w:t>event of breach of any of the above-mentioned non-discrimination</w:t>
      </w:r>
      <w:r>
        <w:rPr>
          <w:rFonts w:ascii="Times New Roman"/>
          <w:spacing w:val="-9"/>
          <w:w w:val="105"/>
          <w:sz w:val="23"/>
        </w:rPr>
        <w:t> </w:t>
      </w:r>
      <w:r>
        <w:rPr>
          <w:rFonts w:ascii="Times New Roman"/>
          <w:w w:val="105"/>
          <w:sz w:val="23"/>
        </w:rPr>
        <w:t>conditions, the Department will have</w:t>
      </w:r>
      <w:r>
        <w:rPr>
          <w:rFonts w:ascii="Times New Roman"/>
          <w:spacing w:val="-3"/>
          <w:w w:val="105"/>
          <w:sz w:val="23"/>
        </w:rPr>
        <w:t> </w:t>
      </w:r>
      <w:r>
        <w:rPr>
          <w:rFonts w:ascii="Times New Roman"/>
          <w:w w:val="105"/>
          <w:sz w:val="23"/>
        </w:rPr>
        <w:t>a</w:t>
      </w:r>
      <w:r>
        <w:rPr>
          <w:rFonts w:ascii="Times New Roman"/>
          <w:spacing w:val="-2"/>
          <w:w w:val="105"/>
          <w:sz w:val="23"/>
        </w:rPr>
        <w:t> </w:t>
      </w:r>
      <w:r>
        <w:rPr>
          <w:rFonts w:ascii="Times New Roman"/>
          <w:w w:val="105"/>
          <w:sz w:val="23"/>
        </w:rPr>
        <w:t>right to</w:t>
      </w:r>
      <w:r>
        <w:rPr>
          <w:rFonts w:ascii="Times New Roman"/>
          <w:spacing w:val="-9"/>
          <w:w w:val="105"/>
          <w:sz w:val="23"/>
        </w:rPr>
        <w:t> </w:t>
      </w:r>
      <w:r>
        <w:rPr>
          <w:rFonts w:ascii="Times New Roman"/>
          <w:w w:val="105"/>
          <w:sz w:val="23"/>
        </w:rPr>
        <w:t>enter</w:t>
      </w:r>
      <w:r>
        <w:rPr>
          <w:rFonts w:ascii="Times New Roman"/>
          <w:spacing w:val="-2"/>
          <w:w w:val="105"/>
          <w:sz w:val="23"/>
        </w:rPr>
        <w:t> </w:t>
      </w:r>
      <w:r>
        <w:rPr>
          <w:rFonts w:ascii="Times New Roman"/>
          <w:w w:val="105"/>
          <w:sz w:val="23"/>
        </w:rPr>
        <w:t>or re-enter said lands and facilities on</w:t>
      </w:r>
      <w:r>
        <w:rPr>
          <w:rFonts w:ascii="Times New Roman"/>
          <w:spacing w:val="-5"/>
          <w:w w:val="105"/>
          <w:sz w:val="23"/>
        </w:rPr>
        <w:t> </w:t>
      </w:r>
      <w:r>
        <w:rPr>
          <w:rFonts w:ascii="Times New Roman"/>
          <w:w w:val="105"/>
          <w:sz w:val="23"/>
        </w:rPr>
        <w:t>said land, and</w:t>
      </w:r>
      <w:r>
        <w:rPr>
          <w:rFonts w:ascii="Times New Roman"/>
          <w:spacing w:val="-4"/>
          <w:w w:val="105"/>
          <w:sz w:val="23"/>
        </w:rPr>
        <w:t> </w:t>
      </w:r>
      <w:r>
        <w:rPr>
          <w:rFonts w:ascii="Times New Roman"/>
          <w:w w:val="105"/>
          <w:sz w:val="23"/>
        </w:rPr>
        <w:t>that above described</w:t>
      </w:r>
      <w:r>
        <w:rPr>
          <w:rFonts w:ascii="Times New Roman"/>
          <w:spacing w:val="19"/>
          <w:w w:val="105"/>
          <w:sz w:val="23"/>
        </w:rPr>
        <w:t> </w:t>
      </w:r>
      <w:r>
        <w:rPr>
          <w:rFonts w:ascii="Times New Roman"/>
          <w:w w:val="105"/>
          <w:sz w:val="23"/>
        </w:rPr>
        <w:t>land and facilities will thereon revert to and vest in and become the absolute property of</w:t>
      </w:r>
      <w:r>
        <w:rPr>
          <w:rFonts w:ascii="Times New Roman"/>
          <w:spacing w:val="-2"/>
          <w:w w:val="105"/>
          <w:sz w:val="23"/>
        </w:rPr>
        <w:t> </w:t>
      </w:r>
      <w:r>
        <w:rPr>
          <w:rFonts w:ascii="Times New Roman"/>
          <w:w w:val="105"/>
          <w:sz w:val="23"/>
        </w:rPr>
        <w:t>the</w:t>
      </w:r>
      <w:r>
        <w:rPr>
          <w:rFonts w:ascii="Times New Roman"/>
          <w:spacing w:val="-3"/>
          <w:w w:val="105"/>
          <w:sz w:val="23"/>
        </w:rPr>
        <w:t> </w:t>
      </w:r>
      <w:r>
        <w:rPr>
          <w:rFonts w:ascii="Times New Roman"/>
          <w:w w:val="105"/>
          <w:sz w:val="23"/>
        </w:rPr>
        <w:t>U.S. Depattment of Transportation and its assigns as</w:t>
      </w:r>
      <w:r>
        <w:rPr>
          <w:rFonts w:ascii="Times New Roman"/>
          <w:spacing w:val="-7"/>
          <w:w w:val="105"/>
          <w:sz w:val="23"/>
        </w:rPr>
        <w:t> </w:t>
      </w:r>
      <w:r>
        <w:rPr>
          <w:rFonts w:ascii="Times New Roman"/>
          <w:w w:val="105"/>
          <w:sz w:val="23"/>
        </w:rPr>
        <w:t>such interest existed prior to</w:t>
      </w:r>
      <w:r>
        <w:rPr>
          <w:rFonts w:ascii="Times New Roman"/>
          <w:spacing w:val="-4"/>
          <w:w w:val="105"/>
          <w:sz w:val="23"/>
        </w:rPr>
        <w:t> </w:t>
      </w:r>
      <w:r>
        <w:rPr>
          <w:rFonts w:ascii="Times New Roman"/>
          <w:w w:val="105"/>
          <w:sz w:val="23"/>
        </w:rPr>
        <w:t>this instruction].*</w:t>
      </w:r>
    </w:p>
    <w:p>
      <w:pPr>
        <w:pStyle w:val="BodyText"/>
        <w:rPr>
          <w:rFonts w:ascii="Times New Roman"/>
        </w:rPr>
      </w:pPr>
    </w:p>
    <w:p>
      <w:pPr>
        <w:spacing w:line="261" w:lineRule="auto" w:before="0"/>
        <w:ind w:left="343" w:right="935" w:hanging="1"/>
        <w:jc w:val="left"/>
        <w:rPr>
          <w:rFonts w:ascii="Times New Roman"/>
          <w:sz w:val="23"/>
        </w:rPr>
      </w:pPr>
      <w:r>
        <w:rPr>
          <w:rFonts w:ascii="Times New Roman"/>
          <w:w w:val="105"/>
          <w:sz w:val="23"/>
        </w:rPr>
        <w:t>(*Reverter</w:t>
      </w:r>
      <w:r>
        <w:rPr>
          <w:rFonts w:ascii="Times New Roman"/>
          <w:spacing w:val="-2"/>
          <w:w w:val="105"/>
          <w:sz w:val="23"/>
        </w:rPr>
        <w:t> </w:t>
      </w:r>
      <w:r>
        <w:rPr>
          <w:rFonts w:ascii="Times New Roman"/>
          <w:w w:val="105"/>
          <w:sz w:val="23"/>
        </w:rPr>
        <w:t>clause</w:t>
      </w:r>
      <w:r>
        <w:rPr>
          <w:rFonts w:ascii="Times New Roman"/>
          <w:spacing w:val="-3"/>
          <w:w w:val="105"/>
          <w:sz w:val="23"/>
        </w:rPr>
        <w:t> </w:t>
      </w:r>
      <w:r>
        <w:rPr>
          <w:rFonts w:ascii="Times New Roman"/>
          <w:w w:val="105"/>
          <w:sz w:val="23"/>
        </w:rPr>
        <w:t>and</w:t>
      </w:r>
      <w:r>
        <w:rPr>
          <w:rFonts w:ascii="Times New Roman"/>
          <w:spacing w:val="-6"/>
          <w:w w:val="105"/>
          <w:sz w:val="23"/>
        </w:rPr>
        <w:t> </w:t>
      </w:r>
      <w:r>
        <w:rPr>
          <w:rFonts w:ascii="Times New Roman"/>
          <w:w w:val="105"/>
          <w:sz w:val="23"/>
        </w:rPr>
        <w:t>related</w:t>
      </w:r>
      <w:r>
        <w:rPr>
          <w:rFonts w:ascii="Times New Roman"/>
          <w:spacing w:val="-1"/>
          <w:w w:val="105"/>
          <w:sz w:val="23"/>
        </w:rPr>
        <w:t> </w:t>
      </w:r>
      <w:r>
        <w:rPr>
          <w:rFonts w:ascii="Times New Roman"/>
          <w:w w:val="105"/>
          <w:sz w:val="23"/>
        </w:rPr>
        <w:t>language to</w:t>
      </w:r>
      <w:r>
        <w:rPr>
          <w:rFonts w:ascii="Times New Roman"/>
          <w:spacing w:val="-9"/>
          <w:w w:val="105"/>
          <w:sz w:val="23"/>
        </w:rPr>
        <w:t> </w:t>
      </w:r>
      <w:r>
        <w:rPr>
          <w:rFonts w:ascii="Times New Roman"/>
          <w:w w:val="105"/>
          <w:sz w:val="23"/>
        </w:rPr>
        <w:t>be</w:t>
      </w:r>
      <w:r>
        <w:rPr>
          <w:rFonts w:ascii="Times New Roman"/>
          <w:spacing w:val="-2"/>
          <w:w w:val="105"/>
          <w:sz w:val="23"/>
        </w:rPr>
        <w:t> </w:t>
      </w:r>
      <w:r>
        <w:rPr>
          <w:rFonts w:ascii="Times New Roman"/>
          <w:w w:val="105"/>
          <w:sz w:val="23"/>
        </w:rPr>
        <w:t>used</w:t>
      </w:r>
      <w:r>
        <w:rPr>
          <w:rFonts w:ascii="Times New Roman"/>
          <w:spacing w:val="-2"/>
          <w:w w:val="105"/>
          <w:sz w:val="23"/>
        </w:rPr>
        <w:t> </w:t>
      </w:r>
      <w:r>
        <w:rPr>
          <w:rFonts w:ascii="Times New Roman"/>
          <w:w w:val="105"/>
          <w:sz w:val="23"/>
        </w:rPr>
        <w:t>only</w:t>
      </w:r>
      <w:r>
        <w:rPr>
          <w:rFonts w:ascii="Times New Roman"/>
          <w:spacing w:val="-2"/>
          <w:w w:val="105"/>
          <w:sz w:val="23"/>
        </w:rPr>
        <w:t> </w:t>
      </w:r>
      <w:r>
        <w:rPr>
          <w:rFonts w:ascii="Times New Roman"/>
          <w:w w:val="105"/>
          <w:sz w:val="23"/>
        </w:rPr>
        <w:t>when</w:t>
      </w:r>
      <w:r>
        <w:rPr>
          <w:rFonts w:ascii="Times New Roman"/>
          <w:spacing w:val="-9"/>
          <w:w w:val="105"/>
          <w:sz w:val="23"/>
        </w:rPr>
        <w:t> </w:t>
      </w:r>
      <w:r>
        <w:rPr>
          <w:rFonts w:ascii="Times New Roman"/>
          <w:w w:val="105"/>
          <w:sz w:val="23"/>
        </w:rPr>
        <w:t>it</w:t>
      </w:r>
      <w:r>
        <w:rPr>
          <w:rFonts w:ascii="Times New Roman"/>
          <w:spacing w:val="-9"/>
          <w:w w:val="105"/>
          <w:sz w:val="23"/>
        </w:rPr>
        <w:t> </w:t>
      </w:r>
      <w:r>
        <w:rPr>
          <w:rFonts w:ascii="Times New Roman"/>
          <w:w w:val="105"/>
          <w:sz w:val="23"/>
        </w:rPr>
        <w:t>is</w:t>
      </w:r>
      <w:r>
        <w:rPr>
          <w:rFonts w:ascii="Times New Roman"/>
          <w:spacing w:val="-16"/>
          <w:w w:val="105"/>
          <w:sz w:val="23"/>
        </w:rPr>
        <w:t> </w:t>
      </w:r>
      <w:r>
        <w:rPr>
          <w:rFonts w:ascii="Times New Roman"/>
          <w:w w:val="105"/>
          <w:sz w:val="23"/>
        </w:rPr>
        <w:t>determined that</w:t>
      </w:r>
      <w:r>
        <w:rPr>
          <w:rFonts w:ascii="Times New Roman"/>
          <w:spacing w:val="-8"/>
          <w:w w:val="105"/>
          <w:sz w:val="23"/>
        </w:rPr>
        <w:t> </w:t>
      </w:r>
      <w:r>
        <w:rPr>
          <w:rFonts w:ascii="Times New Roman"/>
          <w:w w:val="105"/>
          <w:sz w:val="23"/>
        </w:rPr>
        <w:t>such</w:t>
      </w:r>
      <w:r>
        <w:rPr>
          <w:rFonts w:ascii="Times New Roman"/>
          <w:spacing w:val="-8"/>
          <w:w w:val="105"/>
          <w:sz w:val="23"/>
        </w:rPr>
        <w:t> </w:t>
      </w:r>
      <w:r>
        <w:rPr>
          <w:rFonts w:ascii="Times New Roman"/>
          <w:w w:val="105"/>
          <w:sz w:val="23"/>
        </w:rPr>
        <w:t>a</w:t>
      </w:r>
      <w:r>
        <w:rPr>
          <w:rFonts w:ascii="Times New Roman"/>
          <w:spacing w:val="-11"/>
          <w:w w:val="105"/>
          <w:sz w:val="23"/>
        </w:rPr>
        <w:t> </w:t>
      </w:r>
      <w:r>
        <w:rPr>
          <w:rFonts w:ascii="Times New Roman"/>
          <w:w w:val="105"/>
          <w:sz w:val="23"/>
        </w:rPr>
        <w:t>clause</w:t>
      </w:r>
      <w:r>
        <w:rPr>
          <w:rFonts w:ascii="Times New Roman"/>
          <w:spacing w:val="-3"/>
          <w:w w:val="105"/>
          <w:sz w:val="23"/>
        </w:rPr>
        <w:t> </w:t>
      </w:r>
      <w:r>
        <w:rPr>
          <w:rFonts w:ascii="Times New Roman"/>
          <w:w w:val="105"/>
          <w:sz w:val="23"/>
        </w:rPr>
        <w:t>is necessary in</w:t>
      </w:r>
      <w:r>
        <w:rPr>
          <w:rFonts w:ascii="Times New Roman"/>
          <w:spacing w:val="-1"/>
          <w:w w:val="105"/>
          <w:sz w:val="23"/>
        </w:rPr>
        <w:t> </w:t>
      </w:r>
      <w:r>
        <w:rPr>
          <w:rFonts w:ascii="Times New Roman"/>
          <w:w w:val="105"/>
          <w:sz w:val="23"/>
        </w:rPr>
        <w:t>order to make clear the purpose of Title VI.)</w:t>
      </w:r>
    </w:p>
    <w:p>
      <w:pPr>
        <w:spacing w:after="0" w:line="261" w:lineRule="auto"/>
        <w:jc w:val="left"/>
        <w:rPr>
          <w:rFonts w:ascii="Times New Roman"/>
          <w:sz w:val="23"/>
        </w:rPr>
        <w:sectPr>
          <w:footerReference w:type="default" r:id="rId63"/>
          <w:pgSz w:w="12240" w:h="15840"/>
          <w:pgMar w:footer="0" w:header="0" w:top="1240" w:bottom="280" w:left="600" w:right="500"/>
        </w:sectPr>
      </w:pPr>
    </w:p>
    <w:p>
      <w:pPr>
        <w:pStyle w:val="Heading4"/>
        <w:ind w:left="3188"/>
      </w:pPr>
      <w:r>
        <w:rPr/>
        <mc:AlternateContent>
          <mc:Choice Requires="wps">
            <w:drawing>
              <wp:anchor distT="0" distB="0" distL="0" distR="0" allowOverlap="1" layoutInCell="1" locked="0" behindDoc="0" simplePos="0" relativeHeight="15748608">
                <wp:simplePos x="0" y="0"/>
                <wp:positionH relativeFrom="page">
                  <wp:posOffset>7768208</wp:posOffset>
                </wp:positionH>
                <wp:positionV relativeFrom="page">
                  <wp:posOffset>1506974</wp:posOffset>
                </wp:positionV>
                <wp:extent cx="1270" cy="47244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1270" cy="472440"/>
                        </a:xfrm>
                        <a:custGeom>
                          <a:avLst/>
                          <a:gdLst/>
                          <a:ahLst/>
                          <a:cxnLst/>
                          <a:rect l="l" t="t" r="r" b="b"/>
                          <a:pathLst>
                            <a:path w="0" h="472440">
                              <a:moveTo>
                                <a:pt x="0" y="472024"/>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8608" from="611.669983pt,155.826664pt" to="611.669983pt,118.659416pt" stroked="true" strokeweight=".360654pt" strokecolor="#000000">
                <v:stroke dashstyle="solid"/>
                <w10:wrap type="none"/>
              </v:line>
            </w:pict>
          </mc:Fallback>
        </mc:AlternateContent>
      </w:r>
      <w:r>
        <w:rPr>
          <w:spacing w:val="-2"/>
          <w:w w:val="105"/>
        </w:rPr>
        <w:t>APPENDIXC</w:t>
      </w:r>
    </w:p>
    <w:p>
      <w:pPr>
        <w:pStyle w:val="BodyText"/>
        <w:rPr>
          <w:rFonts w:ascii="Times New Roman"/>
          <w:b/>
          <w:sz w:val="25"/>
        </w:rPr>
      </w:pPr>
    </w:p>
    <w:p>
      <w:pPr>
        <w:spacing w:line="254" w:lineRule="auto" w:before="0"/>
        <w:ind w:left="604" w:right="892" w:firstLine="0"/>
        <w:jc w:val="center"/>
        <w:rPr>
          <w:rFonts w:ascii="Times New Roman"/>
          <w:sz w:val="23"/>
        </w:rPr>
      </w:pPr>
      <w:r>
        <w:rPr>
          <w:rFonts w:ascii="Times New Roman"/>
          <w:w w:val="105"/>
          <w:sz w:val="23"/>
        </w:rPr>
        <w:t>CLAUSES</w:t>
      </w:r>
      <w:r>
        <w:rPr>
          <w:rFonts w:ascii="Times New Roman"/>
          <w:spacing w:val="-10"/>
          <w:w w:val="105"/>
          <w:sz w:val="23"/>
        </w:rPr>
        <w:t> </w:t>
      </w:r>
      <w:r>
        <w:rPr>
          <w:rFonts w:ascii="Times New Roman"/>
          <w:w w:val="105"/>
          <w:sz w:val="23"/>
        </w:rPr>
        <w:t>FOR</w:t>
      </w:r>
      <w:r>
        <w:rPr>
          <w:rFonts w:ascii="Times New Roman"/>
          <w:spacing w:val="-16"/>
          <w:w w:val="105"/>
          <w:sz w:val="23"/>
        </w:rPr>
        <w:t> </w:t>
      </w:r>
      <w:r>
        <w:rPr>
          <w:rFonts w:ascii="Times New Roman"/>
          <w:w w:val="105"/>
          <w:sz w:val="23"/>
        </w:rPr>
        <w:t>TRANSFER</w:t>
      </w:r>
      <w:r>
        <w:rPr>
          <w:rFonts w:ascii="Times New Roman"/>
          <w:spacing w:val="-10"/>
          <w:w w:val="105"/>
          <w:sz w:val="23"/>
        </w:rPr>
        <w:t> </w:t>
      </w:r>
      <w:r>
        <w:rPr>
          <w:rFonts w:ascii="Times New Roman"/>
          <w:w w:val="105"/>
          <w:sz w:val="23"/>
        </w:rPr>
        <w:t>OF</w:t>
      </w:r>
      <w:r>
        <w:rPr>
          <w:rFonts w:ascii="Times New Roman"/>
          <w:spacing w:val="-15"/>
          <w:w w:val="105"/>
          <w:sz w:val="23"/>
        </w:rPr>
        <w:t> </w:t>
      </w:r>
      <w:r>
        <w:rPr>
          <w:rFonts w:ascii="Times New Roman"/>
          <w:w w:val="105"/>
          <w:sz w:val="23"/>
        </w:rPr>
        <w:t>REAL</w:t>
      </w:r>
      <w:r>
        <w:rPr>
          <w:rFonts w:ascii="Times New Roman"/>
          <w:spacing w:val="-12"/>
          <w:w w:val="105"/>
          <w:sz w:val="23"/>
        </w:rPr>
        <w:t> </w:t>
      </w:r>
      <w:r>
        <w:rPr>
          <w:rFonts w:ascii="Times New Roman"/>
          <w:w w:val="105"/>
          <w:sz w:val="23"/>
        </w:rPr>
        <w:t>PROPERTY</w:t>
      </w:r>
      <w:r>
        <w:rPr>
          <w:rFonts w:ascii="Times New Roman"/>
          <w:spacing w:val="-6"/>
          <w:w w:val="105"/>
          <w:sz w:val="23"/>
        </w:rPr>
        <w:t> </w:t>
      </w:r>
      <w:r>
        <w:rPr>
          <w:rFonts w:ascii="Times New Roman"/>
          <w:w w:val="105"/>
          <w:sz w:val="23"/>
        </w:rPr>
        <w:t>ACQUIRED</w:t>
      </w:r>
      <w:r>
        <w:rPr>
          <w:rFonts w:ascii="Times New Roman"/>
          <w:spacing w:val="-4"/>
          <w:w w:val="105"/>
          <w:sz w:val="23"/>
        </w:rPr>
        <w:t> </w:t>
      </w:r>
      <w:r>
        <w:rPr>
          <w:rFonts w:ascii="Times New Roman"/>
          <w:w w:val="105"/>
          <w:sz w:val="23"/>
        </w:rPr>
        <w:t>OR</w:t>
      </w:r>
      <w:r>
        <w:rPr>
          <w:rFonts w:ascii="Times New Roman"/>
          <w:spacing w:val="-14"/>
          <w:w w:val="105"/>
          <w:sz w:val="23"/>
        </w:rPr>
        <w:t> </w:t>
      </w:r>
      <w:r>
        <w:rPr>
          <w:rFonts w:ascii="Times New Roman"/>
          <w:w w:val="105"/>
          <w:sz w:val="23"/>
        </w:rPr>
        <w:t>IMPROVED</w:t>
      </w:r>
      <w:r>
        <w:rPr>
          <w:rFonts w:ascii="Times New Roman"/>
          <w:spacing w:val="-2"/>
          <w:w w:val="105"/>
          <w:sz w:val="23"/>
        </w:rPr>
        <w:t> </w:t>
      </w:r>
      <w:r>
        <w:rPr>
          <w:rFonts w:ascii="Times New Roman"/>
          <w:w w:val="105"/>
          <w:sz w:val="23"/>
        </w:rPr>
        <w:t>UNDER</w:t>
      </w:r>
      <w:r>
        <w:rPr>
          <w:rFonts w:ascii="Times New Roman"/>
          <w:spacing w:val="-9"/>
          <w:w w:val="105"/>
          <w:sz w:val="23"/>
        </w:rPr>
        <w:t> </w:t>
      </w:r>
      <w:r>
        <w:rPr>
          <w:rFonts w:ascii="Times New Roman"/>
          <w:w w:val="105"/>
          <w:sz w:val="23"/>
        </w:rPr>
        <w:t>THE ACTIVITY, FACILITY, OR PROGRAM</w:t>
      </w:r>
    </w:p>
    <w:p>
      <w:pPr>
        <w:pStyle w:val="BodyText"/>
        <w:rPr>
          <w:rFonts w:ascii="Times New Roman"/>
          <w:sz w:val="26"/>
        </w:rPr>
      </w:pPr>
    </w:p>
    <w:p>
      <w:pPr>
        <w:pStyle w:val="BodyText"/>
        <w:spacing w:before="6"/>
        <w:rPr>
          <w:rFonts w:ascii="Times New Roman"/>
          <w:sz w:val="22"/>
        </w:rPr>
      </w:pPr>
    </w:p>
    <w:p>
      <w:pPr>
        <w:spacing w:line="254" w:lineRule="auto" w:before="0"/>
        <w:ind w:left="316" w:right="583" w:hanging="8"/>
        <w:jc w:val="left"/>
        <w:rPr>
          <w:rFonts w:ascii="Times New Roman"/>
          <w:sz w:val="23"/>
        </w:rPr>
      </w:pPr>
      <w:r>
        <w:rPr>
          <w:rFonts w:ascii="Times New Roman"/>
          <w:w w:val="105"/>
          <w:sz w:val="23"/>
        </w:rPr>
        <w:t>The</w:t>
      </w:r>
      <w:r>
        <w:rPr>
          <w:rFonts w:ascii="Times New Roman"/>
          <w:spacing w:val="-16"/>
          <w:w w:val="105"/>
          <w:sz w:val="23"/>
        </w:rPr>
        <w:t> </w:t>
      </w:r>
      <w:r>
        <w:rPr>
          <w:rFonts w:ascii="Times New Roman"/>
          <w:w w:val="105"/>
          <w:sz w:val="23"/>
        </w:rPr>
        <w:t>following</w:t>
      </w:r>
      <w:r>
        <w:rPr>
          <w:rFonts w:ascii="Times New Roman"/>
          <w:spacing w:val="-9"/>
          <w:w w:val="105"/>
          <w:sz w:val="23"/>
        </w:rPr>
        <w:t> </w:t>
      </w:r>
      <w:r>
        <w:rPr>
          <w:rFonts w:ascii="Times New Roman"/>
          <w:w w:val="105"/>
          <w:sz w:val="23"/>
        </w:rPr>
        <w:t>clauses</w:t>
      </w:r>
      <w:r>
        <w:rPr>
          <w:rFonts w:ascii="Times New Roman"/>
          <w:spacing w:val="-13"/>
          <w:w w:val="105"/>
          <w:sz w:val="23"/>
        </w:rPr>
        <w:t> </w:t>
      </w:r>
      <w:r>
        <w:rPr>
          <w:rFonts w:ascii="Times New Roman"/>
          <w:w w:val="105"/>
          <w:sz w:val="23"/>
        </w:rPr>
        <w:t>will be</w:t>
      </w:r>
      <w:r>
        <w:rPr>
          <w:rFonts w:ascii="Times New Roman"/>
          <w:spacing w:val="-16"/>
          <w:w w:val="105"/>
          <w:sz w:val="23"/>
        </w:rPr>
        <w:t> </w:t>
      </w:r>
      <w:r>
        <w:rPr>
          <w:rFonts w:ascii="Times New Roman"/>
          <w:w w:val="105"/>
          <w:sz w:val="23"/>
        </w:rPr>
        <w:t>included in</w:t>
      </w:r>
      <w:r>
        <w:rPr>
          <w:rFonts w:ascii="Times New Roman"/>
          <w:spacing w:val="-12"/>
          <w:w w:val="105"/>
          <w:sz w:val="23"/>
        </w:rPr>
        <w:t> </w:t>
      </w:r>
      <w:r>
        <w:rPr>
          <w:rFonts w:ascii="Times New Roman"/>
          <w:w w:val="105"/>
          <w:sz w:val="23"/>
        </w:rPr>
        <w:t>deeds,</w:t>
      </w:r>
      <w:r>
        <w:rPr>
          <w:rFonts w:ascii="Times New Roman"/>
          <w:spacing w:val="-3"/>
          <w:w w:val="105"/>
          <w:sz w:val="23"/>
        </w:rPr>
        <w:t> </w:t>
      </w:r>
      <w:r>
        <w:rPr>
          <w:rFonts w:ascii="Times New Roman"/>
          <w:w w:val="105"/>
          <w:sz w:val="23"/>
        </w:rPr>
        <w:t>licenses,</w:t>
      </w:r>
      <w:r>
        <w:rPr>
          <w:rFonts w:ascii="Times New Roman"/>
          <w:spacing w:val="-4"/>
          <w:w w:val="105"/>
          <w:sz w:val="23"/>
        </w:rPr>
        <w:t> </w:t>
      </w:r>
      <w:r>
        <w:rPr>
          <w:rFonts w:ascii="Times New Roman"/>
          <w:w w:val="105"/>
          <w:sz w:val="23"/>
        </w:rPr>
        <w:t>leases,</w:t>
      </w:r>
      <w:r>
        <w:rPr>
          <w:rFonts w:ascii="Times New Roman"/>
          <w:spacing w:val="-11"/>
          <w:w w:val="105"/>
          <w:sz w:val="23"/>
        </w:rPr>
        <w:t> </w:t>
      </w:r>
      <w:r>
        <w:rPr>
          <w:rFonts w:ascii="Times New Roman"/>
          <w:w w:val="105"/>
          <w:sz w:val="23"/>
        </w:rPr>
        <w:t>permits,</w:t>
      </w:r>
      <w:r>
        <w:rPr>
          <w:rFonts w:ascii="Times New Roman"/>
          <w:spacing w:val="-16"/>
          <w:w w:val="105"/>
          <w:sz w:val="23"/>
        </w:rPr>
        <w:t> </w:t>
      </w:r>
      <w:r>
        <w:rPr>
          <w:rFonts w:ascii="Times New Roman"/>
          <w:w w:val="105"/>
          <w:sz w:val="23"/>
        </w:rPr>
        <w:t>or</w:t>
      </w:r>
      <w:r>
        <w:rPr>
          <w:rFonts w:ascii="Times New Roman"/>
          <w:spacing w:val="-13"/>
          <w:w w:val="105"/>
          <w:sz w:val="23"/>
        </w:rPr>
        <w:t> </w:t>
      </w:r>
      <w:r>
        <w:rPr>
          <w:rFonts w:ascii="Times New Roman"/>
          <w:w w:val="105"/>
          <w:sz w:val="23"/>
        </w:rPr>
        <w:t>similar</w:t>
      </w:r>
      <w:r>
        <w:rPr>
          <w:rFonts w:ascii="Times New Roman"/>
          <w:spacing w:val="-1"/>
          <w:w w:val="105"/>
          <w:sz w:val="23"/>
        </w:rPr>
        <w:t> </w:t>
      </w:r>
      <w:r>
        <w:rPr>
          <w:rFonts w:ascii="Times New Roman"/>
          <w:w w:val="105"/>
          <w:sz w:val="23"/>
        </w:rPr>
        <w:t>instruments entered into</w:t>
      </w:r>
      <w:r>
        <w:rPr>
          <w:rFonts w:ascii="Times New Roman"/>
          <w:spacing w:val="-16"/>
          <w:w w:val="105"/>
          <w:sz w:val="23"/>
        </w:rPr>
        <w:t> </w:t>
      </w:r>
      <w:r>
        <w:rPr>
          <w:rFonts w:ascii="Times New Roman"/>
          <w:w w:val="105"/>
          <w:sz w:val="23"/>
        </w:rPr>
        <w:t>by</w:t>
      </w:r>
      <w:r>
        <w:rPr>
          <w:rFonts w:ascii="Times New Roman"/>
          <w:spacing w:val="-15"/>
          <w:w w:val="105"/>
          <w:sz w:val="23"/>
        </w:rPr>
        <w:t> </w:t>
      </w:r>
      <w:r>
        <w:rPr>
          <w:rFonts w:ascii="Times New Roman"/>
          <w:w w:val="105"/>
          <w:sz w:val="23"/>
        </w:rPr>
        <w:t>the</w:t>
      </w:r>
      <w:r>
        <w:rPr>
          <w:rFonts w:ascii="Times New Roman"/>
          <w:spacing w:val="-15"/>
          <w:w w:val="105"/>
          <w:sz w:val="23"/>
        </w:rPr>
        <w:t> </w:t>
      </w:r>
      <w:r>
        <w:rPr>
          <w:rFonts w:ascii="Times New Roman"/>
          <w:b/>
          <w:i/>
          <w:w w:val="105"/>
          <w:sz w:val="23"/>
        </w:rPr>
        <w:t>Maine</w:t>
      </w:r>
      <w:r>
        <w:rPr>
          <w:rFonts w:ascii="Times New Roman"/>
          <w:b/>
          <w:i/>
          <w:spacing w:val="-12"/>
          <w:w w:val="105"/>
          <w:sz w:val="23"/>
        </w:rPr>
        <w:t> </w:t>
      </w:r>
      <w:r>
        <w:rPr>
          <w:rFonts w:ascii="Times New Roman"/>
          <w:b/>
          <w:i/>
          <w:w w:val="105"/>
          <w:sz w:val="23"/>
        </w:rPr>
        <w:t>Depurtment ofTru11sportutio11</w:t>
      </w:r>
      <w:r>
        <w:rPr>
          <w:rFonts w:ascii="Times New Roman"/>
          <w:b/>
          <w:i/>
          <w:spacing w:val="-16"/>
          <w:w w:val="105"/>
          <w:sz w:val="23"/>
        </w:rPr>
        <w:t> </w:t>
      </w:r>
      <w:r>
        <w:rPr>
          <w:rFonts w:ascii="Times New Roman"/>
          <w:w w:val="105"/>
          <w:sz w:val="23"/>
        </w:rPr>
        <w:t>pursuant</w:t>
      </w:r>
      <w:r>
        <w:rPr>
          <w:rFonts w:ascii="Times New Roman"/>
          <w:spacing w:val="-3"/>
          <w:w w:val="105"/>
          <w:sz w:val="23"/>
        </w:rPr>
        <w:t> </w:t>
      </w:r>
      <w:r>
        <w:rPr>
          <w:rFonts w:ascii="Times New Roman"/>
          <w:w w:val="105"/>
          <w:sz w:val="23"/>
        </w:rPr>
        <w:t>to</w:t>
      </w:r>
      <w:r>
        <w:rPr>
          <w:rFonts w:ascii="Times New Roman"/>
          <w:spacing w:val="-16"/>
          <w:w w:val="105"/>
          <w:sz w:val="23"/>
        </w:rPr>
        <w:t> </w:t>
      </w:r>
      <w:r>
        <w:rPr>
          <w:rFonts w:ascii="Times New Roman"/>
          <w:w w:val="105"/>
          <w:sz w:val="23"/>
        </w:rPr>
        <w:t>the</w:t>
      </w:r>
      <w:r>
        <w:rPr>
          <w:rFonts w:ascii="Times New Roman"/>
          <w:spacing w:val="-12"/>
          <w:w w:val="105"/>
          <w:sz w:val="23"/>
        </w:rPr>
        <w:t> </w:t>
      </w:r>
      <w:r>
        <w:rPr>
          <w:rFonts w:ascii="Times New Roman"/>
          <w:w w:val="105"/>
          <w:sz w:val="23"/>
        </w:rPr>
        <w:t>provisions</w:t>
      </w:r>
      <w:r>
        <w:rPr>
          <w:rFonts w:ascii="Times New Roman"/>
          <w:spacing w:val="-8"/>
          <w:w w:val="105"/>
          <w:sz w:val="23"/>
        </w:rPr>
        <w:t> </w:t>
      </w:r>
      <w:r>
        <w:rPr>
          <w:rFonts w:ascii="Times New Roman"/>
          <w:w w:val="105"/>
          <w:sz w:val="23"/>
        </w:rPr>
        <w:t>of</w:t>
      </w:r>
      <w:r>
        <w:rPr>
          <w:rFonts w:ascii="Times New Roman"/>
          <w:spacing w:val="-14"/>
          <w:w w:val="105"/>
          <w:sz w:val="23"/>
        </w:rPr>
        <w:t> </w:t>
      </w:r>
      <w:r>
        <w:rPr>
          <w:rFonts w:ascii="Times New Roman"/>
          <w:w w:val="105"/>
          <w:sz w:val="23"/>
        </w:rPr>
        <w:t>Assurance</w:t>
      </w:r>
      <w:r>
        <w:rPr>
          <w:rFonts w:ascii="Times New Roman"/>
          <w:spacing w:val="-11"/>
          <w:w w:val="105"/>
          <w:sz w:val="23"/>
        </w:rPr>
        <w:t> </w:t>
      </w:r>
      <w:r>
        <w:rPr>
          <w:rFonts w:ascii="Times New Roman"/>
          <w:w w:val="105"/>
          <w:sz w:val="23"/>
        </w:rPr>
        <w:t>7(a):</w:t>
      </w:r>
    </w:p>
    <w:p>
      <w:pPr>
        <w:pStyle w:val="BodyText"/>
        <w:spacing w:before="5"/>
        <w:rPr>
          <w:rFonts w:ascii="Times New Roman"/>
          <w:sz w:val="23"/>
        </w:rPr>
      </w:pPr>
    </w:p>
    <w:p>
      <w:pPr>
        <w:pStyle w:val="ListParagraph"/>
        <w:numPr>
          <w:ilvl w:val="0"/>
          <w:numId w:val="32"/>
        </w:numPr>
        <w:tabs>
          <w:tab w:pos="1166" w:val="left" w:leader="none"/>
          <w:tab w:pos="1172" w:val="left" w:leader="none"/>
        </w:tabs>
        <w:spacing w:line="261" w:lineRule="auto" w:before="0" w:after="0"/>
        <w:ind w:left="1172" w:right="829" w:hanging="361"/>
        <w:jc w:val="left"/>
        <w:rPr>
          <w:rFonts w:ascii="Times New Roman"/>
          <w:sz w:val="23"/>
        </w:rPr>
      </w:pPr>
      <w:r>
        <w:rPr>
          <w:rFonts w:ascii="Times New Roman"/>
          <w:w w:val="105"/>
          <w:sz w:val="23"/>
        </w:rPr>
        <w:t>The (grantee, lessee, permittee, etc. as</w:t>
      </w:r>
      <w:r>
        <w:rPr>
          <w:rFonts w:ascii="Times New Roman"/>
          <w:spacing w:val="-7"/>
          <w:w w:val="105"/>
          <w:sz w:val="23"/>
        </w:rPr>
        <w:t> </w:t>
      </w:r>
      <w:r>
        <w:rPr>
          <w:rFonts w:ascii="Times New Roman"/>
          <w:w w:val="105"/>
          <w:sz w:val="23"/>
        </w:rPr>
        <w:t>appropriate) for himself/herself,</w:t>
      </w:r>
      <w:r>
        <w:rPr>
          <w:rFonts w:ascii="Times New Roman"/>
          <w:spacing w:val="-3"/>
          <w:w w:val="105"/>
          <w:sz w:val="23"/>
        </w:rPr>
        <w:t> </w:t>
      </w:r>
      <w:r>
        <w:rPr>
          <w:rFonts w:ascii="Times New Roman"/>
          <w:w w:val="105"/>
          <w:sz w:val="23"/>
        </w:rPr>
        <w:t>his/her heirs, personal representatives, successors in interest, and assigns, as</w:t>
      </w:r>
      <w:r>
        <w:rPr>
          <w:rFonts w:ascii="Times New Roman"/>
          <w:spacing w:val="-8"/>
          <w:w w:val="105"/>
          <w:sz w:val="23"/>
        </w:rPr>
        <w:t> </w:t>
      </w:r>
      <w:r>
        <w:rPr>
          <w:rFonts w:ascii="Times New Roman"/>
          <w:w w:val="105"/>
          <w:sz w:val="23"/>
        </w:rPr>
        <w:t>a part of</w:t>
      </w:r>
      <w:r>
        <w:rPr>
          <w:rFonts w:ascii="Times New Roman"/>
          <w:spacing w:val="-4"/>
          <w:w w:val="105"/>
          <w:sz w:val="23"/>
        </w:rPr>
        <w:t> </w:t>
      </w:r>
      <w:r>
        <w:rPr>
          <w:rFonts w:ascii="Times New Roman"/>
          <w:w w:val="105"/>
          <w:sz w:val="23"/>
        </w:rPr>
        <w:t>the</w:t>
      </w:r>
      <w:r>
        <w:rPr>
          <w:rFonts w:ascii="Times New Roman"/>
          <w:spacing w:val="-3"/>
          <w:w w:val="105"/>
          <w:sz w:val="23"/>
        </w:rPr>
        <w:t> </w:t>
      </w:r>
      <w:r>
        <w:rPr>
          <w:rFonts w:ascii="Times New Roman"/>
          <w:w w:val="105"/>
          <w:sz w:val="23"/>
        </w:rPr>
        <w:t>consideration</w:t>
      </w:r>
      <w:r>
        <w:rPr>
          <w:rFonts w:ascii="Times New Roman"/>
          <w:spacing w:val="32"/>
          <w:w w:val="105"/>
          <w:sz w:val="23"/>
        </w:rPr>
        <w:t> </w:t>
      </w:r>
      <w:r>
        <w:rPr>
          <w:rFonts w:ascii="Times New Roman"/>
          <w:w w:val="105"/>
          <w:sz w:val="23"/>
        </w:rPr>
        <w:t>hereof, does hereby</w:t>
      </w:r>
      <w:r>
        <w:rPr>
          <w:rFonts w:ascii="Times New Roman"/>
          <w:spacing w:val="-2"/>
          <w:w w:val="105"/>
          <w:sz w:val="23"/>
        </w:rPr>
        <w:t> </w:t>
      </w:r>
      <w:r>
        <w:rPr>
          <w:rFonts w:ascii="Times New Roman"/>
          <w:w w:val="105"/>
          <w:sz w:val="23"/>
        </w:rPr>
        <w:t>covenant and</w:t>
      </w:r>
      <w:r>
        <w:rPr>
          <w:rFonts w:ascii="Times New Roman"/>
          <w:spacing w:val="-5"/>
          <w:w w:val="105"/>
          <w:sz w:val="23"/>
        </w:rPr>
        <w:t> </w:t>
      </w:r>
      <w:r>
        <w:rPr>
          <w:rFonts w:ascii="Times New Roman"/>
          <w:w w:val="105"/>
          <w:sz w:val="23"/>
        </w:rPr>
        <w:t>agree</w:t>
      </w:r>
      <w:r>
        <w:rPr>
          <w:rFonts w:ascii="Times New Roman"/>
          <w:spacing w:val="-7"/>
          <w:w w:val="105"/>
          <w:sz w:val="23"/>
        </w:rPr>
        <w:t> </w:t>
      </w:r>
      <w:r>
        <w:rPr>
          <w:rFonts w:ascii="Times New Roman"/>
          <w:w w:val="105"/>
          <w:sz w:val="23"/>
        </w:rPr>
        <w:t>[in</w:t>
      </w:r>
      <w:r>
        <w:rPr>
          <w:rFonts w:ascii="Times New Roman"/>
          <w:spacing w:val="-11"/>
          <w:w w:val="105"/>
          <w:sz w:val="23"/>
        </w:rPr>
        <w:t> </w:t>
      </w:r>
      <w:r>
        <w:rPr>
          <w:rFonts w:ascii="Times New Roman"/>
          <w:w w:val="105"/>
          <w:sz w:val="23"/>
        </w:rPr>
        <w:t>the</w:t>
      </w:r>
      <w:r>
        <w:rPr>
          <w:rFonts w:ascii="Times New Roman"/>
          <w:spacing w:val="-14"/>
          <w:w w:val="105"/>
          <w:sz w:val="23"/>
        </w:rPr>
        <w:t> </w:t>
      </w:r>
      <w:r>
        <w:rPr>
          <w:rFonts w:ascii="Times New Roman"/>
          <w:w w:val="105"/>
          <w:sz w:val="23"/>
        </w:rPr>
        <w:t>case</w:t>
      </w:r>
      <w:r>
        <w:rPr>
          <w:rFonts w:ascii="Times New Roman"/>
          <w:spacing w:val="-13"/>
          <w:w w:val="105"/>
          <w:sz w:val="23"/>
        </w:rPr>
        <w:t> </w:t>
      </w:r>
      <w:r>
        <w:rPr>
          <w:rFonts w:ascii="Times New Roman"/>
          <w:w w:val="105"/>
          <w:sz w:val="23"/>
        </w:rPr>
        <w:t>of</w:t>
      </w:r>
      <w:r>
        <w:rPr>
          <w:rFonts w:ascii="Times New Roman"/>
          <w:spacing w:val="-12"/>
          <w:w w:val="105"/>
          <w:sz w:val="23"/>
        </w:rPr>
        <w:t> </w:t>
      </w:r>
      <w:r>
        <w:rPr>
          <w:rFonts w:ascii="Times New Roman"/>
          <w:w w:val="105"/>
          <w:sz w:val="23"/>
        </w:rPr>
        <w:t>deeds</w:t>
      </w:r>
      <w:r>
        <w:rPr>
          <w:rFonts w:ascii="Times New Roman"/>
          <w:spacing w:val="-5"/>
          <w:w w:val="105"/>
          <w:sz w:val="23"/>
        </w:rPr>
        <w:t> </w:t>
      </w:r>
      <w:r>
        <w:rPr>
          <w:rFonts w:ascii="Times New Roman"/>
          <w:w w:val="105"/>
          <w:sz w:val="23"/>
        </w:rPr>
        <w:t>and leases</w:t>
      </w:r>
      <w:r>
        <w:rPr>
          <w:rFonts w:ascii="Times New Roman"/>
          <w:spacing w:val="-3"/>
          <w:w w:val="105"/>
          <w:sz w:val="23"/>
        </w:rPr>
        <w:t> </w:t>
      </w:r>
      <w:r>
        <w:rPr>
          <w:rFonts w:ascii="Times New Roman"/>
          <w:w w:val="105"/>
          <w:sz w:val="23"/>
        </w:rPr>
        <w:t>add</w:t>
      </w:r>
      <w:r>
        <w:rPr>
          <w:rFonts w:ascii="Times New Roman"/>
          <w:spacing w:val="-5"/>
          <w:w w:val="105"/>
          <w:sz w:val="23"/>
        </w:rPr>
        <w:t> </w:t>
      </w:r>
      <w:r>
        <w:rPr>
          <w:rFonts w:ascii="Times New Roman"/>
          <w:w w:val="105"/>
          <w:sz w:val="23"/>
        </w:rPr>
        <w:t>"as</w:t>
      </w:r>
      <w:r>
        <w:rPr>
          <w:rFonts w:ascii="Times New Roman"/>
          <w:spacing w:val="-9"/>
          <w:w w:val="105"/>
          <w:sz w:val="23"/>
        </w:rPr>
        <w:t> </w:t>
      </w:r>
      <w:r>
        <w:rPr>
          <w:rFonts w:ascii="Times New Roman"/>
          <w:w w:val="105"/>
          <w:sz w:val="23"/>
        </w:rPr>
        <w:t>a</w:t>
      </w:r>
      <w:r>
        <w:rPr>
          <w:rFonts w:ascii="Times New Roman"/>
          <w:spacing w:val="-10"/>
          <w:w w:val="105"/>
          <w:sz w:val="23"/>
        </w:rPr>
        <w:t> </w:t>
      </w:r>
      <w:r>
        <w:rPr>
          <w:rFonts w:ascii="Times New Roman"/>
          <w:w w:val="105"/>
          <w:sz w:val="23"/>
        </w:rPr>
        <w:t>covenant running with</w:t>
      </w:r>
      <w:r>
        <w:rPr>
          <w:rFonts w:ascii="Times New Roman"/>
          <w:spacing w:val="-9"/>
          <w:w w:val="105"/>
          <w:sz w:val="23"/>
        </w:rPr>
        <w:t> </w:t>
      </w:r>
      <w:r>
        <w:rPr>
          <w:rFonts w:ascii="Times New Roman"/>
          <w:w w:val="105"/>
          <w:sz w:val="23"/>
        </w:rPr>
        <w:t>the land"] that:</w:t>
      </w:r>
    </w:p>
    <w:p>
      <w:pPr>
        <w:pStyle w:val="ListParagraph"/>
        <w:numPr>
          <w:ilvl w:val="1"/>
          <w:numId w:val="32"/>
        </w:numPr>
        <w:tabs>
          <w:tab w:pos="1563" w:val="left" w:leader="none"/>
        </w:tabs>
        <w:spacing w:line="252" w:lineRule="auto" w:before="232" w:after="0"/>
        <w:ind w:left="1563" w:right="646" w:hanging="343"/>
        <w:jc w:val="left"/>
        <w:rPr>
          <w:rFonts w:ascii="Times New Roman"/>
          <w:sz w:val="23"/>
        </w:rPr>
      </w:pPr>
      <w:r>
        <w:rPr>
          <w:rFonts w:ascii="Times New Roman"/>
          <w:w w:val="105"/>
          <w:sz w:val="23"/>
        </w:rPr>
        <w:t>In the</w:t>
      </w:r>
      <w:r>
        <w:rPr>
          <w:rFonts w:ascii="Times New Roman"/>
          <w:spacing w:val="-6"/>
          <w:w w:val="105"/>
          <w:sz w:val="23"/>
        </w:rPr>
        <w:t> </w:t>
      </w:r>
      <w:r>
        <w:rPr>
          <w:rFonts w:ascii="Times New Roman"/>
          <w:w w:val="105"/>
          <w:sz w:val="23"/>
        </w:rPr>
        <w:t>event facilities are</w:t>
      </w:r>
      <w:r>
        <w:rPr>
          <w:rFonts w:ascii="Times New Roman"/>
          <w:spacing w:val="-4"/>
          <w:w w:val="105"/>
          <w:sz w:val="23"/>
        </w:rPr>
        <w:t> </w:t>
      </w:r>
      <w:r>
        <w:rPr>
          <w:rFonts w:ascii="Times New Roman"/>
          <w:w w:val="105"/>
          <w:sz w:val="23"/>
        </w:rPr>
        <w:t>constructed, maintained, or otherwise operated on</w:t>
      </w:r>
      <w:r>
        <w:rPr>
          <w:rFonts w:ascii="Times New Roman"/>
          <w:spacing w:val="-3"/>
          <w:w w:val="105"/>
          <w:sz w:val="23"/>
        </w:rPr>
        <w:t> </w:t>
      </w:r>
      <w:r>
        <w:rPr>
          <w:rFonts w:ascii="Times New Roman"/>
          <w:w w:val="105"/>
          <w:sz w:val="23"/>
        </w:rPr>
        <w:t>the</w:t>
      </w:r>
      <w:r>
        <w:rPr>
          <w:rFonts w:ascii="Times New Roman"/>
          <w:spacing w:val="-3"/>
          <w:w w:val="105"/>
          <w:sz w:val="23"/>
        </w:rPr>
        <w:t> </w:t>
      </w:r>
      <w:r>
        <w:rPr>
          <w:rFonts w:ascii="Times New Roman"/>
          <w:w w:val="105"/>
          <w:sz w:val="23"/>
        </w:rPr>
        <w:t>property described in this (deed, license, lease, permit, etc.) for a purpose for which a U.S. Department of</w:t>
      </w:r>
      <w:r>
        <w:rPr>
          <w:rFonts w:ascii="Times New Roman"/>
          <w:spacing w:val="-1"/>
          <w:w w:val="105"/>
          <w:sz w:val="23"/>
        </w:rPr>
        <w:t> </w:t>
      </w:r>
      <w:r>
        <w:rPr>
          <w:rFonts w:ascii="Times New Roman"/>
          <w:w w:val="105"/>
          <w:sz w:val="23"/>
        </w:rPr>
        <w:t>Transportation</w:t>
      </w:r>
      <w:r>
        <w:rPr>
          <w:rFonts w:ascii="Times New Roman"/>
          <w:spacing w:val="-5"/>
          <w:w w:val="105"/>
          <w:sz w:val="23"/>
        </w:rPr>
        <w:t> </w:t>
      </w:r>
      <w:r>
        <w:rPr>
          <w:rFonts w:ascii="Times New Roman"/>
          <w:w w:val="105"/>
          <w:sz w:val="23"/>
        </w:rPr>
        <w:t>activity, facility, or program is</w:t>
      </w:r>
      <w:r>
        <w:rPr>
          <w:rFonts w:ascii="Times New Roman"/>
          <w:spacing w:val="-8"/>
          <w:w w:val="105"/>
          <w:sz w:val="23"/>
        </w:rPr>
        <w:t> </w:t>
      </w:r>
      <w:r>
        <w:rPr>
          <w:rFonts w:ascii="Times New Roman"/>
          <w:w w:val="105"/>
          <w:sz w:val="23"/>
        </w:rPr>
        <w:t>extended</w:t>
      </w:r>
      <w:r>
        <w:rPr>
          <w:rFonts w:ascii="Times New Roman"/>
          <w:spacing w:val="28"/>
          <w:w w:val="105"/>
          <w:sz w:val="23"/>
        </w:rPr>
        <w:t> </w:t>
      </w:r>
      <w:r>
        <w:rPr>
          <w:rFonts w:ascii="Times New Roman"/>
          <w:w w:val="105"/>
          <w:sz w:val="23"/>
        </w:rPr>
        <w:t>or</w:t>
      </w:r>
      <w:r>
        <w:rPr>
          <w:rFonts w:ascii="Times New Roman"/>
          <w:spacing w:val="-4"/>
          <w:w w:val="105"/>
          <w:sz w:val="23"/>
        </w:rPr>
        <w:t> </w:t>
      </w:r>
      <w:r>
        <w:rPr>
          <w:rFonts w:ascii="Times New Roman"/>
          <w:w w:val="105"/>
          <w:sz w:val="23"/>
        </w:rPr>
        <w:t>for another</w:t>
      </w:r>
      <w:r>
        <w:rPr>
          <w:rFonts w:ascii="Times New Roman"/>
          <w:w w:val="105"/>
          <w:sz w:val="23"/>
        </w:rPr>
        <w:t> purpose</w:t>
      </w:r>
      <w:r>
        <w:rPr>
          <w:rFonts w:ascii="Times New Roman"/>
          <w:spacing w:val="-3"/>
          <w:w w:val="105"/>
          <w:sz w:val="23"/>
        </w:rPr>
        <w:t> </w:t>
      </w:r>
      <w:r>
        <w:rPr>
          <w:rFonts w:ascii="Times New Roman"/>
          <w:w w:val="105"/>
          <w:sz w:val="23"/>
        </w:rPr>
        <w:t>involving the</w:t>
      </w:r>
      <w:r>
        <w:rPr>
          <w:rFonts w:ascii="Times New Roman"/>
          <w:spacing w:val="-10"/>
          <w:w w:val="105"/>
          <w:sz w:val="23"/>
        </w:rPr>
        <w:t> </w:t>
      </w:r>
      <w:r>
        <w:rPr>
          <w:rFonts w:ascii="Times New Roman"/>
          <w:w w:val="105"/>
          <w:sz w:val="23"/>
        </w:rPr>
        <w:t>provision of</w:t>
      </w:r>
      <w:r>
        <w:rPr>
          <w:rFonts w:ascii="Times New Roman"/>
          <w:spacing w:val="-7"/>
          <w:w w:val="105"/>
          <w:sz w:val="23"/>
        </w:rPr>
        <w:t> </w:t>
      </w:r>
      <w:r>
        <w:rPr>
          <w:rFonts w:ascii="Times New Roman"/>
          <w:w w:val="105"/>
          <w:sz w:val="23"/>
        </w:rPr>
        <w:t>similar services</w:t>
      </w:r>
      <w:r>
        <w:rPr>
          <w:rFonts w:ascii="Times New Roman"/>
          <w:spacing w:val="-6"/>
          <w:w w:val="105"/>
          <w:sz w:val="23"/>
        </w:rPr>
        <w:t> </w:t>
      </w:r>
      <w:r>
        <w:rPr>
          <w:rFonts w:ascii="Times New Roman"/>
          <w:w w:val="105"/>
          <w:sz w:val="23"/>
        </w:rPr>
        <w:t>or</w:t>
      </w:r>
      <w:r>
        <w:rPr>
          <w:rFonts w:ascii="Times New Roman"/>
          <w:spacing w:val="-4"/>
          <w:w w:val="105"/>
          <w:sz w:val="23"/>
        </w:rPr>
        <w:t> </w:t>
      </w:r>
      <w:r>
        <w:rPr>
          <w:rFonts w:ascii="Times New Roman"/>
          <w:w w:val="105"/>
          <w:sz w:val="23"/>
        </w:rPr>
        <w:t>benefits,</w:t>
      </w:r>
      <w:r>
        <w:rPr>
          <w:rFonts w:ascii="Times New Roman"/>
          <w:spacing w:val="-2"/>
          <w:w w:val="105"/>
          <w:sz w:val="23"/>
        </w:rPr>
        <w:t> </w:t>
      </w:r>
      <w:r>
        <w:rPr>
          <w:rFonts w:ascii="Times New Roman"/>
          <w:w w:val="105"/>
          <w:sz w:val="23"/>
        </w:rPr>
        <w:t>the</w:t>
      </w:r>
      <w:r>
        <w:rPr>
          <w:rFonts w:ascii="Times New Roman"/>
          <w:spacing w:val="-6"/>
          <w:w w:val="105"/>
          <w:sz w:val="23"/>
        </w:rPr>
        <w:t> </w:t>
      </w:r>
      <w:r>
        <w:rPr>
          <w:rFonts w:ascii="Times New Roman"/>
          <w:w w:val="105"/>
          <w:sz w:val="23"/>
        </w:rPr>
        <w:t>(grantee,</w:t>
      </w:r>
      <w:r>
        <w:rPr>
          <w:rFonts w:ascii="Times New Roman"/>
          <w:spacing w:val="-2"/>
          <w:w w:val="105"/>
          <w:sz w:val="23"/>
        </w:rPr>
        <w:t> </w:t>
      </w:r>
      <w:r>
        <w:rPr>
          <w:rFonts w:ascii="Times New Roman"/>
          <w:w w:val="105"/>
          <w:sz w:val="23"/>
        </w:rPr>
        <w:t>licensee,</w:t>
      </w:r>
      <w:r>
        <w:rPr>
          <w:rFonts w:ascii="Times New Roman"/>
          <w:spacing w:val="-3"/>
          <w:w w:val="105"/>
          <w:sz w:val="23"/>
        </w:rPr>
        <w:t> </w:t>
      </w:r>
      <w:r>
        <w:rPr>
          <w:rFonts w:ascii="Times New Roman"/>
          <w:w w:val="105"/>
          <w:sz w:val="23"/>
        </w:rPr>
        <w:t>lessee, permittee,</w:t>
      </w:r>
      <w:r>
        <w:rPr>
          <w:rFonts w:ascii="Times New Roman"/>
          <w:spacing w:val="-1"/>
          <w:w w:val="105"/>
          <w:sz w:val="23"/>
        </w:rPr>
        <w:t> </w:t>
      </w:r>
      <w:r>
        <w:rPr>
          <w:rFonts w:ascii="Times New Roman"/>
          <w:w w:val="105"/>
          <w:sz w:val="23"/>
        </w:rPr>
        <w:t>etc.)</w:t>
      </w:r>
      <w:r>
        <w:rPr>
          <w:rFonts w:ascii="Times New Roman"/>
          <w:spacing w:val="-1"/>
          <w:w w:val="105"/>
          <w:sz w:val="23"/>
        </w:rPr>
        <w:t> </w:t>
      </w:r>
      <w:r>
        <w:rPr>
          <w:rFonts w:ascii="Times New Roman"/>
          <w:w w:val="105"/>
          <w:sz w:val="23"/>
        </w:rPr>
        <w:t>will maintain and operate such</w:t>
      </w:r>
      <w:r>
        <w:rPr>
          <w:rFonts w:ascii="Times New Roman"/>
          <w:spacing w:val="-6"/>
          <w:w w:val="105"/>
          <w:sz w:val="23"/>
        </w:rPr>
        <w:t> </w:t>
      </w:r>
      <w:r>
        <w:rPr>
          <w:rFonts w:ascii="Times New Roman"/>
          <w:w w:val="105"/>
          <w:sz w:val="23"/>
        </w:rPr>
        <w:t>facilities and services in</w:t>
      </w:r>
      <w:r>
        <w:rPr>
          <w:rFonts w:ascii="Times New Roman"/>
          <w:spacing w:val="-9"/>
          <w:w w:val="105"/>
          <w:sz w:val="23"/>
        </w:rPr>
        <w:t> </w:t>
      </w:r>
      <w:r>
        <w:rPr>
          <w:rFonts w:ascii="Times New Roman"/>
          <w:w w:val="105"/>
          <w:sz w:val="23"/>
        </w:rPr>
        <w:t>compliance with</w:t>
      </w:r>
      <w:r>
        <w:rPr>
          <w:rFonts w:ascii="Times New Roman"/>
          <w:spacing w:val="-2"/>
          <w:w w:val="105"/>
          <w:sz w:val="23"/>
        </w:rPr>
        <w:t> </w:t>
      </w:r>
      <w:r>
        <w:rPr>
          <w:rFonts w:ascii="Times New Roman"/>
          <w:w w:val="105"/>
          <w:sz w:val="23"/>
        </w:rPr>
        <w:t>all requirements</w:t>
      </w:r>
      <w:r>
        <w:rPr>
          <w:rFonts w:ascii="Times New Roman"/>
          <w:spacing w:val="-1"/>
          <w:w w:val="105"/>
          <w:sz w:val="23"/>
        </w:rPr>
        <w:t> </w:t>
      </w:r>
      <w:r>
        <w:rPr>
          <w:rFonts w:ascii="Times New Roman"/>
          <w:w w:val="105"/>
          <w:sz w:val="23"/>
        </w:rPr>
        <w:t>imposed</w:t>
      </w:r>
      <w:r>
        <w:rPr>
          <w:rFonts w:ascii="Times New Roman"/>
          <w:spacing w:val="11"/>
          <w:w w:val="105"/>
          <w:sz w:val="23"/>
        </w:rPr>
        <w:t> </w:t>
      </w:r>
      <w:r>
        <w:rPr>
          <w:rFonts w:ascii="Times New Roman"/>
          <w:w w:val="105"/>
          <w:sz w:val="23"/>
        </w:rPr>
        <w:t>by</w:t>
      </w:r>
      <w:r>
        <w:rPr>
          <w:rFonts w:ascii="Times New Roman"/>
          <w:spacing w:val="-6"/>
          <w:w w:val="105"/>
          <w:sz w:val="23"/>
        </w:rPr>
        <w:t> </w:t>
      </w:r>
      <w:r>
        <w:rPr>
          <w:rFonts w:ascii="Times New Roman"/>
          <w:w w:val="105"/>
          <w:sz w:val="23"/>
        </w:rPr>
        <w:t>the</w:t>
      </w:r>
      <w:r>
        <w:rPr>
          <w:rFonts w:ascii="Times New Roman"/>
          <w:spacing w:val="-16"/>
          <w:w w:val="105"/>
          <w:sz w:val="23"/>
        </w:rPr>
        <w:t> </w:t>
      </w:r>
      <w:r>
        <w:rPr>
          <w:rFonts w:ascii="Times New Roman"/>
          <w:w w:val="105"/>
          <w:sz w:val="23"/>
        </w:rPr>
        <w:t>Acts</w:t>
      </w:r>
      <w:r>
        <w:rPr>
          <w:rFonts w:ascii="Times New Roman"/>
          <w:spacing w:val="-14"/>
          <w:w w:val="105"/>
          <w:sz w:val="23"/>
        </w:rPr>
        <w:t> </w:t>
      </w:r>
      <w:r>
        <w:rPr>
          <w:rFonts w:ascii="Times New Roman"/>
          <w:w w:val="105"/>
          <w:sz w:val="23"/>
        </w:rPr>
        <w:t>and</w:t>
      </w:r>
      <w:r>
        <w:rPr>
          <w:rFonts w:ascii="Times New Roman"/>
          <w:spacing w:val="-9"/>
          <w:w w:val="105"/>
          <w:sz w:val="23"/>
        </w:rPr>
        <w:t> </w:t>
      </w:r>
      <w:r>
        <w:rPr>
          <w:rFonts w:ascii="Times New Roman"/>
          <w:w w:val="105"/>
          <w:sz w:val="23"/>
        </w:rPr>
        <w:t>Regulations (as</w:t>
      </w:r>
      <w:r>
        <w:rPr>
          <w:rFonts w:ascii="Times New Roman"/>
          <w:spacing w:val="-16"/>
          <w:w w:val="105"/>
          <w:sz w:val="23"/>
        </w:rPr>
        <w:t> </w:t>
      </w:r>
      <w:r>
        <w:rPr>
          <w:rFonts w:ascii="Times New Roman"/>
          <w:w w:val="105"/>
          <w:sz w:val="23"/>
        </w:rPr>
        <w:t>may</w:t>
      </w:r>
      <w:r>
        <w:rPr>
          <w:rFonts w:ascii="Times New Roman"/>
          <w:spacing w:val="-1"/>
          <w:w w:val="105"/>
          <w:sz w:val="23"/>
        </w:rPr>
        <w:t> </w:t>
      </w:r>
      <w:r>
        <w:rPr>
          <w:rFonts w:ascii="Times New Roman"/>
          <w:w w:val="105"/>
          <w:sz w:val="23"/>
        </w:rPr>
        <w:t>be</w:t>
      </w:r>
      <w:r>
        <w:rPr>
          <w:rFonts w:ascii="Times New Roman"/>
          <w:spacing w:val="-15"/>
          <w:w w:val="105"/>
          <w:sz w:val="23"/>
        </w:rPr>
        <w:t> </w:t>
      </w:r>
      <w:r>
        <w:rPr>
          <w:rFonts w:ascii="Times New Roman"/>
          <w:w w:val="105"/>
          <w:sz w:val="23"/>
        </w:rPr>
        <w:t>amended)</w:t>
      </w:r>
      <w:r>
        <w:rPr>
          <w:rFonts w:ascii="Times New Roman"/>
          <w:spacing w:val="-1"/>
          <w:w w:val="105"/>
          <w:sz w:val="23"/>
        </w:rPr>
        <w:t> </w:t>
      </w:r>
      <w:r>
        <w:rPr>
          <w:rFonts w:ascii="Times New Roman"/>
          <w:w w:val="105"/>
          <w:sz w:val="23"/>
        </w:rPr>
        <w:t>such</w:t>
      </w:r>
      <w:r>
        <w:rPr>
          <w:rFonts w:ascii="Times New Roman"/>
          <w:spacing w:val="-14"/>
          <w:w w:val="105"/>
          <w:sz w:val="23"/>
        </w:rPr>
        <w:t> </w:t>
      </w:r>
      <w:r>
        <w:rPr>
          <w:rFonts w:ascii="Times New Roman"/>
          <w:w w:val="105"/>
          <w:sz w:val="23"/>
        </w:rPr>
        <w:t>that</w:t>
      </w:r>
      <w:r>
        <w:rPr>
          <w:rFonts w:ascii="Times New Roman"/>
          <w:spacing w:val="-7"/>
          <w:w w:val="105"/>
          <w:sz w:val="23"/>
        </w:rPr>
        <w:t> </w:t>
      </w:r>
      <w:r>
        <w:rPr>
          <w:rFonts w:ascii="Times New Roman"/>
          <w:w w:val="105"/>
          <w:sz w:val="23"/>
        </w:rPr>
        <w:t>no</w:t>
      </w:r>
      <w:r>
        <w:rPr>
          <w:rFonts w:ascii="Times New Roman"/>
          <w:spacing w:val="-8"/>
          <w:w w:val="105"/>
          <w:sz w:val="23"/>
        </w:rPr>
        <w:t> </w:t>
      </w:r>
      <w:r>
        <w:rPr>
          <w:rFonts w:ascii="Times New Roman"/>
          <w:w w:val="105"/>
          <w:sz w:val="23"/>
        </w:rPr>
        <w:t>person on</w:t>
      </w:r>
      <w:r>
        <w:rPr>
          <w:rFonts w:ascii="Times New Roman"/>
          <w:spacing w:val="-1"/>
          <w:w w:val="105"/>
          <w:sz w:val="23"/>
        </w:rPr>
        <w:t> </w:t>
      </w:r>
      <w:r>
        <w:rPr>
          <w:rFonts w:ascii="Times New Roman"/>
          <w:w w:val="105"/>
          <w:sz w:val="23"/>
        </w:rPr>
        <w:t>the</w:t>
      </w:r>
      <w:r>
        <w:rPr>
          <w:rFonts w:ascii="Times New Roman"/>
          <w:spacing w:val="-3"/>
          <w:w w:val="105"/>
          <w:sz w:val="23"/>
        </w:rPr>
        <w:t> </w:t>
      </w:r>
      <w:r>
        <w:rPr>
          <w:rFonts w:ascii="Times New Roman"/>
          <w:w w:val="105"/>
          <w:sz w:val="23"/>
        </w:rPr>
        <w:t>grounds of race, color, or national origin, will be</w:t>
      </w:r>
      <w:r>
        <w:rPr>
          <w:rFonts w:ascii="Times New Roman"/>
          <w:spacing w:val="-5"/>
          <w:w w:val="105"/>
          <w:sz w:val="23"/>
        </w:rPr>
        <w:t> </w:t>
      </w:r>
      <w:r>
        <w:rPr>
          <w:rFonts w:ascii="Times New Roman"/>
          <w:w w:val="105"/>
          <w:sz w:val="23"/>
        </w:rPr>
        <w:t>excluded from paiiicipation</w:t>
      </w:r>
      <w:r>
        <w:rPr>
          <w:rFonts w:ascii="Times New Roman"/>
          <w:spacing w:val="33"/>
          <w:w w:val="105"/>
          <w:sz w:val="23"/>
        </w:rPr>
        <w:t> </w:t>
      </w:r>
      <w:r>
        <w:rPr>
          <w:rFonts w:ascii="Times New Roman"/>
          <w:w w:val="105"/>
          <w:sz w:val="23"/>
        </w:rPr>
        <w:t>in,</w:t>
      </w:r>
    </w:p>
    <w:p>
      <w:pPr>
        <w:spacing w:line="262" w:lineRule="exact" w:before="0"/>
        <w:ind w:left="1570" w:right="0" w:firstLine="0"/>
        <w:jc w:val="left"/>
        <w:rPr>
          <w:rFonts w:ascii="Times New Roman"/>
          <w:sz w:val="23"/>
        </w:rPr>
      </w:pPr>
      <w:r>
        <w:rPr>
          <w:rFonts w:ascii="Times New Roman"/>
          <w:w w:val="105"/>
          <w:sz w:val="23"/>
        </w:rPr>
        <w:t>denied the</w:t>
      </w:r>
      <w:r>
        <w:rPr>
          <w:rFonts w:ascii="Times New Roman"/>
          <w:spacing w:val="-2"/>
          <w:w w:val="105"/>
          <w:sz w:val="23"/>
        </w:rPr>
        <w:t> </w:t>
      </w:r>
      <w:r>
        <w:rPr>
          <w:rFonts w:ascii="Times New Roman"/>
          <w:w w:val="105"/>
          <w:sz w:val="23"/>
        </w:rPr>
        <w:t>benefits</w:t>
      </w:r>
      <w:r>
        <w:rPr>
          <w:rFonts w:ascii="Times New Roman"/>
          <w:spacing w:val="-2"/>
          <w:w w:val="105"/>
          <w:sz w:val="23"/>
        </w:rPr>
        <w:t> </w:t>
      </w:r>
      <w:r>
        <w:rPr>
          <w:rFonts w:ascii="Times New Roman"/>
          <w:w w:val="105"/>
          <w:sz w:val="23"/>
        </w:rPr>
        <w:t>of,</w:t>
      </w:r>
      <w:r>
        <w:rPr>
          <w:rFonts w:ascii="Times New Roman"/>
          <w:spacing w:val="-9"/>
          <w:w w:val="105"/>
          <w:sz w:val="23"/>
        </w:rPr>
        <w:t> </w:t>
      </w:r>
      <w:r>
        <w:rPr>
          <w:rFonts w:ascii="Times New Roman"/>
          <w:w w:val="105"/>
          <w:sz w:val="23"/>
        </w:rPr>
        <w:t>or</w:t>
      </w:r>
      <w:r>
        <w:rPr>
          <w:rFonts w:ascii="Times New Roman"/>
          <w:spacing w:val="-2"/>
          <w:w w:val="105"/>
          <w:sz w:val="23"/>
        </w:rPr>
        <w:t> </w:t>
      </w:r>
      <w:r>
        <w:rPr>
          <w:rFonts w:ascii="Times New Roman"/>
          <w:w w:val="105"/>
          <w:sz w:val="23"/>
        </w:rPr>
        <w:t>be</w:t>
      </w:r>
      <w:r>
        <w:rPr>
          <w:rFonts w:ascii="Times New Roman"/>
          <w:spacing w:val="-10"/>
          <w:w w:val="105"/>
          <w:sz w:val="23"/>
        </w:rPr>
        <w:t> </w:t>
      </w:r>
      <w:r>
        <w:rPr>
          <w:rFonts w:ascii="Times New Roman"/>
          <w:w w:val="105"/>
          <w:sz w:val="23"/>
        </w:rPr>
        <w:t>otherwise</w:t>
      </w:r>
      <w:r>
        <w:rPr>
          <w:rFonts w:ascii="Times New Roman"/>
          <w:spacing w:val="-1"/>
          <w:w w:val="105"/>
          <w:sz w:val="23"/>
        </w:rPr>
        <w:t> </w:t>
      </w:r>
      <w:r>
        <w:rPr>
          <w:rFonts w:ascii="Times New Roman"/>
          <w:w w:val="105"/>
          <w:sz w:val="23"/>
        </w:rPr>
        <w:t>subjected</w:t>
      </w:r>
      <w:r>
        <w:rPr>
          <w:rFonts w:ascii="Times New Roman"/>
          <w:spacing w:val="-2"/>
          <w:w w:val="105"/>
          <w:sz w:val="23"/>
        </w:rPr>
        <w:t> </w:t>
      </w:r>
      <w:r>
        <w:rPr>
          <w:rFonts w:ascii="Times New Roman"/>
          <w:w w:val="105"/>
          <w:sz w:val="23"/>
        </w:rPr>
        <w:t>to</w:t>
      </w:r>
      <w:r>
        <w:rPr>
          <w:rFonts w:ascii="Times New Roman"/>
          <w:spacing w:val="-5"/>
          <w:w w:val="105"/>
          <w:sz w:val="23"/>
        </w:rPr>
        <w:t> </w:t>
      </w:r>
      <w:r>
        <w:rPr>
          <w:rFonts w:ascii="Times New Roman"/>
          <w:w w:val="105"/>
          <w:sz w:val="23"/>
        </w:rPr>
        <w:t>discrimination</w:t>
      </w:r>
      <w:r>
        <w:rPr>
          <w:rFonts w:ascii="Times New Roman"/>
          <w:spacing w:val="-12"/>
          <w:w w:val="105"/>
          <w:sz w:val="23"/>
        </w:rPr>
        <w:t> </w:t>
      </w:r>
      <w:r>
        <w:rPr>
          <w:rFonts w:ascii="Times New Roman"/>
          <w:w w:val="105"/>
          <w:sz w:val="23"/>
        </w:rPr>
        <w:t>in</w:t>
      </w:r>
      <w:r>
        <w:rPr>
          <w:rFonts w:ascii="Times New Roman"/>
          <w:spacing w:val="-14"/>
          <w:w w:val="105"/>
          <w:sz w:val="23"/>
        </w:rPr>
        <w:t> </w:t>
      </w:r>
      <w:r>
        <w:rPr>
          <w:rFonts w:ascii="Times New Roman"/>
          <w:w w:val="105"/>
          <w:sz w:val="23"/>
        </w:rPr>
        <w:t>the</w:t>
      </w:r>
      <w:r>
        <w:rPr>
          <w:rFonts w:ascii="Times New Roman"/>
          <w:spacing w:val="-3"/>
          <w:w w:val="105"/>
          <w:sz w:val="23"/>
        </w:rPr>
        <w:t> </w:t>
      </w:r>
      <w:r>
        <w:rPr>
          <w:rFonts w:ascii="Times New Roman"/>
          <w:w w:val="105"/>
          <w:sz w:val="23"/>
        </w:rPr>
        <w:t>use</w:t>
      </w:r>
      <w:r>
        <w:rPr>
          <w:rFonts w:ascii="Times New Roman"/>
          <w:spacing w:val="-9"/>
          <w:w w:val="105"/>
          <w:sz w:val="23"/>
        </w:rPr>
        <w:t> </w:t>
      </w:r>
      <w:r>
        <w:rPr>
          <w:rFonts w:ascii="Times New Roman"/>
          <w:w w:val="105"/>
          <w:sz w:val="23"/>
        </w:rPr>
        <w:t>of</w:t>
      </w:r>
      <w:r>
        <w:rPr>
          <w:rFonts w:ascii="Times New Roman"/>
          <w:spacing w:val="-12"/>
          <w:w w:val="105"/>
          <w:sz w:val="23"/>
        </w:rPr>
        <w:t> </w:t>
      </w:r>
      <w:r>
        <w:rPr>
          <w:rFonts w:ascii="Times New Roman"/>
          <w:w w:val="105"/>
          <w:sz w:val="23"/>
        </w:rPr>
        <w:t>said </w:t>
      </w:r>
      <w:r>
        <w:rPr>
          <w:rFonts w:ascii="Times New Roman"/>
          <w:spacing w:val="-2"/>
          <w:w w:val="105"/>
          <w:sz w:val="23"/>
        </w:rPr>
        <w:t>facilities.</w:t>
      </w:r>
    </w:p>
    <w:p>
      <w:pPr>
        <w:pStyle w:val="BodyText"/>
        <w:rPr>
          <w:rFonts w:ascii="Times New Roman"/>
          <w:sz w:val="26"/>
        </w:rPr>
      </w:pPr>
    </w:p>
    <w:p>
      <w:pPr>
        <w:pStyle w:val="ListParagraph"/>
        <w:numPr>
          <w:ilvl w:val="0"/>
          <w:numId w:val="32"/>
        </w:numPr>
        <w:tabs>
          <w:tab w:pos="1180" w:val="left" w:leader="none"/>
          <w:tab w:pos="1184" w:val="left" w:leader="none"/>
        </w:tabs>
        <w:spacing w:line="259" w:lineRule="auto" w:before="0" w:after="0"/>
        <w:ind w:left="1180" w:right="878" w:hanging="342"/>
        <w:jc w:val="left"/>
        <w:rPr>
          <w:rFonts w:ascii="Times New Roman" w:hAnsi="Times New Roman"/>
          <w:sz w:val="23"/>
        </w:rPr>
      </w:pPr>
      <w:r>
        <w:rPr>
          <w:rFonts w:ascii="Times New Roman" w:hAnsi="Times New Roman"/>
          <w:sz w:val="23"/>
        </w:rPr>
        <w:tab/>
      </w:r>
      <w:r>
        <w:rPr>
          <w:rFonts w:ascii="Times New Roman" w:hAnsi="Times New Roman"/>
          <w:w w:val="105"/>
          <w:sz w:val="23"/>
        </w:rPr>
        <w:t>With respect to</w:t>
      </w:r>
      <w:r>
        <w:rPr>
          <w:rFonts w:ascii="Times New Roman" w:hAnsi="Times New Roman"/>
          <w:spacing w:val="-1"/>
          <w:w w:val="105"/>
          <w:sz w:val="23"/>
        </w:rPr>
        <w:t> </w:t>
      </w:r>
      <w:r>
        <w:rPr>
          <w:rFonts w:ascii="Times New Roman" w:hAnsi="Times New Roman"/>
          <w:w w:val="105"/>
          <w:sz w:val="23"/>
        </w:rPr>
        <w:t>licenses, leases, permits,</w:t>
      </w:r>
      <w:r>
        <w:rPr>
          <w:rFonts w:ascii="Times New Roman" w:hAnsi="Times New Roman"/>
          <w:spacing w:val="-4"/>
          <w:w w:val="105"/>
          <w:sz w:val="23"/>
        </w:rPr>
        <w:t> </w:t>
      </w:r>
      <w:r>
        <w:rPr>
          <w:rFonts w:ascii="Times New Roman" w:hAnsi="Times New Roman"/>
          <w:w w:val="105"/>
          <w:sz w:val="23"/>
        </w:rPr>
        <w:t>etc., in</w:t>
      </w:r>
      <w:r>
        <w:rPr>
          <w:rFonts w:ascii="Times New Roman" w:hAnsi="Times New Roman"/>
          <w:spacing w:val="-2"/>
          <w:w w:val="105"/>
          <w:sz w:val="23"/>
        </w:rPr>
        <w:t> </w:t>
      </w:r>
      <w:r>
        <w:rPr>
          <w:rFonts w:ascii="Times New Roman" w:hAnsi="Times New Roman"/>
          <w:w w:val="105"/>
          <w:sz w:val="23"/>
        </w:rPr>
        <w:t>the</w:t>
      </w:r>
      <w:r>
        <w:rPr>
          <w:rFonts w:ascii="Times New Roman" w:hAnsi="Times New Roman"/>
          <w:spacing w:val="-6"/>
          <w:w w:val="105"/>
          <w:sz w:val="23"/>
        </w:rPr>
        <w:t> </w:t>
      </w:r>
      <w:r>
        <w:rPr>
          <w:rFonts w:ascii="Times New Roman" w:hAnsi="Times New Roman"/>
          <w:w w:val="105"/>
          <w:sz w:val="23"/>
        </w:rPr>
        <w:t>event of</w:t>
      </w:r>
      <w:r>
        <w:rPr>
          <w:rFonts w:ascii="Times New Roman" w:hAnsi="Times New Roman"/>
          <w:spacing w:val="-2"/>
          <w:w w:val="105"/>
          <w:sz w:val="23"/>
        </w:rPr>
        <w:t> </w:t>
      </w:r>
      <w:r>
        <w:rPr>
          <w:rFonts w:ascii="Times New Roman" w:hAnsi="Times New Roman"/>
          <w:w w:val="105"/>
          <w:sz w:val="23"/>
        </w:rPr>
        <w:t>breach of</w:t>
      </w:r>
      <w:r>
        <w:rPr>
          <w:rFonts w:ascii="Times New Roman" w:hAnsi="Times New Roman"/>
          <w:spacing w:val="-4"/>
          <w:w w:val="105"/>
          <w:sz w:val="23"/>
        </w:rPr>
        <w:t> </w:t>
      </w:r>
      <w:r>
        <w:rPr>
          <w:rFonts w:ascii="Times New Roman" w:hAnsi="Times New Roman"/>
          <w:w w:val="105"/>
          <w:sz w:val="23"/>
        </w:rPr>
        <w:t>any of the above Non­ discrimination</w:t>
      </w:r>
      <w:r>
        <w:rPr>
          <w:rFonts w:ascii="Times New Roman" w:hAnsi="Times New Roman"/>
          <w:spacing w:val="-11"/>
          <w:w w:val="105"/>
          <w:sz w:val="23"/>
        </w:rPr>
        <w:t> </w:t>
      </w:r>
      <w:r>
        <w:rPr>
          <w:rFonts w:ascii="Times New Roman" w:hAnsi="Times New Roman"/>
          <w:w w:val="105"/>
          <w:sz w:val="23"/>
        </w:rPr>
        <w:t>covenants, </w:t>
      </w:r>
      <w:r>
        <w:rPr>
          <w:rFonts w:ascii="Times New Roman" w:hAnsi="Times New Roman"/>
          <w:b/>
          <w:i/>
          <w:w w:val="105"/>
          <w:sz w:val="23"/>
        </w:rPr>
        <w:t>Maine Depurtment of TNmsportation </w:t>
      </w:r>
      <w:r>
        <w:rPr>
          <w:rFonts w:ascii="Times New Roman" w:hAnsi="Times New Roman"/>
          <w:w w:val="105"/>
          <w:sz w:val="23"/>
        </w:rPr>
        <w:t>will have the</w:t>
      </w:r>
      <w:r>
        <w:rPr>
          <w:rFonts w:ascii="Times New Roman" w:hAnsi="Times New Roman"/>
          <w:spacing w:val="-1"/>
          <w:w w:val="105"/>
          <w:sz w:val="23"/>
        </w:rPr>
        <w:t> </w:t>
      </w:r>
      <w:r>
        <w:rPr>
          <w:rFonts w:ascii="Times New Roman" w:hAnsi="Times New Roman"/>
          <w:w w:val="105"/>
          <w:sz w:val="23"/>
        </w:rPr>
        <w:t>right to terminate the</w:t>
      </w:r>
      <w:r>
        <w:rPr>
          <w:rFonts w:ascii="Times New Roman" w:hAnsi="Times New Roman"/>
          <w:spacing w:val="-6"/>
          <w:w w:val="105"/>
          <w:sz w:val="23"/>
        </w:rPr>
        <w:t> </w:t>
      </w:r>
      <w:r>
        <w:rPr>
          <w:rFonts w:ascii="Times New Roman" w:hAnsi="Times New Roman"/>
          <w:w w:val="105"/>
          <w:sz w:val="23"/>
        </w:rPr>
        <w:t>(lease, license, permit, etc.) and to</w:t>
      </w:r>
      <w:r>
        <w:rPr>
          <w:rFonts w:ascii="Times New Roman" w:hAnsi="Times New Roman"/>
          <w:spacing w:val="-2"/>
          <w:w w:val="105"/>
          <w:sz w:val="23"/>
        </w:rPr>
        <w:t> </w:t>
      </w:r>
      <w:r>
        <w:rPr>
          <w:rFonts w:ascii="Times New Roman" w:hAnsi="Times New Roman"/>
          <w:w w:val="105"/>
          <w:sz w:val="23"/>
        </w:rPr>
        <w:t>enter, re-enter, and repossess said lands and facilities</w:t>
      </w:r>
      <w:r>
        <w:rPr>
          <w:rFonts w:ascii="Times New Roman" w:hAnsi="Times New Roman"/>
          <w:spacing w:val="-8"/>
          <w:w w:val="105"/>
          <w:sz w:val="23"/>
        </w:rPr>
        <w:t> </w:t>
      </w:r>
      <w:r>
        <w:rPr>
          <w:rFonts w:ascii="Times New Roman" w:hAnsi="Times New Roman"/>
          <w:w w:val="105"/>
          <w:sz w:val="23"/>
        </w:rPr>
        <w:t>thereon,</w:t>
      </w:r>
      <w:r>
        <w:rPr>
          <w:rFonts w:ascii="Times New Roman" w:hAnsi="Times New Roman"/>
          <w:spacing w:val="-2"/>
          <w:w w:val="105"/>
          <w:sz w:val="23"/>
        </w:rPr>
        <w:t> </w:t>
      </w:r>
      <w:r>
        <w:rPr>
          <w:rFonts w:ascii="Times New Roman" w:hAnsi="Times New Roman"/>
          <w:w w:val="105"/>
          <w:sz w:val="23"/>
        </w:rPr>
        <w:t>and hold</w:t>
      </w:r>
      <w:r>
        <w:rPr>
          <w:rFonts w:ascii="Times New Roman" w:hAnsi="Times New Roman"/>
          <w:spacing w:val="-4"/>
          <w:w w:val="105"/>
          <w:sz w:val="23"/>
        </w:rPr>
        <w:t> </w:t>
      </w:r>
      <w:r>
        <w:rPr>
          <w:rFonts w:ascii="Times New Roman" w:hAnsi="Times New Roman"/>
          <w:w w:val="105"/>
          <w:sz w:val="23"/>
        </w:rPr>
        <w:t>the</w:t>
      </w:r>
      <w:r>
        <w:rPr>
          <w:rFonts w:ascii="Times New Roman" w:hAnsi="Times New Roman"/>
          <w:spacing w:val="-16"/>
          <w:w w:val="105"/>
          <w:sz w:val="23"/>
        </w:rPr>
        <w:t> </w:t>
      </w:r>
      <w:r>
        <w:rPr>
          <w:rFonts w:ascii="Times New Roman" w:hAnsi="Times New Roman"/>
          <w:w w:val="105"/>
          <w:sz w:val="23"/>
        </w:rPr>
        <w:t>same</w:t>
      </w:r>
      <w:r>
        <w:rPr>
          <w:rFonts w:ascii="Times New Roman" w:hAnsi="Times New Roman"/>
          <w:spacing w:val="-8"/>
          <w:w w:val="105"/>
          <w:sz w:val="23"/>
        </w:rPr>
        <w:t> </w:t>
      </w:r>
      <w:r>
        <w:rPr>
          <w:rFonts w:ascii="Times New Roman" w:hAnsi="Times New Roman"/>
          <w:w w:val="105"/>
          <w:sz w:val="23"/>
        </w:rPr>
        <w:t>as</w:t>
      </w:r>
      <w:r>
        <w:rPr>
          <w:rFonts w:ascii="Times New Roman" w:hAnsi="Times New Roman"/>
          <w:spacing w:val="-9"/>
          <w:w w:val="105"/>
          <w:sz w:val="23"/>
        </w:rPr>
        <w:t> </w:t>
      </w:r>
      <w:r>
        <w:rPr>
          <w:rFonts w:ascii="Times New Roman" w:hAnsi="Times New Roman"/>
          <w:w w:val="105"/>
          <w:sz w:val="23"/>
        </w:rPr>
        <w:t>if</w:t>
      </w:r>
      <w:r>
        <w:rPr>
          <w:rFonts w:ascii="Times New Roman" w:hAnsi="Times New Roman"/>
          <w:spacing w:val="-15"/>
          <w:w w:val="105"/>
          <w:sz w:val="23"/>
        </w:rPr>
        <w:t> </w:t>
      </w:r>
      <w:r>
        <w:rPr>
          <w:rFonts w:ascii="Times New Roman" w:hAnsi="Times New Roman"/>
          <w:w w:val="105"/>
          <w:sz w:val="23"/>
        </w:rPr>
        <w:t>the</w:t>
      </w:r>
      <w:r>
        <w:rPr>
          <w:rFonts w:ascii="Times New Roman" w:hAnsi="Times New Roman"/>
          <w:spacing w:val="-8"/>
          <w:w w:val="105"/>
          <w:sz w:val="23"/>
        </w:rPr>
        <w:t> </w:t>
      </w:r>
      <w:r>
        <w:rPr>
          <w:rFonts w:ascii="Times New Roman" w:hAnsi="Times New Roman"/>
          <w:w w:val="105"/>
          <w:sz w:val="23"/>
        </w:rPr>
        <w:t>(lease,</w:t>
      </w:r>
      <w:r>
        <w:rPr>
          <w:rFonts w:ascii="Times New Roman" w:hAnsi="Times New Roman"/>
          <w:spacing w:val="-7"/>
          <w:w w:val="105"/>
          <w:sz w:val="23"/>
        </w:rPr>
        <w:t> </w:t>
      </w:r>
      <w:r>
        <w:rPr>
          <w:rFonts w:ascii="Times New Roman" w:hAnsi="Times New Roman"/>
          <w:w w:val="105"/>
          <w:sz w:val="23"/>
        </w:rPr>
        <w:t>license,</w:t>
      </w:r>
      <w:r>
        <w:rPr>
          <w:rFonts w:ascii="Times New Roman" w:hAnsi="Times New Roman"/>
          <w:spacing w:val="-1"/>
          <w:w w:val="105"/>
          <w:sz w:val="23"/>
        </w:rPr>
        <w:t> </w:t>
      </w:r>
      <w:r>
        <w:rPr>
          <w:rFonts w:ascii="Times New Roman" w:hAnsi="Times New Roman"/>
          <w:w w:val="105"/>
          <w:sz w:val="23"/>
        </w:rPr>
        <w:t>permit,</w:t>
      </w:r>
      <w:r>
        <w:rPr>
          <w:rFonts w:ascii="Times New Roman" w:hAnsi="Times New Roman"/>
          <w:spacing w:val="-13"/>
          <w:w w:val="105"/>
          <w:sz w:val="23"/>
        </w:rPr>
        <w:t> </w:t>
      </w:r>
      <w:r>
        <w:rPr>
          <w:rFonts w:ascii="Times New Roman" w:hAnsi="Times New Roman"/>
          <w:w w:val="105"/>
          <w:sz w:val="23"/>
        </w:rPr>
        <w:t>etc.)</w:t>
      </w:r>
      <w:r>
        <w:rPr>
          <w:rFonts w:ascii="Times New Roman" w:hAnsi="Times New Roman"/>
          <w:spacing w:val="-8"/>
          <w:w w:val="105"/>
          <w:sz w:val="23"/>
        </w:rPr>
        <w:t> </w:t>
      </w:r>
      <w:r>
        <w:rPr>
          <w:rFonts w:ascii="Times New Roman" w:hAnsi="Times New Roman"/>
          <w:w w:val="105"/>
          <w:sz w:val="23"/>
        </w:rPr>
        <w:t>had never been made or issued.*</w:t>
      </w:r>
    </w:p>
    <w:p>
      <w:pPr>
        <w:pStyle w:val="ListParagraph"/>
        <w:numPr>
          <w:ilvl w:val="0"/>
          <w:numId w:val="32"/>
        </w:numPr>
        <w:tabs>
          <w:tab w:pos="1187" w:val="left" w:leader="none"/>
          <w:tab w:pos="1191" w:val="left" w:leader="none"/>
        </w:tabs>
        <w:spacing w:line="259" w:lineRule="auto" w:before="231" w:after="0"/>
        <w:ind w:left="1187" w:right="672" w:hanging="361"/>
        <w:jc w:val="left"/>
        <w:rPr>
          <w:rFonts w:ascii="Times New Roman"/>
          <w:sz w:val="23"/>
        </w:rPr>
      </w:pPr>
      <w:r>
        <w:rPr>
          <w:rFonts w:ascii="Times New Roman"/>
          <w:sz w:val="23"/>
        </w:rPr>
        <w:tab/>
      </w:r>
      <w:r>
        <w:rPr>
          <w:rFonts w:ascii="Times New Roman"/>
          <w:w w:val="105"/>
          <w:sz w:val="23"/>
        </w:rPr>
        <w:t>With</w:t>
      </w:r>
      <w:r>
        <w:rPr>
          <w:rFonts w:ascii="Times New Roman"/>
          <w:spacing w:val="-8"/>
          <w:w w:val="105"/>
          <w:sz w:val="23"/>
        </w:rPr>
        <w:t> </w:t>
      </w:r>
      <w:r>
        <w:rPr>
          <w:rFonts w:ascii="Times New Roman"/>
          <w:w w:val="105"/>
          <w:sz w:val="23"/>
        </w:rPr>
        <w:t>respect to</w:t>
      </w:r>
      <w:r>
        <w:rPr>
          <w:rFonts w:ascii="Times New Roman"/>
          <w:spacing w:val="-7"/>
          <w:w w:val="105"/>
          <w:sz w:val="23"/>
        </w:rPr>
        <w:t> </w:t>
      </w:r>
      <w:r>
        <w:rPr>
          <w:rFonts w:ascii="Times New Roman"/>
          <w:w w:val="105"/>
          <w:sz w:val="23"/>
        </w:rPr>
        <w:t>a</w:t>
      </w:r>
      <w:r>
        <w:rPr>
          <w:rFonts w:ascii="Times New Roman"/>
          <w:spacing w:val="-7"/>
          <w:w w:val="105"/>
          <w:sz w:val="23"/>
        </w:rPr>
        <w:t> </w:t>
      </w:r>
      <w:r>
        <w:rPr>
          <w:rFonts w:ascii="Times New Roman"/>
          <w:w w:val="105"/>
          <w:sz w:val="23"/>
        </w:rPr>
        <w:t>deed,</w:t>
      </w:r>
      <w:r>
        <w:rPr>
          <w:rFonts w:ascii="Times New Roman"/>
          <w:spacing w:val="-5"/>
          <w:w w:val="105"/>
          <w:sz w:val="23"/>
        </w:rPr>
        <w:t> </w:t>
      </w:r>
      <w:r>
        <w:rPr>
          <w:rFonts w:ascii="Times New Roman"/>
          <w:w w:val="105"/>
          <w:sz w:val="23"/>
        </w:rPr>
        <w:t>in</w:t>
      </w:r>
      <w:r>
        <w:rPr>
          <w:rFonts w:ascii="Times New Roman"/>
          <w:spacing w:val="-8"/>
          <w:w w:val="105"/>
          <w:sz w:val="23"/>
        </w:rPr>
        <w:t> </w:t>
      </w:r>
      <w:r>
        <w:rPr>
          <w:rFonts w:ascii="Times New Roman"/>
          <w:w w:val="105"/>
          <w:sz w:val="23"/>
        </w:rPr>
        <w:t>the</w:t>
      </w:r>
      <w:r>
        <w:rPr>
          <w:rFonts w:ascii="Times New Roman"/>
          <w:spacing w:val="-11"/>
          <w:w w:val="105"/>
          <w:sz w:val="23"/>
        </w:rPr>
        <w:t> </w:t>
      </w:r>
      <w:r>
        <w:rPr>
          <w:rFonts w:ascii="Times New Roman"/>
          <w:w w:val="105"/>
          <w:sz w:val="23"/>
        </w:rPr>
        <w:t>event</w:t>
      </w:r>
      <w:r>
        <w:rPr>
          <w:rFonts w:ascii="Times New Roman"/>
          <w:spacing w:val="-7"/>
          <w:w w:val="105"/>
          <w:sz w:val="23"/>
        </w:rPr>
        <w:t> </w:t>
      </w:r>
      <w:r>
        <w:rPr>
          <w:rFonts w:ascii="Times New Roman"/>
          <w:w w:val="105"/>
          <w:sz w:val="23"/>
        </w:rPr>
        <w:t>of</w:t>
      </w:r>
      <w:r>
        <w:rPr>
          <w:rFonts w:ascii="Times New Roman"/>
          <w:spacing w:val="-7"/>
          <w:w w:val="105"/>
          <w:sz w:val="23"/>
        </w:rPr>
        <w:t> </w:t>
      </w:r>
      <w:r>
        <w:rPr>
          <w:rFonts w:ascii="Times New Roman"/>
          <w:w w:val="105"/>
          <w:sz w:val="23"/>
        </w:rPr>
        <w:t>breach</w:t>
      </w:r>
      <w:r>
        <w:rPr>
          <w:rFonts w:ascii="Times New Roman"/>
          <w:spacing w:val="-1"/>
          <w:w w:val="105"/>
          <w:sz w:val="23"/>
        </w:rPr>
        <w:t> </w:t>
      </w:r>
      <w:r>
        <w:rPr>
          <w:rFonts w:ascii="Times New Roman"/>
          <w:w w:val="105"/>
          <w:sz w:val="23"/>
        </w:rPr>
        <w:t>of</w:t>
      </w:r>
      <w:r>
        <w:rPr>
          <w:rFonts w:ascii="Times New Roman"/>
          <w:spacing w:val="-10"/>
          <w:w w:val="105"/>
          <w:sz w:val="23"/>
        </w:rPr>
        <w:t> </w:t>
      </w:r>
      <w:r>
        <w:rPr>
          <w:rFonts w:ascii="Times New Roman"/>
          <w:w w:val="105"/>
          <w:sz w:val="23"/>
        </w:rPr>
        <w:t>any of</w:t>
      </w:r>
      <w:r>
        <w:rPr>
          <w:rFonts w:ascii="Times New Roman"/>
          <w:spacing w:val="-11"/>
          <w:w w:val="105"/>
          <w:sz w:val="23"/>
        </w:rPr>
        <w:t> </w:t>
      </w:r>
      <w:r>
        <w:rPr>
          <w:rFonts w:ascii="Times New Roman"/>
          <w:w w:val="105"/>
          <w:sz w:val="23"/>
        </w:rPr>
        <w:t>the</w:t>
      </w:r>
      <w:r>
        <w:rPr>
          <w:rFonts w:ascii="Times New Roman"/>
          <w:spacing w:val="-11"/>
          <w:w w:val="105"/>
          <w:sz w:val="23"/>
        </w:rPr>
        <w:t> </w:t>
      </w:r>
      <w:r>
        <w:rPr>
          <w:rFonts w:ascii="Times New Roman"/>
          <w:w w:val="105"/>
          <w:sz w:val="23"/>
        </w:rPr>
        <w:t>above Non-discrimination</w:t>
      </w:r>
      <w:r>
        <w:rPr>
          <w:rFonts w:ascii="Times New Roman"/>
          <w:spacing w:val="-19"/>
          <w:w w:val="105"/>
          <w:sz w:val="23"/>
        </w:rPr>
        <w:t> </w:t>
      </w:r>
      <w:r>
        <w:rPr>
          <w:rFonts w:ascii="Times New Roman"/>
          <w:w w:val="105"/>
          <w:sz w:val="23"/>
        </w:rPr>
        <w:t>covenants, the</w:t>
      </w:r>
      <w:r>
        <w:rPr>
          <w:rFonts w:ascii="Times New Roman"/>
          <w:spacing w:val="-1"/>
          <w:w w:val="105"/>
          <w:sz w:val="23"/>
        </w:rPr>
        <w:t> </w:t>
      </w:r>
      <w:r>
        <w:rPr>
          <w:rFonts w:ascii="Times New Roman"/>
          <w:b/>
          <w:i/>
          <w:w w:val="105"/>
          <w:sz w:val="23"/>
        </w:rPr>
        <w:t>Maine Department of Tmnsportation </w:t>
      </w:r>
      <w:r>
        <w:rPr>
          <w:rFonts w:ascii="Times New Roman"/>
          <w:w w:val="105"/>
          <w:sz w:val="23"/>
        </w:rPr>
        <w:t>will have</w:t>
      </w:r>
      <w:r>
        <w:rPr>
          <w:rFonts w:ascii="Times New Roman"/>
          <w:spacing w:val="-4"/>
          <w:w w:val="105"/>
          <w:sz w:val="23"/>
        </w:rPr>
        <w:t> </w:t>
      </w:r>
      <w:r>
        <w:rPr>
          <w:rFonts w:ascii="Times New Roman"/>
          <w:w w:val="105"/>
          <w:sz w:val="23"/>
        </w:rPr>
        <w:t>the</w:t>
      </w:r>
      <w:r>
        <w:rPr>
          <w:rFonts w:ascii="Times New Roman"/>
          <w:spacing w:val="-6"/>
          <w:w w:val="105"/>
          <w:sz w:val="23"/>
        </w:rPr>
        <w:t> </w:t>
      </w:r>
      <w:r>
        <w:rPr>
          <w:rFonts w:ascii="Times New Roman"/>
          <w:w w:val="105"/>
          <w:sz w:val="23"/>
        </w:rPr>
        <w:t>right to enter or re-enter the</w:t>
      </w:r>
      <w:r>
        <w:rPr>
          <w:rFonts w:ascii="Times New Roman"/>
          <w:spacing w:val="-2"/>
          <w:w w:val="105"/>
          <w:sz w:val="23"/>
        </w:rPr>
        <w:t> </w:t>
      </w:r>
      <w:r>
        <w:rPr>
          <w:rFonts w:ascii="Times New Roman"/>
          <w:w w:val="105"/>
          <w:sz w:val="23"/>
        </w:rPr>
        <w:t>lands and facilities thereon, and the</w:t>
      </w:r>
      <w:r>
        <w:rPr>
          <w:rFonts w:ascii="Times New Roman"/>
          <w:spacing w:val="-6"/>
          <w:w w:val="105"/>
          <w:sz w:val="23"/>
        </w:rPr>
        <w:t> </w:t>
      </w:r>
      <w:r>
        <w:rPr>
          <w:rFonts w:ascii="Times New Roman"/>
          <w:w w:val="105"/>
          <w:sz w:val="23"/>
        </w:rPr>
        <w:t>above described lands</w:t>
      </w:r>
      <w:r>
        <w:rPr>
          <w:rFonts w:ascii="Times New Roman"/>
          <w:spacing w:val="-4"/>
          <w:w w:val="105"/>
          <w:sz w:val="23"/>
        </w:rPr>
        <w:t> </w:t>
      </w:r>
      <w:r>
        <w:rPr>
          <w:rFonts w:ascii="Times New Roman"/>
          <w:w w:val="105"/>
          <w:sz w:val="23"/>
        </w:rPr>
        <w:t>and facilities will</w:t>
      </w:r>
      <w:r>
        <w:rPr>
          <w:rFonts w:ascii="Times New Roman"/>
          <w:spacing w:val="-4"/>
          <w:w w:val="105"/>
          <w:sz w:val="23"/>
        </w:rPr>
        <w:t> </w:t>
      </w:r>
      <w:r>
        <w:rPr>
          <w:rFonts w:ascii="Times New Roman"/>
          <w:w w:val="105"/>
          <w:sz w:val="23"/>
        </w:rPr>
        <w:t>there upon revert to</w:t>
      </w:r>
      <w:r>
        <w:rPr>
          <w:rFonts w:ascii="Times New Roman"/>
          <w:spacing w:val="-9"/>
          <w:w w:val="105"/>
          <w:sz w:val="23"/>
        </w:rPr>
        <w:t> </w:t>
      </w:r>
      <w:r>
        <w:rPr>
          <w:rFonts w:ascii="Times New Roman"/>
          <w:w w:val="105"/>
          <w:sz w:val="23"/>
        </w:rPr>
        <w:t>and vest in</w:t>
      </w:r>
      <w:r>
        <w:rPr>
          <w:rFonts w:ascii="Times New Roman"/>
          <w:spacing w:val="-14"/>
          <w:w w:val="105"/>
          <w:sz w:val="23"/>
        </w:rPr>
        <w:t> </w:t>
      </w:r>
      <w:r>
        <w:rPr>
          <w:rFonts w:ascii="Times New Roman"/>
          <w:w w:val="105"/>
          <w:sz w:val="23"/>
        </w:rPr>
        <w:t>and become</w:t>
      </w:r>
      <w:r>
        <w:rPr>
          <w:rFonts w:ascii="Times New Roman"/>
          <w:spacing w:val="-5"/>
          <w:w w:val="105"/>
          <w:sz w:val="23"/>
        </w:rPr>
        <w:t> </w:t>
      </w:r>
      <w:r>
        <w:rPr>
          <w:rFonts w:ascii="Times New Roman"/>
          <w:w w:val="105"/>
          <w:sz w:val="23"/>
        </w:rPr>
        <w:t>the</w:t>
      </w:r>
      <w:r>
        <w:rPr>
          <w:rFonts w:ascii="Times New Roman"/>
          <w:spacing w:val="-5"/>
          <w:w w:val="105"/>
          <w:sz w:val="23"/>
        </w:rPr>
        <w:t> </w:t>
      </w:r>
      <w:r>
        <w:rPr>
          <w:rFonts w:ascii="Times New Roman"/>
          <w:w w:val="105"/>
          <w:sz w:val="23"/>
        </w:rPr>
        <w:t>absolute prope1iy of</w:t>
      </w:r>
      <w:r>
        <w:rPr>
          <w:rFonts w:ascii="Times New Roman"/>
          <w:spacing w:val="-11"/>
          <w:w w:val="105"/>
          <w:sz w:val="23"/>
        </w:rPr>
        <w:t> </w:t>
      </w:r>
      <w:r>
        <w:rPr>
          <w:rFonts w:ascii="Times New Roman"/>
          <w:w w:val="105"/>
          <w:sz w:val="23"/>
        </w:rPr>
        <w:t>the</w:t>
      </w:r>
      <w:r>
        <w:rPr>
          <w:rFonts w:ascii="Times New Roman"/>
          <w:spacing w:val="-9"/>
          <w:w w:val="105"/>
          <w:sz w:val="23"/>
        </w:rPr>
        <w:t> </w:t>
      </w:r>
      <w:r>
        <w:rPr>
          <w:rFonts w:ascii="Times New Roman"/>
          <w:b/>
          <w:i/>
          <w:w w:val="105"/>
          <w:sz w:val="23"/>
        </w:rPr>
        <w:t>Muine Depurtment of Tmnsportution</w:t>
      </w:r>
      <w:r>
        <w:rPr>
          <w:rFonts w:ascii="Times New Roman"/>
          <w:b/>
          <w:i/>
          <w:spacing w:val="22"/>
          <w:w w:val="105"/>
          <w:sz w:val="23"/>
        </w:rPr>
        <w:t> </w:t>
      </w:r>
      <w:r>
        <w:rPr>
          <w:rFonts w:ascii="Times New Roman"/>
          <w:w w:val="105"/>
          <w:sz w:val="23"/>
        </w:rPr>
        <w:t>and</w:t>
      </w:r>
      <w:r>
        <w:rPr>
          <w:rFonts w:ascii="Times New Roman"/>
          <w:spacing w:val="-1"/>
          <w:w w:val="105"/>
          <w:sz w:val="23"/>
        </w:rPr>
        <w:t> </w:t>
      </w:r>
      <w:r>
        <w:rPr>
          <w:rFonts w:ascii="Times New Roman"/>
          <w:w w:val="105"/>
          <w:sz w:val="23"/>
        </w:rPr>
        <w:t>its </w:t>
      </w:r>
      <w:r>
        <w:rPr>
          <w:rFonts w:ascii="Times New Roman"/>
          <w:spacing w:val="-2"/>
          <w:w w:val="105"/>
          <w:sz w:val="23"/>
        </w:rPr>
        <w:t>assigns.*</w:t>
      </w:r>
    </w:p>
    <w:p>
      <w:pPr>
        <w:pStyle w:val="BodyText"/>
        <w:rPr>
          <w:rFonts w:ascii="Times New Roman"/>
          <w:sz w:val="26"/>
        </w:rPr>
      </w:pPr>
    </w:p>
    <w:p>
      <w:pPr>
        <w:spacing w:line="268" w:lineRule="auto" w:before="222"/>
        <w:ind w:left="343" w:right="935" w:hanging="1"/>
        <w:jc w:val="left"/>
        <w:rPr>
          <w:rFonts w:ascii="Times New Roman"/>
          <w:sz w:val="23"/>
        </w:rPr>
      </w:pPr>
      <w:r>
        <w:rPr>
          <w:rFonts w:ascii="Times New Roman"/>
          <w:w w:val="105"/>
          <w:sz w:val="23"/>
        </w:rPr>
        <w:t>(*Reverter clause and</w:t>
      </w:r>
      <w:r>
        <w:rPr>
          <w:rFonts w:ascii="Times New Roman"/>
          <w:spacing w:val="-6"/>
          <w:w w:val="105"/>
          <w:sz w:val="23"/>
        </w:rPr>
        <w:t> </w:t>
      </w:r>
      <w:r>
        <w:rPr>
          <w:rFonts w:ascii="Times New Roman"/>
          <w:w w:val="105"/>
          <w:sz w:val="23"/>
        </w:rPr>
        <w:t>related</w:t>
      </w:r>
      <w:r>
        <w:rPr>
          <w:rFonts w:ascii="Times New Roman"/>
          <w:spacing w:val="-1"/>
          <w:w w:val="105"/>
          <w:sz w:val="23"/>
        </w:rPr>
        <w:t> </w:t>
      </w:r>
      <w:r>
        <w:rPr>
          <w:rFonts w:ascii="Times New Roman"/>
          <w:w w:val="105"/>
          <w:sz w:val="23"/>
        </w:rPr>
        <w:t>language to</w:t>
      </w:r>
      <w:r>
        <w:rPr>
          <w:rFonts w:ascii="Times New Roman"/>
          <w:spacing w:val="-10"/>
          <w:w w:val="105"/>
          <w:sz w:val="23"/>
        </w:rPr>
        <w:t> </w:t>
      </w:r>
      <w:r>
        <w:rPr>
          <w:rFonts w:ascii="Times New Roman"/>
          <w:w w:val="105"/>
          <w:sz w:val="23"/>
        </w:rPr>
        <w:t>be</w:t>
      </w:r>
      <w:r>
        <w:rPr>
          <w:rFonts w:ascii="Times New Roman"/>
          <w:spacing w:val="-8"/>
          <w:w w:val="105"/>
          <w:sz w:val="23"/>
        </w:rPr>
        <w:t> </w:t>
      </w:r>
      <w:r>
        <w:rPr>
          <w:rFonts w:ascii="Times New Roman"/>
          <w:w w:val="105"/>
          <w:sz w:val="23"/>
        </w:rPr>
        <w:t>used</w:t>
      </w:r>
      <w:r>
        <w:rPr>
          <w:rFonts w:ascii="Times New Roman"/>
          <w:spacing w:val="-4"/>
          <w:w w:val="105"/>
          <w:sz w:val="23"/>
        </w:rPr>
        <w:t> </w:t>
      </w:r>
      <w:r>
        <w:rPr>
          <w:rFonts w:ascii="Times New Roman"/>
          <w:w w:val="105"/>
          <w:sz w:val="23"/>
        </w:rPr>
        <w:t>only</w:t>
      </w:r>
      <w:r>
        <w:rPr>
          <w:rFonts w:ascii="Times New Roman"/>
          <w:spacing w:val="-9"/>
          <w:w w:val="105"/>
          <w:sz w:val="23"/>
        </w:rPr>
        <w:t> </w:t>
      </w:r>
      <w:r>
        <w:rPr>
          <w:rFonts w:ascii="Times New Roman"/>
          <w:w w:val="105"/>
          <w:sz w:val="23"/>
        </w:rPr>
        <w:t>when it</w:t>
      </w:r>
      <w:r>
        <w:rPr>
          <w:rFonts w:ascii="Times New Roman"/>
          <w:spacing w:val="-9"/>
          <w:w w:val="105"/>
          <w:sz w:val="23"/>
        </w:rPr>
        <w:t> </w:t>
      </w:r>
      <w:r>
        <w:rPr>
          <w:rFonts w:ascii="Times New Roman"/>
          <w:w w:val="105"/>
          <w:sz w:val="23"/>
        </w:rPr>
        <w:t>is</w:t>
      </w:r>
      <w:r>
        <w:rPr>
          <w:rFonts w:ascii="Times New Roman"/>
          <w:spacing w:val="-16"/>
          <w:w w:val="105"/>
          <w:sz w:val="23"/>
        </w:rPr>
        <w:t> </w:t>
      </w:r>
      <w:r>
        <w:rPr>
          <w:rFonts w:ascii="Times New Roman"/>
          <w:w w:val="105"/>
          <w:sz w:val="23"/>
        </w:rPr>
        <w:t>determined that</w:t>
      </w:r>
      <w:r>
        <w:rPr>
          <w:rFonts w:ascii="Times New Roman"/>
          <w:spacing w:val="-15"/>
          <w:w w:val="105"/>
          <w:sz w:val="23"/>
        </w:rPr>
        <w:t> </w:t>
      </w:r>
      <w:r>
        <w:rPr>
          <w:rFonts w:ascii="Times New Roman"/>
          <w:w w:val="105"/>
          <w:sz w:val="23"/>
        </w:rPr>
        <w:t>such</w:t>
      </w:r>
      <w:r>
        <w:rPr>
          <w:rFonts w:ascii="Times New Roman"/>
          <w:spacing w:val="-5"/>
          <w:w w:val="105"/>
          <w:sz w:val="23"/>
        </w:rPr>
        <w:t> </w:t>
      </w:r>
      <w:r>
        <w:rPr>
          <w:rFonts w:ascii="Times New Roman"/>
          <w:w w:val="105"/>
          <w:sz w:val="23"/>
        </w:rPr>
        <w:t>a</w:t>
      </w:r>
      <w:r>
        <w:rPr>
          <w:rFonts w:ascii="Times New Roman"/>
          <w:spacing w:val="-16"/>
          <w:w w:val="105"/>
          <w:sz w:val="23"/>
        </w:rPr>
        <w:t> </w:t>
      </w:r>
      <w:r>
        <w:rPr>
          <w:rFonts w:ascii="Times New Roman"/>
          <w:w w:val="105"/>
          <w:sz w:val="23"/>
        </w:rPr>
        <w:t>clause</w:t>
      </w:r>
      <w:r>
        <w:rPr>
          <w:rFonts w:ascii="Times New Roman"/>
          <w:spacing w:val="-8"/>
          <w:w w:val="105"/>
          <w:sz w:val="23"/>
        </w:rPr>
        <w:t> </w:t>
      </w:r>
      <w:r>
        <w:rPr>
          <w:rFonts w:ascii="Times New Roman"/>
          <w:w w:val="105"/>
          <w:sz w:val="23"/>
        </w:rPr>
        <w:t>is necessary</w:t>
      </w:r>
      <w:r>
        <w:rPr>
          <w:rFonts w:ascii="Times New Roman"/>
          <w:spacing w:val="37"/>
          <w:w w:val="105"/>
          <w:sz w:val="23"/>
        </w:rPr>
        <w:t> </w:t>
      </w:r>
      <w:r>
        <w:rPr>
          <w:rFonts w:ascii="Times New Roman"/>
          <w:w w:val="105"/>
          <w:sz w:val="23"/>
        </w:rPr>
        <w:t>to make clear the purpose of Title VI.)</w:t>
      </w:r>
    </w:p>
    <w:p>
      <w:pPr>
        <w:spacing w:after="0" w:line="268" w:lineRule="auto"/>
        <w:jc w:val="left"/>
        <w:rPr>
          <w:rFonts w:ascii="Times New Roman"/>
          <w:sz w:val="23"/>
        </w:rPr>
        <w:sectPr>
          <w:footerReference w:type="default" r:id="rId64"/>
          <w:pgSz w:w="12240" w:h="15840"/>
          <w:pgMar w:footer="0" w:header="0" w:top="1260" w:bottom="280" w:left="600" w:right="500"/>
        </w:sectPr>
      </w:pPr>
    </w:p>
    <w:p>
      <w:pPr>
        <w:pStyle w:val="Heading4"/>
        <w:spacing w:before="70"/>
        <w:ind w:left="3172"/>
      </w:pPr>
      <w:r>
        <w:rPr/>
        <mc:AlternateContent>
          <mc:Choice Requires="wps">
            <w:drawing>
              <wp:anchor distT="0" distB="0" distL="0" distR="0" allowOverlap="1" layoutInCell="1" locked="0" behindDoc="0" simplePos="0" relativeHeight="15749120">
                <wp:simplePos x="0" y="0"/>
                <wp:positionH relativeFrom="page">
                  <wp:posOffset>7772789</wp:posOffset>
                </wp:positionH>
                <wp:positionV relativeFrom="page">
                  <wp:posOffset>9077690</wp:posOffset>
                </wp:positionV>
                <wp:extent cx="1270" cy="871219"/>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70" cy="871219"/>
                        </a:xfrm>
                        <a:custGeom>
                          <a:avLst/>
                          <a:gdLst/>
                          <a:ahLst/>
                          <a:cxnLst/>
                          <a:rect l="l" t="t" r="r" b="b"/>
                          <a:pathLst>
                            <a:path w="0" h="871219">
                              <a:moveTo>
                                <a:pt x="0" y="870723"/>
                              </a:moveTo>
                              <a:lnTo>
                                <a:pt x="0" y="0"/>
                              </a:lnTo>
                            </a:path>
                          </a:pathLst>
                        </a:custGeom>
                        <a:ln w="458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49120" from="612.030640pt,783.33969pt" to="612.030640pt,714.778748pt" stroked="true" strokeweight=".360654pt" strokecolor="#000000">
                <v:stroke dashstyle="solid"/>
                <w10:wrap type="none"/>
              </v:line>
            </w:pict>
          </mc:Fallback>
        </mc:AlternateContent>
      </w:r>
      <w:r>
        <w:rPr>
          <w:spacing w:val="-2"/>
        </w:rPr>
        <w:t>APPENDIXD</w:t>
      </w:r>
    </w:p>
    <w:p>
      <w:pPr>
        <w:pStyle w:val="BodyText"/>
        <w:spacing w:before="5"/>
        <w:rPr>
          <w:rFonts w:ascii="Times New Roman"/>
          <w:b/>
          <w:sz w:val="29"/>
        </w:rPr>
      </w:pPr>
    </w:p>
    <w:p>
      <w:pPr>
        <w:spacing w:line="249" w:lineRule="auto" w:before="0"/>
        <w:ind w:left="0" w:right="297" w:firstLine="0"/>
        <w:jc w:val="center"/>
        <w:rPr>
          <w:rFonts w:ascii="Times New Roman"/>
          <w:sz w:val="23"/>
        </w:rPr>
      </w:pPr>
      <w:r>
        <w:rPr>
          <w:rFonts w:ascii="Times New Roman"/>
          <w:w w:val="105"/>
          <w:sz w:val="23"/>
        </w:rPr>
        <w:t>CLAUSES</w:t>
      </w:r>
      <w:r>
        <w:rPr>
          <w:rFonts w:ascii="Times New Roman"/>
          <w:spacing w:val="-10"/>
          <w:w w:val="105"/>
          <w:sz w:val="23"/>
        </w:rPr>
        <w:t> </w:t>
      </w:r>
      <w:r>
        <w:rPr>
          <w:rFonts w:ascii="Times New Roman"/>
          <w:w w:val="105"/>
          <w:sz w:val="23"/>
        </w:rPr>
        <w:t>FOR</w:t>
      </w:r>
      <w:r>
        <w:rPr>
          <w:rFonts w:ascii="Times New Roman"/>
          <w:spacing w:val="-16"/>
          <w:w w:val="105"/>
          <w:sz w:val="23"/>
        </w:rPr>
        <w:t> </w:t>
      </w:r>
      <w:r>
        <w:rPr>
          <w:rFonts w:ascii="Times New Roman"/>
          <w:w w:val="105"/>
          <w:sz w:val="23"/>
        </w:rPr>
        <w:t>CONSTRUCTION/USE/ACCESS</w:t>
      </w:r>
      <w:r>
        <w:rPr>
          <w:rFonts w:ascii="Times New Roman"/>
          <w:spacing w:val="-15"/>
          <w:w w:val="105"/>
          <w:sz w:val="23"/>
        </w:rPr>
        <w:t> </w:t>
      </w:r>
      <w:r>
        <w:rPr>
          <w:rFonts w:ascii="Times New Roman"/>
          <w:w w:val="105"/>
          <w:sz w:val="23"/>
        </w:rPr>
        <w:t>TO</w:t>
      </w:r>
      <w:r>
        <w:rPr>
          <w:rFonts w:ascii="Times New Roman"/>
          <w:spacing w:val="-15"/>
          <w:w w:val="105"/>
          <w:sz w:val="23"/>
        </w:rPr>
        <w:t> </w:t>
      </w:r>
      <w:r>
        <w:rPr>
          <w:rFonts w:ascii="Times New Roman"/>
          <w:w w:val="105"/>
          <w:sz w:val="23"/>
        </w:rPr>
        <w:t>REAL</w:t>
      </w:r>
      <w:r>
        <w:rPr>
          <w:rFonts w:ascii="Times New Roman"/>
          <w:spacing w:val="-15"/>
          <w:w w:val="105"/>
          <w:sz w:val="23"/>
        </w:rPr>
        <w:t> </w:t>
      </w:r>
      <w:r>
        <w:rPr>
          <w:rFonts w:ascii="Times New Roman"/>
          <w:w w:val="105"/>
          <w:sz w:val="23"/>
        </w:rPr>
        <w:t>PROPERTY</w:t>
      </w:r>
      <w:r>
        <w:rPr>
          <w:rFonts w:ascii="Times New Roman"/>
          <w:spacing w:val="-10"/>
          <w:w w:val="105"/>
          <w:sz w:val="23"/>
        </w:rPr>
        <w:t> </w:t>
      </w:r>
      <w:r>
        <w:rPr>
          <w:rFonts w:ascii="Times New Roman"/>
          <w:w w:val="105"/>
          <w:sz w:val="23"/>
        </w:rPr>
        <w:t>ACQUIRED</w:t>
      </w:r>
      <w:r>
        <w:rPr>
          <w:rFonts w:ascii="Times New Roman"/>
          <w:spacing w:val="-10"/>
          <w:w w:val="105"/>
          <w:sz w:val="23"/>
        </w:rPr>
        <w:t> </w:t>
      </w:r>
      <w:r>
        <w:rPr>
          <w:rFonts w:ascii="Times New Roman"/>
          <w:w w:val="105"/>
          <w:sz w:val="23"/>
        </w:rPr>
        <w:t>UNDER</w:t>
      </w:r>
      <w:r>
        <w:rPr>
          <w:rFonts w:ascii="Times New Roman"/>
          <w:spacing w:val="-11"/>
          <w:w w:val="105"/>
          <w:sz w:val="23"/>
        </w:rPr>
        <w:t> </w:t>
      </w:r>
      <w:r>
        <w:rPr>
          <w:rFonts w:ascii="Times New Roman"/>
          <w:w w:val="105"/>
          <w:sz w:val="23"/>
        </w:rPr>
        <w:t>THE ACTIVITY, FACILITY OR PROGRAM</w:t>
      </w:r>
    </w:p>
    <w:p>
      <w:pPr>
        <w:pStyle w:val="BodyText"/>
        <w:rPr>
          <w:rFonts w:ascii="Times New Roman"/>
          <w:sz w:val="26"/>
        </w:rPr>
      </w:pPr>
    </w:p>
    <w:p>
      <w:pPr>
        <w:pStyle w:val="BodyText"/>
        <w:spacing w:before="9"/>
        <w:rPr>
          <w:rFonts w:ascii="Times New Roman"/>
          <w:sz w:val="22"/>
        </w:rPr>
      </w:pPr>
    </w:p>
    <w:p>
      <w:pPr>
        <w:spacing w:line="249" w:lineRule="auto" w:before="0"/>
        <w:ind w:left="314" w:right="583" w:firstLine="1"/>
        <w:jc w:val="left"/>
        <w:rPr>
          <w:rFonts w:ascii="Times New Roman"/>
          <w:sz w:val="23"/>
        </w:rPr>
      </w:pPr>
      <w:r>
        <w:rPr>
          <w:rFonts w:ascii="Times New Roman"/>
          <w:w w:val="105"/>
          <w:sz w:val="23"/>
        </w:rPr>
        <w:t>The</w:t>
      </w:r>
      <w:r>
        <w:rPr>
          <w:rFonts w:ascii="Times New Roman"/>
          <w:spacing w:val="-3"/>
          <w:w w:val="105"/>
          <w:sz w:val="23"/>
        </w:rPr>
        <w:t> </w:t>
      </w:r>
      <w:r>
        <w:rPr>
          <w:rFonts w:ascii="Times New Roman"/>
          <w:w w:val="105"/>
          <w:sz w:val="23"/>
        </w:rPr>
        <w:t>following clauses will be</w:t>
      </w:r>
      <w:r>
        <w:rPr>
          <w:rFonts w:ascii="Times New Roman"/>
          <w:spacing w:val="-3"/>
          <w:w w:val="105"/>
          <w:sz w:val="23"/>
        </w:rPr>
        <w:t> </w:t>
      </w:r>
      <w:r>
        <w:rPr>
          <w:rFonts w:ascii="Times New Roman"/>
          <w:w w:val="105"/>
          <w:sz w:val="23"/>
        </w:rPr>
        <w:t>included in deeds, licenses, permits, or</w:t>
      </w:r>
      <w:r>
        <w:rPr>
          <w:rFonts w:ascii="Times New Roman"/>
          <w:spacing w:val="-8"/>
          <w:w w:val="105"/>
          <w:sz w:val="23"/>
        </w:rPr>
        <w:t> </w:t>
      </w:r>
      <w:r>
        <w:rPr>
          <w:rFonts w:ascii="Times New Roman"/>
          <w:w w:val="105"/>
          <w:sz w:val="23"/>
        </w:rPr>
        <w:t>similar instruments/agreements entered</w:t>
      </w:r>
      <w:r>
        <w:rPr>
          <w:rFonts w:ascii="Times New Roman"/>
          <w:spacing w:val="-4"/>
          <w:w w:val="105"/>
          <w:sz w:val="23"/>
        </w:rPr>
        <w:t> </w:t>
      </w:r>
      <w:r>
        <w:rPr>
          <w:rFonts w:ascii="Times New Roman"/>
          <w:w w:val="105"/>
          <w:sz w:val="23"/>
        </w:rPr>
        <w:t>into</w:t>
      </w:r>
      <w:r>
        <w:rPr>
          <w:rFonts w:ascii="Times New Roman"/>
          <w:spacing w:val="-6"/>
          <w:w w:val="105"/>
          <w:sz w:val="23"/>
        </w:rPr>
        <w:t> </w:t>
      </w:r>
      <w:r>
        <w:rPr>
          <w:rFonts w:ascii="Times New Roman"/>
          <w:w w:val="105"/>
          <w:sz w:val="23"/>
        </w:rPr>
        <w:t>by</w:t>
      </w:r>
      <w:r>
        <w:rPr>
          <w:rFonts w:ascii="Times New Roman"/>
          <w:spacing w:val="-10"/>
          <w:w w:val="105"/>
          <w:sz w:val="23"/>
        </w:rPr>
        <w:t> </w:t>
      </w:r>
      <w:r>
        <w:rPr>
          <w:rFonts w:ascii="Times New Roman"/>
          <w:w w:val="105"/>
          <w:sz w:val="23"/>
        </w:rPr>
        <w:t>the</w:t>
      </w:r>
      <w:r>
        <w:rPr>
          <w:rFonts w:ascii="Times New Roman"/>
          <w:spacing w:val="-12"/>
          <w:w w:val="105"/>
          <w:sz w:val="23"/>
        </w:rPr>
        <w:t> </w:t>
      </w:r>
      <w:r>
        <w:rPr>
          <w:rFonts w:ascii="Times New Roman"/>
          <w:b/>
          <w:i/>
          <w:w w:val="105"/>
          <w:sz w:val="23"/>
        </w:rPr>
        <w:t>Maine</w:t>
      </w:r>
      <w:r>
        <w:rPr>
          <w:rFonts w:ascii="Times New Roman"/>
          <w:b/>
          <w:i/>
          <w:spacing w:val="-3"/>
          <w:w w:val="105"/>
          <w:sz w:val="23"/>
        </w:rPr>
        <w:t> </w:t>
      </w:r>
      <w:r>
        <w:rPr>
          <w:rFonts w:ascii="Times New Roman"/>
          <w:b/>
          <w:i/>
          <w:w w:val="105"/>
          <w:sz w:val="23"/>
        </w:rPr>
        <w:t>Department of</w:t>
      </w:r>
      <w:r>
        <w:rPr>
          <w:rFonts w:ascii="Times New Roman"/>
          <w:b/>
          <w:i/>
          <w:spacing w:val="-10"/>
          <w:w w:val="105"/>
          <w:sz w:val="23"/>
        </w:rPr>
        <w:t> </w:t>
      </w:r>
      <w:r>
        <w:rPr>
          <w:rFonts w:ascii="Times New Roman"/>
          <w:b/>
          <w:i/>
          <w:w w:val="105"/>
          <w:sz w:val="23"/>
        </w:rPr>
        <w:t>Transportation</w:t>
      </w:r>
      <w:r>
        <w:rPr>
          <w:rFonts w:ascii="Times New Roman"/>
          <w:b/>
          <w:i/>
          <w:spacing w:val="-10"/>
          <w:w w:val="105"/>
          <w:sz w:val="23"/>
        </w:rPr>
        <w:t> </w:t>
      </w:r>
      <w:r>
        <w:rPr>
          <w:rFonts w:ascii="Times New Roman"/>
          <w:w w:val="105"/>
          <w:sz w:val="23"/>
        </w:rPr>
        <w:t>pursuant</w:t>
      </w:r>
      <w:r>
        <w:rPr>
          <w:rFonts w:ascii="Times New Roman"/>
          <w:spacing w:val="-2"/>
          <w:w w:val="105"/>
          <w:sz w:val="23"/>
        </w:rPr>
        <w:t> </w:t>
      </w:r>
      <w:r>
        <w:rPr>
          <w:rFonts w:ascii="Times New Roman"/>
          <w:w w:val="105"/>
          <w:sz w:val="23"/>
        </w:rPr>
        <w:t>to</w:t>
      </w:r>
      <w:r>
        <w:rPr>
          <w:rFonts w:ascii="Times New Roman"/>
          <w:spacing w:val="-16"/>
          <w:w w:val="105"/>
          <w:sz w:val="23"/>
        </w:rPr>
        <w:t> </w:t>
      </w:r>
      <w:r>
        <w:rPr>
          <w:rFonts w:ascii="Times New Roman"/>
          <w:w w:val="105"/>
          <w:sz w:val="23"/>
        </w:rPr>
        <w:t>the</w:t>
      </w:r>
      <w:r>
        <w:rPr>
          <w:rFonts w:ascii="Times New Roman"/>
          <w:spacing w:val="-11"/>
          <w:w w:val="105"/>
          <w:sz w:val="23"/>
        </w:rPr>
        <w:t> </w:t>
      </w:r>
      <w:r>
        <w:rPr>
          <w:rFonts w:ascii="Times New Roman"/>
          <w:w w:val="105"/>
          <w:sz w:val="23"/>
        </w:rPr>
        <w:t>provisions</w:t>
      </w:r>
      <w:r>
        <w:rPr>
          <w:rFonts w:ascii="Times New Roman"/>
          <w:spacing w:val="-5"/>
          <w:w w:val="105"/>
          <w:sz w:val="23"/>
        </w:rPr>
        <w:t> </w:t>
      </w:r>
      <w:r>
        <w:rPr>
          <w:rFonts w:ascii="Times New Roman"/>
          <w:w w:val="105"/>
          <w:sz w:val="23"/>
        </w:rPr>
        <w:t>of</w:t>
      </w:r>
      <w:r>
        <w:rPr>
          <w:rFonts w:ascii="Times New Roman"/>
          <w:spacing w:val="-13"/>
          <w:w w:val="105"/>
          <w:sz w:val="23"/>
        </w:rPr>
        <w:t> </w:t>
      </w:r>
      <w:r>
        <w:rPr>
          <w:rFonts w:ascii="Times New Roman"/>
          <w:w w:val="105"/>
          <w:sz w:val="23"/>
        </w:rPr>
        <w:t>Assurance</w:t>
      </w:r>
      <w:r>
        <w:rPr>
          <w:rFonts w:ascii="Times New Roman"/>
          <w:spacing w:val="-9"/>
          <w:w w:val="105"/>
          <w:sz w:val="23"/>
        </w:rPr>
        <w:t> </w:t>
      </w:r>
      <w:r>
        <w:rPr>
          <w:rFonts w:ascii="Times New Roman"/>
          <w:w w:val="105"/>
          <w:sz w:val="23"/>
        </w:rPr>
        <w:t>7(b):</w:t>
      </w:r>
    </w:p>
    <w:p>
      <w:pPr>
        <w:pStyle w:val="BodyText"/>
        <w:spacing w:before="4"/>
        <w:rPr>
          <w:rFonts w:ascii="Times New Roman"/>
        </w:rPr>
      </w:pPr>
    </w:p>
    <w:p>
      <w:pPr>
        <w:pStyle w:val="ListParagraph"/>
        <w:numPr>
          <w:ilvl w:val="0"/>
          <w:numId w:val="33"/>
        </w:numPr>
        <w:tabs>
          <w:tab w:pos="1109" w:val="left" w:leader="none"/>
          <w:tab w:pos="1112" w:val="left" w:leader="none"/>
        </w:tabs>
        <w:spacing w:line="254" w:lineRule="auto" w:before="0" w:after="0"/>
        <w:ind w:left="1112" w:right="731" w:hanging="344"/>
        <w:jc w:val="left"/>
        <w:rPr>
          <w:rFonts w:ascii="Times New Roman"/>
          <w:sz w:val="23"/>
        </w:rPr>
      </w:pPr>
      <w:r>
        <w:rPr>
          <w:rFonts w:ascii="Times New Roman"/>
          <w:w w:val="105"/>
          <w:sz w:val="23"/>
        </w:rPr>
        <w:t>The</w:t>
      </w:r>
      <w:r>
        <w:rPr>
          <w:rFonts w:ascii="Times New Roman"/>
          <w:spacing w:val="-5"/>
          <w:w w:val="105"/>
          <w:sz w:val="23"/>
        </w:rPr>
        <w:t> </w:t>
      </w:r>
      <w:r>
        <w:rPr>
          <w:rFonts w:ascii="Times New Roman"/>
          <w:w w:val="105"/>
          <w:sz w:val="23"/>
        </w:rPr>
        <w:t>(grantee,</w:t>
      </w:r>
      <w:r>
        <w:rPr>
          <w:rFonts w:ascii="Times New Roman"/>
          <w:spacing w:val="-1"/>
          <w:w w:val="105"/>
          <w:sz w:val="23"/>
        </w:rPr>
        <w:t> </w:t>
      </w:r>
      <w:r>
        <w:rPr>
          <w:rFonts w:ascii="Times New Roman"/>
          <w:w w:val="105"/>
          <w:sz w:val="23"/>
        </w:rPr>
        <w:t>licensee, permittee,</w:t>
      </w:r>
      <w:r>
        <w:rPr>
          <w:rFonts w:ascii="Times New Roman"/>
          <w:spacing w:val="-1"/>
          <w:w w:val="105"/>
          <w:sz w:val="23"/>
        </w:rPr>
        <w:t> </w:t>
      </w:r>
      <w:r>
        <w:rPr>
          <w:rFonts w:ascii="Times New Roman"/>
          <w:w w:val="105"/>
          <w:sz w:val="23"/>
        </w:rPr>
        <w:t>etc.,</w:t>
      </w:r>
      <w:r>
        <w:rPr>
          <w:rFonts w:ascii="Times New Roman"/>
          <w:spacing w:val="-1"/>
          <w:w w:val="105"/>
          <w:sz w:val="23"/>
        </w:rPr>
        <w:t> </w:t>
      </w:r>
      <w:r>
        <w:rPr>
          <w:rFonts w:ascii="Times New Roman"/>
          <w:w w:val="105"/>
          <w:sz w:val="23"/>
        </w:rPr>
        <w:t>as</w:t>
      </w:r>
      <w:r>
        <w:rPr>
          <w:rFonts w:ascii="Times New Roman"/>
          <w:spacing w:val="-15"/>
          <w:w w:val="105"/>
          <w:sz w:val="23"/>
        </w:rPr>
        <w:t> </w:t>
      </w:r>
      <w:r>
        <w:rPr>
          <w:rFonts w:ascii="Times New Roman"/>
          <w:w w:val="105"/>
          <w:sz w:val="23"/>
        </w:rPr>
        <w:t>appropriate) for</w:t>
      </w:r>
      <w:r>
        <w:rPr>
          <w:rFonts w:ascii="Times New Roman"/>
          <w:spacing w:val="-5"/>
          <w:w w:val="105"/>
          <w:sz w:val="23"/>
        </w:rPr>
        <w:t> </w:t>
      </w:r>
      <w:r>
        <w:rPr>
          <w:rFonts w:ascii="Times New Roman"/>
          <w:w w:val="105"/>
          <w:sz w:val="23"/>
        </w:rPr>
        <w:t>himself/herself,</w:t>
      </w:r>
      <w:r>
        <w:rPr>
          <w:rFonts w:ascii="Times New Roman"/>
          <w:spacing w:val="-12"/>
          <w:w w:val="105"/>
          <w:sz w:val="23"/>
        </w:rPr>
        <w:t> </w:t>
      </w:r>
      <w:r>
        <w:rPr>
          <w:rFonts w:ascii="Times New Roman"/>
          <w:w w:val="105"/>
          <w:sz w:val="23"/>
        </w:rPr>
        <w:t>his/her heirs, personal representatives,</w:t>
      </w:r>
      <w:r>
        <w:rPr>
          <w:rFonts w:ascii="Times New Roman"/>
          <w:spacing w:val="-13"/>
          <w:w w:val="105"/>
          <w:sz w:val="23"/>
        </w:rPr>
        <w:t> </w:t>
      </w:r>
      <w:r>
        <w:rPr>
          <w:rFonts w:ascii="Times New Roman"/>
          <w:w w:val="105"/>
          <w:sz w:val="23"/>
        </w:rPr>
        <w:t>successors in</w:t>
      </w:r>
      <w:r>
        <w:rPr>
          <w:rFonts w:ascii="Times New Roman"/>
          <w:spacing w:val="-4"/>
          <w:w w:val="105"/>
          <w:sz w:val="23"/>
        </w:rPr>
        <w:t> </w:t>
      </w:r>
      <w:r>
        <w:rPr>
          <w:rFonts w:ascii="Times New Roman"/>
          <w:w w:val="105"/>
          <w:sz w:val="23"/>
        </w:rPr>
        <w:t>interest, and assigns, as</w:t>
      </w:r>
      <w:r>
        <w:rPr>
          <w:rFonts w:ascii="Times New Roman"/>
          <w:spacing w:val="-5"/>
          <w:w w:val="105"/>
          <w:sz w:val="23"/>
        </w:rPr>
        <w:t> </w:t>
      </w:r>
      <w:r>
        <w:rPr>
          <w:rFonts w:ascii="Times New Roman"/>
          <w:w w:val="105"/>
          <w:sz w:val="23"/>
        </w:rPr>
        <w:t>a part of</w:t>
      </w:r>
      <w:r>
        <w:rPr>
          <w:rFonts w:ascii="Times New Roman"/>
          <w:spacing w:val="-1"/>
          <w:w w:val="105"/>
          <w:sz w:val="23"/>
        </w:rPr>
        <w:t> </w:t>
      </w:r>
      <w:r>
        <w:rPr>
          <w:rFonts w:ascii="Times New Roman"/>
          <w:w w:val="105"/>
          <w:sz w:val="23"/>
        </w:rPr>
        <w:t>the</w:t>
      </w:r>
      <w:r>
        <w:rPr>
          <w:rFonts w:ascii="Times New Roman"/>
          <w:spacing w:val="-2"/>
          <w:w w:val="105"/>
          <w:sz w:val="23"/>
        </w:rPr>
        <w:t> </w:t>
      </w:r>
      <w:r>
        <w:rPr>
          <w:rFonts w:ascii="Times New Roman"/>
          <w:w w:val="105"/>
          <w:sz w:val="23"/>
        </w:rPr>
        <w:t>consideration</w:t>
      </w:r>
      <w:r>
        <w:rPr>
          <w:rFonts w:ascii="Times New Roman"/>
          <w:spacing w:val="31"/>
          <w:w w:val="105"/>
          <w:sz w:val="23"/>
        </w:rPr>
        <w:t> </w:t>
      </w:r>
      <w:r>
        <w:rPr>
          <w:rFonts w:ascii="Times New Roman"/>
          <w:w w:val="105"/>
          <w:sz w:val="23"/>
        </w:rPr>
        <w:t>hereof, does hereby covenant and agree</w:t>
      </w:r>
      <w:r>
        <w:rPr>
          <w:rFonts w:ascii="Times New Roman"/>
          <w:spacing w:val="-4"/>
          <w:w w:val="105"/>
          <w:sz w:val="23"/>
        </w:rPr>
        <w:t> </w:t>
      </w:r>
      <w:r>
        <w:rPr>
          <w:rFonts w:ascii="Times New Roman"/>
          <w:w w:val="105"/>
          <w:sz w:val="23"/>
        </w:rPr>
        <w:t>(in</w:t>
      </w:r>
      <w:r>
        <w:rPr>
          <w:rFonts w:ascii="Times New Roman"/>
          <w:spacing w:val="-4"/>
          <w:w w:val="105"/>
          <w:sz w:val="23"/>
        </w:rPr>
        <w:t> </w:t>
      </w:r>
      <w:r>
        <w:rPr>
          <w:rFonts w:ascii="Times New Roman"/>
          <w:w w:val="105"/>
          <w:sz w:val="23"/>
        </w:rPr>
        <w:t>the</w:t>
      </w:r>
      <w:r>
        <w:rPr>
          <w:rFonts w:ascii="Times New Roman"/>
          <w:spacing w:val="-8"/>
          <w:w w:val="105"/>
          <w:sz w:val="23"/>
        </w:rPr>
        <w:t> </w:t>
      </w:r>
      <w:r>
        <w:rPr>
          <w:rFonts w:ascii="Times New Roman"/>
          <w:w w:val="105"/>
          <w:sz w:val="23"/>
        </w:rPr>
        <w:t>case</w:t>
      </w:r>
      <w:r>
        <w:rPr>
          <w:rFonts w:ascii="Times New Roman"/>
          <w:spacing w:val="-6"/>
          <w:w w:val="105"/>
          <w:sz w:val="23"/>
        </w:rPr>
        <w:t> </w:t>
      </w:r>
      <w:r>
        <w:rPr>
          <w:rFonts w:ascii="Times New Roman"/>
          <w:w w:val="105"/>
          <w:sz w:val="23"/>
        </w:rPr>
        <w:t>of</w:t>
      </w:r>
      <w:r>
        <w:rPr>
          <w:rFonts w:ascii="Times New Roman"/>
          <w:spacing w:val="-5"/>
          <w:w w:val="105"/>
          <w:sz w:val="23"/>
        </w:rPr>
        <w:t> </w:t>
      </w:r>
      <w:r>
        <w:rPr>
          <w:rFonts w:ascii="Times New Roman"/>
          <w:w w:val="105"/>
          <w:sz w:val="23"/>
        </w:rPr>
        <w:t>deeds and</w:t>
      </w:r>
      <w:r>
        <w:rPr>
          <w:rFonts w:ascii="Times New Roman"/>
          <w:spacing w:val="-3"/>
          <w:w w:val="105"/>
          <w:sz w:val="23"/>
        </w:rPr>
        <w:t> </w:t>
      </w:r>
      <w:r>
        <w:rPr>
          <w:rFonts w:ascii="Times New Roman"/>
          <w:w w:val="105"/>
          <w:sz w:val="23"/>
        </w:rPr>
        <w:t>leases</w:t>
      </w:r>
      <w:r>
        <w:rPr>
          <w:rFonts w:ascii="Times New Roman"/>
          <w:spacing w:val="-6"/>
          <w:w w:val="105"/>
          <w:sz w:val="23"/>
        </w:rPr>
        <w:t> </w:t>
      </w:r>
      <w:r>
        <w:rPr>
          <w:rFonts w:ascii="Times New Roman"/>
          <w:w w:val="105"/>
          <w:sz w:val="23"/>
        </w:rPr>
        <w:t>add,</w:t>
      </w:r>
      <w:r>
        <w:rPr>
          <w:rFonts w:ascii="Times New Roman"/>
          <w:spacing w:val="-3"/>
          <w:w w:val="105"/>
          <w:sz w:val="23"/>
        </w:rPr>
        <w:t> </w:t>
      </w:r>
      <w:r>
        <w:rPr>
          <w:rFonts w:ascii="Times New Roman"/>
          <w:w w:val="105"/>
          <w:sz w:val="23"/>
        </w:rPr>
        <w:t>"as</w:t>
      </w:r>
      <w:r>
        <w:rPr>
          <w:rFonts w:ascii="Times New Roman"/>
          <w:spacing w:val="-2"/>
          <w:w w:val="105"/>
          <w:sz w:val="23"/>
        </w:rPr>
        <w:t> </w:t>
      </w:r>
      <w:r>
        <w:rPr>
          <w:rFonts w:ascii="Times New Roman"/>
          <w:w w:val="105"/>
          <w:sz w:val="23"/>
        </w:rPr>
        <w:t>a</w:t>
      </w:r>
      <w:r>
        <w:rPr>
          <w:rFonts w:ascii="Times New Roman"/>
          <w:spacing w:val="-12"/>
          <w:w w:val="105"/>
          <w:sz w:val="23"/>
        </w:rPr>
        <w:t> </w:t>
      </w:r>
      <w:r>
        <w:rPr>
          <w:rFonts w:ascii="Times New Roman"/>
          <w:w w:val="105"/>
          <w:sz w:val="23"/>
        </w:rPr>
        <w:t>covenant running with the land") that</w:t>
      </w:r>
      <w:r>
        <w:rPr>
          <w:rFonts w:ascii="Times New Roman"/>
          <w:spacing w:val="-2"/>
          <w:w w:val="105"/>
          <w:sz w:val="23"/>
        </w:rPr>
        <w:t> </w:t>
      </w:r>
      <w:r>
        <w:rPr>
          <w:rFonts w:ascii="Times New Roman"/>
          <w:w w:val="105"/>
          <w:sz w:val="23"/>
        </w:rPr>
        <w:t>(1)</w:t>
      </w:r>
      <w:r>
        <w:rPr>
          <w:rFonts w:ascii="Times New Roman"/>
          <w:spacing w:val="-1"/>
          <w:w w:val="105"/>
          <w:sz w:val="23"/>
        </w:rPr>
        <w:t> </w:t>
      </w:r>
      <w:r>
        <w:rPr>
          <w:rFonts w:ascii="Times New Roman"/>
          <w:w w:val="105"/>
          <w:sz w:val="23"/>
        </w:rPr>
        <w:t>no</w:t>
      </w:r>
      <w:r>
        <w:rPr>
          <w:rFonts w:ascii="Times New Roman"/>
          <w:spacing w:val="-3"/>
          <w:w w:val="105"/>
          <w:sz w:val="23"/>
        </w:rPr>
        <w:t> </w:t>
      </w:r>
      <w:r>
        <w:rPr>
          <w:rFonts w:ascii="Times New Roman"/>
          <w:w w:val="105"/>
          <w:sz w:val="23"/>
        </w:rPr>
        <w:t>person on</w:t>
      </w:r>
      <w:r>
        <w:rPr>
          <w:rFonts w:ascii="Times New Roman"/>
          <w:spacing w:val="-9"/>
          <w:w w:val="105"/>
          <w:sz w:val="23"/>
        </w:rPr>
        <w:t> </w:t>
      </w:r>
      <w:r>
        <w:rPr>
          <w:rFonts w:ascii="Times New Roman"/>
          <w:w w:val="105"/>
          <w:sz w:val="23"/>
        </w:rPr>
        <w:t>the</w:t>
      </w:r>
      <w:r>
        <w:rPr>
          <w:rFonts w:ascii="Times New Roman"/>
          <w:spacing w:val="-4"/>
          <w:w w:val="105"/>
          <w:sz w:val="23"/>
        </w:rPr>
        <w:t> </w:t>
      </w:r>
      <w:r>
        <w:rPr>
          <w:rFonts w:ascii="Times New Roman"/>
          <w:w w:val="105"/>
          <w:sz w:val="23"/>
        </w:rPr>
        <w:t>ground of race, color, or national origin, will be</w:t>
      </w:r>
      <w:r>
        <w:rPr>
          <w:rFonts w:ascii="Times New Roman"/>
          <w:spacing w:val="-6"/>
          <w:w w:val="105"/>
          <w:sz w:val="23"/>
        </w:rPr>
        <w:t> </w:t>
      </w:r>
      <w:r>
        <w:rPr>
          <w:rFonts w:ascii="Times New Roman"/>
          <w:w w:val="105"/>
          <w:sz w:val="23"/>
        </w:rPr>
        <w:t>excluded from paiiicipation in,</w:t>
      </w:r>
      <w:r>
        <w:rPr>
          <w:rFonts w:ascii="Times New Roman"/>
          <w:spacing w:val="-9"/>
          <w:w w:val="105"/>
          <w:sz w:val="23"/>
        </w:rPr>
        <w:t> </w:t>
      </w:r>
      <w:r>
        <w:rPr>
          <w:rFonts w:ascii="Times New Roman"/>
          <w:w w:val="105"/>
          <w:sz w:val="23"/>
        </w:rPr>
        <w:t>denied the benefits of,</w:t>
      </w:r>
      <w:r>
        <w:rPr>
          <w:rFonts w:ascii="Times New Roman"/>
          <w:spacing w:val="-2"/>
          <w:w w:val="105"/>
          <w:sz w:val="23"/>
        </w:rPr>
        <w:t> </w:t>
      </w:r>
      <w:r>
        <w:rPr>
          <w:rFonts w:ascii="Times New Roman"/>
          <w:w w:val="105"/>
          <w:sz w:val="23"/>
        </w:rPr>
        <w:t>or be</w:t>
      </w:r>
      <w:r>
        <w:rPr>
          <w:rFonts w:ascii="Times New Roman"/>
          <w:spacing w:val="-4"/>
          <w:w w:val="105"/>
          <w:sz w:val="23"/>
        </w:rPr>
        <w:t> </w:t>
      </w:r>
      <w:r>
        <w:rPr>
          <w:rFonts w:ascii="Times New Roman"/>
          <w:w w:val="105"/>
          <w:sz w:val="23"/>
        </w:rPr>
        <w:t>otherwise subjected to</w:t>
      </w:r>
      <w:r>
        <w:rPr>
          <w:rFonts w:ascii="Times New Roman"/>
          <w:spacing w:val="-6"/>
          <w:w w:val="105"/>
          <w:sz w:val="23"/>
        </w:rPr>
        <w:t> </w:t>
      </w:r>
      <w:r>
        <w:rPr>
          <w:rFonts w:ascii="Times New Roman"/>
          <w:w w:val="105"/>
          <w:sz w:val="23"/>
        </w:rPr>
        <w:t>discrimination</w:t>
      </w:r>
      <w:r>
        <w:rPr>
          <w:rFonts w:ascii="Times New Roman"/>
          <w:spacing w:val="-5"/>
          <w:w w:val="105"/>
          <w:sz w:val="23"/>
        </w:rPr>
        <w:t> </w:t>
      </w:r>
      <w:r>
        <w:rPr>
          <w:rFonts w:ascii="Times New Roman"/>
          <w:w w:val="105"/>
          <w:sz w:val="23"/>
        </w:rPr>
        <w:t>in</w:t>
      </w:r>
      <w:r>
        <w:rPr>
          <w:rFonts w:ascii="Times New Roman"/>
          <w:spacing w:val="-1"/>
          <w:w w:val="105"/>
          <w:sz w:val="23"/>
        </w:rPr>
        <w:t> </w:t>
      </w:r>
      <w:r>
        <w:rPr>
          <w:rFonts w:ascii="Times New Roman"/>
          <w:w w:val="105"/>
          <w:sz w:val="23"/>
        </w:rPr>
        <w:t>the use</w:t>
      </w:r>
      <w:r>
        <w:rPr>
          <w:rFonts w:ascii="Times New Roman"/>
          <w:spacing w:val="-2"/>
          <w:w w:val="105"/>
          <w:sz w:val="23"/>
        </w:rPr>
        <w:t> </w:t>
      </w:r>
      <w:r>
        <w:rPr>
          <w:rFonts w:ascii="Times New Roman"/>
          <w:w w:val="105"/>
          <w:sz w:val="23"/>
        </w:rPr>
        <w:t>of said facilities,</w:t>
      </w:r>
      <w:r>
        <w:rPr>
          <w:rFonts w:ascii="Times New Roman"/>
          <w:spacing w:val="-2"/>
          <w:w w:val="105"/>
          <w:sz w:val="23"/>
        </w:rPr>
        <w:t> </w:t>
      </w:r>
      <w:r>
        <w:rPr>
          <w:rFonts w:ascii="Times New Roman"/>
          <w:w w:val="105"/>
          <w:sz w:val="23"/>
        </w:rPr>
        <w:t>(2)</w:t>
      </w:r>
      <w:r>
        <w:rPr>
          <w:rFonts w:ascii="Times New Roman"/>
          <w:spacing w:val="-11"/>
          <w:w w:val="105"/>
          <w:sz w:val="23"/>
        </w:rPr>
        <w:t> </w:t>
      </w:r>
      <w:r>
        <w:rPr>
          <w:rFonts w:ascii="Times New Roman"/>
          <w:w w:val="105"/>
          <w:sz w:val="23"/>
        </w:rPr>
        <w:t>that</w:t>
      </w:r>
      <w:r>
        <w:rPr>
          <w:rFonts w:ascii="Times New Roman"/>
          <w:spacing w:val="-3"/>
          <w:w w:val="105"/>
          <w:sz w:val="23"/>
        </w:rPr>
        <w:t> </w:t>
      </w:r>
      <w:r>
        <w:rPr>
          <w:rFonts w:ascii="Times New Roman"/>
          <w:w w:val="105"/>
          <w:sz w:val="23"/>
        </w:rPr>
        <w:t>in</w:t>
      </w:r>
      <w:r>
        <w:rPr>
          <w:rFonts w:ascii="Times New Roman"/>
          <w:spacing w:val="-4"/>
          <w:w w:val="105"/>
          <w:sz w:val="23"/>
        </w:rPr>
        <w:t> </w:t>
      </w:r>
      <w:r>
        <w:rPr>
          <w:rFonts w:ascii="Times New Roman"/>
          <w:w w:val="105"/>
          <w:sz w:val="23"/>
        </w:rPr>
        <w:t>the</w:t>
      </w:r>
      <w:r>
        <w:rPr>
          <w:rFonts w:ascii="Times New Roman"/>
          <w:spacing w:val="-12"/>
          <w:w w:val="105"/>
          <w:sz w:val="23"/>
        </w:rPr>
        <w:t> </w:t>
      </w:r>
      <w:r>
        <w:rPr>
          <w:rFonts w:ascii="Times New Roman"/>
          <w:w w:val="105"/>
          <w:sz w:val="23"/>
        </w:rPr>
        <w:t>construction of</w:t>
      </w:r>
      <w:r>
        <w:rPr>
          <w:rFonts w:ascii="Times New Roman"/>
          <w:spacing w:val="-5"/>
          <w:w w:val="105"/>
          <w:sz w:val="23"/>
        </w:rPr>
        <w:t> </w:t>
      </w:r>
      <w:r>
        <w:rPr>
          <w:rFonts w:ascii="Times New Roman"/>
          <w:w w:val="105"/>
          <w:sz w:val="23"/>
        </w:rPr>
        <w:t>any improvements on,</w:t>
      </w:r>
      <w:r>
        <w:rPr>
          <w:rFonts w:ascii="Times New Roman"/>
          <w:spacing w:val="-10"/>
          <w:w w:val="105"/>
          <w:sz w:val="23"/>
        </w:rPr>
        <w:t> </w:t>
      </w:r>
      <w:r>
        <w:rPr>
          <w:rFonts w:ascii="Times New Roman"/>
          <w:w w:val="105"/>
          <w:sz w:val="23"/>
        </w:rPr>
        <w:t>over,</w:t>
      </w:r>
      <w:r>
        <w:rPr>
          <w:rFonts w:ascii="Times New Roman"/>
          <w:spacing w:val="-6"/>
          <w:w w:val="105"/>
          <w:sz w:val="23"/>
        </w:rPr>
        <w:t> </w:t>
      </w:r>
      <w:r>
        <w:rPr>
          <w:rFonts w:ascii="Times New Roman"/>
          <w:w w:val="105"/>
          <w:sz w:val="23"/>
        </w:rPr>
        <w:t>or</w:t>
      </w:r>
      <w:r>
        <w:rPr>
          <w:rFonts w:ascii="Times New Roman"/>
          <w:spacing w:val="-6"/>
          <w:w w:val="105"/>
          <w:sz w:val="23"/>
        </w:rPr>
        <w:t> </w:t>
      </w:r>
      <w:r>
        <w:rPr>
          <w:rFonts w:ascii="Times New Roman"/>
          <w:w w:val="105"/>
          <w:sz w:val="23"/>
        </w:rPr>
        <w:t>under</w:t>
      </w:r>
      <w:r>
        <w:rPr>
          <w:rFonts w:ascii="Times New Roman"/>
          <w:spacing w:val="-2"/>
          <w:w w:val="105"/>
          <w:sz w:val="23"/>
        </w:rPr>
        <w:t> </w:t>
      </w:r>
      <w:r>
        <w:rPr>
          <w:rFonts w:ascii="Times New Roman"/>
          <w:w w:val="105"/>
          <w:sz w:val="23"/>
        </w:rPr>
        <w:t>such</w:t>
      </w:r>
      <w:r>
        <w:rPr>
          <w:rFonts w:ascii="Times New Roman"/>
          <w:spacing w:val="-5"/>
          <w:w w:val="105"/>
          <w:sz w:val="23"/>
        </w:rPr>
        <w:t> </w:t>
      </w:r>
      <w:r>
        <w:rPr>
          <w:rFonts w:ascii="Times New Roman"/>
          <w:w w:val="105"/>
          <w:sz w:val="23"/>
        </w:rPr>
        <w:t>land,</w:t>
      </w:r>
      <w:r>
        <w:rPr>
          <w:rFonts w:ascii="Times New Roman"/>
          <w:spacing w:val="-9"/>
          <w:w w:val="105"/>
          <w:sz w:val="23"/>
        </w:rPr>
        <w:t> </w:t>
      </w:r>
      <w:r>
        <w:rPr>
          <w:rFonts w:ascii="Times New Roman"/>
          <w:w w:val="105"/>
          <w:sz w:val="23"/>
        </w:rPr>
        <w:t>and the</w:t>
      </w:r>
      <w:r>
        <w:rPr>
          <w:rFonts w:ascii="Times New Roman"/>
          <w:spacing w:val="-15"/>
          <w:w w:val="105"/>
          <w:sz w:val="23"/>
        </w:rPr>
        <w:t> </w:t>
      </w:r>
      <w:r>
        <w:rPr>
          <w:rFonts w:ascii="Times New Roman"/>
          <w:w w:val="105"/>
          <w:sz w:val="23"/>
        </w:rPr>
        <w:t>furnishing of</w:t>
      </w:r>
      <w:r>
        <w:rPr>
          <w:rFonts w:ascii="Times New Roman"/>
          <w:spacing w:val="-15"/>
          <w:w w:val="105"/>
          <w:sz w:val="23"/>
        </w:rPr>
        <w:t> </w:t>
      </w:r>
      <w:r>
        <w:rPr>
          <w:rFonts w:ascii="Times New Roman"/>
          <w:w w:val="105"/>
          <w:sz w:val="23"/>
        </w:rPr>
        <w:t>services</w:t>
      </w:r>
      <w:r>
        <w:rPr>
          <w:rFonts w:ascii="Times New Roman"/>
          <w:spacing w:val="-2"/>
          <w:w w:val="105"/>
          <w:sz w:val="23"/>
        </w:rPr>
        <w:t> </w:t>
      </w:r>
      <w:r>
        <w:rPr>
          <w:rFonts w:ascii="Times New Roman"/>
          <w:w w:val="105"/>
          <w:sz w:val="23"/>
        </w:rPr>
        <w:t>thereon,</w:t>
      </w:r>
      <w:r>
        <w:rPr>
          <w:rFonts w:ascii="Times New Roman"/>
          <w:spacing w:val="-2"/>
          <w:w w:val="105"/>
          <w:sz w:val="23"/>
        </w:rPr>
        <w:t> </w:t>
      </w:r>
      <w:r>
        <w:rPr>
          <w:rFonts w:ascii="Times New Roman"/>
          <w:w w:val="105"/>
          <w:sz w:val="23"/>
        </w:rPr>
        <w:t>no person</w:t>
      </w:r>
      <w:r>
        <w:rPr>
          <w:rFonts w:ascii="Times New Roman"/>
          <w:spacing w:val="-10"/>
          <w:w w:val="105"/>
          <w:sz w:val="23"/>
        </w:rPr>
        <w:t> </w:t>
      </w:r>
      <w:r>
        <w:rPr>
          <w:rFonts w:ascii="Times New Roman"/>
          <w:w w:val="105"/>
          <w:sz w:val="23"/>
        </w:rPr>
        <w:t>on</w:t>
      </w:r>
      <w:r>
        <w:rPr>
          <w:rFonts w:ascii="Times New Roman"/>
          <w:spacing w:val="-11"/>
          <w:w w:val="105"/>
          <w:sz w:val="23"/>
        </w:rPr>
        <w:t> </w:t>
      </w:r>
      <w:r>
        <w:rPr>
          <w:rFonts w:ascii="Times New Roman"/>
          <w:w w:val="105"/>
          <w:sz w:val="23"/>
        </w:rPr>
        <w:t>the</w:t>
      </w:r>
      <w:r>
        <w:rPr>
          <w:rFonts w:ascii="Times New Roman"/>
          <w:spacing w:val="-5"/>
          <w:w w:val="105"/>
          <w:sz w:val="23"/>
        </w:rPr>
        <w:t> </w:t>
      </w:r>
      <w:r>
        <w:rPr>
          <w:rFonts w:ascii="Times New Roman"/>
          <w:w w:val="105"/>
          <w:sz w:val="23"/>
        </w:rPr>
        <w:t>ground of</w:t>
      </w:r>
      <w:r>
        <w:rPr>
          <w:rFonts w:ascii="Times New Roman"/>
          <w:spacing w:val="-6"/>
          <w:w w:val="105"/>
          <w:sz w:val="23"/>
        </w:rPr>
        <w:t> </w:t>
      </w:r>
      <w:r>
        <w:rPr>
          <w:rFonts w:ascii="Times New Roman"/>
          <w:w w:val="105"/>
          <w:sz w:val="23"/>
        </w:rPr>
        <w:t>race,</w:t>
      </w:r>
      <w:r>
        <w:rPr>
          <w:rFonts w:ascii="Times New Roman"/>
          <w:spacing w:val="-7"/>
          <w:w w:val="105"/>
          <w:sz w:val="23"/>
        </w:rPr>
        <w:t> </w:t>
      </w:r>
      <w:r>
        <w:rPr>
          <w:rFonts w:ascii="Times New Roman"/>
          <w:w w:val="105"/>
          <w:sz w:val="23"/>
        </w:rPr>
        <w:t>color,</w:t>
      </w:r>
      <w:r>
        <w:rPr>
          <w:rFonts w:ascii="Times New Roman"/>
          <w:spacing w:val="-7"/>
          <w:w w:val="105"/>
          <w:sz w:val="23"/>
        </w:rPr>
        <w:t> </w:t>
      </w:r>
      <w:r>
        <w:rPr>
          <w:rFonts w:ascii="Times New Roman"/>
          <w:w w:val="105"/>
          <w:sz w:val="23"/>
        </w:rPr>
        <w:t>or</w:t>
      </w:r>
      <w:r>
        <w:rPr>
          <w:rFonts w:ascii="Times New Roman"/>
          <w:spacing w:val="-7"/>
          <w:w w:val="105"/>
          <w:sz w:val="23"/>
        </w:rPr>
        <w:t> </w:t>
      </w:r>
      <w:r>
        <w:rPr>
          <w:rFonts w:ascii="Times New Roman"/>
          <w:w w:val="105"/>
          <w:sz w:val="23"/>
        </w:rPr>
        <w:t>national origin,</w:t>
      </w:r>
      <w:r>
        <w:rPr>
          <w:rFonts w:ascii="Times New Roman"/>
          <w:spacing w:val="-3"/>
          <w:w w:val="105"/>
          <w:sz w:val="23"/>
        </w:rPr>
        <w:t> </w:t>
      </w:r>
      <w:r>
        <w:rPr>
          <w:rFonts w:ascii="Times New Roman"/>
          <w:w w:val="105"/>
          <w:sz w:val="23"/>
        </w:rPr>
        <w:t>will be</w:t>
      </w:r>
      <w:r>
        <w:rPr>
          <w:rFonts w:ascii="Times New Roman"/>
          <w:spacing w:val="-4"/>
          <w:w w:val="105"/>
          <w:sz w:val="23"/>
        </w:rPr>
        <w:t> </w:t>
      </w:r>
      <w:r>
        <w:rPr>
          <w:rFonts w:ascii="Times New Roman"/>
          <w:w w:val="105"/>
          <w:sz w:val="23"/>
        </w:rPr>
        <w:t>excluded from participation in,</w:t>
      </w:r>
      <w:r>
        <w:rPr>
          <w:rFonts w:ascii="Times New Roman"/>
          <w:spacing w:val="-1"/>
          <w:w w:val="105"/>
          <w:sz w:val="23"/>
        </w:rPr>
        <w:t> </w:t>
      </w:r>
      <w:r>
        <w:rPr>
          <w:rFonts w:ascii="Times New Roman"/>
          <w:w w:val="105"/>
          <w:sz w:val="23"/>
        </w:rPr>
        <w:t>denied the</w:t>
      </w:r>
      <w:r>
        <w:rPr>
          <w:rFonts w:ascii="Times New Roman"/>
          <w:spacing w:val="40"/>
          <w:w w:val="105"/>
          <w:sz w:val="23"/>
        </w:rPr>
        <w:t> </w:t>
      </w:r>
      <w:r>
        <w:rPr>
          <w:rFonts w:ascii="Times New Roman"/>
          <w:w w:val="105"/>
          <w:sz w:val="23"/>
        </w:rPr>
        <w:t>benefits of,</w:t>
      </w:r>
      <w:r>
        <w:rPr>
          <w:rFonts w:ascii="Times New Roman"/>
          <w:spacing w:val="-9"/>
          <w:w w:val="105"/>
          <w:sz w:val="23"/>
        </w:rPr>
        <w:t> </w:t>
      </w:r>
      <w:r>
        <w:rPr>
          <w:rFonts w:ascii="Times New Roman"/>
          <w:w w:val="105"/>
          <w:sz w:val="23"/>
        </w:rPr>
        <w:t>or</w:t>
      </w:r>
      <w:r>
        <w:rPr>
          <w:rFonts w:ascii="Times New Roman"/>
          <w:spacing w:val="-3"/>
          <w:w w:val="105"/>
          <w:sz w:val="23"/>
        </w:rPr>
        <w:t> </w:t>
      </w:r>
      <w:r>
        <w:rPr>
          <w:rFonts w:ascii="Times New Roman"/>
          <w:w w:val="105"/>
          <w:sz w:val="23"/>
        </w:rPr>
        <w:t>otherwise be</w:t>
      </w:r>
      <w:r>
        <w:rPr>
          <w:rFonts w:ascii="Times New Roman"/>
          <w:spacing w:val="-6"/>
          <w:w w:val="105"/>
          <w:sz w:val="23"/>
        </w:rPr>
        <w:t> </w:t>
      </w:r>
      <w:r>
        <w:rPr>
          <w:rFonts w:ascii="Times New Roman"/>
          <w:w w:val="105"/>
          <w:sz w:val="23"/>
        </w:rPr>
        <w:t>subjected to discrimination, (3)</w:t>
      </w:r>
      <w:r>
        <w:rPr>
          <w:rFonts w:ascii="Times New Roman"/>
          <w:spacing w:val="-7"/>
          <w:w w:val="105"/>
          <w:sz w:val="23"/>
        </w:rPr>
        <w:t> </w:t>
      </w:r>
      <w:r>
        <w:rPr>
          <w:rFonts w:ascii="Times New Roman"/>
          <w:w w:val="105"/>
          <w:sz w:val="23"/>
        </w:rPr>
        <w:t>that the</w:t>
      </w:r>
      <w:r>
        <w:rPr>
          <w:rFonts w:ascii="Times New Roman"/>
          <w:spacing w:val="-2"/>
          <w:w w:val="105"/>
          <w:sz w:val="23"/>
        </w:rPr>
        <w:t> </w:t>
      </w:r>
      <w:r>
        <w:rPr>
          <w:rFonts w:ascii="Times New Roman"/>
          <w:w w:val="105"/>
          <w:sz w:val="23"/>
        </w:rPr>
        <w:t>(grantee, licensee, lessee, permittee, etc.) will use</w:t>
      </w:r>
      <w:r>
        <w:rPr>
          <w:rFonts w:ascii="Times New Roman"/>
          <w:spacing w:val="-1"/>
          <w:w w:val="105"/>
          <w:sz w:val="23"/>
        </w:rPr>
        <w:t> </w:t>
      </w:r>
      <w:r>
        <w:rPr>
          <w:rFonts w:ascii="Times New Roman"/>
          <w:w w:val="105"/>
          <w:sz w:val="23"/>
        </w:rPr>
        <w:t>the premises in compliance with all other requirements imposed by</w:t>
      </w:r>
      <w:r>
        <w:rPr>
          <w:rFonts w:ascii="Times New Roman"/>
          <w:spacing w:val="-1"/>
          <w:w w:val="105"/>
          <w:sz w:val="23"/>
        </w:rPr>
        <w:t> </w:t>
      </w:r>
      <w:r>
        <w:rPr>
          <w:rFonts w:ascii="Times New Roman"/>
          <w:w w:val="105"/>
          <w:sz w:val="23"/>
        </w:rPr>
        <w:t>or</w:t>
      </w:r>
      <w:r>
        <w:rPr>
          <w:rFonts w:ascii="Times New Roman"/>
          <w:spacing w:val="-4"/>
          <w:w w:val="105"/>
          <w:sz w:val="23"/>
        </w:rPr>
        <w:t> </w:t>
      </w:r>
      <w:r>
        <w:rPr>
          <w:rFonts w:ascii="Times New Roman"/>
          <w:w w:val="105"/>
          <w:sz w:val="23"/>
        </w:rPr>
        <w:t>pursuant to</w:t>
      </w:r>
      <w:r>
        <w:rPr>
          <w:rFonts w:ascii="Times New Roman"/>
          <w:spacing w:val="-3"/>
          <w:w w:val="105"/>
          <w:sz w:val="23"/>
        </w:rPr>
        <w:t> </w:t>
      </w:r>
      <w:r>
        <w:rPr>
          <w:rFonts w:ascii="Times New Roman"/>
          <w:w w:val="105"/>
          <w:sz w:val="23"/>
        </w:rPr>
        <w:t>the Acts and Regulations, as amended, set forth in this</w:t>
      </w:r>
      <w:r>
        <w:rPr>
          <w:rFonts w:ascii="Times New Roman"/>
          <w:spacing w:val="40"/>
          <w:w w:val="105"/>
          <w:sz w:val="23"/>
        </w:rPr>
        <w:t> </w:t>
      </w:r>
      <w:r>
        <w:rPr>
          <w:rFonts w:ascii="Times New Roman"/>
          <w:w w:val="105"/>
          <w:sz w:val="23"/>
        </w:rPr>
        <w:t>Assurance.</w:t>
      </w:r>
    </w:p>
    <w:p>
      <w:pPr>
        <w:pStyle w:val="BodyText"/>
        <w:spacing w:before="9"/>
        <w:rPr>
          <w:rFonts w:ascii="Times New Roman"/>
          <w:sz w:val="21"/>
        </w:rPr>
      </w:pPr>
    </w:p>
    <w:p>
      <w:pPr>
        <w:pStyle w:val="ListParagraph"/>
        <w:numPr>
          <w:ilvl w:val="0"/>
          <w:numId w:val="33"/>
        </w:numPr>
        <w:tabs>
          <w:tab w:pos="1121" w:val="left" w:leader="none"/>
          <w:tab w:pos="1126" w:val="left" w:leader="none"/>
        </w:tabs>
        <w:spacing w:line="254" w:lineRule="auto" w:before="0" w:after="0"/>
        <w:ind w:left="1121" w:right="632" w:hanging="348"/>
        <w:jc w:val="left"/>
        <w:rPr>
          <w:rFonts w:ascii="Times New Roman" w:hAnsi="Times New Roman"/>
          <w:sz w:val="23"/>
        </w:rPr>
      </w:pPr>
      <w:r>
        <w:rPr>
          <w:rFonts w:ascii="Times New Roman" w:hAnsi="Times New Roman"/>
          <w:sz w:val="23"/>
        </w:rPr>
        <w:tab/>
      </w:r>
      <w:r>
        <w:rPr>
          <w:rFonts w:ascii="Times New Roman" w:hAnsi="Times New Roman"/>
          <w:w w:val="105"/>
          <w:sz w:val="23"/>
        </w:rPr>
        <w:t>With</w:t>
      </w:r>
      <w:r>
        <w:rPr>
          <w:rFonts w:ascii="Times New Roman" w:hAnsi="Times New Roman"/>
          <w:spacing w:val="-2"/>
          <w:w w:val="105"/>
          <w:sz w:val="23"/>
        </w:rPr>
        <w:t> </w:t>
      </w:r>
      <w:r>
        <w:rPr>
          <w:rFonts w:ascii="Times New Roman" w:hAnsi="Times New Roman"/>
          <w:w w:val="105"/>
          <w:sz w:val="23"/>
        </w:rPr>
        <w:t>respect to</w:t>
      </w:r>
      <w:r>
        <w:rPr>
          <w:rFonts w:ascii="Times New Roman" w:hAnsi="Times New Roman"/>
          <w:spacing w:val="-1"/>
          <w:w w:val="105"/>
          <w:sz w:val="23"/>
        </w:rPr>
        <w:t> </w:t>
      </w:r>
      <w:r>
        <w:rPr>
          <w:rFonts w:ascii="Times New Roman" w:hAnsi="Times New Roman"/>
          <w:w w:val="105"/>
          <w:sz w:val="23"/>
        </w:rPr>
        <w:t>(licenses, leases, permits,</w:t>
      </w:r>
      <w:r>
        <w:rPr>
          <w:rFonts w:ascii="Times New Roman" w:hAnsi="Times New Roman"/>
          <w:spacing w:val="-2"/>
          <w:w w:val="105"/>
          <w:sz w:val="23"/>
        </w:rPr>
        <w:t> </w:t>
      </w:r>
      <w:r>
        <w:rPr>
          <w:rFonts w:ascii="Times New Roman" w:hAnsi="Times New Roman"/>
          <w:w w:val="105"/>
          <w:sz w:val="23"/>
        </w:rPr>
        <w:t>etc.), in the</w:t>
      </w:r>
      <w:r>
        <w:rPr>
          <w:rFonts w:ascii="Times New Roman" w:hAnsi="Times New Roman"/>
          <w:spacing w:val="-4"/>
          <w:w w:val="105"/>
          <w:sz w:val="23"/>
        </w:rPr>
        <w:t> </w:t>
      </w:r>
      <w:r>
        <w:rPr>
          <w:rFonts w:ascii="Times New Roman" w:hAnsi="Times New Roman"/>
          <w:w w:val="105"/>
          <w:sz w:val="23"/>
        </w:rPr>
        <w:t>event of breach of</w:t>
      </w:r>
      <w:r>
        <w:rPr>
          <w:rFonts w:ascii="Times New Roman" w:hAnsi="Times New Roman"/>
          <w:spacing w:val="-2"/>
          <w:w w:val="105"/>
          <w:sz w:val="23"/>
        </w:rPr>
        <w:t> </w:t>
      </w:r>
      <w:r>
        <w:rPr>
          <w:rFonts w:ascii="Times New Roman" w:hAnsi="Times New Roman"/>
          <w:w w:val="105"/>
          <w:sz w:val="23"/>
        </w:rPr>
        <w:t>any of</w:t>
      </w:r>
      <w:r>
        <w:rPr>
          <w:rFonts w:ascii="Times New Roman" w:hAnsi="Times New Roman"/>
          <w:spacing w:val="-3"/>
          <w:w w:val="105"/>
          <w:sz w:val="23"/>
        </w:rPr>
        <w:t> </w:t>
      </w:r>
      <w:r>
        <w:rPr>
          <w:rFonts w:ascii="Times New Roman" w:hAnsi="Times New Roman"/>
          <w:w w:val="105"/>
          <w:sz w:val="23"/>
        </w:rPr>
        <w:t>the</w:t>
      </w:r>
      <w:r>
        <w:rPr>
          <w:rFonts w:ascii="Times New Roman" w:hAnsi="Times New Roman"/>
          <w:spacing w:val="-4"/>
          <w:w w:val="105"/>
          <w:sz w:val="23"/>
        </w:rPr>
        <w:t> </w:t>
      </w:r>
      <w:r>
        <w:rPr>
          <w:rFonts w:ascii="Times New Roman" w:hAnsi="Times New Roman"/>
          <w:w w:val="105"/>
          <w:sz w:val="23"/>
        </w:rPr>
        <w:t>above Non­ discrimination</w:t>
      </w:r>
      <w:r>
        <w:rPr>
          <w:rFonts w:ascii="Times New Roman" w:hAnsi="Times New Roman"/>
          <w:spacing w:val="-6"/>
          <w:w w:val="105"/>
          <w:sz w:val="23"/>
        </w:rPr>
        <w:t> </w:t>
      </w:r>
      <w:r>
        <w:rPr>
          <w:rFonts w:ascii="Times New Roman" w:hAnsi="Times New Roman"/>
          <w:w w:val="105"/>
          <w:sz w:val="23"/>
        </w:rPr>
        <w:t>covenants, the</w:t>
      </w:r>
      <w:r>
        <w:rPr>
          <w:rFonts w:ascii="Times New Roman" w:hAnsi="Times New Roman"/>
          <w:spacing w:val="-2"/>
          <w:w w:val="105"/>
          <w:sz w:val="23"/>
        </w:rPr>
        <w:t> </w:t>
      </w:r>
      <w:r>
        <w:rPr>
          <w:rFonts w:ascii="Times New Roman" w:hAnsi="Times New Roman"/>
          <w:b/>
          <w:i/>
          <w:w w:val="105"/>
          <w:sz w:val="23"/>
        </w:rPr>
        <w:t>Maine Department of Transportation</w:t>
      </w:r>
      <w:r>
        <w:rPr>
          <w:rFonts w:ascii="Times New Roman" w:hAnsi="Times New Roman"/>
          <w:b/>
          <w:i/>
          <w:spacing w:val="-3"/>
          <w:w w:val="105"/>
          <w:sz w:val="23"/>
        </w:rPr>
        <w:t> </w:t>
      </w:r>
      <w:r>
        <w:rPr>
          <w:rFonts w:ascii="Times New Roman" w:hAnsi="Times New Roman"/>
          <w:w w:val="105"/>
          <w:sz w:val="23"/>
        </w:rPr>
        <w:t>will have</w:t>
      </w:r>
      <w:r>
        <w:rPr>
          <w:rFonts w:ascii="Times New Roman" w:hAnsi="Times New Roman"/>
          <w:spacing w:val="-1"/>
          <w:w w:val="105"/>
          <w:sz w:val="23"/>
        </w:rPr>
        <w:t> </w:t>
      </w:r>
      <w:r>
        <w:rPr>
          <w:rFonts w:ascii="Times New Roman" w:hAnsi="Times New Roman"/>
          <w:w w:val="105"/>
          <w:sz w:val="23"/>
        </w:rPr>
        <w:t>the right to terminate</w:t>
      </w:r>
      <w:r>
        <w:rPr>
          <w:rFonts w:ascii="Times New Roman" w:hAnsi="Times New Roman"/>
          <w:spacing w:val="-3"/>
          <w:w w:val="105"/>
          <w:sz w:val="23"/>
        </w:rPr>
        <w:t> </w:t>
      </w:r>
      <w:r>
        <w:rPr>
          <w:rFonts w:ascii="Times New Roman" w:hAnsi="Times New Roman"/>
          <w:w w:val="105"/>
          <w:sz w:val="23"/>
        </w:rPr>
        <w:t>the</w:t>
      </w:r>
      <w:r>
        <w:rPr>
          <w:rFonts w:ascii="Times New Roman" w:hAnsi="Times New Roman"/>
          <w:spacing w:val="-9"/>
          <w:w w:val="105"/>
          <w:sz w:val="23"/>
        </w:rPr>
        <w:t> </w:t>
      </w:r>
      <w:r>
        <w:rPr>
          <w:rFonts w:ascii="Times New Roman" w:hAnsi="Times New Roman"/>
          <w:w w:val="105"/>
          <w:sz w:val="23"/>
        </w:rPr>
        <w:t>(license,</w:t>
      </w:r>
      <w:r>
        <w:rPr>
          <w:rFonts w:ascii="Times New Roman" w:hAnsi="Times New Roman"/>
          <w:spacing w:val="-1"/>
          <w:w w:val="105"/>
          <w:sz w:val="23"/>
        </w:rPr>
        <w:t> </w:t>
      </w:r>
      <w:r>
        <w:rPr>
          <w:rFonts w:ascii="Times New Roman" w:hAnsi="Times New Roman"/>
          <w:w w:val="105"/>
          <w:sz w:val="23"/>
        </w:rPr>
        <w:t>permit,</w:t>
      </w:r>
      <w:r>
        <w:rPr>
          <w:rFonts w:ascii="Times New Roman" w:hAnsi="Times New Roman"/>
          <w:spacing w:val="-9"/>
          <w:w w:val="105"/>
          <w:sz w:val="23"/>
        </w:rPr>
        <w:t> </w:t>
      </w:r>
      <w:r>
        <w:rPr>
          <w:rFonts w:ascii="Times New Roman" w:hAnsi="Times New Roman"/>
          <w:w w:val="105"/>
          <w:sz w:val="23"/>
        </w:rPr>
        <w:t>etc.,</w:t>
      </w:r>
      <w:r>
        <w:rPr>
          <w:rFonts w:ascii="Times New Roman" w:hAnsi="Times New Roman"/>
          <w:spacing w:val="-11"/>
          <w:w w:val="105"/>
          <w:sz w:val="23"/>
        </w:rPr>
        <w:t> </w:t>
      </w:r>
      <w:r>
        <w:rPr>
          <w:rFonts w:ascii="Times New Roman" w:hAnsi="Times New Roman"/>
          <w:w w:val="105"/>
          <w:sz w:val="23"/>
        </w:rPr>
        <w:t>as</w:t>
      </w:r>
      <w:r>
        <w:rPr>
          <w:rFonts w:ascii="Times New Roman" w:hAnsi="Times New Roman"/>
          <w:spacing w:val="-16"/>
          <w:w w:val="105"/>
          <w:sz w:val="23"/>
        </w:rPr>
        <w:t> </w:t>
      </w:r>
      <w:r>
        <w:rPr>
          <w:rFonts w:ascii="Times New Roman" w:hAnsi="Times New Roman"/>
          <w:w w:val="105"/>
          <w:sz w:val="23"/>
        </w:rPr>
        <w:t>appropriate) and</w:t>
      </w:r>
      <w:r>
        <w:rPr>
          <w:rFonts w:ascii="Times New Roman" w:hAnsi="Times New Roman"/>
          <w:spacing w:val="-7"/>
          <w:w w:val="105"/>
          <w:sz w:val="23"/>
        </w:rPr>
        <w:t> </w:t>
      </w:r>
      <w:r>
        <w:rPr>
          <w:rFonts w:ascii="Times New Roman" w:hAnsi="Times New Roman"/>
          <w:w w:val="105"/>
          <w:sz w:val="23"/>
        </w:rPr>
        <w:t>to</w:t>
      </w:r>
      <w:r>
        <w:rPr>
          <w:rFonts w:ascii="Times New Roman" w:hAnsi="Times New Roman"/>
          <w:spacing w:val="-12"/>
          <w:w w:val="105"/>
          <w:sz w:val="23"/>
        </w:rPr>
        <w:t> </w:t>
      </w:r>
      <w:r>
        <w:rPr>
          <w:rFonts w:ascii="Times New Roman" w:hAnsi="Times New Roman"/>
          <w:w w:val="105"/>
          <w:sz w:val="23"/>
        </w:rPr>
        <w:t>enter</w:t>
      </w:r>
      <w:r>
        <w:rPr>
          <w:rFonts w:ascii="Times New Roman" w:hAnsi="Times New Roman"/>
          <w:spacing w:val="-10"/>
          <w:w w:val="105"/>
          <w:sz w:val="23"/>
        </w:rPr>
        <w:t> </w:t>
      </w:r>
      <w:r>
        <w:rPr>
          <w:rFonts w:ascii="Times New Roman" w:hAnsi="Times New Roman"/>
          <w:w w:val="105"/>
          <w:sz w:val="23"/>
        </w:rPr>
        <w:t>or</w:t>
      </w:r>
      <w:r>
        <w:rPr>
          <w:rFonts w:ascii="Times New Roman" w:hAnsi="Times New Roman"/>
          <w:spacing w:val="-9"/>
          <w:w w:val="105"/>
          <w:sz w:val="23"/>
        </w:rPr>
        <w:t> </w:t>
      </w:r>
      <w:r>
        <w:rPr>
          <w:rFonts w:ascii="Times New Roman" w:hAnsi="Times New Roman"/>
          <w:w w:val="105"/>
          <w:sz w:val="23"/>
        </w:rPr>
        <w:t>re-enter</w:t>
      </w:r>
      <w:r>
        <w:rPr>
          <w:rFonts w:ascii="Times New Roman" w:hAnsi="Times New Roman"/>
          <w:spacing w:val="-1"/>
          <w:w w:val="105"/>
          <w:sz w:val="23"/>
        </w:rPr>
        <w:t> </w:t>
      </w:r>
      <w:r>
        <w:rPr>
          <w:rFonts w:ascii="Times New Roman" w:hAnsi="Times New Roman"/>
          <w:w w:val="105"/>
          <w:sz w:val="23"/>
        </w:rPr>
        <w:t>and</w:t>
      </w:r>
      <w:r>
        <w:rPr>
          <w:rFonts w:ascii="Times New Roman" w:hAnsi="Times New Roman"/>
          <w:spacing w:val="-1"/>
          <w:w w:val="105"/>
          <w:sz w:val="23"/>
        </w:rPr>
        <w:t> </w:t>
      </w:r>
      <w:r>
        <w:rPr>
          <w:rFonts w:ascii="Times New Roman" w:hAnsi="Times New Roman"/>
          <w:w w:val="105"/>
          <w:sz w:val="23"/>
        </w:rPr>
        <w:t>repossess</w:t>
      </w:r>
      <w:r>
        <w:rPr>
          <w:rFonts w:ascii="Times New Roman" w:hAnsi="Times New Roman"/>
          <w:spacing w:val="-3"/>
          <w:w w:val="105"/>
          <w:sz w:val="23"/>
        </w:rPr>
        <w:t> </w:t>
      </w:r>
      <w:r>
        <w:rPr>
          <w:rFonts w:ascii="Times New Roman" w:hAnsi="Times New Roman"/>
          <w:w w:val="105"/>
          <w:sz w:val="23"/>
        </w:rPr>
        <w:t>said</w:t>
      </w:r>
      <w:r>
        <w:rPr>
          <w:rFonts w:ascii="Times New Roman" w:hAnsi="Times New Roman"/>
          <w:spacing w:val="-6"/>
          <w:w w:val="105"/>
          <w:sz w:val="23"/>
        </w:rPr>
        <w:t> </w:t>
      </w:r>
      <w:r>
        <w:rPr>
          <w:rFonts w:ascii="Times New Roman" w:hAnsi="Times New Roman"/>
          <w:w w:val="105"/>
          <w:sz w:val="23"/>
        </w:rPr>
        <w:t>land and the</w:t>
      </w:r>
      <w:r>
        <w:rPr>
          <w:rFonts w:ascii="Times New Roman" w:hAnsi="Times New Roman"/>
          <w:spacing w:val="-3"/>
          <w:w w:val="105"/>
          <w:sz w:val="23"/>
        </w:rPr>
        <w:t> </w:t>
      </w:r>
      <w:r>
        <w:rPr>
          <w:rFonts w:ascii="Times New Roman" w:hAnsi="Times New Roman"/>
          <w:w w:val="105"/>
          <w:sz w:val="23"/>
        </w:rPr>
        <w:t>facilities thereon, and hold the same as</w:t>
      </w:r>
      <w:r>
        <w:rPr>
          <w:rFonts w:ascii="Times New Roman" w:hAnsi="Times New Roman"/>
          <w:spacing w:val="-7"/>
          <w:w w:val="105"/>
          <w:sz w:val="23"/>
        </w:rPr>
        <w:t> </w:t>
      </w:r>
      <w:r>
        <w:rPr>
          <w:rFonts w:ascii="Times New Roman" w:hAnsi="Times New Roman"/>
          <w:w w:val="105"/>
          <w:sz w:val="23"/>
        </w:rPr>
        <w:t>if</w:t>
      </w:r>
      <w:r>
        <w:rPr>
          <w:rFonts w:ascii="Times New Roman" w:hAnsi="Times New Roman"/>
          <w:spacing w:val="-6"/>
          <w:w w:val="105"/>
          <w:sz w:val="23"/>
        </w:rPr>
        <w:t> </w:t>
      </w:r>
      <w:r>
        <w:rPr>
          <w:rFonts w:ascii="Times New Roman" w:hAnsi="Times New Roman"/>
          <w:w w:val="105"/>
          <w:sz w:val="23"/>
        </w:rPr>
        <w:t>said (license, permit,</w:t>
      </w:r>
      <w:r>
        <w:rPr>
          <w:rFonts w:ascii="Times New Roman" w:hAnsi="Times New Roman"/>
          <w:spacing w:val="-3"/>
          <w:w w:val="105"/>
          <w:sz w:val="23"/>
        </w:rPr>
        <w:t> </w:t>
      </w:r>
      <w:r>
        <w:rPr>
          <w:rFonts w:ascii="Times New Roman" w:hAnsi="Times New Roman"/>
          <w:w w:val="105"/>
          <w:sz w:val="23"/>
        </w:rPr>
        <w:t>etc., as appropriate) had never been made or issued. *</w:t>
      </w:r>
    </w:p>
    <w:p>
      <w:pPr>
        <w:pStyle w:val="BodyText"/>
        <w:spacing w:before="5"/>
        <w:rPr>
          <w:rFonts w:ascii="Times New Roman"/>
          <w:sz w:val="22"/>
        </w:rPr>
      </w:pPr>
    </w:p>
    <w:p>
      <w:pPr>
        <w:pStyle w:val="ListParagraph"/>
        <w:numPr>
          <w:ilvl w:val="0"/>
          <w:numId w:val="33"/>
        </w:numPr>
        <w:tabs>
          <w:tab w:pos="1128" w:val="left" w:leader="none"/>
          <w:tab w:pos="1133" w:val="left" w:leader="none"/>
        </w:tabs>
        <w:spacing w:line="254" w:lineRule="auto" w:before="0" w:after="0"/>
        <w:ind w:left="1128" w:right="805" w:hanging="353"/>
        <w:jc w:val="left"/>
        <w:rPr>
          <w:rFonts w:ascii="Times New Roman"/>
          <w:sz w:val="23"/>
        </w:rPr>
      </w:pPr>
      <w:r>
        <w:rPr>
          <w:rFonts w:ascii="Times New Roman"/>
          <w:sz w:val="23"/>
        </w:rPr>
        <w:tab/>
      </w:r>
      <w:r>
        <w:rPr>
          <w:rFonts w:ascii="Times New Roman"/>
          <w:w w:val="105"/>
          <w:sz w:val="23"/>
        </w:rPr>
        <w:t>With</w:t>
      </w:r>
      <w:r>
        <w:rPr>
          <w:rFonts w:ascii="Times New Roman"/>
          <w:spacing w:val="-8"/>
          <w:w w:val="105"/>
          <w:sz w:val="23"/>
        </w:rPr>
        <w:t> </w:t>
      </w:r>
      <w:r>
        <w:rPr>
          <w:rFonts w:ascii="Times New Roman"/>
          <w:w w:val="105"/>
          <w:sz w:val="23"/>
        </w:rPr>
        <w:t>respect to</w:t>
      </w:r>
      <w:r>
        <w:rPr>
          <w:rFonts w:ascii="Times New Roman"/>
          <w:spacing w:val="-16"/>
          <w:w w:val="105"/>
          <w:sz w:val="23"/>
        </w:rPr>
        <w:t> </w:t>
      </w:r>
      <w:r>
        <w:rPr>
          <w:rFonts w:ascii="Times New Roman"/>
          <w:w w:val="105"/>
          <w:sz w:val="23"/>
        </w:rPr>
        <w:t>deeds, in</w:t>
      </w:r>
      <w:r>
        <w:rPr>
          <w:rFonts w:ascii="Times New Roman"/>
          <w:spacing w:val="-4"/>
          <w:w w:val="105"/>
          <w:sz w:val="23"/>
        </w:rPr>
        <w:t> </w:t>
      </w:r>
      <w:r>
        <w:rPr>
          <w:rFonts w:ascii="Times New Roman"/>
          <w:w w:val="105"/>
          <w:sz w:val="23"/>
        </w:rPr>
        <w:t>the</w:t>
      </w:r>
      <w:r>
        <w:rPr>
          <w:rFonts w:ascii="Times New Roman"/>
          <w:spacing w:val="-13"/>
          <w:w w:val="105"/>
          <w:sz w:val="23"/>
        </w:rPr>
        <w:t> </w:t>
      </w:r>
      <w:r>
        <w:rPr>
          <w:rFonts w:ascii="Times New Roman"/>
          <w:w w:val="105"/>
          <w:sz w:val="23"/>
        </w:rPr>
        <w:t>event</w:t>
      </w:r>
      <w:r>
        <w:rPr>
          <w:rFonts w:ascii="Times New Roman"/>
          <w:spacing w:val="-9"/>
          <w:w w:val="105"/>
          <w:sz w:val="23"/>
        </w:rPr>
        <w:t> </w:t>
      </w:r>
      <w:r>
        <w:rPr>
          <w:rFonts w:ascii="Times New Roman"/>
          <w:w w:val="105"/>
          <w:sz w:val="23"/>
        </w:rPr>
        <w:t>of</w:t>
      </w:r>
      <w:r>
        <w:rPr>
          <w:rFonts w:ascii="Times New Roman"/>
          <w:spacing w:val="-4"/>
          <w:w w:val="105"/>
          <w:sz w:val="23"/>
        </w:rPr>
        <w:t> </w:t>
      </w:r>
      <w:r>
        <w:rPr>
          <w:rFonts w:ascii="Times New Roman"/>
          <w:w w:val="105"/>
          <w:sz w:val="23"/>
        </w:rPr>
        <w:t>breach</w:t>
      </w:r>
      <w:r>
        <w:rPr>
          <w:rFonts w:ascii="Times New Roman"/>
          <w:spacing w:val="-9"/>
          <w:w w:val="105"/>
          <w:sz w:val="23"/>
        </w:rPr>
        <w:t> </w:t>
      </w:r>
      <w:r>
        <w:rPr>
          <w:rFonts w:ascii="Times New Roman"/>
          <w:w w:val="105"/>
          <w:sz w:val="23"/>
        </w:rPr>
        <w:t>of</w:t>
      </w:r>
      <w:r>
        <w:rPr>
          <w:rFonts w:ascii="Times New Roman"/>
          <w:spacing w:val="-12"/>
          <w:w w:val="105"/>
          <w:sz w:val="23"/>
        </w:rPr>
        <w:t> </w:t>
      </w:r>
      <w:r>
        <w:rPr>
          <w:rFonts w:ascii="Times New Roman"/>
          <w:w w:val="105"/>
          <w:sz w:val="23"/>
        </w:rPr>
        <w:t>any</w:t>
      </w:r>
      <w:r>
        <w:rPr>
          <w:rFonts w:ascii="Times New Roman"/>
          <w:spacing w:val="-1"/>
          <w:w w:val="105"/>
          <w:sz w:val="23"/>
        </w:rPr>
        <w:t> </w:t>
      </w:r>
      <w:r>
        <w:rPr>
          <w:rFonts w:ascii="Times New Roman"/>
          <w:w w:val="105"/>
          <w:sz w:val="23"/>
        </w:rPr>
        <w:t>of</w:t>
      </w:r>
      <w:r>
        <w:rPr>
          <w:rFonts w:ascii="Times New Roman"/>
          <w:spacing w:val="-7"/>
          <w:w w:val="105"/>
          <w:sz w:val="23"/>
        </w:rPr>
        <w:t> </w:t>
      </w:r>
      <w:r>
        <w:rPr>
          <w:rFonts w:ascii="Times New Roman"/>
          <w:w w:val="105"/>
          <w:sz w:val="23"/>
        </w:rPr>
        <w:t>the</w:t>
      </w:r>
      <w:r>
        <w:rPr>
          <w:rFonts w:ascii="Times New Roman"/>
          <w:spacing w:val="-13"/>
          <w:w w:val="105"/>
          <w:sz w:val="23"/>
        </w:rPr>
        <w:t> </w:t>
      </w:r>
      <w:r>
        <w:rPr>
          <w:rFonts w:ascii="Times New Roman"/>
          <w:w w:val="105"/>
          <w:sz w:val="23"/>
        </w:rPr>
        <w:t>above</w:t>
      </w:r>
      <w:r>
        <w:rPr>
          <w:rFonts w:ascii="Times New Roman"/>
          <w:spacing w:val="-9"/>
          <w:w w:val="105"/>
          <w:sz w:val="23"/>
        </w:rPr>
        <w:t> </w:t>
      </w:r>
      <w:r>
        <w:rPr>
          <w:rFonts w:ascii="Times New Roman"/>
          <w:w w:val="105"/>
          <w:sz w:val="23"/>
        </w:rPr>
        <w:t>Non-discrimination</w:t>
      </w:r>
      <w:r>
        <w:rPr>
          <w:rFonts w:ascii="Times New Roman"/>
          <w:spacing w:val="-12"/>
          <w:w w:val="105"/>
          <w:sz w:val="23"/>
        </w:rPr>
        <w:t> </w:t>
      </w:r>
      <w:r>
        <w:rPr>
          <w:rFonts w:ascii="Times New Roman"/>
          <w:w w:val="105"/>
          <w:sz w:val="23"/>
        </w:rPr>
        <w:t>covenants, the</w:t>
      </w:r>
      <w:r>
        <w:rPr>
          <w:rFonts w:ascii="Times New Roman"/>
          <w:spacing w:val="-5"/>
          <w:w w:val="105"/>
          <w:sz w:val="23"/>
        </w:rPr>
        <w:t> </w:t>
      </w:r>
      <w:r>
        <w:rPr>
          <w:rFonts w:ascii="Times New Roman"/>
          <w:b/>
          <w:i/>
          <w:w w:val="105"/>
          <w:sz w:val="23"/>
        </w:rPr>
        <w:t>Maine Department of Transportation</w:t>
      </w:r>
      <w:r>
        <w:rPr>
          <w:rFonts w:ascii="Times New Roman"/>
          <w:b/>
          <w:i/>
          <w:spacing w:val="-14"/>
          <w:w w:val="105"/>
          <w:sz w:val="23"/>
        </w:rPr>
        <w:t> </w:t>
      </w:r>
      <w:r>
        <w:rPr>
          <w:rFonts w:ascii="Times New Roman"/>
          <w:w w:val="105"/>
          <w:sz w:val="23"/>
        </w:rPr>
        <w:t>will there upon revert to</w:t>
      </w:r>
      <w:r>
        <w:rPr>
          <w:rFonts w:ascii="Times New Roman"/>
          <w:spacing w:val="-11"/>
          <w:w w:val="105"/>
          <w:sz w:val="23"/>
        </w:rPr>
        <w:t> </w:t>
      </w:r>
      <w:r>
        <w:rPr>
          <w:rFonts w:ascii="Times New Roman"/>
          <w:w w:val="105"/>
          <w:sz w:val="23"/>
        </w:rPr>
        <w:t>and vest in</w:t>
      </w:r>
      <w:r>
        <w:rPr>
          <w:rFonts w:ascii="Times New Roman"/>
          <w:spacing w:val="-11"/>
          <w:w w:val="105"/>
          <w:sz w:val="23"/>
        </w:rPr>
        <w:t> </w:t>
      </w:r>
      <w:r>
        <w:rPr>
          <w:rFonts w:ascii="Times New Roman"/>
          <w:w w:val="105"/>
          <w:sz w:val="23"/>
        </w:rPr>
        <w:t>and become</w:t>
      </w:r>
      <w:r>
        <w:rPr>
          <w:rFonts w:ascii="Times New Roman"/>
          <w:spacing w:val="-2"/>
          <w:w w:val="105"/>
          <w:sz w:val="23"/>
        </w:rPr>
        <w:t> </w:t>
      </w:r>
      <w:r>
        <w:rPr>
          <w:rFonts w:ascii="Times New Roman"/>
          <w:w w:val="105"/>
          <w:sz w:val="23"/>
        </w:rPr>
        <w:t>the absolute prope1iy of</w:t>
      </w:r>
      <w:r>
        <w:rPr>
          <w:rFonts w:ascii="Times New Roman"/>
          <w:spacing w:val="-1"/>
          <w:w w:val="105"/>
          <w:sz w:val="23"/>
        </w:rPr>
        <w:t> </w:t>
      </w:r>
      <w:r>
        <w:rPr>
          <w:rFonts w:ascii="Times New Roman"/>
          <w:w w:val="105"/>
          <w:sz w:val="23"/>
        </w:rPr>
        <w:t>the </w:t>
      </w:r>
      <w:r>
        <w:rPr>
          <w:rFonts w:ascii="Times New Roman"/>
          <w:b/>
          <w:i/>
          <w:w w:val="105"/>
          <w:sz w:val="23"/>
        </w:rPr>
        <w:t>Maine Department of Transportation</w:t>
      </w:r>
      <w:r>
        <w:rPr>
          <w:rFonts w:ascii="Times New Roman"/>
          <w:b/>
          <w:i/>
          <w:spacing w:val="-7"/>
          <w:w w:val="105"/>
          <w:sz w:val="23"/>
        </w:rPr>
        <w:t> </w:t>
      </w:r>
      <w:r>
        <w:rPr>
          <w:rFonts w:ascii="Times New Roman"/>
          <w:w w:val="105"/>
          <w:sz w:val="23"/>
        </w:rPr>
        <w:t>and its</w:t>
      </w:r>
      <w:r>
        <w:rPr>
          <w:rFonts w:ascii="Times New Roman"/>
          <w:spacing w:val="-11"/>
          <w:w w:val="105"/>
          <w:sz w:val="23"/>
        </w:rPr>
        <w:t> </w:t>
      </w:r>
      <w:r>
        <w:rPr>
          <w:rFonts w:ascii="Times New Roman"/>
          <w:w w:val="105"/>
          <w:sz w:val="23"/>
        </w:rPr>
        <w:t>assigns. *</w:t>
      </w:r>
    </w:p>
    <w:p>
      <w:pPr>
        <w:pStyle w:val="BodyText"/>
        <w:rPr>
          <w:rFonts w:ascii="Times New Roman"/>
          <w:sz w:val="26"/>
        </w:rPr>
      </w:pPr>
    </w:p>
    <w:p>
      <w:pPr>
        <w:pStyle w:val="BodyText"/>
        <w:rPr>
          <w:rFonts w:ascii="Times New Roman"/>
          <w:sz w:val="26"/>
        </w:rPr>
      </w:pPr>
    </w:p>
    <w:p>
      <w:pPr>
        <w:spacing w:before="226"/>
        <w:ind w:left="335" w:right="0" w:firstLine="0"/>
        <w:jc w:val="left"/>
        <w:rPr>
          <w:rFonts w:ascii="Times New Roman"/>
          <w:b/>
          <w:sz w:val="24"/>
        </w:rPr>
      </w:pPr>
      <w:r>
        <w:rPr>
          <w:rFonts w:ascii="Times New Roman"/>
          <w:w w:val="105"/>
          <w:sz w:val="23"/>
        </w:rPr>
        <w:t>(*Reve1ier</w:t>
      </w:r>
      <w:r>
        <w:rPr>
          <w:rFonts w:ascii="Times New Roman"/>
          <w:spacing w:val="-5"/>
          <w:w w:val="105"/>
          <w:sz w:val="23"/>
        </w:rPr>
        <w:t> </w:t>
      </w:r>
      <w:r>
        <w:rPr>
          <w:rFonts w:ascii="Times New Roman"/>
          <w:w w:val="105"/>
          <w:sz w:val="23"/>
        </w:rPr>
        <w:t>clause</w:t>
      </w:r>
      <w:r>
        <w:rPr>
          <w:rFonts w:ascii="Times New Roman"/>
          <w:spacing w:val="-5"/>
          <w:w w:val="105"/>
          <w:sz w:val="23"/>
        </w:rPr>
        <w:t> </w:t>
      </w:r>
      <w:r>
        <w:rPr>
          <w:rFonts w:ascii="Times New Roman"/>
          <w:w w:val="105"/>
          <w:sz w:val="23"/>
        </w:rPr>
        <w:t>and</w:t>
      </w:r>
      <w:r>
        <w:rPr>
          <w:rFonts w:ascii="Times New Roman"/>
          <w:spacing w:val="-7"/>
          <w:w w:val="105"/>
          <w:sz w:val="23"/>
        </w:rPr>
        <w:t> </w:t>
      </w:r>
      <w:r>
        <w:rPr>
          <w:rFonts w:ascii="Times New Roman"/>
          <w:w w:val="105"/>
          <w:sz w:val="23"/>
        </w:rPr>
        <w:t>related</w:t>
      </w:r>
      <w:r>
        <w:rPr>
          <w:rFonts w:ascii="Times New Roman"/>
          <w:spacing w:val="-3"/>
          <w:w w:val="105"/>
          <w:sz w:val="23"/>
        </w:rPr>
        <w:t> </w:t>
      </w:r>
      <w:r>
        <w:rPr>
          <w:rFonts w:ascii="Times New Roman"/>
          <w:w w:val="105"/>
          <w:sz w:val="23"/>
        </w:rPr>
        <w:t>language</w:t>
      </w:r>
      <w:r>
        <w:rPr>
          <w:rFonts w:ascii="Times New Roman"/>
          <w:spacing w:val="-6"/>
          <w:w w:val="105"/>
          <w:sz w:val="23"/>
        </w:rPr>
        <w:t> </w:t>
      </w:r>
      <w:r>
        <w:rPr>
          <w:rFonts w:ascii="Times New Roman"/>
          <w:w w:val="105"/>
          <w:sz w:val="23"/>
        </w:rPr>
        <w:t>to</w:t>
      </w:r>
      <w:r>
        <w:rPr>
          <w:rFonts w:ascii="Times New Roman"/>
          <w:spacing w:val="-11"/>
          <w:w w:val="105"/>
          <w:sz w:val="23"/>
        </w:rPr>
        <w:t> </w:t>
      </w:r>
      <w:r>
        <w:rPr>
          <w:rFonts w:ascii="Times New Roman"/>
          <w:w w:val="105"/>
          <w:sz w:val="23"/>
        </w:rPr>
        <w:t>be</w:t>
      </w:r>
      <w:r>
        <w:rPr>
          <w:rFonts w:ascii="Times New Roman"/>
          <w:spacing w:val="-15"/>
          <w:w w:val="105"/>
          <w:sz w:val="23"/>
        </w:rPr>
        <w:t> </w:t>
      </w:r>
      <w:r>
        <w:rPr>
          <w:rFonts w:ascii="Times New Roman"/>
          <w:w w:val="105"/>
          <w:sz w:val="23"/>
        </w:rPr>
        <w:t>used</w:t>
      </w:r>
      <w:r>
        <w:rPr>
          <w:rFonts w:ascii="Times New Roman"/>
          <w:spacing w:val="-6"/>
          <w:w w:val="105"/>
          <w:sz w:val="23"/>
        </w:rPr>
        <w:t> </w:t>
      </w:r>
      <w:r>
        <w:rPr>
          <w:rFonts w:ascii="Times New Roman"/>
          <w:w w:val="105"/>
          <w:sz w:val="23"/>
        </w:rPr>
        <w:t>only</w:t>
      </w:r>
      <w:r>
        <w:rPr>
          <w:rFonts w:ascii="Times New Roman"/>
          <w:spacing w:val="-7"/>
          <w:w w:val="105"/>
          <w:sz w:val="23"/>
        </w:rPr>
        <w:t> </w:t>
      </w:r>
      <w:r>
        <w:rPr>
          <w:rFonts w:ascii="Times New Roman"/>
          <w:w w:val="105"/>
          <w:sz w:val="23"/>
        </w:rPr>
        <w:t>when</w:t>
      </w:r>
      <w:r>
        <w:rPr>
          <w:rFonts w:ascii="Times New Roman"/>
          <w:spacing w:val="-6"/>
          <w:w w:val="105"/>
          <w:sz w:val="23"/>
        </w:rPr>
        <w:t> </w:t>
      </w:r>
      <w:r>
        <w:rPr>
          <w:rFonts w:ascii="Times New Roman"/>
          <w:w w:val="105"/>
          <w:sz w:val="23"/>
        </w:rPr>
        <w:t>it</w:t>
      </w:r>
      <w:r>
        <w:rPr>
          <w:rFonts w:ascii="Times New Roman"/>
          <w:spacing w:val="-10"/>
          <w:w w:val="105"/>
          <w:sz w:val="23"/>
        </w:rPr>
        <w:t> </w:t>
      </w:r>
      <w:r>
        <w:rPr>
          <w:rFonts w:ascii="Times New Roman"/>
          <w:w w:val="105"/>
          <w:sz w:val="23"/>
        </w:rPr>
        <w:t>is</w:t>
      </w:r>
      <w:r>
        <w:rPr>
          <w:rFonts w:ascii="Times New Roman"/>
          <w:spacing w:val="-15"/>
          <w:w w:val="105"/>
          <w:sz w:val="23"/>
        </w:rPr>
        <w:t> </w:t>
      </w:r>
      <w:r>
        <w:rPr>
          <w:rFonts w:ascii="Times New Roman"/>
          <w:w w:val="105"/>
          <w:sz w:val="23"/>
        </w:rPr>
        <w:t>determined</w:t>
      </w:r>
      <w:r>
        <w:rPr>
          <w:rFonts w:ascii="Times New Roman"/>
          <w:spacing w:val="4"/>
          <w:w w:val="105"/>
          <w:sz w:val="23"/>
        </w:rPr>
        <w:t> </w:t>
      </w:r>
      <w:r>
        <w:rPr>
          <w:rFonts w:ascii="Times New Roman"/>
          <w:w w:val="105"/>
          <w:sz w:val="23"/>
        </w:rPr>
        <w:t>that</w:t>
      </w:r>
      <w:r>
        <w:rPr>
          <w:rFonts w:ascii="Times New Roman"/>
          <w:spacing w:val="-11"/>
          <w:w w:val="105"/>
          <w:sz w:val="23"/>
        </w:rPr>
        <w:t> </w:t>
      </w:r>
      <w:r>
        <w:rPr>
          <w:rFonts w:ascii="Times New Roman"/>
          <w:w w:val="105"/>
          <w:sz w:val="23"/>
        </w:rPr>
        <w:t>such</w:t>
      </w:r>
      <w:r>
        <w:rPr>
          <w:rFonts w:ascii="Times New Roman"/>
          <w:spacing w:val="-13"/>
          <w:w w:val="105"/>
          <w:sz w:val="23"/>
        </w:rPr>
        <w:t> </w:t>
      </w:r>
      <w:r>
        <w:rPr>
          <w:rFonts w:ascii="Times New Roman"/>
          <w:w w:val="105"/>
          <w:sz w:val="23"/>
        </w:rPr>
        <w:t>a</w:t>
      </w:r>
      <w:r>
        <w:rPr>
          <w:rFonts w:ascii="Times New Roman"/>
          <w:spacing w:val="-12"/>
          <w:w w:val="105"/>
          <w:sz w:val="23"/>
        </w:rPr>
        <w:t> </w:t>
      </w:r>
      <w:r>
        <w:rPr>
          <w:rFonts w:ascii="Times New Roman"/>
          <w:w w:val="105"/>
          <w:sz w:val="23"/>
        </w:rPr>
        <w:t>clause</w:t>
      </w:r>
      <w:r>
        <w:rPr>
          <w:rFonts w:ascii="Times New Roman"/>
          <w:spacing w:val="-9"/>
          <w:w w:val="105"/>
          <w:sz w:val="23"/>
        </w:rPr>
        <w:t> </w:t>
      </w:r>
      <w:r>
        <w:rPr>
          <w:rFonts w:ascii="Times New Roman"/>
          <w:b/>
          <w:spacing w:val="-5"/>
          <w:w w:val="105"/>
          <w:sz w:val="24"/>
        </w:rPr>
        <w:t>IS</w:t>
      </w:r>
    </w:p>
    <w:p>
      <w:pPr>
        <w:spacing w:before="30"/>
        <w:ind w:left="343" w:right="0" w:firstLine="0"/>
        <w:jc w:val="left"/>
        <w:rPr>
          <w:rFonts w:ascii="Times New Roman"/>
          <w:sz w:val="23"/>
        </w:rPr>
      </w:pPr>
      <w:r>
        <w:rPr>
          <w:rFonts w:ascii="Times New Roman"/>
          <w:w w:val="105"/>
          <w:sz w:val="23"/>
        </w:rPr>
        <w:t>necessary</w:t>
      </w:r>
      <w:r>
        <w:rPr>
          <w:rFonts w:ascii="Times New Roman"/>
          <w:spacing w:val="3"/>
          <w:w w:val="105"/>
          <w:sz w:val="23"/>
        </w:rPr>
        <w:t> </w:t>
      </w:r>
      <w:r>
        <w:rPr>
          <w:rFonts w:ascii="Times New Roman"/>
          <w:w w:val="105"/>
          <w:sz w:val="23"/>
        </w:rPr>
        <w:t>to</w:t>
      </w:r>
      <w:r>
        <w:rPr>
          <w:rFonts w:ascii="Times New Roman"/>
          <w:spacing w:val="-12"/>
          <w:w w:val="105"/>
          <w:sz w:val="23"/>
        </w:rPr>
        <w:t> </w:t>
      </w:r>
      <w:r>
        <w:rPr>
          <w:rFonts w:ascii="Times New Roman"/>
          <w:w w:val="105"/>
          <w:sz w:val="23"/>
        </w:rPr>
        <w:t>make</w:t>
      </w:r>
      <w:r>
        <w:rPr>
          <w:rFonts w:ascii="Times New Roman"/>
          <w:spacing w:val="-4"/>
          <w:w w:val="105"/>
          <w:sz w:val="23"/>
        </w:rPr>
        <w:t> </w:t>
      </w:r>
      <w:r>
        <w:rPr>
          <w:rFonts w:ascii="Times New Roman"/>
          <w:w w:val="105"/>
          <w:sz w:val="23"/>
        </w:rPr>
        <w:t>clear</w:t>
      </w:r>
      <w:r>
        <w:rPr>
          <w:rFonts w:ascii="Times New Roman"/>
          <w:spacing w:val="-6"/>
          <w:w w:val="105"/>
          <w:sz w:val="23"/>
        </w:rPr>
        <w:t> </w:t>
      </w:r>
      <w:r>
        <w:rPr>
          <w:rFonts w:ascii="Times New Roman"/>
          <w:w w:val="105"/>
          <w:sz w:val="23"/>
        </w:rPr>
        <w:t>the</w:t>
      </w:r>
      <w:r>
        <w:rPr>
          <w:rFonts w:ascii="Times New Roman"/>
          <w:spacing w:val="-7"/>
          <w:w w:val="105"/>
          <w:sz w:val="23"/>
        </w:rPr>
        <w:t> </w:t>
      </w:r>
      <w:r>
        <w:rPr>
          <w:rFonts w:ascii="Times New Roman"/>
          <w:w w:val="105"/>
          <w:sz w:val="23"/>
        </w:rPr>
        <w:t>purpose</w:t>
      </w:r>
      <w:r>
        <w:rPr>
          <w:rFonts w:ascii="Times New Roman"/>
          <w:spacing w:val="-8"/>
          <w:w w:val="105"/>
          <w:sz w:val="23"/>
        </w:rPr>
        <w:t> </w:t>
      </w:r>
      <w:r>
        <w:rPr>
          <w:rFonts w:ascii="Times New Roman"/>
          <w:w w:val="105"/>
          <w:sz w:val="23"/>
        </w:rPr>
        <w:t>of</w:t>
      </w:r>
      <w:r>
        <w:rPr>
          <w:rFonts w:ascii="Times New Roman"/>
          <w:spacing w:val="-12"/>
          <w:w w:val="105"/>
          <w:sz w:val="23"/>
        </w:rPr>
        <w:t> </w:t>
      </w:r>
      <w:r>
        <w:rPr>
          <w:rFonts w:ascii="Times New Roman"/>
          <w:w w:val="105"/>
          <w:sz w:val="23"/>
        </w:rPr>
        <w:t>Title</w:t>
      </w:r>
      <w:r>
        <w:rPr>
          <w:rFonts w:ascii="Times New Roman"/>
          <w:spacing w:val="-12"/>
          <w:w w:val="105"/>
          <w:sz w:val="23"/>
        </w:rPr>
        <w:t> </w:t>
      </w:r>
      <w:r>
        <w:rPr>
          <w:rFonts w:ascii="Times New Roman"/>
          <w:spacing w:val="-4"/>
          <w:w w:val="105"/>
          <w:sz w:val="23"/>
        </w:rPr>
        <w:t>VI.)</w:t>
      </w:r>
    </w:p>
    <w:p>
      <w:pPr>
        <w:spacing w:after="0"/>
        <w:jc w:val="left"/>
        <w:rPr>
          <w:rFonts w:ascii="Times New Roman"/>
          <w:sz w:val="23"/>
        </w:rPr>
        <w:sectPr>
          <w:footerReference w:type="default" r:id="rId65"/>
          <w:pgSz w:w="12240" w:h="15840"/>
          <w:pgMar w:footer="0" w:header="0" w:top="1240" w:bottom="0" w:left="600" w:right="500"/>
        </w:sectPr>
      </w:pPr>
    </w:p>
    <w:p>
      <w:pPr>
        <w:pStyle w:val="Heading4"/>
        <w:ind w:left="2606"/>
      </w:pPr>
      <w:r>
        <w:rPr>
          <w:spacing w:val="-2"/>
          <w:w w:val="105"/>
        </w:rPr>
        <w:t>APPENDIXE</w:t>
      </w:r>
    </w:p>
    <w:p>
      <w:pPr>
        <w:pStyle w:val="BodyText"/>
        <w:spacing w:before="5"/>
        <w:rPr>
          <w:rFonts w:ascii="Times New Roman"/>
          <w:b/>
          <w:sz w:val="34"/>
        </w:rPr>
      </w:pPr>
    </w:p>
    <w:p>
      <w:pPr>
        <w:spacing w:line="259" w:lineRule="auto" w:before="0"/>
        <w:ind w:left="304" w:right="583" w:firstLine="7"/>
        <w:jc w:val="left"/>
        <w:rPr>
          <w:rFonts w:ascii="Times New Roman"/>
          <w:sz w:val="23"/>
        </w:rPr>
      </w:pPr>
      <w:r>
        <w:rPr>
          <w:rFonts w:ascii="Times New Roman"/>
          <w:w w:val="105"/>
          <w:sz w:val="23"/>
        </w:rPr>
        <w:t>During</w:t>
      </w:r>
      <w:r>
        <w:rPr>
          <w:rFonts w:ascii="Times New Roman"/>
          <w:spacing w:val="-10"/>
          <w:w w:val="105"/>
          <w:sz w:val="23"/>
        </w:rPr>
        <w:t> </w:t>
      </w:r>
      <w:r>
        <w:rPr>
          <w:rFonts w:ascii="Times New Roman"/>
          <w:w w:val="105"/>
          <w:sz w:val="23"/>
        </w:rPr>
        <w:t>the</w:t>
      </w:r>
      <w:r>
        <w:rPr>
          <w:rFonts w:ascii="Times New Roman"/>
          <w:spacing w:val="-7"/>
          <w:w w:val="105"/>
          <w:sz w:val="23"/>
        </w:rPr>
        <w:t> </w:t>
      </w:r>
      <w:r>
        <w:rPr>
          <w:rFonts w:ascii="Times New Roman"/>
          <w:w w:val="105"/>
          <w:sz w:val="23"/>
        </w:rPr>
        <w:t>performance of</w:t>
      </w:r>
      <w:r>
        <w:rPr>
          <w:rFonts w:ascii="Times New Roman"/>
          <w:spacing w:val="-14"/>
          <w:w w:val="105"/>
          <w:sz w:val="23"/>
        </w:rPr>
        <w:t> </w:t>
      </w:r>
      <w:r>
        <w:rPr>
          <w:rFonts w:ascii="Times New Roman"/>
          <w:w w:val="105"/>
          <w:sz w:val="23"/>
        </w:rPr>
        <w:t>this</w:t>
      </w:r>
      <w:r>
        <w:rPr>
          <w:rFonts w:ascii="Times New Roman"/>
          <w:spacing w:val="-14"/>
          <w:w w:val="105"/>
          <w:sz w:val="23"/>
        </w:rPr>
        <w:t> </w:t>
      </w:r>
      <w:r>
        <w:rPr>
          <w:rFonts w:ascii="Times New Roman"/>
          <w:w w:val="105"/>
          <w:sz w:val="23"/>
        </w:rPr>
        <w:t>contract,</w:t>
      </w:r>
      <w:r>
        <w:rPr>
          <w:rFonts w:ascii="Times New Roman"/>
          <w:spacing w:val="-9"/>
          <w:w w:val="105"/>
          <w:sz w:val="23"/>
        </w:rPr>
        <w:t> </w:t>
      </w:r>
      <w:r>
        <w:rPr>
          <w:rFonts w:ascii="Times New Roman"/>
          <w:w w:val="105"/>
          <w:sz w:val="23"/>
        </w:rPr>
        <w:t>the</w:t>
      </w:r>
      <w:r>
        <w:rPr>
          <w:rFonts w:ascii="Times New Roman"/>
          <w:spacing w:val="-15"/>
          <w:w w:val="105"/>
          <w:sz w:val="23"/>
        </w:rPr>
        <w:t> </w:t>
      </w:r>
      <w:r>
        <w:rPr>
          <w:rFonts w:ascii="Times New Roman"/>
          <w:w w:val="105"/>
          <w:sz w:val="23"/>
        </w:rPr>
        <w:t>contractor,</w:t>
      </w:r>
      <w:r>
        <w:rPr>
          <w:rFonts w:ascii="Times New Roman"/>
          <w:spacing w:val="-4"/>
          <w:w w:val="105"/>
          <w:sz w:val="23"/>
        </w:rPr>
        <w:t> </w:t>
      </w:r>
      <w:r>
        <w:rPr>
          <w:rFonts w:ascii="Times New Roman"/>
          <w:w w:val="105"/>
          <w:sz w:val="23"/>
        </w:rPr>
        <w:t>for</w:t>
      </w:r>
      <w:r>
        <w:rPr>
          <w:rFonts w:ascii="Times New Roman"/>
          <w:spacing w:val="-7"/>
          <w:w w:val="105"/>
          <w:sz w:val="23"/>
        </w:rPr>
        <w:t> </w:t>
      </w:r>
      <w:r>
        <w:rPr>
          <w:rFonts w:ascii="Times New Roman"/>
          <w:w w:val="105"/>
          <w:sz w:val="23"/>
        </w:rPr>
        <w:t>itself,</w:t>
      </w:r>
      <w:r>
        <w:rPr>
          <w:rFonts w:ascii="Times New Roman"/>
          <w:spacing w:val="-10"/>
          <w:w w:val="105"/>
          <w:sz w:val="23"/>
        </w:rPr>
        <w:t> </w:t>
      </w:r>
      <w:r>
        <w:rPr>
          <w:rFonts w:ascii="Times New Roman"/>
          <w:w w:val="105"/>
          <w:sz w:val="23"/>
        </w:rPr>
        <w:t>its</w:t>
      </w:r>
      <w:r>
        <w:rPr>
          <w:rFonts w:ascii="Times New Roman"/>
          <w:spacing w:val="-16"/>
          <w:w w:val="105"/>
          <w:sz w:val="23"/>
        </w:rPr>
        <w:t> </w:t>
      </w:r>
      <w:r>
        <w:rPr>
          <w:rFonts w:ascii="Times New Roman"/>
          <w:w w:val="105"/>
          <w:sz w:val="23"/>
        </w:rPr>
        <w:t>assignees,</w:t>
      </w:r>
      <w:r>
        <w:rPr>
          <w:rFonts w:ascii="Times New Roman"/>
          <w:spacing w:val="-3"/>
          <w:w w:val="105"/>
          <w:sz w:val="23"/>
        </w:rPr>
        <w:t> </w:t>
      </w:r>
      <w:r>
        <w:rPr>
          <w:rFonts w:ascii="Times New Roman"/>
          <w:w w:val="105"/>
          <w:sz w:val="23"/>
        </w:rPr>
        <w:t>and</w:t>
      </w:r>
      <w:r>
        <w:rPr>
          <w:rFonts w:ascii="Times New Roman"/>
          <w:spacing w:val="-3"/>
          <w:w w:val="105"/>
          <w:sz w:val="23"/>
        </w:rPr>
        <w:t> </w:t>
      </w:r>
      <w:r>
        <w:rPr>
          <w:rFonts w:ascii="Times New Roman"/>
          <w:w w:val="105"/>
          <w:sz w:val="23"/>
        </w:rPr>
        <w:t>successors</w:t>
      </w:r>
      <w:r>
        <w:rPr>
          <w:rFonts w:ascii="Times New Roman"/>
          <w:spacing w:val="-2"/>
          <w:w w:val="105"/>
          <w:sz w:val="23"/>
        </w:rPr>
        <w:t> </w:t>
      </w:r>
      <w:r>
        <w:rPr>
          <w:rFonts w:ascii="Times New Roman"/>
          <w:w w:val="105"/>
          <w:sz w:val="23"/>
        </w:rPr>
        <w:t>in</w:t>
      </w:r>
      <w:r>
        <w:rPr>
          <w:rFonts w:ascii="Times New Roman"/>
          <w:spacing w:val="-11"/>
          <w:w w:val="105"/>
          <w:sz w:val="23"/>
        </w:rPr>
        <w:t> </w:t>
      </w:r>
      <w:r>
        <w:rPr>
          <w:rFonts w:ascii="Times New Roman"/>
          <w:w w:val="105"/>
          <w:sz w:val="23"/>
        </w:rPr>
        <w:t>interest (hereinafter referred to</w:t>
      </w:r>
      <w:r>
        <w:rPr>
          <w:rFonts w:ascii="Times New Roman"/>
          <w:spacing w:val="-9"/>
          <w:w w:val="105"/>
          <w:sz w:val="23"/>
        </w:rPr>
        <w:t> </w:t>
      </w:r>
      <w:r>
        <w:rPr>
          <w:rFonts w:ascii="Times New Roman"/>
          <w:w w:val="105"/>
          <w:sz w:val="23"/>
        </w:rPr>
        <w:t>as</w:t>
      </w:r>
      <w:r>
        <w:rPr>
          <w:rFonts w:ascii="Times New Roman"/>
          <w:spacing w:val="-4"/>
          <w:w w:val="105"/>
          <w:sz w:val="23"/>
        </w:rPr>
        <w:t> </w:t>
      </w:r>
      <w:r>
        <w:rPr>
          <w:rFonts w:ascii="Times New Roman"/>
          <w:w w:val="105"/>
          <w:sz w:val="23"/>
        </w:rPr>
        <w:t>the "contractor") agrees to</w:t>
      </w:r>
      <w:r>
        <w:rPr>
          <w:rFonts w:ascii="Times New Roman"/>
          <w:spacing w:val="-1"/>
          <w:w w:val="105"/>
          <w:sz w:val="23"/>
        </w:rPr>
        <w:t> </w:t>
      </w:r>
      <w:r>
        <w:rPr>
          <w:rFonts w:ascii="Times New Roman"/>
          <w:w w:val="105"/>
          <w:sz w:val="23"/>
        </w:rPr>
        <w:t>comply with the following non-discrimination statutes and authorities; including but not limited to:</w:t>
      </w:r>
    </w:p>
    <w:p>
      <w:pPr>
        <w:pStyle w:val="BodyText"/>
        <w:spacing w:before="5"/>
        <w:rPr>
          <w:rFonts w:ascii="Times New Roman"/>
          <w:sz w:val="15"/>
        </w:rPr>
      </w:pPr>
    </w:p>
    <w:p>
      <w:pPr>
        <w:spacing w:before="91"/>
        <w:ind w:left="310" w:right="0" w:firstLine="0"/>
        <w:jc w:val="left"/>
        <w:rPr>
          <w:rFonts w:ascii="Times New Roman"/>
          <w:b/>
          <w:sz w:val="23"/>
        </w:rPr>
      </w:pPr>
      <w:r>
        <w:rPr>
          <w:rFonts w:ascii="Times New Roman"/>
          <w:b/>
          <w:spacing w:val="-2"/>
          <w:w w:val="105"/>
          <w:sz w:val="23"/>
          <w:u w:val="thick"/>
        </w:rPr>
        <w:t>Pertinent</w:t>
      </w:r>
      <w:r>
        <w:rPr>
          <w:rFonts w:ascii="Times New Roman"/>
          <w:b/>
          <w:spacing w:val="17"/>
          <w:w w:val="105"/>
          <w:sz w:val="23"/>
          <w:u w:val="thick"/>
        </w:rPr>
        <w:t> </w:t>
      </w:r>
      <w:r>
        <w:rPr>
          <w:rFonts w:ascii="Times New Roman"/>
          <w:b/>
          <w:spacing w:val="-2"/>
          <w:w w:val="105"/>
          <w:sz w:val="23"/>
          <w:u w:val="thick"/>
        </w:rPr>
        <w:t>Non-Discrimination</w:t>
      </w:r>
      <w:r>
        <w:rPr>
          <w:rFonts w:ascii="Times New Roman"/>
          <w:b/>
          <w:spacing w:val="-5"/>
          <w:w w:val="105"/>
          <w:sz w:val="23"/>
          <w:u w:val="thick"/>
        </w:rPr>
        <w:t> </w:t>
      </w:r>
      <w:r>
        <w:rPr>
          <w:rFonts w:ascii="Times New Roman"/>
          <w:b/>
          <w:spacing w:val="-2"/>
          <w:w w:val="105"/>
          <w:sz w:val="23"/>
          <w:u w:val="thick"/>
        </w:rPr>
        <w:t>Authorities:</w:t>
      </w:r>
    </w:p>
    <w:p>
      <w:pPr>
        <w:pStyle w:val="BodyText"/>
        <w:spacing w:before="7"/>
        <w:rPr>
          <w:rFonts w:ascii="Times New Roman"/>
          <w:b/>
          <w:sz w:val="22"/>
        </w:rPr>
      </w:pPr>
    </w:p>
    <w:p>
      <w:pPr>
        <w:pStyle w:val="ListParagraph"/>
        <w:numPr>
          <w:ilvl w:val="1"/>
          <w:numId w:val="33"/>
        </w:numPr>
        <w:tabs>
          <w:tab w:pos="1296" w:val="left" w:leader="none"/>
        </w:tabs>
        <w:spacing w:line="252" w:lineRule="auto" w:before="0" w:after="0"/>
        <w:ind w:left="1296" w:right="892" w:hanging="272"/>
        <w:jc w:val="left"/>
        <w:rPr>
          <w:rFonts w:ascii="Times New Roman" w:hAnsi="Times New Roman"/>
          <w:sz w:val="23"/>
        </w:rPr>
      </w:pPr>
      <w:r>
        <w:rPr>
          <w:rFonts w:ascii="Times New Roman" w:hAnsi="Times New Roman"/>
          <w:w w:val="105"/>
          <w:sz w:val="23"/>
        </w:rPr>
        <w:t>Title</w:t>
      </w:r>
      <w:r>
        <w:rPr>
          <w:rFonts w:ascii="Times New Roman" w:hAnsi="Times New Roman"/>
          <w:spacing w:val="-8"/>
          <w:w w:val="105"/>
          <w:sz w:val="23"/>
        </w:rPr>
        <w:t> </w:t>
      </w:r>
      <w:r>
        <w:rPr>
          <w:rFonts w:ascii="Times New Roman" w:hAnsi="Times New Roman"/>
          <w:w w:val="105"/>
          <w:sz w:val="23"/>
        </w:rPr>
        <w:t>VI</w:t>
      </w:r>
      <w:r>
        <w:rPr>
          <w:rFonts w:ascii="Times New Roman" w:hAnsi="Times New Roman"/>
          <w:spacing w:val="-11"/>
          <w:w w:val="105"/>
          <w:sz w:val="23"/>
        </w:rPr>
        <w:t> </w:t>
      </w:r>
      <w:r>
        <w:rPr>
          <w:rFonts w:ascii="Times New Roman" w:hAnsi="Times New Roman"/>
          <w:w w:val="105"/>
          <w:sz w:val="23"/>
        </w:rPr>
        <w:t>of</w:t>
      </w:r>
      <w:r>
        <w:rPr>
          <w:rFonts w:ascii="Times New Roman" w:hAnsi="Times New Roman"/>
          <w:spacing w:val="-6"/>
          <w:w w:val="105"/>
          <w:sz w:val="23"/>
        </w:rPr>
        <w:t> </w:t>
      </w:r>
      <w:r>
        <w:rPr>
          <w:rFonts w:ascii="Times New Roman" w:hAnsi="Times New Roman"/>
          <w:w w:val="105"/>
          <w:sz w:val="23"/>
        </w:rPr>
        <w:t>the</w:t>
      </w:r>
      <w:r>
        <w:rPr>
          <w:rFonts w:ascii="Times New Roman" w:hAnsi="Times New Roman"/>
          <w:spacing w:val="-12"/>
          <w:w w:val="105"/>
          <w:sz w:val="23"/>
        </w:rPr>
        <w:t> </w:t>
      </w:r>
      <w:r>
        <w:rPr>
          <w:rFonts w:ascii="Times New Roman" w:hAnsi="Times New Roman"/>
          <w:w w:val="105"/>
          <w:sz w:val="23"/>
        </w:rPr>
        <w:t>Civil</w:t>
      </w:r>
      <w:r>
        <w:rPr>
          <w:rFonts w:ascii="Times New Roman" w:hAnsi="Times New Roman"/>
          <w:spacing w:val="-2"/>
          <w:w w:val="105"/>
          <w:sz w:val="23"/>
        </w:rPr>
        <w:t> </w:t>
      </w:r>
      <w:r>
        <w:rPr>
          <w:rFonts w:ascii="Times New Roman" w:hAnsi="Times New Roman"/>
          <w:w w:val="105"/>
          <w:sz w:val="23"/>
        </w:rPr>
        <w:t>Rights</w:t>
      </w:r>
      <w:r>
        <w:rPr>
          <w:rFonts w:ascii="Times New Roman" w:hAnsi="Times New Roman"/>
          <w:spacing w:val="-1"/>
          <w:w w:val="105"/>
          <w:sz w:val="23"/>
        </w:rPr>
        <w:t> </w:t>
      </w:r>
      <w:r>
        <w:rPr>
          <w:rFonts w:ascii="Times New Roman" w:hAnsi="Times New Roman"/>
          <w:w w:val="105"/>
          <w:sz w:val="23"/>
        </w:rPr>
        <w:t>Act</w:t>
      </w:r>
      <w:r>
        <w:rPr>
          <w:rFonts w:ascii="Times New Roman" w:hAnsi="Times New Roman"/>
          <w:spacing w:val="-5"/>
          <w:w w:val="105"/>
          <w:sz w:val="23"/>
        </w:rPr>
        <w:t> </w:t>
      </w:r>
      <w:r>
        <w:rPr>
          <w:rFonts w:ascii="Times New Roman" w:hAnsi="Times New Roman"/>
          <w:w w:val="105"/>
          <w:sz w:val="23"/>
        </w:rPr>
        <w:t>of</w:t>
      </w:r>
      <w:r>
        <w:rPr>
          <w:rFonts w:ascii="Times New Roman" w:hAnsi="Times New Roman"/>
          <w:spacing w:val="-8"/>
          <w:w w:val="105"/>
          <w:sz w:val="23"/>
        </w:rPr>
        <w:t> </w:t>
      </w:r>
      <w:r>
        <w:rPr>
          <w:rFonts w:ascii="Times New Roman" w:hAnsi="Times New Roman"/>
          <w:w w:val="105"/>
          <w:sz w:val="23"/>
        </w:rPr>
        <w:t>1964</w:t>
      </w:r>
      <w:r>
        <w:rPr>
          <w:rFonts w:ascii="Times New Roman" w:hAnsi="Times New Roman"/>
          <w:spacing w:val="-14"/>
          <w:w w:val="105"/>
          <w:sz w:val="23"/>
        </w:rPr>
        <w:t> </w:t>
      </w:r>
      <w:r>
        <w:rPr>
          <w:rFonts w:ascii="Times New Roman" w:hAnsi="Times New Roman"/>
          <w:w w:val="105"/>
          <w:sz w:val="23"/>
        </w:rPr>
        <w:t>(42</w:t>
      </w:r>
      <w:r>
        <w:rPr>
          <w:rFonts w:ascii="Times New Roman" w:hAnsi="Times New Roman"/>
          <w:spacing w:val="-10"/>
          <w:w w:val="105"/>
          <w:sz w:val="23"/>
        </w:rPr>
        <w:t> </w:t>
      </w:r>
      <w:r>
        <w:rPr>
          <w:rFonts w:ascii="Times New Roman" w:hAnsi="Times New Roman"/>
          <w:w w:val="105"/>
          <w:sz w:val="23"/>
        </w:rPr>
        <w:t>U.S.C.</w:t>
      </w:r>
      <w:r>
        <w:rPr>
          <w:rFonts w:ascii="Times New Roman" w:hAnsi="Times New Roman"/>
          <w:spacing w:val="-2"/>
          <w:w w:val="105"/>
          <w:sz w:val="23"/>
        </w:rPr>
        <w:t> </w:t>
      </w:r>
      <w:r>
        <w:rPr>
          <w:rFonts w:ascii="Times New Roman" w:hAnsi="Times New Roman"/>
          <w:w w:val="105"/>
          <w:sz w:val="23"/>
        </w:rPr>
        <w:t>§</w:t>
      </w:r>
      <w:r>
        <w:rPr>
          <w:rFonts w:ascii="Times New Roman" w:hAnsi="Times New Roman"/>
          <w:spacing w:val="-1"/>
          <w:w w:val="105"/>
          <w:sz w:val="23"/>
        </w:rPr>
        <w:t> </w:t>
      </w:r>
      <w:r>
        <w:rPr>
          <w:rFonts w:ascii="Times New Roman" w:hAnsi="Times New Roman"/>
          <w:w w:val="105"/>
          <w:sz w:val="23"/>
        </w:rPr>
        <w:t>5</w:t>
      </w:r>
      <w:r>
        <w:rPr>
          <w:rFonts w:ascii="Times New Roman" w:hAnsi="Times New Roman"/>
          <w:spacing w:val="-7"/>
          <w:w w:val="105"/>
          <w:sz w:val="23"/>
        </w:rPr>
        <w:t> </w:t>
      </w:r>
      <w:r>
        <w:rPr>
          <w:rFonts w:ascii="Times New Roman" w:hAnsi="Times New Roman"/>
          <w:w w:val="105"/>
          <w:sz w:val="23"/>
        </w:rPr>
        <w:t>2000d</w:t>
      </w:r>
      <w:r>
        <w:rPr>
          <w:rFonts w:ascii="Times New Roman" w:hAnsi="Times New Roman"/>
          <w:spacing w:val="-8"/>
          <w:w w:val="105"/>
          <w:sz w:val="23"/>
        </w:rPr>
        <w:t> </w:t>
      </w:r>
      <w:r>
        <w:rPr>
          <w:rFonts w:ascii="Times New Roman" w:hAnsi="Times New Roman"/>
          <w:i/>
          <w:w w:val="105"/>
          <w:sz w:val="24"/>
        </w:rPr>
        <w:t>et</w:t>
      </w:r>
      <w:r>
        <w:rPr>
          <w:rFonts w:ascii="Times New Roman" w:hAnsi="Times New Roman"/>
          <w:i/>
          <w:spacing w:val="-10"/>
          <w:w w:val="105"/>
          <w:sz w:val="24"/>
        </w:rPr>
        <w:t> </w:t>
      </w:r>
      <w:r>
        <w:rPr>
          <w:rFonts w:ascii="Times New Roman" w:hAnsi="Times New Roman"/>
          <w:i/>
          <w:w w:val="105"/>
          <w:sz w:val="24"/>
        </w:rPr>
        <w:t>seq.,</w:t>
      </w:r>
      <w:r>
        <w:rPr>
          <w:rFonts w:ascii="Times New Roman" w:hAnsi="Times New Roman"/>
          <w:i/>
          <w:spacing w:val="-19"/>
          <w:w w:val="105"/>
          <w:sz w:val="24"/>
        </w:rPr>
        <w:t> </w:t>
      </w:r>
      <w:r>
        <w:rPr>
          <w:rFonts w:ascii="Times New Roman" w:hAnsi="Times New Roman"/>
          <w:w w:val="105"/>
          <w:sz w:val="23"/>
        </w:rPr>
        <w:t>78</w:t>
      </w:r>
      <w:r>
        <w:rPr>
          <w:rFonts w:ascii="Times New Roman" w:hAnsi="Times New Roman"/>
          <w:spacing w:val="-10"/>
          <w:w w:val="105"/>
          <w:sz w:val="23"/>
        </w:rPr>
        <w:t> </w:t>
      </w:r>
      <w:r>
        <w:rPr>
          <w:rFonts w:ascii="Times New Roman" w:hAnsi="Times New Roman"/>
          <w:w w:val="105"/>
          <w:sz w:val="23"/>
        </w:rPr>
        <w:t>stat.</w:t>
      </w:r>
      <w:r>
        <w:rPr>
          <w:rFonts w:ascii="Times New Roman" w:hAnsi="Times New Roman"/>
          <w:spacing w:val="-3"/>
          <w:w w:val="105"/>
          <w:sz w:val="23"/>
        </w:rPr>
        <w:t> </w:t>
      </w:r>
      <w:r>
        <w:rPr>
          <w:rFonts w:ascii="Times New Roman" w:hAnsi="Times New Roman"/>
          <w:w w:val="105"/>
          <w:sz w:val="23"/>
        </w:rPr>
        <w:t>252),</w:t>
      </w:r>
      <w:r>
        <w:rPr>
          <w:rFonts w:ascii="Times New Roman" w:hAnsi="Times New Roman"/>
          <w:spacing w:val="-9"/>
          <w:w w:val="105"/>
          <w:sz w:val="23"/>
        </w:rPr>
        <w:t> </w:t>
      </w:r>
      <w:r>
        <w:rPr>
          <w:rFonts w:ascii="Times New Roman" w:hAnsi="Times New Roman"/>
          <w:w w:val="105"/>
          <w:sz w:val="23"/>
        </w:rPr>
        <w:t>(prohibits discrimination</w:t>
      </w:r>
      <w:r>
        <w:rPr>
          <w:rFonts w:ascii="Times New Roman" w:hAnsi="Times New Roman"/>
          <w:spacing w:val="-5"/>
          <w:w w:val="105"/>
          <w:sz w:val="23"/>
        </w:rPr>
        <w:t> </w:t>
      </w:r>
      <w:r>
        <w:rPr>
          <w:rFonts w:ascii="Times New Roman" w:hAnsi="Times New Roman"/>
          <w:w w:val="105"/>
          <w:sz w:val="23"/>
        </w:rPr>
        <w:t>on the basis of race, color, national origin); and 49 CFR Pmi</w:t>
      </w:r>
      <w:r>
        <w:rPr>
          <w:rFonts w:ascii="Times New Roman" w:hAnsi="Times New Roman"/>
          <w:spacing w:val="40"/>
          <w:w w:val="105"/>
          <w:sz w:val="23"/>
        </w:rPr>
        <w:t> </w:t>
      </w:r>
      <w:r>
        <w:rPr>
          <w:rFonts w:ascii="Times New Roman" w:hAnsi="Times New Roman"/>
          <w:w w:val="105"/>
          <w:sz w:val="23"/>
        </w:rPr>
        <w:t>21.</w:t>
      </w:r>
    </w:p>
    <w:p>
      <w:pPr>
        <w:pStyle w:val="ListParagraph"/>
        <w:numPr>
          <w:ilvl w:val="1"/>
          <w:numId w:val="33"/>
        </w:numPr>
        <w:tabs>
          <w:tab w:pos="1295" w:val="left" w:leader="none"/>
        </w:tabs>
        <w:spacing w:line="254" w:lineRule="auto" w:before="0" w:after="0"/>
        <w:ind w:left="1295" w:right="949" w:hanging="271"/>
        <w:jc w:val="left"/>
        <w:rPr>
          <w:rFonts w:ascii="Times New Roman" w:hAnsi="Times New Roman"/>
          <w:sz w:val="23"/>
        </w:rPr>
      </w:pPr>
      <w:r>
        <w:rPr>
          <w:rFonts w:ascii="Times New Roman" w:hAnsi="Times New Roman"/>
          <w:w w:val="105"/>
          <w:sz w:val="23"/>
        </w:rPr>
        <w:t>The</w:t>
      </w:r>
      <w:r>
        <w:rPr>
          <w:rFonts w:ascii="Times New Roman" w:hAnsi="Times New Roman"/>
          <w:spacing w:val="-16"/>
          <w:w w:val="105"/>
          <w:sz w:val="23"/>
        </w:rPr>
        <w:t> </w:t>
      </w:r>
      <w:r>
        <w:rPr>
          <w:rFonts w:ascii="Times New Roman" w:hAnsi="Times New Roman"/>
          <w:w w:val="105"/>
          <w:sz w:val="23"/>
        </w:rPr>
        <w:t>Uniform Relocation</w:t>
      </w:r>
      <w:r>
        <w:rPr>
          <w:rFonts w:ascii="Times New Roman" w:hAnsi="Times New Roman"/>
          <w:spacing w:val="-5"/>
          <w:w w:val="105"/>
          <w:sz w:val="23"/>
        </w:rPr>
        <w:t> </w:t>
      </w:r>
      <w:r>
        <w:rPr>
          <w:rFonts w:ascii="Times New Roman" w:hAnsi="Times New Roman"/>
          <w:w w:val="105"/>
          <w:sz w:val="23"/>
        </w:rPr>
        <w:t>Assistance</w:t>
      </w:r>
      <w:r>
        <w:rPr>
          <w:rFonts w:ascii="Times New Roman" w:hAnsi="Times New Roman"/>
          <w:spacing w:val="-2"/>
          <w:w w:val="105"/>
          <w:sz w:val="23"/>
        </w:rPr>
        <w:t> </w:t>
      </w:r>
      <w:r>
        <w:rPr>
          <w:rFonts w:ascii="Times New Roman" w:hAnsi="Times New Roman"/>
          <w:w w:val="105"/>
          <w:sz w:val="23"/>
        </w:rPr>
        <w:t>and</w:t>
      </w:r>
      <w:r>
        <w:rPr>
          <w:rFonts w:ascii="Times New Roman" w:hAnsi="Times New Roman"/>
          <w:spacing w:val="-9"/>
          <w:w w:val="105"/>
          <w:sz w:val="23"/>
        </w:rPr>
        <w:t> </w:t>
      </w:r>
      <w:r>
        <w:rPr>
          <w:rFonts w:ascii="Times New Roman" w:hAnsi="Times New Roman"/>
          <w:w w:val="105"/>
          <w:sz w:val="23"/>
        </w:rPr>
        <w:t>Real</w:t>
      </w:r>
      <w:r>
        <w:rPr>
          <w:rFonts w:ascii="Times New Roman" w:hAnsi="Times New Roman"/>
          <w:spacing w:val="-12"/>
          <w:w w:val="105"/>
          <w:sz w:val="23"/>
        </w:rPr>
        <w:t> </w:t>
      </w:r>
      <w:r>
        <w:rPr>
          <w:rFonts w:ascii="Times New Roman" w:hAnsi="Times New Roman"/>
          <w:w w:val="105"/>
          <w:sz w:val="23"/>
        </w:rPr>
        <w:t>Property</w:t>
      </w:r>
      <w:r>
        <w:rPr>
          <w:rFonts w:ascii="Times New Roman" w:hAnsi="Times New Roman"/>
          <w:w w:val="105"/>
          <w:sz w:val="23"/>
        </w:rPr>
        <w:t> Acquisition</w:t>
      </w:r>
      <w:r>
        <w:rPr>
          <w:rFonts w:ascii="Times New Roman" w:hAnsi="Times New Roman"/>
          <w:spacing w:val="-2"/>
          <w:w w:val="105"/>
          <w:sz w:val="23"/>
        </w:rPr>
        <w:t> </w:t>
      </w:r>
      <w:r>
        <w:rPr>
          <w:rFonts w:ascii="Times New Roman" w:hAnsi="Times New Roman"/>
          <w:w w:val="105"/>
          <w:sz w:val="23"/>
        </w:rPr>
        <w:t>Policies</w:t>
      </w:r>
      <w:r>
        <w:rPr>
          <w:rFonts w:ascii="Times New Roman" w:hAnsi="Times New Roman"/>
          <w:spacing w:val="-11"/>
          <w:w w:val="105"/>
          <w:sz w:val="23"/>
        </w:rPr>
        <w:t> </w:t>
      </w:r>
      <w:r>
        <w:rPr>
          <w:rFonts w:ascii="Times New Roman" w:hAnsi="Times New Roman"/>
          <w:w w:val="105"/>
          <w:sz w:val="23"/>
        </w:rPr>
        <w:t>Act</w:t>
      </w:r>
      <w:r>
        <w:rPr>
          <w:rFonts w:ascii="Times New Roman" w:hAnsi="Times New Roman"/>
          <w:spacing w:val="-16"/>
          <w:w w:val="105"/>
          <w:sz w:val="23"/>
        </w:rPr>
        <w:t> </w:t>
      </w:r>
      <w:r>
        <w:rPr>
          <w:rFonts w:ascii="Times New Roman" w:hAnsi="Times New Roman"/>
          <w:w w:val="105"/>
          <w:sz w:val="23"/>
        </w:rPr>
        <w:t>of</w:t>
      </w:r>
      <w:r>
        <w:rPr>
          <w:rFonts w:ascii="Times New Roman" w:hAnsi="Times New Roman"/>
          <w:spacing w:val="-9"/>
          <w:w w:val="105"/>
          <w:sz w:val="23"/>
        </w:rPr>
        <w:t> </w:t>
      </w:r>
      <w:r>
        <w:rPr>
          <w:rFonts w:ascii="Times New Roman" w:hAnsi="Times New Roman"/>
          <w:w w:val="105"/>
          <w:sz w:val="23"/>
        </w:rPr>
        <w:t>1970,</w:t>
      </w:r>
      <w:r>
        <w:rPr>
          <w:rFonts w:ascii="Times New Roman" w:hAnsi="Times New Roman"/>
          <w:spacing w:val="-15"/>
          <w:w w:val="105"/>
          <w:sz w:val="23"/>
        </w:rPr>
        <w:t> </w:t>
      </w:r>
      <w:r>
        <w:rPr>
          <w:rFonts w:ascii="Times New Roman" w:hAnsi="Times New Roman"/>
          <w:w w:val="105"/>
          <w:sz w:val="23"/>
        </w:rPr>
        <w:t>(42 U.S.C. § 4601),</w:t>
      </w:r>
      <w:r>
        <w:rPr>
          <w:rFonts w:ascii="Times New Roman" w:hAnsi="Times New Roman"/>
          <w:spacing w:val="-2"/>
          <w:w w:val="105"/>
          <w:sz w:val="23"/>
        </w:rPr>
        <w:t> </w:t>
      </w:r>
      <w:r>
        <w:rPr>
          <w:rFonts w:ascii="Times New Roman" w:hAnsi="Times New Roman"/>
          <w:w w:val="105"/>
          <w:sz w:val="23"/>
        </w:rPr>
        <w:t>(prohibits unfair</w:t>
      </w:r>
      <w:r>
        <w:rPr>
          <w:rFonts w:ascii="Times New Roman" w:hAnsi="Times New Roman"/>
          <w:spacing w:val="-1"/>
          <w:w w:val="105"/>
          <w:sz w:val="23"/>
        </w:rPr>
        <w:t> </w:t>
      </w:r>
      <w:r>
        <w:rPr>
          <w:rFonts w:ascii="Times New Roman" w:hAnsi="Times New Roman"/>
          <w:w w:val="105"/>
          <w:sz w:val="23"/>
        </w:rPr>
        <w:t>treatment</w:t>
      </w:r>
      <w:r>
        <w:rPr>
          <w:rFonts w:ascii="Times New Roman" w:hAnsi="Times New Roman"/>
          <w:spacing w:val="-1"/>
          <w:w w:val="105"/>
          <w:sz w:val="23"/>
        </w:rPr>
        <w:t> </w:t>
      </w:r>
      <w:r>
        <w:rPr>
          <w:rFonts w:ascii="Times New Roman" w:hAnsi="Times New Roman"/>
          <w:w w:val="105"/>
          <w:sz w:val="23"/>
        </w:rPr>
        <w:t>of</w:t>
      </w:r>
      <w:r>
        <w:rPr>
          <w:rFonts w:ascii="Times New Roman" w:hAnsi="Times New Roman"/>
          <w:spacing w:val="-1"/>
          <w:w w:val="105"/>
          <w:sz w:val="23"/>
        </w:rPr>
        <w:t> </w:t>
      </w:r>
      <w:r>
        <w:rPr>
          <w:rFonts w:ascii="Times New Roman" w:hAnsi="Times New Roman"/>
          <w:w w:val="105"/>
          <w:sz w:val="23"/>
        </w:rPr>
        <w:t>persons</w:t>
      </w:r>
      <w:r>
        <w:rPr>
          <w:rFonts w:ascii="Times New Roman" w:hAnsi="Times New Roman"/>
          <w:spacing w:val="-6"/>
          <w:w w:val="105"/>
          <w:sz w:val="23"/>
        </w:rPr>
        <w:t> </w:t>
      </w:r>
      <w:r>
        <w:rPr>
          <w:rFonts w:ascii="Times New Roman" w:hAnsi="Times New Roman"/>
          <w:w w:val="105"/>
          <w:sz w:val="23"/>
        </w:rPr>
        <w:t>displaced or</w:t>
      </w:r>
      <w:r>
        <w:rPr>
          <w:rFonts w:ascii="Times New Roman" w:hAnsi="Times New Roman"/>
          <w:spacing w:val="-12"/>
          <w:w w:val="105"/>
          <w:sz w:val="23"/>
        </w:rPr>
        <w:t> </w:t>
      </w:r>
      <w:r>
        <w:rPr>
          <w:rFonts w:ascii="Times New Roman" w:hAnsi="Times New Roman"/>
          <w:w w:val="105"/>
          <w:sz w:val="23"/>
        </w:rPr>
        <w:t>whose</w:t>
      </w:r>
      <w:r>
        <w:rPr>
          <w:rFonts w:ascii="Times New Roman" w:hAnsi="Times New Roman"/>
          <w:spacing w:val="-5"/>
          <w:w w:val="105"/>
          <w:sz w:val="23"/>
        </w:rPr>
        <w:t> </w:t>
      </w:r>
      <w:r>
        <w:rPr>
          <w:rFonts w:ascii="Times New Roman" w:hAnsi="Times New Roman"/>
          <w:w w:val="105"/>
          <w:sz w:val="23"/>
        </w:rPr>
        <w:t>property has</w:t>
      </w:r>
      <w:r>
        <w:rPr>
          <w:rFonts w:ascii="Times New Roman" w:hAnsi="Times New Roman"/>
          <w:spacing w:val="-11"/>
          <w:w w:val="105"/>
          <w:sz w:val="23"/>
        </w:rPr>
        <w:t> </w:t>
      </w:r>
      <w:r>
        <w:rPr>
          <w:rFonts w:ascii="Times New Roman" w:hAnsi="Times New Roman"/>
          <w:w w:val="105"/>
          <w:sz w:val="23"/>
        </w:rPr>
        <w:t>been acquired because of Federal or Federal-aid programs and projects);</w:t>
      </w:r>
    </w:p>
    <w:p>
      <w:pPr>
        <w:pStyle w:val="ListParagraph"/>
        <w:numPr>
          <w:ilvl w:val="1"/>
          <w:numId w:val="33"/>
        </w:numPr>
        <w:tabs>
          <w:tab w:pos="1299" w:val="left" w:leader="none"/>
        </w:tabs>
        <w:spacing w:line="256" w:lineRule="exact" w:before="0" w:after="0"/>
        <w:ind w:left="1299" w:right="0" w:hanging="275"/>
        <w:jc w:val="left"/>
        <w:rPr>
          <w:rFonts w:ascii="Times New Roman" w:hAnsi="Times New Roman"/>
          <w:sz w:val="23"/>
        </w:rPr>
      </w:pPr>
      <w:r>
        <w:rPr>
          <w:rFonts w:ascii="Times New Roman" w:hAnsi="Times New Roman"/>
          <w:w w:val="105"/>
          <w:sz w:val="23"/>
        </w:rPr>
        <w:t>Federal-Aid</w:t>
      </w:r>
      <w:r>
        <w:rPr>
          <w:rFonts w:ascii="Times New Roman" w:hAnsi="Times New Roman"/>
          <w:spacing w:val="-7"/>
          <w:w w:val="105"/>
          <w:sz w:val="23"/>
        </w:rPr>
        <w:t> </w:t>
      </w:r>
      <w:r>
        <w:rPr>
          <w:rFonts w:ascii="Times New Roman" w:hAnsi="Times New Roman"/>
          <w:w w:val="105"/>
          <w:sz w:val="23"/>
        </w:rPr>
        <w:t>Highway</w:t>
      </w:r>
      <w:r>
        <w:rPr>
          <w:rFonts w:ascii="Times New Roman" w:hAnsi="Times New Roman"/>
          <w:spacing w:val="-1"/>
          <w:w w:val="105"/>
          <w:sz w:val="23"/>
        </w:rPr>
        <w:t> </w:t>
      </w:r>
      <w:r>
        <w:rPr>
          <w:rFonts w:ascii="Times New Roman" w:hAnsi="Times New Roman"/>
          <w:w w:val="105"/>
          <w:sz w:val="23"/>
        </w:rPr>
        <w:t>Act</w:t>
      </w:r>
      <w:r>
        <w:rPr>
          <w:rFonts w:ascii="Times New Roman" w:hAnsi="Times New Roman"/>
          <w:spacing w:val="-12"/>
          <w:w w:val="105"/>
          <w:sz w:val="23"/>
        </w:rPr>
        <w:t> </w:t>
      </w:r>
      <w:r>
        <w:rPr>
          <w:rFonts w:ascii="Times New Roman" w:hAnsi="Times New Roman"/>
          <w:w w:val="105"/>
          <w:sz w:val="23"/>
        </w:rPr>
        <w:t>of</w:t>
      </w:r>
      <w:r>
        <w:rPr>
          <w:rFonts w:ascii="Times New Roman" w:hAnsi="Times New Roman"/>
          <w:spacing w:val="-9"/>
          <w:w w:val="105"/>
          <w:sz w:val="23"/>
        </w:rPr>
        <w:t> </w:t>
      </w:r>
      <w:r>
        <w:rPr>
          <w:rFonts w:ascii="Times New Roman" w:hAnsi="Times New Roman"/>
          <w:w w:val="105"/>
          <w:sz w:val="23"/>
        </w:rPr>
        <w:t>1973,</w:t>
      </w:r>
      <w:r>
        <w:rPr>
          <w:rFonts w:ascii="Times New Roman" w:hAnsi="Times New Roman"/>
          <w:spacing w:val="-12"/>
          <w:w w:val="105"/>
          <w:sz w:val="23"/>
        </w:rPr>
        <w:t> </w:t>
      </w:r>
      <w:r>
        <w:rPr>
          <w:rFonts w:ascii="Times New Roman" w:hAnsi="Times New Roman"/>
          <w:w w:val="105"/>
          <w:sz w:val="23"/>
        </w:rPr>
        <w:t>(23</w:t>
      </w:r>
      <w:r>
        <w:rPr>
          <w:rFonts w:ascii="Times New Roman" w:hAnsi="Times New Roman"/>
          <w:spacing w:val="-5"/>
          <w:w w:val="105"/>
          <w:sz w:val="23"/>
        </w:rPr>
        <w:t> </w:t>
      </w:r>
      <w:r>
        <w:rPr>
          <w:rFonts w:ascii="Times New Roman" w:hAnsi="Times New Roman"/>
          <w:w w:val="105"/>
          <w:sz w:val="23"/>
        </w:rPr>
        <w:t>U.S.C.</w:t>
      </w:r>
      <w:r>
        <w:rPr>
          <w:rFonts w:ascii="Times New Roman" w:hAnsi="Times New Roman"/>
          <w:spacing w:val="-4"/>
          <w:w w:val="105"/>
          <w:sz w:val="23"/>
        </w:rPr>
        <w:t> </w:t>
      </w:r>
      <w:r>
        <w:rPr>
          <w:rFonts w:ascii="Times New Roman" w:hAnsi="Times New Roman"/>
          <w:w w:val="105"/>
          <w:sz w:val="23"/>
        </w:rPr>
        <w:t>§</w:t>
      </w:r>
      <w:r>
        <w:rPr>
          <w:rFonts w:ascii="Times New Roman" w:hAnsi="Times New Roman"/>
          <w:spacing w:val="-6"/>
          <w:w w:val="105"/>
          <w:sz w:val="23"/>
        </w:rPr>
        <w:t> </w:t>
      </w:r>
      <w:r>
        <w:rPr>
          <w:rFonts w:ascii="Times New Roman" w:hAnsi="Times New Roman"/>
          <w:w w:val="105"/>
          <w:sz w:val="23"/>
        </w:rPr>
        <w:t>324</w:t>
      </w:r>
      <w:r>
        <w:rPr>
          <w:rFonts w:ascii="Times New Roman" w:hAnsi="Times New Roman"/>
          <w:spacing w:val="-8"/>
          <w:w w:val="105"/>
          <w:sz w:val="23"/>
        </w:rPr>
        <w:t> </w:t>
      </w:r>
      <w:r>
        <w:rPr>
          <w:rFonts w:ascii="Times New Roman" w:hAnsi="Times New Roman"/>
          <w:i/>
          <w:w w:val="105"/>
          <w:sz w:val="24"/>
        </w:rPr>
        <w:t>et</w:t>
      </w:r>
      <w:r>
        <w:rPr>
          <w:rFonts w:ascii="Times New Roman" w:hAnsi="Times New Roman"/>
          <w:i/>
          <w:spacing w:val="-10"/>
          <w:w w:val="105"/>
          <w:sz w:val="24"/>
        </w:rPr>
        <w:t> </w:t>
      </w:r>
      <w:r>
        <w:rPr>
          <w:rFonts w:ascii="Times New Roman" w:hAnsi="Times New Roman"/>
          <w:i/>
          <w:w w:val="105"/>
          <w:sz w:val="24"/>
        </w:rPr>
        <w:t>seq.),</w:t>
      </w:r>
      <w:r>
        <w:rPr>
          <w:rFonts w:ascii="Times New Roman" w:hAnsi="Times New Roman"/>
          <w:i/>
          <w:spacing w:val="-16"/>
          <w:w w:val="105"/>
          <w:sz w:val="24"/>
        </w:rPr>
        <w:t> </w:t>
      </w:r>
      <w:r>
        <w:rPr>
          <w:rFonts w:ascii="Times New Roman" w:hAnsi="Times New Roman"/>
          <w:w w:val="105"/>
          <w:sz w:val="23"/>
        </w:rPr>
        <w:t>(prohibits</w:t>
      </w:r>
      <w:r>
        <w:rPr>
          <w:rFonts w:ascii="Times New Roman" w:hAnsi="Times New Roman"/>
          <w:spacing w:val="-2"/>
          <w:w w:val="105"/>
          <w:sz w:val="23"/>
        </w:rPr>
        <w:t> </w:t>
      </w:r>
      <w:r>
        <w:rPr>
          <w:rFonts w:ascii="Times New Roman" w:hAnsi="Times New Roman"/>
          <w:w w:val="105"/>
          <w:sz w:val="23"/>
        </w:rPr>
        <w:t>discrimination</w:t>
      </w:r>
      <w:r>
        <w:rPr>
          <w:rFonts w:ascii="Times New Roman" w:hAnsi="Times New Roman"/>
          <w:spacing w:val="-15"/>
          <w:w w:val="105"/>
          <w:sz w:val="23"/>
        </w:rPr>
        <w:t> </w:t>
      </w:r>
      <w:r>
        <w:rPr>
          <w:rFonts w:ascii="Times New Roman" w:hAnsi="Times New Roman"/>
          <w:w w:val="105"/>
          <w:sz w:val="23"/>
        </w:rPr>
        <w:t>on</w:t>
      </w:r>
      <w:r>
        <w:rPr>
          <w:rFonts w:ascii="Times New Roman" w:hAnsi="Times New Roman"/>
          <w:spacing w:val="-15"/>
          <w:w w:val="105"/>
          <w:sz w:val="23"/>
        </w:rPr>
        <w:t> </w:t>
      </w:r>
      <w:r>
        <w:rPr>
          <w:rFonts w:ascii="Times New Roman" w:hAnsi="Times New Roman"/>
          <w:spacing w:val="-5"/>
          <w:w w:val="105"/>
          <w:sz w:val="23"/>
        </w:rPr>
        <w:t>the</w:t>
      </w:r>
    </w:p>
    <w:p>
      <w:pPr>
        <w:spacing w:line="257" w:lineRule="exact" w:before="34"/>
        <w:ind w:left="1304" w:right="0" w:firstLine="0"/>
        <w:jc w:val="left"/>
        <w:rPr>
          <w:rFonts w:ascii="Times New Roman"/>
          <w:sz w:val="23"/>
        </w:rPr>
      </w:pPr>
      <w:r>
        <w:rPr>
          <w:rFonts w:ascii="Times New Roman"/>
          <w:w w:val="105"/>
          <w:sz w:val="23"/>
        </w:rPr>
        <w:t>basis</w:t>
      </w:r>
      <w:r>
        <w:rPr>
          <w:rFonts w:ascii="Times New Roman"/>
          <w:spacing w:val="-6"/>
          <w:w w:val="105"/>
          <w:sz w:val="23"/>
        </w:rPr>
        <w:t> </w:t>
      </w:r>
      <w:r>
        <w:rPr>
          <w:rFonts w:ascii="Times New Roman"/>
          <w:w w:val="105"/>
          <w:sz w:val="23"/>
        </w:rPr>
        <w:t>of</w:t>
      </w:r>
      <w:r>
        <w:rPr>
          <w:rFonts w:ascii="Times New Roman"/>
          <w:spacing w:val="-2"/>
          <w:w w:val="105"/>
          <w:sz w:val="23"/>
        </w:rPr>
        <w:t> sex);</w:t>
      </w:r>
    </w:p>
    <w:p>
      <w:pPr>
        <w:pStyle w:val="ListParagraph"/>
        <w:numPr>
          <w:ilvl w:val="1"/>
          <w:numId w:val="33"/>
        </w:numPr>
        <w:tabs>
          <w:tab w:pos="1296" w:val="left" w:leader="none"/>
        </w:tabs>
        <w:spacing w:line="252" w:lineRule="auto" w:before="0" w:after="0"/>
        <w:ind w:left="1296" w:right="659" w:hanging="272"/>
        <w:jc w:val="left"/>
        <w:rPr>
          <w:rFonts w:ascii="Times New Roman" w:hAnsi="Times New Roman"/>
          <w:sz w:val="23"/>
        </w:rPr>
      </w:pPr>
      <w:r>
        <w:rPr>
          <w:rFonts w:ascii="Times New Roman" w:hAnsi="Times New Roman"/>
          <w:w w:val="105"/>
          <w:sz w:val="23"/>
        </w:rPr>
        <w:t>Section</w:t>
      </w:r>
      <w:r>
        <w:rPr>
          <w:rFonts w:ascii="Times New Roman" w:hAnsi="Times New Roman"/>
          <w:spacing w:val="-9"/>
          <w:w w:val="105"/>
          <w:sz w:val="23"/>
        </w:rPr>
        <w:t> </w:t>
      </w:r>
      <w:r>
        <w:rPr>
          <w:rFonts w:ascii="Times New Roman" w:hAnsi="Times New Roman"/>
          <w:w w:val="105"/>
          <w:sz w:val="23"/>
        </w:rPr>
        <w:t>504</w:t>
      </w:r>
      <w:r>
        <w:rPr>
          <w:rFonts w:ascii="Times New Roman" w:hAnsi="Times New Roman"/>
          <w:spacing w:val="-6"/>
          <w:w w:val="105"/>
          <w:sz w:val="23"/>
        </w:rPr>
        <w:t> </w:t>
      </w:r>
      <w:r>
        <w:rPr>
          <w:rFonts w:ascii="Times New Roman" w:hAnsi="Times New Roman"/>
          <w:w w:val="105"/>
          <w:sz w:val="23"/>
        </w:rPr>
        <w:t>of</w:t>
      </w:r>
      <w:r>
        <w:rPr>
          <w:rFonts w:ascii="Times New Roman" w:hAnsi="Times New Roman"/>
          <w:spacing w:val="-12"/>
          <w:w w:val="105"/>
          <w:sz w:val="23"/>
        </w:rPr>
        <w:t> </w:t>
      </w:r>
      <w:r>
        <w:rPr>
          <w:rFonts w:ascii="Times New Roman" w:hAnsi="Times New Roman"/>
          <w:w w:val="105"/>
          <w:sz w:val="23"/>
        </w:rPr>
        <w:t>the</w:t>
      </w:r>
      <w:r>
        <w:rPr>
          <w:rFonts w:ascii="Times New Roman" w:hAnsi="Times New Roman"/>
          <w:spacing w:val="-10"/>
          <w:w w:val="105"/>
          <w:sz w:val="23"/>
        </w:rPr>
        <w:t> </w:t>
      </w:r>
      <w:r>
        <w:rPr>
          <w:rFonts w:ascii="Times New Roman" w:hAnsi="Times New Roman"/>
          <w:w w:val="105"/>
          <w:sz w:val="23"/>
        </w:rPr>
        <w:t>Rehabilitation</w:t>
      </w:r>
      <w:r>
        <w:rPr>
          <w:rFonts w:ascii="Times New Roman" w:hAnsi="Times New Roman"/>
          <w:spacing w:val="-15"/>
          <w:w w:val="105"/>
          <w:sz w:val="23"/>
        </w:rPr>
        <w:t> </w:t>
      </w:r>
      <w:r>
        <w:rPr>
          <w:rFonts w:ascii="Times New Roman" w:hAnsi="Times New Roman"/>
          <w:w w:val="105"/>
          <w:sz w:val="23"/>
        </w:rPr>
        <w:t>Act</w:t>
      </w:r>
      <w:r>
        <w:rPr>
          <w:rFonts w:ascii="Times New Roman" w:hAnsi="Times New Roman"/>
          <w:spacing w:val="-5"/>
          <w:w w:val="105"/>
          <w:sz w:val="23"/>
        </w:rPr>
        <w:t> </w:t>
      </w:r>
      <w:r>
        <w:rPr>
          <w:rFonts w:ascii="Times New Roman" w:hAnsi="Times New Roman"/>
          <w:w w:val="105"/>
          <w:sz w:val="23"/>
        </w:rPr>
        <w:t>of</w:t>
      </w:r>
      <w:r>
        <w:rPr>
          <w:rFonts w:ascii="Times New Roman" w:hAnsi="Times New Roman"/>
          <w:spacing w:val="-9"/>
          <w:w w:val="105"/>
          <w:sz w:val="23"/>
        </w:rPr>
        <w:t> </w:t>
      </w:r>
      <w:r>
        <w:rPr>
          <w:rFonts w:ascii="Times New Roman" w:hAnsi="Times New Roman"/>
          <w:w w:val="105"/>
          <w:sz w:val="23"/>
        </w:rPr>
        <w:t>1973,</w:t>
      </w:r>
      <w:r>
        <w:rPr>
          <w:rFonts w:ascii="Times New Roman" w:hAnsi="Times New Roman"/>
          <w:spacing w:val="-2"/>
          <w:w w:val="105"/>
          <w:sz w:val="23"/>
        </w:rPr>
        <w:t> </w:t>
      </w:r>
      <w:r>
        <w:rPr>
          <w:rFonts w:ascii="Times New Roman" w:hAnsi="Times New Roman"/>
          <w:w w:val="105"/>
          <w:sz w:val="23"/>
        </w:rPr>
        <w:t>(29</w:t>
      </w:r>
      <w:r>
        <w:rPr>
          <w:rFonts w:ascii="Times New Roman" w:hAnsi="Times New Roman"/>
          <w:spacing w:val="-10"/>
          <w:w w:val="105"/>
          <w:sz w:val="23"/>
        </w:rPr>
        <w:t> </w:t>
      </w:r>
      <w:r>
        <w:rPr>
          <w:rFonts w:ascii="Times New Roman" w:hAnsi="Times New Roman"/>
          <w:w w:val="105"/>
          <w:sz w:val="23"/>
        </w:rPr>
        <w:t>U.S.C.</w:t>
      </w:r>
      <w:r>
        <w:rPr>
          <w:rFonts w:ascii="Times New Roman" w:hAnsi="Times New Roman"/>
          <w:spacing w:val="-2"/>
          <w:w w:val="105"/>
          <w:sz w:val="23"/>
        </w:rPr>
        <w:t> </w:t>
      </w:r>
      <w:r>
        <w:rPr>
          <w:rFonts w:ascii="Times New Roman" w:hAnsi="Times New Roman"/>
          <w:w w:val="105"/>
          <w:sz w:val="23"/>
        </w:rPr>
        <w:t>§</w:t>
      </w:r>
      <w:r>
        <w:rPr>
          <w:rFonts w:ascii="Times New Roman" w:hAnsi="Times New Roman"/>
          <w:spacing w:val="-5"/>
          <w:w w:val="105"/>
          <w:sz w:val="23"/>
        </w:rPr>
        <w:t> </w:t>
      </w:r>
      <w:r>
        <w:rPr>
          <w:rFonts w:ascii="Times New Roman" w:hAnsi="Times New Roman"/>
          <w:w w:val="105"/>
          <w:sz w:val="23"/>
        </w:rPr>
        <w:t>794</w:t>
      </w:r>
      <w:r>
        <w:rPr>
          <w:rFonts w:ascii="Times New Roman" w:hAnsi="Times New Roman"/>
          <w:spacing w:val="-5"/>
          <w:w w:val="105"/>
          <w:sz w:val="23"/>
        </w:rPr>
        <w:t> </w:t>
      </w:r>
      <w:r>
        <w:rPr>
          <w:rFonts w:ascii="Times New Roman" w:hAnsi="Times New Roman"/>
          <w:i/>
          <w:w w:val="105"/>
          <w:sz w:val="24"/>
        </w:rPr>
        <w:t>et</w:t>
      </w:r>
      <w:r>
        <w:rPr>
          <w:rFonts w:ascii="Times New Roman" w:hAnsi="Times New Roman"/>
          <w:i/>
          <w:spacing w:val="-9"/>
          <w:w w:val="105"/>
          <w:sz w:val="24"/>
        </w:rPr>
        <w:t> </w:t>
      </w:r>
      <w:r>
        <w:rPr>
          <w:rFonts w:ascii="Times New Roman" w:hAnsi="Times New Roman"/>
          <w:i/>
          <w:w w:val="105"/>
          <w:sz w:val="24"/>
        </w:rPr>
        <w:t>seq.),</w:t>
      </w:r>
      <w:r>
        <w:rPr>
          <w:rFonts w:ascii="Times New Roman" w:hAnsi="Times New Roman"/>
          <w:i/>
          <w:spacing w:val="-21"/>
          <w:w w:val="105"/>
          <w:sz w:val="24"/>
        </w:rPr>
        <w:t> </w:t>
      </w:r>
      <w:r>
        <w:rPr>
          <w:rFonts w:ascii="Times New Roman" w:hAnsi="Times New Roman"/>
          <w:w w:val="105"/>
          <w:sz w:val="23"/>
        </w:rPr>
        <w:t>as</w:t>
      </w:r>
      <w:r>
        <w:rPr>
          <w:rFonts w:ascii="Times New Roman" w:hAnsi="Times New Roman"/>
          <w:spacing w:val="-16"/>
          <w:w w:val="105"/>
          <w:sz w:val="23"/>
        </w:rPr>
        <w:t> </w:t>
      </w:r>
      <w:r>
        <w:rPr>
          <w:rFonts w:ascii="Times New Roman" w:hAnsi="Times New Roman"/>
          <w:w w:val="105"/>
          <w:sz w:val="23"/>
        </w:rPr>
        <w:t>amended, (prohibits discrimination on the basis of disability); and 49</w:t>
      </w:r>
      <w:r>
        <w:rPr>
          <w:rFonts w:ascii="Times New Roman" w:hAnsi="Times New Roman"/>
          <w:spacing w:val="-3"/>
          <w:w w:val="105"/>
          <w:sz w:val="23"/>
        </w:rPr>
        <w:t> </w:t>
      </w:r>
      <w:r>
        <w:rPr>
          <w:rFonts w:ascii="Times New Roman" w:hAnsi="Times New Roman"/>
          <w:w w:val="105"/>
          <w:sz w:val="23"/>
        </w:rPr>
        <w:t>CFR Part</w:t>
      </w:r>
      <w:r>
        <w:rPr>
          <w:rFonts w:ascii="Times New Roman" w:hAnsi="Times New Roman"/>
          <w:spacing w:val="36"/>
          <w:w w:val="105"/>
          <w:sz w:val="23"/>
        </w:rPr>
        <w:t> </w:t>
      </w:r>
      <w:r>
        <w:rPr>
          <w:rFonts w:ascii="Times New Roman" w:hAnsi="Times New Roman"/>
          <w:w w:val="105"/>
          <w:sz w:val="23"/>
        </w:rPr>
        <w:t>27;</w:t>
      </w:r>
    </w:p>
    <w:p>
      <w:pPr>
        <w:pStyle w:val="ListParagraph"/>
        <w:numPr>
          <w:ilvl w:val="1"/>
          <w:numId w:val="33"/>
        </w:numPr>
        <w:tabs>
          <w:tab w:pos="1296" w:val="left" w:leader="none"/>
        </w:tabs>
        <w:spacing w:line="259" w:lineRule="auto" w:before="0" w:after="0"/>
        <w:ind w:left="1296" w:right="1382" w:hanging="272"/>
        <w:jc w:val="left"/>
        <w:rPr>
          <w:rFonts w:ascii="Times New Roman" w:hAnsi="Times New Roman"/>
          <w:sz w:val="23"/>
        </w:rPr>
      </w:pPr>
      <w:r>
        <w:rPr>
          <w:rFonts w:ascii="Times New Roman" w:hAnsi="Times New Roman"/>
          <w:w w:val="105"/>
          <w:sz w:val="23"/>
        </w:rPr>
        <w:t>The</w:t>
      </w:r>
      <w:r>
        <w:rPr>
          <w:rFonts w:ascii="Times New Roman" w:hAnsi="Times New Roman"/>
          <w:spacing w:val="-11"/>
          <w:w w:val="105"/>
          <w:sz w:val="23"/>
        </w:rPr>
        <w:t> </w:t>
      </w:r>
      <w:r>
        <w:rPr>
          <w:rFonts w:ascii="Times New Roman" w:hAnsi="Times New Roman"/>
          <w:w w:val="105"/>
          <w:sz w:val="23"/>
        </w:rPr>
        <w:t>Age</w:t>
      </w:r>
      <w:r>
        <w:rPr>
          <w:rFonts w:ascii="Times New Roman" w:hAnsi="Times New Roman"/>
          <w:spacing w:val="-8"/>
          <w:w w:val="105"/>
          <w:sz w:val="23"/>
        </w:rPr>
        <w:t> </w:t>
      </w:r>
      <w:r>
        <w:rPr>
          <w:rFonts w:ascii="Times New Roman" w:hAnsi="Times New Roman"/>
          <w:w w:val="105"/>
          <w:sz w:val="23"/>
        </w:rPr>
        <w:t>Discrimination</w:t>
      </w:r>
      <w:r>
        <w:rPr>
          <w:rFonts w:ascii="Times New Roman" w:hAnsi="Times New Roman"/>
          <w:spacing w:val="-9"/>
          <w:w w:val="105"/>
          <w:sz w:val="23"/>
        </w:rPr>
        <w:t> </w:t>
      </w:r>
      <w:r>
        <w:rPr>
          <w:rFonts w:ascii="Times New Roman" w:hAnsi="Times New Roman"/>
          <w:w w:val="105"/>
          <w:sz w:val="23"/>
        </w:rPr>
        <w:t>Act</w:t>
      </w:r>
      <w:r>
        <w:rPr>
          <w:rFonts w:ascii="Times New Roman" w:hAnsi="Times New Roman"/>
          <w:spacing w:val="-11"/>
          <w:w w:val="105"/>
          <w:sz w:val="23"/>
        </w:rPr>
        <w:t> </w:t>
      </w:r>
      <w:r>
        <w:rPr>
          <w:rFonts w:ascii="Times New Roman" w:hAnsi="Times New Roman"/>
          <w:w w:val="105"/>
          <w:sz w:val="23"/>
        </w:rPr>
        <w:t>of</w:t>
      </w:r>
      <w:r>
        <w:rPr>
          <w:rFonts w:ascii="Times New Roman" w:hAnsi="Times New Roman"/>
          <w:spacing w:val="-8"/>
          <w:w w:val="105"/>
          <w:sz w:val="23"/>
        </w:rPr>
        <w:t> </w:t>
      </w:r>
      <w:r>
        <w:rPr>
          <w:rFonts w:ascii="Times New Roman" w:hAnsi="Times New Roman"/>
          <w:w w:val="105"/>
          <w:sz w:val="23"/>
        </w:rPr>
        <w:t>1975,</w:t>
      </w:r>
      <w:r>
        <w:rPr>
          <w:rFonts w:ascii="Times New Roman" w:hAnsi="Times New Roman"/>
          <w:spacing w:val="-16"/>
          <w:w w:val="105"/>
          <w:sz w:val="23"/>
        </w:rPr>
        <w:t> </w:t>
      </w:r>
      <w:r>
        <w:rPr>
          <w:rFonts w:ascii="Times New Roman" w:hAnsi="Times New Roman"/>
          <w:w w:val="105"/>
          <w:sz w:val="23"/>
        </w:rPr>
        <w:t>as</w:t>
      </w:r>
      <w:r>
        <w:rPr>
          <w:rFonts w:ascii="Times New Roman" w:hAnsi="Times New Roman"/>
          <w:spacing w:val="-15"/>
          <w:w w:val="105"/>
          <w:sz w:val="23"/>
        </w:rPr>
        <w:t> </w:t>
      </w:r>
      <w:r>
        <w:rPr>
          <w:rFonts w:ascii="Times New Roman" w:hAnsi="Times New Roman"/>
          <w:w w:val="105"/>
          <w:sz w:val="23"/>
        </w:rPr>
        <w:t>amended, (42</w:t>
      </w:r>
      <w:r>
        <w:rPr>
          <w:rFonts w:ascii="Times New Roman" w:hAnsi="Times New Roman"/>
          <w:spacing w:val="-3"/>
          <w:w w:val="105"/>
          <w:sz w:val="23"/>
        </w:rPr>
        <w:t> </w:t>
      </w:r>
      <w:r>
        <w:rPr>
          <w:rFonts w:ascii="Times New Roman" w:hAnsi="Times New Roman"/>
          <w:w w:val="105"/>
          <w:sz w:val="23"/>
        </w:rPr>
        <w:t>U.S.C. §</w:t>
      </w:r>
      <w:r>
        <w:rPr>
          <w:rFonts w:ascii="Times New Roman" w:hAnsi="Times New Roman"/>
          <w:spacing w:val="-16"/>
          <w:w w:val="105"/>
          <w:sz w:val="23"/>
        </w:rPr>
        <w:t> </w:t>
      </w:r>
      <w:r>
        <w:rPr>
          <w:rFonts w:ascii="Times New Roman" w:hAnsi="Times New Roman"/>
          <w:w w:val="105"/>
          <w:sz w:val="23"/>
        </w:rPr>
        <w:t>6101</w:t>
      </w:r>
      <w:r>
        <w:rPr>
          <w:rFonts w:ascii="Times New Roman" w:hAnsi="Times New Roman"/>
          <w:spacing w:val="-3"/>
          <w:w w:val="105"/>
          <w:sz w:val="23"/>
        </w:rPr>
        <w:t> </w:t>
      </w:r>
      <w:r>
        <w:rPr>
          <w:rFonts w:ascii="Times New Roman" w:hAnsi="Times New Roman"/>
          <w:i/>
          <w:w w:val="105"/>
          <w:sz w:val="24"/>
        </w:rPr>
        <w:t>et</w:t>
      </w:r>
      <w:r>
        <w:rPr>
          <w:rFonts w:ascii="Times New Roman" w:hAnsi="Times New Roman"/>
          <w:i/>
          <w:spacing w:val="-16"/>
          <w:w w:val="105"/>
          <w:sz w:val="24"/>
        </w:rPr>
        <w:t> </w:t>
      </w:r>
      <w:r>
        <w:rPr>
          <w:rFonts w:ascii="Times New Roman" w:hAnsi="Times New Roman"/>
          <w:i/>
          <w:w w:val="105"/>
          <w:sz w:val="24"/>
        </w:rPr>
        <w:t>seq.),</w:t>
      </w:r>
      <w:r>
        <w:rPr>
          <w:rFonts w:ascii="Times New Roman" w:hAnsi="Times New Roman"/>
          <w:i/>
          <w:spacing w:val="-20"/>
          <w:w w:val="105"/>
          <w:sz w:val="24"/>
        </w:rPr>
        <w:t> </w:t>
      </w:r>
      <w:r>
        <w:rPr>
          <w:rFonts w:ascii="Times New Roman" w:hAnsi="Times New Roman"/>
          <w:w w:val="105"/>
          <w:sz w:val="23"/>
        </w:rPr>
        <w:t>(prohibits discrimination on the basis of age);</w:t>
      </w:r>
    </w:p>
    <w:p>
      <w:pPr>
        <w:pStyle w:val="ListParagraph"/>
        <w:numPr>
          <w:ilvl w:val="1"/>
          <w:numId w:val="33"/>
        </w:numPr>
        <w:tabs>
          <w:tab w:pos="1301" w:val="left" w:leader="none"/>
        </w:tabs>
        <w:spacing w:line="246" w:lineRule="exact" w:before="0" w:after="0"/>
        <w:ind w:left="1301" w:right="0" w:hanging="277"/>
        <w:jc w:val="left"/>
        <w:rPr>
          <w:rFonts w:ascii="Times New Roman" w:hAnsi="Times New Roman"/>
          <w:sz w:val="23"/>
        </w:rPr>
      </w:pPr>
      <w:r>
        <w:rPr>
          <w:rFonts w:ascii="Times New Roman" w:hAnsi="Times New Roman"/>
          <w:w w:val="105"/>
          <w:sz w:val="23"/>
        </w:rPr>
        <w:t>Airport</w:t>
      </w:r>
      <w:r>
        <w:rPr>
          <w:rFonts w:ascii="Times New Roman" w:hAnsi="Times New Roman"/>
          <w:spacing w:val="2"/>
          <w:w w:val="105"/>
          <w:sz w:val="23"/>
        </w:rPr>
        <w:t> </w:t>
      </w:r>
      <w:r>
        <w:rPr>
          <w:rFonts w:ascii="Times New Roman" w:hAnsi="Times New Roman"/>
          <w:w w:val="105"/>
          <w:sz w:val="23"/>
        </w:rPr>
        <w:t>and</w:t>
      </w:r>
      <w:r>
        <w:rPr>
          <w:rFonts w:ascii="Times New Roman" w:hAnsi="Times New Roman"/>
          <w:spacing w:val="-1"/>
          <w:w w:val="105"/>
          <w:sz w:val="23"/>
        </w:rPr>
        <w:t> </w:t>
      </w:r>
      <w:r>
        <w:rPr>
          <w:rFonts w:ascii="Times New Roman" w:hAnsi="Times New Roman"/>
          <w:w w:val="105"/>
          <w:sz w:val="23"/>
        </w:rPr>
        <w:t>Airway</w:t>
      </w:r>
      <w:r>
        <w:rPr>
          <w:rFonts w:ascii="Times New Roman" w:hAnsi="Times New Roman"/>
          <w:spacing w:val="10"/>
          <w:w w:val="105"/>
          <w:sz w:val="23"/>
        </w:rPr>
        <w:t> </w:t>
      </w:r>
      <w:r>
        <w:rPr>
          <w:rFonts w:ascii="Times New Roman" w:hAnsi="Times New Roman"/>
          <w:w w:val="105"/>
          <w:sz w:val="23"/>
        </w:rPr>
        <w:t>Improvement</w:t>
      </w:r>
      <w:r>
        <w:rPr>
          <w:rFonts w:ascii="Times New Roman" w:hAnsi="Times New Roman"/>
          <w:spacing w:val="10"/>
          <w:w w:val="105"/>
          <w:sz w:val="23"/>
        </w:rPr>
        <w:t> </w:t>
      </w:r>
      <w:r>
        <w:rPr>
          <w:rFonts w:ascii="Times New Roman" w:hAnsi="Times New Roman"/>
          <w:w w:val="105"/>
          <w:sz w:val="23"/>
        </w:rPr>
        <w:t>Act</w:t>
      </w:r>
      <w:r>
        <w:rPr>
          <w:rFonts w:ascii="Times New Roman" w:hAnsi="Times New Roman"/>
          <w:spacing w:val="-3"/>
          <w:w w:val="105"/>
          <w:sz w:val="23"/>
        </w:rPr>
        <w:t> </w:t>
      </w:r>
      <w:r>
        <w:rPr>
          <w:rFonts w:ascii="Times New Roman" w:hAnsi="Times New Roman"/>
          <w:w w:val="105"/>
          <w:sz w:val="23"/>
        </w:rPr>
        <w:t>of</w:t>
      </w:r>
      <w:r>
        <w:rPr>
          <w:rFonts w:ascii="Times New Roman" w:hAnsi="Times New Roman"/>
          <w:spacing w:val="1"/>
          <w:w w:val="105"/>
          <w:sz w:val="23"/>
        </w:rPr>
        <w:t> </w:t>
      </w:r>
      <w:r>
        <w:rPr>
          <w:rFonts w:ascii="Times New Roman" w:hAnsi="Times New Roman"/>
          <w:w w:val="105"/>
          <w:sz w:val="23"/>
        </w:rPr>
        <w:t>1982, (49</w:t>
      </w:r>
      <w:r>
        <w:rPr>
          <w:rFonts w:ascii="Times New Roman" w:hAnsi="Times New Roman"/>
          <w:spacing w:val="-7"/>
          <w:w w:val="105"/>
          <w:sz w:val="23"/>
        </w:rPr>
        <w:t> </w:t>
      </w:r>
      <w:r>
        <w:rPr>
          <w:rFonts w:ascii="Times New Roman" w:hAnsi="Times New Roman"/>
          <w:w w:val="105"/>
          <w:sz w:val="23"/>
        </w:rPr>
        <w:t>USC§</w:t>
      </w:r>
      <w:r>
        <w:rPr>
          <w:rFonts w:ascii="Times New Roman" w:hAnsi="Times New Roman"/>
          <w:spacing w:val="-7"/>
          <w:w w:val="105"/>
          <w:sz w:val="23"/>
        </w:rPr>
        <w:t> </w:t>
      </w:r>
      <w:r>
        <w:rPr>
          <w:rFonts w:ascii="Times New Roman" w:hAnsi="Times New Roman"/>
          <w:w w:val="105"/>
          <w:sz w:val="23"/>
        </w:rPr>
        <w:t>471,</w:t>
      </w:r>
      <w:r>
        <w:rPr>
          <w:rFonts w:ascii="Times New Roman" w:hAnsi="Times New Roman"/>
          <w:spacing w:val="-12"/>
          <w:w w:val="105"/>
          <w:sz w:val="23"/>
        </w:rPr>
        <w:t> </w:t>
      </w:r>
      <w:r>
        <w:rPr>
          <w:rFonts w:ascii="Times New Roman" w:hAnsi="Times New Roman"/>
          <w:w w:val="105"/>
          <w:sz w:val="23"/>
        </w:rPr>
        <w:t>Section</w:t>
      </w:r>
      <w:r>
        <w:rPr>
          <w:rFonts w:ascii="Times New Roman" w:hAnsi="Times New Roman"/>
          <w:spacing w:val="-2"/>
          <w:w w:val="105"/>
          <w:sz w:val="23"/>
        </w:rPr>
        <w:t> </w:t>
      </w:r>
      <w:r>
        <w:rPr>
          <w:rFonts w:ascii="Times New Roman" w:hAnsi="Times New Roman"/>
          <w:w w:val="105"/>
          <w:sz w:val="23"/>
        </w:rPr>
        <w:t>47123), as</w:t>
      </w:r>
      <w:r>
        <w:rPr>
          <w:rFonts w:ascii="Times New Roman" w:hAnsi="Times New Roman"/>
          <w:spacing w:val="-14"/>
          <w:w w:val="105"/>
          <w:sz w:val="23"/>
        </w:rPr>
        <w:t> </w:t>
      </w:r>
      <w:r>
        <w:rPr>
          <w:rFonts w:ascii="Times New Roman" w:hAnsi="Times New Roman"/>
          <w:spacing w:val="-2"/>
          <w:w w:val="105"/>
          <w:sz w:val="23"/>
        </w:rPr>
        <w:t>amended,</w:t>
      </w:r>
    </w:p>
    <w:p>
      <w:pPr>
        <w:spacing w:before="0"/>
        <w:ind w:left="1302" w:right="0" w:firstLine="0"/>
        <w:jc w:val="left"/>
        <w:rPr>
          <w:rFonts w:ascii="Times New Roman"/>
          <w:sz w:val="23"/>
        </w:rPr>
      </w:pPr>
      <w:r>
        <w:rPr>
          <w:rFonts w:ascii="Times New Roman"/>
          <w:w w:val="105"/>
          <w:sz w:val="23"/>
        </w:rPr>
        <w:t>(prohibits</w:t>
      </w:r>
      <w:r>
        <w:rPr>
          <w:rFonts w:ascii="Times New Roman"/>
          <w:spacing w:val="-6"/>
          <w:w w:val="105"/>
          <w:sz w:val="23"/>
        </w:rPr>
        <w:t> </w:t>
      </w:r>
      <w:r>
        <w:rPr>
          <w:rFonts w:ascii="Times New Roman"/>
          <w:w w:val="105"/>
          <w:sz w:val="23"/>
        </w:rPr>
        <w:t>discrimination</w:t>
      </w:r>
      <w:r>
        <w:rPr>
          <w:rFonts w:ascii="Times New Roman"/>
          <w:spacing w:val="-15"/>
          <w:w w:val="105"/>
          <w:sz w:val="23"/>
        </w:rPr>
        <w:t> </w:t>
      </w:r>
      <w:r>
        <w:rPr>
          <w:rFonts w:ascii="Times New Roman"/>
          <w:w w:val="105"/>
          <w:sz w:val="23"/>
        </w:rPr>
        <w:t>based</w:t>
      </w:r>
      <w:r>
        <w:rPr>
          <w:rFonts w:ascii="Times New Roman"/>
          <w:spacing w:val="1"/>
          <w:w w:val="105"/>
          <w:sz w:val="23"/>
        </w:rPr>
        <w:t> </w:t>
      </w:r>
      <w:r>
        <w:rPr>
          <w:rFonts w:ascii="Times New Roman"/>
          <w:w w:val="105"/>
          <w:sz w:val="23"/>
        </w:rPr>
        <w:t>on</w:t>
      </w:r>
      <w:r>
        <w:rPr>
          <w:rFonts w:ascii="Times New Roman"/>
          <w:spacing w:val="-11"/>
          <w:w w:val="105"/>
          <w:sz w:val="23"/>
        </w:rPr>
        <w:t> </w:t>
      </w:r>
      <w:r>
        <w:rPr>
          <w:rFonts w:ascii="Times New Roman"/>
          <w:w w:val="105"/>
          <w:sz w:val="23"/>
        </w:rPr>
        <w:t>race,</w:t>
      </w:r>
      <w:r>
        <w:rPr>
          <w:rFonts w:ascii="Times New Roman"/>
          <w:spacing w:val="-11"/>
          <w:w w:val="105"/>
          <w:sz w:val="23"/>
        </w:rPr>
        <w:t> </w:t>
      </w:r>
      <w:r>
        <w:rPr>
          <w:rFonts w:ascii="Times New Roman"/>
          <w:w w:val="105"/>
          <w:sz w:val="23"/>
        </w:rPr>
        <w:t>creed,</w:t>
      </w:r>
      <w:r>
        <w:rPr>
          <w:rFonts w:ascii="Times New Roman"/>
          <w:spacing w:val="-8"/>
          <w:w w:val="105"/>
          <w:sz w:val="23"/>
        </w:rPr>
        <w:t> </w:t>
      </w:r>
      <w:r>
        <w:rPr>
          <w:rFonts w:ascii="Times New Roman"/>
          <w:w w:val="105"/>
          <w:sz w:val="23"/>
        </w:rPr>
        <w:t>color,</w:t>
      </w:r>
      <w:r>
        <w:rPr>
          <w:rFonts w:ascii="Times New Roman"/>
          <w:spacing w:val="-3"/>
          <w:w w:val="105"/>
          <w:sz w:val="23"/>
        </w:rPr>
        <w:t> </w:t>
      </w:r>
      <w:r>
        <w:rPr>
          <w:rFonts w:ascii="Times New Roman"/>
          <w:w w:val="105"/>
          <w:sz w:val="23"/>
        </w:rPr>
        <w:t>national</w:t>
      </w:r>
      <w:r>
        <w:rPr>
          <w:rFonts w:ascii="Times New Roman"/>
          <w:spacing w:val="2"/>
          <w:w w:val="105"/>
          <w:sz w:val="23"/>
        </w:rPr>
        <w:t> </w:t>
      </w:r>
      <w:r>
        <w:rPr>
          <w:rFonts w:ascii="Times New Roman"/>
          <w:w w:val="105"/>
          <w:sz w:val="23"/>
        </w:rPr>
        <w:t>origin,</w:t>
      </w:r>
      <w:r>
        <w:rPr>
          <w:rFonts w:ascii="Times New Roman"/>
          <w:spacing w:val="-5"/>
          <w:w w:val="105"/>
          <w:sz w:val="23"/>
        </w:rPr>
        <w:t> </w:t>
      </w:r>
      <w:r>
        <w:rPr>
          <w:rFonts w:ascii="Times New Roman"/>
          <w:w w:val="105"/>
          <w:sz w:val="23"/>
        </w:rPr>
        <w:t>or</w:t>
      </w:r>
      <w:r>
        <w:rPr>
          <w:rFonts w:ascii="Times New Roman"/>
          <w:spacing w:val="7"/>
          <w:w w:val="105"/>
          <w:sz w:val="23"/>
        </w:rPr>
        <w:t> </w:t>
      </w:r>
      <w:r>
        <w:rPr>
          <w:rFonts w:ascii="Times New Roman"/>
          <w:spacing w:val="-2"/>
          <w:w w:val="105"/>
          <w:sz w:val="23"/>
        </w:rPr>
        <w:t>sex);</w:t>
      </w:r>
    </w:p>
    <w:p>
      <w:pPr>
        <w:pStyle w:val="ListParagraph"/>
        <w:numPr>
          <w:ilvl w:val="1"/>
          <w:numId w:val="33"/>
        </w:numPr>
        <w:tabs>
          <w:tab w:pos="1296" w:val="left" w:leader="none"/>
        </w:tabs>
        <w:spacing w:line="256" w:lineRule="auto" w:before="1" w:after="0"/>
        <w:ind w:left="1296" w:right="649" w:hanging="272"/>
        <w:jc w:val="left"/>
        <w:rPr>
          <w:rFonts w:ascii="Times New Roman" w:hAnsi="Times New Roman"/>
          <w:sz w:val="23"/>
        </w:rPr>
      </w:pPr>
      <w:r>
        <w:rPr>
          <w:rFonts w:ascii="Times New Roman" w:hAnsi="Times New Roman"/>
          <w:w w:val="105"/>
          <w:sz w:val="23"/>
        </w:rPr>
        <w:t>The Civil Rights</w:t>
      </w:r>
      <w:r>
        <w:rPr>
          <w:rFonts w:ascii="Times New Roman" w:hAnsi="Times New Roman"/>
          <w:spacing w:val="-2"/>
          <w:w w:val="105"/>
          <w:sz w:val="23"/>
        </w:rPr>
        <w:t> </w:t>
      </w:r>
      <w:r>
        <w:rPr>
          <w:rFonts w:ascii="Times New Roman" w:hAnsi="Times New Roman"/>
          <w:w w:val="105"/>
          <w:sz w:val="23"/>
        </w:rPr>
        <w:t>Restoration Act of</w:t>
      </w:r>
      <w:r>
        <w:rPr>
          <w:rFonts w:ascii="Times New Roman" w:hAnsi="Times New Roman"/>
          <w:spacing w:val="-1"/>
          <w:w w:val="105"/>
          <w:sz w:val="23"/>
        </w:rPr>
        <w:t> </w:t>
      </w:r>
      <w:r>
        <w:rPr>
          <w:rFonts w:ascii="Times New Roman" w:hAnsi="Times New Roman"/>
          <w:w w:val="105"/>
          <w:sz w:val="23"/>
        </w:rPr>
        <w:t>1987, (PL 100-209), (Broadened the</w:t>
      </w:r>
      <w:r>
        <w:rPr>
          <w:rFonts w:ascii="Times New Roman" w:hAnsi="Times New Roman"/>
          <w:spacing w:val="-9"/>
          <w:w w:val="105"/>
          <w:sz w:val="23"/>
        </w:rPr>
        <w:t> </w:t>
      </w:r>
      <w:r>
        <w:rPr>
          <w:rFonts w:ascii="Times New Roman" w:hAnsi="Times New Roman"/>
          <w:w w:val="105"/>
          <w:sz w:val="23"/>
        </w:rPr>
        <w:t>scope, coverage and applicability of Title VI of the Civil Rights Act of 1964,</w:t>
      </w:r>
      <w:r>
        <w:rPr>
          <w:rFonts w:ascii="Times New Roman" w:hAnsi="Times New Roman"/>
          <w:spacing w:val="-1"/>
          <w:w w:val="105"/>
          <w:sz w:val="23"/>
        </w:rPr>
        <w:t> </w:t>
      </w:r>
      <w:r>
        <w:rPr>
          <w:rFonts w:ascii="Times New Roman" w:hAnsi="Times New Roman"/>
          <w:w w:val="105"/>
          <w:sz w:val="23"/>
        </w:rPr>
        <w:t>The Age Discrimination</w:t>
      </w:r>
      <w:r>
        <w:rPr>
          <w:rFonts w:ascii="Times New Roman" w:hAnsi="Times New Roman"/>
          <w:spacing w:val="-3"/>
          <w:w w:val="105"/>
          <w:sz w:val="23"/>
        </w:rPr>
        <w:t> </w:t>
      </w:r>
      <w:r>
        <w:rPr>
          <w:rFonts w:ascii="Times New Roman" w:hAnsi="Times New Roman"/>
          <w:w w:val="105"/>
          <w:sz w:val="23"/>
        </w:rPr>
        <w:t>Act of 1975 and Section 504 of the</w:t>
      </w:r>
      <w:r>
        <w:rPr>
          <w:rFonts w:ascii="Times New Roman" w:hAnsi="Times New Roman"/>
          <w:spacing w:val="-4"/>
          <w:w w:val="105"/>
          <w:sz w:val="23"/>
        </w:rPr>
        <w:t> </w:t>
      </w:r>
      <w:r>
        <w:rPr>
          <w:rFonts w:ascii="Times New Roman" w:hAnsi="Times New Roman"/>
          <w:w w:val="105"/>
          <w:sz w:val="23"/>
        </w:rPr>
        <w:t>Rehabilitation</w:t>
      </w:r>
      <w:r>
        <w:rPr>
          <w:rFonts w:ascii="Times New Roman" w:hAnsi="Times New Roman"/>
          <w:spacing w:val="-8"/>
          <w:w w:val="105"/>
          <w:sz w:val="23"/>
        </w:rPr>
        <w:t> </w:t>
      </w:r>
      <w:r>
        <w:rPr>
          <w:rFonts w:ascii="Times New Roman" w:hAnsi="Times New Roman"/>
          <w:w w:val="105"/>
          <w:sz w:val="23"/>
        </w:rPr>
        <w:t>Act of 1973, by expanding the definition of the terms "programs or</w:t>
      </w:r>
      <w:r>
        <w:rPr>
          <w:rFonts w:ascii="Times New Roman" w:hAnsi="Times New Roman"/>
          <w:spacing w:val="-10"/>
          <w:w w:val="105"/>
          <w:sz w:val="23"/>
        </w:rPr>
        <w:t> </w:t>
      </w:r>
      <w:r>
        <w:rPr>
          <w:rFonts w:ascii="Times New Roman" w:hAnsi="Times New Roman"/>
          <w:w w:val="105"/>
          <w:sz w:val="23"/>
        </w:rPr>
        <w:t>activities"</w:t>
      </w:r>
      <w:r>
        <w:rPr>
          <w:rFonts w:ascii="Times New Roman" w:hAnsi="Times New Roman"/>
          <w:spacing w:val="-3"/>
          <w:w w:val="105"/>
          <w:sz w:val="23"/>
        </w:rPr>
        <w:t> </w:t>
      </w:r>
      <w:r>
        <w:rPr>
          <w:rFonts w:ascii="Times New Roman" w:hAnsi="Times New Roman"/>
          <w:w w:val="105"/>
          <w:sz w:val="23"/>
        </w:rPr>
        <w:t>to</w:t>
      </w:r>
      <w:r>
        <w:rPr>
          <w:rFonts w:ascii="Times New Roman" w:hAnsi="Times New Roman"/>
          <w:spacing w:val="-11"/>
          <w:w w:val="105"/>
          <w:sz w:val="23"/>
        </w:rPr>
        <w:t> </w:t>
      </w:r>
      <w:r>
        <w:rPr>
          <w:rFonts w:ascii="Times New Roman" w:hAnsi="Times New Roman"/>
          <w:w w:val="105"/>
          <w:sz w:val="23"/>
        </w:rPr>
        <w:t>include</w:t>
      </w:r>
      <w:r>
        <w:rPr>
          <w:rFonts w:ascii="Times New Roman" w:hAnsi="Times New Roman"/>
          <w:spacing w:val="-6"/>
          <w:w w:val="105"/>
          <w:sz w:val="23"/>
        </w:rPr>
        <w:t> </w:t>
      </w:r>
      <w:r>
        <w:rPr>
          <w:rFonts w:ascii="Times New Roman" w:hAnsi="Times New Roman"/>
          <w:w w:val="105"/>
          <w:sz w:val="23"/>
        </w:rPr>
        <w:t>all</w:t>
      </w:r>
      <w:r>
        <w:rPr>
          <w:rFonts w:ascii="Times New Roman" w:hAnsi="Times New Roman"/>
          <w:spacing w:val="-8"/>
          <w:w w:val="105"/>
          <w:sz w:val="23"/>
        </w:rPr>
        <w:t> </w:t>
      </w:r>
      <w:r>
        <w:rPr>
          <w:rFonts w:ascii="Times New Roman" w:hAnsi="Times New Roman"/>
          <w:w w:val="105"/>
          <w:sz w:val="23"/>
        </w:rPr>
        <w:t>of</w:t>
      </w:r>
      <w:r>
        <w:rPr>
          <w:rFonts w:ascii="Times New Roman" w:hAnsi="Times New Roman"/>
          <w:spacing w:val="-15"/>
          <w:w w:val="105"/>
          <w:sz w:val="23"/>
        </w:rPr>
        <w:t> </w:t>
      </w:r>
      <w:r>
        <w:rPr>
          <w:rFonts w:ascii="Times New Roman" w:hAnsi="Times New Roman"/>
          <w:w w:val="105"/>
          <w:sz w:val="23"/>
        </w:rPr>
        <w:t>the</w:t>
      </w:r>
      <w:r>
        <w:rPr>
          <w:rFonts w:ascii="Times New Roman" w:hAnsi="Times New Roman"/>
          <w:spacing w:val="-8"/>
          <w:w w:val="105"/>
          <w:sz w:val="23"/>
        </w:rPr>
        <w:t> </w:t>
      </w:r>
      <w:r>
        <w:rPr>
          <w:rFonts w:ascii="Times New Roman" w:hAnsi="Times New Roman"/>
          <w:w w:val="105"/>
          <w:sz w:val="23"/>
        </w:rPr>
        <w:t>programs</w:t>
      </w:r>
      <w:r>
        <w:rPr>
          <w:rFonts w:ascii="Times New Roman" w:hAnsi="Times New Roman"/>
          <w:spacing w:val="-4"/>
          <w:w w:val="105"/>
          <w:sz w:val="23"/>
        </w:rPr>
        <w:t> </w:t>
      </w:r>
      <w:r>
        <w:rPr>
          <w:rFonts w:ascii="Times New Roman" w:hAnsi="Times New Roman"/>
          <w:w w:val="105"/>
          <w:sz w:val="23"/>
        </w:rPr>
        <w:t>or</w:t>
      </w:r>
      <w:r>
        <w:rPr>
          <w:rFonts w:ascii="Times New Roman" w:hAnsi="Times New Roman"/>
          <w:spacing w:val="-10"/>
          <w:w w:val="105"/>
          <w:sz w:val="23"/>
        </w:rPr>
        <w:t> </w:t>
      </w:r>
      <w:r>
        <w:rPr>
          <w:rFonts w:ascii="Times New Roman" w:hAnsi="Times New Roman"/>
          <w:w w:val="105"/>
          <w:sz w:val="23"/>
        </w:rPr>
        <w:t>activities</w:t>
      </w:r>
      <w:r>
        <w:rPr>
          <w:rFonts w:ascii="Times New Roman" w:hAnsi="Times New Roman"/>
          <w:spacing w:val="-5"/>
          <w:w w:val="105"/>
          <w:sz w:val="23"/>
        </w:rPr>
        <w:t> </w:t>
      </w:r>
      <w:r>
        <w:rPr>
          <w:rFonts w:ascii="Times New Roman" w:hAnsi="Times New Roman"/>
          <w:w w:val="105"/>
          <w:sz w:val="23"/>
        </w:rPr>
        <w:t>of</w:t>
      </w:r>
      <w:r>
        <w:rPr>
          <w:rFonts w:ascii="Times New Roman" w:hAnsi="Times New Roman"/>
          <w:spacing w:val="-10"/>
          <w:w w:val="105"/>
          <w:sz w:val="23"/>
        </w:rPr>
        <w:t> </w:t>
      </w:r>
      <w:r>
        <w:rPr>
          <w:rFonts w:ascii="Times New Roman" w:hAnsi="Times New Roman"/>
          <w:w w:val="105"/>
          <w:sz w:val="23"/>
        </w:rPr>
        <w:t>the</w:t>
      </w:r>
      <w:r>
        <w:rPr>
          <w:rFonts w:ascii="Times New Roman" w:hAnsi="Times New Roman"/>
          <w:spacing w:val="-11"/>
          <w:w w:val="105"/>
          <w:sz w:val="23"/>
        </w:rPr>
        <w:t> </w:t>
      </w:r>
      <w:r>
        <w:rPr>
          <w:rFonts w:ascii="Times New Roman" w:hAnsi="Times New Roman"/>
          <w:w w:val="105"/>
          <w:sz w:val="23"/>
        </w:rPr>
        <w:t>Federal-aid recipients, sub-recipients</w:t>
      </w:r>
      <w:r>
        <w:rPr>
          <w:rFonts w:ascii="Times New Roman" w:hAnsi="Times New Roman"/>
          <w:spacing w:val="-6"/>
          <w:w w:val="105"/>
          <w:sz w:val="23"/>
        </w:rPr>
        <w:t> </w:t>
      </w:r>
      <w:r>
        <w:rPr>
          <w:rFonts w:ascii="Times New Roman" w:hAnsi="Times New Roman"/>
          <w:w w:val="105"/>
          <w:sz w:val="23"/>
        </w:rPr>
        <w:t>and contractors, whether such</w:t>
      </w:r>
      <w:r>
        <w:rPr>
          <w:rFonts w:ascii="Times New Roman" w:hAnsi="Times New Roman"/>
          <w:spacing w:val="-3"/>
          <w:w w:val="105"/>
          <w:sz w:val="23"/>
        </w:rPr>
        <w:t> </w:t>
      </w:r>
      <w:r>
        <w:rPr>
          <w:rFonts w:ascii="Times New Roman" w:hAnsi="Times New Roman"/>
          <w:w w:val="105"/>
          <w:sz w:val="23"/>
        </w:rPr>
        <w:t>programs or</w:t>
      </w:r>
      <w:r>
        <w:rPr>
          <w:rFonts w:ascii="Times New Roman" w:hAnsi="Times New Roman"/>
          <w:spacing w:val="-5"/>
          <w:w w:val="105"/>
          <w:sz w:val="23"/>
        </w:rPr>
        <w:t> </w:t>
      </w:r>
      <w:r>
        <w:rPr>
          <w:rFonts w:ascii="Times New Roman" w:hAnsi="Times New Roman"/>
          <w:w w:val="105"/>
          <w:sz w:val="23"/>
        </w:rPr>
        <w:t>activities are</w:t>
      </w:r>
      <w:r>
        <w:rPr>
          <w:rFonts w:ascii="Times New Roman" w:hAnsi="Times New Roman"/>
          <w:spacing w:val="-6"/>
          <w:w w:val="105"/>
          <w:sz w:val="23"/>
        </w:rPr>
        <w:t> </w:t>
      </w:r>
      <w:r>
        <w:rPr>
          <w:rFonts w:ascii="Times New Roman" w:hAnsi="Times New Roman"/>
          <w:w w:val="105"/>
          <w:sz w:val="23"/>
        </w:rPr>
        <w:t>Federally funded or </w:t>
      </w:r>
      <w:r>
        <w:rPr>
          <w:rFonts w:ascii="Times New Roman" w:hAnsi="Times New Roman"/>
          <w:spacing w:val="-2"/>
          <w:w w:val="105"/>
          <w:sz w:val="23"/>
        </w:rPr>
        <w:t>not);</w:t>
      </w:r>
    </w:p>
    <w:p>
      <w:pPr>
        <w:pStyle w:val="ListParagraph"/>
        <w:numPr>
          <w:ilvl w:val="1"/>
          <w:numId w:val="33"/>
        </w:numPr>
        <w:tabs>
          <w:tab w:pos="1296" w:val="left" w:leader="none"/>
        </w:tabs>
        <w:spacing w:line="234" w:lineRule="exact" w:before="0" w:after="0"/>
        <w:ind w:left="1296" w:right="0" w:hanging="272"/>
        <w:jc w:val="left"/>
        <w:rPr>
          <w:rFonts w:ascii="Times New Roman" w:hAnsi="Times New Roman"/>
          <w:sz w:val="23"/>
        </w:rPr>
      </w:pPr>
      <w:r>
        <w:rPr>
          <w:rFonts w:ascii="Times New Roman" w:hAnsi="Times New Roman"/>
          <w:w w:val="105"/>
          <w:sz w:val="23"/>
        </w:rPr>
        <w:t>Titles</w:t>
      </w:r>
      <w:r>
        <w:rPr>
          <w:rFonts w:ascii="Times New Roman" w:hAnsi="Times New Roman"/>
          <w:spacing w:val="-13"/>
          <w:w w:val="105"/>
          <w:sz w:val="23"/>
        </w:rPr>
        <w:t> </w:t>
      </w:r>
      <w:r>
        <w:rPr>
          <w:rFonts w:ascii="Times New Roman" w:hAnsi="Times New Roman"/>
          <w:w w:val="105"/>
          <w:sz w:val="23"/>
        </w:rPr>
        <w:t>II</w:t>
      </w:r>
      <w:r>
        <w:rPr>
          <w:rFonts w:ascii="Times New Roman" w:hAnsi="Times New Roman"/>
          <w:spacing w:val="-10"/>
          <w:w w:val="105"/>
          <w:sz w:val="23"/>
        </w:rPr>
        <w:t> </w:t>
      </w:r>
      <w:r>
        <w:rPr>
          <w:rFonts w:ascii="Times New Roman" w:hAnsi="Times New Roman"/>
          <w:w w:val="105"/>
          <w:sz w:val="23"/>
        </w:rPr>
        <w:t>and</w:t>
      </w:r>
      <w:r>
        <w:rPr>
          <w:rFonts w:ascii="Times New Roman" w:hAnsi="Times New Roman"/>
          <w:spacing w:val="-3"/>
          <w:w w:val="105"/>
          <w:sz w:val="23"/>
        </w:rPr>
        <w:t> </w:t>
      </w:r>
      <w:r>
        <w:rPr>
          <w:rFonts w:ascii="Times New Roman" w:hAnsi="Times New Roman"/>
          <w:w w:val="105"/>
          <w:sz w:val="23"/>
        </w:rPr>
        <w:t>III</w:t>
      </w:r>
      <w:r>
        <w:rPr>
          <w:rFonts w:ascii="Times New Roman" w:hAnsi="Times New Roman"/>
          <w:spacing w:val="-6"/>
          <w:w w:val="105"/>
          <w:sz w:val="23"/>
        </w:rPr>
        <w:t> </w:t>
      </w:r>
      <w:r>
        <w:rPr>
          <w:rFonts w:ascii="Times New Roman" w:hAnsi="Times New Roman"/>
          <w:w w:val="105"/>
          <w:sz w:val="23"/>
        </w:rPr>
        <w:t>of</w:t>
      </w:r>
      <w:r>
        <w:rPr>
          <w:rFonts w:ascii="Times New Roman" w:hAnsi="Times New Roman"/>
          <w:spacing w:val="-14"/>
          <w:w w:val="105"/>
          <w:sz w:val="23"/>
        </w:rPr>
        <w:t> </w:t>
      </w:r>
      <w:r>
        <w:rPr>
          <w:rFonts w:ascii="Times New Roman" w:hAnsi="Times New Roman"/>
          <w:w w:val="105"/>
          <w:sz w:val="23"/>
        </w:rPr>
        <w:t>the</w:t>
      </w:r>
      <w:r>
        <w:rPr>
          <w:rFonts w:ascii="Times New Roman" w:hAnsi="Times New Roman"/>
          <w:spacing w:val="-8"/>
          <w:w w:val="105"/>
          <w:sz w:val="23"/>
        </w:rPr>
        <w:t> </w:t>
      </w:r>
      <w:r>
        <w:rPr>
          <w:rFonts w:ascii="Times New Roman" w:hAnsi="Times New Roman"/>
          <w:w w:val="105"/>
          <w:sz w:val="23"/>
        </w:rPr>
        <w:t>Americans</w:t>
      </w:r>
      <w:r>
        <w:rPr>
          <w:rFonts w:ascii="Times New Roman" w:hAnsi="Times New Roman"/>
          <w:spacing w:val="4"/>
          <w:w w:val="105"/>
          <w:sz w:val="23"/>
        </w:rPr>
        <w:t> </w:t>
      </w:r>
      <w:r>
        <w:rPr>
          <w:rFonts w:ascii="Times New Roman" w:hAnsi="Times New Roman"/>
          <w:w w:val="105"/>
          <w:sz w:val="23"/>
        </w:rPr>
        <w:t>with</w:t>
      </w:r>
      <w:r>
        <w:rPr>
          <w:rFonts w:ascii="Times New Roman" w:hAnsi="Times New Roman"/>
          <w:spacing w:val="-10"/>
          <w:w w:val="105"/>
          <w:sz w:val="23"/>
        </w:rPr>
        <w:t> </w:t>
      </w:r>
      <w:r>
        <w:rPr>
          <w:rFonts w:ascii="Times New Roman" w:hAnsi="Times New Roman"/>
          <w:w w:val="105"/>
          <w:sz w:val="23"/>
        </w:rPr>
        <w:t>Disabilities</w:t>
      </w:r>
      <w:r>
        <w:rPr>
          <w:rFonts w:ascii="Times New Roman" w:hAnsi="Times New Roman"/>
          <w:spacing w:val="4"/>
          <w:w w:val="105"/>
          <w:sz w:val="23"/>
        </w:rPr>
        <w:t> </w:t>
      </w:r>
      <w:r>
        <w:rPr>
          <w:rFonts w:ascii="Times New Roman" w:hAnsi="Times New Roman"/>
          <w:w w:val="105"/>
          <w:sz w:val="23"/>
        </w:rPr>
        <w:t>Act,</w:t>
      </w:r>
      <w:r>
        <w:rPr>
          <w:rFonts w:ascii="Times New Roman" w:hAnsi="Times New Roman"/>
          <w:spacing w:val="-4"/>
          <w:w w:val="105"/>
          <w:sz w:val="23"/>
        </w:rPr>
        <w:t> </w:t>
      </w:r>
      <w:r>
        <w:rPr>
          <w:rFonts w:ascii="Times New Roman" w:hAnsi="Times New Roman"/>
          <w:w w:val="105"/>
          <w:sz w:val="23"/>
        </w:rPr>
        <w:t>which</w:t>
      </w:r>
      <w:r>
        <w:rPr>
          <w:rFonts w:ascii="Times New Roman" w:hAnsi="Times New Roman"/>
          <w:spacing w:val="5"/>
          <w:w w:val="105"/>
          <w:sz w:val="23"/>
        </w:rPr>
        <w:t> </w:t>
      </w:r>
      <w:r>
        <w:rPr>
          <w:rFonts w:ascii="Times New Roman" w:hAnsi="Times New Roman"/>
          <w:w w:val="105"/>
          <w:sz w:val="23"/>
        </w:rPr>
        <w:t>prohibit</w:t>
      </w:r>
      <w:r>
        <w:rPr>
          <w:rFonts w:ascii="Times New Roman" w:hAnsi="Times New Roman"/>
          <w:spacing w:val="-6"/>
          <w:w w:val="105"/>
          <w:sz w:val="23"/>
        </w:rPr>
        <w:t> </w:t>
      </w:r>
      <w:r>
        <w:rPr>
          <w:rFonts w:ascii="Times New Roman" w:hAnsi="Times New Roman"/>
          <w:w w:val="105"/>
          <w:sz w:val="23"/>
        </w:rPr>
        <w:t>discrimination</w:t>
      </w:r>
      <w:r>
        <w:rPr>
          <w:rFonts w:ascii="Times New Roman" w:hAnsi="Times New Roman"/>
          <w:spacing w:val="-15"/>
          <w:w w:val="105"/>
          <w:sz w:val="23"/>
        </w:rPr>
        <w:t> </w:t>
      </w:r>
      <w:r>
        <w:rPr>
          <w:rFonts w:ascii="Times New Roman" w:hAnsi="Times New Roman"/>
          <w:w w:val="105"/>
          <w:sz w:val="23"/>
        </w:rPr>
        <w:t>on</w:t>
      </w:r>
      <w:r>
        <w:rPr>
          <w:rFonts w:ascii="Times New Roman" w:hAnsi="Times New Roman"/>
          <w:spacing w:val="-12"/>
          <w:w w:val="105"/>
          <w:sz w:val="23"/>
        </w:rPr>
        <w:t> </w:t>
      </w:r>
      <w:r>
        <w:rPr>
          <w:rFonts w:ascii="Times New Roman" w:hAnsi="Times New Roman"/>
          <w:spacing w:val="-5"/>
          <w:w w:val="105"/>
          <w:sz w:val="23"/>
        </w:rPr>
        <w:t>the</w:t>
      </w:r>
    </w:p>
    <w:p>
      <w:pPr>
        <w:spacing w:line="252" w:lineRule="auto" w:before="10"/>
        <w:ind w:left="1304" w:right="583" w:firstLine="7"/>
        <w:jc w:val="left"/>
        <w:rPr>
          <w:rFonts w:ascii="Times New Roman" w:hAnsi="Times New Roman"/>
          <w:sz w:val="23"/>
        </w:rPr>
      </w:pPr>
      <w:r>
        <w:rPr>
          <w:rFonts w:ascii="Times New Roman" w:hAnsi="Times New Roman"/>
          <w:w w:val="105"/>
          <w:sz w:val="23"/>
        </w:rPr>
        <w:t>basis</w:t>
      </w:r>
      <w:r>
        <w:rPr>
          <w:rFonts w:ascii="Times New Roman" w:hAnsi="Times New Roman"/>
          <w:spacing w:val="-7"/>
          <w:w w:val="105"/>
          <w:sz w:val="23"/>
        </w:rPr>
        <w:t> </w:t>
      </w:r>
      <w:r>
        <w:rPr>
          <w:rFonts w:ascii="Times New Roman" w:hAnsi="Times New Roman"/>
          <w:w w:val="105"/>
          <w:sz w:val="23"/>
        </w:rPr>
        <w:t>of</w:t>
      </w:r>
      <w:r>
        <w:rPr>
          <w:rFonts w:ascii="Times New Roman" w:hAnsi="Times New Roman"/>
          <w:spacing w:val="-6"/>
          <w:w w:val="105"/>
          <w:sz w:val="23"/>
        </w:rPr>
        <w:t> </w:t>
      </w:r>
      <w:r>
        <w:rPr>
          <w:rFonts w:ascii="Times New Roman" w:hAnsi="Times New Roman"/>
          <w:w w:val="105"/>
          <w:sz w:val="23"/>
        </w:rPr>
        <w:t>disability</w:t>
      </w:r>
      <w:r>
        <w:rPr>
          <w:rFonts w:ascii="Times New Roman" w:hAnsi="Times New Roman"/>
          <w:spacing w:val="-2"/>
          <w:w w:val="105"/>
          <w:sz w:val="23"/>
        </w:rPr>
        <w:t> </w:t>
      </w:r>
      <w:r>
        <w:rPr>
          <w:rFonts w:ascii="Times New Roman" w:hAnsi="Times New Roman"/>
          <w:w w:val="105"/>
          <w:sz w:val="23"/>
        </w:rPr>
        <w:t>in</w:t>
      </w:r>
      <w:r>
        <w:rPr>
          <w:rFonts w:ascii="Times New Roman" w:hAnsi="Times New Roman"/>
          <w:spacing w:val="-16"/>
          <w:w w:val="105"/>
          <w:sz w:val="23"/>
        </w:rPr>
        <w:t> </w:t>
      </w:r>
      <w:r>
        <w:rPr>
          <w:rFonts w:ascii="Times New Roman" w:hAnsi="Times New Roman"/>
          <w:w w:val="105"/>
          <w:sz w:val="23"/>
        </w:rPr>
        <w:t>the</w:t>
      </w:r>
      <w:r>
        <w:rPr>
          <w:rFonts w:ascii="Times New Roman" w:hAnsi="Times New Roman"/>
          <w:spacing w:val="-14"/>
          <w:w w:val="105"/>
          <w:sz w:val="23"/>
        </w:rPr>
        <w:t> </w:t>
      </w:r>
      <w:r>
        <w:rPr>
          <w:rFonts w:ascii="Times New Roman" w:hAnsi="Times New Roman"/>
          <w:w w:val="105"/>
          <w:sz w:val="23"/>
        </w:rPr>
        <w:t>operation</w:t>
      </w:r>
      <w:r>
        <w:rPr>
          <w:rFonts w:ascii="Times New Roman" w:hAnsi="Times New Roman"/>
          <w:spacing w:val="-1"/>
          <w:w w:val="105"/>
          <w:sz w:val="23"/>
        </w:rPr>
        <w:t> </w:t>
      </w:r>
      <w:r>
        <w:rPr>
          <w:rFonts w:ascii="Times New Roman" w:hAnsi="Times New Roman"/>
          <w:w w:val="105"/>
          <w:sz w:val="23"/>
        </w:rPr>
        <w:t>of</w:t>
      </w:r>
      <w:r>
        <w:rPr>
          <w:rFonts w:ascii="Times New Roman" w:hAnsi="Times New Roman"/>
          <w:spacing w:val="-11"/>
          <w:w w:val="105"/>
          <w:sz w:val="23"/>
        </w:rPr>
        <w:t> </w:t>
      </w:r>
      <w:r>
        <w:rPr>
          <w:rFonts w:ascii="Times New Roman" w:hAnsi="Times New Roman"/>
          <w:w w:val="105"/>
          <w:sz w:val="23"/>
        </w:rPr>
        <w:t>public</w:t>
      </w:r>
      <w:r>
        <w:rPr>
          <w:rFonts w:ascii="Times New Roman" w:hAnsi="Times New Roman"/>
          <w:spacing w:val="-8"/>
          <w:w w:val="105"/>
          <w:sz w:val="23"/>
        </w:rPr>
        <w:t> </w:t>
      </w:r>
      <w:r>
        <w:rPr>
          <w:rFonts w:ascii="Times New Roman" w:hAnsi="Times New Roman"/>
          <w:w w:val="105"/>
          <w:sz w:val="23"/>
        </w:rPr>
        <w:t>entities, public</w:t>
      </w:r>
      <w:r>
        <w:rPr>
          <w:rFonts w:ascii="Times New Roman" w:hAnsi="Times New Roman"/>
          <w:spacing w:val="-8"/>
          <w:w w:val="105"/>
          <w:sz w:val="23"/>
        </w:rPr>
        <w:t> </w:t>
      </w:r>
      <w:r>
        <w:rPr>
          <w:rFonts w:ascii="Times New Roman" w:hAnsi="Times New Roman"/>
          <w:w w:val="105"/>
          <w:sz w:val="23"/>
        </w:rPr>
        <w:t>and</w:t>
      </w:r>
      <w:r>
        <w:rPr>
          <w:rFonts w:ascii="Times New Roman" w:hAnsi="Times New Roman"/>
          <w:spacing w:val="-4"/>
          <w:w w:val="105"/>
          <w:sz w:val="23"/>
        </w:rPr>
        <w:t> </w:t>
      </w:r>
      <w:r>
        <w:rPr>
          <w:rFonts w:ascii="Times New Roman" w:hAnsi="Times New Roman"/>
          <w:w w:val="105"/>
          <w:sz w:val="23"/>
        </w:rPr>
        <w:t>private</w:t>
      </w:r>
      <w:r>
        <w:rPr>
          <w:rFonts w:ascii="Times New Roman" w:hAnsi="Times New Roman"/>
          <w:spacing w:val="-9"/>
          <w:w w:val="105"/>
          <w:sz w:val="23"/>
        </w:rPr>
        <w:t> </w:t>
      </w:r>
      <w:r>
        <w:rPr>
          <w:rFonts w:ascii="Times New Roman" w:hAnsi="Times New Roman"/>
          <w:w w:val="105"/>
          <w:sz w:val="23"/>
        </w:rPr>
        <w:t>transportation</w:t>
      </w:r>
      <w:r>
        <w:rPr>
          <w:rFonts w:ascii="Times New Roman" w:hAnsi="Times New Roman"/>
          <w:spacing w:val="-15"/>
          <w:w w:val="105"/>
          <w:sz w:val="23"/>
        </w:rPr>
        <w:t> </w:t>
      </w:r>
      <w:r>
        <w:rPr>
          <w:rFonts w:ascii="Times New Roman" w:hAnsi="Times New Roman"/>
          <w:w w:val="105"/>
          <w:sz w:val="23"/>
        </w:rPr>
        <w:t>systems, places of</w:t>
      </w:r>
      <w:r>
        <w:rPr>
          <w:rFonts w:ascii="Times New Roman" w:hAnsi="Times New Roman"/>
          <w:spacing w:val="-3"/>
          <w:w w:val="105"/>
          <w:sz w:val="23"/>
        </w:rPr>
        <w:t> </w:t>
      </w:r>
      <w:r>
        <w:rPr>
          <w:rFonts w:ascii="Times New Roman" w:hAnsi="Times New Roman"/>
          <w:w w:val="105"/>
          <w:sz w:val="23"/>
        </w:rPr>
        <w:t>public accommodation,</w:t>
      </w:r>
      <w:r>
        <w:rPr>
          <w:rFonts w:ascii="Times New Roman" w:hAnsi="Times New Roman"/>
          <w:spacing w:val="-16"/>
          <w:w w:val="105"/>
          <w:sz w:val="23"/>
        </w:rPr>
        <w:t> </w:t>
      </w:r>
      <w:r>
        <w:rPr>
          <w:rFonts w:ascii="Times New Roman" w:hAnsi="Times New Roman"/>
          <w:w w:val="105"/>
          <w:sz w:val="23"/>
        </w:rPr>
        <w:t>and</w:t>
      </w:r>
      <w:r>
        <w:rPr>
          <w:rFonts w:ascii="Times New Roman" w:hAnsi="Times New Roman"/>
          <w:spacing w:val="-3"/>
          <w:w w:val="105"/>
          <w:sz w:val="23"/>
        </w:rPr>
        <w:t> </w:t>
      </w:r>
      <w:r>
        <w:rPr>
          <w:rFonts w:ascii="Times New Roman" w:hAnsi="Times New Roman"/>
          <w:w w:val="105"/>
          <w:sz w:val="23"/>
        </w:rPr>
        <w:t>ce1iain testing entities</w:t>
      </w:r>
      <w:r>
        <w:rPr>
          <w:rFonts w:ascii="Times New Roman" w:hAnsi="Times New Roman"/>
          <w:spacing w:val="-4"/>
          <w:w w:val="105"/>
          <w:sz w:val="23"/>
        </w:rPr>
        <w:t> </w:t>
      </w:r>
      <w:r>
        <w:rPr>
          <w:rFonts w:ascii="Times New Roman" w:hAnsi="Times New Roman"/>
          <w:w w:val="105"/>
          <w:sz w:val="23"/>
        </w:rPr>
        <w:t>(42</w:t>
      </w:r>
      <w:r>
        <w:rPr>
          <w:rFonts w:ascii="Times New Roman" w:hAnsi="Times New Roman"/>
          <w:spacing w:val="-4"/>
          <w:w w:val="105"/>
          <w:sz w:val="23"/>
        </w:rPr>
        <w:t> </w:t>
      </w:r>
      <w:r>
        <w:rPr>
          <w:rFonts w:ascii="Times New Roman" w:hAnsi="Times New Roman"/>
          <w:w w:val="105"/>
          <w:sz w:val="23"/>
        </w:rPr>
        <w:t>U.S.C. §§</w:t>
      </w:r>
      <w:r>
        <w:rPr>
          <w:rFonts w:ascii="Times New Roman" w:hAnsi="Times New Roman"/>
          <w:spacing w:val="-12"/>
          <w:w w:val="105"/>
          <w:sz w:val="23"/>
        </w:rPr>
        <w:t> </w:t>
      </w:r>
      <w:r>
        <w:rPr>
          <w:rFonts w:ascii="Times New Roman" w:hAnsi="Times New Roman"/>
          <w:w w:val="105"/>
          <w:sz w:val="23"/>
        </w:rPr>
        <w:t>12131 - 12189) as implemented</w:t>
      </w:r>
      <w:r>
        <w:rPr>
          <w:rFonts w:ascii="Times New Roman" w:hAnsi="Times New Roman"/>
          <w:spacing w:val="38"/>
          <w:w w:val="105"/>
          <w:sz w:val="23"/>
        </w:rPr>
        <w:t> </w:t>
      </w:r>
      <w:r>
        <w:rPr>
          <w:rFonts w:ascii="Times New Roman" w:hAnsi="Times New Roman"/>
          <w:w w:val="105"/>
          <w:sz w:val="23"/>
        </w:rPr>
        <w:t>by Depmiment ofTranspmiation regulations at 49 C.F.R. pmis 37 and 38;</w:t>
      </w:r>
    </w:p>
    <w:p>
      <w:pPr>
        <w:pStyle w:val="ListParagraph"/>
        <w:numPr>
          <w:ilvl w:val="1"/>
          <w:numId w:val="33"/>
        </w:numPr>
        <w:tabs>
          <w:tab w:pos="1302" w:val="left" w:leader="none"/>
        </w:tabs>
        <w:spacing w:line="254" w:lineRule="auto" w:before="4" w:after="0"/>
        <w:ind w:left="1302" w:right="1490" w:hanging="278"/>
        <w:jc w:val="left"/>
        <w:rPr>
          <w:rFonts w:ascii="Times New Roman" w:hAnsi="Times New Roman"/>
          <w:sz w:val="23"/>
        </w:rPr>
      </w:pPr>
      <w:r>
        <w:rPr>
          <w:rFonts w:ascii="Times New Roman" w:hAnsi="Times New Roman"/>
          <w:w w:val="105"/>
          <w:sz w:val="23"/>
        </w:rPr>
        <w:t>The</w:t>
      </w:r>
      <w:r>
        <w:rPr>
          <w:rFonts w:ascii="Times New Roman" w:hAnsi="Times New Roman"/>
          <w:spacing w:val="-16"/>
          <w:w w:val="105"/>
          <w:sz w:val="23"/>
        </w:rPr>
        <w:t> </w:t>
      </w:r>
      <w:r>
        <w:rPr>
          <w:rFonts w:ascii="Times New Roman" w:hAnsi="Times New Roman"/>
          <w:w w:val="105"/>
          <w:sz w:val="23"/>
        </w:rPr>
        <w:t>Federal</w:t>
      </w:r>
      <w:r>
        <w:rPr>
          <w:rFonts w:ascii="Times New Roman" w:hAnsi="Times New Roman"/>
          <w:spacing w:val="-9"/>
          <w:w w:val="105"/>
          <w:sz w:val="23"/>
        </w:rPr>
        <w:t> </w:t>
      </w:r>
      <w:r>
        <w:rPr>
          <w:rFonts w:ascii="Times New Roman" w:hAnsi="Times New Roman"/>
          <w:w w:val="105"/>
          <w:sz w:val="23"/>
        </w:rPr>
        <w:t>Aviation</w:t>
      </w:r>
      <w:r>
        <w:rPr>
          <w:rFonts w:ascii="Times New Roman" w:hAnsi="Times New Roman"/>
          <w:spacing w:val="-2"/>
          <w:w w:val="105"/>
          <w:sz w:val="23"/>
        </w:rPr>
        <w:t> </w:t>
      </w:r>
      <w:r>
        <w:rPr>
          <w:rFonts w:ascii="Times New Roman" w:hAnsi="Times New Roman"/>
          <w:w w:val="105"/>
          <w:sz w:val="23"/>
        </w:rPr>
        <w:t>Administration's</w:t>
      </w:r>
      <w:r>
        <w:rPr>
          <w:rFonts w:ascii="Times New Roman" w:hAnsi="Times New Roman"/>
          <w:spacing w:val="-16"/>
          <w:w w:val="105"/>
          <w:sz w:val="23"/>
        </w:rPr>
        <w:t> </w:t>
      </w:r>
      <w:r>
        <w:rPr>
          <w:rFonts w:ascii="Times New Roman" w:hAnsi="Times New Roman"/>
          <w:w w:val="105"/>
          <w:sz w:val="23"/>
        </w:rPr>
        <w:t>Non-discrimination</w:t>
      </w:r>
      <w:r>
        <w:rPr>
          <w:rFonts w:ascii="Times New Roman" w:hAnsi="Times New Roman"/>
          <w:spacing w:val="-15"/>
          <w:w w:val="105"/>
          <w:sz w:val="23"/>
        </w:rPr>
        <w:t> </w:t>
      </w:r>
      <w:r>
        <w:rPr>
          <w:rFonts w:ascii="Times New Roman" w:hAnsi="Times New Roman"/>
          <w:w w:val="105"/>
          <w:sz w:val="23"/>
        </w:rPr>
        <w:t>statute</w:t>
      </w:r>
      <w:r>
        <w:rPr>
          <w:rFonts w:ascii="Times New Roman" w:hAnsi="Times New Roman"/>
          <w:spacing w:val="-4"/>
          <w:w w:val="105"/>
          <w:sz w:val="23"/>
        </w:rPr>
        <w:t> </w:t>
      </w:r>
      <w:r>
        <w:rPr>
          <w:rFonts w:ascii="Times New Roman" w:hAnsi="Times New Roman"/>
          <w:w w:val="105"/>
          <w:sz w:val="23"/>
        </w:rPr>
        <w:t>(49</w:t>
      </w:r>
      <w:r>
        <w:rPr>
          <w:rFonts w:ascii="Times New Roman" w:hAnsi="Times New Roman"/>
          <w:spacing w:val="-7"/>
          <w:w w:val="105"/>
          <w:sz w:val="23"/>
        </w:rPr>
        <w:t> </w:t>
      </w:r>
      <w:r>
        <w:rPr>
          <w:rFonts w:ascii="Times New Roman" w:hAnsi="Times New Roman"/>
          <w:w w:val="105"/>
          <w:sz w:val="23"/>
        </w:rPr>
        <w:t>U.S.C.</w:t>
      </w:r>
      <w:r>
        <w:rPr>
          <w:rFonts w:ascii="Times New Roman" w:hAnsi="Times New Roman"/>
          <w:spacing w:val="-3"/>
          <w:w w:val="105"/>
          <w:sz w:val="23"/>
        </w:rPr>
        <w:t> </w:t>
      </w:r>
      <w:r>
        <w:rPr>
          <w:rFonts w:ascii="Times New Roman" w:hAnsi="Times New Roman"/>
          <w:w w:val="105"/>
          <w:sz w:val="23"/>
        </w:rPr>
        <w:t>§</w:t>
      </w:r>
      <w:r>
        <w:rPr>
          <w:rFonts w:ascii="Times New Roman" w:hAnsi="Times New Roman"/>
          <w:spacing w:val="-11"/>
          <w:w w:val="105"/>
          <w:sz w:val="23"/>
        </w:rPr>
        <w:t> </w:t>
      </w:r>
      <w:r>
        <w:rPr>
          <w:rFonts w:ascii="Times New Roman" w:hAnsi="Times New Roman"/>
          <w:w w:val="105"/>
          <w:sz w:val="23"/>
        </w:rPr>
        <w:t>47123) (prohibits discrimination</w:t>
      </w:r>
      <w:r>
        <w:rPr>
          <w:rFonts w:ascii="Times New Roman" w:hAnsi="Times New Roman"/>
          <w:spacing w:val="-1"/>
          <w:w w:val="105"/>
          <w:sz w:val="23"/>
        </w:rPr>
        <w:t> </w:t>
      </w:r>
      <w:r>
        <w:rPr>
          <w:rFonts w:ascii="Times New Roman" w:hAnsi="Times New Roman"/>
          <w:w w:val="105"/>
          <w:sz w:val="23"/>
        </w:rPr>
        <w:t>on the basis of race, color, national origin, and sex);</w:t>
      </w:r>
    </w:p>
    <w:p>
      <w:pPr>
        <w:pStyle w:val="ListParagraph"/>
        <w:numPr>
          <w:ilvl w:val="1"/>
          <w:numId w:val="33"/>
        </w:numPr>
        <w:tabs>
          <w:tab w:pos="1298" w:val="left" w:leader="none"/>
          <w:tab w:pos="1303" w:val="left" w:leader="none"/>
        </w:tabs>
        <w:spacing w:line="252" w:lineRule="auto" w:before="0" w:after="0"/>
        <w:ind w:left="1303" w:right="709" w:hanging="272"/>
        <w:jc w:val="left"/>
        <w:rPr>
          <w:rFonts w:ascii="Times New Roman" w:hAnsi="Times New Roman"/>
          <w:sz w:val="23"/>
        </w:rPr>
      </w:pPr>
      <w:r>
        <w:rPr>
          <w:rFonts w:ascii="Times New Roman" w:hAnsi="Times New Roman"/>
          <w:w w:val="105"/>
          <w:sz w:val="23"/>
        </w:rPr>
        <w:t>Executive Order 12898, Federal Actions to</w:t>
      </w:r>
      <w:r>
        <w:rPr>
          <w:rFonts w:ascii="Times New Roman" w:hAnsi="Times New Roman"/>
          <w:spacing w:val="-3"/>
          <w:w w:val="105"/>
          <w:sz w:val="23"/>
        </w:rPr>
        <w:t> </w:t>
      </w:r>
      <w:r>
        <w:rPr>
          <w:rFonts w:ascii="Times New Roman" w:hAnsi="Times New Roman"/>
          <w:w w:val="105"/>
          <w:sz w:val="23"/>
        </w:rPr>
        <w:t>Address Environmental</w:t>
      </w:r>
      <w:r>
        <w:rPr>
          <w:rFonts w:ascii="Times New Roman" w:hAnsi="Times New Roman"/>
          <w:spacing w:val="30"/>
          <w:w w:val="105"/>
          <w:sz w:val="23"/>
        </w:rPr>
        <w:t> </w:t>
      </w:r>
      <w:r>
        <w:rPr>
          <w:rFonts w:ascii="Times New Roman" w:hAnsi="Times New Roman"/>
          <w:w w:val="105"/>
          <w:sz w:val="23"/>
        </w:rPr>
        <w:t>Justice in Minority Populations</w:t>
      </w:r>
      <w:r>
        <w:rPr>
          <w:rFonts w:ascii="Times New Roman" w:hAnsi="Times New Roman"/>
          <w:spacing w:val="-12"/>
          <w:w w:val="105"/>
          <w:sz w:val="23"/>
        </w:rPr>
        <w:t> </w:t>
      </w:r>
      <w:r>
        <w:rPr>
          <w:rFonts w:ascii="Times New Roman" w:hAnsi="Times New Roman"/>
          <w:w w:val="105"/>
          <w:sz w:val="23"/>
        </w:rPr>
        <w:t>and</w:t>
      </w:r>
      <w:r>
        <w:rPr>
          <w:rFonts w:ascii="Times New Roman" w:hAnsi="Times New Roman"/>
          <w:spacing w:val="-5"/>
          <w:w w:val="105"/>
          <w:sz w:val="23"/>
        </w:rPr>
        <w:t> </w:t>
      </w:r>
      <w:r>
        <w:rPr>
          <w:rFonts w:ascii="Times New Roman" w:hAnsi="Times New Roman"/>
          <w:w w:val="105"/>
          <w:sz w:val="23"/>
        </w:rPr>
        <w:t>Low-Income Populations,</w:t>
      </w:r>
      <w:r>
        <w:rPr>
          <w:rFonts w:ascii="Times New Roman" w:hAnsi="Times New Roman"/>
          <w:spacing w:val="-3"/>
          <w:w w:val="105"/>
          <w:sz w:val="23"/>
        </w:rPr>
        <w:t> </w:t>
      </w:r>
      <w:r>
        <w:rPr>
          <w:rFonts w:ascii="Times New Roman" w:hAnsi="Times New Roman"/>
          <w:w w:val="105"/>
          <w:sz w:val="23"/>
        </w:rPr>
        <w:t>which</w:t>
      </w:r>
      <w:r>
        <w:rPr>
          <w:rFonts w:ascii="Times New Roman" w:hAnsi="Times New Roman"/>
          <w:spacing w:val="-15"/>
          <w:w w:val="105"/>
          <w:sz w:val="23"/>
        </w:rPr>
        <w:t> </w:t>
      </w:r>
      <w:r>
        <w:rPr>
          <w:rFonts w:ascii="Times New Roman" w:hAnsi="Times New Roman"/>
          <w:w w:val="105"/>
          <w:sz w:val="23"/>
        </w:rPr>
        <w:t>ensures</w:t>
      </w:r>
      <w:r>
        <w:rPr>
          <w:rFonts w:ascii="Times New Roman" w:hAnsi="Times New Roman"/>
          <w:spacing w:val="-2"/>
          <w:w w:val="105"/>
          <w:sz w:val="23"/>
        </w:rPr>
        <w:t> </w:t>
      </w:r>
      <w:r>
        <w:rPr>
          <w:rFonts w:ascii="Times New Roman" w:hAnsi="Times New Roman"/>
          <w:w w:val="105"/>
          <w:sz w:val="23"/>
        </w:rPr>
        <w:t>Non-discrimination</w:t>
      </w:r>
      <w:r>
        <w:rPr>
          <w:rFonts w:ascii="Times New Roman" w:hAnsi="Times New Roman"/>
          <w:spacing w:val="-19"/>
          <w:w w:val="105"/>
          <w:sz w:val="23"/>
        </w:rPr>
        <w:t> </w:t>
      </w:r>
      <w:r>
        <w:rPr>
          <w:rFonts w:ascii="Times New Roman" w:hAnsi="Times New Roman"/>
          <w:w w:val="105"/>
          <w:sz w:val="23"/>
        </w:rPr>
        <w:t>against</w:t>
      </w:r>
      <w:r>
        <w:rPr>
          <w:rFonts w:ascii="Times New Roman" w:hAnsi="Times New Roman"/>
          <w:spacing w:val="-3"/>
          <w:w w:val="105"/>
          <w:sz w:val="23"/>
        </w:rPr>
        <w:t> </w:t>
      </w:r>
      <w:r>
        <w:rPr>
          <w:rFonts w:ascii="Times New Roman" w:hAnsi="Times New Roman"/>
          <w:w w:val="105"/>
          <w:sz w:val="23"/>
        </w:rPr>
        <w:t>minority populations</w:t>
      </w:r>
      <w:r>
        <w:rPr>
          <w:rFonts w:ascii="Times New Roman" w:hAnsi="Times New Roman"/>
          <w:spacing w:val="-14"/>
          <w:w w:val="105"/>
          <w:sz w:val="23"/>
        </w:rPr>
        <w:t> </w:t>
      </w:r>
      <w:r>
        <w:rPr>
          <w:rFonts w:ascii="Times New Roman" w:hAnsi="Times New Roman"/>
          <w:w w:val="105"/>
          <w:sz w:val="23"/>
        </w:rPr>
        <w:t>by</w:t>
      </w:r>
      <w:r>
        <w:rPr>
          <w:rFonts w:ascii="Times New Roman" w:hAnsi="Times New Roman"/>
          <w:spacing w:val="-15"/>
          <w:w w:val="105"/>
          <w:sz w:val="23"/>
        </w:rPr>
        <w:t> </w:t>
      </w:r>
      <w:r>
        <w:rPr>
          <w:rFonts w:ascii="Times New Roman" w:hAnsi="Times New Roman"/>
          <w:w w:val="105"/>
          <w:sz w:val="23"/>
        </w:rPr>
        <w:t>discouraging</w:t>
      </w:r>
      <w:r>
        <w:rPr>
          <w:rFonts w:ascii="Times New Roman" w:hAnsi="Times New Roman"/>
          <w:spacing w:val="-6"/>
          <w:w w:val="105"/>
          <w:sz w:val="23"/>
        </w:rPr>
        <w:t> </w:t>
      </w:r>
      <w:r>
        <w:rPr>
          <w:rFonts w:ascii="Times New Roman" w:hAnsi="Times New Roman"/>
          <w:w w:val="105"/>
          <w:sz w:val="23"/>
        </w:rPr>
        <w:t>programs,</w:t>
      </w:r>
      <w:r>
        <w:rPr>
          <w:rFonts w:ascii="Times New Roman" w:hAnsi="Times New Roman"/>
          <w:spacing w:val="-3"/>
          <w:w w:val="105"/>
          <w:sz w:val="23"/>
        </w:rPr>
        <w:t> </w:t>
      </w:r>
      <w:r>
        <w:rPr>
          <w:rFonts w:ascii="Times New Roman" w:hAnsi="Times New Roman"/>
          <w:w w:val="105"/>
          <w:sz w:val="23"/>
        </w:rPr>
        <w:t>policies,</w:t>
      </w:r>
      <w:r>
        <w:rPr>
          <w:rFonts w:ascii="Times New Roman" w:hAnsi="Times New Roman"/>
          <w:spacing w:val="-16"/>
          <w:w w:val="105"/>
          <w:sz w:val="23"/>
        </w:rPr>
        <w:t> </w:t>
      </w:r>
      <w:r>
        <w:rPr>
          <w:rFonts w:ascii="Times New Roman" w:hAnsi="Times New Roman"/>
          <w:w w:val="105"/>
          <w:sz w:val="23"/>
        </w:rPr>
        <w:t>and</w:t>
      </w:r>
      <w:r>
        <w:rPr>
          <w:rFonts w:ascii="Times New Roman" w:hAnsi="Times New Roman"/>
          <w:spacing w:val="-15"/>
          <w:w w:val="105"/>
          <w:sz w:val="23"/>
        </w:rPr>
        <w:t> </w:t>
      </w:r>
      <w:r>
        <w:rPr>
          <w:rFonts w:ascii="Times New Roman" w:hAnsi="Times New Roman"/>
          <w:w w:val="105"/>
          <w:sz w:val="23"/>
        </w:rPr>
        <w:t>activities</w:t>
      </w:r>
      <w:r>
        <w:rPr>
          <w:rFonts w:ascii="Times New Roman" w:hAnsi="Times New Roman"/>
          <w:spacing w:val="-10"/>
          <w:w w:val="105"/>
          <w:sz w:val="23"/>
        </w:rPr>
        <w:t> </w:t>
      </w:r>
      <w:r>
        <w:rPr>
          <w:rFonts w:ascii="Times New Roman" w:hAnsi="Times New Roman"/>
          <w:w w:val="105"/>
          <w:sz w:val="23"/>
        </w:rPr>
        <w:t>with</w:t>
      </w:r>
      <w:r>
        <w:rPr>
          <w:rFonts w:ascii="Times New Roman" w:hAnsi="Times New Roman"/>
          <w:spacing w:val="-16"/>
          <w:w w:val="105"/>
          <w:sz w:val="23"/>
        </w:rPr>
        <w:t> </w:t>
      </w:r>
      <w:r>
        <w:rPr>
          <w:rFonts w:ascii="Times New Roman" w:hAnsi="Times New Roman"/>
          <w:w w:val="105"/>
          <w:sz w:val="23"/>
        </w:rPr>
        <w:t>disproportionately</w:t>
      </w:r>
      <w:r>
        <w:rPr>
          <w:rFonts w:ascii="Times New Roman" w:hAnsi="Times New Roman"/>
          <w:spacing w:val="-9"/>
          <w:w w:val="105"/>
          <w:sz w:val="23"/>
        </w:rPr>
        <w:t> </w:t>
      </w:r>
      <w:r>
        <w:rPr>
          <w:rFonts w:ascii="Times New Roman" w:hAnsi="Times New Roman"/>
          <w:w w:val="105"/>
          <w:sz w:val="23"/>
        </w:rPr>
        <w:t>high</w:t>
      </w:r>
      <w:r>
        <w:rPr>
          <w:rFonts w:ascii="Times New Roman" w:hAnsi="Times New Roman"/>
          <w:spacing w:val="-13"/>
          <w:w w:val="105"/>
          <w:sz w:val="23"/>
        </w:rPr>
        <w:t> </w:t>
      </w:r>
      <w:r>
        <w:rPr>
          <w:rFonts w:ascii="Times New Roman" w:hAnsi="Times New Roman"/>
          <w:w w:val="105"/>
          <w:sz w:val="23"/>
        </w:rPr>
        <w:t>and adverse human health</w:t>
      </w:r>
      <w:r>
        <w:rPr>
          <w:rFonts w:ascii="Times New Roman" w:hAnsi="Times New Roman"/>
          <w:spacing w:val="-6"/>
          <w:w w:val="105"/>
          <w:sz w:val="23"/>
        </w:rPr>
        <w:t> </w:t>
      </w:r>
      <w:r>
        <w:rPr>
          <w:rFonts w:ascii="Times New Roman" w:hAnsi="Times New Roman"/>
          <w:w w:val="105"/>
          <w:sz w:val="23"/>
        </w:rPr>
        <w:t>or</w:t>
      </w:r>
      <w:r>
        <w:rPr>
          <w:rFonts w:ascii="Times New Roman" w:hAnsi="Times New Roman"/>
          <w:spacing w:val="-1"/>
          <w:w w:val="105"/>
          <w:sz w:val="23"/>
        </w:rPr>
        <w:t> </w:t>
      </w:r>
      <w:r>
        <w:rPr>
          <w:rFonts w:ascii="Times New Roman" w:hAnsi="Times New Roman"/>
          <w:w w:val="105"/>
          <w:sz w:val="23"/>
        </w:rPr>
        <w:t>environmental effects</w:t>
      </w:r>
      <w:r>
        <w:rPr>
          <w:rFonts w:ascii="Times New Roman" w:hAnsi="Times New Roman"/>
          <w:spacing w:val="-2"/>
          <w:w w:val="105"/>
          <w:sz w:val="23"/>
        </w:rPr>
        <w:t> </w:t>
      </w:r>
      <w:r>
        <w:rPr>
          <w:rFonts w:ascii="Times New Roman" w:hAnsi="Times New Roman"/>
          <w:w w:val="105"/>
          <w:sz w:val="23"/>
        </w:rPr>
        <w:t>on minority and low-income populations;</w:t>
      </w:r>
    </w:p>
    <w:p>
      <w:pPr>
        <w:pStyle w:val="ListParagraph"/>
        <w:numPr>
          <w:ilvl w:val="1"/>
          <w:numId w:val="33"/>
        </w:numPr>
        <w:tabs>
          <w:tab w:pos="1300" w:val="left" w:leader="none"/>
          <w:tab w:pos="1305" w:val="left" w:leader="none"/>
        </w:tabs>
        <w:spacing w:line="252" w:lineRule="auto" w:before="0" w:after="0"/>
        <w:ind w:left="1300" w:right="695" w:hanging="269"/>
        <w:jc w:val="left"/>
        <w:rPr>
          <w:rFonts w:ascii="Times New Roman" w:hAnsi="Times New Roman"/>
          <w:sz w:val="23"/>
        </w:rPr>
      </w:pPr>
      <w:r>
        <w:rPr>
          <w:rFonts w:ascii="Times New Roman" w:hAnsi="Times New Roman"/>
          <w:sz w:val="23"/>
        </w:rPr>
        <w:tab/>
      </w:r>
      <w:r>
        <w:rPr>
          <w:rFonts w:ascii="Times New Roman" w:hAnsi="Times New Roman"/>
          <w:w w:val="105"/>
          <w:sz w:val="23"/>
        </w:rPr>
        <w:t>Executive Order 13166, Improving Access to Services for Persons with Limited English Proficiency, and resulting agency guidance, national origin discrimination</w:t>
      </w:r>
      <w:r>
        <w:rPr>
          <w:rFonts w:ascii="Times New Roman" w:hAnsi="Times New Roman"/>
          <w:spacing w:val="-2"/>
          <w:w w:val="105"/>
          <w:sz w:val="23"/>
        </w:rPr>
        <w:t> </w:t>
      </w:r>
      <w:r>
        <w:rPr>
          <w:rFonts w:ascii="Times New Roman" w:hAnsi="Times New Roman"/>
          <w:w w:val="105"/>
          <w:sz w:val="23"/>
        </w:rPr>
        <w:t>includes discrimination</w:t>
      </w:r>
      <w:r>
        <w:rPr>
          <w:rFonts w:ascii="Times New Roman" w:hAnsi="Times New Roman"/>
          <w:spacing w:val="-6"/>
          <w:w w:val="105"/>
          <w:sz w:val="23"/>
        </w:rPr>
        <w:t> </w:t>
      </w:r>
      <w:r>
        <w:rPr>
          <w:rFonts w:ascii="Times New Roman" w:hAnsi="Times New Roman"/>
          <w:w w:val="105"/>
          <w:sz w:val="23"/>
        </w:rPr>
        <w:t>because</w:t>
      </w:r>
      <w:r>
        <w:rPr>
          <w:rFonts w:ascii="Times New Roman" w:hAnsi="Times New Roman"/>
          <w:spacing w:val="-7"/>
          <w:w w:val="105"/>
          <w:sz w:val="23"/>
        </w:rPr>
        <w:t> </w:t>
      </w:r>
      <w:r>
        <w:rPr>
          <w:rFonts w:ascii="Times New Roman" w:hAnsi="Times New Roman"/>
          <w:w w:val="105"/>
          <w:sz w:val="23"/>
        </w:rPr>
        <w:t>of</w:t>
      </w:r>
      <w:r>
        <w:rPr>
          <w:rFonts w:ascii="Times New Roman" w:hAnsi="Times New Roman"/>
          <w:spacing w:val="-11"/>
          <w:w w:val="105"/>
          <w:sz w:val="23"/>
        </w:rPr>
        <w:t> </w:t>
      </w:r>
      <w:r>
        <w:rPr>
          <w:rFonts w:ascii="Times New Roman" w:hAnsi="Times New Roman"/>
          <w:w w:val="105"/>
          <w:sz w:val="23"/>
        </w:rPr>
        <w:t>Limited</w:t>
      </w:r>
      <w:r>
        <w:rPr>
          <w:rFonts w:ascii="Times New Roman" w:hAnsi="Times New Roman"/>
          <w:spacing w:val="-2"/>
          <w:w w:val="105"/>
          <w:sz w:val="23"/>
        </w:rPr>
        <w:t> </w:t>
      </w:r>
      <w:r>
        <w:rPr>
          <w:rFonts w:ascii="Times New Roman" w:hAnsi="Times New Roman"/>
          <w:w w:val="105"/>
          <w:sz w:val="23"/>
        </w:rPr>
        <w:t>English</w:t>
      </w:r>
      <w:r>
        <w:rPr>
          <w:rFonts w:ascii="Times New Roman" w:hAnsi="Times New Roman"/>
          <w:spacing w:val="-5"/>
          <w:w w:val="105"/>
          <w:sz w:val="23"/>
        </w:rPr>
        <w:t> </w:t>
      </w:r>
      <w:r>
        <w:rPr>
          <w:rFonts w:ascii="Times New Roman" w:hAnsi="Times New Roman"/>
          <w:w w:val="105"/>
          <w:sz w:val="23"/>
        </w:rPr>
        <w:t>proficiency</w:t>
      </w:r>
      <w:r>
        <w:rPr>
          <w:rFonts w:ascii="Times New Roman" w:hAnsi="Times New Roman"/>
          <w:spacing w:val="-2"/>
          <w:w w:val="105"/>
          <w:sz w:val="23"/>
        </w:rPr>
        <w:t> </w:t>
      </w:r>
      <w:r>
        <w:rPr>
          <w:rFonts w:ascii="Times New Roman" w:hAnsi="Times New Roman"/>
          <w:w w:val="105"/>
          <w:sz w:val="23"/>
        </w:rPr>
        <w:t>(LEP).</w:t>
      </w:r>
      <w:r>
        <w:rPr>
          <w:rFonts w:ascii="Times New Roman" w:hAnsi="Times New Roman"/>
          <w:spacing w:val="-7"/>
          <w:w w:val="105"/>
          <w:sz w:val="23"/>
        </w:rPr>
        <w:t> </w:t>
      </w:r>
      <w:r>
        <w:rPr>
          <w:rFonts w:ascii="Times New Roman" w:hAnsi="Times New Roman"/>
          <w:w w:val="105"/>
          <w:sz w:val="23"/>
        </w:rPr>
        <w:t>To</w:t>
      </w:r>
      <w:r>
        <w:rPr>
          <w:rFonts w:ascii="Times New Roman" w:hAnsi="Times New Roman"/>
          <w:spacing w:val="-16"/>
          <w:w w:val="105"/>
          <w:sz w:val="23"/>
        </w:rPr>
        <w:t> </w:t>
      </w:r>
      <w:r>
        <w:rPr>
          <w:rFonts w:ascii="Times New Roman" w:hAnsi="Times New Roman"/>
          <w:w w:val="105"/>
          <w:sz w:val="23"/>
        </w:rPr>
        <w:t>ensure</w:t>
      </w:r>
      <w:r>
        <w:rPr>
          <w:rFonts w:ascii="Times New Roman" w:hAnsi="Times New Roman"/>
          <w:spacing w:val="-2"/>
          <w:w w:val="105"/>
          <w:sz w:val="23"/>
        </w:rPr>
        <w:t> </w:t>
      </w:r>
      <w:r>
        <w:rPr>
          <w:rFonts w:ascii="Times New Roman" w:hAnsi="Times New Roman"/>
          <w:w w:val="105"/>
          <w:sz w:val="23"/>
        </w:rPr>
        <w:t>compliance</w:t>
      </w:r>
      <w:r>
        <w:rPr>
          <w:rFonts w:ascii="Times New Roman" w:hAnsi="Times New Roman"/>
          <w:spacing w:val="-3"/>
          <w:w w:val="105"/>
          <w:sz w:val="23"/>
        </w:rPr>
        <w:t> </w:t>
      </w:r>
      <w:r>
        <w:rPr>
          <w:rFonts w:ascii="Times New Roman" w:hAnsi="Times New Roman"/>
          <w:w w:val="105"/>
          <w:sz w:val="23"/>
        </w:rPr>
        <w:t>with</w:t>
      </w:r>
      <w:r>
        <w:rPr>
          <w:rFonts w:ascii="Times New Roman" w:hAnsi="Times New Roman"/>
          <w:spacing w:val="-12"/>
          <w:w w:val="105"/>
          <w:sz w:val="23"/>
        </w:rPr>
        <w:t> </w:t>
      </w:r>
      <w:r>
        <w:rPr>
          <w:rFonts w:ascii="Times New Roman" w:hAnsi="Times New Roman"/>
          <w:w w:val="105"/>
          <w:sz w:val="23"/>
        </w:rPr>
        <w:t>Title VI,</w:t>
      </w:r>
      <w:r>
        <w:rPr>
          <w:rFonts w:ascii="Times New Roman" w:hAnsi="Times New Roman"/>
          <w:spacing w:val="-6"/>
          <w:w w:val="105"/>
          <w:sz w:val="23"/>
        </w:rPr>
        <w:t> </w:t>
      </w:r>
      <w:r>
        <w:rPr>
          <w:rFonts w:ascii="Times New Roman" w:hAnsi="Times New Roman"/>
          <w:w w:val="105"/>
          <w:sz w:val="23"/>
        </w:rPr>
        <w:t>you must</w:t>
      </w:r>
      <w:r>
        <w:rPr>
          <w:rFonts w:ascii="Times New Roman" w:hAnsi="Times New Roman"/>
          <w:spacing w:val="-7"/>
          <w:w w:val="105"/>
          <w:sz w:val="23"/>
        </w:rPr>
        <w:t> </w:t>
      </w:r>
      <w:r>
        <w:rPr>
          <w:rFonts w:ascii="Times New Roman" w:hAnsi="Times New Roman"/>
          <w:w w:val="105"/>
          <w:sz w:val="23"/>
        </w:rPr>
        <w:t>take reasonable steps</w:t>
      </w:r>
      <w:r>
        <w:rPr>
          <w:rFonts w:ascii="Times New Roman" w:hAnsi="Times New Roman"/>
          <w:spacing w:val="-7"/>
          <w:w w:val="105"/>
          <w:sz w:val="23"/>
        </w:rPr>
        <w:t> </w:t>
      </w:r>
      <w:r>
        <w:rPr>
          <w:rFonts w:ascii="Times New Roman" w:hAnsi="Times New Roman"/>
          <w:w w:val="105"/>
          <w:sz w:val="23"/>
        </w:rPr>
        <w:t>to</w:t>
      </w:r>
      <w:r>
        <w:rPr>
          <w:rFonts w:ascii="Times New Roman" w:hAnsi="Times New Roman"/>
          <w:spacing w:val="-12"/>
          <w:w w:val="105"/>
          <w:sz w:val="23"/>
        </w:rPr>
        <w:t> </w:t>
      </w:r>
      <w:r>
        <w:rPr>
          <w:rFonts w:ascii="Times New Roman" w:hAnsi="Times New Roman"/>
          <w:w w:val="105"/>
          <w:sz w:val="23"/>
        </w:rPr>
        <w:t>ensure</w:t>
      </w:r>
      <w:r>
        <w:rPr>
          <w:rFonts w:ascii="Times New Roman" w:hAnsi="Times New Roman"/>
          <w:spacing w:val="-3"/>
          <w:w w:val="105"/>
          <w:sz w:val="23"/>
        </w:rPr>
        <w:t> </w:t>
      </w:r>
      <w:r>
        <w:rPr>
          <w:rFonts w:ascii="Times New Roman" w:hAnsi="Times New Roman"/>
          <w:w w:val="105"/>
          <w:sz w:val="23"/>
        </w:rPr>
        <w:t>that LEP persons</w:t>
      </w:r>
      <w:r>
        <w:rPr>
          <w:rFonts w:ascii="Times New Roman" w:hAnsi="Times New Roman"/>
          <w:spacing w:val="-4"/>
          <w:w w:val="105"/>
          <w:sz w:val="23"/>
        </w:rPr>
        <w:t> </w:t>
      </w:r>
      <w:r>
        <w:rPr>
          <w:rFonts w:ascii="Times New Roman" w:hAnsi="Times New Roman"/>
          <w:w w:val="105"/>
          <w:sz w:val="23"/>
        </w:rPr>
        <w:t>have</w:t>
      </w:r>
      <w:r>
        <w:rPr>
          <w:rFonts w:ascii="Times New Roman" w:hAnsi="Times New Roman"/>
          <w:spacing w:val="-7"/>
          <w:w w:val="105"/>
          <w:sz w:val="23"/>
        </w:rPr>
        <w:t> </w:t>
      </w:r>
      <w:r>
        <w:rPr>
          <w:rFonts w:ascii="Times New Roman" w:hAnsi="Times New Roman"/>
          <w:w w:val="105"/>
          <w:sz w:val="23"/>
        </w:rPr>
        <w:t>meaningful access</w:t>
      </w:r>
      <w:r>
        <w:rPr>
          <w:rFonts w:ascii="Times New Roman" w:hAnsi="Times New Roman"/>
          <w:spacing w:val="-5"/>
          <w:w w:val="105"/>
          <w:sz w:val="23"/>
        </w:rPr>
        <w:t> </w:t>
      </w:r>
      <w:r>
        <w:rPr>
          <w:rFonts w:ascii="Times New Roman" w:hAnsi="Times New Roman"/>
          <w:w w:val="105"/>
          <w:sz w:val="23"/>
        </w:rPr>
        <w:t>to</w:t>
      </w:r>
      <w:r>
        <w:rPr>
          <w:rFonts w:ascii="Times New Roman" w:hAnsi="Times New Roman"/>
          <w:spacing w:val="-5"/>
          <w:w w:val="105"/>
          <w:sz w:val="23"/>
        </w:rPr>
        <w:t> </w:t>
      </w:r>
      <w:r>
        <w:rPr>
          <w:rFonts w:ascii="Times New Roman" w:hAnsi="Times New Roman"/>
          <w:w w:val="105"/>
          <w:sz w:val="23"/>
        </w:rPr>
        <w:t>your programs (70 Fed. Reg. at 74087 to 74100);</w:t>
      </w:r>
    </w:p>
    <w:p>
      <w:pPr>
        <w:pStyle w:val="ListParagraph"/>
        <w:numPr>
          <w:ilvl w:val="1"/>
          <w:numId w:val="33"/>
        </w:numPr>
        <w:tabs>
          <w:tab w:pos="1303" w:val="left" w:leader="none"/>
        </w:tabs>
        <w:spacing w:line="240" w:lineRule="auto" w:before="0" w:after="0"/>
        <w:ind w:left="1303" w:right="1059" w:hanging="272"/>
        <w:jc w:val="left"/>
        <w:rPr>
          <w:rFonts w:ascii="Times New Roman" w:hAnsi="Times New Roman"/>
          <w:i/>
          <w:sz w:val="24"/>
        </w:rPr>
      </w:pPr>
      <w:r>
        <w:rPr>
          <w:rFonts w:ascii="Times New Roman" w:hAnsi="Times New Roman"/>
          <w:w w:val="105"/>
          <w:sz w:val="23"/>
        </w:rPr>
        <w:t>Title IX</w:t>
      </w:r>
      <w:r>
        <w:rPr>
          <w:rFonts w:ascii="Times New Roman" w:hAnsi="Times New Roman"/>
          <w:spacing w:val="-1"/>
          <w:w w:val="105"/>
          <w:sz w:val="23"/>
        </w:rPr>
        <w:t> </w:t>
      </w:r>
      <w:r>
        <w:rPr>
          <w:rFonts w:ascii="Times New Roman" w:hAnsi="Times New Roman"/>
          <w:w w:val="105"/>
          <w:sz w:val="23"/>
        </w:rPr>
        <w:t>of the Education Amendments of 1972, as</w:t>
      </w:r>
      <w:r>
        <w:rPr>
          <w:rFonts w:ascii="Times New Roman" w:hAnsi="Times New Roman"/>
          <w:spacing w:val="-7"/>
          <w:w w:val="105"/>
          <w:sz w:val="23"/>
        </w:rPr>
        <w:t> </w:t>
      </w:r>
      <w:r>
        <w:rPr>
          <w:rFonts w:ascii="Times New Roman" w:hAnsi="Times New Roman"/>
          <w:w w:val="105"/>
          <w:sz w:val="23"/>
        </w:rPr>
        <w:t>amended, which prohibits you</w:t>
      </w:r>
      <w:r>
        <w:rPr>
          <w:rFonts w:ascii="Times New Roman" w:hAnsi="Times New Roman"/>
          <w:spacing w:val="-3"/>
          <w:w w:val="105"/>
          <w:sz w:val="23"/>
        </w:rPr>
        <w:t> </w:t>
      </w:r>
      <w:r>
        <w:rPr>
          <w:rFonts w:ascii="Times New Roman" w:hAnsi="Times New Roman"/>
          <w:w w:val="105"/>
          <w:sz w:val="23"/>
        </w:rPr>
        <w:t>from discriminating</w:t>
      </w:r>
      <w:r>
        <w:rPr>
          <w:rFonts w:ascii="Times New Roman" w:hAnsi="Times New Roman"/>
          <w:spacing w:val="-16"/>
          <w:w w:val="105"/>
          <w:sz w:val="23"/>
        </w:rPr>
        <w:t> </w:t>
      </w:r>
      <w:r>
        <w:rPr>
          <w:rFonts w:ascii="Times New Roman" w:hAnsi="Times New Roman"/>
          <w:w w:val="105"/>
          <w:sz w:val="23"/>
        </w:rPr>
        <w:t>because</w:t>
      </w:r>
      <w:r>
        <w:rPr>
          <w:rFonts w:ascii="Times New Roman" w:hAnsi="Times New Roman"/>
          <w:spacing w:val="-1"/>
          <w:w w:val="105"/>
          <w:sz w:val="23"/>
        </w:rPr>
        <w:t> </w:t>
      </w:r>
      <w:r>
        <w:rPr>
          <w:rFonts w:ascii="Times New Roman" w:hAnsi="Times New Roman"/>
          <w:w w:val="105"/>
          <w:sz w:val="23"/>
        </w:rPr>
        <w:t>of</w:t>
      </w:r>
      <w:r>
        <w:rPr>
          <w:rFonts w:ascii="Times New Roman" w:hAnsi="Times New Roman"/>
          <w:spacing w:val="-9"/>
          <w:w w:val="105"/>
          <w:sz w:val="23"/>
        </w:rPr>
        <w:t> </w:t>
      </w:r>
      <w:r>
        <w:rPr>
          <w:rFonts w:ascii="Times New Roman" w:hAnsi="Times New Roman"/>
          <w:w w:val="105"/>
          <w:sz w:val="23"/>
        </w:rPr>
        <w:t>sex</w:t>
      </w:r>
      <w:r>
        <w:rPr>
          <w:rFonts w:ascii="Times New Roman" w:hAnsi="Times New Roman"/>
          <w:spacing w:val="-4"/>
          <w:w w:val="105"/>
          <w:sz w:val="23"/>
        </w:rPr>
        <w:t> </w:t>
      </w:r>
      <w:r>
        <w:rPr>
          <w:rFonts w:ascii="Times New Roman" w:hAnsi="Times New Roman"/>
          <w:w w:val="105"/>
          <w:sz w:val="23"/>
        </w:rPr>
        <w:t>in</w:t>
      </w:r>
      <w:r>
        <w:rPr>
          <w:rFonts w:ascii="Times New Roman" w:hAnsi="Times New Roman"/>
          <w:spacing w:val="-12"/>
          <w:w w:val="105"/>
          <w:sz w:val="23"/>
        </w:rPr>
        <w:t> </w:t>
      </w:r>
      <w:r>
        <w:rPr>
          <w:rFonts w:ascii="Times New Roman" w:hAnsi="Times New Roman"/>
          <w:w w:val="105"/>
          <w:sz w:val="23"/>
        </w:rPr>
        <w:t>education programs or</w:t>
      </w:r>
      <w:r>
        <w:rPr>
          <w:rFonts w:ascii="Times New Roman" w:hAnsi="Times New Roman"/>
          <w:spacing w:val="-3"/>
          <w:w w:val="105"/>
          <w:sz w:val="23"/>
        </w:rPr>
        <w:t> </w:t>
      </w:r>
      <w:r>
        <w:rPr>
          <w:rFonts w:ascii="Times New Roman" w:hAnsi="Times New Roman"/>
          <w:w w:val="105"/>
          <w:sz w:val="23"/>
        </w:rPr>
        <w:t>activities (20</w:t>
      </w:r>
      <w:r>
        <w:rPr>
          <w:rFonts w:ascii="Times New Roman" w:hAnsi="Times New Roman"/>
          <w:spacing w:val="-4"/>
          <w:w w:val="105"/>
          <w:sz w:val="23"/>
        </w:rPr>
        <w:t> </w:t>
      </w:r>
      <w:r>
        <w:rPr>
          <w:rFonts w:ascii="Times New Roman" w:hAnsi="Times New Roman"/>
          <w:w w:val="105"/>
          <w:sz w:val="23"/>
        </w:rPr>
        <w:t>U.S.C. 1681 </w:t>
      </w:r>
      <w:r>
        <w:rPr>
          <w:rFonts w:ascii="Times New Roman" w:hAnsi="Times New Roman"/>
          <w:i/>
          <w:w w:val="105"/>
          <w:sz w:val="24"/>
        </w:rPr>
        <w:t>et seq.).</w:t>
      </w:r>
    </w:p>
    <w:p>
      <w:pPr>
        <w:spacing w:after="0" w:line="240" w:lineRule="auto"/>
        <w:jc w:val="left"/>
        <w:rPr>
          <w:rFonts w:ascii="Times New Roman" w:hAnsi="Times New Roman"/>
          <w:sz w:val="24"/>
        </w:rPr>
        <w:sectPr>
          <w:footerReference w:type="default" r:id="rId66"/>
          <w:pgSz w:w="12240" w:h="15840"/>
          <w:pgMar w:footer="0" w:header="0" w:top="1260" w:bottom="280" w:left="600" w:right="500"/>
        </w:sectPr>
      </w:pPr>
    </w:p>
    <w:p>
      <w:pPr>
        <w:spacing w:line="535" w:lineRule="exact" w:before="0"/>
        <w:ind w:left="3400" w:right="3500" w:firstLine="0"/>
        <w:jc w:val="center"/>
        <w:rPr>
          <w:b/>
          <w:sz w:val="44"/>
        </w:rPr>
      </w:pPr>
      <w:r>
        <w:rPr>
          <w:b/>
          <w:sz w:val="44"/>
        </w:rPr>
        <w:t>Appendix</w:t>
      </w:r>
      <w:r>
        <w:rPr>
          <w:b/>
          <w:spacing w:val="-19"/>
          <w:sz w:val="44"/>
        </w:rPr>
        <w:t> </w:t>
      </w:r>
      <w:r>
        <w:rPr>
          <w:b/>
          <w:spacing w:val="-5"/>
          <w:sz w:val="44"/>
        </w:rPr>
        <w:t>II</w:t>
      </w:r>
    </w:p>
    <w:p>
      <w:pPr>
        <w:pStyle w:val="BodyText"/>
        <w:rPr>
          <w:b/>
          <w:sz w:val="20"/>
        </w:rPr>
      </w:pPr>
    </w:p>
    <w:p>
      <w:pPr>
        <w:pStyle w:val="BodyText"/>
        <w:rPr>
          <w:b/>
          <w:sz w:val="20"/>
        </w:rPr>
      </w:pPr>
    </w:p>
    <w:p>
      <w:pPr>
        <w:pStyle w:val="BodyText"/>
        <w:spacing w:before="3"/>
        <w:rPr>
          <w:b/>
          <w:sz w:val="28"/>
        </w:rPr>
      </w:pPr>
      <w:r>
        <w:rPr/>
        <w:drawing>
          <wp:anchor distT="0" distB="0" distL="0" distR="0" allowOverlap="1" layoutInCell="1" locked="0" behindDoc="1" simplePos="0" relativeHeight="487608832">
            <wp:simplePos x="0" y="0"/>
            <wp:positionH relativeFrom="page">
              <wp:posOffset>3000375</wp:posOffset>
            </wp:positionH>
            <wp:positionV relativeFrom="paragraph">
              <wp:posOffset>234730</wp:posOffset>
            </wp:positionV>
            <wp:extent cx="1771649" cy="1771650"/>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68" cstate="print"/>
                    <a:stretch>
                      <a:fillRect/>
                    </a:stretch>
                  </pic:blipFill>
                  <pic:spPr>
                    <a:xfrm>
                      <a:off x="0" y="0"/>
                      <a:ext cx="1771649" cy="1771650"/>
                    </a:xfrm>
                    <a:prstGeom prst="rect">
                      <a:avLst/>
                    </a:prstGeom>
                  </pic:spPr>
                </pic:pic>
              </a:graphicData>
            </a:graphic>
          </wp:anchor>
        </w:drawing>
      </w:r>
    </w:p>
    <w:p>
      <w:pPr>
        <w:spacing w:line="537" w:lineRule="auto" w:before="306"/>
        <w:ind w:left="1416" w:right="1522" w:firstLine="0"/>
        <w:jc w:val="center"/>
        <w:rPr>
          <w:sz w:val="56"/>
        </w:rPr>
      </w:pPr>
      <w:r>
        <w:rPr>
          <w:spacing w:val="-10"/>
          <w:sz w:val="56"/>
        </w:rPr>
        <w:t>Maine</w:t>
      </w:r>
      <w:r>
        <w:rPr>
          <w:spacing w:val="-29"/>
          <w:sz w:val="56"/>
        </w:rPr>
        <w:t> </w:t>
      </w:r>
      <w:r>
        <w:rPr>
          <w:spacing w:val="-10"/>
          <w:sz w:val="56"/>
        </w:rPr>
        <w:t>Department</w:t>
      </w:r>
      <w:r>
        <w:rPr>
          <w:spacing w:val="-31"/>
          <w:sz w:val="56"/>
        </w:rPr>
        <w:t> </w:t>
      </w:r>
      <w:r>
        <w:rPr>
          <w:spacing w:val="-10"/>
          <w:sz w:val="56"/>
        </w:rPr>
        <w:t>of</w:t>
      </w:r>
      <w:r>
        <w:rPr>
          <w:spacing w:val="-36"/>
          <w:sz w:val="56"/>
        </w:rPr>
        <w:t> </w:t>
      </w:r>
      <w:r>
        <w:rPr>
          <w:spacing w:val="-10"/>
          <w:sz w:val="56"/>
        </w:rPr>
        <w:t>Transportation </w:t>
      </w:r>
      <w:r>
        <w:rPr>
          <w:sz w:val="56"/>
        </w:rPr>
        <w:t>Language</w:t>
      </w:r>
      <w:r>
        <w:rPr>
          <w:spacing w:val="-32"/>
          <w:sz w:val="56"/>
        </w:rPr>
        <w:t> </w:t>
      </w:r>
      <w:r>
        <w:rPr>
          <w:sz w:val="56"/>
        </w:rPr>
        <w:t>Assistance</w:t>
      </w:r>
      <w:r>
        <w:rPr>
          <w:spacing w:val="-32"/>
          <w:sz w:val="56"/>
        </w:rPr>
        <w:t> </w:t>
      </w:r>
      <w:r>
        <w:rPr>
          <w:sz w:val="56"/>
        </w:rPr>
        <w:t>Plan</w:t>
      </w:r>
    </w:p>
    <w:p>
      <w:pPr>
        <w:spacing w:line="679" w:lineRule="exact" w:before="0"/>
        <w:ind w:left="1416" w:right="1531" w:firstLine="0"/>
        <w:jc w:val="center"/>
        <w:rPr>
          <w:sz w:val="56"/>
        </w:rPr>
      </w:pPr>
      <w:r>
        <w:rPr>
          <w:spacing w:val="-12"/>
          <w:sz w:val="56"/>
        </w:rPr>
        <w:t>for Limited</w:t>
      </w:r>
      <w:r>
        <w:rPr>
          <w:spacing w:val="-14"/>
          <w:sz w:val="56"/>
        </w:rPr>
        <w:t> </w:t>
      </w:r>
      <w:r>
        <w:rPr>
          <w:spacing w:val="-12"/>
          <w:sz w:val="56"/>
        </w:rPr>
        <w:t>English Proficiency</w:t>
      </w:r>
    </w:p>
    <w:p>
      <w:pPr>
        <w:pStyle w:val="BodyText"/>
        <w:spacing w:before="12"/>
        <w:rPr>
          <w:sz w:val="81"/>
        </w:rPr>
      </w:pPr>
    </w:p>
    <w:p>
      <w:pPr>
        <w:spacing w:before="0"/>
        <w:ind w:left="1416" w:right="1529" w:firstLine="0"/>
        <w:jc w:val="center"/>
        <w:rPr>
          <w:sz w:val="48"/>
        </w:rPr>
      </w:pPr>
      <w:r>
        <w:rPr>
          <w:sz w:val="48"/>
        </w:rPr>
        <w:t>Four</w:t>
      </w:r>
      <w:r>
        <w:rPr>
          <w:spacing w:val="-13"/>
          <w:sz w:val="48"/>
        </w:rPr>
        <w:t> </w:t>
      </w:r>
      <w:r>
        <w:rPr>
          <w:sz w:val="48"/>
        </w:rPr>
        <w:t>Factor</w:t>
      </w:r>
      <w:r>
        <w:rPr>
          <w:spacing w:val="-29"/>
          <w:sz w:val="48"/>
        </w:rPr>
        <w:t> </w:t>
      </w:r>
      <w:r>
        <w:rPr>
          <w:sz w:val="48"/>
        </w:rPr>
        <w:t>Analysis</w:t>
      </w:r>
      <w:r>
        <w:rPr>
          <w:spacing w:val="16"/>
          <w:sz w:val="48"/>
        </w:rPr>
        <w:t> </w:t>
      </w:r>
      <w:r>
        <w:rPr>
          <w:spacing w:val="-4"/>
          <w:sz w:val="48"/>
        </w:rPr>
        <w:t>2023</w:t>
      </w:r>
    </w:p>
    <w:p>
      <w:pPr>
        <w:spacing w:after="0"/>
        <w:jc w:val="center"/>
        <w:rPr>
          <w:sz w:val="48"/>
        </w:rPr>
        <w:sectPr>
          <w:footerReference w:type="default" r:id="rId67"/>
          <w:pgSz w:w="12240" w:h="15840"/>
          <w:pgMar w:footer="1023" w:header="0" w:top="1220" w:bottom="1220" w:left="600" w:right="500"/>
          <w:pgNumType w:start="105"/>
        </w:sectPr>
      </w:pPr>
    </w:p>
    <w:p>
      <w:pPr>
        <w:pStyle w:val="Heading8"/>
        <w:spacing w:before="31"/>
        <w:ind w:left="3402" w:right="3500"/>
        <w:rPr>
          <w:u w:val="none"/>
        </w:rPr>
      </w:pPr>
      <w:bookmarkStart w:name="Purpose and History" w:id="48"/>
      <w:bookmarkEnd w:id="48"/>
      <w:r>
        <w:rPr>
          <w:b w:val="0"/>
          <w:u w:val="none"/>
        </w:rPr>
      </w:r>
      <w:r>
        <w:rPr>
          <w:u w:val="single"/>
        </w:rPr>
        <w:t>PURPOSE</w:t>
      </w:r>
      <w:r>
        <w:rPr>
          <w:spacing w:val="-9"/>
          <w:u w:val="single"/>
        </w:rPr>
        <w:t> </w:t>
      </w:r>
      <w:r>
        <w:rPr>
          <w:u w:val="single"/>
        </w:rPr>
        <w:t>AND</w:t>
      </w:r>
      <w:r>
        <w:rPr>
          <w:spacing w:val="-6"/>
          <w:u w:val="single"/>
        </w:rPr>
        <w:t> </w:t>
      </w:r>
      <w:r>
        <w:rPr>
          <w:spacing w:val="-2"/>
          <w:u w:val="single"/>
        </w:rPr>
        <w:t>HISTORY</w:t>
      </w:r>
    </w:p>
    <w:p>
      <w:pPr>
        <w:pStyle w:val="BodyText"/>
        <w:spacing w:before="1"/>
        <w:rPr>
          <w:b/>
          <w:sz w:val="23"/>
        </w:rPr>
      </w:pPr>
    </w:p>
    <w:p>
      <w:pPr>
        <w:pStyle w:val="BodyText"/>
        <w:spacing w:line="264" w:lineRule="auto" w:before="52"/>
        <w:ind w:left="239" w:right="393"/>
        <w:jc w:val="both"/>
      </w:pPr>
      <w:r>
        <w:rPr/>
        <w:t>In</w:t>
      </w:r>
      <w:r>
        <w:rPr>
          <w:spacing w:val="-14"/>
        </w:rPr>
        <w:t> </w:t>
      </w:r>
      <w:r>
        <w:rPr/>
        <w:t>1964,</w:t>
      </w:r>
      <w:r>
        <w:rPr>
          <w:spacing w:val="-9"/>
        </w:rPr>
        <w:t> </w:t>
      </w:r>
      <w:r>
        <w:rPr/>
        <w:t>the</w:t>
      </w:r>
      <w:r>
        <w:rPr>
          <w:spacing w:val="-9"/>
        </w:rPr>
        <w:t> </w:t>
      </w:r>
      <w:r>
        <w:rPr/>
        <w:t>US</w:t>
      </w:r>
      <w:r>
        <w:rPr>
          <w:spacing w:val="-11"/>
        </w:rPr>
        <w:t> </w:t>
      </w:r>
      <w:r>
        <w:rPr/>
        <w:t>Department</w:t>
      </w:r>
      <w:r>
        <w:rPr>
          <w:spacing w:val="-8"/>
        </w:rPr>
        <w:t> </w:t>
      </w:r>
      <w:r>
        <w:rPr/>
        <w:t>of</w:t>
      </w:r>
      <w:r>
        <w:rPr>
          <w:spacing w:val="-6"/>
        </w:rPr>
        <w:t> </w:t>
      </w:r>
      <w:r>
        <w:rPr/>
        <w:t>Labor</w:t>
      </w:r>
      <w:r>
        <w:rPr>
          <w:spacing w:val="-9"/>
        </w:rPr>
        <w:t> </w:t>
      </w:r>
      <w:r>
        <w:rPr/>
        <w:t>enacted</w:t>
      </w:r>
      <w:r>
        <w:rPr>
          <w:spacing w:val="-10"/>
        </w:rPr>
        <w:t> </w:t>
      </w:r>
      <w:r>
        <w:rPr/>
        <w:t>legislation,</w:t>
      </w:r>
      <w:r>
        <w:rPr>
          <w:spacing w:val="-11"/>
        </w:rPr>
        <w:t> </w:t>
      </w:r>
      <w:r>
        <w:rPr/>
        <w:t>Title</w:t>
      </w:r>
      <w:r>
        <w:rPr>
          <w:spacing w:val="-14"/>
        </w:rPr>
        <w:t> </w:t>
      </w:r>
      <w:r>
        <w:rPr/>
        <w:t>VI</w:t>
      </w:r>
      <w:r>
        <w:rPr>
          <w:spacing w:val="-9"/>
        </w:rPr>
        <w:t> </w:t>
      </w:r>
      <w:r>
        <w:rPr/>
        <w:t>of</w:t>
      </w:r>
      <w:r>
        <w:rPr>
          <w:spacing w:val="-8"/>
        </w:rPr>
        <w:t> </w:t>
      </w:r>
      <w:r>
        <w:rPr/>
        <w:t>the</w:t>
      </w:r>
      <w:r>
        <w:rPr>
          <w:spacing w:val="-6"/>
        </w:rPr>
        <w:t> </w:t>
      </w:r>
      <w:r>
        <w:rPr/>
        <w:t>Civil</w:t>
      </w:r>
      <w:r>
        <w:rPr>
          <w:spacing w:val="-7"/>
        </w:rPr>
        <w:t> </w:t>
      </w:r>
      <w:r>
        <w:rPr/>
        <w:t>Rights</w:t>
      </w:r>
      <w:r>
        <w:rPr>
          <w:spacing w:val="-14"/>
        </w:rPr>
        <w:t> </w:t>
      </w:r>
      <w:r>
        <w:rPr/>
        <w:t>Act,</w:t>
      </w:r>
      <w:r>
        <w:rPr>
          <w:spacing w:val="-6"/>
        </w:rPr>
        <w:t> </w:t>
      </w:r>
      <w:r>
        <w:rPr/>
        <w:t>stating</w:t>
      </w:r>
      <w:r>
        <w:rPr>
          <w:spacing w:val="40"/>
        </w:rPr>
        <w:t> </w:t>
      </w:r>
      <w:r>
        <w:rPr/>
        <w:t>“No</w:t>
      </w:r>
      <w:r>
        <w:rPr>
          <w:spacing w:val="-9"/>
        </w:rPr>
        <w:t> </w:t>
      </w:r>
      <w:r>
        <w:rPr/>
        <w:t>person</w:t>
      </w:r>
      <w:r>
        <w:rPr>
          <w:spacing w:val="-8"/>
        </w:rPr>
        <w:t> </w:t>
      </w:r>
      <w:r>
        <w:rPr/>
        <w:t>in the</w:t>
      </w:r>
      <w:r>
        <w:rPr>
          <w:spacing w:val="-7"/>
        </w:rPr>
        <w:t> </w:t>
      </w:r>
      <w:r>
        <w:rPr/>
        <w:t>United</w:t>
      </w:r>
      <w:r>
        <w:rPr>
          <w:spacing w:val="-10"/>
        </w:rPr>
        <w:t> </w:t>
      </w:r>
      <w:r>
        <w:rPr/>
        <w:t>States</w:t>
      </w:r>
      <w:r>
        <w:rPr>
          <w:spacing w:val="-7"/>
        </w:rPr>
        <w:t> </w:t>
      </w:r>
      <w:r>
        <w:rPr/>
        <w:t>shall,</w:t>
      </w:r>
      <w:r>
        <w:rPr>
          <w:spacing w:val="-9"/>
        </w:rPr>
        <w:t> </w:t>
      </w:r>
      <w:r>
        <w:rPr/>
        <w:t>on</w:t>
      </w:r>
      <w:r>
        <w:rPr>
          <w:spacing w:val="-6"/>
        </w:rPr>
        <w:t> </w:t>
      </w:r>
      <w:r>
        <w:rPr/>
        <w:t>the</w:t>
      </w:r>
      <w:r>
        <w:rPr>
          <w:spacing w:val="-6"/>
        </w:rPr>
        <w:t> </w:t>
      </w:r>
      <w:r>
        <w:rPr/>
        <w:t>ground</w:t>
      </w:r>
      <w:r>
        <w:rPr>
          <w:spacing w:val="-6"/>
        </w:rPr>
        <w:t> </w:t>
      </w:r>
      <w:r>
        <w:rPr/>
        <w:t>of</w:t>
      </w:r>
      <w:r>
        <w:rPr>
          <w:spacing w:val="-6"/>
        </w:rPr>
        <w:t> </w:t>
      </w:r>
      <w:r>
        <w:rPr/>
        <w:t>race,</w:t>
      </w:r>
      <w:r>
        <w:rPr>
          <w:spacing w:val="-7"/>
        </w:rPr>
        <w:t> </w:t>
      </w:r>
      <w:r>
        <w:rPr/>
        <w:t>color,</w:t>
      </w:r>
      <w:r>
        <w:rPr>
          <w:spacing w:val="-9"/>
        </w:rPr>
        <w:t> </w:t>
      </w:r>
      <w:r>
        <w:rPr/>
        <w:t>or</w:t>
      </w:r>
      <w:r>
        <w:rPr>
          <w:spacing w:val="-7"/>
        </w:rPr>
        <w:t> </w:t>
      </w:r>
      <w:r>
        <w:rPr/>
        <w:t>national</w:t>
      </w:r>
      <w:r>
        <w:rPr>
          <w:spacing w:val="-7"/>
        </w:rPr>
        <w:t> </w:t>
      </w:r>
      <w:r>
        <w:rPr/>
        <w:t>origin,</w:t>
      </w:r>
      <w:r>
        <w:rPr>
          <w:spacing w:val="-9"/>
        </w:rPr>
        <w:t> </w:t>
      </w:r>
      <w:r>
        <w:rPr/>
        <w:t>be</w:t>
      </w:r>
      <w:r>
        <w:rPr>
          <w:spacing w:val="40"/>
        </w:rPr>
        <w:t> </w:t>
      </w:r>
      <w:r>
        <w:rPr/>
        <w:t>excluded</w:t>
      </w:r>
      <w:r>
        <w:rPr>
          <w:spacing w:val="-10"/>
        </w:rPr>
        <w:t> </w:t>
      </w:r>
      <w:r>
        <w:rPr/>
        <w:t>from</w:t>
      </w:r>
      <w:r>
        <w:rPr>
          <w:spacing w:val="-9"/>
        </w:rPr>
        <w:t> </w:t>
      </w:r>
      <w:r>
        <w:rPr/>
        <w:t>participation</w:t>
      </w:r>
      <w:r>
        <w:rPr>
          <w:spacing w:val="-6"/>
        </w:rPr>
        <w:t> </w:t>
      </w:r>
      <w:r>
        <w:rPr/>
        <w:t>in,</w:t>
      </w:r>
      <w:r>
        <w:rPr>
          <w:spacing w:val="-9"/>
        </w:rPr>
        <w:t> </w:t>
      </w:r>
      <w:r>
        <w:rPr/>
        <w:t>be denied the benefits of, or be subjected to discrimination under</w:t>
      </w:r>
      <w:r>
        <w:rPr>
          <w:spacing w:val="80"/>
        </w:rPr>
        <w:t> </w:t>
      </w:r>
      <w:r>
        <w:rPr/>
        <w:t>any program or activity receiving Federal Financial assistance.”</w:t>
      </w:r>
    </w:p>
    <w:p>
      <w:pPr>
        <w:pStyle w:val="BodyText"/>
        <w:spacing w:before="9"/>
        <w:rPr>
          <w:sz w:val="33"/>
        </w:rPr>
      </w:pPr>
    </w:p>
    <w:p>
      <w:pPr>
        <w:pStyle w:val="BodyText"/>
        <w:spacing w:line="264" w:lineRule="auto" w:before="1"/>
        <w:ind w:left="239" w:right="389"/>
        <w:jc w:val="both"/>
      </w:pPr>
      <w:r>
        <w:rPr/>
        <w:t>“The</w:t>
      </w:r>
      <w:r>
        <w:rPr>
          <w:spacing w:val="-4"/>
        </w:rPr>
        <w:t> </w:t>
      </w:r>
      <w:r>
        <w:rPr/>
        <w:t>Federal</w:t>
      </w:r>
      <w:r>
        <w:rPr>
          <w:spacing w:val="-5"/>
        </w:rPr>
        <w:t> </w:t>
      </w:r>
      <w:r>
        <w:rPr/>
        <w:t>Government</w:t>
      </w:r>
      <w:r>
        <w:rPr>
          <w:spacing w:val="-6"/>
        </w:rPr>
        <w:t> </w:t>
      </w:r>
      <w:r>
        <w:rPr/>
        <w:t>provides</w:t>
      </w:r>
      <w:r>
        <w:rPr>
          <w:spacing w:val="-7"/>
        </w:rPr>
        <w:t> </w:t>
      </w:r>
      <w:r>
        <w:rPr/>
        <w:t>and</w:t>
      </w:r>
      <w:r>
        <w:rPr>
          <w:spacing w:val="-3"/>
        </w:rPr>
        <w:t> </w:t>
      </w:r>
      <w:r>
        <w:rPr/>
        <w:t>funds</w:t>
      </w:r>
      <w:r>
        <w:rPr>
          <w:spacing w:val="-5"/>
        </w:rPr>
        <w:t> </w:t>
      </w:r>
      <w:r>
        <w:rPr/>
        <w:t>an</w:t>
      </w:r>
      <w:r>
        <w:rPr>
          <w:spacing w:val="-4"/>
        </w:rPr>
        <w:t> </w:t>
      </w:r>
      <w:r>
        <w:rPr/>
        <w:t>array</w:t>
      </w:r>
      <w:r>
        <w:rPr>
          <w:spacing w:val="-5"/>
        </w:rPr>
        <w:t> </w:t>
      </w:r>
      <w:r>
        <w:rPr/>
        <w:t>of</w:t>
      </w:r>
      <w:r>
        <w:rPr>
          <w:spacing w:val="-6"/>
        </w:rPr>
        <w:t> </w:t>
      </w:r>
      <w:r>
        <w:rPr/>
        <w:t>services</w:t>
      </w:r>
      <w:r>
        <w:rPr>
          <w:spacing w:val="-5"/>
        </w:rPr>
        <w:t> </w:t>
      </w:r>
      <w:r>
        <w:rPr/>
        <w:t>that</w:t>
      </w:r>
      <w:r>
        <w:rPr>
          <w:spacing w:val="-3"/>
        </w:rPr>
        <w:t> </w:t>
      </w:r>
      <w:r>
        <w:rPr/>
        <w:t>can</w:t>
      </w:r>
      <w:r>
        <w:rPr>
          <w:spacing w:val="-6"/>
        </w:rPr>
        <w:t> </w:t>
      </w:r>
      <w:r>
        <w:rPr/>
        <w:t>be</w:t>
      </w:r>
      <w:r>
        <w:rPr>
          <w:spacing w:val="-4"/>
        </w:rPr>
        <w:t> </w:t>
      </w:r>
      <w:r>
        <w:rPr/>
        <w:t>made</w:t>
      </w:r>
      <w:r>
        <w:rPr>
          <w:spacing w:val="-6"/>
        </w:rPr>
        <w:t> </w:t>
      </w:r>
      <w:r>
        <w:rPr/>
        <w:t>accessible</w:t>
      </w:r>
      <w:r>
        <w:rPr>
          <w:spacing w:val="-4"/>
        </w:rPr>
        <w:t> </w:t>
      </w:r>
      <w:r>
        <w:rPr/>
        <w:t>to</w:t>
      </w:r>
      <w:r>
        <w:rPr>
          <w:spacing w:val="40"/>
        </w:rPr>
        <w:t> </w:t>
      </w:r>
      <w:r>
        <w:rPr/>
        <w:t>otherwise eligible persons who are not proficient in the English Language. The Federal</w:t>
      </w:r>
      <w:r>
        <w:rPr>
          <w:spacing w:val="80"/>
        </w:rPr>
        <w:t> </w:t>
      </w:r>
      <w:r>
        <w:rPr/>
        <w:t>Government is committed to improving</w:t>
      </w:r>
      <w:r>
        <w:rPr>
          <w:spacing w:val="-14"/>
        </w:rPr>
        <w:t> </w:t>
      </w:r>
      <w:r>
        <w:rPr/>
        <w:t>the</w:t>
      </w:r>
      <w:r>
        <w:rPr>
          <w:spacing w:val="-14"/>
        </w:rPr>
        <w:t> </w:t>
      </w:r>
      <w:r>
        <w:rPr/>
        <w:t>accessibility</w:t>
      </w:r>
      <w:r>
        <w:rPr>
          <w:spacing w:val="-13"/>
        </w:rPr>
        <w:t> </w:t>
      </w:r>
      <w:r>
        <w:rPr/>
        <w:t>of</w:t>
      </w:r>
      <w:r>
        <w:rPr>
          <w:spacing w:val="-14"/>
        </w:rPr>
        <w:t> </w:t>
      </w:r>
      <w:r>
        <w:rPr/>
        <w:t>these</w:t>
      </w:r>
      <w:r>
        <w:rPr>
          <w:spacing w:val="-13"/>
        </w:rPr>
        <w:t> </w:t>
      </w:r>
      <w:r>
        <w:rPr/>
        <w:t>services</w:t>
      </w:r>
      <w:r>
        <w:rPr>
          <w:spacing w:val="-14"/>
        </w:rPr>
        <w:t> </w:t>
      </w:r>
      <w:r>
        <w:rPr/>
        <w:t>to</w:t>
      </w:r>
      <w:r>
        <w:rPr>
          <w:spacing w:val="-13"/>
        </w:rPr>
        <w:t> </w:t>
      </w:r>
      <w:r>
        <w:rPr/>
        <w:t>eligible</w:t>
      </w:r>
      <w:r>
        <w:rPr>
          <w:spacing w:val="-14"/>
        </w:rPr>
        <w:t> </w:t>
      </w:r>
      <w:r>
        <w:rPr/>
        <w:t>[persons</w:t>
      </w:r>
      <w:r>
        <w:rPr>
          <w:spacing w:val="-14"/>
        </w:rPr>
        <w:t> </w:t>
      </w:r>
      <w:r>
        <w:rPr/>
        <w:t>with</w:t>
      </w:r>
      <w:r>
        <w:rPr>
          <w:spacing w:val="-13"/>
        </w:rPr>
        <w:t> </w:t>
      </w:r>
      <w:r>
        <w:rPr/>
        <w:t>Limited</w:t>
      </w:r>
      <w:r>
        <w:rPr>
          <w:spacing w:val="-14"/>
        </w:rPr>
        <w:t> </w:t>
      </w:r>
      <w:r>
        <w:rPr/>
        <w:t>English</w:t>
      </w:r>
      <w:r>
        <w:rPr>
          <w:spacing w:val="-13"/>
        </w:rPr>
        <w:t> </w:t>
      </w:r>
      <w:r>
        <w:rPr/>
        <w:t>Proficiency]</w:t>
      </w:r>
      <w:r>
        <w:rPr>
          <w:spacing w:val="-14"/>
        </w:rPr>
        <w:t> </w:t>
      </w:r>
      <w:r>
        <w:rPr/>
        <w:t>LEP</w:t>
      </w:r>
      <w:r>
        <w:rPr>
          <w:spacing w:val="-13"/>
        </w:rPr>
        <w:t> </w:t>
      </w:r>
      <w:r>
        <w:rPr/>
        <w:t>persons, a goal that reinforces its equally</w:t>
      </w:r>
      <w:r>
        <w:rPr>
          <w:spacing w:val="-1"/>
        </w:rPr>
        <w:t> </w:t>
      </w:r>
      <w:r>
        <w:rPr/>
        <w:t>important</w:t>
      </w:r>
      <w:r>
        <w:rPr>
          <w:spacing w:val="80"/>
        </w:rPr>
        <w:t> </w:t>
      </w:r>
      <w:r>
        <w:rPr/>
        <w:t>commitment to promoting programs and activities designed</w:t>
      </w:r>
      <w:r>
        <w:rPr>
          <w:spacing w:val="-1"/>
        </w:rPr>
        <w:t> </w:t>
      </w:r>
      <w:r>
        <w:rPr/>
        <w:t>to help</w:t>
      </w:r>
      <w:r>
        <w:rPr>
          <w:spacing w:val="-9"/>
        </w:rPr>
        <w:t> </w:t>
      </w:r>
      <w:r>
        <w:rPr/>
        <w:t>individuals</w:t>
      </w:r>
      <w:r>
        <w:rPr>
          <w:spacing w:val="-11"/>
        </w:rPr>
        <w:t> </w:t>
      </w:r>
      <w:r>
        <w:rPr/>
        <w:t>learn</w:t>
      </w:r>
      <w:r>
        <w:rPr>
          <w:spacing w:val="-12"/>
        </w:rPr>
        <w:t> </w:t>
      </w:r>
      <w:r>
        <w:rPr/>
        <w:t>English.”</w:t>
      </w:r>
      <w:r>
        <w:rPr>
          <w:spacing w:val="73"/>
        </w:rPr>
        <w:t> </w:t>
      </w:r>
      <w:r>
        <w:rPr/>
        <w:t>(US</w:t>
      </w:r>
      <w:r>
        <w:rPr>
          <w:spacing w:val="-13"/>
        </w:rPr>
        <w:t> </w:t>
      </w:r>
      <w:r>
        <w:rPr/>
        <w:t>Department</w:t>
      </w:r>
      <w:r>
        <w:rPr>
          <w:spacing w:val="-12"/>
        </w:rPr>
        <w:t> </w:t>
      </w:r>
      <w:r>
        <w:rPr/>
        <w:t>of</w:t>
      </w:r>
      <w:r>
        <w:rPr>
          <w:spacing w:val="-9"/>
        </w:rPr>
        <w:t> </w:t>
      </w:r>
      <w:r>
        <w:rPr/>
        <w:t>Justice,</w:t>
      </w:r>
      <w:r>
        <w:rPr>
          <w:spacing w:val="-10"/>
        </w:rPr>
        <w:t> </w:t>
      </w:r>
      <w:r>
        <w:rPr/>
        <w:t>2000).</w:t>
      </w:r>
      <w:r>
        <w:rPr>
          <w:spacing w:val="-11"/>
        </w:rPr>
        <w:t> </w:t>
      </w:r>
      <w:r>
        <w:rPr/>
        <w:t>In</w:t>
      </w:r>
      <w:r>
        <w:rPr>
          <w:spacing w:val="-9"/>
        </w:rPr>
        <w:t> </w:t>
      </w:r>
      <w:r>
        <w:rPr/>
        <w:t>recognition</w:t>
      </w:r>
      <w:r>
        <w:rPr>
          <w:spacing w:val="-9"/>
        </w:rPr>
        <w:t> </w:t>
      </w:r>
      <w:r>
        <w:rPr/>
        <w:t>of</w:t>
      </w:r>
      <w:r>
        <w:rPr>
          <w:spacing w:val="-7"/>
        </w:rPr>
        <w:t> </w:t>
      </w:r>
      <w:r>
        <w:rPr/>
        <w:t>and</w:t>
      </w:r>
      <w:r>
        <w:rPr>
          <w:spacing w:val="-9"/>
        </w:rPr>
        <w:t> </w:t>
      </w:r>
      <w:r>
        <w:rPr/>
        <w:t>response</w:t>
      </w:r>
      <w:r>
        <w:rPr>
          <w:spacing w:val="-10"/>
        </w:rPr>
        <w:t> </w:t>
      </w:r>
      <w:r>
        <w:rPr/>
        <w:t>to</w:t>
      </w:r>
      <w:r>
        <w:rPr>
          <w:spacing w:val="-10"/>
        </w:rPr>
        <w:t> </w:t>
      </w:r>
      <w:r>
        <w:rPr/>
        <w:t>language being identified as</w:t>
      </w:r>
      <w:r>
        <w:rPr>
          <w:spacing w:val="80"/>
        </w:rPr>
        <w:t> </w:t>
      </w:r>
      <w:r>
        <w:rPr/>
        <w:t>a barrier to services, the US Department of Justice (DOJ) issued </w:t>
      </w:r>
      <w:hyperlink r:id="rId69">
        <w:r>
          <w:rPr>
            <w:color w:val="0562C1"/>
            <w:u w:val="single" w:color="0562C1"/>
          </w:rPr>
          <w:t>Executive Order 13166</w:t>
        </w:r>
        <w:r>
          <w:rPr/>
          <w:t>,</w:t>
        </w:r>
      </w:hyperlink>
      <w:r>
        <w:rPr/>
        <w:t> “Improving</w:t>
      </w:r>
      <w:r>
        <w:rPr>
          <w:spacing w:val="-13"/>
        </w:rPr>
        <w:t> </w:t>
      </w:r>
      <w:r>
        <w:rPr/>
        <w:t>Access to Services for Persons with Limited English Proficiency” on</w:t>
      </w:r>
      <w:r>
        <w:rPr>
          <w:spacing w:val="-7"/>
        </w:rPr>
        <w:t> </w:t>
      </w:r>
      <w:r>
        <w:rPr/>
        <w:t>August 11,</w:t>
      </w:r>
      <w:r>
        <w:rPr>
          <w:spacing w:val="80"/>
        </w:rPr>
        <w:t> </w:t>
      </w:r>
      <w:r>
        <w:rPr/>
        <w:t>2000, under the signature of US President Bill Clinton.</w:t>
      </w:r>
    </w:p>
    <w:p>
      <w:pPr>
        <w:pStyle w:val="BodyText"/>
        <w:spacing w:before="9"/>
        <w:rPr>
          <w:sz w:val="33"/>
        </w:rPr>
      </w:pPr>
    </w:p>
    <w:p>
      <w:pPr>
        <w:pStyle w:val="BodyText"/>
        <w:spacing w:line="264" w:lineRule="auto"/>
        <w:ind w:left="240" w:right="364"/>
        <w:jc w:val="both"/>
      </w:pPr>
      <w:r>
        <w:rPr/>
        <w:t>The Executive Order has</w:t>
      </w:r>
      <w:r>
        <w:rPr>
          <w:spacing w:val="-1"/>
        </w:rPr>
        <w:t> </w:t>
      </w:r>
      <w:r>
        <w:rPr/>
        <w:t>two primary</w:t>
      </w:r>
      <w:r>
        <w:rPr>
          <w:spacing w:val="-1"/>
        </w:rPr>
        <w:t> </w:t>
      </w:r>
      <w:r>
        <w:rPr/>
        <w:t>parts: first,</w:t>
      </w:r>
      <w:r>
        <w:rPr>
          <w:spacing w:val="-1"/>
        </w:rPr>
        <w:t> </w:t>
      </w:r>
      <w:r>
        <w:rPr/>
        <w:t>it requires</w:t>
      </w:r>
      <w:r>
        <w:rPr>
          <w:spacing w:val="-1"/>
        </w:rPr>
        <w:t> </w:t>
      </w:r>
      <w:r>
        <w:rPr/>
        <w:t>that federal</w:t>
      </w:r>
      <w:r>
        <w:rPr>
          <w:spacing w:val="-1"/>
        </w:rPr>
        <w:t> </w:t>
      </w:r>
      <w:r>
        <w:rPr/>
        <w:t>agencies</w:t>
      </w:r>
      <w:r>
        <w:rPr>
          <w:spacing w:val="-1"/>
        </w:rPr>
        <w:t> </w:t>
      </w:r>
      <w:r>
        <w:rPr/>
        <w:t>and recipients</w:t>
      </w:r>
      <w:r>
        <w:rPr>
          <w:spacing w:val="80"/>
        </w:rPr>
        <w:t> </w:t>
      </w:r>
      <w:r>
        <w:rPr/>
        <w:t>of Federal financial</w:t>
      </w:r>
      <w:r>
        <w:rPr>
          <w:spacing w:val="-2"/>
        </w:rPr>
        <w:t> </w:t>
      </w:r>
      <w:r>
        <w:rPr/>
        <w:t>assistance</w:t>
      </w:r>
      <w:r>
        <w:rPr>
          <w:spacing w:val="-2"/>
        </w:rPr>
        <w:t> </w:t>
      </w:r>
      <w:r>
        <w:rPr/>
        <w:t>examine</w:t>
      </w:r>
      <w:r>
        <w:rPr>
          <w:spacing w:val="-2"/>
        </w:rPr>
        <w:t> </w:t>
      </w:r>
      <w:r>
        <w:rPr/>
        <w:t>the</w:t>
      </w:r>
      <w:r>
        <w:rPr>
          <w:spacing w:val="-2"/>
        </w:rPr>
        <w:t> </w:t>
      </w:r>
      <w:r>
        <w:rPr/>
        <w:t>services</w:t>
      </w:r>
      <w:r>
        <w:rPr>
          <w:spacing w:val="-3"/>
        </w:rPr>
        <w:t> </w:t>
      </w:r>
      <w:r>
        <w:rPr/>
        <w:t>that</w:t>
      </w:r>
      <w:r>
        <w:rPr>
          <w:spacing w:val="-1"/>
        </w:rPr>
        <w:t> </w:t>
      </w:r>
      <w:r>
        <w:rPr/>
        <w:t>they</w:t>
      </w:r>
      <w:r>
        <w:rPr>
          <w:spacing w:val="-3"/>
        </w:rPr>
        <w:t> </w:t>
      </w:r>
      <w:r>
        <w:rPr/>
        <w:t>provide,</w:t>
      </w:r>
      <w:r>
        <w:rPr>
          <w:spacing w:val="-2"/>
        </w:rPr>
        <w:t> </w:t>
      </w:r>
      <w:r>
        <w:rPr/>
        <w:t>and</w:t>
      </w:r>
      <w:r>
        <w:rPr>
          <w:spacing w:val="-3"/>
        </w:rPr>
        <w:t> </w:t>
      </w:r>
      <w:r>
        <w:rPr/>
        <w:t>develop and</w:t>
      </w:r>
      <w:r>
        <w:rPr>
          <w:spacing w:val="40"/>
        </w:rPr>
        <w:t> </w:t>
      </w:r>
      <w:r>
        <w:rPr/>
        <w:t>implement</w:t>
      </w:r>
      <w:r>
        <w:rPr>
          <w:spacing w:val="-1"/>
        </w:rPr>
        <w:t> </w:t>
      </w:r>
      <w:r>
        <w:rPr/>
        <w:t>a</w:t>
      </w:r>
      <w:r>
        <w:rPr>
          <w:spacing w:val="-2"/>
        </w:rPr>
        <w:t> </w:t>
      </w:r>
      <w:r>
        <w:rPr/>
        <w:t>system/plan</w:t>
      </w:r>
      <w:r>
        <w:rPr>
          <w:spacing w:val="-1"/>
        </w:rPr>
        <w:t> </w:t>
      </w:r>
      <w:r>
        <w:rPr/>
        <w:t>that provides meaningful access for persons with Limited English</w:t>
      </w:r>
      <w:r>
        <w:rPr>
          <w:spacing w:val="80"/>
        </w:rPr>
        <w:t> </w:t>
      </w:r>
      <w:r>
        <w:rPr/>
        <w:t>Proficiency (LEP) to those services, benefits, information, and activities. That access extends not</w:t>
      </w:r>
      <w:r>
        <w:rPr>
          <w:spacing w:val="80"/>
        </w:rPr>
        <w:t> </w:t>
      </w:r>
      <w:r>
        <w:rPr/>
        <w:t>only to LEP applicants but also beneficiaries of the services, both US and non-US citizens,</w:t>
      </w:r>
      <w:r>
        <w:rPr>
          <w:spacing w:val="80"/>
        </w:rPr>
        <w:t> </w:t>
      </w:r>
      <w:r>
        <w:rPr/>
        <w:t>without unduly burdening the fundamental mission of the agency. Second,</w:t>
      </w:r>
      <w:r>
        <w:rPr>
          <w:spacing w:val="-1"/>
        </w:rPr>
        <w:t> </w:t>
      </w:r>
      <w:r>
        <w:rPr/>
        <w:t>it</w:t>
      </w:r>
      <w:r>
        <w:rPr>
          <w:spacing w:val="-2"/>
        </w:rPr>
        <w:t> </w:t>
      </w:r>
      <w:r>
        <w:rPr/>
        <w:t>directs</w:t>
      </w:r>
      <w:r>
        <w:rPr>
          <w:spacing w:val="-2"/>
        </w:rPr>
        <w:t> </w:t>
      </w:r>
      <w:r>
        <w:rPr/>
        <w:t>each agency</w:t>
      </w:r>
      <w:r>
        <w:rPr>
          <w:spacing w:val="80"/>
        </w:rPr>
        <w:t> </w:t>
      </w:r>
      <w:r>
        <w:rPr/>
        <w:t>providing</w:t>
      </w:r>
      <w:r>
        <w:rPr>
          <w:spacing w:val="-5"/>
        </w:rPr>
        <w:t> </w:t>
      </w:r>
      <w:r>
        <w:rPr/>
        <w:t>federal</w:t>
      </w:r>
      <w:r>
        <w:rPr>
          <w:spacing w:val="-2"/>
        </w:rPr>
        <w:t> </w:t>
      </w:r>
      <w:r>
        <w:rPr/>
        <w:t>financial</w:t>
      </w:r>
      <w:r>
        <w:rPr>
          <w:spacing w:val="-1"/>
        </w:rPr>
        <w:t> </w:t>
      </w:r>
      <w:r>
        <w:rPr/>
        <w:t>assistance</w:t>
      </w:r>
      <w:r>
        <w:rPr>
          <w:spacing w:val="-2"/>
        </w:rPr>
        <w:t> </w:t>
      </w:r>
      <w:r>
        <w:rPr/>
        <w:t>to issue guidance to</w:t>
      </w:r>
      <w:r>
        <w:rPr>
          <w:spacing w:val="-2"/>
        </w:rPr>
        <w:t> </w:t>
      </w:r>
      <w:r>
        <w:rPr/>
        <w:t>recipients</w:t>
      </w:r>
      <w:r>
        <w:rPr>
          <w:spacing w:val="-1"/>
        </w:rPr>
        <w:t> </w:t>
      </w:r>
      <w:r>
        <w:rPr/>
        <w:t>to</w:t>
      </w:r>
      <w:r>
        <w:rPr>
          <w:spacing w:val="-2"/>
        </w:rPr>
        <w:t> </w:t>
      </w:r>
      <w:r>
        <w:rPr/>
        <w:t>meet their obligations to</w:t>
      </w:r>
      <w:r>
        <w:rPr>
          <w:spacing w:val="80"/>
        </w:rPr>
        <w:t> </w:t>
      </w:r>
      <w:r>
        <w:rPr/>
        <w:t>provide meaningful access to services.</w:t>
      </w:r>
    </w:p>
    <w:p>
      <w:pPr>
        <w:pStyle w:val="BodyText"/>
        <w:spacing w:before="10"/>
        <w:rPr>
          <w:sz w:val="33"/>
        </w:rPr>
      </w:pPr>
    </w:p>
    <w:p>
      <w:pPr>
        <w:pStyle w:val="BodyText"/>
        <w:spacing w:line="264" w:lineRule="auto"/>
        <w:ind w:left="240" w:right="364"/>
        <w:jc w:val="both"/>
      </w:pPr>
      <w:r>
        <w:rPr/>
        <w:t>On the same day that President Clinton signed Executive Order 13166, the US Department of</w:t>
      </w:r>
      <w:r>
        <w:rPr>
          <w:spacing w:val="40"/>
        </w:rPr>
        <w:t> </w:t>
      </w:r>
      <w:r>
        <w:rPr/>
        <w:t>Justice (DOJ) issued</w:t>
      </w:r>
      <w:r>
        <w:rPr>
          <w:spacing w:val="-14"/>
        </w:rPr>
        <w:t> </w:t>
      </w:r>
      <w:r>
        <w:rPr/>
        <w:t>a</w:t>
      </w:r>
      <w:r>
        <w:rPr>
          <w:spacing w:val="-14"/>
        </w:rPr>
        <w:t> </w:t>
      </w:r>
      <w:r>
        <w:rPr/>
        <w:t>Policy</w:t>
      </w:r>
      <w:r>
        <w:rPr>
          <w:spacing w:val="-13"/>
        </w:rPr>
        <w:t> </w:t>
      </w:r>
      <w:r>
        <w:rPr/>
        <w:t>Guidance</w:t>
      </w:r>
      <w:r>
        <w:rPr>
          <w:spacing w:val="-14"/>
        </w:rPr>
        <w:t> </w:t>
      </w:r>
      <w:r>
        <w:rPr/>
        <w:t>Document,</w:t>
      </w:r>
      <w:r>
        <w:rPr>
          <w:spacing w:val="-13"/>
        </w:rPr>
        <w:t> </w:t>
      </w:r>
      <w:r>
        <w:rPr/>
        <w:t>“Enforcement</w:t>
      </w:r>
      <w:r>
        <w:rPr>
          <w:spacing w:val="-14"/>
        </w:rPr>
        <w:t> </w:t>
      </w:r>
      <w:r>
        <w:rPr/>
        <w:t>of</w:t>
      </w:r>
      <w:r>
        <w:rPr>
          <w:spacing w:val="-13"/>
        </w:rPr>
        <w:t> </w:t>
      </w:r>
      <w:r>
        <w:rPr/>
        <w:t>Title</w:t>
      </w:r>
      <w:r>
        <w:rPr>
          <w:spacing w:val="-14"/>
        </w:rPr>
        <w:t> </w:t>
      </w:r>
      <w:r>
        <w:rPr/>
        <w:t>VI</w:t>
      </w:r>
      <w:r>
        <w:rPr>
          <w:spacing w:val="-14"/>
        </w:rPr>
        <w:t> </w:t>
      </w:r>
      <w:r>
        <w:rPr/>
        <w:t>of</w:t>
      </w:r>
      <w:r>
        <w:rPr>
          <w:spacing w:val="-13"/>
        </w:rPr>
        <w:t> </w:t>
      </w:r>
      <w:r>
        <w:rPr/>
        <w:t>the</w:t>
      </w:r>
      <w:r>
        <w:rPr>
          <w:spacing w:val="-14"/>
        </w:rPr>
        <w:t> </w:t>
      </w:r>
      <w:r>
        <w:rPr/>
        <w:t>Civil</w:t>
      </w:r>
      <w:r>
        <w:rPr>
          <w:spacing w:val="-13"/>
        </w:rPr>
        <w:t> </w:t>
      </w:r>
      <w:r>
        <w:rPr/>
        <w:t>Rights</w:t>
      </w:r>
      <w:r>
        <w:rPr>
          <w:spacing w:val="-4"/>
        </w:rPr>
        <w:t> </w:t>
      </w:r>
      <w:r>
        <w:rPr/>
        <w:t>Act</w:t>
      </w:r>
      <w:r>
        <w:rPr>
          <w:spacing w:val="-13"/>
        </w:rPr>
        <w:t> </w:t>
      </w:r>
      <w:r>
        <w:rPr/>
        <w:t>of</w:t>
      </w:r>
      <w:r>
        <w:rPr>
          <w:spacing w:val="-14"/>
        </w:rPr>
        <w:t> </w:t>
      </w:r>
      <w:r>
        <w:rPr/>
        <w:t>1964</w:t>
      </w:r>
      <w:r>
        <w:rPr>
          <w:spacing w:val="-14"/>
        </w:rPr>
        <w:t> </w:t>
      </w:r>
      <w:r>
        <w:rPr/>
        <w:t>—</w:t>
      </w:r>
      <w:r>
        <w:rPr>
          <w:spacing w:val="-13"/>
        </w:rPr>
        <w:t> </w:t>
      </w:r>
      <w:r>
        <w:rPr/>
        <w:t>National</w:t>
      </w:r>
      <w:r>
        <w:rPr>
          <w:spacing w:val="-14"/>
        </w:rPr>
        <w:t> </w:t>
      </w:r>
      <w:r>
        <w:rPr/>
        <w:t>Origins Discrimination</w:t>
      </w:r>
      <w:r>
        <w:rPr>
          <w:spacing w:val="-14"/>
        </w:rPr>
        <w:t> </w:t>
      </w:r>
      <w:r>
        <w:rPr/>
        <w:t>Against</w:t>
      </w:r>
      <w:r>
        <w:rPr>
          <w:spacing w:val="-14"/>
        </w:rPr>
        <w:t> </w:t>
      </w:r>
      <w:r>
        <w:rPr/>
        <w:t>Persons</w:t>
      </w:r>
      <w:r>
        <w:rPr>
          <w:spacing w:val="-13"/>
        </w:rPr>
        <w:t> </w:t>
      </w:r>
      <w:r>
        <w:rPr/>
        <w:t>with</w:t>
      </w:r>
      <w:r>
        <w:rPr>
          <w:spacing w:val="-14"/>
        </w:rPr>
        <w:t> </w:t>
      </w:r>
      <w:r>
        <w:rPr/>
        <w:t>Limited</w:t>
      </w:r>
      <w:r>
        <w:rPr>
          <w:spacing w:val="-13"/>
        </w:rPr>
        <w:t> </w:t>
      </w:r>
      <w:r>
        <w:rPr/>
        <w:t>English</w:t>
      </w:r>
      <w:r>
        <w:rPr>
          <w:spacing w:val="25"/>
        </w:rPr>
        <w:t> </w:t>
      </w:r>
      <w:r>
        <w:rPr/>
        <w:t>Proficiency”,</w:t>
      </w:r>
      <w:r>
        <w:rPr>
          <w:spacing w:val="-13"/>
        </w:rPr>
        <w:t> </w:t>
      </w:r>
      <w:r>
        <w:rPr/>
        <w:t>to</w:t>
      </w:r>
      <w:r>
        <w:rPr>
          <w:spacing w:val="-14"/>
        </w:rPr>
        <w:t> </w:t>
      </w:r>
      <w:r>
        <w:rPr/>
        <w:t>assist</w:t>
      </w:r>
      <w:r>
        <w:rPr>
          <w:spacing w:val="-13"/>
        </w:rPr>
        <w:t> </w:t>
      </w:r>
      <w:r>
        <w:rPr/>
        <w:t>federal</w:t>
      </w:r>
      <w:r>
        <w:rPr>
          <w:spacing w:val="-14"/>
        </w:rPr>
        <w:t> </w:t>
      </w:r>
      <w:r>
        <w:rPr/>
        <w:t>agencies</w:t>
      </w:r>
      <w:r>
        <w:rPr>
          <w:spacing w:val="-13"/>
        </w:rPr>
        <w:t> </w:t>
      </w:r>
      <w:r>
        <w:rPr/>
        <w:t>in</w:t>
      </w:r>
      <w:r>
        <w:rPr>
          <w:spacing w:val="-14"/>
        </w:rPr>
        <w:t> </w:t>
      </w:r>
      <w:r>
        <w:rPr/>
        <w:t>carrying</w:t>
      </w:r>
      <w:r>
        <w:rPr>
          <w:spacing w:val="-13"/>
        </w:rPr>
        <w:t> </w:t>
      </w:r>
      <w:r>
        <w:rPr/>
        <w:t>out</w:t>
      </w:r>
      <w:r>
        <w:rPr>
          <w:spacing w:val="-14"/>
        </w:rPr>
        <w:t> </w:t>
      </w:r>
      <w:r>
        <w:rPr/>
        <w:t>the mandates outlined in the Executive</w:t>
      </w:r>
      <w:r>
        <w:rPr>
          <w:spacing w:val="80"/>
        </w:rPr>
        <w:t> </w:t>
      </w:r>
      <w:r>
        <w:rPr/>
        <w:t>Order.</w:t>
      </w:r>
    </w:p>
    <w:p>
      <w:pPr>
        <w:pStyle w:val="BodyText"/>
        <w:spacing w:before="10"/>
        <w:rPr>
          <w:sz w:val="33"/>
        </w:rPr>
      </w:pPr>
    </w:p>
    <w:p>
      <w:pPr>
        <w:pStyle w:val="BodyText"/>
        <w:spacing w:line="264" w:lineRule="auto"/>
        <w:ind w:left="239" w:right="390"/>
        <w:jc w:val="both"/>
      </w:pPr>
      <w:r>
        <w:rPr/>
        <w:t>The United States Department of Transportation (US DOT) issued </w:t>
      </w:r>
      <w:hyperlink r:id="rId70">
        <w:r>
          <w:rPr>
            <w:color w:val="0562C1"/>
            <w:u w:val="single" w:color="0562C1"/>
          </w:rPr>
          <w:t>Policy Guidance Concernin</w:t>
        </w:r>
      </w:hyperlink>
      <w:r>
        <w:rPr>
          <w:color w:val="0562C1"/>
          <w:u w:val="single" w:color="0562C1"/>
        </w:rPr>
        <w:t>g</w:t>
      </w:r>
      <w:r>
        <w:rPr>
          <w:color w:val="0562C1"/>
          <w:spacing w:val="40"/>
          <w:u w:val="single" w:color="0562C1"/>
        </w:rPr>
        <w:t> </w:t>
      </w:r>
      <w:hyperlink r:id="rId70">
        <w:r>
          <w:rPr>
            <w:color w:val="0562C1"/>
            <w:u w:val="single" w:color="0562C1"/>
          </w:rPr>
          <w:t>Recipient’s</w:t>
        </w:r>
      </w:hyperlink>
      <w:r>
        <w:rPr>
          <w:color w:val="0562C1"/>
        </w:rPr>
        <w:t> </w:t>
      </w:r>
      <w:hyperlink r:id="rId70">
        <w:r>
          <w:rPr>
            <w:color w:val="0562C1"/>
            <w:u w:val="single" w:color="0562C1"/>
          </w:rPr>
          <w:t>Responsibility</w:t>
        </w:r>
        <w:r>
          <w:rPr>
            <w:color w:val="0562C1"/>
            <w:spacing w:val="-2"/>
            <w:u w:val="single" w:color="0562C1"/>
          </w:rPr>
          <w:t> </w:t>
        </w:r>
        <w:r>
          <w:rPr>
            <w:color w:val="0562C1"/>
            <w:u w:val="single" w:color="0562C1"/>
          </w:rPr>
          <w:t>to</w:t>
        </w:r>
        <w:r>
          <w:rPr>
            <w:color w:val="0562C1"/>
            <w:spacing w:val="-3"/>
            <w:u w:val="single" w:color="0562C1"/>
          </w:rPr>
          <w:t> </w:t>
        </w:r>
        <w:r>
          <w:rPr>
            <w:color w:val="0562C1"/>
            <w:u w:val="single" w:color="0562C1"/>
          </w:rPr>
          <w:t>Limited</w:t>
        </w:r>
        <w:r>
          <w:rPr>
            <w:color w:val="0562C1"/>
            <w:spacing w:val="-1"/>
            <w:u w:val="single" w:color="0562C1"/>
          </w:rPr>
          <w:t> </w:t>
        </w:r>
        <w:r>
          <w:rPr>
            <w:color w:val="0562C1"/>
            <w:u w:val="single" w:color="0562C1"/>
          </w:rPr>
          <w:t>English</w:t>
        </w:r>
        <w:r>
          <w:rPr>
            <w:color w:val="0562C1"/>
            <w:spacing w:val="-1"/>
            <w:u w:val="single" w:color="0562C1"/>
          </w:rPr>
          <w:t> </w:t>
        </w:r>
        <w:r>
          <w:rPr>
            <w:color w:val="0562C1"/>
            <w:u w:val="single" w:color="0562C1"/>
          </w:rPr>
          <w:t>Proficient</w:t>
        </w:r>
        <w:r>
          <w:rPr>
            <w:color w:val="0562C1"/>
            <w:spacing w:val="-1"/>
            <w:u w:val="single" w:color="0562C1"/>
          </w:rPr>
          <w:t> </w:t>
        </w:r>
        <w:r>
          <w:rPr>
            <w:color w:val="0562C1"/>
            <w:u w:val="single" w:color="0562C1"/>
          </w:rPr>
          <w:t>(LEP)</w:t>
        </w:r>
        <w:r>
          <w:rPr>
            <w:color w:val="0562C1"/>
            <w:spacing w:val="-3"/>
            <w:u w:val="single" w:color="0562C1"/>
          </w:rPr>
          <w:t> </w:t>
        </w:r>
        <w:r>
          <w:rPr>
            <w:color w:val="0562C1"/>
            <w:u w:val="single" w:color="0562C1"/>
          </w:rPr>
          <w:t>Persons</w:t>
        </w:r>
      </w:hyperlink>
      <w:r>
        <w:rPr/>
        <w:t>,</w:t>
      </w:r>
      <w:r>
        <w:rPr>
          <w:spacing w:val="-2"/>
        </w:rPr>
        <w:t> </w:t>
      </w:r>
      <w:r>
        <w:rPr/>
        <w:t>modeled</w:t>
      </w:r>
      <w:r>
        <w:rPr>
          <w:spacing w:val="-3"/>
        </w:rPr>
        <w:t> </w:t>
      </w:r>
      <w:r>
        <w:rPr/>
        <w:t>after</w:t>
      </w:r>
      <w:r>
        <w:rPr>
          <w:spacing w:val="-2"/>
        </w:rPr>
        <w:t> </w:t>
      </w:r>
      <w:r>
        <w:rPr/>
        <w:t>the</w:t>
      </w:r>
      <w:r>
        <w:rPr>
          <w:spacing w:val="-1"/>
        </w:rPr>
        <w:t> </w:t>
      </w:r>
      <w:r>
        <w:rPr/>
        <w:t>DOJ’s</w:t>
      </w:r>
      <w:r>
        <w:rPr>
          <w:spacing w:val="80"/>
        </w:rPr>
        <w:t> </w:t>
      </w:r>
      <w:r>
        <w:rPr/>
        <w:t>guidance,</w:t>
      </w:r>
      <w:r>
        <w:rPr>
          <w:spacing w:val="-3"/>
        </w:rPr>
        <w:t> </w:t>
      </w:r>
      <w:r>
        <w:rPr/>
        <w:t>to</w:t>
      </w:r>
      <w:r>
        <w:rPr>
          <w:spacing w:val="-3"/>
        </w:rPr>
        <w:t> </w:t>
      </w:r>
      <w:r>
        <w:rPr/>
        <w:t>the Federal Transit Administration (FTA) on how to carry out the requirements of</w:t>
      </w:r>
      <w:r>
        <w:rPr>
          <w:spacing w:val="40"/>
        </w:rPr>
        <w:t> </w:t>
      </w:r>
      <w:r>
        <w:rPr/>
        <w:t>Title VI for LEP persons. The DOT guidance</w:t>
      </w:r>
      <w:r>
        <w:rPr>
          <w:spacing w:val="-9"/>
        </w:rPr>
        <w:t> </w:t>
      </w:r>
      <w:r>
        <w:rPr/>
        <w:t>outlines</w:t>
      </w:r>
      <w:r>
        <w:rPr>
          <w:spacing w:val="-7"/>
        </w:rPr>
        <w:t> </w:t>
      </w:r>
      <w:r>
        <w:rPr/>
        <w:t>four</w:t>
      </w:r>
      <w:r>
        <w:rPr>
          <w:spacing w:val="-7"/>
        </w:rPr>
        <w:t> </w:t>
      </w:r>
      <w:r>
        <w:rPr/>
        <w:t>factors</w:t>
      </w:r>
      <w:r>
        <w:rPr>
          <w:spacing w:val="-7"/>
        </w:rPr>
        <w:t> </w:t>
      </w:r>
      <w:r>
        <w:rPr/>
        <w:t>that</w:t>
      </w:r>
      <w:r>
        <w:rPr>
          <w:spacing w:val="-8"/>
        </w:rPr>
        <w:t> </w:t>
      </w:r>
      <w:r>
        <w:rPr/>
        <w:t>recipients</w:t>
      </w:r>
      <w:r>
        <w:rPr>
          <w:spacing w:val="-7"/>
        </w:rPr>
        <w:t> </w:t>
      </w:r>
      <w:r>
        <w:rPr/>
        <w:t>should</w:t>
      </w:r>
      <w:r>
        <w:rPr>
          <w:spacing w:val="-6"/>
        </w:rPr>
        <w:t> </w:t>
      </w:r>
      <w:r>
        <w:rPr/>
        <w:t>apply</w:t>
      </w:r>
      <w:r>
        <w:rPr>
          <w:spacing w:val="-10"/>
        </w:rPr>
        <w:t> </w:t>
      </w:r>
      <w:r>
        <w:rPr/>
        <w:t>to</w:t>
      </w:r>
      <w:r>
        <w:rPr>
          <w:spacing w:val="67"/>
        </w:rPr>
        <w:t> </w:t>
      </w:r>
      <w:r>
        <w:rPr/>
        <w:t>assess</w:t>
      </w:r>
      <w:r>
        <w:rPr>
          <w:spacing w:val="-10"/>
        </w:rPr>
        <w:t> </w:t>
      </w:r>
      <w:r>
        <w:rPr/>
        <w:t>the</w:t>
      </w:r>
      <w:r>
        <w:rPr>
          <w:spacing w:val="-9"/>
        </w:rPr>
        <w:t> </w:t>
      </w:r>
      <w:r>
        <w:rPr/>
        <w:t>language</w:t>
      </w:r>
      <w:r>
        <w:rPr>
          <w:spacing w:val="-6"/>
        </w:rPr>
        <w:t> </w:t>
      </w:r>
      <w:r>
        <w:rPr/>
        <w:t>needs</w:t>
      </w:r>
      <w:r>
        <w:rPr>
          <w:spacing w:val="-7"/>
        </w:rPr>
        <w:t> </w:t>
      </w:r>
      <w:r>
        <w:rPr/>
        <w:t>of</w:t>
      </w:r>
      <w:r>
        <w:rPr>
          <w:spacing w:val="-6"/>
        </w:rPr>
        <w:t> </w:t>
      </w:r>
      <w:r>
        <w:rPr/>
        <w:t>those</w:t>
      </w:r>
      <w:r>
        <w:rPr>
          <w:spacing w:val="-9"/>
        </w:rPr>
        <w:t> </w:t>
      </w:r>
      <w:r>
        <w:rPr/>
        <w:t>individuals they come in contact with who have limited</w:t>
      </w:r>
      <w:r>
        <w:rPr>
          <w:spacing w:val="40"/>
        </w:rPr>
        <w:t> </w:t>
      </w:r>
      <w:r>
        <w:rPr/>
        <w:t>English proficiency, and to take reasonable steps to ensure meaningful access to their programs</w:t>
      </w:r>
      <w:r>
        <w:rPr>
          <w:spacing w:val="40"/>
        </w:rPr>
        <w:t> </w:t>
      </w:r>
      <w:r>
        <w:rPr/>
        <w:t>and activities by those people.</w:t>
      </w:r>
      <w:r>
        <w:rPr>
          <w:spacing w:val="-3"/>
        </w:rPr>
        <w:t> </w:t>
      </w:r>
      <w:r>
        <w:rPr/>
        <w:t>The referenced guidance is commonly known as a four-factor</w:t>
      </w:r>
      <w:r>
        <w:rPr>
          <w:spacing w:val="40"/>
        </w:rPr>
        <w:t> </w:t>
      </w:r>
      <w:r>
        <w:rPr/>
        <w:t>analysis.</w:t>
      </w:r>
    </w:p>
    <w:p>
      <w:pPr>
        <w:pStyle w:val="BodyText"/>
        <w:spacing w:before="10"/>
        <w:rPr>
          <w:sz w:val="33"/>
        </w:rPr>
      </w:pPr>
    </w:p>
    <w:p>
      <w:pPr>
        <w:pStyle w:val="BodyText"/>
        <w:spacing w:line="264" w:lineRule="auto"/>
        <w:ind w:left="240" w:right="365"/>
        <w:jc w:val="both"/>
      </w:pPr>
      <w:r>
        <w:rPr/>
        <w:t>The</w:t>
      </w:r>
      <w:r>
        <w:rPr>
          <w:spacing w:val="-9"/>
        </w:rPr>
        <w:t> </w:t>
      </w:r>
      <w:r>
        <w:rPr/>
        <w:t>purpose</w:t>
      </w:r>
      <w:r>
        <w:rPr>
          <w:spacing w:val="-8"/>
        </w:rPr>
        <w:t> </w:t>
      </w:r>
      <w:r>
        <w:rPr/>
        <w:t>of</w:t>
      </w:r>
      <w:r>
        <w:rPr>
          <w:spacing w:val="-7"/>
        </w:rPr>
        <w:t> </w:t>
      </w:r>
      <w:r>
        <w:rPr/>
        <w:t>this</w:t>
      </w:r>
      <w:r>
        <w:rPr>
          <w:spacing w:val="-8"/>
        </w:rPr>
        <w:t> </w:t>
      </w:r>
      <w:r>
        <w:rPr/>
        <w:t>portion</w:t>
      </w:r>
      <w:r>
        <w:rPr>
          <w:spacing w:val="-7"/>
        </w:rPr>
        <w:t> </w:t>
      </w:r>
      <w:r>
        <w:rPr/>
        <w:t>of</w:t>
      </w:r>
      <w:r>
        <w:rPr>
          <w:spacing w:val="-7"/>
        </w:rPr>
        <w:t> </w:t>
      </w:r>
      <w:r>
        <w:rPr/>
        <w:t>the</w:t>
      </w:r>
      <w:r>
        <w:rPr>
          <w:spacing w:val="-9"/>
        </w:rPr>
        <w:t> </w:t>
      </w:r>
      <w:r>
        <w:rPr/>
        <w:t>Maine</w:t>
      </w:r>
      <w:r>
        <w:rPr>
          <w:spacing w:val="-9"/>
        </w:rPr>
        <w:t> </w:t>
      </w:r>
      <w:r>
        <w:rPr/>
        <w:t>DOT</w:t>
      </w:r>
      <w:r>
        <w:rPr>
          <w:spacing w:val="-11"/>
        </w:rPr>
        <w:t> </w:t>
      </w:r>
      <w:r>
        <w:rPr/>
        <w:t>LEP</w:t>
      </w:r>
      <w:r>
        <w:rPr>
          <w:spacing w:val="-14"/>
        </w:rPr>
        <w:t> </w:t>
      </w:r>
      <w:r>
        <w:rPr/>
        <w:t>Plan</w:t>
      </w:r>
      <w:r>
        <w:rPr>
          <w:spacing w:val="-6"/>
        </w:rPr>
        <w:t> </w:t>
      </w:r>
      <w:r>
        <w:rPr/>
        <w:t>update</w:t>
      </w:r>
      <w:r>
        <w:rPr>
          <w:spacing w:val="-8"/>
        </w:rPr>
        <w:t> </w:t>
      </w:r>
      <w:r>
        <w:rPr/>
        <w:t>is</w:t>
      </w:r>
      <w:r>
        <w:rPr>
          <w:spacing w:val="-8"/>
        </w:rPr>
        <w:t> </w:t>
      </w:r>
      <w:r>
        <w:rPr/>
        <w:t>to</w:t>
      </w:r>
      <w:r>
        <w:rPr>
          <w:spacing w:val="-8"/>
        </w:rPr>
        <w:t> </w:t>
      </w:r>
      <w:r>
        <w:rPr/>
        <w:t>apply</w:t>
      </w:r>
      <w:r>
        <w:rPr>
          <w:spacing w:val="-10"/>
        </w:rPr>
        <w:t> </w:t>
      </w:r>
      <w:r>
        <w:rPr/>
        <w:t>the</w:t>
      </w:r>
      <w:r>
        <w:rPr>
          <w:spacing w:val="-8"/>
        </w:rPr>
        <w:t> </w:t>
      </w:r>
      <w:r>
        <w:rPr/>
        <w:t>four-factor</w:t>
      </w:r>
      <w:r>
        <w:rPr>
          <w:spacing w:val="31"/>
        </w:rPr>
        <w:t> </w:t>
      </w:r>
      <w:r>
        <w:rPr/>
        <w:t>analysis</w:t>
      </w:r>
      <w:r>
        <w:rPr>
          <w:spacing w:val="-10"/>
        </w:rPr>
        <w:t> </w:t>
      </w:r>
      <w:r>
        <w:rPr/>
        <w:t>to</w:t>
      </w:r>
      <w:r>
        <w:rPr>
          <w:spacing w:val="-9"/>
        </w:rPr>
        <w:t> </w:t>
      </w:r>
      <w:r>
        <w:rPr/>
        <w:t>the</w:t>
      </w:r>
      <w:r>
        <w:rPr>
          <w:spacing w:val="-8"/>
        </w:rPr>
        <w:t> </w:t>
      </w:r>
      <w:r>
        <w:rPr/>
        <w:t>most currently available demographic information in conjunction with survey data conducted in Maine’s eight transportation</w:t>
      </w:r>
      <w:r>
        <w:rPr>
          <w:spacing w:val="33"/>
        </w:rPr>
        <w:t> </w:t>
      </w:r>
      <w:r>
        <w:rPr/>
        <w:t>regions</w:t>
      </w:r>
      <w:r>
        <w:rPr>
          <w:spacing w:val="31"/>
        </w:rPr>
        <w:t> </w:t>
      </w:r>
      <w:r>
        <w:rPr/>
        <w:t>to</w:t>
      </w:r>
      <w:r>
        <w:rPr>
          <w:spacing w:val="34"/>
        </w:rPr>
        <w:t> </w:t>
      </w:r>
      <w:r>
        <w:rPr/>
        <w:t>determine</w:t>
      </w:r>
      <w:r>
        <w:rPr>
          <w:spacing w:val="34"/>
        </w:rPr>
        <w:t> </w:t>
      </w:r>
      <w:r>
        <w:rPr/>
        <w:t>if</w:t>
      </w:r>
      <w:r>
        <w:rPr>
          <w:spacing w:val="32"/>
        </w:rPr>
        <w:t> </w:t>
      </w:r>
      <w:r>
        <w:rPr/>
        <w:t>existing</w:t>
      </w:r>
      <w:r>
        <w:rPr>
          <w:spacing w:val="31"/>
        </w:rPr>
        <w:t> </w:t>
      </w:r>
      <w:r>
        <w:rPr/>
        <w:t>measures</w:t>
      </w:r>
      <w:r>
        <w:rPr>
          <w:spacing w:val="31"/>
        </w:rPr>
        <w:t> </w:t>
      </w:r>
      <w:r>
        <w:rPr/>
        <w:t>put</w:t>
      </w:r>
      <w:r>
        <w:rPr>
          <w:spacing w:val="35"/>
        </w:rPr>
        <w:t> </w:t>
      </w:r>
      <w:r>
        <w:rPr/>
        <w:t>in</w:t>
      </w:r>
      <w:r>
        <w:rPr>
          <w:spacing w:val="32"/>
        </w:rPr>
        <w:t> </w:t>
      </w:r>
      <w:r>
        <w:rPr/>
        <w:t>place</w:t>
      </w:r>
      <w:r>
        <w:rPr>
          <w:spacing w:val="40"/>
        </w:rPr>
        <w:t>  </w:t>
      </w:r>
      <w:r>
        <w:rPr/>
        <w:t>as</w:t>
      </w:r>
      <w:r>
        <w:rPr>
          <w:spacing w:val="33"/>
        </w:rPr>
        <w:t> </w:t>
      </w:r>
      <w:r>
        <w:rPr/>
        <w:t>outlined</w:t>
      </w:r>
      <w:r>
        <w:rPr>
          <w:spacing w:val="32"/>
        </w:rPr>
        <w:t> </w:t>
      </w:r>
      <w:r>
        <w:rPr/>
        <w:t>in</w:t>
      </w:r>
      <w:r>
        <w:rPr>
          <w:spacing w:val="32"/>
        </w:rPr>
        <w:t> </w:t>
      </w:r>
      <w:r>
        <w:rPr/>
        <w:t>the</w:t>
      </w:r>
      <w:r>
        <w:rPr>
          <w:spacing w:val="34"/>
        </w:rPr>
        <w:t> </w:t>
      </w:r>
      <w:r>
        <w:rPr/>
        <w:t>2018</w:t>
      </w:r>
      <w:r>
        <w:rPr>
          <w:spacing w:val="34"/>
        </w:rPr>
        <w:t> </w:t>
      </w:r>
      <w:r>
        <w:rPr/>
        <w:t>plan</w:t>
      </w:r>
      <w:r>
        <w:rPr>
          <w:spacing w:val="35"/>
        </w:rPr>
        <w:t> </w:t>
      </w:r>
      <w:r>
        <w:rPr/>
        <w:t>are</w:t>
      </w:r>
    </w:p>
    <w:p>
      <w:pPr>
        <w:spacing w:after="0" w:line="264" w:lineRule="auto"/>
        <w:jc w:val="both"/>
        <w:sectPr>
          <w:pgSz w:w="12240" w:h="15840"/>
          <w:pgMar w:header="0" w:footer="1023" w:top="1000" w:bottom="1260" w:left="600" w:right="500"/>
        </w:sectPr>
      </w:pPr>
    </w:p>
    <w:p>
      <w:pPr>
        <w:pStyle w:val="BodyText"/>
        <w:spacing w:line="264" w:lineRule="auto" w:before="35"/>
        <w:ind w:left="240" w:right="365"/>
        <w:jc w:val="both"/>
      </w:pPr>
      <w:r>
        <w:rPr/>
        <w:t>sufficient to bridge gaps to services that may be caused by</w:t>
      </w:r>
      <w:r>
        <w:rPr>
          <w:spacing w:val="40"/>
        </w:rPr>
        <w:t> </w:t>
      </w:r>
      <w:r>
        <w:rPr/>
        <w:t>language barriers, and if not, to provide recommendations to do so.</w:t>
      </w:r>
    </w:p>
    <w:p>
      <w:pPr>
        <w:pStyle w:val="BodyText"/>
        <w:spacing w:before="11"/>
        <w:rPr>
          <w:sz w:val="33"/>
        </w:rPr>
      </w:pPr>
    </w:p>
    <w:p>
      <w:pPr>
        <w:pStyle w:val="BodyText"/>
        <w:spacing w:line="264" w:lineRule="auto"/>
        <w:ind w:left="239" w:right="292"/>
        <w:jc w:val="both"/>
      </w:pPr>
      <w:r>
        <w:rPr/>
        <w:t>The importance of the availability of language assistance should be commensurate with the</w:t>
      </w:r>
      <w:r>
        <w:rPr>
          <w:spacing w:val="80"/>
        </w:rPr>
        <w:t> </w:t>
      </w:r>
      <w:r>
        <w:rPr/>
        <w:t>number or proportion of eligible LEP persons, the frequency of contact with the service, and the</w:t>
      </w:r>
      <w:r>
        <w:rPr>
          <w:spacing w:val="40"/>
        </w:rPr>
        <w:t> </w:t>
      </w:r>
      <w:r>
        <w:rPr/>
        <w:t>importance of the program, activity, or service. That is to say, the greater the above-mentioned</w:t>
      </w:r>
      <w:r>
        <w:rPr>
          <w:spacing w:val="40"/>
        </w:rPr>
        <w:t> </w:t>
      </w:r>
      <w:r>
        <w:rPr/>
        <w:t>factors, the greater the importance to make language assistance available. Smaller recipients with</w:t>
      </w:r>
      <w:r>
        <w:rPr>
          <w:spacing w:val="80"/>
        </w:rPr>
        <w:t> </w:t>
      </w:r>
      <w:r>
        <w:rPr/>
        <w:t>limited budgets are typically not expected</w:t>
      </w:r>
      <w:r>
        <w:rPr>
          <w:spacing w:val="-2"/>
        </w:rPr>
        <w:t> </w:t>
      </w:r>
      <w:r>
        <w:rPr/>
        <w:t>to</w:t>
      </w:r>
      <w:r>
        <w:rPr>
          <w:spacing w:val="-2"/>
        </w:rPr>
        <w:t> </w:t>
      </w:r>
      <w:r>
        <w:rPr/>
        <w:t>provide</w:t>
      </w:r>
      <w:r>
        <w:rPr>
          <w:spacing w:val="-2"/>
        </w:rPr>
        <w:t> </w:t>
      </w:r>
      <w:r>
        <w:rPr/>
        <w:t>the</w:t>
      </w:r>
      <w:r>
        <w:rPr>
          <w:spacing w:val="-3"/>
        </w:rPr>
        <w:t> </w:t>
      </w:r>
      <w:r>
        <w:rPr/>
        <w:t>same</w:t>
      </w:r>
      <w:r>
        <w:rPr>
          <w:spacing w:val="-3"/>
        </w:rPr>
        <w:t> </w:t>
      </w:r>
      <w:r>
        <w:rPr/>
        <w:t>level</w:t>
      </w:r>
      <w:r>
        <w:rPr>
          <w:spacing w:val="-1"/>
        </w:rPr>
        <w:t> </w:t>
      </w:r>
      <w:r>
        <w:rPr/>
        <w:t>of</w:t>
      </w:r>
      <w:r>
        <w:rPr>
          <w:spacing w:val="-1"/>
        </w:rPr>
        <w:t> </w:t>
      </w:r>
      <w:r>
        <w:rPr/>
        <w:t>service</w:t>
      </w:r>
      <w:r>
        <w:rPr>
          <w:spacing w:val="-3"/>
        </w:rPr>
        <w:t> </w:t>
      </w:r>
      <w:r>
        <w:rPr/>
        <w:t>as</w:t>
      </w:r>
      <w:r>
        <w:rPr>
          <w:spacing w:val="-2"/>
        </w:rPr>
        <w:t> </w:t>
      </w:r>
      <w:r>
        <w:rPr/>
        <w:t>larger</w:t>
      </w:r>
      <w:r>
        <w:rPr>
          <w:spacing w:val="-3"/>
        </w:rPr>
        <w:t> </w:t>
      </w:r>
      <w:r>
        <w:rPr/>
        <w:t>recipients</w:t>
      </w:r>
      <w:r>
        <w:rPr>
          <w:spacing w:val="80"/>
        </w:rPr>
        <w:t> </w:t>
      </w:r>
      <w:r>
        <w:rPr/>
        <w:t>with</w:t>
      </w:r>
      <w:r>
        <w:rPr>
          <w:spacing w:val="-2"/>
        </w:rPr>
        <w:t> </w:t>
      </w:r>
      <w:r>
        <w:rPr/>
        <w:t>larger</w:t>
      </w:r>
      <w:r>
        <w:rPr>
          <w:spacing w:val="-3"/>
        </w:rPr>
        <w:t> </w:t>
      </w:r>
      <w:r>
        <w:rPr/>
        <w:t>budgets.</w:t>
      </w:r>
      <w:r>
        <w:rPr>
          <w:spacing w:val="-9"/>
        </w:rPr>
        <w:t> </w:t>
      </w:r>
      <w:r>
        <w:rPr/>
        <w:t>The</w:t>
      </w:r>
      <w:r>
        <w:rPr>
          <w:spacing w:val="-3"/>
        </w:rPr>
        <w:t> </w:t>
      </w:r>
      <w:r>
        <w:rPr/>
        <w:t>DOT’s</w:t>
      </w:r>
      <w:r>
        <w:rPr>
          <w:spacing w:val="-6"/>
        </w:rPr>
        <w:t> </w:t>
      </w:r>
      <w:r>
        <w:rPr/>
        <w:t>intent</w:t>
      </w:r>
      <w:r>
        <w:rPr>
          <w:spacing w:val="-2"/>
        </w:rPr>
        <w:t> </w:t>
      </w:r>
      <w:r>
        <w:rPr/>
        <w:t>with this program is to find a balance that ensures</w:t>
      </w:r>
      <w:r>
        <w:rPr>
          <w:spacing w:val="80"/>
        </w:rPr>
        <w:t> </w:t>
      </w:r>
      <w:r>
        <w:rPr/>
        <w:t>meaningful access by LEP</w:t>
      </w:r>
      <w:r>
        <w:rPr>
          <w:spacing w:val="-5"/>
        </w:rPr>
        <w:t> </w:t>
      </w:r>
      <w:r>
        <w:rPr/>
        <w:t>persons to critical services without imposing undue burdens on small</w:t>
      </w:r>
      <w:r>
        <w:rPr>
          <w:spacing w:val="80"/>
        </w:rPr>
        <w:t> </w:t>
      </w:r>
      <w:r>
        <w:rPr/>
        <w:t>organizations and local governments.</w:t>
      </w:r>
    </w:p>
    <w:p>
      <w:pPr>
        <w:pStyle w:val="BodyText"/>
        <w:spacing w:before="10"/>
        <w:rPr>
          <w:sz w:val="33"/>
        </w:rPr>
      </w:pPr>
    </w:p>
    <w:p>
      <w:pPr>
        <w:pStyle w:val="BodyText"/>
        <w:spacing w:line="264" w:lineRule="auto"/>
        <w:ind w:left="240" w:right="460"/>
        <w:jc w:val="both"/>
      </w:pPr>
      <w:r>
        <w:rPr/>
        <w:t>The four-factor analysis will help the recipients determine the right level and combination of</w:t>
      </w:r>
      <w:r>
        <w:rPr>
          <w:spacing w:val="80"/>
        </w:rPr>
        <w:t> </w:t>
      </w:r>
      <w:r>
        <w:rPr/>
        <w:t>LEP</w:t>
      </w:r>
      <w:r>
        <w:rPr>
          <w:spacing w:val="-6"/>
        </w:rPr>
        <w:t> </w:t>
      </w:r>
      <w:r>
        <w:rPr/>
        <w:t>services that are both necessary and reasonable for their particular demographics. The two</w:t>
      </w:r>
      <w:r>
        <w:rPr>
          <w:spacing w:val="80"/>
        </w:rPr>
        <w:t> </w:t>
      </w:r>
      <w:r>
        <w:rPr/>
        <w:t>primary methods for providing language services are oral interpretation and written translation.</w:t>
      </w:r>
    </w:p>
    <w:p>
      <w:pPr>
        <w:pStyle w:val="BodyText"/>
        <w:spacing w:before="11"/>
        <w:rPr>
          <w:sz w:val="33"/>
        </w:rPr>
      </w:pPr>
    </w:p>
    <w:p>
      <w:pPr>
        <w:pStyle w:val="BodyText"/>
        <w:ind w:left="240"/>
        <w:jc w:val="both"/>
      </w:pPr>
      <w:r>
        <w:rPr/>
        <w:t>The</w:t>
      </w:r>
      <w:r>
        <w:rPr>
          <w:spacing w:val="-7"/>
        </w:rPr>
        <w:t> </w:t>
      </w:r>
      <w:r>
        <w:rPr/>
        <w:t>four</w:t>
      </w:r>
      <w:r>
        <w:rPr>
          <w:spacing w:val="-6"/>
        </w:rPr>
        <w:t> </w:t>
      </w:r>
      <w:r>
        <w:rPr/>
        <w:t>factors</w:t>
      </w:r>
      <w:r>
        <w:rPr>
          <w:spacing w:val="-7"/>
        </w:rPr>
        <w:t> </w:t>
      </w:r>
      <w:r>
        <w:rPr/>
        <w:t>considered</w:t>
      </w:r>
      <w:r>
        <w:rPr>
          <w:spacing w:val="-4"/>
        </w:rPr>
        <w:t> </w:t>
      </w:r>
      <w:r>
        <w:rPr/>
        <w:t>in</w:t>
      </w:r>
      <w:r>
        <w:rPr>
          <w:spacing w:val="-8"/>
        </w:rPr>
        <w:t> </w:t>
      </w:r>
      <w:r>
        <w:rPr/>
        <w:t>the</w:t>
      </w:r>
      <w:r>
        <w:rPr>
          <w:spacing w:val="-6"/>
        </w:rPr>
        <w:t> </w:t>
      </w:r>
      <w:r>
        <w:rPr/>
        <w:t>analysis</w:t>
      </w:r>
      <w:r>
        <w:rPr>
          <w:spacing w:val="-6"/>
        </w:rPr>
        <w:t> </w:t>
      </w:r>
      <w:r>
        <w:rPr>
          <w:spacing w:val="-4"/>
        </w:rPr>
        <w:t>are:</w:t>
      </w:r>
    </w:p>
    <w:p>
      <w:pPr>
        <w:pStyle w:val="BodyText"/>
        <w:spacing w:before="9"/>
        <w:rPr>
          <w:sz w:val="35"/>
        </w:rPr>
      </w:pPr>
    </w:p>
    <w:p>
      <w:pPr>
        <w:pStyle w:val="ListParagraph"/>
        <w:numPr>
          <w:ilvl w:val="0"/>
          <w:numId w:val="34"/>
        </w:numPr>
        <w:tabs>
          <w:tab w:pos="959" w:val="left" w:leader="none"/>
        </w:tabs>
        <w:spacing w:line="264" w:lineRule="auto" w:before="0" w:after="0"/>
        <w:ind w:left="959" w:right="2787" w:hanging="360"/>
        <w:jc w:val="left"/>
        <w:rPr>
          <w:sz w:val="24"/>
        </w:rPr>
      </w:pPr>
      <w:r>
        <w:rPr>
          <w:sz w:val="24"/>
        </w:rPr>
        <w:t>The</w:t>
      </w:r>
      <w:r>
        <w:rPr>
          <w:spacing w:val="-6"/>
          <w:sz w:val="24"/>
        </w:rPr>
        <w:t> </w:t>
      </w:r>
      <w:r>
        <w:rPr>
          <w:sz w:val="24"/>
        </w:rPr>
        <w:t>number</w:t>
      </w:r>
      <w:r>
        <w:rPr>
          <w:spacing w:val="-8"/>
          <w:sz w:val="24"/>
        </w:rPr>
        <w:t> </w:t>
      </w:r>
      <w:r>
        <w:rPr>
          <w:sz w:val="24"/>
        </w:rPr>
        <w:t>or</w:t>
      </w:r>
      <w:r>
        <w:rPr>
          <w:spacing w:val="-6"/>
          <w:sz w:val="24"/>
        </w:rPr>
        <w:t> </w:t>
      </w:r>
      <w:r>
        <w:rPr>
          <w:sz w:val="24"/>
        </w:rPr>
        <w:t>proportion</w:t>
      </w:r>
      <w:r>
        <w:rPr>
          <w:spacing w:val="-5"/>
          <w:sz w:val="24"/>
        </w:rPr>
        <w:t> </w:t>
      </w:r>
      <w:r>
        <w:rPr>
          <w:sz w:val="24"/>
        </w:rPr>
        <w:t>of</w:t>
      </w:r>
      <w:r>
        <w:rPr>
          <w:spacing w:val="-5"/>
          <w:sz w:val="24"/>
        </w:rPr>
        <w:t> </w:t>
      </w:r>
      <w:r>
        <w:rPr>
          <w:sz w:val="24"/>
        </w:rPr>
        <w:t>LEP</w:t>
      </w:r>
      <w:r>
        <w:rPr>
          <w:spacing w:val="-14"/>
          <w:sz w:val="24"/>
        </w:rPr>
        <w:t> </w:t>
      </w:r>
      <w:r>
        <w:rPr>
          <w:sz w:val="24"/>
        </w:rPr>
        <w:t>persons</w:t>
      </w:r>
      <w:r>
        <w:rPr>
          <w:spacing w:val="-8"/>
          <w:sz w:val="24"/>
        </w:rPr>
        <w:t> </w:t>
      </w:r>
      <w:r>
        <w:rPr>
          <w:sz w:val="24"/>
        </w:rPr>
        <w:t>eligible</w:t>
      </w:r>
      <w:r>
        <w:rPr>
          <w:spacing w:val="-8"/>
          <w:sz w:val="24"/>
        </w:rPr>
        <w:t> </w:t>
      </w:r>
      <w:r>
        <w:rPr>
          <w:sz w:val="24"/>
        </w:rPr>
        <w:t>to</w:t>
      </w:r>
      <w:r>
        <w:rPr>
          <w:spacing w:val="-5"/>
          <w:sz w:val="24"/>
        </w:rPr>
        <w:t> </w:t>
      </w:r>
      <w:r>
        <w:rPr>
          <w:sz w:val="24"/>
        </w:rPr>
        <w:t>be</w:t>
      </w:r>
      <w:r>
        <w:rPr>
          <w:spacing w:val="-5"/>
          <w:sz w:val="24"/>
        </w:rPr>
        <w:t> </w:t>
      </w:r>
      <w:r>
        <w:rPr>
          <w:sz w:val="24"/>
        </w:rPr>
        <w:t>served</w:t>
      </w:r>
      <w:r>
        <w:rPr>
          <w:spacing w:val="-5"/>
          <w:sz w:val="24"/>
        </w:rPr>
        <w:t> </w:t>
      </w:r>
      <w:r>
        <w:rPr>
          <w:sz w:val="24"/>
        </w:rPr>
        <w:t>or</w:t>
      </w:r>
      <w:r>
        <w:rPr>
          <w:spacing w:val="-6"/>
          <w:sz w:val="24"/>
        </w:rPr>
        <w:t> </w:t>
      </w:r>
      <w:r>
        <w:rPr>
          <w:sz w:val="24"/>
        </w:rPr>
        <w:t>likely</w:t>
      </w:r>
      <w:r>
        <w:rPr>
          <w:spacing w:val="-7"/>
          <w:sz w:val="24"/>
        </w:rPr>
        <w:t> </w:t>
      </w:r>
      <w:r>
        <w:rPr>
          <w:sz w:val="24"/>
        </w:rPr>
        <w:t>to</w:t>
      </w:r>
      <w:r>
        <w:rPr>
          <w:spacing w:val="-8"/>
          <w:sz w:val="24"/>
        </w:rPr>
        <w:t> </w:t>
      </w:r>
      <w:r>
        <w:rPr>
          <w:sz w:val="24"/>
        </w:rPr>
        <w:t>be encountered by a program, activity, or service of the recipient or grantee.</w:t>
      </w:r>
    </w:p>
    <w:p>
      <w:pPr>
        <w:pStyle w:val="ListParagraph"/>
        <w:numPr>
          <w:ilvl w:val="0"/>
          <w:numId w:val="34"/>
        </w:numPr>
        <w:tabs>
          <w:tab w:pos="958" w:val="left" w:leader="none"/>
        </w:tabs>
        <w:spacing w:line="292" w:lineRule="exact" w:before="0" w:after="0"/>
        <w:ind w:left="958" w:right="0" w:hanging="359"/>
        <w:jc w:val="left"/>
        <w:rPr>
          <w:sz w:val="24"/>
        </w:rPr>
      </w:pPr>
      <w:r>
        <w:rPr>
          <w:sz w:val="24"/>
        </w:rPr>
        <w:t>The</w:t>
      </w:r>
      <w:r>
        <w:rPr>
          <w:spacing w:val="-14"/>
          <w:sz w:val="24"/>
        </w:rPr>
        <w:t> </w:t>
      </w:r>
      <w:r>
        <w:rPr>
          <w:sz w:val="24"/>
        </w:rPr>
        <w:t>frequency</w:t>
      </w:r>
      <w:r>
        <w:rPr>
          <w:spacing w:val="-10"/>
          <w:sz w:val="24"/>
        </w:rPr>
        <w:t> </w:t>
      </w:r>
      <w:r>
        <w:rPr>
          <w:sz w:val="24"/>
        </w:rPr>
        <w:t>with</w:t>
      </w:r>
      <w:r>
        <w:rPr>
          <w:spacing w:val="-7"/>
          <w:sz w:val="24"/>
        </w:rPr>
        <w:t> </w:t>
      </w:r>
      <w:r>
        <w:rPr>
          <w:sz w:val="24"/>
        </w:rPr>
        <w:t>which</w:t>
      </w:r>
      <w:r>
        <w:rPr>
          <w:spacing w:val="-7"/>
          <w:sz w:val="24"/>
        </w:rPr>
        <w:t> </w:t>
      </w:r>
      <w:r>
        <w:rPr>
          <w:sz w:val="24"/>
        </w:rPr>
        <w:t>LEP</w:t>
      </w:r>
      <w:r>
        <w:rPr>
          <w:spacing w:val="-14"/>
          <w:sz w:val="24"/>
        </w:rPr>
        <w:t> </w:t>
      </w:r>
      <w:r>
        <w:rPr>
          <w:sz w:val="24"/>
        </w:rPr>
        <w:t>individuals</w:t>
      </w:r>
      <w:r>
        <w:rPr>
          <w:spacing w:val="-5"/>
          <w:sz w:val="24"/>
        </w:rPr>
        <w:t> </w:t>
      </w:r>
      <w:r>
        <w:rPr>
          <w:sz w:val="24"/>
        </w:rPr>
        <w:t>come</w:t>
      </w:r>
      <w:r>
        <w:rPr>
          <w:spacing w:val="-8"/>
          <w:sz w:val="24"/>
        </w:rPr>
        <w:t> </w:t>
      </w:r>
      <w:r>
        <w:rPr>
          <w:sz w:val="24"/>
        </w:rPr>
        <w:t>in</w:t>
      </w:r>
      <w:r>
        <w:rPr>
          <w:spacing w:val="-7"/>
          <w:sz w:val="24"/>
        </w:rPr>
        <w:t> </w:t>
      </w:r>
      <w:r>
        <w:rPr>
          <w:sz w:val="24"/>
        </w:rPr>
        <w:t>contact</w:t>
      </w:r>
      <w:r>
        <w:rPr>
          <w:spacing w:val="-7"/>
          <w:sz w:val="24"/>
        </w:rPr>
        <w:t> </w:t>
      </w:r>
      <w:r>
        <w:rPr>
          <w:sz w:val="24"/>
        </w:rPr>
        <w:t>with</w:t>
      </w:r>
      <w:r>
        <w:rPr>
          <w:spacing w:val="-4"/>
          <w:sz w:val="24"/>
        </w:rPr>
        <w:t> </w:t>
      </w:r>
      <w:r>
        <w:rPr>
          <w:sz w:val="24"/>
        </w:rPr>
        <w:t>the</w:t>
      </w:r>
      <w:r>
        <w:rPr>
          <w:spacing w:val="-6"/>
          <w:sz w:val="24"/>
        </w:rPr>
        <w:t> </w:t>
      </w:r>
      <w:r>
        <w:rPr>
          <w:spacing w:val="-2"/>
          <w:sz w:val="24"/>
        </w:rPr>
        <w:t>program.</w:t>
      </w:r>
    </w:p>
    <w:p>
      <w:pPr>
        <w:pStyle w:val="ListParagraph"/>
        <w:numPr>
          <w:ilvl w:val="0"/>
          <w:numId w:val="34"/>
        </w:numPr>
        <w:tabs>
          <w:tab w:pos="959" w:val="left" w:leader="none"/>
        </w:tabs>
        <w:spacing w:line="261" w:lineRule="auto" w:before="31" w:after="0"/>
        <w:ind w:left="959" w:right="1322" w:hanging="360"/>
        <w:jc w:val="left"/>
        <w:rPr>
          <w:sz w:val="24"/>
        </w:rPr>
      </w:pPr>
      <w:r>
        <w:rPr>
          <w:sz w:val="24"/>
        </w:rPr>
        <w:t>The</w:t>
      </w:r>
      <w:r>
        <w:rPr>
          <w:spacing w:val="-7"/>
          <w:sz w:val="24"/>
        </w:rPr>
        <w:t> </w:t>
      </w:r>
      <w:r>
        <w:rPr>
          <w:sz w:val="24"/>
        </w:rPr>
        <w:t>nature</w:t>
      </w:r>
      <w:r>
        <w:rPr>
          <w:spacing w:val="-10"/>
          <w:sz w:val="24"/>
        </w:rPr>
        <w:t> </w:t>
      </w:r>
      <w:r>
        <w:rPr>
          <w:sz w:val="24"/>
        </w:rPr>
        <w:t>and</w:t>
      </w:r>
      <w:r>
        <w:rPr>
          <w:spacing w:val="-4"/>
          <w:sz w:val="24"/>
        </w:rPr>
        <w:t> </w:t>
      </w:r>
      <w:r>
        <w:rPr>
          <w:sz w:val="24"/>
        </w:rPr>
        <w:t>importance</w:t>
      </w:r>
      <w:r>
        <w:rPr>
          <w:spacing w:val="-5"/>
          <w:sz w:val="24"/>
        </w:rPr>
        <w:t> </w:t>
      </w:r>
      <w:r>
        <w:rPr>
          <w:sz w:val="24"/>
        </w:rPr>
        <w:t>of</w:t>
      </w:r>
      <w:r>
        <w:rPr>
          <w:spacing w:val="-7"/>
          <w:sz w:val="24"/>
        </w:rPr>
        <w:t> </w:t>
      </w:r>
      <w:r>
        <w:rPr>
          <w:sz w:val="24"/>
        </w:rPr>
        <w:t>the</w:t>
      </w:r>
      <w:r>
        <w:rPr>
          <w:spacing w:val="-8"/>
          <w:sz w:val="24"/>
        </w:rPr>
        <w:t> </w:t>
      </w:r>
      <w:r>
        <w:rPr>
          <w:sz w:val="24"/>
        </w:rPr>
        <w:t>program,</w:t>
      </w:r>
      <w:r>
        <w:rPr>
          <w:spacing w:val="-8"/>
          <w:sz w:val="24"/>
        </w:rPr>
        <w:t> </w:t>
      </w:r>
      <w:r>
        <w:rPr>
          <w:sz w:val="24"/>
        </w:rPr>
        <w:t>activity,</w:t>
      </w:r>
      <w:r>
        <w:rPr>
          <w:spacing w:val="-8"/>
          <w:sz w:val="24"/>
        </w:rPr>
        <w:t> </w:t>
      </w:r>
      <w:r>
        <w:rPr>
          <w:sz w:val="24"/>
        </w:rPr>
        <w:t>or</w:t>
      </w:r>
      <w:r>
        <w:rPr>
          <w:spacing w:val="-8"/>
          <w:sz w:val="24"/>
        </w:rPr>
        <w:t> </w:t>
      </w:r>
      <w:r>
        <w:rPr>
          <w:sz w:val="24"/>
        </w:rPr>
        <w:t>service</w:t>
      </w:r>
      <w:r>
        <w:rPr>
          <w:spacing w:val="-10"/>
          <w:sz w:val="24"/>
        </w:rPr>
        <w:t> </w:t>
      </w:r>
      <w:r>
        <w:rPr>
          <w:sz w:val="24"/>
        </w:rPr>
        <w:t>provided</w:t>
      </w:r>
      <w:r>
        <w:rPr>
          <w:spacing w:val="-7"/>
          <w:sz w:val="24"/>
        </w:rPr>
        <w:t> </w:t>
      </w:r>
      <w:r>
        <w:rPr>
          <w:sz w:val="24"/>
        </w:rPr>
        <w:t>by</w:t>
      </w:r>
      <w:r>
        <w:rPr>
          <w:spacing w:val="-11"/>
          <w:sz w:val="24"/>
        </w:rPr>
        <w:t> </w:t>
      </w:r>
      <w:r>
        <w:rPr>
          <w:sz w:val="24"/>
        </w:rPr>
        <w:t>the</w:t>
      </w:r>
      <w:r>
        <w:rPr>
          <w:spacing w:val="-8"/>
          <w:sz w:val="24"/>
        </w:rPr>
        <w:t> </w:t>
      </w:r>
      <w:r>
        <w:rPr>
          <w:sz w:val="24"/>
        </w:rPr>
        <w:t>recipient</w:t>
      </w:r>
      <w:r>
        <w:rPr>
          <w:spacing w:val="59"/>
          <w:sz w:val="24"/>
        </w:rPr>
        <w:t> </w:t>
      </w:r>
      <w:r>
        <w:rPr>
          <w:sz w:val="24"/>
        </w:rPr>
        <w:t>to people’s lives.</w:t>
      </w:r>
    </w:p>
    <w:p>
      <w:pPr>
        <w:pStyle w:val="ListParagraph"/>
        <w:numPr>
          <w:ilvl w:val="0"/>
          <w:numId w:val="34"/>
        </w:numPr>
        <w:tabs>
          <w:tab w:pos="959" w:val="left" w:leader="none"/>
        </w:tabs>
        <w:spacing w:line="240" w:lineRule="auto" w:before="5" w:after="0"/>
        <w:ind w:left="959" w:right="0" w:hanging="359"/>
        <w:jc w:val="left"/>
        <w:rPr>
          <w:sz w:val="24"/>
        </w:rPr>
      </w:pPr>
      <w:r>
        <w:rPr>
          <w:sz w:val="24"/>
        </w:rPr>
        <w:t>The</w:t>
      </w:r>
      <w:r>
        <w:rPr>
          <w:spacing w:val="-11"/>
          <w:sz w:val="24"/>
        </w:rPr>
        <w:t> </w:t>
      </w:r>
      <w:r>
        <w:rPr>
          <w:sz w:val="24"/>
        </w:rPr>
        <w:t>resources</w:t>
      </w:r>
      <w:r>
        <w:rPr>
          <w:spacing w:val="-9"/>
          <w:sz w:val="24"/>
        </w:rPr>
        <w:t> </w:t>
      </w:r>
      <w:r>
        <w:rPr>
          <w:sz w:val="24"/>
        </w:rPr>
        <w:t>available</w:t>
      </w:r>
      <w:r>
        <w:rPr>
          <w:spacing w:val="-10"/>
          <w:sz w:val="24"/>
        </w:rPr>
        <w:t> </w:t>
      </w:r>
      <w:r>
        <w:rPr>
          <w:sz w:val="24"/>
        </w:rPr>
        <w:t>to</w:t>
      </w:r>
      <w:r>
        <w:rPr>
          <w:spacing w:val="-7"/>
          <w:sz w:val="24"/>
        </w:rPr>
        <w:t> </w:t>
      </w:r>
      <w:r>
        <w:rPr>
          <w:sz w:val="24"/>
        </w:rPr>
        <w:t>the</w:t>
      </w:r>
      <w:r>
        <w:rPr>
          <w:spacing w:val="-8"/>
          <w:sz w:val="24"/>
        </w:rPr>
        <w:t> </w:t>
      </w:r>
      <w:r>
        <w:rPr>
          <w:sz w:val="24"/>
        </w:rPr>
        <w:t>recipient,</w:t>
      </w:r>
      <w:r>
        <w:rPr>
          <w:spacing w:val="-7"/>
          <w:sz w:val="24"/>
        </w:rPr>
        <w:t> </w:t>
      </w:r>
      <w:r>
        <w:rPr>
          <w:sz w:val="24"/>
        </w:rPr>
        <w:t>and</w:t>
      </w:r>
      <w:r>
        <w:rPr>
          <w:spacing w:val="-8"/>
          <w:sz w:val="24"/>
        </w:rPr>
        <w:t> </w:t>
      </w:r>
      <w:r>
        <w:rPr>
          <w:sz w:val="24"/>
        </w:rPr>
        <w:t>associated</w:t>
      </w:r>
      <w:r>
        <w:rPr>
          <w:spacing w:val="-6"/>
          <w:sz w:val="24"/>
        </w:rPr>
        <w:t> </w:t>
      </w:r>
      <w:r>
        <w:rPr>
          <w:spacing w:val="-2"/>
          <w:sz w:val="24"/>
        </w:rPr>
        <w:t>costs.</w:t>
      </w:r>
    </w:p>
    <w:p>
      <w:pPr>
        <w:pStyle w:val="BodyText"/>
      </w:pPr>
    </w:p>
    <w:p>
      <w:pPr>
        <w:pStyle w:val="BodyText"/>
        <w:rPr>
          <w:sz w:val="29"/>
        </w:rPr>
      </w:pPr>
    </w:p>
    <w:p>
      <w:pPr>
        <w:pStyle w:val="Heading8"/>
        <w:spacing w:line="264" w:lineRule="auto" w:before="1"/>
        <w:ind w:left="4346" w:hanging="4109"/>
        <w:jc w:val="left"/>
        <w:rPr>
          <w:u w:val="none"/>
        </w:rPr>
      </w:pPr>
      <w:bookmarkStart w:name="Factor 1: The Number and Proportion of L" w:id="49"/>
      <w:bookmarkEnd w:id="49"/>
      <w:r>
        <w:rPr>
          <w:b w:val="0"/>
          <w:u w:val="none"/>
        </w:rPr>
      </w:r>
      <w:r>
        <w:rPr>
          <w:u w:val="single"/>
        </w:rPr>
        <w:t>FACTOR</w:t>
      </w:r>
      <w:r>
        <w:rPr>
          <w:spacing w:val="-14"/>
          <w:u w:val="single"/>
        </w:rPr>
        <w:t> </w:t>
      </w:r>
      <w:r>
        <w:rPr>
          <w:u w:val="single"/>
        </w:rPr>
        <w:t>1:</w:t>
      </w:r>
      <w:r>
        <w:rPr>
          <w:spacing w:val="-13"/>
          <w:u w:val="single"/>
        </w:rPr>
        <w:t> </w:t>
      </w:r>
      <w:r>
        <w:rPr>
          <w:u w:val="single"/>
        </w:rPr>
        <w:t>THE</w:t>
      </w:r>
      <w:r>
        <w:rPr>
          <w:spacing w:val="-10"/>
          <w:u w:val="single"/>
        </w:rPr>
        <w:t> </w:t>
      </w:r>
      <w:r>
        <w:rPr>
          <w:u w:val="single"/>
        </w:rPr>
        <w:t>NUMBER</w:t>
      </w:r>
      <w:r>
        <w:rPr>
          <w:spacing w:val="-9"/>
          <w:u w:val="single"/>
        </w:rPr>
        <w:t> </w:t>
      </w:r>
      <w:r>
        <w:rPr>
          <w:u w:val="single"/>
        </w:rPr>
        <w:t>AND</w:t>
      </w:r>
      <w:r>
        <w:rPr>
          <w:spacing w:val="-7"/>
          <w:u w:val="single"/>
        </w:rPr>
        <w:t> </w:t>
      </w:r>
      <w:r>
        <w:rPr>
          <w:u w:val="single"/>
        </w:rPr>
        <w:t>PROPORTION</w:t>
      </w:r>
      <w:r>
        <w:rPr>
          <w:spacing w:val="-8"/>
          <w:u w:val="single"/>
        </w:rPr>
        <w:t> </w:t>
      </w:r>
      <w:r>
        <w:rPr>
          <w:u w:val="single"/>
        </w:rPr>
        <w:t>OF</w:t>
      </w:r>
      <w:r>
        <w:rPr>
          <w:spacing w:val="-8"/>
          <w:u w:val="single"/>
        </w:rPr>
        <w:t> </w:t>
      </w:r>
      <w:r>
        <w:rPr>
          <w:u w:val="single"/>
        </w:rPr>
        <w:t>LEP</w:t>
      </w:r>
      <w:r>
        <w:rPr>
          <w:spacing w:val="-14"/>
          <w:u w:val="single"/>
        </w:rPr>
        <w:t> </w:t>
      </w:r>
      <w:r>
        <w:rPr>
          <w:u w:val="single"/>
        </w:rPr>
        <w:t>PERSONS</w:t>
      </w:r>
      <w:r>
        <w:rPr>
          <w:spacing w:val="-8"/>
          <w:u w:val="single"/>
        </w:rPr>
        <w:t> </w:t>
      </w:r>
      <w:r>
        <w:rPr>
          <w:u w:val="single"/>
        </w:rPr>
        <w:t>SERVED</w:t>
      </w:r>
      <w:r>
        <w:rPr>
          <w:spacing w:val="-8"/>
          <w:u w:val="single"/>
        </w:rPr>
        <w:t> </w:t>
      </w:r>
      <w:r>
        <w:rPr>
          <w:u w:val="single"/>
        </w:rPr>
        <w:t>OR</w:t>
      </w:r>
      <w:r>
        <w:rPr>
          <w:spacing w:val="23"/>
          <w:u w:val="single"/>
        </w:rPr>
        <w:t> </w:t>
      </w:r>
      <w:r>
        <w:rPr>
          <w:u w:val="single"/>
        </w:rPr>
        <w:t>ENCOUNTERED</w:t>
      </w:r>
      <w:r>
        <w:rPr>
          <w:spacing w:val="-8"/>
          <w:u w:val="single"/>
        </w:rPr>
        <w:t> </w:t>
      </w:r>
      <w:r>
        <w:rPr>
          <w:u w:val="single"/>
        </w:rPr>
        <w:t>IN</w:t>
      </w:r>
      <w:r>
        <w:rPr>
          <w:spacing w:val="-10"/>
          <w:u w:val="single"/>
        </w:rPr>
        <w:t> </w:t>
      </w:r>
      <w:r>
        <w:rPr>
          <w:u w:val="single"/>
        </w:rPr>
        <w:t>THE</w:t>
      </w:r>
      <w:r>
        <w:rPr>
          <w:spacing w:val="-8"/>
          <w:u w:val="single"/>
        </w:rPr>
        <w:t> </w:t>
      </w:r>
      <w:r>
        <w:rPr>
          <w:u w:val="single"/>
        </w:rPr>
        <w:t>ELIGIBLE</w:t>
      </w:r>
      <w:r>
        <w:rPr>
          <w:u w:val="none"/>
        </w:rPr>
        <w:t> </w:t>
      </w:r>
      <w:r>
        <w:rPr>
          <w:u w:val="single"/>
        </w:rPr>
        <w:t>SERVICE POPULATION</w:t>
      </w:r>
    </w:p>
    <w:p>
      <w:pPr>
        <w:pStyle w:val="BodyText"/>
        <w:spacing w:before="10"/>
        <w:rPr>
          <w:b/>
          <w:sz w:val="19"/>
        </w:rPr>
      </w:pPr>
    </w:p>
    <w:p>
      <w:pPr>
        <w:pStyle w:val="BodyText"/>
        <w:spacing w:line="264" w:lineRule="auto" w:before="51"/>
        <w:ind w:left="240" w:right="383"/>
        <w:jc w:val="both"/>
      </w:pPr>
      <w:r>
        <w:rPr/>
        <w:t>In</w:t>
      </w:r>
      <w:r>
        <w:rPr>
          <w:spacing w:val="-2"/>
        </w:rPr>
        <w:t> </w:t>
      </w:r>
      <w:r>
        <w:rPr/>
        <w:t>this</w:t>
      </w:r>
      <w:r>
        <w:rPr>
          <w:spacing w:val="-6"/>
        </w:rPr>
        <w:t> </w:t>
      </w:r>
      <w:r>
        <w:rPr/>
        <w:t>part</w:t>
      </w:r>
      <w:r>
        <w:rPr>
          <w:spacing w:val="-7"/>
        </w:rPr>
        <w:t> </w:t>
      </w:r>
      <w:r>
        <w:rPr/>
        <w:t>of</w:t>
      </w:r>
      <w:r>
        <w:rPr>
          <w:spacing w:val="-7"/>
        </w:rPr>
        <w:t> </w:t>
      </w:r>
      <w:r>
        <w:rPr/>
        <w:t>the</w:t>
      </w:r>
      <w:r>
        <w:rPr>
          <w:spacing w:val="-6"/>
        </w:rPr>
        <w:t> </w:t>
      </w:r>
      <w:r>
        <w:rPr/>
        <w:t>analysis,</w:t>
      </w:r>
      <w:r>
        <w:rPr>
          <w:spacing w:val="-6"/>
        </w:rPr>
        <w:t> </w:t>
      </w:r>
      <w:r>
        <w:rPr/>
        <w:t>recipients</w:t>
      </w:r>
      <w:r>
        <w:rPr>
          <w:spacing w:val="-9"/>
        </w:rPr>
        <w:t> </w:t>
      </w:r>
      <w:r>
        <w:rPr/>
        <w:t>take</w:t>
      </w:r>
      <w:r>
        <w:rPr>
          <w:spacing w:val="-3"/>
        </w:rPr>
        <w:t> </w:t>
      </w:r>
      <w:r>
        <w:rPr/>
        <w:t>a</w:t>
      </w:r>
      <w:r>
        <w:rPr>
          <w:spacing w:val="-8"/>
        </w:rPr>
        <w:t> </w:t>
      </w:r>
      <w:r>
        <w:rPr/>
        <w:t>look</w:t>
      </w:r>
      <w:r>
        <w:rPr>
          <w:spacing w:val="-7"/>
        </w:rPr>
        <w:t> </w:t>
      </w:r>
      <w:r>
        <w:rPr/>
        <w:t>at</w:t>
      </w:r>
      <w:r>
        <w:rPr>
          <w:spacing w:val="-5"/>
        </w:rPr>
        <w:t> </w:t>
      </w:r>
      <w:r>
        <w:rPr/>
        <w:t>what</w:t>
      </w:r>
      <w:r>
        <w:rPr>
          <w:spacing w:val="-5"/>
        </w:rPr>
        <w:t> </w:t>
      </w:r>
      <w:r>
        <w:rPr/>
        <w:t>they</w:t>
      </w:r>
      <w:r>
        <w:rPr>
          <w:spacing w:val="-7"/>
        </w:rPr>
        <w:t> </w:t>
      </w:r>
      <w:r>
        <w:rPr/>
        <w:t>have</w:t>
      </w:r>
      <w:r>
        <w:rPr>
          <w:spacing w:val="-5"/>
        </w:rPr>
        <w:t> </w:t>
      </w:r>
      <w:r>
        <w:rPr/>
        <w:t>done</w:t>
      </w:r>
      <w:r>
        <w:rPr>
          <w:spacing w:val="-8"/>
        </w:rPr>
        <w:t> </w:t>
      </w:r>
      <w:r>
        <w:rPr/>
        <w:t>before</w:t>
      </w:r>
      <w:r>
        <w:rPr>
          <w:spacing w:val="-8"/>
        </w:rPr>
        <w:t> </w:t>
      </w:r>
      <w:r>
        <w:rPr/>
        <w:t>to</w:t>
      </w:r>
      <w:r>
        <w:rPr>
          <w:spacing w:val="-5"/>
        </w:rPr>
        <w:t> </w:t>
      </w:r>
      <w:r>
        <w:rPr/>
        <w:t>serve</w:t>
      </w:r>
      <w:r>
        <w:rPr>
          <w:spacing w:val="-5"/>
        </w:rPr>
        <w:t> </w:t>
      </w:r>
      <w:r>
        <w:rPr/>
        <w:t>the</w:t>
      </w:r>
      <w:r>
        <w:rPr>
          <w:spacing w:val="-5"/>
        </w:rPr>
        <w:t> </w:t>
      </w:r>
      <w:r>
        <w:rPr/>
        <w:t>LEP</w:t>
      </w:r>
      <w:r>
        <w:rPr>
          <w:spacing w:val="40"/>
        </w:rPr>
        <w:t> </w:t>
      </w:r>
      <w:r>
        <w:rPr/>
        <w:t>community and determine the breadth and scope of language services that are needed to serve</w:t>
      </w:r>
      <w:r>
        <w:rPr>
          <w:spacing w:val="40"/>
        </w:rPr>
        <w:t> </w:t>
      </w:r>
      <w:r>
        <w:rPr/>
        <w:t>them.</w:t>
      </w:r>
      <w:r>
        <w:rPr>
          <w:spacing w:val="-2"/>
        </w:rPr>
        <w:t> </w:t>
      </w:r>
      <w:r>
        <w:rPr/>
        <w:t>This is typically accomplished by examining demographic information attained from the</w:t>
      </w:r>
      <w:r>
        <w:rPr>
          <w:spacing w:val="80"/>
        </w:rPr>
        <w:t> </w:t>
      </w:r>
      <w:r>
        <w:rPr/>
        <w:t>US Census Bureau, the</w:t>
      </w:r>
      <w:r>
        <w:rPr>
          <w:spacing w:val="-9"/>
        </w:rPr>
        <w:t> </w:t>
      </w:r>
      <w:r>
        <w:rPr/>
        <w:t>American Community Survey (ACS), schools, community partners, and</w:t>
      </w:r>
      <w:r>
        <w:rPr>
          <w:spacing w:val="80"/>
        </w:rPr>
        <w:t> </w:t>
      </w:r>
      <w:r>
        <w:rPr/>
        <w:t>local governments.</w:t>
      </w:r>
    </w:p>
    <w:p>
      <w:pPr>
        <w:pStyle w:val="Heading9"/>
        <w:spacing w:before="120"/>
        <w:ind w:left="240"/>
        <w:jc w:val="both"/>
      </w:pPr>
      <w:r>
        <w:rPr/>
        <w:t>Safe</w:t>
      </w:r>
      <w:r>
        <w:rPr>
          <w:spacing w:val="-2"/>
        </w:rPr>
        <w:t> </w:t>
      </w:r>
      <w:r>
        <w:rPr/>
        <w:t>Harbor</w:t>
      </w:r>
      <w:r>
        <w:rPr>
          <w:spacing w:val="1"/>
        </w:rPr>
        <w:t> </w:t>
      </w:r>
      <w:r>
        <w:rPr>
          <w:spacing w:val="-2"/>
        </w:rPr>
        <w:t>Stipulation</w:t>
      </w:r>
    </w:p>
    <w:p>
      <w:pPr>
        <w:pStyle w:val="BodyText"/>
        <w:spacing w:before="9"/>
        <w:rPr>
          <w:b/>
        </w:rPr>
      </w:pPr>
    </w:p>
    <w:p>
      <w:pPr>
        <w:pStyle w:val="BodyText"/>
        <w:ind w:left="240" w:right="213"/>
        <w:jc w:val="both"/>
      </w:pPr>
      <w:r>
        <w:rPr/>
        <w:t>Federal law provides a safe harbor situation so that recipients can ensure with greater certainty that they comply with their obligation to provide written translations in languages other than English. A safe harbor means that if a recipient provides written translation in certain circumstances, such action will be considered strong evidence of compliance with the recipient’s written-translation obligations under Title VI.</w:t>
      </w:r>
    </w:p>
    <w:p>
      <w:pPr>
        <w:pStyle w:val="BodyText"/>
        <w:spacing w:before="9"/>
      </w:pPr>
    </w:p>
    <w:p>
      <w:pPr>
        <w:pStyle w:val="BodyText"/>
        <w:spacing w:line="242" w:lineRule="auto"/>
        <w:ind w:left="240" w:right="213"/>
        <w:jc w:val="both"/>
      </w:pPr>
      <w:r>
        <w:rPr/>
        <w:t>The failure to provide written translations under the circumstances does not mean there is noncompliance, but</w:t>
      </w:r>
      <w:r>
        <w:rPr>
          <w:spacing w:val="-8"/>
        </w:rPr>
        <w:t> </w:t>
      </w:r>
      <w:r>
        <w:rPr/>
        <w:t>rather</w:t>
      </w:r>
      <w:r>
        <w:rPr>
          <w:spacing w:val="-8"/>
        </w:rPr>
        <w:t> </w:t>
      </w:r>
      <w:r>
        <w:rPr/>
        <w:t>provides</w:t>
      </w:r>
      <w:r>
        <w:rPr>
          <w:spacing w:val="-7"/>
        </w:rPr>
        <w:t> </w:t>
      </w:r>
      <w:r>
        <w:rPr/>
        <w:t>a</w:t>
      </w:r>
      <w:r>
        <w:rPr>
          <w:spacing w:val="-6"/>
        </w:rPr>
        <w:t> </w:t>
      </w:r>
      <w:r>
        <w:rPr/>
        <w:t>guide</w:t>
      </w:r>
      <w:r>
        <w:rPr>
          <w:spacing w:val="-6"/>
        </w:rPr>
        <w:t> </w:t>
      </w:r>
      <w:r>
        <w:rPr/>
        <w:t>for</w:t>
      </w:r>
      <w:r>
        <w:rPr>
          <w:spacing w:val="-6"/>
        </w:rPr>
        <w:t> </w:t>
      </w:r>
      <w:r>
        <w:rPr/>
        <w:t>recipients</w:t>
      </w:r>
      <w:r>
        <w:rPr>
          <w:spacing w:val="-9"/>
        </w:rPr>
        <w:t> </w:t>
      </w:r>
      <w:r>
        <w:rPr/>
        <w:t>that</w:t>
      </w:r>
      <w:r>
        <w:rPr>
          <w:spacing w:val="-5"/>
        </w:rPr>
        <w:t> </w:t>
      </w:r>
      <w:r>
        <w:rPr/>
        <w:t>would</w:t>
      </w:r>
      <w:r>
        <w:rPr>
          <w:spacing w:val="-5"/>
        </w:rPr>
        <w:t> </w:t>
      </w:r>
      <w:r>
        <w:rPr/>
        <w:t>like</w:t>
      </w:r>
      <w:r>
        <w:rPr>
          <w:spacing w:val="-6"/>
        </w:rPr>
        <w:t> </w:t>
      </w:r>
      <w:r>
        <w:rPr/>
        <w:t>greater</w:t>
      </w:r>
      <w:r>
        <w:rPr>
          <w:spacing w:val="-6"/>
        </w:rPr>
        <w:t> </w:t>
      </w:r>
      <w:r>
        <w:rPr/>
        <w:t>certainty</w:t>
      </w:r>
      <w:r>
        <w:rPr>
          <w:spacing w:val="-9"/>
        </w:rPr>
        <w:t> </w:t>
      </w:r>
      <w:r>
        <w:rPr/>
        <w:t>of</w:t>
      </w:r>
      <w:r>
        <w:rPr>
          <w:spacing w:val="-5"/>
        </w:rPr>
        <w:t> </w:t>
      </w:r>
      <w:r>
        <w:rPr/>
        <w:t>compliance</w:t>
      </w:r>
      <w:r>
        <w:rPr>
          <w:spacing w:val="-8"/>
        </w:rPr>
        <w:t> </w:t>
      </w:r>
      <w:r>
        <w:rPr/>
        <w:t>than</w:t>
      </w:r>
      <w:r>
        <w:rPr>
          <w:spacing w:val="-5"/>
        </w:rPr>
        <w:t> </w:t>
      </w:r>
      <w:r>
        <w:rPr/>
        <w:t>can</w:t>
      </w:r>
      <w:r>
        <w:rPr>
          <w:spacing w:val="-8"/>
        </w:rPr>
        <w:t> </w:t>
      </w:r>
      <w:r>
        <w:rPr/>
        <w:t>be</w:t>
      </w:r>
      <w:r>
        <w:rPr>
          <w:spacing w:val="-6"/>
        </w:rPr>
        <w:t> </w:t>
      </w:r>
      <w:r>
        <w:rPr/>
        <w:t>provided</w:t>
      </w:r>
    </w:p>
    <w:p>
      <w:pPr>
        <w:spacing w:after="0" w:line="242" w:lineRule="auto"/>
        <w:jc w:val="both"/>
        <w:sectPr>
          <w:pgSz w:w="12240" w:h="15840"/>
          <w:pgMar w:header="0" w:footer="1023" w:top="960" w:bottom="1260" w:left="600" w:right="500"/>
        </w:sectPr>
      </w:pPr>
    </w:p>
    <w:p>
      <w:pPr>
        <w:pStyle w:val="BodyText"/>
        <w:spacing w:before="35"/>
        <w:ind w:left="240" w:right="215"/>
        <w:jc w:val="both"/>
      </w:pPr>
      <w:r>
        <w:rPr/>
        <w:t>by</w:t>
      </w:r>
      <w:r>
        <w:rPr>
          <w:spacing w:val="-2"/>
        </w:rPr>
        <w:t> </w:t>
      </w:r>
      <w:r>
        <w:rPr/>
        <w:t>a</w:t>
      </w:r>
      <w:r>
        <w:rPr>
          <w:spacing w:val="-4"/>
        </w:rPr>
        <w:t> </w:t>
      </w:r>
      <w:r>
        <w:rPr/>
        <w:t>fact-intensive,</w:t>
      </w:r>
      <w:r>
        <w:rPr>
          <w:spacing w:val="-4"/>
        </w:rPr>
        <w:t> </w:t>
      </w:r>
      <w:r>
        <w:rPr/>
        <w:t>four</w:t>
      </w:r>
      <w:r>
        <w:rPr>
          <w:spacing w:val="-4"/>
        </w:rPr>
        <w:t> </w:t>
      </w:r>
      <w:r>
        <w:rPr/>
        <w:t>factor</w:t>
      </w:r>
      <w:r>
        <w:rPr>
          <w:spacing w:val="-1"/>
        </w:rPr>
        <w:t> </w:t>
      </w:r>
      <w:r>
        <w:rPr/>
        <w:t>analysis.</w:t>
      </w:r>
      <w:r>
        <w:rPr>
          <w:spacing w:val="-2"/>
        </w:rPr>
        <w:t> </w:t>
      </w:r>
      <w:r>
        <w:rPr/>
        <w:t>For</w:t>
      </w:r>
      <w:r>
        <w:rPr>
          <w:spacing w:val="-4"/>
        </w:rPr>
        <w:t> </w:t>
      </w:r>
      <w:r>
        <w:rPr/>
        <w:t>example,</w:t>
      </w:r>
      <w:r>
        <w:rPr>
          <w:spacing w:val="-1"/>
        </w:rPr>
        <w:t> </w:t>
      </w:r>
      <w:r>
        <w:rPr/>
        <w:t>even if a</w:t>
      </w:r>
      <w:r>
        <w:rPr>
          <w:spacing w:val="-4"/>
        </w:rPr>
        <w:t> </w:t>
      </w:r>
      <w:r>
        <w:rPr/>
        <w:t>safe</w:t>
      </w:r>
      <w:r>
        <w:rPr>
          <w:spacing w:val="-3"/>
        </w:rPr>
        <w:t> </w:t>
      </w:r>
      <w:r>
        <w:rPr/>
        <w:t>harbor</w:t>
      </w:r>
      <w:r>
        <w:rPr>
          <w:spacing w:val="-4"/>
        </w:rPr>
        <w:t> </w:t>
      </w:r>
      <w:r>
        <w:rPr/>
        <w:t>is</w:t>
      </w:r>
      <w:r>
        <w:rPr>
          <w:spacing w:val="-2"/>
        </w:rPr>
        <w:t> </w:t>
      </w:r>
      <w:r>
        <w:rPr/>
        <w:t>not</w:t>
      </w:r>
      <w:r>
        <w:rPr>
          <w:spacing w:val="-3"/>
        </w:rPr>
        <w:t> </w:t>
      </w:r>
      <w:r>
        <w:rPr/>
        <w:t>used,</w:t>
      </w:r>
      <w:r>
        <w:rPr>
          <w:spacing w:val="-4"/>
        </w:rPr>
        <w:t> </w:t>
      </w:r>
      <w:r>
        <w:rPr/>
        <w:t>if</w:t>
      </w:r>
      <w:r>
        <w:rPr>
          <w:spacing w:val="-3"/>
        </w:rPr>
        <w:t> </w:t>
      </w:r>
      <w:r>
        <w:rPr/>
        <w:t>written</w:t>
      </w:r>
      <w:r>
        <w:rPr>
          <w:spacing w:val="-3"/>
        </w:rPr>
        <w:t> </w:t>
      </w:r>
      <w:r>
        <w:rPr/>
        <w:t>translation</w:t>
      </w:r>
      <w:r>
        <w:rPr>
          <w:spacing w:val="-3"/>
        </w:rPr>
        <w:t> </w:t>
      </w:r>
      <w:r>
        <w:rPr/>
        <w:t>of a certain document(s) would be so burdensome</w:t>
      </w:r>
      <w:r>
        <w:rPr>
          <w:spacing w:val="-1"/>
        </w:rPr>
        <w:t> </w:t>
      </w:r>
      <w:r>
        <w:rPr/>
        <w:t>as to defeat the legitimate objectives of its program, it is not </w:t>
      </w:r>
      <w:r>
        <w:rPr>
          <w:spacing w:val="-2"/>
        </w:rPr>
        <w:t>necessary.</w:t>
      </w:r>
    </w:p>
    <w:p>
      <w:pPr>
        <w:pStyle w:val="BodyText"/>
        <w:spacing w:before="9"/>
      </w:pPr>
    </w:p>
    <w:p>
      <w:pPr>
        <w:pStyle w:val="BodyText"/>
        <w:ind w:left="240" w:right="211"/>
        <w:jc w:val="both"/>
      </w:pPr>
      <w:r>
        <w:rPr/>
        <w:t>Other ways of providing meaningful access, such as effective oral interpretation of certain vital documents, might be acceptable under such circumstances. Strong evidence of compliance with the recipient’s written translation obligations under safe harbor includes providing written translations of vital documents for each eligible</w:t>
      </w:r>
      <w:r>
        <w:rPr>
          <w:spacing w:val="-13"/>
        </w:rPr>
        <w:t> </w:t>
      </w:r>
      <w:r>
        <w:rPr/>
        <w:t>LEP</w:t>
      </w:r>
      <w:r>
        <w:rPr>
          <w:spacing w:val="-13"/>
        </w:rPr>
        <w:t> </w:t>
      </w:r>
      <w:r>
        <w:rPr/>
        <w:t>language</w:t>
      </w:r>
      <w:r>
        <w:rPr>
          <w:spacing w:val="-13"/>
        </w:rPr>
        <w:t> </w:t>
      </w:r>
      <w:r>
        <w:rPr/>
        <w:t>group</w:t>
      </w:r>
      <w:r>
        <w:rPr>
          <w:spacing w:val="-12"/>
        </w:rPr>
        <w:t> </w:t>
      </w:r>
      <w:r>
        <w:rPr/>
        <w:t>that</w:t>
      </w:r>
      <w:r>
        <w:rPr>
          <w:spacing w:val="-12"/>
        </w:rPr>
        <w:t> </w:t>
      </w:r>
      <w:r>
        <w:rPr/>
        <w:t>constitutes</w:t>
      </w:r>
      <w:r>
        <w:rPr>
          <w:spacing w:val="-14"/>
        </w:rPr>
        <w:t> </w:t>
      </w:r>
      <w:r>
        <w:rPr/>
        <w:t>5%</w:t>
      </w:r>
      <w:r>
        <w:rPr>
          <w:spacing w:val="-11"/>
        </w:rPr>
        <w:t> </w:t>
      </w:r>
      <w:r>
        <w:rPr/>
        <w:t>or</w:t>
      </w:r>
      <w:r>
        <w:rPr>
          <w:spacing w:val="-13"/>
        </w:rPr>
        <w:t> </w:t>
      </w:r>
      <w:r>
        <w:rPr/>
        <w:t>1,000,</w:t>
      </w:r>
      <w:r>
        <w:rPr>
          <w:spacing w:val="-13"/>
        </w:rPr>
        <w:t> </w:t>
      </w:r>
      <w:r>
        <w:rPr/>
        <w:t>whichever</w:t>
      </w:r>
      <w:r>
        <w:rPr>
          <w:spacing w:val="-13"/>
        </w:rPr>
        <w:t> </w:t>
      </w:r>
      <w:r>
        <w:rPr/>
        <w:t>is</w:t>
      </w:r>
      <w:r>
        <w:rPr>
          <w:spacing w:val="-14"/>
        </w:rPr>
        <w:t> </w:t>
      </w:r>
      <w:r>
        <w:rPr/>
        <w:t>less,</w:t>
      </w:r>
      <w:r>
        <w:rPr>
          <w:spacing w:val="-12"/>
        </w:rPr>
        <w:t> </w:t>
      </w:r>
      <w:r>
        <w:rPr/>
        <w:t>of</w:t>
      </w:r>
      <w:r>
        <w:rPr>
          <w:spacing w:val="-12"/>
        </w:rPr>
        <w:t> </w:t>
      </w:r>
      <w:r>
        <w:rPr/>
        <w:t>the</w:t>
      </w:r>
      <w:r>
        <w:rPr>
          <w:spacing w:val="-13"/>
        </w:rPr>
        <w:t> </w:t>
      </w:r>
      <w:r>
        <w:rPr/>
        <w:t>population</w:t>
      </w:r>
      <w:r>
        <w:rPr>
          <w:spacing w:val="-12"/>
        </w:rPr>
        <w:t> </w:t>
      </w:r>
      <w:r>
        <w:rPr/>
        <w:t>of</w:t>
      </w:r>
      <w:r>
        <w:rPr>
          <w:spacing w:val="-12"/>
        </w:rPr>
        <w:t> </w:t>
      </w:r>
      <w:r>
        <w:rPr/>
        <w:t>persons</w:t>
      </w:r>
      <w:r>
        <w:rPr>
          <w:spacing w:val="-14"/>
        </w:rPr>
        <w:t> </w:t>
      </w:r>
      <w:r>
        <w:rPr/>
        <w:t>eligible to be served or likely to be affected or encountered. Translation of other documents, if needed, can be provided orally.</w:t>
      </w:r>
    </w:p>
    <w:p>
      <w:pPr>
        <w:pStyle w:val="BodyText"/>
        <w:spacing w:before="11"/>
      </w:pPr>
    </w:p>
    <w:p>
      <w:pPr>
        <w:pStyle w:val="BodyText"/>
        <w:ind w:left="240" w:right="215"/>
        <w:jc w:val="both"/>
      </w:pPr>
      <w:r>
        <w:rPr/>
        <w:t>This safe harbor provision applies to the translation of written documents only. It does not affect the requirement to provide meaningful access to LEP individuals through competent oral interpreters as oral language services are needed and are reasonable.</w:t>
      </w:r>
    </w:p>
    <w:p>
      <w:pPr>
        <w:pStyle w:val="BodyText"/>
        <w:spacing w:before="6"/>
      </w:pPr>
    </w:p>
    <w:p>
      <w:pPr>
        <w:pStyle w:val="BodyText"/>
        <w:spacing w:line="264" w:lineRule="auto"/>
        <w:ind w:left="239" w:right="460"/>
        <w:jc w:val="both"/>
      </w:pPr>
      <w:r>
        <w:rPr/>
        <w:t>Maine</w:t>
      </w:r>
      <w:r>
        <w:rPr>
          <w:spacing w:val="-4"/>
        </w:rPr>
        <w:t> </w:t>
      </w:r>
      <w:r>
        <w:rPr/>
        <w:t>has</w:t>
      </w:r>
      <w:r>
        <w:rPr>
          <w:spacing w:val="-5"/>
        </w:rPr>
        <w:t> </w:t>
      </w:r>
      <w:r>
        <w:rPr/>
        <w:t>a</w:t>
      </w:r>
      <w:r>
        <w:rPr>
          <w:spacing w:val="-4"/>
        </w:rPr>
        <w:t> </w:t>
      </w:r>
      <w:r>
        <w:rPr/>
        <w:t>relatively</w:t>
      </w:r>
      <w:r>
        <w:rPr>
          <w:spacing w:val="-6"/>
        </w:rPr>
        <w:t> </w:t>
      </w:r>
      <w:r>
        <w:rPr/>
        <w:t>low</w:t>
      </w:r>
      <w:r>
        <w:rPr>
          <w:spacing w:val="-3"/>
        </w:rPr>
        <w:t> </w:t>
      </w:r>
      <w:r>
        <w:rPr/>
        <w:t>percentage</w:t>
      </w:r>
      <w:r>
        <w:rPr>
          <w:spacing w:val="-2"/>
        </w:rPr>
        <w:t> </w:t>
      </w:r>
      <w:r>
        <w:rPr/>
        <w:t>of</w:t>
      </w:r>
      <w:r>
        <w:rPr>
          <w:spacing w:val="-3"/>
        </w:rPr>
        <w:t> </w:t>
      </w:r>
      <w:r>
        <w:rPr/>
        <w:t>people</w:t>
      </w:r>
      <w:r>
        <w:rPr>
          <w:spacing w:val="-4"/>
        </w:rPr>
        <w:t> </w:t>
      </w:r>
      <w:r>
        <w:rPr/>
        <w:t>who</w:t>
      </w:r>
      <w:r>
        <w:rPr>
          <w:spacing w:val="-4"/>
        </w:rPr>
        <w:t> </w:t>
      </w:r>
      <w:r>
        <w:rPr/>
        <w:t>speak</w:t>
      </w:r>
      <w:r>
        <w:rPr>
          <w:spacing w:val="-6"/>
        </w:rPr>
        <w:t> </w:t>
      </w:r>
      <w:r>
        <w:rPr/>
        <w:t>English</w:t>
      </w:r>
      <w:r>
        <w:rPr>
          <w:spacing w:val="-1"/>
        </w:rPr>
        <w:t> </w:t>
      </w:r>
      <w:r>
        <w:rPr/>
        <w:t>less</w:t>
      </w:r>
      <w:r>
        <w:rPr>
          <w:spacing w:val="-5"/>
        </w:rPr>
        <w:t> </w:t>
      </w:r>
      <w:r>
        <w:rPr/>
        <w:t>than</w:t>
      </w:r>
      <w:r>
        <w:rPr>
          <w:spacing w:val="-4"/>
        </w:rPr>
        <w:t> </w:t>
      </w:r>
      <w:r>
        <w:rPr/>
        <w:t>very</w:t>
      </w:r>
      <w:r>
        <w:rPr>
          <w:spacing w:val="-5"/>
        </w:rPr>
        <w:t> </w:t>
      </w:r>
      <w:r>
        <w:rPr/>
        <w:t>well.</w:t>
      </w:r>
      <w:r>
        <w:rPr>
          <w:spacing w:val="37"/>
        </w:rPr>
        <w:t> </w:t>
      </w:r>
      <w:r>
        <w:rPr/>
        <w:t>The</w:t>
      </w:r>
      <w:r>
        <w:rPr>
          <w:spacing w:val="-4"/>
        </w:rPr>
        <w:t> </w:t>
      </w:r>
      <w:r>
        <w:rPr/>
        <w:t>Table</w:t>
      </w:r>
      <w:r>
        <w:rPr>
          <w:spacing w:val="-6"/>
        </w:rPr>
        <w:t> </w:t>
      </w:r>
      <w:r>
        <w:rPr/>
        <w:t>1</w:t>
      </w:r>
      <w:r>
        <w:rPr>
          <w:spacing w:val="-4"/>
        </w:rPr>
        <w:t> </w:t>
      </w:r>
      <w:r>
        <w:rPr/>
        <w:t>analysis of</w:t>
      </w:r>
      <w:r>
        <w:rPr>
          <w:spacing w:val="-14"/>
        </w:rPr>
        <w:t> </w:t>
      </w:r>
      <w:r>
        <w:rPr/>
        <w:t>estimates</w:t>
      </w:r>
      <w:r>
        <w:rPr>
          <w:spacing w:val="-11"/>
        </w:rPr>
        <w:t> </w:t>
      </w:r>
      <w:r>
        <w:rPr/>
        <w:t>reflected</w:t>
      </w:r>
      <w:r>
        <w:rPr>
          <w:spacing w:val="-8"/>
        </w:rPr>
        <w:t> </w:t>
      </w:r>
      <w:r>
        <w:rPr/>
        <w:t>in</w:t>
      </w:r>
      <w:r>
        <w:rPr>
          <w:spacing w:val="-8"/>
        </w:rPr>
        <w:t> </w:t>
      </w:r>
      <w:r>
        <w:rPr/>
        <w:t>the</w:t>
      </w:r>
      <w:r>
        <w:rPr>
          <w:spacing w:val="-14"/>
        </w:rPr>
        <w:t> </w:t>
      </w:r>
      <w:r>
        <w:rPr/>
        <w:t>American</w:t>
      </w:r>
      <w:r>
        <w:rPr>
          <w:spacing w:val="-8"/>
        </w:rPr>
        <w:t> </w:t>
      </w:r>
      <w:r>
        <w:rPr/>
        <w:t>Community</w:t>
      </w:r>
      <w:r>
        <w:rPr>
          <w:spacing w:val="-7"/>
        </w:rPr>
        <w:t> </w:t>
      </w:r>
      <w:r>
        <w:rPr/>
        <w:t>Survey</w:t>
      </w:r>
      <w:r>
        <w:rPr>
          <w:spacing w:val="-10"/>
        </w:rPr>
        <w:t> </w:t>
      </w:r>
      <w:r>
        <w:rPr/>
        <w:t>(ACS)</w:t>
      </w:r>
      <w:r>
        <w:rPr>
          <w:spacing w:val="-10"/>
        </w:rPr>
        <w:t> </w:t>
      </w:r>
      <w:r>
        <w:rPr/>
        <w:t>five-year</w:t>
      </w:r>
      <w:r>
        <w:rPr>
          <w:spacing w:val="-9"/>
        </w:rPr>
        <w:t> </w:t>
      </w:r>
      <w:r>
        <w:rPr/>
        <w:t>estimate</w:t>
      </w:r>
      <w:r>
        <w:rPr>
          <w:spacing w:val="-11"/>
        </w:rPr>
        <w:t> </w:t>
      </w:r>
      <w:r>
        <w:rPr/>
        <w:t>for</w:t>
      </w:r>
      <w:r>
        <w:rPr>
          <w:spacing w:val="-9"/>
        </w:rPr>
        <w:t> </w:t>
      </w:r>
      <w:r>
        <w:rPr/>
        <w:t>2017</w:t>
      </w:r>
      <w:r>
        <w:rPr>
          <w:spacing w:val="-9"/>
        </w:rPr>
        <w:t> </w:t>
      </w:r>
      <w:r>
        <w:rPr/>
        <w:t>–</w:t>
      </w:r>
      <w:r>
        <w:rPr>
          <w:spacing w:val="40"/>
        </w:rPr>
        <w:t> </w:t>
      </w:r>
      <w:r>
        <w:rPr/>
        <w:t>2021</w:t>
      </w:r>
      <w:r>
        <w:rPr>
          <w:spacing w:val="-11"/>
        </w:rPr>
        <w:t> </w:t>
      </w:r>
      <w:r>
        <w:rPr/>
        <w:t>(below), shows</w:t>
      </w:r>
      <w:r>
        <w:rPr>
          <w:spacing w:val="-1"/>
        </w:rPr>
        <w:t> </w:t>
      </w:r>
      <w:r>
        <w:rPr/>
        <w:t>that statewide,</w:t>
      </w:r>
      <w:r>
        <w:rPr>
          <w:spacing w:val="-3"/>
        </w:rPr>
        <w:t> </w:t>
      </w:r>
      <w:r>
        <w:rPr/>
        <w:t>there are 18,141 people over the age of 5 (or about 1.4 % of</w:t>
      </w:r>
      <w:r>
        <w:rPr>
          <w:spacing w:val="40"/>
        </w:rPr>
        <w:t> </w:t>
      </w:r>
      <w:r>
        <w:rPr/>
        <w:t>the</w:t>
      </w:r>
      <w:r>
        <w:rPr>
          <w:spacing w:val="-2"/>
        </w:rPr>
        <w:t> </w:t>
      </w:r>
      <w:r>
        <w:rPr/>
        <w:t>total</w:t>
      </w:r>
      <w:r>
        <w:rPr>
          <w:spacing w:val="-3"/>
        </w:rPr>
        <w:t> </w:t>
      </w:r>
      <w:r>
        <w:rPr/>
        <w:t>population of people over the age of 5) who speak English less than very well.</w:t>
      </w:r>
    </w:p>
    <w:p>
      <w:pPr>
        <w:pStyle w:val="BodyText"/>
        <w:spacing w:before="4"/>
        <w:rPr>
          <w:sz w:val="26"/>
        </w:rPr>
      </w:pPr>
    </w:p>
    <w:p>
      <w:pPr>
        <w:pStyle w:val="BodyText"/>
        <w:spacing w:line="264" w:lineRule="auto"/>
        <w:ind w:left="240" w:right="463"/>
        <w:jc w:val="both"/>
      </w:pPr>
      <w:r>
        <w:rPr/>
        <w:t>According to the</w:t>
      </w:r>
      <w:r>
        <w:rPr>
          <w:spacing w:val="-10"/>
        </w:rPr>
        <w:t> </w:t>
      </w:r>
      <w:r>
        <w:rPr/>
        <w:t>ACS estimates for Maine, there are six languages/”Other” language categories/clusters in which the number of</w:t>
      </w:r>
      <w:r>
        <w:rPr>
          <w:spacing w:val="40"/>
        </w:rPr>
        <w:t> </w:t>
      </w:r>
      <w:r>
        <w:rPr/>
        <w:t>persons who speak English less than very well exceed the Safe Harbor Threshold of 1,000</w:t>
      </w:r>
      <w:r>
        <w:rPr>
          <w:spacing w:val="40"/>
        </w:rPr>
        <w:t> </w:t>
      </w:r>
      <w:r>
        <w:rPr/>
        <w:t>people:</w:t>
      </w:r>
      <w:r>
        <w:rPr>
          <w:spacing w:val="-12"/>
        </w:rPr>
        <w:t> </w:t>
      </w:r>
      <w:r>
        <w:rPr/>
        <w:t>French,</w:t>
      </w:r>
      <w:r>
        <w:rPr>
          <w:spacing w:val="-11"/>
        </w:rPr>
        <w:t> </w:t>
      </w:r>
      <w:r>
        <w:rPr/>
        <w:t>Haitian,</w:t>
      </w:r>
      <w:r>
        <w:rPr>
          <w:spacing w:val="-13"/>
        </w:rPr>
        <w:t> </w:t>
      </w:r>
      <w:r>
        <w:rPr/>
        <w:t>or</w:t>
      </w:r>
      <w:r>
        <w:rPr>
          <w:spacing w:val="-11"/>
        </w:rPr>
        <w:t> </w:t>
      </w:r>
      <w:r>
        <w:rPr/>
        <w:t>Cajun,</w:t>
      </w:r>
      <w:r>
        <w:rPr>
          <w:spacing w:val="-13"/>
        </w:rPr>
        <w:t> </w:t>
      </w:r>
      <w:r>
        <w:rPr/>
        <w:t>Spanish,</w:t>
      </w:r>
      <w:r>
        <w:rPr>
          <w:spacing w:val="-13"/>
        </w:rPr>
        <w:t> </w:t>
      </w:r>
      <w:r>
        <w:rPr/>
        <w:t>Chinese</w:t>
      </w:r>
      <w:r>
        <w:rPr>
          <w:spacing w:val="-11"/>
        </w:rPr>
        <w:t> </w:t>
      </w:r>
      <w:r>
        <w:rPr/>
        <w:t>(including</w:t>
      </w:r>
      <w:r>
        <w:rPr>
          <w:spacing w:val="-11"/>
        </w:rPr>
        <w:t> </w:t>
      </w:r>
      <w:r>
        <w:rPr/>
        <w:t>Mandarin</w:t>
      </w:r>
      <w:r>
        <w:rPr>
          <w:spacing w:val="-10"/>
        </w:rPr>
        <w:t> </w:t>
      </w:r>
      <w:r>
        <w:rPr/>
        <w:t>and</w:t>
      </w:r>
      <w:r>
        <w:rPr>
          <w:spacing w:val="-10"/>
        </w:rPr>
        <w:t> </w:t>
      </w:r>
      <w:r>
        <w:rPr/>
        <w:t>Cantonese),</w:t>
      </w:r>
      <w:r>
        <w:rPr>
          <w:spacing w:val="40"/>
        </w:rPr>
        <w:t> </w:t>
      </w:r>
      <w:r>
        <w:rPr/>
        <w:t>Other</w:t>
      </w:r>
      <w:r>
        <w:rPr>
          <w:spacing w:val="-12"/>
        </w:rPr>
        <w:t> </w:t>
      </w:r>
      <w:r>
        <w:rPr/>
        <w:t>Asian and Pacific Island languages, Other Indo-European languages, and Other and unspecified languages.</w:t>
      </w:r>
    </w:p>
    <w:p>
      <w:pPr>
        <w:pStyle w:val="BodyText"/>
        <w:spacing w:before="9"/>
        <w:rPr>
          <w:sz w:val="25"/>
        </w:rPr>
      </w:pPr>
    </w:p>
    <w:p>
      <w:pPr>
        <w:pStyle w:val="BodyText"/>
        <w:spacing w:line="264" w:lineRule="auto"/>
        <w:ind w:left="239" w:right="894"/>
        <w:jc w:val="both"/>
      </w:pPr>
      <w:r>
        <w:rPr/>
        <w:t>LEP persons interact with Maine DOT’s subrecipients primarily via telephone, use of transit services including fare purchases, at public meetings relating to public transportation and planning, and congregate meals.</w:t>
      </w:r>
    </w:p>
    <w:p>
      <w:pPr>
        <w:spacing w:after="0" w:line="264" w:lineRule="auto"/>
        <w:jc w:val="both"/>
        <w:sectPr>
          <w:pgSz w:w="12240" w:h="15840"/>
          <w:pgMar w:header="0" w:footer="1023" w:top="960" w:bottom="1260" w:left="600" w:right="500"/>
        </w:sectPr>
      </w:pPr>
    </w:p>
    <w:p>
      <w:pPr>
        <w:pStyle w:val="BodyText"/>
        <w:spacing w:before="4"/>
        <w:rPr>
          <w:sz w:val="2"/>
        </w:rPr>
      </w:pPr>
    </w:p>
    <w:tbl>
      <w:tblPr>
        <w:tblW w:w="0" w:type="auto"/>
        <w:jc w:val="left"/>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59"/>
        <w:gridCol w:w="1531"/>
        <w:gridCol w:w="1161"/>
        <w:gridCol w:w="909"/>
        <w:gridCol w:w="1437"/>
      </w:tblGrid>
      <w:tr>
        <w:trPr>
          <w:trHeight w:val="1770" w:hRule="atLeast"/>
        </w:trPr>
        <w:tc>
          <w:tcPr>
            <w:tcW w:w="9797" w:type="dxa"/>
            <w:gridSpan w:val="5"/>
          </w:tcPr>
          <w:p>
            <w:pPr>
              <w:pStyle w:val="TableParagraph"/>
              <w:spacing w:line="240" w:lineRule="auto"/>
              <w:rPr>
                <w:rFonts w:ascii="Calibri"/>
                <w:sz w:val="22"/>
              </w:rPr>
            </w:pPr>
          </w:p>
          <w:p>
            <w:pPr>
              <w:pStyle w:val="TableParagraph"/>
              <w:spacing w:line="240" w:lineRule="auto" w:before="6"/>
              <w:rPr>
                <w:rFonts w:ascii="Calibri"/>
                <w:sz w:val="22"/>
              </w:rPr>
            </w:pPr>
          </w:p>
          <w:p>
            <w:pPr>
              <w:pStyle w:val="TableParagraph"/>
              <w:spacing w:line="240" w:lineRule="auto" w:before="1"/>
              <w:ind w:left="2795" w:right="25" w:hanging="2681"/>
              <w:rPr>
                <w:rFonts w:ascii="Calibri"/>
                <w:b/>
                <w:sz w:val="22"/>
              </w:rPr>
            </w:pPr>
            <w:r>
              <w:rPr>
                <w:rFonts w:ascii="Calibri"/>
                <w:b/>
                <w:sz w:val="22"/>
              </w:rPr>
              <w:t>TABLE</w:t>
            </w:r>
            <w:r>
              <w:rPr>
                <w:rFonts w:ascii="Calibri"/>
                <w:b/>
                <w:spacing w:val="-13"/>
                <w:sz w:val="22"/>
              </w:rPr>
              <w:t> </w:t>
            </w:r>
            <w:r>
              <w:rPr>
                <w:rFonts w:ascii="Calibri"/>
                <w:b/>
                <w:sz w:val="22"/>
              </w:rPr>
              <w:t>1</w:t>
            </w:r>
            <w:r>
              <w:rPr>
                <w:rFonts w:ascii="Calibri"/>
                <w:b/>
                <w:spacing w:val="66"/>
                <w:sz w:val="22"/>
              </w:rPr>
              <w:t> </w:t>
            </w:r>
            <w:r>
              <w:rPr>
                <w:rFonts w:ascii="Calibri"/>
                <w:b/>
                <w:sz w:val="22"/>
              </w:rPr>
              <w:t>American</w:t>
            </w:r>
            <w:r>
              <w:rPr>
                <w:rFonts w:ascii="Calibri"/>
                <w:b/>
                <w:spacing w:val="-13"/>
                <w:sz w:val="22"/>
              </w:rPr>
              <w:t> </w:t>
            </w:r>
            <w:r>
              <w:rPr>
                <w:rFonts w:ascii="Calibri"/>
                <w:b/>
                <w:sz w:val="22"/>
              </w:rPr>
              <w:t>Community</w:t>
            </w:r>
            <w:r>
              <w:rPr>
                <w:rFonts w:ascii="Calibri"/>
                <w:b/>
                <w:spacing w:val="-10"/>
                <w:sz w:val="22"/>
              </w:rPr>
              <w:t> </w:t>
            </w:r>
            <w:r>
              <w:rPr>
                <w:rFonts w:ascii="Calibri"/>
                <w:b/>
                <w:sz w:val="22"/>
              </w:rPr>
              <w:t>Survey</w:t>
            </w:r>
            <w:r>
              <w:rPr>
                <w:rFonts w:ascii="Calibri"/>
                <w:b/>
                <w:spacing w:val="-13"/>
                <w:sz w:val="22"/>
              </w:rPr>
              <w:t> </w:t>
            </w:r>
            <w:r>
              <w:rPr>
                <w:rFonts w:ascii="Calibri"/>
                <w:b/>
                <w:sz w:val="22"/>
              </w:rPr>
              <w:t>B16001.</w:t>
            </w:r>
            <w:r>
              <w:rPr>
                <w:rFonts w:ascii="Calibri"/>
                <w:b/>
                <w:spacing w:val="-10"/>
                <w:sz w:val="22"/>
              </w:rPr>
              <w:t> </w:t>
            </w:r>
            <w:r>
              <w:rPr>
                <w:rFonts w:ascii="Calibri"/>
                <w:b/>
                <w:sz w:val="22"/>
              </w:rPr>
              <w:t>Language</w:t>
            </w:r>
            <w:r>
              <w:rPr>
                <w:rFonts w:ascii="Calibri"/>
                <w:b/>
                <w:spacing w:val="-13"/>
                <w:sz w:val="22"/>
              </w:rPr>
              <w:t> </w:t>
            </w:r>
            <w:r>
              <w:rPr>
                <w:rFonts w:ascii="Calibri"/>
                <w:b/>
                <w:sz w:val="22"/>
              </w:rPr>
              <w:t>Spoken</w:t>
            </w:r>
            <w:r>
              <w:rPr>
                <w:rFonts w:ascii="Calibri"/>
                <w:b/>
                <w:spacing w:val="-10"/>
                <w:sz w:val="22"/>
              </w:rPr>
              <w:t> </w:t>
            </w:r>
            <w:r>
              <w:rPr>
                <w:rFonts w:ascii="Calibri"/>
                <w:b/>
                <w:sz w:val="22"/>
              </w:rPr>
              <w:t>at</w:t>
            </w:r>
            <w:r>
              <w:rPr>
                <w:rFonts w:ascii="Calibri"/>
                <w:b/>
                <w:spacing w:val="-12"/>
                <w:sz w:val="22"/>
              </w:rPr>
              <w:t> </w:t>
            </w:r>
            <w:r>
              <w:rPr>
                <w:rFonts w:ascii="Calibri"/>
                <w:b/>
                <w:sz w:val="22"/>
              </w:rPr>
              <w:t>Home</w:t>
            </w:r>
            <w:r>
              <w:rPr>
                <w:rFonts w:ascii="Calibri"/>
                <w:b/>
                <w:spacing w:val="-12"/>
                <w:sz w:val="22"/>
              </w:rPr>
              <w:t> </w:t>
            </w:r>
            <w:r>
              <w:rPr>
                <w:rFonts w:ascii="Calibri"/>
                <w:b/>
                <w:sz w:val="22"/>
              </w:rPr>
              <w:t>by</w:t>
            </w:r>
            <w:r>
              <w:rPr>
                <w:rFonts w:ascii="Calibri"/>
                <w:b/>
                <w:spacing w:val="-11"/>
                <w:sz w:val="22"/>
              </w:rPr>
              <w:t> </w:t>
            </w:r>
            <w:r>
              <w:rPr>
                <w:rFonts w:ascii="Calibri"/>
                <w:b/>
                <w:sz w:val="22"/>
              </w:rPr>
              <w:t>Ability</w:t>
            </w:r>
            <w:r>
              <w:rPr>
                <w:rFonts w:ascii="Calibri"/>
                <w:b/>
                <w:spacing w:val="-11"/>
                <w:sz w:val="22"/>
              </w:rPr>
              <w:t> </w:t>
            </w:r>
            <w:r>
              <w:rPr>
                <w:rFonts w:ascii="Calibri"/>
                <w:b/>
                <w:sz w:val="22"/>
              </w:rPr>
              <w:t>to</w:t>
            </w:r>
            <w:r>
              <w:rPr>
                <w:rFonts w:ascii="Calibri"/>
                <w:b/>
                <w:spacing w:val="-13"/>
                <w:sz w:val="22"/>
              </w:rPr>
              <w:t> </w:t>
            </w:r>
            <w:r>
              <w:rPr>
                <w:rFonts w:ascii="Calibri"/>
                <w:b/>
                <w:sz w:val="22"/>
              </w:rPr>
              <w:t>Speak</w:t>
            </w:r>
            <w:r>
              <w:rPr>
                <w:rFonts w:ascii="Calibri"/>
                <w:b/>
                <w:spacing w:val="-12"/>
                <w:sz w:val="22"/>
              </w:rPr>
              <w:t> </w:t>
            </w:r>
            <w:r>
              <w:rPr>
                <w:rFonts w:ascii="Calibri"/>
                <w:b/>
                <w:sz w:val="22"/>
              </w:rPr>
              <w:t>English</w:t>
            </w:r>
            <w:r>
              <w:rPr>
                <w:rFonts w:ascii="Calibri"/>
                <w:b/>
                <w:spacing w:val="-10"/>
                <w:sz w:val="22"/>
              </w:rPr>
              <w:t> </w:t>
            </w:r>
            <w:r>
              <w:rPr>
                <w:rFonts w:ascii="Calibri"/>
                <w:b/>
                <w:sz w:val="22"/>
              </w:rPr>
              <w:t>for the Population 5 Years and Over, Maine: 2021</w:t>
            </w:r>
          </w:p>
        </w:tc>
      </w:tr>
      <w:tr>
        <w:trPr>
          <w:trHeight w:val="530" w:hRule="atLeast"/>
        </w:trPr>
        <w:tc>
          <w:tcPr>
            <w:tcW w:w="4759" w:type="dxa"/>
          </w:tcPr>
          <w:p>
            <w:pPr>
              <w:pStyle w:val="TableParagraph"/>
              <w:spacing w:line="240" w:lineRule="auto"/>
              <w:rPr>
                <w:sz w:val="22"/>
              </w:rPr>
            </w:pPr>
          </w:p>
        </w:tc>
        <w:tc>
          <w:tcPr>
            <w:tcW w:w="5038" w:type="dxa"/>
            <w:gridSpan w:val="4"/>
          </w:tcPr>
          <w:p>
            <w:pPr>
              <w:pStyle w:val="TableParagraph"/>
              <w:spacing w:line="263" w:lineRule="exact"/>
              <w:ind w:left="2215" w:right="2199"/>
              <w:jc w:val="center"/>
              <w:rPr>
                <w:rFonts w:ascii="Calibri"/>
                <w:b/>
                <w:sz w:val="22"/>
              </w:rPr>
            </w:pPr>
            <w:r>
              <w:rPr>
                <w:rFonts w:ascii="Calibri"/>
                <w:b/>
                <w:spacing w:val="-2"/>
                <w:sz w:val="22"/>
              </w:rPr>
              <w:t>Maine</w:t>
            </w:r>
          </w:p>
        </w:tc>
      </w:tr>
      <w:tr>
        <w:trPr>
          <w:trHeight w:val="1600" w:hRule="atLeast"/>
        </w:trPr>
        <w:tc>
          <w:tcPr>
            <w:tcW w:w="4759" w:type="dxa"/>
          </w:tcPr>
          <w:p>
            <w:pPr>
              <w:pStyle w:val="TableParagraph"/>
              <w:spacing w:line="240" w:lineRule="auto"/>
              <w:rPr>
                <w:rFonts w:ascii="Calibri"/>
                <w:sz w:val="22"/>
              </w:rPr>
            </w:pPr>
          </w:p>
          <w:p>
            <w:pPr>
              <w:pStyle w:val="TableParagraph"/>
              <w:spacing w:line="240" w:lineRule="auto"/>
              <w:rPr>
                <w:rFonts w:ascii="Calibri"/>
                <w:sz w:val="22"/>
              </w:rPr>
            </w:pPr>
          </w:p>
          <w:p>
            <w:pPr>
              <w:pStyle w:val="TableParagraph"/>
              <w:spacing w:line="240" w:lineRule="auto"/>
              <w:rPr>
                <w:rFonts w:ascii="Calibri"/>
                <w:sz w:val="22"/>
              </w:rPr>
            </w:pPr>
          </w:p>
          <w:p>
            <w:pPr>
              <w:pStyle w:val="TableParagraph"/>
              <w:spacing w:line="240" w:lineRule="auto"/>
              <w:rPr>
                <w:rFonts w:ascii="Calibri"/>
                <w:sz w:val="22"/>
              </w:rPr>
            </w:pPr>
          </w:p>
          <w:p>
            <w:pPr>
              <w:pStyle w:val="TableParagraph"/>
              <w:spacing w:line="240" w:lineRule="auto" w:before="10"/>
              <w:rPr>
                <w:rFonts w:ascii="Calibri"/>
                <w:sz w:val="21"/>
              </w:rPr>
            </w:pPr>
          </w:p>
          <w:p>
            <w:pPr>
              <w:pStyle w:val="TableParagraph"/>
              <w:spacing w:line="240" w:lineRule="exact"/>
              <w:ind w:left="100"/>
              <w:rPr>
                <w:rFonts w:ascii="Calibri"/>
                <w:b/>
                <w:sz w:val="22"/>
              </w:rPr>
            </w:pPr>
            <w:r>
              <w:rPr>
                <w:rFonts w:ascii="Calibri"/>
                <w:b/>
                <w:spacing w:val="-2"/>
                <w:sz w:val="22"/>
              </w:rPr>
              <w:t>Geographic</w:t>
            </w:r>
            <w:r>
              <w:rPr>
                <w:rFonts w:ascii="Calibri"/>
                <w:b/>
                <w:spacing w:val="-11"/>
                <w:sz w:val="22"/>
              </w:rPr>
              <w:t> </w:t>
            </w:r>
            <w:r>
              <w:rPr>
                <w:rFonts w:ascii="Calibri"/>
                <w:b/>
                <w:spacing w:val="-2"/>
                <w:sz w:val="22"/>
              </w:rPr>
              <w:t>Area</w:t>
            </w:r>
            <w:r>
              <w:rPr>
                <w:rFonts w:ascii="Calibri"/>
                <w:b/>
                <w:spacing w:val="-12"/>
                <w:sz w:val="22"/>
              </w:rPr>
              <w:t> </w:t>
            </w:r>
            <w:r>
              <w:rPr>
                <w:rFonts w:ascii="Calibri"/>
                <w:b/>
                <w:spacing w:val="-4"/>
                <w:sz w:val="22"/>
              </w:rPr>
              <w:t>Name</w:t>
            </w:r>
          </w:p>
        </w:tc>
        <w:tc>
          <w:tcPr>
            <w:tcW w:w="1531" w:type="dxa"/>
          </w:tcPr>
          <w:p>
            <w:pPr>
              <w:pStyle w:val="TableParagraph"/>
              <w:spacing w:line="240" w:lineRule="auto"/>
              <w:rPr>
                <w:rFonts w:ascii="Calibri"/>
                <w:sz w:val="22"/>
              </w:rPr>
            </w:pPr>
          </w:p>
          <w:p>
            <w:pPr>
              <w:pStyle w:val="TableParagraph"/>
              <w:spacing w:line="240" w:lineRule="auto"/>
              <w:rPr>
                <w:rFonts w:ascii="Calibri"/>
                <w:sz w:val="22"/>
              </w:rPr>
            </w:pPr>
          </w:p>
          <w:p>
            <w:pPr>
              <w:pStyle w:val="TableParagraph"/>
              <w:spacing w:line="240" w:lineRule="auto"/>
              <w:rPr>
                <w:rFonts w:ascii="Calibri"/>
                <w:sz w:val="22"/>
              </w:rPr>
            </w:pPr>
          </w:p>
          <w:p>
            <w:pPr>
              <w:pStyle w:val="TableParagraph"/>
              <w:spacing w:line="240" w:lineRule="auto" w:before="6"/>
              <w:rPr>
                <w:rFonts w:ascii="Calibri"/>
                <w:sz w:val="21"/>
              </w:rPr>
            </w:pPr>
          </w:p>
          <w:p>
            <w:pPr>
              <w:pStyle w:val="TableParagraph"/>
              <w:spacing w:line="256" w:lineRule="exact"/>
              <w:ind w:left="357" w:hanging="77"/>
              <w:rPr>
                <w:rFonts w:ascii="Calibri"/>
                <w:b/>
                <w:sz w:val="22"/>
              </w:rPr>
            </w:pPr>
            <w:r>
              <w:rPr>
                <w:rFonts w:ascii="Calibri"/>
                <w:b/>
                <w:spacing w:val="-4"/>
                <w:sz w:val="22"/>
              </w:rPr>
              <w:t>Number</w:t>
            </w:r>
            <w:r>
              <w:rPr>
                <w:rFonts w:ascii="Calibri"/>
                <w:b/>
                <w:spacing w:val="-13"/>
                <w:sz w:val="22"/>
              </w:rPr>
              <w:t> </w:t>
            </w:r>
            <w:r>
              <w:rPr>
                <w:rFonts w:ascii="Calibri"/>
                <w:b/>
                <w:spacing w:val="-4"/>
                <w:sz w:val="22"/>
              </w:rPr>
              <w:t>of </w:t>
            </w:r>
            <w:r>
              <w:rPr>
                <w:rFonts w:ascii="Calibri"/>
                <w:b/>
                <w:spacing w:val="-2"/>
                <w:sz w:val="22"/>
              </w:rPr>
              <w:t>Speakers</w:t>
            </w:r>
          </w:p>
        </w:tc>
        <w:tc>
          <w:tcPr>
            <w:tcW w:w="1161" w:type="dxa"/>
          </w:tcPr>
          <w:p>
            <w:pPr>
              <w:pStyle w:val="TableParagraph"/>
              <w:spacing w:line="240" w:lineRule="auto"/>
              <w:rPr>
                <w:rFonts w:ascii="Calibri"/>
                <w:sz w:val="22"/>
              </w:rPr>
            </w:pPr>
          </w:p>
          <w:p>
            <w:pPr>
              <w:pStyle w:val="TableParagraph"/>
              <w:spacing w:line="240" w:lineRule="auto" w:before="11"/>
              <w:rPr>
                <w:rFonts w:ascii="Calibri"/>
                <w:sz w:val="23"/>
              </w:rPr>
            </w:pPr>
          </w:p>
          <w:p>
            <w:pPr>
              <w:pStyle w:val="TableParagraph"/>
              <w:spacing w:line="223" w:lineRule="auto"/>
              <w:ind w:left="261" w:right="247" w:firstLine="1"/>
              <w:jc w:val="center"/>
              <w:rPr>
                <w:rFonts w:ascii="Calibri"/>
                <w:b/>
                <w:sz w:val="22"/>
              </w:rPr>
            </w:pPr>
            <w:r>
              <w:rPr>
                <w:rFonts w:ascii="Calibri"/>
                <w:b/>
                <w:spacing w:val="-4"/>
                <w:sz w:val="22"/>
              </w:rPr>
              <w:t>Speak </w:t>
            </w:r>
            <w:r>
              <w:rPr>
                <w:rFonts w:ascii="Calibri"/>
                <w:b/>
                <w:spacing w:val="-2"/>
                <w:sz w:val="22"/>
              </w:rPr>
              <w:t>English </w:t>
            </w:r>
            <w:r>
              <w:rPr>
                <w:rFonts w:ascii="Calibri"/>
                <w:b/>
                <w:spacing w:val="-4"/>
                <w:sz w:val="22"/>
              </w:rPr>
              <w:t>Very Well</w:t>
            </w:r>
          </w:p>
        </w:tc>
        <w:tc>
          <w:tcPr>
            <w:tcW w:w="909" w:type="dxa"/>
          </w:tcPr>
          <w:p>
            <w:pPr>
              <w:pStyle w:val="TableParagraph"/>
              <w:spacing w:line="220" w:lineRule="auto" w:before="13"/>
              <w:ind w:left="137" w:right="120" w:hanging="4"/>
              <w:jc w:val="center"/>
              <w:rPr>
                <w:rFonts w:ascii="Calibri"/>
                <w:b/>
                <w:sz w:val="22"/>
              </w:rPr>
            </w:pPr>
            <w:r>
              <w:rPr>
                <w:rFonts w:ascii="Calibri"/>
                <w:b/>
                <w:spacing w:val="-2"/>
                <w:sz w:val="22"/>
              </w:rPr>
              <w:t>Speak English </w:t>
            </w:r>
            <w:r>
              <w:rPr>
                <w:rFonts w:ascii="Calibri"/>
                <w:b/>
                <w:spacing w:val="-4"/>
                <w:sz w:val="22"/>
              </w:rPr>
              <w:t>Less than Very Well</w:t>
            </w:r>
          </w:p>
        </w:tc>
        <w:tc>
          <w:tcPr>
            <w:tcW w:w="1437" w:type="dxa"/>
          </w:tcPr>
          <w:p>
            <w:pPr>
              <w:pStyle w:val="TableParagraph"/>
              <w:spacing w:line="240" w:lineRule="auto"/>
              <w:rPr>
                <w:rFonts w:ascii="Calibri"/>
                <w:sz w:val="22"/>
              </w:rPr>
            </w:pPr>
          </w:p>
          <w:p>
            <w:pPr>
              <w:pStyle w:val="TableParagraph"/>
              <w:spacing w:line="240" w:lineRule="auto" w:before="11"/>
              <w:rPr>
                <w:rFonts w:ascii="Calibri"/>
                <w:sz w:val="23"/>
              </w:rPr>
            </w:pPr>
          </w:p>
          <w:p>
            <w:pPr>
              <w:pStyle w:val="TableParagraph"/>
              <w:spacing w:line="223" w:lineRule="auto"/>
              <w:ind w:left="217" w:right="193" w:hanging="8"/>
              <w:jc w:val="both"/>
              <w:rPr>
                <w:rFonts w:ascii="Calibri"/>
                <w:b/>
                <w:sz w:val="22"/>
              </w:rPr>
            </w:pPr>
            <w:r>
              <w:rPr>
                <w:rFonts w:ascii="Calibri"/>
                <w:b/>
                <w:spacing w:val="-2"/>
                <w:sz w:val="22"/>
              </w:rPr>
              <w:t>Percentage </w:t>
            </w:r>
            <w:r>
              <w:rPr>
                <w:rFonts w:ascii="Calibri"/>
                <w:b/>
                <w:sz w:val="22"/>
              </w:rPr>
              <w:t>of</w:t>
            </w:r>
            <w:r>
              <w:rPr>
                <w:rFonts w:ascii="Calibri"/>
                <w:b/>
                <w:spacing w:val="-13"/>
                <w:sz w:val="22"/>
              </w:rPr>
              <w:t> </w:t>
            </w:r>
            <w:r>
              <w:rPr>
                <w:rFonts w:ascii="Calibri"/>
                <w:b/>
                <w:sz w:val="22"/>
              </w:rPr>
              <w:t>the</w:t>
            </w:r>
            <w:r>
              <w:rPr>
                <w:rFonts w:ascii="Calibri"/>
                <w:b/>
                <w:spacing w:val="-12"/>
                <w:sz w:val="22"/>
              </w:rPr>
              <w:t> </w:t>
            </w:r>
            <w:r>
              <w:rPr>
                <w:rFonts w:ascii="Calibri"/>
                <w:b/>
                <w:sz w:val="22"/>
              </w:rPr>
              <w:t>total </w:t>
            </w:r>
            <w:r>
              <w:rPr>
                <w:rFonts w:ascii="Calibri"/>
                <w:b/>
                <w:spacing w:val="-2"/>
                <w:sz w:val="22"/>
              </w:rPr>
              <w:t>population </w:t>
            </w:r>
            <w:r>
              <w:rPr>
                <w:rFonts w:ascii="Calibri"/>
                <w:b/>
                <w:sz w:val="22"/>
              </w:rPr>
              <w:t>5 and over</w:t>
            </w:r>
          </w:p>
        </w:tc>
      </w:tr>
      <w:tr>
        <w:trPr>
          <w:trHeight w:val="299" w:hRule="atLeast"/>
        </w:trPr>
        <w:tc>
          <w:tcPr>
            <w:tcW w:w="4759" w:type="dxa"/>
          </w:tcPr>
          <w:p>
            <w:pPr>
              <w:pStyle w:val="TableParagraph"/>
              <w:spacing w:line="242" w:lineRule="exact" w:before="37"/>
              <w:ind w:left="100"/>
              <w:rPr>
                <w:rFonts w:ascii="Calibri"/>
                <w:sz w:val="22"/>
              </w:rPr>
            </w:pPr>
            <w:r>
              <w:rPr>
                <w:rFonts w:ascii="Calibri"/>
                <w:spacing w:val="-2"/>
                <w:sz w:val="22"/>
              </w:rPr>
              <w:t>Total</w:t>
            </w:r>
            <w:r>
              <w:rPr>
                <w:rFonts w:ascii="Calibri"/>
                <w:spacing w:val="-11"/>
                <w:sz w:val="22"/>
              </w:rPr>
              <w:t> </w:t>
            </w:r>
            <w:r>
              <w:rPr>
                <w:rFonts w:ascii="Calibri"/>
                <w:spacing w:val="-2"/>
                <w:sz w:val="22"/>
              </w:rPr>
              <w:t>Population</w:t>
            </w:r>
            <w:r>
              <w:rPr>
                <w:rFonts w:ascii="Calibri"/>
                <w:spacing w:val="-4"/>
                <w:sz w:val="22"/>
              </w:rPr>
              <w:t> </w:t>
            </w:r>
            <w:r>
              <w:rPr>
                <w:rFonts w:ascii="Calibri"/>
                <w:spacing w:val="-2"/>
                <w:sz w:val="22"/>
              </w:rPr>
              <w:t>5</w:t>
            </w:r>
            <w:r>
              <w:rPr>
                <w:rFonts w:ascii="Calibri"/>
                <w:spacing w:val="-5"/>
                <w:sz w:val="22"/>
              </w:rPr>
              <w:t> </w:t>
            </w:r>
            <w:r>
              <w:rPr>
                <w:rFonts w:ascii="Calibri"/>
                <w:spacing w:val="-2"/>
                <w:sz w:val="22"/>
              </w:rPr>
              <w:t>and</w:t>
            </w:r>
            <w:r>
              <w:rPr>
                <w:rFonts w:ascii="Calibri"/>
                <w:spacing w:val="-6"/>
                <w:sz w:val="22"/>
              </w:rPr>
              <w:t> </w:t>
            </w:r>
            <w:r>
              <w:rPr>
                <w:rFonts w:ascii="Calibri"/>
                <w:spacing w:val="-4"/>
                <w:sz w:val="22"/>
              </w:rPr>
              <w:t>Over</w:t>
            </w:r>
          </w:p>
        </w:tc>
        <w:tc>
          <w:tcPr>
            <w:tcW w:w="1531" w:type="dxa"/>
          </w:tcPr>
          <w:p>
            <w:pPr>
              <w:pStyle w:val="TableParagraph"/>
              <w:spacing w:line="242" w:lineRule="exact" w:before="37"/>
              <w:ind w:left="308" w:right="299"/>
              <w:jc w:val="center"/>
              <w:rPr>
                <w:rFonts w:ascii="Calibri"/>
                <w:sz w:val="22"/>
              </w:rPr>
            </w:pPr>
            <w:r>
              <w:rPr>
                <w:rFonts w:ascii="Calibri"/>
                <w:spacing w:val="-2"/>
                <w:sz w:val="22"/>
              </w:rPr>
              <w:t>1,293,114</w:t>
            </w:r>
          </w:p>
        </w:tc>
        <w:tc>
          <w:tcPr>
            <w:tcW w:w="1161" w:type="dxa"/>
          </w:tcPr>
          <w:p>
            <w:pPr>
              <w:pStyle w:val="TableParagraph"/>
              <w:spacing w:line="240" w:lineRule="auto"/>
              <w:rPr>
                <w:sz w:val="22"/>
              </w:rPr>
            </w:pPr>
          </w:p>
        </w:tc>
        <w:tc>
          <w:tcPr>
            <w:tcW w:w="909" w:type="dxa"/>
          </w:tcPr>
          <w:p>
            <w:pPr>
              <w:pStyle w:val="TableParagraph"/>
              <w:spacing w:line="240" w:lineRule="auto"/>
              <w:rPr>
                <w:sz w:val="22"/>
              </w:rPr>
            </w:pPr>
          </w:p>
        </w:tc>
        <w:tc>
          <w:tcPr>
            <w:tcW w:w="1437" w:type="dxa"/>
          </w:tcPr>
          <w:p>
            <w:pPr>
              <w:pStyle w:val="TableParagraph"/>
              <w:spacing w:line="240" w:lineRule="auto"/>
              <w:rPr>
                <w:sz w:val="22"/>
              </w:rPr>
            </w:pPr>
          </w:p>
        </w:tc>
      </w:tr>
      <w:tr>
        <w:trPr>
          <w:trHeight w:val="301" w:hRule="atLeast"/>
        </w:trPr>
        <w:tc>
          <w:tcPr>
            <w:tcW w:w="4759" w:type="dxa"/>
          </w:tcPr>
          <w:p>
            <w:pPr>
              <w:pStyle w:val="TableParagraph"/>
              <w:spacing w:line="242" w:lineRule="exact" w:before="40"/>
              <w:ind w:left="100"/>
              <w:rPr>
                <w:rFonts w:ascii="Calibri"/>
                <w:sz w:val="22"/>
              </w:rPr>
            </w:pPr>
            <w:r>
              <w:rPr>
                <w:rFonts w:ascii="Calibri"/>
                <w:spacing w:val="-2"/>
                <w:sz w:val="22"/>
              </w:rPr>
              <w:t>Speak</w:t>
            </w:r>
            <w:r>
              <w:rPr>
                <w:rFonts w:ascii="Calibri"/>
                <w:spacing w:val="-7"/>
                <w:sz w:val="22"/>
              </w:rPr>
              <w:t> </w:t>
            </w:r>
            <w:r>
              <w:rPr>
                <w:rFonts w:ascii="Calibri"/>
                <w:spacing w:val="-2"/>
                <w:sz w:val="22"/>
              </w:rPr>
              <w:t>only</w:t>
            </w:r>
            <w:r>
              <w:rPr>
                <w:rFonts w:ascii="Calibri"/>
                <w:spacing w:val="-7"/>
                <w:sz w:val="22"/>
              </w:rPr>
              <w:t> </w:t>
            </w:r>
            <w:r>
              <w:rPr>
                <w:rFonts w:ascii="Calibri"/>
                <w:spacing w:val="-2"/>
                <w:sz w:val="22"/>
              </w:rPr>
              <w:t>English</w:t>
            </w:r>
          </w:p>
        </w:tc>
        <w:tc>
          <w:tcPr>
            <w:tcW w:w="1531" w:type="dxa"/>
          </w:tcPr>
          <w:p>
            <w:pPr>
              <w:pStyle w:val="TableParagraph"/>
              <w:spacing w:line="242" w:lineRule="exact" w:before="40"/>
              <w:ind w:left="308" w:right="299"/>
              <w:jc w:val="center"/>
              <w:rPr>
                <w:rFonts w:ascii="Calibri"/>
                <w:sz w:val="22"/>
              </w:rPr>
            </w:pPr>
            <w:r>
              <w:rPr>
                <w:rFonts w:ascii="Calibri"/>
                <w:spacing w:val="-2"/>
                <w:sz w:val="22"/>
              </w:rPr>
              <w:t>1,216,827</w:t>
            </w:r>
          </w:p>
        </w:tc>
        <w:tc>
          <w:tcPr>
            <w:tcW w:w="1161" w:type="dxa"/>
          </w:tcPr>
          <w:p>
            <w:pPr>
              <w:pStyle w:val="TableParagraph"/>
              <w:spacing w:line="240" w:lineRule="auto"/>
              <w:rPr>
                <w:sz w:val="22"/>
              </w:rPr>
            </w:pPr>
          </w:p>
        </w:tc>
        <w:tc>
          <w:tcPr>
            <w:tcW w:w="909" w:type="dxa"/>
          </w:tcPr>
          <w:p>
            <w:pPr>
              <w:pStyle w:val="TableParagraph"/>
              <w:spacing w:line="240" w:lineRule="auto"/>
              <w:rPr>
                <w:sz w:val="22"/>
              </w:rPr>
            </w:pPr>
          </w:p>
        </w:tc>
        <w:tc>
          <w:tcPr>
            <w:tcW w:w="1437" w:type="dxa"/>
          </w:tcPr>
          <w:p>
            <w:pPr>
              <w:pStyle w:val="TableParagraph"/>
              <w:spacing w:line="240" w:lineRule="auto"/>
              <w:rPr>
                <w:sz w:val="22"/>
              </w:rPr>
            </w:pPr>
          </w:p>
        </w:tc>
      </w:tr>
      <w:tr>
        <w:trPr>
          <w:trHeight w:val="299" w:hRule="atLeast"/>
        </w:trPr>
        <w:tc>
          <w:tcPr>
            <w:tcW w:w="4759" w:type="dxa"/>
          </w:tcPr>
          <w:p>
            <w:pPr>
              <w:pStyle w:val="TableParagraph"/>
              <w:spacing w:line="242" w:lineRule="exact" w:before="37"/>
              <w:ind w:left="100"/>
              <w:rPr>
                <w:rFonts w:ascii="Calibri"/>
                <w:sz w:val="22"/>
              </w:rPr>
            </w:pPr>
            <w:r>
              <w:rPr>
                <w:rFonts w:ascii="Calibri"/>
                <w:sz w:val="22"/>
              </w:rPr>
              <w:t>French,</w:t>
            </w:r>
            <w:r>
              <w:rPr>
                <w:rFonts w:ascii="Calibri"/>
                <w:spacing w:val="-11"/>
                <w:sz w:val="22"/>
              </w:rPr>
              <w:t> </w:t>
            </w:r>
            <w:r>
              <w:rPr>
                <w:rFonts w:ascii="Calibri"/>
                <w:sz w:val="22"/>
              </w:rPr>
              <w:t>Haitian,</w:t>
            </w:r>
            <w:r>
              <w:rPr>
                <w:rFonts w:ascii="Calibri"/>
                <w:spacing w:val="-11"/>
                <w:sz w:val="22"/>
              </w:rPr>
              <w:t> </w:t>
            </w:r>
            <w:r>
              <w:rPr>
                <w:rFonts w:ascii="Calibri"/>
                <w:sz w:val="22"/>
              </w:rPr>
              <w:t>or</w:t>
            </w:r>
            <w:r>
              <w:rPr>
                <w:rFonts w:ascii="Calibri"/>
                <w:spacing w:val="-11"/>
                <w:sz w:val="22"/>
              </w:rPr>
              <w:t> </w:t>
            </w:r>
            <w:r>
              <w:rPr>
                <w:rFonts w:ascii="Calibri"/>
                <w:spacing w:val="-4"/>
                <w:sz w:val="22"/>
              </w:rPr>
              <w:t>Cajun</w:t>
            </w:r>
          </w:p>
        </w:tc>
        <w:tc>
          <w:tcPr>
            <w:tcW w:w="1531" w:type="dxa"/>
          </w:tcPr>
          <w:p>
            <w:pPr>
              <w:pStyle w:val="TableParagraph"/>
              <w:spacing w:line="242" w:lineRule="exact" w:before="37"/>
              <w:ind w:left="308" w:right="299"/>
              <w:jc w:val="center"/>
              <w:rPr>
                <w:rFonts w:ascii="Calibri"/>
                <w:sz w:val="22"/>
              </w:rPr>
            </w:pPr>
            <w:r>
              <w:rPr>
                <w:rFonts w:ascii="Calibri"/>
                <w:spacing w:val="-2"/>
                <w:sz w:val="22"/>
              </w:rPr>
              <w:t>33,695</w:t>
            </w:r>
          </w:p>
        </w:tc>
        <w:tc>
          <w:tcPr>
            <w:tcW w:w="1161" w:type="dxa"/>
          </w:tcPr>
          <w:p>
            <w:pPr>
              <w:pStyle w:val="TableParagraph"/>
              <w:spacing w:line="242" w:lineRule="exact" w:before="37"/>
              <w:ind w:left="260" w:right="250"/>
              <w:jc w:val="center"/>
              <w:rPr>
                <w:rFonts w:ascii="Calibri"/>
                <w:sz w:val="22"/>
              </w:rPr>
            </w:pPr>
            <w:r>
              <w:rPr>
                <w:rFonts w:ascii="Calibri"/>
                <w:spacing w:val="-2"/>
                <w:sz w:val="22"/>
              </w:rPr>
              <w:t>27,260</w:t>
            </w:r>
          </w:p>
        </w:tc>
        <w:tc>
          <w:tcPr>
            <w:tcW w:w="909" w:type="dxa"/>
            <w:shd w:val="clear" w:color="auto" w:fill="FFFF00"/>
          </w:tcPr>
          <w:p>
            <w:pPr>
              <w:pStyle w:val="TableParagraph"/>
              <w:spacing w:line="242" w:lineRule="exact" w:before="37"/>
              <w:ind w:left="190" w:right="176"/>
              <w:jc w:val="center"/>
              <w:rPr>
                <w:rFonts w:ascii="Calibri"/>
                <w:sz w:val="22"/>
              </w:rPr>
            </w:pPr>
            <w:r>
              <w:rPr>
                <w:rFonts w:ascii="Calibri"/>
                <w:spacing w:val="-2"/>
                <w:sz w:val="22"/>
              </w:rPr>
              <w:t>6,435</w:t>
            </w:r>
          </w:p>
        </w:tc>
        <w:tc>
          <w:tcPr>
            <w:tcW w:w="1437" w:type="dxa"/>
          </w:tcPr>
          <w:p>
            <w:pPr>
              <w:pStyle w:val="TableParagraph"/>
              <w:spacing w:line="244" w:lineRule="exact" w:before="35"/>
              <w:ind w:left="399" w:right="386"/>
              <w:jc w:val="center"/>
              <w:rPr>
                <w:rFonts w:ascii="Calibri"/>
                <w:sz w:val="22"/>
              </w:rPr>
            </w:pPr>
            <w:r>
              <w:rPr>
                <w:rFonts w:ascii="Calibri"/>
                <w:spacing w:val="-2"/>
                <w:sz w:val="22"/>
              </w:rPr>
              <w:t>0.4976</w:t>
            </w:r>
          </w:p>
        </w:tc>
      </w:tr>
      <w:tr>
        <w:trPr>
          <w:trHeight w:val="299" w:hRule="atLeast"/>
        </w:trPr>
        <w:tc>
          <w:tcPr>
            <w:tcW w:w="4759" w:type="dxa"/>
          </w:tcPr>
          <w:p>
            <w:pPr>
              <w:pStyle w:val="TableParagraph"/>
              <w:spacing w:line="242" w:lineRule="exact" w:before="37"/>
              <w:ind w:left="100"/>
              <w:rPr>
                <w:rFonts w:ascii="Calibri"/>
                <w:sz w:val="22"/>
              </w:rPr>
            </w:pPr>
            <w:r>
              <w:rPr>
                <w:rFonts w:ascii="Calibri"/>
                <w:spacing w:val="-2"/>
                <w:sz w:val="22"/>
              </w:rPr>
              <w:t>Spanish</w:t>
            </w:r>
          </w:p>
        </w:tc>
        <w:tc>
          <w:tcPr>
            <w:tcW w:w="1531" w:type="dxa"/>
          </w:tcPr>
          <w:p>
            <w:pPr>
              <w:pStyle w:val="TableParagraph"/>
              <w:spacing w:line="242" w:lineRule="exact" w:before="37"/>
              <w:ind w:left="308" w:right="299"/>
              <w:jc w:val="center"/>
              <w:rPr>
                <w:rFonts w:ascii="Calibri"/>
                <w:sz w:val="22"/>
              </w:rPr>
            </w:pPr>
            <w:r>
              <w:rPr>
                <w:rFonts w:ascii="Calibri"/>
                <w:spacing w:val="-2"/>
                <w:sz w:val="22"/>
              </w:rPr>
              <w:t>11,920</w:t>
            </w:r>
          </w:p>
        </w:tc>
        <w:tc>
          <w:tcPr>
            <w:tcW w:w="1161" w:type="dxa"/>
          </w:tcPr>
          <w:p>
            <w:pPr>
              <w:pStyle w:val="TableParagraph"/>
              <w:spacing w:line="242" w:lineRule="exact" w:before="37"/>
              <w:ind w:left="260" w:right="249"/>
              <w:jc w:val="center"/>
              <w:rPr>
                <w:rFonts w:ascii="Calibri"/>
                <w:sz w:val="22"/>
              </w:rPr>
            </w:pPr>
            <w:r>
              <w:rPr>
                <w:rFonts w:ascii="Calibri"/>
                <w:spacing w:val="-2"/>
                <w:sz w:val="22"/>
              </w:rPr>
              <w:t>9,208</w:t>
            </w:r>
          </w:p>
        </w:tc>
        <w:tc>
          <w:tcPr>
            <w:tcW w:w="909" w:type="dxa"/>
            <w:shd w:val="clear" w:color="auto" w:fill="FFFF00"/>
          </w:tcPr>
          <w:p>
            <w:pPr>
              <w:pStyle w:val="TableParagraph"/>
              <w:spacing w:line="242" w:lineRule="exact" w:before="37"/>
              <w:ind w:left="190" w:right="176"/>
              <w:jc w:val="center"/>
              <w:rPr>
                <w:rFonts w:ascii="Calibri"/>
                <w:sz w:val="22"/>
              </w:rPr>
            </w:pPr>
            <w:r>
              <w:rPr>
                <w:rFonts w:ascii="Calibri"/>
                <w:spacing w:val="-2"/>
                <w:sz w:val="22"/>
              </w:rPr>
              <w:t>2,712</w:t>
            </w:r>
          </w:p>
        </w:tc>
        <w:tc>
          <w:tcPr>
            <w:tcW w:w="1437" w:type="dxa"/>
          </w:tcPr>
          <w:p>
            <w:pPr>
              <w:pStyle w:val="TableParagraph"/>
              <w:spacing w:line="244" w:lineRule="exact" w:before="35"/>
              <w:ind w:left="399" w:right="386"/>
              <w:jc w:val="center"/>
              <w:rPr>
                <w:rFonts w:ascii="Calibri"/>
                <w:sz w:val="22"/>
              </w:rPr>
            </w:pPr>
            <w:r>
              <w:rPr>
                <w:rFonts w:ascii="Calibri"/>
                <w:spacing w:val="-2"/>
                <w:sz w:val="22"/>
              </w:rPr>
              <w:t>0.2097</w:t>
            </w:r>
          </w:p>
        </w:tc>
      </w:tr>
      <w:tr>
        <w:trPr>
          <w:trHeight w:val="302" w:hRule="atLeast"/>
        </w:trPr>
        <w:tc>
          <w:tcPr>
            <w:tcW w:w="4759" w:type="dxa"/>
          </w:tcPr>
          <w:p>
            <w:pPr>
              <w:pStyle w:val="TableParagraph"/>
              <w:spacing w:line="242" w:lineRule="exact" w:before="40"/>
              <w:ind w:left="100"/>
              <w:rPr>
                <w:rFonts w:ascii="Calibri"/>
                <w:sz w:val="22"/>
              </w:rPr>
            </w:pPr>
            <w:r>
              <w:rPr>
                <w:rFonts w:ascii="Calibri"/>
                <w:spacing w:val="-2"/>
                <w:sz w:val="22"/>
              </w:rPr>
              <w:t>Chinese</w:t>
            </w:r>
            <w:r>
              <w:rPr>
                <w:rFonts w:ascii="Calibri"/>
                <w:spacing w:val="-8"/>
                <w:sz w:val="22"/>
              </w:rPr>
              <w:t> </w:t>
            </w:r>
            <w:r>
              <w:rPr>
                <w:rFonts w:ascii="Calibri"/>
                <w:spacing w:val="-2"/>
                <w:sz w:val="22"/>
              </w:rPr>
              <w:t>(incl.</w:t>
            </w:r>
            <w:r>
              <w:rPr>
                <w:rFonts w:ascii="Calibri"/>
                <w:spacing w:val="-11"/>
                <w:sz w:val="22"/>
              </w:rPr>
              <w:t> </w:t>
            </w:r>
            <w:r>
              <w:rPr>
                <w:rFonts w:ascii="Calibri"/>
                <w:spacing w:val="-2"/>
                <w:sz w:val="22"/>
              </w:rPr>
              <w:t>Mandarin,</w:t>
            </w:r>
            <w:r>
              <w:rPr>
                <w:rFonts w:ascii="Calibri"/>
                <w:spacing w:val="-7"/>
                <w:sz w:val="22"/>
              </w:rPr>
              <w:t> </w:t>
            </w:r>
            <w:r>
              <w:rPr>
                <w:rFonts w:ascii="Calibri"/>
                <w:spacing w:val="-2"/>
                <w:sz w:val="22"/>
              </w:rPr>
              <w:t>Cantonese)</w:t>
            </w:r>
          </w:p>
        </w:tc>
        <w:tc>
          <w:tcPr>
            <w:tcW w:w="1531" w:type="dxa"/>
          </w:tcPr>
          <w:p>
            <w:pPr>
              <w:pStyle w:val="TableParagraph"/>
              <w:spacing w:line="242" w:lineRule="exact" w:before="40"/>
              <w:ind w:left="308" w:right="298"/>
              <w:jc w:val="center"/>
              <w:rPr>
                <w:rFonts w:ascii="Calibri"/>
                <w:sz w:val="22"/>
              </w:rPr>
            </w:pPr>
            <w:r>
              <w:rPr>
                <w:rFonts w:ascii="Calibri"/>
                <w:spacing w:val="-2"/>
                <w:sz w:val="22"/>
              </w:rPr>
              <w:t>3,102</w:t>
            </w:r>
          </w:p>
        </w:tc>
        <w:tc>
          <w:tcPr>
            <w:tcW w:w="1161" w:type="dxa"/>
          </w:tcPr>
          <w:p>
            <w:pPr>
              <w:pStyle w:val="TableParagraph"/>
              <w:spacing w:line="242" w:lineRule="exact" w:before="40"/>
              <w:ind w:left="260" w:right="249"/>
              <w:jc w:val="center"/>
              <w:rPr>
                <w:rFonts w:ascii="Calibri"/>
                <w:sz w:val="22"/>
              </w:rPr>
            </w:pPr>
            <w:r>
              <w:rPr>
                <w:rFonts w:ascii="Calibri"/>
                <w:spacing w:val="-2"/>
                <w:sz w:val="22"/>
              </w:rPr>
              <w:t>1,731</w:t>
            </w:r>
          </w:p>
        </w:tc>
        <w:tc>
          <w:tcPr>
            <w:tcW w:w="909" w:type="dxa"/>
            <w:shd w:val="clear" w:color="auto" w:fill="FFFF00"/>
          </w:tcPr>
          <w:p>
            <w:pPr>
              <w:pStyle w:val="TableParagraph"/>
              <w:spacing w:line="242" w:lineRule="exact" w:before="40"/>
              <w:ind w:left="190" w:right="176"/>
              <w:jc w:val="center"/>
              <w:rPr>
                <w:rFonts w:ascii="Calibri"/>
                <w:sz w:val="22"/>
              </w:rPr>
            </w:pPr>
            <w:r>
              <w:rPr>
                <w:rFonts w:ascii="Calibri"/>
                <w:spacing w:val="-2"/>
                <w:sz w:val="22"/>
              </w:rPr>
              <w:t>1,371</w:t>
            </w:r>
          </w:p>
        </w:tc>
        <w:tc>
          <w:tcPr>
            <w:tcW w:w="1437" w:type="dxa"/>
          </w:tcPr>
          <w:p>
            <w:pPr>
              <w:pStyle w:val="TableParagraph"/>
              <w:spacing w:line="244" w:lineRule="exact" w:before="37"/>
              <w:ind w:left="399" w:right="386"/>
              <w:jc w:val="center"/>
              <w:rPr>
                <w:rFonts w:ascii="Calibri"/>
                <w:sz w:val="22"/>
              </w:rPr>
            </w:pPr>
            <w:r>
              <w:rPr>
                <w:rFonts w:ascii="Calibri"/>
                <w:spacing w:val="-2"/>
                <w:sz w:val="22"/>
              </w:rPr>
              <w:t>0.1060</w:t>
            </w:r>
          </w:p>
        </w:tc>
      </w:tr>
      <w:tr>
        <w:trPr>
          <w:trHeight w:val="299" w:hRule="atLeast"/>
        </w:trPr>
        <w:tc>
          <w:tcPr>
            <w:tcW w:w="4759" w:type="dxa"/>
          </w:tcPr>
          <w:p>
            <w:pPr>
              <w:pStyle w:val="TableParagraph"/>
              <w:spacing w:line="242" w:lineRule="exact" w:before="37"/>
              <w:ind w:left="100"/>
              <w:rPr>
                <w:rFonts w:ascii="Calibri"/>
                <w:sz w:val="22"/>
              </w:rPr>
            </w:pPr>
            <w:r>
              <w:rPr>
                <w:rFonts w:ascii="Calibri"/>
                <w:spacing w:val="-2"/>
                <w:sz w:val="22"/>
              </w:rPr>
              <w:t>Arabic</w:t>
            </w:r>
          </w:p>
        </w:tc>
        <w:tc>
          <w:tcPr>
            <w:tcW w:w="1531" w:type="dxa"/>
          </w:tcPr>
          <w:p>
            <w:pPr>
              <w:pStyle w:val="TableParagraph"/>
              <w:spacing w:line="242" w:lineRule="exact" w:before="37"/>
              <w:ind w:left="308" w:right="298"/>
              <w:jc w:val="center"/>
              <w:rPr>
                <w:rFonts w:ascii="Calibri"/>
                <w:sz w:val="22"/>
              </w:rPr>
            </w:pPr>
            <w:r>
              <w:rPr>
                <w:rFonts w:ascii="Calibri"/>
                <w:spacing w:val="-2"/>
                <w:sz w:val="22"/>
              </w:rPr>
              <w:t>1,438</w:t>
            </w:r>
          </w:p>
        </w:tc>
        <w:tc>
          <w:tcPr>
            <w:tcW w:w="1161" w:type="dxa"/>
          </w:tcPr>
          <w:p>
            <w:pPr>
              <w:pStyle w:val="TableParagraph"/>
              <w:spacing w:line="242" w:lineRule="exact" w:before="37"/>
              <w:ind w:left="258" w:right="250"/>
              <w:jc w:val="center"/>
              <w:rPr>
                <w:rFonts w:ascii="Calibri"/>
                <w:sz w:val="22"/>
              </w:rPr>
            </w:pPr>
            <w:r>
              <w:rPr>
                <w:rFonts w:ascii="Calibri"/>
                <w:spacing w:val="-5"/>
                <w:sz w:val="22"/>
              </w:rPr>
              <w:t>902</w:t>
            </w:r>
          </w:p>
        </w:tc>
        <w:tc>
          <w:tcPr>
            <w:tcW w:w="909" w:type="dxa"/>
          </w:tcPr>
          <w:p>
            <w:pPr>
              <w:pStyle w:val="TableParagraph"/>
              <w:spacing w:line="242" w:lineRule="exact" w:before="37"/>
              <w:ind w:left="189" w:right="177"/>
              <w:jc w:val="center"/>
              <w:rPr>
                <w:rFonts w:ascii="Calibri"/>
                <w:sz w:val="22"/>
              </w:rPr>
            </w:pPr>
            <w:r>
              <w:rPr>
                <w:rFonts w:ascii="Calibri"/>
                <w:spacing w:val="-5"/>
                <w:sz w:val="22"/>
              </w:rPr>
              <w:t>536</w:t>
            </w:r>
          </w:p>
        </w:tc>
        <w:tc>
          <w:tcPr>
            <w:tcW w:w="1437" w:type="dxa"/>
          </w:tcPr>
          <w:p>
            <w:pPr>
              <w:pStyle w:val="TableParagraph"/>
              <w:spacing w:line="244" w:lineRule="exact" w:before="35"/>
              <w:ind w:left="399" w:right="386"/>
              <w:jc w:val="center"/>
              <w:rPr>
                <w:rFonts w:ascii="Calibri"/>
                <w:sz w:val="22"/>
              </w:rPr>
            </w:pPr>
            <w:r>
              <w:rPr>
                <w:rFonts w:ascii="Calibri"/>
                <w:spacing w:val="-2"/>
                <w:sz w:val="22"/>
              </w:rPr>
              <w:t>0.0415</w:t>
            </w:r>
          </w:p>
        </w:tc>
      </w:tr>
      <w:tr>
        <w:trPr>
          <w:trHeight w:val="299" w:hRule="atLeast"/>
        </w:trPr>
        <w:tc>
          <w:tcPr>
            <w:tcW w:w="4759" w:type="dxa"/>
          </w:tcPr>
          <w:p>
            <w:pPr>
              <w:pStyle w:val="TableParagraph"/>
              <w:spacing w:line="242" w:lineRule="exact" w:before="37"/>
              <w:ind w:left="100"/>
              <w:rPr>
                <w:rFonts w:ascii="Calibri"/>
                <w:sz w:val="22"/>
              </w:rPr>
            </w:pPr>
            <w:r>
              <w:rPr>
                <w:rFonts w:ascii="Calibri"/>
                <w:spacing w:val="-2"/>
                <w:sz w:val="22"/>
              </w:rPr>
              <w:t>Vietnamese</w:t>
            </w:r>
          </w:p>
        </w:tc>
        <w:tc>
          <w:tcPr>
            <w:tcW w:w="1531" w:type="dxa"/>
          </w:tcPr>
          <w:p>
            <w:pPr>
              <w:pStyle w:val="TableParagraph"/>
              <w:spacing w:line="242" w:lineRule="exact" w:before="37"/>
              <w:ind w:left="306" w:right="299"/>
              <w:jc w:val="center"/>
              <w:rPr>
                <w:rFonts w:ascii="Calibri"/>
                <w:sz w:val="22"/>
              </w:rPr>
            </w:pPr>
            <w:r>
              <w:rPr>
                <w:rFonts w:ascii="Calibri"/>
                <w:spacing w:val="-5"/>
                <w:sz w:val="22"/>
              </w:rPr>
              <w:t>832</w:t>
            </w:r>
          </w:p>
        </w:tc>
        <w:tc>
          <w:tcPr>
            <w:tcW w:w="1161" w:type="dxa"/>
          </w:tcPr>
          <w:p>
            <w:pPr>
              <w:pStyle w:val="TableParagraph"/>
              <w:spacing w:line="242" w:lineRule="exact" w:before="37"/>
              <w:ind w:left="258" w:right="250"/>
              <w:jc w:val="center"/>
              <w:rPr>
                <w:rFonts w:ascii="Calibri"/>
                <w:sz w:val="22"/>
              </w:rPr>
            </w:pPr>
            <w:r>
              <w:rPr>
                <w:rFonts w:ascii="Calibri"/>
                <w:spacing w:val="-5"/>
                <w:sz w:val="22"/>
              </w:rPr>
              <w:t>303</w:t>
            </w:r>
          </w:p>
        </w:tc>
        <w:tc>
          <w:tcPr>
            <w:tcW w:w="909" w:type="dxa"/>
          </w:tcPr>
          <w:p>
            <w:pPr>
              <w:pStyle w:val="TableParagraph"/>
              <w:spacing w:line="242" w:lineRule="exact" w:before="37"/>
              <w:ind w:left="189" w:right="177"/>
              <w:jc w:val="center"/>
              <w:rPr>
                <w:rFonts w:ascii="Calibri"/>
                <w:sz w:val="22"/>
              </w:rPr>
            </w:pPr>
            <w:r>
              <w:rPr>
                <w:rFonts w:ascii="Calibri"/>
                <w:spacing w:val="-5"/>
                <w:sz w:val="22"/>
              </w:rPr>
              <w:t>529</w:t>
            </w:r>
          </w:p>
        </w:tc>
        <w:tc>
          <w:tcPr>
            <w:tcW w:w="1437" w:type="dxa"/>
          </w:tcPr>
          <w:p>
            <w:pPr>
              <w:pStyle w:val="TableParagraph"/>
              <w:spacing w:line="244" w:lineRule="exact" w:before="35"/>
              <w:ind w:left="399" w:right="386"/>
              <w:jc w:val="center"/>
              <w:rPr>
                <w:rFonts w:ascii="Calibri"/>
                <w:sz w:val="22"/>
              </w:rPr>
            </w:pPr>
            <w:r>
              <w:rPr>
                <w:rFonts w:ascii="Calibri"/>
                <w:spacing w:val="-2"/>
                <w:sz w:val="22"/>
              </w:rPr>
              <w:t>0.0409</w:t>
            </w:r>
          </w:p>
        </w:tc>
      </w:tr>
      <w:tr>
        <w:trPr>
          <w:trHeight w:val="302" w:hRule="atLeast"/>
        </w:trPr>
        <w:tc>
          <w:tcPr>
            <w:tcW w:w="4759" w:type="dxa"/>
          </w:tcPr>
          <w:p>
            <w:pPr>
              <w:pStyle w:val="TableParagraph"/>
              <w:spacing w:line="242" w:lineRule="exact" w:before="40"/>
              <w:ind w:left="100"/>
              <w:rPr>
                <w:rFonts w:ascii="Calibri"/>
                <w:sz w:val="22"/>
              </w:rPr>
            </w:pPr>
            <w:r>
              <w:rPr>
                <w:rFonts w:ascii="Calibri"/>
                <w:sz w:val="22"/>
              </w:rPr>
              <w:t>German</w:t>
            </w:r>
            <w:r>
              <w:rPr>
                <w:rFonts w:ascii="Calibri"/>
                <w:spacing w:val="-10"/>
                <w:sz w:val="22"/>
              </w:rPr>
              <w:t> </w:t>
            </w:r>
            <w:r>
              <w:rPr>
                <w:rFonts w:ascii="Calibri"/>
                <w:sz w:val="22"/>
              </w:rPr>
              <w:t>or</w:t>
            </w:r>
            <w:r>
              <w:rPr>
                <w:rFonts w:ascii="Calibri"/>
                <w:spacing w:val="-12"/>
                <w:sz w:val="22"/>
              </w:rPr>
              <w:t> </w:t>
            </w:r>
            <w:r>
              <w:rPr>
                <w:rFonts w:ascii="Calibri"/>
                <w:sz w:val="22"/>
              </w:rPr>
              <w:t>other</w:t>
            </w:r>
            <w:r>
              <w:rPr>
                <w:rFonts w:ascii="Calibri"/>
                <w:spacing w:val="-11"/>
                <w:sz w:val="22"/>
              </w:rPr>
              <w:t> </w:t>
            </w:r>
            <w:r>
              <w:rPr>
                <w:rFonts w:ascii="Calibri"/>
                <w:sz w:val="22"/>
              </w:rPr>
              <w:t>West</w:t>
            </w:r>
            <w:r>
              <w:rPr>
                <w:rFonts w:ascii="Calibri"/>
                <w:spacing w:val="-9"/>
                <w:sz w:val="22"/>
              </w:rPr>
              <w:t> </w:t>
            </w:r>
            <w:r>
              <w:rPr>
                <w:rFonts w:ascii="Calibri"/>
                <w:sz w:val="22"/>
              </w:rPr>
              <w:t>Germanic</w:t>
            </w:r>
            <w:r>
              <w:rPr>
                <w:rFonts w:ascii="Calibri"/>
                <w:spacing w:val="-9"/>
                <w:sz w:val="22"/>
              </w:rPr>
              <w:t> </w:t>
            </w:r>
            <w:r>
              <w:rPr>
                <w:rFonts w:ascii="Calibri"/>
                <w:spacing w:val="-2"/>
                <w:sz w:val="22"/>
              </w:rPr>
              <w:t>languages</w:t>
            </w:r>
          </w:p>
        </w:tc>
        <w:tc>
          <w:tcPr>
            <w:tcW w:w="1531" w:type="dxa"/>
          </w:tcPr>
          <w:p>
            <w:pPr>
              <w:pStyle w:val="TableParagraph"/>
              <w:spacing w:line="242" w:lineRule="exact" w:before="40"/>
              <w:ind w:left="308" w:right="298"/>
              <w:jc w:val="center"/>
              <w:rPr>
                <w:rFonts w:ascii="Calibri"/>
                <w:sz w:val="22"/>
              </w:rPr>
            </w:pPr>
            <w:r>
              <w:rPr>
                <w:rFonts w:ascii="Calibri"/>
                <w:spacing w:val="-2"/>
                <w:sz w:val="22"/>
              </w:rPr>
              <w:t>4,185</w:t>
            </w:r>
          </w:p>
        </w:tc>
        <w:tc>
          <w:tcPr>
            <w:tcW w:w="1161" w:type="dxa"/>
          </w:tcPr>
          <w:p>
            <w:pPr>
              <w:pStyle w:val="TableParagraph"/>
              <w:spacing w:line="242" w:lineRule="exact" w:before="40"/>
              <w:ind w:left="260" w:right="249"/>
              <w:jc w:val="center"/>
              <w:rPr>
                <w:rFonts w:ascii="Calibri"/>
                <w:sz w:val="22"/>
              </w:rPr>
            </w:pPr>
            <w:r>
              <w:rPr>
                <w:rFonts w:ascii="Calibri"/>
                <w:spacing w:val="-2"/>
                <w:sz w:val="22"/>
              </w:rPr>
              <w:t>3,695</w:t>
            </w:r>
          </w:p>
        </w:tc>
        <w:tc>
          <w:tcPr>
            <w:tcW w:w="909" w:type="dxa"/>
          </w:tcPr>
          <w:p>
            <w:pPr>
              <w:pStyle w:val="TableParagraph"/>
              <w:spacing w:line="242" w:lineRule="exact" w:before="40"/>
              <w:ind w:left="189" w:right="177"/>
              <w:jc w:val="center"/>
              <w:rPr>
                <w:rFonts w:ascii="Calibri"/>
                <w:sz w:val="22"/>
              </w:rPr>
            </w:pPr>
            <w:r>
              <w:rPr>
                <w:rFonts w:ascii="Calibri"/>
                <w:spacing w:val="-5"/>
                <w:sz w:val="22"/>
              </w:rPr>
              <w:t>490</w:t>
            </w:r>
          </w:p>
        </w:tc>
        <w:tc>
          <w:tcPr>
            <w:tcW w:w="1437" w:type="dxa"/>
          </w:tcPr>
          <w:p>
            <w:pPr>
              <w:pStyle w:val="TableParagraph"/>
              <w:spacing w:line="244" w:lineRule="exact" w:before="37"/>
              <w:ind w:left="399" w:right="386"/>
              <w:jc w:val="center"/>
              <w:rPr>
                <w:rFonts w:ascii="Calibri"/>
                <w:sz w:val="22"/>
              </w:rPr>
            </w:pPr>
            <w:r>
              <w:rPr>
                <w:rFonts w:ascii="Calibri"/>
                <w:spacing w:val="-2"/>
                <w:sz w:val="22"/>
              </w:rPr>
              <w:t>0.0379</w:t>
            </w:r>
          </w:p>
        </w:tc>
      </w:tr>
      <w:tr>
        <w:trPr>
          <w:trHeight w:val="299" w:hRule="atLeast"/>
        </w:trPr>
        <w:tc>
          <w:tcPr>
            <w:tcW w:w="4759" w:type="dxa"/>
          </w:tcPr>
          <w:p>
            <w:pPr>
              <w:pStyle w:val="TableParagraph"/>
              <w:spacing w:line="242" w:lineRule="exact" w:before="37"/>
              <w:ind w:left="100"/>
              <w:rPr>
                <w:rFonts w:ascii="Calibri"/>
                <w:sz w:val="22"/>
              </w:rPr>
            </w:pPr>
            <w:r>
              <w:rPr>
                <w:rFonts w:ascii="Calibri"/>
                <w:spacing w:val="-2"/>
                <w:sz w:val="22"/>
              </w:rPr>
              <w:t>Tagalog</w:t>
            </w:r>
            <w:r>
              <w:rPr>
                <w:rFonts w:ascii="Calibri"/>
                <w:spacing w:val="-6"/>
                <w:sz w:val="22"/>
              </w:rPr>
              <w:t> </w:t>
            </w:r>
            <w:r>
              <w:rPr>
                <w:rFonts w:ascii="Calibri"/>
                <w:spacing w:val="-2"/>
                <w:sz w:val="22"/>
              </w:rPr>
              <w:t>(incl.</w:t>
            </w:r>
            <w:r>
              <w:rPr>
                <w:rFonts w:ascii="Calibri"/>
                <w:spacing w:val="-5"/>
                <w:sz w:val="22"/>
              </w:rPr>
              <w:t> </w:t>
            </w:r>
            <w:r>
              <w:rPr>
                <w:rFonts w:ascii="Calibri"/>
                <w:spacing w:val="-2"/>
                <w:sz w:val="22"/>
              </w:rPr>
              <w:t>Filipino)</w:t>
            </w:r>
          </w:p>
        </w:tc>
        <w:tc>
          <w:tcPr>
            <w:tcW w:w="1531" w:type="dxa"/>
          </w:tcPr>
          <w:p>
            <w:pPr>
              <w:pStyle w:val="TableParagraph"/>
              <w:spacing w:line="242" w:lineRule="exact" w:before="37"/>
              <w:ind w:left="308" w:right="298"/>
              <w:jc w:val="center"/>
              <w:rPr>
                <w:rFonts w:ascii="Calibri"/>
                <w:sz w:val="22"/>
              </w:rPr>
            </w:pPr>
            <w:r>
              <w:rPr>
                <w:rFonts w:ascii="Calibri"/>
                <w:spacing w:val="-2"/>
                <w:sz w:val="22"/>
              </w:rPr>
              <w:t>1,026</w:t>
            </w:r>
          </w:p>
        </w:tc>
        <w:tc>
          <w:tcPr>
            <w:tcW w:w="1161" w:type="dxa"/>
          </w:tcPr>
          <w:p>
            <w:pPr>
              <w:pStyle w:val="TableParagraph"/>
              <w:spacing w:line="242" w:lineRule="exact" w:before="37"/>
              <w:ind w:left="258" w:right="250"/>
              <w:jc w:val="center"/>
              <w:rPr>
                <w:rFonts w:ascii="Calibri"/>
                <w:sz w:val="22"/>
              </w:rPr>
            </w:pPr>
            <w:r>
              <w:rPr>
                <w:rFonts w:ascii="Calibri"/>
                <w:spacing w:val="-5"/>
                <w:sz w:val="22"/>
              </w:rPr>
              <w:t>771</w:t>
            </w:r>
          </w:p>
        </w:tc>
        <w:tc>
          <w:tcPr>
            <w:tcW w:w="909" w:type="dxa"/>
          </w:tcPr>
          <w:p>
            <w:pPr>
              <w:pStyle w:val="TableParagraph"/>
              <w:spacing w:line="242" w:lineRule="exact" w:before="37"/>
              <w:ind w:left="189" w:right="177"/>
              <w:jc w:val="center"/>
              <w:rPr>
                <w:rFonts w:ascii="Calibri"/>
                <w:sz w:val="22"/>
              </w:rPr>
            </w:pPr>
            <w:r>
              <w:rPr>
                <w:rFonts w:ascii="Calibri"/>
                <w:spacing w:val="-5"/>
                <w:sz w:val="22"/>
              </w:rPr>
              <w:t>255</w:t>
            </w:r>
          </w:p>
        </w:tc>
        <w:tc>
          <w:tcPr>
            <w:tcW w:w="1437" w:type="dxa"/>
          </w:tcPr>
          <w:p>
            <w:pPr>
              <w:pStyle w:val="TableParagraph"/>
              <w:spacing w:line="244" w:lineRule="exact" w:before="35"/>
              <w:ind w:left="399" w:right="386"/>
              <w:jc w:val="center"/>
              <w:rPr>
                <w:rFonts w:ascii="Calibri"/>
                <w:sz w:val="22"/>
              </w:rPr>
            </w:pPr>
            <w:r>
              <w:rPr>
                <w:rFonts w:ascii="Calibri"/>
                <w:spacing w:val="-2"/>
                <w:sz w:val="22"/>
              </w:rPr>
              <w:t>0.0197</w:t>
            </w:r>
          </w:p>
        </w:tc>
      </w:tr>
      <w:tr>
        <w:trPr>
          <w:trHeight w:val="299" w:hRule="atLeast"/>
        </w:trPr>
        <w:tc>
          <w:tcPr>
            <w:tcW w:w="4759" w:type="dxa"/>
          </w:tcPr>
          <w:p>
            <w:pPr>
              <w:pStyle w:val="TableParagraph"/>
              <w:spacing w:line="242" w:lineRule="exact" w:before="37"/>
              <w:ind w:left="100"/>
              <w:rPr>
                <w:rFonts w:ascii="Calibri"/>
                <w:sz w:val="22"/>
              </w:rPr>
            </w:pPr>
            <w:r>
              <w:rPr>
                <w:rFonts w:ascii="Calibri"/>
                <w:sz w:val="22"/>
              </w:rPr>
              <w:t>Russian,</w:t>
            </w:r>
            <w:r>
              <w:rPr>
                <w:rFonts w:ascii="Calibri"/>
                <w:spacing w:val="-10"/>
                <w:sz w:val="22"/>
              </w:rPr>
              <w:t> </w:t>
            </w:r>
            <w:r>
              <w:rPr>
                <w:rFonts w:ascii="Calibri"/>
                <w:sz w:val="22"/>
              </w:rPr>
              <w:t>Polish,</w:t>
            </w:r>
            <w:r>
              <w:rPr>
                <w:rFonts w:ascii="Calibri"/>
                <w:spacing w:val="-10"/>
                <w:sz w:val="22"/>
              </w:rPr>
              <w:t> </w:t>
            </w:r>
            <w:r>
              <w:rPr>
                <w:rFonts w:ascii="Calibri"/>
                <w:sz w:val="22"/>
              </w:rPr>
              <w:t>or</w:t>
            </w:r>
            <w:r>
              <w:rPr>
                <w:rFonts w:ascii="Calibri"/>
                <w:spacing w:val="-13"/>
                <w:sz w:val="22"/>
              </w:rPr>
              <w:t> </w:t>
            </w:r>
            <w:r>
              <w:rPr>
                <w:rFonts w:ascii="Calibri"/>
                <w:sz w:val="22"/>
              </w:rPr>
              <w:t>other</w:t>
            </w:r>
            <w:r>
              <w:rPr>
                <w:rFonts w:ascii="Calibri"/>
                <w:spacing w:val="-10"/>
                <w:sz w:val="22"/>
              </w:rPr>
              <w:t> </w:t>
            </w:r>
            <w:r>
              <w:rPr>
                <w:rFonts w:ascii="Calibri"/>
                <w:sz w:val="22"/>
              </w:rPr>
              <w:t>Slavic</w:t>
            </w:r>
            <w:r>
              <w:rPr>
                <w:rFonts w:ascii="Calibri"/>
                <w:spacing w:val="-9"/>
                <w:sz w:val="22"/>
              </w:rPr>
              <w:t> </w:t>
            </w:r>
            <w:r>
              <w:rPr>
                <w:rFonts w:ascii="Calibri"/>
                <w:spacing w:val="-2"/>
                <w:sz w:val="22"/>
              </w:rPr>
              <w:t>languages</w:t>
            </w:r>
          </w:p>
        </w:tc>
        <w:tc>
          <w:tcPr>
            <w:tcW w:w="1531" w:type="dxa"/>
          </w:tcPr>
          <w:p>
            <w:pPr>
              <w:pStyle w:val="TableParagraph"/>
              <w:spacing w:line="242" w:lineRule="exact" w:before="37"/>
              <w:ind w:left="308" w:right="298"/>
              <w:jc w:val="center"/>
              <w:rPr>
                <w:rFonts w:ascii="Calibri"/>
                <w:sz w:val="22"/>
              </w:rPr>
            </w:pPr>
            <w:r>
              <w:rPr>
                <w:rFonts w:ascii="Calibri"/>
                <w:spacing w:val="-2"/>
                <w:sz w:val="22"/>
              </w:rPr>
              <w:t>2,801</w:t>
            </w:r>
          </w:p>
        </w:tc>
        <w:tc>
          <w:tcPr>
            <w:tcW w:w="1161" w:type="dxa"/>
          </w:tcPr>
          <w:p>
            <w:pPr>
              <w:pStyle w:val="TableParagraph"/>
              <w:spacing w:line="242" w:lineRule="exact" w:before="37"/>
              <w:ind w:left="260" w:right="249"/>
              <w:jc w:val="center"/>
              <w:rPr>
                <w:rFonts w:ascii="Calibri"/>
                <w:sz w:val="22"/>
              </w:rPr>
            </w:pPr>
            <w:r>
              <w:rPr>
                <w:rFonts w:ascii="Calibri"/>
                <w:spacing w:val="-2"/>
                <w:sz w:val="22"/>
              </w:rPr>
              <w:t>2,297</w:t>
            </w:r>
          </w:p>
        </w:tc>
        <w:tc>
          <w:tcPr>
            <w:tcW w:w="909" w:type="dxa"/>
          </w:tcPr>
          <w:p>
            <w:pPr>
              <w:pStyle w:val="TableParagraph"/>
              <w:spacing w:line="242" w:lineRule="exact" w:before="37"/>
              <w:ind w:left="189" w:right="177"/>
              <w:jc w:val="center"/>
              <w:rPr>
                <w:rFonts w:ascii="Calibri"/>
                <w:sz w:val="22"/>
              </w:rPr>
            </w:pPr>
            <w:r>
              <w:rPr>
                <w:rFonts w:ascii="Calibri"/>
                <w:spacing w:val="-5"/>
                <w:sz w:val="22"/>
              </w:rPr>
              <w:t>504</w:t>
            </w:r>
          </w:p>
        </w:tc>
        <w:tc>
          <w:tcPr>
            <w:tcW w:w="1437" w:type="dxa"/>
          </w:tcPr>
          <w:p>
            <w:pPr>
              <w:pStyle w:val="TableParagraph"/>
              <w:spacing w:line="244" w:lineRule="exact" w:before="35"/>
              <w:ind w:left="399" w:right="386"/>
              <w:jc w:val="center"/>
              <w:rPr>
                <w:rFonts w:ascii="Calibri"/>
                <w:sz w:val="22"/>
              </w:rPr>
            </w:pPr>
            <w:r>
              <w:rPr>
                <w:rFonts w:ascii="Calibri"/>
                <w:spacing w:val="-2"/>
                <w:sz w:val="22"/>
              </w:rPr>
              <w:t>0.0390</w:t>
            </w:r>
          </w:p>
        </w:tc>
      </w:tr>
      <w:tr>
        <w:trPr>
          <w:trHeight w:val="352" w:hRule="atLeast"/>
        </w:trPr>
        <w:tc>
          <w:tcPr>
            <w:tcW w:w="4759" w:type="dxa"/>
          </w:tcPr>
          <w:p>
            <w:pPr>
              <w:pStyle w:val="TableParagraph"/>
              <w:spacing w:line="240" w:lineRule="auto" w:before="40"/>
              <w:ind w:left="100"/>
              <w:rPr>
                <w:rFonts w:ascii="Calibri"/>
                <w:sz w:val="22"/>
              </w:rPr>
            </w:pPr>
            <w:r>
              <w:rPr>
                <w:rFonts w:ascii="Calibri"/>
                <w:spacing w:val="-2"/>
                <w:sz w:val="22"/>
              </w:rPr>
              <w:t>Korean</w:t>
            </w:r>
          </w:p>
        </w:tc>
        <w:tc>
          <w:tcPr>
            <w:tcW w:w="1531" w:type="dxa"/>
          </w:tcPr>
          <w:p>
            <w:pPr>
              <w:pStyle w:val="TableParagraph"/>
              <w:spacing w:line="240" w:lineRule="auto" w:before="40"/>
              <w:ind w:left="207" w:right="299"/>
              <w:jc w:val="center"/>
              <w:rPr>
                <w:rFonts w:ascii="Calibri"/>
                <w:sz w:val="22"/>
              </w:rPr>
            </w:pPr>
            <w:r>
              <w:rPr>
                <w:rFonts w:ascii="Calibri"/>
                <w:spacing w:val="-5"/>
                <w:sz w:val="22"/>
              </w:rPr>
              <w:t>643</w:t>
            </w:r>
          </w:p>
        </w:tc>
        <w:tc>
          <w:tcPr>
            <w:tcW w:w="1161" w:type="dxa"/>
          </w:tcPr>
          <w:p>
            <w:pPr>
              <w:pStyle w:val="TableParagraph"/>
              <w:spacing w:line="240" w:lineRule="auto" w:before="40"/>
              <w:ind w:left="258" w:right="250"/>
              <w:jc w:val="center"/>
              <w:rPr>
                <w:rFonts w:ascii="Calibri"/>
                <w:sz w:val="22"/>
              </w:rPr>
            </w:pPr>
            <w:r>
              <w:rPr>
                <w:rFonts w:ascii="Calibri"/>
                <w:spacing w:val="-5"/>
                <w:sz w:val="22"/>
              </w:rPr>
              <w:t>451</w:t>
            </w:r>
          </w:p>
        </w:tc>
        <w:tc>
          <w:tcPr>
            <w:tcW w:w="909" w:type="dxa"/>
          </w:tcPr>
          <w:p>
            <w:pPr>
              <w:pStyle w:val="TableParagraph"/>
              <w:spacing w:line="240" w:lineRule="auto" w:before="40"/>
              <w:ind w:left="189" w:right="177"/>
              <w:jc w:val="center"/>
              <w:rPr>
                <w:rFonts w:ascii="Calibri"/>
                <w:sz w:val="22"/>
              </w:rPr>
            </w:pPr>
            <w:r>
              <w:rPr>
                <w:rFonts w:ascii="Calibri"/>
                <w:spacing w:val="-5"/>
                <w:sz w:val="22"/>
              </w:rPr>
              <w:t>192</w:t>
            </w:r>
          </w:p>
        </w:tc>
        <w:tc>
          <w:tcPr>
            <w:tcW w:w="1437" w:type="dxa"/>
          </w:tcPr>
          <w:p>
            <w:pPr>
              <w:pStyle w:val="TableParagraph"/>
              <w:spacing w:line="240" w:lineRule="auto" w:before="28"/>
              <w:ind w:left="399" w:right="386"/>
              <w:jc w:val="center"/>
              <w:rPr>
                <w:rFonts w:ascii="Calibri"/>
                <w:sz w:val="22"/>
              </w:rPr>
            </w:pPr>
            <w:r>
              <w:rPr>
                <w:rFonts w:ascii="Calibri"/>
                <w:spacing w:val="-2"/>
                <w:sz w:val="22"/>
              </w:rPr>
              <w:t>0.0148</w:t>
            </w:r>
          </w:p>
        </w:tc>
      </w:tr>
      <w:tr>
        <w:trPr>
          <w:trHeight w:val="299" w:hRule="atLeast"/>
        </w:trPr>
        <w:tc>
          <w:tcPr>
            <w:tcW w:w="4759" w:type="dxa"/>
          </w:tcPr>
          <w:p>
            <w:pPr>
              <w:pStyle w:val="TableParagraph"/>
              <w:spacing w:line="242" w:lineRule="exact" w:before="37"/>
              <w:ind w:left="100"/>
              <w:rPr>
                <w:rFonts w:ascii="Calibri"/>
                <w:sz w:val="22"/>
              </w:rPr>
            </w:pPr>
            <w:r>
              <w:rPr>
                <w:rFonts w:ascii="Calibri"/>
                <w:sz w:val="22"/>
              </w:rPr>
              <w:t>Other</w:t>
            </w:r>
            <w:r>
              <w:rPr>
                <w:rFonts w:ascii="Calibri"/>
                <w:spacing w:val="-10"/>
                <w:sz w:val="22"/>
              </w:rPr>
              <w:t> </w:t>
            </w:r>
            <w:r>
              <w:rPr>
                <w:rFonts w:ascii="Calibri"/>
                <w:sz w:val="22"/>
              </w:rPr>
              <w:t>Asian</w:t>
            </w:r>
            <w:r>
              <w:rPr>
                <w:rFonts w:ascii="Calibri"/>
                <w:spacing w:val="-10"/>
                <w:sz w:val="22"/>
              </w:rPr>
              <w:t> </w:t>
            </w:r>
            <w:r>
              <w:rPr>
                <w:rFonts w:ascii="Calibri"/>
                <w:sz w:val="22"/>
              </w:rPr>
              <w:t>and</w:t>
            </w:r>
            <w:r>
              <w:rPr>
                <w:rFonts w:ascii="Calibri"/>
                <w:spacing w:val="-12"/>
                <w:sz w:val="22"/>
              </w:rPr>
              <w:t> </w:t>
            </w:r>
            <w:r>
              <w:rPr>
                <w:rFonts w:ascii="Calibri"/>
                <w:sz w:val="22"/>
              </w:rPr>
              <w:t>Pacific</w:t>
            </w:r>
            <w:r>
              <w:rPr>
                <w:rFonts w:ascii="Calibri"/>
                <w:spacing w:val="-9"/>
                <w:sz w:val="22"/>
              </w:rPr>
              <w:t> </w:t>
            </w:r>
            <w:r>
              <w:rPr>
                <w:rFonts w:ascii="Calibri"/>
                <w:sz w:val="22"/>
              </w:rPr>
              <w:t>Island</w:t>
            </w:r>
            <w:r>
              <w:rPr>
                <w:rFonts w:ascii="Calibri"/>
                <w:spacing w:val="-10"/>
                <w:sz w:val="22"/>
              </w:rPr>
              <w:t> </w:t>
            </w:r>
            <w:r>
              <w:rPr>
                <w:rFonts w:ascii="Calibri"/>
                <w:spacing w:val="-2"/>
                <w:sz w:val="22"/>
              </w:rPr>
              <w:t>languages</w:t>
            </w:r>
          </w:p>
        </w:tc>
        <w:tc>
          <w:tcPr>
            <w:tcW w:w="1531" w:type="dxa"/>
          </w:tcPr>
          <w:p>
            <w:pPr>
              <w:pStyle w:val="TableParagraph"/>
              <w:spacing w:line="242" w:lineRule="exact" w:before="37"/>
              <w:ind w:left="210" w:right="299"/>
              <w:jc w:val="center"/>
              <w:rPr>
                <w:rFonts w:ascii="Calibri"/>
                <w:sz w:val="22"/>
              </w:rPr>
            </w:pPr>
            <w:r>
              <w:rPr>
                <w:rFonts w:ascii="Calibri"/>
                <w:spacing w:val="-2"/>
                <w:sz w:val="22"/>
              </w:rPr>
              <w:t>3,026</w:t>
            </w:r>
          </w:p>
        </w:tc>
        <w:tc>
          <w:tcPr>
            <w:tcW w:w="1161" w:type="dxa"/>
          </w:tcPr>
          <w:p>
            <w:pPr>
              <w:pStyle w:val="TableParagraph"/>
              <w:spacing w:line="242" w:lineRule="exact" w:before="37"/>
              <w:ind w:left="260" w:right="250"/>
              <w:jc w:val="center"/>
              <w:rPr>
                <w:rFonts w:ascii="Calibri"/>
                <w:sz w:val="22"/>
              </w:rPr>
            </w:pPr>
            <w:r>
              <w:rPr>
                <w:rFonts w:ascii="Calibri"/>
                <w:spacing w:val="-2"/>
                <w:sz w:val="22"/>
              </w:rPr>
              <w:t>1,876</w:t>
            </w:r>
          </w:p>
        </w:tc>
        <w:tc>
          <w:tcPr>
            <w:tcW w:w="909" w:type="dxa"/>
            <w:shd w:val="clear" w:color="auto" w:fill="FFFF00"/>
          </w:tcPr>
          <w:p>
            <w:pPr>
              <w:pStyle w:val="TableParagraph"/>
              <w:spacing w:line="242" w:lineRule="exact" w:before="37"/>
              <w:ind w:left="190" w:right="177"/>
              <w:jc w:val="center"/>
              <w:rPr>
                <w:rFonts w:ascii="Calibri"/>
                <w:sz w:val="22"/>
              </w:rPr>
            </w:pPr>
            <w:r>
              <w:rPr>
                <w:rFonts w:ascii="Calibri"/>
                <w:spacing w:val="-2"/>
                <w:sz w:val="22"/>
              </w:rPr>
              <w:t>1,150</w:t>
            </w:r>
          </w:p>
        </w:tc>
        <w:tc>
          <w:tcPr>
            <w:tcW w:w="1437" w:type="dxa"/>
          </w:tcPr>
          <w:p>
            <w:pPr>
              <w:pStyle w:val="TableParagraph"/>
              <w:spacing w:line="252" w:lineRule="exact" w:before="28"/>
              <w:ind w:left="399" w:right="386"/>
              <w:jc w:val="center"/>
              <w:rPr>
                <w:rFonts w:ascii="Calibri"/>
                <w:sz w:val="22"/>
              </w:rPr>
            </w:pPr>
            <w:r>
              <w:rPr>
                <w:rFonts w:ascii="Calibri"/>
                <w:spacing w:val="-2"/>
                <w:sz w:val="22"/>
              </w:rPr>
              <w:t>0.0889</w:t>
            </w:r>
          </w:p>
        </w:tc>
      </w:tr>
      <w:tr>
        <w:trPr>
          <w:trHeight w:val="302" w:hRule="atLeast"/>
        </w:trPr>
        <w:tc>
          <w:tcPr>
            <w:tcW w:w="4759" w:type="dxa"/>
          </w:tcPr>
          <w:p>
            <w:pPr>
              <w:pStyle w:val="TableParagraph"/>
              <w:spacing w:line="242" w:lineRule="exact" w:before="40"/>
              <w:ind w:left="100"/>
              <w:rPr>
                <w:rFonts w:ascii="Calibri"/>
                <w:sz w:val="22"/>
              </w:rPr>
            </w:pPr>
            <w:r>
              <w:rPr>
                <w:rFonts w:ascii="Calibri"/>
                <w:spacing w:val="-2"/>
                <w:sz w:val="22"/>
              </w:rPr>
              <w:t>Other</w:t>
            </w:r>
            <w:r>
              <w:rPr>
                <w:rFonts w:ascii="Calibri"/>
                <w:spacing w:val="3"/>
                <w:sz w:val="22"/>
              </w:rPr>
              <w:t> </w:t>
            </w:r>
            <w:r>
              <w:rPr>
                <w:rFonts w:ascii="Calibri"/>
                <w:spacing w:val="-2"/>
                <w:sz w:val="22"/>
              </w:rPr>
              <w:t>Indo-European</w:t>
            </w:r>
            <w:r>
              <w:rPr>
                <w:rFonts w:ascii="Calibri"/>
                <w:spacing w:val="2"/>
                <w:sz w:val="22"/>
              </w:rPr>
              <w:t> </w:t>
            </w:r>
            <w:r>
              <w:rPr>
                <w:rFonts w:ascii="Calibri"/>
                <w:spacing w:val="-2"/>
                <w:sz w:val="22"/>
              </w:rPr>
              <w:t>languages</w:t>
            </w:r>
          </w:p>
        </w:tc>
        <w:tc>
          <w:tcPr>
            <w:tcW w:w="1531" w:type="dxa"/>
          </w:tcPr>
          <w:p>
            <w:pPr>
              <w:pStyle w:val="TableParagraph"/>
              <w:spacing w:line="242" w:lineRule="exact" w:before="40"/>
              <w:ind w:left="210" w:right="299"/>
              <w:jc w:val="center"/>
              <w:rPr>
                <w:rFonts w:ascii="Calibri"/>
                <w:sz w:val="22"/>
              </w:rPr>
            </w:pPr>
            <w:r>
              <w:rPr>
                <w:rFonts w:ascii="Calibri"/>
                <w:spacing w:val="-2"/>
                <w:sz w:val="22"/>
              </w:rPr>
              <w:t>6,209</w:t>
            </w:r>
          </w:p>
        </w:tc>
        <w:tc>
          <w:tcPr>
            <w:tcW w:w="1161" w:type="dxa"/>
          </w:tcPr>
          <w:p>
            <w:pPr>
              <w:pStyle w:val="TableParagraph"/>
              <w:spacing w:line="242" w:lineRule="exact" w:before="40"/>
              <w:ind w:left="260" w:right="250"/>
              <w:jc w:val="center"/>
              <w:rPr>
                <w:rFonts w:ascii="Calibri"/>
                <w:sz w:val="22"/>
              </w:rPr>
            </w:pPr>
            <w:r>
              <w:rPr>
                <w:rFonts w:ascii="Calibri"/>
                <w:spacing w:val="-2"/>
                <w:sz w:val="22"/>
              </w:rPr>
              <w:t>4,647</w:t>
            </w:r>
          </w:p>
        </w:tc>
        <w:tc>
          <w:tcPr>
            <w:tcW w:w="909" w:type="dxa"/>
            <w:shd w:val="clear" w:color="auto" w:fill="FFFF00"/>
          </w:tcPr>
          <w:p>
            <w:pPr>
              <w:pStyle w:val="TableParagraph"/>
              <w:spacing w:line="242" w:lineRule="exact" w:before="40"/>
              <w:ind w:left="190" w:right="177"/>
              <w:jc w:val="center"/>
              <w:rPr>
                <w:rFonts w:ascii="Calibri"/>
                <w:sz w:val="22"/>
              </w:rPr>
            </w:pPr>
            <w:r>
              <w:rPr>
                <w:rFonts w:ascii="Calibri"/>
                <w:spacing w:val="-2"/>
                <w:sz w:val="22"/>
              </w:rPr>
              <w:t>1,562</w:t>
            </w:r>
          </w:p>
        </w:tc>
        <w:tc>
          <w:tcPr>
            <w:tcW w:w="1437" w:type="dxa"/>
          </w:tcPr>
          <w:p>
            <w:pPr>
              <w:pStyle w:val="TableParagraph"/>
              <w:spacing w:line="254" w:lineRule="exact" w:before="28"/>
              <w:ind w:left="399" w:right="386"/>
              <w:jc w:val="center"/>
              <w:rPr>
                <w:rFonts w:ascii="Calibri"/>
                <w:sz w:val="22"/>
              </w:rPr>
            </w:pPr>
            <w:r>
              <w:rPr>
                <w:rFonts w:ascii="Calibri"/>
                <w:spacing w:val="-2"/>
                <w:sz w:val="22"/>
              </w:rPr>
              <w:t>0.1208</w:t>
            </w:r>
          </w:p>
        </w:tc>
      </w:tr>
      <w:tr>
        <w:trPr>
          <w:trHeight w:val="441" w:hRule="atLeast"/>
        </w:trPr>
        <w:tc>
          <w:tcPr>
            <w:tcW w:w="4759" w:type="dxa"/>
          </w:tcPr>
          <w:p>
            <w:pPr>
              <w:pStyle w:val="TableParagraph"/>
              <w:spacing w:line="240" w:lineRule="auto" w:before="40"/>
              <w:ind w:left="100"/>
              <w:rPr>
                <w:rFonts w:ascii="Calibri"/>
                <w:sz w:val="22"/>
              </w:rPr>
            </w:pPr>
            <w:r>
              <w:rPr>
                <w:rFonts w:ascii="Calibri"/>
                <w:sz w:val="22"/>
              </w:rPr>
              <w:t>Other</w:t>
            </w:r>
            <w:r>
              <w:rPr>
                <w:rFonts w:ascii="Calibri"/>
                <w:spacing w:val="-11"/>
                <w:sz w:val="22"/>
              </w:rPr>
              <w:t> </w:t>
            </w:r>
            <w:r>
              <w:rPr>
                <w:rFonts w:ascii="Calibri"/>
                <w:sz w:val="22"/>
              </w:rPr>
              <w:t>and</w:t>
            </w:r>
            <w:r>
              <w:rPr>
                <w:rFonts w:ascii="Calibri"/>
                <w:spacing w:val="-11"/>
                <w:sz w:val="22"/>
              </w:rPr>
              <w:t> </w:t>
            </w:r>
            <w:r>
              <w:rPr>
                <w:rFonts w:ascii="Calibri"/>
                <w:sz w:val="22"/>
              </w:rPr>
              <w:t>unspecified</w:t>
            </w:r>
            <w:r>
              <w:rPr>
                <w:rFonts w:ascii="Calibri"/>
                <w:spacing w:val="-11"/>
                <w:sz w:val="22"/>
              </w:rPr>
              <w:t> </w:t>
            </w:r>
            <w:r>
              <w:rPr>
                <w:rFonts w:ascii="Calibri"/>
                <w:spacing w:val="-2"/>
                <w:sz w:val="22"/>
              </w:rPr>
              <w:t>languages</w:t>
            </w:r>
          </w:p>
        </w:tc>
        <w:tc>
          <w:tcPr>
            <w:tcW w:w="1531" w:type="dxa"/>
          </w:tcPr>
          <w:p>
            <w:pPr>
              <w:pStyle w:val="TableParagraph"/>
              <w:spacing w:line="240" w:lineRule="auto" w:before="40"/>
              <w:ind w:left="210" w:right="299"/>
              <w:jc w:val="center"/>
              <w:rPr>
                <w:rFonts w:ascii="Calibri"/>
                <w:sz w:val="22"/>
              </w:rPr>
            </w:pPr>
            <w:r>
              <w:rPr>
                <w:rFonts w:ascii="Calibri"/>
                <w:spacing w:val="-2"/>
                <w:sz w:val="22"/>
              </w:rPr>
              <w:t>7,410</w:t>
            </w:r>
          </w:p>
        </w:tc>
        <w:tc>
          <w:tcPr>
            <w:tcW w:w="1161" w:type="dxa"/>
          </w:tcPr>
          <w:p>
            <w:pPr>
              <w:pStyle w:val="TableParagraph"/>
              <w:spacing w:line="240" w:lineRule="auto" w:before="40"/>
              <w:ind w:left="260" w:right="250"/>
              <w:jc w:val="center"/>
              <w:rPr>
                <w:rFonts w:ascii="Calibri"/>
                <w:sz w:val="22"/>
              </w:rPr>
            </w:pPr>
            <w:r>
              <w:rPr>
                <w:rFonts w:ascii="Calibri"/>
                <w:spacing w:val="-2"/>
                <w:sz w:val="22"/>
              </w:rPr>
              <w:t>5,005</w:t>
            </w:r>
          </w:p>
        </w:tc>
        <w:tc>
          <w:tcPr>
            <w:tcW w:w="909" w:type="dxa"/>
            <w:shd w:val="clear" w:color="auto" w:fill="FFFF00"/>
          </w:tcPr>
          <w:p>
            <w:pPr>
              <w:pStyle w:val="TableParagraph"/>
              <w:spacing w:line="240" w:lineRule="auto" w:before="40"/>
              <w:ind w:left="190" w:right="177"/>
              <w:jc w:val="center"/>
              <w:rPr>
                <w:rFonts w:ascii="Calibri"/>
                <w:sz w:val="22"/>
              </w:rPr>
            </w:pPr>
            <w:r>
              <w:rPr>
                <w:rFonts w:ascii="Calibri"/>
                <w:spacing w:val="-2"/>
                <w:sz w:val="22"/>
              </w:rPr>
              <w:t>2,405</w:t>
            </w:r>
          </w:p>
        </w:tc>
        <w:tc>
          <w:tcPr>
            <w:tcW w:w="1437" w:type="dxa"/>
          </w:tcPr>
          <w:p>
            <w:pPr>
              <w:pStyle w:val="TableParagraph"/>
              <w:spacing w:line="240" w:lineRule="auto" w:before="28"/>
              <w:ind w:left="399" w:right="386"/>
              <w:jc w:val="center"/>
              <w:rPr>
                <w:rFonts w:ascii="Calibri"/>
                <w:sz w:val="22"/>
              </w:rPr>
            </w:pPr>
            <w:r>
              <w:rPr>
                <w:rFonts w:ascii="Calibri"/>
                <w:spacing w:val="-2"/>
                <w:sz w:val="22"/>
              </w:rPr>
              <w:t>0.1860</w:t>
            </w:r>
          </w:p>
        </w:tc>
      </w:tr>
    </w:tbl>
    <w:p>
      <w:pPr>
        <w:pStyle w:val="BodyText"/>
        <w:spacing w:before="3"/>
        <w:rPr>
          <w:sz w:val="6"/>
        </w:rPr>
      </w:pPr>
    </w:p>
    <w:tbl>
      <w:tblPr>
        <w:tblW w:w="0" w:type="auto"/>
        <w:jc w:val="left"/>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57"/>
        <w:gridCol w:w="3381"/>
        <w:gridCol w:w="1092"/>
        <w:gridCol w:w="1147"/>
        <w:gridCol w:w="1327"/>
      </w:tblGrid>
      <w:tr>
        <w:trPr>
          <w:trHeight w:val="335" w:hRule="atLeast"/>
        </w:trPr>
        <w:tc>
          <w:tcPr>
            <w:tcW w:w="2857" w:type="dxa"/>
            <w:tcBorders>
              <w:top w:val="single" w:sz="8" w:space="0" w:color="000000"/>
              <w:bottom w:val="single" w:sz="8" w:space="0" w:color="000000"/>
            </w:tcBorders>
          </w:tcPr>
          <w:p>
            <w:pPr>
              <w:pStyle w:val="TableParagraph"/>
              <w:spacing w:line="240" w:lineRule="auto" w:before="27"/>
              <w:ind w:left="107"/>
              <w:rPr>
                <w:rFonts w:ascii="Calibri"/>
                <w:b/>
                <w:sz w:val="22"/>
              </w:rPr>
            </w:pPr>
            <w:r>
              <w:rPr>
                <w:rFonts w:ascii="Calibri"/>
                <w:b/>
                <w:spacing w:val="-2"/>
                <w:sz w:val="22"/>
              </w:rPr>
              <w:t>Total:</w:t>
            </w:r>
          </w:p>
        </w:tc>
        <w:tc>
          <w:tcPr>
            <w:tcW w:w="3381" w:type="dxa"/>
            <w:tcBorders>
              <w:top w:val="single" w:sz="8" w:space="0" w:color="000000"/>
              <w:bottom w:val="single" w:sz="8" w:space="0" w:color="000000"/>
            </w:tcBorders>
          </w:tcPr>
          <w:p>
            <w:pPr>
              <w:pStyle w:val="TableParagraph"/>
              <w:spacing w:line="240" w:lineRule="auto" w:before="27"/>
              <w:ind w:left="2223"/>
              <w:rPr>
                <w:rFonts w:ascii="Calibri"/>
                <w:b/>
                <w:sz w:val="22"/>
              </w:rPr>
            </w:pPr>
            <w:r>
              <w:rPr>
                <w:rFonts w:ascii="Calibri"/>
                <w:b/>
                <w:spacing w:val="-2"/>
                <w:sz w:val="22"/>
              </w:rPr>
              <w:t>1,293,114</w:t>
            </w:r>
          </w:p>
        </w:tc>
        <w:tc>
          <w:tcPr>
            <w:tcW w:w="1092" w:type="dxa"/>
            <w:tcBorders>
              <w:top w:val="single" w:sz="8" w:space="0" w:color="000000"/>
              <w:bottom w:val="single" w:sz="8" w:space="0" w:color="000000"/>
            </w:tcBorders>
          </w:tcPr>
          <w:p>
            <w:pPr>
              <w:pStyle w:val="TableParagraph"/>
              <w:spacing w:line="240" w:lineRule="auto" w:before="27"/>
              <w:ind w:left="268"/>
              <w:rPr>
                <w:rFonts w:ascii="Calibri"/>
                <w:b/>
                <w:sz w:val="22"/>
              </w:rPr>
            </w:pPr>
            <w:r>
              <w:rPr>
                <w:rFonts w:ascii="Calibri"/>
                <w:b/>
                <w:spacing w:val="-2"/>
                <w:sz w:val="22"/>
              </w:rPr>
              <w:t>58,146</w:t>
            </w:r>
          </w:p>
        </w:tc>
        <w:tc>
          <w:tcPr>
            <w:tcW w:w="1147" w:type="dxa"/>
            <w:tcBorders>
              <w:top w:val="single" w:sz="8" w:space="0" w:color="000000"/>
              <w:bottom w:val="single" w:sz="8" w:space="0" w:color="000000"/>
            </w:tcBorders>
          </w:tcPr>
          <w:p>
            <w:pPr>
              <w:pStyle w:val="TableParagraph"/>
              <w:spacing w:line="240" w:lineRule="auto" w:before="27"/>
              <w:ind w:left="211"/>
              <w:rPr>
                <w:rFonts w:ascii="Calibri"/>
                <w:b/>
                <w:sz w:val="22"/>
              </w:rPr>
            </w:pPr>
            <w:r>
              <w:rPr>
                <w:rFonts w:ascii="Calibri"/>
                <w:b/>
                <w:spacing w:val="-2"/>
                <w:sz w:val="22"/>
              </w:rPr>
              <w:t>18,141</w:t>
            </w:r>
          </w:p>
        </w:tc>
        <w:tc>
          <w:tcPr>
            <w:tcW w:w="1327" w:type="dxa"/>
            <w:tcBorders>
              <w:top w:val="single" w:sz="8" w:space="0" w:color="000000"/>
              <w:bottom w:val="single" w:sz="8" w:space="0" w:color="000000"/>
            </w:tcBorders>
          </w:tcPr>
          <w:p>
            <w:pPr>
              <w:pStyle w:val="TableParagraph"/>
              <w:spacing w:line="292" w:lineRule="exact"/>
              <w:ind w:left="321"/>
              <w:rPr>
                <w:rFonts w:ascii="Calibri"/>
                <w:b/>
                <w:sz w:val="24"/>
              </w:rPr>
            </w:pPr>
            <w:r>
              <w:rPr>
                <w:rFonts w:ascii="Calibri"/>
                <w:b/>
                <w:spacing w:val="-4"/>
                <w:sz w:val="24"/>
              </w:rPr>
              <w:t>1.4%</w:t>
            </w:r>
          </w:p>
        </w:tc>
      </w:tr>
    </w:tbl>
    <w:p>
      <w:pPr>
        <w:pStyle w:val="BodyText"/>
        <w:spacing w:before="1"/>
        <w:rPr>
          <w:sz w:val="23"/>
        </w:rPr>
      </w:pPr>
    </w:p>
    <w:p>
      <w:pPr>
        <w:pStyle w:val="Heading9"/>
        <w:spacing w:before="51"/>
        <w:jc w:val="both"/>
      </w:pPr>
      <w:r>
        <w:rPr/>
        <w:t>A</w:t>
      </w:r>
      <w:r>
        <w:rPr>
          <w:spacing w:val="-1"/>
        </w:rPr>
        <w:t> </w:t>
      </w:r>
      <w:r>
        <w:rPr/>
        <w:t>Note</w:t>
      </w:r>
      <w:r>
        <w:rPr>
          <w:spacing w:val="-5"/>
        </w:rPr>
        <w:t> </w:t>
      </w:r>
      <w:r>
        <w:rPr/>
        <w:t>on</w:t>
      </w:r>
      <w:r>
        <w:rPr>
          <w:spacing w:val="-1"/>
        </w:rPr>
        <w:t> </w:t>
      </w:r>
      <w:r>
        <w:rPr/>
        <w:t>U.S.</w:t>
      </w:r>
      <w:r>
        <w:rPr>
          <w:spacing w:val="-1"/>
        </w:rPr>
        <w:t> </w:t>
      </w:r>
      <w:r>
        <w:rPr/>
        <w:t>Census</w:t>
      </w:r>
      <w:r>
        <w:rPr>
          <w:spacing w:val="-3"/>
        </w:rPr>
        <w:t> </w:t>
      </w:r>
      <w:r>
        <w:rPr/>
        <w:t>Language</w:t>
      </w:r>
      <w:r>
        <w:rPr>
          <w:spacing w:val="-2"/>
        </w:rPr>
        <w:t> </w:t>
      </w:r>
      <w:r>
        <w:rPr/>
        <w:t>Coding</w:t>
      </w:r>
      <w:r>
        <w:rPr>
          <w:spacing w:val="-3"/>
        </w:rPr>
        <w:t> </w:t>
      </w:r>
      <w:r>
        <w:rPr/>
        <w:t>and</w:t>
      </w:r>
      <w:r>
        <w:rPr>
          <w:spacing w:val="-2"/>
        </w:rPr>
        <w:t> Tabulation:</w:t>
      </w:r>
    </w:p>
    <w:p>
      <w:pPr>
        <w:pStyle w:val="BodyText"/>
        <w:spacing w:before="2"/>
        <w:rPr>
          <w:b/>
        </w:rPr>
      </w:pPr>
    </w:p>
    <w:p>
      <w:pPr>
        <w:pStyle w:val="BodyText"/>
        <w:ind w:left="120" w:right="213"/>
        <w:jc w:val="both"/>
      </w:pPr>
      <w:r>
        <w:rPr/>
        <w:t>The coding operations used by the Census Bureau put the reported answers from the question "What is this language?"</w:t>
      </w:r>
      <w:r>
        <w:rPr>
          <w:spacing w:val="-4"/>
        </w:rPr>
        <w:t> </w:t>
      </w:r>
      <w:r>
        <w:rPr/>
        <w:t>into</w:t>
      </w:r>
      <w:r>
        <w:rPr>
          <w:spacing w:val="-4"/>
        </w:rPr>
        <w:t> </w:t>
      </w:r>
      <w:r>
        <w:rPr/>
        <w:t>language</w:t>
      </w:r>
      <w:r>
        <w:rPr>
          <w:spacing w:val="-2"/>
        </w:rPr>
        <w:t> </w:t>
      </w:r>
      <w:r>
        <w:rPr/>
        <w:t>categories.</w:t>
      </w:r>
      <w:r>
        <w:rPr>
          <w:spacing w:val="-5"/>
        </w:rPr>
        <w:t> </w:t>
      </w:r>
      <w:r>
        <w:rPr/>
        <w:t>In</w:t>
      </w:r>
      <w:r>
        <w:rPr>
          <w:spacing w:val="-4"/>
        </w:rPr>
        <w:t> </w:t>
      </w:r>
      <w:r>
        <w:rPr/>
        <w:t>2016,</w:t>
      </w:r>
      <w:r>
        <w:rPr>
          <w:spacing w:val="-4"/>
        </w:rPr>
        <w:t> </w:t>
      </w:r>
      <w:r>
        <w:rPr/>
        <w:t>the</w:t>
      </w:r>
      <w:r>
        <w:rPr>
          <w:spacing w:val="-2"/>
        </w:rPr>
        <w:t> </w:t>
      </w:r>
      <w:r>
        <w:rPr/>
        <w:t>code</w:t>
      </w:r>
      <w:r>
        <w:rPr>
          <w:spacing w:val="-2"/>
        </w:rPr>
        <w:t> </w:t>
      </w:r>
      <w:r>
        <w:rPr/>
        <w:t>list</w:t>
      </w:r>
      <w:r>
        <w:rPr>
          <w:spacing w:val="-4"/>
        </w:rPr>
        <w:t> </w:t>
      </w:r>
      <w:r>
        <w:rPr/>
        <w:t>was</w:t>
      </w:r>
      <w:r>
        <w:rPr>
          <w:spacing w:val="-4"/>
        </w:rPr>
        <w:t> </w:t>
      </w:r>
      <w:r>
        <w:rPr/>
        <w:t>revised</w:t>
      </w:r>
      <w:r>
        <w:rPr>
          <w:spacing w:val="-4"/>
        </w:rPr>
        <w:t> </w:t>
      </w:r>
      <w:r>
        <w:rPr/>
        <w:t>to</w:t>
      </w:r>
      <w:r>
        <w:rPr>
          <w:spacing w:val="-4"/>
        </w:rPr>
        <w:t> </w:t>
      </w:r>
      <w:r>
        <w:rPr/>
        <w:t>match</w:t>
      </w:r>
      <w:r>
        <w:rPr>
          <w:spacing w:val="-4"/>
        </w:rPr>
        <w:t> </w:t>
      </w:r>
      <w:r>
        <w:rPr/>
        <w:t>the</w:t>
      </w:r>
      <w:r>
        <w:rPr>
          <w:spacing w:val="-2"/>
        </w:rPr>
        <w:t> </w:t>
      </w:r>
      <w:r>
        <w:rPr/>
        <w:t>International</w:t>
      </w:r>
      <w:r>
        <w:rPr>
          <w:spacing w:val="-6"/>
        </w:rPr>
        <w:t> </w:t>
      </w:r>
      <w:r>
        <w:rPr/>
        <w:t>Organization for Standardization's ISO-639-3 standard, and the number of possible codes was increased from 382 to 1,333. Linguists recognize over 7,000 languages in the world, and as respondents report new languages, more codes are added to the language list.</w:t>
      </w:r>
    </w:p>
    <w:p>
      <w:pPr>
        <w:pStyle w:val="BodyText"/>
        <w:spacing w:before="11"/>
        <w:rPr>
          <w:sz w:val="23"/>
        </w:rPr>
      </w:pPr>
    </w:p>
    <w:p>
      <w:pPr>
        <w:pStyle w:val="BodyText"/>
        <w:spacing w:before="1"/>
        <w:ind w:left="120" w:right="212"/>
        <w:jc w:val="both"/>
      </w:pPr>
      <w:r>
        <w:rPr/>
        <w:t>Whenever possible, language write-ins are coded as an ISO-639-3 language. Other codes have been added for common write-ins</w:t>
      </w:r>
      <w:r>
        <w:rPr>
          <w:spacing w:val="-4"/>
        </w:rPr>
        <w:t> </w:t>
      </w:r>
      <w:r>
        <w:rPr/>
        <w:t>that can only</w:t>
      </w:r>
      <w:r>
        <w:rPr>
          <w:spacing w:val="-5"/>
        </w:rPr>
        <w:t> </w:t>
      </w:r>
      <w:r>
        <w:rPr/>
        <w:t>be</w:t>
      </w:r>
      <w:r>
        <w:rPr>
          <w:spacing w:val="-1"/>
        </w:rPr>
        <w:t> </w:t>
      </w:r>
      <w:r>
        <w:rPr/>
        <w:t>classified within a</w:t>
      </w:r>
      <w:r>
        <w:rPr>
          <w:spacing w:val="-1"/>
        </w:rPr>
        <w:t> </w:t>
      </w:r>
      <w:r>
        <w:rPr/>
        <w:t>language</w:t>
      </w:r>
      <w:r>
        <w:rPr>
          <w:spacing w:val="-1"/>
        </w:rPr>
        <w:t> </w:t>
      </w:r>
      <w:r>
        <w:rPr/>
        <w:t>family</w:t>
      </w:r>
      <w:r>
        <w:rPr>
          <w:spacing w:val="-2"/>
        </w:rPr>
        <w:t> </w:t>
      </w:r>
      <w:r>
        <w:rPr/>
        <w:t>(i.e.</w:t>
      </w:r>
      <w:r>
        <w:rPr>
          <w:spacing w:val="-2"/>
        </w:rPr>
        <w:t> </w:t>
      </w:r>
      <w:r>
        <w:rPr/>
        <w:t>Berber</w:t>
      </w:r>
      <w:r>
        <w:rPr>
          <w:spacing w:val="-1"/>
        </w:rPr>
        <w:t> </w:t>
      </w:r>
      <w:r>
        <w:rPr/>
        <w:t>languages,</w:t>
      </w:r>
      <w:r>
        <w:rPr>
          <w:spacing w:val="-1"/>
        </w:rPr>
        <w:t> </w:t>
      </w:r>
      <w:r>
        <w:rPr/>
        <w:t>Karen</w:t>
      </w:r>
      <w:r>
        <w:rPr>
          <w:spacing w:val="-3"/>
        </w:rPr>
        <w:t> </w:t>
      </w:r>
      <w:r>
        <w:rPr/>
        <w:t>languages), or</w:t>
      </w:r>
      <w:r>
        <w:rPr>
          <w:spacing w:val="-1"/>
        </w:rPr>
        <w:t> </w:t>
      </w:r>
      <w:r>
        <w:rPr/>
        <w:t>within</w:t>
      </w:r>
      <w:r>
        <w:rPr>
          <w:spacing w:val="-3"/>
        </w:rPr>
        <w:t> </w:t>
      </w:r>
      <w:r>
        <w:rPr/>
        <w:t>a</w:t>
      </w:r>
      <w:r>
        <w:rPr>
          <w:spacing w:val="-1"/>
        </w:rPr>
        <w:t> </w:t>
      </w:r>
      <w:r>
        <w:rPr/>
        <w:t>geographical</w:t>
      </w:r>
      <w:r>
        <w:rPr>
          <w:spacing w:val="-4"/>
        </w:rPr>
        <w:t> </w:t>
      </w:r>
      <w:r>
        <w:rPr/>
        <w:t>region (i.e.</w:t>
      </w:r>
      <w:r>
        <w:rPr>
          <w:spacing w:val="-2"/>
        </w:rPr>
        <w:t> </w:t>
      </w:r>
      <w:r>
        <w:rPr/>
        <w:t>Europe</w:t>
      </w:r>
      <w:r>
        <w:rPr>
          <w:spacing w:val="-3"/>
        </w:rPr>
        <w:t> </w:t>
      </w:r>
      <w:r>
        <w:rPr/>
        <w:t>N.E.C.,</w:t>
      </w:r>
      <w:r>
        <w:rPr>
          <w:spacing w:val="-1"/>
        </w:rPr>
        <w:t> </w:t>
      </w:r>
      <w:r>
        <w:rPr/>
        <w:t>Nigeria</w:t>
      </w:r>
      <w:r>
        <w:rPr>
          <w:spacing w:val="-4"/>
        </w:rPr>
        <w:t> </w:t>
      </w:r>
      <w:r>
        <w:rPr/>
        <w:t>N.E.C.).</w:t>
      </w:r>
      <w:r>
        <w:rPr>
          <w:spacing w:val="-2"/>
        </w:rPr>
        <w:t> </w:t>
      </w:r>
      <w:r>
        <w:rPr/>
        <w:t>Similarly,</w:t>
      </w:r>
      <w:r>
        <w:rPr>
          <w:spacing w:val="-1"/>
        </w:rPr>
        <w:t> </w:t>
      </w:r>
      <w:r>
        <w:rPr/>
        <w:t>languages</w:t>
      </w:r>
      <w:r>
        <w:rPr>
          <w:spacing w:val="-4"/>
        </w:rPr>
        <w:t> </w:t>
      </w:r>
      <w:r>
        <w:rPr/>
        <w:t>within a</w:t>
      </w:r>
      <w:r>
        <w:rPr>
          <w:spacing w:val="-1"/>
        </w:rPr>
        <w:t> </w:t>
      </w:r>
      <w:r>
        <w:rPr/>
        <w:t>macrolanguage are coded at the individual language level whenever possible, and at the macrolanguage level (i.e. Chinese, Arabic, Persian)</w:t>
      </w:r>
      <w:r>
        <w:rPr>
          <w:spacing w:val="-1"/>
        </w:rPr>
        <w:t> </w:t>
      </w:r>
      <w:r>
        <w:rPr/>
        <w:t>when it is not possible to determine the specific individual language from the write-in answer.</w:t>
      </w:r>
    </w:p>
    <w:p>
      <w:pPr>
        <w:spacing w:after="0"/>
        <w:jc w:val="both"/>
        <w:sectPr>
          <w:pgSz w:w="12240" w:h="15840"/>
          <w:pgMar w:header="0" w:footer="1023" w:top="1260" w:bottom="1260" w:left="600" w:right="500"/>
        </w:sectPr>
      </w:pPr>
    </w:p>
    <w:p>
      <w:pPr>
        <w:pStyle w:val="BodyText"/>
        <w:spacing w:before="28"/>
        <w:ind w:left="120" w:right="213"/>
        <w:jc w:val="both"/>
      </w:pPr>
      <w:r>
        <w:rPr/>
        <w:t>Due to small sample counts, data tabulations are not available for all 1,333 languages. Presenting data for all language codes is not sensible due to confidentiality concerns. Therefore, the Census Bureau collapses the languages into more manageable categories for tabulations. The original language categories were developed following the 1970 Census and were based generally on Classification and Index of the World's Languages (Voegelin,</w:t>
      </w:r>
      <w:r>
        <w:rPr>
          <w:spacing w:val="-14"/>
        </w:rPr>
        <w:t> </w:t>
      </w:r>
      <w:r>
        <w:rPr/>
        <w:t>C.F.</w:t>
      </w:r>
      <w:r>
        <w:rPr>
          <w:spacing w:val="-14"/>
        </w:rPr>
        <w:t> </w:t>
      </w:r>
      <w:r>
        <w:rPr/>
        <w:t>and</w:t>
      </w:r>
      <w:r>
        <w:rPr>
          <w:spacing w:val="-13"/>
        </w:rPr>
        <w:t> </w:t>
      </w:r>
      <w:r>
        <w:rPr/>
        <w:t>F.M.,</w:t>
      </w:r>
      <w:r>
        <w:rPr>
          <w:spacing w:val="-14"/>
        </w:rPr>
        <w:t> </w:t>
      </w:r>
      <w:r>
        <w:rPr/>
        <w:t>1977).</w:t>
      </w:r>
      <w:r>
        <w:rPr>
          <w:spacing w:val="-13"/>
        </w:rPr>
        <w:t> </w:t>
      </w:r>
      <w:r>
        <w:rPr/>
        <w:t>In</w:t>
      </w:r>
      <w:r>
        <w:rPr>
          <w:spacing w:val="-14"/>
        </w:rPr>
        <w:t> </w:t>
      </w:r>
      <w:r>
        <w:rPr/>
        <w:t>the</w:t>
      </w:r>
      <w:r>
        <w:rPr>
          <w:spacing w:val="-13"/>
        </w:rPr>
        <w:t> </w:t>
      </w:r>
      <w:r>
        <w:rPr/>
        <w:t>American</w:t>
      </w:r>
      <w:r>
        <w:rPr>
          <w:spacing w:val="-14"/>
        </w:rPr>
        <w:t> </w:t>
      </w:r>
      <w:r>
        <w:rPr/>
        <w:t>Community</w:t>
      </w:r>
      <w:r>
        <w:rPr>
          <w:spacing w:val="-14"/>
        </w:rPr>
        <w:t> </w:t>
      </w:r>
      <w:r>
        <w:rPr/>
        <w:t>Survey,</w:t>
      </w:r>
      <w:r>
        <w:rPr>
          <w:spacing w:val="-13"/>
        </w:rPr>
        <w:t> </w:t>
      </w:r>
      <w:r>
        <w:rPr/>
        <w:t>the</w:t>
      </w:r>
      <w:r>
        <w:rPr>
          <w:spacing w:val="-14"/>
        </w:rPr>
        <w:t> </w:t>
      </w:r>
      <w:r>
        <w:rPr/>
        <w:t>language</w:t>
      </w:r>
      <w:r>
        <w:rPr>
          <w:spacing w:val="-13"/>
        </w:rPr>
        <w:t> </w:t>
      </w:r>
      <w:r>
        <w:rPr/>
        <w:t>categories</w:t>
      </w:r>
      <w:r>
        <w:rPr>
          <w:spacing w:val="-14"/>
        </w:rPr>
        <w:t> </w:t>
      </w:r>
      <w:r>
        <w:rPr/>
        <w:t>have</w:t>
      </w:r>
      <w:r>
        <w:rPr>
          <w:spacing w:val="-13"/>
        </w:rPr>
        <w:t> </w:t>
      </w:r>
      <w:r>
        <w:rPr/>
        <w:t>been</w:t>
      </w:r>
      <w:r>
        <w:rPr>
          <w:spacing w:val="-14"/>
        </w:rPr>
        <w:t> </w:t>
      </w:r>
      <w:r>
        <w:rPr/>
        <w:t>updated, with the latest revision occurring in 2016. In 2016, linguistic classifications were based generally on the hierarchies in Ethnologue: Languages of the World, 19th Edition (Simons, G.F. and C.D. Fennig (eds.), 2016).</w:t>
      </w:r>
    </w:p>
    <w:p>
      <w:pPr>
        <w:pStyle w:val="BodyText"/>
        <w:spacing w:before="1"/>
      </w:pPr>
    </w:p>
    <w:p>
      <w:pPr>
        <w:pStyle w:val="BodyText"/>
        <w:ind w:left="119" w:right="212"/>
        <w:jc w:val="both"/>
      </w:pPr>
      <w:r>
        <w:rPr/>
        <w:t>The</w:t>
      </w:r>
      <w:r>
        <w:rPr>
          <w:spacing w:val="-14"/>
        </w:rPr>
        <w:t> </w:t>
      </w:r>
      <w:r>
        <w:rPr/>
        <w:t>determination</w:t>
      </w:r>
      <w:r>
        <w:rPr>
          <w:spacing w:val="-14"/>
        </w:rPr>
        <w:t> </w:t>
      </w:r>
      <w:r>
        <w:rPr/>
        <w:t>of</w:t>
      </w:r>
      <w:r>
        <w:rPr>
          <w:spacing w:val="-13"/>
        </w:rPr>
        <w:t> </w:t>
      </w:r>
      <w:r>
        <w:rPr/>
        <w:t>whether</w:t>
      </w:r>
      <w:r>
        <w:rPr>
          <w:spacing w:val="-14"/>
        </w:rPr>
        <w:t> </w:t>
      </w:r>
      <w:r>
        <w:rPr/>
        <w:t>to</w:t>
      </w:r>
      <w:r>
        <w:rPr>
          <w:spacing w:val="-13"/>
        </w:rPr>
        <w:t> </w:t>
      </w:r>
      <w:r>
        <w:rPr/>
        <w:t>show</w:t>
      </w:r>
      <w:r>
        <w:rPr>
          <w:spacing w:val="-14"/>
        </w:rPr>
        <w:t> </w:t>
      </w:r>
      <w:r>
        <w:rPr/>
        <w:t>an</w:t>
      </w:r>
      <w:r>
        <w:rPr>
          <w:spacing w:val="-13"/>
        </w:rPr>
        <w:t> </w:t>
      </w:r>
      <w:r>
        <w:rPr/>
        <w:t>individual</w:t>
      </w:r>
      <w:r>
        <w:rPr>
          <w:spacing w:val="-14"/>
        </w:rPr>
        <w:t> </w:t>
      </w:r>
      <w:r>
        <w:rPr/>
        <w:t>language</w:t>
      </w:r>
      <w:r>
        <w:rPr>
          <w:spacing w:val="-14"/>
        </w:rPr>
        <w:t> </w:t>
      </w:r>
      <w:r>
        <w:rPr/>
        <w:t>or</w:t>
      </w:r>
      <w:r>
        <w:rPr>
          <w:spacing w:val="-13"/>
        </w:rPr>
        <w:t> </w:t>
      </w:r>
      <w:r>
        <w:rPr/>
        <w:t>collapse</w:t>
      </w:r>
      <w:r>
        <w:rPr>
          <w:spacing w:val="-14"/>
        </w:rPr>
        <w:t> </w:t>
      </w:r>
      <w:r>
        <w:rPr/>
        <w:t>it</w:t>
      </w:r>
      <w:r>
        <w:rPr>
          <w:spacing w:val="-13"/>
        </w:rPr>
        <w:t> </w:t>
      </w:r>
      <w:r>
        <w:rPr/>
        <w:t>into</w:t>
      </w:r>
      <w:r>
        <w:rPr>
          <w:spacing w:val="-14"/>
        </w:rPr>
        <w:t> </w:t>
      </w:r>
      <w:r>
        <w:rPr/>
        <w:t>an</w:t>
      </w:r>
      <w:r>
        <w:rPr>
          <w:spacing w:val="-13"/>
        </w:rPr>
        <w:t> </w:t>
      </w:r>
      <w:r>
        <w:rPr/>
        <w:t>aggregated</w:t>
      </w:r>
      <w:r>
        <w:rPr>
          <w:spacing w:val="-14"/>
        </w:rPr>
        <w:t> </w:t>
      </w:r>
      <w:r>
        <w:rPr/>
        <w:t>category</w:t>
      </w:r>
      <w:r>
        <w:rPr>
          <w:spacing w:val="-14"/>
        </w:rPr>
        <w:t> </w:t>
      </w:r>
      <w:r>
        <w:rPr/>
        <w:t>depends chiefly</w:t>
      </w:r>
      <w:r>
        <w:rPr>
          <w:spacing w:val="-9"/>
        </w:rPr>
        <w:t> </w:t>
      </w:r>
      <w:r>
        <w:rPr/>
        <w:t>on</w:t>
      </w:r>
      <w:r>
        <w:rPr>
          <w:spacing w:val="-10"/>
        </w:rPr>
        <w:t> </w:t>
      </w:r>
      <w:r>
        <w:rPr/>
        <w:t>the</w:t>
      </w:r>
      <w:r>
        <w:rPr>
          <w:spacing w:val="-8"/>
        </w:rPr>
        <w:t> </w:t>
      </w:r>
      <w:r>
        <w:rPr/>
        <w:t>size</w:t>
      </w:r>
      <w:r>
        <w:rPr>
          <w:spacing w:val="-11"/>
        </w:rPr>
        <w:t> </w:t>
      </w:r>
      <w:r>
        <w:rPr/>
        <w:t>of</w:t>
      </w:r>
      <w:r>
        <w:rPr>
          <w:spacing w:val="-10"/>
        </w:rPr>
        <w:t> </w:t>
      </w:r>
      <w:r>
        <w:rPr/>
        <w:t>the</w:t>
      </w:r>
      <w:r>
        <w:rPr>
          <w:spacing w:val="-11"/>
        </w:rPr>
        <w:t> </w:t>
      </w:r>
      <w:r>
        <w:rPr/>
        <w:t>population</w:t>
      </w:r>
      <w:r>
        <w:rPr>
          <w:spacing w:val="-10"/>
        </w:rPr>
        <w:t> </w:t>
      </w:r>
      <w:r>
        <w:rPr/>
        <w:t>in</w:t>
      </w:r>
      <w:r>
        <w:rPr>
          <w:spacing w:val="-10"/>
        </w:rPr>
        <w:t> </w:t>
      </w:r>
      <w:r>
        <w:rPr/>
        <w:t>the</w:t>
      </w:r>
      <w:r>
        <w:rPr>
          <w:spacing w:val="-8"/>
        </w:rPr>
        <w:t> </w:t>
      </w:r>
      <w:r>
        <w:rPr/>
        <w:t>United</w:t>
      </w:r>
      <w:r>
        <w:rPr>
          <w:spacing w:val="-10"/>
        </w:rPr>
        <w:t> </w:t>
      </w:r>
      <w:r>
        <w:rPr/>
        <w:t>States</w:t>
      </w:r>
      <w:r>
        <w:rPr>
          <w:spacing w:val="-11"/>
        </w:rPr>
        <w:t> </w:t>
      </w:r>
      <w:r>
        <w:rPr/>
        <w:t>speaking</w:t>
      </w:r>
      <w:r>
        <w:rPr>
          <w:spacing w:val="-9"/>
        </w:rPr>
        <w:t> </w:t>
      </w:r>
      <w:r>
        <w:rPr/>
        <w:t>that</w:t>
      </w:r>
      <w:r>
        <w:rPr>
          <w:spacing w:val="-8"/>
        </w:rPr>
        <w:t> </w:t>
      </w:r>
      <w:r>
        <w:rPr/>
        <w:t>language</w:t>
      </w:r>
      <w:r>
        <w:rPr>
          <w:spacing w:val="-8"/>
        </w:rPr>
        <w:t> </w:t>
      </w:r>
      <w:r>
        <w:rPr/>
        <w:t>at</w:t>
      </w:r>
      <w:r>
        <w:rPr>
          <w:spacing w:val="-10"/>
        </w:rPr>
        <w:t> </w:t>
      </w:r>
      <w:r>
        <w:rPr/>
        <w:t>home.</w:t>
      </w:r>
      <w:r>
        <w:rPr>
          <w:spacing w:val="-12"/>
        </w:rPr>
        <w:t> </w:t>
      </w:r>
      <w:r>
        <w:rPr/>
        <w:t>In</w:t>
      </w:r>
      <w:r>
        <w:rPr>
          <w:spacing w:val="-10"/>
        </w:rPr>
        <w:t> </w:t>
      </w:r>
      <w:r>
        <w:rPr/>
        <w:t>tabulations,</w:t>
      </w:r>
      <w:r>
        <w:rPr>
          <w:spacing w:val="-9"/>
        </w:rPr>
        <w:t> </w:t>
      </w:r>
      <w:r>
        <w:rPr/>
        <w:t>smaller languages are aggregated with other languages in a way that meets a certain population threshold, but has some</w:t>
      </w:r>
      <w:r>
        <w:rPr>
          <w:spacing w:val="-3"/>
        </w:rPr>
        <w:t> </w:t>
      </w:r>
      <w:r>
        <w:rPr/>
        <w:t>utility</w:t>
      </w:r>
      <w:r>
        <w:rPr>
          <w:spacing w:val="-5"/>
        </w:rPr>
        <w:t> </w:t>
      </w:r>
      <w:r>
        <w:rPr/>
        <w:t>for</w:t>
      </w:r>
      <w:r>
        <w:rPr>
          <w:spacing w:val="-6"/>
        </w:rPr>
        <w:t> </w:t>
      </w:r>
      <w:r>
        <w:rPr/>
        <w:t>translators</w:t>
      </w:r>
      <w:r>
        <w:rPr>
          <w:spacing w:val="-4"/>
        </w:rPr>
        <w:t> </w:t>
      </w:r>
      <w:r>
        <w:rPr/>
        <w:t>or</w:t>
      </w:r>
      <w:r>
        <w:rPr>
          <w:spacing w:val="-4"/>
        </w:rPr>
        <w:t> </w:t>
      </w:r>
      <w:r>
        <w:rPr/>
        <w:t>researchers.</w:t>
      </w:r>
      <w:r>
        <w:rPr>
          <w:spacing w:val="-5"/>
        </w:rPr>
        <w:t> </w:t>
      </w:r>
      <w:r>
        <w:rPr/>
        <w:t>The</w:t>
      </w:r>
      <w:r>
        <w:rPr>
          <w:spacing w:val="-3"/>
        </w:rPr>
        <w:t> </w:t>
      </w:r>
      <w:r>
        <w:rPr/>
        <w:t>simplest</w:t>
      </w:r>
      <w:r>
        <w:rPr>
          <w:spacing w:val="-5"/>
        </w:rPr>
        <w:t> </w:t>
      </w:r>
      <w:r>
        <w:rPr/>
        <w:t>collapse</w:t>
      </w:r>
      <w:r>
        <w:rPr>
          <w:spacing w:val="-6"/>
        </w:rPr>
        <w:t> </w:t>
      </w:r>
      <w:r>
        <w:rPr/>
        <w:t>recodes</w:t>
      </w:r>
      <w:r>
        <w:rPr>
          <w:spacing w:val="-4"/>
        </w:rPr>
        <w:t> </w:t>
      </w:r>
      <w:r>
        <w:rPr/>
        <w:t>languages</w:t>
      </w:r>
      <w:r>
        <w:rPr>
          <w:spacing w:val="-7"/>
        </w:rPr>
        <w:t> </w:t>
      </w:r>
      <w:r>
        <w:rPr/>
        <w:t>other</w:t>
      </w:r>
      <w:r>
        <w:rPr>
          <w:spacing w:val="-6"/>
        </w:rPr>
        <w:t> </w:t>
      </w:r>
      <w:r>
        <w:rPr/>
        <w:t>than</w:t>
      </w:r>
      <w:r>
        <w:rPr>
          <w:spacing w:val="-5"/>
        </w:rPr>
        <w:t> </w:t>
      </w:r>
      <w:r>
        <w:rPr/>
        <w:t>English</w:t>
      </w:r>
      <w:r>
        <w:rPr>
          <w:spacing w:val="-3"/>
        </w:rPr>
        <w:t> </w:t>
      </w:r>
      <w:r>
        <w:rPr/>
        <w:t>into</w:t>
      </w:r>
      <w:r>
        <w:rPr>
          <w:spacing w:val="-6"/>
        </w:rPr>
        <w:t> </w:t>
      </w:r>
      <w:r>
        <w:rPr/>
        <w:t>four major</w:t>
      </w:r>
      <w:r>
        <w:rPr>
          <w:spacing w:val="-5"/>
        </w:rPr>
        <w:t> </w:t>
      </w:r>
      <w:r>
        <w:rPr/>
        <w:t>language</w:t>
      </w:r>
      <w:r>
        <w:rPr>
          <w:spacing w:val="-7"/>
        </w:rPr>
        <w:t> </w:t>
      </w:r>
      <w:r>
        <w:rPr/>
        <w:t>groups:</w:t>
      </w:r>
      <w:r>
        <w:rPr>
          <w:spacing w:val="-7"/>
        </w:rPr>
        <w:t> </w:t>
      </w:r>
      <w:r>
        <w:rPr/>
        <w:t>Spanish,</w:t>
      </w:r>
      <w:r>
        <w:rPr>
          <w:spacing w:val="-7"/>
        </w:rPr>
        <w:t> </w:t>
      </w:r>
      <w:r>
        <w:rPr/>
        <w:t>Other</w:t>
      </w:r>
      <w:r>
        <w:rPr>
          <w:spacing w:val="-7"/>
        </w:rPr>
        <w:t> </w:t>
      </w:r>
      <w:r>
        <w:rPr/>
        <w:t>Indo-European</w:t>
      </w:r>
      <w:r>
        <w:rPr>
          <w:spacing w:val="-6"/>
        </w:rPr>
        <w:t> </w:t>
      </w:r>
      <w:r>
        <w:rPr/>
        <w:t>languages,</w:t>
      </w:r>
      <w:r>
        <w:rPr>
          <w:spacing w:val="-7"/>
        </w:rPr>
        <w:t> </w:t>
      </w:r>
      <w:r>
        <w:rPr/>
        <w:t>Asian</w:t>
      </w:r>
      <w:r>
        <w:rPr>
          <w:spacing w:val="-6"/>
        </w:rPr>
        <w:t> </w:t>
      </w:r>
      <w:r>
        <w:rPr/>
        <w:t>and</w:t>
      </w:r>
      <w:r>
        <w:rPr>
          <w:spacing w:val="-4"/>
        </w:rPr>
        <w:t> </w:t>
      </w:r>
      <w:r>
        <w:rPr/>
        <w:t>Pacific</w:t>
      </w:r>
      <w:r>
        <w:rPr>
          <w:spacing w:val="-6"/>
        </w:rPr>
        <w:t> </w:t>
      </w:r>
      <w:r>
        <w:rPr/>
        <w:t>Island</w:t>
      </w:r>
      <w:r>
        <w:rPr>
          <w:spacing w:val="-4"/>
        </w:rPr>
        <w:t> </w:t>
      </w:r>
      <w:r>
        <w:rPr/>
        <w:t>languages,</w:t>
      </w:r>
      <w:r>
        <w:rPr>
          <w:spacing w:val="-5"/>
        </w:rPr>
        <w:t> </w:t>
      </w:r>
      <w:r>
        <w:rPr/>
        <w:t>and</w:t>
      </w:r>
      <w:r>
        <w:rPr>
          <w:spacing w:val="-6"/>
        </w:rPr>
        <w:t> </w:t>
      </w:r>
      <w:r>
        <w:rPr/>
        <w:t>Other languages.</w:t>
      </w:r>
      <w:r>
        <w:rPr>
          <w:spacing w:val="40"/>
        </w:rPr>
        <w:t> </w:t>
      </w:r>
      <w:r>
        <w:rPr/>
        <w:t>A more detailed collapsing uses 42 non-English languages and language groups.</w:t>
      </w:r>
    </w:p>
    <w:p>
      <w:pPr>
        <w:pStyle w:val="BodyText"/>
        <w:spacing w:before="11"/>
        <w:rPr>
          <w:sz w:val="23"/>
        </w:rPr>
      </w:pPr>
    </w:p>
    <w:p>
      <w:pPr>
        <w:pStyle w:val="BodyText"/>
        <w:ind w:left="120" w:right="213"/>
        <w:jc w:val="both"/>
      </w:pPr>
      <w:r>
        <w:rPr/>
        <w:t>In </w:t>
      </w:r>
      <w:r>
        <w:rPr>
          <w:b/>
        </w:rPr>
        <w:t>Appendix IV</w:t>
      </w:r>
      <w:r>
        <w:rPr/>
        <w:t>, we have provided the Primary Language List from the US Census which details the specific languages that could be included in the three “Other” language groups/clusters identified by the U.S. Census for the State of Maine.</w:t>
      </w:r>
      <w:r>
        <w:rPr>
          <w:spacing w:val="40"/>
        </w:rPr>
        <w:t> </w:t>
      </w:r>
      <w:r>
        <w:rPr/>
        <w:t>The Primary Language List from the U.S. Census can also be accessed at this link: </w:t>
      </w:r>
      <w:hyperlink r:id="rId71">
        <w:r>
          <w:rPr>
            <w:color w:val="0000FF"/>
            <w:u w:val="single" w:color="0000FF"/>
          </w:rPr>
          <w:t>primary_language_list.pdf (census.gov)</w:t>
        </w:r>
      </w:hyperlink>
      <w:r>
        <w:rPr/>
        <w:t>.</w:t>
      </w:r>
    </w:p>
    <w:p>
      <w:pPr>
        <w:pStyle w:val="BodyText"/>
        <w:spacing w:before="9"/>
        <w:rPr>
          <w:sz w:val="19"/>
        </w:rPr>
      </w:pPr>
    </w:p>
    <w:p>
      <w:pPr>
        <w:pStyle w:val="BodyText"/>
        <w:spacing w:before="51"/>
        <w:ind w:left="120" w:right="211"/>
        <w:jc w:val="both"/>
      </w:pPr>
      <w:r>
        <w:rPr/>
        <w:t>To accommodate LEP citizens who fall into the “Other” language categories, MaineDOT will translate vital documents in the specific language only upon request.</w:t>
      </w:r>
      <w:r>
        <w:rPr>
          <w:spacing w:val="40"/>
        </w:rPr>
        <w:t> </w:t>
      </w:r>
      <w:r>
        <w:rPr/>
        <w:t>Also, MaineDOT has engaged Acutrans, a licensed and certified language translation company, to identify the top 10 languages spoken in Maine (other than English) in order to have certified translators at public meetings who can accommodate these LEP speakers. These languages include:</w:t>
      </w:r>
    </w:p>
    <w:p>
      <w:pPr>
        <w:pStyle w:val="BodyText"/>
        <w:spacing w:before="2"/>
      </w:pPr>
    </w:p>
    <w:tbl>
      <w:tblPr>
        <w:tblW w:w="0" w:type="auto"/>
        <w:jc w:val="left"/>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790"/>
      </w:tblGrid>
      <w:tr>
        <w:trPr>
          <w:trHeight w:val="395" w:hRule="atLeast"/>
        </w:trPr>
        <w:tc>
          <w:tcPr>
            <w:tcW w:w="10790" w:type="dxa"/>
            <w:shd w:val="clear" w:color="auto" w:fill="D9D9D9"/>
          </w:tcPr>
          <w:p>
            <w:pPr>
              <w:pStyle w:val="TableParagraph"/>
              <w:spacing w:line="292" w:lineRule="exact"/>
              <w:ind w:left="2986" w:right="2976"/>
              <w:jc w:val="center"/>
              <w:rPr>
                <w:rFonts w:ascii="Calibri"/>
                <w:b/>
                <w:sz w:val="24"/>
              </w:rPr>
            </w:pPr>
            <w:r>
              <w:rPr>
                <w:rFonts w:ascii="Calibri"/>
                <w:b/>
                <w:sz w:val="24"/>
              </w:rPr>
              <w:t>Top</w:t>
            </w:r>
            <w:r>
              <w:rPr>
                <w:rFonts w:ascii="Calibri"/>
                <w:b/>
                <w:spacing w:val="-5"/>
                <w:sz w:val="24"/>
              </w:rPr>
              <w:t> </w:t>
            </w:r>
            <w:r>
              <w:rPr>
                <w:rFonts w:ascii="Calibri"/>
                <w:b/>
                <w:sz w:val="24"/>
              </w:rPr>
              <w:t>10</w:t>
            </w:r>
            <w:r>
              <w:rPr>
                <w:rFonts w:ascii="Calibri"/>
                <w:b/>
                <w:spacing w:val="-1"/>
                <w:sz w:val="24"/>
              </w:rPr>
              <w:t> </w:t>
            </w:r>
            <w:r>
              <w:rPr>
                <w:rFonts w:ascii="Calibri"/>
                <w:b/>
                <w:sz w:val="24"/>
              </w:rPr>
              <w:t>Languages</w:t>
            </w:r>
            <w:r>
              <w:rPr>
                <w:rFonts w:ascii="Calibri"/>
                <w:b/>
                <w:spacing w:val="-1"/>
                <w:sz w:val="24"/>
              </w:rPr>
              <w:t> </w:t>
            </w:r>
            <w:r>
              <w:rPr>
                <w:rFonts w:ascii="Calibri"/>
                <w:b/>
                <w:sz w:val="24"/>
              </w:rPr>
              <w:t>of</w:t>
            </w:r>
            <w:r>
              <w:rPr>
                <w:rFonts w:ascii="Calibri"/>
                <w:b/>
                <w:spacing w:val="-1"/>
                <w:sz w:val="24"/>
              </w:rPr>
              <w:t> </w:t>
            </w:r>
            <w:r>
              <w:rPr>
                <w:rFonts w:ascii="Calibri"/>
                <w:b/>
                <w:sz w:val="24"/>
              </w:rPr>
              <w:t>Maine</w:t>
            </w:r>
            <w:r>
              <w:rPr>
                <w:rFonts w:ascii="Calibri"/>
                <w:b/>
                <w:spacing w:val="-2"/>
                <w:sz w:val="24"/>
              </w:rPr>
              <w:t> </w:t>
            </w:r>
            <w:r>
              <w:rPr>
                <w:rFonts w:ascii="Calibri"/>
                <w:b/>
                <w:sz w:val="24"/>
              </w:rPr>
              <w:t>(Other</w:t>
            </w:r>
            <w:r>
              <w:rPr>
                <w:rFonts w:ascii="Calibri"/>
                <w:b/>
                <w:spacing w:val="-3"/>
                <w:sz w:val="24"/>
              </w:rPr>
              <w:t> </w:t>
            </w:r>
            <w:r>
              <w:rPr>
                <w:rFonts w:ascii="Calibri"/>
                <w:b/>
                <w:sz w:val="24"/>
              </w:rPr>
              <w:t>Than</w:t>
            </w:r>
            <w:r>
              <w:rPr>
                <w:rFonts w:ascii="Calibri"/>
                <w:b/>
                <w:spacing w:val="-2"/>
                <w:sz w:val="24"/>
              </w:rPr>
              <w:t> English)</w:t>
            </w:r>
          </w:p>
        </w:tc>
      </w:tr>
      <w:tr>
        <w:trPr>
          <w:trHeight w:val="292" w:hRule="atLeast"/>
        </w:trPr>
        <w:tc>
          <w:tcPr>
            <w:tcW w:w="10790" w:type="dxa"/>
          </w:tcPr>
          <w:p>
            <w:pPr>
              <w:pStyle w:val="TableParagraph"/>
              <w:spacing w:line="272" w:lineRule="exact"/>
              <w:ind w:left="107"/>
              <w:rPr>
                <w:rFonts w:ascii="Calibri"/>
                <w:sz w:val="24"/>
              </w:rPr>
            </w:pPr>
            <w:r>
              <w:rPr>
                <w:rFonts w:ascii="Calibri"/>
                <w:spacing w:val="-2"/>
                <w:sz w:val="24"/>
              </w:rPr>
              <w:t>French</w:t>
            </w:r>
          </w:p>
        </w:tc>
      </w:tr>
      <w:tr>
        <w:trPr>
          <w:trHeight w:val="292" w:hRule="atLeast"/>
        </w:trPr>
        <w:tc>
          <w:tcPr>
            <w:tcW w:w="10790" w:type="dxa"/>
          </w:tcPr>
          <w:p>
            <w:pPr>
              <w:pStyle w:val="TableParagraph"/>
              <w:spacing w:line="272" w:lineRule="exact"/>
              <w:ind w:left="107"/>
              <w:rPr>
                <w:rFonts w:ascii="Calibri"/>
                <w:sz w:val="24"/>
              </w:rPr>
            </w:pPr>
            <w:r>
              <w:rPr>
                <w:rFonts w:ascii="Calibri"/>
                <w:spacing w:val="-2"/>
                <w:sz w:val="24"/>
              </w:rPr>
              <w:t>Spanish</w:t>
            </w:r>
          </w:p>
        </w:tc>
      </w:tr>
      <w:tr>
        <w:trPr>
          <w:trHeight w:val="292" w:hRule="atLeast"/>
        </w:trPr>
        <w:tc>
          <w:tcPr>
            <w:tcW w:w="10790" w:type="dxa"/>
          </w:tcPr>
          <w:p>
            <w:pPr>
              <w:pStyle w:val="TableParagraph"/>
              <w:spacing w:line="272" w:lineRule="exact"/>
              <w:ind w:left="107"/>
              <w:rPr>
                <w:rFonts w:ascii="Calibri"/>
                <w:sz w:val="24"/>
              </w:rPr>
            </w:pPr>
            <w:r>
              <w:rPr>
                <w:rFonts w:ascii="Calibri"/>
                <w:spacing w:val="-2"/>
                <w:sz w:val="24"/>
              </w:rPr>
              <w:t>Chinese</w:t>
            </w:r>
          </w:p>
        </w:tc>
      </w:tr>
      <w:tr>
        <w:trPr>
          <w:trHeight w:val="294" w:hRule="atLeast"/>
        </w:trPr>
        <w:tc>
          <w:tcPr>
            <w:tcW w:w="10790" w:type="dxa"/>
          </w:tcPr>
          <w:p>
            <w:pPr>
              <w:pStyle w:val="TableParagraph"/>
              <w:spacing w:line="273" w:lineRule="exact" w:before="1"/>
              <w:ind w:left="107"/>
              <w:rPr>
                <w:rFonts w:ascii="Calibri"/>
                <w:sz w:val="24"/>
              </w:rPr>
            </w:pPr>
            <w:r>
              <w:rPr>
                <w:rFonts w:ascii="Calibri"/>
                <w:spacing w:val="-2"/>
                <w:sz w:val="24"/>
              </w:rPr>
              <w:t>German</w:t>
            </w:r>
          </w:p>
        </w:tc>
      </w:tr>
      <w:tr>
        <w:trPr>
          <w:trHeight w:val="292" w:hRule="atLeast"/>
        </w:trPr>
        <w:tc>
          <w:tcPr>
            <w:tcW w:w="10790" w:type="dxa"/>
          </w:tcPr>
          <w:p>
            <w:pPr>
              <w:pStyle w:val="TableParagraph"/>
              <w:spacing w:line="272" w:lineRule="exact"/>
              <w:ind w:left="107"/>
              <w:rPr>
                <w:rFonts w:ascii="Calibri"/>
                <w:sz w:val="24"/>
              </w:rPr>
            </w:pPr>
            <w:r>
              <w:rPr>
                <w:rFonts w:ascii="Calibri"/>
                <w:sz w:val="24"/>
              </w:rPr>
              <w:t>Amharic,</w:t>
            </w:r>
            <w:r>
              <w:rPr>
                <w:rFonts w:ascii="Calibri"/>
                <w:spacing w:val="-2"/>
                <w:sz w:val="24"/>
              </w:rPr>
              <w:t> </w:t>
            </w:r>
            <w:r>
              <w:rPr>
                <w:rFonts w:ascii="Calibri"/>
                <w:sz w:val="24"/>
              </w:rPr>
              <w:t>Somali,</w:t>
            </w:r>
            <w:r>
              <w:rPr>
                <w:rFonts w:ascii="Calibri"/>
                <w:spacing w:val="-2"/>
                <w:sz w:val="24"/>
              </w:rPr>
              <w:t> </w:t>
            </w:r>
            <w:r>
              <w:rPr>
                <w:rFonts w:ascii="Calibri"/>
                <w:sz w:val="24"/>
              </w:rPr>
              <w:t>or</w:t>
            </w:r>
            <w:r>
              <w:rPr>
                <w:rFonts w:ascii="Calibri"/>
                <w:spacing w:val="-1"/>
                <w:sz w:val="24"/>
              </w:rPr>
              <w:t> </w:t>
            </w:r>
            <w:r>
              <w:rPr>
                <w:rFonts w:ascii="Calibri"/>
                <w:sz w:val="24"/>
              </w:rPr>
              <w:t>Other</w:t>
            </w:r>
            <w:r>
              <w:rPr>
                <w:rFonts w:ascii="Calibri"/>
                <w:spacing w:val="-2"/>
                <w:sz w:val="24"/>
              </w:rPr>
              <w:t> </w:t>
            </w:r>
            <w:r>
              <w:rPr>
                <w:rFonts w:ascii="Calibri"/>
                <w:sz w:val="24"/>
              </w:rPr>
              <w:t>Afro-Asiatic</w:t>
            </w:r>
            <w:r>
              <w:rPr>
                <w:rFonts w:ascii="Calibri"/>
                <w:spacing w:val="-2"/>
                <w:sz w:val="24"/>
              </w:rPr>
              <w:t> Languages</w:t>
            </w:r>
          </w:p>
        </w:tc>
      </w:tr>
      <w:tr>
        <w:trPr>
          <w:trHeight w:val="292" w:hRule="atLeast"/>
        </w:trPr>
        <w:tc>
          <w:tcPr>
            <w:tcW w:w="10790" w:type="dxa"/>
          </w:tcPr>
          <w:p>
            <w:pPr>
              <w:pStyle w:val="TableParagraph"/>
              <w:spacing w:line="272" w:lineRule="exact"/>
              <w:ind w:left="107"/>
              <w:rPr>
                <w:rFonts w:ascii="Calibri"/>
                <w:sz w:val="24"/>
              </w:rPr>
            </w:pPr>
            <w:r>
              <w:rPr>
                <w:rFonts w:ascii="Calibri"/>
                <w:sz w:val="24"/>
              </w:rPr>
              <w:t>Swahili</w:t>
            </w:r>
            <w:r>
              <w:rPr>
                <w:rFonts w:ascii="Calibri"/>
                <w:spacing w:val="-4"/>
                <w:sz w:val="24"/>
              </w:rPr>
              <w:t> </w:t>
            </w:r>
            <w:r>
              <w:rPr>
                <w:rFonts w:ascii="Calibri"/>
                <w:sz w:val="24"/>
              </w:rPr>
              <w:t>or</w:t>
            </w:r>
            <w:r>
              <w:rPr>
                <w:rFonts w:ascii="Calibri"/>
                <w:spacing w:val="-1"/>
                <w:sz w:val="24"/>
              </w:rPr>
              <w:t> </w:t>
            </w:r>
            <w:r>
              <w:rPr>
                <w:rFonts w:ascii="Calibri"/>
                <w:sz w:val="24"/>
              </w:rPr>
              <w:t>Other Languages</w:t>
            </w:r>
            <w:r>
              <w:rPr>
                <w:rFonts w:ascii="Calibri"/>
                <w:spacing w:val="-2"/>
                <w:sz w:val="24"/>
              </w:rPr>
              <w:t> </w:t>
            </w:r>
            <w:r>
              <w:rPr>
                <w:rFonts w:ascii="Calibri"/>
                <w:sz w:val="24"/>
              </w:rPr>
              <w:t>of</w:t>
            </w:r>
            <w:r>
              <w:rPr>
                <w:rFonts w:ascii="Calibri"/>
                <w:spacing w:val="-3"/>
                <w:sz w:val="24"/>
              </w:rPr>
              <w:t> </w:t>
            </w:r>
            <w:r>
              <w:rPr>
                <w:rFonts w:ascii="Calibri"/>
                <w:sz w:val="24"/>
              </w:rPr>
              <w:t>Central, Eastern,</w:t>
            </w:r>
            <w:r>
              <w:rPr>
                <w:rFonts w:ascii="Calibri"/>
                <w:spacing w:val="-1"/>
                <w:sz w:val="24"/>
              </w:rPr>
              <w:t> </w:t>
            </w:r>
            <w:r>
              <w:rPr>
                <w:rFonts w:ascii="Calibri"/>
                <w:sz w:val="24"/>
              </w:rPr>
              <w:t>&amp;</w:t>
            </w:r>
            <w:r>
              <w:rPr>
                <w:rFonts w:ascii="Calibri"/>
                <w:spacing w:val="-4"/>
                <w:sz w:val="24"/>
              </w:rPr>
              <w:t> </w:t>
            </w:r>
            <w:r>
              <w:rPr>
                <w:rFonts w:ascii="Calibri"/>
                <w:sz w:val="24"/>
              </w:rPr>
              <w:t>Southern</w:t>
            </w:r>
            <w:r>
              <w:rPr>
                <w:rFonts w:ascii="Calibri"/>
                <w:spacing w:val="1"/>
                <w:sz w:val="24"/>
              </w:rPr>
              <w:t> </w:t>
            </w:r>
            <w:r>
              <w:rPr>
                <w:rFonts w:ascii="Calibri"/>
                <w:spacing w:val="-2"/>
                <w:sz w:val="24"/>
              </w:rPr>
              <w:t>Africa</w:t>
            </w:r>
          </w:p>
        </w:tc>
      </w:tr>
      <w:tr>
        <w:trPr>
          <w:trHeight w:val="292" w:hRule="atLeast"/>
        </w:trPr>
        <w:tc>
          <w:tcPr>
            <w:tcW w:w="10790" w:type="dxa"/>
          </w:tcPr>
          <w:p>
            <w:pPr>
              <w:pStyle w:val="TableParagraph"/>
              <w:spacing w:line="272" w:lineRule="exact"/>
              <w:ind w:left="107"/>
              <w:rPr>
                <w:rFonts w:ascii="Calibri"/>
                <w:sz w:val="24"/>
              </w:rPr>
            </w:pPr>
            <w:r>
              <w:rPr>
                <w:rFonts w:ascii="Calibri"/>
                <w:spacing w:val="-2"/>
                <w:sz w:val="24"/>
              </w:rPr>
              <w:t>Portuguese</w:t>
            </w:r>
          </w:p>
        </w:tc>
      </w:tr>
      <w:tr>
        <w:trPr>
          <w:trHeight w:val="294" w:hRule="atLeast"/>
        </w:trPr>
        <w:tc>
          <w:tcPr>
            <w:tcW w:w="10790" w:type="dxa"/>
          </w:tcPr>
          <w:p>
            <w:pPr>
              <w:pStyle w:val="TableParagraph"/>
              <w:spacing w:line="275" w:lineRule="exact"/>
              <w:ind w:left="107"/>
              <w:rPr>
                <w:rFonts w:ascii="Calibri"/>
                <w:sz w:val="24"/>
              </w:rPr>
            </w:pPr>
            <w:r>
              <w:rPr>
                <w:rFonts w:ascii="Calibri"/>
                <w:spacing w:val="-2"/>
                <w:sz w:val="24"/>
              </w:rPr>
              <w:t>Arabic</w:t>
            </w:r>
          </w:p>
        </w:tc>
      </w:tr>
      <w:tr>
        <w:trPr>
          <w:trHeight w:val="292" w:hRule="atLeast"/>
        </w:trPr>
        <w:tc>
          <w:tcPr>
            <w:tcW w:w="10790" w:type="dxa"/>
          </w:tcPr>
          <w:p>
            <w:pPr>
              <w:pStyle w:val="TableParagraph"/>
              <w:spacing w:line="272" w:lineRule="exact"/>
              <w:ind w:left="107"/>
              <w:rPr>
                <w:rFonts w:ascii="Calibri"/>
                <w:sz w:val="24"/>
              </w:rPr>
            </w:pPr>
            <w:r>
              <w:rPr>
                <w:rFonts w:ascii="Calibri"/>
                <w:spacing w:val="-2"/>
                <w:sz w:val="24"/>
              </w:rPr>
              <w:t>Tagalog</w:t>
            </w:r>
          </w:p>
        </w:tc>
      </w:tr>
      <w:tr>
        <w:trPr>
          <w:trHeight w:val="292" w:hRule="atLeast"/>
        </w:trPr>
        <w:tc>
          <w:tcPr>
            <w:tcW w:w="10790" w:type="dxa"/>
          </w:tcPr>
          <w:p>
            <w:pPr>
              <w:pStyle w:val="TableParagraph"/>
              <w:spacing w:line="272" w:lineRule="exact"/>
              <w:ind w:left="107"/>
              <w:rPr>
                <w:rFonts w:ascii="Calibri"/>
                <w:sz w:val="24"/>
              </w:rPr>
            </w:pPr>
            <w:r>
              <w:rPr>
                <w:rFonts w:ascii="Calibri"/>
                <w:sz w:val="24"/>
              </w:rPr>
              <w:t>Other</w:t>
            </w:r>
            <w:r>
              <w:rPr>
                <w:rFonts w:ascii="Calibri"/>
                <w:spacing w:val="-4"/>
                <w:sz w:val="24"/>
              </w:rPr>
              <w:t> </w:t>
            </w:r>
            <w:r>
              <w:rPr>
                <w:rFonts w:ascii="Calibri"/>
                <w:sz w:val="24"/>
              </w:rPr>
              <w:t>Native Languages</w:t>
            </w:r>
            <w:r>
              <w:rPr>
                <w:rFonts w:ascii="Calibri"/>
                <w:spacing w:val="-3"/>
                <w:sz w:val="24"/>
              </w:rPr>
              <w:t> </w:t>
            </w:r>
            <w:r>
              <w:rPr>
                <w:rFonts w:ascii="Calibri"/>
                <w:sz w:val="24"/>
              </w:rPr>
              <w:t>of</w:t>
            </w:r>
            <w:r>
              <w:rPr>
                <w:rFonts w:ascii="Calibri"/>
                <w:spacing w:val="-2"/>
                <w:sz w:val="24"/>
              </w:rPr>
              <w:t> </w:t>
            </w:r>
            <w:r>
              <w:rPr>
                <w:rFonts w:ascii="Calibri"/>
                <w:sz w:val="24"/>
              </w:rPr>
              <w:t>North</w:t>
            </w:r>
            <w:r>
              <w:rPr>
                <w:rFonts w:ascii="Calibri"/>
                <w:spacing w:val="1"/>
                <w:sz w:val="24"/>
              </w:rPr>
              <w:t> </w:t>
            </w:r>
            <w:r>
              <w:rPr>
                <w:rFonts w:ascii="Calibri"/>
                <w:spacing w:val="-2"/>
                <w:sz w:val="24"/>
              </w:rPr>
              <w:t>America</w:t>
            </w:r>
          </w:p>
        </w:tc>
      </w:tr>
    </w:tbl>
    <w:p>
      <w:pPr>
        <w:pStyle w:val="BodyText"/>
        <w:spacing w:before="4"/>
      </w:pPr>
    </w:p>
    <w:p>
      <w:pPr>
        <w:spacing w:before="0"/>
        <w:ind w:left="120" w:right="0" w:firstLine="0"/>
        <w:jc w:val="both"/>
        <w:rPr>
          <w:i/>
          <w:sz w:val="24"/>
        </w:rPr>
      </w:pPr>
      <w:r>
        <w:rPr>
          <w:i/>
          <w:spacing w:val="-2"/>
          <w:sz w:val="24"/>
        </w:rPr>
        <w:t>Source:</w:t>
      </w:r>
      <w:r>
        <w:rPr>
          <w:i/>
          <w:spacing w:val="80"/>
          <w:sz w:val="24"/>
        </w:rPr>
        <w:t> </w:t>
      </w:r>
      <w:r>
        <w:rPr>
          <w:i/>
          <w:spacing w:val="-2"/>
          <w:sz w:val="24"/>
        </w:rPr>
        <w:t>https://acutrans.com/top-10-languages-of-maine/</w:t>
      </w:r>
    </w:p>
    <w:p>
      <w:pPr>
        <w:spacing w:after="0"/>
        <w:jc w:val="both"/>
        <w:rPr>
          <w:sz w:val="24"/>
        </w:rPr>
        <w:sectPr>
          <w:pgSz w:w="12240" w:h="15840"/>
          <w:pgMar w:header="0" w:footer="1023" w:top="1260" w:bottom="1260" w:left="600" w:right="500"/>
        </w:sectPr>
      </w:pPr>
    </w:p>
    <w:p>
      <w:pPr>
        <w:pStyle w:val="Heading5"/>
        <w:spacing w:before="31"/>
        <w:ind w:left="240" w:firstLine="0"/>
      </w:pPr>
      <w:bookmarkStart w:name="French" w:id="50"/>
      <w:bookmarkEnd w:id="50"/>
      <w:r>
        <w:rPr>
          <w:b w:val="0"/>
        </w:rPr>
      </w:r>
      <w:r>
        <w:rPr>
          <w:spacing w:val="-2"/>
        </w:rPr>
        <w:t>French</w:t>
      </w:r>
    </w:p>
    <w:p>
      <w:pPr>
        <w:pStyle w:val="BodyText"/>
        <w:rPr>
          <w:b/>
          <w:sz w:val="32"/>
        </w:rPr>
      </w:pPr>
    </w:p>
    <w:p>
      <w:pPr>
        <w:pStyle w:val="BodyText"/>
        <w:spacing w:line="264" w:lineRule="auto"/>
        <w:ind w:left="239" w:right="350"/>
        <w:jc w:val="both"/>
      </w:pPr>
      <w:r>
        <w:rPr/>
        <w:t>Per</w:t>
      </w:r>
      <w:r>
        <w:rPr>
          <w:spacing w:val="-6"/>
        </w:rPr>
        <w:t> </w:t>
      </w:r>
      <w:r>
        <w:rPr/>
        <w:t>the</w:t>
      </w:r>
      <w:r>
        <w:rPr>
          <w:spacing w:val="-14"/>
        </w:rPr>
        <w:t> </w:t>
      </w:r>
      <w:r>
        <w:rPr/>
        <w:t>ACS</w:t>
      </w:r>
      <w:r>
        <w:rPr>
          <w:spacing w:val="-4"/>
        </w:rPr>
        <w:t> </w:t>
      </w:r>
      <w:r>
        <w:rPr/>
        <w:t>estimates,</w:t>
      </w:r>
      <w:r>
        <w:rPr>
          <w:spacing w:val="-4"/>
        </w:rPr>
        <w:t> </w:t>
      </w:r>
      <w:r>
        <w:rPr/>
        <w:t>there</w:t>
      </w:r>
      <w:r>
        <w:rPr>
          <w:spacing w:val="-4"/>
        </w:rPr>
        <w:t> </w:t>
      </w:r>
      <w:r>
        <w:rPr/>
        <w:t>are</w:t>
      </w:r>
      <w:r>
        <w:rPr>
          <w:spacing w:val="-4"/>
        </w:rPr>
        <w:t> </w:t>
      </w:r>
      <w:r>
        <w:rPr/>
        <w:t>6,435</w:t>
      </w:r>
      <w:r>
        <w:rPr>
          <w:spacing w:val="-2"/>
        </w:rPr>
        <w:t> </w:t>
      </w:r>
      <w:r>
        <w:rPr/>
        <w:t>French-speaking</w:t>
      </w:r>
      <w:r>
        <w:rPr>
          <w:spacing w:val="-5"/>
        </w:rPr>
        <w:t> </w:t>
      </w:r>
      <w:r>
        <w:rPr/>
        <w:t>LEP</w:t>
      </w:r>
      <w:r>
        <w:rPr>
          <w:spacing w:val="-13"/>
        </w:rPr>
        <w:t> </w:t>
      </w:r>
      <w:r>
        <w:rPr/>
        <w:t>persons</w:t>
      </w:r>
      <w:r>
        <w:rPr>
          <w:spacing w:val="-5"/>
        </w:rPr>
        <w:t> </w:t>
      </w:r>
      <w:r>
        <w:rPr/>
        <w:t>in</w:t>
      </w:r>
      <w:r>
        <w:rPr>
          <w:spacing w:val="-6"/>
        </w:rPr>
        <w:t> </w:t>
      </w:r>
      <w:r>
        <w:rPr/>
        <w:t>Maine,</w:t>
      </w:r>
      <w:r>
        <w:rPr>
          <w:spacing w:val="-5"/>
        </w:rPr>
        <w:t> </w:t>
      </w:r>
      <w:r>
        <w:rPr/>
        <w:t>the</w:t>
      </w:r>
      <w:r>
        <w:rPr>
          <w:spacing w:val="-4"/>
        </w:rPr>
        <w:t> </w:t>
      </w:r>
      <w:r>
        <w:rPr/>
        <w:t>greatest</w:t>
      </w:r>
      <w:r>
        <w:rPr>
          <w:spacing w:val="70"/>
        </w:rPr>
        <w:t> </w:t>
      </w:r>
      <w:r>
        <w:rPr/>
        <w:t>concentration</w:t>
      </w:r>
      <w:r>
        <w:rPr>
          <w:spacing w:val="-4"/>
        </w:rPr>
        <w:t> </w:t>
      </w:r>
      <w:r>
        <w:rPr/>
        <w:t>of which</w:t>
      </w:r>
      <w:r>
        <w:rPr>
          <w:spacing w:val="-6"/>
        </w:rPr>
        <w:t> </w:t>
      </w:r>
      <w:r>
        <w:rPr/>
        <w:t>are</w:t>
      </w:r>
      <w:r>
        <w:rPr>
          <w:spacing w:val="-6"/>
        </w:rPr>
        <w:t> </w:t>
      </w:r>
      <w:r>
        <w:rPr/>
        <w:t>located</w:t>
      </w:r>
      <w:r>
        <w:rPr>
          <w:spacing w:val="-8"/>
        </w:rPr>
        <w:t> </w:t>
      </w:r>
      <w:r>
        <w:rPr/>
        <w:t>(in</w:t>
      </w:r>
      <w:r>
        <w:rPr>
          <w:spacing w:val="-6"/>
        </w:rPr>
        <w:t> </w:t>
      </w:r>
      <w:r>
        <w:rPr/>
        <w:t>ascending</w:t>
      </w:r>
      <w:r>
        <w:rPr>
          <w:spacing w:val="-9"/>
        </w:rPr>
        <w:t> </w:t>
      </w:r>
      <w:r>
        <w:rPr/>
        <w:t>order)</w:t>
      </w:r>
      <w:r>
        <w:rPr>
          <w:spacing w:val="-10"/>
        </w:rPr>
        <w:t> </w:t>
      </w:r>
      <w:r>
        <w:rPr/>
        <w:t>as</w:t>
      </w:r>
      <w:r>
        <w:rPr>
          <w:spacing w:val="-12"/>
        </w:rPr>
        <w:t> </w:t>
      </w:r>
      <w:r>
        <w:rPr/>
        <w:t>follows:</w:t>
      </w:r>
      <w:r>
        <w:rPr>
          <w:spacing w:val="-11"/>
        </w:rPr>
        <w:t> </w:t>
      </w:r>
      <w:r>
        <w:rPr/>
        <w:t>Region</w:t>
      </w:r>
      <w:r>
        <w:rPr>
          <w:spacing w:val="-6"/>
        </w:rPr>
        <w:t> </w:t>
      </w:r>
      <w:r>
        <w:rPr/>
        <w:t>7</w:t>
      </w:r>
      <w:r>
        <w:rPr>
          <w:spacing w:val="-8"/>
        </w:rPr>
        <w:t> </w:t>
      </w:r>
      <w:r>
        <w:rPr/>
        <w:t>-</w:t>
      </w:r>
      <w:r>
        <w:rPr>
          <w:spacing w:val="-8"/>
        </w:rPr>
        <w:t> </w:t>
      </w:r>
      <w:r>
        <w:rPr/>
        <w:t>Androscoggin</w:t>
      </w:r>
      <w:r>
        <w:rPr>
          <w:spacing w:val="-8"/>
        </w:rPr>
        <w:t> </w:t>
      </w:r>
      <w:r>
        <w:rPr/>
        <w:t>County</w:t>
      </w:r>
      <w:r>
        <w:rPr>
          <w:spacing w:val="-6"/>
        </w:rPr>
        <w:t> </w:t>
      </w:r>
      <w:r>
        <w:rPr/>
        <w:t>(1,015</w:t>
      </w:r>
      <w:r>
        <w:rPr>
          <w:spacing w:val="-6"/>
        </w:rPr>
        <w:t> </w:t>
      </w:r>
      <w:r>
        <w:rPr/>
        <w:t>persons),</w:t>
      </w:r>
      <w:r>
        <w:rPr>
          <w:spacing w:val="-9"/>
        </w:rPr>
        <w:t> </w:t>
      </w:r>
      <w:r>
        <w:rPr/>
        <w:t>Region</w:t>
      </w:r>
      <w:r>
        <w:rPr>
          <w:spacing w:val="-8"/>
        </w:rPr>
        <w:t> </w:t>
      </w:r>
      <w:r>
        <w:rPr/>
        <w:t>8</w:t>
      </w:r>
      <w:r>
        <w:rPr>
          <w:spacing w:val="-11"/>
        </w:rPr>
        <w:t> </w:t>
      </w:r>
      <w:r>
        <w:rPr/>
        <w:t>- York</w:t>
      </w:r>
      <w:r>
        <w:rPr>
          <w:spacing w:val="-14"/>
        </w:rPr>
        <w:t> </w:t>
      </w:r>
      <w:r>
        <w:rPr/>
        <w:t>County</w:t>
      </w:r>
      <w:r>
        <w:rPr>
          <w:spacing w:val="-14"/>
        </w:rPr>
        <w:t> </w:t>
      </w:r>
      <w:r>
        <w:rPr/>
        <w:t>(1,171</w:t>
      </w:r>
      <w:r>
        <w:rPr>
          <w:spacing w:val="-13"/>
        </w:rPr>
        <w:t> </w:t>
      </w:r>
      <w:r>
        <w:rPr/>
        <w:t>persons)</w:t>
      </w:r>
      <w:r>
        <w:rPr>
          <w:spacing w:val="-14"/>
        </w:rPr>
        <w:t> </w:t>
      </w:r>
      <w:r>
        <w:rPr/>
        <w:t>Region</w:t>
      </w:r>
      <w:r>
        <w:rPr>
          <w:spacing w:val="-8"/>
        </w:rPr>
        <w:t> </w:t>
      </w:r>
      <w:r>
        <w:rPr/>
        <w:t>1</w:t>
      </w:r>
      <w:r>
        <w:rPr>
          <w:spacing w:val="-11"/>
        </w:rPr>
        <w:t> </w:t>
      </w:r>
      <w:r>
        <w:rPr/>
        <w:t>-</w:t>
      </w:r>
      <w:r>
        <w:rPr>
          <w:spacing w:val="-10"/>
        </w:rPr>
        <w:t> </w:t>
      </w:r>
      <w:r>
        <w:rPr/>
        <w:t>Aroostook</w:t>
      </w:r>
      <w:r>
        <w:rPr>
          <w:spacing w:val="-14"/>
        </w:rPr>
        <w:t> </w:t>
      </w:r>
      <w:r>
        <w:rPr/>
        <w:t>County</w:t>
      </w:r>
      <w:r>
        <w:rPr>
          <w:spacing w:val="-9"/>
        </w:rPr>
        <w:t> </w:t>
      </w:r>
      <w:r>
        <w:rPr/>
        <w:t>(1,326</w:t>
      </w:r>
      <w:r>
        <w:rPr>
          <w:spacing w:val="-11"/>
        </w:rPr>
        <w:t> </w:t>
      </w:r>
      <w:r>
        <w:rPr/>
        <w:t>persons),</w:t>
      </w:r>
      <w:r>
        <w:rPr>
          <w:spacing w:val="-11"/>
        </w:rPr>
        <w:t> </w:t>
      </w:r>
      <w:r>
        <w:rPr/>
        <w:t>and</w:t>
      </w:r>
      <w:r>
        <w:rPr>
          <w:spacing w:val="-8"/>
        </w:rPr>
        <w:t> </w:t>
      </w:r>
      <w:r>
        <w:rPr/>
        <w:t>Region</w:t>
      </w:r>
      <w:r>
        <w:rPr>
          <w:spacing w:val="-12"/>
        </w:rPr>
        <w:t> </w:t>
      </w:r>
      <w:r>
        <w:rPr/>
        <w:t>6</w:t>
      </w:r>
      <w:r>
        <w:rPr>
          <w:spacing w:val="-11"/>
        </w:rPr>
        <w:t> </w:t>
      </w:r>
      <w:r>
        <w:rPr/>
        <w:t>-</w:t>
      </w:r>
      <w:r>
        <w:rPr>
          <w:spacing w:val="-10"/>
        </w:rPr>
        <w:t> </w:t>
      </w:r>
      <w:r>
        <w:rPr/>
        <w:t>Cumberland</w:t>
      </w:r>
      <w:r>
        <w:rPr>
          <w:spacing w:val="-7"/>
        </w:rPr>
        <w:t> </w:t>
      </w:r>
      <w:r>
        <w:rPr/>
        <w:t>County (1,363</w:t>
      </w:r>
      <w:r>
        <w:rPr>
          <w:spacing w:val="-14"/>
        </w:rPr>
        <w:t> </w:t>
      </w:r>
      <w:r>
        <w:rPr/>
        <w:t>persons).</w:t>
      </w:r>
      <w:r>
        <w:rPr>
          <w:spacing w:val="-14"/>
        </w:rPr>
        <w:t> </w:t>
      </w:r>
      <w:r>
        <w:rPr/>
        <w:t>The</w:t>
      </w:r>
      <w:r>
        <w:rPr>
          <w:spacing w:val="-13"/>
        </w:rPr>
        <w:t> </w:t>
      </w:r>
      <w:r>
        <w:rPr/>
        <w:t>available</w:t>
      </w:r>
      <w:r>
        <w:rPr>
          <w:spacing w:val="-14"/>
        </w:rPr>
        <w:t> </w:t>
      </w:r>
      <w:r>
        <w:rPr/>
        <w:t>estimates</w:t>
      </w:r>
      <w:r>
        <w:rPr>
          <w:spacing w:val="45"/>
        </w:rPr>
        <w:t> </w:t>
      </w:r>
      <w:r>
        <w:rPr/>
        <w:t>indicate</w:t>
      </w:r>
      <w:r>
        <w:rPr>
          <w:spacing w:val="-14"/>
        </w:rPr>
        <w:t> </w:t>
      </w:r>
      <w:r>
        <w:rPr/>
        <w:t>that</w:t>
      </w:r>
      <w:r>
        <w:rPr>
          <w:spacing w:val="-14"/>
        </w:rPr>
        <w:t> </w:t>
      </w:r>
      <w:r>
        <w:rPr/>
        <w:t>French-speaking</w:t>
      </w:r>
      <w:r>
        <w:rPr>
          <w:spacing w:val="-13"/>
        </w:rPr>
        <w:t> </w:t>
      </w:r>
      <w:r>
        <w:rPr/>
        <w:t>LEP</w:t>
      </w:r>
      <w:r>
        <w:rPr>
          <w:spacing w:val="-14"/>
        </w:rPr>
        <w:t> </w:t>
      </w:r>
      <w:r>
        <w:rPr/>
        <w:t>persons</w:t>
      </w:r>
      <w:r>
        <w:rPr>
          <w:spacing w:val="-13"/>
        </w:rPr>
        <w:t> </w:t>
      </w:r>
      <w:r>
        <w:rPr/>
        <w:t>are</w:t>
      </w:r>
      <w:r>
        <w:rPr>
          <w:spacing w:val="-14"/>
        </w:rPr>
        <w:t> </w:t>
      </w:r>
      <w:r>
        <w:rPr/>
        <w:t>dispersed</w:t>
      </w:r>
      <w:r>
        <w:rPr>
          <w:spacing w:val="-13"/>
        </w:rPr>
        <w:t> </w:t>
      </w:r>
      <w:r>
        <w:rPr/>
        <w:t>throughout Maine, rather than concentrated in communities, although there are populations of French-speaking LEP persons</w:t>
      </w:r>
      <w:r>
        <w:rPr>
          <w:spacing w:val="-6"/>
        </w:rPr>
        <w:t> </w:t>
      </w:r>
      <w:r>
        <w:rPr/>
        <w:t>around</w:t>
      </w:r>
      <w:r>
        <w:rPr>
          <w:spacing w:val="-4"/>
        </w:rPr>
        <w:t> </w:t>
      </w:r>
      <w:r>
        <w:rPr/>
        <w:t>Portland,</w:t>
      </w:r>
      <w:r>
        <w:rPr>
          <w:spacing w:val="-14"/>
        </w:rPr>
        <w:t> </w:t>
      </w:r>
      <w:r>
        <w:rPr/>
        <w:t>Lewiston/Augusta,</w:t>
      </w:r>
      <w:r>
        <w:rPr>
          <w:spacing w:val="-5"/>
        </w:rPr>
        <w:t> </w:t>
      </w:r>
      <w:r>
        <w:rPr/>
        <w:t>and</w:t>
      </w:r>
      <w:r>
        <w:rPr>
          <w:spacing w:val="-1"/>
        </w:rPr>
        <w:t> </w:t>
      </w:r>
      <w:r>
        <w:rPr/>
        <w:t>in</w:t>
      </w:r>
      <w:r>
        <w:rPr>
          <w:spacing w:val="-4"/>
        </w:rPr>
        <w:t> </w:t>
      </w:r>
      <w:r>
        <w:rPr/>
        <w:t>the</w:t>
      </w:r>
      <w:r>
        <w:rPr>
          <w:spacing w:val="-2"/>
        </w:rPr>
        <w:t> </w:t>
      </w:r>
      <w:r>
        <w:rPr/>
        <w:t>St.</w:t>
      </w:r>
      <w:r>
        <w:rPr>
          <w:spacing w:val="-3"/>
        </w:rPr>
        <w:t> </w:t>
      </w:r>
      <w:r>
        <w:rPr/>
        <w:t>John</w:t>
      </w:r>
      <w:r>
        <w:rPr>
          <w:spacing w:val="-4"/>
        </w:rPr>
        <w:t> </w:t>
      </w:r>
      <w:r>
        <w:rPr/>
        <w:t>Valley</w:t>
      </w:r>
      <w:r>
        <w:rPr>
          <w:spacing w:val="-3"/>
        </w:rPr>
        <w:t> </w:t>
      </w:r>
      <w:r>
        <w:rPr/>
        <w:t>of</w:t>
      </w:r>
      <w:r>
        <w:rPr>
          <w:spacing w:val="-1"/>
        </w:rPr>
        <w:t> </w:t>
      </w:r>
      <w:r>
        <w:rPr/>
        <w:t>Aroostook</w:t>
      </w:r>
      <w:r>
        <w:rPr>
          <w:spacing w:val="-4"/>
        </w:rPr>
        <w:t> </w:t>
      </w:r>
      <w:r>
        <w:rPr/>
        <w:t>County.</w:t>
      </w:r>
      <w:r>
        <w:rPr>
          <w:spacing w:val="40"/>
        </w:rPr>
        <w:t> </w:t>
      </w:r>
      <w:r>
        <w:rPr/>
        <w:t>(Figure</w:t>
      </w:r>
      <w:r>
        <w:rPr>
          <w:spacing w:val="-7"/>
        </w:rPr>
        <w:t> </w:t>
      </w:r>
      <w:r>
        <w:rPr/>
        <w:t>1)</w:t>
      </w:r>
    </w:p>
    <w:p>
      <w:pPr>
        <w:pStyle w:val="BodyText"/>
        <w:spacing w:before="6"/>
        <w:rPr>
          <w:sz w:val="19"/>
        </w:rPr>
      </w:pPr>
    </w:p>
    <w:p>
      <w:pPr>
        <w:spacing w:before="0"/>
        <w:ind w:left="240" w:right="0" w:firstLine="0"/>
        <w:jc w:val="both"/>
        <w:rPr>
          <w:b/>
          <w:sz w:val="26"/>
        </w:rPr>
      </w:pPr>
      <w:bookmarkStart w:name="FIGURE 1." w:id="51"/>
      <w:bookmarkEnd w:id="51"/>
      <w:r>
        <w:rPr/>
      </w:r>
      <w:r>
        <w:rPr>
          <w:b/>
          <w:sz w:val="26"/>
        </w:rPr>
        <w:t>FIGURE</w:t>
      </w:r>
      <w:r>
        <w:rPr>
          <w:b/>
          <w:spacing w:val="-12"/>
          <w:sz w:val="26"/>
        </w:rPr>
        <w:t> </w:t>
      </w:r>
      <w:r>
        <w:rPr>
          <w:b/>
          <w:spacing w:val="-5"/>
          <w:sz w:val="26"/>
        </w:rPr>
        <w:t>1.</w:t>
      </w:r>
    </w:p>
    <w:p>
      <w:pPr>
        <w:pStyle w:val="BodyText"/>
        <w:spacing w:before="8"/>
        <w:rPr>
          <w:b/>
          <w:sz w:val="19"/>
        </w:rPr>
      </w:pPr>
      <w:r>
        <w:rPr/>
        <w:drawing>
          <wp:anchor distT="0" distB="0" distL="0" distR="0" allowOverlap="1" layoutInCell="1" locked="0" behindDoc="1" simplePos="0" relativeHeight="487609344">
            <wp:simplePos x="0" y="0"/>
            <wp:positionH relativeFrom="page">
              <wp:posOffset>667385</wp:posOffset>
            </wp:positionH>
            <wp:positionV relativeFrom="paragraph">
              <wp:posOffset>167647</wp:posOffset>
            </wp:positionV>
            <wp:extent cx="4711566" cy="6098571"/>
            <wp:effectExtent l="0" t="0" r="0" b="0"/>
            <wp:wrapTopAndBottom/>
            <wp:docPr id="125" name="Image 125"/>
            <wp:cNvGraphicFramePr>
              <a:graphicFrameLocks/>
            </wp:cNvGraphicFramePr>
            <a:graphic>
              <a:graphicData uri="http://schemas.openxmlformats.org/drawingml/2006/picture">
                <pic:pic>
                  <pic:nvPicPr>
                    <pic:cNvPr id="125" name="Image 125"/>
                    <pic:cNvPicPr/>
                  </pic:nvPicPr>
                  <pic:blipFill>
                    <a:blip r:embed="rId72" cstate="print"/>
                    <a:stretch>
                      <a:fillRect/>
                    </a:stretch>
                  </pic:blipFill>
                  <pic:spPr>
                    <a:xfrm>
                      <a:off x="0" y="0"/>
                      <a:ext cx="4711566" cy="6098571"/>
                    </a:xfrm>
                    <a:prstGeom prst="rect">
                      <a:avLst/>
                    </a:prstGeom>
                  </pic:spPr>
                </pic:pic>
              </a:graphicData>
            </a:graphic>
          </wp:anchor>
        </w:drawing>
      </w:r>
    </w:p>
    <w:p>
      <w:pPr>
        <w:spacing w:after="0"/>
        <w:rPr>
          <w:sz w:val="19"/>
        </w:rPr>
        <w:sectPr>
          <w:pgSz w:w="12240" w:h="15840"/>
          <w:pgMar w:header="0" w:footer="1023" w:top="1000" w:bottom="1260" w:left="600" w:right="500"/>
        </w:sectPr>
      </w:pPr>
    </w:p>
    <w:p>
      <w:pPr>
        <w:pStyle w:val="Heading5"/>
        <w:spacing w:before="31"/>
        <w:ind w:left="120" w:firstLine="0"/>
        <w:jc w:val="both"/>
      </w:pPr>
      <w:r>
        <w:rPr>
          <w:spacing w:val="-2"/>
        </w:rPr>
        <w:t>Spanish</w:t>
      </w:r>
      <w:r>
        <w:rPr>
          <w:spacing w:val="-8"/>
        </w:rPr>
        <w:t> </w:t>
      </w:r>
      <w:r>
        <w:rPr>
          <w:spacing w:val="-2"/>
        </w:rPr>
        <w:t>or</w:t>
      </w:r>
      <w:r>
        <w:rPr>
          <w:spacing w:val="-11"/>
        </w:rPr>
        <w:t> </w:t>
      </w:r>
      <w:r>
        <w:rPr>
          <w:spacing w:val="-2"/>
        </w:rPr>
        <w:t>Spanish</w:t>
      </w:r>
      <w:r>
        <w:rPr>
          <w:spacing w:val="-7"/>
        </w:rPr>
        <w:t> </w:t>
      </w:r>
      <w:r>
        <w:rPr>
          <w:spacing w:val="-2"/>
        </w:rPr>
        <w:t>Creole</w:t>
      </w:r>
    </w:p>
    <w:p>
      <w:pPr>
        <w:pStyle w:val="BodyText"/>
        <w:spacing w:before="1"/>
        <w:rPr>
          <w:b/>
          <w:sz w:val="27"/>
        </w:rPr>
      </w:pPr>
    </w:p>
    <w:p>
      <w:pPr>
        <w:pStyle w:val="BodyText"/>
        <w:spacing w:line="264" w:lineRule="auto"/>
        <w:ind w:left="120" w:right="356"/>
        <w:jc w:val="both"/>
      </w:pPr>
      <w:r>
        <w:rPr/>
        <w:t>ACS estimates indicate that there are 2,712 Spanish or Spanish Creole LEP persons in Maine, the greatest concentrations</w:t>
      </w:r>
      <w:r>
        <w:rPr>
          <w:spacing w:val="-14"/>
        </w:rPr>
        <w:t> </w:t>
      </w:r>
      <w:r>
        <w:rPr/>
        <w:t>of</w:t>
      </w:r>
      <w:r>
        <w:rPr>
          <w:spacing w:val="-14"/>
        </w:rPr>
        <w:t> </w:t>
      </w:r>
      <w:r>
        <w:rPr/>
        <w:t>which</w:t>
      </w:r>
      <w:r>
        <w:rPr>
          <w:spacing w:val="-13"/>
        </w:rPr>
        <w:t> </w:t>
      </w:r>
      <w:r>
        <w:rPr/>
        <w:t>are</w:t>
      </w:r>
      <w:r>
        <w:rPr>
          <w:spacing w:val="-14"/>
        </w:rPr>
        <w:t> </w:t>
      </w:r>
      <w:r>
        <w:rPr/>
        <w:t>located</w:t>
      </w:r>
      <w:r>
        <w:rPr>
          <w:spacing w:val="-13"/>
        </w:rPr>
        <w:t> </w:t>
      </w:r>
      <w:r>
        <w:rPr/>
        <w:t>(in</w:t>
      </w:r>
      <w:r>
        <w:rPr>
          <w:spacing w:val="-13"/>
        </w:rPr>
        <w:t> </w:t>
      </w:r>
      <w:r>
        <w:rPr/>
        <w:t>ascending</w:t>
      </w:r>
      <w:r>
        <w:rPr>
          <w:spacing w:val="-13"/>
        </w:rPr>
        <w:t> </w:t>
      </w:r>
      <w:r>
        <w:rPr/>
        <w:t>order)</w:t>
      </w:r>
      <w:r>
        <w:rPr>
          <w:spacing w:val="-12"/>
        </w:rPr>
        <w:t> </w:t>
      </w:r>
      <w:r>
        <w:rPr/>
        <w:t>as</w:t>
      </w:r>
      <w:r>
        <w:rPr>
          <w:spacing w:val="-14"/>
        </w:rPr>
        <w:t> </w:t>
      </w:r>
      <w:r>
        <w:rPr/>
        <w:t>follows:</w:t>
      </w:r>
      <w:r>
        <w:rPr>
          <w:spacing w:val="-10"/>
        </w:rPr>
        <w:t> </w:t>
      </w:r>
      <w:r>
        <w:rPr/>
        <w:t>Region</w:t>
      </w:r>
      <w:r>
        <w:rPr>
          <w:spacing w:val="-14"/>
        </w:rPr>
        <w:t> </w:t>
      </w:r>
      <w:r>
        <w:rPr/>
        <w:t>4</w:t>
      </w:r>
      <w:r>
        <w:rPr>
          <w:spacing w:val="-13"/>
        </w:rPr>
        <w:t> </w:t>
      </w:r>
      <w:r>
        <w:rPr/>
        <w:t>-</w:t>
      </w:r>
      <w:r>
        <w:rPr>
          <w:spacing w:val="-14"/>
        </w:rPr>
        <w:t> </w:t>
      </w:r>
      <w:r>
        <w:rPr/>
        <w:t>Kennebec</w:t>
      </w:r>
      <w:r>
        <w:rPr>
          <w:spacing w:val="-14"/>
        </w:rPr>
        <w:t> </w:t>
      </w:r>
      <w:r>
        <w:rPr/>
        <w:t>County</w:t>
      </w:r>
      <w:r>
        <w:rPr>
          <w:spacing w:val="-13"/>
        </w:rPr>
        <w:t> </w:t>
      </w:r>
      <w:r>
        <w:rPr/>
        <w:t>(250</w:t>
      </w:r>
      <w:r>
        <w:rPr>
          <w:spacing w:val="-14"/>
        </w:rPr>
        <w:t> </w:t>
      </w:r>
      <w:r>
        <w:rPr/>
        <w:t>persons), Region</w:t>
      </w:r>
      <w:r>
        <w:rPr>
          <w:spacing w:val="-4"/>
        </w:rPr>
        <w:t> </w:t>
      </w:r>
      <w:r>
        <w:rPr/>
        <w:t>3</w:t>
      </w:r>
      <w:r>
        <w:rPr>
          <w:spacing w:val="-4"/>
        </w:rPr>
        <w:t> </w:t>
      </w:r>
      <w:r>
        <w:rPr/>
        <w:t>-</w:t>
      </w:r>
      <w:r>
        <w:rPr>
          <w:spacing w:val="-4"/>
        </w:rPr>
        <w:t> </w:t>
      </w:r>
      <w:r>
        <w:rPr/>
        <w:t>Penobscot</w:t>
      </w:r>
      <w:r>
        <w:rPr>
          <w:spacing w:val="-4"/>
        </w:rPr>
        <w:t> </w:t>
      </w:r>
      <w:r>
        <w:rPr/>
        <w:t>County</w:t>
      </w:r>
      <w:r>
        <w:rPr>
          <w:spacing w:val="-6"/>
        </w:rPr>
        <w:t> </w:t>
      </w:r>
      <w:r>
        <w:rPr/>
        <w:t>(315</w:t>
      </w:r>
      <w:r>
        <w:rPr>
          <w:spacing w:val="-4"/>
        </w:rPr>
        <w:t> </w:t>
      </w:r>
      <w:r>
        <w:rPr/>
        <w:t>persons),</w:t>
      </w:r>
      <w:r>
        <w:rPr>
          <w:spacing w:val="-5"/>
        </w:rPr>
        <w:t> </w:t>
      </w:r>
      <w:r>
        <w:rPr/>
        <w:t>Region</w:t>
      </w:r>
      <w:r>
        <w:rPr>
          <w:spacing w:val="-2"/>
        </w:rPr>
        <w:t> </w:t>
      </w:r>
      <w:r>
        <w:rPr/>
        <w:t>8</w:t>
      </w:r>
      <w:r>
        <w:rPr>
          <w:spacing w:val="-2"/>
        </w:rPr>
        <w:t> </w:t>
      </w:r>
      <w:r>
        <w:rPr/>
        <w:t>-</w:t>
      </w:r>
      <w:r>
        <w:rPr>
          <w:spacing w:val="-2"/>
        </w:rPr>
        <w:t> </w:t>
      </w:r>
      <w:r>
        <w:rPr/>
        <w:t>York</w:t>
      </w:r>
      <w:r>
        <w:rPr>
          <w:spacing w:val="-1"/>
        </w:rPr>
        <w:t> </w:t>
      </w:r>
      <w:r>
        <w:rPr/>
        <w:t>County</w:t>
      </w:r>
      <w:r>
        <w:rPr>
          <w:spacing w:val="-1"/>
        </w:rPr>
        <w:t> </w:t>
      </w:r>
      <w:r>
        <w:rPr/>
        <w:t>(316</w:t>
      </w:r>
      <w:r>
        <w:rPr>
          <w:spacing w:val="-4"/>
        </w:rPr>
        <w:t> </w:t>
      </w:r>
      <w:r>
        <w:rPr/>
        <w:t>persons), and</w:t>
      </w:r>
      <w:r>
        <w:rPr>
          <w:spacing w:val="-2"/>
        </w:rPr>
        <w:t> </w:t>
      </w:r>
      <w:r>
        <w:rPr/>
        <w:t>Region</w:t>
      </w:r>
      <w:r>
        <w:rPr>
          <w:spacing w:val="-2"/>
        </w:rPr>
        <w:t> </w:t>
      </w:r>
      <w:r>
        <w:rPr/>
        <w:t>6</w:t>
      </w:r>
      <w:r>
        <w:rPr>
          <w:spacing w:val="-2"/>
        </w:rPr>
        <w:t> </w:t>
      </w:r>
      <w:r>
        <w:rPr/>
        <w:t>-</w:t>
      </w:r>
      <w:r>
        <w:rPr>
          <w:spacing w:val="-4"/>
        </w:rPr>
        <w:t> </w:t>
      </w:r>
      <w:r>
        <w:rPr/>
        <w:t>Cumberland County (791 persons).</w:t>
      </w:r>
      <w:r>
        <w:rPr>
          <w:spacing w:val="40"/>
        </w:rPr>
        <w:t> </w:t>
      </w:r>
      <w:r>
        <w:rPr/>
        <w:t>The available data would indicate that Spanish-speaking LEP persons are dispersed throughout Maine, rather than</w:t>
      </w:r>
      <w:r>
        <w:rPr>
          <w:spacing w:val="80"/>
        </w:rPr>
        <w:t> </w:t>
      </w:r>
      <w:r>
        <w:rPr/>
        <w:t>concentrated in communities, although the Cumberland County numbers would</w:t>
      </w:r>
      <w:r>
        <w:rPr>
          <w:spacing w:val="-2"/>
        </w:rPr>
        <w:t> </w:t>
      </w:r>
      <w:r>
        <w:rPr/>
        <w:t>suggest</w:t>
      </w:r>
      <w:r>
        <w:rPr>
          <w:spacing w:val="-5"/>
        </w:rPr>
        <w:t> </w:t>
      </w:r>
      <w:r>
        <w:rPr/>
        <w:t>that</w:t>
      </w:r>
      <w:r>
        <w:rPr>
          <w:spacing w:val="80"/>
        </w:rPr>
        <w:t> </w:t>
      </w:r>
      <w:r>
        <w:rPr/>
        <w:t>there</w:t>
      </w:r>
      <w:r>
        <w:rPr>
          <w:spacing w:val="-3"/>
        </w:rPr>
        <w:t> </w:t>
      </w:r>
      <w:r>
        <w:rPr/>
        <w:t>are</w:t>
      </w:r>
      <w:r>
        <w:rPr>
          <w:spacing w:val="-5"/>
        </w:rPr>
        <w:t> </w:t>
      </w:r>
      <w:r>
        <w:rPr/>
        <w:t>likely</w:t>
      </w:r>
      <w:r>
        <w:rPr>
          <w:spacing w:val="-5"/>
        </w:rPr>
        <w:t> </w:t>
      </w:r>
      <w:r>
        <w:rPr/>
        <w:t>a</w:t>
      </w:r>
      <w:r>
        <w:rPr>
          <w:spacing w:val="-6"/>
        </w:rPr>
        <w:t> </w:t>
      </w:r>
      <w:r>
        <w:rPr/>
        <w:t>substantial</w:t>
      </w:r>
      <w:r>
        <w:rPr>
          <w:spacing w:val="-8"/>
        </w:rPr>
        <w:t> </w:t>
      </w:r>
      <w:r>
        <w:rPr/>
        <w:t>number</w:t>
      </w:r>
      <w:r>
        <w:rPr>
          <w:spacing w:val="-5"/>
        </w:rPr>
        <w:t> </w:t>
      </w:r>
      <w:r>
        <w:rPr/>
        <w:t>in</w:t>
      </w:r>
      <w:r>
        <w:rPr>
          <w:spacing w:val="-5"/>
        </w:rPr>
        <w:t> </w:t>
      </w:r>
      <w:r>
        <w:rPr/>
        <w:t>the</w:t>
      </w:r>
      <w:r>
        <w:rPr>
          <w:spacing w:val="-3"/>
        </w:rPr>
        <w:t> </w:t>
      </w:r>
      <w:r>
        <w:rPr/>
        <w:t>City</w:t>
      </w:r>
      <w:r>
        <w:rPr>
          <w:spacing w:val="-7"/>
        </w:rPr>
        <w:t> </w:t>
      </w:r>
      <w:r>
        <w:rPr/>
        <w:t>of</w:t>
      </w:r>
      <w:r>
        <w:rPr>
          <w:spacing w:val="-5"/>
        </w:rPr>
        <w:t> </w:t>
      </w:r>
      <w:r>
        <w:rPr/>
        <w:t>Portland.</w:t>
      </w:r>
      <w:r>
        <w:rPr>
          <w:spacing w:val="-6"/>
        </w:rPr>
        <w:t> </w:t>
      </w:r>
      <w:r>
        <w:rPr/>
        <w:t>(Figure</w:t>
      </w:r>
      <w:r>
        <w:rPr>
          <w:spacing w:val="-6"/>
        </w:rPr>
        <w:t> </w:t>
      </w:r>
      <w:r>
        <w:rPr/>
        <w:t>2).</w:t>
      </w:r>
      <w:r>
        <w:rPr>
          <w:spacing w:val="80"/>
        </w:rPr>
        <w:t> </w:t>
      </w:r>
      <w:r>
        <w:rPr/>
        <w:t>In</w:t>
      </w:r>
      <w:r>
        <w:rPr>
          <w:spacing w:val="-5"/>
        </w:rPr>
        <w:t> </w:t>
      </w:r>
      <w:r>
        <w:rPr/>
        <w:t>addition,</w:t>
      </w:r>
      <w:r>
        <w:rPr>
          <w:spacing w:val="-8"/>
        </w:rPr>
        <w:t> </w:t>
      </w:r>
      <w:r>
        <w:rPr/>
        <w:t>there is a Spanish-speaking community in Washington County.</w:t>
      </w:r>
    </w:p>
    <w:p>
      <w:pPr>
        <w:pStyle w:val="BodyText"/>
        <w:spacing w:before="8"/>
        <w:rPr>
          <w:sz w:val="19"/>
        </w:rPr>
      </w:pPr>
    </w:p>
    <w:p>
      <w:pPr>
        <w:spacing w:before="0"/>
        <w:ind w:left="120" w:right="0" w:firstLine="0"/>
        <w:jc w:val="both"/>
        <w:rPr>
          <w:b/>
          <w:sz w:val="26"/>
        </w:rPr>
      </w:pPr>
      <w:bookmarkStart w:name="FIGURE 2." w:id="52"/>
      <w:bookmarkEnd w:id="52"/>
      <w:r>
        <w:rPr/>
      </w:r>
      <w:r>
        <w:rPr>
          <w:b/>
          <w:sz w:val="26"/>
        </w:rPr>
        <w:t>FIGURE</w:t>
      </w:r>
      <w:r>
        <w:rPr>
          <w:b/>
          <w:spacing w:val="-12"/>
          <w:sz w:val="26"/>
        </w:rPr>
        <w:t> </w:t>
      </w:r>
      <w:r>
        <w:rPr>
          <w:b/>
          <w:spacing w:val="-5"/>
          <w:sz w:val="26"/>
        </w:rPr>
        <w:t>2.</w:t>
      </w:r>
    </w:p>
    <w:p>
      <w:pPr>
        <w:pStyle w:val="BodyText"/>
        <w:spacing w:before="1"/>
        <w:rPr>
          <w:b/>
          <w:sz w:val="5"/>
        </w:rPr>
      </w:pPr>
      <w:r>
        <w:rPr/>
        <w:drawing>
          <wp:anchor distT="0" distB="0" distL="0" distR="0" allowOverlap="1" layoutInCell="1" locked="0" behindDoc="1" simplePos="0" relativeHeight="487609856">
            <wp:simplePos x="0" y="0"/>
            <wp:positionH relativeFrom="page">
              <wp:posOffset>635635</wp:posOffset>
            </wp:positionH>
            <wp:positionV relativeFrom="paragraph">
              <wp:posOffset>54638</wp:posOffset>
            </wp:positionV>
            <wp:extent cx="4812476" cy="6229635"/>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73" cstate="print"/>
                    <a:stretch>
                      <a:fillRect/>
                    </a:stretch>
                  </pic:blipFill>
                  <pic:spPr>
                    <a:xfrm>
                      <a:off x="0" y="0"/>
                      <a:ext cx="4812476" cy="6229635"/>
                    </a:xfrm>
                    <a:prstGeom prst="rect">
                      <a:avLst/>
                    </a:prstGeom>
                  </pic:spPr>
                </pic:pic>
              </a:graphicData>
            </a:graphic>
          </wp:anchor>
        </w:drawing>
      </w:r>
    </w:p>
    <w:p>
      <w:pPr>
        <w:spacing w:after="0"/>
        <w:rPr>
          <w:sz w:val="5"/>
        </w:rPr>
        <w:sectPr>
          <w:pgSz w:w="12240" w:h="15840"/>
          <w:pgMar w:header="0" w:footer="1023" w:top="1000" w:bottom="1260" w:left="600" w:right="500"/>
        </w:sectPr>
      </w:pPr>
    </w:p>
    <w:p>
      <w:pPr>
        <w:pStyle w:val="Heading5"/>
        <w:spacing w:before="31"/>
        <w:ind w:left="240" w:firstLine="0"/>
      </w:pPr>
      <w:r>
        <w:rPr>
          <w:spacing w:val="-2"/>
        </w:rPr>
        <w:t>Chinese</w:t>
      </w:r>
    </w:p>
    <w:p>
      <w:pPr>
        <w:pStyle w:val="BodyText"/>
        <w:spacing w:before="1"/>
        <w:rPr>
          <w:b/>
          <w:sz w:val="27"/>
        </w:rPr>
      </w:pPr>
    </w:p>
    <w:p>
      <w:pPr>
        <w:pStyle w:val="BodyText"/>
        <w:spacing w:line="264" w:lineRule="auto"/>
        <w:ind w:left="239" w:right="351"/>
        <w:jc w:val="both"/>
      </w:pPr>
      <w:r>
        <w:rPr/>
        <w:t>Per</w:t>
      </w:r>
      <w:r>
        <w:rPr>
          <w:spacing w:val="-14"/>
        </w:rPr>
        <w:t> </w:t>
      </w:r>
      <w:r>
        <w:rPr/>
        <w:t>the</w:t>
      </w:r>
      <w:r>
        <w:rPr>
          <w:spacing w:val="-14"/>
        </w:rPr>
        <w:t> </w:t>
      </w:r>
      <w:r>
        <w:rPr/>
        <w:t>ACS</w:t>
      </w:r>
      <w:r>
        <w:rPr>
          <w:spacing w:val="-13"/>
        </w:rPr>
        <w:t> </w:t>
      </w:r>
      <w:r>
        <w:rPr/>
        <w:t>estimates</w:t>
      </w:r>
      <w:r>
        <w:rPr>
          <w:spacing w:val="-14"/>
        </w:rPr>
        <w:t> </w:t>
      </w:r>
      <w:r>
        <w:rPr/>
        <w:t>there</w:t>
      </w:r>
      <w:r>
        <w:rPr>
          <w:spacing w:val="-13"/>
        </w:rPr>
        <w:t> </w:t>
      </w:r>
      <w:r>
        <w:rPr/>
        <w:t>are</w:t>
      </w:r>
      <w:r>
        <w:rPr>
          <w:spacing w:val="-14"/>
        </w:rPr>
        <w:t> </w:t>
      </w:r>
      <w:r>
        <w:rPr/>
        <w:t>1,371</w:t>
      </w:r>
      <w:r>
        <w:rPr>
          <w:spacing w:val="-13"/>
        </w:rPr>
        <w:t> </w:t>
      </w:r>
      <w:r>
        <w:rPr/>
        <w:t>Chinese</w:t>
      </w:r>
      <w:r>
        <w:rPr>
          <w:spacing w:val="-14"/>
        </w:rPr>
        <w:t> </w:t>
      </w:r>
      <w:r>
        <w:rPr/>
        <w:t>LEP</w:t>
      </w:r>
      <w:r>
        <w:rPr>
          <w:spacing w:val="-13"/>
        </w:rPr>
        <w:t> </w:t>
      </w:r>
      <w:r>
        <w:rPr/>
        <w:t>persons</w:t>
      </w:r>
      <w:r>
        <w:rPr>
          <w:spacing w:val="-12"/>
        </w:rPr>
        <w:t> </w:t>
      </w:r>
      <w:r>
        <w:rPr/>
        <w:t>in</w:t>
      </w:r>
      <w:r>
        <w:rPr>
          <w:spacing w:val="-13"/>
        </w:rPr>
        <w:t> </w:t>
      </w:r>
      <w:r>
        <w:rPr/>
        <w:t>Maine,</w:t>
      </w:r>
      <w:r>
        <w:rPr>
          <w:spacing w:val="-14"/>
        </w:rPr>
        <w:t> </w:t>
      </w:r>
      <w:r>
        <w:rPr/>
        <w:t>the</w:t>
      </w:r>
      <w:r>
        <w:rPr>
          <w:spacing w:val="-13"/>
        </w:rPr>
        <w:t> </w:t>
      </w:r>
      <w:r>
        <w:rPr/>
        <w:t>greatest</w:t>
      </w:r>
      <w:r>
        <w:rPr>
          <w:spacing w:val="-9"/>
        </w:rPr>
        <w:t> </w:t>
      </w:r>
      <w:r>
        <w:rPr/>
        <w:t>concentrations</w:t>
      </w:r>
      <w:r>
        <w:rPr>
          <w:spacing w:val="-13"/>
        </w:rPr>
        <w:t> </w:t>
      </w:r>
      <w:r>
        <w:rPr/>
        <w:t>of</w:t>
      </w:r>
      <w:r>
        <w:rPr>
          <w:spacing w:val="-13"/>
        </w:rPr>
        <w:t> </w:t>
      </w:r>
      <w:r>
        <w:rPr/>
        <w:t>which</w:t>
      </w:r>
      <w:r>
        <w:rPr>
          <w:spacing w:val="-12"/>
        </w:rPr>
        <w:t> </w:t>
      </w:r>
      <w:r>
        <w:rPr/>
        <w:t>are located (in ascending order) as follows: Region 3 - Penobscot County (135 persons), Region 4 - Kennebec </w:t>
      </w:r>
      <w:r>
        <w:rPr>
          <w:spacing w:val="-2"/>
        </w:rPr>
        <w:t>County</w:t>
      </w:r>
      <w:r>
        <w:rPr>
          <w:spacing w:val="-8"/>
        </w:rPr>
        <w:t> </w:t>
      </w:r>
      <w:r>
        <w:rPr>
          <w:spacing w:val="-2"/>
        </w:rPr>
        <w:t>(139</w:t>
      </w:r>
      <w:r>
        <w:rPr>
          <w:spacing w:val="-9"/>
        </w:rPr>
        <w:t> </w:t>
      </w:r>
      <w:r>
        <w:rPr>
          <w:spacing w:val="-2"/>
        </w:rPr>
        <w:t>persons),</w:t>
      </w:r>
      <w:r>
        <w:rPr>
          <w:spacing w:val="-7"/>
        </w:rPr>
        <w:t> </w:t>
      </w:r>
      <w:r>
        <w:rPr>
          <w:spacing w:val="-2"/>
        </w:rPr>
        <w:t>Region</w:t>
      </w:r>
      <w:r>
        <w:rPr>
          <w:spacing w:val="-6"/>
        </w:rPr>
        <w:t> </w:t>
      </w:r>
      <w:r>
        <w:rPr>
          <w:spacing w:val="-2"/>
        </w:rPr>
        <w:t>8</w:t>
      </w:r>
      <w:r>
        <w:rPr>
          <w:spacing w:val="-6"/>
        </w:rPr>
        <w:t> </w:t>
      </w:r>
      <w:r>
        <w:rPr>
          <w:spacing w:val="-2"/>
        </w:rPr>
        <w:t>–</w:t>
      </w:r>
      <w:r>
        <w:rPr>
          <w:spacing w:val="-6"/>
        </w:rPr>
        <w:t> </w:t>
      </w:r>
      <w:r>
        <w:rPr>
          <w:spacing w:val="-2"/>
        </w:rPr>
        <w:t>York</w:t>
      </w:r>
      <w:r>
        <w:rPr>
          <w:spacing w:val="-8"/>
        </w:rPr>
        <w:t> </w:t>
      </w:r>
      <w:r>
        <w:rPr>
          <w:spacing w:val="-2"/>
        </w:rPr>
        <w:t>County</w:t>
      </w:r>
      <w:r>
        <w:rPr>
          <w:spacing w:val="-8"/>
        </w:rPr>
        <w:t> </w:t>
      </w:r>
      <w:r>
        <w:rPr>
          <w:spacing w:val="-2"/>
        </w:rPr>
        <w:t>(196</w:t>
      </w:r>
      <w:r>
        <w:rPr>
          <w:spacing w:val="-9"/>
        </w:rPr>
        <w:t> </w:t>
      </w:r>
      <w:r>
        <w:rPr>
          <w:spacing w:val="-2"/>
        </w:rPr>
        <w:t>persons),</w:t>
      </w:r>
      <w:r>
        <w:rPr>
          <w:spacing w:val="-7"/>
        </w:rPr>
        <w:t> </w:t>
      </w:r>
      <w:r>
        <w:rPr>
          <w:spacing w:val="-2"/>
        </w:rPr>
        <w:t>and</w:t>
      </w:r>
      <w:r>
        <w:rPr>
          <w:spacing w:val="-6"/>
        </w:rPr>
        <w:t> </w:t>
      </w:r>
      <w:r>
        <w:rPr>
          <w:spacing w:val="-2"/>
        </w:rPr>
        <w:t>Region</w:t>
      </w:r>
      <w:r>
        <w:rPr>
          <w:spacing w:val="-9"/>
        </w:rPr>
        <w:t> </w:t>
      </w:r>
      <w:r>
        <w:rPr>
          <w:spacing w:val="-2"/>
        </w:rPr>
        <w:t>6</w:t>
      </w:r>
      <w:r>
        <w:rPr>
          <w:spacing w:val="-9"/>
        </w:rPr>
        <w:t> </w:t>
      </w:r>
      <w:r>
        <w:rPr>
          <w:spacing w:val="-2"/>
        </w:rPr>
        <w:t>-</w:t>
      </w:r>
      <w:r>
        <w:rPr>
          <w:spacing w:val="-8"/>
        </w:rPr>
        <w:t> </w:t>
      </w:r>
      <w:r>
        <w:rPr>
          <w:spacing w:val="-2"/>
        </w:rPr>
        <w:t>Cumberland</w:t>
      </w:r>
      <w:r>
        <w:rPr>
          <w:spacing w:val="-6"/>
        </w:rPr>
        <w:t> </w:t>
      </w:r>
      <w:r>
        <w:rPr>
          <w:spacing w:val="-2"/>
        </w:rPr>
        <w:t>County</w:t>
      </w:r>
      <w:r>
        <w:rPr>
          <w:spacing w:val="-8"/>
        </w:rPr>
        <w:t> </w:t>
      </w:r>
      <w:r>
        <w:rPr>
          <w:spacing w:val="-2"/>
        </w:rPr>
        <w:t>(427</w:t>
      </w:r>
      <w:r>
        <w:rPr>
          <w:spacing w:val="-9"/>
        </w:rPr>
        <w:t> </w:t>
      </w:r>
      <w:r>
        <w:rPr>
          <w:spacing w:val="-2"/>
        </w:rPr>
        <w:t>persons). </w:t>
      </w:r>
      <w:r>
        <w:rPr/>
        <w:t>ACS estimates show that Chinese-speaking LEP persons are dispersed throughout Maine, rather than in concentrated communities.</w:t>
      </w:r>
      <w:r>
        <w:rPr>
          <w:spacing w:val="40"/>
        </w:rPr>
        <w:t> </w:t>
      </w:r>
      <w:r>
        <w:rPr/>
        <w:t>However, there are large areas throughout the state with</w:t>
      </w:r>
      <w:r>
        <w:rPr>
          <w:spacing w:val="-1"/>
        </w:rPr>
        <w:t> </w:t>
      </w:r>
      <w:r>
        <w:rPr/>
        <w:t>no Chinese</w:t>
      </w:r>
      <w:r>
        <w:rPr>
          <w:spacing w:val="-1"/>
        </w:rPr>
        <w:t> </w:t>
      </w:r>
      <w:r>
        <w:rPr/>
        <w:t>speakers. (Figure 3)</w:t>
      </w:r>
    </w:p>
    <w:p>
      <w:pPr>
        <w:pStyle w:val="Heading7"/>
        <w:spacing w:line="295" w:lineRule="exact" w:before="121"/>
        <w:ind w:left="240"/>
        <w:jc w:val="both"/>
      </w:pPr>
      <w:r>
        <w:rPr/>
        <w:t>FIGURE</w:t>
      </w:r>
      <w:r>
        <w:rPr>
          <w:spacing w:val="-7"/>
        </w:rPr>
        <w:t> </w:t>
      </w:r>
      <w:r>
        <w:rPr>
          <w:spacing w:val="-5"/>
        </w:rPr>
        <w:t>3.</w:t>
      </w:r>
    </w:p>
    <w:p>
      <w:pPr>
        <w:spacing w:line="266" w:lineRule="exact" w:before="0"/>
        <w:ind w:left="0" w:right="2454" w:firstLine="0"/>
        <w:jc w:val="right"/>
        <w:rPr>
          <w:rFonts w:ascii="Times New Roman"/>
          <w:b/>
          <w:sz w:val="24"/>
        </w:rPr>
      </w:pPr>
      <w:r>
        <w:rPr/>
        <w:drawing>
          <wp:anchor distT="0" distB="0" distL="0" distR="0" allowOverlap="1" layoutInCell="1" locked="0" behindDoc="0" simplePos="0" relativeHeight="15751168">
            <wp:simplePos x="0" y="0"/>
            <wp:positionH relativeFrom="page">
              <wp:posOffset>789940</wp:posOffset>
            </wp:positionH>
            <wp:positionV relativeFrom="paragraph">
              <wp:posOffset>84500</wp:posOffset>
            </wp:positionV>
            <wp:extent cx="4976493" cy="6442073"/>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74" cstate="print"/>
                    <a:stretch>
                      <a:fillRect/>
                    </a:stretch>
                  </pic:blipFill>
                  <pic:spPr>
                    <a:xfrm>
                      <a:off x="0" y="0"/>
                      <a:ext cx="4976493" cy="6442073"/>
                    </a:xfrm>
                    <a:prstGeom prst="rect">
                      <a:avLst/>
                    </a:prstGeom>
                  </pic:spPr>
                </pic:pic>
              </a:graphicData>
            </a:graphic>
          </wp:anchor>
        </w:drawing>
      </w:r>
      <w:r>
        <w:rPr>
          <w:rFonts w:ascii="Times New Roman"/>
          <w:b/>
          <w:sz w:val="24"/>
        </w:rPr>
        <w:t>.</w:t>
      </w:r>
    </w:p>
    <w:p>
      <w:pPr>
        <w:spacing w:after="0" w:line="266" w:lineRule="exact"/>
        <w:jc w:val="right"/>
        <w:rPr>
          <w:rFonts w:ascii="Times New Roman"/>
          <w:sz w:val="24"/>
        </w:rPr>
        <w:sectPr>
          <w:pgSz w:w="12240" w:h="15840"/>
          <w:pgMar w:header="0" w:footer="1023" w:top="1000" w:bottom="1260" w:left="600" w:right="500"/>
        </w:sectPr>
      </w:pPr>
    </w:p>
    <w:p>
      <w:pPr>
        <w:pStyle w:val="BodyText"/>
        <w:spacing w:line="264" w:lineRule="auto" w:before="35"/>
        <w:ind w:left="120" w:right="436"/>
        <w:jc w:val="both"/>
      </w:pPr>
      <w:r>
        <w:rPr/>
        <w:t>MaineDOT</w:t>
      </w:r>
      <w:r>
        <w:rPr>
          <w:spacing w:val="-12"/>
        </w:rPr>
        <w:t> </w:t>
      </w:r>
      <w:r>
        <w:rPr/>
        <w:t>monitors</w:t>
      </w:r>
      <w:r>
        <w:rPr>
          <w:spacing w:val="-12"/>
        </w:rPr>
        <w:t> </w:t>
      </w:r>
      <w:r>
        <w:rPr/>
        <w:t>new</w:t>
      </w:r>
      <w:r>
        <w:rPr>
          <w:spacing w:val="-11"/>
        </w:rPr>
        <w:t> </w:t>
      </w:r>
      <w:r>
        <w:rPr/>
        <w:t>data</w:t>
      </w:r>
      <w:r>
        <w:rPr>
          <w:spacing w:val="-14"/>
        </w:rPr>
        <w:t> </w:t>
      </w:r>
      <w:r>
        <w:rPr/>
        <w:t>to</w:t>
      </w:r>
      <w:r>
        <w:rPr>
          <w:spacing w:val="-11"/>
        </w:rPr>
        <w:t> </w:t>
      </w:r>
      <w:r>
        <w:rPr/>
        <w:t>ensure</w:t>
      </w:r>
      <w:r>
        <w:rPr>
          <w:spacing w:val="-13"/>
        </w:rPr>
        <w:t> </w:t>
      </w:r>
      <w:r>
        <w:rPr/>
        <w:t>that,</w:t>
      </w:r>
      <w:r>
        <w:rPr>
          <w:spacing w:val="-14"/>
        </w:rPr>
        <w:t> </w:t>
      </w:r>
      <w:r>
        <w:rPr/>
        <w:t>if</w:t>
      </w:r>
      <w:r>
        <w:rPr>
          <w:spacing w:val="-13"/>
        </w:rPr>
        <w:t> </w:t>
      </w:r>
      <w:r>
        <w:rPr/>
        <w:t>thresholds</w:t>
      </w:r>
      <w:r>
        <w:rPr>
          <w:spacing w:val="-12"/>
        </w:rPr>
        <w:t> </w:t>
      </w:r>
      <w:r>
        <w:rPr/>
        <w:t>are</w:t>
      </w:r>
      <w:r>
        <w:rPr>
          <w:spacing w:val="-12"/>
        </w:rPr>
        <w:t> </w:t>
      </w:r>
      <w:r>
        <w:rPr/>
        <w:t>exceeded</w:t>
      </w:r>
      <w:r>
        <w:rPr>
          <w:spacing w:val="-11"/>
        </w:rPr>
        <w:t> </w:t>
      </w:r>
      <w:r>
        <w:rPr/>
        <w:t>in</w:t>
      </w:r>
      <w:r>
        <w:rPr>
          <w:spacing w:val="-13"/>
        </w:rPr>
        <w:t> </w:t>
      </w:r>
      <w:r>
        <w:rPr/>
        <w:t>non-English</w:t>
      </w:r>
      <w:r>
        <w:rPr>
          <w:spacing w:val="-11"/>
        </w:rPr>
        <w:t> </w:t>
      </w:r>
      <w:r>
        <w:rPr/>
        <w:t>language</w:t>
      </w:r>
      <w:r>
        <w:rPr>
          <w:spacing w:val="-13"/>
        </w:rPr>
        <w:t> </w:t>
      </w:r>
      <w:r>
        <w:rPr/>
        <w:t>populations, processes</w:t>
      </w:r>
      <w:r>
        <w:rPr>
          <w:spacing w:val="-3"/>
        </w:rPr>
        <w:t> </w:t>
      </w:r>
      <w:r>
        <w:rPr/>
        <w:t>will</w:t>
      </w:r>
      <w:r>
        <w:rPr>
          <w:spacing w:val="-1"/>
        </w:rPr>
        <w:t> </w:t>
      </w:r>
      <w:r>
        <w:rPr/>
        <w:t>be put into place</w:t>
      </w:r>
      <w:r>
        <w:rPr>
          <w:spacing w:val="-3"/>
        </w:rPr>
        <w:t> </w:t>
      </w:r>
      <w:r>
        <w:rPr/>
        <w:t>to</w:t>
      </w:r>
      <w:r>
        <w:rPr>
          <w:spacing w:val="-3"/>
        </w:rPr>
        <w:t> </w:t>
      </w:r>
      <w:r>
        <w:rPr/>
        <w:t>address</w:t>
      </w:r>
      <w:r>
        <w:rPr>
          <w:spacing w:val="-3"/>
        </w:rPr>
        <w:t> </w:t>
      </w:r>
      <w:r>
        <w:rPr/>
        <w:t>any</w:t>
      </w:r>
      <w:r>
        <w:rPr>
          <w:spacing w:val="-1"/>
        </w:rPr>
        <w:t> </w:t>
      </w:r>
      <w:r>
        <w:rPr/>
        <w:t>language discrimination</w:t>
      </w:r>
      <w:r>
        <w:rPr>
          <w:spacing w:val="-2"/>
        </w:rPr>
        <w:t> </w:t>
      </w:r>
      <w:r>
        <w:rPr/>
        <w:t>that</w:t>
      </w:r>
      <w:r>
        <w:rPr>
          <w:spacing w:val="-2"/>
        </w:rPr>
        <w:t> </w:t>
      </w:r>
      <w:r>
        <w:rPr/>
        <w:t>may</w:t>
      </w:r>
      <w:r>
        <w:rPr>
          <w:spacing w:val="-3"/>
        </w:rPr>
        <w:t> </w:t>
      </w:r>
      <w:r>
        <w:rPr/>
        <w:t>exist.</w:t>
      </w:r>
      <w:r>
        <w:rPr>
          <w:spacing w:val="40"/>
        </w:rPr>
        <w:t> </w:t>
      </w:r>
      <w:r>
        <w:rPr/>
        <w:t>Given</w:t>
      </w:r>
      <w:r>
        <w:rPr>
          <w:spacing w:val="-2"/>
        </w:rPr>
        <w:t> </w:t>
      </w:r>
      <w:r>
        <w:rPr/>
        <w:t>the increase in the</w:t>
      </w:r>
      <w:r>
        <w:rPr>
          <w:spacing w:val="-4"/>
        </w:rPr>
        <w:t> </w:t>
      </w:r>
      <w:r>
        <w:rPr/>
        <w:t>LEP</w:t>
      </w:r>
      <w:r>
        <w:rPr>
          <w:spacing w:val="-3"/>
        </w:rPr>
        <w:t> </w:t>
      </w:r>
      <w:r>
        <w:rPr/>
        <w:t>populations</w:t>
      </w:r>
      <w:r>
        <w:rPr>
          <w:spacing w:val="-4"/>
        </w:rPr>
        <w:t> </w:t>
      </w:r>
      <w:r>
        <w:rPr/>
        <w:t>discussed</w:t>
      </w:r>
      <w:r>
        <w:rPr>
          <w:spacing w:val="-3"/>
        </w:rPr>
        <w:t> </w:t>
      </w:r>
      <w:r>
        <w:rPr/>
        <w:t>above,</w:t>
      </w:r>
      <w:r>
        <w:rPr>
          <w:spacing w:val="-6"/>
        </w:rPr>
        <w:t> </w:t>
      </w:r>
      <w:r>
        <w:rPr/>
        <w:t>MaineDOT</w:t>
      </w:r>
      <w:r>
        <w:rPr>
          <w:spacing w:val="-4"/>
        </w:rPr>
        <w:t> </w:t>
      </w:r>
      <w:r>
        <w:rPr/>
        <w:t>will</w:t>
      </w:r>
      <w:r>
        <w:rPr>
          <w:spacing w:val="-6"/>
        </w:rPr>
        <w:t> </w:t>
      </w:r>
      <w:r>
        <w:rPr/>
        <w:t>need</w:t>
      </w:r>
      <w:r>
        <w:rPr>
          <w:spacing w:val="-5"/>
        </w:rPr>
        <w:t> </w:t>
      </w:r>
      <w:r>
        <w:rPr/>
        <w:t>to</w:t>
      </w:r>
      <w:r>
        <w:rPr>
          <w:spacing w:val="-4"/>
        </w:rPr>
        <w:t> </w:t>
      </w:r>
      <w:r>
        <w:rPr/>
        <w:t>ensure,</w:t>
      </w:r>
      <w:r>
        <w:rPr>
          <w:spacing w:val="-4"/>
        </w:rPr>
        <w:t> </w:t>
      </w:r>
      <w:r>
        <w:rPr/>
        <w:t>at</w:t>
      </w:r>
      <w:r>
        <w:rPr>
          <w:spacing w:val="-3"/>
        </w:rPr>
        <w:t> </w:t>
      </w:r>
      <w:r>
        <w:rPr/>
        <w:t>a</w:t>
      </w:r>
      <w:r>
        <w:rPr>
          <w:spacing w:val="-6"/>
        </w:rPr>
        <w:t> </w:t>
      </w:r>
      <w:r>
        <w:rPr/>
        <w:t>minimum,</w:t>
      </w:r>
      <w:r>
        <w:rPr>
          <w:spacing w:val="-4"/>
        </w:rPr>
        <w:t> </w:t>
      </w:r>
      <w:r>
        <w:rPr/>
        <w:t>provision</w:t>
      </w:r>
      <w:r>
        <w:rPr>
          <w:spacing w:val="-5"/>
        </w:rPr>
        <w:t> </w:t>
      </w:r>
      <w:r>
        <w:rPr/>
        <w:t>of</w:t>
      </w:r>
      <w:r>
        <w:rPr>
          <w:spacing w:val="-3"/>
        </w:rPr>
        <w:t> </w:t>
      </w:r>
      <w:r>
        <w:rPr/>
        <w:t>appropriate translation efforts, particularly in terms of public outreach and the provision of vital documents that are available in languages spoken by the six language groups.</w:t>
      </w:r>
      <w:r>
        <w:rPr>
          <w:spacing w:val="40"/>
        </w:rPr>
        <w:t> </w:t>
      </w:r>
      <w:r>
        <w:rPr/>
        <w:t>MaineDOT’s 2023 Four Factor Analysis and information on translation and diversity services by county can be found on our website at: </w:t>
      </w:r>
      <w:hyperlink r:id="rId9">
        <w:r>
          <w:rPr>
            <w:color w:val="0000FF"/>
            <w:spacing w:val="-2"/>
            <w:u w:val="single" w:color="0000FF"/>
          </w:rPr>
          <w:t>https://www.maine.gov/mdot/civilrights/title-vi/</w:t>
        </w:r>
      </w:hyperlink>
      <w:r>
        <w:rPr>
          <w:spacing w:val="-2"/>
        </w:rPr>
        <w:t>.</w:t>
      </w:r>
    </w:p>
    <w:p>
      <w:pPr>
        <w:pStyle w:val="BodyText"/>
        <w:spacing w:before="4"/>
      </w:pPr>
    </w:p>
    <w:p>
      <w:pPr>
        <w:pStyle w:val="BodyText"/>
        <w:spacing w:line="264" w:lineRule="auto" w:before="51"/>
        <w:ind w:left="120" w:right="892"/>
        <w:jc w:val="both"/>
      </w:pPr>
      <w:r>
        <w:rPr>
          <w:spacing w:val="-2"/>
        </w:rPr>
        <w:t>Largely</w:t>
      </w:r>
      <w:r>
        <w:rPr>
          <w:spacing w:val="-12"/>
        </w:rPr>
        <w:t> </w:t>
      </w:r>
      <w:r>
        <w:rPr>
          <w:spacing w:val="-2"/>
        </w:rPr>
        <w:t>and</w:t>
      </w:r>
      <w:r>
        <w:rPr>
          <w:spacing w:val="-12"/>
        </w:rPr>
        <w:t> </w:t>
      </w:r>
      <w:r>
        <w:rPr>
          <w:spacing w:val="-2"/>
        </w:rPr>
        <w:t>consistently,</w:t>
      </w:r>
      <w:r>
        <w:rPr>
          <w:spacing w:val="-11"/>
        </w:rPr>
        <w:t> </w:t>
      </w:r>
      <w:r>
        <w:rPr>
          <w:spacing w:val="-2"/>
        </w:rPr>
        <w:t>identifying</w:t>
      </w:r>
      <w:r>
        <w:rPr>
          <w:spacing w:val="-12"/>
        </w:rPr>
        <w:t> </w:t>
      </w:r>
      <w:r>
        <w:rPr>
          <w:spacing w:val="-2"/>
        </w:rPr>
        <w:t>LEP</w:t>
      </w:r>
      <w:r>
        <w:rPr>
          <w:spacing w:val="-11"/>
        </w:rPr>
        <w:t> </w:t>
      </w:r>
      <w:r>
        <w:rPr>
          <w:spacing w:val="-2"/>
        </w:rPr>
        <w:t>populations</w:t>
      </w:r>
      <w:r>
        <w:rPr>
          <w:spacing w:val="-7"/>
        </w:rPr>
        <w:t> </w:t>
      </w:r>
      <w:r>
        <w:rPr>
          <w:spacing w:val="-2"/>
        </w:rPr>
        <w:t>in</w:t>
      </w:r>
      <w:r>
        <w:rPr>
          <w:spacing w:val="-10"/>
        </w:rPr>
        <w:t> </w:t>
      </w:r>
      <w:r>
        <w:rPr>
          <w:spacing w:val="-2"/>
        </w:rPr>
        <w:t>Maine’s</w:t>
      </w:r>
      <w:r>
        <w:rPr>
          <w:spacing w:val="-12"/>
        </w:rPr>
        <w:t> </w:t>
      </w:r>
      <w:r>
        <w:rPr>
          <w:spacing w:val="-2"/>
        </w:rPr>
        <w:t>public</w:t>
      </w:r>
      <w:r>
        <w:rPr>
          <w:spacing w:val="-12"/>
        </w:rPr>
        <w:t> </w:t>
      </w:r>
      <w:r>
        <w:rPr>
          <w:spacing w:val="-2"/>
        </w:rPr>
        <w:t>transit</w:t>
      </w:r>
      <w:r>
        <w:rPr>
          <w:spacing w:val="-7"/>
        </w:rPr>
        <w:t> </w:t>
      </w:r>
      <w:r>
        <w:rPr>
          <w:spacing w:val="-2"/>
        </w:rPr>
        <w:t>service</w:t>
      </w:r>
      <w:r>
        <w:rPr>
          <w:spacing w:val="-8"/>
        </w:rPr>
        <w:t> </w:t>
      </w:r>
      <w:r>
        <w:rPr>
          <w:spacing w:val="-2"/>
        </w:rPr>
        <w:t>areas</w:t>
      </w:r>
      <w:r>
        <w:rPr>
          <w:spacing w:val="-7"/>
        </w:rPr>
        <w:t> </w:t>
      </w:r>
      <w:r>
        <w:rPr>
          <w:spacing w:val="-2"/>
        </w:rPr>
        <w:t>is</w:t>
      </w:r>
      <w:r>
        <w:rPr>
          <w:spacing w:val="-9"/>
        </w:rPr>
        <w:t> </w:t>
      </w:r>
      <w:r>
        <w:rPr>
          <w:spacing w:val="-2"/>
        </w:rPr>
        <w:t>accomplished </w:t>
      </w:r>
      <w:r>
        <w:rPr/>
        <w:t>through</w:t>
      </w:r>
      <w:r>
        <w:rPr>
          <w:spacing w:val="-5"/>
        </w:rPr>
        <w:t> </w:t>
      </w:r>
      <w:r>
        <w:rPr/>
        <w:t>census</w:t>
      </w:r>
      <w:r>
        <w:rPr>
          <w:spacing w:val="-6"/>
        </w:rPr>
        <w:t> </w:t>
      </w:r>
      <w:r>
        <w:rPr/>
        <w:t>data,</w:t>
      </w:r>
      <w:r>
        <w:rPr>
          <w:spacing w:val="-3"/>
        </w:rPr>
        <w:t> </w:t>
      </w:r>
      <w:r>
        <w:rPr/>
        <w:t>communication</w:t>
      </w:r>
      <w:r>
        <w:rPr>
          <w:spacing w:val="-4"/>
        </w:rPr>
        <w:t> </w:t>
      </w:r>
      <w:r>
        <w:rPr/>
        <w:t>with</w:t>
      </w:r>
      <w:r>
        <w:rPr>
          <w:spacing w:val="-4"/>
        </w:rPr>
        <w:t> </w:t>
      </w:r>
      <w:r>
        <w:rPr/>
        <w:t>friends</w:t>
      </w:r>
      <w:r>
        <w:rPr>
          <w:spacing w:val="-4"/>
        </w:rPr>
        <w:t> </w:t>
      </w:r>
      <w:r>
        <w:rPr/>
        <w:t>and</w:t>
      </w:r>
      <w:r>
        <w:rPr>
          <w:spacing w:val="-4"/>
        </w:rPr>
        <w:t> </w:t>
      </w:r>
      <w:r>
        <w:rPr/>
        <w:t>family</w:t>
      </w:r>
      <w:r>
        <w:rPr>
          <w:spacing w:val="-9"/>
        </w:rPr>
        <w:t> </w:t>
      </w:r>
      <w:r>
        <w:rPr/>
        <w:t>members</w:t>
      </w:r>
      <w:r>
        <w:rPr>
          <w:spacing w:val="-8"/>
        </w:rPr>
        <w:t> </w:t>
      </w:r>
      <w:r>
        <w:rPr/>
        <w:t>who</w:t>
      </w:r>
      <w:r>
        <w:rPr>
          <w:spacing w:val="-5"/>
        </w:rPr>
        <w:t> </w:t>
      </w:r>
      <w:r>
        <w:rPr/>
        <w:t>work</w:t>
      </w:r>
      <w:r>
        <w:rPr>
          <w:spacing w:val="77"/>
        </w:rPr>
        <w:t> </w:t>
      </w:r>
      <w:r>
        <w:rPr/>
        <w:t>with</w:t>
      </w:r>
      <w:r>
        <w:rPr>
          <w:spacing w:val="-5"/>
        </w:rPr>
        <w:t> </w:t>
      </w:r>
      <w:r>
        <w:rPr/>
        <w:t>LEP</w:t>
      </w:r>
      <w:r>
        <w:rPr>
          <w:spacing w:val="-13"/>
        </w:rPr>
        <w:t> </w:t>
      </w:r>
      <w:r>
        <w:rPr/>
        <w:t>populations, communication with community organizations (e.g. Healthy</w:t>
      </w:r>
      <w:r>
        <w:rPr>
          <w:spacing w:val="40"/>
        </w:rPr>
        <w:t> </w:t>
      </w:r>
      <w:r>
        <w:rPr/>
        <w:t>Androscoggin), professional and medical services, schools, churches, neighborhood gathering spaces, the Maine departments of Transportation, Education, Health and Human Services, and</w:t>
      </w:r>
      <w:r>
        <w:rPr>
          <w:spacing w:val="40"/>
        </w:rPr>
        <w:t> </w:t>
      </w:r>
      <w:r>
        <w:rPr/>
        <w:t>through LogistiCare, a private, for profit manager of non- emergency medical transportation.</w:t>
      </w:r>
      <w:r>
        <w:rPr>
          <w:spacing w:val="-1"/>
        </w:rPr>
        <w:t> </w:t>
      </w:r>
      <w:r>
        <w:rPr/>
        <w:t>Penquis, a community</w:t>
      </w:r>
      <w:r>
        <w:rPr>
          <w:spacing w:val="-1"/>
        </w:rPr>
        <w:t> </w:t>
      </w:r>
      <w:r>
        <w:rPr/>
        <w:t>action agency</w:t>
      </w:r>
      <w:r>
        <w:rPr>
          <w:spacing w:val="-1"/>
        </w:rPr>
        <w:t> </w:t>
      </w:r>
      <w:r>
        <w:rPr/>
        <w:t>serving Penobscot, Piscataquis and</w:t>
      </w:r>
      <w:r>
        <w:rPr>
          <w:spacing w:val="-12"/>
        </w:rPr>
        <w:t> </w:t>
      </w:r>
      <w:r>
        <w:rPr/>
        <w:t>Knox</w:t>
      </w:r>
      <w:r>
        <w:rPr>
          <w:spacing w:val="-11"/>
        </w:rPr>
        <w:t> </w:t>
      </w:r>
      <w:r>
        <w:rPr/>
        <w:t>counties,</w:t>
      </w:r>
      <w:r>
        <w:rPr>
          <w:spacing w:val="-10"/>
        </w:rPr>
        <w:t> </w:t>
      </w:r>
      <w:r>
        <w:rPr/>
        <w:t>also</w:t>
      </w:r>
      <w:r>
        <w:rPr>
          <w:spacing w:val="-10"/>
        </w:rPr>
        <w:t> </w:t>
      </w:r>
      <w:r>
        <w:rPr/>
        <w:t>conducts</w:t>
      </w:r>
      <w:r>
        <w:rPr>
          <w:spacing w:val="-11"/>
        </w:rPr>
        <w:t> </w:t>
      </w:r>
      <w:r>
        <w:rPr/>
        <w:t>many</w:t>
      </w:r>
      <w:r>
        <w:rPr>
          <w:spacing w:val="-13"/>
        </w:rPr>
        <w:t> </w:t>
      </w:r>
      <w:r>
        <w:rPr/>
        <w:t>transportation</w:t>
      </w:r>
      <w:r>
        <w:rPr>
          <w:spacing w:val="-11"/>
        </w:rPr>
        <w:t> </w:t>
      </w:r>
      <w:r>
        <w:rPr/>
        <w:t>presentations</w:t>
      </w:r>
      <w:r>
        <w:rPr>
          <w:spacing w:val="-13"/>
        </w:rPr>
        <w:t> </w:t>
      </w:r>
      <w:r>
        <w:rPr/>
        <w:t>throughout</w:t>
      </w:r>
      <w:r>
        <w:rPr>
          <w:spacing w:val="-9"/>
        </w:rPr>
        <w:t> </w:t>
      </w:r>
      <w:r>
        <w:rPr/>
        <w:t>the</w:t>
      </w:r>
      <w:r>
        <w:rPr>
          <w:spacing w:val="-10"/>
        </w:rPr>
        <w:t> </w:t>
      </w:r>
      <w:r>
        <w:rPr/>
        <w:t>year</w:t>
      </w:r>
      <w:r>
        <w:rPr>
          <w:spacing w:val="-12"/>
        </w:rPr>
        <w:t> </w:t>
      </w:r>
      <w:r>
        <w:rPr/>
        <w:t>to</w:t>
      </w:r>
      <w:r>
        <w:rPr>
          <w:spacing w:val="-10"/>
        </w:rPr>
        <w:t> </w:t>
      </w:r>
      <w:r>
        <w:rPr/>
        <w:t>reach</w:t>
      </w:r>
      <w:r>
        <w:rPr>
          <w:spacing w:val="-12"/>
        </w:rPr>
        <w:t> </w:t>
      </w:r>
      <w:r>
        <w:rPr/>
        <w:t>out</w:t>
      </w:r>
      <w:r>
        <w:rPr>
          <w:spacing w:val="-9"/>
        </w:rPr>
        <w:t> </w:t>
      </w:r>
      <w:r>
        <w:rPr/>
        <w:t>to all who are interested in transportation.</w:t>
      </w:r>
    </w:p>
    <w:p>
      <w:pPr>
        <w:pStyle w:val="BodyText"/>
        <w:spacing w:before="10"/>
        <w:rPr>
          <w:sz w:val="33"/>
        </w:rPr>
      </w:pPr>
    </w:p>
    <w:p>
      <w:pPr>
        <w:pStyle w:val="Heading8"/>
        <w:spacing w:line="264" w:lineRule="auto"/>
        <w:ind w:left="120"/>
        <w:jc w:val="left"/>
        <w:rPr>
          <w:u w:val="none"/>
        </w:rPr>
      </w:pPr>
      <w:bookmarkStart w:name="Factor 2: The Frequency with Which LEP I" w:id="53"/>
      <w:bookmarkEnd w:id="53"/>
      <w:r>
        <w:rPr>
          <w:b w:val="0"/>
          <w:u w:val="none"/>
        </w:rPr>
      </w:r>
      <w:r>
        <w:rPr>
          <w:u w:val="single"/>
        </w:rPr>
        <w:t>FACTOR</w:t>
      </w:r>
      <w:r>
        <w:rPr>
          <w:spacing w:val="40"/>
          <w:u w:val="single"/>
        </w:rPr>
        <w:t> </w:t>
      </w:r>
      <w:r>
        <w:rPr>
          <w:u w:val="single"/>
        </w:rPr>
        <w:t>2:</w:t>
      </w:r>
      <w:r>
        <w:rPr>
          <w:spacing w:val="36"/>
          <w:u w:val="single"/>
        </w:rPr>
        <w:t> </w:t>
      </w:r>
      <w:r>
        <w:rPr>
          <w:u w:val="single"/>
        </w:rPr>
        <w:t>THE</w:t>
      </w:r>
      <w:r>
        <w:rPr>
          <w:spacing w:val="40"/>
          <w:u w:val="single"/>
        </w:rPr>
        <w:t> </w:t>
      </w:r>
      <w:r>
        <w:rPr>
          <w:u w:val="single"/>
        </w:rPr>
        <w:t>FREQUENCY</w:t>
      </w:r>
      <w:r>
        <w:rPr>
          <w:spacing w:val="40"/>
          <w:u w:val="single"/>
        </w:rPr>
        <w:t> </w:t>
      </w:r>
      <w:r>
        <w:rPr>
          <w:u w:val="single"/>
        </w:rPr>
        <w:t>WITH</w:t>
      </w:r>
      <w:r>
        <w:rPr>
          <w:spacing w:val="37"/>
          <w:u w:val="single"/>
        </w:rPr>
        <w:t> </w:t>
      </w:r>
      <w:r>
        <w:rPr>
          <w:u w:val="single"/>
        </w:rPr>
        <w:t>WHICH</w:t>
      </w:r>
      <w:r>
        <w:rPr>
          <w:spacing w:val="40"/>
          <w:u w:val="single"/>
        </w:rPr>
        <w:t> </w:t>
      </w:r>
      <w:r>
        <w:rPr>
          <w:u w:val="single"/>
        </w:rPr>
        <w:t>LEP</w:t>
      </w:r>
      <w:r>
        <w:rPr>
          <w:spacing w:val="25"/>
          <w:u w:val="single"/>
        </w:rPr>
        <w:t> </w:t>
      </w:r>
      <w:r>
        <w:rPr>
          <w:u w:val="single"/>
        </w:rPr>
        <w:t>INDIVIDUALS</w:t>
      </w:r>
      <w:r>
        <w:rPr>
          <w:spacing w:val="40"/>
          <w:u w:val="single"/>
        </w:rPr>
        <w:t> </w:t>
      </w:r>
      <w:r>
        <w:rPr>
          <w:u w:val="single"/>
        </w:rPr>
        <w:t>COME</w:t>
      </w:r>
      <w:r>
        <w:rPr>
          <w:spacing w:val="40"/>
          <w:u w:val="single"/>
        </w:rPr>
        <w:t> </w:t>
      </w:r>
      <w:r>
        <w:rPr>
          <w:u w:val="single"/>
        </w:rPr>
        <w:t>INTO</w:t>
      </w:r>
      <w:r>
        <w:rPr>
          <w:spacing w:val="80"/>
          <w:u w:val="single"/>
        </w:rPr>
        <w:t> </w:t>
      </w:r>
      <w:r>
        <w:rPr>
          <w:u w:val="single"/>
        </w:rPr>
        <w:t>CONTACT</w:t>
      </w:r>
      <w:r>
        <w:rPr>
          <w:spacing w:val="40"/>
          <w:u w:val="single"/>
        </w:rPr>
        <w:t> </w:t>
      </w:r>
      <w:r>
        <w:rPr>
          <w:u w:val="single"/>
        </w:rPr>
        <w:t>WITH</w:t>
      </w:r>
      <w:r>
        <w:rPr>
          <w:spacing w:val="40"/>
          <w:u w:val="single"/>
        </w:rPr>
        <w:t> </w:t>
      </w:r>
      <w:r>
        <w:rPr>
          <w:u w:val="single"/>
        </w:rPr>
        <w:t>MAINE</w:t>
      </w:r>
      <w:r>
        <w:rPr>
          <w:spacing w:val="40"/>
          <w:u w:val="single"/>
        </w:rPr>
        <w:t> </w:t>
      </w:r>
      <w:r>
        <w:rPr>
          <w:u w:val="single"/>
        </w:rPr>
        <w:t>DOT</w:t>
      </w:r>
      <w:r>
        <w:rPr>
          <w:u w:val="none"/>
        </w:rPr>
        <w:t> </w:t>
      </w:r>
      <w:r>
        <w:rPr>
          <w:u w:val="single"/>
        </w:rPr>
        <w:t>PROGRAMS, ACTIVITIES, AND SERVICES</w:t>
      </w:r>
    </w:p>
    <w:p>
      <w:pPr>
        <w:pStyle w:val="BodyText"/>
        <w:spacing w:before="1"/>
        <w:rPr>
          <w:b/>
          <w:sz w:val="14"/>
        </w:rPr>
      </w:pPr>
    </w:p>
    <w:p>
      <w:pPr>
        <w:pStyle w:val="BodyText"/>
        <w:spacing w:before="52"/>
        <w:ind w:left="120" w:right="214"/>
        <w:jc w:val="both"/>
      </w:pPr>
      <w:r>
        <w:rPr/>
        <w:t>Given</w:t>
      </w:r>
      <w:r>
        <w:rPr>
          <w:spacing w:val="-10"/>
        </w:rPr>
        <w:t> </w:t>
      </w:r>
      <w:r>
        <w:rPr/>
        <w:t>that</w:t>
      </w:r>
      <w:r>
        <w:rPr>
          <w:spacing w:val="-10"/>
        </w:rPr>
        <w:t> </w:t>
      </w:r>
      <w:r>
        <w:rPr/>
        <w:t>MaineDOT</w:t>
      </w:r>
      <w:r>
        <w:rPr>
          <w:spacing w:val="-11"/>
        </w:rPr>
        <w:t> </w:t>
      </w:r>
      <w:r>
        <w:rPr/>
        <w:t>is</w:t>
      </w:r>
      <w:r>
        <w:rPr>
          <w:spacing w:val="-11"/>
        </w:rPr>
        <w:t> </w:t>
      </w:r>
      <w:r>
        <w:rPr/>
        <w:t>a</w:t>
      </w:r>
      <w:r>
        <w:rPr>
          <w:spacing w:val="-11"/>
        </w:rPr>
        <w:t> </w:t>
      </w:r>
      <w:r>
        <w:rPr/>
        <w:t>large</w:t>
      </w:r>
      <w:r>
        <w:rPr>
          <w:spacing w:val="-11"/>
        </w:rPr>
        <w:t> </w:t>
      </w:r>
      <w:r>
        <w:rPr/>
        <w:t>organization</w:t>
      </w:r>
      <w:r>
        <w:rPr>
          <w:spacing w:val="-10"/>
        </w:rPr>
        <w:t> </w:t>
      </w:r>
      <w:r>
        <w:rPr/>
        <w:t>that</w:t>
      </w:r>
      <w:r>
        <w:rPr>
          <w:spacing w:val="-10"/>
        </w:rPr>
        <w:t> </w:t>
      </w:r>
      <w:r>
        <w:rPr/>
        <w:t>does</w:t>
      </w:r>
      <w:r>
        <w:rPr>
          <w:spacing w:val="-11"/>
        </w:rPr>
        <w:t> </w:t>
      </w:r>
      <w:r>
        <w:rPr/>
        <w:t>not</w:t>
      </w:r>
      <w:r>
        <w:rPr>
          <w:spacing w:val="-12"/>
        </w:rPr>
        <w:t> </w:t>
      </w:r>
      <w:r>
        <w:rPr/>
        <w:t>directly</w:t>
      </w:r>
      <w:r>
        <w:rPr>
          <w:spacing w:val="-12"/>
        </w:rPr>
        <w:t> </w:t>
      </w:r>
      <w:r>
        <w:rPr/>
        <w:t>operate</w:t>
      </w:r>
      <w:r>
        <w:rPr>
          <w:spacing w:val="-11"/>
        </w:rPr>
        <w:t> </w:t>
      </w:r>
      <w:r>
        <w:rPr/>
        <w:t>transit</w:t>
      </w:r>
      <w:r>
        <w:rPr>
          <w:spacing w:val="-10"/>
        </w:rPr>
        <w:t> </w:t>
      </w:r>
      <w:r>
        <w:rPr/>
        <w:t>services,</w:t>
      </w:r>
      <w:r>
        <w:rPr>
          <w:spacing w:val="-11"/>
        </w:rPr>
        <w:t> </w:t>
      </w:r>
      <w:r>
        <w:rPr/>
        <w:t>it</w:t>
      </w:r>
      <w:r>
        <w:rPr>
          <w:spacing w:val="-10"/>
        </w:rPr>
        <w:t> </w:t>
      </w:r>
      <w:r>
        <w:rPr/>
        <w:t>is</w:t>
      </w:r>
      <w:r>
        <w:rPr>
          <w:spacing w:val="-11"/>
        </w:rPr>
        <w:t> </w:t>
      </w:r>
      <w:r>
        <w:rPr/>
        <w:t>difficult</w:t>
      </w:r>
      <w:r>
        <w:rPr>
          <w:spacing w:val="-10"/>
        </w:rPr>
        <w:t> </w:t>
      </w:r>
      <w:r>
        <w:rPr/>
        <w:t>to</w:t>
      </w:r>
      <w:r>
        <w:rPr>
          <w:spacing w:val="-8"/>
        </w:rPr>
        <w:t> </w:t>
      </w:r>
      <w:r>
        <w:rPr/>
        <w:t>gauge precisely how much contact LEP persons have with MaineDOT services and programs.</w:t>
      </w:r>
      <w:r>
        <w:rPr>
          <w:spacing w:val="40"/>
        </w:rPr>
        <w:t> </w:t>
      </w:r>
      <w:r>
        <w:rPr/>
        <w:t>In order to obtain a clearer picture of the frequency and manner in which LEP persons engage with MaineDOT,</w:t>
      </w:r>
      <w:r>
        <w:rPr>
          <w:spacing w:val="-2"/>
        </w:rPr>
        <w:t> </w:t>
      </w:r>
      <w:r>
        <w:rPr/>
        <w:t>we have taken and will take the following steps:</w:t>
      </w:r>
    </w:p>
    <w:p>
      <w:pPr>
        <w:pStyle w:val="BodyText"/>
        <w:spacing w:before="11"/>
        <w:rPr>
          <w:sz w:val="23"/>
        </w:rPr>
      </w:pPr>
    </w:p>
    <w:p>
      <w:pPr>
        <w:pStyle w:val="ListParagraph"/>
        <w:numPr>
          <w:ilvl w:val="0"/>
          <w:numId w:val="35"/>
        </w:numPr>
        <w:tabs>
          <w:tab w:pos="960" w:val="left" w:leader="none"/>
        </w:tabs>
        <w:spacing w:line="261" w:lineRule="auto" w:before="0" w:after="0"/>
        <w:ind w:left="960" w:right="551" w:hanging="360"/>
        <w:jc w:val="both"/>
        <w:rPr>
          <w:sz w:val="24"/>
        </w:rPr>
      </w:pPr>
      <w:r>
        <w:rPr>
          <w:spacing w:val="-10"/>
          <w:sz w:val="24"/>
        </w:rPr>
        <w:t>MaineDOT</w:t>
      </w:r>
      <w:r>
        <w:rPr>
          <w:sz w:val="24"/>
        </w:rPr>
        <w:t> </w:t>
      </w:r>
      <w:r>
        <w:rPr>
          <w:spacing w:val="-10"/>
          <w:sz w:val="24"/>
        </w:rPr>
        <w:t>surveyed</w:t>
      </w:r>
      <w:r>
        <w:rPr>
          <w:sz w:val="24"/>
        </w:rPr>
        <w:t> </w:t>
      </w:r>
      <w:r>
        <w:rPr>
          <w:spacing w:val="-10"/>
          <w:sz w:val="24"/>
        </w:rPr>
        <w:t>subrecipients</w:t>
      </w:r>
      <w:r>
        <w:rPr>
          <w:spacing w:val="-1"/>
          <w:sz w:val="24"/>
        </w:rPr>
        <w:t> </w:t>
      </w:r>
      <w:r>
        <w:rPr>
          <w:spacing w:val="-10"/>
          <w:sz w:val="24"/>
        </w:rPr>
        <w:t>in</w:t>
      </w:r>
      <w:r>
        <w:rPr>
          <w:sz w:val="24"/>
        </w:rPr>
        <w:t> </w:t>
      </w:r>
      <w:r>
        <w:rPr>
          <w:spacing w:val="-10"/>
          <w:sz w:val="24"/>
        </w:rPr>
        <w:t>2020</w:t>
      </w:r>
      <w:r>
        <w:rPr>
          <w:spacing w:val="-1"/>
          <w:sz w:val="24"/>
        </w:rPr>
        <w:t> </w:t>
      </w:r>
      <w:r>
        <w:rPr>
          <w:spacing w:val="-10"/>
          <w:sz w:val="24"/>
        </w:rPr>
        <w:t>to</w:t>
      </w:r>
      <w:r>
        <w:rPr>
          <w:sz w:val="24"/>
        </w:rPr>
        <w:t> </w:t>
      </w:r>
      <w:r>
        <w:rPr>
          <w:spacing w:val="-10"/>
          <w:sz w:val="24"/>
        </w:rPr>
        <w:t>quantify</w:t>
      </w:r>
      <w:r>
        <w:rPr>
          <w:sz w:val="24"/>
        </w:rPr>
        <w:t> </w:t>
      </w:r>
      <w:r>
        <w:rPr>
          <w:spacing w:val="-10"/>
          <w:sz w:val="24"/>
        </w:rPr>
        <w:t>the</w:t>
      </w:r>
      <w:r>
        <w:rPr>
          <w:sz w:val="24"/>
        </w:rPr>
        <w:t> </w:t>
      </w:r>
      <w:r>
        <w:rPr>
          <w:spacing w:val="-10"/>
          <w:sz w:val="24"/>
        </w:rPr>
        <w:t>frequency</w:t>
      </w:r>
      <w:r>
        <w:rPr>
          <w:spacing w:val="-2"/>
          <w:sz w:val="24"/>
        </w:rPr>
        <w:t> </w:t>
      </w:r>
      <w:r>
        <w:rPr>
          <w:spacing w:val="-10"/>
          <w:sz w:val="24"/>
        </w:rPr>
        <w:t>of</w:t>
      </w:r>
      <w:r>
        <w:rPr>
          <w:sz w:val="24"/>
        </w:rPr>
        <w:t> </w:t>
      </w:r>
      <w:r>
        <w:rPr>
          <w:spacing w:val="-10"/>
          <w:sz w:val="24"/>
        </w:rPr>
        <w:t>LEP</w:t>
      </w:r>
      <w:r>
        <w:rPr>
          <w:sz w:val="24"/>
        </w:rPr>
        <w:t> </w:t>
      </w:r>
      <w:r>
        <w:rPr>
          <w:spacing w:val="-10"/>
          <w:sz w:val="24"/>
        </w:rPr>
        <w:t>interactions</w:t>
      </w:r>
      <w:r>
        <w:rPr>
          <w:spacing w:val="-1"/>
          <w:sz w:val="24"/>
        </w:rPr>
        <w:t> </w:t>
      </w:r>
      <w:r>
        <w:rPr>
          <w:spacing w:val="-10"/>
          <w:sz w:val="24"/>
        </w:rPr>
        <w:t>and</w:t>
      </w:r>
      <w:r>
        <w:rPr>
          <w:sz w:val="24"/>
        </w:rPr>
        <w:t> </w:t>
      </w:r>
      <w:r>
        <w:rPr>
          <w:spacing w:val="-10"/>
          <w:sz w:val="24"/>
        </w:rPr>
        <w:t>to</w:t>
      </w:r>
      <w:r>
        <w:rPr>
          <w:sz w:val="24"/>
        </w:rPr>
        <w:t> </w:t>
      </w:r>
      <w:r>
        <w:rPr>
          <w:spacing w:val="-10"/>
          <w:sz w:val="24"/>
        </w:rPr>
        <w:t>determine</w:t>
      </w:r>
      <w:r>
        <w:rPr>
          <w:sz w:val="24"/>
        </w:rPr>
        <w:t> </w:t>
      </w:r>
      <w:r>
        <w:rPr>
          <w:spacing w:val="-10"/>
          <w:sz w:val="24"/>
        </w:rPr>
        <w:t>if </w:t>
      </w:r>
      <w:r>
        <w:rPr>
          <w:spacing w:val="-8"/>
          <w:sz w:val="24"/>
        </w:rPr>
        <w:t>there</w:t>
      </w:r>
      <w:r>
        <w:rPr>
          <w:spacing w:val="-13"/>
          <w:sz w:val="24"/>
        </w:rPr>
        <w:t> </w:t>
      </w:r>
      <w:r>
        <w:rPr>
          <w:spacing w:val="-8"/>
          <w:sz w:val="24"/>
        </w:rPr>
        <w:t>are</w:t>
      </w:r>
      <w:r>
        <w:rPr>
          <w:spacing w:val="-13"/>
          <w:sz w:val="24"/>
        </w:rPr>
        <w:t> </w:t>
      </w:r>
      <w:r>
        <w:rPr>
          <w:spacing w:val="-8"/>
          <w:sz w:val="24"/>
        </w:rPr>
        <w:t>any</w:t>
      </w:r>
      <w:r>
        <w:rPr>
          <w:spacing w:val="-14"/>
          <w:sz w:val="24"/>
        </w:rPr>
        <w:t> </w:t>
      </w:r>
      <w:r>
        <w:rPr>
          <w:spacing w:val="-8"/>
          <w:sz w:val="24"/>
        </w:rPr>
        <w:t>specific</w:t>
      </w:r>
      <w:r>
        <w:rPr>
          <w:spacing w:val="-12"/>
          <w:sz w:val="24"/>
        </w:rPr>
        <w:t> </w:t>
      </w:r>
      <w:r>
        <w:rPr>
          <w:spacing w:val="-8"/>
          <w:sz w:val="24"/>
        </w:rPr>
        <w:t>subrecipients</w:t>
      </w:r>
      <w:r>
        <w:rPr>
          <w:spacing w:val="-14"/>
          <w:sz w:val="24"/>
        </w:rPr>
        <w:t> </w:t>
      </w:r>
      <w:r>
        <w:rPr>
          <w:spacing w:val="-8"/>
          <w:sz w:val="24"/>
        </w:rPr>
        <w:t>or</w:t>
      </w:r>
      <w:r>
        <w:rPr>
          <w:spacing w:val="-13"/>
          <w:sz w:val="24"/>
        </w:rPr>
        <w:t> </w:t>
      </w:r>
      <w:r>
        <w:rPr>
          <w:spacing w:val="-8"/>
          <w:sz w:val="24"/>
        </w:rPr>
        <w:t>subrecipient</w:t>
      </w:r>
      <w:r>
        <w:rPr>
          <w:spacing w:val="-13"/>
          <w:sz w:val="24"/>
        </w:rPr>
        <w:t> </w:t>
      </w:r>
      <w:r>
        <w:rPr>
          <w:spacing w:val="-8"/>
          <w:sz w:val="24"/>
        </w:rPr>
        <w:t>regions</w:t>
      </w:r>
      <w:r>
        <w:rPr>
          <w:spacing w:val="-14"/>
          <w:sz w:val="24"/>
        </w:rPr>
        <w:t> </w:t>
      </w:r>
      <w:r>
        <w:rPr>
          <w:spacing w:val="-8"/>
          <w:sz w:val="24"/>
        </w:rPr>
        <w:t>that</w:t>
      </w:r>
      <w:r>
        <w:rPr>
          <w:spacing w:val="-13"/>
          <w:sz w:val="24"/>
        </w:rPr>
        <w:t> </w:t>
      </w:r>
      <w:r>
        <w:rPr>
          <w:spacing w:val="-8"/>
          <w:sz w:val="24"/>
        </w:rPr>
        <w:t>have</w:t>
      </w:r>
      <w:r>
        <w:rPr>
          <w:spacing w:val="-13"/>
          <w:sz w:val="24"/>
        </w:rPr>
        <w:t> </w:t>
      </w:r>
      <w:r>
        <w:rPr>
          <w:spacing w:val="-8"/>
          <w:sz w:val="24"/>
        </w:rPr>
        <w:t>a</w:t>
      </w:r>
      <w:r>
        <w:rPr>
          <w:spacing w:val="-14"/>
          <w:sz w:val="24"/>
        </w:rPr>
        <w:t> </w:t>
      </w:r>
      <w:r>
        <w:rPr>
          <w:spacing w:val="-8"/>
          <w:sz w:val="24"/>
        </w:rPr>
        <w:t>higher</w:t>
      </w:r>
      <w:r>
        <w:rPr>
          <w:spacing w:val="-13"/>
          <w:sz w:val="24"/>
        </w:rPr>
        <w:t> </w:t>
      </w:r>
      <w:r>
        <w:rPr>
          <w:spacing w:val="-8"/>
          <w:sz w:val="24"/>
        </w:rPr>
        <w:t>frequency</w:t>
      </w:r>
      <w:r>
        <w:rPr>
          <w:spacing w:val="-14"/>
          <w:sz w:val="24"/>
        </w:rPr>
        <w:t> </w:t>
      </w:r>
      <w:r>
        <w:rPr>
          <w:spacing w:val="-8"/>
          <w:sz w:val="24"/>
        </w:rPr>
        <w:t>of</w:t>
      </w:r>
      <w:r>
        <w:rPr>
          <w:spacing w:val="-13"/>
          <w:sz w:val="24"/>
        </w:rPr>
        <w:t> </w:t>
      </w:r>
      <w:r>
        <w:rPr>
          <w:spacing w:val="-8"/>
          <w:sz w:val="24"/>
        </w:rPr>
        <w:t>LEP</w:t>
      </w:r>
      <w:r>
        <w:rPr>
          <w:spacing w:val="-13"/>
          <w:sz w:val="24"/>
        </w:rPr>
        <w:t> </w:t>
      </w:r>
      <w:r>
        <w:rPr>
          <w:spacing w:val="-8"/>
          <w:sz w:val="24"/>
        </w:rPr>
        <w:t>interactions.</w:t>
      </w:r>
    </w:p>
    <w:p>
      <w:pPr>
        <w:pStyle w:val="ListParagraph"/>
        <w:numPr>
          <w:ilvl w:val="0"/>
          <w:numId w:val="35"/>
        </w:numPr>
        <w:tabs>
          <w:tab w:pos="958" w:val="left" w:leader="none"/>
        </w:tabs>
        <w:spacing w:line="240" w:lineRule="auto" w:before="123" w:after="0"/>
        <w:ind w:left="958" w:right="0" w:hanging="359"/>
        <w:jc w:val="both"/>
        <w:rPr>
          <w:sz w:val="24"/>
        </w:rPr>
      </w:pPr>
      <w:r>
        <w:rPr>
          <w:spacing w:val="-10"/>
          <w:sz w:val="24"/>
        </w:rPr>
        <w:t>MaineDOT</w:t>
      </w:r>
      <w:r>
        <w:rPr>
          <w:spacing w:val="-6"/>
          <w:sz w:val="24"/>
        </w:rPr>
        <w:t> </w:t>
      </w:r>
      <w:r>
        <w:rPr>
          <w:spacing w:val="-10"/>
          <w:sz w:val="24"/>
        </w:rPr>
        <w:t>plans</w:t>
      </w:r>
      <w:r>
        <w:rPr>
          <w:spacing w:val="-8"/>
          <w:sz w:val="24"/>
        </w:rPr>
        <w:t> </w:t>
      </w:r>
      <w:r>
        <w:rPr>
          <w:spacing w:val="-10"/>
          <w:sz w:val="24"/>
        </w:rPr>
        <w:t>to</w:t>
      </w:r>
      <w:r>
        <w:rPr>
          <w:spacing w:val="-6"/>
          <w:sz w:val="24"/>
        </w:rPr>
        <w:t> </w:t>
      </w:r>
      <w:r>
        <w:rPr>
          <w:spacing w:val="-10"/>
          <w:sz w:val="24"/>
        </w:rPr>
        <w:t>implement</w:t>
      </w:r>
      <w:r>
        <w:rPr>
          <w:spacing w:val="-6"/>
          <w:sz w:val="24"/>
        </w:rPr>
        <w:t> </w:t>
      </w:r>
      <w:r>
        <w:rPr>
          <w:spacing w:val="-10"/>
          <w:sz w:val="24"/>
        </w:rPr>
        <w:t>the</w:t>
      </w:r>
      <w:r>
        <w:rPr>
          <w:spacing w:val="-6"/>
          <w:sz w:val="24"/>
        </w:rPr>
        <w:t> </w:t>
      </w:r>
      <w:r>
        <w:rPr>
          <w:spacing w:val="-10"/>
          <w:sz w:val="24"/>
        </w:rPr>
        <w:t>aforementioned</w:t>
      </w:r>
      <w:r>
        <w:rPr>
          <w:spacing w:val="-6"/>
          <w:sz w:val="24"/>
        </w:rPr>
        <w:t> </w:t>
      </w:r>
      <w:r>
        <w:rPr>
          <w:spacing w:val="-10"/>
          <w:sz w:val="24"/>
        </w:rPr>
        <w:t>survey</w:t>
      </w:r>
      <w:r>
        <w:rPr>
          <w:spacing w:val="-7"/>
          <w:sz w:val="24"/>
        </w:rPr>
        <w:t> </w:t>
      </w:r>
      <w:r>
        <w:rPr>
          <w:spacing w:val="-10"/>
          <w:sz w:val="24"/>
        </w:rPr>
        <w:t>every</w:t>
      </w:r>
      <w:r>
        <w:rPr>
          <w:spacing w:val="-7"/>
          <w:sz w:val="24"/>
        </w:rPr>
        <w:t> </w:t>
      </w:r>
      <w:r>
        <w:rPr>
          <w:spacing w:val="-10"/>
          <w:sz w:val="24"/>
        </w:rPr>
        <w:t>three</w:t>
      </w:r>
      <w:r>
        <w:rPr>
          <w:spacing w:val="-6"/>
          <w:sz w:val="24"/>
        </w:rPr>
        <w:t> </w:t>
      </w:r>
      <w:r>
        <w:rPr>
          <w:spacing w:val="-10"/>
          <w:sz w:val="24"/>
        </w:rPr>
        <w:t>years.</w:t>
      </w:r>
    </w:p>
    <w:p>
      <w:pPr>
        <w:pStyle w:val="ListParagraph"/>
        <w:numPr>
          <w:ilvl w:val="0"/>
          <w:numId w:val="35"/>
        </w:numPr>
        <w:tabs>
          <w:tab w:pos="959" w:val="left" w:leader="none"/>
        </w:tabs>
        <w:spacing w:line="261" w:lineRule="auto" w:before="151" w:after="0"/>
        <w:ind w:left="959" w:right="548" w:hanging="360"/>
        <w:jc w:val="both"/>
        <w:rPr>
          <w:sz w:val="24"/>
        </w:rPr>
      </w:pPr>
      <w:r>
        <w:rPr>
          <w:spacing w:val="-8"/>
          <w:sz w:val="24"/>
        </w:rPr>
        <w:t>MaineDOT</w:t>
      </w:r>
      <w:r>
        <w:rPr>
          <w:spacing w:val="-6"/>
          <w:sz w:val="24"/>
        </w:rPr>
        <w:t> </w:t>
      </w:r>
      <w:r>
        <w:rPr>
          <w:spacing w:val="-8"/>
          <w:sz w:val="24"/>
        </w:rPr>
        <w:t>plans</w:t>
      </w:r>
      <w:r>
        <w:rPr>
          <w:spacing w:val="-6"/>
          <w:sz w:val="24"/>
        </w:rPr>
        <w:t> </w:t>
      </w:r>
      <w:r>
        <w:rPr>
          <w:spacing w:val="-8"/>
          <w:sz w:val="24"/>
        </w:rPr>
        <w:t>to</w:t>
      </w:r>
      <w:r>
        <w:rPr>
          <w:spacing w:val="-5"/>
          <w:sz w:val="24"/>
        </w:rPr>
        <w:t> </w:t>
      </w:r>
      <w:r>
        <w:rPr>
          <w:spacing w:val="-8"/>
          <w:sz w:val="24"/>
        </w:rPr>
        <w:t>implement</w:t>
      </w:r>
      <w:r>
        <w:rPr>
          <w:spacing w:val="-6"/>
          <w:sz w:val="24"/>
        </w:rPr>
        <w:t> </w:t>
      </w:r>
      <w:r>
        <w:rPr>
          <w:spacing w:val="-8"/>
          <w:sz w:val="24"/>
        </w:rPr>
        <w:t>the</w:t>
      </w:r>
      <w:r>
        <w:rPr>
          <w:spacing w:val="-5"/>
          <w:sz w:val="24"/>
        </w:rPr>
        <w:t> </w:t>
      </w:r>
      <w:r>
        <w:rPr>
          <w:spacing w:val="-8"/>
          <w:sz w:val="24"/>
        </w:rPr>
        <w:t>following</w:t>
      </w:r>
      <w:r>
        <w:rPr>
          <w:spacing w:val="-6"/>
          <w:sz w:val="24"/>
        </w:rPr>
        <w:t> </w:t>
      </w:r>
      <w:r>
        <w:rPr>
          <w:spacing w:val="-8"/>
          <w:sz w:val="24"/>
        </w:rPr>
        <w:t>process</w:t>
      </w:r>
      <w:r>
        <w:rPr>
          <w:spacing w:val="-5"/>
          <w:sz w:val="24"/>
        </w:rPr>
        <w:t> </w:t>
      </w:r>
      <w:r>
        <w:rPr>
          <w:spacing w:val="-8"/>
          <w:sz w:val="24"/>
        </w:rPr>
        <w:t>to</w:t>
      </w:r>
      <w:r>
        <w:rPr>
          <w:spacing w:val="-6"/>
          <w:sz w:val="24"/>
        </w:rPr>
        <w:t> </w:t>
      </w:r>
      <w:r>
        <w:rPr>
          <w:spacing w:val="-8"/>
          <w:sz w:val="24"/>
        </w:rPr>
        <w:t>assist</w:t>
      </w:r>
      <w:r>
        <w:rPr>
          <w:spacing w:val="-6"/>
          <w:sz w:val="24"/>
        </w:rPr>
        <w:t> </w:t>
      </w:r>
      <w:r>
        <w:rPr>
          <w:spacing w:val="-8"/>
          <w:sz w:val="24"/>
        </w:rPr>
        <w:t>with</w:t>
      </w:r>
      <w:r>
        <w:rPr>
          <w:spacing w:val="-5"/>
          <w:sz w:val="24"/>
        </w:rPr>
        <w:t> </w:t>
      </w:r>
      <w:r>
        <w:rPr>
          <w:spacing w:val="-8"/>
          <w:sz w:val="24"/>
        </w:rPr>
        <w:t>development</w:t>
      </w:r>
      <w:r>
        <w:rPr>
          <w:spacing w:val="-6"/>
          <w:sz w:val="24"/>
        </w:rPr>
        <w:t> </w:t>
      </w:r>
      <w:r>
        <w:rPr>
          <w:spacing w:val="-8"/>
          <w:sz w:val="24"/>
        </w:rPr>
        <w:t>of</w:t>
      </w:r>
      <w:r>
        <w:rPr>
          <w:spacing w:val="-5"/>
          <w:sz w:val="24"/>
        </w:rPr>
        <w:t> </w:t>
      </w:r>
      <w:r>
        <w:rPr>
          <w:spacing w:val="-8"/>
          <w:sz w:val="24"/>
        </w:rPr>
        <w:t>its</w:t>
      </w:r>
      <w:r>
        <w:rPr>
          <w:spacing w:val="-6"/>
          <w:sz w:val="24"/>
        </w:rPr>
        <w:t> </w:t>
      </w:r>
      <w:r>
        <w:rPr>
          <w:spacing w:val="-8"/>
          <w:sz w:val="24"/>
        </w:rPr>
        <w:t>Language</w:t>
      </w:r>
      <w:r>
        <w:rPr>
          <w:spacing w:val="-5"/>
          <w:sz w:val="24"/>
        </w:rPr>
        <w:t> </w:t>
      </w:r>
      <w:r>
        <w:rPr>
          <w:spacing w:val="-8"/>
          <w:sz w:val="24"/>
        </w:rPr>
        <w:t>Assistance </w:t>
      </w:r>
      <w:r>
        <w:rPr>
          <w:sz w:val="24"/>
        </w:rPr>
        <w:t>Plan</w:t>
      </w:r>
      <w:r>
        <w:rPr>
          <w:spacing w:val="-18"/>
          <w:sz w:val="24"/>
        </w:rPr>
        <w:t> </w:t>
      </w:r>
      <w:r>
        <w:rPr>
          <w:sz w:val="24"/>
        </w:rPr>
        <w:t>annually.</w:t>
      </w:r>
    </w:p>
    <w:p>
      <w:pPr>
        <w:pStyle w:val="ListParagraph"/>
        <w:numPr>
          <w:ilvl w:val="1"/>
          <w:numId w:val="35"/>
        </w:numPr>
        <w:tabs>
          <w:tab w:pos="1679" w:val="left" w:leader="none"/>
        </w:tabs>
        <w:spacing w:line="256" w:lineRule="auto" w:before="124" w:after="0"/>
        <w:ind w:left="1679" w:right="551" w:hanging="360"/>
        <w:jc w:val="both"/>
        <w:rPr>
          <w:sz w:val="24"/>
        </w:rPr>
      </w:pPr>
      <w:r>
        <w:rPr>
          <w:spacing w:val="-8"/>
          <w:sz w:val="24"/>
        </w:rPr>
        <w:t>MaineDOT</w:t>
      </w:r>
      <w:r>
        <w:rPr>
          <w:spacing w:val="-4"/>
          <w:sz w:val="24"/>
        </w:rPr>
        <w:t> </w:t>
      </w:r>
      <w:r>
        <w:rPr>
          <w:spacing w:val="-8"/>
          <w:sz w:val="24"/>
        </w:rPr>
        <w:t>will</w:t>
      </w:r>
      <w:r>
        <w:rPr>
          <w:spacing w:val="-4"/>
          <w:sz w:val="24"/>
        </w:rPr>
        <w:t> </w:t>
      </w:r>
      <w:r>
        <w:rPr>
          <w:spacing w:val="-8"/>
          <w:sz w:val="24"/>
        </w:rPr>
        <w:t>appoint</w:t>
      </w:r>
      <w:r>
        <w:rPr>
          <w:spacing w:val="-3"/>
          <w:sz w:val="24"/>
        </w:rPr>
        <w:t> </w:t>
      </w:r>
      <w:r>
        <w:rPr>
          <w:spacing w:val="-8"/>
          <w:sz w:val="24"/>
        </w:rPr>
        <w:t>an</w:t>
      </w:r>
      <w:r>
        <w:rPr>
          <w:spacing w:val="-6"/>
          <w:sz w:val="24"/>
        </w:rPr>
        <w:t> </w:t>
      </w:r>
      <w:r>
        <w:rPr>
          <w:spacing w:val="-8"/>
          <w:sz w:val="24"/>
        </w:rPr>
        <w:t>individual</w:t>
      </w:r>
      <w:r>
        <w:rPr>
          <w:spacing w:val="-4"/>
          <w:sz w:val="24"/>
        </w:rPr>
        <w:t> </w:t>
      </w:r>
      <w:r>
        <w:rPr>
          <w:spacing w:val="-8"/>
          <w:sz w:val="24"/>
        </w:rPr>
        <w:t>to</w:t>
      </w:r>
      <w:r>
        <w:rPr>
          <w:spacing w:val="-4"/>
          <w:sz w:val="24"/>
        </w:rPr>
        <w:t> </w:t>
      </w:r>
      <w:r>
        <w:rPr>
          <w:spacing w:val="-8"/>
          <w:sz w:val="24"/>
        </w:rPr>
        <w:t>regularly</w:t>
      </w:r>
      <w:r>
        <w:rPr>
          <w:spacing w:val="-5"/>
          <w:sz w:val="24"/>
        </w:rPr>
        <w:t> </w:t>
      </w:r>
      <w:r>
        <w:rPr>
          <w:spacing w:val="-8"/>
          <w:sz w:val="24"/>
        </w:rPr>
        <w:t>handle</w:t>
      </w:r>
      <w:r>
        <w:rPr>
          <w:spacing w:val="-4"/>
          <w:sz w:val="24"/>
        </w:rPr>
        <w:t> </w:t>
      </w:r>
      <w:r>
        <w:rPr>
          <w:spacing w:val="-8"/>
          <w:sz w:val="24"/>
        </w:rPr>
        <w:t>data</w:t>
      </w:r>
      <w:r>
        <w:rPr>
          <w:spacing w:val="-4"/>
          <w:sz w:val="24"/>
        </w:rPr>
        <w:t> </w:t>
      </w:r>
      <w:r>
        <w:rPr>
          <w:spacing w:val="-8"/>
          <w:sz w:val="24"/>
        </w:rPr>
        <w:t>collection</w:t>
      </w:r>
      <w:r>
        <w:rPr>
          <w:spacing w:val="-3"/>
          <w:sz w:val="24"/>
        </w:rPr>
        <w:t> </w:t>
      </w:r>
      <w:r>
        <w:rPr>
          <w:spacing w:val="-8"/>
          <w:sz w:val="24"/>
        </w:rPr>
        <w:t>for</w:t>
      </w:r>
      <w:r>
        <w:rPr>
          <w:spacing w:val="-4"/>
          <w:sz w:val="24"/>
        </w:rPr>
        <w:t> </w:t>
      </w:r>
      <w:r>
        <w:rPr>
          <w:spacing w:val="-8"/>
          <w:sz w:val="24"/>
        </w:rPr>
        <w:t>its</w:t>
      </w:r>
      <w:r>
        <w:rPr>
          <w:spacing w:val="-5"/>
          <w:sz w:val="24"/>
        </w:rPr>
        <w:t> </w:t>
      </w:r>
      <w:r>
        <w:rPr>
          <w:spacing w:val="-8"/>
          <w:sz w:val="24"/>
        </w:rPr>
        <w:t>Language</w:t>
      </w:r>
      <w:r>
        <w:rPr>
          <w:spacing w:val="-4"/>
          <w:sz w:val="24"/>
        </w:rPr>
        <w:t> </w:t>
      </w:r>
      <w:r>
        <w:rPr>
          <w:spacing w:val="-8"/>
          <w:sz w:val="24"/>
        </w:rPr>
        <w:t>Assistance </w:t>
      </w:r>
      <w:r>
        <w:rPr>
          <w:sz w:val="24"/>
        </w:rPr>
        <w:t>Plan</w:t>
      </w:r>
      <w:r>
        <w:rPr>
          <w:spacing w:val="-10"/>
          <w:sz w:val="24"/>
        </w:rPr>
        <w:t> </w:t>
      </w:r>
      <w:r>
        <w:rPr>
          <w:sz w:val="24"/>
        </w:rPr>
        <w:t>moving</w:t>
      </w:r>
      <w:r>
        <w:rPr>
          <w:spacing w:val="-11"/>
          <w:sz w:val="24"/>
        </w:rPr>
        <w:t> </w:t>
      </w:r>
      <w:r>
        <w:rPr>
          <w:sz w:val="24"/>
        </w:rPr>
        <w:t>forward.</w:t>
      </w:r>
    </w:p>
    <w:p>
      <w:pPr>
        <w:pStyle w:val="ListParagraph"/>
        <w:numPr>
          <w:ilvl w:val="1"/>
          <w:numId w:val="35"/>
        </w:numPr>
        <w:tabs>
          <w:tab w:pos="1679" w:val="left" w:leader="none"/>
        </w:tabs>
        <w:spacing w:line="261" w:lineRule="auto" w:before="129" w:after="0"/>
        <w:ind w:left="1679" w:right="550" w:hanging="360"/>
        <w:jc w:val="both"/>
        <w:rPr>
          <w:sz w:val="24"/>
        </w:rPr>
      </w:pPr>
      <w:r>
        <w:rPr>
          <w:spacing w:val="-4"/>
          <w:sz w:val="24"/>
        </w:rPr>
        <w:t>The</w:t>
      </w:r>
      <w:r>
        <w:rPr>
          <w:spacing w:val="-10"/>
          <w:sz w:val="24"/>
        </w:rPr>
        <w:t> </w:t>
      </w:r>
      <w:r>
        <w:rPr>
          <w:spacing w:val="-4"/>
          <w:sz w:val="24"/>
        </w:rPr>
        <w:t>individual</w:t>
      </w:r>
      <w:r>
        <w:rPr>
          <w:spacing w:val="-10"/>
          <w:sz w:val="24"/>
        </w:rPr>
        <w:t> </w:t>
      </w:r>
      <w:r>
        <w:rPr>
          <w:spacing w:val="-4"/>
          <w:sz w:val="24"/>
        </w:rPr>
        <w:t>will</w:t>
      </w:r>
      <w:r>
        <w:rPr>
          <w:spacing w:val="-9"/>
          <w:sz w:val="24"/>
        </w:rPr>
        <w:t> </w:t>
      </w:r>
      <w:r>
        <w:rPr>
          <w:spacing w:val="-4"/>
          <w:sz w:val="24"/>
        </w:rPr>
        <w:t>identify</w:t>
      </w:r>
      <w:r>
        <w:rPr>
          <w:spacing w:val="-10"/>
          <w:sz w:val="24"/>
        </w:rPr>
        <w:t> </w:t>
      </w:r>
      <w:r>
        <w:rPr>
          <w:spacing w:val="-4"/>
          <w:sz w:val="24"/>
        </w:rPr>
        <w:t>all</w:t>
      </w:r>
      <w:r>
        <w:rPr>
          <w:spacing w:val="-9"/>
          <w:sz w:val="24"/>
        </w:rPr>
        <w:t> </w:t>
      </w:r>
      <w:r>
        <w:rPr>
          <w:spacing w:val="-4"/>
          <w:sz w:val="24"/>
        </w:rPr>
        <w:t>the</w:t>
      </w:r>
      <w:r>
        <w:rPr>
          <w:spacing w:val="-10"/>
          <w:sz w:val="24"/>
        </w:rPr>
        <w:t> </w:t>
      </w:r>
      <w:r>
        <w:rPr>
          <w:spacing w:val="-4"/>
          <w:sz w:val="24"/>
        </w:rPr>
        <w:t>touchpoints</w:t>
      </w:r>
      <w:r>
        <w:rPr>
          <w:spacing w:val="-9"/>
          <w:sz w:val="24"/>
        </w:rPr>
        <w:t> </w:t>
      </w:r>
      <w:r>
        <w:rPr>
          <w:spacing w:val="-4"/>
          <w:sz w:val="24"/>
        </w:rPr>
        <w:t>where</w:t>
      </w:r>
      <w:r>
        <w:rPr>
          <w:spacing w:val="-10"/>
          <w:sz w:val="24"/>
        </w:rPr>
        <w:t> </w:t>
      </w:r>
      <w:r>
        <w:rPr>
          <w:spacing w:val="-4"/>
          <w:sz w:val="24"/>
        </w:rPr>
        <w:t>MaineDOT</w:t>
      </w:r>
      <w:r>
        <w:rPr>
          <w:spacing w:val="-10"/>
          <w:sz w:val="24"/>
        </w:rPr>
        <w:t> </w:t>
      </w:r>
      <w:r>
        <w:rPr>
          <w:spacing w:val="-4"/>
          <w:sz w:val="24"/>
        </w:rPr>
        <w:t>interacts</w:t>
      </w:r>
      <w:r>
        <w:rPr>
          <w:spacing w:val="-9"/>
          <w:sz w:val="24"/>
        </w:rPr>
        <w:t> </w:t>
      </w:r>
      <w:r>
        <w:rPr>
          <w:spacing w:val="-4"/>
          <w:sz w:val="24"/>
        </w:rPr>
        <w:t>with</w:t>
      </w:r>
      <w:r>
        <w:rPr>
          <w:spacing w:val="-10"/>
          <w:sz w:val="24"/>
        </w:rPr>
        <w:t> </w:t>
      </w:r>
      <w:r>
        <w:rPr>
          <w:spacing w:val="-4"/>
          <w:sz w:val="24"/>
        </w:rPr>
        <w:t>the</w:t>
      </w:r>
      <w:r>
        <w:rPr>
          <w:spacing w:val="-9"/>
          <w:sz w:val="24"/>
        </w:rPr>
        <w:t> </w:t>
      </w:r>
      <w:r>
        <w:rPr>
          <w:spacing w:val="-4"/>
          <w:sz w:val="24"/>
        </w:rPr>
        <w:t>public</w:t>
      </w:r>
      <w:r>
        <w:rPr>
          <w:spacing w:val="-10"/>
          <w:sz w:val="24"/>
        </w:rPr>
        <w:t> </w:t>
      </w:r>
      <w:r>
        <w:rPr>
          <w:spacing w:val="-4"/>
          <w:sz w:val="24"/>
        </w:rPr>
        <w:t>(public </w:t>
      </w:r>
      <w:r>
        <w:rPr>
          <w:spacing w:val="-2"/>
          <w:sz w:val="24"/>
        </w:rPr>
        <w:t>meetings,</w:t>
      </w:r>
      <w:r>
        <w:rPr>
          <w:spacing w:val="-2"/>
          <w:sz w:val="24"/>
        </w:rPr>
        <w:t> customer</w:t>
      </w:r>
      <w:r>
        <w:rPr>
          <w:spacing w:val="-2"/>
          <w:sz w:val="24"/>
        </w:rPr>
        <w:t> service</w:t>
      </w:r>
      <w:r>
        <w:rPr>
          <w:spacing w:val="-2"/>
          <w:sz w:val="24"/>
        </w:rPr>
        <w:t> interactions,</w:t>
      </w:r>
      <w:r>
        <w:rPr>
          <w:spacing w:val="-2"/>
          <w:sz w:val="24"/>
        </w:rPr>
        <w:t> online</w:t>
      </w:r>
      <w:r>
        <w:rPr>
          <w:spacing w:val="-2"/>
          <w:sz w:val="24"/>
        </w:rPr>
        <w:t> resources,</w:t>
      </w:r>
      <w:r>
        <w:rPr>
          <w:spacing w:val="-2"/>
          <w:sz w:val="24"/>
        </w:rPr>
        <w:t> written</w:t>
      </w:r>
      <w:r>
        <w:rPr>
          <w:spacing w:val="-2"/>
          <w:sz w:val="24"/>
        </w:rPr>
        <w:t> communications,</w:t>
      </w:r>
      <w:r>
        <w:rPr>
          <w:spacing w:val="-2"/>
          <w:sz w:val="24"/>
        </w:rPr>
        <w:t> through </w:t>
      </w:r>
      <w:r>
        <w:rPr>
          <w:sz w:val="24"/>
        </w:rPr>
        <w:t>subrecipients,</w:t>
      </w:r>
      <w:r>
        <w:rPr>
          <w:spacing w:val="-19"/>
          <w:sz w:val="24"/>
        </w:rPr>
        <w:t> </w:t>
      </w:r>
      <w:r>
        <w:rPr>
          <w:sz w:val="24"/>
        </w:rPr>
        <w:t>etc)</w:t>
      </w:r>
    </w:p>
    <w:p>
      <w:pPr>
        <w:pStyle w:val="ListParagraph"/>
        <w:numPr>
          <w:ilvl w:val="1"/>
          <w:numId w:val="35"/>
        </w:numPr>
        <w:tabs>
          <w:tab w:pos="1679" w:val="left" w:leader="none"/>
        </w:tabs>
        <w:spacing w:line="261" w:lineRule="auto" w:before="121" w:after="0"/>
        <w:ind w:left="1679" w:right="549" w:hanging="360"/>
        <w:jc w:val="both"/>
        <w:rPr>
          <w:sz w:val="24"/>
        </w:rPr>
      </w:pPr>
      <w:r>
        <w:rPr>
          <w:spacing w:val="-12"/>
          <w:sz w:val="24"/>
        </w:rPr>
        <w:t>MaineDOT</w:t>
      </w:r>
      <w:r>
        <w:rPr>
          <w:sz w:val="24"/>
        </w:rPr>
        <w:t> </w:t>
      </w:r>
      <w:r>
        <w:rPr>
          <w:spacing w:val="-12"/>
          <w:sz w:val="24"/>
        </w:rPr>
        <w:t>will</w:t>
      </w:r>
      <w:r>
        <w:rPr>
          <w:sz w:val="24"/>
        </w:rPr>
        <w:t> </w:t>
      </w:r>
      <w:r>
        <w:rPr>
          <w:spacing w:val="-12"/>
          <w:sz w:val="24"/>
        </w:rPr>
        <w:t>then</w:t>
      </w:r>
      <w:r>
        <w:rPr>
          <w:sz w:val="24"/>
        </w:rPr>
        <w:t> </w:t>
      </w:r>
      <w:r>
        <w:rPr>
          <w:spacing w:val="-12"/>
          <w:sz w:val="24"/>
        </w:rPr>
        <w:t>implement</w:t>
      </w:r>
      <w:r>
        <w:rPr>
          <w:sz w:val="24"/>
        </w:rPr>
        <w:t> </w:t>
      </w:r>
      <w:r>
        <w:rPr>
          <w:spacing w:val="-12"/>
          <w:sz w:val="24"/>
        </w:rPr>
        <w:t>a</w:t>
      </w:r>
      <w:r>
        <w:rPr>
          <w:sz w:val="24"/>
        </w:rPr>
        <w:t> </w:t>
      </w:r>
      <w:r>
        <w:rPr>
          <w:spacing w:val="-12"/>
          <w:sz w:val="24"/>
        </w:rPr>
        <w:t>system</w:t>
      </w:r>
      <w:r>
        <w:rPr>
          <w:sz w:val="24"/>
        </w:rPr>
        <w:t> </w:t>
      </w:r>
      <w:r>
        <w:rPr>
          <w:spacing w:val="-12"/>
          <w:sz w:val="24"/>
        </w:rPr>
        <w:t>to</w:t>
      </w:r>
      <w:r>
        <w:rPr>
          <w:sz w:val="24"/>
        </w:rPr>
        <w:t> </w:t>
      </w:r>
      <w:r>
        <w:rPr>
          <w:spacing w:val="-12"/>
          <w:sz w:val="24"/>
        </w:rPr>
        <w:t>track</w:t>
      </w:r>
      <w:r>
        <w:rPr>
          <w:spacing w:val="-2"/>
          <w:sz w:val="24"/>
        </w:rPr>
        <w:t> </w:t>
      </w:r>
      <w:r>
        <w:rPr>
          <w:spacing w:val="-12"/>
          <w:sz w:val="24"/>
        </w:rPr>
        <w:t>and</w:t>
      </w:r>
      <w:r>
        <w:rPr>
          <w:spacing w:val="7"/>
          <w:sz w:val="24"/>
        </w:rPr>
        <w:t> </w:t>
      </w:r>
      <w:r>
        <w:rPr>
          <w:spacing w:val="-12"/>
          <w:sz w:val="24"/>
        </w:rPr>
        <w:t>record</w:t>
      </w:r>
      <w:r>
        <w:rPr>
          <w:sz w:val="24"/>
        </w:rPr>
        <w:t> </w:t>
      </w:r>
      <w:r>
        <w:rPr>
          <w:spacing w:val="-12"/>
          <w:sz w:val="24"/>
        </w:rPr>
        <w:t>instances</w:t>
      </w:r>
      <w:r>
        <w:rPr>
          <w:sz w:val="24"/>
        </w:rPr>
        <w:t> </w:t>
      </w:r>
      <w:r>
        <w:rPr>
          <w:spacing w:val="-12"/>
          <w:sz w:val="24"/>
        </w:rPr>
        <w:t>where</w:t>
      </w:r>
      <w:r>
        <w:rPr>
          <w:sz w:val="24"/>
        </w:rPr>
        <w:t> </w:t>
      </w:r>
      <w:r>
        <w:rPr>
          <w:spacing w:val="-12"/>
          <w:sz w:val="24"/>
        </w:rPr>
        <w:t>LEP</w:t>
      </w:r>
      <w:r>
        <w:rPr>
          <w:spacing w:val="7"/>
          <w:sz w:val="24"/>
        </w:rPr>
        <w:t> </w:t>
      </w:r>
      <w:r>
        <w:rPr>
          <w:spacing w:val="-12"/>
          <w:sz w:val="24"/>
        </w:rPr>
        <w:t>individuals</w:t>
      </w:r>
      <w:r>
        <w:rPr>
          <w:sz w:val="24"/>
        </w:rPr>
        <w:t> </w:t>
      </w:r>
      <w:r>
        <w:rPr>
          <w:spacing w:val="-12"/>
          <w:sz w:val="24"/>
        </w:rPr>
        <w:t>interact </w:t>
      </w:r>
      <w:r>
        <w:rPr>
          <w:spacing w:val="-10"/>
          <w:sz w:val="24"/>
        </w:rPr>
        <w:t>with</w:t>
      </w:r>
      <w:r>
        <w:rPr>
          <w:spacing w:val="-4"/>
          <w:sz w:val="24"/>
        </w:rPr>
        <w:t> </w:t>
      </w:r>
      <w:r>
        <w:rPr>
          <w:spacing w:val="-10"/>
          <w:sz w:val="24"/>
        </w:rPr>
        <w:t>MaineDOT</w:t>
      </w:r>
      <w:r>
        <w:rPr>
          <w:spacing w:val="-4"/>
          <w:sz w:val="24"/>
        </w:rPr>
        <w:t> </w:t>
      </w:r>
      <w:r>
        <w:rPr>
          <w:spacing w:val="-10"/>
          <w:sz w:val="24"/>
        </w:rPr>
        <w:t>or</w:t>
      </w:r>
      <w:r>
        <w:rPr>
          <w:spacing w:val="-3"/>
          <w:sz w:val="24"/>
        </w:rPr>
        <w:t> </w:t>
      </w:r>
      <w:r>
        <w:rPr>
          <w:spacing w:val="-10"/>
          <w:sz w:val="24"/>
        </w:rPr>
        <w:t>with</w:t>
      </w:r>
      <w:r>
        <w:rPr>
          <w:spacing w:val="-4"/>
          <w:sz w:val="24"/>
        </w:rPr>
        <w:t> </w:t>
      </w:r>
      <w:r>
        <w:rPr>
          <w:spacing w:val="-10"/>
          <w:sz w:val="24"/>
        </w:rPr>
        <w:t>its</w:t>
      </w:r>
      <w:r>
        <w:rPr>
          <w:spacing w:val="-3"/>
          <w:sz w:val="24"/>
        </w:rPr>
        <w:t> </w:t>
      </w:r>
      <w:r>
        <w:rPr>
          <w:spacing w:val="-10"/>
          <w:sz w:val="24"/>
        </w:rPr>
        <w:t>subrecipients.</w:t>
      </w:r>
      <w:r>
        <w:rPr>
          <w:spacing w:val="29"/>
          <w:sz w:val="24"/>
        </w:rPr>
        <w:t> </w:t>
      </w:r>
      <w:r>
        <w:rPr>
          <w:spacing w:val="-10"/>
          <w:sz w:val="24"/>
        </w:rPr>
        <w:t>This</w:t>
      </w:r>
      <w:r>
        <w:rPr>
          <w:spacing w:val="-3"/>
          <w:sz w:val="24"/>
        </w:rPr>
        <w:t> </w:t>
      </w:r>
      <w:r>
        <w:rPr>
          <w:spacing w:val="-10"/>
          <w:sz w:val="24"/>
        </w:rPr>
        <w:t>will</w:t>
      </w:r>
      <w:r>
        <w:rPr>
          <w:spacing w:val="-4"/>
          <w:sz w:val="24"/>
        </w:rPr>
        <w:t> </w:t>
      </w:r>
      <w:r>
        <w:rPr>
          <w:spacing w:val="-10"/>
          <w:sz w:val="24"/>
        </w:rPr>
        <w:t>involve</w:t>
      </w:r>
      <w:r>
        <w:rPr>
          <w:spacing w:val="-3"/>
          <w:sz w:val="24"/>
        </w:rPr>
        <w:t> </w:t>
      </w:r>
      <w:r>
        <w:rPr>
          <w:spacing w:val="-10"/>
          <w:sz w:val="24"/>
        </w:rPr>
        <w:t>administering</w:t>
      </w:r>
      <w:r>
        <w:rPr>
          <w:spacing w:val="-4"/>
          <w:sz w:val="24"/>
        </w:rPr>
        <w:t> </w:t>
      </w:r>
      <w:r>
        <w:rPr>
          <w:spacing w:val="-10"/>
          <w:sz w:val="24"/>
        </w:rPr>
        <w:t>the</w:t>
      </w:r>
      <w:r>
        <w:rPr>
          <w:spacing w:val="-3"/>
          <w:sz w:val="24"/>
        </w:rPr>
        <w:t> </w:t>
      </w:r>
      <w:r>
        <w:rPr>
          <w:spacing w:val="-10"/>
          <w:sz w:val="24"/>
        </w:rPr>
        <w:t>aforementioned</w:t>
      </w:r>
      <w:r>
        <w:rPr>
          <w:spacing w:val="-4"/>
          <w:sz w:val="24"/>
        </w:rPr>
        <w:t> </w:t>
      </w:r>
      <w:r>
        <w:rPr>
          <w:spacing w:val="-10"/>
          <w:sz w:val="24"/>
        </w:rPr>
        <w:t>survey, </w:t>
      </w:r>
      <w:r>
        <w:rPr>
          <w:spacing w:val="-6"/>
          <w:sz w:val="24"/>
        </w:rPr>
        <w:t>tracking</w:t>
      </w:r>
      <w:r>
        <w:rPr>
          <w:spacing w:val="-19"/>
          <w:sz w:val="24"/>
        </w:rPr>
        <w:t> </w:t>
      </w:r>
      <w:r>
        <w:rPr>
          <w:spacing w:val="-6"/>
          <w:sz w:val="24"/>
        </w:rPr>
        <w:t>responses</w:t>
      </w:r>
      <w:r>
        <w:rPr>
          <w:spacing w:val="-19"/>
          <w:sz w:val="24"/>
        </w:rPr>
        <w:t> </w:t>
      </w:r>
      <w:r>
        <w:rPr>
          <w:spacing w:val="-6"/>
          <w:sz w:val="24"/>
        </w:rPr>
        <w:t>in</w:t>
      </w:r>
      <w:r>
        <w:rPr>
          <w:spacing w:val="-18"/>
          <w:sz w:val="24"/>
        </w:rPr>
        <w:t> </w:t>
      </w:r>
      <w:r>
        <w:rPr>
          <w:spacing w:val="-6"/>
          <w:sz w:val="24"/>
        </w:rPr>
        <w:t>a</w:t>
      </w:r>
      <w:r>
        <w:rPr>
          <w:spacing w:val="-19"/>
          <w:sz w:val="24"/>
        </w:rPr>
        <w:t> </w:t>
      </w:r>
      <w:r>
        <w:rPr>
          <w:spacing w:val="-6"/>
          <w:sz w:val="24"/>
        </w:rPr>
        <w:t>database,</w:t>
      </w:r>
      <w:r>
        <w:rPr>
          <w:spacing w:val="-19"/>
          <w:sz w:val="24"/>
        </w:rPr>
        <w:t> </w:t>
      </w:r>
      <w:r>
        <w:rPr>
          <w:spacing w:val="-6"/>
          <w:sz w:val="24"/>
        </w:rPr>
        <w:t>and</w:t>
      </w:r>
      <w:r>
        <w:rPr>
          <w:spacing w:val="-18"/>
          <w:sz w:val="24"/>
        </w:rPr>
        <w:t> </w:t>
      </w:r>
      <w:r>
        <w:rPr>
          <w:spacing w:val="-6"/>
          <w:sz w:val="24"/>
        </w:rPr>
        <w:t>may</w:t>
      </w:r>
      <w:r>
        <w:rPr>
          <w:spacing w:val="-19"/>
          <w:sz w:val="24"/>
        </w:rPr>
        <w:t> </w:t>
      </w:r>
      <w:r>
        <w:rPr>
          <w:spacing w:val="-6"/>
          <w:sz w:val="24"/>
        </w:rPr>
        <w:t>necessitate</w:t>
      </w:r>
      <w:r>
        <w:rPr>
          <w:spacing w:val="-16"/>
          <w:sz w:val="24"/>
        </w:rPr>
        <w:t> </w:t>
      </w:r>
      <w:r>
        <w:rPr>
          <w:spacing w:val="-6"/>
          <w:sz w:val="24"/>
        </w:rPr>
        <w:t>the</w:t>
      </w:r>
      <w:r>
        <w:rPr>
          <w:spacing w:val="-18"/>
          <w:sz w:val="24"/>
        </w:rPr>
        <w:t> </w:t>
      </w:r>
      <w:r>
        <w:rPr>
          <w:spacing w:val="-6"/>
          <w:sz w:val="24"/>
        </w:rPr>
        <w:t>purchase</w:t>
      </w:r>
      <w:r>
        <w:rPr>
          <w:spacing w:val="-18"/>
          <w:sz w:val="24"/>
        </w:rPr>
        <w:t> </w:t>
      </w:r>
      <w:r>
        <w:rPr>
          <w:spacing w:val="-6"/>
          <w:sz w:val="24"/>
        </w:rPr>
        <w:t>of</w:t>
      </w:r>
      <w:r>
        <w:rPr>
          <w:spacing w:val="-18"/>
          <w:sz w:val="24"/>
        </w:rPr>
        <w:t> </w:t>
      </w:r>
      <w:r>
        <w:rPr>
          <w:spacing w:val="-6"/>
          <w:sz w:val="24"/>
        </w:rPr>
        <w:t>specialized</w:t>
      </w:r>
      <w:r>
        <w:rPr>
          <w:spacing w:val="-18"/>
          <w:sz w:val="24"/>
        </w:rPr>
        <w:t> </w:t>
      </w:r>
      <w:r>
        <w:rPr>
          <w:spacing w:val="-6"/>
          <w:sz w:val="24"/>
        </w:rPr>
        <w:t>software.</w:t>
      </w:r>
    </w:p>
    <w:p>
      <w:pPr>
        <w:pStyle w:val="ListParagraph"/>
        <w:numPr>
          <w:ilvl w:val="1"/>
          <w:numId w:val="35"/>
        </w:numPr>
        <w:tabs>
          <w:tab w:pos="1679" w:val="left" w:leader="none"/>
        </w:tabs>
        <w:spacing w:line="256" w:lineRule="auto" w:before="122" w:after="0"/>
        <w:ind w:left="1679" w:right="556" w:hanging="360"/>
        <w:jc w:val="both"/>
        <w:rPr>
          <w:sz w:val="24"/>
        </w:rPr>
      </w:pPr>
      <w:r>
        <w:rPr>
          <w:spacing w:val="-4"/>
          <w:sz w:val="24"/>
        </w:rPr>
        <w:t>MaineDOT</w:t>
      </w:r>
      <w:r>
        <w:rPr>
          <w:spacing w:val="-10"/>
          <w:sz w:val="24"/>
        </w:rPr>
        <w:t> </w:t>
      </w:r>
      <w:r>
        <w:rPr>
          <w:spacing w:val="-4"/>
          <w:sz w:val="24"/>
        </w:rPr>
        <w:t>will</w:t>
      </w:r>
      <w:r>
        <w:rPr>
          <w:spacing w:val="-9"/>
          <w:sz w:val="24"/>
        </w:rPr>
        <w:t> </w:t>
      </w:r>
      <w:r>
        <w:rPr>
          <w:spacing w:val="-4"/>
          <w:sz w:val="24"/>
        </w:rPr>
        <w:t>track</w:t>
      </w:r>
      <w:r>
        <w:rPr>
          <w:spacing w:val="-10"/>
          <w:sz w:val="24"/>
        </w:rPr>
        <w:t> </w:t>
      </w:r>
      <w:r>
        <w:rPr>
          <w:spacing w:val="-4"/>
          <w:sz w:val="24"/>
        </w:rPr>
        <w:t>the</w:t>
      </w:r>
      <w:r>
        <w:rPr>
          <w:spacing w:val="-8"/>
          <w:sz w:val="24"/>
        </w:rPr>
        <w:t> </w:t>
      </w:r>
      <w:r>
        <w:rPr>
          <w:spacing w:val="-4"/>
          <w:sz w:val="24"/>
        </w:rPr>
        <w:t>type</w:t>
      </w:r>
      <w:r>
        <w:rPr>
          <w:spacing w:val="-9"/>
          <w:sz w:val="24"/>
        </w:rPr>
        <w:t> </w:t>
      </w:r>
      <w:r>
        <w:rPr>
          <w:spacing w:val="-4"/>
          <w:sz w:val="24"/>
        </w:rPr>
        <w:t>of</w:t>
      </w:r>
      <w:r>
        <w:rPr>
          <w:spacing w:val="-9"/>
          <w:sz w:val="24"/>
        </w:rPr>
        <w:t> </w:t>
      </w:r>
      <w:r>
        <w:rPr>
          <w:spacing w:val="-4"/>
          <w:sz w:val="24"/>
        </w:rPr>
        <w:t>interaction</w:t>
      </w:r>
      <w:r>
        <w:rPr>
          <w:spacing w:val="-9"/>
          <w:sz w:val="24"/>
        </w:rPr>
        <w:t> </w:t>
      </w:r>
      <w:r>
        <w:rPr>
          <w:spacing w:val="-4"/>
          <w:sz w:val="24"/>
        </w:rPr>
        <w:t>(public</w:t>
      </w:r>
      <w:r>
        <w:rPr>
          <w:spacing w:val="-10"/>
          <w:sz w:val="24"/>
        </w:rPr>
        <w:t> </w:t>
      </w:r>
      <w:r>
        <w:rPr>
          <w:spacing w:val="-4"/>
          <w:sz w:val="24"/>
        </w:rPr>
        <w:t>meeting</w:t>
      </w:r>
      <w:r>
        <w:rPr>
          <w:spacing w:val="-9"/>
          <w:sz w:val="24"/>
        </w:rPr>
        <w:t> </w:t>
      </w:r>
      <w:r>
        <w:rPr>
          <w:spacing w:val="-4"/>
          <w:sz w:val="24"/>
        </w:rPr>
        <w:t>attendance,</w:t>
      </w:r>
      <w:r>
        <w:rPr>
          <w:spacing w:val="-9"/>
          <w:sz w:val="24"/>
        </w:rPr>
        <w:t> </w:t>
      </w:r>
      <w:r>
        <w:rPr>
          <w:spacing w:val="-4"/>
          <w:sz w:val="24"/>
        </w:rPr>
        <w:t>website</w:t>
      </w:r>
      <w:r>
        <w:rPr>
          <w:spacing w:val="-9"/>
          <w:sz w:val="24"/>
        </w:rPr>
        <w:t> </w:t>
      </w:r>
      <w:r>
        <w:rPr>
          <w:spacing w:val="-4"/>
          <w:sz w:val="24"/>
        </w:rPr>
        <w:t>visits,</w:t>
      </w:r>
      <w:r>
        <w:rPr>
          <w:spacing w:val="-9"/>
          <w:sz w:val="24"/>
        </w:rPr>
        <w:t> </w:t>
      </w:r>
      <w:r>
        <w:rPr>
          <w:spacing w:val="-4"/>
          <w:sz w:val="24"/>
        </w:rPr>
        <w:t>etc),</w:t>
      </w:r>
      <w:r>
        <w:rPr>
          <w:spacing w:val="-9"/>
          <w:sz w:val="24"/>
        </w:rPr>
        <w:t> </w:t>
      </w:r>
      <w:r>
        <w:rPr>
          <w:spacing w:val="-4"/>
          <w:sz w:val="24"/>
        </w:rPr>
        <w:t>the </w:t>
      </w:r>
      <w:r>
        <w:rPr>
          <w:spacing w:val="-6"/>
          <w:sz w:val="24"/>
        </w:rPr>
        <w:t>language</w:t>
      </w:r>
      <w:r>
        <w:rPr>
          <w:spacing w:val="-14"/>
          <w:sz w:val="24"/>
        </w:rPr>
        <w:t> </w:t>
      </w:r>
      <w:r>
        <w:rPr>
          <w:spacing w:val="-6"/>
          <w:sz w:val="24"/>
        </w:rPr>
        <w:t>used,</w:t>
      </w:r>
      <w:r>
        <w:rPr>
          <w:spacing w:val="-15"/>
          <w:sz w:val="24"/>
        </w:rPr>
        <w:t> </w:t>
      </w:r>
      <w:r>
        <w:rPr>
          <w:spacing w:val="-6"/>
          <w:sz w:val="24"/>
        </w:rPr>
        <w:t>and</w:t>
      </w:r>
      <w:r>
        <w:rPr>
          <w:spacing w:val="-14"/>
          <w:sz w:val="24"/>
        </w:rPr>
        <w:t> </w:t>
      </w:r>
      <w:r>
        <w:rPr>
          <w:spacing w:val="-6"/>
          <w:sz w:val="24"/>
        </w:rPr>
        <w:t>any</w:t>
      </w:r>
      <w:r>
        <w:rPr>
          <w:spacing w:val="-15"/>
          <w:sz w:val="24"/>
        </w:rPr>
        <w:t> </w:t>
      </w:r>
      <w:r>
        <w:rPr>
          <w:spacing w:val="-6"/>
          <w:sz w:val="24"/>
        </w:rPr>
        <w:t>language</w:t>
      </w:r>
      <w:r>
        <w:rPr>
          <w:spacing w:val="-14"/>
          <w:sz w:val="24"/>
        </w:rPr>
        <w:t> </w:t>
      </w:r>
      <w:r>
        <w:rPr>
          <w:spacing w:val="-6"/>
          <w:sz w:val="24"/>
        </w:rPr>
        <w:t>assistance</w:t>
      </w:r>
      <w:r>
        <w:rPr>
          <w:spacing w:val="-14"/>
          <w:sz w:val="24"/>
        </w:rPr>
        <w:t> </w:t>
      </w:r>
      <w:r>
        <w:rPr>
          <w:spacing w:val="-6"/>
          <w:sz w:val="24"/>
        </w:rPr>
        <w:t>provided</w:t>
      </w:r>
      <w:r>
        <w:rPr>
          <w:spacing w:val="-14"/>
          <w:sz w:val="24"/>
        </w:rPr>
        <w:t> </w:t>
      </w:r>
      <w:r>
        <w:rPr>
          <w:spacing w:val="-6"/>
          <w:sz w:val="24"/>
        </w:rPr>
        <w:t>or</w:t>
      </w:r>
      <w:r>
        <w:rPr>
          <w:spacing w:val="-14"/>
          <w:sz w:val="24"/>
        </w:rPr>
        <w:t> </w:t>
      </w:r>
      <w:r>
        <w:rPr>
          <w:spacing w:val="-6"/>
          <w:sz w:val="24"/>
        </w:rPr>
        <w:t>requested.</w:t>
      </w:r>
    </w:p>
    <w:p>
      <w:pPr>
        <w:spacing w:after="0" w:line="256" w:lineRule="auto"/>
        <w:jc w:val="both"/>
        <w:rPr>
          <w:sz w:val="24"/>
        </w:rPr>
        <w:sectPr>
          <w:pgSz w:w="12240" w:h="15840"/>
          <w:pgMar w:header="0" w:footer="1023" w:top="960" w:bottom="1260" w:left="600" w:right="500"/>
        </w:sectPr>
      </w:pPr>
    </w:p>
    <w:p>
      <w:pPr>
        <w:pStyle w:val="ListParagraph"/>
        <w:numPr>
          <w:ilvl w:val="1"/>
          <w:numId w:val="35"/>
        </w:numPr>
        <w:tabs>
          <w:tab w:pos="1680" w:val="left" w:leader="none"/>
        </w:tabs>
        <w:spacing w:line="261" w:lineRule="auto" w:before="55" w:after="0"/>
        <w:ind w:left="1680" w:right="546" w:hanging="360"/>
        <w:jc w:val="both"/>
        <w:rPr>
          <w:sz w:val="24"/>
        </w:rPr>
      </w:pPr>
      <w:r>
        <w:rPr>
          <w:spacing w:val="-10"/>
          <w:sz w:val="24"/>
        </w:rPr>
        <w:t>MaineDOT</w:t>
      </w:r>
      <w:r>
        <w:rPr>
          <w:spacing w:val="-4"/>
          <w:sz w:val="24"/>
        </w:rPr>
        <w:t> </w:t>
      </w:r>
      <w:r>
        <w:rPr>
          <w:spacing w:val="-10"/>
          <w:sz w:val="24"/>
        </w:rPr>
        <w:t>will</w:t>
      </w:r>
      <w:r>
        <w:rPr>
          <w:spacing w:val="-4"/>
          <w:sz w:val="24"/>
        </w:rPr>
        <w:t> </w:t>
      </w:r>
      <w:r>
        <w:rPr>
          <w:spacing w:val="-10"/>
          <w:sz w:val="24"/>
        </w:rPr>
        <w:t>encourage</w:t>
      </w:r>
      <w:r>
        <w:rPr>
          <w:spacing w:val="-3"/>
          <w:sz w:val="24"/>
        </w:rPr>
        <w:t> </w:t>
      </w:r>
      <w:r>
        <w:rPr>
          <w:spacing w:val="-10"/>
          <w:sz w:val="24"/>
        </w:rPr>
        <w:t>feedback</w:t>
      </w:r>
      <w:r>
        <w:rPr>
          <w:spacing w:val="-4"/>
          <w:sz w:val="24"/>
        </w:rPr>
        <w:t> </w:t>
      </w:r>
      <w:r>
        <w:rPr>
          <w:spacing w:val="-10"/>
          <w:sz w:val="24"/>
        </w:rPr>
        <w:t>proactively</w:t>
      </w:r>
      <w:r>
        <w:rPr>
          <w:spacing w:val="-3"/>
          <w:sz w:val="24"/>
        </w:rPr>
        <w:t> </w:t>
      </w:r>
      <w:r>
        <w:rPr>
          <w:spacing w:val="-10"/>
          <w:sz w:val="24"/>
        </w:rPr>
        <w:t>from</w:t>
      </w:r>
      <w:r>
        <w:rPr>
          <w:spacing w:val="-4"/>
          <w:sz w:val="24"/>
        </w:rPr>
        <w:t> </w:t>
      </w:r>
      <w:r>
        <w:rPr>
          <w:spacing w:val="-10"/>
          <w:sz w:val="24"/>
        </w:rPr>
        <w:t>LEP</w:t>
      </w:r>
      <w:r>
        <w:rPr>
          <w:spacing w:val="-3"/>
          <w:sz w:val="24"/>
        </w:rPr>
        <w:t> </w:t>
      </w:r>
      <w:r>
        <w:rPr>
          <w:spacing w:val="-10"/>
          <w:sz w:val="24"/>
        </w:rPr>
        <w:t>individuals</w:t>
      </w:r>
      <w:r>
        <w:rPr>
          <w:spacing w:val="-4"/>
          <w:sz w:val="24"/>
        </w:rPr>
        <w:t> </w:t>
      </w:r>
      <w:r>
        <w:rPr>
          <w:spacing w:val="-10"/>
          <w:sz w:val="24"/>
        </w:rPr>
        <w:t>who</w:t>
      </w:r>
      <w:r>
        <w:rPr>
          <w:spacing w:val="-4"/>
          <w:sz w:val="24"/>
        </w:rPr>
        <w:t> </w:t>
      </w:r>
      <w:r>
        <w:rPr>
          <w:spacing w:val="-10"/>
          <w:sz w:val="24"/>
        </w:rPr>
        <w:t>interact</w:t>
      </w:r>
      <w:r>
        <w:rPr>
          <w:spacing w:val="-3"/>
          <w:sz w:val="24"/>
        </w:rPr>
        <w:t> </w:t>
      </w:r>
      <w:r>
        <w:rPr>
          <w:spacing w:val="-10"/>
          <w:sz w:val="24"/>
        </w:rPr>
        <w:t>with</w:t>
      </w:r>
      <w:r>
        <w:rPr>
          <w:spacing w:val="-4"/>
          <w:sz w:val="24"/>
        </w:rPr>
        <w:t> </w:t>
      </w:r>
      <w:r>
        <w:rPr>
          <w:spacing w:val="-10"/>
          <w:sz w:val="24"/>
        </w:rPr>
        <w:t>MaineDOT</w:t>
      </w:r>
      <w:r>
        <w:rPr>
          <w:spacing w:val="-3"/>
          <w:sz w:val="24"/>
        </w:rPr>
        <w:t> </w:t>
      </w:r>
      <w:r>
        <w:rPr>
          <w:spacing w:val="-10"/>
          <w:sz w:val="24"/>
        </w:rPr>
        <w:t>or its</w:t>
      </w:r>
      <w:r>
        <w:rPr>
          <w:spacing w:val="-4"/>
          <w:sz w:val="24"/>
        </w:rPr>
        <w:t> </w:t>
      </w:r>
      <w:r>
        <w:rPr>
          <w:spacing w:val="-10"/>
          <w:sz w:val="24"/>
        </w:rPr>
        <w:t>subrecipients.</w:t>
      </w:r>
      <w:r>
        <w:rPr>
          <w:spacing w:val="-1"/>
          <w:sz w:val="24"/>
        </w:rPr>
        <w:t> </w:t>
      </w:r>
      <w:r>
        <w:rPr>
          <w:spacing w:val="-10"/>
          <w:sz w:val="24"/>
        </w:rPr>
        <w:t>This</w:t>
      </w:r>
      <w:r>
        <w:rPr>
          <w:spacing w:val="-4"/>
          <w:sz w:val="24"/>
        </w:rPr>
        <w:t> </w:t>
      </w:r>
      <w:r>
        <w:rPr>
          <w:spacing w:val="-10"/>
          <w:sz w:val="24"/>
        </w:rPr>
        <w:t>will</w:t>
      </w:r>
      <w:r>
        <w:rPr>
          <w:spacing w:val="-3"/>
          <w:sz w:val="24"/>
        </w:rPr>
        <w:t> </w:t>
      </w:r>
      <w:r>
        <w:rPr>
          <w:spacing w:val="-10"/>
          <w:sz w:val="24"/>
        </w:rPr>
        <w:t>be</w:t>
      </w:r>
      <w:r>
        <w:rPr>
          <w:spacing w:val="-4"/>
          <w:sz w:val="24"/>
        </w:rPr>
        <w:t> </w:t>
      </w:r>
      <w:r>
        <w:rPr>
          <w:spacing w:val="-10"/>
          <w:sz w:val="24"/>
        </w:rPr>
        <w:t>through</w:t>
      </w:r>
      <w:r>
        <w:rPr>
          <w:spacing w:val="-3"/>
          <w:sz w:val="24"/>
        </w:rPr>
        <w:t> </w:t>
      </w:r>
      <w:r>
        <w:rPr>
          <w:spacing w:val="-10"/>
          <w:sz w:val="24"/>
        </w:rPr>
        <w:t>written</w:t>
      </w:r>
      <w:r>
        <w:rPr>
          <w:spacing w:val="-4"/>
          <w:sz w:val="24"/>
        </w:rPr>
        <w:t> </w:t>
      </w:r>
      <w:r>
        <w:rPr>
          <w:spacing w:val="-10"/>
          <w:sz w:val="24"/>
        </w:rPr>
        <w:t>surveys,</w:t>
      </w:r>
      <w:r>
        <w:rPr>
          <w:spacing w:val="-4"/>
          <w:sz w:val="24"/>
        </w:rPr>
        <w:t> </w:t>
      </w:r>
      <w:r>
        <w:rPr>
          <w:spacing w:val="-10"/>
          <w:sz w:val="24"/>
        </w:rPr>
        <w:t>feedback</w:t>
      </w:r>
      <w:r>
        <w:rPr>
          <w:spacing w:val="-3"/>
          <w:sz w:val="24"/>
        </w:rPr>
        <w:t> </w:t>
      </w:r>
      <w:r>
        <w:rPr>
          <w:spacing w:val="-10"/>
          <w:sz w:val="24"/>
        </w:rPr>
        <w:t>forms</w:t>
      </w:r>
      <w:r>
        <w:rPr>
          <w:spacing w:val="-4"/>
          <w:sz w:val="24"/>
        </w:rPr>
        <w:t> </w:t>
      </w:r>
      <w:r>
        <w:rPr>
          <w:spacing w:val="-10"/>
          <w:sz w:val="24"/>
        </w:rPr>
        <w:t>at</w:t>
      </w:r>
      <w:r>
        <w:rPr>
          <w:spacing w:val="-3"/>
          <w:sz w:val="24"/>
        </w:rPr>
        <w:t> </w:t>
      </w:r>
      <w:r>
        <w:rPr>
          <w:spacing w:val="-10"/>
          <w:sz w:val="24"/>
        </w:rPr>
        <w:t>public</w:t>
      </w:r>
      <w:r>
        <w:rPr>
          <w:spacing w:val="-4"/>
          <w:sz w:val="24"/>
        </w:rPr>
        <w:t> </w:t>
      </w:r>
      <w:r>
        <w:rPr>
          <w:spacing w:val="-10"/>
          <w:sz w:val="24"/>
        </w:rPr>
        <w:t>meetings,</w:t>
      </w:r>
      <w:r>
        <w:rPr>
          <w:spacing w:val="-3"/>
          <w:sz w:val="24"/>
        </w:rPr>
        <w:t> </w:t>
      </w:r>
      <w:r>
        <w:rPr>
          <w:spacing w:val="-10"/>
          <w:sz w:val="24"/>
        </w:rPr>
        <w:t>and</w:t>
      </w:r>
      <w:r>
        <w:rPr>
          <w:spacing w:val="-4"/>
          <w:sz w:val="24"/>
        </w:rPr>
        <w:t> </w:t>
      </w:r>
      <w:r>
        <w:rPr>
          <w:spacing w:val="-10"/>
          <w:sz w:val="24"/>
        </w:rPr>
        <w:t>online </w:t>
      </w:r>
      <w:r>
        <w:rPr>
          <w:spacing w:val="-2"/>
          <w:sz w:val="24"/>
        </w:rPr>
        <w:t>channels.</w:t>
      </w:r>
    </w:p>
    <w:p>
      <w:pPr>
        <w:pStyle w:val="ListParagraph"/>
        <w:numPr>
          <w:ilvl w:val="1"/>
          <w:numId w:val="35"/>
        </w:numPr>
        <w:tabs>
          <w:tab w:pos="1680" w:val="left" w:leader="none"/>
        </w:tabs>
        <w:spacing w:line="256" w:lineRule="auto" w:before="122" w:after="0"/>
        <w:ind w:left="1680" w:right="549" w:hanging="360"/>
        <w:jc w:val="both"/>
        <w:rPr>
          <w:sz w:val="24"/>
        </w:rPr>
      </w:pPr>
      <w:r>
        <w:rPr>
          <w:spacing w:val="-10"/>
          <w:sz w:val="24"/>
        </w:rPr>
        <w:t>MaineDOT</w:t>
      </w:r>
      <w:r>
        <w:rPr>
          <w:sz w:val="24"/>
        </w:rPr>
        <w:t> </w:t>
      </w:r>
      <w:r>
        <w:rPr>
          <w:spacing w:val="-10"/>
          <w:sz w:val="24"/>
        </w:rPr>
        <w:t>will</w:t>
      </w:r>
      <w:r>
        <w:rPr>
          <w:sz w:val="24"/>
        </w:rPr>
        <w:t> </w:t>
      </w:r>
      <w:r>
        <w:rPr>
          <w:spacing w:val="-10"/>
          <w:sz w:val="24"/>
        </w:rPr>
        <w:t>collect</w:t>
      </w:r>
      <w:r>
        <w:rPr>
          <w:sz w:val="24"/>
        </w:rPr>
        <w:t> </w:t>
      </w:r>
      <w:r>
        <w:rPr>
          <w:spacing w:val="-10"/>
          <w:sz w:val="24"/>
        </w:rPr>
        <w:t>information</w:t>
      </w:r>
      <w:r>
        <w:rPr>
          <w:sz w:val="24"/>
        </w:rPr>
        <w:t> </w:t>
      </w:r>
      <w:r>
        <w:rPr>
          <w:spacing w:val="-10"/>
          <w:sz w:val="24"/>
        </w:rPr>
        <w:t>on</w:t>
      </w:r>
      <w:r>
        <w:rPr>
          <w:sz w:val="24"/>
        </w:rPr>
        <w:t> </w:t>
      </w:r>
      <w:r>
        <w:rPr>
          <w:spacing w:val="-10"/>
          <w:sz w:val="24"/>
        </w:rPr>
        <w:t>their</w:t>
      </w:r>
      <w:r>
        <w:rPr>
          <w:sz w:val="24"/>
        </w:rPr>
        <w:t> </w:t>
      </w:r>
      <w:r>
        <w:rPr>
          <w:spacing w:val="-10"/>
          <w:sz w:val="24"/>
        </w:rPr>
        <w:t>experience</w:t>
      </w:r>
      <w:r>
        <w:rPr>
          <w:sz w:val="24"/>
        </w:rPr>
        <w:t> </w:t>
      </w:r>
      <w:r>
        <w:rPr>
          <w:spacing w:val="-10"/>
          <w:sz w:val="24"/>
        </w:rPr>
        <w:t>with</w:t>
      </w:r>
      <w:r>
        <w:rPr>
          <w:sz w:val="24"/>
        </w:rPr>
        <w:t> </w:t>
      </w:r>
      <w:r>
        <w:rPr>
          <w:spacing w:val="-10"/>
          <w:sz w:val="24"/>
        </w:rPr>
        <w:t>language</w:t>
      </w:r>
      <w:r>
        <w:rPr>
          <w:sz w:val="24"/>
        </w:rPr>
        <w:t> </w:t>
      </w:r>
      <w:r>
        <w:rPr>
          <w:spacing w:val="-10"/>
          <w:sz w:val="24"/>
        </w:rPr>
        <w:t>barriers</w:t>
      </w:r>
      <w:r>
        <w:rPr>
          <w:sz w:val="24"/>
        </w:rPr>
        <w:t> </w:t>
      </w:r>
      <w:r>
        <w:rPr>
          <w:spacing w:val="-10"/>
          <w:sz w:val="24"/>
        </w:rPr>
        <w:t>and</w:t>
      </w:r>
      <w:r>
        <w:rPr>
          <w:sz w:val="24"/>
        </w:rPr>
        <w:t> </w:t>
      </w:r>
      <w:r>
        <w:rPr>
          <w:spacing w:val="-10"/>
          <w:sz w:val="24"/>
        </w:rPr>
        <w:t>the</w:t>
      </w:r>
      <w:r>
        <w:rPr>
          <w:sz w:val="24"/>
        </w:rPr>
        <w:t> </w:t>
      </w:r>
      <w:r>
        <w:rPr>
          <w:spacing w:val="-10"/>
          <w:sz w:val="24"/>
        </w:rPr>
        <w:t>effectiveness </w:t>
      </w:r>
      <w:r>
        <w:rPr>
          <w:spacing w:val="-4"/>
          <w:sz w:val="24"/>
        </w:rPr>
        <w:t>of</w:t>
      </w:r>
      <w:r>
        <w:rPr>
          <w:spacing w:val="-16"/>
          <w:sz w:val="24"/>
        </w:rPr>
        <w:t> </w:t>
      </w:r>
      <w:r>
        <w:rPr>
          <w:spacing w:val="-4"/>
          <w:sz w:val="24"/>
        </w:rPr>
        <w:t>any</w:t>
      </w:r>
      <w:r>
        <w:rPr>
          <w:spacing w:val="-17"/>
          <w:sz w:val="24"/>
        </w:rPr>
        <w:t> </w:t>
      </w:r>
      <w:r>
        <w:rPr>
          <w:spacing w:val="-4"/>
          <w:sz w:val="24"/>
        </w:rPr>
        <w:t>language</w:t>
      </w:r>
      <w:r>
        <w:rPr>
          <w:spacing w:val="-16"/>
          <w:sz w:val="24"/>
        </w:rPr>
        <w:t> </w:t>
      </w:r>
      <w:r>
        <w:rPr>
          <w:spacing w:val="-4"/>
          <w:sz w:val="24"/>
        </w:rPr>
        <w:t>assistance</w:t>
      </w:r>
      <w:r>
        <w:rPr>
          <w:spacing w:val="-14"/>
          <w:sz w:val="24"/>
        </w:rPr>
        <w:t> </w:t>
      </w:r>
      <w:r>
        <w:rPr>
          <w:spacing w:val="-4"/>
          <w:sz w:val="24"/>
        </w:rPr>
        <w:t>provided</w:t>
      </w:r>
      <w:r>
        <w:rPr>
          <w:spacing w:val="-16"/>
          <w:sz w:val="24"/>
        </w:rPr>
        <w:t> </w:t>
      </w:r>
      <w:r>
        <w:rPr>
          <w:spacing w:val="-4"/>
          <w:sz w:val="24"/>
        </w:rPr>
        <w:t>to</w:t>
      </w:r>
      <w:r>
        <w:rPr>
          <w:spacing w:val="-16"/>
          <w:sz w:val="24"/>
        </w:rPr>
        <w:t> </w:t>
      </w:r>
      <w:r>
        <w:rPr>
          <w:spacing w:val="-4"/>
          <w:sz w:val="24"/>
        </w:rPr>
        <w:t>them.</w:t>
      </w:r>
    </w:p>
    <w:p>
      <w:pPr>
        <w:pStyle w:val="ListParagraph"/>
        <w:numPr>
          <w:ilvl w:val="1"/>
          <w:numId w:val="35"/>
        </w:numPr>
        <w:tabs>
          <w:tab w:pos="1680" w:val="left" w:leader="none"/>
        </w:tabs>
        <w:spacing w:line="259" w:lineRule="auto" w:before="128" w:after="0"/>
        <w:ind w:left="1680" w:right="548" w:hanging="360"/>
        <w:jc w:val="both"/>
        <w:rPr>
          <w:sz w:val="24"/>
        </w:rPr>
      </w:pPr>
      <w:r>
        <w:rPr>
          <w:spacing w:val="-8"/>
          <w:sz w:val="24"/>
        </w:rPr>
        <w:t>MaineDOT</w:t>
      </w:r>
      <w:r>
        <w:rPr>
          <w:spacing w:val="-6"/>
          <w:sz w:val="24"/>
        </w:rPr>
        <w:t> </w:t>
      </w:r>
      <w:r>
        <w:rPr>
          <w:spacing w:val="-8"/>
          <w:sz w:val="24"/>
        </w:rPr>
        <w:t>will</w:t>
      </w:r>
      <w:r>
        <w:rPr>
          <w:spacing w:val="-6"/>
          <w:sz w:val="24"/>
        </w:rPr>
        <w:t> </w:t>
      </w:r>
      <w:r>
        <w:rPr>
          <w:spacing w:val="-8"/>
          <w:sz w:val="24"/>
        </w:rPr>
        <w:t>regularly</w:t>
      </w:r>
      <w:r>
        <w:rPr>
          <w:spacing w:val="-5"/>
          <w:sz w:val="24"/>
        </w:rPr>
        <w:t> </w:t>
      </w:r>
      <w:r>
        <w:rPr>
          <w:spacing w:val="-8"/>
          <w:sz w:val="24"/>
        </w:rPr>
        <w:t>review</w:t>
      </w:r>
      <w:r>
        <w:rPr>
          <w:spacing w:val="-6"/>
          <w:sz w:val="24"/>
        </w:rPr>
        <w:t> </w:t>
      </w:r>
      <w:r>
        <w:rPr>
          <w:spacing w:val="-8"/>
          <w:sz w:val="24"/>
        </w:rPr>
        <w:t>and</w:t>
      </w:r>
      <w:r>
        <w:rPr>
          <w:spacing w:val="-5"/>
          <w:sz w:val="24"/>
        </w:rPr>
        <w:t> </w:t>
      </w:r>
      <w:r>
        <w:rPr>
          <w:spacing w:val="-8"/>
          <w:sz w:val="24"/>
        </w:rPr>
        <w:t>analyze</w:t>
      </w:r>
      <w:r>
        <w:rPr>
          <w:spacing w:val="-6"/>
          <w:sz w:val="24"/>
        </w:rPr>
        <w:t> </w:t>
      </w:r>
      <w:r>
        <w:rPr>
          <w:spacing w:val="-8"/>
          <w:sz w:val="24"/>
        </w:rPr>
        <w:t>the</w:t>
      </w:r>
      <w:r>
        <w:rPr>
          <w:spacing w:val="-5"/>
          <w:sz w:val="24"/>
        </w:rPr>
        <w:t> </w:t>
      </w:r>
      <w:r>
        <w:rPr>
          <w:spacing w:val="-8"/>
          <w:sz w:val="24"/>
        </w:rPr>
        <w:t>data</w:t>
      </w:r>
      <w:r>
        <w:rPr>
          <w:spacing w:val="-6"/>
          <w:sz w:val="24"/>
        </w:rPr>
        <w:t> </w:t>
      </w:r>
      <w:r>
        <w:rPr>
          <w:spacing w:val="-8"/>
          <w:sz w:val="24"/>
        </w:rPr>
        <w:t>collected</w:t>
      </w:r>
      <w:r>
        <w:rPr>
          <w:spacing w:val="-6"/>
          <w:sz w:val="24"/>
        </w:rPr>
        <w:t> </w:t>
      </w:r>
      <w:r>
        <w:rPr>
          <w:spacing w:val="-8"/>
          <w:sz w:val="24"/>
        </w:rPr>
        <w:t>to</w:t>
      </w:r>
      <w:r>
        <w:rPr>
          <w:spacing w:val="-5"/>
          <w:sz w:val="24"/>
        </w:rPr>
        <w:t> </w:t>
      </w:r>
      <w:r>
        <w:rPr>
          <w:spacing w:val="-8"/>
          <w:sz w:val="24"/>
        </w:rPr>
        <w:t>identify</w:t>
      </w:r>
      <w:r>
        <w:rPr>
          <w:spacing w:val="-6"/>
          <w:sz w:val="24"/>
        </w:rPr>
        <w:t> </w:t>
      </w:r>
      <w:r>
        <w:rPr>
          <w:spacing w:val="-8"/>
          <w:sz w:val="24"/>
        </w:rPr>
        <w:t>trends</w:t>
      </w:r>
      <w:r>
        <w:rPr>
          <w:spacing w:val="-5"/>
          <w:sz w:val="24"/>
        </w:rPr>
        <w:t> </w:t>
      </w:r>
      <w:r>
        <w:rPr>
          <w:spacing w:val="-8"/>
          <w:sz w:val="24"/>
        </w:rPr>
        <w:t>and</w:t>
      </w:r>
      <w:r>
        <w:rPr>
          <w:spacing w:val="-6"/>
          <w:sz w:val="24"/>
        </w:rPr>
        <w:t> </w:t>
      </w:r>
      <w:r>
        <w:rPr>
          <w:spacing w:val="-8"/>
          <w:sz w:val="24"/>
        </w:rPr>
        <w:t>patterns.</w:t>
      </w:r>
      <w:r>
        <w:rPr>
          <w:spacing w:val="-5"/>
          <w:sz w:val="24"/>
        </w:rPr>
        <w:t> </w:t>
      </w:r>
      <w:r>
        <w:rPr>
          <w:spacing w:val="-8"/>
          <w:sz w:val="24"/>
        </w:rPr>
        <w:t>This </w:t>
      </w:r>
      <w:r>
        <w:rPr>
          <w:sz w:val="24"/>
        </w:rPr>
        <w:t>will</w:t>
      </w:r>
      <w:r>
        <w:rPr>
          <w:spacing w:val="-19"/>
          <w:sz w:val="24"/>
        </w:rPr>
        <w:t> </w:t>
      </w:r>
      <w:r>
        <w:rPr>
          <w:sz w:val="24"/>
        </w:rPr>
        <w:t>be</w:t>
      </w:r>
      <w:r>
        <w:rPr>
          <w:spacing w:val="-18"/>
          <w:sz w:val="24"/>
        </w:rPr>
        <w:t> </w:t>
      </w:r>
      <w:r>
        <w:rPr>
          <w:sz w:val="24"/>
        </w:rPr>
        <w:t>done</w:t>
      </w:r>
      <w:r>
        <w:rPr>
          <w:spacing w:val="-18"/>
          <w:sz w:val="24"/>
        </w:rPr>
        <w:t> </w:t>
      </w:r>
      <w:r>
        <w:rPr>
          <w:sz w:val="24"/>
        </w:rPr>
        <w:t>triennially.</w:t>
      </w:r>
    </w:p>
    <w:p>
      <w:pPr>
        <w:pStyle w:val="ListParagraph"/>
        <w:numPr>
          <w:ilvl w:val="1"/>
          <w:numId w:val="35"/>
        </w:numPr>
        <w:tabs>
          <w:tab w:pos="1679" w:val="left" w:leader="none"/>
        </w:tabs>
        <w:spacing w:line="256" w:lineRule="auto" w:before="126" w:after="0"/>
        <w:ind w:left="1679" w:right="552" w:hanging="360"/>
        <w:jc w:val="both"/>
        <w:rPr>
          <w:sz w:val="24"/>
        </w:rPr>
      </w:pPr>
      <w:r>
        <w:rPr>
          <w:spacing w:val="-10"/>
          <w:sz w:val="24"/>
        </w:rPr>
        <w:t>MaineDOT</w:t>
      </w:r>
      <w:r>
        <w:rPr>
          <w:spacing w:val="-3"/>
          <w:sz w:val="24"/>
        </w:rPr>
        <w:t> </w:t>
      </w:r>
      <w:r>
        <w:rPr>
          <w:spacing w:val="-10"/>
          <w:sz w:val="24"/>
        </w:rPr>
        <w:t>will</w:t>
      </w:r>
      <w:r>
        <w:rPr>
          <w:spacing w:val="-2"/>
          <w:sz w:val="24"/>
        </w:rPr>
        <w:t> </w:t>
      </w:r>
      <w:r>
        <w:rPr>
          <w:spacing w:val="-10"/>
          <w:sz w:val="24"/>
        </w:rPr>
        <w:t>identify</w:t>
      </w:r>
      <w:r>
        <w:rPr>
          <w:spacing w:val="-4"/>
          <w:sz w:val="24"/>
        </w:rPr>
        <w:t> </w:t>
      </w:r>
      <w:r>
        <w:rPr>
          <w:spacing w:val="-10"/>
          <w:sz w:val="24"/>
        </w:rPr>
        <w:t>which</w:t>
      </w:r>
      <w:r>
        <w:rPr>
          <w:sz w:val="24"/>
        </w:rPr>
        <w:t> </w:t>
      </w:r>
      <w:r>
        <w:rPr>
          <w:spacing w:val="-10"/>
          <w:sz w:val="24"/>
        </w:rPr>
        <w:t>touchpoints</w:t>
      </w:r>
      <w:r>
        <w:rPr>
          <w:spacing w:val="-4"/>
          <w:sz w:val="24"/>
        </w:rPr>
        <w:t> </w:t>
      </w:r>
      <w:r>
        <w:rPr>
          <w:spacing w:val="-10"/>
          <w:sz w:val="24"/>
        </w:rPr>
        <w:t>have</w:t>
      </w:r>
      <w:r>
        <w:rPr>
          <w:spacing w:val="-2"/>
          <w:sz w:val="24"/>
        </w:rPr>
        <w:t> </w:t>
      </w:r>
      <w:r>
        <w:rPr>
          <w:spacing w:val="-10"/>
          <w:sz w:val="24"/>
        </w:rPr>
        <w:t>the</w:t>
      </w:r>
      <w:r>
        <w:rPr>
          <w:spacing w:val="-2"/>
          <w:sz w:val="24"/>
        </w:rPr>
        <w:t> </w:t>
      </w:r>
      <w:r>
        <w:rPr>
          <w:spacing w:val="-10"/>
          <w:sz w:val="24"/>
        </w:rPr>
        <w:t>highest</w:t>
      </w:r>
      <w:r>
        <w:rPr>
          <w:spacing w:val="-1"/>
          <w:sz w:val="24"/>
        </w:rPr>
        <w:t> </w:t>
      </w:r>
      <w:r>
        <w:rPr>
          <w:spacing w:val="-10"/>
          <w:sz w:val="24"/>
        </w:rPr>
        <w:t>frequency</w:t>
      </w:r>
      <w:r>
        <w:rPr>
          <w:spacing w:val="-4"/>
          <w:sz w:val="24"/>
        </w:rPr>
        <w:t> </w:t>
      </w:r>
      <w:r>
        <w:rPr>
          <w:spacing w:val="-10"/>
          <w:sz w:val="24"/>
        </w:rPr>
        <w:t>or</w:t>
      </w:r>
      <w:r>
        <w:rPr>
          <w:spacing w:val="-2"/>
          <w:sz w:val="24"/>
        </w:rPr>
        <w:t> </w:t>
      </w:r>
      <w:r>
        <w:rPr>
          <w:spacing w:val="-10"/>
          <w:sz w:val="24"/>
        </w:rPr>
        <w:t>LEP</w:t>
      </w:r>
      <w:r>
        <w:rPr>
          <w:spacing w:val="-2"/>
          <w:sz w:val="24"/>
        </w:rPr>
        <w:t> </w:t>
      </w:r>
      <w:r>
        <w:rPr>
          <w:spacing w:val="-10"/>
          <w:sz w:val="24"/>
        </w:rPr>
        <w:t>interactions</w:t>
      </w:r>
      <w:r>
        <w:rPr>
          <w:spacing w:val="-4"/>
          <w:sz w:val="24"/>
        </w:rPr>
        <w:t> </w:t>
      </w:r>
      <w:r>
        <w:rPr>
          <w:spacing w:val="-10"/>
          <w:sz w:val="24"/>
        </w:rPr>
        <w:t>and</w:t>
      </w:r>
      <w:r>
        <w:rPr>
          <w:sz w:val="24"/>
        </w:rPr>
        <w:t> </w:t>
      </w:r>
      <w:r>
        <w:rPr>
          <w:spacing w:val="-10"/>
          <w:sz w:val="24"/>
        </w:rPr>
        <w:t>which </w:t>
      </w:r>
      <w:r>
        <w:rPr>
          <w:spacing w:val="-2"/>
          <w:sz w:val="24"/>
        </w:rPr>
        <w:t>languages</w:t>
      </w:r>
      <w:r>
        <w:rPr>
          <w:spacing w:val="-19"/>
          <w:sz w:val="24"/>
        </w:rPr>
        <w:t> </w:t>
      </w:r>
      <w:r>
        <w:rPr>
          <w:spacing w:val="-2"/>
          <w:sz w:val="24"/>
        </w:rPr>
        <w:t>are</w:t>
      </w:r>
      <w:r>
        <w:rPr>
          <w:spacing w:val="-18"/>
          <w:sz w:val="24"/>
        </w:rPr>
        <w:t> </w:t>
      </w:r>
      <w:r>
        <w:rPr>
          <w:spacing w:val="-2"/>
          <w:sz w:val="24"/>
        </w:rPr>
        <w:t>most</w:t>
      </w:r>
      <w:r>
        <w:rPr>
          <w:spacing w:val="-18"/>
          <w:sz w:val="24"/>
        </w:rPr>
        <w:t> </w:t>
      </w:r>
      <w:r>
        <w:rPr>
          <w:spacing w:val="-2"/>
          <w:sz w:val="24"/>
        </w:rPr>
        <w:t>commonly</w:t>
      </w:r>
      <w:r>
        <w:rPr>
          <w:spacing w:val="-19"/>
          <w:sz w:val="24"/>
        </w:rPr>
        <w:t> </w:t>
      </w:r>
      <w:r>
        <w:rPr>
          <w:spacing w:val="-2"/>
          <w:sz w:val="24"/>
        </w:rPr>
        <w:t>needed.</w:t>
      </w:r>
    </w:p>
    <w:p>
      <w:pPr>
        <w:pStyle w:val="ListParagraph"/>
        <w:numPr>
          <w:ilvl w:val="1"/>
          <w:numId w:val="35"/>
        </w:numPr>
        <w:tabs>
          <w:tab w:pos="1679" w:val="left" w:leader="none"/>
        </w:tabs>
        <w:spacing w:line="261" w:lineRule="auto" w:before="128" w:after="0"/>
        <w:ind w:left="1679" w:right="551" w:hanging="360"/>
        <w:jc w:val="both"/>
        <w:rPr>
          <w:sz w:val="24"/>
        </w:rPr>
      </w:pPr>
      <w:r>
        <w:rPr>
          <w:spacing w:val="-4"/>
          <w:sz w:val="24"/>
        </w:rPr>
        <w:t>MaineDOT</w:t>
      </w:r>
      <w:r>
        <w:rPr>
          <w:spacing w:val="-10"/>
          <w:sz w:val="24"/>
        </w:rPr>
        <w:t> </w:t>
      </w:r>
      <w:r>
        <w:rPr>
          <w:spacing w:val="-4"/>
          <w:sz w:val="24"/>
        </w:rPr>
        <w:t>will,</w:t>
      </w:r>
      <w:r>
        <w:rPr>
          <w:spacing w:val="-10"/>
          <w:sz w:val="24"/>
        </w:rPr>
        <w:t> </w:t>
      </w:r>
      <w:r>
        <w:rPr>
          <w:spacing w:val="-4"/>
          <w:sz w:val="24"/>
        </w:rPr>
        <w:t>based</w:t>
      </w:r>
      <w:r>
        <w:rPr>
          <w:spacing w:val="-9"/>
          <w:sz w:val="24"/>
        </w:rPr>
        <w:t> </w:t>
      </w:r>
      <w:r>
        <w:rPr>
          <w:spacing w:val="-4"/>
          <w:sz w:val="24"/>
        </w:rPr>
        <w:t>on</w:t>
      </w:r>
      <w:r>
        <w:rPr>
          <w:spacing w:val="-10"/>
          <w:sz w:val="24"/>
        </w:rPr>
        <w:t> </w:t>
      </w:r>
      <w:r>
        <w:rPr>
          <w:spacing w:val="-4"/>
          <w:sz w:val="24"/>
        </w:rPr>
        <w:t>the</w:t>
      </w:r>
      <w:r>
        <w:rPr>
          <w:spacing w:val="-9"/>
          <w:sz w:val="24"/>
        </w:rPr>
        <w:t> </w:t>
      </w:r>
      <w:r>
        <w:rPr>
          <w:spacing w:val="-4"/>
          <w:sz w:val="24"/>
        </w:rPr>
        <w:t>analysis,</w:t>
      </w:r>
      <w:r>
        <w:rPr>
          <w:spacing w:val="-10"/>
          <w:sz w:val="24"/>
        </w:rPr>
        <w:t> </w:t>
      </w:r>
      <w:r>
        <w:rPr>
          <w:spacing w:val="-4"/>
          <w:sz w:val="24"/>
        </w:rPr>
        <w:t>make</w:t>
      </w:r>
      <w:r>
        <w:rPr>
          <w:spacing w:val="-9"/>
          <w:sz w:val="24"/>
        </w:rPr>
        <w:t> </w:t>
      </w:r>
      <w:r>
        <w:rPr>
          <w:spacing w:val="-4"/>
          <w:sz w:val="24"/>
        </w:rPr>
        <w:t>adjustments</w:t>
      </w:r>
      <w:r>
        <w:rPr>
          <w:spacing w:val="-10"/>
          <w:sz w:val="24"/>
        </w:rPr>
        <w:t> </w:t>
      </w:r>
      <w:r>
        <w:rPr>
          <w:spacing w:val="-4"/>
          <w:sz w:val="24"/>
        </w:rPr>
        <w:t>to</w:t>
      </w:r>
      <w:r>
        <w:rPr>
          <w:spacing w:val="-10"/>
          <w:sz w:val="24"/>
        </w:rPr>
        <w:t> </w:t>
      </w:r>
      <w:r>
        <w:rPr>
          <w:spacing w:val="-4"/>
          <w:sz w:val="24"/>
        </w:rPr>
        <w:t>its</w:t>
      </w:r>
      <w:r>
        <w:rPr>
          <w:spacing w:val="-9"/>
          <w:sz w:val="24"/>
        </w:rPr>
        <w:t> </w:t>
      </w:r>
      <w:r>
        <w:rPr>
          <w:spacing w:val="-4"/>
          <w:sz w:val="24"/>
        </w:rPr>
        <w:t>language</w:t>
      </w:r>
      <w:r>
        <w:rPr>
          <w:spacing w:val="-10"/>
          <w:sz w:val="24"/>
        </w:rPr>
        <w:t> </w:t>
      </w:r>
      <w:r>
        <w:rPr>
          <w:spacing w:val="-4"/>
          <w:sz w:val="24"/>
        </w:rPr>
        <w:t>assistance</w:t>
      </w:r>
      <w:r>
        <w:rPr>
          <w:spacing w:val="-9"/>
          <w:sz w:val="24"/>
        </w:rPr>
        <w:t> </w:t>
      </w:r>
      <w:r>
        <w:rPr>
          <w:spacing w:val="-4"/>
          <w:sz w:val="24"/>
        </w:rPr>
        <w:t>strategies</w:t>
      </w:r>
      <w:r>
        <w:rPr>
          <w:spacing w:val="-10"/>
          <w:sz w:val="24"/>
        </w:rPr>
        <w:t> </w:t>
      </w:r>
      <w:r>
        <w:rPr>
          <w:spacing w:val="-4"/>
          <w:sz w:val="24"/>
        </w:rPr>
        <w:t>as </w:t>
      </w:r>
      <w:r>
        <w:rPr>
          <w:spacing w:val="-8"/>
          <w:sz w:val="24"/>
        </w:rPr>
        <w:t>needed.</w:t>
      </w:r>
      <w:r>
        <w:rPr>
          <w:spacing w:val="-6"/>
          <w:sz w:val="24"/>
        </w:rPr>
        <w:t> </w:t>
      </w:r>
      <w:r>
        <w:rPr>
          <w:spacing w:val="-8"/>
          <w:sz w:val="24"/>
        </w:rPr>
        <w:t>For</w:t>
      </w:r>
      <w:r>
        <w:rPr>
          <w:spacing w:val="-6"/>
          <w:sz w:val="24"/>
        </w:rPr>
        <w:t> </w:t>
      </w:r>
      <w:r>
        <w:rPr>
          <w:spacing w:val="-8"/>
          <w:sz w:val="24"/>
        </w:rPr>
        <w:t>any</w:t>
      </w:r>
      <w:r>
        <w:rPr>
          <w:spacing w:val="-5"/>
          <w:sz w:val="24"/>
        </w:rPr>
        <w:t> </w:t>
      </w:r>
      <w:r>
        <w:rPr>
          <w:spacing w:val="-8"/>
          <w:sz w:val="24"/>
        </w:rPr>
        <w:t>touchpoints</w:t>
      </w:r>
      <w:r>
        <w:rPr>
          <w:spacing w:val="-6"/>
          <w:sz w:val="24"/>
        </w:rPr>
        <w:t> </w:t>
      </w:r>
      <w:r>
        <w:rPr>
          <w:spacing w:val="-8"/>
          <w:sz w:val="24"/>
        </w:rPr>
        <w:t>with</w:t>
      </w:r>
      <w:r>
        <w:rPr>
          <w:spacing w:val="-5"/>
          <w:sz w:val="24"/>
        </w:rPr>
        <w:t> </w:t>
      </w:r>
      <w:r>
        <w:rPr>
          <w:spacing w:val="-8"/>
          <w:sz w:val="24"/>
        </w:rPr>
        <w:t>high</w:t>
      </w:r>
      <w:r>
        <w:rPr>
          <w:spacing w:val="-6"/>
          <w:sz w:val="24"/>
        </w:rPr>
        <w:t> </w:t>
      </w:r>
      <w:r>
        <w:rPr>
          <w:spacing w:val="-8"/>
          <w:sz w:val="24"/>
        </w:rPr>
        <w:t>LEP</w:t>
      </w:r>
      <w:r>
        <w:rPr>
          <w:spacing w:val="-5"/>
          <w:sz w:val="24"/>
        </w:rPr>
        <w:t> </w:t>
      </w:r>
      <w:r>
        <w:rPr>
          <w:spacing w:val="-8"/>
          <w:sz w:val="24"/>
        </w:rPr>
        <w:t>interaction,</w:t>
      </w:r>
      <w:r>
        <w:rPr>
          <w:spacing w:val="-6"/>
          <w:sz w:val="24"/>
        </w:rPr>
        <w:t> </w:t>
      </w:r>
      <w:r>
        <w:rPr>
          <w:spacing w:val="-8"/>
          <w:sz w:val="24"/>
        </w:rPr>
        <w:t>MaineDOT</w:t>
      </w:r>
      <w:r>
        <w:rPr>
          <w:spacing w:val="-6"/>
          <w:sz w:val="24"/>
        </w:rPr>
        <w:t> </w:t>
      </w:r>
      <w:r>
        <w:rPr>
          <w:spacing w:val="-8"/>
          <w:sz w:val="24"/>
        </w:rPr>
        <w:t>will</w:t>
      </w:r>
      <w:r>
        <w:rPr>
          <w:spacing w:val="-5"/>
          <w:sz w:val="24"/>
        </w:rPr>
        <w:t> </w:t>
      </w:r>
      <w:r>
        <w:rPr>
          <w:spacing w:val="-8"/>
          <w:sz w:val="24"/>
        </w:rPr>
        <w:t>provide</w:t>
      </w:r>
      <w:r>
        <w:rPr>
          <w:spacing w:val="-6"/>
          <w:sz w:val="24"/>
        </w:rPr>
        <w:t> </w:t>
      </w:r>
      <w:r>
        <w:rPr>
          <w:spacing w:val="-8"/>
          <w:sz w:val="24"/>
        </w:rPr>
        <w:t>translated</w:t>
      </w:r>
      <w:r>
        <w:rPr>
          <w:spacing w:val="-5"/>
          <w:sz w:val="24"/>
        </w:rPr>
        <w:t> </w:t>
      </w:r>
      <w:r>
        <w:rPr>
          <w:spacing w:val="-8"/>
          <w:sz w:val="24"/>
        </w:rPr>
        <w:t>materials </w:t>
      </w:r>
      <w:r>
        <w:rPr>
          <w:spacing w:val="-2"/>
          <w:sz w:val="24"/>
        </w:rPr>
        <w:t>and</w:t>
      </w:r>
      <w:r>
        <w:rPr>
          <w:spacing w:val="-18"/>
          <w:sz w:val="24"/>
        </w:rPr>
        <w:t> </w:t>
      </w:r>
      <w:r>
        <w:rPr>
          <w:spacing w:val="-2"/>
          <w:sz w:val="24"/>
        </w:rPr>
        <w:t>interpretation</w:t>
      </w:r>
      <w:r>
        <w:rPr>
          <w:spacing w:val="-18"/>
          <w:sz w:val="24"/>
        </w:rPr>
        <w:t> </w:t>
      </w:r>
      <w:r>
        <w:rPr>
          <w:spacing w:val="-2"/>
          <w:sz w:val="24"/>
        </w:rPr>
        <w:t>services.</w:t>
      </w:r>
    </w:p>
    <w:p>
      <w:pPr>
        <w:pStyle w:val="ListParagraph"/>
        <w:numPr>
          <w:ilvl w:val="1"/>
          <w:numId w:val="35"/>
        </w:numPr>
        <w:tabs>
          <w:tab w:pos="1680" w:val="left" w:leader="none"/>
        </w:tabs>
        <w:spacing w:line="259" w:lineRule="auto" w:before="122" w:after="0"/>
        <w:ind w:left="1680" w:right="551" w:hanging="360"/>
        <w:jc w:val="both"/>
        <w:rPr>
          <w:sz w:val="24"/>
        </w:rPr>
      </w:pPr>
      <w:r>
        <w:rPr>
          <w:spacing w:val="-8"/>
          <w:sz w:val="24"/>
        </w:rPr>
        <w:t>MaineDOT</w:t>
      </w:r>
      <w:r>
        <w:rPr>
          <w:spacing w:val="-4"/>
          <w:sz w:val="24"/>
        </w:rPr>
        <w:t> </w:t>
      </w:r>
      <w:r>
        <w:rPr>
          <w:spacing w:val="-8"/>
          <w:sz w:val="24"/>
        </w:rPr>
        <w:t>will</w:t>
      </w:r>
      <w:r>
        <w:rPr>
          <w:spacing w:val="-4"/>
          <w:sz w:val="24"/>
        </w:rPr>
        <w:t> </w:t>
      </w:r>
      <w:r>
        <w:rPr>
          <w:spacing w:val="-8"/>
          <w:sz w:val="24"/>
        </w:rPr>
        <w:t>continuously</w:t>
      </w:r>
      <w:r>
        <w:rPr>
          <w:spacing w:val="-5"/>
          <w:sz w:val="24"/>
        </w:rPr>
        <w:t> </w:t>
      </w:r>
      <w:r>
        <w:rPr>
          <w:spacing w:val="-8"/>
          <w:sz w:val="24"/>
        </w:rPr>
        <w:t>refine</w:t>
      </w:r>
      <w:r>
        <w:rPr>
          <w:spacing w:val="-4"/>
          <w:sz w:val="24"/>
        </w:rPr>
        <w:t> </w:t>
      </w:r>
      <w:r>
        <w:rPr>
          <w:spacing w:val="-8"/>
          <w:sz w:val="24"/>
        </w:rPr>
        <w:t>its</w:t>
      </w:r>
      <w:r>
        <w:rPr>
          <w:spacing w:val="-5"/>
          <w:sz w:val="24"/>
        </w:rPr>
        <w:t> </w:t>
      </w:r>
      <w:r>
        <w:rPr>
          <w:spacing w:val="-8"/>
          <w:sz w:val="24"/>
        </w:rPr>
        <w:t>language</w:t>
      </w:r>
      <w:r>
        <w:rPr>
          <w:spacing w:val="-4"/>
          <w:sz w:val="24"/>
        </w:rPr>
        <w:t> </w:t>
      </w:r>
      <w:r>
        <w:rPr>
          <w:spacing w:val="-8"/>
          <w:sz w:val="24"/>
        </w:rPr>
        <w:t>assistance</w:t>
      </w:r>
      <w:r>
        <w:rPr>
          <w:spacing w:val="-4"/>
          <w:sz w:val="24"/>
        </w:rPr>
        <w:t> </w:t>
      </w:r>
      <w:r>
        <w:rPr>
          <w:spacing w:val="-8"/>
          <w:sz w:val="24"/>
        </w:rPr>
        <w:t>efforts</w:t>
      </w:r>
      <w:r>
        <w:rPr>
          <w:spacing w:val="-5"/>
          <w:sz w:val="24"/>
        </w:rPr>
        <w:t> </w:t>
      </w:r>
      <w:r>
        <w:rPr>
          <w:spacing w:val="-8"/>
          <w:sz w:val="24"/>
        </w:rPr>
        <w:t>based</w:t>
      </w:r>
      <w:r>
        <w:rPr>
          <w:spacing w:val="-3"/>
          <w:sz w:val="24"/>
        </w:rPr>
        <w:t> </w:t>
      </w:r>
      <w:r>
        <w:rPr>
          <w:spacing w:val="-8"/>
          <w:sz w:val="24"/>
        </w:rPr>
        <w:t>on</w:t>
      </w:r>
      <w:r>
        <w:rPr>
          <w:spacing w:val="-3"/>
          <w:sz w:val="24"/>
        </w:rPr>
        <w:t> </w:t>
      </w:r>
      <w:r>
        <w:rPr>
          <w:spacing w:val="-8"/>
          <w:sz w:val="24"/>
        </w:rPr>
        <w:t>feedback</w:t>
      </w:r>
      <w:r>
        <w:rPr>
          <w:spacing w:val="-5"/>
          <w:sz w:val="24"/>
        </w:rPr>
        <w:t> </w:t>
      </w:r>
      <w:r>
        <w:rPr>
          <w:spacing w:val="-8"/>
          <w:sz w:val="24"/>
        </w:rPr>
        <w:t>and</w:t>
      </w:r>
      <w:r>
        <w:rPr>
          <w:spacing w:val="-1"/>
          <w:sz w:val="24"/>
        </w:rPr>
        <w:t> </w:t>
      </w:r>
      <w:r>
        <w:rPr>
          <w:spacing w:val="-8"/>
          <w:sz w:val="24"/>
        </w:rPr>
        <w:t>changing </w:t>
      </w:r>
      <w:r>
        <w:rPr>
          <w:spacing w:val="-2"/>
          <w:sz w:val="24"/>
        </w:rPr>
        <w:t>demographics</w:t>
      </w:r>
      <w:r>
        <w:rPr>
          <w:spacing w:val="-19"/>
          <w:sz w:val="24"/>
        </w:rPr>
        <w:t> </w:t>
      </w:r>
      <w:r>
        <w:rPr>
          <w:spacing w:val="-2"/>
          <w:sz w:val="24"/>
        </w:rPr>
        <w:t>in</w:t>
      </w:r>
      <w:r>
        <w:rPr>
          <w:spacing w:val="-18"/>
          <w:sz w:val="24"/>
        </w:rPr>
        <w:t> </w:t>
      </w:r>
      <w:r>
        <w:rPr>
          <w:spacing w:val="-2"/>
          <w:sz w:val="24"/>
        </w:rPr>
        <w:t>the</w:t>
      </w:r>
      <w:r>
        <w:rPr>
          <w:spacing w:val="-18"/>
          <w:sz w:val="24"/>
        </w:rPr>
        <w:t> </w:t>
      </w:r>
      <w:r>
        <w:rPr>
          <w:spacing w:val="-2"/>
          <w:sz w:val="24"/>
        </w:rPr>
        <w:t>state</w:t>
      </w:r>
      <w:r>
        <w:rPr>
          <w:spacing w:val="-18"/>
          <w:sz w:val="24"/>
        </w:rPr>
        <w:t> </w:t>
      </w:r>
      <w:r>
        <w:rPr>
          <w:spacing w:val="-2"/>
          <w:sz w:val="24"/>
        </w:rPr>
        <w:t>of</w:t>
      </w:r>
      <w:r>
        <w:rPr>
          <w:spacing w:val="-18"/>
          <w:sz w:val="24"/>
        </w:rPr>
        <w:t> </w:t>
      </w:r>
      <w:r>
        <w:rPr>
          <w:spacing w:val="-2"/>
          <w:sz w:val="24"/>
        </w:rPr>
        <w:t>Maine.</w:t>
      </w:r>
    </w:p>
    <w:p>
      <w:pPr>
        <w:pStyle w:val="ListParagraph"/>
        <w:numPr>
          <w:ilvl w:val="1"/>
          <w:numId w:val="35"/>
        </w:numPr>
        <w:tabs>
          <w:tab w:pos="1680" w:val="left" w:leader="none"/>
        </w:tabs>
        <w:spacing w:line="256" w:lineRule="auto" w:before="125" w:after="0"/>
        <w:ind w:left="1680" w:right="559" w:hanging="360"/>
        <w:jc w:val="both"/>
        <w:rPr>
          <w:sz w:val="24"/>
        </w:rPr>
      </w:pPr>
      <w:r>
        <w:rPr>
          <w:spacing w:val="-8"/>
          <w:sz w:val="24"/>
        </w:rPr>
        <w:t>MaineDOT</w:t>
      </w:r>
      <w:r>
        <w:rPr>
          <w:sz w:val="24"/>
        </w:rPr>
        <w:t> </w:t>
      </w:r>
      <w:r>
        <w:rPr>
          <w:spacing w:val="-8"/>
          <w:sz w:val="24"/>
        </w:rPr>
        <w:t>will</w:t>
      </w:r>
      <w:r>
        <w:rPr>
          <w:sz w:val="24"/>
        </w:rPr>
        <w:t> </w:t>
      </w:r>
      <w:r>
        <w:rPr>
          <w:spacing w:val="-8"/>
          <w:sz w:val="24"/>
        </w:rPr>
        <w:t>collaborate</w:t>
      </w:r>
      <w:r>
        <w:rPr>
          <w:sz w:val="24"/>
        </w:rPr>
        <w:t> </w:t>
      </w:r>
      <w:r>
        <w:rPr>
          <w:spacing w:val="-8"/>
          <w:sz w:val="24"/>
        </w:rPr>
        <w:t>with</w:t>
      </w:r>
      <w:r>
        <w:rPr>
          <w:sz w:val="24"/>
        </w:rPr>
        <w:t> </w:t>
      </w:r>
      <w:r>
        <w:rPr>
          <w:spacing w:val="-8"/>
          <w:sz w:val="24"/>
        </w:rPr>
        <w:t>local</w:t>
      </w:r>
      <w:r>
        <w:rPr>
          <w:sz w:val="24"/>
        </w:rPr>
        <w:t> </w:t>
      </w:r>
      <w:r>
        <w:rPr>
          <w:spacing w:val="-8"/>
          <w:sz w:val="24"/>
        </w:rPr>
        <w:t>community</w:t>
      </w:r>
      <w:r>
        <w:rPr>
          <w:sz w:val="24"/>
        </w:rPr>
        <w:t> </w:t>
      </w:r>
      <w:r>
        <w:rPr>
          <w:spacing w:val="-8"/>
          <w:sz w:val="24"/>
        </w:rPr>
        <w:t>organizations</w:t>
      </w:r>
      <w:r>
        <w:rPr>
          <w:sz w:val="24"/>
        </w:rPr>
        <w:t> </w:t>
      </w:r>
      <w:r>
        <w:rPr>
          <w:spacing w:val="-8"/>
          <w:sz w:val="24"/>
        </w:rPr>
        <w:t>that</w:t>
      </w:r>
      <w:r>
        <w:rPr>
          <w:sz w:val="24"/>
        </w:rPr>
        <w:t> </w:t>
      </w:r>
      <w:r>
        <w:rPr>
          <w:spacing w:val="-8"/>
          <w:sz w:val="24"/>
        </w:rPr>
        <w:t>serve</w:t>
      </w:r>
      <w:r>
        <w:rPr>
          <w:sz w:val="24"/>
        </w:rPr>
        <w:t> </w:t>
      </w:r>
      <w:r>
        <w:rPr>
          <w:spacing w:val="-8"/>
          <w:sz w:val="24"/>
        </w:rPr>
        <w:t>LEP</w:t>
      </w:r>
      <w:r>
        <w:rPr>
          <w:sz w:val="24"/>
        </w:rPr>
        <w:t> </w:t>
      </w:r>
      <w:r>
        <w:rPr>
          <w:spacing w:val="-8"/>
          <w:sz w:val="24"/>
        </w:rPr>
        <w:t>populations</w:t>
      </w:r>
      <w:r>
        <w:rPr>
          <w:sz w:val="24"/>
        </w:rPr>
        <w:t> </w:t>
      </w:r>
      <w:r>
        <w:rPr>
          <w:spacing w:val="-8"/>
          <w:sz w:val="24"/>
        </w:rPr>
        <w:t>so</w:t>
      </w:r>
      <w:r>
        <w:rPr>
          <w:sz w:val="24"/>
        </w:rPr>
        <w:t> </w:t>
      </w:r>
      <w:r>
        <w:rPr>
          <w:spacing w:val="-8"/>
          <w:sz w:val="24"/>
        </w:rPr>
        <w:t>that </w:t>
      </w:r>
      <w:r>
        <w:rPr>
          <w:spacing w:val="-6"/>
          <w:sz w:val="24"/>
        </w:rPr>
        <w:t>they</w:t>
      </w:r>
      <w:r>
        <w:rPr>
          <w:spacing w:val="-19"/>
          <w:sz w:val="24"/>
        </w:rPr>
        <w:t> </w:t>
      </w:r>
      <w:r>
        <w:rPr>
          <w:spacing w:val="-6"/>
          <w:sz w:val="24"/>
        </w:rPr>
        <w:t>can</w:t>
      </w:r>
      <w:r>
        <w:rPr>
          <w:spacing w:val="-18"/>
          <w:sz w:val="24"/>
        </w:rPr>
        <w:t> </w:t>
      </w:r>
      <w:r>
        <w:rPr>
          <w:spacing w:val="-6"/>
          <w:sz w:val="24"/>
        </w:rPr>
        <w:t>provide</w:t>
      </w:r>
      <w:r>
        <w:rPr>
          <w:spacing w:val="-18"/>
          <w:sz w:val="24"/>
        </w:rPr>
        <w:t> </w:t>
      </w:r>
      <w:r>
        <w:rPr>
          <w:spacing w:val="-6"/>
          <w:sz w:val="24"/>
        </w:rPr>
        <w:t>insight</w:t>
      </w:r>
      <w:r>
        <w:rPr>
          <w:spacing w:val="-18"/>
          <w:sz w:val="24"/>
        </w:rPr>
        <w:t> </w:t>
      </w:r>
      <w:r>
        <w:rPr>
          <w:spacing w:val="-6"/>
          <w:sz w:val="24"/>
        </w:rPr>
        <w:t>into</w:t>
      </w:r>
      <w:r>
        <w:rPr>
          <w:spacing w:val="-18"/>
          <w:sz w:val="24"/>
        </w:rPr>
        <w:t> </w:t>
      </w:r>
      <w:r>
        <w:rPr>
          <w:spacing w:val="-6"/>
          <w:sz w:val="24"/>
        </w:rPr>
        <w:t>specific</w:t>
      </w:r>
      <w:r>
        <w:rPr>
          <w:spacing w:val="-19"/>
          <w:sz w:val="24"/>
        </w:rPr>
        <w:t> </w:t>
      </w:r>
      <w:r>
        <w:rPr>
          <w:spacing w:val="-6"/>
          <w:sz w:val="24"/>
        </w:rPr>
        <w:t>needs</w:t>
      </w:r>
      <w:r>
        <w:rPr>
          <w:spacing w:val="-19"/>
          <w:sz w:val="24"/>
        </w:rPr>
        <w:t> </w:t>
      </w:r>
      <w:r>
        <w:rPr>
          <w:spacing w:val="-6"/>
          <w:sz w:val="24"/>
        </w:rPr>
        <w:t>and</w:t>
      </w:r>
      <w:r>
        <w:rPr>
          <w:spacing w:val="-18"/>
          <w:sz w:val="24"/>
        </w:rPr>
        <w:t> </w:t>
      </w:r>
      <w:r>
        <w:rPr>
          <w:spacing w:val="-6"/>
          <w:sz w:val="24"/>
        </w:rPr>
        <w:t>help</w:t>
      </w:r>
      <w:r>
        <w:rPr>
          <w:spacing w:val="-18"/>
          <w:sz w:val="24"/>
        </w:rPr>
        <w:t> </w:t>
      </w:r>
      <w:r>
        <w:rPr>
          <w:spacing w:val="-6"/>
          <w:sz w:val="24"/>
        </w:rPr>
        <w:t>disseminate</w:t>
      </w:r>
      <w:r>
        <w:rPr>
          <w:spacing w:val="-18"/>
          <w:sz w:val="24"/>
        </w:rPr>
        <w:t> </w:t>
      </w:r>
      <w:r>
        <w:rPr>
          <w:spacing w:val="-6"/>
          <w:sz w:val="24"/>
        </w:rPr>
        <w:t>translated</w:t>
      </w:r>
      <w:r>
        <w:rPr>
          <w:spacing w:val="-18"/>
          <w:sz w:val="24"/>
        </w:rPr>
        <w:t> </w:t>
      </w:r>
      <w:r>
        <w:rPr>
          <w:spacing w:val="-6"/>
          <w:sz w:val="24"/>
        </w:rPr>
        <w:t>materials.</w:t>
      </w:r>
    </w:p>
    <w:p>
      <w:pPr>
        <w:pStyle w:val="ListParagraph"/>
        <w:numPr>
          <w:ilvl w:val="1"/>
          <w:numId w:val="35"/>
        </w:numPr>
        <w:tabs>
          <w:tab w:pos="1680" w:val="left" w:leader="none"/>
        </w:tabs>
        <w:spacing w:line="261" w:lineRule="auto" w:before="129" w:after="0"/>
        <w:ind w:left="1680" w:right="549" w:hanging="360"/>
        <w:jc w:val="both"/>
        <w:rPr>
          <w:sz w:val="24"/>
        </w:rPr>
      </w:pPr>
      <w:r>
        <w:rPr>
          <w:spacing w:val="-10"/>
          <w:sz w:val="24"/>
        </w:rPr>
        <w:t>MaineDOT</w:t>
      </w:r>
      <w:r>
        <w:rPr>
          <w:spacing w:val="-4"/>
          <w:sz w:val="24"/>
        </w:rPr>
        <w:t> </w:t>
      </w:r>
      <w:r>
        <w:rPr>
          <w:spacing w:val="-10"/>
          <w:sz w:val="24"/>
        </w:rPr>
        <w:t>will</w:t>
      </w:r>
      <w:r>
        <w:rPr>
          <w:spacing w:val="-4"/>
          <w:sz w:val="24"/>
        </w:rPr>
        <w:t> </w:t>
      </w:r>
      <w:r>
        <w:rPr>
          <w:spacing w:val="-10"/>
          <w:sz w:val="24"/>
        </w:rPr>
        <w:t>provide</w:t>
      </w:r>
      <w:r>
        <w:rPr>
          <w:spacing w:val="-3"/>
          <w:sz w:val="24"/>
        </w:rPr>
        <w:t> </w:t>
      </w:r>
      <w:r>
        <w:rPr>
          <w:spacing w:val="-10"/>
          <w:sz w:val="24"/>
        </w:rPr>
        <w:t>training</w:t>
      </w:r>
      <w:r>
        <w:rPr>
          <w:spacing w:val="-4"/>
          <w:sz w:val="24"/>
        </w:rPr>
        <w:t> </w:t>
      </w:r>
      <w:r>
        <w:rPr>
          <w:spacing w:val="-10"/>
          <w:sz w:val="24"/>
        </w:rPr>
        <w:t>to</w:t>
      </w:r>
      <w:r>
        <w:rPr>
          <w:spacing w:val="-3"/>
          <w:sz w:val="24"/>
        </w:rPr>
        <w:t> </w:t>
      </w:r>
      <w:r>
        <w:rPr>
          <w:spacing w:val="-10"/>
          <w:sz w:val="24"/>
        </w:rPr>
        <w:t>its</w:t>
      </w:r>
      <w:r>
        <w:rPr>
          <w:spacing w:val="-4"/>
          <w:sz w:val="24"/>
        </w:rPr>
        <w:t> </w:t>
      </w:r>
      <w:r>
        <w:rPr>
          <w:spacing w:val="-10"/>
          <w:sz w:val="24"/>
        </w:rPr>
        <w:t>own</w:t>
      </w:r>
      <w:r>
        <w:rPr>
          <w:spacing w:val="-3"/>
          <w:sz w:val="24"/>
        </w:rPr>
        <w:t> </w:t>
      </w:r>
      <w:r>
        <w:rPr>
          <w:spacing w:val="-10"/>
          <w:sz w:val="24"/>
        </w:rPr>
        <w:t>staff</w:t>
      </w:r>
      <w:r>
        <w:rPr>
          <w:spacing w:val="-4"/>
          <w:sz w:val="24"/>
        </w:rPr>
        <w:t> </w:t>
      </w:r>
      <w:r>
        <w:rPr>
          <w:spacing w:val="-10"/>
          <w:sz w:val="24"/>
        </w:rPr>
        <w:t>to</w:t>
      </w:r>
      <w:r>
        <w:rPr>
          <w:spacing w:val="-4"/>
          <w:sz w:val="24"/>
        </w:rPr>
        <w:t> </w:t>
      </w:r>
      <w:r>
        <w:rPr>
          <w:spacing w:val="-10"/>
          <w:sz w:val="24"/>
        </w:rPr>
        <w:t>appropriately</w:t>
      </w:r>
      <w:r>
        <w:rPr>
          <w:spacing w:val="-3"/>
          <w:sz w:val="24"/>
        </w:rPr>
        <w:t> </w:t>
      </w:r>
      <w:r>
        <w:rPr>
          <w:spacing w:val="-10"/>
          <w:sz w:val="24"/>
        </w:rPr>
        <w:t>respond</w:t>
      </w:r>
      <w:r>
        <w:rPr>
          <w:spacing w:val="-4"/>
          <w:sz w:val="24"/>
        </w:rPr>
        <w:t> </w:t>
      </w:r>
      <w:r>
        <w:rPr>
          <w:spacing w:val="-10"/>
          <w:sz w:val="24"/>
        </w:rPr>
        <w:t>to</w:t>
      </w:r>
      <w:r>
        <w:rPr>
          <w:spacing w:val="-3"/>
          <w:sz w:val="24"/>
        </w:rPr>
        <w:t> </w:t>
      </w:r>
      <w:r>
        <w:rPr>
          <w:spacing w:val="-10"/>
          <w:sz w:val="24"/>
        </w:rPr>
        <w:t>LEP</w:t>
      </w:r>
      <w:r>
        <w:rPr>
          <w:spacing w:val="-4"/>
          <w:sz w:val="24"/>
        </w:rPr>
        <w:t> </w:t>
      </w:r>
      <w:r>
        <w:rPr>
          <w:spacing w:val="-10"/>
          <w:sz w:val="24"/>
        </w:rPr>
        <w:t>interactions,</w:t>
      </w:r>
      <w:r>
        <w:rPr>
          <w:spacing w:val="-3"/>
          <w:sz w:val="24"/>
        </w:rPr>
        <w:t> </w:t>
      </w:r>
      <w:r>
        <w:rPr>
          <w:spacing w:val="-10"/>
          <w:sz w:val="24"/>
        </w:rPr>
        <w:t>and</w:t>
      </w:r>
      <w:r>
        <w:rPr>
          <w:spacing w:val="-4"/>
          <w:sz w:val="24"/>
        </w:rPr>
        <w:t> </w:t>
      </w:r>
      <w:r>
        <w:rPr>
          <w:spacing w:val="-10"/>
          <w:sz w:val="24"/>
        </w:rPr>
        <w:t>will </w:t>
      </w:r>
      <w:r>
        <w:rPr>
          <w:spacing w:val="-6"/>
          <w:sz w:val="24"/>
        </w:rPr>
        <w:t>ensure</w:t>
      </w:r>
      <w:r>
        <w:rPr>
          <w:spacing w:val="-10"/>
          <w:sz w:val="24"/>
        </w:rPr>
        <w:t> </w:t>
      </w:r>
      <w:r>
        <w:rPr>
          <w:spacing w:val="-6"/>
          <w:sz w:val="24"/>
        </w:rPr>
        <w:t>that</w:t>
      </w:r>
      <w:r>
        <w:rPr>
          <w:spacing w:val="-8"/>
          <w:sz w:val="24"/>
        </w:rPr>
        <w:t> </w:t>
      </w:r>
      <w:r>
        <w:rPr>
          <w:spacing w:val="-6"/>
          <w:sz w:val="24"/>
        </w:rPr>
        <w:t>its</w:t>
      </w:r>
      <w:r>
        <w:rPr>
          <w:spacing w:val="-7"/>
          <w:sz w:val="24"/>
        </w:rPr>
        <w:t> </w:t>
      </w:r>
      <w:r>
        <w:rPr>
          <w:spacing w:val="-6"/>
          <w:sz w:val="24"/>
        </w:rPr>
        <w:t>staff</w:t>
      </w:r>
      <w:r>
        <w:rPr>
          <w:spacing w:val="-8"/>
          <w:sz w:val="24"/>
        </w:rPr>
        <w:t> </w:t>
      </w:r>
      <w:r>
        <w:rPr>
          <w:spacing w:val="-6"/>
          <w:sz w:val="24"/>
        </w:rPr>
        <w:t>are</w:t>
      </w:r>
      <w:r>
        <w:rPr>
          <w:spacing w:val="-7"/>
          <w:sz w:val="24"/>
        </w:rPr>
        <w:t> </w:t>
      </w:r>
      <w:r>
        <w:rPr>
          <w:spacing w:val="-6"/>
          <w:sz w:val="24"/>
        </w:rPr>
        <w:t>aware</w:t>
      </w:r>
      <w:r>
        <w:rPr>
          <w:spacing w:val="-8"/>
          <w:sz w:val="24"/>
        </w:rPr>
        <w:t> </w:t>
      </w:r>
      <w:r>
        <w:rPr>
          <w:spacing w:val="-6"/>
          <w:sz w:val="24"/>
        </w:rPr>
        <w:t>of</w:t>
      </w:r>
      <w:r>
        <w:rPr>
          <w:spacing w:val="-7"/>
          <w:sz w:val="24"/>
        </w:rPr>
        <w:t> </w:t>
      </w:r>
      <w:r>
        <w:rPr>
          <w:spacing w:val="-6"/>
          <w:sz w:val="24"/>
        </w:rPr>
        <w:t>all</w:t>
      </w:r>
      <w:r>
        <w:rPr>
          <w:spacing w:val="-8"/>
          <w:sz w:val="24"/>
        </w:rPr>
        <w:t> </w:t>
      </w:r>
      <w:r>
        <w:rPr>
          <w:spacing w:val="-6"/>
          <w:sz w:val="24"/>
        </w:rPr>
        <w:t>available</w:t>
      </w:r>
      <w:r>
        <w:rPr>
          <w:spacing w:val="-8"/>
          <w:sz w:val="24"/>
        </w:rPr>
        <w:t> </w:t>
      </w:r>
      <w:r>
        <w:rPr>
          <w:spacing w:val="-6"/>
          <w:sz w:val="24"/>
        </w:rPr>
        <w:t>language</w:t>
      </w:r>
      <w:r>
        <w:rPr>
          <w:spacing w:val="-7"/>
          <w:sz w:val="24"/>
        </w:rPr>
        <w:t> </w:t>
      </w:r>
      <w:r>
        <w:rPr>
          <w:spacing w:val="-6"/>
          <w:sz w:val="24"/>
        </w:rPr>
        <w:t>assistance</w:t>
      </w:r>
      <w:r>
        <w:rPr>
          <w:spacing w:val="-8"/>
          <w:sz w:val="24"/>
        </w:rPr>
        <w:t> </w:t>
      </w:r>
      <w:r>
        <w:rPr>
          <w:spacing w:val="-6"/>
          <w:sz w:val="24"/>
        </w:rPr>
        <w:t>resources.</w:t>
      </w:r>
      <w:r>
        <w:rPr>
          <w:spacing w:val="49"/>
          <w:sz w:val="24"/>
        </w:rPr>
        <w:t> </w:t>
      </w:r>
      <w:r>
        <w:rPr>
          <w:spacing w:val="-6"/>
          <w:sz w:val="24"/>
        </w:rPr>
        <w:t>MaineDOT</w:t>
      </w:r>
      <w:r>
        <w:rPr>
          <w:spacing w:val="-8"/>
          <w:sz w:val="24"/>
        </w:rPr>
        <w:t> </w:t>
      </w:r>
      <w:r>
        <w:rPr>
          <w:spacing w:val="-6"/>
          <w:sz w:val="24"/>
        </w:rPr>
        <w:t>will</w:t>
      </w:r>
      <w:r>
        <w:rPr>
          <w:spacing w:val="-7"/>
          <w:sz w:val="24"/>
        </w:rPr>
        <w:t> </w:t>
      </w:r>
      <w:r>
        <w:rPr>
          <w:spacing w:val="-6"/>
          <w:sz w:val="24"/>
        </w:rPr>
        <w:t>then </w:t>
      </w:r>
      <w:r>
        <w:rPr>
          <w:spacing w:val="-4"/>
          <w:sz w:val="24"/>
        </w:rPr>
        <w:t>provide</w:t>
      </w:r>
      <w:r>
        <w:rPr>
          <w:spacing w:val="-17"/>
          <w:sz w:val="24"/>
        </w:rPr>
        <w:t> </w:t>
      </w:r>
      <w:r>
        <w:rPr>
          <w:spacing w:val="-4"/>
          <w:sz w:val="24"/>
        </w:rPr>
        <w:t>this</w:t>
      </w:r>
      <w:r>
        <w:rPr>
          <w:spacing w:val="-18"/>
          <w:sz w:val="24"/>
        </w:rPr>
        <w:t> </w:t>
      </w:r>
      <w:r>
        <w:rPr>
          <w:spacing w:val="-4"/>
          <w:sz w:val="24"/>
        </w:rPr>
        <w:t>training</w:t>
      </w:r>
      <w:r>
        <w:rPr>
          <w:spacing w:val="-18"/>
          <w:sz w:val="24"/>
        </w:rPr>
        <w:t> </w:t>
      </w:r>
      <w:r>
        <w:rPr>
          <w:spacing w:val="-4"/>
          <w:sz w:val="24"/>
        </w:rPr>
        <w:t>to</w:t>
      </w:r>
      <w:r>
        <w:rPr>
          <w:spacing w:val="-17"/>
          <w:sz w:val="24"/>
        </w:rPr>
        <w:t> </w:t>
      </w:r>
      <w:r>
        <w:rPr>
          <w:spacing w:val="-4"/>
          <w:sz w:val="24"/>
        </w:rPr>
        <w:t>its</w:t>
      </w:r>
      <w:r>
        <w:rPr>
          <w:spacing w:val="-18"/>
          <w:sz w:val="24"/>
        </w:rPr>
        <w:t> </w:t>
      </w:r>
      <w:r>
        <w:rPr>
          <w:spacing w:val="-4"/>
          <w:sz w:val="24"/>
        </w:rPr>
        <w:t>subrecipients.</w:t>
      </w:r>
    </w:p>
    <w:p>
      <w:pPr>
        <w:pStyle w:val="BodyText"/>
        <w:spacing w:before="5"/>
        <w:rPr>
          <w:sz w:val="26"/>
        </w:rPr>
      </w:pPr>
    </w:p>
    <w:p>
      <w:pPr>
        <w:pStyle w:val="Heading9"/>
        <w:ind w:left="240"/>
        <w:jc w:val="both"/>
      </w:pPr>
      <w:r>
        <w:rPr>
          <w:spacing w:val="-8"/>
        </w:rPr>
        <w:t>Summary</w:t>
      </w:r>
      <w:r>
        <w:rPr>
          <w:spacing w:val="-20"/>
        </w:rPr>
        <w:t> </w:t>
      </w:r>
      <w:r>
        <w:rPr>
          <w:spacing w:val="-8"/>
        </w:rPr>
        <w:t>of</w:t>
      </w:r>
      <w:r>
        <w:rPr>
          <w:spacing w:val="-18"/>
        </w:rPr>
        <w:t> </w:t>
      </w:r>
      <w:r>
        <w:rPr>
          <w:spacing w:val="-8"/>
        </w:rPr>
        <w:t>MaineDOT</w:t>
      </w:r>
      <w:r>
        <w:rPr>
          <w:spacing w:val="-18"/>
        </w:rPr>
        <w:t> </w:t>
      </w:r>
      <w:r>
        <w:rPr>
          <w:spacing w:val="-8"/>
        </w:rPr>
        <w:t>Survey</w:t>
      </w:r>
      <w:r>
        <w:rPr>
          <w:spacing w:val="-20"/>
        </w:rPr>
        <w:t> </w:t>
      </w:r>
      <w:r>
        <w:rPr>
          <w:spacing w:val="-8"/>
        </w:rPr>
        <w:t>of</w:t>
      </w:r>
      <w:r>
        <w:rPr>
          <w:spacing w:val="-17"/>
        </w:rPr>
        <w:t> </w:t>
      </w:r>
      <w:r>
        <w:rPr>
          <w:spacing w:val="-8"/>
        </w:rPr>
        <w:t>Subrecipients</w:t>
      </w:r>
      <w:r>
        <w:rPr>
          <w:spacing w:val="-18"/>
        </w:rPr>
        <w:t> </w:t>
      </w:r>
      <w:r>
        <w:rPr>
          <w:spacing w:val="-8"/>
        </w:rPr>
        <w:t>for</w:t>
      </w:r>
      <w:r>
        <w:rPr>
          <w:spacing w:val="-18"/>
        </w:rPr>
        <w:t> </w:t>
      </w:r>
      <w:r>
        <w:rPr>
          <w:spacing w:val="-8"/>
        </w:rPr>
        <w:t>Factor</w:t>
      </w:r>
      <w:r>
        <w:rPr>
          <w:spacing w:val="-17"/>
        </w:rPr>
        <w:t> </w:t>
      </w:r>
      <w:r>
        <w:rPr>
          <w:spacing w:val="-8"/>
        </w:rPr>
        <w:t>2:</w:t>
      </w:r>
    </w:p>
    <w:p>
      <w:pPr>
        <w:pStyle w:val="BodyText"/>
        <w:spacing w:line="264" w:lineRule="auto" w:before="149"/>
        <w:ind w:left="240" w:right="555"/>
        <w:jc w:val="both"/>
      </w:pPr>
      <w:r>
        <w:rPr/>
        <w:t>In</w:t>
      </w:r>
      <w:r>
        <w:rPr>
          <w:spacing w:val="-3"/>
        </w:rPr>
        <w:t> </w:t>
      </w:r>
      <w:r>
        <w:rPr/>
        <w:t>2020,</w:t>
      </w:r>
      <w:r>
        <w:rPr>
          <w:spacing w:val="-4"/>
        </w:rPr>
        <w:t> </w:t>
      </w:r>
      <w:r>
        <w:rPr/>
        <w:t>MaineDOT</w:t>
      </w:r>
      <w:r>
        <w:rPr>
          <w:spacing w:val="-4"/>
        </w:rPr>
        <w:t> </w:t>
      </w:r>
      <w:r>
        <w:rPr/>
        <w:t>undertook</w:t>
      </w:r>
      <w:r>
        <w:rPr>
          <w:spacing w:val="-6"/>
        </w:rPr>
        <w:t> </w:t>
      </w:r>
      <w:r>
        <w:rPr/>
        <w:t>a</w:t>
      </w:r>
      <w:r>
        <w:rPr>
          <w:spacing w:val="-4"/>
        </w:rPr>
        <w:t> </w:t>
      </w:r>
      <w:r>
        <w:rPr/>
        <w:t>survey</w:t>
      </w:r>
      <w:r>
        <w:rPr>
          <w:spacing w:val="-5"/>
        </w:rPr>
        <w:t> </w:t>
      </w:r>
      <w:r>
        <w:rPr/>
        <w:t>to determine the frequency with which LEP individuals come into contact with the programs,</w:t>
      </w:r>
      <w:r>
        <w:rPr>
          <w:spacing w:val="80"/>
        </w:rPr>
        <w:t> </w:t>
      </w:r>
      <w:r>
        <w:rPr/>
        <w:t>activities and services provided by the Maine transportation regions, we surveyed the staff and</w:t>
      </w:r>
      <w:r>
        <w:rPr>
          <w:spacing w:val="80"/>
        </w:rPr>
        <w:t> </w:t>
      </w:r>
      <w:r>
        <w:rPr/>
        <w:t>drivers from each agency and a sampled transportation providers’ community </w:t>
      </w:r>
      <w:r>
        <w:rPr>
          <w:spacing w:val="-2"/>
        </w:rPr>
        <w:t>partners.</w:t>
      </w:r>
    </w:p>
    <w:p>
      <w:pPr>
        <w:pStyle w:val="BodyText"/>
        <w:spacing w:line="264" w:lineRule="auto" w:before="134"/>
        <w:ind w:left="240" w:right="316"/>
        <w:jc w:val="both"/>
      </w:pPr>
      <w:r>
        <w:rPr/>
        <w:t>A 12-question survey was distributed to the service providers staff and drivers.</w:t>
      </w:r>
      <w:hyperlink w:history="true" w:anchor="_bookmark22">
        <w:r>
          <w:rPr>
            <w:vertAlign w:val="superscript"/>
          </w:rPr>
          <w:t>1</w:t>
        </w:r>
      </w:hyperlink>
      <w:r>
        <w:rPr>
          <w:vertAlign w:val="baseline"/>
        </w:rPr>
        <w:t> We received 156</w:t>
      </w:r>
      <w:r>
        <w:rPr>
          <w:spacing w:val="80"/>
          <w:vertAlign w:val="baseline"/>
        </w:rPr>
        <w:t> </w:t>
      </w:r>
      <w:r>
        <w:rPr>
          <w:vertAlign w:val="baseline"/>
        </w:rPr>
        <w:t>survey responses with representation from all eight transportation regions, including responses</w:t>
      </w:r>
      <w:r>
        <w:rPr>
          <w:spacing w:val="40"/>
          <w:vertAlign w:val="baseline"/>
        </w:rPr>
        <w:t> </w:t>
      </w:r>
      <w:r>
        <w:rPr>
          <w:vertAlign w:val="baseline"/>
        </w:rPr>
        <w:t>from a comprehensive cross section of personnel — executive directors, general managers,</w:t>
      </w:r>
      <w:r>
        <w:rPr>
          <w:spacing w:val="80"/>
          <w:vertAlign w:val="baseline"/>
        </w:rPr>
        <w:t> </w:t>
      </w:r>
      <w:r>
        <w:rPr>
          <w:vertAlign w:val="baseline"/>
        </w:rPr>
        <w:t>operations directors, street supervisors, drivers (medical transportation, fixed route, volunteer,</w:t>
      </w:r>
      <w:r>
        <w:rPr>
          <w:spacing w:val="80"/>
          <w:vertAlign w:val="baseline"/>
        </w:rPr>
        <w:t> </w:t>
      </w:r>
      <w:r>
        <w:rPr>
          <w:vertAlign w:val="baseline"/>
        </w:rPr>
        <w:t>van, bus, trolley, and ferry boat captains), dispatchers, schedulers, mobility managers,</w:t>
      </w:r>
      <w:r>
        <w:rPr>
          <w:spacing w:val="40"/>
          <w:vertAlign w:val="baseline"/>
        </w:rPr>
        <w:t> </w:t>
      </w:r>
      <w:r>
        <w:rPr>
          <w:vertAlign w:val="baseline"/>
        </w:rPr>
        <w:t>transportation supervisors, customer service representatives, greeters, and intake specialists.</w:t>
      </w:r>
    </w:p>
    <w:p>
      <w:pPr>
        <w:pStyle w:val="BodyText"/>
        <w:spacing w:line="264" w:lineRule="auto" w:before="114"/>
        <w:ind w:left="240" w:right="367"/>
        <w:jc w:val="both"/>
      </w:pPr>
      <w:r>
        <w:rPr/>
        <w:t>Some respondents did not respond to all of the questions. A four-question survey was distributed</w:t>
      </w:r>
      <w:r>
        <w:rPr>
          <w:spacing w:val="40"/>
        </w:rPr>
        <w:t> </w:t>
      </w:r>
      <w:r>
        <w:rPr/>
        <w:t>to community</w:t>
      </w:r>
      <w:r>
        <w:rPr>
          <w:spacing w:val="-9"/>
        </w:rPr>
        <w:t> </w:t>
      </w:r>
      <w:r>
        <w:rPr/>
        <w:t>partners</w:t>
      </w:r>
      <w:r>
        <w:rPr>
          <w:spacing w:val="-8"/>
        </w:rPr>
        <w:t> </w:t>
      </w:r>
      <w:r>
        <w:rPr/>
        <w:t>such</w:t>
      </w:r>
      <w:r>
        <w:rPr>
          <w:spacing w:val="-6"/>
        </w:rPr>
        <w:t> </w:t>
      </w:r>
      <w:r>
        <w:rPr/>
        <w:t>as</w:t>
      </w:r>
      <w:r>
        <w:rPr>
          <w:spacing w:val="-9"/>
        </w:rPr>
        <w:t> </w:t>
      </w:r>
      <w:r>
        <w:rPr/>
        <w:t>local</w:t>
      </w:r>
      <w:r>
        <w:rPr>
          <w:spacing w:val="-9"/>
        </w:rPr>
        <w:t> </w:t>
      </w:r>
      <w:r>
        <w:rPr/>
        <w:t>governments,</w:t>
      </w:r>
      <w:r>
        <w:rPr>
          <w:spacing w:val="-11"/>
        </w:rPr>
        <w:t> </w:t>
      </w:r>
      <w:r>
        <w:rPr/>
        <w:t>shelter</w:t>
      </w:r>
      <w:r>
        <w:rPr>
          <w:spacing w:val="-9"/>
        </w:rPr>
        <w:t> </w:t>
      </w:r>
      <w:r>
        <w:rPr/>
        <w:t>programs,</w:t>
      </w:r>
      <w:r>
        <w:rPr>
          <w:spacing w:val="-9"/>
        </w:rPr>
        <w:t> </w:t>
      </w:r>
      <w:r>
        <w:rPr/>
        <w:t>community</w:t>
      </w:r>
      <w:r>
        <w:rPr>
          <w:spacing w:val="-10"/>
        </w:rPr>
        <w:t> </w:t>
      </w:r>
      <w:r>
        <w:rPr/>
        <w:t>centers,</w:t>
      </w:r>
      <w:r>
        <w:rPr>
          <w:spacing w:val="-9"/>
        </w:rPr>
        <w:t> </w:t>
      </w:r>
      <w:r>
        <w:rPr/>
        <w:t>and</w:t>
      </w:r>
      <w:r>
        <w:rPr>
          <w:spacing w:val="-8"/>
        </w:rPr>
        <w:t> </w:t>
      </w:r>
      <w:r>
        <w:rPr/>
        <w:t>the</w:t>
      </w:r>
      <w:r>
        <w:rPr>
          <w:spacing w:val="80"/>
        </w:rPr>
        <w:t> </w:t>
      </w:r>
      <w:r>
        <w:rPr/>
        <w:t>United</w:t>
      </w:r>
      <w:r>
        <w:rPr>
          <w:spacing w:val="-10"/>
        </w:rPr>
        <w:t> </w:t>
      </w:r>
      <w:r>
        <w:rPr/>
        <w:t>Way.</w:t>
      </w:r>
    </w:p>
    <w:p>
      <w:pPr>
        <w:pStyle w:val="BodyText"/>
        <w:spacing w:line="264" w:lineRule="auto" w:before="118"/>
        <w:ind w:left="240" w:right="364"/>
        <w:jc w:val="both"/>
      </w:pPr>
      <w:r>
        <w:rPr/>
        <w:t>Below is a summary</w:t>
      </w:r>
      <w:r>
        <w:rPr>
          <w:spacing w:val="-1"/>
        </w:rPr>
        <w:t> </w:t>
      </w:r>
      <w:r>
        <w:rPr/>
        <w:t>of</w:t>
      </w:r>
      <w:r>
        <w:rPr>
          <w:spacing w:val="-1"/>
        </w:rPr>
        <w:t> </w:t>
      </w:r>
      <w:r>
        <w:rPr/>
        <w:t>the results</w:t>
      </w:r>
      <w:r>
        <w:rPr>
          <w:spacing w:val="-1"/>
        </w:rPr>
        <w:t> </w:t>
      </w:r>
      <w:r>
        <w:rPr/>
        <w:t>by</w:t>
      </w:r>
      <w:r>
        <w:rPr>
          <w:spacing w:val="-3"/>
        </w:rPr>
        <w:t> </w:t>
      </w:r>
      <w:r>
        <w:rPr/>
        <w:t>region.</w:t>
      </w:r>
      <w:r>
        <w:rPr>
          <w:spacing w:val="40"/>
        </w:rPr>
        <w:t> </w:t>
      </w:r>
      <w:r>
        <w:rPr/>
        <w:t>MaineDOT</w:t>
      </w:r>
      <w:r>
        <w:rPr>
          <w:spacing w:val="-2"/>
        </w:rPr>
        <w:t> </w:t>
      </w:r>
      <w:r>
        <w:rPr/>
        <w:t>plans</w:t>
      </w:r>
      <w:r>
        <w:rPr>
          <w:spacing w:val="-3"/>
        </w:rPr>
        <w:t> </w:t>
      </w:r>
      <w:r>
        <w:rPr/>
        <w:t>to implement</w:t>
      </w:r>
      <w:r>
        <w:rPr>
          <w:spacing w:val="-1"/>
        </w:rPr>
        <w:t> </w:t>
      </w:r>
      <w:r>
        <w:rPr/>
        <w:t>this survey</w:t>
      </w:r>
      <w:r>
        <w:rPr>
          <w:spacing w:val="-1"/>
        </w:rPr>
        <w:t> </w:t>
      </w:r>
      <w:r>
        <w:rPr/>
        <w:t>process every</w:t>
      </w:r>
      <w:r>
        <w:rPr>
          <w:spacing w:val="-1"/>
        </w:rPr>
        <w:t> </w:t>
      </w:r>
      <w:r>
        <w:rPr/>
        <w:t>three </w:t>
      </w:r>
      <w:r>
        <w:rPr>
          <w:spacing w:val="-2"/>
        </w:rPr>
        <w:t>years.</w:t>
      </w:r>
    </w:p>
    <w:p>
      <w:pPr>
        <w:spacing w:after="0" w:line="264" w:lineRule="auto"/>
        <w:jc w:val="both"/>
        <w:sectPr>
          <w:pgSz w:w="12240" w:h="15840"/>
          <w:pgMar w:header="0" w:footer="1023" w:top="940" w:bottom="1260" w:left="600" w:right="500"/>
        </w:sectPr>
      </w:pPr>
    </w:p>
    <w:p>
      <w:pPr>
        <w:pStyle w:val="Heading9"/>
        <w:spacing w:before="35"/>
        <w:ind w:left="240"/>
      </w:pPr>
      <w:bookmarkStart w:name="Region 1" w:id="54"/>
      <w:bookmarkEnd w:id="54"/>
      <w:r>
        <w:rPr>
          <w:b w:val="0"/>
        </w:rPr>
      </w:r>
      <w:r>
        <w:rPr>
          <w:spacing w:val="-2"/>
          <w:u w:val="single"/>
        </w:rPr>
        <w:t>Region</w:t>
      </w:r>
      <w:r>
        <w:rPr>
          <w:spacing w:val="-4"/>
          <w:u w:val="single"/>
        </w:rPr>
        <w:t> </w:t>
      </w:r>
      <w:r>
        <w:rPr>
          <w:spacing w:val="-10"/>
          <w:u w:val="single"/>
        </w:rPr>
        <w:t>1</w:t>
      </w:r>
    </w:p>
    <w:p>
      <w:pPr>
        <w:pStyle w:val="BodyText"/>
        <w:spacing w:before="8"/>
        <w:rPr>
          <w:b/>
          <w:sz w:val="27"/>
        </w:rPr>
      </w:pPr>
    </w:p>
    <w:p>
      <w:pPr>
        <w:pStyle w:val="BodyText"/>
        <w:spacing w:line="264" w:lineRule="auto" w:before="51"/>
        <w:ind w:left="239" w:right="315"/>
        <w:jc w:val="both"/>
      </w:pPr>
      <w:r>
        <w:rPr/>
        <w:t>Aroostook</w:t>
      </w:r>
      <w:r>
        <w:rPr>
          <w:spacing w:val="-14"/>
        </w:rPr>
        <w:t> </w:t>
      </w:r>
      <w:r>
        <w:rPr/>
        <w:t>Regional</w:t>
      </w:r>
      <w:r>
        <w:rPr>
          <w:spacing w:val="-14"/>
        </w:rPr>
        <w:t> </w:t>
      </w:r>
      <w:r>
        <w:rPr/>
        <w:t>Transportation</w:t>
      </w:r>
      <w:r>
        <w:rPr>
          <w:spacing w:val="-13"/>
        </w:rPr>
        <w:t> </w:t>
      </w:r>
      <w:r>
        <w:rPr/>
        <w:t>Systems,</w:t>
      </w:r>
      <w:r>
        <w:rPr>
          <w:spacing w:val="-14"/>
        </w:rPr>
        <w:t> </w:t>
      </w:r>
      <w:r>
        <w:rPr/>
        <w:t>Inc</w:t>
      </w:r>
      <w:r>
        <w:rPr>
          <w:spacing w:val="-13"/>
        </w:rPr>
        <w:t> </w:t>
      </w:r>
      <w:r>
        <w:rPr/>
        <w:t>(ARTS)</w:t>
      </w:r>
      <w:r>
        <w:rPr>
          <w:spacing w:val="-14"/>
        </w:rPr>
        <w:t> </w:t>
      </w:r>
      <w:r>
        <w:rPr/>
        <w:t>provides</w:t>
      </w:r>
      <w:r>
        <w:rPr>
          <w:spacing w:val="-13"/>
        </w:rPr>
        <w:t> </w:t>
      </w:r>
      <w:r>
        <w:rPr/>
        <w:t>demand-response</w:t>
      </w:r>
      <w:r>
        <w:rPr>
          <w:spacing w:val="40"/>
        </w:rPr>
        <w:t> </w:t>
      </w:r>
      <w:r>
        <w:rPr/>
        <w:t>transportation</w:t>
      </w:r>
      <w:r>
        <w:rPr>
          <w:spacing w:val="-13"/>
        </w:rPr>
        <w:t> </w:t>
      </w:r>
      <w:r>
        <w:rPr/>
        <w:t>services</w:t>
      </w:r>
      <w:r>
        <w:rPr>
          <w:spacing w:val="-13"/>
        </w:rPr>
        <w:t> </w:t>
      </w:r>
      <w:r>
        <w:rPr/>
        <w:t>in Aroostook County, the largest</w:t>
      </w:r>
      <w:r>
        <w:rPr>
          <w:spacing w:val="-8"/>
        </w:rPr>
        <w:t> </w:t>
      </w:r>
      <w:r>
        <w:rPr/>
        <w:t>American county by land area east of the</w:t>
      </w:r>
      <w:r>
        <w:rPr>
          <w:spacing w:val="80"/>
        </w:rPr>
        <w:t> </w:t>
      </w:r>
      <w:r>
        <w:rPr/>
        <w:t>Mississippi River with a population density</w:t>
      </w:r>
      <w:r>
        <w:rPr>
          <w:spacing w:val="-7"/>
        </w:rPr>
        <w:t> </w:t>
      </w:r>
      <w:r>
        <w:rPr/>
        <w:t>of</w:t>
      </w:r>
      <w:r>
        <w:rPr>
          <w:spacing w:val="-2"/>
        </w:rPr>
        <w:t> </w:t>
      </w:r>
      <w:r>
        <w:rPr/>
        <w:t>11</w:t>
      </w:r>
      <w:r>
        <w:rPr>
          <w:spacing w:val="-7"/>
        </w:rPr>
        <w:t> </w:t>
      </w:r>
      <w:r>
        <w:rPr/>
        <w:t>people</w:t>
      </w:r>
      <w:r>
        <w:rPr>
          <w:spacing w:val="-2"/>
        </w:rPr>
        <w:t> </w:t>
      </w:r>
      <w:r>
        <w:rPr/>
        <w:t>per</w:t>
      </w:r>
      <w:r>
        <w:rPr>
          <w:spacing w:val="-5"/>
        </w:rPr>
        <w:t> </w:t>
      </w:r>
      <w:r>
        <w:rPr/>
        <w:t>square</w:t>
      </w:r>
      <w:r>
        <w:rPr>
          <w:spacing w:val="-5"/>
        </w:rPr>
        <w:t> </w:t>
      </w:r>
      <w:r>
        <w:rPr/>
        <w:t>mile,</w:t>
      </w:r>
      <w:r>
        <w:rPr>
          <w:spacing w:val="-3"/>
        </w:rPr>
        <w:t> </w:t>
      </w:r>
      <w:r>
        <w:rPr/>
        <w:t>including</w:t>
      </w:r>
      <w:r>
        <w:rPr>
          <w:spacing w:val="-3"/>
        </w:rPr>
        <w:t> </w:t>
      </w:r>
      <w:r>
        <w:rPr/>
        <w:t>1,799</w:t>
      </w:r>
      <w:r>
        <w:rPr>
          <w:spacing w:val="71"/>
        </w:rPr>
        <w:t> </w:t>
      </w:r>
      <w:r>
        <w:rPr/>
        <w:t>French-speaking</w:t>
      </w:r>
      <w:r>
        <w:rPr>
          <w:spacing w:val="-3"/>
        </w:rPr>
        <w:t> </w:t>
      </w:r>
      <w:r>
        <w:rPr/>
        <w:t>LEP</w:t>
      </w:r>
      <w:r>
        <w:rPr>
          <w:spacing w:val="-11"/>
        </w:rPr>
        <w:t> </w:t>
      </w:r>
      <w:r>
        <w:rPr/>
        <w:t>persons.</w:t>
      </w:r>
      <w:r>
        <w:rPr>
          <w:spacing w:val="-14"/>
        </w:rPr>
        <w:t> </w:t>
      </w:r>
      <w:r>
        <w:rPr/>
        <w:t>ARTS</w:t>
      </w:r>
      <w:r>
        <w:rPr>
          <w:spacing w:val="-9"/>
        </w:rPr>
        <w:t> </w:t>
      </w:r>
      <w:r>
        <w:rPr/>
        <w:t>had</w:t>
      </w:r>
      <w:r>
        <w:rPr>
          <w:spacing w:val="-2"/>
        </w:rPr>
        <w:t> </w:t>
      </w:r>
      <w:r>
        <w:rPr/>
        <w:t>a</w:t>
      </w:r>
      <w:r>
        <w:rPr>
          <w:spacing w:val="-3"/>
        </w:rPr>
        <w:t> </w:t>
      </w:r>
      <w:r>
        <w:rPr/>
        <w:t>single</w:t>
      </w:r>
      <w:r>
        <w:rPr>
          <w:spacing w:val="-5"/>
        </w:rPr>
        <w:t> </w:t>
      </w:r>
      <w:r>
        <w:rPr/>
        <w:t>survey respondent who was not a driver, who</w:t>
      </w:r>
      <w:r>
        <w:rPr>
          <w:spacing w:val="80"/>
        </w:rPr>
        <w:t> </w:t>
      </w:r>
      <w:r>
        <w:rPr/>
        <w:t>indicated that they come into contact with approximately 1–10 LEP individuals</w:t>
      </w:r>
      <w:r>
        <w:rPr>
          <w:spacing w:val="-9"/>
        </w:rPr>
        <w:t> </w:t>
      </w:r>
      <w:r>
        <w:rPr/>
        <w:t>in</w:t>
      </w:r>
      <w:r>
        <w:rPr>
          <w:spacing w:val="-3"/>
        </w:rPr>
        <w:t> </w:t>
      </w:r>
      <w:r>
        <w:rPr/>
        <w:t>the</w:t>
      </w:r>
      <w:r>
        <w:rPr>
          <w:spacing w:val="-4"/>
        </w:rPr>
        <w:t> </w:t>
      </w:r>
      <w:r>
        <w:rPr/>
        <w:t>average</w:t>
      </w:r>
      <w:r>
        <w:rPr>
          <w:spacing w:val="74"/>
        </w:rPr>
        <w:t> </w:t>
      </w:r>
      <w:r>
        <w:rPr/>
        <w:t>week</w:t>
      </w:r>
      <w:r>
        <w:rPr>
          <w:spacing w:val="-6"/>
        </w:rPr>
        <w:t> </w:t>
      </w:r>
      <w:r>
        <w:rPr/>
        <w:t>through</w:t>
      </w:r>
      <w:r>
        <w:rPr>
          <w:spacing w:val="-4"/>
        </w:rPr>
        <w:t> </w:t>
      </w:r>
      <w:r>
        <w:rPr/>
        <w:t>telephone,</w:t>
      </w:r>
      <w:r>
        <w:rPr>
          <w:spacing w:val="-7"/>
        </w:rPr>
        <w:t> </w:t>
      </w:r>
      <w:r>
        <w:rPr/>
        <w:t>email</w:t>
      </w:r>
      <w:r>
        <w:rPr>
          <w:spacing w:val="-2"/>
        </w:rPr>
        <w:t> </w:t>
      </w:r>
      <w:r>
        <w:rPr/>
        <w:t>and</w:t>
      </w:r>
      <w:r>
        <w:rPr>
          <w:spacing w:val="-3"/>
        </w:rPr>
        <w:t> </w:t>
      </w:r>
      <w:r>
        <w:rPr/>
        <w:t>fax</w:t>
      </w:r>
      <w:r>
        <w:rPr>
          <w:spacing w:val="-3"/>
        </w:rPr>
        <w:t> </w:t>
      </w:r>
      <w:r>
        <w:rPr/>
        <w:t>communications.</w:t>
      </w:r>
      <w:r>
        <w:rPr>
          <w:spacing w:val="-14"/>
        </w:rPr>
        <w:t> </w:t>
      </w:r>
      <w:r>
        <w:rPr/>
        <w:t>As</w:t>
      </w:r>
      <w:r>
        <w:rPr>
          <w:spacing w:val="-5"/>
        </w:rPr>
        <w:t> </w:t>
      </w:r>
      <w:r>
        <w:rPr/>
        <w:t>the</w:t>
      </w:r>
      <w:r>
        <w:rPr>
          <w:spacing w:val="-4"/>
        </w:rPr>
        <w:t> </w:t>
      </w:r>
      <w:r>
        <w:rPr/>
        <w:t>respondent</w:t>
      </w:r>
      <w:r>
        <w:rPr>
          <w:spacing w:val="-4"/>
        </w:rPr>
        <w:t> </w:t>
      </w:r>
      <w:r>
        <w:rPr/>
        <w:t>is</w:t>
      </w:r>
      <w:r>
        <w:rPr>
          <w:spacing w:val="-2"/>
        </w:rPr>
        <w:t> </w:t>
      </w:r>
      <w:r>
        <w:rPr/>
        <w:t>not a driver, no</w:t>
      </w:r>
      <w:r>
        <w:rPr>
          <w:spacing w:val="80"/>
        </w:rPr>
        <w:t> </w:t>
      </w:r>
      <w:r>
        <w:rPr/>
        <w:t>conclusion can be made with regard to the location of the highest LEP ridership in</w:t>
      </w:r>
      <w:r>
        <w:rPr>
          <w:spacing w:val="-5"/>
        </w:rPr>
        <w:t> </w:t>
      </w:r>
      <w:r>
        <w:rPr/>
        <w:t>Aroostook </w:t>
      </w:r>
      <w:r>
        <w:rPr>
          <w:spacing w:val="-2"/>
        </w:rPr>
        <w:t>County.</w:t>
      </w:r>
    </w:p>
    <w:p>
      <w:pPr>
        <w:pStyle w:val="BodyText"/>
        <w:rPr>
          <w:sz w:val="20"/>
        </w:rPr>
      </w:pPr>
    </w:p>
    <w:p>
      <w:pPr>
        <w:pStyle w:val="BodyText"/>
        <w:spacing w:before="12"/>
        <w:rPr>
          <w:sz w:val="20"/>
        </w:rPr>
      </w:pPr>
      <w:r>
        <w:rPr/>
        <mc:AlternateContent>
          <mc:Choice Requires="wps">
            <w:drawing>
              <wp:anchor distT="0" distB="0" distL="0" distR="0" allowOverlap="1" layoutInCell="1" locked="0" behindDoc="1" simplePos="0" relativeHeight="487610880">
                <wp:simplePos x="0" y="0"/>
                <wp:positionH relativeFrom="page">
                  <wp:posOffset>538477</wp:posOffset>
                </wp:positionH>
                <wp:positionV relativeFrom="paragraph">
                  <wp:posOffset>177959</wp:posOffset>
                </wp:positionV>
                <wp:extent cx="1828800"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1828800" cy="1270"/>
                        </a:xfrm>
                        <a:custGeom>
                          <a:avLst/>
                          <a:gdLst/>
                          <a:ahLst/>
                          <a:cxnLst/>
                          <a:rect l="l" t="t" r="r" b="b"/>
                          <a:pathLst>
                            <a:path w="1828800" h="0">
                              <a:moveTo>
                                <a:pt x="0" y="0"/>
                              </a:moveTo>
                              <a:lnTo>
                                <a:pt x="1828800" y="0"/>
                              </a:lnTo>
                            </a:path>
                          </a:pathLst>
                        </a:custGeom>
                        <a:ln w="889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2.399799pt;margin-top:14.01257pt;width:144pt;height:.1pt;mso-position-horizontal-relative:page;mso-position-vertical-relative:paragraph;z-index:-15705600;mso-wrap-distance-left:0;mso-wrap-distance-right:0" id="docshape94" coordorigin="848,280" coordsize="2880,0" path="m848,280l3728,280e" filled="false" stroked="true" strokeweight=".7pt" strokecolor="#000000">
                <v:path arrowok="t"/>
                <v:stroke dashstyle="solid"/>
                <w10:wrap type="topAndBottom"/>
              </v:shape>
            </w:pict>
          </mc:Fallback>
        </mc:AlternateContent>
      </w:r>
    </w:p>
    <w:p>
      <w:pPr>
        <w:spacing w:line="240" w:lineRule="auto" w:before="107"/>
        <w:ind w:left="239" w:right="583" w:firstLine="0"/>
        <w:jc w:val="left"/>
        <w:rPr>
          <w:sz w:val="18"/>
        </w:rPr>
      </w:pPr>
      <w:bookmarkStart w:name="_bookmark22" w:id="55"/>
      <w:bookmarkEnd w:id="55"/>
      <w:r>
        <w:rPr/>
      </w:r>
      <w:r>
        <w:rPr>
          <w:sz w:val="18"/>
          <w:vertAlign w:val="superscript"/>
        </w:rPr>
        <w:t>1</w:t>
      </w:r>
      <w:r>
        <w:rPr>
          <w:sz w:val="18"/>
          <w:vertAlign w:val="baseline"/>
        </w:rPr>
        <w:t> Two versions</w:t>
      </w:r>
      <w:r>
        <w:rPr>
          <w:spacing w:val="-2"/>
          <w:sz w:val="18"/>
          <w:vertAlign w:val="baseline"/>
        </w:rPr>
        <w:t> </w:t>
      </w:r>
      <w:r>
        <w:rPr>
          <w:sz w:val="18"/>
          <w:vertAlign w:val="baseline"/>
        </w:rPr>
        <w:t>of</w:t>
      </w:r>
      <w:r>
        <w:rPr>
          <w:spacing w:val="-1"/>
          <w:sz w:val="18"/>
          <w:vertAlign w:val="baseline"/>
        </w:rPr>
        <w:t> </w:t>
      </w:r>
      <w:r>
        <w:rPr>
          <w:sz w:val="18"/>
          <w:vertAlign w:val="baseline"/>
        </w:rPr>
        <w:t>this survey</w:t>
      </w:r>
      <w:r>
        <w:rPr>
          <w:spacing w:val="-3"/>
          <w:sz w:val="18"/>
          <w:vertAlign w:val="baseline"/>
        </w:rPr>
        <w:t> </w:t>
      </w:r>
      <w:r>
        <w:rPr>
          <w:sz w:val="18"/>
          <w:vertAlign w:val="baseline"/>
        </w:rPr>
        <w:t>were distributed. In one version, question</w:t>
      </w:r>
      <w:r>
        <w:rPr>
          <w:spacing w:val="-2"/>
          <w:sz w:val="18"/>
          <w:vertAlign w:val="baseline"/>
        </w:rPr>
        <w:t> </w:t>
      </w:r>
      <w:r>
        <w:rPr>
          <w:sz w:val="18"/>
          <w:vertAlign w:val="baseline"/>
        </w:rPr>
        <w:t>number</w:t>
      </w:r>
      <w:r>
        <w:rPr>
          <w:spacing w:val="-1"/>
          <w:sz w:val="18"/>
          <w:vertAlign w:val="baseline"/>
        </w:rPr>
        <w:t> </w:t>
      </w:r>
      <w:r>
        <w:rPr>
          <w:sz w:val="18"/>
          <w:vertAlign w:val="baseline"/>
        </w:rPr>
        <w:t>six, “How often do you</w:t>
      </w:r>
      <w:r>
        <w:rPr>
          <w:spacing w:val="-2"/>
          <w:sz w:val="18"/>
          <w:vertAlign w:val="baseline"/>
        </w:rPr>
        <w:t> </w:t>
      </w:r>
      <w:r>
        <w:rPr>
          <w:sz w:val="18"/>
          <w:vertAlign w:val="baseline"/>
        </w:rPr>
        <w:t>come into contact with</w:t>
      </w:r>
      <w:r>
        <w:rPr>
          <w:spacing w:val="80"/>
          <w:sz w:val="18"/>
          <w:vertAlign w:val="baseline"/>
        </w:rPr>
        <w:t> </w:t>
      </w:r>
      <w:r>
        <w:rPr>
          <w:sz w:val="18"/>
          <w:vertAlign w:val="baseline"/>
        </w:rPr>
        <w:t>riders who speak</w:t>
      </w:r>
      <w:r>
        <w:rPr>
          <w:spacing w:val="-1"/>
          <w:sz w:val="18"/>
          <w:vertAlign w:val="baseline"/>
        </w:rPr>
        <w:t> </w:t>
      </w:r>
      <w:r>
        <w:rPr>
          <w:sz w:val="18"/>
          <w:vertAlign w:val="baseline"/>
        </w:rPr>
        <w:t>English less</w:t>
      </w:r>
      <w:r>
        <w:rPr>
          <w:spacing w:val="-2"/>
          <w:sz w:val="18"/>
          <w:vertAlign w:val="baseline"/>
        </w:rPr>
        <w:t> </w:t>
      </w:r>
      <w:r>
        <w:rPr>
          <w:sz w:val="18"/>
          <w:vertAlign w:val="baseline"/>
        </w:rPr>
        <w:t>than very well, not</w:t>
      </w:r>
      <w:r>
        <w:rPr>
          <w:spacing w:val="-1"/>
          <w:sz w:val="18"/>
          <w:vertAlign w:val="baseline"/>
        </w:rPr>
        <w:t> </w:t>
      </w:r>
      <w:r>
        <w:rPr>
          <w:sz w:val="18"/>
          <w:vertAlign w:val="baseline"/>
        </w:rPr>
        <w:t>well, or not at</w:t>
      </w:r>
      <w:r>
        <w:rPr>
          <w:spacing w:val="-1"/>
          <w:sz w:val="18"/>
          <w:vertAlign w:val="baseline"/>
        </w:rPr>
        <w:t> </w:t>
      </w:r>
      <w:r>
        <w:rPr>
          <w:sz w:val="18"/>
          <w:vertAlign w:val="baseline"/>
        </w:rPr>
        <w:t>all?” had</w:t>
      </w:r>
      <w:r>
        <w:rPr>
          <w:spacing w:val="-2"/>
          <w:sz w:val="18"/>
          <w:vertAlign w:val="baseline"/>
        </w:rPr>
        <w:t> </w:t>
      </w:r>
      <w:r>
        <w:rPr>
          <w:sz w:val="18"/>
          <w:vertAlign w:val="baseline"/>
        </w:rPr>
        <w:t>multiple choice</w:t>
      </w:r>
      <w:r>
        <w:rPr>
          <w:spacing w:val="-2"/>
          <w:sz w:val="18"/>
          <w:vertAlign w:val="baseline"/>
        </w:rPr>
        <w:t> </w:t>
      </w:r>
      <w:r>
        <w:rPr>
          <w:sz w:val="18"/>
          <w:vertAlign w:val="baseline"/>
        </w:rPr>
        <w:t>responses listed in groups of ten from</w:t>
      </w:r>
      <w:r>
        <w:rPr>
          <w:spacing w:val="80"/>
          <w:sz w:val="18"/>
          <w:vertAlign w:val="baseline"/>
        </w:rPr>
        <w:t> </w:t>
      </w:r>
      <w:r>
        <w:rPr>
          <w:sz w:val="18"/>
          <w:vertAlign w:val="baseline"/>
        </w:rPr>
        <w:t>1–10 up to 91–100</w:t>
      </w:r>
      <w:r>
        <w:rPr>
          <w:spacing w:val="-1"/>
          <w:sz w:val="18"/>
          <w:vertAlign w:val="baseline"/>
        </w:rPr>
        <w:t> </w:t>
      </w:r>
      <w:r>
        <w:rPr>
          <w:sz w:val="18"/>
          <w:vertAlign w:val="baseline"/>
        </w:rPr>
        <w:t>LEP persons</w:t>
      </w:r>
      <w:r>
        <w:rPr>
          <w:spacing w:val="-3"/>
          <w:sz w:val="18"/>
          <w:vertAlign w:val="baseline"/>
        </w:rPr>
        <w:t> </w:t>
      </w:r>
      <w:r>
        <w:rPr>
          <w:sz w:val="18"/>
          <w:vertAlign w:val="baseline"/>
        </w:rPr>
        <w:t>per week. In the</w:t>
      </w:r>
      <w:r>
        <w:rPr>
          <w:spacing w:val="-3"/>
          <w:sz w:val="18"/>
          <w:vertAlign w:val="baseline"/>
        </w:rPr>
        <w:t> </w:t>
      </w:r>
      <w:r>
        <w:rPr>
          <w:sz w:val="18"/>
          <w:vertAlign w:val="baseline"/>
        </w:rPr>
        <w:t>other version, question six had</w:t>
      </w:r>
      <w:r>
        <w:rPr>
          <w:spacing w:val="-3"/>
          <w:sz w:val="18"/>
          <w:vertAlign w:val="baseline"/>
        </w:rPr>
        <w:t> </w:t>
      </w:r>
      <w:r>
        <w:rPr>
          <w:sz w:val="18"/>
          <w:vertAlign w:val="baseline"/>
        </w:rPr>
        <w:t>multiple choice responses listed</w:t>
      </w:r>
      <w:r>
        <w:rPr>
          <w:spacing w:val="-3"/>
          <w:sz w:val="18"/>
          <w:vertAlign w:val="baseline"/>
        </w:rPr>
        <w:t> </w:t>
      </w:r>
      <w:r>
        <w:rPr>
          <w:sz w:val="18"/>
          <w:vertAlign w:val="baseline"/>
        </w:rPr>
        <w:t>as, “Often”,</w:t>
      </w:r>
      <w:r>
        <w:rPr>
          <w:spacing w:val="80"/>
          <w:sz w:val="18"/>
          <w:vertAlign w:val="baseline"/>
        </w:rPr>
        <w:t> </w:t>
      </w:r>
      <w:r>
        <w:rPr>
          <w:sz w:val="18"/>
          <w:vertAlign w:val="baseline"/>
        </w:rPr>
        <w:t>“Sometimes”,</w:t>
      </w:r>
      <w:r>
        <w:rPr>
          <w:spacing w:val="-1"/>
          <w:sz w:val="18"/>
          <w:vertAlign w:val="baseline"/>
        </w:rPr>
        <w:t> </w:t>
      </w:r>
      <w:r>
        <w:rPr>
          <w:sz w:val="18"/>
          <w:vertAlign w:val="baseline"/>
        </w:rPr>
        <w:t>“Rarely”, and</w:t>
      </w:r>
      <w:r>
        <w:rPr>
          <w:spacing w:val="-1"/>
          <w:sz w:val="18"/>
          <w:vertAlign w:val="baseline"/>
        </w:rPr>
        <w:t> </w:t>
      </w:r>
      <w:r>
        <w:rPr>
          <w:sz w:val="18"/>
          <w:vertAlign w:val="baseline"/>
        </w:rPr>
        <w:t>“Never”. Through</w:t>
      </w:r>
      <w:r>
        <w:rPr>
          <w:spacing w:val="-7"/>
          <w:sz w:val="18"/>
          <w:vertAlign w:val="baseline"/>
        </w:rPr>
        <w:t> </w:t>
      </w:r>
      <w:r>
        <w:rPr>
          <w:sz w:val="18"/>
          <w:vertAlign w:val="baseline"/>
        </w:rPr>
        <w:t>discussions</w:t>
      </w:r>
      <w:r>
        <w:rPr>
          <w:spacing w:val="-9"/>
          <w:sz w:val="18"/>
          <w:vertAlign w:val="baseline"/>
        </w:rPr>
        <w:t> </w:t>
      </w:r>
      <w:r>
        <w:rPr>
          <w:sz w:val="18"/>
          <w:vertAlign w:val="baseline"/>
        </w:rPr>
        <w:t>with</w:t>
      </w:r>
      <w:r>
        <w:rPr>
          <w:spacing w:val="-6"/>
          <w:sz w:val="18"/>
          <w:vertAlign w:val="baseline"/>
        </w:rPr>
        <w:t> </w:t>
      </w:r>
      <w:r>
        <w:rPr>
          <w:sz w:val="18"/>
          <w:vertAlign w:val="baseline"/>
        </w:rPr>
        <w:t>a</w:t>
      </w:r>
      <w:r>
        <w:rPr>
          <w:spacing w:val="-5"/>
          <w:sz w:val="18"/>
          <w:vertAlign w:val="baseline"/>
        </w:rPr>
        <w:t> </w:t>
      </w:r>
      <w:r>
        <w:rPr>
          <w:sz w:val="18"/>
          <w:vertAlign w:val="baseline"/>
        </w:rPr>
        <w:t>sampling</w:t>
      </w:r>
      <w:r>
        <w:rPr>
          <w:spacing w:val="-6"/>
          <w:sz w:val="18"/>
          <w:vertAlign w:val="baseline"/>
        </w:rPr>
        <w:t> </w:t>
      </w:r>
      <w:r>
        <w:rPr>
          <w:sz w:val="18"/>
          <w:vertAlign w:val="baseline"/>
        </w:rPr>
        <w:t>of</w:t>
      </w:r>
      <w:r>
        <w:rPr>
          <w:spacing w:val="-7"/>
          <w:sz w:val="18"/>
          <w:vertAlign w:val="baseline"/>
        </w:rPr>
        <w:t> </w:t>
      </w:r>
      <w:r>
        <w:rPr>
          <w:sz w:val="18"/>
          <w:vertAlign w:val="baseline"/>
        </w:rPr>
        <w:t>respondents</w:t>
      </w:r>
      <w:r>
        <w:rPr>
          <w:spacing w:val="-6"/>
          <w:sz w:val="18"/>
          <w:vertAlign w:val="baseline"/>
        </w:rPr>
        <w:t> </w:t>
      </w:r>
      <w:r>
        <w:rPr>
          <w:sz w:val="18"/>
          <w:vertAlign w:val="baseline"/>
        </w:rPr>
        <w:t>we</w:t>
      </w:r>
      <w:r>
        <w:rPr>
          <w:spacing w:val="-6"/>
          <w:sz w:val="18"/>
          <w:vertAlign w:val="baseline"/>
        </w:rPr>
        <w:t> </w:t>
      </w:r>
      <w:r>
        <w:rPr>
          <w:sz w:val="18"/>
          <w:vertAlign w:val="baseline"/>
        </w:rPr>
        <w:t>were</w:t>
      </w:r>
      <w:r>
        <w:rPr>
          <w:spacing w:val="-8"/>
          <w:sz w:val="18"/>
          <w:vertAlign w:val="baseline"/>
        </w:rPr>
        <w:t> </w:t>
      </w:r>
      <w:r>
        <w:rPr>
          <w:sz w:val="18"/>
          <w:vertAlign w:val="baseline"/>
        </w:rPr>
        <w:t>able</w:t>
      </w:r>
      <w:r>
        <w:rPr>
          <w:spacing w:val="-6"/>
          <w:sz w:val="18"/>
          <w:vertAlign w:val="baseline"/>
        </w:rPr>
        <w:t> </w:t>
      </w:r>
      <w:r>
        <w:rPr>
          <w:sz w:val="18"/>
          <w:vertAlign w:val="baseline"/>
        </w:rPr>
        <w:t>to</w:t>
      </w:r>
      <w:r>
        <w:rPr>
          <w:spacing w:val="-4"/>
          <w:sz w:val="18"/>
          <w:vertAlign w:val="baseline"/>
        </w:rPr>
        <w:t> </w:t>
      </w:r>
      <w:r>
        <w:rPr>
          <w:sz w:val="18"/>
          <w:vertAlign w:val="baseline"/>
        </w:rPr>
        <w:t>equate</w:t>
      </w:r>
      <w:r>
        <w:rPr>
          <w:spacing w:val="-6"/>
          <w:sz w:val="18"/>
          <w:vertAlign w:val="baseline"/>
        </w:rPr>
        <w:t> </w:t>
      </w:r>
      <w:r>
        <w:rPr>
          <w:sz w:val="18"/>
          <w:vertAlign w:val="baseline"/>
        </w:rPr>
        <w:t>“often,</w:t>
      </w:r>
      <w:r>
        <w:rPr>
          <w:spacing w:val="80"/>
          <w:sz w:val="18"/>
          <w:vertAlign w:val="baseline"/>
        </w:rPr>
        <w:t> </w:t>
      </w:r>
      <w:r>
        <w:rPr>
          <w:sz w:val="18"/>
          <w:vertAlign w:val="baseline"/>
        </w:rPr>
        <w:t>sometimes,</w:t>
      </w:r>
      <w:r>
        <w:rPr>
          <w:spacing w:val="-5"/>
          <w:sz w:val="18"/>
          <w:vertAlign w:val="baseline"/>
        </w:rPr>
        <w:t> </w:t>
      </w:r>
      <w:r>
        <w:rPr>
          <w:sz w:val="18"/>
          <w:vertAlign w:val="baseline"/>
        </w:rPr>
        <w:t>rarely,</w:t>
      </w:r>
      <w:r>
        <w:rPr>
          <w:spacing w:val="-5"/>
          <w:sz w:val="18"/>
          <w:vertAlign w:val="baseline"/>
        </w:rPr>
        <w:t> </w:t>
      </w:r>
      <w:r>
        <w:rPr>
          <w:sz w:val="18"/>
          <w:vertAlign w:val="baseline"/>
        </w:rPr>
        <w:t>or</w:t>
      </w:r>
      <w:r>
        <w:rPr>
          <w:spacing w:val="-6"/>
          <w:sz w:val="18"/>
          <w:vertAlign w:val="baseline"/>
        </w:rPr>
        <w:t> </w:t>
      </w:r>
      <w:r>
        <w:rPr>
          <w:sz w:val="18"/>
          <w:vertAlign w:val="baseline"/>
        </w:rPr>
        <w:t>never”</w:t>
      </w:r>
      <w:r>
        <w:rPr>
          <w:spacing w:val="-9"/>
          <w:sz w:val="18"/>
          <w:vertAlign w:val="baseline"/>
        </w:rPr>
        <w:t> </w:t>
      </w:r>
      <w:r>
        <w:rPr>
          <w:sz w:val="18"/>
          <w:vertAlign w:val="baseline"/>
        </w:rPr>
        <w:t>with</w:t>
      </w:r>
      <w:r>
        <w:rPr>
          <w:spacing w:val="-9"/>
          <w:sz w:val="18"/>
          <w:vertAlign w:val="baseline"/>
        </w:rPr>
        <w:t> </w:t>
      </w:r>
      <w:r>
        <w:rPr>
          <w:sz w:val="18"/>
          <w:vertAlign w:val="baseline"/>
        </w:rPr>
        <w:t>the</w:t>
      </w:r>
      <w:r>
        <w:rPr>
          <w:spacing w:val="-6"/>
          <w:sz w:val="18"/>
          <w:vertAlign w:val="baseline"/>
        </w:rPr>
        <w:t> </w:t>
      </w:r>
      <w:r>
        <w:rPr>
          <w:sz w:val="18"/>
          <w:vertAlign w:val="baseline"/>
        </w:rPr>
        <w:t>numbered</w:t>
      </w:r>
      <w:r>
        <w:rPr>
          <w:spacing w:val="-6"/>
          <w:sz w:val="18"/>
          <w:vertAlign w:val="baseline"/>
        </w:rPr>
        <w:t> </w:t>
      </w:r>
      <w:r>
        <w:rPr>
          <w:sz w:val="18"/>
          <w:vertAlign w:val="baseline"/>
        </w:rPr>
        <w:t>groups.</w:t>
      </w:r>
    </w:p>
    <w:p>
      <w:pPr>
        <w:spacing w:after="0" w:line="240" w:lineRule="auto"/>
        <w:jc w:val="left"/>
        <w:rPr>
          <w:sz w:val="18"/>
        </w:rPr>
        <w:sectPr>
          <w:pgSz w:w="12240" w:h="15840"/>
          <w:pgMar w:header="0" w:footer="1023" w:top="960" w:bottom="1260" w:left="600" w:right="500"/>
        </w:sectPr>
      </w:pPr>
    </w:p>
    <w:p>
      <w:pPr>
        <w:spacing w:before="31"/>
        <w:ind w:left="240" w:right="0" w:firstLine="0"/>
        <w:jc w:val="left"/>
        <w:rPr>
          <w:b/>
          <w:sz w:val="24"/>
        </w:rPr>
      </w:pPr>
      <w:bookmarkStart w:name="Region 2" w:id="56"/>
      <w:bookmarkEnd w:id="56"/>
      <w:r>
        <w:rPr/>
      </w:r>
      <w:r>
        <w:rPr>
          <w:b/>
          <w:spacing w:val="-2"/>
          <w:sz w:val="24"/>
          <w:u w:val="single"/>
        </w:rPr>
        <w:t>Region</w:t>
      </w:r>
      <w:r>
        <w:rPr>
          <w:b/>
          <w:spacing w:val="-4"/>
          <w:sz w:val="24"/>
          <w:u w:val="single"/>
        </w:rPr>
        <w:t> </w:t>
      </w:r>
      <w:r>
        <w:rPr>
          <w:b/>
          <w:spacing w:val="-10"/>
          <w:sz w:val="24"/>
          <w:u w:val="single"/>
        </w:rPr>
        <w:t>2</w:t>
      </w:r>
    </w:p>
    <w:p>
      <w:pPr>
        <w:pStyle w:val="BodyText"/>
        <w:rPr>
          <w:b/>
          <w:sz w:val="20"/>
        </w:rPr>
      </w:pPr>
    </w:p>
    <w:p>
      <w:pPr>
        <w:pStyle w:val="BodyText"/>
        <w:spacing w:before="8"/>
        <w:rPr>
          <w:b/>
          <w:sz w:val="27"/>
        </w:rPr>
      </w:pPr>
    </w:p>
    <w:p>
      <w:pPr>
        <w:pStyle w:val="Heading7"/>
        <w:spacing w:before="47"/>
        <w:ind w:left="240"/>
      </w:pPr>
      <w:bookmarkStart w:name="Zero:" w:id="57"/>
      <w:bookmarkEnd w:id="57"/>
      <w:r>
        <w:rPr>
          <w:b w:val="0"/>
        </w:rPr>
      </w:r>
      <w:r>
        <w:rPr>
          <w:spacing w:val="-2"/>
        </w:rPr>
        <w:t>Zero:</w:t>
      </w:r>
    </w:p>
    <w:p>
      <w:pPr>
        <w:pStyle w:val="BodyText"/>
        <w:rPr>
          <w:b/>
          <w:sz w:val="31"/>
        </w:rPr>
      </w:pPr>
    </w:p>
    <w:p>
      <w:pPr>
        <w:pStyle w:val="BodyText"/>
        <w:spacing w:line="264" w:lineRule="auto"/>
        <w:ind w:left="239" w:right="436"/>
        <w:jc w:val="both"/>
      </w:pPr>
      <w:r>
        <w:rPr/>
        <w:t>Isle</w:t>
      </w:r>
      <w:r>
        <w:rPr>
          <w:spacing w:val="-6"/>
        </w:rPr>
        <w:t> </w:t>
      </w:r>
      <w:r>
        <w:rPr/>
        <w:t>au</w:t>
      </w:r>
      <w:r>
        <w:rPr>
          <w:spacing w:val="-6"/>
        </w:rPr>
        <w:t> </w:t>
      </w:r>
      <w:r>
        <w:rPr/>
        <w:t>Haut</w:t>
      </w:r>
      <w:r>
        <w:rPr>
          <w:spacing w:val="-6"/>
        </w:rPr>
        <w:t> </w:t>
      </w:r>
      <w:r>
        <w:rPr/>
        <w:t>Boat</w:t>
      </w:r>
      <w:r>
        <w:rPr>
          <w:spacing w:val="-8"/>
        </w:rPr>
        <w:t> </w:t>
      </w:r>
      <w:r>
        <w:rPr/>
        <w:t>Services</w:t>
      </w:r>
      <w:r>
        <w:rPr>
          <w:spacing w:val="-8"/>
        </w:rPr>
        <w:t> </w:t>
      </w:r>
      <w:r>
        <w:rPr/>
        <w:t>and</w:t>
      </w:r>
      <w:r>
        <w:rPr>
          <w:spacing w:val="-8"/>
        </w:rPr>
        <w:t> </w:t>
      </w:r>
      <w:r>
        <w:rPr/>
        <w:t>Downeast</w:t>
      </w:r>
      <w:r>
        <w:rPr>
          <w:spacing w:val="-13"/>
        </w:rPr>
        <w:t> </w:t>
      </w:r>
      <w:r>
        <w:rPr/>
        <w:t>Transportation</w:t>
      </w:r>
      <w:r>
        <w:rPr>
          <w:spacing w:val="-8"/>
        </w:rPr>
        <w:t> </w:t>
      </w:r>
      <w:r>
        <w:rPr/>
        <w:t>Inc.</w:t>
      </w:r>
      <w:r>
        <w:rPr>
          <w:spacing w:val="-10"/>
        </w:rPr>
        <w:t> </w:t>
      </w:r>
      <w:r>
        <w:rPr/>
        <w:t>had</w:t>
      </w:r>
      <w:r>
        <w:rPr>
          <w:spacing w:val="-8"/>
        </w:rPr>
        <w:t> </w:t>
      </w:r>
      <w:r>
        <w:rPr/>
        <w:t>a</w:t>
      </w:r>
      <w:r>
        <w:rPr>
          <w:spacing w:val="-7"/>
        </w:rPr>
        <w:t> </w:t>
      </w:r>
      <w:r>
        <w:rPr/>
        <w:t>total</w:t>
      </w:r>
      <w:r>
        <w:rPr>
          <w:spacing w:val="-9"/>
        </w:rPr>
        <w:t> </w:t>
      </w:r>
      <w:r>
        <w:rPr/>
        <w:t>of</w:t>
      </w:r>
      <w:r>
        <w:rPr>
          <w:spacing w:val="-8"/>
        </w:rPr>
        <w:t> </w:t>
      </w:r>
      <w:r>
        <w:rPr/>
        <w:t>ten</w:t>
      </w:r>
      <w:r>
        <w:rPr>
          <w:spacing w:val="-6"/>
        </w:rPr>
        <w:t> </w:t>
      </w:r>
      <w:r>
        <w:rPr/>
        <w:t>respondents,</w:t>
      </w:r>
      <w:r>
        <w:rPr>
          <w:spacing w:val="40"/>
        </w:rPr>
        <w:t> </w:t>
      </w:r>
      <w:r>
        <w:rPr/>
        <w:t>seven</w:t>
      </w:r>
      <w:r>
        <w:rPr>
          <w:spacing w:val="-6"/>
        </w:rPr>
        <w:t> </w:t>
      </w:r>
      <w:r>
        <w:rPr/>
        <w:t>of</w:t>
      </w:r>
      <w:r>
        <w:rPr>
          <w:spacing w:val="-6"/>
        </w:rPr>
        <w:t> </w:t>
      </w:r>
      <w:r>
        <w:rPr/>
        <w:t>whom indicated that they come in contact with no LEP individuals. This is consistent</w:t>
      </w:r>
      <w:r>
        <w:rPr>
          <w:spacing w:val="80"/>
        </w:rPr>
        <w:t> </w:t>
      </w:r>
      <w:r>
        <w:rPr/>
        <w:t>with information obtained from community partner outreach.</w:t>
      </w:r>
    </w:p>
    <w:p>
      <w:pPr>
        <w:pStyle w:val="BodyText"/>
        <w:spacing w:before="9"/>
        <w:rPr>
          <w:sz w:val="19"/>
        </w:rPr>
      </w:pPr>
    </w:p>
    <w:p>
      <w:pPr>
        <w:pStyle w:val="Heading7"/>
        <w:ind w:left="240"/>
      </w:pPr>
      <w:bookmarkStart w:name="1–10:" w:id="58"/>
      <w:bookmarkEnd w:id="58"/>
      <w:r>
        <w:rPr>
          <w:b w:val="0"/>
        </w:rPr>
      </w:r>
      <w:r>
        <w:rPr>
          <w:spacing w:val="-2"/>
        </w:rPr>
        <w:t>1–10:</w:t>
      </w:r>
    </w:p>
    <w:p>
      <w:pPr>
        <w:pStyle w:val="BodyText"/>
        <w:spacing w:before="10"/>
        <w:rPr>
          <w:b/>
          <w:sz w:val="30"/>
        </w:rPr>
      </w:pPr>
    </w:p>
    <w:p>
      <w:pPr>
        <w:pStyle w:val="BodyText"/>
        <w:spacing w:line="264" w:lineRule="auto"/>
        <w:ind w:left="239" w:right="353"/>
        <w:jc w:val="both"/>
      </w:pPr>
      <w:r>
        <w:rPr/>
        <w:t>Two</w:t>
      </w:r>
      <w:r>
        <w:rPr>
          <w:spacing w:val="-6"/>
        </w:rPr>
        <w:t> </w:t>
      </w:r>
      <w:r>
        <w:rPr/>
        <w:t>respondents</w:t>
      </w:r>
      <w:r>
        <w:rPr>
          <w:spacing w:val="-3"/>
        </w:rPr>
        <w:t> </w:t>
      </w:r>
      <w:r>
        <w:rPr/>
        <w:t>indicated</w:t>
      </w:r>
      <w:r>
        <w:rPr>
          <w:spacing w:val="-2"/>
        </w:rPr>
        <w:t> </w:t>
      </w:r>
      <w:r>
        <w:rPr/>
        <w:t>that</w:t>
      </w:r>
      <w:r>
        <w:rPr>
          <w:spacing w:val="-2"/>
        </w:rPr>
        <w:t> </w:t>
      </w:r>
      <w:r>
        <w:rPr/>
        <w:t>they</w:t>
      </w:r>
      <w:r>
        <w:rPr>
          <w:spacing w:val="-5"/>
        </w:rPr>
        <w:t> </w:t>
      </w:r>
      <w:r>
        <w:rPr/>
        <w:t>typically</w:t>
      </w:r>
      <w:r>
        <w:rPr>
          <w:spacing w:val="-3"/>
        </w:rPr>
        <w:t> </w:t>
      </w:r>
      <w:r>
        <w:rPr/>
        <w:t>see</w:t>
      </w:r>
      <w:r>
        <w:rPr>
          <w:spacing w:val="-2"/>
        </w:rPr>
        <w:t> </w:t>
      </w:r>
      <w:r>
        <w:rPr/>
        <w:t>1–10</w:t>
      </w:r>
      <w:r>
        <w:rPr>
          <w:spacing w:val="-2"/>
        </w:rPr>
        <w:t> </w:t>
      </w:r>
      <w:r>
        <w:rPr/>
        <w:t>Spanish speaking</w:t>
      </w:r>
      <w:r>
        <w:rPr>
          <w:spacing w:val="-5"/>
        </w:rPr>
        <w:t> </w:t>
      </w:r>
      <w:r>
        <w:rPr/>
        <w:t>LEP</w:t>
      </w:r>
      <w:r>
        <w:rPr>
          <w:spacing w:val="-11"/>
        </w:rPr>
        <w:t> </w:t>
      </w:r>
      <w:r>
        <w:rPr/>
        <w:t>riders</w:t>
      </w:r>
      <w:r>
        <w:rPr>
          <w:spacing w:val="-5"/>
        </w:rPr>
        <w:t> </w:t>
      </w:r>
      <w:r>
        <w:rPr/>
        <w:t>per</w:t>
      </w:r>
      <w:r>
        <w:rPr>
          <w:spacing w:val="-2"/>
        </w:rPr>
        <w:t> </w:t>
      </w:r>
      <w:r>
        <w:rPr/>
        <w:t>week,</w:t>
      </w:r>
      <w:r>
        <w:rPr>
          <w:spacing w:val="-2"/>
        </w:rPr>
        <w:t> </w:t>
      </w:r>
      <w:r>
        <w:rPr/>
        <w:t>in</w:t>
      </w:r>
      <w:r>
        <w:rPr>
          <w:spacing w:val="40"/>
        </w:rPr>
        <w:t> </w:t>
      </w:r>
      <w:r>
        <w:rPr/>
        <w:t>Bar</w:t>
      </w:r>
      <w:r>
        <w:rPr>
          <w:spacing w:val="-2"/>
        </w:rPr>
        <w:t> </w:t>
      </w:r>
      <w:r>
        <w:rPr/>
        <w:t>Harbor on the Ellsworth to Bar Harbor route.</w:t>
      </w:r>
    </w:p>
    <w:p>
      <w:pPr>
        <w:pStyle w:val="BodyText"/>
        <w:spacing w:before="9"/>
        <w:rPr>
          <w:sz w:val="19"/>
        </w:rPr>
      </w:pPr>
    </w:p>
    <w:p>
      <w:pPr>
        <w:pStyle w:val="Heading7"/>
        <w:ind w:left="240"/>
      </w:pPr>
      <w:bookmarkStart w:name="11–20:" w:id="59"/>
      <w:bookmarkEnd w:id="59"/>
      <w:r>
        <w:rPr>
          <w:b w:val="0"/>
        </w:rPr>
      </w:r>
      <w:r>
        <w:rPr>
          <w:spacing w:val="-2"/>
        </w:rPr>
        <w:t>11–20:</w:t>
      </w:r>
    </w:p>
    <w:p>
      <w:pPr>
        <w:pStyle w:val="BodyText"/>
        <w:spacing w:before="10"/>
        <w:rPr>
          <w:b/>
          <w:sz w:val="30"/>
        </w:rPr>
      </w:pPr>
    </w:p>
    <w:p>
      <w:pPr>
        <w:pStyle w:val="BodyText"/>
        <w:spacing w:line="264" w:lineRule="auto"/>
        <w:ind w:left="239" w:right="438"/>
        <w:jc w:val="both"/>
      </w:pPr>
      <w:r>
        <w:rPr/>
        <w:t>DCP also had a driver of the Ellsworth, Bar Harbor and Bangor routes who comes in contact</w:t>
      </w:r>
      <w:r>
        <w:rPr>
          <w:spacing w:val="40"/>
        </w:rPr>
        <w:t> </w:t>
      </w:r>
      <w:r>
        <w:rPr/>
        <w:t>with LEP populations 11–20 times per week who speak French, Spanish, German, Vietnamese,</w:t>
      </w:r>
      <w:r>
        <w:rPr>
          <w:spacing w:val="80"/>
        </w:rPr>
        <w:t> </w:t>
      </w:r>
      <w:r>
        <w:rPr/>
        <w:t>Chinese, Russian, Polish, Korean, Japanese, and Italian.</w:t>
      </w:r>
    </w:p>
    <w:p>
      <w:pPr>
        <w:pStyle w:val="BodyText"/>
      </w:pPr>
    </w:p>
    <w:p>
      <w:pPr>
        <w:pStyle w:val="BodyText"/>
        <w:spacing w:before="6"/>
        <w:rPr>
          <w:sz w:val="29"/>
        </w:rPr>
      </w:pPr>
    </w:p>
    <w:p>
      <w:pPr>
        <w:spacing w:before="0"/>
        <w:ind w:left="240" w:right="0" w:firstLine="0"/>
        <w:jc w:val="left"/>
        <w:rPr>
          <w:b/>
          <w:sz w:val="24"/>
        </w:rPr>
      </w:pPr>
      <w:bookmarkStart w:name="Region 3" w:id="60"/>
      <w:bookmarkEnd w:id="60"/>
      <w:r>
        <w:rPr/>
      </w:r>
      <w:r>
        <w:rPr>
          <w:b/>
          <w:spacing w:val="-2"/>
          <w:sz w:val="24"/>
          <w:u w:val="single"/>
        </w:rPr>
        <w:t>Region</w:t>
      </w:r>
      <w:r>
        <w:rPr>
          <w:b/>
          <w:spacing w:val="-4"/>
          <w:sz w:val="24"/>
          <w:u w:val="single"/>
        </w:rPr>
        <w:t> </w:t>
      </w:r>
      <w:r>
        <w:rPr>
          <w:b/>
          <w:spacing w:val="-10"/>
          <w:sz w:val="24"/>
          <w:u w:val="single"/>
        </w:rPr>
        <w:t>3</w:t>
      </w:r>
    </w:p>
    <w:p>
      <w:pPr>
        <w:pStyle w:val="BodyText"/>
        <w:rPr>
          <w:b/>
          <w:sz w:val="20"/>
        </w:rPr>
      </w:pPr>
    </w:p>
    <w:p>
      <w:pPr>
        <w:pStyle w:val="BodyText"/>
        <w:spacing w:before="11"/>
        <w:rPr>
          <w:b/>
          <w:sz w:val="27"/>
        </w:rPr>
      </w:pPr>
    </w:p>
    <w:p>
      <w:pPr>
        <w:pStyle w:val="Heading7"/>
        <w:spacing w:before="47"/>
        <w:ind w:left="240"/>
      </w:pPr>
      <w:bookmarkStart w:name="Zero:" w:id="61"/>
      <w:bookmarkEnd w:id="61"/>
      <w:r>
        <w:rPr>
          <w:b w:val="0"/>
        </w:rPr>
      </w:r>
      <w:r>
        <w:rPr>
          <w:spacing w:val="-2"/>
        </w:rPr>
        <w:t>Zero:</w:t>
      </w:r>
    </w:p>
    <w:p>
      <w:pPr>
        <w:pStyle w:val="BodyText"/>
        <w:spacing w:before="9"/>
        <w:rPr>
          <w:b/>
          <w:sz w:val="30"/>
        </w:rPr>
      </w:pPr>
    </w:p>
    <w:p>
      <w:pPr>
        <w:pStyle w:val="BodyText"/>
        <w:spacing w:line="264" w:lineRule="auto"/>
        <w:ind w:left="240"/>
      </w:pPr>
      <w:r>
        <w:rPr/>
        <w:t>Penquis</w:t>
      </w:r>
      <w:r>
        <w:rPr>
          <w:spacing w:val="-12"/>
        </w:rPr>
        <w:t> </w:t>
      </w:r>
      <w:r>
        <w:rPr/>
        <w:t>Transportation</w:t>
      </w:r>
      <w:r>
        <w:rPr>
          <w:spacing w:val="-7"/>
        </w:rPr>
        <w:t> </w:t>
      </w:r>
      <w:r>
        <w:rPr/>
        <w:t>Services</w:t>
      </w:r>
      <w:r>
        <w:rPr>
          <w:spacing w:val="-8"/>
        </w:rPr>
        <w:t> </w:t>
      </w:r>
      <w:r>
        <w:rPr/>
        <w:t>had</w:t>
      </w:r>
      <w:r>
        <w:rPr>
          <w:spacing w:val="-7"/>
        </w:rPr>
        <w:t> </w:t>
      </w:r>
      <w:r>
        <w:rPr/>
        <w:t>16</w:t>
      </w:r>
      <w:r>
        <w:rPr>
          <w:spacing w:val="-5"/>
        </w:rPr>
        <w:t> </w:t>
      </w:r>
      <w:r>
        <w:rPr/>
        <w:t>respondents,</w:t>
      </w:r>
      <w:r>
        <w:rPr>
          <w:spacing w:val="-8"/>
        </w:rPr>
        <w:t> </w:t>
      </w:r>
      <w:r>
        <w:rPr/>
        <w:t>eight</w:t>
      </w:r>
      <w:r>
        <w:rPr>
          <w:spacing w:val="-7"/>
        </w:rPr>
        <w:t> </w:t>
      </w:r>
      <w:r>
        <w:rPr/>
        <w:t>of</w:t>
      </w:r>
      <w:r>
        <w:rPr>
          <w:spacing w:val="-9"/>
        </w:rPr>
        <w:t> </w:t>
      </w:r>
      <w:r>
        <w:rPr/>
        <w:t>whom</w:t>
      </w:r>
      <w:r>
        <w:rPr>
          <w:spacing w:val="-8"/>
        </w:rPr>
        <w:t> </w:t>
      </w:r>
      <w:r>
        <w:rPr/>
        <w:t>indicated</w:t>
      </w:r>
      <w:r>
        <w:rPr>
          <w:spacing w:val="-9"/>
        </w:rPr>
        <w:t> </w:t>
      </w:r>
      <w:r>
        <w:rPr/>
        <w:t>that</w:t>
      </w:r>
      <w:r>
        <w:rPr>
          <w:spacing w:val="-7"/>
        </w:rPr>
        <w:t> </w:t>
      </w:r>
      <w:r>
        <w:rPr/>
        <w:t>they</w:t>
      </w:r>
      <w:r>
        <w:rPr>
          <w:spacing w:val="-9"/>
        </w:rPr>
        <w:t> </w:t>
      </w:r>
      <w:r>
        <w:rPr/>
        <w:t>never</w:t>
      </w:r>
      <w:r>
        <w:rPr>
          <w:spacing w:val="-8"/>
        </w:rPr>
        <w:t> </w:t>
      </w:r>
      <w:r>
        <w:rPr/>
        <w:t>or</w:t>
      </w:r>
      <w:r>
        <w:rPr>
          <w:spacing w:val="74"/>
        </w:rPr>
        <w:t> </w:t>
      </w:r>
      <w:r>
        <w:rPr/>
        <w:t>come</w:t>
      </w:r>
      <w:r>
        <w:rPr>
          <w:spacing w:val="-5"/>
        </w:rPr>
        <w:t> </w:t>
      </w:r>
      <w:r>
        <w:rPr/>
        <w:t>into contact with LEP persons.</w:t>
      </w:r>
    </w:p>
    <w:p>
      <w:pPr>
        <w:pStyle w:val="BodyText"/>
        <w:spacing w:before="11"/>
        <w:rPr>
          <w:sz w:val="33"/>
        </w:rPr>
      </w:pPr>
    </w:p>
    <w:p>
      <w:pPr>
        <w:pStyle w:val="BodyText"/>
        <w:spacing w:line="264" w:lineRule="auto"/>
        <w:ind w:left="240" w:right="335"/>
      </w:pPr>
      <w:r>
        <w:rPr/>
        <w:t>Two</w:t>
      </w:r>
      <w:r>
        <w:rPr>
          <w:spacing w:val="-11"/>
        </w:rPr>
        <w:t> </w:t>
      </w:r>
      <w:r>
        <w:rPr/>
        <w:t>of</w:t>
      </w:r>
      <w:r>
        <w:rPr>
          <w:spacing w:val="-6"/>
        </w:rPr>
        <w:t> </w:t>
      </w:r>
      <w:r>
        <w:rPr/>
        <w:t>those</w:t>
      </w:r>
      <w:r>
        <w:rPr>
          <w:spacing w:val="-4"/>
        </w:rPr>
        <w:t> </w:t>
      </w:r>
      <w:r>
        <w:rPr/>
        <w:t>eight</w:t>
      </w:r>
      <w:r>
        <w:rPr>
          <w:spacing w:val="-8"/>
        </w:rPr>
        <w:t> </w:t>
      </w:r>
      <w:r>
        <w:rPr/>
        <w:t>were</w:t>
      </w:r>
      <w:r>
        <w:rPr>
          <w:spacing w:val="-9"/>
        </w:rPr>
        <w:t> </w:t>
      </w:r>
      <w:r>
        <w:rPr/>
        <w:t>office</w:t>
      </w:r>
      <w:r>
        <w:rPr>
          <w:spacing w:val="-4"/>
        </w:rPr>
        <w:t> </w:t>
      </w:r>
      <w:r>
        <w:rPr/>
        <w:t>staff,</w:t>
      </w:r>
      <w:r>
        <w:rPr>
          <w:spacing w:val="-9"/>
        </w:rPr>
        <w:t> </w:t>
      </w:r>
      <w:r>
        <w:rPr/>
        <w:t>so</w:t>
      </w:r>
      <w:r>
        <w:rPr>
          <w:spacing w:val="-4"/>
        </w:rPr>
        <w:t> </w:t>
      </w:r>
      <w:r>
        <w:rPr/>
        <w:t>could</w:t>
      </w:r>
      <w:r>
        <w:rPr>
          <w:spacing w:val="-6"/>
        </w:rPr>
        <w:t> </w:t>
      </w:r>
      <w:r>
        <w:rPr/>
        <w:t>not</w:t>
      </w:r>
      <w:r>
        <w:rPr>
          <w:spacing w:val="-8"/>
        </w:rPr>
        <w:t> </w:t>
      </w:r>
      <w:r>
        <w:rPr/>
        <w:t>speak</w:t>
      </w:r>
      <w:r>
        <w:rPr>
          <w:spacing w:val="-6"/>
        </w:rPr>
        <w:t> </w:t>
      </w:r>
      <w:r>
        <w:rPr/>
        <w:t>to</w:t>
      </w:r>
      <w:r>
        <w:rPr>
          <w:spacing w:val="-9"/>
        </w:rPr>
        <w:t> </w:t>
      </w:r>
      <w:r>
        <w:rPr/>
        <w:t>locations</w:t>
      </w:r>
      <w:r>
        <w:rPr>
          <w:spacing w:val="-7"/>
        </w:rPr>
        <w:t> </w:t>
      </w:r>
      <w:r>
        <w:rPr/>
        <w:t>of</w:t>
      </w:r>
      <w:r>
        <w:rPr>
          <w:spacing w:val="-6"/>
        </w:rPr>
        <w:t> </w:t>
      </w:r>
      <w:r>
        <w:rPr/>
        <w:t>highest</w:t>
      </w:r>
      <w:r>
        <w:rPr>
          <w:spacing w:val="-6"/>
        </w:rPr>
        <w:t> </w:t>
      </w:r>
      <w:r>
        <w:rPr/>
        <w:t>ridership</w:t>
      </w:r>
      <w:r>
        <w:rPr>
          <w:spacing w:val="-3"/>
        </w:rPr>
        <w:t> </w:t>
      </w:r>
      <w:r>
        <w:rPr/>
        <w:t>of</w:t>
      </w:r>
      <w:r>
        <w:rPr>
          <w:spacing w:val="-6"/>
        </w:rPr>
        <w:t> </w:t>
      </w:r>
      <w:r>
        <w:rPr/>
        <w:t>LEP</w:t>
      </w:r>
      <w:r>
        <w:rPr>
          <w:spacing w:val="40"/>
        </w:rPr>
        <w:t> </w:t>
      </w:r>
      <w:r>
        <w:rPr/>
        <w:t>persons,</w:t>
      </w:r>
      <w:r>
        <w:rPr>
          <w:spacing w:val="-4"/>
        </w:rPr>
        <w:t> </w:t>
      </w:r>
      <w:r>
        <w:rPr/>
        <w:t>and they</w:t>
      </w:r>
      <w:r>
        <w:rPr>
          <w:spacing w:val="-2"/>
        </w:rPr>
        <w:t> </w:t>
      </w:r>
      <w:r>
        <w:rPr/>
        <w:t>did</w:t>
      </w:r>
      <w:r>
        <w:rPr>
          <w:spacing w:val="-2"/>
        </w:rPr>
        <w:t> </w:t>
      </w:r>
      <w:r>
        <w:rPr/>
        <w:t>not respond to</w:t>
      </w:r>
      <w:r>
        <w:rPr>
          <w:spacing w:val="-3"/>
        </w:rPr>
        <w:t> </w:t>
      </w:r>
      <w:r>
        <w:rPr/>
        <w:t>the</w:t>
      </w:r>
      <w:r>
        <w:rPr>
          <w:spacing w:val="-1"/>
        </w:rPr>
        <w:t> </w:t>
      </w:r>
      <w:r>
        <w:rPr/>
        <w:t>question of frequency</w:t>
      </w:r>
      <w:r>
        <w:rPr>
          <w:spacing w:val="-4"/>
        </w:rPr>
        <w:t> </w:t>
      </w:r>
      <w:r>
        <w:rPr/>
        <w:t>of contact.</w:t>
      </w:r>
      <w:r>
        <w:rPr>
          <w:spacing w:val="-1"/>
        </w:rPr>
        <w:t> </w:t>
      </w:r>
      <w:r>
        <w:rPr/>
        <w:t>However,</w:t>
      </w:r>
      <w:r>
        <w:rPr>
          <w:spacing w:val="-1"/>
        </w:rPr>
        <w:t> </w:t>
      </w:r>
      <w:r>
        <w:rPr/>
        <w:t>one did</w:t>
      </w:r>
      <w:r>
        <w:rPr>
          <w:spacing w:val="40"/>
        </w:rPr>
        <w:t> </w:t>
      </w:r>
      <w:r>
        <w:rPr/>
        <w:t>indicate that the language most commonly encountered is French.</w:t>
      </w:r>
    </w:p>
    <w:p>
      <w:pPr>
        <w:pStyle w:val="BodyText"/>
      </w:pPr>
    </w:p>
    <w:p>
      <w:pPr>
        <w:pStyle w:val="BodyText"/>
        <w:spacing w:before="7"/>
        <w:rPr>
          <w:sz w:val="29"/>
        </w:rPr>
      </w:pPr>
    </w:p>
    <w:p>
      <w:pPr>
        <w:pStyle w:val="Heading7"/>
        <w:ind w:left="240"/>
      </w:pPr>
      <w:bookmarkStart w:name="1–10:" w:id="62"/>
      <w:bookmarkEnd w:id="62"/>
      <w:r>
        <w:rPr>
          <w:b w:val="0"/>
        </w:rPr>
      </w:r>
      <w:r>
        <w:rPr>
          <w:spacing w:val="-2"/>
        </w:rPr>
        <w:t>1–10:</w:t>
      </w:r>
    </w:p>
    <w:p>
      <w:pPr>
        <w:pStyle w:val="BodyText"/>
        <w:spacing w:before="10"/>
        <w:rPr>
          <w:b/>
          <w:sz w:val="30"/>
        </w:rPr>
      </w:pPr>
    </w:p>
    <w:p>
      <w:pPr>
        <w:pStyle w:val="BodyText"/>
        <w:spacing w:line="264" w:lineRule="auto"/>
        <w:ind w:left="239" w:right="335"/>
      </w:pPr>
      <w:r>
        <w:rPr/>
        <w:t>Seven</w:t>
      </w:r>
      <w:r>
        <w:rPr>
          <w:spacing w:val="-11"/>
        </w:rPr>
        <w:t> </w:t>
      </w:r>
      <w:r>
        <w:rPr/>
        <w:t>respondents,</w:t>
      </w:r>
      <w:r>
        <w:rPr>
          <w:spacing w:val="-12"/>
        </w:rPr>
        <w:t> </w:t>
      </w:r>
      <w:r>
        <w:rPr/>
        <w:t>including</w:t>
      </w:r>
      <w:r>
        <w:rPr>
          <w:spacing w:val="-12"/>
        </w:rPr>
        <w:t> </w:t>
      </w:r>
      <w:r>
        <w:rPr/>
        <w:t>drivers,</w:t>
      </w:r>
      <w:r>
        <w:rPr>
          <w:spacing w:val="-12"/>
        </w:rPr>
        <w:t> </w:t>
      </w:r>
      <w:r>
        <w:rPr/>
        <w:t>customer</w:t>
      </w:r>
      <w:r>
        <w:rPr>
          <w:spacing w:val="-11"/>
        </w:rPr>
        <w:t> </w:t>
      </w:r>
      <w:r>
        <w:rPr/>
        <w:t>service</w:t>
      </w:r>
      <w:r>
        <w:rPr>
          <w:spacing w:val="-11"/>
        </w:rPr>
        <w:t> </w:t>
      </w:r>
      <w:r>
        <w:rPr/>
        <w:t>representatives</w:t>
      </w:r>
      <w:r>
        <w:rPr>
          <w:spacing w:val="-12"/>
        </w:rPr>
        <w:t> </w:t>
      </w:r>
      <w:r>
        <w:rPr/>
        <w:t>and</w:t>
      </w:r>
      <w:r>
        <w:rPr>
          <w:spacing w:val="-11"/>
        </w:rPr>
        <w:t> </w:t>
      </w:r>
      <w:r>
        <w:rPr/>
        <w:t>phone</w:t>
      </w:r>
      <w:r>
        <w:rPr>
          <w:spacing w:val="-12"/>
        </w:rPr>
        <w:t> </w:t>
      </w:r>
      <w:r>
        <w:rPr/>
        <w:t>intake</w:t>
      </w:r>
      <w:r>
        <w:rPr>
          <w:spacing w:val="77"/>
        </w:rPr>
        <w:t> </w:t>
      </w:r>
      <w:r>
        <w:rPr/>
        <w:t>representatives, came in contact with 1–10 LEP</w:t>
      </w:r>
      <w:r>
        <w:rPr>
          <w:spacing w:val="-8"/>
        </w:rPr>
        <w:t> </w:t>
      </w:r>
      <w:r>
        <w:rPr/>
        <w:t>persons per</w:t>
      </w:r>
      <w:r>
        <w:rPr>
          <w:spacing w:val="-1"/>
        </w:rPr>
        <w:t> </w:t>
      </w:r>
      <w:r>
        <w:rPr/>
        <w:t>week, mostly on the Penobscot and</w:t>
      </w:r>
      <w:r>
        <w:rPr>
          <w:spacing w:val="80"/>
        </w:rPr>
        <w:t> </w:t>
      </w:r>
      <w:r>
        <w:rPr/>
        <w:t>Bangor routes, typically speaking</w:t>
      </w:r>
      <w:r>
        <w:rPr>
          <w:spacing w:val="-1"/>
        </w:rPr>
        <w:t> </w:t>
      </w:r>
      <w:r>
        <w:rPr/>
        <w:t>African languages, German, Chinese, and Korean.</w:t>
      </w:r>
    </w:p>
    <w:p>
      <w:pPr>
        <w:spacing w:after="0" w:line="264" w:lineRule="auto"/>
        <w:sectPr>
          <w:pgSz w:w="12240" w:h="15840"/>
          <w:pgMar w:header="0" w:footer="1023" w:top="1000" w:bottom="1260" w:left="600" w:right="500"/>
        </w:sectPr>
      </w:pPr>
    </w:p>
    <w:p>
      <w:pPr>
        <w:pStyle w:val="Heading7"/>
        <w:spacing w:before="35"/>
        <w:ind w:left="0" w:right="10168"/>
        <w:jc w:val="right"/>
      </w:pPr>
      <w:bookmarkStart w:name="21–30:" w:id="63"/>
      <w:bookmarkEnd w:id="63"/>
      <w:r>
        <w:rPr>
          <w:b w:val="0"/>
        </w:rPr>
      </w:r>
      <w:r>
        <w:rPr>
          <w:spacing w:val="-2"/>
        </w:rPr>
        <w:t>21–30:</w:t>
      </w:r>
    </w:p>
    <w:p>
      <w:pPr>
        <w:pStyle w:val="BodyText"/>
        <w:spacing w:before="10"/>
        <w:rPr>
          <w:b/>
          <w:sz w:val="30"/>
        </w:rPr>
      </w:pPr>
    </w:p>
    <w:p>
      <w:pPr>
        <w:pStyle w:val="BodyText"/>
        <w:spacing w:line="264" w:lineRule="auto"/>
        <w:ind w:left="240" w:right="394"/>
        <w:jc w:val="both"/>
      </w:pPr>
      <w:r>
        <w:rPr/>
        <w:t>One Penquis driver who</w:t>
      </w:r>
      <w:r>
        <w:rPr>
          <w:spacing w:val="-1"/>
        </w:rPr>
        <w:t> </w:t>
      </w:r>
      <w:r>
        <w:rPr/>
        <w:t>drives the Dover-Foxcroft,</w:t>
      </w:r>
      <w:r>
        <w:rPr>
          <w:spacing w:val="-2"/>
        </w:rPr>
        <w:t> </w:t>
      </w:r>
      <w:r>
        <w:rPr/>
        <w:t>Milo and Bangor routes responded that they</w:t>
      </w:r>
      <w:r>
        <w:rPr>
          <w:spacing w:val="40"/>
        </w:rPr>
        <w:t> </w:t>
      </w:r>
      <w:r>
        <w:rPr/>
        <w:t>come into contact with approximately 21–30 riders who speak English less than very well, not</w:t>
      </w:r>
      <w:r>
        <w:rPr>
          <w:spacing w:val="80"/>
        </w:rPr>
        <w:t> </w:t>
      </w:r>
      <w:r>
        <w:rPr/>
        <w:t>well, or not at all. However, when responding to the question of which route(s) has/have the</w:t>
      </w:r>
      <w:r>
        <w:rPr>
          <w:spacing w:val="40"/>
        </w:rPr>
        <w:t> </w:t>
      </w:r>
      <w:r>
        <w:rPr/>
        <w:t>highest LEP ridership, they answered ‘none’. This can be interpreted to mean that LEP persons</w:t>
      </w:r>
      <w:r>
        <w:rPr>
          <w:spacing w:val="40"/>
        </w:rPr>
        <w:t> </w:t>
      </w:r>
      <w:r>
        <w:rPr/>
        <w:t>ride all routes equally, or that they misunderstood the question. The most common language that</w:t>
      </w:r>
      <w:r>
        <w:rPr>
          <w:spacing w:val="80"/>
        </w:rPr>
        <w:t> </w:t>
      </w:r>
      <w:r>
        <w:rPr/>
        <w:t>they encountered was listed as “other; </w:t>
      </w:r>
      <w:r>
        <w:rPr>
          <w:spacing w:val="-2"/>
        </w:rPr>
        <w:t>English”.</w:t>
      </w:r>
    </w:p>
    <w:p>
      <w:pPr>
        <w:pStyle w:val="BodyText"/>
        <w:spacing w:before="5"/>
        <w:rPr>
          <w:sz w:val="26"/>
        </w:rPr>
      </w:pPr>
    </w:p>
    <w:p>
      <w:pPr>
        <w:pStyle w:val="Heading9"/>
        <w:ind w:left="0" w:right="10169"/>
        <w:jc w:val="right"/>
      </w:pPr>
      <w:bookmarkStart w:name="Region 4" w:id="64"/>
      <w:bookmarkEnd w:id="64"/>
      <w:r>
        <w:rPr>
          <w:b w:val="0"/>
        </w:rPr>
      </w:r>
      <w:r>
        <w:rPr>
          <w:spacing w:val="-2"/>
          <w:u w:val="single"/>
        </w:rPr>
        <w:t>Region</w:t>
      </w:r>
      <w:r>
        <w:rPr>
          <w:spacing w:val="-4"/>
          <w:u w:val="single"/>
        </w:rPr>
        <w:t> </w:t>
      </w:r>
      <w:r>
        <w:rPr>
          <w:spacing w:val="-10"/>
          <w:u w:val="single"/>
        </w:rPr>
        <w:t>4</w:t>
      </w:r>
    </w:p>
    <w:p>
      <w:pPr>
        <w:pStyle w:val="BodyText"/>
        <w:spacing w:before="8"/>
        <w:rPr>
          <w:b/>
          <w:sz w:val="27"/>
        </w:rPr>
      </w:pPr>
    </w:p>
    <w:p>
      <w:pPr>
        <w:pStyle w:val="BodyText"/>
        <w:spacing w:before="51"/>
        <w:ind w:left="120"/>
      </w:pPr>
      <w:r>
        <w:rPr/>
        <w:t>KVCAP</w:t>
      </w:r>
      <w:r>
        <w:rPr>
          <w:spacing w:val="-13"/>
        </w:rPr>
        <w:t> </w:t>
      </w:r>
      <w:r>
        <w:rPr/>
        <w:t>had</w:t>
      </w:r>
      <w:r>
        <w:rPr>
          <w:spacing w:val="-3"/>
        </w:rPr>
        <w:t> </w:t>
      </w:r>
      <w:r>
        <w:rPr/>
        <w:t>53</w:t>
      </w:r>
      <w:r>
        <w:rPr>
          <w:spacing w:val="-5"/>
        </w:rPr>
        <w:t> </w:t>
      </w:r>
      <w:r>
        <w:rPr/>
        <w:t>respondents,</w:t>
      </w:r>
      <w:r>
        <w:rPr>
          <w:spacing w:val="-7"/>
        </w:rPr>
        <w:t> </w:t>
      </w:r>
      <w:r>
        <w:rPr/>
        <w:t>broken</w:t>
      </w:r>
      <w:r>
        <w:rPr>
          <w:spacing w:val="-8"/>
        </w:rPr>
        <w:t> </w:t>
      </w:r>
      <w:r>
        <w:rPr/>
        <w:t>down</w:t>
      </w:r>
      <w:r>
        <w:rPr>
          <w:spacing w:val="-3"/>
        </w:rPr>
        <w:t> </w:t>
      </w:r>
      <w:r>
        <w:rPr/>
        <w:t>as</w:t>
      </w:r>
      <w:r>
        <w:rPr>
          <w:spacing w:val="-6"/>
        </w:rPr>
        <w:t> </w:t>
      </w:r>
      <w:r>
        <w:rPr>
          <w:spacing w:val="-2"/>
        </w:rPr>
        <w:t>follows.</w:t>
      </w:r>
    </w:p>
    <w:p>
      <w:pPr>
        <w:pStyle w:val="BodyText"/>
        <w:spacing w:before="8"/>
        <w:rPr>
          <w:sz w:val="19"/>
        </w:rPr>
      </w:pPr>
    </w:p>
    <w:p>
      <w:pPr>
        <w:pStyle w:val="Heading7"/>
      </w:pPr>
      <w:bookmarkStart w:name="Zero:" w:id="65"/>
      <w:bookmarkEnd w:id="65"/>
      <w:r>
        <w:rPr>
          <w:b w:val="0"/>
        </w:rPr>
      </w:r>
      <w:r>
        <w:rPr>
          <w:spacing w:val="-2"/>
        </w:rPr>
        <w:t>Zero:</w:t>
      </w:r>
    </w:p>
    <w:p>
      <w:pPr>
        <w:pStyle w:val="BodyText"/>
        <w:rPr>
          <w:b/>
          <w:sz w:val="31"/>
        </w:rPr>
      </w:pPr>
    </w:p>
    <w:p>
      <w:pPr>
        <w:pStyle w:val="BodyText"/>
        <w:spacing w:line="264" w:lineRule="auto"/>
        <w:ind w:left="119" w:right="583"/>
      </w:pPr>
      <w:r>
        <w:rPr/>
        <w:t>Eleven</w:t>
      </w:r>
      <w:r>
        <w:rPr>
          <w:spacing w:val="-10"/>
        </w:rPr>
        <w:t> </w:t>
      </w:r>
      <w:r>
        <w:rPr/>
        <w:t>drivers</w:t>
      </w:r>
      <w:r>
        <w:rPr>
          <w:spacing w:val="-11"/>
        </w:rPr>
        <w:t> </w:t>
      </w:r>
      <w:r>
        <w:rPr/>
        <w:t>and</w:t>
      </w:r>
      <w:r>
        <w:rPr>
          <w:spacing w:val="-9"/>
        </w:rPr>
        <w:t> </w:t>
      </w:r>
      <w:r>
        <w:rPr/>
        <w:t>an</w:t>
      </w:r>
      <w:r>
        <w:rPr>
          <w:spacing w:val="-11"/>
        </w:rPr>
        <w:t> </w:t>
      </w:r>
      <w:r>
        <w:rPr/>
        <w:t>office</w:t>
      </w:r>
      <w:r>
        <w:rPr>
          <w:spacing w:val="-10"/>
        </w:rPr>
        <w:t> </w:t>
      </w:r>
      <w:r>
        <w:rPr/>
        <w:t>staff</w:t>
      </w:r>
      <w:r>
        <w:rPr>
          <w:spacing w:val="-13"/>
        </w:rPr>
        <w:t> </w:t>
      </w:r>
      <w:r>
        <w:rPr/>
        <w:t>person</w:t>
      </w:r>
      <w:r>
        <w:rPr>
          <w:spacing w:val="-9"/>
        </w:rPr>
        <w:t> </w:t>
      </w:r>
      <w:r>
        <w:rPr/>
        <w:t>indicated</w:t>
      </w:r>
      <w:r>
        <w:rPr>
          <w:spacing w:val="-11"/>
        </w:rPr>
        <w:t> </w:t>
      </w:r>
      <w:r>
        <w:rPr/>
        <w:t>that</w:t>
      </w:r>
      <w:r>
        <w:rPr>
          <w:spacing w:val="-9"/>
        </w:rPr>
        <w:t> </w:t>
      </w:r>
      <w:r>
        <w:rPr/>
        <w:t>they</w:t>
      </w:r>
      <w:r>
        <w:rPr>
          <w:spacing w:val="-10"/>
        </w:rPr>
        <w:t> </w:t>
      </w:r>
      <w:r>
        <w:rPr/>
        <w:t>never</w:t>
      </w:r>
      <w:r>
        <w:rPr>
          <w:spacing w:val="-10"/>
        </w:rPr>
        <w:t> </w:t>
      </w:r>
      <w:r>
        <w:rPr/>
        <w:t>come</w:t>
      </w:r>
      <w:r>
        <w:rPr>
          <w:spacing w:val="-10"/>
        </w:rPr>
        <w:t> </w:t>
      </w:r>
      <w:r>
        <w:rPr/>
        <w:t>in</w:t>
      </w:r>
      <w:r>
        <w:rPr>
          <w:spacing w:val="-11"/>
        </w:rPr>
        <w:t> </w:t>
      </w:r>
      <w:r>
        <w:rPr/>
        <w:t>contact</w:t>
      </w:r>
      <w:r>
        <w:rPr>
          <w:spacing w:val="-11"/>
        </w:rPr>
        <w:t> </w:t>
      </w:r>
      <w:r>
        <w:rPr/>
        <w:t>with</w:t>
      </w:r>
      <w:r>
        <w:rPr>
          <w:spacing w:val="-11"/>
        </w:rPr>
        <w:t> </w:t>
      </w:r>
      <w:r>
        <w:rPr/>
        <w:t>LEP</w:t>
      </w:r>
      <w:r>
        <w:rPr>
          <w:spacing w:val="64"/>
        </w:rPr>
        <w:t> </w:t>
      </w:r>
      <w:r>
        <w:rPr/>
        <w:t>populations</w:t>
      </w:r>
      <w:r>
        <w:rPr>
          <w:spacing w:val="-12"/>
        </w:rPr>
        <w:t> </w:t>
      </w:r>
      <w:r>
        <w:rPr/>
        <w:t>on the Skowhegan,</w:t>
      </w:r>
      <w:r>
        <w:rPr>
          <w:spacing w:val="-2"/>
        </w:rPr>
        <w:t> </w:t>
      </w:r>
      <w:r>
        <w:rPr/>
        <w:t>Waterville,</w:t>
      </w:r>
      <w:r>
        <w:rPr>
          <w:spacing w:val="-14"/>
        </w:rPr>
        <w:t> </w:t>
      </w:r>
      <w:r>
        <w:rPr/>
        <w:t>Augusta, and Bangor routes, or in any parts of</w:t>
      </w:r>
      <w:r>
        <w:rPr>
          <w:spacing w:val="80"/>
        </w:rPr>
        <w:t> </w:t>
      </w:r>
      <w:r>
        <w:rPr/>
        <w:t>Region 4.</w:t>
      </w:r>
    </w:p>
    <w:p>
      <w:pPr>
        <w:pStyle w:val="BodyText"/>
        <w:spacing w:before="7"/>
        <w:rPr>
          <w:sz w:val="19"/>
        </w:rPr>
      </w:pPr>
    </w:p>
    <w:p>
      <w:pPr>
        <w:pStyle w:val="Heading7"/>
      </w:pPr>
      <w:bookmarkStart w:name="Undetermined:" w:id="66"/>
      <w:bookmarkEnd w:id="66"/>
      <w:r>
        <w:rPr>
          <w:b w:val="0"/>
        </w:rPr>
      </w:r>
      <w:r>
        <w:rPr>
          <w:spacing w:val="-2"/>
        </w:rPr>
        <w:t>Undetermined:</w:t>
      </w:r>
    </w:p>
    <w:p>
      <w:pPr>
        <w:pStyle w:val="BodyText"/>
        <w:rPr>
          <w:b/>
          <w:sz w:val="31"/>
        </w:rPr>
      </w:pPr>
    </w:p>
    <w:p>
      <w:pPr>
        <w:pStyle w:val="BodyText"/>
        <w:spacing w:line="264" w:lineRule="auto"/>
        <w:ind w:left="119" w:right="350"/>
        <w:jc w:val="both"/>
      </w:pPr>
      <w:r>
        <w:rPr/>
        <w:t>Nine respondents including mostly office staff and two drivers reported coming into contact with</w:t>
      </w:r>
      <w:r>
        <w:rPr>
          <w:spacing w:val="80"/>
        </w:rPr>
        <w:t> </w:t>
      </w:r>
      <w:r>
        <w:rPr/>
        <w:t>an undetermined</w:t>
      </w:r>
      <w:r>
        <w:rPr>
          <w:spacing w:val="-8"/>
        </w:rPr>
        <w:t> </w:t>
      </w:r>
      <w:r>
        <w:rPr/>
        <w:t>number</w:t>
      </w:r>
      <w:r>
        <w:rPr>
          <w:spacing w:val="-7"/>
        </w:rPr>
        <w:t> </w:t>
      </w:r>
      <w:r>
        <w:rPr/>
        <w:t>of</w:t>
      </w:r>
      <w:r>
        <w:rPr>
          <w:spacing w:val="-4"/>
        </w:rPr>
        <w:t> </w:t>
      </w:r>
      <w:r>
        <w:rPr/>
        <w:t>LEP</w:t>
      </w:r>
      <w:r>
        <w:rPr>
          <w:spacing w:val="-14"/>
        </w:rPr>
        <w:t> </w:t>
      </w:r>
      <w:r>
        <w:rPr/>
        <w:t>persons,</w:t>
      </w:r>
      <w:r>
        <w:rPr>
          <w:spacing w:val="-7"/>
        </w:rPr>
        <w:t> </w:t>
      </w:r>
      <w:r>
        <w:rPr/>
        <w:t>primarily</w:t>
      </w:r>
      <w:r>
        <w:rPr>
          <w:spacing w:val="-6"/>
        </w:rPr>
        <w:t> </w:t>
      </w:r>
      <w:r>
        <w:rPr/>
        <w:t>in</w:t>
      </w:r>
      <w:r>
        <w:rPr>
          <w:spacing w:val="-4"/>
        </w:rPr>
        <w:t> </w:t>
      </w:r>
      <w:r>
        <w:rPr/>
        <w:t>on</w:t>
      </w:r>
      <w:r>
        <w:rPr>
          <w:spacing w:val="-7"/>
        </w:rPr>
        <w:t> </w:t>
      </w:r>
      <w:r>
        <w:rPr/>
        <w:t>the</w:t>
      </w:r>
      <w:r>
        <w:rPr>
          <w:spacing w:val="-7"/>
        </w:rPr>
        <w:t> </w:t>
      </w:r>
      <w:r>
        <w:rPr/>
        <w:t>phone</w:t>
      </w:r>
      <w:r>
        <w:rPr>
          <w:spacing w:val="-5"/>
        </w:rPr>
        <w:t> </w:t>
      </w:r>
      <w:r>
        <w:rPr/>
        <w:t>and</w:t>
      </w:r>
      <w:r>
        <w:rPr>
          <w:spacing w:val="-4"/>
        </w:rPr>
        <w:t> </w:t>
      </w:r>
      <w:r>
        <w:rPr/>
        <w:t>in</w:t>
      </w:r>
      <w:r>
        <w:rPr>
          <w:spacing w:val="-7"/>
        </w:rPr>
        <w:t> </w:t>
      </w:r>
      <w:r>
        <w:rPr/>
        <w:t>person,</w:t>
      </w:r>
      <w:r>
        <w:rPr>
          <w:spacing w:val="-8"/>
        </w:rPr>
        <w:t> </w:t>
      </w:r>
      <w:r>
        <w:rPr/>
        <w:t>who</w:t>
      </w:r>
      <w:r>
        <w:rPr>
          <w:spacing w:val="-7"/>
        </w:rPr>
        <w:t> </w:t>
      </w:r>
      <w:r>
        <w:rPr/>
        <w:t>speak</w:t>
      </w:r>
      <w:r>
        <w:rPr>
          <w:spacing w:val="40"/>
        </w:rPr>
        <w:t> </w:t>
      </w:r>
      <w:r>
        <w:rPr/>
        <w:t>Vietnamese,</w:t>
      </w:r>
      <w:r>
        <w:rPr>
          <w:spacing w:val="-10"/>
        </w:rPr>
        <w:t> </w:t>
      </w:r>
      <w:r>
        <w:rPr/>
        <w:t>Hindi and Middle Eastern languages.</w:t>
      </w:r>
    </w:p>
    <w:p>
      <w:pPr>
        <w:pStyle w:val="BodyText"/>
        <w:spacing w:before="9"/>
        <w:rPr>
          <w:sz w:val="19"/>
        </w:rPr>
      </w:pPr>
    </w:p>
    <w:p>
      <w:pPr>
        <w:pStyle w:val="Heading7"/>
      </w:pPr>
      <w:bookmarkStart w:name="1–10:" w:id="67"/>
      <w:bookmarkEnd w:id="67"/>
      <w:r>
        <w:rPr>
          <w:b w:val="0"/>
        </w:rPr>
      </w:r>
      <w:r>
        <w:rPr>
          <w:spacing w:val="-2"/>
        </w:rPr>
        <w:t>1–10:</w:t>
      </w:r>
    </w:p>
    <w:p>
      <w:pPr>
        <w:pStyle w:val="BodyText"/>
        <w:spacing w:before="10"/>
        <w:rPr>
          <w:b/>
          <w:sz w:val="30"/>
        </w:rPr>
      </w:pPr>
    </w:p>
    <w:p>
      <w:pPr>
        <w:pStyle w:val="BodyText"/>
        <w:spacing w:line="264" w:lineRule="auto"/>
        <w:ind w:left="119" w:right="436"/>
        <w:jc w:val="both"/>
      </w:pPr>
      <w:r>
        <w:rPr/>
        <w:t>Twenty-two</w:t>
      </w:r>
      <w:r>
        <w:rPr>
          <w:spacing w:val="-14"/>
        </w:rPr>
        <w:t> </w:t>
      </w:r>
      <w:r>
        <w:rPr/>
        <w:t>respondents</w:t>
      </w:r>
      <w:r>
        <w:rPr>
          <w:spacing w:val="-11"/>
        </w:rPr>
        <w:t> </w:t>
      </w:r>
      <w:r>
        <w:rPr/>
        <w:t>including</w:t>
      </w:r>
      <w:r>
        <w:rPr>
          <w:spacing w:val="-9"/>
        </w:rPr>
        <w:t> </w:t>
      </w:r>
      <w:r>
        <w:rPr/>
        <w:t>seven</w:t>
      </w:r>
      <w:r>
        <w:rPr>
          <w:spacing w:val="-7"/>
        </w:rPr>
        <w:t> </w:t>
      </w:r>
      <w:r>
        <w:rPr/>
        <w:t>office</w:t>
      </w:r>
      <w:r>
        <w:rPr>
          <w:spacing w:val="-7"/>
        </w:rPr>
        <w:t> </w:t>
      </w:r>
      <w:r>
        <w:rPr/>
        <w:t>staff</w:t>
      </w:r>
      <w:r>
        <w:rPr>
          <w:spacing w:val="-7"/>
        </w:rPr>
        <w:t> </w:t>
      </w:r>
      <w:r>
        <w:rPr/>
        <w:t>and</w:t>
      </w:r>
      <w:r>
        <w:rPr>
          <w:spacing w:val="-7"/>
        </w:rPr>
        <w:t> </w:t>
      </w:r>
      <w:r>
        <w:rPr/>
        <w:t>15</w:t>
      </w:r>
      <w:r>
        <w:rPr>
          <w:spacing w:val="-7"/>
        </w:rPr>
        <w:t> </w:t>
      </w:r>
      <w:r>
        <w:rPr/>
        <w:t>drivers</w:t>
      </w:r>
      <w:r>
        <w:rPr>
          <w:spacing w:val="-8"/>
        </w:rPr>
        <w:t> </w:t>
      </w:r>
      <w:r>
        <w:rPr/>
        <w:t>serving</w:t>
      </w:r>
      <w:r>
        <w:rPr>
          <w:spacing w:val="-10"/>
        </w:rPr>
        <w:t> </w:t>
      </w:r>
      <w:r>
        <w:rPr/>
        <w:t>Waterville,</w:t>
      </w:r>
      <w:r>
        <w:rPr>
          <w:spacing w:val="-14"/>
        </w:rPr>
        <w:t> </w:t>
      </w:r>
      <w:r>
        <w:rPr/>
        <w:t>Augusta,</w:t>
      </w:r>
      <w:r>
        <w:rPr>
          <w:spacing w:val="80"/>
        </w:rPr>
        <w:t> </w:t>
      </w:r>
      <w:r>
        <w:rPr/>
        <w:t>Skowhegan, </w:t>
      </w:r>
      <w:r>
        <w:rPr>
          <w:spacing w:val="-2"/>
        </w:rPr>
        <w:t>Fairfield,</w:t>
      </w:r>
      <w:r>
        <w:rPr>
          <w:spacing w:val="-12"/>
        </w:rPr>
        <w:t> </w:t>
      </w:r>
      <w:r>
        <w:rPr>
          <w:spacing w:val="-2"/>
        </w:rPr>
        <w:t>Winslow,</w:t>
      </w:r>
      <w:r>
        <w:rPr>
          <w:spacing w:val="-12"/>
        </w:rPr>
        <w:t> </w:t>
      </w:r>
      <w:r>
        <w:rPr>
          <w:spacing w:val="-2"/>
        </w:rPr>
        <w:t>Anson,</w:t>
      </w:r>
      <w:r>
        <w:rPr>
          <w:spacing w:val="-11"/>
        </w:rPr>
        <w:t> </w:t>
      </w:r>
      <w:r>
        <w:rPr>
          <w:spacing w:val="-2"/>
        </w:rPr>
        <w:t>Madison,</w:t>
      </w:r>
      <w:r>
        <w:rPr>
          <w:spacing w:val="-12"/>
        </w:rPr>
        <w:t> </w:t>
      </w:r>
      <w:r>
        <w:rPr>
          <w:spacing w:val="-2"/>
        </w:rPr>
        <w:t>Norridgewock,</w:t>
      </w:r>
      <w:r>
        <w:rPr>
          <w:spacing w:val="-11"/>
        </w:rPr>
        <w:t> </w:t>
      </w:r>
      <w:r>
        <w:rPr>
          <w:spacing w:val="-2"/>
        </w:rPr>
        <w:t>Oakland,</w:t>
      </w:r>
      <w:r>
        <w:rPr>
          <w:spacing w:val="-10"/>
        </w:rPr>
        <w:t> </w:t>
      </w:r>
      <w:r>
        <w:rPr>
          <w:spacing w:val="-2"/>
        </w:rPr>
        <w:t>Vassalboro,</w:t>
      </w:r>
      <w:r>
        <w:rPr>
          <w:spacing w:val="28"/>
        </w:rPr>
        <w:t> </w:t>
      </w:r>
      <w:r>
        <w:rPr>
          <w:spacing w:val="-2"/>
        </w:rPr>
        <w:t>Winthrop,</w:t>
      </w:r>
      <w:r>
        <w:rPr>
          <w:spacing w:val="-12"/>
        </w:rPr>
        <w:t> </w:t>
      </w:r>
      <w:r>
        <w:rPr>
          <w:spacing w:val="-2"/>
        </w:rPr>
        <w:t>Monmouth,</w:t>
      </w:r>
      <w:r>
        <w:rPr>
          <w:spacing w:val="-10"/>
        </w:rPr>
        <w:t> </w:t>
      </w:r>
      <w:r>
        <w:rPr>
          <w:spacing w:val="-2"/>
        </w:rPr>
        <w:t>Kennebec</w:t>
      </w:r>
      <w:r>
        <w:rPr>
          <w:spacing w:val="-9"/>
        </w:rPr>
        <w:t> </w:t>
      </w:r>
      <w:r>
        <w:rPr>
          <w:spacing w:val="-2"/>
        </w:rPr>
        <w:t>and </w:t>
      </w:r>
      <w:r>
        <w:rPr/>
        <w:t>Sidney indicated that they come into contact with</w:t>
      </w:r>
      <w:r>
        <w:rPr>
          <w:spacing w:val="80"/>
        </w:rPr>
        <w:t> </w:t>
      </w:r>
      <w:r>
        <w:rPr/>
        <w:t>approximately 1–10 LEP persons in the average week, </w:t>
      </w:r>
      <w:r>
        <w:rPr>
          <w:spacing w:val="-2"/>
        </w:rPr>
        <w:t>speaking</w:t>
      </w:r>
      <w:r>
        <w:rPr>
          <w:spacing w:val="-12"/>
        </w:rPr>
        <w:t> </w:t>
      </w:r>
      <w:r>
        <w:rPr>
          <w:spacing w:val="-2"/>
        </w:rPr>
        <w:t>French,</w:t>
      </w:r>
      <w:r>
        <w:rPr>
          <w:spacing w:val="-12"/>
        </w:rPr>
        <w:t> </w:t>
      </w:r>
      <w:r>
        <w:rPr>
          <w:spacing w:val="-2"/>
        </w:rPr>
        <w:t>Spanish,</w:t>
      </w:r>
      <w:r>
        <w:rPr>
          <w:spacing w:val="-11"/>
        </w:rPr>
        <w:t> </w:t>
      </w:r>
      <w:r>
        <w:rPr>
          <w:spacing w:val="-2"/>
        </w:rPr>
        <w:t>African</w:t>
      </w:r>
      <w:r>
        <w:rPr>
          <w:spacing w:val="80"/>
        </w:rPr>
        <w:t> </w:t>
      </w:r>
      <w:r>
        <w:rPr>
          <w:spacing w:val="-2"/>
        </w:rPr>
        <w:t>languages,</w:t>
      </w:r>
      <w:r>
        <w:rPr>
          <w:spacing w:val="-6"/>
        </w:rPr>
        <w:t> </w:t>
      </w:r>
      <w:r>
        <w:rPr>
          <w:spacing w:val="-2"/>
        </w:rPr>
        <w:t>German,</w:t>
      </w:r>
      <w:r>
        <w:rPr>
          <w:spacing w:val="-9"/>
        </w:rPr>
        <w:t> </w:t>
      </w:r>
      <w:r>
        <w:rPr>
          <w:spacing w:val="-2"/>
        </w:rPr>
        <w:t>Vietnamese,</w:t>
      </w:r>
      <w:r>
        <w:rPr>
          <w:spacing w:val="-9"/>
        </w:rPr>
        <w:t> </w:t>
      </w:r>
      <w:r>
        <w:rPr>
          <w:spacing w:val="-2"/>
        </w:rPr>
        <w:t>Portuguese,</w:t>
      </w:r>
      <w:r>
        <w:rPr>
          <w:spacing w:val="-4"/>
        </w:rPr>
        <w:t> </w:t>
      </w:r>
      <w:r>
        <w:rPr>
          <w:spacing w:val="-2"/>
        </w:rPr>
        <w:t>Chinese,</w:t>
      </w:r>
      <w:r>
        <w:rPr>
          <w:spacing w:val="-9"/>
        </w:rPr>
        <w:t> </w:t>
      </w:r>
      <w:r>
        <w:rPr>
          <w:spacing w:val="-2"/>
        </w:rPr>
        <w:t>Tagalog,</w:t>
      </w:r>
      <w:r>
        <w:rPr>
          <w:spacing w:val="-12"/>
        </w:rPr>
        <w:t> </w:t>
      </w:r>
      <w:r>
        <w:rPr>
          <w:spacing w:val="-2"/>
        </w:rPr>
        <w:t>Thai,</w:t>
      </w:r>
      <w:r>
        <w:rPr>
          <w:spacing w:val="-6"/>
        </w:rPr>
        <w:t> </w:t>
      </w:r>
      <w:r>
        <w:rPr>
          <w:spacing w:val="-2"/>
        </w:rPr>
        <w:t>Italian, </w:t>
      </w:r>
      <w:r>
        <w:rPr/>
        <w:t>and</w:t>
      </w:r>
      <w:r>
        <w:rPr>
          <w:spacing w:val="-11"/>
        </w:rPr>
        <w:t> </w:t>
      </w:r>
      <w:r>
        <w:rPr/>
        <w:t>Arabic</w:t>
      </w:r>
      <w:r>
        <w:rPr>
          <w:spacing w:val="80"/>
        </w:rPr>
        <w:t> </w:t>
      </w:r>
      <w:r>
        <w:rPr/>
        <w:t>languages, with the</w:t>
      </w:r>
      <w:r>
        <w:rPr>
          <w:spacing w:val="-1"/>
        </w:rPr>
        <w:t> </w:t>
      </w:r>
      <w:r>
        <w:rPr/>
        <w:t>Waterville route identified as having the highest LEP</w:t>
      </w:r>
      <w:r>
        <w:rPr>
          <w:spacing w:val="-7"/>
        </w:rPr>
        <w:t> </w:t>
      </w:r>
      <w:r>
        <w:rPr/>
        <w:t>ridership.</w:t>
      </w:r>
    </w:p>
    <w:p>
      <w:pPr>
        <w:pStyle w:val="BodyText"/>
      </w:pPr>
    </w:p>
    <w:p>
      <w:pPr>
        <w:pStyle w:val="BodyText"/>
        <w:spacing w:before="5"/>
        <w:rPr>
          <w:sz w:val="29"/>
        </w:rPr>
      </w:pPr>
    </w:p>
    <w:p>
      <w:pPr>
        <w:pStyle w:val="Heading7"/>
      </w:pPr>
      <w:bookmarkStart w:name="11–20:" w:id="68"/>
      <w:bookmarkEnd w:id="68"/>
      <w:r>
        <w:rPr>
          <w:b w:val="0"/>
        </w:rPr>
      </w:r>
      <w:r>
        <w:rPr>
          <w:spacing w:val="-2"/>
        </w:rPr>
        <w:t>11–20:</w:t>
      </w:r>
    </w:p>
    <w:p>
      <w:pPr>
        <w:pStyle w:val="BodyText"/>
        <w:rPr>
          <w:b/>
          <w:sz w:val="31"/>
        </w:rPr>
      </w:pPr>
    </w:p>
    <w:p>
      <w:pPr>
        <w:pStyle w:val="BodyText"/>
        <w:spacing w:line="264" w:lineRule="auto"/>
        <w:ind w:left="119" w:right="424"/>
        <w:jc w:val="both"/>
      </w:pPr>
      <w:r>
        <w:rPr/>
        <w:t>Ten KVCAP respondents including two office staff and eight drivers serving Augusta,</w:t>
      </w:r>
      <w:r>
        <w:rPr>
          <w:spacing w:val="80"/>
        </w:rPr>
        <w:t> </w:t>
      </w:r>
      <w:r>
        <w:rPr/>
        <w:t>Waterville, Oakland, Fairfield,</w:t>
      </w:r>
      <w:r>
        <w:rPr>
          <w:spacing w:val="-4"/>
        </w:rPr>
        <w:t> </w:t>
      </w:r>
      <w:r>
        <w:rPr/>
        <w:t>Gardiner,</w:t>
      </w:r>
      <w:r>
        <w:rPr>
          <w:spacing w:val="-10"/>
        </w:rPr>
        <w:t> </w:t>
      </w:r>
      <w:r>
        <w:rPr/>
        <w:t>Winthrop,</w:t>
      </w:r>
      <w:r>
        <w:rPr>
          <w:spacing w:val="-4"/>
        </w:rPr>
        <w:t> </w:t>
      </w:r>
      <w:r>
        <w:rPr/>
        <w:t>Skowhegan,</w:t>
      </w:r>
      <w:r>
        <w:rPr>
          <w:spacing w:val="-2"/>
        </w:rPr>
        <w:t> </w:t>
      </w:r>
      <w:r>
        <w:rPr/>
        <w:t>Randolph,</w:t>
      </w:r>
      <w:r>
        <w:rPr>
          <w:spacing w:val="-4"/>
        </w:rPr>
        <w:t> </w:t>
      </w:r>
      <w:r>
        <w:rPr/>
        <w:t>and</w:t>
      </w:r>
      <w:r>
        <w:rPr>
          <w:spacing w:val="-3"/>
        </w:rPr>
        <w:t> </w:t>
      </w:r>
      <w:r>
        <w:rPr/>
        <w:t>Sidney,</w:t>
      </w:r>
      <w:r>
        <w:rPr>
          <w:spacing w:val="-8"/>
        </w:rPr>
        <w:t> </w:t>
      </w:r>
      <w:r>
        <w:rPr/>
        <w:t>reported</w:t>
      </w:r>
      <w:r>
        <w:rPr>
          <w:spacing w:val="80"/>
        </w:rPr>
        <w:t> </w:t>
      </w:r>
      <w:r>
        <w:rPr/>
        <w:t>that</w:t>
      </w:r>
      <w:r>
        <w:rPr>
          <w:spacing w:val="-5"/>
        </w:rPr>
        <w:t> </w:t>
      </w:r>
      <w:r>
        <w:rPr/>
        <w:t>they</w:t>
      </w:r>
      <w:r>
        <w:rPr>
          <w:spacing w:val="-3"/>
        </w:rPr>
        <w:t> </w:t>
      </w:r>
      <w:r>
        <w:rPr/>
        <w:t>come</w:t>
      </w:r>
      <w:r>
        <w:rPr>
          <w:spacing w:val="-3"/>
        </w:rPr>
        <w:t> </w:t>
      </w:r>
      <w:r>
        <w:rPr/>
        <w:t>into</w:t>
      </w:r>
      <w:r>
        <w:rPr>
          <w:spacing w:val="-2"/>
        </w:rPr>
        <w:t> </w:t>
      </w:r>
      <w:r>
        <w:rPr/>
        <w:t>contact</w:t>
      </w:r>
      <w:r>
        <w:rPr>
          <w:spacing w:val="-5"/>
        </w:rPr>
        <w:t> </w:t>
      </w:r>
      <w:r>
        <w:rPr/>
        <w:t>with 11–20 LEP persons in the average week, typically in person and</w:t>
      </w:r>
      <w:r>
        <w:rPr>
          <w:spacing w:val="80"/>
        </w:rPr>
        <w:t> </w:t>
      </w:r>
      <w:r>
        <w:rPr/>
        <w:t>on the phone, speaking Spanish, African languages,</w:t>
      </w:r>
      <w:r>
        <w:rPr>
          <w:spacing w:val="-14"/>
        </w:rPr>
        <w:t> </w:t>
      </w:r>
      <w:r>
        <w:rPr/>
        <w:t>German,</w:t>
      </w:r>
      <w:r>
        <w:rPr>
          <w:spacing w:val="-14"/>
        </w:rPr>
        <w:t> </w:t>
      </w:r>
      <w:r>
        <w:rPr/>
        <w:t>Vietnamese,</w:t>
      </w:r>
      <w:r>
        <w:rPr>
          <w:spacing w:val="-13"/>
        </w:rPr>
        <w:t> </w:t>
      </w:r>
      <w:r>
        <w:rPr/>
        <w:t>Polish,</w:t>
      </w:r>
      <w:r>
        <w:rPr>
          <w:spacing w:val="-14"/>
        </w:rPr>
        <w:t> </w:t>
      </w:r>
      <w:r>
        <w:rPr/>
        <w:t>Hindi,</w:t>
      </w:r>
      <w:r>
        <w:rPr>
          <w:spacing w:val="-13"/>
        </w:rPr>
        <w:t> </w:t>
      </w:r>
      <w:r>
        <w:rPr/>
        <w:t>Somali,</w:t>
      </w:r>
      <w:r>
        <w:rPr>
          <w:spacing w:val="79"/>
        </w:rPr>
        <w:t> </w:t>
      </w:r>
      <w:r>
        <w:rPr/>
        <w:t>Irish,</w:t>
      </w:r>
      <w:r>
        <w:rPr>
          <w:spacing w:val="-14"/>
        </w:rPr>
        <w:t> </w:t>
      </w:r>
      <w:r>
        <w:rPr/>
        <w:t>Arabic</w:t>
      </w:r>
      <w:r>
        <w:rPr>
          <w:spacing w:val="-7"/>
        </w:rPr>
        <w:t> </w:t>
      </w:r>
      <w:r>
        <w:rPr/>
        <w:t>and</w:t>
      </w:r>
      <w:r>
        <w:rPr>
          <w:spacing w:val="-14"/>
        </w:rPr>
        <w:t> </w:t>
      </w:r>
      <w:r>
        <w:rPr/>
        <w:t>ASL</w:t>
      </w:r>
      <w:r>
        <w:rPr>
          <w:spacing w:val="-14"/>
        </w:rPr>
        <w:t> </w:t>
      </w:r>
      <w:r>
        <w:rPr/>
        <w:t>(sign</w:t>
      </w:r>
      <w:r>
        <w:rPr>
          <w:spacing w:val="-5"/>
        </w:rPr>
        <w:t> </w:t>
      </w:r>
      <w:r>
        <w:rPr/>
        <w:t>language),</w:t>
      </w:r>
      <w:r>
        <w:rPr>
          <w:spacing w:val="-10"/>
        </w:rPr>
        <w:t> </w:t>
      </w:r>
      <w:r>
        <w:rPr/>
        <w:t>with</w:t>
      </w:r>
      <w:r>
        <w:rPr>
          <w:spacing w:val="-9"/>
        </w:rPr>
        <w:t> </w:t>
      </w:r>
      <w:r>
        <w:rPr/>
        <w:t>the</w:t>
      </w:r>
      <w:r>
        <w:rPr>
          <w:spacing w:val="-14"/>
        </w:rPr>
        <w:t> </w:t>
      </w:r>
      <w:r>
        <w:rPr/>
        <w:t>Augusta route identified as having the highest</w:t>
      </w:r>
      <w:r>
        <w:rPr>
          <w:spacing w:val="80"/>
        </w:rPr>
        <w:t> </w:t>
      </w:r>
      <w:r>
        <w:rPr/>
        <w:t>LEP ridership.</w:t>
      </w:r>
    </w:p>
    <w:p>
      <w:pPr>
        <w:spacing w:after="0" w:line="264" w:lineRule="auto"/>
        <w:jc w:val="both"/>
        <w:sectPr>
          <w:pgSz w:w="12240" w:h="15840"/>
          <w:pgMar w:header="0" w:footer="1023" w:top="960" w:bottom="1260" w:left="600" w:right="500"/>
        </w:sectPr>
      </w:pPr>
    </w:p>
    <w:p>
      <w:pPr>
        <w:pStyle w:val="Heading7"/>
        <w:spacing w:before="35"/>
      </w:pPr>
      <w:bookmarkStart w:name="21–30:" w:id="69"/>
      <w:bookmarkEnd w:id="69"/>
      <w:r>
        <w:rPr>
          <w:b w:val="0"/>
        </w:rPr>
      </w:r>
      <w:r>
        <w:rPr>
          <w:spacing w:val="-2"/>
        </w:rPr>
        <w:t>21–30:</w:t>
      </w:r>
    </w:p>
    <w:p>
      <w:pPr>
        <w:pStyle w:val="BodyText"/>
        <w:spacing w:before="10"/>
        <w:rPr>
          <w:b/>
          <w:sz w:val="30"/>
        </w:rPr>
      </w:pPr>
    </w:p>
    <w:p>
      <w:pPr>
        <w:pStyle w:val="BodyText"/>
        <w:spacing w:line="264" w:lineRule="auto"/>
        <w:ind w:left="119" w:right="351"/>
        <w:jc w:val="both"/>
      </w:pPr>
      <w:r>
        <w:rPr/>
        <w:t>One</w:t>
      </w:r>
      <w:r>
        <w:rPr>
          <w:spacing w:val="-14"/>
        </w:rPr>
        <w:t> </w:t>
      </w:r>
      <w:r>
        <w:rPr/>
        <w:t>KVCAP</w:t>
      </w:r>
      <w:r>
        <w:rPr>
          <w:spacing w:val="-14"/>
        </w:rPr>
        <w:t> </w:t>
      </w:r>
      <w:r>
        <w:rPr/>
        <w:t>driver</w:t>
      </w:r>
      <w:r>
        <w:rPr>
          <w:spacing w:val="-13"/>
        </w:rPr>
        <w:t> </w:t>
      </w:r>
      <w:r>
        <w:rPr/>
        <w:t>who</w:t>
      </w:r>
      <w:r>
        <w:rPr>
          <w:spacing w:val="-14"/>
        </w:rPr>
        <w:t> </w:t>
      </w:r>
      <w:r>
        <w:rPr/>
        <w:t>drives</w:t>
      </w:r>
      <w:r>
        <w:rPr>
          <w:spacing w:val="-13"/>
        </w:rPr>
        <w:t> </w:t>
      </w:r>
      <w:r>
        <w:rPr/>
        <w:t>the</w:t>
      </w:r>
      <w:r>
        <w:rPr>
          <w:spacing w:val="-14"/>
        </w:rPr>
        <w:t> </w:t>
      </w:r>
      <w:r>
        <w:rPr/>
        <w:t>Skowhegan,</w:t>
      </w:r>
      <w:r>
        <w:rPr>
          <w:spacing w:val="-13"/>
        </w:rPr>
        <w:t> </w:t>
      </w:r>
      <w:r>
        <w:rPr/>
        <w:t>Waterville,</w:t>
      </w:r>
      <w:r>
        <w:rPr>
          <w:spacing w:val="-14"/>
        </w:rPr>
        <w:t> </w:t>
      </w:r>
      <w:r>
        <w:rPr/>
        <w:t>Madison,</w:t>
      </w:r>
      <w:r>
        <w:rPr>
          <w:spacing w:val="-14"/>
        </w:rPr>
        <w:t> </w:t>
      </w:r>
      <w:r>
        <w:rPr/>
        <w:t>Solon,</w:t>
      </w:r>
      <w:r>
        <w:rPr>
          <w:spacing w:val="-13"/>
        </w:rPr>
        <w:t> </w:t>
      </w:r>
      <w:r>
        <w:rPr/>
        <w:t>and</w:t>
      </w:r>
      <w:r>
        <w:rPr>
          <w:spacing w:val="-14"/>
        </w:rPr>
        <w:t> </w:t>
      </w:r>
      <w:r>
        <w:rPr/>
        <w:t>Bingham</w:t>
      </w:r>
      <w:r>
        <w:rPr>
          <w:spacing w:val="-13"/>
        </w:rPr>
        <w:t> </w:t>
      </w:r>
      <w:r>
        <w:rPr/>
        <w:t>routes</w:t>
      </w:r>
      <w:r>
        <w:rPr>
          <w:spacing w:val="19"/>
        </w:rPr>
        <w:t> </w:t>
      </w:r>
      <w:r>
        <w:rPr/>
        <w:t>responded</w:t>
      </w:r>
      <w:r>
        <w:rPr>
          <w:spacing w:val="-13"/>
        </w:rPr>
        <w:t> </w:t>
      </w:r>
      <w:r>
        <w:rPr/>
        <w:t>that they</w:t>
      </w:r>
      <w:r>
        <w:rPr>
          <w:spacing w:val="-14"/>
        </w:rPr>
        <w:t> </w:t>
      </w:r>
      <w:r>
        <w:rPr/>
        <w:t>come</w:t>
      </w:r>
      <w:r>
        <w:rPr>
          <w:spacing w:val="-12"/>
        </w:rPr>
        <w:t> </w:t>
      </w:r>
      <w:r>
        <w:rPr/>
        <w:t>into</w:t>
      </w:r>
      <w:r>
        <w:rPr>
          <w:spacing w:val="-10"/>
        </w:rPr>
        <w:t> </w:t>
      </w:r>
      <w:r>
        <w:rPr/>
        <w:t>contact</w:t>
      </w:r>
      <w:r>
        <w:rPr>
          <w:spacing w:val="-12"/>
        </w:rPr>
        <w:t> </w:t>
      </w:r>
      <w:r>
        <w:rPr/>
        <w:t>with</w:t>
      </w:r>
      <w:r>
        <w:rPr>
          <w:spacing w:val="-14"/>
        </w:rPr>
        <w:t> </w:t>
      </w:r>
      <w:r>
        <w:rPr/>
        <w:t>approximately</w:t>
      </w:r>
      <w:r>
        <w:rPr>
          <w:spacing w:val="-14"/>
        </w:rPr>
        <w:t> </w:t>
      </w:r>
      <w:r>
        <w:rPr/>
        <w:t>21–30</w:t>
      </w:r>
      <w:r>
        <w:rPr>
          <w:spacing w:val="-11"/>
        </w:rPr>
        <w:t> </w:t>
      </w:r>
      <w:r>
        <w:rPr/>
        <w:t>riders</w:t>
      </w:r>
      <w:r>
        <w:rPr>
          <w:spacing w:val="-14"/>
        </w:rPr>
        <w:t> </w:t>
      </w:r>
      <w:r>
        <w:rPr/>
        <w:t>who</w:t>
      </w:r>
      <w:r>
        <w:rPr>
          <w:spacing w:val="-13"/>
        </w:rPr>
        <w:t> </w:t>
      </w:r>
      <w:r>
        <w:rPr/>
        <w:t>speak</w:t>
      </w:r>
      <w:r>
        <w:rPr>
          <w:spacing w:val="-14"/>
        </w:rPr>
        <w:t> </w:t>
      </w:r>
      <w:r>
        <w:rPr/>
        <w:t>English</w:t>
      </w:r>
      <w:r>
        <w:rPr>
          <w:spacing w:val="-12"/>
        </w:rPr>
        <w:t> </w:t>
      </w:r>
      <w:r>
        <w:rPr/>
        <w:t>less</w:t>
      </w:r>
      <w:r>
        <w:rPr>
          <w:spacing w:val="60"/>
        </w:rPr>
        <w:t> </w:t>
      </w:r>
      <w:r>
        <w:rPr/>
        <w:t>than</w:t>
      </w:r>
      <w:r>
        <w:rPr>
          <w:spacing w:val="-10"/>
        </w:rPr>
        <w:t> </w:t>
      </w:r>
      <w:r>
        <w:rPr/>
        <w:t>very</w:t>
      </w:r>
      <w:r>
        <w:rPr>
          <w:spacing w:val="-14"/>
        </w:rPr>
        <w:t> </w:t>
      </w:r>
      <w:r>
        <w:rPr/>
        <w:t>well,</w:t>
      </w:r>
      <w:r>
        <w:rPr>
          <w:spacing w:val="-13"/>
        </w:rPr>
        <w:t> </w:t>
      </w:r>
      <w:r>
        <w:rPr/>
        <w:t>not</w:t>
      </w:r>
      <w:r>
        <w:rPr>
          <w:spacing w:val="-12"/>
        </w:rPr>
        <w:t> </w:t>
      </w:r>
      <w:r>
        <w:rPr/>
        <w:t>well,</w:t>
      </w:r>
      <w:r>
        <w:rPr>
          <w:spacing w:val="-13"/>
        </w:rPr>
        <w:t> </w:t>
      </w:r>
      <w:r>
        <w:rPr/>
        <w:t>or</w:t>
      </w:r>
      <w:r>
        <w:rPr>
          <w:spacing w:val="-13"/>
        </w:rPr>
        <w:t> </w:t>
      </w:r>
      <w:r>
        <w:rPr/>
        <w:t>not at all. However, when responding to the question of which</w:t>
      </w:r>
      <w:r>
        <w:rPr>
          <w:spacing w:val="40"/>
        </w:rPr>
        <w:t> </w:t>
      </w:r>
      <w:r>
        <w:rPr/>
        <w:t>route(s) have the highest LEP ridership, they answered ‘none’. This can be interpreted to mean</w:t>
      </w:r>
      <w:r>
        <w:rPr>
          <w:spacing w:val="40"/>
        </w:rPr>
        <w:t> </w:t>
      </w:r>
      <w:r>
        <w:rPr/>
        <w:t>that LEP persons ride all routes equally, or that they </w:t>
      </w:r>
      <w:r>
        <w:rPr>
          <w:spacing w:val="-2"/>
        </w:rPr>
        <w:t>misunderstood</w:t>
      </w:r>
      <w:r>
        <w:rPr>
          <w:spacing w:val="-5"/>
        </w:rPr>
        <w:t> </w:t>
      </w:r>
      <w:r>
        <w:rPr>
          <w:spacing w:val="-2"/>
        </w:rPr>
        <w:t>the</w:t>
      </w:r>
      <w:r>
        <w:rPr>
          <w:spacing w:val="-5"/>
        </w:rPr>
        <w:t> </w:t>
      </w:r>
      <w:r>
        <w:rPr>
          <w:spacing w:val="-2"/>
        </w:rPr>
        <w:t>question.</w:t>
      </w:r>
      <w:r>
        <w:rPr>
          <w:spacing w:val="-12"/>
        </w:rPr>
        <w:t> </w:t>
      </w:r>
      <w:r>
        <w:rPr>
          <w:spacing w:val="-2"/>
        </w:rPr>
        <w:t>The</w:t>
      </w:r>
      <w:r>
        <w:rPr>
          <w:spacing w:val="-5"/>
        </w:rPr>
        <w:t> </w:t>
      </w:r>
      <w:r>
        <w:rPr>
          <w:spacing w:val="-2"/>
        </w:rPr>
        <w:t>most</w:t>
      </w:r>
      <w:r>
        <w:rPr>
          <w:spacing w:val="63"/>
        </w:rPr>
        <w:t> </w:t>
      </w:r>
      <w:r>
        <w:rPr>
          <w:spacing w:val="-2"/>
        </w:rPr>
        <w:t>common</w:t>
      </w:r>
      <w:r>
        <w:rPr>
          <w:spacing w:val="-8"/>
        </w:rPr>
        <w:t> </w:t>
      </w:r>
      <w:r>
        <w:rPr>
          <w:spacing w:val="-2"/>
        </w:rPr>
        <w:t>language</w:t>
      </w:r>
      <w:r>
        <w:rPr>
          <w:spacing w:val="-8"/>
        </w:rPr>
        <w:t> </w:t>
      </w:r>
      <w:r>
        <w:rPr>
          <w:spacing w:val="-2"/>
        </w:rPr>
        <w:t>that</w:t>
      </w:r>
      <w:r>
        <w:rPr>
          <w:spacing w:val="-8"/>
        </w:rPr>
        <w:t> </w:t>
      </w:r>
      <w:r>
        <w:rPr>
          <w:spacing w:val="-2"/>
        </w:rPr>
        <w:t>they</w:t>
      </w:r>
      <w:r>
        <w:rPr>
          <w:spacing w:val="-10"/>
        </w:rPr>
        <w:t> </w:t>
      </w:r>
      <w:r>
        <w:rPr>
          <w:spacing w:val="-2"/>
        </w:rPr>
        <w:t>encountered</w:t>
      </w:r>
      <w:r>
        <w:rPr>
          <w:spacing w:val="-4"/>
        </w:rPr>
        <w:t> </w:t>
      </w:r>
      <w:r>
        <w:rPr>
          <w:spacing w:val="-2"/>
        </w:rPr>
        <w:t>was</w:t>
      </w:r>
      <w:r>
        <w:rPr>
          <w:spacing w:val="-6"/>
        </w:rPr>
        <w:t> </w:t>
      </w:r>
      <w:r>
        <w:rPr>
          <w:spacing w:val="-2"/>
        </w:rPr>
        <w:t>listed</w:t>
      </w:r>
      <w:r>
        <w:rPr>
          <w:spacing w:val="-4"/>
        </w:rPr>
        <w:t> </w:t>
      </w:r>
      <w:r>
        <w:rPr>
          <w:spacing w:val="-2"/>
        </w:rPr>
        <w:t>as</w:t>
      </w:r>
      <w:r>
        <w:rPr>
          <w:spacing w:val="-9"/>
        </w:rPr>
        <w:t> </w:t>
      </w:r>
      <w:r>
        <w:rPr>
          <w:spacing w:val="-2"/>
        </w:rPr>
        <w:t>“other;</w:t>
      </w:r>
      <w:r>
        <w:rPr>
          <w:spacing w:val="-8"/>
        </w:rPr>
        <w:t> </w:t>
      </w:r>
      <w:r>
        <w:rPr>
          <w:spacing w:val="-2"/>
        </w:rPr>
        <w:t>English”.</w:t>
      </w:r>
    </w:p>
    <w:p>
      <w:pPr>
        <w:pStyle w:val="Heading9"/>
        <w:spacing w:before="122"/>
        <w:ind w:left="240"/>
        <w:jc w:val="both"/>
      </w:pPr>
      <w:bookmarkStart w:name="Region 5" w:id="70"/>
      <w:bookmarkEnd w:id="70"/>
      <w:r>
        <w:rPr>
          <w:b w:val="0"/>
        </w:rPr>
      </w:r>
      <w:r>
        <w:rPr>
          <w:spacing w:val="-2"/>
          <w:u w:val="single"/>
        </w:rPr>
        <w:t>Region</w:t>
      </w:r>
      <w:r>
        <w:rPr>
          <w:spacing w:val="-4"/>
          <w:u w:val="single"/>
        </w:rPr>
        <w:t> </w:t>
      </w:r>
      <w:r>
        <w:rPr>
          <w:spacing w:val="-10"/>
          <w:u w:val="single"/>
        </w:rPr>
        <w:t>5</w:t>
      </w:r>
    </w:p>
    <w:p>
      <w:pPr>
        <w:pStyle w:val="BodyText"/>
        <w:spacing w:before="7"/>
        <w:rPr>
          <w:b/>
          <w:sz w:val="27"/>
        </w:rPr>
      </w:pPr>
    </w:p>
    <w:p>
      <w:pPr>
        <w:pStyle w:val="BodyText"/>
        <w:spacing w:line="266" w:lineRule="auto" w:before="52"/>
        <w:ind w:left="240" w:right="366"/>
        <w:jc w:val="both"/>
      </w:pPr>
      <w:r>
        <w:rPr/>
        <w:t>Waldo County Community</w:t>
      </w:r>
      <w:r>
        <w:rPr>
          <w:spacing w:val="-3"/>
        </w:rPr>
        <w:t> </w:t>
      </w:r>
      <w:r>
        <w:rPr/>
        <w:t>Action Program (WCAP) had 27 respondents broken down into two</w:t>
      </w:r>
      <w:r>
        <w:rPr>
          <w:spacing w:val="40"/>
        </w:rPr>
        <w:t> </w:t>
      </w:r>
      <w:r>
        <w:rPr/>
        <w:t>frequency </w:t>
      </w:r>
      <w:r>
        <w:rPr>
          <w:spacing w:val="-2"/>
        </w:rPr>
        <w:t>categories.</w:t>
      </w:r>
    </w:p>
    <w:p>
      <w:pPr>
        <w:pStyle w:val="BodyText"/>
      </w:pPr>
    </w:p>
    <w:p>
      <w:pPr>
        <w:pStyle w:val="BodyText"/>
        <w:spacing w:before="1"/>
        <w:rPr>
          <w:sz w:val="29"/>
        </w:rPr>
      </w:pPr>
    </w:p>
    <w:p>
      <w:pPr>
        <w:pStyle w:val="Heading7"/>
        <w:ind w:left="240"/>
      </w:pPr>
      <w:bookmarkStart w:name="Never, Very Limited, or 3–4 Times Per Ye" w:id="71"/>
      <w:bookmarkEnd w:id="71"/>
      <w:r>
        <w:rPr>
          <w:b w:val="0"/>
        </w:rPr>
      </w:r>
      <w:r>
        <w:rPr>
          <w:spacing w:val="-2"/>
        </w:rPr>
        <w:t>Never,</w:t>
      </w:r>
      <w:r>
        <w:rPr>
          <w:spacing w:val="-12"/>
        </w:rPr>
        <w:t> </w:t>
      </w:r>
      <w:r>
        <w:rPr>
          <w:spacing w:val="-2"/>
        </w:rPr>
        <w:t>Very</w:t>
      </w:r>
      <w:r>
        <w:rPr>
          <w:spacing w:val="-5"/>
        </w:rPr>
        <w:t> </w:t>
      </w:r>
      <w:r>
        <w:rPr>
          <w:spacing w:val="-2"/>
        </w:rPr>
        <w:t>Limited,</w:t>
      </w:r>
      <w:r>
        <w:rPr>
          <w:spacing w:val="-5"/>
        </w:rPr>
        <w:t> </w:t>
      </w:r>
      <w:r>
        <w:rPr>
          <w:spacing w:val="-2"/>
        </w:rPr>
        <w:t>or</w:t>
      </w:r>
      <w:r>
        <w:rPr>
          <w:spacing w:val="-10"/>
        </w:rPr>
        <w:t> </w:t>
      </w:r>
      <w:r>
        <w:rPr>
          <w:spacing w:val="-2"/>
        </w:rPr>
        <w:t>3–4</w:t>
      </w:r>
      <w:r>
        <w:rPr>
          <w:spacing w:val="-10"/>
        </w:rPr>
        <w:t> </w:t>
      </w:r>
      <w:r>
        <w:rPr>
          <w:spacing w:val="-2"/>
        </w:rPr>
        <w:t>Times</w:t>
      </w:r>
      <w:r>
        <w:rPr>
          <w:spacing w:val="-7"/>
        </w:rPr>
        <w:t> </w:t>
      </w:r>
      <w:r>
        <w:rPr>
          <w:spacing w:val="-2"/>
        </w:rPr>
        <w:t>Per</w:t>
      </w:r>
      <w:r>
        <w:rPr>
          <w:spacing w:val="-15"/>
        </w:rPr>
        <w:t> </w:t>
      </w:r>
      <w:r>
        <w:rPr>
          <w:spacing w:val="-4"/>
        </w:rPr>
        <w:t>Year:</w:t>
      </w:r>
    </w:p>
    <w:p>
      <w:pPr>
        <w:pStyle w:val="BodyText"/>
        <w:spacing w:before="10"/>
        <w:rPr>
          <w:b/>
          <w:sz w:val="30"/>
        </w:rPr>
      </w:pPr>
    </w:p>
    <w:p>
      <w:pPr>
        <w:pStyle w:val="BodyText"/>
        <w:spacing w:line="264" w:lineRule="auto"/>
        <w:ind w:left="240" w:right="366"/>
        <w:jc w:val="both"/>
      </w:pPr>
      <w:r>
        <w:rPr/>
        <w:t>Thirteen respondents including one office staff and 12 drivers serving Bangor, Portland,</w:t>
      </w:r>
      <w:r>
        <w:rPr>
          <w:spacing w:val="-4"/>
        </w:rPr>
        <w:t> </w:t>
      </w:r>
      <w:r>
        <w:rPr/>
        <w:t>Augusta,</w:t>
      </w:r>
      <w:r>
        <w:rPr>
          <w:spacing w:val="80"/>
        </w:rPr>
        <w:t> </w:t>
      </w:r>
      <w:r>
        <w:rPr/>
        <w:t>Waldo, Penobscot, Knox, Troy, Unity, Rockland, Belfast, Searsport, and Morrill areas come into</w:t>
      </w:r>
      <w:r>
        <w:rPr>
          <w:spacing w:val="80"/>
        </w:rPr>
        <w:t> </w:t>
      </w:r>
      <w:r>
        <w:rPr/>
        <w:t>contact with LEP persons either never, very limited, or 3–4 times per year, in person, on the</w:t>
      </w:r>
      <w:r>
        <w:rPr>
          <w:spacing w:val="40"/>
        </w:rPr>
        <w:t> </w:t>
      </w:r>
      <w:r>
        <w:rPr/>
        <w:t>phone, or via email, speaking French, Spanish, German, Tagalog, and Italian.</w:t>
      </w:r>
    </w:p>
    <w:p>
      <w:pPr>
        <w:pStyle w:val="BodyText"/>
      </w:pPr>
    </w:p>
    <w:p>
      <w:pPr>
        <w:pStyle w:val="BodyText"/>
        <w:spacing w:before="8"/>
        <w:rPr>
          <w:sz w:val="29"/>
        </w:rPr>
      </w:pPr>
    </w:p>
    <w:p>
      <w:pPr>
        <w:pStyle w:val="Heading7"/>
        <w:ind w:left="240"/>
      </w:pPr>
      <w:bookmarkStart w:name="1–10:" w:id="72"/>
      <w:bookmarkEnd w:id="72"/>
      <w:r>
        <w:rPr>
          <w:b w:val="0"/>
        </w:rPr>
      </w:r>
      <w:r>
        <w:rPr>
          <w:spacing w:val="-2"/>
        </w:rPr>
        <w:t>1–10:</w:t>
      </w:r>
    </w:p>
    <w:p>
      <w:pPr>
        <w:pStyle w:val="BodyText"/>
        <w:spacing w:before="10"/>
        <w:rPr>
          <w:b/>
          <w:sz w:val="30"/>
        </w:rPr>
      </w:pPr>
    </w:p>
    <w:p>
      <w:pPr>
        <w:pStyle w:val="BodyText"/>
        <w:spacing w:line="264" w:lineRule="auto"/>
        <w:ind w:left="240" w:right="427"/>
        <w:jc w:val="both"/>
      </w:pPr>
      <w:r>
        <w:rPr/>
        <w:t>Thirteen respondents including three office staff and 10 drivers serving Augusta, Brunswick,</w:t>
      </w:r>
      <w:r>
        <w:rPr>
          <w:spacing w:val="40"/>
        </w:rPr>
        <w:t> </w:t>
      </w:r>
      <w:r>
        <w:rPr/>
        <w:t>Rockland, Camden, Bath, Belfast, Waldo, Belmont, Searsmont, the counties of Kennebec,</w:t>
      </w:r>
      <w:r>
        <w:rPr>
          <w:spacing w:val="80"/>
        </w:rPr>
        <w:t> </w:t>
      </w:r>
      <w:r>
        <w:rPr/>
        <w:t>Lincoln and Sagadahoc, coastal, inland, and Portland to Bangor comes into contact with</w:t>
      </w:r>
      <w:r>
        <w:rPr>
          <w:spacing w:val="80"/>
        </w:rPr>
        <w:t> </w:t>
      </w:r>
      <w:r>
        <w:rPr/>
        <w:t>approximately 1–10 LEP persons in the average</w:t>
      </w:r>
      <w:r>
        <w:rPr>
          <w:spacing w:val="-14"/>
        </w:rPr>
        <w:t> </w:t>
      </w:r>
      <w:r>
        <w:rPr/>
        <w:t>week</w:t>
      </w:r>
      <w:r>
        <w:rPr>
          <w:spacing w:val="-14"/>
        </w:rPr>
        <w:t> </w:t>
      </w:r>
      <w:r>
        <w:rPr/>
        <w:t>speaking</w:t>
      </w:r>
      <w:r>
        <w:rPr>
          <w:spacing w:val="-13"/>
        </w:rPr>
        <w:t> </w:t>
      </w:r>
      <w:r>
        <w:rPr/>
        <w:t>French,</w:t>
      </w:r>
      <w:r>
        <w:rPr>
          <w:spacing w:val="-14"/>
        </w:rPr>
        <w:t> </w:t>
      </w:r>
      <w:r>
        <w:rPr/>
        <w:t>Spanish,</w:t>
      </w:r>
      <w:r>
        <w:rPr>
          <w:spacing w:val="-13"/>
        </w:rPr>
        <w:t> </w:t>
      </w:r>
      <w:r>
        <w:rPr/>
        <w:t>African</w:t>
      </w:r>
      <w:r>
        <w:rPr>
          <w:spacing w:val="20"/>
        </w:rPr>
        <w:t> </w:t>
      </w:r>
      <w:r>
        <w:rPr/>
        <w:t>languages,</w:t>
      </w:r>
      <w:r>
        <w:rPr>
          <w:spacing w:val="-14"/>
        </w:rPr>
        <w:t> </w:t>
      </w:r>
      <w:r>
        <w:rPr/>
        <w:t>Chinese,</w:t>
      </w:r>
      <w:r>
        <w:rPr>
          <w:spacing w:val="-13"/>
        </w:rPr>
        <w:t> </w:t>
      </w:r>
      <w:r>
        <w:rPr/>
        <w:t>Hindi,</w:t>
      </w:r>
      <w:r>
        <w:rPr>
          <w:spacing w:val="-14"/>
        </w:rPr>
        <w:t> </w:t>
      </w:r>
      <w:r>
        <w:rPr/>
        <w:t>and</w:t>
      </w:r>
      <w:r>
        <w:rPr>
          <w:spacing w:val="-13"/>
        </w:rPr>
        <w:t> </w:t>
      </w:r>
      <w:r>
        <w:rPr/>
        <w:t>Arabic,</w:t>
      </w:r>
      <w:r>
        <w:rPr>
          <w:spacing w:val="-14"/>
        </w:rPr>
        <w:t> </w:t>
      </w:r>
      <w:r>
        <w:rPr/>
        <w:t>with</w:t>
      </w:r>
      <w:r>
        <w:rPr>
          <w:spacing w:val="-13"/>
        </w:rPr>
        <w:t> </w:t>
      </w:r>
      <w:r>
        <w:rPr/>
        <w:t>the</w:t>
      </w:r>
      <w:r>
        <w:rPr>
          <w:spacing w:val="-14"/>
        </w:rPr>
        <w:t> </w:t>
      </w:r>
      <w:r>
        <w:rPr/>
        <w:t>Belfast</w:t>
      </w:r>
      <w:r>
        <w:rPr>
          <w:spacing w:val="-14"/>
        </w:rPr>
        <w:t> </w:t>
      </w:r>
      <w:r>
        <w:rPr/>
        <w:t>route being identified as having the</w:t>
      </w:r>
      <w:r>
        <w:rPr>
          <w:spacing w:val="40"/>
        </w:rPr>
        <w:t> </w:t>
      </w:r>
      <w:r>
        <w:rPr/>
        <w:t>highest LEP ridership.</w:t>
      </w:r>
    </w:p>
    <w:p>
      <w:pPr>
        <w:pStyle w:val="BodyText"/>
      </w:pPr>
    </w:p>
    <w:p>
      <w:pPr>
        <w:pStyle w:val="BodyText"/>
        <w:spacing w:before="4"/>
        <w:rPr>
          <w:sz w:val="29"/>
        </w:rPr>
      </w:pPr>
    </w:p>
    <w:p>
      <w:pPr>
        <w:spacing w:before="1"/>
        <w:ind w:left="240" w:right="0" w:firstLine="0"/>
        <w:jc w:val="left"/>
        <w:rPr>
          <w:b/>
          <w:sz w:val="24"/>
        </w:rPr>
      </w:pPr>
      <w:bookmarkStart w:name="Region 6" w:id="73"/>
      <w:bookmarkEnd w:id="73"/>
      <w:r>
        <w:rPr/>
      </w:r>
      <w:r>
        <w:rPr>
          <w:b/>
          <w:spacing w:val="-2"/>
          <w:sz w:val="24"/>
          <w:u w:val="single"/>
        </w:rPr>
        <w:t>Region</w:t>
      </w:r>
      <w:r>
        <w:rPr>
          <w:b/>
          <w:spacing w:val="-4"/>
          <w:sz w:val="24"/>
          <w:u w:val="single"/>
        </w:rPr>
        <w:t> </w:t>
      </w:r>
      <w:r>
        <w:rPr>
          <w:b/>
          <w:spacing w:val="-10"/>
          <w:sz w:val="24"/>
          <w:u w:val="single"/>
        </w:rPr>
        <w:t>6</w:t>
      </w:r>
    </w:p>
    <w:p>
      <w:pPr>
        <w:pStyle w:val="BodyText"/>
        <w:rPr>
          <w:b/>
          <w:sz w:val="20"/>
        </w:rPr>
      </w:pPr>
    </w:p>
    <w:p>
      <w:pPr>
        <w:pStyle w:val="BodyText"/>
        <w:spacing w:before="10"/>
        <w:rPr>
          <w:b/>
          <w:sz w:val="27"/>
        </w:rPr>
      </w:pPr>
    </w:p>
    <w:p>
      <w:pPr>
        <w:pStyle w:val="Heading7"/>
        <w:spacing w:before="47"/>
        <w:ind w:left="240"/>
      </w:pPr>
      <w:bookmarkStart w:name="Zero:" w:id="74"/>
      <w:bookmarkEnd w:id="74"/>
      <w:r>
        <w:rPr>
          <w:b w:val="0"/>
        </w:rPr>
      </w:r>
      <w:r>
        <w:rPr>
          <w:spacing w:val="-2"/>
        </w:rPr>
        <w:t>Zero:</w:t>
      </w:r>
    </w:p>
    <w:p>
      <w:pPr>
        <w:pStyle w:val="BodyText"/>
        <w:spacing w:before="10"/>
        <w:rPr>
          <w:b/>
          <w:sz w:val="30"/>
        </w:rPr>
      </w:pPr>
    </w:p>
    <w:p>
      <w:pPr>
        <w:pStyle w:val="BodyText"/>
        <w:spacing w:line="264" w:lineRule="auto"/>
        <w:ind w:left="240" w:right="364"/>
        <w:jc w:val="both"/>
      </w:pPr>
      <w:r>
        <w:rPr/>
        <w:t>Region</w:t>
      </w:r>
      <w:r>
        <w:rPr>
          <w:spacing w:val="-14"/>
        </w:rPr>
        <w:t> </w:t>
      </w:r>
      <w:r>
        <w:rPr/>
        <w:t>6</w:t>
      </w:r>
      <w:r>
        <w:rPr>
          <w:spacing w:val="-14"/>
        </w:rPr>
        <w:t> </w:t>
      </w:r>
      <w:r>
        <w:rPr/>
        <w:t>had</w:t>
      </w:r>
      <w:r>
        <w:rPr>
          <w:spacing w:val="-13"/>
        </w:rPr>
        <w:t> </w:t>
      </w:r>
      <w:r>
        <w:rPr/>
        <w:t>28</w:t>
      </w:r>
      <w:r>
        <w:rPr>
          <w:spacing w:val="-14"/>
        </w:rPr>
        <w:t> </w:t>
      </w:r>
      <w:r>
        <w:rPr/>
        <w:t>respondents</w:t>
      </w:r>
      <w:r>
        <w:rPr>
          <w:spacing w:val="-13"/>
        </w:rPr>
        <w:t> </w:t>
      </w:r>
      <w:r>
        <w:rPr/>
        <w:t>including</w:t>
      </w:r>
      <w:r>
        <w:rPr>
          <w:spacing w:val="-14"/>
        </w:rPr>
        <w:t> </w:t>
      </w:r>
      <w:r>
        <w:rPr/>
        <w:t>two</w:t>
      </w:r>
      <w:r>
        <w:rPr>
          <w:spacing w:val="-13"/>
        </w:rPr>
        <w:t> </w:t>
      </w:r>
      <w:r>
        <w:rPr/>
        <w:t>office</w:t>
      </w:r>
      <w:r>
        <w:rPr>
          <w:spacing w:val="-14"/>
        </w:rPr>
        <w:t> </w:t>
      </w:r>
      <w:r>
        <w:rPr/>
        <w:t>staff</w:t>
      </w:r>
      <w:r>
        <w:rPr>
          <w:spacing w:val="-14"/>
        </w:rPr>
        <w:t> </w:t>
      </w:r>
      <w:r>
        <w:rPr/>
        <w:t>with</w:t>
      </w:r>
      <w:r>
        <w:rPr>
          <w:spacing w:val="-13"/>
        </w:rPr>
        <w:t> </w:t>
      </w:r>
      <w:r>
        <w:rPr/>
        <w:t>no</w:t>
      </w:r>
      <w:r>
        <w:rPr>
          <w:spacing w:val="-14"/>
        </w:rPr>
        <w:t> </w:t>
      </w:r>
      <w:r>
        <w:rPr/>
        <w:t>frequency</w:t>
      </w:r>
      <w:r>
        <w:rPr>
          <w:spacing w:val="-13"/>
        </w:rPr>
        <w:t> </w:t>
      </w:r>
      <w:r>
        <w:rPr/>
        <w:t>of</w:t>
      </w:r>
      <w:r>
        <w:rPr>
          <w:spacing w:val="-14"/>
        </w:rPr>
        <w:t> </w:t>
      </w:r>
      <w:r>
        <w:rPr/>
        <w:t>contact</w:t>
      </w:r>
      <w:r>
        <w:rPr>
          <w:spacing w:val="-13"/>
        </w:rPr>
        <w:t> </w:t>
      </w:r>
      <w:r>
        <w:rPr/>
        <w:t>provided,</w:t>
      </w:r>
      <w:r>
        <w:rPr>
          <w:spacing w:val="30"/>
        </w:rPr>
        <w:t> </w:t>
      </w:r>
      <w:r>
        <w:rPr/>
        <w:t>one</w:t>
      </w:r>
      <w:r>
        <w:rPr>
          <w:spacing w:val="-14"/>
        </w:rPr>
        <w:t> </w:t>
      </w:r>
      <w:r>
        <w:rPr/>
        <w:t>office</w:t>
      </w:r>
      <w:r>
        <w:rPr>
          <w:spacing w:val="-14"/>
        </w:rPr>
        <w:t> </w:t>
      </w:r>
      <w:r>
        <w:rPr/>
        <w:t>staff with</w:t>
      </w:r>
      <w:r>
        <w:rPr>
          <w:spacing w:val="-6"/>
        </w:rPr>
        <w:t> </w:t>
      </w:r>
      <w:r>
        <w:rPr/>
        <w:t>fewer</w:t>
      </w:r>
      <w:r>
        <w:rPr>
          <w:spacing w:val="-5"/>
        </w:rPr>
        <w:t> </w:t>
      </w:r>
      <w:r>
        <w:rPr/>
        <w:t>than</w:t>
      </w:r>
      <w:r>
        <w:rPr>
          <w:spacing w:val="-1"/>
        </w:rPr>
        <w:t> </w:t>
      </w:r>
      <w:r>
        <w:rPr/>
        <w:t>1</w:t>
      </w:r>
      <w:r>
        <w:rPr>
          <w:spacing w:val="-7"/>
        </w:rPr>
        <w:t> </w:t>
      </w:r>
      <w:r>
        <w:rPr/>
        <w:t>per</w:t>
      </w:r>
      <w:r>
        <w:rPr>
          <w:spacing w:val="-5"/>
        </w:rPr>
        <w:t> </w:t>
      </w:r>
      <w:r>
        <w:rPr/>
        <w:t>week,</w:t>
      </w:r>
      <w:r>
        <w:rPr>
          <w:spacing w:val="-2"/>
        </w:rPr>
        <w:t> </w:t>
      </w:r>
      <w:r>
        <w:rPr/>
        <w:t>and</w:t>
      </w:r>
      <w:r>
        <w:rPr>
          <w:spacing w:val="-4"/>
        </w:rPr>
        <w:t> </w:t>
      </w:r>
      <w:r>
        <w:rPr/>
        <w:t>one</w:t>
      </w:r>
      <w:r>
        <w:rPr>
          <w:spacing w:val="-5"/>
        </w:rPr>
        <w:t> </w:t>
      </w:r>
      <w:r>
        <w:rPr/>
        <w:t>driver</w:t>
      </w:r>
      <w:r>
        <w:rPr>
          <w:spacing w:val="-5"/>
        </w:rPr>
        <w:t> </w:t>
      </w:r>
      <w:r>
        <w:rPr/>
        <w:t>with</w:t>
      </w:r>
      <w:r>
        <w:rPr>
          <w:spacing w:val="-1"/>
        </w:rPr>
        <w:t> </w:t>
      </w:r>
      <w:r>
        <w:rPr/>
        <w:t>a</w:t>
      </w:r>
      <w:r>
        <w:rPr>
          <w:spacing w:val="-5"/>
        </w:rPr>
        <w:t> </w:t>
      </w:r>
      <w:r>
        <w:rPr/>
        <w:t>response</w:t>
      </w:r>
      <w:r>
        <w:rPr>
          <w:spacing w:val="-4"/>
        </w:rPr>
        <w:t> </w:t>
      </w:r>
      <w:r>
        <w:rPr/>
        <w:t>of</w:t>
      </w:r>
      <w:r>
        <w:rPr>
          <w:spacing w:val="-4"/>
        </w:rPr>
        <w:t> </w:t>
      </w:r>
      <w:r>
        <w:rPr/>
        <w:t>3–4</w:t>
      </w:r>
      <w:r>
        <w:rPr>
          <w:spacing w:val="-4"/>
        </w:rPr>
        <w:t> </w:t>
      </w:r>
      <w:r>
        <w:rPr/>
        <w:t>but</w:t>
      </w:r>
      <w:r>
        <w:rPr>
          <w:spacing w:val="-4"/>
        </w:rPr>
        <w:t> </w:t>
      </w:r>
      <w:r>
        <w:rPr/>
        <w:t>no</w:t>
      </w:r>
      <w:r>
        <w:rPr>
          <w:spacing w:val="38"/>
        </w:rPr>
        <w:t> </w:t>
      </w:r>
      <w:r>
        <w:rPr/>
        <w:t>timespan</w:t>
      </w:r>
      <w:r>
        <w:rPr>
          <w:spacing w:val="-4"/>
        </w:rPr>
        <w:t> </w:t>
      </w:r>
      <w:r>
        <w:rPr/>
        <w:t>to</w:t>
      </w:r>
      <w:r>
        <w:rPr>
          <w:spacing w:val="-4"/>
        </w:rPr>
        <w:t> </w:t>
      </w:r>
      <w:r>
        <w:rPr/>
        <w:t>categorize</w:t>
      </w:r>
      <w:r>
        <w:rPr>
          <w:spacing w:val="-2"/>
        </w:rPr>
        <w:t> </w:t>
      </w:r>
      <w:r>
        <w:rPr/>
        <w:t>it</w:t>
      </w:r>
      <w:r>
        <w:rPr>
          <w:spacing w:val="-4"/>
        </w:rPr>
        <w:t> </w:t>
      </w:r>
      <w:r>
        <w:rPr/>
        <w:t>(e.g.</w:t>
      </w:r>
      <w:r>
        <w:rPr>
          <w:spacing w:val="-3"/>
        </w:rPr>
        <w:t> </w:t>
      </w:r>
      <w:r>
        <w:rPr/>
        <w:t>per week or per year).</w:t>
      </w:r>
    </w:p>
    <w:p>
      <w:pPr>
        <w:spacing w:after="0" w:line="264" w:lineRule="auto"/>
        <w:jc w:val="both"/>
        <w:sectPr>
          <w:pgSz w:w="12240" w:h="15840"/>
          <w:pgMar w:header="0" w:footer="1023" w:top="960" w:bottom="1260" w:left="600" w:right="500"/>
        </w:sectPr>
      </w:pPr>
    </w:p>
    <w:p>
      <w:pPr>
        <w:pStyle w:val="Heading7"/>
        <w:spacing w:before="35"/>
        <w:ind w:left="240"/>
      </w:pPr>
      <w:bookmarkStart w:name="1–10:" w:id="75"/>
      <w:bookmarkEnd w:id="75"/>
      <w:r>
        <w:rPr>
          <w:b w:val="0"/>
        </w:rPr>
      </w:r>
      <w:r>
        <w:rPr>
          <w:spacing w:val="-2"/>
        </w:rPr>
        <w:t>1–10:</w:t>
      </w:r>
    </w:p>
    <w:p>
      <w:pPr>
        <w:pStyle w:val="BodyText"/>
        <w:spacing w:before="10"/>
        <w:rPr>
          <w:b/>
          <w:sz w:val="30"/>
        </w:rPr>
      </w:pPr>
    </w:p>
    <w:p>
      <w:pPr>
        <w:pStyle w:val="BodyText"/>
        <w:spacing w:line="264" w:lineRule="auto"/>
        <w:ind w:left="240" w:right="362"/>
        <w:jc w:val="both"/>
      </w:pPr>
      <w:r>
        <w:rPr/>
        <w:t>Eight drivers responded, serving Biddeford, Saco, Old Orchard Beach, Greater Portland and</w:t>
      </w:r>
      <w:r>
        <w:rPr>
          <w:spacing w:val="40"/>
        </w:rPr>
        <w:t> </w:t>
      </w:r>
      <w:r>
        <w:rPr/>
        <w:t>Cumberland County comes into contact with approximately</w:t>
      </w:r>
      <w:r>
        <w:rPr>
          <w:spacing w:val="-2"/>
        </w:rPr>
        <w:t> </w:t>
      </w:r>
      <w:r>
        <w:rPr/>
        <w:t>1–10 LEP</w:t>
      </w:r>
      <w:r>
        <w:rPr>
          <w:spacing w:val="-7"/>
        </w:rPr>
        <w:t> </w:t>
      </w:r>
      <w:r>
        <w:rPr/>
        <w:t>persons per week either in</w:t>
      </w:r>
      <w:r>
        <w:rPr>
          <w:spacing w:val="80"/>
        </w:rPr>
        <w:t> </w:t>
      </w:r>
      <w:r>
        <w:rPr/>
        <w:t>person, on the phone, via</w:t>
      </w:r>
      <w:r>
        <w:rPr>
          <w:spacing w:val="-14"/>
        </w:rPr>
        <w:t> </w:t>
      </w:r>
      <w:r>
        <w:rPr/>
        <w:t>email,</w:t>
      </w:r>
      <w:r>
        <w:rPr>
          <w:spacing w:val="-14"/>
        </w:rPr>
        <w:t> </w:t>
      </w:r>
      <w:r>
        <w:rPr/>
        <w:t>or</w:t>
      </w:r>
      <w:r>
        <w:rPr>
          <w:spacing w:val="-11"/>
        </w:rPr>
        <w:t> </w:t>
      </w:r>
      <w:r>
        <w:rPr/>
        <w:t>at</w:t>
      </w:r>
      <w:r>
        <w:rPr>
          <w:spacing w:val="-9"/>
        </w:rPr>
        <w:t> </w:t>
      </w:r>
      <w:r>
        <w:rPr/>
        <w:t>events,</w:t>
      </w:r>
      <w:r>
        <w:rPr>
          <w:spacing w:val="-10"/>
        </w:rPr>
        <w:t> </w:t>
      </w:r>
      <w:r>
        <w:rPr/>
        <w:t>speaking</w:t>
      </w:r>
      <w:r>
        <w:rPr>
          <w:spacing w:val="-10"/>
        </w:rPr>
        <w:t> </w:t>
      </w:r>
      <w:r>
        <w:rPr/>
        <w:t>French,</w:t>
      </w:r>
      <w:r>
        <w:rPr>
          <w:spacing w:val="-10"/>
        </w:rPr>
        <w:t> </w:t>
      </w:r>
      <w:r>
        <w:rPr/>
        <w:t>Spanish,</w:t>
      </w:r>
      <w:r>
        <w:rPr>
          <w:spacing w:val="-14"/>
        </w:rPr>
        <w:t> </w:t>
      </w:r>
      <w:r>
        <w:rPr/>
        <w:t>African</w:t>
      </w:r>
      <w:r>
        <w:rPr>
          <w:spacing w:val="-9"/>
        </w:rPr>
        <w:t> </w:t>
      </w:r>
      <w:r>
        <w:rPr/>
        <w:t>Languages,</w:t>
      </w:r>
      <w:r>
        <w:rPr>
          <w:spacing w:val="73"/>
        </w:rPr>
        <w:t> </w:t>
      </w:r>
      <w:r>
        <w:rPr/>
        <w:t>German,</w:t>
      </w:r>
      <w:r>
        <w:rPr>
          <w:spacing w:val="-14"/>
        </w:rPr>
        <w:t> </w:t>
      </w:r>
      <w:r>
        <w:rPr/>
        <w:t>Vietnamese,</w:t>
      </w:r>
      <w:r>
        <w:rPr>
          <w:spacing w:val="-10"/>
        </w:rPr>
        <w:t> </w:t>
      </w:r>
      <w:r>
        <w:rPr/>
        <w:t>Chinese,</w:t>
      </w:r>
      <w:r>
        <w:rPr>
          <w:spacing w:val="-10"/>
        </w:rPr>
        <w:t> </w:t>
      </w:r>
      <w:r>
        <w:rPr/>
        <w:t>Russian, and</w:t>
      </w:r>
      <w:r>
        <w:rPr>
          <w:spacing w:val="-3"/>
        </w:rPr>
        <w:t> </w:t>
      </w:r>
      <w:r>
        <w:rPr/>
        <w:t>Hindi,</w:t>
      </w:r>
      <w:r>
        <w:rPr>
          <w:spacing w:val="-4"/>
        </w:rPr>
        <w:t> </w:t>
      </w:r>
      <w:r>
        <w:rPr/>
        <w:t>with</w:t>
      </w:r>
      <w:r>
        <w:rPr>
          <w:spacing w:val="-3"/>
        </w:rPr>
        <w:t> </w:t>
      </w:r>
      <w:r>
        <w:rPr/>
        <w:t>Old</w:t>
      </w:r>
      <w:r>
        <w:rPr>
          <w:spacing w:val="-5"/>
        </w:rPr>
        <w:t> </w:t>
      </w:r>
      <w:r>
        <w:rPr/>
        <w:t>Orchard Beach</w:t>
      </w:r>
      <w:r>
        <w:rPr>
          <w:spacing w:val="-1"/>
        </w:rPr>
        <w:t> </w:t>
      </w:r>
      <w:r>
        <w:rPr/>
        <w:t>and</w:t>
      </w:r>
      <w:r>
        <w:rPr>
          <w:spacing w:val="-3"/>
        </w:rPr>
        <w:t> </w:t>
      </w:r>
      <w:r>
        <w:rPr/>
        <w:t>Portland routes</w:t>
      </w:r>
      <w:r>
        <w:rPr>
          <w:spacing w:val="80"/>
        </w:rPr>
        <w:t> </w:t>
      </w:r>
      <w:r>
        <w:rPr/>
        <w:t>being</w:t>
      </w:r>
      <w:r>
        <w:rPr>
          <w:spacing w:val="-2"/>
        </w:rPr>
        <w:t> </w:t>
      </w:r>
      <w:r>
        <w:rPr/>
        <w:t>identified</w:t>
      </w:r>
      <w:r>
        <w:rPr>
          <w:spacing w:val="-1"/>
        </w:rPr>
        <w:t> </w:t>
      </w:r>
      <w:r>
        <w:rPr/>
        <w:t>as</w:t>
      </w:r>
      <w:r>
        <w:rPr>
          <w:spacing w:val="-2"/>
        </w:rPr>
        <w:t> </w:t>
      </w:r>
      <w:r>
        <w:rPr/>
        <w:t>having</w:t>
      </w:r>
      <w:r>
        <w:rPr>
          <w:spacing w:val="-2"/>
        </w:rPr>
        <w:t> </w:t>
      </w:r>
      <w:r>
        <w:rPr/>
        <w:t>the</w:t>
      </w:r>
      <w:r>
        <w:rPr>
          <w:spacing w:val="-3"/>
        </w:rPr>
        <w:t> </w:t>
      </w:r>
      <w:r>
        <w:rPr/>
        <w:t>highest</w:t>
      </w:r>
      <w:r>
        <w:rPr>
          <w:spacing w:val="-3"/>
        </w:rPr>
        <w:t> </w:t>
      </w:r>
      <w:r>
        <w:rPr/>
        <w:t>LEP</w:t>
      </w:r>
      <w:r>
        <w:rPr>
          <w:spacing w:val="-11"/>
        </w:rPr>
        <w:t> </w:t>
      </w:r>
      <w:r>
        <w:rPr/>
        <w:t>ridership.</w:t>
      </w:r>
    </w:p>
    <w:p>
      <w:pPr>
        <w:pStyle w:val="BodyText"/>
        <w:spacing w:before="10"/>
        <w:rPr>
          <w:sz w:val="19"/>
        </w:rPr>
      </w:pPr>
    </w:p>
    <w:p>
      <w:pPr>
        <w:pStyle w:val="Heading7"/>
        <w:spacing w:before="1"/>
        <w:ind w:left="240"/>
      </w:pPr>
      <w:bookmarkStart w:name="11–20:" w:id="76"/>
      <w:bookmarkEnd w:id="76"/>
      <w:r>
        <w:rPr>
          <w:b w:val="0"/>
        </w:rPr>
      </w:r>
      <w:r>
        <w:rPr>
          <w:spacing w:val="-2"/>
        </w:rPr>
        <w:t>11–20:</w:t>
      </w:r>
    </w:p>
    <w:p>
      <w:pPr>
        <w:pStyle w:val="BodyText"/>
        <w:spacing w:before="9"/>
        <w:rPr>
          <w:b/>
          <w:sz w:val="30"/>
        </w:rPr>
      </w:pPr>
    </w:p>
    <w:p>
      <w:pPr>
        <w:pStyle w:val="BodyText"/>
        <w:spacing w:line="264" w:lineRule="auto"/>
        <w:ind w:left="239" w:right="390"/>
        <w:jc w:val="both"/>
      </w:pPr>
      <w:r>
        <w:rPr/>
        <w:t>Twelve</w:t>
      </w:r>
      <w:r>
        <w:rPr>
          <w:spacing w:val="-14"/>
        </w:rPr>
        <w:t> </w:t>
      </w:r>
      <w:r>
        <w:rPr/>
        <w:t>respondents</w:t>
      </w:r>
      <w:r>
        <w:rPr>
          <w:spacing w:val="-14"/>
        </w:rPr>
        <w:t> </w:t>
      </w:r>
      <w:r>
        <w:rPr/>
        <w:t>including</w:t>
      </w:r>
      <w:r>
        <w:rPr>
          <w:spacing w:val="-13"/>
        </w:rPr>
        <w:t> </w:t>
      </w:r>
      <w:r>
        <w:rPr/>
        <w:t>two</w:t>
      </w:r>
      <w:r>
        <w:rPr>
          <w:spacing w:val="-14"/>
        </w:rPr>
        <w:t> </w:t>
      </w:r>
      <w:r>
        <w:rPr/>
        <w:t>office</w:t>
      </w:r>
      <w:r>
        <w:rPr>
          <w:spacing w:val="-13"/>
        </w:rPr>
        <w:t> </w:t>
      </w:r>
      <w:r>
        <w:rPr/>
        <w:t>staff</w:t>
      </w:r>
      <w:r>
        <w:rPr>
          <w:spacing w:val="-14"/>
        </w:rPr>
        <w:t> </w:t>
      </w:r>
      <w:r>
        <w:rPr/>
        <w:t>and</w:t>
      </w:r>
      <w:r>
        <w:rPr>
          <w:spacing w:val="-13"/>
        </w:rPr>
        <w:t> </w:t>
      </w:r>
      <w:r>
        <w:rPr/>
        <w:t>10</w:t>
      </w:r>
      <w:r>
        <w:rPr>
          <w:spacing w:val="-14"/>
        </w:rPr>
        <w:t> </w:t>
      </w:r>
      <w:r>
        <w:rPr/>
        <w:t>drivers</w:t>
      </w:r>
      <w:r>
        <w:rPr>
          <w:spacing w:val="-14"/>
        </w:rPr>
        <w:t> </w:t>
      </w:r>
      <w:r>
        <w:rPr/>
        <w:t>serving</w:t>
      </w:r>
      <w:r>
        <w:rPr>
          <w:spacing w:val="-13"/>
        </w:rPr>
        <w:t> </w:t>
      </w:r>
      <w:r>
        <w:rPr/>
        <w:t>Biddeford,</w:t>
      </w:r>
      <w:r>
        <w:rPr>
          <w:spacing w:val="-14"/>
        </w:rPr>
        <w:t> </w:t>
      </w:r>
      <w:r>
        <w:rPr/>
        <w:t>Saco,</w:t>
      </w:r>
      <w:r>
        <w:rPr>
          <w:spacing w:val="-13"/>
        </w:rPr>
        <w:t> </w:t>
      </w:r>
      <w:r>
        <w:rPr/>
        <w:t>Old</w:t>
      </w:r>
      <w:r>
        <w:rPr>
          <w:spacing w:val="12"/>
        </w:rPr>
        <w:t> </w:t>
      </w:r>
      <w:r>
        <w:rPr/>
        <w:t>Orchard</w:t>
      </w:r>
      <w:r>
        <w:rPr>
          <w:spacing w:val="-13"/>
        </w:rPr>
        <w:t> </w:t>
      </w:r>
      <w:r>
        <w:rPr/>
        <w:t>Beach,</w:t>
      </w:r>
      <w:r>
        <w:rPr>
          <w:spacing w:val="-14"/>
        </w:rPr>
        <w:t> </w:t>
      </w:r>
      <w:r>
        <w:rPr/>
        <w:t>and Portland came into contact with approximately 11–21 LEP persons in an</w:t>
      </w:r>
      <w:r>
        <w:rPr>
          <w:spacing w:val="40"/>
        </w:rPr>
        <w:t> </w:t>
      </w:r>
      <w:r>
        <w:rPr/>
        <w:t>average week, speaking French, Spanish, African Languages, Vietnamese, Portuguese, Chinese,</w:t>
      </w:r>
      <w:r>
        <w:rPr>
          <w:spacing w:val="80"/>
        </w:rPr>
        <w:t> </w:t>
      </w:r>
      <w:r>
        <w:rPr/>
        <w:t>Russian, Polish, and Japanese. Biddeford, </w:t>
      </w:r>
      <w:r>
        <w:rPr>
          <w:spacing w:val="-2"/>
        </w:rPr>
        <w:t>Saco,</w:t>
      </w:r>
      <w:r>
        <w:rPr>
          <w:spacing w:val="-9"/>
        </w:rPr>
        <w:t> </w:t>
      </w:r>
      <w:r>
        <w:rPr>
          <w:spacing w:val="-2"/>
        </w:rPr>
        <w:t>Old</w:t>
      </w:r>
      <w:r>
        <w:rPr>
          <w:spacing w:val="-8"/>
        </w:rPr>
        <w:t> </w:t>
      </w:r>
      <w:r>
        <w:rPr>
          <w:spacing w:val="-2"/>
        </w:rPr>
        <w:t>Orchard</w:t>
      </w:r>
      <w:r>
        <w:rPr>
          <w:spacing w:val="-8"/>
        </w:rPr>
        <w:t> </w:t>
      </w:r>
      <w:r>
        <w:rPr>
          <w:spacing w:val="-2"/>
        </w:rPr>
        <w:t>Beach,</w:t>
      </w:r>
      <w:r>
        <w:rPr>
          <w:spacing w:val="-9"/>
        </w:rPr>
        <w:t> </w:t>
      </w:r>
      <w:r>
        <w:rPr>
          <w:spacing w:val="-2"/>
        </w:rPr>
        <w:t>Portland,</w:t>
      </w:r>
      <w:r>
        <w:rPr>
          <w:spacing w:val="-6"/>
        </w:rPr>
        <w:t> </w:t>
      </w:r>
      <w:r>
        <w:rPr>
          <w:spacing w:val="-2"/>
        </w:rPr>
        <w:t>and</w:t>
      </w:r>
      <w:r>
        <w:rPr>
          <w:spacing w:val="-10"/>
        </w:rPr>
        <w:t> </w:t>
      </w:r>
      <w:r>
        <w:rPr>
          <w:spacing w:val="-2"/>
        </w:rPr>
        <w:t>Westbrook</w:t>
      </w:r>
      <w:r>
        <w:rPr>
          <w:spacing w:val="80"/>
        </w:rPr>
        <w:t> </w:t>
      </w:r>
      <w:r>
        <w:rPr>
          <w:spacing w:val="-2"/>
        </w:rPr>
        <w:t>routes</w:t>
      </w:r>
      <w:r>
        <w:rPr>
          <w:spacing w:val="-9"/>
        </w:rPr>
        <w:t> </w:t>
      </w:r>
      <w:r>
        <w:rPr>
          <w:spacing w:val="-2"/>
        </w:rPr>
        <w:t>were</w:t>
      </w:r>
      <w:r>
        <w:rPr>
          <w:spacing w:val="-8"/>
        </w:rPr>
        <w:t> </w:t>
      </w:r>
      <w:r>
        <w:rPr>
          <w:spacing w:val="-2"/>
        </w:rPr>
        <w:t>identified</w:t>
      </w:r>
      <w:r>
        <w:rPr>
          <w:spacing w:val="-6"/>
        </w:rPr>
        <w:t> </w:t>
      </w:r>
      <w:r>
        <w:rPr>
          <w:spacing w:val="-2"/>
        </w:rPr>
        <w:t>as</w:t>
      </w:r>
      <w:r>
        <w:rPr>
          <w:spacing w:val="-7"/>
        </w:rPr>
        <w:t> </w:t>
      </w:r>
      <w:r>
        <w:rPr>
          <w:spacing w:val="-2"/>
        </w:rPr>
        <w:t>having</w:t>
      </w:r>
      <w:r>
        <w:rPr>
          <w:spacing w:val="-9"/>
        </w:rPr>
        <w:t> </w:t>
      </w:r>
      <w:r>
        <w:rPr>
          <w:spacing w:val="-2"/>
        </w:rPr>
        <w:t>the</w:t>
      </w:r>
      <w:r>
        <w:rPr>
          <w:spacing w:val="-9"/>
        </w:rPr>
        <w:t> </w:t>
      </w:r>
      <w:r>
        <w:rPr>
          <w:spacing w:val="-2"/>
        </w:rPr>
        <w:t>highest</w:t>
      </w:r>
      <w:r>
        <w:rPr>
          <w:spacing w:val="-8"/>
        </w:rPr>
        <w:t> </w:t>
      </w:r>
      <w:r>
        <w:rPr>
          <w:spacing w:val="-2"/>
        </w:rPr>
        <w:t>LEP</w:t>
      </w:r>
      <w:r>
        <w:rPr>
          <w:spacing w:val="-16"/>
        </w:rPr>
        <w:t> </w:t>
      </w:r>
      <w:r>
        <w:rPr>
          <w:spacing w:val="-2"/>
        </w:rPr>
        <w:t>ridership.</w:t>
      </w:r>
    </w:p>
    <w:p>
      <w:pPr>
        <w:pStyle w:val="Heading7"/>
        <w:spacing w:before="120"/>
      </w:pPr>
      <w:bookmarkStart w:name="21–30:" w:id="77"/>
      <w:bookmarkEnd w:id="77"/>
      <w:r>
        <w:rPr>
          <w:b w:val="0"/>
        </w:rPr>
      </w:r>
      <w:r>
        <w:rPr>
          <w:spacing w:val="-2"/>
        </w:rPr>
        <w:t>21–30:</w:t>
      </w:r>
    </w:p>
    <w:p>
      <w:pPr>
        <w:pStyle w:val="BodyText"/>
        <w:rPr>
          <w:b/>
          <w:sz w:val="31"/>
        </w:rPr>
      </w:pPr>
    </w:p>
    <w:p>
      <w:pPr>
        <w:pStyle w:val="BodyText"/>
        <w:spacing w:line="264" w:lineRule="auto"/>
        <w:ind w:left="120" w:right="331"/>
        <w:jc w:val="both"/>
      </w:pPr>
      <w:r>
        <w:rPr/>
        <w:t>One supervisor and one</w:t>
      </w:r>
      <w:r>
        <w:rPr>
          <w:spacing w:val="-1"/>
        </w:rPr>
        <w:t> </w:t>
      </w:r>
      <w:r>
        <w:rPr/>
        <w:t>driver serving</w:t>
      </w:r>
      <w:r>
        <w:rPr>
          <w:spacing w:val="-2"/>
        </w:rPr>
        <w:t> </w:t>
      </w:r>
      <w:r>
        <w:rPr/>
        <w:t>Portland,</w:t>
      </w:r>
      <w:r>
        <w:rPr>
          <w:spacing w:val="-3"/>
        </w:rPr>
        <w:t> </w:t>
      </w:r>
      <w:r>
        <w:rPr/>
        <w:t>South Portland,</w:t>
      </w:r>
      <w:r>
        <w:rPr>
          <w:spacing w:val="-5"/>
        </w:rPr>
        <w:t> </w:t>
      </w:r>
      <w:r>
        <w:rPr/>
        <w:t>Westbrook,</w:t>
      </w:r>
      <w:r>
        <w:rPr>
          <w:spacing w:val="-1"/>
        </w:rPr>
        <w:t> </w:t>
      </w:r>
      <w:r>
        <w:rPr/>
        <w:t>Scarboro, Falmouth,</w:t>
      </w:r>
      <w:r>
        <w:rPr>
          <w:spacing w:val="80"/>
        </w:rPr>
        <w:t> </w:t>
      </w:r>
      <w:r>
        <w:rPr/>
        <w:t>Windham, Raymond, Casco, Naples and Bridgeton responded that they come into contact with</w:t>
      </w:r>
      <w:r>
        <w:rPr>
          <w:spacing w:val="80"/>
        </w:rPr>
        <w:t> </w:t>
      </w:r>
      <w:r>
        <w:rPr/>
        <w:t>approximately 21–30 riders who speak English less than very well, not well, or not at all via</w:t>
      </w:r>
      <w:r>
        <w:rPr>
          <w:spacing w:val="80"/>
        </w:rPr>
        <w:t> </w:t>
      </w:r>
      <w:r>
        <w:rPr/>
        <w:t>telephone, email, fax, a language line, and in person. No one route was identified as having the</w:t>
      </w:r>
      <w:r>
        <w:rPr>
          <w:spacing w:val="80"/>
        </w:rPr>
        <w:t> </w:t>
      </w:r>
      <w:r>
        <w:rPr/>
        <w:t>highest LEP</w:t>
      </w:r>
      <w:r>
        <w:rPr>
          <w:spacing w:val="-7"/>
        </w:rPr>
        <w:t> </w:t>
      </w:r>
      <w:r>
        <w:rPr/>
        <w:t>ridership.</w:t>
      </w:r>
    </w:p>
    <w:p>
      <w:pPr>
        <w:pStyle w:val="BodyText"/>
      </w:pPr>
    </w:p>
    <w:p>
      <w:pPr>
        <w:pStyle w:val="BodyText"/>
        <w:spacing w:before="6"/>
        <w:rPr>
          <w:sz w:val="29"/>
        </w:rPr>
      </w:pPr>
    </w:p>
    <w:p>
      <w:pPr>
        <w:pStyle w:val="Heading7"/>
      </w:pPr>
      <w:bookmarkStart w:name="31–40:" w:id="78"/>
      <w:bookmarkEnd w:id="78"/>
      <w:r>
        <w:rPr>
          <w:b w:val="0"/>
        </w:rPr>
      </w:r>
      <w:r>
        <w:rPr>
          <w:spacing w:val="-2"/>
        </w:rPr>
        <w:t>31–40:</w:t>
      </w:r>
    </w:p>
    <w:p>
      <w:pPr>
        <w:pStyle w:val="BodyText"/>
        <w:spacing w:before="10"/>
        <w:rPr>
          <w:b/>
          <w:sz w:val="30"/>
        </w:rPr>
      </w:pPr>
    </w:p>
    <w:p>
      <w:pPr>
        <w:pStyle w:val="BodyText"/>
        <w:spacing w:line="264" w:lineRule="auto"/>
        <w:ind w:left="119" w:right="333"/>
        <w:jc w:val="both"/>
      </w:pPr>
      <w:r>
        <w:rPr/>
        <w:t>One</w:t>
      </w:r>
      <w:r>
        <w:rPr>
          <w:spacing w:val="-14"/>
        </w:rPr>
        <w:t> </w:t>
      </w:r>
      <w:r>
        <w:rPr/>
        <w:t>RTP</w:t>
      </w:r>
      <w:r>
        <w:rPr>
          <w:spacing w:val="-14"/>
        </w:rPr>
        <w:t> </w:t>
      </w:r>
      <w:r>
        <w:rPr/>
        <w:t>office</w:t>
      </w:r>
      <w:r>
        <w:rPr>
          <w:spacing w:val="-13"/>
        </w:rPr>
        <w:t> </w:t>
      </w:r>
      <w:r>
        <w:rPr/>
        <w:t>staff,</w:t>
      </w:r>
      <w:r>
        <w:rPr>
          <w:spacing w:val="-14"/>
        </w:rPr>
        <w:t> </w:t>
      </w:r>
      <w:r>
        <w:rPr/>
        <w:t>a</w:t>
      </w:r>
      <w:r>
        <w:rPr>
          <w:spacing w:val="-10"/>
        </w:rPr>
        <w:t> </w:t>
      </w:r>
      <w:r>
        <w:rPr/>
        <w:t>dispatcher,</w:t>
      </w:r>
      <w:r>
        <w:rPr>
          <w:spacing w:val="-14"/>
        </w:rPr>
        <w:t> </w:t>
      </w:r>
      <w:r>
        <w:rPr/>
        <w:t>indicated</w:t>
      </w:r>
      <w:r>
        <w:rPr>
          <w:spacing w:val="-12"/>
        </w:rPr>
        <w:t> </w:t>
      </w:r>
      <w:r>
        <w:rPr/>
        <w:t>that</w:t>
      </w:r>
      <w:r>
        <w:rPr>
          <w:spacing w:val="-12"/>
        </w:rPr>
        <w:t> </w:t>
      </w:r>
      <w:r>
        <w:rPr/>
        <w:t>they</w:t>
      </w:r>
      <w:r>
        <w:rPr>
          <w:spacing w:val="-12"/>
        </w:rPr>
        <w:t> </w:t>
      </w:r>
      <w:r>
        <w:rPr/>
        <w:t>come</w:t>
      </w:r>
      <w:r>
        <w:rPr>
          <w:spacing w:val="-13"/>
        </w:rPr>
        <w:t> </w:t>
      </w:r>
      <w:r>
        <w:rPr/>
        <w:t>in</w:t>
      </w:r>
      <w:r>
        <w:rPr>
          <w:spacing w:val="-13"/>
        </w:rPr>
        <w:t> </w:t>
      </w:r>
      <w:r>
        <w:rPr/>
        <w:t>contact</w:t>
      </w:r>
      <w:r>
        <w:rPr>
          <w:spacing w:val="-13"/>
        </w:rPr>
        <w:t> </w:t>
      </w:r>
      <w:r>
        <w:rPr/>
        <w:t>with</w:t>
      </w:r>
      <w:r>
        <w:rPr>
          <w:spacing w:val="-13"/>
        </w:rPr>
        <w:t> </w:t>
      </w:r>
      <w:r>
        <w:rPr/>
        <w:t>31–40</w:t>
      </w:r>
      <w:r>
        <w:rPr>
          <w:spacing w:val="-13"/>
        </w:rPr>
        <w:t> </w:t>
      </w:r>
      <w:r>
        <w:rPr/>
        <w:t>LEP</w:t>
      </w:r>
      <w:r>
        <w:rPr>
          <w:spacing w:val="40"/>
        </w:rPr>
        <w:t> </w:t>
      </w:r>
      <w:r>
        <w:rPr/>
        <w:t>individuals</w:t>
      </w:r>
      <w:r>
        <w:rPr>
          <w:spacing w:val="-13"/>
        </w:rPr>
        <w:t> </w:t>
      </w:r>
      <w:r>
        <w:rPr/>
        <w:t>in</w:t>
      </w:r>
      <w:r>
        <w:rPr>
          <w:spacing w:val="-13"/>
        </w:rPr>
        <w:t> </w:t>
      </w:r>
      <w:r>
        <w:rPr/>
        <w:t>an</w:t>
      </w:r>
      <w:r>
        <w:rPr>
          <w:spacing w:val="-10"/>
        </w:rPr>
        <w:t> </w:t>
      </w:r>
      <w:r>
        <w:rPr/>
        <w:t>average week either by telephone or in person, who are riding to Lewiston and</w:t>
      </w:r>
      <w:r>
        <w:rPr>
          <w:spacing w:val="80"/>
        </w:rPr>
        <w:t> </w:t>
      </w:r>
      <w:r>
        <w:rPr/>
        <w:t>Auburn.</w:t>
      </w:r>
      <w:r>
        <w:rPr>
          <w:spacing w:val="-2"/>
        </w:rPr>
        <w:t> </w:t>
      </w:r>
      <w:r>
        <w:rPr/>
        <w:t>The languages encountered are French, Vietnamese, Russian, Samoan, and Farsi. No</w:t>
      </w:r>
      <w:r>
        <w:rPr>
          <w:spacing w:val="40"/>
        </w:rPr>
        <w:t> </w:t>
      </w:r>
      <w:r>
        <w:rPr/>
        <w:t>route was identified as having the highest LEP </w:t>
      </w:r>
      <w:r>
        <w:rPr>
          <w:spacing w:val="-2"/>
        </w:rPr>
        <w:t>ridership.</w:t>
      </w:r>
    </w:p>
    <w:p>
      <w:pPr>
        <w:pStyle w:val="BodyText"/>
      </w:pPr>
    </w:p>
    <w:p>
      <w:pPr>
        <w:pStyle w:val="BodyText"/>
        <w:spacing w:before="8"/>
        <w:rPr>
          <w:sz w:val="29"/>
        </w:rPr>
      </w:pPr>
    </w:p>
    <w:p>
      <w:pPr>
        <w:pStyle w:val="Heading7"/>
      </w:pPr>
      <w:bookmarkStart w:name="41–50:" w:id="79"/>
      <w:bookmarkEnd w:id="79"/>
      <w:r>
        <w:rPr>
          <w:b w:val="0"/>
        </w:rPr>
      </w:r>
      <w:r>
        <w:rPr>
          <w:spacing w:val="-2"/>
        </w:rPr>
        <w:t>41–50:</w:t>
      </w:r>
    </w:p>
    <w:p>
      <w:pPr>
        <w:pStyle w:val="BodyText"/>
        <w:spacing w:before="10"/>
        <w:rPr>
          <w:b/>
          <w:sz w:val="30"/>
        </w:rPr>
      </w:pPr>
    </w:p>
    <w:p>
      <w:pPr>
        <w:pStyle w:val="BodyText"/>
        <w:spacing w:line="264" w:lineRule="auto"/>
        <w:ind w:left="120" w:right="417"/>
        <w:jc w:val="both"/>
      </w:pPr>
      <w:r>
        <w:rPr/>
        <w:t>One</w:t>
      </w:r>
      <w:r>
        <w:rPr>
          <w:spacing w:val="-13"/>
        </w:rPr>
        <w:t> </w:t>
      </w:r>
      <w:r>
        <w:rPr/>
        <w:t>RTP</w:t>
      </w:r>
      <w:r>
        <w:rPr>
          <w:spacing w:val="-14"/>
        </w:rPr>
        <w:t> </w:t>
      </w:r>
      <w:r>
        <w:rPr/>
        <w:t>driver,</w:t>
      </w:r>
      <w:r>
        <w:rPr>
          <w:spacing w:val="-7"/>
        </w:rPr>
        <w:t> </w:t>
      </w:r>
      <w:r>
        <w:rPr/>
        <w:t>indicated</w:t>
      </w:r>
      <w:r>
        <w:rPr>
          <w:spacing w:val="-7"/>
        </w:rPr>
        <w:t> </w:t>
      </w:r>
      <w:r>
        <w:rPr/>
        <w:t>that</w:t>
      </w:r>
      <w:r>
        <w:rPr>
          <w:spacing w:val="-7"/>
        </w:rPr>
        <w:t> </w:t>
      </w:r>
      <w:r>
        <w:rPr/>
        <w:t>they</w:t>
      </w:r>
      <w:r>
        <w:rPr>
          <w:spacing w:val="-6"/>
        </w:rPr>
        <w:t> </w:t>
      </w:r>
      <w:r>
        <w:rPr/>
        <w:t>come</w:t>
      </w:r>
      <w:r>
        <w:rPr>
          <w:spacing w:val="-7"/>
        </w:rPr>
        <w:t> </w:t>
      </w:r>
      <w:r>
        <w:rPr/>
        <w:t>in</w:t>
      </w:r>
      <w:r>
        <w:rPr>
          <w:spacing w:val="-7"/>
        </w:rPr>
        <w:t> </w:t>
      </w:r>
      <w:r>
        <w:rPr/>
        <w:t>contact</w:t>
      </w:r>
      <w:r>
        <w:rPr>
          <w:spacing w:val="-7"/>
        </w:rPr>
        <w:t> </w:t>
      </w:r>
      <w:r>
        <w:rPr/>
        <w:t>with</w:t>
      </w:r>
      <w:r>
        <w:rPr>
          <w:spacing w:val="-7"/>
        </w:rPr>
        <w:t> </w:t>
      </w:r>
      <w:r>
        <w:rPr/>
        <w:t>41–50</w:t>
      </w:r>
      <w:r>
        <w:rPr>
          <w:spacing w:val="-7"/>
        </w:rPr>
        <w:t> </w:t>
      </w:r>
      <w:r>
        <w:rPr/>
        <w:t>LEP</w:t>
      </w:r>
      <w:r>
        <w:rPr>
          <w:spacing w:val="-14"/>
        </w:rPr>
        <w:t> </w:t>
      </w:r>
      <w:r>
        <w:rPr/>
        <w:t>individuals</w:t>
      </w:r>
      <w:r>
        <w:rPr>
          <w:spacing w:val="-7"/>
        </w:rPr>
        <w:t> </w:t>
      </w:r>
      <w:r>
        <w:rPr/>
        <w:t>in</w:t>
      </w:r>
      <w:r>
        <w:rPr>
          <w:spacing w:val="-4"/>
        </w:rPr>
        <w:t> </w:t>
      </w:r>
      <w:r>
        <w:rPr/>
        <w:t>an</w:t>
      </w:r>
      <w:r>
        <w:rPr>
          <w:spacing w:val="-7"/>
        </w:rPr>
        <w:t> </w:t>
      </w:r>
      <w:r>
        <w:rPr/>
        <w:t>average</w:t>
      </w:r>
      <w:r>
        <w:rPr>
          <w:spacing w:val="40"/>
        </w:rPr>
        <w:t> </w:t>
      </w:r>
      <w:r>
        <w:rPr/>
        <w:t>week</w:t>
      </w:r>
      <w:r>
        <w:rPr>
          <w:spacing w:val="-9"/>
        </w:rPr>
        <w:t> </w:t>
      </w:r>
      <w:r>
        <w:rPr/>
        <w:t>in</w:t>
      </w:r>
      <w:r>
        <w:rPr>
          <w:spacing w:val="-7"/>
        </w:rPr>
        <w:t> </w:t>
      </w:r>
      <w:r>
        <w:rPr/>
        <w:t>person, traveling</w:t>
      </w:r>
      <w:r>
        <w:rPr>
          <w:spacing w:val="-2"/>
        </w:rPr>
        <w:t> </w:t>
      </w:r>
      <w:r>
        <w:rPr/>
        <w:t>to the greater Portland area, speaking</w:t>
      </w:r>
      <w:r>
        <w:rPr>
          <w:spacing w:val="-7"/>
        </w:rPr>
        <w:t> </w:t>
      </w:r>
      <w:r>
        <w:rPr/>
        <w:t>Vietnamese and Chinese.</w:t>
      </w:r>
      <w:r>
        <w:rPr>
          <w:spacing w:val="-4"/>
        </w:rPr>
        <w:t> </w:t>
      </w:r>
      <w:r>
        <w:rPr/>
        <w:t>The</w:t>
      </w:r>
      <w:r>
        <w:rPr>
          <w:spacing w:val="80"/>
        </w:rPr>
        <w:t> </w:t>
      </w:r>
      <w:r>
        <w:rPr/>
        <w:t>Portland</w:t>
      </w:r>
      <w:r>
        <w:rPr>
          <w:spacing w:val="-1"/>
        </w:rPr>
        <w:t> </w:t>
      </w:r>
      <w:r>
        <w:rPr/>
        <w:t>route was identified as having the highest LEP ridership.</w:t>
      </w:r>
    </w:p>
    <w:p>
      <w:pPr>
        <w:pStyle w:val="BodyText"/>
      </w:pPr>
    </w:p>
    <w:p>
      <w:pPr>
        <w:pStyle w:val="BodyText"/>
        <w:spacing w:before="6"/>
        <w:rPr>
          <w:sz w:val="29"/>
        </w:rPr>
      </w:pPr>
    </w:p>
    <w:p>
      <w:pPr>
        <w:spacing w:before="0"/>
        <w:ind w:left="120" w:right="0" w:firstLine="0"/>
        <w:jc w:val="both"/>
        <w:rPr>
          <w:b/>
          <w:sz w:val="24"/>
        </w:rPr>
      </w:pPr>
      <w:bookmarkStart w:name="Region 7" w:id="80"/>
      <w:bookmarkEnd w:id="80"/>
      <w:r>
        <w:rPr/>
      </w:r>
      <w:r>
        <w:rPr>
          <w:b/>
          <w:spacing w:val="-2"/>
          <w:sz w:val="24"/>
          <w:u w:val="single"/>
        </w:rPr>
        <w:t>Region</w:t>
      </w:r>
      <w:r>
        <w:rPr>
          <w:b/>
          <w:spacing w:val="-4"/>
          <w:sz w:val="24"/>
          <w:u w:val="single"/>
        </w:rPr>
        <w:t> </w:t>
      </w:r>
      <w:r>
        <w:rPr>
          <w:b/>
          <w:spacing w:val="-10"/>
          <w:sz w:val="24"/>
          <w:u w:val="single"/>
        </w:rPr>
        <w:t>7</w:t>
      </w:r>
    </w:p>
    <w:p>
      <w:pPr>
        <w:pStyle w:val="BodyText"/>
        <w:spacing w:before="10"/>
        <w:rPr>
          <w:b/>
          <w:sz w:val="15"/>
        </w:rPr>
      </w:pPr>
    </w:p>
    <w:p>
      <w:pPr>
        <w:pStyle w:val="Heading7"/>
        <w:spacing w:before="47"/>
      </w:pPr>
      <w:bookmarkStart w:name="Zero:" w:id="81"/>
      <w:bookmarkEnd w:id="81"/>
      <w:r>
        <w:rPr>
          <w:b w:val="0"/>
        </w:rPr>
      </w:r>
      <w:r>
        <w:rPr>
          <w:spacing w:val="-2"/>
        </w:rPr>
        <w:t>Zero:</w:t>
      </w:r>
    </w:p>
    <w:p>
      <w:pPr>
        <w:spacing w:after="0"/>
        <w:sectPr>
          <w:pgSz w:w="12240" w:h="15840"/>
          <w:pgMar w:header="0" w:footer="1023" w:top="960" w:bottom="1260" w:left="600" w:right="500"/>
        </w:sectPr>
      </w:pPr>
    </w:p>
    <w:p>
      <w:pPr>
        <w:pStyle w:val="BodyText"/>
        <w:spacing w:line="264" w:lineRule="auto" w:before="35"/>
        <w:ind w:left="120" w:right="362"/>
        <w:jc w:val="both"/>
      </w:pPr>
      <w:r>
        <w:rPr>
          <w:spacing w:val="-2"/>
        </w:rPr>
        <w:t>Region</w:t>
      </w:r>
      <w:r>
        <w:rPr>
          <w:spacing w:val="-12"/>
        </w:rPr>
        <w:t> </w:t>
      </w:r>
      <w:r>
        <w:rPr>
          <w:spacing w:val="-2"/>
        </w:rPr>
        <w:t>7’s</w:t>
      </w:r>
      <w:r>
        <w:rPr>
          <w:spacing w:val="-12"/>
        </w:rPr>
        <w:t> </w:t>
      </w:r>
      <w:r>
        <w:rPr>
          <w:spacing w:val="-2"/>
        </w:rPr>
        <w:t>Western</w:t>
      </w:r>
      <w:r>
        <w:rPr>
          <w:spacing w:val="-10"/>
        </w:rPr>
        <w:t> </w:t>
      </w:r>
      <w:r>
        <w:rPr>
          <w:spacing w:val="-2"/>
        </w:rPr>
        <w:t>Maine</w:t>
      </w:r>
      <w:r>
        <w:rPr>
          <w:spacing w:val="-10"/>
        </w:rPr>
        <w:t> </w:t>
      </w:r>
      <w:r>
        <w:rPr>
          <w:spacing w:val="-2"/>
        </w:rPr>
        <w:t>Transportation</w:t>
      </w:r>
      <w:r>
        <w:rPr>
          <w:spacing w:val="-7"/>
        </w:rPr>
        <w:t> </w:t>
      </w:r>
      <w:r>
        <w:rPr>
          <w:spacing w:val="-2"/>
        </w:rPr>
        <w:t>(WMTS)</w:t>
      </w:r>
      <w:r>
        <w:rPr>
          <w:spacing w:val="-9"/>
        </w:rPr>
        <w:t> </w:t>
      </w:r>
      <w:r>
        <w:rPr>
          <w:spacing w:val="-2"/>
        </w:rPr>
        <w:t>had</w:t>
      </w:r>
      <w:r>
        <w:rPr>
          <w:spacing w:val="-7"/>
        </w:rPr>
        <w:t> </w:t>
      </w:r>
      <w:r>
        <w:rPr>
          <w:spacing w:val="-2"/>
        </w:rPr>
        <w:t>20</w:t>
      </w:r>
      <w:r>
        <w:rPr>
          <w:spacing w:val="-8"/>
        </w:rPr>
        <w:t> </w:t>
      </w:r>
      <w:r>
        <w:rPr>
          <w:spacing w:val="-2"/>
        </w:rPr>
        <w:t>respondents</w:t>
      </w:r>
      <w:r>
        <w:rPr>
          <w:spacing w:val="-9"/>
        </w:rPr>
        <w:t> </w:t>
      </w:r>
      <w:r>
        <w:rPr>
          <w:spacing w:val="-2"/>
        </w:rPr>
        <w:t>including</w:t>
      </w:r>
      <w:r>
        <w:rPr>
          <w:spacing w:val="-9"/>
        </w:rPr>
        <w:t> </w:t>
      </w:r>
      <w:r>
        <w:rPr>
          <w:spacing w:val="-2"/>
        </w:rPr>
        <w:t>one</w:t>
      </w:r>
      <w:r>
        <w:rPr>
          <w:spacing w:val="-8"/>
        </w:rPr>
        <w:t> </w:t>
      </w:r>
      <w:r>
        <w:rPr>
          <w:spacing w:val="-2"/>
        </w:rPr>
        <w:t>office</w:t>
      </w:r>
      <w:r>
        <w:rPr>
          <w:spacing w:val="-8"/>
        </w:rPr>
        <w:t> </w:t>
      </w:r>
      <w:r>
        <w:rPr>
          <w:spacing w:val="-2"/>
        </w:rPr>
        <w:t>staff</w:t>
      </w:r>
      <w:r>
        <w:rPr>
          <w:spacing w:val="61"/>
        </w:rPr>
        <w:t> </w:t>
      </w:r>
      <w:r>
        <w:rPr>
          <w:spacing w:val="-2"/>
        </w:rPr>
        <w:t>and</w:t>
      </w:r>
      <w:r>
        <w:rPr>
          <w:spacing w:val="-4"/>
        </w:rPr>
        <w:t> </w:t>
      </w:r>
      <w:r>
        <w:rPr>
          <w:spacing w:val="-2"/>
        </w:rPr>
        <w:t>one</w:t>
      </w:r>
      <w:r>
        <w:rPr>
          <w:spacing w:val="-8"/>
        </w:rPr>
        <w:t> </w:t>
      </w:r>
      <w:r>
        <w:rPr>
          <w:spacing w:val="-2"/>
        </w:rPr>
        <w:t>driver </w:t>
      </w:r>
      <w:r>
        <w:rPr/>
        <w:t>with no frequency of contact provided, and one driver serving Oxford, Norway,</w:t>
      </w:r>
      <w:r>
        <w:rPr>
          <w:spacing w:val="40"/>
        </w:rPr>
        <w:t> </w:t>
      </w:r>
      <w:r>
        <w:rPr/>
        <w:t>West Paris, South Paris and Rumford</w:t>
      </w:r>
      <w:r>
        <w:rPr>
          <w:spacing w:val="-14"/>
        </w:rPr>
        <w:t> </w:t>
      </w:r>
      <w:r>
        <w:rPr/>
        <w:t>who</w:t>
      </w:r>
      <w:r>
        <w:rPr>
          <w:spacing w:val="-14"/>
        </w:rPr>
        <w:t> </w:t>
      </w:r>
      <w:r>
        <w:rPr/>
        <w:t>indicated</w:t>
      </w:r>
      <w:r>
        <w:rPr>
          <w:spacing w:val="-13"/>
        </w:rPr>
        <w:t> </w:t>
      </w:r>
      <w:r>
        <w:rPr/>
        <w:t>that</w:t>
      </w:r>
      <w:r>
        <w:rPr>
          <w:spacing w:val="-14"/>
        </w:rPr>
        <w:t> </w:t>
      </w:r>
      <w:r>
        <w:rPr/>
        <w:t>they</w:t>
      </w:r>
      <w:r>
        <w:rPr>
          <w:spacing w:val="-13"/>
        </w:rPr>
        <w:t> </w:t>
      </w:r>
      <w:r>
        <w:rPr/>
        <w:t>encountered</w:t>
      </w:r>
      <w:r>
        <w:rPr>
          <w:spacing w:val="-14"/>
        </w:rPr>
        <w:t> </w:t>
      </w:r>
      <w:r>
        <w:rPr/>
        <w:t>no</w:t>
      </w:r>
      <w:r>
        <w:rPr>
          <w:spacing w:val="-13"/>
        </w:rPr>
        <w:t> </w:t>
      </w:r>
      <w:r>
        <w:rPr/>
        <w:t>LEP</w:t>
      </w:r>
      <w:r>
        <w:rPr>
          <w:spacing w:val="-14"/>
        </w:rPr>
        <w:t> </w:t>
      </w:r>
      <w:r>
        <w:rPr/>
        <w:t>persons</w:t>
      </w:r>
      <w:r>
        <w:rPr>
          <w:spacing w:val="-14"/>
        </w:rPr>
        <w:t> </w:t>
      </w:r>
      <w:r>
        <w:rPr/>
        <w:t>in</w:t>
      </w:r>
      <w:r>
        <w:rPr>
          <w:spacing w:val="-13"/>
        </w:rPr>
        <w:t> </w:t>
      </w:r>
      <w:r>
        <w:rPr/>
        <w:t>the</w:t>
      </w:r>
      <w:r>
        <w:rPr>
          <w:spacing w:val="-14"/>
        </w:rPr>
        <w:t> </w:t>
      </w:r>
      <w:r>
        <w:rPr/>
        <w:t>average</w:t>
      </w:r>
      <w:r>
        <w:rPr>
          <w:spacing w:val="-13"/>
        </w:rPr>
        <w:t> </w:t>
      </w:r>
      <w:r>
        <w:rPr/>
        <w:t>week,</w:t>
      </w:r>
      <w:r>
        <w:rPr>
          <w:spacing w:val="-14"/>
        </w:rPr>
        <w:t> </w:t>
      </w:r>
      <w:r>
        <w:rPr/>
        <w:t>and</w:t>
      </w:r>
      <w:r>
        <w:rPr>
          <w:spacing w:val="-13"/>
        </w:rPr>
        <w:t> </w:t>
      </w:r>
      <w:r>
        <w:rPr/>
        <w:t>provided</w:t>
      </w:r>
      <w:r>
        <w:rPr>
          <w:spacing w:val="-14"/>
        </w:rPr>
        <w:t> </w:t>
      </w:r>
      <w:r>
        <w:rPr/>
        <w:t>no</w:t>
      </w:r>
      <w:r>
        <w:rPr>
          <w:spacing w:val="-14"/>
        </w:rPr>
        <w:t> </w:t>
      </w:r>
      <w:r>
        <w:rPr/>
        <w:t>additional responses to the survey.</w:t>
      </w:r>
    </w:p>
    <w:p>
      <w:pPr>
        <w:pStyle w:val="BodyText"/>
        <w:spacing w:before="8"/>
        <w:rPr>
          <w:sz w:val="19"/>
        </w:rPr>
      </w:pPr>
    </w:p>
    <w:p>
      <w:pPr>
        <w:pStyle w:val="Heading7"/>
      </w:pPr>
      <w:bookmarkStart w:name="1–10:" w:id="82"/>
      <w:bookmarkEnd w:id="82"/>
      <w:r>
        <w:rPr>
          <w:b w:val="0"/>
        </w:rPr>
      </w:r>
      <w:r>
        <w:rPr>
          <w:spacing w:val="-2"/>
        </w:rPr>
        <w:t>1–10:</w:t>
      </w:r>
    </w:p>
    <w:p>
      <w:pPr>
        <w:pStyle w:val="BodyText"/>
        <w:rPr>
          <w:b/>
          <w:sz w:val="31"/>
        </w:rPr>
      </w:pPr>
    </w:p>
    <w:p>
      <w:pPr>
        <w:pStyle w:val="BodyText"/>
        <w:spacing w:line="264" w:lineRule="auto"/>
        <w:ind w:left="120" w:right="419"/>
        <w:jc w:val="both"/>
      </w:pPr>
      <w:r>
        <w:rPr/>
        <w:t>One office staff and 11 drivers serving Lewiston, Auburn, Androscoggin, Farmington, Wilton,</w:t>
      </w:r>
      <w:r>
        <w:rPr>
          <w:spacing w:val="40"/>
        </w:rPr>
        <w:t> </w:t>
      </w:r>
      <w:r>
        <w:rPr/>
        <w:t>and Jay responded</w:t>
      </w:r>
      <w:r>
        <w:rPr>
          <w:spacing w:val="-4"/>
        </w:rPr>
        <w:t> </w:t>
      </w:r>
      <w:r>
        <w:rPr/>
        <w:t>that</w:t>
      </w:r>
      <w:r>
        <w:rPr>
          <w:spacing w:val="-7"/>
        </w:rPr>
        <w:t> </w:t>
      </w:r>
      <w:r>
        <w:rPr/>
        <w:t>they</w:t>
      </w:r>
      <w:r>
        <w:rPr>
          <w:spacing w:val="-4"/>
        </w:rPr>
        <w:t> </w:t>
      </w:r>
      <w:r>
        <w:rPr/>
        <w:t>come</w:t>
      </w:r>
      <w:r>
        <w:rPr>
          <w:spacing w:val="-5"/>
        </w:rPr>
        <w:t> </w:t>
      </w:r>
      <w:r>
        <w:rPr/>
        <w:t>into</w:t>
      </w:r>
      <w:r>
        <w:rPr>
          <w:spacing w:val="-5"/>
        </w:rPr>
        <w:t> </w:t>
      </w:r>
      <w:r>
        <w:rPr/>
        <w:t>contact</w:t>
      </w:r>
      <w:r>
        <w:rPr>
          <w:spacing w:val="-4"/>
        </w:rPr>
        <w:t> </w:t>
      </w:r>
      <w:r>
        <w:rPr/>
        <w:t>with</w:t>
      </w:r>
      <w:r>
        <w:rPr>
          <w:spacing w:val="-4"/>
        </w:rPr>
        <w:t> </w:t>
      </w:r>
      <w:r>
        <w:rPr/>
        <w:t>approximately</w:t>
      </w:r>
      <w:r>
        <w:rPr>
          <w:spacing w:val="-6"/>
        </w:rPr>
        <w:t> </w:t>
      </w:r>
      <w:r>
        <w:rPr/>
        <w:t>1–10</w:t>
      </w:r>
      <w:r>
        <w:rPr>
          <w:spacing w:val="-5"/>
        </w:rPr>
        <w:t> </w:t>
      </w:r>
      <w:r>
        <w:rPr/>
        <w:t>LEP</w:t>
      </w:r>
      <w:r>
        <w:rPr>
          <w:spacing w:val="-13"/>
        </w:rPr>
        <w:t> </w:t>
      </w:r>
      <w:r>
        <w:rPr/>
        <w:t>persons</w:t>
      </w:r>
      <w:r>
        <w:rPr>
          <w:spacing w:val="-6"/>
        </w:rPr>
        <w:t> </w:t>
      </w:r>
      <w:r>
        <w:rPr/>
        <w:t>per</w:t>
      </w:r>
      <w:r>
        <w:rPr>
          <w:spacing w:val="-5"/>
        </w:rPr>
        <w:t> </w:t>
      </w:r>
      <w:r>
        <w:rPr/>
        <w:t>week</w:t>
      </w:r>
      <w:r>
        <w:rPr>
          <w:spacing w:val="40"/>
        </w:rPr>
        <w:t> </w:t>
      </w:r>
      <w:r>
        <w:rPr/>
        <w:t>either</w:t>
      </w:r>
      <w:r>
        <w:rPr>
          <w:spacing w:val="-3"/>
        </w:rPr>
        <w:t> </w:t>
      </w:r>
      <w:r>
        <w:rPr/>
        <w:t>in</w:t>
      </w:r>
      <w:r>
        <w:rPr>
          <w:spacing w:val="-4"/>
        </w:rPr>
        <w:t> </w:t>
      </w:r>
      <w:r>
        <w:rPr/>
        <w:t>person</w:t>
      </w:r>
      <w:r>
        <w:rPr>
          <w:spacing w:val="-4"/>
        </w:rPr>
        <w:t> </w:t>
      </w:r>
      <w:r>
        <w:rPr/>
        <w:t>(all), on</w:t>
      </w:r>
      <w:r>
        <w:rPr>
          <w:spacing w:val="-14"/>
        </w:rPr>
        <w:t> </w:t>
      </w:r>
      <w:r>
        <w:rPr/>
        <w:t>the</w:t>
      </w:r>
      <w:r>
        <w:rPr>
          <w:spacing w:val="-14"/>
        </w:rPr>
        <w:t> </w:t>
      </w:r>
      <w:r>
        <w:rPr/>
        <w:t>phone</w:t>
      </w:r>
      <w:r>
        <w:rPr>
          <w:spacing w:val="-12"/>
        </w:rPr>
        <w:t> </w:t>
      </w:r>
      <w:r>
        <w:rPr/>
        <w:t>(one),</w:t>
      </w:r>
      <w:r>
        <w:rPr>
          <w:spacing w:val="-12"/>
        </w:rPr>
        <w:t> </w:t>
      </w:r>
      <w:r>
        <w:rPr/>
        <w:t>speaking</w:t>
      </w:r>
      <w:r>
        <w:rPr>
          <w:spacing w:val="-12"/>
        </w:rPr>
        <w:t> </w:t>
      </w:r>
      <w:r>
        <w:rPr/>
        <w:t>French,</w:t>
      </w:r>
      <w:r>
        <w:rPr>
          <w:spacing w:val="-12"/>
        </w:rPr>
        <w:t> </w:t>
      </w:r>
      <w:r>
        <w:rPr/>
        <w:t>Spanish,</w:t>
      </w:r>
      <w:r>
        <w:rPr>
          <w:spacing w:val="-14"/>
        </w:rPr>
        <w:t> </w:t>
      </w:r>
      <w:r>
        <w:rPr/>
        <w:t>African</w:t>
      </w:r>
      <w:r>
        <w:rPr>
          <w:spacing w:val="-8"/>
        </w:rPr>
        <w:t> </w:t>
      </w:r>
      <w:r>
        <w:rPr/>
        <w:t>Languages,</w:t>
      </w:r>
      <w:r>
        <w:rPr>
          <w:spacing w:val="68"/>
        </w:rPr>
        <w:t> </w:t>
      </w:r>
      <w:r>
        <w:rPr/>
        <w:t>Vietnamese,</w:t>
      </w:r>
      <w:r>
        <w:rPr>
          <w:spacing w:val="-13"/>
        </w:rPr>
        <w:t> </w:t>
      </w:r>
      <w:r>
        <w:rPr/>
        <w:t>Portuguese,</w:t>
      </w:r>
      <w:r>
        <w:rPr>
          <w:spacing w:val="-13"/>
        </w:rPr>
        <w:t> </w:t>
      </w:r>
      <w:r>
        <w:rPr/>
        <w:t>Chinese,</w:t>
      </w:r>
      <w:r>
        <w:rPr>
          <w:spacing w:val="-9"/>
        </w:rPr>
        <w:t> </w:t>
      </w:r>
      <w:r>
        <w:rPr/>
        <w:t>Russian, Thai, Korean, and Hindi.</w:t>
      </w:r>
      <w:r>
        <w:rPr>
          <w:spacing w:val="-3"/>
        </w:rPr>
        <w:t> </w:t>
      </w:r>
      <w:r>
        <w:rPr/>
        <w:t>The routes identified as</w:t>
      </w:r>
      <w:r>
        <w:rPr>
          <w:spacing w:val="80"/>
        </w:rPr>
        <w:t> </w:t>
      </w:r>
      <w:r>
        <w:rPr/>
        <w:t>having the highest LEP</w:t>
      </w:r>
      <w:r>
        <w:rPr>
          <w:spacing w:val="-6"/>
        </w:rPr>
        <w:t> </w:t>
      </w:r>
      <w:r>
        <w:rPr/>
        <w:t>ridership are College Street, Lisbon Street, Sabattus Street, Shuttles, and</w:t>
      </w:r>
      <w:r>
        <w:rPr>
          <w:spacing w:val="80"/>
        </w:rPr>
        <w:t> </w:t>
      </w:r>
      <w:r>
        <w:rPr/>
        <w:t>Auburn and Lewiston.</w:t>
      </w:r>
    </w:p>
    <w:p>
      <w:pPr>
        <w:pStyle w:val="BodyText"/>
        <w:spacing w:before="7"/>
        <w:rPr>
          <w:sz w:val="19"/>
        </w:rPr>
      </w:pPr>
    </w:p>
    <w:p>
      <w:pPr>
        <w:pStyle w:val="Heading7"/>
      </w:pPr>
      <w:bookmarkStart w:name="11–20:" w:id="83"/>
      <w:bookmarkEnd w:id="83"/>
      <w:r>
        <w:rPr>
          <w:b w:val="0"/>
        </w:rPr>
      </w:r>
      <w:r>
        <w:rPr>
          <w:spacing w:val="-2"/>
        </w:rPr>
        <w:t>11–20:</w:t>
      </w:r>
    </w:p>
    <w:p>
      <w:pPr>
        <w:pStyle w:val="BodyText"/>
        <w:spacing w:before="10"/>
        <w:rPr>
          <w:b/>
          <w:sz w:val="30"/>
        </w:rPr>
      </w:pPr>
    </w:p>
    <w:p>
      <w:pPr>
        <w:pStyle w:val="BodyText"/>
        <w:spacing w:line="264" w:lineRule="auto"/>
        <w:ind w:left="120" w:right="401"/>
        <w:jc w:val="both"/>
      </w:pPr>
      <w:r>
        <w:rPr/>
        <w:t>Two office staff and two drivers serving Lewiston,</w:t>
      </w:r>
      <w:r>
        <w:rPr>
          <w:spacing w:val="-8"/>
        </w:rPr>
        <w:t> </w:t>
      </w:r>
      <w:r>
        <w:rPr/>
        <w:t>Auburn, Farmington, and Sugarloaf</w:t>
      </w:r>
      <w:r>
        <w:rPr>
          <w:spacing w:val="80"/>
        </w:rPr>
        <w:t> </w:t>
      </w:r>
      <w:r>
        <w:rPr/>
        <w:t>responded that they come</w:t>
      </w:r>
      <w:r>
        <w:rPr>
          <w:spacing w:val="-7"/>
        </w:rPr>
        <w:t> </w:t>
      </w:r>
      <w:r>
        <w:rPr/>
        <w:t>into</w:t>
      </w:r>
      <w:r>
        <w:rPr>
          <w:spacing w:val="-6"/>
        </w:rPr>
        <w:t> </w:t>
      </w:r>
      <w:r>
        <w:rPr/>
        <w:t>contact</w:t>
      </w:r>
      <w:r>
        <w:rPr>
          <w:spacing w:val="-8"/>
        </w:rPr>
        <w:t> </w:t>
      </w:r>
      <w:r>
        <w:rPr/>
        <w:t>with</w:t>
      </w:r>
      <w:r>
        <w:rPr>
          <w:spacing w:val="-8"/>
        </w:rPr>
        <w:t> </w:t>
      </w:r>
      <w:r>
        <w:rPr/>
        <w:t>approximately</w:t>
      </w:r>
      <w:r>
        <w:rPr>
          <w:spacing w:val="-5"/>
        </w:rPr>
        <w:t> </w:t>
      </w:r>
      <w:r>
        <w:rPr/>
        <w:t>11–20</w:t>
      </w:r>
      <w:r>
        <w:rPr>
          <w:spacing w:val="-9"/>
        </w:rPr>
        <w:t> </w:t>
      </w:r>
      <w:r>
        <w:rPr/>
        <w:t>LEP</w:t>
      </w:r>
      <w:r>
        <w:rPr>
          <w:spacing w:val="-14"/>
        </w:rPr>
        <w:t> </w:t>
      </w:r>
      <w:r>
        <w:rPr/>
        <w:t>persons</w:t>
      </w:r>
      <w:r>
        <w:rPr>
          <w:spacing w:val="-9"/>
        </w:rPr>
        <w:t> </w:t>
      </w:r>
      <w:r>
        <w:rPr/>
        <w:t>per</w:t>
      </w:r>
      <w:r>
        <w:rPr>
          <w:spacing w:val="-7"/>
        </w:rPr>
        <w:t> </w:t>
      </w:r>
      <w:r>
        <w:rPr/>
        <w:t>week</w:t>
      </w:r>
      <w:r>
        <w:rPr>
          <w:spacing w:val="-8"/>
        </w:rPr>
        <w:t> </w:t>
      </w:r>
      <w:r>
        <w:rPr/>
        <w:t>either</w:t>
      </w:r>
      <w:r>
        <w:rPr>
          <w:spacing w:val="-9"/>
        </w:rPr>
        <w:t> </w:t>
      </w:r>
      <w:r>
        <w:rPr/>
        <w:t>in</w:t>
      </w:r>
      <w:r>
        <w:rPr>
          <w:spacing w:val="-6"/>
        </w:rPr>
        <w:t> </w:t>
      </w:r>
      <w:r>
        <w:rPr/>
        <w:t>person</w:t>
      </w:r>
      <w:r>
        <w:rPr>
          <w:spacing w:val="-6"/>
        </w:rPr>
        <w:t> </w:t>
      </w:r>
      <w:r>
        <w:rPr/>
        <w:t>or</w:t>
      </w:r>
      <w:r>
        <w:rPr>
          <w:spacing w:val="-7"/>
        </w:rPr>
        <w:t> </w:t>
      </w:r>
      <w:r>
        <w:rPr/>
        <w:t>on</w:t>
      </w:r>
      <w:r>
        <w:rPr>
          <w:spacing w:val="-8"/>
        </w:rPr>
        <w:t> </w:t>
      </w:r>
      <w:r>
        <w:rPr/>
        <w:t>the</w:t>
      </w:r>
      <w:r>
        <w:rPr>
          <w:spacing w:val="-6"/>
        </w:rPr>
        <w:t> </w:t>
      </w:r>
      <w:r>
        <w:rPr/>
        <w:t>phone</w:t>
      </w:r>
      <w:r>
        <w:rPr>
          <w:spacing w:val="-4"/>
        </w:rPr>
        <w:t> </w:t>
      </w:r>
      <w:r>
        <w:rPr/>
        <w:t>speaking French,</w:t>
      </w:r>
      <w:r>
        <w:rPr>
          <w:spacing w:val="-14"/>
        </w:rPr>
        <w:t> </w:t>
      </w:r>
      <w:r>
        <w:rPr/>
        <w:t>African</w:t>
      </w:r>
      <w:r>
        <w:rPr>
          <w:spacing w:val="-4"/>
        </w:rPr>
        <w:t> </w:t>
      </w:r>
      <w:r>
        <w:rPr/>
        <w:t>Languages,</w:t>
      </w:r>
      <w:r>
        <w:rPr>
          <w:spacing w:val="-1"/>
        </w:rPr>
        <w:t> </w:t>
      </w:r>
      <w:r>
        <w:rPr/>
        <w:t>and Somali.</w:t>
      </w:r>
      <w:r>
        <w:rPr>
          <w:spacing w:val="-5"/>
        </w:rPr>
        <w:t> </w:t>
      </w:r>
      <w:r>
        <w:rPr/>
        <w:t>The City</w:t>
      </w:r>
      <w:r>
        <w:rPr>
          <w:spacing w:val="-1"/>
        </w:rPr>
        <w:t> </w:t>
      </w:r>
      <w:r>
        <w:rPr/>
        <w:t>Link and</w:t>
      </w:r>
      <w:r>
        <w:rPr>
          <w:spacing w:val="40"/>
        </w:rPr>
        <w:t> </w:t>
      </w:r>
      <w:r>
        <w:rPr/>
        <w:t>College Street routes</w:t>
      </w:r>
      <w:r>
        <w:rPr>
          <w:spacing w:val="-1"/>
        </w:rPr>
        <w:t> </w:t>
      </w:r>
      <w:r>
        <w:rPr/>
        <w:t>were identified as having</w:t>
      </w:r>
      <w:r>
        <w:rPr>
          <w:spacing w:val="-3"/>
        </w:rPr>
        <w:t> </w:t>
      </w:r>
      <w:r>
        <w:rPr/>
        <w:t>the highest LEP ridership.</w:t>
      </w:r>
    </w:p>
    <w:p>
      <w:pPr>
        <w:pStyle w:val="BodyText"/>
      </w:pPr>
    </w:p>
    <w:p>
      <w:pPr>
        <w:pStyle w:val="BodyText"/>
        <w:spacing w:before="8"/>
        <w:rPr>
          <w:sz w:val="29"/>
        </w:rPr>
      </w:pPr>
    </w:p>
    <w:p>
      <w:pPr>
        <w:pStyle w:val="Heading7"/>
      </w:pPr>
      <w:bookmarkStart w:name="31–40:" w:id="84"/>
      <w:bookmarkEnd w:id="84"/>
      <w:r>
        <w:rPr>
          <w:b w:val="0"/>
        </w:rPr>
      </w:r>
      <w:r>
        <w:rPr>
          <w:spacing w:val="-2"/>
        </w:rPr>
        <w:t>31–40:</w:t>
      </w:r>
    </w:p>
    <w:p>
      <w:pPr>
        <w:pStyle w:val="BodyText"/>
        <w:spacing w:before="10"/>
        <w:rPr>
          <w:b/>
          <w:sz w:val="30"/>
        </w:rPr>
      </w:pPr>
    </w:p>
    <w:p>
      <w:pPr>
        <w:pStyle w:val="BodyText"/>
        <w:spacing w:line="264" w:lineRule="auto"/>
        <w:ind w:left="119" w:right="331"/>
        <w:jc w:val="both"/>
      </w:pPr>
      <w:r>
        <w:rPr/>
        <w:t>One</w:t>
      </w:r>
      <w:r>
        <w:rPr>
          <w:spacing w:val="-14"/>
        </w:rPr>
        <w:t> </w:t>
      </w:r>
      <w:r>
        <w:rPr/>
        <w:t>driver</w:t>
      </w:r>
      <w:r>
        <w:rPr>
          <w:spacing w:val="-14"/>
        </w:rPr>
        <w:t> </w:t>
      </w:r>
      <w:r>
        <w:rPr/>
        <w:t>serving</w:t>
      </w:r>
      <w:r>
        <w:rPr>
          <w:spacing w:val="-13"/>
        </w:rPr>
        <w:t> </w:t>
      </w:r>
      <w:r>
        <w:rPr/>
        <w:t>Lewiston</w:t>
      </w:r>
      <w:r>
        <w:rPr>
          <w:spacing w:val="-14"/>
        </w:rPr>
        <w:t> </w:t>
      </w:r>
      <w:r>
        <w:rPr/>
        <w:t>and</w:t>
      </w:r>
      <w:r>
        <w:rPr>
          <w:spacing w:val="-13"/>
        </w:rPr>
        <w:t> </w:t>
      </w:r>
      <w:r>
        <w:rPr/>
        <w:t>Auburn</w:t>
      </w:r>
      <w:r>
        <w:rPr>
          <w:spacing w:val="-14"/>
        </w:rPr>
        <w:t> </w:t>
      </w:r>
      <w:r>
        <w:rPr/>
        <w:t>responded</w:t>
      </w:r>
      <w:r>
        <w:rPr>
          <w:spacing w:val="-13"/>
        </w:rPr>
        <w:t> </w:t>
      </w:r>
      <w:r>
        <w:rPr/>
        <w:t>that</w:t>
      </w:r>
      <w:r>
        <w:rPr>
          <w:spacing w:val="-14"/>
        </w:rPr>
        <w:t> </w:t>
      </w:r>
      <w:r>
        <w:rPr/>
        <w:t>they</w:t>
      </w:r>
      <w:r>
        <w:rPr>
          <w:spacing w:val="-14"/>
        </w:rPr>
        <w:t> </w:t>
      </w:r>
      <w:r>
        <w:rPr/>
        <w:t>come</w:t>
      </w:r>
      <w:r>
        <w:rPr>
          <w:spacing w:val="-13"/>
        </w:rPr>
        <w:t> </w:t>
      </w:r>
      <w:r>
        <w:rPr/>
        <w:t>into</w:t>
      </w:r>
      <w:r>
        <w:rPr>
          <w:spacing w:val="-14"/>
        </w:rPr>
        <w:t> </w:t>
      </w:r>
      <w:r>
        <w:rPr/>
        <w:t>contact</w:t>
      </w:r>
      <w:r>
        <w:rPr>
          <w:spacing w:val="-13"/>
        </w:rPr>
        <w:t> </w:t>
      </w:r>
      <w:r>
        <w:rPr/>
        <w:t>with</w:t>
      </w:r>
      <w:r>
        <w:rPr>
          <w:spacing w:val="40"/>
        </w:rPr>
        <w:t> </w:t>
      </w:r>
      <w:r>
        <w:rPr/>
        <w:t>approximately</w:t>
      </w:r>
      <w:r>
        <w:rPr>
          <w:spacing w:val="-11"/>
        </w:rPr>
        <w:t> </w:t>
      </w:r>
      <w:r>
        <w:rPr/>
        <w:t>31–40</w:t>
      </w:r>
      <w:r>
        <w:rPr>
          <w:spacing w:val="-14"/>
        </w:rPr>
        <w:t> </w:t>
      </w:r>
      <w:r>
        <w:rPr/>
        <w:t>LEP persons per week in person speaking French and Somali. The College</w:t>
      </w:r>
      <w:r>
        <w:rPr>
          <w:spacing w:val="80"/>
        </w:rPr>
        <w:t> </w:t>
      </w:r>
      <w:r>
        <w:rPr/>
        <w:t>Street and Lisbon Street routes were identified as having the highest LEP ridership.</w:t>
      </w:r>
    </w:p>
    <w:p>
      <w:pPr>
        <w:pStyle w:val="BodyText"/>
      </w:pPr>
    </w:p>
    <w:p>
      <w:pPr>
        <w:pStyle w:val="BodyText"/>
        <w:spacing w:before="6"/>
        <w:rPr>
          <w:sz w:val="29"/>
        </w:rPr>
      </w:pPr>
    </w:p>
    <w:p>
      <w:pPr>
        <w:spacing w:before="1"/>
        <w:ind w:left="120" w:right="0" w:firstLine="0"/>
        <w:jc w:val="left"/>
        <w:rPr>
          <w:b/>
          <w:sz w:val="24"/>
        </w:rPr>
      </w:pPr>
      <w:bookmarkStart w:name="Region 8" w:id="85"/>
      <w:bookmarkEnd w:id="85"/>
      <w:r>
        <w:rPr/>
      </w:r>
      <w:r>
        <w:rPr>
          <w:b/>
          <w:spacing w:val="-2"/>
          <w:sz w:val="24"/>
          <w:u w:val="single"/>
        </w:rPr>
        <w:t>Region</w:t>
      </w:r>
      <w:r>
        <w:rPr>
          <w:b/>
          <w:spacing w:val="-4"/>
          <w:sz w:val="24"/>
          <w:u w:val="single"/>
        </w:rPr>
        <w:t> </w:t>
      </w:r>
      <w:r>
        <w:rPr>
          <w:b/>
          <w:spacing w:val="-10"/>
          <w:sz w:val="24"/>
          <w:u w:val="single"/>
        </w:rPr>
        <w:t>8</w:t>
      </w:r>
    </w:p>
    <w:p>
      <w:pPr>
        <w:pStyle w:val="BodyText"/>
        <w:rPr>
          <w:b/>
          <w:sz w:val="20"/>
        </w:rPr>
      </w:pPr>
    </w:p>
    <w:p>
      <w:pPr>
        <w:pStyle w:val="BodyText"/>
        <w:spacing w:before="8"/>
        <w:rPr>
          <w:b/>
          <w:sz w:val="27"/>
        </w:rPr>
      </w:pPr>
    </w:p>
    <w:p>
      <w:pPr>
        <w:pStyle w:val="Heading7"/>
        <w:spacing w:before="47"/>
      </w:pPr>
      <w:bookmarkStart w:name="Zero:" w:id="86"/>
      <w:bookmarkEnd w:id="86"/>
      <w:r>
        <w:rPr>
          <w:b w:val="0"/>
        </w:rPr>
      </w:r>
      <w:r>
        <w:rPr>
          <w:spacing w:val="-2"/>
        </w:rPr>
        <w:t>Zero:</w:t>
      </w:r>
    </w:p>
    <w:p>
      <w:pPr>
        <w:pStyle w:val="BodyText"/>
        <w:spacing w:before="12"/>
        <w:rPr>
          <w:b/>
          <w:sz w:val="30"/>
        </w:rPr>
      </w:pPr>
    </w:p>
    <w:p>
      <w:pPr>
        <w:pStyle w:val="BodyText"/>
        <w:spacing w:line="264" w:lineRule="auto"/>
        <w:ind w:left="120" w:right="332"/>
        <w:jc w:val="both"/>
      </w:pPr>
      <w:r>
        <w:rPr/>
        <w:t>Region</w:t>
      </w:r>
      <w:r>
        <w:rPr>
          <w:spacing w:val="-14"/>
        </w:rPr>
        <w:t> </w:t>
      </w:r>
      <w:r>
        <w:rPr/>
        <w:t>8’s</w:t>
      </w:r>
      <w:r>
        <w:rPr>
          <w:spacing w:val="-14"/>
        </w:rPr>
        <w:t> </w:t>
      </w:r>
      <w:r>
        <w:rPr/>
        <w:t>York</w:t>
      </w:r>
      <w:r>
        <w:rPr>
          <w:spacing w:val="-13"/>
        </w:rPr>
        <w:t> </w:t>
      </w:r>
      <w:r>
        <w:rPr/>
        <w:t>County</w:t>
      </w:r>
      <w:r>
        <w:rPr>
          <w:spacing w:val="-14"/>
        </w:rPr>
        <w:t> </w:t>
      </w:r>
      <w:r>
        <w:rPr/>
        <w:t>Community</w:t>
      </w:r>
      <w:r>
        <w:rPr>
          <w:spacing w:val="-13"/>
        </w:rPr>
        <w:t> </w:t>
      </w:r>
      <w:r>
        <w:rPr/>
        <w:t>Action</w:t>
      </w:r>
      <w:r>
        <w:rPr>
          <w:spacing w:val="-7"/>
        </w:rPr>
        <w:t> </w:t>
      </w:r>
      <w:r>
        <w:rPr/>
        <w:t>Corporation</w:t>
      </w:r>
      <w:r>
        <w:rPr>
          <w:spacing w:val="-7"/>
        </w:rPr>
        <w:t> </w:t>
      </w:r>
      <w:r>
        <w:rPr/>
        <w:t>(YCCAC),</w:t>
      </w:r>
      <w:r>
        <w:rPr>
          <w:spacing w:val="-9"/>
        </w:rPr>
        <w:t> </w:t>
      </w:r>
      <w:r>
        <w:rPr/>
        <w:t>had</w:t>
      </w:r>
      <w:r>
        <w:rPr>
          <w:spacing w:val="-7"/>
        </w:rPr>
        <w:t> </w:t>
      </w:r>
      <w:r>
        <w:rPr/>
        <w:t>16</w:t>
      </w:r>
      <w:r>
        <w:rPr>
          <w:spacing w:val="-8"/>
        </w:rPr>
        <w:t> </w:t>
      </w:r>
      <w:r>
        <w:rPr/>
        <w:t>respondents</w:t>
      </w:r>
      <w:r>
        <w:rPr>
          <w:spacing w:val="78"/>
        </w:rPr>
        <w:t> </w:t>
      </w:r>
      <w:r>
        <w:rPr/>
        <w:t>including</w:t>
      </w:r>
      <w:r>
        <w:rPr>
          <w:spacing w:val="-9"/>
        </w:rPr>
        <w:t> </w:t>
      </w:r>
      <w:r>
        <w:rPr/>
        <w:t>one</w:t>
      </w:r>
      <w:r>
        <w:rPr>
          <w:spacing w:val="-8"/>
        </w:rPr>
        <w:t> </w:t>
      </w:r>
      <w:r>
        <w:rPr/>
        <w:t>office</w:t>
      </w:r>
      <w:r>
        <w:rPr>
          <w:spacing w:val="-6"/>
        </w:rPr>
        <w:t> </w:t>
      </w:r>
      <w:r>
        <w:rPr/>
        <w:t>staff who reported fewer than three encounters per week with LEP</w:t>
      </w:r>
      <w:r>
        <w:rPr>
          <w:spacing w:val="-8"/>
        </w:rPr>
        <w:t> </w:t>
      </w:r>
      <w:r>
        <w:rPr/>
        <w:t>persons,</w:t>
      </w:r>
      <w:r>
        <w:rPr>
          <w:spacing w:val="80"/>
        </w:rPr>
        <w:t> </w:t>
      </w:r>
      <w:r>
        <w:rPr/>
        <w:t>typically on the telephone, speaking French and Tagalog.</w:t>
      </w:r>
    </w:p>
    <w:p>
      <w:pPr>
        <w:pStyle w:val="BodyText"/>
      </w:pPr>
    </w:p>
    <w:p>
      <w:pPr>
        <w:pStyle w:val="BodyText"/>
        <w:spacing w:before="6"/>
        <w:rPr>
          <w:sz w:val="29"/>
        </w:rPr>
      </w:pPr>
    </w:p>
    <w:p>
      <w:pPr>
        <w:pStyle w:val="Heading7"/>
      </w:pPr>
      <w:bookmarkStart w:name="1–10:" w:id="87"/>
      <w:bookmarkEnd w:id="87"/>
      <w:r>
        <w:rPr>
          <w:b w:val="0"/>
        </w:rPr>
      </w:r>
      <w:r>
        <w:rPr>
          <w:spacing w:val="-2"/>
        </w:rPr>
        <w:t>1–10:</w:t>
      </w:r>
    </w:p>
    <w:p>
      <w:pPr>
        <w:spacing w:after="0"/>
        <w:sectPr>
          <w:pgSz w:w="12240" w:h="15840"/>
          <w:pgMar w:header="0" w:footer="1023" w:top="960" w:bottom="1260" w:left="600" w:right="500"/>
        </w:sectPr>
      </w:pPr>
    </w:p>
    <w:p>
      <w:pPr>
        <w:pStyle w:val="BodyText"/>
        <w:spacing w:line="264" w:lineRule="auto" w:before="35"/>
        <w:ind w:left="120" w:right="523"/>
        <w:jc w:val="both"/>
      </w:pPr>
      <w:r>
        <w:rPr/>
        <w:t>Four drivers serving Biddeford, Saco, Old Orchard Beach, and Portland responded that they</w:t>
      </w:r>
      <w:r>
        <w:rPr>
          <w:spacing w:val="80"/>
        </w:rPr>
        <w:t> </w:t>
      </w:r>
      <w:r>
        <w:rPr/>
        <w:t>come into contact with approximately 1–10 LEP persons per week in person, speaking French,</w:t>
      </w:r>
      <w:r>
        <w:rPr>
          <w:spacing w:val="40"/>
        </w:rPr>
        <w:t> </w:t>
      </w:r>
      <w:r>
        <w:rPr/>
        <w:t>Spanish, African Languages,</w:t>
      </w:r>
      <w:r>
        <w:rPr>
          <w:spacing w:val="-14"/>
        </w:rPr>
        <w:t> </w:t>
      </w:r>
      <w:r>
        <w:rPr/>
        <w:t>Portuguese,</w:t>
      </w:r>
      <w:r>
        <w:rPr>
          <w:spacing w:val="-14"/>
        </w:rPr>
        <w:t> </w:t>
      </w:r>
      <w:r>
        <w:rPr/>
        <w:t>Russian,</w:t>
      </w:r>
      <w:r>
        <w:rPr>
          <w:spacing w:val="-13"/>
        </w:rPr>
        <w:t> </w:t>
      </w:r>
      <w:r>
        <w:rPr/>
        <w:t>and</w:t>
      </w:r>
      <w:r>
        <w:rPr>
          <w:spacing w:val="-14"/>
        </w:rPr>
        <w:t> </w:t>
      </w:r>
      <w:r>
        <w:rPr/>
        <w:t>Hindi.</w:t>
      </w:r>
      <w:r>
        <w:rPr>
          <w:spacing w:val="-13"/>
        </w:rPr>
        <w:t> </w:t>
      </w:r>
      <w:r>
        <w:rPr/>
        <w:t>The</w:t>
      </w:r>
      <w:r>
        <w:rPr>
          <w:spacing w:val="-14"/>
        </w:rPr>
        <w:t> </w:t>
      </w:r>
      <w:r>
        <w:rPr/>
        <w:t>Trolley</w:t>
      </w:r>
      <w:r>
        <w:rPr>
          <w:spacing w:val="-13"/>
        </w:rPr>
        <w:t> </w:t>
      </w:r>
      <w:r>
        <w:rPr/>
        <w:t>routes,</w:t>
      </w:r>
      <w:r>
        <w:rPr>
          <w:spacing w:val="-14"/>
        </w:rPr>
        <w:t> </w:t>
      </w:r>
      <w:r>
        <w:rPr/>
        <w:t>Old</w:t>
      </w:r>
      <w:r>
        <w:rPr>
          <w:spacing w:val="-14"/>
        </w:rPr>
        <w:t> </w:t>
      </w:r>
      <w:r>
        <w:rPr/>
        <w:t>Orchard</w:t>
      </w:r>
      <w:r>
        <w:rPr>
          <w:spacing w:val="47"/>
        </w:rPr>
        <w:t> </w:t>
      </w:r>
      <w:r>
        <w:rPr/>
        <w:t>Beach,</w:t>
      </w:r>
      <w:r>
        <w:rPr>
          <w:spacing w:val="-14"/>
        </w:rPr>
        <w:t> </w:t>
      </w:r>
      <w:r>
        <w:rPr/>
        <w:t>and</w:t>
      </w:r>
      <w:r>
        <w:rPr>
          <w:spacing w:val="-14"/>
        </w:rPr>
        <w:t> </w:t>
      </w:r>
      <w:r>
        <w:rPr/>
        <w:t>Portland</w:t>
      </w:r>
      <w:r>
        <w:rPr>
          <w:spacing w:val="-13"/>
        </w:rPr>
        <w:t> </w:t>
      </w:r>
      <w:r>
        <w:rPr/>
        <w:t>routes</w:t>
      </w:r>
      <w:r>
        <w:rPr>
          <w:spacing w:val="-14"/>
        </w:rPr>
        <w:t> </w:t>
      </w:r>
      <w:r>
        <w:rPr/>
        <w:t>were identified as having the highest LEP ridership.</w:t>
      </w:r>
    </w:p>
    <w:p>
      <w:pPr>
        <w:pStyle w:val="BodyText"/>
      </w:pPr>
    </w:p>
    <w:p>
      <w:pPr>
        <w:pStyle w:val="BodyText"/>
        <w:spacing w:before="6"/>
        <w:rPr>
          <w:sz w:val="29"/>
        </w:rPr>
      </w:pPr>
    </w:p>
    <w:p>
      <w:pPr>
        <w:pStyle w:val="Heading7"/>
      </w:pPr>
      <w:bookmarkStart w:name="11–20:" w:id="88"/>
      <w:bookmarkEnd w:id="88"/>
      <w:r>
        <w:rPr>
          <w:b w:val="0"/>
        </w:rPr>
      </w:r>
      <w:r>
        <w:rPr>
          <w:spacing w:val="-2"/>
        </w:rPr>
        <w:t>11–20:</w:t>
      </w:r>
    </w:p>
    <w:p>
      <w:pPr>
        <w:pStyle w:val="BodyText"/>
        <w:rPr>
          <w:b/>
          <w:sz w:val="31"/>
        </w:rPr>
      </w:pPr>
    </w:p>
    <w:p>
      <w:pPr>
        <w:pStyle w:val="BodyText"/>
        <w:spacing w:line="264" w:lineRule="auto"/>
        <w:ind w:left="120" w:right="330"/>
        <w:jc w:val="both"/>
      </w:pPr>
      <w:r>
        <w:rPr/>
        <w:t>Two</w:t>
      </w:r>
      <w:r>
        <w:rPr>
          <w:spacing w:val="-4"/>
        </w:rPr>
        <w:t> </w:t>
      </w:r>
      <w:r>
        <w:rPr/>
        <w:t>office staff and eight drivers serving Biddeford, Saco, Old Orchard Beach, and Portland,</w:t>
      </w:r>
      <w:r>
        <w:rPr>
          <w:spacing w:val="80"/>
        </w:rPr>
        <w:t> </w:t>
      </w:r>
      <w:r>
        <w:rPr/>
        <w:t>responded that they come into contact with approximately 11–20 LEP persons per week either in</w:t>
      </w:r>
      <w:r>
        <w:rPr>
          <w:spacing w:val="40"/>
        </w:rPr>
        <w:t> </w:t>
      </w:r>
      <w:r>
        <w:rPr/>
        <w:t>person or on the phone speaking</w:t>
      </w:r>
      <w:r>
        <w:rPr>
          <w:spacing w:val="-13"/>
        </w:rPr>
        <w:t> </w:t>
      </w:r>
      <w:r>
        <w:rPr/>
        <w:t>French,</w:t>
      </w:r>
      <w:r>
        <w:rPr>
          <w:spacing w:val="-14"/>
        </w:rPr>
        <w:t> </w:t>
      </w:r>
      <w:r>
        <w:rPr/>
        <w:t>African</w:t>
      </w:r>
      <w:r>
        <w:rPr>
          <w:spacing w:val="-7"/>
        </w:rPr>
        <w:t> </w:t>
      </w:r>
      <w:r>
        <w:rPr/>
        <w:t>Languages,</w:t>
      </w:r>
      <w:r>
        <w:rPr>
          <w:spacing w:val="-6"/>
        </w:rPr>
        <w:t> </w:t>
      </w:r>
      <w:r>
        <w:rPr/>
        <w:t>and</w:t>
      </w:r>
      <w:r>
        <w:rPr>
          <w:spacing w:val="-5"/>
        </w:rPr>
        <w:t> </w:t>
      </w:r>
      <w:r>
        <w:rPr/>
        <w:t>Somali.</w:t>
      </w:r>
      <w:r>
        <w:rPr>
          <w:spacing w:val="-12"/>
        </w:rPr>
        <w:t> </w:t>
      </w:r>
      <w:r>
        <w:rPr/>
        <w:t>The</w:t>
      </w:r>
      <w:r>
        <w:rPr>
          <w:spacing w:val="-5"/>
        </w:rPr>
        <w:t> </w:t>
      </w:r>
      <w:r>
        <w:rPr/>
        <w:t>Biddeford,</w:t>
      </w:r>
      <w:r>
        <w:rPr>
          <w:spacing w:val="-5"/>
        </w:rPr>
        <w:t> </w:t>
      </w:r>
      <w:r>
        <w:rPr/>
        <w:t>Old</w:t>
      </w:r>
      <w:r>
        <w:rPr>
          <w:spacing w:val="74"/>
        </w:rPr>
        <w:t> </w:t>
      </w:r>
      <w:r>
        <w:rPr/>
        <w:t>Orchard</w:t>
      </w:r>
      <w:r>
        <w:rPr>
          <w:spacing w:val="-5"/>
        </w:rPr>
        <w:t> </w:t>
      </w:r>
      <w:r>
        <w:rPr/>
        <w:t>Beach,</w:t>
      </w:r>
      <w:r>
        <w:rPr>
          <w:spacing w:val="-5"/>
        </w:rPr>
        <w:t> </w:t>
      </w:r>
      <w:r>
        <w:rPr/>
        <w:t>Saco</w:t>
      </w:r>
      <w:r>
        <w:rPr>
          <w:spacing w:val="-6"/>
        </w:rPr>
        <w:t> </w:t>
      </w:r>
      <w:r>
        <w:rPr/>
        <w:t>and</w:t>
      </w:r>
      <w:r>
        <w:rPr>
          <w:spacing w:val="-5"/>
        </w:rPr>
        <w:t> </w:t>
      </w:r>
      <w:r>
        <w:rPr/>
        <w:t>Portland</w:t>
      </w:r>
      <w:r>
        <w:rPr>
          <w:spacing w:val="-8"/>
        </w:rPr>
        <w:t> </w:t>
      </w:r>
      <w:r>
        <w:rPr/>
        <w:t>routes were identified as having the highest LEP ridership.</w:t>
      </w:r>
    </w:p>
    <w:p>
      <w:pPr>
        <w:pStyle w:val="BodyText"/>
        <w:spacing w:line="264" w:lineRule="auto" w:before="120"/>
        <w:ind w:left="120" w:right="332"/>
        <w:jc w:val="both"/>
      </w:pPr>
      <w:r>
        <w:rPr/>
        <w:t>Also of note is</w:t>
      </w:r>
      <w:r>
        <w:rPr>
          <w:spacing w:val="-1"/>
        </w:rPr>
        <w:t> </w:t>
      </w:r>
      <w:r>
        <w:rPr/>
        <w:t>that in the summer</w:t>
      </w:r>
      <w:r>
        <w:rPr>
          <w:spacing w:val="-1"/>
        </w:rPr>
        <w:t> </w:t>
      </w:r>
      <w:r>
        <w:rPr/>
        <w:t>months, primarily due</w:t>
      </w:r>
      <w:r>
        <w:rPr>
          <w:spacing w:val="-1"/>
        </w:rPr>
        <w:t> </w:t>
      </w:r>
      <w:r>
        <w:rPr/>
        <w:t>to tourism, all routes</w:t>
      </w:r>
      <w:r>
        <w:rPr>
          <w:spacing w:val="-1"/>
        </w:rPr>
        <w:t> </w:t>
      </w:r>
      <w:r>
        <w:rPr/>
        <w:t>were identified as</w:t>
      </w:r>
      <w:r>
        <w:rPr>
          <w:spacing w:val="40"/>
        </w:rPr>
        <w:t> </w:t>
      </w:r>
      <w:r>
        <w:rPr/>
        <w:t>having the highest LEP ridership.</w:t>
      </w:r>
    </w:p>
    <w:p>
      <w:pPr>
        <w:pStyle w:val="BodyText"/>
        <w:spacing w:before="8"/>
        <w:rPr>
          <w:sz w:val="33"/>
        </w:rPr>
      </w:pPr>
    </w:p>
    <w:p>
      <w:pPr>
        <w:pStyle w:val="BodyText"/>
        <w:ind w:left="120"/>
      </w:pPr>
      <w:r>
        <w:rPr/>
        <w:t>In</w:t>
      </w:r>
      <w:r>
        <w:rPr>
          <w:spacing w:val="1"/>
        </w:rPr>
        <w:t> </w:t>
      </w:r>
      <w:r>
        <w:rPr>
          <w:spacing w:val="-2"/>
        </w:rPr>
        <w:t>summary,</w:t>
      </w:r>
    </w:p>
    <w:p>
      <w:pPr>
        <w:pStyle w:val="BodyText"/>
      </w:pPr>
    </w:p>
    <w:p>
      <w:pPr>
        <w:pStyle w:val="ListParagraph"/>
        <w:numPr>
          <w:ilvl w:val="0"/>
          <w:numId w:val="36"/>
        </w:numPr>
        <w:tabs>
          <w:tab w:pos="940" w:val="left" w:leader="none"/>
        </w:tabs>
        <w:spacing w:line="259" w:lineRule="auto" w:before="148" w:after="0"/>
        <w:ind w:left="940" w:right="1231" w:hanging="360"/>
        <w:jc w:val="left"/>
        <w:rPr>
          <w:sz w:val="24"/>
        </w:rPr>
      </w:pPr>
      <w:r>
        <w:rPr>
          <w:sz w:val="24"/>
        </w:rPr>
        <w:t>Approximately</w:t>
      </w:r>
      <w:r>
        <w:rPr>
          <w:spacing w:val="-14"/>
          <w:sz w:val="24"/>
        </w:rPr>
        <w:t> </w:t>
      </w:r>
      <w:r>
        <w:rPr>
          <w:sz w:val="24"/>
        </w:rPr>
        <w:t>9%</w:t>
      </w:r>
      <w:r>
        <w:rPr>
          <w:spacing w:val="-8"/>
          <w:sz w:val="24"/>
        </w:rPr>
        <w:t> </w:t>
      </w:r>
      <w:r>
        <w:rPr>
          <w:sz w:val="24"/>
        </w:rPr>
        <w:t>of</w:t>
      </w:r>
      <w:r>
        <w:rPr>
          <w:spacing w:val="-9"/>
          <w:sz w:val="24"/>
        </w:rPr>
        <w:t> </w:t>
      </w:r>
      <w:r>
        <w:rPr>
          <w:sz w:val="24"/>
        </w:rPr>
        <w:t>respondents</w:t>
      </w:r>
      <w:r>
        <w:rPr>
          <w:spacing w:val="-11"/>
          <w:sz w:val="24"/>
        </w:rPr>
        <w:t> </w:t>
      </w:r>
      <w:r>
        <w:rPr>
          <w:sz w:val="24"/>
        </w:rPr>
        <w:t>did</w:t>
      </w:r>
      <w:r>
        <w:rPr>
          <w:spacing w:val="-9"/>
          <w:sz w:val="24"/>
        </w:rPr>
        <w:t> </w:t>
      </w:r>
      <w:r>
        <w:rPr>
          <w:sz w:val="24"/>
        </w:rPr>
        <w:t>not</w:t>
      </w:r>
      <w:r>
        <w:rPr>
          <w:spacing w:val="-9"/>
          <w:sz w:val="24"/>
        </w:rPr>
        <w:t> </w:t>
      </w:r>
      <w:r>
        <w:rPr>
          <w:sz w:val="24"/>
        </w:rPr>
        <w:t>indicate</w:t>
      </w:r>
      <w:r>
        <w:rPr>
          <w:spacing w:val="-7"/>
          <w:sz w:val="24"/>
        </w:rPr>
        <w:t> </w:t>
      </w:r>
      <w:r>
        <w:rPr>
          <w:sz w:val="24"/>
        </w:rPr>
        <w:t>how</w:t>
      </w:r>
      <w:r>
        <w:rPr>
          <w:spacing w:val="-7"/>
          <w:sz w:val="24"/>
        </w:rPr>
        <w:t> </w:t>
      </w:r>
      <w:r>
        <w:rPr>
          <w:sz w:val="24"/>
        </w:rPr>
        <w:t>many</w:t>
      </w:r>
      <w:r>
        <w:rPr>
          <w:spacing w:val="-8"/>
          <w:sz w:val="24"/>
        </w:rPr>
        <w:t> </w:t>
      </w:r>
      <w:r>
        <w:rPr>
          <w:sz w:val="24"/>
        </w:rPr>
        <w:t>LEP</w:t>
      </w:r>
      <w:r>
        <w:rPr>
          <w:spacing w:val="-14"/>
          <w:sz w:val="24"/>
        </w:rPr>
        <w:t> </w:t>
      </w:r>
      <w:r>
        <w:rPr>
          <w:sz w:val="24"/>
        </w:rPr>
        <w:t>persons</w:t>
      </w:r>
      <w:r>
        <w:rPr>
          <w:spacing w:val="-11"/>
          <w:sz w:val="24"/>
        </w:rPr>
        <w:t> </w:t>
      </w:r>
      <w:r>
        <w:rPr>
          <w:sz w:val="24"/>
        </w:rPr>
        <w:t>they</w:t>
      </w:r>
      <w:r>
        <w:rPr>
          <w:spacing w:val="40"/>
          <w:sz w:val="24"/>
        </w:rPr>
        <w:t> </w:t>
      </w:r>
      <w:r>
        <w:rPr>
          <w:sz w:val="24"/>
        </w:rPr>
        <w:t>encountered in the average week.</w:t>
      </w:r>
    </w:p>
    <w:p>
      <w:pPr>
        <w:pStyle w:val="ListParagraph"/>
        <w:numPr>
          <w:ilvl w:val="0"/>
          <w:numId w:val="36"/>
        </w:numPr>
        <w:tabs>
          <w:tab w:pos="940" w:val="left" w:leader="none"/>
        </w:tabs>
        <w:spacing w:line="256" w:lineRule="auto" w:before="10" w:after="0"/>
        <w:ind w:left="940" w:right="832" w:hanging="360"/>
        <w:jc w:val="left"/>
        <w:rPr>
          <w:sz w:val="24"/>
        </w:rPr>
      </w:pPr>
      <w:r>
        <w:rPr>
          <w:sz w:val="24"/>
        </w:rPr>
        <w:t>Approximately</w:t>
      </w:r>
      <w:r>
        <w:rPr>
          <w:spacing w:val="-14"/>
          <w:sz w:val="24"/>
        </w:rPr>
        <w:t> </w:t>
      </w:r>
      <w:r>
        <w:rPr>
          <w:sz w:val="24"/>
        </w:rPr>
        <w:t>26%</w:t>
      </w:r>
      <w:r>
        <w:rPr>
          <w:spacing w:val="-14"/>
          <w:sz w:val="24"/>
        </w:rPr>
        <w:t> </w:t>
      </w:r>
      <w:r>
        <w:rPr>
          <w:sz w:val="24"/>
        </w:rPr>
        <w:t>of</w:t>
      </w:r>
      <w:r>
        <w:rPr>
          <w:spacing w:val="-12"/>
          <w:sz w:val="24"/>
        </w:rPr>
        <w:t> </w:t>
      </w:r>
      <w:r>
        <w:rPr>
          <w:sz w:val="24"/>
        </w:rPr>
        <w:t>respondents</w:t>
      </w:r>
      <w:r>
        <w:rPr>
          <w:spacing w:val="-13"/>
          <w:sz w:val="24"/>
        </w:rPr>
        <w:t> </w:t>
      </w:r>
      <w:r>
        <w:rPr>
          <w:sz w:val="24"/>
        </w:rPr>
        <w:t>came</w:t>
      </w:r>
      <w:r>
        <w:rPr>
          <w:spacing w:val="-12"/>
          <w:sz w:val="24"/>
        </w:rPr>
        <w:t> </w:t>
      </w:r>
      <w:r>
        <w:rPr>
          <w:sz w:val="24"/>
        </w:rPr>
        <w:t>into</w:t>
      </w:r>
      <w:r>
        <w:rPr>
          <w:spacing w:val="-12"/>
          <w:sz w:val="24"/>
        </w:rPr>
        <w:t> </w:t>
      </w:r>
      <w:r>
        <w:rPr>
          <w:sz w:val="24"/>
        </w:rPr>
        <w:t>contact</w:t>
      </w:r>
      <w:r>
        <w:rPr>
          <w:spacing w:val="-14"/>
          <w:sz w:val="24"/>
        </w:rPr>
        <w:t> </w:t>
      </w:r>
      <w:r>
        <w:rPr>
          <w:sz w:val="24"/>
        </w:rPr>
        <w:t>with</w:t>
      </w:r>
      <w:r>
        <w:rPr>
          <w:spacing w:val="-11"/>
          <w:sz w:val="24"/>
        </w:rPr>
        <w:t> </w:t>
      </w:r>
      <w:r>
        <w:rPr>
          <w:sz w:val="24"/>
        </w:rPr>
        <w:t>LEP</w:t>
      </w:r>
      <w:r>
        <w:rPr>
          <w:spacing w:val="-16"/>
          <w:sz w:val="24"/>
        </w:rPr>
        <w:t> </w:t>
      </w:r>
      <w:r>
        <w:rPr>
          <w:sz w:val="24"/>
        </w:rPr>
        <w:t>persons</w:t>
      </w:r>
      <w:r>
        <w:rPr>
          <w:spacing w:val="-11"/>
          <w:sz w:val="24"/>
        </w:rPr>
        <w:t> </w:t>
      </w:r>
      <w:r>
        <w:rPr>
          <w:sz w:val="24"/>
        </w:rPr>
        <w:t>never,</w:t>
      </w:r>
      <w:r>
        <w:rPr>
          <w:spacing w:val="-13"/>
          <w:sz w:val="24"/>
        </w:rPr>
        <w:t> </w:t>
      </w:r>
      <w:r>
        <w:rPr>
          <w:sz w:val="24"/>
        </w:rPr>
        <w:t>very</w:t>
      </w:r>
      <w:r>
        <w:rPr>
          <w:spacing w:val="40"/>
          <w:sz w:val="24"/>
        </w:rPr>
        <w:t> </w:t>
      </w:r>
      <w:r>
        <w:rPr>
          <w:sz w:val="24"/>
        </w:rPr>
        <w:t>limited,</w:t>
      </w:r>
      <w:r>
        <w:rPr>
          <w:spacing w:val="-13"/>
          <w:sz w:val="24"/>
        </w:rPr>
        <w:t> </w:t>
      </w:r>
      <w:r>
        <w:rPr>
          <w:sz w:val="24"/>
        </w:rPr>
        <w:t>or</w:t>
      </w:r>
      <w:r>
        <w:rPr>
          <w:spacing w:val="-13"/>
          <w:sz w:val="24"/>
        </w:rPr>
        <w:t> </w:t>
      </w:r>
      <w:r>
        <w:rPr>
          <w:sz w:val="24"/>
        </w:rPr>
        <w:t>3– 4 times per year.</w:t>
      </w:r>
    </w:p>
    <w:p>
      <w:pPr>
        <w:pStyle w:val="ListParagraph"/>
        <w:numPr>
          <w:ilvl w:val="0"/>
          <w:numId w:val="36"/>
        </w:numPr>
        <w:tabs>
          <w:tab w:pos="940" w:val="left" w:leader="none"/>
        </w:tabs>
        <w:spacing w:line="261" w:lineRule="auto" w:before="10" w:after="0"/>
        <w:ind w:left="940" w:right="832" w:hanging="360"/>
        <w:jc w:val="left"/>
        <w:rPr>
          <w:sz w:val="24"/>
        </w:rPr>
      </w:pPr>
      <w:r>
        <w:rPr>
          <w:sz w:val="24"/>
        </w:rPr>
        <w:t>Approximately 41%</w:t>
      </w:r>
      <w:r>
        <w:rPr>
          <w:spacing w:val="25"/>
          <w:sz w:val="24"/>
        </w:rPr>
        <w:t> </w:t>
      </w:r>
      <w:r>
        <w:rPr>
          <w:sz w:val="24"/>
        </w:rPr>
        <w:t>of</w:t>
      </w:r>
      <w:r>
        <w:rPr>
          <w:spacing w:val="23"/>
          <w:sz w:val="24"/>
        </w:rPr>
        <w:t> </w:t>
      </w:r>
      <w:r>
        <w:rPr>
          <w:sz w:val="24"/>
        </w:rPr>
        <w:t>respondents came</w:t>
      </w:r>
      <w:r>
        <w:rPr>
          <w:spacing w:val="24"/>
          <w:sz w:val="24"/>
        </w:rPr>
        <w:t> </w:t>
      </w:r>
      <w:r>
        <w:rPr>
          <w:sz w:val="24"/>
        </w:rPr>
        <w:t>into</w:t>
      </w:r>
      <w:r>
        <w:rPr>
          <w:spacing w:val="25"/>
          <w:sz w:val="24"/>
        </w:rPr>
        <w:t> </w:t>
      </w:r>
      <w:r>
        <w:rPr>
          <w:sz w:val="24"/>
        </w:rPr>
        <w:t>contact</w:t>
      </w:r>
      <w:r>
        <w:rPr>
          <w:spacing w:val="23"/>
          <w:sz w:val="24"/>
        </w:rPr>
        <w:t> </w:t>
      </w:r>
      <w:r>
        <w:rPr>
          <w:sz w:val="24"/>
        </w:rPr>
        <w:t>with</w:t>
      </w:r>
      <w:r>
        <w:rPr>
          <w:spacing w:val="23"/>
          <w:sz w:val="24"/>
        </w:rPr>
        <w:t> </w:t>
      </w:r>
      <w:r>
        <w:rPr>
          <w:sz w:val="24"/>
        </w:rPr>
        <w:t>1–10</w:t>
      </w:r>
      <w:r>
        <w:rPr>
          <w:spacing w:val="25"/>
          <w:sz w:val="24"/>
        </w:rPr>
        <w:t> </w:t>
      </w:r>
      <w:r>
        <w:rPr>
          <w:sz w:val="24"/>
        </w:rPr>
        <w:t>LEP persons</w:t>
      </w:r>
      <w:r>
        <w:rPr>
          <w:spacing w:val="24"/>
          <w:sz w:val="24"/>
        </w:rPr>
        <w:t> </w:t>
      </w:r>
      <w:r>
        <w:rPr>
          <w:sz w:val="24"/>
        </w:rPr>
        <w:t>in</w:t>
      </w:r>
      <w:r>
        <w:rPr>
          <w:spacing w:val="25"/>
          <w:sz w:val="24"/>
        </w:rPr>
        <w:t> </w:t>
      </w:r>
      <w:r>
        <w:rPr>
          <w:sz w:val="24"/>
        </w:rPr>
        <w:t>the</w:t>
      </w:r>
      <w:r>
        <w:rPr>
          <w:spacing w:val="80"/>
          <w:sz w:val="24"/>
        </w:rPr>
        <w:t> </w:t>
      </w:r>
      <w:r>
        <w:rPr>
          <w:sz w:val="24"/>
        </w:rPr>
        <w:t>average </w:t>
      </w:r>
      <w:r>
        <w:rPr>
          <w:spacing w:val="-4"/>
          <w:sz w:val="24"/>
        </w:rPr>
        <w:t>week.</w:t>
      </w:r>
    </w:p>
    <w:p>
      <w:pPr>
        <w:pStyle w:val="ListParagraph"/>
        <w:numPr>
          <w:ilvl w:val="0"/>
          <w:numId w:val="36"/>
        </w:numPr>
        <w:tabs>
          <w:tab w:pos="940" w:val="left" w:leader="none"/>
        </w:tabs>
        <w:spacing w:line="240" w:lineRule="auto" w:before="1" w:after="0"/>
        <w:ind w:left="940" w:right="0" w:hanging="360"/>
        <w:jc w:val="left"/>
        <w:rPr>
          <w:sz w:val="24"/>
        </w:rPr>
      </w:pPr>
      <w:r>
        <w:rPr>
          <w:spacing w:val="-2"/>
          <w:sz w:val="24"/>
        </w:rPr>
        <w:t>Approximately</w:t>
      </w:r>
      <w:r>
        <w:rPr>
          <w:spacing w:val="-13"/>
          <w:sz w:val="24"/>
        </w:rPr>
        <w:t> </w:t>
      </w:r>
      <w:r>
        <w:rPr>
          <w:spacing w:val="-2"/>
          <w:sz w:val="24"/>
        </w:rPr>
        <w:t>18%</w:t>
      </w:r>
      <w:r>
        <w:rPr>
          <w:spacing w:val="-8"/>
          <w:sz w:val="24"/>
        </w:rPr>
        <w:t> </w:t>
      </w:r>
      <w:r>
        <w:rPr>
          <w:spacing w:val="-2"/>
          <w:sz w:val="24"/>
        </w:rPr>
        <w:t>of</w:t>
      </w:r>
      <w:r>
        <w:rPr>
          <w:spacing w:val="-8"/>
          <w:sz w:val="24"/>
        </w:rPr>
        <w:t> </w:t>
      </w:r>
      <w:r>
        <w:rPr>
          <w:spacing w:val="-2"/>
          <w:sz w:val="24"/>
        </w:rPr>
        <w:t>respondents</w:t>
      </w:r>
      <w:r>
        <w:rPr>
          <w:spacing w:val="-11"/>
          <w:sz w:val="24"/>
        </w:rPr>
        <w:t> </w:t>
      </w:r>
      <w:r>
        <w:rPr>
          <w:spacing w:val="-2"/>
          <w:sz w:val="24"/>
        </w:rPr>
        <w:t>came</w:t>
      </w:r>
      <w:r>
        <w:rPr>
          <w:spacing w:val="-9"/>
          <w:sz w:val="24"/>
        </w:rPr>
        <w:t> </w:t>
      </w:r>
      <w:r>
        <w:rPr>
          <w:spacing w:val="-2"/>
          <w:sz w:val="24"/>
        </w:rPr>
        <w:t>into</w:t>
      </w:r>
      <w:r>
        <w:rPr>
          <w:spacing w:val="-8"/>
          <w:sz w:val="24"/>
        </w:rPr>
        <w:t> </w:t>
      </w:r>
      <w:r>
        <w:rPr>
          <w:spacing w:val="-2"/>
          <w:sz w:val="24"/>
        </w:rPr>
        <w:t>contact</w:t>
      </w:r>
      <w:r>
        <w:rPr>
          <w:spacing w:val="-8"/>
          <w:sz w:val="24"/>
        </w:rPr>
        <w:t> </w:t>
      </w:r>
      <w:r>
        <w:rPr>
          <w:spacing w:val="-2"/>
          <w:sz w:val="24"/>
        </w:rPr>
        <w:t>with</w:t>
      </w:r>
      <w:r>
        <w:rPr>
          <w:spacing w:val="-5"/>
          <w:sz w:val="24"/>
        </w:rPr>
        <w:t> </w:t>
      </w:r>
      <w:r>
        <w:rPr>
          <w:spacing w:val="-2"/>
          <w:sz w:val="24"/>
        </w:rPr>
        <w:t>11–20</w:t>
      </w:r>
      <w:r>
        <w:rPr>
          <w:spacing w:val="-11"/>
          <w:sz w:val="24"/>
        </w:rPr>
        <w:t> </w:t>
      </w:r>
      <w:r>
        <w:rPr>
          <w:spacing w:val="-2"/>
          <w:sz w:val="24"/>
        </w:rPr>
        <w:t>LEP</w:t>
      </w:r>
      <w:r>
        <w:rPr>
          <w:spacing w:val="-16"/>
          <w:sz w:val="24"/>
        </w:rPr>
        <w:t> </w:t>
      </w:r>
      <w:r>
        <w:rPr>
          <w:spacing w:val="-2"/>
          <w:sz w:val="24"/>
        </w:rPr>
        <w:t>persons</w:t>
      </w:r>
      <w:r>
        <w:rPr>
          <w:spacing w:val="-7"/>
          <w:sz w:val="24"/>
        </w:rPr>
        <w:t> </w:t>
      </w:r>
      <w:r>
        <w:rPr>
          <w:spacing w:val="-2"/>
          <w:sz w:val="24"/>
        </w:rPr>
        <w:t>in</w:t>
      </w:r>
      <w:r>
        <w:rPr>
          <w:spacing w:val="-11"/>
          <w:sz w:val="24"/>
        </w:rPr>
        <w:t> </w:t>
      </w:r>
      <w:r>
        <w:rPr>
          <w:spacing w:val="-2"/>
          <w:sz w:val="24"/>
        </w:rPr>
        <w:t>the</w:t>
      </w:r>
      <w:r>
        <w:rPr>
          <w:spacing w:val="39"/>
          <w:sz w:val="24"/>
        </w:rPr>
        <w:t> </w:t>
      </w:r>
      <w:r>
        <w:rPr>
          <w:spacing w:val="-2"/>
          <w:sz w:val="24"/>
        </w:rPr>
        <w:t>average</w:t>
      </w:r>
      <w:r>
        <w:rPr>
          <w:spacing w:val="-11"/>
          <w:sz w:val="24"/>
        </w:rPr>
        <w:t> </w:t>
      </w:r>
      <w:r>
        <w:rPr>
          <w:spacing w:val="-2"/>
          <w:sz w:val="24"/>
        </w:rPr>
        <w:t>week.</w:t>
      </w:r>
    </w:p>
    <w:p>
      <w:pPr>
        <w:pStyle w:val="ListParagraph"/>
        <w:numPr>
          <w:ilvl w:val="0"/>
          <w:numId w:val="36"/>
        </w:numPr>
        <w:tabs>
          <w:tab w:pos="960" w:val="left" w:leader="none"/>
        </w:tabs>
        <w:spacing w:line="259" w:lineRule="auto" w:before="64" w:after="0"/>
        <w:ind w:left="960" w:right="638" w:hanging="360"/>
        <w:jc w:val="left"/>
        <w:rPr>
          <w:sz w:val="24"/>
        </w:rPr>
      </w:pPr>
      <w:r>
        <w:rPr>
          <w:sz w:val="24"/>
        </w:rPr>
        <w:t>Approximately</w:t>
      </w:r>
      <w:r>
        <w:rPr>
          <w:spacing w:val="-9"/>
          <w:sz w:val="24"/>
        </w:rPr>
        <w:t> </w:t>
      </w:r>
      <w:r>
        <w:rPr>
          <w:sz w:val="24"/>
        </w:rPr>
        <w:t>3%</w:t>
      </w:r>
      <w:r>
        <w:rPr>
          <w:spacing w:val="-7"/>
          <w:sz w:val="24"/>
        </w:rPr>
        <w:t> </w:t>
      </w:r>
      <w:r>
        <w:rPr>
          <w:sz w:val="24"/>
        </w:rPr>
        <w:t>of</w:t>
      </w:r>
      <w:r>
        <w:rPr>
          <w:spacing w:val="-7"/>
          <w:sz w:val="24"/>
        </w:rPr>
        <w:t> </w:t>
      </w:r>
      <w:r>
        <w:rPr>
          <w:sz w:val="24"/>
        </w:rPr>
        <w:t>respondents</w:t>
      </w:r>
      <w:r>
        <w:rPr>
          <w:spacing w:val="-6"/>
          <w:sz w:val="24"/>
        </w:rPr>
        <w:t> </w:t>
      </w:r>
      <w:r>
        <w:rPr>
          <w:sz w:val="24"/>
        </w:rPr>
        <w:t>came</w:t>
      </w:r>
      <w:r>
        <w:rPr>
          <w:spacing w:val="-7"/>
          <w:sz w:val="24"/>
        </w:rPr>
        <w:t> </w:t>
      </w:r>
      <w:r>
        <w:rPr>
          <w:sz w:val="24"/>
        </w:rPr>
        <w:t>into</w:t>
      </w:r>
      <w:r>
        <w:rPr>
          <w:spacing w:val="-5"/>
          <w:sz w:val="24"/>
        </w:rPr>
        <w:t> </w:t>
      </w:r>
      <w:r>
        <w:rPr>
          <w:sz w:val="24"/>
        </w:rPr>
        <w:t>contact</w:t>
      </w:r>
      <w:r>
        <w:rPr>
          <w:spacing w:val="-7"/>
          <w:sz w:val="24"/>
        </w:rPr>
        <w:t> </w:t>
      </w:r>
      <w:r>
        <w:rPr>
          <w:sz w:val="24"/>
        </w:rPr>
        <w:t>with</w:t>
      </w:r>
      <w:r>
        <w:rPr>
          <w:spacing w:val="-5"/>
          <w:sz w:val="24"/>
        </w:rPr>
        <w:t> </w:t>
      </w:r>
      <w:r>
        <w:rPr>
          <w:sz w:val="24"/>
        </w:rPr>
        <w:t>LEP</w:t>
      </w:r>
      <w:r>
        <w:rPr>
          <w:spacing w:val="-13"/>
          <w:sz w:val="24"/>
        </w:rPr>
        <w:t> </w:t>
      </w:r>
      <w:r>
        <w:rPr>
          <w:sz w:val="24"/>
        </w:rPr>
        <w:t>persons</w:t>
      </w:r>
      <w:r>
        <w:rPr>
          <w:spacing w:val="-8"/>
          <w:sz w:val="24"/>
        </w:rPr>
        <w:t> </w:t>
      </w:r>
      <w:r>
        <w:rPr>
          <w:sz w:val="24"/>
        </w:rPr>
        <w:t>21–30</w:t>
      </w:r>
      <w:r>
        <w:rPr>
          <w:spacing w:val="-7"/>
          <w:sz w:val="24"/>
        </w:rPr>
        <w:t> </w:t>
      </w:r>
      <w:r>
        <w:rPr>
          <w:sz w:val="24"/>
        </w:rPr>
        <w:t>times</w:t>
      </w:r>
      <w:r>
        <w:rPr>
          <w:spacing w:val="-6"/>
          <w:sz w:val="24"/>
        </w:rPr>
        <w:t> </w:t>
      </w:r>
      <w:r>
        <w:rPr>
          <w:sz w:val="24"/>
        </w:rPr>
        <w:t>in</w:t>
      </w:r>
      <w:r>
        <w:rPr>
          <w:spacing w:val="63"/>
          <w:sz w:val="24"/>
        </w:rPr>
        <w:t> </w:t>
      </w:r>
      <w:r>
        <w:rPr>
          <w:sz w:val="24"/>
        </w:rPr>
        <w:t>the</w:t>
      </w:r>
      <w:r>
        <w:rPr>
          <w:spacing w:val="-7"/>
          <w:sz w:val="24"/>
        </w:rPr>
        <w:t> </w:t>
      </w:r>
      <w:r>
        <w:rPr>
          <w:sz w:val="24"/>
        </w:rPr>
        <w:t>average </w:t>
      </w:r>
      <w:r>
        <w:rPr>
          <w:spacing w:val="-4"/>
          <w:sz w:val="24"/>
        </w:rPr>
        <w:t>week.</w:t>
      </w:r>
    </w:p>
    <w:p>
      <w:pPr>
        <w:pStyle w:val="ListParagraph"/>
        <w:numPr>
          <w:ilvl w:val="0"/>
          <w:numId w:val="36"/>
        </w:numPr>
        <w:tabs>
          <w:tab w:pos="959" w:val="left" w:leader="none"/>
        </w:tabs>
        <w:spacing w:line="261" w:lineRule="auto" w:before="7" w:after="0"/>
        <w:ind w:left="959" w:right="638" w:hanging="360"/>
        <w:jc w:val="left"/>
        <w:rPr>
          <w:sz w:val="24"/>
        </w:rPr>
      </w:pPr>
      <w:r>
        <w:rPr>
          <w:sz w:val="24"/>
        </w:rPr>
        <w:t>Approximately</w:t>
      </w:r>
      <w:r>
        <w:rPr>
          <w:spacing w:val="-9"/>
          <w:sz w:val="24"/>
        </w:rPr>
        <w:t> </w:t>
      </w:r>
      <w:r>
        <w:rPr>
          <w:sz w:val="24"/>
        </w:rPr>
        <w:t>1%</w:t>
      </w:r>
      <w:r>
        <w:rPr>
          <w:spacing w:val="-7"/>
          <w:sz w:val="24"/>
        </w:rPr>
        <w:t> </w:t>
      </w:r>
      <w:r>
        <w:rPr>
          <w:sz w:val="24"/>
        </w:rPr>
        <w:t>of</w:t>
      </w:r>
      <w:r>
        <w:rPr>
          <w:spacing w:val="-7"/>
          <w:sz w:val="24"/>
        </w:rPr>
        <w:t> </w:t>
      </w:r>
      <w:r>
        <w:rPr>
          <w:sz w:val="24"/>
        </w:rPr>
        <w:t>respondents</w:t>
      </w:r>
      <w:r>
        <w:rPr>
          <w:spacing w:val="-6"/>
          <w:sz w:val="24"/>
        </w:rPr>
        <w:t> </w:t>
      </w:r>
      <w:r>
        <w:rPr>
          <w:sz w:val="24"/>
        </w:rPr>
        <w:t>came</w:t>
      </w:r>
      <w:r>
        <w:rPr>
          <w:spacing w:val="-7"/>
          <w:sz w:val="24"/>
        </w:rPr>
        <w:t> </w:t>
      </w:r>
      <w:r>
        <w:rPr>
          <w:sz w:val="24"/>
        </w:rPr>
        <w:t>into</w:t>
      </w:r>
      <w:r>
        <w:rPr>
          <w:spacing w:val="-5"/>
          <w:sz w:val="24"/>
        </w:rPr>
        <w:t> </w:t>
      </w:r>
      <w:r>
        <w:rPr>
          <w:sz w:val="24"/>
        </w:rPr>
        <w:t>contact</w:t>
      </w:r>
      <w:r>
        <w:rPr>
          <w:spacing w:val="-7"/>
          <w:sz w:val="24"/>
        </w:rPr>
        <w:t> </w:t>
      </w:r>
      <w:r>
        <w:rPr>
          <w:sz w:val="24"/>
        </w:rPr>
        <w:t>with</w:t>
      </w:r>
      <w:r>
        <w:rPr>
          <w:spacing w:val="-5"/>
          <w:sz w:val="24"/>
        </w:rPr>
        <w:t> </w:t>
      </w:r>
      <w:r>
        <w:rPr>
          <w:sz w:val="24"/>
        </w:rPr>
        <w:t>LEP</w:t>
      </w:r>
      <w:r>
        <w:rPr>
          <w:spacing w:val="-13"/>
          <w:sz w:val="24"/>
        </w:rPr>
        <w:t> </w:t>
      </w:r>
      <w:r>
        <w:rPr>
          <w:sz w:val="24"/>
        </w:rPr>
        <w:t>persons</w:t>
      </w:r>
      <w:r>
        <w:rPr>
          <w:spacing w:val="-8"/>
          <w:sz w:val="24"/>
        </w:rPr>
        <w:t> </w:t>
      </w:r>
      <w:r>
        <w:rPr>
          <w:sz w:val="24"/>
        </w:rPr>
        <w:t>31–40</w:t>
      </w:r>
      <w:r>
        <w:rPr>
          <w:spacing w:val="-7"/>
          <w:sz w:val="24"/>
        </w:rPr>
        <w:t> </w:t>
      </w:r>
      <w:r>
        <w:rPr>
          <w:sz w:val="24"/>
        </w:rPr>
        <w:t>times</w:t>
      </w:r>
      <w:r>
        <w:rPr>
          <w:spacing w:val="-6"/>
          <w:sz w:val="24"/>
        </w:rPr>
        <w:t> </w:t>
      </w:r>
      <w:r>
        <w:rPr>
          <w:sz w:val="24"/>
        </w:rPr>
        <w:t>in</w:t>
      </w:r>
      <w:r>
        <w:rPr>
          <w:spacing w:val="63"/>
          <w:sz w:val="24"/>
        </w:rPr>
        <w:t> </w:t>
      </w:r>
      <w:r>
        <w:rPr>
          <w:sz w:val="24"/>
        </w:rPr>
        <w:t>the</w:t>
      </w:r>
      <w:r>
        <w:rPr>
          <w:spacing w:val="-7"/>
          <w:sz w:val="24"/>
        </w:rPr>
        <w:t> </w:t>
      </w:r>
      <w:r>
        <w:rPr>
          <w:sz w:val="24"/>
        </w:rPr>
        <w:t>average </w:t>
      </w:r>
      <w:r>
        <w:rPr>
          <w:spacing w:val="-4"/>
          <w:sz w:val="24"/>
        </w:rPr>
        <w:t>week.</w:t>
      </w:r>
    </w:p>
    <w:p>
      <w:pPr>
        <w:pStyle w:val="ListParagraph"/>
        <w:numPr>
          <w:ilvl w:val="0"/>
          <w:numId w:val="36"/>
        </w:numPr>
        <w:tabs>
          <w:tab w:pos="959" w:val="left" w:leader="none"/>
        </w:tabs>
        <w:spacing w:line="240" w:lineRule="auto" w:before="4" w:after="0"/>
        <w:ind w:left="959" w:right="0" w:hanging="360"/>
        <w:jc w:val="left"/>
        <w:rPr>
          <w:sz w:val="24"/>
        </w:rPr>
      </w:pPr>
      <w:r>
        <w:rPr>
          <w:sz w:val="24"/>
        </w:rPr>
        <w:t>Less</w:t>
      </w:r>
      <w:r>
        <w:rPr>
          <w:spacing w:val="-7"/>
          <w:sz w:val="24"/>
        </w:rPr>
        <w:t> </w:t>
      </w:r>
      <w:r>
        <w:rPr>
          <w:sz w:val="24"/>
        </w:rPr>
        <w:t>than</w:t>
      </w:r>
      <w:r>
        <w:rPr>
          <w:spacing w:val="-5"/>
          <w:sz w:val="24"/>
        </w:rPr>
        <w:t> </w:t>
      </w:r>
      <w:r>
        <w:rPr>
          <w:sz w:val="24"/>
        </w:rPr>
        <w:t>1%</w:t>
      </w:r>
      <w:r>
        <w:rPr>
          <w:spacing w:val="-5"/>
          <w:sz w:val="24"/>
        </w:rPr>
        <w:t> </w:t>
      </w:r>
      <w:r>
        <w:rPr>
          <w:sz w:val="24"/>
        </w:rPr>
        <w:t>of</w:t>
      </w:r>
      <w:r>
        <w:rPr>
          <w:spacing w:val="-6"/>
          <w:sz w:val="24"/>
        </w:rPr>
        <w:t> </w:t>
      </w:r>
      <w:r>
        <w:rPr>
          <w:sz w:val="24"/>
        </w:rPr>
        <w:t>respondents</w:t>
      </w:r>
      <w:r>
        <w:rPr>
          <w:spacing w:val="-4"/>
          <w:sz w:val="24"/>
        </w:rPr>
        <w:t> </w:t>
      </w:r>
      <w:r>
        <w:rPr>
          <w:sz w:val="24"/>
        </w:rPr>
        <w:t>came</w:t>
      </w:r>
      <w:r>
        <w:rPr>
          <w:spacing w:val="-5"/>
          <w:sz w:val="24"/>
        </w:rPr>
        <w:t> </w:t>
      </w:r>
      <w:r>
        <w:rPr>
          <w:sz w:val="24"/>
        </w:rPr>
        <w:t>in</w:t>
      </w:r>
      <w:r>
        <w:rPr>
          <w:spacing w:val="-3"/>
          <w:sz w:val="24"/>
        </w:rPr>
        <w:t> </w:t>
      </w:r>
      <w:r>
        <w:rPr>
          <w:sz w:val="24"/>
        </w:rPr>
        <w:t>contact</w:t>
      </w:r>
      <w:r>
        <w:rPr>
          <w:spacing w:val="-7"/>
          <w:sz w:val="24"/>
        </w:rPr>
        <w:t> </w:t>
      </w:r>
      <w:r>
        <w:rPr>
          <w:sz w:val="24"/>
        </w:rPr>
        <w:t>with</w:t>
      </w:r>
      <w:r>
        <w:rPr>
          <w:spacing w:val="-5"/>
          <w:sz w:val="24"/>
        </w:rPr>
        <w:t> </w:t>
      </w:r>
      <w:r>
        <w:rPr>
          <w:sz w:val="24"/>
        </w:rPr>
        <w:t>41–50</w:t>
      </w:r>
      <w:r>
        <w:rPr>
          <w:spacing w:val="-4"/>
          <w:sz w:val="24"/>
        </w:rPr>
        <w:t> </w:t>
      </w:r>
      <w:r>
        <w:rPr>
          <w:sz w:val="24"/>
        </w:rPr>
        <w:t>LEP</w:t>
      </w:r>
      <w:r>
        <w:rPr>
          <w:spacing w:val="-11"/>
          <w:sz w:val="24"/>
        </w:rPr>
        <w:t> </w:t>
      </w:r>
      <w:r>
        <w:rPr>
          <w:sz w:val="24"/>
        </w:rPr>
        <w:t>persons</w:t>
      </w:r>
      <w:r>
        <w:rPr>
          <w:spacing w:val="-7"/>
          <w:sz w:val="24"/>
        </w:rPr>
        <w:t> </w:t>
      </w:r>
      <w:r>
        <w:rPr>
          <w:sz w:val="24"/>
        </w:rPr>
        <w:t>in</w:t>
      </w:r>
      <w:r>
        <w:rPr>
          <w:spacing w:val="-5"/>
          <w:sz w:val="24"/>
        </w:rPr>
        <w:t> </w:t>
      </w:r>
      <w:r>
        <w:rPr>
          <w:sz w:val="24"/>
        </w:rPr>
        <w:t>the</w:t>
      </w:r>
      <w:r>
        <w:rPr>
          <w:spacing w:val="-5"/>
          <w:sz w:val="24"/>
        </w:rPr>
        <w:t> </w:t>
      </w:r>
      <w:r>
        <w:rPr>
          <w:sz w:val="24"/>
        </w:rPr>
        <w:t>average</w:t>
      </w:r>
      <w:r>
        <w:rPr>
          <w:spacing w:val="52"/>
          <w:sz w:val="24"/>
        </w:rPr>
        <w:t> </w:t>
      </w:r>
      <w:r>
        <w:rPr>
          <w:spacing w:val="-2"/>
          <w:sz w:val="24"/>
        </w:rPr>
        <w:t>week.</w:t>
      </w:r>
    </w:p>
    <w:p>
      <w:pPr>
        <w:pStyle w:val="BodyText"/>
        <w:spacing w:before="6"/>
        <w:rPr>
          <w:sz w:val="26"/>
        </w:rPr>
      </w:pPr>
    </w:p>
    <w:p>
      <w:pPr>
        <w:pStyle w:val="BodyText"/>
        <w:spacing w:line="264" w:lineRule="auto"/>
        <w:ind w:left="239" w:right="583"/>
      </w:pPr>
      <w:r>
        <w:rPr/>
        <w:t>Approximately</w:t>
      </w:r>
      <w:r>
        <w:rPr>
          <w:spacing w:val="-14"/>
        </w:rPr>
        <w:t> </w:t>
      </w:r>
      <w:r>
        <w:rPr/>
        <w:t>94%</w:t>
      </w:r>
      <w:r>
        <w:rPr>
          <w:spacing w:val="-8"/>
        </w:rPr>
        <w:t> </w:t>
      </w:r>
      <w:r>
        <w:rPr/>
        <w:t>of</w:t>
      </w:r>
      <w:r>
        <w:rPr>
          <w:spacing w:val="-8"/>
        </w:rPr>
        <w:t> </w:t>
      </w:r>
      <w:r>
        <w:rPr/>
        <w:t>Maine’s</w:t>
      </w:r>
      <w:r>
        <w:rPr>
          <w:spacing w:val="-9"/>
        </w:rPr>
        <w:t> </w:t>
      </w:r>
      <w:r>
        <w:rPr/>
        <w:t>transportation</w:t>
      </w:r>
      <w:r>
        <w:rPr>
          <w:spacing w:val="-10"/>
        </w:rPr>
        <w:t> </w:t>
      </w:r>
      <w:r>
        <w:rPr/>
        <w:t>regions’</w:t>
      </w:r>
      <w:r>
        <w:rPr>
          <w:spacing w:val="-21"/>
        </w:rPr>
        <w:t> </w:t>
      </w:r>
      <w:r>
        <w:rPr/>
        <w:t>providers</w:t>
      </w:r>
      <w:r>
        <w:rPr>
          <w:spacing w:val="-10"/>
        </w:rPr>
        <w:t> </w:t>
      </w:r>
      <w:r>
        <w:rPr/>
        <w:t>come</w:t>
      </w:r>
      <w:r>
        <w:rPr>
          <w:spacing w:val="-8"/>
        </w:rPr>
        <w:t> </w:t>
      </w:r>
      <w:r>
        <w:rPr/>
        <w:t>into</w:t>
      </w:r>
      <w:r>
        <w:rPr>
          <w:spacing w:val="-11"/>
        </w:rPr>
        <w:t> </w:t>
      </w:r>
      <w:r>
        <w:rPr/>
        <w:t>contact</w:t>
      </w:r>
      <w:r>
        <w:rPr>
          <w:spacing w:val="-8"/>
        </w:rPr>
        <w:t> </w:t>
      </w:r>
      <w:r>
        <w:rPr/>
        <w:t>with</w:t>
      </w:r>
      <w:r>
        <w:rPr>
          <w:spacing w:val="-6"/>
        </w:rPr>
        <w:t> </w:t>
      </w:r>
      <w:r>
        <w:rPr/>
        <w:t>20</w:t>
      </w:r>
      <w:r>
        <w:rPr>
          <w:spacing w:val="-6"/>
        </w:rPr>
        <w:t> </w:t>
      </w:r>
      <w:r>
        <w:rPr/>
        <w:t>or</w:t>
      </w:r>
      <w:r>
        <w:rPr>
          <w:spacing w:val="72"/>
        </w:rPr>
        <w:t> </w:t>
      </w:r>
      <w:r>
        <w:rPr/>
        <w:t>fewer</w:t>
      </w:r>
      <w:r>
        <w:rPr>
          <w:spacing w:val="-6"/>
        </w:rPr>
        <w:t> </w:t>
      </w:r>
      <w:r>
        <w:rPr/>
        <w:t>LEP persons in the average week.</w:t>
      </w:r>
    </w:p>
    <w:p>
      <w:pPr>
        <w:pStyle w:val="BodyText"/>
        <w:spacing w:before="11"/>
        <w:rPr>
          <w:sz w:val="33"/>
        </w:rPr>
      </w:pPr>
    </w:p>
    <w:p>
      <w:pPr>
        <w:pStyle w:val="BodyText"/>
        <w:spacing w:line="261" w:lineRule="auto" w:before="1"/>
        <w:ind w:left="239" w:right="436"/>
        <w:jc w:val="both"/>
      </w:pPr>
      <w:r>
        <w:rPr/>
        <w:t>Survey question five asked which routes in your service area have high LEP ridership.</w:t>
      </w:r>
      <w:r>
        <w:rPr>
          <w:spacing w:val="-6"/>
        </w:rPr>
        <w:t> </w:t>
      </w:r>
      <w:r>
        <w:rPr/>
        <w:t>As that is</w:t>
      </w:r>
      <w:r>
        <w:rPr>
          <w:spacing w:val="80"/>
        </w:rPr>
        <w:t> </w:t>
      </w:r>
      <w:r>
        <w:rPr/>
        <w:t>a relative question and was open ended, the answers were not as conclusive as we would have</w:t>
      </w:r>
      <w:r>
        <w:rPr>
          <w:spacing w:val="40"/>
        </w:rPr>
        <w:t> </w:t>
      </w:r>
      <w:r>
        <w:rPr/>
        <w:t>hoped. Some respondents named destinations while others named routes. It can be concluded</w:t>
      </w:r>
      <w:r>
        <w:rPr>
          <w:spacing w:val="80"/>
        </w:rPr>
        <w:t> </w:t>
      </w:r>
      <w:r>
        <w:rPr/>
        <w:t>that the routes with the highest</w:t>
      </w:r>
      <w:r>
        <w:rPr>
          <w:spacing w:val="-6"/>
        </w:rPr>
        <w:t> </w:t>
      </w:r>
      <w:r>
        <w:rPr/>
        <w:t>LEP</w:t>
      </w:r>
      <w:r>
        <w:rPr>
          <w:spacing w:val="-14"/>
        </w:rPr>
        <w:t> </w:t>
      </w:r>
      <w:r>
        <w:rPr/>
        <w:t>ridership</w:t>
      </w:r>
      <w:r>
        <w:rPr>
          <w:spacing w:val="-2"/>
        </w:rPr>
        <w:t> </w:t>
      </w:r>
      <w:r>
        <w:rPr/>
        <w:t>in</w:t>
      </w:r>
      <w:r>
        <w:rPr>
          <w:spacing w:val="-7"/>
        </w:rPr>
        <w:t> </w:t>
      </w:r>
      <w:r>
        <w:rPr/>
        <w:t>the</w:t>
      </w:r>
      <w:r>
        <w:rPr>
          <w:spacing w:val="-4"/>
        </w:rPr>
        <w:t> </w:t>
      </w:r>
      <w:r>
        <w:rPr/>
        <w:t>State</w:t>
      </w:r>
      <w:r>
        <w:rPr>
          <w:spacing w:val="-5"/>
        </w:rPr>
        <w:t> </w:t>
      </w:r>
      <w:r>
        <w:rPr/>
        <w:t>of</w:t>
      </w:r>
      <w:r>
        <w:rPr>
          <w:spacing w:val="-3"/>
        </w:rPr>
        <w:t> </w:t>
      </w:r>
      <w:r>
        <w:rPr/>
        <w:t>Maine</w:t>
      </w:r>
      <w:r>
        <w:rPr>
          <w:spacing w:val="-5"/>
        </w:rPr>
        <w:t> </w:t>
      </w:r>
      <w:r>
        <w:rPr/>
        <w:t>are</w:t>
      </w:r>
      <w:r>
        <w:rPr>
          <w:spacing w:val="-5"/>
        </w:rPr>
        <w:t> </w:t>
      </w:r>
      <w:r>
        <w:rPr/>
        <w:t>those</w:t>
      </w:r>
      <w:r>
        <w:rPr>
          <w:spacing w:val="-4"/>
        </w:rPr>
        <w:t> </w:t>
      </w:r>
      <w:r>
        <w:rPr/>
        <w:t>in</w:t>
      </w:r>
      <w:r>
        <w:rPr>
          <w:spacing w:val="-3"/>
        </w:rPr>
        <w:t> </w:t>
      </w:r>
      <w:r>
        <w:rPr/>
        <w:t>Region</w:t>
      </w:r>
      <w:r>
        <w:rPr>
          <w:spacing w:val="-5"/>
        </w:rPr>
        <w:t> </w:t>
      </w:r>
      <w:r>
        <w:rPr/>
        <w:t>6</w:t>
      </w:r>
      <w:r>
        <w:rPr>
          <w:spacing w:val="-4"/>
        </w:rPr>
        <w:t> </w:t>
      </w:r>
      <w:r>
        <w:rPr/>
        <w:t>in</w:t>
      </w:r>
      <w:r>
        <w:rPr>
          <w:spacing w:val="-3"/>
        </w:rPr>
        <w:t> </w:t>
      </w:r>
      <w:r>
        <w:rPr/>
        <w:t>the</w:t>
      </w:r>
      <w:r>
        <w:rPr>
          <w:spacing w:val="40"/>
        </w:rPr>
        <w:t> </w:t>
      </w:r>
      <w:r>
        <w:rPr/>
        <w:t>greater</w:t>
      </w:r>
      <w:r>
        <w:rPr>
          <w:spacing w:val="-6"/>
        </w:rPr>
        <w:t> </w:t>
      </w:r>
      <w:r>
        <w:rPr/>
        <w:t>Portland</w:t>
      </w:r>
      <w:r>
        <w:rPr>
          <w:spacing w:val="-3"/>
        </w:rPr>
        <w:t> </w:t>
      </w:r>
      <w:r>
        <w:rPr/>
        <w:t>area,</w:t>
      </w:r>
      <w:r>
        <w:rPr>
          <w:spacing w:val="-8"/>
        </w:rPr>
        <w:t> </w:t>
      </w:r>
      <w:r>
        <w:rPr/>
        <w:t>and</w:t>
      </w:r>
      <w:r>
        <w:rPr>
          <w:spacing w:val="-5"/>
        </w:rPr>
        <w:t> </w:t>
      </w:r>
      <w:r>
        <w:rPr/>
        <w:t>in</w:t>
      </w:r>
      <w:r>
        <w:rPr>
          <w:spacing w:val="-3"/>
        </w:rPr>
        <w:t> </w:t>
      </w:r>
      <w:r>
        <w:rPr/>
        <w:t>Region 7 in Lewiston and Auburn. However, each transportation</w:t>
      </w:r>
      <w:r>
        <w:rPr>
          <w:spacing w:val="40"/>
        </w:rPr>
        <w:t> </w:t>
      </w:r>
      <w:r>
        <w:rPr/>
        <w:t>region has its own routes of importance/high ridership given their relative total and LEP</w:t>
      </w:r>
      <w:r>
        <w:rPr>
          <w:spacing w:val="40"/>
        </w:rPr>
        <w:t> </w:t>
      </w:r>
      <w:r>
        <w:rPr/>
        <w:t>populations.</w:t>
      </w:r>
    </w:p>
    <w:p>
      <w:pPr>
        <w:spacing w:after="0" w:line="261" w:lineRule="auto"/>
        <w:jc w:val="both"/>
        <w:sectPr>
          <w:pgSz w:w="12240" w:h="15840"/>
          <w:pgMar w:header="0" w:footer="1023" w:top="960" w:bottom="1260" w:left="600" w:right="500"/>
        </w:sectPr>
      </w:pPr>
    </w:p>
    <w:p>
      <w:pPr>
        <w:pStyle w:val="BodyText"/>
        <w:spacing w:line="264" w:lineRule="auto" w:before="35"/>
        <w:ind w:left="240" w:right="391"/>
        <w:jc w:val="both"/>
      </w:pPr>
      <w:r>
        <w:rPr/>
        <w:t>Region 1 did not provide adequate data to make a determination. The Ellsworth, Bar Harbor and</w:t>
      </w:r>
      <w:r>
        <w:rPr>
          <w:spacing w:val="80"/>
        </w:rPr>
        <w:t> </w:t>
      </w:r>
      <w:r>
        <w:rPr/>
        <w:t>Bangor routes</w:t>
      </w:r>
      <w:r>
        <w:rPr>
          <w:spacing w:val="-4"/>
        </w:rPr>
        <w:t> </w:t>
      </w:r>
      <w:r>
        <w:rPr/>
        <w:t>in</w:t>
      </w:r>
      <w:r>
        <w:rPr>
          <w:spacing w:val="-2"/>
        </w:rPr>
        <w:t> </w:t>
      </w:r>
      <w:r>
        <w:rPr/>
        <w:t>Region</w:t>
      </w:r>
      <w:r>
        <w:rPr>
          <w:spacing w:val="-5"/>
        </w:rPr>
        <w:t> </w:t>
      </w:r>
      <w:r>
        <w:rPr/>
        <w:t>2</w:t>
      </w:r>
      <w:r>
        <w:rPr>
          <w:spacing w:val="-5"/>
        </w:rPr>
        <w:t> </w:t>
      </w:r>
      <w:r>
        <w:rPr/>
        <w:t>have</w:t>
      </w:r>
      <w:r>
        <w:rPr>
          <w:spacing w:val="-3"/>
        </w:rPr>
        <w:t> </w:t>
      </w:r>
      <w:r>
        <w:rPr/>
        <w:t>the</w:t>
      </w:r>
      <w:r>
        <w:rPr>
          <w:spacing w:val="-3"/>
        </w:rPr>
        <w:t> </w:t>
      </w:r>
      <w:r>
        <w:rPr/>
        <w:t>highest</w:t>
      </w:r>
      <w:r>
        <w:rPr>
          <w:spacing w:val="-5"/>
        </w:rPr>
        <w:t> </w:t>
      </w:r>
      <w:r>
        <w:rPr/>
        <w:t>ridership</w:t>
      </w:r>
      <w:r>
        <w:rPr>
          <w:spacing w:val="-2"/>
        </w:rPr>
        <w:t> </w:t>
      </w:r>
      <w:r>
        <w:rPr/>
        <w:t>by</w:t>
      </w:r>
      <w:r>
        <w:rPr>
          <w:spacing w:val="-4"/>
        </w:rPr>
        <w:t> </w:t>
      </w:r>
      <w:r>
        <w:rPr/>
        <w:t>LEP</w:t>
      </w:r>
      <w:r>
        <w:rPr>
          <w:spacing w:val="-14"/>
        </w:rPr>
        <w:t> </w:t>
      </w:r>
      <w:r>
        <w:rPr/>
        <w:t>persons.</w:t>
      </w:r>
      <w:r>
        <w:rPr>
          <w:spacing w:val="-3"/>
        </w:rPr>
        <w:t> </w:t>
      </w:r>
      <w:r>
        <w:rPr/>
        <w:t>In</w:t>
      </w:r>
      <w:r>
        <w:rPr>
          <w:spacing w:val="-5"/>
        </w:rPr>
        <w:t> </w:t>
      </w:r>
      <w:r>
        <w:rPr/>
        <w:t>Region</w:t>
      </w:r>
      <w:r>
        <w:rPr>
          <w:spacing w:val="-3"/>
        </w:rPr>
        <w:t> </w:t>
      </w:r>
      <w:r>
        <w:rPr/>
        <w:t>3</w:t>
      </w:r>
      <w:r>
        <w:rPr>
          <w:spacing w:val="-3"/>
        </w:rPr>
        <w:t> </w:t>
      </w:r>
      <w:r>
        <w:rPr/>
        <w:t>it</w:t>
      </w:r>
      <w:r>
        <w:rPr>
          <w:spacing w:val="-5"/>
        </w:rPr>
        <w:t> </w:t>
      </w:r>
      <w:r>
        <w:rPr/>
        <w:t>is</w:t>
      </w:r>
      <w:r>
        <w:rPr>
          <w:spacing w:val="-4"/>
        </w:rPr>
        <w:t> </w:t>
      </w:r>
      <w:r>
        <w:rPr/>
        <w:t>the</w:t>
      </w:r>
      <w:r>
        <w:rPr>
          <w:spacing w:val="62"/>
        </w:rPr>
        <w:t> </w:t>
      </w:r>
      <w:r>
        <w:rPr/>
        <w:t>Bangor</w:t>
      </w:r>
      <w:r>
        <w:rPr>
          <w:spacing w:val="-3"/>
        </w:rPr>
        <w:t> </w:t>
      </w:r>
      <w:r>
        <w:rPr/>
        <w:t>routes;</w:t>
      </w:r>
      <w:r>
        <w:rPr>
          <w:spacing w:val="-3"/>
        </w:rPr>
        <w:t> </w:t>
      </w:r>
      <w:r>
        <w:rPr/>
        <w:t>in</w:t>
      </w:r>
      <w:r>
        <w:rPr>
          <w:spacing w:val="-2"/>
        </w:rPr>
        <w:t> </w:t>
      </w:r>
      <w:r>
        <w:rPr/>
        <w:t>Region</w:t>
      </w:r>
      <w:r>
        <w:rPr>
          <w:spacing w:val="-5"/>
        </w:rPr>
        <w:t> </w:t>
      </w:r>
      <w:r>
        <w:rPr/>
        <w:t>4 it</w:t>
      </w:r>
      <w:r>
        <w:rPr>
          <w:spacing w:val="-14"/>
        </w:rPr>
        <w:t> </w:t>
      </w:r>
      <w:r>
        <w:rPr/>
        <w:t>is</w:t>
      </w:r>
      <w:r>
        <w:rPr>
          <w:spacing w:val="-14"/>
        </w:rPr>
        <w:t> </w:t>
      </w:r>
      <w:r>
        <w:rPr/>
        <w:t>Waterville,</w:t>
      </w:r>
      <w:r>
        <w:rPr>
          <w:spacing w:val="-13"/>
        </w:rPr>
        <w:t> </w:t>
      </w:r>
      <w:r>
        <w:rPr/>
        <w:t>Augusta,</w:t>
      </w:r>
      <w:r>
        <w:rPr>
          <w:spacing w:val="-11"/>
        </w:rPr>
        <w:t> </w:t>
      </w:r>
      <w:r>
        <w:rPr/>
        <w:t>Skowhegan,</w:t>
      </w:r>
      <w:r>
        <w:rPr>
          <w:spacing w:val="-10"/>
        </w:rPr>
        <w:t> </w:t>
      </w:r>
      <w:r>
        <w:rPr/>
        <w:t>Madison,</w:t>
      </w:r>
      <w:r>
        <w:rPr>
          <w:spacing w:val="-13"/>
        </w:rPr>
        <w:t> </w:t>
      </w:r>
      <w:r>
        <w:rPr/>
        <w:t>Winthrop</w:t>
      </w:r>
      <w:r>
        <w:rPr>
          <w:spacing w:val="-11"/>
        </w:rPr>
        <w:t> </w:t>
      </w:r>
      <w:r>
        <w:rPr/>
        <w:t>and</w:t>
      </w:r>
      <w:r>
        <w:rPr>
          <w:spacing w:val="72"/>
        </w:rPr>
        <w:t> </w:t>
      </w:r>
      <w:r>
        <w:rPr/>
        <w:t>Gardiner;</w:t>
      </w:r>
      <w:r>
        <w:rPr>
          <w:spacing w:val="-9"/>
        </w:rPr>
        <w:t> </w:t>
      </w:r>
      <w:r>
        <w:rPr/>
        <w:t>in</w:t>
      </w:r>
      <w:r>
        <w:rPr>
          <w:spacing w:val="-11"/>
        </w:rPr>
        <w:t> </w:t>
      </w:r>
      <w:r>
        <w:rPr/>
        <w:t>Region</w:t>
      </w:r>
      <w:r>
        <w:rPr>
          <w:spacing w:val="-8"/>
        </w:rPr>
        <w:t> </w:t>
      </w:r>
      <w:r>
        <w:rPr/>
        <w:t>5</w:t>
      </w:r>
      <w:r>
        <w:rPr>
          <w:spacing w:val="-9"/>
        </w:rPr>
        <w:t> </w:t>
      </w:r>
      <w:r>
        <w:rPr/>
        <w:t>Portland,</w:t>
      </w:r>
      <w:r>
        <w:rPr>
          <w:spacing w:val="-9"/>
        </w:rPr>
        <w:t> </w:t>
      </w:r>
      <w:r>
        <w:rPr/>
        <w:t>Bangor,</w:t>
      </w:r>
      <w:r>
        <w:rPr>
          <w:spacing w:val="-13"/>
        </w:rPr>
        <w:t> </w:t>
      </w:r>
      <w:r>
        <w:rPr/>
        <w:t>Waldo and</w:t>
      </w:r>
      <w:r>
        <w:rPr>
          <w:spacing w:val="-14"/>
        </w:rPr>
        <w:t> </w:t>
      </w:r>
      <w:r>
        <w:rPr/>
        <w:t>Augusta;</w:t>
      </w:r>
      <w:r>
        <w:rPr>
          <w:spacing w:val="-14"/>
        </w:rPr>
        <w:t> </w:t>
      </w:r>
      <w:r>
        <w:rPr/>
        <w:t>in</w:t>
      </w:r>
      <w:r>
        <w:rPr>
          <w:spacing w:val="-13"/>
        </w:rPr>
        <w:t> </w:t>
      </w:r>
      <w:r>
        <w:rPr/>
        <w:t>Region</w:t>
      </w:r>
      <w:r>
        <w:rPr>
          <w:spacing w:val="-14"/>
        </w:rPr>
        <w:t> </w:t>
      </w:r>
      <w:r>
        <w:rPr/>
        <w:t>6</w:t>
      </w:r>
      <w:r>
        <w:rPr>
          <w:spacing w:val="-12"/>
        </w:rPr>
        <w:t> </w:t>
      </w:r>
      <w:r>
        <w:rPr/>
        <w:t>it</w:t>
      </w:r>
      <w:r>
        <w:rPr>
          <w:spacing w:val="-9"/>
        </w:rPr>
        <w:t> </w:t>
      </w:r>
      <w:r>
        <w:rPr/>
        <w:t>is</w:t>
      </w:r>
      <w:r>
        <w:rPr>
          <w:spacing w:val="-11"/>
        </w:rPr>
        <w:t> </w:t>
      </w:r>
      <w:r>
        <w:rPr/>
        <w:t>Biddeford,</w:t>
      </w:r>
      <w:r>
        <w:rPr>
          <w:spacing w:val="-11"/>
        </w:rPr>
        <w:t> </w:t>
      </w:r>
      <w:r>
        <w:rPr/>
        <w:t>Saco,</w:t>
      </w:r>
      <w:r>
        <w:rPr>
          <w:spacing w:val="72"/>
        </w:rPr>
        <w:t> </w:t>
      </w:r>
      <w:r>
        <w:rPr/>
        <w:t>Old</w:t>
      </w:r>
      <w:r>
        <w:rPr>
          <w:spacing w:val="-9"/>
        </w:rPr>
        <w:t> </w:t>
      </w:r>
      <w:r>
        <w:rPr/>
        <w:t>Orchard</w:t>
      </w:r>
      <w:r>
        <w:rPr>
          <w:spacing w:val="-12"/>
        </w:rPr>
        <w:t> </w:t>
      </w:r>
      <w:r>
        <w:rPr/>
        <w:t>Beach,</w:t>
      </w:r>
      <w:r>
        <w:rPr>
          <w:spacing w:val="-10"/>
        </w:rPr>
        <w:t> </w:t>
      </w:r>
      <w:r>
        <w:rPr/>
        <w:t>Portland,</w:t>
      </w:r>
      <w:r>
        <w:rPr>
          <w:spacing w:val="-11"/>
        </w:rPr>
        <w:t> </w:t>
      </w:r>
      <w:r>
        <w:rPr/>
        <w:t>Lewiston,</w:t>
      </w:r>
      <w:r>
        <w:rPr>
          <w:spacing w:val="-10"/>
        </w:rPr>
        <w:t> </w:t>
      </w:r>
      <w:r>
        <w:rPr/>
        <w:t>and</w:t>
      </w:r>
      <w:r>
        <w:rPr>
          <w:spacing w:val="-14"/>
        </w:rPr>
        <w:t> </w:t>
      </w:r>
      <w:r>
        <w:rPr/>
        <w:t>Auburn;</w:t>
      </w:r>
      <w:r>
        <w:rPr>
          <w:spacing w:val="-10"/>
        </w:rPr>
        <w:t> </w:t>
      </w:r>
      <w:r>
        <w:rPr/>
        <w:t>in</w:t>
      </w:r>
      <w:r>
        <w:rPr>
          <w:spacing w:val="-7"/>
        </w:rPr>
        <w:t> </w:t>
      </w:r>
      <w:r>
        <w:rPr/>
        <w:t>Region 7</w:t>
      </w:r>
      <w:r>
        <w:rPr>
          <w:spacing w:val="-14"/>
        </w:rPr>
        <w:t> </w:t>
      </w:r>
      <w:r>
        <w:rPr/>
        <w:t>it</w:t>
      </w:r>
      <w:r>
        <w:rPr>
          <w:spacing w:val="-14"/>
        </w:rPr>
        <w:t> </w:t>
      </w:r>
      <w:r>
        <w:rPr/>
        <w:t>is</w:t>
      </w:r>
      <w:r>
        <w:rPr>
          <w:spacing w:val="-11"/>
        </w:rPr>
        <w:t> </w:t>
      </w:r>
      <w:r>
        <w:rPr/>
        <w:t>Lewiston,</w:t>
      </w:r>
      <w:r>
        <w:rPr>
          <w:spacing w:val="-14"/>
        </w:rPr>
        <w:t> </w:t>
      </w:r>
      <w:r>
        <w:rPr/>
        <w:t>Auburn,</w:t>
      </w:r>
      <w:r>
        <w:rPr>
          <w:spacing w:val="-11"/>
        </w:rPr>
        <w:t> </w:t>
      </w:r>
      <w:r>
        <w:rPr/>
        <w:t>and</w:t>
      </w:r>
      <w:r>
        <w:rPr>
          <w:spacing w:val="64"/>
        </w:rPr>
        <w:t> </w:t>
      </w:r>
      <w:r>
        <w:rPr/>
        <w:t>Farmington,</w:t>
      </w:r>
      <w:r>
        <w:rPr>
          <w:spacing w:val="-12"/>
        </w:rPr>
        <w:t> </w:t>
      </w:r>
      <w:r>
        <w:rPr/>
        <w:t>and</w:t>
      </w:r>
      <w:r>
        <w:rPr>
          <w:spacing w:val="-11"/>
        </w:rPr>
        <w:t> </w:t>
      </w:r>
      <w:r>
        <w:rPr/>
        <w:t>lastly;</w:t>
      </w:r>
      <w:r>
        <w:rPr>
          <w:spacing w:val="-14"/>
        </w:rPr>
        <w:t> </w:t>
      </w:r>
      <w:r>
        <w:rPr/>
        <w:t>in</w:t>
      </w:r>
      <w:r>
        <w:rPr>
          <w:spacing w:val="-10"/>
        </w:rPr>
        <w:t> </w:t>
      </w:r>
      <w:r>
        <w:rPr/>
        <w:t>Region</w:t>
      </w:r>
      <w:r>
        <w:rPr>
          <w:spacing w:val="-11"/>
        </w:rPr>
        <w:t> </w:t>
      </w:r>
      <w:r>
        <w:rPr/>
        <w:t>8</w:t>
      </w:r>
      <w:r>
        <w:rPr>
          <w:spacing w:val="-11"/>
        </w:rPr>
        <w:t> </w:t>
      </w:r>
      <w:r>
        <w:rPr/>
        <w:t>it</w:t>
      </w:r>
      <w:r>
        <w:rPr>
          <w:spacing w:val="-8"/>
        </w:rPr>
        <w:t> </w:t>
      </w:r>
      <w:r>
        <w:rPr/>
        <w:t>is</w:t>
      </w:r>
      <w:r>
        <w:rPr>
          <w:spacing w:val="-12"/>
        </w:rPr>
        <w:t> </w:t>
      </w:r>
      <w:r>
        <w:rPr/>
        <w:t>Biddeford,</w:t>
      </w:r>
      <w:r>
        <w:rPr>
          <w:spacing w:val="-11"/>
        </w:rPr>
        <w:t> </w:t>
      </w:r>
      <w:r>
        <w:rPr/>
        <w:t>Saco,</w:t>
      </w:r>
      <w:r>
        <w:rPr>
          <w:spacing w:val="-12"/>
        </w:rPr>
        <w:t> </w:t>
      </w:r>
      <w:r>
        <w:rPr/>
        <w:t>Old</w:t>
      </w:r>
      <w:r>
        <w:rPr>
          <w:spacing w:val="-11"/>
        </w:rPr>
        <w:t> </w:t>
      </w:r>
      <w:r>
        <w:rPr/>
        <w:t>Orchard</w:t>
      </w:r>
      <w:r>
        <w:rPr>
          <w:spacing w:val="-10"/>
        </w:rPr>
        <w:t> </w:t>
      </w:r>
      <w:r>
        <w:rPr/>
        <w:t>Beach,</w:t>
      </w:r>
      <w:r>
        <w:rPr>
          <w:spacing w:val="-9"/>
        </w:rPr>
        <w:t> </w:t>
      </w:r>
      <w:r>
        <w:rPr/>
        <w:t>and </w:t>
      </w:r>
      <w:r>
        <w:rPr>
          <w:spacing w:val="-2"/>
        </w:rPr>
        <w:t>Portland.</w:t>
      </w:r>
    </w:p>
    <w:p>
      <w:pPr>
        <w:spacing w:after="0" w:line="264" w:lineRule="auto"/>
        <w:jc w:val="both"/>
        <w:sectPr>
          <w:pgSz w:w="12240" w:h="15840"/>
          <w:pgMar w:header="0" w:footer="1023" w:top="960" w:bottom="1260" w:left="600" w:right="500"/>
        </w:sectPr>
      </w:pPr>
    </w:p>
    <w:p>
      <w:pPr>
        <w:pStyle w:val="Heading8"/>
        <w:spacing w:before="35"/>
        <w:ind w:left="825"/>
        <w:jc w:val="left"/>
        <w:rPr>
          <w:u w:val="none"/>
        </w:rPr>
      </w:pPr>
      <w:bookmarkStart w:name="Factor 3: The Importance to LEP Persons " w:id="89"/>
      <w:bookmarkEnd w:id="89"/>
      <w:r>
        <w:rPr>
          <w:b w:val="0"/>
          <w:u w:val="none"/>
        </w:rPr>
      </w:r>
      <w:r>
        <w:rPr>
          <w:u w:val="single"/>
        </w:rPr>
        <w:t>FACTOR</w:t>
      </w:r>
      <w:r>
        <w:rPr>
          <w:spacing w:val="-16"/>
          <w:u w:val="single"/>
        </w:rPr>
        <w:t> </w:t>
      </w:r>
      <w:r>
        <w:rPr>
          <w:u w:val="single"/>
        </w:rPr>
        <w:t>3:</w:t>
      </w:r>
      <w:r>
        <w:rPr>
          <w:spacing w:val="-14"/>
          <w:u w:val="single"/>
        </w:rPr>
        <w:t> </w:t>
      </w:r>
      <w:r>
        <w:rPr>
          <w:u w:val="single"/>
        </w:rPr>
        <w:t>THE</w:t>
      </w:r>
      <w:r>
        <w:rPr>
          <w:spacing w:val="-13"/>
          <w:u w:val="single"/>
        </w:rPr>
        <w:t> </w:t>
      </w:r>
      <w:r>
        <w:rPr>
          <w:u w:val="single"/>
        </w:rPr>
        <w:t>IMPORTANCE</w:t>
      </w:r>
      <w:r>
        <w:rPr>
          <w:spacing w:val="-14"/>
          <w:u w:val="single"/>
        </w:rPr>
        <w:t> </w:t>
      </w:r>
      <w:r>
        <w:rPr>
          <w:u w:val="single"/>
        </w:rPr>
        <w:t>TO</w:t>
      </w:r>
      <w:r>
        <w:rPr>
          <w:spacing w:val="-13"/>
          <w:u w:val="single"/>
        </w:rPr>
        <w:t> </w:t>
      </w:r>
      <w:r>
        <w:rPr>
          <w:u w:val="single"/>
        </w:rPr>
        <w:t>LEP</w:t>
      </w:r>
      <w:r>
        <w:rPr>
          <w:spacing w:val="-14"/>
          <w:u w:val="single"/>
        </w:rPr>
        <w:t> </w:t>
      </w:r>
      <w:r>
        <w:rPr>
          <w:u w:val="single"/>
        </w:rPr>
        <w:t>PERSONS</w:t>
      </w:r>
      <w:r>
        <w:rPr>
          <w:spacing w:val="-13"/>
          <w:u w:val="single"/>
        </w:rPr>
        <w:t> </w:t>
      </w:r>
      <w:r>
        <w:rPr>
          <w:u w:val="single"/>
        </w:rPr>
        <w:t>OF</w:t>
      </w:r>
      <w:r>
        <w:rPr>
          <w:spacing w:val="-14"/>
          <w:u w:val="single"/>
        </w:rPr>
        <w:t> </w:t>
      </w:r>
      <w:r>
        <w:rPr>
          <w:u w:val="single"/>
        </w:rPr>
        <w:t>YOUR</w:t>
      </w:r>
      <w:r>
        <w:rPr>
          <w:spacing w:val="-9"/>
          <w:u w:val="single"/>
        </w:rPr>
        <w:t> </w:t>
      </w:r>
      <w:r>
        <w:rPr>
          <w:u w:val="single"/>
        </w:rPr>
        <w:t>PROGRAM,</w:t>
      </w:r>
      <w:r>
        <w:rPr>
          <w:spacing w:val="-21"/>
          <w:u w:val="single"/>
        </w:rPr>
        <w:t> </w:t>
      </w:r>
      <w:r>
        <w:rPr>
          <w:u w:val="single"/>
        </w:rPr>
        <w:t>ACTIVITIES</w:t>
      </w:r>
      <w:r>
        <w:rPr>
          <w:spacing w:val="-11"/>
          <w:u w:val="single"/>
        </w:rPr>
        <w:t> </w:t>
      </w:r>
      <w:r>
        <w:rPr>
          <w:u w:val="single"/>
        </w:rPr>
        <w:t>AND</w:t>
      </w:r>
      <w:r>
        <w:rPr>
          <w:spacing w:val="-9"/>
          <w:u w:val="single"/>
        </w:rPr>
        <w:t> </w:t>
      </w:r>
      <w:r>
        <w:rPr>
          <w:spacing w:val="-2"/>
          <w:u w:val="single"/>
        </w:rPr>
        <w:t>SERVICES</w:t>
      </w:r>
    </w:p>
    <w:p>
      <w:pPr>
        <w:pStyle w:val="BodyText"/>
        <w:rPr>
          <w:b/>
          <w:sz w:val="20"/>
        </w:rPr>
      </w:pPr>
    </w:p>
    <w:p>
      <w:pPr>
        <w:pStyle w:val="BodyText"/>
        <w:rPr>
          <w:b/>
          <w:sz w:val="20"/>
        </w:rPr>
      </w:pPr>
    </w:p>
    <w:p>
      <w:pPr>
        <w:pStyle w:val="BodyText"/>
        <w:rPr>
          <w:b/>
          <w:sz w:val="20"/>
        </w:rPr>
      </w:pPr>
    </w:p>
    <w:p>
      <w:pPr>
        <w:pStyle w:val="BodyText"/>
        <w:spacing w:before="4"/>
        <w:rPr>
          <w:b/>
          <w:sz w:val="20"/>
        </w:rPr>
      </w:pPr>
    </w:p>
    <w:p>
      <w:pPr>
        <w:pStyle w:val="Heading9"/>
        <w:spacing w:before="51"/>
      </w:pPr>
      <w:bookmarkStart w:name="Region 1" w:id="90"/>
      <w:bookmarkEnd w:id="90"/>
      <w:r>
        <w:rPr>
          <w:b w:val="0"/>
        </w:rPr>
      </w:r>
      <w:r>
        <w:rPr>
          <w:spacing w:val="-2"/>
          <w:u w:val="single"/>
        </w:rPr>
        <w:t>Region</w:t>
      </w:r>
      <w:r>
        <w:rPr>
          <w:spacing w:val="-4"/>
          <w:u w:val="single"/>
        </w:rPr>
        <w:t> </w:t>
      </w:r>
      <w:r>
        <w:rPr>
          <w:spacing w:val="-10"/>
          <w:u w:val="single"/>
        </w:rPr>
        <w:t>1</w:t>
      </w:r>
    </w:p>
    <w:p>
      <w:pPr>
        <w:pStyle w:val="BodyText"/>
        <w:spacing w:before="8"/>
        <w:rPr>
          <w:b/>
          <w:sz w:val="27"/>
        </w:rPr>
      </w:pPr>
    </w:p>
    <w:p>
      <w:pPr>
        <w:pStyle w:val="BodyText"/>
        <w:spacing w:line="264" w:lineRule="auto" w:before="51"/>
        <w:ind w:left="120" w:right="349"/>
        <w:jc w:val="both"/>
      </w:pPr>
      <w:r>
        <w:rPr/>
        <w:t>Aroostook</w:t>
      </w:r>
      <w:r>
        <w:rPr>
          <w:spacing w:val="-9"/>
        </w:rPr>
        <w:t> </w:t>
      </w:r>
      <w:r>
        <w:rPr/>
        <w:t>County</w:t>
      </w:r>
      <w:r>
        <w:rPr>
          <w:spacing w:val="-5"/>
        </w:rPr>
        <w:t> </w:t>
      </w:r>
      <w:r>
        <w:rPr/>
        <w:t>is</w:t>
      </w:r>
      <w:r>
        <w:rPr>
          <w:spacing w:val="-10"/>
        </w:rPr>
        <w:t> </w:t>
      </w:r>
      <w:r>
        <w:rPr/>
        <w:t>home</w:t>
      </w:r>
      <w:r>
        <w:rPr>
          <w:spacing w:val="-6"/>
        </w:rPr>
        <w:t> </w:t>
      </w:r>
      <w:r>
        <w:rPr/>
        <w:t>to</w:t>
      </w:r>
      <w:r>
        <w:rPr>
          <w:spacing w:val="-6"/>
        </w:rPr>
        <w:t> </w:t>
      </w:r>
      <w:r>
        <w:rPr/>
        <w:t>25%</w:t>
      </w:r>
      <w:r>
        <w:rPr>
          <w:spacing w:val="-6"/>
        </w:rPr>
        <w:t> </w:t>
      </w:r>
      <w:r>
        <w:rPr/>
        <w:t>of</w:t>
      </w:r>
      <w:r>
        <w:rPr>
          <w:spacing w:val="-6"/>
        </w:rPr>
        <w:t> </w:t>
      </w:r>
      <w:r>
        <w:rPr/>
        <w:t>the</w:t>
      </w:r>
      <w:r>
        <w:rPr>
          <w:spacing w:val="-4"/>
        </w:rPr>
        <w:t> </w:t>
      </w:r>
      <w:r>
        <w:rPr/>
        <w:t>French</w:t>
      </w:r>
      <w:r>
        <w:rPr>
          <w:spacing w:val="-6"/>
        </w:rPr>
        <w:t> </w:t>
      </w:r>
      <w:r>
        <w:rPr/>
        <w:t>speaking</w:t>
      </w:r>
      <w:r>
        <w:rPr>
          <w:spacing w:val="-7"/>
        </w:rPr>
        <w:t> </w:t>
      </w:r>
      <w:r>
        <w:rPr/>
        <w:t>LEP</w:t>
      </w:r>
      <w:r>
        <w:rPr>
          <w:spacing w:val="-14"/>
        </w:rPr>
        <w:t> </w:t>
      </w:r>
      <w:r>
        <w:rPr/>
        <w:t>population,</w:t>
      </w:r>
      <w:r>
        <w:rPr>
          <w:spacing w:val="-6"/>
        </w:rPr>
        <w:t> </w:t>
      </w:r>
      <w:r>
        <w:rPr/>
        <w:t>which</w:t>
      </w:r>
      <w:r>
        <w:rPr>
          <w:spacing w:val="-6"/>
        </w:rPr>
        <w:t> </w:t>
      </w:r>
      <w:r>
        <w:rPr/>
        <w:t>is</w:t>
      </w:r>
      <w:r>
        <w:rPr>
          <w:spacing w:val="-7"/>
        </w:rPr>
        <w:t> </w:t>
      </w:r>
      <w:r>
        <w:rPr/>
        <w:t>one</w:t>
      </w:r>
      <w:r>
        <w:rPr>
          <w:spacing w:val="40"/>
        </w:rPr>
        <w:t> </w:t>
      </w:r>
      <w:r>
        <w:rPr/>
        <w:t>thousandth</w:t>
      </w:r>
      <w:r>
        <w:rPr>
          <w:spacing w:val="-8"/>
        </w:rPr>
        <w:t> </w:t>
      </w:r>
      <w:r>
        <w:rPr/>
        <w:t>of</w:t>
      </w:r>
      <w:r>
        <w:rPr>
          <w:spacing w:val="-6"/>
        </w:rPr>
        <w:t> </w:t>
      </w:r>
      <w:r>
        <w:rPr/>
        <w:t>Maine’s </w:t>
      </w:r>
      <w:r>
        <w:rPr>
          <w:spacing w:val="-2"/>
        </w:rPr>
        <w:t>total</w:t>
      </w:r>
      <w:r>
        <w:rPr>
          <w:spacing w:val="-8"/>
        </w:rPr>
        <w:t> </w:t>
      </w:r>
      <w:r>
        <w:rPr>
          <w:spacing w:val="-2"/>
        </w:rPr>
        <w:t>population.</w:t>
      </w:r>
      <w:r>
        <w:rPr>
          <w:spacing w:val="-12"/>
        </w:rPr>
        <w:t> </w:t>
      </w:r>
      <w:r>
        <w:rPr>
          <w:spacing w:val="-2"/>
        </w:rPr>
        <w:t>The</w:t>
      </w:r>
      <w:r>
        <w:rPr>
          <w:spacing w:val="-10"/>
        </w:rPr>
        <w:t> </w:t>
      </w:r>
      <w:r>
        <w:rPr>
          <w:spacing w:val="-2"/>
        </w:rPr>
        <w:t>Trip</w:t>
      </w:r>
      <w:r>
        <w:rPr>
          <w:spacing w:val="-9"/>
        </w:rPr>
        <w:t> </w:t>
      </w:r>
      <w:r>
        <w:rPr>
          <w:spacing w:val="-2"/>
        </w:rPr>
        <w:t>Controller</w:t>
      </w:r>
      <w:r>
        <w:rPr>
          <w:spacing w:val="-8"/>
        </w:rPr>
        <w:t> </w:t>
      </w:r>
      <w:r>
        <w:rPr>
          <w:spacing w:val="-2"/>
        </w:rPr>
        <w:t>who</w:t>
      </w:r>
      <w:r>
        <w:rPr>
          <w:spacing w:val="-5"/>
        </w:rPr>
        <w:t> </w:t>
      </w:r>
      <w:r>
        <w:rPr>
          <w:spacing w:val="-2"/>
        </w:rPr>
        <w:t>responded</w:t>
      </w:r>
      <w:r>
        <w:rPr>
          <w:spacing w:val="-4"/>
        </w:rPr>
        <w:t> </w:t>
      </w:r>
      <w:r>
        <w:rPr>
          <w:spacing w:val="-2"/>
        </w:rPr>
        <w:t>to</w:t>
      </w:r>
      <w:r>
        <w:rPr>
          <w:spacing w:val="-7"/>
        </w:rPr>
        <w:t> </w:t>
      </w:r>
      <w:r>
        <w:rPr>
          <w:spacing w:val="-2"/>
        </w:rPr>
        <w:t>the</w:t>
      </w:r>
      <w:r>
        <w:rPr>
          <w:spacing w:val="-8"/>
        </w:rPr>
        <w:t> </w:t>
      </w:r>
      <w:r>
        <w:rPr>
          <w:spacing w:val="-2"/>
        </w:rPr>
        <w:t>survey</w:t>
      </w:r>
      <w:r>
        <w:rPr>
          <w:spacing w:val="40"/>
        </w:rPr>
        <w:t> </w:t>
      </w:r>
      <w:r>
        <w:rPr>
          <w:spacing w:val="-2"/>
        </w:rPr>
        <w:t>indicated</w:t>
      </w:r>
      <w:r>
        <w:rPr>
          <w:spacing w:val="-7"/>
        </w:rPr>
        <w:t> </w:t>
      </w:r>
      <w:r>
        <w:rPr>
          <w:spacing w:val="-2"/>
        </w:rPr>
        <w:t>that</w:t>
      </w:r>
      <w:r>
        <w:rPr>
          <w:spacing w:val="-7"/>
        </w:rPr>
        <w:t> </w:t>
      </w:r>
      <w:r>
        <w:rPr>
          <w:spacing w:val="-2"/>
        </w:rPr>
        <w:t>the</w:t>
      </w:r>
      <w:r>
        <w:rPr>
          <w:spacing w:val="-8"/>
        </w:rPr>
        <w:t> </w:t>
      </w:r>
      <w:r>
        <w:rPr>
          <w:spacing w:val="-2"/>
        </w:rPr>
        <w:t>questions</w:t>
      </w:r>
      <w:r>
        <w:rPr>
          <w:spacing w:val="-6"/>
        </w:rPr>
        <w:t> </w:t>
      </w:r>
      <w:r>
        <w:rPr>
          <w:spacing w:val="-2"/>
        </w:rPr>
        <w:t>most</w:t>
      </w:r>
      <w:r>
        <w:rPr>
          <w:spacing w:val="-4"/>
        </w:rPr>
        <w:t> </w:t>
      </w:r>
      <w:r>
        <w:rPr>
          <w:spacing w:val="-2"/>
        </w:rPr>
        <w:t>commonly </w:t>
      </w:r>
      <w:r>
        <w:rPr/>
        <w:t>asked are about how to ride the bus, where the bus</w:t>
      </w:r>
      <w:r>
        <w:rPr>
          <w:spacing w:val="40"/>
        </w:rPr>
        <w:t> </w:t>
      </w:r>
      <w:r>
        <w:rPr/>
        <w:t>is, fares, hours and days of service, accessibility, and complaints.</w:t>
      </w:r>
      <w:r>
        <w:rPr>
          <w:spacing w:val="-14"/>
        </w:rPr>
        <w:t> </w:t>
      </w:r>
      <w:r>
        <w:rPr/>
        <w:t>Mostly,</w:t>
      </w:r>
      <w:r>
        <w:rPr>
          <w:spacing w:val="-14"/>
        </w:rPr>
        <w:t> </w:t>
      </w:r>
      <w:r>
        <w:rPr/>
        <w:t>the</w:t>
      </w:r>
      <w:r>
        <w:rPr>
          <w:spacing w:val="-13"/>
        </w:rPr>
        <w:t> </w:t>
      </w:r>
      <w:r>
        <w:rPr/>
        <w:t>trip</w:t>
      </w:r>
      <w:r>
        <w:rPr>
          <w:spacing w:val="-14"/>
        </w:rPr>
        <w:t> </w:t>
      </w:r>
      <w:r>
        <w:rPr/>
        <w:t>destinations</w:t>
      </w:r>
      <w:r>
        <w:rPr>
          <w:spacing w:val="-13"/>
        </w:rPr>
        <w:t> </w:t>
      </w:r>
      <w:r>
        <w:rPr/>
        <w:t>are</w:t>
      </w:r>
      <w:r>
        <w:rPr>
          <w:spacing w:val="42"/>
        </w:rPr>
        <w:t> </w:t>
      </w:r>
      <w:r>
        <w:rPr/>
        <w:t>to</w:t>
      </w:r>
      <w:r>
        <w:rPr>
          <w:spacing w:val="-13"/>
        </w:rPr>
        <w:t> </w:t>
      </w:r>
      <w:r>
        <w:rPr/>
        <w:t>medical</w:t>
      </w:r>
      <w:r>
        <w:rPr>
          <w:spacing w:val="-14"/>
        </w:rPr>
        <w:t> </w:t>
      </w:r>
      <w:r>
        <w:rPr/>
        <w:t>offices</w:t>
      </w:r>
      <w:r>
        <w:rPr>
          <w:spacing w:val="-13"/>
        </w:rPr>
        <w:t> </w:t>
      </w:r>
      <w:r>
        <w:rPr/>
        <w:t>and</w:t>
      </w:r>
      <w:r>
        <w:rPr>
          <w:spacing w:val="-14"/>
        </w:rPr>
        <w:t> </w:t>
      </w:r>
      <w:r>
        <w:rPr/>
        <w:t>hospitals,</w:t>
      </w:r>
      <w:r>
        <w:rPr>
          <w:spacing w:val="-13"/>
        </w:rPr>
        <w:t> </w:t>
      </w:r>
      <w:r>
        <w:rPr/>
        <w:t>pharmacies,</w:t>
      </w:r>
      <w:r>
        <w:rPr>
          <w:spacing w:val="-14"/>
        </w:rPr>
        <w:t> </w:t>
      </w:r>
      <w:r>
        <w:rPr/>
        <w:t>other</w:t>
      </w:r>
      <w:r>
        <w:rPr>
          <w:spacing w:val="-13"/>
        </w:rPr>
        <w:t> </w:t>
      </w:r>
      <w:r>
        <w:rPr/>
        <w:t>shopping,</w:t>
      </w:r>
      <w:r>
        <w:rPr>
          <w:spacing w:val="-14"/>
        </w:rPr>
        <w:t> </w:t>
      </w:r>
      <w:r>
        <w:rPr/>
        <w:t>and </w:t>
      </w:r>
      <w:r>
        <w:rPr>
          <w:spacing w:val="-2"/>
        </w:rPr>
        <w:t>home.</w:t>
      </w:r>
    </w:p>
    <w:p>
      <w:pPr>
        <w:pStyle w:val="BodyText"/>
        <w:spacing w:before="10"/>
        <w:rPr>
          <w:sz w:val="19"/>
        </w:rPr>
      </w:pPr>
    </w:p>
    <w:p>
      <w:pPr>
        <w:pStyle w:val="Heading9"/>
        <w:jc w:val="both"/>
      </w:pPr>
      <w:bookmarkStart w:name="Region 2" w:id="91"/>
      <w:bookmarkEnd w:id="91"/>
      <w:r>
        <w:rPr>
          <w:b w:val="0"/>
        </w:rPr>
      </w:r>
      <w:r>
        <w:rPr>
          <w:spacing w:val="-2"/>
          <w:u w:val="single"/>
        </w:rPr>
        <w:t>Region</w:t>
      </w:r>
      <w:r>
        <w:rPr>
          <w:spacing w:val="-4"/>
          <w:u w:val="single"/>
        </w:rPr>
        <w:t> </w:t>
      </w:r>
      <w:r>
        <w:rPr>
          <w:spacing w:val="-10"/>
          <w:u w:val="single"/>
        </w:rPr>
        <w:t>2</w:t>
      </w:r>
    </w:p>
    <w:p>
      <w:pPr>
        <w:pStyle w:val="BodyText"/>
        <w:spacing w:before="7"/>
        <w:rPr>
          <w:b/>
          <w:sz w:val="27"/>
        </w:rPr>
      </w:pPr>
    </w:p>
    <w:p>
      <w:pPr>
        <w:pStyle w:val="BodyText"/>
        <w:spacing w:line="264" w:lineRule="auto" w:before="52"/>
        <w:ind w:left="120" w:right="349"/>
        <w:jc w:val="both"/>
      </w:pPr>
      <w:r>
        <w:rPr/>
        <w:t>The LEP populations coming into contact with Downeast Community Partners’</w:t>
      </w:r>
      <w:r>
        <w:rPr>
          <w:spacing w:val="-10"/>
        </w:rPr>
        <w:t> </w:t>
      </w:r>
      <w:r>
        <w:rPr/>
        <w:t>services are</w:t>
      </w:r>
      <w:r>
        <w:rPr>
          <w:spacing w:val="80"/>
        </w:rPr>
        <w:t> </w:t>
      </w:r>
      <w:r>
        <w:rPr/>
        <w:t>typically asking questions about days and hours of service, where’s my bus, accessibility and</w:t>
      </w:r>
      <w:r>
        <w:rPr>
          <w:spacing w:val="80"/>
        </w:rPr>
        <w:t> </w:t>
      </w:r>
      <w:r>
        <w:rPr/>
        <w:t>complaints, riding to medical appointments, pharmacies, grocery stores, other shopping, schools,</w:t>
      </w:r>
      <w:r>
        <w:rPr>
          <w:spacing w:val="80"/>
        </w:rPr>
        <w:t> </w:t>
      </w:r>
      <w:r>
        <w:rPr/>
        <w:t>and home.</w:t>
      </w:r>
    </w:p>
    <w:p>
      <w:pPr>
        <w:pStyle w:val="Heading9"/>
        <w:spacing w:before="120"/>
        <w:jc w:val="both"/>
      </w:pPr>
      <w:bookmarkStart w:name="Region 3" w:id="92"/>
      <w:bookmarkEnd w:id="92"/>
      <w:r>
        <w:rPr>
          <w:b w:val="0"/>
        </w:rPr>
      </w:r>
      <w:r>
        <w:rPr>
          <w:spacing w:val="-2"/>
          <w:u w:val="single"/>
        </w:rPr>
        <w:t>Region</w:t>
      </w:r>
      <w:r>
        <w:rPr>
          <w:spacing w:val="-4"/>
          <w:u w:val="single"/>
        </w:rPr>
        <w:t> </w:t>
      </w:r>
      <w:r>
        <w:rPr>
          <w:spacing w:val="-10"/>
          <w:u w:val="single"/>
        </w:rPr>
        <w:t>3</w:t>
      </w:r>
    </w:p>
    <w:p>
      <w:pPr>
        <w:pStyle w:val="BodyText"/>
        <w:spacing w:before="8"/>
        <w:rPr>
          <w:b/>
          <w:sz w:val="27"/>
        </w:rPr>
      </w:pPr>
    </w:p>
    <w:p>
      <w:pPr>
        <w:pStyle w:val="BodyText"/>
        <w:spacing w:line="264" w:lineRule="auto" w:before="52"/>
        <w:ind w:left="120" w:right="426"/>
        <w:jc w:val="both"/>
      </w:pPr>
      <w:r>
        <w:rPr/>
        <w:t>Penquis</w:t>
      </w:r>
      <w:r>
        <w:rPr>
          <w:spacing w:val="-11"/>
        </w:rPr>
        <w:t> </w:t>
      </w:r>
      <w:r>
        <w:rPr/>
        <w:t>Transportation</w:t>
      </w:r>
      <w:r>
        <w:rPr>
          <w:spacing w:val="-8"/>
        </w:rPr>
        <w:t> </w:t>
      </w:r>
      <w:r>
        <w:rPr/>
        <w:t>Services</w:t>
      </w:r>
      <w:r>
        <w:rPr>
          <w:spacing w:val="-7"/>
        </w:rPr>
        <w:t> </w:t>
      </w:r>
      <w:r>
        <w:rPr/>
        <w:t>indicated</w:t>
      </w:r>
      <w:r>
        <w:rPr>
          <w:spacing w:val="-6"/>
        </w:rPr>
        <w:t> </w:t>
      </w:r>
      <w:r>
        <w:rPr/>
        <w:t>that</w:t>
      </w:r>
      <w:r>
        <w:rPr>
          <w:spacing w:val="-5"/>
        </w:rPr>
        <w:t> </w:t>
      </w:r>
      <w:r>
        <w:rPr/>
        <w:t>when</w:t>
      </w:r>
      <w:r>
        <w:rPr>
          <w:spacing w:val="-3"/>
        </w:rPr>
        <w:t> </w:t>
      </w:r>
      <w:r>
        <w:rPr/>
        <w:t>they</w:t>
      </w:r>
      <w:r>
        <w:rPr>
          <w:spacing w:val="-5"/>
        </w:rPr>
        <w:t> </w:t>
      </w:r>
      <w:r>
        <w:rPr/>
        <w:t>interact</w:t>
      </w:r>
      <w:r>
        <w:rPr>
          <w:spacing w:val="-3"/>
        </w:rPr>
        <w:t> </w:t>
      </w:r>
      <w:r>
        <w:rPr/>
        <w:t>with</w:t>
      </w:r>
      <w:r>
        <w:rPr>
          <w:spacing w:val="-3"/>
        </w:rPr>
        <w:t> </w:t>
      </w:r>
      <w:r>
        <w:rPr/>
        <w:t>LEP</w:t>
      </w:r>
      <w:r>
        <w:rPr>
          <w:spacing w:val="-14"/>
        </w:rPr>
        <w:t> </w:t>
      </w:r>
      <w:r>
        <w:rPr/>
        <w:t>riders,</w:t>
      </w:r>
      <w:r>
        <w:rPr>
          <w:spacing w:val="-5"/>
        </w:rPr>
        <w:t> </w:t>
      </w:r>
      <w:r>
        <w:rPr/>
        <w:t>the</w:t>
      </w:r>
      <w:r>
        <w:rPr>
          <w:spacing w:val="-3"/>
        </w:rPr>
        <w:t> </w:t>
      </w:r>
      <w:r>
        <w:rPr/>
        <w:t>most</w:t>
      </w:r>
      <w:r>
        <w:rPr>
          <w:spacing w:val="75"/>
        </w:rPr>
        <w:t> </w:t>
      </w:r>
      <w:r>
        <w:rPr/>
        <w:t>asked</w:t>
      </w:r>
      <w:r>
        <w:rPr>
          <w:spacing w:val="-5"/>
        </w:rPr>
        <w:t> </w:t>
      </w:r>
      <w:r>
        <w:rPr/>
        <w:t>questions </w:t>
      </w:r>
      <w:r>
        <w:rPr>
          <w:spacing w:val="-2"/>
        </w:rPr>
        <w:t>are</w:t>
      </w:r>
      <w:r>
        <w:rPr>
          <w:spacing w:val="-9"/>
        </w:rPr>
        <w:t> </w:t>
      </w:r>
      <w:r>
        <w:rPr>
          <w:spacing w:val="-2"/>
        </w:rPr>
        <w:t>about</w:t>
      </w:r>
      <w:r>
        <w:rPr>
          <w:spacing w:val="-8"/>
        </w:rPr>
        <w:t> </w:t>
      </w:r>
      <w:r>
        <w:rPr>
          <w:spacing w:val="-2"/>
        </w:rPr>
        <w:t>fares,</w:t>
      </w:r>
      <w:r>
        <w:rPr>
          <w:spacing w:val="-10"/>
        </w:rPr>
        <w:t> </w:t>
      </w:r>
      <w:r>
        <w:rPr>
          <w:spacing w:val="-2"/>
        </w:rPr>
        <w:t>how</w:t>
      </w:r>
      <w:r>
        <w:rPr>
          <w:spacing w:val="-11"/>
        </w:rPr>
        <w:t> </w:t>
      </w:r>
      <w:r>
        <w:rPr>
          <w:spacing w:val="-2"/>
        </w:rPr>
        <w:t>to</w:t>
      </w:r>
      <w:r>
        <w:rPr>
          <w:spacing w:val="-8"/>
        </w:rPr>
        <w:t> </w:t>
      </w:r>
      <w:r>
        <w:rPr>
          <w:spacing w:val="-2"/>
        </w:rPr>
        <w:t>ride</w:t>
      </w:r>
      <w:r>
        <w:rPr>
          <w:spacing w:val="-6"/>
        </w:rPr>
        <w:t> </w:t>
      </w:r>
      <w:r>
        <w:rPr>
          <w:spacing w:val="-2"/>
        </w:rPr>
        <w:t>the</w:t>
      </w:r>
      <w:r>
        <w:rPr>
          <w:spacing w:val="-12"/>
        </w:rPr>
        <w:t> </w:t>
      </w:r>
      <w:r>
        <w:rPr>
          <w:spacing w:val="-2"/>
        </w:rPr>
        <w:t>bus,</w:t>
      </w:r>
      <w:r>
        <w:rPr>
          <w:spacing w:val="-9"/>
        </w:rPr>
        <w:t> </w:t>
      </w:r>
      <w:r>
        <w:rPr>
          <w:spacing w:val="-2"/>
        </w:rPr>
        <w:t>hours</w:t>
      </w:r>
      <w:r>
        <w:rPr>
          <w:spacing w:val="-10"/>
        </w:rPr>
        <w:t> </w:t>
      </w:r>
      <w:r>
        <w:rPr>
          <w:spacing w:val="-2"/>
        </w:rPr>
        <w:t>and</w:t>
      </w:r>
      <w:r>
        <w:rPr>
          <w:spacing w:val="-5"/>
        </w:rPr>
        <w:t> </w:t>
      </w:r>
      <w:r>
        <w:rPr>
          <w:spacing w:val="-2"/>
        </w:rPr>
        <w:t>days</w:t>
      </w:r>
      <w:r>
        <w:rPr>
          <w:spacing w:val="-7"/>
        </w:rPr>
        <w:t> </w:t>
      </w:r>
      <w:r>
        <w:rPr>
          <w:spacing w:val="-2"/>
        </w:rPr>
        <w:t>of</w:t>
      </w:r>
      <w:r>
        <w:rPr>
          <w:spacing w:val="-8"/>
        </w:rPr>
        <w:t> </w:t>
      </w:r>
      <w:r>
        <w:rPr>
          <w:spacing w:val="-2"/>
        </w:rPr>
        <w:t>service,</w:t>
      </w:r>
      <w:r>
        <w:rPr>
          <w:spacing w:val="-7"/>
        </w:rPr>
        <w:t> </w:t>
      </w:r>
      <w:r>
        <w:rPr>
          <w:spacing w:val="-2"/>
        </w:rPr>
        <w:t>accessibility,</w:t>
      </w:r>
      <w:r>
        <w:rPr>
          <w:spacing w:val="-10"/>
        </w:rPr>
        <w:t> </w:t>
      </w:r>
      <w:r>
        <w:rPr>
          <w:spacing w:val="-2"/>
        </w:rPr>
        <w:t>and</w:t>
      </w:r>
      <w:r>
        <w:rPr>
          <w:spacing w:val="40"/>
        </w:rPr>
        <w:t> </w:t>
      </w:r>
      <w:r>
        <w:rPr>
          <w:spacing w:val="-2"/>
        </w:rPr>
        <w:t>complaints.</w:t>
      </w:r>
      <w:r>
        <w:rPr>
          <w:spacing w:val="-12"/>
        </w:rPr>
        <w:t> </w:t>
      </w:r>
      <w:r>
        <w:rPr>
          <w:spacing w:val="-2"/>
        </w:rPr>
        <w:t>Their</w:t>
      </w:r>
      <w:r>
        <w:rPr>
          <w:spacing w:val="-11"/>
        </w:rPr>
        <w:t> </w:t>
      </w:r>
      <w:r>
        <w:rPr>
          <w:spacing w:val="-2"/>
        </w:rPr>
        <w:t>destinations </w:t>
      </w:r>
      <w:r>
        <w:rPr/>
        <w:t>are typically to medical offices and hospitals, pharmacies, grocery</w:t>
      </w:r>
      <w:r>
        <w:rPr>
          <w:spacing w:val="80"/>
        </w:rPr>
        <w:t> </w:t>
      </w:r>
      <w:r>
        <w:rPr/>
        <w:t>stores and home.</w:t>
      </w:r>
    </w:p>
    <w:p>
      <w:pPr>
        <w:pStyle w:val="BodyText"/>
        <w:spacing w:before="8"/>
        <w:rPr>
          <w:sz w:val="19"/>
        </w:rPr>
      </w:pPr>
    </w:p>
    <w:p>
      <w:pPr>
        <w:pStyle w:val="Heading9"/>
        <w:jc w:val="both"/>
      </w:pPr>
      <w:bookmarkStart w:name="Region 4" w:id="93"/>
      <w:bookmarkEnd w:id="93"/>
      <w:r>
        <w:rPr>
          <w:b w:val="0"/>
        </w:rPr>
      </w:r>
      <w:r>
        <w:rPr>
          <w:spacing w:val="-2"/>
          <w:u w:val="single"/>
        </w:rPr>
        <w:t>Region</w:t>
      </w:r>
      <w:r>
        <w:rPr>
          <w:spacing w:val="-4"/>
          <w:u w:val="single"/>
        </w:rPr>
        <w:t> </w:t>
      </w:r>
      <w:r>
        <w:rPr>
          <w:spacing w:val="-10"/>
          <w:u w:val="single"/>
        </w:rPr>
        <w:t>4</w:t>
      </w:r>
    </w:p>
    <w:p>
      <w:pPr>
        <w:pStyle w:val="BodyText"/>
        <w:spacing w:before="10"/>
        <w:rPr>
          <w:b/>
          <w:sz w:val="27"/>
        </w:rPr>
      </w:pPr>
    </w:p>
    <w:p>
      <w:pPr>
        <w:pStyle w:val="BodyText"/>
        <w:spacing w:line="264" w:lineRule="auto" w:before="51"/>
        <w:ind w:left="119" w:right="363"/>
        <w:jc w:val="both"/>
      </w:pPr>
      <w:r>
        <w:rPr/>
        <w:t>KVCAP</w:t>
      </w:r>
      <w:r>
        <w:rPr>
          <w:spacing w:val="-14"/>
        </w:rPr>
        <w:t> </w:t>
      </w:r>
      <w:r>
        <w:rPr/>
        <w:t>survey</w:t>
      </w:r>
      <w:r>
        <w:rPr>
          <w:spacing w:val="-14"/>
        </w:rPr>
        <w:t> </w:t>
      </w:r>
      <w:r>
        <w:rPr/>
        <w:t>respondents</w:t>
      </w:r>
      <w:r>
        <w:rPr>
          <w:spacing w:val="-13"/>
        </w:rPr>
        <w:t> </w:t>
      </w:r>
      <w:r>
        <w:rPr/>
        <w:t>indicated</w:t>
      </w:r>
      <w:r>
        <w:rPr>
          <w:spacing w:val="-14"/>
        </w:rPr>
        <w:t> </w:t>
      </w:r>
      <w:r>
        <w:rPr/>
        <w:t>that</w:t>
      </w:r>
      <w:r>
        <w:rPr>
          <w:spacing w:val="-13"/>
        </w:rPr>
        <w:t> </w:t>
      </w:r>
      <w:r>
        <w:rPr/>
        <w:t>when</w:t>
      </w:r>
      <w:r>
        <w:rPr>
          <w:spacing w:val="-14"/>
        </w:rPr>
        <w:t> </w:t>
      </w:r>
      <w:r>
        <w:rPr/>
        <w:t>they</w:t>
      </w:r>
      <w:r>
        <w:rPr>
          <w:spacing w:val="-13"/>
        </w:rPr>
        <w:t> </w:t>
      </w:r>
      <w:r>
        <w:rPr/>
        <w:t>interact</w:t>
      </w:r>
      <w:r>
        <w:rPr>
          <w:spacing w:val="-14"/>
        </w:rPr>
        <w:t> </w:t>
      </w:r>
      <w:r>
        <w:rPr/>
        <w:t>with</w:t>
      </w:r>
      <w:r>
        <w:rPr>
          <w:spacing w:val="-12"/>
        </w:rPr>
        <w:t> </w:t>
      </w:r>
      <w:r>
        <w:rPr/>
        <w:t>LEP</w:t>
      </w:r>
      <w:r>
        <w:rPr>
          <w:spacing w:val="-14"/>
        </w:rPr>
        <w:t> </w:t>
      </w:r>
      <w:r>
        <w:rPr/>
        <w:t>riders</w:t>
      </w:r>
      <w:r>
        <w:rPr>
          <w:spacing w:val="-10"/>
        </w:rPr>
        <w:t> </w:t>
      </w:r>
      <w:r>
        <w:rPr/>
        <w:t>the</w:t>
      </w:r>
      <w:r>
        <w:rPr>
          <w:spacing w:val="-13"/>
        </w:rPr>
        <w:t> </w:t>
      </w:r>
      <w:r>
        <w:rPr/>
        <w:t>most</w:t>
      </w:r>
      <w:r>
        <w:rPr>
          <w:spacing w:val="-9"/>
        </w:rPr>
        <w:t> </w:t>
      </w:r>
      <w:r>
        <w:rPr/>
        <w:t>common</w:t>
      </w:r>
      <w:r>
        <w:rPr>
          <w:spacing w:val="55"/>
        </w:rPr>
        <w:t> </w:t>
      </w:r>
      <w:r>
        <w:rPr/>
        <w:t>questions</w:t>
      </w:r>
      <w:r>
        <w:rPr>
          <w:spacing w:val="-14"/>
        </w:rPr>
        <w:t> </w:t>
      </w:r>
      <w:r>
        <w:rPr/>
        <w:t>that they hear are about origin and destination, how to ride, bus location, fares, hours</w:t>
      </w:r>
      <w:r>
        <w:rPr>
          <w:spacing w:val="40"/>
        </w:rPr>
        <w:t> </w:t>
      </w:r>
      <w:r>
        <w:rPr/>
        <w:t>and days of service, accessibility, and complaints.</w:t>
      </w:r>
      <w:r>
        <w:rPr>
          <w:spacing w:val="-1"/>
        </w:rPr>
        <w:t> </w:t>
      </w:r>
      <w:r>
        <w:rPr/>
        <w:t>Primary destinations are to medical offices and</w:t>
      </w:r>
      <w:r>
        <w:rPr>
          <w:spacing w:val="80"/>
        </w:rPr>
        <w:t> </w:t>
      </w:r>
      <w:r>
        <w:rPr/>
        <w:t>hospitals, pharmacies, grocery stores, other shopping, entertainment/social trips, employment,</w:t>
      </w:r>
      <w:r>
        <w:rPr>
          <w:spacing w:val="80"/>
        </w:rPr>
        <w:t> </w:t>
      </w:r>
      <w:r>
        <w:rPr/>
        <w:t>schools, and home.</w:t>
      </w:r>
    </w:p>
    <w:p>
      <w:pPr>
        <w:pStyle w:val="BodyText"/>
        <w:spacing w:before="8"/>
        <w:rPr>
          <w:sz w:val="19"/>
        </w:rPr>
      </w:pPr>
    </w:p>
    <w:p>
      <w:pPr>
        <w:pStyle w:val="Heading9"/>
        <w:jc w:val="both"/>
      </w:pPr>
      <w:bookmarkStart w:name="Region 5" w:id="94"/>
      <w:bookmarkEnd w:id="94"/>
      <w:r>
        <w:rPr>
          <w:b w:val="0"/>
        </w:rPr>
      </w:r>
      <w:r>
        <w:rPr>
          <w:spacing w:val="-2"/>
          <w:u w:val="single"/>
        </w:rPr>
        <w:t>Region</w:t>
      </w:r>
      <w:r>
        <w:rPr>
          <w:spacing w:val="-4"/>
          <w:u w:val="single"/>
        </w:rPr>
        <w:t> </w:t>
      </w:r>
      <w:r>
        <w:rPr>
          <w:spacing w:val="-10"/>
          <w:u w:val="single"/>
        </w:rPr>
        <w:t>5</w:t>
      </w:r>
    </w:p>
    <w:p>
      <w:pPr>
        <w:pStyle w:val="BodyText"/>
        <w:spacing w:before="8"/>
        <w:rPr>
          <w:b/>
          <w:sz w:val="27"/>
        </w:rPr>
      </w:pPr>
    </w:p>
    <w:p>
      <w:pPr>
        <w:pStyle w:val="BodyText"/>
        <w:spacing w:line="264" w:lineRule="auto" w:before="51"/>
        <w:ind w:left="120" w:right="368"/>
        <w:jc w:val="both"/>
      </w:pPr>
      <w:r>
        <w:rPr/>
        <w:t>WCAP survey respondents indicated that their most common communications with LEP persons</w:t>
      </w:r>
      <w:r>
        <w:rPr>
          <w:spacing w:val="80"/>
        </w:rPr>
        <w:t> </w:t>
      </w:r>
      <w:r>
        <w:rPr/>
        <w:t>are about how to ride the bus, fares, hours and days of operation, accessibility, and complaints.</w:t>
      </w:r>
      <w:r>
        <w:rPr>
          <w:spacing w:val="40"/>
        </w:rPr>
        <w:t> </w:t>
      </w:r>
      <w:r>
        <w:rPr/>
        <w:t>The most common destinations are medical offices and hospitals, grocery stores, other shopping,</w:t>
      </w:r>
      <w:r>
        <w:rPr>
          <w:spacing w:val="80"/>
        </w:rPr>
        <w:t> </w:t>
      </w:r>
      <w:r>
        <w:rPr/>
        <w:t>and home.</w:t>
      </w:r>
    </w:p>
    <w:p>
      <w:pPr>
        <w:pStyle w:val="BodyText"/>
        <w:spacing w:before="9"/>
        <w:rPr>
          <w:sz w:val="19"/>
        </w:rPr>
      </w:pPr>
    </w:p>
    <w:p>
      <w:pPr>
        <w:pStyle w:val="Heading9"/>
        <w:jc w:val="both"/>
      </w:pPr>
      <w:bookmarkStart w:name="Region 6" w:id="95"/>
      <w:bookmarkEnd w:id="95"/>
      <w:r>
        <w:rPr>
          <w:b w:val="0"/>
        </w:rPr>
      </w:r>
      <w:r>
        <w:rPr>
          <w:spacing w:val="-2"/>
          <w:u w:val="single"/>
        </w:rPr>
        <w:t>Region</w:t>
      </w:r>
      <w:r>
        <w:rPr>
          <w:spacing w:val="-4"/>
          <w:u w:val="single"/>
        </w:rPr>
        <w:t> </w:t>
      </w:r>
      <w:r>
        <w:rPr>
          <w:spacing w:val="-10"/>
          <w:u w:val="single"/>
        </w:rPr>
        <w:t>6</w:t>
      </w:r>
    </w:p>
    <w:p>
      <w:pPr>
        <w:pStyle w:val="BodyText"/>
        <w:spacing w:before="7"/>
        <w:rPr>
          <w:b/>
          <w:sz w:val="27"/>
        </w:rPr>
      </w:pPr>
    </w:p>
    <w:p>
      <w:pPr>
        <w:pStyle w:val="BodyText"/>
        <w:spacing w:line="264" w:lineRule="auto" w:before="52"/>
        <w:ind w:left="120" w:right="334"/>
        <w:jc w:val="both"/>
      </w:pPr>
      <w:r>
        <w:rPr/>
        <w:t>RTP</w:t>
      </w:r>
      <w:r>
        <w:rPr>
          <w:spacing w:val="-11"/>
        </w:rPr>
        <w:t> </w:t>
      </w:r>
      <w:r>
        <w:rPr/>
        <w:t>personnel indicated that when they interact with LEP</w:t>
      </w:r>
      <w:r>
        <w:rPr>
          <w:spacing w:val="-6"/>
        </w:rPr>
        <w:t> </w:t>
      </w:r>
      <w:r>
        <w:rPr/>
        <w:t>populations the primary questions they</w:t>
      </w:r>
      <w:r>
        <w:rPr>
          <w:spacing w:val="80"/>
        </w:rPr>
        <w:t> </w:t>
      </w:r>
      <w:r>
        <w:rPr/>
        <w:t>are asked are how to ride the bus, origin and destination, where is my bus, fare questions hours</w:t>
      </w:r>
      <w:r>
        <w:rPr>
          <w:spacing w:val="40"/>
        </w:rPr>
        <w:t> </w:t>
      </w:r>
      <w:r>
        <w:rPr/>
        <w:t>and days of service, accessibility,</w:t>
      </w:r>
      <w:r>
        <w:rPr>
          <w:spacing w:val="33"/>
        </w:rPr>
        <w:t> </w:t>
      </w:r>
      <w:r>
        <w:rPr/>
        <w:t>and</w:t>
      </w:r>
      <w:r>
        <w:rPr>
          <w:spacing w:val="32"/>
        </w:rPr>
        <w:t> </w:t>
      </w:r>
      <w:r>
        <w:rPr/>
        <w:t>complaints.</w:t>
      </w:r>
      <w:r>
        <w:rPr>
          <w:spacing w:val="24"/>
        </w:rPr>
        <w:t> </w:t>
      </w:r>
      <w:r>
        <w:rPr/>
        <w:t>The</w:t>
      </w:r>
      <w:r>
        <w:rPr>
          <w:spacing w:val="36"/>
        </w:rPr>
        <w:t> </w:t>
      </w:r>
      <w:r>
        <w:rPr/>
        <w:t>most</w:t>
      </w:r>
      <w:r>
        <w:rPr>
          <w:spacing w:val="35"/>
        </w:rPr>
        <w:t> </w:t>
      </w:r>
      <w:r>
        <w:rPr/>
        <w:t>typical</w:t>
      </w:r>
      <w:r>
        <w:rPr>
          <w:spacing w:val="34"/>
        </w:rPr>
        <w:t> </w:t>
      </w:r>
      <w:r>
        <w:rPr/>
        <w:t>destinations</w:t>
      </w:r>
      <w:r>
        <w:rPr>
          <w:spacing w:val="33"/>
        </w:rPr>
        <w:t> </w:t>
      </w:r>
      <w:r>
        <w:rPr/>
        <w:t>are</w:t>
      </w:r>
      <w:r>
        <w:rPr>
          <w:spacing w:val="34"/>
        </w:rPr>
        <w:t> </w:t>
      </w:r>
      <w:r>
        <w:rPr/>
        <w:t>to</w:t>
      </w:r>
      <w:r>
        <w:rPr>
          <w:spacing w:val="30"/>
        </w:rPr>
        <w:t> </w:t>
      </w:r>
      <w:r>
        <w:rPr/>
        <w:t>medical</w:t>
      </w:r>
      <w:r>
        <w:rPr>
          <w:spacing w:val="40"/>
        </w:rPr>
        <w:t>  </w:t>
      </w:r>
      <w:r>
        <w:rPr/>
        <w:t>offices/hospitals,</w:t>
      </w:r>
      <w:r>
        <w:rPr>
          <w:spacing w:val="31"/>
        </w:rPr>
        <w:t> </w:t>
      </w:r>
      <w:r>
        <w:rPr/>
        <w:t>pharmacies,</w:t>
      </w:r>
    </w:p>
    <w:p>
      <w:pPr>
        <w:spacing w:after="0" w:line="264" w:lineRule="auto"/>
        <w:jc w:val="both"/>
        <w:sectPr>
          <w:pgSz w:w="12240" w:h="15840"/>
          <w:pgMar w:header="0" w:footer="1023" w:top="960" w:bottom="1260" w:left="600" w:right="500"/>
        </w:sectPr>
      </w:pPr>
    </w:p>
    <w:p>
      <w:pPr>
        <w:pStyle w:val="BodyText"/>
        <w:tabs>
          <w:tab w:pos="1166" w:val="left" w:leader="none"/>
          <w:tab w:pos="2135" w:val="left" w:leader="none"/>
          <w:tab w:pos="2983" w:val="left" w:leader="none"/>
          <w:tab w:pos="4243" w:val="left" w:leader="none"/>
          <w:tab w:pos="5853" w:val="left" w:leader="none"/>
          <w:tab w:pos="8339" w:val="left" w:leader="none"/>
          <w:tab w:pos="10019" w:val="left" w:leader="none"/>
        </w:tabs>
        <w:spacing w:line="264" w:lineRule="auto" w:before="35"/>
        <w:ind w:left="120" w:right="335"/>
      </w:pPr>
      <w:r>
        <w:rPr>
          <w:spacing w:val="-2"/>
        </w:rPr>
        <w:t>grocery</w:t>
      </w:r>
      <w:r>
        <w:rPr/>
        <w:tab/>
      </w:r>
      <w:r>
        <w:rPr>
          <w:spacing w:val="-2"/>
        </w:rPr>
        <w:t>stores,</w:t>
      </w:r>
      <w:r>
        <w:rPr/>
        <w:tab/>
      </w:r>
      <w:r>
        <w:rPr>
          <w:spacing w:val="-2"/>
        </w:rPr>
        <w:t>other</w:t>
      </w:r>
      <w:r>
        <w:rPr/>
        <w:tab/>
      </w:r>
      <w:r>
        <w:rPr>
          <w:spacing w:val="-2"/>
        </w:rPr>
        <w:t>shopping,</w:t>
      </w:r>
      <w:r>
        <w:rPr/>
        <w:tab/>
      </w:r>
      <w:r>
        <w:rPr>
          <w:spacing w:val="-2"/>
        </w:rPr>
        <w:t>employment,</w:t>
      </w:r>
      <w:r>
        <w:rPr/>
        <w:tab/>
      </w:r>
      <w:r>
        <w:rPr>
          <w:spacing w:val="-2"/>
        </w:rPr>
        <w:t>entertainment/social</w:t>
      </w:r>
      <w:r>
        <w:rPr/>
        <w:tab/>
      </w:r>
      <w:r>
        <w:rPr>
          <w:spacing w:val="-2"/>
        </w:rPr>
        <w:t>engagements,</w:t>
      </w:r>
      <w:r>
        <w:rPr/>
        <w:tab/>
      </w:r>
      <w:r>
        <w:rPr>
          <w:spacing w:val="-2"/>
        </w:rPr>
        <w:t>schools, </w:t>
      </w:r>
      <w:r>
        <w:rPr/>
        <w:t>entertainment/social events, and home.</w:t>
      </w:r>
    </w:p>
    <w:p>
      <w:pPr>
        <w:pStyle w:val="BodyText"/>
        <w:spacing w:before="9"/>
        <w:rPr>
          <w:sz w:val="19"/>
        </w:rPr>
      </w:pPr>
    </w:p>
    <w:p>
      <w:pPr>
        <w:pStyle w:val="Heading9"/>
      </w:pPr>
      <w:bookmarkStart w:name="Region 7" w:id="96"/>
      <w:bookmarkEnd w:id="96"/>
      <w:r>
        <w:rPr>
          <w:b w:val="0"/>
        </w:rPr>
      </w:r>
      <w:r>
        <w:rPr>
          <w:spacing w:val="-2"/>
          <w:u w:val="single"/>
        </w:rPr>
        <w:t>Region</w:t>
      </w:r>
      <w:r>
        <w:rPr>
          <w:spacing w:val="-4"/>
          <w:u w:val="single"/>
        </w:rPr>
        <w:t> </w:t>
      </w:r>
      <w:r>
        <w:rPr>
          <w:spacing w:val="-10"/>
          <w:u w:val="single"/>
        </w:rPr>
        <w:t>7</w:t>
      </w:r>
    </w:p>
    <w:p>
      <w:pPr>
        <w:pStyle w:val="BodyText"/>
        <w:spacing w:before="8"/>
        <w:rPr>
          <w:b/>
          <w:sz w:val="27"/>
        </w:rPr>
      </w:pPr>
    </w:p>
    <w:p>
      <w:pPr>
        <w:pStyle w:val="BodyText"/>
        <w:spacing w:line="264" w:lineRule="auto" w:before="51"/>
        <w:ind w:left="119" w:right="421"/>
        <w:jc w:val="both"/>
      </w:pPr>
      <w:r>
        <w:rPr/>
        <w:t>WMTS survey respondents indicated that when they interact with LEP</w:t>
      </w:r>
      <w:r>
        <w:rPr>
          <w:spacing w:val="-2"/>
        </w:rPr>
        <w:t> </w:t>
      </w:r>
      <w:r>
        <w:rPr/>
        <w:t>populations, the primary</w:t>
      </w:r>
      <w:r>
        <w:rPr>
          <w:spacing w:val="80"/>
        </w:rPr>
        <w:t> </w:t>
      </w:r>
      <w:r>
        <w:rPr/>
        <w:t>questions they are asked are of origin and destination, where is my bus, fare questions, hours and</w:t>
      </w:r>
      <w:r>
        <w:rPr>
          <w:spacing w:val="40"/>
        </w:rPr>
        <w:t> </w:t>
      </w:r>
      <w:r>
        <w:rPr/>
        <w:t>days of service, accessibility,</w:t>
      </w:r>
      <w:r>
        <w:rPr>
          <w:spacing w:val="-8"/>
        </w:rPr>
        <w:t> </w:t>
      </w:r>
      <w:r>
        <w:rPr/>
        <w:t>and</w:t>
      </w:r>
      <w:r>
        <w:rPr>
          <w:spacing w:val="-3"/>
        </w:rPr>
        <w:t> </w:t>
      </w:r>
      <w:r>
        <w:rPr/>
        <w:t>complaints.</w:t>
      </w:r>
      <w:r>
        <w:rPr>
          <w:spacing w:val="-9"/>
        </w:rPr>
        <w:t> </w:t>
      </w:r>
      <w:r>
        <w:rPr/>
        <w:t>The</w:t>
      </w:r>
      <w:r>
        <w:rPr>
          <w:spacing w:val="-3"/>
        </w:rPr>
        <w:t> </w:t>
      </w:r>
      <w:r>
        <w:rPr/>
        <w:t>most</w:t>
      </w:r>
      <w:r>
        <w:rPr>
          <w:spacing w:val="-4"/>
        </w:rPr>
        <w:t> </w:t>
      </w:r>
      <w:r>
        <w:rPr/>
        <w:t>typical</w:t>
      </w:r>
      <w:r>
        <w:rPr>
          <w:spacing w:val="-3"/>
        </w:rPr>
        <w:t> </w:t>
      </w:r>
      <w:r>
        <w:rPr/>
        <w:t>destinations</w:t>
      </w:r>
      <w:r>
        <w:rPr>
          <w:spacing w:val="-3"/>
        </w:rPr>
        <w:t> </w:t>
      </w:r>
      <w:r>
        <w:rPr/>
        <w:t>are</w:t>
      </w:r>
      <w:r>
        <w:rPr>
          <w:spacing w:val="-5"/>
        </w:rPr>
        <w:t> </w:t>
      </w:r>
      <w:r>
        <w:rPr/>
        <w:t>to</w:t>
      </w:r>
      <w:r>
        <w:rPr>
          <w:spacing w:val="-7"/>
        </w:rPr>
        <w:t> </w:t>
      </w:r>
      <w:r>
        <w:rPr/>
        <w:t>medical</w:t>
      </w:r>
      <w:r>
        <w:rPr>
          <w:spacing w:val="76"/>
        </w:rPr>
        <w:t> </w:t>
      </w:r>
      <w:r>
        <w:rPr/>
        <w:t>offices</w:t>
      </w:r>
      <w:r>
        <w:rPr>
          <w:spacing w:val="-3"/>
        </w:rPr>
        <w:t> </w:t>
      </w:r>
      <w:r>
        <w:rPr/>
        <w:t>and</w:t>
      </w:r>
      <w:r>
        <w:rPr>
          <w:spacing w:val="-6"/>
        </w:rPr>
        <w:t> </w:t>
      </w:r>
      <w:r>
        <w:rPr/>
        <w:t>hospitals,</w:t>
      </w:r>
      <w:r>
        <w:rPr>
          <w:spacing w:val="-5"/>
        </w:rPr>
        <w:t> </w:t>
      </w:r>
      <w:r>
        <w:rPr/>
        <w:t>pharmacies, grocery stores, other shopping, employment,</w:t>
      </w:r>
      <w:r>
        <w:rPr>
          <w:spacing w:val="80"/>
        </w:rPr>
        <w:t> </w:t>
      </w:r>
      <w:r>
        <w:rPr/>
        <w:t>entertainment/social events, schools and home.</w:t>
      </w:r>
    </w:p>
    <w:p>
      <w:pPr>
        <w:pStyle w:val="BodyText"/>
        <w:spacing w:before="8"/>
        <w:rPr>
          <w:sz w:val="19"/>
        </w:rPr>
      </w:pPr>
    </w:p>
    <w:p>
      <w:pPr>
        <w:pStyle w:val="Heading9"/>
        <w:jc w:val="both"/>
      </w:pPr>
      <w:bookmarkStart w:name="Region 8" w:id="97"/>
      <w:bookmarkEnd w:id="97"/>
      <w:r>
        <w:rPr>
          <w:b w:val="0"/>
        </w:rPr>
      </w:r>
      <w:r>
        <w:rPr>
          <w:spacing w:val="-2"/>
          <w:u w:val="single"/>
        </w:rPr>
        <w:t>Region</w:t>
      </w:r>
      <w:r>
        <w:rPr>
          <w:spacing w:val="-4"/>
          <w:u w:val="single"/>
        </w:rPr>
        <w:t> </w:t>
      </w:r>
      <w:r>
        <w:rPr>
          <w:spacing w:val="-10"/>
          <w:u w:val="single"/>
        </w:rPr>
        <w:t>8</w:t>
      </w:r>
    </w:p>
    <w:p>
      <w:pPr>
        <w:pStyle w:val="BodyText"/>
        <w:spacing w:before="8"/>
        <w:rPr>
          <w:b/>
          <w:sz w:val="27"/>
        </w:rPr>
      </w:pPr>
    </w:p>
    <w:p>
      <w:pPr>
        <w:pStyle w:val="BodyText"/>
        <w:spacing w:line="264" w:lineRule="auto" w:before="51"/>
        <w:ind w:left="120" w:right="364"/>
        <w:jc w:val="both"/>
      </w:pPr>
      <w:r>
        <w:rPr/>
        <w:t>YCCAC</w:t>
      </w:r>
      <w:r>
        <w:rPr>
          <w:spacing w:val="-14"/>
        </w:rPr>
        <w:t> </w:t>
      </w:r>
      <w:r>
        <w:rPr/>
        <w:t>survey</w:t>
      </w:r>
      <w:r>
        <w:rPr>
          <w:spacing w:val="-14"/>
        </w:rPr>
        <w:t> </w:t>
      </w:r>
      <w:r>
        <w:rPr/>
        <w:t>respondents</w:t>
      </w:r>
      <w:r>
        <w:rPr>
          <w:spacing w:val="-13"/>
        </w:rPr>
        <w:t> </w:t>
      </w:r>
      <w:r>
        <w:rPr/>
        <w:t>indicated</w:t>
      </w:r>
      <w:r>
        <w:rPr>
          <w:spacing w:val="-14"/>
        </w:rPr>
        <w:t> </w:t>
      </w:r>
      <w:r>
        <w:rPr/>
        <w:t>that</w:t>
      </w:r>
      <w:r>
        <w:rPr>
          <w:spacing w:val="-13"/>
        </w:rPr>
        <w:t> </w:t>
      </w:r>
      <w:r>
        <w:rPr/>
        <w:t>when</w:t>
      </w:r>
      <w:r>
        <w:rPr>
          <w:spacing w:val="-14"/>
        </w:rPr>
        <w:t> </w:t>
      </w:r>
      <w:r>
        <w:rPr/>
        <w:t>they</w:t>
      </w:r>
      <w:r>
        <w:rPr>
          <w:spacing w:val="-13"/>
        </w:rPr>
        <w:t> </w:t>
      </w:r>
      <w:r>
        <w:rPr/>
        <w:t>interact</w:t>
      </w:r>
      <w:r>
        <w:rPr>
          <w:spacing w:val="-14"/>
        </w:rPr>
        <w:t> </w:t>
      </w:r>
      <w:r>
        <w:rPr/>
        <w:t>with</w:t>
      </w:r>
      <w:r>
        <w:rPr>
          <w:spacing w:val="-14"/>
        </w:rPr>
        <w:t> </w:t>
      </w:r>
      <w:r>
        <w:rPr/>
        <w:t>LEP</w:t>
      </w:r>
      <w:r>
        <w:rPr>
          <w:spacing w:val="-13"/>
        </w:rPr>
        <w:t> </w:t>
      </w:r>
      <w:r>
        <w:rPr/>
        <w:t>populations,</w:t>
      </w:r>
      <w:r>
        <w:rPr>
          <w:spacing w:val="-14"/>
        </w:rPr>
        <w:t> </w:t>
      </w:r>
      <w:r>
        <w:rPr/>
        <w:t>the</w:t>
      </w:r>
      <w:r>
        <w:rPr>
          <w:spacing w:val="-13"/>
        </w:rPr>
        <w:t> </w:t>
      </w:r>
      <w:r>
        <w:rPr/>
        <w:t>primary</w:t>
      </w:r>
      <w:r>
        <w:rPr>
          <w:spacing w:val="22"/>
        </w:rPr>
        <w:t> </w:t>
      </w:r>
      <w:r>
        <w:rPr/>
        <w:t>questions</w:t>
      </w:r>
      <w:r>
        <w:rPr>
          <w:spacing w:val="-14"/>
        </w:rPr>
        <w:t> </w:t>
      </w:r>
      <w:r>
        <w:rPr/>
        <w:t>they are asked are of origin and destination, how to ride, where is my bus, fare</w:t>
      </w:r>
      <w:r>
        <w:rPr>
          <w:spacing w:val="40"/>
        </w:rPr>
        <w:t> </w:t>
      </w:r>
      <w:r>
        <w:rPr/>
        <w:t>questions, and hours and days of service. The most typical destinations are to medical offices/hospitals, pharmacies, grocery stores, other shopping, employment, entertainment/social</w:t>
      </w:r>
      <w:r>
        <w:rPr>
          <w:spacing w:val="80"/>
        </w:rPr>
        <w:t> </w:t>
      </w:r>
      <w:r>
        <w:rPr/>
        <w:t>events, home, and the courthouse.</w:t>
      </w:r>
    </w:p>
    <w:p>
      <w:pPr>
        <w:pStyle w:val="BodyText"/>
        <w:rPr>
          <w:sz w:val="34"/>
        </w:rPr>
      </w:pPr>
    </w:p>
    <w:p>
      <w:pPr>
        <w:pStyle w:val="BodyText"/>
        <w:spacing w:line="264" w:lineRule="auto"/>
        <w:ind w:left="120" w:right="333"/>
        <w:jc w:val="both"/>
      </w:pPr>
      <w:r>
        <w:rPr/>
        <w:t>Overall,</w:t>
      </w:r>
      <w:r>
        <w:rPr>
          <w:spacing w:val="-12"/>
        </w:rPr>
        <w:t> </w:t>
      </w:r>
      <w:r>
        <w:rPr/>
        <w:t>the</w:t>
      </w:r>
      <w:r>
        <w:rPr>
          <w:spacing w:val="-10"/>
        </w:rPr>
        <w:t> </w:t>
      </w:r>
      <w:r>
        <w:rPr/>
        <w:t>most</w:t>
      </w:r>
      <w:r>
        <w:rPr>
          <w:spacing w:val="-7"/>
        </w:rPr>
        <w:t> </w:t>
      </w:r>
      <w:r>
        <w:rPr/>
        <w:t>commonly</w:t>
      </w:r>
      <w:r>
        <w:rPr>
          <w:spacing w:val="-11"/>
        </w:rPr>
        <w:t> </w:t>
      </w:r>
      <w:r>
        <w:rPr/>
        <w:t>accessed</w:t>
      </w:r>
      <w:r>
        <w:rPr>
          <w:spacing w:val="-7"/>
        </w:rPr>
        <w:t> </w:t>
      </w:r>
      <w:r>
        <w:rPr/>
        <w:t>services</w:t>
      </w:r>
      <w:r>
        <w:rPr>
          <w:spacing w:val="-11"/>
        </w:rPr>
        <w:t> </w:t>
      </w:r>
      <w:r>
        <w:rPr/>
        <w:t>by</w:t>
      </w:r>
      <w:r>
        <w:rPr>
          <w:spacing w:val="-11"/>
        </w:rPr>
        <w:t> </w:t>
      </w:r>
      <w:r>
        <w:rPr/>
        <w:t>LEP</w:t>
      </w:r>
      <w:r>
        <w:rPr>
          <w:spacing w:val="-14"/>
        </w:rPr>
        <w:t> </w:t>
      </w:r>
      <w:r>
        <w:rPr/>
        <w:t>individuals</w:t>
      </w:r>
      <w:r>
        <w:rPr>
          <w:spacing w:val="-8"/>
        </w:rPr>
        <w:t> </w:t>
      </w:r>
      <w:r>
        <w:rPr/>
        <w:t>riding</w:t>
      </w:r>
      <w:r>
        <w:rPr>
          <w:spacing w:val="-11"/>
        </w:rPr>
        <w:t> </w:t>
      </w:r>
      <w:r>
        <w:rPr/>
        <w:t>public</w:t>
      </w:r>
      <w:r>
        <w:rPr>
          <w:spacing w:val="-9"/>
        </w:rPr>
        <w:t> </w:t>
      </w:r>
      <w:r>
        <w:rPr/>
        <w:t>transportation</w:t>
      </w:r>
      <w:r>
        <w:rPr>
          <w:spacing w:val="-7"/>
        </w:rPr>
        <w:t> </w:t>
      </w:r>
      <w:r>
        <w:rPr/>
        <w:t>in</w:t>
      </w:r>
      <w:r>
        <w:rPr>
          <w:spacing w:val="80"/>
        </w:rPr>
        <w:t> </w:t>
      </w:r>
      <w:r>
        <w:rPr/>
        <w:t>Maine</w:t>
      </w:r>
      <w:r>
        <w:rPr>
          <w:spacing w:val="-7"/>
        </w:rPr>
        <w:t> </w:t>
      </w:r>
      <w:r>
        <w:rPr/>
        <w:t>appear to</w:t>
      </w:r>
      <w:r>
        <w:rPr>
          <w:spacing w:val="-4"/>
        </w:rPr>
        <w:t> </w:t>
      </w:r>
      <w:r>
        <w:rPr/>
        <w:t>be</w:t>
      </w:r>
      <w:r>
        <w:rPr>
          <w:spacing w:val="-6"/>
        </w:rPr>
        <w:t> </w:t>
      </w:r>
      <w:r>
        <w:rPr/>
        <w:t>medical</w:t>
      </w:r>
      <w:r>
        <w:rPr>
          <w:spacing w:val="-6"/>
        </w:rPr>
        <w:t> </w:t>
      </w:r>
      <w:r>
        <w:rPr/>
        <w:t>offices</w:t>
      </w:r>
      <w:r>
        <w:rPr>
          <w:spacing w:val="-4"/>
        </w:rPr>
        <w:t> </w:t>
      </w:r>
      <w:r>
        <w:rPr/>
        <w:t>and</w:t>
      </w:r>
      <w:r>
        <w:rPr>
          <w:spacing w:val="-5"/>
        </w:rPr>
        <w:t> </w:t>
      </w:r>
      <w:r>
        <w:rPr/>
        <w:t>hospitals,</w:t>
      </w:r>
      <w:r>
        <w:rPr>
          <w:spacing w:val="-6"/>
        </w:rPr>
        <w:t> </w:t>
      </w:r>
      <w:r>
        <w:rPr/>
        <w:t>grocery</w:t>
      </w:r>
      <w:r>
        <w:rPr>
          <w:spacing w:val="-5"/>
        </w:rPr>
        <w:t> </w:t>
      </w:r>
      <w:r>
        <w:rPr/>
        <w:t>shopping,</w:t>
      </w:r>
      <w:r>
        <w:rPr>
          <w:spacing w:val="-7"/>
        </w:rPr>
        <w:t> </w:t>
      </w:r>
      <w:r>
        <w:rPr/>
        <w:t>pharmacies,</w:t>
      </w:r>
      <w:r>
        <w:rPr>
          <w:spacing w:val="-4"/>
        </w:rPr>
        <w:t> </w:t>
      </w:r>
      <w:r>
        <w:rPr/>
        <w:t>schools,</w:t>
      </w:r>
      <w:r>
        <w:rPr>
          <w:spacing w:val="40"/>
        </w:rPr>
        <w:t> </w:t>
      </w:r>
      <w:r>
        <w:rPr/>
        <w:t>employment</w:t>
      </w:r>
      <w:r>
        <w:rPr>
          <w:spacing w:val="-5"/>
        </w:rPr>
        <w:t> </w:t>
      </w:r>
      <w:r>
        <w:rPr/>
        <w:t>and</w:t>
      </w:r>
      <w:r>
        <w:rPr>
          <w:spacing w:val="-3"/>
        </w:rPr>
        <w:t> </w:t>
      </w:r>
      <w:r>
        <w:rPr/>
        <w:t>other</w:t>
      </w:r>
      <w:r>
        <w:rPr>
          <w:spacing w:val="-4"/>
        </w:rPr>
        <w:t> </w:t>
      </w:r>
      <w:r>
        <w:rPr/>
        <w:t>shopping, and entertainment.</w:t>
      </w:r>
    </w:p>
    <w:p>
      <w:pPr>
        <w:pStyle w:val="BodyText"/>
        <w:spacing w:before="10"/>
        <w:rPr>
          <w:sz w:val="33"/>
        </w:rPr>
      </w:pPr>
    </w:p>
    <w:p>
      <w:pPr>
        <w:pStyle w:val="BodyText"/>
        <w:spacing w:line="264" w:lineRule="auto"/>
        <w:ind w:left="120" w:right="673"/>
        <w:jc w:val="both"/>
      </w:pPr>
      <w:r>
        <w:rPr/>
        <w:t>Information</w:t>
      </w:r>
      <w:r>
        <w:rPr>
          <w:spacing w:val="-14"/>
        </w:rPr>
        <w:t> </w:t>
      </w:r>
      <w:r>
        <w:rPr/>
        <w:t>provided</w:t>
      </w:r>
      <w:r>
        <w:rPr>
          <w:spacing w:val="-14"/>
        </w:rPr>
        <w:t> </w:t>
      </w:r>
      <w:r>
        <w:rPr/>
        <w:t>by</w:t>
      </w:r>
      <w:r>
        <w:rPr>
          <w:spacing w:val="-13"/>
        </w:rPr>
        <w:t> </w:t>
      </w:r>
      <w:r>
        <w:rPr/>
        <w:t>community</w:t>
      </w:r>
      <w:r>
        <w:rPr>
          <w:spacing w:val="-14"/>
        </w:rPr>
        <w:t> </w:t>
      </w:r>
      <w:r>
        <w:rPr/>
        <w:t>partners</w:t>
      </w:r>
      <w:r>
        <w:rPr>
          <w:spacing w:val="-13"/>
        </w:rPr>
        <w:t> </w:t>
      </w:r>
      <w:r>
        <w:rPr/>
        <w:t>in</w:t>
      </w:r>
      <w:r>
        <w:rPr>
          <w:spacing w:val="-14"/>
        </w:rPr>
        <w:t> </w:t>
      </w:r>
      <w:r>
        <w:rPr/>
        <w:t>all</w:t>
      </w:r>
      <w:r>
        <w:rPr>
          <w:spacing w:val="-13"/>
        </w:rPr>
        <w:t> </w:t>
      </w:r>
      <w:r>
        <w:rPr/>
        <w:t>eight</w:t>
      </w:r>
      <w:r>
        <w:rPr>
          <w:spacing w:val="-14"/>
        </w:rPr>
        <w:t> </w:t>
      </w:r>
      <w:r>
        <w:rPr/>
        <w:t>transportation</w:t>
      </w:r>
      <w:r>
        <w:rPr>
          <w:spacing w:val="-14"/>
        </w:rPr>
        <w:t> </w:t>
      </w:r>
      <w:r>
        <w:rPr/>
        <w:t>regions,</w:t>
      </w:r>
      <w:r>
        <w:rPr>
          <w:spacing w:val="-13"/>
        </w:rPr>
        <w:t> </w:t>
      </w:r>
      <w:r>
        <w:rPr/>
        <w:t>such</w:t>
      </w:r>
      <w:r>
        <w:rPr>
          <w:spacing w:val="-14"/>
        </w:rPr>
        <w:t> </w:t>
      </w:r>
      <w:r>
        <w:rPr/>
        <w:t>as</w:t>
      </w:r>
      <w:r>
        <w:rPr>
          <w:spacing w:val="-13"/>
        </w:rPr>
        <w:t> </w:t>
      </w:r>
      <w:r>
        <w:rPr/>
        <w:t>local</w:t>
      </w:r>
      <w:r>
        <w:rPr>
          <w:spacing w:val="2"/>
        </w:rPr>
        <w:t> </w:t>
      </w:r>
      <w:r>
        <w:rPr/>
        <w:t>governments, the United Way, community shelter programs, youth centers, and health centers</w:t>
      </w:r>
      <w:r>
        <w:rPr>
          <w:spacing w:val="80"/>
        </w:rPr>
        <w:t> </w:t>
      </w:r>
      <w:r>
        <w:rPr/>
        <w:t>indicates that they minimally or occasionally encounter LEP persons.</w:t>
      </w:r>
    </w:p>
    <w:p>
      <w:pPr>
        <w:pStyle w:val="BodyText"/>
        <w:spacing w:before="8"/>
        <w:rPr>
          <w:sz w:val="33"/>
        </w:rPr>
      </w:pPr>
    </w:p>
    <w:p>
      <w:pPr>
        <w:pStyle w:val="Heading8"/>
        <w:ind w:left="220"/>
        <w:jc w:val="both"/>
        <w:rPr>
          <w:u w:val="none"/>
        </w:rPr>
      </w:pPr>
      <w:bookmarkStart w:name="Factor 4: The Resources Available to the" w:id="98"/>
      <w:bookmarkEnd w:id="98"/>
      <w:r>
        <w:rPr>
          <w:b w:val="0"/>
          <w:u w:val="none"/>
        </w:rPr>
      </w:r>
      <w:r>
        <w:rPr>
          <w:u w:val="single"/>
        </w:rPr>
        <w:t>FACTOR</w:t>
      </w:r>
      <w:r>
        <w:rPr>
          <w:spacing w:val="-16"/>
          <w:u w:val="single"/>
        </w:rPr>
        <w:t> </w:t>
      </w:r>
      <w:r>
        <w:rPr>
          <w:u w:val="single"/>
        </w:rPr>
        <w:t>4:</w:t>
      </w:r>
      <w:r>
        <w:rPr>
          <w:spacing w:val="-14"/>
          <w:u w:val="single"/>
        </w:rPr>
        <w:t> </w:t>
      </w:r>
      <w:r>
        <w:rPr>
          <w:u w:val="single"/>
        </w:rPr>
        <w:t>THE</w:t>
      </w:r>
      <w:r>
        <w:rPr>
          <w:spacing w:val="-13"/>
          <w:u w:val="single"/>
        </w:rPr>
        <w:t> </w:t>
      </w:r>
      <w:r>
        <w:rPr>
          <w:u w:val="single"/>
        </w:rPr>
        <w:t>RESOURCES</w:t>
      </w:r>
      <w:r>
        <w:rPr>
          <w:spacing w:val="-22"/>
          <w:u w:val="single"/>
        </w:rPr>
        <w:t> </w:t>
      </w:r>
      <w:r>
        <w:rPr>
          <w:u w:val="single"/>
        </w:rPr>
        <w:t>AVAILABLE</w:t>
      </w:r>
      <w:r>
        <w:rPr>
          <w:spacing w:val="-14"/>
          <w:u w:val="single"/>
        </w:rPr>
        <w:t> </w:t>
      </w:r>
      <w:r>
        <w:rPr>
          <w:u w:val="single"/>
        </w:rPr>
        <w:t>TO</w:t>
      </w:r>
      <w:r>
        <w:rPr>
          <w:spacing w:val="-13"/>
          <w:u w:val="single"/>
        </w:rPr>
        <w:t> </w:t>
      </w:r>
      <w:r>
        <w:rPr>
          <w:u w:val="single"/>
        </w:rPr>
        <w:t>THE</w:t>
      </w:r>
      <w:r>
        <w:rPr>
          <w:spacing w:val="-14"/>
          <w:u w:val="single"/>
        </w:rPr>
        <w:t> </w:t>
      </w:r>
      <w:r>
        <w:rPr>
          <w:u w:val="single"/>
        </w:rPr>
        <w:t>RECIPIENT</w:t>
      </w:r>
      <w:r>
        <w:rPr>
          <w:spacing w:val="-13"/>
          <w:u w:val="single"/>
        </w:rPr>
        <w:t> </w:t>
      </w:r>
      <w:r>
        <w:rPr>
          <w:u w:val="single"/>
        </w:rPr>
        <w:t>AND</w:t>
      </w:r>
      <w:r>
        <w:rPr>
          <w:spacing w:val="-13"/>
          <w:u w:val="single"/>
        </w:rPr>
        <w:t> </w:t>
      </w:r>
      <w:r>
        <w:rPr>
          <w:spacing w:val="-2"/>
          <w:u w:val="single"/>
        </w:rPr>
        <w:t>COSTS</w:t>
      </w:r>
    </w:p>
    <w:p>
      <w:pPr>
        <w:pStyle w:val="BodyText"/>
        <w:spacing w:before="1"/>
        <w:rPr>
          <w:b/>
          <w:sz w:val="23"/>
        </w:rPr>
      </w:pPr>
    </w:p>
    <w:p>
      <w:pPr>
        <w:pStyle w:val="BodyText"/>
        <w:spacing w:line="264" w:lineRule="auto" w:before="52"/>
        <w:ind w:left="120" w:right="418"/>
        <w:jc w:val="both"/>
      </w:pPr>
      <w:r>
        <w:rPr>
          <w:b/>
        </w:rPr>
        <w:t>Region</w:t>
      </w:r>
      <w:r>
        <w:rPr>
          <w:b/>
          <w:spacing w:val="-14"/>
        </w:rPr>
        <w:t> </w:t>
      </w:r>
      <w:r>
        <w:rPr>
          <w:b/>
        </w:rPr>
        <w:t>1</w:t>
      </w:r>
      <w:r>
        <w:rPr>
          <w:b/>
          <w:spacing w:val="-14"/>
        </w:rPr>
        <w:t> </w:t>
      </w:r>
      <w:r>
        <w:rPr/>
        <w:t>transportation</w:t>
      </w:r>
      <w:r>
        <w:rPr>
          <w:spacing w:val="-13"/>
        </w:rPr>
        <w:t> </w:t>
      </w:r>
      <w:r>
        <w:rPr/>
        <w:t>service</w:t>
      </w:r>
      <w:r>
        <w:rPr>
          <w:spacing w:val="-14"/>
        </w:rPr>
        <w:t> </w:t>
      </w:r>
      <w:r>
        <w:rPr/>
        <w:t>providers</w:t>
      </w:r>
      <w:r>
        <w:rPr>
          <w:spacing w:val="-13"/>
        </w:rPr>
        <w:t> </w:t>
      </w:r>
      <w:r>
        <w:rPr/>
        <w:t>indicated</w:t>
      </w:r>
      <w:r>
        <w:rPr>
          <w:spacing w:val="-14"/>
        </w:rPr>
        <w:t> </w:t>
      </w:r>
      <w:r>
        <w:rPr/>
        <w:t>that</w:t>
      </w:r>
      <w:r>
        <w:rPr>
          <w:spacing w:val="-13"/>
        </w:rPr>
        <w:t> </w:t>
      </w:r>
      <w:r>
        <w:rPr/>
        <w:t>they</w:t>
      </w:r>
      <w:r>
        <w:rPr>
          <w:spacing w:val="-14"/>
        </w:rPr>
        <w:t> </w:t>
      </w:r>
      <w:r>
        <w:rPr/>
        <w:t>are</w:t>
      </w:r>
      <w:r>
        <w:rPr>
          <w:spacing w:val="-14"/>
        </w:rPr>
        <w:t> </w:t>
      </w:r>
      <w:r>
        <w:rPr/>
        <w:t>moderately</w:t>
      </w:r>
      <w:r>
        <w:rPr>
          <w:spacing w:val="-13"/>
        </w:rPr>
        <w:t> </w:t>
      </w:r>
      <w:r>
        <w:rPr/>
        <w:t>effective</w:t>
      </w:r>
      <w:r>
        <w:rPr>
          <w:spacing w:val="-14"/>
        </w:rPr>
        <w:t> </w:t>
      </w:r>
      <w:r>
        <w:rPr/>
        <w:t>in</w:t>
      </w:r>
      <w:r>
        <w:rPr>
          <w:spacing w:val="29"/>
        </w:rPr>
        <w:t> </w:t>
      </w:r>
      <w:r>
        <w:rPr/>
        <w:t>communicating</w:t>
      </w:r>
      <w:r>
        <w:rPr>
          <w:spacing w:val="-13"/>
        </w:rPr>
        <w:t> </w:t>
      </w:r>
      <w:r>
        <w:rPr/>
        <w:t>with LEP</w:t>
      </w:r>
      <w:r>
        <w:rPr>
          <w:spacing w:val="-14"/>
        </w:rPr>
        <w:t> </w:t>
      </w:r>
      <w:r>
        <w:rPr/>
        <w:t>individuals.</w:t>
      </w:r>
      <w:r>
        <w:rPr>
          <w:spacing w:val="-14"/>
        </w:rPr>
        <w:t> </w:t>
      </w:r>
      <w:r>
        <w:rPr/>
        <w:t>ARTS</w:t>
      </w:r>
      <w:r>
        <w:rPr>
          <w:spacing w:val="-13"/>
        </w:rPr>
        <w:t> </w:t>
      </w:r>
      <w:r>
        <w:rPr/>
        <w:t>rides</w:t>
      </w:r>
      <w:r>
        <w:rPr>
          <w:spacing w:val="-14"/>
        </w:rPr>
        <w:t> </w:t>
      </w:r>
      <w:r>
        <w:rPr/>
        <w:t>are</w:t>
      </w:r>
      <w:r>
        <w:rPr>
          <w:spacing w:val="-13"/>
        </w:rPr>
        <w:t> </w:t>
      </w:r>
      <w:r>
        <w:rPr/>
        <w:t>scheduled</w:t>
      </w:r>
      <w:r>
        <w:rPr>
          <w:spacing w:val="-14"/>
        </w:rPr>
        <w:t> </w:t>
      </w:r>
      <w:r>
        <w:rPr/>
        <w:t>by</w:t>
      </w:r>
      <w:r>
        <w:rPr>
          <w:spacing w:val="-12"/>
        </w:rPr>
        <w:t> </w:t>
      </w:r>
      <w:r>
        <w:rPr/>
        <w:t>calling</w:t>
      </w:r>
      <w:r>
        <w:rPr>
          <w:spacing w:val="-12"/>
        </w:rPr>
        <w:t> </w:t>
      </w:r>
      <w:r>
        <w:rPr/>
        <w:t>the</w:t>
      </w:r>
      <w:r>
        <w:rPr>
          <w:spacing w:val="-11"/>
        </w:rPr>
        <w:t> </w:t>
      </w:r>
      <w:r>
        <w:rPr/>
        <w:t>office.</w:t>
      </w:r>
      <w:r>
        <w:rPr>
          <w:spacing w:val="-9"/>
        </w:rPr>
        <w:t> </w:t>
      </w:r>
      <w:r>
        <w:rPr/>
        <w:t>Customer</w:t>
      </w:r>
      <w:r>
        <w:rPr>
          <w:spacing w:val="60"/>
        </w:rPr>
        <w:t> </w:t>
      </w:r>
      <w:r>
        <w:rPr/>
        <w:t>service</w:t>
      </w:r>
      <w:r>
        <w:rPr>
          <w:spacing w:val="-11"/>
        </w:rPr>
        <w:t> </w:t>
      </w:r>
      <w:r>
        <w:rPr/>
        <w:t>staff</w:t>
      </w:r>
      <w:r>
        <w:rPr>
          <w:spacing w:val="-13"/>
        </w:rPr>
        <w:t> </w:t>
      </w:r>
      <w:r>
        <w:rPr/>
        <w:t>are</w:t>
      </w:r>
      <w:r>
        <w:rPr>
          <w:spacing w:val="-13"/>
        </w:rPr>
        <w:t> </w:t>
      </w:r>
      <w:r>
        <w:rPr/>
        <w:t>prepared</w:t>
      </w:r>
      <w:r>
        <w:rPr>
          <w:spacing w:val="-12"/>
        </w:rPr>
        <w:t> </w:t>
      </w:r>
      <w:r>
        <w:rPr/>
        <w:t>to</w:t>
      </w:r>
      <w:r>
        <w:rPr>
          <w:spacing w:val="-11"/>
        </w:rPr>
        <w:t> </w:t>
      </w:r>
      <w:r>
        <w:rPr/>
        <w:t>respond with language assistance as needed and identified. ARTS</w:t>
      </w:r>
      <w:r>
        <w:rPr>
          <w:spacing w:val="40"/>
        </w:rPr>
        <w:t> </w:t>
      </w:r>
      <w:r>
        <w:rPr/>
        <w:t>reaches out to the Maine departments of Transportation,</w:t>
      </w:r>
      <w:r>
        <w:rPr>
          <w:spacing w:val="-10"/>
        </w:rPr>
        <w:t> </w:t>
      </w:r>
      <w:r>
        <w:rPr/>
        <w:t>Education,</w:t>
      </w:r>
      <w:r>
        <w:rPr>
          <w:spacing w:val="-10"/>
        </w:rPr>
        <w:t> </w:t>
      </w:r>
      <w:r>
        <w:rPr/>
        <w:t>Health</w:t>
      </w:r>
      <w:r>
        <w:rPr>
          <w:spacing w:val="-10"/>
        </w:rPr>
        <w:t> </w:t>
      </w:r>
      <w:r>
        <w:rPr/>
        <w:t>and</w:t>
      </w:r>
      <w:r>
        <w:rPr>
          <w:spacing w:val="-9"/>
        </w:rPr>
        <w:t> </w:t>
      </w:r>
      <w:r>
        <w:rPr/>
        <w:t>Human</w:t>
      </w:r>
      <w:r>
        <w:rPr>
          <w:spacing w:val="-11"/>
        </w:rPr>
        <w:t> </w:t>
      </w:r>
      <w:r>
        <w:rPr/>
        <w:t>Service,</w:t>
      </w:r>
      <w:r>
        <w:rPr>
          <w:spacing w:val="67"/>
        </w:rPr>
        <w:t> </w:t>
      </w:r>
      <w:r>
        <w:rPr/>
        <w:t>to</w:t>
      </w:r>
      <w:r>
        <w:rPr>
          <w:spacing w:val="-10"/>
        </w:rPr>
        <w:t> </w:t>
      </w:r>
      <w:r>
        <w:rPr/>
        <w:t>LogistiCare,</w:t>
      </w:r>
      <w:r>
        <w:rPr>
          <w:spacing w:val="-10"/>
        </w:rPr>
        <w:t> </w:t>
      </w:r>
      <w:r>
        <w:rPr/>
        <w:t>community</w:t>
      </w:r>
      <w:r>
        <w:rPr>
          <w:spacing w:val="-10"/>
        </w:rPr>
        <w:t> </w:t>
      </w:r>
      <w:r>
        <w:rPr/>
        <w:t>organizations,</w:t>
      </w:r>
      <w:r>
        <w:rPr>
          <w:spacing w:val="-12"/>
        </w:rPr>
        <w:t> </w:t>
      </w:r>
      <w:r>
        <w:rPr/>
        <w:t>professional and</w:t>
      </w:r>
      <w:r>
        <w:rPr>
          <w:spacing w:val="-14"/>
        </w:rPr>
        <w:t> </w:t>
      </w:r>
      <w:r>
        <w:rPr/>
        <w:t>medical</w:t>
      </w:r>
      <w:r>
        <w:rPr>
          <w:spacing w:val="-14"/>
        </w:rPr>
        <w:t> </w:t>
      </w:r>
      <w:r>
        <w:rPr/>
        <w:t>services,</w:t>
      </w:r>
      <w:r>
        <w:rPr>
          <w:spacing w:val="-13"/>
        </w:rPr>
        <w:t> </w:t>
      </w:r>
      <w:r>
        <w:rPr/>
        <w:t>and</w:t>
      </w:r>
      <w:r>
        <w:rPr>
          <w:spacing w:val="-14"/>
        </w:rPr>
        <w:t> </w:t>
      </w:r>
      <w:r>
        <w:rPr/>
        <w:t>schools</w:t>
      </w:r>
      <w:r>
        <w:rPr>
          <w:spacing w:val="-13"/>
        </w:rPr>
        <w:t> </w:t>
      </w:r>
      <w:r>
        <w:rPr/>
        <w:t>for</w:t>
      </w:r>
      <w:r>
        <w:rPr>
          <w:spacing w:val="35"/>
        </w:rPr>
        <w:t> </w:t>
      </w:r>
      <w:r>
        <w:rPr/>
        <w:t>referral</w:t>
      </w:r>
      <w:r>
        <w:rPr>
          <w:spacing w:val="-14"/>
        </w:rPr>
        <w:t> </w:t>
      </w:r>
      <w:r>
        <w:rPr/>
        <w:t>of</w:t>
      </w:r>
      <w:r>
        <w:rPr>
          <w:spacing w:val="-14"/>
        </w:rPr>
        <w:t> </w:t>
      </w:r>
      <w:r>
        <w:rPr/>
        <w:t>ARTS</w:t>
      </w:r>
      <w:r>
        <w:rPr>
          <w:spacing w:val="-13"/>
        </w:rPr>
        <w:t> </w:t>
      </w:r>
      <w:r>
        <w:rPr/>
        <w:t>services.</w:t>
      </w:r>
      <w:r>
        <w:rPr>
          <w:spacing w:val="-14"/>
        </w:rPr>
        <w:t> </w:t>
      </w:r>
      <w:r>
        <w:rPr/>
        <w:t>LEP</w:t>
      </w:r>
      <w:r>
        <w:rPr>
          <w:spacing w:val="-13"/>
        </w:rPr>
        <w:t> </w:t>
      </w:r>
      <w:r>
        <w:rPr/>
        <w:t>individuals</w:t>
      </w:r>
      <w:r>
        <w:rPr>
          <w:spacing w:val="-14"/>
        </w:rPr>
        <w:t> </w:t>
      </w:r>
      <w:r>
        <w:rPr/>
        <w:t>are</w:t>
      </w:r>
      <w:r>
        <w:rPr>
          <w:spacing w:val="-13"/>
        </w:rPr>
        <w:t> </w:t>
      </w:r>
      <w:r>
        <w:rPr/>
        <w:t>identified</w:t>
      </w:r>
      <w:r>
        <w:rPr>
          <w:spacing w:val="-14"/>
        </w:rPr>
        <w:t> </w:t>
      </w:r>
      <w:r>
        <w:rPr/>
        <w:t>by</w:t>
      </w:r>
      <w:r>
        <w:rPr>
          <w:spacing w:val="-14"/>
        </w:rPr>
        <w:t> </w:t>
      </w:r>
      <w:r>
        <w:rPr/>
        <w:t>referral</w:t>
      </w:r>
      <w:r>
        <w:rPr>
          <w:spacing w:val="-13"/>
        </w:rPr>
        <w:t> </w:t>
      </w:r>
      <w:r>
        <w:rPr/>
        <w:t>source and/or</w:t>
      </w:r>
      <w:r>
        <w:rPr>
          <w:spacing w:val="-14"/>
        </w:rPr>
        <w:t> </w:t>
      </w:r>
      <w:r>
        <w:rPr/>
        <w:t>Customer</w:t>
      </w:r>
      <w:r>
        <w:rPr>
          <w:spacing w:val="44"/>
        </w:rPr>
        <w:t> </w:t>
      </w:r>
      <w:r>
        <w:rPr/>
        <w:t>Service</w:t>
      </w:r>
      <w:r>
        <w:rPr>
          <w:spacing w:val="-11"/>
        </w:rPr>
        <w:t> </w:t>
      </w:r>
      <w:r>
        <w:rPr/>
        <w:t>staff</w:t>
      </w:r>
      <w:r>
        <w:rPr>
          <w:spacing w:val="-14"/>
        </w:rPr>
        <w:t> </w:t>
      </w:r>
      <w:r>
        <w:rPr/>
        <w:t>when</w:t>
      </w:r>
      <w:r>
        <w:rPr>
          <w:spacing w:val="-11"/>
        </w:rPr>
        <w:t> </w:t>
      </w:r>
      <w:r>
        <w:rPr/>
        <w:t>a</w:t>
      </w:r>
      <w:r>
        <w:rPr>
          <w:spacing w:val="-14"/>
        </w:rPr>
        <w:t> </w:t>
      </w:r>
      <w:r>
        <w:rPr/>
        <w:t>ride</w:t>
      </w:r>
      <w:r>
        <w:rPr>
          <w:spacing w:val="-12"/>
        </w:rPr>
        <w:t> </w:t>
      </w:r>
      <w:r>
        <w:rPr/>
        <w:t>is</w:t>
      </w:r>
      <w:r>
        <w:rPr>
          <w:spacing w:val="-14"/>
        </w:rPr>
        <w:t> </w:t>
      </w:r>
      <w:r>
        <w:rPr/>
        <w:t>scheduled,</w:t>
      </w:r>
      <w:r>
        <w:rPr>
          <w:spacing w:val="-13"/>
        </w:rPr>
        <w:t> </w:t>
      </w:r>
      <w:r>
        <w:rPr/>
        <w:t>and</w:t>
      </w:r>
      <w:r>
        <w:rPr>
          <w:spacing w:val="-10"/>
        </w:rPr>
        <w:t> </w:t>
      </w:r>
      <w:r>
        <w:rPr/>
        <w:t>‘I</w:t>
      </w:r>
      <w:r>
        <w:rPr>
          <w:spacing w:val="-14"/>
        </w:rPr>
        <w:t> </w:t>
      </w:r>
      <w:r>
        <w:rPr/>
        <w:t>Speak’</w:t>
      </w:r>
      <w:r>
        <w:rPr>
          <w:spacing w:val="-14"/>
        </w:rPr>
        <w:t> </w:t>
      </w:r>
      <w:r>
        <w:rPr/>
        <w:t>language</w:t>
      </w:r>
      <w:r>
        <w:rPr>
          <w:spacing w:val="-13"/>
        </w:rPr>
        <w:t> </w:t>
      </w:r>
      <w:r>
        <w:rPr/>
        <w:t>identification</w:t>
      </w:r>
      <w:r>
        <w:rPr>
          <w:spacing w:val="-10"/>
        </w:rPr>
        <w:t> </w:t>
      </w:r>
      <w:r>
        <w:rPr/>
        <w:t>cards,</w:t>
      </w:r>
      <w:r>
        <w:rPr>
          <w:spacing w:val="-14"/>
        </w:rPr>
        <w:t> </w:t>
      </w:r>
      <w:r>
        <w:rPr/>
        <w:t>translated signage, use of translators, and mobile device translation services are all available for LEP</w:t>
      </w:r>
      <w:r>
        <w:rPr>
          <w:spacing w:val="40"/>
        </w:rPr>
        <w:t> </w:t>
      </w:r>
      <w:r>
        <w:rPr/>
        <w:t>individuals using ARTS services.</w:t>
      </w:r>
    </w:p>
    <w:p>
      <w:pPr>
        <w:pStyle w:val="BodyText"/>
        <w:spacing w:before="9"/>
        <w:rPr>
          <w:sz w:val="33"/>
        </w:rPr>
      </w:pPr>
    </w:p>
    <w:p>
      <w:pPr>
        <w:pStyle w:val="BodyText"/>
        <w:spacing w:line="264" w:lineRule="auto" w:before="1"/>
        <w:ind w:left="119" w:right="360"/>
        <w:jc w:val="both"/>
      </w:pPr>
      <w:r>
        <w:rPr>
          <w:b/>
        </w:rPr>
        <w:t>Region</w:t>
      </w:r>
      <w:r>
        <w:rPr>
          <w:b/>
          <w:spacing w:val="-6"/>
        </w:rPr>
        <w:t> </w:t>
      </w:r>
      <w:r>
        <w:rPr>
          <w:b/>
        </w:rPr>
        <w:t>2</w:t>
      </w:r>
      <w:r>
        <w:rPr>
          <w:b/>
          <w:spacing w:val="-4"/>
        </w:rPr>
        <w:t> </w:t>
      </w:r>
      <w:r>
        <w:rPr/>
        <w:t>transportation</w:t>
      </w:r>
      <w:r>
        <w:rPr>
          <w:spacing w:val="-5"/>
        </w:rPr>
        <w:t> </w:t>
      </w:r>
      <w:r>
        <w:rPr/>
        <w:t>service</w:t>
      </w:r>
      <w:r>
        <w:rPr>
          <w:spacing w:val="-4"/>
        </w:rPr>
        <w:t> </w:t>
      </w:r>
      <w:r>
        <w:rPr/>
        <w:t>providers</w:t>
      </w:r>
      <w:r>
        <w:rPr>
          <w:spacing w:val="-4"/>
        </w:rPr>
        <w:t> </w:t>
      </w:r>
      <w:r>
        <w:rPr/>
        <w:t>indicted</w:t>
      </w:r>
      <w:r>
        <w:rPr>
          <w:spacing w:val="-4"/>
        </w:rPr>
        <w:t> </w:t>
      </w:r>
      <w:r>
        <w:rPr/>
        <w:t>that</w:t>
      </w:r>
      <w:r>
        <w:rPr>
          <w:spacing w:val="-4"/>
        </w:rPr>
        <w:t> </w:t>
      </w:r>
      <w:r>
        <w:rPr/>
        <w:t>they</w:t>
      </w:r>
      <w:r>
        <w:rPr>
          <w:spacing w:val="-5"/>
        </w:rPr>
        <w:t> </w:t>
      </w:r>
      <w:r>
        <w:rPr/>
        <w:t>are</w:t>
      </w:r>
      <w:r>
        <w:rPr>
          <w:spacing w:val="-4"/>
        </w:rPr>
        <w:t> </w:t>
      </w:r>
      <w:r>
        <w:rPr/>
        <w:t>moderately</w:t>
      </w:r>
      <w:r>
        <w:rPr>
          <w:spacing w:val="-5"/>
        </w:rPr>
        <w:t> </w:t>
      </w:r>
      <w:r>
        <w:rPr/>
        <w:t>effective</w:t>
      </w:r>
      <w:r>
        <w:rPr>
          <w:spacing w:val="-6"/>
        </w:rPr>
        <w:t> </w:t>
      </w:r>
      <w:r>
        <w:rPr/>
        <w:t>in</w:t>
      </w:r>
      <w:r>
        <w:rPr>
          <w:spacing w:val="80"/>
        </w:rPr>
        <w:t> </w:t>
      </w:r>
      <w:r>
        <w:rPr/>
        <w:t>communicating</w:t>
      </w:r>
      <w:r>
        <w:rPr>
          <w:spacing w:val="-4"/>
        </w:rPr>
        <w:t> </w:t>
      </w:r>
      <w:r>
        <w:rPr/>
        <w:t>with LEP</w:t>
      </w:r>
      <w:r>
        <w:rPr>
          <w:spacing w:val="-14"/>
        </w:rPr>
        <w:t> </w:t>
      </w:r>
      <w:r>
        <w:rPr/>
        <w:t>persons</w:t>
      </w:r>
      <w:r>
        <w:rPr>
          <w:spacing w:val="-14"/>
        </w:rPr>
        <w:t> </w:t>
      </w:r>
      <w:r>
        <w:rPr/>
        <w:t>on</w:t>
      </w:r>
      <w:r>
        <w:rPr>
          <w:spacing w:val="-7"/>
        </w:rPr>
        <w:t> </w:t>
      </w:r>
      <w:r>
        <w:rPr/>
        <w:t>the</w:t>
      </w:r>
      <w:r>
        <w:rPr>
          <w:spacing w:val="-6"/>
        </w:rPr>
        <w:t> </w:t>
      </w:r>
      <w:r>
        <w:rPr/>
        <w:t>rare</w:t>
      </w:r>
      <w:r>
        <w:rPr>
          <w:spacing w:val="-8"/>
        </w:rPr>
        <w:t> </w:t>
      </w:r>
      <w:r>
        <w:rPr/>
        <w:t>occasion</w:t>
      </w:r>
      <w:r>
        <w:rPr>
          <w:spacing w:val="-7"/>
        </w:rPr>
        <w:t> </w:t>
      </w:r>
      <w:r>
        <w:rPr/>
        <w:t>that</w:t>
      </w:r>
      <w:r>
        <w:rPr>
          <w:spacing w:val="-7"/>
        </w:rPr>
        <w:t> </w:t>
      </w:r>
      <w:r>
        <w:rPr/>
        <w:t>they</w:t>
      </w:r>
      <w:r>
        <w:rPr>
          <w:spacing w:val="-7"/>
        </w:rPr>
        <w:t> </w:t>
      </w:r>
      <w:r>
        <w:rPr/>
        <w:t>come</w:t>
      </w:r>
      <w:r>
        <w:rPr>
          <w:spacing w:val="-10"/>
        </w:rPr>
        <w:t> </w:t>
      </w:r>
      <w:r>
        <w:rPr/>
        <w:t>into</w:t>
      </w:r>
      <w:r>
        <w:rPr>
          <w:spacing w:val="-6"/>
        </w:rPr>
        <w:t> </w:t>
      </w:r>
      <w:r>
        <w:rPr/>
        <w:t>contact</w:t>
      </w:r>
      <w:r>
        <w:rPr>
          <w:spacing w:val="-7"/>
        </w:rPr>
        <w:t> </w:t>
      </w:r>
      <w:r>
        <w:rPr/>
        <w:t>with</w:t>
      </w:r>
      <w:r>
        <w:rPr>
          <w:spacing w:val="-7"/>
        </w:rPr>
        <w:t> </w:t>
      </w:r>
      <w:r>
        <w:rPr/>
        <w:t>them.</w:t>
      </w:r>
      <w:r>
        <w:rPr>
          <w:spacing w:val="68"/>
        </w:rPr>
        <w:t> </w:t>
      </w:r>
      <w:r>
        <w:rPr/>
        <w:t>The</w:t>
      </w:r>
      <w:r>
        <w:rPr>
          <w:spacing w:val="-8"/>
        </w:rPr>
        <w:t> </w:t>
      </w:r>
      <w:r>
        <w:rPr/>
        <w:t>drivers</w:t>
      </w:r>
      <w:r>
        <w:rPr>
          <w:spacing w:val="-6"/>
        </w:rPr>
        <w:t> </w:t>
      </w:r>
      <w:r>
        <w:rPr/>
        <w:t>keep</w:t>
      </w:r>
      <w:r>
        <w:rPr>
          <w:spacing w:val="-6"/>
        </w:rPr>
        <w:t> </w:t>
      </w:r>
      <w:r>
        <w:rPr/>
        <w:t>‘I</w:t>
      </w:r>
      <w:r>
        <w:rPr>
          <w:spacing w:val="-6"/>
        </w:rPr>
        <w:t> </w:t>
      </w:r>
      <w:r>
        <w:rPr/>
        <w:t>Speak’</w:t>
      </w:r>
      <w:r>
        <w:rPr>
          <w:spacing w:val="-14"/>
        </w:rPr>
        <w:t> </w:t>
      </w:r>
      <w:r>
        <w:rPr/>
        <w:t>cards</w:t>
      </w:r>
      <w:r>
        <w:rPr>
          <w:spacing w:val="-8"/>
        </w:rPr>
        <w:t> </w:t>
      </w:r>
      <w:r>
        <w:rPr/>
        <w:t>with information</w:t>
      </w:r>
      <w:r>
        <w:rPr>
          <w:spacing w:val="-12"/>
        </w:rPr>
        <w:t> </w:t>
      </w:r>
      <w:r>
        <w:rPr/>
        <w:t>about</w:t>
      </w:r>
      <w:r>
        <w:rPr>
          <w:spacing w:val="-11"/>
        </w:rPr>
        <w:t> </w:t>
      </w:r>
      <w:r>
        <w:rPr/>
        <w:t>telephone</w:t>
      </w:r>
      <w:r>
        <w:rPr>
          <w:spacing w:val="-14"/>
        </w:rPr>
        <w:t> </w:t>
      </w:r>
      <w:r>
        <w:rPr/>
        <w:t>translation</w:t>
      </w:r>
      <w:r>
        <w:rPr>
          <w:spacing w:val="-8"/>
        </w:rPr>
        <w:t> </w:t>
      </w:r>
      <w:r>
        <w:rPr/>
        <w:t>services</w:t>
      </w:r>
      <w:r>
        <w:rPr>
          <w:spacing w:val="-14"/>
        </w:rPr>
        <w:t> </w:t>
      </w:r>
      <w:r>
        <w:rPr/>
        <w:t>on</w:t>
      </w:r>
      <w:r>
        <w:rPr>
          <w:spacing w:val="-8"/>
        </w:rPr>
        <w:t> </w:t>
      </w:r>
      <w:r>
        <w:rPr/>
        <w:t>every</w:t>
      </w:r>
      <w:r>
        <w:rPr>
          <w:spacing w:val="56"/>
        </w:rPr>
        <w:t> </w:t>
      </w:r>
      <w:r>
        <w:rPr/>
        <w:t>vehicle</w:t>
      </w:r>
      <w:r>
        <w:rPr>
          <w:spacing w:val="-12"/>
        </w:rPr>
        <w:t> </w:t>
      </w:r>
      <w:r>
        <w:rPr/>
        <w:t>in</w:t>
      </w:r>
      <w:r>
        <w:rPr>
          <w:spacing w:val="-11"/>
        </w:rPr>
        <w:t> </w:t>
      </w:r>
      <w:r>
        <w:rPr/>
        <w:t>case</w:t>
      </w:r>
      <w:r>
        <w:rPr>
          <w:spacing w:val="-14"/>
        </w:rPr>
        <w:t> </w:t>
      </w:r>
      <w:r>
        <w:rPr/>
        <w:t>they</w:t>
      </w:r>
      <w:r>
        <w:rPr>
          <w:spacing w:val="-10"/>
        </w:rPr>
        <w:t> </w:t>
      </w:r>
      <w:r>
        <w:rPr/>
        <w:t>are</w:t>
      </w:r>
      <w:r>
        <w:rPr>
          <w:spacing w:val="-11"/>
        </w:rPr>
        <w:t> </w:t>
      </w:r>
      <w:r>
        <w:rPr/>
        <w:t>needed,</w:t>
      </w:r>
      <w:r>
        <w:rPr>
          <w:spacing w:val="-11"/>
        </w:rPr>
        <w:t> </w:t>
      </w:r>
      <w:r>
        <w:rPr/>
        <w:t>and</w:t>
      </w:r>
      <w:r>
        <w:rPr>
          <w:spacing w:val="-11"/>
        </w:rPr>
        <w:t> </w:t>
      </w:r>
      <w:r>
        <w:rPr/>
        <w:t>they</w:t>
      </w:r>
      <w:r>
        <w:rPr>
          <w:spacing w:val="-10"/>
        </w:rPr>
        <w:t> </w:t>
      </w:r>
      <w:r>
        <w:rPr/>
        <w:t>also</w:t>
      </w:r>
      <w:r>
        <w:rPr>
          <w:spacing w:val="-11"/>
        </w:rPr>
        <w:t> </w:t>
      </w:r>
      <w:r>
        <w:rPr/>
        <w:t>have use of mobile apps like Google Translate that</w:t>
      </w:r>
      <w:r>
        <w:rPr>
          <w:spacing w:val="80"/>
        </w:rPr>
        <w:t> </w:t>
      </w:r>
      <w:r>
        <w:rPr/>
        <w:t>they find to be very effective.</w:t>
      </w:r>
    </w:p>
    <w:p>
      <w:pPr>
        <w:spacing w:after="0" w:line="264" w:lineRule="auto"/>
        <w:jc w:val="both"/>
        <w:sectPr>
          <w:pgSz w:w="12240" w:h="15840"/>
          <w:pgMar w:header="0" w:footer="1023" w:top="960" w:bottom="1260" w:left="600" w:right="500"/>
        </w:sectPr>
      </w:pPr>
    </w:p>
    <w:p>
      <w:pPr>
        <w:pStyle w:val="BodyText"/>
        <w:spacing w:line="264" w:lineRule="auto" w:before="35"/>
        <w:ind w:left="119" w:right="335"/>
      </w:pPr>
      <w:r>
        <w:rPr>
          <w:b/>
        </w:rPr>
        <w:t>Region 3’s</w:t>
      </w:r>
      <w:r>
        <w:rPr>
          <w:b/>
          <w:spacing w:val="-3"/>
        </w:rPr>
        <w:t> </w:t>
      </w:r>
      <w:r>
        <w:rPr/>
        <w:t>Penquis</w:t>
      </w:r>
      <w:r>
        <w:rPr>
          <w:spacing w:val="-4"/>
        </w:rPr>
        <w:t> </w:t>
      </w:r>
      <w:r>
        <w:rPr/>
        <w:t>Transportation Services indicated that they can communicate moderately to</w:t>
      </w:r>
      <w:r>
        <w:rPr>
          <w:spacing w:val="80"/>
        </w:rPr>
        <w:t> </w:t>
      </w:r>
      <w:r>
        <w:rPr/>
        <w:t>very effectively with LEP</w:t>
      </w:r>
      <w:r>
        <w:rPr>
          <w:spacing w:val="-5"/>
        </w:rPr>
        <w:t> </w:t>
      </w:r>
      <w:r>
        <w:rPr/>
        <w:t>individuals that they come into contact with.</w:t>
      </w:r>
      <w:r>
        <w:rPr>
          <w:spacing w:val="-4"/>
        </w:rPr>
        <w:t> </w:t>
      </w:r>
      <w:r>
        <w:rPr/>
        <w:t>They use ‘I Speak’</w:t>
      </w:r>
      <w:r>
        <w:rPr>
          <w:spacing w:val="-17"/>
        </w:rPr>
        <w:t> </w:t>
      </w:r>
      <w:r>
        <w:rPr/>
        <w:t>cards</w:t>
      </w:r>
      <w:r>
        <w:rPr>
          <w:spacing w:val="80"/>
        </w:rPr>
        <w:t> </w:t>
      </w:r>
      <w:r>
        <w:rPr/>
        <w:t>and also</w:t>
      </w:r>
      <w:r>
        <w:rPr>
          <w:spacing w:val="-1"/>
        </w:rPr>
        <w:t> </w:t>
      </w:r>
      <w:r>
        <w:rPr/>
        <w:t>have a language</w:t>
      </w:r>
      <w:r>
        <w:rPr>
          <w:spacing w:val="-5"/>
        </w:rPr>
        <w:t> </w:t>
      </w:r>
      <w:r>
        <w:rPr/>
        <w:t>charts</w:t>
      </w:r>
      <w:r>
        <w:rPr>
          <w:spacing w:val="-7"/>
        </w:rPr>
        <w:t> </w:t>
      </w:r>
      <w:r>
        <w:rPr/>
        <w:t>to</w:t>
      </w:r>
      <w:r>
        <w:rPr>
          <w:spacing w:val="-6"/>
        </w:rPr>
        <w:t> </w:t>
      </w:r>
      <w:r>
        <w:rPr/>
        <w:t>identify</w:t>
      </w:r>
      <w:r>
        <w:rPr>
          <w:spacing w:val="-8"/>
        </w:rPr>
        <w:t> </w:t>
      </w:r>
      <w:r>
        <w:rPr/>
        <w:t>LEP</w:t>
      </w:r>
      <w:r>
        <w:rPr>
          <w:spacing w:val="-14"/>
        </w:rPr>
        <w:t> </w:t>
      </w:r>
      <w:r>
        <w:rPr/>
        <w:t>languages.</w:t>
      </w:r>
      <w:r>
        <w:rPr>
          <w:spacing w:val="-11"/>
        </w:rPr>
        <w:t> </w:t>
      </w:r>
      <w:r>
        <w:rPr/>
        <w:t>When</w:t>
      </w:r>
      <w:r>
        <w:rPr>
          <w:spacing w:val="-8"/>
        </w:rPr>
        <w:t> </w:t>
      </w:r>
      <w:r>
        <w:rPr/>
        <w:t>needed,</w:t>
      </w:r>
      <w:r>
        <w:rPr>
          <w:spacing w:val="-6"/>
        </w:rPr>
        <w:t> </w:t>
      </w:r>
      <w:r>
        <w:rPr/>
        <w:t>they</w:t>
      </w:r>
      <w:r>
        <w:rPr>
          <w:spacing w:val="-5"/>
        </w:rPr>
        <w:t> </w:t>
      </w:r>
      <w:r>
        <w:rPr/>
        <w:t>have</w:t>
      </w:r>
      <w:r>
        <w:rPr>
          <w:spacing w:val="-6"/>
        </w:rPr>
        <w:t> </w:t>
      </w:r>
      <w:r>
        <w:rPr/>
        <w:t>access</w:t>
      </w:r>
      <w:r>
        <w:rPr>
          <w:spacing w:val="-5"/>
        </w:rPr>
        <w:t> </w:t>
      </w:r>
      <w:r>
        <w:rPr/>
        <w:t>to</w:t>
      </w:r>
      <w:r>
        <w:rPr>
          <w:spacing w:val="-6"/>
        </w:rPr>
        <w:t> </w:t>
      </w:r>
      <w:r>
        <w:rPr/>
        <w:t>a</w:t>
      </w:r>
      <w:r>
        <w:rPr>
          <w:spacing w:val="40"/>
        </w:rPr>
        <w:t> </w:t>
      </w:r>
      <w:r>
        <w:rPr/>
        <w:t>translation</w:t>
      </w:r>
      <w:r>
        <w:rPr>
          <w:spacing w:val="-6"/>
        </w:rPr>
        <w:t> </w:t>
      </w:r>
      <w:r>
        <w:rPr/>
        <w:t>service,</w:t>
      </w:r>
      <w:r>
        <w:rPr>
          <w:spacing w:val="-4"/>
        </w:rPr>
        <w:t> </w:t>
      </w:r>
      <w:r>
        <w:rPr/>
        <w:t>but</w:t>
      </w:r>
      <w:r>
        <w:rPr>
          <w:spacing w:val="-8"/>
        </w:rPr>
        <w:t> </w:t>
      </w:r>
      <w:r>
        <w:rPr/>
        <w:t>they have never needed</w:t>
      </w:r>
      <w:r>
        <w:rPr>
          <w:spacing w:val="-1"/>
        </w:rPr>
        <w:t> </w:t>
      </w:r>
      <w:r>
        <w:rPr/>
        <w:t>to use it.</w:t>
      </w:r>
      <w:r>
        <w:rPr>
          <w:spacing w:val="-3"/>
        </w:rPr>
        <w:t> </w:t>
      </w:r>
      <w:r>
        <w:rPr/>
        <w:t>The Senator’s office in Bangor very</w:t>
      </w:r>
      <w:r>
        <w:rPr>
          <w:spacing w:val="40"/>
        </w:rPr>
        <w:t> </w:t>
      </w:r>
      <w:r>
        <w:rPr/>
        <w:t>rarely comes into contact with LEP individuals,</w:t>
      </w:r>
      <w:r>
        <w:rPr>
          <w:spacing w:val="-1"/>
        </w:rPr>
        <w:t> </w:t>
      </w:r>
      <w:r>
        <w:rPr/>
        <w:t>but indicated that if they</w:t>
      </w:r>
      <w:r>
        <w:rPr>
          <w:spacing w:val="-2"/>
        </w:rPr>
        <w:t> </w:t>
      </w:r>
      <w:r>
        <w:rPr/>
        <w:t>did, they would work</w:t>
      </w:r>
      <w:r>
        <w:rPr>
          <w:spacing w:val="80"/>
        </w:rPr>
        <w:t> </w:t>
      </w:r>
      <w:r>
        <w:rPr/>
        <w:t>though their</w:t>
      </w:r>
      <w:r>
        <w:rPr>
          <w:spacing w:val="-1"/>
        </w:rPr>
        <w:t> </w:t>
      </w:r>
      <w:r>
        <w:rPr/>
        <w:t>DC office to find a translator.</w:t>
      </w:r>
    </w:p>
    <w:p>
      <w:pPr>
        <w:pStyle w:val="BodyText"/>
        <w:spacing w:before="9"/>
        <w:rPr>
          <w:sz w:val="33"/>
        </w:rPr>
      </w:pPr>
    </w:p>
    <w:p>
      <w:pPr>
        <w:pStyle w:val="BodyText"/>
        <w:spacing w:line="264" w:lineRule="auto"/>
        <w:ind w:left="119" w:right="362"/>
      </w:pPr>
      <w:r>
        <w:rPr/>
        <w:t>With</w:t>
      </w:r>
      <w:r>
        <w:rPr>
          <w:spacing w:val="-1"/>
        </w:rPr>
        <w:t> </w:t>
      </w:r>
      <w:r>
        <w:rPr/>
        <w:t>regard</w:t>
      </w:r>
      <w:r>
        <w:rPr>
          <w:spacing w:val="-1"/>
        </w:rPr>
        <w:t> </w:t>
      </w:r>
      <w:r>
        <w:rPr/>
        <w:t>to the ability</w:t>
      </w:r>
      <w:r>
        <w:rPr>
          <w:spacing w:val="-3"/>
        </w:rPr>
        <w:t> </w:t>
      </w:r>
      <w:r>
        <w:rPr/>
        <w:t>to communicate with LEP</w:t>
      </w:r>
      <w:r>
        <w:rPr>
          <w:spacing w:val="-6"/>
        </w:rPr>
        <w:t> </w:t>
      </w:r>
      <w:r>
        <w:rPr/>
        <w:t>individuals, of the 53 survey</w:t>
      </w:r>
      <w:r>
        <w:rPr>
          <w:spacing w:val="-1"/>
        </w:rPr>
        <w:t> </w:t>
      </w:r>
      <w:r>
        <w:rPr/>
        <w:t>respondents</w:t>
      </w:r>
      <w:r>
        <w:rPr>
          <w:spacing w:val="80"/>
        </w:rPr>
        <w:t> </w:t>
      </w:r>
      <w:r>
        <w:rPr/>
        <w:t>from KVCAP</w:t>
      </w:r>
      <w:r>
        <w:rPr>
          <w:spacing w:val="-6"/>
        </w:rPr>
        <w:t> </w:t>
      </w:r>
      <w:r>
        <w:rPr/>
        <w:t>in </w:t>
      </w:r>
      <w:r>
        <w:rPr>
          <w:b/>
        </w:rPr>
        <w:t>Region</w:t>
      </w:r>
      <w:r>
        <w:rPr>
          <w:b/>
          <w:spacing w:val="-2"/>
        </w:rPr>
        <w:t> </w:t>
      </w:r>
      <w:r>
        <w:rPr>
          <w:b/>
        </w:rPr>
        <w:t>4 </w:t>
      </w:r>
      <w:r>
        <w:rPr/>
        <w:t>two indicated that they are</w:t>
      </w:r>
      <w:r>
        <w:rPr>
          <w:spacing w:val="-2"/>
        </w:rPr>
        <w:t> </w:t>
      </w:r>
      <w:r>
        <w:rPr/>
        <w:t>unable to communicate, five indicated</w:t>
      </w:r>
      <w:r>
        <w:rPr>
          <w:spacing w:val="-1"/>
        </w:rPr>
        <w:t> </w:t>
      </w:r>
      <w:r>
        <w:rPr/>
        <w:t>that</w:t>
      </w:r>
      <w:r>
        <w:rPr>
          <w:spacing w:val="80"/>
        </w:rPr>
        <w:t> </w:t>
      </w:r>
      <w:r>
        <w:rPr/>
        <w:t>they are less effective in communicating, 14 indicated that they are moderately</w:t>
      </w:r>
      <w:r>
        <w:rPr>
          <w:spacing w:val="-3"/>
        </w:rPr>
        <w:t> </w:t>
      </w:r>
      <w:r>
        <w:rPr/>
        <w:t>effective in</w:t>
      </w:r>
      <w:r>
        <w:rPr>
          <w:spacing w:val="80"/>
        </w:rPr>
        <w:t> </w:t>
      </w:r>
      <w:r>
        <w:rPr/>
        <w:t>communicating, and six indicated that</w:t>
      </w:r>
      <w:r>
        <w:rPr/>
        <w:t> they are very effective in communicating.</w:t>
      </w:r>
      <w:r>
        <w:rPr>
          <w:spacing w:val="-4"/>
        </w:rPr>
        <w:t> </w:t>
      </w:r>
      <w:r>
        <w:rPr/>
        <w:t>They have ‘I</w:t>
      </w:r>
      <w:r>
        <w:rPr>
          <w:spacing w:val="80"/>
        </w:rPr>
        <w:t> </w:t>
      </w:r>
      <w:r>
        <w:rPr/>
        <w:t>Speak’</w:t>
      </w:r>
      <w:r>
        <w:rPr>
          <w:spacing w:val="-17"/>
        </w:rPr>
        <w:t> </w:t>
      </w:r>
      <w:r>
        <w:rPr/>
        <w:t>cards available if needed, use Certified Language</w:t>
      </w:r>
      <w:r>
        <w:rPr>
          <w:spacing w:val="-7"/>
        </w:rPr>
        <w:t> </w:t>
      </w:r>
      <w:r>
        <w:rPr/>
        <w:t>International</w:t>
      </w:r>
      <w:r>
        <w:rPr>
          <w:spacing w:val="-8"/>
        </w:rPr>
        <w:t> </w:t>
      </w:r>
      <w:r>
        <w:rPr/>
        <w:t>services</w:t>
      </w:r>
      <w:r>
        <w:rPr>
          <w:spacing w:val="-8"/>
        </w:rPr>
        <w:t> </w:t>
      </w:r>
      <w:r>
        <w:rPr/>
        <w:t>if</w:t>
      </w:r>
      <w:r>
        <w:rPr>
          <w:spacing w:val="-8"/>
        </w:rPr>
        <w:t> </w:t>
      </w:r>
      <w:r>
        <w:rPr/>
        <w:t>needed,</w:t>
      </w:r>
      <w:r>
        <w:rPr>
          <w:spacing w:val="-5"/>
        </w:rPr>
        <w:t> </w:t>
      </w:r>
      <w:r>
        <w:rPr/>
        <w:t>and</w:t>
      </w:r>
      <w:r>
        <w:rPr>
          <w:spacing w:val="80"/>
        </w:rPr>
        <w:t> </w:t>
      </w:r>
      <w:r>
        <w:rPr/>
        <w:t>keep</w:t>
      </w:r>
      <w:r>
        <w:rPr>
          <w:spacing w:val="-6"/>
        </w:rPr>
        <w:t> </w:t>
      </w:r>
      <w:r>
        <w:rPr/>
        <w:t>language</w:t>
      </w:r>
      <w:r>
        <w:rPr>
          <w:spacing w:val="-8"/>
        </w:rPr>
        <w:t> </w:t>
      </w:r>
      <w:r>
        <w:rPr/>
        <w:t>material</w:t>
      </w:r>
      <w:r>
        <w:rPr>
          <w:spacing w:val="-8"/>
        </w:rPr>
        <w:t> </w:t>
      </w:r>
      <w:r>
        <w:rPr/>
        <w:t>in</w:t>
      </w:r>
      <w:r>
        <w:rPr>
          <w:spacing w:val="-7"/>
        </w:rPr>
        <w:t> </w:t>
      </w:r>
      <w:r>
        <w:rPr/>
        <w:t>a</w:t>
      </w:r>
      <w:r>
        <w:rPr>
          <w:spacing w:val="-5"/>
        </w:rPr>
        <w:t> </w:t>
      </w:r>
      <w:r>
        <w:rPr/>
        <w:t>number</w:t>
      </w:r>
      <w:r>
        <w:rPr>
          <w:spacing w:val="-7"/>
        </w:rPr>
        <w:t> </w:t>
      </w:r>
      <w:r>
        <w:rPr/>
        <w:t>of</w:t>
      </w:r>
      <w:r>
        <w:rPr>
          <w:spacing w:val="-7"/>
        </w:rPr>
        <w:t> </w:t>
      </w:r>
      <w:r>
        <w:rPr/>
        <w:t>languages</w:t>
      </w:r>
      <w:r>
        <w:rPr>
          <w:spacing w:val="-8"/>
        </w:rPr>
        <w:t> </w:t>
      </w:r>
      <w:r>
        <w:rPr/>
        <w:t>available</w:t>
      </w:r>
      <w:r>
        <w:rPr>
          <w:spacing w:val="-8"/>
        </w:rPr>
        <w:t> </w:t>
      </w:r>
      <w:r>
        <w:rPr/>
        <w:t>on all of their</w:t>
      </w:r>
      <w:r>
        <w:rPr>
          <w:spacing w:val="-1"/>
        </w:rPr>
        <w:t> </w:t>
      </w:r>
      <w:r>
        <w:rPr/>
        <w:t>vehicles</w:t>
      </w:r>
      <w:r>
        <w:rPr>
          <w:spacing w:val="-1"/>
        </w:rPr>
        <w:t> </w:t>
      </w:r>
      <w:r>
        <w:rPr/>
        <w:t>for</w:t>
      </w:r>
      <w:r>
        <w:rPr>
          <w:spacing w:val="-3"/>
        </w:rPr>
        <w:t> </w:t>
      </w:r>
      <w:r>
        <w:rPr/>
        <w:t>referring</w:t>
      </w:r>
      <w:r>
        <w:rPr>
          <w:spacing w:val="-1"/>
        </w:rPr>
        <w:t> </w:t>
      </w:r>
      <w:r>
        <w:rPr/>
        <w:t>to</w:t>
      </w:r>
      <w:r>
        <w:rPr>
          <w:spacing w:val="80"/>
        </w:rPr>
        <w:t> </w:t>
      </w:r>
      <w:r>
        <w:rPr/>
        <w:t>a</w:t>
      </w:r>
      <w:r>
        <w:rPr>
          <w:spacing w:val="-1"/>
        </w:rPr>
        <w:t> </w:t>
      </w:r>
      <w:r>
        <w:rPr/>
        <w:t>toll-free</w:t>
      </w:r>
      <w:r>
        <w:rPr>
          <w:spacing w:val="-3"/>
        </w:rPr>
        <w:t> </w:t>
      </w:r>
      <w:r>
        <w:rPr/>
        <w:t>translation service. Community</w:t>
      </w:r>
      <w:r>
        <w:rPr>
          <w:spacing w:val="-1"/>
        </w:rPr>
        <w:t> </w:t>
      </w:r>
      <w:r>
        <w:rPr/>
        <w:t>Partner,</w:t>
      </w:r>
      <w:r>
        <w:rPr>
          <w:spacing w:val="-1"/>
        </w:rPr>
        <w:t> </w:t>
      </w:r>
      <w:r>
        <w:rPr/>
        <w:t>United</w:t>
      </w:r>
      <w:r>
        <w:rPr>
          <w:spacing w:val="-2"/>
        </w:rPr>
        <w:t> </w:t>
      </w:r>
      <w:r>
        <w:rPr/>
        <w:t>Way</w:t>
      </w:r>
      <w:r>
        <w:rPr>
          <w:spacing w:val="-9"/>
        </w:rPr>
        <w:t> </w:t>
      </w:r>
      <w:r>
        <w:rPr/>
        <w:t>indicated that</w:t>
      </w:r>
      <w:r>
        <w:rPr>
          <w:spacing w:val="-5"/>
        </w:rPr>
        <w:t> </w:t>
      </w:r>
      <w:r>
        <w:rPr/>
        <w:t>they</w:t>
      </w:r>
      <w:r>
        <w:rPr>
          <w:spacing w:val="-6"/>
        </w:rPr>
        <w:t> </w:t>
      </w:r>
      <w:r>
        <w:rPr/>
        <w:t>never</w:t>
      </w:r>
      <w:r>
        <w:rPr>
          <w:spacing w:val="-6"/>
        </w:rPr>
        <w:t> </w:t>
      </w:r>
      <w:r>
        <w:rPr/>
        <w:t>encounter</w:t>
      </w:r>
      <w:r>
        <w:rPr>
          <w:spacing w:val="-6"/>
        </w:rPr>
        <w:t> </w:t>
      </w:r>
      <w:r>
        <w:rPr/>
        <w:t>LEP</w:t>
      </w:r>
      <w:r>
        <w:rPr>
          <w:spacing w:val="-14"/>
        </w:rPr>
        <w:t> </w:t>
      </w:r>
      <w:r>
        <w:rPr/>
        <w:t>individuals</w:t>
      </w:r>
      <w:r>
        <w:rPr>
          <w:spacing w:val="-4"/>
        </w:rPr>
        <w:t> </w:t>
      </w:r>
      <w:r>
        <w:rPr/>
        <w:t>and</w:t>
      </w:r>
      <w:r>
        <w:rPr>
          <w:spacing w:val="-7"/>
        </w:rPr>
        <w:t> </w:t>
      </w:r>
      <w:r>
        <w:rPr/>
        <w:t>have</w:t>
      </w:r>
      <w:r>
        <w:rPr>
          <w:spacing w:val="-5"/>
        </w:rPr>
        <w:t> </w:t>
      </w:r>
      <w:r>
        <w:rPr/>
        <w:t>never</w:t>
      </w:r>
      <w:r>
        <w:rPr>
          <w:spacing w:val="-3"/>
        </w:rPr>
        <w:t> </w:t>
      </w:r>
      <w:r>
        <w:rPr/>
        <w:t>found</w:t>
      </w:r>
      <w:r>
        <w:rPr>
          <w:spacing w:val="-5"/>
        </w:rPr>
        <w:t> </w:t>
      </w:r>
      <w:r>
        <w:rPr/>
        <w:t>language</w:t>
      </w:r>
      <w:r>
        <w:rPr>
          <w:spacing w:val="-6"/>
        </w:rPr>
        <w:t> </w:t>
      </w:r>
      <w:r>
        <w:rPr/>
        <w:t>to</w:t>
      </w:r>
      <w:r>
        <w:rPr>
          <w:spacing w:val="-5"/>
        </w:rPr>
        <w:t> </w:t>
      </w:r>
      <w:r>
        <w:rPr/>
        <w:t>be</w:t>
      </w:r>
      <w:r>
        <w:rPr>
          <w:spacing w:val="-5"/>
        </w:rPr>
        <w:t> </w:t>
      </w:r>
      <w:r>
        <w:rPr/>
        <w:t>a</w:t>
      </w:r>
      <w:r>
        <w:rPr>
          <w:spacing w:val="-6"/>
        </w:rPr>
        <w:t> </w:t>
      </w:r>
      <w:r>
        <w:rPr/>
        <w:t>barrier</w:t>
      </w:r>
      <w:r>
        <w:rPr>
          <w:spacing w:val="-6"/>
        </w:rPr>
        <w:t> </w:t>
      </w:r>
      <w:r>
        <w:rPr/>
        <w:t>to</w:t>
      </w:r>
      <w:r>
        <w:rPr>
          <w:spacing w:val="-5"/>
        </w:rPr>
        <w:t> </w:t>
      </w:r>
      <w:r>
        <w:rPr/>
        <w:t>their</w:t>
      </w:r>
      <w:r>
        <w:rPr>
          <w:spacing w:val="-6"/>
        </w:rPr>
        <w:t> </w:t>
      </w:r>
      <w:r>
        <w:rPr/>
        <w:t>services.</w:t>
      </w:r>
      <w:r>
        <w:rPr>
          <w:spacing w:val="-11"/>
        </w:rPr>
        <w:t> </w:t>
      </w:r>
      <w:r>
        <w:rPr/>
        <w:t>The Harold</w:t>
      </w:r>
      <w:r>
        <w:rPr>
          <w:spacing w:val="-14"/>
        </w:rPr>
        <w:t> </w:t>
      </w:r>
      <w:r>
        <w:rPr/>
        <w:t>Alfond Center and the</w:t>
      </w:r>
      <w:r>
        <w:rPr>
          <w:spacing w:val="-13"/>
        </w:rPr>
        <w:t> </w:t>
      </w:r>
      <w:r>
        <w:rPr/>
        <w:t>Alfond</w:t>
      </w:r>
      <w:r>
        <w:rPr>
          <w:spacing w:val="-9"/>
        </w:rPr>
        <w:t> </w:t>
      </w:r>
      <w:r>
        <w:rPr/>
        <w:t>Youth &amp; Community Center</w:t>
      </w:r>
      <w:r>
        <w:rPr>
          <w:spacing w:val="-1"/>
        </w:rPr>
        <w:t> </w:t>
      </w:r>
      <w:r>
        <w:rPr/>
        <w:t>indicated that they very</w:t>
      </w:r>
      <w:r>
        <w:rPr>
          <w:spacing w:val="-4"/>
        </w:rPr>
        <w:t> </w:t>
      </w:r>
      <w:r>
        <w:rPr/>
        <w:t>rarely</w:t>
      </w:r>
      <w:r>
        <w:rPr>
          <w:spacing w:val="36"/>
        </w:rPr>
        <w:t> </w:t>
      </w:r>
      <w:r>
        <w:rPr/>
        <w:t>encounter non-English speaking/reading individuals, however, in the event that they</w:t>
      </w:r>
      <w:r>
        <w:rPr>
          <w:spacing w:val="-2"/>
        </w:rPr>
        <w:t> </w:t>
      </w:r>
      <w:r>
        <w:rPr/>
        <w:t>do, they</w:t>
      </w:r>
      <w:r>
        <w:rPr>
          <w:spacing w:val="80"/>
        </w:rPr>
        <w:t> </w:t>
      </w:r>
      <w:r>
        <w:rPr/>
        <w:t>utilize a portable translator,</w:t>
      </w:r>
      <w:r>
        <w:rPr>
          <w:spacing w:val="-1"/>
        </w:rPr>
        <w:t> </w:t>
      </w:r>
      <w:r>
        <w:rPr/>
        <w:t>which calls a translation business</w:t>
      </w:r>
      <w:r>
        <w:rPr>
          <w:spacing w:val="-2"/>
        </w:rPr>
        <w:t> </w:t>
      </w:r>
      <w:r>
        <w:rPr/>
        <w:t>with many languages to choose</w:t>
      </w:r>
      <w:r>
        <w:rPr>
          <w:spacing w:val="80"/>
        </w:rPr>
        <w:t> </w:t>
      </w:r>
      <w:r>
        <w:rPr/>
        <w:t>from and the transmits on- screen translations of whatever is</w:t>
      </w:r>
      <w:r>
        <w:rPr>
          <w:spacing w:val="-1"/>
        </w:rPr>
        <w:t> </w:t>
      </w:r>
      <w:r>
        <w:rPr/>
        <w:t>being spoken.</w:t>
      </w:r>
      <w:r>
        <w:rPr>
          <w:spacing w:val="-3"/>
        </w:rPr>
        <w:t> </w:t>
      </w:r>
      <w:r>
        <w:rPr/>
        <w:t>They also may use the</w:t>
      </w:r>
      <w:r>
        <w:rPr>
          <w:spacing w:val="80"/>
        </w:rPr>
        <w:t> </w:t>
      </w:r>
      <w:r>
        <w:rPr/>
        <w:t>same translation service via the phone, and lastly,</w:t>
      </w:r>
      <w:r>
        <w:rPr>
          <w:spacing w:val="-1"/>
        </w:rPr>
        <w:t> </w:t>
      </w:r>
      <w:r>
        <w:rPr/>
        <w:t>they have multi- or bilingual staff to draw</w:t>
      </w:r>
      <w:r>
        <w:rPr>
          <w:spacing w:val="80"/>
        </w:rPr>
        <w:t> </w:t>
      </w:r>
      <w:r>
        <w:rPr/>
        <w:t>upon.</w:t>
      </w:r>
    </w:p>
    <w:p>
      <w:pPr>
        <w:pStyle w:val="BodyText"/>
        <w:spacing w:before="12"/>
        <w:rPr>
          <w:sz w:val="33"/>
        </w:rPr>
      </w:pPr>
    </w:p>
    <w:p>
      <w:pPr>
        <w:pStyle w:val="BodyText"/>
        <w:spacing w:line="264" w:lineRule="auto"/>
        <w:ind w:left="239" w:right="335"/>
      </w:pPr>
      <w:r>
        <w:rPr>
          <w:b/>
        </w:rPr>
        <w:t>Region</w:t>
      </w:r>
      <w:r>
        <w:rPr>
          <w:b/>
          <w:spacing w:val="-14"/>
        </w:rPr>
        <w:t> </w:t>
      </w:r>
      <w:r>
        <w:rPr>
          <w:b/>
        </w:rPr>
        <w:t>5</w:t>
      </w:r>
      <w:r>
        <w:rPr/>
        <w:t>’s</w:t>
      </w:r>
      <w:r>
        <w:rPr>
          <w:spacing w:val="-13"/>
        </w:rPr>
        <w:t> </w:t>
      </w:r>
      <w:r>
        <w:rPr/>
        <w:t>WCAP</w:t>
      </w:r>
      <w:r>
        <w:rPr>
          <w:spacing w:val="-14"/>
        </w:rPr>
        <w:t> </w:t>
      </w:r>
      <w:r>
        <w:rPr/>
        <w:t>indicated</w:t>
      </w:r>
      <w:r>
        <w:rPr>
          <w:spacing w:val="-8"/>
        </w:rPr>
        <w:t> </w:t>
      </w:r>
      <w:r>
        <w:rPr/>
        <w:t>that</w:t>
      </w:r>
      <w:r>
        <w:rPr>
          <w:spacing w:val="-8"/>
        </w:rPr>
        <w:t> </w:t>
      </w:r>
      <w:r>
        <w:rPr/>
        <w:t>their</w:t>
      </w:r>
      <w:r>
        <w:rPr>
          <w:spacing w:val="-9"/>
        </w:rPr>
        <w:t> </w:t>
      </w:r>
      <w:r>
        <w:rPr/>
        <w:t>employees</w:t>
      </w:r>
      <w:r>
        <w:rPr>
          <w:spacing w:val="-12"/>
        </w:rPr>
        <w:t> </w:t>
      </w:r>
      <w:r>
        <w:rPr/>
        <w:t>can</w:t>
      </w:r>
      <w:r>
        <w:rPr>
          <w:spacing w:val="-6"/>
        </w:rPr>
        <w:t> </w:t>
      </w:r>
      <w:r>
        <w:rPr/>
        <w:t>communicate</w:t>
      </w:r>
      <w:r>
        <w:rPr>
          <w:spacing w:val="-8"/>
        </w:rPr>
        <w:t> </w:t>
      </w:r>
      <w:r>
        <w:rPr/>
        <w:t>moderately</w:t>
      </w:r>
      <w:r>
        <w:rPr>
          <w:spacing w:val="-9"/>
        </w:rPr>
        <w:t> </w:t>
      </w:r>
      <w:r>
        <w:rPr/>
        <w:t>to</w:t>
      </w:r>
      <w:r>
        <w:rPr>
          <w:spacing w:val="-7"/>
        </w:rPr>
        <w:t> </w:t>
      </w:r>
      <w:r>
        <w:rPr/>
        <w:t>very</w:t>
      </w:r>
      <w:r>
        <w:rPr>
          <w:spacing w:val="68"/>
        </w:rPr>
        <w:t> </w:t>
      </w:r>
      <w:r>
        <w:rPr/>
        <w:t>effectively</w:t>
      </w:r>
      <w:r>
        <w:rPr>
          <w:spacing w:val="-14"/>
        </w:rPr>
        <w:t> </w:t>
      </w:r>
      <w:r>
        <w:rPr/>
        <w:t>with</w:t>
      </w:r>
      <w:r>
        <w:rPr>
          <w:spacing w:val="-8"/>
        </w:rPr>
        <w:t> </w:t>
      </w:r>
      <w:r>
        <w:rPr/>
        <w:t>LEP individuals, and that they use</w:t>
      </w:r>
      <w:r>
        <w:rPr>
          <w:spacing w:val="-5"/>
        </w:rPr>
        <w:t> </w:t>
      </w:r>
      <w:r>
        <w:rPr/>
        <w:t>translation cards with rudimentary bus-related</w:t>
      </w:r>
      <w:r>
        <w:rPr>
          <w:spacing w:val="80"/>
        </w:rPr>
        <w:t> </w:t>
      </w:r>
      <w:r>
        <w:rPr/>
        <w:t>terms on them for communication assistance.</w:t>
      </w:r>
      <w:r>
        <w:rPr>
          <w:spacing w:val="-3"/>
        </w:rPr>
        <w:t> </w:t>
      </w:r>
      <w:r>
        <w:rPr/>
        <w:t>They also indicated that the local organization New</w:t>
      </w:r>
      <w:r>
        <w:rPr>
          <w:spacing w:val="80"/>
        </w:rPr>
        <w:t> </w:t>
      </w:r>
      <w:r>
        <w:rPr/>
        <w:t>Mainers Resource Center has translators available to anyone who needs them.</w:t>
      </w:r>
    </w:p>
    <w:p>
      <w:pPr>
        <w:pStyle w:val="BodyText"/>
        <w:spacing w:before="9"/>
        <w:rPr>
          <w:sz w:val="33"/>
        </w:rPr>
      </w:pPr>
    </w:p>
    <w:p>
      <w:pPr>
        <w:pStyle w:val="BodyText"/>
        <w:spacing w:line="264" w:lineRule="auto" w:before="1"/>
        <w:ind w:left="239"/>
      </w:pPr>
      <w:r>
        <w:rPr/>
        <w:t>Largely, the survey respondents from the </w:t>
      </w:r>
      <w:r>
        <w:rPr>
          <w:b/>
        </w:rPr>
        <w:t>Region</w:t>
      </w:r>
      <w:r>
        <w:rPr>
          <w:b/>
          <w:spacing w:val="-2"/>
        </w:rPr>
        <w:t> </w:t>
      </w:r>
      <w:r>
        <w:rPr>
          <w:b/>
        </w:rPr>
        <w:t>6 </w:t>
      </w:r>
      <w:r>
        <w:rPr/>
        <w:t>public</w:t>
      </w:r>
      <w:r>
        <w:rPr>
          <w:spacing w:val="-1"/>
        </w:rPr>
        <w:t> </w:t>
      </w:r>
      <w:r>
        <w:rPr/>
        <w:t>transportation providers</w:t>
      </w:r>
      <w:r>
        <w:rPr>
          <w:spacing w:val="-1"/>
        </w:rPr>
        <w:t> </w:t>
      </w:r>
      <w:r>
        <w:rPr/>
        <w:t>indicated that</w:t>
      </w:r>
      <w:r>
        <w:rPr>
          <w:spacing w:val="80"/>
        </w:rPr>
        <w:t> </w:t>
      </w:r>
      <w:r>
        <w:rPr/>
        <w:t>they communicate moderately to very</w:t>
      </w:r>
      <w:r>
        <w:rPr>
          <w:spacing w:val="-1"/>
        </w:rPr>
        <w:t> </w:t>
      </w:r>
      <w:r>
        <w:rPr/>
        <w:t>effectively,</w:t>
      </w:r>
      <w:r>
        <w:rPr>
          <w:spacing w:val="-2"/>
        </w:rPr>
        <w:t> </w:t>
      </w:r>
      <w:r>
        <w:rPr/>
        <w:t>with a single driver indicating</w:t>
      </w:r>
      <w:r>
        <w:rPr>
          <w:spacing w:val="-3"/>
        </w:rPr>
        <w:t> </w:t>
      </w:r>
      <w:r>
        <w:rPr/>
        <w:t>that</w:t>
      </w:r>
      <w:r>
        <w:rPr>
          <w:spacing w:val="-1"/>
        </w:rPr>
        <w:t> </w:t>
      </w:r>
      <w:r>
        <w:rPr/>
        <w:t>they</w:t>
      </w:r>
      <w:r>
        <w:rPr>
          <w:spacing w:val="80"/>
        </w:rPr>
        <w:t> </w:t>
      </w:r>
      <w:r>
        <w:rPr/>
        <w:t>communicate less effectively.</w:t>
      </w:r>
      <w:r>
        <w:rPr>
          <w:spacing w:val="-11"/>
        </w:rPr>
        <w:t> </w:t>
      </w:r>
      <w:r>
        <w:rPr/>
        <w:t>Region</w:t>
      </w:r>
      <w:r>
        <w:rPr>
          <w:spacing w:val="-10"/>
        </w:rPr>
        <w:t> </w:t>
      </w:r>
      <w:r>
        <w:rPr/>
        <w:t>6</w:t>
      </w:r>
      <w:r>
        <w:rPr>
          <w:spacing w:val="-10"/>
        </w:rPr>
        <w:t> </w:t>
      </w:r>
      <w:r>
        <w:rPr/>
        <w:t>did</w:t>
      </w:r>
      <w:r>
        <w:rPr>
          <w:spacing w:val="-10"/>
        </w:rPr>
        <w:t> </w:t>
      </w:r>
      <w:r>
        <w:rPr/>
        <w:t>not</w:t>
      </w:r>
      <w:r>
        <w:rPr>
          <w:spacing w:val="-10"/>
        </w:rPr>
        <w:t> </w:t>
      </w:r>
      <w:r>
        <w:rPr/>
        <w:t>provide</w:t>
      </w:r>
      <w:r>
        <w:rPr>
          <w:spacing w:val="-10"/>
        </w:rPr>
        <w:t> </w:t>
      </w:r>
      <w:r>
        <w:rPr/>
        <w:t>information</w:t>
      </w:r>
      <w:r>
        <w:rPr>
          <w:spacing w:val="-10"/>
        </w:rPr>
        <w:t> </w:t>
      </w:r>
      <w:r>
        <w:rPr/>
        <w:t>regarding</w:t>
      </w:r>
      <w:r>
        <w:rPr>
          <w:spacing w:val="-11"/>
        </w:rPr>
        <w:t> </w:t>
      </w:r>
      <w:r>
        <w:rPr/>
        <w:t>available</w:t>
      </w:r>
      <w:r>
        <w:rPr>
          <w:spacing w:val="55"/>
        </w:rPr>
        <w:t> </w:t>
      </w:r>
      <w:r>
        <w:rPr/>
        <w:t>communication</w:t>
      </w:r>
      <w:r>
        <w:rPr>
          <w:spacing w:val="-10"/>
        </w:rPr>
        <w:t> </w:t>
      </w:r>
      <w:r>
        <w:rPr/>
        <w:t>methods</w:t>
      </w:r>
      <w:r>
        <w:rPr>
          <w:spacing w:val="-11"/>
        </w:rPr>
        <w:t> </w:t>
      </w:r>
      <w:r>
        <w:rPr/>
        <w:t>or</w:t>
      </w:r>
      <w:r>
        <w:rPr>
          <w:spacing w:val="-11"/>
        </w:rPr>
        <w:t> </w:t>
      </w:r>
      <w:r>
        <w:rPr/>
        <w:t>translation </w:t>
      </w:r>
      <w:r>
        <w:rPr>
          <w:spacing w:val="-2"/>
        </w:rPr>
        <w:t>services.</w:t>
      </w:r>
    </w:p>
    <w:p>
      <w:pPr>
        <w:pStyle w:val="BodyText"/>
        <w:spacing w:before="9"/>
        <w:rPr>
          <w:sz w:val="33"/>
        </w:rPr>
      </w:pPr>
    </w:p>
    <w:p>
      <w:pPr>
        <w:pStyle w:val="BodyText"/>
        <w:spacing w:line="264" w:lineRule="auto"/>
        <w:ind w:left="239" w:right="398"/>
      </w:pPr>
      <w:r>
        <w:rPr>
          <w:b/>
        </w:rPr>
        <w:t>Region</w:t>
      </w:r>
      <w:r>
        <w:rPr>
          <w:b/>
          <w:spacing w:val="-11"/>
        </w:rPr>
        <w:t> </w:t>
      </w:r>
      <w:r>
        <w:rPr>
          <w:b/>
        </w:rPr>
        <w:t>7</w:t>
      </w:r>
      <w:r>
        <w:rPr/>
        <w:t>’s</w:t>
      </w:r>
      <w:r>
        <w:rPr>
          <w:spacing w:val="-14"/>
        </w:rPr>
        <w:t> </w:t>
      </w:r>
      <w:r>
        <w:rPr/>
        <w:t>WMT</w:t>
      </w:r>
      <w:r>
        <w:rPr>
          <w:spacing w:val="-10"/>
        </w:rPr>
        <w:t> </w:t>
      </w:r>
      <w:r>
        <w:rPr/>
        <w:t>survey</w:t>
      </w:r>
      <w:r>
        <w:rPr>
          <w:spacing w:val="-9"/>
        </w:rPr>
        <w:t> </w:t>
      </w:r>
      <w:r>
        <w:rPr/>
        <w:t>respondents</w:t>
      </w:r>
      <w:r>
        <w:rPr>
          <w:spacing w:val="-9"/>
        </w:rPr>
        <w:t> </w:t>
      </w:r>
      <w:r>
        <w:rPr/>
        <w:t>indicated</w:t>
      </w:r>
      <w:r>
        <w:rPr>
          <w:spacing w:val="-8"/>
        </w:rPr>
        <w:t> </w:t>
      </w:r>
      <w:r>
        <w:rPr/>
        <w:t>that</w:t>
      </w:r>
      <w:r>
        <w:rPr>
          <w:spacing w:val="-8"/>
        </w:rPr>
        <w:t> </w:t>
      </w:r>
      <w:r>
        <w:rPr/>
        <w:t>they</w:t>
      </w:r>
      <w:r>
        <w:rPr>
          <w:spacing w:val="-9"/>
        </w:rPr>
        <w:t> </w:t>
      </w:r>
      <w:r>
        <w:rPr/>
        <w:t>are</w:t>
      </w:r>
      <w:r>
        <w:rPr>
          <w:spacing w:val="-8"/>
        </w:rPr>
        <w:t> </w:t>
      </w:r>
      <w:r>
        <w:rPr/>
        <w:t>moderately</w:t>
      </w:r>
      <w:r>
        <w:rPr>
          <w:spacing w:val="-11"/>
        </w:rPr>
        <w:t> </w:t>
      </w:r>
      <w:r>
        <w:rPr/>
        <w:t>to</w:t>
      </w:r>
      <w:r>
        <w:rPr>
          <w:spacing w:val="-8"/>
        </w:rPr>
        <w:t> </w:t>
      </w:r>
      <w:r>
        <w:rPr/>
        <w:t>very</w:t>
      </w:r>
      <w:r>
        <w:rPr>
          <w:spacing w:val="-7"/>
        </w:rPr>
        <w:t> </w:t>
      </w:r>
      <w:r>
        <w:rPr/>
        <w:t>effective</w:t>
      </w:r>
      <w:r>
        <w:rPr>
          <w:spacing w:val="-6"/>
        </w:rPr>
        <w:t> </w:t>
      </w:r>
      <w:r>
        <w:rPr/>
        <w:t>at</w:t>
      </w:r>
      <w:r>
        <w:rPr>
          <w:spacing w:val="67"/>
        </w:rPr>
        <w:t> </w:t>
      </w:r>
      <w:r>
        <w:rPr/>
        <w:t>communicating with LEP</w:t>
      </w:r>
      <w:r>
        <w:rPr>
          <w:spacing w:val="-8"/>
        </w:rPr>
        <w:t> </w:t>
      </w:r>
      <w:r>
        <w:rPr/>
        <w:t>individuals. Staff at</w:t>
      </w:r>
      <w:r>
        <w:rPr>
          <w:spacing w:val="-3"/>
        </w:rPr>
        <w:t> </w:t>
      </w:r>
      <w:r>
        <w:rPr/>
        <w:t>WMT</w:t>
      </w:r>
      <w:r>
        <w:rPr>
          <w:spacing w:val="-3"/>
        </w:rPr>
        <w:t> </w:t>
      </w:r>
      <w:r>
        <w:rPr/>
        <w:t>have family</w:t>
      </w:r>
      <w:r>
        <w:rPr>
          <w:spacing w:val="-1"/>
        </w:rPr>
        <w:t> </w:t>
      </w:r>
      <w:r>
        <w:rPr/>
        <w:t>members who are educators</w:t>
      </w:r>
      <w:r>
        <w:rPr>
          <w:spacing w:val="80"/>
        </w:rPr>
        <w:t> </w:t>
      </w:r>
      <w:r>
        <w:rPr/>
        <w:t>who notify them of new LEP populations in</w:t>
      </w:r>
      <w:r>
        <w:rPr>
          <w:spacing w:val="-1"/>
        </w:rPr>
        <w:t> </w:t>
      </w:r>
      <w:r>
        <w:rPr/>
        <w:t>the school systems.</w:t>
      </w:r>
      <w:r>
        <w:rPr>
          <w:spacing w:val="-13"/>
        </w:rPr>
        <w:t> </w:t>
      </w:r>
      <w:r>
        <w:rPr/>
        <w:t>Additionally,</w:t>
      </w:r>
      <w:r>
        <w:rPr>
          <w:spacing w:val="-3"/>
        </w:rPr>
        <w:t> </w:t>
      </w:r>
      <w:r>
        <w:rPr/>
        <w:t>they have contacts</w:t>
      </w:r>
      <w:r>
        <w:rPr>
          <w:spacing w:val="80"/>
        </w:rPr>
        <w:t> </w:t>
      </w:r>
      <w:r>
        <w:rPr/>
        <w:t>at most of</w:t>
      </w:r>
      <w:r>
        <w:rPr>
          <w:spacing w:val="-1"/>
        </w:rPr>
        <w:t> </w:t>
      </w:r>
      <w:r>
        <w:rPr/>
        <w:t>the regional medical providers who also inform them of LEP</w:t>
      </w:r>
      <w:r>
        <w:rPr>
          <w:spacing w:val="-8"/>
        </w:rPr>
        <w:t> </w:t>
      </w:r>
      <w:r>
        <w:rPr/>
        <w:t>individuals new to the</w:t>
      </w:r>
      <w:r>
        <w:rPr>
          <w:spacing w:val="80"/>
        </w:rPr>
        <w:t> </w:t>
      </w:r>
      <w:r>
        <w:rPr/>
        <w:t>area. Like Region 5, they reach out to New Mainers</w:t>
      </w:r>
      <w:r>
        <w:rPr>
          <w:spacing w:val="-5"/>
        </w:rPr>
        <w:t> </w:t>
      </w:r>
      <w:r>
        <w:rPr/>
        <w:t>Resource</w:t>
      </w:r>
      <w:r>
        <w:rPr>
          <w:spacing w:val="-3"/>
        </w:rPr>
        <w:t> </w:t>
      </w:r>
      <w:r>
        <w:rPr/>
        <w:t>Center</w:t>
      </w:r>
      <w:r>
        <w:rPr>
          <w:spacing w:val="-7"/>
        </w:rPr>
        <w:t> </w:t>
      </w:r>
      <w:r>
        <w:rPr/>
        <w:t>through</w:t>
      </w:r>
      <w:r>
        <w:rPr>
          <w:spacing w:val="-3"/>
        </w:rPr>
        <w:t> </w:t>
      </w:r>
      <w:r>
        <w:rPr/>
        <w:t>Healthy</w:t>
      </w:r>
      <w:r>
        <w:rPr>
          <w:spacing w:val="40"/>
        </w:rPr>
        <w:t> </w:t>
      </w:r>
      <w:r>
        <w:rPr/>
        <w:t>Androscoggin.</w:t>
      </w:r>
      <w:r>
        <w:rPr>
          <w:spacing w:val="-10"/>
        </w:rPr>
        <w:t> </w:t>
      </w:r>
      <w:r>
        <w:rPr/>
        <w:t>The</w:t>
      </w:r>
      <w:r>
        <w:rPr>
          <w:spacing w:val="-9"/>
        </w:rPr>
        <w:t> </w:t>
      </w:r>
      <w:r>
        <w:rPr/>
        <w:t>Town</w:t>
      </w:r>
      <w:r>
        <w:rPr>
          <w:spacing w:val="-9"/>
        </w:rPr>
        <w:t> </w:t>
      </w:r>
      <w:r>
        <w:rPr/>
        <w:t>of</w:t>
      </w:r>
      <w:r>
        <w:rPr>
          <w:spacing w:val="-4"/>
        </w:rPr>
        <w:t> </w:t>
      </w:r>
      <w:r>
        <w:rPr/>
        <w:t>Brunswick</w:t>
      </w:r>
      <w:r>
        <w:rPr>
          <w:spacing w:val="-6"/>
        </w:rPr>
        <w:t> </w:t>
      </w:r>
      <w:r>
        <w:rPr/>
        <w:t>has</w:t>
      </w:r>
      <w:r>
        <w:rPr>
          <w:spacing w:val="-5"/>
        </w:rPr>
        <w:t> </w:t>
      </w:r>
      <w:r>
        <w:rPr/>
        <w:t>personnel</w:t>
      </w:r>
      <w:r>
        <w:rPr>
          <w:spacing w:val="-5"/>
        </w:rPr>
        <w:t> </w:t>
      </w:r>
      <w:r>
        <w:rPr/>
        <w:t>assigned</w:t>
      </w:r>
      <w:r>
        <w:rPr>
          <w:spacing w:val="-4"/>
        </w:rPr>
        <w:t> </w:t>
      </w:r>
      <w:r>
        <w:rPr/>
        <w:t>to assist</w:t>
      </w:r>
      <w:r>
        <w:rPr>
          <w:spacing w:val="-10"/>
        </w:rPr>
        <w:t> </w:t>
      </w:r>
      <w:r>
        <w:rPr/>
        <w:t>the</w:t>
      </w:r>
      <w:r>
        <w:rPr>
          <w:spacing w:val="-6"/>
        </w:rPr>
        <w:t> </w:t>
      </w:r>
      <w:r>
        <w:rPr/>
        <w:t>new</w:t>
      </w:r>
      <w:r>
        <w:rPr>
          <w:spacing w:val="-6"/>
        </w:rPr>
        <w:t> </w:t>
      </w:r>
      <w:r>
        <w:rPr/>
        <w:t>LEP</w:t>
      </w:r>
      <w:r>
        <w:rPr>
          <w:spacing w:val="-14"/>
        </w:rPr>
        <w:t> </w:t>
      </w:r>
      <w:r>
        <w:rPr/>
        <w:t>individuals</w:t>
      </w:r>
      <w:r>
        <w:rPr>
          <w:spacing w:val="80"/>
        </w:rPr>
        <w:t> </w:t>
      </w:r>
      <w:r>
        <w:rPr/>
        <w:t>who</w:t>
      </w:r>
      <w:r>
        <w:rPr>
          <w:spacing w:val="-6"/>
        </w:rPr>
        <w:t> </w:t>
      </w:r>
      <w:r>
        <w:rPr/>
        <w:t>have</w:t>
      </w:r>
      <w:r>
        <w:rPr>
          <w:spacing w:val="-6"/>
        </w:rPr>
        <w:t> </w:t>
      </w:r>
      <w:r>
        <w:rPr/>
        <w:t>resettled</w:t>
      </w:r>
      <w:r>
        <w:rPr>
          <w:spacing w:val="-6"/>
        </w:rPr>
        <w:t> </w:t>
      </w:r>
      <w:r>
        <w:rPr/>
        <w:t>in</w:t>
      </w:r>
      <w:r>
        <w:rPr>
          <w:spacing w:val="-8"/>
        </w:rPr>
        <w:t> </w:t>
      </w:r>
      <w:r>
        <w:rPr/>
        <w:t>that</w:t>
      </w:r>
      <w:r>
        <w:rPr>
          <w:spacing w:val="-6"/>
        </w:rPr>
        <w:t> </w:t>
      </w:r>
      <w:r>
        <w:rPr/>
        <w:t>community,</w:t>
      </w:r>
      <w:r>
        <w:rPr>
          <w:spacing w:val="-7"/>
        </w:rPr>
        <w:t> </w:t>
      </w:r>
      <w:r>
        <w:rPr/>
        <w:t>and</w:t>
      </w:r>
      <w:r>
        <w:rPr>
          <w:spacing w:val="-6"/>
        </w:rPr>
        <w:t> </w:t>
      </w:r>
      <w:r>
        <w:rPr/>
        <w:t>they</w:t>
      </w:r>
      <w:r>
        <w:rPr>
          <w:spacing w:val="-5"/>
        </w:rPr>
        <w:t> </w:t>
      </w:r>
      <w:r>
        <w:rPr/>
        <w:t>are</w:t>
      </w:r>
      <w:r>
        <w:rPr>
          <w:spacing w:val="-6"/>
        </w:rPr>
        <w:t> </w:t>
      </w:r>
      <w:r>
        <w:rPr/>
        <w:t>partnering</w:t>
      </w:r>
      <w:r>
        <w:rPr>
          <w:spacing w:val="-9"/>
        </w:rPr>
        <w:t> </w:t>
      </w:r>
      <w:r>
        <w:rPr/>
        <w:t>with</w:t>
      </w:r>
      <w:r>
        <w:rPr>
          <w:spacing w:val="-11"/>
        </w:rPr>
        <w:t> </w:t>
      </w:r>
      <w:r>
        <w:rPr/>
        <w:t>WMT</w:t>
      </w:r>
      <w:r>
        <w:rPr>
          <w:spacing w:val="-11"/>
        </w:rPr>
        <w:t> </w:t>
      </w:r>
      <w:r>
        <w:rPr/>
        <w:t>on a Transit Study for</w:t>
      </w:r>
      <w:r>
        <w:rPr>
          <w:spacing w:val="80"/>
        </w:rPr>
        <w:t> </w:t>
      </w:r>
      <w:r>
        <w:rPr/>
        <w:t>that area.</w:t>
      </w:r>
      <w:r>
        <w:rPr>
          <w:spacing w:val="-11"/>
        </w:rPr>
        <w:t> </w:t>
      </w:r>
      <w:r>
        <w:rPr/>
        <w:t>A</w:t>
      </w:r>
      <w:r>
        <w:rPr>
          <w:spacing w:val="-13"/>
        </w:rPr>
        <w:t> </w:t>
      </w:r>
      <w:r>
        <w:rPr/>
        <w:t>local employer has provided a person to assist with New Mainers using the bus</w:t>
      </w:r>
      <w:r>
        <w:rPr>
          <w:spacing w:val="40"/>
        </w:rPr>
        <w:t> </w:t>
      </w:r>
      <w:r>
        <w:rPr/>
        <w:t>service for job access to his business.</w:t>
      </w:r>
      <w:r>
        <w:rPr>
          <w:spacing w:val="-4"/>
        </w:rPr>
        <w:t> </w:t>
      </w:r>
      <w:r>
        <w:rPr/>
        <w:t>WMT has always</w:t>
      </w:r>
      <w:r>
        <w:rPr>
          <w:spacing w:val="-1"/>
        </w:rPr>
        <w:t> </w:t>
      </w:r>
      <w:r>
        <w:rPr/>
        <w:t>provided ‘I Speak’</w:t>
      </w:r>
      <w:r>
        <w:rPr>
          <w:spacing w:val="-16"/>
        </w:rPr>
        <w:t> </w:t>
      </w:r>
      <w:r>
        <w:rPr/>
        <w:t>cards for the drivers</w:t>
      </w:r>
      <w:r>
        <w:rPr>
          <w:spacing w:val="80"/>
        </w:rPr>
        <w:t> </w:t>
      </w:r>
      <w:r>
        <w:rPr/>
        <w:t>to use.</w:t>
      </w:r>
    </w:p>
    <w:p>
      <w:pPr>
        <w:pStyle w:val="BodyText"/>
        <w:spacing w:line="264" w:lineRule="auto"/>
        <w:ind w:left="239" w:right="398"/>
      </w:pPr>
      <w:r>
        <w:rPr/>
        <w:t>They</w:t>
      </w:r>
      <w:r>
        <w:rPr>
          <w:spacing w:val="-9"/>
        </w:rPr>
        <w:t> </w:t>
      </w:r>
      <w:r>
        <w:rPr/>
        <w:t>are</w:t>
      </w:r>
      <w:r>
        <w:rPr>
          <w:spacing w:val="-6"/>
        </w:rPr>
        <w:t> </w:t>
      </w:r>
      <w:r>
        <w:rPr/>
        <w:t>fortunate</w:t>
      </w:r>
      <w:r>
        <w:rPr>
          <w:spacing w:val="-6"/>
        </w:rPr>
        <w:t> </w:t>
      </w:r>
      <w:r>
        <w:rPr/>
        <w:t>to</w:t>
      </w:r>
      <w:r>
        <w:rPr>
          <w:spacing w:val="-6"/>
        </w:rPr>
        <w:t> </w:t>
      </w:r>
      <w:r>
        <w:rPr/>
        <w:t>have</w:t>
      </w:r>
      <w:r>
        <w:rPr>
          <w:spacing w:val="-4"/>
        </w:rPr>
        <w:t> </w:t>
      </w:r>
      <w:r>
        <w:rPr/>
        <w:t>a</w:t>
      </w:r>
      <w:r>
        <w:rPr>
          <w:spacing w:val="-7"/>
        </w:rPr>
        <w:t> </w:t>
      </w:r>
      <w:r>
        <w:rPr/>
        <w:t>driver</w:t>
      </w:r>
      <w:r>
        <w:rPr>
          <w:spacing w:val="-9"/>
        </w:rPr>
        <w:t> </w:t>
      </w:r>
      <w:r>
        <w:rPr/>
        <w:t>from</w:t>
      </w:r>
      <w:r>
        <w:rPr>
          <w:spacing w:val="-6"/>
        </w:rPr>
        <w:t> </w:t>
      </w:r>
      <w:r>
        <w:rPr/>
        <w:t>the</w:t>
      </w:r>
      <w:r>
        <w:rPr>
          <w:spacing w:val="-4"/>
        </w:rPr>
        <w:t> </w:t>
      </w:r>
      <w:r>
        <w:rPr/>
        <w:t>Congo</w:t>
      </w:r>
      <w:r>
        <w:rPr>
          <w:spacing w:val="-6"/>
        </w:rPr>
        <w:t> </w:t>
      </w:r>
      <w:r>
        <w:rPr/>
        <w:t>who</w:t>
      </w:r>
      <w:r>
        <w:rPr>
          <w:spacing w:val="-4"/>
        </w:rPr>
        <w:t> </w:t>
      </w:r>
      <w:r>
        <w:rPr/>
        <w:t>speaks</w:t>
      </w:r>
      <w:r>
        <w:rPr>
          <w:spacing w:val="-5"/>
        </w:rPr>
        <w:t> </w:t>
      </w:r>
      <w:r>
        <w:rPr/>
        <w:t>some</w:t>
      </w:r>
      <w:r>
        <w:rPr>
          <w:spacing w:val="-4"/>
        </w:rPr>
        <w:t> </w:t>
      </w:r>
      <w:r>
        <w:rPr/>
        <w:t>of</w:t>
      </w:r>
      <w:r>
        <w:rPr>
          <w:spacing w:val="-6"/>
        </w:rPr>
        <w:t> </w:t>
      </w:r>
      <w:r>
        <w:rPr/>
        <w:t>the</w:t>
      </w:r>
      <w:r>
        <w:rPr>
          <w:spacing w:val="-4"/>
        </w:rPr>
        <w:t> </w:t>
      </w:r>
      <w:r>
        <w:rPr/>
        <w:t>Congolese</w:t>
      </w:r>
      <w:r>
        <w:rPr>
          <w:spacing w:val="40"/>
        </w:rPr>
        <w:t> </w:t>
      </w:r>
      <w:r>
        <w:rPr/>
        <w:t>dialects</w:t>
      </w:r>
      <w:r>
        <w:rPr>
          <w:spacing w:val="-5"/>
        </w:rPr>
        <w:t> </w:t>
      </w:r>
      <w:r>
        <w:rPr/>
        <w:t>and</w:t>
      </w:r>
      <w:r>
        <w:rPr>
          <w:spacing w:val="-6"/>
        </w:rPr>
        <w:t> </w:t>
      </w:r>
      <w:r>
        <w:rPr/>
        <w:t>assists with translations as needed.</w:t>
      </w:r>
      <w:r>
        <w:rPr>
          <w:spacing w:val="-3"/>
        </w:rPr>
        <w:t> </w:t>
      </w:r>
      <w:r>
        <w:rPr/>
        <w:t>They indicated that he has</w:t>
      </w:r>
      <w:r>
        <w:rPr>
          <w:spacing w:val="-1"/>
        </w:rPr>
        <w:t> </w:t>
      </w:r>
      <w:r>
        <w:rPr/>
        <w:t>been so helpful that</w:t>
      </w:r>
      <w:r>
        <w:rPr>
          <w:spacing w:val="80"/>
        </w:rPr>
        <w:t> </w:t>
      </w:r>
      <w:r>
        <w:rPr/>
        <w:t>they wish that they could clone him!</w:t>
      </w:r>
      <w:r>
        <w:rPr>
          <w:spacing w:val="-2"/>
        </w:rPr>
        <w:t> </w:t>
      </w:r>
      <w:r>
        <w:rPr/>
        <w:t>WMT is in the process of updating their website to include</w:t>
      </w:r>
      <w:r>
        <w:rPr>
          <w:spacing w:val="80"/>
        </w:rPr>
        <w:t> </w:t>
      </w:r>
      <w:r>
        <w:rPr/>
        <w:t>national flag icons to click for translations to French, Spanish, Swahili, and Somali.</w:t>
      </w:r>
    </w:p>
    <w:p>
      <w:pPr>
        <w:spacing w:after="0" w:line="264" w:lineRule="auto"/>
        <w:sectPr>
          <w:pgSz w:w="12240" w:h="15840"/>
          <w:pgMar w:header="0" w:footer="1023" w:top="960" w:bottom="1220" w:left="600" w:right="500"/>
        </w:sectPr>
      </w:pPr>
    </w:p>
    <w:p>
      <w:pPr>
        <w:pStyle w:val="BodyText"/>
        <w:spacing w:line="264" w:lineRule="auto" w:before="28"/>
        <w:ind w:left="239" w:right="335"/>
      </w:pPr>
      <w:r>
        <w:rPr>
          <w:b/>
        </w:rPr>
        <w:t>Region</w:t>
      </w:r>
      <w:r>
        <w:rPr>
          <w:b/>
          <w:spacing w:val="-1"/>
        </w:rPr>
        <w:t> </w:t>
      </w:r>
      <w:r>
        <w:rPr>
          <w:b/>
        </w:rPr>
        <w:t>8</w:t>
      </w:r>
      <w:r>
        <w:rPr/>
        <w:t>’s</w:t>
      </w:r>
      <w:r>
        <w:rPr>
          <w:spacing w:val="-15"/>
        </w:rPr>
        <w:t> </w:t>
      </w:r>
      <w:r>
        <w:rPr/>
        <w:t>YCCAC’s</w:t>
      </w:r>
      <w:r>
        <w:rPr>
          <w:spacing w:val="-2"/>
        </w:rPr>
        <w:t> </w:t>
      </w:r>
      <w:r>
        <w:rPr/>
        <w:t>survey respondents indicated that they are moderately</w:t>
      </w:r>
      <w:r>
        <w:rPr>
          <w:spacing w:val="-2"/>
        </w:rPr>
        <w:t> </w:t>
      </w:r>
      <w:r>
        <w:rPr/>
        <w:t>effective to very</w:t>
      </w:r>
      <w:r>
        <w:rPr>
          <w:spacing w:val="80"/>
        </w:rPr>
        <w:t> </w:t>
      </w:r>
      <w:r>
        <w:rPr/>
        <w:t>effective at communicating with LEP</w:t>
      </w:r>
      <w:r>
        <w:rPr>
          <w:spacing w:val="-7"/>
        </w:rPr>
        <w:t> </w:t>
      </w:r>
      <w:r>
        <w:rPr/>
        <w:t>individuals.</w:t>
      </w:r>
      <w:r>
        <w:rPr>
          <w:spacing w:val="-6"/>
        </w:rPr>
        <w:t> </w:t>
      </w:r>
      <w:r>
        <w:rPr/>
        <w:t>YCCAC has partnerships with several</w:t>
      </w:r>
      <w:r>
        <w:rPr>
          <w:spacing w:val="80"/>
        </w:rPr>
        <w:t> </w:t>
      </w:r>
      <w:r>
        <w:rPr/>
        <w:t>organizations for outreach purposes in Biddeford,</w:t>
      </w:r>
      <w:r>
        <w:rPr>
          <w:spacing w:val="-1"/>
        </w:rPr>
        <w:t> </w:t>
      </w:r>
      <w:r>
        <w:rPr/>
        <w:t>Sanford, Old Orchard Beach and Saco, the</w:t>
      </w:r>
      <w:r>
        <w:rPr>
          <w:spacing w:val="80"/>
        </w:rPr>
        <w:t> </w:t>
      </w:r>
      <w:r>
        <w:rPr/>
        <w:t>cities and towns</w:t>
      </w:r>
      <w:r>
        <w:rPr>
          <w:spacing w:val="-2"/>
        </w:rPr>
        <w:t> </w:t>
      </w:r>
      <w:r>
        <w:rPr/>
        <w:t>with the largest concentration of speakers of French, Haitian or Cajun and who</w:t>
      </w:r>
      <w:r>
        <w:rPr>
          <w:spacing w:val="80"/>
        </w:rPr>
        <w:t> </w:t>
      </w:r>
      <w:r>
        <w:rPr/>
        <w:t>identify as</w:t>
      </w:r>
      <w:r>
        <w:rPr>
          <w:spacing w:val="-2"/>
        </w:rPr>
        <w:t> </w:t>
      </w:r>
      <w:r>
        <w:rPr/>
        <w:t>speaking English less</w:t>
      </w:r>
      <w:r>
        <w:rPr>
          <w:spacing w:val="-2"/>
        </w:rPr>
        <w:t> </w:t>
      </w:r>
      <w:r>
        <w:rPr/>
        <w:t>than very well.</w:t>
      </w:r>
      <w:r>
        <w:rPr>
          <w:spacing w:val="-12"/>
        </w:rPr>
        <w:t> </w:t>
      </w:r>
      <w:r>
        <w:rPr/>
        <w:t>These</w:t>
      </w:r>
      <w:r>
        <w:rPr>
          <w:spacing w:val="-6"/>
        </w:rPr>
        <w:t> </w:t>
      </w:r>
      <w:r>
        <w:rPr/>
        <w:t>include</w:t>
      </w:r>
      <w:r>
        <w:rPr>
          <w:spacing w:val="-6"/>
        </w:rPr>
        <w:t> </w:t>
      </w:r>
      <w:r>
        <w:rPr/>
        <w:t>the</w:t>
      </w:r>
      <w:r>
        <w:rPr>
          <w:spacing w:val="-7"/>
        </w:rPr>
        <w:t> </w:t>
      </w:r>
      <w:r>
        <w:rPr/>
        <w:t>school</w:t>
      </w:r>
      <w:r>
        <w:rPr>
          <w:spacing w:val="-7"/>
        </w:rPr>
        <w:t> </w:t>
      </w:r>
      <w:r>
        <w:rPr/>
        <w:t>departments,</w:t>
      </w:r>
      <w:r>
        <w:rPr>
          <w:spacing w:val="-7"/>
        </w:rPr>
        <w:t> </w:t>
      </w:r>
      <w:r>
        <w:rPr/>
        <w:t>city</w:t>
      </w:r>
      <w:r>
        <w:rPr>
          <w:spacing w:val="77"/>
        </w:rPr>
        <w:t> </w:t>
      </w:r>
      <w:r>
        <w:rPr/>
        <w:t>administrative</w:t>
      </w:r>
      <w:r>
        <w:rPr>
          <w:spacing w:val="-7"/>
        </w:rPr>
        <w:t> </w:t>
      </w:r>
      <w:r>
        <w:rPr/>
        <w:t>offices,</w:t>
      </w:r>
      <w:r>
        <w:rPr>
          <w:spacing w:val="-7"/>
        </w:rPr>
        <w:t> </w:t>
      </w:r>
      <w:r>
        <w:rPr/>
        <w:t>Biddeford,</w:t>
      </w:r>
      <w:r>
        <w:rPr>
          <w:spacing w:val="-7"/>
        </w:rPr>
        <w:t> </w:t>
      </w:r>
      <w:r>
        <w:rPr/>
        <w:t>Saco,</w:t>
      </w:r>
      <w:r>
        <w:rPr>
          <w:spacing w:val="-6"/>
        </w:rPr>
        <w:t> </w:t>
      </w:r>
      <w:r>
        <w:rPr/>
        <w:t>Old</w:t>
      </w:r>
      <w:r>
        <w:rPr>
          <w:spacing w:val="-6"/>
        </w:rPr>
        <w:t> </w:t>
      </w:r>
      <w:r>
        <w:rPr/>
        <w:t>Orchard</w:t>
      </w:r>
      <w:r>
        <w:rPr>
          <w:spacing w:val="-6"/>
        </w:rPr>
        <w:t> </w:t>
      </w:r>
      <w:r>
        <w:rPr/>
        <w:t>Beach Transit,</w:t>
      </w:r>
      <w:r>
        <w:rPr>
          <w:spacing w:val="-12"/>
        </w:rPr>
        <w:t> </w:t>
      </w:r>
      <w:r>
        <w:rPr/>
        <w:t>Chambers</w:t>
      </w:r>
      <w:r>
        <w:rPr>
          <w:spacing w:val="-10"/>
        </w:rPr>
        <w:t> </w:t>
      </w:r>
      <w:r>
        <w:rPr/>
        <w:t>of</w:t>
      </w:r>
      <w:r>
        <w:rPr>
          <w:spacing w:val="-5"/>
        </w:rPr>
        <w:t> </w:t>
      </w:r>
      <w:r>
        <w:rPr/>
        <w:t>Commerce</w:t>
      </w:r>
      <w:r>
        <w:rPr>
          <w:spacing w:val="-8"/>
        </w:rPr>
        <w:t> </w:t>
      </w:r>
      <w:r>
        <w:rPr/>
        <w:t>and</w:t>
      </w:r>
      <w:r>
        <w:rPr>
          <w:spacing w:val="80"/>
        </w:rPr>
        <w:t> </w:t>
      </w:r>
      <w:r>
        <w:rPr/>
        <w:t>the</w:t>
      </w:r>
      <w:r>
        <w:rPr>
          <w:spacing w:val="-9"/>
        </w:rPr>
        <w:t> </w:t>
      </w:r>
      <w:r>
        <w:rPr/>
        <w:t>Southern</w:t>
      </w:r>
      <w:r>
        <w:rPr>
          <w:spacing w:val="-10"/>
        </w:rPr>
        <w:t> </w:t>
      </w:r>
      <w:r>
        <w:rPr/>
        <w:t>Maine</w:t>
      </w:r>
      <w:r>
        <w:rPr>
          <w:spacing w:val="-9"/>
        </w:rPr>
        <w:t> </w:t>
      </w:r>
      <w:r>
        <w:rPr/>
        <w:t>Planning</w:t>
      </w:r>
      <w:r>
        <w:rPr>
          <w:spacing w:val="-7"/>
        </w:rPr>
        <w:t> </w:t>
      </w:r>
      <w:r>
        <w:rPr/>
        <w:t>&amp;</w:t>
      </w:r>
      <w:r>
        <w:rPr>
          <w:spacing w:val="-9"/>
        </w:rPr>
        <w:t> </w:t>
      </w:r>
      <w:r>
        <w:rPr/>
        <w:t>Development</w:t>
      </w:r>
      <w:r>
        <w:rPr>
          <w:spacing w:val="-5"/>
        </w:rPr>
        <w:t> </w:t>
      </w:r>
      <w:r>
        <w:rPr/>
        <w:t>Commission.</w:t>
      </w:r>
      <w:r>
        <w:rPr>
          <w:spacing w:val="-14"/>
        </w:rPr>
        <w:t> </w:t>
      </w:r>
      <w:r>
        <w:rPr/>
        <w:t>The</w:t>
      </w:r>
      <w:r>
        <w:rPr>
          <w:spacing w:val="-14"/>
        </w:rPr>
        <w:t> </w:t>
      </w:r>
      <w:r>
        <w:rPr/>
        <w:t>YCCAC Transportation</w:t>
      </w:r>
      <w:r>
        <w:rPr>
          <w:spacing w:val="40"/>
        </w:rPr>
        <w:t> </w:t>
      </w:r>
      <w:r>
        <w:rPr/>
        <w:t>Program</w:t>
      </w:r>
      <w:r>
        <w:rPr>
          <w:spacing w:val="-3"/>
        </w:rPr>
        <w:t> </w:t>
      </w:r>
      <w:r>
        <w:rPr/>
        <w:t>has</w:t>
      </w:r>
      <w:r>
        <w:rPr>
          <w:spacing w:val="-1"/>
        </w:rPr>
        <w:t> </w:t>
      </w:r>
      <w:r>
        <w:rPr/>
        <w:t>'I</w:t>
      </w:r>
      <w:r>
        <w:rPr>
          <w:spacing w:val="-3"/>
        </w:rPr>
        <w:t> </w:t>
      </w:r>
      <w:r>
        <w:rPr/>
        <w:t>Speak’</w:t>
      </w:r>
      <w:r>
        <w:rPr>
          <w:spacing w:val="-19"/>
        </w:rPr>
        <w:t> </w:t>
      </w:r>
      <w:r>
        <w:rPr/>
        <w:t>cards</w:t>
      </w:r>
      <w:r>
        <w:rPr>
          <w:spacing w:val="-3"/>
        </w:rPr>
        <w:t> </w:t>
      </w:r>
      <w:r>
        <w:rPr/>
        <w:t>available</w:t>
      </w:r>
      <w:r>
        <w:rPr>
          <w:spacing w:val="-2"/>
        </w:rPr>
        <w:t> </w:t>
      </w:r>
      <w:r>
        <w:rPr/>
        <w:t>on its</w:t>
      </w:r>
      <w:r>
        <w:rPr>
          <w:spacing w:val="-3"/>
        </w:rPr>
        <w:t> </w:t>
      </w:r>
      <w:r>
        <w:rPr/>
        <w:t>vehicles and</w:t>
      </w:r>
      <w:r>
        <w:rPr>
          <w:spacing w:val="-2"/>
        </w:rPr>
        <w:t> </w:t>
      </w:r>
      <w:r>
        <w:rPr/>
        <w:t>at</w:t>
      </w:r>
      <w:r>
        <w:rPr>
          <w:spacing w:val="-2"/>
        </w:rPr>
        <w:t> </w:t>
      </w:r>
      <w:r>
        <w:rPr/>
        <w:t>public</w:t>
      </w:r>
      <w:r>
        <w:rPr>
          <w:spacing w:val="-4"/>
        </w:rPr>
        <w:t> </w:t>
      </w:r>
      <w:r>
        <w:rPr/>
        <w:t>meetings</w:t>
      </w:r>
      <w:r>
        <w:rPr>
          <w:spacing w:val="-6"/>
        </w:rPr>
        <w:t> </w:t>
      </w:r>
      <w:r>
        <w:rPr/>
        <w:t>and</w:t>
      </w:r>
      <w:r>
        <w:rPr>
          <w:spacing w:val="-2"/>
        </w:rPr>
        <w:t> </w:t>
      </w:r>
      <w:r>
        <w:rPr/>
        <w:t>can</w:t>
      </w:r>
      <w:r>
        <w:rPr>
          <w:spacing w:val="-2"/>
        </w:rPr>
        <w:t> </w:t>
      </w:r>
      <w:r>
        <w:rPr/>
        <w:t>also call upon</w:t>
      </w:r>
      <w:r>
        <w:rPr>
          <w:spacing w:val="-2"/>
        </w:rPr>
        <w:t> </w:t>
      </w:r>
      <w:r>
        <w:rPr/>
        <w:t>translation</w:t>
      </w:r>
      <w:r>
        <w:rPr>
          <w:spacing w:val="-2"/>
        </w:rPr>
        <w:t> </w:t>
      </w:r>
      <w:r>
        <w:rPr/>
        <w:t>services</w:t>
      </w:r>
      <w:r>
        <w:rPr>
          <w:spacing w:val="-3"/>
        </w:rPr>
        <w:t> </w:t>
      </w:r>
      <w:r>
        <w:rPr/>
        <w:t>if</w:t>
      </w:r>
      <w:r>
        <w:rPr>
          <w:spacing w:val="-4"/>
        </w:rPr>
        <w:t> </w:t>
      </w:r>
      <w:r>
        <w:rPr/>
        <w:t>the</w:t>
      </w:r>
      <w:r>
        <w:rPr>
          <w:spacing w:val="-2"/>
        </w:rPr>
        <w:t> </w:t>
      </w:r>
      <w:r>
        <w:rPr/>
        <w:t>need</w:t>
      </w:r>
      <w:r>
        <w:rPr>
          <w:spacing w:val="-4"/>
        </w:rPr>
        <w:t> </w:t>
      </w:r>
      <w:r>
        <w:rPr/>
        <w:t>arises</w:t>
      </w:r>
      <w:r>
        <w:rPr>
          <w:spacing w:val="-1"/>
        </w:rPr>
        <w:t> </w:t>
      </w:r>
      <w:r>
        <w:rPr/>
        <w:t>via</w:t>
      </w:r>
      <w:r>
        <w:rPr>
          <w:spacing w:val="-3"/>
        </w:rPr>
        <w:t> </w:t>
      </w:r>
      <w:r>
        <w:rPr/>
        <w:t>a</w:t>
      </w:r>
      <w:r>
        <w:rPr>
          <w:spacing w:val="-3"/>
        </w:rPr>
        <w:t> </w:t>
      </w:r>
      <w:r>
        <w:rPr/>
        <w:t>contract</w:t>
      </w:r>
      <w:r>
        <w:rPr>
          <w:spacing w:val="-2"/>
        </w:rPr>
        <w:t> </w:t>
      </w:r>
      <w:r>
        <w:rPr/>
        <w:t>with</w:t>
      </w:r>
      <w:r>
        <w:rPr>
          <w:spacing w:val="-2"/>
        </w:rPr>
        <w:t> </w:t>
      </w:r>
      <w:r>
        <w:rPr/>
        <w:t>Pacific</w:t>
      </w:r>
      <w:r>
        <w:rPr>
          <w:spacing w:val="-4"/>
        </w:rPr>
        <w:t> </w:t>
      </w:r>
      <w:r>
        <w:rPr/>
        <w:t>Interpreters/Language</w:t>
      </w:r>
      <w:r>
        <w:rPr>
          <w:spacing w:val="-2"/>
        </w:rPr>
        <w:t> </w:t>
      </w:r>
      <w:r>
        <w:rPr/>
        <w:t>Line</w:t>
      </w:r>
      <w:r>
        <w:rPr>
          <w:spacing w:val="80"/>
        </w:rPr>
        <w:t> </w:t>
      </w:r>
      <w:r>
        <w:rPr/>
        <w:t>Solutions for</w:t>
      </w:r>
      <w:r>
        <w:rPr>
          <w:spacing w:val="-1"/>
        </w:rPr>
        <w:t> </w:t>
      </w:r>
      <w:r>
        <w:rPr/>
        <w:t>three-way</w:t>
      </w:r>
      <w:r>
        <w:rPr>
          <w:spacing w:val="-2"/>
        </w:rPr>
        <w:t> </w:t>
      </w:r>
      <w:r>
        <w:rPr/>
        <w:t>telephone interpreter</w:t>
      </w:r>
      <w:r>
        <w:rPr>
          <w:spacing w:val="-1"/>
        </w:rPr>
        <w:t> </w:t>
      </w:r>
      <w:r>
        <w:rPr/>
        <w:t>services.</w:t>
      </w:r>
      <w:r>
        <w:rPr>
          <w:spacing w:val="-14"/>
        </w:rPr>
        <w:t> </w:t>
      </w:r>
      <w:r>
        <w:rPr/>
        <w:t>Additionally,</w:t>
      </w:r>
      <w:r>
        <w:rPr>
          <w:spacing w:val="-4"/>
        </w:rPr>
        <w:t> </w:t>
      </w:r>
      <w:r>
        <w:rPr/>
        <w:t>family</w:t>
      </w:r>
      <w:r>
        <w:rPr>
          <w:spacing w:val="-4"/>
        </w:rPr>
        <w:t> </w:t>
      </w:r>
      <w:r>
        <w:rPr/>
        <w:t>members,</w:t>
      </w:r>
      <w:r>
        <w:rPr>
          <w:spacing w:val="-1"/>
        </w:rPr>
        <w:t> </w:t>
      </w:r>
      <w:r>
        <w:rPr/>
        <w:t>social</w:t>
      </w:r>
      <w:r>
        <w:rPr>
          <w:spacing w:val="80"/>
          <w:w w:val="150"/>
        </w:rPr>
        <w:t> </w:t>
      </w:r>
      <w:r>
        <w:rPr/>
        <w:t>service</w:t>
      </w:r>
      <w:r>
        <w:rPr>
          <w:spacing w:val="-1"/>
        </w:rPr>
        <w:t> </w:t>
      </w:r>
      <w:r>
        <w:rPr/>
        <w:t>groups,</w:t>
      </w:r>
      <w:r>
        <w:rPr>
          <w:spacing w:val="-1"/>
        </w:rPr>
        <w:t> </w:t>
      </w:r>
      <w:r>
        <w:rPr/>
        <w:t>family- based organizations and medical providers may provide</w:t>
      </w:r>
      <w:r>
        <w:rPr>
          <w:spacing w:val="-1"/>
        </w:rPr>
        <w:t> </w:t>
      </w:r>
      <w:r>
        <w:rPr/>
        <w:t>translator</w:t>
      </w:r>
      <w:r>
        <w:rPr>
          <w:spacing w:val="80"/>
        </w:rPr>
        <w:t> </w:t>
      </w:r>
      <w:r>
        <w:rPr/>
        <w:t>services when appropriate.</w:t>
      </w:r>
      <w:r>
        <w:rPr>
          <w:spacing w:val="-5"/>
        </w:rPr>
        <w:t> </w:t>
      </w:r>
      <w:r>
        <w:rPr/>
        <w:t>Translation services identified in Maine DOT's FTA</w:t>
      </w:r>
      <w:r>
        <w:rPr>
          <w:spacing w:val="-27"/>
        </w:rPr>
        <w:t> </w:t>
      </w:r>
      <w:r>
        <w:rPr/>
        <w:t>Title</w:t>
      </w:r>
      <w:r>
        <w:rPr>
          <w:spacing w:val="-6"/>
        </w:rPr>
        <w:t> </w:t>
      </w:r>
      <w:r>
        <w:rPr/>
        <w:t>VI plan are also an option when appropriate.</w:t>
      </w:r>
      <w:r>
        <w:rPr>
          <w:spacing w:val="-7"/>
        </w:rPr>
        <w:t> </w:t>
      </w:r>
      <w:r>
        <w:rPr/>
        <w:t>YCCAC</w:t>
      </w:r>
      <w:r>
        <w:rPr>
          <w:spacing w:val="-2"/>
        </w:rPr>
        <w:t> </w:t>
      </w:r>
      <w:r>
        <w:rPr/>
        <w:t>has several resources available to translate documents,</w:t>
      </w:r>
      <w:r>
        <w:rPr>
          <w:spacing w:val="80"/>
        </w:rPr>
        <w:t> </w:t>
      </w:r>
      <w:r>
        <w:rPr/>
        <w:t>including House of Languages.</w:t>
      </w:r>
    </w:p>
    <w:p>
      <w:pPr>
        <w:pStyle w:val="BodyText"/>
        <w:spacing w:before="9"/>
        <w:rPr>
          <w:sz w:val="33"/>
        </w:rPr>
      </w:pPr>
    </w:p>
    <w:p>
      <w:pPr>
        <w:pStyle w:val="BodyText"/>
        <w:spacing w:line="264" w:lineRule="auto"/>
        <w:ind w:left="239" w:right="398"/>
      </w:pPr>
      <w:r>
        <w:rPr/>
        <w:t>When</w:t>
      </w:r>
      <w:r>
        <w:rPr>
          <w:spacing w:val="-3"/>
        </w:rPr>
        <w:t> </w:t>
      </w:r>
      <w:r>
        <w:rPr/>
        <w:t>Nasson</w:t>
      </w:r>
      <w:r>
        <w:rPr>
          <w:spacing w:val="-3"/>
        </w:rPr>
        <w:t> </w:t>
      </w:r>
      <w:r>
        <w:rPr/>
        <w:t>Health</w:t>
      </w:r>
      <w:r>
        <w:rPr>
          <w:spacing w:val="-3"/>
        </w:rPr>
        <w:t> </w:t>
      </w:r>
      <w:r>
        <w:rPr/>
        <w:t>Care</w:t>
      </w:r>
      <w:r>
        <w:rPr>
          <w:spacing w:val="-1"/>
        </w:rPr>
        <w:t> </w:t>
      </w:r>
      <w:r>
        <w:rPr/>
        <w:t>communicates</w:t>
      </w:r>
      <w:r>
        <w:rPr>
          <w:spacing w:val="-4"/>
        </w:rPr>
        <w:t> </w:t>
      </w:r>
      <w:r>
        <w:rPr/>
        <w:t>with</w:t>
      </w:r>
      <w:r>
        <w:rPr>
          <w:spacing w:val="-3"/>
        </w:rPr>
        <w:t> </w:t>
      </w:r>
      <w:r>
        <w:rPr/>
        <w:t>LEP</w:t>
      </w:r>
      <w:r>
        <w:rPr>
          <w:spacing w:val="-9"/>
        </w:rPr>
        <w:t> </w:t>
      </w:r>
      <w:r>
        <w:rPr/>
        <w:t>individuals,</w:t>
      </w:r>
      <w:r>
        <w:rPr>
          <w:spacing w:val="-4"/>
        </w:rPr>
        <w:t> </w:t>
      </w:r>
      <w:r>
        <w:rPr/>
        <w:t>they</w:t>
      </w:r>
      <w:r>
        <w:rPr>
          <w:spacing w:val="-4"/>
        </w:rPr>
        <w:t> </w:t>
      </w:r>
      <w:r>
        <w:rPr/>
        <w:t>locate</w:t>
      </w:r>
      <w:r>
        <w:rPr>
          <w:spacing w:val="40"/>
        </w:rPr>
        <w:t> </w:t>
      </w:r>
      <w:r>
        <w:rPr/>
        <w:t>interpreter/translation</w:t>
      </w:r>
      <w:r>
        <w:rPr>
          <w:spacing w:val="-2"/>
        </w:rPr>
        <w:t> </w:t>
      </w:r>
      <w:r>
        <w:rPr/>
        <w:t>services such</w:t>
      </w:r>
      <w:r>
        <w:rPr>
          <w:spacing w:val="-6"/>
        </w:rPr>
        <w:t> </w:t>
      </w:r>
      <w:r>
        <w:rPr/>
        <w:t>as</w:t>
      </w:r>
      <w:r>
        <w:rPr>
          <w:spacing w:val="-5"/>
        </w:rPr>
        <w:t> </w:t>
      </w:r>
      <w:r>
        <w:rPr/>
        <w:t>Language</w:t>
      </w:r>
      <w:r>
        <w:rPr>
          <w:spacing w:val="-8"/>
        </w:rPr>
        <w:t> </w:t>
      </w:r>
      <w:r>
        <w:rPr/>
        <w:t>Line</w:t>
      </w:r>
      <w:r>
        <w:rPr>
          <w:spacing w:val="-4"/>
        </w:rPr>
        <w:t> </w:t>
      </w:r>
      <w:r>
        <w:rPr/>
        <w:t>or</w:t>
      </w:r>
      <w:r>
        <w:rPr>
          <w:spacing w:val="-8"/>
        </w:rPr>
        <w:t> </w:t>
      </w:r>
      <w:r>
        <w:rPr/>
        <w:t>711</w:t>
      </w:r>
      <w:r>
        <w:rPr>
          <w:spacing w:val="-8"/>
        </w:rPr>
        <w:t> </w:t>
      </w:r>
      <w:r>
        <w:rPr/>
        <w:t>Relay</w:t>
      </w:r>
      <w:r>
        <w:rPr>
          <w:spacing w:val="-7"/>
        </w:rPr>
        <w:t> </w:t>
      </w:r>
      <w:r>
        <w:rPr/>
        <w:t>services.</w:t>
      </w:r>
      <w:r>
        <w:rPr>
          <w:spacing w:val="-11"/>
        </w:rPr>
        <w:t> </w:t>
      </w:r>
      <w:r>
        <w:rPr/>
        <w:t>They</w:t>
      </w:r>
      <w:r>
        <w:rPr>
          <w:spacing w:val="-7"/>
        </w:rPr>
        <w:t> </w:t>
      </w:r>
      <w:r>
        <w:rPr/>
        <w:t>note</w:t>
      </w:r>
      <w:r>
        <w:rPr>
          <w:spacing w:val="-6"/>
        </w:rPr>
        <w:t> </w:t>
      </w:r>
      <w:r>
        <w:rPr/>
        <w:t>that</w:t>
      </w:r>
      <w:r>
        <w:rPr>
          <w:spacing w:val="80"/>
        </w:rPr>
        <w:t> </w:t>
      </w:r>
      <w:r>
        <w:rPr/>
        <w:t>those</w:t>
      </w:r>
      <w:r>
        <w:rPr>
          <w:spacing w:val="-6"/>
        </w:rPr>
        <w:t> </w:t>
      </w:r>
      <w:r>
        <w:rPr/>
        <w:t>services</w:t>
      </w:r>
      <w:r>
        <w:rPr>
          <w:spacing w:val="-7"/>
        </w:rPr>
        <w:t> </w:t>
      </w:r>
      <w:r>
        <w:rPr/>
        <w:t>have</w:t>
      </w:r>
      <w:r>
        <w:rPr>
          <w:spacing w:val="-6"/>
        </w:rPr>
        <w:t> </w:t>
      </w:r>
      <w:r>
        <w:rPr/>
        <w:t>worked</w:t>
      </w:r>
      <w:r>
        <w:rPr>
          <w:spacing w:val="-3"/>
        </w:rPr>
        <w:t> </w:t>
      </w:r>
      <w:r>
        <w:rPr/>
        <w:t>very</w:t>
      </w:r>
      <w:r>
        <w:rPr>
          <w:spacing w:val="-7"/>
        </w:rPr>
        <w:t> </w:t>
      </w:r>
      <w:r>
        <w:rPr/>
        <w:t>well</w:t>
      </w:r>
      <w:r>
        <w:rPr>
          <w:spacing w:val="-8"/>
        </w:rPr>
        <w:t> </w:t>
      </w:r>
      <w:r>
        <w:rPr/>
        <w:t>for</w:t>
      </w:r>
      <w:r>
        <w:rPr>
          <w:spacing w:val="-8"/>
        </w:rPr>
        <w:t> </w:t>
      </w:r>
      <w:r>
        <w:rPr/>
        <w:t>them in the past.</w:t>
      </w:r>
    </w:p>
    <w:p>
      <w:pPr>
        <w:pStyle w:val="BodyText"/>
        <w:spacing w:line="264" w:lineRule="auto" w:before="121"/>
        <w:ind w:left="239" w:right="666"/>
        <w:jc w:val="both"/>
      </w:pPr>
      <w:r>
        <w:rPr/>
        <w:t>York</w:t>
      </w:r>
      <w:r>
        <w:rPr>
          <w:spacing w:val="-14"/>
        </w:rPr>
        <w:t> </w:t>
      </w:r>
      <w:r>
        <w:rPr/>
        <w:t>County</w:t>
      </w:r>
      <w:r>
        <w:rPr>
          <w:spacing w:val="-14"/>
        </w:rPr>
        <w:t> </w:t>
      </w:r>
      <w:r>
        <w:rPr/>
        <w:t>Shelter</w:t>
      </w:r>
      <w:r>
        <w:rPr>
          <w:spacing w:val="-10"/>
        </w:rPr>
        <w:t> </w:t>
      </w:r>
      <w:r>
        <w:rPr/>
        <w:t>Programs</w:t>
      </w:r>
      <w:r>
        <w:rPr>
          <w:spacing w:val="-10"/>
        </w:rPr>
        <w:t> </w:t>
      </w:r>
      <w:r>
        <w:rPr/>
        <w:t>occasionally</w:t>
      </w:r>
      <w:r>
        <w:rPr>
          <w:spacing w:val="-11"/>
        </w:rPr>
        <w:t> </w:t>
      </w:r>
      <w:r>
        <w:rPr/>
        <w:t>encounter</w:t>
      </w:r>
      <w:r>
        <w:rPr>
          <w:spacing w:val="-9"/>
        </w:rPr>
        <w:t> </w:t>
      </w:r>
      <w:r>
        <w:rPr/>
        <w:t>LEP</w:t>
      </w:r>
      <w:r>
        <w:rPr>
          <w:spacing w:val="-14"/>
        </w:rPr>
        <w:t> </w:t>
      </w:r>
      <w:r>
        <w:rPr/>
        <w:t>individuals,</w:t>
      </w:r>
      <w:r>
        <w:rPr>
          <w:spacing w:val="-9"/>
        </w:rPr>
        <w:t> </w:t>
      </w:r>
      <w:r>
        <w:rPr/>
        <w:t>most</w:t>
      </w:r>
      <w:r>
        <w:rPr>
          <w:spacing w:val="-6"/>
        </w:rPr>
        <w:t> </w:t>
      </w:r>
      <w:r>
        <w:rPr/>
        <w:t>commonly</w:t>
      </w:r>
      <w:r>
        <w:rPr>
          <w:spacing w:val="-8"/>
        </w:rPr>
        <w:t> </w:t>
      </w:r>
      <w:r>
        <w:rPr/>
        <w:t>at</w:t>
      </w:r>
      <w:r>
        <w:rPr>
          <w:spacing w:val="-9"/>
        </w:rPr>
        <w:t> </w:t>
      </w:r>
      <w:r>
        <w:rPr/>
        <w:t>the</w:t>
      </w:r>
      <w:r>
        <w:rPr>
          <w:spacing w:val="80"/>
        </w:rPr>
        <w:t> </w:t>
      </w:r>
      <w:r>
        <w:rPr/>
        <w:t>food</w:t>
      </w:r>
      <w:r>
        <w:rPr>
          <w:spacing w:val="-9"/>
        </w:rPr>
        <w:t> </w:t>
      </w:r>
      <w:r>
        <w:rPr/>
        <w:t>pantry and/or</w:t>
      </w:r>
      <w:r>
        <w:rPr>
          <w:spacing w:val="-7"/>
        </w:rPr>
        <w:t> </w:t>
      </w:r>
      <w:r>
        <w:rPr/>
        <w:t>meal</w:t>
      </w:r>
      <w:r>
        <w:rPr>
          <w:spacing w:val="-7"/>
        </w:rPr>
        <w:t> </w:t>
      </w:r>
      <w:r>
        <w:rPr/>
        <w:t>site</w:t>
      </w:r>
      <w:r>
        <w:rPr>
          <w:spacing w:val="-5"/>
        </w:rPr>
        <w:t> </w:t>
      </w:r>
      <w:r>
        <w:rPr/>
        <w:t>kitchens.</w:t>
      </w:r>
      <w:r>
        <w:rPr>
          <w:spacing w:val="-12"/>
        </w:rPr>
        <w:t> </w:t>
      </w:r>
      <w:r>
        <w:rPr/>
        <w:t>They</w:t>
      </w:r>
      <w:r>
        <w:rPr>
          <w:spacing w:val="-10"/>
        </w:rPr>
        <w:t> </w:t>
      </w:r>
      <w:r>
        <w:rPr/>
        <w:t>utilize</w:t>
      </w:r>
      <w:r>
        <w:rPr>
          <w:spacing w:val="-7"/>
        </w:rPr>
        <w:t> </w:t>
      </w:r>
      <w:r>
        <w:rPr/>
        <w:t>mobile</w:t>
      </w:r>
      <w:r>
        <w:rPr>
          <w:spacing w:val="-5"/>
        </w:rPr>
        <w:t> </w:t>
      </w:r>
      <w:r>
        <w:rPr/>
        <w:t>apps</w:t>
      </w:r>
      <w:r>
        <w:rPr>
          <w:spacing w:val="-5"/>
        </w:rPr>
        <w:t> </w:t>
      </w:r>
      <w:r>
        <w:rPr/>
        <w:t>and</w:t>
      </w:r>
      <w:r>
        <w:rPr>
          <w:spacing w:val="-6"/>
        </w:rPr>
        <w:t> </w:t>
      </w:r>
      <w:r>
        <w:rPr/>
        <w:t>telephone</w:t>
      </w:r>
      <w:r>
        <w:rPr>
          <w:spacing w:val="-7"/>
        </w:rPr>
        <w:t> </w:t>
      </w:r>
      <w:r>
        <w:rPr/>
        <w:t>translation</w:t>
      </w:r>
      <w:r>
        <w:rPr>
          <w:spacing w:val="40"/>
        </w:rPr>
        <w:t> </w:t>
      </w:r>
      <w:r>
        <w:rPr/>
        <w:t>services</w:t>
      </w:r>
      <w:r>
        <w:rPr>
          <w:spacing w:val="-5"/>
        </w:rPr>
        <w:t> </w:t>
      </w:r>
      <w:r>
        <w:rPr/>
        <w:t>as</w:t>
      </w:r>
      <w:r>
        <w:rPr>
          <w:spacing w:val="-7"/>
        </w:rPr>
        <w:t> </w:t>
      </w:r>
      <w:r>
        <w:rPr/>
        <w:t>needed,</w:t>
      </w:r>
      <w:r>
        <w:rPr>
          <w:spacing w:val="-6"/>
        </w:rPr>
        <w:t> </w:t>
      </w:r>
      <w:r>
        <w:rPr/>
        <w:t>and</w:t>
      </w:r>
      <w:r>
        <w:rPr>
          <w:spacing w:val="-6"/>
        </w:rPr>
        <w:t> </w:t>
      </w:r>
      <w:r>
        <w:rPr/>
        <w:t>re- evaluate</w:t>
      </w:r>
      <w:r>
        <w:rPr>
          <w:spacing w:val="-5"/>
        </w:rPr>
        <w:t> </w:t>
      </w:r>
      <w:r>
        <w:rPr/>
        <w:t>the</w:t>
      </w:r>
      <w:r>
        <w:rPr>
          <w:spacing w:val="-2"/>
        </w:rPr>
        <w:t> </w:t>
      </w:r>
      <w:r>
        <w:rPr/>
        <w:t>tools</w:t>
      </w:r>
      <w:r>
        <w:rPr>
          <w:spacing w:val="-1"/>
        </w:rPr>
        <w:t> </w:t>
      </w:r>
      <w:r>
        <w:rPr/>
        <w:t>and</w:t>
      </w:r>
      <w:r>
        <w:rPr>
          <w:spacing w:val="-4"/>
        </w:rPr>
        <w:t> </w:t>
      </w:r>
      <w:r>
        <w:rPr/>
        <w:t>resources</w:t>
      </w:r>
      <w:r>
        <w:rPr>
          <w:spacing w:val="-6"/>
        </w:rPr>
        <w:t> </w:t>
      </w:r>
      <w:r>
        <w:rPr/>
        <w:t>that</w:t>
      </w:r>
      <w:r>
        <w:rPr>
          <w:spacing w:val="-2"/>
        </w:rPr>
        <w:t> </w:t>
      </w:r>
      <w:r>
        <w:rPr/>
        <w:t>they</w:t>
      </w:r>
      <w:r>
        <w:rPr>
          <w:spacing w:val="-4"/>
        </w:rPr>
        <w:t> </w:t>
      </w:r>
      <w:r>
        <w:rPr/>
        <w:t>utilize in</w:t>
      </w:r>
      <w:r>
        <w:rPr>
          <w:spacing w:val="-2"/>
        </w:rPr>
        <w:t> </w:t>
      </w:r>
      <w:r>
        <w:rPr/>
        <w:t>order</w:t>
      </w:r>
      <w:r>
        <w:rPr>
          <w:spacing w:val="-2"/>
        </w:rPr>
        <w:t> </w:t>
      </w:r>
      <w:r>
        <w:rPr/>
        <w:t>to</w:t>
      </w:r>
      <w:r>
        <w:rPr>
          <w:spacing w:val="-5"/>
        </w:rPr>
        <w:t> </w:t>
      </w:r>
      <w:r>
        <w:rPr/>
        <w:t>ensure</w:t>
      </w:r>
      <w:r>
        <w:rPr>
          <w:spacing w:val="-2"/>
        </w:rPr>
        <w:t> </w:t>
      </w:r>
      <w:r>
        <w:rPr/>
        <w:t>that</w:t>
      </w:r>
      <w:r>
        <w:rPr>
          <w:spacing w:val="80"/>
        </w:rPr>
        <w:t> </w:t>
      </w:r>
      <w:r>
        <w:rPr/>
        <w:t>they</w:t>
      </w:r>
      <w:r>
        <w:rPr>
          <w:spacing w:val="-1"/>
        </w:rPr>
        <w:t> </w:t>
      </w:r>
      <w:r>
        <w:rPr/>
        <w:t>can</w:t>
      </w:r>
      <w:r>
        <w:rPr>
          <w:spacing w:val="-2"/>
        </w:rPr>
        <w:t> </w:t>
      </w:r>
      <w:r>
        <w:rPr/>
        <w:t>provide</w:t>
      </w:r>
      <w:r>
        <w:rPr>
          <w:spacing w:val="-2"/>
        </w:rPr>
        <w:t> </w:t>
      </w:r>
      <w:r>
        <w:rPr/>
        <w:t>uninterrupted and quality services to LEP persons.</w:t>
      </w:r>
    </w:p>
    <w:p>
      <w:pPr>
        <w:pStyle w:val="BodyText"/>
        <w:spacing w:before="4"/>
        <w:rPr>
          <w:sz w:val="33"/>
        </w:rPr>
      </w:pPr>
    </w:p>
    <w:p>
      <w:pPr>
        <w:pStyle w:val="Heading8"/>
        <w:ind w:left="3404" w:right="3499"/>
        <w:rPr>
          <w:u w:val="none"/>
        </w:rPr>
      </w:pPr>
      <w:bookmarkStart w:name="Conclusion" w:id="99"/>
      <w:bookmarkEnd w:id="99"/>
      <w:r>
        <w:rPr>
          <w:b w:val="0"/>
          <w:u w:val="none"/>
        </w:rPr>
      </w:r>
      <w:r>
        <w:rPr>
          <w:spacing w:val="-2"/>
          <w:u w:val="single"/>
        </w:rPr>
        <w:t>CONCLUSION</w:t>
      </w:r>
    </w:p>
    <w:p>
      <w:pPr>
        <w:pStyle w:val="BodyText"/>
        <w:spacing w:before="1"/>
        <w:rPr>
          <w:b/>
          <w:sz w:val="23"/>
        </w:rPr>
      </w:pPr>
    </w:p>
    <w:p>
      <w:pPr>
        <w:pStyle w:val="BodyText"/>
        <w:spacing w:line="264" w:lineRule="auto" w:before="52"/>
        <w:ind w:left="239" w:right="392"/>
        <w:jc w:val="both"/>
      </w:pPr>
      <w:r>
        <w:rPr/>
        <w:t>It appears that with a few exceptions, language is not a barrier to services in Maine, and that</w:t>
      </w:r>
      <w:r>
        <w:rPr>
          <w:spacing w:val="80"/>
        </w:rPr>
        <w:t> </w:t>
      </w:r>
      <w:r>
        <w:rPr/>
        <w:t>there are resources available to provide meaningful access to programs and activities if they are</w:t>
      </w:r>
      <w:r>
        <w:rPr>
          <w:spacing w:val="80"/>
        </w:rPr>
        <w:t> </w:t>
      </w:r>
      <w:r>
        <w:rPr/>
        <w:t>needed, including community</w:t>
      </w:r>
      <w:r>
        <w:rPr>
          <w:spacing w:val="-14"/>
        </w:rPr>
        <w:t> </w:t>
      </w:r>
      <w:r>
        <w:rPr/>
        <w:t>organizations</w:t>
      </w:r>
      <w:r>
        <w:rPr>
          <w:spacing w:val="-13"/>
        </w:rPr>
        <w:t> </w:t>
      </w:r>
      <w:r>
        <w:rPr/>
        <w:t>like</w:t>
      </w:r>
      <w:r>
        <w:rPr>
          <w:spacing w:val="-8"/>
        </w:rPr>
        <w:t> </w:t>
      </w:r>
      <w:r>
        <w:rPr/>
        <w:t>Healthy</w:t>
      </w:r>
      <w:r>
        <w:rPr>
          <w:spacing w:val="-14"/>
        </w:rPr>
        <w:t> </w:t>
      </w:r>
      <w:r>
        <w:rPr/>
        <w:t>Androscoggin</w:t>
      </w:r>
      <w:r>
        <w:rPr>
          <w:spacing w:val="-7"/>
        </w:rPr>
        <w:t> </w:t>
      </w:r>
      <w:r>
        <w:rPr/>
        <w:t>and</w:t>
      </w:r>
      <w:r>
        <w:rPr>
          <w:spacing w:val="-7"/>
        </w:rPr>
        <w:t> </w:t>
      </w:r>
      <w:r>
        <w:rPr/>
        <w:t>New</w:t>
      </w:r>
      <w:r>
        <w:rPr>
          <w:spacing w:val="-10"/>
        </w:rPr>
        <w:t> </w:t>
      </w:r>
      <w:r>
        <w:rPr/>
        <w:t>Mainers</w:t>
      </w:r>
      <w:r>
        <w:rPr>
          <w:spacing w:val="40"/>
        </w:rPr>
        <w:t> </w:t>
      </w:r>
      <w:r>
        <w:rPr/>
        <w:t>Resource</w:t>
      </w:r>
      <w:r>
        <w:rPr>
          <w:spacing w:val="-8"/>
        </w:rPr>
        <w:t> </w:t>
      </w:r>
      <w:r>
        <w:rPr/>
        <w:t>Center;</w:t>
      </w:r>
      <w:r>
        <w:rPr>
          <w:spacing w:val="-11"/>
        </w:rPr>
        <w:t> </w:t>
      </w:r>
      <w:r>
        <w:rPr/>
        <w:t>translation</w:t>
      </w:r>
      <w:r>
        <w:rPr>
          <w:spacing w:val="-7"/>
        </w:rPr>
        <w:t> </w:t>
      </w:r>
      <w:r>
        <w:rPr/>
        <w:t>services like Pacific Translators Language Line and Catholic</w:t>
      </w:r>
      <w:r>
        <w:rPr>
          <w:spacing w:val="40"/>
        </w:rPr>
        <w:t> </w:t>
      </w:r>
      <w:r>
        <w:rPr/>
        <w:t>Charities Interpreters; mobile apps; ‘I Speak’ cards; bilingual and multilingual staff; and 711</w:t>
      </w:r>
      <w:r>
        <w:rPr>
          <w:spacing w:val="40"/>
        </w:rPr>
        <w:t> </w:t>
      </w:r>
      <w:r>
        <w:rPr/>
        <w:t>relay services. Survey respondents indicated that translation methods</w:t>
      </w:r>
      <w:r>
        <w:rPr>
          <w:spacing w:val="-5"/>
        </w:rPr>
        <w:t> </w:t>
      </w:r>
      <w:r>
        <w:rPr/>
        <w:t>like</w:t>
      </w:r>
      <w:r>
        <w:rPr>
          <w:spacing w:val="-4"/>
        </w:rPr>
        <w:t> </w:t>
      </w:r>
      <w:r>
        <w:rPr/>
        <w:t>mobile</w:t>
      </w:r>
      <w:r>
        <w:rPr>
          <w:spacing w:val="-4"/>
        </w:rPr>
        <w:t> </w:t>
      </w:r>
      <w:r>
        <w:rPr/>
        <w:t>apps,</w:t>
      </w:r>
      <w:r>
        <w:rPr>
          <w:spacing w:val="-2"/>
        </w:rPr>
        <w:t> </w:t>
      </w:r>
      <w:r>
        <w:rPr/>
        <w:t>‘I</w:t>
      </w:r>
      <w:r>
        <w:rPr>
          <w:spacing w:val="-3"/>
        </w:rPr>
        <w:t> </w:t>
      </w:r>
      <w:r>
        <w:rPr/>
        <w:t>Speak’</w:t>
      </w:r>
      <w:r>
        <w:rPr>
          <w:spacing w:val="80"/>
        </w:rPr>
        <w:t> </w:t>
      </w:r>
      <w:r>
        <w:rPr/>
        <w:t>cards,</w:t>
      </w:r>
      <w:r>
        <w:rPr>
          <w:spacing w:val="-2"/>
        </w:rPr>
        <w:t> </w:t>
      </w:r>
      <w:r>
        <w:rPr/>
        <w:t>and</w:t>
      </w:r>
      <w:r>
        <w:rPr>
          <w:spacing w:val="-5"/>
        </w:rPr>
        <w:t> </w:t>
      </w:r>
      <w:r>
        <w:rPr/>
        <w:t>tele-language</w:t>
      </w:r>
      <w:r>
        <w:rPr>
          <w:spacing w:val="-1"/>
        </w:rPr>
        <w:t> </w:t>
      </w:r>
      <w:r>
        <w:rPr/>
        <w:t>services</w:t>
      </w:r>
      <w:r>
        <w:rPr>
          <w:spacing w:val="-5"/>
        </w:rPr>
        <w:t> </w:t>
      </w:r>
      <w:r>
        <w:rPr/>
        <w:t>would</w:t>
      </w:r>
      <w:r>
        <w:rPr>
          <w:spacing w:val="-3"/>
        </w:rPr>
        <w:t> </w:t>
      </w:r>
      <w:r>
        <w:rPr/>
        <w:t>be</w:t>
      </w:r>
      <w:r>
        <w:rPr>
          <w:spacing w:val="-4"/>
        </w:rPr>
        <w:t> </w:t>
      </w:r>
      <w:r>
        <w:rPr/>
        <w:t>most</w:t>
      </w:r>
      <w:r>
        <w:rPr>
          <w:spacing w:val="-3"/>
        </w:rPr>
        <w:t> </w:t>
      </w:r>
      <w:r>
        <w:rPr/>
        <w:t>helpful</w:t>
      </w:r>
      <w:r>
        <w:rPr>
          <w:spacing w:val="-5"/>
        </w:rPr>
        <w:t> </w:t>
      </w:r>
      <w:r>
        <w:rPr/>
        <w:t>in</w:t>
      </w:r>
      <w:r>
        <w:rPr>
          <w:spacing w:val="-3"/>
        </w:rPr>
        <w:t> </w:t>
      </w:r>
      <w:r>
        <w:rPr/>
        <w:t>bridging</w:t>
      </w:r>
      <w:r>
        <w:rPr>
          <w:spacing w:val="-5"/>
        </w:rPr>
        <w:t> </w:t>
      </w:r>
      <w:r>
        <w:rPr/>
        <w:t>the communication gaps as</w:t>
      </w:r>
      <w:r>
        <w:rPr>
          <w:spacing w:val="40"/>
        </w:rPr>
        <w:t> </w:t>
      </w:r>
      <w:r>
        <w:rPr/>
        <w:t>they arise.</w:t>
      </w:r>
    </w:p>
    <w:p>
      <w:pPr>
        <w:pStyle w:val="BodyText"/>
        <w:spacing w:before="10"/>
        <w:rPr>
          <w:sz w:val="33"/>
        </w:rPr>
      </w:pPr>
    </w:p>
    <w:p>
      <w:pPr>
        <w:pStyle w:val="Heading8"/>
        <w:ind w:left="3401" w:right="3500"/>
        <w:rPr>
          <w:u w:val="none"/>
        </w:rPr>
      </w:pPr>
      <w:bookmarkStart w:name="Recommendations" w:id="100"/>
      <w:bookmarkEnd w:id="100"/>
      <w:r>
        <w:rPr>
          <w:b w:val="0"/>
          <w:u w:val="none"/>
        </w:rPr>
      </w:r>
      <w:r>
        <w:rPr>
          <w:spacing w:val="-2"/>
          <w:u w:val="single"/>
        </w:rPr>
        <w:t>RECOMMENDATIONS</w:t>
      </w:r>
    </w:p>
    <w:p>
      <w:pPr>
        <w:pStyle w:val="BodyText"/>
        <w:spacing w:before="11"/>
        <w:rPr>
          <w:b/>
          <w:sz w:val="22"/>
        </w:rPr>
      </w:pPr>
    </w:p>
    <w:p>
      <w:pPr>
        <w:pStyle w:val="BodyText"/>
        <w:spacing w:line="264" w:lineRule="auto" w:before="52"/>
        <w:ind w:left="239" w:right="353"/>
        <w:jc w:val="both"/>
      </w:pPr>
      <w:r>
        <w:rPr/>
        <w:t>The</w:t>
      </w:r>
      <w:r>
        <w:rPr>
          <w:spacing w:val="-8"/>
        </w:rPr>
        <w:t> </w:t>
      </w:r>
      <w:r>
        <w:rPr/>
        <w:t>few</w:t>
      </w:r>
      <w:r>
        <w:rPr>
          <w:spacing w:val="-5"/>
        </w:rPr>
        <w:t> </w:t>
      </w:r>
      <w:r>
        <w:rPr/>
        <w:t>exceptions</w:t>
      </w:r>
      <w:r>
        <w:rPr>
          <w:spacing w:val="-9"/>
        </w:rPr>
        <w:t> </w:t>
      </w:r>
      <w:r>
        <w:rPr/>
        <w:t>referenced</w:t>
      </w:r>
      <w:r>
        <w:rPr>
          <w:spacing w:val="-5"/>
        </w:rPr>
        <w:t> </w:t>
      </w:r>
      <w:r>
        <w:rPr/>
        <w:t>above</w:t>
      </w:r>
      <w:r>
        <w:rPr>
          <w:spacing w:val="-6"/>
        </w:rPr>
        <w:t> </w:t>
      </w:r>
      <w:r>
        <w:rPr/>
        <w:t>include</w:t>
      </w:r>
      <w:r>
        <w:rPr>
          <w:spacing w:val="-14"/>
        </w:rPr>
        <w:t> </w:t>
      </w:r>
      <w:r>
        <w:rPr/>
        <w:t>ARTS</w:t>
      </w:r>
      <w:r>
        <w:rPr>
          <w:spacing w:val="-8"/>
        </w:rPr>
        <w:t> </w:t>
      </w:r>
      <w:r>
        <w:rPr/>
        <w:t>in</w:t>
      </w:r>
      <w:r>
        <w:rPr>
          <w:spacing w:val="-3"/>
        </w:rPr>
        <w:t> </w:t>
      </w:r>
      <w:r>
        <w:rPr/>
        <w:t>Region</w:t>
      </w:r>
      <w:r>
        <w:rPr>
          <w:spacing w:val="-6"/>
        </w:rPr>
        <w:t> </w:t>
      </w:r>
      <w:r>
        <w:rPr/>
        <w:t>1.</w:t>
      </w:r>
      <w:r>
        <w:rPr>
          <w:spacing w:val="-11"/>
        </w:rPr>
        <w:t> </w:t>
      </w:r>
      <w:r>
        <w:rPr/>
        <w:t>There</w:t>
      </w:r>
      <w:r>
        <w:rPr>
          <w:spacing w:val="-6"/>
        </w:rPr>
        <w:t> </w:t>
      </w:r>
      <w:r>
        <w:rPr/>
        <w:t>was</w:t>
      </w:r>
      <w:r>
        <w:rPr>
          <w:spacing w:val="-7"/>
        </w:rPr>
        <w:t> </w:t>
      </w:r>
      <w:r>
        <w:rPr/>
        <w:t>inadequate</w:t>
      </w:r>
      <w:r>
        <w:rPr>
          <w:spacing w:val="40"/>
        </w:rPr>
        <w:t> </w:t>
      </w:r>
      <w:r>
        <w:rPr/>
        <w:t>information</w:t>
      </w:r>
      <w:r>
        <w:rPr>
          <w:spacing w:val="-8"/>
        </w:rPr>
        <w:t> </w:t>
      </w:r>
      <w:r>
        <w:rPr/>
        <w:t>obtained from Region 1 during</w:t>
      </w:r>
      <w:r>
        <w:rPr>
          <w:spacing w:val="-1"/>
        </w:rPr>
        <w:t> </w:t>
      </w:r>
      <w:r>
        <w:rPr/>
        <w:t>this process</w:t>
      </w:r>
      <w:r>
        <w:rPr>
          <w:spacing w:val="-1"/>
        </w:rPr>
        <w:t> </w:t>
      </w:r>
      <w:r>
        <w:rPr/>
        <w:t>to</w:t>
      </w:r>
      <w:r>
        <w:rPr>
          <w:spacing w:val="-1"/>
        </w:rPr>
        <w:t> </w:t>
      </w:r>
      <w:r>
        <w:rPr/>
        <w:t>provide a clear</w:t>
      </w:r>
      <w:r>
        <w:rPr>
          <w:spacing w:val="-1"/>
        </w:rPr>
        <w:t> </w:t>
      </w:r>
      <w:r>
        <w:rPr/>
        <w:t>picture of</w:t>
      </w:r>
      <w:r>
        <w:rPr>
          <w:spacing w:val="-2"/>
        </w:rPr>
        <w:t> </w:t>
      </w:r>
      <w:r>
        <w:rPr/>
        <w:t>the need or</w:t>
      </w:r>
      <w:r>
        <w:rPr>
          <w:spacing w:val="40"/>
        </w:rPr>
        <w:t> </w:t>
      </w:r>
      <w:r>
        <w:rPr/>
        <w:t>services available</w:t>
      </w:r>
      <w:r>
        <w:rPr>
          <w:spacing w:val="-1"/>
        </w:rPr>
        <w:t> </w:t>
      </w:r>
      <w:r>
        <w:rPr/>
        <w:t>to</w:t>
      </w:r>
      <w:r>
        <w:rPr>
          <w:spacing w:val="-1"/>
        </w:rPr>
        <w:t> </w:t>
      </w:r>
      <w:r>
        <w:rPr/>
        <w:t>address the needs</w:t>
      </w:r>
      <w:r>
        <w:rPr>
          <w:spacing w:val="-14"/>
        </w:rPr>
        <w:t> </w:t>
      </w:r>
      <w:r>
        <w:rPr/>
        <w:t>of</w:t>
      </w:r>
      <w:r>
        <w:rPr>
          <w:spacing w:val="-14"/>
        </w:rPr>
        <w:t> </w:t>
      </w:r>
      <w:r>
        <w:rPr/>
        <w:t>LEP</w:t>
      </w:r>
      <w:r>
        <w:rPr>
          <w:spacing w:val="-13"/>
        </w:rPr>
        <w:t> </w:t>
      </w:r>
      <w:r>
        <w:rPr/>
        <w:t>individuals</w:t>
      </w:r>
      <w:r>
        <w:rPr>
          <w:spacing w:val="-14"/>
        </w:rPr>
        <w:t> </w:t>
      </w:r>
      <w:r>
        <w:rPr/>
        <w:t>in</w:t>
      </w:r>
      <w:r>
        <w:rPr>
          <w:spacing w:val="-13"/>
        </w:rPr>
        <w:t> </w:t>
      </w:r>
      <w:r>
        <w:rPr/>
        <w:t>Region</w:t>
      </w:r>
      <w:r>
        <w:rPr>
          <w:spacing w:val="-14"/>
        </w:rPr>
        <w:t> </w:t>
      </w:r>
      <w:r>
        <w:rPr/>
        <w:t>1.</w:t>
      </w:r>
      <w:r>
        <w:rPr>
          <w:spacing w:val="-13"/>
        </w:rPr>
        <w:t> </w:t>
      </w:r>
      <w:r>
        <w:rPr/>
        <w:t>It</w:t>
      </w:r>
      <w:r>
        <w:rPr>
          <w:spacing w:val="-14"/>
        </w:rPr>
        <w:t> </w:t>
      </w:r>
      <w:r>
        <w:rPr/>
        <w:t>is</w:t>
      </w:r>
      <w:r>
        <w:rPr>
          <w:spacing w:val="-14"/>
        </w:rPr>
        <w:t> </w:t>
      </w:r>
      <w:r>
        <w:rPr/>
        <w:t>recommended</w:t>
      </w:r>
      <w:r>
        <w:rPr>
          <w:spacing w:val="-13"/>
        </w:rPr>
        <w:t> </w:t>
      </w:r>
      <w:r>
        <w:rPr/>
        <w:t>that</w:t>
      </w:r>
      <w:r>
        <w:rPr>
          <w:spacing w:val="51"/>
        </w:rPr>
        <w:t> </w:t>
      </w:r>
      <w:r>
        <w:rPr/>
        <w:t>MaineDOT</w:t>
      </w:r>
      <w:r>
        <w:rPr>
          <w:spacing w:val="-14"/>
        </w:rPr>
        <w:t> </w:t>
      </w:r>
      <w:r>
        <w:rPr/>
        <w:t>reach</w:t>
      </w:r>
      <w:r>
        <w:rPr>
          <w:spacing w:val="-11"/>
        </w:rPr>
        <w:t> </w:t>
      </w:r>
      <w:r>
        <w:rPr/>
        <w:t>out</w:t>
      </w:r>
      <w:r>
        <w:rPr>
          <w:spacing w:val="-11"/>
        </w:rPr>
        <w:t> </w:t>
      </w:r>
      <w:r>
        <w:rPr/>
        <w:t>to</w:t>
      </w:r>
      <w:r>
        <w:rPr>
          <w:spacing w:val="-14"/>
        </w:rPr>
        <w:t> </w:t>
      </w:r>
      <w:r>
        <w:rPr/>
        <w:t>ARTS</w:t>
      </w:r>
      <w:r>
        <w:rPr>
          <w:spacing w:val="-14"/>
        </w:rPr>
        <w:t> </w:t>
      </w:r>
      <w:r>
        <w:rPr/>
        <w:t>to</w:t>
      </w:r>
      <w:r>
        <w:rPr>
          <w:spacing w:val="-10"/>
        </w:rPr>
        <w:t> </w:t>
      </w:r>
      <w:r>
        <w:rPr/>
        <w:t>gain</w:t>
      </w:r>
      <w:r>
        <w:rPr>
          <w:spacing w:val="-13"/>
        </w:rPr>
        <w:t> </w:t>
      </w:r>
      <w:r>
        <w:rPr/>
        <w:t>perspective on the needs and resources in Region 1.</w:t>
      </w:r>
    </w:p>
    <w:p>
      <w:pPr>
        <w:spacing w:after="0" w:line="264" w:lineRule="auto"/>
        <w:jc w:val="both"/>
        <w:sectPr>
          <w:pgSz w:w="12240" w:h="15840"/>
          <w:pgMar w:header="0" w:footer="1023" w:top="1260" w:bottom="1260" w:left="600" w:right="500"/>
        </w:sectPr>
      </w:pPr>
    </w:p>
    <w:p>
      <w:pPr>
        <w:pStyle w:val="BodyText"/>
        <w:spacing w:line="264" w:lineRule="auto" w:before="35"/>
        <w:ind w:left="240" w:right="355"/>
        <w:jc w:val="both"/>
      </w:pPr>
      <w:r>
        <w:rPr/>
        <w:t>Also, there are KVCAP drivers in Region 4 who indicated that they either cannot communicate</w:t>
      </w:r>
      <w:r>
        <w:rPr>
          <w:spacing w:val="40"/>
        </w:rPr>
        <w:t> </w:t>
      </w:r>
      <w:r>
        <w:rPr/>
        <w:t>with LEP individuals or communicate less effectively. It is</w:t>
      </w:r>
      <w:r>
        <w:rPr>
          <w:spacing w:val="-1"/>
        </w:rPr>
        <w:t> </w:t>
      </w:r>
      <w:r>
        <w:rPr/>
        <w:t>recommended</w:t>
      </w:r>
      <w:r>
        <w:rPr>
          <w:spacing w:val="-1"/>
        </w:rPr>
        <w:t> </w:t>
      </w:r>
      <w:r>
        <w:rPr/>
        <w:t>that KVCAP</w:t>
      </w:r>
      <w:r>
        <w:rPr>
          <w:spacing w:val="-7"/>
        </w:rPr>
        <w:t> </w:t>
      </w:r>
      <w:r>
        <w:rPr/>
        <w:t>provide</w:t>
      </w:r>
      <w:r>
        <w:rPr>
          <w:spacing w:val="40"/>
        </w:rPr>
        <w:t> </w:t>
      </w:r>
      <w:r>
        <w:rPr/>
        <w:t>some</w:t>
      </w:r>
      <w:r>
        <w:rPr>
          <w:spacing w:val="-1"/>
        </w:rPr>
        <w:t> </w:t>
      </w:r>
      <w:r>
        <w:rPr/>
        <w:t>training for those employees, as well as provide information to them about available</w:t>
      </w:r>
      <w:r>
        <w:rPr>
          <w:spacing w:val="80"/>
        </w:rPr>
        <w:t> </w:t>
      </w:r>
      <w:r>
        <w:rPr/>
        <w:t>translation/interpretation services.</w:t>
      </w:r>
    </w:p>
    <w:p>
      <w:pPr>
        <w:pStyle w:val="BodyText"/>
        <w:spacing w:before="10"/>
        <w:rPr>
          <w:sz w:val="33"/>
        </w:rPr>
      </w:pPr>
    </w:p>
    <w:p>
      <w:pPr>
        <w:pStyle w:val="BodyText"/>
        <w:spacing w:line="264" w:lineRule="auto" w:before="1"/>
        <w:ind w:left="240" w:right="357"/>
        <w:jc w:val="both"/>
      </w:pPr>
      <w:r>
        <w:rPr/>
        <w:t>It is unclear if RTP</w:t>
      </w:r>
      <w:r>
        <w:rPr>
          <w:spacing w:val="-10"/>
        </w:rPr>
        <w:t> </w:t>
      </w:r>
      <w:r>
        <w:rPr/>
        <w:t>in Region 6 has any methods of communicating with or translating for LEP</w:t>
      </w:r>
      <w:r>
        <w:rPr>
          <w:spacing w:val="40"/>
        </w:rPr>
        <w:t> </w:t>
      </w:r>
      <w:r>
        <w:rPr/>
        <w:t>individuals in their service area. It is recommended that Maine DOT reach out to Region 6 to</w:t>
      </w:r>
      <w:r>
        <w:rPr>
          <w:spacing w:val="80"/>
        </w:rPr>
        <w:t> </w:t>
      </w:r>
      <w:r>
        <w:rPr/>
        <w:t>address this issue.</w:t>
      </w:r>
    </w:p>
    <w:p>
      <w:pPr>
        <w:pStyle w:val="BodyText"/>
        <w:spacing w:before="10"/>
        <w:rPr>
          <w:sz w:val="33"/>
        </w:rPr>
      </w:pPr>
    </w:p>
    <w:p>
      <w:pPr>
        <w:pStyle w:val="BodyText"/>
        <w:spacing w:line="264" w:lineRule="auto" w:before="1"/>
        <w:ind w:left="239" w:right="349"/>
        <w:jc w:val="both"/>
      </w:pPr>
      <w:r>
        <w:rPr/>
        <w:t>Overall,</w:t>
      </w:r>
      <w:r>
        <w:rPr>
          <w:spacing w:val="-10"/>
        </w:rPr>
        <w:t> </w:t>
      </w:r>
      <w:r>
        <w:rPr/>
        <w:t>the</w:t>
      </w:r>
      <w:r>
        <w:rPr>
          <w:spacing w:val="-10"/>
        </w:rPr>
        <w:t> </w:t>
      </w:r>
      <w:r>
        <w:rPr/>
        <w:t>translation</w:t>
      </w:r>
      <w:r>
        <w:rPr>
          <w:spacing w:val="-9"/>
        </w:rPr>
        <w:t> </w:t>
      </w:r>
      <w:r>
        <w:rPr/>
        <w:t>resources</w:t>
      </w:r>
      <w:r>
        <w:rPr>
          <w:spacing w:val="-11"/>
        </w:rPr>
        <w:t> </w:t>
      </w:r>
      <w:r>
        <w:rPr/>
        <w:t>appear</w:t>
      </w:r>
      <w:r>
        <w:rPr>
          <w:spacing w:val="-8"/>
        </w:rPr>
        <w:t> </w:t>
      </w:r>
      <w:r>
        <w:rPr/>
        <w:t>to</w:t>
      </w:r>
      <w:r>
        <w:rPr>
          <w:spacing w:val="-7"/>
        </w:rPr>
        <w:t> </w:t>
      </w:r>
      <w:r>
        <w:rPr/>
        <w:t>be</w:t>
      </w:r>
      <w:r>
        <w:rPr>
          <w:spacing w:val="-8"/>
        </w:rPr>
        <w:t> </w:t>
      </w:r>
      <w:r>
        <w:rPr/>
        <w:t>commensurate</w:t>
      </w:r>
      <w:r>
        <w:rPr>
          <w:spacing w:val="-10"/>
        </w:rPr>
        <w:t> </w:t>
      </w:r>
      <w:r>
        <w:rPr/>
        <w:t>with</w:t>
      </w:r>
      <w:r>
        <w:rPr>
          <w:spacing w:val="-7"/>
        </w:rPr>
        <w:t> </w:t>
      </w:r>
      <w:r>
        <w:rPr/>
        <w:t>the</w:t>
      </w:r>
      <w:r>
        <w:rPr>
          <w:spacing w:val="-10"/>
        </w:rPr>
        <w:t> </w:t>
      </w:r>
      <w:r>
        <w:rPr/>
        <w:t>number</w:t>
      </w:r>
      <w:r>
        <w:rPr>
          <w:spacing w:val="-8"/>
        </w:rPr>
        <w:t> </w:t>
      </w:r>
      <w:r>
        <w:rPr/>
        <w:t>or</w:t>
      </w:r>
      <w:r>
        <w:rPr>
          <w:spacing w:val="-10"/>
        </w:rPr>
        <w:t> </w:t>
      </w:r>
      <w:r>
        <w:rPr/>
        <w:t>proportion</w:t>
      </w:r>
      <w:r>
        <w:rPr>
          <w:spacing w:val="-9"/>
        </w:rPr>
        <w:t> </w:t>
      </w:r>
      <w:r>
        <w:rPr/>
        <w:t>of</w:t>
      </w:r>
      <w:r>
        <w:rPr>
          <w:spacing w:val="76"/>
        </w:rPr>
        <w:t> </w:t>
      </w:r>
      <w:r>
        <w:rPr/>
        <w:t>eligible</w:t>
      </w:r>
      <w:r>
        <w:rPr>
          <w:spacing w:val="-10"/>
        </w:rPr>
        <w:t> </w:t>
      </w:r>
      <w:r>
        <w:rPr/>
        <w:t>LEP persons,</w:t>
      </w:r>
      <w:r>
        <w:rPr>
          <w:spacing w:val="-7"/>
        </w:rPr>
        <w:t> </w:t>
      </w:r>
      <w:r>
        <w:rPr/>
        <w:t>the</w:t>
      </w:r>
      <w:r>
        <w:rPr>
          <w:spacing w:val="-6"/>
        </w:rPr>
        <w:t> </w:t>
      </w:r>
      <w:r>
        <w:rPr/>
        <w:t>frequency</w:t>
      </w:r>
      <w:r>
        <w:rPr>
          <w:spacing w:val="-6"/>
        </w:rPr>
        <w:t> </w:t>
      </w:r>
      <w:r>
        <w:rPr/>
        <w:t>of</w:t>
      </w:r>
      <w:r>
        <w:rPr>
          <w:spacing w:val="-1"/>
        </w:rPr>
        <w:t> </w:t>
      </w:r>
      <w:r>
        <w:rPr/>
        <w:t>contact</w:t>
      </w:r>
      <w:r>
        <w:rPr>
          <w:spacing w:val="-3"/>
        </w:rPr>
        <w:t> </w:t>
      </w:r>
      <w:r>
        <w:rPr/>
        <w:t>with</w:t>
      </w:r>
      <w:r>
        <w:rPr>
          <w:spacing w:val="-1"/>
        </w:rPr>
        <w:t> </w:t>
      </w:r>
      <w:r>
        <w:rPr/>
        <w:t>the</w:t>
      </w:r>
      <w:r>
        <w:rPr>
          <w:spacing w:val="-4"/>
        </w:rPr>
        <w:t> </w:t>
      </w:r>
      <w:r>
        <w:rPr/>
        <w:t>services,</w:t>
      </w:r>
      <w:r>
        <w:rPr>
          <w:spacing w:val="-2"/>
        </w:rPr>
        <w:t> </w:t>
      </w:r>
      <w:r>
        <w:rPr/>
        <w:t>and</w:t>
      </w:r>
      <w:r>
        <w:rPr>
          <w:spacing w:val="-3"/>
        </w:rPr>
        <w:t> </w:t>
      </w:r>
      <w:r>
        <w:rPr/>
        <w:t>the</w:t>
      </w:r>
      <w:r>
        <w:rPr>
          <w:spacing w:val="-7"/>
        </w:rPr>
        <w:t> </w:t>
      </w:r>
      <w:r>
        <w:rPr/>
        <w:t>importance</w:t>
      </w:r>
      <w:r>
        <w:rPr>
          <w:spacing w:val="-4"/>
        </w:rPr>
        <w:t> </w:t>
      </w:r>
      <w:r>
        <w:rPr/>
        <w:t>of</w:t>
      </w:r>
      <w:r>
        <w:rPr>
          <w:spacing w:val="-3"/>
        </w:rPr>
        <w:t> </w:t>
      </w:r>
      <w:r>
        <w:rPr/>
        <w:t>the</w:t>
      </w:r>
      <w:r>
        <w:rPr>
          <w:spacing w:val="40"/>
        </w:rPr>
        <w:t> </w:t>
      </w:r>
      <w:r>
        <w:rPr/>
        <w:t>program,</w:t>
      </w:r>
      <w:r>
        <w:rPr>
          <w:spacing w:val="-4"/>
        </w:rPr>
        <w:t> </w:t>
      </w:r>
      <w:r>
        <w:rPr/>
        <w:t>activity,</w:t>
      </w:r>
      <w:r>
        <w:rPr>
          <w:spacing w:val="-5"/>
        </w:rPr>
        <w:t> </w:t>
      </w:r>
      <w:r>
        <w:rPr/>
        <w:t>or</w:t>
      </w:r>
      <w:r>
        <w:rPr>
          <w:spacing w:val="-4"/>
        </w:rPr>
        <w:t> </w:t>
      </w:r>
      <w:r>
        <w:rPr/>
        <w:t>service. Notably,</w:t>
      </w:r>
      <w:r>
        <w:rPr>
          <w:spacing w:val="-5"/>
        </w:rPr>
        <w:t> </w:t>
      </w:r>
      <w:r>
        <w:rPr/>
        <w:t>those</w:t>
      </w:r>
      <w:r>
        <w:rPr>
          <w:spacing w:val="-3"/>
        </w:rPr>
        <w:t> </w:t>
      </w:r>
      <w:r>
        <w:rPr/>
        <w:t>surveyed</w:t>
      </w:r>
      <w:r>
        <w:rPr>
          <w:spacing w:val="-3"/>
        </w:rPr>
        <w:t> </w:t>
      </w:r>
      <w:r>
        <w:rPr/>
        <w:t>about</w:t>
      </w:r>
      <w:r>
        <w:rPr>
          <w:spacing w:val="-3"/>
        </w:rPr>
        <w:t> </w:t>
      </w:r>
      <w:r>
        <w:rPr/>
        <w:t>addressing</w:t>
      </w:r>
      <w:r>
        <w:rPr>
          <w:spacing w:val="-5"/>
        </w:rPr>
        <w:t> </w:t>
      </w:r>
      <w:r>
        <w:rPr/>
        <w:t>language</w:t>
      </w:r>
      <w:r>
        <w:rPr>
          <w:spacing w:val="-3"/>
        </w:rPr>
        <w:t> </w:t>
      </w:r>
      <w:r>
        <w:rPr/>
        <w:t>barriers</w:t>
      </w:r>
      <w:r>
        <w:rPr>
          <w:spacing w:val="-3"/>
        </w:rPr>
        <w:t> </w:t>
      </w:r>
      <w:r>
        <w:rPr/>
        <w:t>did</w:t>
      </w:r>
      <w:r>
        <w:rPr>
          <w:spacing w:val="-3"/>
        </w:rPr>
        <w:t> </w:t>
      </w:r>
      <w:r>
        <w:rPr/>
        <w:t>not</w:t>
      </w:r>
      <w:r>
        <w:rPr>
          <w:spacing w:val="40"/>
        </w:rPr>
        <w:t> </w:t>
      </w:r>
      <w:r>
        <w:rPr/>
        <w:t>specifically</w:t>
      </w:r>
      <w:r>
        <w:rPr>
          <w:spacing w:val="-6"/>
        </w:rPr>
        <w:t> </w:t>
      </w:r>
      <w:r>
        <w:rPr/>
        <w:t>mention</w:t>
      </w:r>
      <w:r>
        <w:rPr>
          <w:spacing w:val="-4"/>
        </w:rPr>
        <w:t> </w:t>
      </w:r>
      <w:r>
        <w:rPr/>
        <w:t>written</w:t>
      </w:r>
      <w:r>
        <w:rPr>
          <w:spacing w:val="-4"/>
        </w:rPr>
        <w:t> </w:t>
      </w:r>
      <w:r>
        <w:rPr/>
        <w:t>translation of</w:t>
      </w:r>
      <w:r>
        <w:rPr>
          <w:spacing w:val="-14"/>
        </w:rPr>
        <w:t> </w:t>
      </w:r>
      <w:r>
        <w:rPr/>
        <w:t>vital</w:t>
      </w:r>
      <w:r>
        <w:rPr>
          <w:spacing w:val="-14"/>
        </w:rPr>
        <w:t> </w:t>
      </w:r>
      <w:r>
        <w:rPr/>
        <w:t>documents.</w:t>
      </w:r>
      <w:r>
        <w:rPr>
          <w:spacing w:val="-13"/>
        </w:rPr>
        <w:t> </w:t>
      </w:r>
      <w:r>
        <w:rPr/>
        <w:t>The</w:t>
      </w:r>
      <w:r>
        <w:rPr>
          <w:spacing w:val="-12"/>
        </w:rPr>
        <w:t> </w:t>
      </w:r>
      <w:r>
        <w:rPr/>
        <w:t>Safe</w:t>
      </w:r>
      <w:r>
        <w:rPr>
          <w:spacing w:val="-10"/>
        </w:rPr>
        <w:t> </w:t>
      </w:r>
      <w:r>
        <w:rPr/>
        <w:t>Harbor</w:t>
      </w:r>
      <w:r>
        <w:rPr>
          <w:spacing w:val="-14"/>
        </w:rPr>
        <w:t> </w:t>
      </w:r>
      <w:r>
        <w:rPr/>
        <w:t>Threshold</w:t>
      </w:r>
      <w:r>
        <w:rPr>
          <w:spacing w:val="-11"/>
        </w:rPr>
        <w:t> </w:t>
      </w:r>
      <w:r>
        <w:rPr/>
        <w:t>provision</w:t>
      </w:r>
      <w:r>
        <w:rPr>
          <w:spacing w:val="-12"/>
        </w:rPr>
        <w:t> </w:t>
      </w:r>
      <w:r>
        <w:rPr/>
        <w:t>stipulates</w:t>
      </w:r>
      <w:r>
        <w:rPr>
          <w:spacing w:val="-12"/>
        </w:rPr>
        <w:t> </w:t>
      </w:r>
      <w:r>
        <w:rPr/>
        <w:t>that</w:t>
      </w:r>
      <w:r>
        <w:rPr>
          <w:spacing w:val="-12"/>
        </w:rPr>
        <w:t> </w:t>
      </w:r>
      <w:r>
        <w:rPr/>
        <w:t>for</w:t>
      </w:r>
      <w:r>
        <w:rPr>
          <w:spacing w:val="-14"/>
        </w:rPr>
        <w:t> </w:t>
      </w:r>
      <w:r>
        <w:rPr/>
        <w:t>each</w:t>
      </w:r>
      <w:r>
        <w:rPr>
          <w:spacing w:val="-8"/>
        </w:rPr>
        <w:t> </w:t>
      </w:r>
      <w:r>
        <w:rPr/>
        <w:t>LEP</w:t>
      </w:r>
      <w:r>
        <w:rPr>
          <w:spacing w:val="-14"/>
        </w:rPr>
        <w:t> </w:t>
      </w:r>
      <w:r>
        <w:rPr/>
        <w:t>group</w:t>
      </w:r>
      <w:r>
        <w:rPr>
          <w:spacing w:val="-11"/>
        </w:rPr>
        <w:t> </w:t>
      </w:r>
      <w:r>
        <w:rPr/>
        <w:t>that</w:t>
      </w:r>
      <w:r>
        <w:rPr>
          <w:spacing w:val="-12"/>
        </w:rPr>
        <w:t> </w:t>
      </w:r>
      <w:r>
        <w:rPr/>
        <w:t>meets</w:t>
      </w:r>
      <w:r>
        <w:rPr>
          <w:spacing w:val="-12"/>
        </w:rPr>
        <w:t> </w:t>
      </w:r>
      <w:r>
        <w:rPr/>
        <w:t>the</w:t>
      </w:r>
      <w:r>
        <w:rPr>
          <w:spacing w:val="-12"/>
        </w:rPr>
        <w:t> </w:t>
      </w:r>
      <w:r>
        <w:rPr/>
        <w:t>LEP language threshold of 1,000 or 5% of the</w:t>
      </w:r>
      <w:r>
        <w:rPr>
          <w:spacing w:val="40"/>
        </w:rPr>
        <w:t> </w:t>
      </w:r>
      <w:r>
        <w:rPr/>
        <w:t>LEP</w:t>
      </w:r>
      <w:r>
        <w:rPr>
          <w:spacing w:val="-3"/>
        </w:rPr>
        <w:t> </w:t>
      </w:r>
      <w:r>
        <w:rPr/>
        <w:t>population, whichever is less, the subrecipient must provide written</w:t>
      </w:r>
      <w:r>
        <w:rPr>
          <w:spacing w:val="-14"/>
        </w:rPr>
        <w:t> </w:t>
      </w:r>
      <w:r>
        <w:rPr/>
        <w:t>translation</w:t>
      </w:r>
      <w:r>
        <w:rPr>
          <w:spacing w:val="-14"/>
        </w:rPr>
        <w:t> </w:t>
      </w:r>
      <w:r>
        <w:rPr/>
        <w:t>of</w:t>
      </w:r>
      <w:r>
        <w:rPr>
          <w:spacing w:val="-13"/>
        </w:rPr>
        <w:t> </w:t>
      </w:r>
      <w:r>
        <w:rPr/>
        <w:t>vital documents</w:t>
      </w:r>
      <w:r>
        <w:rPr>
          <w:spacing w:val="-13"/>
        </w:rPr>
        <w:t> </w:t>
      </w:r>
      <w:r>
        <w:rPr/>
        <w:t>for</w:t>
      </w:r>
      <w:r>
        <w:rPr>
          <w:spacing w:val="-14"/>
        </w:rPr>
        <w:t> </w:t>
      </w:r>
      <w:r>
        <w:rPr/>
        <w:t>the</w:t>
      </w:r>
      <w:r>
        <w:rPr>
          <w:spacing w:val="-14"/>
        </w:rPr>
        <w:t> </w:t>
      </w:r>
      <w:r>
        <w:rPr/>
        <w:t>non-English</w:t>
      </w:r>
      <w:r>
        <w:rPr>
          <w:spacing w:val="-13"/>
        </w:rPr>
        <w:t> </w:t>
      </w:r>
      <w:r>
        <w:rPr/>
        <w:t>users</w:t>
      </w:r>
      <w:r>
        <w:rPr>
          <w:spacing w:val="-14"/>
        </w:rPr>
        <w:t> </w:t>
      </w:r>
      <w:r>
        <w:rPr/>
        <w:t>(e.g.</w:t>
      </w:r>
      <w:r>
        <w:rPr>
          <w:spacing w:val="-13"/>
        </w:rPr>
        <w:t> </w:t>
      </w:r>
      <w:r>
        <w:rPr/>
        <w:t>the</w:t>
      </w:r>
      <w:r>
        <w:rPr>
          <w:spacing w:val="-14"/>
        </w:rPr>
        <w:t> </w:t>
      </w:r>
      <w:r>
        <w:rPr/>
        <w:t>Title</w:t>
      </w:r>
      <w:r>
        <w:rPr>
          <w:spacing w:val="-13"/>
        </w:rPr>
        <w:t> </w:t>
      </w:r>
      <w:r>
        <w:rPr/>
        <w:t>VI/ADA</w:t>
      </w:r>
      <w:r>
        <w:rPr>
          <w:spacing w:val="-14"/>
        </w:rPr>
        <w:t> </w:t>
      </w:r>
      <w:r>
        <w:rPr/>
        <w:t>policy</w:t>
      </w:r>
      <w:r>
        <w:rPr>
          <w:spacing w:val="-14"/>
        </w:rPr>
        <w:t> </w:t>
      </w:r>
      <w:r>
        <w:rPr/>
        <w:t>statement</w:t>
      </w:r>
      <w:r>
        <w:rPr>
          <w:spacing w:val="-13"/>
        </w:rPr>
        <w:t> </w:t>
      </w:r>
      <w:r>
        <w:rPr/>
        <w:t>and/or Notice to the</w:t>
      </w:r>
      <w:r>
        <w:rPr>
          <w:spacing w:val="80"/>
        </w:rPr>
        <w:t> </w:t>
      </w:r>
      <w:r>
        <w:rPr/>
        <w:t>Public, complaint forms, and</w:t>
      </w:r>
      <w:r>
        <w:rPr>
          <w:spacing w:val="-5"/>
        </w:rPr>
        <w:t> </w:t>
      </w:r>
      <w:r>
        <w:rPr/>
        <w:t>ADA</w:t>
      </w:r>
      <w:r>
        <w:rPr>
          <w:spacing w:val="-5"/>
        </w:rPr>
        <w:t> </w:t>
      </w:r>
      <w:r>
        <w:rPr/>
        <w:t>paratransit eligibility forms). Maine DOT should follow up with its subrecipients to ensure that this practice has been implemented.</w:t>
      </w:r>
    </w:p>
    <w:p>
      <w:pPr>
        <w:pStyle w:val="BodyText"/>
        <w:spacing w:before="9"/>
        <w:rPr>
          <w:sz w:val="33"/>
        </w:rPr>
      </w:pPr>
    </w:p>
    <w:p>
      <w:pPr>
        <w:pStyle w:val="Heading8"/>
        <w:ind w:left="3404" w:right="3498"/>
        <w:rPr>
          <w:u w:val="none"/>
        </w:rPr>
      </w:pPr>
      <w:bookmarkStart w:name="References" w:id="101"/>
      <w:bookmarkEnd w:id="101"/>
      <w:r>
        <w:rPr>
          <w:b w:val="0"/>
          <w:u w:val="none"/>
        </w:rPr>
      </w:r>
      <w:r>
        <w:rPr>
          <w:spacing w:val="-2"/>
          <w:u w:val="single"/>
        </w:rPr>
        <w:t>REFERENCES</w:t>
      </w:r>
    </w:p>
    <w:p>
      <w:pPr>
        <w:pStyle w:val="BodyText"/>
        <w:spacing w:before="1"/>
        <w:rPr>
          <w:b/>
          <w:sz w:val="23"/>
        </w:rPr>
      </w:pPr>
    </w:p>
    <w:p>
      <w:pPr>
        <w:pStyle w:val="BodyText"/>
        <w:spacing w:line="264" w:lineRule="auto" w:before="52"/>
        <w:ind w:left="959" w:hanging="720"/>
      </w:pPr>
      <w:r>
        <w:rPr/>
        <w:t>Maine</w:t>
      </w:r>
      <w:r>
        <w:rPr>
          <w:spacing w:val="-12"/>
        </w:rPr>
        <w:t> </w:t>
      </w:r>
      <w:r>
        <w:rPr/>
        <w:t>Department</w:t>
      </w:r>
      <w:r>
        <w:rPr>
          <w:spacing w:val="-9"/>
        </w:rPr>
        <w:t> </w:t>
      </w:r>
      <w:r>
        <w:rPr/>
        <w:t>of</w:t>
      </w:r>
      <w:r>
        <w:rPr>
          <w:spacing w:val="-9"/>
        </w:rPr>
        <w:t> </w:t>
      </w:r>
      <w:r>
        <w:rPr/>
        <w:t>Education.</w:t>
      </w:r>
      <w:r>
        <w:rPr>
          <w:spacing w:val="-10"/>
        </w:rPr>
        <w:t> </w:t>
      </w:r>
      <w:r>
        <w:rPr/>
        <w:t>(2019–2020).</w:t>
      </w:r>
      <w:r>
        <w:rPr>
          <w:spacing w:val="-11"/>
        </w:rPr>
        <w:t> </w:t>
      </w:r>
      <w:r>
        <w:rPr>
          <w:i/>
        </w:rPr>
        <w:t>English</w:t>
      </w:r>
      <w:r>
        <w:rPr>
          <w:i/>
          <w:spacing w:val="-11"/>
        </w:rPr>
        <w:t> </w:t>
      </w:r>
      <w:r>
        <w:rPr>
          <w:i/>
        </w:rPr>
        <w:t>Learner</w:t>
      </w:r>
      <w:r>
        <w:rPr>
          <w:i/>
          <w:spacing w:val="-11"/>
        </w:rPr>
        <w:t> </w:t>
      </w:r>
      <w:r>
        <w:rPr>
          <w:i/>
        </w:rPr>
        <w:t>Data</w:t>
      </w:r>
      <w:r>
        <w:rPr>
          <w:i/>
          <w:spacing w:val="-11"/>
        </w:rPr>
        <w:t> </w:t>
      </w:r>
      <w:r>
        <w:rPr>
          <w:i/>
        </w:rPr>
        <w:t>Dashboard</w:t>
      </w:r>
      <w:r>
        <w:rPr/>
        <w:t>.</w:t>
      </w:r>
      <w:r>
        <w:rPr>
          <w:spacing w:val="-11"/>
        </w:rPr>
        <w:t> </w:t>
      </w:r>
      <w:r>
        <w:rPr/>
        <w:t>Retrieved</w:t>
      </w:r>
      <w:r>
        <w:rPr>
          <w:spacing w:val="80"/>
        </w:rPr>
        <w:t> </w:t>
      </w:r>
      <w:r>
        <w:rPr/>
        <w:t>from</w:t>
      </w:r>
      <w:r>
        <w:rPr>
          <w:spacing w:val="-9"/>
        </w:rPr>
        <w:t> </w:t>
      </w:r>
      <w:r>
        <w:rPr/>
        <w:t>Maine Department of Education:</w:t>
      </w:r>
      <w:r>
        <w:rPr>
          <w:spacing w:val="40"/>
        </w:rPr>
        <w:t> </w:t>
      </w:r>
      <w:r>
        <w:rPr/>
        <w:t>https:</w:t>
      </w:r>
      <w:hyperlink r:id="rId75">
        <w:r>
          <w:rPr/>
          <w:t>//www.maine.gov/doe/englishlearnerdatadashboard</w:t>
        </w:r>
      </w:hyperlink>
    </w:p>
    <w:p>
      <w:pPr>
        <w:pStyle w:val="BodyText"/>
        <w:spacing w:before="8"/>
        <w:rPr>
          <w:sz w:val="33"/>
        </w:rPr>
      </w:pPr>
    </w:p>
    <w:p>
      <w:pPr>
        <w:spacing w:line="264" w:lineRule="auto" w:before="0"/>
        <w:ind w:left="959" w:right="643" w:hanging="720"/>
        <w:jc w:val="left"/>
        <w:rPr>
          <w:sz w:val="24"/>
        </w:rPr>
      </w:pPr>
      <w:r>
        <w:rPr>
          <w:sz w:val="24"/>
        </w:rPr>
        <w:t>US</w:t>
      </w:r>
      <w:r>
        <w:rPr>
          <w:spacing w:val="-12"/>
          <w:sz w:val="24"/>
        </w:rPr>
        <w:t> </w:t>
      </w:r>
      <w:r>
        <w:rPr>
          <w:sz w:val="24"/>
        </w:rPr>
        <w:t>Census</w:t>
      </w:r>
      <w:r>
        <w:rPr>
          <w:spacing w:val="-10"/>
          <w:sz w:val="24"/>
        </w:rPr>
        <w:t> </w:t>
      </w:r>
      <w:r>
        <w:rPr>
          <w:sz w:val="24"/>
        </w:rPr>
        <w:t>Bureau.</w:t>
      </w:r>
      <w:r>
        <w:rPr>
          <w:spacing w:val="-10"/>
          <w:sz w:val="24"/>
        </w:rPr>
        <w:t> </w:t>
      </w:r>
      <w:r>
        <w:rPr>
          <w:sz w:val="24"/>
        </w:rPr>
        <w:t>(2010).</w:t>
      </w:r>
      <w:r>
        <w:rPr>
          <w:spacing w:val="-10"/>
          <w:sz w:val="24"/>
        </w:rPr>
        <w:t> </w:t>
      </w:r>
      <w:r>
        <w:rPr>
          <w:i/>
          <w:sz w:val="24"/>
        </w:rPr>
        <w:t>Maine</w:t>
      </w:r>
      <w:r>
        <w:rPr>
          <w:i/>
          <w:spacing w:val="-11"/>
          <w:sz w:val="24"/>
        </w:rPr>
        <w:t> </w:t>
      </w:r>
      <w:r>
        <w:rPr>
          <w:i/>
          <w:sz w:val="24"/>
        </w:rPr>
        <w:t>Vietnamese</w:t>
      </w:r>
      <w:r>
        <w:rPr>
          <w:i/>
          <w:spacing w:val="-11"/>
          <w:sz w:val="24"/>
        </w:rPr>
        <w:t> </w:t>
      </w:r>
      <w:r>
        <w:rPr>
          <w:i/>
          <w:sz w:val="24"/>
        </w:rPr>
        <w:t>Population</w:t>
      </w:r>
      <w:r>
        <w:rPr>
          <w:i/>
          <w:spacing w:val="-13"/>
          <w:sz w:val="24"/>
        </w:rPr>
        <w:t> </w:t>
      </w:r>
      <w:r>
        <w:rPr>
          <w:i/>
          <w:sz w:val="24"/>
        </w:rPr>
        <w:t>Percentage</w:t>
      </w:r>
      <w:r>
        <w:rPr>
          <w:i/>
          <w:spacing w:val="-12"/>
          <w:sz w:val="24"/>
        </w:rPr>
        <w:t> </w:t>
      </w:r>
      <w:r>
        <w:rPr>
          <w:i/>
          <w:sz w:val="24"/>
        </w:rPr>
        <w:t>City</w:t>
      </w:r>
      <w:r>
        <w:rPr>
          <w:i/>
          <w:spacing w:val="-9"/>
          <w:sz w:val="24"/>
        </w:rPr>
        <w:t> </w:t>
      </w:r>
      <w:r>
        <w:rPr>
          <w:i/>
          <w:sz w:val="24"/>
        </w:rPr>
        <w:t>Rank</w:t>
      </w:r>
      <w:r>
        <w:rPr>
          <w:sz w:val="24"/>
        </w:rPr>
        <w:t>.</w:t>
      </w:r>
      <w:r>
        <w:rPr>
          <w:spacing w:val="-13"/>
          <w:sz w:val="24"/>
        </w:rPr>
        <w:t> </w:t>
      </w:r>
      <w:r>
        <w:rPr>
          <w:sz w:val="24"/>
        </w:rPr>
        <w:t>Retrieved</w:t>
      </w:r>
      <w:r>
        <w:rPr>
          <w:spacing w:val="-13"/>
          <w:sz w:val="24"/>
        </w:rPr>
        <w:t> </w:t>
      </w:r>
      <w:r>
        <w:rPr>
          <w:sz w:val="24"/>
        </w:rPr>
        <w:t>from</w:t>
      </w:r>
      <w:r>
        <w:rPr>
          <w:spacing w:val="76"/>
          <w:sz w:val="24"/>
        </w:rPr>
        <w:t> </w:t>
      </w:r>
      <w:r>
        <w:rPr>
          <w:sz w:val="24"/>
        </w:rPr>
        <w:t>USA</w:t>
      </w:r>
      <w:hyperlink r:id="rId76">
        <w:r>
          <w:rPr>
            <w:sz w:val="24"/>
          </w:rPr>
          <w:t>.com:</w:t>
        </w:r>
      </w:hyperlink>
      <w:r>
        <w:rPr>
          <w:sz w:val="24"/>
        </w:rPr>
        <w:t> </w:t>
      </w:r>
      <w:hyperlink r:id="rId76">
        <w:r>
          <w:rPr>
            <w:sz w:val="24"/>
          </w:rPr>
          <w:t>http://www.usa.com/rank/maine-state--vietnamese-population-percentage--</w:t>
        </w:r>
      </w:hyperlink>
      <w:r>
        <w:rPr>
          <w:spacing w:val="40"/>
          <w:sz w:val="24"/>
        </w:rPr>
        <w:t> </w:t>
      </w:r>
      <w:r>
        <w:rPr>
          <w:sz w:val="24"/>
        </w:rPr>
        <w:t>city-rank.htm</w:t>
      </w:r>
    </w:p>
    <w:p>
      <w:pPr>
        <w:pStyle w:val="BodyText"/>
        <w:spacing w:before="6"/>
      </w:pPr>
    </w:p>
    <w:p>
      <w:pPr>
        <w:pStyle w:val="BodyText"/>
        <w:spacing w:line="264" w:lineRule="auto"/>
        <w:ind w:left="959" w:right="2496" w:hanging="720"/>
      </w:pPr>
      <w:r>
        <w:rPr/>
        <w:t>US</w:t>
      </w:r>
      <w:r>
        <w:rPr>
          <w:spacing w:val="-14"/>
        </w:rPr>
        <w:t> </w:t>
      </w:r>
      <w:r>
        <w:rPr/>
        <w:t>Department</w:t>
      </w:r>
      <w:r>
        <w:rPr>
          <w:spacing w:val="-14"/>
        </w:rPr>
        <w:t> </w:t>
      </w:r>
      <w:r>
        <w:rPr/>
        <w:t>of</w:t>
      </w:r>
      <w:r>
        <w:rPr>
          <w:spacing w:val="-13"/>
        </w:rPr>
        <w:t> </w:t>
      </w:r>
      <w:r>
        <w:rPr/>
        <w:t>Justice.</w:t>
      </w:r>
      <w:r>
        <w:rPr>
          <w:spacing w:val="-13"/>
        </w:rPr>
        <w:t> </w:t>
      </w:r>
      <w:r>
        <w:rPr/>
        <w:t>(2000,</w:t>
      </w:r>
      <w:r>
        <w:rPr>
          <w:spacing w:val="-14"/>
        </w:rPr>
        <w:t> </w:t>
      </w:r>
      <w:r>
        <w:rPr/>
        <w:t>August</w:t>
      </w:r>
      <w:r>
        <w:rPr>
          <w:spacing w:val="-10"/>
        </w:rPr>
        <w:t> </w:t>
      </w:r>
      <w:r>
        <w:rPr/>
        <w:t>16).</w:t>
      </w:r>
      <w:r>
        <w:rPr>
          <w:spacing w:val="-11"/>
        </w:rPr>
        <w:t> </w:t>
      </w:r>
      <w:r>
        <w:rPr>
          <w:i/>
        </w:rPr>
        <w:t>htt</w:t>
      </w:r>
      <w:hyperlink r:id="rId77">
        <w:r>
          <w:rPr>
            <w:i/>
          </w:rPr>
          <w:t>ps://www.govinfo.gov</w:t>
        </w:r>
        <w:r>
          <w:rPr/>
          <w:t>.</w:t>
        </w:r>
      </w:hyperlink>
      <w:r>
        <w:rPr>
          <w:spacing w:val="-11"/>
        </w:rPr>
        <w:t> </w:t>
      </w:r>
      <w:r>
        <w:rPr/>
        <w:t>Retrieved</w:t>
      </w:r>
      <w:r>
        <w:rPr>
          <w:spacing w:val="-14"/>
        </w:rPr>
        <w:t> </w:t>
      </w:r>
      <w:r>
        <w:rPr/>
        <w:t>from </w:t>
      </w:r>
      <w:r>
        <w:rPr>
          <w:spacing w:val="-2"/>
        </w:rPr>
        <w:t>https://</w:t>
      </w:r>
      <w:hyperlink r:id="rId78">
        <w:r>
          <w:rPr>
            <w:spacing w:val="-2"/>
          </w:rPr>
          <w:t>www.govinfo.gov/content/pkg/FR-2000-08-16/pdf/00-20938.pdf</w:t>
        </w:r>
      </w:hyperlink>
    </w:p>
    <w:p>
      <w:pPr>
        <w:spacing w:after="0" w:line="264" w:lineRule="auto"/>
        <w:sectPr>
          <w:pgSz w:w="12240" w:h="15840"/>
          <w:pgMar w:header="0" w:footer="1023" w:top="960" w:bottom="1260" w:left="600" w:right="500"/>
        </w:sectPr>
      </w:pPr>
    </w:p>
    <w:p>
      <w:pPr>
        <w:pStyle w:val="BodyText"/>
        <w:spacing w:before="3"/>
        <w:rPr>
          <w:sz w:val="16"/>
        </w:rPr>
      </w:pPr>
    </w:p>
    <w:p>
      <w:pPr>
        <w:spacing w:before="20"/>
        <w:ind w:left="5563" w:right="0" w:firstLine="0"/>
        <w:jc w:val="left"/>
        <w:rPr>
          <w:b/>
          <w:i/>
          <w:sz w:val="40"/>
        </w:rPr>
      </w:pPr>
      <w:r>
        <w:rPr/>
        <w:drawing>
          <wp:anchor distT="0" distB="0" distL="0" distR="0" allowOverlap="1" layoutInCell="1" locked="0" behindDoc="0" simplePos="0" relativeHeight="15752704">
            <wp:simplePos x="0" y="0"/>
            <wp:positionH relativeFrom="page">
              <wp:posOffset>731520</wp:posOffset>
            </wp:positionH>
            <wp:positionV relativeFrom="paragraph">
              <wp:posOffset>-129120</wp:posOffset>
            </wp:positionV>
            <wp:extent cx="1804872" cy="505459"/>
            <wp:effectExtent l="0" t="0" r="0" b="0"/>
            <wp:wrapNone/>
            <wp:docPr id="132" name="Image 132">
              <a:hlinkClick r:id="rId80"/>
            </wp:docPr>
            <wp:cNvGraphicFramePr>
              <a:graphicFrameLocks/>
            </wp:cNvGraphicFramePr>
            <a:graphic>
              <a:graphicData uri="http://schemas.openxmlformats.org/drawingml/2006/picture">
                <pic:pic>
                  <pic:nvPicPr>
                    <pic:cNvPr id="132" name="Image 132">
                      <a:hlinkClick r:id="rId80"/>
                    </pic:cNvPr>
                    <pic:cNvPicPr/>
                  </pic:nvPicPr>
                  <pic:blipFill>
                    <a:blip r:embed="rId33" cstate="print"/>
                    <a:stretch>
                      <a:fillRect/>
                    </a:stretch>
                  </pic:blipFill>
                  <pic:spPr>
                    <a:xfrm>
                      <a:off x="0" y="0"/>
                      <a:ext cx="1804872" cy="505459"/>
                    </a:xfrm>
                    <a:prstGeom prst="rect">
                      <a:avLst/>
                    </a:prstGeom>
                  </pic:spPr>
                </pic:pic>
              </a:graphicData>
            </a:graphic>
          </wp:anchor>
        </w:drawing>
      </w:r>
      <w:r>
        <w:rPr>
          <w:b/>
          <w:i/>
          <w:sz w:val="40"/>
        </w:rPr>
        <w:t>Subrecipient</w:t>
      </w:r>
      <w:r>
        <w:rPr>
          <w:b/>
          <w:i/>
          <w:spacing w:val="-12"/>
          <w:sz w:val="40"/>
        </w:rPr>
        <w:t> </w:t>
      </w:r>
      <w:r>
        <w:rPr>
          <w:b/>
          <w:i/>
          <w:sz w:val="40"/>
        </w:rPr>
        <w:t>Self-</w:t>
      </w:r>
      <w:r>
        <w:rPr>
          <w:b/>
          <w:i/>
          <w:spacing w:val="-2"/>
          <w:sz w:val="40"/>
        </w:rPr>
        <w:t>Certification</w:t>
      </w:r>
    </w:p>
    <w:p>
      <w:pPr>
        <w:pStyle w:val="BodyText"/>
        <w:spacing w:before="2"/>
        <w:rPr>
          <w:b/>
          <w:i/>
          <w:sz w:val="26"/>
        </w:rPr>
      </w:pPr>
      <w:r>
        <w:rPr/>
        <mc:AlternateContent>
          <mc:Choice Requires="wps">
            <w:drawing>
              <wp:anchor distT="0" distB="0" distL="0" distR="0" allowOverlap="1" layoutInCell="1" locked="0" behindDoc="1" simplePos="0" relativeHeight="487611392">
                <wp:simplePos x="0" y="0"/>
                <wp:positionH relativeFrom="page">
                  <wp:posOffset>713231</wp:posOffset>
                </wp:positionH>
                <wp:positionV relativeFrom="paragraph">
                  <wp:posOffset>218316</wp:posOffset>
                </wp:positionV>
                <wp:extent cx="6346190" cy="74930"/>
                <wp:effectExtent l="0" t="0" r="0" b="0"/>
                <wp:wrapTopAndBottom/>
                <wp:docPr id="133" name="Group 133"/>
                <wp:cNvGraphicFramePr>
                  <a:graphicFrameLocks/>
                </wp:cNvGraphicFramePr>
                <a:graphic>
                  <a:graphicData uri="http://schemas.microsoft.com/office/word/2010/wordprocessingGroup">
                    <wpg:wgp>
                      <wpg:cNvPr id="133" name="Group 133"/>
                      <wpg:cNvGrpSpPr/>
                      <wpg:grpSpPr>
                        <a:xfrm>
                          <a:off x="0" y="0"/>
                          <a:ext cx="6346190" cy="74930"/>
                          <a:chExt cx="6346190" cy="74930"/>
                        </a:xfrm>
                      </wpg:grpSpPr>
                      <wps:wsp>
                        <wps:cNvPr id="134" name="Graphic 134"/>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35" name="Graphic 135"/>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36" name="Graphic 136"/>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190313pt;width:499.7pt;height:5.9pt;mso-position-horizontal-relative:page;mso-position-vertical-relative:paragraph;z-index:-15705088;mso-wrap-distance-left:0;mso-wrap-distance-right:0" id="docshapegroup98" coordorigin="1123,344" coordsize="9994,118">
                <v:rect style="position:absolute;left:1123;top:432;width:9994;height:29" id="docshape99" filled="true" fillcolor="#c0c0c0" stroked="false">
                  <v:fill type="solid"/>
                </v:rect>
                <v:rect style="position:absolute;left:1123;top:372;width:9994;height:60" id="docshape100" filled="true" fillcolor="#5f5f5f" stroked="false">
                  <v:fill type="solid"/>
                </v:rect>
                <v:rect style="position:absolute;left:1123;top:343;width:9994;height:29" id="docshape101" filled="true" fillcolor="#000000" stroked="false">
                  <v:fill type="solid"/>
                </v:rect>
                <w10:wrap type="topAndBottom"/>
              </v:group>
            </w:pict>
          </mc:Fallback>
        </mc:AlternateContent>
      </w:r>
    </w:p>
    <w:p>
      <w:pPr>
        <w:pStyle w:val="BodyText"/>
        <w:rPr>
          <w:b/>
          <w:i/>
          <w:sz w:val="20"/>
        </w:rPr>
      </w:pPr>
    </w:p>
    <w:p>
      <w:pPr>
        <w:pStyle w:val="Heading5"/>
        <w:spacing w:before="209"/>
        <w:ind w:left="1416" w:right="1515" w:firstLine="0"/>
        <w:jc w:val="center"/>
      </w:pPr>
      <w:r>
        <w:rPr/>
        <w:t>FTA</w:t>
      </w:r>
      <w:r>
        <w:rPr>
          <w:spacing w:val="-10"/>
        </w:rPr>
        <w:t> </w:t>
      </w:r>
      <w:r>
        <w:rPr/>
        <w:t>Compliance</w:t>
      </w:r>
      <w:r>
        <w:rPr>
          <w:spacing w:val="-8"/>
        </w:rPr>
        <w:t> </w:t>
      </w:r>
      <w:r>
        <w:rPr/>
        <w:t>Subrecipient</w:t>
      </w:r>
      <w:r>
        <w:rPr>
          <w:spacing w:val="-7"/>
        </w:rPr>
        <w:t> </w:t>
      </w:r>
      <w:r>
        <w:rPr/>
        <w:t>Self-Certification</w:t>
      </w:r>
      <w:r>
        <w:rPr>
          <w:spacing w:val="-7"/>
        </w:rPr>
        <w:t> </w:t>
      </w:r>
      <w:r>
        <w:rPr>
          <w:spacing w:val="-2"/>
        </w:rPr>
        <w:t>Checklist</w:t>
      </w:r>
    </w:p>
    <w:p>
      <w:pPr>
        <w:pStyle w:val="BodyText"/>
        <w:spacing w:before="9"/>
        <w:rPr>
          <w:b/>
          <w:sz w:val="31"/>
        </w:rPr>
      </w:pPr>
    </w:p>
    <w:p>
      <w:pPr>
        <w:spacing w:before="0"/>
        <w:ind w:left="552" w:right="0" w:firstLine="0"/>
        <w:jc w:val="left"/>
        <w:rPr>
          <w:sz w:val="28"/>
        </w:rPr>
      </w:pPr>
      <w:r>
        <w:rPr>
          <w:spacing w:val="-2"/>
          <w:sz w:val="28"/>
        </w:rPr>
        <w:t>Instructions:</w:t>
      </w:r>
    </w:p>
    <w:p>
      <w:pPr>
        <w:pStyle w:val="ListParagraph"/>
        <w:numPr>
          <w:ilvl w:val="0"/>
          <w:numId w:val="37"/>
        </w:numPr>
        <w:tabs>
          <w:tab w:pos="1197" w:val="left" w:leader="none"/>
          <w:tab w:pos="1199" w:val="left" w:leader="none"/>
        </w:tabs>
        <w:spacing w:line="240" w:lineRule="auto" w:before="26" w:after="0"/>
        <w:ind w:left="1199" w:right="740" w:hanging="360"/>
        <w:jc w:val="left"/>
        <w:rPr>
          <w:rFonts w:ascii="Arial"/>
          <w:sz w:val="22"/>
        </w:rPr>
      </w:pPr>
      <w:r>
        <w:rPr>
          <w:rFonts w:ascii="Arial"/>
          <w:sz w:val="22"/>
        </w:rPr>
        <w:t>Type</w:t>
      </w:r>
      <w:r>
        <w:rPr>
          <w:rFonts w:ascii="Arial"/>
          <w:spacing w:val="-2"/>
          <w:sz w:val="22"/>
        </w:rPr>
        <w:t> </w:t>
      </w:r>
      <w:r>
        <w:rPr>
          <w:rFonts w:ascii="Arial"/>
          <w:sz w:val="22"/>
        </w:rPr>
        <w:t>as</w:t>
      </w:r>
      <w:r>
        <w:rPr>
          <w:rFonts w:ascii="Arial"/>
          <w:spacing w:val="-4"/>
          <w:sz w:val="22"/>
        </w:rPr>
        <w:t> </w:t>
      </w:r>
      <w:r>
        <w:rPr>
          <w:rFonts w:ascii="Arial"/>
          <w:sz w:val="22"/>
        </w:rPr>
        <w:t>many</w:t>
      </w:r>
      <w:r>
        <w:rPr>
          <w:rFonts w:ascii="Arial"/>
          <w:spacing w:val="-4"/>
          <w:sz w:val="22"/>
        </w:rPr>
        <w:t> </w:t>
      </w:r>
      <w:r>
        <w:rPr>
          <w:rFonts w:ascii="Arial"/>
          <w:sz w:val="22"/>
        </w:rPr>
        <w:t>notes</w:t>
      </w:r>
      <w:r>
        <w:rPr>
          <w:rFonts w:ascii="Arial"/>
          <w:spacing w:val="-1"/>
          <w:sz w:val="22"/>
        </w:rPr>
        <w:t> </w:t>
      </w:r>
      <w:r>
        <w:rPr>
          <w:rFonts w:ascii="Arial"/>
          <w:sz w:val="22"/>
        </w:rPr>
        <w:t>as</w:t>
      </w:r>
      <w:r>
        <w:rPr>
          <w:rFonts w:ascii="Arial"/>
          <w:spacing w:val="-5"/>
          <w:sz w:val="22"/>
        </w:rPr>
        <w:t> </w:t>
      </w:r>
      <w:r>
        <w:rPr>
          <w:rFonts w:ascii="Arial"/>
          <w:sz w:val="22"/>
        </w:rPr>
        <w:t>necessary</w:t>
      </w:r>
      <w:r>
        <w:rPr>
          <w:rFonts w:ascii="Arial"/>
          <w:spacing w:val="-4"/>
          <w:sz w:val="22"/>
        </w:rPr>
        <w:t> </w:t>
      </w:r>
      <w:r>
        <w:rPr>
          <w:rFonts w:ascii="Arial"/>
          <w:sz w:val="22"/>
        </w:rPr>
        <w:t>to</w:t>
      </w:r>
      <w:r>
        <w:rPr>
          <w:rFonts w:ascii="Arial"/>
          <w:spacing w:val="-4"/>
          <w:sz w:val="22"/>
        </w:rPr>
        <w:t> </w:t>
      </w:r>
      <w:r>
        <w:rPr>
          <w:rFonts w:ascii="Arial"/>
          <w:sz w:val="22"/>
        </w:rPr>
        <w:t>fully</w:t>
      </w:r>
      <w:r>
        <w:rPr>
          <w:rFonts w:ascii="Arial"/>
          <w:spacing w:val="-1"/>
          <w:sz w:val="22"/>
        </w:rPr>
        <w:t> </w:t>
      </w:r>
      <w:r>
        <w:rPr>
          <w:rFonts w:ascii="Arial"/>
          <w:sz w:val="22"/>
        </w:rPr>
        <w:t>explain</w:t>
      </w:r>
      <w:r>
        <w:rPr>
          <w:rFonts w:ascii="Arial"/>
          <w:spacing w:val="-2"/>
          <w:sz w:val="22"/>
        </w:rPr>
        <w:t> </w:t>
      </w:r>
      <w:r>
        <w:rPr>
          <w:rFonts w:ascii="Arial"/>
          <w:sz w:val="22"/>
        </w:rPr>
        <w:t>the</w:t>
      </w:r>
      <w:r>
        <w:rPr>
          <w:rFonts w:ascii="Arial"/>
          <w:spacing w:val="-4"/>
          <w:sz w:val="22"/>
        </w:rPr>
        <w:t> </w:t>
      </w:r>
      <w:r>
        <w:rPr>
          <w:rFonts w:ascii="Arial"/>
          <w:sz w:val="22"/>
        </w:rPr>
        <w:t>answer</w:t>
      </w:r>
      <w:r>
        <w:rPr>
          <w:rFonts w:ascii="Arial"/>
          <w:spacing w:val="-3"/>
          <w:sz w:val="22"/>
        </w:rPr>
        <w:t> </w:t>
      </w:r>
      <w:r>
        <w:rPr>
          <w:rFonts w:ascii="Arial"/>
          <w:sz w:val="22"/>
        </w:rPr>
        <w:t>to</w:t>
      </w:r>
      <w:r>
        <w:rPr>
          <w:rFonts w:ascii="Arial"/>
          <w:spacing w:val="-4"/>
          <w:sz w:val="22"/>
        </w:rPr>
        <w:t> </w:t>
      </w:r>
      <w:r>
        <w:rPr>
          <w:rFonts w:ascii="Arial"/>
          <w:sz w:val="22"/>
        </w:rPr>
        <w:t>each</w:t>
      </w:r>
      <w:r>
        <w:rPr>
          <w:rFonts w:ascii="Arial"/>
          <w:spacing w:val="-2"/>
          <w:sz w:val="22"/>
        </w:rPr>
        <w:t> </w:t>
      </w:r>
      <w:r>
        <w:rPr>
          <w:rFonts w:ascii="Arial"/>
          <w:sz w:val="22"/>
        </w:rPr>
        <w:t>question</w:t>
      </w:r>
      <w:r>
        <w:rPr>
          <w:rFonts w:ascii="Arial"/>
          <w:spacing w:val="-2"/>
          <w:sz w:val="22"/>
        </w:rPr>
        <w:t> </w:t>
      </w:r>
      <w:r>
        <w:rPr>
          <w:rFonts w:ascii="Arial"/>
          <w:sz w:val="22"/>
        </w:rPr>
        <w:t>in</w:t>
      </w:r>
      <w:r>
        <w:rPr>
          <w:rFonts w:ascii="Arial"/>
          <w:spacing w:val="-2"/>
          <w:sz w:val="22"/>
        </w:rPr>
        <w:t> </w:t>
      </w:r>
      <w:r>
        <w:rPr>
          <w:rFonts w:ascii="Arial"/>
          <w:sz w:val="22"/>
        </w:rPr>
        <w:t>each</w:t>
      </w:r>
      <w:r>
        <w:rPr>
          <w:rFonts w:ascii="Arial"/>
          <w:spacing w:val="-4"/>
          <w:sz w:val="22"/>
        </w:rPr>
        <w:t> </w:t>
      </w:r>
      <w:r>
        <w:rPr>
          <w:rFonts w:ascii="Arial"/>
          <w:sz w:val="22"/>
        </w:rPr>
        <w:t>section. Each section is numbered.</w:t>
      </w:r>
    </w:p>
    <w:p>
      <w:pPr>
        <w:pStyle w:val="ListParagraph"/>
        <w:numPr>
          <w:ilvl w:val="0"/>
          <w:numId w:val="37"/>
        </w:numPr>
        <w:tabs>
          <w:tab w:pos="1197" w:val="left" w:leader="none"/>
          <w:tab w:pos="1199" w:val="left" w:leader="none"/>
        </w:tabs>
        <w:spacing w:line="242" w:lineRule="auto" w:before="0" w:after="0"/>
        <w:ind w:left="1199" w:right="1474" w:hanging="360"/>
        <w:jc w:val="left"/>
        <w:rPr>
          <w:rFonts w:ascii="Arial"/>
          <w:sz w:val="22"/>
        </w:rPr>
      </w:pPr>
      <w:r>
        <w:rPr>
          <w:rFonts w:ascii="Arial"/>
          <w:sz w:val="22"/>
        </w:rPr>
        <w:t>When</w:t>
      </w:r>
      <w:r>
        <w:rPr>
          <w:rFonts w:ascii="Arial"/>
          <w:spacing w:val="-4"/>
          <w:sz w:val="22"/>
        </w:rPr>
        <w:t> </w:t>
      </w:r>
      <w:r>
        <w:rPr>
          <w:rFonts w:ascii="Arial"/>
          <w:sz w:val="22"/>
        </w:rPr>
        <w:t>referencing</w:t>
      </w:r>
      <w:r>
        <w:rPr>
          <w:rFonts w:ascii="Arial"/>
          <w:spacing w:val="-2"/>
          <w:sz w:val="22"/>
        </w:rPr>
        <w:t> </w:t>
      </w:r>
      <w:r>
        <w:rPr>
          <w:rFonts w:ascii="Arial"/>
          <w:sz w:val="22"/>
        </w:rPr>
        <w:t>a</w:t>
      </w:r>
      <w:r>
        <w:rPr>
          <w:rFonts w:ascii="Arial"/>
          <w:spacing w:val="-4"/>
          <w:sz w:val="22"/>
        </w:rPr>
        <w:t> </w:t>
      </w:r>
      <w:r>
        <w:rPr>
          <w:rFonts w:ascii="Arial"/>
          <w:sz w:val="22"/>
        </w:rPr>
        <w:t>policy</w:t>
      </w:r>
      <w:r>
        <w:rPr>
          <w:rFonts w:ascii="Arial"/>
          <w:spacing w:val="-1"/>
          <w:sz w:val="22"/>
        </w:rPr>
        <w:t> </w:t>
      </w:r>
      <w:r>
        <w:rPr>
          <w:rFonts w:ascii="Arial"/>
          <w:sz w:val="22"/>
        </w:rPr>
        <w:t>that is</w:t>
      </w:r>
      <w:r>
        <w:rPr>
          <w:rFonts w:ascii="Arial"/>
          <w:spacing w:val="-4"/>
          <w:sz w:val="22"/>
        </w:rPr>
        <w:t> </w:t>
      </w:r>
      <w:r>
        <w:rPr>
          <w:rFonts w:ascii="Arial"/>
          <w:sz w:val="22"/>
        </w:rPr>
        <w:t>part of a</w:t>
      </w:r>
      <w:r>
        <w:rPr>
          <w:rFonts w:ascii="Arial"/>
          <w:spacing w:val="-4"/>
          <w:sz w:val="22"/>
        </w:rPr>
        <w:t> </w:t>
      </w:r>
      <w:r>
        <w:rPr>
          <w:rFonts w:ascii="Arial"/>
          <w:sz w:val="22"/>
        </w:rPr>
        <w:t>larger</w:t>
      </w:r>
      <w:r>
        <w:rPr>
          <w:rFonts w:ascii="Arial"/>
          <w:spacing w:val="-3"/>
          <w:sz w:val="22"/>
        </w:rPr>
        <w:t> </w:t>
      </w:r>
      <w:r>
        <w:rPr>
          <w:rFonts w:ascii="Arial"/>
          <w:sz w:val="22"/>
        </w:rPr>
        <w:t>document, include</w:t>
      </w:r>
      <w:r>
        <w:rPr>
          <w:rFonts w:ascii="Arial"/>
          <w:spacing w:val="-4"/>
          <w:sz w:val="22"/>
        </w:rPr>
        <w:t> </w:t>
      </w:r>
      <w:r>
        <w:rPr>
          <w:rFonts w:ascii="Arial"/>
          <w:sz w:val="22"/>
        </w:rPr>
        <w:t>the</w:t>
      </w:r>
      <w:r>
        <w:rPr>
          <w:rFonts w:ascii="Arial"/>
          <w:spacing w:val="-4"/>
          <w:sz w:val="22"/>
        </w:rPr>
        <w:t> </w:t>
      </w:r>
      <w:r>
        <w:rPr>
          <w:rFonts w:ascii="Arial"/>
          <w:sz w:val="22"/>
        </w:rPr>
        <w:t>page</w:t>
      </w:r>
      <w:r>
        <w:rPr>
          <w:rFonts w:ascii="Arial"/>
          <w:spacing w:val="-2"/>
          <w:sz w:val="22"/>
        </w:rPr>
        <w:t> </w:t>
      </w:r>
      <w:r>
        <w:rPr>
          <w:rFonts w:ascii="Arial"/>
          <w:sz w:val="22"/>
        </w:rPr>
        <w:t>#</w:t>
      </w:r>
      <w:r>
        <w:rPr>
          <w:rFonts w:ascii="Arial"/>
          <w:spacing w:val="-2"/>
          <w:sz w:val="22"/>
        </w:rPr>
        <w:t> </w:t>
      </w:r>
      <w:r>
        <w:rPr>
          <w:rFonts w:ascii="Arial"/>
          <w:sz w:val="22"/>
        </w:rPr>
        <w:t>where</w:t>
      </w:r>
      <w:r>
        <w:rPr>
          <w:rFonts w:ascii="Arial"/>
          <w:spacing w:val="-4"/>
          <w:sz w:val="22"/>
        </w:rPr>
        <w:t> </w:t>
      </w:r>
      <w:r>
        <w:rPr>
          <w:rFonts w:ascii="Arial"/>
          <w:sz w:val="22"/>
        </w:rPr>
        <w:t>it </w:t>
      </w:r>
      <w:r>
        <w:rPr>
          <w:rFonts w:ascii="Arial"/>
          <w:spacing w:val="-2"/>
          <w:sz w:val="22"/>
        </w:rPr>
        <w:t>appears.</w:t>
      </w:r>
    </w:p>
    <w:p>
      <w:pPr>
        <w:pStyle w:val="BodyText"/>
        <w:spacing w:before="7"/>
        <w:rPr>
          <w:rFonts w:ascii="Arial"/>
          <w:sz w:val="23"/>
        </w:rPr>
      </w:pPr>
    </w:p>
    <w:p>
      <w:pPr>
        <w:spacing w:line="511" w:lineRule="auto" w:before="0"/>
        <w:ind w:left="552" w:right="0" w:firstLine="0"/>
        <w:jc w:val="left"/>
        <w:rPr>
          <w:sz w:val="28"/>
        </w:rPr>
      </w:pPr>
      <w:r>
        <w:rPr>
          <w:sz w:val="28"/>
        </w:rPr>
        <w:t>Subrecipient</w:t>
      </w:r>
      <w:r>
        <w:rPr>
          <w:spacing w:val="-4"/>
          <w:sz w:val="28"/>
        </w:rPr>
        <w:t> </w:t>
      </w:r>
      <w:r>
        <w:rPr>
          <w:sz w:val="28"/>
        </w:rPr>
        <w:t>Name</w:t>
      </w:r>
      <w:r>
        <w:rPr>
          <w:spacing w:val="-4"/>
          <w:sz w:val="28"/>
        </w:rPr>
        <w:t> </w:t>
      </w:r>
      <w:r>
        <w:rPr>
          <w:sz w:val="28"/>
        </w:rPr>
        <w:t>and</w:t>
      </w:r>
      <w:r>
        <w:rPr>
          <w:spacing w:val="-4"/>
          <w:sz w:val="28"/>
        </w:rPr>
        <w:t> </w:t>
      </w:r>
      <w:r>
        <w:rPr>
          <w:sz w:val="28"/>
        </w:rPr>
        <w:t>Address:</w:t>
      </w:r>
      <w:r>
        <w:rPr>
          <w:spacing w:val="40"/>
          <w:sz w:val="28"/>
        </w:rPr>
        <w:t> </w:t>
      </w:r>
      <w:r>
        <w:rPr>
          <w:color w:val="0000CC"/>
          <w:sz w:val="28"/>
        </w:rPr>
        <w:t>Western</w:t>
      </w:r>
      <w:r>
        <w:rPr>
          <w:color w:val="0000CC"/>
          <w:spacing w:val="-5"/>
          <w:sz w:val="28"/>
        </w:rPr>
        <w:t> </w:t>
      </w:r>
      <w:r>
        <w:rPr>
          <w:color w:val="0000CC"/>
          <w:sz w:val="28"/>
        </w:rPr>
        <w:t>Maine</w:t>
      </w:r>
      <w:r>
        <w:rPr>
          <w:color w:val="0000CC"/>
          <w:spacing w:val="-4"/>
          <w:sz w:val="28"/>
        </w:rPr>
        <w:t> </w:t>
      </w:r>
      <w:r>
        <w:rPr>
          <w:color w:val="0000CC"/>
          <w:sz w:val="28"/>
        </w:rPr>
        <w:t>Transportation</w:t>
      </w:r>
      <w:r>
        <w:rPr>
          <w:color w:val="0000CC"/>
          <w:spacing w:val="-2"/>
          <w:sz w:val="28"/>
        </w:rPr>
        <w:t> </w:t>
      </w:r>
      <w:r>
        <w:rPr>
          <w:color w:val="0000CC"/>
          <w:sz w:val="28"/>
        </w:rPr>
        <w:t>Services,</w:t>
      </w:r>
      <w:r>
        <w:rPr>
          <w:color w:val="0000CC"/>
          <w:spacing w:val="-6"/>
          <w:sz w:val="28"/>
        </w:rPr>
        <w:t> </w:t>
      </w:r>
      <w:r>
        <w:rPr>
          <w:color w:val="0000CC"/>
          <w:sz w:val="28"/>
        </w:rPr>
        <w:t>Inc</w:t>
      </w:r>
      <w:r>
        <w:rPr>
          <w:color w:val="0000CC"/>
          <w:spacing w:val="-2"/>
          <w:sz w:val="28"/>
        </w:rPr>
        <w:t> </w:t>
      </w:r>
      <w:r>
        <w:rPr>
          <w:color w:val="0000CC"/>
          <w:sz w:val="28"/>
        </w:rPr>
        <w:t>(WMTS) </w:t>
      </w:r>
      <w:r>
        <w:rPr>
          <w:sz w:val="28"/>
        </w:rPr>
        <w:t>Subrecipient Contract, with title:</w:t>
      </w:r>
      <w:r>
        <w:rPr>
          <w:spacing w:val="40"/>
          <w:sz w:val="28"/>
        </w:rPr>
        <w:t> </w:t>
      </w:r>
      <w:r>
        <w:rPr>
          <w:color w:val="0000CC"/>
          <w:sz w:val="28"/>
        </w:rPr>
        <w:t>Sandy Buchanan, Executive Director</w:t>
      </w:r>
    </w:p>
    <w:p>
      <w:pPr>
        <w:spacing w:line="256" w:lineRule="auto" w:before="3"/>
        <w:ind w:left="552" w:right="0" w:firstLine="0"/>
        <w:jc w:val="left"/>
        <w:rPr>
          <w:sz w:val="28"/>
        </w:rPr>
      </w:pPr>
      <w:r>
        <w:rPr>
          <w:sz w:val="28"/>
        </w:rPr>
        <w:t>Types</w:t>
      </w:r>
      <w:r>
        <w:rPr>
          <w:spacing w:val="-3"/>
          <w:sz w:val="28"/>
        </w:rPr>
        <w:t> </w:t>
      </w:r>
      <w:r>
        <w:rPr>
          <w:sz w:val="28"/>
        </w:rPr>
        <w:t>of</w:t>
      </w:r>
      <w:r>
        <w:rPr>
          <w:spacing w:val="-3"/>
          <w:sz w:val="28"/>
        </w:rPr>
        <w:t> </w:t>
      </w:r>
      <w:r>
        <w:rPr>
          <w:sz w:val="28"/>
        </w:rPr>
        <w:t>Funds</w:t>
      </w:r>
      <w:r>
        <w:rPr>
          <w:spacing w:val="-4"/>
          <w:sz w:val="28"/>
        </w:rPr>
        <w:t> </w:t>
      </w:r>
      <w:r>
        <w:rPr>
          <w:sz w:val="28"/>
        </w:rPr>
        <w:t>Received:</w:t>
      </w:r>
      <w:r>
        <w:rPr>
          <w:spacing w:val="40"/>
          <w:sz w:val="28"/>
        </w:rPr>
        <w:t> </w:t>
      </w:r>
      <w:r>
        <w:rPr>
          <w:sz w:val="28"/>
        </w:rPr>
        <w:t>5311</w:t>
      </w:r>
      <w:r>
        <w:rPr>
          <w:spacing w:val="-4"/>
          <w:sz w:val="28"/>
        </w:rPr>
        <w:t> </w:t>
      </w:r>
      <w:r>
        <w:rPr>
          <w:sz w:val="28"/>
        </w:rPr>
        <w:t>Op,</w:t>
      </w:r>
      <w:r>
        <w:rPr>
          <w:spacing w:val="-4"/>
          <w:sz w:val="28"/>
        </w:rPr>
        <w:t> </w:t>
      </w:r>
      <w:r>
        <w:rPr>
          <w:sz w:val="28"/>
        </w:rPr>
        <w:t>Admin,</w:t>
      </w:r>
      <w:r>
        <w:rPr>
          <w:spacing w:val="-4"/>
          <w:sz w:val="28"/>
        </w:rPr>
        <w:t> </w:t>
      </w:r>
      <w:r>
        <w:rPr>
          <w:sz w:val="28"/>
        </w:rPr>
        <w:t>Capital,</w:t>
      </w:r>
      <w:r>
        <w:rPr>
          <w:spacing w:val="-4"/>
          <w:sz w:val="28"/>
        </w:rPr>
        <w:t> </w:t>
      </w:r>
      <w:r>
        <w:rPr>
          <w:sz w:val="28"/>
        </w:rPr>
        <w:t>5310</w:t>
      </w:r>
      <w:r>
        <w:rPr>
          <w:spacing w:val="-4"/>
          <w:sz w:val="28"/>
        </w:rPr>
        <w:t> </w:t>
      </w:r>
      <w:r>
        <w:rPr>
          <w:sz w:val="28"/>
        </w:rPr>
        <w:t>–</w:t>
      </w:r>
      <w:r>
        <w:rPr>
          <w:spacing w:val="-2"/>
          <w:sz w:val="28"/>
        </w:rPr>
        <w:t> </w:t>
      </w:r>
      <w:r>
        <w:rPr>
          <w:sz w:val="28"/>
        </w:rPr>
        <w:t>PM,</w:t>
      </w:r>
      <w:r>
        <w:rPr>
          <w:spacing w:val="-1"/>
          <w:sz w:val="28"/>
        </w:rPr>
        <w:t> </w:t>
      </w:r>
      <w:r>
        <w:rPr>
          <w:sz w:val="28"/>
        </w:rPr>
        <w:t>EADA,</w:t>
      </w:r>
      <w:r>
        <w:rPr>
          <w:spacing w:val="-4"/>
          <w:sz w:val="28"/>
        </w:rPr>
        <w:t> </w:t>
      </w:r>
      <w:r>
        <w:rPr>
          <w:sz w:val="28"/>
        </w:rPr>
        <w:t>Mob</w:t>
      </w:r>
      <w:r>
        <w:rPr>
          <w:spacing w:val="-2"/>
          <w:sz w:val="28"/>
        </w:rPr>
        <w:t> </w:t>
      </w:r>
      <w:r>
        <w:rPr>
          <w:sz w:val="28"/>
        </w:rPr>
        <w:t>Mgmt, Capital,5339, CMAQ, RTAP</w:t>
      </w:r>
    </w:p>
    <w:p>
      <w:pPr>
        <w:pStyle w:val="BodyText"/>
        <w:spacing w:before="11"/>
        <w:rPr>
          <w:sz w:val="29"/>
        </w:rPr>
      </w:pPr>
    </w:p>
    <w:p>
      <w:pPr>
        <w:spacing w:line="259" w:lineRule="auto" w:before="0"/>
        <w:ind w:left="552" w:right="935" w:firstLine="0"/>
        <w:jc w:val="left"/>
        <w:rPr>
          <w:sz w:val="28"/>
        </w:rPr>
      </w:pPr>
      <w:r>
        <w:rPr>
          <w:sz w:val="28"/>
        </w:rPr>
        <w:t>Type</w:t>
      </w:r>
      <w:r>
        <w:rPr>
          <w:spacing w:val="-4"/>
          <w:sz w:val="28"/>
        </w:rPr>
        <w:t> </w:t>
      </w:r>
      <w:r>
        <w:rPr>
          <w:sz w:val="28"/>
        </w:rPr>
        <w:t>of</w:t>
      </w:r>
      <w:r>
        <w:rPr>
          <w:spacing w:val="-3"/>
          <w:sz w:val="28"/>
        </w:rPr>
        <w:t> </w:t>
      </w:r>
      <w:r>
        <w:rPr>
          <w:sz w:val="28"/>
        </w:rPr>
        <w:t>Service</w:t>
      </w:r>
      <w:r>
        <w:rPr>
          <w:spacing w:val="-4"/>
          <w:sz w:val="28"/>
        </w:rPr>
        <w:t> </w:t>
      </w:r>
      <w:r>
        <w:rPr>
          <w:sz w:val="28"/>
        </w:rPr>
        <w:t>Provided:</w:t>
      </w:r>
      <w:r>
        <w:rPr>
          <w:spacing w:val="40"/>
          <w:sz w:val="28"/>
        </w:rPr>
        <w:t> </w:t>
      </w:r>
      <w:r>
        <w:rPr>
          <w:sz w:val="28"/>
        </w:rPr>
        <w:t>D/R</w:t>
      </w:r>
      <w:r>
        <w:rPr>
          <w:spacing w:val="-2"/>
          <w:sz w:val="28"/>
        </w:rPr>
        <w:t> </w:t>
      </w:r>
      <w:r>
        <w:rPr>
          <w:sz w:val="28"/>
        </w:rPr>
        <w:t>including</w:t>
      </w:r>
      <w:r>
        <w:rPr>
          <w:spacing w:val="-4"/>
          <w:sz w:val="28"/>
        </w:rPr>
        <w:t> </w:t>
      </w:r>
      <w:r>
        <w:rPr>
          <w:sz w:val="28"/>
        </w:rPr>
        <w:t>complimentary</w:t>
      </w:r>
      <w:r>
        <w:rPr>
          <w:spacing w:val="-6"/>
          <w:sz w:val="28"/>
        </w:rPr>
        <w:t> </w:t>
      </w:r>
      <w:r>
        <w:rPr>
          <w:sz w:val="28"/>
        </w:rPr>
        <w:t>ADA,</w:t>
      </w:r>
      <w:r>
        <w:rPr>
          <w:spacing w:val="-4"/>
          <w:sz w:val="28"/>
        </w:rPr>
        <w:t> </w:t>
      </w:r>
      <w:r>
        <w:rPr>
          <w:sz w:val="28"/>
        </w:rPr>
        <w:t>fixed</w:t>
      </w:r>
      <w:r>
        <w:rPr>
          <w:spacing w:val="-2"/>
          <w:sz w:val="28"/>
        </w:rPr>
        <w:t> </w:t>
      </w:r>
      <w:r>
        <w:rPr>
          <w:sz w:val="28"/>
        </w:rPr>
        <w:t>route,</w:t>
      </w:r>
      <w:r>
        <w:rPr>
          <w:spacing w:val="-4"/>
          <w:sz w:val="28"/>
        </w:rPr>
        <w:t> </w:t>
      </w:r>
      <w:r>
        <w:rPr>
          <w:sz w:val="28"/>
        </w:rPr>
        <w:t>flex</w:t>
      </w:r>
      <w:r>
        <w:rPr>
          <w:spacing w:val="-3"/>
          <w:sz w:val="28"/>
        </w:rPr>
        <w:t> </w:t>
      </w:r>
      <w:r>
        <w:rPr>
          <w:sz w:val="28"/>
        </w:rPr>
        <w:t>route seasonal, and commuter</w:t>
      </w:r>
    </w:p>
    <w:p>
      <w:pPr>
        <w:pStyle w:val="BodyText"/>
        <w:spacing w:before="5"/>
        <w:rPr>
          <w:sz w:val="29"/>
        </w:rPr>
      </w:pPr>
    </w:p>
    <w:p>
      <w:pPr>
        <w:spacing w:before="0"/>
        <w:ind w:left="552" w:right="0" w:firstLine="0"/>
        <w:jc w:val="left"/>
        <w:rPr>
          <w:sz w:val="28"/>
        </w:rPr>
      </w:pPr>
      <w:r>
        <w:rPr>
          <w:sz w:val="28"/>
        </w:rPr>
        <w:t>Date:</w:t>
      </w:r>
      <w:r>
        <w:rPr>
          <w:spacing w:val="58"/>
          <w:sz w:val="28"/>
        </w:rPr>
        <w:t> </w:t>
      </w:r>
      <w:r>
        <w:rPr>
          <w:sz w:val="28"/>
        </w:rPr>
        <w:t>April</w:t>
      </w:r>
      <w:r>
        <w:rPr>
          <w:spacing w:val="-2"/>
          <w:sz w:val="28"/>
        </w:rPr>
        <w:t> </w:t>
      </w:r>
      <w:r>
        <w:rPr>
          <w:sz w:val="28"/>
        </w:rPr>
        <w:t>12,</w:t>
      </w:r>
      <w:r>
        <w:rPr>
          <w:spacing w:val="-3"/>
          <w:sz w:val="28"/>
        </w:rPr>
        <w:t> </w:t>
      </w:r>
      <w:r>
        <w:rPr>
          <w:spacing w:val="-4"/>
          <w:sz w:val="28"/>
        </w:rPr>
        <w:t>2023</w:t>
      </w:r>
    </w:p>
    <w:p>
      <w:pPr>
        <w:pStyle w:val="BodyText"/>
        <w:spacing w:before="2"/>
        <w:rPr>
          <w:sz w:val="28"/>
        </w:rPr>
      </w:pPr>
    </w:p>
    <w:p>
      <w:pPr>
        <w:spacing w:before="44"/>
        <w:ind w:left="552" w:right="0" w:firstLine="0"/>
        <w:jc w:val="left"/>
        <w:rPr>
          <w:sz w:val="22"/>
        </w:rPr>
      </w:pPr>
      <w:r>
        <w:rPr>
          <w:color w:val="000000"/>
          <w:sz w:val="28"/>
          <w:shd w:fill="FFFF00" w:color="auto" w:val="clear"/>
        </w:rPr>
        <w:t>Comments:</w:t>
      </w:r>
      <w:r>
        <w:rPr>
          <w:color w:val="000000"/>
          <w:spacing w:val="56"/>
          <w:sz w:val="28"/>
          <w:shd w:fill="FFFF00" w:color="auto" w:val="clear"/>
        </w:rPr>
        <w:t> </w:t>
      </w:r>
      <w:r>
        <w:rPr>
          <w:color w:val="808080"/>
          <w:sz w:val="22"/>
          <w:shd w:fill="FFFF00" w:color="auto" w:val="clear"/>
        </w:rPr>
        <w:t>Click</w:t>
      </w:r>
      <w:r>
        <w:rPr>
          <w:color w:val="808080"/>
          <w:spacing w:val="-1"/>
          <w:sz w:val="22"/>
          <w:shd w:fill="FFFF00" w:color="auto" w:val="clear"/>
        </w:rPr>
        <w:t> </w:t>
      </w:r>
      <w:r>
        <w:rPr>
          <w:color w:val="808080"/>
          <w:sz w:val="22"/>
          <w:shd w:fill="FFFF00" w:color="auto" w:val="clear"/>
        </w:rPr>
        <w:t>or</w:t>
      </w:r>
      <w:r>
        <w:rPr>
          <w:color w:val="808080"/>
          <w:spacing w:val="-3"/>
          <w:sz w:val="22"/>
          <w:shd w:fill="FFFF00" w:color="auto" w:val="clear"/>
        </w:rPr>
        <w:t> </w:t>
      </w:r>
      <w:r>
        <w:rPr>
          <w:color w:val="808080"/>
          <w:sz w:val="22"/>
          <w:shd w:fill="FFFF00" w:color="auto" w:val="clear"/>
        </w:rPr>
        <w:t>tap</w:t>
      </w:r>
      <w:r>
        <w:rPr>
          <w:color w:val="808080"/>
          <w:spacing w:val="-5"/>
          <w:sz w:val="22"/>
          <w:shd w:fill="FFFF00" w:color="auto" w:val="clear"/>
        </w:rPr>
        <w:t> </w:t>
      </w:r>
      <w:r>
        <w:rPr>
          <w:color w:val="808080"/>
          <w:sz w:val="22"/>
          <w:shd w:fill="FFFF00" w:color="auto" w:val="clear"/>
        </w:rPr>
        <w:t>here to</w:t>
      </w:r>
      <w:r>
        <w:rPr>
          <w:color w:val="808080"/>
          <w:spacing w:val="-3"/>
          <w:sz w:val="22"/>
          <w:shd w:fill="FFFF00" w:color="auto" w:val="clear"/>
        </w:rPr>
        <w:t> </w:t>
      </w:r>
      <w:r>
        <w:rPr>
          <w:color w:val="808080"/>
          <w:sz w:val="22"/>
          <w:shd w:fill="FFFF00" w:color="auto" w:val="clear"/>
        </w:rPr>
        <w:t>enter</w:t>
      </w:r>
      <w:r>
        <w:rPr>
          <w:color w:val="808080"/>
          <w:spacing w:val="-3"/>
          <w:sz w:val="22"/>
          <w:shd w:fill="FFFF00" w:color="auto" w:val="clear"/>
        </w:rPr>
        <w:t> </w:t>
      </w:r>
      <w:r>
        <w:rPr>
          <w:color w:val="808080"/>
          <w:spacing w:val="-2"/>
          <w:sz w:val="22"/>
          <w:shd w:fill="FFFF00" w:color="auto" w:val="clear"/>
        </w:rPr>
        <w:t>text.</w:t>
      </w:r>
    </w:p>
    <w:p>
      <w:pPr>
        <w:pStyle w:val="BodyText"/>
        <w:rPr>
          <w:sz w:val="28"/>
        </w:rPr>
      </w:pPr>
    </w:p>
    <w:p>
      <w:pPr>
        <w:pStyle w:val="BodyText"/>
        <w:spacing w:before="3"/>
        <w:rPr>
          <w:sz w:val="26"/>
        </w:rPr>
      </w:pPr>
    </w:p>
    <w:p>
      <w:pPr>
        <w:pStyle w:val="Heading9"/>
        <w:ind w:left="552" w:right="583"/>
        <w:rPr>
          <w:rFonts w:ascii="Arial" w:hAnsi="Arial"/>
        </w:rPr>
      </w:pPr>
      <w:r>
        <w:rPr>
          <w:rFonts w:ascii="Arial" w:hAnsi="Arial"/>
        </w:rPr>
        <w:t>I certify that</w:t>
      </w:r>
      <w:r>
        <w:rPr>
          <w:rFonts w:ascii="Arial" w:hAnsi="Arial"/>
          <w:spacing w:val="-1"/>
        </w:rPr>
        <w:t> </w:t>
      </w:r>
      <w:r>
        <w:rPr>
          <w:rFonts w:ascii="Arial" w:hAnsi="Arial"/>
        </w:rPr>
        <w:t>the</w:t>
      </w:r>
      <w:r>
        <w:rPr>
          <w:rFonts w:ascii="Arial" w:hAnsi="Arial"/>
          <w:spacing w:val="-1"/>
        </w:rPr>
        <w:t> </w:t>
      </w:r>
      <w:r>
        <w:rPr>
          <w:rFonts w:ascii="Arial" w:hAnsi="Arial"/>
        </w:rPr>
        <w:t>foregoing signature</w:t>
      </w:r>
      <w:r>
        <w:rPr>
          <w:rFonts w:ascii="Arial" w:hAnsi="Arial"/>
          <w:spacing w:val="-18"/>
        </w:rPr>
        <w:t> </w:t>
      </w:r>
      <w:r>
        <w:rPr>
          <w:rFonts w:ascii="Arial" w:hAnsi="Arial"/>
        </w:rPr>
        <w:t>is</w:t>
      </w:r>
      <w:r>
        <w:rPr>
          <w:rFonts w:ascii="Arial" w:hAnsi="Arial"/>
          <w:spacing w:val="-9"/>
        </w:rPr>
        <w:t> </w:t>
      </w:r>
      <w:r>
        <w:rPr>
          <w:rFonts w:ascii="Arial" w:hAnsi="Arial"/>
        </w:rPr>
        <w:t>true</w:t>
      </w:r>
      <w:r>
        <w:rPr>
          <w:rFonts w:ascii="Arial" w:hAnsi="Arial"/>
          <w:spacing w:val="-1"/>
        </w:rPr>
        <w:t> </w:t>
      </w:r>
      <w:r>
        <w:rPr>
          <w:rFonts w:ascii="Arial" w:hAnsi="Arial"/>
        </w:rPr>
        <w:t>and accurate.</w:t>
      </w:r>
      <w:r>
        <w:rPr>
          <w:rFonts w:ascii="Arial" w:hAnsi="Arial"/>
          <w:spacing w:val="40"/>
        </w:rPr>
        <w:t> </w:t>
      </w:r>
      <w:r>
        <w:rPr>
          <w:rFonts w:ascii="Arial" w:hAnsi="Arial"/>
        </w:rPr>
        <w:t>I further certify that</w:t>
      </w:r>
      <w:r>
        <w:rPr>
          <w:rFonts w:ascii="Arial" w:hAnsi="Arial"/>
          <w:spacing w:val="-1"/>
        </w:rPr>
        <w:t> </w:t>
      </w:r>
      <w:r>
        <w:rPr>
          <w:rFonts w:ascii="Arial" w:hAnsi="Arial"/>
        </w:rPr>
        <w:t>it</w:t>
      </w:r>
      <w:r>
        <w:rPr>
          <w:rFonts w:ascii="Arial" w:hAnsi="Arial"/>
          <w:spacing w:val="-11"/>
        </w:rPr>
        <w:t> </w:t>
      </w:r>
      <w:r>
        <w:rPr>
          <w:rFonts w:ascii="Arial" w:hAnsi="Arial"/>
        </w:rPr>
        <w:t>(a)</w:t>
      </w:r>
      <w:r>
        <w:rPr>
          <w:rFonts w:ascii="Arial" w:hAnsi="Arial"/>
          <w:spacing w:val="-22"/>
        </w:rPr>
        <w:t> </w:t>
      </w:r>
      <w:r>
        <w:rPr>
          <w:rFonts w:ascii="Arial" w:hAnsi="Arial"/>
        </w:rPr>
        <w:t>is </w:t>
      </w:r>
      <w:r>
        <w:rPr>
          <w:rFonts w:ascii="Arial" w:hAnsi="Arial"/>
          <w:spacing w:val="-8"/>
        </w:rPr>
        <w:t>intended</w:t>
      </w:r>
      <w:r>
        <w:rPr>
          <w:rFonts w:ascii="Arial" w:hAnsi="Arial"/>
          <w:spacing w:val="-19"/>
        </w:rPr>
        <w:t> </w:t>
      </w:r>
      <w:r>
        <w:rPr>
          <w:rFonts w:ascii="Arial" w:hAnsi="Arial"/>
          <w:spacing w:val="-8"/>
        </w:rPr>
        <w:t>to</w:t>
      </w:r>
      <w:r>
        <w:rPr>
          <w:rFonts w:ascii="Arial" w:hAnsi="Arial"/>
          <w:spacing w:val="-19"/>
        </w:rPr>
        <w:t> </w:t>
      </w:r>
      <w:r>
        <w:rPr>
          <w:rFonts w:ascii="Arial" w:hAnsi="Arial"/>
          <w:spacing w:val="-8"/>
        </w:rPr>
        <w:t>have</w:t>
      </w:r>
      <w:r>
        <w:rPr>
          <w:rFonts w:ascii="Arial" w:hAnsi="Arial"/>
          <w:spacing w:val="-18"/>
        </w:rPr>
        <w:t> </w:t>
      </w:r>
      <w:r>
        <w:rPr>
          <w:rFonts w:ascii="Arial" w:hAnsi="Arial"/>
          <w:spacing w:val="-8"/>
        </w:rPr>
        <w:t>the</w:t>
      </w:r>
      <w:r>
        <w:rPr>
          <w:rFonts w:ascii="Arial" w:hAnsi="Arial"/>
          <w:spacing w:val="-21"/>
        </w:rPr>
        <w:t> </w:t>
      </w:r>
      <w:r>
        <w:rPr>
          <w:rFonts w:ascii="Arial" w:hAnsi="Arial"/>
          <w:spacing w:val="-8"/>
        </w:rPr>
        <w:t>same</w:t>
      </w:r>
      <w:r>
        <w:rPr>
          <w:rFonts w:ascii="Arial" w:hAnsi="Arial"/>
          <w:spacing w:val="-18"/>
        </w:rPr>
        <w:t> </w:t>
      </w:r>
      <w:r>
        <w:rPr>
          <w:rFonts w:ascii="Arial" w:hAnsi="Arial"/>
          <w:spacing w:val="-8"/>
        </w:rPr>
        <w:t>force</w:t>
      </w:r>
      <w:r>
        <w:rPr>
          <w:rFonts w:ascii="Arial" w:hAnsi="Arial"/>
          <w:spacing w:val="-21"/>
        </w:rPr>
        <w:t> </w:t>
      </w:r>
      <w:r>
        <w:rPr>
          <w:rFonts w:ascii="Arial" w:hAnsi="Arial"/>
          <w:spacing w:val="-8"/>
        </w:rPr>
        <w:t>as</w:t>
      </w:r>
      <w:r>
        <w:rPr>
          <w:rFonts w:ascii="Arial" w:hAnsi="Arial"/>
          <w:spacing w:val="-21"/>
        </w:rPr>
        <w:t> </w:t>
      </w:r>
      <w:r>
        <w:rPr>
          <w:rFonts w:ascii="Arial" w:hAnsi="Arial"/>
          <w:spacing w:val="-8"/>
        </w:rPr>
        <w:t>a</w:t>
      </w:r>
      <w:r>
        <w:rPr>
          <w:rFonts w:ascii="Arial" w:hAnsi="Arial"/>
          <w:spacing w:val="-18"/>
        </w:rPr>
        <w:t> </w:t>
      </w:r>
      <w:r>
        <w:rPr>
          <w:rFonts w:ascii="Arial" w:hAnsi="Arial"/>
          <w:spacing w:val="-8"/>
        </w:rPr>
        <w:t>manual</w:t>
      </w:r>
      <w:r>
        <w:rPr>
          <w:rFonts w:ascii="Arial" w:hAnsi="Arial"/>
          <w:spacing w:val="-21"/>
        </w:rPr>
        <w:t> </w:t>
      </w:r>
      <w:r>
        <w:rPr>
          <w:rFonts w:ascii="Arial" w:hAnsi="Arial"/>
          <w:spacing w:val="-8"/>
        </w:rPr>
        <w:t>signature,</w:t>
      </w:r>
      <w:r>
        <w:rPr>
          <w:rFonts w:ascii="Arial" w:hAnsi="Arial"/>
          <w:spacing w:val="-21"/>
        </w:rPr>
        <w:t> </w:t>
      </w:r>
      <w:r>
        <w:rPr>
          <w:rFonts w:ascii="Arial" w:hAnsi="Arial"/>
          <w:spacing w:val="-8"/>
        </w:rPr>
        <w:t>(b)</w:t>
      </w:r>
      <w:r>
        <w:rPr>
          <w:rFonts w:ascii="Arial" w:hAnsi="Arial"/>
          <w:spacing w:val="-20"/>
        </w:rPr>
        <w:t> </w:t>
      </w:r>
      <w:r>
        <w:rPr>
          <w:rFonts w:ascii="Arial" w:hAnsi="Arial"/>
          <w:spacing w:val="-8"/>
        </w:rPr>
        <w:t>is</w:t>
      </w:r>
      <w:r>
        <w:rPr>
          <w:rFonts w:ascii="Arial" w:hAnsi="Arial"/>
          <w:spacing w:val="-18"/>
        </w:rPr>
        <w:t> </w:t>
      </w:r>
      <w:r>
        <w:rPr>
          <w:rFonts w:ascii="Arial" w:hAnsi="Arial"/>
          <w:spacing w:val="-8"/>
        </w:rPr>
        <w:t>unique</w:t>
      </w:r>
      <w:r>
        <w:rPr>
          <w:rFonts w:ascii="Arial" w:hAnsi="Arial"/>
          <w:spacing w:val="-21"/>
        </w:rPr>
        <w:t> </w:t>
      </w:r>
      <w:r>
        <w:rPr>
          <w:rFonts w:ascii="Arial" w:hAnsi="Arial"/>
          <w:spacing w:val="-8"/>
        </w:rPr>
        <w:t>to</w:t>
      </w:r>
      <w:r>
        <w:rPr>
          <w:rFonts w:ascii="Arial" w:hAnsi="Arial"/>
          <w:spacing w:val="-19"/>
        </w:rPr>
        <w:t> </w:t>
      </w:r>
      <w:r>
        <w:rPr>
          <w:rFonts w:ascii="Arial" w:hAnsi="Arial"/>
          <w:spacing w:val="-8"/>
        </w:rPr>
        <w:t>myself,</w:t>
      </w:r>
      <w:r>
        <w:rPr>
          <w:rFonts w:ascii="Arial" w:hAnsi="Arial"/>
          <w:spacing w:val="-19"/>
        </w:rPr>
        <w:t> </w:t>
      </w:r>
      <w:r>
        <w:rPr>
          <w:rFonts w:ascii="Arial" w:hAnsi="Arial"/>
          <w:spacing w:val="-8"/>
        </w:rPr>
        <w:t>(c)</w:t>
      </w:r>
      <w:r>
        <w:rPr>
          <w:rFonts w:ascii="Arial" w:hAnsi="Arial"/>
          <w:spacing w:val="-20"/>
        </w:rPr>
        <w:t> </w:t>
      </w:r>
      <w:r>
        <w:rPr>
          <w:rFonts w:ascii="Arial" w:hAnsi="Arial"/>
          <w:spacing w:val="-8"/>
        </w:rPr>
        <w:t>is</w:t>
      </w:r>
      <w:r>
        <w:rPr>
          <w:rFonts w:ascii="Arial" w:hAnsi="Arial"/>
          <w:spacing w:val="-21"/>
        </w:rPr>
        <w:t> </w:t>
      </w:r>
      <w:r>
        <w:rPr>
          <w:rFonts w:ascii="Arial" w:hAnsi="Arial"/>
          <w:spacing w:val="-8"/>
        </w:rPr>
        <w:t>capable</w:t>
      </w:r>
      <w:r>
        <w:rPr>
          <w:rFonts w:ascii="Arial" w:hAnsi="Arial"/>
          <w:spacing w:val="-21"/>
        </w:rPr>
        <w:t> </w:t>
      </w:r>
      <w:r>
        <w:rPr>
          <w:rFonts w:ascii="Arial" w:hAnsi="Arial"/>
          <w:spacing w:val="-8"/>
        </w:rPr>
        <w:t>of </w:t>
      </w:r>
      <w:r>
        <w:rPr>
          <w:rFonts w:ascii="Arial" w:hAnsi="Arial"/>
          <w:spacing w:val="-6"/>
        </w:rPr>
        <w:t>verification,</w:t>
      </w:r>
      <w:r>
        <w:rPr>
          <w:rFonts w:ascii="Arial" w:hAnsi="Arial"/>
          <w:spacing w:val="-21"/>
        </w:rPr>
        <w:t> </w:t>
      </w:r>
      <w:r>
        <w:rPr>
          <w:rFonts w:ascii="Arial" w:hAnsi="Arial"/>
          <w:spacing w:val="-6"/>
        </w:rPr>
        <w:t>(d)</w:t>
      </w:r>
      <w:r>
        <w:rPr>
          <w:rFonts w:ascii="Arial" w:hAnsi="Arial"/>
          <w:spacing w:val="-22"/>
        </w:rPr>
        <w:t> </w:t>
      </w:r>
      <w:r>
        <w:rPr>
          <w:rFonts w:ascii="Arial" w:hAnsi="Arial"/>
          <w:spacing w:val="-6"/>
        </w:rPr>
        <w:t>is</w:t>
      </w:r>
      <w:r>
        <w:rPr>
          <w:rFonts w:ascii="Arial" w:hAnsi="Arial"/>
          <w:spacing w:val="-21"/>
        </w:rPr>
        <w:t> </w:t>
      </w:r>
      <w:r>
        <w:rPr>
          <w:rFonts w:ascii="Arial" w:hAnsi="Arial"/>
          <w:spacing w:val="-6"/>
        </w:rPr>
        <w:t>under</w:t>
      </w:r>
      <w:r>
        <w:rPr>
          <w:rFonts w:ascii="Arial" w:hAnsi="Arial"/>
          <w:spacing w:val="-19"/>
        </w:rPr>
        <w:t> </w:t>
      </w:r>
      <w:r>
        <w:rPr>
          <w:rFonts w:ascii="Arial" w:hAnsi="Arial"/>
          <w:spacing w:val="-6"/>
        </w:rPr>
        <w:t>the</w:t>
      </w:r>
      <w:r>
        <w:rPr>
          <w:rFonts w:ascii="Arial" w:hAnsi="Arial"/>
          <w:spacing w:val="-21"/>
        </w:rPr>
        <w:t> </w:t>
      </w:r>
      <w:r>
        <w:rPr>
          <w:rFonts w:ascii="Arial" w:hAnsi="Arial"/>
          <w:spacing w:val="-6"/>
        </w:rPr>
        <w:t>sole</w:t>
      </w:r>
      <w:r>
        <w:rPr>
          <w:rFonts w:ascii="Arial" w:hAnsi="Arial"/>
          <w:spacing w:val="-21"/>
        </w:rPr>
        <w:t> </w:t>
      </w:r>
      <w:r>
        <w:rPr>
          <w:rFonts w:ascii="Arial" w:hAnsi="Arial"/>
          <w:spacing w:val="-6"/>
        </w:rPr>
        <w:t>control</w:t>
      </w:r>
      <w:r>
        <w:rPr>
          <w:rFonts w:ascii="Arial" w:hAnsi="Arial"/>
          <w:spacing w:val="-19"/>
        </w:rPr>
        <w:t> </w:t>
      </w:r>
      <w:r>
        <w:rPr>
          <w:rFonts w:ascii="Arial" w:hAnsi="Arial"/>
          <w:spacing w:val="-6"/>
        </w:rPr>
        <w:t>of</w:t>
      </w:r>
      <w:r>
        <w:rPr>
          <w:rFonts w:ascii="Arial" w:hAnsi="Arial"/>
          <w:spacing w:val="-22"/>
        </w:rPr>
        <w:t> </w:t>
      </w:r>
      <w:r>
        <w:rPr>
          <w:rFonts w:ascii="Arial" w:hAnsi="Arial"/>
          <w:spacing w:val="-6"/>
        </w:rPr>
        <w:t>myself,</w:t>
      </w:r>
      <w:r>
        <w:rPr>
          <w:rFonts w:ascii="Arial" w:hAnsi="Arial"/>
          <w:spacing w:val="-19"/>
        </w:rPr>
        <w:t> </w:t>
      </w:r>
      <w:r>
        <w:rPr>
          <w:rFonts w:ascii="Arial" w:hAnsi="Arial"/>
          <w:spacing w:val="-6"/>
        </w:rPr>
        <w:t>(e)</w:t>
      </w:r>
      <w:r>
        <w:rPr>
          <w:rFonts w:ascii="Arial" w:hAnsi="Arial"/>
          <w:spacing w:val="-20"/>
        </w:rPr>
        <w:t> </w:t>
      </w:r>
      <w:r>
        <w:rPr>
          <w:rFonts w:ascii="Arial" w:hAnsi="Arial"/>
          <w:spacing w:val="-6"/>
        </w:rPr>
        <w:t>is</w:t>
      </w:r>
      <w:r>
        <w:rPr>
          <w:rFonts w:ascii="Arial" w:hAnsi="Arial"/>
          <w:spacing w:val="-18"/>
        </w:rPr>
        <w:t> </w:t>
      </w:r>
      <w:r>
        <w:rPr>
          <w:rFonts w:ascii="Arial" w:hAnsi="Arial"/>
          <w:spacing w:val="-6"/>
        </w:rPr>
        <w:t>linked</w:t>
      </w:r>
      <w:r>
        <w:rPr>
          <w:rFonts w:ascii="Arial" w:hAnsi="Arial"/>
          <w:spacing w:val="-19"/>
        </w:rPr>
        <w:t> </w:t>
      </w:r>
      <w:r>
        <w:rPr>
          <w:rFonts w:ascii="Arial" w:hAnsi="Arial"/>
          <w:spacing w:val="-6"/>
        </w:rPr>
        <w:t>to</w:t>
      </w:r>
      <w:r>
        <w:rPr>
          <w:rFonts w:ascii="Arial" w:hAnsi="Arial"/>
          <w:spacing w:val="-22"/>
        </w:rPr>
        <w:t> </w:t>
      </w:r>
      <w:r>
        <w:rPr>
          <w:rFonts w:ascii="Arial" w:hAnsi="Arial"/>
          <w:spacing w:val="-6"/>
        </w:rPr>
        <w:t>data</w:t>
      </w:r>
      <w:r>
        <w:rPr>
          <w:rFonts w:ascii="Arial" w:hAnsi="Arial"/>
          <w:spacing w:val="-21"/>
        </w:rPr>
        <w:t> </w:t>
      </w:r>
      <w:r>
        <w:rPr>
          <w:rFonts w:ascii="Arial" w:hAnsi="Arial"/>
          <w:spacing w:val="-6"/>
        </w:rPr>
        <w:t>in</w:t>
      </w:r>
      <w:r>
        <w:rPr>
          <w:rFonts w:ascii="Arial" w:hAnsi="Arial"/>
          <w:spacing w:val="-22"/>
        </w:rPr>
        <w:t> </w:t>
      </w:r>
      <w:r>
        <w:rPr>
          <w:rFonts w:ascii="Arial" w:hAnsi="Arial"/>
          <w:spacing w:val="-6"/>
        </w:rPr>
        <w:t>such</w:t>
      </w:r>
      <w:r>
        <w:rPr>
          <w:rFonts w:ascii="Arial" w:hAnsi="Arial"/>
          <w:spacing w:val="-22"/>
        </w:rPr>
        <w:t> </w:t>
      </w:r>
      <w:r>
        <w:rPr>
          <w:rFonts w:ascii="Arial" w:hAnsi="Arial"/>
          <w:spacing w:val="-6"/>
        </w:rPr>
        <w:t>a</w:t>
      </w:r>
      <w:r>
        <w:rPr>
          <w:rFonts w:ascii="Arial" w:hAnsi="Arial"/>
          <w:spacing w:val="-21"/>
        </w:rPr>
        <w:t> </w:t>
      </w:r>
      <w:r>
        <w:rPr>
          <w:rFonts w:ascii="Arial" w:hAnsi="Arial"/>
          <w:spacing w:val="-6"/>
        </w:rPr>
        <w:t>manner</w:t>
      </w:r>
      <w:r>
        <w:rPr>
          <w:rFonts w:ascii="Arial" w:hAnsi="Arial"/>
          <w:spacing w:val="-19"/>
        </w:rPr>
        <w:t> </w:t>
      </w:r>
      <w:r>
        <w:rPr>
          <w:rFonts w:ascii="Arial" w:hAnsi="Arial"/>
          <w:spacing w:val="-6"/>
        </w:rPr>
        <w:t>that</w:t>
      </w:r>
      <w:r>
        <w:rPr>
          <w:rFonts w:ascii="Arial" w:hAnsi="Arial"/>
          <w:spacing w:val="-22"/>
        </w:rPr>
        <w:t> </w:t>
      </w:r>
      <w:r>
        <w:rPr>
          <w:rFonts w:ascii="Arial" w:hAnsi="Arial"/>
          <w:spacing w:val="-6"/>
        </w:rPr>
        <w:t>it </w:t>
      </w:r>
      <w:r>
        <w:rPr>
          <w:rFonts w:ascii="Arial" w:hAnsi="Arial"/>
        </w:rPr>
        <w:t>is</w:t>
      </w:r>
      <w:r>
        <w:rPr>
          <w:rFonts w:ascii="Arial" w:hAnsi="Arial"/>
          <w:spacing w:val="-21"/>
        </w:rPr>
        <w:t> </w:t>
      </w:r>
      <w:r>
        <w:rPr>
          <w:rFonts w:ascii="Arial" w:hAnsi="Arial"/>
        </w:rPr>
        <w:t>invalidated</w:t>
      </w:r>
      <w:r>
        <w:rPr>
          <w:rFonts w:ascii="Arial" w:hAnsi="Arial"/>
          <w:spacing w:val="-22"/>
        </w:rPr>
        <w:t> </w:t>
      </w:r>
      <w:r>
        <w:rPr>
          <w:rFonts w:ascii="Arial" w:hAnsi="Arial"/>
        </w:rPr>
        <w:t>if</w:t>
      </w:r>
      <w:r>
        <w:rPr>
          <w:rFonts w:ascii="Arial" w:hAnsi="Arial"/>
          <w:spacing w:val="-20"/>
        </w:rPr>
        <w:t> </w:t>
      </w:r>
      <w:r>
        <w:rPr>
          <w:rFonts w:ascii="Arial" w:hAnsi="Arial"/>
        </w:rPr>
        <w:t>the</w:t>
      </w:r>
      <w:r>
        <w:rPr>
          <w:rFonts w:ascii="Arial" w:hAnsi="Arial"/>
          <w:spacing w:val="-21"/>
        </w:rPr>
        <w:t> </w:t>
      </w:r>
      <w:r>
        <w:rPr>
          <w:rFonts w:ascii="Arial" w:hAnsi="Arial"/>
        </w:rPr>
        <w:t>data</w:t>
      </w:r>
      <w:r>
        <w:rPr>
          <w:rFonts w:ascii="Arial" w:hAnsi="Arial"/>
          <w:spacing w:val="-18"/>
        </w:rPr>
        <w:t> </w:t>
      </w:r>
      <w:r>
        <w:rPr>
          <w:rFonts w:ascii="Arial" w:hAnsi="Arial"/>
        </w:rPr>
        <w:t>are</w:t>
      </w:r>
      <w:r>
        <w:rPr>
          <w:rFonts w:ascii="Arial" w:hAnsi="Arial"/>
          <w:spacing w:val="-21"/>
        </w:rPr>
        <w:t> </w:t>
      </w:r>
      <w:r>
        <w:rPr>
          <w:rFonts w:ascii="Arial" w:hAnsi="Arial"/>
        </w:rPr>
        <w:t>changed.</w:t>
      </w:r>
      <w:r>
        <w:rPr>
          <w:rFonts w:ascii="Arial" w:hAnsi="Arial"/>
          <w:spacing w:val="37"/>
        </w:rPr>
        <w:t> </w:t>
      </w:r>
      <w:r>
        <w:rPr>
          <w:rFonts w:ascii="Arial" w:hAnsi="Arial"/>
          <w:i/>
        </w:rPr>
        <w:t>(</w:t>
      </w:r>
      <w:r>
        <w:rPr>
          <w:rFonts w:ascii="Arial" w:hAnsi="Arial"/>
        </w:rPr>
        <w:t>10</w:t>
      </w:r>
      <w:r>
        <w:rPr>
          <w:rFonts w:ascii="Arial" w:hAnsi="Arial"/>
          <w:spacing w:val="-17"/>
        </w:rPr>
        <w:t> </w:t>
      </w:r>
      <w:r>
        <w:rPr>
          <w:rFonts w:ascii="Arial" w:hAnsi="Arial"/>
        </w:rPr>
        <w:t>M.R.S.A.</w:t>
      </w:r>
      <w:r>
        <w:rPr>
          <w:rFonts w:ascii="Arial" w:hAnsi="Arial"/>
          <w:spacing w:val="-17"/>
        </w:rPr>
        <w:t> </w:t>
      </w:r>
      <w:r>
        <w:rPr>
          <w:rFonts w:ascii="Arial" w:hAnsi="Arial"/>
        </w:rPr>
        <w:t>§9501</w:t>
      </w:r>
      <w:r>
        <w:rPr>
          <w:rFonts w:ascii="Arial" w:hAnsi="Arial"/>
          <w:spacing w:val="-16"/>
        </w:rPr>
        <w:t> </w:t>
      </w:r>
      <w:r>
        <w:rPr>
          <w:rFonts w:ascii="Arial" w:hAnsi="Arial"/>
        </w:rPr>
        <w:t>et</w:t>
      </w:r>
      <w:r>
        <w:rPr>
          <w:rFonts w:ascii="Arial" w:hAnsi="Arial"/>
          <w:spacing w:val="-17"/>
        </w:rPr>
        <w:t> </w:t>
      </w:r>
      <w:r>
        <w:rPr>
          <w:rFonts w:ascii="Arial" w:hAnsi="Arial"/>
        </w:rPr>
        <w:t>seq.)</w:t>
      </w:r>
    </w:p>
    <w:p>
      <w:pPr>
        <w:pStyle w:val="BodyText"/>
        <w:rPr>
          <w:rFonts w:ascii="Arial"/>
          <w:b/>
        </w:rPr>
      </w:pPr>
    </w:p>
    <w:p>
      <w:pPr>
        <w:pStyle w:val="BodyText"/>
        <w:ind w:left="552"/>
        <w:rPr>
          <w:rFonts w:ascii="Arial"/>
        </w:rPr>
      </w:pPr>
      <w:r>
        <w:rPr>
          <w:rFonts w:ascii="Arial"/>
        </w:rPr>
        <w:t>Authorized</w:t>
      </w:r>
      <w:r>
        <w:rPr>
          <w:rFonts w:ascii="Arial"/>
          <w:spacing w:val="-4"/>
        </w:rPr>
        <w:t> </w:t>
      </w:r>
      <w:r>
        <w:rPr>
          <w:rFonts w:ascii="Arial"/>
        </w:rPr>
        <w:t>Representative:</w:t>
      </w:r>
      <w:r>
        <w:rPr>
          <w:rFonts w:ascii="Arial"/>
          <w:spacing w:val="-4"/>
        </w:rPr>
        <w:t> </w:t>
      </w:r>
      <w:r>
        <w:rPr>
          <w:rFonts w:ascii="Arial"/>
        </w:rPr>
        <w:t>Sandy</w:t>
      </w:r>
      <w:r>
        <w:rPr>
          <w:rFonts w:ascii="Arial"/>
          <w:spacing w:val="-6"/>
        </w:rPr>
        <w:t> </w:t>
      </w:r>
      <w:r>
        <w:rPr>
          <w:rFonts w:ascii="Arial"/>
          <w:spacing w:val="-2"/>
        </w:rPr>
        <w:t>Buchanan</w:t>
      </w:r>
    </w:p>
    <w:p>
      <w:pPr>
        <w:pStyle w:val="BodyText"/>
        <w:ind w:left="552" w:right="2767"/>
        <w:rPr>
          <w:rFonts w:ascii="Arial"/>
        </w:rPr>
      </w:pPr>
      <w:r>
        <w:rPr>
          <w:rFonts w:ascii="Arial"/>
        </w:rPr>
        <w:t>Transit</w:t>
      </w:r>
      <w:r>
        <w:rPr>
          <w:rFonts w:ascii="Arial"/>
          <w:spacing w:val="-5"/>
        </w:rPr>
        <w:t> </w:t>
      </w:r>
      <w:r>
        <w:rPr>
          <w:rFonts w:ascii="Arial"/>
        </w:rPr>
        <w:t>Agency:</w:t>
      </w:r>
      <w:r>
        <w:rPr>
          <w:rFonts w:ascii="Arial"/>
          <w:spacing w:val="-8"/>
        </w:rPr>
        <w:t> </w:t>
      </w:r>
      <w:r>
        <w:rPr>
          <w:rFonts w:ascii="Arial"/>
        </w:rPr>
        <w:t>Western</w:t>
      </w:r>
      <w:r>
        <w:rPr>
          <w:rFonts w:ascii="Arial"/>
          <w:spacing w:val="-5"/>
        </w:rPr>
        <w:t> </w:t>
      </w:r>
      <w:r>
        <w:rPr>
          <w:rFonts w:ascii="Arial"/>
        </w:rPr>
        <w:t>Maine</w:t>
      </w:r>
      <w:r>
        <w:rPr>
          <w:rFonts w:ascii="Arial"/>
          <w:spacing w:val="-5"/>
        </w:rPr>
        <w:t> </w:t>
      </w:r>
      <w:r>
        <w:rPr>
          <w:rFonts w:ascii="Arial"/>
        </w:rPr>
        <w:t>Transportation</w:t>
      </w:r>
      <w:r>
        <w:rPr>
          <w:rFonts w:ascii="Arial"/>
          <w:spacing w:val="-5"/>
        </w:rPr>
        <w:t> </w:t>
      </w:r>
      <w:r>
        <w:rPr>
          <w:rFonts w:ascii="Arial"/>
        </w:rPr>
        <w:t>Services,</w:t>
      </w:r>
      <w:r>
        <w:rPr>
          <w:rFonts w:ascii="Arial"/>
          <w:spacing w:val="-8"/>
        </w:rPr>
        <w:t> </w:t>
      </w:r>
      <w:r>
        <w:rPr>
          <w:rFonts w:ascii="Arial"/>
        </w:rPr>
        <w:t>Inc</w:t>
      </w:r>
      <w:r>
        <w:rPr>
          <w:rFonts w:ascii="Arial"/>
          <w:spacing w:val="-6"/>
        </w:rPr>
        <w:t> </w:t>
      </w:r>
      <w:r>
        <w:rPr>
          <w:rFonts w:ascii="Arial"/>
        </w:rPr>
        <w:t>(WMTS) Title: Executive Director</w:t>
      </w:r>
    </w:p>
    <w:p>
      <w:pPr>
        <w:pStyle w:val="BodyText"/>
        <w:ind w:left="552"/>
        <w:rPr>
          <w:rFonts w:ascii="Arial"/>
        </w:rPr>
      </w:pPr>
      <w:r>
        <w:rPr>
          <w:rFonts w:ascii="Arial"/>
        </w:rPr>
        <w:t>Date:</w:t>
      </w:r>
      <w:r>
        <w:rPr>
          <w:rFonts w:ascii="Arial"/>
          <w:spacing w:val="78"/>
        </w:rPr>
        <w:t> </w:t>
      </w:r>
      <w:r>
        <w:rPr>
          <w:rFonts w:ascii="Arial"/>
          <w:spacing w:val="-2"/>
        </w:rPr>
        <w:t>04/13/2023</w:t>
      </w:r>
    </w:p>
    <w:p>
      <w:pPr>
        <w:pStyle w:val="BodyText"/>
        <w:spacing w:before="10"/>
        <w:rPr>
          <w:rFonts w:ascii="Arial"/>
          <w:sz w:val="21"/>
        </w:rPr>
      </w:pPr>
    </w:p>
    <w:p>
      <w:pPr>
        <w:spacing w:before="0"/>
        <w:ind w:left="552" w:right="583" w:firstLine="333"/>
        <w:jc w:val="left"/>
        <w:rPr>
          <w:rFonts w:ascii="Cambria"/>
          <w:i/>
          <w:sz w:val="24"/>
        </w:rPr>
      </w:pPr>
      <w:r>
        <w:rPr/>
        <mc:AlternateContent>
          <mc:Choice Requires="wps">
            <w:drawing>
              <wp:anchor distT="0" distB="0" distL="0" distR="0" allowOverlap="1" layoutInCell="1" locked="0" behindDoc="0" simplePos="0" relativeHeight="15753216">
                <wp:simplePos x="0" y="0"/>
                <wp:positionH relativeFrom="page">
                  <wp:posOffset>745236</wp:posOffset>
                </wp:positionH>
                <wp:positionV relativeFrom="paragraph">
                  <wp:posOffset>19841</wp:posOffset>
                </wp:positionV>
                <wp:extent cx="146685" cy="14668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146685" cy="146685"/>
                        </a:xfrm>
                        <a:custGeom>
                          <a:avLst/>
                          <a:gdLst/>
                          <a:ahLst/>
                          <a:cxnLst/>
                          <a:rect l="l" t="t" r="r" b="b"/>
                          <a:pathLst>
                            <a:path w="146685" h="146685">
                              <a:moveTo>
                                <a:pt x="0" y="0"/>
                              </a:moveTo>
                              <a:lnTo>
                                <a:pt x="146304" y="0"/>
                              </a:lnTo>
                              <a:lnTo>
                                <a:pt x="146304" y="146304"/>
                              </a:lnTo>
                              <a:lnTo>
                                <a:pt x="0" y="146304"/>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58.68pt;margin-top:1.562347pt;width:11.52pt;height:11.52pt;mso-position-horizontal-relative:page;mso-position-vertical-relative:paragraph;z-index:15753216" id="docshape102" filled="false" stroked="true" strokeweight=".72pt" strokecolor="#000000">
                <v:stroke dashstyle="solid"/>
                <w10:wrap type="none"/>
              </v:rect>
            </w:pict>
          </mc:Fallback>
        </mc:AlternateContent>
      </w:r>
      <w:r>
        <w:rPr>
          <w:rFonts w:ascii="Cambria"/>
          <w:b/>
          <w:i/>
          <w:sz w:val="24"/>
        </w:rPr>
        <w:t>Check</w:t>
      </w:r>
      <w:r>
        <w:rPr>
          <w:rFonts w:ascii="Cambria"/>
          <w:b/>
          <w:i/>
          <w:spacing w:val="-5"/>
          <w:sz w:val="24"/>
        </w:rPr>
        <w:t> </w:t>
      </w:r>
      <w:r>
        <w:rPr>
          <w:rFonts w:ascii="Cambria"/>
          <w:b/>
          <w:i/>
          <w:sz w:val="24"/>
        </w:rPr>
        <w:t>for</w:t>
      </w:r>
      <w:r>
        <w:rPr>
          <w:rFonts w:ascii="Cambria"/>
          <w:b/>
          <w:i/>
          <w:spacing w:val="-5"/>
          <w:sz w:val="24"/>
        </w:rPr>
        <w:t> </w:t>
      </w:r>
      <w:r>
        <w:rPr>
          <w:rFonts w:ascii="Cambria"/>
          <w:b/>
          <w:i/>
          <w:sz w:val="24"/>
        </w:rPr>
        <w:t>electronic</w:t>
      </w:r>
      <w:r>
        <w:rPr>
          <w:rFonts w:ascii="Cambria"/>
          <w:b/>
          <w:i/>
          <w:spacing w:val="-6"/>
          <w:sz w:val="24"/>
        </w:rPr>
        <w:t> </w:t>
      </w:r>
      <w:r>
        <w:rPr>
          <w:rFonts w:ascii="Cambria"/>
          <w:b/>
          <w:i/>
          <w:sz w:val="24"/>
        </w:rPr>
        <w:t>signature</w:t>
      </w:r>
      <w:r>
        <w:rPr>
          <w:rFonts w:ascii="Cambria"/>
          <w:b/>
          <w:i/>
          <w:spacing w:val="-6"/>
          <w:sz w:val="24"/>
        </w:rPr>
        <w:t> </w:t>
      </w:r>
      <w:r>
        <w:rPr>
          <w:rFonts w:ascii="Cambria"/>
          <w:b/>
          <w:i/>
          <w:sz w:val="24"/>
        </w:rPr>
        <w:t>of</w:t>
      </w:r>
      <w:r>
        <w:rPr>
          <w:rFonts w:ascii="Cambria"/>
          <w:b/>
          <w:i/>
          <w:spacing w:val="-6"/>
          <w:sz w:val="24"/>
        </w:rPr>
        <w:t> </w:t>
      </w:r>
      <w:r>
        <w:rPr>
          <w:rFonts w:ascii="Cambria"/>
          <w:b/>
          <w:i/>
          <w:sz w:val="24"/>
        </w:rPr>
        <w:t>an</w:t>
      </w:r>
      <w:r>
        <w:rPr>
          <w:rFonts w:ascii="Cambria"/>
          <w:b/>
          <w:i/>
          <w:spacing w:val="-5"/>
          <w:sz w:val="24"/>
        </w:rPr>
        <w:t> </w:t>
      </w:r>
      <w:r>
        <w:rPr>
          <w:rFonts w:ascii="Cambria"/>
          <w:b/>
          <w:i/>
          <w:sz w:val="24"/>
        </w:rPr>
        <w:t>authorized</w:t>
      </w:r>
      <w:r>
        <w:rPr>
          <w:rFonts w:ascii="Cambria"/>
          <w:b/>
          <w:i/>
          <w:spacing w:val="-6"/>
          <w:sz w:val="24"/>
        </w:rPr>
        <w:t> </w:t>
      </w:r>
      <w:r>
        <w:rPr>
          <w:rFonts w:ascii="Cambria"/>
          <w:b/>
          <w:i/>
          <w:sz w:val="24"/>
        </w:rPr>
        <w:t>representative</w:t>
      </w:r>
      <w:r>
        <w:rPr>
          <w:rFonts w:ascii="Cambria"/>
          <w:b/>
          <w:i/>
          <w:spacing w:val="-6"/>
          <w:sz w:val="24"/>
        </w:rPr>
        <w:t> </w:t>
      </w:r>
      <w:r>
        <w:rPr>
          <w:rFonts w:ascii="Cambria"/>
          <w:b/>
          <w:i/>
          <w:sz w:val="24"/>
        </w:rPr>
        <w:t>who</w:t>
      </w:r>
      <w:r>
        <w:rPr>
          <w:rFonts w:ascii="Cambria"/>
          <w:b/>
          <w:i/>
          <w:spacing w:val="-4"/>
          <w:sz w:val="24"/>
        </w:rPr>
        <w:t> </w:t>
      </w:r>
      <w:r>
        <w:rPr>
          <w:rFonts w:ascii="Cambria"/>
          <w:b/>
          <w:i/>
          <w:sz w:val="24"/>
        </w:rPr>
        <w:t>certifies</w:t>
      </w:r>
      <w:r>
        <w:rPr>
          <w:rFonts w:ascii="Cambria"/>
          <w:b/>
          <w:i/>
          <w:spacing w:val="-7"/>
          <w:sz w:val="24"/>
        </w:rPr>
        <w:t> </w:t>
      </w:r>
      <w:r>
        <w:rPr>
          <w:rFonts w:ascii="Cambria"/>
          <w:b/>
          <w:i/>
          <w:sz w:val="24"/>
        </w:rPr>
        <w:t>the</w:t>
      </w:r>
      <w:r>
        <w:rPr>
          <w:rFonts w:ascii="Cambria"/>
          <w:b/>
          <w:i/>
          <w:spacing w:val="-3"/>
          <w:sz w:val="24"/>
        </w:rPr>
        <w:t> </w:t>
      </w:r>
      <w:r>
        <w:rPr>
          <w:rFonts w:ascii="Cambria"/>
          <w:b/>
          <w:i/>
          <w:sz w:val="24"/>
        </w:rPr>
        <w:t>foregoing</w:t>
      </w:r>
      <w:r>
        <w:rPr>
          <w:rFonts w:ascii="Cambria"/>
          <w:b/>
          <w:i/>
          <w:sz w:val="24"/>
        </w:rPr>
        <w:t> to be true and accurate</w:t>
      </w:r>
      <w:r>
        <w:rPr>
          <w:rFonts w:ascii="Cambria"/>
          <w:i/>
          <w:sz w:val="24"/>
        </w:rPr>
        <w:t>.</w:t>
      </w:r>
    </w:p>
    <w:p>
      <w:pPr>
        <w:spacing w:after="0"/>
        <w:jc w:val="left"/>
        <w:rPr>
          <w:rFonts w:ascii="Cambria"/>
          <w:sz w:val="24"/>
        </w:rPr>
        <w:sectPr>
          <w:footerReference w:type="default" r:id="rId79"/>
          <w:pgSz w:w="12240" w:h="15840"/>
          <w:pgMar w:footer="746" w:header="0" w:top="500" w:bottom="940" w:left="600" w:right="500"/>
          <w:pgNumType w:start="1"/>
        </w:sectPr>
      </w:pPr>
    </w:p>
    <w:p>
      <w:pPr>
        <w:pStyle w:val="BodyText"/>
        <w:spacing w:before="9"/>
        <w:rPr>
          <w:rFonts w:ascii="Cambria"/>
          <w:i/>
          <w:sz w:val="15"/>
        </w:rPr>
      </w:pPr>
    </w:p>
    <w:p>
      <w:pPr>
        <w:pStyle w:val="Heading2"/>
        <w:rPr>
          <w:i/>
        </w:rPr>
      </w:pPr>
      <w:r>
        <w:rPr/>
        <w:drawing>
          <wp:anchor distT="0" distB="0" distL="0" distR="0" allowOverlap="1" layoutInCell="1" locked="0" behindDoc="0" simplePos="0" relativeHeight="15754240">
            <wp:simplePos x="0" y="0"/>
            <wp:positionH relativeFrom="page">
              <wp:posOffset>731520</wp:posOffset>
            </wp:positionH>
            <wp:positionV relativeFrom="paragraph">
              <wp:posOffset>-111196</wp:posOffset>
            </wp:positionV>
            <wp:extent cx="1523706" cy="426719"/>
            <wp:effectExtent l="0" t="0" r="0" b="0"/>
            <wp:wrapNone/>
            <wp:docPr id="138" name="Image 138">
              <a:hlinkClick r:id="rId80"/>
            </wp:docPr>
            <wp:cNvGraphicFramePr>
              <a:graphicFrameLocks/>
            </wp:cNvGraphicFramePr>
            <a:graphic>
              <a:graphicData uri="http://schemas.openxmlformats.org/drawingml/2006/picture">
                <pic:pic>
                  <pic:nvPicPr>
                    <pic:cNvPr id="138" name="Image 138">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rPr>
          <w:i/>
          <w:sz w:val="26"/>
        </w:rPr>
      </w:pPr>
      <w:r>
        <w:rPr/>
        <mc:AlternateContent>
          <mc:Choice Requires="wps">
            <w:drawing>
              <wp:anchor distT="0" distB="0" distL="0" distR="0" allowOverlap="1" layoutInCell="1" locked="0" behindDoc="1" simplePos="0" relativeHeight="487612928">
                <wp:simplePos x="0" y="0"/>
                <wp:positionH relativeFrom="page">
                  <wp:posOffset>713231</wp:posOffset>
                </wp:positionH>
                <wp:positionV relativeFrom="paragraph">
                  <wp:posOffset>216865</wp:posOffset>
                </wp:positionV>
                <wp:extent cx="6346190" cy="74930"/>
                <wp:effectExtent l="0" t="0" r="0" b="0"/>
                <wp:wrapTopAndBottom/>
                <wp:docPr id="139" name="Group 139"/>
                <wp:cNvGraphicFramePr>
                  <a:graphicFrameLocks/>
                </wp:cNvGraphicFramePr>
                <a:graphic>
                  <a:graphicData uri="http://schemas.microsoft.com/office/word/2010/wordprocessingGroup">
                    <wpg:wgp>
                      <wpg:cNvPr id="139" name="Group 139"/>
                      <wpg:cNvGrpSpPr/>
                      <wpg:grpSpPr>
                        <a:xfrm>
                          <a:off x="0" y="0"/>
                          <a:ext cx="6346190" cy="74930"/>
                          <a:chExt cx="6346190" cy="74930"/>
                        </a:xfrm>
                      </wpg:grpSpPr>
                      <wps:wsp>
                        <wps:cNvPr id="140" name="Graphic 140"/>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41" name="Graphic 141"/>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42" name="Graphic 142"/>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76025pt;width:499.7pt;height:5.9pt;mso-position-horizontal-relative:page;mso-position-vertical-relative:paragraph;z-index:-15703552;mso-wrap-distance-left:0;mso-wrap-distance-right:0" id="docshapegroup103" coordorigin="1123,342" coordsize="9994,118">
                <v:rect style="position:absolute;left:1123;top:430;width:9994;height:29" id="docshape104" filled="true" fillcolor="#c0c0c0" stroked="false">
                  <v:fill type="solid"/>
                </v:rect>
                <v:rect style="position:absolute;left:1123;top:370;width:9994;height:60" id="docshape105" filled="true" fillcolor="#5f5f5f" stroked="false">
                  <v:fill type="solid"/>
                </v:rect>
                <v:rect style="position:absolute;left:1123;top:341;width:9994;height:29" id="docshape106" filled="true" fillcolor="#000000" stroked="false">
                  <v:fill type="solid"/>
                </v:rect>
                <w10:wrap type="topAndBottom"/>
              </v:group>
            </w:pict>
          </mc:Fallback>
        </mc:AlternateContent>
      </w:r>
    </w:p>
    <w:p>
      <w:pPr>
        <w:pStyle w:val="BodyText"/>
        <w:spacing w:before="2"/>
        <w:rPr>
          <w:i/>
          <w:sz w:val="26"/>
        </w:rPr>
      </w:pPr>
    </w:p>
    <w:p>
      <w:pPr>
        <w:pStyle w:val="BodyText"/>
        <w:spacing w:line="259" w:lineRule="auto" w:before="52"/>
        <w:ind w:left="552" w:right="935"/>
      </w:pPr>
      <w:r>
        <w:rPr/>
        <w:t>MaineDOT will review every subrecipient on-site at least every five years and require each subrecipient</w:t>
      </w:r>
      <w:r>
        <w:rPr>
          <w:spacing w:val="-4"/>
        </w:rPr>
        <w:t> </w:t>
      </w:r>
      <w:r>
        <w:rPr/>
        <w:t>to</w:t>
      </w:r>
      <w:r>
        <w:rPr>
          <w:spacing w:val="-2"/>
        </w:rPr>
        <w:t> </w:t>
      </w:r>
      <w:r>
        <w:rPr/>
        <w:t>self-certify</w:t>
      </w:r>
      <w:r>
        <w:rPr>
          <w:spacing w:val="-3"/>
        </w:rPr>
        <w:t> </w:t>
      </w:r>
      <w:r>
        <w:rPr/>
        <w:t>annually</w:t>
      </w:r>
      <w:r>
        <w:rPr>
          <w:spacing w:val="-6"/>
        </w:rPr>
        <w:t> </w:t>
      </w:r>
      <w:r>
        <w:rPr/>
        <w:t>that</w:t>
      </w:r>
      <w:r>
        <w:rPr>
          <w:spacing w:val="-1"/>
        </w:rPr>
        <w:t> </w:t>
      </w:r>
      <w:r>
        <w:rPr/>
        <w:t>all</w:t>
      </w:r>
      <w:r>
        <w:rPr>
          <w:spacing w:val="-2"/>
        </w:rPr>
        <w:t> </w:t>
      </w:r>
      <w:r>
        <w:rPr/>
        <w:t>compliance</w:t>
      </w:r>
      <w:r>
        <w:rPr>
          <w:spacing w:val="-2"/>
        </w:rPr>
        <w:t> </w:t>
      </w:r>
      <w:r>
        <w:rPr/>
        <w:t>areas</w:t>
      </w:r>
      <w:r>
        <w:rPr>
          <w:spacing w:val="-3"/>
        </w:rPr>
        <w:t> </w:t>
      </w:r>
      <w:r>
        <w:rPr/>
        <w:t>are</w:t>
      </w:r>
      <w:r>
        <w:rPr>
          <w:spacing w:val="-4"/>
        </w:rPr>
        <w:t> </w:t>
      </w:r>
      <w:r>
        <w:rPr/>
        <w:t>being</w:t>
      </w:r>
      <w:r>
        <w:rPr>
          <w:spacing w:val="-3"/>
        </w:rPr>
        <w:t> </w:t>
      </w:r>
      <w:r>
        <w:rPr/>
        <w:t>met.</w:t>
      </w:r>
      <w:r>
        <w:rPr>
          <w:spacing w:val="40"/>
        </w:rPr>
        <w:t> </w:t>
      </w:r>
      <w:r>
        <w:rPr/>
        <w:t>Additional</w:t>
      </w:r>
      <w:r>
        <w:rPr>
          <w:spacing w:val="-2"/>
        </w:rPr>
        <w:t> </w:t>
      </w:r>
      <w:r>
        <w:rPr/>
        <w:t>site</w:t>
      </w:r>
      <w:r>
        <w:rPr>
          <w:spacing w:val="-2"/>
        </w:rPr>
        <w:t> </w:t>
      </w:r>
      <w:r>
        <w:rPr/>
        <w:t>visit reviews will be conducted as determined by MaineDOT staff.</w:t>
      </w:r>
    </w:p>
    <w:p>
      <w:pPr>
        <w:pStyle w:val="BodyText"/>
        <w:spacing w:line="259" w:lineRule="auto" w:before="159"/>
        <w:ind w:left="552" w:right="710"/>
      </w:pPr>
      <w:r>
        <w:rPr/>
        <w:t>Below is a list of critical documents/policies that each subrecipient is required to have.</w:t>
      </w:r>
      <w:r>
        <w:rPr>
          <w:spacing w:val="40"/>
        </w:rPr>
        <w:t> </w:t>
      </w:r>
      <w:r>
        <w:rPr/>
        <w:t>MaineDOT will</w:t>
      </w:r>
      <w:r>
        <w:rPr>
          <w:spacing w:val="-2"/>
        </w:rPr>
        <w:t> </w:t>
      </w:r>
      <w:r>
        <w:rPr/>
        <w:t>keep</w:t>
      </w:r>
      <w:r>
        <w:rPr>
          <w:spacing w:val="-1"/>
        </w:rPr>
        <w:t> </w:t>
      </w:r>
      <w:r>
        <w:rPr/>
        <w:t>these</w:t>
      </w:r>
      <w:r>
        <w:rPr>
          <w:spacing w:val="-4"/>
        </w:rPr>
        <w:t> </w:t>
      </w:r>
      <w:r>
        <w:rPr/>
        <w:t>documents</w:t>
      </w:r>
      <w:r>
        <w:rPr>
          <w:spacing w:val="-3"/>
        </w:rPr>
        <w:t> </w:t>
      </w:r>
      <w:r>
        <w:rPr/>
        <w:t>on</w:t>
      </w:r>
      <w:r>
        <w:rPr>
          <w:spacing w:val="-4"/>
        </w:rPr>
        <w:t> </w:t>
      </w:r>
      <w:r>
        <w:rPr/>
        <w:t>file</w:t>
      </w:r>
      <w:r>
        <w:rPr>
          <w:spacing w:val="-2"/>
        </w:rPr>
        <w:t> </w:t>
      </w:r>
      <w:r>
        <w:rPr/>
        <w:t>and</w:t>
      </w:r>
      <w:r>
        <w:rPr>
          <w:spacing w:val="-4"/>
        </w:rPr>
        <w:t> </w:t>
      </w:r>
      <w:r>
        <w:rPr/>
        <w:t>require</w:t>
      </w:r>
      <w:r>
        <w:rPr>
          <w:spacing w:val="-4"/>
        </w:rPr>
        <w:t> </w:t>
      </w:r>
      <w:r>
        <w:rPr/>
        <w:t>that</w:t>
      </w:r>
      <w:r>
        <w:rPr>
          <w:spacing w:val="-1"/>
        </w:rPr>
        <w:t> </w:t>
      </w:r>
      <w:r>
        <w:rPr/>
        <w:t>the</w:t>
      </w:r>
      <w:r>
        <w:rPr>
          <w:spacing w:val="-2"/>
        </w:rPr>
        <w:t> </w:t>
      </w:r>
      <w:r>
        <w:rPr/>
        <w:t>subrecipient</w:t>
      </w:r>
      <w:r>
        <w:rPr>
          <w:spacing w:val="-4"/>
        </w:rPr>
        <w:t> </w:t>
      </w:r>
      <w:r>
        <w:rPr/>
        <w:t>send</w:t>
      </w:r>
      <w:r>
        <w:rPr>
          <w:spacing w:val="-1"/>
        </w:rPr>
        <w:t> </w:t>
      </w:r>
      <w:r>
        <w:rPr/>
        <w:t>updated</w:t>
      </w:r>
      <w:r>
        <w:rPr>
          <w:spacing w:val="-4"/>
        </w:rPr>
        <w:t> </w:t>
      </w:r>
      <w:r>
        <w:rPr/>
        <w:t>documents</w:t>
      </w:r>
      <w:r>
        <w:rPr>
          <w:spacing w:val="-5"/>
        </w:rPr>
        <w:t> </w:t>
      </w:r>
      <w:r>
        <w:rPr/>
        <w:t>when they are revised.</w:t>
      </w:r>
    </w:p>
    <w:p>
      <w:pPr>
        <w:pStyle w:val="BodyText"/>
        <w:spacing w:before="2"/>
        <w:rPr>
          <w:sz w:val="13"/>
        </w:rPr>
      </w:pPr>
    </w:p>
    <w:tbl>
      <w:tblPr>
        <w:tblW w:w="0" w:type="auto"/>
        <w:jc w:val="left"/>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06"/>
        <w:gridCol w:w="1888"/>
        <w:gridCol w:w="1830"/>
      </w:tblGrid>
      <w:tr>
        <w:trPr>
          <w:trHeight w:val="745" w:hRule="atLeast"/>
        </w:trPr>
        <w:tc>
          <w:tcPr>
            <w:tcW w:w="6206" w:type="dxa"/>
          </w:tcPr>
          <w:p>
            <w:pPr>
              <w:pStyle w:val="TableParagraph"/>
              <w:spacing w:line="240" w:lineRule="auto" w:before="5"/>
              <w:rPr>
                <w:rFonts w:ascii="Calibri"/>
                <w:sz w:val="18"/>
              </w:rPr>
            </w:pPr>
          </w:p>
          <w:p>
            <w:pPr>
              <w:pStyle w:val="TableParagraph"/>
              <w:spacing w:line="240" w:lineRule="auto"/>
              <w:ind w:left="107"/>
              <w:rPr>
                <w:rFonts w:ascii="Calibri"/>
                <w:b/>
                <w:sz w:val="24"/>
              </w:rPr>
            </w:pPr>
            <w:r>
              <w:rPr>
                <w:rFonts w:ascii="Calibri"/>
                <w:b/>
                <w:sz w:val="24"/>
              </w:rPr>
              <w:t>Required</w:t>
            </w:r>
            <w:r>
              <w:rPr>
                <w:rFonts w:ascii="Calibri"/>
                <w:b/>
                <w:spacing w:val="-3"/>
                <w:sz w:val="24"/>
              </w:rPr>
              <w:t> </w:t>
            </w:r>
            <w:r>
              <w:rPr>
                <w:rFonts w:ascii="Calibri"/>
                <w:b/>
                <w:sz w:val="24"/>
              </w:rPr>
              <w:t>Documents/Policy</w:t>
            </w:r>
            <w:r>
              <w:rPr>
                <w:rFonts w:ascii="Calibri"/>
                <w:b/>
                <w:spacing w:val="-3"/>
                <w:sz w:val="24"/>
              </w:rPr>
              <w:t> </w:t>
            </w:r>
            <w:r>
              <w:rPr>
                <w:rFonts w:ascii="Calibri"/>
                <w:b/>
                <w:spacing w:val="-4"/>
                <w:sz w:val="24"/>
              </w:rPr>
              <w:t>List:</w:t>
            </w:r>
          </w:p>
        </w:tc>
        <w:tc>
          <w:tcPr>
            <w:tcW w:w="1888" w:type="dxa"/>
          </w:tcPr>
          <w:p>
            <w:pPr>
              <w:pStyle w:val="TableParagraph"/>
              <w:spacing w:line="240" w:lineRule="auto" w:before="78"/>
              <w:ind w:left="408" w:right="276" w:hanging="120"/>
              <w:rPr>
                <w:rFonts w:ascii="Calibri"/>
                <w:b/>
                <w:sz w:val="24"/>
              </w:rPr>
            </w:pPr>
            <w:r>
              <w:rPr>
                <w:rFonts w:ascii="Calibri"/>
                <w:b/>
                <w:sz w:val="24"/>
              </w:rPr>
              <w:t>Submitted</w:t>
            </w:r>
            <w:r>
              <w:rPr>
                <w:rFonts w:ascii="Calibri"/>
                <w:b/>
                <w:spacing w:val="-14"/>
                <w:sz w:val="24"/>
              </w:rPr>
              <w:t> </w:t>
            </w:r>
            <w:r>
              <w:rPr>
                <w:rFonts w:ascii="Calibri"/>
                <w:b/>
                <w:sz w:val="24"/>
              </w:rPr>
              <w:t>to </w:t>
            </w:r>
            <w:r>
              <w:rPr>
                <w:rFonts w:ascii="Calibri"/>
                <w:b/>
                <w:spacing w:val="-2"/>
                <w:sz w:val="24"/>
              </w:rPr>
              <w:t>MaineDOT</w:t>
            </w:r>
          </w:p>
        </w:tc>
        <w:tc>
          <w:tcPr>
            <w:tcW w:w="1830" w:type="dxa"/>
          </w:tcPr>
          <w:p>
            <w:pPr>
              <w:pStyle w:val="TableParagraph"/>
              <w:spacing w:line="240" w:lineRule="auto" w:before="78"/>
              <w:ind w:left="409" w:firstLine="139"/>
              <w:rPr>
                <w:rFonts w:ascii="Calibri"/>
                <w:b/>
                <w:sz w:val="24"/>
              </w:rPr>
            </w:pPr>
            <w:r>
              <w:rPr>
                <w:rFonts w:ascii="Calibri"/>
                <w:b/>
                <w:sz w:val="24"/>
              </w:rPr>
              <w:t>Date of </w:t>
            </w:r>
            <w:r>
              <w:rPr>
                <w:rFonts w:ascii="Calibri"/>
                <w:b/>
                <w:spacing w:val="-2"/>
                <w:sz w:val="24"/>
              </w:rPr>
              <w:t>document</w:t>
            </w:r>
          </w:p>
        </w:tc>
      </w:tr>
      <w:tr>
        <w:trPr>
          <w:trHeight w:val="494" w:hRule="atLeast"/>
        </w:trPr>
        <w:tc>
          <w:tcPr>
            <w:tcW w:w="6206" w:type="dxa"/>
          </w:tcPr>
          <w:p>
            <w:pPr>
              <w:pStyle w:val="TableParagraph"/>
              <w:spacing w:line="240" w:lineRule="auto" w:before="112"/>
              <w:ind w:left="107"/>
              <w:rPr>
                <w:rFonts w:ascii="Calibri"/>
                <w:sz w:val="22"/>
              </w:rPr>
            </w:pPr>
            <w:r>
              <w:rPr>
                <w:rFonts w:ascii="Calibri"/>
                <w:sz w:val="22"/>
              </w:rPr>
              <w:t>ADA</w:t>
            </w:r>
            <w:r>
              <w:rPr>
                <w:rFonts w:ascii="Calibri"/>
                <w:spacing w:val="-1"/>
                <w:sz w:val="22"/>
              </w:rPr>
              <w:t> </w:t>
            </w:r>
            <w:r>
              <w:rPr>
                <w:rFonts w:ascii="Calibri"/>
                <w:spacing w:val="-2"/>
                <w:sz w:val="22"/>
              </w:rPr>
              <w:t>policy</w:t>
            </w:r>
          </w:p>
        </w:tc>
        <w:tc>
          <w:tcPr>
            <w:tcW w:w="1888" w:type="dxa"/>
          </w:tcPr>
          <w:p>
            <w:pPr>
              <w:pStyle w:val="TableParagraph"/>
              <w:spacing w:line="268" w:lineRule="exact"/>
              <w:ind w:left="477"/>
              <w:rPr>
                <w:rFonts w:ascii="Calibri"/>
                <w:sz w:val="22"/>
              </w:rPr>
            </w:pPr>
            <w:r>
              <w:rPr>
                <w:rFonts w:ascii="Calibri"/>
                <w:color w:val="0000CC"/>
                <w:spacing w:val="-2"/>
                <w:sz w:val="22"/>
              </w:rPr>
              <w:t>Submitted</w:t>
            </w:r>
          </w:p>
          <w:p>
            <w:pPr>
              <w:pStyle w:val="TableParagraph"/>
              <w:spacing w:line="206" w:lineRule="exact"/>
              <w:ind w:left="566"/>
              <w:rPr>
                <w:rFonts w:ascii="Calibri"/>
                <w:sz w:val="22"/>
              </w:rPr>
            </w:pPr>
            <w:r>
              <w:rPr>
                <w:rFonts w:ascii="Calibri"/>
                <w:color w:val="0000CC"/>
                <w:spacing w:val="-2"/>
                <w:sz w:val="22"/>
              </w:rPr>
              <w:t>03/2022</w:t>
            </w:r>
          </w:p>
        </w:tc>
        <w:tc>
          <w:tcPr>
            <w:tcW w:w="1830" w:type="dxa"/>
          </w:tcPr>
          <w:p>
            <w:pPr>
              <w:pStyle w:val="TableParagraph"/>
              <w:spacing w:line="240" w:lineRule="auto" w:before="112"/>
              <w:ind w:left="122" w:right="107"/>
              <w:jc w:val="center"/>
              <w:rPr>
                <w:rFonts w:ascii="Calibri"/>
                <w:sz w:val="22"/>
              </w:rPr>
            </w:pPr>
            <w:r>
              <w:rPr>
                <w:rFonts w:ascii="Calibri"/>
                <w:color w:val="0000CC"/>
                <w:spacing w:val="-2"/>
                <w:sz w:val="22"/>
              </w:rPr>
              <w:t>09/21/2021</w:t>
            </w:r>
          </w:p>
        </w:tc>
      </w:tr>
      <w:tr>
        <w:trPr>
          <w:trHeight w:val="421" w:hRule="atLeast"/>
        </w:trPr>
        <w:tc>
          <w:tcPr>
            <w:tcW w:w="6206" w:type="dxa"/>
          </w:tcPr>
          <w:p>
            <w:pPr>
              <w:pStyle w:val="TableParagraph"/>
              <w:spacing w:line="240" w:lineRule="auto" w:before="76"/>
              <w:ind w:left="107"/>
              <w:rPr>
                <w:rFonts w:ascii="Calibri"/>
                <w:sz w:val="22"/>
              </w:rPr>
            </w:pPr>
            <w:r>
              <w:rPr>
                <w:rFonts w:ascii="Calibri"/>
                <w:sz w:val="22"/>
              </w:rPr>
              <w:t>Approved</w:t>
            </w:r>
            <w:r>
              <w:rPr>
                <w:rFonts w:ascii="Calibri"/>
                <w:spacing w:val="-7"/>
                <w:sz w:val="22"/>
              </w:rPr>
              <w:t> </w:t>
            </w:r>
            <w:r>
              <w:rPr>
                <w:rFonts w:ascii="Calibri"/>
                <w:sz w:val="22"/>
              </w:rPr>
              <w:t>Indirect</w:t>
            </w:r>
            <w:r>
              <w:rPr>
                <w:rFonts w:ascii="Calibri"/>
                <w:spacing w:val="-3"/>
                <w:sz w:val="22"/>
              </w:rPr>
              <w:t> </w:t>
            </w:r>
            <w:r>
              <w:rPr>
                <w:rFonts w:ascii="Calibri"/>
                <w:sz w:val="22"/>
              </w:rPr>
              <w:t>Cost</w:t>
            </w:r>
            <w:r>
              <w:rPr>
                <w:rFonts w:ascii="Calibri"/>
                <w:spacing w:val="-5"/>
                <w:sz w:val="22"/>
              </w:rPr>
              <w:t> </w:t>
            </w:r>
            <w:r>
              <w:rPr>
                <w:rFonts w:ascii="Calibri"/>
                <w:spacing w:val="-4"/>
                <w:sz w:val="22"/>
              </w:rPr>
              <w:t>Rate</w:t>
            </w:r>
          </w:p>
        </w:tc>
        <w:tc>
          <w:tcPr>
            <w:tcW w:w="1888" w:type="dxa"/>
          </w:tcPr>
          <w:p>
            <w:pPr>
              <w:pStyle w:val="TableParagraph"/>
              <w:spacing w:line="240" w:lineRule="auto" w:before="76"/>
              <w:ind w:left="133" w:right="122"/>
              <w:jc w:val="center"/>
              <w:rPr>
                <w:rFonts w:ascii="Calibri"/>
                <w:sz w:val="22"/>
              </w:rPr>
            </w:pPr>
            <w:r>
              <w:rPr>
                <w:rFonts w:ascii="Calibri"/>
                <w:color w:val="0000CC"/>
                <w:spacing w:val="-5"/>
                <w:sz w:val="22"/>
              </w:rPr>
              <w:t>Yes</w:t>
            </w:r>
          </w:p>
        </w:tc>
        <w:tc>
          <w:tcPr>
            <w:tcW w:w="1830" w:type="dxa"/>
          </w:tcPr>
          <w:p>
            <w:pPr>
              <w:pStyle w:val="TableParagraph"/>
              <w:spacing w:line="240" w:lineRule="auto" w:before="76"/>
              <w:ind w:left="122" w:right="110"/>
              <w:jc w:val="center"/>
              <w:rPr>
                <w:rFonts w:ascii="Calibri"/>
                <w:sz w:val="22"/>
              </w:rPr>
            </w:pPr>
            <w:r>
              <w:rPr>
                <w:rFonts w:ascii="Calibri"/>
                <w:color w:val="0000CC"/>
                <w:spacing w:val="-2"/>
                <w:sz w:val="22"/>
              </w:rPr>
              <w:t>08/10/2021##</w:t>
            </w:r>
          </w:p>
        </w:tc>
      </w:tr>
      <w:tr>
        <w:trPr>
          <w:trHeight w:val="289" w:hRule="atLeast"/>
        </w:trPr>
        <w:tc>
          <w:tcPr>
            <w:tcW w:w="6206" w:type="dxa"/>
          </w:tcPr>
          <w:p>
            <w:pPr>
              <w:pStyle w:val="TableParagraph"/>
              <w:spacing w:line="259" w:lineRule="exact" w:before="11"/>
              <w:ind w:left="107"/>
              <w:rPr>
                <w:rFonts w:ascii="Calibri"/>
                <w:sz w:val="22"/>
              </w:rPr>
            </w:pPr>
            <w:r>
              <w:rPr>
                <w:rFonts w:ascii="Calibri"/>
                <w:sz w:val="22"/>
              </w:rPr>
              <w:t>Asset</w:t>
            </w:r>
            <w:r>
              <w:rPr>
                <w:rFonts w:ascii="Calibri"/>
                <w:spacing w:val="-10"/>
                <w:sz w:val="22"/>
              </w:rPr>
              <w:t> </w:t>
            </w:r>
            <w:r>
              <w:rPr>
                <w:rFonts w:ascii="Calibri"/>
                <w:sz w:val="22"/>
              </w:rPr>
              <w:t>Management</w:t>
            </w:r>
            <w:r>
              <w:rPr>
                <w:rFonts w:ascii="Calibri"/>
                <w:spacing w:val="-10"/>
                <w:sz w:val="22"/>
              </w:rPr>
              <w:t> </w:t>
            </w:r>
            <w:r>
              <w:rPr>
                <w:rFonts w:ascii="Calibri"/>
                <w:sz w:val="22"/>
              </w:rPr>
              <w:t>Plans</w:t>
            </w:r>
            <w:r>
              <w:rPr>
                <w:rFonts w:ascii="Calibri"/>
                <w:spacing w:val="-10"/>
                <w:sz w:val="22"/>
              </w:rPr>
              <w:t> </w:t>
            </w:r>
            <w:r>
              <w:rPr>
                <w:rFonts w:ascii="Calibri"/>
                <w:sz w:val="22"/>
              </w:rPr>
              <w:t>(facilities/equipment/rolling</w:t>
            </w:r>
            <w:r>
              <w:rPr>
                <w:rFonts w:ascii="Calibri"/>
                <w:spacing w:val="-10"/>
                <w:sz w:val="22"/>
              </w:rPr>
              <w:t> </w:t>
            </w:r>
            <w:r>
              <w:rPr>
                <w:rFonts w:ascii="Calibri"/>
                <w:spacing w:val="-2"/>
                <w:sz w:val="22"/>
              </w:rPr>
              <w:t>stock)</w:t>
            </w:r>
          </w:p>
        </w:tc>
        <w:tc>
          <w:tcPr>
            <w:tcW w:w="1888" w:type="dxa"/>
          </w:tcPr>
          <w:p>
            <w:pPr>
              <w:pStyle w:val="TableParagraph"/>
              <w:spacing w:line="259" w:lineRule="exact" w:before="11"/>
              <w:ind w:left="134" w:right="121"/>
              <w:jc w:val="center"/>
              <w:rPr>
                <w:rFonts w:ascii="Calibri"/>
                <w:sz w:val="22"/>
              </w:rPr>
            </w:pPr>
            <w:r>
              <w:rPr>
                <w:rFonts w:ascii="Calibri"/>
                <w:color w:val="0000CC"/>
                <w:spacing w:val="-2"/>
                <w:sz w:val="22"/>
              </w:rPr>
              <w:t>03/15/2022</w:t>
            </w:r>
          </w:p>
        </w:tc>
        <w:tc>
          <w:tcPr>
            <w:tcW w:w="1830" w:type="dxa"/>
          </w:tcPr>
          <w:p>
            <w:pPr>
              <w:pStyle w:val="TableParagraph"/>
              <w:spacing w:line="259" w:lineRule="exact" w:before="11"/>
              <w:ind w:left="122" w:right="107"/>
              <w:jc w:val="center"/>
              <w:rPr>
                <w:rFonts w:ascii="Calibri"/>
                <w:sz w:val="22"/>
              </w:rPr>
            </w:pPr>
            <w:r>
              <w:rPr>
                <w:rFonts w:ascii="Calibri"/>
                <w:color w:val="0000CC"/>
                <w:spacing w:val="-2"/>
                <w:sz w:val="22"/>
              </w:rPr>
              <w:t>03/15/2022</w:t>
            </w:r>
          </w:p>
        </w:tc>
      </w:tr>
      <w:tr>
        <w:trPr>
          <w:trHeight w:val="251" w:hRule="atLeast"/>
        </w:trPr>
        <w:tc>
          <w:tcPr>
            <w:tcW w:w="6206" w:type="dxa"/>
          </w:tcPr>
          <w:p>
            <w:pPr>
              <w:pStyle w:val="TableParagraph"/>
              <w:spacing w:line="232" w:lineRule="exact"/>
              <w:ind w:left="107"/>
              <w:rPr>
                <w:rFonts w:ascii="Calibri"/>
                <w:sz w:val="22"/>
              </w:rPr>
            </w:pPr>
            <w:r>
              <w:rPr>
                <w:rFonts w:ascii="Calibri"/>
                <w:sz w:val="22"/>
              </w:rPr>
              <w:t>Complaint</w:t>
            </w:r>
            <w:r>
              <w:rPr>
                <w:rFonts w:ascii="Calibri"/>
                <w:spacing w:val="-6"/>
                <w:sz w:val="22"/>
              </w:rPr>
              <w:t> </w:t>
            </w:r>
            <w:r>
              <w:rPr>
                <w:rFonts w:ascii="Calibri"/>
                <w:sz w:val="22"/>
              </w:rPr>
              <w:t>Resolution</w:t>
            </w:r>
            <w:r>
              <w:rPr>
                <w:rFonts w:ascii="Calibri"/>
                <w:spacing w:val="-7"/>
                <w:sz w:val="22"/>
              </w:rPr>
              <w:t> </w:t>
            </w:r>
            <w:r>
              <w:rPr>
                <w:rFonts w:ascii="Calibri"/>
                <w:sz w:val="22"/>
              </w:rPr>
              <w:t>Officer</w:t>
            </w:r>
            <w:r>
              <w:rPr>
                <w:rFonts w:ascii="Calibri"/>
                <w:spacing w:val="-7"/>
                <w:sz w:val="22"/>
              </w:rPr>
              <w:t> </w:t>
            </w:r>
            <w:r>
              <w:rPr>
                <w:rFonts w:ascii="Calibri"/>
                <w:sz w:val="22"/>
              </w:rPr>
              <w:t>Policy</w:t>
            </w:r>
            <w:r>
              <w:rPr>
                <w:rFonts w:ascii="Calibri"/>
                <w:spacing w:val="-6"/>
                <w:sz w:val="22"/>
              </w:rPr>
              <w:t> </w:t>
            </w:r>
            <w:r>
              <w:rPr>
                <w:rFonts w:ascii="Calibri"/>
                <w:sz w:val="22"/>
              </w:rPr>
              <w:t>(Ferry</w:t>
            </w:r>
            <w:r>
              <w:rPr>
                <w:rFonts w:ascii="Calibri"/>
                <w:spacing w:val="-5"/>
                <w:sz w:val="22"/>
              </w:rPr>
              <w:t> </w:t>
            </w:r>
            <w:r>
              <w:rPr>
                <w:rFonts w:ascii="Calibri"/>
                <w:sz w:val="22"/>
              </w:rPr>
              <w:t>Service</w:t>
            </w:r>
            <w:r>
              <w:rPr>
                <w:rFonts w:ascii="Calibri"/>
                <w:spacing w:val="-8"/>
                <w:sz w:val="22"/>
              </w:rPr>
              <w:t> </w:t>
            </w:r>
            <w:r>
              <w:rPr>
                <w:rFonts w:ascii="Calibri"/>
                <w:spacing w:val="-4"/>
                <w:sz w:val="22"/>
              </w:rPr>
              <w:t>only)</w:t>
            </w:r>
          </w:p>
        </w:tc>
        <w:tc>
          <w:tcPr>
            <w:tcW w:w="1888" w:type="dxa"/>
          </w:tcPr>
          <w:p>
            <w:pPr>
              <w:pStyle w:val="TableParagraph"/>
              <w:spacing w:line="232" w:lineRule="exact"/>
              <w:ind w:left="131" w:right="122"/>
              <w:jc w:val="center"/>
              <w:rPr>
                <w:rFonts w:ascii="Calibri"/>
                <w:sz w:val="22"/>
              </w:rPr>
            </w:pPr>
            <w:r>
              <w:rPr>
                <w:rFonts w:ascii="Calibri"/>
                <w:color w:val="0000CC"/>
                <w:spacing w:val="-5"/>
                <w:sz w:val="22"/>
              </w:rPr>
              <w:t>NA</w:t>
            </w:r>
          </w:p>
        </w:tc>
        <w:tc>
          <w:tcPr>
            <w:tcW w:w="1830" w:type="dxa"/>
          </w:tcPr>
          <w:p>
            <w:pPr>
              <w:pStyle w:val="TableParagraph"/>
              <w:spacing w:line="232" w:lineRule="exact"/>
              <w:ind w:left="122" w:right="111"/>
              <w:jc w:val="center"/>
              <w:rPr>
                <w:rFonts w:ascii="Calibri"/>
                <w:sz w:val="22"/>
              </w:rPr>
            </w:pPr>
            <w:r>
              <w:rPr>
                <w:rFonts w:ascii="Calibri"/>
                <w:color w:val="0000CC"/>
                <w:spacing w:val="-5"/>
                <w:sz w:val="22"/>
              </w:rPr>
              <w:t>NA</w:t>
            </w:r>
          </w:p>
        </w:tc>
      </w:tr>
      <w:tr>
        <w:trPr>
          <w:trHeight w:val="340" w:hRule="atLeast"/>
        </w:trPr>
        <w:tc>
          <w:tcPr>
            <w:tcW w:w="6206" w:type="dxa"/>
          </w:tcPr>
          <w:p>
            <w:pPr>
              <w:pStyle w:val="TableParagraph"/>
              <w:spacing w:line="240" w:lineRule="auto" w:before="35"/>
              <w:ind w:left="107"/>
              <w:rPr>
                <w:rFonts w:ascii="Calibri"/>
                <w:sz w:val="22"/>
              </w:rPr>
            </w:pPr>
            <w:r>
              <w:rPr>
                <w:rFonts w:ascii="Calibri"/>
                <w:sz w:val="22"/>
              </w:rPr>
              <w:t>Contracts/Subcontracts</w:t>
            </w:r>
            <w:r>
              <w:rPr>
                <w:rFonts w:ascii="Calibri"/>
                <w:spacing w:val="-5"/>
                <w:sz w:val="22"/>
              </w:rPr>
              <w:t> </w:t>
            </w:r>
            <w:r>
              <w:rPr>
                <w:rFonts w:ascii="Calibri"/>
                <w:sz w:val="22"/>
              </w:rPr>
              <w:t>not</w:t>
            </w:r>
            <w:r>
              <w:rPr>
                <w:rFonts w:ascii="Calibri"/>
                <w:spacing w:val="-4"/>
                <w:sz w:val="22"/>
              </w:rPr>
              <w:t> </w:t>
            </w:r>
            <w:r>
              <w:rPr>
                <w:rFonts w:ascii="Calibri"/>
                <w:sz w:val="22"/>
              </w:rPr>
              <w:t>already</w:t>
            </w:r>
            <w:r>
              <w:rPr>
                <w:rFonts w:ascii="Calibri"/>
                <w:spacing w:val="-6"/>
                <w:sz w:val="22"/>
              </w:rPr>
              <w:t> </w:t>
            </w:r>
            <w:r>
              <w:rPr>
                <w:rFonts w:ascii="Calibri"/>
                <w:sz w:val="22"/>
              </w:rPr>
              <w:t>on</w:t>
            </w:r>
            <w:r>
              <w:rPr>
                <w:rFonts w:ascii="Calibri"/>
                <w:spacing w:val="-8"/>
                <w:sz w:val="22"/>
              </w:rPr>
              <w:t> </w:t>
            </w:r>
            <w:r>
              <w:rPr>
                <w:rFonts w:ascii="Calibri"/>
                <w:sz w:val="22"/>
              </w:rPr>
              <w:t>file</w:t>
            </w:r>
            <w:r>
              <w:rPr>
                <w:rFonts w:ascii="Calibri"/>
                <w:spacing w:val="-4"/>
                <w:sz w:val="22"/>
              </w:rPr>
              <w:t> </w:t>
            </w:r>
            <w:r>
              <w:rPr>
                <w:rFonts w:ascii="Calibri"/>
                <w:sz w:val="22"/>
              </w:rPr>
              <w:t>at</w:t>
            </w:r>
            <w:r>
              <w:rPr>
                <w:rFonts w:ascii="Calibri"/>
                <w:spacing w:val="-3"/>
                <w:sz w:val="22"/>
              </w:rPr>
              <w:t> </w:t>
            </w:r>
            <w:r>
              <w:rPr>
                <w:rFonts w:ascii="Calibri"/>
                <w:spacing w:val="-2"/>
                <w:sz w:val="22"/>
              </w:rPr>
              <w:t>MaineDOT</w:t>
            </w:r>
          </w:p>
        </w:tc>
        <w:tc>
          <w:tcPr>
            <w:tcW w:w="1888" w:type="dxa"/>
          </w:tcPr>
          <w:p>
            <w:pPr>
              <w:pStyle w:val="TableParagraph"/>
              <w:spacing w:line="240" w:lineRule="auto" w:before="35"/>
              <w:ind w:left="131" w:right="122"/>
              <w:jc w:val="center"/>
              <w:rPr>
                <w:rFonts w:ascii="Calibri"/>
                <w:sz w:val="22"/>
              </w:rPr>
            </w:pPr>
            <w:r>
              <w:rPr>
                <w:rFonts w:ascii="Calibri"/>
                <w:color w:val="0000CC"/>
                <w:spacing w:val="-5"/>
                <w:sz w:val="22"/>
              </w:rPr>
              <w:t>NA</w:t>
            </w:r>
          </w:p>
        </w:tc>
        <w:tc>
          <w:tcPr>
            <w:tcW w:w="1830" w:type="dxa"/>
          </w:tcPr>
          <w:p>
            <w:pPr>
              <w:pStyle w:val="TableParagraph"/>
              <w:spacing w:line="240" w:lineRule="auto" w:before="35"/>
              <w:ind w:left="122" w:right="111"/>
              <w:jc w:val="center"/>
              <w:rPr>
                <w:rFonts w:ascii="Calibri"/>
                <w:sz w:val="22"/>
              </w:rPr>
            </w:pPr>
            <w:r>
              <w:rPr>
                <w:rFonts w:ascii="Calibri"/>
                <w:color w:val="0000CC"/>
                <w:spacing w:val="-5"/>
                <w:sz w:val="22"/>
              </w:rPr>
              <w:t>NA</w:t>
            </w:r>
          </w:p>
        </w:tc>
      </w:tr>
      <w:tr>
        <w:trPr>
          <w:trHeight w:val="342" w:hRule="atLeast"/>
        </w:trPr>
        <w:tc>
          <w:tcPr>
            <w:tcW w:w="6206" w:type="dxa"/>
          </w:tcPr>
          <w:p>
            <w:pPr>
              <w:pStyle w:val="TableParagraph"/>
              <w:spacing w:line="240" w:lineRule="auto" w:before="37"/>
              <w:ind w:left="107"/>
              <w:rPr>
                <w:rFonts w:ascii="Calibri"/>
                <w:sz w:val="22"/>
              </w:rPr>
            </w:pPr>
            <w:r>
              <w:rPr>
                <w:rFonts w:ascii="Calibri"/>
                <w:sz w:val="22"/>
              </w:rPr>
              <w:t>Cost</w:t>
            </w:r>
            <w:r>
              <w:rPr>
                <w:rFonts w:ascii="Calibri"/>
                <w:spacing w:val="-5"/>
                <w:sz w:val="22"/>
              </w:rPr>
              <w:t> </w:t>
            </w:r>
            <w:r>
              <w:rPr>
                <w:rFonts w:ascii="Calibri"/>
                <w:sz w:val="22"/>
              </w:rPr>
              <w:t>Allocation</w:t>
            </w:r>
            <w:r>
              <w:rPr>
                <w:rFonts w:ascii="Calibri"/>
                <w:spacing w:val="-6"/>
                <w:sz w:val="22"/>
              </w:rPr>
              <w:t> </w:t>
            </w:r>
            <w:r>
              <w:rPr>
                <w:rFonts w:ascii="Calibri"/>
                <w:spacing w:val="-4"/>
                <w:sz w:val="22"/>
              </w:rPr>
              <w:t>Plan</w:t>
            </w:r>
          </w:p>
        </w:tc>
        <w:tc>
          <w:tcPr>
            <w:tcW w:w="1888" w:type="dxa"/>
          </w:tcPr>
          <w:p>
            <w:pPr>
              <w:pStyle w:val="TableParagraph"/>
              <w:spacing w:line="240" w:lineRule="auto" w:before="37"/>
              <w:ind w:left="130" w:right="122"/>
              <w:jc w:val="center"/>
              <w:rPr>
                <w:rFonts w:ascii="Calibri"/>
                <w:sz w:val="22"/>
              </w:rPr>
            </w:pPr>
            <w:r>
              <w:rPr>
                <w:rFonts w:ascii="Calibri"/>
                <w:color w:val="0000CC"/>
                <w:spacing w:val="-2"/>
                <w:sz w:val="22"/>
              </w:rPr>
              <w:t>03/2022</w:t>
            </w:r>
          </w:p>
        </w:tc>
        <w:tc>
          <w:tcPr>
            <w:tcW w:w="1830" w:type="dxa"/>
          </w:tcPr>
          <w:p>
            <w:pPr>
              <w:pStyle w:val="TableParagraph"/>
              <w:spacing w:line="240" w:lineRule="auto" w:before="37"/>
              <w:ind w:left="122" w:right="110"/>
              <w:jc w:val="center"/>
              <w:rPr>
                <w:rFonts w:ascii="Calibri"/>
                <w:sz w:val="22"/>
              </w:rPr>
            </w:pPr>
            <w:r>
              <w:rPr>
                <w:rFonts w:ascii="Calibri"/>
                <w:color w:val="0000CC"/>
                <w:spacing w:val="-2"/>
                <w:sz w:val="22"/>
              </w:rPr>
              <w:t>10/2021##</w:t>
            </w:r>
          </w:p>
        </w:tc>
      </w:tr>
      <w:tr>
        <w:trPr>
          <w:trHeight w:val="280" w:hRule="atLeast"/>
        </w:trPr>
        <w:tc>
          <w:tcPr>
            <w:tcW w:w="6206" w:type="dxa"/>
          </w:tcPr>
          <w:p>
            <w:pPr>
              <w:pStyle w:val="TableParagraph"/>
              <w:spacing w:line="256" w:lineRule="exact" w:before="4"/>
              <w:ind w:left="107"/>
              <w:rPr>
                <w:rFonts w:ascii="Calibri"/>
                <w:sz w:val="22"/>
              </w:rPr>
            </w:pPr>
            <w:r>
              <w:rPr>
                <w:rFonts w:ascii="Calibri"/>
                <w:sz w:val="22"/>
              </w:rPr>
              <w:t>Customer</w:t>
            </w:r>
            <w:r>
              <w:rPr>
                <w:rFonts w:ascii="Calibri"/>
                <w:spacing w:val="-7"/>
                <w:sz w:val="22"/>
              </w:rPr>
              <w:t> </w:t>
            </w:r>
            <w:r>
              <w:rPr>
                <w:rFonts w:ascii="Calibri"/>
                <w:sz w:val="22"/>
              </w:rPr>
              <w:t>Complaint</w:t>
            </w:r>
            <w:r>
              <w:rPr>
                <w:rFonts w:ascii="Calibri"/>
                <w:spacing w:val="-7"/>
                <w:sz w:val="22"/>
              </w:rPr>
              <w:t> </w:t>
            </w:r>
            <w:r>
              <w:rPr>
                <w:rFonts w:ascii="Calibri"/>
                <w:spacing w:val="-2"/>
                <w:sz w:val="22"/>
              </w:rPr>
              <w:t>Policy/Form</w:t>
            </w:r>
          </w:p>
        </w:tc>
        <w:tc>
          <w:tcPr>
            <w:tcW w:w="1888" w:type="dxa"/>
          </w:tcPr>
          <w:p>
            <w:pPr>
              <w:pStyle w:val="TableParagraph"/>
              <w:spacing w:line="256" w:lineRule="exact" w:before="4"/>
              <w:ind w:left="134" w:right="122"/>
              <w:jc w:val="center"/>
              <w:rPr>
                <w:rFonts w:ascii="Calibri"/>
                <w:sz w:val="22"/>
              </w:rPr>
            </w:pPr>
            <w:r>
              <w:rPr>
                <w:rFonts w:ascii="Calibri"/>
                <w:color w:val="0000CC"/>
                <w:spacing w:val="-2"/>
                <w:sz w:val="22"/>
              </w:rPr>
              <w:t>Included</w:t>
            </w:r>
          </w:p>
        </w:tc>
        <w:tc>
          <w:tcPr>
            <w:tcW w:w="1830" w:type="dxa"/>
          </w:tcPr>
          <w:p>
            <w:pPr>
              <w:pStyle w:val="TableParagraph"/>
              <w:spacing w:line="256" w:lineRule="exact" w:before="4"/>
              <w:ind w:left="122" w:right="107"/>
              <w:jc w:val="center"/>
              <w:rPr>
                <w:rFonts w:ascii="Calibri"/>
                <w:sz w:val="22"/>
              </w:rPr>
            </w:pPr>
            <w:r>
              <w:rPr>
                <w:rFonts w:ascii="Calibri"/>
                <w:color w:val="0000CC"/>
                <w:spacing w:val="-2"/>
                <w:sz w:val="22"/>
              </w:rPr>
              <w:t>06/19/2014</w:t>
            </w:r>
          </w:p>
        </w:tc>
      </w:tr>
      <w:tr>
        <w:trPr>
          <w:trHeight w:val="258" w:hRule="atLeast"/>
        </w:trPr>
        <w:tc>
          <w:tcPr>
            <w:tcW w:w="6206" w:type="dxa"/>
          </w:tcPr>
          <w:p>
            <w:pPr>
              <w:pStyle w:val="TableParagraph"/>
              <w:spacing w:line="239" w:lineRule="exact"/>
              <w:ind w:left="107"/>
              <w:rPr>
                <w:rFonts w:ascii="Calibri"/>
                <w:sz w:val="22"/>
              </w:rPr>
            </w:pPr>
            <w:r>
              <w:rPr>
                <w:rFonts w:ascii="Calibri"/>
                <w:sz w:val="22"/>
              </w:rPr>
              <w:t>Drug</w:t>
            </w:r>
            <w:r>
              <w:rPr>
                <w:rFonts w:ascii="Calibri"/>
                <w:spacing w:val="-4"/>
                <w:sz w:val="22"/>
              </w:rPr>
              <w:t> </w:t>
            </w:r>
            <w:r>
              <w:rPr>
                <w:rFonts w:ascii="Calibri"/>
                <w:sz w:val="22"/>
              </w:rPr>
              <w:t>and</w:t>
            </w:r>
            <w:r>
              <w:rPr>
                <w:rFonts w:ascii="Calibri"/>
                <w:spacing w:val="-4"/>
                <w:sz w:val="22"/>
              </w:rPr>
              <w:t> </w:t>
            </w:r>
            <w:r>
              <w:rPr>
                <w:rFonts w:ascii="Calibri"/>
                <w:sz w:val="22"/>
              </w:rPr>
              <w:t>Alcohol</w:t>
            </w:r>
            <w:r>
              <w:rPr>
                <w:rFonts w:ascii="Calibri"/>
                <w:spacing w:val="-5"/>
                <w:sz w:val="22"/>
              </w:rPr>
              <w:t> </w:t>
            </w:r>
            <w:r>
              <w:rPr>
                <w:rFonts w:ascii="Calibri"/>
                <w:spacing w:val="-2"/>
                <w:sz w:val="22"/>
              </w:rPr>
              <w:t>Policy</w:t>
            </w:r>
          </w:p>
        </w:tc>
        <w:tc>
          <w:tcPr>
            <w:tcW w:w="1888" w:type="dxa"/>
          </w:tcPr>
          <w:p>
            <w:pPr>
              <w:pStyle w:val="TableParagraph"/>
              <w:spacing w:line="239" w:lineRule="exact"/>
              <w:ind w:left="134" w:right="122"/>
              <w:jc w:val="center"/>
              <w:rPr>
                <w:rFonts w:ascii="Calibri"/>
                <w:sz w:val="22"/>
              </w:rPr>
            </w:pPr>
            <w:r>
              <w:rPr>
                <w:rFonts w:ascii="Calibri"/>
                <w:color w:val="0000CC"/>
                <w:spacing w:val="-2"/>
                <w:sz w:val="22"/>
              </w:rPr>
              <w:t>Included</w:t>
            </w:r>
          </w:p>
        </w:tc>
        <w:tc>
          <w:tcPr>
            <w:tcW w:w="1830" w:type="dxa"/>
          </w:tcPr>
          <w:p>
            <w:pPr>
              <w:pStyle w:val="TableParagraph"/>
              <w:spacing w:line="239" w:lineRule="exact"/>
              <w:ind w:left="122" w:right="110"/>
              <w:jc w:val="center"/>
              <w:rPr>
                <w:rFonts w:ascii="Calibri"/>
                <w:sz w:val="22"/>
              </w:rPr>
            </w:pPr>
            <w:r>
              <w:rPr>
                <w:rFonts w:ascii="Calibri"/>
                <w:color w:val="0000CC"/>
                <w:spacing w:val="-2"/>
                <w:sz w:val="22"/>
              </w:rPr>
              <w:t>*03/30/2023*</w:t>
            </w:r>
          </w:p>
        </w:tc>
      </w:tr>
      <w:tr>
        <w:trPr>
          <w:trHeight w:val="244" w:hRule="atLeast"/>
        </w:trPr>
        <w:tc>
          <w:tcPr>
            <w:tcW w:w="6206" w:type="dxa"/>
          </w:tcPr>
          <w:p>
            <w:pPr>
              <w:pStyle w:val="TableParagraph"/>
              <w:spacing w:line="223" w:lineRule="exact" w:before="1"/>
              <w:ind w:left="107"/>
              <w:rPr>
                <w:rFonts w:ascii="Calibri"/>
                <w:sz w:val="22"/>
              </w:rPr>
            </w:pPr>
            <w:r>
              <w:rPr>
                <w:rFonts w:ascii="Calibri"/>
                <w:sz w:val="22"/>
              </w:rPr>
              <w:t>EEO</w:t>
            </w:r>
            <w:r>
              <w:rPr>
                <w:rFonts w:ascii="Calibri"/>
                <w:spacing w:val="-2"/>
                <w:sz w:val="22"/>
              </w:rPr>
              <w:t> Policy</w:t>
            </w:r>
          </w:p>
        </w:tc>
        <w:tc>
          <w:tcPr>
            <w:tcW w:w="1888" w:type="dxa"/>
          </w:tcPr>
          <w:p>
            <w:pPr>
              <w:pStyle w:val="TableParagraph"/>
              <w:spacing w:line="223" w:lineRule="exact" w:before="1"/>
              <w:ind w:left="134" w:right="122"/>
              <w:jc w:val="center"/>
              <w:rPr>
                <w:rFonts w:ascii="Calibri"/>
                <w:sz w:val="22"/>
              </w:rPr>
            </w:pPr>
            <w:r>
              <w:rPr>
                <w:rFonts w:ascii="Calibri"/>
                <w:color w:val="0000CC"/>
                <w:spacing w:val="-2"/>
                <w:sz w:val="22"/>
              </w:rPr>
              <w:t>Included</w:t>
            </w:r>
          </w:p>
        </w:tc>
        <w:tc>
          <w:tcPr>
            <w:tcW w:w="1830" w:type="dxa"/>
          </w:tcPr>
          <w:p>
            <w:pPr>
              <w:pStyle w:val="TableParagraph"/>
              <w:spacing w:line="223" w:lineRule="exact" w:before="1"/>
              <w:ind w:left="122" w:right="109"/>
              <w:jc w:val="center"/>
              <w:rPr>
                <w:rFonts w:ascii="Calibri"/>
                <w:sz w:val="22"/>
              </w:rPr>
            </w:pPr>
            <w:r>
              <w:rPr>
                <w:rFonts w:ascii="Calibri"/>
                <w:color w:val="0000CC"/>
                <w:spacing w:val="-2"/>
                <w:sz w:val="22"/>
              </w:rPr>
              <w:t>03/20/2023##</w:t>
            </w:r>
          </w:p>
        </w:tc>
      </w:tr>
      <w:tr>
        <w:trPr>
          <w:trHeight w:val="738" w:hRule="atLeast"/>
        </w:trPr>
        <w:tc>
          <w:tcPr>
            <w:tcW w:w="6206" w:type="dxa"/>
          </w:tcPr>
          <w:p>
            <w:pPr>
              <w:pStyle w:val="TableParagraph"/>
              <w:spacing w:line="240" w:lineRule="auto" w:before="2"/>
              <w:rPr>
                <w:rFonts w:ascii="Calibri"/>
                <w:sz w:val="19"/>
              </w:rPr>
            </w:pPr>
          </w:p>
          <w:p>
            <w:pPr>
              <w:pStyle w:val="TableParagraph"/>
              <w:spacing w:line="240" w:lineRule="auto"/>
              <w:ind w:left="107"/>
              <w:rPr>
                <w:rFonts w:ascii="Calibri"/>
                <w:sz w:val="22"/>
              </w:rPr>
            </w:pPr>
            <w:r>
              <w:rPr>
                <w:rFonts w:ascii="Calibri"/>
                <w:sz w:val="22"/>
              </w:rPr>
              <w:t>Ethics/Conflict</w:t>
            </w:r>
            <w:r>
              <w:rPr>
                <w:rFonts w:ascii="Calibri"/>
                <w:spacing w:val="-6"/>
                <w:sz w:val="22"/>
              </w:rPr>
              <w:t> </w:t>
            </w:r>
            <w:r>
              <w:rPr>
                <w:rFonts w:ascii="Calibri"/>
                <w:sz w:val="22"/>
              </w:rPr>
              <w:t>of</w:t>
            </w:r>
            <w:r>
              <w:rPr>
                <w:rFonts w:ascii="Calibri"/>
                <w:spacing w:val="-6"/>
                <w:sz w:val="22"/>
              </w:rPr>
              <w:t> </w:t>
            </w:r>
            <w:r>
              <w:rPr>
                <w:rFonts w:ascii="Calibri"/>
                <w:sz w:val="22"/>
              </w:rPr>
              <w:t>Interest</w:t>
            </w:r>
            <w:r>
              <w:rPr>
                <w:rFonts w:ascii="Calibri"/>
                <w:spacing w:val="-5"/>
                <w:sz w:val="22"/>
              </w:rPr>
              <w:t> </w:t>
            </w:r>
            <w:r>
              <w:rPr>
                <w:rFonts w:ascii="Calibri"/>
                <w:spacing w:val="-2"/>
                <w:sz w:val="22"/>
              </w:rPr>
              <w:t>Policy</w:t>
            </w:r>
          </w:p>
        </w:tc>
        <w:tc>
          <w:tcPr>
            <w:tcW w:w="1888" w:type="dxa"/>
          </w:tcPr>
          <w:p>
            <w:pPr>
              <w:pStyle w:val="TableParagraph"/>
              <w:spacing w:line="240" w:lineRule="auto"/>
              <w:ind w:left="384" w:right="373" w:firstLine="2"/>
              <w:jc w:val="center"/>
              <w:rPr>
                <w:rFonts w:ascii="Calibri"/>
                <w:sz w:val="22"/>
              </w:rPr>
            </w:pPr>
            <w:r>
              <w:rPr>
                <w:rFonts w:ascii="Calibri"/>
                <w:color w:val="0000CC"/>
                <w:sz w:val="22"/>
              </w:rPr>
              <w:t>In</w:t>
            </w:r>
            <w:r>
              <w:rPr>
                <w:rFonts w:ascii="Calibri"/>
                <w:color w:val="0000CC"/>
                <w:spacing w:val="-13"/>
                <w:sz w:val="22"/>
              </w:rPr>
              <w:t> </w:t>
            </w:r>
            <w:r>
              <w:rPr>
                <w:rFonts w:ascii="Calibri"/>
                <w:color w:val="0000CC"/>
                <w:sz w:val="22"/>
              </w:rPr>
              <w:t>Personnel Policy</w:t>
            </w:r>
            <w:r>
              <w:rPr>
                <w:rFonts w:ascii="Calibri"/>
                <w:color w:val="0000CC"/>
                <w:spacing w:val="-4"/>
                <w:sz w:val="22"/>
              </w:rPr>
              <w:t> </w:t>
            </w:r>
            <w:r>
              <w:rPr>
                <w:rFonts w:ascii="Calibri"/>
                <w:color w:val="0000CC"/>
                <w:sz w:val="22"/>
              </w:rPr>
              <w:t>Pg.</w:t>
            </w:r>
            <w:r>
              <w:rPr>
                <w:rFonts w:ascii="Calibri"/>
                <w:color w:val="0000CC"/>
                <w:spacing w:val="-1"/>
                <w:sz w:val="22"/>
              </w:rPr>
              <w:t> </w:t>
            </w:r>
            <w:r>
              <w:rPr>
                <w:rFonts w:ascii="Calibri"/>
                <w:color w:val="0000CC"/>
                <w:spacing w:val="-5"/>
                <w:sz w:val="22"/>
              </w:rPr>
              <w:t>15</w:t>
            </w:r>
          </w:p>
          <w:p>
            <w:pPr>
              <w:pStyle w:val="TableParagraph"/>
              <w:spacing w:line="182" w:lineRule="exact"/>
              <w:ind w:left="134" w:right="122"/>
              <w:jc w:val="center"/>
              <w:rPr>
                <w:rFonts w:ascii="Calibri"/>
                <w:sz w:val="22"/>
              </w:rPr>
            </w:pPr>
            <w:r>
              <w:rPr>
                <w:rFonts w:ascii="Calibri"/>
                <w:color w:val="0000CC"/>
                <w:spacing w:val="-2"/>
                <w:sz w:val="22"/>
              </w:rPr>
              <w:t>attached</w:t>
            </w:r>
          </w:p>
        </w:tc>
        <w:tc>
          <w:tcPr>
            <w:tcW w:w="1830" w:type="dxa"/>
          </w:tcPr>
          <w:p>
            <w:pPr>
              <w:pStyle w:val="TableParagraph"/>
              <w:spacing w:line="240" w:lineRule="auto" w:before="100"/>
              <w:ind w:left="385" w:hanging="190"/>
              <w:rPr>
                <w:rFonts w:ascii="Calibri"/>
                <w:sz w:val="22"/>
              </w:rPr>
            </w:pPr>
            <w:r>
              <w:rPr>
                <w:rFonts w:ascii="Calibri"/>
                <w:color w:val="0000CC"/>
                <w:sz w:val="22"/>
              </w:rPr>
              <w:t>Last</w:t>
            </w:r>
            <w:r>
              <w:rPr>
                <w:rFonts w:ascii="Calibri"/>
                <w:color w:val="0000CC"/>
                <w:spacing w:val="-13"/>
                <w:sz w:val="22"/>
              </w:rPr>
              <w:t> </w:t>
            </w:r>
            <w:r>
              <w:rPr>
                <w:rFonts w:ascii="Calibri"/>
                <w:color w:val="0000CC"/>
                <w:sz w:val="22"/>
              </w:rPr>
              <w:t>update</w:t>
            </w:r>
            <w:r>
              <w:rPr>
                <w:rFonts w:ascii="Calibri"/>
                <w:color w:val="0000CC"/>
                <w:spacing w:val="-12"/>
                <w:sz w:val="22"/>
              </w:rPr>
              <w:t> </w:t>
            </w:r>
            <w:r>
              <w:rPr>
                <w:rFonts w:ascii="Calibri"/>
                <w:color w:val="0000CC"/>
                <w:sz w:val="22"/>
              </w:rPr>
              <w:t>was </w:t>
            </w:r>
            <w:r>
              <w:rPr>
                <w:rFonts w:ascii="Calibri"/>
                <w:color w:val="0000CC"/>
                <w:spacing w:val="-2"/>
                <w:sz w:val="22"/>
              </w:rPr>
              <w:t>12/14/2022</w:t>
            </w:r>
          </w:p>
        </w:tc>
      </w:tr>
      <w:tr>
        <w:trPr>
          <w:trHeight w:val="582" w:hRule="atLeast"/>
        </w:trPr>
        <w:tc>
          <w:tcPr>
            <w:tcW w:w="6206" w:type="dxa"/>
          </w:tcPr>
          <w:p>
            <w:pPr>
              <w:pStyle w:val="TableParagraph"/>
              <w:spacing w:line="240" w:lineRule="auto" w:before="157"/>
              <w:ind w:left="107"/>
              <w:rPr>
                <w:rFonts w:ascii="Calibri"/>
                <w:sz w:val="22"/>
              </w:rPr>
            </w:pPr>
            <w:r>
              <w:rPr>
                <w:rFonts w:ascii="Calibri"/>
                <w:sz w:val="22"/>
              </w:rPr>
              <w:t>Financial/Accounting</w:t>
            </w:r>
            <w:r>
              <w:rPr>
                <w:rFonts w:ascii="Calibri"/>
                <w:spacing w:val="-9"/>
                <w:sz w:val="22"/>
              </w:rPr>
              <w:t> </w:t>
            </w:r>
            <w:r>
              <w:rPr>
                <w:rFonts w:ascii="Calibri"/>
                <w:sz w:val="22"/>
              </w:rPr>
              <w:t>Policies</w:t>
            </w:r>
            <w:r>
              <w:rPr>
                <w:rFonts w:ascii="Calibri"/>
                <w:spacing w:val="-7"/>
                <w:sz w:val="22"/>
              </w:rPr>
              <w:t> </w:t>
            </w:r>
            <w:r>
              <w:rPr>
                <w:rFonts w:ascii="Calibri"/>
                <w:sz w:val="22"/>
              </w:rPr>
              <w:t>and</w:t>
            </w:r>
            <w:r>
              <w:rPr>
                <w:rFonts w:ascii="Calibri"/>
                <w:spacing w:val="-8"/>
                <w:sz w:val="22"/>
              </w:rPr>
              <w:t> </w:t>
            </w:r>
            <w:r>
              <w:rPr>
                <w:rFonts w:ascii="Calibri"/>
                <w:spacing w:val="-2"/>
                <w:sz w:val="22"/>
              </w:rPr>
              <w:t>Procedures</w:t>
            </w:r>
          </w:p>
        </w:tc>
        <w:tc>
          <w:tcPr>
            <w:tcW w:w="1888" w:type="dxa"/>
          </w:tcPr>
          <w:p>
            <w:pPr>
              <w:pStyle w:val="TableParagraph"/>
              <w:spacing w:line="237" w:lineRule="auto" w:before="25"/>
              <w:ind w:left="485" w:right="276" w:hanging="8"/>
              <w:rPr>
                <w:rFonts w:ascii="Calibri"/>
                <w:sz w:val="22"/>
              </w:rPr>
            </w:pPr>
            <w:r>
              <w:rPr>
                <w:rFonts w:ascii="Calibri"/>
                <w:color w:val="0000CC"/>
                <w:spacing w:val="-2"/>
                <w:sz w:val="22"/>
              </w:rPr>
              <w:t>Submitted previously</w:t>
            </w:r>
          </w:p>
        </w:tc>
        <w:tc>
          <w:tcPr>
            <w:tcW w:w="1830" w:type="dxa"/>
          </w:tcPr>
          <w:p>
            <w:pPr>
              <w:pStyle w:val="TableParagraph"/>
              <w:spacing w:line="240" w:lineRule="auto" w:before="157"/>
              <w:ind w:left="122" w:right="107"/>
              <w:jc w:val="center"/>
              <w:rPr>
                <w:rFonts w:ascii="Calibri"/>
                <w:sz w:val="22"/>
              </w:rPr>
            </w:pPr>
            <w:r>
              <w:rPr>
                <w:rFonts w:ascii="Calibri"/>
                <w:color w:val="0000CC"/>
                <w:spacing w:val="-2"/>
                <w:sz w:val="22"/>
              </w:rPr>
              <w:t>12/15/2021</w:t>
            </w:r>
          </w:p>
        </w:tc>
      </w:tr>
      <w:tr>
        <w:trPr>
          <w:trHeight w:val="549" w:hRule="atLeast"/>
        </w:trPr>
        <w:tc>
          <w:tcPr>
            <w:tcW w:w="6206" w:type="dxa"/>
          </w:tcPr>
          <w:p>
            <w:pPr>
              <w:pStyle w:val="TableParagraph"/>
              <w:spacing w:line="240" w:lineRule="auto" w:before="140"/>
              <w:ind w:left="107"/>
              <w:rPr>
                <w:rFonts w:ascii="Calibri"/>
                <w:sz w:val="22"/>
              </w:rPr>
            </w:pPr>
            <w:r>
              <w:rPr>
                <w:rFonts w:ascii="Calibri"/>
                <w:sz w:val="22"/>
              </w:rPr>
              <w:t>In-Kind</w:t>
            </w:r>
            <w:r>
              <w:rPr>
                <w:rFonts w:ascii="Calibri"/>
                <w:spacing w:val="-9"/>
                <w:sz w:val="22"/>
              </w:rPr>
              <w:t> </w:t>
            </w:r>
            <w:r>
              <w:rPr>
                <w:rFonts w:ascii="Calibri"/>
                <w:sz w:val="22"/>
              </w:rPr>
              <w:t>Valuation</w:t>
            </w:r>
            <w:r>
              <w:rPr>
                <w:rFonts w:ascii="Calibri"/>
                <w:spacing w:val="-7"/>
                <w:sz w:val="22"/>
              </w:rPr>
              <w:t> </w:t>
            </w:r>
            <w:r>
              <w:rPr>
                <w:rFonts w:ascii="Calibri"/>
                <w:spacing w:val="-2"/>
                <w:sz w:val="22"/>
              </w:rPr>
              <w:t>Policy</w:t>
            </w:r>
          </w:p>
        </w:tc>
        <w:tc>
          <w:tcPr>
            <w:tcW w:w="1888" w:type="dxa"/>
          </w:tcPr>
          <w:p>
            <w:pPr>
              <w:pStyle w:val="TableParagraph"/>
              <w:spacing w:line="270" w:lineRule="atLeast"/>
              <w:ind w:left="485" w:right="276" w:hanging="8"/>
              <w:rPr>
                <w:rFonts w:ascii="Calibri"/>
                <w:sz w:val="22"/>
              </w:rPr>
            </w:pPr>
            <w:r>
              <w:rPr>
                <w:rFonts w:ascii="Calibri"/>
                <w:color w:val="0000CC"/>
                <w:spacing w:val="-2"/>
                <w:sz w:val="22"/>
              </w:rPr>
              <w:t>Submitted previously</w:t>
            </w:r>
          </w:p>
        </w:tc>
        <w:tc>
          <w:tcPr>
            <w:tcW w:w="1830" w:type="dxa"/>
          </w:tcPr>
          <w:p>
            <w:pPr>
              <w:pStyle w:val="TableParagraph"/>
              <w:spacing w:line="240" w:lineRule="auto" w:before="140"/>
              <w:ind w:left="122" w:right="109"/>
              <w:jc w:val="center"/>
              <w:rPr>
                <w:rFonts w:ascii="Calibri"/>
                <w:sz w:val="22"/>
              </w:rPr>
            </w:pPr>
            <w:r>
              <w:rPr>
                <w:rFonts w:ascii="Calibri"/>
                <w:color w:val="0000CC"/>
                <w:spacing w:val="-4"/>
                <w:sz w:val="22"/>
              </w:rPr>
              <w:t>2014</w:t>
            </w:r>
          </w:p>
        </w:tc>
      </w:tr>
      <w:tr>
        <w:trPr>
          <w:trHeight w:val="882" w:hRule="atLeast"/>
        </w:trPr>
        <w:tc>
          <w:tcPr>
            <w:tcW w:w="6206" w:type="dxa"/>
          </w:tcPr>
          <w:p>
            <w:pPr>
              <w:pStyle w:val="TableParagraph"/>
              <w:spacing w:line="240" w:lineRule="auto" w:before="1"/>
              <w:rPr>
                <w:rFonts w:ascii="Calibri"/>
                <w:sz w:val="25"/>
              </w:rPr>
            </w:pPr>
          </w:p>
          <w:p>
            <w:pPr>
              <w:pStyle w:val="TableParagraph"/>
              <w:spacing w:line="240" w:lineRule="auto"/>
              <w:ind w:left="107"/>
              <w:rPr>
                <w:rFonts w:ascii="Calibri"/>
                <w:sz w:val="22"/>
              </w:rPr>
            </w:pPr>
            <w:r>
              <w:rPr>
                <w:rFonts w:ascii="Calibri"/>
                <w:spacing w:val="-2"/>
                <w:sz w:val="22"/>
              </w:rPr>
              <w:t>Marketing/Promotional</w:t>
            </w:r>
            <w:r>
              <w:rPr>
                <w:rFonts w:ascii="Calibri"/>
                <w:spacing w:val="26"/>
                <w:sz w:val="22"/>
              </w:rPr>
              <w:t> </w:t>
            </w:r>
            <w:r>
              <w:rPr>
                <w:rFonts w:ascii="Calibri"/>
                <w:spacing w:val="-2"/>
                <w:sz w:val="22"/>
              </w:rPr>
              <w:t>Materials</w:t>
            </w:r>
          </w:p>
        </w:tc>
        <w:tc>
          <w:tcPr>
            <w:tcW w:w="1888" w:type="dxa"/>
          </w:tcPr>
          <w:p>
            <w:pPr>
              <w:pStyle w:val="TableParagraph"/>
              <w:spacing w:line="240" w:lineRule="auto" w:before="37"/>
              <w:ind w:left="134" w:right="122"/>
              <w:jc w:val="center"/>
              <w:rPr>
                <w:rFonts w:ascii="Calibri"/>
                <w:sz w:val="22"/>
              </w:rPr>
            </w:pPr>
            <w:r>
              <w:rPr>
                <w:rFonts w:ascii="Calibri"/>
                <w:color w:val="0000CC"/>
                <w:sz w:val="22"/>
              </w:rPr>
              <w:t>Any</w:t>
            </w:r>
            <w:r>
              <w:rPr>
                <w:rFonts w:ascii="Calibri"/>
                <w:color w:val="0000CC"/>
                <w:spacing w:val="-13"/>
                <w:sz w:val="22"/>
              </w:rPr>
              <w:t> </w:t>
            </w:r>
            <w:r>
              <w:rPr>
                <w:rFonts w:ascii="Calibri"/>
                <w:color w:val="0000CC"/>
                <w:sz w:val="22"/>
              </w:rPr>
              <w:t>updates</w:t>
            </w:r>
            <w:r>
              <w:rPr>
                <w:rFonts w:ascii="Calibri"/>
                <w:color w:val="0000CC"/>
                <w:spacing w:val="-12"/>
                <w:sz w:val="22"/>
              </w:rPr>
              <w:t> </w:t>
            </w:r>
            <w:r>
              <w:rPr>
                <w:rFonts w:ascii="Calibri"/>
                <w:color w:val="0000CC"/>
                <w:sz w:val="22"/>
              </w:rPr>
              <w:t>since last self- </w:t>
            </w:r>
            <w:r>
              <w:rPr>
                <w:rFonts w:ascii="Calibri"/>
                <w:color w:val="0000CC"/>
                <w:spacing w:val="-2"/>
                <w:sz w:val="22"/>
              </w:rPr>
              <w:t>certification</w:t>
            </w:r>
          </w:p>
        </w:tc>
        <w:tc>
          <w:tcPr>
            <w:tcW w:w="1830" w:type="dxa"/>
          </w:tcPr>
          <w:p>
            <w:pPr>
              <w:pStyle w:val="TableParagraph"/>
              <w:spacing w:line="240" w:lineRule="auto" w:before="1"/>
              <w:rPr>
                <w:rFonts w:ascii="Calibri"/>
                <w:sz w:val="25"/>
              </w:rPr>
            </w:pPr>
          </w:p>
          <w:p>
            <w:pPr>
              <w:pStyle w:val="TableParagraph"/>
              <w:spacing w:line="240" w:lineRule="auto"/>
              <w:ind w:left="122" w:right="112"/>
              <w:jc w:val="center"/>
              <w:rPr>
                <w:rFonts w:ascii="Calibri"/>
                <w:sz w:val="22"/>
              </w:rPr>
            </w:pPr>
            <w:r>
              <w:rPr>
                <w:rFonts w:ascii="Calibri"/>
                <w:color w:val="0000CC"/>
                <w:spacing w:val="-2"/>
                <w:sz w:val="22"/>
              </w:rPr>
              <w:t>03/2022-03/2023</w:t>
            </w:r>
          </w:p>
        </w:tc>
      </w:tr>
      <w:tr>
        <w:trPr>
          <w:trHeight w:val="558" w:hRule="atLeast"/>
        </w:trPr>
        <w:tc>
          <w:tcPr>
            <w:tcW w:w="6206" w:type="dxa"/>
          </w:tcPr>
          <w:p>
            <w:pPr>
              <w:pStyle w:val="TableParagraph"/>
              <w:spacing w:line="240" w:lineRule="auto" w:before="143"/>
              <w:ind w:left="107"/>
              <w:rPr>
                <w:rFonts w:ascii="Calibri"/>
                <w:sz w:val="22"/>
              </w:rPr>
            </w:pPr>
            <w:r>
              <w:rPr>
                <w:rFonts w:ascii="Calibri"/>
                <w:spacing w:val="-2"/>
                <w:sz w:val="22"/>
              </w:rPr>
              <w:t>Procurement/Purchasing</w:t>
            </w:r>
            <w:r>
              <w:rPr>
                <w:rFonts w:ascii="Calibri"/>
                <w:spacing w:val="29"/>
                <w:sz w:val="22"/>
              </w:rPr>
              <w:t> </w:t>
            </w:r>
            <w:r>
              <w:rPr>
                <w:rFonts w:ascii="Calibri"/>
                <w:spacing w:val="-2"/>
                <w:sz w:val="22"/>
              </w:rPr>
              <w:t>Policy</w:t>
            </w:r>
          </w:p>
        </w:tc>
        <w:tc>
          <w:tcPr>
            <w:tcW w:w="1888" w:type="dxa"/>
          </w:tcPr>
          <w:p>
            <w:pPr>
              <w:pStyle w:val="TableParagraph"/>
              <w:spacing w:line="270" w:lineRule="atLeast"/>
              <w:ind w:left="485" w:right="276" w:hanging="8"/>
              <w:rPr>
                <w:rFonts w:ascii="Calibri"/>
                <w:sz w:val="22"/>
              </w:rPr>
            </w:pPr>
            <w:r>
              <w:rPr>
                <w:rFonts w:ascii="Calibri"/>
                <w:color w:val="0000CC"/>
                <w:spacing w:val="-2"/>
                <w:sz w:val="22"/>
              </w:rPr>
              <w:t>Submitted previously</w:t>
            </w:r>
          </w:p>
        </w:tc>
        <w:tc>
          <w:tcPr>
            <w:tcW w:w="1830" w:type="dxa"/>
          </w:tcPr>
          <w:p>
            <w:pPr>
              <w:pStyle w:val="TableParagraph"/>
              <w:spacing w:line="240" w:lineRule="auto" w:before="143"/>
              <w:ind w:left="122" w:right="109"/>
              <w:jc w:val="center"/>
              <w:rPr>
                <w:rFonts w:ascii="Calibri"/>
                <w:sz w:val="22"/>
              </w:rPr>
            </w:pPr>
            <w:r>
              <w:rPr>
                <w:rFonts w:ascii="Calibri"/>
                <w:color w:val="0000CC"/>
                <w:spacing w:val="-4"/>
                <w:sz w:val="22"/>
              </w:rPr>
              <w:t>2010</w:t>
            </w:r>
          </w:p>
        </w:tc>
      </w:tr>
      <w:tr>
        <w:trPr>
          <w:trHeight w:val="340" w:hRule="atLeast"/>
        </w:trPr>
        <w:tc>
          <w:tcPr>
            <w:tcW w:w="6206" w:type="dxa"/>
          </w:tcPr>
          <w:p>
            <w:pPr>
              <w:pStyle w:val="TableParagraph"/>
              <w:spacing w:line="240" w:lineRule="auto" w:before="35"/>
              <w:ind w:left="107"/>
              <w:rPr>
                <w:rFonts w:ascii="Calibri"/>
                <w:sz w:val="22"/>
              </w:rPr>
            </w:pPr>
            <w:r>
              <w:rPr>
                <w:rFonts w:ascii="Calibri"/>
                <w:sz w:val="22"/>
              </w:rPr>
              <w:t>Signed</w:t>
            </w:r>
            <w:r>
              <w:rPr>
                <w:rFonts w:ascii="Calibri"/>
                <w:spacing w:val="-6"/>
                <w:sz w:val="22"/>
              </w:rPr>
              <w:t> </w:t>
            </w:r>
            <w:r>
              <w:rPr>
                <w:rFonts w:ascii="Calibri"/>
                <w:sz w:val="22"/>
              </w:rPr>
              <w:t>Certifications</w:t>
            </w:r>
            <w:r>
              <w:rPr>
                <w:rFonts w:ascii="Calibri"/>
                <w:spacing w:val="-6"/>
                <w:sz w:val="22"/>
              </w:rPr>
              <w:t> </w:t>
            </w:r>
            <w:r>
              <w:rPr>
                <w:rFonts w:ascii="Calibri"/>
                <w:sz w:val="22"/>
              </w:rPr>
              <w:t>and</w:t>
            </w:r>
            <w:r>
              <w:rPr>
                <w:rFonts w:ascii="Calibri"/>
                <w:spacing w:val="-5"/>
                <w:sz w:val="22"/>
              </w:rPr>
              <w:t> </w:t>
            </w:r>
            <w:r>
              <w:rPr>
                <w:rFonts w:ascii="Calibri"/>
                <w:spacing w:val="-2"/>
                <w:sz w:val="22"/>
              </w:rPr>
              <w:t>Assurances</w:t>
            </w:r>
          </w:p>
        </w:tc>
        <w:tc>
          <w:tcPr>
            <w:tcW w:w="1888" w:type="dxa"/>
          </w:tcPr>
          <w:p>
            <w:pPr>
              <w:pStyle w:val="TableParagraph"/>
              <w:spacing w:line="240" w:lineRule="auto" w:before="35"/>
              <w:ind w:left="133" w:right="122"/>
              <w:jc w:val="center"/>
              <w:rPr>
                <w:rFonts w:ascii="Calibri"/>
                <w:sz w:val="22"/>
              </w:rPr>
            </w:pPr>
            <w:r>
              <w:rPr>
                <w:rFonts w:ascii="Calibri"/>
                <w:color w:val="0000CC"/>
                <w:spacing w:val="-5"/>
                <w:sz w:val="22"/>
              </w:rPr>
              <w:t>Yes</w:t>
            </w:r>
          </w:p>
        </w:tc>
        <w:tc>
          <w:tcPr>
            <w:tcW w:w="1830" w:type="dxa"/>
          </w:tcPr>
          <w:p>
            <w:pPr>
              <w:pStyle w:val="TableParagraph"/>
              <w:spacing w:line="240" w:lineRule="auto" w:before="35"/>
              <w:ind w:left="122" w:right="107"/>
              <w:jc w:val="center"/>
              <w:rPr>
                <w:rFonts w:ascii="Calibri"/>
                <w:sz w:val="22"/>
              </w:rPr>
            </w:pPr>
            <w:r>
              <w:rPr>
                <w:rFonts w:ascii="Calibri"/>
                <w:color w:val="0000CC"/>
                <w:spacing w:val="-2"/>
                <w:sz w:val="22"/>
              </w:rPr>
              <w:t>03/17/2023</w:t>
            </w:r>
          </w:p>
        </w:tc>
      </w:tr>
      <w:tr>
        <w:trPr>
          <w:trHeight w:val="421" w:hRule="atLeast"/>
        </w:trPr>
        <w:tc>
          <w:tcPr>
            <w:tcW w:w="6206" w:type="dxa"/>
          </w:tcPr>
          <w:p>
            <w:pPr>
              <w:pStyle w:val="TableParagraph"/>
              <w:spacing w:line="240" w:lineRule="auto" w:before="76"/>
              <w:ind w:left="107"/>
              <w:rPr>
                <w:rFonts w:ascii="Calibri"/>
                <w:sz w:val="22"/>
              </w:rPr>
            </w:pPr>
            <w:r>
              <w:rPr>
                <w:rFonts w:ascii="Calibri"/>
                <w:sz w:val="22"/>
              </w:rPr>
              <w:t>Title</w:t>
            </w:r>
            <w:r>
              <w:rPr>
                <w:rFonts w:ascii="Calibri"/>
                <w:spacing w:val="-4"/>
                <w:sz w:val="22"/>
              </w:rPr>
              <w:t> </w:t>
            </w:r>
            <w:r>
              <w:rPr>
                <w:rFonts w:ascii="Calibri"/>
                <w:sz w:val="22"/>
              </w:rPr>
              <w:t>VI</w:t>
            </w:r>
            <w:r>
              <w:rPr>
                <w:rFonts w:ascii="Calibri"/>
                <w:spacing w:val="-8"/>
                <w:sz w:val="22"/>
              </w:rPr>
              <w:t> </w:t>
            </w:r>
            <w:r>
              <w:rPr>
                <w:rFonts w:ascii="Calibri"/>
                <w:sz w:val="22"/>
              </w:rPr>
              <w:t>Plan/Complaint</w:t>
            </w:r>
            <w:r>
              <w:rPr>
                <w:rFonts w:ascii="Calibri"/>
                <w:spacing w:val="-6"/>
                <w:sz w:val="22"/>
              </w:rPr>
              <w:t> </w:t>
            </w:r>
            <w:r>
              <w:rPr>
                <w:rFonts w:ascii="Calibri"/>
                <w:spacing w:val="-2"/>
                <w:sz w:val="22"/>
              </w:rPr>
              <w:t>Process</w:t>
            </w:r>
          </w:p>
        </w:tc>
        <w:tc>
          <w:tcPr>
            <w:tcW w:w="1888" w:type="dxa"/>
          </w:tcPr>
          <w:p>
            <w:pPr>
              <w:pStyle w:val="TableParagraph"/>
              <w:spacing w:line="240" w:lineRule="auto" w:before="76"/>
              <w:ind w:left="133" w:right="122"/>
              <w:jc w:val="center"/>
              <w:rPr>
                <w:rFonts w:ascii="Calibri"/>
                <w:sz w:val="22"/>
              </w:rPr>
            </w:pPr>
            <w:r>
              <w:rPr>
                <w:rFonts w:ascii="Calibri"/>
                <w:color w:val="0000CC"/>
                <w:spacing w:val="-2"/>
                <w:sz w:val="22"/>
              </w:rPr>
              <w:t>Included</w:t>
            </w:r>
          </w:p>
        </w:tc>
        <w:tc>
          <w:tcPr>
            <w:tcW w:w="1830" w:type="dxa"/>
          </w:tcPr>
          <w:p>
            <w:pPr>
              <w:pStyle w:val="TableParagraph"/>
              <w:spacing w:line="240" w:lineRule="auto" w:before="76"/>
              <w:ind w:left="122" w:right="109"/>
              <w:jc w:val="center"/>
              <w:rPr>
                <w:rFonts w:ascii="Calibri"/>
                <w:sz w:val="22"/>
              </w:rPr>
            </w:pPr>
            <w:r>
              <w:rPr>
                <w:rFonts w:ascii="Calibri"/>
                <w:color w:val="0000CC"/>
                <w:spacing w:val="-2"/>
                <w:sz w:val="22"/>
              </w:rPr>
              <w:t>03/17/2023##</w:t>
            </w:r>
          </w:p>
        </w:tc>
      </w:tr>
      <w:tr>
        <w:trPr>
          <w:trHeight w:val="261" w:hRule="atLeast"/>
        </w:trPr>
        <w:tc>
          <w:tcPr>
            <w:tcW w:w="6206" w:type="dxa"/>
          </w:tcPr>
          <w:p>
            <w:pPr>
              <w:pStyle w:val="TableParagraph"/>
              <w:spacing w:line="241" w:lineRule="exact"/>
              <w:ind w:left="107"/>
              <w:rPr>
                <w:rFonts w:ascii="Calibri"/>
                <w:sz w:val="22"/>
              </w:rPr>
            </w:pPr>
            <w:r>
              <w:rPr>
                <w:rFonts w:ascii="Calibri"/>
                <w:sz w:val="22"/>
              </w:rPr>
              <w:t>Volunteer</w:t>
            </w:r>
            <w:r>
              <w:rPr>
                <w:rFonts w:ascii="Calibri"/>
                <w:spacing w:val="-5"/>
                <w:sz w:val="22"/>
              </w:rPr>
              <w:t> </w:t>
            </w:r>
            <w:r>
              <w:rPr>
                <w:rFonts w:ascii="Calibri"/>
                <w:sz w:val="22"/>
              </w:rPr>
              <w:t>Driver</w:t>
            </w:r>
            <w:r>
              <w:rPr>
                <w:rFonts w:ascii="Calibri"/>
                <w:spacing w:val="-5"/>
                <w:sz w:val="22"/>
              </w:rPr>
              <w:t> </w:t>
            </w:r>
            <w:r>
              <w:rPr>
                <w:rFonts w:ascii="Calibri"/>
                <w:spacing w:val="-2"/>
                <w:sz w:val="22"/>
              </w:rPr>
              <w:t>Policy</w:t>
            </w:r>
          </w:p>
        </w:tc>
        <w:tc>
          <w:tcPr>
            <w:tcW w:w="1888" w:type="dxa"/>
          </w:tcPr>
          <w:p>
            <w:pPr>
              <w:pStyle w:val="TableParagraph"/>
              <w:spacing w:line="241" w:lineRule="exact"/>
              <w:ind w:left="131" w:right="122"/>
              <w:jc w:val="center"/>
              <w:rPr>
                <w:rFonts w:ascii="Calibri"/>
                <w:sz w:val="22"/>
              </w:rPr>
            </w:pPr>
            <w:r>
              <w:rPr>
                <w:rFonts w:ascii="Calibri"/>
                <w:color w:val="0000CC"/>
                <w:spacing w:val="-5"/>
                <w:sz w:val="22"/>
              </w:rPr>
              <w:t>NA</w:t>
            </w:r>
          </w:p>
        </w:tc>
        <w:tc>
          <w:tcPr>
            <w:tcW w:w="1830" w:type="dxa"/>
          </w:tcPr>
          <w:p>
            <w:pPr>
              <w:pStyle w:val="TableParagraph"/>
              <w:spacing w:line="241" w:lineRule="exact"/>
              <w:ind w:left="122" w:right="111"/>
              <w:jc w:val="center"/>
              <w:rPr>
                <w:rFonts w:ascii="Calibri"/>
                <w:sz w:val="22"/>
              </w:rPr>
            </w:pPr>
            <w:r>
              <w:rPr>
                <w:rFonts w:ascii="Calibri"/>
                <w:color w:val="0000CC"/>
                <w:spacing w:val="-5"/>
                <w:sz w:val="22"/>
              </w:rPr>
              <w:t>NA</w:t>
            </w:r>
          </w:p>
        </w:tc>
      </w:tr>
      <w:tr>
        <w:trPr>
          <w:trHeight w:val="422" w:hRule="atLeast"/>
        </w:trPr>
        <w:tc>
          <w:tcPr>
            <w:tcW w:w="6206" w:type="dxa"/>
          </w:tcPr>
          <w:p>
            <w:pPr>
              <w:pStyle w:val="TableParagraph"/>
              <w:spacing w:line="240" w:lineRule="auto" w:before="76"/>
              <w:ind w:left="107"/>
              <w:rPr>
                <w:rFonts w:ascii="Calibri"/>
                <w:sz w:val="22"/>
              </w:rPr>
            </w:pPr>
            <w:r>
              <w:rPr>
                <w:rFonts w:ascii="Calibri"/>
                <w:sz w:val="22"/>
              </w:rPr>
              <w:t>*</w:t>
            </w:r>
            <w:r>
              <w:rPr>
                <w:rFonts w:ascii="Calibri"/>
                <w:spacing w:val="-3"/>
                <w:sz w:val="22"/>
              </w:rPr>
              <w:t> </w:t>
            </w:r>
            <w:r>
              <w:rPr>
                <w:rFonts w:ascii="Calibri"/>
                <w:sz w:val="22"/>
              </w:rPr>
              <w:t>Changes</w:t>
            </w:r>
            <w:r>
              <w:rPr>
                <w:rFonts w:ascii="Calibri"/>
                <w:spacing w:val="-4"/>
                <w:sz w:val="22"/>
              </w:rPr>
              <w:t> </w:t>
            </w:r>
            <w:r>
              <w:rPr>
                <w:rFonts w:ascii="Calibri"/>
                <w:sz w:val="22"/>
              </w:rPr>
              <w:t>to</w:t>
            </w:r>
            <w:r>
              <w:rPr>
                <w:rFonts w:ascii="Calibri"/>
                <w:spacing w:val="-2"/>
                <w:sz w:val="22"/>
              </w:rPr>
              <w:t> </w:t>
            </w:r>
            <w:r>
              <w:rPr>
                <w:rFonts w:ascii="Calibri"/>
                <w:sz w:val="22"/>
              </w:rPr>
              <w:t>non-policy</w:t>
            </w:r>
            <w:r>
              <w:rPr>
                <w:rFonts w:ascii="Calibri"/>
                <w:spacing w:val="-3"/>
                <w:sz w:val="22"/>
              </w:rPr>
              <w:t> </w:t>
            </w:r>
            <w:r>
              <w:rPr>
                <w:rFonts w:ascii="Calibri"/>
                <w:sz w:val="22"/>
              </w:rPr>
              <w:t>items</w:t>
            </w:r>
            <w:r>
              <w:rPr>
                <w:rFonts w:ascii="Calibri"/>
                <w:spacing w:val="-5"/>
                <w:sz w:val="22"/>
              </w:rPr>
              <w:t> </w:t>
            </w:r>
            <w:r>
              <w:rPr>
                <w:rFonts w:ascii="Calibri"/>
                <w:sz w:val="22"/>
              </w:rPr>
              <w:t>only</w:t>
            </w:r>
            <w:r>
              <w:rPr>
                <w:rFonts w:ascii="Calibri"/>
                <w:spacing w:val="-4"/>
                <w:sz w:val="22"/>
              </w:rPr>
              <w:t> </w:t>
            </w:r>
            <w:r>
              <w:rPr>
                <w:rFonts w:ascii="Calibri"/>
                <w:sz w:val="22"/>
              </w:rPr>
              <w:t>(i.e.</w:t>
            </w:r>
            <w:r>
              <w:rPr>
                <w:rFonts w:ascii="Calibri"/>
                <w:spacing w:val="-4"/>
                <w:sz w:val="22"/>
              </w:rPr>
              <w:t> </w:t>
            </w:r>
            <w:r>
              <w:rPr>
                <w:rFonts w:ascii="Calibri"/>
                <w:sz w:val="22"/>
              </w:rPr>
              <w:t>Names,</w:t>
            </w:r>
            <w:r>
              <w:rPr>
                <w:rFonts w:ascii="Calibri"/>
                <w:spacing w:val="-5"/>
                <w:sz w:val="22"/>
              </w:rPr>
              <w:t> </w:t>
            </w:r>
            <w:r>
              <w:rPr>
                <w:rFonts w:ascii="Calibri"/>
                <w:sz w:val="22"/>
              </w:rPr>
              <w:t>titles,</w:t>
            </w:r>
            <w:r>
              <w:rPr>
                <w:rFonts w:ascii="Calibri"/>
                <w:spacing w:val="-5"/>
                <w:sz w:val="22"/>
              </w:rPr>
              <w:t> </w:t>
            </w:r>
            <w:r>
              <w:rPr>
                <w:rFonts w:ascii="Calibri"/>
                <w:spacing w:val="-2"/>
                <w:sz w:val="22"/>
              </w:rPr>
              <w:t>etc.)</w:t>
            </w:r>
          </w:p>
        </w:tc>
        <w:tc>
          <w:tcPr>
            <w:tcW w:w="1888" w:type="dxa"/>
          </w:tcPr>
          <w:p>
            <w:pPr>
              <w:pStyle w:val="TableParagraph"/>
              <w:spacing w:line="240" w:lineRule="auto"/>
              <w:rPr>
                <w:sz w:val="22"/>
              </w:rPr>
            </w:pPr>
          </w:p>
        </w:tc>
        <w:tc>
          <w:tcPr>
            <w:tcW w:w="1830" w:type="dxa"/>
          </w:tcPr>
          <w:p>
            <w:pPr>
              <w:pStyle w:val="TableParagraph"/>
              <w:spacing w:line="240" w:lineRule="auto"/>
              <w:rPr>
                <w:sz w:val="22"/>
              </w:rPr>
            </w:pPr>
          </w:p>
        </w:tc>
      </w:tr>
    </w:tbl>
    <w:p>
      <w:pPr>
        <w:pStyle w:val="BodyText"/>
        <w:spacing w:before="7"/>
      </w:pPr>
    </w:p>
    <w:p>
      <w:pPr>
        <w:pStyle w:val="BodyText"/>
        <w:spacing w:line="259" w:lineRule="auto" w:before="1"/>
        <w:ind w:left="552" w:right="935"/>
      </w:pPr>
      <w:r>
        <w:rPr/>
        <w:t>##</w:t>
      </w:r>
      <w:r>
        <w:rPr>
          <w:spacing w:val="-1"/>
        </w:rPr>
        <w:t> </w:t>
      </w:r>
      <w:r>
        <w:rPr/>
        <w:t>In</w:t>
      </w:r>
      <w:r>
        <w:rPr>
          <w:spacing w:val="-3"/>
        </w:rPr>
        <w:t> </w:t>
      </w:r>
      <w:r>
        <w:rPr/>
        <w:t>the</w:t>
      </w:r>
      <w:r>
        <w:rPr>
          <w:spacing w:val="-1"/>
        </w:rPr>
        <w:t> </w:t>
      </w:r>
      <w:r>
        <w:rPr/>
        <w:t>process</w:t>
      </w:r>
      <w:r>
        <w:rPr>
          <w:spacing w:val="-2"/>
        </w:rPr>
        <w:t> </w:t>
      </w:r>
      <w:r>
        <w:rPr/>
        <w:t>of</w:t>
      </w:r>
      <w:r>
        <w:rPr>
          <w:spacing w:val="-3"/>
        </w:rPr>
        <w:t> </w:t>
      </w:r>
      <w:r>
        <w:rPr/>
        <w:t>updating</w:t>
      </w:r>
      <w:r>
        <w:rPr>
          <w:spacing w:val="-4"/>
        </w:rPr>
        <w:t> </w:t>
      </w:r>
      <w:r>
        <w:rPr/>
        <w:t>attached</w:t>
      </w:r>
      <w:r>
        <w:rPr>
          <w:spacing w:val="-3"/>
        </w:rPr>
        <w:t> </w:t>
      </w:r>
      <w:r>
        <w:rPr/>
        <w:t>with</w:t>
      </w:r>
      <w:r>
        <w:rPr>
          <w:spacing w:val="-3"/>
        </w:rPr>
        <w:t> </w:t>
      </w:r>
      <w:r>
        <w:rPr/>
        <w:t>changes</w:t>
      </w:r>
      <w:r>
        <w:rPr>
          <w:spacing w:val="-2"/>
        </w:rPr>
        <w:t> </w:t>
      </w:r>
      <w:r>
        <w:rPr/>
        <w:t>will</w:t>
      </w:r>
      <w:r>
        <w:rPr>
          <w:spacing w:val="-4"/>
        </w:rPr>
        <w:t> </w:t>
      </w:r>
      <w:r>
        <w:rPr/>
        <w:t>forward when approved</w:t>
      </w:r>
      <w:r>
        <w:rPr>
          <w:spacing w:val="-3"/>
        </w:rPr>
        <w:t> </w:t>
      </w:r>
      <w:r>
        <w:rPr/>
        <w:t>by</w:t>
      </w:r>
      <w:r>
        <w:rPr>
          <w:spacing w:val="-2"/>
        </w:rPr>
        <w:t> </w:t>
      </w:r>
      <w:r>
        <w:rPr/>
        <w:t>BOD</w:t>
      </w:r>
      <w:r>
        <w:rPr>
          <w:spacing w:val="-3"/>
        </w:rPr>
        <w:t> </w:t>
      </w:r>
      <w:r>
        <w:rPr/>
        <w:t>or</w:t>
      </w:r>
      <w:r>
        <w:rPr>
          <w:spacing w:val="-4"/>
        </w:rPr>
        <w:t> </w:t>
      </w:r>
      <w:r>
        <w:rPr/>
        <w:t>when received for the approved Indirect Cost Rare and Cost allocation Plan.</w:t>
      </w:r>
    </w:p>
    <w:p>
      <w:pPr>
        <w:spacing w:after="0" w:line="259" w:lineRule="auto"/>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55264">
            <wp:simplePos x="0" y="0"/>
            <wp:positionH relativeFrom="page">
              <wp:posOffset>731520</wp:posOffset>
            </wp:positionH>
            <wp:positionV relativeFrom="paragraph">
              <wp:posOffset>-111196</wp:posOffset>
            </wp:positionV>
            <wp:extent cx="1523706" cy="426719"/>
            <wp:effectExtent l="0" t="0" r="0" b="0"/>
            <wp:wrapNone/>
            <wp:docPr id="143" name="Image 143">
              <a:hlinkClick r:id="rId80"/>
            </wp:docPr>
            <wp:cNvGraphicFramePr>
              <a:graphicFrameLocks/>
            </wp:cNvGraphicFramePr>
            <a:graphic>
              <a:graphicData uri="http://schemas.openxmlformats.org/drawingml/2006/picture">
                <pic:pic>
                  <pic:nvPicPr>
                    <pic:cNvPr id="143" name="Image 143">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3952">
                <wp:simplePos x="0" y="0"/>
                <wp:positionH relativeFrom="page">
                  <wp:posOffset>713231</wp:posOffset>
                </wp:positionH>
                <wp:positionV relativeFrom="paragraph">
                  <wp:posOffset>216706</wp:posOffset>
                </wp:positionV>
                <wp:extent cx="6346190" cy="74930"/>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6346190" cy="74930"/>
                          <a:chExt cx="6346190" cy="74930"/>
                        </a:xfrm>
                      </wpg:grpSpPr>
                      <wps:wsp>
                        <wps:cNvPr id="145" name="Graphic 145"/>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46" name="Graphic 146"/>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47" name="Graphic 147"/>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702528;mso-wrap-distance-left:0;mso-wrap-distance-right:0" id="docshapegroup107" coordorigin="1123,341" coordsize="9994,118">
                <v:rect style="position:absolute;left:1123;top:430;width:9994;height:29" id="docshape108" filled="true" fillcolor="#c0c0c0" stroked="false">
                  <v:fill type="solid"/>
                </v:rect>
                <v:rect style="position:absolute;left:1123;top:370;width:9994;height:60" id="docshape109" filled="true" fillcolor="#5f5f5f" stroked="false">
                  <v:fill type="solid"/>
                </v:rect>
                <v:rect style="position:absolute;left:1123;top:341;width:9994;height:29" id="docshape110" filled="true" fillcolor="#000000" stroked="false">
                  <v:fill type="solid"/>
                </v:rect>
                <w10:wrap type="topAndBottom"/>
              </v:group>
            </w:pict>
          </mc:Fallback>
        </mc:AlternateContent>
      </w:r>
    </w:p>
    <w:p>
      <w:pPr>
        <w:pStyle w:val="BodyText"/>
        <w:rPr>
          <w:i/>
          <w:sz w:val="20"/>
        </w:rPr>
      </w:pPr>
    </w:p>
    <w:p>
      <w:pPr>
        <w:pStyle w:val="BodyText"/>
        <w:spacing w:before="8"/>
        <w:rPr>
          <w:i/>
          <w:sz w:val="28"/>
        </w:rPr>
      </w:pPr>
    </w:p>
    <w:p>
      <w:pPr>
        <w:pStyle w:val="Heading5"/>
        <w:numPr>
          <w:ilvl w:val="0"/>
          <w:numId w:val="38"/>
        </w:numPr>
        <w:tabs>
          <w:tab w:pos="1458" w:val="left" w:leader="none"/>
        </w:tabs>
        <w:spacing w:line="240" w:lineRule="auto" w:before="44" w:after="0"/>
        <w:ind w:left="1458" w:right="0" w:hanging="547"/>
        <w:jc w:val="left"/>
        <w:rPr>
          <w:color w:val="2D74B5"/>
        </w:rPr>
      </w:pPr>
      <w:r>
        <w:rPr>
          <w:color w:val="2D74B5"/>
          <w:spacing w:val="-4"/>
        </w:rPr>
        <w:t>Legal</w:t>
      </w:r>
    </w:p>
    <w:p>
      <w:pPr>
        <w:pStyle w:val="ListParagraph"/>
        <w:numPr>
          <w:ilvl w:val="1"/>
          <w:numId w:val="38"/>
        </w:numPr>
        <w:tabs>
          <w:tab w:pos="1812" w:val="left" w:leader="none"/>
        </w:tabs>
        <w:spacing w:line="259" w:lineRule="auto" w:before="23" w:after="0"/>
        <w:ind w:left="1812" w:right="799" w:hanging="360"/>
        <w:jc w:val="left"/>
        <w:rPr>
          <w:sz w:val="24"/>
        </w:rPr>
      </w:pPr>
      <w:r>
        <w:rPr>
          <w:sz w:val="24"/>
        </w:rPr>
        <w:t>Has any employee committed a criminal or civil violation of law pertaining to fraud, conflict</w:t>
      </w:r>
      <w:r>
        <w:rPr>
          <w:spacing w:val="-4"/>
          <w:sz w:val="24"/>
        </w:rPr>
        <w:t> </w:t>
      </w:r>
      <w:r>
        <w:rPr>
          <w:sz w:val="24"/>
        </w:rPr>
        <w:t>of</w:t>
      </w:r>
      <w:r>
        <w:rPr>
          <w:spacing w:val="-4"/>
          <w:sz w:val="24"/>
        </w:rPr>
        <w:t> </w:t>
      </w:r>
      <w:r>
        <w:rPr>
          <w:sz w:val="24"/>
        </w:rPr>
        <w:t>interest,</w:t>
      </w:r>
      <w:r>
        <w:rPr>
          <w:spacing w:val="-5"/>
          <w:sz w:val="24"/>
        </w:rPr>
        <w:t> </w:t>
      </w:r>
      <w:r>
        <w:rPr>
          <w:sz w:val="24"/>
        </w:rPr>
        <w:t>bribery,</w:t>
      </w:r>
      <w:r>
        <w:rPr>
          <w:spacing w:val="-3"/>
          <w:sz w:val="24"/>
        </w:rPr>
        <w:t> </w:t>
      </w:r>
      <w:r>
        <w:rPr>
          <w:sz w:val="24"/>
        </w:rPr>
        <w:t>gratuity,</w:t>
      </w:r>
      <w:r>
        <w:rPr>
          <w:spacing w:val="-3"/>
          <w:sz w:val="24"/>
        </w:rPr>
        <w:t> </w:t>
      </w:r>
      <w:r>
        <w:rPr>
          <w:sz w:val="24"/>
        </w:rPr>
        <w:t>or</w:t>
      </w:r>
      <w:r>
        <w:rPr>
          <w:spacing w:val="-3"/>
          <w:sz w:val="24"/>
        </w:rPr>
        <w:t> </w:t>
      </w:r>
      <w:r>
        <w:rPr>
          <w:sz w:val="24"/>
        </w:rPr>
        <w:t>similar</w:t>
      </w:r>
      <w:r>
        <w:rPr>
          <w:spacing w:val="-5"/>
          <w:sz w:val="24"/>
        </w:rPr>
        <w:t> </w:t>
      </w:r>
      <w:r>
        <w:rPr>
          <w:sz w:val="24"/>
        </w:rPr>
        <w:t>misconduct</w:t>
      </w:r>
      <w:r>
        <w:rPr>
          <w:spacing w:val="-4"/>
          <w:sz w:val="24"/>
        </w:rPr>
        <w:t> </w:t>
      </w:r>
      <w:r>
        <w:rPr>
          <w:sz w:val="24"/>
        </w:rPr>
        <w:t>involving</w:t>
      </w:r>
      <w:r>
        <w:rPr>
          <w:spacing w:val="-5"/>
          <w:sz w:val="24"/>
        </w:rPr>
        <w:t> </w:t>
      </w:r>
      <w:r>
        <w:rPr>
          <w:sz w:val="24"/>
        </w:rPr>
        <w:t>federal</w:t>
      </w:r>
      <w:r>
        <w:rPr>
          <w:spacing w:val="-3"/>
          <w:sz w:val="24"/>
        </w:rPr>
        <w:t> </w:t>
      </w:r>
      <w:r>
        <w:rPr>
          <w:sz w:val="24"/>
        </w:rPr>
        <w:t>assistance?</w:t>
      </w:r>
    </w:p>
    <w:p>
      <w:pPr>
        <w:pStyle w:val="BodyText"/>
        <w:ind w:left="1812"/>
      </w:pPr>
      <w:r>
        <w:rPr>
          <w:spacing w:val="-5"/>
        </w:rPr>
        <w:t>No</w:t>
      </w:r>
    </w:p>
    <w:p>
      <w:pPr>
        <w:pStyle w:val="ListParagraph"/>
        <w:numPr>
          <w:ilvl w:val="1"/>
          <w:numId w:val="38"/>
        </w:numPr>
        <w:tabs>
          <w:tab w:pos="1811" w:val="left" w:leader="none"/>
        </w:tabs>
        <w:spacing w:line="240" w:lineRule="auto" w:before="24" w:after="0"/>
        <w:ind w:left="1811" w:right="0" w:hanging="359"/>
        <w:jc w:val="left"/>
        <w:rPr>
          <w:sz w:val="24"/>
        </w:rPr>
      </w:pPr>
      <w:r>
        <w:rPr>
          <w:sz w:val="24"/>
        </w:rPr>
        <w:t>Does</w:t>
      </w:r>
      <w:r>
        <w:rPr>
          <w:spacing w:val="-2"/>
          <w:sz w:val="24"/>
        </w:rPr>
        <w:t> </w:t>
      </w:r>
      <w:r>
        <w:rPr>
          <w:sz w:val="24"/>
        </w:rPr>
        <w:t>your</w:t>
      </w:r>
      <w:r>
        <w:rPr>
          <w:spacing w:val="-1"/>
          <w:sz w:val="24"/>
        </w:rPr>
        <w:t> </w:t>
      </w:r>
      <w:r>
        <w:rPr>
          <w:sz w:val="24"/>
        </w:rPr>
        <w:t>agency</w:t>
      </w:r>
      <w:r>
        <w:rPr>
          <w:spacing w:val="-1"/>
          <w:sz w:val="24"/>
        </w:rPr>
        <w:t> </w:t>
      </w:r>
      <w:r>
        <w:rPr>
          <w:sz w:val="24"/>
        </w:rPr>
        <w:t>conduct lobbying</w:t>
      </w:r>
      <w:r>
        <w:rPr>
          <w:spacing w:val="-2"/>
          <w:sz w:val="24"/>
        </w:rPr>
        <w:t> </w:t>
      </w:r>
      <w:r>
        <w:rPr>
          <w:sz w:val="24"/>
        </w:rPr>
        <w:t>activities</w:t>
      </w:r>
      <w:r>
        <w:rPr>
          <w:spacing w:val="-3"/>
          <w:sz w:val="24"/>
        </w:rPr>
        <w:t> </w:t>
      </w:r>
      <w:r>
        <w:rPr>
          <w:sz w:val="24"/>
        </w:rPr>
        <w:t>or</w:t>
      </w:r>
      <w:r>
        <w:rPr>
          <w:spacing w:val="-4"/>
          <w:sz w:val="24"/>
        </w:rPr>
        <w:t> </w:t>
      </w:r>
      <w:r>
        <w:rPr>
          <w:sz w:val="24"/>
        </w:rPr>
        <w:t>pay</w:t>
      </w:r>
      <w:r>
        <w:rPr>
          <w:spacing w:val="-1"/>
          <w:sz w:val="24"/>
        </w:rPr>
        <w:t> </w:t>
      </w:r>
      <w:r>
        <w:rPr>
          <w:sz w:val="24"/>
        </w:rPr>
        <w:t>for</w:t>
      </w:r>
      <w:r>
        <w:rPr>
          <w:spacing w:val="-4"/>
          <w:sz w:val="24"/>
        </w:rPr>
        <w:t> </w:t>
      </w:r>
      <w:r>
        <w:rPr>
          <w:sz w:val="24"/>
        </w:rPr>
        <w:t>lobbying</w:t>
      </w:r>
      <w:r>
        <w:rPr>
          <w:spacing w:val="-2"/>
          <w:sz w:val="24"/>
        </w:rPr>
        <w:t> </w:t>
      </w:r>
      <w:r>
        <w:rPr>
          <w:sz w:val="24"/>
        </w:rPr>
        <w:t>activities?</w:t>
      </w:r>
      <w:r>
        <w:rPr>
          <w:spacing w:val="77"/>
          <w:w w:val="150"/>
          <w:sz w:val="24"/>
        </w:rPr>
        <w:t> </w:t>
      </w:r>
      <w:r>
        <w:rPr>
          <w:spacing w:val="-5"/>
          <w:sz w:val="24"/>
        </w:rPr>
        <w:t>No</w:t>
      </w:r>
    </w:p>
    <w:p>
      <w:pPr>
        <w:pStyle w:val="ListParagraph"/>
        <w:numPr>
          <w:ilvl w:val="2"/>
          <w:numId w:val="38"/>
        </w:numPr>
        <w:tabs>
          <w:tab w:pos="1991" w:val="left" w:leader="none"/>
        </w:tabs>
        <w:spacing w:line="240" w:lineRule="auto" w:before="22" w:after="0"/>
        <w:ind w:left="1991" w:right="0" w:hanging="268"/>
        <w:jc w:val="left"/>
        <w:rPr>
          <w:sz w:val="24"/>
        </w:rPr>
      </w:pPr>
      <w:r>
        <w:rPr>
          <w:sz w:val="24"/>
        </w:rPr>
        <w:t>If</w:t>
      </w:r>
      <w:r>
        <w:rPr>
          <w:spacing w:val="1"/>
          <w:sz w:val="24"/>
        </w:rPr>
        <w:t> </w:t>
      </w:r>
      <w:r>
        <w:rPr>
          <w:sz w:val="24"/>
        </w:rPr>
        <w:t>lobbying</w:t>
      </w:r>
      <w:r>
        <w:rPr>
          <w:spacing w:val="-3"/>
          <w:sz w:val="24"/>
        </w:rPr>
        <w:t> </w:t>
      </w:r>
      <w:r>
        <w:rPr>
          <w:sz w:val="24"/>
        </w:rPr>
        <w:t>was</w:t>
      </w:r>
      <w:r>
        <w:rPr>
          <w:spacing w:val="-2"/>
          <w:sz w:val="24"/>
        </w:rPr>
        <w:t> </w:t>
      </w:r>
      <w:r>
        <w:rPr>
          <w:sz w:val="24"/>
        </w:rPr>
        <w:t>done,</w:t>
      </w:r>
      <w:r>
        <w:rPr>
          <w:spacing w:val="-1"/>
          <w:sz w:val="24"/>
        </w:rPr>
        <w:t> </w:t>
      </w:r>
      <w:r>
        <w:rPr>
          <w:sz w:val="24"/>
        </w:rPr>
        <w:t>confirm</w:t>
      </w:r>
      <w:r>
        <w:rPr>
          <w:spacing w:val="-3"/>
          <w:sz w:val="24"/>
        </w:rPr>
        <w:t> </w:t>
      </w:r>
      <w:r>
        <w:rPr>
          <w:sz w:val="24"/>
        </w:rPr>
        <w:t>that</w:t>
      </w:r>
      <w:r>
        <w:rPr>
          <w:spacing w:val="-1"/>
          <w:sz w:val="24"/>
        </w:rPr>
        <w:t> </w:t>
      </w:r>
      <w:r>
        <w:rPr>
          <w:sz w:val="24"/>
        </w:rPr>
        <w:t>no</w:t>
      </w:r>
      <w:r>
        <w:rPr>
          <w:spacing w:val="-2"/>
          <w:sz w:val="24"/>
        </w:rPr>
        <w:t> </w:t>
      </w:r>
      <w:r>
        <w:rPr>
          <w:sz w:val="24"/>
        </w:rPr>
        <w:t>federal</w:t>
      </w:r>
      <w:r>
        <w:rPr>
          <w:spacing w:val="-3"/>
          <w:sz w:val="24"/>
        </w:rPr>
        <w:t> </w:t>
      </w:r>
      <w:r>
        <w:rPr>
          <w:sz w:val="24"/>
        </w:rPr>
        <w:t>funds were</w:t>
      </w:r>
      <w:r>
        <w:rPr>
          <w:spacing w:val="-2"/>
          <w:sz w:val="24"/>
        </w:rPr>
        <w:t> </w:t>
      </w:r>
      <w:r>
        <w:rPr>
          <w:sz w:val="24"/>
        </w:rPr>
        <w:t>used</w:t>
      </w:r>
      <w:r>
        <w:rPr>
          <w:spacing w:val="-2"/>
          <w:sz w:val="24"/>
        </w:rPr>
        <w:t> </w:t>
      </w:r>
      <w:r>
        <w:rPr>
          <w:sz w:val="24"/>
        </w:rPr>
        <w:t>and</w:t>
      </w:r>
      <w:r>
        <w:rPr>
          <w:spacing w:val="-1"/>
          <w:sz w:val="24"/>
        </w:rPr>
        <w:t> </w:t>
      </w:r>
      <w:r>
        <w:rPr>
          <w:sz w:val="24"/>
        </w:rPr>
        <w:t>provide source.</w:t>
      </w:r>
      <w:r>
        <w:rPr>
          <w:spacing w:val="51"/>
          <w:sz w:val="24"/>
        </w:rPr>
        <w:t> </w:t>
      </w:r>
      <w:r>
        <w:rPr>
          <w:spacing w:val="-5"/>
          <w:sz w:val="24"/>
        </w:rPr>
        <w:t>NA</w:t>
      </w:r>
    </w:p>
    <w:p>
      <w:pPr>
        <w:pStyle w:val="ListParagraph"/>
        <w:numPr>
          <w:ilvl w:val="2"/>
          <w:numId w:val="38"/>
        </w:numPr>
        <w:tabs>
          <w:tab w:pos="1991" w:val="left" w:leader="none"/>
        </w:tabs>
        <w:spacing w:line="259" w:lineRule="auto" w:before="24" w:after="0"/>
        <w:ind w:left="1991" w:right="1148" w:hanging="269"/>
        <w:jc w:val="left"/>
        <w:rPr>
          <w:sz w:val="22"/>
        </w:rPr>
      </w:pPr>
      <w:r>
        <w:rPr>
          <w:sz w:val="24"/>
        </w:rPr>
        <w:t>If</w:t>
      </w:r>
      <w:r>
        <w:rPr>
          <w:spacing w:val="-1"/>
          <w:sz w:val="24"/>
        </w:rPr>
        <w:t> </w:t>
      </w:r>
      <w:r>
        <w:rPr>
          <w:sz w:val="24"/>
        </w:rPr>
        <w:t>lobbying</w:t>
      </w:r>
      <w:r>
        <w:rPr>
          <w:spacing w:val="-4"/>
          <w:sz w:val="24"/>
        </w:rPr>
        <w:t> </w:t>
      </w:r>
      <w:r>
        <w:rPr>
          <w:sz w:val="24"/>
        </w:rPr>
        <w:t>was</w:t>
      </w:r>
      <w:r>
        <w:rPr>
          <w:spacing w:val="-4"/>
          <w:sz w:val="24"/>
        </w:rPr>
        <w:t> </w:t>
      </w:r>
      <w:r>
        <w:rPr>
          <w:sz w:val="24"/>
        </w:rPr>
        <w:t>done,</w:t>
      </w:r>
      <w:r>
        <w:rPr>
          <w:spacing w:val="-2"/>
          <w:sz w:val="24"/>
        </w:rPr>
        <w:t> </w:t>
      </w:r>
      <w:r>
        <w:rPr>
          <w:sz w:val="24"/>
        </w:rPr>
        <w:t>confirm</w:t>
      </w:r>
      <w:r>
        <w:rPr>
          <w:spacing w:val="-4"/>
          <w:sz w:val="24"/>
        </w:rPr>
        <w:t> </w:t>
      </w:r>
      <w:r>
        <w:rPr>
          <w:sz w:val="24"/>
        </w:rPr>
        <w:t>that</w:t>
      </w:r>
      <w:r>
        <w:rPr>
          <w:spacing w:val="-3"/>
          <w:sz w:val="24"/>
        </w:rPr>
        <w:t> </w:t>
      </w:r>
      <w:r>
        <w:rPr>
          <w:sz w:val="24"/>
        </w:rPr>
        <w:t>OMB</w:t>
      </w:r>
      <w:r>
        <w:rPr>
          <w:spacing w:val="-2"/>
          <w:sz w:val="24"/>
        </w:rPr>
        <w:t> </w:t>
      </w:r>
      <w:r>
        <w:rPr>
          <w:sz w:val="24"/>
        </w:rPr>
        <w:t>Standard</w:t>
      </w:r>
      <w:r>
        <w:rPr>
          <w:spacing w:val="-1"/>
          <w:sz w:val="24"/>
        </w:rPr>
        <w:t> </w:t>
      </w:r>
      <w:r>
        <w:rPr>
          <w:sz w:val="24"/>
        </w:rPr>
        <w:t>Form</w:t>
      </w:r>
      <w:r>
        <w:rPr>
          <w:spacing w:val="-4"/>
          <w:sz w:val="24"/>
        </w:rPr>
        <w:t> </w:t>
      </w:r>
      <w:r>
        <w:rPr>
          <w:sz w:val="24"/>
        </w:rPr>
        <w:t>LLL</w:t>
      </w:r>
      <w:r>
        <w:rPr>
          <w:spacing w:val="-4"/>
          <w:sz w:val="24"/>
        </w:rPr>
        <w:t> </w:t>
      </w:r>
      <w:r>
        <w:rPr>
          <w:sz w:val="24"/>
        </w:rPr>
        <w:t>was</w:t>
      </w:r>
      <w:r>
        <w:rPr>
          <w:spacing w:val="-2"/>
          <w:sz w:val="24"/>
        </w:rPr>
        <w:t> </w:t>
      </w:r>
      <w:r>
        <w:rPr>
          <w:sz w:val="24"/>
        </w:rPr>
        <w:t>filed</w:t>
      </w:r>
      <w:r>
        <w:rPr>
          <w:spacing w:val="-3"/>
          <w:sz w:val="24"/>
        </w:rPr>
        <w:t> </w:t>
      </w:r>
      <w:r>
        <w:rPr>
          <w:sz w:val="24"/>
        </w:rPr>
        <w:t>with</w:t>
      </w:r>
      <w:r>
        <w:rPr>
          <w:spacing w:val="-3"/>
          <w:sz w:val="24"/>
        </w:rPr>
        <w:t> </w:t>
      </w:r>
      <w:r>
        <w:rPr>
          <w:sz w:val="24"/>
        </w:rPr>
        <w:t>FTA</w:t>
      </w:r>
      <w:r>
        <w:rPr>
          <w:spacing w:val="-1"/>
          <w:sz w:val="24"/>
        </w:rPr>
        <w:t> </w:t>
      </w:r>
      <w:r>
        <w:rPr>
          <w:sz w:val="24"/>
        </w:rPr>
        <w:t>and copy provided to MaineDOT.</w:t>
      </w:r>
      <w:r>
        <w:rPr>
          <w:spacing w:val="40"/>
          <w:sz w:val="24"/>
        </w:rPr>
        <w:t> </w:t>
      </w:r>
      <w:r>
        <w:rPr>
          <w:sz w:val="22"/>
        </w:rPr>
        <w:t>NA</w:t>
      </w:r>
    </w:p>
    <w:p>
      <w:pPr>
        <w:pStyle w:val="ListParagraph"/>
        <w:numPr>
          <w:ilvl w:val="2"/>
          <w:numId w:val="38"/>
        </w:numPr>
        <w:tabs>
          <w:tab w:pos="1991" w:val="left" w:leader="none"/>
        </w:tabs>
        <w:spacing w:line="259" w:lineRule="auto" w:before="0" w:after="0"/>
        <w:ind w:left="1991" w:right="1235" w:hanging="269"/>
        <w:jc w:val="left"/>
        <w:rPr>
          <w:sz w:val="24"/>
        </w:rPr>
      </w:pPr>
      <w:r>
        <w:rPr>
          <w:sz w:val="24"/>
        </w:rPr>
        <w:t>Do</w:t>
      </w:r>
      <w:r>
        <w:rPr>
          <w:spacing w:val="-2"/>
          <w:sz w:val="24"/>
        </w:rPr>
        <w:t> </w:t>
      </w:r>
      <w:r>
        <w:rPr>
          <w:sz w:val="24"/>
        </w:rPr>
        <w:t>you</w:t>
      </w:r>
      <w:r>
        <w:rPr>
          <w:spacing w:val="-1"/>
          <w:sz w:val="24"/>
        </w:rPr>
        <w:t> </w:t>
      </w:r>
      <w:r>
        <w:rPr>
          <w:sz w:val="24"/>
        </w:rPr>
        <w:t>ensure</w:t>
      </w:r>
      <w:r>
        <w:rPr>
          <w:spacing w:val="-4"/>
          <w:sz w:val="24"/>
        </w:rPr>
        <w:t> </w:t>
      </w:r>
      <w:r>
        <w:rPr>
          <w:sz w:val="24"/>
        </w:rPr>
        <w:t>that</w:t>
      </w:r>
      <w:r>
        <w:rPr>
          <w:spacing w:val="-4"/>
          <w:sz w:val="24"/>
        </w:rPr>
        <w:t> </w:t>
      </w:r>
      <w:r>
        <w:rPr>
          <w:sz w:val="24"/>
        </w:rPr>
        <w:t>bidders</w:t>
      </w:r>
      <w:r>
        <w:rPr>
          <w:spacing w:val="-3"/>
          <w:sz w:val="24"/>
        </w:rPr>
        <w:t> </w:t>
      </w:r>
      <w:r>
        <w:rPr>
          <w:sz w:val="24"/>
        </w:rPr>
        <w:t>on</w:t>
      </w:r>
      <w:r>
        <w:rPr>
          <w:spacing w:val="-4"/>
          <w:sz w:val="24"/>
        </w:rPr>
        <w:t> </w:t>
      </w:r>
      <w:r>
        <w:rPr>
          <w:sz w:val="24"/>
        </w:rPr>
        <w:t>contracts</w:t>
      </w:r>
      <w:r>
        <w:rPr>
          <w:spacing w:val="-5"/>
          <w:sz w:val="24"/>
        </w:rPr>
        <w:t> </w:t>
      </w:r>
      <w:r>
        <w:rPr>
          <w:sz w:val="24"/>
        </w:rPr>
        <w:t>over</w:t>
      </w:r>
      <w:r>
        <w:rPr>
          <w:spacing w:val="-5"/>
          <w:sz w:val="24"/>
        </w:rPr>
        <w:t> </w:t>
      </w:r>
      <w:r>
        <w:rPr>
          <w:sz w:val="24"/>
        </w:rPr>
        <w:t>$100,000</w:t>
      </w:r>
      <w:r>
        <w:rPr>
          <w:spacing w:val="-2"/>
          <w:sz w:val="24"/>
        </w:rPr>
        <w:t> </w:t>
      </w:r>
      <w:r>
        <w:rPr>
          <w:sz w:val="24"/>
        </w:rPr>
        <w:t>file</w:t>
      </w:r>
      <w:r>
        <w:rPr>
          <w:spacing w:val="-5"/>
          <w:sz w:val="24"/>
        </w:rPr>
        <w:t> </w:t>
      </w:r>
      <w:r>
        <w:rPr>
          <w:sz w:val="24"/>
        </w:rPr>
        <w:t>the</w:t>
      </w:r>
      <w:r>
        <w:rPr>
          <w:spacing w:val="-4"/>
          <w:sz w:val="24"/>
        </w:rPr>
        <w:t> </w:t>
      </w:r>
      <w:r>
        <w:rPr>
          <w:sz w:val="24"/>
        </w:rPr>
        <w:t>required</w:t>
      </w:r>
      <w:r>
        <w:rPr>
          <w:spacing w:val="-1"/>
          <w:sz w:val="24"/>
        </w:rPr>
        <w:t> </w:t>
      </w:r>
      <w:r>
        <w:rPr>
          <w:sz w:val="24"/>
        </w:rPr>
        <w:t>lobbying certification?</w:t>
      </w:r>
      <w:r>
        <w:rPr>
          <w:spacing w:val="40"/>
          <w:sz w:val="24"/>
        </w:rPr>
        <w:t> </w:t>
      </w:r>
      <w:r>
        <w:rPr>
          <w:sz w:val="24"/>
        </w:rPr>
        <w:t>Yes</w:t>
      </w:r>
    </w:p>
    <w:p>
      <w:pPr>
        <w:pStyle w:val="Heading5"/>
        <w:numPr>
          <w:ilvl w:val="0"/>
          <w:numId w:val="38"/>
        </w:numPr>
        <w:tabs>
          <w:tab w:pos="1458" w:val="left" w:leader="none"/>
        </w:tabs>
        <w:spacing w:line="240" w:lineRule="auto" w:before="1" w:after="0"/>
        <w:ind w:left="1458" w:right="0" w:hanging="547"/>
        <w:jc w:val="left"/>
        <w:rPr>
          <w:color w:val="2D74B5"/>
        </w:rPr>
      </w:pPr>
      <w:r>
        <w:rPr>
          <w:color w:val="2D74B5"/>
        </w:rPr>
        <w:t>Financial</w:t>
      </w:r>
      <w:r>
        <w:rPr>
          <w:color w:val="2D74B5"/>
          <w:spacing w:val="-6"/>
        </w:rPr>
        <w:t> </w:t>
      </w:r>
      <w:r>
        <w:rPr>
          <w:color w:val="2D74B5"/>
        </w:rPr>
        <w:t>Management</w:t>
      </w:r>
      <w:r>
        <w:rPr>
          <w:color w:val="2D74B5"/>
          <w:spacing w:val="-5"/>
        </w:rPr>
        <w:t> </w:t>
      </w:r>
      <w:r>
        <w:rPr>
          <w:color w:val="2D74B5"/>
        </w:rPr>
        <w:t>and</w:t>
      </w:r>
      <w:r>
        <w:rPr>
          <w:color w:val="2D74B5"/>
          <w:spacing w:val="-5"/>
        </w:rPr>
        <w:t> </w:t>
      </w:r>
      <w:r>
        <w:rPr>
          <w:color w:val="2D74B5"/>
          <w:spacing w:val="-2"/>
        </w:rPr>
        <w:t>Capacity</w:t>
      </w:r>
    </w:p>
    <w:p>
      <w:pPr>
        <w:pStyle w:val="ListParagraph"/>
        <w:numPr>
          <w:ilvl w:val="1"/>
          <w:numId w:val="38"/>
        </w:numPr>
        <w:tabs>
          <w:tab w:pos="1723" w:val="left" w:leader="none"/>
          <w:tab w:pos="5152" w:val="left" w:leader="none"/>
        </w:tabs>
        <w:spacing w:line="256" w:lineRule="auto" w:before="26" w:after="0"/>
        <w:ind w:left="1723" w:right="1236" w:hanging="272"/>
        <w:jc w:val="left"/>
        <w:rPr>
          <w:sz w:val="24"/>
        </w:rPr>
      </w:pPr>
      <w:r>
        <w:rPr>
          <w:sz w:val="24"/>
        </w:rPr>
        <w:t>Are</w:t>
      </w:r>
      <w:r>
        <w:rPr>
          <w:spacing w:val="-1"/>
          <w:sz w:val="24"/>
        </w:rPr>
        <w:t> </w:t>
      </w:r>
      <w:r>
        <w:rPr>
          <w:sz w:val="24"/>
        </w:rPr>
        <w:t>FTA</w:t>
      </w:r>
      <w:r>
        <w:rPr>
          <w:spacing w:val="-4"/>
          <w:sz w:val="24"/>
        </w:rPr>
        <w:t> </w:t>
      </w:r>
      <w:r>
        <w:rPr>
          <w:sz w:val="24"/>
        </w:rPr>
        <w:t>grant</w:t>
      </w:r>
      <w:r>
        <w:rPr>
          <w:spacing w:val="-3"/>
          <w:sz w:val="24"/>
        </w:rPr>
        <w:t> </w:t>
      </w:r>
      <w:r>
        <w:rPr>
          <w:sz w:val="24"/>
        </w:rPr>
        <w:t>funds</w:t>
      </w:r>
      <w:r>
        <w:rPr>
          <w:spacing w:val="-4"/>
          <w:sz w:val="24"/>
        </w:rPr>
        <w:t> </w:t>
      </w:r>
      <w:r>
        <w:rPr>
          <w:sz w:val="24"/>
        </w:rPr>
        <w:t>used</w:t>
      </w:r>
      <w:r>
        <w:rPr>
          <w:spacing w:val="-3"/>
          <w:sz w:val="24"/>
        </w:rPr>
        <w:t> </w:t>
      </w:r>
      <w:r>
        <w:rPr>
          <w:sz w:val="24"/>
        </w:rPr>
        <w:t>for</w:t>
      </w:r>
      <w:r>
        <w:rPr>
          <w:spacing w:val="-4"/>
          <w:sz w:val="24"/>
        </w:rPr>
        <w:t> </w:t>
      </w:r>
      <w:r>
        <w:rPr>
          <w:sz w:val="24"/>
        </w:rPr>
        <w:t>their</w:t>
      </w:r>
      <w:r>
        <w:rPr>
          <w:spacing w:val="-2"/>
          <w:sz w:val="24"/>
        </w:rPr>
        <w:t> </w:t>
      </w:r>
      <w:r>
        <w:rPr>
          <w:sz w:val="24"/>
        </w:rPr>
        <w:t>intended</w:t>
      </w:r>
      <w:r>
        <w:rPr>
          <w:spacing w:val="-3"/>
          <w:sz w:val="24"/>
        </w:rPr>
        <w:t> </w:t>
      </w:r>
      <w:r>
        <w:rPr>
          <w:sz w:val="24"/>
        </w:rPr>
        <w:t>purpose</w:t>
      </w:r>
      <w:r>
        <w:rPr>
          <w:spacing w:val="-1"/>
          <w:sz w:val="24"/>
        </w:rPr>
        <w:t> </w:t>
      </w:r>
      <w:r>
        <w:rPr>
          <w:sz w:val="24"/>
        </w:rPr>
        <w:t>as</w:t>
      </w:r>
      <w:r>
        <w:rPr>
          <w:spacing w:val="-2"/>
          <w:sz w:val="24"/>
        </w:rPr>
        <w:t> </w:t>
      </w:r>
      <w:r>
        <w:rPr>
          <w:sz w:val="24"/>
        </w:rPr>
        <w:t>outlined</w:t>
      </w:r>
      <w:r>
        <w:rPr>
          <w:spacing w:val="-3"/>
          <w:sz w:val="24"/>
        </w:rPr>
        <w:t> </w:t>
      </w:r>
      <w:r>
        <w:rPr>
          <w:sz w:val="24"/>
        </w:rPr>
        <w:t>in</w:t>
      </w:r>
      <w:r>
        <w:rPr>
          <w:spacing w:val="-3"/>
          <w:sz w:val="24"/>
        </w:rPr>
        <w:t> </w:t>
      </w:r>
      <w:r>
        <w:rPr>
          <w:sz w:val="24"/>
        </w:rPr>
        <w:t>each</w:t>
      </w:r>
      <w:r>
        <w:rPr>
          <w:spacing w:val="-3"/>
          <w:sz w:val="24"/>
        </w:rPr>
        <w:t> </w:t>
      </w:r>
      <w:r>
        <w:rPr>
          <w:sz w:val="24"/>
        </w:rPr>
        <w:t>Assignment Letter received from MaineDOT?</w:t>
        <w:tab/>
      </w:r>
      <w:r>
        <w:rPr>
          <w:spacing w:val="-4"/>
          <w:sz w:val="24"/>
        </w:rPr>
        <w:t>Yes</w:t>
      </w:r>
    </w:p>
    <w:p>
      <w:pPr>
        <w:pStyle w:val="ListParagraph"/>
        <w:numPr>
          <w:ilvl w:val="1"/>
          <w:numId w:val="38"/>
        </w:numPr>
        <w:tabs>
          <w:tab w:pos="1721" w:val="left" w:leader="none"/>
          <w:tab w:pos="1723" w:val="left" w:leader="none"/>
        </w:tabs>
        <w:spacing w:line="259" w:lineRule="auto" w:before="4" w:after="0"/>
        <w:ind w:left="1723" w:right="1152" w:hanging="272"/>
        <w:jc w:val="left"/>
        <w:rPr>
          <w:sz w:val="24"/>
        </w:rPr>
      </w:pPr>
      <w:r>
        <w:rPr>
          <w:sz w:val="24"/>
        </w:rPr>
        <w:t>Did</w:t>
      </w:r>
      <w:r>
        <w:rPr>
          <w:spacing w:val="-1"/>
          <w:sz w:val="24"/>
        </w:rPr>
        <w:t> </w:t>
      </w:r>
      <w:r>
        <w:rPr>
          <w:sz w:val="24"/>
        </w:rPr>
        <w:t>your</w:t>
      </w:r>
      <w:r>
        <w:rPr>
          <w:spacing w:val="-5"/>
          <w:sz w:val="24"/>
        </w:rPr>
        <w:t> </w:t>
      </w:r>
      <w:r>
        <w:rPr>
          <w:sz w:val="24"/>
        </w:rPr>
        <w:t>organization</w:t>
      </w:r>
      <w:r>
        <w:rPr>
          <w:spacing w:val="-4"/>
          <w:sz w:val="24"/>
        </w:rPr>
        <w:t> </w:t>
      </w:r>
      <w:r>
        <w:rPr>
          <w:sz w:val="24"/>
        </w:rPr>
        <w:t>spend</w:t>
      </w:r>
      <w:r>
        <w:rPr>
          <w:spacing w:val="-4"/>
          <w:sz w:val="24"/>
        </w:rPr>
        <w:t> </w:t>
      </w:r>
      <w:r>
        <w:rPr>
          <w:sz w:val="24"/>
        </w:rPr>
        <w:t>$750,000</w:t>
      </w:r>
      <w:r>
        <w:rPr>
          <w:spacing w:val="-2"/>
          <w:sz w:val="24"/>
        </w:rPr>
        <w:t> </w:t>
      </w:r>
      <w:r>
        <w:rPr>
          <w:sz w:val="24"/>
        </w:rPr>
        <w:t>or</w:t>
      </w:r>
      <w:r>
        <w:rPr>
          <w:spacing w:val="-2"/>
          <w:sz w:val="24"/>
        </w:rPr>
        <w:t> </w:t>
      </w:r>
      <w:r>
        <w:rPr>
          <w:sz w:val="24"/>
        </w:rPr>
        <w:t>more</w:t>
      </w:r>
      <w:r>
        <w:rPr>
          <w:spacing w:val="-2"/>
          <w:sz w:val="24"/>
        </w:rPr>
        <w:t> </w:t>
      </w:r>
      <w:r>
        <w:rPr>
          <w:sz w:val="24"/>
        </w:rPr>
        <w:t>in</w:t>
      </w:r>
      <w:r>
        <w:rPr>
          <w:spacing w:val="-4"/>
          <w:sz w:val="24"/>
        </w:rPr>
        <w:t> </w:t>
      </w:r>
      <w:r>
        <w:rPr>
          <w:sz w:val="24"/>
        </w:rPr>
        <w:t>federal</w:t>
      </w:r>
      <w:r>
        <w:rPr>
          <w:spacing w:val="-5"/>
          <w:sz w:val="24"/>
        </w:rPr>
        <w:t> </w:t>
      </w:r>
      <w:r>
        <w:rPr>
          <w:sz w:val="24"/>
        </w:rPr>
        <w:t>funds</w:t>
      </w:r>
      <w:r>
        <w:rPr>
          <w:spacing w:val="-5"/>
          <w:sz w:val="24"/>
        </w:rPr>
        <w:t> </w:t>
      </w:r>
      <w:r>
        <w:rPr>
          <w:sz w:val="24"/>
        </w:rPr>
        <w:t>during</w:t>
      </w:r>
      <w:r>
        <w:rPr>
          <w:spacing w:val="-3"/>
          <w:sz w:val="24"/>
        </w:rPr>
        <w:t> </w:t>
      </w:r>
      <w:r>
        <w:rPr>
          <w:sz w:val="24"/>
        </w:rPr>
        <w:t>your</w:t>
      </w:r>
      <w:r>
        <w:rPr>
          <w:spacing w:val="-2"/>
          <w:sz w:val="24"/>
        </w:rPr>
        <w:t> </w:t>
      </w:r>
      <w:r>
        <w:rPr>
          <w:sz w:val="24"/>
        </w:rPr>
        <w:t>last</w:t>
      </w:r>
      <w:r>
        <w:rPr>
          <w:spacing w:val="-4"/>
          <w:sz w:val="24"/>
        </w:rPr>
        <w:t> </w:t>
      </w:r>
      <w:r>
        <w:rPr>
          <w:sz w:val="24"/>
        </w:rPr>
        <w:t>fiscal year?</w:t>
      </w:r>
      <w:r>
        <w:rPr>
          <w:spacing w:val="40"/>
          <w:sz w:val="24"/>
        </w:rPr>
        <w:t> </w:t>
      </w:r>
      <w:r>
        <w:rPr>
          <w:sz w:val="24"/>
        </w:rPr>
        <w:t>If yes, are you current with single audit requirements?</w:t>
      </w:r>
      <w:r>
        <w:rPr>
          <w:spacing w:val="40"/>
          <w:sz w:val="24"/>
        </w:rPr>
        <w:t> </w:t>
      </w:r>
      <w:r>
        <w:rPr>
          <w:sz w:val="24"/>
        </w:rPr>
        <w:t>Yes, Yes</w:t>
      </w:r>
    </w:p>
    <w:p>
      <w:pPr>
        <w:pStyle w:val="ListParagraph"/>
        <w:numPr>
          <w:ilvl w:val="2"/>
          <w:numId w:val="38"/>
        </w:numPr>
        <w:tabs>
          <w:tab w:pos="2171" w:val="left" w:leader="none"/>
        </w:tabs>
        <w:spacing w:line="240" w:lineRule="auto" w:before="1" w:after="0"/>
        <w:ind w:left="2171" w:right="0" w:hanging="179"/>
        <w:jc w:val="left"/>
        <w:rPr>
          <w:sz w:val="24"/>
        </w:rPr>
      </w:pPr>
      <w:r>
        <w:rPr>
          <w:sz w:val="24"/>
        </w:rPr>
        <w:t>Were</w:t>
      </w:r>
      <w:r>
        <w:rPr>
          <w:spacing w:val="-1"/>
          <w:sz w:val="24"/>
        </w:rPr>
        <w:t> </w:t>
      </w:r>
      <w:r>
        <w:rPr>
          <w:sz w:val="24"/>
        </w:rPr>
        <w:t>audit findings</w:t>
      </w:r>
      <w:r>
        <w:rPr>
          <w:spacing w:val="-2"/>
          <w:sz w:val="24"/>
        </w:rPr>
        <w:t> </w:t>
      </w:r>
      <w:r>
        <w:rPr>
          <w:sz w:val="24"/>
        </w:rPr>
        <w:t>reported</w:t>
      </w:r>
      <w:r>
        <w:rPr>
          <w:spacing w:val="-2"/>
          <w:sz w:val="24"/>
        </w:rPr>
        <w:t> </w:t>
      </w:r>
      <w:r>
        <w:rPr>
          <w:sz w:val="24"/>
        </w:rPr>
        <w:t>and resolved?</w:t>
      </w:r>
      <w:r>
        <w:rPr>
          <w:spacing w:val="75"/>
          <w:w w:val="150"/>
          <w:sz w:val="24"/>
        </w:rPr>
        <w:t> </w:t>
      </w:r>
      <w:r>
        <w:rPr>
          <w:sz w:val="24"/>
        </w:rPr>
        <w:t>No</w:t>
      </w:r>
      <w:r>
        <w:rPr>
          <w:spacing w:val="-2"/>
          <w:sz w:val="24"/>
        </w:rPr>
        <w:t> </w:t>
      </w:r>
      <w:r>
        <w:rPr>
          <w:sz w:val="24"/>
        </w:rPr>
        <w:t>findings</w:t>
      </w:r>
      <w:r>
        <w:rPr>
          <w:spacing w:val="-4"/>
          <w:sz w:val="24"/>
        </w:rPr>
        <w:t> </w:t>
      </w:r>
      <w:r>
        <w:rPr>
          <w:sz w:val="24"/>
        </w:rPr>
        <w:t>were</w:t>
      </w:r>
      <w:r>
        <w:rPr>
          <w:spacing w:val="-3"/>
          <w:sz w:val="24"/>
        </w:rPr>
        <w:t> </w:t>
      </w:r>
      <w:r>
        <w:rPr>
          <w:spacing w:val="-2"/>
          <w:sz w:val="24"/>
        </w:rPr>
        <w:t>found</w:t>
      </w:r>
    </w:p>
    <w:p>
      <w:pPr>
        <w:pStyle w:val="ListParagraph"/>
        <w:numPr>
          <w:ilvl w:val="1"/>
          <w:numId w:val="38"/>
        </w:numPr>
        <w:tabs>
          <w:tab w:pos="1721" w:val="left" w:leader="none"/>
          <w:tab w:pos="1723" w:val="left" w:leader="none"/>
          <w:tab w:pos="7473" w:val="left" w:leader="none"/>
        </w:tabs>
        <w:spacing w:line="259" w:lineRule="auto" w:before="21" w:after="0"/>
        <w:ind w:left="1723" w:right="837" w:hanging="272"/>
        <w:jc w:val="left"/>
        <w:rPr>
          <w:sz w:val="24"/>
        </w:rPr>
      </w:pPr>
      <w:r>
        <w:rPr>
          <w:sz w:val="24"/>
        </w:rPr>
        <w:t>Is</w:t>
      </w:r>
      <w:r>
        <w:rPr>
          <w:spacing w:val="-4"/>
          <w:sz w:val="24"/>
        </w:rPr>
        <w:t> </w:t>
      </w:r>
      <w:r>
        <w:rPr>
          <w:sz w:val="24"/>
        </w:rPr>
        <w:t>your</w:t>
      </w:r>
      <w:r>
        <w:rPr>
          <w:spacing w:val="-3"/>
          <w:sz w:val="24"/>
        </w:rPr>
        <w:t> </w:t>
      </w:r>
      <w:r>
        <w:rPr>
          <w:sz w:val="24"/>
        </w:rPr>
        <w:t>organization</w:t>
      </w:r>
      <w:r>
        <w:rPr>
          <w:spacing w:val="-2"/>
          <w:sz w:val="24"/>
        </w:rPr>
        <w:t> </w:t>
      </w:r>
      <w:r>
        <w:rPr>
          <w:sz w:val="24"/>
        </w:rPr>
        <w:t>subject</w:t>
      </w:r>
      <w:r>
        <w:rPr>
          <w:spacing w:val="-2"/>
          <w:sz w:val="24"/>
        </w:rPr>
        <w:t> </w:t>
      </w:r>
      <w:r>
        <w:rPr>
          <w:sz w:val="24"/>
        </w:rPr>
        <w:t>to</w:t>
      </w:r>
      <w:r>
        <w:rPr>
          <w:spacing w:val="-3"/>
          <w:sz w:val="24"/>
        </w:rPr>
        <w:t> </w:t>
      </w:r>
      <w:r>
        <w:rPr>
          <w:sz w:val="24"/>
        </w:rPr>
        <w:t>the</w:t>
      </w:r>
      <w:r>
        <w:rPr>
          <w:spacing w:val="-5"/>
          <w:sz w:val="24"/>
        </w:rPr>
        <w:t> </w:t>
      </w:r>
      <w:r>
        <w:rPr>
          <w:sz w:val="24"/>
        </w:rPr>
        <w:t>Maine</w:t>
      </w:r>
      <w:r>
        <w:rPr>
          <w:spacing w:val="-3"/>
          <w:sz w:val="24"/>
        </w:rPr>
        <w:t> </w:t>
      </w:r>
      <w:r>
        <w:rPr>
          <w:sz w:val="24"/>
        </w:rPr>
        <w:t>Uniform</w:t>
      </w:r>
      <w:r>
        <w:rPr>
          <w:spacing w:val="-3"/>
          <w:sz w:val="24"/>
        </w:rPr>
        <w:t> </w:t>
      </w:r>
      <w:r>
        <w:rPr>
          <w:sz w:val="24"/>
        </w:rPr>
        <w:t>Accounting</w:t>
      </w:r>
      <w:r>
        <w:rPr>
          <w:spacing w:val="-6"/>
          <w:sz w:val="24"/>
        </w:rPr>
        <w:t> </w:t>
      </w:r>
      <w:r>
        <w:rPr>
          <w:sz w:val="24"/>
        </w:rPr>
        <w:t>and</w:t>
      </w:r>
      <w:r>
        <w:rPr>
          <w:spacing w:val="-2"/>
          <w:sz w:val="24"/>
        </w:rPr>
        <w:t> </w:t>
      </w:r>
      <w:r>
        <w:rPr>
          <w:sz w:val="24"/>
        </w:rPr>
        <w:t>Auditing</w:t>
      </w:r>
      <w:r>
        <w:rPr>
          <w:spacing w:val="-4"/>
          <w:sz w:val="24"/>
        </w:rPr>
        <w:t> </w:t>
      </w:r>
      <w:r>
        <w:rPr>
          <w:sz w:val="24"/>
        </w:rPr>
        <w:t>Practices</w:t>
      </w:r>
      <w:r>
        <w:rPr>
          <w:spacing w:val="-4"/>
          <w:sz w:val="24"/>
        </w:rPr>
        <w:t> </w:t>
      </w:r>
      <w:r>
        <w:rPr>
          <w:sz w:val="24"/>
        </w:rPr>
        <w:t>for Community Agencies (MAAP) as enacted by Title 5 Chapter 148-B?</w:t>
      </w:r>
      <w:r>
        <w:rPr>
          <w:spacing w:val="40"/>
          <w:sz w:val="24"/>
        </w:rPr>
        <w:t> </w:t>
      </w:r>
      <w:r>
        <w:rPr>
          <w:sz w:val="24"/>
        </w:rPr>
        <w:t>If yes, have your completed and submitted your MAAP Audit as required?</w:t>
        <w:tab/>
      </w:r>
      <w:r>
        <w:rPr>
          <w:spacing w:val="-4"/>
          <w:sz w:val="24"/>
        </w:rPr>
        <w:t>Yes</w:t>
      </w:r>
    </w:p>
    <w:p>
      <w:pPr>
        <w:pStyle w:val="ListParagraph"/>
        <w:numPr>
          <w:ilvl w:val="2"/>
          <w:numId w:val="38"/>
        </w:numPr>
        <w:tabs>
          <w:tab w:pos="2171" w:val="left" w:leader="none"/>
        </w:tabs>
        <w:spacing w:line="240" w:lineRule="auto" w:before="1" w:after="0"/>
        <w:ind w:left="2171" w:right="0" w:hanging="179"/>
        <w:jc w:val="left"/>
        <w:rPr>
          <w:sz w:val="24"/>
        </w:rPr>
      </w:pPr>
      <w:r>
        <w:rPr>
          <w:sz w:val="24"/>
        </w:rPr>
        <w:t>Were</w:t>
      </w:r>
      <w:r>
        <w:rPr>
          <w:spacing w:val="-2"/>
          <w:sz w:val="24"/>
        </w:rPr>
        <w:t> </w:t>
      </w:r>
      <w:r>
        <w:rPr>
          <w:sz w:val="24"/>
        </w:rPr>
        <w:t>audit</w:t>
      </w:r>
      <w:r>
        <w:rPr>
          <w:spacing w:val="-1"/>
          <w:sz w:val="24"/>
        </w:rPr>
        <w:t> </w:t>
      </w:r>
      <w:r>
        <w:rPr>
          <w:sz w:val="24"/>
        </w:rPr>
        <w:t>findings</w:t>
      </w:r>
      <w:r>
        <w:rPr>
          <w:spacing w:val="-3"/>
          <w:sz w:val="24"/>
        </w:rPr>
        <w:t> </w:t>
      </w:r>
      <w:r>
        <w:rPr>
          <w:sz w:val="24"/>
        </w:rPr>
        <w:t>resolved?</w:t>
      </w:r>
      <w:r>
        <w:rPr>
          <w:spacing w:val="50"/>
          <w:sz w:val="24"/>
        </w:rPr>
        <w:t> </w:t>
      </w:r>
      <w:r>
        <w:rPr>
          <w:sz w:val="24"/>
        </w:rPr>
        <w:t>No</w:t>
      </w:r>
      <w:r>
        <w:rPr>
          <w:spacing w:val="-1"/>
          <w:sz w:val="24"/>
        </w:rPr>
        <w:t> </w:t>
      </w:r>
      <w:r>
        <w:rPr>
          <w:spacing w:val="-2"/>
          <w:sz w:val="24"/>
        </w:rPr>
        <w:t>Findings</w:t>
      </w:r>
    </w:p>
    <w:p>
      <w:pPr>
        <w:pStyle w:val="ListParagraph"/>
        <w:numPr>
          <w:ilvl w:val="1"/>
          <w:numId w:val="38"/>
        </w:numPr>
        <w:tabs>
          <w:tab w:pos="1721" w:val="left" w:leader="none"/>
          <w:tab w:pos="1723" w:val="left" w:leader="none"/>
        </w:tabs>
        <w:spacing w:line="259" w:lineRule="auto" w:before="22" w:after="0"/>
        <w:ind w:left="1723" w:right="663" w:hanging="272"/>
        <w:jc w:val="left"/>
        <w:rPr>
          <w:sz w:val="24"/>
        </w:rPr>
      </w:pPr>
      <w:r>
        <w:rPr>
          <w:sz w:val="24"/>
        </w:rPr>
        <w:t>Describe</w:t>
      </w:r>
      <w:r>
        <w:rPr>
          <w:spacing w:val="-4"/>
          <w:sz w:val="24"/>
        </w:rPr>
        <w:t> </w:t>
      </w:r>
      <w:r>
        <w:rPr>
          <w:sz w:val="24"/>
        </w:rPr>
        <w:t>your</w:t>
      </w:r>
      <w:r>
        <w:rPr>
          <w:spacing w:val="-4"/>
          <w:sz w:val="24"/>
        </w:rPr>
        <w:t> </w:t>
      </w:r>
      <w:r>
        <w:rPr>
          <w:sz w:val="24"/>
        </w:rPr>
        <w:t>accounting</w:t>
      </w:r>
      <w:r>
        <w:rPr>
          <w:spacing w:val="-3"/>
          <w:sz w:val="24"/>
        </w:rPr>
        <w:t> </w:t>
      </w:r>
      <w:r>
        <w:rPr>
          <w:sz w:val="24"/>
        </w:rPr>
        <w:t>system</w:t>
      </w:r>
      <w:r>
        <w:rPr>
          <w:spacing w:val="-2"/>
          <w:sz w:val="24"/>
        </w:rPr>
        <w:t> </w:t>
      </w:r>
      <w:r>
        <w:rPr>
          <w:sz w:val="24"/>
        </w:rPr>
        <w:t>and</w:t>
      </w:r>
      <w:r>
        <w:rPr>
          <w:spacing w:val="-4"/>
          <w:sz w:val="24"/>
        </w:rPr>
        <w:t> </w:t>
      </w:r>
      <w:r>
        <w:rPr>
          <w:sz w:val="24"/>
        </w:rPr>
        <w:t>financial</w:t>
      </w:r>
      <w:r>
        <w:rPr>
          <w:spacing w:val="-2"/>
          <w:sz w:val="24"/>
        </w:rPr>
        <w:t> </w:t>
      </w:r>
      <w:r>
        <w:rPr>
          <w:sz w:val="24"/>
        </w:rPr>
        <w:t>management</w:t>
      </w:r>
      <w:r>
        <w:rPr>
          <w:spacing w:val="-4"/>
          <w:sz w:val="24"/>
        </w:rPr>
        <w:t> </w:t>
      </w:r>
      <w:r>
        <w:rPr>
          <w:sz w:val="24"/>
        </w:rPr>
        <w:t>controls</w:t>
      </w:r>
      <w:r>
        <w:rPr>
          <w:spacing w:val="-3"/>
          <w:sz w:val="24"/>
        </w:rPr>
        <w:t> </w:t>
      </w:r>
      <w:r>
        <w:rPr>
          <w:sz w:val="24"/>
        </w:rPr>
        <w:t>and</w:t>
      </w:r>
      <w:r>
        <w:rPr>
          <w:spacing w:val="-5"/>
          <w:sz w:val="24"/>
        </w:rPr>
        <w:t> </w:t>
      </w:r>
      <w:r>
        <w:rPr>
          <w:sz w:val="24"/>
        </w:rPr>
        <w:t>explain</w:t>
      </w:r>
      <w:r>
        <w:rPr>
          <w:spacing w:val="-4"/>
          <w:sz w:val="24"/>
        </w:rPr>
        <w:t> </w:t>
      </w:r>
      <w:r>
        <w:rPr>
          <w:sz w:val="24"/>
        </w:rPr>
        <w:t>how</w:t>
      </w:r>
      <w:r>
        <w:rPr>
          <w:spacing w:val="-4"/>
          <w:sz w:val="24"/>
        </w:rPr>
        <w:t> </w:t>
      </w:r>
      <w:r>
        <w:rPr>
          <w:sz w:val="24"/>
        </w:rPr>
        <w:t>the following requirements are met:</w:t>
      </w:r>
    </w:p>
    <w:p>
      <w:pPr>
        <w:pStyle w:val="ListParagraph"/>
        <w:numPr>
          <w:ilvl w:val="2"/>
          <w:numId w:val="38"/>
        </w:numPr>
        <w:tabs>
          <w:tab w:pos="2171" w:val="left" w:leader="none"/>
        </w:tabs>
        <w:spacing w:line="240" w:lineRule="auto" w:before="0" w:after="0"/>
        <w:ind w:left="2171" w:right="0" w:hanging="179"/>
        <w:jc w:val="left"/>
        <w:rPr>
          <w:sz w:val="24"/>
        </w:rPr>
      </w:pPr>
      <w:r>
        <w:rPr>
          <w:sz w:val="24"/>
        </w:rPr>
        <w:t>Financial</w:t>
      </w:r>
      <w:r>
        <w:rPr>
          <w:spacing w:val="-1"/>
          <w:sz w:val="24"/>
        </w:rPr>
        <w:t> </w:t>
      </w:r>
      <w:r>
        <w:rPr>
          <w:spacing w:val="-2"/>
          <w:sz w:val="24"/>
        </w:rPr>
        <w:t>reporting</w:t>
      </w:r>
    </w:p>
    <w:p>
      <w:pPr>
        <w:pStyle w:val="ListParagraph"/>
        <w:numPr>
          <w:ilvl w:val="2"/>
          <w:numId w:val="38"/>
        </w:numPr>
        <w:tabs>
          <w:tab w:pos="2171" w:val="left" w:leader="none"/>
        </w:tabs>
        <w:spacing w:line="240" w:lineRule="auto" w:before="22" w:after="0"/>
        <w:ind w:left="2171" w:right="0" w:hanging="179"/>
        <w:jc w:val="left"/>
        <w:rPr>
          <w:sz w:val="24"/>
        </w:rPr>
      </w:pPr>
      <w:r>
        <w:rPr>
          <w:sz w:val="24"/>
        </w:rPr>
        <w:t>Accounting</w:t>
      </w:r>
      <w:r>
        <w:rPr>
          <w:spacing w:val="-1"/>
          <w:sz w:val="24"/>
        </w:rPr>
        <w:t> </w:t>
      </w:r>
      <w:r>
        <w:rPr>
          <w:spacing w:val="-2"/>
          <w:sz w:val="24"/>
        </w:rPr>
        <w:t>records</w:t>
      </w:r>
    </w:p>
    <w:p>
      <w:pPr>
        <w:pStyle w:val="ListParagraph"/>
        <w:numPr>
          <w:ilvl w:val="2"/>
          <w:numId w:val="38"/>
        </w:numPr>
        <w:tabs>
          <w:tab w:pos="2171" w:val="left" w:leader="none"/>
        </w:tabs>
        <w:spacing w:line="240" w:lineRule="auto" w:before="24" w:after="0"/>
        <w:ind w:left="2171" w:right="0" w:hanging="179"/>
        <w:jc w:val="left"/>
        <w:rPr>
          <w:sz w:val="24"/>
        </w:rPr>
      </w:pPr>
      <w:r>
        <w:rPr>
          <w:sz w:val="24"/>
        </w:rPr>
        <w:t>Internal </w:t>
      </w:r>
      <w:r>
        <w:rPr>
          <w:spacing w:val="-2"/>
          <w:sz w:val="24"/>
        </w:rPr>
        <w:t>controls</w:t>
      </w:r>
    </w:p>
    <w:p>
      <w:pPr>
        <w:pStyle w:val="ListParagraph"/>
        <w:numPr>
          <w:ilvl w:val="2"/>
          <w:numId w:val="38"/>
        </w:numPr>
        <w:tabs>
          <w:tab w:pos="2171" w:val="left" w:leader="none"/>
        </w:tabs>
        <w:spacing w:line="240" w:lineRule="auto" w:before="23" w:after="0"/>
        <w:ind w:left="2171" w:right="0" w:hanging="179"/>
        <w:jc w:val="left"/>
        <w:rPr>
          <w:sz w:val="24"/>
        </w:rPr>
      </w:pPr>
      <w:r>
        <w:rPr>
          <w:sz w:val="24"/>
        </w:rPr>
        <w:t>Budget</w:t>
      </w:r>
      <w:r>
        <w:rPr>
          <w:spacing w:val="-3"/>
          <w:sz w:val="24"/>
        </w:rPr>
        <w:t> </w:t>
      </w:r>
      <w:r>
        <w:rPr>
          <w:spacing w:val="-2"/>
          <w:sz w:val="24"/>
        </w:rPr>
        <w:t>controls</w:t>
      </w:r>
    </w:p>
    <w:p>
      <w:pPr>
        <w:pStyle w:val="ListParagraph"/>
        <w:numPr>
          <w:ilvl w:val="2"/>
          <w:numId w:val="38"/>
        </w:numPr>
        <w:tabs>
          <w:tab w:pos="2171" w:val="left" w:leader="none"/>
        </w:tabs>
        <w:spacing w:line="240" w:lineRule="auto" w:before="24" w:after="0"/>
        <w:ind w:left="2171" w:right="0" w:hanging="179"/>
        <w:jc w:val="left"/>
        <w:rPr>
          <w:sz w:val="24"/>
        </w:rPr>
      </w:pPr>
      <w:r>
        <w:rPr>
          <w:sz w:val="24"/>
        </w:rPr>
        <w:t>Allowable</w:t>
      </w:r>
      <w:r>
        <w:rPr>
          <w:spacing w:val="-2"/>
          <w:sz w:val="24"/>
        </w:rPr>
        <w:t> </w:t>
      </w:r>
      <w:r>
        <w:rPr>
          <w:spacing w:val="-4"/>
          <w:sz w:val="24"/>
        </w:rPr>
        <w:t>costs</w:t>
      </w:r>
    </w:p>
    <w:p>
      <w:pPr>
        <w:pStyle w:val="ListParagraph"/>
        <w:numPr>
          <w:ilvl w:val="2"/>
          <w:numId w:val="38"/>
        </w:numPr>
        <w:tabs>
          <w:tab w:pos="2171" w:val="left" w:leader="none"/>
        </w:tabs>
        <w:spacing w:line="240" w:lineRule="auto" w:before="22" w:after="0"/>
        <w:ind w:left="2171" w:right="0" w:hanging="179"/>
        <w:jc w:val="left"/>
        <w:rPr>
          <w:sz w:val="24"/>
        </w:rPr>
      </w:pPr>
      <w:r>
        <w:rPr>
          <w:sz w:val="24"/>
        </w:rPr>
        <w:t>Source</w:t>
      </w:r>
      <w:r>
        <w:rPr>
          <w:spacing w:val="-1"/>
          <w:sz w:val="24"/>
        </w:rPr>
        <w:t> </w:t>
      </w:r>
      <w:r>
        <w:rPr>
          <w:spacing w:val="-2"/>
          <w:sz w:val="24"/>
        </w:rPr>
        <w:t>documentation</w:t>
      </w:r>
    </w:p>
    <w:p>
      <w:pPr>
        <w:pStyle w:val="ListParagraph"/>
        <w:numPr>
          <w:ilvl w:val="2"/>
          <w:numId w:val="38"/>
        </w:numPr>
        <w:tabs>
          <w:tab w:pos="2171" w:val="left" w:leader="none"/>
        </w:tabs>
        <w:spacing w:line="240" w:lineRule="auto" w:before="24" w:after="0"/>
        <w:ind w:left="2171" w:right="0" w:hanging="179"/>
        <w:jc w:val="left"/>
        <w:rPr>
          <w:sz w:val="24"/>
        </w:rPr>
      </w:pPr>
      <w:r>
        <w:rPr>
          <w:sz w:val="24"/>
        </w:rPr>
        <w:t>Cash </w:t>
      </w:r>
      <w:r>
        <w:rPr>
          <w:spacing w:val="-2"/>
          <w:sz w:val="24"/>
        </w:rPr>
        <w:t>management</w:t>
      </w:r>
    </w:p>
    <w:p>
      <w:pPr>
        <w:pStyle w:val="ListParagraph"/>
        <w:numPr>
          <w:ilvl w:val="2"/>
          <w:numId w:val="38"/>
        </w:numPr>
        <w:tabs>
          <w:tab w:pos="2351" w:val="left" w:leader="none"/>
        </w:tabs>
        <w:spacing w:line="259" w:lineRule="auto" w:before="23" w:after="0"/>
        <w:ind w:left="1992" w:right="5250" w:firstLine="0"/>
        <w:jc w:val="left"/>
        <w:rPr>
          <w:sz w:val="24"/>
        </w:rPr>
      </w:pPr>
      <w:r>
        <w:rPr>
          <w:sz w:val="24"/>
        </w:rPr>
        <w:t>Adequate staffing/qualifications Please</w:t>
      </w:r>
      <w:r>
        <w:rPr>
          <w:spacing w:val="-6"/>
          <w:sz w:val="24"/>
        </w:rPr>
        <w:t> </w:t>
      </w:r>
      <w:r>
        <w:rPr>
          <w:sz w:val="24"/>
        </w:rPr>
        <w:t>refer</w:t>
      </w:r>
      <w:r>
        <w:rPr>
          <w:spacing w:val="-9"/>
          <w:sz w:val="24"/>
        </w:rPr>
        <w:t> </w:t>
      </w:r>
      <w:r>
        <w:rPr>
          <w:sz w:val="24"/>
        </w:rPr>
        <w:t>to</w:t>
      </w:r>
      <w:r>
        <w:rPr>
          <w:spacing w:val="-6"/>
          <w:sz w:val="24"/>
        </w:rPr>
        <w:t> </w:t>
      </w:r>
      <w:r>
        <w:rPr>
          <w:sz w:val="24"/>
        </w:rPr>
        <w:t>Admin</w:t>
      </w:r>
      <w:r>
        <w:rPr>
          <w:spacing w:val="-8"/>
          <w:sz w:val="24"/>
        </w:rPr>
        <w:t> </w:t>
      </w:r>
      <w:r>
        <w:rPr>
          <w:sz w:val="24"/>
        </w:rPr>
        <w:t>Manual</w:t>
      </w:r>
      <w:r>
        <w:rPr>
          <w:spacing w:val="-9"/>
          <w:sz w:val="24"/>
        </w:rPr>
        <w:t> </w:t>
      </w:r>
      <w:r>
        <w:rPr>
          <w:sz w:val="24"/>
        </w:rPr>
        <w:t>enclosed.</w:t>
      </w:r>
    </w:p>
    <w:p>
      <w:pPr>
        <w:pStyle w:val="ListParagraph"/>
        <w:numPr>
          <w:ilvl w:val="1"/>
          <w:numId w:val="38"/>
        </w:numPr>
        <w:tabs>
          <w:tab w:pos="1990" w:val="left" w:leader="none"/>
          <w:tab w:pos="1992" w:val="left" w:leader="none"/>
        </w:tabs>
        <w:spacing w:line="259" w:lineRule="auto" w:before="0" w:after="0"/>
        <w:ind w:left="1992" w:right="753" w:hanging="360"/>
        <w:jc w:val="both"/>
        <w:rPr>
          <w:sz w:val="24"/>
        </w:rPr>
      </w:pPr>
      <w:r>
        <w:rPr>
          <w:sz w:val="24"/>
        </w:rPr>
        <w:t>Have</w:t>
      </w:r>
      <w:r>
        <w:rPr>
          <w:spacing w:val="-2"/>
          <w:sz w:val="24"/>
        </w:rPr>
        <w:t> </w:t>
      </w:r>
      <w:r>
        <w:rPr>
          <w:sz w:val="24"/>
        </w:rPr>
        <w:t>your</w:t>
      </w:r>
      <w:r>
        <w:rPr>
          <w:spacing w:val="-5"/>
          <w:sz w:val="24"/>
        </w:rPr>
        <w:t> </w:t>
      </w:r>
      <w:r>
        <w:rPr>
          <w:sz w:val="24"/>
        </w:rPr>
        <w:t>financial</w:t>
      </w:r>
      <w:r>
        <w:rPr>
          <w:spacing w:val="-5"/>
          <w:sz w:val="24"/>
        </w:rPr>
        <w:t> </w:t>
      </w:r>
      <w:r>
        <w:rPr>
          <w:sz w:val="24"/>
        </w:rPr>
        <w:t>policies</w:t>
      </w:r>
      <w:r>
        <w:rPr>
          <w:spacing w:val="-3"/>
          <w:sz w:val="24"/>
        </w:rPr>
        <w:t> </w:t>
      </w:r>
      <w:r>
        <w:rPr>
          <w:sz w:val="24"/>
        </w:rPr>
        <w:t>been</w:t>
      </w:r>
      <w:r>
        <w:rPr>
          <w:spacing w:val="-4"/>
          <w:sz w:val="24"/>
        </w:rPr>
        <w:t> </w:t>
      </w:r>
      <w:r>
        <w:rPr>
          <w:sz w:val="24"/>
        </w:rPr>
        <w:t>updated</w:t>
      </w:r>
      <w:r>
        <w:rPr>
          <w:spacing w:val="-4"/>
          <w:sz w:val="24"/>
        </w:rPr>
        <w:t> </w:t>
      </w:r>
      <w:r>
        <w:rPr>
          <w:sz w:val="24"/>
        </w:rPr>
        <w:t>to</w:t>
      </w:r>
      <w:r>
        <w:rPr>
          <w:spacing w:val="-4"/>
          <w:sz w:val="24"/>
        </w:rPr>
        <w:t> </w:t>
      </w:r>
      <w:r>
        <w:rPr>
          <w:sz w:val="24"/>
        </w:rPr>
        <w:t>reflect</w:t>
      </w:r>
      <w:r>
        <w:rPr>
          <w:spacing w:val="-1"/>
          <w:sz w:val="24"/>
        </w:rPr>
        <w:t> </w:t>
      </w:r>
      <w:r>
        <w:rPr>
          <w:sz w:val="24"/>
        </w:rPr>
        <w:t>the</w:t>
      </w:r>
      <w:r>
        <w:rPr>
          <w:spacing w:val="-4"/>
          <w:sz w:val="24"/>
        </w:rPr>
        <w:t> </w:t>
      </w:r>
      <w:r>
        <w:rPr>
          <w:sz w:val="24"/>
        </w:rPr>
        <w:t>newest</w:t>
      </w:r>
      <w:r>
        <w:rPr>
          <w:spacing w:val="-4"/>
          <w:sz w:val="24"/>
        </w:rPr>
        <w:t> </w:t>
      </w:r>
      <w:r>
        <w:rPr>
          <w:sz w:val="24"/>
        </w:rPr>
        <w:t>regulations?</w:t>
      </w:r>
      <w:r>
        <w:rPr>
          <w:spacing w:val="-4"/>
          <w:sz w:val="24"/>
        </w:rPr>
        <w:t> </w:t>
      </w:r>
      <w:r>
        <w:rPr>
          <w:sz w:val="24"/>
        </w:rPr>
        <w:t>Not</w:t>
      </w:r>
      <w:r>
        <w:rPr>
          <w:spacing w:val="-4"/>
          <w:sz w:val="24"/>
        </w:rPr>
        <w:t> </w:t>
      </w:r>
      <w:r>
        <w:rPr>
          <w:sz w:val="24"/>
        </w:rPr>
        <w:t>since the</w:t>
      </w:r>
      <w:r>
        <w:rPr>
          <w:spacing w:val="-2"/>
          <w:sz w:val="24"/>
        </w:rPr>
        <w:t> </w:t>
      </w:r>
      <w:r>
        <w:rPr>
          <w:sz w:val="24"/>
        </w:rPr>
        <w:t>last</w:t>
      </w:r>
      <w:r>
        <w:rPr>
          <w:spacing w:val="-2"/>
          <w:sz w:val="24"/>
        </w:rPr>
        <w:t> </w:t>
      </w:r>
      <w:r>
        <w:rPr>
          <w:sz w:val="24"/>
        </w:rPr>
        <w:t>time</w:t>
      </w:r>
      <w:r>
        <w:rPr>
          <w:spacing w:val="-2"/>
          <w:sz w:val="24"/>
        </w:rPr>
        <w:t> </w:t>
      </w:r>
      <w:r>
        <w:rPr>
          <w:sz w:val="24"/>
        </w:rPr>
        <w:t>the</w:t>
      </w:r>
      <w:r>
        <w:rPr>
          <w:spacing w:val="-2"/>
          <w:sz w:val="24"/>
        </w:rPr>
        <w:t> </w:t>
      </w:r>
      <w:r>
        <w:rPr>
          <w:sz w:val="24"/>
        </w:rPr>
        <w:t>policy</w:t>
      </w:r>
      <w:r>
        <w:rPr>
          <w:spacing w:val="-4"/>
          <w:sz w:val="24"/>
        </w:rPr>
        <w:t> </w:t>
      </w:r>
      <w:r>
        <w:rPr>
          <w:sz w:val="24"/>
        </w:rPr>
        <w:t>was</w:t>
      </w:r>
      <w:r>
        <w:rPr>
          <w:spacing w:val="-1"/>
          <w:sz w:val="24"/>
        </w:rPr>
        <w:t> </w:t>
      </w:r>
      <w:r>
        <w:rPr>
          <w:sz w:val="24"/>
        </w:rPr>
        <w:t>submitted.</w:t>
      </w:r>
      <w:r>
        <w:rPr>
          <w:spacing w:val="-2"/>
          <w:sz w:val="24"/>
        </w:rPr>
        <w:t> </w:t>
      </w:r>
      <w:r>
        <w:rPr>
          <w:sz w:val="24"/>
        </w:rPr>
        <w:t>Has</w:t>
      </w:r>
      <w:r>
        <w:rPr>
          <w:spacing w:val="-1"/>
          <w:sz w:val="24"/>
        </w:rPr>
        <w:t> </w:t>
      </w:r>
      <w:r>
        <w:rPr>
          <w:sz w:val="24"/>
        </w:rPr>
        <w:t>MaineDOT</w:t>
      </w:r>
      <w:r>
        <w:rPr>
          <w:spacing w:val="-2"/>
          <w:sz w:val="24"/>
        </w:rPr>
        <w:t> </w:t>
      </w:r>
      <w:r>
        <w:rPr>
          <w:sz w:val="24"/>
        </w:rPr>
        <w:t>been</w:t>
      </w:r>
      <w:r>
        <w:rPr>
          <w:spacing w:val="-2"/>
          <w:sz w:val="24"/>
        </w:rPr>
        <w:t> </w:t>
      </w:r>
      <w:r>
        <w:rPr>
          <w:sz w:val="24"/>
        </w:rPr>
        <w:t>provided</w:t>
      </w:r>
      <w:r>
        <w:rPr>
          <w:spacing w:val="-2"/>
          <w:sz w:val="24"/>
        </w:rPr>
        <w:t> </w:t>
      </w:r>
      <w:r>
        <w:rPr>
          <w:sz w:val="24"/>
        </w:rPr>
        <w:t>the most</w:t>
      </w:r>
      <w:r>
        <w:rPr>
          <w:spacing w:val="-2"/>
          <w:sz w:val="24"/>
        </w:rPr>
        <w:t> </w:t>
      </w:r>
      <w:r>
        <w:rPr>
          <w:sz w:val="24"/>
        </w:rPr>
        <w:t>recent update?</w:t>
      </w:r>
      <w:r>
        <w:rPr>
          <w:spacing w:val="40"/>
          <w:sz w:val="24"/>
        </w:rPr>
        <w:t> </w:t>
      </w:r>
      <w:r>
        <w:rPr>
          <w:sz w:val="24"/>
        </w:rPr>
        <w:t>Will review, update, present to Board and submit if necessary</w:t>
      </w:r>
    </w:p>
    <w:p>
      <w:pPr>
        <w:pStyle w:val="ListParagraph"/>
        <w:numPr>
          <w:ilvl w:val="1"/>
          <w:numId w:val="38"/>
        </w:numPr>
        <w:tabs>
          <w:tab w:pos="1991" w:val="left" w:leader="none"/>
        </w:tabs>
        <w:spacing w:line="240" w:lineRule="auto" w:before="0" w:after="0"/>
        <w:ind w:left="1991" w:right="0" w:hanging="268"/>
        <w:jc w:val="both"/>
        <w:rPr>
          <w:sz w:val="24"/>
        </w:rPr>
      </w:pPr>
      <w:r>
        <w:rPr>
          <w:sz w:val="24"/>
        </w:rPr>
        <w:t>Do</w:t>
      </w:r>
      <w:r>
        <w:rPr>
          <w:spacing w:val="-4"/>
          <w:sz w:val="24"/>
        </w:rPr>
        <w:t> </w:t>
      </w:r>
      <w:r>
        <w:rPr>
          <w:sz w:val="24"/>
        </w:rPr>
        <w:t>you charge</w:t>
      </w:r>
      <w:r>
        <w:rPr>
          <w:spacing w:val="-1"/>
          <w:sz w:val="24"/>
        </w:rPr>
        <w:t> </w:t>
      </w:r>
      <w:r>
        <w:rPr>
          <w:sz w:val="24"/>
        </w:rPr>
        <w:t>indirect costs</w:t>
      </w:r>
      <w:r>
        <w:rPr>
          <w:spacing w:val="-2"/>
          <w:sz w:val="24"/>
        </w:rPr>
        <w:t> </w:t>
      </w:r>
      <w:r>
        <w:rPr>
          <w:sz w:val="24"/>
        </w:rPr>
        <w:t>to</w:t>
      </w:r>
      <w:r>
        <w:rPr>
          <w:spacing w:val="-3"/>
          <w:sz w:val="24"/>
        </w:rPr>
        <w:t> </w:t>
      </w:r>
      <w:r>
        <w:rPr>
          <w:sz w:val="24"/>
        </w:rPr>
        <w:t>federal</w:t>
      </w:r>
      <w:r>
        <w:rPr>
          <w:spacing w:val="-1"/>
          <w:sz w:val="24"/>
        </w:rPr>
        <w:t> </w:t>
      </w:r>
      <w:r>
        <w:rPr>
          <w:sz w:val="24"/>
        </w:rPr>
        <w:t>grants?</w:t>
      </w:r>
      <w:r>
        <w:rPr>
          <w:spacing w:val="48"/>
          <w:sz w:val="24"/>
        </w:rPr>
        <w:t> </w:t>
      </w:r>
      <w:r>
        <w:rPr>
          <w:sz w:val="24"/>
        </w:rPr>
        <w:t>If</w:t>
      </w:r>
      <w:r>
        <w:rPr>
          <w:spacing w:val="-2"/>
          <w:sz w:val="24"/>
        </w:rPr>
        <w:t> </w:t>
      </w:r>
      <w:r>
        <w:rPr>
          <w:sz w:val="24"/>
        </w:rPr>
        <w:t>yes:</w:t>
      </w:r>
      <w:r>
        <w:rPr>
          <w:spacing w:val="-1"/>
          <w:sz w:val="24"/>
        </w:rPr>
        <w:t> </w:t>
      </w:r>
      <w:r>
        <w:rPr>
          <w:spacing w:val="-5"/>
          <w:sz w:val="24"/>
        </w:rPr>
        <w:t>Yes</w:t>
      </w:r>
    </w:p>
    <w:p>
      <w:pPr>
        <w:pStyle w:val="ListParagraph"/>
        <w:numPr>
          <w:ilvl w:val="2"/>
          <w:numId w:val="38"/>
        </w:numPr>
        <w:tabs>
          <w:tab w:pos="2261" w:val="left" w:leader="none"/>
          <w:tab w:pos="2623" w:val="left" w:leader="none"/>
        </w:tabs>
        <w:spacing w:line="259" w:lineRule="auto" w:before="21" w:after="0"/>
        <w:ind w:left="2623" w:right="674" w:hanging="632"/>
        <w:jc w:val="both"/>
        <w:rPr>
          <w:sz w:val="24"/>
        </w:rPr>
      </w:pPr>
      <w:r>
        <w:rPr>
          <w:sz w:val="24"/>
        </w:rPr>
        <w:t>Who</w:t>
      </w:r>
      <w:r>
        <w:rPr>
          <w:spacing w:val="-2"/>
          <w:sz w:val="24"/>
        </w:rPr>
        <w:t> </w:t>
      </w:r>
      <w:r>
        <w:rPr>
          <w:sz w:val="24"/>
        </w:rPr>
        <w:t>is</w:t>
      </w:r>
      <w:r>
        <w:rPr>
          <w:spacing w:val="-3"/>
          <w:sz w:val="24"/>
        </w:rPr>
        <w:t> </w:t>
      </w:r>
      <w:r>
        <w:rPr>
          <w:sz w:val="24"/>
        </w:rPr>
        <w:t>your</w:t>
      </w:r>
      <w:r>
        <w:rPr>
          <w:spacing w:val="-2"/>
          <w:sz w:val="24"/>
        </w:rPr>
        <w:t> </w:t>
      </w:r>
      <w:r>
        <w:rPr>
          <w:sz w:val="24"/>
        </w:rPr>
        <w:t>cognizant</w:t>
      </w:r>
      <w:r>
        <w:rPr>
          <w:spacing w:val="-4"/>
          <w:sz w:val="24"/>
        </w:rPr>
        <w:t> </w:t>
      </w:r>
      <w:r>
        <w:rPr>
          <w:sz w:val="24"/>
        </w:rPr>
        <w:t>agency?</w:t>
      </w:r>
      <w:r>
        <w:rPr>
          <w:spacing w:val="40"/>
          <w:sz w:val="24"/>
        </w:rPr>
        <w:t> </w:t>
      </w:r>
      <w:r>
        <w:rPr>
          <w:sz w:val="24"/>
        </w:rPr>
        <w:t>Indirect</w:t>
      </w:r>
      <w:r>
        <w:rPr>
          <w:spacing w:val="-1"/>
          <w:sz w:val="24"/>
        </w:rPr>
        <w:t> </w:t>
      </w:r>
      <w:r>
        <w:rPr>
          <w:sz w:val="24"/>
        </w:rPr>
        <w:t>cost</w:t>
      </w:r>
      <w:r>
        <w:rPr>
          <w:spacing w:val="-1"/>
          <w:sz w:val="24"/>
        </w:rPr>
        <w:t> </w:t>
      </w:r>
      <w:r>
        <w:rPr>
          <w:sz w:val="24"/>
        </w:rPr>
        <w:t>allocation</w:t>
      </w:r>
      <w:r>
        <w:rPr>
          <w:spacing w:val="-4"/>
          <w:sz w:val="24"/>
        </w:rPr>
        <w:t> </w:t>
      </w:r>
      <w:r>
        <w:rPr>
          <w:sz w:val="24"/>
        </w:rPr>
        <w:t>is</w:t>
      </w:r>
      <w:r>
        <w:rPr>
          <w:spacing w:val="-3"/>
          <w:sz w:val="24"/>
        </w:rPr>
        <w:t> </w:t>
      </w:r>
      <w:r>
        <w:rPr>
          <w:sz w:val="24"/>
        </w:rPr>
        <w:t>reviewed</w:t>
      </w:r>
      <w:r>
        <w:rPr>
          <w:spacing w:val="-1"/>
          <w:sz w:val="24"/>
        </w:rPr>
        <w:t> </w:t>
      </w:r>
      <w:r>
        <w:rPr>
          <w:sz w:val="24"/>
        </w:rPr>
        <w:t>and</w:t>
      </w:r>
      <w:r>
        <w:rPr>
          <w:spacing w:val="-4"/>
          <w:sz w:val="24"/>
        </w:rPr>
        <w:t> </w:t>
      </w:r>
      <w:r>
        <w:rPr>
          <w:sz w:val="24"/>
        </w:rPr>
        <w:t>approved</w:t>
      </w:r>
      <w:r>
        <w:rPr>
          <w:spacing w:val="-4"/>
          <w:sz w:val="24"/>
        </w:rPr>
        <w:t> </w:t>
      </w:r>
      <w:r>
        <w:rPr>
          <w:sz w:val="24"/>
        </w:rPr>
        <w:t>by Maine Department of Transportation Office of Audit.</w:t>
      </w:r>
    </w:p>
    <w:p>
      <w:pPr>
        <w:pStyle w:val="ListParagraph"/>
        <w:numPr>
          <w:ilvl w:val="2"/>
          <w:numId w:val="38"/>
        </w:numPr>
        <w:tabs>
          <w:tab w:pos="2262" w:val="left" w:leader="none"/>
        </w:tabs>
        <w:spacing w:line="240" w:lineRule="auto" w:before="1" w:after="0"/>
        <w:ind w:left="2262" w:right="0" w:hanging="270"/>
        <w:jc w:val="both"/>
        <w:rPr>
          <w:sz w:val="24"/>
        </w:rPr>
      </w:pPr>
      <w:r>
        <w:rPr>
          <w:sz w:val="24"/>
        </w:rPr>
        <w:t>Is</w:t>
      </w:r>
      <w:r>
        <w:rPr>
          <w:spacing w:val="-2"/>
          <w:sz w:val="24"/>
        </w:rPr>
        <w:t> </w:t>
      </w:r>
      <w:r>
        <w:rPr>
          <w:sz w:val="24"/>
        </w:rPr>
        <w:t>the</w:t>
      </w:r>
      <w:r>
        <w:rPr>
          <w:spacing w:val="-2"/>
          <w:sz w:val="24"/>
        </w:rPr>
        <w:t> </w:t>
      </w:r>
      <w:r>
        <w:rPr>
          <w:sz w:val="24"/>
        </w:rPr>
        <w:t>approved</w:t>
      </w:r>
      <w:r>
        <w:rPr>
          <w:spacing w:val="1"/>
          <w:sz w:val="24"/>
        </w:rPr>
        <w:t> </w:t>
      </w:r>
      <w:r>
        <w:rPr>
          <w:sz w:val="24"/>
        </w:rPr>
        <w:t>rate</w:t>
      </w:r>
      <w:r>
        <w:rPr>
          <w:spacing w:val="-2"/>
          <w:sz w:val="24"/>
        </w:rPr>
        <w:t> </w:t>
      </w:r>
      <w:r>
        <w:rPr>
          <w:sz w:val="24"/>
        </w:rPr>
        <w:t>on</w:t>
      </w:r>
      <w:r>
        <w:rPr>
          <w:spacing w:val="-2"/>
          <w:sz w:val="24"/>
        </w:rPr>
        <w:t> </w:t>
      </w:r>
      <w:r>
        <w:rPr>
          <w:sz w:val="24"/>
        </w:rPr>
        <w:t>file</w:t>
      </w:r>
      <w:r>
        <w:rPr>
          <w:spacing w:val="-1"/>
          <w:sz w:val="24"/>
        </w:rPr>
        <w:t> </w:t>
      </w:r>
      <w:r>
        <w:rPr>
          <w:sz w:val="24"/>
        </w:rPr>
        <w:t>at</w:t>
      </w:r>
      <w:r>
        <w:rPr>
          <w:spacing w:val="-2"/>
          <w:sz w:val="24"/>
        </w:rPr>
        <w:t> </w:t>
      </w:r>
      <w:r>
        <w:rPr>
          <w:sz w:val="24"/>
        </w:rPr>
        <w:t>MaineDOT?</w:t>
      </w:r>
      <w:r>
        <w:rPr>
          <w:spacing w:val="52"/>
          <w:sz w:val="24"/>
        </w:rPr>
        <w:t> </w:t>
      </w:r>
      <w:r>
        <w:rPr>
          <w:sz w:val="24"/>
        </w:rPr>
        <w:t>Yes</w:t>
      </w:r>
      <w:r>
        <w:rPr>
          <w:spacing w:val="-1"/>
          <w:sz w:val="24"/>
        </w:rPr>
        <w:t> </w:t>
      </w:r>
      <w:r>
        <w:rPr>
          <w:spacing w:val="-2"/>
          <w:sz w:val="24"/>
        </w:rPr>
        <w:t>28.07%</w:t>
      </w:r>
    </w:p>
    <w:p>
      <w:pPr>
        <w:spacing w:after="0" w:line="240" w:lineRule="auto"/>
        <w:jc w:val="both"/>
        <w:rPr>
          <w:sz w:val="24"/>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56288">
            <wp:simplePos x="0" y="0"/>
            <wp:positionH relativeFrom="page">
              <wp:posOffset>731520</wp:posOffset>
            </wp:positionH>
            <wp:positionV relativeFrom="paragraph">
              <wp:posOffset>-111196</wp:posOffset>
            </wp:positionV>
            <wp:extent cx="1523706" cy="426719"/>
            <wp:effectExtent l="0" t="0" r="0" b="0"/>
            <wp:wrapNone/>
            <wp:docPr id="148" name="Image 148">
              <a:hlinkClick r:id="rId80"/>
            </wp:docPr>
            <wp:cNvGraphicFramePr>
              <a:graphicFrameLocks/>
            </wp:cNvGraphicFramePr>
            <a:graphic>
              <a:graphicData uri="http://schemas.openxmlformats.org/drawingml/2006/picture">
                <pic:pic>
                  <pic:nvPicPr>
                    <pic:cNvPr id="148" name="Image 148">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4976">
                <wp:simplePos x="0" y="0"/>
                <wp:positionH relativeFrom="page">
                  <wp:posOffset>713231</wp:posOffset>
                </wp:positionH>
                <wp:positionV relativeFrom="paragraph">
                  <wp:posOffset>216706</wp:posOffset>
                </wp:positionV>
                <wp:extent cx="6346190" cy="74930"/>
                <wp:effectExtent l="0" t="0" r="0" b="0"/>
                <wp:wrapTopAndBottom/>
                <wp:docPr id="149" name="Group 149"/>
                <wp:cNvGraphicFramePr>
                  <a:graphicFrameLocks/>
                </wp:cNvGraphicFramePr>
                <a:graphic>
                  <a:graphicData uri="http://schemas.microsoft.com/office/word/2010/wordprocessingGroup">
                    <wpg:wgp>
                      <wpg:cNvPr id="149" name="Group 149"/>
                      <wpg:cNvGrpSpPr/>
                      <wpg:grpSpPr>
                        <a:xfrm>
                          <a:off x="0" y="0"/>
                          <a:ext cx="6346190" cy="74930"/>
                          <a:chExt cx="6346190" cy="74930"/>
                        </a:xfrm>
                      </wpg:grpSpPr>
                      <wps:wsp>
                        <wps:cNvPr id="150" name="Graphic 150"/>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51" name="Graphic 151"/>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52" name="Graphic 152"/>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701504;mso-wrap-distance-left:0;mso-wrap-distance-right:0" id="docshapegroup111" coordorigin="1123,341" coordsize="9994,118">
                <v:rect style="position:absolute;left:1123;top:430;width:9994;height:29" id="docshape112" filled="true" fillcolor="#c0c0c0" stroked="false">
                  <v:fill type="solid"/>
                </v:rect>
                <v:rect style="position:absolute;left:1123;top:370;width:9994;height:60" id="docshape113" filled="true" fillcolor="#5f5f5f" stroked="false">
                  <v:fill type="solid"/>
                </v:rect>
                <v:rect style="position:absolute;left:1123;top:341;width:9994;height:29" id="docshape114" filled="true" fillcolor="#000000" stroked="false">
                  <v:fill type="solid"/>
                </v:rect>
                <w10:wrap type="topAndBottom"/>
              </v:group>
            </w:pict>
          </mc:Fallback>
        </mc:AlternateContent>
      </w:r>
    </w:p>
    <w:p>
      <w:pPr>
        <w:pStyle w:val="ListParagraph"/>
        <w:numPr>
          <w:ilvl w:val="2"/>
          <w:numId w:val="38"/>
        </w:numPr>
        <w:tabs>
          <w:tab w:pos="2263" w:val="left" w:leader="none"/>
        </w:tabs>
        <w:spacing w:line="261" w:lineRule="auto" w:before="2" w:after="0"/>
        <w:ind w:left="2263" w:right="1027" w:hanging="272"/>
        <w:jc w:val="left"/>
        <w:rPr>
          <w:sz w:val="28"/>
        </w:rPr>
      </w:pPr>
      <w:r>
        <w:rPr>
          <w:sz w:val="24"/>
        </w:rPr>
        <w:t>How do</w:t>
      </w:r>
      <w:r>
        <w:rPr>
          <w:spacing w:val="-1"/>
          <w:sz w:val="24"/>
        </w:rPr>
        <w:t> </w:t>
      </w:r>
      <w:r>
        <w:rPr>
          <w:sz w:val="24"/>
        </w:rPr>
        <w:t>you</w:t>
      </w:r>
      <w:r>
        <w:rPr>
          <w:spacing w:val="-3"/>
          <w:sz w:val="24"/>
        </w:rPr>
        <w:t> </w:t>
      </w:r>
      <w:r>
        <w:rPr>
          <w:sz w:val="24"/>
        </w:rPr>
        <w:t>ensure</w:t>
      </w:r>
      <w:r>
        <w:rPr>
          <w:spacing w:val="-3"/>
          <w:sz w:val="24"/>
        </w:rPr>
        <w:t> </w:t>
      </w:r>
      <w:r>
        <w:rPr>
          <w:sz w:val="24"/>
        </w:rPr>
        <w:t>that</w:t>
      </w:r>
      <w:r>
        <w:rPr>
          <w:spacing w:val="-5"/>
          <w:sz w:val="24"/>
        </w:rPr>
        <w:t> </w:t>
      </w:r>
      <w:r>
        <w:rPr>
          <w:sz w:val="24"/>
        </w:rPr>
        <w:t>the</w:t>
      </w:r>
      <w:r>
        <w:rPr>
          <w:spacing w:val="-3"/>
          <w:sz w:val="24"/>
        </w:rPr>
        <w:t> </w:t>
      </w:r>
      <w:r>
        <w:rPr>
          <w:sz w:val="24"/>
        </w:rPr>
        <w:t>correct</w:t>
      </w:r>
      <w:r>
        <w:rPr>
          <w:spacing w:val="-3"/>
          <w:sz w:val="24"/>
        </w:rPr>
        <w:t> </w:t>
      </w:r>
      <w:r>
        <w:rPr>
          <w:sz w:val="24"/>
        </w:rPr>
        <w:t>rate</w:t>
      </w:r>
      <w:r>
        <w:rPr>
          <w:spacing w:val="-1"/>
          <w:sz w:val="24"/>
        </w:rPr>
        <w:t> </w:t>
      </w:r>
      <w:r>
        <w:rPr>
          <w:sz w:val="24"/>
        </w:rPr>
        <w:t>is</w:t>
      </w:r>
      <w:r>
        <w:rPr>
          <w:spacing w:val="-4"/>
          <w:sz w:val="24"/>
        </w:rPr>
        <w:t> </w:t>
      </w:r>
      <w:r>
        <w:rPr>
          <w:sz w:val="24"/>
        </w:rPr>
        <w:t>being</w:t>
      </w:r>
      <w:r>
        <w:rPr>
          <w:spacing w:val="-4"/>
          <w:sz w:val="24"/>
        </w:rPr>
        <w:t> </w:t>
      </w:r>
      <w:r>
        <w:rPr>
          <w:sz w:val="24"/>
        </w:rPr>
        <w:t>charged</w:t>
      </w:r>
      <w:r>
        <w:rPr>
          <w:spacing w:val="-3"/>
          <w:sz w:val="24"/>
        </w:rPr>
        <w:t> </w:t>
      </w:r>
      <w:r>
        <w:rPr>
          <w:sz w:val="24"/>
        </w:rPr>
        <w:t>on</w:t>
      </w:r>
      <w:r>
        <w:rPr>
          <w:spacing w:val="-3"/>
          <w:sz w:val="24"/>
        </w:rPr>
        <w:t> </w:t>
      </w:r>
      <w:r>
        <w:rPr>
          <w:sz w:val="24"/>
        </w:rPr>
        <w:t>monthly</w:t>
      </w:r>
      <w:r>
        <w:rPr>
          <w:spacing w:val="-5"/>
          <w:sz w:val="24"/>
        </w:rPr>
        <w:t> </w:t>
      </w:r>
      <w:r>
        <w:rPr>
          <w:sz w:val="24"/>
        </w:rPr>
        <w:t>invoices</w:t>
      </w:r>
      <w:r>
        <w:rPr>
          <w:spacing w:val="-2"/>
          <w:sz w:val="24"/>
        </w:rPr>
        <w:t> </w:t>
      </w:r>
      <w:r>
        <w:rPr>
          <w:sz w:val="24"/>
        </w:rPr>
        <w:t>to MaineDOT?</w:t>
      </w:r>
      <w:r>
        <w:rPr>
          <w:spacing w:val="40"/>
          <w:sz w:val="24"/>
        </w:rPr>
        <w:t> </w:t>
      </w:r>
      <w:r>
        <w:rPr>
          <w:sz w:val="24"/>
        </w:rPr>
        <w:t>All calculations and rates are double checked before submitting invoices to MaineDOT</w:t>
      </w:r>
      <w:r>
        <w:rPr>
          <w:sz w:val="28"/>
        </w:rPr>
        <w:t>.</w:t>
      </w:r>
    </w:p>
    <w:p>
      <w:pPr>
        <w:pStyle w:val="ListParagraph"/>
        <w:numPr>
          <w:ilvl w:val="1"/>
          <w:numId w:val="38"/>
        </w:numPr>
        <w:tabs>
          <w:tab w:pos="1991" w:val="left" w:leader="none"/>
        </w:tabs>
        <w:spacing w:line="259" w:lineRule="auto" w:before="0" w:after="0"/>
        <w:ind w:left="1991" w:right="659" w:hanging="360"/>
        <w:jc w:val="left"/>
        <w:rPr>
          <w:sz w:val="24"/>
        </w:rPr>
      </w:pPr>
      <w:r>
        <w:rPr>
          <w:sz w:val="24"/>
        </w:rPr>
        <w:t>What are the sources of local share?</w:t>
      </w:r>
      <w:r>
        <w:rPr>
          <w:spacing w:val="40"/>
          <w:sz w:val="24"/>
        </w:rPr>
        <w:t> </w:t>
      </w:r>
      <w:r>
        <w:rPr>
          <w:sz w:val="24"/>
        </w:rPr>
        <w:t>Discuss sources and tracking. Municipalities and/or counties we serve, social service agencies and other State of Maine Agencies – DHHS,</w:t>
      </w:r>
      <w:r>
        <w:rPr>
          <w:spacing w:val="-2"/>
          <w:sz w:val="24"/>
        </w:rPr>
        <w:t> </w:t>
      </w:r>
      <w:r>
        <w:rPr>
          <w:sz w:val="24"/>
        </w:rPr>
        <w:t>CDS,</w:t>
      </w:r>
      <w:r>
        <w:rPr>
          <w:spacing w:val="-2"/>
          <w:sz w:val="24"/>
        </w:rPr>
        <w:t> </w:t>
      </w:r>
      <w:r>
        <w:rPr>
          <w:sz w:val="24"/>
        </w:rPr>
        <w:t>DOE,</w:t>
      </w:r>
      <w:r>
        <w:rPr>
          <w:spacing w:val="-5"/>
          <w:sz w:val="24"/>
        </w:rPr>
        <w:t> </w:t>
      </w:r>
      <w:r>
        <w:rPr>
          <w:sz w:val="24"/>
        </w:rPr>
        <w:t>Voc.</w:t>
      </w:r>
      <w:r>
        <w:rPr>
          <w:spacing w:val="-3"/>
          <w:sz w:val="24"/>
        </w:rPr>
        <w:t> </w:t>
      </w:r>
      <w:r>
        <w:rPr>
          <w:sz w:val="24"/>
        </w:rPr>
        <w:t>Rehab,</w:t>
      </w:r>
      <w:r>
        <w:rPr>
          <w:spacing w:val="-2"/>
          <w:sz w:val="24"/>
        </w:rPr>
        <w:t> </w:t>
      </w:r>
      <w:r>
        <w:rPr>
          <w:sz w:val="24"/>
        </w:rPr>
        <w:t>Fedcap,</w:t>
      </w:r>
      <w:r>
        <w:rPr>
          <w:spacing w:val="-2"/>
          <w:sz w:val="24"/>
        </w:rPr>
        <w:t> </w:t>
      </w:r>
      <w:r>
        <w:rPr>
          <w:sz w:val="24"/>
        </w:rPr>
        <w:t>grants</w:t>
      </w:r>
      <w:r>
        <w:rPr>
          <w:spacing w:val="-5"/>
          <w:sz w:val="24"/>
        </w:rPr>
        <w:t> </w:t>
      </w:r>
      <w:r>
        <w:rPr>
          <w:sz w:val="24"/>
        </w:rPr>
        <w:t>from</w:t>
      </w:r>
      <w:r>
        <w:rPr>
          <w:spacing w:val="-5"/>
          <w:sz w:val="24"/>
        </w:rPr>
        <w:t> </w:t>
      </w:r>
      <w:r>
        <w:rPr>
          <w:sz w:val="24"/>
        </w:rPr>
        <w:t>other</w:t>
      </w:r>
      <w:r>
        <w:rPr>
          <w:spacing w:val="-5"/>
          <w:sz w:val="24"/>
        </w:rPr>
        <w:t> </w:t>
      </w:r>
      <w:r>
        <w:rPr>
          <w:sz w:val="24"/>
        </w:rPr>
        <w:t>organizations</w:t>
      </w:r>
      <w:r>
        <w:rPr>
          <w:spacing w:val="-3"/>
          <w:sz w:val="24"/>
        </w:rPr>
        <w:t> </w:t>
      </w:r>
      <w:r>
        <w:rPr>
          <w:sz w:val="24"/>
        </w:rPr>
        <w:t>including</w:t>
      </w:r>
      <w:r>
        <w:rPr>
          <w:spacing w:val="-5"/>
          <w:sz w:val="24"/>
        </w:rPr>
        <w:t> </w:t>
      </w:r>
      <w:r>
        <w:rPr>
          <w:sz w:val="24"/>
        </w:rPr>
        <w:t>United Ways, Maine Community Grant Foundation, Sewall Foundation, and private/public partnerships. WMTS keeps detailed records of project related expenditures, including required local share funds usage.</w:t>
      </w:r>
    </w:p>
    <w:p>
      <w:pPr>
        <w:pStyle w:val="ListParagraph"/>
        <w:numPr>
          <w:ilvl w:val="1"/>
          <w:numId w:val="38"/>
        </w:numPr>
        <w:tabs>
          <w:tab w:pos="1992" w:val="left" w:leader="none"/>
        </w:tabs>
        <w:spacing w:line="256" w:lineRule="auto" w:before="0" w:after="0"/>
        <w:ind w:left="1992" w:right="929" w:hanging="360"/>
        <w:jc w:val="left"/>
        <w:rPr>
          <w:sz w:val="24"/>
        </w:rPr>
      </w:pPr>
      <w:r>
        <w:rPr>
          <w:sz w:val="24"/>
        </w:rPr>
        <w:t>Can the</w:t>
      </w:r>
      <w:r>
        <w:rPr>
          <w:spacing w:val="-1"/>
          <w:sz w:val="24"/>
        </w:rPr>
        <w:t> </w:t>
      </w:r>
      <w:r>
        <w:rPr>
          <w:sz w:val="24"/>
        </w:rPr>
        <w:t>costs</w:t>
      </w:r>
      <w:r>
        <w:rPr>
          <w:spacing w:val="-2"/>
          <w:sz w:val="24"/>
        </w:rPr>
        <w:t> </w:t>
      </w:r>
      <w:r>
        <w:rPr>
          <w:sz w:val="24"/>
        </w:rPr>
        <w:t>charged</w:t>
      </w:r>
      <w:r>
        <w:rPr>
          <w:spacing w:val="-3"/>
          <w:sz w:val="24"/>
        </w:rPr>
        <w:t> </w:t>
      </w:r>
      <w:r>
        <w:rPr>
          <w:sz w:val="24"/>
        </w:rPr>
        <w:t>to</w:t>
      </w:r>
      <w:r>
        <w:rPr>
          <w:spacing w:val="-3"/>
          <w:sz w:val="24"/>
        </w:rPr>
        <w:t> </w:t>
      </w:r>
      <w:r>
        <w:rPr>
          <w:sz w:val="24"/>
        </w:rPr>
        <w:t>a</w:t>
      </w:r>
      <w:r>
        <w:rPr>
          <w:spacing w:val="-1"/>
          <w:sz w:val="24"/>
        </w:rPr>
        <w:t> </w:t>
      </w:r>
      <w:r>
        <w:rPr>
          <w:sz w:val="24"/>
        </w:rPr>
        <w:t>specific</w:t>
      </w:r>
      <w:r>
        <w:rPr>
          <w:spacing w:val="-5"/>
          <w:sz w:val="24"/>
        </w:rPr>
        <w:t> </w:t>
      </w:r>
      <w:r>
        <w:rPr>
          <w:sz w:val="24"/>
        </w:rPr>
        <w:t>project</w:t>
      </w:r>
      <w:r>
        <w:rPr>
          <w:spacing w:val="-3"/>
          <w:sz w:val="24"/>
        </w:rPr>
        <w:t> </w:t>
      </w:r>
      <w:r>
        <w:rPr>
          <w:sz w:val="24"/>
        </w:rPr>
        <w:t>be</w:t>
      </w:r>
      <w:r>
        <w:rPr>
          <w:spacing w:val="-3"/>
          <w:sz w:val="24"/>
        </w:rPr>
        <w:t> </w:t>
      </w:r>
      <w:r>
        <w:rPr>
          <w:sz w:val="24"/>
        </w:rPr>
        <w:t>traced</w:t>
      </w:r>
      <w:r>
        <w:rPr>
          <w:spacing w:val="-3"/>
          <w:sz w:val="24"/>
        </w:rPr>
        <w:t> </w:t>
      </w:r>
      <w:r>
        <w:rPr>
          <w:sz w:val="24"/>
        </w:rPr>
        <w:t>back</w:t>
      </w:r>
      <w:r>
        <w:rPr>
          <w:spacing w:val="-3"/>
          <w:sz w:val="24"/>
        </w:rPr>
        <w:t> </w:t>
      </w:r>
      <w:r>
        <w:rPr>
          <w:sz w:val="24"/>
        </w:rPr>
        <w:t>from</w:t>
      </w:r>
      <w:r>
        <w:rPr>
          <w:spacing w:val="-4"/>
          <w:sz w:val="24"/>
        </w:rPr>
        <w:t> </w:t>
      </w:r>
      <w:r>
        <w:rPr>
          <w:sz w:val="24"/>
        </w:rPr>
        <w:t>the</w:t>
      </w:r>
      <w:r>
        <w:rPr>
          <w:spacing w:val="-1"/>
          <w:sz w:val="24"/>
        </w:rPr>
        <w:t> </w:t>
      </w:r>
      <w:r>
        <w:rPr>
          <w:sz w:val="24"/>
        </w:rPr>
        <w:t>general</w:t>
      </w:r>
      <w:r>
        <w:rPr>
          <w:spacing w:val="-4"/>
          <w:sz w:val="24"/>
        </w:rPr>
        <w:t> </w:t>
      </w:r>
      <w:r>
        <w:rPr>
          <w:sz w:val="24"/>
        </w:rPr>
        <w:t>ledger</w:t>
      </w:r>
      <w:r>
        <w:rPr>
          <w:spacing w:val="-4"/>
          <w:sz w:val="24"/>
        </w:rPr>
        <w:t> </w:t>
      </w:r>
      <w:r>
        <w:rPr>
          <w:sz w:val="24"/>
        </w:rPr>
        <w:t>to the actual invoices? Yes</w:t>
      </w:r>
      <w:r>
        <w:rPr>
          <w:spacing w:val="80"/>
          <w:sz w:val="24"/>
        </w:rPr>
        <w:t> </w:t>
      </w:r>
      <w:r>
        <w:rPr>
          <w:sz w:val="24"/>
        </w:rPr>
        <w:t>Provide proof to MaineDOT. attached</w:t>
      </w:r>
    </w:p>
    <w:p>
      <w:pPr>
        <w:spacing w:before="0"/>
        <w:ind w:left="1992" w:right="0" w:firstLine="0"/>
        <w:jc w:val="left"/>
        <w:rPr>
          <w:sz w:val="22"/>
        </w:rPr>
      </w:pP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2"/>
          <w:sz w:val="22"/>
        </w:rPr>
        <w:t> </w:t>
      </w:r>
      <w:r>
        <w:rPr>
          <w:color w:val="808080"/>
          <w:sz w:val="22"/>
        </w:rPr>
        <w:t>here</w:t>
      </w:r>
      <w:r>
        <w:rPr>
          <w:color w:val="808080"/>
          <w:spacing w:val="-4"/>
          <w:sz w:val="22"/>
        </w:rPr>
        <w:t> </w:t>
      </w:r>
      <w:r>
        <w:rPr>
          <w:color w:val="808080"/>
          <w:sz w:val="22"/>
        </w:rPr>
        <w:t>to</w:t>
      </w:r>
      <w:r>
        <w:rPr>
          <w:color w:val="808080"/>
          <w:spacing w:val="-2"/>
          <w:sz w:val="22"/>
        </w:rPr>
        <w:t> </w:t>
      </w:r>
      <w:r>
        <w:rPr>
          <w:color w:val="808080"/>
          <w:sz w:val="22"/>
        </w:rPr>
        <w:t>enter</w:t>
      </w:r>
      <w:r>
        <w:rPr>
          <w:color w:val="808080"/>
          <w:spacing w:val="-3"/>
          <w:sz w:val="22"/>
        </w:rPr>
        <w:t> </w:t>
      </w:r>
      <w:r>
        <w:rPr>
          <w:color w:val="808080"/>
          <w:spacing w:val="-2"/>
          <w:sz w:val="22"/>
        </w:rPr>
        <w:t>text.</w:t>
      </w:r>
    </w:p>
    <w:p>
      <w:pPr>
        <w:pStyle w:val="ListParagraph"/>
        <w:numPr>
          <w:ilvl w:val="1"/>
          <w:numId w:val="38"/>
        </w:numPr>
        <w:tabs>
          <w:tab w:pos="1991" w:val="left" w:leader="none"/>
        </w:tabs>
        <w:spacing w:line="259" w:lineRule="auto" w:before="15" w:after="0"/>
        <w:ind w:left="1991" w:right="745" w:hanging="360"/>
        <w:jc w:val="left"/>
        <w:rPr>
          <w:sz w:val="24"/>
        </w:rPr>
      </w:pPr>
      <w:r>
        <w:rPr>
          <w:sz w:val="24"/>
        </w:rPr>
        <w:t>Are</w:t>
      </w:r>
      <w:r>
        <w:rPr>
          <w:spacing w:val="-2"/>
          <w:sz w:val="24"/>
        </w:rPr>
        <w:t> </w:t>
      </w:r>
      <w:r>
        <w:rPr>
          <w:sz w:val="24"/>
        </w:rPr>
        <w:t>employee</w:t>
      </w:r>
      <w:r>
        <w:rPr>
          <w:spacing w:val="-4"/>
          <w:sz w:val="24"/>
        </w:rPr>
        <w:t> </w:t>
      </w:r>
      <w:r>
        <w:rPr>
          <w:sz w:val="24"/>
        </w:rPr>
        <w:t>travel</w:t>
      </w:r>
      <w:r>
        <w:rPr>
          <w:spacing w:val="-5"/>
          <w:sz w:val="24"/>
        </w:rPr>
        <w:t> </w:t>
      </w:r>
      <w:r>
        <w:rPr>
          <w:sz w:val="24"/>
        </w:rPr>
        <w:t>expenses</w:t>
      </w:r>
      <w:r>
        <w:rPr>
          <w:spacing w:val="-3"/>
          <w:sz w:val="24"/>
        </w:rPr>
        <w:t> </w:t>
      </w:r>
      <w:r>
        <w:rPr>
          <w:sz w:val="24"/>
        </w:rPr>
        <w:t>charged</w:t>
      </w:r>
      <w:r>
        <w:rPr>
          <w:spacing w:val="-4"/>
          <w:sz w:val="24"/>
        </w:rPr>
        <w:t> </w:t>
      </w:r>
      <w:r>
        <w:rPr>
          <w:sz w:val="24"/>
        </w:rPr>
        <w:t>to</w:t>
      </w:r>
      <w:r>
        <w:rPr>
          <w:spacing w:val="-4"/>
          <w:sz w:val="24"/>
        </w:rPr>
        <w:t> </w:t>
      </w:r>
      <w:r>
        <w:rPr>
          <w:sz w:val="24"/>
        </w:rPr>
        <w:t>FTA</w:t>
      </w:r>
      <w:r>
        <w:rPr>
          <w:spacing w:val="-5"/>
          <w:sz w:val="24"/>
        </w:rPr>
        <w:t> </w:t>
      </w:r>
      <w:r>
        <w:rPr>
          <w:sz w:val="24"/>
        </w:rPr>
        <w:t>grants/contracts?</w:t>
      </w:r>
      <w:r>
        <w:rPr>
          <w:spacing w:val="-3"/>
          <w:sz w:val="24"/>
        </w:rPr>
        <w:t> </w:t>
      </w:r>
      <w:r>
        <w:rPr>
          <w:sz w:val="24"/>
        </w:rPr>
        <w:t>Yes</w:t>
      </w:r>
      <w:r>
        <w:rPr>
          <w:spacing w:val="40"/>
          <w:sz w:val="24"/>
        </w:rPr>
        <w:t> </w:t>
      </w:r>
      <w:r>
        <w:rPr>
          <w:sz w:val="24"/>
        </w:rPr>
        <w:t>If</w:t>
      </w:r>
      <w:r>
        <w:rPr>
          <w:spacing w:val="-1"/>
          <w:sz w:val="24"/>
        </w:rPr>
        <w:t> </w:t>
      </w:r>
      <w:r>
        <w:rPr>
          <w:sz w:val="24"/>
        </w:rPr>
        <w:t>yes,</w:t>
      </w:r>
      <w:r>
        <w:rPr>
          <w:spacing w:val="-2"/>
          <w:sz w:val="24"/>
        </w:rPr>
        <w:t> </w:t>
      </w:r>
      <w:r>
        <w:rPr>
          <w:sz w:val="24"/>
        </w:rPr>
        <w:t>were</w:t>
      </w:r>
      <w:r>
        <w:rPr>
          <w:spacing w:val="-2"/>
          <w:sz w:val="24"/>
        </w:rPr>
        <w:t> </w:t>
      </w:r>
      <w:r>
        <w:rPr>
          <w:sz w:val="24"/>
        </w:rPr>
        <w:t>costs incurred following state per diem rates?</w:t>
      </w:r>
      <w:r>
        <w:rPr>
          <w:spacing w:val="40"/>
          <w:sz w:val="24"/>
        </w:rPr>
        <w:t> </w:t>
      </w:r>
      <w:r>
        <w:rPr>
          <w:sz w:val="24"/>
        </w:rPr>
        <w:t>Explain how costs were deemed eligible and how they were submitted for reimbursement.</w:t>
      </w:r>
      <w:r>
        <w:rPr>
          <w:spacing w:val="80"/>
          <w:sz w:val="24"/>
        </w:rPr>
        <w:t> </w:t>
      </w:r>
      <w:r>
        <w:rPr>
          <w:sz w:val="24"/>
        </w:rPr>
        <w:t>WMTS requests receipts and and follow procedures outlined in the Admin Manual.</w:t>
      </w:r>
    </w:p>
    <w:p>
      <w:pPr>
        <w:pStyle w:val="ListParagraph"/>
        <w:numPr>
          <w:ilvl w:val="1"/>
          <w:numId w:val="38"/>
        </w:numPr>
        <w:tabs>
          <w:tab w:pos="1991" w:val="left" w:leader="none"/>
        </w:tabs>
        <w:spacing w:line="261" w:lineRule="auto" w:before="0" w:after="0"/>
        <w:ind w:left="1991" w:right="963" w:hanging="360"/>
        <w:jc w:val="left"/>
        <w:rPr>
          <w:sz w:val="24"/>
        </w:rPr>
      </w:pPr>
      <w:r>
        <w:rPr>
          <w:sz w:val="24"/>
        </w:rPr>
        <w:t>Do</w:t>
      </w:r>
      <w:r>
        <w:rPr>
          <w:spacing w:val="-2"/>
          <w:sz w:val="24"/>
        </w:rPr>
        <w:t> </w:t>
      </w:r>
      <w:r>
        <w:rPr>
          <w:sz w:val="24"/>
        </w:rPr>
        <w:t>you</w:t>
      </w:r>
      <w:r>
        <w:rPr>
          <w:spacing w:val="-1"/>
          <w:sz w:val="24"/>
        </w:rPr>
        <w:t> </w:t>
      </w:r>
      <w:r>
        <w:rPr>
          <w:sz w:val="24"/>
        </w:rPr>
        <w:t>use</w:t>
      </w:r>
      <w:r>
        <w:rPr>
          <w:spacing w:val="-2"/>
          <w:sz w:val="24"/>
        </w:rPr>
        <w:t> </w:t>
      </w:r>
      <w:r>
        <w:rPr>
          <w:sz w:val="24"/>
        </w:rPr>
        <w:t>volunteer</w:t>
      </w:r>
      <w:r>
        <w:rPr>
          <w:spacing w:val="-5"/>
          <w:sz w:val="24"/>
        </w:rPr>
        <w:t> </w:t>
      </w:r>
      <w:r>
        <w:rPr>
          <w:sz w:val="24"/>
        </w:rPr>
        <w:t>drivers?</w:t>
      </w:r>
      <w:r>
        <w:rPr>
          <w:spacing w:val="40"/>
          <w:sz w:val="24"/>
        </w:rPr>
        <w:t> </w:t>
      </w:r>
      <w:r>
        <w:rPr>
          <w:sz w:val="24"/>
        </w:rPr>
        <w:t>If</w:t>
      </w:r>
      <w:r>
        <w:rPr>
          <w:spacing w:val="-1"/>
          <w:sz w:val="24"/>
        </w:rPr>
        <w:t> </w:t>
      </w:r>
      <w:r>
        <w:rPr>
          <w:sz w:val="24"/>
        </w:rPr>
        <w:t>yes,</w:t>
      </w:r>
      <w:r>
        <w:rPr>
          <w:spacing w:val="-5"/>
          <w:sz w:val="24"/>
        </w:rPr>
        <w:t> </w:t>
      </w:r>
      <w:r>
        <w:rPr>
          <w:sz w:val="24"/>
        </w:rPr>
        <w:t>does</w:t>
      </w:r>
      <w:r>
        <w:rPr>
          <w:spacing w:val="-5"/>
          <w:sz w:val="24"/>
        </w:rPr>
        <w:t> </w:t>
      </w:r>
      <w:r>
        <w:rPr>
          <w:sz w:val="24"/>
        </w:rPr>
        <w:t>MaineDOT</w:t>
      </w:r>
      <w:r>
        <w:rPr>
          <w:spacing w:val="-2"/>
          <w:sz w:val="24"/>
        </w:rPr>
        <w:t> </w:t>
      </w:r>
      <w:r>
        <w:rPr>
          <w:sz w:val="24"/>
        </w:rPr>
        <w:t>have</w:t>
      </w:r>
      <w:r>
        <w:rPr>
          <w:spacing w:val="-2"/>
          <w:sz w:val="24"/>
        </w:rPr>
        <w:t> </w:t>
      </w:r>
      <w:r>
        <w:rPr>
          <w:sz w:val="24"/>
        </w:rPr>
        <w:t>a</w:t>
      </w:r>
      <w:r>
        <w:rPr>
          <w:spacing w:val="-2"/>
          <w:sz w:val="24"/>
        </w:rPr>
        <w:t> </w:t>
      </w:r>
      <w:r>
        <w:rPr>
          <w:sz w:val="24"/>
        </w:rPr>
        <w:t>copy</w:t>
      </w:r>
      <w:r>
        <w:rPr>
          <w:spacing w:val="-3"/>
          <w:sz w:val="24"/>
        </w:rPr>
        <w:t> </w:t>
      </w:r>
      <w:r>
        <w:rPr>
          <w:sz w:val="24"/>
        </w:rPr>
        <w:t>of</w:t>
      </w:r>
      <w:r>
        <w:rPr>
          <w:spacing w:val="-1"/>
          <w:sz w:val="24"/>
        </w:rPr>
        <w:t> </w:t>
      </w:r>
      <w:r>
        <w:rPr>
          <w:sz w:val="24"/>
        </w:rPr>
        <w:t>your</w:t>
      </w:r>
      <w:r>
        <w:rPr>
          <w:spacing w:val="-5"/>
          <w:sz w:val="24"/>
        </w:rPr>
        <w:t> </w:t>
      </w:r>
      <w:r>
        <w:rPr>
          <w:sz w:val="24"/>
        </w:rPr>
        <w:t>volunteer driver policy? </w:t>
      </w:r>
      <w:r>
        <w:rPr>
          <w:sz w:val="28"/>
        </w:rPr>
        <w:t>Not at the present time</w:t>
      </w:r>
      <w:r>
        <w:rPr>
          <w:spacing w:val="40"/>
          <w:sz w:val="28"/>
        </w:rPr>
        <w:t> </w:t>
      </w:r>
      <w:r>
        <w:rPr>
          <w:sz w:val="24"/>
        </w:rPr>
        <w:t>Not at the present time</w:t>
      </w:r>
    </w:p>
    <w:p>
      <w:pPr>
        <w:pStyle w:val="ListParagraph"/>
        <w:numPr>
          <w:ilvl w:val="2"/>
          <w:numId w:val="38"/>
        </w:numPr>
        <w:tabs>
          <w:tab w:pos="2172" w:val="left" w:leader="none"/>
        </w:tabs>
        <w:spacing w:line="259" w:lineRule="auto" w:before="0" w:after="0"/>
        <w:ind w:left="2172" w:right="971" w:hanging="180"/>
        <w:jc w:val="left"/>
        <w:rPr>
          <w:sz w:val="24"/>
        </w:rPr>
      </w:pPr>
      <w:r>
        <w:rPr>
          <w:sz w:val="24"/>
        </w:rPr>
        <w:t>Do</w:t>
      </w:r>
      <w:r>
        <w:rPr>
          <w:spacing w:val="-2"/>
          <w:sz w:val="24"/>
        </w:rPr>
        <w:t> </w:t>
      </w:r>
      <w:r>
        <w:rPr>
          <w:sz w:val="24"/>
        </w:rPr>
        <w:t>you</w:t>
      </w:r>
      <w:r>
        <w:rPr>
          <w:spacing w:val="-1"/>
          <w:sz w:val="24"/>
        </w:rPr>
        <w:t> </w:t>
      </w:r>
      <w:r>
        <w:rPr>
          <w:sz w:val="24"/>
        </w:rPr>
        <w:t>use</w:t>
      </w:r>
      <w:r>
        <w:rPr>
          <w:spacing w:val="-2"/>
          <w:sz w:val="24"/>
        </w:rPr>
        <w:t> </w:t>
      </w:r>
      <w:r>
        <w:rPr>
          <w:sz w:val="24"/>
        </w:rPr>
        <w:t>volunteer</w:t>
      </w:r>
      <w:r>
        <w:rPr>
          <w:spacing w:val="-5"/>
          <w:sz w:val="24"/>
        </w:rPr>
        <w:t> </w:t>
      </w:r>
      <w:r>
        <w:rPr>
          <w:sz w:val="24"/>
        </w:rPr>
        <w:t>miles</w:t>
      </w:r>
      <w:r>
        <w:rPr>
          <w:spacing w:val="-3"/>
          <w:sz w:val="24"/>
        </w:rPr>
        <w:t> </w:t>
      </w:r>
      <w:r>
        <w:rPr>
          <w:sz w:val="24"/>
        </w:rPr>
        <w:t>or</w:t>
      </w:r>
      <w:r>
        <w:rPr>
          <w:spacing w:val="-5"/>
          <w:sz w:val="24"/>
        </w:rPr>
        <w:t> </w:t>
      </w:r>
      <w:r>
        <w:rPr>
          <w:sz w:val="24"/>
        </w:rPr>
        <w:t>hours</w:t>
      </w:r>
      <w:r>
        <w:rPr>
          <w:spacing w:val="-3"/>
          <w:sz w:val="24"/>
        </w:rPr>
        <w:t> </w:t>
      </w:r>
      <w:r>
        <w:rPr>
          <w:sz w:val="24"/>
        </w:rPr>
        <w:t>as</w:t>
      </w:r>
      <w:r>
        <w:rPr>
          <w:spacing w:val="-3"/>
          <w:sz w:val="24"/>
        </w:rPr>
        <w:t> </w:t>
      </w:r>
      <w:r>
        <w:rPr>
          <w:sz w:val="24"/>
        </w:rPr>
        <w:t>in-kind</w:t>
      </w:r>
      <w:r>
        <w:rPr>
          <w:spacing w:val="-1"/>
          <w:sz w:val="24"/>
        </w:rPr>
        <w:t> </w:t>
      </w:r>
      <w:r>
        <w:rPr>
          <w:sz w:val="24"/>
        </w:rPr>
        <w:t>match</w:t>
      </w:r>
      <w:r>
        <w:rPr>
          <w:spacing w:val="-1"/>
          <w:sz w:val="24"/>
        </w:rPr>
        <w:t> </w:t>
      </w:r>
      <w:r>
        <w:rPr>
          <w:sz w:val="24"/>
        </w:rPr>
        <w:t>on</w:t>
      </w:r>
      <w:r>
        <w:rPr>
          <w:spacing w:val="-4"/>
          <w:sz w:val="24"/>
        </w:rPr>
        <w:t> </w:t>
      </w:r>
      <w:r>
        <w:rPr>
          <w:sz w:val="24"/>
        </w:rPr>
        <w:t>federal</w:t>
      </w:r>
      <w:r>
        <w:rPr>
          <w:spacing w:val="-2"/>
          <w:sz w:val="24"/>
        </w:rPr>
        <w:t> </w:t>
      </w:r>
      <w:r>
        <w:rPr>
          <w:sz w:val="24"/>
        </w:rPr>
        <w:t>contracts?</w:t>
      </w:r>
      <w:r>
        <w:rPr>
          <w:spacing w:val="40"/>
          <w:sz w:val="24"/>
        </w:rPr>
        <w:t> </w:t>
      </w:r>
      <w:r>
        <w:rPr>
          <w:sz w:val="24"/>
        </w:rPr>
        <w:t>If</w:t>
      </w:r>
      <w:r>
        <w:rPr>
          <w:spacing w:val="-1"/>
          <w:sz w:val="24"/>
        </w:rPr>
        <w:t> </w:t>
      </w:r>
      <w:r>
        <w:rPr>
          <w:sz w:val="24"/>
        </w:rPr>
        <w:t>yes, has the in-kind method been approved by FTA Region 1?</w:t>
      </w:r>
      <w:r>
        <w:rPr>
          <w:spacing w:val="40"/>
          <w:sz w:val="24"/>
        </w:rPr>
        <w:t> </w:t>
      </w:r>
      <w:r>
        <w:rPr>
          <w:sz w:val="24"/>
        </w:rPr>
        <w:t>Provide copy.</w:t>
      </w:r>
    </w:p>
    <w:p>
      <w:pPr>
        <w:pStyle w:val="BodyText"/>
        <w:ind w:left="1992"/>
      </w:pPr>
      <w:r>
        <w:rPr/>
        <w:t>N/A</w:t>
      </w:r>
      <w:r>
        <w:rPr>
          <w:spacing w:val="1"/>
        </w:rPr>
        <w:t> </w:t>
      </w:r>
      <w:r>
        <w:rPr/>
        <w:t>at</w:t>
      </w:r>
      <w:r>
        <w:rPr>
          <w:spacing w:val="-1"/>
        </w:rPr>
        <w:t> </w:t>
      </w:r>
      <w:r>
        <w:rPr/>
        <w:t>this</w:t>
      </w:r>
      <w:r>
        <w:rPr>
          <w:spacing w:val="-2"/>
        </w:rPr>
        <w:t> </w:t>
      </w:r>
      <w:r>
        <w:rPr>
          <w:spacing w:val="-4"/>
        </w:rPr>
        <w:t>time</w:t>
      </w:r>
    </w:p>
    <w:p>
      <w:pPr>
        <w:pStyle w:val="Heading5"/>
        <w:numPr>
          <w:ilvl w:val="0"/>
          <w:numId w:val="38"/>
        </w:numPr>
        <w:tabs>
          <w:tab w:pos="1458" w:val="left" w:leader="none"/>
        </w:tabs>
        <w:spacing w:line="240" w:lineRule="auto" w:before="19" w:after="0"/>
        <w:ind w:left="1458" w:right="0" w:hanging="547"/>
        <w:jc w:val="left"/>
        <w:rPr>
          <w:color w:val="2D74B5"/>
        </w:rPr>
      </w:pPr>
      <w:r>
        <w:rPr>
          <w:color w:val="2D74B5"/>
        </w:rPr>
        <w:t>Technical</w:t>
      </w:r>
      <w:r>
        <w:rPr>
          <w:color w:val="2D74B5"/>
          <w:spacing w:val="-4"/>
        </w:rPr>
        <w:t> </w:t>
      </w:r>
      <w:r>
        <w:rPr>
          <w:color w:val="2D74B5"/>
        </w:rPr>
        <w:t>Capacity</w:t>
      </w:r>
      <w:r>
        <w:rPr>
          <w:color w:val="2D74B5"/>
          <w:spacing w:val="-4"/>
        </w:rPr>
        <w:t> </w:t>
      </w:r>
      <w:r>
        <w:rPr>
          <w:color w:val="2D74B5"/>
        </w:rPr>
        <w:t>–</w:t>
      </w:r>
      <w:r>
        <w:rPr>
          <w:color w:val="2D74B5"/>
          <w:spacing w:val="-5"/>
        </w:rPr>
        <w:t> </w:t>
      </w:r>
      <w:r>
        <w:rPr>
          <w:color w:val="2D74B5"/>
        </w:rPr>
        <w:t>Award</w:t>
      </w:r>
      <w:r>
        <w:rPr>
          <w:color w:val="2D74B5"/>
          <w:spacing w:val="-3"/>
        </w:rPr>
        <w:t> </w:t>
      </w:r>
      <w:r>
        <w:rPr>
          <w:color w:val="2D74B5"/>
          <w:spacing w:val="-2"/>
        </w:rPr>
        <w:t>Management</w:t>
      </w:r>
    </w:p>
    <w:p>
      <w:pPr>
        <w:pStyle w:val="ListParagraph"/>
        <w:numPr>
          <w:ilvl w:val="1"/>
          <w:numId w:val="38"/>
        </w:numPr>
        <w:tabs>
          <w:tab w:pos="1992" w:val="left" w:leader="none"/>
        </w:tabs>
        <w:spacing w:line="261" w:lineRule="auto" w:before="23" w:after="0"/>
        <w:ind w:left="1992" w:right="1156" w:hanging="360"/>
        <w:jc w:val="left"/>
        <w:rPr>
          <w:sz w:val="24"/>
        </w:rPr>
      </w:pPr>
      <w:r>
        <w:rPr>
          <w:sz w:val="24"/>
        </w:rPr>
        <w:t>Does</w:t>
      </w:r>
      <w:r>
        <w:rPr>
          <w:spacing w:val="-4"/>
          <w:sz w:val="24"/>
        </w:rPr>
        <w:t> </w:t>
      </w:r>
      <w:r>
        <w:rPr>
          <w:sz w:val="24"/>
        </w:rPr>
        <w:t>your</w:t>
      </w:r>
      <w:r>
        <w:rPr>
          <w:spacing w:val="-4"/>
          <w:sz w:val="24"/>
        </w:rPr>
        <w:t> </w:t>
      </w:r>
      <w:r>
        <w:rPr>
          <w:sz w:val="24"/>
        </w:rPr>
        <w:t>organization</w:t>
      </w:r>
      <w:r>
        <w:rPr>
          <w:spacing w:val="-3"/>
          <w:sz w:val="24"/>
        </w:rPr>
        <w:t> </w:t>
      </w:r>
      <w:r>
        <w:rPr>
          <w:sz w:val="24"/>
        </w:rPr>
        <w:t>invoice</w:t>
      </w:r>
      <w:r>
        <w:rPr>
          <w:spacing w:val="-4"/>
          <w:sz w:val="24"/>
        </w:rPr>
        <w:t> </w:t>
      </w:r>
      <w:r>
        <w:rPr>
          <w:sz w:val="24"/>
        </w:rPr>
        <w:t>MaineDOT</w:t>
      </w:r>
      <w:r>
        <w:rPr>
          <w:spacing w:val="-4"/>
          <w:sz w:val="24"/>
        </w:rPr>
        <w:t> </w:t>
      </w:r>
      <w:r>
        <w:rPr>
          <w:sz w:val="24"/>
        </w:rPr>
        <w:t>monthly</w:t>
      </w:r>
      <w:r>
        <w:rPr>
          <w:spacing w:val="-4"/>
          <w:sz w:val="24"/>
        </w:rPr>
        <w:t> </w:t>
      </w:r>
      <w:r>
        <w:rPr>
          <w:sz w:val="24"/>
        </w:rPr>
        <w:t>as</w:t>
      </w:r>
      <w:r>
        <w:rPr>
          <w:spacing w:val="-4"/>
          <w:sz w:val="24"/>
        </w:rPr>
        <w:t> </w:t>
      </w:r>
      <w:r>
        <w:rPr>
          <w:sz w:val="24"/>
        </w:rPr>
        <w:t>required</w:t>
      </w:r>
      <w:r>
        <w:rPr>
          <w:spacing w:val="-3"/>
          <w:sz w:val="24"/>
        </w:rPr>
        <w:t> </w:t>
      </w:r>
      <w:r>
        <w:rPr>
          <w:sz w:val="24"/>
        </w:rPr>
        <w:t>in</w:t>
      </w:r>
      <w:r>
        <w:rPr>
          <w:spacing w:val="-5"/>
          <w:sz w:val="24"/>
        </w:rPr>
        <w:t> </w:t>
      </w:r>
      <w:r>
        <w:rPr>
          <w:sz w:val="24"/>
        </w:rPr>
        <w:t>the</w:t>
      </w:r>
      <w:r>
        <w:rPr>
          <w:spacing w:val="-5"/>
          <w:sz w:val="24"/>
        </w:rPr>
        <w:t> </w:t>
      </w:r>
      <w:r>
        <w:rPr>
          <w:sz w:val="24"/>
        </w:rPr>
        <w:t>Cooperative Agreement and Assignment Letter for each project?</w:t>
      </w:r>
      <w:r>
        <w:rPr>
          <w:spacing w:val="80"/>
          <w:sz w:val="24"/>
        </w:rPr>
        <w:t> </w:t>
      </w:r>
      <w:r>
        <w:rPr>
          <w:sz w:val="28"/>
        </w:rPr>
        <w:t>Yes</w:t>
      </w:r>
    </w:p>
    <w:p>
      <w:pPr>
        <w:pStyle w:val="ListParagraph"/>
        <w:numPr>
          <w:ilvl w:val="1"/>
          <w:numId w:val="38"/>
        </w:numPr>
        <w:tabs>
          <w:tab w:pos="1992" w:val="left" w:leader="none"/>
        </w:tabs>
        <w:spacing w:line="259" w:lineRule="auto" w:before="0" w:after="0"/>
        <w:ind w:left="1992" w:right="1008" w:hanging="360"/>
        <w:jc w:val="left"/>
        <w:rPr>
          <w:sz w:val="24"/>
        </w:rPr>
      </w:pPr>
      <w:r>
        <w:rPr>
          <w:sz w:val="24"/>
        </w:rPr>
        <w:t>Do</w:t>
      </w:r>
      <w:r>
        <w:rPr>
          <w:spacing w:val="-2"/>
          <w:sz w:val="24"/>
        </w:rPr>
        <w:t> </w:t>
      </w:r>
      <w:r>
        <w:rPr>
          <w:sz w:val="24"/>
        </w:rPr>
        <w:t>you</w:t>
      </w:r>
      <w:r>
        <w:rPr>
          <w:spacing w:val="-1"/>
          <w:sz w:val="24"/>
        </w:rPr>
        <w:t> </w:t>
      </w:r>
      <w:r>
        <w:rPr>
          <w:sz w:val="24"/>
        </w:rPr>
        <w:t>keep</w:t>
      </w:r>
      <w:r>
        <w:rPr>
          <w:spacing w:val="-4"/>
          <w:sz w:val="24"/>
        </w:rPr>
        <w:t> </w:t>
      </w:r>
      <w:r>
        <w:rPr>
          <w:sz w:val="24"/>
        </w:rPr>
        <w:t>the</w:t>
      </w:r>
      <w:r>
        <w:rPr>
          <w:spacing w:val="-4"/>
          <w:sz w:val="24"/>
        </w:rPr>
        <w:t> </w:t>
      </w:r>
      <w:r>
        <w:rPr>
          <w:sz w:val="24"/>
        </w:rPr>
        <w:t>MaineDOT</w:t>
      </w:r>
      <w:r>
        <w:rPr>
          <w:spacing w:val="-2"/>
          <w:sz w:val="24"/>
        </w:rPr>
        <w:t> </w:t>
      </w:r>
      <w:r>
        <w:rPr>
          <w:sz w:val="24"/>
        </w:rPr>
        <w:t>project</w:t>
      </w:r>
      <w:r>
        <w:rPr>
          <w:spacing w:val="-2"/>
          <w:sz w:val="24"/>
        </w:rPr>
        <w:t> </w:t>
      </w:r>
      <w:r>
        <w:rPr>
          <w:sz w:val="24"/>
        </w:rPr>
        <w:t>manager</w:t>
      </w:r>
      <w:r>
        <w:rPr>
          <w:spacing w:val="-5"/>
          <w:sz w:val="24"/>
        </w:rPr>
        <w:t> </w:t>
      </w:r>
      <w:r>
        <w:rPr>
          <w:sz w:val="24"/>
        </w:rPr>
        <w:t>updated</w:t>
      </w:r>
      <w:r>
        <w:rPr>
          <w:spacing w:val="-4"/>
          <w:sz w:val="24"/>
        </w:rPr>
        <w:t> </w:t>
      </w:r>
      <w:r>
        <w:rPr>
          <w:sz w:val="24"/>
        </w:rPr>
        <w:t>on</w:t>
      </w:r>
      <w:r>
        <w:rPr>
          <w:spacing w:val="-4"/>
          <w:sz w:val="24"/>
        </w:rPr>
        <w:t> </w:t>
      </w:r>
      <w:r>
        <w:rPr>
          <w:sz w:val="24"/>
        </w:rPr>
        <w:t>changes</w:t>
      </w:r>
      <w:r>
        <w:rPr>
          <w:spacing w:val="-3"/>
          <w:sz w:val="24"/>
        </w:rPr>
        <w:t> </w:t>
      </w:r>
      <w:r>
        <w:rPr>
          <w:sz w:val="24"/>
        </w:rPr>
        <w:t>to</w:t>
      </w:r>
      <w:r>
        <w:rPr>
          <w:spacing w:val="-2"/>
          <w:sz w:val="24"/>
        </w:rPr>
        <w:t> </w:t>
      </w:r>
      <w:r>
        <w:rPr>
          <w:sz w:val="24"/>
        </w:rPr>
        <w:t>active</w:t>
      </w:r>
      <w:r>
        <w:rPr>
          <w:spacing w:val="-2"/>
          <w:sz w:val="24"/>
        </w:rPr>
        <w:t> </w:t>
      </w:r>
      <w:r>
        <w:rPr>
          <w:sz w:val="24"/>
        </w:rPr>
        <w:t>projects including sharing challenges and successes? </w:t>
      </w:r>
      <w:r>
        <w:rPr>
          <w:sz w:val="28"/>
        </w:rPr>
        <w:t>Yes</w:t>
      </w:r>
    </w:p>
    <w:p>
      <w:pPr>
        <w:pStyle w:val="ListParagraph"/>
        <w:numPr>
          <w:ilvl w:val="1"/>
          <w:numId w:val="38"/>
        </w:numPr>
        <w:tabs>
          <w:tab w:pos="1991" w:val="left" w:leader="none"/>
          <w:tab w:pos="7142" w:val="left" w:leader="none"/>
        </w:tabs>
        <w:spacing w:line="259" w:lineRule="auto" w:before="0" w:after="0"/>
        <w:ind w:left="1991" w:right="849" w:hanging="360"/>
        <w:jc w:val="left"/>
        <w:rPr>
          <w:sz w:val="24"/>
        </w:rPr>
      </w:pPr>
      <w:r>
        <w:rPr>
          <w:sz w:val="24"/>
        </w:rPr>
        <w:t>If you have multiple open contracts utilizing FTA funds, do you ensure that you are spending down the oldest funds first?</w:t>
      </w:r>
      <w:r>
        <w:rPr>
          <w:spacing w:val="40"/>
          <w:sz w:val="24"/>
        </w:rPr>
        <w:t> </w:t>
      </w:r>
      <w:r>
        <w:rPr>
          <w:sz w:val="24"/>
        </w:rPr>
        <w:t>How?</w:t>
        <w:tab/>
      </w:r>
      <w:r>
        <w:rPr>
          <w:sz w:val="28"/>
        </w:rPr>
        <w:t>Identifying oldest contracts and</w:t>
      </w:r>
      <w:r>
        <w:rPr>
          <w:spacing w:val="-3"/>
          <w:sz w:val="28"/>
        </w:rPr>
        <w:t> </w:t>
      </w:r>
      <w:r>
        <w:rPr>
          <w:sz w:val="28"/>
        </w:rPr>
        <w:t>verifying</w:t>
      </w:r>
      <w:r>
        <w:rPr>
          <w:spacing w:val="-5"/>
          <w:sz w:val="28"/>
        </w:rPr>
        <w:t> </w:t>
      </w:r>
      <w:r>
        <w:rPr>
          <w:sz w:val="28"/>
        </w:rPr>
        <w:t>with</w:t>
      </w:r>
      <w:r>
        <w:rPr>
          <w:spacing w:val="-3"/>
          <w:sz w:val="28"/>
        </w:rPr>
        <w:t> </w:t>
      </w:r>
      <w:r>
        <w:rPr>
          <w:sz w:val="28"/>
        </w:rPr>
        <w:t>MaineDOT</w:t>
      </w:r>
      <w:r>
        <w:rPr>
          <w:spacing w:val="-4"/>
          <w:sz w:val="28"/>
        </w:rPr>
        <w:t> </w:t>
      </w:r>
      <w:r>
        <w:rPr>
          <w:sz w:val="28"/>
        </w:rPr>
        <w:t>so</w:t>
      </w:r>
      <w:r>
        <w:rPr>
          <w:spacing w:val="-4"/>
          <w:sz w:val="28"/>
        </w:rPr>
        <w:t> </w:t>
      </w:r>
      <w:r>
        <w:rPr>
          <w:sz w:val="28"/>
        </w:rPr>
        <w:t>that</w:t>
      </w:r>
      <w:r>
        <w:rPr>
          <w:spacing w:val="-5"/>
          <w:sz w:val="28"/>
        </w:rPr>
        <w:t> </w:t>
      </w:r>
      <w:r>
        <w:rPr>
          <w:sz w:val="28"/>
        </w:rPr>
        <w:t>older</w:t>
      </w:r>
      <w:r>
        <w:rPr>
          <w:spacing w:val="-4"/>
          <w:sz w:val="28"/>
        </w:rPr>
        <w:t> </w:t>
      </w:r>
      <w:r>
        <w:rPr>
          <w:sz w:val="28"/>
        </w:rPr>
        <w:t>contracts</w:t>
      </w:r>
      <w:r>
        <w:rPr>
          <w:spacing w:val="-4"/>
          <w:sz w:val="28"/>
        </w:rPr>
        <w:t> </w:t>
      </w:r>
      <w:r>
        <w:rPr>
          <w:sz w:val="28"/>
        </w:rPr>
        <w:t>are</w:t>
      </w:r>
      <w:r>
        <w:rPr>
          <w:spacing w:val="-5"/>
          <w:sz w:val="28"/>
        </w:rPr>
        <w:t> </w:t>
      </w:r>
      <w:r>
        <w:rPr>
          <w:sz w:val="28"/>
        </w:rPr>
        <w:t>used</w:t>
      </w:r>
      <w:r>
        <w:rPr>
          <w:spacing w:val="-3"/>
          <w:sz w:val="28"/>
        </w:rPr>
        <w:t> </w:t>
      </w:r>
      <w:r>
        <w:rPr>
          <w:sz w:val="28"/>
        </w:rPr>
        <w:t>first</w:t>
      </w:r>
      <w:r>
        <w:rPr>
          <w:spacing w:val="-5"/>
          <w:sz w:val="28"/>
        </w:rPr>
        <w:t> </w:t>
      </w:r>
      <w:r>
        <w:rPr>
          <w:sz w:val="28"/>
        </w:rPr>
        <w:t>unless directed otherwise.</w:t>
      </w:r>
    </w:p>
    <w:p>
      <w:pPr>
        <w:pStyle w:val="BodyText"/>
        <w:spacing w:before="6"/>
        <w:rPr>
          <w:sz w:val="25"/>
        </w:rPr>
      </w:pPr>
    </w:p>
    <w:p>
      <w:pPr>
        <w:pStyle w:val="Heading5"/>
        <w:numPr>
          <w:ilvl w:val="0"/>
          <w:numId w:val="38"/>
        </w:numPr>
        <w:tabs>
          <w:tab w:pos="1458" w:val="left" w:leader="none"/>
        </w:tabs>
        <w:spacing w:line="240" w:lineRule="auto" w:before="0" w:after="0"/>
        <w:ind w:left="1458" w:right="0" w:hanging="547"/>
        <w:jc w:val="left"/>
        <w:rPr>
          <w:color w:val="2D74B5"/>
        </w:rPr>
      </w:pPr>
      <w:r>
        <w:rPr>
          <w:color w:val="2D74B5"/>
        </w:rPr>
        <w:t>Technical</w:t>
      </w:r>
      <w:r>
        <w:rPr>
          <w:color w:val="2D74B5"/>
          <w:spacing w:val="-4"/>
        </w:rPr>
        <w:t> </w:t>
      </w:r>
      <w:r>
        <w:rPr>
          <w:color w:val="2D74B5"/>
        </w:rPr>
        <w:t>Capacity</w:t>
      </w:r>
      <w:r>
        <w:rPr>
          <w:color w:val="2D74B5"/>
          <w:spacing w:val="-4"/>
        </w:rPr>
        <w:t> </w:t>
      </w:r>
      <w:r>
        <w:rPr>
          <w:color w:val="2D74B5"/>
        </w:rPr>
        <w:t>–</w:t>
      </w:r>
      <w:r>
        <w:rPr>
          <w:color w:val="2D74B5"/>
          <w:spacing w:val="-3"/>
        </w:rPr>
        <w:t> </w:t>
      </w:r>
      <w:r>
        <w:rPr>
          <w:color w:val="2D74B5"/>
        </w:rPr>
        <w:t>Program</w:t>
      </w:r>
      <w:r>
        <w:rPr>
          <w:color w:val="2D74B5"/>
          <w:spacing w:val="-4"/>
        </w:rPr>
        <w:t> </w:t>
      </w:r>
      <w:r>
        <w:rPr>
          <w:color w:val="2D74B5"/>
          <w:spacing w:val="-2"/>
        </w:rPr>
        <w:t>Management</w:t>
      </w:r>
    </w:p>
    <w:p>
      <w:pPr>
        <w:pStyle w:val="ListParagraph"/>
        <w:numPr>
          <w:ilvl w:val="1"/>
          <w:numId w:val="38"/>
        </w:numPr>
        <w:tabs>
          <w:tab w:pos="1991" w:val="left" w:leader="none"/>
        </w:tabs>
        <w:spacing w:line="261" w:lineRule="auto" w:before="23" w:after="0"/>
        <w:ind w:left="1991" w:right="1350" w:hanging="360"/>
        <w:jc w:val="left"/>
        <w:rPr>
          <w:sz w:val="24"/>
        </w:rPr>
      </w:pPr>
      <w:r>
        <w:rPr>
          <w:sz w:val="24"/>
        </w:rPr>
        <w:t>Do you have any contracts over $150,000?</w:t>
      </w:r>
      <w:r>
        <w:rPr>
          <w:spacing w:val="40"/>
          <w:sz w:val="24"/>
        </w:rPr>
        <w:t> </w:t>
      </w:r>
      <w:r>
        <w:rPr>
          <w:sz w:val="24"/>
        </w:rPr>
        <w:t>If yes, do the contracts address administrative,</w:t>
      </w:r>
      <w:r>
        <w:rPr>
          <w:spacing w:val="-3"/>
          <w:sz w:val="24"/>
        </w:rPr>
        <w:t> </w:t>
      </w:r>
      <w:r>
        <w:rPr>
          <w:sz w:val="24"/>
        </w:rPr>
        <w:t>contractual,</w:t>
      </w:r>
      <w:r>
        <w:rPr>
          <w:spacing w:val="-3"/>
          <w:sz w:val="24"/>
        </w:rPr>
        <w:t> </w:t>
      </w:r>
      <w:r>
        <w:rPr>
          <w:sz w:val="24"/>
        </w:rPr>
        <w:t>and</w:t>
      </w:r>
      <w:r>
        <w:rPr>
          <w:spacing w:val="-2"/>
          <w:sz w:val="24"/>
        </w:rPr>
        <w:t> </w:t>
      </w:r>
      <w:r>
        <w:rPr>
          <w:sz w:val="24"/>
        </w:rPr>
        <w:t>legal</w:t>
      </w:r>
      <w:r>
        <w:rPr>
          <w:spacing w:val="-3"/>
          <w:sz w:val="24"/>
        </w:rPr>
        <w:t> </w:t>
      </w:r>
      <w:r>
        <w:rPr>
          <w:sz w:val="24"/>
        </w:rPr>
        <w:t>remedies</w:t>
      </w:r>
      <w:r>
        <w:rPr>
          <w:spacing w:val="-4"/>
          <w:sz w:val="24"/>
        </w:rPr>
        <w:t> </w:t>
      </w:r>
      <w:r>
        <w:rPr>
          <w:sz w:val="24"/>
        </w:rPr>
        <w:t>for</w:t>
      </w:r>
      <w:r>
        <w:rPr>
          <w:spacing w:val="-3"/>
          <w:sz w:val="24"/>
        </w:rPr>
        <w:t> </w:t>
      </w:r>
      <w:r>
        <w:rPr>
          <w:sz w:val="24"/>
        </w:rPr>
        <w:t>when</w:t>
      </w:r>
      <w:r>
        <w:rPr>
          <w:spacing w:val="-5"/>
          <w:sz w:val="24"/>
        </w:rPr>
        <w:t> </w:t>
      </w:r>
      <w:r>
        <w:rPr>
          <w:sz w:val="24"/>
        </w:rPr>
        <w:t>the</w:t>
      </w:r>
      <w:r>
        <w:rPr>
          <w:spacing w:val="-3"/>
          <w:sz w:val="24"/>
        </w:rPr>
        <w:t> </w:t>
      </w:r>
      <w:r>
        <w:rPr>
          <w:sz w:val="24"/>
        </w:rPr>
        <w:t>contractor</w:t>
      </w:r>
      <w:r>
        <w:rPr>
          <w:spacing w:val="-6"/>
          <w:sz w:val="24"/>
        </w:rPr>
        <w:t> </w:t>
      </w:r>
      <w:r>
        <w:rPr>
          <w:sz w:val="24"/>
        </w:rPr>
        <w:t>violates contract terms?</w:t>
      </w:r>
      <w:r>
        <w:rPr>
          <w:spacing w:val="40"/>
          <w:sz w:val="24"/>
        </w:rPr>
        <w:t> </w:t>
      </w:r>
      <w:r>
        <w:rPr>
          <w:sz w:val="28"/>
        </w:rPr>
        <w:t>Yes</w:t>
      </w:r>
    </w:p>
    <w:p>
      <w:pPr>
        <w:pStyle w:val="ListParagraph"/>
        <w:numPr>
          <w:ilvl w:val="2"/>
          <w:numId w:val="38"/>
        </w:numPr>
        <w:tabs>
          <w:tab w:pos="2171" w:val="left" w:leader="none"/>
        </w:tabs>
        <w:spacing w:line="283" w:lineRule="exact" w:before="0" w:after="0"/>
        <w:ind w:left="2171" w:right="0" w:hanging="179"/>
        <w:jc w:val="left"/>
        <w:rPr>
          <w:sz w:val="24"/>
        </w:rPr>
      </w:pPr>
      <w:r>
        <w:rPr>
          <w:sz w:val="24"/>
        </w:rPr>
        <w:t>Does</w:t>
      </w:r>
      <w:r>
        <w:rPr>
          <w:spacing w:val="-4"/>
          <w:sz w:val="24"/>
        </w:rPr>
        <w:t> </w:t>
      </w:r>
      <w:r>
        <w:rPr>
          <w:sz w:val="24"/>
        </w:rPr>
        <w:t>the</w:t>
      </w:r>
      <w:r>
        <w:rPr>
          <w:spacing w:val="-2"/>
          <w:sz w:val="24"/>
        </w:rPr>
        <w:t> </w:t>
      </w:r>
      <w:r>
        <w:rPr>
          <w:sz w:val="24"/>
        </w:rPr>
        <w:t>contract</w:t>
      </w:r>
      <w:r>
        <w:rPr>
          <w:spacing w:val="-3"/>
          <w:sz w:val="24"/>
        </w:rPr>
        <w:t> </w:t>
      </w:r>
      <w:r>
        <w:rPr>
          <w:sz w:val="24"/>
        </w:rPr>
        <w:t>provide</w:t>
      </w:r>
      <w:r>
        <w:rPr>
          <w:spacing w:val="-1"/>
          <w:sz w:val="24"/>
        </w:rPr>
        <w:t> </w:t>
      </w:r>
      <w:r>
        <w:rPr>
          <w:sz w:val="24"/>
        </w:rPr>
        <w:t>sanctions</w:t>
      </w:r>
      <w:r>
        <w:rPr>
          <w:spacing w:val="-1"/>
          <w:sz w:val="24"/>
        </w:rPr>
        <w:t> </w:t>
      </w:r>
      <w:r>
        <w:rPr>
          <w:sz w:val="24"/>
        </w:rPr>
        <w:t>and/or</w:t>
      </w:r>
      <w:r>
        <w:rPr>
          <w:spacing w:val="-4"/>
          <w:sz w:val="24"/>
        </w:rPr>
        <w:t> </w:t>
      </w:r>
      <w:r>
        <w:rPr>
          <w:sz w:val="24"/>
        </w:rPr>
        <w:t>penalties</w:t>
      </w:r>
      <w:r>
        <w:rPr>
          <w:spacing w:val="-1"/>
          <w:sz w:val="24"/>
        </w:rPr>
        <w:t> </w:t>
      </w:r>
      <w:r>
        <w:rPr>
          <w:sz w:val="24"/>
        </w:rPr>
        <w:t>as</w:t>
      </w:r>
      <w:r>
        <w:rPr>
          <w:spacing w:val="-4"/>
          <w:sz w:val="24"/>
        </w:rPr>
        <w:t> </w:t>
      </w:r>
      <w:r>
        <w:rPr>
          <w:sz w:val="24"/>
        </w:rPr>
        <w:t>appropriate?</w:t>
      </w:r>
      <w:r>
        <w:rPr>
          <w:spacing w:val="49"/>
          <w:sz w:val="24"/>
        </w:rPr>
        <w:t> </w:t>
      </w:r>
      <w:r>
        <w:rPr>
          <w:spacing w:val="-5"/>
          <w:sz w:val="24"/>
        </w:rPr>
        <w:t>Yes</w:t>
      </w:r>
    </w:p>
    <w:p>
      <w:pPr>
        <w:pStyle w:val="ListParagraph"/>
        <w:numPr>
          <w:ilvl w:val="2"/>
          <w:numId w:val="38"/>
        </w:numPr>
        <w:tabs>
          <w:tab w:pos="2170" w:val="left" w:leader="none"/>
        </w:tabs>
        <w:spacing w:line="240" w:lineRule="auto" w:before="24" w:after="0"/>
        <w:ind w:left="2170" w:right="0" w:hanging="179"/>
        <w:jc w:val="left"/>
        <w:rPr>
          <w:sz w:val="24"/>
        </w:rPr>
      </w:pPr>
      <w:r>
        <w:rPr>
          <w:sz w:val="24"/>
        </w:rPr>
        <w:t>Does</w:t>
      </w:r>
      <w:r>
        <w:rPr>
          <w:spacing w:val="-6"/>
          <w:sz w:val="24"/>
        </w:rPr>
        <w:t> </w:t>
      </w:r>
      <w:r>
        <w:rPr>
          <w:sz w:val="24"/>
        </w:rPr>
        <w:t>the</w:t>
      </w:r>
      <w:r>
        <w:rPr>
          <w:spacing w:val="-2"/>
          <w:sz w:val="24"/>
        </w:rPr>
        <w:t> </w:t>
      </w:r>
      <w:r>
        <w:rPr>
          <w:sz w:val="24"/>
        </w:rPr>
        <w:t>contract</w:t>
      </w:r>
      <w:r>
        <w:rPr>
          <w:spacing w:val="-3"/>
          <w:sz w:val="24"/>
        </w:rPr>
        <w:t> </w:t>
      </w:r>
      <w:r>
        <w:rPr>
          <w:sz w:val="24"/>
        </w:rPr>
        <w:t>contain</w:t>
      </w:r>
      <w:r>
        <w:rPr>
          <w:spacing w:val="1"/>
          <w:sz w:val="24"/>
        </w:rPr>
        <w:t> </w:t>
      </w:r>
      <w:r>
        <w:rPr>
          <w:sz w:val="24"/>
        </w:rPr>
        <w:t>the</w:t>
      </w:r>
      <w:r>
        <w:rPr>
          <w:spacing w:val="-2"/>
          <w:sz w:val="24"/>
        </w:rPr>
        <w:t> </w:t>
      </w:r>
      <w:r>
        <w:rPr>
          <w:sz w:val="24"/>
        </w:rPr>
        <w:t>provisions</w:t>
      </w:r>
      <w:r>
        <w:rPr>
          <w:spacing w:val="-2"/>
          <w:sz w:val="24"/>
        </w:rPr>
        <w:t> </w:t>
      </w:r>
      <w:r>
        <w:rPr>
          <w:sz w:val="24"/>
        </w:rPr>
        <w:t>of</w:t>
      </w:r>
      <w:r>
        <w:rPr>
          <w:spacing w:val="-2"/>
          <w:sz w:val="24"/>
        </w:rPr>
        <w:t> </w:t>
      </w:r>
      <w:r>
        <w:rPr>
          <w:sz w:val="24"/>
        </w:rPr>
        <w:t>the</w:t>
      </w:r>
      <w:r>
        <w:rPr>
          <w:spacing w:val="-2"/>
          <w:sz w:val="24"/>
        </w:rPr>
        <w:t> </w:t>
      </w:r>
      <w:r>
        <w:rPr>
          <w:sz w:val="24"/>
        </w:rPr>
        <w:t>Clean Water</w:t>
      </w:r>
      <w:r>
        <w:rPr>
          <w:spacing w:val="-3"/>
          <w:sz w:val="24"/>
        </w:rPr>
        <w:t> </w:t>
      </w:r>
      <w:r>
        <w:rPr>
          <w:sz w:val="24"/>
        </w:rPr>
        <w:t>Act?</w:t>
      </w:r>
      <w:r>
        <w:rPr>
          <w:spacing w:val="-1"/>
          <w:sz w:val="24"/>
        </w:rPr>
        <w:t> </w:t>
      </w:r>
      <w:r>
        <w:rPr>
          <w:spacing w:val="-5"/>
          <w:sz w:val="24"/>
        </w:rPr>
        <w:t>Yes</w:t>
      </w:r>
    </w:p>
    <w:p>
      <w:pPr>
        <w:pStyle w:val="ListParagraph"/>
        <w:numPr>
          <w:ilvl w:val="2"/>
          <w:numId w:val="38"/>
        </w:numPr>
        <w:tabs>
          <w:tab w:pos="2170" w:val="left" w:leader="none"/>
        </w:tabs>
        <w:spacing w:line="240" w:lineRule="auto" w:before="24" w:after="0"/>
        <w:ind w:left="2170" w:right="0" w:hanging="179"/>
        <w:jc w:val="left"/>
        <w:rPr>
          <w:sz w:val="24"/>
        </w:rPr>
      </w:pPr>
      <w:r>
        <w:rPr>
          <w:sz w:val="24"/>
        </w:rPr>
        <w:t>Does</w:t>
      </w:r>
      <w:r>
        <w:rPr>
          <w:spacing w:val="-4"/>
          <w:sz w:val="24"/>
        </w:rPr>
        <w:t> </w:t>
      </w:r>
      <w:r>
        <w:rPr>
          <w:sz w:val="24"/>
        </w:rPr>
        <w:t>the</w:t>
      </w:r>
      <w:r>
        <w:rPr>
          <w:spacing w:val="-3"/>
          <w:sz w:val="24"/>
        </w:rPr>
        <w:t> </w:t>
      </w:r>
      <w:r>
        <w:rPr>
          <w:sz w:val="24"/>
        </w:rPr>
        <w:t>contract</w:t>
      </w:r>
      <w:r>
        <w:rPr>
          <w:spacing w:val="-3"/>
          <w:sz w:val="24"/>
        </w:rPr>
        <w:t> </w:t>
      </w:r>
      <w:r>
        <w:rPr>
          <w:sz w:val="24"/>
        </w:rPr>
        <w:t>contain the</w:t>
      </w:r>
      <w:r>
        <w:rPr>
          <w:spacing w:val="-1"/>
          <w:sz w:val="24"/>
        </w:rPr>
        <w:t> </w:t>
      </w:r>
      <w:r>
        <w:rPr>
          <w:sz w:val="24"/>
        </w:rPr>
        <w:t>Federal Water</w:t>
      </w:r>
      <w:r>
        <w:rPr>
          <w:spacing w:val="-4"/>
          <w:sz w:val="24"/>
        </w:rPr>
        <w:t> </w:t>
      </w:r>
      <w:r>
        <w:rPr>
          <w:sz w:val="24"/>
        </w:rPr>
        <w:t>Pollution Control</w:t>
      </w:r>
      <w:r>
        <w:rPr>
          <w:spacing w:val="-4"/>
          <w:sz w:val="24"/>
        </w:rPr>
        <w:t> </w:t>
      </w:r>
      <w:r>
        <w:rPr>
          <w:sz w:val="24"/>
        </w:rPr>
        <w:t>Act</w:t>
      </w:r>
      <w:r>
        <w:rPr>
          <w:spacing w:val="-3"/>
          <w:sz w:val="24"/>
        </w:rPr>
        <w:t> </w:t>
      </w:r>
      <w:r>
        <w:rPr>
          <w:sz w:val="24"/>
        </w:rPr>
        <w:t>provision?</w:t>
      </w:r>
      <w:r>
        <w:rPr>
          <w:spacing w:val="-1"/>
          <w:sz w:val="24"/>
        </w:rPr>
        <w:t> </w:t>
      </w:r>
      <w:r>
        <w:rPr>
          <w:spacing w:val="-5"/>
          <w:sz w:val="24"/>
        </w:rPr>
        <w:t>Yes</w:t>
      </w:r>
    </w:p>
    <w:p>
      <w:pPr>
        <w:spacing w:after="0" w:line="240" w:lineRule="auto"/>
        <w:jc w:val="left"/>
        <w:rPr>
          <w:sz w:val="24"/>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57312">
            <wp:simplePos x="0" y="0"/>
            <wp:positionH relativeFrom="page">
              <wp:posOffset>731520</wp:posOffset>
            </wp:positionH>
            <wp:positionV relativeFrom="paragraph">
              <wp:posOffset>-111196</wp:posOffset>
            </wp:positionV>
            <wp:extent cx="1523706" cy="426719"/>
            <wp:effectExtent l="0" t="0" r="0" b="0"/>
            <wp:wrapNone/>
            <wp:docPr id="153" name="Image 153">
              <a:hlinkClick r:id="rId80"/>
            </wp:docPr>
            <wp:cNvGraphicFramePr>
              <a:graphicFrameLocks/>
            </wp:cNvGraphicFramePr>
            <a:graphic>
              <a:graphicData uri="http://schemas.openxmlformats.org/drawingml/2006/picture">
                <pic:pic>
                  <pic:nvPicPr>
                    <pic:cNvPr id="153" name="Image 153">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6000">
                <wp:simplePos x="0" y="0"/>
                <wp:positionH relativeFrom="page">
                  <wp:posOffset>713231</wp:posOffset>
                </wp:positionH>
                <wp:positionV relativeFrom="paragraph">
                  <wp:posOffset>216706</wp:posOffset>
                </wp:positionV>
                <wp:extent cx="6346190" cy="74930"/>
                <wp:effectExtent l="0" t="0" r="0" b="0"/>
                <wp:wrapTopAndBottom/>
                <wp:docPr id="154" name="Group 154"/>
                <wp:cNvGraphicFramePr>
                  <a:graphicFrameLocks/>
                </wp:cNvGraphicFramePr>
                <a:graphic>
                  <a:graphicData uri="http://schemas.microsoft.com/office/word/2010/wordprocessingGroup">
                    <wpg:wgp>
                      <wpg:cNvPr id="154" name="Group 154"/>
                      <wpg:cNvGrpSpPr/>
                      <wpg:grpSpPr>
                        <a:xfrm>
                          <a:off x="0" y="0"/>
                          <a:ext cx="6346190" cy="74930"/>
                          <a:chExt cx="6346190" cy="74930"/>
                        </a:xfrm>
                      </wpg:grpSpPr>
                      <wps:wsp>
                        <wps:cNvPr id="155" name="Graphic 155"/>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56" name="Graphic 156"/>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57" name="Graphic 157"/>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700480;mso-wrap-distance-left:0;mso-wrap-distance-right:0" id="docshapegroup115" coordorigin="1123,341" coordsize="9994,118">
                <v:rect style="position:absolute;left:1123;top:430;width:9994;height:29" id="docshape116" filled="true" fillcolor="#c0c0c0" stroked="false">
                  <v:fill type="solid"/>
                </v:rect>
                <v:rect style="position:absolute;left:1123;top:370;width:9994;height:60" id="docshape117" filled="true" fillcolor="#5f5f5f" stroked="false">
                  <v:fill type="solid"/>
                </v:rect>
                <v:rect style="position:absolute;left:1123;top:341;width:9994;height:29" id="docshape118" filled="true" fillcolor="#000000" stroked="false">
                  <v:fill type="solid"/>
                </v:rect>
                <w10:wrap type="topAndBottom"/>
              </v:group>
            </w:pict>
          </mc:Fallback>
        </mc:AlternateContent>
      </w:r>
    </w:p>
    <w:p>
      <w:pPr>
        <w:pStyle w:val="ListParagraph"/>
        <w:numPr>
          <w:ilvl w:val="1"/>
          <w:numId w:val="38"/>
        </w:numPr>
        <w:tabs>
          <w:tab w:pos="1992" w:val="left" w:leader="none"/>
        </w:tabs>
        <w:spacing w:line="261" w:lineRule="auto" w:before="2" w:after="0"/>
        <w:ind w:left="1992" w:right="729" w:hanging="360"/>
        <w:jc w:val="left"/>
        <w:rPr>
          <w:sz w:val="24"/>
        </w:rPr>
      </w:pPr>
      <w:r>
        <w:rPr>
          <w:sz w:val="24"/>
        </w:rPr>
        <w:t>Do</w:t>
      </w:r>
      <w:r>
        <w:rPr>
          <w:spacing w:val="-2"/>
          <w:sz w:val="24"/>
        </w:rPr>
        <w:t> </w:t>
      </w:r>
      <w:r>
        <w:rPr>
          <w:sz w:val="24"/>
        </w:rPr>
        <w:t>you</w:t>
      </w:r>
      <w:r>
        <w:rPr>
          <w:spacing w:val="-1"/>
          <w:sz w:val="24"/>
        </w:rPr>
        <w:t> </w:t>
      </w:r>
      <w:r>
        <w:rPr>
          <w:sz w:val="24"/>
        </w:rPr>
        <w:t>have</w:t>
      </w:r>
      <w:r>
        <w:rPr>
          <w:spacing w:val="-2"/>
          <w:sz w:val="24"/>
        </w:rPr>
        <w:t> </w:t>
      </w:r>
      <w:r>
        <w:rPr>
          <w:sz w:val="24"/>
        </w:rPr>
        <w:t>any</w:t>
      </w:r>
      <w:r>
        <w:rPr>
          <w:spacing w:val="-3"/>
          <w:sz w:val="24"/>
        </w:rPr>
        <w:t> </w:t>
      </w:r>
      <w:r>
        <w:rPr>
          <w:sz w:val="24"/>
        </w:rPr>
        <w:t>contracts</w:t>
      </w:r>
      <w:r>
        <w:rPr>
          <w:spacing w:val="-3"/>
          <w:sz w:val="24"/>
        </w:rPr>
        <w:t> </w:t>
      </w:r>
      <w:r>
        <w:rPr>
          <w:sz w:val="24"/>
        </w:rPr>
        <w:t>over</w:t>
      </w:r>
      <w:r>
        <w:rPr>
          <w:spacing w:val="-5"/>
          <w:sz w:val="24"/>
        </w:rPr>
        <w:t> </w:t>
      </w:r>
      <w:r>
        <w:rPr>
          <w:sz w:val="24"/>
        </w:rPr>
        <w:t>$10,000?</w:t>
      </w:r>
      <w:r>
        <w:rPr>
          <w:spacing w:val="40"/>
          <w:sz w:val="24"/>
        </w:rPr>
        <w:t> </w:t>
      </w:r>
      <w:r>
        <w:rPr>
          <w:sz w:val="24"/>
        </w:rPr>
        <w:t>If</w:t>
      </w:r>
      <w:r>
        <w:rPr>
          <w:spacing w:val="-4"/>
          <w:sz w:val="24"/>
        </w:rPr>
        <w:t> </w:t>
      </w:r>
      <w:r>
        <w:rPr>
          <w:sz w:val="24"/>
        </w:rPr>
        <w:t>yes,</w:t>
      </w:r>
      <w:r>
        <w:rPr>
          <w:spacing w:val="-5"/>
          <w:sz w:val="24"/>
        </w:rPr>
        <w:t> </w:t>
      </w:r>
      <w:r>
        <w:rPr>
          <w:sz w:val="24"/>
        </w:rPr>
        <w:t>do</w:t>
      </w:r>
      <w:r>
        <w:rPr>
          <w:spacing w:val="-4"/>
          <w:sz w:val="24"/>
        </w:rPr>
        <w:t> </w:t>
      </w:r>
      <w:r>
        <w:rPr>
          <w:sz w:val="24"/>
        </w:rPr>
        <w:t>the</w:t>
      </w:r>
      <w:r>
        <w:rPr>
          <w:spacing w:val="-4"/>
          <w:sz w:val="24"/>
        </w:rPr>
        <w:t> </w:t>
      </w:r>
      <w:r>
        <w:rPr>
          <w:sz w:val="24"/>
        </w:rPr>
        <w:t>contracts</w:t>
      </w:r>
      <w:r>
        <w:rPr>
          <w:spacing w:val="-3"/>
          <w:sz w:val="24"/>
        </w:rPr>
        <w:t> </w:t>
      </w:r>
      <w:r>
        <w:rPr>
          <w:sz w:val="24"/>
        </w:rPr>
        <w:t>contain</w:t>
      </w:r>
      <w:r>
        <w:rPr>
          <w:spacing w:val="-4"/>
          <w:sz w:val="24"/>
        </w:rPr>
        <w:t> </w:t>
      </w:r>
      <w:r>
        <w:rPr>
          <w:sz w:val="24"/>
        </w:rPr>
        <w:t>the</w:t>
      </w:r>
      <w:r>
        <w:rPr>
          <w:spacing w:val="-4"/>
          <w:sz w:val="24"/>
        </w:rPr>
        <w:t> </w:t>
      </w:r>
      <w:r>
        <w:rPr>
          <w:sz w:val="24"/>
        </w:rPr>
        <w:t>required language for termination of cause, including how it will be affected, and the basis for settlement?</w:t>
      </w:r>
      <w:r>
        <w:rPr>
          <w:spacing w:val="80"/>
          <w:sz w:val="24"/>
        </w:rPr>
        <w:t> </w:t>
      </w:r>
      <w:r>
        <w:rPr>
          <w:sz w:val="28"/>
        </w:rPr>
        <w:t>Yes</w:t>
      </w:r>
    </w:p>
    <w:p>
      <w:pPr>
        <w:pStyle w:val="ListParagraph"/>
        <w:numPr>
          <w:ilvl w:val="1"/>
          <w:numId w:val="38"/>
        </w:numPr>
        <w:tabs>
          <w:tab w:pos="1991" w:val="left" w:leader="none"/>
          <w:tab w:pos="7031" w:val="left" w:leader="none"/>
        </w:tabs>
        <w:spacing w:line="259" w:lineRule="auto" w:before="0" w:after="0"/>
        <w:ind w:left="1991" w:right="679" w:hanging="360"/>
        <w:jc w:val="left"/>
        <w:rPr>
          <w:sz w:val="24"/>
        </w:rPr>
      </w:pPr>
      <w:r>
        <w:rPr>
          <w:sz w:val="24"/>
        </w:rPr>
        <w:t>Do you have any construction contracts?</w:t>
      </w:r>
      <w:r>
        <w:rPr>
          <w:spacing w:val="40"/>
          <w:sz w:val="24"/>
        </w:rPr>
        <w:t> </w:t>
      </w:r>
      <w:r>
        <w:rPr>
          <w:sz w:val="24"/>
        </w:rPr>
        <w:t>If yes,</w:t>
        <w:tab/>
        <w:t>Yes,</w:t>
      </w:r>
      <w:r>
        <w:rPr>
          <w:spacing w:val="-8"/>
          <w:sz w:val="24"/>
        </w:rPr>
        <w:t> </w:t>
      </w:r>
      <w:r>
        <w:rPr>
          <w:sz w:val="24"/>
        </w:rPr>
        <w:t>presently</w:t>
      </w:r>
      <w:r>
        <w:rPr>
          <w:spacing w:val="-9"/>
          <w:sz w:val="24"/>
        </w:rPr>
        <w:t> </w:t>
      </w:r>
      <w:r>
        <w:rPr>
          <w:sz w:val="24"/>
        </w:rPr>
        <w:t>doing</w:t>
      </w:r>
      <w:r>
        <w:rPr>
          <w:spacing w:val="-11"/>
          <w:sz w:val="24"/>
        </w:rPr>
        <w:t> </w:t>
      </w:r>
      <w:r>
        <w:rPr>
          <w:sz w:val="24"/>
        </w:rPr>
        <w:t>expansion</w:t>
      </w:r>
      <w:r>
        <w:rPr>
          <w:spacing w:val="-10"/>
          <w:sz w:val="24"/>
        </w:rPr>
        <w:t> </w:t>
      </w:r>
      <w:r>
        <w:rPr>
          <w:sz w:val="24"/>
        </w:rPr>
        <w:t>and rehabilitation projects at our Auburn facility</w:t>
      </w:r>
    </w:p>
    <w:p>
      <w:pPr>
        <w:pStyle w:val="ListParagraph"/>
        <w:numPr>
          <w:ilvl w:val="2"/>
          <w:numId w:val="38"/>
        </w:numPr>
        <w:tabs>
          <w:tab w:pos="2171" w:val="left" w:leader="none"/>
        </w:tabs>
        <w:spacing w:line="240" w:lineRule="auto" w:before="0" w:after="0"/>
        <w:ind w:left="2171" w:right="0" w:hanging="179"/>
        <w:jc w:val="left"/>
        <w:rPr>
          <w:sz w:val="24"/>
        </w:rPr>
      </w:pPr>
      <w:r>
        <w:rPr>
          <w:sz w:val="24"/>
        </w:rPr>
        <w:t>Do</w:t>
      </w:r>
      <w:r>
        <w:rPr>
          <w:spacing w:val="-3"/>
          <w:sz w:val="24"/>
        </w:rPr>
        <w:t> </w:t>
      </w:r>
      <w:r>
        <w:rPr>
          <w:sz w:val="24"/>
        </w:rPr>
        <w:t>the</w:t>
      </w:r>
      <w:r>
        <w:rPr>
          <w:spacing w:val="-3"/>
          <w:sz w:val="24"/>
        </w:rPr>
        <w:t> </w:t>
      </w:r>
      <w:r>
        <w:rPr>
          <w:sz w:val="24"/>
        </w:rPr>
        <w:t>contracts</w:t>
      </w:r>
      <w:r>
        <w:rPr>
          <w:spacing w:val="-2"/>
          <w:sz w:val="24"/>
        </w:rPr>
        <w:t> </w:t>
      </w:r>
      <w:r>
        <w:rPr>
          <w:sz w:val="24"/>
        </w:rPr>
        <w:t>contain</w:t>
      </w:r>
      <w:r>
        <w:rPr>
          <w:spacing w:val="-3"/>
          <w:sz w:val="24"/>
        </w:rPr>
        <w:t> </w:t>
      </w:r>
      <w:r>
        <w:rPr>
          <w:sz w:val="24"/>
        </w:rPr>
        <w:t>the</w:t>
      </w:r>
      <w:r>
        <w:rPr>
          <w:spacing w:val="-1"/>
          <w:sz w:val="24"/>
        </w:rPr>
        <w:t> </w:t>
      </w:r>
      <w:r>
        <w:rPr>
          <w:sz w:val="24"/>
        </w:rPr>
        <w:t>appropriate</w:t>
      </w:r>
      <w:r>
        <w:rPr>
          <w:spacing w:val="-1"/>
          <w:sz w:val="24"/>
        </w:rPr>
        <w:t> </w:t>
      </w:r>
      <w:r>
        <w:rPr>
          <w:sz w:val="24"/>
        </w:rPr>
        <w:t>EEO</w:t>
      </w:r>
      <w:r>
        <w:rPr>
          <w:spacing w:val="-2"/>
          <w:sz w:val="24"/>
        </w:rPr>
        <w:t> </w:t>
      </w:r>
      <w:r>
        <w:rPr>
          <w:sz w:val="24"/>
        </w:rPr>
        <w:t>clause</w:t>
      </w:r>
      <w:r>
        <w:rPr>
          <w:spacing w:val="-1"/>
          <w:sz w:val="24"/>
        </w:rPr>
        <w:t> </w:t>
      </w:r>
      <w:r>
        <w:rPr>
          <w:sz w:val="24"/>
        </w:rPr>
        <w:t>as</w:t>
      </w:r>
      <w:r>
        <w:rPr>
          <w:spacing w:val="-2"/>
          <w:sz w:val="24"/>
        </w:rPr>
        <w:t> </w:t>
      </w:r>
      <w:r>
        <w:rPr>
          <w:sz w:val="24"/>
        </w:rPr>
        <w:t>required?</w:t>
      </w:r>
      <w:r>
        <w:rPr>
          <w:spacing w:val="-2"/>
          <w:sz w:val="24"/>
        </w:rPr>
        <w:t> </w:t>
      </w:r>
      <w:r>
        <w:rPr>
          <w:spacing w:val="-5"/>
          <w:sz w:val="24"/>
        </w:rPr>
        <w:t>Yes</w:t>
      </w:r>
    </w:p>
    <w:p>
      <w:pPr>
        <w:pStyle w:val="ListParagraph"/>
        <w:numPr>
          <w:ilvl w:val="2"/>
          <w:numId w:val="38"/>
        </w:numPr>
        <w:tabs>
          <w:tab w:pos="2170" w:val="left" w:leader="none"/>
        </w:tabs>
        <w:spacing w:line="240" w:lineRule="auto" w:before="14" w:after="0"/>
        <w:ind w:left="2170" w:right="0" w:hanging="179"/>
        <w:jc w:val="left"/>
        <w:rPr>
          <w:sz w:val="24"/>
        </w:rPr>
      </w:pPr>
      <w:r>
        <w:rPr>
          <w:sz w:val="24"/>
        </w:rPr>
        <w:t>If</w:t>
      </w:r>
      <w:r>
        <w:rPr>
          <w:spacing w:val="-1"/>
          <w:sz w:val="24"/>
        </w:rPr>
        <w:t> </w:t>
      </w:r>
      <w:r>
        <w:rPr>
          <w:sz w:val="24"/>
        </w:rPr>
        <w:t>over</w:t>
      </w:r>
      <w:r>
        <w:rPr>
          <w:spacing w:val="-3"/>
          <w:sz w:val="24"/>
        </w:rPr>
        <w:t> </w:t>
      </w:r>
      <w:r>
        <w:rPr>
          <w:sz w:val="24"/>
        </w:rPr>
        <w:t>$2,000,</w:t>
      </w:r>
      <w:r>
        <w:rPr>
          <w:spacing w:val="-3"/>
          <w:sz w:val="24"/>
        </w:rPr>
        <w:t> </w:t>
      </w:r>
      <w:r>
        <w:rPr>
          <w:sz w:val="24"/>
        </w:rPr>
        <w:t>do</w:t>
      </w:r>
      <w:r>
        <w:rPr>
          <w:spacing w:val="-2"/>
          <w:sz w:val="24"/>
        </w:rPr>
        <w:t> </w:t>
      </w:r>
      <w:r>
        <w:rPr>
          <w:sz w:val="24"/>
        </w:rPr>
        <w:t>the contracts</w:t>
      </w:r>
      <w:r>
        <w:rPr>
          <w:spacing w:val="-2"/>
          <w:sz w:val="24"/>
        </w:rPr>
        <w:t> </w:t>
      </w:r>
      <w:r>
        <w:rPr>
          <w:sz w:val="24"/>
        </w:rPr>
        <w:t>comply</w:t>
      </w:r>
      <w:r>
        <w:rPr>
          <w:spacing w:val="-4"/>
          <w:sz w:val="24"/>
        </w:rPr>
        <w:t> </w:t>
      </w:r>
      <w:r>
        <w:rPr>
          <w:sz w:val="24"/>
        </w:rPr>
        <w:t>with</w:t>
      </w:r>
      <w:r>
        <w:rPr>
          <w:spacing w:val="-2"/>
          <w:sz w:val="24"/>
        </w:rPr>
        <w:t> </w:t>
      </w:r>
      <w:r>
        <w:rPr>
          <w:sz w:val="24"/>
        </w:rPr>
        <w:t>the</w:t>
      </w:r>
      <w:r>
        <w:rPr>
          <w:spacing w:val="-5"/>
          <w:sz w:val="24"/>
        </w:rPr>
        <w:t> </w:t>
      </w:r>
      <w:r>
        <w:rPr>
          <w:sz w:val="24"/>
        </w:rPr>
        <w:t>Davis-Bacon</w:t>
      </w:r>
      <w:r>
        <w:rPr>
          <w:spacing w:val="2"/>
          <w:sz w:val="24"/>
        </w:rPr>
        <w:t> </w:t>
      </w:r>
      <w:r>
        <w:rPr>
          <w:spacing w:val="-2"/>
          <w:sz w:val="24"/>
        </w:rPr>
        <w:t>Act?Yes</w:t>
      </w:r>
    </w:p>
    <w:p>
      <w:pPr>
        <w:pStyle w:val="ListParagraph"/>
        <w:numPr>
          <w:ilvl w:val="1"/>
          <w:numId w:val="38"/>
        </w:numPr>
        <w:tabs>
          <w:tab w:pos="1991" w:val="left" w:leader="none"/>
        </w:tabs>
        <w:spacing w:line="259" w:lineRule="auto" w:before="21" w:after="0"/>
        <w:ind w:left="1991" w:right="815" w:hanging="360"/>
        <w:jc w:val="left"/>
        <w:rPr>
          <w:sz w:val="24"/>
        </w:rPr>
      </w:pPr>
      <w:r>
        <w:rPr>
          <w:sz w:val="24"/>
        </w:rPr>
        <w:t>Do</w:t>
      </w:r>
      <w:r>
        <w:rPr>
          <w:spacing w:val="-2"/>
          <w:sz w:val="24"/>
        </w:rPr>
        <w:t> </w:t>
      </w:r>
      <w:r>
        <w:rPr>
          <w:sz w:val="24"/>
        </w:rPr>
        <w:t>you</w:t>
      </w:r>
      <w:r>
        <w:rPr>
          <w:spacing w:val="-2"/>
          <w:sz w:val="24"/>
        </w:rPr>
        <w:t> </w:t>
      </w:r>
      <w:r>
        <w:rPr>
          <w:sz w:val="24"/>
        </w:rPr>
        <w:t>have</w:t>
      </w:r>
      <w:r>
        <w:rPr>
          <w:spacing w:val="-2"/>
          <w:sz w:val="24"/>
        </w:rPr>
        <w:t> </w:t>
      </w:r>
      <w:r>
        <w:rPr>
          <w:sz w:val="24"/>
        </w:rPr>
        <w:t>contracts</w:t>
      </w:r>
      <w:r>
        <w:rPr>
          <w:spacing w:val="-5"/>
          <w:sz w:val="24"/>
        </w:rPr>
        <w:t> </w:t>
      </w:r>
      <w:r>
        <w:rPr>
          <w:sz w:val="24"/>
        </w:rPr>
        <w:t>over</w:t>
      </w:r>
      <w:r>
        <w:rPr>
          <w:spacing w:val="-2"/>
          <w:sz w:val="24"/>
        </w:rPr>
        <w:t> </w:t>
      </w:r>
      <w:r>
        <w:rPr>
          <w:sz w:val="24"/>
        </w:rPr>
        <w:t>$100,000</w:t>
      </w:r>
      <w:r>
        <w:rPr>
          <w:spacing w:val="-4"/>
          <w:sz w:val="24"/>
        </w:rPr>
        <w:t> </w:t>
      </w:r>
      <w:r>
        <w:rPr>
          <w:sz w:val="24"/>
        </w:rPr>
        <w:t>that</w:t>
      </w:r>
      <w:r>
        <w:rPr>
          <w:spacing w:val="-2"/>
          <w:sz w:val="24"/>
        </w:rPr>
        <w:t> </w:t>
      </w:r>
      <w:r>
        <w:rPr>
          <w:sz w:val="24"/>
        </w:rPr>
        <w:t>employ</w:t>
      </w:r>
      <w:r>
        <w:rPr>
          <w:spacing w:val="-3"/>
          <w:sz w:val="24"/>
        </w:rPr>
        <w:t> </w:t>
      </w:r>
      <w:r>
        <w:rPr>
          <w:sz w:val="24"/>
        </w:rPr>
        <w:t>mechanics</w:t>
      </w:r>
      <w:r>
        <w:rPr>
          <w:spacing w:val="-3"/>
          <w:sz w:val="24"/>
        </w:rPr>
        <w:t> </w:t>
      </w:r>
      <w:r>
        <w:rPr>
          <w:sz w:val="24"/>
        </w:rPr>
        <w:t>and/or</w:t>
      </w:r>
      <w:r>
        <w:rPr>
          <w:spacing w:val="-2"/>
          <w:sz w:val="24"/>
        </w:rPr>
        <w:t> </w:t>
      </w:r>
      <w:r>
        <w:rPr>
          <w:sz w:val="24"/>
        </w:rPr>
        <w:t>laborers?</w:t>
      </w:r>
      <w:r>
        <w:rPr>
          <w:spacing w:val="40"/>
          <w:sz w:val="24"/>
        </w:rPr>
        <w:t> </w:t>
      </w:r>
      <w:r>
        <w:rPr>
          <w:sz w:val="24"/>
        </w:rPr>
        <w:t>If</w:t>
      </w:r>
      <w:r>
        <w:rPr>
          <w:spacing w:val="-4"/>
          <w:sz w:val="24"/>
        </w:rPr>
        <w:t> </w:t>
      </w:r>
      <w:r>
        <w:rPr>
          <w:sz w:val="24"/>
        </w:rPr>
        <w:t>yes, do the contract contain provisions of compliance with 40 USC 3702 and 3704?</w:t>
      </w:r>
      <w:r>
        <w:rPr>
          <w:spacing w:val="40"/>
          <w:sz w:val="24"/>
        </w:rPr>
        <w:t> </w:t>
      </w:r>
      <w:r>
        <w:rPr>
          <w:sz w:val="24"/>
        </w:rPr>
        <w:t>(40- hour</w:t>
      </w:r>
      <w:r>
        <w:rPr>
          <w:spacing w:val="-3"/>
          <w:sz w:val="24"/>
        </w:rPr>
        <w:t> </w:t>
      </w:r>
      <w:r>
        <w:rPr>
          <w:sz w:val="24"/>
        </w:rPr>
        <w:t>workweek/overtime after</w:t>
      </w:r>
      <w:r>
        <w:rPr>
          <w:spacing w:val="-3"/>
          <w:sz w:val="24"/>
        </w:rPr>
        <w:t> </w:t>
      </w:r>
      <w:r>
        <w:rPr>
          <w:sz w:val="24"/>
        </w:rPr>
        <w:t>40/safe</w:t>
      </w:r>
      <w:r>
        <w:rPr>
          <w:spacing w:val="-2"/>
          <w:sz w:val="24"/>
        </w:rPr>
        <w:t> </w:t>
      </w:r>
      <w:r>
        <w:rPr>
          <w:sz w:val="24"/>
        </w:rPr>
        <w:t>work</w:t>
      </w:r>
      <w:r>
        <w:rPr>
          <w:spacing w:val="-4"/>
          <w:sz w:val="24"/>
        </w:rPr>
        <w:t> </w:t>
      </w:r>
      <w:r>
        <w:rPr>
          <w:sz w:val="24"/>
        </w:rPr>
        <w:t>environment.)</w:t>
      </w:r>
      <w:r>
        <w:rPr>
          <w:spacing w:val="80"/>
          <w:sz w:val="24"/>
        </w:rPr>
        <w:t> </w:t>
      </w:r>
      <w:r>
        <w:rPr>
          <w:sz w:val="24"/>
        </w:rPr>
        <w:t>Yes</w:t>
      </w:r>
      <w:r>
        <w:rPr>
          <w:spacing w:val="-3"/>
          <w:sz w:val="24"/>
        </w:rPr>
        <w:t> </w:t>
      </w:r>
      <w:r>
        <w:rPr>
          <w:sz w:val="24"/>
        </w:rPr>
        <w:t>for</w:t>
      </w:r>
      <w:r>
        <w:rPr>
          <w:spacing w:val="-3"/>
          <w:sz w:val="24"/>
        </w:rPr>
        <w:t> </w:t>
      </w:r>
      <w:r>
        <w:rPr>
          <w:sz w:val="24"/>
        </w:rPr>
        <w:t>the construction </w:t>
      </w:r>
      <w:r>
        <w:rPr>
          <w:spacing w:val="-2"/>
          <w:sz w:val="24"/>
        </w:rPr>
        <w:t>projects</w:t>
      </w:r>
    </w:p>
    <w:p>
      <w:pPr>
        <w:pStyle w:val="ListParagraph"/>
        <w:numPr>
          <w:ilvl w:val="1"/>
          <w:numId w:val="38"/>
        </w:numPr>
        <w:tabs>
          <w:tab w:pos="1989" w:val="left" w:leader="none"/>
          <w:tab w:pos="1991" w:val="left" w:leader="none"/>
        </w:tabs>
        <w:spacing w:line="259" w:lineRule="auto" w:before="0" w:after="0"/>
        <w:ind w:left="1991" w:right="656" w:hanging="360"/>
        <w:jc w:val="left"/>
        <w:rPr>
          <w:sz w:val="24"/>
        </w:rPr>
      </w:pPr>
      <w:r>
        <w:rPr>
          <w:sz w:val="24"/>
        </w:rPr>
        <w:t>Do contracts meet the definition of “funding agreement” under 37 CFR §401.2(a)?</w:t>
      </w:r>
      <w:r>
        <w:rPr>
          <w:spacing w:val="40"/>
          <w:sz w:val="24"/>
        </w:rPr>
        <w:t> </w:t>
      </w:r>
      <w:r>
        <w:rPr>
          <w:sz w:val="24"/>
        </w:rPr>
        <w:t>If yes, do contracts comply with the appropriate requirements concerning “Rights to Inventions Made by Nonprofit Organizations and Small Business Firms Under Government</w:t>
      </w:r>
      <w:r>
        <w:rPr>
          <w:spacing w:val="-5"/>
          <w:sz w:val="24"/>
        </w:rPr>
        <w:t> </w:t>
      </w:r>
      <w:r>
        <w:rPr>
          <w:sz w:val="24"/>
        </w:rPr>
        <w:t>Grants,</w:t>
      </w:r>
      <w:r>
        <w:rPr>
          <w:spacing w:val="-3"/>
          <w:sz w:val="24"/>
        </w:rPr>
        <w:t> </w:t>
      </w:r>
      <w:r>
        <w:rPr>
          <w:sz w:val="24"/>
        </w:rPr>
        <w:t>Contracts,</w:t>
      </w:r>
      <w:r>
        <w:rPr>
          <w:spacing w:val="-3"/>
          <w:sz w:val="24"/>
        </w:rPr>
        <w:t> </w:t>
      </w:r>
      <w:r>
        <w:rPr>
          <w:sz w:val="24"/>
        </w:rPr>
        <w:t>and</w:t>
      </w:r>
      <w:r>
        <w:rPr>
          <w:spacing w:val="-5"/>
          <w:sz w:val="24"/>
        </w:rPr>
        <w:t> </w:t>
      </w:r>
      <w:r>
        <w:rPr>
          <w:sz w:val="24"/>
        </w:rPr>
        <w:t>Cooperative</w:t>
      </w:r>
      <w:r>
        <w:rPr>
          <w:spacing w:val="-8"/>
          <w:sz w:val="24"/>
        </w:rPr>
        <w:t> </w:t>
      </w:r>
      <w:r>
        <w:rPr>
          <w:sz w:val="24"/>
        </w:rPr>
        <w:t>Agreements”</w:t>
      </w:r>
      <w:r>
        <w:rPr>
          <w:spacing w:val="-6"/>
          <w:sz w:val="24"/>
        </w:rPr>
        <w:t> </w:t>
      </w:r>
      <w:r>
        <w:rPr>
          <w:sz w:val="24"/>
        </w:rPr>
        <w:t>and</w:t>
      </w:r>
      <w:r>
        <w:rPr>
          <w:spacing w:val="-5"/>
          <w:sz w:val="24"/>
        </w:rPr>
        <w:t> </w:t>
      </w:r>
      <w:r>
        <w:rPr>
          <w:sz w:val="24"/>
        </w:rPr>
        <w:t>related</w:t>
      </w:r>
      <w:r>
        <w:rPr>
          <w:spacing w:val="-2"/>
          <w:sz w:val="24"/>
        </w:rPr>
        <w:t> </w:t>
      </w:r>
      <w:r>
        <w:rPr>
          <w:sz w:val="24"/>
        </w:rPr>
        <w:t>regulations? </w:t>
      </w:r>
      <w:r>
        <w:rPr>
          <w:color w:val="808080"/>
          <w:sz w:val="22"/>
        </w:rPr>
        <w:t>Click or tap here to enter text.</w:t>
      </w:r>
    </w:p>
    <w:p>
      <w:pPr>
        <w:pStyle w:val="ListParagraph"/>
        <w:numPr>
          <w:ilvl w:val="1"/>
          <w:numId w:val="38"/>
        </w:numPr>
        <w:tabs>
          <w:tab w:pos="1992" w:val="left" w:leader="none"/>
          <w:tab w:pos="7751" w:val="left" w:leader="none"/>
        </w:tabs>
        <w:spacing w:line="259" w:lineRule="auto" w:before="0" w:after="0"/>
        <w:ind w:left="1992" w:right="916" w:hanging="360"/>
        <w:jc w:val="left"/>
        <w:rPr>
          <w:sz w:val="24"/>
        </w:rPr>
      </w:pPr>
      <w:r>
        <w:rPr>
          <w:sz w:val="24"/>
        </w:rPr>
        <w:t>Do contracts meet mandatory standards and policies related to energy efficiency which</w:t>
      </w:r>
      <w:r>
        <w:rPr>
          <w:spacing w:val="-5"/>
          <w:sz w:val="24"/>
        </w:rPr>
        <w:t> </w:t>
      </w:r>
      <w:r>
        <w:rPr>
          <w:sz w:val="24"/>
        </w:rPr>
        <w:t>are</w:t>
      </w:r>
      <w:r>
        <w:rPr>
          <w:spacing w:val="-3"/>
          <w:sz w:val="24"/>
        </w:rPr>
        <w:t> </w:t>
      </w:r>
      <w:r>
        <w:rPr>
          <w:sz w:val="24"/>
        </w:rPr>
        <w:t>contained</w:t>
      </w:r>
      <w:r>
        <w:rPr>
          <w:spacing w:val="-2"/>
          <w:sz w:val="24"/>
        </w:rPr>
        <w:t> </w:t>
      </w:r>
      <w:r>
        <w:rPr>
          <w:sz w:val="24"/>
        </w:rPr>
        <w:t>in</w:t>
      </w:r>
      <w:r>
        <w:rPr>
          <w:spacing w:val="-2"/>
          <w:sz w:val="24"/>
        </w:rPr>
        <w:t> </w:t>
      </w:r>
      <w:r>
        <w:rPr>
          <w:sz w:val="24"/>
        </w:rPr>
        <w:t>the</w:t>
      </w:r>
      <w:r>
        <w:rPr>
          <w:spacing w:val="-3"/>
          <w:sz w:val="24"/>
        </w:rPr>
        <w:t> </w:t>
      </w:r>
      <w:r>
        <w:rPr>
          <w:sz w:val="24"/>
        </w:rPr>
        <w:t>state</w:t>
      </w:r>
      <w:r>
        <w:rPr>
          <w:spacing w:val="-5"/>
          <w:sz w:val="24"/>
        </w:rPr>
        <w:t> </w:t>
      </w:r>
      <w:r>
        <w:rPr>
          <w:sz w:val="24"/>
        </w:rPr>
        <w:t>energy</w:t>
      </w:r>
      <w:r>
        <w:rPr>
          <w:spacing w:val="-4"/>
          <w:sz w:val="24"/>
        </w:rPr>
        <w:t> </w:t>
      </w:r>
      <w:r>
        <w:rPr>
          <w:sz w:val="24"/>
        </w:rPr>
        <w:t>conservation</w:t>
      </w:r>
      <w:r>
        <w:rPr>
          <w:spacing w:val="-5"/>
          <w:sz w:val="24"/>
        </w:rPr>
        <w:t> </w:t>
      </w:r>
      <w:r>
        <w:rPr>
          <w:sz w:val="24"/>
        </w:rPr>
        <w:t>plan</w:t>
      </w:r>
      <w:r>
        <w:rPr>
          <w:spacing w:val="-2"/>
          <w:sz w:val="24"/>
        </w:rPr>
        <w:t> </w:t>
      </w:r>
      <w:r>
        <w:rPr>
          <w:sz w:val="24"/>
        </w:rPr>
        <w:t>issued</w:t>
      </w:r>
      <w:r>
        <w:rPr>
          <w:spacing w:val="-5"/>
          <w:sz w:val="24"/>
        </w:rPr>
        <w:t> </w:t>
      </w:r>
      <w:r>
        <w:rPr>
          <w:sz w:val="24"/>
        </w:rPr>
        <w:t>in</w:t>
      </w:r>
      <w:r>
        <w:rPr>
          <w:spacing w:val="-2"/>
          <w:sz w:val="24"/>
        </w:rPr>
        <w:t> </w:t>
      </w:r>
      <w:r>
        <w:rPr>
          <w:sz w:val="24"/>
        </w:rPr>
        <w:t>compliance</w:t>
      </w:r>
      <w:r>
        <w:rPr>
          <w:spacing w:val="-3"/>
          <w:sz w:val="24"/>
        </w:rPr>
        <w:t> </w:t>
      </w:r>
      <w:r>
        <w:rPr>
          <w:sz w:val="24"/>
        </w:rPr>
        <w:t>with the Energy Policy and Conservation Act, 42 USC 6201?</w:t>
        <w:tab/>
      </w:r>
      <w:r>
        <w:rPr>
          <w:spacing w:val="-4"/>
          <w:sz w:val="24"/>
        </w:rPr>
        <w:t>Yes</w:t>
      </w:r>
    </w:p>
    <w:p>
      <w:pPr>
        <w:pStyle w:val="ListParagraph"/>
        <w:numPr>
          <w:ilvl w:val="1"/>
          <w:numId w:val="38"/>
        </w:numPr>
        <w:tabs>
          <w:tab w:pos="1903" w:val="left" w:leader="none"/>
          <w:tab w:pos="1990" w:val="left" w:leader="none"/>
        </w:tabs>
        <w:spacing w:line="259" w:lineRule="auto" w:before="0" w:after="0"/>
        <w:ind w:left="1903" w:right="878" w:hanging="272"/>
        <w:jc w:val="left"/>
        <w:rPr>
          <w:sz w:val="24"/>
        </w:rPr>
      </w:pPr>
      <w:r>
        <w:rPr>
          <w:rFonts w:ascii="Times New Roman"/>
          <w:sz w:val="24"/>
        </w:rPr>
        <w:tab/>
      </w:r>
      <w:r>
        <w:rPr>
          <w:sz w:val="24"/>
        </w:rPr>
        <w:t>Are</w:t>
      </w:r>
      <w:r>
        <w:rPr>
          <w:spacing w:val="-2"/>
          <w:sz w:val="24"/>
        </w:rPr>
        <w:t> </w:t>
      </w:r>
      <w:r>
        <w:rPr>
          <w:sz w:val="24"/>
        </w:rPr>
        <w:t>contract</w:t>
      </w:r>
      <w:r>
        <w:rPr>
          <w:spacing w:val="-3"/>
          <w:sz w:val="24"/>
        </w:rPr>
        <w:t> </w:t>
      </w:r>
      <w:r>
        <w:rPr>
          <w:sz w:val="24"/>
        </w:rPr>
        <w:t>awards</w:t>
      </w:r>
      <w:r>
        <w:rPr>
          <w:spacing w:val="-3"/>
          <w:sz w:val="24"/>
        </w:rPr>
        <w:t> </w:t>
      </w:r>
      <w:r>
        <w:rPr>
          <w:sz w:val="24"/>
        </w:rPr>
        <w:t>(</w:t>
      </w:r>
      <w:r>
        <w:rPr>
          <w:sz w:val="24"/>
          <w:u w:val="single"/>
        </w:rPr>
        <w:t>&gt;</w:t>
      </w:r>
      <w:r>
        <w:rPr>
          <w:sz w:val="24"/>
        </w:rPr>
        <w:t>$25,000)</w:t>
      </w:r>
      <w:r>
        <w:rPr>
          <w:spacing w:val="-3"/>
          <w:sz w:val="24"/>
        </w:rPr>
        <w:t> </w:t>
      </w:r>
      <w:r>
        <w:rPr>
          <w:sz w:val="24"/>
        </w:rPr>
        <w:t>not</w:t>
      </w:r>
      <w:r>
        <w:rPr>
          <w:spacing w:val="-1"/>
          <w:sz w:val="24"/>
        </w:rPr>
        <w:t> </w:t>
      </w:r>
      <w:r>
        <w:rPr>
          <w:sz w:val="24"/>
        </w:rPr>
        <w:t>made</w:t>
      </w:r>
      <w:r>
        <w:rPr>
          <w:spacing w:val="-3"/>
          <w:sz w:val="24"/>
        </w:rPr>
        <w:t> </w:t>
      </w:r>
      <w:r>
        <w:rPr>
          <w:sz w:val="24"/>
        </w:rPr>
        <w:t>until</w:t>
      </w:r>
      <w:r>
        <w:rPr>
          <w:spacing w:val="-4"/>
          <w:sz w:val="24"/>
        </w:rPr>
        <w:t> </w:t>
      </w:r>
      <w:r>
        <w:rPr>
          <w:sz w:val="24"/>
        </w:rPr>
        <w:t>it</w:t>
      </w:r>
      <w:r>
        <w:rPr>
          <w:spacing w:val="-3"/>
          <w:sz w:val="24"/>
        </w:rPr>
        <w:t> </w:t>
      </w:r>
      <w:r>
        <w:rPr>
          <w:sz w:val="24"/>
        </w:rPr>
        <w:t>is</w:t>
      </w:r>
      <w:r>
        <w:rPr>
          <w:spacing w:val="-3"/>
          <w:sz w:val="24"/>
        </w:rPr>
        <w:t> </w:t>
      </w:r>
      <w:r>
        <w:rPr>
          <w:sz w:val="24"/>
        </w:rPr>
        <w:t>verified</w:t>
      </w:r>
      <w:r>
        <w:rPr>
          <w:spacing w:val="-3"/>
          <w:sz w:val="24"/>
        </w:rPr>
        <w:t> </w:t>
      </w:r>
      <w:r>
        <w:rPr>
          <w:sz w:val="24"/>
        </w:rPr>
        <w:t>that</w:t>
      </w:r>
      <w:r>
        <w:rPr>
          <w:spacing w:val="-4"/>
          <w:sz w:val="24"/>
        </w:rPr>
        <w:t> </w:t>
      </w:r>
      <w:r>
        <w:rPr>
          <w:sz w:val="24"/>
        </w:rPr>
        <w:t>the</w:t>
      </w:r>
      <w:r>
        <w:rPr>
          <w:spacing w:val="-2"/>
          <w:sz w:val="24"/>
        </w:rPr>
        <w:t> </w:t>
      </w:r>
      <w:r>
        <w:rPr>
          <w:sz w:val="24"/>
        </w:rPr>
        <w:t>contractor</w:t>
      </w:r>
      <w:r>
        <w:rPr>
          <w:spacing w:val="-2"/>
          <w:sz w:val="24"/>
        </w:rPr>
        <w:t> </w:t>
      </w:r>
      <w:r>
        <w:rPr>
          <w:sz w:val="24"/>
        </w:rPr>
        <w:t>is</w:t>
      </w:r>
      <w:r>
        <w:rPr>
          <w:spacing w:val="-4"/>
          <w:sz w:val="24"/>
        </w:rPr>
        <w:t> </w:t>
      </w:r>
      <w:r>
        <w:rPr>
          <w:sz w:val="24"/>
        </w:rPr>
        <w:t>not listed on SAM as debarred or suspended? Yes.</w:t>
      </w:r>
      <w:r>
        <w:rPr>
          <w:spacing w:val="40"/>
          <w:sz w:val="24"/>
        </w:rPr>
        <w:t> </w:t>
      </w:r>
      <w:r>
        <w:rPr>
          <w:sz w:val="24"/>
        </w:rPr>
        <w:t>Is the page printed for your records? </w:t>
      </w:r>
      <w:r>
        <w:rPr>
          <w:spacing w:val="-4"/>
          <w:sz w:val="24"/>
        </w:rPr>
        <w:t>Yes</w:t>
      </w:r>
    </w:p>
    <w:p>
      <w:pPr>
        <w:pStyle w:val="BodyText"/>
        <w:spacing w:before="11"/>
        <w:rPr>
          <w:sz w:val="25"/>
        </w:rPr>
      </w:pPr>
    </w:p>
    <w:p>
      <w:pPr>
        <w:pStyle w:val="Heading5"/>
        <w:numPr>
          <w:ilvl w:val="0"/>
          <w:numId w:val="38"/>
        </w:numPr>
        <w:tabs>
          <w:tab w:pos="1458" w:val="left" w:leader="none"/>
        </w:tabs>
        <w:spacing w:line="240" w:lineRule="auto" w:before="0" w:after="0"/>
        <w:ind w:left="1458" w:right="0" w:hanging="547"/>
        <w:jc w:val="left"/>
        <w:rPr>
          <w:color w:val="2D74B5"/>
        </w:rPr>
      </w:pPr>
      <w:r>
        <w:rPr>
          <w:color w:val="2D74B5"/>
        </w:rPr>
        <w:t>Technical</w:t>
      </w:r>
      <w:r>
        <w:rPr>
          <w:color w:val="2D74B5"/>
          <w:spacing w:val="-4"/>
        </w:rPr>
        <w:t> </w:t>
      </w:r>
      <w:r>
        <w:rPr>
          <w:color w:val="2D74B5"/>
        </w:rPr>
        <w:t>Capacity</w:t>
      </w:r>
      <w:r>
        <w:rPr>
          <w:color w:val="2D74B5"/>
          <w:spacing w:val="-4"/>
        </w:rPr>
        <w:t> </w:t>
      </w:r>
      <w:r>
        <w:rPr>
          <w:color w:val="2D74B5"/>
        </w:rPr>
        <w:t>–</w:t>
      </w:r>
      <w:r>
        <w:rPr>
          <w:color w:val="2D74B5"/>
          <w:spacing w:val="-5"/>
        </w:rPr>
        <w:t> </w:t>
      </w:r>
      <w:r>
        <w:rPr>
          <w:color w:val="2D74B5"/>
        </w:rPr>
        <w:t>Project</w:t>
      </w:r>
      <w:r>
        <w:rPr>
          <w:color w:val="2D74B5"/>
          <w:spacing w:val="-2"/>
        </w:rPr>
        <w:t> Management</w:t>
      </w:r>
    </w:p>
    <w:p>
      <w:pPr>
        <w:pStyle w:val="ListParagraph"/>
        <w:numPr>
          <w:ilvl w:val="1"/>
          <w:numId w:val="38"/>
        </w:numPr>
        <w:tabs>
          <w:tab w:pos="1991" w:val="left" w:leader="none"/>
          <w:tab w:pos="6868" w:val="left" w:leader="none"/>
        </w:tabs>
        <w:spacing w:line="240" w:lineRule="auto" w:before="28" w:after="0"/>
        <w:ind w:left="1991" w:right="0" w:hanging="359"/>
        <w:jc w:val="left"/>
        <w:rPr>
          <w:sz w:val="24"/>
        </w:rPr>
      </w:pPr>
      <w:r>
        <w:rPr>
          <w:sz w:val="24"/>
        </w:rPr>
        <w:t>Are</w:t>
      </w:r>
      <w:r>
        <w:rPr>
          <w:spacing w:val="-1"/>
          <w:sz w:val="24"/>
        </w:rPr>
        <w:t> </w:t>
      </w:r>
      <w:r>
        <w:rPr>
          <w:sz w:val="24"/>
        </w:rPr>
        <w:t>all</w:t>
      </w:r>
      <w:r>
        <w:rPr>
          <w:spacing w:val="-3"/>
          <w:sz w:val="24"/>
        </w:rPr>
        <w:t> </w:t>
      </w:r>
      <w:r>
        <w:rPr>
          <w:sz w:val="24"/>
        </w:rPr>
        <w:t>active</w:t>
      </w:r>
      <w:r>
        <w:rPr>
          <w:spacing w:val="-2"/>
          <w:sz w:val="24"/>
        </w:rPr>
        <w:t> </w:t>
      </w:r>
      <w:r>
        <w:rPr>
          <w:sz w:val="24"/>
        </w:rPr>
        <w:t>projects</w:t>
      </w:r>
      <w:r>
        <w:rPr>
          <w:spacing w:val="-2"/>
          <w:sz w:val="24"/>
        </w:rPr>
        <w:t> </w:t>
      </w:r>
      <w:r>
        <w:rPr>
          <w:sz w:val="24"/>
        </w:rPr>
        <w:t>on</w:t>
      </w:r>
      <w:r>
        <w:rPr>
          <w:spacing w:val="-2"/>
          <w:sz w:val="24"/>
        </w:rPr>
        <w:t> </w:t>
      </w:r>
      <w:r>
        <w:rPr>
          <w:sz w:val="24"/>
        </w:rPr>
        <w:t>schedule and</w:t>
      </w:r>
      <w:r>
        <w:rPr>
          <w:spacing w:val="-2"/>
          <w:sz w:val="24"/>
        </w:rPr>
        <w:t> budget?</w:t>
      </w:r>
      <w:r>
        <w:rPr>
          <w:sz w:val="24"/>
        </w:rPr>
        <w:tab/>
      </w:r>
      <w:r>
        <w:rPr>
          <w:spacing w:val="-5"/>
          <w:sz w:val="28"/>
        </w:rPr>
        <w:t>No</w:t>
      </w:r>
    </w:p>
    <w:p>
      <w:pPr>
        <w:pStyle w:val="ListParagraph"/>
        <w:numPr>
          <w:ilvl w:val="1"/>
          <w:numId w:val="38"/>
        </w:numPr>
        <w:tabs>
          <w:tab w:pos="1990" w:val="left" w:leader="none"/>
        </w:tabs>
        <w:spacing w:line="240" w:lineRule="auto" w:before="22" w:after="0"/>
        <w:ind w:left="1990" w:right="0" w:hanging="359"/>
        <w:jc w:val="left"/>
        <w:rPr>
          <w:sz w:val="24"/>
        </w:rPr>
      </w:pPr>
      <w:r>
        <w:rPr>
          <w:sz w:val="24"/>
        </w:rPr>
        <w:t>Are</w:t>
      </w:r>
      <w:r>
        <w:rPr>
          <w:spacing w:val="-3"/>
          <w:sz w:val="24"/>
        </w:rPr>
        <w:t> </w:t>
      </w:r>
      <w:r>
        <w:rPr>
          <w:sz w:val="24"/>
        </w:rPr>
        <w:t>you</w:t>
      </w:r>
      <w:r>
        <w:rPr>
          <w:spacing w:val="-3"/>
          <w:sz w:val="24"/>
        </w:rPr>
        <w:t> </w:t>
      </w:r>
      <w:r>
        <w:rPr>
          <w:sz w:val="24"/>
        </w:rPr>
        <w:t>following</w:t>
      </w:r>
      <w:r>
        <w:rPr>
          <w:spacing w:val="-2"/>
          <w:sz w:val="24"/>
        </w:rPr>
        <w:t> </w:t>
      </w:r>
      <w:r>
        <w:rPr>
          <w:sz w:val="24"/>
        </w:rPr>
        <w:t>all</w:t>
      </w:r>
      <w:r>
        <w:rPr>
          <w:spacing w:val="-4"/>
          <w:sz w:val="24"/>
        </w:rPr>
        <w:t> </w:t>
      </w:r>
      <w:r>
        <w:rPr>
          <w:sz w:val="24"/>
        </w:rPr>
        <w:t>requirements</w:t>
      </w:r>
      <w:r>
        <w:rPr>
          <w:spacing w:val="-4"/>
          <w:sz w:val="24"/>
        </w:rPr>
        <w:t> </w:t>
      </w:r>
      <w:r>
        <w:rPr>
          <w:sz w:val="24"/>
        </w:rPr>
        <w:t>as</w:t>
      </w:r>
      <w:r>
        <w:rPr>
          <w:spacing w:val="-2"/>
          <w:sz w:val="24"/>
        </w:rPr>
        <w:t> </w:t>
      </w:r>
      <w:r>
        <w:rPr>
          <w:sz w:val="24"/>
        </w:rPr>
        <w:t>listed in</w:t>
      </w:r>
      <w:r>
        <w:rPr>
          <w:spacing w:val="-3"/>
          <w:sz w:val="24"/>
        </w:rPr>
        <w:t> </w:t>
      </w:r>
      <w:r>
        <w:rPr>
          <w:sz w:val="24"/>
        </w:rPr>
        <w:t>the</w:t>
      </w:r>
      <w:r>
        <w:rPr>
          <w:spacing w:val="-1"/>
          <w:sz w:val="24"/>
        </w:rPr>
        <w:t> </w:t>
      </w:r>
      <w:r>
        <w:rPr>
          <w:sz w:val="24"/>
        </w:rPr>
        <w:t>signed Cooperative </w:t>
      </w:r>
      <w:r>
        <w:rPr>
          <w:spacing w:val="-2"/>
          <w:sz w:val="24"/>
        </w:rPr>
        <w:t>Agreement?</w:t>
      </w:r>
    </w:p>
    <w:p>
      <w:pPr>
        <w:spacing w:before="27"/>
        <w:ind w:left="1992" w:right="0" w:firstLine="0"/>
        <w:jc w:val="left"/>
        <w:rPr>
          <w:sz w:val="28"/>
        </w:rPr>
      </w:pPr>
      <w:r>
        <w:rPr>
          <w:spacing w:val="-5"/>
          <w:sz w:val="28"/>
        </w:rPr>
        <w:t>Yes</w:t>
      </w:r>
    </w:p>
    <w:p>
      <w:pPr>
        <w:pStyle w:val="ListParagraph"/>
        <w:numPr>
          <w:ilvl w:val="1"/>
          <w:numId w:val="38"/>
        </w:numPr>
        <w:tabs>
          <w:tab w:pos="1992" w:val="left" w:leader="none"/>
          <w:tab w:pos="3712" w:val="left" w:leader="none"/>
        </w:tabs>
        <w:spacing w:line="261" w:lineRule="auto" w:before="25" w:after="0"/>
        <w:ind w:left="1992" w:right="897" w:hanging="360"/>
        <w:jc w:val="left"/>
        <w:rPr>
          <w:sz w:val="24"/>
        </w:rPr>
      </w:pPr>
      <w:r>
        <w:rPr>
          <w:sz w:val="24"/>
        </w:rPr>
        <w:t>Do</w:t>
      </w:r>
      <w:r>
        <w:rPr>
          <w:spacing w:val="-2"/>
          <w:sz w:val="24"/>
        </w:rPr>
        <w:t> </w:t>
      </w:r>
      <w:r>
        <w:rPr>
          <w:sz w:val="24"/>
        </w:rPr>
        <w:t>you</w:t>
      </w:r>
      <w:r>
        <w:rPr>
          <w:spacing w:val="-1"/>
          <w:sz w:val="24"/>
        </w:rPr>
        <w:t> </w:t>
      </w:r>
      <w:r>
        <w:rPr>
          <w:sz w:val="24"/>
        </w:rPr>
        <w:t>have</w:t>
      </w:r>
      <w:r>
        <w:rPr>
          <w:spacing w:val="-2"/>
          <w:sz w:val="24"/>
        </w:rPr>
        <w:t> </w:t>
      </w:r>
      <w:r>
        <w:rPr>
          <w:sz w:val="24"/>
        </w:rPr>
        <w:t>any</w:t>
      </w:r>
      <w:r>
        <w:rPr>
          <w:spacing w:val="-3"/>
          <w:sz w:val="24"/>
        </w:rPr>
        <w:t> </w:t>
      </w:r>
      <w:r>
        <w:rPr>
          <w:sz w:val="24"/>
        </w:rPr>
        <w:t>active</w:t>
      </w:r>
      <w:r>
        <w:rPr>
          <w:spacing w:val="-2"/>
          <w:sz w:val="24"/>
        </w:rPr>
        <w:t> </w:t>
      </w:r>
      <w:r>
        <w:rPr>
          <w:sz w:val="24"/>
        </w:rPr>
        <w:t>construction</w:t>
      </w:r>
      <w:r>
        <w:rPr>
          <w:spacing w:val="-4"/>
          <w:sz w:val="24"/>
        </w:rPr>
        <w:t> </w:t>
      </w:r>
      <w:r>
        <w:rPr>
          <w:sz w:val="24"/>
        </w:rPr>
        <w:t>projects</w:t>
      </w:r>
      <w:r>
        <w:rPr>
          <w:spacing w:val="-5"/>
          <w:sz w:val="24"/>
        </w:rPr>
        <w:t> </w:t>
      </w:r>
      <w:r>
        <w:rPr>
          <w:sz w:val="24"/>
        </w:rPr>
        <w:t>using</w:t>
      </w:r>
      <w:r>
        <w:rPr>
          <w:spacing w:val="-3"/>
          <w:sz w:val="24"/>
        </w:rPr>
        <w:t> </w:t>
      </w:r>
      <w:r>
        <w:rPr>
          <w:sz w:val="24"/>
        </w:rPr>
        <w:t>federal</w:t>
      </w:r>
      <w:r>
        <w:rPr>
          <w:spacing w:val="-5"/>
          <w:sz w:val="24"/>
        </w:rPr>
        <w:t> </w:t>
      </w:r>
      <w:r>
        <w:rPr>
          <w:sz w:val="24"/>
        </w:rPr>
        <w:t>funds</w:t>
      </w:r>
      <w:r>
        <w:rPr>
          <w:spacing w:val="-5"/>
          <w:sz w:val="24"/>
        </w:rPr>
        <w:t> </w:t>
      </w:r>
      <w:r>
        <w:rPr>
          <w:sz w:val="24"/>
        </w:rPr>
        <w:t>that</w:t>
      </w:r>
      <w:r>
        <w:rPr>
          <w:spacing w:val="-4"/>
          <w:sz w:val="24"/>
        </w:rPr>
        <w:t> </w:t>
      </w:r>
      <w:r>
        <w:rPr>
          <w:sz w:val="24"/>
        </w:rPr>
        <w:t>are</w:t>
      </w:r>
      <w:r>
        <w:rPr>
          <w:spacing w:val="-4"/>
          <w:sz w:val="24"/>
        </w:rPr>
        <w:t> </w:t>
      </w:r>
      <w:r>
        <w:rPr>
          <w:sz w:val="24"/>
        </w:rPr>
        <w:t>using</w:t>
      </w:r>
      <w:r>
        <w:rPr>
          <w:spacing w:val="-5"/>
          <w:sz w:val="24"/>
        </w:rPr>
        <w:t> </w:t>
      </w:r>
      <w:r>
        <w:rPr>
          <w:sz w:val="24"/>
        </w:rPr>
        <w:t>force account labor?</w:t>
        <w:tab/>
      </w:r>
      <w:r>
        <w:rPr>
          <w:spacing w:val="-6"/>
          <w:sz w:val="28"/>
        </w:rPr>
        <w:t>No</w:t>
      </w:r>
    </w:p>
    <w:p>
      <w:pPr>
        <w:pStyle w:val="ListParagraph"/>
        <w:numPr>
          <w:ilvl w:val="1"/>
          <w:numId w:val="38"/>
        </w:numPr>
        <w:tabs>
          <w:tab w:pos="1992" w:val="left" w:leader="none"/>
          <w:tab w:pos="4413" w:val="left" w:leader="none"/>
        </w:tabs>
        <w:spacing w:line="261" w:lineRule="auto" w:before="0" w:after="0"/>
        <w:ind w:left="1992" w:right="798" w:hanging="360"/>
        <w:jc w:val="left"/>
        <w:rPr>
          <w:sz w:val="24"/>
        </w:rPr>
      </w:pPr>
      <w:r>
        <w:rPr>
          <w:sz w:val="24"/>
        </w:rPr>
        <w:t>Have</w:t>
      </w:r>
      <w:r>
        <w:rPr>
          <w:spacing w:val="-2"/>
          <w:sz w:val="24"/>
        </w:rPr>
        <w:t> </w:t>
      </w:r>
      <w:r>
        <w:rPr>
          <w:sz w:val="24"/>
        </w:rPr>
        <w:t>all</w:t>
      </w:r>
      <w:r>
        <w:rPr>
          <w:spacing w:val="-2"/>
          <w:sz w:val="24"/>
        </w:rPr>
        <w:t> </w:t>
      </w:r>
      <w:r>
        <w:rPr>
          <w:sz w:val="24"/>
        </w:rPr>
        <w:t>contracts</w:t>
      </w:r>
      <w:r>
        <w:rPr>
          <w:spacing w:val="-4"/>
          <w:sz w:val="24"/>
        </w:rPr>
        <w:t> </w:t>
      </w:r>
      <w:r>
        <w:rPr>
          <w:sz w:val="24"/>
        </w:rPr>
        <w:t>for</w:t>
      </w:r>
      <w:r>
        <w:rPr>
          <w:spacing w:val="-4"/>
          <w:sz w:val="24"/>
        </w:rPr>
        <w:t> </w:t>
      </w:r>
      <w:r>
        <w:rPr>
          <w:sz w:val="24"/>
        </w:rPr>
        <w:t>planning</w:t>
      </w:r>
      <w:r>
        <w:rPr>
          <w:spacing w:val="-4"/>
          <w:sz w:val="24"/>
        </w:rPr>
        <w:t> </w:t>
      </w:r>
      <w:r>
        <w:rPr>
          <w:sz w:val="24"/>
        </w:rPr>
        <w:t>and</w:t>
      </w:r>
      <w:r>
        <w:rPr>
          <w:spacing w:val="-4"/>
          <w:sz w:val="24"/>
        </w:rPr>
        <w:t> </w:t>
      </w:r>
      <w:r>
        <w:rPr>
          <w:sz w:val="24"/>
        </w:rPr>
        <w:t>technology</w:t>
      </w:r>
      <w:r>
        <w:rPr>
          <w:spacing w:val="-5"/>
          <w:sz w:val="24"/>
        </w:rPr>
        <w:t> </w:t>
      </w:r>
      <w:r>
        <w:rPr>
          <w:sz w:val="24"/>
        </w:rPr>
        <w:t>been</w:t>
      </w:r>
      <w:r>
        <w:rPr>
          <w:spacing w:val="-1"/>
          <w:sz w:val="24"/>
        </w:rPr>
        <w:t> </w:t>
      </w:r>
      <w:r>
        <w:rPr>
          <w:sz w:val="24"/>
        </w:rPr>
        <w:t>submitted</w:t>
      </w:r>
      <w:r>
        <w:rPr>
          <w:spacing w:val="-4"/>
          <w:sz w:val="24"/>
        </w:rPr>
        <w:t> </w:t>
      </w:r>
      <w:r>
        <w:rPr>
          <w:sz w:val="24"/>
        </w:rPr>
        <w:t>to</w:t>
      </w:r>
      <w:r>
        <w:rPr>
          <w:spacing w:val="-4"/>
          <w:sz w:val="24"/>
        </w:rPr>
        <w:t> </w:t>
      </w:r>
      <w:r>
        <w:rPr>
          <w:sz w:val="24"/>
        </w:rPr>
        <w:t>MaineDOT</w:t>
      </w:r>
      <w:r>
        <w:rPr>
          <w:spacing w:val="-2"/>
          <w:sz w:val="24"/>
        </w:rPr>
        <w:t> </w:t>
      </w:r>
      <w:r>
        <w:rPr>
          <w:sz w:val="24"/>
        </w:rPr>
        <w:t>for</w:t>
      </w:r>
      <w:r>
        <w:rPr>
          <w:spacing w:val="-4"/>
          <w:sz w:val="24"/>
        </w:rPr>
        <w:t> </w:t>
      </w:r>
      <w:r>
        <w:rPr>
          <w:sz w:val="24"/>
        </w:rPr>
        <w:t>their review and oversight?</w:t>
        <w:tab/>
      </w:r>
      <w:r>
        <w:rPr>
          <w:sz w:val="28"/>
        </w:rPr>
        <w:t>None at this time</w:t>
      </w:r>
    </w:p>
    <w:p>
      <w:pPr>
        <w:pStyle w:val="BodyText"/>
        <w:spacing w:before="11"/>
      </w:pPr>
    </w:p>
    <w:p>
      <w:pPr>
        <w:pStyle w:val="Heading5"/>
        <w:numPr>
          <w:ilvl w:val="0"/>
          <w:numId w:val="38"/>
        </w:numPr>
        <w:tabs>
          <w:tab w:pos="1458" w:val="left" w:leader="none"/>
        </w:tabs>
        <w:spacing w:line="240" w:lineRule="auto" w:before="0" w:after="0"/>
        <w:ind w:left="1458" w:right="0" w:hanging="547"/>
        <w:jc w:val="left"/>
        <w:rPr>
          <w:color w:val="2D74B5"/>
        </w:rPr>
      </w:pPr>
      <w:r>
        <w:rPr>
          <w:color w:val="2D74B5"/>
        </w:rPr>
        <w:t>Transit</w:t>
      </w:r>
      <w:r>
        <w:rPr>
          <w:color w:val="2D74B5"/>
          <w:spacing w:val="-4"/>
        </w:rPr>
        <w:t> </w:t>
      </w:r>
      <w:r>
        <w:rPr>
          <w:color w:val="2D74B5"/>
        </w:rPr>
        <w:t>Asset</w:t>
      </w:r>
      <w:r>
        <w:rPr>
          <w:color w:val="2D74B5"/>
          <w:spacing w:val="-4"/>
        </w:rPr>
        <w:t> </w:t>
      </w:r>
      <w:r>
        <w:rPr>
          <w:color w:val="2D74B5"/>
          <w:spacing w:val="-2"/>
        </w:rPr>
        <w:t>Management</w:t>
      </w:r>
    </w:p>
    <w:p>
      <w:pPr>
        <w:pStyle w:val="ListParagraph"/>
        <w:numPr>
          <w:ilvl w:val="1"/>
          <w:numId w:val="38"/>
        </w:numPr>
        <w:tabs>
          <w:tab w:pos="1992" w:val="left" w:leader="none"/>
        </w:tabs>
        <w:spacing w:line="261" w:lineRule="auto" w:before="25" w:after="0"/>
        <w:ind w:left="1992" w:right="759" w:hanging="360"/>
        <w:jc w:val="left"/>
        <w:rPr>
          <w:sz w:val="24"/>
        </w:rPr>
      </w:pPr>
      <w:r>
        <w:rPr>
          <w:sz w:val="24"/>
        </w:rPr>
        <w:t>Are</w:t>
      </w:r>
      <w:r>
        <w:rPr>
          <w:spacing w:val="-1"/>
          <w:sz w:val="24"/>
        </w:rPr>
        <w:t> </w:t>
      </w:r>
      <w:r>
        <w:rPr>
          <w:sz w:val="24"/>
        </w:rPr>
        <w:t>all</w:t>
      </w:r>
      <w:r>
        <w:rPr>
          <w:spacing w:val="-4"/>
          <w:sz w:val="24"/>
        </w:rPr>
        <w:t> </w:t>
      </w:r>
      <w:r>
        <w:rPr>
          <w:sz w:val="24"/>
        </w:rPr>
        <w:t>of</w:t>
      </w:r>
      <w:r>
        <w:rPr>
          <w:spacing w:val="-3"/>
          <w:sz w:val="24"/>
        </w:rPr>
        <w:t> </w:t>
      </w:r>
      <w:r>
        <w:rPr>
          <w:sz w:val="24"/>
        </w:rPr>
        <w:t>your</w:t>
      </w:r>
      <w:r>
        <w:rPr>
          <w:spacing w:val="-4"/>
          <w:sz w:val="24"/>
        </w:rPr>
        <w:t> </w:t>
      </w:r>
      <w:r>
        <w:rPr>
          <w:sz w:val="24"/>
        </w:rPr>
        <w:t>agency’s</w:t>
      </w:r>
      <w:r>
        <w:rPr>
          <w:spacing w:val="-4"/>
          <w:sz w:val="24"/>
        </w:rPr>
        <w:t> </w:t>
      </w:r>
      <w:r>
        <w:rPr>
          <w:sz w:val="24"/>
        </w:rPr>
        <w:t>transit</w:t>
      </w:r>
      <w:r>
        <w:rPr>
          <w:spacing w:val="-3"/>
          <w:sz w:val="24"/>
        </w:rPr>
        <w:t> </w:t>
      </w:r>
      <w:r>
        <w:rPr>
          <w:sz w:val="24"/>
        </w:rPr>
        <w:t>vehicles,</w:t>
      </w:r>
      <w:r>
        <w:rPr>
          <w:spacing w:val="-4"/>
          <w:sz w:val="24"/>
        </w:rPr>
        <w:t> </w:t>
      </w:r>
      <w:r>
        <w:rPr>
          <w:sz w:val="24"/>
        </w:rPr>
        <w:t>equipment,</w:t>
      </w:r>
      <w:r>
        <w:rPr>
          <w:spacing w:val="-1"/>
          <w:sz w:val="24"/>
        </w:rPr>
        <w:t> </w:t>
      </w:r>
      <w:r>
        <w:rPr>
          <w:sz w:val="24"/>
        </w:rPr>
        <w:t>and</w:t>
      </w:r>
      <w:r>
        <w:rPr>
          <w:spacing w:val="-3"/>
          <w:sz w:val="24"/>
        </w:rPr>
        <w:t> </w:t>
      </w:r>
      <w:r>
        <w:rPr>
          <w:sz w:val="24"/>
        </w:rPr>
        <w:t>facilities</w:t>
      </w:r>
      <w:r>
        <w:rPr>
          <w:spacing w:val="-2"/>
          <w:sz w:val="24"/>
        </w:rPr>
        <w:t> </w:t>
      </w:r>
      <w:r>
        <w:rPr>
          <w:sz w:val="24"/>
        </w:rPr>
        <w:t>listed</w:t>
      </w:r>
      <w:r>
        <w:rPr>
          <w:spacing w:val="-3"/>
          <w:sz w:val="24"/>
        </w:rPr>
        <w:t> </w:t>
      </w:r>
      <w:r>
        <w:rPr>
          <w:sz w:val="24"/>
        </w:rPr>
        <w:t>in</w:t>
      </w:r>
      <w:r>
        <w:rPr>
          <w:spacing w:val="-5"/>
          <w:sz w:val="24"/>
        </w:rPr>
        <w:t> </w:t>
      </w:r>
      <w:r>
        <w:rPr>
          <w:sz w:val="24"/>
        </w:rPr>
        <w:t>MaineDOT’s TAM plan?</w:t>
      </w:r>
      <w:r>
        <w:rPr>
          <w:spacing w:val="80"/>
          <w:sz w:val="24"/>
        </w:rPr>
        <w:t> </w:t>
      </w:r>
      <w:r>
        <w:rPr>
          <w:sz w:val="28"/>
        </w:rPr>
        <w:t>Yes</w:t>
      </w:r>
    </w:p>
    <w:p>
      <w:pPr>
        <w:pStyle w:val="ListParagraph"/>
        <w:numPr>
          <w:ilvl w:val="1"/>
          <w:numId w:val="38"/>
        </w:numPr>
        <w:tabs>
          <w:tab w:pos="1991" w:val="left" w:leader="none"/>
          <w:tab w:pos="9580" w:val="left" w:leader="none"/>
        </w:tabs>
        <w:spacing w:line="339" w:lineRule="exact" w:before="0" w:after="0"/>
        <w:ind w:left="1991" w:right="0" w:hanging="359"/>
        <w:jc w:val="left"/>
        <w:rPr>
          <w:sz w:val="24"/>
        </w:rPr>
      </w:pPr>
      <w:r>
        <w:rPr>
          <w:sz w:val="24"/>
        </w:rPr>
        <w:t>Has</w:t>
      </w:r>
      <w:r>
        <w:rPr>
          <w:spacing w:val="-5"/>
          <w:sz w:val="24"/>
        </w:rPr>
        <w:t> </w:t>
      </w:r>
      <w:r>
        <w:rPr>
          <w:sz w:val="24"/>
        </w:rPr>
        <w:t>your</w:t>
      </w:r>
      <w:r>
        <w:rPr>
          <w:spacing w:val="-1"/>
          <w:sz w:val="24"/>
        </w:rPr>
        <w:t> </w:t>
      </w:r>
      <w:r>
        <w:rPr>
          <w:sz w:val="24"/>
        </w:rPr>
        <w:t>accountable</w:t>
      </w:r>
      <w:r>
        <w:rPr>
          <w:spacing w:val="-3"/>
          <w:sz w:val="24"/>
        </w:rPr>
        <w:t> </w:t>
      </w:r>
      <w:r>
        <w:rPr>
          <w:sz w:val="24"/>
        </w:rPr>
        <w:t>executive</w:t>
      </w:r>
      <w:r>
        <w:rPr>
          <w:spacing w:val="-2"/>
          <w:sz w:val="24"/>
        </w:rPr>
        <w:t> </w:t>
      </w:r>
      <w:r>
        <w:rPr>
          <w:sz w:val="24"/>
        </w:rPr>
        <w:t>changed since</w:t>
      </w:r>
      <w:r>
        <w:rPr>
          <w:spacing w:val="-1"/>
          <w:sz w:val="24"/>
        </w:rPr>
        <w:t> </w:t>
      </w:r>
      <w:r>
        <w:rPr>
          <w:sz w:val="24"/>
        </w:rPr>
        <w:t>the</w:t>
      </w:r>
      <w:r>
        <w:rPr>
          <w:spacing w:val="-2"/>
          <w:sz w:val="24"/>
        </w:rPr>
        <w:t> </w:t>
      </w:r>
      <w:r>
        <w:rPr>
          <w:sz w:val="24"/>
        </w:rPr>
        <w:t>TAM plan</w:t>
      </w:r>
      <w:r>
        <w:rPr>
          <w:spacing w:val="-3"/>
          <w:sz w:val="24"/>
        </w:rPr>
        <w:t> </w:t>
      </w:r>
      <w:r>
        <w:rPr>
          <w:sz w:val="24"/>
        </w:rPr>
        <w:t>was</w:t>
      </w:r>
      <w:r>
        <w:rPr>
          <w:spacing w:val="-4"/>
          <w:sz w:val="24"/>
        </w:rPr>
        <w:t> </w:t>
      </w:r>
      <w:r>
        <w:rPr>
          <w:spacing w:val="-2"/>
          <w:sz w:val="24"/>
        </w:rPr>
        <w:t>updated?</w:t>
      </w:r>
      <w:r>
        <w:rPr>
          <w:sz w:val="24"/>
        </w:rPr>
        <w:tab/>
      </w:r>
      <w:r>
        <w:rPr>
          <w:spacing w:val="-5"/>
          <w:sz w:val="28"/>
        </w:rPr>
        <w:t>No</w:t>
      </w:r>
    </w:p>
    <w:p>
      <w:pPr>
        <w:spacing w:after="0" w:line="339" w:lineRule="exact"/>
        <w:jc w:val="left"/>
        <w:rPr>
          <w:sz w:val="24"/>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58336">
            <wp:simplePos x="0" y="0"/>
            <wp:positionH relativeFrom="page">
              <wp:posOffset>731520</wp:posOffset>
            </wp:positionH>
            <wp:positionV relativeFrom="paragraph">
              <wp:posOffset>-111196</wp:posOffset>
            </wp:positionV>
            <wp:extent cx="1523706" cy="426719"/>
            <wp:effectExtent l="0" t="0" r="0" b="0"/>
            <wp:wrapNone/>
            <wp:docPr id="158" name="Image 158">
              <a:hlinkClick r:id="rId80"/>
            </wp:docPr>
            <wp:cNvGraphicFramePr>
              <a:graphicFrameLocks/>
            </wp:cNvGraphicFramePr>
            <a:graphic>
              <a:graphicData uri="http://schemas.openxmlformats.org/drawingml/2006/picture">
                <pic:pic>
                  <pic:nvPicPr>
                    <pic:cNvPr id="158" name="Image 158">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7024">
                <wp:simplePos x="0" y="0"/>
                <wp:positionH relativeFrom="page">
                  <wp:posOffset>713231</wp:posOffset>
                </wp:positionH>
                <wp:positionV relativeFrom="paragraph">
                  <wp:posOffset>216706</wp:posOffset>
                </wp:positionV>
                <wp:extent cx="6346190" cy="7493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6346190" cy="74930"/>
                          <a:chExt cx="6346190" cy="74930"/>
                        </a:xfrm>
                      </wpg:grpSpPr>
                      <wps:wsp>
                        <wps:cNvPr id="160" name="Graphic 160"/>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61" name="Graphic 161"/>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62" name="Graphic 162"/>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9456;mso-wrap-distance-left:0;mso-wrap-distance-right:0" id="docshapegroup119" coordorigin="1123,341" coordsize="9994,118">
                <v:rect style="position:absolute;left:1123;top:430;width:9994;height:29" id="docshape120" filled="true" fillcolor="#c0c0c0" stroked="false">
                  <v:fill type="solid"/>
                </v:rect>
                <v:rect style="position:absolute;left:1123;top:370;width:9994;height:60" id="docshape121" filled="true" fillcolor="#5f5f5f" stroked="false">
                  <v:fill type="solid"/>
                </v:rect>
                <v:rect style="position:absolute;left:1123;top:341;width:9994;height:29" id="docshape122" filled="true" fillcolor="#000000" stroked="false">
                  <v:fill type="solid"/>
                </v:rect>
                <w10:wrap type="topAndBottom"/>
              </v:group>
            </w:pict>
          </mc:Fallback>
        </mc:AlternateContent>
      </w:r>
    </w:p>
    <w:p>
      <w:pPr>
        <w:pStyle w:val="BodyText"/>
        <w:spacing w:before="8"/>
        <w:rPr>
          <w:i/>
          <w:sz w:val="22"/>
        </w:rPr>
      </w:pPr>
    </w:p>
    <w:p>
      <w:pPr>
        <w:pStyle w:val="Heading5"/>
        <w:numPr>
          <w:ilvl w:val="0"/>
          <w:numId w:val="38"/>
        </w:numPr>
        <w:tabs>
          <w:tab w:pos="1361" w:val="left" w:leader="none"/>
        </w:tabs>
        <w:spacing w:line="240" w:lineRule="auto" w:before="45" w:after="0"/>
        <w:ind w:left="1361" w:right="0" w:hanging="358"/>
        <w:jc w:val="left"/>
        <w:rPr>
          <w:color w:val="2D74B5"/>
        </w:rPr>
      </w:pPr>
      <w:r>
        <w:rPr>
          <w:color w:val="2D74B5"/>
        </w:rPr>
        <w:t>Satisfactory</w:t>
      </w:r>
      <w:r>
        <w:rPr>
          <w:color w:val="2D74B5"/>
          <w:spacing w:val="-9"/>
        </w:rPr>
        <w:t> </w:t>
      </w:r>
      <w:r>
        <w:rPr>
          <w:color w:val="2D74B5"/>
        </w:rPr>
        <w:t>Continuing</w:t>
      </w:r>
      <w:r>
        <w:rPr>
          <w:color w:val="2D74B5"/>
          <w:spacing w:val="-6"/>
        </w:rPr>
        <w:t> </w:t>
      </w:r>
      <w:r>
        <w:rPr>
          <w:color w:val="2D74B5"/>
          <w:spacing w:val="-2"/>
        </w:rPr>
        <w:t>Control</w:t>
      </w:r>
    </w:p>
    <w:p>
      <w:pPr>
        <w:pStyle w:val="ListParagraph"/>
        <w:numPr>
          <w:ilvl w:val="1"/>
          <w:numId w:val="38"/>
        </w:numPr>
        <w:tabs>
          <w:tab w:pos="1991" w:val="left" w:leader="none"/>
        </w:tabs>
        <w:spacing w:line="259" w:lineRule="auto" w:before="25" w:after="0"/>
        <w:ind w:left="1991" w:right="808" w:hanging="360"/>
        <w:jc w:val="left"/>
        <w:rPr>
          <w:sz w:val="24"/>
        </w:rPr>
      </w:pPr>
      <w:r>
        <w:rPr>
          <w:sz w:val="24"/>
        </w:rPr>
        <w:t>Does your agency own any </w:t>
      </w:r>
      <w:r>
        <w:rPr>
          <w:b/>
          <w:sz w:val="24"/>
        </w:rPr>
        <w:t>real property </w:t>
      </w:r>
      <w:r>
        <w:rPr>
          <w:sz w:val="24"/>
        </w:rPr>
        <w:t>that was funded with FTA funds?</w:t>
      </w:r>
      <w:r>
        <w:rPr>
          <w:spacing w:val="40"/>
          <w:sz w:val="24"/>
        </w:rPr>
        <w:t> </w:t>
      </w:r>
      <w:r>
        <w:rPr>
          <w:sz w:val="24"/>
        </w:rPr>
        <w:t>If yes, provide</w:t>
      </w:r>
      <w:r>
        <w:rPr>
          <w:spacing w:val="-3"/>
          <w:sz w:val="24"/>
        </w:rPr>
        <w:t> </w:t>
      </w:r>
      <w:r>
        <w:rPr>
          <w:sz w:val="24"/>
        </w:rPr>
        <w:t>inventory</w:t>
      </w:r>
      <w:r>
        <w:rPr>
          <w:spacing w:val="-2"/>
          <w:sz w:val="24"/>
        </w:rPr>
        <w:t> </w:t>
      </w:r>
      <w:r>
        <w:rPr>
          <w:sz w:val="24"/>
        </w:rPr>
        <w:t>and</w:t>
      </w:r>
      <w:r>
        <w:rPr>
          <w:spacing w:val="-1"/>
          <w:sz w:val="24"/>
        </w:rPr>
        <w:t> </w:t>
      </w:r>
      <w:r>
        <w:rPr>
          <w:sz w:val="24"/>
        </w:rPr>
        <w:t>inspection</w:t>
      </w:r>
      <w:r>
        <w:rPr>
          <w:spacing w:val="-1"/>
          <w:sz w:val="24"/>
        </w:rPr>
        <w:t> </w:t>
      </w:r>
      <w:r>
        <w:rPr>
          <w:sz w:val="24"/>
        </w:rPr>
        <w:t>reports.</w:t>
      </w:r>
      <w:r>
        <w:rPr>
          <w:spacing w:val="80"/>
          <w:sz w:val="24"/>
        </w:rPr>
        <w:t> </w:t>
      </w:r>
      <w:r>
        <w:rPr>
          <w:sz w:val="28"/>
        </w:rPr>
        <w:t>Yes,</w:t>
      </w:r>
      <w:r>
        <w:rPr>
          <w:spacing w:val="-5"/>
          <w:sz w:val="28"/>
        </w:rPr>
        <w:t> </w:t>
      </w:r>
      <w:r>
        <w:rPr>
          <w:sz w:val="28"/>
        </w:rPr>
        <w:t>no</w:t>
      </w:r>
      <w:r>
        <w:rPr>
          <w:spacing w:val="-4"/>
          <w:sz w:val="28"/>
        </w:rPr>
        <w:t> </w:t>
      </w:r>
      <w:r>
        <w:rPr>
          <w:sz w:val="28"/>
        </w:rPr>
        <w:t>inspection</w:t>
      </w:r>
      <w:r>
        <w:rPr>
          <w:spacing w:val="-3"/>
          <w:sz w:val="28"/>
        </w:rPr>
        <w:t> </w:t>
      </w:r>
      <w:r>
        <w:rPr>
          <w:sz w:val="28"/>
        </w:rPr>
        <w:t>reports</w:t>
      </w:r>
      <w:r>
        <w:rPr>
          <w:spacing w:val="-6"/>
          <w:sz w:val="28"/>
        </w:rPr>
        <w:t> </w:t>
      </w:r>
      <w:r>
        <w:rPr>
          <w:sz w:val="28"/>
        </w:rPr>
        <w:t>yet</w:t>
      </w:r>
      <w:r>
        <w:rPr>
          <w:spacing w:val="-5"/>
          <w:sz w:val="28"/>
        </w:rPr>
        <w:t> </w:t>
      </w:r>
      <w:r>
        <w:rPr>
          <w:sz w:val="28"/>
        </w:rPr>
        <w:t>as</w:t>
      </w:r>
      <w:r>
        <w:rPr>
          <w:spacing w:val="-4"/>
          <w:sz w:val="28"/>
        </w:rPr>
        <w:t> </w:t>
      </w:r>
      <w:r>
        <w:rPr>
          <w:sz w:val="28"/>
        </w:rPr>
        <w:t>the property is still under construction expect completion by 06/2023</w:t>
      </w:r>
    </w:p>
    <w:p>
      <w:pPr>
        <w:pStyle w:val="ListParagraph"/>
        <w:numPr>
          <w:ilvl w:val="2"/>
          <w:numId w:val="38"/>
        </w:numPr>
        <w:tabs>
          <w:tab w:pos="2263" w:val="left" w:leader="none"/>
        </w:tabs>
        <w:spacing w:line="240" w:lineRule="auto" w:before="1" w:after="0"/>
        <w:ind w:left="2263" w:right="0" w:hanging="271"/>
        <w:jc w:val="left"/>
        <w:rPr>
          <w:sz w:val="28"/>
        </w:rPr>
      </w:pPr>
      <w:r>
        <w:rPr>
          <w:sz w:val="24"/>
        </w:rPr>
        <w:t>Is</w:t>
      </w:r>
      <w:r>
        <w:rPr>
          <w:spacing w:val="-2"/>
          <w:sz w:val="24"/>
        </w:rPr>
        <w:t> </w:t>
      </w:r>
      <w:r>
        <w:rPr>
          <w:sz w:val="24"/>
        </w:rPr>
        <w:t>any</w:t>
      </w:r>
      <w:r>
        <w:rPr>
          <w:spacing w:val="-1"/>
          <w:sz w:val="24"/>
        </w:rPr>
        <w:t> </w:t>
      </w:r>
      <w:r>
        <w:rPr>
          <w:sz w:val="24"/>
        </w:rPr>
        <w:t>of</w:t>
      </w:r>
      <w:r>
        <w:rPr>
          <w:spacing w:val="-2"/>
          <w:sz w:val="24"/>
        </w:rPr>
        <w:t> </w:t>
      </w:r>
      <w:r>
        <w:rPr>
          <w:sz w:val="24"/>
        </w:rPr>
        <w:t>the</w:t>
      </w:r>
      <w:r>
        <w:rPr>
          <w:spacing w:val="-3"/>
          <w:sz w:val="24"/>
        </w:rPr>
        <w:t> </w:t>
      </w:r>
      <w:r>
        <w:rPr>
          <w:sz w:val="24"/>
        </w:rPr>
        <w:t>real</w:t>
      </w:r>
      <w:r>
        <w:rPr>
          <w:spacing w:val="-3"/>
          <w:sz w:val="24"/>
        </w:rPr>
        <w:t> </w:t>
      </w:r>
      <w:r>
        <w:rPr>
          <w:sz w:val="24"/>
        </w:rPr>
        <w:t>property</w:t>
      </w:r>
      <w:r>
        <w:rPr>
          <w:spacing w:val="-1"/>
          <w:sz w:val="24"/>
        </w:rPr>
        <w:t> </w:t>
      </w:r>
      <w:r>
        <w:rPr>
          <w:sz w:val="24"/>
        </w:rPr>
        <w:t>considered</w:t>
      </w:r>
      <w:r>
        <w:rPr>
          <w:spacing w:val="-3"/>
          <w:sz w:val="24"/>
        </w:rPr>
        <w:t> </w:t>
      </w:r>
      <w:r>
        <w:rPr>
          <w:sz w:val="24"/>
        </w:rPr>
        <w:t>excess?</w:t>
      </w:r>
      <w:r>
        <w:rPr>
          <w:spacing w:val="78"/>
          <w:w w:val="150"/>
          <w:sz w:val="24"/>
        </w:rPr>
        <w:t> </w:t>
      </w:r>
      <w:r>
        <w:rPr>
          <w:spacing w:val="-5"/>
          <w:sz w:val="28"/>
        </w:rPr>
        <w:t>No</w:t>
      </w:r>
    </w:p>
    <w:p>
      <w:pPr>
        <w:pStyle w:val="ListParagraph"/>
        <w:numPr>
          <w:ilvl w:val="2"/>
          <w:numId w:val="38"/>
        </w:numPr>
        <w:tabs>
          <w:tab w:pos="2263" w:val="left" w:leader="none"/>
        </w:tabs>
        <w:spacing w:line="240" w:lineRule="auto" w:before="23" w:after="0"/>
        <w:ind w:left="2263" w:right="0" w:hanging="271"/>
        <w:jc w:val="left"/>
        <w:rPr>
          <w:sz w:val="22"/>
        </w:rPr>
      </w:pPr>
      <w:r>
        <w:rPr>
          <w:sz w:val="24"/>
        </w:rPr>
        <w:t>If</w:t>
      </w:r>
      <w:r>
        <w:rPr>
          <w:spacing w:val="-2"/>
          <w:sz w:val="24"/>
        </w:rPr>
        <w:t> </w:t>
      </w:r>
      <w:r>
        <w:rPr>
          <w:sz w:val="24"/>
        </w:rPr>
        <w:t>yes</w:t>
      </w:r>
      <w:r>
        <w:rPr>
          <w:spacing w:val="-2"/>
          <w:sz w:val="24"/>
        </w:rPr>
        <w:t> </w:t>
      </w:r>
      <w:r>
        <w:rPr>
          <w:sz w:val="24"/>
        </w:rPr>
        <w:t>provide</w:t>
      </w:r>
      <w:r>
        <w:rPr>
          <w:spacing w:val="-3"/>
          <w:sz w:val="24"/>
        </w:rPr>
        <w:t> </w:t>
      </w:r>
      <w:r>
        <w:rPr>
          <w:sz w:val="24"/>
        </w:rPr>
        <w:t>approved</w:t>
      </w:r>
      <w:r>
        <w:rPr>
          <w:spacing w:val="-2"/>
          <w:sz w:val="24"/>
        </w:rPr>
        <w:t> </w:t>
      </w:r>
      <w:r>
        <w:rPr>
          <w:sz w:val="24"/>
        </w:rPr>
        <w:t>utilization</w:t>
      </w:r>
      <w:r>
        <w:rPr>
          <w:spacing w:val="-3"/>
          <w:sz w:val="24"/>
        </w:rPr>
        <w:t> </w:t>
      </w:r>
      <w:r>
        <w:rPr>
          <w:sz w:val="24"/>
        </w:rPr>
        <w:t>plan.</w:t>
      </w:r>
      <w:r>
        <w:rPr>
          <w:spacing w:val="49"/>
          <w:sz w:val="24"/>
        </w:rPr>
        <w:t> </w:t>
      </w:r>
      <w:r>
        <w:rPr>
          <w:color w:val="808080"/>
          <w:sz w:val="22"/>
        </w:rPr>
        <w:t>Click</w:t>
      </w:r>
      <w:r>
        <w:rPr>
          <w:color w:val="808080"/>
          <w:spacing w:val="-1"/>
          <w:sz w:val="22"/>
        </w:rPr>
        <w:t> </w:t>
      </w:r>
      <w:r>
        <w:rPr>
          <w:color w:val="808080"/>
          <w:sz w:val="22"/>
        </w:rPr>
        <w:t>or</w:t>
      </w:r>
      <w:r>
        <w:rPr>
          <w:color w:val="808080"/>
          <w:spacing w:val="-2"/>
          <w:sz w:val="22"/>
        </w:rPr>
        <w:t> </w:t>
      </w:r>
      <w:r>
        <w:rPr>
          <w:color w:val="808080"/>
          <w:sz w:val="22"/>
        </w:rPr>
        <w:t>tap</w:t>
      </w:r>
      <w:r>
        <w:rPr>
          <w:color w:val="808080"/>
          <w:spacing w:val="-2"/>
          <w:sz w:val="22"/>
        </w:rPr>
        <w:t> </w:t>
      </w:r>
      <w:r>
        <w:rPr>
          <w:color w:val="808080"/>
          <w:sz w:val="22"/>
        </w:rPr>
        <w:t>here</w:t>
      </w:r>
      <w:r>
        <w:rPr>
          <w:color w:val="808080"/>
          <w:spacing w:val="-1"/>
          <w:sz w:val="22"/>
        </w:rPr>
        <w:t> </w:t>
      </w:r>
      <w:r>
        <w:rPr>
          <w:color w:val="808080"/>
          <w:sz w:val="22"/>
        </w:rPr>
        <w:t>to</w:t>
      </w:r>
      <w:r>
        <w:rPr>
          <w:color w:val="808080"/>
          <w:spacing w:val="-3"/>
          <w:sz w:val="22"/>
        </w:rPr>
        <w:t> </w:t>
      </w:r>
      <w:r>
        <w:rPr>
          <w:color w:val="808080"/>
          <w:sz w:val="22"/>
        </w:rPr>
        <w:t>enter</w:t>
      </w:r>
      <w:r>
        <w:rPr>
          <w:color w:val="808080"/>
          <w:spacing w:val="-3"/>
          <w:sz w:val="22"/>
        </w:rPr>
        <w:t> </w:t>
      </w:r>
      <w:r>
        <w:rPr>
          <w:color w:val="808080"/>
          <w:spacing w:val="-2"/>
          <w:sz w:val="22"/>
        </w:rPr>
        <w:t>text.</w:t>
      </w:r>
    </w:p>
    <w:p>
      <w:pPr>
        <w:pStyle w:val="ListParagraph"/>
        <w:numPr>
          <w:ilvl w:val="2"/>
          <w:numId w:val="38"/>
        </w:numPr>
        <w:tabs>
          <w:tab w:pos="2263" w:val="left" w:leader="none"/>
        </w:tabs>
        <w:spacing w:line="240" w:lineRule="auto" w:before="26" w:after="0"/>
        <w:ind w:left="2263" w:right="0" w:hanging="271"/>
        <w:jc w:val="left"/>
        <w:rPr>
          <w:sz w:val="28"/>
        </w:rPr>
      </w:pPr>
      <w:r>
        <w:rPr>
          <w:sz w:val="24"/>
        </w:rPr>
        <w:t>Does</w:t>
      </w:r>
      <w:r>
        <w:rPr>
          <w:spacing w:val="-2"/>
          <w:sz w:val="24"/>
        </w:rPr>
        <w:t> </w:t>
      </w:r>
      <w:r>
        <w:rPr>
          <w:sz w:val="24"/>
        </w:rPr>
        <w:t>any</w:t>
      </w:r>
      <w:r>
        <w:rPr>
          <w:spacing w:val="-1"/>
          <w:sz w:val="24"/>
        </w:rPr>
        <w:t> </w:t>
      </w:r>
      <w:r>
        <w:rPr>
          <w:sz w:val="24"/>
        </w:rPr>
        <w:t>real</w:t>
      </w:r>
      <w:r>
        <w:rPr>
          <w:spacing w:val="-3"/>
          <w:sz w:val="24"/>
        </w:rPr>
        <w:t> </w:t>
      </w:r>
      <w:r>
        <w:rPr>
          <w:sz w:val="24"/>
        </w:rPr>
        <w:t>property</w:t>
      </w:r>
      <w:r>
        <w:rPr>
          <w:spacing w:val="-4"/>
          <w:sz w:val="24"/>
        </w:rPr>
        <w:t> </w:t>
      </w:r>
      <w:r>
        <w:rPr>
          <w:sz w:val="24"/>
        </w:rPr>
        <w:t>have an</w:t>
      </w:r>
      <w:r>
        <w:rPr>
          <w:spacing w:val="-2"/>
          <w:sz w:val="24"/>
        </w:rPr>
        <w:t> </w:t>
      </w:r>
      <w:r>
        <w:rPr>
          <w:sz w:val="24"/>
        </w:rPr>
        <w:t>incidental use?</w:t>
      </w:r>
      <w:r>
        <w:rPr>
          <w:spacing w:val="51"/>
          <w:sz w:val="24"/>
        </w:rPr>
        <w:t> </w:t>
      </w:r>
      <w:r>
        <w:rPr>
          <w:spacing w:val="-5"/>
          <w:sz w:val="28"/>
        </w:rPr>
        <w:t>No</w:t>
      </w:r>
    </w:p>
    <w:p>
      <w:pPr>
        <w:pStyle w:val="ListParagraph"/>
        <w:numPr>
          <w:ilvl w:val="2"/>
          <w:numId w:val="38"/>
        </w:numPr>
        <w:tabs>
          <w:tab w:pos="2261" w:val="left" w:leader="none"/>
          <w:tab w:pos="2263" w:val="left" w:leader="none"/>
        </w:tabs>
        <w:spacing w:line="259" w:lineRule="auto" w:before="26" w:after="0"/>
        <w:ind w:left="2263" w:right="753" w:hanging="272"/>
        <w:jc w:val="both"/>
        <w:rPr>
          <w:sz w:val="24"/>
        </w:rPr>
      </w:pPr>
      <w:r>
        <w:rPr>
          <w:sz w:val="24"/>
        </w:rPr>
        <w:t>If yes, is</w:t>
      </w:r>
      <w:r>
        <w:rPr>
          <w:spacing w:val="-1"/>
          <w:sz w:val="24"/>
        </w:rPr>
        <w:t> </w:t>
      </w:r>
      <w:r>
        <w:rPr>
          <w:sz w:val="24"/>
        </w:rPr>
        <w:t>the incidental</w:t>
      </w:r>
      <w:r>
        <w:rPr>
          <w:spacing w:val="-1"/>
          <w:sz w:val="24"/>
        </w:rPr>
        <w:t> </w:t>
      </w:r>
      <w:r>
        <w:rPr>
          <w:sz w:val="24"/>
        </w:rPr>
        <w:t>use compatible with the approved purpose of the property? Describe</w:t>
      </w:r>
      <w:r>
        <w:rPr>
          <w:spacing w:val="-1"/>
          <w:sz w:val="24"/>
        </w:rPr>
        <w:t> </w:t>
      </w:r>
      <w:r>
        <w:rPr>
          <w:sz w:val="24"/>
        </w:rPr>
        <w:t>management of</w:t>
      </w:r>
      <w:r>
        <w:rPr>
          <w:spacing w:val="-1"/>
          <w:sz w:val="24"/>
        </w:rPr>
        <w:t> </w:t>
      </w:r>
      <w:r>
        <w:rPr>
          <w:sz w:val="24"/>
        </w:rPr>
        <w:t>the property.</w:t>
      </w:r>
      <w:r>
        <w:rPr>
          <w:spacing w:val="40"/>
          <w:sz w:val="24"/>
        </w:rPr>
        <w:t> </w:t>
      </w:r>
      <w:r>
        <w:rPr>
          <w:sz w:val="24"/>
        </w:rPr>
        <w:t>Property</w:t>
      </w:r>
      <w:r>
        <w:rPr>
          <w:spacing w:val="-5"/>
          <w:sz w:val="24"/>
        </w:rPr>
        <w:t> </w:t>
      </w:r>
      <w:r>
        <w:rPr>
          <w:sz w:val="24"/>
        </w:rPr>
        <w:t>will</w:t>
      </w:r>
      <w:r>
        <w:rPr>
          <w:spacing w:val="-2"/>
          <w:sz w:val="24"/>
        </w:rPr>
        <w:t> </w:t>
      </w:r>
      <w:r>
        <w:rPr>
          <w:sz w:val="24"/>
        </w:rPr>
        <w:t>be maintained as indicated in our</w:t>
      </w:r>
      <w:r>
        <w:rPr>
          <w:spacing w:val="-3"/>
          <w:sz w:val="24"/>
        </w:rPr>
        <w:t> </w:t>
      </w:r>
      <w:r>
        <w:rPr>
          <w:sz w:val="24"/>
        </w:rPr>
        <w:t>asset</w:t>
      </w:r>
      <w:r>
        <w:rPr>
          <w:spacing w:val="-2"/>
          <w:sz w:val="24"/>
        </w:rPr>
        <w:t> </w:t>
      </w:r>
      <w:r>
        <w:rPr>
          <w:sz w:val="24"/>
        </w:rPr>
        <w:t>management</w:t>
      </w:r>
      <w:r>
        <w:rPr>
          <w:spacing w:val="-5"/>
          <w:sz w:val="24"/>
        </w:rPr>
        <w:t> </w:t>
      </w:r>
      <w:r>
        <w:rPr>
          <w:sz w:val="24"/>
        </w:rPr>
        <w:t>plan,</w:t>
      </w:r>
      <w:r>
        <w:rPr>
          <w:spacing w:val="-6"/>
          <w:sz w:val="24"/>
        </w:rPr>
        <w:t> </w:t>
      </w:r>
      <w:r>
        <w:rPr>
          <w:sz w:val="24"/>
        </w:rPr>
        <w:t>with</w:t>
      </w:r>
      <w:r>
        <w:rPr>
          <w:spacing w:val="-2"/>
          <w:sz w:val="24"/>
        </w:rPr>
        <w:t> </w:t>
      </w:r>
      <w:r>
        <w:rPr>
          <w:sz w:val="24"/>
        </w:rPr>
        <w:t>routine</w:t>
      </w:r>
      <w:r>
        <w:rPr>
          <w:spacing w:val="-3"/>
          <w:sz w:val="24"/>
        </w:rPr>
        <w:t> </w:t>
      </w:r>
      <w:r>
        <w:rPr>
          <w:sz w:val="24"/>
        </w:rPr>
        <w:t>checklists</w:t>
      </w:r>
      <w:r>
        <w:rPr>
          <w:spacing w:val="-4"/>
          <w:sz w:val="24"/>
        </w:rPr>
        <w:t> </w:t>
      </w:r>
      <w:r>
        <w:rPr>
          <w:sz w:val="24"/>
        </w:rPr>
        <w:t>for</w:t>
      </w:r>
      <w:r>
        <w:rPr>
          <w:spacing w:val="-3"/>
          <w:sz w:val="24"/>
        </w:rPr>
        <w:t> </w:t>
      </w:r>
      <w:r>
        <w:rPr>
          <w:sz w:val="24"/>
        </w:rPr>
        <w:t>office,</w:t>
      </w:r>
      <w:r>
        <w:rPr>
          <w:spacing w:val="-6"/>
          <w:sz w:val="24"/>
        </w:rPr>
        <w:t> </w:t>
      </w:r>
      <w:r>
        <w:rPr>
          <w:sz w:val="24"/>
        </w:rPr>
        <w:t>maintenance</w:t>
      </w:r>
      <w:r>
        <w:rPr>
          <w:spacing w:val="-3"/>
          <w:sz w:val="24"/>
        </w:rPr>
        <w:t> </w:t>
      </w:r>
      <w:r>
        <w:rPr>
          <w:sz w:val="24"/>
        </w:rPr>
        <w:t>facility, parking areas and grounds</w:t>
      </w:r>
    </w:p>
    <w:p>
      <w:pPr>
        <w:pStyle w:val="ListParagraph"/>
        <w:numPr>
          <w:ilvl w:val="2"/>
          <w:numId w:val="38"/>
        </w:numPr>
        <w:tabs>
          <w:tab w:pos="2263" w:val="left" w:leader="none"/>
        </w:tabs>
        <w:spacing w:line="259" w:lineRule="auto" w:before="0" w:after="0"/>
        <w:ind w:left="2263" w:right="660" w:hanging="272"/>
        <w:jc w:val="left"/>
        <w:rPr>
          <w:sz w:val="24"/>
        </w:rPr>
      </w:pPr>
      <w:r>
        <w:rPr>
          <w:sz w:val="24"/>
        </w:rPr>
        <w:t>Is any real property idle? Yes If yes, what efforts have been made to use, lease, or dispose</w:t>
      </w:r>
      <w:r>
        <w:rPr>
          <w:spacing w:val="-4"/>
          <w:sz w:val="24"/>
        </w:rPr>
        <w:t> </w:t>
      </w:r>
      <w:r>
        <w:rPr>
          <w:sz w:val="24"/>
        </w:rPr>
        <w:t>of</w:t>
      </w:r>
      <w:r>
        <w:rPr>
          <w:spacing w:val="-4"/>
          <w:sz w:val="24"/>
        </w:rPr>
        <w:t> </w:t>
      </w:r>
      <w:r>
        <w:rPr>
          <w:sz w:val="24"/>
        </w:rPr>
        <w:t>the</w:t>
      </w:r>
      <w:r>
        <w:rPr>
          <w:spacing w:val="-2"/>
          <w:sz w:val="24"/>
        </w:rPr>
        <w:t> </w:t>
      </w:r>
      <w:r>
        <w:rPr>
          <w:sz w:val="24"/>
        </w:rPr>
        <w:t>idle</w:t>
      </w:r>
      <w:r>
        <w:rPr>
          <w:spacing w:val="-4"/>
          <w:sz w:val="24"/>
        </w:rPr>
        <w:t> </w:t>
      </w:r>
      <w:r>
        <w:rPr>
          <w:sz w:val="24"/>
        </w:rPr>
        <w:t>property?</w:t>
      </w:r>
      <w:r>
        <w:rPr>
          <w:spacing w:val="-3"/>
          <w:sz w:val="24"/>
        </w:rPr>
        <w:t> </w:t>
      </w:r>
      <w:r>
        <w:rPr>
          <w:sz w:val="24"/>
        </w:rPr>
        <w:t>Presently,</w:t>
      </w:r>
      <w:r>
        <w:rPr>
          <w:spacing w:val="-2"/>
          <w:sz w:val="24"/>
        </w:rPr>
        <w:t> </w:t>
      </w:r>
      <w:r>
        <w:rPr>
          <w:sz w:val="24"/>
        </w:rPr>
        <w:t>WMTS</w:t>
      </w:r>
      <w:r>
        <w:rPr>
          <w:spacing w:val="-5"/>
          <w:sz w:val="24"/>
        </w:rPr>
        <w:t> </w:t>
      </w:r>
      <w:r>
        <w:rPr>
          <w:sz w:val="24"/>
        </w:rPr>
        <w:t>has</w:t>
      </w:r>
      <w:r>
        <w:rPr>
          <w:spacing w:val="-3"/>
          <w:sz w:val="24"/>
        </w:rPr>
        <w:t> </w:t>
      </w:r>
      <w:r>
        <w:rPr>
          <w:sz w:val="24"/>
        </w:rPr>
        <w:t>a</w:t>
      </w:r>
      <w:r>
        <w:rPr>
          <w:spacing w:val="-2"/>
          <w:sz w:val="24"/>
        </w:rPr>
        <w:t> </w:t>
      </w:r>
      <w:r>
        <w:rPr>
          <w:sz w:val="24"/>
        </w:rPr>
        <w:t>parcel</w:t>
      </w:r>
      <w:r>
        <w:rPr>
          <w:spacing w:val="-5"/>
          <w:sz w:val="24"/>
        </w:rPr>
        <w:t> </w:t>
      </w:r>
      <w:r>
        <w:rPr>
          <w:sz w:val="24"/>
        </w:rPr>
        <w:t>of</w:t>
      </w:r>
      <w:r>
        <w:rPr>
          <w:spacing w:val="-1"/>
          <w:sz w:val="24"/>
        </w:rPr>
        <w:t> </w:t>
      </w:r>
      <w:r>
        <w:rPr>
          <w:sz w:val="24"/>
        </w:rPr>
        <w:t>land</w:t>
      </w:r>
      <w:r>
        <w:rPr>
          <w:spacing w:val="-1"/>
          <w:sz w:val="24"/>
        </w:rPr>
        <w:t> </w:t>
      </w:r>
      <w:r>
        <w:rPr>
          <w:sz w:val="24"/>
        </w:rPr>
        <w:t>in</w:t>
      </w:r>
      <w:r>
        <w:rPr>
          <w:spacing w:val="-4"/>
          <w:sz w:val="24"/>
        </w:rPr>
        <w:t> </w:t>
      </w:r>
      <w:r>
        <w:rPr>
          <w:sz w:val="24"/>
        </w:rPr>
        <w:t>Mexico,</w:t>
      </w:r>
      <w:r>
        <w:rPr>
          <w:spacing w:val="-2"/>
          <w:sz w:val="24"/>
        </w:rPr>
        <w:t> </w:t>
      </w:r>
      <w:r>
        <w:rPr>
          <w:sz w:val="24"/>
        </w:rPr>
        <w:t>Maine (a portion of our operations prior to 2006) that is under contract for purchase. Do you charge costs to idle properties?</w:t>
      </w:r>
      <w:r>
        <w:rPr>
          <w:spacing w:val="40"/>
          <w:sz w:val="24"/>
        </w:rPr>
        <w:t> </w:t>
      </w:r>
      <w:r>
        <w:rPr>
          <w:sz w:val="24"/>
        </w:rPr>
        <w:t>Yes, only taxes and insurance.If yes, do you have justification for doing so on file?</w:t>
      </w:r>
      <w:r>
        <w:rPr>
          <w:spacing w:val="40"/>
          <w:sz w:val="24"/>
        </w:rPr>
        <w:t> </w:t>
      </w:r>
      <w:r>
        <w:rPr>
          <w:sz w:val="24"/>
        </w:rPr>
        <w:t>Yes</w:t>
      </w:r>
    </w:p>
    <w:p>
      <w:pPr>
        <w:pStyle w:val="ListParagraph"/>
        <w:numPr>
          <w:ilvl w:val="2"/>
          <w:numId w:val="38"/>
        </w:numPr>
        <w:tabs>
          <w:tab w:pos="2263" w:val="left" w:leader="none"/>
        </w:tabs>
        <w:spacing w:line="290" w:lineRule="exact" w:before="0" w:after="0"/>
        <w:ind w:left="2263" w:right="0" w:hanging="272"/>
        <w:jc w:val="left"/>
        <w:rPr>
          <w:sz w:val="24"/>
        </w:rPr>
      </w:pPr>
      <w:r>
        <w:rPr>
          <w:sz w:val="24"/>
        </w:rPr>
        <w:t>Is</w:t>
      </w:r>
      <w:r>
        <w:rPr>
          <w:spacing w:val="-2"/>
          <w:sz w:val="24"/>
        </w:rPr>
        <w:t> </w:t>
      </w:r>
      <w:r>
        <w:rPr>
          <w:sz w:val="24"/>
        </w:rPr>
        <w:t>real</w:t>
      </w:r>
      <w:r>
        <w:rPr>
          <w:spacing w:val="-1"/>
          <w:sz w:val="24"/>
        </w:rPr>
        <w:t> </w:t>
      </w:r>
      <w:r>
        <w:rPr>
          <w:sz w:val="24"/>
        </w:rPr>
        <w:t>property</w:t>
      </w:r>
      <w:r>
        <w:rPr>
          <w:spacing w:val="-4"/>
          <w:sz w:val="24"/>
        </w:rPr>
        <w:t> </w:t>
      </w:r>
      <w:r>
        <w:rPr>
          <w:sz w:val="24"/>
        </w:rPr>
        <w:t>being</w:t>
      </w:r>
      <w:r>
        <w:rPr>
          <w:spacing w:val="-1"/>
          <w:sz w:val="24"/>
        </w:rPr>
        <w:t> </w:t>
      </w:r>
      <w:r>
        <w:rPr>
          <w:sz w:val="24"/>
        </w:rPr>
        <w:t>used</w:t>
      </w:r>
      <w:r>
        <w:rPr>
          <w:spacing w:val="-3"/>
          <w:sz w:val="24"/>
        </w:rPr>
        <w:t> </w:t>
      </w:r>
      <w:r>
        <w:rPr>
          <w:sz w:val="24"/>
        </w:rPr>
        <w:t>for its</w:t>
      </w:r>
      <w:r>
        <w:rPr>
          <w:spacing w:val="-2"/>
          <w:sz w:val="24"/>
        </w:rPr>
        <w:t> </w:t>
      </w:r>
      <w:r>
        <w:rPr>
          <w:sz w:val="24"/>
        </w:rPr>
        <w:t>intended</w:t>
      </w:r>
      <w:r>
        <w:rPr>
          <w:spacing w:val="-2"/>
          <w:sz w:val="24"/>
        </w:rPr>
        <w:t> </w:t>
      </w:r>
      <w:r>
        <w:rPr>
          <w:sz w:val="24"/>
        </w:rPr>
        <w:t>purpose?</w:t>
      </w:r>
      <w:r>
        <w:rPr>
          <w:spacing w:val="51"/>
          <w:sz w:val="24"/>
        </w:rPr>
        <w:t> </w:t>
      </w:r>
      <w:r>
        <w:rPr>
          <w:spacing w:val="-5"/>
          <w:sz w:val="24"/>
        </w:rPr>
        <w:t>Yes</w:t>
      </w:r>
    </w:p>
    <w:p>
      <w:pPr>
        <w:pStyle w:val="ListParagraph"/>
        <w:numPr>
          <w:ilvl w:val="2"/>
          <w:numId w:val="38"/>
        </w:numPr>
        <w:tabs>
          <w:tab w:pos="2263" w:val="left" w:leader="none"/>
          <w:tab w:pos="9664" w:val="left" w:leader="none"/>
        </w:tabs>
        <w:spacing w:line="259" w:lineRule="auto" w:before="23" w:after="0"/>
        <w:ind w:left="2263" w:right="890" w:hanging="272"/>
        <w:jc w:val="left"/>
        <w:rPr>
          <w:sz w:val="24"/>
        </w:rPr>
      </w:pPr>
      <w:r>
        <w:rPr>
          <w:sz w:val="24"/>
        </w:rPr>
        <w:t>Have you disposed of any real property in the last 3 years?</w:t>
      </w:r>
      <w:r>
        <w:rPr>
          <w:spacing w:val="40"/>
          <w:sz w:val="24"/>
        </w:rPr>
        <w:t> </w:t>
      </w:r>
      <w:r>
        <w:rPr>
          <w:sz w:val="24"/>
        </w:rPr>
        <w:t>If yes, discuss.</w:t>
        <w:tab/>
        <w:t>Yes,</w:t>
      </w:r>
      <w:r>
        <w:rPr>
          <w:spacing w:val="-14"/>
          <w:sz w:val="24"/>
        </w:rPr>
        <w:t> </w:t>
      </w:r>
      <w:r>
        <w:rPr>
          <w:sz w:val="24"/>
        </w:rPr>
        <w:t>A small piece of land abutting the 76 Merrow Rd facility</w:t>
      </w:r>
    </w:p>
    <w:p>
      <w:pPr>
        <w:pStyle w:val="ListParagraph"/>
        <w:numPr>
          <w:ilvl w:val="2"/>
          <w:numId w:val="38"/>
        </w:numPr>
        <w:tabs>
          <w:tab w:pos="2263" w:val="left" w:leader="none"/>
        </w:tabs>
        <w:spacing w:line="256" w:lineRule="auto" w:before="0" w:after="0"/>
        <w:ind w:left="2263" w:right="1096" w:hanging="272"/>
        <w:jc w:val="left"/>
        <w:rPr>
          <w:sz w:val="24"/>
        </w:rPr>
      </w:pPr>
      <w:r>
        <w:rPr>
          <w:sz w:val="24"/>
        </w:rPr>
        <w:t>Are</w:t>
      </w:r>
      <w:r>
        <w:rPr>
          <w:spacing w:val="-2"/>
          <w:sz w:val="24"/>
        </w:rPr>
        <w:t> </w:t>
      </w:r>
      <w:r>
        <w:rPr>
          <w:sz w:val="24"/>
        </w:rPr>
        <w:t>any</w:t>
      </w:r>
      <w:r>
        <w:rPr>
          <w:spacing w:val="-5"/>
          <w:sz w:val="24"/>
        </w:rPr>
        <w:t> </w:t>
      </w:r>
      <w:r>
        <w:rPr>
          <w:sz w:val="24"/>
        </w:rPr>
        <w:t>FTA-funded</w:t>
      </w:r>
      <w:r>
        <w:rPr>
          <w:spacing w:val="-3"/>
          <w:sz w:val="24"/>
        </w:rPr>
        <w:t> </w:t>
      </w:r>
      <w:r>
        <w:rPr>
          <w:sz w:val="24"/>
        </w:rPr>
        <w:t>buildings</w:t>
      </w:r>
      <w:r>
        <w:rPr>
          <w:spacing w:val="-2"/>
          <w:sz w:val="24"/>
        </w:rPr>
        <w:t> </w:t>
      </w:r>
      <w:r>
        <w:rPr>
          <w:sz w:val="24"/>
        </w:rPr>
        <w:t>located</w:t>
      </w:r>
      <w:r>
        <w:rPr>
          <w:spacing w:val="-3"/>
          <w:sz w:val="24"/>
        </w:rPr>
        <w:t> </w:t>
      </w:r>
      <w:r>
        <w:rPr>
          <w:sz w:val="24"/>
        </w:rPr>
        <w:t>in</w:t>
      </w:r>
      <w:r>
        <w:rPr>
          <w:spacing w:val="-3"/>
          <w:sz w:val="24"/>
        </w:rPr>
        <w:t> </w:t>
      </w:r>
      <w:r>
        <w:rPr>
          <w:sz w:val="24"/>
        </w:rPr>
        <w:t>flood</w:t>
      </w:r>
      <w:r>
        <w:rPr>
          <w:spacing w:val="-3"/>
          <w:sz w:val="24"/>
        </w:rPr>
        <w:t> </w:t>
      </w:r>
      <w:r>
        <w:rPr>
          <w:sz w:val="24"/>
        </w:rPr>
        <w:t>hazard</w:t>
      </w:r>
      <w:r>
        <w:rPr>
          <w:spacing w:val="-3"/>
          <w:sz w:val="24"/>
        </w:rPr>
        <w:t> </w:t>
      </w:r>
      <w:r>
        <w:rPr>
          <w:sz w:val="24"/>
        </w:rPr>
        <w:t>areas?</w:t>
      </w:r>
      <w:r>
        <w:rPr>
          <w:spacing w:val="40"/>
          <w:sz w:val="24"/>
        </w:rPr>
        <w:t> </w:t>
      </w:r>
      <w:r>
        <w:rPr>
          <w:sz w:val="24"/>
        </w:rPr>
        <w:t>If</w:t>
      </w:r>
      <w:r>
        <w:rPr>
          <w:spacing w:val="-1"/>
          <w:sz w:val="24"/>
        </w:rPr>
        <w:t> </w:t>
      </w:r>
      <w:r>
        <w:rPr>
          <w:sz w:val="24"/>
        </w:rPr>
        <w:t>yes,</w:t>
      </w:r>
      <w:r>
        <w:rPr>
          <w:spacing w:val="-4"/>
          <w:sz w:val="24"/>
        </w:rPr>
        <w:t> </w:t>
      </w:r>
      <w:r>
        <w:rPr>
          <w:sz w:val="24"/>
        </w:rPr>
        <w:t>do</w:t>
      </w:r>
      <w:r>
        <w:rPr>
          <w:spacing w:val="-3"/>
          <w:sz w:val="24"/>
        </w:rPr>
        <w:t> </w:t>
      </w:r>
      <w:r>
        <w:rPr>
          <w:sz w:val="24"/>
        </w:rPr>
        <w:t>you</w:t>
      </w:r>
      <w:r>
        <w:rPr>
          <w:spacing w:val="-1"/>
          <w:sz w:val="24"/>
        </w:rPr>
        <w:t> </w:t>
      </w:r>
      <w:r>
        <w:rPr>
          <w:sz w:val="24"/>
        </w:rPr>
        <w:t>have flood insurance?</w:t>
      </w:r>
      <w:r>
        <w:rPr>
          <w:spacing w:val="40"/>
          <w:sz w:val="24"/>
        </w:rPr>
        <w:t> </w:t>
      </w:r>
      <w:r>
        <w:rPr>
          <w:sz w:val="24"/>
        </w:rPr>
        <w:t>No</w:t>
      </w:r>
    </w:p>
    <w:p>
      <w:pPr>
        <w:pStyle w:val="ListParagraph"/>
        <w:numPr>
          <w:ilvl w:val="1"/>
          <w:numId w:val="38"/>
        </w:numPr>
        <w:tabs>
          <w:tab w:pos="1991" w:val="left" w:leader="none"/>
          <w:tab w:pos="6215" w:val="left" w:leader="none"/>
        </w:tabs>
        <w:spacing w:line="261" w:lineRule="auto" w:before="5" w:after="0"/>
        <w:ind w:left="1991" w:right="1208" w:hanging="360"/>
        <w:jc w:val="left"/>
        <w:rPr>
          <w:sz w:val="24"/>
        </w:rPr>
      </w:pPr>
      <w:r>
        <w:rPr>
          <w:sz w:val="24"/>
        </w:rPr>
        <w:t>Does</w:t>
      </w:r>
      <w:r>
        <w:rPr>
          <w:spacing w:val="-3"/>
          <w:sz w:val="24"/>
        </w:rPr>
        <w:t> </w:t>
      </w:r>
      <w:r>
        <w:rPr>
          <w:sz w:val="24"/>
        </w:rPr>
        <w:t>your</w:t>
      </w:r>
      <w:r>
        <w:rPr>
          <w:spacing w:val="-2"/>
          <w:sz w:val="24"/>
        </w:rPr>
        <w:t> </w:t>
      </w:r>
      <w:r>
        <w:rPr>
          <w:sz w:val="24"/>
        </w:rPr>
        <w:t>agency</w:t>
      </w:r>
      <w:r>
        <w:rPr>
          <w:spacing w:val="-3"/>
          <w:sz w:val="24"/>
        </w:rPr>
        <w:t> </w:t>
      </w:r>
      <w:r>
        <w:rPr>
          <w:sz w:val="24"/>
        </w:rPr>
        <w:t>own</w:t>
      </w:r>
      <w:r>
        <w:rPr>
          <w:spacing w:val="-2"/>
          <w:sz w:val="24"/>
        </w:rPr>
        <w:t> </w:t>
      </w:r>
      <w:r>
        <w:rPr>
          <w:sz w:val="24"/>
        </w:rPr>
        <w:t>any</w:t>
      </w:r>
      <w:r>
        <w:rPr>
          <w:spacing w:val="-3"/>
          <w:sz w:val="24"/>
        </w:rPr>
        <w:t> </w:t>
      </w:r>
      <w:r>
        <w:rPr>
          <w:sz w:val="24"/>
        </w:rPr>
        <w:t>equipment</w:t>
      </w:r>
      <w:r>
        <w:rPr>
          <w:spacing w:val="-2"/>
          <w:sz w:val="24"/>
        </w:rPr>
        <w:t> </w:t>
      </w:r>
      <w:r>
        <w:rPr>
          <w:sz w:val="24"/>
        </w:rPr>
        <w:t>(rolling</w:t>
      </w:r>
      <w:r>
        <w:rPr>
          <w:spacing w:val="-3"/>
          <w:sz w:val="24"/>
        </w:rPr>
        <w:t> </w:t>
      </w:r>
      <w:r>
        <w:rPr>
          <w:sz w:val="24"/>
        </w:rPr>
        <w:t>stock</w:t>
      </w:r>
      <w:r>
        <w:rPr>
          <w:spacing w:val="-4"/>
          <w:sz w:val="24"/>
        </w:rPr>
        <w:t> </w:t>
      </w:r>
      <w:r>
        <w:rPr>
          <w:sz w:val="24"/>
        </w:rPr>
        <w:t>and</w:t>
      </w:r>
      <w:r>
        <w:rPr>
          <w:spacing w:val="-2"/>
          <w:sz w:val="24"/>
        </w:rPr>
        <w:t> </w:t>
      </w:r>
      <w:r>
        <w:rPr>
          <w:sz w:val="24"/>
        </w:rPr>
        <w:t>items</w:t>
      </w:r>
      <w:r>
        <w:rPr>
          <w:spacing w:val="-3"/>
          <w:sz w:val="24"/>
        </w:rPr>
        <w:t> </w:t>
      </w:r>
      <w:r>
        <w:rPr>
          <w:sz w:val="24"/>
        </w:rPr>
        <w:t>over</w:t>
      </w:r>
      <w:r>
        <w:rPr>
          <w:spacing w:val="-2"/>
          <w:sz w:val="24"/>
        </w:rPr>
        <w:t> </w:t>
      </w:r>
      <w:r>
        <w:rPr>
          <w:sz w:val="24"/>
        </w:rPr>
        <w:t>$5K)</w:t>
      </w:r>
      <w:r>
        <w:rPr>
          <w:spacing w:val="-3"/>
          <w:sz w:val="24"/>
        </w:rPr>
        <w:t> </w:t>
      </w:r>
      <w:r>
        <w:rPr>
          <w:sz w:val="24"/>
        </w:rPr>
        <w:t>that</w:t>
      </w:r>
      <w:r>
        <w:rPr>
          <w:spacing w:val="-4"/>
          <w:sz w:val="24"/>
        </w:rPr>
        <w:t> </w:t>
      </w:r>
      <w:r>
        <w:rPr>
          <w:sz w:val="24"/>
        </w:rPr>
        <w:t>was purchased with FTA or state bond funds?</w:t>
        <w:tab/>
      </w:r>
      <w:r>
        <w:rPr>
          <w:sz w:val="28"/>
        </w:rPr>
        <w:t>Yes</w:t>
      </w:r>
      <w:r>
        <w:rPr>
          <w:spacing w:val="80"/>
          <w:sz w:val="28"/>
        </w:rPr>
        <w:t> </w:t>
      </w:r>
      <w:r>
        <w:rPr>
          <w:sz w:val="24"/>
        </w:rPr>
        <w:t>If yes,</w:t>
      </w:r>
    </w:p>
    <w:p>
      <w:pPr>
        <w:pStyle w:val="ListParagraph"/>
        <w:numPr>
          <w:ilvl w:val="2"/>
          <w:numId w:val="38"/>
        </w:numPr>
        <w:tabs>
          <w:tab w:pos="2279" w:val="left" w:leader="none"/>
        </w:tabs>
        <w:spacing w:line="259" w:lineRule="auto" w:before="0" w:after="0"/>
        <w:ind w:left="2279" w:right="768" w:hanging="272"/>
        <w:jc w:val="left"/>
        <w:rPr>
          <w:sz w:val="28"/>
        </w:rPr>
      </w:pPr>
      <w:r>
        <w:rPr>
          <w:sz w:val="24"/>
        </w:rPr>
        <w:t>How do you provide security for vehicles/equipment to prevent loss, damage, theft?</w:t>
      </w:r>
      <w:r>
        <w:rPr>
          <w:spacing w:val="40"/>
          <w:sz w:val="24"/>
        </w:rPr>
        <w:t> </w:t>
      </w:r>
      <w:r>
        <w:rPr>
          <w:sz w:val="28"/>
        </w:rPr>
        <w:t>We presently used a security camera and alarm system.</w:t>
      </w:r>
      <w:r>
        <w:rPr>
          <w:spacing w:val="40"/>
          <w:sz w:val="28"/>
        </w:rPr>
        <w:t> </w:t>
      </w:r>
      <w:r>
        <w:rPr>
          <w:sz w:val="28"/>
        </w:rPr>
        <w:t>This system</w:t>
      </w:r>
      <w:r>
        <w:rPr>
          <w:spacing w:val="-2"/>
          <w:sz w:val="28"/>
        </w:rPr>
        <w:t> </w:t>
      </w:r>
      <w:r>
        <w:rPr>
          <w:sz w:val="28"/>
        </w:rPr>
        <w:t>is</w:t>
      </w:r>
      <w:r>
        <w:rPr>
          <w:spacing w:val="-3"/>
          <w:sz w:val="28"/>
        </w:rPr>
        <w:t> </w:t>
      </w:r>
      <w:r>
        <w:rPr>
          <w:sz w:val="28"/>
        </w:rPr>
        <w:t>presently</w:t>
      </w:r>
      <w:r>
        <w:rPr>
          <w:spacing w:val="-3"/>
          <w:sz w:val="28"/>
        </w:rPr>
        <w:t> </w:t>
      </w:r>
      <w:r>
        <w:rPr>
          <w:sz w:val="28"/>
        </w:rPr>
        <w:t>be</w:t>
      </w:r>
      <w:r>
        <w:rPr>
          <w:spacing w:val="-4"/>
          <w:sz w:val="28"/>
        </w:rPr>
        <w:t> </w:t>
      </w:r>
      <w:r>
        <w:rPr>
          <w:sz w:val="28"/>
        </w:rPr>
        <w:t>upgraded</w:t>
      </w:r>
      <w:r>
        <w:rPr>
          <w:spacing w:val="-2"/>
          <w:sz w:val="28"/>
        </w:rPr>
        <w:t> </w:t>
      </w:r>
      <w:r>
        <w:rPr>
          <w:sz w:val="28"/>
        </w:rPr>
        <w:t>and</w:t>
      </w:r>
      <w:r>
        <w:rPr>
          <w:spacing w:val="-2"/>
          <w:sz w:val="28"/>
        </w:rPr>
        <w:t> </w:t>
      </w:r>
      <w:r>
        <w:rPr>
          <w:sz w:val="28"/>
        </w:rPr>
        <w:t>we</w:t>
      </w:r>
      <w:r>
        <w:rPr>
          <w:spacing w:val="-4"/>
          <w:sz w:val="28"/>
        </w:rPr>
        <w:t> </w:t>
      </w:r>
      <w:r>
        <w:rPr>
          <w:sz w:val="28"/>
        </w:rPr>
        <w:t>are</w:t>
      </w:r>
      <w:r>
        <w:rPr>
          <w:spacing w:val="-4"/>
          <w:sz w:val="28"/>
        </w:rPr>
        <w:t> </w:t>
      </w:r>
      <w:r>
        <w:rPr>
          <w:sz w:val="28"/>
        </w:rPr>
        <w:t>adding</w:t>
      </w:r>
      <w:r>
        <w:rPr>
          <w:spacing w:val="-4"/>
          <w:sz w:val="28"/>
        </w:rPr>
        <w:t> </w:t>
      </w:r>
      <w:r>
        <w:rPr>
          <w:sz w:val="28"/>
        </w:rPr>
        <w:t>fencing</w:t>
      </w:r>
      <w:r>
        <w:rPr>
          <w:spacing w:val="-4"/>
          <w:sz w:val="28"/>
        </w:rPr>
        <w:t> </w:t>
      </w:r>
      <w:r>
        <w:rPr>
          <w:sz w:val="28"/>
        </w:rPr>
        <w:t>around</w:t>
      </w:r>
      <w:r>
        <w:rPr>
          <w:spacing w:val="-2"/>
          <w:sz w:val="28"/>
        </w:rPr>
        <w:t> </w:t>
      </w:r>
      <w:r>
        <w:rPr>
          <w:sz w:val="28"/>
        </w:rPr>
        <w:t>bus parking area scheduled to begin 4/24/2023</w:t>
      </w:r>
    </w:p>
    <w:p>
      <w:pPr>
        <w:pStyle w:val="ListParagraph"/>
        <w:numPr>
          <w:ilvl w:val="2"/>
          <w:numId w:val="38"/>
        </w:numPr>
        <w:tabs>
          <w:tab w:pos="2279" w:val="left" w:leader="none"/>
        </w:tabs>
        <w:spacing w:line="261" w:lineRule="auto" w:before="0" w:after="0"/>
        <w:ind w:left="2279" w:right="1053" w:hanging="272"/>
        <w:jc w:val="left"/>
        <w:rPr>
          <w:sz w:val="28"/>
        </w:rPr>
      </w:pPr>
      <w:r>
        <w:rPr>
          <w:sz w:val="24"/>
        </w:rPr>
        <w:t>Do</w:t>
      </w:r>
      <w:r>
        <w:rPr>
          <w:spacing w:val="-2"/>
          <w:sz w:val="24"/>
        </w:rPr>
        <w:t> </w:t>
      </w:r>
      <w:r>
        <w:rPr>
          <w:sz w:val="24"/>
        </w:rPr>
        <w:t>you</w:t>
      </w:r>
      <w:r>
        <w:rPr>
          <w:spacing w:val="-1"/>
          <w:sz w:val="24"/>
        </w:rPr>
        <w:t> </w:t>
      </w:r>
      <w:r>
        <w:rPr>
          <w:sz w:val="24"/>
        </w:rPr>
        <w:t>keep</w:t>
      </w:r>
      <w:r>
        <w:rPr>
          <w:spacing w:val="-4"/>
          <w:sz w:val="24"/>
        </w:rPr>
        <w:t> </w:t>
      </w:r>
      <w:r>
        <w:rPr>
          <w:sz w:val="24"/>
        </w:rPr>
        <w:t>MaineDOT</w:t>
      </w:r>
      <w:r>
        <w:rPr>
          <w:spacing w:val="-4"/>
          <w:sz w:val="24"/>
        </w:rPr>
        <w:t> </w:t>
      </w:r>
      <w:r>
        <w:rPr>
          <w:sz w:val="24"/>
        </w:rPr>
        <w:t>staff</w:t>
      </w:r>
      <w:r>
        <w:rPr>
          <w:spacing w:val="-4"/>
          <w:sz w:val="24"/>
        </w:rPr>
        <w:t> </w:t>
      </w:r>
      <w:r>
        <w:rPr>
          <w:sz w:val="24"/>
        </w:rPr>
        <w:t>informed</w:t>
      </w:r>
      <w:r>
        <w:rPr>
          <w:spacing w:val="-4"/>
          <w:sz w:val="24"/>
        </w:rPr>
        <w:t> </w:t>
      </w:r>
      <w:r>
        <w:rPr>
          <w:sz w:val="24"/>
        </w:rPr>
        <w:t>of</w:t>
      </w:r>
      <w:r>
        <w:rPr>
          <w:spacing w:val="-4"/>
          <w:sz w:val="24"/>
        </w:rPr>
        <w:t> </w:t>
      </w:r>
      <w:r>
        <w:rPr>
          <w:sz w:val="24"/>
        </w:rPr>
        <w:t>loss,</w:t>
      </w:r>
      <w:r>
        <w:rPr>
          <w:spacing w:val="-5"/>
          <w:sz w:val="24"/>
        </w:rPr>
        <w:t> </w:t>
      </w:r>
      <w:r>
        <w:rPr>
          <w:sz w:val="24"/>
        </w:rPr>
        <w:t>damage,</w:t>
      </w:r>
      <w:r>
        <w:rPr>
          <w:spacing w:val="-3"/>
          <w:sz w:val="24"/>
        </w:rPr>
        <w:t> </w:t>
      </w:r>
      <w:r>
        <w:rPr>
          <w:sz w:val="24"/>
        </w:rPr>
        <w:t>theft,</w:t>
      </w:r>
      <w:r>
        <w:rPr>
          <w:spacing w:val="-2"/>
          <w:sz w:val="24"/>
        </w:rPr>
        <w:t> </w:t>
      </w:r>
      <w:r>
        <w:rPr>
          <w:sz w:val="24"/>
        </w:rPr>
        <w:t>security</w:t>
      </w:r>
      <w:r>
        <w:rPr>
          <w:spacing w:val="-6"/>
          <w:sz w:val="24"/>
        </w:rPr>
        <w:t> </w:t>
      </w:r>
      <w:r>
        <w:rPr>
          <w:sz w:val="24"/>
        </w:rPr>
        <w:t>concerns, maintenance issues?</w:t>
      </w:r>
      <w:r>
        <w:rPr>
          <w:spacing w:val="40"/>
          <w:sz w:val="24"/>
        </w:rPr>
        <w:t> </w:t>
      </w:r>
      <w:r>
        <w:rPr>
          <w:sz w:val="28"/>
        </w:rPr>
        <w:t>Yes</w:t>
      </w:r>
    </w:p>
    <w:p>
      <w:pPr>
        <w:pStyle w:val="ListParagraph"/>
        <w:numPr>
          <w:ilvl w:val="2"/>
          <w:numId w:val="38"/>
        </w:numPr>
        <w:tabs>
          <w:tab w:pos="2279" w:val="left" w:leader="none"/>
        </w:tabs>
        <w:spacing w:line="287" w:lineRule="exact" w:before="0" w:after="0"/>
        <w:ind w:left="2279" w:right="0" w:hanging="271"/>
        <w:jc w:val="left"/>
        <w:rPr>
          <w:sz w:val="24"/>
        </w:rPr>
      </w:pPr>
      <w:r>
        <w:rPr>
          <w:sz w:val="24"/>
        </w:rPr>
        <w:t>Do</w:t>
      </w:r>
      <w:r>
        <w:rPr>
          <w:spacing w:val="-2"/>
          <w:sz w:val="24"/>
        </w:rPr>
        <w:t> </w:t>
      </w:r>
      <w:r>
        <w:rPr>
          <w:sz w:val="24"/>
        </w:rPr>
        <w:t>you follow MaineDOT</w:t>
      </w:r>
      <w:r>
        <w:rPr>
          <w:spacing w:val="-3"/>
          <w:sz w:val="24"/>
        </w:rPr>
        <w:t> </w:t>
      </w:r>
      <w:r>
        <w:rPr>
          <w:sz w:val="24"/>
        </w:rPr>
        <w:t>provided</w:t>
      </w:r>
      <w:r>
        <w:rPr>
          <w:spacing w:val="-3"/>
          <w:sz w:val="24"/>
        </w:rPr>
        <w:t> </w:t>
      </w:r>
      <w:r>
        <w:rPr>
          <w:sz w:val="24"/>
        </w:rPr>
        <w:t>disposal</w:t>
      </w:r>
      <w:r>
        <w:rPr>
          <w:spacing w:val="-1"/>
          <w:sz w:val="24"/>
        </w:rPr>
        <w:t> </w:t>
      </w:r>
      <w:r>
        <w:rPr>
          <w:spacing w:val="-2"/>
          <w:sz w:val="24"/>
        </w:rPr>
        <w:t>instructions?</w:t>
      </w:r>
    </w:p>
    <w:p>
      <w:pPr>
        <w:spacing w:before="18"/>
        <w:ind w:left="2280" w:right="0" w:firstLine="0"/>
        <w:jc w:val="left"/>
        <w:rPr>
          <w:sz w:val="28"/>
        </w:rPr>
      </w:pPr>
      <w:r>
        <w:rPr>
          <w:spacing w:val="-5"/>
          <w:sz w:val="28"/>
        </w:rPr>
        <w:t>Yes</w:t>
      </w:r>
    </w:p>
    <w:p>
      <w:pPr>
        <w:pStyle w:val="ListParagraph"/>
        <w:numPr>
          <w:ilvl w:val="2"/>
          <w:numId w:val="38"/>
        </w:numPr>
        <w:tabs>
          <w:tab w:pos="2279" w:val="left" w:leader="none"/>
        </w:tabs>
        <w:spacing w:line="240" w:lineRule="auto" w:before="22" w:after="0"/>
        <w:ind w:left="2279" w:right="0" w:hanging="271"/>
        <w:jc w:val="left"/>
        <w:rPr>
          <w:sz w:val="24"/>
        </w:rPr>
      </w:pPr>
      <w:r>
        <w:rPr>
          <w:sz w:val="24"/>
        </w:rPr>
        <w:t>Compare</w:t>
      </w:r>
      <w:r>
        <w:rPr>
          <w:spacing w:val="-2"/>
          <w:sz w:val="24"/>
        </w:rPr>
        <w:t> </w:t>
      </w:r>
      <w:r>
        <w:rPr>
          <w:sz w:val="24"/>
        </w:rPr>
        <w:t>MaineDOT</w:t>
      </w:r>
      <w:r>
        <w:rPr>
          <w:spacing w:val="-1"/>
          <w:sz w:val="24"/>
        </w:rPr>
        <w:t> </w:t>
      </w:r>
      <w:r>
        <w:rPr>
          <w:sz w:val="24"/>
        </w:rPr>
        <w:t>list</w:t>
      </w:r>
      <w:r>
        <w:rPr>
          <w:spacing w:val="-1"/>
          <w:sz w:val="24"/>
        </w:rPr>
        <w:t> </w:t>
      </w:r>
      <w:r>
        <w:rPr>
          <w:sz w:val="24"/>
        </w:rPr>
        <w:t>with</w:t>
      </w:r>
      <w:r>
        <w:rPr>
          <w:spacing w:val="1"/>
          <w:sz w:val="24"/>
        </w:rPr>
        <w:t> </w:t>
      </w:r>
      <w:r>
        <w:rPr>
          <w:sz w:val="24"/>
        </w:rPr>
        <w:t>provider</w:t>
      </w:r>
      <w:r>
        <w:rPr>
          <w:spacing w:val="-2"/>
          <w:sz w:val="24"/>
        </w:rPr>
        <w:t> </w:t>
      </w:r>
      <w:r>
        <w:rPr>
          <w:sz w:val="24"/>
        </w:rPr>
        <w:t>list.</w:t>
      </w:r>
      <w:r>
        <w:rPr>
          <w:spacing w:val="-3"/>
          <w:sz w:val="24"/>
        </w:rPr>
        <w:t> </w:t>
      </w:r>
      <w:r>
        <w:rPr>
          <w:sz w:val="24"/>
        </w:rPr>
        <w:t>N/A</w:t>
      </w:r>
      <w:r>
        <w:rPr>
          <w:spacing w:val="-3"/>
          <w:sz w:val="24"/>
        </w:rPr>
        <w:t> </w:t>
      </w:r>
      <w:r>
        <w:rPr>
          <w:sz w:val="24"/>
        </w:rPr>
        <w:t>at</w:t>
      </w:r>
      <w:r>
        <w:rPr>
          <w:spacing w:val="-1"/>
          <w:sz w:val="24"/>
        </w:rPr>
        <w:t> </w:t>
      </w:r>
      <w:r>
        <w:rPr>
          <w:sz w:val="24"/>
        </w:rPr>
        <w:t>this</w:t>
      </w:r>
      <w:r>
        <w:rPr>
          <w:spacing w:val="-2"/>
          <w:sz w:val="24"/>
        </w:rPr>
        <w:t> </w:t>
      </w:r>
      <w:r>
        <w:rPr>
          <w:spacing w:val="-4"/>
          <w:sz w:val="24"/>
        </w:rPr>
        <w:t>time</w:t>
      </w:r>
    </w:p>
    <w:p>
      <w:pPr>
        <w:pStyle w:val="Heading5"/>
        <w:numPr>
          <w:ilvl w:val="0"/>
          <w:numId w:val="38"/>
        </w:numPr>
        <w:tabs>
          <w:tab w:pos="1361" w:val="left" w:leader="none"/>
        </w:tabs>
        <w:spacing w:line="240" w:lineRule="auto" w:before="27" w:after="0"/>
        <w:ind w:left="1361" w:right="0" w:hanging="358"/>
        <w:jc w:val="left"/>
        <w:rPr>
          <w:color w:val="2D74B5"/>
        </w:rPr>
      </w:pPr>
      <w:r>
        <w:rPr>
          <w:color w:val="2D74B5"/>
          <w:spacing w:val="-2"/>
        </w:rPr>
        <w:t>Maintenance</w:t>
      </w:r>
    </w:p>
    <w:p>
      <w:pPr>
        <w:pStyle w:val="ListParagraph"/>
        <w:numPr>
          <w:ilvl w:val="1"/>
          <w:numId w:val="38"/>
        </w:numPr>
        <w:tabs>
          <w:tab w:pos="1992" w:val="left" w:leader="none"/>
          <w:tab w:pos="3431" w:val="left" w:leader="none"/>
        </w:tabs>
        <w:spacing w:line="259" w:lineRule="auto" w:before="25" w:after="0"/>
        <w:ind w:left="1992" w:right="1208" w:hanging="360"/>
        <w:jc w:val="left"/>
        <w:rPr>
          <w:sz w:val="24"/>
        </w:rPr>
      </w:pPr>
      <w:r>
        <w:rPr>
          <w:sz w:val="24"/>
        </w:rPr>
        <w:t>Do</w:t>
      </w:r>
      <w:r>
        <w:rPr>
          <w:spacing w:val="-2"/>
          <w:sz w:val="24"/>
        </w:rPr>
        <w:t> </w:t>
      </w:r>
      <w:r>
        <w:rPr>
          <w:sz w:val="24"/>
        </w:rPr>
        <w:t>you</w:t>
      </w:r>
      <w:r>
        <w:rPr>
          <w:spacing w:val="-2"/>
          <w:sz w:val="24"/>
        </w:rPr>
        <w:t> </w:t>
      </w:r>
      <w:r>
        <w:rPr>
          <w:sz w:val="24"/>
        </w:rPr>
        <w:t>have</w:t>
      </w:r>
      <w:r>
        <w:rPr>
          <w:spacing w:val="-2"/>
          <w:sz w:val="24"/>
        </w:rPr>
        <w:t> </w:t>
      </w:r>
      <w:r>
        <w:rPr>
          <w:sz w:val="24"/>
        </w:rPr>
        <w:t>a</w:t>
      </w:r>
      <w:r>
        <w:rPr>
          <w:spacing w:val="-5"/>
          <w:sz w:val="24"/>
        </w:rPr>
        <w:t> </w:t>
      </w:r>
      <w:r>
        <w:rPr>
          <w:sz w:val="24"/>
        </w:rPr>
        <w:t>written</w:t>
      </w:r>
      <w:r>
        <w:rPr>
          <w:spacing w:val="-2"/>
          <w:sz w:val="24"/>
        </w:rPr>
        <w:t> </w:t>
      </w:r>
      <w:r>
        <w:rPr>
          <w:sz w:val="24"/>
        </w:rPr>
        <w:t>maintenance</w:t>
      </w:r>
      <w:r>
        <w:rPr>
          <w:spacing w:val="-4"/>
          <w:sz w:val="24"/>
        </w:rPr>
        <w:t> </w:t>
      </w:r>
      <w:r>
        <w:rPr>
          <w:sz w:val="24"/>
        </w:rPr>
        <w:t>plan</w:t>
      </w:r>
      <w:r>
        <w:rPr>
          <w:spacing w:val="-4"/>
          <w:sz w:val="24"/>
        </w:rPr>
        <w:t> </w:t>
      </w:r>
      <w:r>
        <w:rPr>
          <w:sz w:val="24"/>
        </w:rPr>
        <w:t>for</w:t>
      </w:r>
      <w:r>
        <w:rPr>
          <w:spacing w:val="-5"/>
          <w:sz w:val="24"/>
        </w:rPr>
        <w:t> </w:t>
      </w:r>
      <w:r>
        <w:rPr>
          <w:sz w:val="24"/>
        </w:rPr>
        <w:t>all</w:t>
      </w:r>
      <w:r>
        <w:rPr>
          <w:spacing w:val="-2"/>
          <w:sz w:val="24"/>
        </w:rPr>
        <w:t> </w:t>
      </w:r>
      <w:r>
        <w:rPr>
          <w:sz w:val="24"/>
        </w:rPr>
        <w:t>assets:</w:t>
      </w:r>
      <w:r>
        <w:rPr>
          <w:spacing w:val="40"/>
          <w:sz w:val="24"/>
        </w:rPr>
        <w:t> </w:t>
      </w:r>
      <w:r>
        <w:rPr>
          <w:sz w:val="24"/>
        </w:rPr>
        <w:t>vehicles/vessels,</w:t>
      </w:r>
      <w:r>
        <w:rPr>
          <w:spacing w:val="-2"/>
          <w:sz w:val="24"/>
        </w:rPr>
        <w:t> </w:t>
      </w:r>
      <w:r>
        <w:rPr>
          <w:sz w:val="24"/>
        </w:rPr>
        <w:t>facilities, </w:t>
      </w:r>
      <w:r>
        <w:rPr>
          <w:spacing w:val="-2"/>
          <w:sz w:val="24"/>
        </w:rPr>
        <w:t>equipment?</w:t>
      </w:r>
      <w:r>
        <w:rPr>
          <w:sz w:val="24"/>
        </w:rPr>
        <w:tab/>
      </w:r>
      <w:r>
        <w:rPr>
          <w:spacing w:val="-4"/>
          <w:sz w:val="28"/>
        </w:rPr>
        <w:t>Yes</w:t>
      </w:r>
    </w:p>
    <w:p>
      <w:pPr>
        <w:pStyle w:val="ListParagraph"/>
        <w:numPr>
          <w:ilvl w:val="1"/>
          <w:numId w:val="38"/>
        </w:numPr>
        <w:tabs>
          <w:tab w:pos="1991" w:val="left" w:leader="none"/>
        </w:tabs>
        <w:spacing w:line="291" w:lineRule="exact" w:before="0" w:after="0"/>
        <w:ind w:left="1991" w:right="0" w:hanging="359"/>
        <w:jc w:val="left"/>
        <w:rPr>
          <w:sz w:val="24"/>
        </w:rPr>
      </w:pPr>
      <w:r>
        <w:rPr>
          <w:sz w:val="24"/>
        </w:rPr>
        <w:t>Are</w:t>
      </w:r>
      <w:r>
        <w:rPr>
          <w:spacing w:val="-1"/>
          <w:sz w:val="24"/>
        </w:rPr>
        <w:t> </w:t>
      </w:r>
      <w:r>
        <w:rPr>
          <w:sz w:val="24"/>
        </w:rPr>
        <w:t>items</w:t>
      </w:r>
      <w:r>
        <w:rPr>
          <w:spacing w:val="-2"/>
          <w:sz w:val="24"/>
        </w:rPr>
        <w:t> </w:t>
      </w:r>
      <w:r>
        <w:rPr>
          <w:sz w:val="24"/>
        </w:rPr>
        <w:t>such as</w:t>
      </w:r>
      <w:r>
        <w:rPr>
          <w:spacing w:val="-4"/>
          <w:sz w:val="24"/>
        </w:rPr>
        <w:t> </w:t>
      </w:r>
      <w:r>
        <w:rPr>
          <w:sz w:val="24"/>
        </w:rPr>
        <w:t>bus</w:t>
      </w:r>
      <w:r>
        <w:rPr>
          <w:spacing w:val="-4"/>
          <w:sz w:val="24"/>
        </w:rPr>
        <w:t> </w:t>
      </w:r>
      <w:r>
        <w:rPr>
          <w:sz w:val="24"/>
        </w:rPr>
        <w:t>wash,</w:t>
      </w:r>
      <w:r>
        <w:rPr>
          <w:spacing w:val="-1"/>
          <w:sz w:val="24"/>
        </w:rPr>
        <w:t> </w:t>
      </w:r>
      <w:r>
        <w:rPr>
          <w:sz w:val="24"/>
        </w:rPr>
        <w:t>lifts, etc.</w:t>
      </w:r>
      <w:r>
        <w:rPr>
          <w:spacing w:val="-2"/>
          <w:sz w:val="24"/>
        </w:rPr>
        <w:t> </w:t>
      </w:r>
      <w:r>
        <w:rPr>
          <w:sz w:val="24"/>
        </w:rPr>
        <w:t>included in your</w:t>
      </w:r>
      <w:r>
        <w:rPr>
          <w:spacing w:val="-4"/>
          <w:sz w:val="24"/>
        </w:rPr>
        <w:t> </w:t>
      </w:r>
      <w:r>
        <w:rPr>
          <w:sz w:val="24"/>
        </w:rPr>
        <w:t>facility</w:t>
      </w:r>
      <w:r>
        <w:rPr>
          <w:spacing w:val="-2"/>
          <w:sz w:val="24"/>
        </w:rPr>
        <w:t> </w:t>
      </w:r>
      <w:r>
        <w:rPr>
          <w:sz w:val="24"/>
        </w:rPr>
        <w:t>maintenance</w:t>
      </w:r>
      <w:r>
        <w:rPr>
          <w:spacing w:val="-2"/>
          <w:sz w:val="24"/>
        </w:rPr>
        <w:t> plan?</w:t>
      </w:r>
    </w:p>
    <w:p>
      <w:pPr>
        <w:spacing w:before="27"/>
        <w:ind w:left="1903" w:right="0" w:firstLine="0"/>
        <w:jc w:val="left"/>
        <w:rPr>
          <w:sz w:val="28"/>
        </w:rPr>
      </w:pPr>
      <w:r>
        <w:rPr>
          <w:spacing w:val="-5"/>
          <w:sz w:val="28"/>
        </w:rPr>
        <w:t>Yes</w:t>
      </w:r>
    </w:p>
    <w:p>
      <w:pPr>
        <w:spacing w:after="0"/>
        <w:jc w:val="left"/>
        <w:rPr>
          <w:sz w:val="28"/>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59360">
            <wp:simplePos x="0" y="0"/>
            <wp:positionH relativeFrom="page">
              <wp:posOffset>731520</wp:posOffset>
            </wp:positionH>
            <wp:positionV relativeFrom="paragraph">
              <wp:posOffset>-111196</wp:posOffset>
            </wp:positionV>
            <wp:extent cx="1523706" cy="426719"/>
            <wp:effectExtent l="0" t="0" r="0" b="0"/>
            <wp:wrapNone/>
            <wp:docPr id="163" name="Image 163">
              <a:hlinkClick r:id="rId80"/>
            </wp:docPr>
            <wp:cNvGraphicFramePr>
              <a:graphicFrameLocks/>
            </wp:cNvGraphicFramePr>
            <a:graphic>
              <a:graphicData uri="http://schemas.openxmlformats.org/drawingml/2006/picture">
                <pic:pic>
                  <pic:nvPicPr>
                    <pic:cNvPr id="163" name="Image 163">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8048">
                <wp:simplePos x="0" y="0"/>
                <wp:positionH relativeFrom="page">
                  <wp:posOffset>713231</wp:posOffset>
                </wp:positionH>
                <wp:positionV relativeFrom="paragraph">
                  <wp:posOffset>216706</wp:posOffset>
                </wp:positionV>
                <wp:extent cx="6346190" cy="74930"/>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6346190" cy="74930"/>
                          <a:chExt cx="6346190" cy="74930"/>
                        </a:xfrm>
                      </wpg:grpSpPr>
                      <wps:wsp>
                        <wps:cNvPr id="165" name="Graphic 165"/>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66" name="Graphic 166"/>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67" name="Graphic 167"/>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8432;mso-wrap-distance-left:0;mso-wrap-distance-right:0" id="docshapegroup123" coordorigin="1123,341" coordsize="9994,118">
                <v:rect style="position:absolute;left:1123;top:430;width:9994;height:29" id="docshape124" filled="true" fillcolor="#c0c0c0" stroked="false">
                  <v:fill type="solid"/>
                </v:rect>
                <v:rect style="position:absolute;left:1123;top:370;width:9994;height:60" id="docshape125" filled="true" fillcolor="#5f5f5f" stroked="false">
                  <v:fill type="solid"/>
                </v:rect>
                <v:rect style="position:absolute;left:1123;top:341;width:9994;height:29" id="docshape126" filled="true" fillcolor="#000000" stroked="false">
                  <v:fill type="solid"/>
                </v:rect>
                <w10:wrap type="topAndBottom"/>
              </v:group>
            </w:pict>
          </mc:Fallback>
        </mc:AlternateContent>
      </w:r>
    </w:p>
    <w:p>
      <w:pPr>
        <w:pStyle w:val="ListParagraph"/>
        <w:numPr>
          <w:ilvl w:val="1"/>
          <w:numId w:val="38"/>
        </w:numPr>
        <w:tabs>
          <w:tab w:pos="1992" w:val="left" w:leader="none"/>
        </w:tabs>
        <w:spacing w:line="261" w:lineRule="auto" w:before="2" w:after="0"/>
        <w:ind w:left="1992" w:right="1121" w:hanging="360"/>
        <w:jc w:val="left"/>
        <w:rPr>
          <w:sz w:val="24"/>
        </w:rPr>
      </w:pPr>
      <w:r>
        <w:rPr>
          <w:sz w:val="24"/>
        </w:rPr>
        <w:t>Are</w:t>
      </w:r>
      <w:r>
        <w:rPr>
          <w:spacing w:val="-3"/>
          <w:sz w:val="24"/>
        </w:rPr>
        <w:t> </w:t>
      </w:r>
      <w:r>
        <w:rPr>
          <w:sz w:val="24"/>
        </w:rPr>
        <w:t>maintenance</w:t>
      </w:r>
      <w:r>
        <w:rPr>
          <w:spacing w:val="-5"/>
          <w:sz w:val="24"/>
        </w:rPr>
        <w:t> </w:t>
      </w:r>
      <w:r>
        <w:rPr>
          <w:sz w:val="24"/>
        </w:rPr>
        <w:t>intervals</w:t>
      </w:r>
      <w:r>
        <w:rPr>
          <w:spacing w:val="-4"/>
          <w:sz w:val="24"/>
        </w:rPr>
        <w:t> </w:t>
      </w:r>
      <w:r>
        <w:rPr>
          <w:sz w:val="24"/>
        </w:rPr>
        <w:t>and</w:t>
      </w:r>
      <w:r>
        <w:rPr>
          <w:spacing w:val="-5"/>
          <w:sz w:val="24"/>
        </w:rPr>
        <w:t> </w:t>
      </w:r>
      <w:r>
        <w:rPr>
          <w:sz w:val="24"/>
        </w:rPr>
        <w:t>inspections</w:t>
      </w:r>
      <w:r>
        <w:rPr>
          <w:spacing w:val="-6"/>
          <w:sz w:val="24"/>
        </w:rPr>
        <w:t> </w:t>
      </w:r>
      <w:r>
        <w:rPr>
          <w:sz w:val="24"/>
        </w:rPr>
        <w:t>followed</w:t>
      </w:r>
      <w:r>
        <w:rPr>
          <w:spacing w:val="-3"/>
          <w:sz w:val="24"/>
        </w:rPr>
        <w:t> </w:t>
      </w:r>
      <w:r>
        <w:rPr>
          <w:sz w:val="24"/>
        </w:rPr>
        <w:t>according</w:t>
      </w:r>
      <w:r>
        <w:rPr>
          <w:spacing w:val="-6"/>
          <w:sz w:val="24"/>
        </w:rPr>
        <w:t> </w:t>
      </w:r>
      <w:r>
        <w:rPr>
          <w:sz w:val="24"/>
        </w:rPr>
        <w:t>to</w:t>
      </w:r>
      <w:r>
        <w:rPr>
          <w:spacing w:val="-5"/>
          <w:sz w:val="24"/>
        </w:rPr>
        <w:t> </w:t>
      </w:r>
      <w:r>
        <w:rPr>
          <w:sz w:val="24"/>
        </w:rPr>
        <w:t>the</w:t>
      </w:r>
      <w:r>
        <w:rPr>
          <w:spacing w:val="-3"/>
          <w:sz w:val="24"/>
        </w:rPr>
        <w:t> </w:t>
      </w:r>
      <w:r>
        <w:rPr>
          <w:sz w:val="24"/>
        </w:rPr>
        <w:t>maintenance plan?</w:t>
      </w:r>
      <w:r>
        <w:rPr>
          <w:spacing w:val="80"/>
          <w:sz w:val="24"/>
        </w:rPr>
        <w:t> </w:t>
      </w:r>
      <w:r>
        <w:rPr>
          <w:sz w:val="28"/>
        </w:rPr>
        <w:t>Yes</w:t>
      </w:r>
    </w:p>
    <w:p>
      <w:pPr>
        <w:pStyle w:val="ListParagraph"/>
        <w:numPr>
          <w:ilvl w:val="1"/>
          <w:numId w:val="38"/>
        </w:numPr>
        <w:tabs>
          <w:tab w:pos="1903" w:val="left" w:leader="none"/>
          <w:tab w:pos="1989" w:val="left" w:leader="none"/>
        </w:tabs>
        <w:spacing w:line="259" w:lineRule="auto" w:before="0" w:after="0"/>
        <w:ind w:left="1903" w:right="1225" w:hanging="272"/>
        <w:jc w:val="left"/>
        <w:rPr>
          <w:b/>
          <w:sz w:val="24"/>
        </w:rPr>
      </w:pPr>
      <w:r>
        <w:rPr>
          <w:rFonts w:ascii="Times New Roman" w:hAnsi="Times New Roman"/>
          <w:b/>
          <w:sz w:val="24"/>
        </w:rPr>
        <w:tab/>
      </w:r>
      <w:r>
        <w:rPr>
          <w:sz w:val="24"/>
        </w:rPr>
        <w:t>Discuss your agency’s system for identifying and tracking warranty claims. Warranty</w:t>
      </w:r>
      <w:r>
        <w:rPr>
          <w:spacing w:val="-7"/>
          <w:sz w:val="24"/>
        </w:rPr>
        <w:t> </w:t>
      </w:r>
      <w:r>
        <w:rPr>
          <w:sz w:val="24"/>
        </w:rPr>
        <w:t>claims</w:t>
      </w:r>
      <w:r>
        <w:rPr>
          <w:spacing w:val="-4"/>
          <w:sz w:val="24"/>
        </w:rPr>
        <w:t> </w:t>
      </w:r>
      <w:r>
        <w:rPr>
          <w:sz w:val="24"/>
        </w:rPr>
        <w:t>are</w:t>
      </w:r>
      <w:r>
        <w:rPr>
          <w:spacing w:val="-5"/>
          <w:sz w:val="24"/>
        </w:rPr>
        <w:t> </w:t>
      </w:r>
      <w:r>
        <w:rPr>
          <w:sz w:val="24"/>
        </w:rPr>
        <w:t>identified</w:t>
      </w:r>
      <w:r>
        <w:rPr>
          <w:spacing w:val="-2"/>
          <w:sz w:val="24"/>
        </w:rPr>
        <w:t> </w:t>
      </w:r>
      <w:r>
        <w:rPr>
          <w:sz w:val="24"/>
        </w:rPr>
        <w:t>and</w:t>
      </w:r>
      <w:r>
        <w:rPr>
          <w:spacing w:val="-5"/>
          <w:sz w:val="24"/>
        </w:rPr>
        <w:t> </w:t>
      </w:r>
      <w:r>
        <w:rPr>
          <w:sz w:val="24"/>
        </w:rPr>
        <w:t>tracked</w:t>
      </w:r>
      <w:r>
        <w:rPr>
          <w:spacing w:val="-5"/>
          <w:sz w:val="24"/>
        </w:rPr>
        <w:t> </w:t>
      </w:r>
      <w:r>
        <w:rPr>
          <w:sz w:val="24"/>
        </w:rPr>
        <w:t>through</w:t>
      </w:r>
      <w:r>
        <w:rPr>
          <w:spacing w:val="-2"/>
          <w:sz w:val="24"/>
        </w:rPr>
        <w:t> </w:t>
      </w:r>
      <w:r>
        <w:rPr>
          <w:sz w:val="24"/>
        </w:rPr>
        <w:t>of</w:t>
      </w:r>
      <w:r>
        <w:rPr>
          <w:spacing w:val="-2"/>
          <w:sz w:val="24"/>
        </w:rPr>
        <w:t> </w:t>
      </w:r>
      <w:r>
        <w:rPr>
          <w:sz w:val="24"/>
        </w:rPr>
        <w:t>fleet</w:t>
      </w:r>
      <w:r>
        <w:rPr>
          <w:spacing w:val="-5"/>
          <w:sz w:val="24"/>
        </w:rPr>
        <w:t> </w:t>
      </w:r>
      <w:r>
        <w:rPr>
          <w:sz w:val="24"/>
        </w:rPr>
        <w:t>maintenance</w:t>
      </w:r>
      <w:r>
        <w:rPr>
          <w:spacing w:val="-5"/>
          <w:sz w:val="24"/>
        </w:rPr>
        <w:t> </w:t>
      </w:r>
      <w:r>
        <w:rPr>
          <w:sz w:val="24"/>
        </w:rPr>
        <w:t>software </w:t>
      </w:r>
      <w:r>
        <w:rPr>
          <w:spacing w:val="-2"/>
          <w:sz w:val="24"/>
        </w:rPr>
        <w:t>(RTA)</w:t>
      </w:r>
    </w:p>
    <w:p>
      <w:pPr>
        <w:pStyle w:val="BodyText"/>
        <w:spacing w:before="7"/>
        <w:rPr>
          <w:sz w:val="25"/>
        </w:rPr>
      </w:pPr>
    </w:p>
    <w:p>
      <w:pPr>
        <w:pStyle w:val="Heading5"/>
        <w:numPr>
          <w:ilvl w:val="0"/>
          <w:numId w:val="38"/>
        </w:numPr>
        <w:tabs>
          <w:tab w:pos="1458" w:val="left" w:leader="none"/>
        </w:tabs>
        <w:spacing w:line="240" w:lineRule="auto" w:before="0" w:after="0"/>
        <w:ind w:left="1458" w:right="0" w:hanging="547"/>
        <w:jc w:val="left"/>
        <w:rPr>
          <w:color w:val="2D74B5"/>
        </w:rPr>
      </w:pPr>
      <w:r>
        <w:rPr>
          <w:color w:val="2D74B5"/>
          <w:spacing w:val="-2"/>
        </w:rPr>
        <w:t>Procurement</w:t>
      </w:r>
    </w:p>
    <w:p>
      <w:pPr>
        <w:pStyle w:val="ListParagraph"/>
        <w:numPr>
          <w:ilvl w:val="1"/>
          <w:numId w:val="38"/>
        </w:numPr>
        <w:tabs>
          <w:tab w:pos="1991" w:val="left" w:leader="none"/>
        </w:tabs>
        <w:spacing w:line="259" w:lineRule="auto" w:before="23" w:after="0"/>
        <w:ind w:left="1991" w:right="691" w:hanging="360"/>
        <w:jc w:val="left"/>
        <w:rPr>
          <w:sz w:val="24"/>
        </w:rPr>
      </w:pPr>
      <w:r>
        <w:rPr>
          <w:sz w:val="24"/>
        </w:rPr>
        <w:t>Do</w:t>
      </w:r>
      <w:r>
        <w:rPr>
          <w:spacing w:val="-3"/>
          <w:sz w:val="24"/>
        </w:rPr>
        <w:t> </w:t>
      </w:r>
      <w:r>
        <w:rPr>
          <w:sz w:val="24"/>
        </w:rPr>
        <w:t>you</w:t>
      </w:r>
      <w:r>
        <w:rPr>
          <w:spacing w:val="-2"/>
          <w:sz w:val="24"/>
        </w:rPr>
        <w:t> </w:t>
      </w:r>
      <w:r>
        <w:rPr>
          <w:sz w:val="24"/>
        </w:rPr>
        <w:t>have</w:t>
      </w:r>
      <w:r>
        <w:rPr>
          <w:spacing w:val="-3"/>
          <w:sz w:val="24"/>
        </w:rPr>
        <w:t> </w:t>
      </w:r>
      <w:r>
        <w:rPr>
          <w:sz w:val="24"/>
        </w:rPr>
        <w:t>written</w:t>
      </w:r>
      <w:r>
        <w:rPr>
          <w:spacing w:val="-5"/>
          <w:sz w:val="24"/>
        </w:rPr>
        <w:t> </w:t>
      </w:r>
      <w:r>
        <w:rPr>
          <w:sz w:val="24"/>
        </w:rPr>
        <w:t>procurement/purchasing</w:t>
      </w:r>
      <w:r>
        <w:rPr>
          <w:spacing w:val="-6"/>
          <w:sz w:val="24"/>
        </w:rPr>
        <w:t> </w:t>
      </w:r>
      <w:r>
        <w:rPr>
          <w:sz w:val="24"/>
        </w:rPr>
        <w:t>policies?</w:t>
      </w:r>
      <w:r>
        <w:rPr>
          <w:spacing w:val="-5"/>
          <w:sz w:val="24"/>
        </w:rPr>
        <w:t> </w:t>
      </w:r>
      <w:r>
        <w:rPr>
          <w:sz w:val="24"/>
        </w:rPr>
        <w:t>Yes</w:t>
      </w:r>
      <w:r>
        <w:rPr>
          <w:spacing w:val="40"/>
          <w:sz w:val="24"/>
        </w:rPr>
        <w:t> </w:t>
      </w:r>
      <w:r>
        <w:rPr>
          <w:sz w:val="24"/>
        </w:rPr>
        <w:t>Have</w:t>
      </w:r>
      <w:r>
        <w:rPr>
          <w:spacing w:val="-5"/>
          <w:sz w:val="24"/>
        </w:rPr>
        <w:t> </w:t>
      </w:r>
      <w:r>
        <w:rPr>
          <w:sz w:val="24"/>
        </w:rPr>
        <w:t>they</w:t>
      </w:r>
      <w:r>
        <w:rPr>
          <w:spacing w:val="-4"/>
          <w:sz w:val="24"/>
        </w:rPr>
        <w:t> </w:t>
      </w:r>
      <w:r>
        <w:rPr>
          <w:sz w:val="24"/>
        </w:rPr>
        <w:t>been</w:t>
      </w:r>
      <w:r>
        <w:rPr>
          <w:spacing w:val="-2"/>
          <w:sz w:val="24"/>
        </w:rPr>
        <w:t> </w:t>
      </w:r>
      <w:r>
        <w:rPr>
          <w:sz w:val="24"/>
        </w:rPr>
        <w:t>submitted to MaineDOT?</w:t>
      </w:r>
      <w:r>
        <w:rPr>
          <w:spacing w:val="40"/>
          <w:sz w:val="24"/>
        </w:rPr>
        <w:t> </w:t>
      </w:r>
      <w:r>
        <w:rPr>
          <w:sz w:val="24"/>
        </w:rPr>
        <w:t>Yes When were they last revised?</w:t>
      </w:r>
      <w:r>
        <w:rPr>
          <w:spacing w:val="40"/>
          <w:sz w:val="24"/>
        </w:rPr>
        <w:t> </w:t>
      </w:r>
      <w:r>
        <w:rPr>
          <w:sz w:val="24"/>
        </w:rPr>
        <w:t>2010</w:t>
      </w:r>
    </w:p>
    <w:p>
      <w:pPr>
        <w:pStyle w:val="ListParagraph"/>
        <w:numPr>
          <w:ilvl w:val="2"/>
          <w:numId w:val="38"/>
        </w:numPr>
        <w:tabs>
          <w:tab w:pos="2263" w:val="left" w:leader="none"/>
        </w:tabs>
        <w:spacing w:line="240" w:lineRule="auto" w:before="1" w:after="0"/>
        <w:ind w:left="2263" w:right="0" w:hanging="272"/>
        <w:jc w:val="left"/>
        <w:rPr>
          <w:sz w:val="24"/>
        </w:rPr>
      </w:pPr>
      <w:r>
        <w:rPr>
          <w:sz w:val="24"/>
        </w:rPr>
        <w:t>Does</w:t>
      </w:r>
      <w:r>
        <w:rPr>
          <w:spacing w:val="-6"/>
          <w:sz w:val="24"/>
        </w:rPr>
        <w:t> </w:t>
      </w:r>
      <w:r>
        <w:rPr>
          <w:sz w:val="24"/>
        </w:rPr>
        <w:t>the</w:t>
      </w:r>
      <w:r>
        <w:rPr>
          <w:spacing w:val="-3"/>
          <w:sz w:val="24"/>
        </w:rPr>
        <w:t> </w:t>
      </w:r>
      <w:r>
        <w:rPr>
          <w:sz w:val="24"/>
        </w:rPr>
        <w:t>policy</w:t>
      </w:r>
      <w:r>
        <w:rPr>
          <w:spacing w:val="-2"/>
          <w:sz w:val="24"/>
        </w:rPr>
        <w:t> </w:t>
      </w:r>
      <w:r>
        <w:rPr>
          <w:sz w:val="24"/>
        </w:rPr>
        <w:t>reflect FTA</w:t>
      </w:r>
      <w:r>
        <w:rPr>
          <w:spacing w:val="-1"/>
          <w:sz w:val="24"/>
        </w:rPr>
        <w:t> </w:t>
      </w:r>
      <w:r>
        <w:rPr>
          <w:sz w:val="24"/>
        </w:rPr>
        <w:t>rules</w:t>
      </w:r>
      <w:r>
        <w:rPr>
          <w:spacing w:val="-1"/>
          <w:sz w:val="24"/>
        </w:rPr>
        <w:t> </w:t>
      </w:r>
      <w:r>
        <w:rPr>
          <w:sz w:val="24"/>
        </w:rPr>
        <w:t>and</w:t>
      </w:r>
      <w:r>
        <w:rPr>
          <w:spacing w:val="-3"/>
          <w:sz w:val="24"/>
        </w:rPr>
        <w:t> </w:t>
      </w:r>
      <w:r>
        <w:rPr>
          <w:sz w:val="24"/>
        </w:rPr>
        <w:t>2CFR</w:t>
      </w:r>
      <w:r>
        <w:rPr>
          <w:spacing w:val="-2"/>
          <w:sz w:val="24"/>
        </w:rPr>
        <w:t> </w:t>
      </w:r>
      <w:r>
        <w:rPr>
          <w:sz w:val="24"/>
        </w:rPr>
        <w:t>Part 200-Uniform</w:t>
      </w:r>
      <w:r>
        <w:rPr>
          <w:spacing w:val="-3"/>
          <w:sz w:val="24"/>
        </w:rPr>
        <w:t> </w:t>
      </w:r>
      <w:r>
        <w:rPr>
          <w:spacing w:val="-2"/>
          <w:sz w:val="24"/>
        </w:rPr>
        <w:t>Guidance?</w:t>
      </w:r>
    </w:p>
    <w:p>
      <w:pPr>
        <w:spacing w:before="24"/>
        <w:ind w:left="2263" w:right="0" w:firstLine="0"/>
        <w:jc w:val="left"/>
        <w:rPr>
          <w:sz w:val="28"/>
        </w:rPr>
      </w:pPr>
      <w:r>
        <w:rPr>
          <w:spacing w:val="-5"/>
          <w:sz w:val="28"/>
        </w:rPr>
        <w:t>Yes</w:t>
      </w:r>
    </w:p>
    <w:p>
      <w:pPr>
        <w:pStyle w:val="ListParagraph"/>
        <w:numPr>
          <w:ilvl w:val="2"/>
          <w:numId w:val="38"/>
        </w:numPr>
        <w:tabs>
          <w:tab w:pos="2261" w:val="left" w:leader="none"/>
        </w:tabs>
        <w:spacing w:line="240" w:lineRule="auto" w:before="25" w:after="0"/>
        <w:ind w:left="2261" w:right="0" w:hanging="270"/>
        <w:jc w:val="both"/>
        <w:rPr>
          <w:sz w:val="24"/>
        </w:rPr>
      </w:pPr>
      <w:r>
        <w:rPr>
          <w:sz w:val="24"/>
        </w:rPr>
        <w:t>Does</w:t>
      </w:r>
      <w:r>
        <w:rPr>
          <w:spacing w:val="-4"/>
          <w:sz w:val="24"/>
        </w:rPr>
        <w:t> </w:t>
      </w:r>
      <w:r>
        <w:rPr>
          <w:sz w:val="24"/>
        </w:rPr>
        <w:t>the</w:t>
      </w:r>
      <w:r>
        <w:rPr>
          <w:spacing w:val="-3"/>
          <w:sz w:val="24"/>
        </w:rPr>
        <w:t> </w:t>
      </w:r>
      <w:r>
        <w:rPr>
          <w:sz w:val="24"/>
        </w:rPr>
        <w:t>policy</w:t>
      </w:r>
      <w:r>
        <w:rPr>
          <w:spacing w:val="-2"/>
          <w:sz w:val="24"/>
        </w:rPr>
        <w:t> </w:t>
      </w:r>
      <w:r>
        <w:rPr>
          <w:sz w:val="24"/>
        </w:rPr>
        <w:t>contain</w:t>
      </w:r>
      <w:r>
        <w:rPr>
          <w:spacing w:val="-3"/>
          <w:sz w:val="24"/>
        </w:rPr>
        <w:t> </w:t>
      </w:r>
      <w:r>
        <w:rPr>
          <w:sz w:val="24"/>
        </w:rPr>
        <w:t>protest/dispute</w:t>
      </w:r>
      <w:r>
        <w:rPr>
          <w:spacing w:val="-4"/>
          <w:sz w:val="24"/>
        </w:rPr>
        <w:t> </w:t>
      </w:r>
      <w:r>
        <w:rPr>
          <w:sz w:val="24"/>
        </w:rPr>
        <w:t>procedures?</w:t>
      </w:r>
      <w:r>
        <w:rPr>
          <w:spacing w:val="51"/>
          <w:sz w:val="24"/>
        </w:rPr>
        <w:t> </w:t>
      </w:r>
      <w:r>
        <w:rPr>
          <w:spacing w:val="-5"/>
          <w:sz w:val="24"/>
        </w:rPr>
        <w:t>Yes</w:t>
      </w:r>
    </w:p>
    <w:p>
      <w:pPr>
        <w:pStyle w:val="ListParagraph"/>
        <w:numPr>
          <w:ilvl w:val="2"/>
          <w:numId w:val="38"/>
        </w:numPr>
        <w:tabs>
          <w:tab w:pos="2261" w:val="left" w:leader="none"/>
        </w:tabs>
        <w:spacing w:line="240" w:lineRule="auto" w:before="24" w:after="0"/>
        <w:ind w:left="2261" w:right="0" w:hanging="270"/>
        <w:jc w:val="both"/>
        <w:rPr>
          <w:sz w:val="24"/>
        </w:rPr>
      </w:pPr>
      <w:r>
        <w:rPr>
          <w:sz w:val="24"/>
        </w:rPr>
        <w:t>Do</w:t>
      </w:r>
      <w:r>
        <w:rPr>
          <w:spacing w:val="-1"/>
          <w:sz w:val="24"/>
        </w:rPr>
        <w:t> </w:t>
      </w:r>
      <w:r>
        <w:rPr>
          <w:sz w:val="24"/>
        </w:rPr>
        <w:t>you follow your</w:t>
      </w:r>
      <w:r>
        <w:rPr>
          <w:spacing w:val="-1"/>
          <w:sz w:val="24"/>
        </w:rPr>
        <w:t> </w:t>
      </w:r>
      <w:r>
        <w:rPr>
          <w:sz w:val="24"/>
        </w:rPr>
        <w:t>written</w:t>
      </w:r>
      <w:r>
        <w:rPr>
          <w:spacing w:val="-3"/>
          <w:sz w:val="24"/>
        </w:rPr>
        <w:t> </w:t>
      </w:r>
      <w:r>
        <w:rPr>
          <w:sz w:val="24"/>
        </w:rPr>
        <w:t>policy</w:t>
      </w:r>
      <w:r>
        <w:rPr>
          <w:spacing w:val="-2"/>
          <w:sz w:val="24"/>
        </w:rPr>
        <w:t> </w:t>
      </w:r>
      <w:r>
        <w:rPr>
          <w:sz w:val="24"/>
        </w:rPr>
        <w:t>for</w:t>
      </w:r>
      <w:r>
        <w:rPr>
          <w:spacing w:val="-1"/>
          <w:sz w:val="24"/>
        </w:rPr>
        <w:t> </w:t>
      </w:r>
      <w:r>
        <w:rPr>
          <w:sz w:val="24"/>
        </w:rPr>
        <w:t>all</w:t>
      </w:r>
      <w:r>
        <w:rPr>
          <w:spacing w:val="-4"/>
          <w:sz w:val="24"/>
        </w:rPr>
        <w:t> </w:t>
      </w:r>
      <w:r>
        <w:rPr>
          <w:sz w:val="24"/>
        </w:rPr>
        <w:t>procurements?</w:t>
      </w:r>
      <w:r>
        <w:rPr>
          <w:spacing w:val="49"/>
          <w:sz w:val="24"/>
        </w:rPr>
        <w:t> </w:t>
      </w:r>
      <w:r>
        <w:rPr>
          <w:spacing w:val="-5"/>
          <w:sz w:val="24"/>
        </w:rPr>
        <w:t>Yes</w:t>
      </w:r>
    </w:p>
    <w:p>
      <w:pPr>
        <w:pStyle w:val="ListParagraph"/>
        <w:numPr>
          <w:ilvl w:val="2"/>
          <w:numId w:val="38"/>
        </w:numPr>
        <w:tabs>
          <w:tab w:pos="2261" w:val="left" w:leader="none"/>
          <w:tab w:pos="2265" w:val="left" w:leader="none"/>
        </w:tabs>
        <w:spacing w:line="256" w:lineRule="auto" w:before="24" w:after="0"/>
        <w:ind w:left="2265" w:right="1125" w:hanging="274"/>
        <w:jc w:val="both"/>
        <w:rPr>
          <w:sz w:val="24"/>
        </w:rPr>
      </w:pPr>
      <w:r>
        <w:rPr>
          <w:sz w:val="24"/>
        </w:rPr>
        <w:t>Does the policy address the acquisition of unnecessary or duplicative items? Not</w:t>
      </w:r>
      <w:r>
        <w:rPr>
          <w:spacing w:val="-3"/>
          <w:sz w:val="24"/>
        </w:rPr>
        <w:t> </w:t>
      </w:r>
      <w:r>
        <w:rPr>
          <w:sz w:val="24"/>
        </w:rPr>
        <w:t>at</w:t>
      </w:r>
      <w:r>
        <w:rPr>
          <w:spacing w:val="-3"/>
          <w:sz w:val="24"/>
        </w:rPr>
        <w:t> </w:t>
      </w:r>
      <w:r>
        <w:rPr>
          <w:sz w:val="24"/>
        </w:rPr>
        <w:t>the</w:t>
      </w:r>
      <w:r>
        <w:rPr>
          <w:spacing w:val="-3"/>
          <w:sz w:val="24"/>
        </w:rPr>
        <w:t> </w:t>
      </w:r>
      <w:r>
        <w:rPr>
          <w:sz w:val="24"/>
        </w:rPr>
        <w:t>present</w:t>
      </w:r>
      <w:r>
        <w:rPr>
          <w:spacing w:val="-3"/>
          <w:sz w:val="24"/>
        </w:rPr>
        <w:t> </w:t>
      </w:r>
      <w:r>
        <w:rPr>
          <w:sz w:val="24"/>
        </w:rPr>
        <w:t>time,</w:t>
      </w:r>
      <w:r>
        <w:rPr>
          <w:spacing w:val="-1"/>
          <w:sz w:val="24"/>
        </w:rPr>
        <w:t> </w:t>
      </w:r>
      <w:r>
        <w:rPr>
          <w:sz w:val="24"/>
        </w:rPr>
        <w:t>this</w:t>
      </w:r>
      <w:r>
        <w:rPr>
          <w:spacing w:val="-2"/>
          <w:sz w:val="24"/>
        </w:rPr>
        <w:t> </w:t>
      </w:r>
      <w:r>
        <w:rPr>
          <w:sz w:val="24"/>
        </w:rPr>
        <w:t>policy</w:t>
      </w:r>
      <w:r>
        <w:rPr>
          <w:spacing w:val="-2"/>
          <w:sz w:val="24"/>
        </w:rPr>
        <w:t> </w:t>
      </w:r>
      <w:r>
        <w:rPr>
          <w:sz w:val="24"/>
        </w:rPr>
        <w:t>will</w:t>
      </w:r>
      <w:r>
        <w:rPr>
          <w:spacing w:val="-4"/>
          <w:sz w:val="24"/>
        </w:rPr>
        <w:t> </w:t>
      </w:r>
      <w:r>
        <w:rPr>
          <w:sz w:val="24"/>
        </w:rPr>
        <w:t>be</w:t>
      </w:r>
      <w:r>
        <w:rPr>
          <w:spacing w:val="-3"/>
          <w:sz w:val="24"/>
        </w:rPr>
        <w:t> </w:t>
      </w:r>
      <w:r>
        <w:rPr>
          <w:sz w:val="24"/>
        </w:rPr>
        <w:t>updated</w:t>
      </w:r>
      <w:r>
        <w:rPr>
          <w:spacing w:val="-3"/>
          <w:sz w:val="24"/>
        </w:rPr>
        <w:t> </w:t>
      </w:r>
      <w:r>
        <w:rPr>
          <w:sz w:val="24"/>
        </w:rPr>
        <w:t>and</w:t>
      </w:r>
      <w:r>
        <w:rPr>
          <w:spacing w:val="-1"/>
          <w:sz w:val="24"/>
        </w:rPr>
        <w:t> </w:t>
      </w:r>
      <w:r>
        <w:rPr>
          <w:sz w:val="24"/>
        </w:rPr>
        <w:t>brought</w:t>
      </w:r>
      <w:r>
        <w:rPr>
          <w:spacing w:val="-3"/>
          <w:sz w:val="24"/>
        </w:rPr>
        <w:t> </w:t>
      </w:r>
      <w:r>
        <w:rPr>
          <w:sz w:val="24"/>
        </w:rPr>
        <w:t>to</w:t>
      </w:r>
      <w:r>
        <w:rPr>
          <w:spacing w:val="-3"/>
          <w:sz w:val="24"/>
        </w:rPr>
        <w:t> </w:t>
      </w:r>
      <w:r>
        <w:rPr>
          <w:sz w:val="24"/>
        </w:rPr>
        <w:t>the</w:t>
      </w:r>
      <w:r>
        <w:rPr>
          <w:spacing w:val="-1"/>
          <w:sz w:val="24"/>
        </w:rPr>
        <w:t> </w:t>
      </w:r>
      <w:r>
        <w:rPr>
          <w:sz w:val="24"/>
        </w:rPr>
        <w:t>Board</w:t>
      </w:r>
      <w:r>
        <w:rPr>
          <w:spacing w:val="-3"/>
          <w:sz w:val="24"/>
        </w:rPr>
        <w:t> </w:t>
      </w:r>
      <w:r>
        <w:rPr>
          <w:sz w:val="24"/>
        </w:rPr>
        <w:t>of</w:t>
      </w:r>
    </w:p>
    <w:p>
      <w:pPr>
        <w:pStyle w:val="BodyText"/>
        <w:spacing w:before="4"/>
        <w:ind w:left="1991"/>
        <w:jc w:val="both"/>
      </w:pPr>
      <w:r>
        <w:rPr/>
        <w:t>Directors</w:t>
      </w:r>
      <w:r>
        <w:rPr>
          <w:spacing w:val="-1"/>
        </w:rPr>
        <w:t> </w:t>
      </w:r>
      <w:r>
        <w:rPr/>
        <w:t>for</w:t>
      </w:r>
      <w:r>
        <w:rPr>
          <w:spacing w:val="-2"/>
        </w:rPr>
        <w:t> </w:t>
      </w:r>
      <w:r>
        <w:rPr/>
        <w:t>the</w:t>
      </w:r>
      <w:r>
        <w:rPr>
          <w:spacing w:val="-2"/>
        </w:rPr>
        <w:t> </w:t>
      </w:r>
      <w:r>
        <w:rPr/>
        <w:t>June</w:t>
      </w:r>
      <w:r>
        <w:rPr>
          <w:spacing w:val="1"/>
        </w:rPr>
        <w:t> </w:t>
      </w:r>
      <w:r>
        <w:rPr>
          <w:spacing w:val="-2"/>
        </w:rPr>
        <w:t>meeting</w:t>
      </w:r>
    </w:p>
    <w:p>
      <w:pPr>
        <w:pStyle w:val="ListParagraph"/>
        <w:numPr>
          <w:ilvl w:val="1"/>
          <w:numId w:val="38"/>
        </w:numPr>
        <w:tabs>
          <w:tab w:pos="1991" w:val="left" w:leader="none"/>
        </w:tabs>
        <w:spacing w:line="259" w:lineRule="auto" w:before="24" w:after="0"/>
        <w:ind w:left="1991" w:right="715" w:hanging="360"/>
        <w:jc w:val="both"/>
        <w:rPr>
          <w:sz w:val="24"/>
        </w:rPr>
      </w:pPr>
      <w:r>
        <w:rPr>
          <w:sz w:val="24"/>
        </w:rPr>
        <w:t>Does</w:t>
      </w:r>
      <w:r>
        <w:rPr>
          <w:spacing w:val="-2"/>
          <w:sz w:val="24"/>
        </w:rPr>
        <w:t> </w:t>
      </w:r>
      <w:r>
        <w:rPr>
          <w:sz w:val="24"/>
        </w:rPr>
        <w:t>your</w:t>
      </w:r>
      <w:r>
        <w:rPr>
          <w:spacing w:val="-1"/>
          <w:sz w:val="24"/>
        </w:rPr>
        <w:t> </w:t>
      </w:r>
      <w:r>
        <w:rPr>
          <w:sz w:val="24"/>
        </w:rPr>
        <w:t>agency</w:t>
      </w:r>
      <w:r>
        <w:rPr>
          <w:spacing w:val="-2"/>
          <w:sz w:val="24"/>
        </w:rPr>
        <w:t> </w:t>
      </w:r>
      <w:r>
        <w:rPr>
          <w:sz w:val="24"/>
        </w:rPr>
        <w:t>have</w:t>
      </w:r>
      <w:r>
        <w:rPr>
          <w:spacing w:val="-3"/>
          <w:sz w:val="24"/>
        </w:rPr>
        <w:t> </w:t>
      </w:r>
      <w:r>
        <w:rPr>
          <w:sz w:val="24"/>
        </w:rPr>
        <w:t>a</w:t>
      </w:r>
      <w:r>
        <w:rPr>
          <w:spacing w:val="-4"/>
          <w:sz w:val="24"/>
        </w:rPr>
        <w:t> </w:t>
      </w:r>
      <w:r>
        <w:rPr>
          <w:sz w:val="24"/>
        </w:rPr>
        <w:t>written code</w:t>
      </w:r>
      <w:r>
        <w:rPr>
          <w:spacing w:val="-1"/>
          <w:sz w:val="24"/>
        </w:rPr>
        <w:t> </w:t>
      </w:r>
      <w:r>
        <w:rPr>
          <w:sz w:val="24"/>
        </w:rPr>
        <w:t>of</w:t>
      </w:r>
      <w:r>
        <w:rPr>
          <w:spacing w:val="-3"/>
          <w:sz w:val="24"/>
        </w:rPr>
        <w:t> </w:t>
      </w:r>
      <w:r>
        <w:rPr>
          <w:sz w:val="24"/>
        </w:rPr>
        <w:t>ethics</w:t>
      </w:r>
      <w:r>
        <w:rPr>
          <w:spacing w:val="-2"/>
          <w:sz w:val="24"/>
        </w:rPr>
        <w:t> </w:t>
      </w:r>
      <w:r>
        <w:rPr>
          <w:sz w:val="24"/>
        </w:rPr>
        <w:t>or</w:t>
      </w:r>
      <w:r>
        <w:rPr>
          <w:spacing w:val="-4"/>
          <w:sz w:val="24"/>
        </w:rPr>
        <w:t> </w:t>
      </w:r>
      <w:r>
        <w:rPr>
          <w:sz w:val="24"/>
        </w:rPr>
        <w:t>standards</w:t>
      </w:r>
      <w:r>
        <w:rPr>
          <w:spacing w:val="-4"/>
          <w:sz w:val="24"/>
        </w:rPr>
        <w:t> </w:t>
      </w:r>
      <w:r>
        <w:rPr>
          <w:sz w:val="24"/>
        </w:rPr>
        <w:t>of</w:t>
      </w:r>
      <w:r>
        <w:rPr>
          <w:spacing w:val="-3"/>
          <w:sz w:val="24"/>
        </w:rPr>
        <w:t> </w:t>
      </w:r>
      <w:r>
        <w:rPr>
          <w:sz w:val="24"/>
        </w:rPr>
        <w:t>conduct</w:t>
      </w:r>
      <w:r>
        <w:rPr>
          <w:spacing w:val="-3"/>
          <w:sz w:val="24"/>
        </w:rPr>
        <w:t> </w:t>
      </w:r>
      <w:r>
        <w:rPr>
          <w:sz w:val="24"/>
        </w:rPr>
        <w:t>for</w:t>
      </w:r>
      <w:r>
        <w:rPr>
          <w:spacing w:val="-4"/>
          <w:sz w:val="24"/>
        </w:rPr>
        <w:t> </w:t>
      </w:r>
      <w:r>
        <w:rPr>
          <w:sz w:val="24"/>
        </w:rPr>
        <w:t>employees engaged in the selection,</w:t>
      </w:r>
      <w:r>
        <w:rPr>
          <w:spacing w:val="-1"/>
          <w:sz w:val="24"/>
        </w:rPr>
        <w:t> </w:t>
      </w:r>
      <w:r>
        <w:rPr>
          <w:sz w:val="24"/>
        </w:rPr>
        <w:t>award, and administration of FTA-funded contracts that also includes conflict of interest?</w:t>
      </w:r>
      <w:r>
        <w:rPr>
          <w:spacing w:val="80"/>
          <w:sz w:val="24"/>
        </w:rPr>
        <w:t> </w:t>
      </w:r>
      <w:r>
        <w:rPr>
          <w:sz w:val="28"/>
        </w:rPr>
        <w:t>Yes</w:t>
      </w:r>
    </w:p>
    <w:p>
      <w:pPr>
        <w:pStyle w:val="ListParagraph"/>
        <w:numPr>
          <w:ilvl w:val="1"/>
          <w:numId w:val="38"/>
        </w:numPr>
        <w:tabs>
          <w:tab w:pos="1991" w:val="left" w:leader="none"/>
        </w:tabs>
        <w:spacing w:line="240" w:lineRule="auto" w:before="1" w:after="0"/>
        <w:ind w:left="1991" w:right="0" w:hanging="359"/>
        <w:jc w:val="both"/>
        <w:rPr>
          <w:sz w:val="24"/>
        </w:rPr>
      </w:pPr>
      <w:r>
        <w:rPr>
          <w:sz w:val="24"/>
        </w:rPr>
        <w:t>Do</w:t>
      </w:r>
      <w:r>
        <w:rPr>
          <w:spacing w:val="-1"/>
          <w:sz w:val="24"/>
        </w:rPr>
        <w:t> </w:t>
      </w:r>
      <w:r>
        <w:rPr>
          <w:sz w:val="24"/>
        </w:rPr>
        <w:t>all</w:t>
      </w:r>
      <w:r>
        <w:rPr>
          <w:spacing w:val="-3"/>
          <w:sz w:val="24"/>
        </w:rPr>
        <w:t> </w:t>
      </w:r>
      <w:r>
        <w:rPr>
          <w:sz w:val="24"/>
        </w:rPr>
        <w:t>procurements</w:t>
      </w:r>
      <w:r>
        <w:rPr>
          <w:spacing w:val="-3"/>
          <w:sz w:val="24"/>
        </w:rPr>
        <w:t> </w:t>
      </w:r>
      <w:r>
        <w:rPr>
          <w:sz w:val="24"/>
        </w:rPr>
        <w:t>comply</w:t>
      </w:r>
      <w:r>
        <w:rPr>
          <w:spacing w:val="-1"/>
          <w:sz w:val="24"/>
        </w:rPr>
        <w:t> </w:t>
      </w:r>
      <w:r>
        <w:rPr>
          <w:sz w:val="24"/>
        </w:rPr>
        <w:t>with</w:t>
      </w:r>
      <w:r>
        <w:rPr>
          <w:spacing w:val="-2"/>
          <w:sz w:val="24"/>
        </w:rPr>
        <w:t> </w:t>
      </w:r>
      <w:r>
        <w:rPr>
          <w:sz w:val="24"/>
        </w:rPr>
        <w:t>full and</w:t>
      </w:r>
      <w:r>
        <w:rPr>
          <w:spacing w:val="-2"/>
          <w:sz w:val="24"/>
        </w:rPr>
        <w:t> </w:t>
      </w:r>
      <w:r>
        <w:rPr>
          <w:sz w:val="24"/>
        </w:rPr>
        <w:t>open</w:t>
      </w:r>
      <w:r>
        <w:rPr>
          <w:spacing w:val="-2"/>
          <w:sz w:val="24"/>
        </w:rPr>
        <w:t> </w:t>
      </w:r>
      <w:r>
        <w:rPr>
          <w:sz w:val="24"/>
        </w:rPr>
        <w:t>competition?</w:t>
      </w:r>
      <w:r>
        <w:rPr>
          <w:spacing w:val="-2"/>
          <w:sz w:val="24"/>
        </w:rPr>
        <w:t> </w:t>
      </w:r>
      <w:r>
        <w:rPr>
          <w:spacing w:val="-5"/>
          <w:sz w:val="28"/>
        </w:rPr>
        <w:t>Yes</w:t>
      </w:r>
    </w:p>
    <w:p>
      <w:pPr>
        <w:pStyle w:val="ListParagraph"/>
        <w:numPr>
          <w:ilvl w:val="1"/>
          <w:numId w:val="38"/>
        </w:numPr>
        <w:tabs>
          <w:tab w:pos="1991" w:val="left" w:leader="none"/>
        </w:tabs>
        <w:spacing w:line="256" w:lineRule="auto" w:before="25" w:after="0"/>
        <w:ind w:left="1991" w:right="961" w:hanging="360"/>
        <w:jc w:val="both"/>
        <w:rPr>
          <w:sz w:val="24"/>
        </w:rPr>
      </w:pPr>
      <w:r>
        <w:rPr>
          <w:sz w:val="24"/>
        </w:rPr>
        <w:t>How do</w:t>
      </w:r>
      <w:r>
        <w:rPr>
          <w:spacing w:val="-1"/>
          <w:sz w:val="24"/>
        </w:rPr>
        <w:t> </w:t>
      </w:r>
      <w:r>
        <w:rPr>
          <w:sz w:val="24"/>
        </w:rPr>
        <w:t>you</w:t>
      </w:r>
      <w:r>
        <w:rPr>
          <w:spacing w:val="-3"/>
          <w:sz w:val="24"/>
        </w:rPr>
        <w:t> </w:t>
      </w:r>
      <w:r>
        <w:rPr>
          <w:sz w:val="24"/>
        </w:rPr>
        <w:t>buy</w:t>
      </w:r>
      <w:r>
        <w:rPr>
          <w:spacing w:val="-2"/>
          <w:sz w:val="24"/>
        </w:rPr>
        <w:t> </w:t>
      </w:r>
      <w:r>
        <w:rPr>
          <w:sz w:val="24"/>
        </w:rPr>
        <w:t>fuel?</w:t>
      </w:r>
      <w:r>
        <w:rPr>
          <w:spacing w:val="40"/>
          <w:sz w:val="24"/>
        </w:rPr>
        <w:t> </w:t>
      </w:r>
      <w:r>
        <w:rPr>
          <w:sz w:val="24"/>
        </w:rPr>
        <w:t>WMTS</w:t>
      </w:r>
      <w:r>
        <w:rPr>
          <w:spacing w:val="-4"/>
          <w:sz w:val="24"/>
        </w:rPr>
        <w:t> </w:t>
      </w:r>
      <w:r>
        <w:rPr>
          <w:sz w:val="24"/>
        </w:rPr>
        <w:t>purchases</w:t>
      </w:r>
      <w:r>
        <w:rPr>
          <w:spacing w:val="-2"/>
          <w:sz w:val="24"/>
        </w:rPr>
        <w:t> </w:t>
      </w:r>
      <w:r>
        <w:rPr>
          <w:sz w:val="24"/>
        </w:rPr>
        <w:t>fuel</w:t>
      </w:r>
      <w:r>
        <w:rPr>
          <w:spacing w:val="-4"/>
          <w:sz w:val="24"/>
        </w:rPr>
        <w:t> </w:t>
      </w:r>
      <w:r>
        <w:rPr>
          <w:sz w:val="24"/>
        </w:rPr>
        <w:t>from</w:t>
      </w:r>
      <w:r>
        <w:rPr>
          <w:spacing w:val="-4"/>
          <w:sz w:val="24"/>
        </w:rPr>
        <w:t> </w:t>
      </w:r>
      <w:r>
        <w:rPr>
          <w:sz w:val="24"/>
        </w:rPr>
        <w:t>PWs,</w:t>
      </w:r>
      <w:r>
        <w:rPr>
          <w:spacing w:val="-1"/>
          <w:sz w:val="24"/>
        </w:rPr>
        <w:t> </w:t>
      </w:r>
      <w:r>
        <w:rPr>
          <w:sz w:val="24"/>
        </w:rPr>
        <w:t>and</w:t>
      </w:r>
      <w:r>
        <w:rPr>
          <w:spacing w:val="-3"/>
          <w:sz w:val="24"/>
        </w:rPr>
        <w:t> </w:t>
      </w:r>
      <w:r>
        <w:rPr>
          <w:sz w:val="24"/>
        </w:rPr>
        <w:t>retail</w:t>
      </w:r>
      <w:r>
        <w:rPr>
          <w:spacing w:val="-1"/>
          <w:sz w:val="24"/>
        </w:rPr>
        <w:t> </w:t>
      </w:r>
      <w:r>
        <w:rPr>
          <w:sz w:val="24"/>
        </w:rPr>
        <w:t>vendors</w:t>
      </w:r>
      <w:r>
        <w:rPr>
          <w:spacing w:val="-7"/>
          <w:sz w:val="24"/>
        </w:rPr>
        <w:t> </w:t>
      </w:r>
      <w:r>
        <w:rPr>
          <w:sz w:val="24"/>
        </w:rPr>
        <w:t>based</w:t>
      </w:r>
      <w:r>
        <w:rPr>
          <w:spacing w:val="-3"/>
          <w:sz w:val="24"/>
        </w:rPr>
        <w:t> </w:t>
      </w:r>
      <w:r>
        <w:rPr>
          <w:sz w:val="24"/>
        </w:rPr>
        <w:t>on location, type of fuel, and pump price.</w:t>
      </w:r>
      <w:r>
        <w:rPr>
          <w:spacing w:val="40"/>
          <w:sz w:val="24"/>
        </w:rPr>
        <w:t> </w:t>
      </w:r>
      <w:r>
        <w:rPr>
          <w:sz w:val="24"/>
        </w:rPr>
        <w:t>Fuel bills are reconciled monthly.</w:t>
      </w:r>
    </w:p>
    <w:p>
      <w:pPr>
        <w:pStyle w:val="ListParagraph"/>
        <w:numPr>
          <w:ilvl w:val="1"/>
          <w:numId w:val="38"/>
        </w:numPr>
        <w:tabs>
          <w:tab w:pos="1989" w:val="left" w:leader="none"/>
        </w:tabs>
        <w:spacing w:line="240" w:lineRule="auto" w:before="5" w:after="0"/>
        <w:ind w:left="1989" w:right="0" w:hanging="358"/>
        <w:jc w:val="both"/>
        <w:rPr>
          <w:sz w:val="24"/>
        </w:rPr>
      </w:pPr>
      <w:r>
        <w:rPr>
          <w:sz w:val="24"/>
        </w:rPr>
        <w:t>Have you</w:t>
      </w:r>
      <w:r>
        <w:rPr>
          <w:spacing w:val="-2"/>
          <w:sz w:val="24"/>
        </w:rPr>
        <w:t> </w:t>
      </w:r>
      <w:r>
        <w:rPr>
          <w:sz w:val="24"/>
        </w:rPr>
        <w:t>procured</w:t>
      </w:r>
      <w:r>
        <w:rPr>
          <w:spacing w:val="1"/>
          <w:sz w:val="24"/>
        </w:rPr>
        <w:t> </w:t>
      </w:r>
      <w:r>
        <w:rPr>
          <w:sz w:val="24"/>
        </w:rPr>
        <w:t>A&amp;E</w:t>
      </w:r>
      <w:r>
        <w:rPr>
          <w:spacing w:val="-4"/>
          <w:sz w:val="24"/>
        </w:rPr>
        <w:t> </w:t>
      </w:r>
      <w:r>
        <w:rPr>
          <w:sz w:val="24"/>
        </w:rPr>
        <w:t>services</w:t>
      </w:r>
      <w:r>
        <w:rPr>
          <w:spacing w:val="-1"/>
          <w:sz w:val="24"/>
        </w:rPr>
        <w:t> </w:t>
      </w:r>
      <w:r>
        <w:rPr>
          <w:sz w:val="24"/>
        </w:rPr>
        <w:t>during</w:t>
      </w:r>
      <w:r>
        <w:rPr>
          <w:spacing w:val="-3"/>
          <w:sz w:val="24"/>
        </w:rPr>
        <w:t> </w:t>
      </w:r>
      <w:r>
        <w:rPr>
          <w:sz w:val="24"/>
        </w:rPr>
        <w:t>the</w:t>
      </w:r>
      <w:r>
        <w:rPr>
          <w:spacing w:val="-2"/>
          <w:sz w:val="24"/>
        </w:rPr>
        <w:t> </w:t>
      </w:r>
      <w:r>
        <w:rPr>
          <w:sz w:val="24"/>
        </w:rPr>
        <w:t>last</w:t>
      </w:r>
      <w:r>
        <w:rPr>
          <w:spacing w:val="-1"/>
          <w:sz w:val="24"/>
        </w:rPr>
        <w:t> </w:t>
      </w:r>
      <w:r>
        <w:rPr>
          <w:sz w:val="24"/>
        </w:rPr>
        <w:t>3</w:t>
      </w:r>
      <w:r>
        <w:rPr>
          <w:spacing w:val="-2"/>
          <w:sz w:val="24"/>
        </w:rPr>
        <w:t> </w:t>
      </w:r>
      <w:r>
        <w:rPr>
          <w:sz w:val="24"/>
        </w:rPr>
        <w:t>years?</w:t>
      </w:r>
      <w:r>
        <w:rPr>
          <w:spacing w:val="79"/>
          <w:w w:val="150"/>
          <w:sz w:val="24"/>
        </w:rPr>
        <w:t> </w:t>
      </w:r>
      <w:r>
        <w:rPr>
          <w:spacing w:val="-5"/>
          <w:sz w:val="24"/>
        </w:rPr>
        <w:t>Yes</w:t>
      </w:r>
    </w:p>
    <w:p>
      <w:pPr>
        <w:pStyle w:val="BodyText"/>
        <w:spacing w:before="23"/>
        <w:ind w:left="1991"/>
        <w:jc w:val="both"/>
      </w:pPr>
      <w:r>
        <w:rPr/>
        <w:t>If</w:t>
      </w:r>
      <w:r>
        <w:rPr>
          <w:spacing w:val="-1"/>
        </w:rPr>
        <w:t> </w:t>
      </w:r>
      <w:r>
        <w:rPr/>
        <w:t>yes,</w:t>
      </w:r>
      <w:r>
        <w:rPr>
          <w:spacing w:val="-1"/>
        </w:rPr>
        <w:t> </w:t>
      </w:r>
      <w:r>
        <w:rPr/>
        <w:t>did you</w:t>
      </w:r>
      <w:r>
        <w:rPr>
          <w:spacing w:val="-3"/>
        </w:rPr>
        <w:t> </w:t>
      </w:r>
      <w:r>
        <w:rPr/>
        <w:t>use</w:t>
      </w:r>
      <w:r>
        <w:rPr>
          <w:spacing w:val="-2"/>
        </w:rPr>
        <w:t> </w:t>
      </w:r>
      <w:r>
        <w:rPr/>
        <w:t>a</w:t>
      </w:r>
      <w:r>
        <w:rPr>
          <w:spacing w:val="-4"/>
        </w:rPr>
        <w:t> </w:t>
      </w:r>
      <w:r>
        <w:rPr/>
        <w:t>qualifications-based selection</w:t>
      </w:r>
      <w:r>
        <w:rPr>
          <w:spacing w:val="-3"/>
        </w:rPr>
        <w:t> </w:t>
      </w:r>
      <w:r>
        <w:rPr/>
        <w:t>process?</w:t>
      </w:r>
      <w:r>
        <w:rPr>
          <w:spacing w:val="48"/>
        </w:rPr>
        <w:t> </w:t>
      </w:r>
      <w:r>
        <w:rPr>
          <w:spacing w:val="-5"/>
        </w:rPr>
        <w:t>Yes</w:t>
      </w:r>
    </w:p>
    <w:p>
      <w:pPr>
        <w:pStyle w:val="ListParagraph"/>
        <w:numPr>
          <w:ilvl w:val="1"/>
          <w:numId w:val="38"/>
        </w:numPr>
        <w:tabs>
          <w:tab w:pos="1991" w:val="left" w:leader="none"/>
        </w:tabs>
        <w:spacing w:line="256" w:lineRule="auto" w:before="24" w:after="0"/>
        <w:ind w:left="1991" w:right="1533" w:hanging="360"/>
        <w:jc w:val="left"/>
        <w:rPr>
          <w:sz w:val="24"/>
        </w:rPr>
      </w:pPr>
      <w:r>
        <w:rPr>
          <w:sz w:val="24"/>
        </w:rPr>
        <w:t>How</w:t>
      </w:r>
      <w:r>
        <w:rPr>
          <w:spacing w:val="-2"/>
          <w:sz w:val="24"/>
        </w:rPr>
        <w:t> </w:t>
      </w:r>
      <w:r>
        <w:rPr>
          <w:sz w:val="24"/>
        </w:rPr>
        <w:t>do</w:t>
      </w:r>
      <w:r>
        <w:rPr>
          <w:spacing w:val="-2"/>
          <w:sz w:val="24"/>
        </w:rPr>
        <w:t> </w:t>
      </w:r>
      <w:r>
        <w:rPr>
          <w:sz w:val="24"/>
        </w:rPr>
        <w:t>you</w:t>
      </w:r>
      <w:r>
        <w:rPr>
          <w:spacing w:val="-4"/>
          <w:sz w:val="24"/>
        </w:rPr>
        <w:t> </w:t>
      </w:r>
      <w:r>
        <w:rPr>
          <w:sz w:val="24"/>
        </w:rPr>
        <w:t>ensure</w:t>
      </w:r>
      <w:r>
        <w:rPr>
          <w:spacing w:val="-4"/>
          <w:sz w:val="24"/>
        </w:rPr>
        <w:t> </w:t>
      </w:r>
      <w:r>
        <w:rPr>
          <w:sz w:val="24"/>
        </w:rPr>
        <w:t>awards</w:t>
      </w:r>
      <w:r>
        <w:rPr>
          <w:spacing w:val="-3"/>
          <w:sz w:val="24"/>
        </w:rPr>
        <w:t> </w:t>
      </w:r>
      <w:r>
        <w:rPr>
          <w:sz w:val="24"/>
        </w:rPr>
        <w:t>are</w:t>
      </w:r>
      <w:r>
        <w:rPr>
          <w:spacing w:val="-4"/>
          <w:sz w:val="24"/>
        </w:rPr>
        <w:t> </w:t>
      </w:r>
      <w:r>
        <w:rPr>
          <w:sz w:val="24"/>
        </w:rPr>
        <w:t>made</w:t>
      </w:r>
      <w:r>
        <w:rPr>
          <w:spacing w:val="-4"/>
          <w:sz w:val="24"/>
        </w:rPr>
        <w:t> </w:t>
      </w:r>
      <w:r>
        <w:rPr>
          <w:sz w:val="24"/>
        </w:rPr>
        <w:t>to</w:t>
      </w:r>
      <w:r>
        <w:rPr>
          <w:spacing w:val="-2"/>
          <w:sz w:val="24"/>
        </w:rPr>
        <w:t> </w:t>
      </w:r>
      <w:r>
        <w:rPr>
          <w:sz w:val="24"/>
        </w:rPr>
        <w:t>responsible</w:t>
      </w:r>
      <w:r>
        <w:rPr>
          <w:spacing w:val="-2"/>
          <w:sz w:val="24"/>
        </w:rPr>
        <w:t> </w:t>
      </w:r>
      <w:r>
        <w:rPr>
          <w:sz w:val="24"/>
        </w:rPr>
        <w:t>contractors?</w:t>
      </w:r>
      <w:r>
        <w:rPr>
          <w:spacing w:val="40"/>
          <w:sz w:val="24"/>
        </w:rPr>
        <w:t> </w:t>
      </w:r>
      <w:r>
        <w:rPr>
          <w:sz w:val="24"/>
        </w:rPr>
        <w:t>By</w:t>
      </w:r>
      <w:r>
        <w:rPr>
          <w:spacing w:val="-3"/>
          <w:sz w:val="24"/>
        </w:rPr>
        <w:t> </w:t>
      </w:r>
      <w:r>
        <w:rPr>
          <w:sz w:val="24"/>
        </w:rPr>
        <w:t>checking references, checking SAM.gov, and previous experience.</w:t>
      </w:r>
    </w:p>
    <w:p>
      <w:pPr>
        <w:pStyle w:val="ListParagraph"/>
        <w:numPr>
          <w:ilvl w:val="1"/>
          <w:numId w:val="38"/>
        </w:numPr>
        <w:tabs>
          <w:tab w:pos="1991" w:val="left" w:leader="none"/>
          <w:tab w:pos="10079" w:val="left" w:leader="none"/>
        </w:tabs>
        <w:spacing w:line="259" w:lineRule="auto" w:before="4" w:after="0"/>
        <w:ind w:left="1991" w:right="726" w:hanging="360"/>
        <w:jc w:val="left"/>
        <w:rPr>
          <w:sz w:val="24"/>
        </w:rPr>
      </w:pPr>
      <w:r>
        <w:rPr>
          <w:sz w:val="24"/>
        </w:rPr>
        <w:t>Do procurement files contain the method of procurement and reason, selection of contract type, contractor selection/rejection, and the basis for contract price.</w:t>
        <w:tab/>
      </w:r>
      <w:r>
        <w:rPr>
          <w:spacing w:val="-4"/>
          <w:sz w:val="24"/>
        </w:rPr>
        <w:t>Yes</w:t>
      </w:r>
    </w:p>
    <w:p>
      <w:pPr>
        <w:pStyle w:val="ListParagraph"/>
        <w:numPr>
          <w:ilvl w:val="1"/>
          <w:numId w:val="38"/>
        </w:numPr>
        <w:tabs>
          <w:tab w:pos="1990" w:val="left" w:leader="none"/>
        </w:tabs>
        <w:spacing w:line="240" w:lineRule="auto" w:before="1" w:after="0"/>
        <w:ind w:left="1990" w:right="0" w:hanging="359"/>
        <w:jc w:val="left"/>
        <w:rPr>
          <w:sz w:val="24"/>
        </w:rPr>
      </w:pPr>
      <w:r>
        <w:rPr>
          <w:sz w:val="24"/>
        </w:rPr>
        <w:t>Do</w:t>
      </w:r>
      <w:r>
        <w:rPr>
          <w:spacing w:val="-1"/>
          <w:sz w:val="24"/>
        </w:rPr>
        <w:t> </w:t>
      </w:r>
      <w:r>
        <w:rPr>
          <w:sz w:val="24"/>
        </w:rPr>
        <w:t>you allow</w:t>
      </w:r>
      <w:r>
        <w:rPr>
          <w:spacing w:val="-3"/>
          <w:sz w:val="24"/>
        </w:rPr>
        <w:t> </w:t>
      </w:r>
      <w:r>
        <w:rPr>
          <w:sz w:val="24"/>
        </w:rPr>
        <w:t>for</w:t>
      </w:r>
      <w:r>
        <w:rPr>
          <w:spacing w:val="-4"/>
          <w:sz w:val="24"/>
        </w:rPr>
        <w:t> </w:t>
      </w:r>
      <w:r>
        <w:rPr>
          <w:sz w:val="24"/>
        </w:rPr>
        <w:t>geographical preference?</w:t>
      </w:r>
      <w:r>
        <w:rPr>
          <w:spacing w:val="69"/>
          <w:w w:val="150"/>
          <w:sz w:val="24"/>
        </w:rPr>
        <w:t> </w:t>
      </w:r>
      <w:r>
        <w:rPr>
          <w:spacing w:val="-5"/>
          <w:sz w:val="24"/>
        </w:rPr>
        <w:t>Yes</w:t>
      </w:r>
    </w:p>
    <w:p>
      <w:pPr>
        <w:pStyle w:val="ListParagraph"/>
        <w:numPr>
          <w:ilvl w:val="1"/>
          <w:numId w:val="38"/>
        </w:numPr>
        <w:tabs>
          <w:tab w:pos="1992" w:val="left" w:leader="none"/>
        </w:tabs>
        <w:spacing w:line="259" w:lineRule="auto" w:before="22" w:after="0"/>
        <w:ind w:left="1992" w:right="812" w:hanging="360"/>
        <w:jc w:val="left"/>
        <w:rPr>
          <w:sz w:val="24"/>
        </w:rPr>
      </w:pPr>
      <w:r>
        <w:rPr>
          <w:sz w:val="24"/>
        </w:rPr>
        <w:t>Do</w:t>
      </w:r>
      <w:r>
        <w:rPr>
          <w:spacing w:val="-3"/>
          <w:sz w:val="24"/>
        </w:rPr>
        <w:t> </w:t>
      </w:r>
      <w:r>
        <w:rPr>
          <w:sz w:val="24"/>
        </w:rPr>
        <w:t>contracts</w:t>
      </w:r>
      <w:r>
        <w:rPr>
          <w:spacing w:val="-6"/>
          <w:sz w:val="24"/>
        </w:rPr>
        <w:t> </w:t>
      </w:r>
      <w:r>
        <w:rPr>
          <w:sz w:val="24"/>
        </w:rPr>
        <w:t>exceeding</w:t>
      </w:r>
      <w:r>
        <w:rPr>
          <w:spacing w:val="-4"/>
          <w:sz w:val="24"/>
        </w:rPr>
        <w:t> </w:t>
      </w:r>
      <w:r>
        <w:rPr>
          <w:sz w:val="24"/>
        </w:rPr>
        <w:t>$3,500</w:t>
      </w:r>
      <w:r>
        <w:rPr>
          <w:spacing w:val="-5"/>
          <w:sz w:val="24"/>
        </w:rPr>
        <w:t> </w:t>
      </w:r>
      <w:r>
        <w:rPr>
          <w:sz w:val="24"/>
        </w:rPr>
        <w:t>(or</w:t>
      </w:r>
      <w:r>
        <w:rPr>
          <w:spacing w:val="-3"/>
          <w:sz w:val="24"/>
        </w:rPr>
        <w:t> </w:t>
      </w:r>
      <w:r>
        <w:rPr>
          <w:sz w:val="24"/>
        </w:rPr>
        <w:t>$2,000</w:t>
      </w:r>
      <w:r>
        <w:rPr>
          <w:spacing w:val="-5"/>
          <w:sz w:val="24"/>
        </w:rPr>
        <w:t> </w:t>
      </w:r>
      <w:r>
        <w:rPr>
          <w:sz w:val="24"/>
        </w:rPr>
        <w:t>for</w:t>
      </w:r>
      <w:r>
        <w:rPr>
          <w:spacing w:val="-3"/>
          <w:sz w:val="24"/>
        </w:rPr>
        <w:t> </w:t>
      </w:r>
      <w:r>
        <w:rPr>
          <w:sz w:val="24"/>
        </w:rPr>
        <w:t>construction)</w:t>
      </w:r>
      <w:r>
        <w:rPr>
          <w:spacing w:val="-4"/>
          <w:sz w:val="24"/>
        </w:rPr>
        <w:t> </w:t>
      </w:r>
      <w:r>
        <w:rPr>
          <w:sz w:val="24"/>
        </w:rPr>
        <w:t>contain</w:t>
      </w:r>
      <w:r>
        <w:rPr>
          <w:spacing w:val="-2"/>
          <w:sz w:val="24"/>
        </w:rPr>
        <w:t> </w:t>
      </w:r>
      <w:r>
        <w:rPr>
          <w:sz w:val="24"/>
        </w:rPr>
        <w:t>applicable</w:t>
      </w:r>
      <w:r>
        <w:rPr>
          <w:spacing w:val="-5"/>
          <w:sz w:val="24"/>
        </w:rPr>
        <w:t> </w:t>
      </w:r>
      <w:r>
        <w:rPr>
          <w:sz w:val="24"/>
        </w:rPr>
        <w:t>federal clauses?</w:t>
      </w:r>
      <w:r>
        <w:rPr>
          <w:spacing w:val="80"/>
          <w:sz w:val="24"/>
        </w:rPr>
        <w:t> </w:t>
      </w:r>
      <w:r>
        <w:rPr>
          <w:sz w:val="24"/>
        </w:rPr>
        <w:t>Yes</w:t>
      </w:r>
    </w:p>
    <w:p>
      <w:pPr>
        <w:pStyle w:val="BodyText"/>
        <w:rPr>
          <w:sz w:val="26"/>
        </w:rPr>
      </w:pPr>
    </w:p>
    <w:p>
      <w:pPr>
        <w:pStyle w:val="ListParagraph"/>
        <w:numPr>
          <w:ilvl w:val="0"/>
          <w:numId w:val="38"/>
        </w:numPr>
        <w:tabs>
          <w:tab w:pos="1457" w:val="left" w:leader="none"/>
        </w:tabs>
        <w:spacing w:line="240" w:lineRule="auto" w:before="0" w:after="0"/>
        <w:ind w:left="1457" w:right="0" w:hanging="546"/>
        <w:jc w:val="left"/>
        <w:rPr>
          <w:b/>
          <w:color w:val="2D74B5"/>
          <w:sz w:val="28"/>
        </w:rPr>
      </w:pPr>
      <w:r>
        <w:rPr>
          <w:b/>
          <w:color w:val="2D74B5"/>
          <w:spacing w:val="-5"/>
          <w:sz w:val="28"/>
        </w:rPr>
        <w:t>DBE</w:t>
      </w:r>
    </w:p>
    <w:p>
      <w:pPr>
        <w:pStyle w:val="ListParagraph"/>
        <w:numPr>
          <w:ilvl w:val="1"/>
          <w:numId w:val="38"/>
        </w:numPr>
        <w:tabs>
          <w:tab w:pos="1991" w:val="left" w:leader="none"/>
        </w:tabs>
        <w:spacing w:line="240" w:lineRule="auto" w:before="28" w:after="0"/>
        <w:ind w:left="1991" w:right="0" w:hanging="359"/>
        <w:jc w:val="left"/>
        <w:rPr>
          <w:sz w:val="24"/>
        </w:rPr>
      </w:pPr>
      <w:r>
        <w:rPr>
          <w:sz w:val="24"/>
        </w:rPr>
        <w:t>Do</w:t>
      </w:r>
      <w:r>
        <w:rPr>
          <w:spacing w:val="-2"/>
          <w:sz w:val="24"/>
        </w:rPr>
        <w:t> </w:t>
      </w:r>
      <w:r>
        <w:rPr>
          <w:sz w:val="24"/>
        </w:rPr>
        <w:t>you</w:t>
      </w:r>
      <w:r>
        <w:rPr>
          <w:spacing w:val="1"/>
          <w:sz w:val="24"/>
        </w:rPr>
        <w:t> </w:t>
      </w:r>
      <w:r>
        <w:rPr>
          <w:sz w:val="24"/>
        </w:rPr>
        <w:t>submit</w:t>
      </w:r>
      <w:r>
        <w:rPr>
          <w:spacing w:val="-2"/>
          <w:sz w:val="24"/>
        </w:rPr>
        <w:t> </w:t>
      </w:r>
      <w:r>
        <w:rPr>
          <w:sz w:val="24"/>
        </w:rPr>
        <w:t>your</w:t>
      </w:r>
      <w:r>
        <w:rPr>
          <w:spacing w:val="-3"/>
          <w:sz w:val="24"/>
        </w:rPr>
        <w:t> </w:t>
      </w:r>
      <w:r>
        <w:rPr>
          <w:sz w:val="24"/>
        </w:rPr>
        <w:t>quarterly</w:t>
      </w:r>
      <w:r>
        <w:rPr>
          <w:spacing w:val="-4"/>
          <w:sz w:val="24"/>
        </w:rPr>
        <w:t> </w:t>
      </w:r>
      <w:r>
        <w:rPr>
          <w:sz w:val="24"/>
        </w:rPr>
        <w:t>DBE reports</w:t>
      </w:r>
      <w:r>
        <w:rPr>
          <w:spacing w:val="-2"/>
          <w:sz w:val="24"/>
        </w:rPr>
        <w:t> </w:t>
      </w:r>
      <w:r>
        <w:rPr>
          <w:sz w:val="24"/>
        </w:rPr>
        <w:t>to</w:t>
      </w:r>
      <w:r>
        <w:rPr>
          <w:spacing w:val="-2"/>
          <w:sz w:val="24"/>
        </w:rPr>
        <w:t> </w:t>
      </w:r>
      <w:r>
        <w:rPr>
          <w:sz w:val="24"/>
        </w:rPr>
        <w:t>the</w:t>
      </w:r>
      <w:r>
        <w:rPr>
          <w:spacing w:val="-2"/>
          <w:sz w:val="24"/>
        </w:rPr>
        <w:t> </w:t>
      </w:r>
      <w:r>
        <w:rPr>
          <w:sz w:val="24"/>
        </w:rPr>
        <w:t>Civil Rights</w:t>
      </w:r>
      <w:r>
        <w:rPr>
          <w:spacing w:val="-1"/>
          <w:sz w:val="24"/>
        </w:rPr>
        <w:t> </w:t>
      </w:r>
      <w:r>
        <w:rPr>
          <w:sz w:val="24"/>
        </w:rPr>
        <w:t>Office as</w:t>
      </w:r>
      <w:r>
        <w:rPr>
          <w:spacing w:val="-3"/>
          <w:sz w:val="24"/>
        </w:rPr>
        <w:t> </w:t>
      </w:r>
      <w:r>
        <w:rPr>
          <w:sz w:val="24"/>
        </w:rPr>
        <w:t>required?</w:t>
      </w:r>
      <w:r>
        <w:rPr>
          <w:spacing w:val="-3"/>
          <w:sz w:val="24"/>
        </w:rPr>
        <w:t> </w:t>
      </w:r>
      <w:r>
        <w:rPr>
          <w:spacing w:val="-5"/>
          <w:sz w:val="28"/>
        </w:rPr>
        <w:t>Yes</w:t>
      </w:r>
    </w:p>
    <w:p>
      <w:pPr>
        <w:pStyle w:val="ListParagraph"/>
        <w:numPr>
          <w:ilvl w:val="1"/>
          <w:numId w:val="38"/>
        </w:numPr>
        <w:tabs>
          <w:tab w:pos="1990" w:val="left" w:leader="none"/>
          <w:tab w:pos="5831" w:val="left" w:leader="none"/>
        </w:tabs>
        <w:spacing w:line="240" w:lineRule="auto" w:before="25" w:after="0"/>
        <w:ind w:left="1990" w:right="0" w:hanging="359"/>
        <w:jc w:val="left"/>
        <w:rPr>
          <w:sz w:val="24"/>
        </w:rPr>
      </w:pPr>
      <w:r>
        <w:rPr>
          <w:sz w:val="24"/>
        </w:rPr>
        <w:t>Do</w:t>
      </w:r>
      <w:r>
        <w:rPr>
          <w:spacing w:val="-1"/>
          <w:sz w:val="24"/>
        </w:rPr>
        <w:t> </w:t>
      </w:r>
      <w:r>
        <w:rPr>
          <w:sz w:val="24"/>
        </w:rPr>
        <w:t>any</w:t>
      </w:r>
      <w:r>
        <w:rPr>
          <w:spacing w:val="-1"/>
          <w:sz w:val="24"/>
        </w:rPr>
        <w:t> </w:t>
      </w:r>
      <w:r>
        <w:rPr>
          <w:sz w:val="24"/>
        </w:rPr>
        <w:t>contracts</w:t>
      </w:r>
      <w:r>
        <w:rPr>
          <w:spacing w:val="-1"/>
          <w:sz w:val="24"/>
        </w:rPr>
        <w:t> </w:t>
      </w:r>
      <w:r>
        <w:rPr>
          <w:sz w:val="24"/>
        </w:rPr>
        <w:t>contain</w:t>
      </w:r>
      <w:r>
        <w:rPr>
          <w:spacing w:val="-2"/>
          <w:sz w:val="24"/>
        </w:rPr>
        <w:t> </w:t>
      </w:r>
      <w:r>
        <w:rPr>
          <w:sz w:val="24"/>
        </w:rPr>
        <w:t>a DBE</w:t>
      </w:r>
      <w:r>
        <w:rPr>
          <w:spacing w:val="-3"/>
          <w:sz w:val="24"/>
        </w:rPr>
        <w:t> </w:t>
      </w:r>
      <w:r>
        <w:rPr>
          <w:spacing w:val="-2"/>
          <w:sz w:val="24"/>
        </w:rPr>
        <w:t>goal?</w:t>
      </w:r>
      <w:r>
        <w:rPr>
          <w:sz w:val="24"/>
        </w:rPr>
        <w:tab/>
      </w:r>
      <w:r>
        <w:rPr>
          <w:spacing w:val="-5"/>
          <w:sz w:val="24"/>
        </w:rPr>
        <w:t>Yes</w:t>
      </w:r>
    </w:p>
    <w:p>
      <w:pPr>
        <w:pStyle w:val="BodyText"/>
        <w:spacing w:before="24"/>
        <w:ind w:left="1991"/>
      </w:pPr>
      <w:r>
        <w:rPr/>
        <w:t>If yes,</w:t>
      </w:r>
      <w:r>
        <w:rPr>
          <w:spacing w:val="-1"/>
        </w:rPr>
        <w:t> </w:t>
      </w:r>
      <w:r>
        <w:rPr/>
        <w:t>have</w:t>
      </w:r>
      <w:r>
        <w:rPr>
          <w:spacing w:val="-1"/>
        </w:rPr>
        <w:t> </w:t>
      </w:r>
      <w:r>
        <w:rPr/>
        <w:t>you</w:t>
      </w:r>
      <w:r>
        <w:rPr>
          <w:spacing w:val="-3"/>
        </w:rPr>
        <w:t> </w:t>
      </w:r>
      <w:r>
        <w:rPr/>
        <w:t>provided</w:t>
      </w:r>
      <w:r>
        <w:rPr>
          <w:spacing w:val="-2"/>
        </w:rPr>
        <w:t> </w:t>
      </w:r>
      <w:r>
        <w:rPr/>
        <w:t>MaineDOT</w:t>
      </w:r>
      <w:r>
        <w:rPr>
          <w:spacing w:val="-3"/>
        </w:rPr>
        <w:t> </w:t>
      </w:r>
      <w:r>
        <w:rPr/>
        <w:t>with</w:t>
      </w:r>
      <w:r>
        <w:rPr>
          <w:spacing w:val="-3"/>
        </w:rPr>
        <w:t> </w:t>
      </w:r>
      <w:r>
        <w:rPr/>
        <w:t>the</w:t>
      </w:r>
      <w:r>
        <w:rPr>
          <w:spacing w:val="-2"/>
        </w:rPr>
        <w:t> following:</w:t>
      </w:r>
    </w:p>
    <w:p>
      <w:pPr>
        <w:pStyle w:val="ListParagraph"/>
        <w:numPr>
          <w:ilvl w:val="2"/>
          <w:numId w:val="38"/>
        </w:numPr>
        <w:tabs>
          <w:tab w:pos="2263" w:val="left" w:leader="none"/>
        </w:tabs>
        <w:spacing w:line="240" w:lineRule="auto" w:before="21" w:after="0"/>
        <w:ind w:left="2263" w:right="0" w:hanging="272"/>
        <w:jc w:val="left"/>
        <w:rPr>
          <w:sz w:val="24"/>
        </w:rPr>
      </w:pPr>
      <w:r>
        <w:rPr>
          <w:sz w:val="24"/>
        </w:rPr>
        <w:t>The</w:t>
      </w:r>
      <w:r>
        <w:rPr>
          <w:spacing w:val="-2"/>
          <w:sz w:val="24"/>
        </w:rPr>
        <w:t> </w:t>
      </w:r>
      <w:r>
        <w:rPr>
          <w:sz w:val="24"/>
        </w:rPr>
        <w:t>names</w:t>
      </w:r>
      <w:r>
        <w:rPr>
          <w:spacing w:val="-3"/>
          <w:sz w:val="24"/>
        </w:rPr>
        <w:t> </w:t>
      </w:r>
      <w:r>
        <w:rPr>
          <w:sz w:val="24"/>
        </w:rPr>
        <w:t>and</w:t>
      </w:r>
      <w:r>
        <w:rPr>
          <w:spacing w:val="1"/>
          <w:sz w:val="24"/>
        </w:rPr>
        <w:t> </w:t>
      </w:r>
      <w:r>
        <w:rPr>
          <w:sz w:val="24"/>
        </w:rPr>
        <w:t>addresses</w:t>
      </w:r>
      <w:r>
        <w:rPr>
          <w:spacing w:val="-1"/>
          <w:sz w:val="24"/>
        </w:rPr>
        <w:t> </w:t>
      </w:r>
      <w:r>
        <w:rPr>
          <w:sz w:val="24"/>
        </w:rPr>
        <w:t>of</w:t>
      </w:r>
      <w:r>
        <w:rPr>
          <w:spacing w:val="-2"/>
          <w:sz w:val="24"/>
        </w:rPr>
        <w:t> </w:t>
      </w:r>
      <w:r>
        <w:rPr>
          <w:sz w:val="24"/>
        </w:rPr>
        <w:t>the DBE</w:t>
      </w:r>
      <w:r>
        <w:rPr>
          <w:spacing w:val="-2"/>
          <w:sz w:val="24"/>
        </w:rPr>
        <w:t> firms.</w:t>
      </w:r>
    </w:p>
    <w:p>
      <w:pPr>
        <w:pStyle w:val="ListParagraph"/>
        <w:numPr>
          <w:ilvl w:val="2"/>
          <w:numId w:val="38"/>
        </w:numPr>
        <w:tabs>
          <w:tab w:pos="2263" w:val="left" w:leader="none"/>
        </w:tabs>
        <w:spacing w:line="240" w:lineRule="auto" w:before="24" w:after="0"/>
        <w:ind w:left="2263" w:right="0" w:hanging="272"/>
        <w:jc w:val="left"/>
        <w:rPr>
          <w:sz w:val="24"/>
        </w:rPr>
      </w:pPr>
      <w:r>
        <w:rPr>
          <w:sz w:val="24"/>
        </w:rPr>
        <w:t>A description</w:t>
      </w:r>
      <w:r>
        <w:rPr>
          <w:spacing w:val="1"/>
          <w:sz w:val="24"/>
        </w:rPr>
        <w:t> </w:t>
      </w:r>
      <w:r>
        <w:rPr>
          <w:sz w:val="24"/>
        </w:rPr>
        <w:t>of</w:t>
      </w:r>
      <w:r>
        <w:rPr>
          <w:spacing w:val="-2"/>
          <w:sz w:val="24"/>
        </w:rPr>
        <w:t> </w:t>
      </w:r>
      <w:r>
        <w:rPr>
          <w:sz w:val="24"/>
        </w:rPr>
        <w:t>the</w:t>
      </w:r>
      <w:r>
        <w:rPr>
          <w:spacing w:val="-2"/>
          <w:sz w:val="24"/>
        </w:rPr>
        <w:t> </w:t>
      </w:r>
      <w:r>
        <w:rPr>
          <w:sz w:val="24"/>
        </w:rPr>
        <w:t>work</w:t>
      </w:r>
      <w:r>
        <w:rPr>
          <w:spacing w:val="-2"/>
          <w:sz w:val="24"/>
        </w:rPr>
        <w:t> </w:t>
      </w:r>
      <w:r>
        <w:rPr>
          <w:sz w:val="24"/>
        </w:rPr>
        <w:t>that</w:t>
      </w:r>
      <w:r>
        <w:rPr>
          <w:spacing w:val="-2"/>
          <w:sz w:val="24"/>
        </w:rPr>
        <w:t> </w:t>
      </w:r>
      <w:r>
        <w:rPr>
          <w:sz w:val="24"/>
        </w:rPr>
        <w:t>each</w:t>
      </w:r>
      <w:r>
        <w:rPr>
          <w:spacing w:val="-2"/>
          <w:sz w:val="24"/>
        </w:rPr>
        <w:t> </w:t>
      </w:r>
      <w:r>
        <w:rPr>
          <w:sz w:val="24"/>
        </w:rPr>
        <w:t>DBE is</w:t>
      </w:r>
      <w:r>
        <w:rPr>
          <w:spacing w:val="-2"/>
          <w:sz w:val="24"/>
        </w:rPr>
        <w:t> doing.</w:t>
      </w:r>
    </w:p>
    <w:p>
      <w:pPr>
        <w:pStyle w:val="ListParagraph"/>
        <w:numPr>
          <w:ilvl w:val="2"/>
          <w:numId w:val="38"/>
        </w:numPr>
        <w:tabs>
          <w:tab w:pos="2263" w:val="left" w:leader="none"/>
        </w:tabs>
        <w:spacing w:line="240" w:lineRule="auto" w:before="24" w:after="0"/>
        <w:ind w:left="2263" w:right="0" w:hanging="272"/>
        <w:jc w:val="left"/>
        <w:rPr>
          <w:sz w:val="24"/>
        </w:rPr>
      </w:pPr>
      <w:r>
        <w:rPr>
          <w:sz w:val="24"/>
        </w:rPr>
        <w:t>The</w:t>
      </w:r>
      <w:r>
        <w:rPr>
          <w:spacing w:val="-2"/>
          <w:sz w:val="24"/>
        </w:rPr>
        <w:t> </w:t>
      </w:r>
      <w:r>
        <w:rPr>
          <w:sz w:val="24"/>
        </w:rPr>
        <w:t>dollar</w:t>
      </w:r>
      <w:r>
        <w:rPr>
          <w:spacing w:val="-3"/>
          <w:sz w:val="24"/>
        </w:rPr>
        <w:t> </w:t>
      </w:r>
      <w:r>
        <w:rPr>
          <w:sz w:val="24"/>
        </w:rPr>
        <w:t>amount</w:t>
      </w:r>
      <w:r>
        <w:rPr>
          <w:spacing w:val="1"/>
          <w:sz w:val="24"/>
        </w:rPr>
        <w:t> </w:t>
      </w:r>
      <w:r>
        <w:rPr>
          <w:sz w:val="24"/>
        </w:rPr>
        <w:t>of</w:t>
      </w:r>
      <w:r>
        <w:rPr>
          <w:spacing w:val="1"/>
          <w:sz w:val="24"/>
        </w:rPr>
        <w:t> </w:t>
      </w:r>
      <w:r>
        <w:rPr>
          <w:sz w:val="24"/>
        </w:rPr>
        <w:t>each</w:t>
      </w:r>
      <w:r>
        <w:rPr>
          <w:spacing w:val="1"/>
          <w:sz w:val="24"/>
        </w:rPr>
        <w:t> </w:t>
      </w:r>
      <w:r>
        <w:rPr>
          <w:sz w:val="24"/>
        </w:rPr>
        <w:t>DBE</w:t>
      </w:r>
      <w:r>
        <w:rPr>
          <w:spacing w:val="-3"/>
          <w:sz w:val="24"/>
        </w:rPr>
        <w:t> </w:t>
      </w:r>
      <w:r>
        <w:rPr>
          <w:sz w:val="24"/>
        </w:rPr>
        <w:t>firm</w:t>
      </w:r>
      <w:r>
        <w:rPr>
          <w:spacing w:val="-2"/>
          <w:sz w:val="24"/>
        </w:rPr>
        <w:t> participating.</w:t>
      </w:r>
    </w:p>
    <w:p>
      <w:pPr>
        <w:spacing w:after="0" w:line="240" w:lineRule="auto"/>
        <w:jc w:val="left"/>
        <w:rPr>
          <w:sz w:val="24"/>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60384">
            <wp:simplePos x="0" y="0"/>
            <wp:positionH relativeFrom="page">
              <wp:posOffset>731520</wp:posOffset>
            </wp:positionH>
            <wp:positionV relativeFrom="paragraph">
              <wp:posOffset>-111196</wp:posOffset>
            </wp:positionV>
            <wp:extent cx="1523706" cy="426719"/>
            <wp:effectExtent l="0" t="0" r="0" b="0"/>
            <wp:wrapNone/>
            <wp:docPr id="168" name="Image 168">
              <a:hlinkClick r:id="rId80"/>
            </wp:docPr>
            <wp:cNvGraphicFramePr>
              <a:graphicFrameLocks/>
            </wp:cNvGraphicFramePr>
            <a:graphic>
              <a:graphicData uri="http://schemas.openxmlformats.org/drawingml/2006/picture">
                <pic:pic>
                  <pic:nvPicPr>
                    <pic:cNvPr id="168" name="Image 168">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19072">
                <wp:simplePos x="0" y="0"/>
                <wp:positionH relativeFrom="page">
                  <wp:posOffset>713231</wp:posOffset>
                </wp:positionH>
                <wp:positionV relativeFrom="paragraph">
                  <wp:posOffset>216706</wp:posOffset>
                </wp:positionV>
                <wp:extent cx="6346190" cy="74930"/>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6346190" cy="74930"/>
                          <a:chExt cx="6346190" cy="74930"/>
                        </a:xfrm>
                      </wpg:grpSpPr>
                      <wps:wsp>
                        <wps:cNvPr id="170" name="Graphic 170"/>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71" name="Graphic 171"/>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72" name="Graphic 172"/>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7408;mso-wrap-distance-left:0;mso-wrap-distance-right:0" id="docshapegroup127" coordorigin="1123,341" coordsize="9994,118">
                <v:rect style="position:absolute;left:1123;top:430;width:9994;height:29" id="docshape128" filled="true" fillcolor="#c0c0c0" stroked="false">
                  <v:fill type="solid"/>
                </v:rect>
                <v:rect style="position:absolute;left:1123;top:370;width:9994;height:60" id="docshape129" filled="true" fillcolor="#5f5f5f" stroked="false">
                  <v:fill type="solid"/>
                </v:rect>
                <v:rect style="position:absolute;left:1123;top:341;width:9994;height:29" id="docshape130" filled="true" fillcolor="#000000" stroked="false">
                  <v:fill type="solid"/>
                </v:rect>
                <w10:wrap type="topAndBottom"/>
              </v:group>
            </w:pict>
          </mc:Fallback>
        </mc:AlternateContent>
      </w:r>
    </w:p>
    <w:p>
      <w:pPr>
        <w:pStyle w:val="ListParagraph"/>
        <w:numPr>
          <w:ilvl w:val="2"/>
          <w:numId w:val="38"/>
        </w:numPr>
        <w:tabs>
          <w:tab w:pos="2263" w:val="left" w:leader="none"/>
        </w:tabs>
        <w:spacing w:line="240" w:lineRule="auto" w:before="2" w:after="0"/>
        <w:ind w:left="2263" w:right="0" w:hanging="271"/>
        <w:jc w:val="left"/>
        <w:rPr>
          <w:sz w:val="24"/>
        </w:rPr>
      </w:pPr>
      <w:r>
        <w:rPr>
          <w:sz w:val="24"/>
        </w:rPr>
        <w:t>Written</w:t>
      </w:r>
      <w:r>
        <w:rPr>
          <w:spacing w:val="-2"/>
          <w:sz w:val="24"/>
        </w:rPr>
        <w:t> </w:t>
      </w:r>
      <w:r>
        <w:rPr>
          <w:sz w:val="24"/>
        </w:rPr>
        <w:t>documentation</w:t>
      </w:r>
      <w:r>
        <w:rPr>
          <w:spacing w:val="-2"/>
          <w:sz w:val="24"/>
        </w:rPr>
        <w:t> </w:t>
      </w:r>
      <w:r>
        <w:rPr>
          <w:sz w:val="24"/>
        </w:rPr>
        <w:t>by</w:t>
      </w:r>
      <w:r>
        <w:rPr>
          <w:spacing w:val="-1"/>
          <w:sz w:val="24"/>
        </w:rPr>
        <w:t> </w:t>
      </w:r>
      <w:r>
        <w:rPr>
          <w:sz w:val="24"/>
        </w:rPr>
        <w:t>contractors</w:t>
      </w:r>
      <w:r>
        <w:rPr>
          <w:spacing w:val="-3"/>
          <w:sz w:val="24"/>
        </w:rPr>
        <w:t> </w:t>
      </w:r>
      <w:r>
        <w:rPr>
          <w:sz w:val="24"/>
        </w:rPr>
        <w:t>for</w:t>
      </w:r>
      <w:r>
        <w:rPr>
          <w:spacing w:val="-1"/>
          <w:sz w:val="24"/>
        </w:rPr>
        <w:t> </w:t>
      </w:r>
      <w:r>
        <w:rPr>
          <w:sz w:val="24"/>
        </w:rPr>
        <w:t>DBE</w:t>
      </w:r>
      <w:r>
        <w:rPr>
          <w:spacing w:val="-2"/>
          <w:sz w:val="24"/>
        </w:rPr>
        <w:t> subcontractors.</w:t>
      </w:r>
    </w:p>
    <w:p>
      <w:pPr>
        <w:pStyle w:val="ListParagraph"/>
        <w:numPr>
          <w:ilvl w:val="2"/>
          <w:numId w:val="38"/>
        </w:numPr>
        <w:tabs>
          <w:tab w:pos="2263" w:val="left" w:leader="none"/>
        </w:tabs>
        <w:spacing w:line="259" w:lineRule="auto" w:before="23" w:after="0"/>
        <w:ind w:left="2263" w:right="1571" w:hanging="272"/>
        <w:jc w:val="left"/>
        <w:rPr>
          <w:sz w:val="24"/>
        </w:rPr>
      </w:pPr>
      <w:r>
        <w:rPr>
          <w:sz w:val="24"/>
        </w:rPr>
        <w:t>Written</w:t>
      </w:r>
      <w:r>
        <w:rPr>
          <w:spacing w:val="-2"/>
          <w:sz w:val="24"/>
        </w:rPr>
        <w:t> </w:t>
      </w:r>
      <w:r>
        <w:rPr>
          <w:sz w:val="24"/>
        </w:rPr>
        <w:t>confirmation</w:t>
      </w:r>
      <w:r>
        <w:rPr>
          <w:spacing w:val="-5"/>
          <w:sz w:val="24"/>
        </w:rPr>
        <w:t> </w:t>
      </w:r>
      <w:r>
        <w:rPr>
          <w:sz w:val="24"/>
        </w:rPr>
        <w:t>from</w:t>
      </w:r>
      <w:r>
        <w:rPr>
          <w:spacing w:val="-3"/>
          <w:sz w:val="24"/>
        </w:rPr>
        <w:t> </w:t>
      </w:r>
      <w:r>
        <w:rPr>
          <w:sz w:val="24"/>
        </w:rPr>
        <w:t>the</w:t>
      </w:r>
      <w:r>
        <w:rPr>
          <w:spacing w:val="-5"/>
          <w:sz w:val="24"/>
        </w:rPr>
        <w:t> </w:t>
      </w:r>
      <w:r>
        <w:rPr>
          <w:sz w:val="24"/>
        </w:rPr>
        <w:t>DBE</w:t>
      </w:r>
      <w:r>
        <w:rPr>
          <w:spacing w:val="-3"/>
          <w:sz w:val="24"/>
        </w:rPr>
        <w:t> </w:t>
      </w:r>
      <w:r>
        <w:rPr>
          <w:sz w:val="24"/>
        </w:rPr>
        <w:t>that</w:t>
      </w:r>
      <w:r>
        <w:rPr>
          <w:spacing w:val="-5"/>
          <w:sz w:val="24"/>
        </w:rPr>
        <w:t> </w:t>
      </w:r>
      <w:r>
        <w:rPr>
          <w:sz w:val="24"/>
        </w:rPr>
        <w:t>it</w:t>
      </w:r>
      <w:r>
        <w:rPr>
          <w:spacing w:val="-5"/>
          <w:sz w:val="24"/>
        </w:rPr>
        <w:t> </w:t>
      </w:r>
      <w:r>
        <w:rPr>
          <w:sz w:val="24"/>
        </w:rPr>
        <w:t>is</w:t>
      </w:r>
      <w:r>
        <w:rPr>
          <w:spacing w:val="-4"/>
          <w:sz w:val="24"/>
        </w:rPr>
        <w:t> </w:t>
      </w:r>
      <w:r>
        <w:rPr>
          <w:sz w:val="24"/>
        </w:rPr>
        <w:t>participation</w:t>
      </w:r>
      <w:r>
        <w:rPr>
          <w:spacing w:val="-2"/>
          <w:sz w:val="24"/>
        </w:rPr>
        <w:t> </w:t>
      </w:r>
      <w:r>
        <w:rPr>
          <w:sz w:val="24"/>
        </w:rPr>
        <w:t>that</w:t>
      </w:r>
      <w:r>
        <w:rPr>
          <w:spacing w:val="-2"/>
          <w:sz w:val="24"/>
        </w:rPr>
        <w:t> </w:t>
      </w:r>
      <w:r>
        <w:rPr>
          <w:sz w:val="24"/>
        </w:rPr>
        <w:t>matches</w:t>
      </w:r>
      <w:r>
        <w:rPr>
          <w:spacing w:val="-6"/>
          <w:sz w:val="24"/>
        </w:rPr>
        <w:t> </w:t>
      </w:r>
      <w:r>
        <w:rPr>
          <w:sz w:val="24"/>
        </w:rPr>
        <w:t>the contractors’ documentation.</w:t>
      </w:r>
    </w:p>
    <w:p>
      <w:pPr>
        <w:pStyle w:val="ListParagraph"/>
        <w:numPr>
          <w:ilvl w:val="2"/>
          <w:numId w:val="38"/>
        </w:numPr>
        <w:tabs>
          <w:tab w:pos="2263" w:val="left" w:leader="none"/>
        </w:tabs>
        <w:spacing w:line="291" w:lineRule="exact" w:before="0" w:after="0"/>
        <w:ind w:left="2263" w:right="0" w:hanging="271"/>
        <w:jc w:val="left"/>
        <w:rPr>
          <w:sz w:val="24"/>
        </w:rPr>
      </w:pPr>
      <w:r>
        <w:rPr>
          <w:sz w:val="24"/>
        </w:rPr>
        <w:t>If</w:t>
      </w:r>
      <w:r>
        <w:rPr>
          <w:spacing w:val="1"/>
          <w:sz w:val="24"/>
        </w:rPr>
        <w:t> </w:t>
      </w:r>
      <w:r>
        <w:rPr>
          <w:sz w:val="24"/>
        </w:rPr>
        <w:t>DBE</w:t>
      </w:r>
      <w:r>
        <w:rPr>
          <w:spacing w:val="-2"/>
          <w:sz w:val="24"/>
        </w:rPr>
        <w:t> </w:t>
      </w:r>
      <w:r>
        <w:rPr>
          <w:sz w:val="24"/>
        </w:rPr>
        <w:t>was</w:t>
      </w:r>
      <w:r>
        <w:rPr>
          <w:spacing w:val="-2"/>
          <w:sz w:val="24"/>
        </w:rPr>
        <w:t> </w:t>
      </w:r>
      <w:r>
        <w:rPr>
          <w:sz w:val="24"/>
        </w:rPr>
        <w:t>terminated,</w:t>
      </w:r>
      <w:r>
        <w:rPr>
          <w:spacing w:val="-3"/>
          <w:sz w:val="24"/>
        </w:rPr>
        <w:t> </w:t>
      </w:r>
      <w:r>
        <w:rPr>
          <w:sz w:val="24"/>
        </w:rPr>
        <w:t>why?</w:t>
      </w:r>
      <w:r>
        <w:rPr>
          <w:spacing w:val="54"/>
          <w:sz w:val="24"/>
        </w:rPr>
        <w:t> </w:t>
      </w:r>
      <w:r>
        <w:rPr>
          <w:sz w:val="24"/>
        </w:rPr>
        <w:t>Yes</w:t>
      </w:r>
      <w:r>
        <w:rPr>
          <w:spacing w:val="-2"/>
          <w:sz w:val="24"/>
        </w:rPr>
        <w:t> </w:t>
      </w:r>
      <w:r>
        <w:rPr>
          <w:sz w:val="24"/>
        </w:rPr>
        <w:t>we</w:t>
      </w:r>
      <w:r>
        <w:rPr>
          <w:spacing w:val="-2"/>
          <w:sz w:val="24"/>
        </w:rPr>
        <w:t> </w:t>
      </w:r>
      <w:r>
        <w:rPr>
          <w:sz w:val="24"/>
        </w:rPr>
        <w:t>provide</w:t>
      </w:r>
      <w:r>
        <w:rPr>
          <w:spacing w:val="-1"/>
          <w:sz w:val="24"/>
        </w:rPr>
        <w:t> </w:t>
      </w:r>
      <w:r>
        <w:rPr>
          <w:sz w:val="24"/>
        </w:rPr>
        <w:t>this</w:t>
      </w:r>
      <w:r>
        <w:rPr>
          <w:spacing w:val="-2"/>
          <w:sz w:val="24"/>
        </w:rPr>
        <w:t> information</w:t>
      </w:r>
    </w:p>
    <w:p>
      <w:pPr>
        <w:pStyle w:val="ListParagraph"/>
        <w:numPr>
          <w:ilvl w:val="1"/>
          <w:numId w:val="38"/>
        </w:numPr>
        <w:tabs>
          <w:tab w:pos="1992" w:val="left" w:leader="none"/>
        </w:tabs>
        <w:spacing w:line="259" w:lineRule="auto" w:before="24" w:after="0"/>
        <w:ind w:left="1992" w:right="949" w:hanging="360"/>
        <w:jc w:val="left"/>
        <w:rPr>
          <w:sz w:val="24"/>
        </w:rPr>
      </w:pPr>
      <w:r>
        <w:rPr>
          <w:sz w:val="24"/>
        </w:rPr>
        <w:t>How do you verify that DBE vendors are paid within 30 days as required by FTA regulation?</w:t>
      </w:r>
      <w:r>
        <w:rPr>
          <w:spacing w:val="40"/>
          <w:sz w:val="24"/>
        </w:rPr>
        <w:t> </w:t>
      </w:r>
      <w:r>
        <w:rPr>
          <w:sz w:val="24"/>
        </w:rPr>
        <w:t>WMTS</w:t>
      </w:r>
      <w:r>
        <w:rPr>
          <w:spacing w:val="-4"/>
          <w:sz w:val="24"/>
        </w:rPr>
        <w:t> </w:t>
      </w:r>
      <w:r>
        <w:rPr>
          <w:sz w:val="24"/>
        </w:rPr>
        <w:t>presently</w:t>
      </w:r>
      <w:r>
        <w:rPr>
          <w:spacing w:val="-2"/>
          <w:sz w:val="24"/>
        </w:rPr>
        <w:t> </w:t>
      </w:r>
      <w:r>
        <w:rPr>
          <w:sz w:val="24"/>
        </w:rPr>
        <w:t>is</w:t>
      </w:r>
      <w:r>
        <w:rPr>
          <w:spacing w:val="-4"/>
          <w:sz w:val="24"/>
        </w:rPr>
        <w:t> </w:t>
      </w:r>
      <w:r>
        <w:rPr>
          <w:sz w:val="24"/>
        </w:rPr>
        <w:t>not</w:t>
      </w:r>
      <w:r>
        <w:rPr>
          <w:spacing w:val="-3"/>
          <w:sz w:val="24"/>
        </w:rPr>
        <w:t> </w:t>
      </w:r>
      <w:r>
        <w:rPr>
          <w:sz w:val="24"/>
        </w:rPr>
        <w:t>utilizing</w:t>
      </w:r>
      <w:r>
        <w:rPr>
          <w:spacing w:val="-4"/>
          <w:sz w:val="24"/>
        </w:rPr>
        <w:t> </w:t>
      </w:r>
      <w:r>
        <w:rPr>
          <w:sz w:val="24"/>
        </w:rPr>
        <w:t>any</w:t>
      </w:r>
      <w:r>
        <w:rPr>
          <w:spacing w:val="-5"/>
          <w:sz w:val="24"/>
        </w:rPr>
        <w:t> </w:t>
      </w:r>
      <w:r>
        <w:rPr>
          <w:sz w:val="24"/>
        </w:rPr>
        <w:t>DBE’s</w:t>
      </w:r>
      <w:r>
        <w:rPr>
          <w:spacing w:val="-2"/>
          <w:sz w:val="24"/>
        </w:rPr>
        <w:t> </w:t>
      </w:r>
      <w:r>
        <w:rPr>
          <w:sz w:val="24"/>
        </w:rPr>
        <w:t>however</w:t>
      </w:r>
      <w:r>
        <w:rPr>
          <w:spacing w:val="-4"/>
          <w:sz w:val="24"/>
        </w:rPr>
        <w:t> </w:t>
      </w:r>
      <w:r>
        <w:rPr>
          <w:sz w:val="24"/>
        </w:rPr>
        <w:t>WMTS</w:t>
      </w:r>
      <w:r>
        <w:rPr>
          <w:spacing w:val="-4"/>
          <w:sz w:val="24"/>
        </w:rPr>
        <w:t> </w:t>
      </w:r>
      <w:r>
        <w:rPr>
          <w:sz w:val="24"/>
        </w:rPr>
        <w:t>pays</w:t>
      </w:r>
      <w:r>
        <w:rPr>
          <w:spacing w:val="-2"/>
          <w:sz w:val="24"/>
        </w:rPr>
        <w:t> </w:t>
      </w:r>
      <w:r>
        <w:rPr>
          <w:sz w:val="24"/>
        </w:rPr>
        <w:t>invoices on a biweekly cycle and invoices are paid on the cycle following the receipt of an </w:t>
      </w:r>
      <w:r>
        <w:rPr>
          <w:spacing w:val="-2"/>
          <w:sz w:val="24"/>
        </w:rPr>
        <w:t>invoice.</w:t>
      </w:r>
    </w:p>
    <w:p>
      <w:pPr>
        <w:pStyle w:val="ListParagraph"/>
        <w:numPr>
          <w:ilvl w:val="1"/>
          <w:numId w:val="38"/>
        </w:numPr>
        <w:tabs>
          <w:tab w:pos="1991" w:val="left" w:leader="none"/>
        </w:tabs>
        <w:spacing w:line="240" w:lineRule="auto" w:before="2" w:after="0"/>
        <w:ind w:left="1991" w:right="0" w:hanging="359"/>
        <w:jc w:val="left"/>
        <w:rPr>
          <w:sz w:val="24"/>
        </w:rPr>
      </w:pPr>
      <w:r>
        <w:rPr>
          <w:sz w:val="24"/>
        </w:rPr>
        <w:t>Do</w:t>
      </w:r>
      <w:r>
        <w:rPr>
          <w:spacing w:val="-1"/>
          <w:sz w:val="24"/>
        </w:rPr>
        <w:t> </w:t>
      </w:r>
      <w:r>
        <w:rPr>
          <w:sz w:val="24"/>
        </w:rPr>
        <w:t>you</w:t>
      </w:r>
      <w:r>
        <w:rPr>
          <w:spacing w:val="1"/>
          <w:sz w:val="24"/>
        </w:rPr>
        <w:t> </w:t>
      </w:r>
      <w:r>
        <w:rPr>
          <w:sz w:val="24"/>
        </w:rPr>
        <w:t>actively</w:t>
      </w:r>
      <w:r>
        <w:rPr>
          <w:spacing w:val="-5"/>
          <w:sz w:val="24"/>
        </w:rPr>
        <w:t> </w:t>
      </w:r>
      <w:r>
        <w:rPr>
          <w:sz w:val="24"/>
        </w:rPr>
        <w:t>seek</w:t>
      </w:r>
      <w:r>
        <w:rPr>
          <w:spacing w:val="-2"/>
          <w:sz w:val="24"/>
        </w:rPr>
        <w:t> </w:t>
      </w:r>
      <w:r>
        <w:rPr>
          <w:sz w:val="24"/>
        </w:rPr>
        <w:t>out</w:t>
      </w:r>
      <w:r>
        <w:rPr>
          <w:spacing w:val="-2"/>
          <w:sz w:val="24"/>
        </w:rPr>
        <w:t> </w:t>
      </w:r>
      <w:r>
        <w:rPr>
          <w:sz w:val="24"/>
        </w:rPr>
        <w:t>DBEs</w:t>
      </w:r>
      <w:r>
        <w:rPr>
          <w:spacing w:val="-2"/>
          <w:sz w:val="24"/>
        </w:rPr>
        <w:t> </w:t>
      </w:r>
      <w:r>
        <w:rPr>
          <w:sz w:val="24"/>
        </w:rPr>
        <w:t>for</w:t>
      </w:r>
      <w:r>
        <w:rPr>
          <w:spacing w:val="-3"/>
          <w:sz w:val="24"/>
        </w:rPr>
        <w:t> </w:t>
      </w:r>
      <w:r>
        <w:rPr>
          <w:sz w:val="24"/>
        </w:rPr>
        <w:t>contracting</w:t>
      </w:r>
      <w:r>
        <w:rPr>
          <w:spacing w:val="-2"/>
          <w:sz w:val="24"/>
        </w:rPr>
        <w:t> </w:t>
      </w:r>
      <w:r>
        <w:rPr>
          <w:sz w:val="24"/>
        </w:rPr>
        <w:t>opportunities?</w:t>
      </w:r>
      <w:r>
        <w:rPr>
          <w:spacing w:val="53"/>
          <w:sz w:val="24"/>
        </w:rPr>
        <w:t> </w:t>
      </w:r>
      <w:r>
        <w:rPr>
          <w:spacing w:val="-5"/>
          <w:sz w:val="28"/>
        </w:rPr>
        <w:t>Yes</w:t>
      </w:r>
    </w:p>
    <w:p>
      <w:pPr>
        <w:pStyle w:val="BodyText"/>
        <w:rPr>
          <w:sz w:val="28"/>
        </w:rPr>
      </w:pPr>
    </w:p>
    <w:p>
      <w:pPr>
        <w:pStyle w:val="Heading5"/>
        <w:numPr>
          <w:ilvl w:val="0"/>
          <w:numId w:val="38"/>
        </w:numPr>
        <w:tabs>
          <w:tab w:pos="1457" w:val="left" w:leader="none"/>
        </w:tabs>
        <w:spacing w:line="240" w:lineRule="auto" w:before="1" w:after="0"/>
        <w:ind w:left="1457" w:right="0" w:hanging="546"/>
        <w:jc w:val="left"/>
        <w:rPr>
          <w:color w:val="2D74B5"/>
        </w:rPr>
      </w:pPr>
      <w:r>
        <w:rPr>
          <w:color w:val="2D74B5"/>
        </w:rPr>
        <w:t>Title</w:t>
      </w:r>
      <w:r>
        <w:rPr>
          <w:color w:val="2D74B5"/>
          <w:spacing w:val="-2"/>
        </w:rPr>
        <w:t> </w:t>
      </w:r>
      <w:r>
        <w:rPr>
          <w:color w:val="2D74B5"/>
          <w:spacing w:val="-5"/>
        </w:rPr>
        <w:t>VI</w:t>
      </w:r>
    </w:p>
    <w:p>
      <w:pPr>
        <w:pStyle w:val="ListParagraph"/>
        <w:numPr>
          <w:ilvl w:val="1"/>
          <w:numId w:val="38"/>
        </w:numPr>
        <w:tabs>
          <w:tab w:pos="1903" w:val="left" w:leader="none"/>
          <w:tab w:pos="1992" w:val="left" w:leader="none"/>
        </w:tabs>
        <w:spacing w:line="259" w:lineRule="auto" w:before="25" w:after="0"/>
        <w:ind w:left="1992" w:right="653" w:hanging="360"/>
        <w:jc w:val="left"/>
        <w:rPr>
          <w:sz w:val="24"/>
        </w:rPr>
      </w:pPr>
      <w:r>
        <w:rPr>
          <w:sz w:val="24"/>
        </w:rPr>
        <w:t>Do</w:t>
      </w:r>
      <w:r>
        <w:rPr>
          <w:spacing w:val="-1"/>
          <w:sz w:val="24"/>
        </w:rPr>
        <w:t> </w:t>
      </w:r>
      <w:r>
        <w:rPr>
          <w:sz w:val="24"/>
        </w:rPr>
        <w:t>you have</w:t>
      </w:r>
      <w:r>
        <w:rPr>
          <w:spacing w:val="-1"/>
          <w:sz w:val="24"/>
        </w:rPr>
        <w:t> </w:t>
      </w:r>
      <w:r>
        <w:rPr>
          <w:sz w:val="24"/>
        </w:rPr>
        <w:t>a</w:t>
      </w:r>
      <w:r>
        <w:rPr>
          <w:spacing w:val="-4"/>
          <w:sz w:val="24"/>
        </w:rPr>
        <w:t> </w:t>
      </w:r>
      <w:r>
        <w:rPr>
          <w:sz w:val="24"/>
        </w:rPr>
        <w:t>Title</w:t>
      </w:r>
      <w:r>
        <w:rPr>
          <w:spacing w:val="-1"/>
          <w:sz w:val="24"/>
        </w:rPr>
        <w:t> </w:t>
      </w:r>
      <w:r>
        <w:rPr>
          <w:sz w:val="24"/>
        </w:rPr>
        <w:t>VI</w:t>
      </w:r>
      <w:r>
        <w:rPr>
          <w:spacing w:val="-5"/>
          <w:sz w:val="24"/>
        </w:rPr>
        <w:t> </w:t>
      </w:r>
      <w:r>
        <w:rPr>
          <w:sz w:val="24"/>
        </w:rPr>
        <w:t>plan and complaint</w:t>
      </w:r>
      <w:r>
        <w:rPr>
          <w:spacing w:val="-3"/>
          <w:sz w:val="24"/>
        </w:rPr>
        <w:t> </w:t>
      </w:r>
      <w:r>
        <w:rPr>
          <w:sz w:val="24"/>
        </w:rPr>
        <w:t>process?</w:t>
      </w:r>
      <w:r>
        <w:rPr>
          <w:spacing w:val="40"/>
          <w:sz w:val="24"/>
        </w:rPr>
        <w:t> </w:t>
      </w: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3"/>
          <w:sz w:val="22"/>
        </w:rPr>
        <w:t> </w:t>
      </w:r>
      <w:r>
        <w:rPr>
          <w:color w:val="808080"/>
          <w:sz w:val="22"/>
        </w:rPr>
        <w:t>here</w:t>
      </w:r>
      <w:r>
        <w:rPr>
          <w:color w:val="808080"/>
          <w:spacing w:val="-4"/>
          <w:sz w:val="22"/>
        </w:rPr>
        <w:t> </w:t>
      </w:r>
      <w:r>
        <w:rPr>
          <w:color w:val="808080"/>
          <w:sz w:val="22"/>
        </w:rPr>
        <w:t>to</w:t>
      </w:r>
      <w:r>
        <w:rPr>
          <w:color w:val="808080"/>
          <w:spacing w:val="-1"/>
          <w:sz w:val="22"/>
        </w:rPr>
        <w:t> </w:t>
      </w:r>
      <w:r>
        <w:rPr>
          <w:color w:val="808080"/>
          <w:sz w:val="22"/>
        </w:rPr>
        <w:t>enter</w:t>
      </w:r>
      <w:r>
        <w:rPr>
          <w:color w:val="808080"/>
          <w:spacing w:val="-2"/>
          <w:sz w:val="22"/>
        </w:rPr>
        <w:t> </w:t>
      </w:r>
      <w:r>
        <w:rPr>
          <w:color w:val="808080"/>
          <w:sz w:val="22"/>
        </w:rPr>
        <w:t>text.</w:t>
      </w:r>
      <w:r>
        <w:rPr>
          <w:color w:val="808080"/>
          <w:spacing w:val="40"/>
          <w:sz w:val="22"/>
        </w:rPr>
        <w:t> </w:t>
      </w:r>
      <w:r>
        <w:rPr>
          <w:sz w:val="24"/>
        </w:rPr>
        <w:t>Date</w:t>
      </w:r>
      <w:r>
        <w:rPr>
          <w:spacing w:val="-3"/>
          <w:sz w:val="24"/>
        </w:rPr>
        <w:t> </w:t>
      </w:r>
      <w:r>
        <w:rPr>
          <w:sz w:val="24"/>
        </w:rPr>
        <w:t>of plan?</w:t>
      </w:r>
      <w:r>
        <w:rPr>
          <w:spacing w:val="40"/>
          <w:sz w:val="24"/>
        </w:rPr>
        <w:t> </w:t>
      </w:r>
      <w:r>
        <w:rPr>
          <w:sz w:val="24"/>
        </w:rPr>
        <w:t>Last policy approved by the Board in 09/21 Policy is updated and waiting BOD approval in June 2023</w:t>
      </w:r>
    </w:p>
    <w:p>
      <w:pPr>
        <w:pStyle w:val="ListParagraph"/>
        <w:numPr>
          <w:ilvl w:val="1"/>
          <w:numId w:val="38"/>
        </w:numPr>
        <w:tabs>
          <w:tab w:pos="1991" w:val="left" w:leader="none"/>
        </w:tabs>
        <w:spacing w:line="259" w:lineRule="auto" w:before="0" w:after="0"/>
        <w:ind w:left="1991" w:right="840" w:hanging="360"/>
        <w:jc w:val="left"/>
        <w:rPr>
          <w:sz w:val="24"/>
        </w:rPr>
      </w:pPr>
      <w:r>
        <w:rPr>
          <w:sz w:val="24"/>
        </w:rPr>
        <w:t>How</w:t>
      </w:r>
      <w:r>
        <w:rPr>
          <w:spacing w:val="-1"/>
          <w:sz w:val="24"/>
        </w:rPr>
        <w:t> </w:t>
      </w:r>
      <w:r>
        <w:rPr>
          <w:sz w:val="24"/>
        </w:rPr>
        <w:t>do</w:t>
      </w:r>
      <w:r>
        <w:rPr>
          <w:spacing w:val="-1"/>
          <w:sz w:val="24"/>
        </w:rPr>
        <w:t> </w:t>
      </w:r>
      <w:r>
        <w:rPr>
          <w:sz w:val="24"/>
        </w:rPr>
        <w:t>you</w:t>
      </w:r>
      <w:r>
        <w:rPr>
          <w:spacing w:val="-3"/>
          <w:sz w:val="24"/>
        </w:rPr>
        <w:t> </w:t>
      </w:r>
      <w:r>
        <w:rPr>
          <w:sz w:val="24"/>
        </w:rPr>
        <w:t>notify</w:t>
      </w:r>
      <w:r>
        <w:rPr>
          <w:spacing w:val="-2"/>
          <w:sz w:val="24"/>
        </w:rPr>
        <w:t> </w:t>
      </w:r>
      <w:r>
        <w:rPr>
          <w:sz w:val="24"/>
        </w:rPr>
        <w:t>the</w:t>
      </w:r>
      <w:r>
        <w:rPr>
          <w:spacing w:val="-3"/>
          <w:sz w:val="24"/>
        </w:rPr>
        <w:t> </w:t>
      </w:r>
      <w:r>
        <w:rPr>
          <w:sz w:val="24"/>
        </w:rPr>
        <w:t>public</w:t>
      </w:r>
      <w:r>
        <w:rPr>
          <w:spacing w:val="-2"/>
          <w:sz w:val="24"/>
        </w:rPr>
        <w:t> </w:t>
      </w:r>
      <w:r>
        <w:rPr>
          <w:sz w:val="24"/>
        </w:rPr>
        <w:t>of</w:t>
      </w:r>
      <w:r>
        <w:rPr>
          <w:spacing w:val="-1"/>
          <w:sz w:val="24"/>
        </w:rPr>
        <w:t> </w:t>
      </w:r>
      <w:r>
        <w:rPr>
          <w:sz w:val="24"/>
        </w:rPr>
        <w:t>its</w:t>
      </w:r>
      <w:r>
        <w:rPr>
          <w:spacing w:val="-2"/>
          <w:sz w:val="24"/>
        </w:rPr>
        <w:t> </w:t>
      </w:r>
      <w:r>
        <w:rPr>
          <w:sz w:val="24"/>
        </w:rPr>
        <w:t>rights</w:t>
      </w:r>
      <w:r>
        <w:rPr>
          <w:spacing w:val="-4"/>
          <w:sz w:val="24"/>
        </w:rPr>
        <w:t> </w:t>
      </w:r>
      <w:r>
        <w:rPr>
          <w:sz w:val="24"/>
        </w:rPr>
        <w:t>under</w:t>
      </w:r>
      <w:r>
        <w:rPr>
          <w:spacing w:val="-4"/>
          <w:sz w:val="24"/>
        </w:rPr>
        <w:t> </w:t>
      </w:r>
      <w:r>
        <w:rPr>
          <w:sz w:val="24"/>
        </w:rPr>
        <w:t>Title</w:t>
      </w:r>
      <w:r>
        <w:rPr>
          <w:spacing w:val="-1"/>
          <w:sz w:val="24"/>
        </w:rPr>
        <w:t> </w:t>
      </w:r>
      <w:r>
        <w:rPr>
          <w:sz w:val="24"/>
        </w:rPr>
        <w:t>VI?</w:t>
      </w:r>
      <w:r>
        <w:rPr>
          <w:spacing w:val="40"/>
          <w:sz w:val="24"/>
        </w:rPr>
        <w:t> </w:t>
      </w:r>
      <w:r>
        <w:rPr>
          <w:sz w:val="24"/>
        </w:rPr>
        <w:t>We</w:t>
      </w:r>
      <w:r>
        <w:rPr>
          <w:spacing w:val="-3"/>
          <w:sz w:val="24"/>
        </w:rPr>
        <w:t> </w:t>
      </w:r>
      <w:r>
        <w:rPr>
          <w:sz w:val="24"/>
        </w:rPr>
        <w:t>provide</w:t>
      </w:r>
      <w:r>
        <w:rPr>
          <w:spacing w:val="-3"/>
          <w:sz w:val="24"/>
        </w:rPr>
        <w:t> </w:t>
      </w:r>
      <w:r>
        <w:rPr>
          <w:sz w:val="24"/>
        </w:rPr>
        <w:t>this</w:t>
      </w:r>
      <w:r>
        <w:rPr>
          <w:spacing w:val="-4"/>
          <w:sz w:val="24"/>
        </w:rPr>
        <w:t> </w:t>
      </w:r>
      <w:r>
        <w:rPr>
          <w:sz w:val="24"/>
        </w:rPr>
        <w:t>information on our website, and all printed brochures and schedules.</w:t>
      </w:r>
    </w:p>
    <w:p>
      <w:pPr>
        <w:pStyle w:val="ListParagraph"/>
        <w:numPr>
          <w:ilvl w:val="1"/>
          <w:numId w:val="38"/>
        </w:numPr>
        <w:tabs>
          <w:tab w:pos="1991" w:val="left" w:leader="none"/>
        </w:tabs>
        <w:spacing w:line="259" w:lineRule="auto" w:before="0" w:after="0"/>
        <w:ind w:left="1991" w:right="680" w:hanging="360"/>
        <w:jc w:val="left"/>
        <w:rPr>
          <w:sz w:val="24"/>
        </w:rPr>
      </w:pPr>
      <w:r>
        <w:rPr>
          <w:sz w:val="24"/>
        </w:rPr>
        <w:t>Do you have a complaint process for non-Title VI complaints?</w:t>
      </w:r>
      <w:r>
        <w:rPr>
          <w:spacing w:val="40"/>
          <w:sz w:val="24"/>
        </w:rPr>
        <w:t> </w:t>
      </w:r>
      <w:r>
        <w:rPr>
          <w:sz w:val="24"/>
        </w:rPr>
        <w:t>Please discuss.</w:t>
      </w:r>
      <w:r>
        <w:rPr>
          <w:spacing w:val="40"/>
          <w:sz w:val="24"/>
        </w:rPr>
        <w:t> </w:t>
      </w:r>
      <w:r>
        <w:rPr>
          <w:sz w:val="24"/>
        </w:rPr>
        <w:t>Yes, WMTS</w:t>
      </w:r>
      <w:r>
        <w:rPr>
          <w:spacing w:val="-4"/>
          <w:sz w:val="24"/>
        </w:rPr>
        <w:t> </w:t>
      </w:r>
      <w:r>
        <w:rPr>
          <w:sz w:val="24"/>
        </w:rPr>
        <w:t>has</w:t>
      </w:r>
      <w:r>
        <w:rPr>
          <w:spacing w:val="-2"/>
          <w:sz w:val="24"/>
        </w:rPr>
        <w:t> </w:t>
      </w:r>
      <w:r>
        <w:rPr>
          <w:sz w:val="24"/>
        </w:rPr>
        <w:t>a</w:t>
      </w:r>
      <w:r>
        <w:rPr>
          <w:spacing w:val="-4"/>
          <w:sz w:val="24"/>
        </w:rPr>
        <w:t> </w:t>
      </w:r>
      <w:r>
        <w:rPr>
          <w:sz w:val="24"/>
        </w:rPr>
        <w:t>complaint</w:t>
      </w:r>
      <w:r>
        <w:rPr>
          <w:spacing w:val="-3"/>
          <w:sz w:val="24"/>
        </w:rPr>
        <w:t> </w:t>
      </w:r>
      <w:r>
        <w:rPr>
          <w:sz w:val="24"/>
        </w:rPr>
        <w:t>form</w:t>
      </w:r>
      <w:r>
        <w:rPr>
          <w:spacing w:val="-1"/>
          <w:sz w:val="24"/>
        </w:rPr>
        <w:t> </w:t>
      </w:r>
      <w:r>
        <w:rPr>
          <w:sz w:val="24"/>
        </w:rPr>
        <w:t>and</w:t>
      </w:r>
      <w:r>
        <w:rPr>
          <w:spacing w:val="-3"/>
          <w:sz w:val="24"/>
        </w:rPr>
        <w:t> </w:t>
      </w:r>
      <w:r>
        <w:rPr>
          <w:sz w:val="24"/>
        </w:rPr>
        <w:t>process</w:t>
      </w:r>
      <w:r>
        <w:rPr>
          <w:spacing w:val="-4"/>
          <w:sz w:val="24"/>
        </w:rPr>
        <w:t> </w:t>
      </w:r>
      <w:r>
        <w:rPr>
          <w:sz w:val="24"/>
        </w:rPr>
        <w:t>that is</w:t>
      </w:r>
      <w:r>
        <w:rPr>
          <w:spacing w:val="-7"/>
          <w:sz w:val="24"/>
        </w:rPr>
        <w:t> </w:t>
      </w:r>
      <w:r>
        <w:rPr>
          <w:sz w:val="24"/>
        </w:rPr>
        <w:t>outlined</w:t>
      </w:r>
      <w:r>
        <w:rPr>
          <w:spacing w:val="-3"/>
          <w:sz w:val="24"/>
        </w:rPr>
        <w:t> </w:t>
      </w:r>
      <w:r>
        <w:rPr>
          <w:sz w:val="24"/>
        </w:rPr>
        <w:t>in</w:t>
      </w:r>
      <w:r>
        <w:rPr>
          <w:spacing w:val="-3"/>
          <w:sz w:val="24"/>
        </w:rPr>
        <w:t> </w:t>
      </w:r>
      <w:r>
        <w:rPr>
          <w:sz w:val="24"/>
        </w:rPr>
        <w:t>the</w:t>
      </w:r>
      <w:r>
        <w:rPr>
          <w:spacing w:val="-1"/>
          <w:sz w:val="24"/>
        </w:rPr>
        <w:t> </w:t>
      </w:r>
      <w:r>
        <w:rPr>
          <w:sz w:val="24"/>
        </w:rPr>
        <w:t>attached</w:t>
      </w:r>
      <w:r>
        <w:rPr>
          <w:spacing w:val="-5"/>
          <w:sz w:val="24"/>
        </w:rPr>
        <w:t> </w:t>
      </w:r>
      <w:r>
        <w:rPr>
          <w:sz w:val="24"/>
        </w:rPr>
        <w:t>Title</w:t>
      </w:r>
      <w:r>
        <w:rPr>
          <w:spacing w:val="-3"/>
          <w:sz w:val="24"/>
        </w:rPr>
        <w:t> </w:t>
      </w:r>
      <w:r>
        <w:rPr>
          <w:sz w:val="24"/>
        </w:rPr>
        <w:t>VI</w:t>
      </w:r>
      <w:r>
        <w:rPr>
          <w:spacing w:val="-2"/>
          <w:sz w:val="24"/>
        </w:rPr>
        <w:t> </w:t>
      </w:r>
      <w:r>
        <w:rPr>
          <w:sz w:val="24"/>
        </w:rPr>
        <w:t>Policy.</w:t>
      </w:r>
    </w:p>
    <w:p>
      <w:pPr>
        <w:pStyle w:val="BodyText"/>
        <w:rPr>
          <w:sz w:val="26"/>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ADA</w:t>
      </w:r>
      <w:r>
        <w:rPr>
          <w:color w:val="2D74B5"/>
          <w:spacing w:val="-1"/>
        </w:rPr>
        <w:t> </w:t>
      </w:r>
      <w:r>
        <w:rPr>
          <w:color w:val="2D74B5"/>
        </w:rPr>
        <w:t>–</w:t>
      </w:r>
      <w:r>
        <w:rPr>
          <w:color w:val="2D74B5"/>
          <w:spacing w:val="-2"/>
        </w:rPr>
        <w:t> General</w:t>
      </w:r>
    </w:p>
    <w:p>
      <w:pPr>
        <w:pStyle w:val="ListParagraph"/>
        <w:numPr>
          <w:ilvl w:val="1"/>
          <w:numId w:val="38"/>
        </w:numPr>
        <w:tabs>
          <w:tab w:pos="1991" w:val="left" w:leader="none"/>
        </w:tabs>
        <w:spacing w:line="256" w:lineRule="auto" w:before="25" w:after="0"/>
        <w:ind w:left="1991" w:right="1091" w:hanging="360"/>
        <w:jc w:val="left"/>
        <w:rPr>
          <w:sz w:val="24"/>
        </w:rPr>
      </w:pPr>
      <w:r>
        <w:rPr>
          <w:sz w:val="24"/>
        </w:rPr>
        <w:t>Do</w:t>
      </w:r>
      <w:r>
        <w:rPr>
          <w:spacing w:val="-1"/>
          <w:sz w:val="24"/>
        </w:rPr>
        <w:t> </w:t>
      </w:r>
      <w:r>
        <w:rPr>
          <w:sz w:val="24"/>
        </w:rPr>
        <w:t>you contract</w:t>
      </w:r>
      <w:r>
        <w:rPr>
          <w:spacing w:val="-3"/>
          <w:sz w:val="24"/>
        </w:rPr>
        <w:t> </w:t>
      </w:r>
      <w:r>
        <w:rPr>
          <w:sz w:val="24"/>
        </w:rPr>
        <w:t>with</w:t>
      </w:r>
      <w:r>
        <w:rPr>
          <w:spacing w:val="-3"/>
          <w:sz w:val="24"/>
        </w:rPr>
        <w:t> </w:t>
      </w:r>
      <w:r>
        <w:rPr>
          <w:sz w:val="24"/>
        </w:rPr>
        <w:t>taxis,</w:t>
      </w:r>
      <w:r>
        <w:rPr>
          <w:spacing w:val="-1"/>
          <w:sz w:val="24"/>
        </w:rPr>
        <w:t> </w:t>
      </w:r>
      <w:r>
        <w:rPr>
          <w:sz w:val="24"/>
        </w:rPr>
        <w:t>TNCs,</w:t>
      </w:r>
      <w:r>
        <w:rPr>
          <w:spacing w:val="-1"/>
          <w:sz w:val="24"/>
        </w:rPr>
        <w:t> </w:t>
      </w:r>
      <w:r>
        <w:rPr>
          <w:sz w:val="24"/>
        </w:rPr>
        <w:t>or</w:t>
      </w:r>
      <w:r>
        <w:rPr>
          <w:spacing w:val="-4"/>
          <w:sz w:val="24"/>
        </w:rPr>
        <w:t> </w:t>
      </w:r>
      <w:r>
        <w:rPr>
          <w:sz w:val="24"/>
        </w:rPr>
        <w:t>other</w:t>
      </w:r>
      <w:r>
        <w:rPr>
          <w:spacing w:val="-4"/>
          <w:sz w:val="24"/>
        </w:rPr>
        <w:t> </w:t>
      </w:r>
      <w:r>
        <w:rPr>
          <w:sz w:val="24"/>
        </w:rPr>
        <w:t>private</w:t>
      </w:r>
      <w:r>
        <w:rPr>
          <w:spacing w:val="-6"/>
          <w:sz w:val="24"/>
        </w:rPr>
        <w:t> </w:t>
      </w:r>
      <w:r>
        <w:rPr>
          <w:sz w:val="24"/>
        </w:rPr>
        <w:t>entities?</w:t>
      </w:r>
      <w:r>
        <w:rPr>
          <w:spacing w:val="40"/>
          <w:sz w:val="24"/>
        </w:rPr>
        <w:t> </w:t>
      </w:r>
      <w:r>
        <w:rPr>
          <w:color w:val="808080"/>
          <w:sz w:val="22"/>
        </w:rPr>
        <w:t>Click</w:t>
      </w:r>
      <w:r>
        <w:rPr>
          <w:color w:val="808080"/>
          <w:spacing w:val="-4"/>
          <w:sz w:val="22"/>
        </w:rPr>
        <w:t> </w:t>
      </w:r>
      <w:r>
        <w:rPr>
          <w:color w:val="808080"/>
          <w:sz w:val="22"/>
        </w:rPr>
        <w:t>or</w:t>
      </w:r>
      <w:r>
        <w:rPr>
          <w:color w:val="808080"/>
          <w:spacing w:val="-4"/>
          <w:sz w:val="22"/>
        </w:rPr>
        <w:t> </w:t>
      </w:r>
      <w:r>
        <w:rPr>
          <w:color w:val="808080"/>
          <w:sz w:val="22"/>
        </w:rPr>
        <w:t>tap</w:t>
      </w:r>
      <w:r>
        <w:rPr>
          <w:color w:val="808080"/>
          <w:spacing w:val="-3"/>
          <w:sz w:val="22"/>
        </w:rPr>
        <w:t> </w:t>
      </w:r>
      <w:r>
        <w:rPr>
          <w:color w:val="808080"/>
          <w:sz w:val="22"/>
        </w:rPr>
        <w:t>here</w:t>
      </w:r>
      <w:r>
        <w:rPr>
          <w:color w:val="808080"/>
          <w:spacing w:val="-4"/>
          <w:sz w:val="22"/>
        </w:rPr>
        <w:t> </w:t>
      </w:r>
      <w:r>
        <w:rPr>
          <w:color w:val="808080"/>
          <w:sz w:val="22"/>
        </w:rPr>
        <w:t>to</w:t>
      </w:r>
      <w:r>
        <w:rPr>
          <w:color w:val="808080"/>
          <w:spacing w:val="-3"/>
          <w:sz w:val="22"/>
        </w:rPr>
        <w:t> </w:t>
      </w:r>
      <w:r>
        <w:rPr>
          <w:color w:val="808080"/>
          <w:sz w:val="22"/>
        </w:rPr>
        <w:t>enter </w:t>
      </w:r>
      <w:r>
        <w:rPr>
          <w:color w:val="808080"/>
          <w:spacing w:val="-2"/>
          <w:sz w:val="22"/>
        </w:rPr>
        <w:t>text.</w:t>
      </w:r>
    </w:p>
    <w:p>
      <w:pPr>
        <w:pStyle w:val="ListParagraph"/>
        <w:numPr>
          <w:ilvl w:val="2"/>
          <w:numId w:val="38"/>
        </w:numPr>
        <w:tabs>
          <w:tab w:pos="2171" w:val="left" w:leader="none"/>
        </w:tabs>
        <w:spacing w:line="240" w:lineRule="auto" w:before="4" w:after="0"/>
        <w:ind w:left="2171" w:right="0" w:hanging="179"/>
        <w:jc w:val="left"/>
        <w:rPr>
          <w:sz w:val="24"/>
        </w:rPr>
      </w:pPr>
      <w:r>
        <w:rPr>
          <w:sz w:val="24"/>
        </w:rPr>
        <w:t>If</w:t>
      </w:r>
      <w:r>
        <w:rPr>
          <w:spacing w:val="-1"/>
          <w:sz w:val="24"/>
        </w:rPr>
        <w:t> </w:t>
      </w:r>
      <w:r>
        <w:rPr>
          <w:sz w:val="24"/>
        </w:rPr>
        <w:t>yes,</w:t>
      </w:r>
      <w:r>
        <w:rPr>
          <w:spacing w:val="-1"/>
          <w:sz w:val="24"/>
        </w:rPr>
        <w:t> </w:t>
      </w:r>
      <w:r>
        <w:rPr>
          <w:sz w:val="24"/>
        </w:rPr>
        <w:t>how</w:t>
      </w:r>
      <w:r>
        <w:rPr>
          <w:spacing w:val="-3"/>
          <w:sz w:val="24"/>
        </w:rPr>
        <w:t> </w:t>
      </w:r>
      <w:r>
        <w:rPr>
          <w:sz w:val="24"/>
        </w:rPr>
        <w:t>do</w:t>
      </w:r>
      <w:r>
        <w:rPr>
          <w:spacing w:val="-3"/>
          <w:sz w:val="24"/>
        </w:rPr>
        <w:t> </w:t>
      </w:r>
      <w:r>
        <w:rPr>
          <w:sz w:val="24"/>
        </w:rPr>
        <w:t>you</w:t>
      </w:r>
      <w:r>
        <w:rPr>
          <w:spacing w:val="-3"/>
          <w:sz w:val="24"/>
        </w:rPr>
        <w:t> </w:t>
      </w:r>
      <w:r>
        <w:rPr>
          <w:sz w:val="24"/>
        </w:rPr>
        <w:t>ensure</w:t>
      </w:r>
      <w:r>
        <w:rPr>
          <w:spacing w:val="-1"/>
          <w:sz w:val="24"/>
        </w:rPr>
        <w:t> </w:t>
      </w:r>
      <w:r>
        <w:rPr>
          <w:sz w:val="24"/>
        </w:rPr>
        <w:t>that</w:t>
      </w:r>
      <w:r>
        <w:rPr>
          <w:spacing w:val="-3"/>
          <w:sz w:val="24"/>
        </w:rPr>
        <w:t> </w:t>
      </w:r>
      <w:r>
        <w:rPr>
          <w:sz w:val="24"/>
        </w:rPr>
        <w:t>equivalent accessible</w:t>
      </w:r>
      <w:r>
        <w:rPr>
          <w:spacing w:val="-1"/>
          <w:sz w:val="24"/>
        </w:rPr>
        <w:t> </w:t>
      </w:r>
      <w:r>
        <w:rPr>
          <w:sz w:val="24"/>
        </w:rPr>
        <w:t>services</w:t>
      </w:r>
      <w:r>
        <w:rPr>
          <w:spacing w:val="-4"/>
          <w:sz w:val="24"/>
        </w:rPr>
        <w:t> </w:t>
      </w:r>
      <w:r>
        <w:rPr>
          <w:sz w:val="24"/>
        </w:rPr>
        <w:t>are</w:t>
      </w:r>
      <w:r>
        <w:rPr>
          <w:spacing w:val="-4"/>
          <w:sz w:val="24"/>
        </w:rPr>
        <w:t> </w:t>
      </w:r>
      <w:r>
        <w:rPr>
          <w:sz w:val="24"/>
        </w:rPr>
        <w:t>provided?</w:t>
      </w:r>
      <w:r>
        <w:rPr>
          <w:spacing w:val="50"/>
          <w:sz w:val="24"/>
        </w:rPr>
        <w:t> </w:t>
      </w:r>
      <w:r>
        <w:rPr>
          <w:spacing w:val="-5"/>
          <w:sz w:val="24"/>
        </w:rPr>
        <w:t>No</w:t>
      </w:r>
    </w:p>
    <w:p>
      <w:pPr>
        <w:pStyle w:val="ListParagraph"/>
        <w:numPr>
          <w:ilvl w:val="1"/>
          <w:numId w:val="38"/>
        </w:numPr>
        <w:tabs>
          <w:tab w:pos="1991" w:val="left" w:leader="none"/>
        </w:tabs>
        <w:spacing w:line="259" w:lineRule="auto" w:before="24" w:after="0"/>
        <w:ind w:left="1991" w:right="883" w:hanging="360"/>
        <w:jc w:val="left"/>
        <w:rPr>
          <w:sz w:val="24"/>
        </w:rPr>
      </w:pPr>
      <w:r>
        <w:rPr>
          <w:sz w:val="24"/>
        </w:rPr>
        <w:t>Have</w:t>
      </w:r>
      <w:r>
        <w:rPr>
          <w:spacing w:val="-1"/>
          <w:sz w:val="24"/>
        </w:rPr>
        <w:t> </w:t>
      </w:r>
      <w:r>
        <w:rPr>
          <w:sz w:val="24"/>
        </w:rPr>
        <w:t>you constructed</w:t>
      </w:r>
      <w:r>
        <w:rPr>
          <w:spacing w:val="-3"/>
          <w:sz w:val="24"/>
        </w:rPr>
        <w:t> </w:t>
      </w:r>
      <w:r>
        <w:rPr>
          <w:sz w:val="24"/>
        </w:rPr>
        <w:t>or</w:t>
      </w:r>
      <w:r>
        <w:rPr>
          <w:spacing w:val="-6"/>
          <w:sz w:val="24"/>
        </w:rPr>
        <w:t> </w:t>
      </w:r>
      <w:r>
        <w:rPr>
          <w:sz w:val="24"/>
        </w:rPr>
        <w:t>renovated</w:t>
      </w:r>
      <w:r>
        <w:rPr>
          <w:spacing w:val="-3"/>
          <w:sz w:val="24"/>
        </w:rPr>
        <w:t> </w:t>
      </w:r>
      <w:r>
        <w:rPr>
          <w:sz w:val="24"/>
        </w:rPr>
        <w:t>any</w:t>
      </w:r>
      <w:r>
        <w:rPr>
          <w:spacing w:val="-5"/>
          <w:sz w:val="24"/>
        </w:rPr>
        <w:t> </w:t>
      </w:r>
      <w:r>
        <w:rPr>
          <w:sz w:val="24"/>
        </w:rPr>
        <w:t>facilities</w:t>
      </w:r>
      <w:r>
        <w:rPr>
          <w:spacing w:val="-2"/>
          <w:sz w:val="24"/>
        </w:rPr>
        <w:t> </w:t>
      </w:r>
      <w:r>
        <w:rPr>
          <w:sz w:val="24"/>
        </w:rPr>
        <w:t>in the</w:t>
      </w:r>
      <w:r>
        <w:rPr>
          <w:spacing w:val="-3"/>
          <w:sz w:val="24"/>
        </w:rPr>
        <w:t> </w:t>
      </w:r>
      <w:r>
        <w:rPr>
          <w:sz w:val="24"/>
        </w:rPr>
        <w:t>past</w:t>
      </w:r>
      <w:r>
        <w:rPr>
          <w:spacing w:val="-3"/>
          <w:sz w:val="24"/>
        </w:rPr>
        <w:t> </w:t>
      </w:r>
      <w:r>
        <w:rPr>
          <w:sz w:val="24"/>
        </w:rPr>
        <w:t>three</w:t>
      </w:r>
      <w:r>
        <w:rPr>
          <w:spacing w:val="-3"/>
          <w:sz w:val="24"/>
        </w:rPr>
        <w:t> </w:t>
      </w:r>
      <w:r>
        <w:rPr>
          <w:sz w:val="24"/>
        </w:rPr>
        <w:t>years?</w:t>
      </w:r>
      <w:r>
        <w:rPr>
          <w:spacing w:val="40"/>
          <w:sz w:val="24"/>
        </w:rPr>
        <w:t> </w:t>
      </w:r>
      <w:r>
        <w:rPr>
          <w:sz w:val="24"/>
        </w:rPr>
        <w:t>WMTS</w:t>
      </w:r>
      <w:r>
        <w:rPr>
          <w:spacing w:val="-1"/>
          <w:sz w:val="24"/>
        </w:rPr>
        <w:t> </w:t>
      </w:r>
      <w:r>
        <w:rPr>
          <w:sz w:val="24"/>
        </w:rPr>
        <w:t>is</w:t>
      </w:r>
      <w:r>
        <w:rPr>
          <w:spacing w:val="-4"/>
          <w:sz w:val="24"/>
        </w:rPr>
        <w:t> </w:t>
      </w:r>
      <w:r>
        <w:rPr>
          <w:sz w:val="24"/>
        </w:rPr>
        <w:t>in the process of doing an expansion that began in July 2021.</w:t>
      </w:r>
      <w:r>
        <w:rPr>
          <w:spacing w:val="40"/>
          <w:sz w:val="24"/>
        </w:rPr>
        <w:t> </w:t>
      </w:r>
      <w:r>
        <w:rPr>
          <w:sz w:val="24"/>
        </w:rPr>
        <w:t>Present facility is </w:t>
      </w:r>
      <w:r>
        <w:rPr>
          <w:spacing w:val="-2"/>
          <w:sz w:val="24"/>
        </w:rPr>
        <w:t>accessible</w:t>
      </w:r>
      <w:r>
        <w:rPr>
          <w:spacing w:val="-2"/>
          <w:sz w:val="28"/>
        </w:rPr>
        <w:t>.</w:t>
      </w:r>
    </w:p>
    <w:p>
      <w:pPr>
        <w:pStyle w:val="ListParagraph"/>
        <w:numPr>
          <w:ilvl w:val="2"/>
          <w:numId w:val="38"/>
        </w:numPr>
        <w:tabs>
          <w:tab w:pos="2171" w:val="left" w:leader="none"/>
        </w:tabs>
        <w:spacing w:line="292" w:lineRule="exact" w:before="0" w:after="0"/>
        <w:ind w:left="2171" w:right="0" w:hanging="179"/>
        <w:jc w:val="left"/>
        <w:rPr>
          <w:sz w:val="24"/>
        </w:rPr>
      </w:pPr>
      <w:r>
        <w:rPr>
          <w:sz w:val="24"/>
        </w:rPr>
        <w:t>If yes,</w:t>
      </w:r>
      <w:r>
        <w:rPr>
          <w:spacing w:val="-1"/>
          <w:sz w:val="24"/>
        </w:rPr>
        <w:t> </w:t>
      </w:r>
      <w:r>
        <w:rPr>
          <w:sz w:val="24"/>
        </w:rPr>
        <w:t>are</w:t>
      </w:r>
      <w:r>
        <w:rPr>
          <w:spacing w:val="-2"/>
          <w:sz w:val="24"/>
        </w:rPr>
        <w:t> </w:t>
      </w:r>
      <w:r>
        <w:rPr>
          <w:sz w:val="24"/>
        </w:rPr>
        <w:t>they</w:t>
      </w:r>
      <w:r>
        <w:rPr>
          <w:spacing w:val="-2"/>
          <w:sz w:val="24"/>
        </w:rPr>
        <w:t> </w:t>
      </w:r>
      <w:r>
        <w:rPr>
          <w:sz w:val="24"/>
        </w:rPr>
        <w:t>accessible to</w:t>
      </w:r>
      <w:r>
        <w:rPr>
          <w:spacing w:val="-3"/>
          <w:sz w:val="24"/>
        </w:rPr>
        <w:t> </w:t>
      </w:r>
      <w:r>
        <w:rPr>
          <w:sz w:val="24"/>
        </w:rPr>
        <w:t>people</w:t>
      </w:r>
      <w:r>
        <w:rPr>
          <w:spacing w:val="-2"/>
          <w:sz w:val="24"/>
        </w:rPr>
        <w:t> </w:t>
      </w:r>
      <w:r>
        <w:rPr>
          <w:sz w:val="24"/>
        </w:rPr>
        <w:t>with</w:t>
      </w:r>
      <w:r>
        <w:rPr>
          <w:spacing w:val="-2"/>
          <w:sz w:val="24"/>
        </w:rPr>
        <w:t> </w:t>
      </w:r>
      <w:r>
        <w:rPr>
          <w:sz w:val="24"/>
        </w:rPr>
        <w:t>disabilities?</w:t>
      </w:r>
      <w:r>
        <w:rPr>
          <w:spacing w:val="51"/>
          <w:sz w:val="24"/>
        </w:rPr>
        <w:t> </w:t>
      </w:r>
      <w:r>
        <w:rPr>
          <w:spacing w:val="-5"/>
          <w:sz w:val="24"/>
        </w:rPr>
        <w:t>Yes</w:t>
      </w:r>
    </w:p>
    <w:p>
      <w:pPr>
        <w:pStyle w:val="ListParagraph"/>
        <w:numPr>
          <w:ilvl w:val="1"/>
          <w:numId w:val="38"/>
        </w:numPr>
        <w:tabs>
          <w:tab w:pos="1992" w:val="left" w:leader="none"/>
        </w:tabs>
        <w:spacing w:line="259" w:lineRule="auto" w:before="23" w:after="0"/>
        <w:ind w:left="1992" w:right="923" w:hanging="360"/>
        <w:jc w:val="both"/>
        <w:rPr>
          <w:sz w:val="24"/>
        </w:rPr>
      </w:pPr>
      <w:r>
        <w:rPr>
          <w:sz w:val="24"/>
        </w:rPr>
        <w:t>Are</w:t>
      </w:r>
      <w:r>
        <w:rPr>
          <w:spacing w:val="-1"/>
          <w:sz w:val="24"/>
        </w:rPr>
        <w:t> </w:t>
      </w:r>
      <w:r>
        <w:rPr>
          <w:sz w:val="24"/>
        </w:rPr>
        <w:t>all</w:t>
      </w:r>
      <w:r>
        <w:rPr>
          <w:spacing w:val="-4"/>
          <w:sz w:val="24"/>
        </w:rPr>
        <w:t> </w:t>
      </w:r>
      <w:r>
        <w:rPr>
          <w:sz w:val="24"/>
        </w:rPr>
        <w:t>facilities</w:t>
      </w:r>
      <w:r>
        <w:rPr>
          <w:spacing w:val="-2"/>
          <w:sz w:val="24"/>
        </w:rPr>
        <w:t> </w:t>
      </w:r>
      <w:r>
        <w:rPr>
          <w:sz w:val="24"/>
        </w:rPr>
        <w:t>and vehicles</w:t>
      </w:r>
      <w:r>
        <w:rPr>
          <w:spacing w:val="-2"/>
          <w:sz w:val="24"/>
        </w:rPr>
        <w:t> </w:t>
      </w:r>
      <w:r>
        <w:rPr>
          <w:sz w:val="24"/>
        </w:rPr>
        <w:t>accessible</w:t>
      </w:r>
      <w:r>
        <w:rPr>
          <w:spacing w:val="-1"/>
          <w:sz w:val="24"/>
        </w:rPr>
        <w:t> </w:t>
      </w:r>
      <w:r>
        <w:rPr>
          <w:sz w:val="24"/>
        </w:rPr>
        <w:t>to</w:t>
      </w:r>
      <w:r>
        <w:rPr>
          <w:spacing w:val="-3"/>
          <w:sz w:val="24"/>
        </w:rPr>
        <w:t> </w:t>
      </w:r>
      <w:r>
        <w:rPr>
          <w:sz w:val="24"/>
        </w:rPr>
        <w:t>people</w:t>
      </w:r>
      <w:r>
        <w:rPr>
          <w:spacing w:val="-3"/>
          <w:sz w:val="24"/>
        </w:rPr>
        <w:t> </w:t>
      </w:r>
      <w:r>
        <w:rPr>
          <w:sz w:val="24"/>
        </w:rPr>
        <w:t>with disabilities?</w:t>
      </w:r>
      <w:r>
        <w:rPr>
          <w:spacing w:val="40"/>
          <w:sz w:val="24"/>
        </w:rPr>
        <w:t> </w:t>
      </w:r>
      <w:r>
        <w:rPr>
          <w:sz w:val="24"/>
        </w:rPr>
        <w:t>WMTS</w:t>
      </w:r>
      <w:r>
        <w:rPr>
          <w:spacing w:val="-4"/>
          <w:sz w:val="24"/>
        </w:rPr>
        <w:t> </w:t>
      </w:r>
      <w:r>
        <w:rPr>
          <w:sz w:val="24"/>
        </w:rPr>
        <w:t>has</w:t>
      </w:r>
      <w:r>
        <w:rPr>
          <w:spacing w:val="-2"/>
          <w:sz w:val="24"/>
        </w:rPr>
        <w:t> </w:t>
      </w:r>
      <w:r>
        <w:rPr>
          <w:sz w:val="24"/>
        </w:rPr>
        <w:t>seven vehicles</w:t>
      </w:r>
      <w:r>
        <w:rPr>
          <w:spacing w:val="-3"/>
          <w:sz w:val="24"/>
        </w:rPr>
        <w:t> </w:t>
      </w:r>
      <w:r>
        <w:rPr>
          <w:sz w:val="24"/>
        </w:rPr>
        <w:t>that</w:t>
      </w:r>
      <w:r>
        <w:rPr>
          <w:spacing w:val="-4"/>
          <w:sz w:val="24"/>
        </w:rPr>
        <w:t> </w:t>
      </w:r>
      <w:r>
        <w:rPr>
          <w:sz w:val="24"/>
        </w:rPr>
        <w:t>are</w:t>
      </w:r>
      <w:r>
        <w:rPr>
          <w:spacing w:val="-4"/>
          <w:sz w:val="24"/>
        </w:rPr>
        <w:t> </w:t>
      </w:r>
      <w:r>
        <w:rPr>
          <w:sz w:val="24"/>
        </w:rPr>
        <w:t>not</w:t>
      </w:r>
      <w:r>
        <w:rPr>
          <w:spacing w:val="-1"/>
          <w:sz w:val="24"/>
        </w:rPr>
        <w:t> </w:t>
      </w:r>
      <w:r>
        <w:rPr>
          <w:sz w:val="24"/>
        </w:rPr>
        <w:t>accessible,</w:t>
      </w:r>
      <w:r>
        <w:rPr>
          <w:spacing w:val="-5"/>
          <w:sz w:val="24"/>
        </w:rPr>
        <w:t> </w:t>
      </w:r>
      <w:r>
        <w:rPr>
          <w:sz w:val="24"/>
        </w:rPr>
        <w:t>however</w:t>
      </w:r>
      <w:r>
        <w:rPr>
          <w:spacing w:val="-5"/>
          <w:sz w:val="24"/>
        </w:rPr>
        <w:t> </w:t>
      </w:r>
      <w:r>
        <w:rPr>
          <w:sz w:val="24"/>
        </w:rPr>
        <w:t>there</w:t>
      </w:r>
      <w:r>
        <w:rPr>
          <w:spacing w:val="-2"/>
          <w:sz w:val="24"/>
        </w:rPr>
        <w:t> </w:t>
      </w:r>
      <w:r>
        <w:rPr>
          <w:sz w:val="24"/>
        </w:rPr>
        <w:t>is</w:t>
      </w:r>
      <w:r>
        <w:rPr>
          <w:spacing w:val="-5"/>
          <w:sz w:val="24"/>
        </w:rPr>
        <w:t> </w:t>
      </w:r>
      <w:r>
        <w:rPr>
          <w:sz w:val="24"/>
        </w:rPr>
        <w:t>always</w:t>
      </w:r>
      <w:r>
        <w:rPr>
          <w:spacing w:val="-3"/>
          <w:sz w:val="24"/>
        </w:rPr>
        <w:t> </w:t>
      </w:r>
      <w:r>
        <w:rPr>
          <w:sz w:val="24"/>
        </w:rPr>
        <w:t>accessible</w:t>
      </w:r>
      <w:r>
        <w:rPr>
          <w:spacing w:val="-4"/>
          <w:sz w:val="24"/>
        </w:rPr>
        <w:t> </w:t>
      </w:r>
      <w:r>
        <w:rPr>
          <w:sz w:val="24"/>
        </w:rPr>
        <w:t>vehicles</w:t>
      </w:r>
      <w:r>
        <w:rPr>
          <w:spacing w:val="-3"/>
          <w:sz w:val="24"/>
        </w:rPr>
        <w:t> </w:t>
      </w:r>
      <w:r>
        <w:rPr>
          <w:sz w:val="24"/>
        </w:rPr>
        <w:t>that</w:t>
      </w:r>
      <w:r>
        <w:rPr>
          <w:spacing w:val="-1"/>
          <w:sz w:val="24"/>
        </w:rPr>
        <w:t> </w:t>
      </w:r>
      <w:r>
        <w:rPr>
          <w:sz w:val="24"/>
        </w:rPr>
        <w:t>can support these vehicles when they are in use.</w:t>
      </w:r>
    </w:p>
    <w:p>
      <w:pPr>
        <w:pStyle w:val="ListParagraph"/>
        <w:numPr>
          <w:ilvl w:val="1"/>
          <w:numId w:val="38"/>
        </w:numPr>
        <w:tabs>
          <w:tab w:pos="1991" w:val="left" w:leader="none"/>
        </w:tabs>
        <w:spacing w:line="240" w:lineRule="auto" w:before="2" w:after="0"/>
        <w:ind w:left="1991" w:right="0" w:hanging="359"/>
        <w:jc w:val="both"/>
        <w:rPr>
          <w:sz w:val="24"/>
        </w:rPr>
      </w:pPr>
      <w:r>
        <w:rPr>
          <w:sz w:val="24"/>
        </w:rPr>
        <w:t>Can</w:t>
      </w:r>
      <w:r>
        <w:rPr>
          <w:spacing w:val="-2"/>
          <w:sz w:val="24"/>
        </w:rPr>
        <w:t> </w:t>
      </w:r>
      <w:r>
        <w:rPr>
          <w:sz w:val="24"/>
        </w:rPr>
        <w:t>lifts</w:t>
      </w:r>
      <w:r>
        <w:rPr>
          <w:spacing w:val="-1"/>
          <w:sz w:val="24"/>
        </w:rPr>
        <w:t> </w:t>
      </w:r>
      <w:r>
        <w:rPr>
          <w:sz w:val="24"/>
        </w:rPr>
        <w:t>be</w:t>
      </w:r>
      <w:r>
        <w:rPr>
          <w:spacing w:val="-2"/>
          <w:sz w:val="24"/>
        </w:rPr>
        <w:t> </w:t>
      </w:r>
      <w:r>
        <w:rPr>
          <w:sz w:val="24"/>
        </w:rPr>
        <w:t>used</w:t>
      </w:r>
      <w:r>
        <w:rPr>
          <w:spacing w:val="-2"/>
          <w:sz w:val="24"/>
        </w:rPr>
        <w:t> </w:t>
      </w:r>
      <w:r>
        <w:rPr>
          <w:sz w:val="24"/>
        </w:rPr>
        <w:t>by</w:t>
      </w:r>
      <w:r>
        <w:rPr>
          <w:spacing w:val="-1"/>
          <w:sz w:val="24"/>
        </w:rPr>
        <w:t> </w:t>
      </w:r>
      <w:r>
        <w:rPr>
          <w:sz w:val="24"/>
        </w:rPr>
        <w:t>ambulatory</w:t>
      </w:r>
      <w:r>
        <w:rPr>
          <w:spacing w:val="-4"/>
          <w:sz w:val="24"/>
        </w:rPr>
        <w:t> </w:t>
      </w:r>
      <w:r>
        <w:rPr>
          <w:sz w:val="24"/>
        </w:rPr>
        <w:t>persons?</w:t>
      </w:r>
      <w:r>
        <w:rPr>
          <w:spacing w:val="51"/>
          <w:sz w:val="24"/>
        </w:rPr>
        <w:t> </w:t>
      </w:r>
      <w:r>
        <w:rPr>
          <w:spacing w:val="-5"/>
          <w:sz w:val="28"/>
        </w:rPr>
        <w:t>Yes</w:t>
      </w:r>
    </w:p>
    <w:p>
      <w:pPr>
        <w:pStyle w:val="ListParagraph"/>
        <w:numPr>
          <w:ilvl w:val="1"/>
          <w:numId w:val="38"/>
        </w:numPr>
        <w:tabs>
          <w:tab w:pos="1990" w:val="left" w:leader="none"/>
          <w:tab w:pos="1992" w:val="left" w:leader="none"/>
        </w:tabs>
        <w:spacing w:line="256" w:lineRule="auto" w:before="25" w:after="0"/>
        <w:ind w:left="1992" w:right="653" w:hanging="360"/>
        <w:jc w:val="left"/>
        <w:rPr>
          <w:sz w:val="24"/>
        </w:rPr>
      </w:pPr>
      <w:r>
        <w:rPr>
          <w:sz w:val="24"/>
        </w:rPr>
        <w:t>Are</w:t>
      </w:r>
      <w:r>
        <w:rPr>
          <w:spacing w:val="-1"/>
          <w:sz w:val="24"/>
        </w:rPr>
        <w:t> </w:t>
      </w:r>
      <w:r>
        <w:rPr>
          <w:sz w:val="24"/>
        </w:rPr>
        <w:t>passengers</w:t>
      </w:r>
      <w:r>
        <w:rPr>
          <w:spacing w:val="-4"/>
          <w:sz w:val="24"/>
        </w:rPr>
        <w:t> </w:t>
      </w:r>
      <w:r>
        <w:rPr>
          <w:sz w:val="24"/>
        </w:rPr>
        <w:t>allowed</w:t>
      </w:r>
      <w:r>
        <w:rPr>
          <w:spacing w:val="-5"/>
          <w:sz w:val="24"/>
        </w:rPr>
        <w:t> </w:t>
      </w:r>
      <w:r>
        <w:rPr>
          <w:sz w:val="24"/>
        </w:rPr>
        <w:t>portable</w:t>
      </w:r>
      <w:r>
        <w:rPr>
          <w:spacing w:val="-3"/>
          <w:sz w:val="24"/>
        </w:rPr>
        <w:t> </w:t>
      </w:r>
      <w:r>
        <w:rPr>
          <w:sz w:val="24"/>
        </w:rPr>
        <w:t>medical</w:t>
      </w:r>
      <w:r>
        <w:rPr>
          <w:spacing w:val="-4"/>
          <w:sz w:val="24"/>
        </w:rPr>
        <w:t> </w:t>
      </w:r>
      <w:r>
        <w:rPr>
          <w:sz w:val="24"/>
        </w:rPr>
        <w:t>equipment?</w:t>
      </w:r>
      <w:r>
        <w:rPr>
          <w:spacing w:val="40"/>
          <w:sz w:val="24"/>
        </w:rPr>
        <w:t> </w:t>
      </w:r>
      <w:r>
        <w:rPr>
          <w:sz w:val="24"/>
        </w:rPr>
        <w:t>Yes,</w:t>
      </w:r>
      <w:r>
        <w:rPr>
          <w:spacing w:val="-4"/>
          <w:sz w:val="24"/>
        </w:rPr>
        <w:t> </w:t>
      </w:r>
      <w:r>
        <w:rPr>
          <w:sz w:val="24"/>
        </w:rPr>
        <w:t>there</w:t>
      </w:r>
      <w:r>
        <w:rPr>
          <w:spacing w:val="-3"/>
          <w:sz w:val="24"/>
        </w:rPr>
        <w:t> </w:t>
      </w:r>
      <w:r>
        <w:rPr>
          <w:sz w:val="24"/>
        </w:rPr>
        <w:t>may</w:t>
      </w:r>
      <w:r>
        <w:rPr>
          <w:spacing w:val="-2"/>
          <w:sz w:val="24"/>
        </w:rPr>
        <w:t> </w:t>
      </w:r>
      <w:r>
        <w:rPr>
          <w:sz w:val="24"/>
        </w:rPr>
        <w:t>be</w:t>
      </w:r>
      <w:r>
        <w:rPr>
          <w:spacing w:val="-3"/>
          <w:sz w:val="24"/>
        </w:rPr>
        <w:t> </w:t>
      </w:r>
      <w:r>
        <w:rPr>
          <w:sz w:val="24"/>
        </w:rPr>
        <w:t>limitations</w:t>
      </w:r>
      <w:r>
        <w:rPr>
          <w:spacing w:val="-4"/>
          <w:sz w:val="24"/>
        </w:rPr>
        <w:t> </w:t>
      </w:r>
      <w:r>
        <w:rPr>
          <w:sz w:val="24"/>
        </w:rPr>
        <w:t>on some equipment</w:t>
      </w:r>
    </w:p>
    <w:p>
      <w:pPr>
        <w:pStyle w:val="ListParagraph"/>
        <w:numPr>
          <w:ilvl w:val="1"/>
          <w:numId w:val="38"/>
        </w:numPr>
        <w:tabs>
          <w:tab w:pos="1991" w:val="left" w:leader="none"/>
        </w:tabs>
        <w:spacing w:line="240" w:lineRule="auto" w:before="7" w:after="0"/>
        <w:ind w:left="1991" w:right="0" w:hanging="359"/>
        <w:jc w:val="left"/>
        <w:rPr>
          <w:sz w:val="24"/>
        </w:rPr>
      </w:pPr>
      <w:r>
        <w:rPr>
          <w:sz w:val="24"/>
        </w:rPr>
        <w:t>Are</w:t>
      </w:r>
      <w:r>
        <w:rPr>
          <w:spacing w:val="-1"/>
          <w:sz w:val="24"/>
        </w:rPr>
        <w:t> </w:t>
      </w:r>
      <w:r>
        <w:rPr>
          <w:sz w:val="24"/>
        </w:rPr>
        <w:t>your</w:t>
      </w:r>
      <w:r>
        <w:rPr>
          <w:spacing w:val="-3"/>
          <w:sz w:val="24"/>
        </w:rPr>
        <w:t> </w:t>
      </w:r>
      <w:r>
        <w:rPr>
          <w:sz w:val="24"/>
        </w:rPr>
        <w:t>services</w:t>
      </w:r>
      <w:r>
        <w:rPr>
          <w:spacing w:val="-2"/>
          <w:sz w:val="24"/>
        </w:rPr>
        <w:t> </w:t>
      </w:r>
      <w:r>
        <w:rPr>
          <w:sz w:val="24"/>
        </w:rPr>
        <w:t>made</w:t>
      </w:r>
      <w:r>
        <w:rPr>
          <w:spacing w:val="-2"/>
          <w:sz w:val="24"/>
        </w:rPr>
        <w:t> </w:t>
      </w:r>
      <w:r>
        <w:rPr>
          <w:sz w:val="24"/>
        </w:rPr>
        <w:t>available</w:t>
      </w:r>
      <w:r>
        <w:rPr>
          <w:spacing w:val="-2"/>
          <w:sz w:val="24"/>
        </w:rPr>
        <w:t> </w:t>
      </w:r>
      <w:r>
        <w:rPr>
          <w:sz w:val="24"/>
        </w:rPr>
        <w:t>to</w:t>
      </w:r>
      <w:r>
        <w:rPr>
          <w:spacing w:val="-2"/>
          <w:sz w:val="24"/>
        </w:rPr>
        <w:t> </w:t>
      </w:r>
      <w:r>
        <w:rPr>
          <w:sz w:val="24"/>
        </w:rPr>
        <w:t>the</w:t>
      </w:r>
      <w:r>
        <w:rPr>
          <w:spacing w:val="-1"/>
          <w:sz w:val="24"/>
        </w:rPr>
        <w:t> </w:t>
      </w:r>
      <w:r>
        <w:rPr>
          <w:sz w:val="24"/>
        </w:rPr>
        <w:t>public</w:t>
      </w:r>
      <w:r>
        <w:rPr>
          <w:spacing w:val="-4"/>
          <w:sz w:val="24"/>
        </w:rPr>
        <w:t> </w:t>
      </w:r>
      <w:r>
        <w:rPr>
          <w:sz w:val="24"/>
        </w:rPr>
        <w:t>in</w:t>
      </w:r>
      <w:r>
        <w:rPr>
          <w:spacing w:val="-2"/>
          <w:sz w:val="24"/>
        </w:rPr>
        <w:t> </w:t>
      </w:r>
      <w:r>
        <w:rPr>
          <w:sz w:val="24"/>
        </w:rPr>
        <w:t>accessible</w:t>
      </w:r>
      <w:r>
        <w:rPr>
          <w:spacing w:val="-1"/>
          <w:sz w:val="24"/>
        </w:rPr>
        <w:t> </w:t>
      </w:r>
      <w:r>
        <w:rPr>
          <w:sz w:val="24"/>
        </w:rPr>
        <w:t>formats?</w:t>
      </w:r>
      <w:r>
        <w:rPr>
          <w:spacing w:val="50"/>
          <w:sz w:val="24"/>
        </w:rPr>
        <w:t> </w:t>
      </w:r>
      <w:r>
        <w:rPr>
          <w:spacing w:val="-5"/>
          <w:sz w:val="28"/>
        </w:rPr>
        <w:t>Yes</w:t>
      </w:r>
    </w:p>
    <w:p>
      <w:pPr>
        <w:pStyle w:val="ListParagraph"/>
        <w:numPr>
          <w:ilvl w:val="1"/>
          <w:numId w:val="38"/>
        </w:numPr>
        <w:tabs>
          <w:tab w:pos="1990" w:val="left" w:leader="none"/>
        </w:tabs>
        <w:spacing w:line="240" w:lineRule="auto" w:before="25" w:after="0"/>
        <w:ind w:left="1990" w:right="0" w:hanging="359"/>
        <w:jc w:val="left"/>
        <w:rPr>
          <w:sz w:val="24"/>
        </w:rPr>
      </w:pPr>
      <w:r>
        <w:rPr>
          <w:sz w:val="24"/>
        </w:rPr>
        <w:t>Is</w:t>
      </w:r>
      <w:r>
        <w:rPr>
          <w:spacing w:val="-2"/>
          <w:sz w:val="24"/>
        </w:rPr>
        <w:t> </w:t>
      </w:r>
      <w:r>
        <w:rPr>
          <w:sz w:val="24"/>
        </w:rPr>
        <w:t>your service</w:t>
      </w:r>
      <w:r>
        <w:rPr>
          <w:spacing w:val="-2"/>
          <w:sz w:val="24"/>
        </w:rPr>
        <w:t> </w:t>
      </w:r>
      <w:r>
        <w:rPr>
          <w:sz w:val="24"/>
        </w:rPr>
        <w:t>fixed</w:t>
      </w:r>
      <w:r>
        <w:rPr>
          <w:spacing w:val="-2"/>
          <w:sz w:val="24"/>
        </w:rPr>
        <w:t> </w:t>
      </w:r>
      <w:r>
        <w:rPr>
          <w:sz w:val="24"/>
        </w:rPr>
        <w:t>route or</w:t>
      </w:r>
      <w:r>
        <w:rPr>
          <w:spacing w:val="-3"/>
          <w:sz w:val="24"/>
        </w:rPr>
        <w:t> </w:t>
      </w:r>
      <w:r>
        <w:rPr>
          <w:sz w:val="24"/>
        </w:rPr>
        <w:t>flex</w:t>
      </w:r>
      <w:r>
        <w:rPr>
          <w:spacing w:val="-1"/>
          <w:sz w:val="24"/>
        </w:rPr>
        <w:t> </w:t>
      </w:r>
      <w:r>
        <w:rPr>
          <w:sz w:val="24"/>
        </w:rPr>
        <w:t>route?</w:t>
      </w:r>
      <w:r>
        <w:rPr>
          <w:spacing w:val="52"/>
          <w:sz w:val="24"/>
        </w:rPr>
        <w:t> </w:t>
      </w:r>
      <w:r>
        <w:rPr>
          <w:spacing w:val="-4"/>
          <w:sz w:val="24"/>
        </w:rPr>
        <w:t>Fixed</w:t>
      </w:r>
    </w:p>
    <w:p>
      <w:pPr>
        <w:pStyle w:val="ListParagraph"/>
        <w:numPr>
          <w:ilvl w:val="2"/>
          <w:numId w:val="38"/>
        </w:numPr>
        <w:tabs>
          <w:tab w:pos="2170" w:val="left" w:leader="none"/>
        </w:tabs>
        <w:spacing w:line="240" w:lineRule="auto" w:before="27" w:after="0"/>
        <w:ind w:left="2170" w:right="0" w:hanging="179"/>
        <w:jc w:val="left"/>
        <w:rPr>
          <w:sz w:val="28"/>
        </w:rPr>
      </w:pPr>
      <w:r>
        <w:rPr>
          <w:sz w:val="24"/>
        </w:rPr>
        <w:t>If</w:t>
      </w:r>
      <w:r>
        <w:rPr>
          <w:spacing w:val="-1"/>
          <w:sz w:val="24"/>
        </w:rPr>
        <w:t> </w:t>
      </w:r>
      <w:r>
        <w:rPr>
          <w:sz w:val="24"/>
        </w:rPr>
        <w:t>fixed,</w:t>
      </w:r>
      <w:r>
        <w:rPr>
          <w:spacing w:val="-1"/>
          <w:sz w:val="24"/>
        </w:rPr>
        <w:t> </w:t>
      </w:r>
      <w:r>
        <w:rPr>
          <w:sz w:val="24"/>
        </w:rPr>
        <w:t>do</w:t>
      </w:r>
      <w:r>
        <w:rPr>
          <w:spacing w:val="-1"/>
          <w:sz w:val="24"/>
        </w:rPr>
        <w:t> </w:t>
      </w:r>
      <w:r>
        <w:rPr>
          <w:sz w:val="24"/>
        </w:rPr>
        <w:t>you offer</w:t>
      </w:r>
      <w:r>
        <w:rPr>
          <w:spacing w:val="-1"/>
          <w:sz w:val="24"/>
        </w:rPr>
        <w:t> </w:t>
      </w:r>
      <w:r>
        <w:rPr>
          <w:sz w:val="24"/>
        </w:rPr>
        <w:t>complimentary</w:t>
      </w:r>
      <w:r>
        <w:rPr>
          <w:spacing w:val="-5"/>
          <w:sz w:val="24"/>
        </w:rPr>
        <w:t> </w:t>
      </w:r>
      <w:r>
        <w:rPr>
          <w:sz w:val="24"/>
        </w:rPr>
        <w:t>paratransit?</w:t>
      </w:r>
      <w:r>
        <w:rPr>
          <w:spacing w:val="49"/>
          <w:sz w:val="24"/>
        </w:rPr>
        <w:t> </w:t>
      </w:r>
      <w:r>
        <w:rPr>
          <w:spacing w:val="-5"/>
          <w:sz w:val="28"/>
        </w:rPr>
        <w:t>Yes</w:t>
      </w:r>
    </w:p>
    <w:p>
      <w:pPr>
        <w:pStyle w:val="ListParagraph"/>
        <w:numPr>
          <w:ilvl w:val="2"/>
          <w:numId w:val="38"/>
        </w:numPr>
        <w:tabs>
          <w:tab w:pos="2171" w:val="left" w:leader="none"/>
        </w:tabs>
        <w:spacing w:line="240" w:lineRule="auto" w:before="22" w:after="0"/>
        <w:ind w:left="2171" w:right="0" w:hanging="179"/>
        <w:jc w:val="left"/>
        <w:rPr>
          <w:sz w:val="24"/>
        </w:rPr>
      </w:pPr>
      <w:r>
        <w:rPr>
          <w:sz w:val="24"/>
        </w:rPr>
        <w:t>If flex,</w:t>
      </w:r>
      <w:r>
        <w:rPr>
          <w:spacing w:val="-3"/>
          <w:sz w:val="24"/>
        </w:rPr>
        <w:t> </w:t>
      </w:r>
      <w:r>
        <w:rPr>
          <w:sz w:val="24"/>
        </w:rPr>
        <w:t>do</w:t>
      </w:r>
      <w:r>
        <w:rPr>
          <w:spacing w:val="-2"/>
          <w:sz w:val="24"/>
        </w:rPr>
        <w:t> </w:t>
      </w:r>
      <w:r>
        <w:rPr>
          <w:sz w:val="24"/>
        </w:rPr>
        <w:t>you</w:t>
      </w:r>
      <w:r>
        <w:rPr>
          <w:spacing w:val="-2"/>
          <w:sz w:val="24"/>
        </w:rPr>
        <w:t> </w:t>
      </w:r>
      <w:r>
        <w:rPr>
          <w:sz w:val="24"/>
        </w:rPr>
        <w:t>deviate</w:t>
      </w:r>
      <w:r>
        <w:rPr>
          <w:spacing w:val="-2"/>
          <w:sz w:val="24"/>
        </w:rPr>
        <w:t> </w:t>
      </w:r>
      <w:r>
        <w:rPr>
          <w:sz w:val="24"/>
        </w:rPr>
        <w:t>only</w:t>
      </w:r>
      <w:r>
        <w:rPr>
          <w:spacing w:val="-1"/>
          <w:sz w:val="24"/>
        </w:rPr>
        <w:t> </w:t>
      </w:r>
      <w:r>
        <w:rPr>
          <w:sz w:val="24"/>
        </w:rPr>
        <w:t>for</w:t>
      </w:r>
      <w:r>
        <w:rPr>
          <w:spacing w:val="-3"/>
          <w:sz w:val="24"/>
        </w:rPr>
        <w:t> </w:t>
      </w:r>
      <w:r>
        <w:rPr>
          <w:sz w:val="24"/>
        </w:rPr>
        <w:t>the disabled</w:t>
      </w:r>
      <w:r>
        <w:rPr>
          <w:spacing w:val="1"/>
          <w:sz w:val="24"/>
        </w:rPr>
        <w:t> </w:t>
      </w:r>
      <w:r>
        <w:rPr>
          <w:sz w:val="24"/>
        </w:rPr>
        <w:t>or </w:t>
      </w:r>
      <w:r>
        <w:rPr>
          <w:spacing w:val="-2"/>
          <w:sz w:val="24"/>
        </w:rPr>
        <w:t>everyone</w:t>
      </w:r>
    </w:p>
    <w:p>
      <w:pPr>
        <w:pStyle w:val="ListParagraph"/>
        <w:numPr>
          <w:ilvl w:val="2"/>
          <w:numId w:val="38"/>
        </w:numPr>
        <w:tabs>
          <w:tab w:pos="2171" w:val="left" w:leader="none"/>
        </w:tabs>
        <w:spacing w:line="259" w:lineRule="auto" w:before="24" w:after="0"/>
        <w:ind w:left="2171" w:right="1098" w:hanging="180"/>
        <w:jc w:val="left"/>
        <w:rPr>
          <w:sz w:val="22"/>
        </w:rPr>
      </w:pPr>
      <w:r>
        <w:rPr>
          <w:sz w:val="24"/>
        </w:rPr>
        <w:t>How does</w:t>
      </w:r>
      <w:r>
        <w:rPr>
          <w:spacing w:val="-4"/>
          <w:sz w:val="24"/>
        </w:rPr>
        <w:t> </w:t>
      </w:r>
      <w:r>
        <w:rPr>
          <w:sz w:val="24"/>
        </w:rPr>
        <w:t>the</w:t>
      </w:r>
      <w:r>
        <w:rPr>
          <w:spacing w:val="-3"/>
          <w:sz w:val="24"/>
        </w:rPr>
        <w:t> </w:t>
      </w:r>
      <w:r>
        <w:rPr>
          <w:sz w:val="24"/>
        </w:rPr>
        <w:t>public</w:t>
      </w:r>
      <w:r>
        <w:rPr>
          <w:spacing w:val="-2"/>
          <w:sz w:val="24"/>
        </w:rPr>
        <w:t> </w:t>
      </w:r>
      <w:r>
        <w:rPr>
          <w:sz w:val="24"/>
        </w:rPr>
        <w:t>know that</w:t>
      </w:r>
      <w:r>
        <w:rPr>
          <w:spacing w:val="-3"/>
          <w:sz w:val="24"/>
        </w:rPr>
        <w:t> </w:t>
      </w:r>
      <w:r>
        <w:rPr>
          <w:sz w:val="24"/>
        </w:rPr>
        <w:t>it</w:t>
      </w:r>
      <w:r>
        <w:rPr>
          <w:spacing w:val="-3"/>
          <w:sz w:val="24"/>
        </w:rPr>
        <w:t> </w:t>
      </w:r>
      <w:r>
        <w:rPr>
          <w:sz w:val="24"/>
        </w:rPr>
        <w:t>can</w:t>
      </w:r>
      <w:r>
        <w:rPr>
          <w:spacing w:val="-3"/>
          <w:sz w:val="24"/>
        </w:rPr>
        <w:t> </w:t>
      </w:r>
      <w:r>
        <w:rPr>
          <w:sz w:val="24"/>
        </w:rPr>
        <w:t>ask</w:t>
      </w:r>
      <w:r>
        <w:rPr>
          <w:spacing w:val="-3"/>
          <w:sz w:val="24"/>
        </w:rPr>
        <w:t> </w:t>
      </w:r>
      <w:r>
        <w:rPr>
          <w:sz w:val="24"/>
        </w:rPr>
        <w:t>for</w:t>
      </w:r>
      <w:r>
        <w:rPr>
          <w:spacing w:val="-4"/>
          <w:sz w:val="24"/>
        </w:rPr>
        <w:t> </w:t>
      </w:r>
      <w:r>
        <w:rPr>
          <w:sz w:val="24"/>
        </w:rPr>
        <w:t>a</w:t>
      </w:r>
      <w:r>
        <w:rPr>
          <w:spacing w:val="-4"/>
          <w:sz w:val="24"/>
        </w:rPr>
        <w:t> </w:t>
      </w:r>
      <w:r>
        <w:rPr>
          <w:sz w:val="24"/>
        </w:rPr>
        <w:t>deviation?</w:t>
      </w:r>
      <w:r>
        <w:rPr>
          <w:spacing w:val="-3"/>
          <w:sz w:val="24"/>
        </w:rPr>
        <w:t> </w:t>
      </w: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3"/>
          <w:sz w:val="22"/>
        </w:rPr>
        <w:t> </w:t>
      </w:r>
      <w:r>
        <w:rPr>
          <w:color w:val="808080"/>
          <w:sz w:val="22"/>
        </w:rPr>
        <w:t>here</w:t>
      </w:r>
      <w:r>
        <w:rPr>
          <w:color w:val="808080"/>
          <w:spacing w:val="-4"/>
          <w:sz w:val="22"/>
        </w:rPr>
        <w:t> </w:t>
      </w:r>
      <w:r>
        <w:rPr>
          <w:color w:val="808080"/>
          <w:sz w:val="22"/>
        </w:rPr>
        <w:t>to</w:t>
      </w:r>
      <w:r>
        <w:rPr>
          <w:color w:val="808080"/>
          <w:spacing w:val="-1"/>
          <w:sz w:val="22"/>
        </w:rPr>
        <w:t> </w:t>
      </w:r>
      <w:r>
        <w:rPr>
          <w:color w:val="808080"/>
          <w:sz w:val="22"/>
        </w:rPr>
        <w:t>enter </w:t>
      </w:r>
      <w:r>
        <w:rPr>
          <w:color w:val="808080"/>
          <w:spacing w:val="-2"/>
          <w:sz w:val="22"/>
        </w:rPr>
        <w:t>text.</w:t>
      </w:r>
    </w:p>
    <w:p>
      <w:pPr>
        <w:spacing w:after="0" w:line="259" w:lineRule="auto"/>
        <w:jc w:val="left"/>
        <w:rPr>
          <w:sz w:val="22"/>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61408">
            <wp:simplePos x="0" y="0"/>
            <wp:positionH relativeFrom="page">
              <wp:posOffset>731520</wp:posOffset>
            </wp:positionH>
            <wp:positionV relativeFrom="paragraph">
              <wp:posOffset>-111196</wp:posOffset>
            </wp:positionV>
            <wp:extent cx="1523706" cy="426719"/>
            <wp:effectExtent l="0" t="0" r="0" b="0"/>
            <wp:wrapNone/>
            <wp:docPr id="173" name="Image 173">
              <a:hlinkClick r:id="rId80"/>
            </wp:docPr>
            <wp:cNvGraphicFramePr>
              <a:graphicFrameLocks/>
            </wp:cNvGraphicFramePr>
            <a:graphic>
              <a:graphicData uri="http://schemas.openxmlformats.org/drawingml/2006/picture">
                <pic:pic>
                  <pic:nvPicPr>
                    <pic:cNvPr id="173" name="Image 173">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20096">
                <wp:simplePos x="0" y="0"/>
                <wp:positionH relativeFrom="page">
                  <wp:posOffset>713231</wp:posOffset>
                </wp:positionH>
                <wp:positionV relativeFrom="paragraph">
                  <wp:posOffset>216706</wp:posOffset>
                </wp:positionV>
                <wp:extent cx="6346190" cy="74930"/>
                <wp:effectExtent l="0" t="0" r="0" b="0"/>
                <wp:wrapTopAndBottom/>
                <wp:docPr id="174" name="Group 174"/>
                <wp:cNvGraphicFramePr>
                  <a:graphicFrameLocks/>
                </wp:cNvGraphicFramePr>
                <a:graphic>
                  <a:graphicData uri="http://schemas.microsoft.com/office/word/2010/wordprocessingGroup">
                    <wpg:wgp>
                      <wpg:cNvPr id="174" name="Group 174"/>
                      <wpg:cNvGrpSpPr/>
                      <wpg:grpSpPr>
                        <a:xfrm>
                          <a:off x="0" y="0"/>
                          <a:ext cx="6346190" cy="74930"/>
                          <a:chExt cx="6346190" cy="74930"/>
                        </a:xfrm>
                      </wpg:grpSpPr>
                      <wps:wsp>
                        <wps:cNvPr id="175" name="Graphic 175"/>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76" name="Graphic 176"/>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77" name="Graphic 177"/>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6384;mso-wrap-distance-left:0;mso-wrap-distance-right:0" id="docshapegroup131" coordorigin="1123,341" coordsize="9994,118">
                <v:rect style="position:absolute;left:1123;top:430;width:9994;height:29" id="docshape132" filled="true" fillcolor="#c0c0c0" stroked="false">
                  <v:fill type="solid"/>
                </v:rect>
                <v:rect style="position:absolute;left:1123;top:370;width:9994;height:60" id="docshape133" filled="true" fillcolor="#5f5f5f" stroked="false">
                  <v:fill type="solid"/>
                </v:rect>
                <v:rect style="position:absolute;left:1123;top:341;width:9994;height:29" id="docshape134" filled="true" fillcolor="#000000" stroked="false">
                  <v:fill type="solid"/>
                </v:rect>
                <w10:wrap type="topAndBottom"/>
              </v:group>
            </w:pict>
          </mc:Fallback>
        </mc:AlternateContent>
      </w:r>
    </w:p>
    <w:p>
      <w:pPr>
        <w:pStyle w:val="ListParagraph"/>
        <w:numPr>
          <w:ilvl w:val="1"/>
          <w:numId w:val="38"/>
        </w:numPr>
        <w:tabs>
          <w:tab w:pos="1991" w:val="left" w:leader="none"/>
        </w:tabs>
        <w:spacing w:line="240" w:lineRule="auto" w:before="2" w:after="0"/>
        <w:ind w:left="1991" w:right="0" w:hanging="359"/>
        <w:jc w:val="left"/>
        <w:rPr>
          <w:sz w:val="24"/>
        </w:rPr>
      </w:pPr>
      <w:r>
        <w:rPr>
          <w:sz w:val="24"/>
        </w:rPr>
        <w:t>For</w:t>
      </w:r>
      <w:r>
        <w:rPr>
          <w:spacing w:val="-2"/>
          <w:sz w:val="24"/>
        </w:rPr>
        <w:t> </w:t>
      </w:r>
      <w:r>
        <w:rPr>
          <w:sz w:val="24"/>
        </w:rPr>
        <w:t>ferry</w:t>
      </w:r>
      <w:r>
        <w:rPr>
          <w:spacing w:val="-2"/>
          <w:sz w:val="24"/>
        </w:rPr>
        <w:t> </w:t>
      </w:r>
      <w:r>
        <w:rPr>
          <w:sz w:val="24"/>
        </w:rPr>
        <w:t>providers,</w:t>
      </w:r>
      <w:r>
        <w:rPr>
          <w:spacing w:val="-1"/>
          <w:sz w:val="24"/>
        </w:rPr>
        <w:t> </w:t>
      </w:r>
      <w:r>
        <w:rPr>
          <w:sz w:val="24"/>
        </w:rPr>
        <w:t>is</w:t>
      </w:r>
      <w:r>
        <w:rPr>
          <w:spacing w:val="-2"/>
          <w:sz w:val="24"/>
        </w:rPr>
        <w:t> </w:t>
      </w:r>
      <w:r>
        <w:rPr>
          <w:sz w:val="24"/>
        </w:rPr>
        <w:t>your</w:t>
      </w:r>
      <w:r>
        <w:rPr>
          <w:spacing w:val="-1"/>
          <w:sz w:val="24"/>
        </w:rPr>
        <w:t> </w:t>
      </w:r>
      <w:r>
        <w:rPr>
          <w:sz w:val="24"/>
        </w:rPr>
        <w:t>service</w:t>
      </w:r>
      <w:r>
        <w:rPr>
          <w:spacing w:val="-4"/>
          <w:sz w:val="24"/>
        </w:rPr>
        <w:t> </w:t>
      </w:r>
      <w:r>
        <w:rPr>
          <w:sz w:val="24"/>
        </w:rPr>
        <w:t>accessible?</w:t>
      </w:r>
      <w:r>
        <w:rPr>
          <w:spacing w:val="50"/>
          <w:sz w:val="24"/>
        </w:rPr>
        <w:t> </w:t>
      </w:r>
      <w:r>
        <w:rPr>
          <w:color w:val="808080"/>
          <w:sz w:val="22"/>
        </w:rPr>
        <w:t>Click</w:t>
      </w:r>
      <w:r>
        <w:rPr>
          <w:color w:val="808080"/>
          <w:spacing w:val="-1"/>
          <w:sz w:val="22"/>
        </w:rPr>
        <w:t> </w:t>
      </w:r>
      <w:r>
        <w:rPr>
          <w:color w:val="808080"/>
          <w:sz w:val="22"/>
        </w:rPr>
        <w:t>or</w:t>
      </w:r>
      <w:r>
        <w:rPr>
          <w:color w:val="808080"/>
          <w:spacing w:val="-2"/>
          <w:sz w:val="22"/>
        </w:rPr>
        <w:t> </w:t>
      </w:r>
      <w:r>
        <w:rPr>
          <w:color w:val="808080"/>
          <w:sz w:val="22"/>
        </w:rPr>
        <w:t>tap</w:t>
      </w:r>
      <w:r>
        <w:rPr>
          <w:color w:val="808080"/>
          <w:spacing w:val="-2"/>
          <w:sz w:val="22"/>
        </w:rPr>
        <w:t> </w:t>
      </w:r>
      <w:r>
        <w:rPr>
          <w:color w:val="808080"/>
          <w:sz w:val="22"/>
        </w:rPr>
        <w:t>here</w:t>
      </w:r>
      <w:r>
        <w:rPr>
          <w:color w:val="808080"/>
          <w:spacing w:val="-4"/>
          <w:sz w:val="22"/>
        </w:rPr>
        <w:t> </w:t>
      </w:r>
      <w:r>
        <w:rPr>
          <w:color w:val="808080"/>
          <w:sz w:val="22"/>
        </w:rPr>
        <w:t>to</w:t>
      </w:r>
      <w:r>
        <w:rPr>
          <w:color w:val="808080"/>
          <w:spacing w:val="-3"/>
          <w:sz w:val="22"/>
        </w:rPr>
        <w:t> </w:t>
      </w:r>
      <w:r>
        <w:rPr>
          <w:color w:val="808080"/>
          <w:sz w:val="22"/>
        </w:rPr>
        <w:t>enter</w:t>
      </w:r>
      <w:r>
        <w:rPr>
          <w:color w:val="808080"/>
          <w:spacing w:val="-4"/>
          <w:sz w:val="22"/>
        </w:rPr>
        <w:t> </w:t>
      </w:r>
      <w:r>
        <w:rPr>
          <w:color w:val="808080"/>
          <w:spacing w:val="-2"/>
          <w:sz w:val="22"/>
        </w:rPr>
        <w:t>text.</w:t>
      </w:r>
    </w:p>
    <w:p>
      <w:pPr>
        <w:pStyle w:val="ListParagraph"/>
        <w:numPr>
          <w:ilvl w:val="2"/>
          <w:numId w:val="38"/>
        </w:numPr>
        <w:tabs>
          <w:tab w:pos="2171" w:val="left" w:leader="none"/>
        </w:tabs>
        <w:spacing w:line="259" w:lineRule="auto" w:before="23" w:after="0"/>
        <w:ind w:left="2171" w:right="914" w:hanging="180"/>
        <w:jc w:val="left"/>
        <w:rPr>
          <w:sz w:val="22"/>
        </w:rPr>
      </w:pPr>
      <w:r>
        <w:rPr>
          <w:sz w:val="24"/>
        </w:rPr>
        <w:t>Who</w:t>
      </w:r>
      <w:r>
        <w:rPr>
          <w:spacing w:val="-2"/>
          <w:sz w:val="24"/>
        </w:rPr>
        <w:t> </w:t>
      </w:r>
      <w:r>
        <w:rPr>
          <w:sz w:val="24"/>
        </w:rPr>
        <w:t>is</w:t>
      </w:r>
      <w:r>
        <w:rPr>
          <w:spacing w:val="-5"/>
          <w:sz w:val="24"/>
        </w:rPr>
        <w:t> </w:t>
      </w:r>
      <w:r>
        <w:rPr>
          <w:sz w:val="24"/>
        </w:rPr>
        <w:t>designated</w:t>
      </w:r>
      <w:r>
        <w:rPr>
          <w:spacing w:val="-1"/>
          <w:sz w:val="24"/>
        </w:rPr>
        <w:t> </w:t>
      </w:r>
      <w:r>
        <w:rPr>
          <w:sz w:val="24"/>
        </w:rPr>
        <w:t>as</w:t>
      </w:r>
      <w:r>
        <w:rPr>
          <w:spacing w:val="-5"/>
          <w:sz w:val="24"/>
        </w:rPr>
        <w:t> </w:t>
      </w:r>
      <w:r>
        <w:rPr>
          <w:sz w:val="24"/>
        </w:rPr>
        <w:t>your</w:t>
      </w:r>
      <w:r>
        <w:rPr>
          <w:spacing w:val="-2"/>
          <w:sz w:val="24"/>
        </w:rPr>
        <w:t> </w:t>
      </w:r>
      <w:r>
        <w:rPr>
          <w:sz w:val="24"/>
        </w:rPr>
        <w:t>complaint</w:t>
      </w:r>
      <w:r>
        <w:rPr>
          <w:spacing w:val="-1"/>
          <w:sz w:val="24"/>
        </w:rPr>
        <w:t> </w:t>
      </w:r>
      <w:r>
        <w:rPr>
          <w:sz w:val="24"/>
        </w:rPr>
        <w:t>resolution</w:t>
      </w:r>
      <w:r>
        <w:rPr>
          <w:spacing w:val="-6"/>
          <w:sz w:val="24"/>
        </w:rPr>
        <w:t> </w:t>
      </w:r>
      <w:r>
        <w:rPr>
          <w:sz w:val="24"/>
        </w:rPr>
        <w:t>official</w:t>
      </w:r>
      <w:r>
        <w:rPr>
          <w:spacing w:val="-5"/>
          <w:sz w:val="24"/>
        </w:rPr>
        <w:t> </w:t>
      </w:r>
      <w:r>
        <w:rPr>
          <w:sz w:val="24"/>
        </w:rPr>
        <w:t>(CRO)?</w:t>
      </w:r>
      <w:r>
        <w:rPr>
          <w:spacing w:val="40"/>
          <w:sz w:val="24"/>
        </w:rPr>
        <w:t> </w:t>
      </w:r>
      <w:r>
        <w:rPr>
          <w:sz w:val="24"/>
        </w:rPr>
        <w:t>Where</w:t>
      </w:r>
      <w:r>
        <w:rPr>
          <w:spacing w:val="-2"/>
          <w:sz w:val="24"/>
        </w:rPr>
        <w:t> </w:t>
      </w:r>
      <w:r>
        <w:rPr>
          <w:sz w:val="24"/>
        </w:rPr>
        <w:t>do</w:t>
      </w:r>
      <w:r>
        <w:rPr>
          <w:spacing w:val="-2"/>
          <w:sz w:val="24"/>
        </w:rPr>
        <w:t> </w:t>
      </w:r>
      <w:r>
        <w:rPr>
          <w:sz w:val="24"/>
        </w:rPr>
        <w:t>you</w:t>
      </w:r>
      <w:r>
        <w:rPr>
          <w:spacing w:val="-4"/>
          <w:sz w:val="24"/>
        </w:rPr>
        <w:t> </w:t>
      </w:r>
      <w:r>
        <w:rPr>
          <w:sz w:val="24"/>
        </w:rPr>
        <w:t>post the name and contact information for the CRO? Do you have a written policy outlining the CROs authority?</w:t>
      </w:r>
      <w:r>
        <w:rPr>
          <w:spacing w:val="40"/>
          <w:sz w:val="24"/>
        </w:rPr>
        <w:t> </w:t>
      </w:r>
      <w:r>
        <w:rPr>
          <w:color w:val="808080"/>
          <w:sz w:val="22"/>
        </w:rPr>
        <w:t>Click or tap here to enter text.</w:t>
      </w:r>
    </w:p>
    <w:p>
      <w:pPr>
        <w:pStyle w:val="ListParagraph"/>
        <w:numPr>
          <w:ilvl w:val="1"/>
          <w:numId w:val="38"/>
        </w:numPr>
        <w:tabs>
          <w:tab w:pos="1992" w:val="left" w:leader="none"/>
        </w:tabs>
        <w:spacing w:line="259" w:lineRule="auto" w:before="0" w:after="0"/>
        <w:ind w:left="1992" w:right="988" w:hanging="360"/>
        <w:jc w:val="left"/>
        <w:rPr>
          <w:sz w:val="24"/>
        </w:rPr>
      </w:pPr>
      <w:r>
        <w:rPr>
          <w:sz w:val="24"/>
        </w:rPr>
        <w:t>Describe</w:t>
      </w:r>
      <w:r>
        <w:rPr>
          <w:spacing w:val="-3"/>
          <w:sz w:val="24"/>
        </w:rPr>
        <w:t> </w:t>
      </w:r>
      <w:r>
        <w:rPr>
          <w:sz w:val="24"/>
        </w:rPr>
        <w:t>your</w:t>
      </w:r>
      <w:r>
        <w:rPr>
          <w:spacing w:val="-4"/>
          <w:sz w:val="24"/>
        </w:rPr>
        <w:t> </w:t>
      </w:r>
      <w:r>
        <w:rPr>
          <w:sz w:val="24"/>
        </w:rPr>
        <w:t>process</w:t>
      </w:r>
      <w:r>
        <w:rPr>
          <w:spacing w:val="-4"/>
          <w:sz w:val="24"/>
        </w:rPr>
        <w:t> </w:t>
      </w:r>
      <w:r>
        <w:rPr>
          <w:sz w:val="24"/>
        </w:rPr>
        <w:t>to</w:t>
      </w:r>
      <w:r>
        <w:rPr>
          <w:spacing w:val="-3"/>
          <w:sz w:val="24"/>
        </w:rPr>
        <w:t> </w:t>
      </w:r>
      <w:r>
        <w:rPr>
          <w:sz w:val="24"/>
        </w:rPr>
        <w:t>handle</w:t>
      </w:r>
      <w:r>
        <w:rPr>
          <w:spacing w:val="-3"/>
          <w:sz w:val="24"/>
        </w:rPr>
        <w:t> </w:t>
      </w:r>
      <w:r>
        <w:rPr>
          <w:sz w:val="24"/>
        </w:rPr>
        <w:t>ADA</w:t>
      </w:r>
      <w:r>
        <w:rPr>
          <w:spacing w:val="-4"/>
          <w:sz w:val="24"/>
        </w:rPr>
        <w:t> </w:t>
      </w:r>
      <w:r>
        <w:rPr>
          <w:sz w:val="24"/>
        </w:rPr>
        <w:t>complaints:</w:t>
      </w:r>
      <w:r>
        <w:rPr>
          <w:spacing w:val="40"/>
          <w:sz w:val="24"/>
        </w:rPr>
        <w:t> </w:t>
      </w:r>
      <w:r>
        <w:rPr>
          <w:sz w:val="24"/>
        </w:rPr>
        <w:t>See</w:t>
      </w:r>
      <w:r>
        <w:rPr>
          <w:spacing w:val="-1"/>
          <w:sz w:val="24"/>
        </w:rPr>
        <w:t> </w:t>
      </w:r>
      <w:r>
        <w:rPr>
          <w:sz w:val="24"/>
        </w:rPr>
        <w:t>attached</w:t>
      </w:r>
      <w:r>
        <w:rPr>
          <w:spacing w:val="-3"/>
          <w:sz w:val="24"/>
        </w:rPr>
        <w:t> </w:t>
      </w:r>
      <w:r>
        <w:rPr>
          <w:sz w:val="24"/>
        </w:rPr>
        <w:t>Brunswick</w:t>
      </w:r>
      <w:r>
        <w:rPr>
          <w:spacing w:val="-3"/>
          <w:sz w:val="24"/>
        </w:rPr>
        <w:t> </w:t>
      </w:r>
      <w:r>
        <w:rPr>
          <w:sz w:val="24"/>
        </w:rPr>
        <w:t>Link</w:t>
      </w:r>
      <w:r>
        <w:rPr>
          <w:spacing w:val="-3"/>
          <w:sz w:val="24"/>
        </w:rPr>
        <w:t> </w:t>
      </w:r>
      <w:r>
        <w:rPr>
          <w:sz w:val="24"/>
        </w:rPr>
        <w:t>ADA Policies and Procedures under complaints.</w:t>
      </w:r>
    </w:p>
    <w:p>
      <w:pPr>
        <w:pStyle w:val="ListParagraph"/>
        <w:numPr>
          <w:ilvl w:val="1"/>
          <w:numId w:val="38"/>
        </w:numPr>
        <w:tabs>
          <w:tab w:pos="1991" w:val="left" w:leader="none"/>
        </w:tabs>
        <w:spacing w:line="240" w:lineRule="auto" w:before="0" w:after="0"/>
        <w:ind w:left="1991" w:right="0" w:hanging="359"/>
        <w:jc w:val="left"/>
        <w:rPr>
          <w:sz w:val="24"/>
        </w:rPr>
      </w:pPr>
      <w:r>
        <w:rPr>
          <w:sz w:val="24"/>
        </w:rPr>
        <w:t>Describe</w:t>
      </w:r>
      <w:r>
        <w:rPr>
          <w:spacing w:val="-5"/>
          <w:sz w:val="24"/>
        </w:rPr>
        <w:t> </w:t>
      </w:r>
      <w:r>
        <w:rPr>
          <w:sz w:val="24"/>
        </w:rPr>
        <w:t>your</w:t>
      </w:r>
      <w:r>
        <w:rPr>
          <w:spacing w:val="-4"/>
          <w:sz w:val="24"/>
        </w:rPr>
        <w:t> </w:t>
      </w:r>
      <w:r>
        <w:rPr>
          <w:sz w:val="24"/>
        </w:rPr>
        <w:t>policy</w:t>
      </w:r>
      <w:r>
        <w:rPr>
          <w:spacing w:val="-2"/>
          <w:sz w:val="24"/>
        </w:rPr>
        <w:t> </w:t>
      </w:r>
      <w:r>
        <w:rPr>
          <w:sz w:val="24"/>
        </w:rPr>
        <w:t>on service</w:t>
      </w:r>
      <w:r>
        <w:rPr>
          <w:spacing w:val="-1"/>
          <w:sz w:val="24"/>
        </w:rPr>
        <w:t> </w:t>
      </w:r>
      <w:r>
        <w:rPr>
          <w:sz w:val="24"/>
        </w:rPr>
        <w:t>animals:</w:t>
      </w:r>
      <w:r>
        <w:rPr>
          <w:spacing w:val="52"/>
          <w:sz w:val="24"/>
        </w:rPr>
        <w:t> </w:t>
      </w:r>
      <w:r>
        <w:rPr>
          <w:sz w:val="24"/>
        </w:rPr>
        <w:t>See</w:t>
      </w:r>
      <w:r>
        <w:rPr>
          <w:spacing w:val="-1"/>
          <w:sz w:val="24"/>
        </w:rPr>
        <w:t> </w:t>
      </w:r>
      <w:r>
        <w:rPr>
          <w:sz w:val="24"/>
        </w:rPr>
        <w:t>attached</w:t>
      </w:r>
      <w:r>
        <w:rPr>
          <w:spacing w:val="-3"/>
          <w:sz w:val="24"/>
        </w:rPr>
        <w:t> </w:t>
      </w:r>
      <w:r>
        <w:rPr>
          <w:sz w:val="24"/>
        </w:rPr>
        <w:t>document</w:t>
      </w:r>
      <w:r>
        <w:rPr>
          <w:spacing w:val="-3"/>
          <w:sz w:val="24"/>
        </w:rPr>
        <w:t> </w:t>
      </w:r>
      <w:r>
        <w:rPr>
          <w:sz w:val="24"/>
        </w:rPr>
        <w:t>12.J</w:t>
      </w:r>
      <w:r>
        <w:rPr>
          <w:spacing w:val="-4"/>
          <w:sz w:val="24"/>
        </w:rPr>
        <w:t> </w:t>
      </w:r>
      <w:r>
        <w:rPr>
          <w:sz w:val="24"/>
        </w:rPr>
        <w:t>service </w:t>
      </w:r>
      <w:r>
        <w:rPr>
          <w:spacing w:val="-2"/>
          <w:sz w:val="24"/>
        </w:rPr>
        <w:t>animals</w:t>
      </w:r>
    </w:p>
    <w:p>
      <w:pPr>
        <w:pStyle w:val="ListParagraph"/>
        <w:numPr>
          <w:ilvl w:val="1"/>
          <w:numId w:val="38"/>
        </w:numPr>
        <w:tabs>
          <w:tab w:pos="1990" w:val="left" w:leader="none"/>
          <w:tab w:pos="1992" w:val="left" w:leader="none"/>
        </w:tabs>
        <w:spacing w:line="259" w:lineRule="auto" w:before="21" w:after="0"/>
        <w:ind w:left="1992" w:right="732" w:hanging="360"/>
        <w:jc w:val="left"/>
        <w:rPr>
          <w:sz w:val="24"/>
        </w:rPr>
      </w:pPr>
      <w:r>
        <w:rPr>
          <w:sz w:val="24"/>
        </w:rPr>
        <w:t>What training do you offer employees for transporting persons with disabilities?</w:t>
      </w:r>
      <w:r>
        <w:rPr>
          <w:spacing w:val="40"/>
          <w:sz w:val="24"/>
        </w:rPr>
        <w:t> </w:t>
      </w:r>
      <w:r>
        <w:rPr>
          <w:sz w:val="24"/>
        </w:rPr>
        <w:t>All drivers</w:t>
      </w:r>
      <w:r>
        <w:rPr>
          <w:spacing w:val="-4"/>
          <w:sz w:val="24"/>
        </w:rPr>
        <w:t> </w:t>
      </w:r>
      <w:r>
        <w:rPr>
          <w:sz w:val="24"/>
        </w:rPr>
        <w:t>receive</w:t>
      </w:r>
      <w:r>
        <w:rPr>
          <w:spacing w:val="-3"/>
          <w:sz w:val="24"/>
        </w:rPr>
        <w:t> </w:t>
      </w:r>
      <w:r>
        <w:rPr>
          <w:sz w:val="24"/>
        </w:rPr>
        <w:t>Passenger</w:t>
      </w:r>
      <w:r>
        <w:rPr>
          <w:spacing w:val="-3"/>
          <w:sz w:val="24"/>
        </w:rPr>
        <w:t> </w:t>
      </w:r>
      <w:r>
        <w:rPr>
          <w:sz w:val="24"/>
        </w:rPr>
        <w:t>Assistance</w:t>
      </w:r>
      <w:r>
        <w:rPr>
          <w:spacing w:val="-5"/>
          <w:sz w:val="24"/>
        </w:rPr>
        <w:t> </w:t>
      </w:r>
      <w:r>
        <w:rPr>
          <w:sz w:val="24"/>
        </w:rPr>
        <w:t>Safety</w:t>
      </w:r>
      <w:r>
        <w:rPr>
          <w:spacing w:val="-4"/>
          <w:sz w:val="24"/>
        </w:rPr>
        <w:t> </w:t>
      </w:r>
      <w:r>
        <w:rPr>
          <w:sz w:val="24"/>
        </w:rPr>
        <w:t>and</w:t>
      </w:r>
      <w:r>
        <w:rPr>
          <w:spacing w:val="-5"/>
          <w:sz w:val="24"/>
        </w:rPr>
        <w:t> </w:t>
      </w:r>
      <w:r>
        <w:rPr>
          <w:sz w:val="24"/>
        </w:rPr>
        <w:t>Sensitivity</w:t>
      </w:r>
      <w:r>
        <w:rPr>
          <w:spacing w:val="-4"/>
          <w:sz w:val="24"/>
        </w:rPr>
        <w:t> </w:t>
      </w:r>
      <w:r>
        <w:rPr>
          <w:sz w:val="24"/>
        </w:rPr>
        <w:t>Training</w:t>
      </w:r>
      <w:r>
        <w:rPr>
          <w:spacing w:val="-6"/>
          <w:sz w:val="24"/>
        </w:rPr>
        <w:t> </w:t>
      </w:r>
      <w:r>
        <w:rPr>
          <w:sz w:val="24"/>
        </w:rPr>
        <w:t>offered</w:t>
      </w:r>
      <w:r>
        <w:rPr>
          <w:spacing w:val="-2"/>
          <w:sz w:val="24"/>
        </w:rPr>
        <w:t> </w:t>
      </w:r>
      <w:r>
        <w:rPr>
          <w:sz w:val="24"/>
        </w:rPr>
        <w:t>by</w:t>
      </w:r>
      <w:r>
        <w:rPr>
          <w:spacing w:val="-4"/>
          <w:sz w:val="24"/>
        </w:rPr>
        <w:t> </w:t>
      </w:r>
      <w:r>
        <w:rPr>
          <w:sz w:val="24"/>
        </w:rPr>
        <w:t>CTAA</w:t>
      </w:r>
      <w:r>
        <w:rPr>
          <w:spacing w:val="-3"/>
          <w:sz w:val="24"/>
        </w:rPr>
        <w:t> </w:t>
      </w:r>
      <w:r>
        <w:rPr>
          <w:sz w:val="24"/>
        </w:rPr>
        <w:t>at hire and every two years.</w:t>
      </w:r>
      <w:r>
        <w:rPr>
          <w:spacing w:val="40"/>
          <w:sz w:val="24"/>
        </w:rPr>
        <w:t> </w:t>
      </w:r>
      <w:r>
        <w:rPr>
          <w:sz w:val="24"/>
        </w:rPr>
        <w:t>WMTS is currently looking for additional training to help drivers with securing newer mobility aids.</w:t>
      </w:r>
    </w:p>
    <w:p>
      <w:pPr>
        <w:pStyle w:val="ListParagraph"/>
        <w:numPr>
          <w:ilvl w:val="2"/>
          <w:numId w:val="38"/>
        </w:numPr>
        <w:tabs>
          <w:tab w:pos="2171" w:val="left" w:leader="none"/>
        </w:tabs>
        <w:spacing w:line="240" w:lineRule="auto" w:before="2" w:after="0"/>
        <w:ind w:left="2171" w:right="0" w:hanging="179"/>
        <w:jc w:val="left"/>
        <w:rPr>
          <w:sz w:val="28"/>
        </w:rPr>
      </w:pPr>
      <w:r>
        <w:rPr>
          <w:sz w:val="24"/>
        </w:rPr>
        <w:t>Is</w:t>
      </w:r>
      <w:r>
        <w:rPr>
          <w:spacing w:val="-2"/>
          <w:sz w:val="24"/>
        </w:rPr>
        <w:t> </w:t>
      </w:r>
      <w:r>
        <w:rPr>
          <w:sz w:val="24"/>
        </w:rPr>
        <w:t>the</w:t>
      </w:r>
      <w:r>
        <w:rPr>
          <w:spacing w:val="-3"/>
          <w:sz w:val="24"/>
        </w:rPr>
        <w:t> </w:t>
      </w:r>
      <w:r>
        <w:rPr>
          <w:sz w:val="24"/>
        </w:rPr>
        <w:t>same</w:t>
      </w:r>
      <w:r>
        <w:rPr>
          <w:spacing w:val="-2"/>
          <w:sz w:val="24"/>
        </w:rPr>
        <w:t> </w:t>
      </w:r>
      <w:r>
        <w:rPr>
          <w:sz w:val="24"/>
        </w:rPr>
        <w:t>training</w:t>
      </w:r>
      <w:r>
        <w:rPr>
          <w:spacing w:val="-4"/>
          <w:sz w:val="24"/>
        </w:rPr>
        <w:t> </w:t>
      </w:r>
      <w:r>
        <w:rPr>
          <w:sz w:val="24"/>
        </w:rPr>
        <w:t>required</w:t>
      </w:r>
      <w:r>
        <w:rPr>
          <w:spacing w:val="-3"/>
          <w:sz w:val="24"/>
        </w:rPr>
        <w:t> </w:t>
      </w:r>
      <w:r>
        <w:rPr>
          <w:sz w:val="24"/>
        </w:rPr>
        <w:t>of</w:t>
      </w:r>
      <w:r>
        <w:rPr>
          <w:spacing w:val="1"/>
          <w:sz w:val="24"/>
        </w:rPr>
        <w:t> </w:t>
      </w:r>
      <w:r>
        <w:rPr>
          <w:sz w:val="24"/>
        </w:rPr>
        <w:t>volunteer</w:t>
      </w:r>
      <w:r>
        <w:rPr>
          <w:spacing w:val="-1"/>
          <w:sz w:val="24"/>
        </w:rPr>
        <w:t> </w:t>
      </w:r>
      <w:r>
        <w:rPr>
          <w:sz w:val="24"/>
        </w:rPr>
        <w:t>drivers?</w:t>
      </w:r>
      <w:r>
        <w:rPr>
          <w:spacing w:val="51"/>
          <w:sz w:val="24"/>
        </w:rPr>
        <w:t> </w:t>
      </w:r>
      <w:r>
        <w:rPr>
          <w:spacing w:val="-5"/>
          <w:sz w:val="28"/>
        </w:rPr>
        <w:t>NA</w:t>
      </w:r>
    </w:p>
    <w:p>
      <w:pPr>
        <w:pStyle w:val="BodyText"/>
        <w:spacing w:before="3"/>
        <w:rPr>
          <w:sz w:val="28"/>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ADA</w:t>
      </w:r>
      <w:r>
        <w:rPr>
          <w:color w:val="2D74B5"/>
          <w:spacing w:val="-4"/>
        </w:rPr>
        <w:t> </w:t>
      </w:r>
      <w:r>
        <w:rPr>
          <w:color w:val="2D74B5"/>
        </w:rPr>
        <w:t>–</w:t>
      </w:r>
      <w:r>
        <w:rPr>
          <w:color w:val="2D74B5"/>
          <w:spacing w:val="-5"/>
        </w:rPr>
        <w:t> </w:t>
      </w:r>
      <w:r>
        <w:rPr>
          <w:color w:val="2D74B5"/>
        </w:rPr>
        <w:t>Complementary</w:t>
      </w:r>
      <w:r>
        <w:rPr>
          <w:color w:val="2D74B5"/>
          <w:spacing w:val="-5"/>
        </w:rPr>
        <w:t> </w:t>
      </w:r>
      <w:r>
        <w:rPr>
          <w:color w:val="2D74B5"/>
        </w:rPr>
        <w:t>Paratransit</w:t>
      </w:r>
      <w:r>
        <w:rPr>
          <w:color w:val="2D74B5"/>
          <w:spacing w:val="-3"/>
        </w:rPr>
        <w:t> </w:t>
      </w:r>
      <w:r>
        <w:rPr>
          <w:color w:val="2D74B5"/>
        </w:rPr>
        <w:t>(FIXED</w:t>
      </w:r>
      <w:r>
        <w:rPr>
          <w:color w:val="2D74B5"/>
          <w:spacing w:val="-5"/>
        </w:rPr>
        <w:t> </w:t>
      </w:r>
      <w:r>
        <w:rPr>
          <w:color w:val="2D74B5"/>
        </w:rPr>
        <w:t>ROUTE</w:t>
      </w:r>
      <w:r>
        <w:rPr>
          <w:color w:val="2D74B5"/>
          <w:spacing w:val="-5"/>
        </w:rPr>
        <w:t> </w:t>
      </w:r>
      <w:r>
        <w:rPr>
          <w:color w:val="2D74B5"/>
        </w:rPr>
        <w:t>ONLY</w:t>
      </w:r>
      <w:r>
        <w:rPr>
          <w:color w:val="2D74B5"/>
          <w:spacing w:val="-3"/>
        </w:rPr>
        <w:t> </w:t>
      </w:r>
      <w:r>
        <w:rPr>
          <w:color w:val="2D74B5"/>
        </w:rPr>
        <w:t>–</w:t>
      </w:r>
      <w:r>
        <w:rPr>
          <w:color w:val="2D74B5"/>
          <w:spacing w:val="-4"/>
        </w:rPr>
        <w:t> N/A)</w:t>
      </w:r>
    </w:p>
    <w:p>
      <w:pPr>
        <w:pStyle w:val="BodyText"/>
        <w:rPr>
          <w:b/>
          <w:sz w:val="28"/>
        </w:rPr>
      </w:pPr>
    </w:p>
    <w:p>
      <w:pPr>
        <w:pStyle w:val="ListParagraph"/>
        <w:numPr>
          <w:ilvl w:val="0"/>
          <w:numId w:val="38"/>
        </w:numPr>
        <w:tabs>
          <w:tab w:pos="1457" w:val="left" w:leader="none"/>
        </w:tabs>
        <w:spacing w:line="240" w:lineRule="auto" w:before="1" w:after="0"/>
        <w:ind w:left="1457" w:right="0" w:hanging="546"/>
        <w:jc w:val="left"/>
        <w:rPr>
          <w:b/>
          <w:color w:val="2D74B5"/>
          <w:sz w:val="28"/>
        </w:rPr>
      </w:pPr>
      <w:r>
        <w:rPr>
          <w:b/>
          <w:color w:val="2D74B5"/>
          <w:spacing w:val="-5"/>
          <w:sz w:val="28"/>
        </w:rPr>
        <w:t>EEO</w:t>
      </w:r>
    </w:p>
    <w:p>
      <w:pPr>
        <w:pStyle w:val="ListParagraph"/>
        <w:numPr>
          <w:ilvl w:val="1"/>
          <w:numId w:val="38"/>
        </w:numPr>
        <w:tabs>
          <w:tab w:pos="1992" w:val="left" w:leader="none"/>
        </w:tabs>
        <w:spacing w:line="259" w:lineRule="auto" w:before="25" w:after="0"/>
        <w:ind w:left="1992" w:right="1260" w:hanging="360"/>
        <w:jc w:val="left"/>
        <w:rPr>
          <w:sz w:val="24"/>
        </w:rPr>
      </w:pPr>
      <w:r>
        <w:rPr>
          <w:sz w:val="24"/>
        </w:rPr>
        <w:t>Are</w:t>
      </w:r>
      <w:r>
        <w:rPr>
          <w:spacing w:val="-2"/>
          <w:sz w:val="24"/>
        </w:rPr>
        <w:t> </w:t>
      </w:r>
      <w:r>
        <w:rPr>
          <w:sz w:val="24"/>
        </w:rPr>
        <w:t>you</w:t>
      </w:r>
      <w:r>
        <w:rPr>
          <w:spacing w:val="-4"/>
          <w:sz w:val="24"/>
        </w:rPr>
        <w:t> </w:t>
      </w:r>
      <w:r>
        <w:rPr>
          <w:sz w:val="24"/>
        </w:rPr>
        <w:t>required</w:t>
      </w:r>
      <w:r>
        <w:rPr>
          <w:spacing w:val="-4"/>
          <w:sz w:val="24"/>
        </w:rPr>
        <w:t> </w:t>
      </w:r>
      <w:r>
        <w:rPr>
          <w:sz w:val="24"/>
        </w:rPr>
        <w:t>to</w:t>
      </w:r>
      <w:r>
        <w:rPr>
          <w:spacing w:val="-4"/>
          <w:sz w:val="24"/>
        </w:rPr>
        <w:t> </w:t>
      </w:r>
      <w:r>
        <w:rPr>
          <w:sz w:val="24"/>
        </w:rPr>
        <w:t>have</w:t>
      </w:r>
      <w:r>
        <w:rPr>
          <w:spacing w:val="-4"/>
          <w:sz w:val="24"/>
        </w:rPr>
        <w:t> </w:t>
      </w:r>
      <w:r>
        <w:rPr>
          <w:sz w:val="24"/>
        </w:rPr>
        <w:t>a</w:t>
      </w:r>
      <w:r>
        <w:rPr>
          <w:spacing w:val="-2"/>
          <w:sz w:val="24"/>
        </w:rPr>
        <w:t> </w:t>
      </w:r>
      <w:r>
        <w:rPr>
          <w:sz w:val="24"/>
        </w:rPr>
        <w:t>full</w:t>
      </w:r>
      <w:r>
        <w:rPr>
          <w:spacing w:val="-2"/>
          <w:sz w:val="24"/>
        </w:rPr>
        <w:t> </w:t>
      </w:r>
      <w:r>
        <w:rPr>
          <w:sz w:val="24"/>
        </w:rPr>
        <w:t>EEO</w:t>
      </w:r>
      <w:r>
        <w:rPr>
          <w:spacing w:val="-3"/>
          <w:sz w:val="24"/>
        </w:rPr>
        <w:t> </w:t>
      </w:r>
      <w:r>
        <w:rPr>
          <w:sz w:val="24"/>
        </w:rPr>
        <w:t>program</w:t>
      </w:r>
      <w:r>
        <w:rPr>
          <w:spacing w:val="-2"/>
          <w:sz w:val="24"/>
        </w:rPr>
        <w:t> </w:t>
      </w:r>
      <w:r>
        <w:rPr>
          <w:sz w:val="24"/>
        </w:rPr>
        <w:t>(employ</w:t>
      </w:r>
      <w:r>
        <w:rPr>
          <w:spacing w:val="-3"/>
          <w:sz w:val="24"/>
        </w:rPr>
        <w:t> </w:t>
      </w:r>
      <w:r>
        <w:rPr>
          <w:sz w:val="24"/>
        </w:rPr>
        <w:t>100</w:t>
      </w:r>
      <w:r>
        <w:rPr>
          <w:spacing w:val="-4"/>
          <w:sz w:val="24"/>
        </w:rPr>
        <w:t> </w:t>
      </w:r>
      <w:r>
        <w:rPr>
          <w:sz w:val="24"/>
        </w:rPr>
        <w:t>or</w:t>
      </w:r>
      <w:r>
        <w:rPr>
          <w:spacing w:val="-5"/>
          <w:sz w:val="24"/>
        </w:rPr>
        <w:t> </w:t>
      </w:r>
      <w:r>
        <w:rPr>
          <w:sz w:val="24"/>
        </w:rPr>
        <w:t>more</w:t>
      </w:r>
      <w:r>
        <w:rPr>
          <w:spacing w:val="-4"/>
          <w:sz w:val="24"/>
        </w:rPr>
        <w:t> </w:t>
      </w:r>
      <w:r>
        <w:rPr>
          <w:sz w:val="24"/>
        </w:rPr>
        <w:t>transit-related employees and receive &gt; $1M in FTA funds)?</w:t>
      </w:r>
      <w:r>
        <w:rPr>
          <w:spacing w:val="40"/>
          <w:sz w:val="24"/>
        </w:rPr>
        <w:t> </w:t>
      </w:r>
      <w:r>
        <w:rPr>
          <w:sz w:val="24"/>
        </w:rPr>
        <w:t>No</w:t>
      </w:r>
    </w:p>
    <w:p>
      <w:pPr>
        <w:pStyle w:val="ListParagraph"/>
        <w:numPr>
          <w:ilvl w:val="2"/>
          <w:numId w:val="38"/>
        </w:numPr>
        <w:tabs>
          <w:tab w:pos="2170" w:val="left" w:leader="none"/>
          <w:tab w:pos="2172" w:val="left" w:leader="none"/>
        </w:tabs>
        <w:spacing w:line="259" w:lineRule="auto" w:before="0" w:after="0"/>
        <w:ind w:left="2172" w:right="1037" w:hanging="181"/>
        <w:jc w:val="left"/>
        <w:rPr>
          <w:sz w:val="22"/>
        </w:rPr>
      </w:pPr>
      <w:r>
        <w:rPr>
          <w:sz w:val="24"/>
        </w:rPr>
        <w:t>If</w:t>
      </w:r>
      <w:r>
        <w:rPr>
          <w:spacing w:val="-1"/>
          <w:sz w:val="24"/>
        </w:rPr>
        <w:t> </w:t>
      </w:r>
      <w:r>
        <w:rPr>
          <w:sz w:val="24"/>
        </w:rPr>
        <w:t>yes,</w:t>
      </w:r>
      <w:r>
        <w:rPr>
          <w:spacing w:val="-1"/>
          <w:sz w:val="24"/>
        </w:rPr>
        <w:t> </w:t>
      </w:r>
      <w:r>
        <w:rPr>
          <w:sz w:val="24"/>
        </w:rPr>
        <w:t>have</w:t>
      </w:r>
      <w:r>
        <w:rPr>
          <w:spacing w:val="-1"/>
          <w:sz w:val="24"/>
        </w:rPr>
        <w:t> </w:t>
      </w:r>
      <w:r>
        <w:rPr>
          <w:sz w:val="24"/>
        </w:rPr>
        <w:t>you</w:t>
      </w:r>
      <w:r>
        <w:rPr>
          <w:spacing w:val="-3"/>
          <w:sz w:val="24"/>
        </w:rPr>
        <w:t> </w:t>
      </w:r>
      <w:r>
        <w:rPr>
          <w:sz w:val="24"/>
        </w:rPr>
        <w:t>submitted</w:t>
      </w:r>
      <w:r>
        <w:rPr>
          <w:spacing w:val="-1"/>
          <w:sz w:val="24"/>
        </w:rPr>
        <w:t> </w:t>
      </w:r>
      <w:r>
        <w:rPr>
          <w:sz w:val="24"/>
        </w:rPr>
        <w:t>the</w:t>
      </w:r>
      <w:r>
        <w:rPr>
          <w:spacing w:val="-3"/>
          <w:sz w:val="24"/>
        </w:rPr>
        <w:t> </w:t>
      </w:r>
      <w:r>
        <w:rPr>
          <w:sz w:val="24"/>
        </w:rPr>
        <w:t>full</w:t>
      </w:r>
      <w:r>
        <w:rPr>
          <w:spacing w:val="-4"/>
          <w:sz w:val="24"/>
        </w:rPr>
        <w:t> </w:t>
      </w:r>
      <w:r>
        <w:rPr>
          <w:sz w:val="24"/>
        </w:rPr>
        <w:t>EEO</w:t>
      </w:r>
      <w:r>
        <w:rPr>
          <w:spacing w:val="-4"/>
          <w:sz w:val="24"/>
        </w:rPr>
        <w:t> </w:t>
      </w:r>
      <w:r>
        <w:rPr>
          <w:sz w:val="24"/>
        </w:rPr>
        <w:t>program</w:t>
      </w:r>
      <w:r>
        <w:rPr>
          <w:spacing w:val="-4"/>
          <w:sz w:val="24"/>
        </w:rPr>
        <w:t> </w:t>
      </w:r>
      <w:r>
        <w:rPr>
          <w:sz w:val="24"/>
        </w:rPr>
        <w:t>to</w:t>
      </w:r>
      <w:r>
        <w:rPr>
          <w:spacing w:val="-1"/>
          <w:sz w:val="24"/>
        </w:rPr>
        <w:t> </w:t>
      </w:r>
      <w:r>
        <w:rPr>
          <w:sz w:val="24"/>
        </w:rPr>
        <w:t>MaineDOT?</w:t>
      </w:r>
      <w:r>
        <w:rPr>
          <w:spacing w:val="40"/>
          <w:sz w:val="24"/>
        </w:rPr>
        <w:t> </w:t>
      </w:r>
      <w:r>
        <w:rPr>
          <w:color w:val="808080"/>
          <w:sz w:val="22"/>
        </w:rPr>
        <w:t>Click</w:t>
      </w:r>
      <w:r>
        <w:rPr>
          <w:color w:val="808080"/>
          <w:spacing w:val="-1"/>
          <w:sz w:val="22"/>
        </w:rPr>
        <w:t> </w:t>
      </w:r>
      <w:r>
        <w:rPr>
          <w:color w:val="808080"/>
          <w:sz w:val="22"/>
        </w:rPr>
        <w:t>or</w:t>
      </w:r>
      <w:r>
        <w:rPr>
          <w:color w:val="808080"/>
          <w:spacing w:val="-2"/>
          <w:sz w:val="22"/>
        </w:rPr>
        <w:t> </w:t>
      </w:r>
      <w:r>
        <w:rPr>
          <w:color w:val="808080"/>
          <w:sz w:val="22"/>
        </w:rPr>
        <w:t>tap</w:t>
      </w:r>
      <w:r>
        <w:rPr>
          <w:color w:val="808080"/>
          <w:spacing w:val="-5"/>
          <w:sz w:val="22"/>
        </w:rPr>
        <w:t> </w:t>
      </w:r>
      <w:r>
        <w:rPr>
          <w:color w:val="808080"/>
          <w:sz w:val="22"/>
        </w:rPr>
        <w:t>here</w:t>
      </w:r>
      <w:r>
        <w:rPr>
          <w:color w:val="808080"/>
          <w:spacing w:val="-1"/>
          <w:sz w:val="22"/>
        </w:rPr>
        <w:t> </w:t>
      </w:r>
      <w:r>
        <w:rPr>
          <w:color w:val="808080"/>
          <w:sz w:val="22"/>
        </w:rPr>
        <w:t>to enter text.</w:t>
      </w:r>
    </w:p>
    <w:p>
      <w:pPr>
        <w:pStyle w:val="ListParagraph"/>
        <w:numPr>
          <w:ilvl w:val="1"/>
          <w:numId w:val="38"/>
        </w:numPr>
        <w:tabs>
          <w:tab w:pos="1991" w:val="left" w:leader="none"/>
        </w:tabs>
        <w:spacing w:line="259" w:lineRule="auto" w:before="0" w:after="0"/>
        <w:ind w:left="1991" w:right="674" w:hanging="360"/>
        <w:jc w:val="left"/>
        <w:rPr>
          <w:sz w:val="24"/>
        </w:rPr>
      </w:pPr>
      <w:r>
        <w:rPr>
          <w:sz w:val="24"/>
        </w:rPr>
        <w:t>Are</w:t>
      </w:r>
      <w:r>
        <w:rPr>
          <w:spacing w:val="-3"/>
          <w:sz w:val="24"/>
        </w:rPr>
        <w:t> </w:t>
      </w:r>
      <w:r>
        <w:rPr>
          <w:sz w:val="24"/>
        </w:rPr>
        <w:t>you</w:t>
      </w:r>
      <w:r>
        <w:rPr>
          <w:spacing w:val="-5"/>
          <w:sz w:val="24"/>
        </w:rPr>
        <w:t> </w:t>
      </w:r>
      <w:r>
        <w:rPr>
          <w:sz w:val="24"/>
        </w:rPr>
        <w:t>required</w:t>
      </w:r>
      <w:r>
        <w:rPr>
          <w:spacing w:val="-5"/>
          <w:sz w:val="24"/>
        </w:rPr>
        <w:t> </w:t>
      </w:r>
      <w:r>
        <w:rPr>
          <w:sz w:val="24"/>
        </w:rPr>
        <w:t>to</w:t>
      </w:r>
      <w:r>
        <w:rPr>
          <w:spacing w:val="-5"/>
          <w:sz w:val="24"/>
        </w:rPr>
        <w:t> </w:t>
      </w:r>
      <w:r>
        <w:rPr>
          <w:sz w:val="24"/>
        </w:rPr>
        <w:t>have</w:t>
      </w:r>
      <w:r>
        <w:rPr>
          <w:spacing w:val="-5"/>
          <w:sz w:val="24"/>
        </w:rPr>
        <w:t> </w:t>
      </w:r>
      <w:r>
        <w:rPr>
          <w:sz w:val="24"/>
        </w:rPr>
        <w:t>an</w:t>
      </w:r>
      <w:r>
        <w:rPr>
          <w:spacing w:val="-2"/>
          <w:sz w:val="24"/>
        </w:rPr>
        <w:t> </w:t>
      </w:r>
      <w:r>
        <w:rPr>
          <w:sz w:val="24"/>
        </w:rPr>
        <w:t>abbreviated</w:t>
      </w:r>
      <w:r>
        <w:rPr>
          <w:spacing w:val="-2"/>
          <w:sz w:val="24"/>
        </w:rPr>
        <w:t> </w:t>
      </w:r>
      <w:r>
        <w:rPr>
          <w:sz w:val="24"/>
        </w:rPr>
        <w:t>EEO</w:t>
      </w:r>
      <w:r>
        <w:rPr>
          <w:spacing w:val="-4"/>
          <w:sz w:val="24"/>
        </w:rPr>
        <w:t> </w:t>
      </w:r>
      <w:r>
        <w:rPr>
          <w:sz w:val="24"/>
        </w:rPr>
        <w:t>program</w:t>
      </w:r>
      <w:r>
        <w:rPr>
          <w:spacing w:val="-3"/>
          <w:sz w:val="24"/>
        </w:rPr>
        <w:t> </w:t>
      </w:r>
      <w:r>
        <w:rPr>
          <w:sz w:val="24"/>
        </w:rPr>
        <w:t>(employee</w:t>
      </w:r>
      <w:r>
        <w:rPr>
          <w:spacing w:val="-3"/>
          <w:sz w:val="24"/>
        </w:rPr>
        <w:t> </w:t>
      </w:r>
      <w:r>
        <w:rPr>
          <w:sz w:val="24"/>
        </w:rPr>
        <w:t>50-99</w:t>
      </w:r>
      <w:r>
        <w:rPr>
          <w:spacing w:val="-5"/>
          <w:sz w:val="24"/>
        </w:rPr>
        <w:t> </w:t>
      </w:r>
      <w:r>
        <w:rPr>
          <w:sz w:val="24"/>
        </w:rPr>
        <w:t>transit-related employees and receive &gt; $1M in FTA funds)?</w:t>
      </w:r>
      <w:r>
        <w:rPr>
          <w:spacing w:val="40"/>
          <w:sz w:val="24"/>
        </w:rPr>
        <w:t> </w:t>
      </w:r>
      <w:r>
        <w:rPr>
          <w:sz w:val="28"/>
        </w:rPr>
        <w:t>Yes</w:t>
      </w:r>
    </w:p>
    <w:p>
      <w:pPr>
        <w:pStyle w:val="ListParagraph"/>
        <w:numPr>
          <w:ilvl w:val="2"/>
          <w:numId w:val="38"/>
        </w:numPr>
        <w:tabs>
          <w:tab w:pos="2172" w:val="left" w:leader="none"/>
        </w:tabs>
        <w:spacing w:line="259" w:lineRule="auto" w:before="0" w:after="0"/>
        <w:ind w:left="2172" w:right="1483" w:hanging="180"/>
        <w:jc w:val="left"/>
        <w:rPr>
          <w:sz w:val="24"/>
        </w:rPr>
      </w:pPr>
      <w:r>
        <w:rPr>
          <w:sz w:val="24"/>
        </w:rPr>
        <w:t>If</w:t>
      </w:r>
      <w:r>
        <w:rPr>
          <w:spacing w:val="-2"/>
          <w:sz w:val="24"/>
        </w:rPr>
        <w:t> </w:t>
      </w:r>
      <w:r>
        <w:rPr>
          <w:sz w:val="24"/>
        </w:rPr>
        <w:t>yes,</w:t>
      </w:r>
      <w:r>
        <w:rPr>
          <w:spacing w:val="-3"/>
          <w:sz w:val="24"/>
        </w:rPr>
        <w:t> </w:t>
      </w:r>
      <w:r>
        <w:rPr>
          <w:sz w:val="24"/>
        </w:rPr>
        <w:t>have</w:t>
      </w:r>
      <w:r>
        <w:rPr>
          <w:spacing w:val="-3"/>
          <w:sz w:val="24"/>
        </w:rPr>
        <w:t> </w:t>
      </w:r>
      <w:r>
        <w:rPr>
          <w:sz w:val="24"/>
        </w:rPr>
        <w:t>you</w:t>
      </w:r>
      <w:r>
        <w:rPr>
          <w:spacing w:val="-5"/>
          <w:sz w:val="24"/>
        </w:rPr>
        <w:t> </w:t>
      </w:r>
      <w:r>
        <w:rPr>
          <w:sz w:val="24"/>
        </w:rPr>
        <w:t>submitted</w:t>
      </w:r>
      <w:r>
        <w:rPr>
          <w:spacing w:val="-2"/>
          <w:sz w:val="24"/>
        </w:rPr>
        <w:t> </w:t>
      </w:r>
      <w:r>
        <w:rPr>
          <w:sz w:val="24"/>
        </w:rPr>
        <w:t>the</w:t>
      </w:r>
      <w:r>
        <w:rPr>
          <w:spacing w:val="-5"/>
          <w:sz w:val="24"/>
        </w:rPr>
        <w:t> </w:t>
      </w:r>
      <w:r>
        <w:rPr>
          <w:sz w:val="24"/>
        </w:rPr>
        <w:t>abbreviated</w:t>
      </w:r>
      <w:r>
        <w:rPr>
          <w:spacing w:val="-5"/>
          <w:sz w:val="24"/>
        </w:rPr>
        <w:t> </w:t>
      </w:r>
      <w:r>
        <w:rPr>
          <w:sz w:val="24"/>
        </w:rPr>
        <w:t>EEO</w:t>
      </w:r>
      <w:r>
        <w:rPr>
          <w:spacing w:val="-4"/>
          <w:sz w:val="24"/>
        </w:rPr>
        <w:t> </w:t>
      </w:r>
      <w:r>
        <w:rPr>
          <w:sz w:val="24"/>
        </w:rPr>
        <w:t>program</w:t>
      </w:r>
      <w:r>
        <w:rPr>
          <w:spacing w:val="-3"/>
          <w:sz w:val="24"/>
        </w:rPr>
        <w:t> </w:t>
      </w:r>
      <w:r>
        <w:rPr>
          <w:sz w:val="24"/>
        </w:rPr>
        <w:t>to</w:t>
      </w:r>
      <w:r>
        <w:rPr>
          <w:spacing w:val="-5"/>
          <w:sz w:val="24"/>
        </w:rPr>
        <w:t> </w:t>
      </w:r>
      <w:r>
        <w:rPr>
          <w:sz w:val="24"/>
        </w:rPr>
        <w:t>MaineDOT?</w:t>
      </w:r>
      <w:r>
        <w:rPr>
          <w:spacing w:val="40"/>
          <w:sz w:val="24"/>
        </w:rPr>
        <w:t> </w:t>
      </w:r>
      <w:r>
        <w:rPr>
          <w:sz w:val="24"/>
        </w:rPr>
        <w:t>Yes, updated one that will be going to the BOD in June</w:t>
      </w:r>
      <w:r>
        <w:rPr>
          <w:spacing w:val="40"/>
          <w:sz w:val="24"/>
        </w:rPr>
        <w:t> </w:t>
      </w:r>
      <w:r>
        <w:rPr>
          <w:sz w:val="24"/>
        </w:rPr>
        <w:t>included</w:t>
      </w:r>
    </w:p>
    <w:p>
      <w:pPr>
        <w:pStyle w:val="ListParagraph"/>
        <w:numPr>
          <w:ilvl w:val="1"/>
          <w:numId w:val="38"/>
        </w:numPr>
        <w:tabs>
          <w:tab w:pos="1991" w:val="left" w:leader="none"/>
        </w:tabs>
        <w:spacing w:line="259" w:lineRule="auto" w:before="0" w:after="0"/>
        <w:ind w:left="1991" w:right="793" w:hanging="360"/>
        <w:jc w:val="left"/>
        <w:rPr>
          <w:sz w:val="24"/>
        </w:rPr>
      </w:pPr>
      <w:r>
        <w:rPr>
          <w:sz w:val="24"/>
        </w:rPr>
        <w:t>Do</w:t>
      </w:r>
      <w:r>
        <w:rPr>
          <w:spacing w:val="-2"/>
          <w:sz w:val="24"/>
        </w:rPr>
        <w:t> </w:t>
      </w:r>
      <w:r>
        <w:rPr>
          <w:sz w:val="24"/>
        </w:rPr>
        <w:t>you</w:t>
      </w:r>
      <w:r>
        <w:rPr>
          <w:spacing w:val="-1"/>
          <w:sz w:val="24"/>
        </w:rPr>
        <w:t> </w:t>
      </w:r>
      <w:r>
        <w:rPr>
          <w:sz w:val="24"/>
        </w:rPr>
        <w:t>have</w:t>
      </w:r>
      <w:r>
        <w:rPr>
          <w:spacing w:val="-2"/>
          <w:sz w:val="24"/>
        </w:rPr>
        <w:t> </w:t>
      </w:r>
      <w:r>
        <w:rPr>
          <w:sz w:val="24"/>
        </w:rPr>
        <w:t>a</w:t>
      </w:r>
      <w:r>
        <w:rPr>
          <w:spacing w:val="-5"/>
          <w:sz w:val="24"/>
        </w:rPr>
        <w:t> </w:t>
      </w:r>
      <w:r>
        <w:rPr>
          <w:sz w:val="24"/>
        </w:rPr>
        <w:t>written</w:t>
      </w:r>
      <w:r>
        <w:rPr>
          <w:spacing w:val="-4"/>
          <w:sz w:val="24"/>
        </w:rPr>
        <w:t> </w:t>
      </w:r>
      <w:r>
        <w:rPr>
          <w:sz w:val="24"/>
        </w:rPr>
        <w:t>policy</w:t>
      </w:r>
      <w:r>
        <w:rPr>
          <w:spacing w:val="-3"/>
          <w:sz w:val="24"/>
        </w:rPr>
        <w:t> </w:t>
      </w:r>
      <w:r>
        <w:rPr>
          <w:sz w:val="24"/>
        </w:rPr>
        <w:t>to</w:t>
      </w:r>
      <w:r>
        <w:rPr>
          <w:spacing w:val="-4"/>
          <w:sz w:val="24"/>
        </w:rPr>
        <w:t> </w:t>
      </w:r>
      <w:r>
        <w:rPr>
          <w:sz w:val="24"/>
        </w:rPr>
        <w:t>prevent</w:t>
      </w:r>
      <w:r>
        <w:rPr>
          <w:spacing w:val="-4"/>
          <w:sz w:val="24"/>
        </w:rPr>
        <w:t> </w:t>
      </w:r>
      <w:r>
        <w:rPr>
          <w:sz w:val="24"/>
        </w:rPr>
        <w:t>discrimination,</w:t>
      </w:r>
      <w:r>
        <w:rPr>
          <w:spacing w:val="-5"/>
          <w:sz w:val="24"/>
        </w:rPr>
        <w:t> </w:t>
      </w:r>
      <w:r>
        <w:rPr>
          <w:sz w:val="24"/>
        </w:rPr>
        <w:t>harassment,</w:t>
      </w:r>
      <w:r>
        <w:rPr>
          <w:spacing w:val="-5"/>
          <w:sz w:val="24"/>
        </w:rPr>
        <w:t> </w:t>
      </w:r>
      <w:r>
        <w:rPr>
          <w:sz w:val="24"/>
        </w:rPr>
        <w:t>intimidation,</w:t>
      </w:r>
      <w:r>
        <w:rPr>
          <w:spacing w:val="-5"/>
          <w:sz w:val="24"/>
        </w:rPr>
        <w:t> </w:t>
      </w:r>
      <w:r>
        <w:rPr>
          <w:sz w:val="24"/>
        </w:rPr>
        <w:t>and coercion of employees in the workplace?</w:t>
      </w:r>
      <w:r>
        <w:rPr>
          <w:spacing w:val="40"/>
          <w:sz w:val="24"/>
        </w:rPr>
        <w:t> </w:t>
      </w:r>
      <w:r>
        <w:rPr>
          <w:sz w:val="24"/>
        </w:rPr>
        <w:t>Yes, in our EEO Policy and our Personnel Policy both policies are attached</w:t>
      </w:r>
    </w:p>
    <w:p>
      <w:pPr>
        <w:pStyle w:val="BodyText"/>
        <w:spacing w:before="11"/>
        <w:rPr>
          <w:sz w:val="25"/>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School</w:t>
      </w:r>
      <w:r>
        <w:rPr>
          <w:color w:val="2D74B5"/>
          <w:spacing w:val="-4"/>
        </w:rPr>
        <w:t> </w:t>
      </w:r>
      <w:r>
        <w:rPr>
          <w:color w:val="2D74B5"/>
          <w:spacing w:val="-5"/>
        </w:rPr>
        <w:t>Bus</w:t>
      </w:r>
    </w:p>
    <w:p>
      <w:pPr>
        <w:pStyle w:val="ListParagraph"/>
        <w:numPr>
          <w:ilvl w:val="1"/>
          <w:numId w:val="38"/>
        </w:numPr>
        <w:tabs>
          <w:tab w:pos="1991" w:val="left" w:leader="none"/>
        </w:tabs>
        <w:spacing w:line="240" w:lineRule="auto" w:before="26" w:after="0"/>
        <w:ind w:left="1991" w:right="0" w:hanging="359"/>
        <w:jc w:val="left"/>
        <w:rPr>
          <w:sz w:val="24"/>
        </w:rPr>
      </w:pPr>
      <w:r>
        <w:rPr>
          <w:sz w:val="24"/>
        </w:rPr>
        <w:t>Do</w:t>
      </w:r>
      <w:r>
        <w:rPr>
          <w:spacing w:val="-1"/>
          <w:sz w:val="24"/>
        </w:rPr>
        <w:t> </w:t>
      </w:r>
      <w:r>
        <w:rPr>
          <w:sz w:val="24"/>
        </w:rPr>
        <w:t>you</w:t>
      </w:r>
      <w:r>
        <w:rPr>
          <w:spacing w:val="1"/>
          <w:sz w:val="24"/>
        </w:rPr>
        <w:t> </w:t>
      </w:r>
      <w:r>
        <w:rPr>
          <w:sz w:val="24"/>
        </w:rPr>
        <w:t>provide</w:t>
      </w:r>
      <w:r>
        <w:rPr>
          <w:spacing w:val="-2"/>
          <w:sz w:val="24"/>
        </w:rPr>
        <w:t> </w:t>
      </w:r>
      <w:r>
        <w:rPr>
          <w:sz w:val="24"/>
        </w:rPr>
        <w:t>school</w:t>
      </w:r>
      <w:r>
        <w:rPr>
          <w:spacing w:val="-3"/>
          <w:sz w:val="24"/>
        </w:rPr>
        <w:t> </w:t>
      </w:r>
      <w:r>
        <w:rPr>
          <w:sz w:val="24"/>
        </w:rPr>
        <w:t>bus</w:t>
      </w:r>
      <w:r>
        <w:rPr>
          <w:spacing w:val="-2"/>
          <w:sz w:val="24"/>
        </w:rPr>
        <w:t> </w:t>
      </w:r>
      <w:r>
        <w:rPr>
          <w:sz w:val="24"/>
        </w:rPr>
        <w:t>service?</w:t>
      </w:r>
      <w:r>
        <w:rPr>
          <w:spacing w:val="50"/>
          <w:sz w:val="24"/>
        </w:rPr>
        <w:t> </w:t>
      </w:r>
      <w:r>
        <w:rPr>
          <w:sz w:val="24"/>
        </w:rPr>
        <w:t>Discuss.</w:t>
      </w:r>
      <w:r>
        <w:rPr>
          <w:spacing w:val="50"/>
          <w:sz w:val="24"/>
        </w:rPr>
        <w:t> </w:t>
      </w:r>
      <w:r>
        <w:rPr>
          <w:spacing w:val="-5"/>
          <w:sz w:val="28"/>
        </w:rPr>
        <w:t>No</w:t>
      </w:r>
    </w:p>
    <w:p>
      <w:pPr>
        <w:pStyle w:val="Heading5"/>
        <w:numPr>
          <w:ilvl w:val="0"/>
          <w:numId w:val="38"/>
        </w:numPr>
        <w:tabs>
          <w:tab w:pos="1457" w:val="left" w:leader="none"/>
        </w:tabs>
        <w:spacing w:line="240" w:lineRule="auto" w:before="27" w:after="0"/>
        <w:ind w:left="1457" w:right="0" w:hanging="546"/>
        <w:jc w:val="left"/>
        <w:rPr>
          <w:color w:val="2D74B5"/>
        </w:rPr>
      </w:pPr>
      <w:r>
        <w:rPr>
          <w:color w:val="2D74B5"/>
        </w:rPr>
        <w:t>Charter</w:t>
      </w:r>
      <w:r>
        <w:rPr>
          <w:color w:val="2D74B5"/>
          <w:spacing w:val="-3"/>
        </w:rPr>
        <w:t> </w:t>
      </w:r>
      <w:r>
        <w:rPr>
          <w:color w:val="2D74B5"/>
          <w:spacing w:val="-5"/>
        </w:rPr>
        <w:t>Bus</w:t>
      </w:r>
    </w:p>
    <w:p>
      <w:pPr>
        <w:pStyle w:val="ListParagraph"/>
        <w:numPr>
          <w:ilvl w:val="1"/>
          <w:numId w:val="38"/>
        </w:numPr>
        <w:tabs>
          <w:tab w:pos="1991" w:val="left" w:leader="none"/>
        </w:tabs>
        <w:spacing w:line="240" w:lineRule="auto" w:before="28" w:after="0"/>
        <w:ind w:left="1991" w:right="0" w:hanging="359"/>
        <w:jc w:val="left"/>
        <w:rPr>
          <w:sz w:val="24"/>
        </w:rPr>
      </w:pPr>
      <w:r>
        <w:rPr>
          <w:sz w:val="24"/>
        </w:rPr>
        <w:t>Do</w:t>
      </w:r>
      <w:r>
        <w:rPr>
          <w:spacing w:val="-3"/>
          <w:sz w:val="24"/>
        </w:rPr>
        <w:t> </w:t>
      </w:r>
      <w:r>
        <w:rPr>
          <w:sz w:val="24"/>
        </w:rPr>
        <w:t>you provide</w:t>
      </w:r>
      <w:r>
        <w:rPr>
          <w:spacing w:val="-3"/>
          <w:sz w:val="24"/>
        </w:rPr>
        <w:t> </w:t>
      </w:r>
      <w:r>
        <w:rPr>
          <w:sz w:val="24"/>
        </w:rPr>
        <w:t>charter</w:t>
      </w:r>
      <w:r>
        <w:rPr>
          <w:spacing w:val="-1"/>
          <w:sz w:val="24"/>
        </w:rPr>
        <w:t> </w:t>
      </w:r>
      <w:r>
        <w:rPr>
          <w:sz w:val="24"/>
        </w:rPr>
        <w:t>service?</w:t>
      </w:r>
      <w:r>
        <w:rPr>
          <w:spacing w:val="52"/>
          <w:sz w:val="24"/>
        </w:rPr>
        <w:t> </w:t>
      </w:r>
      <w:r>
        <w:rPr>
          <w:spacing w:val="-5"/>
          <w:sz w:val="28"/>
        </w:rPr>
        <w:t>No</w:t>
      </w:r>
    </w:p>
    <w:p>
      <w:pPr>
        <w:pStyle w:val="ListParagraph"/>
        <w:numPr>
          <w:ilvl w:val="2"/>
          <w:numId w:val="38"/>
        </w:numPr>
        <w:tabs>
          <w:tab w:pos="2170" w:val="left" w:leader="none"/>
          <w:tab w:pos="2172" w:val="left" w:leader="none"/>
        </w:tabs>
        <w:spacing w:line="259" w:lineRule="auto" w:before="23" w:after="0"/>
        <w:ind w:left="2172" w:right="896" w:hanging="181"/>
        <w:jc w:val="left"/>
        <w:rPr>
          <w:sz w:val="22"/>
        </w:rPr>
      </w:pPr>
      <w:r>
        <w:rPr>
          <w:sz w:val="24"/>
        </w:rPr>
        <w:t>If yes,</w:t>
      </w:r>
      <w:r>
        <w:rPr>
          <w:spacing w:val="-1"/>
          <w:sz w:val="24"/>
        </w:rPr>
        <w:t> </w:t>
      </w:r>
      <w:r>
        <w:rPr>
          <w:sz w:val="24"/>
        </w:rPr>
        <w:t>does</w:t>
      </w:r>
      <w:r>
        <w:rPr>
          <w:spacing w:val="-4"/>
          <w:sz w:val="24"/>
        </w:rPr>
        <w:t> </w:t>
      </w:r>
      <w:r>
        <w:rPr>
          <w:sz w:val="24"/>
        </w:rPr>
        <w:t>the</w:t>
      </w:r>
      <w:r>
        <w:rPr>
          <w:spacing w:val="-3"/>
          <w:sz w:val="24"/>
        </w:rPr>
        <w:t> </w:t>
      </w:r>
      <w:r>
        <w:rPr>
          <w:sz w:val="24"/>
        </w:rPr>
        <w:t>service</w:t>
      </w:r>
      <w:r>
        <w:rPr>
          <w:spacing w:val="-1"/>
          <w:sz w:val="24"/>
        </w:rPr>
        <w:t> </w:t>
      </w:r>
      <w:r>
        <w:rPr>
          <w:sz w:val="24"/>
        </w:rPr>
        <w:t>meet</w:t>
      </w:r>
      <w:r>
        <w:rPr>
          <w:spacing w:val="-3"/>
          <w:sz w:val="24"/>
        </w:rPr>
        <w:t> </w:t>
      </w:r>
      <w:r>
        <w:rPr>
          <w:sz w:val="24"/>
        </w:rPr>
        <w:t>one</w:t>
      </w:r>
      <w:r>
        <w:rPr>
          <w:spacing w:val="-3"/>
          <w:sz w:val="24"/>
        </w:rPr>
        <w:t> </w:t>
      </w:r>
      <w:r>
        <w:rPr>
          <w:sz w:val="24"/>
        </w:rPr>
        <w:t>of</w:t>
      </w:r>
      <w:r>
        <w:rPr>
          <w:spacing w:val="-3"/>
          <w:sz w:val="24"/>
        </w:rPr>
        <w:t> </w:t>
      </w:r>
      <w:r>
        <w:rPr>
          <w:sz w:val="24"/>
        </w:rPr>
        <w:t>the</w:t>
      </w:r>
      <w:r>
        <w:rPr>
          <w:spacing w:val="-3"/>
          <w:sz w:val="24"/>
        </w:rPr>
        <w:t> </w:t>
      </w:r>
      <w:r>
        <w:rPr>
          <w:sz w:val="24"/>
        </w:rPr>
        <w:t>approved</w:t>
      </w:r>
      <w:r>
        <w:rPr>
          <w:spacing w:val="-5"/>
          <w:sz w:val="24"/>
        </w:rPr>
        <w:t> </w:t>
      </w:r>
      <w:r>
        <w:rPr>
          <w:sz w:val="24"/>
        </w:rPr>
        <w:t>exceptions?</w:t>
      </w:r>
      <w:r>
        <w:rPr>
          <w:spacing w:val="40"/>
          <w:sz w:val="24"/>
        </w:rPr>
        <w:t> </w:t>
      </w:r>
      <w:r>
        <w:rPr>
          <w:sz w:val="24"/>
        </w:rPr>
        <w:t>Which one?</w:t>
      </w:r>
      <w:r>
        <w:rPr>
          <w:spacing w:val="40"/>
          <w:sz w:val="24"/>
        </w:rPr>
        <w:t> </w:t>
      </w:r>
      <w:r>
        <w:rPr>
          <w:color w:val="808080"/>
          <w:sz w:val="22"/>
        </w:rPr>
        <w:t>Click</w:t>
      </w:r>
      <w:r>
        <w:rPr>
          <w:color w:val="808080"/>
          <w:spacing w:val="-4"/>
          <w:sz w:val="22"/>
        </w:rPr>
        <w:t> </w:t>
      </w:r>
      <w:r>
        <w:rPr>
          <w:color w:val="808080"/>
          <w:sz w:val="22"/>
        </w:rPr>
        <w:t>or tap here to enter text.</w:t>
      </w:r>
    </w:p>
    <w:p>
      <w:pPr>
        <w:pStyle w:val="ListParagraph"/>
        <w:numPr>
          <w:ilvl w:val="2"/>
          <w:numId w:val="38"/>
        </w:numPr>
        <w:tabs>
          <w:tab w:pos="2171" w:val="left" w:leader="none"/>
        </w:tabs>
        <w:spacing w:line="259" w:lineRule="auto" w:before="1" w:after="0"/>
        <w:ind w:left="2171" w:right="1047" w:hanging="180"/>
        <w:jc w:val="left"/>
        <w:rPr>
          <w:sz w:val="22"/>
        </w:rPr>
      </w:pPr>
      <w:r>
        <w:rPr>
          <w:sz w:val="24"/>
        </w:rPr>
        <w:t>If</w:t>
      </w:r>
      <w:r>
        <w:rPr>
          <w:spacing w:val="-1"/>
          <w:sz w:val="24"/>
        </w:rPr>
        <w:t> </w:t>
      </w:r>
      <w:r>
        <w:rPr>
          <w:sz w:val="24"/>
        </w:rPr>
        <w:t>yes,</w:t>
      </w:r>
      <w:r>
        <w:rPr>
          <w:spacing w:val="-2"/>
          <w:sz w:val="24"/>
        </w:rPr>
        <w:t> </w:t>
      </w:r>
      <w:r>
        <w:rPr>
          <w:sz w:val="24"/>
        </w:rPr>
        <w:t>are</w:t>
      </w:r>
      <w:r>
        <w:rPr>
          <w:spacing w:val="-4"/>
          <w:sz w:val="24"/>
        </w:rPr>
        <w:t> </w:t>
      </w:r>
      <w:r>
        <w:rPr>
          <w:sz w:val="24"/>
        </w:rPr>
        <w:t>you</w:t>
      </w:r>
      <w:r>
        <w:rPr>
          <w:spacing w:val="-4"/>
          <w:sz w:val="24"/>
        </w:rPr>
        <w:t> </w:t>
      </w:r>
      <w:r>
        <w:rPr>
          <w:sz w:val="24"/>
        </w:rPr>
        <w:t>complying</w:t>
      </w:r>
      <w:r>
        <w:rPr>
          <w:spacing w:val="-3"/>
          <w:sz w:val="24"/>
        </w:rPr>
        <w:t> </w:t>
      </w:r>
      <w:r>
        <w:rPr>
          <w:sz w:val="24"/>
        </w:rPr>
        <w:t>with</w:t>
      </w:r>
      <w:r>
        <w:rPr>
          <w:spacing w:val="-4"/>
          <w:sz w:val="24"/>
        </w:rPr>
        <w:t> </w:t>
      </w:r>
      <w:r>
        <w:rPr>
          <w:sz w:val="24"/>
        </w:rPr>
        <w:t>federal</w:t>
      </w:r>
      <w:r>
        <w:rPr>
          <w:spacing w:val="-5"/>
          <w:sz w:val="24"/>
        </w:rPr>
        <w:t> </w:t>
      </w:r>
      <w:r>
        <w:rPr>
          <w:sz w:val="24"/>
        </w:rPr>
        <w:t>reporting</w:t>
      </w:r>
      <w:r>
        <w:rPr>
          <w:spacing w:val="-3"/>
          <w:sz w:val="24"/>
        </w:rPr>
        <w:t> </w:t>
      </w:r>
      <w:r>
        <w:rPr>
          <w:sz w:val="24"/>
        </w:rPr>
        <w:t>requirements?</w:t>
      </w:r>
      <w:r>
        <w:rPr>
          <w:spacing w:val="40"/>
          <w:sz w:val="24"/>
        </w:rPr>
        <w:t> </w:t>
      </w: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3"/>
          <w:sz w:val="22"/>
        </w:rPr>
        <w:t> </w:t>
      </w:r>
      <w:r>
        <w:rPr>
          <w:color w:val="808080"/>
          <w:sz w:val="22"/>
        </w:rPr>
        <w:t>here</w:t>
      </w:r>
      <w:r>
        <w:rPr>
          <w:color w:val="808080"/>
          <w:spacing w:val="-1"/>
          <w:sz w:val="22"/>
        </w:rPr>
        <w:t> </w:t>
      </w:r>
      <w:r>
        <w:rPr>
          <w:color w:val="808080"/>
          <w:sz w:val="22"/>
        </w:rPr>
        <w:t>to enter text.</w:t>
      </w:r>
    </w:p>
    <w:p>
      <w:pPr>
        <w:pStyle w:val="ListParagraph"/>
        <w:numPr>
          <w:ilvl w:val="2"/>
          <w:numId w:val="38"/>
        </w:numPr>
        <w:tabs>
          <w:tab w:pos="2171" w:val="left" w:leader="none"/>
        </w:tabs>
        <w:spacing w:line="291" w:lineRule="exact" w:before="0" w:after="0"/>
        <w:ind w:left="2171" w:right="0" w:hanging="179"/>
        <w:jc w:val="left"/>
        <w:rPr>
          <w:sz w:val="22"/>
        </w:rPr>
      </w:pPr>
      <w:r>
        <w:rPr>
          <w:sz w:val="24"/>
        </w:rPr>
        <w:t>Review</w:t>
      </w:r>
      <w:r>
        <w:rPr>
          <w:spacing w:val="-2"/>
          <w:sz w:val="24"/>
        </w:rPr>
        <w:t> </w:t>
      </w:r>
      <w:r>
        <w:rPr>
          <w:sz w:val="24"/>
        </w:rPr>
        <w:t>records</w:t>
      </w:r>
      <w:r>
        <w:rPr>
          <w:spacing w:val="-2"/>
          <w:sz w:val="24"/>
        </w:rPr>
        <w:t> </w:t>
      </w:r>
      <w:r>
        <w:rPr>
          <w:sz w:val="24"/>
        </w:rPr>
        <w:t>on-site.</w:t>
      </w:r>
      <w:r>
        <w:rPr>
          <w:spacing w:val="48"/>
          <w:sz w:val="24"/>
        </w:rPr>
        <w:t> </w:t>
      </w: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2"/>
          <w:sz w:val="22"/>
        </w:rPr>
        <w:t> </w:t>
      </w:r>
      <w:r>
        <w:rPr>
          <w:color w:val="808080"/>
          <w:sz w:val="22"/>
        </w:rPr>
        <w:t>here</w:t>
      </w:r>
      <w:r>
        <w:rPr>
          <w:color w:val="808080"/>
          <w:spacing w:val="-4"/>
          <w:sz w:val="22"/>
        </w:rPr>
        <w:t> </w:t>
      </w:r>
      <w:r>
        <w:rPr>
          <w:color w:val="808080"/>
          <w:sz w:val="22"/>
        </w:rPr>
        <w:t>to</w:t>
      </w:r>
      <w:r>
        <w:rPr>
          <w:color w:val="808080"/>
          <w:spacing w:val="-3"/>
          <w:sz w:val="22"/>
        </w:rPr>
        <w:t> </w:t>
      </w:r>
      <w:r>
        <w:rPr>
          <w:color w:val="808080"/>
          <w:sz w:val="22"/>
        </w:rPr>
        <w:t>enter</w:t>
      </w:r>
      <w:r>
        <w:rPr>
          <w:color w:val="808080"/>
          <w:spacing w:val="-3"/>
          <w:sz w:val="22"/>
        </w:rPr>
        <w:t> </w:t>
      </w:r>
      <w:r>
        <w:rPr>
          <w:color w:val="808080"/>
          <w:spacing w:val="-2"/>
          <w:sz w:val="22"/>
        </w:rPr>
        <w:t>text.</w:t>
      </w:r>
    </w:p>
    <w:p>
      <w:pPr>
        <w:pStyle w:val="BodyText"/>
        <w:spacing w:before="1"/>
        <w:rPr>
          <w:sz w:val="28"/>
        </w:rPr>
      </w:pPr>
    </w:p>
    <w:p>
      <w:pPr>
        <w:pStyle w:val="ListParagraph"/>
        <w:numPr>
          <w:ilvl w:val="0"/>
          <w:numId w:val="38"/>
        </w:numPr>
        <w:tabs>
          <w:tab w:pos="1457" w:val="left" w:leader="none"/>
        </w:tabs>
        <w:spacing w:line="240" w:lineRule="auto" w:before="0" w:after="0"/>
        <w:ind w:left="1457" w:right="0" w:hanging="546"/>
        <w:jc w:val="left"/>
        <w:rPr>
          <w:b/>
          <w:color w:val="2D74B5"/>
          <w:sz w:val="28"/>
        </w:rPr>
      </w:pPr>
      <w:r>
        <w:rPr>
          <w:b/>
          <w:color w:val="2D74B5"/>
          <w:sz w:val="28"/>
        </w:rPr>
        <w:t>Drug</w:t>
      </w:r>
      <w:r>
        <w:rPr>
          <w:b/>
          <w:color w:val="2D74B5"/>
          <w:spacing w:val="-4"/>
          <w:sz w:val="28"/>
        </w:rPr>
        <w:t> </w:t>
      </w:r>
      <w:r>
        <w:rPr>
          <w:b/>
          <w:color w:val="2D74B5"/>
          <w:sz w:val="28"/>
        </w:rPr>
        <w:t>Free</w:t>
      </w:r>
      <w:r>
        <w:rPr>
          <w:b/>
          <w:color w:val="2D74B5"/>
          <w:spacing w:val="-3"/>
          <w:sz w:val="28"/>
        </w:rPr>
        <w:t> </w:t>
      </w:r>
      <w:r>
        <w:rPr>
          <w:b/>
          <w:color w:val="2D74B5"/>
          <w:sz w:val="28"/>
        </w:rPr>
        <w:t>Workplace</w:t>
      </w:r>
      <w:r>
        <w:rPr>
          <w:b/>
          <w:color w:val="2D74B5"/>
          <w:spacing w:val="-5"/>
          <w:sz w:val="28"/>
        </w:rPr>
        <w:t> </w:t>
      </w:r>
      <w:r>
        <w:rPr>
          <w:b/>
          <w:color w:val="2D74B5"/>
          <w:sz w:val="28"/>
        </w:rPr>
        <w:t>Act</w:t>
      </w:r>
      <w:r>
        <w:rPr>
          <w:b/>
          <w:color w:val="2D74B5"/>
          <w:spacing w:val="-2"/>
          <w:sz w:val="28"/>
        </w:rPr>
        <w:t> </w:t>
      </w:r>
      <w:r>
        <w:rPr>
          <w:b/>
          <w:color w:val="2D74B5"/>
          <w:sz w:val="28"/>
        </w:rPr>
        <w:t>–</w:t>
      </w:r>
      <w:r>
        <w:rPr>
          <w:b/>
          <w:color w:val="2D74B5"/>
          <w:spacing w:val="-3"/>
          <w:sz w:val="28"/>
        </w:rPr>
        <w:t> </w:t>
      </w:r>
      <w:r>
        <w:rPr>
          <w:b/>
          <w:color w:val="2D74B5"/>
          <w:sz w:val="28"/>
        </w:rPr>
        <w:t>not</w:t>
      </w:r>
      <w:r>
        <w:rPr>
          <w:b/>
          <w:color w:val="2D74B5"/>
          <w:spacing w:val="-2"/>
          <w:sz w:val="28"/>
        </w:rPr>
        <w:t> </w:t>
      </w:r>
      <w:r>
        <w:rPr>
          <w:b/>
          <w:color w:val="2D74B5"/>
          <w:sz w:val="28"/>
        </w:rPr>
        <w:t>applicable</w:t>
      </w:r>
      <w:r>
        <w:rPr>
          <w:b/>
          <w:color w:val="2D74B5"/>
          <w:spacing w:val="-6"/>
          <w:sz w:val="28"/>
        </w:rPr>
        <w:t> </w:t>
      </w:r>
      <w:r>
        <w:rPr>
          <w:b/>
          <w:color w:val="2D74B5"/>
          <w:sz w:val="28"/>
        </w:rPr>
        <w:t>to</w:t>
      </w:r>
      <w:r>
        <w:rPr>
          <w:b/>
          <w:color w:val="2D74B5"/>
          <w:spacing w:val="-2"/>
          <w:sz w:val="28"/>
        </w:rPr>
        <w:t> subrecipients</w:t>
      </w:r>
    </w:p>
    <w:p>
      <w:pPr>
        <w:spacing w:after="0" w:line="240" w:lineRule="auto"/>
        <w:jc w:val="left"/>
        <w:rPr>
          <w:sz w:val="28"/>
        </w:rPr>
        <w:sectPr>
          <w:pgSz w:w="12240" w:h="15840"/>
          <w:pgMar w:header="0" w:footer="746" w:top="500" w:bottom="940" w:left="600" w:right="500"/>
        </w:sectPr>
      </w:pPr>
    </w:p>
    <w:p>
      <w:pPr>
        <w:pStyle w:val="BodyText"/>
        <w:spacing w:before="2"/>
        <w:rPr>
          <w:b/>
          <w:sz w:val="15"/>
        </w:rPr>
      </w:pPr>
    </w:p>
    <w:p>
      <w:pPr>
        <w:pStyle w:val="Heading2"/>
        <w:rPr>
          <w:i/>
        </w:rPr>
      </w:pPr>
      <w:r>
        <w:rPr/>
        <w:drawing>
          <wp:anchor distT="0" distB="0" distL="0" distR="0" allowOverlap="1" layoutInCell="1" locked="0" behindDoc="0" simplePos="0" relativeHeight="15762432">
            <wp:simplePos x="0" y="0"/>
            <wp:positionH relativeFrom="page">
              <wp:posOffset>731520</wp:posOffset>
            </wp:positionH>
            <wp:positionV relativeFrom="paragraph">
              <wp:posOffset>-111196</wp:posOffset>
            </wp:positionV>
            <wp:extent cx="1523706" cy="426719"/>
            <wp:effectExtent l="0" t="0" r="0" b="0"/>
            <wp:wrapNone/>
            <wp:docPr id="178" name="Image 178">
              <a:hlinkClick r:id="rId80"/>
            </wp:docPr>
            <wp:cNvGraphicFramePr>
              <a:graphicFrameLocks/>
            </wp:cNvGraphicFramePr>
            <a:graphic>
              <a:graphicData uri="http://schemas.openxmlformats.org/drawingml/2006/picture">
                <pic:pic>
                  <pic:nvPicPr>
                    <pic:cNvPr id="178" name="Image 178">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21120">
                <wp:simplePos x="0" y="0"/>
                <wp:positionH relativeFrom="page">
                  <wp:posOffset>713231</wp:posOffset>
                </wp:positionH>
                <wp:positionV relativeFrom="paragraph">
                  <wp:posOffset>216706</wp:posOffset>
                </wp:positionV>
                <wp:extent cx="6346190" cy="74930"/>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6346190" cy="74930"/>
                          <a:chExt cx="6346190" cy="74930"/>
                        </a:xfrm>
                      </wpg:grpSpPr>
                      <wps:wsp>
                        <wps:cNvPr id="180" name="Graphic 180"/>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81" name="Graphic 181"/>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82" name="Graphic 182"/>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5360;mso-wrap-distance-left:0;mso-wrap-distance-right:0" id="docshapegroup135" coordorigin="1123,341" coordsize="9994,118">
                <v:rect style="position:absolute;left:1123;top:430;width:9994;height:29" id="docshape136" filled="true" fillcolor="#c0c0c0" stroked="false">
                  <v:fill type="solid"/>
                </v:rect>
                <v:rect style="position:absolute;left:1123;top:370;width:9994;height:60" id="docshape137" filled="true" fillcolor="#5f5f5f" stroked="false">
                  <v:fill type="solid"/>
                </v:rect>
                <v:rect style="position:absolute;left:1123;top:341;width:9994;height:29" id="docshape138" filled="true" fillcolor="#000000" stroked="false">
                  <v:fill type="solid"/>
                </v:rect>
                <w10:wrap type="topAndBottom"/>
              </v:group>
            </w:pict>
          </mc:Fallback>
        </mc:AlternateContent>
      </w:r>
    </w:p>
    <w:p>
      <w:pPr>
        <w:pStyle w:val="BodyText"/>
        <w:spacing w:before="8"/>
        <w:rPr>
          <w:i/>
          <w:sz w:val="22"/>
        </w:rPr>
      </w:pPr>
    </w:p>
    <w:p>
      <w:pPr>
        <w:pStyle w:val="Heading5"/>
        <w:numPr>
          <w:ilvl w:val="0"/>
          <w:numId w:val="38"/>
        </w:numPr>
        <w:tabs>
          <w:tab w:pos="1459" w:val="left" w:leader="none"/>
        </w:tabs>
        <w:spacing w:line="240" w:lineRule="auto" w:before="45" w:after="0"/>
        <w:ind w:left="1459" w:right="0" w:hanging="548"/>
        <w:jc w:val="left"/>
        <w:rPr>
          <w:color w:val="2D74B5"/>
          <w:sz w:val="24"/>
        </w:rPr>
      </w:pPr>
      <w:r>
        <w:rPr>
          <w:color w:val="2D74B5"/>
        </w:rPr>
        <w:t>Drug</w:t>
      </w:r>
      <w:r>
        <w:rPr>
          <w:color w:val="2D74B5"/>
          <w:spacing w:val="-4"/>
        </w:rPr>
        <w:t> </w:t>
      </w:r>
      <w:r>
        <w:rPr>
          <w:color w:val="2D74B5"/>
        </w:rPr>
        <w:t>and</w:t>
      </w:r>
      <w:r>
        <w:rPr>
          <w:color w:val="2D74B5"/>
          <w:spacing w:val="-4"/>
        </w:rPr>
        <w:t> </w:t>
      </w:r>
      <w:r>
        <w:rPr>
          <w:color w:val="2D74B5"/>
        </w:rPr>
        <w:t>Alcohol</w:t>
      </w:r>
      <w:r>
        <w:rPr>
          <w:color w:val="2D74B5"/>
          <w:spacing w:val="-3"/>
        </w:rPr>
        <w:t> </w:t>
      </w:r>
      <w:r>
        <w:rPr>
          <w:color w:val="2D74B5"/>
          <w:spacing w:val="-2"/>
        </w:rPr>
        <w:t>Program</w:t>
      </w:r>
    </w:p>
    <w:p>
      <w:pPr>
        <w:pStyle w:val="ListParagraph"/>
        <w:numPr>
          <w:ilvl w:val="1"/>
          <w:numId w:val="38"/>
        </w:numPr>
        <w:tabs>
          <w:tab w:pos="1991" w:val="left" w:leader="none"/>
          <w:tab w:pos="6453" w:val="left" w:leader="none"/>
        </w:tabs>
        <w:spacing w:line="240" w:lineRule="auto" w:before="25" w:after="0"/>
        <w:ind w:left="1991" w:right="0" w:hanging="359"/>
        <w:jc w:val="left"/>
        <w:rPr>
          <w:sz w:val="24"/>
        </w:rPr>
      </w:pPr>
      <w:r>
        <w:rPr>
          <w:sz w:val="24"/>
        </w:rPr>
        <w:t>Do</w:t>
      </w:r>
      <w:r>
        <w:rPr>
          <w:spacing w:val="-3"/>
          <w:sz w:val="24"/>
        </w:rPr>
        <w:t> </w:t>
      </w:r>
      <w:r>
        <w:rPr>
          <w:sz w:val="24"/>
        </w:rPr>
        <w:t>you have</w:t>
      </w:r>
      <w:r>
        <w:rPr>
          <w:spacing w:val="-1"/>
          <w:sz w:val="24"/>
        </w:rPr>
        <w:t> </w:t>
      </w:r>
      <w:r>
        <w:rPr>
          <w:sz w:val="24"/>
        </w:rPr>
        <w:t>a</w:t>
      </w:r>
      <w:r>
        <w:rPr>
          <w:spacing w:val="-3"/>
          <w:sz w:val="24"/>
        </w:rPr>
        <w:t> </w:t>
      </w:r>
      <w:r>
        <w:rPr>
          <w:sz w:val="24"/>
        </w:rPr>
        <w:t>board approved</w:t>
      </w:r>
      <w:r>
        <w:rPr>
          <w:spacing w:val="-3"/>
          <w:sz w:val="24"/>
        </w:rPr>
        <w:t> </w:t>
      </w:r>
      <w:r>
        <w:rPr>
          <w:sz w:val="24"/>
        </w:rPr>
        <w:t>D&amp;A</w:t>
      </w:r>
      <w:r>
        <w:rPr>
          <w:spacing w:val="-3"/>
          <w:sz w:val="24"/>
        </w:rPr>
        <w:t> </w:t>
      </w:r>
      <w:r>
        <w:rPr>
          <w:spacing w:val="-2"/>
          <w:sz w:val="24"/>
        </w:rPr>
        <w:t>policy?</w:t>
      </w:r>
      <w:r>
        <w:rPr>
          <w:sz w:val="24"/>
        </w:rPr>
        <w:tab/>
        <w:t>Yes</w:t>
      </w:r>
      <w:r>
        <w:rPr>
          <w:spacing w:val="-4"/>
          <w:sz w:val="24"/>
        </w:rPr>
        <w:t> </w:t>
      </w:r>
      <w:r>
        <w:rPr>
          <w:sz w:val="24"/>
        </w:rPr>
        <w:t>policy </w:t>
      </w:r>
      <w:r>
        <w:rPr>
          <w:spacing w:val="-2"/>
          <w:sz w:val="24"/>
        </w:rPr>
        <w:t>attached</w:t>
      </w:r>
    </w:p>
    <w:p>
      <w:pPr>
        <w:pStyle w:val="ListParagraph"/>
        <w:numPr>
          <w:ilvl w:val="2"/>
          <w:numId w:val="38"/>
        </w:numPr>
        <w:tabs>
          <w:tab w:pos="2171" w:val="left" w:leader="none"/>
        </w:tabs>
        <w:spacing w:line="240" w:lineRule="auto" w:before="21" w:after="0"/>
        <w:ind w:left="2171" w:right="0" w:hanging="179"/>
        <w:jc w:val="left"/>
        <w:rPr>
          <w:sz w:val="24"/>
        </w:rPr>
      </w:pPr>
      <w:r>
        <w:rPr>
          <w:sz w:val="24"/>
        </w:rPr>
        <w:t>Date</w:t>
      </w:r>
      <w:r>
        <w:rPr>
          <w:spacing w:val="-2"/>
          <w:sz w:val="24"/>
        </w:rPr>
        <w:t> </w:t>
      </w:r>
      <w:r>
        <w:rPr>
          <w:sz w:val="24"/>
        </w:rPr>
        <w:t>of</w:t>
      </w:r>
      <w:r>
        <w:rPr>
          <w:spacing w:val="-1"/>
          <w:sz w:val="24"/>
        </w:rPr>
        <w:t> </w:t>
      </w:r>
      <w:r>
        <w:rPr>
          <w:sz w:val="24"/>
        </w:rPr>
        <w:t>board</w:t>
      </w:r>
      <w:r>
        <w:rPr>
          <w:spacing w:val="-2"/>
          <w:sz w:val="24"/>
        </w:rPr>
        <w:t> </w:t>
      </w:r>
      <w:r>
        <w:rPr>
          <w:sz w:val="24"/>
        </w:rPr>
        <w:t>approval?</w:t>
      </w:r>
      <w:r>
        <w:rPr>
          <w:spacing w:val="53"/>
          <w:sz w:val="24"/>
        </w:rPr>
        <w:t> </w:t>
      </w:r>
      <w:r>
        <w:rPr>
          <w:spacing w:val="-2"/>
          <w:sz w:val="24"/>
        </w:rPr>
        <w:t>09/18/2018</w:t>
      </w:r>
    </w:p>
    <w:p>
      <w:pPr>
        <w:pStyle w:val="ListParagraph"/>
        <w:numPr>
          <w:ilvl w:val="2"/>
          <w:numId w:val="38"/>
        </w:numPr>
        <w:tabs>
          <w:tab w:pos="2170" w:val="left" w:leader="none"/>
        </w:tabs>
        <w:spacing w:line="240" w:lineRule="auto" w:before="24" w:after="0"/>
        <w:ind w:left="2170" w:right="0" w:hanging="179"/>
        <w:jc w:val="left"/>
        <w:rPr>
          <w:sz w:val="24"/>
        </w:rPr>
      </w:pPr>
      <w:r>
        <w:rPr>
          <w:sz w:val="24"/>
        </w:rPr>
        <w:t>Date</w:t>
      </w:r>
      <w:r>
        <w:rPr>
          <w:spacing w:val="-3"/>
          <w:sz w:val="24"/>
        </w:rPr>
        <w:t> </w:t>
      </w:r>
      <w:r>
        <w:rPr>
          <w:sz w:val="24"/>
        </w:rPr>
        <w:t>submitted</w:t>
      </w:r>
      <w:r>
        <w:rPr>
          <w:spacing w:val="-2"/>
          <w:sz w:val="24"/>
        </w:rPr>
        <w:t> </w:t>
      </w:r>
      <w:r>
        <w:rPr>
          <w:sz w:val="24"/>
        </w:rPr>
        <w:t>to MaineDOT?</w:t>
      </w:r>
      <w:r>
        <w:rPr>
          <w:spacing w:val="52"/>
          <w:sz w:val="24"/>
        </w:rPr>
        <w:t> </w:t>
      </w:r>
      <w:r>
        <w:rPr>
          <w:spacing w:val="-2"/>
          <w:sz w:val="24"/>
        </w:rPr>
        <w:t>10/22/2018</w:t>
      </w:r>
    </w:p>
    <w:p>
      <w:pPr>
        <w:pStyle w:val="ListParagraph"/>
        <w:numPr>
          <w:ilvl w:val="2"/>
          <w:numId w:val="38"/>
        </w:numPr>
        <w:tabs>
          <w:tab w:pos="2170" w:val="left" w:leader="none"/>
        </w:tabs>
        <w:spacing w:line="240" w:lineRule="auto" w:before="26" w:after="0"/>
        <w:ind w:left="2170" w:right="0" w:hanging="179"/>
        <w:jc w:val="left"/>
        <w:rPr>
          <w:sz w:val="28"/>
        </w:rPr>
      </w:pPr>
      <w:r>
        <w:rPr>
          <w:sz w:val="24"/>
        </w:rPr>
        <w:t>Provide</w:t>
      </w:r>
      <w:r>
        <w:rPr>
          <w:spacing w:val="-4"/>
          <w:sz w:val="24"/>
        </w:rPr>
        <w:t> </w:t>
      </w:r>
      <w:r>
        <w:rPr>
          <w:sz w:val="24"/>
        </w:rPr>
        <w:t>proof</w:t>
      </w:r>
      <w:r>
        <w:rPr>
          <w:spacing w:val="-3"/>
          <w:sz w:val="24"/>
        </w:rPr>
        <w:t> </w:t>
      </w:r>
      <w:r>
        <w:rPr>
          <w:sz w:val="24"/>
        </w:rPr>
        <w:t>of</w:t>
      </w:r>
      <w:r>
        <w:rPr>
          <w:spacing w:val="-4"/>
          <w:sz w:val="24"/>
        </w:rPr>
        <w:t> </w:t>
      </w:r>
      <w:r>
        <w:rPr>
          <w:sz w:val="24"/>
        </w:rPr>
        <w:t>policy</w:t>
      </w:r>
      <w:r>
        <w:rPr>
          <w:spacing w:val="-2"/>
          <w:sz w:val="24"/>
        </w:rPr>
        <w:t> </w:t>
      </w:r>
      <w:r>
        <w:rPr>
          <w:sz w:val="24"/>
        </w:rPr>
        <w:t>distributed</w:t>
      </w:r>
      <w:r>
        <w:rPr>
          <w:spacing w:val="-4"/>
          <w:sz w:val="24"/>
        </w:rPr>
        <w:t> </w:t>
      </w:r>
      <w:r>
        <w:rPr>
          <w:sz w:val="24"/>
        </w:rPr>
        <w:t>to</w:t>
      </w:r>
      <w:r>
        <w:rPr>
          <w:spacing w:val="-1"/>
          <w:sz w:val="24"/>
        </w:rPr>
        <w:t> </w:t>
      </w:r>
      <w:r>
        <w:rPr>
          <w:sz w:val="24"/>
        </w:rPr>
        <w:t>safety-sensitive</w:t>
      </w:r>
      <w:r>
        <w:rPr>
          <w:spacing w:val="-2"/>
          <w:sz w:val="24"/>
        </w:rPr>
        <w:t> </w:t>
      </w:r>
      <w:r>
        <w:rPr>
          <w:sz w:val="24"/>
        </w:rPr>
        <w:t>employees.</w:t>
      </w:r>
      <w:r>
        <w:rPr>
          <w:spacing w:val="74"/>
          <w:w w:val="150"/>
          <w:sz w:val="24"/>
        </w:rPr>
        <w:t> </w:t>
      </w:r>
      <w:r>
        <w:rPr>
          <w:spacing w:val="-5"/>
          <w:sz w:val="28"/>
        </w:rPr>
        <w:t>Yes</w:t>
      </w:r>
    </w:p>
    <w:p>
      <w:pPr>
        <w:pStyle w:val="ListParagraph"/>
        <w:numPr>
          <w:ilvl w:val="1"/>
          <w:numId w:val="38"/>
        </w:numPr>
        <w:tabs>
          <w:tab w:pos="1991" w:val="left" w:leader="none"/>
        </w:tabs>
        <w:spacing w:line="240" w:lineRule="auto" w:before="26" w:after="0"/>
        <w:ind w:left="1991" w:right="0" w:hanging="359"/>
        <w:jc w:val="left"/>
        <w:rPr>
          <w:sz w:val="24"/>
        </w:rPr>
      </w:pPr>
      <w:r>
        <w:rPr>
          <w:sz w:val="24"/>
        </w:rPr>
        <w:t>Provide</w:t>
      </w:r>
      <w:r>
        <w:rPr>
          <w:spacing w:val="-3"/>
          <w:sz w:val="24"/>
        </w:rPr>
        <w:t> </w:t>
      </w:r>
      <w:r>
        <w:rPr>
          <w:sz w:val="24"/>
        </w:rPr>
        <w:t>proof</w:t>
      </w:r>
      <w:r>
        <w:rPr>
          <w:spacing w:val="-3"/>
          <w:sz w:val="24"/>
        </w:rPr>
        <w:t> </w:t>
      </w:r>
      <w:r>
        <w:rPr>
          <w:sz w:val="24"/>
        </w:rPr>
        <w:t>of</w:t>
      </w:r>
      <w:r>
        <w:rPr>
          <w:spacing w:val="-2"/>
          <w:sz w:val="24"/>
        </w:rPr>
        <w:t> </w:t>
      </w:r>
      <w:r>
        <w:rPr>
          <w:sz w:val="24"/>
        </w:rPr>
        <w:t>60</w:t>
      </w:r>
      <w:r>
        <w:rPr>
          <w:spacing w:val="-3"/>
          <w:sz w:val="24"/>
        </w:rPr>
        <w:t> </w:t>
      </w:r>
      <w:r>
        <w:rPr>
          <w:sz w:val="24"/>
        </w:rPr>
        <w:t>minutes</w:t>
      </w:r>
      <w:r>
        <w:rPr>
          <w:spacing w:val="-1"/>
          <w:sz w:val="24"/>
        </w:rPr>
        <w:t> </w:t>
      </w:r>
      <w:r>
        <w:rPr>
          <w:sz w:val="24"/>
        </w:rPr>
        <w:t>of</w:t>
      </w:r>
      <w:r>
        <w:rPr>
          <w:spacing w:val="-3"/>
          <w:sz w:val="24"/>
        </w:rPr>
        <w:t> </w:t>
      </w:r>
      <w:r>
        <w:rPr>
          <w:sz w:val="24"/>
        </w:rPr>
        <w:t>drug</w:t>
      </w:r>
      <w:r>
        <w:rPr>
          <w:spacing w:val="-4"/>
          <w:sz w:val="24"/>
        </w:rPr>
        <w:t> </w:t>
      </w:r>
      <w:r>
        <w:rPr>
          <w:sz w:val="24"/>
        </w:rPr>
        <w:t>training</w:t>
      </w:r>
      <w:r>
        <w:rPr>
          <w:spacing w:val="-3"/>
          <w:sz w:val="24"/>
        </w:rPr>
        <w:t> </w:t>
      </w:r>
      <w:r>
        <w:rPr>
          <w:sz w:val="24"/>
        </w:rPr>
        <w:t>for</w:t>
      </w:r>
      <w:r>
        <w:rPr>
          <w:spacing w:val="-4"/>
          <w:sz w:val="24"/>
        </w:rPr>
        <w:t> </w:t>
      </w:r>
      <w:r>
        <w:rPr>
          <w:sz w:val="24"/>
        </w:rPr>
        <w:t>safety-sensitive employees.</w:t>
      </w:r>
      <w:r>
        <w:rPr>
          <w:spacing w:val="52"/>
          <w:sz w:val="24"/>
        </w:rPr>
        <w:t> </w:t>
      </w:r>
      <w:r>
        <w:rPr>
          <w:spacing w:val="-5"/>
          <w:sz w:val="28"/>
        </w:rPr>
        <w:t>Yes</w:t>
      </w:r>
    </w:p>
    <w:p>
      <w:pPr>
        <w:pStyle w:val="ListParagraph"/>
        <w:numPr>
          <w:ilvl w:val="1"/>
          <w:numId w:val="38"/>
        </w:numPr>
        <w:tabs>
          <w:tab w:pos="1992" w:val="left" w:leader="none"/>
        </w:tabs>
        <w:spacing w:line="261" w:lineRule="auto" w:before="25" w:after="0"/>
        <w:ind w:left="1992" w:right="689" w:hanging="360"/>
        <w:jc w:val="left"/>
        <w:rPr>
          <w:sz w:val="24"/>
        </w:rPr>
      </w:pPr>
      <w:r>
        <w:rPr>
          <w:sz w:val="24"/>
        </w:rPr>
        <w:t>Are</w:t>
      </w:r>
      <w:r>
        <w:rPr>
          <w:spacing w:val="-3"/>
          <w:sz w:val="24"/>
        </w:rPr>
        <w:t> </w:t>
      </w:r>
      <w:r>
        <w:rPr>
          <w:sz w:val="24"/>
        </w:rPr>
        <w:t>new</w:t>
      </w:r>
      <w:r>
        <w:rPr>
          <w:spacing w:val="-4"/>
          <w:sz w:val="24"/>
        </w:rPr>
        <w:t> </w:t>
      </w:r>
      <w:r>
        <w:rPr>
          <w:sz w:val="24"/>
        </w:rPr>
        <w:t>employees</w:t>
      </w:r>
      <w:r>
        <w:rPr>
          <w:spacing w:val="-3"/>
          <w:sz w:val="24"/>
        </w:rPr>
        <w:t> </w:t>
      </w:r>
      <w:r>
        <w:rPr>
          <w:sz w:val="24"/>
        </w:rPr>
        <w:t>allowed</w:t>
      </w:r>
      <w:r>
        <w:rPr>
          <w:spacing w:val="-4"/>
          <w:sz w:val="24"/>
        </w:rPr>
        <w:t> </w:t>
      </w:r>
      <w:r>
        <w:rPr>
          <w:sz w:val="24"/>
        </w:rPr>
        <w:t>to</w:t>
      </w:r>
      <w:r>
        <w:rPr>
          <w:spacing w:val="-4"/>
          <w:sz w:val="24"/>
        </w:rPr>
        <w:t> </w:t>
      </w:r>
      <w:r>
        <w:rPr>
          <w:sz w:val="24"/>
        </w:rPr>
        <w:t>perform</w:t>
      </w:r>
      <w:r>
        <w:rPr>
          <w:spacing w:val="-3"/>
          <w:sz w:val="24"/>
        </w:rPr>
        <w:t> </w:t>
      </w:r>
      <w:r>
        <w:rPr>
          <w:sz w:val="24"/>
        </w:rPr>
        <w:t>safety-sensitive</w:t>
      </w:r>
      <w:r>
        <w:rPr>
          <w:spacing w:val="-4"/>
          <w:sz w:val="24"/>
        </w:rPr>
        <w:t> </w:t>
      </w:r>
      <w:r>
        <w:rPr>
          <w:sz w:val="24"/>
        </w:rPr>
        <w:t>functions</w:t>
      </w:r>
      <w:r>
        <w:rPr>
          <w:spacing w:val="-5"/>
          <w:sz w:val="24"/>
        </w:rPr>
        <w:t> </w:t>
      </w:r>
      <w:r>
        <w:rPr>
          <w:sz w:val="24"/>
        </w:rPr>
        <w:t>before</w:t>
      </w:r>
      <w:r>
        <w:rPr>
          <w:spacing w:val="-4"/>
          <w:sz w:val="24"/>
        </w:rPr>
        <w:t> </w:t>
      </w:r>
      <w:r>
        <w:rPr>
          <w:sz w:val="24"/>
        </w:rPr>
        <w:t>negative</w:t>
      </w:r>
      <w:r>
        <w:rPr>
          <w:spacing w:val="-4"/>
          <w:sz w:val="24"/>
        </w:rPr>
        <w:t> </w:t>
      </w:r>
      <w:r>
        <w:rPr>
          <w:sz w:val="24"/>
        </w:rPr>
        <w:t>pre- employment drug test?</w:t>
      </w:r>
      <w:r>
        <w:rPr>
          <w:spacing w:val="40"/>
          <w:sz w:val="24"/>
        </w:rPr>
        <w:t> </w:t>
      </w:r>
      <w:r>
        <w:rPr>
          <w:sz w:val="28"/>
        </w:rPr>
        <w:t>Yes</w:t>
      </w:r>
    </w:p>
    <w:p>
      <w:pPr>
        <w:pStyle w:val="ListParagraph"/>
        <w:numPr>
          <w:ilvl w:val="1"/>
          <w:numId w:val="38"/>
        </w:numPr>
        <w:tabs>
          <w:tab w:pos="1991" w:val="left" w:leader="none"/>
        </w:tabs>
        <w:spacing w:line="339" w:lineRule="exact" w:before="0" w:after="0"/>
        <w:ind w:left="1991" w:right="0" w:hanging="359"/>
        <w:jc w:val="left"/>
        <w:rPr>
          <w:sz w:val="24"/>
        </w:rPr>
      </w:pPr>
      <w:r>
        <w:rPr>
          <w:sz w:val="24"/>
        </w:rPr>
        <w:t>Are you</w:t>
      </w:r>
      <w:r>
        <w:rPr>
          <w:spacing w:val="-2"/>
          <w:sz w:val="24"/>
        </w:rPr>
        <w:t> </w:t>
      </w:r>
      <w:r>
        <w:rPr>
          <w:sz w:val="24"/>
        </w:rPr>
        <w:t>in</w:t>
      </w:r>
      <w:r>
        <w:rPr>
          <w:spacing w:val="-2"/>
          <w:sz w:val="24"/>
        </w:rPr>
        <w:t> </w:t>
      </w:r>
      <w:r>
        <w:rPr>
          <w:sz w:val="24"/>
        </w:rPr>
        <w:t>a consortium?</w:t>
      </w:r>
      <w:r>
        <w:rPr>
          <w:spacing w:val="51"/>
          <w:sz w:val="24"/>
        </w:rPr>
        <w:t> </w:t>
      </w:r>
      <w:r>
        <w:rPr>
          <w:spacing w:val="-5"/>
          <w:sz w:val="28"/>
        </w:rPr>
        <w:t>Yes</w:t>
      </w:r>
    </w:p>
    <w:p>
      <w:pPr>
        <w:pStyle w:val="ListParagraph"/>
        <w:numPr>
          <w:ilvl w:val="2"/>
          <w:numId w:val="38"/>
        </w:numPr>
        <w:tabs>
          <w:tab w:pos="2172" w:val="left" w:leader="none"/>
        </w:tabs>
        <w:spacing w:line="261" w:lineRule="auto" w:before="23" w:after="0"/>
        <w:ind w:left="2172" w:right="1022" w:hanging="180"/>
        <w:jc w:val="left"/>
        <w:rPr>
          <w:sz w:val="28"/>
        </w:rPr>
      </w:pPr>
      <w:r>
        <w:rPr>
          <w:sz w:val="24"/>
        </w:rPr>
        <w:t>If</w:t>
      </w:r>
      <w:r>
        <w:rPr>
          <w:spacing w:val="-2"/>
          <w:sz w:val="24"/>
        </w:rPr>
        <w:t> </w:t>
      </w:r>
      <w:r>
        <w:rPr>
          <w:sz w:val="24"/>
        </w:rPr>
        <w:t>yes,</w:t>
      </w:r>
      <w:r>
        <w:rPr>
          <w:spacing w:val="-3"/>
          <w:sz w:val="24"/>
        </w:rPr>
        <w:t> </w:t>
      </w:r>
      <w:r>
        <w:rPr>
          <w:sz w:val="24"/>
        </w:rPr>
        <w:t>do</w:t>
      </w:r>
      <w:r>
        <w:rPr>
          <w:spacing w:val="-3"/>
          <w:sz w:val="24"/>
        </w:rPr>
        <w:t> </w:t>
      </w:r>
      <w:r>
        <w:rPr>
          <w:sz w:val="24"/>
        </w:rPr>
        <w:t>you</w:t>
      </w:r>
      <w:r>
        <w:rPr>
          <w:spacing w:val="-2"/>
          <w:sz w:val="24"/>
        </w:rPr>
        <w:t> </w:t>
      </w:r>
      <w:r>
        <w:rPr>
          <w:sz w:val="24"/>
        </w:rPr>
        <w:t>receive</w:t>
      </w:r>
      <w:r>
        <w:rPr>
          <w:spacing w:val="-5"/>
          <w:sz w:val="24"/>
        </w:rPr>
        <w:t> </w:t>
      </w:r>
      <w:r>
        <w:rPr>
          <w:sz w:val="24"/>
        </w:rPr>
        <w:t>confirmation</w:t>
      </w:r>
      <w:r>
        <w:rPr>
          <w:spacing w:val="-2"/>
          <w:sz w:val="24"/>
        </w:rPr>
        <w:t> </w:t>
      </w:r>
      <w:r>
        <w:rPr>
          <w:sz w:val="24"/>
        </w:rPr>
        <w:t>that</w:t>
      </w:r>
      <w:r>
        <w:rPr>
          <w:spacing w:val="-2"/>
          <w:sz w:val="24"/>
        </w:rPr>
        <w:t> </w:t>
      </w:r>
      <w:r>
        <w:rPr>
          <w:sz w:val="24"/>
        </w:rPr>
        <w:t>the</w:t>
      </w:r>
      <w:r>
        <w:rPr>
          <w:spacing w:val="-5"/>
          <w:sz w:val="24"/>
        </w:rPr>
        <w:t> </w:t>
      </w:r>
      <w:r>
        <w:rPr>
          <w:sz w:val="24"/>
        </w:rPr>
        <w:t>entire</w:t>
      </w:r>
      <w:r>
        <w:rPr>
          <w:spacing w:val="-3"/>
          <w:sz w:val="24"/>
        </w:rPr>
        <w:t> </w:t>
      </w:r>
      <w:r>
        <w:rPr>
          <w:sz w:val="24"/>
        </w:rPr>
        <w:t>consortium</w:t>
      </w:r>
      <w:r>
        <w:rPr>
          <w:spacing w:val="-5"/>
          <w:sz w:val="24"/>
        </w:rPr>
        <w:t> </w:t>
      </w:r>
      <w:r>
        <w:rPr>
          <w:sz w:val="24"/>
        </w:rPr>
        <w:t>meets</w:t>
      </w:r>
      <w:r>
        <w:rPr>
          <w:spacing w:val="-5"/>
          <w:sz w:val="24"/>
        </w:rPr>
        <w:t> </w:t>
      </w:r>
      <w:r>
        <w:rPr>
          <w:sz w:val="24"/>
        </w:rPr>
        <w:t>the</w:t>
      </w:r>
      <w:r>
        <w:rPr>
          <w:spacing w:val="-7"/>
          <w:sz w:val="24"/>
        </w:rPr>
        <w:t> </w:t>
      </w:r>
      <w:r>
        <w:rPr>
          <w:sz w:val="24"/>
        </w:rPr>
        <w:t>required testing levels annually?</w:t>
      </w:r>
      <w:r>
        <w:rPr>
          <w:spacing w:val="80"/>
          <w:sz w:val="24"/>
        </w:rPr>
        <w:t> </w:t>
      </w:r>
      <w:r>
        <w:rPr>
          <w:sz w:val="28"/>
        </w:rPr>
        <w:t>Yes</w:t>
      </w:r>
    </w:p>
    <w:p>
      <w:pPr>
        <w:pStyle w:val="ListParagraph"/>
        <w:numPr>
          <w:ilvl w:val="2"/>
          <w:numId w:val="38"/>
        </w:numPr>
        <w:tabs>
          <w:tab w:pos="2171" w:val="left" w:leader="none"/>
        </w:tabs>
        <w:spacing w:line="256" w:lineRule="auto" w:before="0" w:after="0"/>
        <w:ind w:left="2171" w:right="721" w:hanging="180"/>
        <w:jc w:val="left"/>
        <w:rPr>
          <w:sz w:val="22"/>
        </w:rPr>
      </w:pPr>
      <w:r>
        <w:rPr>
          <w:sz w:val="24"/>
        </w:rPr>
        <w:t>If no,</w:t>
      </w:r>
      <w:r>
        <w:rPr>
          <w:spacing w:val="-4"/>
          <w:sz w:val="24"/>
        </w:rPr>
        <w:t> </w:t>
      </w:r>
      <w:r>
        <w:rPr>
          <w:sz w:val="24"/>
        </w:rPr>
        <w:t>do</w:t>
      </w:r>
      <w:r>
        <w:rPr>
          <w:spacing w:val="-1"/>
          <w:sz w:val="24"/>
        </w:rPr>
        <w:t> </w:t>
      </w:r>
      <w:r>
        <w:rPr>
          <w:sz w:val="24"/>
        </w:rPr>
        <w:t>you</w:t>
      </w:r>
      <w:r>
        <w:rPr>
          <w:spacing w:val="-3"/>
          <w:sz w:val="24"/>
        </w:rPr>
        <w:t> </w:t>
      </w:r>
      <w:r>
        <w:rPr>
          <w:sz w:val="24"/>
        </w:rPr>
        <w:t>ensure</w:t>
      </w:r>
      <w:r>
        <w:rPr>
          <w:spacing w:val="-3"/>
          <w:sz w:val="24"/>
        </w:rPr>
        <w:t> </w:t>
      </w:r>
      <w:r>
        <w:rPr>
          <w:sz w:val="24"/>
        </w:rPr>
        <w:t>that</w:t>
      </w:r>
      <w:r>
        <w:rPr>
          <w:spacing w:val="-5"/>
          <w:sz w:val="24"/>
        </w:rPr>
        <w:t> </w:t>
      </w:r>
      <w:r>
        <w:rPr>
          <w:sz w:val="24"/>
        </w:rPr>
        <w:t>you are</w:t>
      </w:r>
      <w:r>
        <w:rPr>
          <w:spacing w:val="-3"/>
          <w:sz w:val="24"/>
        </w:rPr>
        <w:t> </w:t>
      </w:r>
      <w:r>
        <w:rPr>
          <w:sz w:val="24"/>
        </w:rPr>
        <w:t>meeting</w:t>
      </w:r>
      <w:r>
        <w:rPr>
          <w:spacing w:val="-4"/>
          <w:sz w:val="24"/>
        </w:rPr>
        <w:t> </w:t>
      </w:r>
      <w:r>
        <w:rPr>
          <w:sz w:val="24"/>
        </w:rPr>
        <w:t>the</w:t>
      </w:r>
      <w:r>
        <w:rPr>
          <w:spacing w:val="-1"/>
          <w:sz w:val="24"/>
        </w:rPr>
        <w:t> </w:t>
      </w:r>
      <w:r>
        <w:rPr>
          <w:sz w:val="24"/>
        </w:rPr>
        <w:t>required</w:t>
      </w:r>
      <w:r>
        <w:rPr>
          <w:spacing w:val="-3"/>
          <w:sz w:val="24"/>
        </w:rPr>
        <w:t> </w:t>
      </w:r>
      <w:r>
        <w:rPr>
          <w:sz w:val="24"/>
        </w:rPr>
        <w:t>annual</w:t>
      </w:r>
      <w:r>
        <w:rPr>
          <w:spacing w:val="-4"/>
          <w:sz w:val="24"/>
        </w:rPr>
        <w:t> </w:t>
      </w:r>
      <w:r>
        <w:rPr>
          <w:sz w:val="24"/>
        </w:rPr>
        <w:t>testing</w:t>
      </w:r>
      <w:r>
        <w:rPr>
          <w:spacing w:val="-4"/>
          <w:sz w:val="24"/>
        </w:rPr>
        <w:t> </w:t>
      </w:r>
      <w:r>
        <w:rPr>
          <w:sz w:val="24"/>
        </w:rPr>
        <w:t>levels?</w:t>
      </w:r>
      <w:r>
        <w:rPr>
          <w:spacing w:val="40"/>
          <w:sz w:val="24"/>
        </w:rPr>
        <w:t> </w:t>
      </w:r>
      <w:r>
        <w:rPr>
          <w:color w:val="808080"/>
          <w:sz w:val="22"/>
        </w:rPr>
        <w:t>Click</w:t>
      </w:r>
      <w:r>
        <w:rPr>
          <w:color w:val="808080"/>
          <w:spacing w:val="-4"/>
          <w:sz w:val="22"/>
        </w:rPr>
        <w:t> </w:t>
      </w:r>
      <w:r>
        <w:rPr>
          <w:color w:val="808080"/>
          <w:sz w:val="22"/>
        </w:rPr>
        <w:t>or tap here to enter text.</w:t>
      </w:r>
    </w:p>
    <w:p>
      <w:pPr>
        <w:pStyle w:val="ListParagraph"/>
        <w:numPr>
          <w:ilvl w:val="1"/>
          <w:numId w:val="38"/>
        </w:numPr>
        <w:tabs>
          <w:tab w:pos="1990" w:val="left" w:leader="none"/>
          <w:tab w:pos="1992" w:val="left" w:leader="none"/>
        </w:tabs>
        <w:spacing w:line="259" w:lineRule="auto" w:before="0" w:after="0"/>
        <w:ind w:left="1992" w:right="1051" w:hanging="360"/>
        <w:jc w:val="left"/>
        <w:rPr>
          <w:sz w:val="24"/>
        </w:rPr>
      </w:pPr>
      <w:r>
        <w:rPr>
          <w:sz w:val="24"/>
        </w:rPr>
        <w:t>Provide</w:t>
      </w:r>
      <w:r>
        <w:rPr>
          <w:spacing w:val="-3"/>
          <w:sz w:val="24"/>
        </w:rPr>
        <w:t> </w:t>
      </w:r>
      <w:r>
        <w:rPr>
          <w:sz w:val="24"/>
        </w:rPr>
        <w:t>proof</w:t>
      </w:r>
      <w:r>
        <w:rPr>
          <w:spacing w:val="-3"/>
          <w:sz w:val="24"/>
        </w:rPr>
        <w:t> </w:t>
      </w:r>
      <w:r>
        <w:rPr>
          <w:sz w:val="24"/>
        </w:rPr>
        <w:t>of</w:t>
      </w:r>
      <w:r>
        <w:rPr>
          <w:spacing w:val="-3"/>
          <w:sz w:val="24"/>
        </w:rPr>
        <w:t> </w:t>
      </w:r>
      <w:r>
        <w:rPr>
          <w:sz w:val="24"/>
        </w:rPr>
        <w:t>at</w:t>
      </w:r>
      <w:r>
        <w:rPr>
          <w:spacing w:val="-3"/>
          <w:sz w:val="24"/>
        </w:rPr>
        <w:t> </w:t>
      </w:r>
      <w:r>
        <w:rPr>
          <w:sz w:val="24"/>
        </w:rPr>
        <w:t>least</w:t>
      </w:r>
      <w:r>
        <w:rPr>
          <w:spacing w:val="-3"/>
          <w:sz w:val="24"/>
        </w:rPr>
        <w:t> </w:t>
      </w:r>
      <w:r>
        <w:rPr>
          <w:sz w:val="24"/>
        </w:rPr>
        <w:t>120</w:t>
      </w:r>
      <w:r>
        <w:rPr>
          <w:spacing w:val="-2"/>
          <w:sz w:val="24"/>
        </w:rPr>
        <w:t> </w:t>
      </w:r>
      <w:r>
        <w:rPr>
          <w:sz w:val="24"/>
        </w:rPr>
        <w:t>minutes</w:t>
      </w:r>
      <w:r>
        <w:rPr>
          <w:spacing w:val="-4"/>
          <w:sz w:val="24"/>
        </w:rPr>
        <w:t> </w:t>
      </w:r>
      <w:r>
        <w:rPr>
          <w:sz w:val="24"/>
        </w:rPr>
        <w:t>of</w:t>
      </w:r>
      <w:r>
        <w:rPr>
          <w:spacing w:val="-3"/>
          <w:sz w:val="24"/>
        </w:rPr>
        <w:t> </w:t>
      </w:r>
      <w:r>
        <w:rPr>
          <w:sz w:val="24"/>
        </w:rPr>
        <w:t>training</w:t>
      </w:r>
      <w:r>
        <w:rPr>
          <w:spacing w:val="-4"/>
          <w:sz w:val="24"/>
        </w:rPr>
        <w:t> </w:t>
      </w:r>
      <w:r>
        <w:rPr>
          <w:sz w:val="24"/>
        </w:rPr>
        <w:t>for</w:t>
      </w:r>
      <w:r>
        <w:rPr>
          <w:spacing w:val="-2"/>
          <w:sz w:val="24"/>
        </w:rPr>
        <w:t> </w:t>
      </w:r>
      <w:r>
        <w:rPr>
          <w:sz w:val="24"/>
        </w:rPr>
        <w:t>employees</w:t>
      </w:r>
      <w:r>
        <w:rPr>
          <w:spacing w:val="-2"/>
          <w:sz w:val="24"/>
        </w:rPr>
        <w:t> </w:t>
      </w:r>
      <w:r>
        <w:rPr>
          <w:sz w:val="24"/>
        </w:rPr>
        <w:t>authorized</w:t>
      </w:r>
      <w:r>
        <w:rPr>
          <w:spacing w:val="-3"/>
          <w:sz w:val="24"/>
        </w:rPr>
        <w:t> </w:t>
      </w:r>
      <w:r>
        <w:rPr>
          <w:sz w:val="24"/>
        </w:rPr>
        <w:t>to</w:t>
      </w:r>
      <w:r>
        <w:rPr>
          <w:spacing w:val="-3"/>
          <w:sz w:val="24"/>
        </w:rPr>
        <w:t> </w:t>
      </w:r>
      <w:r>
        <w:rPr>
          <w:sz w:val="24"/>
        </w:rPr>
        <w:t>make reasonable suspicion determinations.</w:t>
      </w:r>
      <w:r>
        <w:rPr>
          <w:spacing w:val="40"/>
          <w:sz w:val="24"/>
        </w:rPr>
        <w:t> </w:t>
      </w:r>
      <w:r>
        <w:rPr>
          <w:sz w:val="24"/>
        </w:rPr>
        <w:t>Yes</w:t>
      </w:r>
    </w:p>
    <w:p>
      <w:pPr>
        <w:pStyle w:val="ListParagraph"/>
        <w:numPr>
          <w:ilvl w:val="1"/>
          <w:numId w:val="38"/>
        </w:numPr>
        <w:tabs>
          <w:tab w:pos="1992" w:val="left" w:leader="none"/>
        </w:tabs>
        <w:spacing w:line="256" w:lineRule="auto" w:before="0" w:after="0"/>
        <w:ind w:left="1992" w:right="739" w:hanging="360"/>
        <w:jc w:val="left"/>
        <w:rPr>
          <w:sz w:val="24"/>
        </w:rPr>
      </w:pPr>
      <w:r>
        <w:rPr>
          <w:sz w:val="24"/>
        </w:rPr>
        <w:t>Do</w:t>
      </w:r>
      <w:r>
        <w:rPr>
          <w:spacing w:val="-2"/>
          <w:sz w:val="24"/>
        </w:rPr>
        <w:t> </w:t>
      </w:r>
      <w:r>
        <w:rPr>
          <w:sz w:val="24"/>
        </w:rPr>
        <w:t>you</w:t>
      </w:r>
      <w:r>
        <w:rPr>
          <w:spacing w:val="-1"/>
          <w:sz w:val="24"/>
        </w:rPr>
        <w:t> </w:t>
      </w:r>
      <w:r>
        <w:rPr>
          <w:sz w:val="24"/>
        </w:rPr>
        <w:t>request</w:t>
      </w:r>
      <w:r>
        <w:rPr>
          <w:spacing w:val="-4"/>
          <w:sz w:val="24"/>
        </w:rPr>
        <w:t> </w:t>
      </w:r>
      <w:r>
        <w:rPr>
          <w:sz w:val="24"/>
        </w:rPr>
        <w:t>D&amp;A</w:t>
      </w:r>
      <w:r>
        <w:rPr>
          <w:spacing w:val="-5"/>
          <w:sz w:val="24"/>
        </w:rPr>
        <w:t> </w:t>
      </w:r>
      <w:r>
        <w:rPr>
          <w:sz w:val="24"/>
        </w:rPr>
        <w:t>testing</w:t>
      </w:r>
      <w:r>
        <w:rPr>
          <w:spacing w:val="-3"/>
          <w:sz w:val="24"/>
        </w:rPr>
        <w:t> </w:t>
      </w:r>
      <w:r>
        <w:rPr>
          <w:sz w:val="24"/>
        </w:rPr>
        <w:t>records</w:t>
      </w:r>
      <w:r>
        <w:rPr>
          <w:spacing w:val="-5"/>
          <w:sz w:val="24"/>
        </w:rPr>
        <w:t> </w:t>
      </w:r>
      <w:r>
        <w:rPr>
          <w:sz w:val="24"/>
        </w:rPr>
        <w:t>when</w:t>
      </w:r>
      <w:r>
        <w:rPr>
          <w:spacing w:val="-4"/>
          <w:sz w:val="24"/>
        </w:rPr>
        <w:t> </w:t>
      </w:r>
      <w:r>
        <w:rPr>
          <w:sz w:val="24"/>
        </w:rPr>
        <w:t>hiring</w:t>
      </w:r>
      <w:r>
        <w:rPr>
          <w:spacing w:val="-7"/>
          <w:sz w:val="24"/>
        </w:rPr>
        <w:t> </w:t>
      </w:r>
      <w:r>
        <w:rPr>
          <w:sz w:val="24"/>
        </w:rPr>
        <w:t>new</w:t>
      </w:r>
      <w:r>
        <w:rPr>
          <w:spacing w:val="-5"/>
          <w:sz w:val="24"/>
        </w:rPr>
        <w:t> </w:t>
      </w:r>
      <w:r>
        <w:rPr>
          <w:sz w:val="24"/>
        </w:rPr>
        <w:t>safety-sensitive</w:t>
      </w:r>
      <w:r>
        <w:rPr>
          <w:spacing w:val="-4"/>
          <w:sz w:val="24"/>
        </w:rPr>
        <w:t> </w:t>
      </w:r>
      <w:r>
        <w:rPr>
          <w:sz w:val="24"/>
        </w:rPr>
        <w:t>employees</w:t>
      </w:r>
      <w:r>
        <w:rPr>
          <w:spacing w:val="-5"/>
          <w:sz w:val="24"/>
        </w:rPr>
        <w:t> </w:t>
      </w:r>
      <w:r>
        <w:rPr>
          <w:sz w:val="24"/>
        </w:rPr>
        <w:t>from previous employers?</w:t>
      </w:r>
      <w:r>
        <w:rPr>
          <w:spacing w:val="40"/>
          <w:sz w:val="24"/>
        </w:rPr>
        <w:t> </w:t>
      </w:r>
      <w:r>
        <w:rPr>
          <w:sz w:val="24"/>
        </w:rPr>
        <w:t>Yes</w:t>
      </w:r>
    </w:p>
    <w:p>
      <w:pPr>
        <w:pStyle w:val="ListParagraph"/>
        <w:numPr>
          <w:ilvl w:val="1"/>
          <w:numId w:val="38"/>
        </w:numPr>
        <w:tabs>
          <w:tab w:pos="1992" w:val="left" w:leader="none"/>
        </w:tabs>
        <w:spacing w:line="259" w:lineRule="auto" w:before="3" w:after="0"/>
        <w:ind w:left="1992" w:right="768" w:hanging="360"/>
        <w:jc w:val="left"/>
        <w:rPr>
          <w:sz w:val="24"/>
        </w:rPr>
      </w:pPr>
      <w:r>
        <w:rPr>
          <w:sz w:val="24"/>
        </w:rPr>
        <w:t>Are</w:t>
      </w:r>
      <w:r>
        <w:rPr>
          <w:spacing w:val="-1"/>
          <w:sz w:val="24"/>
        </w:rPr>
        <w:t> </w:t>
      </w:r>
      <w:r>
        <w:rPr>
          <w:sz w:val="24"/>
        </w:rPr>
        <w:t>random</w:t>
      </w:r>
      <w:r>
        <w:rPr>
          <w:spacing w:val="-4"/>
          <w:sz w:val="24"/>
        </w:rPr>
        <w:t> </w:t>
      </w:r>
      <w:r>
        <w:rPr>
          <w:sz w:val="24"/>
        </w:rPr>
        <w:t>tests</w:t>
      </w:r>
      <w:r>
        <w:rPr>
          <w:spacing w:val="-2"/>
          <w:sz w:val="24"/>
        </w:rPr>
        <w:t> </w:t>
      </w:r>
      <w:r>
        <w:rPr>
          <w:sz w:val="24"/>
        </w:rPr>
        <w:t>spread</w:t>
      </w:r>
      <w:r>
        <w:rPr>
          <w:spacing w:val="-3"/>
          <w:sz w:val="24"/>
        </w:rPr>
        <w:t> </w:t>
      </w:r>
      <w:r>
        <w:rPr>
          <w:sz w:val="24"/>
        </w:rPr>
        <w:t>out</w:t>
      </w:r>
      <w:r>
        <w:rPr>
          <w:spacing w:val="-1"/>
          <w:sz w:val="24"/>
        </w:rPr>
        <w:t> </w:t>
      </w:r>
      <w:r>
        <w:rPr>
          <w:sz w:val="24"/>
        </w:rPr>
        <w:t>over</w:t>
      </w:r>
      <w:r>
        <w:rPr>
          <w:spacing w:val="-4"/>
          <w:sz w:val="24"/>
        </w:rPr>
        <w:t> </w:t>
      </w:r>
      <w:r>
        <w:rPr>
          <w:sz w:val="24"/>
        </w:rPr>
        <w:t>all</w:t>
      </w:r>
      <w:r>
        <w:rPr>
          <w:spacing w:val="-4"/>
          <w:sz w:val="24"/>
        </w:rPr>
        <w:t> </w:t>
      </w:r>
      <w:r>
        <w:rPr>
          <w:sz w:val="24"/>
        </w:rPr>
        <w:t>days</w:t>
      </w:r>
      <w:r>
        <w:rPr>
          <w:spacing w:val="-2"/>
          <w:sz w:val="24"/>
        </w:rPr>
        <w:t> </w:t>
      </w:r>
      <w:r>
        <w:rPr>
          <w:sz w:val="24"/>
        </w:rPr>
        <w:t>of</w:t>
      </w:r>
      <w:r>
        <w:rPr>
          <w:spacing w:val="-3"/>
          <w:sz w:val="24"/>
        </w:rPr>
        <w:t> </w:t>
      </w:r>
      <w:r>
        <w:rPr>
          <w:sz w:val="24"/>
        </w:rPr>
        <w:t>week</w:t>
      </w:r>
      <w:r>
        <w:rPr>
          <w:spacing w:val="-3"/>
          <w:sz w:val="24"/>
        </w:rPr>
        <w:t> </w:t>
      </w:r>
      <w:r>
        <w:rPr>
          <w:sz w:val="24"/>
        </w:rPr>
        <w:t>and</w:t>
      </w:r>
      <w:r>
        <w:rPr>
          <w:spacing w:val="-3"/>
          <w:sz w:val="24"/>
        </w:rPr>
        <w:t> </w:t>
      </w:r>
      <w:r>
        <w:rPr>
          <w:sz w:val="24"/>
        </w:rPr>
        <w:t>hours</w:t>
      </w:r>
      <w:r>
        <w:rPr>
          <w:spacing w:val="-2"/>
          <w:sz w:val="24"/>
        </w:rPr>
        <w:t> </w:t>
      </w:r>
      <w:r>
        <w:rPr>
          <w:sz w:val="24"/>
        </w:rPr>
        <w:t>of</w:t>
      </w:r>
      <w:r>
        <w:rPr>
          <w:spacing w:val="-1"/>
          <w:sz w:val="24"/>
        </w:rPr>
        <w:t> </w:t>
      </w:r>
      <w:r>
        <w:rPr>
          <w:sz w:val="24"/>
        </w:rPr>
        <w:t>your</w:t>
      </w:r>
      <w:r>
        <w:rPr>
          <w:spacing w:val="-1"/>
          <w:sz w:val="24"/>
        </w:rPr>
        <w:t> </w:t>
      </w:r>
      <w:r>
        <w:rPr>
          <w:sz w:val="24"/>
        </w:rPr>
        <w:t>service?</w:t>
      </w:r>
      <w:r>
        <w:rPr>
          <w:spacing w:val="40"/>
          <w:sz w:val="24"/>
        </w:rPr>
        <w:t> </w:t>
      </w:r>
      <w:r>
        <w:rPr>
          <w:sz w:val="24"/>
        </w:rPr>
        <w:t>Provide proof with a summary to confirm.</w:t>
      </w:r>
      <w:r>
        <w:rPr>
          <w:spacing w:val="40"/>
          <w:sz w:val="24"/>
        </w:rPr>
        <w:t> </w:t>
      </w:r>
      <w:r>
        <w:rPr>
          <w:sz w:val="24"/>
        </w:rPr>
        <w:t>Yes</w:t>
      </w:r>
    </w:p>
    <w:p>
      <w:pPr>
        <w:pStyle w:val="ListParagraph"/>
        <w:numPr>
          <w:ilvl w:val="1"/>
          <w:numId w:val="38"/>
        </w:numPr>
        <w:tabs>
          <w:tab w:pos="1992" w:val="left" w:leader="none"/>
        </w:tabs>
        <w:spacing w:line="259" w:lineRule="auto" w:before="1" w:after="0"/>
        <w:ind w:left="1992" w:right="718" w:hanging="360"/>
        <w:jc w:val="left"/>
        <w:rPr>
          <w:sz w:val="24"/>
        </w:rPr>
      </w:pPr>
      <w:r>
        <w:rPr>
          <w:sz w:val="24"/>
        </w:rPr>
        <w:t>Are chain of custody forms reviewed for errors?</w:t>
      </w:r>
      <w:r>
        <w:rPr>
          <w:spacing w:val="40"/>
          <w:sz w:val="24"/>
        </w:rPr>
        <w:t> </w:t>
      </w:r>
      <w:r>
        <w:rPr>
          <w:sz w:val="24"/>
        </w:rPr>
        <w:t>Discuss how errors are corrected if found.</w:t>
      </w:r>
      <w:r>
        <w:rPr>
          <w:spacing w:val="40"/>
          <w:sz w:val="24"/>
        </w:rPr>
        <w:t> </w:t>
      </w:r>
      <w:r>
        <w:rPr>
          <w:sz w:val="24"/>
        </w:rPr>
        <w:t>Yes,</w:t>
      </w:r>
      <w:r>
        <w:rPr>
          <w:spacing w:val="-5"/>
          <w:sz w:val="24"/>
        </w:rPr>
        <w:t> </w:t>
      </w:r>
      <w:r>
        <w:rPr>
          <w:sz w:val="24"/>
        </w:rPr>
        <w:t>WMTS</w:t>
      </w:r>
      <w:r>
        <w:rPr>
          <w:spacing w:val="-5"/>
          <w:sz w:val="24"/>
        </w:rPr>
        <w:t> </w:t>
      </w:r>
      <w:r>
        <w:rPr>
          <w:sz w:val="24"/>
        </w:rPr>
        <w:t>contacts</w:t>
      </w:r>
      <w:r>
        <w:rPr>
          <w:spacing w:val="-3"/>
          <w:sz w:val="24"/>
        </w:rPr>
        <w:t> </w:t>
      </w:r>
      <w:r>
        <w:rPr>
          <w:sz w:val="24"/>
        </w:rPr>
        <w:t>the</w:t>
      </w:r>
      <w:r>
        <w:rPr>
          <w:spacing w:val="-2"/>
          <w:sz w:val="24"/>
        </w:rPr>
        <w:t> </w:t>
      </w:r>
      <w:r>
        <w:rPr>
          <w:sz w:val="24"/>
        </w:rPr>
        <w:t>collection</w:t>
      </w:r>
      <w:r>
        <w:rPr>
          <w:spacing w:val="-4"/>
          <w:sz w:val="24"/>
        </w:rPr>
        <w:t> </w:t>
      </w:r>
      <w:r>
        <w:rPr>
          <w:sz w:val="24"/>
        </w:rPr>
        <w:t>site</w:t>
      </w:r>
      <w:r>
        <w:rPr>
          <w:spacing w:val="-4"/>
          <w:sz w:val="24"/>
        </w:rPr>
        <w:t> </w:t>
      </w:r>
      <w:r>
        <w:rPr>
          <w:sz w:val="24"/>
        </w:rPr>
        <w:t>or</w:t>
      </w:r>
      <w:r>
        <w:rPr>
          <w:spacing w:val="-6"/>
          <w:sz w:val="24"/>
        </w:rPr>
        <w:t> </w:t>
      </w:r>
      <w:r>
        <w:rPr>
          <w:sz w:val="24"/>
        </w:rPr>
        <w:t>Northern</w:t>
      </w:r>
      <w:r>
        <w:rPr>
          <w:spacing w:val="-1"/>
          <w:sz w:val="24"/>
        </w:rPr>
        <w:t> </w:t>
      </w:r>
      <w:r>
        <w:rPr>
          <w:sz w:val="24"/>
        </w:rPr>
        <w:t>Light</w:t>
      </w:r>
      <w:r>
        <w:rPr>
          <w:spacing w:val="-4"/>
          <w:sz w:val="24"/>
        </w:rPr>
        <w:t> </w:t>
      </w:r>
      <w:r>
        <w:rPr>
          <w:sz w:val="24"/>
        </w:rPr>
        <w:t>who</w:t>
      </w:r>
      <w:r>
        <w:rPr>
          <w:spacing w:val="-2"/>
          <w:sz w:val="24"/>
        </w:rPr>
        <w:t> </w:t>
      </w:r>
      <w:r>
        <w:rPr>
          <w:sz w:val="24"/>
        </w:rPr>
        <w:t>contacts</w:t>
      </w:r>
      <w:r>
        <w:rPr>
          <w:spacing w:val="-3"/>
          <w:sz w:val="24"/>
        </w:rPr>
        <w:t> </w:t>
      </w:r>
      <w:r>
        <w:rPr>
          <w:sz w:val="24"/>
        </w:rPr>
        <w:t>escreen to correct any errors and provide an affidavit if necessary</w:t>
      </w:r>
    </w:p>
    <w:p>
      <w:pPr>
        <w:pStyle w:val="ListParagraph"/>
        <w:numPr>
          <w:ilvl w:val="1"/>
          <w:numId w:val="38"/>
        </w:numPr>
        <w:tabs>
          <w:tab w:pos="1991" w:val="left" w:leader="none"/>
        </w:tabs>
        <w:spacing w:line="292" w:lineRule="exact" w:before="0" w:after="0"/>
        <w:ind w:left="1991" w:right="0" w:hanging="359"/>
        <w:jc w:val="left"/>
        <w:rPr>
          <w:sz w:val="24"/>
        </w:rPr>
      </w:pPr>
      <w:r>
        <w:rPr>
          <w:sz w:val="24"/>
        </w:rPr>
        <w:t>Is</w:t>
      </w:r>
      <w:r>
        <w:rPr>
          <w:spacing w:val="-2"/>
          <w:sz w:val="24"/>
        </w:rPr>
        <w:t> </w:t>
      </w:r>
      <w:r>
        <w:rPr>
          <w:sz w:val="24"/>
        </w:rPr>
        <w:t>the</w:t>
      </w:r>
      <w:r>
        <w:rPr>
          <w:spacing w:val="-2"/>
          <w:sz w:val="24"/>
        </w:rPr>
        <w:t> </w:t>
      </w:r>
      <w:r>
        <w:rPr>
          <w:sz w:val="24"/>
        </w:rPr>
        <w:t>name and</w:t>
      </w:r>
      <w:r>
        <w:rPr>
          <w:spacing w:val="-2"/>
          <w:sz w:val="24"/>
        </w:rPr>
        <w:t> </w:t>
      </w:r>
      <w:r>
        <w:rPr>
          <w:sz w:val="24"/>
        </w:rPr>
        <w:t>phone</w:t>
      </w:r>
      <w:r>
        <w:rPr>
          <w:spacing w:val="-2"/>
          <w:sz w:val="24"/>
        </w:rPr>
        <w:t> </w:t>
      </w:r>
      <w:r>
        <w:rPr>
          <w:sz w:val="24"/>
        </w:rPr>
        <w:t>number</w:t>
      </w:r>
      <w:r>
        <w:rPr>
          <w:spacing w:val="-4"/>
          <w:sz w:val="24"/>
        </w:rPr>
        <w:t> </w:t>
      </w:r>
      <w:r>
        <w:rPr>
          <w:sz w:val="24"/>
        </w:rPr>
        <w:t>of</w:t>
      </w:r>
      <w:r>
        <w:rPr>
          <w:spacing w:val="1"/>
          <w:sz w:val="24"/>
        </w:rPr>
        <w:t> </w:t>
      </w:r>
      <w:r>
        <w:rPr>
          <w:sz w:val="24"/>
        </w:rPr>
        <w:t>your DER</w:t>
      </w:r>
      <w:r>
        <w:rPr>
          <w:spacing w:val="-1"/>
          <w:sz w:val="24"/>
        </w:rPr>
        <w:t> </w:t>
      </w:r>
      <w:r>
        <w:rPr>
          <w:sz w:val="24"/>
        </w:rPr>
        <w:t>posted for employees</w:t>
      </w:r>
      <w:r>
        <w:rPr>
          <w:spacing w:val="-3"/>
          <w:sz w:val="24"/>
        </w:rPr>
        <w:t> </w:t>
      </w:r>
      <w:r>
        <w:rPr>
          <w:sz w:val="24"/>
        </w:rPr>
        <w:t>to</w:t>
      </w:r>
      <w:r>
        <w:rPr>
          <w:spacing w:val="-2"/>
          <w:sz w:val="24"/>
        </w:rPr>
        <w:t> </w:t>
      </w:r>
      <w:r>
        <w:rPr>
          <w:sz w:val="24"/>
        </w:rPr>
        <w:t>see?</w:t>
      </w:r>
      <w:r>
        <w:rPr>
          <w:spacing w:val="47"/>
          <w:sz w:val="24"/>
        </w:rPr>
        <w:t> </w:t>
      </w:r>
      <w:r>
        <w:rPr>
          <w:spacing w:val="-5"/>
          <w:sz w:val="24"/>
        </w:rPr>
        <w:t>Yes</w:t>
      </w:r>
    </w:p>
    <w:p>
      <w:pPr>
        <w:pStyle w:val="ListParagraph"/>
        <w:numPr>
          <w:ilvl w:val="1"/>
          <w:numId w:val="38"/>
        </w:numPr>
        <w:tabs>
          <w:tab w:pos="1992" w:val="left" w:leader="none"/>
        </w:tabs>
        <w:spacing w:line="256" w:lineRule="auto" w:before="24" w:after="0"/>
        <w:ind w:left="1992" w:right="900" w:hanging="360"/>
        <w:jc w:val="left"/>
        <w:rPr>
          <w:sz w:val="24"/>
        </w:rPr>
      </w:pPr>
      <w:r>
        <w:rPr>
          <w:sz w:val="24"/>
        </w:rPr>
        <w:t>Do</w:t>
      </w:r>
      <w:r>
        <w:rPr>
          <w:spacing w:val="-2"/>
          <w:sz w:val="24"/>
        </w:rPr>
        <w:t> </w:t>
      </w:r>
      <w:r>
        <w:rPr>
          <w:sz w:val="24"/>
        </w:rPr>
        <w:t>you</w:t>
      </w:r>
      <w:r>
        <w:rPr>
          <w:spacing w:val="-1"/>
          <w:sz w:val="24"/>
        </w:rPr>
        <w:t> </w:t>
      </w:r>
      <w:r>
        <w:rPr>
          <w:sz w:val="24"/>
        </w:rPr>
        <w:t>have</w:t>
      </w:r>
      <w:r>
        <w:rPr>
          <w:spacing w:val="-2"/>
          <w:sz w:val="24"/>
        </w:rPr>
        <w:t> </w:t>
      </w:r>
      <w:r>
        <w:rPr>
          <w:sz w:val="24"/>
        </w:rPr>
        <w:t>qualifications</w:t>
      </w:r>
      <w:r>
        <w:rPr>
          <w:spacing w:val="-3"/>
          <w:sz w:val="24"/>
        </w:rPr>
        <w:t> </w:t>
      </w:r>
      <w:r>
        <w:rPr>
          <w:sz w:val="24"/>
        </w:rPr>
        <w:t>on</w:t>
      </w:r>
      <w:r>
        <w:rPr>
          <w:spacing w:val="-4"/>
          <w:sz w:val="24"/>
        </w:rPr>
        <w:t> </w:t>
      </w:r>
      <w:r>
        <w:rPr>
          <w:sz w:val="24"/>
        </w:rPr>
        <w:t>file</w:t>
      </w:r>
      <w:r>
        <w:rPr>
          <w:spacing w:val="-4"/>
          <w:sz w:val="24"/>
        </w:rPr>
        <w:t> </w:t>
      </w:r>
      <w:r>
        <w:rPr>
          <w:sz w:val="24"/>
        </w:rPr>
        <w:t>for</w:t>
      </w:r>
      <w:r>
        <w:rPr>
          <w:spacing w:val="-2"/>
          <w:sz w:val="24"/>
        </w:rPr>
        <w:t> </w:t>
      </w:r>
      <w:r>
        <w:rPr>
          <w:sz w:val="24"/>
        </w:rPr>
        <w:t>SAPs,</w:t>
      </w:r>
      <w:r>
        <w:rPr>
          <w:spacing w:val="-2"/>
          <w:sz w:val="24"/>
        </w:rPr>
        <w:t> </w:t>
      </w:r>
      <w:r>
        <w:rPr>
          <w:sz w:val="24"/>
        </w:rPr>
        <w:t>BATs,</w:t>
      </w:r>
      <w:r>
        <w:rPr>
          <w:spacing w:val="-5"/>
          <w:sz w:val="24"/>
        </w:rPr>
        <w:t> </w:t>
      </w:r>
      <w:r>
        <w:rPr>
          <w:sz w:val="24"/>
        </w:rPr>
        <w:t>urine</w:t>
      </w:r>
      <w:r>
        <w:rPr>
          <w:spacing w:val="-4"/>
          <w:sz w:val="24"/>
        </w:rPr>
        <w:t> </w:t>
      </w:r>
      <w:r>
        <w:rPr>
          <w:sz w:val="24"/>
        </w:rPr>
        <w:t>collectors,</w:t>
      </w:r>
      <w:r>
        <w:rPr>
          <w:spacing w:val="-2"/>
          <w:sz w:val="24"/>
        </w:rPr>
        <w:t> </w:t>
      </w:r>
      <w:r>
        <w:rPr>
          <w:sz w:val="24"/>
        </w:rPr>
        <w:t>and</w:t>
      </w:r>
      <w:r>
        <w:rPr>
          <w:spacing w:val="-4"/>
          <w:sz w:val="24"/>
        </w:rPr>
        <w:t> </w:t>
      </w:r>
      <w:r>
        <w:rPr>
          <w:sz w:val="24"/>
        </w:rPr>
        <w:t>MRO?</w:t>
      </w:r>
      <w:r>
        <w:rPr>
          <w:spacing w:val="40"/>
          <w:sz w:val="24"/>
        </w:rPr>
        <w:t> </w:t>
      </w:r>
      <w:r>
        <w:rPr>
          <w:sz w:val="22"/>
        </w:rPr>
        <w:t>Provide copies to MaineDOT to confirm.</w:t>
      </w:r>
      <w:r>
        <w:rPr>
          <w:spacing w:val="40"/>
          <w:sz w:val="22"/>
        </w:rPr>
        <w:t> </w:t>
      </w:r>
      <w:r>
        <w:rPr>
          <w:sz w:val="24"/>
        </w:rPr>
        <w:t>Yes</w:t>
      </w:r>
    </w:p>
    <w:p>
      <w:pPr>
        <w:pStyle w:val="ListParagraph"/>
        <w:numPr>
          <w:ilvl w:val="2"/>
          <w:numId w:val="38"/>
        </w:numPr>
        <w:tabs>
          <w:tab w:pos="2170" w:val="left" w:leader="none"/>
        </w:tabs>
        <w:spacing w:line="240" w:lineRule="auto" w:before="4" w:after="0"/>
        <w:ind w:left="2170" w:right="0" w:hanging="179"/>
        <w:jc w:val="left"/>
        <w:rPr>
          <w:sz w:val="24"/>
        </w:rPr>
      </w:pPr>
      <w:r>
        <w:rPr>
          <w:sz w:val="24"/>
        </w:rPr>
        <w:t>Are</w:t>
      </w:r>
      <w:r>
        <w:rPr>
          <w:spacing w:val="-3"/>
          <w:sz w:val="24"/>
        </w:rPr>
        <w:t> </w:t>
      </w:r>
      <w:r>
        <w:rPr>
          <w:sz w:val="24"/>
        </w:rPr>
        <w:t>the</w:t>
      </w:r>
      <w:r>
        <w:rPr>
          <w:spacing w:val="-3"/>
          <w:sz w:val="24"/>
        </w:rPr>
        <w:t> </w:t>
      </w:r>
      <w:r>
        <w:rPr>
          <w:sz w:val="24"/>
        </w:rPr>
        <w:t>SAP</w:t>
      </w:r>
      <w:r>
        <w:rPr>
          <w:spacing w:val="-2"/>
          <w:sz w:val="24"/>
        </w:rPr>
        <w:t> </w:t>
      </w:r>
      <w:r>
        <w:rPr>
          <w:sz w:val="24"/>
        </w:rPr>
        <w:t>qualifications</w:t>
      </w:r>
      <w:r>
        <w:rPr>
          <w:spacing w:val="-2"/>
          <w:sz w:val="24"/>
        </w:rPr>
        <w:t> </w:t>
      </w:r>
      <w:r>
        <w:rPr>
          <w:sz w:val="24"/>
        </w:rPr>
        <w:t>less</w:t>
      </w:r>
      <w:r>
        <w:rPr>
          <w:spacing w:val="-1"/>
          <w:sz w:val="24"/>
        </w:rPr>
        <w:t> </w:t>
      </w:r>
      <w:r>
        <w:rPr>
          <w:sz w:val="24"/>
        </w:rPr>
        <w:t>than</w:t>
      </w:r>
      <w:r>
        <w:rPr>
          <w:spacing w:val="-3"/>
          <w:sz w:val="24"/>
        </w:rPr>
        <w:t> </w:t>
      </w:r>
      <w:r>
        <w:rPr>
          <w:sz w:val="24"/>
        </w:rPr>
        <w:t>3 years</w:t>
      </w:r>
      <w:r>
        <w:rPr>
          <w:spacing w:val="-2"/>
          <w:sz w:val="24"/>
        </w:rPr>
        <w:t> </w:t>
      </w:r>
      <w:r>
        <w:rPr>
          <w:sz w:val="24"/>
        </w:rPr>
        <w:t>old?</w:t>
      </w:r>
      <w:r>
        <w:rPr>
          <w:spacing w:val="-2"/>
          <w:sz w:val="24"/>
        </w:rPr>
        <w:t> </w:t>
      </w:r>
      <w:r>
        <w:rPr>
          <w:spacing w:val="-5"/>
          <w:sz w:val="24"/>
        </w:rPr>
        <w:t>Yes</w:t>
      </w:r>
    </w:p>
    <w:p>
      <w:pPr>
        <w:pStyle w:val="ListParagraph"/>
        <w:numPr>
          <w:ilvl w:val="2"/>
          <w:numId w:val="38"/>
        </w:numPr>
        <w:tabs>
          <w:tab w:pos="2170" w:val="left" w:leader="none"/>
        </w:tabs>
        <w:spacing w:line="240" w:lineRule="auto" w:before="24" w:after="0"/>
        <w:ind w:left="2170" w:right="0" w:hanging="179"/>
        <w:jc w:val="left"/>
        <w:rPr>
          <w:sz w:val="24"/>
        </w:rPr>
      </w:pPr>
      <w:r>
        <w:rPr>
          <w:sz w:val="24"/>
        </w:rPr>
        <w:t>Are</w:t>
      </w:r>
      <w:r>
        <w:rPr>
          <w:spacing w:val="-2"/>
          <w:sz w:val="24"/>
        </w:rPr>
        <w:t> </w:t>
      </w:r>
      <w:r>
        <w:rPr>
          <w:sz w:val="24"/>
        </w:rPr>
        <w:t>the</w:t>
      </w:r>
      <w:r>
        <w:rPr>
          <w:spacing w:val="-2"/>
          <w:sz w:val="24"/>
        </w:rPr>
        <w:t> </w:t>
      </w:r>
      <w:r>
        <w:rPr>
          <w:sz w:val="24"/>
        </w:rPr>
        <w:t>other</w:t>
      </w:r>
      <w:r>
        <w:rPr>
          <w:spacing w:val="-3"/>
          <w:sz w:val="24"/>
        </w:rPr>
        <w:t> </w:t>
      </w:r>
      <w:r>
        <w:rPr>
          <w:sz w:val="24"/>
        </w:rPr>
        <w:t>qualifications</w:t>
      </w:r>
      <w:r>
        <w:rPr>
          <w:spacing w:val="-1"/>
          <w:sz w:val="24"/>
        </w:rPr>
        <w:t> </w:t>
      </w:r>
      <w:r>
        <w:rPr>
          <w:sz w:val="24"/>
        </w:rPr>
        <w:t>less</w:t>
      </w:r>
      <w:r>
        <w:rPr>
          <w:spacing w:val="-3"/>
          <w:sz w:val="24"/>
        </w:rPr>
        <w:t> </w:t>
      </w:r>
      <w:r>
        <w:rPr>
          <w:sz w:val="24"/>
        </w:rPr>
        <w:t>than</w:t>
      </w:r>
      <w:r>
        <w:rPr>
          <w:spacing w:val="1"/>
          <w:sz w:val="24"/>
        </w:rPr>
        <w:t> </w:t>
      </w:r>
      <w:r>
        <w:rPr>
          <w:sz w:val="24"/>
        </w:rPr>
        <w:t>5</w:t>
      </w:r>
      <w:r>
        <w:rPr>
          <w:spacing w:val="-2"/>
          <w:sz w:val="24"/>
        </w:rPr>
        <w:t> </w:t>
      </w:r>
      <w:r>
        <w:rPr>
          <w:sz w:val="24"/>
        </w:rPr>
        <w:t>years</w:t>
      </w:r>
      <w:r>
        <w:rPr>
          <w:spacing w:val="-3"/>
          <w:sz w:val="24"/>
        </w:rPr>
        <w:t> </w:t>
      </w:r>
      <w:r>
        <w:rPr>
          <w:sz w:val="24"/>
        </w:rPr>
        <w:t>old?</w:t>
      </w:r>
      <w:r>
        <w:rPr>
          <w:spacing w:val="-3"/>
          <w:sz w:val="24"/>
        </w:rPr>
        <w:t> </w:t>
      </w:r>
      <w:r>
        <w:rPr>
          <w:spacing w:val="-5"/>
          <w:sz w:val="24"/>
        </w:rPr>
        <w:t>Yes</w:t>
      </w:r>
    </w:p>
    <w:p>
      <w:pPr>
        <w:pStyle w:val="ListParagraph"/>
        <w:numPr>
          <w:ilvl w:val="1"/>
          <w:numId w:val="38"/>
        </w:numPr>
        <w:tabs>
          <w:tab w:pos="1989" w:val="left" w:leader="none"/>
        </w:tabs>
        <w:spacing w:line="240" w:lineRule="auto" w:before="21" w:after="0"/>
        <w:ind w:left="1989" w:right="0" w:hanging="358"/>
        <w:jc w:val="left"/>
        <w:rPr>
          <w:sz w:val="24"/>
        </w:rPr>
      </w:pPr>
      <w:r>
        <w:rPr>
          <w:sz w:val="24"/>
        </w:rPr>
        <w:t>Are</w:t>
      </w:r>
      <w:r>
        <w:rPr>
          <w:spacing w:val="-3"/>
          <w:sz w:val="24"/>
        </w:rPr>
        <w:t> </w:t>
      </w:r>
      <w:r>
        <w:rPr>
          <w:sz w:val="24"/>
        </w:rPr>
        <w:t>collectors</w:t>
      </w:r>
      <w:r>
        <w:rPr>
          <w:spacing w:val="-1"/>
          <w:sz w:val="24"/>
        </w:rPr>
        <w:t> </w:t>
      </w:r>
      <w:r>
        <w:rPr>
          <w:sz w:val="24"/>
        </w:rPr>
        <w:t>on</w:t>
      </w:r>
      <w:r>
        <w:rPr>
          <w:spacing w:val="-3"/>
          <w:sz w:val="24"/>
        </w:rPr>
        <w:t> </w:t>
      </w:r>
      <w:r>
        <w:rPr>
          <w:sz w:val="24"/>
        </w:rPr>
        <w:t>the</w:t>
      </w:r>
      <w:r>
        <w:rPr>
          <w:spacing w:val="-2"/>
          <w:sz w:val="24"/>
        </w:rPr>
        <w:t> </w:t>
      </w:r>
      <w:r>
        <w:rPr>
          <w:sz w:val="24"/>
        </w:rPr>
        <w:t>required</w:t>
      </w:r>
      <w:r>
        <w:rPr>
          <w:spacing w:val="-2"/>
          <w:sz w:val="24"/>
        </w:rPr>
        <w:t> </w:t>
      </w:r>
      <w:r>
        <w:rPr>
          <w:sz w:val="24"/>
        </w:rPr>
        <w:t>ODAPC</w:t>
      </w:r>
      <w:r>
        <w:rPr>
          <w:spacing w:val="-4"/>
          <w:sz w:val="24"/>
        </w:rPr>
        <w:t> </w:t>
      </w:r>
      <w:r>
        <w:rPr>
          <w:sz w:val="24"/>
        </w:rPr>
        <w:t>list serve?</w:t>
      </w:r>
      <w:r>
        <w:rPr>
          <w:spacing w:val="49"/>
          <w:sz w:val="24"/>
        </w:rPr>
        <w:t> </w:t>
      </w:r>
      <w:r>
        <w:rPr>
          <w:spacing w:val="-5"/>
          <w:sz w:val="24"/>
        </w:rPr>
        <w:t>Yes</w:t>
      </w:r>
    </w:p>
    <w:p>
      <w:pPr>
        <w:pStyle w:val="ListParagraph"/>
        <w:numPr>
          <w:ilvl w:val="1"/>
          <w:numId w:val="38"/>
        </w:numPr>
        <w:tabs>
          <w:tab w:pos="1991" w:val="left" w:leader="none"/>
        </w:tabs>
        <w:spacing w:line="240" w:lineRule="auto" w:before="24" w:after="0"/>
        <w:ind w:left="1991" w:right="0" w:hanging="360"/>
        <w:jc w:val="left"/>
        <w:rPr>
          <w:sz w:val="24"/>
        </w:rPr>
      </w:pPr>
      <w:r>
        <w:rPr>
          <w:sz w:val="24"/>
        </w:rPr>
        <w:t>Discuss</w:t>
      </w:r>
      <w:r>
        <w:rPr>
          <w:spacing w:val="-2"/>
          <w:sz w:val="24"/>
        </w:rPr>
        <w:t> </w:t>
      </w:r>
      <w:r>
        <w:rPr>
          <w:sz w:val="24"/>
        </w:rPr>
        <w:t>when</w:t>
      </w:r>
      <w:r>
        <w:rPr>
          <w:spacing w:val="-3"/>
          <w:sz w:val="24"/>
        </w:rPr>
        <w:t> </w:t>
      </w:r>
      <w:r>
        <w:rPr>
          <w:sz w:val="24"/>
        </w:rPr>
        <w:t>and</w:t>
      </w:r>
      <w:r>
        <w:rPr>
          <w:spacing w:val="-3"/>
          <w:sz w:val="24"/>
        </w:rPr>
        <w:t> </w:t>
      </w:r>
      <w:r>
        <w:rPr>
          <w:sz w:val="24"/>
        </w:rPr>
        <w:t>how</w:t>
      </w:r>
      <w:r>
        <w:rPr>
          <w:spacing w:val="-3"/>
          <w:sz w:val="24"/>
        </w:rPr>
        <w:t> </w:t>
      </w:r>
      <w:r>
        <w:rPr>
          <w:sz w:val="24"/>
        </w:rPr>
        <w:t>you monitor</w:t>
      </w:r>
      <w:r>
        <w:rPr>
          <w:spacing w:val="-1"/>
          <w:sz w:val="24"/>
        </w:rPr>
        <w:t> </w:t>
      </w:r>
      <w:r>
        <w:rPr>
          <w:sz w:val="24"/>
        </w:rPr>
        <w:t>your</w:t>
      </w:r>
      <w:r>
        <w:rPr>
          <w:spacing w:val="-1"/>
          <w:sz w:val="24"/>
        </w:rPr>
        <w:t> </w:t>
      </w:r>
      <w:r>
        <w:rPr>
          <w:sz w:val="24"/>
        </w:rPr>
        <w:t>collection sites:</w:t>
      </w:r>
      <w:r>
        <w:rPr>
          <w:spacing w:val="50"/>
          <w:sz w:val="24"/>
        </w:rPr>
        <w:t> </w:t>
      </w:r>
      <w:r>
        <w:rPr>
          <w:sz w:val="24"/>
        </w:rPr>
        <w:t>Annual</w:t>
      </w:r>
      <w:r>
        <w:rPr>
          <w:spacing w:val="-3"/>
          <w:sz w:val="24"/>
        </w:rPr>
        <w:t> </w:t>
      </w:r>
      <w:r>
        <w:rPr>
          <w:sz w:val="24"/>
        </w:rPr>
        <w:t>Blind</w:t>
      </w:r>
      <w:r>
        <w:rPr>
          <w:spacing w:val="-3"/>
          <w:sz w:val="24"/>
        </w:rPr>
        <w:t> </w:t>
      </w:r>
      <w:r>
        <w:rPr>
          <w:spacing w:val="-2"/>
          <w:sz w:val="24"/>
        </w:rPr>
        <w:t>visits</w:t>
      </w:r>
    </w:p>
    <w:p>
      <w:pPr>
        <w:pStyle w:val="ListParagraph"/>
        <w:numPr>
          <w:ilvl w:val="1"/>
          <w:numId w:val="38"/>
        </w:numPr>
        <w:tabs>
          <w:tab w:pos="1990" w:val="left" w:leader="none"/>
        </w:tabs>
        <w:spacing w:line="240" w:lineRule="auto" w:before="24" w:after="0"/>
        <w:ind w:left="1990" w:right="0" w:hanging="359"/>
        <w:jc w:val="left"/>
        <w:rPr>
          <w:sz w:val="24"/>
        </w:rPr>
      </w:pPr>
      <w:r>
        <w:rPr>
          <w:sz w:val="24"/>
        </w:rPr>
        <w:t>Are</w:t>
      </w:r>
      <w:r>
        <w:rPr>
          <w:spacing w:val="-1"/>
          <w:sz w:val="24"/>
        </w:rPr>
        <w:t> </w:t>
      </w:r>
      <w:r>
        <w:rPr>
          <w:sz w:val="24"/>
        </w:rPr>
        <w:t>records</w:t>
      </w:r>
      <w:r>
        <w:rPr>
          <w:spacing w:val="-2"/>
          <w:sz w:val="24"/>
        </w:rPr>
        <w:t> </w:t>
      </w:r>
      <w:r>
        <w:rPr>
          <w:sz w:val="24"/>
        </w:rPr>
        <w:t>kept in a</w:t>
      </w:r>
      <w:r>
        <w:rPr>
          <w:spacing w:val="-4"/>
          <w:sz w:val="24"/>
        </w:rPr>
        <w:t> </w:t>
      </w:r>
      <w:r>
        <w:rPr>
          <w:sz w:val="24"/>
        </w:rPr>
        <w:t>secure location?</w:t>
      </w:r>
      <w:r>
        <w:rPr>
          <w:spacing w:val="51"/>
          <w:sz w:val="24"/>
        </w:rPr>
        <w:t> </w:t>
      </w:r>
      <w:r>
        <w:rPr>
          <w:sz w:val="24"/>
        </w:rPr>
        <w:t>Show</w:t>
      </w:r>
      <w:r>
        <w:rPr>
          <w:spacing w:val="-3"/>
          <w:sz w:val="24"/>
        </w:rPr>
        <w:t> </w:t>
      </w:r>
      <w:r>
        <w:rPr>
          <w:sz w:val="24"/>
        </w:rPr>
        <w:t>proof.</w:t>
      </w:r>
      <w:r>
        <w:rPr>
          <w:spacing w:val="52"/>
          <w:sz w:val="24"/>
        </w:rPr>
        <w:t> </w:t>
      </w:r>
      <w:r>
        <w:rPr>
          <w:spacing w:val="-5"/>
          <w:sz w:val="24"/>
        </w:rPr>
        <w:t>Yes</w:t>
      </w:r>
    </w:p>
    <w:p>
      <w:pPr>
        <w:pStyle w:val="BodyText"/>
        <w:spacing w:before="11"/>
        <w:rPr>
          <w:sz w:val="27"/>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Section</w:t>
      </w:r>
      <w:r>
        <w:rPr>
          <w:color w:val="2D74B5"/>
          <w:spacing w:val="-4"/>
        </w:rPr>
        <w:t> </w:t>
      </w:r>
      <w:r>
        <w:rPr>
          <w:color w:val="2D74B5"/>
        </w:rPr>
        <w:t>5307</w:t>
      </w:r>
      <w:r>
        <w:rPr>
          <w:color w:val="2D74B5"/>
          <w:spacing w:val="-4"/>
        </w:rPr>
        <w:t> </w:t>
      </w:r>
      <w:r>
        <w:rPr>
          <w:color w:val="2D74B5"/>
        </w:rPr>
        <w:t>(Urban</w:t>
      </w:r>
      <w:r>
        <w:rPr>
          <w:color w:val="2D74B5"/>
          <w:spacing w:val="-3"/>
        </w:rPr>
        <w:t> </w:t>
      </w:r>
      <w:r>
        <w:rPr>
          <w:color w:val="2D74B5"/>
        </w:rPr>
        <w:t>fixed</w:t>
      </w:r>
      <w:r>
        <w:rPr>
          <w:color w:val="2D74B5"/>
          <w:spacing w:val="-4"/>
        </w:rPr>
        <w:t> </w:t>
      </w:r>
      <w:r>
        <w:rPr>
          <w:color w:val="2D74B5"/>
          <w:spacing w:val="-2"/>
        </w:rPr>
        <w:t>route)</w:t>
      </w:r>
    </w:p>
    <w:p>
      <w:pPr>
        <w:pStyle w:val="ListParagraph"/>
        <w:numPr>
          <w:ilvl w:val="1"/>
          <w:numId w:val="38"/>
        </w:numPr>
        <w:tabs>
          <w:tab w:pos="1991" w:val="left" w:leader="none"/>
        </w:tabs>
        <w:spacing w:line="240" w:lineRule="auto" w:before="28" w:after="0"/>
        <w:ind w:left="1991" w:right="0" w:hanging="359"/>
        <w:jc w:val="left"/>
        <w:rPr>
          <w:sz w:val="24"/>
        </w:rPr>
      </w:pPr>
      <w:r>
        <w:rPr>
          <w:sz w:val="24"/>
        </w:rPr>
        <w:t>Is</w:t>
      </w:r>
      <w:r>
        <w:rPr>
          <w:spacing w:val="-2"/>
          <w:sz w:val="24"/>
        </w:rPr>
        <w:t> </w:t>
      </w:r>
      <w:r>
        <w:rPr>
          <w:sz w:val="24"/>
        </w:rPr>
        <w:t>1%</w:t>
      </w:r>
      <w:r>
        <w:rPr>
          <w:spacing w:val="-3"/>
          <w:sz w:val="24"/>
        </w:rPr>
        <w:t> </w:t>
      </w:r>
      <w:r>
        <w:rPr>
          <w:sz w:val="24"/>
        </w:rPr>
        <w:t>of</w:t>
      </w:r>
      <w:r>
        <w:rPr>
          <w:spacing w:val="-3"/>
          <w:sz w:val="24"/>
        </w:rPr>
        <w:t> </w:t>
      </w:r>
      <w:r>
        <w:rPr>
          <w:sz w:val="24"/>
        </w:rPr>
        <w:t>funding</w:t>
      </w:r>
      <w:r>
        <w:rPr>
          <w:spacing w:val="-2"/>
          <w:sz w:val="24"/>
        </w:rPr>
        <w:t> </w:t>
      </w:r>
      <w:r>
        <w:rPr>
          <w:sz w:val="24"/>
        </w:rPr>
        <w:t>each year used on security</w:t>
      </w:r>
      <w:r>
        <w:rPr>
          <w:spacing w:val="-2"/>
          <w:sz w:val="24"/>
        </w:rPr>
        <w:t> </w:t>
      </w:r>
      <w:r>
        <w:rPr>
          <w:sz w:val="24"/>
        </w:rPr>
        <w:t>measures?</w:t>
      </w:r>
      <w:r>
        <w:rPr>
          <w:spacing w:val="74"/>
          <w:w w:val="150"/>
          <w:sz w:val="24"/>
        </w:rPr>
        <w:t> </w:t>
      </w:r>
      <w:r>
        <w:rPr>
          <w:spacing w:val="-5"/>
          <w:sz w:val="28"/>
        </w:rPr>
        <w:t>NA</w:t>
      </w:r>
    </w:p>
    <w:p>
      <w:pPr>
        <w:pStyle w:val="BodyText"/>
        <w:spacing w:before="7"/>
        <w:rPr>
          <w:sz w:val="32"/>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Section</w:t>
      </w:r>
      <w:r>
        <w:rPr>
          <w:color w:val="2D74B5"/>
          <w:spacing w:val="-6"/>
        </w:rPr>
        <w:t> </w:t>
      </w:r>
      <w:r>
        <w:rPr>
          <w:color w:val="2D74B5"/>
        </w:rPr>
        <w:t>5310</w:t>
      </w:r>
      <w:r>
        <w:rPr>
          <w:color w:val="2D74B5"/>
          <w:spacing w:val="-6"/>
        </w:rPr>
        <w:t> </w:t>
      </w:r>
      <w:r>
        <w:rPr>
          <w:color w:val="2D74B5"/>
        </w:rPr>
        <w:t>(regional</w:t>
      </w:r>
      <w:r>
        <w:rPr>
          <w:color w:val="2D74B5"/>
          <w:spacing w:val="-6"/>
        </w:rPr>
        <w:t> </w:t>
      </w:r>
      <w:r>
        <w:rPr>
          <w:color w:val="2D74B5"/>
        </w:rPr>
        <w:t>transit</w:t>
      </w:r>
      <w:r>
        <w:rPr>
          <w:color w:val="2D74B5"/>
          <w:spacing w:val="-4"/>
        </w:rPr>
        <w:t> </w:t>
      </w:r>
      <w:r>
        <w:rPr>
          <w:color w:val="2D74B5"/>
        </w:rPr>
        <w:t>providers</w:t>
      </w:r>
      <w:r>
        <w:rPr>
          <w:color w:val="2D74B5"/>
          <w:spacing w:val="-5"/>
        </w:rPr>
        <w:t> </w:t>
      </w:r>
      <w:r>
        <w:rPr>
          <w:color w:val="2D74B5"/>
          <w:spacing w:val="-2"/>
        </w:rPr>
        <w:t>only)</w:t>
      </w:r>
    </w:p>
    <w:p>
      <w:pPr>
        <w:pStyle w:val="ListParagraph"/>
        <w:numPr>
          <w:ilvl w:val="1"/>
          <w:numId w:val="38"/>
        </w:numPr>
        <w:tabs>
          <w:tab w:pos="1991" w:val="left" w:leader="none"/>
        </w:tabs>
        <w:spacing w:line="259" w:lineRule="auto" w:before="23" w:after="0"/>
        <w:ind w:left="1991" w:right="679" w:hanging="360"/>
        <w:jc w:val="left"/>
        <w:rPr>
          <w:sz w:val="24"/>
        </w:rPr>
      </w:pPr>
      <w:r>
        <w:rPr>
          <w:sz w:val="24"/>
        </w:rPr>
        <w:t>Explain how 5310 funds awarded to you meet the specific needs of seniors and individuals with disabilities.</w:t>
      </w:r>
      <w:r>
        <w:rPr>
          <w:spacing w:val="40"/>
          <w:sz w:val="24"/>
        </w:rPr>
        <w:t> </w:t>
      </w:r>
      <w:r>
        <w:rPr>
          <w:sz w:val="24"/>
        </w:rPr>
        <w:t>WMTS provides DR FR and commuter services with accessible</w:t>
      </w:r>
      <w:r>
        <w:rPr>
          <w:spacing w:val="-1"/>
          <w:sz w:val="24"/>
        </w:rPr>
        <w:t> </w:t>
      </w:r>
      <w:r>
        <w:rPr>
          <w:sz w:val="24"/>
        </w:rPr>
        <w:t>vehicles</w:t>
      </w:r>
      <w:r>
        <w:rPr>
          <w:spacing w:val="-4"/>
          <w:sz w:val="24"/>
        </w:rPr>
        <w:t> </w:t>
      </w:r>
      <w:r>
        <w:rPr>
          <w:sz w:val="24"/>
        </w:rPr>
        <w:t>allowing</w:t>
      </w:r>
      <w:r>
        <w:rPr>
          <w:spacing w:val="-2"/>
          <w:sz w:val="24"/>
        </w:rPr>
        <w:t> </w:t>
      </w:r>
      <w:r>
        <w:rPr>
          <w:sz w:val="24"/>
        </w:rPr>
        <w:t>persons</w:t>
      </w:r>
      <w:r>
        <w:rPr>
          <w:spacing w:val="-4"/>
          <w:sz w:val="24"/>
        </w:rPr>
        <w:t> </w:t>
      </w:r>
      <w:r>
        <w:rPr>
          <w:sz w:val="24"/>
        </w:rPr>
        <w:t>with</w:t>
      </w:r>
      <w:r>
        <w:rPr>
          <w:spacing w:val="-3"/>
          <w:sz w:val="24"/>
        </w:rPr>
        <w:t> </w:t>
      </w:r>
      <w:r>
        <w:rPr>
          <w:sz w:val="24"/>
        </w:rPr>
        <w:t>mobility</w:t>
      </w:r>
      <w:r>
        <w:rPr>
          <w:spacing w:val="-5"/>
          <w:sz w:val="24"/>
        </w:rPr>
        <w:t> </w:t>
      </w:r>
      <w:r>
        <w:rPr>
          <w:sz w:val="24"/>
        </w:rPr>
        <w:t>challenges</w:t>
      </w:r>
      <w:r>
        <w:rPr>
          <w:spacing w:val="-2"/>
          <w:sz w:val="24"/>
        </w:rPr>
        <w:t> </w:t>
      </w:r>
      <w:r>
        <w:rPr>
          <w:sz w:val="24"/>
        </w:rPr>
        <w:t>due</w:t>
      </w:r>
      <w:r>
        <w:rPr>
          <w:spacing w:val="-4"/>
          <w:sz w:val="24"/>
        </w:rPr>
        <w:t> </w:t>
      </w:r>
      <w:r>
        <w:rPr>
          <w:sz w:val="24"/>
        </w:rPr>
        <w:t>to</w:t>
      </w:r>
      <w:r>
        <w:rPr>
          <w:spacing w:val="-3"/>
          <w:sz w:val="24"/>
        </w:rPr>
        <w:t> </w:t>
      </w:r>
      <w:r>
        <w:rPr>
          <w:sz w:val="24"/>
        </w:rPr>
        <w:t>age</w:t>
      </w:r>
      <w:r>
        <w:rPr>
          <w:spacing w:val="-3"/>
          <w:sz w:val="24"/>
        </w:rPr>
        <w:t> </w:t>
      </w:r>
      <w:r>
        <w:rPr>
          <w:sz w:val="24"/>
        </w:rPr>
        <w:t>or</w:t>
      </w:r>
      <w:r>
        <w:rPr>
          <w:spacing w:val="-4"/>
          <w:sz w:val="24"/>
        </w:rPr>
        <w:t> </w:t>
      </w:r>
      <w:r>
        <w:rPr>
          <w:sz w:val="24"/>
        </w:rPr>
        <w:t>disability</w:t>
      </w:r>
      <w:r>
        <w:rPr>
          <w:spacing w:val="-5"/>
          <w:sz w:val="24"/>
        </w:rPr>
        <w:t> </w:t>
      </w:r>
      <w:r>
        <w:rPr>
          <w:sz w:val="24"/>
        </w:rPr>
        <w:t>to</w:t>
      </w:r>
    </w:p>
    <w:p>
      <w:pPr>
        <w:spacing w:after="0" w:line="259" w:lineRule="auto"/>
        <w:jc w:val="left"/>
        <w:rPr>
          <w:sz w:val="24"/>
        </w:rPr>
        <w:sectPr>
          <w:pgSz w:w="12240" w:h="15840"/>
          <w:pgMar w:header="0" w:footer="746" w:top="500" w:bottom="940" w:left="600" w:right="500"/>
        </w:sectPr>
      </w:pPr>
    </w:p>
    <w:p>
      <w:pPr>
        <w:pStyle w:val="BodyText"/>
        <w:spacing w:before="2"/>
        <w:rPr>
          <w:sz w:val="15"/>
        </w:rPr>
      </w:pPr>
    </w:p>
    <w:p>
      <w:pPr>
        <w:pStyle w:val="Heading2"/>
        <w:rPr>
          <w:i/>
        </w:rPr>
      </w:pPr>
      <w:r>
        <w:rPr/>
        <w:drawing>
          <wp:anchor distT="0" distB="0" distL="0" distR="0" allowOverlap="1" layoutInCell="1" locked="0" behindDoc="0" simplePos="0" relativeHeight="15763456">
            <wp:simplePos x="0" y="0"/>
            <wp:positionH relativeFrom="page">
              <wp:posOffset>731520</wp:posOffset>
            </wp:positionH>
            <wp:positionV relativeFrom="paragraph">
              <wp:posOffset>-111196</wp:posOffset>
            </wp:positionV>
            <wp:extent cx="1523706" cy="426719"/>
            <wp:effectExtent l="0" t="0" r="0" b="0"/>
            <wp:wrapNone/>
            <wp:docPr id="183" name="Image 183">
              <a:hlinkClick r:id="rId80"/>
            </wp:docPr>
            <wp:cNvGraphicFramePr>
              <a:graphicFrameLocks/>
            </wp:cNvGraphicFramePr>
            <a:graphic>
              <a:graphicData uri="http://schemas.openxmlformats.org/drawingml/2006/picture">
                <pic:pic>
                  <pic:nvPicPr>
                    <pic:cNvPr id="183" name="Image 183">
                      <a:hlinkClick r:id="rId80"/>
                    </pic:cNvPr>
                    <pic:cNvPicPr/>
                  </pic:nvPicPr>
                  <pic:blipFill>
                    <a:blip r:embed="rId33" cstate="print"/>
                    <a:stretch>
                      <a:fillRect/>
                    </a:stretch>
                  </pic:blipFill>
                  <pic:spPr>
                    <a:xfrm>
                      <a:off x="0" y="0"/>
                      <a:ext cx="1523706" cy="426719"/>
                    </a:xfrm>
                    <a:prstGeom prst="rect">
                      <a:avLst/>
                    </a:prstGeom>
                  </pic:spPr>
                </pic:pic>
              </a:graphicData>
            </a:graphic>
          </wp:anchor>
        </w:drawing>
      </w:r>
      <w:r>
        <w:rPr>
          <w:i/>
        </w:rPr>
        <w:t>Subrecipient</w:t>
      </w:r>
      <w:r>
        <w:rPr>
          <w:i/>
          <w:spacing w:val="-11"/>
        </w:rPr>
        <w:t> </w:t>
      </w:r>
      <w:r>
        <w:rPr>
          <w:i/>
        </w:rPr>
        <w:t>Site</w:t>
      </w:r>
      <w:r>
        <w:rPr>
          <w:i/>
          <w:spacing w:val="-10"/>
        </w:rPr>
        <w:t> </w:t>
      </w:r>
      <w:r>
        <w:rPr>
          <w:i/>
          <w:spacing w:val="-2"/>
        </w:rPr>
        <w:t>Review</w:t>
      </w:r>
    </w:p>
    <w:p>
      <w:pPr>
        <w:pStyle w:val="BodyText"/>
        <w:spacing w:before="12"/>
        <w:rPr>
          <w:i/>
          <w:sz w:val="25"/>
        </w:rPr>
      </w:pPr>
      <w:r>
        <w:rPr/>
        <mc:AlternateContent>
          <mc:Choice Requires="wps">
            <w:drawing>
              <wp:anchor distT="0" distB="0" distL="0" distR="0" allowOverlap="1" layoutInCell="1" locked="0" behindDoc="1" simplePos="0" relativeHeight="487622144">
                <wp:simplePos x="0" y="0"/>
                <wp:positionH relativeFrom="page">
                  <wp:posOffset>713231</wp:posOffset>
                </wp:positionH>
                <wp:positionV relativeFrom="paragraph">
                  <wp:posOffset>216706</wp:posOffset>
                </wp:positionV>
                <wp:extent cx="6346190" cy="74930"/>
                <wp:effectExtent l="0" t="0" r="0" b="0"/>
                <wp:wrapTopAndBottom/>
                <wp:docPr id="184" name="Group 184"/>
                <wp:cNvGraphicFramePr>
                  <a:graphicFrameLocks/>
                </wp:cNvGraphicFramePr>
                <a:graphic>
                  <a:graphicData uri="http://schemas.microsoft.com/office/word/2010/wordprocessingGroup">
                    <wpg:wgp>
                      <wpg:cNvPr id="184" name="Group 184"/>
                      <wpg:cNvGrpSpPr/>
                      <wpg:grpSpPr>
                        <a:xfrm>
                          <a:off x="0" y="0"/>
                          <a:ext cx="6346190" cy="74930"/>
                          <a:chExt cx="6346190" cy="74930"/>
                        </a:xfrm>
                      </wpg:grpSpPr>
                      <wps:wsp>
                        <wps:cNvPr id="185" name="Graphic 185"/>
                        <wps:cNvSpPr/>
                        <wps:spPr>
                          <a:xfrm>
                            <a:off x="0" y="56388"/>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C0C0C0"/>
                          </a:solidFill>
                        </wps:spPr>
                        <wps:bodyPr wrap="square" lIns="0" tIns="0" rIns="0" bIns="0" rtlCol="0">
                          <a:prstTxWarp prst="textNoShape">
                            <a:avLst/>
                          </a:prstTxWarp>
                          <a:noAutofit/>
                        </wps:bodyPr>
                      </wps:wsp>
                      <wps:wsp>
                        <wps:cNvPr id="186" name="Graphic 186"/>
                        <wps:cNvSpPr/>
                        <wps:spPr>
                          <a:xfrm>
                            <a:off x="0" y="18288"/>
                            <a:ext cx="6346190" cy="38100"/>
                          </a:xfrm>
                          <a:custGeom>
                            <a:avLst/>
                            <a:gdLst/>
                            <a:ahLst/>
                            <a:cxnLst/>
                            <a:rect l="l" t="t" r="r" b="b"/>
                            <a:pathLst>
                              <a:path w="6346190" h="38100">
                                <a:moveTo>
                                  <a:pt x="6345936" y="0"/>
                                </a:moveTo>
                                <a:lnTo>
                                  <a:pt x="0" y="0"/>
                                </a:lnTo>
                                <a:lnTo>
                                  <a:pt x="0" y="38100"/>
                                </a:lnTo>
                                <a:lnTo>
                                  <a:pt x="6345936" y="38100"/>
                                </a:lnTo>
                                <a:lnTo>
                                  <a:pt x="6345936" y="0"/>
                                </a:lnTo>
                                <a:close/>
                              </a:path>
                            </a:pathLst>
                          </a:custGeom>
                          <a:solidFill>
                            <a:srgbClr val="5F5F5F"/>
                          </a:solidFill>
                        </wps:spPr>
                        <wps:bodyPr wrap="square" lIns="0" tIns="0" rIns="0" bIns="0" rtlCol="0">
                          <a:prstTxWarp prst="textNoShape">
                            <a:avLst/>
                          </a:prstTxWarp>
                          <a:noAutofit/>
                        </wps:bodyPr>
                      </wps:wsp>
                      <wps:wsp>
                        <wps:cNvPr id="187" name="Graphic 187"/>
                        <wps:cNvSpPr/>
                        <wps:spPr>
                          <a:xfrm>
                            <a:off x="0" y="0"/>
                            <a:ext cx="6346190" cy="18415"/>
                          </a:xfrm>
                          <a:custGeom>
                            <a:avLst/>
                            <a:gdLst/>
                            <a:ahLst/>
                            <a:cxnLst/>
                            <a:rect l="l" t="t" r="r" b="b"/>
                            <a:pathLst>
                              <a:path w="6346190" h="18415">
                                <a:moveTo>
                                  <a:pt x="6345936" y="0"/>
                                </a:moveTo>
                                <a:lnTo>
                                  <a:pt x="0" y="0"/>
                                </a:lnTo>
                                <a:lnTo>
                                  <a:pt x="0" y="18288"/>
                                </a:lnTo>
                                <a:lnTo>
                                  <a:pt x="6345936" y="18288"/>
                                </a:lnTo>
                                <a:lnTo>
                                  <a:pt x="63459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56.16pt;margin-top:17.063477pt;width:499.7pt;height:5.9pt;mso-position-horizontal-relative:page;mso-position-vertical-relative:paragraph;z-index:-15694336;mso-wrap-distance-left:0;mso-wrap-distance-right:0" id="docshapegroup139" coordorigin="1123,341" coordsize="9994,118">
                <v:rect style="position:absolute;left:1123;top:430;width:9994;height:29" id="docshape140" filled="true" fillcolor="#c0c0c0" stroked="false">
                  <v:fill type="solid"/>
                </v:rect>
                <v:rect style="position:absolute;left:1123;top:370;width:9994;height:60" id="docshape141" filled="true" fillcolor="#5f5f5f" stroked="false">
                  <v:fill type="solid"/>
                </v:rect>
                <v:rect style="position:absolute;left:1123;top:341;width:9994;height:29" id="docshape142" filled="true" fillcolor="#000000" stroked="false">
                  <v:fill type="solid"/>
                </v:rect>
                <w10:wrap type="topAndBottom"/>
              </v:group>
            </w:pict>
          </mc:Fallback>
        </mc:AlternateContent>
      </w:r>
    </w:p>
    <w:p>
      <w:pPr>
        <w:pStyle w:val="BodyText"/>
        <w:spacing w:line="259" w:lineRule="auto" w:before="2"/>
        <w:ind w:left="1991" w:right="583"/>
      </w:pPr>
      <w:r>
        <w:rPr/>
        <w:t>be part of the community and access essential needs.</w:t>
      </w:r>
      <w:r>
        <w:rPr>
          <w:spacing w:val="40"/>
        </w:rPr>
        <w:t> </w:t>
      </w:r>
      <w:r>
        <w:rPr/>
        <w:t>WMTS Operations Director position</w:t>
      </w:r>
      <w:r>
        <w:rPr>
          <w:spacing w:val="-4"/>
        </w:rPr>
        <w:t> </w:t>
      </w:r>
      <w:r>
        <w:rPr/>
        <w:t>dedicates</w:t>
      </w:r>
      <w:r>
        <w:rPr>
          <w:spacing w:val="-5"/>
        </w:rPr>
        <w:t> </w:t>
      </w:r>
      <w:r>
        <w:rPr/>
        <w:t>20-25%</w:t>
      </w:r>
      <w:r>
        <w:rPr>
          <w:spacing w:val="-1"/>
        </w:rPr>
        <w:t> </w:t>
      </w:r>
      <w:r>
        <w:rPr/>
        <w:t>of</w:t>
      </w:r>
      <w:r>
        <w:rPr>
          <w:spacing w:val="-4"/>
        </w:rPr>
        <w:t> </w:t>
      </w:r>
      <w:r>
        <w:rPr/>
        <w:t>time</w:t>
      </w:r>
      <w:r>
        <w:rPr>
          <w:spacing w:val="-4"/>
        </w:rPr>
        <w:t> </w:t>
      </w:r>
      <w:r>
        <w:rPr/>
        <w:t>to</w:t>
      </w:r>
      <w:r>
        <w:rPr>
          <w:spacing w:val="-4"/>
        </w:rPr>
        <w:t> </w:t>
      </w:r>
      <w:r>
        <w:rPr/>
        <w:t>assisting</w:t>
      </w:r>
      <w:r>
        <w:rPr>
          <w:spacing w:val="-5"/>
        </w:rPr>
        <w:t> </w:t>
      </w:r>
      <w:r>
        <w:rPr/>
        <w:t>individuals</w:t>
      </w:r>
      <w:r>
        <w:rPr>
          <w:spacing w:val="-5"/>
        </w:rPr>
        <w:t> </w:t>
      </w:r>
      <w:r>
        <w:rPr/>
        <w:t>with</w:t>
      </w:r>
      <w:r>
        <w:rPr>
          <w:spacing w:val="-4"/>
        </w:rPr>
        <w:t> </w:t>
      </w:r>
      <w:r>
        <w:rPr/>
        <w:t>transit</w:t>
      </w:r>
      <w:r>
        <w:rPr>
          <w:spacing w:val="-1"/>
        </w:rPr>
        <w:t> </w:t>
      </w:r>
      <w:r>
        <w:rPr/>
        <w:t>related</w:t>
      </w:r>
      <w:r>
        <w:rPr>
          <w:spacing w:val="-1"/>
        </w:rPr>
        <w:t> </w:t>
      </w:r>
      <w:r>
        <w:rPr/>
        <w:t>mobility </w:t>
      </w:r>
      <w:r>
        <w:rPr>
          <w:spacing w:val="-2"/>
        </w:rPr>
        <w:t>issues.</w:t>
      </w:r>
    </w:p>
    <w:p>
      <w:pPr>
        <w:pStyle w:val="ListParagraph"/>
        <w:numPr>
          <w:ilvl w:val="1"/>
          <w:numId w:val="38"/>
        </w:numPr>
        <w:tabs>
          <w:tab w:pos="1991" w:val="left" w:leader="none"/>
        </w:tabs>
        <w:spacing w:line="259" w:lineRule="auto" w:before="0" w:after="0"/>
        <w:ind w:left="1991" w:right="1465" w:hanging="360"/>
        <w:jc w:val="left"/>
        <w:rPr>
          <w:sz w:val="24"/>
        </w:rPr>
      </w:pPr>
      <w:r>
        <w:rPr>
          <w:sz w:val="24"/>
        </w:rPr>
        <w:t>Can</w:t>
      </w:r>
      <w:r>
        <w:rPr>
          <w:spacing w:val="-1"/>
          <w:sz w:val="24"/>
        </w:rPr>
        <w:t> </w:t>
      </w:r>
      <w:r>
        <w:rPr>
          <w:sz w:val="24"/>
        </w:rPr>
        <w:t>you</w:t>
      </w:r>
      <w:r>
        <w:rPr>
          <w:spacing w:val="-4"/>
          <w:sz w:val="24"/>
        </w:rPr>
        <w:t> </w:t>
      </w:r>
      <w:r>
        <w:rPr>
          <w:sz w:val="24"/>
        </w:rPr>
        <w:t>ensure</w:t>
      </w:r>
      <w:r>
        <w:rPr>
          <w:spacing w:val="-4"/>
          <w:sz w:val="24"/>
        </w:rPr>
        <w:t> </w:t>
      </w:r>
      <w:r>
        <w:rPr>
          <w:sz w:val="24"/>
        </w:rPr>
        <w:t>that</w:t>
      </w:r>
      <w:r>
        <w:rPr>
          <w:spacing w:val="-1"/>
          <w:sz w:val="24"/>
        </w:rPr>
        <w:t> </w:t>
      </w:r>
      <w:r>
        <w:rPr>
          <w:sz w:val="24"/>
        </w:rPr>
        <w:t>incidental</w:t>
      </w:r>
      <w:r>
        <w:rPr>
          <w:spacing w:val="-5"/>
          <w:sz w:val="24"/>
        </w:rPr>
        <w:t> </w:t>
      </w:r>
      <w:r>
        <w:rPr>
          <w:sz w:val="24"/>
        </w:rPr>
        <w:t>use</w:t>
      </w:r>
      <w:r>
        <w:rPr>
          <w:spacing w:val="-2"/>
          <w:sz w:val="24"/>
        </w:rPr>
        <w:t> </w:t>
      </w:r>
      <w:r>
        <w:rPr>
          <w:sz w:val="24"/>
        </w:rPr>
        <w:t>of</w:t>
      </w:r>
      <w:r>
        <w:rPr>
          <w:spacing w:val="-4"/>
          <w:sz w:val="24"/>
        </w:rPr>
        <w:t> </w:t>
      </w:r>
      <w:r>
        <w:rPr>
          <w:sz w:val="24"/>
        </w:rPr>
        <w:t>5310</w:t>
      </w:r>
      <w:r>
        <w:rPr>
          <w:spacing w:val="-2"/>
          <w:sz w:val="24"/>
        </w:rPr>
        <w:t> </w:t>
      </w:r>
      <w:r>
        <w:rPr>
          <w:sz w:val="24"/>
        </w:rPr>
        <w:t>funded</w:t>
      </w:r>
      <w:r>
        <w:rPr>
          <w:spacing w:val="-2"/>
          <w:sz w:val="24"/>
        </w:rPr>
        <w:t> </w:t>
      </w:r>
      <w:r>
        <w:rPr>
          <w:sz w:val="24"/>
        </w:rPr>
        <w:t>vehicles</w:t>
      </w:r>
      <w:r>
        <w:rPr>
          <w:spacing w:val="-5"/>
          <w:sz w:val="24"/>
        </w:rPr>
        <w:t> </w:t>
      </w:r>
      <w:r>
        <w:rPr>
          <w:sz w:val="24"/>
        </w:rPr>
        <w:t>does</w:t>
      </w:r>
      <w:r>
        <w:rPr>
          <w:spacing w:val="-3"/>
          <w:sz w:val="24"/>
        </w:rPr>
        <w:t> </w:t>
      </w:r>
      <w:r>
        <w:rPr>
          <w:sz w:val="24"/>
        </w:rPr>
        <w:t>not</w:t>
      </w:r>
      <w:r>
        <w:rPr>
          <w:spacing w:val="-4"/>
          <w:sz w:val="24"/>
        </w:rPr>
        <w:t> </w:t>
      </w:r>
      <w:r>
        <w:rPr>
          <w:sz w:val="24"/>
        </w:rPr>
        <w:t>result</w:t>
      </w:r>
      <w:r>
        <w:rPr>
          <w:spacing w:val="-1"/>
          <w:sz w:val="24"/>
        </w:rPr>
        <w:t> </w:t>
      </w:r>
      <w:r>
        <w:rPr>
          <w:sz w:val="24"/>
        </w:rPr>
        <w:t>in</w:t>
      </w:r>
      <w:r>
        <w:rPr>
          <w:spacing w:val="-4"/>
          <w:sz w:val="24"/>
        </w:rPr>
        <w:t> </w:t>
      </w:r>
      <w:r>
        <w:rPr>
          <w:sz w:val="24"/>
        </w:rPr>
        <w:t>a reduction of service to the general public?</w:t>
      </w:r>
      <w:r>
        <w:rPr>
          <w:spacing w:val="40"/>
          <w:sz w:val="24"/>
        </w:rPr>
        <w:t> </w:t>
      </w:r>
      <w:r>
        <w:rPr>
          <w:sz w:val="24"/>
        </w:rPr>
        <w:t>Discuss</w:t>
      </w:r>
      <w:r>
        <w:rPr>
          <w:color w:val="0000CC"/>
          <w:sz w:val="24"/>
        </w:rPr>
        <w:t>.</w:t>
      </w:r>
      <w:r>
        <w:rPr>
          <w:color w:val="0000CC"/>
          <w:spacing w:val="40"/>
          <w:sz w:val="24"/>
        </w:rPr>
        <w:t> </w:t>
      </w:r>
      <w:r>
        <w:rPr>
          <w:sz w:val="24"/>
        </w:rPr>
        <w:t>Yes</w:t>
      </w:r>
    </w:p>
    <w:p>
      <w:pPr>
        <w:pStyle w:val="BodyText"/>
        <w:spacing w:before="1"/>
        <w:rPr>
          <w:sz w:val="26"/>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rPr>
        <w:t>Section</w:t>
      </w:r>
      <w:r>
        <w:rPr>
          <w:color w:val="2D74B5"/>
          <w:spacing w:val="-4"/>
        </w:rPr>
        <w:t> </w:t>
      </w:r>
      <w:r>
        <w:rPr>
          <w:color w:val="2D74B5"/>
        </w:rPr>
        <w:t>5311</w:t>
      </w:r>
      <w:r>
        <w:rPr>
          <w:color w:val="2D74B5"/>
          <w:spacing w:val="-4"/>
        </w:rPr>
        <w:t> </w:t>
      </w:r>
      <w:r>
        <w:rPr>
          <w:color w:val="2D74B5"/>
        </w:rPr>
        <w:t>(Rural</w:t>
      </w:r>
      <w:r>
        <w:rPr>
          <w:color w:val="2D74B5"/>
          <w:spacing w:val="-3"/>
        </w:rPr>
        <w:t> </w:t>
      </w:r>
      <w:r>
        <w:rPr>
          <w:color w:val="2D74B5"/>
          <w:spacing w:val="-2"/>
        </w:rPr>
        <w:t>services)</w:t>
      </w:r>
    </w:p>
    <w:p>
      <w:pPr>
        <w:pStyle w:val="ListParagraph"/>
        <w:numPr>
          <w:ilvl w:val="1"/>
          <w:numId w:val="38"/>
        </w:numPr>
        <w:tabs>
          <w:tab w:pos="1991" w:val="left" w:leader="none"/>
        </w:tabs>
        <w:spacing w:line="259" w:lineRule="auto" w:before="23" w:after="0"/>
        <w:ind w:left="1991" w:right="947" w:hanging="360"/>
        <w:jc w:val="left"/>
        <w:rPr>
          <w:sz w:val="24"/>
        </w:rPr>
      </w:pPr>
      <w:r>
        <w:rPr>
          <w:sz w:val="24"/>
        </w:rPr>
        <w:t>Explain your routes and how they serve rural areas. WMTS operates D/R routes throughout Androscoggin, Oxford, and FranklinCounties, we coordinate with commuter</w:t>
      </w:r>
      <w:r>
        <w:rPr>
          <w:spacing w:val="-2"/>
          <w:sz w:val="24"/>
        </w:rPr>
        <w:t> </w:t>
      </w:r>
      <w:r>
        <w:rPr>
          <w:sz w:val="24"/>
        </w:rPr>
        <w:t>routes</w:t>
      </w:r>
      <w:r>
        <w:rPr>
          <w:spacing w:val="-3"/>
          <w:sz w:val="24"/>
        </w:rPr>
        <w:t> </w:t>
      </w:r>
      <w:r>
        <w:rPr>
          <w:sz w:val="24"/>
        </w:rPr>
        <w:t>as</w:t>
      </w:r>
      <w:r>
        <w:rPr>
          <w:spacing w:val="-3"/>
          <w:sz w:val="24"/>
        </w:rPr>
        <w:t> </w:t>
      </w:r>
      <w:r>
        <w:rPr>
          <w:sz w:val="24"/>
        </w:rPr>
        <w:t>often</w:t>
      </w:r>
      <w:r>
        <w:rPr>
          <w:spacing w:val="-1"/>
          <w:sz w:val="24"/>
        </w:rPr>
        <w:t> </w:t>
      </w:r>
      <w:r>
        <w:rPr>
          <w:sz w:val="24"/>
        </w:rPr>
        <w:t>as</w:t>
      </w:r>
      <w:r>
        <w:rPr>
          <w:spacing w:val="-4"/>
          <w:sz w:val="24"/>
        </w:rPr>
        <w:t> </w:t>
      </w:r>
      <w:r>
        <w:rPr>
          <w:sz w:val="24"/>
        </w:rPr>
        <w:t>possible</w:t>
      </w:r>
      <w:r>
        <w:rPr>
          <w:spacing w:val="-2"/>
          <w:sz w:val="24"/>
        </w:rPr>
        <w:t> </w:t>
      </w:r>
      <w:r>
        <w:rPr>
          <w:sz w:val="24"/>
        </w:rPr>
        <w:t>to</w:t>
      </w:r>
      <w:r>
        <w:rPr>
          <w:spacing w:val="-2"/>
          <w:sz w:val="24"/>
        </w:rPr>
        <w:t> </w:t>
      </w:r>
      <w:r>
        <w:rPr>
          <w:sz w:val="24"/>
        </w:rPr>
        <w:t>allow</w:t>
      </w:r>
      <w:r>
        <w:rPr>
          <w:spacing w:val="-4"/>
          <w:sz w:val="24"/>
        </w:rPr>
        <w:t> </w:t>
      </w:r>
      <w:r>
        <w:rPr>
          <w:sz w:val="24"/>
        </w:rPr>
        <w:t>people</w:t>
      </w:r>
      <w:r>
        <w:rPr>
          <w:spacing w:val="-4"/>
          <w:sz w:val="24"/>
        </w:rPr>
        <w:t> </w:t>
      </w:r>
      <w:r>
        <w:rPr>
          <w:sz w:val="24"/>
        </w:rPr>
        <w:t>to</w:t>
      </w:r>
      <w:r>
        <w:rPr>
          <w:spacing w:val="-4"/>
          <w:sz w:val="24"/>
        </w:rPr>
        <w:t> </w:t>
      </w:r>
      <w:r>
        <w:rPr>
          <w:sz w:val="24"/>
        </w:rPr>
        <w:t>get</w:t>
      </w:r>
      <w:r>
        <w:rPr>
          <w:spacing w:val="-4"/>
          <w:sz w:val="24"/>
        </w:rPr>
        <w:t> </w:t>
      </w:r>
      <w:r>
        <w:rPr>
          <w:sz w:val="24"/>
        </w:rPr>
        <w:t>to</w:t>
      </w:r>
      <w:r>
        <w:rPr>
          <w:spacing w:val="-4"/>
          <w:sz w:val="24"/>
        </w:rPr>
        <w:t> </w:t>
      </w:r>
      <w:r>
        <w:rPr>
          <w:sz w:val="24"/>
        </w:rPr>
        <w:t>more</w:t>
      </w:r>
      <w:r>
        <w:rPr>
          <w:spacing w:val="-2"/>
          <w:sz w:val="24"/>
        </w:rPr>
        <w:t> </w:t>
      </w:r>
      <w:r>
        <w:rPr>
          <w:sz w:val="24"/>
        </w:rPr>
        <w:t>urban</w:t>
      </w:r>
      <w:r>
        <w:rPr>
          <w:spacing w:val="-1"/>
          <w:sz w:val="24"/>
        </w:rPr>
        <w:t> </w:t>
      </w:r>
      <w:r>
        <w:rPr>
          <w:sz w:val="24"/>
        </w:rPr>
        <w:t>areas</w:t>
      </w:r>
      <w:r>
        <w:rPr>
          <w:spacing w:val="-4"/>
          <w:sz w:val="24"/>
        </w:rPr>
        <w:t> </w:t>
      </w:r>
      <w:r>
        <w:rPr>
          <w:sz w:val="24"/>
        </w:rPr>
        <w:t>by way of the GreenLine, the GreenLine Connection, the BlueLine and the Lisbon Connection.</w:t>
      </w:r>
      <w:r>
        <w:rPr>
          <w:spacing w:val="40"/>
          <w:sz w:val="24"/>
        </w:rPr>
        <w:t> </w:t>
      </w:r>
      <w:r>
        <w:rPr>
          <w:sz w:val="24"/>
        </w:rPr>
        <w:t>This allows connecting with citylink, Brunswick Link, Bath City Bus, Concoard Coach, Greyhound, the Breez, and the Downeaster. WMTS tracks unmet needs and works to find solutions to anyone we are unable to serve.</w:t>
      </w:r>
    </w:p>
    <w:p>
      <w:pPr>
        <w:pStyle w:val="ListParagraph"/>
        <w:numPr>
          <w:ilvl w:val="1"/>
          <w:numId w:val="38"/>
        </w:numPr>
        <w:tabs>
          <w:tab w:pos="1991" w:val="left" w:leader="none"/>
        </w:tabs>
        <w:spacing w:line="259" w:lineRule="auto" w:before="0" w:after="0"/>
        <w:ind w:left="1991" w:right="1569" w:hanging="360"/>
        <w:jc w:val="left"/>
        <w:rPr>
          <w:sz w:val="24"/>
        </w:rPr>
      </w:pPr>
      <w:r>
        <w:rPr>
          <w:sz w:val="24"/>
        </w:rPr>
        <w:t>Explain</w:t>
      </w:r>
      <w:r>
        <w:rPr>
          <w:spacing w:val="-5"/>
          <w:sz w:val="24"/>
        </w:rPr>
        <w:t> </w:t>
      </w:r>
      <w:r>
        <w:rPr>
          <w:sz w:val="24"/>
        </w:rPr>
        <w:t>how</w:t>
      </w:r>
      <w:r>
        <w:rPr>
          <w:spacing w:val="-2"/>
          <w:sz w:val="24"/>
        </w:rPr>
        <w:t> </w:t>
      </w:r>
      <w:r>
        <w:rPr>
          <w:sz w:val="24"/>
        </w:rPr>
        <w:t>your</w:t>
      </w:r>
      <w:r>
        <w:rPr>
          <w:spacing w:val="-3"/>
          <w:sz w:val="24"/>
        </w:rPr>
        <w:t> </w:t>
      </w:r>
      <w:r>
        <w:rPr>
          <w:sz w:val="24"/>
        </w:rPr>
        <w:t>service</w:t>
      </w:r>
      <w:r>
        <w:rPr>
          <w:spacing w:val="-5"/>
          <w:sz w:val="24"/>
        </w:rPr>
        <w:t> </w:t>
      </w:r>
      <w:r>
        <w:rPr>
          <w:sz w:val="24"/>
        </w:rPr>
        <w:t>connects</w:t>
      </w:r>
      <w:r>
        <w:rPr>
          <w:spacing w:val="-6"/>
          <w:sz w:val="24"/>
        </w:rPr>
        <w:t> </w:t>
      </w:r>
      <w:r>
        <w:rPr>
          <w:sz w:val="24"/>
        </w:rPr>
        <w:t>to</w:t>
      </w:r>
      <w:r>
        <w:rPr>
          <w:spacing w:val="-3"/>
          <w:sz w:val="24"/>
        </w:rPr>
        <w:t> </w:t>
      </w:r>
      <w:r>
        <w:rPr>
          <w:sz w:val="24"/>
        </w:rPr>
        <w:t>other</w:t>
      </w:r>
      <w:r>
        <w:rPr>
          <w:spacing w:val="-6"/>
          <w:sz w:val="24"/>
        </w:rPr>
        <w:t> </w:t>
      </w:r>
      <w:r>
        <w:rPr>
          <w:sz w:val="24"/>
        </w:rPr>
        <w:t>transit</w:t>
      </w:r>
      <w:r>
        <w:rPr>
          <w:spacing w:val="-2"/>
          <w:sz w:val="24"/>
        </w:rPr>
        <w:t> </w:t>
      </w:r>
      <w:r>
        <w:rPr>
          <w:sz w:val="24"/>
        </w:rPr>
        <w:t>services,</w:t>
      </w:r>
      <w:r>
        <w:rPr>
          <w:spacing w:val="-3"/>
          <w:sz w:val="24"/>
        </w:rPr>
        <w:t> </w:t>
      </w:r>
      <w:r>
        <w:rPr>
          <w:sz w:val="24"/>
        </w:rPr>
        <w:t>including</w:t>
      </w:r>
      <w:r>
        <w:rPr>
          <w:spacing w:val="-4"/>
          <w:sz w:val="24"/>
        </w:rPr>
        <w:t> </w:t>
      </w:r>
      <w:r>
        <w:rPr>
          <w:sz w:val="24"/>
        </w:rPr>
        <w:t>intercity providers:</w:t>
      </w:r>
      <w:r>
        <w:rPr>
          <w:spacing w:val="40"/>
          <w:sz w:val="24"/>
        </w:rPr>
        <w:t> </w:t>
      </w:r>
      <w:r>
        <w:rPr>
          <w:sz w:val="24"/>
        </w:rPr>
        <w:t>See answer to a. above</w:t>
      </w:r>
    </w:p>
    <w:p>
      <w:pPr>
        <w:pStyle w:val="ListParagraph"/>
        <w:numPr>
          <w:ilvl w:val="1"/>
          <w:numId w:val="38"/>
        </w:numPr>
        <w:tabs>
          <w:tab w:pos="1990" w:val="left" w:leader="none"/>
        </w:tabs>
        <w:spacing w:line="240" w:lineRule="auto" w:before="0" w:after="0"/>
        <w:ind w:left="1990" w:right="0" w:hanging="359"/>
        <w:jc w:val="left"/>
        <w:rPr>
          <w:sz w:val="24"/>
        </w:rPr>
      </w:pPr>
      <w:r>
        <w:rPr>
          <w:sz w:val="24"/>
        </w:rPr>
        <w:t>How do</w:t>
      </w:r>
      <w:r>
        <w:rPr>
          <w:spacing w:val="-1"/>
          <w:sz w:val="24"/>
        </w:rPr>
        <w:t> </w:t>
      </w:r>
      <w:r>
        <w:rPr>
          <w:sz w:val="24"/>
        </w:rPr>
        <w:t>you</w:t>
      </w:r>
      <w:r>
        <w:rPr>
          <w:spacing w:val="-3"/>
          <w:sz w:val="24"/>
        </w:rPr>
        <w:t> </w:t>
      </w:r>
      <w:r>
        <w:rPr>
          <w:sz w:val="24"/>
        </w:rPr>
        <w:t>promote</w:t>
      </w:r>
      <w:r>
        <w:rPr>
          <w:spacing w:val="-1"/>
          <w:sz w:val="24"/>
        </w:rPr>
        <w:t> </w:t>
      </w:r>
      <w:r>
        <w:rPr>
          <w:sz w:val="24"/>
        </w:rPr>
        <w:t>your</w:t>
      </w:r>
      <w:r>
        <w:rPr>
          <w:spacing w:val="-1"/>
          <w:sz w:val="24"/>
        </w:rPr>
        <w:t> </w:t>
      </w:r>
      <w:r>
        <w:rPr>
          <w:sz w:val="24"/>
        </w:rPr>
        <w:t>services</w:t>
      </w:r>
      <w:r>
        <w:rPr>
          <w:spacing w:val="-4"/>
          <w:sz w:val="24"/>
        </w:rPr>
        <w:t> </w:t>
      </w:r>
      <w:r>
        <w:rPr>
          <w:sz w:val="24"/>
        </w:rPr>
        <w:t>to</w:t>
      </w:r>
      <w:r>
        <w:rPr>
          <w:spacing w:val="-2"/>
          <w:sz w:val="24"/>
        </w:rPr>
        <w:t> </w:t>
      </w:r>
      <w:r>
        <w:rPr>
          <w:sz w:val="24"/>
        </w:rPr>
        <w:t>the</w:t>
      </w:r>
      <w:r>
        <w:rPr>
          <w:spacing w:val="-1"/>
          <w:sz w:val="24"/>
        </w:rPr>
        <w:t> </w:t>
      </w:r>
      <w:r>
        <w:rPr>
          <w:sz w:val="24"/>
        </w:rPr>
        <w:t>general</w:t>
      </w:r>
      <w:r>
        <w:rPr>
          <w:spacing w:val="-1"/>
          <w:sz w:val="24"/>
        </w:rPr>
        <w:t> </w:t>
      </w:r>
      <w:r>
        <w:rPr>
          <w:sz w:val="24"/>
        </w:rPr>
        <w:t>public?</w:t>
      </w:r>
      <w:r>
        <w:rPr>
          <w:spacing w:val="51"/>
          <w:sz w:val="24"/>
        </w:rPr>
        <w:t> </w:t>
      </w:r>
      <w:r>
        <w:rPr>
          <w:color w:val="808080"/>
          <w:sz w:val="22"/>
        </w:rPr>
        <w:t>Click</w:t>
      </w:r>
      <w:r>
        <w:rPr>
          <w:color w:val="808080"/>
          <w:spacing w:val="-4"/>
          <w:sz w:val="22"/>
        </w:rPr>
        <w:t> </w:t>
      </w:r>
      <w:r>
        <w:rPr>
          <w:color w:val="808080"/>
          <w:sz w:val="22"/>
        </w:rPr>
        <w:t>or</w:t>
      </w:r>
      <w:r>
        <w:rPr>
          <w:color w:val="808080"/>
          <w:spacing w:val="-2"/>
          <w:sz w:val="22"/>
        </w:rPr>
        <w:t> </w:t>
      </w:r>
      <w:r>
        <w:rPr>
          <w:color w:val="808080"/>
          <w:sz w:val="22"/>
        </w:rPr>
        <w:t>tap</w:t>
      </w:r>
      <w:r>
        <w:rPr>
          <w:color w:val="808080"/>
          <w:spacing w:val="-2"/>
          <w:sz w:val="22"/>
        </w:rPr>
        <w:t> </w:t>
      </w:r>
      <w:r>
        <w:rPr>
          <w:color w:val="808080"/>
          <w:sz w:val="22"/>
        </w:rPr>
        <w:t>here</w:t>
      </w:r>
      <w:r>
        <w:rPr>
          <w:color w:val="808080"/>
          <w:spacing w:val="-4"/>
          <w:sz w:val="22"/>
        </w:rPr>
        <w:t> </w:t>
      </w:r>
      <w:r>
        <w:rPr>
          <w:color w:val="808080"/>
          <w:sz w:val="22"/>
        </w:rPr>
        <w:t>to</w:t>
      </w:r>
      <w:r>
        <w:rPr>
          <w:color w:val="808080"/>
          <w:spacing w:val="-3"/>
          <w:sz w:val="22"/>
        </w:rPr>
        <w:t> </w:t>
      </w:r>
      <w:r>
        <w:rPr>
          <w:color w:val="808080"/>
          <w:sz w:val="22"/>
        </w:rPr>
        <w:t>enter</w:t>
      </w:r>
      <w:r>
        <w:rPr>
          <w:color w:val="808080"/>
          <w:spacing w:val="-3"/>
          <w:sz w:val="22"/>
        </w:rPr>
        <w:t> </w:t>
      </w:r>
      <w:r>
        <w:rPr>
          <w:color w:val="808080"/>
          <w:spacing w:val="-2"/>
          <w:sz w:val="22"/>
        </w:rPr>
        <w:t>text.</w:t>
      </w:r>
    </w:p>
    <w:p>
      <w:pPr>
        <w:pStyle w:val="ListParagraph"/>
        <w:numPr>
          <w:ilvl w:val="1"/>
          <w:numId w:val="38"/>
        </w:numPr>
        <w:tabs>
          <w:tab w:pos="1991" w:val="left" w:leader="none"/>
        </w:tabs>
        <w:spacing w:line="240" w:lineRule="auto" w:before="23" w:after="0"/>
        <w:ind w:left="1991" w:right="0" w:hanging="359"/>
        <w:jc w:val="left"/>
        <w:rPr>
          <w:sz w:val="24"/>
        </w:rPr>
      </w:pPr>
      <w:r>
        <w:rPr>
          <w:sz w:val="24"/>
        </w:rPr>
        <w:t>Do</w:t>
      </w:r>
      <w:r>
        <w:rPr>
          <w:spacing w:val="-3"/>
          <w:sz w:val="24"/>
        </w:rPr>
        <w:t> </w:t>
      </w:r>
      <w:r>
        <w:rPr>
          <w:sz w:val="24"/>
        </w:rPr>
        <w:t>you deliver</w:t>
      </w:r>
      <w:r>
        <w:rPr>
          <w:spacing w:val="-1"/>
          <w:sz w:val="24"/>
        </w:rPr>
        <w:t> </w:t>
      </w:r>
      <w:r>
        <w:rPr>
          <w:sz w:val="24"/>
        </w:rPr>
        <w:t>meals?</w:t>
      </w:r>
      <w:r>
        <w:rPr>
          <w:spacing w:val="49"/>
          <w:sz w:val="24"/>
        </w:rPr>
        <w:t> </w:t>
      </w:r>
      <w:r>
        <w:rPr>
          <w:spacing w:val="-5"/>
          <w:sz w:val="24"/>
        </w:rPr>
        <w:t>No</w:t>
      </w:r>
    </w:p>
    <w:p>
      <w:pPr>
        <w:pStyle w:val="ListParagraph"/>
        <w:numPr>
          <w:ilvl w:val="2"/>
          <w:numId w:val="38"/>
        </w:numPr>
        <w:tabs>
          <w:tab w:pos="2172" w:val="left" w:leader="none"/>
        </w:tabs>
        <w:spacing w:line="259" w:lineRule="auto" w:before="21" w:after="0"/>
        <w:ind w:left="2172" w:right="1402" w:hanging="180"/>
        <w:jc w:val="left"/>
        <w:rPr>
          <w:sz w:val="22"/>
        </w:rPr>
      </w:pPr>
      <w:r>
        <w:rPr>
          <w:sz w:val="24"/>
        </w:rPr>
        <w:t>If</w:t>
      </w:r>
      <w:r>
        <w:rPr>
          <w:spacing w:val="-1"/>
          <w:sz w:val="24"/>
        </w:rPr>
        <w:t> </w:t>
      </w:r>
      <w:r>
        <w:rPr>
          <w:sz w:val="24"/>
        </w:rPr>
        <w:t>yes,</w:t>
      </w:r>
      <w:r>
        <w:rPr>
          <w:spacing w:val="-2"/>
          <w:sz w:val="24"/>
        </w:rPr>
        <w:t> </w:t>
      </w:r>
      <w:r>
        <w:rPr>
          <w:sz w:val="24"/>
        </w:rPr>
        <w:t>describe</w:t>
      </w:r>
      <w:r>
        <w:rPr>
          <w:spacing w:val="-4"/>
          <w:sz w:val="24"/>
        </w:rPr>
        <w:t> </w:t>
      </w:r>
      <w:r>
        <w:rPr>
          <w:sz w:val="24"/>
        </w:rPr>
        <w:t>how</w:t>
      </w:r>
      <w:r>
        <w:rPr>
          <w:spacing w:val="-1"/>
          <w:sz w:val="24"/>
        </w:rPr>
        <w:t> </w:t>
      </w:r>
      <w:r>
        <w:rPr>
          <w:sz w:val="24"/>
        </w:rPr>
        <w:t>meal</w:t>
      </w:r>
      <w:r>
        <w:rPr>
          <w:spacing w:val="-2"/>
          <w:sz w:val="24"/>
        </w:rPr>
        <w:t> </w:t>
      </w:r>
      <w:r>
        <w:rPr>
          <w:sz w:val="24"/>
        </w:rPr>
        <w:t>deliver</w:t>
      </w:r>
      <w:r>
        <w:rPr>
          <w:spacing w:val="-5"/>
          <w:sz w:val="24"/>
        </w:rPr>
        <w:t> </w:t>
      </w:r>
      <w:r>
        <w:rPr>
          <w:sz w:val="24"/>
        </w:rPr>
        <w:t>does</w:t>
      </w:r>
      <w:r>
        <w:rPr>
          <w:spacing w:val="-5"/>
          <w:sz w:val="24"/>
        </w:rPr>
        <w:t> </w:t>
      </w:r>
      <w:r>
        <w:rPr>
          <w:sz w:val="24"/>
        </w:rPr>
        <w:t>not</w:t>
      </w:r>
      <w:r>
        <w:rPr>
          <w:spacing w:val="-4"/>
          <w:sz w:val="24"/>
        </w:rPr>
        <w:t> </w:t>
      </w:r>
      <w:r>
        <w:rPr>
          <w:sz w:val="24"/>
        </w:rPr>
        <w:t>affect</w:t>
      </w:r>
      <w:r>
        <w:rPr>
          <w:spacing w:val="-4"/>
          <w:sz w:val="24"/>
        </w:rPr>
        <w:t> </w:t>
      </w:r>
      <w:r>
        <w:rPr>
          <w:sz w:val="24"/>
        </w:rPr>
        <w:t>transportation</w:t>
      </w:r>
      <w:r>
        <w:rPr>
          <w:spacing w:val="-4"/>
          <w:sz w:val="24"/>
        </w:rPr>
        <w:t> </w:t>
      </w:r>
      <w:r>
        <w:rPr>
          <w:sz w:val="24"/>
        </w:rPr>
        <w:t>service</w:t>
      </w:r>
      <w:r>
        <w:rPr>
          <w:spacing w:val="-4"/>
          <w:sz w:val="24"/>
        </w:rPr>
        <w:t> </w:t>
      </w:r>
      <w:r>
        <w:rPr>
          <w:sz w:val="24"/>
        </w:rPr>
        <w:t>to</w:t>
      </w:r>
      <w:r>
        <w:rPr>
          <w:spacing w:val="-4"/>
          <w:sz w:val="24"/>
        </w:rPr>
        <w:t> </w:t>
      </w:r>
      <w:r>
        <w:rPr>
          <w:sz w:val="24"/>
        </w:rPr>
        <w:t>the general public.</w:t>
      </w:r>
      <w:r>
        <w:rPr>
          <w:spacing w:val="40"/>
          <w:sz w:val="24"/>
        </w:rPr>
        <w:t> </w:t>
      </w:r>
      <w:r>
        <w:rPr>
          <w:color w:val="808080"/>
          <w:sz w:val="22"/>
        </w:rPr>
        <w:t>Click or tap here to enter text.</w:t>
      </w:r>
    </w:p>
    <w:p>
      <w:pPr>
        <w:pStyle w:val="ListParagraph"/>
        <w:numPr>
          <w:ilvl w:val="2"/>
          <w:numId w:val="38"/>
        </w:numPr>
        <w:tabs>
          <w:tab w:pos="2172" w:val="left" w:leader="none"/>
        </w:tabs>
        <w:spacing w:line="259" w:lineRule="auto" w:before="1" w:after="0"/>
        <w:ind w:left="2172" w:right="942" w:hanging="180"/>
        <w:jc w:val="left"/>
        <w:rPr>
          <w:sz w:val="22"/>
        </w:rPr>
      </w:pPr>
      <w:r>
        <w:rPr>
          <w:sz w:val="24"/>
        </w:rPr>
        <w:t>Confirm</w:t>
      </w:r>
      <w:r>
        <w:rPr>
          <w:spacing w:val="-5"/>
          <w:sz w:val="24"/>
        </w:rPr>
        <w:t> </w:t>
      </w:r>
      <w:r>
        <w:rPr>
          <w:sz w:val="24"/>
        </w:rPr>
        <w:t>that</w:t>
      </w:r>
      <w:r>
        <w:rPr>
          <w:spacing w:val="-4"/>
          <w:sz w:val="24"/>
        </w:rPr>
        <w:t> </w:t>
      </w:r>
      <w:r>
        <w:rPr>
          <w:sz w:val="24"/>
        </w:rPr>
        <w:t>the</w:t>
      </w:r>
      <w:r>
        <w:rPr>
          <w:spacing w:val="-2"/>
          <w:sz w:val="24"/>
        </w:rPr>
        <w:t> </w:t>
      </w:r>
      <w:r>
        <w:rPr>
          <w:sz w:val="24"/>
        </w:rPr>
        <w:t>meal</w:t>
      </w:r>
      <w:r>
        <w:rPr>
          <w:spacing w:val="-2"/>
          <w:sz w:val="24"/>
        </w:rPr>
        <w:t> </w:t>
      </w:r>
      <w:r>
        <w:rPr>
          <w:sz w:val="24"/>
        </w:rPr>
        <w:t>delivery</w:t>
      </w:r>
      <w:r>
        <w:rPr>
          <w:spacing w:val="-3"/>
          <w:sz w:val="24"/>
        </w:rPr>
        <w:t> </w:t>
      </w:r>
      <w:r>
        <w:rPr>
          <w:sz w:val="24"/>
        </w:rPr>
        <w:t>program</w:t>
      </w:r>
      <w:r>
        <w:rPr>
          <w:spacing w:val="-2"/>
          <w:sz w:val="24"/>
        </w:rPr>
        <w:t> </w:t>
      </w:r>
      <w:r>
        <w:rPr>
          <w:sz w:val="24"/>
        </w:rPr>
        <w:t>covers</w:t>
      </w:r>
      <w:r>
        <w:rPr>
          <w:spacing w:val="-5"/>
          <w:sz w:val="24"/>
        </w:rPr>
        <w:t> </w:t>
      </w:r>
      <w:r>
        <w:rPr>
          <w:sz w:val="24"/>
        </w:rPr>
        <w:t>the</w:t>
      </w:r>
      <w:r>
        <w:rPr>
          <w:spacing w:val="-2"/>
          <w:sz w:val="24"/>
        </w:rPr>
        <w:t> </w:t>
      </w:r>
      <w:r>
        <w:rPr>
          <w:sz w:val="24"/>
        </w:rPr>
        <w:t>cost</w:t>
      </w:r>
      <w:r>
        <w:rPr>
          <w:spacing w:val="-4"/>
          <w:sz w:val="24"/>
        </w:rPr>
        <w:t> </w:t>
      </w:r>
      <w:r>
        <w:rPr>
          <w:sz w:val="24"/>
        </w:rPr>
        <w:t>of</w:t>
      </w:r>
      <w:r>
        <w:rPr>
          <w:spacing w:val="-4"/>
          <w:sz w:val="24"/>
        </w:rPr>
        <w:t> </w:t>
      </w:r>
      <w:r>
        <w:rPr>
          <w:sz w:val="24"/>
        </w:rPr>
        <w:t>the</w:t>
      </w:r>
      <w:r>
        <w:rPr>
          <w:spacing w:val="-2"/>
          <w:sz w:val="24"/>
        </w:rPr>
        <w:t> </w:t>
      </w:r>
      <w:r>
        <w:rPr>
          <w:sz w:val="24"/>
        </w:rPr>
        <w:t>added</w:t>
      </w:r>
      <w:r>
        <w:rPr>
          <w:spacing w:val="-4"/>
          <w:sz w:val="24"/>
        </w:rPr>
        <w:t> </w:t>
      </w:r>
      <w:r>
        <w:rPr>
          <w:sz w:val="24"/>
        </w:rPr>
        <w:t>trip</w:t>
      </w:r>
      <w:r>
        <w:rPr>
          <w:spacing w:val="-6"/>
          <w:sz w:val="24"/>
        </w:rPr>
        <w:t> </w:t>
      </w:r>
      <w:r>
        <w:rPr>
          <w:sz w:val="24"/>
        </w:rPr>
        <w:t>purpose. Discuss.</w:t>
      </w:r>
      <w:r>
        <w:rPr>
          <w:spacing w:val="40"/>
          <w:sz w:val="24"/>
        </w:rPr>
        <w:t> </w:t>
      </w:r>
      <w:r>
        <w:rPr>
          <w:color w:val="808080"/>
          <w:sz w:val="22"/>
        </w:rPr>
        <w:t>Click or tap here to enter text.</w:t>
      </w:r>
    </w:p>
    <w:p>
      <w:pPr>
        <w:pStyle w:val="BodyText"/>
      </w:pPr>
    </w:p>
    <w:p>
      <w:pPr>
        <w:pStyle w:val="BodyText"/>
        <w:rPr>
          <w:sz w:val="28"/>
        </w:rPr>
      </w:pPr>
    </w:p>
    <w:p>
      <w:pPr>
        <w:pStyle w:val="Heading5"/>
        <w:numPr>
          <w:ilvl w:val="0"/>
          <w:numId w:val="38"/>
        </w:numPr>
        <w:tabs>
          <w:tab w:pos="1457" w:val="left" w:leader="none"/>
        </w:tabs>
        <w:spacing w:line="240" w:lineRule="auto" w:before="0" w:after="0"/>
        <w:ind w:left="1457" w:right="0" w:hanging="546"/>
        <w:jc w:val="left"/>
        <w:rPr>
          <w:color w:val="2D74B5"/>
        </w:rPr>
      </w:pPr>
      <w:r>
        <w:rPr>
          <w:color w:val="2D74B5"/>
          <w:spacing w:val="-2"/>
        </w:rPr>
        <w:t>Other</w:t>
      </w:r>
    </w:p>
    <w:p>
      <w:pPr>
        <w:pStyle w:val="ListParagraph"/>
        <w:numPr>
          <w:ilvl w:val="1"/>
          <w:numId w:val="38"/>
        </w:numPr>
        <w:tabs>
          <w:tab w:pos="1991" w:val="left" w:leader="none"/>
        </w:tabs>
        <w:spacing w:line="240" w:lineRule="auto" w:before="22" w:after="0"/>
        <w:ind w:left="1991" w:right="0" w:hanging="359"/>
        <w:jc w:val="left"/>
        <w:rPr>
          <w:sz w:val="24"/>
        </w:rPr>
      </w:pPr>
      <w:r>
        <w:rPr>
          <w:sz w:val="24"/>
        </w:rPr>
        <w:t>Check</w:t>
      </w:r>
      <w:r>
        <w:rPr>
          <w:spacing w:val="-4"/>
          <w:sz w:val="24"/>
        </w:rPr>
        <w:t> </w:t>
      </w:r>
      <w:r>
        <w:rPr>
          <w:sz w:val="24"/>
        </w:rPr>
        <w:t>employee</w:t>
      </w:r>
      <w:r>
        <w:rPr>
          <w:spacing w:val="-2"/>
          <w:sz w:val="24"/>
        </w:rPr>
        <w:t> </w:t>
      </w:r>
      <w:r>
        <w:rPr>
          <w:sz w:val="24"/>
        </w:rPr>
        <w:t>break</w:t>
      </w:r>
      <w:r>
        <w:rPr>
          <w:spacing w:val="-2"/>
          <w:sz w:val="24"/>
        </w:rPr>
        <w:t> </w:t>
      </w:r>
      <w:r>
        <w:rPr>
          <w:sz w:val="24"/>
        </w:rPr>
        <w:t>room</w:t>
      </w:r>
      <w:r>
        <w:rPr>
          <w:spacing w:val="-3"/>
          <w:sz w:val="24"/>
        </w:rPr>
        <w:t> </w:t>
      </w:r>
      <w:r>
        <w:rPr>
          <w:sz w:val="24"/>
        </w:rPr>
        <w:t>for</w:t>
      </w:r>
      <w:r>
        <w:rPr>
          <w:spacing w:val="-3"/>
          <w:sz w:val="24"/>
        </w:rPr>
        <w:t> </w:t>
      </w:r>
      <w:r>
        <w:rPr>
          <w:sz w:val="24"/>
        </w:rPr>
        <w:t>the</w:t>
      </w:r>
      <w:r>
        <w:rPr>
          <w:spacing w:val="-2"/>
          <w:sz w:val="24"/>
        </w:rPr>
        <w:t> </w:t>
      </w:r>
      <w:r>
        <w:rPr>
          <w:sz w:val="24"/>
        </w:rPr>
        <w:t>following</w:t>
      </w:r>
      <w:r>
        <w:rPr>
          <w:spacing w:val="-2"/>
          <w:sz w:val="24"/>
        </w:rPr>
        <w:t> posters:</w:t>
      </w:r>
    </w:p>
    <w:p>
      <w:pPr>
        <w:pStyle w:val="BodyText"/>
        <w:spacing w:before="27"/>
        <w:ind w:left="2279"/>
      </w:pPr>
      <w:r>
        <w:rPr>
          <w:rFonts w:ascii="MS Gothic" w:hAnsi="MS Gothic"/>
        </w:rPr>
        <w:t>☒</w:t>
      </w:r>
      <w:r>
        <w:rPr>
          <w:rFonts w:ascii="MS Gothic" w:hAnsi="MS Gothic"/>
          <w:spacing w:val="-92"/>
        </w:rPr>
        <w:t> </w:t>
      </w:r>
      <w:r>
        <w:rPr/>
        <w:t>Employee</w:t>
      </w:r>
      <w:r>
        <w:rPr>
          <w:spacing w:val="-4"/>
        </w:rPr>
        <w:t> </w:t>
      </w:r>
      <w:r>
        <w:rPr/>
        <w:t>Polygraph</w:t>
      </w:r>
      <w:r>
        <w:rPr>
          <w:spacing w:val="-3"/>
        </w:rPr>
        <w:t> </w:t>
      </w:r>
      <w:r>
        <w:rPr/>
        <w:t>Protection </w:t>
      </w:r>
      <w:r>
        <w:rPr>
          <w:spacing w:val="-5"/>
        </w:rPr>
        <w:t>Act</w:t>
      </w:r>
    </w:p>
    <w:p>
      <w:pPr>
        <w:pStyle w:val="BodyText"/>
        <w:spacing w:before="29"/>
        <w:ind w:left="2280"/>
      </w:pPr>
      <w:r>
        <w:rPr>
          <w:rFonts w:ascii="MS Gothic" w:hAnsi="MS Gothic"/>
        </w:rPr>
        <w:t>☒</w:t>
      </w:r>
      <w:r>
        <w:rPr>
          <w:rFonts w:ascii="MS Gothic" w:hAnsi="MS Gothic"/>
          <w:spacing w:val="-92"/>
        </w:rPr>
        <w:t> </w:t>
      </w:r>
      <w:r>
        <w:rPr/>
        <w:t>Equal</w:t>
      </w:r>
      <w:r>
        <w:rPr>
          <w:spacing w:val="-4"/>
        </w:rPr>
        <w:t> </w:t>
      </w:r>
      <w:r>
        <w:rPr/>
        <w:t>Employment Opportunity</w:t>
      </w:r>
      <w:r>
        <w:rPr>
          <w:spacing w:val="-1"/>
        </w:rPr>
        <w:t> </w:t>
      </w:r>
      <w:r>
        <w:rPr/>
        <w:t>is</w:t>
      </w:r>
      <w:r>
        <w:rPr>
          <w:spacing w:val="-3"/>
        </w:rPr>
        <w:t> </w:t>
      </w:r>
      <w:r>
        <w:rPr/>
        <w:t>the </w:t>
      </w:r>
      <w:r>
        <w:rPr>
          <w:spacing w:val="-5"/>
        </w:rPr>
        <w:t>Law</w:t>
      </w:r>
    </w:p>
    <w:p>
      <w:pPr>
        <w:pStyle w:val="BodyText"/>
        <w:spacing w:before="28"/>
        <w:ind w:left="2280"/>
      </w:pPr>
      <w:r>
        <w:rPr>
          <w:rFonts w:ascii="MS Gothic" w:hAnsi="MS Gothic"/>
        </w:rPr>
        <w:t>☒</w:t>
      </w:r>
      <w:r>
        <w:rPr>
          <w:rFonts w:ascii="MS Gothic" w:hAnsi="MS Gothic"/>
          <w:spacing w:val="-92"/>
        </w:rPr>
        <w:t> </w:t>
      </w:r>
      <w:r>
        <w:rPr/>
        <w:t>Fair</w:t>
      </w:r>
      <w:r>
        <w:rPr>
          <w:spacing w:val="-1"/>
        </w:rPr>
        <w:t> </w:t>
      </w:r>
      <w:r>
        <w:rPr/>
        <w:t>labor Standards</w:t>
      </w:r>
      <w:r>
        <w:rPr>
          <w:spacing w:val="-2"/>
        </w:rPr>
        <w:t> </w:t>
      </w:r>
      <w:r>
        <w:rPr/>
        <w:t>Act</w:t>
      </w:r>
      <w:r>
        <w:rPr>
          <w:spacing w:val="-2"/>
        </w:rPr>
        <w:t> </w:t>
      </w:r>
      <w:r>
        <w:rPr/>
        <w:t>/ Minimum</w:t>
      </w:r>
      <w:r>
        <w:rPr>
          <w:spacing w:val="-3"/>
        </w:rPr>
        <w:t> </w:t>
      </w:r>
      <w:r>
        <w:rPr/>
        <w:t>Wage</w:t>
      </w:r>
      <w:r>
        <w:rPr>
          <w:spacing w:val="-1"/>
        </w:rPr>
        <w:t> </w:t>
      </w:r>
      <w:r>
        <w:rPr>
          <w:spacing w:val="-2"/>
        </w:rPr>
        <w:t>Poster</w:t>
      </w:r>
    </w:p>
    <w:p>
      <w:pPr>
        <w:pStyle w:val="BodyText"/>
        <w:spacing w:before="29"/>
        <w:ind w:left="2280"/>
      </w:pPr>
      <w:r>
        <w:rPr>
          <w:rFonts w:ascii="MS Gothic" w:hAnsi="MS Gothic"/>
        </w:rPr>
        <w:t>☒</w:t>
      </w:r>
      <w:r>
        <w:rPr>
          <w:rFonts w:ascii="MS Gothic" w:hAnsi="MS Gothic"/>
          <w:spacing w:val="-92"/>
        </w:rPr>
        <w:t> </w:t>
      </w:r>
      <w:r>
        <w:rPr/>
        <w:t>Job</w:t>
      </w:r>
      <w:r>
        <w:rPr>
          <w:spacing w:val="-1"/>
        </w:rPr>
        <w:t> </w:t>
      </w:r>
      <w:r>
        <w:rPr/>
        <w:t>Safety</w:t>
      </w:r>
      <w:r>
        <w:rPr>
          <w:spacing w:val="-2"/>
        </w:rPr>
        <w:t> </w:t>
      </w:r>
      <w:r>
        <w:rPr/>
        <w:t>and Health</w:t>
      </w:r>
      <w:r>
        <w:rPr>
          <w:spacing w:val="-2"/>
        </w:rPr>
        <w:t> Protection</w:t>
      </w:r>
    </w:p>
    <w:p>
      <w:pPr>
        <w:pStyle w:val="BodyText"/>
        <w:spacing w:before="28"/>
        <w:ind w:left="2280"/>
      </w:pPr>
      <w:r>
        <w:rPr>
          <w:rFonts w:ascii="MS Gothic" w:hAnsi="MS Gothic"/>
        </w:rPr>
        <w:t>☒</w:t>
      </w:r>
      <w:r>
        <w:rPr>
          <w:rFonts w:ascii="MS Gothic" w:hAnsi="MS Gothic"/>
          <w:spacing w:val="-92"/>
        </w:rPr>
        <w:t> </w:t>
      </w:r>
      <w:r>
        <w:rPr/>
        <w:t>Family</w:t>
      </w:r>
      <w:r>
        <w:rPr>
          <w:spacing w:val="-2"/>
        </w:rPr>
        <w:t> </w:t>
      </w:r>
      <w:r>
        <w:rPr/>
        <w:t>Medical Leave</w:t>
      </w:r>
      <w:r>
        <w:rPr>
          <w:spacing w:val="-1"/>
        </w:rPr>
        <w:t> </w:t>
      </w:r>
      <w:r>
        <w:rPr>
          <w:spacing w:val="-5"/>
        </w:rPr>
        <w:t>Act</w:t>
      </w:r>
    </w:p>
    <w:p>
      <w:pPr>
        <w:pStyle w:val="BodyText"/>
        <w:spacing w:before="29"/>
        <w:ind w:left="2280"/>
      </w:pPr>
      <w:r>
        <w:rPr>
          <w:rFonts w:ascii="MS Gothic" w:hAnsi="MS Gothic"/>
        </w:rPr>
        <w:t>☒</w:t>
      </w:r>
      <w:r>
        <w:rPr>
          <w:rFonts w:ascii="MS Gothic" w:hAnsi="MS Gothic"/>
          <w:spacing w:val="-92"/>
        </w:rPr>
        <w:t> </w:t>
      </w:r>
      <w:r>
        <w:rPr/>
        <w:t>Notice</w:t>
      </w:r>
      <w:r>
        <w:rPr>
          <w:spacing w:val="-4"/>
        </w:rPr>
        <w:t> </w:t>
      </w:r>
      <w:r>
        <w:rPr/>
        <w:t>to</w:t>
      </w:r>
      <w:r>
        <w:rPr>
          <w:spacing w:val="-2"/>
        </w:rPr>
        <w:t> </w:t>
      </w:r>
      <w:r>
        <w:rPr/>
        <w:t>Employees/Job</w:t>
      </w:r>
      <w:r>
        <w:rPr>
          <w:spacing w:val="-2"/>
        </w:rPr>
        <w:t> Injury</w:t>
      </w:r>
    </w:p>
    <w:p>
      <w:pPr>
        <w:pStyle w:val="BodyText"/>
        <w:spacing w:before="28"/>
        <w:ind w:left="2280"/>
      </w:pPr>
      <w:r>
        <w:rPr>
          <w:rFonts w:ascii="MS Gothic" w:hAnsi="MS Gothic"/>
        </w:rPr>
        <w:t>☒</w:t>
      </w:r>
      <w:r>
        <w:rPr>
          <w:rFonts w:ascii="MS Gothic" w:hAnsi="MS Gothic"/>
          <w:spacing w:val="-92"/>
        </w:rPr>
        <w:t> </w:t>
      </w:r>
      <w:r>
        <w:rPr/>
        <w:t>Notice</w:t>
      </w:r>
      <w:r>
        <w:rPr>
          <w:spacing w:val="-5"/>
        </w:rPr>
        <w:t> </w:t>
      </w:r>
      <w:r>
        <w:rPr/>
        <w:t>to</w:t>
      </w:r>
      <w:r>
        <w:rPr>
          <w:spacing w:val="-3"/>
        </w:rPr>
        <w:t> </w:t>
      </w:r>
      <w:r>
        <w:rPr/>
        <w:t>Employees/Unemployment</w:t>
      </w:r>
      <w:r>
        <w:rPr>
          <w:spacing w:val="-3"/>
        </w:rPr>
        <w:t> </w:t>
      </w:r>
      <w:r>
        <w:rPr>
          <w:spacing w:val="-2"/>
        </w:rPr>
        <w:t>Benefits</w:t>
      </w:r>
    </w:p>
    <w:p>
      <w:pPr>
        <w:pStyle w:val="BodyText"/>
        <w:spacing w:line="259" w:lineRule="auto" w:before="29"/>
        <w:ind w:left="2548" w:right="935" w:hanging="269"/>
      </w:pPr>
      <w:r>
        <w:rPr>
          <w:rFonts w:ascii="MS Gothic" w:hAnsi="MS Gothic"/>
        </w:rPr>
        <w:t>☒</w:t>
      </w:r>
      <w:r>
        <w:rPr>
          <w:rFonts w:ascii="MS Gothic" w:hAnsi="MS Gothic"/>
          <w:spacing w:val="-92"/>
        </w:rPr>
        <w:t> </w:t>
      </w:r>
      <w:r>
        <w:rPr/>
        <w:t>5333(b)</w:t>
      </w:r>
      <w:r>
        <w:rPr>
          <w:spacing w:val="-5"/>
        </w:rPr>
        <w:t> </w:t>
      </w:r>
      <w:r>
        <w:rPr/>
        <w:t>Special</w:t>
      </w:r>
      <w:r>
        <w:rPr>
          <w:spacing w:val="-6"/>
        </w:rPr>
        <w:t> </w:t>
      </w:r>
      <w:r>
        <w:rPr/>
        <w:t>Warranty</w:t>
      </w:r>
      <w:r>
        <w:rPr>
          <w:spacing w:val="-4"/>
        </w:rPr>
        <w:t> </w:t>
      </w:r>
      <w:r>
        <w:rPr/>
        <w:t>on</w:t>
      </w:r>
      <w:r>
        <w:rPr>
          <w:spacing w:val="-2"/>
        </w:rPr>
        <w:t> </w:t>
      </w:r>
      <w:r>
        <w:rPr/>
        <w:t>letterhead,</w:t>
      </w:r>
      <w:r>
        <w:rPr>
          <w:spacing w:val="-6"/>
        </w:rPr>
        <w:t> </w:t>
      </w:r>
      <w:r>
        <w:rPr/>
        <w:t>including</w:t>
      </w:r>
      <w:r>
        <w:rPr>
          <w:spacing w:val="-4"/>
        </w:rPr>
        <w:t> </w:t>
      </w:r>
      <w:r>
        <w:rPr/>
        <w:t>Appendices</w:t>
      </w:r>
      <w:r>
        <w:rPr>
          <w:spacing w:val="-4"/>
        </w:rPr>
        <w:t> </w:t>
      </w:r>
      <w:r>
        <w:rPr/>
        <w:t>A</w:t>
      </w:r>
      <w:r>
        <w:rPr>
          <w:spacing w:val="-3"/>
        </w:rPr>
        <w:t> </w:t>
      </w:r>
      <w:r>
        <w:rPr/>
        <w:t>and</w:t>
      </w:r>
      <w:r>
        <w:rPr>
          <w:spacing w:val="-5"/>
        </w:rPr>
        <w:t> </w:t>
      </w:r>
      <w:r>
        <w:rPr/>
        <w:t>C</w:t>
      </w:r>
      <w:r>
        <w:rPr>
          <w:spacing w:val="-4"/>
        </w:rPr>
        <w:t> </w:t>
      </w:r>
      <w:r>
        <w:rPr/>
        <w:t>and procedures on how to file a claim?</w:t>
      </w:r>
    </w:p>
    <w:p>
      <w:pPr>
        <w:pStyle w:val="BodyText"/>
        <w:spacing w:before="4"/>
        <w:ind w:left="2280"/>
      </w:pPr>
      <w:r>
        <w:rPr>
          <w:rFonts w:ascii="MS Gothic" w:hAnsi="MS Gothic"/>
        </w:rPr>
        <w:t>☒</w:t>
      </w:r>
      <w:r>
        <w:rPr>
          <w:rFonts w:ascii="MS Gothic" w:hAnsi="MS Gothic"/>
          <w:spacing w:val="-92"/>
        </w:rPr>
        <w:t> </w:t>
      </w:r>
      <w:r>
        <w:rPr/>
        <w:t>Poster</w:t>
      </w:r>
      <w:r>
        <w:rPr>
          <w:spacing w:val="-4"/>
        </w:rPr>
        <w:t> </w:t>
      </w:r>
      <w:r>
        <w:rPr/>
        <w:t>on</w:t>
      </w:r>
      <w:r>
        <w:rPr>
          <w:spacing w:val="-3"/>
        </w:rPr>
        <w:t> </w:t>
      </w:r>
      <w:r>
        <w:rPr/>
        <w:t>effects</w:t>
      </w:r>
      <w:r>
        <w:rPr>
          <w:spacing w:val="-1"/>
        </w:rPr>
        <w:t> </w:t>
      </w:r>
      <w:r>
        <w:rPr/>
        <w:t>and consequences</w:t>
      </w:r>
      <w:r>
        <w:rPr>
          <w:spacing w:val="-3"/>
        </w:rPr>
        <w:t> </w:t>
      </w:r>
      <w:r>
        <w:rPr/>
        <w:t>of</w:t>
      </w:r>
      <w:r>
        <w:rPr>
          <w:spacing w:val="-2"/>
        </w:rPr>
        <w:t> </w:t>
      </w:r>
      <w:r>
        <w:rPr/>
        <w:t>substance</w:t>
      </w:r>
      <w:r>
        <w:rPr>
          <w:spacing w:val="-2"/>
        </w:rPr>
        <w:t> abuse</w:t>
      </w:r>
    </w:p>
    <w:p>
      <w:pPr>
        <w:pStyle w:val="BodyText"/>
        <w:spacing w:before="26"/>
        <w:ind w:left="2280"/>
      </w:pPr>
      <w:r>
        <w:rPr>
          <w:rFonts w:ascii="MS Gothic" w:hAnsi="MS Gothic"/>
        </w:rPr>
        <w:t>☒</w:t>
      </w:r>
      <w:r>
        <w:rPr>
          <w:rFonts w:ascii="MS Gothic" w:hAnsi="MS Gothic"/>
          <w:spacing w:val="-92"/>
        </w:rPr>
        <w:t> </w:t>
      </w:r>
      <w:r>
        <w:rPr/>
        <w:t>Name</w:t>
      </w:r>
      <w:r>
        <w:rPr>
          <w:spacing w:val="-2"/>
        </w:rPr>
        <w:t> </w:t>
      </w:r>
      <w:r>
        <w:rPr/>
        <w:t>and</w:t>
      </w:r>
      <w:r>
        <w:rPr>
          <w:spacing w:val="-2"/>
        </w:rPr>
        <w:t> </w:t>
      </w:r>
      <w:r>
        <w:rPr/>
        <w:t>number of</w:t>
      </w:r>
      <w:r>
        <w:rPr>
          <w:spacing w:val="-3"/>
        </w:rPr>
        <w:t> </w:t>
      </w:r>
      <w:r>
        <w:rPr/>
        <w:t>DAPM or </w:t>
      </w:r>
      <w:r>
        <w:rPr>
          <w:spacing w:val="-5"/>
        </w:rPr>
        <w:t>DER</w:t>
      </w:r>
    </w:p>
    <w:p>
      <w:pPr>
        <w:spacing w:after="0"/>
        <w:sectPr>
          <w:pgSz w:w="12240" w:h="15840"/>
          <w:pgMar w:header="0" w:footer="746" w:top="500" w:bottom="940" w:left="600" w:right="500"/>
        </w:sectPr>
      </w:pPr>
    </w:p>
    <w:p>
      <w:pPr>
        <w:spacing w:line="252" w:lineRule="exact" w:before="78"/>
        <w:ind w:left="552" w:right="0" w:firstLine="0"/>
        <w:jc w:val="left"/>
        <w:rPr>
          <w:rFonts w:ascii="Times New Roman"/>
          <w:b/>
          <w:sz w:val="22"/>
        </w:rPr>
      </w:pPr>
      <w:r>
        <w:rPr>
          <w:rFonts w:ascii="Times New Roman"/>
          <w:b/>
          <w:sz w:val="22"/>
        </w:rPr>
        <w:t>AMERICAN</w:t>
      </w:r>
      <w:r>
        <w:rPr>
          <w:rFonts w:ascii="Times New Roman"/>
          <w:b/>
          <w:spacing w:val="-11"/>
          <w:sz w:val="22"/>
        </w:rPr>
        <w:t> </w:t>
      </w:r>
      <w:r>
        <w:rPr>
          <w:rFonts w:ascii="Times New Roman"/>
          <w:b/>
          <w:sz w:val="22"/>
        </w:rPr>
        <w:t>COMMUNITY</w:t>
      </w:r>
      <w:r>
        <w:rPr>
          <w:rFonts w:ascii="Times New Roman"/>
          <w:b/>
          <w:spacing w:val="-6"/>
          <w:sz w:val="22"/>
        </w:rPr>
        <w:t> </w:t>
      </w:r>
      <w:r>
        <w:rPr>
          <w:rFonts w:ascii="Times New Roman"/>
          <w:b/>
          <w:sz w:val="22"/>
        </w:rPr>
        <w:t>SURVEY</w:t>
      </w:r>
      <w:r>
        <w:rPr>
          <w:rFonts w:ascii="Times New Roman"/>
          <w:b/>
          <w:spacing w:val="-5"/>
          <w:sz w:val="22"/>
        </w:rPr>
        <w:t> </w:t>
      </w:r>
      <w:r>
        <w:rPr>
          <w:rFonts w:ascii="Times New Roman"/>
          <w:b/>
          <w:sz w:val="22"/>
        </w:rPr>
        <w:t>LANGUAGE</w:t>
      </w:r>
      <w:r>
        <w:rPr>
          <w:rFonts w:ascii="Times New Roman"/>
          <w:b/>
          <w:spacing w:val="-8"/>
          <w:sz w:val="22"/>
        </w:rPr>
        <w:t> </w:t>
      </w:r>
      <w:r>
        <w:rPr>
          <w:rFonts w:ascii="Times New Roman"/>
          <w:b/>
          <w:sz w:val="22"/>
        </w:rPr>
        <w:t>CODE</w:t>
      </w:r>
      <w:r>
        <w:rPr>
          <w:rFonts w:ascii="Times New Roman"/>
          <w:b/>
          <w:spacing w:val="-8"/>
          <w:sz w:val="22"/>
        </w:rPr>
        <w:t> </w:t>
      </w:r>
      <w:r>
        <w:rPr>
          <w:rFonts w:ascii="Times New Roman"/>
          <w:b/>
          <w:spacing w:val="-4"/>
          <w:sz w:val="22"/>
        </w:rPr>
        <w:t>LIST</w:t>
      </w:r>
    </w:p>
    <w:p>
      <w:pPr>
        <w:spacing w:before="0"/>
        <w:ind w:left="552" w:right="935" w:firstLine="0"/>
        <w:jc w:val="left"/>
        <w:rPr>
          <w:rFonts w:ascii="Times New Roman"/>
          <w:sz w:val="20"/>
        </w:rPr>
      </w:pPr>
      <w:r>
        <w:rPr>
          <w:rFonts w:ascii="Times New Roman"/>
          <w:sz w:val="20"/>
        </w:rPr>
        <w:t>Listed</w:t>
      </w:r>
      <w:r>
        <w:rPr>
          <w:rFonts w:ascii="Times New Roman"/>
          <w:spacing w:val="-3"/>
          <w:sz w:val="20"/>
        </w:rPr>
        <w:t> </w:t>
      </w:r>
      <w:r>
        <w:rPr>
          <w:rFonts w:ascii="Times New Roman"/>
          <w:sz w:val="20"/>
        </w:rPr>
        <w:t>are</w:t>
      </w:r>
      <w:r>
        <w:rPr>
          <w:rFonts w:ascii="Times New Roman"/>
          <w:spacing w:val="-4"/>
          <w:sz w:val="20"/>
        </w:rPr>
        <w:t> </w:t>
      </w:r>
      <w:r>
        <w:rPr>
          <w:rFonts w:ascii="Times New Roman"/>
          <w:sz w:val="20"/>
        </w:rPr>
        <w:t>4-digit</w:t>
      </w:r>
      <w:r>
        <w:rPr>
          <w:rFonts w:ascii="Times New Roman"/>
          <w:spacing w:val="-5"/>
          <w:sz w:val="20"/>
        </w:rPr>
        <w:t> </w:t>
      </w:r>
      <w:r>
        <w:rPr>
          <w:rFonts w:ascii="Times New Roman"/>
          <w:sz w:val="20"/>
        </w:rPr>
        <w:t>census</w:t>
      </w:r>
      <w:r>
        <w:rPr>
          <w:rFonts w:ascii="Times New Roman"/>
          <w:spacing w:val="-5"/>
          <w:sz w:val="20"/>
        </w:rPr>
        <w:t> </w:t>
      </w:r>
      <w:r>
        <w:rPr>
          <w:rFonts w:ascii="Times New Roman"/>
          <w:sz w:val="20"/>
        </w:rPr>
        <w:t>codes,</w:t>
      </w:r>
      <w:r>
        <w:rPr>
          <w:rFonts w:ascii="Times New Roman"/>
          <w:spacing w:val="-4"/>
          <w:sz w:val="20"/>
        </w:rPr>
        <w:t> </w:t>
      </w:r>
      <w:r>
        <w:rPr>
          <w:rFonts w:ascii="Times New Roman"/>
          <w:sz w:val="20"/>
        </w:rPr>
        <w:t>language</w:t>
      </w:r>
      <w:r>
        <w:rPr>
          <w:rFonts w:ascii="Times New Roman"/>
          <w:spacing w:val="-4"/>
          <w:sz w:val="20"/>
        </w:rPr>
        <w:t> </w:t>
      </w:r>
      <w:r>
        <w:rPr>
          <w:rFonts w:ascii="Times New Roman"/>
          <w:sz w:val="20"/>
        </w:rPr>
        <w:t>names</w:t>
      </w:r>
      <w:r>
        <w:rPr>
          <w:rFonts w:ascii="Times New Roman"/>
          <w:spacing w:val="-5"/>
          <w:sz w:val="20"/>
        </w:rPr>
        <w:t> </w:t>
      </w:r>
      <w:r>
        <w:rPr>
          <w:rFonts w:ascii="Times New Roman"/>
          <w:sz w:val="20"/>
        </w:rPr>
        <w:t>and,</w:t>
      </w:r>
      <w:r>
        <w:rPr>
          <w:rFonts w:ascii="Times New Roman"/>
          <w:spacing w:val="-2"/>
          <w:sz w:val="20"/>
        </w:rPr>
        <w:t> </w:t>
      </w:r>
      <w:r>
        <w:rPr>
          <w:rFonts w:ascii="Times New Roman"/>
          <w:sz w:val="20"/>
        </w:rPr>
        <w:t>where</w:t>
      </w:r>
      <w:r>
        <w:rPr>
          <w:rFonts w:ascii="Times New Roman"/>
          <w:spacing w:val="-2"/>
          <w:sz w:val="20"/>
        </w:rPr>
        <w:t> </w:t>
      </w:r>
      <w:r>
        <w:rPr>
          <w:rFonts w:ascii="Times New Roman"/>
          <w:sz w:val="20"/>
        </w:rPr>
        <w:t>applicable,</w:t>
      </w:r>
      <w:r>
        <w:rPr>
          <w:rFonts w:ascii="Times New Roman"/>
          <w:spacing w:val="-1"/>
          <w:sz w:val="20"/>
        </w:rPr>
        <w:t> </w:t>
      </w:r>
      <w:r>
        <w:rPr>
          <w:rFonts w:ascii="Times New Roman"/>
          <w:sz w:val="20"/>
        </w:rPr>
        <w:t>three-letter</w:t>
      </w:r>
      <w:r>
        <w:rPr>
          <w:rFonts w:ascii="Times New Roman"/>
          <w:spacing w:val="-3"/>
          <w:sz w:val="20"/>
        </w:rPr>
        <w:t> </w:t>
      </w:r>
      <w:r>
        <w:rPr>
          <w:rFonts w:ascii="Times New Roman"/>
          <w:sz w:val="20"/>
        </w:rPr>
        <w:t>codes</w:t>
      </w:r>
      <w:r>
        <w:rPr>
          <w:rFonts w:ascii="Times New Roman"/>
          <w:spacing w:val="-5"/>
          <w:sz w:val="20"/>
        </w:rPr>
        <w:t> </w:t>
      </w:r>
      <w:r>
        <w:rPr>
          <w:rFonts w:ascii="Times New Roman"/>
          <w:sz w:val="20"/>
        </w:rPr>
        <w:t>according</w:t>
      </w:r>
      <w:r>
        <w:rPr>
          <w:rFonts w:ascii="Times New Roman"/>
          <w:spacing w:val="-5"/>
          <w:sz w:val="20"/>
        </w:rPr>
        <w:t> </w:t>
      </w:r>
      <w:r>
        <w:rPr>
          <w:rFonts w:ascii="Times New Roman"/>
          <w:sz w:val="20"/>
        </w:rPr>
        <w:t>to</w:t>
      </w:r>
      <w:r>
        <w:rPr>
          <w:rFonts w:ascii="Times New Roman"/>
          <w:spacing w:val="-3"/>
          <w:sz w:val="20"/>
        </w:rPr>
        <w:t> </w:t>
      </w:r>
      <w:r>
        <w:rPr>
          <w:rFonts w:ascii="Times New Roman"/>
          <w:sz w:val="20"/>
        </w:rPr>
        <w:t>international standard ISO 639-3.</w:t>
      </w:r>
    </w:p>
    <w:p>
      <w:pPr>
        <w:pStyle w:val="BodyText"/>
        <w:spacing w:before="2"/>
        <w:rPr>
          <w:rFonts w:ascii="Times New Roman"/>
          <w:sz w:val="23"/>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4394"/>
        <w:gridCol w:w="936"/>
        <w:gridCol w:w="3139"/>
      </w:tblGrid>
      <w:tr>
        <w:trPr>
          <w:trHeight w:val="223" w:hRule="atLeast"/>
        </w:trPr>
        <w:tc>
          <w:tcPr>
            <w:tcW w:w="5006" w:type="dxa"/>
            <w:gridSpan w:val="2"/>
          </w:tcPr>
          <w:p>
            <w:pPr>
              <w:pStyle w:val="TableParagraph"/>
              <w:spacing w:line="203" w:lineRule="exact"/>
              <w:ind w:left="50"/>
              <w:rPr>
                <w:b/>
                <w:sz w:val="20"/>
              </w:rPr>
            </w:pPr>
            <w:r>
              <w:rPr>
                <w:b/>
                <w:sz w:val="20"/>
              </w:rPr>
              <w:t>INDO-EUROPEAN</w:t>
            </w:r>
            <w:r>
              <w:rPr>
                <w:b/>
                <w:spacing w:val="-11"/>
                <w:sz w:val="20"/>
              </w:rPr>
              <w:t> </w:t>
            </w:r>
            <w:r>
              <w:rPr>
                <w:b/>
                <w:sz w:val="20"/>
              </w:rPr>
              <w:t>LANGUAGES</w:t>
            </w:r>
            <w:r>
              <w:rPr>
                <w:b/>
                <w:spacing w:val="-9"/>
                <w:sz w:val="20"/>
              </w:rPr>
              <w:t> </w:t>
            </w:r>
            <w:r>
              <w:rPr>
                <w:b/>
                <w:sz w:val="20"/>
              </w:rPr>
              <w:t>(1053-1056,</w:t>
            </w:r>
            <w:r>
              <w:rPr>
                <w:b/>
                <w:spacing w:val="-12"/>
                <w:sz w:val="20"/>
              </w:rPr>
              <w:t> </w:t>
            </w:r>
            <w:r>
              <w:rPr>
                <w:b/>
                <w:spacing w:val="-4"/>
                <w:sz w:val="20"/>
              </w:rPr>
              <w:t>1069-</w:t>
            </w:r>
          </w:p>
        </w:tc>
        <w:tc>
          <w:tcPr>
            <w:tcW w:w="4075" w:type="dxa"/>
            <w:gridSpan w:val="2"/>
          </w:tcPr>
          <w:p>
            <w:pPr>
              <w:pStyle w:val="TableParagraph"/>
              <w:spacing w:line="240" w:lineRule="auto"/>
              <w:rPr>
                <w:sz w:val="14"/>
              </w:rPr>
            </w:pPr>
          </w:p>
        </w:tc>
      </w:tr>
      <w:tr>
        <w:trPr>
          <w:trHeight w:val="229" w:hRule="atLeast"/>
        </w:trPr>
        <w:tc>
          <w:tcPr>
            <w:tcW w:w="5006" w:type="dxa"/>
            <w:gridSpan w:val="2"/>
          </w:tcPr>
          <w:p>
            <w:pPr>
              <w:pStyle w:val="TableParagraph"/>
              <w:spacing w:line="209" w:lineRule="exact"/>
              <w:ind w:left="50"/>
              <w:rPr>
                <w:b/>
                <w:sz w:val="20"/>
              </w:rPr>
            </w:pPr>
            <w:r>
              <w:rPr>
                <w:b/>
                <w:sz w:val="20"/>
              </w:rPr>
              <w:t>1073,</w:t>
            </w:r>
            <w:r>
              <w:rPr>
                <w:b/>
                <w:spacing w:val="-8"/>
                <w:sz w:val="20"/>
              </w:rPr>
              <w:t> </w:t>
            </w:r>
            <w:r>
              <w:rPr>
                <w:b/>
                <w:sz w:val="20"/>
              </w:rPr>
              <w:t>1110-</w:t>
            </w:r>
            <w:r>
              <w:rPr>
                <w:b/>
                <w:spacing w:val="-2"/>
                <w:sz w:val="20"/>
              </w:rPr>
              <w:t>1564)</w:t>
            </w:r>
          </w:p>
        </w:tc>
        <w:tc>
          <w:tcPr>
            <w:tcW w:w="936" w:type="dxa"/>
          </w:tcPr>
          <w:p>
            <w:pPr>
              <w:pStyle w:val="TableParagraph"/>
              <w:spacing w:line="209" w:lineRule="exact"/>
              <w:ind w:right="157"/>
              <w:jc w:val="right"/>
              <w:rPr>
                <w:sz w:val="20"/>
              </w:rPr>
            </w:pPr>
            <w:r>
              <w:rPr>
                <w:spacing w:val="-4"/>
                <w:sz w:val="20"/>
              </w:rPr>
              <w:t>1158</w:t>
            </w:r>
          </w:p>
        </w:tc>
        <w:tc>
          <w:tcPr>
            <w:tcW w:w="3139" w:type="dxa"/>
          </w:tcPr>
          <w:p>
            <w:pPr>
              <w:pStyle w:val="TableParagraph"/>
              <w:spacing w:line="209" w:lineRule="exact"/>
              <w:ind w:left="157"/>
              <w:rPr>
                <w:sz w:val="20"/>
              </w:rPr>
            </w:pPr>
            <w:r>
              <w:rPr>
                <w:sz w:val="20"/>
              </w:rPr>
              <w:t>Ligurian</w:t>
            </w:r>
            <w:r>
              <w:rPr>
                <w:spacing w:val="-10"/>
                <w:sz w:val="20"/>
              </w:rPr>
              <w:t> </w:t>
            </w:r>
            <w:r>
              <w:rPr>
                <w:spacing w:val="-2"/>
                <w:sz w:val="20"/>
              </w:rPr>
              <w:t>(lij)</w:t>
            </w:r>
          </w:p>
        </w:tc>
      </w:tr>
      <w:tr>
        <w:trPr>
          <w:trHeight w:val="223" w:hRule="atLeast"/>
        </w:trPr>
        <w:tc>
          <w:tcPr>
            <w:tcW w:w="5006" w:type="dxa"/>
            <w:gridSpan w:val="2"/>
          </w:tcPr>
          <w:p>
            <w:pPr>
              <w:pStyle w:val="TableParagraph"/>
              <w:spacing w:line="240" w:lineRule="auto"/>
              <w:rPr>
                <w:sz w:val="14"/>
              </w:rPr>
            </w:pPr>
          </w:p>
        </w:tc>
        <w:tc>
          <w:tcPr>
            <w:tcW w:w="936" w:type="dxa"/>
          </w:tcPr>
          <w:p>
            <w:pPr>
              <w:pStyle w:val="TableParagraph"/>
              <w:spacing w:line="203" w:lineRule="exact"/>
              <w:ind w:right="157"/>
              <w:jc w:val="right"/>
              <w:rPr>
                <w:sz w:val="20"/>
              </w:rPr>
            </w:pPr>
            <w:r>
              <w:rPr>
                <w:spacing w:val="-4"/>
                <w:sz w:val="20"/>
              </w:rPr>
              <w:t>1159</w:t>
            </w:r>
          </w:p>
        </w:tc>
        <w:tc>
          <w:tcPr>
            <w:tcW w:w="3139" w:type="dxa"/>
          </w:tcPr>
          <w:p>
            <w:pPr>
              <w:pStyle w:val="TableParagraph"/>
              <w:spacing w:line="203" w:lineRule="exact"/>
              <w:ind w:left="157"/>
              <w:rPr>
                <w:sz w:val="20"/>
              </w:rPr>
            </w:pPr>
            <w:r>
              <w:rPr>
                <w:sz w:val="20"/>
              </w:rPr>
              <w:t>Lombard</w:t>
            </w:r>
            <w:r>
              <w:rPr>
                <w:spacing w:val="-8"/>
                <w:sz w:val="20"/>
              </w:rPr>
              <w:t> </w:t>
            </w:r>
            <w:r>
              <w:rPr>
                <w:spacing w:val="-2"/>
                <w:sz w:val="20"/>
              </w:rPr>
              <w:t>(lmo)</w:t>
            </w:r>
          </w:p>
        </w:tc>
      </w:tr>
      <w:tr>
        <w:trPr>
          <w:trHeight w:val="229" w:hRule="atLeast"/>
        </w:trPr>
        <w:tc>
          <w:tcPr>
            <w:tcW w:w="5006" w:type="dxa"/>
            <w:gridSpan w:val="2"/>
          </w:tcPr>
          <w:p>
            <w:pPr>
              <w:pStyle w:val="TableParagraph"/>
              <w:spacing w:line="209" w:lineRule="exact"/>
              <w:ind w:left="50"/>
              <w:rPr>
                <w:sz w:val="20"/>
              </w:rPr>
            </w:pPr>
            <w:r>
              <w:rPr>
                <w:i/>
                <w:sz w:val="20"/>
              </w:rPr>
              <w:t>Haitian</w:t>
            </w:r>
            <w:r>
              <w:rPr>
                <w:i/>
                <w:spacing w:val="-8"/>
                <w:sz w:val="20"/>
              </w:rPr>
              <w:t> </w:t>
            </w:r>
            <w:r>
              <w:rPr>
                <w:i/>
                <w:sz w:val="20"/>
              </w:rPr>
              <w:t>(1053-</w:t>
            </w:r>
            <w:r>
              <w:rPr>
                <w:i/>
                <w:spacing w:val="-2"/>
                <w:sz w:val="20"/>
              </w:rPr>
              <w:t>1056)</w:t>
            </w:r>
            <w:r>
              <w:rPr>
                <w:spacing w:val="-2"/>
                <w:sz w:val="20"/>
                <w:vertAlign w:val="superscript"/>
              </w:rPr>
              <w:t>1</w:t>
            </w:r>
          </w:p>
        </w:tc>
        <w:tc>
          <w:tcPr>
            <w:tcW w:w="936" w:type="dxa"/>
          </w:tcPr>
          <w:p>
            <w:pPr>
              <w:pStyle w:val="TableParagraph"/>
              <w:spacing w:line="209" w:lineRule="exact"/>
              <w:ind w:right="157"/>
              <w:jc w:val="right"/>
              <w:rPr>
                <w:sz w:val="20"/>
              </w:rPr>
            </w:pPr>
            <w:r>
              <w:rPr>
                <w:spacing w:val="-4"/>
                <w:sz w:val="20"/>
              </w:rPr>
              <w:t>1160</w:t>
            </w:r>
          </w:p>
        </w:tc>
        <w:tc>
          <w:tcPr>
            <w:tcW w:w="3139" w:type="dxa"/>
          </w:tcPr>
          <w:p>
            <w:pPr>
              <w:pStyle w:val="TableParagraph"/>
              <w:spacing w:line="209" w:lineRule="exact"/>
              <w:ind w:left="157"/>
              <w:rPr>
                <w:sz w:val="20"/>
              </w:rPr>
            </w:pPr>
            <w:r>
              <w:rPr>
                <w:sz w:val="20"/>
              </w:rPr>
              <w:t>Neapolitan</w:t>
            </w:r>
            <w:r>
              <w:rPr>
                <w:spacing w:val="-9"/>
                <w:sz w:val="20"/>
              </w:rPr>
              <w:t> </w:t>
            </w:r>
            <w:r>
              <w:rPr>
                <w:spacing w:val="-2"/>
                <w:sz w:val="20"/>
              </w:rPr>
              <w:t>(nap)</w:t>
            </w:r>
          </w:p>
        </w:tc>
      </w:tr>
      <w:tr>
        <w:trPr>
          <w:trHeight w:val="235" w:hRule="atLeast"/>
        </w:trPr>
        <w:tc>
          <w:tcPr>
            <w:tcW w:w="612" w:type="dxa"/>
          </w:tcPr>
          <w:p>
            <w:pPr>
              <w:pStyle w:val="TableParagraph"/>
              <w:spacing w:line="205" w:lineRule="exact"/>
              <w:ind w:left="50"/>
              <w:rPr>
                <w:sz w:val="20"/>
              </w:rPr>
            </w:pPr>
            <w:r>
              <w:rPr>
                <w:spacing w:val="-4"/>
                <w:sz w:val="20"/>
              </w:rPr>
              <w:t>1053</w:t>
            </w:r>
          </w:p>
        </w:tc>
        <w:tc>
          <w:tcPr>
            <w:tcW w:w="4394" w:type="dxa"/>
          </w:tcPr>
          <w:p>
            <w:pPr>
              <w:pStyle w:val="TableParagraph"/>
              <w:spacing w:line="205" w:lineRule="exact"/>
              <w:ind w:left="158"/>
              <w:rPr>
                <w:sz w:val="20"/>
              </w:rPr>
            </w:pPr>
            <w:r>
              <w:rPr>
                <w:sz w:val="20"/>
              </w:rPr>
              <w:t>Guadeloupean</w:t>
            </w:r>
            <w:r>
              <w:rPr>
                <w:spacing w:val="-7"/>
                <w:sz w:val="20"/>
              </w:rPr>
              <w:t> </w:t>
            </w:r>
            <w:r>
              <w:rPr>
                <w:sz w:val="20"/>
              </w:rPr>
              <w:t>Creole</w:t>
            </w:r>
            <w:r>
              <w:rPr>
                <w:spacing w:val="-8"/>
                <w:sz w:val="20"/>
              </w:rPr>
              <w:t> </w:t>
            </w:r>
            <w:r>
              <w:rPr>
                <w:sz w:val="20"/>
              </w:rPr>
              <w:t>French</w:t>
            </w:r>
            <w:r>
              <w:rPr>
                <w:spacing w:val="-8"/>
                <w:sz w:val="20"/>
              </w:rPr>
              <w:t> </w:t>
            </w:r>
            <w:r>
              <w:rPr>
                <w:spacing w:val="-4"/>
                <w:sz w:val="20"/>
              </w:rPr>
              <w:t>(gcf)</w:t>
            </w:r>
          </w:p>
        </w:tc>
        <w:tc>
          <w:tcPr>
            <w:tcW w:w="936" w:type="dxa"/>
          </w:tcPr>
          <w:p>
            <w:pPr>
              <w:pStyle w:val="TableParagraph"/>
              <w:spacing w:line="205" w:lineRule="exact"/>
              <w:ind w:right="157"/>
              <w:jc w:val="right"/>
              <w:rPr>
                <w:sz w:val="20"/>
              </w:rPr>
            </w:pPr>
            <w:r>
              <w:rPr>
                <w:spacing w:val="-4"/>
                <w:sz w:val="20"/>
              </w:rPr>
              <w:t>1161</w:t>
            </w:r>
          </w:p>
        </w:tc>
        <w:tc>
          <w:tcPr>
            <w:tcW w:w="3139" w:type="dxa"/>
          </w:tcPr>
          <w:p>
            <w:pPr>
              <w:pStyle w:val="TableParagraph"/>
              <w:spacing w:line="205" w:lineRule="exact"/>
              <w:ind w:left="157"/>
              <w:rPr>
                <w:sz w:val="20"/>
              </w:rPr>
            </w:pPr>
            <w:r>
              <w:rPr>
                <w:sz w:val="20"/>
              </w:rPr>
              <w:t>Piemontese</w:t>
            </w:r>
            <w:r>
              <w:rPr>
                <w:spacing w:val="-13"/>
                <w:sz w:val="20"/>
              </w:rPr>
              <w:t> </w:t>
            </w:r>
            <w:r>
              <w:rPr>
                <w:spacing w:val="-2"/>
                <w:sz w:val="20"/>
              </w:rPr>
              <w:t>(pms)</w:t>
            </w:r>
          </w:p>
        </w:tc>
      </w:tr>
      <w:tr>
        <w:trPr>
          <w:trHeight w:val="230" w:hRule="atLeast"/>
        </w:trPr>
        <w:tc>
          <w:tcPr>
            <w:tcW w:w="612" w:type="dxa"/>
          </w:tcPr>
          <w:p>
            <w:pPr>
              <w:pStyle w:val="TableParagraph"/>
              <w:ind w:left="50"/>
              <w:rPr>
                <w:sz w:val="20"/>
              </w:rPr>
            </w:pPr>
            <w:r>
              <w:rPr>
                <w:spacing w:val="-4"/>
                <w:sz w:val="20"/>
              </w:rPr>
              <w:t>1054</w:t>
            </w:r>
          </w:p>
        </w:tc>
        <w:tc>
          <w:tcPr>
            <w:tcW w:w="4394" w:type="dxa"/>
          </w:tcPr>
          <w:p>
            <w:pPr>
              <w:pStyle w:val="TableParagraph"/>
              <w:ind w:left="158"/>
              <w:rPr>
                <w:sz w:val="20"/>
              </w:rPr>
            </w:pPr>
            <w:r>
              <w:rPr>
                <w:sz w:val="20"/>
              </w:rPr>
              <w:t>Saint</w:t>
            </w:r>
            <w:r>
              <w:rPr>
                <w:spacing w:val="-4"/>
                <w:sz w:val="20"/>
              </w:rPr>
              <w:t> </w:t>
            </w:r>
            <w:r>
              <w:rPr>
                <w:sz w:val="20"/>
              </w:rPr>
              <w:t>Lucian</w:t>
            </w:r>
            <w:r>
              <w:rPr>
                <w:spacing w:val="-7"/>
                <w:sz w:val="20"/>
              </w:rPr>
              <w:t> </w:t>
            </w:r>
            <w:r>
              <w:rPr>
                <w:sz w:val="20"/>
              </w:rPr>
              <w:t>Creole</w:t>
            </w:r>
            <w:r>
              <w:rPr>
                <w:spacing w:val="-6"/>
                <w:sz w:val="20"/>
              </w:rPr>
              <w:t> </w:t>
            </w:r>
            <w:r>
              <w:rPr>
                <w:sz w:val="20"/>
              </w:rPr>
              <w:t>French</w:t>
            </w:r>
            <w:r>
              <w:rPr>
                <w:spacing w:val="-6"/>
                <w:sz w:val="20"/>
              </w:rPr>
              <w:t> </w:t>
            </w:r>
            <w:r>
              <w:rPr>
                <w:spacing w:val="-2"/>
                <w:sz w:val="20"/>
              </w:rPr>
              <w:t>(acf)</w:t>
            </w:r>
          </w:p>
        </w:tc>
        <w:tc>
          <w:tcPr>
            <w:tcW w:w="936" w:type="dxa"/>
          </w:tcPr>
          <w:p>
            <w:pPr>
              <w:pStyle w:val="TableParagraph"/>
              <w:ind w:right="157"/>
              <w:jc w:val="right"/>
              <w:rPr>
                <w:sz w:val="20"/>
              </w:rPr>
            </w:pPr>
            <w:r>
              <w:rPr>
                <w:spacing w:val="-4"/>
                <w:sz w:val="20"/>
              </w:rPr>
              <w:t>1162</w:t>
            </w:r>
          </w:p>
        </w:tc>
        <w:tc>
          <w:tcPr>
            <w:tcW w:w="3139" w:type="dxa"/>
          </w:tcPr>
          <w:p>
            <w:pPr>
              <w:pStyle w:val="TableParagraph"/>
              <w:ind w:left="157"/>
              <w:rPr>
                <w:sz w:val="20"/>
              </w:rPr>
            </w:pPr>
            <w:r>
              <w:rPr>
                <w:sz w:val="20"/>
              </w:rPr>
              <w:t>Romagnol</w:t>
            </w:r>
            <w:r>
              <w:rPr>
                <w:spacing w:val="-13"/>
                <w:sz w:val="20"/>
              </w:rPr>
              <w:t> </w:t>
            </w:r>
            <w:r>
              <w:rPr>
                <w:spacing w:val="-2"/>
                <w:sz w:val="20"/>
              </w:rPr>
              <w:t>(rgn)</w:t>
            </w:r>
          </w:p>
        </w:tc>
      </w:tr>
      <w:tr>
        <w:trPr>
          <w:trHeight w:val="229" w:hRule="atLeast"/>
        </w:trPr>
        <w:tc>
          <w:tcPr>
            <w:tcW w:w="612" w:type="dxa"/>
          </w:tcPr>
          <w:p>
            <w:pPr>
              <w:pStyle w:val="TableParagraph"/>
              <w:spacing w:line="209" w:lineRule="exact"/>
              <w:ind w:left="50"/>
              <w:rPr>
                <w:sz w:val="20"/>
              </w:rPr>
            </w:pPr>
            <w:r>
              <w:rPr>
                <w:spacing w:val="-4"/>
                <w:sz w:val="20"/>
              </w:rPr>
              <w:t>1055</w:t>
            </w:r>
          </w:p>
        </w:tc>
        <w:tc>
          <w:tcPr>
            <w:tcW w:w="4394" w:type="dxa"/>
          </w:tcPr>
          <w:p>
            <w:pPr>
              <w:pStyle w:val="TableParagraph"/>
              <w:spacing w:line="209" w:lineRule="exact"/>
              <w:ind w:left="158"/>
              <w:rPr>
                <w:sz w:val="20"/>
              </w:rPr>
            </w:pPr>
            <w:r>
              <w:rPr>
                <w:sz w:val="20"/>
              </w:rPr>
              <w:t>Haitian</w:t>
            </w:r>
            <w:r>
              <w:rPr>
                <w:spacing w:val="-7"/>
                <w:sz w:val="20"/>
              </w:rPr>
              <w:t> </w:t>
            </w:r>
            <w:r>
              <w:rPr>
                <w:spacing w:val="-2"/>
                <w:sz w:val="20"/>
              </w:rPr>
              <w:t>(hat)</w:t>
            </w:r>
          </w:p>
        </w:tc>
        <w:tc>
          <w:tcPr>
            <w:tcW w:w="936" w:type="dxa"/>
          </w:tcPr>
          <w:p>
            <w:pPr>
              <w:pStyle w:val="TableParagraph"/>
              <w:spacing w:line="209" w:lineRule="exact"/>
              <w:ind w:right="157"/>
              <w:jc w:val="right"/>
              <w:rPr>
                <w:sz w:val="20"/>
              </w:rPr>
            </w:pPr>
            <w:r>
              <w:rPr>
                <w:spacing w:val="-4"/>
                <w:sz w:val="20"/>
              </w:rPr>
              <w:t>1163</w:t>
            </w:r>
          </w:p>
        </w:tc>
        <w:tc>
          <w:tcPr>
            <w:tcW w:w="3139" w:type="dxa"/>
          </w:tcPr>
          <w:p>
            <w:pPr>
              <w:pStyle w:val="TableParagraph"/>
              <w:spacing w:line="209" w:lineRule="exact"/>
              <w:ind w:left="157"/>
              <w:rPr>
                <w:sz w:val="20"/>
              </w:rPr>
            </w:pPr>
            <w:r>
              <w:rPr>
                <w:sz w:val="20"/>
              </w:rPr>
              <w:t>Sardinian</w:t>
            </w:r>
            <w:r>
              <w:rPr>
                <w:spacing w:val="-13"/>
                <w:sz w:val="20"/>
              </w:rPr>
              <w:t> </w:t>
            </w:r>
            <w:r>
              <w:rPr>
                <w:sz w:val="20"/>
              </w:rPr>
              <w:t>(macrolanguage)</w:t>
            </w:r>
            <w:r>
              <w:rPr>
                <w:spacing w:val="-10"/>
                <w:sz w:val="20"/>
              </w:rPr>
              <w:t> </w:t>
            </w:r>
            <w:r>
              <w:rPr>
                <w:spacing w:val="-4"/>
                <w:sz w:val="20"/>
              </w:rPr>
              <w:t>(srd)</w:t>
            </w:r>
          </w:p>
        </w:tc>
      </w:tr>
      <w:tr>
        <w:trPr>
          <w:trHeight w:val="224" w:hRule="atLeast"/>
        </w:trPr>
        <w:tc>
          <w:tcPr>
            <w:tcW w:w="612" w:type="dxa"/>
          </w:tcPr>
          <w:p>
            <w:pPr>
              <w:pStyle w:val="TableParagraph"/>
              <w:spacing w:line="240" w:lineRule="auto"/>
              <w:rPr>
                <w:sz w:val="16"/>
              </w:rPr>
            </w:pPr>
          </w:p>
        </w:tc>
        <w:tc>
          <w:tcPr>
            <w:tcW w:w="4394" w:type="dxa"/>
          </w:tcPr>
          <w:p>
            <w:pPr>
              <w:pStyle w:val="TableParagraph"/>
              <w:spacing w:line="240" w:lineRule="auto"/>
              <w:rPr>
                <w:sz w:val="16"/>
              </w:rPr>
            </w:pPr>
          </w:p>
        </w:tc>
        <w:tc>
          <w:tcPr>
            <w:tcW w:w="936" w:type="dxa"/>
          </w:tcPr>
          <w:p>
            <w:pPr>
              <w:pStyle w:val="TableParagraph"/>
              <w:spacing w:line="204" w:lineRule="exact"/>
              <w:ind w:right="157"/>
              <w:jc w:val="right"/>
              <w:rPr>
                <w:sz w:val="20"/>
              </w:rPr>
            </w:pPr>
            <w:r>
              <w:rPr>
                <w:spacing w:val="-4"/>
                <w:sz w:val="20"/>
              </w:rPr>
              <w:t>1164</w:t>
            </w:r>
          </w:p>
        </w:tc>
        <w:tc>
          <w:tcPr>
            <w:tcW w:w="3139" w:type="dxa"/>
          </w:tcPr>
          <w:p>
            <w:pPr>
              <w:pStyle w:val="TableParagraph"/>
              <w:spacing w:line="204" w:lineRule="exact"/>
              <w:ind w:left="157"/>
              <w:rPr>
                <w:sz w:val="20"/>
              </w:rPr>
            </w:pPr>
            <w:r>
              <w:rPr>
                <w:sz w:val="20"/>
              </w:rPr>
              <w:t>Sicilian</w:t>
            </w:r>
            <w:r>
              <w:rPr>
                <w:spacing w:val="-7"/>
                <w:sz w:val="20"/>
              </w:rPr>
              <w:t> </w:t>
            </w:r>
            <w:r>
              <w:rPr>
                <w:spacing w:val="-2"/>
                <w:sz w:val="20"/>
              </w:rPr>
              <w:t>(scn)</w:t>
            </w:r>
          </w:p>
        </w:tc>
      </w:tr>
      <w:tr>
        <w:trPr>
          <w:trHeight w:val="230" w:hRule="atLeast"/>
        </w:trPr>
        <w:tc>
          <w:tcPr>
            <w:tcW w:w="9081" w:type="dxa"/>
            <w:gridSpan w:val="4"/>
          </w:tcPr>
          <w:p>
            <w:pPr>
              <w:pStyle w:val="TableParagraph"/>
              <w:tabs>
                <w:tab w:pos="5378" w:val="left" w:leader="none"/>
                <w:tab w:pos="6099" w:val="left" w:leader="none"/>
              </w:tabs>
              <w:ind w:left="50"/>
              <w:rPr>
                <w:sz w:val="20"/>
              </w:rPr>
            </w:pPr>
            <w:r>
              <w:rPr>
                <w:i/>
                <w:sz w:val="20"/>
                <w:u w:val="single"/>
              </w:rPr>
              <w:t>West</w:t>
            </w:r>
            <w:r>
              <w:rPr>
                <w:i/>
                <w:spacing w:val="-7"/>
                <w:sz w:val="20"/>
                <w:u w:val="single"/>
              </w:rPr>
              <w:t> </w:t>
            </w:r>
            <w:r>
              <w:rPr>
                <w:i/>
                <w:sz w:val="20"/>
                <w:u w:val="single"/>
              </w:rPr>
              <w:t>Germanic</w:t>
            </w:r>
            <w:r>
              <w:rPr>
                <w:i/>
                <w:spacing w:val="-6"/>
                <w:sz w:val="20"/>
                <w:u w:val="single"/>
              </w:rPr>
              <w:t> </w:t>
            </w:r>
            <w:r>
              <w:rPr>
                <w:i/>
                <w:sz w:val="20"/>
                <w:u w:val="single"/>
              </w:rPr>
              <w:t>languages</w:t>
            </w:r>
            <w:r>
              <w:rPr>
                <w:i/>
                <w:spacing w:val="-6"/>
                <w:sz w:val="20"/>
                <w:u w:val="single"/>
              </w:rPr>
              <w:t> </w:t>
            </w:r>
            <w:r>
              <w:rPr>
                <w:i/>
                <w:sz w:val="20"/>
                <w:u w:val="single"/>
              </w:rPr>
              <w:t>(1110-1139,</w:t>
            </w:r>
            <w:r>
              <w:rPr>
                <w:i/>
                <w:spacing w:val="-7"/>
                <w:sz w:val="20"/>
                <w:u w:val="single"/>
              </w:rPr>
              <w:t> </w:t>
            </w:r>
            <w:r>
              <w:rPr>
                <w:i/>
                <w:spacing w:val="-4"/>
                <w:sz w:val="20"/>
                <w:u w:val="single"/>
              </w:rPr>
              <w:t>1234)</w:t>
            </w:r>
            <w:r>
              <w:rPr>
                <w:i/>
                <w:sz w:val="20"/>
              </w:rPr>
              <w:tab/>
            </w:r>
            <w:r>
              <w:rPr>
                <w:spacing w:val="-4"/>
                <w:sz w:val="20"/>
              </w:rPr>
              <w:t>1165</w:t>
            </w:r>
            <w:r>
              <w:rPr>
                <w:sz w:val="20"/>
              </w:rPr>
              <w:tab/>
              <w:t>Venetian</w:t>
            </w:r>
            <w:r>
              <w:rPr>
                <w:spacing w:val="-8"/>
                <w:sz w:val="20"/>
              </w:rPr>
              <w:t> </w:t>
            </w:r>
            <w:r>
              <w:rPr>
                <w:spacing w:val="-2"/>
                <w:sz w:val="20"/>
              </w:rPr>
              <w:t>(vec)</w:t>
            </w:r>
          </w:p>
        </w:tc>
      </w:tr>
      <w:tr>
        <w:trPr>
          <w:trHeight w:val="465" w:hRule="atLeast"/>
        </w:trPr>
        <w:tc>
          <w:tcPr>
            <w:tcW w:w="612" w:type="dxa"/>
          </w:tcPr>
          <w:p>
            <w:pPr>
              <w:pStyle w:val="TableParagraph"/>
              <w:spacing w:line="240" w:lineRule="auto"/>
              <w:rPr>
                <w:sz w:val="18"/>
              </w:rPr>
            </w:pPr>
          </w:p>
        </w:tc>
        <w:tc>
          <w:tcPr>
            <w:tcW w:w="4394" w:type="dxa"/>
          </w:tcPr>
          <w:p>
            <w:pPr>
              <w:pStyle w:val="TableParagraph"/>
              <w:spacing w:line="240" w:lineRule="auto" w:before="1"/>
              <w:rPr>
                <w:sz w:val="20"/>
              </w:rPr>
            </w:pPr>
          </w:p>
          <w:p>
            <w:pPr>
              <w:pStyle w:val="TableParagraph"/>
              <w:spacing w:line="215" w:lineRule="exact"/>
              <w:ind w:left="158"/>
              <w:rPr>
                <w:i/>
                <w:sz w:val="20"/>
              </w:rPr>
            </w:pPr>
            <w:r>
              <w:rPr>
                <w:i/>
                <w:sz w:val="20"/>
              </w:rPr>
              <w:t>German</w:t>
            </w:r>
            <w:r>
              <w:rPr>
                <w:i/>
                <w:spacing w:val="-7"/>
                <w:sz w:val="20"/>
              </w:rPr>
              <w:t> </w:t>
            </w:r>
            <w:r>
              <w:rPr>
                <w:i/>
                <w:sz w:val="20"/>
              </w:rPr>
              <w:t>(1110-</w:t>
            </w:r>
            <w:r>
              <w:rPr>
                <w:i/>
                <w:spacing w:val="-4"/>
                <w:sz w:val="20"/>
              </w:rPr>
              <w:t>1124)</w:t>
            </w:r>
          </w:p>
        </w:tc>
        <w:tc>
          <w:tcPr>
            <w:tcW w:w="936" w:type="dxa"/>
          </w:tcPr>
          <w:p>
            <w:pPr>
              <w:pStyle w:val="TableParagraph"/>
              <w:spacing w:line="240" w:lineRule="auto"/>
              <w:rPr>
                <w:sz w:val="18"/>
              </w:rPr>
            </w:pPr>
          </w:p>
        </w:tc>
        <w:tc>
          <w:tcPr>
            <w:tcW w:w="3139" w:type="dxa"/>
          </w:tcPr>
          <w:p>
            <w:pPr>
              <w:pStyle w:val="TableParagraph"/>
              <w:spacing w:line="240" w:lineRule="auto" w:before="1"/>
              <w:rPr>
                <w:sz w:val="20"/>
              </w:rPr>
            </w:pPr>
          </w:p>
          <w:p>
            <w:pPr>
              <w:pStyle w:val="TableParagraph"/>
              <w:spacing w:line="215" w:lineRule="exact"/>
              <w:ind w:left="157"/>
              <w:rPr>
                <w:i/>
                <w:sz w:val="20"/>
              </w:rPr>
            </w:pPr>
            <w:r>
              <w:rPr>
                <w:i/>
                <w:sz w:val="20"/>
              </w:rPr>
              <w:t>French</w:t>
            </w:r>
            <w:r>
              <w:rPr>
                <w:i/>
                <w:spacing w:val="-10"/>
                <w:sz w:val="20"/>
              </w:rPr>
              <w:t> </w:t>
            </w:r>
            <w:r>
              <w:rPr>
                <w:i/>
                <w:sz w:val="20"/>
              </w:rPr>
              <w:t>(1170-</w:t>
            </w:r>
            <w:r>
              <w:rPr>
                <w:i/>
                <w:spacing w:val="-4"/>
                <w:sz w:val="20"/>
              </w:rPr>
              <w:t>1175)</w:t>
            </w:r>
          </w:p>
        </w:tc>
      </w:tr>
      <w:tr>
        <w:trPr>
          <w:trHeight w:val="230" w:hRule="atLeast"/>
        </w:trPr>
        <w:tc>
          <w:tcPr>
            <w:tcW w:w="612" w:type="dxa"/>
          </w:tcPr>
          <w:p>
            <w:pPr>
              <w:pStyle w:val="TableParagraph"/>
              <w:ind w:left="50"/>
              <w:rPr>
                <w:sz w:val="20"/>
              </w:rPr>
            </w:pPr>
            <w:r>
              <w:rPr>
                <w:spacing w:val="-4"/>
                <w:sz w:val="20"/>
              </w:rPr>
              <w:t>1110</w:t>
            </w:r>
          </w:p>
        </w:tc>
        <w:tc>
          <w:tcPr>
            <w:tcW w:w="4394" w:type="dxa"/>
          </w:tcPr>
          <w:p>
            <w:pPr>
              <w:pStyle w:val="TableParagraph"/>
              <w:ind w:left="158"/>
              <w:rPr>
                <w:sz w:val="20"/>
              </w:rPr>
            </w:pPr>
            <w:r>
              <w:rPr>
                <w:sz w:val="20"/>
              </w:rPr>
              <w:t>German</w:t>
            </w:r>
            <w:r>
              <w:rPr>
                <w:spacing w:val="-9"/>
                <w:sz w:val="20"/>
              </w:rPr>
              <w:t> </w:t>
            </w:r>
            <w:r>
              <w:rPr>
                <w:spacing w:val="-2"/>
                <w:sz w:val="20"/>
              </w:rPr>
              <w:t>(deu)</w:t>
            </w:r>
          </w:p>
        </w:tc>
        <w:tc>
          <w:tcPr>
            <w:tcW w:w="936" w:type="dxa"/>
          </w:tcPr>
          <w:p>
            <w:pPr>
              <w:pStyle w:val="TableParagraph"/>
              <w:ind w:right="157"/>
              <w:jc w:val="right"/>
              <w:rPr>
                <w:sz w:val="20"/>
              </w:rPr>
            </w:pPr>
            <w:r>
              <w:rPr>
                <w:spacing w:val="-4"/>
                <w:sz w:val="20"/>
              </w:rPr>
              <w:t>1170</w:t>
            </w:r>
          </w:p>
        </w:tc>
        <w:tc>
          <w:tcPr>
            <w:tcW w:w="3139" w:type="dxa"/>
          </w:tcPr>
          <w:p>
            <w:pPr>
              <w:pStyle w:val="TableParagraph"/>
              <w:ind w:left="157"/>
              <w:rPr>
                <w:sz w:val="20"/>
              </w:rPr>
            </w:pPr>
            <w:r>
              <w:rPr>
                <w:sz w:val="20"/>
              </w:rPr>
              <w:t>French</w:t>
            </w:r>
            <w:r>
              <w:rPr>
                <w:spacing w:val="-9"/>
                <w:sz w:val="20"/>
              </w:rPr>
              <w:t> </w:t>
            </w:r>
            <w:r>
              <w:rPr>
                <w:spacing w:val="-2"/>
                <w:sz w:val="20"/>
              </w:rPr>
              <w:t>(fra)</w:t>
            </w:r>
          </w:p>
        </w:tc>
      </w:tr>
      <w:tr>
        <w:trPr>
          <w:trHeight w:val="229" w:hRule="atLeast"/>
        </w:trPr>
        <w:tc>
          <w:tcPr>
            <w:tcW w:w="612" w:type="dxa"/>
          </w:tcPr>
          <w:p>
            <w:pPr>
              <w:pStyle w:val="TableParagraph"/>
              <w:spacing w:line="209" w:lineRule="exact"/>
              <w:ind w:left="50"/>
              <w:rPr>
                <w:sz w:val="20"/>
              </w:rPr>
            </w:pPr>
            <w:r>
              <w:rPr>
                <w:spacing w:val="-4"/>
                <w:sz w:val="20"/>
              </w:rPr>
              <w:t>1111</w:t>
            </w:r>
          </w:p>
        </w:tc>
        <w:tc>
          <w:tcPr>
            <w:tcW w:w="4394" w:type="dxa"/>
          </w:tcPr>
          <w:p>
            <w:pPr>
              <w:pStyle w:val="TableParagraph"/>
              <w:spacing w:line="209" w:lineRule="exact"/>
              <w:ind w:left="158"/>
              <w:rPr>
                <w:sz w:val="20"/>
              </w:rPr>
            </w:pPr>
            <w:r>
              <w:rPr>
                <w:sz w:val="20"/>
              </w:rPr>
              <w:t>Bavarian</w:t>
            </w:r>
            <w:r>
              <w:rPr>
                <w:spacing w:val="-8"/>
                <w:sz w:val="20"/>
              </w:rPr>
              <w:t> </w:t>
            </w:r>
            <w:r>
              <w:rPr>
                <w:spacing w:val="-2"/>
                <w:sz w:val="20"/>
              </w:rPr>
              <w:t>(bar)</w:t>
            </w:r>
          </w:p>
        </w:tc>
        <w:tc>
          <w:tcPr>
            <w:tcW w:w="936" w:type="dxa"/>
          </w:tcPr>
          <w:p>
            <w:pPr>
              <w:pStyle w:val="TableParagraph"/>
              <w:spacing w:line="209" w:lineRule="exact"/>
              <w:ind w:right="157"/>
              <w:jc w:val="right"/>
              <w:rPr>
                <w:sz w:val="20"/>
              </w:rPr>
            </w:pPr>
            <w:r>
              <w:rPr>
                <w:spacing w:val="-4"/>
                <w:sz w:val="20"/>
              </w:rPr>
              <w:t>1172</w:t>
            </w:r>
          </w:p>
        </w:tc>
        <w:tc>
          <w:tcPr>
            <w:tcW w:w="3139" w:type="dxa"/>
          </w:tcPr>
          <w:p>
            <w:pPr>
              <w:pStyle w:val="TableParagraph"/>
              <w:spacing w:line="209" w:lineRule="exact"/>
              <w:ind w:left="157"/>
              <w:rPr>
                <w:sz w:val="20"/>
              </w:rPr>
            </w:pPr>
            <w:r>
              <w:rPr>
                <w:sz w:val="20"/>
              </w:rPr>
              <w:t>Jèrriais</w:t>
            </w:r>
            <w:r>
              <w:rPr>
                <w:spacing w:val="-5"/>
                <w:sz w:val="20"/>
              </w:rPr>
              <w:t> </w:t>
            </w:r>
            <w:r>
              <w:rPr>
                <w:spacing w:val="-2"/>
                <w:sz w:val="20"/>
              </w:rPr>
              <w:t>(nrf)</w:t>
            </w:r>
          </w:p>
        </w:tc>
      </w:tr>
      <w:tr>
        <w:trPr>
          <w:trHeight w:val="229" w:hRule="atLeast"/>
        </w:trPr>
        <w:tc>
          <w:tcPr>
            <w:tcW w:w="612" w:type="dxa"/>
          </w:tcPr>
          <w:p>
            <w:pPr>
              <w:pStyle w:val="TableParagraph"/>
              <w:spacing w:line="209" w:lineRule="exact"/>
              <w:ind w:left="50"/>
              <w:rPr>
                <w:sz w:val="20"/>
              </w:rPr>
            </w:pPr>
            <w:r>
              <w:rPr>
                <w:spacing w:val="-4"/>
                <w:sz w:val="20"/>
              </w:rPr>
              <w:t>1112</w:t>
            </w:r>
          </w:p>
        </w:tc>
        <w:tc>
          <w:tcPr>
            <w:tcW w:w="4394" w:type="dxa"/>
          </w:tcPr>
          <w:p>
            <w:pPr>
              <w:pStyle w:val="TableParagraph"/>
              <w:spacing w:line="209" w:lineRule="exact"/>
              <w:ind w:left="158"/>
              <w:rPr>
                <w:sz w:val="20"/>
              </w:rPr>
            </w:pPr>
            <w:r>
              <w:rPr>
                <w:sz w:val="20"/>
              </w:rPr>
              <w:t>Hutterite</w:t>
            </w:r>
            <w:r>
              <w:rPr>
                <w:spacing w:val="-7"/>
                <w:sz w:val="20"/>
              </w:rPr>
              <w:t> </w:t>
            </w:r>
            <w:r>
              <w:rPr>
                <w:sz w:val="20"/>
              </w:rPr>
              <w:t>German</w:t>
            </w:r>
            <w:r>
              <w:rPr>
                <w:spacing w:val="-8"/>
                <w:sz w:val="20"/>
              </w:rPr>
              <w:t> </w:t>
            </w:r>
            <w:r>
              <w:rPr>
                <w:spacing w:val="-4"/>
                <w:sz w:val="20"/>
              </w:rPr>
              <w:t>(geh)</w:t>
            </w:r>
          </w:p>
        </w:tc>
        <w:tc>
          <w:tcPr>
            <w:tcW w:w="936" w:type="dxa"/>
          </w:tcPr>
          <w:p>
            <w:pPr>
              <w:pStyle w:val="TableParagraph"/>
              <w:spacing w:line="209" w:lineRule="exact"/>
              <w:ind w:right="157"/>
              <w:jc w:val="right"/>
              <w:rPr>
                <w:sz w:val="20"/>
              </w:rPr>
            </w:pPr>
            <w:r>
              <w:rPr>
                <w:spacing w:val="-4"/>
                <w:sz w:val="20"/>
              </w:rPr>
              <w:t>1174</w:t>
            </w:r>
          </w:p>
        </w:tc>
        <w:tc>
          <w:tcPr>
            <w:tcW w:w="3139" w:type="dxa"/>
          </w:tcPr>
          <w:p>
            <w:pPr>
              <w:pStyle w:val="TableParagraph"/>
              <w:spacing w:line="209" w:lineRule="exact"/>
              <w:ind w:left="157"/>
              <w:rPr>
                <w:sz w:val="20"/>
              </w:rPr>
            </w:pPr>
            <w:r>
              <w:rPr>
                <w:sz w:val="20"/>
              </w:rPr>
              <w:t>Walloon</w:t>
            </w:r>
            <w:r>
              <w:rPr>
                <w:spacing w:val="-5"/>
                <w:sz w:val="20"/>
              </w:rPr>
              <w:t> </w:t>
            </w:r>
            <w:r>
              <w:rPr>
                <w:spacing w:val="-2"/>
                <w:sz w:val="20"/>
              </w:rPr>
              <w:t>(wln)</w:t>
            </w:r>
          </w:p>
        </w:tc>
      </w:tr>
      <w:tr>
        <w:trPr>
          <w:trHeight w:val="230" w:hRule="atLeast"/>
        </w:trPr>
        <w:tc>
          <w:tcPr>
            <w:tcW w:w="612" w:type="dxa"/>
          </w:tcPr>
          <w:p>
            <w:pPr>
              <w:pStyle w:val="TableParagraph"/>
              <w:ind w:left="50"/>
              <w:rPr>
                <w:sz w:val="20"/>
              </w:rPr>
            </w:pPr>
            <w:r>
              <w:rPr>
                <w:spacing w:val="-4"/>
                <w:sz w:val="20"/>
              </w:rPr>
              <w:t>1113</w:t>
            </w:r>
          </w:p>
        </w:tc>
        <w:tc>
          <w:tcPr>
            <w:tcW w:w="4394" w:type="dxa"/>
          </w:tcPr>
          <w:p>
            <w:pPr>
              <w:pStyle w:val="TableParagraph"/>
              <w:ind w:left="158"/>
              <w:rPr>
                <w:sz w:val="20"/>
              </w:rPr>
            </w:pPr>
            <w:r>
              <w:rPr>
                <w:sz w:val="20"/>
              </w:rPr>
              <w:t>Low</w:t>
            </w:r>
            <w:r>
              <w:rPr>
                <w:spacing w:val="-7"/>
                <w:sz w:val="20"/>
              </w:rPr>
              <w:t> </w:t>
            </w:r>
            <w:r>
              <w:rPr>
                <w:sz w:val="20"/>
              </w:rPr>
              <w:t>German</w:t>
            </w:r>
            <w:r>
              <w:rPr>
                <w:spacing w:val="-5"/>
                <w:sz w:val="20"/>
              </w:rPr>
              <w:t> </w:t>
            </w:r>
            <w:r>
              <w:rPr>
                <w:spacing w:val="-4"/>
                <w:sz w:val="20"/>
              </w:rPr>
              <w:t>(nds)</w:t>
            </w:r>
          </w:p>
        </w:tc>
        <w:tc>
          <w:tcPr>
            <w:tcW w:w="936" w:type="dxa"/>
          </w:tcPr>
          <w:p>
            <w:pPr>
              <w:pStyle w:val="TableParagraph"/>
              <w:ind w:right="157"/>
              <w:jc w:val="right"/>
              <w:rPr>
                <w:sz w:val="20"/>
              </w:rPr>
            </w:pPr>
            <w:r>
              <w:rPr>
                <w:spacing w:val="-4"/>
                <w:sz w:val="20"/>
              </w:rPr>
              <w:t>1175</w:t>
            </w:r>
          </w:p>
        </w:tc>
        <w:tc>
          <w:tcPr>
            <w:tcW w:w="3139" w:type="dxa"/>
          </w:tcPr>
          <w:p>
            <w:pPr>
              <w:pStyle w:val="TableParagraph"/>
              <w:ind w:left="157"/>
              <w:rPr>
                <w:sz w:val="20"/>
              </w:rPr>
            </w:pPr>
            <w:r>
              <w:rPr>
                <w:sz w:val="20"/>
              </w:rPr>
              <w:t>Cajun</w:t>
            </w:r>
            <w:r>
              <w:rPr>
                <w:spacing w:val="-7"/>
                <w:sz w:val="20"/>
              </w:rPr>
              <w:t> </w:t>
            </w:r>
            <w:r>
              <w:rPr>
                <w:sz w:val="20"/>
              </w:rPr>
              <w:t>French</w:t>
            </w:r>
            <w:r>
              <w:rPr>
                <w:spacing w:val="-7"/>
                <w:sz w:val="20"/>
              </w:rPr>
              <w:t> </w:t>
            </w:r>
            <w:r>
              <w:rPr>
                <w:spacing w:val="-2"/>
                <w:sz w:val="20"/>
              </w:rPr>
              <w:t>(frc)</w:t>
            </w:r>
          </w:p>
        </w:tc>
      </w:tr>
      <w:tr>
        <w:trPr>
          <w:trHeight w:val="230" w:hRule="atLeast"/>
        </w:trPr>
        <w:tc>
          <w:tcPr>
            <w:tcW w:w="612" w:type="dxa"/>
          </w:tcPr>
          <w:p>
            <w:pPr>
              <w:pStyle w:val="TableParagraph"/>
              <w:spacing w:line="211" w:lineRule="exact"/>
              <w:ind w:left="50"/>
              <w:rPr>
                <w:sz w:val="20"/>
              </w:rPr>
            </w:pPr>
            <w:r>
              <w:rPr>
                <w:spacing w:val="-4"/>
                <w:sz w:val="20"/>
              </w:rPr>
              <w:t>1114</w:t>
            </w:r>
          </w:p>
        </w:tc>
        <w:tc>
          <w:tcPr>
            <w:tcW w:w="4394" w:type="dxa"/>
          </w:tcPr>
          <w:p>
            <w:pPr>
              <w:pStyle w:val="TableParagraph"/>
              <w:spacing w:line="211" w:lineRule="exact"/>
              <w:ind w:left="158"/>
              <w:rPr>
                <w:sz w:val="20"/>
              </w:rPr>
            </w:pPr>
            <w:r>
              <w:rPr>
                <w:sz w:val="20"/>
              </w:rPr>
              <w:t>Plautdietsch</w:t>
            </w:r>
            <w:r>
              <w:rPr>
                <w:spacing w:val="-12"/>
                <w:sz w:val="20"/>
              </w:rPr>
              <w:t> </w:t>
            </w:r>
            <w:r>
              <w:rPr>
                <w:spacing w:val="-2"/>
                <w:sz w:val="20"/>
              </w:rPr>
              <w:t>(ptd)</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1115</w:t>
            </w:r>
          </w:p>
        </w:tc>
        <w:tc>
          <w:tcPr>
            <w:tcW w:w="4394" w:type="dxa"/>
          </w:tcPr>
          <w:p>
            <w:pPr>
              <w:pStyle w:val="TableParagraph"/>
              <w:spacing w:line="211" w:lineRule="exact"/>
              <w:ind w:left="158"/>
              <w:rPr>
                <w:sz w:val="20"/>
              </w:rPr>
            </w:pPr>
            <w:r>
              <w:rPr>
                <w:sz w:val="20"/>
              </w:rPr>
              <w:t>Swabian</w:t>
            </w:r>
            <w:r>
              <w:rPr>
                <w:spacing w:val="-9"/>
                <w:sz w:val="20"/>
              </w:rPr>
              <w:t> </w:t>
            </w:r>
            <w:r>
              <w:rPr>
                <w:spacing w:val="-2"/>
                <w:sz w:val="20"/>
              </w:rPr>
              <w:t>(swg)</w:t>
            </w:r>
          </w:p>
        </w:tc>
        <w:tc>
          <w:tcPr>
            <w:tcW w:w="936" w:type="dxa"/>
          </w:tcPr>
          <w:p>
            <w:pPr>
              <w:pStyle w:val="TableParagraph"/>
              <w:spacing w:line="211" w:lineRule="exact"/>
              <w:ind w:right="157"/>
              <w:jc w:val="right"/>
              <w:rPr>
                <w:sz w:val="20"/>
              </w:rPr>
            </w:pPr>
            <w:r>
              <w:rPr>
                <w:spacing w:val="-4"/>
                <w:sz w:val="20"/>
              </w:rPr>
              <w:t>1176</w:t>
            </w:r>
          </w:p>
        </w:tc>
        <w:tc>
          <w:tcPr>
            <w:tcW w:w="3139" w:type="dxa"/>
          </w:tcPr>
          <w:p>
            <w:pPr>
              <w:pStyle w:val="TableParagraph"/>
              <w:spacing w:line="211" w:lineRule="exact"/>
              <w:ind w:left="157"/>
              <w:rPr>
                <w:sz w:val="20"/>
              </w:rPr>
            </w:pPr>
            <w:r>
              <w:rPr>
                <w:sz w:val="20"/>
              </w:rPr>
              <w:t>Occitan</w:t>
            </w:r>
            <w:r>
              <w:rPr>
                <w:spacing w:val="-5"/>
                <w:sz w:val="20"/>
              </w:rPr>
              <w:t> </w:t>
            </w:r>
            <w:r>
              <w:rPr>
                <w:sz w:val="20"/>
              </w:rPr>
              <w:t>(post</w:t>
            </w:r>
            <w:r>
              <w:rPr>
                <w:spacing w:val="-4"/>
                <w:sz w:val="20"/>
              </w:rPr>
              <w:t> </w:t>
            </w:r>
            <w:r>
              <w:rPr>
                <w:sz w:val="20"/>
              </w:rPr>
              <w:t>1500)</w:t>
            </w:r>
            <w:r>
              <w:rPr>
                <w:spacing w:val="-3"/>
                <w:sz w:val="20"/>
              </w:rPr>
              <w:t> </w:t>
            </w:r>
            <w:r>
              <w:rPr>
                <w:spacing w:val="-4"/>
                <w:sz w:val="20"/>
              </w:rPr>
              <w:t>(oci)</w:t>
            </w:r>
          </w:p>
        </w:tc>
      </w:tr>
      <w:tr>
        <w:trPr>
          <w:trHeight w:val="230" w:hRule="atLeast"/>
        </w:trPr>
        <w:tc>
          <w:tcPr>
            <w:tcW w:w="612" w:type="dxa"/>
          </w:tcPr>
          <w:p>
            <w:pPr>
              <w:pStyle w:val="TableParagraph"/>
              <w:ind w:left="50"/>
              <w:rPr>
                <w:sz w:val="20"/>
              </w:rPr>
            </w:pPr>
            <w:r>
              <w:rPr>
                <w:spacing w:val="-4"/>
                <w:sz w:val="20"/>
              </w:rPr>
              <w:t>1120</w:t>
            </w:r>
          </w:p>
        </w:tc>
        <w:tc>
          <w:tcPr>
            <w:tcW w:w="4394" w:type="dxa"/>
          </w:tcPr>
          <w:p>
            <w:pPr>
              <w:pStyle w:val="TableParagraph"/>
              <w:ind w:left="158"/>
              <w:rPr>
                <w:sz w:val="20"/>
              </w:rPr>
            </w:pPr>
            <w:r>
              <w:rPr>
                <w:sz w:val="20"/>
              </w:rPr>
              <w:t>Swiss</w:t>
            </w:r>
            <w:r>
              <w:rPr>
                <w:spacing w:val="-7"/>
                <w:sz w:val="20"/>
              </w:rPr>
              <w:t> </w:t>
            </w:r>
            <w:r>
              <w:rPr>
                <w:sz w:val="20"/>
              </w:rPr>
              <w:t>German</w:t>
            </w:r>
            <w:r>
              <w:rPr>
                <w:spacing w:val="-7"/>
                <w:sz w:val="20"/>
              </w:rPr>
              <w:t> </w:t>
            </w:r>
            <w:r>
              <w:rPr>
                <w:spacing w:val="-4"/>
                <w:sz w:val="20"/>
              </w:rPr>
              <w:t>(gsw)</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1121</w:t>
            </w:r>
          </w:p>
        </w:tc>
        <w:tc>
          <w:tcPr>
            <w:tcW w:w="4394" w:type="dxa"/>
          </w:tcPr>
          <w:p>
            <w:pPr>
              <w:pStyle w:val="TableParagraph"/>
              <w:spacing w:line="209" w:lineRule="exact"/>
              <w:ind w:left="158"/>
              <w:rPr>
                <w:sz w:val="20"/>
              </w:rPr>
            </w:pPr>
            <w:r>
              <w:rPr>
                <w:sz w:val="20"/>
              </w:rPr>
              <w:t>Upper</w:t>
            </w:r>
            <w:r>
              <w:rPr>
                <w:spacing w:val="-4"/>
                <w:sz w:val="20"/>
              </w:rPr>
              <w:t> </w:t>
            </w:r>
            <w:r>
              <w:rPr>
                <w:sz w:val="20"/>
              </w:rPr>
              <w:t>Saxon</w:t>
            </w:r>
            <w:r>
              <w:rPr>
                <w:spacing w:val="-5"/>
                <w:sz w:val="20"/>
              </w:rPr>
              <w:t> </w:t>
            </w:r>
            <w:r>
              <w:rPr>
                <w:spacing w:val="-2"/>
                <w:sz w:val="20"/>
              </w:rPr>
              <w:t>(sxu)</w:t>
            </w:r>
          </w:p>
        </w:tc>
        <w:tc>
          <w:tcPr>
            <w:tcW w:w="936" w:type="dxa"/>
          </w:tcPr>
          <w:p>
            <w:pPr>
              <w:pStyle w:val="TableParagraph"/>
              <w:spacing w:line="240" w:lineRule="auto"/>
              <w:rPr>
                <w:sz w:val="16"/>
              </w:rPr>
            </w:pPr>
          </w:p>
        </w:tc>
        <w:tc>
          <w:tcPr>
            <w:tcW w:w="3139" w:type="dxa"/>
          </w:tcPr>
          <w:p>
            <w:pPr>
              <w:pStyle w:val="TableParagraph"/>
              <w:spacing w:line="209" w:lineRule="exact"/>
              <w:ind w:left="157"/>
              <w:rPr>
                <w:i/>
                <w:sz w:val="20"/>
              </w:rPr>
            </w:pPr>
            <w:r>
              <w:rPr>
                <w:i/>
                <w:sz w:val="20"/>
              </w:rPr>
              <w:t>Spanish</w:t>
            </w:r>
            <w:r>
              <w:rPr>
                <w:i/>
                <w:spacing w:val="-8"/>
                <w:sz w:val="20"/>
              </w:rPr>
              <w:t> </w:t>
            </w:r>
            <w:r>
              <w:rPr>
                <w:i/>
                <w:sz w:val="20"/>
              </w:rPr>
              <w:t>(1200-</w:t>
            </w:r>
            <w:r>
              <w:rPr>
                <w:i/>
                <w:spacing w:val="-4"/>
                <w:sz w:val="20"/>
              </w:rPr>
              <w:t>1205)</w:t>
            </w:r>
          </w:p>
        </w:tc>
      </w:tr>
      <w:tr>
        <w:trPr>
          <w:trHeight w:val="229" w:hRule="atLeast"/>
        </w:trPr>
        <w:tc>
          <w:tcPr>
            <w:tcW w:w="612" w:type="dxa"/>
          </w:tcPr>
          <w:p>
            <w:pPr>
              <w:pStyle w:val="TableParagraph"/>
              <w:spacing w:line="209" w:lineRule="exact"/>
              <w:ind w:left="50"/>
              <w:rPr>
                <w:sz w:val="20"/>
              </w:rPr>
            </w:pPr>
            <w:r>
              <w:rPr>
                <w:spacing w:val="-4"/>
                <w:sz w:val="20"/>
              </w:rPr>
              <w:t>1122</w:t>
            </w:r>
          </w:p>
        </w:tc>
        <w:tc>
          <w:tcPr>
            <w:tcW w:w="4394" w:type="dxa"/>
          </w:tcPr>
          <w:p>
            <w:pPr>
              <w:pStyle w:val="TableParagraph"/>
              <w:spacing w:line="209" w:lineRule="exact"/>
              <w:ind w:left="158"/>
              <w:rPr>
                <w:sz w:val="20"/>
              </w:rPr>
            </w:pPr>
            <w:r>
              <w:rPr>
                <w:sz w:val="20"/>
              </w:rPr>
              <w:t>Limburgish</w:t>
            </w:r>
            <w:r>
              <w:rPr>
                <w:spacing w:val="-12"/>
                <w:sz w:val="20"/>
              </w:rPr>
              <w:t> </w:t>
            </w:r>
            <w:r>
              <w:rPr>
                <w:spacing w:val="-2"/>
                <w:sz w:val="20"/>
              </w:rPr>
              <w:t>(lim)</w:t>
            </w:r>
          </w:p>
        </w:tc>
        <w:tc>
          <w:tcPr>
            <w:tcW w:w="936" w:type="dxa"/>
          </w:tcPr>
          <w:p>
            <w:pPr>
              <w:pStyle w:val="TableParagraph"/>
              <w:spacing w:line="209" w:lineRule="exact"/>
              <w:ind w:right="157"/>
              <w:jc w:val="right"/>
              <w:rPr>
                <w:sz w:val="20"/>
              </w:rPr>
            </w:pPr>
            <w:r>
              <w:rPr>
                <w:spacing w:val="-4"/>
                <w:sz w:val="20"/>
              </w:rPr>
              <w:t>1200</w:t>
            </w:r>
          </w:p>
        </w:tc>
        <w:tc>
          <w:tcPr>
            <w:tcW w:w="3139" w:type="dxa"/>
          </w:tcPr>
          <w:p>
            <w:pPr>
              <w:pStyle w:val="TableParagraph"/>
              <w:spacing w:line="209" w:lineRule="exact"/>
              <w:ind w:left="157"/>
              <w:rPr>
                <w:sz w:val="20"/>
              </w:rPr>
            </w:pPr>
            <w:r>
              <w:rPr>
                <w:sz w:val="20"/>
              </w:rPr>
              <w:t>Spanish</w:t>
            </w:r>
            <w:r>
              <w:rPr>
                <w:spacing w:val="-8"/>
                <w:sz w:val="20"/>
              </w:rPr>
              <w:t> </w:t>
            </w:r>
            <w:r>
              <w:rPr>
                <w:spacing w:val="-2"/>
                <w:sz w:val="20"/>
              </w:rPr>
              <w:t>(spa)</w:t>
            </w:r>
          </w:p>
        </w:tc>
      </w:tr>
      <w:tr>
        <w:trPr>
          <w:trHeight w:val="230" w:hRule="atLeast"/>
        </w:trPr>
        <w:tc>
          <w:tcPr>
            <w:tcW w:w="612" w:type="dxa"/>
          </w:tcPr>
          <w:p>
            <w:pPr>
              <w:pStyle w:val="TableParagraph"/>
              <w:ind w:left="50"/>
              <w:rPr>
                <w:sz w:val="20"/>
              </w:rPr>
            </w:pPr>
            <w:r>
              <w:rPr>
                <w:spacing w:val="-4"/>
                <w:sz w:val="20"/>
              </w:rPr>
              <w:t>1123</w:t>
            </w:r>
          </w:p>
        </w:tc>
        <w:tc>
          <w:tcPr>
            <w:tcW w:w="4394" w:type="dxa"/>
          </w:tcPr>
          <w:p>
            <w:pPr>
              <w:pStyle w:val="TableParagraph"/>
              <w:ind w:left="158"/>
              <w:rPr>
                <w:sz w:val="20"/>
              </w:rPr>
            </w:pPr>
            <w:r>
              <w:rPr>
                <w:spacing w:val="-2"/>
                <w:sz w:val="20"/>
              </w:rPr>
              <w:t>Luxembourgish</w:t>
            </w:r>
            <w:r>
              <w:rPr>
                <w:spacing w:val="10"/>
                <w:sz w:val="20"/>
              </w:rPr>
              <w:t> </w:t>
            </w:r>
            <w:r>
              <w:rPr>
                <w:spacing w:val="-2"/>
                <w:sz w:val="20"/>
              </w:rPr>
              <w:t>(ltz)</w:t>
            </w:r>
          </w:p>
        </w:tc>
        <w:tc>
          <w:tcPr>
            <w:tcW w:w="936" w:type="dxa"/>
          </w:tcPr>
          <w:p>
            <w:pPr>
              <w:pStyle w:val="TableParagraph"/>
              <w:ind w:right="157"/>
              <w:jc w:val="right"/>
              <w:rPr>
                <w:sz w:val="20"/>
              </w:rPr>
            </w:pPr>
            <w:r>
              <w:rPr>
                <w:spacing w:val="-4"/>
                <w:sz w:val="20"/>
              </w:rPr>
              <w:t>1201</w:t>
            </w:r>
          </w:p>
        </w:tc>
        <w:tc>
          <w:tcPr>
            <w:tcW w:w="3139" w:type="dxa"/>
          </w:tcPr>
          <w:p>
            <w:pPr>
              <w:pStyle w:val="TableParagraph"/>
              <w:ind w:left="157"/>
              <w:rPr>
                <w:sz w:val="20"/>
              </w:rPr>
            </w:pPr>
            <w:r>
              <w:rPr>
                <w:sz w:val="20"/>
              </w:rPr>
              <w:t>Asturian</w:t>
            </w:r>
            <w:r>
              <w:rPr>
                <w:spacing w:val="-9"/>
                <w:sz w:val="20"/>
              </w:rPr>
              <w:t> </w:t>
            </w:r>
            <w:r>
              <w:rPr>
                <w:spacing w:val="-2"/>
                <w:sz w:val="20"/>
              </w:rPr>
              <w:t>(ast)</w:t>
            </w:r>
          </w:p>
        </w:tc>
      </w:tr>
      <w:tr>
        <w:trPr>
          <w:trHeight w:val="230" w:hRule="atLeast"/>
        </w:trPr>
        <w:tc>
          <w:tcPr>
            <w:tcW w:w="612" w:type="dxa"/>
          </w:tcPr>
          <w:p>
            <w:pPr>
              <w:pStyle w:val="TableParagraph"/>
              <w:spacing w:line="240" w:lineRule="auto"/>
              <w:rPr>
                <w:sz w:val="16"/>
              </w:rPr>
            </w:pPr>
          </w:p>
        </w:tc>
        <w:tc>
          <w:tcPr>
            <w:tcW w:w="4394" w:type="dxa"/>
          </w:tcPr>
          <w:p>
            <w:pPr>
              <w:pStyle w:val="TableParagraph"/>
              <w:spacing w:line="240" w:lineRule="auto"/>
              <w:rPr>
                <w:sz w:val="16"/>
              </w:rPr>
            </w:pPr>
          </w:p>
        </w:tc>
        <w:tc>
          <w:tcPr>
            <w:tcW w:w="936" w:type="dxa"/>
          </w:tcPr>
          <w:p>
            <w:pPr>
              <w:pStyle w:val="TableParagraph"/>
              <w:ind w:right="157"/>
              <w:jc w:val="right"/>
              <w:rPr>
                <w:sz w:val="20"/>
              </w:rPr>
            </w:pPr>
            <w:r>
              <w:rPr>
                <w:spacing w:val="-4"/>
                <w:sz w:val="20"/>
              </w:rPr>
              <w:t>1202</w:t>
            </w:r>
          </w:p>
        </w:tc>
        <w:tc>
          <w:tcPr>
            <w:tcW w:w="3139" w:type="dxa"/>
          </w:tcPr>
          <w:p>
            <w:pPr>
              <w:pStyle w:val="TableParagraph"/>
              <w:ind w:left="157"/>
              <w:rPr>
                <w:sz w:val="20"/>
              </w:rPr>
            </w:pPr>
            <w:r>
              <w:rPr>
                <w:sz w:val="20"/>
              </w:rPr>
              <w:t>Ladino</w:t>
            </w:r>
            <w:r>
              <w:rPr>
                <w:spacing w:val="-8"/>
                <w:sz w:val="20"/>
              </w:rPr>
              <w:t> </w:t>
            </w:r>
            <w:r>
              <w:rPr>
                <w:spacing w:val="-2"/>
                <w:sz w:val="20"/>
              </w:rPr>
              <w:t>(lad)</w:t>
            </w:r>
          </w:p>
        </w:tc>
      </w:tr>
      <w:tr>
        <w:trPr>
          <w:trHeight w:val="230" w:hRule="atLeast"/>
        </w:trPr>
        <w:tc>
          <w:tcPr>
            <w:tcW w:w="612" w:type="dxa"/>
          </w:tcPr>
          <w:p>
            <w:pPr>
              <w:pStyle w:val="TableParagraph"/>
              <w:ind w:left="50"/>
              <w:rPr>
                <w:sz w:val="20"/>
              </w:rPr>
            </w:pPr>
            <w:r>
              <w:rPr>
                <w:spacing w:val="-4"/>
                <w:sz w:val="20"/>
              </w:rPr>
              <w:t>1125</w:t>
            </w:r>
          </w:p>
        </w:tc>
        <w:tc>
          <w:tcPr>
            <w:tcW w:w="4394" w:type="dxa"/>
          </w:tcPr>
          <w:p>
            <w:pPr>
              <w:pStyle w:val="TableParagraph"/>
              <w:ind w:left="158"/>
              <w:rPr>
                <w:sz w:val="20"/>
              </w:rPr>
            </w:pPr>
            <w:r>
              <w:rPr>
                <w:sz w:val="20"/>
              </w:rPr>
              <w:t>Pennsylvania</w:t>
            </w:r>
            <w:r>
              <w:rPr>
                <w:spacing w:val="-10"/>
                <w:sz w:val="20"/>
              </w:rPr>
              <w:t> </w:t>
            </w:r>
            <w:r>
              <w:rPr>
                <w:sz w:val="20"/>
              </w:rPr>
              <w:t>German</w:t>
            </w:r>
            <w:r>
              <w:rPr>
                <w:spacing w:val="-10"/>
                <w:sz w:val="20"/>
              </w:rPr>
              <w:t> </w:t>
            </w:r>
            <w:r>
              <w:rPr>
                <w:spacing w:val="-2"/>
                <w:sz w:val="20"/>
              </w:rPr>
              <w:t>(pdc)</w:t>
            </w:r>
          </w:p>
        </w:tc>
        <w:tc>
          <w:tcPr>
            <w:tcW w:w="936" w:type="dxa"/>
          </w:tcPr>
          <w:p>
            <w:pPr>
              <w:pStyle w:val="TableParagraph"/>
              <w:ind w:right="157"/>
              <w:jc w:val="right"/>
              <w:rPr>
                <w:sz w:val="20"/>
              </w:rPr>
            </w:pPr>
            <w:r>
              <w:rPr>
                <w:spacing w:val="-4"/>
                <w:sz w:val="20"/>
              </w:rPr>
              <w:t>1205</w:t>
            </w:r>
          </w:p>
        </w:tc>
        <w:tc>
          <w:tcPr>
            <w:tcW w:w="3139" w:type="dxa"/>
          </w:tcPr>
          <w:p>
            <w:pPr>
              <w:pStyle w:val="TableParagraph"/>
              <w:ind w:left="157"/>
              <w:rPr>
                <w:sz w:val="20"/>
              </w:rPr>
            </w:pPr>
            <w:r>
              <w:rPr>
                <w:sz w:val="20"/>
              </w:rPr>
              <w:t>Caló</w:t>
            </w:r>
            <w:r>
              <w:rPr>
                <w:spacing w:val="-4"/>
                <w:sz w:val="20"/>
              </w:rPr>
              <w:t> </w:t>
            </w:r>
            <w:r>
              <w:rPr>
                <w:spacing w:val="-2"/>
                <w:sz w:val="20"/>
              </w:rPr>
              <w:t>(rmq)</w:t>
            </w:r>
          </w:p>
        </w:tc>
      </w:tr>
      <w:tr>
        <w:trPr>
          <w:trHeight w:val="230" w:hRule="atLeast"/>
        </w:trPr>
        <w:tc>
          <w:tcPr>
            <w:tcW w:w="612" w:type="dxa"/>
          </w:tcPr>
          <w:p>
            <w:pPr>
              <w:pStyle w:val="TableParagraph"/>
              <w:ind w:left="50"/>
              <w:rPr>
                <w:sz w:val="20"/>
              </w:rPr>
            </w:pPr>
            <w:r>
              <w:rPr>
                <w:spacing w:val="-4"/>
                <w:sz w:val="20"/>
              </w:rPr>
              <w:t>1130</w:t>
            </w:r>
          </w:p>
        </w:tc>
        <w:tc>
          <w:tcPr>
            <w:tcW w:w="4394" w:type="dxa"/>
          </w:tcPr>
          <w:p>
            <w:pPr>
              <w:pStyle w:val="TableParagraph"/>
              <w:ind w:left="158"/>
              <w:rPr>
                <w:sz w:val="20"/>
              </w:rPr>
            </w:pPr>
            <w:r>
              <w:rPr>
                <w:sz w:val="20"/>
              </w:rPr>
              <w:t>Yiddish</w:t>
            </w:r>
            <w:r>
              <w:rPr>
                <w:spacing w:val="-12"/>
                <w:sz w:val="20"/>
              </w:rPr>
              <w:t> </w:t>
            </w:r>
            <w:r>
              <w:rPr>
                <w:sz w:val="20"/>
              </w:rPr>
              <w:t>(macrolanguage)</w:t>
            </w:r>
            <w:r>
              <w:rPr>
                <w:spacing w:val="-7"/>
                <w:sz w:val="20"/>
              </w:rPr>
              <w:t> </w:t>
            </w:r>
            <w:r>
              <w:rPr>
                <w:spacing w:val="-4"/>
                <w:sz w:val="20"/>
              </w:rPr>
              <w:t>(yid)</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1131</w:t>
            </w:r>
          </w:p>
        </w:tc>
        <w:tc>
          <w:tcPr>
            <w:tcW w:w="4394" w:type="dxa"/>
          </w:tcPr>
          <w:p>
            <w:pPr>
              <w:pStyle w:val="TableParagraph"/>
              <w:spacing w:line="209" w:lineRule="exact"/>
              <w:ind w:left="158"/>
              <w:rPr>
                <w:sz w:val="20"/>
              </w:rPr>
            </w:pPr>
            <w:r>
              <w:rPr>
                <w:sz w:val="20"/>
              </w:rPr>
              <w:t>Eastern</w:t>
            </w:r>
            <w:r>
              <w:rPr>
                <w:spacing w:val="-6"/>
                <w:sz w:val="20"/>
              </w:rPr>
              <w:t> </w:t>
            </w:r>
            <w:r>
              <w:rPr>
                <w:sz w:val="20"/>
              </w:rPr>
              <w:t>Yiddish</w:t>
            </w:r>
            <w:r>
              <w:rPr>
                <w:spacing w:val="-6"/>
                <w:sz w:val="20"/>
              </w:rPr>
              <w:t> </w:t>
            </w:r>
            <w:r>
              <w:rPr>
                <w:spacing w:val="-4"/>
                <w:sz w:val="20"/>
              </w:rPr>
              <w:t>(ydd)</w:t>
            </w:r>
          </w:p>
        </w:tc>
        <w:tc>
          <w:tcPr>
            <w:tcW w:w="936" w:type="dxa"/>
          </w:tcPr>
          <w:p>
            <w:pPr>
              <w:pStyle w:val="TableParagraph"/>
              <w:spacing w:line="209" w:lineRule="exact"/>
              <w:ind w:right="157"/>
              <w:jc w:val="right"/>
              <w:rPr>
                <w:sz w:val="20"/>
              </w:rPr>
            </w:pPr>
            <w:r>
              <w:rPr>
                <w:spacing w:val="-4"/>
                <w:sz w:val="20"/>
              </w:rPr>
              <w:t>1206</w:t>
            </w:r>
          </w:p>
        </w:tc>
        <w:tc>
          <w:tcPr>
            <w:tcW w:w="3139" w:type="dxa"/>
          </w:tcPr>
          <w:p>
            <w:pPr>
              <w:pStyle w:val="TableParagraph"/>
              <w:spacing w:line="209" w:lineRule="exact"/>
              <w:ind w:left="157"/>
              <w:rPr>
                <w:sz w:val="20"/>
              </w:rPr>
            </w:pPr>
            <w:r>
              <w:rPr>
                <w:sz w:val="20"/>
              </w:rPr>
              <w:t>Catalan</w:t>
            </w:r>
            <w:r>
              <w:rPr>
                <w:spacing w:val="-7"/>
                <w:sz w:val="20"/>
              </w:rPr>
              <w:t> </w:t>
            </w:r>
            <w:r>
              <w:rPr>
                <w:spacing w:val="-2"/>
                <w:sz w:val="20"/>
              </w:rPr>
              <w:t>(cat)</w:t>
            </w:r>
          </w:p>
        </w:tc>
      </w:tr>
      <w:tr>
        <w:trPr>
          <w:trHeight w:val="229" w:hRule="atLeast"/>
        </w:trPr>
        <w:tc>
          <w:tcPr>
            <w:tcW w:w="612" w:type="dxa"/>
          </w:tcPr>
          <w:p>
            <w:pPr>
              <w:pStyle w:val="TableParagraph"/>
              <w:spacing w:line="209" w:lineRule="exact"/>
              <w:ind w:left="50"/>
              <w:rPr>
                <w:sz w:val="20"/>
              </w:rPr>
            </w:pPr>
            <w:r>
              <w:rPr>
                <w:spacing w:val="-4"/>
                <w:sz w:val="20"/>
              </w:rPr>
              <w:t>1132</w:t>
            </w:r>
          </w:p>
        </w:tc>
        <w:tc>
          <w:tcPr>
            <w:tcW w:w="4394" w:type="dxa"/>
          </w:tcPr>
          <w:p>
            <w:pPr>
              <w:pStyle w:val="TableParagraph"/>
              <w:spacing w:line="209" w:lineRule="exact"/>
              <w:ind w:left="158"/>
              <w:rPr>
                <w:sz w:val="20"/>
              </w:rPr>
            </w:pPr>
            <w:r>
              <w:rPr>
                <w:sz w:val="20"/>
              </w:rPr>
              <w:t>Dutch</w:t>
            </w:r>
            <w:r>
              <w:rPr>
                <w:spacing w:val="-5"/>
                <w:sz w:val="20"/>
              </w:rPr>
              <w:t> </w:t>
            </w:r>
            <w:r>
              <w:rPr>
                <w:spacing w:val="-2"/>
                <w:sz w:val="20"/>
              </w:rPr>
              <w:t>(nld)</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226" w:hRule="atLeast"/>
        </w:trPr>
        <w:tc>
          <w:tcPr>
            <w:tcW w:w="612" w:type="dxa"/>
          </w:tcPr>
          <w:p>
            <w:pPr>
              <w:pStyle w:val="TableParagraph"/>
              <w:spacing w:line="207" w:lineRule="exact"/>
              <w:ind w:left="50"/>
              <w:rPr>
                <w:sz w:val="20"/>
              </w:rPr>
            </w:pPr>
            <w:r>
              <w:rPr>
                <w:spacing w:val="-4"/>
                <w:sz w:val="20"/>
              </w:rPr>
              <w:t>1133</w:t>
            </w:r>
          </w:p>
        </w:tc>
        <w:tc>
          <w:tcPr>
            <w:tcW w:w="4394" w:type="dxa"/>
          </w:tcPr>
          <w:p>
            <w:pPr>
              <w:pStyle w:val="TableParagraph"/>
              <w:spacing w:line="207" w:lineRule="exact"/>
              <w:ind w:left="158"/>
              <w:rPr>
                <w:sz w:val="20"/>
              </w:rPr>
            </w:pPr>
            <w:r>
              <w:rPr>
                <w:sz w:val="20"/>
              </w:rPr>
              <w:t>Vlaams</w:t>
            </w:r>
            <w:r>
              <w:rPr>
                <w:spacing w:val="-8"/>
                <w:sz w:val="20"/>
              </w:rPr>
              <w:t> </w:t>
            </w:r>
            <w:r>
              <w:rPr>
                <w:spacing w:val="-2"/>
                <w:sz w:val="20"/>
              </w:rPr>
              <w:t>(vls)</w:t>
            </w:r>
          </w:p>
        </w:tc>
        <w:tc>
          <w:tcPr>
            <w:tcW w:w="936" w:type="dxa"/>
          </w:tcPr>
          <w:p>
            <w:pPr>
              <w:pStyle w:val="TableParagraph"/>
              <w:spacing w:line="240" w:lineRule="auto"/>
              <w:rPr>
                <w:sz w:val="16"/>
              </w:rPr>
            </w:pPr>
          </w:p>
        </w:tc>
        <w:tc>
          <w:tcPr>
            <w:tcW w:w="3139" w:type="dxa"/>
          </w:tcPr>
          <w:p>
            <w:pPr>
              <w:pStyle w:val="TableParagraph"/>
              <w:spacing w:line="207" w:lineRule="exact"/>
              <w:ind w:left="157"/>
              <w:rPr>
                <w:i/>
                <w:sz w:val="20"/>
              </w:rPr>
            </w:pPr>
            <w:r>
              <w:rPr>
                <w:i/>
                <w:sz w:val="20"/>
              </w:rPr>
              <w:t>Portuguese</w:t>
            </w:r>
            <w:r>
              <w:rPr>
                <w:i/>
                <w:spacing w:val="-11"/>
                <w:sz w:val="20"/>
              </w:rPr>
              <w:t> </w:t>
            </w:r>
            <w:r>
              <w:rPr>
                <w:i/>
                <w:sz w:val="20"/>
              </w:rPr>
              <w:t>(1069-1073,</w:t>
            </w:r>
            <w:r>
              <w:rPr>
                <w:i/>
                <w:spacing w:val="-9"/>
                <w:sz w:val="20"/>
              </w:rPr>
              <w:t> </w:t>
            </w:r>
            <w:r>
              <w:rPr>
                <w:i/>
                <w:sz w:val="20"/>
              </w:rPr>
              <w:t>1210-</w:t>
            </w:r>
            <w:r>
              <w:rPr>
                <w:i/>
                <w:spacing w:val="-4"/>
                <w:sz w:val="20"/>
              </w:rPr>
              <w:t>1217)</w:t>
            </w:r>
          </w:p>
        </w:tc>
      </w:tr>
      <w:tr>
        <w:trPr>
          <w:trHeight w:val="230" w:hRule="atLeast"/>
        </w:trPr>
        <w:tc>
          <w:tcPr>
            <w:tcW w:w="612" w:type="dxa"/>
          </w:tcPr>
          <w:p>
            <w:pPr>
              <w:pStyle w:val="TableParagraph"/>
              <w:ind w:left="50"/>
              <w:rPr>
                <w:sz w:val="20"/>
              </w:rPr>
            </w:pPr>
            <w:r>
              <w:rPr>
                <w:spacing w:val="-4"/>
                <w:sz w:val="20"/>
              </w:rPr>
              <w:t>1134</w:t>
            </w:r>
          </w:p>
        </w:tc>
        <w:tc>
          <w:tcPr>
            <w:tcW w:w="4394" w:type="dxa"/>
          </w:tcPr>
          <w:p>
            <w:pPr>
              <w:pStyle w:val="TableParagraph"/>
              <w:ind w:left="158"/>
              <w:rPr>
                <w:sz w:val="20"/>
              </w:rPr>
            </w:pPr>
            <w:r>
              <w:rPr>
                <w:sz w:val="20"/>
              </w:rPr>
              <w:t>Afrikaans</w:t>
            </w:r>
            <w:r>
              <w:rPr>
                <w:spacing w:val="-10"/>
                <w:sz w:val="20"/>
              </w:rPr>
              <w:t> </w:t>
            </w:r>
            <w:r>
              <w:rPr>
                <w:spacing w:val="-2"/>
                <w:sz w:val="20"/>
              </w:rPr>
              <w:t>(afr)</w:t>
            </w:r>
          </w:p>
        </w:tc>
        <w:tc>
          <w:tcPr>
            <w:tcW w:w="936" w:type="dxa"/>
          </w:tcPr>
          <w:p>
            <w:pPr>
              <w:pStyle w:val="TableParagraph"/>
              <w:ind w:right="157"/>
              <w:jc w:val="right"/>
              <w:rPr>
                <w:sz w:val="20"/>
              </w:rPr>
            </w:pPr>
            <w:r>
              <w:rPr>
                <w:spacing w:val="-4"/>
                <w:sz w:val="20"/>
              </w:rPr>
              <w:t>1069</w:t>
            </w:r>
          </w:p>
        </w:tc>
        <w:tc>
          <w:tcPr>
            <w:tcW w:w="3139" w:type="dxa"/>
          </w:tcPr>
          <w:p>
            <w:pPr>
              <w:pStyle w:val="TableParagraph"/>
              <w:ind w:left="157"/>
              <w:rPr>
                <w:sz w:val="20"/>
              </w:rPr>
            </w:pPr>
            <w:r>
              <w:rPr>
                <w:spacing w:val="-2"/>
                <w:sz w:val="20"/>
              </w:rPr>
              <w:t>Kabuverdianu</w:t>
            </w:r>
            <w:r>
              <w:rPr>
                <w:spacing w:val="8"/>
                <w:sz w:val="20"/>
              </w:rPr>
              <w:t> </w:t>
            </w:r>
            <w:r>
              <w:rPr>
                <w:spacing w:val="-2"/>
                <w:sz w:val="20"/>
              </w:rPr>
              <w:t>(kea)</w:t>
            </w:r>
            <w:r>
              <w:rPr>
                <w:spacing w:val="-8"/>
                <w:sz w:val="20"/>
              </w:rPr>
              <w:t> </w:t>
            </w:r>
            <w:r>
              <w:rPr>
                <w:spacing w:val="-10"/>
                <w:sz w:val="20"/>
                <w:vertAlign w:val="superscript"/>
              </w:rPr>
              <w:t>1</w:t>
            </w:r>
          </w:p>
        </w:tc>
      </w:tr>
      <w:tr>
        <w:trPr>
          <w:trHeight w:val="234" w:hRule="atLeast"/>
        </w:trPr>
        <w:tc>
          <w:tcPr>
            <w:tcW w:w="612" w:type="dxa"/>
          </w:tcPr>
          <w:p>
            <w:pPr>
              <w:pStyle w:val="TableParagraph"/>
              <w:spacing w:line="214" w:lineRule="exact"/>
              <w:ind w:left="50"/>
              <w:rPr>
                <w:sz w:val="20"/>
              </w:rPr>
            </w:pPr>
            <w:r>
              <w:rPr>
                <w:spacing w:val="-4"/>
                <w:sz w:val="20"/>
              </w:rPr>
              <w:t>1135</w:t>
            </w:r>
          </w:p>
        </w:tc>
        <w:tc>
          <w:tcPr>
            <w:tcW w:w="4394" w:type="dxa"/>
          </w:tcPr>
          <w:p>
            <w:pPr>
              <w:pStyle w:val="TableParagraph"/>
              <w:spacing w:line="214" w:lineRule="exact"/>
              <w:ind w:left="158"/>
              <w:rPr>
                <w:sz w:val="20"/>
              </w:rPr>
            </w:pPr>
            <w:r>
              <w:rPr>
                <w:sz w:val="20"/>
              </w:rPr>
              <w:t>Northern</w:t>
            </w:r>
            <w:r>
              <w:rPr>
                <w:spacing w:val="-7"/>
                <w:sz w:val="20"/>
              </w:rPr>
              <w:t> </w:t>
            </w:r>
            <w:r>
              <w:rPr>
                <w:sz w:val="20"/>
              </w:rPr>
              <w:t>Frisian</w:t>
            </w:r>
            <w:r>
              <w:rPr>
                <w:spacing w:val="-7"/>
                <w:sz w:val="20"/>
              </w:rPr>
              <w:t> </w:t>
            </w:r>
            <w:r>
              <w:rPr>
                <w:spacing w:val="-4"/>
                <w:sz w:val="20"/>
              </w:rPr>
              <w:t>(frr)</w:t>
            </w:r>
          </w:p>
        </w:tc>
        <w:tc>
          <w:tcPr>
            <w:tcW w:w="936" w:type="dxa"/>
          </w:tcPr>
          <w:p>
            <w:pPr>
              <w:pStyle w:val="TableParagraph"/>
              <w:spacing w:line="214" w:lineRule="exact"/>
              <w:ind w:right="157"/>
              <w:jc w:val="right"/>
              <w:rPr>
                <w:sz w:val="20"/>
              </w:rPr>
            </w:pPr>
            <w:r>
              <w:rPr>
                <w:spacing w:val="-4"/>
                <w:sz w:val="20"/>
              </w:rPr>
              <w:t>1072</w:t>
            </w:r>
          </w:p>
        </w:tc>
        <w:tc>
          <w:tcPr>
            <w:tcW w:w="3139" w:type="dxa"/>
          </w:tcPr>
          <w:p>
            <w:pPr>
              <w:pStyle w:val="TableParagraph"/>
              <w:spacing w:line="214" w:lineRule="exact"/>
              <w:ind w:left="157"/>
              <w:rPr>
                <w:sz w:val="20"/>
              </w:rPr>
            </w:pPr>
            <w:r>
              <w:rPr>
                <w:sz w:val="20"/>
              </w:rPr>
              <w:t>Upper</w:t>
            </w:r>
            <w:r>
              <w:rPr>
                <w:spacing w:val="-9"/>
                <w:sz w:val="20"/>
              </w:rPr>
              <w:t> </w:t>
            </w:r>
            <w:r>
              <w:rPr>
                <w:sz w:val="20"/>
              </w:rPr>
              <w:t>Guinea</w:t>
            </w:r>
            <w:r>
              <w:rPr>
                <w:spacing w:val="-6"/>
                <w:sz w:val="20"/>
              </w:rPr>
              <w:t> </w:t>
            </w:r>
            <w:r>
              <w:rPr>
                <w:sz w:val="20"/>
              </w:rPr>
              <w:t>Crioulo</w:t>
            </w:r>
            <w:r>
              <w:rPr>
                <w:spacing w:val="-5"/>
                <w:sz w:val="20"/>
              </w:rPr>
              <w:t> </w:t>
            </w:r>
            <w:r>
              <w:rPr>
                <w:sz w:val="20"/>
              </w:rPr>
              <w:t>(pov)</w:t>
            </w:r>
            <w:r>
              <w:rPr>
                <w:spacing w:val="-13"/>
                <w:sz w:val="20"/>
              </w:rPr>
              <w:t> </w:t>
            </w:r>
            <w:r>
              <w:rPr>
                <w:spacing w:val="-10"/>
                <w:sz w:val="20"/>
                <w:vertAlign w:val="superscript"/>
              </w:rPr>
              <w:t>1</w:t>
            </w:r>
          </w:p>
        </w:tc>
      </w:tr>
      <w:tr>
        <w:trPr>
          <w:trHeight w:val="229" w:hRule="atLeast"/>
        </w:trPr>
        <w:tc>
          <w:tcPr>
            <w:tcW w:w="612" w:type="dxa"/>
          </w:tcPr>
          <w:p>
            <w:pPr>
              <w:pStyle w:val="TableParagraph"/>
              <w:spacing w:line="209" w:lineRule="exact"/>
              <w:ind w:left="50"/>
              <w:rPr>
                <w:sz w:val="20"/>
              </w:rPr>
            </w:pPr>
            <w:r>
              <w:rPr>
                <w:spacing w:val="-4"/>
                <w:sz w:val="20"/>
              </w:rPr>
              <w:t>1136</w:t>
            </w:r>
          </w:p>
        </w:tc>
        <w:tc>
          <w:tcPr>
            <w:tcW w:w="4394" w:type="dxa"/>
          </w:tcPr>
          <w:p>
            <w:pPr>
              <w:pStyle w:val="TableParagraph"/>
              <w:spacing w:line="209" w:lineRule="exact"/>
              <w:ind w:left="158"/>
              <w:rPr>
                <w:sz w:val="20"/>
              </w:rPr>
            </w:pPr>
            <w:r>
              <w:rPr>
                <w:sz w:val="20"/>
              </w:rPr>
              <w:t>Western</w:t>
            </w:r>
            <w:r>
              <w:rPr>
                <w:spacing w:val="-6"/>
                <w:sz w:val="20"/>
              </w:rPr>
              <w:t> </w:t>
            </w:r>
            <w:r>
              <w:rPr>
                <w:sz w:val="20"/>
              </w:rPr>
              <w:t>Frisian</w:t>
            </w:r>
            <w:r>
              <w:rPr>
                <w:spacing w:val="-6"/>
                <w:sz w:val="20"/>
              </w:rPr>
              <w:t> </w:t>
            </w:r>
            <w:r>
              <w:rPr>
                <w:spacing w:val="-4"/>
                <w:sz w:val="20"/>
              </w:rPr>
              <w:t>(fry)</w:t>
            </w:r>
          </w:p>
        </w:tc>
        <w:tc>
          <w:tcPr>
            <w:tcW w:w="936" w:type="dxa"/>
          </w:tcPr>
          <w:p>
            <w:pPr>
              <w:pStyle w:val="TableParagraph"/>
              <w:spacing w:line="209" w:lineRule="exact"/>
              <w:ind w:right="157"/>
              <w:jc w:val="right"/>
              <w:rPr>
                <w:sz w:val="20"/>
              </w:rPr>
            </w:pPr>
            <w:r>
              <w:rPr>
                <w:spacing w:val="-4"/>
                <w:sz w:val="20"/>
              </w:rPr>
              <w:t>1210</w:t>
            </w:r>
          </w:p>
        </w:tc>
        <w:tc>
          <w:tcPr>
            <w:tcW w:w="3139" w:type="dxa"/>
          </w:tcPr>
          <w:p>
            <w:pPr>
              <w:pStyle w:val="TableParagraph"/>
              <w:spacing w:line="209" w:lineRule="exact"/>
              <w:ind w:left="157"/>
              <w:rPr>
                <w:sz w:val="20"/>
              </w:rPr>
            </w:pPr>
            <w:r>
              <w:rPr>
                <w:spacing w:val="-2"/>
                <w:sz w:val="20"/>
              </w:rPr>
              <w:t>Portuguese</w:t>
            </w:r>
            <w:r>
              <w:rPr>
                <w:spacing w:val="7"/>
                <w:sz w:val="20"/>
              </w:rPr>
              <w:t> </w:t>
            </w:r>
            <w:r>
              <w:rPr>
                <w:spacing w:val="-2"/>
                <w:sz w:val="20"/>
              </w:rPr>
              <w:t>(por)</w:t>
            </w:r>
          </w:p>
        </w:tc>
      </w:tr>
      <w:tr>
        <w:trPr>
          <w:trHeight w:val="224" w:hRule="atLeast"/>
        </w:trPr>
        <w:tc>
          <w:tcPr>
            <w:tcW w:w="612" w:type="dxa"/>
          </w:tcPr>
          <w:p>
            <w:pPr>
              <w:pStyle w:val="TableParagraph"/>
              <w:spacing w:line="204" w:lineRule="exact"/>
              <w:ind w:left="50"/>
              <w:rPr>
                <w:sz w:val="20"/>
              </w:rPr>
            </w:pPr>
            <w:r>
              <w:rPr>
                <w:spacing w:val="-4"/>
                <w:sz w:val="20"/>
              </w:rPr>
              <w:t>1234</w:t>
            </w:r>
          </w:p>
        </w:tc>
        <w:tc>
          <w:tcPr>
            <w:tcW w:w="4394" w:type="dxa"/>
          </w:tcPr>
          <w:p>
            <w:pPr>
              <w:pStyle w:val="TableParagraph"/>
              <w:spacing w:line="204" w:lineRule="exact"/>
              <w:ind w:left="158"/>
              <w:rPr>
                <w:sz w:val="20"/>
              </w:rPr>
            </w:pPr>
            <w:r>
              <w:rPr>
                <w:sz w:val="20"/>
              </w:rPr>
              <w:t>Scots</w:t>
            </w:r>
            <w:r>
              <w:rPr>
                <w:spacing w:val="-5"/>
                <w:sz w:val="20"/>
              </w:rPr>
              <w:t> </w:t>
            </w:r>
            <w:r>
              <w:rPr>
                <w:spacing w:val="-2"/>
                <w:sz w:val="20"/>
              </w:rPr>
              <w:t>(sco)</w:t>
            </w:r>
          </w:p>
        </w:tc>
        <w:tc>
          <w:tcPr>
            <w:tcW w:w="936" w:type="dxa"/>
          </w:tcPr>
          <w:p>
            <w:pPr>
              <w:pStyle w:val="TableParagraph"/>
              <w:spacing w:line="204" w:lineRule="exact"/>
              <w:ind w:right="157"/>
              <w:jc w:val="right"/>
              <w:rPr>
                <w:sz w:val="20"/>
              </w:rPr>
            </w:pPr>
            <w:r>
              <w:rPr>
                <w:spacing w:val="-4"/>
                <w:sz w:val="20"/>
              </w:rPr>
              <w:t>1211</w:t>
            </w:r>
          </w:p>
        </w:tc>
        <w:tc>
          <w:tcPr>
            <w:tcW w:w="3139" w:type="dxa"/>
          </w:tcPr>
          <w:p>
            <w:pPr>
              <w:pStyle w:val="TableParagraph"/>
              <w:spacing w:line="204" w:lineRule="exact"/>
              <w:ind w:left="157"/>
              <w:rPr>
                <w:sz w:val="20"/>
              </w:rPr>
            </w:pPr>
            <w:r>
              <w:rPr>
                <w:sz w:val="20"/>
              </w:rPr>
              <w:t>Galician</w:t>
            </w:r>
            <w:r>
              <w:rPr>
                <w:spacing w:val="-8"/>
                <w:sz w:val="20"/>
              </w:rPr>
              <w:t> </w:t>
            </w:r>
            <w:r>
              <w:rPr>
                <w:spacing w:val="-2"/>
                <w:sz w:val="20"/>
              </w:rPr>
              <w:t>(glg)</w:t>
            </w:r>
          </w:p>
        </w:tc>
      </w:tr>
      <w:tr>
        <w:trPr>
          <w:trHeight w:val="461" w:hRule="atLeast"/>
        </w:trPr>
        <w:tc>
          <w:tcPr>
            <w:tcW w:w="9081" w:type="dxa"/>
            <w:gridSpan w:val="4"/>
          </w:tcPr>
          <w:p>
            <w:pPr>
              <w:pStyle w:val="TableParagraph"/>
              <w:spacing w:line="240" w:lineRule="auto" w:before="1"/>
              <w:rPr>
                <w:sz w:val="20"/>
              </w:rPr>
            </w:pPr>
          </w:p>
          <w:p>
            <w:pPr>
              <w:pStyle w:val="TableParagraph"/>
              <w:tabs>
                <w:tab w:pos="5378" w:val="left" w:leader="none"/>
                <w:tab w:pos="6099" w:val="left" w:leader="none"/>
              </w:tabs>
              <w:ind w:left="50"/>
              <w:rPr>
                <w:sz w:val="20"/>
              </w:rPr>
            </w:pPr>
            <w:r>
              <w:rPr>
                <w:i/>
                <w:sz w:val="20"/>
                <w:u w:val="single"/>
              </w:rPr>
              <w:t>Scandinavian</w:t>
            </w:r>
            <w:r>
              <w:rPr>
                <w:i/>
                <w:spacing w:val="-10"/>
                <w:sz w:val="20"/>
                <w:u w:val="single"/>
              </w:rPr>
              <w:t> </w:t>
            </w:r>
            <w:r>
              <w:rPr>
                <w:i/>
                <w:sz w:val="20"/>
                <w:u w:val="single"/>
              </w:rPr>
              <w:t>languages</w:t>
            </w:r>
            <w:r>
              <w:rPr>
                <w:i/>
                <w:spacing w:val="-9"/>
                <w:sz w:val="20"/>
                <w:u w:val="single"/>
              </w:rPr>
              <w:t> </w:t>
            </w:r>
            <w:r>
              <w:rPr>
                <w:i/>
                <w:sz w:val="20"/>
                <w:u w:val="single"/>
              </w:rPr>
              <w:t>(1140-</w:t>
            </w:r>
            <w:r>
              <w:rPr>
                <w:i/>
                <w:spacing w:val="-4"/>
                <w:sz w:val="20"/>
                <w:u w:val="single"/>
              </w:rPr>
              <w:t>1146)</w:t>
            </w:r>
            <w:r>
              <w:rPr>
                <w:i/>
                <w:sz w:val="20"/>
              </w:rPr>
              <w:tab/>
            </w:r>
            <w:r>
              <w:rPr>
                <w:spacing w:val="-4"/>
                <w:sz w:val="20"/>
              </w:rPr>
              <w:t>1218</w:t>
            </w:r>
            <w:r>
              <w:rPr>
                <w:sz w:val="20"/>
              </w:rPr>
              <w:tab/>
              <w:t>Aromanian</w:t>
            </w:r>
            <w:r>
              <w:rPr>
                <w:spacing w:val="-12"/>
                <w:sz w:val="20"/>
              </w:rPr>
              <w:t> </w:t>
            </w:r>
            <w:r>
              <w:rPr>
                <w:spacing w:val="-2"/>
                <w:sz w:val="20"/>
              </w:rPr>
              <w:t>(aen)</w:t>
            </w:r>
          </w:p>
        </w:tc>
      </w:tr>
      <w:tr>
        <w:trPr>
          <w:trHeight w:val="235" w:hRule="atLeast"/>
        </w:trPr>
        <w:tc>
          <w:tcPr>
            <w:tcW w:w="612" w:type="dxa"/>
          </w:tcPr>
          <w:p>
            <w:pPr>
              <w:pStyle w:val="TableParagraph"/>
              <w:spacing w:line="205" w:lineRule="exact"/>
              <w:ind w:left="50"/>
              <w:rPr>
                <w:sz w:val="20"/>
              </w:rPr>
            </w:pPr>
            <w:r>
              <w:rPr>
                <w:spacing w:val="-4"/>
                <w:sz w:val="20"/>
              </w:rPr>
              <w:t>1140</w:t>
            </w:r>
          </w:p>
        </w:tc>
        <w:tc>
          <w:tcPr>
            <w:tcW w:w="4394" w:type="dxa"/>
          </w:tcPr>
          <w:p>
            <w:pPr>
              <w:pStyle w:val="TableParagraph"/>
              <w:spacing w:line="205" w:lineRule="exact"/>
              <w:ind w:left="158"/>
              <w:rPr>
                <w:sz w:val="20"/>
              </w:rPr>
            </w:pPr>
            <w:r>
              <w:rPr>
                <w:sz w:val="20"/>
              </w:rPr>
              <w:t>Swedish</w:t>
            </w:r>
            <w:r>
              <w:rPr>
                <w:spacing w:val="-10"/>
                <w:sz w:val="20"/>
              </w:rPr>
              <w:t> </w:t>
            </w:r>
            <w:r>
              <w:rPr>
                <w:spacing w:val="-2"/>
                <w:sz w:val="20"/>
              </w:rPr>
              <w:t>(swe)</w:t>
            </w:r>
          </w:p>
        </w:tc>
        <w:tc>
          <w:tcPr>
            <w:tcW w:w="936" w:type="dxa"/>
          </w:tcPr>
          <w:p>
            <w:pPr>
              <w:pStyle w:val="TableParagraph"/>
              <w:spacing w:line="205" w:lineRule="exact"/>
              <w:ind w:right="157"/>
              <w:jc w:val="right"/>
              <w:rPr>
                <w:sz w:val="20"/>
              </w:rPr>
            </w:pPr>
            <w:r>
              <w:rPr>
                <w:spacing w:val="-4"/>
                <w:sz w:val="20"/>
              </w:rPr>
              <w:t>1220</w:t>
            </w:r>
          </w:p>
        </w:tc>
        <w:tc>
          <w:tcPr>
            <w:tcW w:w="3139" w:type="dxa"/>
          </w:tcPr>
          <w:p>
            <w:pPr>
              <w:pStyle w:val="TableParagraph"/>
              <w:spacing w:line="205" w:lineRule="exact"/>
              <w:ind w:left="157"/>
              <w:rPr>
                <w:sz w:val="20"/>
              </w:rPr>
            </w:pPr>
            <w:r>
              <w:rPr>
                <w:sz w:val="20"/>
              </w:rPr>
              <w:t>Romanian</w:t>
            </w:r>
            <w:r>
              <w:rPr>
                <w:spacing w:val="-10"/>
                <w:sz w:val="20"/>
              </w:rPr>
              <w:t> </w:t>
            </w:r>
            <w:r>
              <w:rPr>
                <w:spacing w:val="-2"/>
                <w:sz w:val="20"/>
              </w:rPr>
              <w:t>(ron)</w:t>
            </w:r>
          </w:p>
        </w:tc>
      </w:tr>
      <w:tr>
        <w:trPr>
          <w:trHeight w:val="230" w:hRule="atLeast"/>
        </w:trPr>
        <w:tc>
          <w:tcPr>
            <w:tcW w:w="612" w:type="dxa"/>
          </w:tcPr>
          <w:p>
            <w:pPr>
              <w:pStyle w:val="TableParagraph"/>
              <w:ind w:left="50"/>
              <w:rPr>
                <w:sz w:val="20"/>
              </w:rPr>
            </w:pPr>
            <w:r>
              <w:rPr>
                <w:spacing w:val="-4"/>
                <w:sz w:val="20"/>
              </w:rPr>
              <w:t>1141</w:t>
            </w:r>
          </w:p>
        </w:tc>
        <w:tc>
          <w:tcPr>
            <w:tcW w:w="4394" w:type="dxa"/>
          </w:tcPr>
          <w:p>
            <w:pPr>
              <w:pStyle w:val="TableParagraph"/>
              <w:ind w:left="158"/>
              <w:rPr>
                <w:sz w:val="20"/>
              </w:rPr>
            </w:pPr>
            <w:r>
              <w:rPr>
                <w:sz w:val="20"/>
              </w:rPr>
              <w:t>Danish</w:t>
            </w:r>
            <w:r>
              <w:rPr>
                <w:spacing w:val="-7"/>
                <w:sz w:val="20"/>
              </w:rPr>
              <w:t> </w:t>
            </w:r>
            <w:r>
              <w:rPr>
                <w:spacing w:val="-2"/>
                <w:sz w:val="20"/>
              </w:rPr>
              <w:t>(dan)</w:t>
            </w:r>
          </w:p>
        </w:tc>
        <w:tc>
          <w:tcPr>
            <w:tcW w:w="936" w:type="dxa"/>
          </w:tcPr>
          <w:p>
            <w:pPr>
              <w:pStyle w:val="TableParagraph"/>
              <w:ind w:right="157"/>
              <w:jc w:val="right"/>
              <w:rPr>
                <w:sz w:val="20"/>
              </w:rPr>
            </w:pPr>
            <w:r>
              <w:rPr>
                <w:spacing w:val="-4"/>
                <w:sz w:val="20"/>
              </w:rPr>
              <w:t>1221</w:t>
            </w:r>
          </w:p>
        </w:tc>
        <w:tc>
          <w:tcPr>
            <w:tcW w:w="3139" w:type="dxa"/>
          </w:tcPr>
          <w:p>
            <w:pPr>
              <w:pStyle w:val="TableParagraph"/>
              <w:ind w:left="157"/>
              <w:rPr>
                <w:sz w:val="20"/>
              </w:rPr>
            </w:pPr>
            <w:r>
              <w:rPr>
                <w:sz w:val="20"/>
              </w:rPr>
              <w:t>Istro</w:t>
            </w:r>
            <w:r>
              <w:rPr>
                <w:spacing w:val="-7"/>
                <w:sz w:val="20"/>
              </w:rPr>
              <w:t> </w:t>
            </w:r>
            <w:r>
              <w:rPr>
                <w:sz w:val="20"/>
              </w:rPr>
              <w:t>Romanian</w:t>
            </w:r>
            <w:r>
              <w:rPr>
                <w:spacing w:val="-7"/>
                <w:sz w:val="20"/>
              </w:rPr>
              <w:t> </w:t>
            </w:r>
            <w:r>
              <w:rPr>
                <w:spacing w:val="-4"/>
                <w:sz w:val="20"/>
              </w:rPr>
              <w:t>(ruo)</w:t>
            </w:r>
          </w:p>
        </w:tc>
      </w:tr>
      <w:tr>
        <w:trPr>
          <w:trHeight w:val="229" w:hRule="atLeast"/>
        </w:trPr>
        <w:tc>
          <w:tcPr>
            <w:tcW w:w="612" w:type="dxa"/>
          </w:tcPr>
          <w:p>
            <w:pPr>
              <w:pStyle w:val="TableParagraph"/>
              <w:spacing w:line="209" w:lineRule="exact"/>
              <w:ind w:left="50"/>
              <w:rPr>
                <w:sz w:val="20"/>
              </w:rPr>
            </w:pPr>
            <w:r>
              <w:rPr>
                <w:spacing w:val="-4"/>
                <w:sz w:val="20"/>
              </w:rPr>
              <w:t>1142</w:t>
            </w:r>
          </w:p>
        </w:tc>
        <w:tc>
          <w:tcPr>
            <w:tcW w:w="4394" w:type="dxa"/>
          </w:tcPr>
          <w:p>
            <w:pPr>
              <w:pStyle w:val="TableParagraph"/>
              <w:spacing w:line="209" w:lineRule="exact"/>
              <w:ind w:left="158"/>
              <w:rPr>
                <w:sz w:val="20"/>
              </w:rPr>
            </w:pPr>
            <w:r>
              <w:rPr>
                <w:sz w:val="20"/>
              </w:rPr>
              <w:t>Norwegian</w:t>
            </w:r>
            <w:r>
              <w:rPr>
                <w:spacing w:val="-11"/>
                <w:sz w:val="20"/>
              </w:rPr>
              <w:t> </w:t>
            </w:r>
            <w:r>
              <w:rPr>
                <w:spacing w:val="-2"/>
                <w:sz w:val="20"/>
              </w:rPr>
              <w:t>(nor)</w:t>
            </w:r>
          </w:p>
        </w:tc>
        <w:tc>
          <w:tcPr>
            <w:tcW w:w="936" w:type="dxa"/>
          </w:tcPr>
          <w:p>
            <w:pPr>
              <w:pStyle w:val="TableParagraph"/>
              <w:spacing w:line="209" w:lineRule="exact"/>
              <w:ind w:right="157"/>
              <w:jc w:val="right"/>
              <w:rPr>
                <w:sz w:val="20"/>
              </w:rPr>
            </w:pPr>
            <w:r>
              <w:rPr>
                <w:spacing w:val="-4"/>
                <w:sz w:val="20"/>
              </w:rPr>
              <w:t>1223</w:t>
            </w:r>
          </w:p>
        </w:tc>
        <w:tc>
          <w:tcPr>
            <w:tcW w:w="3139" w:type="dxa"/>
          </w:tcPr>
          <w:p>
            <w:pPr>
              <w:pStyle w:val="TableParagraph"/>
              <w:spacing w:line="209" w:lineRule="exact"/>
              <w:ind w:left="157"/>
              <w:rPr>
                <w:sz w:val="20"/>
              </w:rPr>
            </w:pPr>
            <w:r>
              <w:rPr>
                <w:sz w:val="20"/>
              </w:rPr>
              <w:t>Ladin</w:t>
            </w:r>
            <w:r>
              <w:rPr>
                <w:spacing w:val="-8"/>
                <w:sz w:val="20"/>
              </w:rPr>
              <w:t> </w:t>
            </w:r>
            <w:r>
              <w:rPr>
                <w:spacing w:val="-4"/>
                <w:sz w:val="20"/>
              </w:rPr>
              <w:t>(lld)</w:t>
            </w:r>
          </w:p>
        </w:tc>
      </w:tr>
      <w:tr>
        <w:trPr>
          <w:trHeight w:val="229" w:hRule="atLeast"/>
        </w:trPr>
        <w:tc>
          <w:tcPr>
            <w:tcW w:w="612" w:type="dxa"/>
          </w:tcPr>
          <w:p>
            <w:pPr>
              <w:pStyle w:val="TableParagraph"/>
              <w:spacing w:line="209" w:lineRule="exact"/>
              <w:ind w:left="50"/>
              <w:rPr>
                <w:sz w:val="20"/>
              </w:rPr>
            </w:pPr>
            <w:r>
              <w:rPr>
                <w:spacing w:val="-4"/>
                <w:sz w:val="20"/>
              </w:rPr>
              <w:t>1143</w:t>
            </w:r>
          </w:p>
        </w:tc>
        <w:tc>
          <w:tcPr>
            <w:tcW w:w="4394" w:type="dxa"/>
          </w:tcPr>
          <w:p>
            <w:pPr>
              <w:pStyle w:val="TableParagraph"/>
              <w:spacing w:line="209" w:lineRule="exact"/>
              <w:ind w:left="158"/>
              <w:rPr>
                <w:sz w:val="20"/>
              </w:rPr>
            </w:pPr>
            <w:r>
              <w:rPr>
                <w:sz w:val="20"/>
              </w:rPr>
              <w:t>Icelandic</w:t>
            </w:r>
            <w:r>
              <w:rPr>
                <w:spacing w:val="-8"/>
                <w:sz w:val="20"/>
              </w:rPr>
              <w:t> </w:t>
            </w:r>
            <w:r>
              <w:rPr>
                <w:spacing w:val="-2"/>
                <w:sz w:val="20"/>
              </w:rPr>
              <w:t>(isl)</w:t>
            </w:r>
          </w:p>
        </w:tc>
        <w:tc>
          <w:tcPr>
            <w:tcW w:w="936" w:type="dxa"/>
          </w:tcPr>
          <w:p>
            <w:pPr>
              <w:pStyle w:val="TableParagraph"/>
              <w:spacing w:line="209" w:lineRule="exact"/>
              <w:ind w:right="157"/>
              <w:jc w:val="right"/>
              <w:rPr>
                <w:sz w:val="20"/>
              </w:rPr>
            </w:pPr>
            <w:r>
              <w:rPr>
                <w:spacing w:val="-4"/>
                <w:sz w:val="20"/>
              </w:rPr>
              <w:t>1225</w:t>
            </w:r>
          </w:p>
        </w:tc>
        <w:tc>
          <w:tcPr>
            <w:tcW w:w="3139" w:type="dxa"/>
          </w:tcPr>
          <w:p>
            <w:pPr>
              <w:pStyle w:val="TableParagraph"/>
              <w:spacing w:line="209" w:lineRule="exact"/>
              <w:ind w:left="157"/>
              <w:rPr>
                <w:sz w:val="20"/>
              </w:rPr>
            </w:pPr>
            <w:r>
              <w:rPr>
                <w:sz w:val="20"/>
              </w:rPr>
              <w:t>Romansh</w:t>
            </w:r>
            <w:r>
              <w:rPr>
                <w:spacing w:val="-10"/>
                <w:sz w:val="20"/>
              </w:rPr>
              <w:t> </w:t>
            </w:r>
            <w:r>
              <w:rPr>
                <w:spacing w:val="-2"/>
                <w:sz w:val="20"/>
              </w:rPr>
              <w:t>(roh)</w:t>
            </w:r>
          </w:p>
        </w:tc>
      </w:tr>
      <w:tr>
        <w:trPr>
          <w:trHeight w:val="225" w:hRule="atLeast"/>
        </w:trPr>
        <w:tc>
          <w:tcPr>
            <w:tcW w:w="612" w:type="dxa"/>
          </w:tcPr>
          <w:p>
            <w:pPr>
              <w:pStyle w:val="TableParagraph"/>
              <w:spacing w:line="205" w:lineRule="exact"/>
              <w:ind w:left="50"/>
              <w:rPr>
                <w:sz w:val="20"/>
              </w:rPr>
            </w:pPr>
            <w:r>
              <w:rPr>
                <w:spacing w:val="-4"/>
                <w:sz w:val="20"/>
              </w:rPr>
              <w:t>1144</w:t>
            </w:r>
          </w:p>
        </w:tc>
        <w:tc>
          <w:tcPr>
            <w:tcW w:w="4394" w:type="dxa"/>
          </w:tcPr>
          <w:p>
            <w:pPr>
              <w:pStyle w:val="TableParagraph"/>
              <w:spacing w:line="205" w:lineRule="exact"/>
              <w:ind w:left="158"/>
              <w:rPr>
                <w:sz w:val="20"/>
              </w:rPr>
            </w:pPr>
            <w:r>
              <w:rPr>
                <w:sz w:val="20"/>
              </w:rPr>
              <w:t>Faroese</w:t>
            </w:r>
            <w:r>
              <w:rPr>
                <w:spacing w:val="-6"/>
                <w:sz w:val="20"/>
              </w:rPr>
              <w:t> </w:t>
            </w:r>
            <w:r>
              <w:rPr>
                <w:spacing w:val="-2"/>
                <w:sz w:val="20"/>
              </w:rPr>
              <w:t>(fao)</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230" w:hRule="atLeast"/>
        </w:trPr>
        <w:tc>
          <w:tcPr>
            <w:tcW w:w="9081" w:type="dxa"/>
            <w:gridSpan w:val="4"/>
          </w:tcPr>
          <w:p>
            <w:pPr>
              <w:pStyle w:val="TableParagraph"/>
              <w:ind w:left="5379"/>
              <w:rPr>
                <w:i/>
                <w:sz w:val="20"/>
              </w:rPr>
            </w:pPr>
            <w:r>
              <w:rPr>
                <w:i/>
                <w:sz w:val="20"/>
                <w:u w:val="single"/>
              </w:rPr>
              <w:t>Celtic</w:t>
            </w:r>
            <w:r>
              <w:rPr>
                <w:i/>
                <w:spacing w:val="-7"/>
                <w:sz w:val="20"/>
                <w:u w:val="single"/>
              </w:rPr>
              <w:t> </w:t>
            </w:r>
            <w:r>
              <w:rPr>
                <w:i/>
                <w:sz w:val="20"/>
                <w:u w:val="single"/>
              </w:rPr>
              <w:t>languages</w:t>
            </w:r>
            <w:r>
              <w:rPr>
                <w:i/>
                <w:spacing w:val="-7"/>
                <w:sz w:val="20"/>
                <w:u w:val="single"/>
              </w:rPr>
              <w:t> </w:t>
            </w:r>
            <w:r>
              <w:rPr>
                <w:i/>
                <w:sz w:val="20"/>
                <w:u w:val="single"/>
              </w:rPr>
              <w:t>(1228-</w:t>
            </w:r>
            <w:r>
              <w:rPr>
                <w:i/>
                <w:spacing w:val="-4"/>
                <w:sz w:val="20"/>
                <w:u w:val="single"/>
              </w:rPr>
              <w:t>1233)</w:t>
            </w:r>
          </w:p>
        </w:tc>
      </w:tr>
      <w:tr>
        <w:trPr>
          <w:trHeight w:val="235" w:hRule="atLeast"/>
        </w:trPr>
        <w:tc>
          <w:tcPr>
            <w:tcW w:w="612" w:type="dxa"/>
          </w:tcPr>
          <w:p>
            <w:pPr>
              <w:pStyle w:val="TableParagraph"/>
              <w:spacing w:line="205" w:lineRule="exact"/>
              <w:ind w:left="50"/>
              <w:rPr>
                <w:sz w:val="20"/>
              </w:rPr>
            </w:pPr>
            <w:r>
              <w:rPr>
                <w:spacing w:val="-4"/>
                <w:sz w:val="20"/>
              </w:rPr>
              <w:t>1147</w:t>
            </w:r>
          </w:p>
        </w:tc>
        <w:tc>
          <w:tcPr>
            <w:tcW w:w="4394" w:type="dxa"/>
          </w:tcPr>
          <w:p>
            <w:pPr>
              <w:pStyle w:val="TableParagraph"/>
              <w:spacing w:line="205" w:lineRule="exact"/>
              <w:ind w:left="158"/>
              <w:rPr>
                <w:sz w:val="20"/>
              </w:rPr>
            </w:pPr>
            <w:r>
              <w:rPr>
                <w:sz w:val="20"/>
              </w:rPr>
              <w:t>Belgium</w:t>
            </w:r>
            <w:r>
              <w:rPr>
                <w:spacing w:val="-10"/>
                <w:sz w:val="20"/>
              </w:rPr>
              <w:t> </w:t>
            </w:r>
            <w:r>
              <w:rPr>
                <w:spacing w:val="-2"/>
                <w:sz w:val="20"/>
              </w:rPr>
              <w:t>N.E.C.</w:t>
            </w:r>
          </w:p>
        </w:tc>
        <w:tc>
          <w:tcPr>
            <w:tcW w:w="936" w:type="dxa"/>
          </w:tcPr>
          <w:p>
            <w:pPr>
              <w:pStyle w:val="TableParagraph"/>
              <w:spacing w:line="205" w:lineRule="exact"/>
              <w:ind w:right="157"/>
              <w:jc w:val="right"/>
              <w:rPr>
                <w:sz w:val="20"/>
              </w:rPr>
            </w:pPr>
            <w:r>
              <w:rPr>
                <w:spacing w:val="-4"/>
                <w:sz w:val="20"/>
              </w:rPr>
              <w:t>1228</w:t>
            </w:r>
          </w:p>
        </w:tc>
        <w:tc>
          <w:tcPr>
            <w:tcW w:w="3139" w:type="dxa"/>
          </w:tcPr>
          <w:p>
            <w:pPr>
              <w:pStyle w:val="TableParagraph"/>
              <w:spacing w:line="205" w:lineRule="exact"/>
              <w:ind w:left="157"/>
              <w:rPr>
                <w:sz w:val="20"/>
              </w:rPr>
            </w:pPr>
            <w:r>
              <w:rPr>
                <w:sz w:val="20"/>
              </w:rPr>
              <w:t>Welsh</w:t>
            </w:r>
            <w:r>
              <w:rPr>
                <w:spacing w:val="-7"/>
                <w:sz w:val="20"/>
              </w:rPr>
              <w:t> </w:t>
            </w:r>
            <w:r>
              <w:rPr>
                <w:spacing w:val="-2"/>
                <w:sz w:val="20"/>
              </w:rPr>
              <w:t>(cym)</w:t>
            </w:r>
          </w:p>
        </w:tc>
      </w:tr>
      <w:tr>
        <w:trPr>
          <w:trHeight w:val="225" w:hRule="atLeast"/>
        </w:trPr>
        <w:tc>
          <w:tcPr>
            <w:tcW w:w="612" w:type="dxa"/>
          </w:tcPr>
          <w:p>
            <w:pPr>
              <w:pStyle w:val="TableParagraph"/>
              <w:spacing w:line="240" w:lineRule="auto"/>
              <w:rPr>
                <w:sz w:val="16"/>
              </w:rPr>
            </w:pPr>
          </w:p>
        </w:tc>
        <w:tc>
          <w:tcPr>
            <w:tcW w:w="4394" w:type="dxa"/>
          </w:tcPr>
          <w:p>
            <w:pPr>
              <w:pStyle w:val="TableParagraph"/>
              <w:spacing w:line="240" w:lineRule="auto"/>
              <w:rPr>
                <w:sz w:val="16"/>
              </w:rPr>
            </w:pPr>
          </w:p>
        </w:tc>
        <w:tc>
          <w:tcPr>
            <w:tcW w:w="936" w:type="dxa"/>
          </w:tcPr>
          <w:p>
            <w:pPr>
              <w:pStyle w:val="TableParagraph"/>
              <w:spacing w:line="205" w:lineRule="exact"/>
              <w:ind w:right="157"/>
              <w:jc w:val="right"/>
              <w:rPr>
                <w:sz w:val="20"/>
              </w:rPr>
            </w:pPr>
            <w:r>
              <w:rPr>
                <w:spacing w:val="-4"/>
                <w:sz w:val="20"/>
              </w:rPr>
              <w:t>1229</w:t>
            </w:r>
          </w:p>
        </w:tc>
        <w:tc>
          <w:tcPr>
            <w:tcW w:w="3139" w:type="dxa"/>
          </w:tcPr>
          <w:p>
            <w:pPr>
              <w:pStyle w:val="TableParagraph"/>
              <w:spacing w:line="205" w:lineRule="exact"/>
              <w:ind w:left="157"/>
              <w:rPr>
                <w:sz w:val="20"/>
              </w:rPr>
            </w:pPr>
            <w:r>
              <w:rPr>
                <w:sz w:val="20"/>
              </w:rPr>
              <w:t>Breton</w:t>
            </w:r>
            <w:r>
              <w:rPr>
                <w:spacing w:val="-5"/>
                <w:sz w:val="20"/>
              </w:rPr>
              <w:t> </w:t>
            </w:r>
            <w:r>
              <w:rPr>
                <w:spacing w:val="-2"/>
                <w:sz w:val="20"/>
              </w:rPr>
              <w:t>(bre)</w:t>
            </w:r>
          </w:p>
        </w:tc>
      </w:tr>
      <w:tr>
        <w:trPr>
          <w:trHeight w:val="234" w:hRule="atLeast"/>
        </w:trPr>
        <w:tc>
          <w:tcPr>
            <w:tcW w:w="5006" w:type="dxa"/>
            <w:gridSpan w:val="2"/>
          </w:tcPr>
          <w:p>
            <w:pPr>
              <w:pStyle w:val="TableParagraph"/>
              <w:spacing w:line="204" w:lineRule="exact"/>
              <w:ind w:left="50"/>
              <w:rPr>
                <w:i/>
                <w:sz w:val="20"/>
              </w:rPr>
            </w:pPr>
            <w:r>
              <w:rPr>
                <w:i/>
                <w:sz w:val="20"/>
                <w:u w:val="single"/>
              </w:rPr>
              <w:t>Romance</w:t>
            </w:r>
            <w:r>
              <w:rPr>
                <w:i/>
                <w:spacing w:val="-9"/>
                <w:sz w:val="20"/>
                <w:u w:val="single"/>
              </w:rPr>
              <w:t> </w:t>
            </w:r>
            <w:r>
              <w:rPr>
                <w:i/>
                <w:sz w:val="20"/>
                <w:u w:val="single"/>
              </w:rPr>
              <w:t>languages</w:t>
            </w:r>
            <w:r>
              <w:rPr>
                <w:i/>
                <w:spacing w:val="-7"/>
                <w:sz w:val="20"/>
                <w:u w:val="single"/>
              </w:rPr>
              <w:t> </w:t>
            </w:r>
            <w:r>
              <w:rPr>
                <w:i/>
                <w:sz w:val="20"/>
                <w:u w:val="single"/>
              </w:rPr>
              <w:t>(1155-</w:t>
            </w:r>
            <w:r>
              <w:rPr>
                <w:i/>
                <w:spacing w:val="-4"/>
                <w:sz w:val="20"/>
                <w:u w:val="single"/>
              </w:rPr>
              <w:t>1227)</w:t>
            </w:r>
          </w:p>
        </w:tc>
        <w:tc>
          <w:tcPr>
            <w:tcW w:w="936" w:type="dxa"/>
          </w:tcPr>
          <w:p>
            <w:pPr>
              <w:pStyle w:val="TableParagraph"/>
              <w:spacing w:line="204" w:lineRule="exact"/>
              <w:ind w:right="157"/>
              <w:jc w:val="right"/>
              <w:rPr>
                <w:sz w:val="20"/>
              </w:rPr>
            </w:pPr>
            <w:r>
              <w:rPr>
                <w:spacing w:val="-4"/>
                <w:sz w:val="20"/>
              </w:rPr>
              <w:t>1230</w:t>
            </w:r>
          </w:p>
        </w:tc>
        <w:tc>
          <w:tcPr>
            <w:tcW w:w="3139" w:type="dxa"/>
          </w:tcPr>
          <w:p>
            <w:pPr>
              <w:pStyle w:val="TableParagraph"/>
              <w:spacing w:line="204" w:lineRule="exact"/>
              <w:ind w:left="157"/>
              <w:rPr>
                <w:sz w:val="20"/>
              </w:rPr>
            </w:pPr>
            <w:r>
              <w:rPr>
                <w:sz w:val="20"/>
              </w:rPr>
              <w:t>Cornish</w:t>
            </w:r>
            <w:r>
              <w:rPr>
                <w:spacing w:val="-9"/>
                <w:sz w:val="20"/>
              </w:rPr>
              <w:t> </w:t>
            </w:r>
            <w:r>
              <w:rPr>
                <w:spacing w:val="-2"/>
                <w:sz w:val="20"/>
              </w:rPr>
              <w:t>(cor)</w:t>
            </w:r>
          </w:p>
        </w:tc>
      </w:tr>
      <w:tr>
        <w:trPr>
          <w:trHeight w:val="224" w:hRule="atLeast"/>
        </w:trPr>
        <w:tc>
          <w:tcPr>
            <w:tcW w:w="5006" w:type="dxa"/>
            <w:gridSpan w:val="2"/>
          </w:tcPr>
          <w:p>
            <w:pPr>
              <w:pStyle w:val="TableParagraph"/>
              <w:spacing w:line="240" w:lineRule="auto"/>
              <w:rPr>
                <w:sz w:val="16"/>
              </w:rPr>
            </w:pPr>
          </w:p>
        </w:tc>
        <w:tc>
          <w:tcPr>
            <w:tcW w:w="936" w:type="dxa"/>
          </w:tcPr>
          <w:p>
            <w:pPr>
              <w:pStyle w:val="TableParagraph"/>
              <w:spacing w:line="204" w:lineRule="exact"/>
              <w:ind w:right="157"/>
              <w:jc w:val="right"/>
              <w:rPr>
                <w:sz w:val="20"/>
              </w:rPr>
            </w:pPr>
            <w:r>
              <w:rPr>
                <w:spacing w:val="-4"/>
                <w:sz w:val="20"/>
              </w:rPr>
              <w:t>1231</w:t>
            </w:r>
          </w:p>
        </w:tc>
        <w:tc>
          <w:tcPr>
            <w:tcW w:w="3139" w:type="dxa"/>
          </w:tcPr>
          <w:p>
            <w:pPr>
              <w:pStyle w:val="TableParagraph"/>
              <w:spacing w:line="204" w:lineRule="exact"/>
              <w:ind w:left="157"/>
              <w:rPr>
                <w:sz w:val="20"/>
              </w:rPr>
            </w:pPr>
            <w:r>
              <w:rPr>
                <w:sz w:val="20"/>
              </w:rPr>
              <w:t>Irish</w:t>
            </w:r>
            <w:r>
              <w:rPr>
                <w:spacing w:val="-6"/>
                <w:sz w:val="20"/>
              </w:rPr>
              <w:t> </w:t>
            </w:r>
            <w:r>
              <w:rPr>
                <w:spacing w:val="-2"/>
                <w:sz w:val="20"/>
              </w:rPr>
              <w:t>(gle)</w:t>
            </w:r>
          </w:p>
        </w:tc>
      </w:tr>
      <w:tr>
        <w:trPr>
          <w:trHeight w:val="235" w:hRule="atLeast"/>
        </w:trPr>
        <w:tc>
          <w:tcPr>
            <w:tcW w:w="612" w:type="dxa"/>
          </w:tcPr>
          <w:p>
            <w:pPr>
              <w:pStyle w:val="TableParagraph"/>
              <w:spacing w:line="240" w:lineRule="auto"/>
              <w:rPr>
                <w:sz w:val="16"/>
              </w:rPr>
            </w:pPr>
          </w:p>
        </w:tc>
        <w:tc>
          <w:tcPr>
            <w:tcW w:w="4394" w:type="dxa"/>
          </w:tcPr>
          <w:p>
            <w:pPr>
              <w:pStyle w:val="TableParagraph"/>
              <w:spacing w:line="205" w:lineRule="exact"/>
              <w:ind w:left="158"/>
              <w:rPr>
                <w:i/>
                <w:sz w:val="20"/>
              </w:rPr>
            </w:pPr>
            <w:r>
              <w:rPr>
                <w:i/>
                <w:sz w:val="20"/>
              </w:rPr>
              <w:t>Italian</w:t>
            </w:r>
            <w:r>
              <w:rPr>
                <w:i/>
                <w:spacing w:val="-10"/>
                <w:sz w:val="20"/>
              </w:rPr>
              <w:t> </w:t>
            </w:r>
            <w:r>
              <w:rPr>
                <w:i/>
                <w:sz w:val="20"/>
              </w:rPr>
              <w:t>(1155-</w:t>
            </w:r>
            <w:r>
              <w:rPr>
                <w:i/>
                <w:spacing w:val="-2"/>
                <w:sz w:val="20"/>
              </w:rPr>
              <w:t>1169)</w:t>
            </w:r>
          </w:p>
        </w:tc>
        <w:tc>
          <w:tcPr>
            <w:tcW w:w="936" w:type="dxa"/>
          </w:tcPr>
          <w:p>
            <w:pPr>
              <w:pStyle w:val="TableParagraph"/>
              <w:spacing w:line="205" w:lineRule="exact"/>
              <w:ind w:right="157"/>
              <w:jc w:val="right"/>
              <w:rPr>
                <w:sz w:val="20"/>
              </w:rPr>
            </w:pPr>
            <w:r>
              <w:rPr>
                <w:spacing w:val="-4"/>
                <w:sz w:val="20"/>
              </w:rPr>
              <w:t>1232</w:t>
            </w:r>
          </w:p>
        </w:tc>
        <w:tc>
          <w:tcPr>
            <w:tcW w:w="3139" w:type="dxa"/>
          </w:tcPr>
          <w:p>
            <w:pPr>
              <w:pStyle w:val="TableParagraph"/>
              <w:spacing w:line="205" w:lineRule="exact"/>
              <w:ind w:left="157"/>
              <w:rPr>
                <w:sz w:val="20"/>
              </w:rPr>
            </w:pPr>
            <w:r>
              <w:rPr>
                <w:sz w:val="20"/>
              </w:rPr>
              <w:t>Manx</w:t>
            </w:r>
            <w:r>
              <w:rPr>
                <w:spacing w:val="-8"/>
                <w:sz w:val="20"/>
              </w:rPr>
              <w:t> </w:t>
            </w:r>
            <w:r>
              <w:rPr>
                <w:spacing w:val="-2"/>
                <w:sz w:val="20"/>
              </w:rPr>
              <w:t>(glv)</w:t>
            </w:r>
          </w:p>
        </w:tc>
      </w:tr>
      <w:tr>
        <w:trPr>
          <w:trHeight w:val="230" w:hRule="atLeast"/>
        </w:trPr>
        <w:tc>
          <w:tcPr>
            <w:tcW w:w="612" w:type="dxa"/>
          </w:tcPr>
          <w:p>
            <w:pPr>
              <w:pStyle w:val="TableParagraph"/>
              <w:ind w:left="50"/>
              <w:rPr>
                <w:sz w:val="20"/>
              </w:rPr>
            </w:pPr>
            <w:r>
              <w:rPr>
                <w:spacing w:val="-4"/>
                <w:sz w:val="20"/>
              </w:rPr>
              <w:t>1155</w:t>
            </w:r>
          </w:p>
        </w:tc>
        <w:tc>
          <w:tcPr>
            <w:tcW w:w="4394" w:type="dxa"/>
          </w:tcPr>
          <w:p>
            <w:pPr>
              <w:pStyle w:val="TableParagraph"/>
              <w:ind w:left="158"/>
              <w:rPr>
                <w:sz w:val="20"/>
              </w:rPr>
            </w:pPr>
            <w:r>
              <w:rPr>
                <w:sz w:val="20"/>
              </w:rPr>
              <w:t>Italian</w:t>
            </w:r>
            <w:r>
              <w:rPr>
                <w:spacing w:val="-7"/>
                <w:sz w:val="20"/>
              </w:rPr>
              <w:t> </w:t>
            </w:r>
            <w:r>
              <w:rPr>
                <w:spacing w:val="-2"/>
                <w:sz w:val="20"/>
              </w:rPr>
              <w:t>(ita)</w:t>
            </w:r>
          </w:p>
        </w:tc>
        <w:tc>
          <w:tcPr>
            <w:tcW w:w="936" w:type="dxa"/>
          </w:tcPr>
          <w:p>
            <w:pPr>
              <w:pStyle w:val="TableParagraph"/>
              <w:ind w:right="157"/>
              <w:jc w:val="right"/>
              <w:rPr>
                <w:sz w:val="20"/>
              </w:rPr>
            </w:pPr>
            <w:r>
              <w:rPr>
                <w:spacing w:val="-4"/>
                <w:sz w:val="20"/>
              </w:rPr>
              <w:t>1233</w:t>
            </w:r>
          </w:p>
        </w:tc>
        <w:tc>
          <w:tcPr>
            <w:tcW w:w="3139" w:type="dxa"/>
          </w:tcPr>
          <w:p>
            <w:pPr>
              <w:pStyle w:val="TableParagraph"/>
              <w:ind w:left="157"/>
              <w:rPr>
                <w:sz w:val="20"/>
              </w:rPr>
            </w:pPr>
            <w:r>
              <w:rPr>
                <w:sz w:val="20"/>
              </w:rPr>
              <w:t>Scottish</w:t>
            </w:r>
            <w:r>
              <w:rPr>
                <w:spacing w:val="-6"/>
                <w:sz w:val="20"/>
              </w:rPr>
              <w:t> </w:t>
            </w:r>
            <w:r>
              <w:rPr>
                <w:sz w:val="20"/>
              </w:rPr>
              <w:t>Gaelic</w:t>
            </w:r>
            <w:r>
              <w:rPr>
                <w:spacing w:val="-5"/>
                <w:sz w:val="20"/>
              </w:rPr>
              <w:t> </w:t>
            </w:r>
            <w:r>
              <w:rPr>
                <w:spacing w:val="-4"/>
                <w:sz w:val="20"/>
              </w:rPr>
              <w:t>(gla)</w:t>
            </w:r>
          </w:p>
        </w:tc>
      </w:tr>
      <w:tr>
        <w:trPr>
          <w:trHeight w:val="230" w:hRule="atLeast"/>
        </w:trPr>
        <w:tc>
          <w:tcPr>
            <w:tcW w:w="612" w:type="dxa"/>
          </w:tcPr>
          <w:p>
            <w:pPr>
              <w:pStyle w:val="TableParagraph"/>
              <w:spacing w:line="211" w:lineRule="exact"/>
              <w:ind w:left="50"/>
              <w:rPr>
                <w:sz w:val="20"/>
              </w:rPr>
            </w:pPr>
            <w:r>
              <w:rPr>
                <w:spacing w:val="-4"/>
                <w:sz w:val="20"/>
              </w:rPr>
              <w:t>1156</w:t>
            </w:r>
          </w:p>
        </w:tc>
        <w:tc>
          <w:tcPr>
            <w:tcW w:w="4394" w:type="dxa"/>
          </w:tcPr>
          <w:p>
            <w:pPr>
              <w:pStyle w:val="TableParagraph"/>
              <w:spacing w:line="211" w:lineRule="exact"/>
              <w:ind w:left="158"/>
              <w:rPr>
                <w:sz w:val="20"/>
              </w:rPr>
            </w:pPr>
            <w:r>
              <w:rPr>
                <w:sz w:val="20"/>
              </w:rPr>
              <w:t>Corsican</w:t>
            </w:r>
            <w:r>
              <w:rPr>
                <w:spacing w:val="-10"/>
                <w:sz w:val="20"/>
              </w:rPr>
              <w:t> </w:t>
            </w:r>
            <w:r>
              <w:rPr>
                <w:spacing w:val="-2"/>
                <w:sz w:val="20"/>
              </w:rPr>
              <w:t>(cos)</w:t>
            </w:r>
          </w:p>
        </w:tc>
        <w:tc>
          <w:tcPr>
            <w:tcW w:w="936" w:type="dxa"/>
          </w:tcPr>
          <w:p>
            <w:pPr>
              <w:pStyle w:val="TableParagraph"/>
              <w:spacing w:line="240" w:lineRule="auto"/>
              <w:rPr>
                <w:sz w:val="16"/>
              </w:rPr>
            </w:pPr>
          </w:p>
        </w:tc>
        <w:tc>
          <w:tcPr>
            <w:tcW w:w="3139" w:type="dxa"/>
          </w:tcPr>
          <w:p>
            <w:pPr>
              <w:pStyle w:val="TableParagraph"/>
              <w:spacing w:line="240" w:lineRule="auto"/>
              <w:rPr>
                <w:sz w:val="16"/>
              </w:rPr>
            </w:pPr>
          </w:p>
        </w:tc>
      </w:tr>
      <w:tr>
        <w:trPr>
          <w:trHeight w:val="413" w:hRule="atLeast"/>
        </w:trPr>
        <w:tc>
          <w:tcPr>
            <w:tcW w:w="612" w:type="dxa"/>
          </w:tcPr>
          <w:p>
            <w:pPr>
              <w:pStyle w:val="TableParagraph"/>
              <w:spacing w:line="226" w:lineRule="exact"/>
              <w:ind w:left="50"/>
              <w:rPr>
                <w:sz w:val="20"/>
              </w:rPr>
            </w:pPr>
            <w:r>
              <w:rPr>
                <w:spacing w:val="-4"/>
                <w:sz w:val="20"/>
              </w:rPr>
              <w:t>1157</w:t>
            </w:r>
          </w:p>
        </w:tc>
        <w:tc>
          <w:tcPr>
            <w:tcW w:w="4394" w:type="dxa"/>
          </w:tcPr>
          <w:p>
            <w:pPr>
              <w:pStyle w:val="TableParagraph"/>
              <w:spacing w:line="226" w:lineRule="exact"/>
              <w:ind w:left="158"/>
              <w:rPr>
                <w:sz w:val="20"/>
              </w:rPr>
            </w:pPr>
            <w:r>
              <w:rPr>
                <w:sz w:val="20"/>
              </w:rPr>
              <w:t>Friulian</w:t>
            </w:r>
            <w:r>
              <w:rPr>
                <w:spacing w:val="-7"/>
                <w:sz w:val="20"/>
              </w:rPr>
              <w:t> </w:t>
            </w:r>
            <w:r>
              <w:rPr>
                <w:spacing w:val="-2"/>
                <w:sz w:val="20"/>
              </w:rPr>
              <w:t>(fur)</w:t>
            </w:r>
          </w:p>
        </w:tc>
        <w:tc>
          <w:tcPr>
            <w:tcW w:w="936" w:type="dxa"/>
          </w:tcPr>
          <w:p>
            <w:pPr>
              <w:pStyle w:val="TableParagraph"/>
              <w:spacing w:line="226" w:lineRule="exact"/>
              <w:ind w:right="157"/>
              <w:jc w:val="right"/>
              <w:rPr>
                <w:sz w:val="20"/>
              </w:rPr>
            </w:pPr>
            <w:r>
              <w:rPr>
                <w:spacing w:val="-4"/>
                <w:sz w:val="20"/>
              </w:rPr>
              <w:t>1235</w:t>
            </w:r>
          </w:p>
        </w:tc>
        <w:tc>
          <w:tcPr>
            <w:tcW w:w="3139" w:type="dxa"/>
          </w:tcPr>
          <w:p>
            <w:pPr>
              <w:pStyle w:val="TableParagraph"/>
              <w:spacing w:line="226" w:lineRule="exact"/>
              <w:ind w:left="157"/>
              <w:rPr>
                <w:sz w:val="20"/>
              </w:rPr>
            </w:pPr>
            <w:r>
              <w:rPr>
                <w:sz w:val="20"/>
              </w:rPr>
              <w:t>Modern</w:t>
            </w:r>
            <w:r>
              <w:rPr>
                <w:spacing w:val="-5"/>
                <w:sz w:val="20"/>
              </w:rPr>
              <w:t> </w:t>
            </w:r>
            <w:r>
              <w:rPr>
                <w:sz w:val="20"/>
              </w:rPr>
              <w:t>Greek</w:t>
            </w:r>
            <w:r>
              <w:rPr>
                <w:spacing w:val="-4"/>
                <w:sz w:val="20"/>
              </w:rPr>
              <w:t> </w:t>
            </w:r>
            <w:r>
              <w:rPr>
                <w:sz w:val="20"/>
              </w:rPr>
              <w:t>(1453-)</w:t>
            </w:r>
            <w:r>
              <w:rPr>
                <w:spacing w:val="-4"/>
                <w:sz w:val="20"/>
              </w:rPr>
              <w:t> </w:t>
            </w:r>
            <w:r>
              <w:rPr>
                <w:spacing w:val="-2"/>
                <w:sz w:val="20"/>
              </w:rPr>
              <w:t>(ell)</w:t>
            </w:r>
          </w:p>
        </w:tc>
      </w:tr>
    </w:tbl>
    <w:p>
      <w:pPr>
        <w:pStyle w:val="BodyText"/>
        <w:spacing w:line="20" w:lineRule="exact"/>
        <w:ind w:left="552"/>
        <w:rPr>
          <w:rFonts w:ascii="Times New Roman"/>
          <w:sz w:val="2"/>
        </w:rPr>
      </w:pPr>
      <w:r>
        <w:rPr>
          <w:rFonts w:ascii="Times New Roman"/>
          <w:sz w:val="2"/>
        </w:rPr>
        <mc:AlternateContent>
          <mc:Choice Requires="wps">
            <w:drawing>
              <wp:inline distT="0" distB="0" distL="0" distR="0">
                <wp:extent cx="1829435" cy="9525"/>
                <wp:effectExtent l="0" t="0" r="0" b="0"/>
                <wp:docPr id="189" name="Group 189"/>
                <wp:cNvGraphicFramePr>
                  <a:graphicFrameLocks/>
                </wp:cNvGraphicFramePr>
                <a:graphic>
                  <a:graphicData uri="http://schemas.microsoft.com/office/word/2010/wordprocessingGroup">
                    <wpg:wgp>
                      <wpg:cNvPr id="189" name="Group 189"/>
                      <wpg:cNvGrpSpPr/>
                      <wpg:grpSpPr>
                        <a:xfrm>
                          <a:off x="0" y="0"/>
                          <a:ext cx="1829435" cy="9525"/>
                          <a:chExt cx="1829435" cy="9525"/>
                        </a:xfrm>
                      </wpg:grpSpPr>
                      <wps:wsp>
                        <wps:cNvPr id="190" name="Graphic 190"/>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44.050pt;height:.75pt;mso-position-horizontal-relative:char;mso-position-vertical-relative:line" id="docshapegroup144" coordorigin="0,0" coordsize="2881,15">
                <v:rect style="position:absolute;left:0;top:0;width:2881;height:15" id="docshape145" filled="true" fillcolor="#000000" stroked="false">
                  <v:fill type="solid"/>
                </v:rect>
              </v:group>
            </w:pict>
          </mc:Fallback>
        </mc:AlternateContent>
      </w:r>
      <w:r>
        <w:rPr>
          <w:rFonts w:ascii="Times New Roman"/>
          <w:sz w:val="2"/>
        </w:rPr>
      </w:r>
    </w:p>
    <w:p>
      <w:pPr>
        <w:pStyle w:val="BodyText"/>
        <w:spacing w:before="6"/>
        <w:rPr>
          <w:rFonts w:ascii="Times New Roman"/>
          <w:sz w:val="28"/>
        </w:rPr>
      </w:pPr>
    </w:p>
    <w:p>
      <w:pPr>
        <w:spacing w:before="0"/>
        <w:ind w:left="552" w:right="935" w:firstLine="0"/>
        <w:jc w:val="left"/>
        <w:rPr>
          <w:rFonts w:ascii="Times New Roman"/>
          <w:sz w:val="18"/>
        </w:rPr>
      </w:pPr>
      <w:r>
        <w:rPr>
          <w:rFonts w:ascii="Times New Roman"/>
          <w:position w:val="6"/>
          <w:sz w:val="12"/>
        </w:rPr>
        <w:t>1</w:t>
      </w:r>
      <w:r>
        <w:rPr>
          <w:rFonts w:ascii="Times New Roman"/>
          <w:spacing w:val="12"/>
          <w:position w:val="6"/>
          <w:sz w:val="12"/>
        </w:rPr>
        <w:t> </w:t>
      </w:r>
      <w:r>
        <w:rPr>
          <w:rFonts w:ascii="Times New Roman"/>
          <w:sz w:val="18"/>
        </w:rPr>
        <w:t>Although</w:t>
      </w:r>
      <w:r>
        <w:rPr>
          <w:rFonts w:ascii="Times New Roman"/>
          <w:spacing w:val="-2"/>
          <w:sz w:val="18"/>
        </w:rPr>
        <w:t> </w:t>
      </w:r>
      <w:r>
        <w:rPr>
          <w:rFonts w:ascii="Times New Roman"/>
          <w:sz w:val="18"/>
        </w:rPr>
        <w:t>they</w:t>
      </w:r>
      <w:r>
        <w:rPr>
          <w:rFonts w:ascii="Times New Roman"/>
          <w:spacing w:val="-7"/>
          <w:sz w:val="18"/>
        </w:rPr>
        <w:t> </w:t>
      </w:r>
      <w:r>
        <w:rPr>
          <w:rFonts w:ascii="Times New Roman"/>
          <w:sz w:val="18"/>
        </w:rPr>
        <w:t>are</w:t>
      </w:r>
      <w:r>
        <w:rPr>
          <w:rFonts w:ascii="Times New Roman"/>
          <w:spacing w:val="-2"/>
          <w:sz w:val="18"/>
        </w:rPr>
        <w:t> </w:t>
      </w:r>
      <w:r>
        <w:rPr>
          <w:rFonts w:ascii="Times New Roman"/>
          <w:sz w:val="18"/>
        </w:rPr>
        <w:t>linguistically</w:t>
      </w:r>
      <w:r>
        <w:rPr>
          <w:rFonts w:ascii="Times New Roman"/>
          <w:spacing w:val="-5"/>
          <w:sz w:val="18"/>
        </w:rPr>
        <w:t> </w:t>
      </w:r>
      <w:r>
        <w:rPr>
          <w:rFonts w:ascii="Times New Roman"/>
          <w:sz w:val="18"/>
        </w:rPr>
        <w:t>Creole</w:t>
      </w:r>
      <w:r>
        <w:rPr>
          <w:rFonts w:ascii="Times New Roman"/>
          <w:spacing w:val="-3"/>
          <w:sz w:val="18"/>
        </w:rPr>
        <w:t> </w:t>
      </w:r>
      <w:r>
        <w:rPr>
          <w:rFonts w:ascii="Times New Roman"/>
          <w:sz w:val="18"/>
        </w:rPr>
        <w:t>languages,</w:t>
      </w:r>
      <w:r>
        <w:rPr>
          <w:rFonts w:ascii="Times New Roman"/>
          <w:spacing w:val="-3"/>
          <w:sz w:val="18"/>
        </w:rPr>
        <w:t> </w:t>
      </w:r>
      <w:r>
        <w:rPr>
          <w:rFonts w:ascii="Times New Roman"/>
          <w:sz w:val="18"/>
        </w:rPr>
        <w:t>some</w:t>
      </w:r>
      <w:r>
        <w:rPr>
          <w:rFonts w:ascii="Times New Roman"/>
          <w:spacing w:val="-4"/>
          <w:sz w:val="18"/>
        </w:rPr>
        <w:t> </w:t>
      </w:r>
      <w:r>
        <w:rPr>
          <w:rFonts w:ascii="Times New Roman"/>
          <w:sz w:val="18"/>
        </w:rPr>
        <w:t>French-based</w:t>
      </w:r>
      <w:r>
        <w:rPr>
          <w:rFonts w:ascii="Times New Roman"/>
          <w:spacing w:val="-2"/>
          <w:sz w:val="18"/>
        </w:rPr>
        <w:t> </w:t>
      </w:r>
      <w:r>
        <w:rPr>
          <w:rFonts w:ascii="Times New Roman"/>
          <w:sz w:val="18"/>
        </w:rPr>
        <w:t>Creoles</w:t>
      </w:r>
      <w:r>
        <w:rPr>
          <w:rFonts w:ascii="Times New Roman"/>
          <w:spacing w:val="-4"/>
          <w:sz w:val="18"/>
        </w:rPr>
        <w:t> </w:t>
      </w:r>
      <w:r>
        <w:rPr>
          <w:rFonts w:ascii="Times New Roman"/>
          <w:sz w:val="18"/>
        </w:rPr>
        <w:t>(Guadeloupean</w:t>
      </w:r>
      <w:r>
        <w:rPr>
          <w:rFonts w:ascii="Times New Roman"/>
          <w:spacing w:val="-2"/>
          <w:sz w:val="18"/>
        </w:rPr>
        <w:t> </w:t>
      </w:r>
      <w:r>
        <w:rPr>
          <w:rFonts w:ascii="Times New Roman"/>
          <w:sz w:val="18"/>
        </w:rPr>
        <w:t>Creole</w:t>
      </w:r>
      <w:r>
        <w:rPr>
          <w:rFonts w:ascii="Times New Roman"/>
          <w:spacing w:val="-3"/>
          <w:sz w:val="18"/>
        </w:rPr>
        <w:t> </w:t>
      </w:r>
      <w:r>
        <w:rPr>
          <w:rFonts w:ascii="Times New Roman"/>
          <w:sz w:val="18"/>
        </w:rPr>
        <w:t>French,</w:t>
      </w:r>
      <w:r>
        <w:rPr>
          <w:rFonts w:ascii="Times New Roman"/>
          <w:spacing w:val="-5"/>
          <w:sz w:val="18"/>
        </w:rPr>
        <w:t> </w:t>
      </w:r>
      <w:r>
        <w:rPr>
          <w:rFonts w:ascii="Times New Roman"/>
          <w:sz w:val="18"/>
        </w:rPr>
        <w:t>Saint</w:t>
      </w:r>
      <w:r>
        <w:rPr>
          <w:rFonts w:ascii="Times New Roman"/>
          <w:spacing w:val="-3"/>
          <w:sz w:val="18"/>
        </w:rPr>
        <w:t> </w:t>
      </w:r>
      <w:r>
        <w:rPr>
          <w:rFonts w:ascii="Times New Roman"/>
          <w:sz w:val="18"/>
        </w:rPr>
        <w:t>Lucian</w:t>
      </w:r>
      <w:r>
        <w:rPr>
          <w:rFonts w:ascii="Times New Roman"/>
          <w:spacing w:val="-2"/>
          <w:sz w:val="18"/>
        </w:rPr>
        <w:t> </w:t>
      </w:r>
      <w:r>
        <w:rPr>
          <w:rFonts w:ascii="Times New Roman"/>
          <w:sz w:val="18"/>
        </w:rPr>
        <w:t>Creole French, and Haitian) and Portuguese-based creoles (Kabuverdianu and Upper Guinea Crioulo) are included under Indo-European languages in standardized tabulations, in order to maintain comparability with ACS estimates prior to 2016.</w:t>
      </w:r>
    </w:p>
    <w:p>
      <w:pPr>
        <w:pStyle w:val="BodyText"/>
        <w:rPr>
          <w:rFonts w:ascii="Times New Roman"/>
          <w:sz w:val="18"/>
        </w:rPr>
      </w:pPr>
    </w:p>
    <w:p>
      <w:pPr>
        <w:spacing w:before="1"/>
        <w:ind w:left="552" w:right="650" w:firstLine="0"/>
        <w:jc w:val="left"/>
        <w:rPr>
          <w:rFonts w:ascii="Times New Roman"/>
          <w:sz w:val="18"/>
        </w:rPr>
      </w:pPr>
      <w:r>
        <w:rPr>
          <w:rFonts w:ascii="Times New Roman"/>
          <w:sz w:val="18"/>
        </w:rPr>
        <w:t>Note: N.E.C. stands for Not Elsewhere Classified. Whenever possible, language names and three-letter codes follow the ISO-639-3 standard. Other</w:t>
      </w:r>
      <w:r>
        <w:rPr>
          <w:rFonts w:ascii="Times New Roman"/>
          <w:spacing w:val="-2"/>
          <w:sz w:val="18"/>
        </w:rPr>
        <w:t> </w:t>
      </w:r>
      <w:r>
        <w:rPr>
          <w:rFonts w:ascii="Times New Roman"/>
          <w:sz w:val="18"/>
        </w:rPr>
        <w:t>codes</w:t>
      </w:r>
      <w:r>
        <w:rPr>
          <w:rFonts w:ascii="Times New Roman"/>
          <w:spacing w:val="-2"/>
          <w:sz w:val="18"/>
        </w:rPr>
        <w:t> </w:t>
      </w:r>
      <w:r>
        <w:rPr>
          <w:rFonts w:ascii="Times New Roman"/>
          <w:sz w:val="18"/>
        </w:rPr>
        <w:t>have</w:t>
      </w:r>
      <w:r>
        <w:rPr>
          <w:rFonts w:ascii="Times New Roman"/>
          <w:spacing w:val="-3"/>
          <w:sz w:val="18"/>
        </w:rPr>
        <w:t> </w:t>
      </w:r>
      <w:r>
        <w:rPr>
          <w:rFonts w:ascii="Times New Roman"/>
          <w:sz w:val="18"/>
        </w:rPr>
        <w:t>been</w:t>
      </w:r>
      <w:r>
        <w:rPr>
          <w:rFonts w:ascii="Times New Roman"/>
          <w:spacing w:val="-3"/>
          <w:sz w:val="18"/>
        </w:rPr>
        <w:t> </w:t>
      </w:r>
      <w:r>
        <w:rPr>
          <w:rFonts w:ascii="Times New Roman"/>
          <w:sz w:val="18"/>
        </w:rPr>
        <w:t>added</w:t>
      </w:r>
      <w:r>
        <w:rPr>
          <w:rFonts w:ascii="Times New Roman"/>
          <w:spacing w:val="-1"/>
          <w:sz w:val="18"/>
        </w:rPr>
        <w:t> </w:t>
      </w:r>
      <w:r>
        <w:rPr>
          <w:rFonts w:ascii="Times New Roman"/>
          <w:sz w:val="18"/>
        </w:rPr>
        <w:t>for</w:t>
      </w:r>
      <w:r>
        <w:rPr>
          <w:rFonts w:ascii="Times New Roman"/>
          <w:spacing w:val="-2"/>
          <w:sz w:val="18"/>
        </w:rPr>
        <w:t> </w:t>
      </w:r>
      <w:r>
        <w:rPr>
          <w:rFonts w:ascii="Times New Roman"/>
          <w:sz w:val="18"/>
        </w:rPr>
        <w:t>common</w:t>
      </w:r>
      <w:r>
        <w:rPr>
          <w:rFonts w:ascii="Times New Roman"/>
          <w:spacing w:val="-1"/>
          <w:sz w:val="18"/>
        </w:rPr>
        <w:t> </w:t>
      </w:r>
      <w:r>
        <w:rPr>
          <w:rFonts w:ascii="Times New Roman"/>
          <w:sz w:val="18"/>
        </w:rPr>
        <w:t>write-ins</w:t>
      </w:r>
      <w:r>
        <w:rPr>
          <w:rFonts w:ascii="Times New Roman"/>
          <w:spacing w:val="-2"/>
          <w:sz w:val="18"/>
        </w:rPr>
        <w:t> </w:t>
      </w:r>
      <w:r>
        <w:rPr>
          <w:rFonts w:ascii="Times New Roman"/>
          <w:sz w:val="18"/>
        </w:rPr>
        <w:t>that</w:t>
      </w:r>
      <w:r>
        <w:rPr>
          <w:rFonts w:ascii="Times New Roman"/>
          <w:spacing w:val="-4"/>
          <w:sz w:val="18"/>
        </w:rPr>
        <w:t> </w:t>
      </w:r>
      <w:r>
        <w:rPr>
          <w:rFonts w:ascii="Times New Roman"/>
          <w:sz w:val="18"/>
        </w:rPr>
        <w:t>cannot</w:t>
      </w:r>
      <w:r>
        <w:rPr>
          <w:rFonts w:ascii="Times New Roman"/>
          <w:spacing w:val="-4"/>
          <w:sz w:val="18"/>
        </w:rPr>
        <w:t> </w:t>
      </w:r>
      <w:r>
        <w:rPr>
          <w:rFonts w:ascii="Times New Roman"/>
          <w:sz w:val="18"/>
        </w:rPr>
        <w:t>be</w:t>
      </w:r>
      <w:r>
        <w:rPr>
          <w:rFonts w:ascii="Times New Roman"/>
          <w:spacing w:val="-3"/>
          <w:sz w:val="18"/>
        </w:rPr>
        <w:t> </w:t>
      </w:r>
      <w:r>
        <w:rPr>
          <w:rFonts w:ascii="Times New Roman"/>
          <w:sz w:val="18"/>
        </w:rPr>
        <w:t>identified</w:t>
      </w:r>
      <w:r>
        <w:rPr>
          <w:rFonts w:ascii="Times New Roman"/>
          <w:spacing w:val="-1"/>
          <w:sz w:val="18"/>
        </w:rPr>
        <w:t> </w:t>
      </w:r>
      <w:r>
        <w:rPr>
          <w:rFonts w:ascii="Times New Roman"/>
          <w:sz w:val="18"/>
        </w:rPr>
        <w:t>at</w:t>
      </w:r>
      <w:r>
        <w:rPr>
          <w:rFonts w:ascii="Times New Roman"/>
          <w:spacing w:val="-2"/>
          <w:sz w:val="18"/>
        </w:rPr>
        <w:t> </w:t>
      </w:r>
      <w:r>
        <w:rPr>
          <w:rFonts w:ascii="Times New Roman"/>
          <w:sz w:val="18"/>
        </w:rPr>
        <w:t>the</w:t>
      </w:r>
      <w:r>
        <w:rPr>
          <w:rFonts w:ascii="Times New Roman"/>
          <w:spacing w:val="-3"/>
          <w:sz w:val="18"/>
        </w:rPr>
        <w:t> </w:t>
      </w:r>
      <w:r>
        <w:rPr>
          <w:rFonts w:ascii="Times New Roman"/>
          <w:sz w:val="18"/>
        </w:rPr>
        <w:t>ISO-639-3</w:t>
      </w:r>
      <w:r>
        <w:rPr>
          <w:rFonts w:ascii="Times New Roman"/>
          <w:spacing w:val="-1"/>
          <w:sz w:val="18"/>
        </w:rPr>
        <w:t> </w:t>
      </w:r>
      <w:r>
        <w:rPr>
          <w:rFonts w:ascii="Times New Roman"/>
          <w:sz w:val="18"/>
        </w:rPr>
        <w:t>level,</w:t>
      </w:r>
      <w:r>
        <w:rPr>
          <w:rFonts w:ascii="Times New Roman"/>
          <w:spacing w:val="-1"/>
          <w:sz w:val="18"/>
        </w:rPr>
        <w:t> </w:t>
      </w:r>
      <w:r>
        <w:rPr>
          <w:rFonts w:ascii="Times New Roman"/>
          <w:sz w:val="18"/>
        </w:rPr>
        <w:t>but</w:t>
      </w:r>
      <w:r>
        <w:rPr>
          <w:rFonts w:ascii="Times New Roman"/>
          <w:spacing w:val="-2"/>
          <w:sz w:val="18"/>
        </w:rPr>
        <w:t> </w:t>
      </w:r>
      <w:r>
        <w:rPr>
          <w:rFonts w:ascii="Times New Roman"/>
          <w:sz w:val="18"/>
        </w:rPr>
        <w:t>can</w:t>
      </w:r>
      <w:r>
        <w:rPr>
          <w:rFonts w:ascii="Times New Roman"/>
          <w:spacing w:val="-3"/>
          <w:sz w:val="18"/>
        </w:rPr>
        <w:t> </w:t>
      </w:r>
      <w:r>
        <w:rPr>
          <w:rFonts w:ascii="Times New Roman"/>
          <w:sz w:val="18"/>
        </w:rPr>
        <w:t>be</w:t>
      </w:r>
      <w:r>
        <w:rPr>
          <w:rFonts w:ascii="Times New Roman"/>
          <w:spacing w:val="-3"/>
          <w:sz w:val="18"/>
        </w:rPr>
        <w:t> </w:t>
      </w:r>
      <w:r>
        <w:rPr>
          <w:rFonts w:ascii="Times New Roman"/>
          <w:sz w:val="18"/>
        </w:rPr>
        <w:t>classified</w:t>
      </w:r>
      <w:r>
        <w:rPr>
          <w:rFonts w:ascii="Times New Roman"/>
          <w:spacing w:val="-1"/>
          <w:sz w:val="18"/>
        </w:rPr>
        <w:t> </w:t>
      </w:r>
      <w:r>
        <w:rPr>
          <w:rFonts w:ascii="Times New Roman"/>
          <w:sz w:val="18"/>
        </w:rPr>
        <w:t>within a language family (i.e. Berber languages, Karen languages), or within a geographical region (i.e. Europe N.E.C., Nigeria N.E.C.).</w:t>
      </w:r>
    </w:p>
    <w:p>
      <w:pPr>
        <w:spacing w:before="0"/>
        <w:ind w:left="552" w:right="675" w:firstLine="0"/>
        <w:jc w:val="left"/>
        <w:rPr>
          <w:rFonts w:ascii="Times New Roman"/>
          <w:sz w:val="18"/>
        </w:rPr>
      </w:pPr>
      <w:r>
        <w:rPr>
          <w:rFonts w:ascii="Times New Roman"/>
          <w:sz w:val="18"/>
        </w:rPr>
        <w:t>Languages within a macrolanguage are coded at the more detailed individual language level whenever possible, and at the</w:t>
      </w:r>
      <w:r>
        <w:rPr>
          <w:rFonts w:ascii="Times New Roman"/>
          <w:spacing w:val="40"/>
          <w:sz w:val="18"/>
        </w:rPr>
        <w:t> </w:t>
      </w:r>
      <w:r>
        <w:rPr>
          <w:rFonts w:ascii="Times New Roman"/>
          <w:sz w:val="18"/>
        </w:rPr>
        <w:t>macrolanguage</w:t>
      </w:r>
      <w:r>
        <w:rPr>
          <w:rFonts w:ascii="Times New Roman"/>
          <w:spacing w:val="-3"/>
          <w:sz w:val="18"/>
        </w:rPr>
        <w:t> </w:t>
      </w:r>
      <w:r>
        <w:rPr>
          <w:rFonts w:ascii="Times New Roman"/>
          <w:sz w:val="18"/>
        </w:rPr>
        <w:t>level</w:t>
      </w:r>
      <w:r>
        <w:rPr>
          <w:rFonts w:ascii="Times New Roman"/>
          <w:spacing w:val="-2"/>
          <w:sz w:val="18"/>
        </w:rPr>
        <w:t> </w:t>
      </w:r>
      <w:r>
        <w:rPr>
          <w:rFonts w:ascii="Times New Roman"/>
          <w:sz w:val="18"/>
        </w:rPr>
        <w:t>(i.e.</w:t>
      </w:r>
      <w:r>
        <w:rPr>
          <w:rFonts w:ascii="Times New Roman"/>
          <w:spacing w:val="-2"/>
          <w:sz w:val="18"/>
        </w:rPr>
        <w:t> </w:t>
      </w:r>
      <w:r>
        <w:rPr>
          <w:rFonts w:ascii="Times New Roman"/>
          <w:sz w:val="18"/>
        </w:rPr>
        <w:t>Chinese,</w:t>
      </w:r>
      <w:r>
        <w:rPr>
          <w:rFonts w:ascii="Times New Roman"/>
          <w:spacing w:val="-2"/>
          <w:sz w:val="18"/>
        </w:rPr>
        <w:t> </w:t>
      </w:r>
      <w:r>
        <w:rPr>
          <w:rFonts w:ascii="Times New Roman"/>
          <w:sz w:val="18"/>
        </w:rPr>
        <w:t>Arabic,</w:t>
      </w:r>
      <w:r>
        <w:rPr>
          <w:rFonts w:ascii="Times New Roman"/>
          <w:spacing w:val="-2"/>
          <w:sz w:val="18"/>
        </w:rPr>
        <w:t> </w:t>
      </w:r>
      <w:r>
        <w:rPr>
          <w:rFonts w:ascii="Times New Roman"/>
          <w:sz w:val="18"/>
        </w:rPr>
        <w:t>Persian)</w:t>
      </w:r>
      <w:r>
        <w:rPr>
          <w:rFonts w:ascii="Times New Roman"/>
          <w:spacing w:val="-2"/>
          <w:sz w:val="18"/>
        </w:rPr>
        <w:t> </w:t>
      </w:r>
      <w:r>
        <w:rPr>
          <w:rFonts w:ascii="Times New Roman"/>
          <w:sz w:val="18"/>
        </w:rPr>
        <w:t>when</w:t>
      </w:r>
      <w:r>
        <w:rPr>
          <w:rFonts w:ascii="Times New Roman"/>
          <w:spacing w:val="-1"/>
          <w:sz w:val="18"/>
        </w:rPr>
        <w:t> </w:t>
      </w:r>
      <w:r>
        <w:rPr>
          <w:rFonts w:ascii="Times New Roman"/>
          <w:sz w:val="18"/>
        </w:rPr>
        <w:t>it</w:t>
      </w:r>
      <w:r>
        <w:rPr>
          <w:rFonts w:ascii="Times New Roman"/>
          <w:spacing w:val="-4"/>
          <w:sz w:val="18"/>
        </w:rPr>
        <w:t> </w:t>
      </w:r>
      <w:r>
        <w:rPr>
          <w:rFonts w:ascii="Times New Roman"/>
          <w:sz w:val="18"/>
        </w:rPr>
        <w:t>is</w:t>
      </w:r>
      <w:r>
        <w:rPr>
          <w:rFonts w:ascii="Times New Roman"/>
          <w:spacing w:val="-2"/>
          <w:sz w:val="18"/>
        </w:rPr>
        <w:t> </w:t>
      </w:r>
      <w:r>
        <w:rPr>
          <w:rFonts w:ascii="Times New Roman"/>
          <w:sz w:val="18"/>
        </w:rPr>
        <w:t>not</w:t>
      </w:r>
      <w:r>
        <w:rPr>
          <w:rFonts w:ascii="Times New Roman"/>
          <w:spacing w:val="-4"/>
          <w:sz w:val="18"/>
        </w:rPr>
        <w:t> </w:t>
      </w:r>
      <w:r>
        <w:rPr>
          <w:rFonts w:ascii="Times New Roman"/>
          <w:sz w:val="18"/>
        </w:rPr>
        <w:t>possible</w:t>
      </w:r>
      <w:r>
        <w:rPr>
          <w:rFonts w:ascii="Times New Roman"/>
          <w:spacing w:val="-2"/>
          <w:sz w:val="18"/>
        </w:rPr>
        <w:t> </w:t>
      </w:r>
      <w:r>
        <w:rPr>
          <w:rFonts w:ascii="Times New Roman"/>
          <w:sz w:val="18"/>
        </w:rPr>
        <w:t>to</w:t>
      </w:r>
      <w:r>
        <w:rPr>
          <w:rFonts w:ascii="Times New Roman"/>
          <w:spacing w:val="-1"/>
          <w:sz w:val="18"/>
        </w:rPr>
        <w:t> </w:t>
      </w:r>
      <w:r>
        <w:rPr>
          <w:rFonts w:ascii="Times New Roman"/>
          <w:sz w:val="18"/>
        </w:rPr>
        <w:t>determine</w:t>
      </w:r>
      <w:r>
        <w:rPr>
          <w:rFonts w:ascii="Times New Roman"/>
          <w:spacing w:val="-3"/>
          <w:sz w:val="18"/>
        </w:rPr>
        <w:t> </w:t>
      </w:r>
      <w:r>
        <w:rPr>
          <w:rFonts w:ascii="Times New Roman"/>
          <w:sz w:val="18"/>
        </w:rPr>
        <w:t>the</w:t>
      </w:r>
      <w:r>
        <w:rPr>
          <w:rFonts w:ascii="Times New Roman"/>
          <w:spacing w:val="-1"/>
          <w:sz w:val="18"/>
        </w:rPr>
        <w:t> </w:t>
      </w:r>
      <w:r>
        <w:rPr>
          <w:rFonts w:ascii="Times New Roman"/>
          <w:sz w:val="18"/>
        </w:rPr>
        <w:t>individual</w:t>
      </w:r>
      <w:r>
        <w:rPr>
          <w:rFonts w:ascii="Times New Roman"/>
          <w:spacing w:val="-2"/>
          <w:sz w:val="18"/>
        </w:rPr>
        <w:t> </w:t>
      </w:r>
      <w:r>
        <w:rPr>
          <w:rFonts w:ascii="Times New Roman"/>
          <w:sz w:val="18"/>
        </w:rPr>
        <w:t>language</w:t>
      </w:r>
      <w:r>
        <w:rPr>
          <w:rFonts w:ascii="Times New Roman"/>
          <w:spacing w:val="-3"/>
          <w:sz w:val="18"/>
        </w:rPr>
        <w:t> </w:t>
      </w:r>
      <w:r>
        <w:rPr>
          <w:rFonts w:ascii="Times New Roman"/>
          <w:sz w:val="18"/>
        </w:rPr>
        <w:t>from</w:t>
      </w:r>
      <w:r>
        <w:rPr>
          <w:rFonts w:ascii="Times New Roman"/>
          <w:spacing w:val="-5"/>
          <w:sz w:val="18"/>
        </w:rPr>
        <w:t> </w:t>
      </w:r>
      <w:r>
        <w:rPr>
          <w:rFonts w:ascii="Times New Roman"/>
          <w:sz w:val="18"/>
        </w:rPr>
        <w:t>the</w:t>
      </w:r>
      <w:r>
        <w:rPr>
          <w:rFonts w:ascii="Times New Roman"/>
          <w:spacing w:val="-3"/>
          <w:sz w:val="18"/>
        </w:rPr>
        <w:t> </w:t>
      </w:r>
      <w:r>
        <w:rPr>
          <w:rFonts w:ascii="Times New Roman"/>
          <w:sz w:val="18"/>
        </w:rPr>
        <w:t>write-in</w:t>
      </w:r>
      <w:r>
        <w:rPr>
          <w:rFonts w:ascii="Times New Roman"/>
          <w:spacing w:val="-1"/>
          <w:sz w:val="18"/>
        </w:rPr>
        <w:t> </w:t>
      </w:r>
      <w:r>
        <w:rPr>
          <w:rFonts w:ascii="Times New Roman"/>
          <w:sz w:val="18"/>
        </w:rPr>
        <w:t>answer. ACS language questions are only designed to capture spoken languages and do not give accurate estimates of signed languages. Signed</w:t>
      </w:r>
    </w:p>
    <w:p>
      <w:pPr>
        <w:spacing w:after="0"/>
        <w:jc w:val="left"/>
        <w:rPr>
          <w:rFonts w:ascii="Times New Roman"/>
          <w:sz w:val="18"/>
        </w:rPr>
        <w:sectPr>
          <w:footerReference w:type="default" r:id="rId81"/>
          <w:pgSz w:w="12240" w:h="15840"/>
          <w:pgMar w:footer="649" w:header="0" w:top="460" w:bottom="840" w:left="600" w:right="500"/>
        </w:sectPr>
      </w:pPr>
    </w:p>
    <w:tbl>
      <w:tblPr>
        <w:tblW w:w="0" w:type="auto"/>
        <w:jc w:val="left"/>
        <w:tblInd w:w="5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994"/>
      </w:tblGrid>
      <w:tr>
        <w:trPr>
          <w:trHeight w:val="225" w:hRule="atLeast"/>
        </w:trPr>
        <w:tc>
          <w:tcPr>
            <w:tcW w:w="612" w:type="dxa"/>
          </w:tcPr>
          <w:p>
            <w:pPr>
              <w:pStyle w:val="TableParagraph"/>
              <w:spacing w:line="205" w:lineRule="exact"/>
              <w:ind w:left="50"/>
              <w:rPr>
                <w:sz w:val="20"/>
              </w:rPr>
            </w:pPr>
            <w:r>
              <w:rPr>
                <w:spacing w:val="-4"/>
                <w:sz w:val="20"/>
              </w:rPr>
              <w:t>1328</w:t>
            </w:r>
          </w:p>
        </w:tc>
        <w:tc>
          <w:tcPr>
            <w:tcW w:w="1994" w:type="dxa"/>
          </w:tcPr>
          <w:p>
            <w:pPr>
              <w:pStyle w:val="TableParagraph"/>
              <w:spacing w:line="205" w:lineRule="exact"/>
              <w:ind w:left="158"/>
              <w:rPr>
                <w:sz w:val="20"/>
              </w:rPr>
            </w:pPr>
            <w:r>
              <w:rPr>
                <w:sz w:val="20"/>
              </w:rPr>
              <w:t>Northern</w:t>
            </w:r>
            <w:r>
              <w:rPr>
                <w:spacing w:val="-8"/>
                <w:sz w:val="20"/>
              </w:rPr>
              <w:t> </w:t>
            </w:r>
            <w:r>
              <w:rPr>
                <w:sz w:val="20"/>
              </w:rPr>
              <w:t>Pashto</w:t>
            </w:r>
            <w:r>
              <w:rPr>
                <w:spacing w:val="-6"/>
                <w:sz w:val="20"/>
              </w:rPr>
              <w:t> </w:t>
            </w:r>
            <w:r>
              <w:rPr>
                <w:spacing w:val="-4"/>
                <w:sz w:val="20"/>
              </w:rPr>
              <w:t>(pbu)</w:t>
            </w:r>
          </w:p>
        </w:tc>
      </w:tr>
      <w:tr>
        <w:trPr>
          <w:trHeight w:val="229" w:hRule="atLeast"/>
        </w:trPr>
        <w:tc>
          <w:tcPr>
            <w:tcW w:w="612" w:type="dxa"/>
          </w:tcPr>
          <w:p>
            <w:pPr>
              <w:pStyle w:val="TableParagraph"/>
              <w:spacing w:line="209" w:lineRule="exact"/>
              <w:ind w:left="50"/>
              <w:rPr>
                <w:sz w:val="20"/>
              </w:rPr>
            </w:pPr>
            <w:r>
              <w:rPr>
                <w:spacing w:val="-4"/>
                <w:sz w:val="20"/>
              </w:rPr>
              <w:t>1329</w:t>
            </w:r>
          </w:p>
        </w:tc>
        <w:tc>
          <w:tcPr>
            <w:tcW w:w="1994" w:type="dxa"/>
          </w:tcPr>
          <w:p>
            <w:pPr>
              <w:pStyle w:val="TableParagraph"/>
              <w:spacing w:line="209" w:lineRule="exact"/>
              <w:ind w:left="158"/>
              <w:rPr>
                <w:sz w:val="20"/>
              </w:rPr>
            </w:pPr>
            <w:r>
              <w:rPr>
                <w:sz w:val="20"/>
              </w:rPr>
              <w:t>Southern</w:t>
            </w:r>
            <w:r>
              <w:rPr>
                <w:spacing w:val="-9"/>
                <w:sz w:val="20"/>
              </w:rPr>
              <w:t> </w:t>
            </w:r>
            <w:r>
              <w:rPr>
                <w:sz w:val="20"/>
              </w:rPr>
              <w:t>Pashto</w:t>
            </w:r>
            <w:r>
              <w:rPr>
                <w:spacing w:val="-6"/>
                <w:sz w:val="20"/>
              </w:rPr>
              <w:t> </w:t>
            </w:r>
            <w:r>
              <w:rPr>
                <w:spacing w:val="-2"/>
                <w:sz w:val="20"/>
              </w:rPr>
              <w:t>(pbt)</w:t>
            </w:r>
          </w:p>
        </w:tc>
      </w:tr>
      <w:tr>
        <w:trPr>
          <w:trHeight w:val="229" w:hRule="atLeast"/>
        </w:trPr>
        <w:tc>
          <w:tcPr>
            <w:tcW w:w="612" w:type="dxa"/>
          </w:tcPr>
          <w:p>
            <w:pPr>
              <w:pStyle w:val="TableParagraph"/>
              <w:spacing w:line="209" w:lineRule="exact"/>
              <w:ind w:left="50"/>
              <w:rPr>
                <w:sz w:val="20"/>
              </w:rPr>
            </w:pPr>
            <w:r>
              <w:rPr>
                <w:spacing w:val="-4"/>
                <w:sz w:val="20"/>
              </w:rPr>
              <w:t>1331</w:t>
            </w:r>
          </w:p>
        </w:tc>
        <w:tc>
          <w:tcPr>
            <w:tcW w:w="1994" w:type="dxa"/>
          </w:tcPr>
          <w:p>
            <w:pPr>
              <w:pStyle w:val="TableParagraph"/>
              <w:spacing w:line="209" w:lineRule="exact"/>
              <w:ind w:left="158"/>
              <w:rPr>
                <w:sz w:val="20"/>
              </w:rPr>
            </w:pPr>
            <w:r>
              <w:rPr>
                <w:sz w:val="20"/>
              </w:rPr>
              <w:t>Shughni</w:t>
            </w:r>
            <w:r>
              <w:rPr>
                <w:spacing w:val="-10"/>
                <w:sz w:val="20"/>
              </w:rPr>
              <w:t> </w:t>
            </w:r>
            <w:r>
              <w:rPr>
                <w:spacing w:val="-2"/>
                <w:sz w:val="20"/>
              </w:rPr>
              <w:t>(sgh)</w:t>
            </w:r>
          </w:p>
        </w:tc>
      </w:tr>
      <w:tr>
        <w:trPr>
          <w:trHeight w:val="225" w:hRule="atLeast"/>
        </w:trPr>
        <w:tc>
          <w:tcPr>
            <w:tcW w:w="612" w:type="dxa"/>
          </w:tcPr>
          <w:p>
            <w:pPr>
              <w:pStyle w:val="TableParagraph"/>
              <w:spacing w:line="205" w:lineRule="exact"/>
              <w:ind w:left="50"/>
              <w:rPr>
                <w:sz w:val="20"/>
              </w:rPr>
            </w:pPr>
            <w:r>
              <w:rPr>
                <w:spacing w:val="-4"/>
                <w:sz w:val="20"/>
              </w:rPr>
              <w:t>1333</w:t>
            </w:r>
          </w:p>
        </w:tc>
        <w:tc>
          <w:tcPr>
            <w:tcW w:w="1994" w:type="dxa"/>
          </w:tcPr>
          <w:p>
            <w:pPr>
              <w:pStyle w:val="TableParagraph"/>
              <w:spacing w:line="205" w:lineRule="exact"/>
              <w:ind w:left="158"/>
              <w:rPr>
                <w:sz w:val="20"/>
              </w:rPr>
            </w:pPr>
            <w:r>
              <w:rPr>
                <w:sz w:val="20"/>
              </w:rPr>
              <w:t>Wakhi</w:t>
            </w:r>
            <w:r>
              <w:rPr>
                <w:spacing w:val="-9"/>
                <w:sz w:val="20"/>
              </w:rPr>
              <w:t> </w:t>
            </w:r>
            <w:r>
              <w:rPr>
                <w:spacing w:val="-2"/>
                <w:sz w:val="20"/>
              </w:rPr>
              <w:t>(wbl)</w:t>
            </w:r>
          </w:p>
        </w:tc>
      </w:tr>
    </w:tbl>
    <w:p>
      <w:pPr>
        <w:pStyle w:val="BodyText"/>
        <w:spacing w:before="9"/>
        <w:rPr>
          <w:rFonts w:ascii="Times New Roman"/>
          <w:sz w:val="13"/>
        </w:rPr>
      </w:pPr>
    </w:p>
    <w:p>
      <w:pPr>
        <w:spacing w:before="91"/>
        <w:ind w:left="5881" w:right="0" w:firstLine="0"/>
        <w:jc w:val="left"/>
        <w:rPr>
          <w:rFonts w:ascii="Times New Roman"/>
          <w:i/>
          <w:sz w:val="20"/>
        </w:rPr>
      </w:pPr>
      <w:r>
        <w:rPr/>
        <mc:AlternateContent>
          <mc:Choice Requires="wps">
            <w:drawing>
              <wp:anchor distT="0" distB="0" distL="0" distR="0" allowOverlap="1" layoutInCell="1" locked="0" behindDoc="0" simplePos="0" relativeHeight="15764480">
                <wp:simplePos x="0" y="0"/>
                <wp:positionH relativeFrom="page">
                  <wp:posOffset>661669</wp:posOffset>
                </wp:positionH>
                <wp:positionV relativeFrom="paragraph">
                  <wp:posOffset>-666616</wp:posOffset>
                </wp:positionV>
                <wp:extent cx="2557145" cy="4659629"/>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557145" cy="465962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295"/>
                            </w:tblGrid>
                            <w:tr>
                              <w:trPr>
                                <w:trHeight w:val="225" w:hRule="atLeast"/>
                              </w:trPr>
                              <w:tc>
                                <w:tcPr>
                                  <w:tcW w:w="612" w:type="dxa"/>
                                </w:tcPr>
                                <w:p>
                                  <w:pPr>
                                    <w:pStyle w:val="TableParagraph"/>
                                    <w:spacing w:line="205" w:lineRule="exact"/>
                                    <w:ind w:left="50"/>
                                    <w:rPr>
                                      <w:sz w:val="20"/>
                                    </w:rPr>
                                  </w:pPr>
                                  <w:r>
                                    <w:rPr>
                                      <w:spacing w:val="-4"/>
                                      <w:sz w:val="20"/>
                                    </w:rPr>
                                    <w:t>1238</w:t>
                                  </w:r>
                                </w:p>
                              </w:tc>
                              <w:tc>
                                <w:tcPr>
                                  <w:tcW w:w="3295" w:type="dxa"/>
                                </w:tcPr>
                                <w:p>
                                  <w:pPr>
                                    <w:pStyle w:val="TableParagraph"/>
                                    <w:spacing w:line="205" w:lineRule="exact"/>
                                    <w:ind w:left="158"/>
                                    <w:rPr>
                                      <w:sz w:val="20"/>
                                    </w:rPr>
                                  </w:pPr>
                                  <w:r>
                                    <w:rPr>
                                      <w:sz w:val="20"/>
                                    </w:rPr>
                                    <w:t>Pontic</w:t>
                                  </w:r>
                                  <w:r>
                                    <w:rPr>
                                      <w:spacing w:val="-6"/>
                                      <w:sz w:val="20"/>
                                    </w:rPr>
                                    <w:t> </w:t>
                                  </w:r>
                                  <w:r>
                                    <w:rPr>
                                      <w:spacing w:val="-2"/>
                                      <w:sz w:val="20"/>
                                    </w:rPr>
                                    <w:t>(pnt)</w:t>
                                  </w:r>
                                </w:p>
                              </w:tc>
                            </w:tr>
                            <w:tr>
                              <w:trPr>
                                <w:trHeight w:val="229" w:hRule="atLeast"/>
                              </w:trPr>
                              <w:tc>
                                <w:tcPr>
                                  <w:tcW w:w="612" w:type="dxa"/>
                                </w:tcPr>
                                <w:p>
                                  <w:pPr>
                                    <w:pStyle w:val="TableParagraph"/>
                                    <w:spacing w:line="209" w:lineRule="exact"/>
                                    <w:ind w:left="50"/>
                                    <w:rPr>
                                      <w:sz w:val="20"/>
                                    </w:rPr>
                                  </w:pPr>
                                  <w:r>
                                    <w:rPr>
                                      <w:spacing w:val="-4"/>
                                      <w:sz w:val="20"/>
                                    </w:rPr>
                                    <w:t>1242</w:t>
                                  </w:r>
                                </w:p>
                              </w:tc>
                              <w:tc>
                                <w:tcPr>
                                  <w:tcW w:w="3295" w:type="dxa"/>
                                </w:tcPr>
                                <w:p>
                                  <w:pPr>
                                    <w:pStyle w:val="TableParagraph"/>
                                    <w:spacing w:line="209" w:lineRule="exact"/>
                                    <w:ind w:left="158"/>
                                    <w:rPr>
                                      <w:sz w:val="20"/>
                                    </w:rPr>
                                  </w:pPr>
                                  <w:r>
                                    <w:rPr>
                                      <w:sz w:val="20"/>
                                    </w:rPr>
                                    <w:t>Albanian</w:t>
                                  </w:r>
                                  <w:r>
                                    <w:rPr>
                                      <w:spacing w:val="-13"/>
                                      <w:sz w:val="20"/>
                                    </w:rPr>
                                    <w:t> </w:t>
                                  </w:r>
                                  <w:r>
                                    <w:rPr>
                                      <w:sz w:val="20"/>
                                    </w:rPr>
                                    <w:t>(macrolanguage)</w:t>
                                  </w:r>
                                  <w:r>
                                    <w:rPr>
                                      <w:spacing w:val="-11"/>
                                      <w:sz w:val="20"/>
                                    </w:rPr>
                                    <w:t> </w:t>
                                  </w:r>
                                  <w:r>
                                    <w:rPr>
                                      <w:spacing w:val="-4"/>
                                      <w:sz w:val="20"/>
                                    </w:rPr>
                                    <w:t>(sqi)</w:t>
                                  </w:r>
                                </w:p>
                              </w:tc>
                            </w:tr>
                            <w:tr>
                              <w:trPr>
                                <w:trHeight w:val="229" w:hRule="atLeast"/>
                              </w:trPr>
                              <w:tc>
                                <w:tcPr>
                                  <w:tcW w:w="612" w:type="dxa"/>
                                </w:tcPr>
                                <w:p>
                                  <w:pPr>
                                    <w:pStyle w:val="TableParagraph"/>
                                    <w:spacing w:line="209" w:lineRule="exact"/>
                                    <w:ind w:left="50"/>
                                    <w:rPr>
                                      <w:sz w:val="20"/>
                                    </w:rPr>
                                  </w:pPr>
                                  <w:r>
                                    <w:rPr>
                                      <w:spacing w:val="-4"/>
                                      <w:sz w:val="20"/>
                                    </w:rPr>
                                    <w:t>1243</w:t>
                                  </w:r>
                                </w:p>
                              </w:tc>
                              <w:tc>
                                <w:tcPr>
                                  <w:tcW w:w="3295" w:type="dxa"/>
                                </w:tcPr>
                                <w:p>
                                  <w:pPr>
                                    <w:pStyle w:val="TableParagraph"/>
                                    <w:spacing w:line="209" w:lineRule="exact"/>
                                    <w:ind w:left="158"/>
                                    <w:rPr>
                                      <w:sz w:val="20"/>
                                    </w:rPr>
                                  </w:pPr>
                                  <w:r>
                                    <w:rPr>
                                      <w:sz w:val="20"/>
                                    </w:rPr>
                                    <w:t>Arbëreshë</w:t>
                                  </w:r>
                                  <w:r>
                                    <w:rPr>
                                      <w:spacing w:val="-7"/>
                                      <w:sz w:val="20"/>
                                    </w:rPr>
                                    <w:t> </w:t>
                                  </w:r>
                                  <w:r>
                                    <w:rPr>
                                      <w:sz w:val="20"/>
                                    </w:rPr>
                                    <w:t>Albanian</w:t>
                                  </w:r>
                                  <w:r>
                                    <w:rPr>
                                      <w:spacing w:val="-9"/>
                                      <w:sz w:val="20"/>
                                    </w:rPr>
                                    <w:t> </w:t>
                                  </w:r>
                                  <w:r>
                                    <w:rPr>
                                      <w:spacing w:val="-2"/>
                                      <w:sz w:val="20"/>
                                    </w:rPr>
                                    <w:t>(aae)</w:t>
                                  </w:r>
                                </w:p>
                              </w:tc>
                            </w:tr>
                            <w:tr>
                              <w:trPr>
                                <w:trHeight w:val="230" w:hRule="atLeast"/>
                              </w:trPr>
                              <w:tc>
                                <w:tcPr>
                                  <w:tcW w:w="612" w:type="dxa"/>
                                </w:tcPr>
                                <w:p>
                                  <w:pPr>
                                    <w:pStyle w:val="TableParagraph"/>
                                    <w:ind w:left="50"/>
                                    <w:rPr>
                                      <w:sz w:val="20"/>
                                    </w:rPr>
                                  </w:pPr>
                                  <w:r>
                                    <w:rPr>
                                      <w:spacing w:val="-4"/>
                                      <w:sz w:val="20"/>
                                    </w:rPr>
                                    <w:t>1244</w:t>
                                  </w:r>
                                </w:p>
                              </w:tc>
                              <w:tc>
                                <w:tcPr>
                                  <w:tcW w:w="3295" w:type="dxa"/>
                                </w:tcPr>
                                <w:p>
                                  <w:pPr>
                                    <w:pStyle w:val="TableParagraph"/>
                                    <w:ind w:left="158"/>
                                    <w:rPr>
                                      <w:sz w:val="20"/>
                                    </w:rPr>
                                  </w:pPr>
                                  <w:r>
                                    <w:rPr>
                                      <w:sz w:val="20"/>
                                    </w:rPr>
                                    <w:t>Gheg</w:t>
                                  </w:r>
                                  <w:r>
                                    <w:rPr>
                                      <w:spacing w:val="-6"/>
                                      <w:sz w:val="20"/>
                                    </w:rPr>
                                    <w:t> </w:t>
                                  </w:r>
                                  <w:r>
                                    <w:rPr>
                                      <w:sz w:val="20"/>
                                    </w:rPr>
                                    <w:t>Albanian</w:t>
                                  </w:r>
                                  <w:r>
                                    <w:rPr>
                                      <w:spacing w:val="-7"/>
                                      <w:sz w:val="20"/>
                                    </w:rPr>
                                    <w:t> </w:t>
                                  </w:r>
                                  <w:r>
                                    <w:rPr>
                                      <w:spacing w:val="-4"/>
                                      <w:sz w:val="20"/>
                                    </w:rPr>
                                    <w:t>(alh)</w:t>
                                  </w:r>
                                </w:p>
                              </w:tc>
                            </w:tr>
                            <w:tr>
                              <w:trPr>
                                <w:trHeight w:val="225" w:hRule="atLeast"/>
                              </w:trPr>
                              <w:tc>
                                <w:tcPr>
                                  <w:tcW w:w="612" w:type="dxa"/>
                                </w:tcPr>
                                <w:p>
                                  <w:pPr>
                                    <w:pStyle w:val="TableParagraph"/>
                                    <w:spacing w:line="205" w:lineRule="exact"/>
                                    <w:ind w:left="50"/>
                                    <w:rPr>
                                      <w:sz w:val="20"/>
                                    </w:rPr>
                                  </w:pPr>
                                  <w:r>
                                    <w:rPr>
                                      <w:spacing w:val="-4"/>
                                      <w:sz w:val="20"/>
                                    </w:rPr>
                                    <w:t>1245</w:t>
                                  </w:r>
                                </w:p>
                              </w:tc>
                              <w:tc>
                                <w:tcPr>
                                  <w:tcW w:w="3295" w:type="dxa"/>
                                </w:tcPr>
                                <w:p>
                                  <w:pPr>
                                    <w:pStyle w:val="TableParagraph"/>
                                    <w:spacing w:line="205" w:lineRule="exact"/>
                                    <w:ind w:left="158"/>
                                    <w:rPr>
                                      <w:sz w:val="20"/>
                                    </w:rPr>
                                  </w:pPr>
                                  <w:r>
                                    <w:rPr>
                                      <w:sz w:val="20"/>
                                    </w:rPr>
                                    <w:t>Tosk</w:t>
                                  </w:r>
                                  <w:r>
                                    <w:rPr>
                                      <w:spacing w:val="-7"/>
                                      <w:sz w:val="20"/>
                                    </w:rPr>
                                    <w:t> </w:t>
                                  </w:r>
                                  <w:r>
                                    <w:rPr>
                                      <w:sz w:val="20"/>
                                    </w:rPr>
                                    <w:t>Albanian</w:t>
                                  </w:r>
                                  <w:r>
                                    <w:rPr>
                                      <w:spacing w:val="-7"/>
                                      <w:sz w:val="20"/>
                                    </w:rPr>
                                    <w:t> </w:t>
                                  </w:r>
                                  <w:r>
                                    <w:rPr>
                                      <w:spacing w:val="-2"/>
                                      <w:sz w:val="20"/>
                                    </w:rPr>
                                    <w:t>(als)</w:t>
                                  </w:r>
                                </w:p>
                              </w:tc>
                            </w:tr>
                            <w:tr>
                              <w:trPr>
                                <w:trHeight w:val="470" w:hRule="atLeast"/>
                              </w:trPr>
                              <w:tc>
                                <w:tcPr>
                                  <w:tcW w:w="3907" w:type="dxa"/>
                                  <w:gridSpan w:val="2"/>
                                </w:tcPr>
                                <w:p>
                                  <w:pPr>
                                    <w:pStyle w:val="TableParagraph"/>
                                    <w:spacing w:line="240" w:lineRule="auto" w:before="1"/>
                                    <w:rPr>
                                      <w:sz w:val="20"/>
                                    </w:rPr>
                                  </w:pPr>
                                </w:p>
                                <w:p>
                                  <w:pPr>
                                    <w:pStyle w:val="TableParagraph"/>
                                    <w:spacing w:line="220" w:lineRule="exact"/>
                                    <w:ind w:left="50"/>
                                    <w:rPr>
                                      <w:i/>
                                      <w:sz w:val="20"/>
                                    </w:rPr>
                                  </w:pPr>
                                  <w:r>
                                    <w:rPr>
                                      <w:i/>
                                      <w:sz w:val="20"/>
                                      <w:u w:val="single"/>
                                    </w:rPr>
                                    <w:t>Slavic</w:t>
                                  </w:r>
                                  <w:r>
                                    <w:rPr>
                                      <w:i/>
                                      <w:spacing w:val="-9"/>
                                      <w:sz w:val="20"/>
                                      <w:u w:val="single"/>
                                    </w:rPr>
                                    <w:t> </w:t>
                                  </w:r>
                                  <w:r>
                                    <w:rPr>
                                      <w:i/>
                                      <w:sz w:val="20"/>
                                      <w:u w:val="single"/>
                                    </w:rPr>
                                    <w:t>languages</w:t>
                                  </w:r>
                                  <w:r>
                                    <w:rPr>
                                      <w:i/>
                                      <w:spacing w:val="-6"/>
                                      <w:sz w:val="20"/>
                                      <w:u w:val="single"/>
                                    </w:rPr>
                                    <w:t> </w:t>
                                  </w:r>
                                  <w:r>
                                    <w:rPr>
                                      <w:i/>
                                      <w:sz w:val="20"/>
                                      <w:u w:val="single"/>
                                    </w:rPr>
                                    <w:t>(1250-</w:t>
                                  </w:r>
                                  <w:r>
                                    <w:rPr>
                                      <w:i/>
                                      <w:spacing w:val="-4"/>
                                      <w:sz w:val="20"/>
                                      <w:u w:val="single"/>
                                    </w:rPr>
                                    <w:t>1280)</w:t>
                                  </w:r>
                                </w:p>
                              </w:tc>
                            </w:tr>
                            <w:tr>
                              <w:trPr>
                                <w:trHeight w:val="224" w:hRule="atLeast"/>
                              </w:trPr>
                              <w:tc>
                                <w:tcPr>
                                  <w:tcW w:w="612" w:type="dxa"/>
                                </w:tcPr>
                                <w:p>
                                  <w:pPr>
                                    <w:pStyle w:val="TableParagraph"/>
                                    <w:spacing w:line="204" w:lineRule="exact"/>
                                    <w:ind w:left="50"/>
                                    <w:rPr>
                                      <w:sz w:val="20"/>
                                    </w:rPr>
                                  </w:pPr>
                                  <w:r>
                                    <w:rPr>
                                      <w:spacing w:val="-4"/>
                                      <w:sz w:val="20"/>
                                    </w:rPr>
                                    <w:t>1250</w:t>
                                  </w:r>
                                </w:p>
                              </w:tc>
                              <w:tc>
                                <w:tcPr>
                                  <w:tcW w:w="3295" w:type="dxa"/>
                                </w:tcPr>
                                <w:p>
                                  <w:pPr>
                                    <w:pStyle w:val="TableParagraph"/>
                                    <w:spacing w:line="204" w:lineRule="exact"/>
                                    <w:ind w:left="158"/>
                                    <w:rPr>
                                      <w:sz w:val="20"/>
                                    </w:rPr>
                                  </w:pPr>
                                  <w:r>
                                    <w:rPr>
                                      <w:sz w:val="20"/>
                                    </w:rPr>
                                    <w:t>Russian</w:t>
                                  </w:r>
                                  <w:r>
                                    <w:rPr>
                                      <w:spacing w:val="-8"/>
                                      <w:sz w:val="20"/>
                                    </w:rPr>
                                    <w:t> </w:t>
                                  </w:r>
                                  <w:r>
                                    <w:rPr>
                                      <w:spacing w:val="-2"/>
                                      <w:sz w:val="20"/>
                                    </w:rPr>
                                    <w:t>(rus)</w:t>
                                  </w:r>
                                </w:p>
                              </w:tc>
                            </w:tr>
                            <w:tr>
                              <w:trPr>
                                <w:trHeight w:val="229" w:hRule="atLeast"/>
                              </w:trPr>
                              <w:tc>
                                <w:tcPr>
                                  <w:tcW w:w="612" w:type="dxa"/>
                                </w:tcPr>
                                <w:p>
                                  <w:pPr>
                                    <w:pStyle w:val="TableParagraph"/>
                                    <w:spacing w:line="209" w:lineRule="exact"/>
                                    <w:ind w:left="50"/>
                                    <w:rPr>
                                      <w:sz w:val="20"/>
                                    </w:rPr>
                                  </w:pPr>
                                  <w:r>
                                    <w:rPr>
                                      <w:spacing w:val="-4"/>
                                      <w:sz w:val="20"/>
                                    </w:rPr>
                                    <w:t>1251</w:t>
                                  </w:r>
                                </w:p>
                              </w:tc>
                              <w:tc>
                                <w:tcPr>
                                  <w:tcW w:w="3295" w:type="dxa"/>
                                </w:tcPr>
                                <w:p>
                                  <w:pPr>
                                    <w:pStyle w:val="TableParagraph"/>
                                    <w:spacing w:line="209" w:lineRule="exact"/>
                                    <w:ind w:left="158"/>
                                    <w:rPr>
                                      <w:sz w:val="20"/>
                                    </w:rPr>
                                  </w:pPr>
                                  <w:r>
                                    <w:rPr>
                                      <w:sz w:val="20"/>
                                    </w:rPr>
                                    <w:t>Belarusian</w:t>
                                  </w:r>
                                  <w:r>
                                    <w:rPr>
                                      <w:spacing w:val="-11"/>
                                      <w:sz w:val="20"/>
                                    </w:rPr>
                                    <w:t> </w:t>
                                  </w:r>
                                  <w:r>
                                    <w:rPr>
                                      <w:spacing w:val="-2"/>
                                      <w:sz w:val="20"/>
                                    </w:rPr>
                                    <w:t>(bel)</w:t>
                                  </w:r>
                                </w:p>
                              </w:tc>
                            </w:tr>
                            <w:tr>
                              <w:trPr>
                                <w:trHeight w:val="230" w:hRule="atLeast"/>
                              </w:trPr>
                              <w:tc>
                                <w:tcPr>
                                  <w:tcW w:w="612" w:type="dxa"/>
                                </w:tcPr>
                                <w:p>
                                  <w:pPr>
                                    <w:pStyle w:val="TableParagraph"/>
                                    <w:ind w:left="50"/>
                                    <w:rPr>
                                      <w:sz w:val="20"/>
                                    </w:rPr>
                                  </w:pPr>
                                  <w:r>
                                    <w:rPr>
                                      <w:spacing w:val="-4"/>
                                      <w:sz w:val="20"/>
                                    </w:rPr>
                                    <w:t>1252</w:t>
                                  </w:r>
                                </w:p>
                              </w:tc>
                              <w:tc>
                                <w:tcPr>
                                  <w:tcW w:w="3295" w:type="dxa"/>
                                </w:tcPr>
                                <w:p>
                                  <w:pPr>
                                    <w:pStyle w:val="TableParagraph"/>
                                    <w:ind w:left="158"/>
                                    <w:rPr>
                                      <w:sz w:val="20"/>
                                    </w:rPr>
                                  </w:pPr>
                                  <w:r>
                                    <w:rPr>
                                      <w:sz w:val="20"/>
                                    </w:rPr>
                                    <w:t>Rusyn</w:t>
                                  </w:r>
                                  <w:r>
                                    <w:rPr>
                                      <w:spacing w:val="-8"/>
                                      <w:sz w:val="20"/>
                                    </w:rPr>
                                    <w:t> </w:t>
                                  </w:r>
                                  <w:r>
                                    <w:rPr>
                                      <w:spacing w:val="-2"/>
                                      <w:sz w:val="20"/>
                                    </w:rPr>
                                    <w:t>(rue)</w:t>
                                  </w:r>
                                </w:p>
                              </w:tc>
                            </w:tr>
                            <w:tr>
                              <w:trPr>
                                <w:trHeight w:val="230" w:hRule="atLeast"/>
                              </w:trPr>
                              <w:tc>
                                <w:tcPr>
                                  <w:tcW w:w="612" w:type="dxa"/>
                                </w:tcPr>
                                <w:p>
                                  <w:pPr>
                                    <w:pStyle w:val="TableParagraph"/>
                                    <w:ind w:left="50"/>
                                    <w:rPr>
                                      <w:sz w:val="20"/>
                                    </w:rPr>
                                  </w:pPr>
                                  <w:r>
                                    <w:rPr>
                                      <w:spacing w:val="-4"/>
                                      <w:sz w:val="20"/>
                                    </w:rPr>
                                    <w:t>1260</w:t>
                                  </w:r>
                                </w:p>
                              </w:tc>
                              <w:tc>
                                <w:tcPr>
                                  <w:tcW w:w="3295" w:type="dxa"/>
                                </w:tcPr>
                                <w:p>
                                  <w:pPr>
                                    <w:pStyle w:val="TableParagraph"/>
                                    <w:ind w:left="158"/>
                                    <w:rPr>
                                      <w:sz w:val="20"/>
                                    </w:rPr>
                                  </w:pPr>
                                  <w:r>
                                    <w:rPr>
                                      <w:sz w:val="20"/>
                                    </w:rPr>
                                    <w:t>Ukrainian</w:t>
                                  </w:r>
                                  <w:r>
                                    <w:rPr>
                                      <w:spacing w:val="-9"/>
                                      <w:sz w:val="20"/>
                                    </w:rPr>
                                    <w:t> </w:t>
                                  </w:r>
                                  <w:r>
                                    <w:rPr>
                                      <w:spacing w:val="-2"/>
                                      <w:sz w:val="20"/>
                                    </w:rPr>
                                    <w:t>(ukr)</w:t>
                                  </w:r>
                                </w:p>
                              </w:tc>
                            </w:tr>
                            <w:tr>
                              <w:trPr>
                                <w:trHeight w:val="230" w:hRule="atLeast"/>
                              </w:trPr>
                              <w:tc>
                                <w:tcPr>
                                  <w:tcW w:w="612" w:type="dxa"/>
                                </w:tcPr>
                                <w:p>
                                  <w:pPr>
                                    <w:pStyle w:val="TableParagraph"/>
                                    <w:ind w:left="50"/>
                                    <w:rPr>
                                      <w:sz w:val="20"/>
                                    </w:rPr>
                                  </w:pPr>
                                  <w:r>
                                    <w:rPr>
                                      <w:spacing w:val="-4"/>
                                      <w:sz w:val="20"/>
                                    </w:rPr>
                                    <w:t>1262</w:t>
                                  </w:r>
                                </w:p>
                              </w:tc>
                              <w:tc>
                                <w:tcPr>
                                  <w:tcW w:w="3295" w:type="dxa"/>
                                </w:tcPr>
                                <w:p>
                                  <w:pPr>
                                    <w:pStyle w:val="TableParagraph"/>
                                    <w:ind w:left="158"/>
                                    <w:rPr>
                                      <w:sz w:val="20"/>
                                    </w:rPr>
                                  </w:pPr>
                                  <w:r>
                                    <w:rPr>
                                      <w:sz w:val="20"/>
                                    </w:rPr>
                                    <w:t>Czech</w:t>
                                  </w:r>
                                  <w:r>
                                    <w:rPr>
                                      <w:spacing w:val="-7"/>
                                      <w:sz w:val="20"/>
                                    </w:rPr>
                                    <w:t> </w:t>
                                  </w:r>
                                  <w:r>
                                    <w:rPr>
                                      <w:spacing w:val="-2"/>
                                      <w:sz w:val="20"/>
                                    </w:rPr>
                                    <w:t>(ces)</w:t>
                                  </w:r>
                                </w:p>
                              </w:tc>
                            </w:tr>
                            <w:tr>
                              <w:trPr>
                                <w:trHeight w:val="230" w:hRule="atLeast"/>
                              </w:trPr>
                              <w:tc>
                                <w:tcPr>
                                  <w:tcW w:w="612" w:type="dxa"/>
                                </w:tcPr>
                                <w:p>
                                  <w:pPr>
                                    <w:pStyle w:val="TableParagraph"/>
                                    <w:ind w:left="50"/>
                                    <w:rPr>
                                      <w:sz w:val="20"/>
                                    </w:rPr>
                                  </w:pPr>
                                  <w:r>
                                    <w:rPr>
                                      <w:spacing w:val="-4"/>
                                      <w:sz w:val="20"/>
                                    </w:rPr>
                                    <w:t>1263</w:t>
                                  </w:r>
                                </w:p>
                              </w:tc>
                              <w:tc>
                                <w:tcPr>
                                  <w:tcW w:w="3295" w:type="dxa"/>
                                </w:tcPr>
                                <w:p>
                                  <w:pPr>
                                    <w:pStyle w:val="TableParagraph"/>
                                    <w:ind w:left="158"/>
                                    <w:rPr>
                                      <w:sz w:val="20"/>
                                    </w:rPr>
                                  </w:pPr>
                                  <w:r>
                                    <w:rPr>
                                      <w:sz w:val="20"/>
                                    </w:rPr>
                                    <w:t>Slovak</w:t>
                                  </w:r>
                                  <w:r>
                                    <w:rPr>
                                      <w:spacing w:val="-7"/>
                                      <w:sz w:val="20"/>
                                    </w:rPr>
                                    <w:t> </w:t>
                                  </w:r>
                                  <w:r>
                                    <w:rPr>
                                      <w:spacing w:val="-2"/>
                                      <w:sz w:val="20"/>
                                    </w:rPr>
                                    <w:t>(slk)</w:t>
                                  </w:r>
                                </w:p>
                              </w:tc>
                            </w:tr>
                            <w:tr>
                              <w:trPr>
                                <w:trHeight w:val="229" w:hRule="atLeast"/>
                              </w:trPr>
                              <w:tc>
                                <w:tcPr>
                                  <w:tcW w:w="612" w:type="dxa"/>
                                </w:tcPr>
                                <w:p>
                                  <w:pPr>
                                    <w:pStyle w:val="TableParagraph"/>
                                    <w:spacing w:line="209" w:lineRule="exact"/>
                                    <w:ind w:left="50"/>
                                    <w:rPr>
                                      <w:sz w:val="20"/>
                                    </w:rPr>
                                  </w:pPr>
                                  <w:r>
                                    <w:rPr>
                                      <w:spacing w:val="-4"/>
                                      <w:sz w:val="20"/>
                                    </w:rPr>
                                    <w:t>1265</w:t>
                                  </w:r>
                                </w:p>
                              </w:tc>
                              <w:tc>
                                <w:tcPr>
                                  <w:tcW w:w="3295" w:type="dxa"/>
                                </w:tcPr>
                                <w:p>
                                  <w:pPr>
                                    <w:pStyle w:val="TableParagraph"/>
                                    <w:spacing w:line="209" w:lineRule="exact"/>
                                    <w:ind w:left="158"/>
                                    <w:rPr>
                                      <w:sz w:val="20"/>
                                    </w:rPr>
                                  </w:pPr>
                                  <w:r>
                                    <w:rPr>
                                      <w:sz w:val="20"/>
                                    </w:rPr>
                                    <w:t>Lower</w:t>
                                  </w:r>
                                  <w:r>
                                    <w:rPr>
                                      <w:spacing w:val="-6"/>
                                      <w:sz w:val="20"/>
                                    </w:rPr>
                                    <w:t> </w:t>
                                  </w:r>
                                  <w:r>
                                    <w:rPr>
                                      <w:sz w:val="20"/>
                                    </w:rPr>
                                    <w:t>Sorbian</w:t>
                                  </w:r>
                                  <w:r>
                                    <w:rPr>
                                      <w:spacing w:val="-7"/>
                                      <w:sz w:val="20"/>
                                    </w:rPr>
                                    <w:t> </w:t>
                                  </w:r>
                                  <w:r>
                                    <w:rPr>
                                      <w:spacing w:val="-4"/>
                                      <w:sz w:val="20"/>
                                    </w:rPr>
                                    <w:t>(dsb)</w:t>
                                  </w:r>
                                </w:p>
                              </w:tc>
                            </w:tr>
                            <w:tr>
                              <w:trPr>
                                <w:trHeight w:val="229" w:hRule="atLeast"/>
                              </w:trPr>
                              <w:tc>
                                <w:tcPr>
                                  <w:tcW w:w="612" w:type="dxa"/>
                                </w:tcPr>
                                <w:p>
                                  <w:pPr>
                                    <w:pStyle w:val="TableParagraph"/>
                                    <w:spacing w:line="209" w:lineRule="exact"/>
                                    <w:ind w:left="50"/>
                                    <w:rPr>
                                      <w:sz w:val="20"/>
                                    </w:rPr>
                                  </w:pPr>
                                  <w:r>
                                    <w:rPr>
                                      <w:spacing w:val="-4"/>
                                      <w:sz w:val="20"/>
                                    </w:rPr>
                                    <w:t>1266</w:t>
                                  </w:r>
                                </w:p>
                              </w:tc>
                              <w:tc>
                                <w:tcPr>
                                  <w:tcW w:w="3295" w:type="dxa"/>
                                </w:tcPr>
                                <w:p>
                                  <w:pPr>
                                    <w:pStyle w:val="TableParagraph"/>
                                    <w:spacing w:line="209" w:lineRule="exact"/>
                                    <w:ind w:left="158"/>
                                    <w:rPr>
                                      <w:sz w:val="20"/>
                                    </w:rPr>
                                  </w:pPr>
                                  <w:r>
                                    <w:rPr>
                                      <w:sz w:val="20"/>
                                    </w:rPr>
                                    <w:t>Upper</w:t>
                                  </w:r>
                                  <w:r>
                                    <w:rPr>
                                      <w:spacing w:val="-4"/>
                                      <w:sz w:val="20"/>
                                    </w:rPr>
                                    <w:t> </w:t>
                                  </w:r>
                                  <w:r>
                                    <w:rPr>
                                      <w:sz w:val="20"/>
                                    </w:rPr>
                                    <w:t>Sorbian</w:t>
                                  </w:r>
                                  <w:r>
                                    <w:rPr>
                                      <w:spacing w:val="-5"/>
                                      <w:sz w:val="20"/>
                                    </w:rPr>
                                    <w:t> </w:t>
                                  </w:r>
                                  <w:r>
                                    <w:rPr>
                                      <w:spacing w:val="-4"/>
                                      <w:sz w:val="20"/>
                                    </w:rPr>
                                    <w:t>(hsb)</w:t>
                                  </w:r>
                                </w:p>
                              </w:tc>
                            </w:tr>
                            <w:tr>
                              <w:trPr>
                                <w:trHeight w:val="230" w:hRule="atLeast"/>
                              </w:trPr>
                              <w:tc>
                                <w:tcPr>
                                  <w:tcW w:w="612" w:type="dxa"/>
                                </w:tcPr>
                                <w:p>
                                  <w:pPr>
                                    <w:pStyle w:val="TableParagraph"/>
                                    <w:ind w:left="50"/>
                                    <w:rPr>
                                      <w:sz w:val="20"/>
                                    </w:rPr>
                                  </w:pPr>
                                  <w:r>
                                    <w:rPr>
                                      <w:spacing w:val="-4"/>
                                      <w:sz w:val="20"/>
                                    </w:rPr>
                                    <w:t>1268</w:t>
                                  </w:r>
                                </w:p>
                              </w:tc>
                              <w:tc>
                                <w:tcPr>
                                  <w:tcW w:w="3295" w:type="dxa"/>
                                </w:tcPr>
                                <w:p>
                                  <w:pPr>
                                    <w:pStyle w:val="TableParagraph"/>
                                    <w:ind w:left="158"/>
                                    <w:rPr>
                                      <w:sz w:val="20"/>
                                    </w:rPr>
                                  </w:pPr>
                                  <w:r>
                                    <w:rPr>
                                      <w:sz w:val="20"/>
                                    </w:rPr>
                                    <w:t>Kashubian</w:t>
                                  </w:r>
                                  <w:r>
                                    <w:rPr>
                                      <w:spacing w:val="-11"/>
                                      <w:sz w:val="20"/>
                                    </w:rPr>
                                    <w:t> </w:t>
                                  </w:r>
                                  <w:r>
                                    <w:rPr>
                                      <w:spacing w:val="-2"/>
                                      <w:sz w:val="20"/>
                                    </w:rPr>
                                    <w:t>(csb)</w:t>
                                  </w:r>
                                </w:p>
                              </w:tc>
                            </w:tr>
                            <w:tr>
                              <w:trPr>
                                <w:trHeight w:val="230" w:hRule="atLeast"/>
                              </w:trPr>
                              <w:tc>
                                <w:tcPr>
                                  <w:tcW w:w="612" w:type="dxa"/>
                                </w:tcPr>
                                <w:p>
                                  <w:pPr>
                                    <w:pStyle w:val="TableParagraph"/>
                                    <w:spacing w:line="211" w:lineRule="exact"/>
                                    <w:ind w:left="50"/>
                                    <w:rPr>
                                      <w:sz w:val="20"/>
                                    </w:rPr>
                                  </w:pPr>
                                  <w:r>
                                    <w:rPr>
                                      <w:spacing w:val="-4"/>
                                      <w:sz w:val="20"/>
                                    </w:rPr>
                                    <w:t>1269</w:t>
                                  </w:r>
                                </w:p>
                              </w:tc>
                              <w:tc>
                                <w:tcPr>
                                  <w:tcW w:w="3295" w:type="dxa"/>
                                </w:tcPr>
                                <w:p>
                                  <w:pPr>
                                    <w:pStyle w:val="TableParagraph"/>
                                    <w:spacing w:line="211" w:lineRule="exact"/>
                                    <w:ind w:left="158"/>
                                    <w:rPr>
                                      <w:sz w:val="20"/>
                                    </w:rPr>
                                  </w:pPr>
                                  <w:r>
                                    <w:rPr>
                                      <w:sz w:val="20"/>
                                    </w:rPr>
                                    <w:t>Silesian</w:t>
                                  </w:r>
                                  <w:r>
                                    <w:rPr>
                                      <w:spacing w:val="-7"/>
                                      <w:sz w:val="20"/>
                                    </w:rPr>
                                    <w:t> </w:t>
                                  </w:r>
                                  <w:r>
                                    <w:rPr>
                                      <w:spacing w:val="-2"/>
                                      <w:sz w:val="20"/>
                                    </w:rPr>
                                    <w:t>(szl)</w:t>
                                  </w:r>
                                </w:p>
                              </w:tc>
                            </w:tr>
                            <w:tr>
                              <w:trPr>
                                <w:trHeight w:val="230" w:hRule="atLeast"/>
                              </w:trPr>
                              <w:tc>
                                <w:tcPr>
                                  <w:tcW w:w="612" w:type="dxa"/>
                                </w:tcPr>
                                <w:p>
                                  <w:pPr>
                                    <w:pStyle w:val="TableParagraph"/>
                                    <w:spacing w:line="211" w:lineRule="exact"/>
                                    <w:ind w:left="50"/>
                                    <w:rPr>
                                      <w:sz w:val="20"/>
                                    </w:rPr>
                                  </w:pPr>
                                  <w:r>
                                    <w:rPr>
                                      <w:spacing w:val="-4"/>
                                      <w:sz w:val="20"/>
                                    </w:rPr>
                                    <w:t>1270</w:t>
                                  </w:r>
                                </w:p>
                              </w:tc>
                              <w:tc>
                                <w:tcPr>
                                  <w:tcW w:w="3295" w:type="dxa"/>
                                </w:tcPr>
                                <w:p>
                                  <w:pPr>
                                    <w:pStyle w:val="TableParagraph"/>
                                    <w:spacing w:line="211" w:lineRule="exact"/>
                                    <w:ind w:left="158"/>
                                    <w:rPr>
                                      <w:sz w:val="20"/>
                                    </w:rPr>
                                  </w:pPr>
                                  <w:r>
                                    <w:rPr>
                                      <w:sz w:val="20"/>
                                    </w:rPr>
                                    <w:t>Polish</w:t>
                                  </w:r>
                                  <w:r>
                                    <w:rPr>
                                      <w:spacing w:val="-7"/>
                                      <w:sz w:val="20"/>
                                    </w:rPr>
                                    <w:t> </w:t>
                                  </w:r>
                                  <w:r>
                                    <w:rPr>
                                      <w:spacing w:val="-2"/>
                                      <w:sz w:val="20"/>
                                    </w:rPr>
                                    <w:t>(pol)</w:t>
                                  </w:r>
                                </w:p>
                              </w:tc>
                            </w:tr>
                            <w:tr>
                              <w:trPr>
                                <w:trHeight w:val="230" w:hRule="atLeast"/>
                              </w:trPr>
                              <w:tc>
                                <w:tcPr>
                                  <w:tcW w:w="612" w:type="dxa"/>
                                </w:tcPr>
                                <w:p>
                                  <w:pPr>
                                    <w:pStyle w:val="TableParagraph"/>
                                    <w:ind w:left="50"/>
                                    <w:rPr>
                                      <w:sz w:val="20"/>
                                    </w:rPr>
                                  </w:pPr>
                                  <w:r>
                                    <w:rPr>
                                      <w:spacing w:val="-4"/>
                                      <w:sz w:val="20"/>
                                    </w:rPr>
                                    <w:t>1273</w:t>
                                  </w:r>
                                </w:p>
                              </w:tc>
                              <w:tc>
                                <w:tcPr>
                                  <w:tcW w:w="3295" w:type="dxa"/>
                                </w:tcPr>
                                <w:p>
                                  <w:pPr>
                                    <w:pStyle w:val="TableParagraph"/>
                                    <w:ind w:left="158"/>
                                    <w:rPr>
                                      <w:sz w:val="20"/>
                                    </w:rPr>
                                  </w:pPr>
                                  <w:r>
                                    <w:rPr>
                                      <w:sz w:val="20"/>
                                    </w:rPr>
                                    <w:t>Bulgarian</w:t>
                                  </w:r>
                                  <w:r>
                                    <w:rPr>
                                      <w:spacing w:val="-9"/>
                                      <w:sz w:val="20"/>
                                    </w:rPr>
                                    <w:t> </w:t>
                                  </w:r>
                                  <w:r>
                                    <w:rPr>
                                      <w:spacing w:val="-2"/>
                                      <w:sz w:val="20"/>
                                    </w:rPr>
                                    <w:t>(bul)</w:t>
                                  </w:r>
                                </w:p>
                              </w:tc>
                            </w:tr>
                            <w:tr>
                              <w:trPr>
                                <w:trHeight w:val="229" w:hRule="atLeast"/>
                              </w:trPr>
                              <w:tc>
                                <w:tcPr>
                                  <w:tcW w:w="612" w:type="dxa"/>
                                </w:tcPr>
                                <w:p>
                                  <w:pPr>
                                    <w:pStyle w:val="TableParagraph"/>
                                    <w:spacing w:line="209" w:lineRule="exact"/>
                                    <w:ind w:left="50"/>
                                    <w:rPr>
                                      <w:sz w:val="20"/>
                                    </w:rPr>
                                  </w:pPr>
                                  <w:r>
                                    <w:rPr>
                                      <w:spacing w:val="-4"/>
                                      <w:sz w:val="20"/>
                                    </w:rPr>
                                    <w:t>1274</w:t>
                                  </w:r>
                                </w:p>
                              </w:tc>
                              <w:tc>
                                <w:tcPr>
                                  <w:tcW w:w="3295" w:type="dxa"/>
                                </w:tcPr>
                                <w:p>
                                  <w:pPr>
                                    <w:pStyle w:val="TableParagraph"/>
                                    <w:spacing w:line="209" w:lineRule="exact"/>
                                    <w:ind w:left="158"/>
                                    <w:rPr>
                                      <w:sz w:val="20"/>
                                    </w:rPr>
                                  </w:pPr>
                                  <w:r>
                                    <w:rPr>
                                      <w:sz w:val="20"/>
                                    </w:rPr>
                                    <w:t>Macedonian</w:t>
                                  </w:r>
                                  <w:r>
                                    <w:rPr>
                                      <w:spacing w:val="-11"/>
                                      <w:sz w:val="20"/>
                                    </w:rPr>
                                    <w:t> </w:t>
                                  </w:r>
                                  <w:r>
                                    <w:rPr>
                                      <w:spacing w:val="-2"/>
                                      <w:sz w:val="20"/>
                                    </w:rPr>
                                    <w:t>(mkd)</w:t>
                                  </w:r>
                                </w:p>
                              </w:tc>
                            </w:tr>
                            <w:tr>
                              <w:trPr>
                                <w:trHeight w:val="229" w:hRule="atLeast"/>
                              </w:trPr>
                              <w:tc>
                                <w:tcPr>
                                  <w:tcW w:w="612" w:type="dxa"/>
                                </w:tcPr>
                                <w:p>
                                  <w:pPr>
                                    <w:pStyle w:val="TableParagraph"/>
                                    <w:spacing w:line="209" w:lineRule="exact"/>
                                    <w:ind w:left="50"/>
                                    <w:rPr>
                                      <w:sz w:val="20"/>
                                    </w:rPr>
                                  </w:pPr>
                                  <w:r>
                                    <w:rPr>
                                      <w:spacing w:val="-4"/>
                                      <w:sz w:val="20"/>
                                    </w:rPr>
                                    <w:t>1275</w:t>
                                  </w:r>
                                </w:p>
                              </w:tc>
                              <w:tc>
                                <w:tcPr>
                                  <w:tcW w:w="3295" w:type="dxa"/>
                                </w:tcPr>
                                <w:p>
                                  <w:pPr>
                                    <w:pStyle w:val="TableParagraph"/>
                                    <w:spacing w:line="209" w:lineRule="exact"/>
                                    <w:ind w:left="158"/>
                                    <w:rPr>
                                      <w:sz w:val="20"/>
                                    </w:rPr>
                                  </w:pPr>
                                  <w:r>
                                    <w:rPr>
                                      <w:sz w:val="20"/>
                                    </w:rPr>
                                    <w:t>Serbo-Croatian</w:t>
                                  </w:r>
                                  <w:r>
                                    <w:rPr>
                                      <w:spacing w:val="-13"/>
                                      <w:sz w:val="20"/>
                                    </w:rPr>
                                    <w:t> </w:t>
                                  </w:r>
                                  <w:r>
                                    <w:rPr>
                                      <w:sz w:val="20"/>
                                    </w:rPr>
                                    <w:t>(macrolanguage)</w:t>
                                  </w:r>
                                  <w:r>
                                    <w:rPr>
                                      <w:spacing w:val="-11"/>
                                      <w:sz w:val="20"/>
                                    </w:rPr>
                                    <w:t> </w:t>
                                  </w:r>
                                  <w:r>
                                    <w:rPr>
                                      <w:spacing w:val="-4"/>
                                      <w:sz w:val="20"/>
                                    </w:rPr>
                                    <w:t>(hbs)</w:t>
                                  </w:r>
                                </w:p>
                              </w:tc>
                            </w:tr>
                            <w:tr>
                              <w:trPr>
                                <w:trHeight w:val="230" w:hRule="atLeast"/>
                              </w:trPr>
                              <w:tc>
                                <w:tcPr>
                                  <w:tcW w:w="612" w:type="dxa"/>
                                </w:tcPr>
                                <w:p>
                                  <w:pPr>
                                    <w:pStyle w:val="TableParagraph"/>
                                    <w:ind w:left="50"/>
                                    <w:rPr>
                                      <w:sz w:val="20"/>
                                    </w:rPr>
                                  </w:pPr>
                                  <w:r>
                                    <w:rPr>
                                      <w:spacing w:val="-4"/>
                                      <w:sz w:val="20"/>
                                    </w:rPr>
                                    <w:t>1276</w:t>
                                  </w:r>
                                </w:p>
                              </w:tc>
                              <w:tc>
                                <w:tcPr>
                                  <w:tcW w:w="3295" w:type="dxa"/>
                                </w:tcPr>
                                <w:p>
                                  <w:pPr>
                                    <w:pStyle w:val="TableParagraph"/>
                                    <w:ind w:left="158"/>
                                    <w:rPr>
                                      <w:sz w:val="20"/>
                                    </w:rPr>
                                  </w:pPr>
                                  <w:r>
                                    <w:rPr>
                                      <w:sz w:val="20"/>
                                    </w:rPr>
                                    <w:t>Bosnian</w:t>
                                  </w:r>
                                  <w:r>
                                    <w:rPr>
                                      <w:spacing w:val="-9"/>
                                      <w:sz w:val="20"/>
                                    </w:rPr>
                                    <w:t> </w:t>
                                  </w:r>
                                  <w:r>
                                    <w:rPr>
                                      <w:spacing w:val="-2"/>
                                      <w:sz w:val="20"/>
                                    </w:rPr>
                                    <w:t>(bos)</w:t>
                                  </w:r>
                                </w:p>
                              </w:tc>
                            </w:tr>
                            <w:tr>
                              <w:trPr>
                                <w:trHeight w:val="230" w:hRule="atLeast"/>
                              </w:trPr>
                              <w:tc>
                                <w:tcPr>
                                  <w:tcW w:w="612" w:type="dxa"/>
                                </w:tcPr>
                                <w:p>
                                  <w:pPr>
                                    <w:pStyle w:val="TableParagraph"/>
                                    <w:ind w:left="50"/>
                                    <w:rPr>
                                      <w:sz w:val="20"/>
                                    </w:rPr>
                                  </w:pPr>
                                  <w:r>
                                    <w:rPr>
                                      <w:spacing w:val="-4"/>
                                      <w:sz w:val="20"/>
                                    </w:rPr>
                                    <w:t>1277</w:t>
                                  </w:r>
                                </w:p>
                              </w:tc>
                              <w:tc>
                                <w:tcPr>
                                  <w:tcW w:w="3295" w:type="dxa"/>
                                </w:tcPr>
                                <w:p>
                                  <w:pPr>
                                    <w:pStyle w:val="TableParagraph"/>
                                    <w:ind w:left="158"/>
                                    <w:rPr>
                                      <w:sz w:val="20"/>
                                    </w:rPr>
                                  </w:pPr>
                                  <w:r>
                                    <w:rPr>
                                      <w:sz w:val="20"/>
                                    </w:rPr>
                                    <w:t>Croatian</w:t>
                                  </w:r>
                                  <w:r>
                                    <w:rPr>
                                      <w:spacing w:val="-8"/>
                                      <w:sz w:val="20"/>
                                    </w:rPr>
                                    <w:t> </w:t>
                                  </w:r>
                                  <w:r>
                                    <w:rPr>
                                      <w:spacing w:val="-2"/>
                                      <w:sz w:val="20"/>
                                    </w:rPr>
                                    <w:t>(hrv)</w:t>
                                  </w:r>
                                </w:p>
                              </w:tc>
                            </w:tr>
                            <w:tr>
                              <w:trPr>
                                <w:trHeight w:val="230" w:hRule="atLeast"/>
                              </w:trPr>
                              <w:tc>
                                <w:tcPr>
                                  <w:tcW w:w="612" w:type="dxa"/>
                                </w:tcPr>
                                <w:p>
                                  <w:pPr>
                                    <w:pStyle w:val="TableParagraph"/>
                                    <w:ind w:left="50"/>
                                    <w:rPr>
                                      <w:sz w:val="20"/>
                                    </w:rPr>
                                  </w:pPr>
                                  <w:r>
                                    <w:rPr>
                                      <w:spacing w:val="-4"/>
                                      <w:sz w:val="20"/>
                                    </w:rPr>
                                    <w:t>1278</w:t>
                                  </w:r>
                                </w:p>
                              </w:tc>
                              <w:tc>
                                <w:tcPr>
                                  <w:tcW w:w="3295" w:type="dxa"/>
                                </w:tcPr>
                                <w:p>
                                  <w:pPr>
                                    <w:pStyle w:val="TableParagraph"/>
                                    <w:ind w:left="158"/>
                                    <w:rPr>
                                      <w:sz w:val="20"/>
                                    </w:rPr>
                                  </w:pPr>
                                  <w:r>
                                    <w:rPr>
                                      <w:sz w:val="20"/>
                                    </w:rPr>
                                    <w:t>Serbian</w:t>
                                  </w:r>
                                  <w:r>
                                    <w:rPr>
                                      <w:spacing w:val="-7"/>
                                      <w:sz w:val="20"/>
                                    </w:rPr>
                                    <w:t> </w:t>
                                  </w:r>
                                  <w:r>
                                    <w:rPr>
                                      <w:spacing w:val="-2"/>
                                      <w:sz w:val="20"/>
                                    </w:rPr>
                                    <w:t>(srp)</w:t>
                                  </w:r>
                                </w:p>
                              </w:tc>
                            </w:tr>
                            <w:tr>
                              <w:trPr>
                                <w:trHeight w:val="225" w:hRule="atLeast"/>
                              </w:trPr>
                              <w:tc>
                                <w:tcPr>
                                  <w:tcW w:w="612" w:type="dxa"/>
                                </w:tcPr>
                                <w:p>
                                  <w:pPr>
                                    <w:pStyle w:val="TableParagraph"/>
                                    <w:spacing w:line="205" w:lineRule="exact"/>
                                    <w:ind w:left="50"/>
                                    <w:rPr>
                                      <w:sz w:val="20"/>
                                    </w:rPr>
                                  </w:pPr>
                                  <w:r>
                                    <w:rPr>
                                      <w:spacing w:val="-4"/>
                                      <w:sz w:val="20"/>
                                    </w:rPr>
                                    <w:t>1280</w:t>
                                  </w:r>
                                </w:p>
                              </w:tc>
                              <w:tc>
                                <w:tcPr>
                                  <w:tcW w:w="3295" w:type="dxa"/>
                                </w:tcPr>
                                <w:p>
                                  <w:pPr>
                                    <w:pStyle w:val="TableParagraph"/>
                                    <w:spacing w:line="205" w:lineRule="exact"/>
                                    <w:ind w:left="158"/>
                                    <w:rPr>
                                      <w:sz w:val="20"/>
                                    </w:rPr>
                                  </w:pPr>
                                  <w:r>
                                    <w:rPr>
                                      <w:sz w:val="20"/>
                                    </w:rPr>
                                    <w:t>Slovenian</w:t>
                                  </w:r>
                                  <w:r>
                                    <w:rPr>
                                      <w:spacing w:val="-11"/>
                                      <w:sz w:val="20"/>
                                    </w:rPr>
                                    <w:t> </w:t>
                                  </w:r>
                                  <w:r>
                                    <w:rPr>
                                      <w:spacing w:val="-2"/>
                                      <w:sz w:val="20"/>
                                    </w:rPr>
                                    <w:t>(slv)</w:t>
                                  </w:r>
                                </w:p>
                              </w:tc>
                            </w:tr>
                            <w:tr>
                              <w:trPr>
                                <w:trHeight w:val="458" w:hRule="atLeast"/>
                              </w:trPr>
                              <w:tc>
                                <w:tcPr>
                                  <w:tcW w:w="3907" w:type="dxa"/>
                                  <w:gridSpan w:val="2"/>
                                </w:tcPr>
                                <w:p>
                                  <w:pPr>
                                    <w:pStyle w:val="TableParagraph"/>
                                    <w:spacing w:line="240" w:lineRule="auto" w:before="10"/>
                                    <w:rPr>
                                      <w:sz w:val="19"/>
                                    </w:rPr>
                                  </w:pPr>
                                </w:p>
                                <w:p>
                                  <w:pPr>
                                    <w:pStyle w:val="TableParagraph"/>
                                    <w:ind w:left="50"/>
                                    <w:rPr>
                                      <w:i/>
                                      <w:sz w:val="20"/>
                                    </w:rPr>
                                  </w:pPr>
                                  <w:r>
                                    <w:rPr>
                                      <w:i/>
                                      <w:sz w:val="20"/>
                                      <w:u w:val="single"/>
                                    </w:rPr>
                                    <w:t>Baltic</w:t>
                                  </w:r>
                                  <w:r>
                                    <w:rPr>
                                      <w:i/>
                                      <w:spacing w:val="-8"/>
                                      <w:sz w:val="20"/>
                                      <w:u w:val="single"/>
                                    </w:rPr>
                                    <w:t> </w:t>
                                  </w:r>
                                  <w:r>
                                    <w:rPr>
                                      <w:i/>
                                      <w:sz w:val="20"/>
                                      <w:u w:val="single"/>
                                    </w:rPr>
                                    <w:t>languages</w:t>
                                  </w:r>
                                  <w:r>
                                    <w:rPr>
                                      <w:i/>
                                      <w:spacing w:val="-7"/>
                                      <w:sz w:val="20"/>
                                      <w:u w:val="single"/>
                                    </w:rPr>
                                    <w:t> </w:t>
                                  </w:r>
                                  <w:r>
                                    <w:rPr>
                                      <w:i/>
                                      <w:sz w:val="20"/>
                                      <w:u w:val="single"/>
                                    </w:rPr>
                                    <w:t>(1281-</w:t>
                                  </w:r>
                                  <w:r>
                                    <w:rPr>
                                      <w:i/>
                                      <w:spacing w:val="-4"/>
                                      <w:sz w:val="20"/>
                                      <w:u w:val="single"/>
                                    </w:rPr>
                                    <w:t>1287)</w:t>
                                  </w:r>
                                </w:p>
                              </w:tc>
                            </w:tr>
                            <w:tr>
                              <w:trPr>
                                <w:trHeight w:val="235" w:hRule="atLeast"/>
                              </w:trPr>
                              <w:tc>
                                <w:tcPr>
                                  <w:tcW w:w="612" w:type="dxa"/>
                                </w:tcPr>
                                <w:p>
                                  <w:pPr>
                                    <w:pStyle w:val="TableParagraph"/>
                                    <w:spacing w:line="205" w:lineRule="exact"/>
                                    <w:ind w:left="50"/>
                                    <w:rPr>
                                      <w:sz w:val="20"/>
                                    </w:rPr>
                                  </w:pPr>
                                  <w:r>
                                    <w:rPr>
                                      <w:spacing w:val="-4"/>
                                      <w:sz w:val="20"/>
                                    </w:rPr>
                                    <w:t>1281</w:t>
                                  </w:r>
                                </w:p>
                              </w:tc>
                              <w:tc>
                                <w:tcPr>
                                  <w:tcW w:w="3295" w:type="dxa"/>
                                </w:tcPr>
                                <w:p>
                                  <w:pPr>
                                    <w:pStyle w:val="TableParagraph"/>
                                    <w:spacing w:line="205" w:lineRule="exact"/>
                                    <w:ind w:left="158"/>
                                    <w:rPr>
                                      <w:sz w:val="20"/>
                                    </w:rPr>
                                  </w:pPr>
                                  <w:r>
                                    <w:rPr>
                                      <w:sz w:val="20"/>
                                    </w:rPr>
                                    <w:t>Lithuanian</w:t>
                                  </w:r>
                                  <w:r>
                                    <w:rPr>
                                      <w:spacing w:val="-11"/>
                                      <w:sz w:val="20"/>
                                    </w:rPr>
                                    <w:t> </w:t>
                                  </w:r>
                                  <w:r>
                                    <w:rPr>
                                      <w:spacing w:val="-2"/>
                                      <w:sz w:val="20"/>
                                    </w:rPr>
                                    <w:t>(lit)</w:t>
                                  </w:r>
                                </w:p>
                              </w:tc>
                            </w:tr>
                            <w:tr>
                              <w:trPr>
                                <w:trHeight w:val="230" w:hRule="atLeast"/>
                              </w:trPr>
                              <w:tc>
                                <w:tcPr>
                                  <w:tcW w:w="612" w:type="dxa"/>
                                </w:tcPr>
                                <w:p>
                                  <w:pPr>
                                    <w:pStyle w:val="TableParagraph"/>
                                    <w:ind w:left="50"/>
                                    <w:rPr>
                                      <w:sz w:val="20"/>
                                    </w:rPr>
                                  </w:pPr>
                                  <w:r>
                                    <w:rPr>
                                      <w:spacing w:val="-4"/>
                                      <w:sz w:val="20"/>
                                    </w:rPr>
                                    <w:t>1283</w:t>
                                  </w:r>
                                </w:p>
                              </w:tc>
                              <w:tc>
                                <w:tcPr>
                                  <w:tcW w:w="3295" w:type="dxa"/>
                                </w:tcPr>
                                <w:p>
                                  <w:pPr>
                                    <w:pStyle w:val="TableParagraph"/>
                                    <w:ind w:left="158"/>
                                    <w:rPr>
                                      <w:sz w:val="20"/>
                                    </w:rPr>
                                  </w:pPr>
                                  <w:r>
                                    <w:rPr>
                                      <w:sz w:val="20"/>
                                    </w:rPr>
                                    <w:t>Standard</w:t>
                                  </w:r>
                                  <w:r>
                                    <w:rPr>
                                      <w:spacing w:val="-6"/>
                                      <w:sz w:val="20"/>
                                    </w:rPr>
                                    <w:t> </w:t>
                                  </w:r>
                                  <w:r>
                                    <w:rPr>
                                      <w:sz w:val="20"/>
                                    </w:rPr>
                                    <w:t>Latvian</w:t>
                                  </w:r>
                                  <w:r>
                                    <w:rPr>
                                      <w:spacing w:val="-8"/>
                                      <w:sz w:val="20"/>
                                    </w:rPr>
                                    <w:t> </w:t>
                                  </w:r>
                                  <w:r>
                                    <w:rPr>
                                      <w:spacing w:val="-4"/>
                                      <w:sz w:val="20"/>
                                    </w:rPr>
                                    <w:t>(lvs)</w:t>
                                  </w:r>
                                </w:p>
                              </w:tc>
                            </w:tr>
                            <w:tr>
                              <w:trPr>
                                <w:trHeight w:val="344" w:hRule="atLeast"/>
                              </w:trPr>
                              <w:tc>
                                <w:tcPr>
                                  <w:tcW w:w="612" w:type="dxa"/>
                                </w:tcPr>
                                <w:p>
                                  <w:pPr>
                                    <w:pStyle w:val="TableParagraph"/>
                                    <w:spacing w:line="226" w:lineRule="exact"/>
                                    <w:ind w:left="50"/>
                                    <w:rPr>
                                      <w:sz w:val="20"/>
                                    </w:rPr>
                                  </w:pPr>
                                  <w:r>
                                    <w:rPr>
                                      <w:spacing w:val="-4"/>
                                      <w:sz w:val="20"/>
                                    </w:rPr>
                                    <w:t>1284</w:t>
                                  </w:r>
                                </w:p>
                              </w:tc>
                              <w:tc>
                                <w:tcPr>
                                  <w:tcW w:w="3295" w:type="dxa"/>
                                </w:tcPr>
                                <w:p>
                                  <w:pPr>
                                    <w:pStyle w:val="TableParagraph"/>
                                    <w:spacing w:line="226" w:lineRule="exact"/>
                                    <w:ind w:left="158"/>
                                    <w:rPr>
                                      <w:sz w:val="20"/>
                                    </w:rPr>
                                  </w:pPr>
                                  <w:r>
                                    <w:rPr>
                                      <w:sz w:val="20"/>
                                    </w:rPr>
                                    <w:t>Latgalian</w:t>
                                  </w:r>
                                  <w:r>
                                    <w:rPr>
                                      <w:spacing w:val="-9"/>
                                      <w:sz w:val="20"/>
                                    </w:rPr>
                                    <w:t> </w:t>
                                  </w:r>
                                  <w:r>
                                    <w:rPr>
                                      <w:spacing w:val="-2"/>
                                      <w:sz w:val="20"/>
                                    </w:rPr>
                                    <w:t>(ltg)</w:t>
                                  </w:r>
                                </w:p>
                              </w:tc>
                            </w:tr>
                            <w:tr>
                              <w:trPr>
                                <w:trHeight w:val="339" w:hRule="atLeast"/>
                              </w:trPr>
                              <w:tc>
                                <w:tcPr>
                                  <w:tcW w:w="612" w:type="dxa"/>
                                </w:tcPr>
                                <w:p>
                                  <w:pPr>
                                    <w:pStyle w:val="TableParagraph"/>
                                    <w:spacing w:before="109"/>
                                    <w:ind w:left="50"/>
                                    <w:rPr>
                                      <w:sz w:val="20"/>
                                    </w:rPr>
                                  </w:pPr>
                                  <w:r>
                                    <w:rPr>
                                      <w:spacing w:val="-4"/>
                                      <w:sz w:val="20"/>
                                    </w:rPr>
                                    <w:t>1288</w:t>
                                  </w:r>
                                </w:p>
                              </w:tc>
                              <w:tc>
                                <w:tcPr>
                                  <w:tcW w:w="3295" w:type="dxa"/>
                                </w:tcPr>
                                <w:p>
                                  <w:pPr>
                                    <w:pStyle w:val="TableParagraph"/>
                                    <w:spacing w:before="109"/>
                                    <w:ind w:left="158"/>
                                    <w:rPr>
                                      <w:sz w:val="20"/>
                                    </w:rPr>
                                  </w:pPr>
                                  <w:r>
                                    <w:rPr>
                                      <w:sz w:val="20"/>
                                    </w:rPr>
                                    <w:t>Armenian</w:t>
                                  </w:r>
                                  <w:r>
                                    <w:rPr>
                                      <w:spacing w:val="-11"/>
                                      <w:sz w:val="20"/>
                                    </w:rPr>
                                    <w:t> </w:t>
                                  </w:r>
                                  <w:r>
                                    <w:rPr>
                                      <w:spacing w:val="-2"/>
                                      <w:sz w:val="20"/>
                                    </w:rPr>
                                    <w:t>(hye)</w:t>
                                  </w: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52.489521pt;width:201.35pt;height:366.9pt;mso-position-horizontal-relative:page;mso-position-vertical-relative:paragraph;z-index:15764480" type="#_x0000_t202" id="docshape1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295"/>
                      </w:tblGrid>
                      <w:tr>
                        <w:trPr>
                          <w:trHeight w:val="225" w:hRule="atLeast"/>
                        </w:trPr>
                        <w:tc>
                          <w:tcPr>
                            <w:tcW w:w="612" w:type="dxa"/>
                          </w:tcPr>
                          <w:p>
                            <w:pPr>
                              <w:pStyle w:val="TableParagraph"/>
                              <w:spacing w:line="205" w:lineRule="exact"/>
                              <w:ind w:left="50"/>
                              <w:rPr>
                                <w:sz w:val="20"/>
                              </w:rPr>
                            </w:pPr>
                            <w:r>
                              <w:rPr>
                                <w:spacing w:val="-4"/>
                                <w:sz w:val="20"/>
                              </w:rPr>
                              <w:t>1238</w:t>
                            </w:r>
                          </w:p>
                        </w:tc>
                        <w:tc>
                          <w:tcPr>
                            <w:tcW w:w="3295" w:type="dxa"/>
                          </w:tcPr>
                          <w:p>
                            <w:pPr>
                              <w:pStyle w:val="TableParagraph"/>
                              <w:spacing w:line="205" w:lineRule="exact"/>
                              <w:ind w:left="158"/>
                              <w:rPr>
                                <w:sz w:val="20"/>
                              </w:rPr>
                            </w:pPr>
                            <w:r>
                              <w:rPr>
                                <w:sz w:val="20"/>
                              </w:rPr>
                              <w:t>Pontic</w:t>
                            </w:r>
                            <w:r>
                              <w:rPr>
                                <w:spacing w:val="-6"/>
                                <w:sz w:val="20"/>
                              </w:rPr>
                              <w:t> </w:t>
                            </w:r>
                            <w:r>
                              <w:rPr>
                                <w:spacing w:val="-2"/>
                                <w:sz w:val="20"/>
                              </w:rPr>
                              <w:t>(pnt)</w:t>
                            </w:r>
                          </w:p>
                        </w:tc>
                      </w:tr>
                      <w:tr>
                        <w:trPr>
                          <w:trHeight w:val="229" w:hRule="atLeast"/>
                        </w:trPr>
                        <w:tc>
                          <w:tcPr>
                            <w:tcW w:w="612" w:type="dxa"/>
                          </w:tcPr>
                          <w:p>
                            <w:pPr>
                              <w:pStyle w:val="TableParagraph"/>
                              <w:spacing w:line="209" w:lineRule="exact"/>
                              <w:ind w:left="50"/>
                              <w:rPr>
                                <w:sz w:val="20"/>
                              </w:rPr>
                            </w:pPr>
                            <w:r>
                              <w:rPr>
                                <w:spacing w:val="-4"/>
                                <w:sz w:val="20"/>
                              </w:rPr>
                              <w:t>1242</w:t>
                            </w:r>
                          </w:p>
                        </w:tc>
                        <w:tc>
                          <w:tcPr>
                            <w:tcW w:w="3295" w:type="dxa"/>
                          </w:tcPr>
                          <w:p>
                            <w:pPr>
                              <w:pStyle w:val="TableParagraph"/>
                              <w:spacing w:line="209" w:lineRule="exact"/>
                              <w:ind w:left="158"/>
                              <w:rPr>
                                <w:sz w:val="20"/>
                              </w:rPr>
                            </w:pPr>
                            <w:r>
                              <w:rPr>
                                <w:sz w:val="20"/>
                              </w:rPr>
                              <w:t>Albanian</w:t>
                            </w:r>
                            <w:r>
                              <w:rPr>
                                <w:spacing w:val="-13"/>
                                <w:sz w:val="20"/>
                              </w:rPr>
                              <w:t> </w:t>
                            </w:r>
                            <w:r>
                              <w:rPr>
                                <w:sz w:val="20"/>
                              </w:rPr>
                              <w:t>(macrolanguage)</w:t>
                            </w:r>
                            <w:r>
                              <w:rPr>
                                <w:spacing w:val="-11"/>
                                <w:sz w:val="20"/>
                              </w:rPr>
                              <w:t> </w:t>
                            </w:r>
                            <w:r>
                              <w:rPr>
                                <w:spacing w:val="-4"/>
                                <w:sz w:val="20"/>
                              </w:rPr>
                              <w:t>(sqi)</w:t>
                            </w:r>
                          </w:p>
                        </w:tc>
                      </w:tr>
                      <w:tr>
                        <w:trPr>
                          <w:trHeight w:val="229" w:hRule="atLeast"/>
                        </w:trPr>
                        <w:tc>
                          <w:tcPr>
                            <w:tcW w:w="612" w:type="dxa"/>
                          </w:tcPr>
                          <w:p>
                            <w:pPr>
                              <w:pStyle w:val="TableParagraph"/>
                              <w:spacing w:line="209" w:lineRule="exact"/>
                              <w:ind w:left="50"/>
                              <w:rPr>
                                <w:sz w:val="20"/>
                              </w:rPr>
                            </w:pPr>
                            <w:r>
                              <w:rPr>
                                <w:spacing w:val="-4"/>
                                <w:sz w:val="20"/>
                              </w:rPr>
                              <w:t>1243</w:t>
                            </w:r>
                          </w:p>
                        </w:tc>
                        <w:tc>
                          <w:tcPr>
                            <w:tcW w:w="3295" w:type="dxa"/>
                          </w:tcPr>
                          <w:p>
                            <w:pPr>
                              <w:pStyle w:val="TableParagraph"/>
                              <w:spacing w:line="209" w:lineRule="exact"/>
                              <w:ind w:left="158"/>
                              <w:rPr>
                                <w:sz w:val="20"/>
                              </w:rPr>
                            </w:pPr>
                            <w:r>
                              <w:rPr>
                                <w:sz w:val="20"/>
                              </w:rPr>
                              <w:t>Arbëreshë</w:t>
                            </w:r>
                            <w:r>
                              <w:rPr>
                                <w:spacing w:val="-7"/>
                                <w:sz w:val="20"/>
                              </w:rPr>
                              <w:t> </w:t>
                            </w:r>
                            <w:r>
                              <w:rPr>
                                <w:sz w:val="20"/>
                              </w:rPr>
                              <w:t>Albanian</w:t>
                            </w:r>
                            <w:r>
                              <w:rPr>
                                <w:spacing w:val="-9"/>
                                <w:sz w:val="20"/>
                              </w:rPr>
                              <w:t> </w:t>
                            </w:r>
                            <w:r>
                              <w:rPr>
                                <w:spacing w:val="-2"/>
                                <w:sz w:val="20"/>
                              </w:rPr>
                              <w:t>(aae)</w:t>
                            </w:r>
                          </w:p>
                        </w:tc>
                      </w:tr>
                      <w:tr>
                        <w:trPr>
                          <w:trHeight w:val="230" w:hRule="atLeast"/>
                        </w:trPr>
                        <w:tc>
                          <w:tcPr>
                            <w:tcW w:w="612" w:type="dxa"/>
                          </w:tcPr>
                          <w:p>
                            <w:pPr>
                              <w:pStyle w:val="TableParagraph"/>
                              <w:ind w:left="50"/>
                              <w:rPr>
                                <w:sz w:val="20"/>
                              </w:rPr>
                            </w:pPr>
                            <w:r>
                              <w:rPr>
                                <w:spacing w:val="-4"/>
                                <w:sz w:val="20"/>
                              </w:rPr>
                              <w:t>1244</w:t>
                            </w:r>
                          </w:p>
                        </w:tc>
                        <w:tc>
                          <w:tcPr>
                            <w:tcW w:w="3295" w:type="dxa"/>
                          </w:tcPr>
                          <w:p>
                            <w:pPr>
                              <w:pStyle w:val="TableParagraph"/>
                              <w:ind w:left="158"/>
                              <w:rPr>
                                <w:sz w:val="20"/>
                              </w:rPr>
                            </w:pPr>
                            <w:r>
                              <w:rPr>
                                <w:sz w:val="20"/>
                              </w:rPr>
                              <w:t>Gheg</w:t>
                            </w:r>
                            <w:r>
                              <w:rPr>
                                <w:spacing w:val="-6"/>
                                <w:sz w:val="20"/>
                              </w:rPr>
                              <w:t> </w:t>
                            </w:r>
                            <w:r>
                              <w:rPr>
                                <w:sz w:val="20"/>
                              </w:rPr>
                              <w:t>Albanian</w:t>
                            </w:r>
                            <w:r>
                              <w:rPr>
                                <w:spacing w:val="-7"/>
                                <w:sz w:val="20"/>
                              </w:rPr>
                              <w:t> </w:t>
                            </w:r>
                            <w:r>
                              <w:rPr>
                                <w:spacing w:val="-4"/>
                                <w:sz w:val="20"/>
                              </w:rPr>
                              <w:t>(alh)</w:t>
                            </w:r>
                          </w:p>
                        </w:tc>
                      </w:tr>
                      <w:tr>
                        <w:trPr>
                          <w:trHeight w:val="225" w:hRule="atLeast"/>
                        </w:trPr>
                        <w:tc>
                          <w:tcPr>
                            <w:tcW w:w="612" w:type="dxa"/>
                          </w:tcPr>
                          <w:p>
                            <w:pPr>
                              <w:pStyle w:val="TableParagraph"/>
                              <w:spacing w:line="205" w:lineRule="exact"/>
                              <w:ind w:left="50"/>
                              <w:rPr>
                                <w:sz w:val="20"/>
                              </w:rPr>
                            </w:pPr>
                            <w:r>
                              <w:rPr>
                                <w:spacing w:val="-4"/>
                                <w:sz w:val="20"/>
                              </w:rPr>
                              <w:t>1245</w:t>
                            </w:r>
                          </w:p>
                        </w:tc>
                        <w:tc>
                          <w:tcPr>
                            <w:tcW w:w="3295" w:type="dxa"/>
                          </w:tcPr>
                          <w:p>
                            <w:pPr>
                              <w:pStyle w:val="TableParagraph"/>
                              <w:spacing w:line="205" w:lineRule="exact"/>
                              <w:ind w:left="158"/>
                              <w:rPr>
                                <w:sz w:val="20"/>
                              </w:rPr>
                            </w:pPr>
                            <w:r>
                              <w:rPr>
                                <w:sz w:val="20"/>
                              </w:rPr>
                              <w:t>Tosk</w:t>
                            </w:r>
                            <w:r>
                              <w:rPr>
                                <w:spacing w:val="-7"/>
                                <w:sz w:val="20"/>
                              </w:rPr>
                              <w:t> </w:t>
                            </w:r>
                            <w:r>
                              <w:rPr>
                                <w:sz w:val="20"/>
                              </w:rPr>
                              <w:t>Albanian</w:t>
                            </w:r>
                            <w:r>
                              <w:rPr>
                                <w:spacing w:val="-7"/>
                                <w:sz w:val="20"/>
                              </w:rPr>
                              <w:t> </w:t>
                            </w:r>
                            <w:r>
                              <w:rPr>
                                <w:spacing w:val="-2"/>
                                <w:sz w:val="20"/>
                              </w:rPr>
                              <w:t>(als)</w:t>
                            </w:r>
                          </w:p>
                        </w:tc>
                      </w:tr>
                      <w:tr>
                        <w:trPr>
                          <w:trHeight w:val="470" w:hRule="atLeast"/>
                        </w:trPr>
                        <w:tc>
                          <w:tcPr>
                            <w:tcW w:w="3907" w:type="dxa"/>
                            <w:gridSpan w:val="2"/>
                          </w:tcPr>
                          <w:p>
                            <w:pPr>
                              <w:pStyle w:val="TableParagraph"/>
                              <w:spacing w:line="240" w:lineRule="auto" w:before="1"/>
                              <w:rPr>
                                <w:sz w:val="20"/>
                              </w:rPr>
                            </w:pPr>
                          </w:p>
                          <w:p>
                            <w:pPr>
                              <w:pStyle w:val="TableParagraph"/>
                              <w:spacing w:line="220" w:lineRule="exact"/>
                              <w:ind w:left="50"/>
                              <w:rPr>
                                <w:i/>
                                <w:sz w:val="20"/>
                              </w:rPr>
                            </w:pPr>
                            <w:r>
                              <w:rPr>
                                <w:i/>
                                <w:sz w:val="20"/>
                                <w:u w:val="single"/>
                              </w:rPr>
                              <w:t>Slavic</w:t>
                            </w:r>
                            <w:r>
                              <w:rPr>
                                <w:i/>
                                <w:spacing w:val="-9"/>
                                <w:sz w:val="20"/>
                                <w:u w:val="single"/>
                              </w:rPr>
                              <w:t> </w:t>
                            </w:r>
                            <w:r>
                              <w:rPr>
                                <w:i/>
                                <w:sz w:val="20"/>
                                <w:u w:val="single"/>
                              </w:rPr>
                              <w:t>languages</w:t>
                            </w:r>
                            <w:r>
                              <w:rPr>
                                <w:i/>
                                <w:spacing w:val="-6"/>
                                <w:sz w:val="20"/>
                                <w:u w:val="single"/>
                              </w:rPr>
                              <w:t> </w:t>
                            </w:r>
                            <w:r>
                              <w:rPr>
                                <w:i/>
                                <w:sz w:val="20"/>
                                <w:u w:val="single"/>
                              </w:rPr>
                              <w:t>(1250-</w:t>
                            </w:r>
                            <w:r>
                              <w:rPr>
                                <w:i/>
                                <w:spacing w:val="-4"/>
                                <w:sz w:val="20"/>
                                <w:u w:val="single"/>
                              </w:rPr>
                              <w:t>1280)</w:t>
                            </w:r>
                          </w:p>
                        </w:tc>
                      </w:tr>
                      <w:tr>
                        <w:trPr>
                          <w:trHeight w:val="224" w:hRule="atLeast"/>
                        </w:trPr>
                        <w:tc>
                          <w:tcPr>
                            <w:tcW w:w="612" w:type="dxa"/>
                          </w:tcPr>
                          <w:p>
                            <w:pPr>
                              <w:pStyle w:val="TableParagraph"/>
                              <w:spacing w:line="204" w:lineRule="exact"/>
                              <w:ind w:left="50"/>
                              <w:rPr>
                                <w:sz w:val="20"/>
                              </w:rPr>
                            </w:pPr>
                            <w:r>
                              <w:rPr>
                                <w:spacing w:val="-4"/>
                                <w:sz w:val="20"/>
                              </w:rPr>
                              <w:t>1250</w:t>
                            </w:r>
                          </w:p>
                        </w:tc>
                        <w:tc>
                          <w:tcPr>
                            <w:tcW w:w="3295" w:type="dxa"/>
                          </w:tcPr>
                          <w:p>
                            <w:pPr>
                              <w:pStyle w:val="TableParagraph"/>
                              <w:spacing w:line="204" w:lineRule="exact"/>
                              <w:ind w:left="158"/>
                              <w:rPr>
                                <w:sz w:val="20"/>
                              </w:rPr>
                            </w:pPr>
                            <w:r>
                              <w:rPr>
                                <w:sz w:val="20"/>
                              </w:rPr>
                              <w:t>Russian</w:t>
                            </w:r>
                            <w:r>
                              <w:rPr>
                                <w:spacing w:val="-8"/>
                                <w:sz w:val="20"/>
                              </w:rPr>
                              <w:t> </w:t>
                            </w:r>
                            <w:r>
                              <w:rPr>
                                <w:spacing w:val="-2"/>
                                <w:sz w:val="20"/>
                              </w:rPr>
                              <w:t>(rus)</w:t>
                            </w:r>
                          </w:p>
                        </w:tc>
                      </w:tr>
                      <w:tr>
                        <w:trPr>
                          <w:trHeight w:val="229" w:hRule="atLeast"/>
                        </w:trPr>
                        <w:tc>
                          <w:tcPr>
                            <w:tcW w:w="612" w:type="dxa"/>
                          </w:tcPr>
                          <w:p>
                            <w:pPr>
                              <w:pStyle w:val="TableParagraph"/>
                              <w:spacing w:line="209" w:lineRule="exact"/>
                              <w:ind w:left="50"/>
                              <w:rPr>
                                <w:sz w:val="20"/>
                              </w:rPr>
                            </w:pPr>
                            <w:r>
                              <w:rPr>
                                <w:spacing w:val="-4"/>
                                <w:sz w:val="20"/>
                              </w:rPr>
                              <w:t>1251</w:t>
                            </w:r>
                          </w:p>
                        </w:tc>
                        <w:tc>
                          <w:tcPr>
                            <w:tcW w:w="3295" w:type="dxa"/>
                          </w:tcPr>
                          <w:p>
                            <w:pPr>
                              <w:pStyle w:val="TableParagraph"/>
                              <w:spacing w:line="209" w:lineRule="exact"/>
                              <w:ind w:left="158"/>
                              <w:rPr>
                                <w:sz w:val="20"/>
                              </w:rPr>
                            </w:pPr>
                            <w:r>
                              <w:rPr>
                                <w:sz w:val="20"/>
                              </w:rPr>
                              <w:t>Belarusian</w:t>
                            </w:r>
                            <w:r>
                              <w:rPr>
                                <w:spacing w:val="-11"/>
                                <w:sz w:val="20"/>
                              </w:rPr>
                              <w:t> </w:t>
                            </w:r>
                            <w:r>
                              <w:rPr>
                                <w:spacing w:val="-2"/>
                                <w:sz w:val="20"/>
                              </w:rPr>
                              <w:t>(bel)</w:t>
                            </w:r>
                          </w:p>
                        </w:tc>
                      </w:tr>
                      <w:tr>
                        <w:trPr>
                          <w:trHeight w:val="230" w:hRule="atLeast"/>
                        </w:trPr>
                        <w:tc>
                          <w:tcPr>
                            <w:tcW w:w="612" w:type="dxa"/>
                          </w:tcPr>
                          <w:p>
                            <w:pPr>
                              <w:pStyle w:val="TableParagraph"/>
                              <w:ind w:left="50"/>
                              <w:rPr>
                                <w:sz w:val="20"/>
                              </w:rPr>
                            </w:pPr>
                            <w:r>
                              <w:rPr>
                                <w:spacing w:val="-4"/>
                                <w:sz w:val="20"/>
                              </w:rPr>
                              <w:t>1252</w:t>
                            </w:r>
                          </w:p>
                        </w:tc>
                        <w:tc>
                          <w:tcPr>
                            <w:tcW w:w="3295" w:type="dxa"/>
                          </w:tcPr>
                          <w:p>
                            <w:pPr>
                              <w:pStyle w:val="TableParagraph"/>
                              <w:ind w:left="158"/>
                              <w:rPr>
                                <w:sz w:val="20"/>
                              </w:rPr>
                            </w:pPr>
                            <w:r>
                              <w:rPr>
                                <w:sz w:val="20"/>
                              </w:rPr>
                              <w:t>Rusyn</w:t>
                            </w:r>
                            <w:r>
                              <w:rPr>
                                <w:spacing w:val="-8"/>
                                <w:sz w:val="20"/>
                              </w:rPr>
                              <w:t> </w:t>
                            </w:r>
                            <w:r>
                              <w:rPr>
                                <w:spacing w:val="-2"/>
                                <w:sz w:val="20"/>
                              </w:rPr>
                              <w:t>(rue)</w:t>
                            </w:r>
                          </w:p>
                        </w:tc>
                      </w:tr>
                      <w:tr>
                        <w:trPr>
                          <w:trHeight w:val="230" w:hRule="atLeast"/>
                        </w:trPr>
                        <w:tc>
                          <w:tcPr>
                            <w:tcW w:w="612" w:type="dxa"/>
                          </w:tcPr>
                          <w:p>
                            <w:pPr>
                              <w:pStyle w:val="TableParagraph"/>
                              <w:ind w:left="50"/>
                              <w:rPr>
                                <w:sz w:val="20"/>
                              </w:rPr>
                            </w:pPr>
                            <w:r>
                              <w:rPr>
                                <w:spacing w:val="-4"/>
                                <w:sz w:val="20"/>
                              </w:rPr>
                              <w:t>1260</w:t>
                            </w:r>
                          </w:p>
                        </w:tc>
                        <w:tc>
                          <w:tcPr>
                            <w:tcW w:w="3295" w:type="dxa"/>
                          </w:tcPr>
                          <w:p>
                            <w:pPr>
                              <w:pStyle w:val="TableParagraph"/>
                              <w:ind w:left="158"/>
                              <w:rPr>
                                <w:sz w:val="20"/>
                              </w:rPr>
                            </w:pPr>
                            <w:r>
                              <w:rPr>
                                <w:sz w:val="20"/>
                              </w:rPr>
                              <w:t>Ukrainian</w:t>
                            </w:r>
                            <w:r>
                              <w:rPr>
                                <w:spacing w:val="-9"/>
                                <w:sz w:val="20"/>
                              </w:rPr>
                              <w:t> </w:t>
                            </w:r>
                            <w:r>
                              <w:rPr>
                                <w:spacing w:val="-2"/>
                                <w:sz w:val="20"/>
                              </w:rPr>
                              <w:t>(ukr)</w:t>
                            </w:r>
                          </w:p>
                        </w:tc>
                      </w:tr>
                      <w:tr>
                        <w:trPr>
                          <w:trHeight w:val="230" w:hRule="atLeast"/>
                        </w:trPr>
                        <w:tc>
                          <w:tcPr>
                            <w:tcW w:w="612" w:type="dxa"/>
                          </w:tcPr>
                          <w:p>
                            <w:pPr>
                              <w:pStyle w:val="TableParagraph"/>
                              <w:ind w:left="50"/>
                              <w:rPr>
                                <w:sz w:val="20"/>
                              </w:rPr>
                            </w:pPr>
                            <w:r>
                              <w:rPr>
                                <w:spacing w:val="-4"/>
                                <w:sz w:val="20"/>
                              </w:rPr>
                              <w:t>1262</w:t>
                            </w:r>
                          </w:p>
                        </w:tc>
                        <w:tc>
                          <w:tcPr>
                            <w:tcW w:w="3295" w:type="dxa"/>
                          </w:tcPr>
                          <w:p>
                            <w:pPr>
                              <w:pStyle w:val="TableParagraph"/>
                              <w:ind w:left="158"/>
                              <w:rPr>
                                <w:sz w:val="20"/>
                              </w:rPr>
                            </w:pPr>
                            <w:r>
                              <w:rPr>
                                <w:sz w:val="20"/>
                              </w:rPr>
                              <w:t>Czech</w:t>
                            </w:r>
                            <w:r>
                              <w:rPr>
                                <w:spacing w:val="-7"/>
                                <w:sz w:val="20"/>
                              </w:rPr>
                              <w:t> </w:t>
                            </w:r>
                            <w:r>
                              <w:rPr>
                                <w:spacing w:val="-2"/>
                                <w:sz w:val="20"/>
                              </w:rPr>
                              <w:t>(ces)</w:t>
                            </w:r>
                          </w:p>
                        </w:tc>
                      </w:tr>
                      <w:tr>
                        <w:trPr>
                          <w:trHeight w:val="230" w:hRule="atLeast"/>
                        </w:trPr>
                        <w:tc>
                          <w:tcPr>
                            <w:tcW w:w="612" w:type="dxa"/>
                          </w:tcPr>
                          <w:p>
                            <w:pPr>
                              <w:pStyle w:val="TableParagraph"/>
                              <w:ind w:left="50"/>
                              <w:rPr>
                                <w:sz w:val="20"/>
                              </w:rPr>
                            </w:pPr>
                            <w:r>
                              <w:rPr>
                                <w:spacing w:val="-4"/>
                                <w:sz w:val="20"/>
                              </w:rPr>
                              <w:t>1263</w:t>
                            </w:r>
                          </w:p>
                        </w:tc>
                        <w:tc>
                          <w:tcPr>
                            <w:tcW w:w="3295" w:type="dxa"/>
                          </w:tcPr>
                          <w:p>
                            <w:pPr>
                              <w:pStyle w:val="TableParagraph"/>
                              <w:ind w:left="158"/>
                              <w:rPr>
                                <w:sz w:val="20"/>
                              </w:rPr>
                            </w:pPr>
                            <w:r>
                              <w:rPr>
                                <w:sz w:val="20"/>
                              </w:rPr>
                              <w:t>Slovak</w:t>
                            </w:r>
                            <w:r>
                              <w:rPr>
                                <w:spacing w:val="-7"/>
                                <w:sz w:val="20"/>
                              </w:rPr>
                              <w:t> </w:t>
                            </w:r>
                            <w:r>
                              <w:rPr>
                                <w:spacing w:val="-2"/>
                                <w:sz w:val="20"/>
                              </w:rPr>
                              <w:t>(slk)</w:t>
                            </w:r>
                          </w:p>
                        </w:tc>
                      </w:tr>
                      <w:tr>
                        <w:trPr>
                          <w:trHeight w:val="229" w:hRule="atLeast"/>
                        </w:trPr>
                        <w:tc>
                          <w:tcPr>
                            <w:tcW w:w="612" w:type="dxa"/>
                          </w:tcPr>
                          <w:p>
                            <w:pPr>
                              <w:pStyle w:val="TableParagraph"/>
                              <w:spacing w:line="209" w:lineRule="exact"/>
                              <w:ind w:left="50"/>
                              <w:rPr>
                                <w:sz w:val="20"/>
                              </w:rPr>
                            </w:pPr>
                            <w:r>
                              <w:rPr>
                                <w:spacing w:val="-4"/>
                                <w:sz w:val="20"/>
                              </w:rPr>
                              <w:t>1265</w:t>
                            </w:r>
                          </w:p>
                        </w:tc>
                        <w:tc>
                          <w:tcPr>
                            <w:tcW w:w="3295" w:type="dxa"/>
                          </w:tcPr>
                          <w:p>
                            <w:pPr>
                              <w:pStyle w:val="TableParagraph"/>
                              <w:spacing w:line="209" w:lineRule="exact"/>
                              <w:ind w:left="158"/>
                              <w:rPr>
                                <w:sz w:val="20"/>
                              </w:rPr>
                            </w:pPr>
                            <w:r>
                              <w:rPr>
                                <w:sz w:val="20"/>
                              </w:rPr>
                              <w:t>Lower</w:t>
                            </w:r>
                            <w:r>
                              <w:rPr>
                                <w:spacing w:val="-6"/>
                                <w:sz w:val="20"/>
                              </w:rPr>
                              <w:t> </w:t>
                            </w:r>
                            <w:r>
                              <w:rPr>
                                <w:sz w:val="20"/>
                              </w:rPr>
                              <w:t>Sorbian</w:t>
                            </w:r>
                            <w:r>
                              <w:rPr>
                                <w:spacing w:val="-7"/>
                                <w:sz w:val="20"/>
                              </w:rPr>
                              <w:t> </w:t>
                            </w:r>
                            <w:r>
                              <w:rPr>
                                <w:spacing w:val="-4"/>
                                <w:sz w:val="20"/>
                              </w:rPr>
                              <w:t>(dsb)</w:t>
                            </w:r>
                          </w:p>
                        </w:tc>
                      </w:tr>
                      <w:tr>
                        <w:trPr>
                          <w:trHeight w:val="229" w:hRule="atLeast"/>
                        </w:trPr>
                        <w:tc>
                          <w:tcPr>
                            <w:tcW w:w="612" w:type="dxa"/>
                          </w:tcPr>
                          <w:p>
                            <w:pPr>
                              <w:pStyle w:val="TableParagraph"/>
                              <w:spacing w:line="209" w:lineRule="exact"/>
                              <w:ind w:left="50"/>
                              <w:rPr>
                                <w:sz w:val="20"/>
                              </w:rPr>
                            </w:pPr>
                            <w:r>
                              <w:rPr>
                                <w:spacing w:val="-4"/>
                                <w:sz w:val="20"/>
                              </w:rPr>
                              <w:t>1266</w:t>
                            </w:r>
                          </w:p>
                        </w:tc>
                        <w:tc>
                          <w:tcPr>
                            <w:tcW w:w="3295" w:type="dxa"/>
                          </w:tcPr>
                          <w:p>
                            <w:pPr>
                              <w:pStyle w:val="TableParagraph"/>
                              <w:spacing w:line="209" w:lineRule="exact"/>
                              <w:ind w:left="158"/>
                              <w:rPr>
                                <w:sz w:val="20"/>
                              </w:rPr>
                            </w:pPr>
                            <w:r>
                              <w:rPr>
                                <w:sz w:val="20"/>
                              </w:rPr>
                              <w:t>Upper</w:t>
                            </w:r>
                            <w:r>
                              <w:rPr>
                                <w:spacing w:val="-4"/>
                                <w:sz w:val="20"/>
                              </w:rPr>
                              <w:t> </w:t>
                            </w:r>
                            <w:r>
                              <w:rPr>
                                <w:sz w:val="20"/>
                              </w:rPr>
                              <w:t>Sorbian</w:t>
                            </w:r>
                            <w:r>
                              <w:rPr>
                                <w:spacing w:val="-5"/>
                                <w:sz w:val="20"/>
                              </w:rPr>
                              <w:t> </w:t>
                            </w:r>
                            <w:r>
                              <w:rPr>
                                <w:spacing w:val="-4"/>
                                <w:sz w:val="20"/>
                              </w:rPr>
                              <w:t>(hsb)</w:t>
                            </w:r>
                          </w:p>
                        </w:tc>
                      </w:tr>
                      <w:tr>
                        <w:trPr>
                          <w:trHeight w:val="230" w:hRule="atLeast"/>
                        </w:trPr>
                        <w:tc>
                          <w:tcPr>
                            <w:tcW w:w="612" w:type="dxa"/>
                          </w:tcPr>
                          <w:p>
                            <w:pPr>
                              <w:pStyle w:val="TableParagraph"/>
                              <w:ind w:left="50"/>
                              <w:rPr>
                                <w:sz w:val="20"/>
                              </w:rPr>
                            </w:pPr>
                            <w:r>
                              <w:rPr>
                                <w:spacing w:val="-4"/>
                                <w:sz w:val="20"/>
                              </w:rPr>
                              <w:t>1268</w:t>
                            </w:r>
                          </w:p>
                        </w:tc>
                        <w:tc>
                          <w:tcPr>
                            <w:tcW w:w="3295" w:type="dxa"/>
                          </w:tcPr>
                          <w:p>
                            <w:pPr>
                              <w:pStyle w:val="TableParagraph"/>
                              <w:ind w:left="158"/>
                              <w:rPr>
                                <w:sz w:val="20"/>
                              </w:rPr>
                            </w:pPr>
                            <w:r>
                              <w:rPr>
                                <w:sz w:val="20"/>
                              </w:rPr>
                              <w:t>Kashubian</w:t>
                            </w:r>
                            <w:r>
                              <w:rPr>
                                <w:spacing w:val="-11"/>
                                <w:sz w:val="20"/>
                              </w:rPr>
                              <w:t> </w:t>
                            </w:r>
                            <w:r>
                              <w:rPr>
                                <w:spacing w:val="-2"/>
                                <w:sz w:val="20"/>
                              </w:rPr>
                              <w:t>(csb)</w:t>
                            </w:r>
                          </w:p>
                        </w:tc>
                      </w:tr>
                      <w:tr>
                        <w:trPr>
                          <w:trHeight w:val="230" w:hRule="atLeast"/>
                        </w:trPr>
                        <w:tc>
                          <w:tcPr>
                            <w:tcW w:w="612" w:type="dxa"/>
                          </w:tcPr>
                          <w:p>
                            <w:pPr>
                              <w:pStyle w:val="TableParagraph"/>
                              <w:spacing w:line="211" w:lineRule="exact"/>
                              <w:ind w:left="50"/>
                              <w:rPr>
                                <w:sz w:val="20"/>
                              </w:rPr>
                            </w:pPr>
                            <w:r>
                              <w:rPr>
                                <w:spacing w:val="-4"/>
                                <w:sz w:val="20"/>
                              </w:rPr>
                              <w:t>1269</w:t>
                            </w:r>
                          </w:p>
                        </w:tc>
                        <w:tc>
                          <w:tcPr>
                            <w:tcW w:w="3295" w:type="dxa"/>
                          </w:tcPr>
                          <w:p>
                            <w:pPr>
                              <w:pStyle w:val="TableParagraph"/>
                              <w:spacing w:line="211" w:lineRule="exact"/>
                              <w:ind w:left="158"/>
                              <w:rPr>
                                <w:sz w:val="20"/>
                              </w:rPr>
                            </w:pPr>
                            <w:r>
                              <w:rPr>
                                <w:sz w:val="20"/>
                              </w:rPr>
                              <w:t>Silesian</w:t>
                            </w:r>
                            <w:r>
                              <w:rPr>
                                <w:spacing w:val="-7"/>
                                <w:sz w:val="20"/>
                              </w:rPr>
                              <w:t> </w:t>
                            </w:r>
                            <w:r>
                              <w:rPr>
                                <w:spacing w:val="-2"/>
                                <w:sz w:val="20"/>
                              </w:rPr>
                              <w:t>(szl)</w:t>
                            </w:r>
                          </w:p>
                        </w:tc>
                      </w:tr>
                      <w:tr>
                        <w:trPr>
                          <w:trHeight w:val="230" w:hRule="atLeast"/>
                        </w:trPr>
                        <w:tc>
                          <w:tcPr>
                            <w:tcW w:w="612" w:type="dxa"/>
                          </w:tcPr>
                          <w:p>
                            <w:pPr>
                              <w:pStyle w:val="TableParagraph"/>
                              <w:spacing w:line="211" w:lineRule="exact"/>
                              <w:ind w:left="50"/>
                              <w:rPr>
                                <w:sz w:val="20"/>
                              </w:rPr>
                            </w:pPr>
                            <w:r>
                              <w:rPr>
                                <w:spacing w:val="-4"/>
                                <w:sz w:val="20"/>
                              </w:rPr>
                              <w:t>1270</w:t>
                            </w:r>
                          </w:p>
                        </w:tc>
                        <w:tc>
                          <w:tcPr>
                            <w:tcW w:w="3295" w:type="dxa"/>
                          </w:tcPr>
                          <w:p>
                            <w:pPr>
                              <w:pStyle w:val="TableParagraph"/>
                              <w:spacing w:line="211" w:lineRule="exact"/>
                              <w:ind w:left="158"/>
                              <w:rPr>
                                <w:sz w:val="20"/>
                              </w:rPr>
                            </w:pPr>
                            <w:r>
                              <w:rPr>
                                <w:sz w:val="20"/>
                              </w:rPr>
                              <w:t>Polish</w:t>
                            </w:r>
                            <w:r>
                              <w:rPr>
                                <w:spacing w:val="-7"/>
                                <w:sz w:val="20"/>
                              </w:rPr>
                              <w:t> </w:t>
                            </w:r>
                            <w:r>
                              <w:rPr>
                                <w:spacing w:val="-2"/>
                                <w:sz w:val="20"/>
                              </w:rPr>
                              <w:t>(pol)</w:t>
                            </w:r>
                          </w:p>
                        </w:tc>
                      </w:tr>
                      <w:tr>
                        <w:trPr>
                          <w:trHeight w:val="230" w:hRule="atLeast"/>
                        </w:trPr>
                        <w:tc>
                          <w:tcPr>
                            <w:tcW w:w="612" w:type="dxa"/>
                          </w:tcPr>
                          <w:p>
                            <w:pPr>
                              <w:pStyle w:val="TableParagraph"/>
                              <w:ind w:left="50"/>
                              <w:rPr>
                                <w:sz w:val="20"/>
                              </w:rPr>
                            </w:pPr>
                            <w:r>
                              <w:rPr>
                                <w:spacing w:val="-4"/>
                                <w:sz w:val="20"/>
                              </w:rPr>
                              <w:t>1273</w:t>
                            </w:r>
                          </w:p>
                        </w:tc>
                        <w:tc>
                          <w:tcPr>
                            <w:tcW w:w="3295" w:type="dxa"/>
                          </w:tcPr>
                          <w:p>
                            <w:pPr>
                              <w:pStyle w:val="TableParagraph"/>
                              <w:ind w:left="158"/>
                              <w:rPr>
                                <w:sz w:val="20"/>
                              </w:rPr>
                            </w:pPr>
                            <w:r>
                              <w:rPr>
                                <w:sz w:val="20"/>
                              </w:rPr>
                              <w:t>Bulgarian</w:t>
                            </w:r>
                            <w:r>
                              <w:rPr>
                                <w:spacing w:val="-9"/>
                                <w:sz w:val="20"/>
                              </w:rPr>
                              <w:t> </w:t>
                            </w:r>
                            <w:r>
                              <w:rPr>
                                <w:spacing w:val="-2"/>
                                <w:sz w:val="20"/>
                              </w:rPr>
                              <w:t>(bul)</w:t>
                            </w:r>
                          </w:p>
                        </w:tc>
                      </w:tr>
                      <w:tr>
                        <w:trPr>
                          <w:trHeight w:val="229" w:hRule="atLeast"/>
                        </w:trPr>
                        <w:tc>
                          <w:tcPr>
                            <w:tcW w:w="612" w:type="dxa"/>
                          </w:tcPr>
                          <w:p>
                            <w:pPr>
                              <w:pStyle w:val="TableParagraph"/>
                              <w:spacing w:line="209" w:lineRule="exact"/>
                              <w:ind w:left="50"/>
                              <w:rPr>
                                <w:sz w:val="20"/>
                              </w:rPr>
                            </w:pPr>
                            <w:r>
                              <w:rPr>
                                <w:spacing w:val="-4"/>
                                <w:sz w:val="20"/>
                              </w:rPr>
                              <w:t>1274</w:t>
                            </w:r>
                          </w:p>
                        </w:tc>
                        <w:tc>
                          <w:tcPr>
                            <w:tcW w:w="3295" w:type="dxa"/>
                          </w:tcPr>
                          <w:p>
                            <w:pPr>
                              <w:pStyle w:val="TableParagraph"/>
                              <w:spacing w:line="209" w:lineRule="exact"/>
                              <w:ind w:left="158"/>
                              <w:rPr>
                                <w:sz w:val="20"/>
                              </w:rPr>
                            </w:pPr>
                            <w:r>
                              <w:rPr>
                                <w:sz w:val="20"/>
                              </w:rPr>
                              <w:t>Macedonian</w:t>
                            </w:r>
                            <w:r>
                              <w:rPr>
                                <w:spacing w:val="-11"/>
                                <w:sz w:val="20"/>
                              </w:rPr>
                              <w:t> </w:t>
                            </w:r>
                            <w:r>
                              <w:rPr>
                                <w:spacing w:val="-2"/>
                                <w:sz w:val="20"/>
                              </w:rPr>
                              <w:t>(mkd)</w:t>
                            </w:r>
                          </w:p>
                        </w:tc>
                      </w:tr>
                      <w:tr>
                        <w:trPr>
                          <w:trHeight w:val="229" w:hRule="atLeast"/>
                        </w:trPr>
                        <w:tc>
                          <w:tcPr>
                            <w:tcW w:w="612" w:type="dxa"/>
                          </w:tcPr>
                          <w:p>
                            <w:pPr>
                              <w:pStyle w:val="TableParagraph"/>
                              <w:spacing w:line="209" w:lineRule="exact"/>
                              <w:ind w:left="50"/>
                              <w:rPr>
                                <w:sz w:val="20"/>
                              </w:rPr>
                            </w:pPr>
                            <w:r>
                              <w:rPr>
                                <w:spacing w:val="-4"/>
                                <w:sz w:val="20"/>
                              </w:rPr>
                              <w:t>1275</w:t>
                            </w:r>
                          </w:p>
                        </w:tc>
                        <w:tc>
                          <w:tcPr>
                            <w:tcW w:w="3295" w:type="dxa"/>
                          </w:tcPr>
                          <w:p>
                            <w:pPr>
                              <w:pStyle w:val="TableParagraph"/>
                              <w:spacing w:line="209" w:lineRule="exact"/>
                              <w:ind w:left="158"/>
                              <w:rPr>
                                <w:sz w:val="20"/>
                              </w:rPr>
                            </w:pPr>
                            <w:r>
                              <w:rPr>
                                <w:sz w:val="20"/>
                              </w:rPr>
                              <w:t>Serbo-Croatian</w:t>
                            </w:r>
                            <w:r>
                              <w:rPr>
                                <w:spacing w:val="-13"/>
                                <w:sz w:val="20"/>
                              </w:rPr>
                              <w:t> </w:t>
                            </w:r>
                            <w:r>
                              <w:rPr>
                                <w:sz w:val="20"/>
                              </w:rPr>
                              <w:t>(macrolanguage)</w:t>
                            </w:r>
                            <w:r>
                              <w:rPr>
                                <w:spacing w:val="-11"/>
                                <w:sz w:val="20"/>
                              </w:rPr>
                              <w:t> </w:t>
                            </w:r>
                            <w:r>
                              <w:rPr>
                                <w:spacing w:val="-4"/>
                                <w:sz w:val="20"/>
                              </w:rPr>
                              <w:t>(hbs)</w:t>
                            </w:r>
                          </w:p>
                        </w:tc>
                      </w:tr>
                      <w:tr>
                        <w:trPr>
                          <w:trHeight w:val="230" w:hRule="atLeast"/>
                        </w:trPr>
                        <w:tc>
                          <w:tcPr>
                            <w:tcW w:w="612" w:type="dxa"/>
                          </w:tcPr>
                          <w:p>
                            <w:pPr>
                              <w:pStyle w:val="TableParagraph"/>
                              <w:ind w:left="50"/>
                              <w:rPr>
                                <w:sz w:val="20"/>
                              </w:rPr>
                            </w:pPr>
                            <w:r>
                              <w:rPr>
                                <w:spacing w:val="-4"/>
                                <w:sz w:val="20"/>
                              </w:rPr>
                              <w:t>1276</w:t>
                            </w:r>
                          </w:p>
                        </w:tc>
                        <w:tc>
                          <w:tcPr>
                            <w:tcW w:w="3295" w:type="dxa"/>
                          </w:tcPr>
                          <w:p>
                            <w:pPr>
                              <w:pStyle w:val="TableParagraph"/>
                              <w:ind w:left="158"/>
                              <w:rPr>
                                <w:sz w:val="20"/>
                              </w:rPr>
                            </w:pPr>
                            <w:r>
                              <w:rPr>
                                <w:sz w:val="20"/>
                              </w:rPr>
                              <w:t>Bosnian</w:t>
                            </w:r>
                            <w:r>
                              <w:rPr>
                                <w:spacing w:val="-9"/>
                                <w:sz w:val="20"/>
                              </w:rPr>
                              <w:t> </w:t>
                            </w:r>
                            <w:r>
                              <w:rPr>
                                <w:spacing w:val="-2"/>
                                <w:sz w:val="20"/>
                              </w:rPr>
                              <w:t>(bos)</w:t>
                            </w:r>
                          </w:p>
                        </w:tc>
                      </w:tr>
                      <w:tr>
                        <w:trPr>
                          <w:trHeight w:val="230" w:hRule="atLeast"/>
                        </w:trPr>
                        <w:tc>
                          <w:tcPr>
                            <w:tcW w:w="612" w:type="dxa"/>
                          </w:tcPr>
                          <w:p>
                            <w:pPr>
                              <w:pStyle w:val="TableParagraph"/>
                              <w:ind w:left="50"/>
                              <w:rPr>
                                <w:sz w:val="20"/>
                              </w:rPr>
                            </w:pPr>
                            <w:r>
                              <w:rPr>
                                <w:spacing w:val="-4"/>
                                <w:sz w:val="20"/>
                              </w:rPr>
                              <w:t>1277</w:t>
                            </w:r>
                          </w:p>
                        </w:tc>
                        <w:tc>
                          <w:tcPr>
                            <w:tcW w:w="3295" w:type="dxa"/>
                          </w:tcPr>
                          <w:p>
                            <w:pPr>
                              <w:pStyle w:val="TableParagraph"/>
                              <w:ind w:left="158"/>
                              <w:rPr>
                                <w:sz w:val="20"/>
                              </w:rPr>
                            </w:pPr>
                            <w:r>
                              <w:rPr>
                                <w:sz w:val="20"/>
                              </w:rPr>
                              <w:t>Croatian</w:t>
                            </w:r>
                            <w:r>
                              <w:rPr>
                                <w:spacing w:val="-8"/>
                                <w:sz w:val="20"/>
                              </w:rPr>
                              <w:t> </w:t>
                            </w:r>
                            <w:r>
                              <w:rPr>
                                <w:spacing w:val="-2"/>
                                <w:sz w:val="20"/>
                              </w:rPr>
                              <w:t>(hrv)</w:t>
                            </w:r>
                          </w:p>
                        </w:tc>
                      </w:tr>
                      <w:tr>
                        <w:trPr>
                          <w:trHeight w:val="230" w:hRule="atLeast"/>
                        </w:trPr>
                        <w:tc>
                          <w:tcPr>
                            <w:tcW w:w="612" w:type="dxa"/>
                          </w:tcPr>
                          <w:p>
                            <w:pPr>
                              <w:pStyle w:val="TableParagraph"/>
                              <w:ind w:left="50"/>
                              <w:rPr>
                                <w:sz w:val="20"/>
                              </w:rPr>
                            </w:pPr>
                            <w:r>
                              <w:rPr>
                                <w:spacing w:val="-4"/>
                                <w:sz w:val="20"/>
                              </w:rPr>
                              <w:t>1278</w:t>
                            </w:r>
                          </w:p>
                        </w:tc>
                        <w:tc>
                          <w:tcPr>
                            <w:tcW w:w="3295" w:type="dxa"/>
                          </w:tcPr>
                          <w:p>
                            <w:pPr>
                              <w:pStyle w:val="TableParagraph"/>
                              <w:ind w:left="158"/>
                              <w:rPr>
                                <w:sz w:val="20"/>
                              </w:rPr>
                            </w:pPr>
                            <w:r>
                              <w:rPr>
                                <w:sz w:val="20"/>
                              </w:rPr>
                              <w:t>Serbian</w:t>
                            </w:r>
                            <w:r>
                              <w:rPr>
                                <w:spacing w:val="-7"/>
                                <w:sz w:val="20"/>
                              </w:rPr>
                              <w:t> </w:t>
                            </w:r>
                            <w:r>
                              <w:rPr>
                                <w:spacing w:val="-2"/>
                                <w:sz w:val="20"/>
                              </w:rPr>
                              <w:t>(srp)</w:t>
                            </w:r>
                          </w:p>
                        </w:tc>
                      </w:tr>
                      <w:tr>
                        <w:trPr>
                          <w:trHeight w:val="225" w:hRule="atLeast"/>
                        </w:trPr>
                        <w:tc>
                          <w:tcPr>
                            <w:tcW w:w="612" w:type="dxa"/>
                          </w:tcPr>
                          <w:p>
                            <w:pPr>
                              <w:pStyle w:val="TableParagraph"/>
                              <w:spacing w:line="205" w:lineRule="exact"/>
                              <w:ind w:left="50"/>
                              <w:rPr>
                                <w:sz w:val="20"/>
                              </w:rPr>
                            </w:pPr>
                            <w:r>
                              <w:rPr>
                                <w:spacing w:val="-4"/>
                                <w:sz w:val="20"/>
                              </w:rPr>
                              <w:t>1280</w:t>
                            </w:r>
                          </w:p>
                        </w:tc>
                        <w:tc>
                          <w:tcPr>
                            <w:tcW w:w="3295" w:type="dxa"/>
                          </w:tcPr>
                          <w:p>
                            <w:pPr>
                              <w:pStyle w:val="TableParagraph"/>
                              <w:spacing w:line="205" w:lineRule="exact"/>
                              <w:ind w:left="158"/>
                              <w:rPr>
                                <w:sz w:val="20"/>
                              </w:rPr>
                            </w:pPr>
                            <w:r>
                              <w:rPr>
                                <w:sz w:val="20"/>
                              </w:rPr>
                              <w:t>Slovenian</w:t>
                            </w:r>
                            <w:r>
                              <w:rPr>
                                <w:spacing w:val="-11"/>
                                <w:sz w:val="20"/>
                              </w:rPr>
                              <w:t> </w:t>
                            </w:r>
                            <w:r>
                              <w:rPr>
                                <w:spacing w:val="-2"/>
                                <w:sz w:val="20"/>
                              </w:rPr>
                              <w:t>(slv)</w:t>
                            </w:r>
                          </w:p>
                        </w:tc>
                      </w:tr>
                      <w:tr>
                        <w:trPr>
                          <w:trHeight w:val="458" w:hRule="atLeast"/>
                        </w:trPr>
                        <w:tc>
                          <w:tcPr>
                            <w:tcW w:w="3907" w:type="dxa"/>
                            <w:gridSpan w:val="2"/>
                          </w:tcPr>
                          <w:p>
                            <w:pPr>
                              <w:pStyle w:val="TableParagraph"/>
                              <w:spacing w:line="240" w:lineRule="auto" w:before="10"/>
                              <w:rPr>
                                <w:sz w:val="19"/>
                              </w:rPr>
                            </w:pPr>
                          </w:p>
                          <w:p>
                            <w:pPr>
                              <w:pStyle w:val="TableParagraph"/>
                              <w:ind w:left="50"/>
                              <w:rPr>
                                <w:i/>
                                <w:sz w:val="20"/>
                              </w:rPr>
                            </w:pPr>
                            <w:r>
                              <w:rPr>
                                <w:i/>
                                <w:sz w:val="20"/>
                                <w:u w:val="single"/>
                              </w:rPr>
                              <w:t>Baltic</w:t>
                            </w:r>
                            <w:r>
                              <w:rPr>
                                <w:i/>
                                <w:spacing w:val="-8"/>
                                <w:sz w:val="20"/>
                                <w:u w:val="single"/>
                              </w:rPr>
                              <w:t> </w:t>
                            </w:r>
                            <w:r>
                              <w:rPr>
                                <w:i/>
                                <w:sz w:val="20"/>
                                <w:u w:val="single"/>
                              </w:rPr>
                              <w:t>languages</w:t>
                            </w:r>
                            <w:r>
                              <w:rPr>
                                <w:i/>
                                <w:spacing w:val="-7"/>
                                <w:sz w:val="20"/>
                                <w:u w:val="single"/>
                              </w:rPr>
                              <w:t> </w:t>
                            </w:r>
                            <w:r>
                              <w:rPr>
                                <w:i/>
                                <w:sz w:val="20"/>
                                <w:u w:val="single"/>
                              </w:rPr>
                              <w:t>(1281-</w:t>
                            </w:r>
                            <w:r>
                              <w:rPr>
                                <w:i/>
                                <w:spacing w:val="-4"/>
                                <w:sz w:val="20"/>
                                <w:u w:val="single"/>
                              </w:rPr>
                              <w:t>1287)</w:t>
                            </w:r>
                          </w:p>
                        </w:tc>
                      </w:tr>
                      <w:tr>
                        <w:trPr>
                          <w:trHeight w:val="235" w:hRule="atLeast"/>
                        </w:trPr>
                        <w:tc>
                          <w:tcPr>
                            <w:tcW w:w="612" w:type="dxa"/>
                          </w:tcPr>
                          <w:p>
                            <w:pPr>
                              <w:pStyle w:val="TableParagraph"/>
                              <w:spacing w:line="205" w:lineRule="exact"/>
                              <w:ind w:left="50"/>
                              <w:rPr>
                                <w:sz w:val="20"/>
                              </w:rPr>
                            </w:pPr>
                            <w:r>
                              <w:rPr>
                                <w:spacing w:val="-4"/>
                                <w:sz w:val="20"/>
                              </w:rPr>
                              <w:t>1281</w:t>
                            </w:r>
                          </w:p>
                        </w:tc>
                        <w:tc>
                          <w:tcPr>
                            <w:tcW w:w="3295" w:type="dxa"/>
                          </w:tcPr>
                          <w:p>
                            <w:pPr>
                              <w:pStyle w:val="TableParagraph"/>
                              <w:spacing w:line="205" w:lineRule="exact"/>
                              <w:ind w:left="158"/>
                              <w:rPr>
                                <w:sz w:val="20"/>
                              </w:rPr>
                            </w:pPr>
                            <w:r>
                              <w:rPr>
                                <w:sz w:val="20"/>
                              </w:rPr>
                              <w:t>Lithuanian</w:t>
                            </w:r>
                            <w:r>
                              <w:rPr>
                                <w:spacing w:val="-11"/>
                                <w:sz w:val="20"/>
                              </w:rPr>
                              <w:t> </w:t>
                            </w:r>
                            <w:r>
                              <w:rPr>
                                <w:spacing w:val="-2"/>
                                <w:sz w:val="20"/>
                              </w:rPr>
                              <w:t>(lit)</w:t>
                            </w:r>
                          </w:p>
                        </w:tc>
                      </w:tr>
                      <w:tr>
                        <w:trPr>
                          <w:trHeight w:val="230" w:hRule="atLeast"/>
                        </w:trPr>
                        <w:tc>
                          <w:tcPr>
                            <w:tcW w:w="612" w:type="dxa"/>
                          </w:tcPr>
                          <w:p>
                            <w:pPr>
                              <w:pStyle w:val="TableParagraph"/>
                              <w:ind w:left="50"/>
                              <w:rPr>
                                <w:sz w:val="20"/>
                              </w:rPr>
                            </w:pPr>
                            <w:r>
                              <w:rPr>
                                <w:spacing w:val="-4"/>
                                <w:sz w:val="20"/>
                              </w:rPr>
                              <w:t>1283</w:t>
                            </w:r>
                          </w:p>
                        </w:tc>
                        <w:tc>
                          <w:tcPr>
                            <w:tcW w:w="3295" w:type="dxa"/>
                          </w:tcPr>
                          <w:p>
                            <w:pPr>
                              <w:pStyle w:val="TableParagraph"/>
                              <w:ind w:left="158"/>
                              <w:rPr>
                                <w:sz w:val="20"/>
                              </w:rPr>
                            </w:pPr>
                            <w:r>
                              <w:rPr>
                                <w:sz w:val="20"/>
                              </w:rPr>
                              <w:t>Standard</w:t>
                            </w:r>
                            <w:r>
                              <w:rPr>
                                <w:spacing w:val="-6"/>
                                <w:sz w:val="20"/>
                              </w:rPr>
                              <w:t> </w:t>
                            </w:r>
                            <w:r>
                              <w:rPr>
                                <w:sz w:val="20"/>
                              </w:rPr>
                              <w:t>Latvian</w:t>
                            </w:r>
                            <w:r>
                              <w:rPr>
                                <w:spacing w:val="-8"/>
                                <w:sz w:val="20"/>
                              </w:rPr>
                              <w:t> </w:t>
                            </w:r>
                            <w:r>
                              <w:rPr>
                                <w:spacing w:val="-4"/>
                                <w:sz w:val="20"/>
                              </w:rPr>
                              <w:t>(lvs)</w:t>
                            </w:r>
                          </w:p>
                        </w:tc>
                      </w:tr>
                      <w:tr>
                        <w:trPr>
                          <w:trHeight w:val="344" w:hRule="atLeast"/>
                        </w:trPr>
                        <w:tc>
                          <w:tcPr>
                            <w:tcW w:w="612" w:type="dxa"/>
                          </w:tcPr>
                          <w:p>
                            <w:pPr>
                              <w:pStyle w:val="TableParagraph"/>
                              <w:spacing w:line="226" w:lineRule="exact"/>
                              <w:ind w:left="50"/>
                              <w:rPr>
                                <w:sz w:val="20"/>
                              </w:rPr>
                            </w:pPr>
                            <w:r>
                              <w:rPr>
                                <w:spacing w:val="-4"/>
                                <w:sz w:val="20"/>
                              </w:rPr>
                              <w:t>1284</w:t>
                            </w:r>
                          </w:p>
                        </w:tc>
                        <w:tc>
                          <w:tcPr>
                            <w:tcW w:w="3295" w:type="dxa"/>
                          </w:tcPr>
                          <w:p>
                            <w:pPr>
                              <w:pStyle w:val="TableParagraph"/>
                              <w:spacing w:line="226" w:lineRule="exact"/>
                              <w:ind w:left="158"/>
                              <w:rPr>
                                <w:sz w:val="20"/>
                              </w:rPr>
                            </w:pPr>
                            <w:r>
                              <w:rPr>
                                <w:sz w:val="20"/>
                              </w:rPr>
                              <w:t>Latgalian</w:t>
                            </w:r>
                            <w:r>
                              <w:rPr>
                                <w:spacing w:val="-9"/>
                                <w:sz w:val="20"/>
                              </w:rPr>
                              <w:t> </w:t>
                            </w:r>
                            <w:r>
                              <w:rPr>
                                <w:spacing w:val="-2"/>
                                <w:sz w:val="20"/>
                              </w:rPr>
                              <w:t>(ltg)</w:t>
                            </w:r>
                          </w:p>
                        </w:tc>
                      </w:tr>
                      <w:tr>
                        <w:trPr>
                          <w:trHeight w:val="339" w:hRule="atLeast"/>
                        </w:trPr>
                        <w:tc>
                          <w:tcPr>
                            <w:tcW w:w="612" w:type="dxa"/>
                          </w:tcPr>
                          <w:p>
                            <w:pPr>
                              <w:pStyle w:val="TableParagraph"/>
                              <w:spacing w:before="109"/>
                              <w:ind w:left="50"/>
                              <w:rPr>
                                <w:sz w:val="20"/>
                              </w:rPr>
                            </w:pPr>
                            <w:r>
                              <w:rPr>
                                <w:spacing w:val="-4"/>
                                <w:sz w:val="20"/>
                              </w:rPr>
                              <w:t>1288</w:t>
                            </w:r>
                          </w:p>
                        </w:tc>
                        <w:tc>
                          <w:tcPr>
                            <w:tcW w:w="3295" w:type="dxa"/>
                          </w:tcPr>
                          <w:p>
                            <w:pPr>
                              <w:pStyle w:val="TableParagraph"/>
                              <w:spacing w:before="109"/>
                              <w:ind w:left="158"/>
                              <w:rPr>
                                <w:sz w:val="20"/>
                              </w:rPr>
                            </w:pPr>
                            <w:r>
                              <w:rPr>
                                <w:sz w:val="20"/>
                              </w:rPr>
                              <w:t>Armenian</w:t>
                            </w:r>
                            <w:r>
                              <w:rPr>
                                <w:spacing w:val="-11"/>
                                <w:sz w:val="20"/>
                              </w:rPr>
                              <w:t> </w:t>
                            </w:r>
                            <w:r>
                              <w:rPr>
                                <w:spacing w:val="-2"/>
                                <w:sz w:val="20"/>
                              </w:rPr>
                              <w:t>(hye)</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4992">
                <wp:simplePos x="0" y="0"/>
                <wp:positionH relativeFrom="page">
                  <wp:posOffset>4045584</wp:posOffset>
                </wp:positionH>
                <wp:positionV relativeFrom="paragraph">
                  <wp:posOffset>231273</wp:posOffset>
                </wp:positionV>
                <wp:extent cx="2462530" cy="760031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62530" cy="760031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146"/>
                            </w:tblGrid>
                            <w:tr>
                              <w:trPr>
                                <w:trHeight w:val="357" w:hRule="atLeast"/>
                              </w:trPr>
                              <w:tc>
                                <w:tcPr>
                                  <w:tcW w:w="612" w:type="dxa"/>
                                </w:tcPr>
                                <w:p>
                                  <w:pPr>
                                    <w:pStyle w:val="TableParagraph"/>
                                    <w:spacing w:line="221" w:lineRule="exact"/>
                                    <w:ind w:left="50"/>
                                    <w:rPr>
                                      <w:sz w:val="20"/>
                                    </w:rPr>
                                  </w:pPr>
                                  <w:r>
                                    <w:rPr>
                                      <w:spacing w:val="-4"/>
                                      <w:sz w:val="20"/>
                                    </w:rPr>
                                    <w:t>1340</w:t>
                                  </w:r>
                                </w:p>
                              </w:tc>
                              <w:tc>
                                <w:tcPr>
                                  <w:tcW w:w="3146" w:type="dxa"/>
                                </w:tcPr>
                                <w:p>
                                  <w:pPr>
                                    <w:pStyle w:val="TableParagraph"/>
                                    <w:spacing w:line="221" w:lineRule="exact"/>
                                    <w:ind w:left="158"/>
                                    <w:rPr>
                                      <w:sz w:val="20"/>
                                    </w:rPr>
                                  </w:pPr>
                                  <w:r>
                                    <w:rPr>
                                      <w:sz w:val="20"/>
                                    </w:rPr>
                                    <w:t>India</w:t>
                                  </w:r>
                                  <w:r>
                                    <w:rPr>
                                      <w:spacing w:val="-6"/>
                                      <w:sz w:val="20"/>
                                    </w:rPr>
                                    <w:t> </w:t>
                                  </w:r>
                                  <w:r>
                                    <w:rPr>
                                      <w:spacing w:val="-2"/>
                                      <w:sz w:val="20"/>
                                    </w:rPr>
                                    <w:t>N.E.C.</w:t>
                                  </w:r>
                                </w:p>
                              </w:tc>
                            </w:tr>
                            <w:tr>
                              <w:trPr>
                                <w:trHeight w:val="592" w:hRule="atLeast"/>
                              </w:trPr>
                              <w:tc>
                                <w:tcPr>
                                  <w:tcW w:w="612" w:type="dxa"/>
                                </w:tcPr>
                                <w:p>
                                  <w:pPr>
                                    <w:pStyle w:val="TableParagraph"/>
                                    <w:spacing w:line="240" w:lineRule="auto" w:before="1"/>
                                    <w:rPr>
                                      <w:sz w:val="31"/>
                                    </w:rPr>
                                  </w:pPr>
                                </w:p>
                                <w:p>
                                  <w:pPr>
                                    <w:pStyle w:val="TableParagraph"/>
                                    <w:spacing w:line="215" w:lineRule="exact"/>
                                    <w:ind w:left="50"/>
                                    <w:rPr>
                                      <w:sz w:val="20"/>
                                    </w:rPr>
                                  </w:pPr>
                                  <w:r>
                                    <w:rPr>
                                      <w:spacing w:val="-4"/>
                                      <w:sz w:val="20"/>
                                    </w:rPr>
                                    <w:t>1341</w:t>
                                  </w:r>
                                </w:p>
                              </w:tc>
                              <w:tc>
                                <w:tcPr>
                                  <w:tcW w:w="3146" w:type="dxa"/>
                                </w:tcPr>
                                <w:p>
                                  <w:pPr>
                                    <w:pStyle w:val="TableParagraph"/>
                                    <w:spacing w:line="240" w:lineRule="auto" w:before="127"/>
                                    <w:ind w:left="158"/>
                                    <w:rPr>
                                      <w:i/>
                                      <w:sz w:val="20"/>
                                    </w:rPr>
                                  </w:pPr>
                                  <w:r>
                                    <w:rPr>
                                      <w:i/>
                                      <w:sz w:val="20"/>
                                    </w:rPr>
                                    <w:t>Hindi</w:t>
                                  </w:r>
                                  <w:r>
                                    <w:rPr>
                                      <w:i/>
                                      <w:spacing w:val="-6"/>
                                      <w:sz w:val="20"/>
                                    </w:rPr>
                                    <w:t> </w:t>
                                  </w:r>
                                  <w:r>
                                    <w:rPr>
                                      <w:i/>
                                      <w:sz w:val="20"/>
                                    </w:rPr>
                                    <w:t>(1341-</w:t>
                                  </w:r>
                                  <w:r>
                                    <w:rPr>
                                      <w:i/>
                                      <w:spacing w:val="-2"/>
                                      <w:sz w:val="20"/>
                                    </w:rPr>
                                    <w:t>1359)</w:t>
                                  </w:r>
                                </w:p>
                                <w:p>
                                  <w:pPr>
                                    <w:pStyle w:val="TableParagraph"/>
                                    <w:spacing w:line="215" w:lineRule="exact" w:before="1"/>
                                    <w:ind w:left="158"/>
                                    <w:rPr>
                                      <w:sz w:val="20"/>
                                    </w:rPr>
                                  </w:pPr>
                                  <w:r>
                                    <w:rPr>
                                      <w:spacing w:val="-2"/>
                                      <w:sz w:val="20"/>
                                    </w:rPr>
                                    <w:t>Chhattisgarhi</w:t>
                                  </w:r>
                                  <w:r>
                                    <w:rPr>
                                      <w:spacing w:val="13"/>
                                      <w:sz w:val="20"/>
                                    </w:rPr>
                                    <w:t> </w:t>
                                  </w:r>
                                  <w:r>
                                    <w:rPr>
                                      <w:spacing w:val="-2"/>
                                      <w:sz w:val="20"/>
                                    </w:rPr>
                                    <w:t>(hne)</w:t>
                                  </w:r>
                                </w:p>
                              </w:tc>
                            </w:tr>
                            <w:tr>
                              <w:trPr>
                                <w:trHeight w:val="230" w:hRule="atLeast"/>
                              </w:trPr>
                              <w:tc>
                                <w:tcPr>
                                  <w:tcW w:w="612" w:type="dxa"/>
                                </w:tcPr>
                                <w:p>
                                  <w:pPr>
                                    <w:pStyle w:val="TableParagraph"/>
                                    <w:ind w:left="50"/>
                                    <w:rPr>
                                      <w:sz w:val="20"/>
                                    </w:rPr>
                                  </w:pPr>
                                  <w:r>
                                    <w:rPr>
                                      <w:spacing w:val="-4"/>
                                      <w:sz w:val="20"/>
                                    </w:rPr>
                                    <w:t>1342</w:t>
                                  </w:r>
                                </w:p>
                              </w:tc>
                              <w:tc>
                                <w:tcPr>
                                  <w:tcW w:w="3146" w:type="dxa"/>
                                </w:tcPr>
                                <w:p>
                                  <w:pPr>
                                    <w:pStyle w:val="TableParagraph"/>
                                    <w:ind w:left="158"/>
                                    <w:rPr>
                                      <w:sz w:val="20"/>
                                    </w:rPr>
                                  </w:pPr>
                                  <w:r>
                                    <w:rPr>
                                      <w:sz w:val="20"/>
                                    </w:rPr>
                                    <w:t>Garhwali</w:t>
                                  </w:r>
                                  <w:r>
                                    <w:rPr>
                                      <w:spacing w:val="-9"/>
                                      <w:sz w:val="20"/>
                                    </w:rPr>
                                    <w:t> </w:t>
                                  </w:r>
                                  <w:r>
                                    <w:rPr>
                                      <w:spacing w:val="-2"/>
                                      <w:sz w:val="20"/>
                                    </w:rPr>
                                    <w:t>(gbm)</w:t>
                                  </w:r>
                                </w:p>
                              </w:tc>
                            </w:tr>
                            <w:tr>
                              <w:trPr>
                                <w:trHeight w:val="229" w:hRule="atLeast"/>
                              </w:trPr>
                              <w:tc>
                                <w:tcPr>
                                  <w:tcW w:w="612" w:type="dxa"/>
                                </w:tcPr>
                                <w:p>
                                  <w:pPr>
                                    <w:pStyle w:val="TableParagraph"/>
                                    <w:spacing w:line="209" w:lineRule="exact"/>
                                    <w:ind w:left="50"/>
                                    <w:rPr>
                                      <w:sz w:val="20"/>
                                    </w:rPr>
                                  </w:pPr>
                                  <w:r>
                                    <w:rPr>
                                      <w:spacing w:val="-4"/>
                                      <w:sz w:val="20"/>
                                    </w:rPr>
                                    <w:t>1343</w:t>
                                  </w:r>
                                </w:p>
                              </w:tc>
                              <w:tc>
                                <w:tcPr>
                                  <w:tcW w:w="3146" w:type="dxa"/>
                                </w:tcPr>
                                <w:p>
                                  <w:pPr>
                                    <w:pStyle w:val="TableParagraph"/>
                                    <w:spacing w:line="209" w:lineRule="exact"/>
                                    <w:ind w:left="158"/>
                                    <w:rPr>
                                      <w:sz w:val="20"/>
                                    </w:rPr>
                                  </w:pPr>
                                  <w:r>
                                    <w:rPr>
                                      <w:sz w:val="20"/>
                                    </w:rPr>
                                    <w:t>Haryanvi</w:t>
                                  </w:r>
                                  <w:r>
                                    <w:rPr>
                                      <w:spacing w:val="-10"/>
                                      <w:sz w:val="20"/>
                                    </w:rPr>
                                    <w:t> </w:t>
                                  </w:r>
                                  <w:r>
                                    <w:rPr>
                                      <w:spacing w:val="-2"/>
                                      <w:sz w:val="20"/>
                                    </w:rPr>
                                    <w:t>(bcg)</w:t>
                                  </w:r>
                                </w:p>
                              </w:tc>
                            </w:tr>
                            <w:tr>
                              <w:trPr>
                                <w:trHeight w:val="229" w:hRule="atLeast"/>
                              </w:trPr>
                              <w:tc>
                                <w:tcPr>
                                  <w:tcW w:w="612" w:type="dxa"/>
                                </w:tcPr>
                                <w:p>
                                  <w:pPr>
                                    <w:pStyle w:val="TableParagraph"/>
                                    <w:spacing w:line="209" w:lineRule="exact"/>
                                    <w:ind w:left="50"/>
                                    <w:rPr>
                                      <w:sz w:val="20"/>
                                    </w:rPr>
                                  </w:pPr>
                                  <w:r>
                                    <w:rPr>
                                      <w:spacing w:val="-4"/>
                                      <w:sz w:val="20"/>
                                    </w:rPr>
                                    <w:t>1349</w:t>
                                  </w:r>
                                </w:p>
                              </w:tc>
                              <w:tc>
                                <w:tcPr>
                                  <w:tcW w:w="3146" w:type="dxa"/>
                                </w:tcPr>
                                <w:p>
                                  <w:pPr>
                                    <w:pStyle w:val="TableParagraph"/>
                                    <w:spacing w:line="209" w:lineRule="exact"/>
                                    <w:ind w:left="158"/>
                                    <w:rPr>
                                      <w:sz w:val="20"/>
                                    </w:rPr>
                                  </w:pPr>
                                  <w:r>
                                    <w:rPr>
                                      <w:sz w:val="20"/>
                                    </w:rPr>
                                    <w:t>Awadhi</w:t>
                                  </w:r>
                                  <w:r>
                                    <w:rPr>
                                      <w:spacing w:val="-8"/>
                                      <w:sz w:val="20"/>
                                    </w:rPr>
                                    <w:t> </w:t>
                                  </w:r>
                                  <w:r>
                                    <w:rPr>
                                      <w:spacing w:val="-2"/>
                                      <w:sz w:val="20"/>
                                    </w:rPr>
                                    <w:t>(awa)</w:t>
                                  </w:r>
                                </w:p>
                              </w:tc>
                            </w:tr>
                            <w:tr>
                              <w:trPr>
                                <w:trHeight w:val="230" w:hRule="atLeast"/>
                              </w:trPr>
                              <w:tc>
                                <w:tcPr>
                                  <w:tcW w:w="612" w:type="dxa"/>
                                </w:tcPr>
                                <w:p>
                                  <w:pPr>
                                    <w:pStyle w:val="TableParagraph"/>
                                    <w:ind w:left="50"/>
                                    <w:rPr>
                                      <w:sz w:val="20"/>
                                    </w:rPr>
                                  </w:pPr>
                                  <w:r>
                                    <w:rPr>
                                      <w:spacing w:val="-4"/>
                                      <w:sz w:val="20"/>
                                    </w:rPr>
                                    <w:t>1350</w:t>
                                  </w:r>
                                </w:p>
                              </w:tc>
                              <w:tc>
                                <w:tcPr>
                                  <w:tcW w:w="3146" w:type="dxa"/>
                                </w:tcPr>
                                <w:p>
                                  <w:pPr>
                                    <w:pStyle w:val="TableParagraph"/>
                                    <w:ind w:left="158"/>
                                    <w:rPr>
                                      <w:sz w:val="20"/>
                                    </w:rPr>
                                  </w:pPr>
                                  <w:r>
                                    <w:rPr>
                                      <w:sz w:val="20"/>
                                    </w:rPr>
                                    <w:t>Hindi</w:t>
                                  </w:r>
                                  <w:r>
                                    <w:rPr>
                                      <w:spacing w:val="-6"/>
                                      <w:sz w:val="20"/>
                                    </w:rPr>
                                    <w:t> </w:t>
                                  </w:r>
                                  <w:r>
                                    <w:rPr>
                                      <w:spacing w:val="-2"/>
                                      <w:sz w:val="20"/>
                                    </w:rPr>
                                    <w:t>(hin)</w:t>
                                  </w:r>
                                </w:p>
                              </w:tc>
                            </w:tr>
                            <w:tr>
                              <w:trPr>
                                <w:trHeight w:val="345" w:hRule="atLeast"/>
                              </w:trPr>
                              <w:tc>
                                <w:tcPr>
                                  <w:tcW w:w="612" w:type="dxa"/>
                                </w:tcPr>
                                <w:p>
                                  <w:pPr>
                                    <w:pStyle w:val="TableParagraph"/>
                                    <w:spacing w:line="226" w:lineRule="exact"/>
                                    <w:ind w:left="50"/>
                                    <w:rPr>
                                      <w:sz w:val="20"/>
                                    </w:rPr>
                                  </w:pPr>
                                  <w:r>
                                    <w:rPr>
                                      <w:spacing w:val="-4"/>
                                      <w:sz w:val="20"/>
                                    </w:rPr>
                                    <w:t>1351</w:t>
                                  </w:r>
                                </w:p>
                              </w:tc>
                              <w:tc>
                                <w:tcPr>
                                  <w:tcW w:w="3146" w:type="dxa"/>
                                </w:tcPr>
                                <w:p>
                                  <w:pPr>
                                    <w:pStyle w:val="TableParagraph"/>
                                    <w:spacing w:line="226" w:lineRule="exact"/>
                                    <w:ind w:left="158"/>
                                    <w:rPr>
                                      <w:sz w:val="20"/>
                                    </w:rPr>
                                  </w:pPr>
                                  <w:r>
                                    <w:rPr>
                                      <w:sz w:val="20"/>
                                    </w:rPr>
                                    <w:t>Fiji</w:t>
                                  </w:r>
                                  <w:r>
                                    <w:rPr>
                                      <w:spacing w:val="-5"/>
                                      <w:sz w:val="20"/>
                                    </w:rPr>
                                    <w:t> </w:t>
                                  </w:r>
                                  <w:r>
                                    <w:rPr>
                                      <w:sz w:val="20"/>
                                    </w:rPr>
                                    <w:t>Hindi</w:t>
                                  </w:r>
                                  <w:r>
                                    <w:rPr>
                                      <w:spacing w:val="-3"/>
                                      <w:sz w:val="20"/>
                                    </w:rPr>
                                    <w:t> </w:t>
                                  </w:r>
                                  <w:r>
                                    <w:rPr>
                                      <w:spacing w:val="-2"/>
                                      <w:sz w:val="20"/>
                                    </w:rPr>
                                    <w:t>(hif)</w:t>
                                  </w:r>
                                </w:p>
                              </w:tc>
                            </w:tr>
                            <w:tr>
                              <w:trPr>
                                <w:trHeight w:val="345" w:hRule="atLeast"/>
                              </w:trPr>
                              <w:tc>
                                <w:tcPr>
                                  <w:tcW w:w="612" w:type="dxa"/>
                                </w:tcPr>
                                <w:p>
                                  <w:pPr>
                                    <w:pStyle w:val="TableParagraph"/>
                                    <w:spacing w:line="215" w:lineRule="exact" w:before="111"/>
                                    <w:ind w:left="50"/>
                                    <w:rPr>
                                      <w:sz w:val="20"/>
                                    </w:rPr>
                                  </w:pPr>
                                  <w:r>
                                    <w:rPr>
                                      <w:spacing w:val="-4"/>
                                      <w:sz w:val="20"/>
                                    </w:rPr>
                                    <w:t>1360</w:t>
                                  </w:r>
                                </w:p>
                              </w:tc>
                              <w:tc>
                                <w:tcPr>
                                  <w:tcW w:w="3146" w:type="dxa"/>
                                </w:tcPr>
                                <w:p>
                                  <w:pPr>
                                    <w:pStyle w:val="TableParagraph"/>
                                    <w:spacing w:line="215" w:lineRule="exact" w:before="111"/>
                                    <w:ind w:left="158"/>
                                    <w:rPr>
                                      <w:sz w:val="20"/>
                                    </w:rPr>
                                  </w:pPr>
                                  <w:r>
                                    <w:rPr>
                                      <w:sz w:val="20"/>
                                    </w:rPr>
                                    <w:t>Urdu</w:t>
                                  </w:r>
                                  <w:r>
                                    <w:rPr>
                                      <w:spacing w:val="-5"/>
                                      <w:sz w:val="20"/>
                                    </w:rPr>
                                    <w:t> </w:t>
                                  </w:r>
                                  <w:r>
                                    <w:rPr>
                                      <w:spacing w:val="-2"/>
                                      <w:sz w:val="20"/>
                                    </w:rPr>
                                    <w:t>(urd)</w:t>
                                  </w:r>
                                </w:p>
                              </w:tc>
                            </w:tr>
                            <w:tr>
                              <w:trPr>
                                <w:trHeight w:val="229" w:hRule="atLeast"/>
                              </w:trPr>
                              <w:tc>
                                <w:tcPr>
                                  <w:tcW w:w="612" w:type="dxa"/>
                                </w:tcPr>
                                <w:p>
                                  <w:pPr>
                                    <w:pStyle w:val="TableParagraph"/>
                                    <w:ind w:left="50"/>
                                    <w:rPr>
                                      <w:sz w:val="20"/>
                                    </w:rPr>
                                  </w:pPr>
                                  <w:r>
                                    <w:rPr>
                                      <w:spacing w:val="-4"/>
                                      <w:sz w:val="20"/>
                                    </w:rPr>
                                    <w:t>1365</w:t>
                                  </w:r>
                                </w:p>
                              </w:tc>
                              <w:tc>
                                <w:tcPr>
                                  <w:tcW w:w="3146" w:type="dxa"/>
                                </w:tcPr>
                                <w:p>
                                  <w:pPr>
                                    <w:pStyle w:val="TableParagraph"/>
                                    <w:ind w:left="158"/>
                                    <w:rPr>
                                      <w:sz w:val="20"/>
                                    </w:rPr>
                                  </w:pPr>
                                  <w:r>
                                    <w:rPr>
                                      <w:sz w:val="20"/>
                                    </w:rPr>
                                    <w:t>Deccan</w:t>
                                  </w:r>
                                  <w:r>
                                    <w:rPr>
                                      <w:spacing w:val="-7"/>
                                      <w:sz w:val="20"/>
                                    </w:rPr>
                                    <w:t> </w:t>
                                  </w:r>
                                  <w:r>
                                    <w:rPr>
                                      <w:spacing w:val="-2"/>
                                      <w:sz w:val="20"/>
                                    </w:rPr>
                                    <w:t>(dcc)</w:t>
                                  </w:r>
                                </w:p>
                              </w:tc>
                            </w:tr>
                            <w:tr>
                              <w:trPr>
                                <w:trHeight w:val="229" w:hRule="atLeast"/>
                              </w:trPr>
                              <w:tc>
                                <w:tcPr>
                                  <w:tcW w:w="612" w:type="dxa"/>
                                </w:tcPr>
                                <w:p>
                                  <w:pPr>
                                    <w:pStyle w:val="TableParagraph"/>
                                    <w:spacing w:line="209" w:lineRule="exact"/>
                                    <w:ind w:left="50"/>
                                    <w:rPr>
                                      <w:sz w:val="20"/>
                                    </w:rPr>
                                  </w:pPr>
                                  <w:r>
                                    <w:rPr>
                                      <w:spacing w:val="-4"/>
                                      <w:sz w:val="20"/>
                                    </w:rPr>
                                    <w:t>1370</w:t>
                                  </w:r>
                                </w:p>
                              </w:tc>
                              <w:tc>
                                <w:tcPr>
                                  <w:tcW w:w="3146" w:type="dxa"/>
                                </w:tcPr>
                                <w:p>
                                  <w:pPr>
                                    <w:pStyle w:val="TableParagraph"/>
                                    <w:spacing w:line="209" w:lineRule="exact"/>
                                    <w:ind w:left="158"/>
                                    <w:rPr>
                                      <w:sz w:val="20"/>
                                    </w:rPr>
                                  </w:pPr>
                                  <w:r>
                                    <w:rPr>
                                      <w:sz w:val="20"/>
                                    </w:rPr>
                                    <w:t>Memoni</w:t>
                                  </w:r>
                                  <w:r>
                                    <w:rPr>
                                      <w:spacing w:val="-10"/>
                                      <w:sz w:val="20"/>
                                    </w:rPr>
                                    <w:t> </w:t>
                                  </w:r>
                                  <w:r>
                                    <w:rPr>
                                      <w:spacing w:val="-2"/>
                                      <w:sz w:val="20"/>
                                    </w:rPr>
                                    <w:t>(mby)</w:t>
                                  </w:r>
                                </w:p>
                              </w:tc>
                            </w:tr>
                            <w:tr>
                              <w:trPr>
                                <w:trHeight w:val="345" w:hRule="atLeast"/>
                              </w:trPr>
                              <w:tc>
                                <w:tcPr>
                                  <w:tcW w:w="612" w:type="dxa"/>
                                </w:tcPr>
                                <w:p>
                                  <w:pPr>
                                    <w:pStyle w:val="TableParagraph"/>
                                    <w:spacing w:line="226" w:lineRule="exact"/>
                                    <w:ind w:left="50"/>
                                    <w:rPr>
                                      <w:sz w:val="20"/>
                                    </w:rPr>
                                  </w:pPr>
                                  <w:r>
                                    <w:rPr>
                                      <w:spacing w:val="-4"/>
                                      <w:sz w:val="20"/>
                                    </w:rPr>
                                    <w:t>1375</w:t>
                                  </w:r>
                                </w:p>
                              </w:tc>
                              <w:tc>
                                <w:tcPr>
                                  <w:tcW w:w="3146" w:type="dxa"/>
                                </w:tcPr>
                                <w:p>
                                  <w:pPr>
                                    <w:pStyle w:val="TableParagraph"/>
                                    <w:spacing w:line="226" w:lineRule="exact"/>
                                    <w:ind w:left="158"/>
                                    <w:rPr>
                                      <w:sz w:val="20"/>
                                    </w:rPr>
                                  </w:pPr>
                                  <w:r>
                                    <w:rPr>
                                      <w:sz w:val="20"/>
                                    </w:rPr>
                                    <w:t>Assamese</w:t>
                                  </w:r>
                                  <w:r>
                                    <w:rPr>
                                      <w:spacing w:val="-10"/>
                                      <w:sz w:val="20"/>
                                    </w:rPr>
                                    <w:t> </w:t>
                                  </w:r>
                                  <w:r>
                                    <w:rPr>
                                      <w:spacing w:val="-2"/>
                                      <w:sz w:val="20"/>
                                    </w:rPr>
                                    <w:t>(asm)</w:t>
                                  </w:r>
                                </w:p>
                              </w:tc>
                            </w:tr>
                            <w:tr>
                              <w:trPr>
                                <w:trHeight w:val="575" w:hRule="atLeast"/>
                              </w:trPr>
                              <w:tc>
                                <w:tcPr>
                                  <w:tcW w:w="612" w:type="dxa"/>
                                </w:tcPr>
                                <w:p>
                                  <w:pPr>
                                    <w:pStyle w:val="TableParagraph"/>
                                    <w:spacing w:line="240" w:lineRule="auto" w:before="7"/>
                                    <w:rPr>
                                      <w:sz w:val="29"/>
                                    </w:rPr>
                                  </w:pPr>
                                </w:p>
                                <w:p>
                                  <w:pPr>
                                    <w:pStyle w:val="TableParagraph"/>
                                    <w:spacing w:line="215" w:lineRule="exact" w:before="1"/>
                                    <w:ind w:left="50"/>
                                    <w:rPr>
                                      <w:sz w:val="20"/>
                                    </w:rPr>
                                  </w:pPr>
                                  <w:r>
                                    <w:rPr>
                                      <w:spacing w:val="-4"/>
                                      <w:sz w:val="20"/>
                                    </w:rPr>
                                    <w:t>1380</w:t>
                                  </w:r>
                                </w:p>
                              </w:tc>
                              <w:tc>
                                <w:tcPr>
                                  <w:tcW w:w="3146" w:type="dxa"/>
                                </w:tcPr>
                                <w:p>
                                  <w:pPr>
                                    <w:pStyle w:val="TableParagraph"/>
                                    <w:spacing w:line="240" w:lineRule="auto" w:before="111"/>
                                    <w:ind w:left="158"/>
                                    <w:rPr>
                                      <w:i/>
                                      <w:sz w:val="20"/>
                                    </w:rPr>
                                  </w:pPr>
                                  <w:r>
                                    <w:rPr>
                                      <w:i/>
                                      <w:sz w:val="20"/>
                                    </w:rPr>
                                    <w:t>Bengali</w:t>
                                  </w:r>
                                  <w:r>
                                    <w:rPr>
                                      <w:i/>
                                      <w:spacing w:val="-10"/>
                                      <w:sz w:val="20"/>
                                    </w:rPr>
                                    <w:t> </w:t>
                                  </w:r>
                                  <w:r>
                                    <w:rPr>
                                      <w:i/>
                                      <w:sz w:val="20"/>
                                    </w:rPr>
                                    <w:t>(1380-</w:t>
                                  </w:r>
                                  <w:r>
                                    <w:rPr>
                                      <w:i/>
                                      <w:spacing w:val="-4"/>
                                      <w:sz w:val="20"/>
                                    </w:rPr>
                                    <w:t>1387)</w:t>
                                  </w:r>
                                </w:p>
                                <w:p>
                                  <w:pPr>
                                    <w:pStyle w:val="TableParagraph"/>
                                    <w:spacing w:line="215" w:lineRule="exact"/>
                                    <w:ind w:left="158"/>
                                    <w:rPr>
                                      <w:sz w:val="20"/>
                                    </w:rPr>
                                  </w:pPr>
                                  <w:r>
                                    <w:rPr>
                                      <w:sz w:val="20"/>
                                    </w:rPr>
                                    <w:t>Bengali</w:t>
                                  </w:r>
                                  <w:r>
                                    <w:rPr>
                                      <w:spacing w:val="-9"/>
                                      <w:sz w:val="20"/>
                                    </w:rPr>
                                    <w:t> </w:t>
                                  </w:r>
                                  <w:r>
                                    <w:rPr>
                                      <w:spacing w:val="-2"/>
                                      <w:sz w:val="20"/>
                                    </w:rPr>
                                    <w:t>(ben)</w:t>
                                  </w:r>
                                </w:p>
                              </w:tc>
                            </w:tr>
                            <w:tr>
                              <w:trPr>
                                <w:trHeight w:val="229" w:hRule="atLeast"/>
                              </w:trPr>
                              <w:tc>
                                <w:tcPr>
                                  <w:tcW w:w="612" w:type="dxa"/>
                                </w:tcPr>
                                <w:p>
                                  <w:pPr>
                                    <w:pStyle w:val="TableParagraph"/>
                                    <w:spacing w:line="209" w:lineRule="exact"/>
                                    <w:ind w:left="50"/>
                                    <w:rPr>
                                      <w:sz w:val="20"/>
                                    </w:rPr>
                                  </w:pPr>
                                  <w:r>
                                    <w:rPr>
                                      <w:spacing w:val="-4"/>
                                      <w:sz w:val="20"/>
                                    </w:rPr>
                                    <w:t>1382</w:t>
                                  </w:r>
                                </w:p>
                              </w:tc>
                              <w:tc>
                                <w:tcPr>
                                  <w:tcW w:w="3146" w:type="dxa"/>
                                </w:tcPr>
                                <w:p>
                                  <w:pPr>
                                    <w:pStyle w:val="TableParagraph"/>
                                    <w:spacing w:line="209" w:lineRule="exact"/>
                                    <w:ind w:left="158"/>
                                    <w:rPr>
                                      <w:sz w:val="20"/>
                                    </w:rPr>
                                  </w:pPr>
                                  <w:r>
                                    <w:rPr>
                                      <w:sz w:val="20"/>
                                    </w:rPr>
                                    <w:t>Chittagonian</w:t>
                                  </w:r>
                                  <w:r>
                                    <w:rPr>
                                      <w:spacing w:val="-12"/>
                                      <w:sz w:val="20"/>
                                    </w:rPr>
                                    <w:t> </w:t>
                                  </w:r>
                                  <w:r>
                                    <w:rPr>
                                      <w:spacing w:val="-2"/>
                                      <w:sz w:val="20"/>
                                    </w:rPr>
                                    <w:t>(ctg)</w:t>
                                  </w:r>
                                </w:p>
                              </w:tc>
                            </w:tr>
                            <w:tr>
                              <w:trPr>
                                <w:trHeight w:val="229" w:hRule="atLeast"/>
                              </w:trPr>
                              <w:tc>
                                <w:tcPr>
                                  <w:tcW w:w="612" w:type="dxa"/>
                                </w:tcPr>
                                <w:p>
                                  <w:pPr>
                                    <w:pStyle w:val="TableParagraph"/>
                                    <w:spacing w:line="209" w:lineRule="exact"/>
                                    <w:ind w:left="50"/>
                                    <w:rPr>
                                      <w:sz w:val="20"/>
                                    </w:rPr>
                                  </w:pPr>
                                  <w:r>
                                    <w:rPr>
                                      <w:spacing w:val="-4"/>
                                      <w:sz w:val="20"/>
                                    </w:rPr>
                                    <w:t>1384</w:t>
                                  </w:r>
                                </w:p>
                              </w:tc>
                              <w:tc>
                                <w:tcPr>
                                  <w:tcW w:w="3146" w:type="dxa"/>
                                </w:tcPr>
                                <w:p>
                                  <w:pPr>
                                    <w:pStyle w:val="TableParagraph"/>
                                    <w:spacing w:line="209" w:lineRule="exact"/>
                                    <w:ind w:left="158"/>
                                    <w:rPr>
                                      <w:sz w:val="20"/>
                                    </w:rPr>
                                  </w:pPr>
                                  <w:r>
                                    <w:rPr>
                                      <w:sz w:val="20"/>
                                    </w:rPr>
                                    <w:t>Rangpuri</w:t>
                                  </w:r>
                                  <w:r>
                                    <w:rPr>
                                      <w:spacing w:val="-12"/>
                                      <w:sz w:val="20"/>
                                    </w:rPr>
                                    <w:t> </w:t>
                                  </w:r>
                                  <w:r>
                                    <w:rPr>
                                      <w:spacing w:val="-2"/>
                                      <w:sz w:val="20"/>
                                    </w:rPr>
                                    <w:t>(rkt)</w:t>
                                  </w:r>
                                </w:p>
                              </w:tc>
                            </w:tr>
                            <w:tr>
                              <w:trPr>
                                <w:trHeight w:val="345" w:hRule="atLeast"/>
                              </w:trPr>
                              <w:tc>
                                <w:tcPr>
                                  <w:tcW w:w="612" w:type="dxa"/>
                                </w:tcPr>
                                <w:p>
                                  <w:pPr>
                                    <w:pStyle w:val="TableParagraph"/>
                                    <w:spacing w:line="226" w:lineRule="exact"/>
                                    <w:ind w:left="50"/>
                                    <w:rPr>
                                      <w:sz w:val="20"/>
                                    </w:rPr>
                                  </w:pPr>
                                  <w:r>
                                    <w:rPr>
                                      <w:spacing w:val="-4"/>
                                      <w:sz w:val="20"/>
                                    </w:rPr>
                                    <w:t>1386</w:t>
                                  </w:r>
                                </w:p>
                              </w:tc>
                              <w:tc>
                                <w:tcPr>
                                  <w:tcW w:w="3146" w:type="dxa"/>
                                </w:tcPr>
                                <w:p>
                                  <w:pPr>
                                    <w:pStyle w:val="TableParagraph"/>
                                    <w:spacing w:line="226" w:lineRule="exact"/>
                                    <w:ind w:left="158"/>
                                    <w:rPr>
                                      <w:sz w:val="20"/>
                                    </w:rPr>
                                  </w:pPr>
                                  <w:r>
                                    <w:rPr>
                                      <w:sz w:val="20"/>
                                    </w:rPr>
                                    <w:t>Sylheti</w:t>
                                  </w:r>
                                  <w:r>
                                    <w:rPr>
                                      <w:spacing w:val="-9"/>
                                      <w:sz w:val="20"/>
                                    </w:rPr>
                                    <w:t> </w:t>
                                  </w:r>
                                  <w:r>
                                    <w:rPr>
                                      <w:spacing w:val="-2"/>
                                      <w:sz w:val="20"/>
                                    </w:rPr>
                                    <w:t>(syl)</w:t>
                                  </w:r>
                                </w:p>
                              </w:tc>
                            </w:tr>
                            <w:tr>
                              <w:trPr>
                                <w:trHeight w:val="345" w:hRule="atLeast"/>
                              </w:trPr>
                              <w:tc>
                                <w:tcPr>
                                  <w:tcW w:w="612" w:type="dxa"/>
                                </w:tcPr>
                                <w:p>
                                  <w:pPr>
                                    <w:pStyle w:val="TableParagraph"/>
                                    <w:spacing w:line="215" w:lineRule="exact" w:before="111"/>
                                    <w:ind w:left="50"/>
                                    <w:rPr>
                                      <w:sz w:val="20"/>
                                    </w:rPr>
                                  </w:pPr>
                                  <w:r>
                                    <w:rPr>
                                      <w:spacing w:val="-4"/>
                                      <w:sz w:val="20"/>
                                    </w:rPr>
                                    <w:t>1388</w:t>
                                  </w:r>
                                </w:p>
                              </w:tc>
                              <w:tc>
                                <w:tcPr>
                                  <w:tcW w:w="3146" w:type="dxa"/>
                                </w:tcPr>
                                <w:p>
                                  <w:pPr>
                                    <w:pStyle w:val="TableParagraph"/>
                                    <w:spacing w:line="215" w:lineRule="exact" w:before="111"/>
                                    <w:ind w:left="158"/>
                                    <w:rPr>
                                      <w:sz w:val="20"/>
                                    </w:rPr>
                                  </w:pPr>
                                  <w:r>
                                    <w:rPr>
                                      <w:sz w:val="20"/>
                                    </w:rPr>
                                    <w:t>Halbi</w:t>
                                  </w:r>
                                  <w:r>
                                    <w:rPr>
                                      <w:spacing w:val="-4"/>
                                      <w:sz w:val="20"/>
                                    </w:rPr>
                                    <w:t> </w:t>
                                  </w:r>
                                  <w:r>
                                    <w:rPr>
                                      <w:spacing w:val="-2"/>
                                      <w:sz w:val="20"/>
                                    </w:rPr>
                                    <w:t>(hlb)</w:t>
                                  </w:r>
                                </w:p>
                              </w:tc>
                            </w:tr>
                            <w:tr>
                              <w:trPr>
                                <w:trHeight w:val="344" w:hRule="atLeast"/>
                              </w:trPr>
                              <w:tc>
                                <w:tcPr>
                                  <w:tcW w:w="612" w:type="dxa"/>
                                </w:tcPr>
                                <w:p>
                                  <w:pPr>
                                    <w:pStyle w:val="TableParagraph"/>
                                    <w:spacing w:line="226" w:lineRule="exact"/>
                                    <w:ind w:left="50"/>
                                    <w:rPr>
                                      <w:sz w:val="20"/>
                                    </w:rPr>
                                  </w:pPr>
                                  <w:r>
                                    <w:rPr>
                                      <w:spacing w:val="-4"/>
                                      <w:sz w:val="20"/>
                                    </w:rPr>
                                    <w:t>1400</w:t>
                                  </w:r>
                                </w:p>
                              </w:tc>
                              <w:tc>
                                <w:tcPr>
                                  <w:tcW w:w="3146" w:type="dxa"/>
                                </w:tcPr>
                                <w:p>
                                  <w:pPr>
                                    <w:pStyle w:val="TableParagraph"/>
                                    <w:spacing w:line="226" w:lineRule="exact"/>
                                    <w:ind w:left="158"/>
                                    <w:rPr>
                                      <w:sz w:val="20"/>
                                    </w:rPr>
                                  </w:pPr>
                                  <w:r>
                                    <w:rPr>
                                      <w:sz w:val="20"/>
                                    </w:rPr>
                                    <w:t>Rohingya</w:t>
                                  </w:r>
                                  <w:r>
                                    <w:rPr>
                                      <w:spacing w:val="-10"/>
                                      <w:sz w:val="20"/>
                                    </w:rPr>
                                    <w:t> </w:t>
                                  </w:r>
                                  <w:r>
                                    <w:rPr>
                                      <w:spacing w:val="-2"/>
                                      <w:sz w:val="20"/>
                                    </w:rPr>
                                    <w:t>(rhg)</w:t>
                                  </w:r>
                                </w:p>
                              </w:tc>
                            </w:tr>
                            <w:tr>
                              <w:trPr>
                                <w:trHeight w:val="575" w:hRule="atLeast"/>
                              </w:trPr>
                              <w:tc>
                                <w:tcPr>
                                  <w:tcW w:w="612" w:type="dxa"/>
                                </w:tcPr>
                                <w:p>
                                  <w:pPr>
                                    <w:pStyle w:val="TableParagraph"/>
                                    <w:spacing w:line="240" w:lineRule="auto" w:before="6"/>
                                    <w:rPr>
                                      <w:sz w:val="29"/>
                                    </w:rPr>
                                  </w:pPr>
                                </w:p>
                                <w:p>
                                  <w:pPr>
                                    <w:pStyle w:val="TableParagraph"/>
                                    <w:spacing w:line="215" w:lineRule="exact"/>
                                    <w:ind w:left="50"/>
                                    <w:rPr>
                                      <w:sz w:val="20"/>
                                    </w:rPr>
                                  </w:pPr>
                                  <w:r>
                                    <w:rPr>
                                      <w:spacing w:val="-4"/>
                                      <w:sz w:val="20"/>
                                    </w:rPr>
                                    <w:t>1420</w:t>
                                  </w:r>
                                </w:p>
                              </w:tc>
                              <w:tc>
                                <w:tcPr>
                                  <w:tcW w:w="3146" w:type="dxa"/>
                                </w:tcPr>
                                <w:p>
                                  <w:pPr>
                                    <w:pStyle w:val="TableParagraph"/>
                                    <w:spacing w:line="240" w:lineRule="auto" w:before="109"/>
                                    <w:ind w:left="158"/>
                                    <w:rPr>
                                      <w:i/>
                                      <w:sz w:val="20"/>
                                    </w:rPr>
                                  </w:pPr>
                                  <w:r>
                                    <w:rPr>
                                      <w:i/>
                                      <w:sz w:val="20"/>
                                    </w:rPr>
                                    <w:t>Punjabi</w:t>
                                  </w:r>
                                  <w:r>
                                    <w:rPr>
                                      <w:i/>
                                      <w:spacing w:val="-10"/>
                                      <w:sz w:val="20"/>
                                    </w:rPr>
                                    <w:t> </w:t>
                                  </w:r>
                                  <w:r>
                                    <w:rPr>
                                      <w:i/>
                                      <w:sz w:val="20"/>
                                    </w:rPr>
                                    <w:t>(1420-</w:t>
                                  </w:r>
                                  <w:r>
                                    <w:rPr>
                                      <w:i/>
                                      <w:spacing w:val="-4"/>
                                      <w:sz w:val="20"/>
                                    </w:rPr>
                                    <w:t>1429)</w:t>
                                  </w:r>
                                </w:p>
                                <w:p>
                                  <w:pPr>
                                    <w:pStyle w:val="TableParagraph"/>
                                    <w:spacing w:line="215" w:lineRule="exact" w:before="1"/>
                                    <w:ind w:left="158"/>
                                    <w:rPr>
                                      <w:sz w:val="20"/>
                                    </w:rPr>
                                  </w:pPr>
                                  <w:r>
                                    <w:rPr>
                                      <w:sz w:val="20"/>
                                    </w:rPr>
                                    <w:t>Panjabi</w:t>
                                  </w:r>
                                  <w:r>
                                    <w:rPr>
                                      <w:spacing w:val="-3"/>
                                      <w:sz w:val="20"/>
                                    </w:rPr>
                                    <w:t> </w:t>
                                  </w:r>
                                  <w:r>
                                    <w:rPr>
                                      <w:spacing w:val="-2"/>
                                      <w:sz w:val="20"/>
                                    </w:rPr>
                                    <w:t>(pan)</w:t>
                                  </w:r>
                                </w:p>
                              </w:tc>
                            </w:tr>
                            <w:tr>
                              <w:trPr>
                                <w:trHeight w:val="230" w:hRule="atLeast"/>
                              </w:trPr>
                              <w:tc>
                                <w:tcPr>
                                  <w:tcW w:w="612" w:type="dxa"/>
                                </w:tcPr>
                                <w:p>
                                  <w:pPr>
                                    <w:pStyle w:val="TableParagraph"/>
                                    <w:spacing w:line="211" w:lineRule="exact"/>
                                    <w:ind w:left="50"/>
                                    <w:rPr>
                                      <w:sz w:val="20"/>
                                    </w:rPr>
                                  </w:pPr>
                                  <w:r>
                                    <w:rPr>
                                      <w:spacing w:val="-4"/>
                                      <w:sz w:val="20"/>
                                    </w:rPr>
                                    <w:t>1421</w:t>
                                  </w:r>
                                </w:p>
                              </w:tc>
                              <w:tc>
                                <w:tcPr>
                                  <w:tcW w:w="3146" w:type="dxa"/>
                                </w:tcPr>
                                <w:p>
                                  <w:pPr>
                                    <w:pStyle w:val="TableParagraph"/>
                                    <w:spacing w:line="211" w:lineRule="exact"/>
                                    <w:ind w:left="158"/>
                                    <w:rPr>
                                      <w:sz w:val="20"/>
                                    </w:rPr>
                                  </w:pPr>
                                  <w:r>
                                    <w:rPr>
                                      <w:sz w:val="20"/>
                                    </w:rPr>
                                    <w:t>Lahnda</w:t>
                                  </w:r>
                                  <w:r>
                                    <w:rPr>
                                      <w:spacing w:val="-12"/>
                                      <w:sz w:val="20"/>
                                    </w:rPr>
                                    <w:t> </w:t>
                                  </w:r>
                                  <w:r>
                                    <w:rPr>
                                      <w:sz w:val="20"/>
                                    </w:rPr>
                                    <w:t>(macrolanguage)</w:t>
                                  </w:r>
                                  <w:r>
                                    <w:rPr>
                                      <w:spacing w:val="-9"/>
                                      <w:sz w:val="20"/>
                                    </w:rPr>
                                    <w:t> </w:t>
                                  </w:r>
                                  <w:r>
                                    <w:rPr>
                                      <w:spacing w:val="-4"/>
                                      <w:sz w:val="20"/>
                                    </w:rPr>
                                    <w:t>(lah)</w:t>
                                  </w:r>
                                </w:p>
                              </w:tc>
                            </w:tr>
                            <w:tr>
                              <w:trPr>
                                <w:trHeight w:val="230" w:hRule="atLeast"/>
                              </w:trPr>
                              <w:tc>
                                <w:tcPr>
                                  <w:tcW w:w="612" w:type="dxa"/>
                                </w:tcPr>
                                <w:p>
                                  <w:pPr>
                                    <w:pStyle w:val="TableParagraph"/>
                                    <w:ind w:left="50"/>
                                    <w:rPr>
                                      <w:sz w:val="20"/>
                                    </w:rPr>
                                  </w:pPr>
                                  <w:r>
                                    <w:rPr>
                                      <w:spacing w:val="-4"/>
                                      <w:sz w:val="20"/>
                                    </w:rPr>
                                    <w:t>1422</w:t>
                                  </w:r>
                                </w:p>
                              </w:tc>
                              <w:tc>
                                <w:tcPr>
                                  <w:tcW w:w="3146" w:type="dxa"/>
                                </w:tcPr>
                                <w:p>
                                  <w:pPr>
                                    <w:pStyle w:val="TableParagraph"/>
                                    <w:ind w:left="158"/>
                                    <w:rPr>
                                      <w:sz w:val="20"/>
                                    </w:rPr>
                                  </w:pPr>
                                  <w:r>
                                    <w:rPr>
                                      <w:sz w:val="20"/>
                                    </w:rPr>
                                    <w:t>Western</w:t>
                                  </w:r>
                                  <w:r>
                                    <w:rPr>
                                      <w:spacing w:val="-6"/>
                                      <w:sz w:val="20"/>
                                    </w:rPr>
                                    <w:t> </w:t>
                                  </w:r>
                                  <w:r>
                                    <w:rPr>
                                      <w:sz w:val="20"/>
                                    </w:rPr>
                                    <w:t>Panjabi</w:t>
                                  </w:r>
                                  <w:r>
                                    <w:rPr>
                                      <w:spacing w:val="-3"/>
                                      <w:sz w:val="20"/>
                                    </w:rPr>
                                    <w:t> </w:t>
                                  </w:r>
                                  <w:r>
                                    <w:rPr>
                                      <w:spacing w:val="-4"/>
                                      <w:sz w:val="20"/>
                                    </w:rPr>
                                    <w:t>(pnb)</w:t>
                                  </w:r>
                                </w:p>
                              </w:tc>
                            </w:tr>
                            <w:tr>
                              <w:trPr>
                                <w:trHeight w:val="229" w:hRule="atLeast"/>
                              </w:trPr>
                              <w:tc>
                                <w:tcPr>
                                  <w:tcW w:w="612" w:type="dxa"/>
                                </w:tcPr>
                                <w:p>
                                  <w:pPr>
                                    <w:pStyle w:val="TableParagraph"/>
                                    <w:spacing w:line="209" w:lineRule="exact"/>
                                    <w:ind w:left="50"/>
                                    <w:rPr>
                                      <w:sz w:val="20"/>
                                    </w:rPr>
                                  </w:pPr>
                                  <w:r>
                                    <w:rPr>
                                      <w:spacing w:val="-4"/>
                                      <w:sz w:val="20"/>
                                    </w:rPr>
                                    <w:t>1423</w:t>
                                  </w:r>
                                </w:p>
                              </w:tc>
                              <w:tc>
                                <w:tcPr>
                                  <w:tcW w:w="3146" w:type="dxa"/>
                                </w:tcPr>
                                <w:p>
                                  <w:pPr>
                                    <w:pStyle w:val="TableParagraph"/>
                                    <w:spacing w:line="209" w:lineRule="exact"/>
                                    <w:ind w:left="158"/>
                                    <w:rPr>
                                      <w:sz w:val="20"/>
                                    </w:rPr>
                                  </w:pPr>
                                  <w:r>
                                    <w:rPr>
                                      <w:sz w:val="20"/>
                                    </w:rPr>
                                    <w:t>Pahari-Potwari</w:t>
                                  </w:r>
                                  <w:r>
                                    <w:rPr>
                                      <w:spacing w:val="-12"/>
                                      <w:sz w:val="20"/>
                                    </w:rPr>
                                    <w:t> </w:t>
                                  </w:r>
                                  <w:r>
                                    <w:rPr>
                                      <w:spacing w:val="-4"/>
                                      <w:sz w:val="20"/>
                                    </w:rPr>
                                    <w:t>(phr)</w:t>
                                  </w:r>
                                </w:p>
                              </w:tc>
                            </w:tr>
                            <w:tr>
                              <w:trPr>
                                <w:trHeight w:val="229" w:hRule="atLeast"/>
                              </w:trPr>
                              <w:tc>
                                <w:tcPr>
                                  <w:tcW w:w="612" w:type="dxa"/>
                                </w:tcPr>
                                <w:p>
                                  <w:pPr>
                                    <w:pStyle w:val="TableParagraph"/>
                                    <w:spacing w:line="209" w:lineRule="exact"/>
                                    <w:ind w:left="50"/>
                                    <w:rPr>
                                      <w:sz w:val="20"/>
                                    </w:rPr>
                                  </w:pPr>
                                  <w:r>
                                    <w:rPr>
                                      <w:spacing w:val="-4"/>
                                      <w:sz w:val="20"/>
                                    </w:rPr>
                                    <w:t>1424</w:t>
                                  </w:r>
                                </w:p>
                              </w:tc>
                              <w:tc>
                                <w:tcPr>
                                  <w:tcW w:w="3146" w:type="dxa"/>
                                </w:tcPr>
                                <w:p>
                                  <w:pPr>
                                    <w:pStyle w:val="TableParagraph"/>
                                    <w:spacing w:line="209" w:lineRule="exact"/>
                                    <w:ind w:left="158"/>
                                    <w:rPr>
                                      <w:sz w:val="20"/>
                                    </w:rPr>
                                  </w:pPr>
                                  <w:r>
                                    <w:rPr>
                                      <w:sz w:val="20"/>
                                    </w:rPr>
                                    <w:t>Northern</w:t>
                                  </w:r>
                                  <w:r>
                                    <w:rPr>
                                      <w:spacing w:val="-8"/>
                                      <w:sz w:val="20"/>
                                    </w:rPr>
                                    <w:t> </w:t>
                                  </w:r>
                                  <w:r>
                                    <w:rPr>
                                      <w:sz w:val="20"/>
                                    </w:rPr>
                                    <w:t>Hindko</w:t>
                                  </w:r>
                                  <w:r>
                                    <w:rPr>
                                      <w:spacing w:val="-6"/>
                                      <w:sz w:val="20"/>
                                    </w:rPr>
                                    <w:t> </w:t>
                                  </w:r>
                                  <w:r>
                                    <w:rPr>
                                      <w:spacing w:val="-4"/>
                                      <w:sz w:val="20"/>
                                    </w:rPr>
                                    <w:t>(hno)</w:t>
                                  </w:r>
                                </w:p>
                              </w:tc>
                            </w:tr>
                            <w:tr>
                              <w:trPr>
                                <w:trHeight w:val="230" w:hRule="atLeast"/>
                              </w:trPr>
                              <w:tc>
                                <w:tcPr>
                                  <w:tcW w:w="612" w:type="dxa"/>
                                </w:tcPr>
                                <w:p>
                                  <w:pPr>
                                    <w:pStyle w:val="TableParagraph"/>
                                    <w:ind w:left="50"/>
                                    <w:rPr>
                                      <w:sz w:val="20"/>
                                    </w:rPr>
                                  </w:pPr>
                                  <w:r>
                                    <w:rPr>
                                      <w:spacing w:val="-4"/>
                                      <w:sz w:val="20"/>
                                    </w:rPr>
                                    <w:t>1425</w:t>
                                  </w:r>
                                </w:p>
                              </w:tc>
                              <w:tc>
                                <w:tcPr>
                                  <w:tcW w:w="3146" w:type="dxa"/>
                                </w:tcPr>
                                <w:p>
                                  <w:pPr>
                                    <w:pStyle w:val="TableParagraph"/>
                                    <w:ind w:left="158"/>
                                    <w:rPr>
                                      <w:sz w:val="20"/>
                                    </w:rPr>
                                  </w:pPr>
                                  <w:r>
                                    <w:rPr>
                                      <w:sz w:val="20"/>
                                    </w:rPr>
                                    <w:t>Southern</w:t>
                                  </w:r>
                                  <w:r>
                                    <w:rPr>
                                      <w:spacing w:val="-9"/>
                                      <w:sz w:val="20"/>
                                    </w:rPr>
                                    <w:t> </w:t>
                                  </w:r>
                                  <w:r>
                                    <w:rPr>
                                      <w:sz w:val="20"/>
                                    </w:rPr>
                                    <w:t>Hindko</w:t>
                                  </w:r>
                                  <w:r>
                                    <w:rPr>
                                      <w:spacing w:val="-6"/>
                                      <w:sz w:val="20"/>
                                    </w:rPr>
                                    <w:t> </w:t>
                                  </w:r>
                                  <w:r>
                                    <w:rPr>
                                      <w:spacing w:val="-4"/>
                                      <w:sz w:val="20"/>
                                    </w:rPr>
                                    <w:t>(hnd)</w:t>
                                  </w:r>
                                </w:p>
                              </w:tc>
                            </w:tr>
                            <w:tr>
                              <w:trPr>
                                <w:trHeight w:val="345" w:hRule="atLeast"/>
                              </w:trPr>
                              <w:tc>
                                <w:tcPr>
                                  <w:tcW w:w="612" w:type="dxa"/>
                                </w:tcPr>
                                <w:p>
                                  <w:pPr>
                                    <w:pStyle w:val="TableParagraph"/>
                                    <w:spacing w:line="226" w:lineRule="exact"/>
                                    <w:ind w:left="50"/>
                                    <w:rPr>
                                      <w:sz w:val="20"/>
                                    </w:rPr>
                                  </w:pPr>
                                  <w:r>
                                    <w:rPr>
                                      <w:spacing w:val="-4"/>
                                      <w:sz w:val="20"/>
                                    </w:rPr>
                                    <w:t>1426</w:t>
                                  </w:r>
                                </w:p>
                              </w:tc>
                              <w:tc>
                                <w:tcPr>
                                  <w:tcW w:w="3146" w:type="dxa"/>
                                </w:tcPr>
                                <w:p>
                                  <w:pPr>
                                    <w:pStyle w:val="TableParagraph"/>
                                    <w:spacing w:line="226" w:lineRule="exact"/>
                                    <w:ind w:left="158"/>
                                    <w:rPr>
                                      <w:sz w:val="20"/>
                                    </w:rPr>
                                  </w:pPr>
                                  <w:r>
                                    <w:rPr>
                                      <w:sz w:val="20"/>
                                    </w:rPr>
                                    <w:t>Saraiki</w:t>
                                  </w:r>
                                  <w:r>
                                    <w:rPr>
                                      <w:spacing w:val="-7"/>
                                      <w:sz w:val="20"/>
                                    </w:rPr>
                                    <w:t> </w:t>
                                  </w:r>
                                  <w:r>
                                    <w:rPr>
                                      <w:spacing w:val="-2"/>
                                      <w:sz w:val="20"/>
                                    </w:rPr>
                                    <w:t>(skr)</w:t>
                                  </w:r>
                                </w:p>
                              </w:tc>
                            </w:tr>
                            <w:tr>
                              <w:trPr>
                                <w:trHeight w:val="345" w:hRule="atLeast"/>
                              </w:trPr>
                              <w:tc>
                                <w:tcPr>
                                  <w:tcW w:w="612" w:type="dxa"/>
                                </w:tcPr>
                                <w:p>
                                  <w:pPr>
                                    <w:pStyle w:val="TableParagraph"/>
                                    <w:spacing w:line="215" w:lineRule="exact" w:before="111"/>
                                    <w:ind w:left="50"/>
                                    <w:rPr>
                                      <w:sz w:val="20"/>
                                    </w:rPr>
                                  </w:pPr>
                                  <w:r>
                                    <w:rPr>
                                      <w:spacing w:val="-4"/>
                                      <w:sz w:val="20"/>
                                    </w:rPr>
                                    <w:t>1430</w:t>
                                  </w:r>
                                </w:p>
                              </w:tc>
                              <w:tc>
                                <w:tcPr>
                                  <w:tcW w:w="3146" w:type="dxa"/>
                                </w:tcPr>
                                <w:p>
                                  <w:pPr>
                                    <w:pStyle w:val="TableParagraph"/>
                                    <w:spacing w:line="215" w:lineRule="exact" w:before="111"/>
                                    <w:ind w:left="158"/>
                                    <w:rPr>
                                      <w:sz w:val="20"/>
                                    </w:rPr>
                                  </w:pPr>
                                  <w:r>
                                    <w:rPr>
                                      <w:sz w:val="20"/>
                                    </w:rPr>
                                    <w:t>Goan</w:t>
                                  </w:r>
                                  <w:r>
                                    <w:rPr>
                                      <w:spacing w:val="-7"/>
                                      <w:sz w:val="20"/>
                                    </w:rPr>
                                    <w:t> </w:t>
                                  </w:r>
                                  <w:r>
                                    <w:rPr>
                                      <w:sz w:val="20"/>
                                    </w:rPr>
                                    <w:t>Konkani</w:t>
                                  </w:r>
                                  <w:r>
                                    <w:rPr>
                                      <w:spacing w:val="-6"/>
                                      <w:sz w:val="20"/>
                                    </w:rPr>
                                    <w:t> </w:t>
                                  </w:r>
                                  <w:r>
                                    <w:rPr>
                                      <w:spacing w:val="-4"/>
                                      <w:sz w:val="20"/>
                                    </w:rPr>
                                    <w:t>(gom)</w:t>
                                  </w:r>
                                </w:p>
                              </w:tc>
                            </w:tr>
                            <w:tr>
                              <w:trPr>
                                <w:trHeight w:val="229" w:hRule="atLeast"/>
                              </w:trPr>
                              <w:tc>
                                <w:tcPr>
                                  <w:tcW w:w="612" w:type="dxa"/>
                                </w:tcPr>
                                <w:p>
                                  <w:pPr>
                                    <w:pStyle w:val="TableParagraph"/>
                                    <w:spacing w:line="209" w:lineRule="exact"/>
                                    <w:ind w:left="50"/>
                                    <w:rPr>
                                      <w:sz w:val="20"/>
                                    </w:rPr>
                                  </w:pPr>
                                  <w:r>
                                    <w:rPr>
                                      <w:spacing w:val="-4"/>
                                      <w:sz w:val="20"/>
                                    </w:rPr>
                                    <w:t>1435</w:t>
                                  </w:r>
                                </w:p>
                              </w:tc>
                              <w:tc>
                                <w:tcPr>
                                  <w:tcW w:w="3146" w:type="dxa"/>
                                </w:tcPr>
                                <w:p>
                                  <w:pPr>
                                    <w:pStyle w:val="TableParagraph"/>
                                    <w:spacing w:line="209" w:lineRule="exact"/>
                                    <w:ind w:left="158"/>
                                    <w:rPr>
                                      <w:sz w:val="20"/>
                                    </w:rPr>
                                  </w:pPr>
                                  <w:r>
                                    <w:rPr>
                                      <w:sz w:val="20"/>
                                    </w:rPr>
                                    <w:t>Konkani</w:t>
                                  </w:r>
                                  <w:r>
                                    <w:rPr>
                                      <w:spacing w:val="-10"/>
                                      <w:sz w:val="20"/>
                                    </w:rPr>
                                    <w:t> </w:t>
                                  </w:r>
                                  <w:r>
                                    <w:rPr>
                                      <w:sz w:val="20"/>
                                    </w:rPr>
                                    <w:t>(individual</w:t>
                                  </w:r>
                                  <w:r>
                                    <w:rPr>
                                      <w:spacing w:val="-10"/>
                                      <w:sz w:val="20"/>
                                    </w:rPr>
                                    <w:t> </w:t>
                                  </w:r>
                                  <w:r>
                                    <w:rPr>
                                      <w:sz w:val="20"/>
                                    </w:rPr>
                                    <w:t>language)</w:t>
                                  </w:r>
                                  <w:r>
                                    <w:rPr>
                                      <w:spacing w:val="-4"/>
                                      <w:sz w:val="20"/>
                                    </w:rPr>
                                    <w:t> (knn)</w:t>
                                  </w:r>
                                </w:p>
                              </w:tc>
                            </w:tr>
                            <w:tr>
                              <w:trPr>
                                <w:trHeight w:val="229" w:hRule="atLeast"/>
                              </w:trPr>
                              <w:tc>
                                <w:tcPr>
                                  <w:tcW w:w="612" w:type="dxa"/>
                                </w:tcPr>
                                <w:p>
                                  <w:pPr>
                                    <w:pStyle w:val="TableParagraph"/>
                                    <w:spacing w:line="209" w:lineRule="exact"/>
                                    <w:ind w:left="50"/>
                                    <w:rPr>
                                      <w:sz w:val="20"/>
                                    </w:rPr>
                                  </w:pPr>
                                  <w:r>
                                    <w:rPr>
                                      <w:spacing w:val="-4"/>
                                      <w:sz w:val="20"/>
                                    </w:rPr>
                                    <w:t>1440</w:t>
                                  </w:r>
                                </w:p>
                              </w:tc>
                              <w:tc>
                                <w:tcPr>
                                  <w:tcW w:w="3146" w:type="dxa"/>
                                </w:tcPr>
                                <w:p>
                                  <w:pPr>
                                    <w:pStyle w:val="TableParagraph"/>
                                    <w:spacing w:line="209" w:lineRule="exact"/>
                                    <w:ind w:left="158"/>
                                    <w:rPr>
                                      <w:sz w:val="20"/>
                                    </w:rPr>
                                  </w:pPr>
                                  <w:r>
                                    <w:rPr>
                                      <w:sz w:val="20"/>
                                    </w:rPr>
                                    <w:t>Marathi</w:t>
                                  </w:r>
                                  <w:r>
                                    <w:rPr>
                                      <w:spacing w:val="-8"/>
                                      <w:sz w:val="20"/>
                                    </w:rPr>
                                    <w:t> </w:t>
                                  </w:r>
                                  <w:r>
                                    <w:rPr>
                                      <w:spacing w:val="-2"/>
                                      <w:sz w:val="20"/>
                                    </w:rPr>
                                    <w:t>(mar)</w:t>
                                  </w:r>
                                </w:p>
                              </w:tc>
                            </w:tr>
                            <w:tr>
                              <w:trPr>
                                <w:trHeight w:val="230" w:hRule="atLeast"/>
                              </w:trPr>
                              <w:tc>
                                <w:tcPr>
                                  <w:tcW w:w="612" w:type="dxa"/>
                                </w:tcPr>
                                <w:p>
                                  <w:pPr>
                                    <w:pStyle w:val="TableParagraph"/>
                                    <w:ind w:left="50"/>
                                    <w:rPr>
                                      <w:sz w:val="20"/>
                                    </w:rPr>
                                  </w:pPr>
                                  <w:r>
                                    <w:rPr>
                                      <w:spacing w:val="-4"/>
                                      <w:sz w:val="20"/>
                                    </w:rPr>
                                    <w:t>1442</w:t>
                                  </w:r>
                                </w:p>
                              </w:tc>
                              <w:tc>
                                <w:tcPr>
                                  <w:tcW w:w="3146" w:type="dxa"/>
                                </w:tcPr>
                                <w:p>
                                  <w:pPr>
                                    <w:pStyle w:val="TableParagraph"/>
                                    <w:ind w:left="158"/>
                                    <w:rPr>
                                      <w:sz w:val="20"/>
                                    </w:rPr>
                                  </w:pPr>
                                  <w:r>
                                    <w:rPr>
                                      <w:sz w:val="20"/>
                                    </w:rPr>
                                    <w:t>Od</w:t>
                                  </w:r>
                                  <w:r>
                                    <w:rPr>
                                      <w:spacing w:val="-2"/>
                                      <w:sz w:val="20"/>
                                    </w:rPr>
                                    <w:t> (odk)</w:t>
                                  </w:r>
                                </w:p>
                              </w:tc>
                            </w:tr>
                            <w:tr>
                              <w:trPr>
                                <w:trHeight w:val="230" w:hRule="atLeast"/>
                              </w:trPr>
                              <w:tc>
                                <w:tcPr>
                                  <w:tcW w:w="612" w:type="dxa"/>
                                </w:tcPr>
                                <w:p>
                                  <w:pPr>
                                    <w:pStyle w:val="TableParagraph"/>
                                    <w:ind w:left="50"/>
                                    <w:rPr>
                                      <w:sz w:val="20"/>
                                    </w:rPr>
                                  </w:pPr>
                                  <w:r>
                                    <w:rPr>
                                      <w:spacing w:val="-4"/>
                                      <w:sz w:val="20"/>
                                    </w:rPr>
                                    <w:t>1450</w:t>
                                  </w:r>
                                </w:p>
                              </w:tc>
                              <w:tc>
                                <w:tcPr>
                                  <w:tcW w:w="3146" w:type="dxa"/>
                                </w:tcPr>
                                <w:p>
                                  <w:pPr>
                                    <w:pStyle w:val="TableParagraph"/>
                                    <w:ind w:left="158"/>
                                    <w:rPr>
                                      <w:sz w:val="20"/>
                                    </w:rPr>
                                  </w:pPr>
                                  <w:r>
                                    <w:rPr>
                                      <w:sz w:val="20"/>
                                    </w:rPr>
                                    <w:t>Gujarati</w:t>
                                  </w:r>
                                  <w:r>
                                    <w:rPr>
                                      <w:spacing w:val="-5"/>
                                      <w:sz w:val="20"/>
                                    </w:rPr>
                                    <w:t> </w:t>
                                  </w:r>
                                  <w:r>
                                    <w:rPr>
                                      <w:spacing w:val="-2"/>
                                      <w:sz w:val="20"/>
                                    </w:rPr>
                                    <w:t>(guj)</w:t>
                                  </w:r>
                                </w:p>
                              </w:tc>
                            </w:tr>
                            <w:tr>
                              <w:trPr>
                                <w:trHeight w:val="230" w:hRule="atLeast"/>
                              </w:trPr>
                              <w:tc>
                                <w:tcPr>
                                  <w:tcW w:w="612" w:type="dxa"/>
                                </w:tcPr>
                                <w:p>
                                  <w:pPr>
                                    <w:pStyle w:val="TableParagraph"/>
                                    <w:ind w:left="50"/>
                                    <w:rPr>
                                      <w:sz w:val="20"/>
                                    </w:rPr>
                                  </w:pPr>
                                  <w:r>
                                    <w:rPr>
                                      <w:spacing w:val="-4"/>
                                      <w:sz w:val="20"/>
                                    </w:rPr>
                                    <w:t>1455</w:t>
                                  </w:r>
                                </w:p>
                              </w:tc>
                              <w:tc>
                                <w:tcPr>
                                  <w:tcW w:w="3146" w:type="dxa"/>
                                </w:tcPr>
                                <w:p>
                                  <w:pPr>
                                    <w:pStyle w:val="TableParagraph"/>
                                    <w:ind w:left="158"/>
                                    <w:rPr>
                                      <w:sz w:val="20"/>
                                    </w:rPr>
                                  </w:pPr>
                                  <w:r>
                                    <w:rPr>
                                      <w:sz w:val="20"/>
                                    </w:rPr>
                                    <w:t>Saurashtra</w:t>
                                  </w:r>
                                  <w:r>
                                    <w:rPr>
                                      <w:spacing w:val="-11"/>
                                      <w:sz w:val="20"/>
                                    </w:rPr>
                                    <w:t> </w:t>
                                  </w:r>
                                  <w:r>
                                    <w:rPr>
                                      <w:spacing w:val="-4"/>
                                      <w:sz w:val="20"/>
                                    </w:rPr>
                                    <w:t>(saz)</w:t>
                                  </w:r>
                                </w:p>
                              </w:tc>
                            </w:tr>
                            <w:tr>
                              <w:trPr>
                                <w:trHeight w:val="230" w:hRule="atLeast"/>
                              </w:trPr>
                              <w:tc>
                                <w:tcPr>
                                  <w:tcW w:w="612" w:type="dxa"/>
                                </w:tcPr>
                                <w:p>
                                  <w:pPr>
                                    <w:pStyle w:val="TableParagraph"/>
                                    <w:ind w:left="50"/>
                                    <w:rPr>
                                      <w:sz w:val="20"/>
                                    </w:rPr>
                                  </w:pPr>
                                  <w:r>
                                    <w:rPr>
                                      <w:spacing w:val="-4"/>
                                      <w:sz w:val="20"/>
                                    </w:rPr>
                                    <w:t>1460</w:t>
                                  </w:r>
                                </w:p>
                              </w:tc>
                              <w:tc>
                                <w:tcPr>
                                  <w:tcW w:w="3146" w:type="dxa"/>
                                </w:tcPr>
                                <w:p>
                                  <w:pPr>
                                    <w:pStyle w:val="TableParagraph"/>
                                    <w:ind w:left="158"/>
                                    <w:rPr>
                                      <w:sz w:val="20"/>
                                    </w:rPr>
                                  </w:pPr>
                                  <w:r>
                                    <w:rPr>
                                      <w:sz w:val="20"/>
                                    </w:rPr>
                                    <w:t>Bhojpuri</w:t>
                                  </w:r>
                                  <w:r>
                                    <w:rPr>
                                      <w:spacing w:val="-6"/>
                                      <w:sz w:val="20"/>
                                    </w:rPr>
                                    <w:t> </w:t>
                                  </w:r>
                                  <w:r>
                                    <w:rPr>
                                      <w:spacing w:val="-2"/>
                                      <w:sz w:val="20"/>
                                    </w:rPr>
                                    <w:t>(bho)</w:t>
                                  </w:r>
                                </w:p>
                              </w:tc>
                            </w:tr>
                            <w:tr>
                              <w:trPr>
                                <w:trHeight w:val="229" w:hRule="atLeast"/>
                              </w:trPr>
                              <w:tc>
                                <w:tcPr>
                                  <w:tcW w:w="612" w:type="dxa"/>
                                </w:tcPr>
                                <w:p>
                                  <w:pPr>
                                    <w:pStyle w:val="TableParagraph"/>
                                    <w:spacing w:line="209" w:lineRule="exact"/>
                                    <w:ind w:left="50"/>
                                    <w:rPr>
                                      <w:sz w:val="20"/>
                                    </w:rPr>
                                  </w:pPr>
                                  <w:r>
                                    <w:rPr>
                                      <w:spacing w:val="-4"/>
                                      <w:sz w:val="20"/>
                                    </w:rPr>
                                    <w:t>1463</w:t>
                                  </w:r>
                                </w:p>
                              </w:tc>
                              <w:tc>
                                <w:tcPr>
                                  <w:tcW w:w="3146" w:type="dxa"/>
                                </w:tcPr>
                                <w:p>
                                  <w:pPr>
                                    <w:pStyle w:val="TableParagraph"/>
                                    <w:spacing w:line="209" w:lineRule="exact"/>
                                    <w:ind w:left="158"/>
                                    <w:rPr>
                                      <w:sz w:val="20"/>
                                    </w:rPr>
                                  </w:pPr>
                                  <w:r>
                                    <w:rPr>
                                      <w:sz w:val="20"/>
                                    </w:rPr>
                                    <w:t>Magahi</w:t>
                                  </w:r>
                                  <w:r>
                                    <w:rPr>
                                      <w:spacing w:val="-8"/>
                                      <w:sz w:val="20"/>
                                    </w:rPr>
                                    <w:t> </w:t>
                                  </w:r>
                                  <w:r>
                                    <w:rPr>
                                      <w:spacing w:val="-2"/>
                                      <w:sz w:val="20"/>
                                    </w:rPr>
                                    <w:t>(mag)</w:t>
                                  </w:r>
                                </w:p>
                              </w:tc>
                            </w:tr>
                            <w:tr>
                              <w:trPr>
                                <w:trHeight w:val="229" w:hRule="atLeast"/>
                              </w:trPr>
                              <w:tc>
                                <w:tcPr>
                                  <w:tcW w:w="612" w:type="dxa"/>
                                </w:tcPr>
                                <w:p>
                                  <w:pPr>
                                    <w:pStyle w:val="TableParagraph"/>
                                    <w:ind w:left="50"/>
                                    <w:rPr>
                                      <w:sz w:val="20"/>
                                    </w:rPr>
                                  </w:pPr>
                                  <w:r>
                                    <w:rPr>
                                      <w:spacing w:val="-4"/>
                                      <w:sz w:val="20"/>
                                    </w:rPr>
                                    <w:t>1467</w:t>
                                  </w:r>
                                </w:p>
                              </w:tc>
                              <w:tc>
                                <w:tcPr>
                                  <w:tcW w:w="3146" w:type="dxa"/>
                                </w:tcPr>
                                <w:p>
                                  <w:pPr>
                                    <w:pStyle w:val="TableParagraph"/>
                                    <w:ind w:left="158"/>
                                    <w:rPr>
                                      <w:sz w:val="20"/>
                                    </w:rPr>
                                  </w:pPr>
                                  <w:r>
                                    <w:rPr>
                                      <w:sz w:val="20"/>
                                    </w:rPr>
                                    <w:t>Maithili</w:t>
                                  </w:r>
                                  <w:r>
                                    <w:rPr>
                                      <w:spacing w:val="-8"/>
                                      <w:sz w:val="20"/>
                                    </w:rPr>
                                    <w:t> </w:t>
                                  </w:r>
                                  <w:r>
                                    <w:rPr>
                                      <w:spacing w:val="-2"/>
                                      <w:sz w:val="20"/>
                                    </w:rPr>
                                    <w:t>(mai)</w:t>
                                  </w:r>
                                </w:p>
                              </w:tc>
                            </w:tr>
                            <w:tr>
                              <w:trPr>
                                <w:trHeight w:val="230" w:hRule="atLeast"/>
                              </w:trPr>
                              <w:tc>
                                <w:tcPr>
                                  <w:tcW w:w="612" w:type="dxa"/>
                                </w:tcPr>
                                <w:p>
                                  <w:pPr>
                                    <w:pStyle w:val="TableParagraph"/>
                                    <w:ind w:left="50"/>
                                    <w:rPr>
                                      <w:sz w:val="20"/>
                                    </w:rPr>
                                  </w:pPr>
                                  <w:r>
                                    <w:rPr>
                                      <w:spacing w:val="-4"/>
                                      <w:sz w:val="20"/>
                                    </w:rPr>
                                    <w:t>1470</w:t>
                                  </w:r>
                                </w:p>
                              </w:tc>
                              <w:tc>
                                <w:tcPr>
                                  <w:tcW w:w="3146" w:type="dxa"/>
                                </w:tcPr>
                                <w:p>
                                  <w:pPr>
                                    <w:pStyle w:val="TableParagraph"/>
                                    <w:ind w:left="158"/>
                                    <w:rPr>
                                      <w:sz w:val="20"/>
                                    </w:rPr>
                                  </w:pPr>
                                  <w:r>
                                    <w:rPr>
                                      <w:sz w:val="20"/>
                                    </w:rPr>
                                    <w:t>Rajasthani</w:t>
                                  </w:r>
                                  <w:r>
                                    <w:rPr>
                                      <w:spacing w:val="-10"/>
                                      <w:sz w:val="20"/>
                                    </w:rPr>
                                    <w:t> </w:t>
                                  </w:r>
                                  <w:r>
                                    <w:rPr>
                                      <w:spacing w:val="-2"/>
                                      <w:sz w:val="20"/>
                                    </w:rPr>
                                    <w:t>(raj)</w:t>
                                  </w:r>
                                </w:p>
                              </w:tc>
                            </w:tr>
                            <w:tr>
                              <w:trPr>
                                <w:trHeight w:val="230" w:hRule="atLeast"/>
                              </w:trPr>
                              <w:tc>
                                <w:tcPr>
                                  <w:tcW w:w="612" w:type="dxa"/>
                                </w:tcPr>
                                <w:p>
                                  <w:pPr>
                                    <w:pStyle w:val="TableParagraph"/>
                                    <w:ind w:left="50"/>
                                    <w:rPr>
                                      <w:sz w:val="20"/>
                                    </w:rPr>
                                  </w:pPr>
                                  <w:r>
                                    <w:rPr>
                                      <w:spacing w:val="-4"/>
                                      <w:sz w:val="20"/>
                                    </w:rPr>
                                    <w:t>1472</w:t>
                                  </w:r>
                                </w:p>
                              </w:tc>
                              <w:tc>
                                <w:tcPr>
                                  <w:tcW w:w="3146" w:type="dxa"/>
                                </w:tcPr>
                                <w:p>
                                  <w:pPr>
                                    <w:pStyle w:val="TableParagraph"/>
                                    <w:ind w:left="158"/>
                                    <w:rPr>
                                      <w:sz w:val="20"/>
                                    </w:rPr>
                                  </w:pPr>
                                  <w:r>
                                    <w:rPr>
                                      <w:sz w:val="20"/>
                                    </w:rPr>
                                    <w:t>Bagri</w:t>
                                  </w:r>
                                  <w:r>
                                    <w:rPr>
                                      <w:spacing w:val="-5"/>
                                      <w:sz w:val="20"/>
                                    </w:rPr>
                                    <w:t> </w:t>
                                  </w:r>
                                  <w:r>
                                    <w:rPr>
                                      <w:spacing w:val="-2"/>
                                      <w:sz w:val="20"/>
                                    </w:rPr>
                                    <w:t>(bgq)</w:t>
                                  </w:r>
                                </w:p>
                              </w:tc>
                            </w:tr>
                            <w:tr>
                              <w:trPr>
                                <w:trHeight w:val="230" w:hRule="atLeast"/>
                              </w:trPr>
                              <w:tc>
                                <w:tcPr>
                                  <w:tcW w:w="612" w:type="dxa"/>
                                </w:tcPr>
                                <w:p>
                                  <w:pPr>
                                    <w:pStyle w:val="TableParagraph"/>
                                    <w:ind w:left="50"/>
                                    <w:rPr>
                                      <w:sz w:val="20"/>
                                    </w:rPr>
                                  </w:pPr>
                                  <w:r>
                                    <w:rPr>
                                      <w:spacing w:val="-4"/>
                                      <w:sz w:val="20"/>
                                    </w:rPr>
                                    <w:t>1474</w:t>
                                  </w:r>
                                </w:p>
                              </w:tc>
                              <w:tc>
                                <w:tcPr>
                                  <w:tcW w:w="3146" w:type="dxa"/>
                                </w:tcPr>
                                <w:p>
                                  <w:pPr>
                                    <w:pStyle w:val="TableParagraph"/>
                                    <w:ind w:left="158"/>
                                    <w:rPr>
                                      <w:sz w:val="20"/>
                                    </w:rPr>
                                  </w:pPr>
                                  <w:r>
                                    <w:rPr>
                                      <w:sz w:val="20"/>
                                    </w:rPr>
                                    <w:t>Dhatki</w:t>
                                  </w:r>
                                  <w:r>
                                    <w:rPr>
                                      <w:spacing w:val="-7"/>
                                      <w:sz w:val="20"/>
                                    </w:rPr>
                                    <w:t> </w:t>
                                  </w:r>
                                  <w:r>
                                    <w:rPr>
                                      <w:spacing w:val="-2"/>
                                      <w:sz w:val="20"/>
                                    </w:rPr>
                                    <w:t>(mki)</w:t>
                                  </w:r>
                                </w:p>
                              </w:tc>
                            </w:tr>
                            <w:tr>
                              <w:trPr>
                                <w:trHeight w:val="229" w:hRule="atLeast"/>
                              </w:trPr>
                              <w:tc>
                                <w:tcPr>
                                  <w:tcW w:w="612" w:type="dxa"/>
                                </w:tcPr>
                                <w:p>
                                  <w:pPr>
                                    <w:pStyle w:val="TableParagraph"/>
                                    <w:spacing w:line="209" w:lineRule="exact"/>
                                    <w:ind w:left="50"/>
                                    <w:rPr>
                                      <w:sz w:val="20"/>
                                    </w:rPr>
                                  </w:pPr>
                                  <w:r>
                                    <w:rPr>
                                      <w:spacing w:val="-4"/>
                                      <w:sz w:val="20"/>
                                    </w:rPr>
                                    <w:t>1478</w:t>
                                  </w:r>
                                </w:p>
                              </w:tc>
                              <w:tc>
                                <w:tcPr>
                                  <w:tcW w:w="3146" w:type="dxa"/>
                                </w:tcPr>
                                <w:p>
                                  <w:pPr>
                                    <w:pStyle w:val="TableParagraph"/>
                                    <w:spacing w:line="209" w:lineRule="exact"/>
                                    <w:ind w:left="158"/>
                                    <w:rPr>
                                      <w:sz w:val="20"/>
                                    </w:rPr>
                                  </w:pPr>
                                  <w:r>
                                    <w:rPr>
                                      <w:sz w:val="20"/>
                                    </w:rPr>
                                    <w:t>Lambadi</w:t>
                                  </w:r>
                                  <w:r>
                                    <w:rPr>
                                      <w:spacing w:val="-9"/>
                                      <w:sz w:val="20"/>
                                    </w:rPr>
                                    <w:t> </w:t>
                                  </w:r>
                                  <w:r>
                                    <w:rPr>
                                      <w:spacing w:val="-2"/>
                                      <w:sz w:val="20"/>
                                    </w:rPr>
                                    <w:t>(lmn)</w:t>
                                  </w:r>
                                </w:p>
                              </w:tc>
                            </w:tr>
                            <w:tr>
                              <w:trPr>
                                <w:trHeight w:val="229" w:hRule="atLeast"/>
                              </w:trPr>
                              <w:tc>
                                <w:tcPr>
                                  <w:tcW w:w="612" w:type="dxa"/>
                                </w:tcPr>
                                <w:p>
                                  <w:pPr>
                                    <w:pStyle w:val="TableParagraph"/>
                                    <w:spacing w:line="209" w:lineRule="exact"/>
                                    <w:ind w:left="50"/>
                                    <w:rPr>
                                      <w:sz w:val="20"/>
                                    </w:rPr>
                                  </w:pPr>
                                  <w:r>
                                    <w:rPr>
                                      <w:spacing w:val="-4"/>
                                      <w:sz w:val="20"/>
                                    </w:rPr>
                                    <w:t>1480</w:t>
                                  </w:r>
                                </w:p>
                              </w:tc>
                              <w:tc>
                                <w:tcPr>
                                  <w:tcW w:w="3146" w:type="dxa"/>
                                </w:tcPr>
                                <w:p>
                                  <w:pPr>
                                    <w:pStyle w:val="TableParagraph"/>
                                    <w:spacing w:line="209" w:lineRule="exact"/>
                                    <w:ind w:left="158"/>
                                    <w:rPr>
                                      <w:sz w:val="20"/>
                                    </w:rPr>
                                  </w:pPr>
                                  <w:r>
                                    <w:rPr>
                                      <w:sz w:val="20"/>
                                    </w:rPr>
                                    <w:t>Marwari</w:t>
                                  </w:r>
                                  <w:r>
                                    <w:rPr>
                                      <w:spacing w:val="-9"/>
                                      <w:sz w:val="20"/>
                                    </w:rPr>
                                    <w:t> </w:t>
                                  </w:r>
                                  <w:r>
                                    <w:rPr>
                                      <w:spacing w:val="-2"/>
                                      <w:sz w:val="20"/>
                                    </w:rPr>
                                    <w:t>(mwr)</w:t>
                                  </w:r>
                                </w:p>
                              </w:tc>
                            </w:tr>
                            <w:tr>
                              <w:trPr>
                                <w:trHeight w:val="230" w:hRule="atLeast"/>
                              </w:trPr>
                              <w:tc>
                                <w:tcPr>
                                  <w:tcW w:w="612" w:type="dxa"/>
                                </w:tcPr>
                                <w:p>
                                  <w:pPr>
                                    <w:pStyle w:val="TableParagraph"/>
                                    <w:ind w:left="50"/>
                                    <w:rPr>
                                      <w:sz w:val="20"/>
                                    </w:rPr>
                                  </w:pPr>
                                  <w:r>
                                    <w:rPr>
                                      <w:spacing w:val="-4"/>
                                      <w:sz w:val="20"/>
                                    </w:rPr>
                                    <w:t>1481</w:t>
                                  </w:r>
                                </w:p>
                              </w:tc>
                              <w:tc>
                                <w:tcPr>
                                  <w:tcW w:w="3146" w:type="dxa"/>
                                </w:tcPr>
                                <w:p>
                                  <w:pPr>
                                    <w:pStyle w:val="TableParagraph"/>
                                    <w:ind w:left="158"/>
                                    <w:rPr>
                                      <w:sz w:val="20"/>
                                    </w:rPr>
                                  </w:pPr>
                                  <w:r>
                                    <w:rPr>
                                      <w:sz w:val="20"/>
                                    </w:rPr>
                                    <w:t>Marwari</w:t>
                                  </w:r>
                                  <w:r>
                                    <w:rPr>
                                      <w:spacing w:val="-8"/>
                                      <w:sz w:val="20"/>
                                    </w:rPr>
                                    <w:t> </w:t>
                                  </w:r>
                                  <w:r>
                                    <w:rPr>
                                      <w:sz w:val="20"/>
                                    </w:rPr>
                                    <w:t>(India)</w:t>
                                  </w:r>
                                  <w:r>
                                    <w:rPr>
                                      <w:spacing w:val="-5"/>
                                      <w:sz w:val="20"/>
                                    </w:rPr>
                                    <w:t> </w:t>
                                  </w:r>
                                  <w:r>
                                    <w:rPr>
                                      <w:spacing w:val="-4"/>
                                      <w:sz w:val="20"/>
                                    </w:rPr>
                                    <w:t>(rwr)</w:t>
                                  </w:r>
                                </w:p>
                              </w:tc>
                            </w:tr>
                            <w:tr>
                              <w:trPr>
                                <w:trHeight w:val="230" w:hRule="atLeast"/>
                              </w:trPr>
                              <w:tc>
                                <w:tcPr>
                                  <w:tcW w:w="612" w:type="dxa"/>
                                </w:tcPr>
                                <w:p>
                                  <w:pPr>
                                    <w:pStyle w:val="TableParagraph"/>
                                    <w:ind w:left="50"/>
                                    <w:rPr>
                                      <w:sz w:val="20"/>
                                    </w:rPr>
                                  </w:pPr>
                                  <w:r>
                                    <w:rPr>
                                      <w:spacing w:val="-4"/>
                                      <w:sz w:val="20"/>
                                    </w:rPr>
                                    <w:t>1482</w:t>
                                  </w:r>
                                </w:p>
                              </w:tc>
                              <w:tc>
                                <w:tcPr>
                                  <w:tcW w:w="3146" w:type="dxa"/>
                                </w:tcPr>
                                <w:p>
                                  <w:pPr>
                                    <w:pStyle w:val="TableParagraph"/>
                                    <w:ind w:left="158"/>
                                    <w:rPr>
                                      <w:sz w:val="20"/>
                                    </w:rPr>
                                  </w:pPr>
                                  <w:r>
                                    <w:rPr>
                                      <w:sz w:val="20"/>
                                    </w:rPr>
                                    <w:t>Dhundari</w:t>
                                  </w:r>
                                  <w:r>
                                    <w:rPr>
                                      <w:spacing w:val="-9"/>
                                      <w:sz w:val="20"/>
                                    </w:rPr>
                                    <w:t> </w:t>
                                  </w:r>
                                  <w:r>
                                    <w:rPr>
                                      <w:spacing w:val="-2"/>
                                      <w:sz w:val="20"/>
                                    </w:rPr>
                                    <w:t>(dhd)</w:t>
                                  </w:r>
                                </w:p>
                              </w:tc>
                            </w:tr>
                            <w:tr>
                              <w:trPr>
                                <w:trHeight w:val="230" w:hRule="atLeast"/>
                              </w:trPr>
                              <w:tc>
                                <w:tcPr>
                                  <w:tcW w:w="612" w:type="dxa"/>
                                </w:tcPr>
                                <w:p>
                                  <w:pPr>
                                    <w:pStyle w:val="TableParagraph"/>
                                    <w:ind w:left="50"/>
                                    <w:rPr>
                                      <w:sz w:val="20"/>
                                    </w:rPr>
                                  </w:pPr>
                                  <w:r>
                                    <w:rPr>
                                      <w:spacing w:val="-4"/>
                                      <w:sz w:val="20"/>
                                    </w:rPr>
                                    <w:t>1486</w:t>
                                  </w:r>
                                </w:p>
                              </w:tc>
                              <w:tc>
                                <w:tcPr>
                                  <w:tcW w:w="3146" w:type="dxa"/>
                                </w:tcPr>
                                <w:p>
                                  <w:pPr>
                                    <w:pStyle w:val="TableParagraph"/>
                                    <w:ind w:left="158"/>
                                    <w:rPr>
                                      <w:sz w:val="20"/>
                                    </w:rPr>
                                  </w:pPr>
                                  <w:r>
                                    <w:rPr>
                                      <w:sz w:val="20"/>
                                    </w:rPr>
                                    <w:t>Bodo</w:t>
                                  </w:r>
                                  <w:r>
                                    <w:rPr>
                                      <w:spacing w:val="-4"/>
                                      <w:sz w:val="20"/>
                                    </w:rPr>
                                    <w:t> </w:t>
                                  </w:r>
                                  <w:r>
                                    <w:rPr>
                                      <w:sz w:val="20"/>
                                    </w:rPr>
                                    <w:t>Parja</w:t>
                                  </w:r>
                                  <w:r>
                                    <w:rPr>
                                      <w:spacing w:val="-3"/>
                                      <w:sz w:val="20"/>
                                    </w:rPr>
                                    <w:t> </w:t>
                                  </w:r>
                                  <w:r>
                                    <w:rPr>
                                      <w:spacing w:val="-2"/>
                                      <w:sz w:val="20"/>
                                    </w:rPr>
                                    <w:t>(bdv)</w:t>
                                  </w:r>
                                </w:p>
                              </w:tc>
                            </w:tr>
                            <w:tr>
                              <w:trPr>
                                <w:trHeight w:val="230" w:hRule="atLeast"/>
                              </w:trPr>
                              <w:tc>
                                <w:tcPr>
                                  <w:tcW w:w="612" w:type="dxa"/>
                                </w:tcPr>
                                <w:p>
                                  <w:pPr>
                                    <w:pStyle w:val="TableParagraph"/>
                                    <w:ind w:left="50"/>
                                    <w:rPr>
                                      <w:sz w:val="20"/>
                                    </w:rPr>
                                  </w:pPr>
                                  <w:r>
                                    <w:rPr>
                                      <w:spacing w:val="-4"/>
                                      <w:sz w:val="20"/>
                                    </w:rPr>
                                    <w:t>1488</w:t>
                                  </w:r>
                                </w:p>
                              </w:tc>
                              <w:tc>
                                <w:tcPr>
                                  <w:tcW w:w="3146" w:type="dxa"/>
                                </w:tcPr>
                                <w:p>
                                  <w:pPr>
                                    <w:pStyle w:val="TableParagraph"/>
                                    <w:ind w:left="158"/>
                                    <w:rPr>
                                      <w:sz w:val="20"/>
                                    </w:rPr>
                                  </w:pPr>
                                  <w:r>
                                    <w:rPr>
                                      <w:sz w:val="20"/>
                                    </w:rPr>
                                    <w:t>Desiya</w:t>
                                  </w:r>
                                  <w:r>
                                    <w:rPr>
                                      <w:spacing w:val="-8"/>
                                      <w:sz w:val="20"/>
                                    </w:rPr>
                                    <w:t> </w:t>
                                  </w:r>
                                  <w:r>
                                    <w:rPr>
                                      <w:spacing w:val="-2"/>
                                      <w:sz w:val="20"/>
                                    </w:rPr>
                                    <w:t>(dso)</w:t>
                                  </w:r>
                                </w:p>
                              </w:tc>
                            </w:tr>
                            <w:tr>
                              <w:trPr>
                                <w:trHeight w:val="225" w:hRule="atLeast"/>
                              </w:trPr>
                              <w:tc>
                                <w:tcPr>
                                  <w:tcW w:w="612" w:type="dxa"/>
                                </w:tcPr>
                                <w:p>
                                  <w:pPr>
                                    <w:pStyle w:val="TableParagraph"/>
                                    <w:spacing w:line="205" w:lineRule="exact"/>
                                    <w:ind w:left="50"/>
                                    <w:rPr>
                                      <w:sz w:val="20"/>
                                    </w:rPr>
                                  </w:pPr>
                                  <w:r>
                                    <w:rPr>
                                      <w:spacing w:val="-4"/>
                                      <w:sz w:val="20"/>
                                    </w:rPr>
                                    <w:t>1490</w:t>
                                  </w:r>
                                </w:p>
                              </w:tc>
                              <w:tc>
                                <w:tcPr>
                                  <w:tcW w:w="3146" w:type="dxa"/>
                                </w:tcPr>
                                <w:p>
                                  <w:pPr>
                                    <w:pStyle w:val="TableParagraph"/>
                                    <w:spacing w:line="205" w:lineRule="exact"/>
                                    <w:ind w:left="158"/>
                                    <w:rPr>
                                      <w:sz w:val="20"/>
                                    </w:rPr>
                                  </w:pPr>
                                  <w:r>
                                    <w:rPr>
                                      <w:sz w:val="20"/>
                                    </w:rPr>
                                    <w:t>Oriya</w:t>
                                  </w:r>
                                  <w:r>
                                    <w:rPr>
                                      <w:spacing w:val="-9"/>
                                      <w:sz w:val="20"/>
                                    </w:rPr>
                                    <w:t> </w:t>
                                  </w:r>
                                  <w:r>
                                    <w:rPr>
                                      <w:sz w:val="20"/>
                                    </w:rPr>
                                    <w:t>(individual</w:t>
                                  </w:r>
                                  <w:r>
                                    <w:rPr>
                                      <w:spacing w:val="-9"/>
                                      <w:sz w:val="20"/>
                                    </w:rPr>
                                    <w:t> </w:t>
                                  </w:r>
                                  <w:r>
                                    <w:rPr>
                                      <w:sz w:val="20"/>
                                    </w:rPr>
                                    <w:t>language)</w:t>
                                  </w:r>
                                  <w:r>
                                    <w:rPr>
                                      <w:spacing w:val="-6"/>
                                      <w:sz w:val="20"/>
                                    </w:rPr>
                                    <w:t> </w:t>
                                  </w:r>
                                  <w:r>
                                    <w:rPr>
                                      <w:spacing w:val="-4"/>
                                      <w:sz w:val="20"/>
                                    </w:rPr>
                                    <w:t>(ory)</w:t>
                                  </w:r>
                                </w:p>
                              </w:tc>
                            </w:tr>
                          </w:tbl>
                          <w:p>
                            <w:pPr>
                              <w:pStyle w:val="BodyText"/>
                            </w:pPr>
                          </w:p>
                        </w:txbxContent>
                      </wps:txbx>
                      <wps:bodyPr wrap="square" lIns="0" tIns="0" rIns="0" bIns="0" rtlCol="0">
                        <a:noAutofit/>
                      </wps:bodyPr>
                    </wps:wsp>
                  </a:graphicData>
                </a:graphic>
              </wp:anchor>
            </w:drawing>
          </mc:Choice>
          <mc:Fallback>
            <w:pict>
              <v:shape style="position:absolute;margin-left:318.549988pt;margin-top:18.210478pt;width:193.9pt;height:598.450pt;mso-position-horizontal-relative:page;mso-position-vertical-relative:paragraph;z-index:15764992" type="#_x0000_t202" id="docshape14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146"/>
                      </w:tblGrid>
                      <w:tr>
                        <w:trPr>
                          <w:trHeight w:val="357" w:hRule="atLeast"/>
                        </w:trPr>
                        <w:tc>
                          <w:tcPr>
                            <w:tcW w:w="612" w:type="dxa"/>
                          </w:tcPr>
                          <w:p>
                            <w:pPr>
                              <w:pStyle w:val="TableParagraph"/>
                              <w:spacing w:line="221" w:lineRule="exact"/>
                              <w:ind w:left="50"/>
                              <w:rPr>
                                <w:sz w:val="20"/>
                              </w:rPr>
                            </w:pPr>
                            <w:r>
                              <w:rPr>
                                <w:spacing w:val="-4"/>
                                <w:sz w:val="20"/>
                              </w:rPr>
                              <w:t>1340</w:t>
                            </w:r>
                          </w:p>
                        </w:tc>
                        <w:tc>
                          <w:tcPr>
                            <w:tcW w:w="3146" w:type="dxa"/>
                          </w:tcPr>
                          <w:p>
                            <w:pPr>
                              <w:pStyle w:val="TableParagraph"/>
                              <w:spacing w:line="221" w:lineRule="exact"/>
                              <w:ind w:left="158"/>
                              <w:rPr>
                                <w:sz w:val="20"/>
                              </w:rPr>
                            </w:pPr>
                            <w:r>
                              <w:rPr>
                                <w:sz w:val="20"/>
                              </w:rPr>
                              <w:t>India</w:t>
                            </w:r>
                            <w:r>
                              <w:rPr>
                                <w:spacing w:val="-6"/>
                                <w:sz w:val="20"/>
                              </w:rPr>
                              <w:t> </w:t>
                            </w:r>
                            <w:r>
                              <w:rPr>
                                <w:spacing w:val="-2"/>
                                <w:sz w:val="20"/>
                              </w:rPr>
                              <w:t>N.E.C.</w:t>
                            </w:r>
                          </w:p>
                        </w:tc>
                      </w:tr>
                      <w:tr>
                        <w:trPr>
                          <w:trHeight w:val="592" w:hRule="atLeast"/>
                        </w:trPr>
                        <w:tc>
                          <w:tcPr>
                            <w:tcW w:w="612" w:type="dxa"/>
                          </w:tcPr>
                          <w:p>
                            <w:pPr>
                              <w:pStyle w:val="TableParagraph"/>
                              <w:spacing w:line="240" w:lineRule="auto" w:before="1"/>
                              <w:rPr>
                                <w:sz w:val="31"/>
                              </w:rPr>
                            </w:pPr>
                          </w:p>
                          <w:p>
                            <w:pPr>
                              <w:pStyle w:val="TableParagraph"/>
                              <w:spacing w:line="215" w:lineRule="exact"/>
                              <w:ind w:left="50"/>
                              <w:rPr>
                                <w:sz w:val="20"/>
                              </w:rPr>
                            </w:pPr>
                            <w:r>
                              <w:rPr>
                                <w:spacing w:val="-4"/>
                                <w:sz w:val="20"/>
                              </w:rPr>
                              <w:t>1341</w:t>
                            </w:r>
                          </w:p>
                        </w:tc>
                        <w:tc>
                          <w:tcPr>
                            <w:tcW w:w="3146" w:type="dxa"/>
                          </w:tcPr>
                          <w:p>
                            <w:pPr>
                              <w:pStyle w:val="TableParagraph"/>
                              <w:spacing w:line="240" w:lineRule="auto" w:before="127"/>
                              <w:ind w:left="158"/>
                              <w:rPr>
                                <w:i/>
                                <w:sz w:val="20"/>
                              </w:rPr>
                            </w:pPr>
                            <w:r>
                              <w:rPr>
                                <w:i/>
                                <w:sz w:val="20"/>
                              </w:rPr>
                              <w:t>Hindi</w:t>
                            </w:r>
                            <w:r>
                              <w:rPr>
                                <w:i/>
                                <w:spacing w:val="-6"/>
                                <w:sz w:val="20"/>
                              </w:rPr>
                              <w:t> </w:t>
                            </w:r>
                            <w:r>
                              <w:rPr>
                                <w:i/>
                                <w:sz w:val="20"/>
                              </w:rPr>
                              <w:t>(1341-</w:t>
                            </w:r>
                            <w:r>
                              <w:rPr>
                                <w:i/>
                                <w:spacing w:val="-2"/>
                                <w:sz w:val="20"/>
                              </w:rPr>
                              <w:t>1359)</w:t>
                            </w:r>
                          </w:p>
                          <w:p>
                            <w:pPr>
                              <w:pStyle w:val="TableParagraph"/>
                              <w:spacing w:line="215" w:lineRule="exact" w:before="1"/>
                              <w:ind w:left="158"/>
                              <w:rPr>
                                <w:sz w:val="20"/>
                              </w:rPr>
                            </w:pPr>
                            <w:r>
                              <w:rPr>
                                <w:spacing w:val="-2"/>
                                <w:sz w:val="20"/>
                              </w:rPr>
                              <w:t>Chhattisgarhi</w:t>
                            </w:r>
                            <w:r>
                              <w:rPr>
                                <w:spacing w:val="13"/>
                                <w:sz w:val="20"/>
                              </w:rPr>
                              <w:t> </w:t>
                            </w:r>
                            <w:r>
                              <w:rPr>
                                <w:spacing w:val="-2"/>
                                <w:sz w:val="20"/>
                              </w:rPr>
                              <w:t>(hne)</w:t>
                            </w:r>
                          </w:p>
                        </w:tc>
                      </w:tr>
                      <w:tr>
                        <w:trPr>
                          <w:trHeight w:val="230" w:hRule="atLeast"/>
                        </w:trPr>
                        <w:tc>
                          <w:tcPr>
                            <w:tcW w:w="612" w:type="dxa"/>
                          </w:tcPr>
                          <w:p>
                            <w:pPr>
                              <w:pStyle w:val="TableParagraph"/>
                              <w:ind w:left="50"/>
                              <w:rPr>
                                <w:sz w:val="20"/>
                              </w:rPr>
                            </w:pPr>
                            <w:r>
                              <w:rPr>
                                <w:spacing w:val="-4"/>
                                <w:sz w:val="20"/>
                              </w:rPr>
                              <w:t>1342</w:t>
                            </w:r>
                          </w:p>
                        </w:tc>
                        <w:tc>
                          <w:tcPr>
                            <w:tcW w:w="3146" w:type="dxa"/>
                          </w:tcPr>
                          <w:p>
                            <w:pPr>
                              <w:pStyle w:val="TableParagraph"/>
                              <w:ind w:left="158"/>
                              <w:rPr>
                                <w:sz w:val="20"/>
                              </w:rPr>
                            </w:pPr>
                            <w:r>
                              <w:rPr>
                                <w:sz w:val="20"/>
                              </w:rPr>
                              <w:t>Garhwali</w:t>
                            </w:r>
                            <w:r>
                              <w:rPr>
                                <w:spacing w:val="-9"/>
                                <w:sz w:val="20"/>
                              </w:rPr>
                              <w:t> </w:t>
                            </w:r>
                            <w:r>
                              <w:rPr>
                                <w:spacing w:val="-2"/>
                                <w:sz w:val="20"/>
                              </w:rPr>
                              <w:t>(gbm)</w:t>
                            </w:r>
                          </w:p>
                        </w:tc>
                      </w:tr>
                      <w:tr>
                        <w:trPr>
                          <w:trHeight w:val="229" w:hRule="atLeast"/>
                        </w:trPr>
                        <w:tc>
                          <w:tcPr>
                            <w:tcW w:w="612" w:type="dxa"/>
                          </w:tcPr>
                          <w:p>
                            <w:pPr>
                              <w:pStyle w:val="TableParagraph"/>
                              <w:spacing w:line="209" w:lineRule="exact"/>
                              <w:ind w:left="50"/>
                              <w:rPr>
                                <w:sz w:val="20"/>
                              </w:rPr>
                            </w:pPr>
                            <w:r>
                              <w:rPr>
                                <w:spacing w:val="-4"/>
                                <w:sz w:val="20"/>
                              </w:rPr>
                              <w:t>1343</w:t>
                            </w:r>
                          </w:p>
                        </w:tc>
                        <w:tc>
                          <w:tcPr>
                            <w:tcW w:w="3146" w:type="dxa"/>
                          </w:tcPr>
                          <w:p>
                            <w:pPr>
                              <w:pStyle w:val="TableParagraph"/>
                              <w:spacing w:line="209" w:lineRule="exact"/>
                              <w:ind w:left="158"/>
                              <w:rPr>
                                <w:sz w:val="20"/>
                              </w:rPr>
                            </w:pPr>
                            <w:r>
                              <w:rPr>
                                <w:sz w:val="20"/>
                              </w:rPr>
                              <w:t>Haryanvi</w:t>
                            </w:r>
                            <w:r>
                              <w:rPr>
                                <w:spacing w:val="-10"/>
                                <w:sz w:val="20"/>
                              </w:rPr>
                              <w:t> </w:t>
                            </w:r>
                            <w:r>
                              <w:rPr>
                                <w:spacing w:val="-2"/>
                                <w:sz w:val="20"/>
                              </w:rPr>
                              <w:t>(bcg)</w:t>
                            </w:r>
                          </w:p>
                        </w:tc>
                      </w:tr>
                      <w:tr>
                        <w:trPr>
                          <w:trHeight w:val="229" w:hRule="atLeast"/>
                        </w:trPr>
                        <w:tc>
                          <w:tcPr>
                            <w:tcW w:w="612" w:type="dxa"/>
                          </w:tcPr>
                          <w:p>
                            <w:pPr>
                              <w:pStyle w:val="TableParagraph"/>
                              <w:spacing w:line="209" w:lineRule="exact"/>
                              <w:ind w:left="50"/>
                              <w:rPr>
                                <w:sz w:val="20"/>
                              </w:rPr>
                            </w:pPr>
                            <w:r>
                              <w:rPr>
                                <w:spacing w:val="-4"/>
                                <w:sz w:val="20"/>
                              </w:rPr>
                              <w:t>1349</w:t>
                            </w:r>
                          </w:p>
                        </w:tc>
                        <w:tc>
                          <w:tcPr>
                            <w:tcW w:w="3146" w:type="dxa"/>
                          </w:tcPr>
                          <w:p>
                            <w:pPr>
                              <w:pStyle w:val="TableParagraph"/>
                              <w:spacing w:line="209" w:lineRule="exact"/>
                              <w:ind w:left="158"/>
                              <w:rPr>
                                <w:sz w:val="20"/>
                              </w:rPr>
                            </w:pPr>
                            <w:r>
                              <w:rPr>
                                <w:sz w:val="20"/>
                              </w:rPr>
                              <w:t>Awadhi</w:t>
                            </w:r>
                            <w:r>
                              <w:rPr>
                                <w:spacing w:val="-8"/>
                                <w:sz w:val="20"/>
                              </w:rPr>
                              <w:t> </w:t>
                            </w:r>
                            <w:r>
                              <w:rPr>
                                <w:spacing w:val="-2"/>
                                <w:sz w:val="20"/>
                              </w:rPr>
                              <w:t>(awa)</w:t>
                            </w:r>
                          </w:p>
                        </w:tc>
                      </w:tr>
                      <w:tr>
                        <w:trPr>
                          <w:trHeight w:val="230" w:hRule="atLeast"/>
                        </w:trPr>
                        <w:tc>
                          <w:tcPr>
                            <w:tcW w:w="612" w:type="dxa"/>
                          </w:tcPr>
                          <w:p>
                            <w:pPr>
                              <w:pStyle w:val="TableParagraph"/>
                              <w:ind w:left="50"/>
                              <w:rPr>
                                <w:sz w:val="20"/>
                              </w:rPr>
                            </w:pPr>
                            <w:r>
                              <w:rPr>
                                <w:spacing w:val="-4"/>
                                <w:sz w:val="20"/>
                              </w:rPr>
                              <w:t>1350</w:t>
                            </w:r>
                          </w:p>
                        </w:tc>
                        <w:tc>
                          <w:tcPr>
                            <w:tcW w:w="3146" w:type="dxa"/>
                          </w:tcPr>
                          <w:p>
                            <w:pPr>
                              <w:pStyle w:val="TableParagraph"/>
                              <w:ind w:left="158"/>
                              <w:rPr>
                                <w:sz w:val="20"/>
                              </w:rPr>
                            </w:pPr>
                            <w:r>
                              <w:rPr>
                                <w:sz w:val="20"/>
                              </w:rPr>
                              <w:t>Hindi</w:t>
                            </w:r>
                            <w:r>
                              <w:rPr>
                                <w:spacing w:val="-6"/>
                                <w:sz w:val="20"/>
                              </w:rPr>
                              <w:t> </w:t>
                            </w:r>
                            <w:r>
                              <w:rPr>
                                <w:spacing w:val="-2"/>
                                <w:sz w:val="20"/>
                              </w:rPr>
                              <w:t>(hin)</w:t>
                            </w:r>
                          </w:p>
                        </w:tc>
                      </w:tr>
                      <w:tr>
                        <w:trPr>
                          <w:trHeight w:val="345" w:hRule="atLeast"/>
                        </w:trPr>
                        <w:tc>
                          <w:tcPr>
                            <w:tcW w:w="612" w:type="dxa"/>
                          </w:tcPr>
                          <w:p>
                            <w:pPr>
                              <w:pStyle w:val="TableParagraph"/>
                              <w:spacing w:line="226" w:lineRule="exact"/>
                              <w:ind w:left="50"/>
                              <w:rPr>
                                <w:sz w:val="20"/>
                              </w:rPr>
                            </w:pPr>
                            <w:r>
                              <w:rPr>
                                <w:spacing w:val="-4"/>
                                <w:sz w:val="20"/>
                              </w:rPr>
                              <w:t>1351</w:t>
                            </w:r>
                          </w:p>
                        </w:tc>
                        <w:tc>
                          <w:tcPr>
                            <w:tcW w:w="3146" w:type="dxa"/>
                          </w:tcPr>
                          <w:p>
                            <w:pPr>
                              <w:pStyle w:val="TableParagraph"/>
                              <w:spacing w:line="226" w:lineRule="exact"/>
                              <w:ind w:left="158"/>
                              <w:rPr>
                                <w:sz w:val="20"/>
                              </w:rPr>
                            </w:pPr>
                            <w:r>
                              <w:rPr>
                                <w:sz w:val="20"/>
                              </w:rPr>
                              <w:t>Fiji</w:t>
                            </w:r>
                            <w:r>
                              <w:rPr>
                                <w:spacing w:val="-5"/>
                                <w:sz w:val="20"/>
                              </w:rPr>
                              <w:t> </w:t>
                            </w:r>
                            <w:r>
                              <w:rPr>
                                <w:sz w:val="20"/>
                              </w:rPr>
                              <w:t>Hindi</w:t>
                            </w:r>
                            <w:r>
                              <w:rPr>
                                <w:spacing w:val="-3"/>
                                <w:sz w:val="20"/>
                              </w:rPr>
                              <w:t> </w:t>
                            </w:r>
                            <w:r>
                              <w:rPr>
                                <w:spacing w:val="-2"/>
                                <w:sz w:val="20"/>
                              </w:rPr>
                              <w:t>(hif)</w:t>
                            </w:r>
                          </w:p>
                        </w:tc>
                      </w:tr>
                      <w:tr>
                        <w:trPr>
                          <w:trHeight w:val="345" w:hRule="atLeast"/>
                        </w:trPr>
                        <w:tc>
                          <w:tcPr>
                            <w:tcW w:w="612" w:type="dxa"/>
                          </w:tcPr>
                          <w:p>
                            <w:pPr>
                              <w:pStyle w:val="TableParagraph"/>
                              <w:spacing w:line="215" w:lineRule="exact" w:before="111"/>
                              <w:ind w:left="50"/>
                              <w:rPr>
                                <w:sz w:val="20"/>
                              </w:rPr>
                            </w:pPr>
                            <w:r>
                              <w:rPr>
                                <w:spacing w:val="-4"/>
                                <w:sz w:val="20"/>
                              </w:rPr>
                              <w:t>1360</w:t>
                            </w:r>
                          </w:p>
                        </w:tc>
                        <w:tc>
                          <w:tcPr>
                            <w:tcW w:w="3146" w:type="dxa"/>
                          </w:tcPr>
                          <w:p>
                            <w:pPr>
                              <w:pStyle w:val="TableParagraph"/>
                              <w:spacing w:line="215" w:lineRule="exact" w:before="111"/>
                              <w:ind w:left="158"/>
                              <w:rPr>
                                <w:sz w:val="20"/>
                              </w:rPr>
                            </w:pPr>
                            <w:r>
                              <w:rPr>
                                <w:sz w:val="20"/>
                              </w:rPr>
                              <w:t>Urdu</w:t>
                            </w:r>
                            <w:r>
                              <w:rPr>
                                <w:spacing w:val="-5"/>
                                <w:sz w:val="20"/>
                              </w:rPr>
                              <w:t> </w:t>
                            </w:r>
                            <w:r>
                              <w:rPr>
                                <w:spacing w:val="-2"/>
                                <w:sz w:val="20"/>
                              </w:rPr>
                              <w:t>(urd)</w:t>
                            </w:r>
                          </w:p>
                        </w:tc>
                      </w:tr>
                      <w:tr>
                        <w:trPr>
                          <w:trHeight w:val="229" w:hRule="atLeast"/>
                        </w:trPr>
                        <w:tc>
                          <w:tcPr>
                            <w:tcW w:w="612" w:type="dxa"/>
                          </w:tcPr>
                          <w:p>
                            <w:pPr>
                              <w:pStyle w:val="TableParagraph"/>
                              <w:ind w:left="50"/>
                              <w:rPr>
                                <w:sz w:val="20"/>
                              </w:rPr>
                            </w:pPr>
                            <w:r>
                              <w:rPr>
                                <w:spacing w:val="-4"/>
                                <w:sz w:val="20"/>
                              </w:rPr>
                              <w:t>1365</w:t>
                            </w:r>
                          </w:p>
                        </w:tc>
                        <w:tc>
                          <w:tcPr>
                            <w:tcW w:w="3146" w:type="dxa"/>
                          </w:tcPr>
                          <w:p>
                            <w:pPr>
                              <w:pStyle w:val="TableParagraph"/>
                              <w:ind w:left="158"/>
                              <w:rPr>
                                <w:sz w:val="20"/>
                              </w:rPr>
                            </w:pPr>
                            <w:r>
                              <w:rPr>
                                <w:sz w:val="20"/>
                              </w:rPr>
                              <w:t>Deccan</w:t>
                            </w:r>
                            <w:r>
                              <w:rPr>
                                <w:spacing w:val="-7"/>
                                <w:sz w:val="20"/>
                              </w:rPr>
                              <w:t> </w:t>
                            </w:r>
                            <w:r>
                              <w:rPr>
                                <w:spacing w:val="-2"/>
                                <w:sz w:val="20"/>
                              </w:rPr>
                              <w:t>(dcc)</w:t>
                            </w:r>
                          </w:p>
                        </w:tc>
                      </w:tr>
                      <w:tr>
                        <w:trPr>
                          <w:trHeight w:val="229" w:hRule="atLeast"/>
                        </w:trPr>
                        <w:tc>
                          <w:tcPr>
                            <w:tcW w:w="612" w:type="dxa"/>
                          </w:tcPr>
                          <w:p>
                            <w:pPr>
                              <w:pStyle w:val="TableParagraph"/>
                              <w:spacing w:line="209" w:lineRule="exact"/>
                              <w:ind w:left="50"/>
                              <w:rPr>
                                <w:sz w:val="20"/>
                              </w:rPr>
                            </w:pPr>
                            <w:r>
                              <w:rPr>
                                <w:spacing w:val="-4"/>
                                <w:sz w:val="20"/>
                              </w:rPr>
                              <w:t>1370</w:t>
                            </w:r>
                          </w:p>
                        </w:tc>
                        <w:tc>
                          <w:tcPr>
                            <w:tcW w:w="3146" w:type="dxa"/>
                          </w:tcPr>
                          <w:p>
                            <w:pPr>
                              <w:pStyle w:val="TableParagraph"/>
                              <w:spacing w:line="209" w:lineRule="exact"/>
                              <w:ind w:left="158"/>
                              <w:rPr>
                                <w:sz w:val="20"/>
                              </w:rPr>
                            </w:pPr>
                            <w:r>
                              <w:rPr>
                                <w:sz w:val="20"/>
                              </w:rPr>
                              <w:t>Memoni</w:t>
                            </w:r>
                            <w:r>
                              <w:rPr>
                                <w:spacing w:val="-10"/>
                                <w:sz w:val="20"/>
                              </w:rPr>
                              <w:t> </w:t>
                            </w:r>
                            <w:r>
                              <w:rPr>
                                <w:spacing w:val="-2"/>
                                <w:sz w:val="20"/>
                              </w:rPr>
                              <w:t>(mby)</w:t>
                            </w:r>
                          </w:p>
                        </w:tc>
                      </w:tr>
                      <w:tr>
                        <w:trPr>
                          <w:trHeight w:val="345" w:hRule="atLeast"/>
                        </w:trPr>
                        <w:tc>
                          <w:tcPr>
                            <w:tcW w:w="612" w:type="dxa"/>
                          </w:tcPr>
                          <w:p>
                            <w:pPr>
                              <w:pStyle w:val="TableParagraph"/>
                              <w:spacing w:line="226" w:lineRule="exact"/>
                              <w:ind w:left="50"/>
                              <w:rPr>
                                <w:sz w:val="20"/>
                              </w:rPr>
                            </w:pPr>
                            <w:r>
                              <w:rPr>
                                <w:spacing w:val="-4"/>
                                <w:sz w:val="20"/>
                              </w:rPr>
                              <w:t>1375</w:t>
                            </w:r>
                          </w:p>
                        </w:tc>
                        <w:tc>
                          <w:tcPr>
                            <w:tcW w:w="3146" w:type="dxa"/>
                          </w:tcPr>
                          <w:p>
                            <w:pPr>
                              <w:pStyle w:val="TableParagraph"/>
                              <w:spacing w:line="226" w:lineRule="exact"/>
                              <w:ind w:left="158"/>
                              <w:rPr>
                                <w:sz w:val="20"/>
                              </w:rPr>
                            </w:pPr>
                            <w:r>
                              <w:rPr>
                                <w:sz w:val="20"/>
                              </w:rPr>
                              <w:t>Assamese</w:t>
                            </w:r>
                            <w:r>
                              <w:rPr>
                                <w:spacing w:val="-10"/>
                                <w:sz w:val="20"/>
                              </w:rPr>
                              <w:t> </w:t>
                            </w:r>
                            <w:r>
                              <w:rPr>
                                <w:spacing w:val="-2"/>
                                <w:sz w:val="20"/>
                              </w:rPr>
                              <w:t>(asm)</w:t>
                            </w:r>
                          </w:p>
                        </w:tc>
                      </w:tr>
                      <w:tr>
                        <w:trPr>
                          <w:trHeight w:val="575" w:hRule="atLeast"/>
                        </w:trPr>
                        <w:tc>
                          <w:tcPr>
                            <w:tcW w:w="612" w:type="dxa"/>
                          </w:tcPr>
                          <w:p>
                            <w:pPr>
                              <w:pStyle w:val="TableParagraph"/>
                              <w:spacing w:line="240" w:lineRule="auto" w:before="7"/>
                              <w:rPr>
                                <w:sz w:val="29"/>
                              </w:rPr>
                            </w:pPr>
                          </w:p>
                          <w:p>
                            <w:pPr>
                              <w:pStyle w:val="TableParagraph"/>
                              <w:spacing w:line="215" w:lineRule="exact" w:before="1"/>
                              <w:ind w:left="50"/>
                              <w:rPr>
                                <w:sz w:val="20"/>
                              </w:rPr>
                            </w:pPr>
                            <w:r>
                              <w:rPr>
                                <w:spacing w:val="-4"/>
                                <w:sz w:val="20"/>
                              </w:rPr>
                              <w:t>1380</w:t>
                            </w:r>
                          </w:p>
                        </w:tc>
                        <w:tc>
                          <w:tcPr>
                            <w:tcW w:w="3146" w:type="dxa"/>
                          </w:tcPr>
                          <w:p>
                            <w:pPr>
                              <w:pStyle w:val="TableParagraph"/>
                              <w:spacing w:line="240" w:lineRule="auto" w:before="111"/>
                              <w:ind w:left="158"/>
                              <w:rPr>
                                <w:i/>
                                <w:sz w:val="20"/>
                              </w:rPr>
                            </w:pPr>
                            <w:r>
                              <w:rPr>
                                <w:i/>
                                <w:sz w:val="20"/>
                              </w:rPr>
                              <w:t>Bengali</w:t>
                            </w:r>
                            <w:r>
                              <w:rPr>
                                <w:i/>
                                <w:spacing w:val="-10"/>
                                <w:sz w:val="20"/>
                              </w:rPr>
                              <w:t> </w:t>
                            </w:r>
                            <w:r>
                              <w:rPr>
                                <w:i/>
                                <w:sz w:val="20"/>
                              </w:rPr>
                              <w:t>(1380-</w:t>
                            </w:r>
                            <w:r>
                              <w:rPr>
                                <w:i/>
                                <w:spacing w:val="-4"/>
                                <w:sz w:val="20"/>
                              </w:rPr>
                              <w:t>1387)</w:t>
                            </w:r>
                          </w:p>
                          <w:p>
                            <w:pPr>
                              <w:pStyle w:val="TableParagraph"/>
                              <w:spacing w:line="215" w:lineRule="exact"/>
                              <w:ind w:left="158"/>
                              <w:rPr>
                                <w:sz w:val="20"/>
                              </w:rPr>
                            </w:pPr>
                            <w:r>
                              <w:rPr>
                                <w:sz w:val="20"/>
                              </w:rPr>
                              <w:t>Bengali</w:t>
                            </w:r>
                            <w:r>
                              <w:rPr>
                                <w:spacing w:val="-9"/>
                                <w:sz w:val="20"/>
                              </w:rPr>
                              <w:t> </w:t>
                            </w:r>
                            <w:r>
                              <w:rPr>
                                <w:spacing w:val="-2"/>
                                <w:sz w:val="20"/>
                              </w:rPr>
                              <w:t>(ben)</w:t>
                            </w:r>
                          </w:p>
                        </w:tc>
                      </w:tr>
                      <w:tr>
                        <w:trPr>
                          <w:trHeight w:val="229" w:hRule="atLeast"/>
                        </w:trPr>
                        <w:tc>
                          <w:tcPr>
                            <w:tcW w:w="612" w:type="dxa"/>
                          </w:tcPr>
                          <w:p>
                            <w:pPr>
                              <w:pStyle w:val="TableParagraph"/>
                              <w:spacing w:line="209" w:lineRule="exact"/>
                              <w:ind w:left="50"/>
                              <w:rPr>
                                <w:sz w:val="20"/>
                              </w:rPr>
                            </w:pPr>
                            <w:r>
                              <w:rPr>
                                <w:spacing w:val="-4"/>
                                <w:sz w:val="20"/>
                              </w:rPr>
                              <w:t>1382</w:t>
                            </w:r>
                          </w:p>
                        </w:tc>
                        <w:tc>
                          <w:tcPr>
                            <w:tcW w:w="3146" w:type="dxa"/>
                          </w:tcPr>
                          <w:p>
                            <w:pPr>
                              <w:pStyle w:val="TableParagraph"/>
                              <w:spacing w:line="209" w:lineRule="exact"/>
                              <w:ind w:left="158"/>
                              <w:rPr>
                                <w:sz w:val="20"/>
                              </w:rPr>
                            </w:pPr>
                            <w:r>
                              <w:rPr>
                                <w:sz w:val="20"/>
                              </w:rPr>
                              <w:t>Chittagonian</w:t>
                            </w:r>
                            <w:r>
                              <w:rPr>
                                <w:spacing w:val="-12"/>
                                <w:sz w:val="20"/>
                              </w:rPr>
                              <w:t> </w:t>
                            </w:r>
                            <w:r>
                              <w:rPr>
                                <w:spacing w:val="-2"/>
                                <w:sz w:val="20"/>
                              </w:rPr>
                              <w:t>(ctg)</w:t>
                            </w:r>
                          </w:p>
                        </w:tc>
                      </w:tr>
                      <w:tr>
                        <w:trPr>
                          <w:trHeight w:val="229" w:hRule="atLeast"/>
                        </w:trPr>
                        <w:tc>
                          <w:tcPr>
                            <w:tcW w:w="612" w:type="dxa"/>
                          </w:tcPr>
                          <w:p>
                            <w:pPr>
                              <w:pStyle w:val="TableParagraph"/>
                              <w:spacing w:line="209" w:lineRule="exact"/>
                              <w:ind w:left="50"/>
                              <w:rPr>
                                <w:sz w:val="20"/>
                              </w:rPr>
                            </w:pPr>
                            <w:r>
                              <w:rPr>
                                <w:spacing w:val="-4"/>
                                <w:sz w:val="20"/>
                              </w:rPr>
                              <w:t>1384</w:t>
                            </w:r>
                          </w:p>
                        </w:tc>
                        <w:tc>
                          <w:tcPr>
                            <w:tcW w:w="3146" w:type="dxa"/>
                          </w:tcPr>
                          <w:p>
                            <w:pPr>
                              <w:pStyle w:val="TableParagraph"/>
                              <w:spacing w:line="209" w:lineRule="exact"/>
                              <w:ind w:left="158"/>
                              <w:rPr>
                                <w:sz w:val="20"/>
                              </w:rPr>
                            </w:pPr>
                            <w:r>
                              <w:rPr>
                                <w:sz w:val="20"/>
                              </w:rPr>
                              <w:t>Rangpuri</w:t>
                            </w:r>
                            <w:r>
                              <w:rPr>
                                <w:spacing w:val="-12"/>
                                <w:sz w:val="20"/>
                              </w:rPr>
                              <w:t> </w:t>
                            </w:r>
                            <w:r>
                              <w:rPr>
                                <w:spacing w:val="-2"/>
                                <w:sz w:val="20"/>
                              </w:rPr>
                              <w:t>(rkt)</w:t>
                            </w:r>
                          </w:p>
                        </w:tc>
                      </w:tr>
                      <w:tr>
                        <w:trPr>
                          <w:trHeight w:val="345" w:hRule="atLeast"/>
                        </w:trPr>
                        <w:tc>
                          <w:tcPr>
                            <w:tcW w:w="612" w:type="dxa"/>
                          </w:tcPr>
                          <w:p>
                            <w:pPr>
                              <w:pStyle w:val="TableParagraph"/>
                              <w:spacing w:line="226" w:lineRule="exact"/>
                              <w:ind w:left="50"/>
                              <w:rPr>
                                <w:sz w:val="20"/>
                              </w:rPr>
                            </w:pPr>
                            <w:r>
                              <w:rPr>
                                <w:spacing w:val="-4"/>
                                <w:sz w:val="20"/>
                              </w:rPr>
                              <w:t>1386</w:t>
                            </w:r>
                          </w:p>
                        </w:tc>
                        <w:tc>
                          <w:tcPr>
                            <w:tcW w:w="3146" w:type="dxa"/>
                          </w:tcPr>
                          <w:p>
                            <w:pPr>
                              <w:pStyle w:val="TableParagraph"/>
                              <w:spacing w:line="226" w:lineRule="exact"/>
                              <w:ind w:left="158"/>
                              <w:rPr>
                                <w:sz w:val="20"/>
                              </w:rPr>
                            </w:pPr>
                            <w:r>
                              <w:rPr>
                                <w:sz w:val="20"/>
                              </w:rPr>
                              <w:t>Sylheti</w:t>
                            </w:r>
                            <w:r>
                              <w:rPr>
                                <w:spacing w:val="-9"/>
                                <w:sz w:val="20"/>
                              </w:rPr>
                              <w:t> </w:t>
                            </w:r>
                            <w:r>
                              <w:rPr>
                                <w:spacing w:val="-2"/>
                                <w:sz w:val="20"/>
                              </w:rPr>
                              <w:t>(syl)</w:t>
                            </w:r>
                          </w:p>
                        </w:tc>
                      </w:tr>
                      <w:tr>
                        <w:trPr>
                          <w:trHeight w:val="345" w:hRule="atLeast"/>
                        </w:trPr>
                        <w:tc>
                          <w:tcPr>
                            <w:tcW w:w="612" w:type="dxa"/>
                          </w:tcPr>
                          <w:p>
                            <w:pPr>
                              <w:pStyle w:val="TableParagraph"/>
                              <w:spacing w:line="215" w:lineRule="exact" w:before="111"/>
                              <w:ind w:left="50"/>
                              <w:rPr>
                                <w:sz w:val="20"/>
                              </w:rPr>
                            </w:pPr>
                            <w:r>
                              <w:rPr>
                                <w:spacing w:val="-4"/>
                                <w:sz w:val="20"/>
                              </w:rPr>
                              <w:t>1388</w:t>
                            </w:r>
                          </w:p>
                        </w:tc>
                        <w:tc>
                          <w:tcPr>
                            <w:tcW w:w="3146" w:type="dxa"/>
                          </w:tcPr>
                          <w:p>
                            <w:pPr>
                              <w:pStyle w:val="TableParagraph"/>
                              <w:spacing w:line="215" w:lineRule="exact" w:before="111"/>
                              <w:ind w:left="158"/>
                              <w:rPr>
                                <w:sz w:val="20"/>
                              </w:rPr>
                            </w:pPr>
                            <w:r>
                              <w:rPr>
                                <w:sz w:val="20"/>
                              </w:rPr>
                              <w:t>Halbi</w:t>
                            </w:r>
                            <w:r>
                              <w:rPr>
                                <w:spacing w:val="-4"/>
                                <w:sz w:val="20"/>
                              </w:rPr>
                              <w:t> </w:t>
                            </w:r>
                            <w:r>
                              <w:rPr>
                                <w:spacing w:val="-2"/>
                                <w:sz w:val="20"/>
                              </w:rPr>
                              <w:t>(hlb)</w:t>
                            </w:r>
                          </w:p>
                        </w:tc>
                      </w:tr>
                      <w:tr>
                        <w:trPr>
                          <w:trHeight w:val="344" w:hRule="atLeast"/>
                        </w:trPr>
                        <w:tc>
                          <w:tcPr>
                            <w:tcW w:w="612" w:type="dxa"/>
                          </w:tcPr>
                          <w:p>
                            <w:pPr>
                              <w:pStyle w:val="TableParagraph"/>
                              <w:spacing w:line="226" w:lineRule="exact"/>
                              <w:ind w:left="50"/>
                              <w:rPr>
                                <w:sz w:val="20"/>
                              </w:rPr>
                            </w:pPr>
                            <w:r>
                              <w:rPr>
                                <w:spacing w:val="-4"/>
                                <w:sz w:val="20"/>
                              </w:rPr>
                              <w:t>1400</w:t>
                            </w:r>
                          </w:p>
                        </w:tc>
                        <w:tc>
                          <w:tcPr>
                            <w:tcW w:w="3146" w:type="dxa"/>
                          </w:tcPr>
                          <w:p>
                            <w:pPr>
                              <w:pStyle w:val="TableParagraph"/>
                              <w:spacing w:line="226" w:lineRule="exact"/>
                              <w:ind w:left="158"/>
                              <w:rPr>
                                <w:sz w:val="20"/>
                              </w:rPr>
                            </w:pPr>
                            <w:r>
                              <w:rPr>
                                <w:sz w:val="20"/>
                              </w:rPr>
                              <w:t>Rohingya</w:t>
                            </w:r>
                            <w:r>
                              <w:rPr>
                                <w:spacing w:val="-10"/>
                                <w:sz w:val="20"/>
                              </w:rPr>
                              <w:t> </w:t>
                            </w:r>
                            <w:r>
                              <w:rPr>
                                <w:spacing w:val="-2"/>
                                <w:sz w:val="20"/>
                              </w:rPr>
                              <w:t>(rhg)</w:t>
                            </w:r>
                          </w:p>
                        </w:tc>
                      </w:tr>
                      <w:tr>
                        <w:trPr>
                          <w:trHeight w:val="575" w:hRule="atLeast"/>
                        </w:trPr>
                        <w:tc>
                          <w:tcPr>
                            <w:tcW w:w="612" w:type="dxa"/>
                          </w:tcPr>
                          <w:p>
                            <w:pPr>
                              <w:pStyle w:val="TableParagraph"/>
                              <w:spacing w:line="240" w:lineRule="auto" w:before="6"/>
                              <w:rPr>
                                <w:sz w:val="29"/>
                              </w:rPr>
                            </w:pPr>
                          </w:p>
                          <w:p>
                            <w:pPr>
                              <w:pStyle w:val="TableParagraph"/>
                              <w:spacing w:line="215" w:lineRule="exact"/>
                              <w:ind w:left="50"/>
                              <w:rPr>
                                <w:sz w:val="20"/>
                              </w:rPr>
                            </w:pPr>
                            <w:r>
                              <w:rPr>
                                <w:spacing w:val="-4"/>
                                <w:sz w:val="20"/>
                              </w:rPr>
                              <w:t>1420</w:t>
                            </w:r>
                          </w:p>
                        </w:tc>
                        <w:tc>
                          <w:tcPr>
                            <w:tcW w:w="3146" w:type="dxa"/>
                          </w:tcPr>
                          <w:p>
                            <w:pPr>
                              <w:pStyle w:val="TableParagraph"/>
                              <w:spacing w:line="240" w:lineRule="auto" w:before="109"/>
                              <w:ind w:left="158"/>
                              <w:rPr>
                                <w:i/>
                                <w:sz w:val="20"/>
                              </w:rPr>
                            </w:pPr>
                            <w:r>
                              <w:rPr>
                                <w:i/>
                                <w:sz w:val="20"/>
                              </w:rPr>
                              <w:t>Punjabi</w:t>
                            </w:r>
                            <w:r>
                              <w:rPr>
                                <w:i/>
                                <w:spacing w:val="-10"/>
                                <w:sz w:val="20"/>
                              </w:rPr>
                              <w:t> </w:t>
                            </w:r>
                            <w:r>
                              <w:rPr>
                                <w:i/>
                                <w:sz w:val="20"/>
                              </w:rPr>
                              <w:t>(1420-</w:t>
                            </w:r>
                            <w:r>
                              <w:rPr>
                                <w:i/>
                                <w:spacing w:val="-4"/>
                                <w:sz w:val="20"/>
                              </w:rPr>
                              <w:t>1429)</w:t>
                            </w:r>
                          </w:p>
                          <w:p>
                            <w:pPr>
                              <w:pStyle w:val="TableParagraph"/>
                              <w:spacing w:line="215" w:lineRule="exact" w:before="1"/>
                              <w:ind w:left="158"/>
                              <w:rPr>
                                <w:sz w:val="20"/>
                              </w:rPr>
                            </w:pPr>
                            <w:r>
                              <w:rPr>
                                <w:sz w:val="20"/>
                              </w:rPr>
                              <w:t>Panjabi</w:t>
                            </w:r>
                            <w:r>
                              <w:rPr>
                                <w:spacing w:val="-3"/>
                                <w:sz w:val="20"/>
                              </w:rPr>
                              <w:t> </w:t>
                            </w:r>
                            <w:r>
                              <w:rPr>
                                <w:spacing w:val="-2"/>
                                <w:sz w:val="20"/>
                              </w:rPr>
                              <w:t>(pan)</w:t>
                            </w:r>
                          </w:p>
                        </w:tc>
                      </w:tr>
                      <w:tr>
                        <w:trPr>
                          <w:trHeight w:val="230" w:hRule="atLeast"/>
                        </w:trPr>
                        <w:tc>
                          <w:tcPr>
                            <w:tcW w:w="612" w:type="dxa"/>
                          </w:tcPr>
                          <w:p>
                            <w:pPr>
                              <w:pStyle w:val="TableParagraph"/>
                              <w:spacing w:line="211" w:lineRule="exact"/>
                              <w:ind w:left="50"/>
                              <w:rPr>
                                <w:sz w:val="20"/>
                              </w:rPr>
                            </w:pPr>
                            <w:r>
                              <w:rPr>
                                <w:spacing w:val="-4"/>
                                <w:sz w:val="20"/>
                              </w:rPr>
                              <w:t>1421</w:t>
                            </w:r>
                          </w:p>
                        </w:tc>
                        <w:tc>
                          <w:tcPr>
                            <w:tcW w:w="3146" w:type="dxa"/>
                          </w:tcPr>
                          <w:p>
                            <w:pPr>
                              <w:pStyle w:val="TableParagraph"/>
                              <w:spacing w:line="211" w:lineRule="exact"/>
                              <w:ind w:left="158"/>
                              <w:rPr>
                                <w:sz w:val="20"/>
                              </w:rPr>
                            </w:pPr>
                            <w:r>
                              <w:rPr>
                                <w:sz w:val="20"/>
                              </w:rPr>
                              <w:t>Lahnda</w:t>
                            </w:r>
                            <w:r>
                              <w:rPr>
                                <w:spacing w:val="-12"/>
                                <w:sz w:val="20"/>
                              </w:rPr>
                              <w:t> </w:t>
                            </w:r>
                            <w:r>
                              <w:rPr>
                                <w:sz w:val="20"/>
                              </w:rPr>
                              <w:t>(macrolanguage)</w:t>
                            </w:r>
                            <w:r>
                              <w:rPr>
                                <w:spacing w:val="-9"/>
                                <w:sz w:val="20"/>
                              </w:rPr>
                              <w:t> </w:t>
                            </w:r>
                            <w:r>
                              <w:rPr>
                                <w:spacing w:val="-4"/>
                                <w:sz w:val="20"/>
                              </w:rPr>
                              <w:t>(lah)</w:t>
                            </w:r>
                          </w:p>
                        </w:tc>
                      </w:tr>
                      <w:tr>
                        <w:trPr>
                          <w:trHeight w:val="230" w:hRule="atLeast"/>
                        </w:trPr>
                        <w:tc>
                          <w:tcPr>
                            <w:tcW w:w="612" w:type="dxa"/>
                          </w:tcPr>
                          <w:p>
                            <w:pPr>
                              <w:pStyle w:val="TableParagraph"/>
                              <w:ind w:left="50"/>
                              <w:rPr>
                                <w:sz w:val="20"/>
                              </w:rPr>
                            </w:pPr>
                            <w:r>
                              <w:rPr>
                                <w:spacing w:val="-4"/>
                                <w:sz w:val="20"/>
                              </w:rPr>
                              <w:t>1422</w:t>
                            </w:r>
                          </w:p>
                        </w:tc>
                        <w:tc>
                          <w:tcPr>
                            <w:tcW w:w="3146" w:type="dxa"/>
                          </w:tcPr>
                          <w:p>
                            <w:pPr>
                              <w:pStyle w:val="TableParagraph"/>
                              <w:ind w:left="158"/>
                              <w:rPr>
                                <w:sz w:val="20"/>
                              </w:rPr>
                            </w:pPr>
                            <w:r>
                              <w:rPr>
                                <w:sz w:val="20"/>
                              </w:rPr>
                              <w:t>Western</w:t>
                            </w:r>
                            <w:r>
                              <w:rPr>
                                <w:spacing w:val="-6"/>
                                <w:sz w:val="20"/>
                              </w:rPr>
                              <w:t> </w:t>
                            </w:r>
                            <w:r>
                              <w:rPr>
                                <w:sz w:val="20"/>
                              </w:rPr>
                              <w:t>Panjabi</w:t>
                            </w:r>
                            <w:r>
                              <w:rPr>
                                <w:spacing w:val="-3"/>
                                <w:sz w:val="20"/>
                              </w:rPr>
                              <w:t> </w:t>
                            </w:r>
                            <w:r>
                              <w:rPr>
                                <w:spacing w:val="-4"/>
                                <w:sz w:val="20"/>
                              </w:rPr>
                              <w:t>(pnb)</w:t>
                            </w:r>
                          </w:p>
                        </w:tc>
                      </w:tr>
                      <w:tr>
                        <w:trPr>
                          <w:trHeight w:val="229" w:hRule="atLeast"/>
                        </w:trPr>
                        <w:tc>
                          <w:tcPr>
                            <w:tcW w:w="612" w:type="dxa"/>
                          </w:tcPr>
                          <w:p>
                            <w:pPr>
                              <w:pStyle w:val="TableParagraph"/>
                              <w:spacing w:line="209" w:lineRule="exact"/>
                              <w:ind w:left="50"/>
                              <w:rPr>
                                <w:sz w:val="20"/>
                              </w:rPr>
                            </w:pPr>
                            <w:r>
                              <w:rPr>
                                <w:spacing w:val="-4"/>
                                <w:sz w:val="20"/>
                              </w:rPr>
                              <w:t>1423</w:t>
                            </w:r>
                          </w:p>
                        </w:tc>
                        <w:tc>
                          <w:tcPr>
                            <w:tcW w:w="3146" w:type="dxa"/>
                          </w:tcPr>
                          <w:p>
                            <w:pPr>
                              <w:pStyle w:val="TableParagraph"/>
                              <w:spacing w:line="209" w:lineRule="exact"/>
                              <w:ind w:left="158"/>
                              <w:rPr>
                                <w:sz w:val="20"/>
                              </w:rPr>
                            </w:pPr>
                            <w:r>
                              <w:rPr>
                                <w:sz w:val="20"/>
                              </w:rPr>
                              <w:t>Pahari-Potwari</w:t>
                            </w:r>
                            <w:r>
                              <w:rPr>
                                <w:spacing w:val="-12"/>
                                <w:sz w:val="20"/>
                              </w:rPr>
                              <w:t> </w:t>
                            </w:r>
                            <w:r>
                              <w:rPr>
                                <w:spacing w:val="-4"/>
                                <w:sz w:val="20"/>
                              </w:rPr>
                              <w:t>(phr)</w:t>
                            </w:r>
                          </w:p>
                        </w:tc>
                      </w:tr>
                      <w:tr>
                        <w:trPr>
                          <w:trHeight w:val="229" w:hRule="atLeast"/>
                        </w:trPr>
                        <w:tc>
                          <w:tcPr>
                            <w:tcW w:w="612" w:type="dxa"/>
                          </w:tcPr>
                          <w:p>
                            <w:pPr>
                              <w:pStyle w:val="TableParagraph"/>
                              <w:spacing w:line="209" w:lineRule="exact"/>
                              <w:ind w:left="50"/>
                              <w:rPr>
                                <w:sz w:val="20"/>
                              </w:rPr>
                            </w:pPr>
                            <w:r>
                              <w:rPr>
                                <w:spacing w:val="-4"/>
                                <w:sz w:val="20"/>
                              </w:rPr>
                              <w:t>1424</w:t>
                            </w:r>
                          </w:p>
                        </w:tc>
                        <w:tc>
                          <w:tcPr>
                            <w:tcW w:w="3146" w:type="dxa"/>
                          </w:tcPr>
                          <w:p>
                            <w:pPr>
                              <w:pStyle w:val="TableParagraph"/>
                              <w:spacing w:line="209" w:lineRule="exact"/>
                              <w:ind w:left="158"/>
                              <w:rPr>
                                <w:sz w:val="20"/>
                              </w:rPr>
                            </w:pPr>
                            <w:r>
                              <w:rPr>
                                <w:sz w:val="20"/>
                              </w:rPr>
                              <w:t>Northern</w:t>
                            </w:r>
                            <w:r>
                              <w:rPr>
                                <w:spacing w:val="-8"/>
                                <w:sz w:val="20"/>
                              </w:rPr>
                              <w:t> </w:t>
                            </w:r>
                            <w:r>
                              <w:rPr>
                                <w:sz w:val="20"/>
                              </w:rPr>
                              <w:t>Hindko</w:t>
                            </w:r>
                            <w:r>
                              <w:rPr>
                                <w:spacing w:val="-6"/>
                                <w:sz w:val="20"/>
                              </w:rPr>
                              <w:t> </w:t>
                            </w:r>
                            <w:r>
                              <w:rPr>
                                <w:spacing w:val="-4"/>
                                <w:sz w:val="20"/>
                              </w:rPr>
                              <w:t>(hno)</w:t>
                            </w:r>
                          </w:p>
                        </w:tc>
                      </w:tr>
                      <w:tr>
                        <w:trPr>
                          <w:trHeight w:val="230" w:hRule="atLeast"/>
                        </w:trPr>
                        <w:tc>
                          <w:tcPr>
                            <w:tcW w:w="612" w:type="dxa"/>
                          </w:tcPr>
                          <w:p>
                            <w:pPr>
                              <w:pStyle w:val="TableParagraph"/>
                              <w:ind w:left="50"/>
                              <w:rPr>
                                <w:sz w:val="20"/>
                              </w:rPr>
                            </w:pPr>
                            <w:r>
                              <w:rPr>
                                <w:spacing w:val="-4"/>
                                <w:sz w:val="20"/>
                              </w:rPr>
                              <w:t>1425</w:t>
                            </w:r>
                          </w:p>
                        </w:tc>
                        <w:tc>
                          <w:tcPr>
                            <w:tcW w:w="3146" w:type="dxa"/>
                          </w:tcPr>
                          <w:p>
                            <w:pPr>
                              <w:pStyle w:val="TableParagraph"/>
                              <w:ind w:left="158"/>
                              <w:rPr>
                                <w:sz w:val="20"/>
                              </w:rPr>
                            </w:pPr>
                            <w:r>
                              <w:rPr>
                                <w:sz w:val="20"/>
                              </w:rPr>
                              <w:t>Southern</w:t>
                            </w:r>
                            <w:r>
                              <w:rPr>
                                <w:spacing w:val="-9"/>
                                <w:sz w:val="20"/>
                              </w:rPr>
                              <w:t> </w:t>
                            </w:r>
                            <w:r>
                              <w:rPr>
                                <w:sz w:val="20"/>
                              </w:rPr>
                              <w:t>Hindko</w:t>
                            </w:r>
                            <w:r>
                              <w:rPr>
                                <w:spacing w:val="-6"/>
                                <w:sz w:val="20"/>
                              </w:rPr>
                              <w:t> </w:t>
                            </w:r>
                            <w:r>
                              <w:rPr>
                                <w:spacing w:val="-4"/>
                                <w:sz w:val="20"/>
                              </w:rPr>
                              <w:t>(hnd)</w:t>
                            </w:r>
                          </w:p>
                        </w:tc>
                      </w:tr>
                      <w:tr>
                        <w:trPr>
                          <w:trHeight w:val="345" w:hRule="atLeast"/>
                        </w:trPr>
                        <w:tc>
                          <w:tcPr>
                            <w:tcW w:w="612" w:type="dxa"/>
                          </w:tcPr>
                          <w:p>
                            <w:pPr>
                              <w:pStyle w:val="TableParagraph"/>
                              <w:spacing w:line="226" w:lineRule="exact"/>
                              <w:ind w:left="50"/>
                              <w:rPr>
                                <w:sz w:val="20"/>
                              </w:rPr>
                            </w:pPr>
                            <w:r>
                              <w:rPr>
                                <w:spacing w:val="-4"/>
                                <w:sz w:val="20"/>
                              </w:rPr>
                              <w:t>1426</w:t>
                            </w:r>
                          </w:p>
                        </w:tc>
                        <w:tc>
                          <w:tcPr>
                            <w:tcW w:w="3146" w:type="dxa"/>
                          </w:tcPr>
                          <w:p>
                            <w:pPr>
                              <w:pStyle w:val="TableParagraph"/>
                              <w:spacing w:line="226" w:lineRule="exact"/>
                              <w:ind w:left="158"/>
                              <w:rPr>
                                <w:sz w:val="20"/>
                              </w:rPr>
                            </w:pPr>
                            <w:r>
                              <w:rPr>
                                <w:sz w:val="20"/>
                              </w:rPr>
                              <w:t>Saraiki</w:t>
                            </w:r>
                            <w:r>
                              <w:rPr>
                                <w:spacing w:val="-7"/>
                                <w:sz w:val="20"/>
                              </w:rPr>
                              <w:t> </w:t>
                            </w:r>
                            <w:r>
                              <w:rPr>
                                <w:spacing w:val="-2"/>
                                <w:sz w:val="20"/>
                              </w:rPr>
                              <w:t>(skr)</w:t>
                            </w:r>
                          </w:p>
                        </w:tc>
                      </w:tr>
                      <w:tr>
                        <w:trPr>
                          <w:trHeight w:val="345" w:hRule="atLeast"/>
                        </w:trPr>
                        <w:tc>
                          <w:tcPr>
                            <w:tcW w:w="612" w:type="dxa"/>
                          </w:tcPr>
                          <w:p>
                            <w:pPr>
                              <w:pStyle w:val="TableParagraph"/>
                              <w:spacing w:line="215" w:lineRule="exact" w:before="111"/>
                              <w:ind w:left="50"/>
                              <w:rPr>
                                <w:sz w:val="20"/>
                              </w:rPr>
                            </w:pPr>
                            <w:r>
                              <w:rPr>
                                <w:spacing w:val="-4"/>
                                <w:sz w:val="20"/>
                              </w:rPr>
                              <w:t>1430</w:t>
                            </w:r>
                          </w:p>
                        </w:tc>
                        <w:tc>
                          <w:tcPr>
                            <w:tcW w:w="3146" w:type="dxa"/>
                          </w:tcPr>
                          <w:p>
                            <w:pPr>
                              <w:pStyle w:val="TableParagraph"/>
                              <w:spacing w:line="215" w:lineRule="exact" w:before="111"/>
                              <w:ind w:left="158"/>
                              <w:rPr>
                                <w:sz w:val="20"/>
                              </w:rPr>
                            </w:pPr>
                            <w:r>
                              <w:rPr>
                                <w:sz w:val="20"/>
                              </w:rPr>
                              <w:t>Goan</w:t>
                            </w:r>
                            <w:r>
                              <w:rPr>
                                <w:spacing w:val="-7"/>
                                <w:sz w:val="20"/>
                              </w:rPr>
                              <w:t> </w:t>
                            </w:r>
                            <w:r>
                              <w:rPr>
                                <w:sz w:val="20"/>
                              </w:rPr>
                              <w:t>Konkani</w:t>
                            </w:r>
                            <w:r>
                              <w:rPr>
                                <w:spacing w:val="-6"/>
                                <w:sz w:val="20"/>
                              </w:rPr>
                              <w:t> </w:t>
                            </w:r>
                            <w:r>
                              <w:rPr>
                                <w:spacing w:val="-4"/>
                                <w:sz w:val="20"/>
                              </w:rPr>
                              <w:t>(gom)</w:t>
                            </w:r>
                          </w:p>
                        </w:tc>
                      </w:tr>
                      <w:tr>
                        <w:trPr>
                          <w:trHeight w:val="229" w:hRule="atLeast"/>
                        </w:trPr>
                        <w:tc>
                          <w:tcPr>
                            <w:tcW w:w="612" w:type="dxa"/>
                          </w:tcPr>
                          <w:p>
                            <w:pPr>
                              <w:pStyle w:val="TableParagraph"/>
                              <w:spacing w:line="209" w:lineRule="exact"/>
                              <w:ind w:left="50"/>
                              <w:rPr>
                                <w:sz w:val="20"/>
                              </w:rPr>
                            </w:pPr>
                            <w:r>
                              <w:rPr>
                                <w:spacing w:val="-4"/>
                                <w:sz w:val="20"/>
                              </w:rPr>
                              <w:t>1435</w:t>
                            </w:r>
                          </w:p>
                        </w:tc>
                        <w:tc>
                          <w:tcPr>
                            <w:tcW w:w="3146" w:type="dxa"/>
                          </w:tcPr>
                          <w:p>
                            <w:pPr>
                              <w:pStyle w:val="TableParagraph"/>
                              <w:spacing w:line="209" w:lineRule="exact"/>
                              <w:ind w:left="158"/>
                              <w:rPr>
                                <w:sz w:val="20"/>
                              </w:rPr>
                            </w:pPr>
                            <w:r>
                              <w:rPr>
                                <w:sz w:val="20"/>
                              </w:rPr>
                              <w:t>Konkani</w:t>
                            </w:r>
                            <w:r>
                              <w:rPr>
                                <w:spacing w:val="-10"/>
                                <w:sz w:val="20"/>
                              </w:rPr>
                              <w:t> </w:t>
                            </w:r>
                            <w:r>
                              <w:rPr>
                                <w:sz w:val="20"/>
                              </w:rPr>
                              <w:t>(individual</w:t>
                            </w:r>
                            <w:r>
                              <w:rPr>
                                <w:spacing w:val="-10"/>
                                <w:sz w:val="20"/>
                              </w:rPr>
                              <w:t> </w:t>
                            </w:r>
                            <w:r>
                              <w:rPr>
                                <w:sz w:val="20"/>
                              </w:rPr>
                              <w:t>language)</w:t>
                            </w:r>
                            <w:r>
                              <w:rPr>
                                <w:spacing w:val="-4"/>
                                <w:sz w:val="20"/>
                              </w:rPr>
                              <w:t> (knn)</w:t>
                            </w:r>
                          </w:p>
                        </w:tc>
                      </w:tr>
                      <w:tr>
                        <w:trPr>
                          <w:trHeight w:val="229" w:hRule="atLeast"/>
                        </w:trPr>
                        <w:tc>
                          <w:tcPr>
                            <w:tcW w:w="612" w:type="dxa"/>
                          </w:tcPr>
                          <w:p>
                            <w:pPr>
                              <w:pStyle w:val="TableParagraph"/>
                              <w:spacing w:line="209" w:lineRule="exact"/>
                              <w:ind w:left="50"/>
                              <w:rPr>
                                <w:sz w:val="20"/>
                              </w:rPr>
                            </w:pPr>
                            <w:r>
                              <w:rPr>
                                <w:spacing w:val="-4"/>
                                <w:sz w:val="20"/>
                              </w:rPr>
                              <w:t>1440</w:t>
                            </w:r>
                          </w:p>
                        </w:tc>
                        <w:tc>
                          <w:tcPr>
                            <w:tcW w:w="3146" w:type="dxa"/>
                          </w:tcPr>
                          <w:p>
                            <w:pPr>
                              <w:pStyle w:val="TableParagraph"/>
                              <w:spacing w:line="209" w:lineRule="exact"/>
                              <w:ind w:left="158"/>
                              <w:rPr>
                                <w:sz w:val="20"/>
                              </w:rPr>
                            </w:pPr>
                            <w:r>
                              <w:rPr>
                                <w:sz w:val="20"/>
                              </w:rPr>
                              <w:t>Marathi</w:t>
                            </w:r>
                            <w:r>
                              <w:rPr>
                                <w:spacing w:val="-8"/>
                                <w:sz w:val="20"/>
                              </w:rPr>
                              <w:t> </w:t>
                            </w:r>
                            <w:r>
                              <w:rPr>
                                <w:spacing w:val="-2"/>
                                <w:sz w:val="20"/>
                              </w:rPr>
                              <w:t>(mar)</w:t>
                            </w:r>
                          </w:p>
                        </w:tc>
                      </w:tr>
                      <w:tr>
                        <w:trPr>
                          <w:trHeight w:val="230" w:hRule="atLeast"/>
                        </w:trPr>
                        <w:tc>
                          <w:tcPr>
                            <w:tcW w:w="612" w:type="dxa"/>
                          </w:tcPr>
                          <w:p>
                            <w:pPr>
                              <w:pStyle w:val="TableParagraph"/>
                              <w:ind w:left="50"/>
                              <w:rPr>
                                <w:sz w:val="20"/>
                              </w:rPr>
                            </w:pPr>
                            <w:r>
                              <w:rPr>
                                <w:spacing w:val="-4"/>
                                <w:sz w:val="20"/>
                              </w:rPr>
                              <w:t>1442</w:t>
                            </w:r>
                          </w:p>
                        </w:tc>
                        <w:tc>
                          <w:tcPr>
                            <w:tcW w:w="3146" w:type="dxa"/>
                          </w:tcPr>
                          <w:p>
                            <w:pPr>
                              <w:pStyle w:val="TableParagraph"/>
                              <w:ind w:left="158"/>
                              <w:rPr>
                                <w:sz w:val="20"/>
                              </w:rPr>
                            </w:pPr>
                            <w:r>
                              <w:rPr>
                                <w:sz w:val="20"/>
                              </w:rPr>
                              <w:t>Od</w:t>
                            </w:r>
                            <w:r>
                              <w:rPr>
                                <w:spacing w:val="-2"/>
                                <w:sz w:val="20"/>
                              </w:rPr>
                              <w:t> (odk)</w:t>
                            </w:r>
                          </w:p>
                        </w:tc>
                      </w:tr>
                      <w:tr>
                        <w:trPr>
                          <w:trHeight w:val="230" w:hRule="atLeast"/>
                        </w:trPr>
                        <w:tc>
                          <w:tcPr>
                            <w:tcW w:w="612" w:type="dxa"/>
                          </w:tcPr>
                          <w:p>
                            <w:pPr>
                              <w:pStyle w:val="TableParagraph"/>
                              <w:ind w:left="50"/>
                              <w:rPr>
                                <w:sz w:val="20"/>
                              </w:rPr>
                            </w:pPr>
                            <w:r>
                              <w:rPr>
                                <w:spacing w:val="-4"/>
                                <w:sz w:val="20"/>
                              </w:rPr>
                              <w:t>1450</w:t>
                            </w:r>
                          </w:p>
                        </w:tc>
                        <w:tc>
                          <w:tcPr>
                            <w:tcW w:w="3146" w:type="dxa"/>
                          </w:tcPr>
                          <w:p>
                            <w:pPr>
                              <w:pStyle w:val="TableParagraph"/>
                              <w:ind w:left="158"/>
                              <w:rPr>
                                <w:sz w:val="20"/>
                              </w:rPr>
                            </w:pPr>
                            <w:r>
                              <w:rPr>
                                <w:sz w:val="20"/>
                              </w:rPr>
                              <w:t>Gujarati</w:t>
                            </w:r>
                            <w:r>
                              <w:rPr>
                                <w:spacing w:val="-5"/>
                                <w:sz w:val="20"/>
                              </w:rPr>
                              <w:t> </w:t>
                            </w:r>
                            <w:r>
                              <w:rPr>
                                <w:spacing w:val="-2"/>
                                <w:sz w:val="20"/>
                              </w:rPr>
                              <w:t>(guj)</w:t>
                            </w:r>
                          </w:p>
                        </w:tc>
                      </w:tr>
                      <w:tr>
                        <w:trPr>
                          <w:trHeight w:val="230" w:hRule="atLeast"/>
                        </w:trPr>
                        <w:tc>
                          <w:tcPr>
                            <w:tcW w:w="612" w:type="dxa"/>
                          </w:tcPr>
                          <w:p>
                            <w:pPr>
                              <w:pStyle w:val="TableParagraph"/>
                              <w:ind w:left="50"/>
                              <w:rPr>
                                <w:sz w:val="20"/>
                              </w:rPr>
                            </w:pPr>
                            <w:r>
                              <w:rPr>
                                <w:spacing w:val="-4"/>
                                <w:sz w:val="20"/>
                              </w:rPr>
                              <w:t>1455</w:t>
                            </w:r>
                          </w:p>
                        </w:tc>
                        <w:tc>
                          <w:tcPr>
                            <w:tcW w:w="3146" w:type="dxa"/>
                          </w:tcPr>
                          <w:p>
                            <w:pPr>
                              <w:pStyle w:val="TableParagraph"/>
                              <w:ind w:left="158"/>
                              <w:rPr>
                                <w:sz w:val="20"/>
                              </w:rPr>
                            </w:pPr>
                            <w:r>
                              <w:rPr>
                                <w:sz w:val="20"/>
                              </w:rPr>
                              <w:t>Saurashtra</w:t>
                            </w:r>
                            <w:r>
                              <w:rPr>
                                <w:spacing w:val="-11"/>
                                <w:sz w:val="20"/>
                              </w:rPr>
                              <w:t> </w:t>
                            </w:r>
                            <w:r>
                              <w:rPr>
                                <w:spacing w:val="-4"/>
                                <w:sz w:val="20"/>
                              </w:rPr>
                              <w:t>(saz)</w:t>
                            </w:r>
                          </w:p>
                        </w:tc>
                      </w:tr>
                      <w:tr>
                        <w:trPr>
                          <w:trHeight w:val="230" w:hRule="atLeast"/>
                        </w:trPr>
                        <w:tc>
                          <w:tcPr>
                            <w:tcW w:w="612" w:type="dxa"/>
                          </w:tcPr>
                          <w:p>
                            <w:pPr>
                              <w:pStyle w:val="TableParagraph"/>
                              <w:ind w:left="50"/>
                              <w:rPr>
                                <w:sz w:val="20"/>
                              </w:rPr>
                            </w:pPr>
                            <w:r>
                              <w:rPr>
                                <w:spacing w:val="-4"/>
                                <w:sz w:val="20"/>
                              </w:rPr>
                              <w:t>1460</w:t>
                            </w:r>
                          </w:p>
                        </w:tc>
                        <w:tc>
                          <w:tcPr>
                            <w:tcW w:w="3146" w:type="dxa"/>
                          </w:tcPr>
                          <w:p>
                            <w:pPr>
                              <w:pStyle w:val="TableParagraph"/>
                              <w:ind w:left="158"/>
                              <w:rPr>
                                <w:sz w:val="20"/>
                              </w:rPr>
                            </w:pPr>
                            <w:r>
                              <w:rPr>
                                <w:sz w:val="20"/>
                              </w:rPr>
                              <w:t>Bhojpuri</w:t>
                            </w:r>
                            <w:r>
                              <w:rPr>
                                <w:spacing w:val="-6"/>
                                <w:sz w:val="20"/>
                              </w:rPr>
                              <w:t> </w:t>
                            </w:r>
                            <w:r>
                              <w:rPr>
                                <w:spacing w:val="-2"/>
                                <w:sz w:val="20"/>
                              </w:rPr>
                              <w:t>(bho)</w:t>
                            </w:r>
                          </w:p>
                        </w:tc>
                      </w:tr>
                      <w:tr>
                        <w:trPr>
                          <w:trHeight w:val="229" w:hRule="atLeast"/>
                        </w:trPr>
                        <w:tc>
                          <w:tcPr>
                            <w:tcW w:w="612" w:type="dxa"/>
                          </w:tcPr>
                          <w:p>
                            <w:pPr>
                              <w:pStyle w:val="TableParagraph"/>
                              <w:spacing w:line="209" w:lineRule="exact"/>
                              <w:ind w:left="50"/>
                              <w:rPr>
                                <w:sz w:val="20"/>
                              </w:rPr>
                            </w:pPr>
                            <w:r>
                              <w:rPr>
                                <w:spacing w:val="-4"/>
                                <w:sz w:val="20"/>
                              </w:rPr>
                              <w:t>1463</w:t>
                            </w:r>
                          </w:p>
                        </w:tc>
                        <w:tc>
                          <w:tcPr>
                            <w:tcW w:w="3146" w:type="dxa"/>
                          </w:tcPr>
                          <w:p>
                            <w:pPr>
                              <w:pStyle w:val="TableParagraph"/>
                              <w:spacing w:line="209" w:lineRule="exact"/>
                              <w:ind w:left="158"/>
                              <w:rPr>
                                <w:sz w:val="20"/>
                              </w:rPr>
                            </w:pPr>
                            <w:r>
                              <w:rPr>
                                <w:sz w:val="20"/>
                              </w:rPr>
                              <w:t>Magahi</w:t>
                            </w:r>
                            <w:r>
                              <w:rPr>
                                <w:spacing w:val="-8"/>
                                <w:sz w:val="20"/>
                              </w:rPr>
                              <w:t> </w:t>
                            </w:r>
                            <w:r>
                              <w:rPr>
                                <w:spacing w:val="-2"/>
                                <w:sz w:val="20"/>
                              </w:rPr>
                              <w:t>(mag)</w:t>
                            </w:r>
                          </w:p>
                        </w:tc>
                      </w:tr>
                      <w:tr>
                        <w:trPr>
                          <w:trHeight w:val="229" w:hRule="atLeast"/>
                        </w:trPr>
                        <w:tc>
                          <w:tcPr>
                            <w:tcW w:w="612" w:type="dxa"/>
                          </w:tcPr>
                          <w:p>
                            <w:pPr>
                              <w:pStyle w:val="TableParagraph"/>
                              <w:ind w:left="50"/>
                              <w:rPr>
                                <w:sz w:val="20"/>
                              </w:rPr>
                            </w:pPr>
                            <w:r>
                              <w:rPr>
                                <w:spacing w:val="-4"/>
                                <w:sz w:val="20"/>
                              </w:rPr>
                              <w:t>1467</w:t>
                            </w:r>
                          </w:p>
                        </w:tc>
                        <w:tc>
                          <w:tcPr>
                            <w:tcW w:w="3146" w:type="dxa"/>
                          </w:tcPr>
                          <w:p>
                            <w:pPr>
                              <w:pStyle w:val="TableParagraph"/>
                              <w:ind w:left="158"/>
                              <w:rPr>
                                <w:sz w:val="20"/>
                              </w:rPr>
                            </w:pPr>
                            <w:r>
                              <w:rPr>
                                <w:sz w:val="20"/>
                              </w:rPr>
                              <w:t>Maithili</w:t>
                            </w:r>
                            <w:r>
                              <w:rPr>
                                <w:spacing w:val="-8"/>
                                <w:sz w:val="20"/>
                              </w:rPr>
                              <w:t> </w:t>
                            </w:r>
                            <w:r>
                              <w:rPr>
                                <w:spacing w:val="-2"/>
                                <w:sz w:val="20"/>
                              </w:rPr>
                              <w:t>(mai)</w:t>
                            </w:r>
                          </w:p>
                        </w:tc>
                      </w:tr>
                      <w:tr>
                        <w:trPr>
                          <w:trHeight w:val="230" w:hRule="atLeast"/>
                        </w:trPr>
                        <w:tc>
                          <w:tcPr>
                            <w:tcW w:w="612" w:type="dxa"/>
                          </w:tcPr>
                          <w:p>
                            <w:pPr>
                              <w:pStyle w:val="TableParagraph"/>
                              <w:ind w:left="50"/>
                              <w:rPr>
                                <w:sz w:val="20"/>
                              </w:rPr>
                            </w:pPr>
                            <w:r>
                              <w:rPr>
                                <w:spacing w:val="-4"/>
                                <w:sz w:val="20"/>
                              </w:rPr>
                              <w:t>1470</w:t>
                            </w:r>
                          </w:p>
                        </w:tc>
                        <w:tc>
                          <w:tcPr>
                            <w:tcW w:w="3146" w:type="dxa"/>
                          </w:tcPr>
                          <w:p>
                            <w:pPr>
                              <w:pStyle w:val="TableParagraph"/>
                              <w:ind w:left="158"/>
                              <w:rPr>
                                <w:sz w:val="20"/>
                              </w:rPr>
                            </w:pPr>
                            <w:r>
                              <w:rPr>
                                <w:sz w:val="20"/>
                              </w:rPr>
                              <w:t>Rajasthani</w:t>
                            </w:r>
                            <w:r>
                              <w:rPr>
                                <w:spacing w:val="-10"/>
                                <w:sz w:val="20"/>
                              </w:rPr>
                              <w:t> </w:t>
                            </w:r>
                            <w:r>
                              <w:rPr>
                                <w:spacing w:val="-2"/>
                                <w:sz w:val="20"/>
                              </w:rPr>
                              <w:t>(raj)</w:t>
                            </w:r>
                          </w:p>
                        </w:tc>
                      </w:tr>
                      <w:tr>
                        <w:trPr>
                          <w:trHeight w:val="230" w:hRule="atLeast"/>
                        </w:trPr>
                        <w:tc>
                          <w:tcPr>
                            <w:tcW w:w="612" w:type="dxa"/>
                          </w:tcPr>
                          <w:p>
                            <w:pPr>
                              <w:pStyle w:val="TableParagraph"/>
                              <w:ind w:left="50"/>
                              <w:rPr>
                                <w:sz w:val="20"/>
                              </w:rPr>
                            </w:pPr>
                            <w:r>
                              <w:rPr>
                                <w:spacing w:val="-4"/>
                                <w:sz w:val="20"/>
                              </w:rPr>
                              <w:t>1472</w:t>
                            </w:r>
                          </w:p>
                        </w:tc>
                        <w:tc>
                          <w:tcPr>
                            <w:tcW w:w="3146" w:type="dxa"/>
                          </w:tcPr>
                          <w:p>
                            <w:pPr>
                              <w:pStyle w:val="TableParagraph"/>
                              <w:ind w:left="158"/>
                              <w:rPr>
                                <w:sz w:val="20"/>
                              </w:rPr>
                            </w:pPr>
                            <w:r>
                              <w:rPr>
                                <w:sz w:val="20"/>
                              </w:rPr>
                              <w:t>Bagri</w:t>
                            </w:r>
                            <w:r>
                              <w:rPr>
                                <w:spacing w:val="-5"/>
                                <w:sz w:val="20"/>
                              </w:rPr>
                              <w:t> </w:t>
                            </w:r>
                            <w:r>
                              <w:rPr>
                                <w:spacing w:val="-2"/>
                                <w:sz w:val="20"/>
                              </w:rPr>
                              <w:t>(bgq)</w:t>
                            </w:r>
                          </w:p>
                        </w:tc>
                      </w:tr>
                      <w:tr>
                        <w:trPr>
                          <w:trHeight w:val="230" w:hRule="atLeast"/>
                        </w:trPr>
                        <w:tc>
                          <w:tcPr>
                            <w:tcW w:w="612" w:type="dxa"/>
                          </w:tcPr>
                          <w:p>
                            <w:pPr>
                              <w:pStyle w:val="TableParagraph"/>
                              <w:ind w:left="50"/>
                              <w:rPr>
                                <w:sz w:val="20"/>
                              </w:rPr>
                            </w:pPr>
                            <w:r>
                              <w:rPr>
                                <w:spacing w:val="-4"/>
                                <w:sz w:val="20"/>
                              </w:rPr>
                              <w:t>1474</w:t>
                            </w:r>
                          </w:p>
                        </w:tc>
                        <w:tc>
                          <w:tcPr>
                            <w:tcW w:w="3146" w:type="dxa"/>
                          </w:tcPr>
                          <w:p>
                            <w:pPr>
                              <w:pStyle w:val="TableParagraph"/>
                              <w:ind w:left="158"/>
                              <w:rPr>
                                <w:sz w:val="20"/>
                              </w:rPr>
                            </w:pPr>
                            <w:r>
                              <w:rPr>
                                <w:sz w:val="20"/>
                              </w:rPr>
                              <w:t>Dhatki</w:t>
                            </w:r>
                            <w:r>
                              <w:rPr>
                                <w:spacing w:val="-7"/>
                                <w:sz w:val="20"/>
                              </w:rPr>
                              <w:t> </w:t>
                            </w:r>
                            <w:r>
                              <w:rPr>
                                <w:spacing w:val="-2"/>
                                <w:sz w:val="20"/>
                              </w:rPr>
                              <w:t>(mki)</w:t>
                            </w:r>
                          </w:p>
                        </w:tc>
                      </w:tr>
                      <w:tr>
                        <w:trPr>
                          <w:trHeight w:val="229" w:hRule="atLeast"/>
                        </w:trPr>
                        <w:tc>
                          <w:tcPr>
                            <w:tcW w:w="612" w:type="dxa"/>
                          </w:tcPr>
                          <w:p>
                            <w:pPr>
                              <w:pStyle w:val="TableParagraph"/>
                              <w:spacing w:line="209" w:lineRule="exact"/>
                              <w:ind w:left="50"/>
                              <w:rPr>
                                <w:sz w:val="20"/>
                              </w:rPr>
                            </w:pPr>
                            <w:r>
                              <w:rPr>
                                <w:spacing w:val="-4"/>
                                <w:sz w:val="20"/>
                              </w:rPr>
                              <w:t>1478</w:t>
                            </w:r>
                          </w:p>
                        </w:tc>
                        <w:tc>
                          <w:tcPr>
                            <w:tcW w:w="3146" w:type="dxa"/>
                          </w:tcPr>
                          <w:p>
                            <w:pPr>
                              <w:pStyle w:val="TableParagraph"/>
                              <w:spacing w:line="209" w:lineRule="exact"/>
                              <w:ind w:left="158"/>
                              <w:rPr>
                                <w:sz w:val="20"/>
                              </w:rPr>
                            </w:pPr>
                            <w:r>
                              <w:rPr>
                                <w:sz w:val="20"/>
                              </w:rPr>
                              <w:t>Lambadi</w:t>
                            </w:r>
                            <w:r>
                              <w:rPr>
                                <w:spacing w:val="-9"/>
                                <w:sz w:val="20"/>
                              </w:rPr>
                              <w:t> </w:t>
                            </w:r>
                            <w:r>
                              <w:rPr>
                                <w:spacing w:val="-2"/>
                                <w:sz w:val="20"/>
                              </w:rPr>
                              <w:t>(lmn)</w:t>
                            </w:r>
                          </w:p>
                        </w:tc>
                      </w:tr>
                      <w:tr>
                        <w:trPr>
                          <w:trHeight w:val="229" w:hRule="atLeast"/>
                        </w:trPr>
                        <w:tc>
                          <w:tcPr>
                            <w:tcW w:w="612" w:type="dxa"/>
                          </w:tcPr>
                          <w:p>
                            <w:pPr>
                              <w:pStyle w:val="TableParagraph"/>
                              <w:spacing w:line="209" w:lineRule="exact"/>
                              <w:ind w:left="50"/>
                              <w:rPr>
                                <w:sz w:val="20"/>
                              </w:rPr>
                            </w:pPr>
                            <w:r>
                              <w:rPr>
                                <w:spacing w:val="-4"/>
                                <w:sz w:val="20"/>
                              </w:rPr>
                              <w:t>1480</w:t>
                            </w:r>
                          </w:p>
                        </w:tc>
                        <w:tc>
                          <w:tcPr>
                            <w:tcW w:w="3146" w:type="dxa"/>
                          </w:tcPr>
                          <w:p>
                            <w:pPr>
                              <w:pStyle w:val="TableParagraph"/>
                              <w:spacing w:line="209" w:lineRule="exact"/>
                              <w:ind w:left="158"/>
                              <w:rPr>
                                <w:sz w:val="20"/>
                              </w:rPr>
                            </w:pPr>
                            <w:r>
                              <w:rPr>
                                <w:sz w:val="20"/>
                              </w:rPr>
                              <w:t>Marwari</w:t>
                            </w:r>
                            <w:r>
                              <w:rPr>
                                <w:spacing w:val="-9"/>
                                <w:sz w:val="20"/>
                              </w:rPr>
                              <w:t> </w:t>
                            </w:r>
                            <w:r>
                              <w:rPr>
                                <w:spacing w:val="-2"/>
                                <w:sz w:val="20"/>
                              </w:rPr>
                              <w:t>(mwr)</w:t>
                            </w:r>
                          </w:p>
                        </w:tc>
                      </w:tr>
                      <w:tr>
                        <w:trPr>
                          <w:trHeight w:val="230" w:hRule="atLeast"/>
                        </w:trPr>
                        <w:tc>
                          <w:tcPr>
                            <w:tcW w:w="612" w:type="dxa"/>
                          </w:tcPr>
                          <w:p>
                            <w:pPr>
                              <w:pStyle w:val="TableParagraph"/>
                              <w:ind w:left="50"/>
                              <w:rPr>
                                <w:sz w:val="20"/>
                              </w:rPr>
                            </w:pPr>
                            <w:r>
                              <w:rPr>
                                <w:spacing w:val="-4"/>
                                <w:sz w:val="20"/>
                              </w:rPr>
                              <w:t>1481</w:t>
                            </w:r>
                          </w:p>
                        </w:tc>
                        <w:tc>
                          <w:tcPr>
                            <w:tcW w:w="3146" w:type="dxa"/>
                          </w:tcPr>
                          <w:p>
                            <w:pPr>
                              <w:pStyle w:val="TableParagraph"/>
                              <w:ind w:left="158"/>
                              <w:rPr>
                                <w:sz w:val="20"/>
                              </w:rPr>
                            </w:pPr>
                            <w:r>
                              <w:rPr>
                                <w:sz w:val="20"/>
                              </w:rPr>
                              <w:t>Marwari</w:t>
                            </w:r>
                            <w:r>
                              <w:rPr>
                                <w:spacing w:val="-8"/>
                                <w:sz w:val="20"/>
                              </w:rPr>
                              <w:t> </w:t>
                            </w:r>
                            <w:r>
                              <w:rPr>
                                <w:sz w:val="20"/>
                              </w:rPr>
                              <w:t>(India)</w:t>
                            </w:r>
                            <w:r>
                              <w:rPr>
                                <w:spacing w:val="-5"/>
                                <w:sz w:val="20"/>
                              </w:rPr>
                              <w:t> </w:t>
                            </w:r>
                            <w:r>
                              <w:rPr>
                                <w:spacing w:val="-4"/>
                                <w:sz w:val="20"/>
                              </w:rPr>
                              <w:t>(rwr)</w:t>
                            </w:r>
                          </w:p>
                        </w:tc>
                      </w:tr>
                      <w:tr>
                        <w:trPr>
                          <w:trHeight w:val="230" w:hRule="atLeast"/>
                        </w:trPr>
                        <w:tc>
                          <w:tcPr>
                            <w:tcW w:w="612" w:type="dxa"/>
                          </w:tcPr>
                          <w:p>
                            <w:pPr>
                              <w:pStyle w:val="TableParagraph"/>
                              <w:ind w:left="50"/>
                              <w:rPr>
                                <w:sz w:val="20"/>
                              </w:rPr>
                            </w:pPr>
                            <w:r>
                              <w:rPr>
                                <w:spacing w:val="-4"/>
                                <w:sz w:val="20"/>
                              </w:rPr>
                              <w:t>1482</w:t>
                            </w:r>
                          </w:p>
                        </w:tc>
                        <w:tc>
                          <w:tcPr>
                            <w:tcW w:w="3146" w:type="dxa"/>
                          </w:tcPr>
                          <w:p>
                            <w:pPr>
                              <w:pStyle w:val="TableParagraph"/>
                              <w:ind w:left="158"/>
                              <w:rPr>
                                <w:sz w:val="20"/>
                              </w:rPr>
                            </w:pPr>
                            <w:r>
                              <w:rPr>
                                <w:sz w:val="20"/>
                              </w:rPr>
                              <w:t>Dhundari</w:t>
                            </w:r>
                            <w:r>
                              <w:rPr>
                                <w:spacing w:val="-9"/>
                                <w:sz w:val="20"/>
                              </w:rPr>
                              <w:t> </w:t>
                            </w:r>
                            <w:r>
                              <w:rPr>
                                <w:spacing w:val="-2"/>
                                <w:sz w:val="20"/>
                              </w:rPr>
                              <w:t>(dhd)</w:t>
                            </w:r>
                          </w:p>
                        </w:tc>
                      </w:tr>
                      <w:tr>
                        <w:trPr>
                          <w:trHeight w:val="230" w:hRule="atLeast"/>
                        </w:trPr>
                        <w:tc>
                          <w:tcPr>
                            <w:tcW w:w="612" w:type="dxa"/>
                          </w:tcPr>
                          <w:p>
                            <w:pPr>
                              <w:pStyle w:val="TableParagraph"/>
                              <w:ind w:left="50"/>
                              <w:rPr>
                                <w:sz w:val="20"/>
                              </w:rPr>
                            </w:pPr>
                            <w:r>
                              <w:rPr>
                                <w:spacing w:val="-4"/>
                                <w:sz w:val="20"/>
                              </w:rPr>
                              <w:t>1486</w:t>
                            </w:r>
                          </w:p>
                        </w:tc>
                        <w:tc>
                          <w:tcPr>
                            <w:tcW w:w="3146" w:type="dxa"/>
                          </w:tcPr>
                          <w:p>
                            <w:pPr>
                              <w:pStyle w:val="TableParagraph"/>
                              <w:ind w:left="158"/>
                              <w:rPr>
                                <w:sz w:val="20"/>
                              </w:rPr>
                            </w:pPr>
                            <w:r>
                              <w:rPr>
                                <w:sz w:val="20"/>
                              </w:rPr>
                              <w:t>Bodo</w:t>
                            </w:r>
                            <w:r>
                              <w:rPr>
                                <w:spacing w:val="-4"/>
                                <w:sz w:val="20"/>
                              </w:rPr>
                              <w:t> </w:t>
                            </w:r>
                            <w:r>
                              <w:rPr>
                                <w:sz w:val="20"/>
                              </w:rPr>
                              <w:t>Parja</w:t>
                            </w:r>
                            <w:r>
                              <w:rPr>
                                <w:spacing w:val="-3"/>
                                <w:sz w:val="20"/>
                              </w:rPr>
                              <w:t> </w:t>
                            </w:r>
                            <w:r>
                              <w:rPr>
                                <w:spacing w:val="-2"/>
                                <w:sz w:val="20"/>
                              </w:rPr>
                              <w:t>(bdv)</w:t>
                            </w:r>
                          </w:p>
                        </w:tc>
                      </w:tr>
                      <w:tr>
                        <w:trPr>
                          <w:trHeight w:val="230" w:hRule="atLeast"/>
                        </w:trPr>
                        <w:tc>
                          <w:tcPr>
                            <w:tcW w:w="612" w:type="dxa"/>
                          </w:tcPr>
                          <w:p>
                            <w:pPr>
                              <w:pStyle w:val="TableParagraph"/>
                              <w:ind w:left="50"/>
                              <w:rPr>
                                <w:sz w:val="20"/>
                              </w:rPr>
                            </w:pPr>
                            <w:r>
                              <w:rPr>
                                <w:spacing w:val="-4"/>
                                <w:sz w:val="20"/>
                              </w:rPr>
                              <w:t>1488</w:t>
                            </w:r>
                          </w:p>
                        </w:tc>
                        <w:tc>
                          <w:tcPr>
                            <w:tcW w:w="3146" w:type="dxa"/>
                          </w:tcPr>
                          <w:p>
                            <w:pPr>
                              <w:pStyle w:val="TableParagraph"/>
                              <w:ind w:left="158"/>
                              <w:rPr>
                                <w:sz w:val="20"/>
                              </w:rPr>
                            </w:pPr>
                            <w:r>
                              <w:rPr>
                                <w:sz w:val="20"/>
                              </w:rPr>
                              <w:t>Desiya</w:t>
                            </w:r>
                            <w:r>
                              <w:rPr>
                                <w:spacing w:val="-8"/>
                                <w:sz w:val="20"/>
                              </w:rPr>
                              <w:t> </w:t>
                            </w:r>
                            <w:r>
                              <w:rPr>
                                <w:spacing w:val="-2"/>
                                <w:sz w:val="20"/>
                              </w:rPr>
                              <w:t>(dso)</w:t>
                            </w:r>
                          </w:p>
                        </w:tc>
                      </w:tr>
                      <w:tr>
                        <w:trPr>
                          <w:trHeight w:val="225" w:hRule="atLeast"/>
                        </w:trPr>
                        <w:tc>
                          <w:tcPr>
                            <w:tcW w:w="612" w:type="dxa"/>
                          </w:tcPr>
                          <w:p>
                            <w:pPr>
                              <w:pStyle w:val="TableParagraph"/>
                              <w:spacing w:line="205" w:lineRule="exact"/>
                              <w:ind w:left="50"/>
                              <w:rPr>
                                <w:sz w:val="20"/>
                              </w:rPr>
                            </w:pPr>
                            <w:r>
                              <w:rPr>
                                <w:spacing w:val="-4"/>
                                <w:sz w:val="20"/>
                              </w:rPr>
                              <w:t>1490</w:t>
                            </w:r>
                          </w:p>
                        </w:tc>
                        <w:tc>
                          <w:tcPr>
                            <w:tcW w:w="3146" w:type="dxa"/>
                          </w:tcPr>
                          <w:p>
                            <w:pPr>
                              <w:pStyle w:val="TableParagraph"/>
                              <w:spacing w:line="205" w:lineRule="exact"/>
                              <w:ind w:left="158"/>
                              <w:rPr>
                                <w:sz w:val="20"/>
                              </w:rPr>
                            </w:pPr>
                            <w:r>
                              <w:rPr>
                                <w:sz w:val="20"/>
                              </w:rPr>
                              <w:t>Oriya</w:t>
                            </w:r>
                            <w:r>
                              <w:rPr>
                                <w:spacing w:val="-9"/>
                                <w:sz w:val="20"/>
                              </w:rPr>
                              <w:t> </w:t>
                            </w:r>
                            <w:r>
                              <w:rPr>
                                <w:sz w:val="20"/>
                              </w:rPr>
                              <w:t>(individual</w:t>
                            </w:r>
                            <w:r>
                              <w:rPr>
                                <w:spacing w:val="-9"/>
                                <w:sz w:val="20"/>
                              </w:rPr>
                              <w:t> </w:t>
                            </w:r>
                            <w:r>
                              <w:rPr>
                                <w:sz w:val="20"/>
                              </w:rPr>
                              <w:t>language)</w:t>
                            </w:r>
                            <w:r>
                              <w:rPr>
                                <w:spacing w:val="-6"/>
                                <w:sz w:val="20"/>
                              </w:rPr>
                              <w:t> </w:t>
                            </w:r>
                            <w:r>
                              <w:rPr>
                                <w:spacing w:val="-4"/>
                                <w:sz w:val="20"/>
                              </w:rPr>
                              <w:t>(ory)</w:t>
                            </w:r>
                          </w:p>
                        </w:tc>
                      </w:tr>
                    </w:tbl>
                    <w:p>
                      <w:pPr>
                        <w:pStyle w:val="BodyText"/>
                      </w:pPr>
                    </w:p>
                  </w:txbxContent>
                </v:textbox>
                <w10:wrap type="none"/>
              </v:shape>
            </w:pict>
          </mc:Fallback>
        </mc:AlternateContent>
      </w:r>
      <w:r>
        <w:rPr>
          <w:rFonts w:ascii="Times New Roman"/>
          <w:i/>
          <w:sz w:val="20"/>
        </w:rPr>
        <w:t>Indo-Aryan</w:t>
      </w:r>
      <w:r>
        <w:rPr>
          <w:rFonts w:ascii="Times New Roman"/>
          <w:i/>
          <w:spacing w:val="-6"/>
          <w:sz w:val="20"/>
        </w:rPr>
        <w:t> </w:t>
      </w:r>
      <w:r>
        <w:rPr>
          <w:rFonts w:ascii="Times New Roman"/>
          <w:i/>
          <w:sz w:val="20"/>
        </w:rPr>
        <w:t>(Indic)</w:t>
      </w:r>
      <w:r>
        <w:rPr>
          <w:rFonts w:ascii="Times New Roman"/>
          <w:i/>
          <w:spacing w:val="-7"/>
          <w:sz w:val="20"/>
        </w:rPr>
        <w:t> </w:t>
      </w:r>
      <w:r>
        <w:rPr>
          <w:rFonts w:ascii="Times New Roman"/>
          <w:i/>
          <w:sz w:val="20"/>
        </w:rPr>
        <w:t>languages</w:t>
      </w:r>
      <w:r>
        <w:rPr>
          <w:rFonts w:ascii="Times New Roman"/>
          <w:i/>
          <w:spacing w:val="-10"/>
          <w:sz w:val="20"/>
        </w:rPr>
        <w:t> </w:t>
      </w:r>
      <w:r>
        <w:rPr>
          <w:rFonts w:ascii="Times New Roman"/>
          <w:i/>
          <w:sz w:val="20"/>
        </w:rPr>
        <w:t>(1340-</w:t>
      </w:r>
      <w:r>
        <w:rPr>
          <w:rFonts w:ascii="Times New Roman"/>
          <w:i/>
          <w:spacing w:val="-4"/>
          <w:sz w:val="20"/>
        </w:rPr>
        <w:t>1543)</w:t>
      </w: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pStyle w:val="BodyText"/>
        <w:rPr>
          <w:rFonts w:ascii="Times New Roman"/>
          <w:i/>
          <w:sz w:val="22"/>
        </w:rPr>
      </w:pPr>
    </w:p>
    <w:p>
      <w:pPr>
        <w:spacing w:line="460" w:lineRule="atLeast" w:before="162"/>
        <w:ind w:left="552" w:right="7459" w:firstLine="0"/>
        <w:jc w:val="left"/>
        <w:rPr>
          <w:rFonts w:ascii="Times New Roman"/>
          <w:i/>
          <w:sz w:val="20"/>
        </w:rPr>
      </w:pPr>
      <w:r>
        <w:rPr>
          <w:rFonts w:ascii="Times New Roman"/>
          <w:i/>
          <w:sz w:val="20"/>
          <w:u w:val="single"/>
        </w:rPr>
        <w:t>Indo-Iranian</w:t>
      </w:r>
      <w:r>
        <w:rPr>
          <w:rFonts w:ascii="Times New Roman"/>
          <w:i/>
          <w:spacing w:val="-13"/>
          <w:sz w:val="20"/>
          <w:u w:val="single"/>
        </w:rPr>
        <w:t> </w:t>
      </w:r>
      <w:r>
        <w:rPr>
          <w:rFonts w:ascii="Times New Roman"/>
          <w:i/>
          <w:sz w:val="20"/>
          <w:u w:val="single"/>
        </w:rPr>
        <w:t>languages</w:t>
      </w:r>
      <w:r>
        <w:rPr>
          <w:rFonts w:ascii="Times New Roman"/>
          <w:i/>
          <w:spacing w:val="-12"/>
          <w:sz w:val="20"/>
          <w:u w:val="single"/>
        </w:rPr>
        <w:t> </w:t>
      </w:r>
      <w:r>
        <w:rPr>
          <w:rFonts w:ascii="Times New Roman"/>
          <w:i/>
          <w:sz w:val="20"/>
          <w:u w:val="single"/>
        </w:rPr>
        <w:t>(1289-1543)</w:t>
      </w:r>
      <w:r>
        <w:rPr>
          <w:rFonts w:ascii="Times New Roman"/>
          <w:i/>
          <w:sz w:val="20"/>
        </w:rPr>
        <w:t> Persian (1289-1307)</w:t>
      </w:r>
    </w:p>
    <w:p>
      <w:pPr>
        <w:tabs>
          <w:tab w:pos="1272" w:val="left" w:leader="none"/>
        </w:tabs>
        <w:spacing w:before="1"/>
        <w:ind w:left="552" w:right="7459" w:firstLine="0"/>
        <w:jc w:val="left"/>
        <w:rPr>
          <w:rFonts w:ascii="Times New Roman"/>
          <w:sz w:val="20"/>
        </w:rPr>
      </w:pPr>
      <w:r>
        <w:rPr>
          <w:rFonts w:ascii="Times New Roman"/>
          <w:spacing w:val="-4"/>
          <w:sz w:val="20"/>
        </w:rPr>
        <w:t>1290</w:t>
      </w:r>
      <w:r>
        <w:rPr>
          <w:rFonts w:ascii="Times New Roman"/>
          <w:sz w:val="20"/>
        </w:rPr>
        <w:tab/>
        <w:t>Persian</w:t>
      </w:r>
      <w:r>
        <w:rPr>
          <w:rFonts w:ascii="Times New Roman"/>
          <w:spacing w:val="-13"/>
          <w:sz w:val="20"/>
        </w:rPr>
        <w:t> </w:t>
      </w:r>
      <w:r>
        <w:rPr>
          <w:rFonts w:ascii="Times New Roman"/>
          <w:sz w:val="20"/>
        </w:rPr>
        <w:t>(macrolanguage)</w:t>
      </w:r>
      <w:r>
        <w:rPr>
          <w:rFonts w:ascii="Times New Roman"/>
          <w:spacing w:val="-12"/>
          <w:sz w:val="20"/>
        </w:rPr>
        <w:t> </w:t>
      </w:r>
      <w:r>
        <w:rPr>
          <w:rFonts w:ascii="Times New Roman"/>
          <w:sz w:val="20"/>
        </w:rPr>
        <w:t>(fas) </w:t>
      </w:r>
      <w:r>
        <w:rPr>
          <w:rFonts w:ascii="Times New Roman"/>
          <w:spacing w:val="-4"/>
          <w:sz w:val="20"/>
        </w:rPr>
        <w:t>1292</w:t>
      </w:r>
      <w:r>
        <w:rPr>
          <w:rFonts w:ascii="Times New Roman"/>
          <w:sz w:val="20"/>
        </w:rPr>
        <w:tab/>
        <w:t>Dari (prs)</w:t>
      </w:r>
    </w:p>
    <w:p>
      <w:pPr>
        <w:tabs>
          <w:tab w:pos="1272" w:val="left" w:leader="none"/>
        </w:tabs>
        <w:spacing w:before="0"/>
        <w:ind w:left="552" w:right="7757" w:firstLine="0"/>
        <w:jc w:val="left"/>
        <w:rPr>
          <w:rFonts w:ascii="Times New Roman"/>
          <w:sz w:val="20"/>
        </w:rPr>
      </w:pPr>
      <w:r>
        <w:rPr>
          <w:rFonts w:ascii="Times New Roman"/>
          <w:spacing w:val="-4"/>
          <w:sz w:val="20"/>
        </w:rPr>
        <w:t>1295</w:t>
      </w:r>
      <w:r>
        <w:rPr>
          <w:rFonts w:ascii="Times New Roman"/>
          <w:sz w:val="20"/>
        </w:rPr>
        <w:tab/>
        <w:t>Iranian</w:t>
      </w:r>
      <w:r>
        <w:rPr>
          <w:rFonts w:ascii="Times New Roman"/>
          <w:spacing w:val="-13"/>
          <w:sz w:val="20"/>
        </w:rPr>
        <w:t> </w:t>
      </w:r>
      <w:r>
        <w:rPr>
          <w:rFonts w:ascii="Times New Roman"/>
          <w:sz w:val="20"/>
        </w:rPr>
        <w:t>Persian/Farsi</w:t>
      </w:r>
      <w:r>
        <w:rPr>
          <w:rFonts w:ascii="Times New Roman"/>
          <w:spacing w:val="-12"/>
          <w:sz w:val="20"/>
        </w:rPr>
        <w:t> </w:t>
      </w:r>
      <w:r>
        <w:rPr>
          <w:rFonts w:ascii="Times New Roman"/>
          <w:sz w:val="20"/>
        </w:rPr>
        <w:t>(pes) </w:t>
      </w:r>
      <w:r>
        <w:rPr>
          <w:rFonts w:ascii="Times New Roman"/>
          <w:spacing w:val="-4"/>
          <w:sz w:val="20"/>
        </w:rPr>
        <w:t>1300</w:t>
      </w:r>
      <w:r>
        <w:rPr>
          <w:rFonts w:ascii="Times New Roman"/>
          <w:sz w:val="20"/>
        </w:rPr>
        <w:tab/>
        <w:t>Tajik (tgk)</w:t>
      </w:r>
    </w:p>
    <w:p>
      <w:pPr>
        <w:tabs>
          <w:tab w:pos="1272" w:val="left" w:leader="none"/>
        </w:tabs>
        <w:spacing w:before="0"/>
        <w:ind w:left="552" w:right="0" w:firstLine="0"/>
        <w:jc w:val="left"/>
        <w:rPr>
          <w:rFonts w:ascii="Times New Roman"/>
          <w:sz w:val="20"/>
        </w:rPr>
      </w:pPr>
      <w:r>
        <w:rPr>
          <w:rFonts w:ascii="Times New Roman"/>
          <w:spacing w:val="-4"/>
          <w:sz w:val="20"/>
        </w:rPr>
        <w:t>1302</w:t>
      </w:r>
      <w:r>
        <w:rPr>
          <w:rFonts w:ascii="Times New Roman"/>
          <w:sz w:val="20"/>
        </w:rPr>
        <w:tab/>
        <w:t>Bukharic</w:t>
      </w:r>
      <w:r>
        <w:rPr>
          <w:rFonts w:ascii="Times New Roman"/>
          <w:spacing w:val="-9"/>
          <w:sz w:val="20"/>
        </w:rPr>
        <w:t> </w:t>
      </w:r>
      <w:r>
        <w:rPr>
          <w:rFonts w:ascii="Times New Roman"/>
          <w:spacing w:val="-4"/>
          <w:sz w:val="20"/>
        </w:rPr>
        <w:t>(bhh)</w:t>
      </w:r>
    </w:p>
    <w:p>
      <w:pPr>
        <w:tabs>
          <w:tab w:pos="1272" w:val="left" w:leader="none"/>
        </w:tabs>
        <w:spacing w:line="229" w:lineRule="exact" w:before="0"/>
        <w:ind w:left="552" w:right="0" w:firstLine="0"/>
        <w:jc w:val="left"/>
        <w:rPr>
          <w:rFonts w:ascii="Times New Roman"/>
          <w:sz w:val="20"/>
        </w:rPr>
      </w:pPr>
      <w:r>
        <w:rPr>
          <w:rFonts w:ascii="Times New Roman"/>
          <w:spacing w:val="-4"/>
          <w:sz w:val="20"/>
        </w:rPr>
        <w:t>1303</w:t>
      </w:r>
      <w:r>
        <w:rPr>
          <w:rFonts w:ascii="Times New Roman"/>
          <w:sz w:val="20"/>
        </w:rPr>
        <w:tab/>
        <w:t>Hazaragi</w:t>
      </w:r>
      <w:r>
        <w:rPr>
          <w:rFonts w:ascii="Times New Roman"/>
          <w:spacing w:val="-9"/>
          <w:sz w:val="20"/>
        </w:rPr>
        <w:t> </w:t>
      </w:r>
      <w:r>
        <w:rPr>
          <w:rFonts w:ascii="Times New Roman"/>
          <w:spacing w:val="-4"/>
          <w:sz w:val="20"/>
        </w:rPr>
        <w:t>(haz)</w:t>
      </w:r>
    </w:p>
    <w:p>
      <w:pPr>
        <w:tabs>
          <w:tab w:pos="1272" w:val="left" w:leader="none"/>
        </w:tabs>
        <w:spacing w:line="229" w:lineRule="exact" w:before="0"/>
        <w:ind w:left="552" w:right="0" w:firstLine="0"/>
        <w:jc w:val="left"/>
        <w:rPr>
          <w:rFonts w:ascii="Times New Roman"/>
          <w:sz w:val="20"/>
        </w:rPr>
      </w:pPr>
      <w:r>
        <w:rPr>
          <w:rFonts w:ascii="Times New Roman"/>
          <w:spacing w:val="-4"/>
          <w:sz w:val="20"/>
        </w:rPr>
        <w:t>1304</w:t>
      </w:r>
      <w:r>
        <w:rPr>
          <w:rFonts w:ascii="Times New Roman"/>
          <w:sz w:val="20"/>
        </w:rPr>
        <w:tab/>
        <w:t>Judeo-Persian</w:t>
      </w:r>
      <w:r>
        <w:rPr>
          <w:rFonts w:ascii="Times New Roman"/>
          <w:spacing w:val="-13"/>
          <w:sz w:val="20"/>
        </w:rPr>
        <w:t> </w:t>
      </w:r>
      <w:r>
        <w:rPr>
          <w:rFonts w:ascii="Times New Roman"/>
          <w:spacing w:val="-4"/>
          <w:sz w:val="20"/>
        </w:rPr>
        <w:t>(jpr)</w:t>
      </w:r>
    </w:p>
    <w:p>
      <w:pPr>
        <w:pStyle w:val="BodyText"/>
        <w:rPr>
          <w:rFonts w:ascii="Times New Roman"/>
          <w:sz w:val="20"/>
        </w:rPr>
      </w:pPr>
    </w:p>
    <w:p>
      <w:pPr>
        <w:tabs>
          <w:tab w:pos="1272" w:val="left" w:leader="none"/>
        </w:tabs>
        <w:spacing w:before="0"/>
        <w:ind w:left="552" w:right="8358" w:firstLine="0"/>
        <w:jc w:val="left"/>
        <w:rPr>
          <w:rFonts w:ascii="Times New Roman"/>
          <w:sz w:val="20"/>
        </w:rPr>
      </w:pPr>
      <w:r>
        <w:rPr>
          <w:rFonts w:ascii="Times New Roman"/>
          <w:spacing w:val="-4"/>
          <w:sz w:val="20"/>
        </w:rPr>
        <w:t>1308</w:t>
      </w:r>
      <w:r>
        <w:rPr>
          <w:rFonts w:ascii="Times New Roman"/>
          <w:sz w:val="20"/>
        </w:rPr>
        <w:tab/>
        <w:t>Judeo-Tat (jdt) </w:t>
      </w:r>
      <w:r>
        <w:rPr>
          <w:rFonts w:ascii="Times New Roman"/>
          <w:spacing w:val="-4"/>
          <w:sz w:val="20"/>
        </w:rPr>
        <w:t>1309</w:t>
      </w:r>
      <w:r>
        <w:rPr>
          <w:rFonts w:ascii="Times New Roman"/>
          <w:sz w:val="20"/>
        </w:rPr>
        <w:tab/>
        <w:t>Northern</w:t>
      </w:r>
      <w:r>
        <w:rPr>
          <w:rFonts w:ascii="Times New Roman"/>
          <w:spacing w:val="-13"/>
          <w:sz w:val="20"/>
        </w:rPr>
        <w:t> </w:t>
      </w:r>
      <w:r>
        <w:rPr>
          <w:rFonts w:ascii="Times New Roman"/>
          <w:sz w:val="20"/>
        </w:rPr>
        <w:t>Luri</w:t>
      </w:r>
      <w:r>
        <w:rPr>
          <w:rFonts w:ascii="Times New Roman"/>
          <w:spacing w:val="-12"/>
          <w:sz w:val="20"/>
        </w:rPr>
        <w:t> </w:t>
      </w:r>
      <w:r>
        <w:rPr>
          <w:rFonts w:ascii="Times New Roman"/>
          <w:sz w:val="20"/>
        </w:rPr>
        <w:t>(lcr) </w:t>
      </w:r>
      <w:r>
        <w:rPr>
          <w:rFonts w:ascii="Times New Roman"/>
          <w:spacing w:val="-4"/>
          <w:sz w:val="20"/>
        </w:rPr>
        <w:t>1310</w:t>
      </w:r>
      <w:r>
        <w:rPr>
          <w:rFonts w:ascii="Times New Roman"/>
          <w:sz w:val="20"/>
        </w:rPr>
        <w:tab/>
        <w:t>Parsi (prp)</w:t>
      </w:r>
    </w:p>
    <w:p>
      <w:pPr>
        <w:tabs>
          <w:tab w:pos="1272" w:val="left" w:leader="none"/>
        </w:tabs>
        <w:spacing w:before="2"/>
        <w:ind w:left="552" w:right="8070" w:firstLine="0"/>
        <w:jc w:val="left"/>
        <w:rPr>
          <w:rFonts w:ascii="Times New Roman"/>
          <w:sz w:val="20"/>
        </w:rPr>
      </w:pPr>
      <w:r>
        <w:rPr>
          <w:rFonts w:ascii="Times New Roman"/>
          <w:spacing w:val="-4"/>
          <w:sz w:val="20"/>
        </w:rPr>
        <w:t>1311</w:t>
      </w:r>
      <w:r>
        <w:rPr>
          <w:rFonts w:ascii="Times New Roman"/>
          <w:sz w:val="20"/>
        </w:rPr>
        <w:tab/>
        <w:t>Zoroastrian</w:t>
      </w:r>
      <w:r>
        <w:rPr>
          <w:rFonts w:ascii="Times New Roman"/>
          <w:spacing w:val="-13"/>
          <w:sz w:val="20"/>
        </w:rPr>
        <w:t> </w:t>
      </w:r>
      <w:r>
        <w:rPr>
          <w:rFonts w:ascii="Times New Roman"/>
          <w:sz w:val="20"/>
        </w:rPr>
        <w:t>Dari</w:t>
      </w:r>
      <w:r>
        <w:rPr>
          <w:rFonts w:ascii="Times New Roman"/>
          <w:spacing w:val="-12"/>
          <w:sz w:val="20"/>
        </w:rPr>
        <w:t> </w:t>
      </w:r>
      <w:r>
        <w:rPr>
          <w:rFonts w:ascii="Times New Roman"/>
          <w:sz w:val="20"/>
        </w:rPr>
        <w:t>(gbz) </w:t>
      </w:r>
      <w:r>
        <w:rPr>
          <w:rFonts w:ascii="Times New Roman"/>
          <w:spacing w:val="-4"/>
          <w:sz w:val="20"/>
        </w:rPr>
        <w:t>1312</w:t>
      </w:r>
      <w:r>
        <w:rPr>
          <w:rFonts w:ascii="Times New Roman"/>
          <w:sz w:val="20"/>
        </w:rPr>
        <w:tab/>
        <w:t>Dezfuli (def)</w:t>
      </w:r>
    </w:p>
    <w:p>
      <w:pPr>
        <w:tabs>
          <w:tab w:pos="1272" w:val="left" w:leader="none"/>
        </w:tabs>
        <w:spacing w:before="0"/>
        <w:ind w:left="552" w:right="7366" w:firstLine="0"/>
        <w:jc w:val="left"/>
        <w:rPr>
          <w:rFonts w:ascii="Times New Roman"/>
          <w:sz w:val="20"/>
        </w:rPr>
      </w:pPr>
      <w:r>
        <w:rPr>
          <w:rFonts w:ascii="Times New Roman"/>
          <w:spacing w:val="-4"/>
          <w:sz w:val="20"/>
        </w:rPr>
        <w:t>1315</w:t>
      </w:r>
      <w:r>
        <w:rPr>
          <w:rFonts w:ascii="Times New Roman"/>
          <w:sz w:val="20"/>
        </w:rPr>
        <w:tab/>
        <w:t>Kurdish</w:t>
      </w:r>
      <w:r>
        <w:rPr>
          <w:rFonts w:ascii="Times New Roman"/>
          <w:spacing w:val="-13"/>
          <w:sz w:val="20"/>
        </w:rPr>
        <w:t> </w:t>
      </w:r>
      <w:r>
        <w:rPr>
          <w:rFonts w:ascii="Times New Roman"/>
          <w:sz w:val="20"/>
        </w:rPr>
        <w:t>(macrolanguage)</w:t>
      </w:r>
      <w:r>
        <w:rPr>
          <w:rFonts w:ascii="Times New Roman"/>
          <w:spacing w:val="-12"/>
          <w:sz w:val="20"/>
        </w:rPr>
        <w:t> </w:t>
      </w:r>
      <w:r>
        <w:rPr>
          <w:rFonts w:ascii="Times New Roman"/>
          <w:sz w:val="20"/>
        </w:rPr>
        <w:t>(kur) </w:t>
      </w:r>
      <w:r>
        <w:rPr>
          <w:rFonts w:ascii="Times New Roman"/>
          <w:spacing w:val="-4"/>
          <w:sz w:val="20"/>
        </w:rPr>
        <w:t>1316</w:t>
      </w:r>
      <w:r>
        <w:rPr>
          <w:rFonts w:ascii="Times New Roman"/>
          <w:sz w:val="20"/>
        </w:rPr>
        <w:tab/>
        <w:t>Central Kurdish (ckb)</w:t>
      </w:r>
    </w:p>
    <w:p>
      <w:pPr>
        <w:tabs>
          <w:tab w:pos="1272" w:val="left" w:leader="none"/>
        </w:tabs>
        <w:spacing w:before="0"/>
        <w:ind w:left="552" w:right="7623" w:firstLine="0"/>
        <w:jc w:val="left"/>
        <w:rPr>
          <w:rFonts w:ascii="Times New Roman"/>
          <w:sz w:val="20"/>
        </w:rPr>
      </w:pPr>
      <w:r>
        <w:rPr>
          <w:rFonts w:ascii="Times New Roman"/>
          <w:spacing w:val="-4"/>
          <w:sz w:val="20"/>
        </w:rPr>
        <w:t>1317</w:t>
      </w:r>
      <w:r>
        <w:rPr>
          <w:rFonts w:ascii="Times New Roman"/>
          <w:sz w:val="20"/>
        </w:rPr>
        <w:tab/>
        <w:t>Northern Kurdish (kmr) </w:t>
      </w:r>
      <w:r>
        <w:rPr>
          <w:rFonts w:ascii="Times New Roman"/>
          <w:spacing w:val="-4"/>
          <w:sz w:val="20"/>
        </w:rPr>
        <w:t>1320</w:t>
      </w:r>
      <w:r>
        <w:rPr>
          <w:rFonts w:ascii="Times New Roman"/>
          <w:sz w:val="20"/>
        </w:rPr>
        <w:tab/>
        <w:t>Zaza</w:t>
      </w:r>
      <w:r>
        <w:rPr>
          <w:rFonts w:ascii="Times New Roman"/>
          <w:spacing w:val="-13"/>
          <w:sz w:val="20"/>
        </w:rPr>
        <w:t> </w:t>
      </w:r>
      <w:r>
        <w:rPr>
          <w:rFonts w:ascii="Times New Roman"/>
          <w:sz w:val="20"/>
        </w:rPr>
        <w:t>(macrolanguage)</w:t>
      </w:r>
      <w:r>
        <w:rPr>
          <w:rFonts w:ascii="Times New Roman"/>
          <w:spacing w:val="-12"/>
          <w:sz w:val="20"/>
        </w:rPr>
        <w:t> </w:t>
      </w:r>
      <w:r>
        <w:rPr>
          <w:rFonts w:ascii="Times New Roman"/>
          <w:sz w:val="20"/>
        </w:rPr>
        <w:t>(zza)</w:t>
      </w:r>
    </w:p>
    <w:p>
      <w:pPr>
        <w:tabs>
          <w:tab w:pos="1272" w:val="left" w:leader="none"/>
        </w:tabs>
        <w:spacing w:before="0"/>
        <w:ind w:left="552" w:right="7411" w:firstLine="0"/>
        <w:jc w:val="left"/>
        <w:rPr>
          <w:rFonts w:ascii="Times New Roman"/>
          <w:sz w:val="20"/>
        </w:rPr>
      </w:pPr>
      <w:r>
        <w:rPr>
          <w:rFonts w:ascii="Times New Roman"/>
          <w:spacing w:val="-4"/>
          <w:sz w:val="20"/>
        </w:rPr>
        <w:t>1321</w:t>
      </w:r>
      <w:r>
        <w:rPr>
          <w:rFonts w:ascii="Times New Roman"/>
          <w:sz w:val="20"/>
        </w:rPr>
        <w:tab/>
        <w:t>Baluchi</w:t>
      </w:r>
      <w:r>
        <w:rPr>
          <w:rFonts w:ascii="Times New Roman"/>
          <w:spacing w:val="-13"/>
          <w:sz w:val="20"/>
        </w:rPr>
        <w:t> </w:t>
      </w:r>
      <w:r>
        <w:rPr>
          <w:rFonts w:ascii="Times New Roman"/>
          <w:sz w:val="20"/>
        </w:rPr>
        <w:t>(macrolanguage)</w:t>
      </w:r>
      <w:r>
        <w:rPr>
          <w:rFonts w:ascii="Times New Roman"/>
          <w:spacing w:val="-12"/>
          <w:sz w:val="20"/>
        </w:rPr>
        <w:t> </w:t>
      </w:r>
      <w:r>
        <w:rPr>
          <w:rFonts w:ascii="Times New Roman"/>
          <w:sz w:val="20"/>
        </w:rPr>
        <w:t>(bal) </w:t>
      </w:r>
      <w:r>
        <w:rPr>
          <w:rFonts w:ascii="Times New Roman"/>
          <w:spacing w:val="-4"/>
          <w:sz w:val="20"/>
        </w:rPr>
        <w:t>1322</w:t>
      </w:r>
      <w:r>
        <w:rPr>
          <w:rFonts w:ascii="Times New Roman"/>
          <w:sz w:val="20"/>
        </w:rPr>
        <w:tab/>
        <w:t>Eastern Balochi (bgp)</w:t>
      </w:r>
    </w:p>
    <w:p>
      <w:pPr>
        <w:tabs>
          <w:tab w:pos="1272" w:val="left" w:leader="none"/>
        </w:tabs>
        <w:spacing w:before="0"/>
        <w:ind w:left="552" w:right="8013" w:firstLine="0"/>
        <w:jc w:val="left"/>
        <w:rPr>
          <w:rFonts w:ascii="Times New Roman"/>
          <w:sz w:val="20"/>
        </w:rPr>
      </w:pPr>
      <w:r>
        <w:rPr>
          <w:rFonts w:ascii="Times New Roman"/>
          <w:spacing w:val="-4"/>
          <w:sz w:val="20"/>
        </w:rPr>
        <w:t>1323</w:t>
      </w:r>
      <w:r>
        <w:rPr>
          <w:rFonts w:ascii="Times New Roman"/>
          <w:sz w:val="20"/>
        </w:rPr>
        <w:tab/>
        <w:t>Southern</w:t>
      </w:r>
      <w:r>
        <w:rPr>
          <w:rFonts w:ascii="Times New Roman"/>
          <w:spacing w:val="-13"/>
          <w:sz w:val="20"/>
        </w:rPr>
        <w:t> </w:t>
      </w:r>
      <w:r>
        <w:rPr>
          <w:rFonts w:ascii="Times New Roman"/>
          <w:sz w:val="20"/>
        </w:rPr>
        <w:t>Balochi</w:t>
      </w:r>
      <w:r>
        <w:rPr>
          <w:rFonts w:ascii="Times New Roman"/>
          <w:spacing w:val="-12"/>
          <w:sz w:val="20"/>
        </w:rPr>
        <w:t> </w:t>
      </w:r>
      <w:r>
        <w:rPr>
          <w:rFonts w:ascii="Times New Roman"/>
          <w:sz w:val="20"/>
        </w:rPr>
        <w:t>(bcc) </w:t>
      </w:r>
      <w:r>
        <w:rPr>
          <w:rFonts w:ascii="Times New Roman"/>
          <w:spacing w:val="-4"/>
          <w:sz w:val="20"/>
        </w:rPr>
        <w:t>1325</w:t>
      </w:r>
      <w:r>
        <w:rPr>
          <w:rFonts w:ascii="Times New Roman"/>
          <w:sz w:val="20"/>
        </w:rPr>
        <w:tab/>
        <w:t>Ossetian (oss)</w:t>
      </w:r>
    </w:p>
    <w:p>
      <w:pPr>
        <w:tabs>
          <w:tab w:pos="1272" w:val="left" w:leader="none"/>
        </w:tabs>
        <w:spacing w:before="0"/>
        <w:ind w:left="552" w:right="0" w:firstLine="0"/>
        <w:jc w:val="left"/>
        <w:rPr>
          <w:rFonts w:ascii="Times New Roman"/>
          <w:sz w:val="20"/>
        </w:rPr>
      </w:pPr>
      <w:r>
        <w:rPr>
          <w:rFonts w:ascii="Times New Roman"/>
          <w:spacing w:val="-4"/>
          <w:sz w:val="20"/>
        </w:rPr>
        <w:t>1327</w:t>
      </w:r>
      <w:r>
        <w:rPr>
          <w:rFonts w:ascii="Times New Roman"/>
          <w:sz w:val="20"/>
        </w:rPr>
        <w:tab/>
        <w:t>Pushto</w:t>
      </w:r>
      <w:r>
        <w:rPr>
          <w:rFonts w:ascii="Times New Roman"/>
          <w:spacing w:val="-12"/>
          <w:sz w:val="20"/>
        </w:rPr>
        <w:t> </w:t>
      </w:r>
      <w:r>
        <w:rPr>
          <w:rFonts w:ascii="Times New Roman"/>
          <w:sz w:val="20"/>
        </w:rPr>
        <w:t>(macrolanguage)</w:t>
      </w:r>
      <w:r>
        <w:rPr>
          <w:rFonts w:ascii="Times New Roman"/>
          <w:spacing w:val="-9"/>
          <w:sz w:val="20"/>
        </w:rPr>
        <w:t> </w:t>
      </w:r>
      <w:r>
        <w:rPr>
          <w:rFonts w:ascii="Times New Roman"/>
          <w:spacing w:val="-4"/>
          <w:sz w:val="20"/>
        </w:rPr>
        <w:t>(pus)</w:t>
      </w:r>
    </w:p>
    <w:p>
      <w:pPr>
        <w:spacing w:after="0"/>
        <w:jc w:val="left"/>
        <w:rPr>
          <w:rFonts w:ascii="Times New Roman"/>
          <w:sz w:val="20"/>
        </w:rPr>
        <w:sectPr>
          <w:footerReference w:type="default" r:id="rId82"/>
          <w:pgSz w:w="12240" w:h="15840"/>
          <w:pgMar w:footer="0" w:header="0" w:top="1140" w:bottom="280" w:left="600" w:right="500"/>
        </w:sectPr>
      </w:pPr>
    </w:p>
    <w:p>
      <w:pPr>
        <w:pStyle w:val="BodyText"/>
        <w:spacing w:before="7"/>
        <w:rPr>
          <w:rFonts w:ascii="Times New Roman"/>
          <w:sz w:val="6"/>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947"/>
      </w:tblGrid>
      <w:tr>
        <w:trPr>
          <w:trHeight w:val="225" w:hRule="atLeast"/>
        </w:trPr>
        <w:tc>
          <w:tcPr>
            <w:tcW w:w="612" w:type="dxa"/>
          </w:tcPr>
          <w:p>
            <w:pPr>
              <w:pStyle w:val="TableParagraph"/>
              <w:spacing w:line="205" w:lineRule="exact"/>
              <w:ind w:left="50"/>
              <w:rPr>
                <w:sz w:val="20"/>
              </w:rPr>
            </w:pPr>
            <w:r>
              <w:rPr>
                <w:spacing w:val="-4"/>
                <w:sz w:val="20"/>
              </w:rPr>
              <w:t>1491</w:t>
            </w:r>
          </w:p>
        </w:tc>
        <w:tc>
          <w:tcPr>
            <w:tcW w:w="2947" w:type="dxa"/>
          </w:tcPr>
          <w:p>
            <w:pPr>
              <w:pStyle w:val="TableParagraph"/>
              <w:spacing w:line="205" w:lineRule="exact"/>
              <w:ind w:left="158"/>
              <w:rPr>
                <w:sz w:val="20"/>
              </w:rPr>
            </w:pPr>
            <w:r>
              <w:rPr>
                <w:sz w:val="20"/>
              </w:rPr>
              <w:t>Sambalpuri</w:t>
            </w:r>
            <w:r>
              <w:rPr>
                <w:spacing w:val="-11"/>
                <w:sz w:val="20"/>
              </w:rPr>
              <w:t> </w:t>
            </w:r>
            <w:r>
              <w:rPr>
                <w:spacing w:val="-4"/>
                <w:sz w:val="20"/>
              </w:rPr>
              <w:t>(spv)</w:t>
            </w:r>
          </w:p>
        </w:tc>
      </w:tr>
      <w:tr>
        <w:trPr>
          <w:trHeight w:val="229" w:hRule="atLeast"/>
        </w:trPr>
        <w:tc>
          <w:tcPr>
            <w:tcW w:w="612" w:type="dxa"/>
          </w:tcPr>
          <w:p>
            <w:pPr>
              <w:pStyle w:val="TableParagraph"/>
              <w:spacing w:line="209" w:lineRule="exact"/>
              <w:ind w:left="50"/>
              <w:rPr>
                <w:sz w:val="20"/>
              </w:rPr>
            </w:pPr>
            <w:r>
              <w:rPr>
                <w:spacing w:val="-4"/>
                <w:sz w:val="20"/>
              </w:rPr>
              <w:t>1495</w:t>
            </w:r>
          </w:p>
        </w:tc>
        <w:tc>
          <w:tcPr>
            <w:tcW w:w="2947" w:type="dxa"/>
          </w:tcPr>
          <w:p>
            <w:pPr>
              <w:pStyle w:val="TableParagraph"/>
              <w:spacing w:line="209" w:lineRule="exact"/>
              <w:ind w:left="158"/>
              <w:rPr>
                <w:sz w:val="20"/>
              </w:rPr>
            </w:pPr>
            <w:r>
              <w:rPr>
                <w:sz w:val="20"/>
              </w:rPr>
              <w:t>Kashmiri</w:t>
            </w:r>
            <w:r>
              <w:rPr>
                <w:spacing w:val="-10"/>
                <w:sz w:val="20"/>
              </w:rPr>
              <w:t> </w:t>
            </w:r>
            <w:r>
              <w:rPr>
                <w:spacing w:val="-2"/>
                <w:sz w:val="20"/>
              </w:rPr>
              <w:t>(kas)</w:t>
            </w:r>
          </w:p>
        </w:tc>
      </w:tr>
      <w:tr>
        <w:trPr>
          <w:trHeight w:val="229" w:hRule="atLeast"/>
        </w:trPr>
        <w:tc>
          <w:tcPr>
            <w:tcW w:w="612" w:type="dxa"/>
          </w:tcPr>
          <w:p>
            <w:pPr>
              <w:pStyle w:val="TableParagraph"/>
              <w:spacing w:line="209" w:lineRule="exact"/>
              <w:ind w:left="50"/>
              <w:rPr>
                <w:sz w:val="20"/>
              </w:rPr>
            </w:pPr>
            <w:r>
              <w:rPr>
                <w:spacing w:val="-4"/>
                <w:sz w:val="20"/>
              </w:rPr>
              <w:t>1497</w:t>
            </w:r>
          </w:p>
        </w:tc>
        <w:tc>
          <w:tcPr>
            <w:tcW w:w="2947" w:type="dxa"/>
          </w:tcPr>
          <w:p>
            <w:pPr>
              <w:pStyle w:val="TableParagraph"/>
              <w:spacing w:line="209" w:lineRule="exact"/>
              <w:ind w:left="158"/>
              <w:rPr>
                <w:sz w:val="20"/>
              </w:rPr>
            </w:pPr>
            <w:r>
              <w:rPr>
                <w:sz w:val="20"/>
              </w:rPr>
              <w:t>Khowar</w:t>
            </w:r>
            <w:r>
              <w:rPr>
                <w:spacing w:val="-7"/>
                <w:sz w:val="20"/>
              </w:rPr>
              <w:t> </w:t>
            </w:r>
            <w:r>
              <w:rPr>
                <w:spacing w:val="-2"/>
                <w:sz w:val="20"/>
              </w:rPr>
              <w:t>(khw)</w:t>
            </w:r>
          </w:p>
        </w:tc>
      </w:tr>
      <w:tr>
        <w:trPr>
          <w:trHeight w:val="230" w:hRule="atLeast"/>
        </w:trPr>
        <w:tc>
          <w:tcPr>
            <w:tcW w:w="612" w:type="dxa"/>
          </w:tcPr>
          <w:p>
            <w:pPr>
              <w:pStyle w:val="TableParagraph"/>
              <w:ind w:left="50"/>
              <w:rPr>
                <w:sz w:val="20"/>
              </w:rPr>
            </w:pPr>
            <w:r>
              <w:rPr>
                <w:spacing w:val="-4"/>
                <w:sz w:val="20"/>
              </w:rPr>
              <w:t>1499</w:t>
            </w:r>
          </w:p>
        </w:tc>
        <w:tc>
          <w:tcPr>
            <w:tcW w:w="2947" w:type="dxa"/>
          </w:tcPr>
          <w:p>
            <w:pPr>
              <w:pStyle w:val="TableParagraph"/>
              <w:ind w:left="158"/>
              <w:rPr>
                <w:sz w:val="20"/>
              </w:rPr>
            </w:pPr>
            <w:r>
              <w:rPr>
                <w:sz w:val="20"/>
              </w:rPr>
              <w:t>Dangaura</w:t>
            </w:r>
            <w:r>
              <w:rPr>
                <w:spacing w:val="-7"/>
                <w:sz w:val="20"/>
              </w:rPr>
              <w:t> </w:t>
            </w:r>
            <w:r>
              <w:rPr>
                <w:sz w:val="20"/>
              </w:rPr>
              <w:t>Tharu</w:t>
            </w:r>
            <w:r>
              <w:rPr>
                <w:spacing w:val="-7"/>
                <w:sz w:val="20"/>
              </w:rPr>
              <w:t> </w:t>
            </w:r>
            <w:r>
              <w:rPr>
                <w:spacing w:val="-4"/>
                <w:sz w:val="20"/>
              </w:rPr>
              <w:t>(thl)</w:t>
            </w:r>
          </w:p>
        </w:tc>
      </w:tr>
      <w:tr>
        <w:trPr>
          <w:trHeight w:val="230" w:hRule="atLeast"/>
        </w:trPr>
        <w:tc>
          <w:tcPr>
            <w:tcW w:w="612" w:type="dxa"/>
          </w:tcPr>
          <w:p>
            <w:pPr>
              <w:pStyle w:val="TableParagraph"/>
              <w:ind w:left="50"/>
              <w:rPr>
                <w:sz w:val="20"/>
              </w:rPr>
            </w:pPr>
            <w:r>
              <w:rPr>
                <w:spacing w:val="-4"/>
                <w:sz w:val="20"/>
              </w:rPr>
              <w:t>1500</w:t>
            </w:r>
          </w:p>
        </w:tc>
        <w:tc>
          <w:tcPr>
            <w:tcW w:w="2947" w:type="dxa"/>
          </w:tcPr>
          <w:p>
            <w:pPr>
              <w:pStyle w:val="TableParagraph"/>
              <w:ind w:left="158"/>
              <w:rPr>
                <w:sz w:val="20"/>
              </w:rPr>
            </w:pPr>
            <w:r>
              <w:rPr>
                <w:sz w:val="20"/>
              </w:rPr>
              <w:t>Nepali</w:t>
            </w:r>
            <w:r>
              <w:rPr>
                <w:spacing w:val="-8"/>
                <w:sz w:val="20"/>
              </w:rPr>
              <w:t> </w:t>
            </w:r>
            <w:r>
              <w:rPr>
                <w:sz w:val="20"/>
              </w:rPr>
              <w:t>(individual</w:t>
            </w:r>
            <w:r>
              <w:rPr>
                <w:spacing w:val="-8"/>
                <w:sz w:val="20"/>
              </w:rPr>
              <w:t> </w:t>
            </w:r>
            <w:r>
              <w:rPr>
                <w:sz w:val="20"/>
              </w:rPr>
              <w:t>language)</w:t>
            </w:r>
            <w:r>
              <w:rPr>
                <w:spacing w:val="-4"/>
                <w:sz w:val="20"/>
              </w:rPr>
              <w:t> (npi)</w:t>
            </w:r>
          </w:p>
        </w:tc>
      </w:tr>
      <w:tr>
        <w:trPr>
          <w:trHeight w:val="230" w:hRule="atLeast"/>
        </w:trPr>
        <w:tc>
          <w:tcPr>
            <w:tcW w:w="612" w:type="dxa"/>
          </w:tcPr>
          <w:p>
            <w:pPr>
              <w:pStyle w:val="TableParagraph"/>
              <w:ind w:left="50"/>
              <w:rPr>
                <w:sz w:val="20"/>
              </w:rPr>
            </w:pPr>
            <w:r>
              <w:rPr>
                <w:spacing w:val="-4"/>
                <w:sz w:val="20"/>
              </w:rPr>
              <w:t>1501</w:t>
            </w:r>
          </w:p>
        </w:tc>
        <w:tc>
          <w:tcPr>
            <w:tcW w:w="2947" w:type="dxa"/>
          </w:tcPr>
          <w:p>
            <w:pPr>
              <w:pStyle w:val="TableParagraph"/>
              <w:ind w:left="158"/>
              <w:rPr>
                <w:sz w:val="20"/>
              </w:rPr>
            </w:pPr>
            <w:r>
              <w:rPr>
                <w:sz w:val="20"/>
              </w:rPr>
              <w:t>Dotyali</w:t>
            </w:r>
            <w:r>
              <w:rPr>
                <w:spacing w:val="-7"/>
                <w:sz w:val="20"/>
              </w:rPr>
              <w:t> </w:t>
            </w:r>
            <w:r>
              <w:rPr>
                <w:spacing w:val="-2"/>
                <w:sz w:val="20"/>
              </w:rPr>
              <w:t>(dty)</w:t>
            </w:r>
          </w:p>
        </w:tc>
      </w:tr>
      <w:tr>
        <w:trPr>
          <w:trHeight w:val="230" w:hRule="atLeast"/>
        </w:trPr>
        <w:tc>
          <w:tcPr>
            <w:tcW w:w="612" w:type="dxa"/>
          </w:tcPr>
          <w:p>
            <w:pPr>
              <w:pStyle w:val="TableParagraph"/>
              <w:ind w:left="50"/>
              <w:rPr>
                <w:sz w:val="20"/>
              </w:rPr>
            </w:pPr>
            <w:r>
              <w:rPr>
                <w:spacing w:val="-4"/>
                <w:sz w:val="20"/>
              </w:rPr>
              <w:t>1510</w:t>
            </w:r>
          </w:p>
        </w:tc>
        <w:tc>
          <w:tcPr>
            <w:tcW w:w="2947" w:type="dxa"/>
          </w:tcPr>
          <w:p>
            <w:pPr>
              <w:pStyle w:val="TableParagraph"/>
              <w:ind w:left="158"/>
              <w:rPr>
                <w:sz w:val="20"/>
              </w:rPr>
            </w:pPr>
            <w:r>
              <w:rPr>
                <w:sz w:val="20"/>
              </w:rPr>
              <w:t>Kachhi</w:t>
            </w:r>
            <w:r>
              <w:rPr>
                <w:spacing w:val="-7"/>
                <w:sz w:val="20"/>
              </w:rPr>
              <w:t> </w:t>
            </w:r>
            <w:r>
              <w:rPr>
                <w:spacing w:val="-2"/>
                <w:sz w:val="20"/>
              </w:rPr>
              <w:t>(kfr)</w:t>
            </w:r>
          </w:p>
        </w:tc>
      </w:tr>
      <w:tr>
        <w:trPr>
          <w:trHeight w:val="229" w:hRule="atLeast"/>
        </w:trPr>
        <w:tc>
          <w:tcPr>
            <w:tcW w:w="612" w:type="dxa"/>
          </w:tcPr>
          <w:p>
            <w:pPr>
              <w:pStyle w:val="TableParagraph"/>
              <w:spacing w:line="209" w:lineRule="exact"/>
              <w:ind w:left="50"/>
              <w:rPr>
                <w:sz w:val="20"/>
              </w:rPr>
            </w:pPr>
            <w:r>
              <w:rPr>
                <w:spacing w:val="-4"/>
                <w:sz w:val="20"/>
              </w:rPr>
              <w:t>1515</w:t>
            </w:r>
          </w:p>
        </w:tc>
        <w:tc>
          <w:tcPr>
            <w:tcW w:w="2947" w:type="dxa"/>
          </w:tcPr>
          <w:p>
            <w:pPr>
              <w:pStyle w:val="TableParagraph"/>
              <w:spacing w:line="209" w:lineRule="exact"/>
              <w:ind w:left="158"/>
              <w:rPr>
                <w:sz w:val="20"/>
              </w:rPr>
            </w:pPr>
            <w:r>
              <w:rPr>
                <w:sz w:val="20"/>
              </w:rPr>
              <w:t>Sindhi</w:t>
            </w:r>
            <w:r>
              <w:rPr>
                <w:spacing w:val="-7"/>
                <w:sz w:val="20"/>
              </w:rPr>
              <w:t> </w:t>
            </w:r>
            <w:r>
              <w:rPr>
                <w:spacing w:val="-2"/>
                <w:sz w:val="20"/>
              </w:rPr>
              <w:t>(snd)</w:t>
            </w:r>
          </w:p>
        </w:tc>
      </w:tr>
      <w:tr>
        <w:trPr>
          <w:trHeight w:val="229" w:hRule="atLeast"/>
        </w:trPr>
        <w:tc>
          <w:tcPr>
            <w:tcW w:w="612" w:type="dxa"/>
          </w:tcPr>
          <w:p>
            <w:pPr>
              <w:pStyle w:val="TableParagraph"/>
              <w:spacing w:line="209" w:lineRule="exact"/>
              <w:ind w:left="50"/>
              <w:rPr>
                <w:sz w:val="20"/>
              </w:rPr>
            </w:pPr>
            <w:r>
              <w:rPr>
                <w:spacing w:val="-4"/>
                <w:sz w:val="20"/>
              </w:rPr>
              <w:t>1518</w:t>
            </w:r>
          </w:p>
        </w:tc>
        <w:tc>
          <w:tcPr>
            <w:tcW w:w="2947" w:type="dxa"/>
          </w:tcPr>
          <w:p>
            <w:pPr>
              <w:pStyle w:val="TableParagraph"/>
              <w:spacing w:line="209" w:lineRule="exact"/>
              <w:ind w:left="158"/>
              <w:rPr>
                <w:sz w:val="20"/>
              </w:rPr>
            </w:pPr>
            <w:r>
              <w:rPr>
                <w:sz w:val="20"/>
              </w:rPr>
              <w:t>Dogri</w:t>
            </w:r>
            <w:r>
              <w:rPr>
                <w:spacing w:val="-6"/>
                <w:sz w:val="20"/>
              </w:rPr>
              <w:t> </w:t>
            </w:r>
            <w:r>
              <w:rPr>
                <w:spacing w:val="-2"/>
                <w:sz w:val="20"/>
              </w:rPr>
              <w:t>(dgo)</w:t>
            </w:r>
          </w:p>
        </w:tc>
      </w:tr>
      <w:tr>
        <w:trPr>
          <w:trHeight w:val="230" w:hRule="atLeast"/>
        </w:trPr>
        <w:tc>
          <w:tcPr>
            <w:tcW w:w="612" w:type="dxa"/>
          </w:tcPr>
          <w:p>
            <w:pPr>
              <w:pStyle w:val="TableParagraph"/>
              <w:ind w:left="50"/>
              <w:rPr>
                <w:sz w:val="20"/>
              </w:rPr>
            </w:pPr>
            <w:r>
              <w:rPr>
                <w:spacing w:val="-4"/>
                <w:sz w:val="20"/>
              </w:rPr>
              <w:t>1521</w:t>
            </w:r>
          </w:p>
        </w:tc>
        <w:tc>
          <w:tcPr>
            <w:tcW w:w="2947" w:type="dxa"/>
          </w:tcPr>
          <w:p>
            <w:pPr>
              <w:pStyle w:val="TableParagraph"/>
              <w:ind w:left="158"/>
              <w:rPr>
                <w:sz w:val="20"/>
              </w:rPr>
            </w:pPr>
            <w:r>
              <w:rPr>
                <w:sz w:val="20"/>
              </w:rPr>
              <w:t>Kumaoni</w:t>
            </w:r>
            <w:r>
              <w:rPr>
                <w:spacing w:val="-10"/>
                <w:sz w:val="20"/>
              </w:rPr>
              <w:t> </w:t>
            </w:r>
            <w:r>
              <w:rPr>
                <w:spacing w:val="-2"/>
                <w:sz w:val="20"/>
              </w:rPr>
              <w:t>(kfy)</w:t>
            </w:r>
          </w:p>
        </w:tc>
      </w:tr>
      <w:tr>
        <w:trPr>
          <w:trHeight w:val="230" w:hRule="atLeast"/>
        </w:trPr>
        <w:tc>
          <w:tcPr>
            <w:tcW w:w="612" w:type="dxa"/>
          </w:tcPr>
          <w:p>
            <w:pPr>
              <w:pStyle w:val="TableParagraph"/>
              <w:ind w:left="50"/>
              <w:rPr>
                <w:sz w:val="20"/>
              </w:rPr>
            </w:pPr>
            <w:r>
              <w:rPr>
                <w:spacing w:val="-4"/>
                <w:sz w:val="20"/>
              </w:rPr>
              <w:t>1525</w:t>
            </w:r>
          </w:p>
        </w:tc>
        <w:tc>
          <w:tcPr>
            <w:tcW w:w="2947" w:type="dxa"/>
          </w:tcPr>
          <w:p>
            <w:pPr>
              <w:pStyle w:val="TableParagraph"/>
              <w:ind w:left="158"/>
              <w:rPr>
                <w:sz w:val="20"/>
              </w:rPr>
            </w:pPr>
            <w:r>
              <w:rPr>
                <w:sz w:val="20"/>
              </w:rPr>
              <w:t>Pakistan</w:t>
            </w:r>
            <w:r>
              <w:rPr>
                <w:spacing w:val="-9"/>
                <w:sz w:val="20"/>
              </w:rPr>
              <w:t> </w:t>
            </w:r>
            <w:r>
              <w:rPr>
                <w:spacing w:val="-2"/>
                <w:sz w:val="20"/>
              </w:rPr>
              <w:t>N.E.C.</w:t>
            </w:r>
          </w:p>
        </w:tc>
      </w:tr>
      <w:tr>
        <w:trPr>
          <w:trHeight w:val="230" w:hRule="atLeast"/>
        </w:trPr>
        <w:tc>
          <w:tcPr>
            <w:tcW w:w="612" w:type="dxa"/>
          </w:tcPr>
          <w:p>
            <w:pPr>
              <w:pStyle w:val="TableParagraph"/>
              <w:ind w:left="50"/>
              <w:rPr>
                <w:sz w:val="20"/>
              </w:rPr>
            </w:pPr>
            <w:r>
              <w:rPr>
                <w:spacing w:val="-4"/>
                <w:sz w:val="20"/>
              </w:rPr>
              <w:t>1526</w:t>
            </w:r>
          </w:p>
        </w:tc>
        <w:tc>
          <w:tcPr>
            <w:tcW w:w="2947" w:type="dxa"/>
          </w:tcPr>
          <w:p>
            <w:pPr>
              <w:pStyle w:val="TableParagraph"/>
              <w:ind w:left="158"/>
              <w:rPr>
                <w:sz w:val="20"/>
              </w:rPr>
            </w:pPr>
            <w:r>
              <w:rPr>
                <w:sz w:val="20"/>
              </w:rPr>
              <w:t>Dhivehi</w:t>
            </w:r>
            <w:r>
              <w:rPr>
                <w:spacing w:val="-9"/>
                <w:sz w:val="20"/>
              </w:rPr>
              <w:t> </w:t>
            </w:r>
            <w:r>
              <w:rPr>
                <w:spacing w:val="-2"/>
                <w:sz w:val="20"/>
              </w:rPr>
              <w:t>(div)</w:t>
            </w:r>
          </w:p>
        </w:tc>
      </w:tr>
      <w:tr>
        <w:trPr>
          <w:trHeight w:val="230" w:hRule="atLeast"/>
        </w:trPr>
        <w:tc>
          <w:tcPr>
            <w:tcW w:w="612" w:type="dxa"/>
          </w:tcPr>
          <w:p>
            <w:pPr>
              <w:pStyle w:val="TableParagraph"/>
              <w:ind w:left="50"/>
              <w:rPr>
                <w:sz w:val="20"/>
              </w:rPr>
            </w:pPr>
            <w:r>
              <w:rPr>
                <w:spacing w:val="-4"/>
                <w:sz w:val="20"/>
              </w:rPr>
              <w:t>1530</w:t>
            </w:r>
          </w:p>
        </w:tc>
        <w:tc>
          <w:tcPr>
            <w:tcW w:w="2947" w:type="dxa"/>
          </w:tcPr>
          <w:p>
            <w:pPr>
              <w:pStyle w:val="TableParagraph"/>
              <w:ind w:left="158"/>
              <w:rPr>
                <w:sz w:val="20"/>
              </w:rPr>
            </w:pPr>
            <w:r>
              <w:rPr>
                <w:sz w:val="20"/>
              </w:rPr>
              <w:t>Sinhala</w:t>
            </w:r>
            <w:r>
              <w:rPr>
                <w:spacing w:val="-7"/>
                <w:sz w:val="20"/>
              </w:rPr>
              <w:t> </w:t>
            </w:r>
            <w:r>
              <w:rPr>
                <w:spacing w:val="-2"/>
                <w:sz w:val="20"/>
              </w:rPr>
              <w:t>(sin)</w:t>
            </w:r>
          </w:p>
        </w:tc>
      </w:tr>
      <w:tr>
        <w:trPr>
          <w:trHeight w:val="229" w:hRule="atLeast"/>
        </w:trPr>
        <w:tc>
          <w:tcPr>
            <w:tcW w:w="612" w:type="dxa"/>
          </w:tcPr>
          <w:p>
            <w:pPr>
              <w:pStyle w:val="TableParagraph"/>
              <w:spacing w:line="209" w:lineRule="exact"/>
              <w:ind w:left="50"/>
              <w:rPr>
                <w:sz w:val="20"/>
              </w:rPr>
            </w:pPr>
            <w:r>
              <w:rPr>
                <w:spacing w:val="-4"/>
                <w:sz w:val="20"/>
              </w:rPr>
              <w:t>1540</w:t>
            </w:r>
          </w:p>
        </w:tc>
        <w:tc>
          <w:tcPr>
            <w:tcW w:w="2947" w:type="dxa"/>
          </w:tcPr>
          <w:p>
            <w:pPr>
              <w:pStyle w:val="TableParagraph"/>
              <w:spacing w:line="209" w:lineRule="exact"/>
              <w:ind w:left="158"/>
              <w:rPr>
                <w:sz w:val="20"/>
              </w:rPr>
            </w:pPr>
            <w:r>
              <w:rPr>
                <w:sz w:val="20"/>
              </w:rPr>
              <w:t>Romany</w:t>
            </w:r>
            <w:r>
              <w:rPr>
                <w:spacing w:val="-9"/>
                <w:sz w:val="20"/>
              </w:rPr>
              <w:t> </w:t>
            </w:r>
            <w:r>
              <w:rPr>
                <w:spacing w:val="-2"/>
                <w:sz w:val="20"/>
              </w:rPr>
              <w:t>(rom)</w:t>
            </w:r>
          </w:p>
        </w:tc>
      </w:tr>
      <w:tr>
        <w:trPr>
          <w:trHeight w:val="229" w:hRule="atLeast"/>
        </w:trPr>
        <w:tc>
          <w:tcPr>
            <w:tcW w:w="612" w:type="dxa"/>
          </w:tcPr>
          <w:p>
            <w:pPr>
              <w:pStyle w:val="TableParagraph"/>
              <w:spacing w:line="209" w:lineRule="exact"/>
              <w:ind w:left="50"/>
              <w:rPr>
                <w:sz w:val="20"/>
              </w:rPr>
            </w:pPr>
            <w:r>
              <w:rPr>
                <w:spacing w:val="-4"/>
                <w:sz w:val="20"/>
              </w:rPr>
              <w:t>1541</w:t>
            </w:r>
          </w:p>
        </w:tc>
        <w:tc>
          <w:tcPr>
            <w:tcW w:w="2947" w:type="dxa"/>
          </w:tcPr>
          <w:p>
            <w:pPr>
              <w:pStyle w:val="TableParagraph"/>
              <w:spacing w:line="209" w:lineRule="exact"/>
              <w:ind w:left="158"/>
              <w:rPr>
                <w:sz w:val="20"/>
              </w:rPr>
            </w:pPr>
            <w:r>
              <w:rPr>
                <w:sz w:val="20"/>
              </w:rPr>
              <w:t>Balkan</w:t>
            </w:r>
            <w:r>
              <w:rPr>
                <w:spacing w:val="-7"/>
                <w:sz w:val="20"/>
              </w:rPr>
              <w:t> </w:t>
            </w:r>
            <w:r>
              <w:rPr>
                <w:sz w:val="20"/>
              </w:rPr>
              <w:t>Romani</w:t>
            </w:r>
            <w:r>
              <w:rPr>
                <w:spacing w:val="-6"/>
                <w:sz w:val="20"/>
              </w:rPr>
              <w:t> </w:t>
            </w:r>
            <w:r>
              <w:rPr>
                <w:spacing w:val="-4"/>
                <w:sz w:val="20"/>
              </w:rPr>
              <w:t>(rmn)</w:t>
            </w:r>
          </w:p>
        </w:tc>
      </w:tr>
      <w:tr>
        <w:trPr>
          <w:trHeight w:val="230" w:hRule="atLeast"/>
        </w:trPr>
        <w:tc>
          <w:tcPr>
            <w:tcW w:w="612" w:type="dxa"/>
          </w:tcPr>
          <w:p>
            <w:pPr>
              <w:pStyle w:val="TableParagraph"/>
              <w:ind w:left="50"/>
              <w:rPr>
                <w:sz w:val="20"/>
              </w:rPr>
            </w:pPr>
            <w:r>
              <w:rPr>
                <w:spacing w:val="-4"/>
                <w:sz w:val="20"/>
              </w:rPr>
              <w:t>1542</w:t>
            </w:r>
          </w:p>
        </w:tc>
        <w:tc>
          <w:tcPr>
            <w:tcW w:w="2947" w:type="dxa"/>
          </w:tcPr>
          <w:p>
            <w:pPr>
              <w:pStyle w:val="TableParagraph"/>
              <w:ind w:left="158"/>
              <w:rPr>
                <w:sz w:val="20"/>
              </w:rPr>
            </w:pPr>
            <w:r>
              <w:rPr>
                <w:sz w:val="20"/>
              </w:rPr>
              <w:t>Carpathian</w:t>
            </w:r>
            <w:r>
              <w:rPr>
                <w:spacing w:val="-8"/>
                <w:sz w:val="20"/>
              </w:rPr>
              <w:t> </w:t>
            </w:r>
            <w:r>
              <w:rPr>
                <w:sz w:val="20"/>
              </w:rPr>
              <w:t>Romani</w:t>
            </w:r>
            <w:r>
              <w:rPr>
                <w:spacing w:val="-7"/>
                <w:sz w:val="20"/>
              </w:rPr>
              <w:t> </w:t>
            </w:r>
            <w:r>
              <w:rPr>
                <w:spacing w:val="-4"/>
                <w:sz w:val="20"/>
              </w:rPr>
              <w:t>(rmc)</w:t>
            </w:r>
          </w:p>
        </w:tc>
      </w:tr>
      <w:tr>
        <w:trPr>
          <w:trHeight w:val="225" w:hRule="atLeast"/>
        </w:trPr>
        <w:tc>
          <w:tcPr>
            <w:tcW w:w="612" w:type="dxa"/>
          </w:tcPr>
          <w:p>
            <w:pPr>
              <w:pStyle w:val="TableParagraph"/>
              <w:spacing w:line="205" w:lineRule="exact"/>
              <w:ind w:left="50"/>
              <w:rPr>
                <w:sz w:val="20"/>
              </w:rPr>
            </w:pPr>
            <w:r>
              <w:rPr>
                <w:spacing w:val="-4"/>
                <w:sz w:val="20"/>
              </w:rPr>
              <w:t>1543</w:t>
            </w:r>
          </w:p>
        </w:tc>
        <w:tc>
          <w:tcPr>
            <w:tcW w:w="2947" w:type="dxa"/>
          </w:tcPr>
          <w:p>
            <w:pPr>
              <w:pStyle w:val="TableParagraph"/>
              <w:spacing w:line="205" w:lineRule="exact"/>
              <w:ind w:left="158"/>
              <w:rPr>
                <w:sz w:val="20"/>
              </w:rPr>
            </w:pPr>
            <w:r>
              <w:rPr>
                <w:sz w:val="20"/>
              </w:rPr>
              <w:t>Vlax</w:t>
            </w:r>
            <w:r>
              <w:rPr>
                <w:spacing w:val="-7"/>
                <w:sz w:val="20"/>
              </w:rPr>
              <w:t> </w:t>
            </w:r>
            <w:r>
              <w:rPr>
                <w:sz w:val="20"/>
              </w:rPr>
              <w:t>Romani</w:t>
            </w:r>
            <w:r>
              <w:rPr>
                <w:spacing w:val="-5"/>
                <w:sz w:val="20"/>
              </w:rPr>
              <w:t> </w:t>
            </w:r>
            <w:r>
              <w:rPr>
                <w:spacing w:val="-4"/>
                <w:sz w:val="20"/>
              </w:rPr>
              <w:t>(rmy)</w:t>
            </w:r>
          </w:p>
        </w:tc>
      </w:tr>
    </w:tbl>
    <w:p>
      <w:pPr>
        <w:pStyle w:val="BodyText"/>
        <w:rPr>
          <w:rFonts w:ascii="Times New Roman"/>
          <w:sz w:val="22"/>
        </w:rPr>
      </w:pPr>
    </w:p>
    <w:p>
      <w:pPr>
        <w:pStyle w:val="BodyText"/>
        <w:rPr>
          <w:rFonts w:ascii="Times New Roman"/>
          <w:sz w:val="22"/>
        </w:rPr>
      </w:pPr>
    </w:p>
    <w:p>
      <w:pPr>
        <w:spacing w:before="167"/>
        <w:ind w:left="552" w:right="38" w:firstLine="0"/>
        <w:jc w:val="left"/>
        <w:rPr>
          <w:rFonts w:ascii="Times New Roman"/>
          <w:b/>
          <w:sz w:val="20"/>
        </w:rPr>
      </w:pPr>
      <w:r>
        <w:rPr>
          <w:rFonts w:ascii="Times New Roman"/>
          <w:b/>
          <w:sz w:val="20"/>
        </w:rPr>
        <w:t>ASIAN</w:t>
      </w:r>
      <w:r>
        <w:rPr>
          <w:rFonts w:ascii="Times New Roman"/>
          <w:b/>
          <w:spacing w:val="-10"/>
          <w:sz w:val="20"/>
        </w:rPr>
        <w:t> </w:t>
      </w:r>
      <w:r>
        <w:rPr>
          <w:rFonts w:ascii="Times New Roman"/>
          <w:b/>
          <w:sz w:val="20"/>
        </w:rPr>
        <w:t>AND</w:t>
      </w:r>
      <w:r>
        <w:rPr>
          <w:rFonts w:ascii="Times New Roman"/>
          <w:b/>
          <w:spacing w:val="-11"/>
          <w:sz w:val="20"/>
        </w:rPr>
        <w:t> </w:t>
      </w:r>
      <w:r>
        <w:rPr>
          <w:rFonts w:ascii="Times New Roman"/>
          <w:b/>
          <w:sz w:val="20"/>
        </w:rPr>
        <w:t>PACIFIC</w:t>
      </w:r>
      <w:r>
        <w:rPr>
          <w:rFonts w:ascii="Times New Roman"/>
          <w:b/>
          <w:spacing w:val="-11"/>
          <w:sz w:val="20"/>
        </w:rPr>
        <w:t> </w:t>
      </w:r>
      <w:r>
        <w:rPr>
          <w:rFonts w:ascii="Times New Roman"/>
          <w:b/>
          <w:sz w:val="20"/>
        </w:rPr>
        <w:t>ISLAND</w:t>
      </w:r>
      <w:r>
        <w:rPr>
          <w:rFonts w:ascii="Times New Roman"/>
          <w:b/>
          <w:spacing w:val="-11"/>
          <w:sz w:val="20"/>
        </w:rPr>
        <w:t> </w:t>
      </w:r>
      <w:r>
        <w:rPr>
          <w:rFonts w:ascii="Times New Roman"/>
          <w:b/>
          <w:sz w:val="20"/>
        </w:rPr>
        <w:t>LANGUAGES </w:t>
      </w:r>
      <w:r>
        <w:rPr>
          <w:rFonts w:ascii="Times New Roman"/>
          <w:b/>
          <w:spacing w:val="-2"/>
          <w:sz w:val="20"/>
        </w:rPr>
        <w:t>(1643-3798)</w:t>
      </w:r>
    </w:p>
    <w:p>
      <w:pPr>
        <w:pStyle w:val="BodyText"/>
        <w:spacing w:before="5"/>
        <w:rPr>
          <w:rFonts w:ascii="Times New Roman"/>
          <w:b/>
          <w:sz w:val="19"/>
        </w:rPr>
      </w:pPr>
    </w:p>
    <w:p>
      <w:pPr>
        <w:spacing w:before="0"/>
        <w:ind w:left="552" w:right="0" w:firstLine="0"/>
        <w:jc w:val="left"/>
        <w:rPr>
          <w:rFonts w:ascii="Times New Roman"/>
          <w:i/>
          <w:sz w:val="20"/>
        </w:rPr>
      </w:pPr>
      <w:r>
        <w:rPr/>
        <mc:AlternateContent>
          <mc:Choice Requires="wps">
            <w:drawing>
              <wp:anchor distT="0" distB="0" distL="0" distR="0" allowOverlap="1" layoutInCell="1" locked="0" behindDoc="0" simplePos="0" relativeHeight="15765504">
                <wp:simplePos x="0" y="0"/>
                <wp:positionH relativeFrom="page">
                  <wp:posOffset>661669</wp:posOffset>
                </wp:positionH>
                <wp:positionV relativeFrom="paragraph">
                  <wp:posOffset>152151</wp:posOffset>
                </wp:positionV>
                <wp:extent cx="2387600" cy="451485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387600" cy="45148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028"/>
                            </w:tblGrid>
                            <w:tr>
                              <w:trPr>
                                <w:trHeight w:val="225" w:hRule="atLeast"/>
                              </w:trPr>
                              <w:tc>
                                <w:tcPr>
                                  <w:tcW w:w="612" w:type="dxa"/>
                                </w:tcPr>
                                <w:p>
                                  <w:pPr>
                                    <w:pStyle w:val="TableParagraph"/>
                                    <w:spacing w:line="205" w:lineRule="exact"/>
                                    <w:ind w:left="50"/>
                                    <w:rPr>
                                      <w:sz w:val="20"/>
                                    </w:rPr>
                                  </w:pPr>
                                  <w:r>
                                    <w:rPr>
                                      <w:spacing w:val="-4"/>
                                      <w:sz w:val="20"/>
                                    </w:rPr>
                                    <w:t>1643</w:t>
                                  </w:r>
                                </w:p>
                              </w:tc>
                              <w:tc>
                                <w:tcPr>
                                  <w:tcW w:w="3028" w:type="dxa"/>
                                </w:tcPr>
                                <w:p>
                                  <w:pPr>
                                    <w:pStyle w:val="TableParagraph"/>
                                    <w:spacing w:line="205" w:lineRule="exact"/>
                                    <w:ind w:left="158"/>
                                    <w:rPr>
                                      <w:sz w:val="20"/>
                                    </w:rPr>
                                  </w:pPr>
                                  <w:r>
                                    <w:rPr>
                                      <w:sz w:val="20"/>
                                    </w:rPr>
                                    <w:t>Chuvash</w:t>
                                  </w:r>
                                  <w:r>
                                    <w:rPr>
                                      <w:spacing w:val="-10"/>
                                      <w:sz w:val="20"/>
                                    </w:rPr>
                                    <w:t> </w:t>
                                  </w:r>
                                  <w:r>
                                    <w:rPr>
                                      <w:spacing w:val="-2"/>
                                      <w:sz w:val="20"/>
                                    </w:rPr>
                                    <w:t>(chv)</w:t>
                                  </w:r>
                                </w:p>
                              </w:tc>
                            </w:tr>
                            <w:tr>
                              <w:trPr>
                                <w:trHeight w:val="230" w:hRule="atLeast"/>
                              </w:trPr>
                              <w:tc>
                                <w:tcPr>
                                  <w:tcW w:w="612" w:type="dxa"/>
                                </w:tcPr>
                                <w:p>
                                  <w:pPr>
                                    <w:pStyle w:val="TableParagraph"/>
                                    <w:ind w:left="50"/>
                                    <w:rPr>
                                      <w:sz w:val="20"/>
                                    </w:rPr>
                                  </w:pPr>
                                  <w:r>
                                    <w:rPr>
                                      <w:spacing w:val="-4"/>
                                      <w:sz w:val="20"/>
                                    </w:rPr>
                                    <w:t>1648</w:t>
                                  </w:r>
                                </w:p>
                              </w:tc>
                              <w:tc>
                                <w:tcPr>
                                  <w:tcW w:w="3028" w:type="dxa"/>
                                </w:tcPr>
                                <w:p>
                                  <w:pPr>
                                    <w:pStyle w:val="TableParagraph"/>
                                    <w:ind w:left="158"/>
                                    <w:rPr>
                                      <w:sz w:val="20"/>
                                    </w:rPr>
                                  </w:pPr>
                                  <w:r>
                                    <w:rPr>
                                      <w:sz w:val="20"/>
                                    </w:rPr>
                                    <w:t>Kara-Kalpak</w:t>
                                  </w:r>
                                  <w:r>
                                    <w:rPr>
                                      <w:spacing w:val="-12"/>
                                      <w:sz w:val="20"/>
                                    </w:rPr>
                                    <w:t> </w:t>
                                  </w:r>
                                  <w:r>
                                    <w:rPr>
                                      <w:spacing w:val="-2"/>
                                      <w:sz w:val="20"/>
                                    </w:rPr>
                                    <w:t>(kaa)</w:t>
                                  </w:r>
                                </w:p>
                              </w:tc>
                            </w:tr>
                            <w:tr>
                              <w:trPr>
                                <w:trHeight w:val="230" w:hRule="atLeast"/>
                              </w:trPr>
                              <w:tc>
                                <w:tcPr>
                                  <w:tcW w:w="612" w:type="dxa"/>
                                </w:tcPr>
                                <w:p>
                                  <w:pPr>
                                    <w:pStyle w:val="TableParagraph"/>
                                    <w:ind w:left="50"/>
                                    <w:rPr>
                                      <w:sz w:val="20"/>
                                    </w:rPr>
                                  </w:pPr>
                                  <w:r>
                                    <w:rPr>
                                      <w:spacing w:val="-4"/>
                                      <w:sz w:val="20"/>
                                    </w:rPr>
                                    <w:t>1649</w:t>
                                  </w:r>
                                </w:p>
                              </w:tc>
                              <w:tc>
                                <w:tcPr>
                                  <w:tcW w:w="3028" w:type="dxa"/>
                                </w:tcPr>
                                <w:p>
                                  <w:pPr>
                                    <w:pStyle w:val="TableParagraph"/>
                                    <w:ind w:left="158"/>
                                    <w:rPr>
                                      <w:sz w:val="20"/>
                                    </w:rPr>
                                  </w:pPr>
                                  <w:r>
                                    <w:rPr>
                                      <w:sz w:val="20"/>
                                    </w:rPr>
                                    <w:t>Kazakh</w:t>
                                  </w:r>
                                  <w:r>
                                    <w:rPr>
                                      <w:spacing w:val="-9"/>
                                      <w:sz w:val="20"/>
                                    </w:rPr>
                                    <w:t> </w:t>
                                  </w:r>
                                  <w:r>
                                    <w:rPr>
                                      <w:spacing w:val="-2"/>
                                      <w:sz w:val="20"/>
                                    </w:rPr>
                                    <w:t>(kaz)</w:t>
                                  </w:r>
                                </w:p>
                              </w:tc>
                            </w:tr>
                            <w:tr>
                              <w:trPr>
                                <w:trHeight w:val="229" w:hRule="atLeast"/>
                              </w:trPr>
                              <w:tc>
                                <w:tcPr>
                                  <w:tcW w:w="612" w:type="dxa"/>
                                </w:tcPr>
                                <w:p>
                                  <w:pPr>
                                    <w:pStyle w:val="TableParagraph"/>
                                    <w:spacing w:line="209" w:lineRule="exact"/>
                                    <w:ind w:left="50"/>
                                    <w:rPr>
                                      <w:sz w:val="20"/>
                                    </w:rPr>
                                  </w:pPr>
                                  <w:r>
                                    <w:rPr>
                                      <w:spacing w:val="-4"/>
                                      <w:sz w:val="20"/>
                                    </w:rPr>
                                    <w:t>1650</w:t>
                                  </w:r>
                                </w:p>
                              </w:tc>
                              <w:tc>
                                <w:tcPr>
                                  <w:tcW w:w="3028" w:type="dxa"/>
                                </w:tcPr>
                                <w:p>
                                  <w:pPr>
                                    <w:pStyle w:val="TableParagraph"/>
                                    <w:spacing w:line="209" w:lineRule="exact"/>
                                    <w:ind w:left="158"/>
                                    <w:rPr>
                                      <w:sz w:val="20"/>
                                    </w:rPr>
                                  </w:pPr>
                                  <w:r>
                                    <w:rPr>
                                      <w:sz w:val="20"/>
                                    </w:rPr>
                                    <w:t>Kirghiz</w:t>
                                  </w:r>
                                  <w:r>
                                    <w:rPr>
                                      <w:spacing w:val="-8"/>
                                      <w:sz w:val="20"/>
                                    </w:rPr>
                                    <w:t> </w:t>
                                  </w:r>
                                  <w:r>
                                    <w:rPr>
                                      <w:spacing w:val="-2"/>
                                      <w:sz w:val="20"/>
                                    </w:rPr>
                                    <w:t>(kir)</w:t>
                                  </w:r>
                                </w:p>
                              </w:tc>
                            </w:tr>
                            <w:tr>
                              <w:trPr>
                                <w:trHeight w:val="229" w:hRule="atLeast"/>
                              </w:trPr>
                              <w:tc>
                                <w:tcPr>
                                  <w:tcW w:w="612" w:type="dxa"/>
                                </w:tcPr>
                                <w:p>
                                  <w:pPr>
                                    <w:pStyle w:val="TableParagraph"/>
                                    <w:spacing w:line="209" w:lineRule="exact"/>
                                    <w:ind w:left="50"/>
                                    <w:rPr>
                                      <w:sz w:val="20"/>
                                    </w:rPr>
                                  </w:pPr>
                                  <w:r>
                                    <w:rPr>
                                      <w:spacing w:val="-4"/>
                                      <w:sz w:val="20"/>
                                    </w:rPr>
                                    <w:t>1652</w:t>
                                  </w:r>
                                </w:p>
                              </w:tc>
                              <w:tc>
                                <w:tcPr>
                                  <w:tcW w:w="3028" w:type="dxa"/>
                                </w:tcPr>
                                <w:p>
                                  <w:pPr>
                                    <w:pStyle w:val="TableParagraph"/>
                                    <w:spacing w:line="209" w:lineRule="exact"/>
                                    <w:ind w:left="158"/>
                                    <w:rPr>
                                      <w:sz w:val="20"/>
                                    </w:rPr>
                                  </w:pPr>
                                  <w:r>
                                    <w:rPr>
                                      <w:sz w:val="20"/>
                                    </w:rPr>
                                    <w:t>Uzbek</w:t>
                                  </w:r>
                                  <w:r>
                                    <w:rPr>
                                      <w:spacing w:val="-6"/>
                                      <w:sz w:val="20"/>
                                    </w:rPr>
                                    <w:t> </w:t>
                                  </w:r>
                                  <w:r>
                                    <w:rPr>
                                      <w:spacing w:val="-2"/>
                                      <w:sz w:val="20"/>
                                    </w:rPr>
                                    <w:t>(uzb)</w:t>
                                  </w:r>
                                </w:p>
                              </w:tc>
                            </w:tr>
                            <w:tr>
                              <w:trPr>
                                <w:trHeight w:val="230" w:hRule="atLeast"/>
                              </w:trPr>
                              <w:tc>
                                <w:tcPr>
                                  <w:tcW w:w="612" w:type="dxa"/>
                                </w:tcPr>
                                <w:p>
                                  <w:pPr>
                                    <w:pStyle w:val="TableParagraph"/>
                                    <w:ind w:left="50"/>
                                    <w:rPr>
                                      <w:sz w:val="20"/>
                                    </w:rPr>
                                  </w:pPr>
                                  <w:r>
                                    <w:rPr>
                                      <w:spacing w:val="-4"/>
                                      <w:sz w:val="20"/>
                                    </w:rPr>
                                    <w:t>1653</w:t>
                                  </w:r>
                                </w:p>
                              </w:tc>
                              <w:tc>
                                <w:tcPr>
                                  <w:tcW w:w="3028" w:type="dxa"/>
                                </w:tcPr>
                                <w:p>
                                  <w:pPr>
                                    <w:pStyle w:val="TableParagraph"/>
                                    <w:ind w:left="158"/>
                                    <w:rPr>
                                      <w:sz w:val="20"/>
                                    </w:rPr>
                                  </w:pPr>
                                  <w:r>
                                    <w:rPr>
                                      <w:sz w:val="20"/>
                                    </w:rPr>
                                    <w:t>Northern</w:t>
                                  </w:r>
                                  <w:r>
                                    <w:rPr>
                                      <w:spacing w:val="-7"/>
                                      <w:sz w:val="20"/>
                                    </w:rPr>
                                    <w:t> </w:t>
                                  </w:r>
                                  <w:r>
                                    <w:rPr>
                                      <w:sz w:val="20"/>
                                    </w:rPr>
                                    <w:t>Uzbek</w:t>
                                  </w:r>
                                  <w:r>
                                    <w:rPr>
                                      <w:spacing w:val="-7"/>
                                      <w:sz w:val="20"/>
                                    </w:rPr>
                                    <w:t> </w:t>
                                  </w:r>
                                  <w:r>
                                    <w:rPr>
                                      <w:spacing w:val="-4"/>
                                      <w:sz w:val="20"/>
                                    </w:rPr>
                                    <w:t>(uzn)</w:t>
                                  </w:r>
                                </w:p>
                              </w:tc>
                            </w:tr>
                            <w:tr>
                              <w:trPr>
                                <w:trHeight w:val="230" w:hRule="atLeast"/>
                              </w:trPr>
                              <w:tc>
                                <w:tcPr>
                                  <w:tcW w:w="612" w:type="dxa"/>
                                </w:tcPr>
                                <w:p>
                                  <w:pPr>
                                    <w:pStyle w:val="TableParagraph"/>
                                    <w:ind w:left="50"/>
                                    <w:rPr>
                                      <w:sz w:val="20"/>
                                    </w:rPr>
                                  </w:pPr>
                                  <w:r>
                                    <w:rPr>
                                      <w:spacing w:val="-4"/>
                                      <w:sz w:val="20"/>
                                    </w:rPr>
                                    <w:t>1654</w:t>
                                  </w:r>
                                </w:p>
                              </w:tc>
                              <w:tc>
                                <w:tcPr>
                                  <w:tcW w:w="3028" w:type="dxa"/>
                                </w:tcPr>
                                <w:p>
                                  <w:pPr>
                                    <w:pStyle w:val="TableParagraph"/>
                                    <w:ind w:left="158"/>
                                    <w:rPr>
                                      <w:sz w:val="20"/>
                                    </w:rPr>
                                  </w:pPr>
                                  <w:r>
                                    <w:rPr>
                                      <w:sz w:val="20"/>
                                    </w:rPr>
                                    <w:t>Southern</w:t>
                                  </w:r>
                                  <w:r>
                                    <w:rPr>
                                      <w:spacing w:val="-8"/>
                                      <w:sz w:val="20"/>
                                    </w:rPr>
                                    <w:t> </w:t>
                                  </w:r>
                                  <w:r>
                                    <w:rPr>
                                      <w:sz w:val="20"/>
                                    </w:rPr>
                                    <w:t>Uzbek</w:t>
                                  </w:r>
                                  <w:r>
                                    <w:rPr>
                                      <w:spacing w:val="-7"/>
                                      <w:sz w:val="20"/>
                                    </w:rPr>
                                    <w:t> </w:t>
                                  </w:r>
                                  <w:r>
                                    <w:rPr>
                                      <w:spacing w:val="-4"/>
                                      <w:sz w:val="20"/>
                                    </w:rPr>
                                    <w:t>(uzs)</w:t>
                                  </w:r>
                                </w:p>
                              </w:tc>
                            </w:tr>
                            <w:tr>
                              <w:trPr>
                                <w:trHeight w:val="230" w:hRule="atLeast"/>
                              </w:trPr>
                              <w:tc>
                                <w:tcPr>
                                  <w:tcW w:w="612" w:type="dxa"/>
                                </w:tcPr>
                                <w:p>
                                  <w:pPr>
                                    <w:pStyle w:val="TableParagraph"/>
                                    <w:spacing w:line="211" w:lineRule="exact"/>
                                    <w:ind w:left="50"/>
                                    <w:rPr>
                                      <w:sz w:val="20"/>
                                    </w:rPr>
                                  </w:pPr>
                                  <w:r>
                                    <w:rPr>
                                      <w:spacing w:val="-4"/>
                                      <w:sz w:val="20"/>
                                    </w:rPr>
                                    <w:t>1657</w:t>
                                  </w:r>
                                </w:p>
                              </w:tc>
                              <w:tc>
                                <w:tcPr>
                                  <w:tcW w:w="3028" w:type="dxa"/>
                                </w:tcPr>
                                <w:p>
                                  <w:pPr>
                                    <w:pStyle w:val="TableParagraph"/>
                                    <w:spacing w:line="211" w:lineRule="exact"/>
                                    <w:ind w:left="158"/>
                                    <w:rPr>
                                      <w:sz w:val="20"/>
                                    </w:rPr>
                                  </w:pPr>
                                  <w:r>
                                    <w:rPr>
                                      <w:spacing w:val="-2"/>
                                      <w:sz w:val="20"/>
                                    </w:rPr>
                                    <w:t>Karachay-Balkar</w:t>
                                  </w:r>
                                  <w:r>
                                    <w:rPr>
                                      <w:spacing w:val="15"/>
                                      <w:sz w:val="20"/>
                                    </w:rPr>
                                    <w:t> </w:t>
                                  </w:r>
                                  <w:r>
                                    <w:rPr>
                                      <w:spacing w:val="-4"/>
                                      <w:sz w:val="20"/>
                                    </w:rPr>
                                    <w:t>(krc)</w:t>
                                  </w:r>
                                </w:p>
                              </w:tc>
                            </w:tr>
                            <w:tr>
                              <w:trPr>
                                <w:trHeight w:val="230" w:hRule="atLeast"/>
                              </w:trPr>
                              <w:tc>
                                <w:tcPr>
                                  <w:tcW w:w="612" w:type="dxa"/>
                                </w:tcPr>
                                <w:p>
                                  <w:pPr>
                                    <w:pStyle w:val="TableParagraph"/>
                                    <w:spacing w:line="211" w:lineRule="exact"/>
                                    <w:ind w:left="50"/>
                                    <w:rPr>
                                      <w:sz w:val="20"/>
                                    </w:rPr>
                                  </w:pPr>
                                  <w:r>
                                    <w:rPr>
                                      <w:spacing w:val="-4"/>
                                      <w:sz w:val="20"/>
                                    </w:rPr>
                                    <w:t>1658</w:t>
                                  </w:r>
                                </w:p>
                              </w:tc>
                              <w:tc>
                                <w:tcPr>
                                  <w:tcW w:w="3028" w:type="dxa"/>
                                </w:tcPr>
                                <w:p>
                                  <w:pPr>
                                    <w:pStyle w:val="TableParagraph"/>
                                    <w:spacing w:line="211" w:lineRule="exact"/>
                                    <w:ind w:left="158"/>
                                    <w:rPr>
                                      <w:sz w:val="20"/>
                                    </w:rPr>
                                  </w:pPr>
                                  <w:r>
                                    <w:rPr>
                                      <w:sz w:val="20"/>
                                    </w:rPr>
                                    <w:t>Bashkir</w:t>
                                  </w:r>
                                  <w:r>
                                    <w:rPr>
                                      <w:spacing w:val="-7"/>
                                      <w:sz w:val="20"/>
                                    </w:rPr>
                                    <w:t> </w:t>
                                  </w:r>
                                  <w:r>
                                    <w:rPr>
                                      <w:spacing w:val="-2"/>
                                      <w:sz w:val="20"/>
                                    </w:rPr>
                                    <w:t>(bak)</w:t>
                                  </w:r>
                                </w:p>
                              </w:tc>
                            </w:tr>
                            <w:tr>
                              <w:trPr>
                                <w:trHeight w:val="229" w:hRule="atLeast"/>
                              </w:trPr>
                              <w:tc>
                                <w:tcPr>
                                  <w:tcW w:w="612" w:type="dxa"/>
                                </w:tcPr>
                                <w:p>
                                  <w:pPr>
                                    <w:pStyle w:val="TableParagraph"/>
                                    <w:spacing w:line="209" w:lineRule="exact"/>
                                    <w:ind w:left="50"/>
                                    <w:rPr>
                                      <w:sz w:val="20"/>
                                    </w:rPr>
                                  </w:pPr>
                                  <w:r>
                                    <w:rPr>
                                      <w:spacing w:val="-4"/>
                                      <w:sz w:val="20"/>
                                    </w:rPr>
                                    <w:t>1659</w:t>
                                  </w:r>
                                </w:p>
                              </w:tc>
                              <w:tc>
                                <w:tcPr>
                                  <w:tcW w:w="3028" w:type="dxa"/>
                                </w:tcPr>
                                <w:p>
                                  <w:pPr>
                                    <w:pStyle w:val="TableParagraph"/>
                                    <w:spacing w:line="209" w:lineRule="exact"/>
                                    <w:ind w:left="158"/>
                                    <w:rPr>
                                      <w:sz w:val="20"/>
                                    </w:rPr>
                                  </w:pPr>
                                  <w:r>
                                    <w:rPr>
                                      <w:sz w:val="20"/>
                                    </w:rPr>
                                    <w:t>Tatar</w:t>
                                  </w:r>
                                  <w:r>
                                    <w:rPr>
                                      <w:spacing w:val="-4"/>
                                      <w:sz w:val="20"/>
                                    </w:rPr>
                                    <w:t> </w:t>
                                  </w:r>
                                  <w:r>
                                    <w:rPr>
                                      <w:spacing w:val="-2"/>
                                      <w:sz w:val="20"/>
                                    </w:rPr>
                                    <w:t>(tat)</w:t>
                                  </w:r>
                                </w:p>
                              </w:tc>
                            </w:tr>
                            <w:tr>
                              <w:trPr>
                                <w:trHeight w:val="229" w:hRule="atLeast"/>
                              </w:trPr>
                              <w:tc>
                                <w:tcPr>
                                  <w:tcW w:w="612" w:type="dxa"/>
                                </w:tcPr>
                                <w:p>
                                  <w:pPr>
                                    <w:pStyle w:val="TableParagraph"/>
                                    <w:spacing w:line="209" w:lineRule="exact"/>
                                    <w:ind w:left="50"/>
                                    <w:rPr>
                                      <w:sz w:val="20"/>
                                    </w:rPr>
                                  </w:pPr>
                                  <w:r>
                                    <w:rPr>
                                      <w:spacing w:val="-4"/>
                                      <w:sz w:val="20"/>
                                    </w:rPr>
                                    <w:t>1662</w:t>
                                  </w:r>
                                </w:p>
                              </w:tc>
                              <w:tc>
                                <w:tcPr>
                                  <w:tcW w:w="3028" w:type="dxa"/>
                                </w:tcPr>
                                <w:p>
                                  <w:pPr>
                                    <w:pStyle w:val="TableParagraph"/>
                                    <w:spacing w:line="209" w:lineRule="exact"/>
                                    <w:ind w:left="158"/>
                                    <w:rPr>
                                      <w:sz w:val="20"/>
                                    </w:rPr>
                                  </w:pPr>
                                  <w:r>
                                    <w:rPr>
                                      <w:sz w:val="20"/>
                                    </w:rPr>
                                    <w:t>Crimean</w:t>
                                  </w:r>
                                  <w:r>
                                    <w:rPr>
                                      <w:spacing w:val="-6"/>
                                      <w:sz w:val="20"/>
                                    </w:rPr>
                                    <w:t> </w:t>
                                  </w:r>
                                  <w:r>
                                    <w:rPr>
                                      <w:sz w:val="20"/>
                                    </w:rPr>
                                    <w:t>Tatar</w:t>
                                  </w:r>
                                  <w:r>
                                    <w:rPr>
                                      <w:spacing w:val="-5"/>
                                      <w:sz w:val="20"/>
                                    </w:rPr>
                                    <w:t> </w:t>
                                  </w:r>
                                  <w:r>
                                    <w:rPr>
                                      <w:spacing w:val="-4"/>
                                      <w:sz w:val="20"/>
                                    </w:rPr>
                                    <w:t>(crh)</w:t>
                                  </w:r>
                                </w:p>
                              </w:tc>
                            </w:tr>
                            <w:tr>
                              <w:trPr>
                                <w:trHeight w:val="230" w:hRule="atLeast"/>
                              </w:trPr>
                              <w:tc>
                                <w:tcPr>
                                  <w:tcW w:w="612" w:type="dxa"/>
                                </w:tcPr>
                                <w:p>
                                  <w:pPr>
                                    <w:pStyle w:val="TableParagraph"/>
                                    <w:ind w:left="50"/>
                                    <w:rPr>
                                      <w:sz w:val="20"/>
                                    </w:rPr>
                                  </w:pPr>
                                  <w:r>
                                    <w:rPr>
                                      <w:spacing w:val="-4"/>
                                      <w:sz w:val="20"/>
                                    </w:rPr>
                                    <w:t>1666</w:t>
                                  </w:r>
                                </w:p>
                              </w:tc>
                              <w:tc>
                                <w:tcPr>
                                  <w:tcW w:w="3028" w:type="dxa"/>
                                </w:tcPr>
                                <w:p>
                                  <w:pPr>
                                    <w:pStyle w:val="TableParagraph"/>
                                    <w:ind w:left="158"/>
                                    <w:rPr>
                                      <w:sz w:val="20"/>
                                    </w:rPr>
                                  </w:pPr>
                                  <w:r>
                                    <w:rPr>
                                      <w:sz w:val="20"/>
                                    </w:rPr>
                                    <w:t>Uighur</w:t>
                                  </w:r>
                                  <w:r>
                                    <w:rPr>
                                      <w:spacing w:val="-9"/>
                                      <w:sz w:val="20"/>
                                    </w:rPr>
                                    <w:t> </w:t>
                                  </w:r>
                                  <w:r>
                                    <w:rPr>
                                      <w:spacing w:val="-2"/>
                                      <w:sz w:val="20"/>
                                    </w:rPr>
                                    <w:t>(uig)</w:t>
                                  </w:r>
                                </w:p>
                              </w:tc>
                            </w:tr>
                            <w:tr>
                              <w:trPr>
                                <w:trHeight w:val="230" w:hRule="atLeast"/>
                              </w:trPr>
                              <w:tc>
                                <w:tcPr>
                                  <w:tcW w:w="612" w:type="dxa"/>
                                </w:tcPr>
                                <w:p>
                                  <w:pPr>
                                    <w:pStyle w:val="TableParagraph"/>
                                    <w:ind w:left="50"/>
                                    <w:rPr>
                                      <w:sz w:val="20"/>
                                    </w:rPr>
                                  </w:pPr>
                                  <w:r>
                                    <w:rPr>
                                      <w:spacing w:val="-4"/>
                                      <w:sz w:val="20"/>
                                    </w:rPr>
                                    <w:t>1668</w:t>
                                  </w:r>
                                </w:p>
                              </w:tc>
                              <w:tc>
                                <w:tcPr>
                                  <w:tcW w:w="3028" w:type="dxa"/>
                                </w:tcPr>
                                <w:p>
                                  <w:pPr>
                                    <w:pStyle w:val="TableParagraph"/>
                                    <w:ind w:left="158"/>
                                    <w:rPr>
                                      <w:sz w:val="20"/>
                                    </w:rPr>
                                  </w:pPr>
                                  <w:r>
                                    <w:rPr>
                                      <w:sz w:val="20"/>
                                    </w:rPr>
                                    <w:t>Azerbaijani</w:t>
                                  </w:r>
                                  <w:r>
                                    <w:rPr>
                                      <w:spacing w:val="-12"/>
                                      <w:sz w:val="20"/>
                                    </w:rPr>
                                    <w:t> </w:t>
                                  </w:r>
                                  <w:r>
                                    <w:rPr>
                                      <w:spacing w:val="-2"/>
                                      <w:sz w:val="20"/>
                                    </w:rPr>
                                    <w:t>(aze)</w:t>
                                  </w:r>
                                </w:p>
                              </w:tc>
                            </w:tr>
                            <w:tr>
                              <w:trPr>
                                <w:trHeight w:val="230" w:hRule="atLeast"/>
                              </w:trPr>
                              <w:tc>
                                <w:tcPr>
                                  <w:tcW w:w="612" w:type="dxa"/>
                                </w:tcPr>
                                <w:p>
                                  <w:pPr>
                                    <w:pStyle w:val="TableParagraph"/>
                                    <w:ind w:left="50"/>
                                    <w:rPr>
                                      <w:sz w:val="20"/>
                                    </w:rPr>
                                  </w:pPr>
                                  <w:r>
                                    <w:rPr>
                                      <w:spacing w:val="-4"/>
                                      <w:sz w:val="20"/>
                                    </w:rPr>
                                    <w:t>1669</w:t>
                                  </w:r>
                                </w:p>
                              </w:tc>
                              <w:tc>
                                <w:tcPr>
                                  <w:tcW w:w="3028" w:type="dxa"/>
                                </w:tcPr>
                                <w:p>
                                  <w:pPr>
                                    <w:pStyle w:val="TableParagraph"/>
                                    <w:ind w:left="158"/>
                                    <w:rPr>
                                      <w:sz w:val="20"/>
                                    </w:rPr>
                                  </w:pPr>
                                  <w:r>
                                    <w:rPr>
                                      <w:sz w:val="20"/>
                                    </w:rPr>
                                    <w:t>North</w:t>
                                  </w:r>
                                  <w:r>
                                    <w:rPr>
                                      <w:spacing w:val="-9"/>
                                      <w:sz w:val="20"/>
                                    </w:rPr>
                                    <w:t> </w:t>
                                  </w:r>
                                  <w:r>
                                    <w:rPr>
                                      <w:sz w:val="20"/>
                                    </w:rPr>
                                    <w:t>Azerbaijani</w:t>
                                  </w:r>
                                  <w:r>
                                    <w:rPr>
                                      <w:spacing w:val="-8"/>
                                      <w:sz w:val="20"/>
                                    </w:rPr>
                                    <w:t> </w:t>
                                  </w:r>
                                  <w:r>
                                    <w:rPr>
                                      <w:spacing w:val="-4"/>
                                      <w:sz w:val="20"/>
                                    </w:rPr>
                                    <w:t>(azj)</w:t>
                                  </w:r>
                                </w:p>
                              </w:tc>
                            </w:tr>
                            <w:tr>
                              <w:trPr>
                                <w:trHeight w:val="230" w:hRule="atLeast"/>
                              </w:trPr>
                              <w:tc>
                                <w:tcPr>
                                  <w:tcW w:w="612" w:type="dxa"/>
                                </w:tcPr>
                                <w:p>
                                  <w:pPr>
                                    <w:pStyle w:val="TableParagraph"/>
                                    <w:ind w:left="50"/>
                                    <w:rPr>
                                      <w:sz w:val="20"/>
                                    </w:rPr>
                                  </w:pPr>
                                  <w:r>
                                    <w:rPr>
                                      <w:spacing w:val="-4"/>
                                      <w:sz w:val="20"/>
                                    </w:rPr>
                                    <w:t>1670</w:t>
                                  </w:r>
                                </w:p>
                              </w:tc>
                              <w:tc>
                                <w:tcPr>
                                  <w:tcW w:w="3028" w:type="dxa"/>
                                </w:tcPr>
                                <w:p>
                                  <w:pPr>
                                    <w:pStyle w:val="TableParagraph"/>
                                    <w:ind w:left="158"/>
                                    <w:rPr>
                                      <w:sz w:val="20"/>
                                    </w:rPr>
                                  </w:pPr>
                                  <w:r>
                                    <w:rPr>
                                      <w:sz w:val="20"/>
                                    </w:rPr>
                                    <w:t>South</w:t>
                                  </w:r>
                                  <w:r>
                                    <w:rPr>
                                      <w:spacing w:val="-7"/>
                                      <w:sz w:val="20"/>
                                    </w:rPr>
                                    <w:t> </w:t>
                                  </w:r>
                                  <w:r>
                                    <w:rPr>
                                      <w:sz w:val="20"/>
                                    </w:rPr>
                                    <w:t>Azerbaijani</w:t>
                                  </w:r>
                                  <w:r>
                                    <w:rPr>
                                      <w:spacing w:val="-8"/>
                                      <w:sz w:val="20"/>
                                    </w:rPr>
                                    <w:t> </w:t>
                                  </w:r>
                                  <w:r>
                                    <w:rPr>
                                      <w:spacing w:val="-4"/>
                                      <w:sz w:val="20"/>
                                    </w:rPr>
                                    <w:t>(azb)</w:t>
                                  </w:r>
                                </w:p>
                              </w:tc>
                            </w:tr>
                            <w:tr>
                              <w:trPr>
                                <w:trHeight w:val="229" w:hRule="atLeast"/>
                              </w:trPr>
                              <w:tc>
                                <w:tcPr>
                                  <w:tcW w:w="612" w:type="dxa"/>
                                </w:tcPr>
                                <w:p>
                                  <w:pPr>
                                    <w:pStyle w:val="TableParagraph"/>
                                    <w:spacing w:line="209" w:lineRule="exact"/>
                                    <w:ind w:left="50"/>
                                    <w:rPr>
                                      <w:sz w:val="20"/>
                                    </w:rPr>
                                  </w:pPr>
                                  <w:r>
                                    <w:rPr>
                                      <w:spacing w:val="-4"/>
                                      <w:sz w:val="20"/>
                                    </w:rPr>
                                    <w:t>1675</w:t>
                                  </w:r>
                                </w:p>
                              </w:tc>
                              <w:tc>
                                <w:tcPr>
                                  <w:tcW w:w="3028" w:type="dxa"/>
                                </w:tcPr>
                                <w:p>
                                  <w:pPr>
                                    <w:pStyle w:val="TableParagraph"/>
                                    <w:spacing w:line="209" w:lineRule="exact"/>
                                    <w:ind w:left="158"/>
                                    <w:rPr>
                                      <w:sz w:val="20"/>
                                    </w:rPr>
                                  </w:pPr>
                                  <w:r>
                                    <w:rPr>
                                      <w:sz w:val="20"/>
                                    </w:rPr>
                                    <w:t>Turkish</w:t>
                                  </w:r>
                                  <w:r>
                                    <w:rPr>
                                      <w:spacing w:val="-11"/>
                                      <w:sz w:val="20"/>
                                    </w:rPr>
                                    <w:t> </w:t>
                                  </w:r>
                                  <w:r>
                                    <w:rPr>
                                      <w:spacing w:val="-2"/>
                                      <w:sz w:val="20"/>
                                    </w:rPr>
                                    <w:t>(tur)</w:t>
                                  </w:r>
                                </w:p>
                              </w:tc>
                            </w:tr>
                            <w:tr>
                              <w:trPr>
                                <w:trHeight w:val="229" w:hRule="atLeast"/>
                              </w:trPr>
                              <w:tc>
                                <w:tcPr>
                                  <w:tcW w:w="612" w:type="dxa"/>
                                </w:tcPr>
                                <w:p>
                                  <w:pPr>
                                    <w:pStyle w:val="TableParagraph"/>
                                    <w:spacing w:line="209" w:lineRule="exact"/>
                                    <w:ind w:left="50"/>
                                    <w:rPr>
                                      <w:sz w:val="20"/>
                                    </w:rPr>
                                  </w:pPr>
                                  <w:r>
                                    <w:rPr>
                                      <w:spacing w:val="-4"/>
                                      <w:sz w:val="20"/>
                                    </w:rPr>
                                    <w:t>1676</w:t>
                                  </w:r>
                                </w:p>
                              </w:tc>
                              <w:tc>
                                <w:tcPr>
                                  <w:tcW w:w="3028" w:type="dxa"/>
                                </w:tcPr>
                                <w:p>
                                  <w:pPr>
                                    <w:pStyle w:val="TableParagraph"/>
                                    <w:spacing w:line="209" w:lineRule="exact"/>
                                    <w:ind w:left="158"/>
                                    <w:rPr>
                                      <w:sz w:val="20"/>
                                    </w:rPr>
                                  </w:pPr>
                                  <w:r>
                                    <w:rPr>
                                      <w:sz w:val="20"/>
                                    </w:rPr>
                                    <w:t>Balkan</w:t>
                                  </w:r>
                                  <w:r>
                                    <w:rPr>
                                      <w:spacing w:val="-8"/>
                                      <w:sz w:val="20"/>
                                    </w:rPr>
                                    <w:t> </w:t>
                                  </w:r>
                                  <w:r>
                                    <w:rPr>
                                      <w:sz w:val="20"/>
                                    </w:rPr>
                                    <w:t>Gagauz</w:t>
                                  </w:r>
                                  <w:r>
                                    <w:rPr>
                                      <w:spacing w:val="-7"/>
                                      <w:sz w:val="20"/>
                                    </w:rPr>
                                    <w:t> </w:t>
                                  </w:r>
                                  <w:r>
                                    <w:rPr>
                                      <w:sz w:val="20"/>
                                    </w:rPr>
                                    <w:t>Turkish</w:t>
                                  </w:r>
                                  <w:r>
                                    <w:rPr>
                                      <w:spacing w:val="-7"/>
                                      <w:sz w:val="20"/>
                                    </w:rPr>
                                    <w:t> </w:t>
                                  </w:r>
                                  <w:r>
                                    <w:rPr>
                                      <w:spacing w:val="-4"/>
                                      <w:sz w:val="20"/>
                                    </w:rPr>
                                    <w:t>(bgx)</w:t>
                                  </w:r>
                                </w:p>
                              </w:tc>
                            </w:tr>
                            <w:tr>
                              <w:trPr>
                                <w:trHeight w:val="230" w:hRule="atLeast"/>
                              </w:trPr>
                              <w:tc>
                                <w:tcPr>
                                  <w:tcW w:w="612" w:type="dxa"/>
                                </w:tcPr>
                                <w:p>
                                  <w:pPr>
                                    <w:pStyle w:val="TableParagraph"/>
                                    <w:ind w:left="50"/>
                                    <w:rPr>
                                      <w:sz w:val="20"/>
                                    </w:rPr>
                                  </w:pPr>
                                  <w:r>
                                    <w:rPr>
                                      <w:spacing w:val="-4"/>
                                      <w:sz w:val="20"/>
                                    </w:rPr>
                                    <w:t>1677</w:t>
                                  </w:r>
                                </w:p>
                              </w:tc>
                              <w:tc>
                                <w:tcPr>
                                  <w:tcW w:w="3028" w:type="dxa"/>
                                </w:tcPr>
                                <w:p>
                                  <w:pPr>
                                    <w:pStyle w:val="TableParagraph"/>
                                    <w:ind w:left="158"/>
                                    <w:rPr>
                                      <w:sz w:val="20"/>
                                    </w:rPr>
                                  </w:pPr>
                                  <w:r>
                                    <w:rPr>
                                      <w:sz w:val="20"/>
                                    </w:rPr>
                                    <w:t>Gagauz</w:t>
                                  </w:r>
                                  <w:r>
                                    <w:rPr>
                                      <w:spacing w:val="-8"/>
                                      <w:sz w:val="20"/>
                                    </w:rPr>
                                    <w:t> </w:t>
                                  </w:r>
                                  <w:r>
                                    <w:rPr>
                                      <w:spacing w:val="-2"/>
                                      <w:sz w:val="20"/>
                                    </w:rPr>
                                    <w:t>(gag)</w:t>
                                  </w:r>
                                </w:p>
                              </w:tc>
                            </w:tr>
                            <w:tr>
                              <w:trPr>
                                <w:trHeight w:val="230" w:hRule="atLeast"/>
                              </w:trPr>
                              <w:tc>
                                <w:tcPr>
                                  <w:tcW w:w="612" w:type="dxa"/>
                                </w:tcPr>
                                <w:p>
                                  <w:pPr>
                                    <w:pStyle w:val="TableParagraph"/>
                                    <w:ind w:left="50"/>
                                    <w:rPr>
                                      <w:sz w:val="20"/>
                                    </w:rPr>
                                  </w:pPr>
                                  <w:r>
                                    <w:rPr>
                                      <w:spacing w:val="-4"/>
                                      <w:sz w:val="20"/>
                                    </w:rPr>
                                    <w:t>1680</w:t>
                                  </w:r>
                                </w:p>
                              </w:tc>
                              <w:tc>
                                <w:tcPr>
                                  <w:tcW w:w="3028" w:type="dxa"/>
                                </w:tcPr>
                                <w:p>
                                  <w:pPr>
                                    <w:pStyle w:val="TableParagraph"/>
                                    <w:ind w:left="158"/>
                                    <w:rPr>
                                      <w:sz w:val="20"/>
                                    </w:rPr>
                                  </w:pPr>
                                  <w:r>
                                    <w:rPr>
                                      <w:sz w:val="20"/>
                                    </w:rPr>
                                    <w:t>Turkmen</w:t>
                                  </w:r>
                                  <w:r>
                                    <w:rPr>
                                      <w:spacing w:val="-12"/>
                                      <w:sz w:val="20"/>
                                    </w:rPr>
                                    <w:t> </w:t>
                                  </w:r>
                                  <w:r>
                                    <w:rPr>
                                      <w:spacing w:val="-2"/>
                                      <w:sz w:val="20"/>
                                    </w:rPr>
                                    <w:t>(tuk)</w:t>
                                  </w:r>
                                </w:p>
                              </w:tc>
                            </w:tr>
                            <w:tr>
                              <w:trPr>
                                <w:trHeight w:val="225" w:hRule="atLeast"/>
                              </w:trPr>
                              <w:tc>
                                <w:tcPr>
                                  <w:tcW w:w="612" w:type="dxa"/>
                                </w:tcPr>
                                <w:p>
                                  <w:pPr>
                                    <w:pStyle w:val="TableParagraph"/>
                                    <w:spacing w:line="205" w:lineRule="exact"/>
                                    <w:ind w:left="50"/>
                                    <w:rPr>
                                      <w:sz w:val="20"/>
                                    </w:rPr>
                                  </w:pPr>
                                  <w:r>
                                    <w:rPr>
                                      <w:spacing w:val="-4"/>
                                      <w:sz w:val="20"/>
                                    </w:rPr>
                                    <w:t>1681</w:t>
                                  </w:r>
                                </w:p>
                              </w:tc>
                              <w:tc>
                                <w:tcPr>
                                  <w:tcW w:w="3028" w:type="dxa"/>
                                </w:tcPr>
                                <w:p>
                                  <w:pPr>
                                    <w:pStyle w:val="TableParagraph"/>
                                    <w:spacing w:line="205" w:lineRule="exact"/>
                                    <w:ind w:left="158"/>
                                    <w:rPr>
                                      <w:sz w:val="20"/>
                                    </w:rPr>
                                  </w:pPr>
                                  <w:r>
                                    <w:rPr>
                                      <w:sz w:val="20"/>
                                    </w:rPr>
                                    <w:t>Yakut</w:t>
                                  </w:r>
                                  <w:r>
                                    <w:rPr>
                                      <w:spacing w:val="-7"/>
                                      <w:sz w:val="20"/>
                                    </w:rPr>
                                    <w:t> </w:t>
                                  </w:r>
                                  <w:r>
                                    <w:rPr>
                                      <w:spacing w:val="-2"/>
                                      <w:sz w:val="20"/>
                                    </w:rPr>
                                    <w:t>(sah)</w:t>
                                  </w:r>
                                </w:p>
                              </w:tc>
                            </w:tr>
                            <w:tr>
                              <w:trPr>
                                <w:trHeight w:val="468" w:hRule="atLeast"/>
                              </w:trPr>
                              <w:tc>
                                <w:tcPr>
                                  <w:tcW w:w="3640" w:type="dxa"/>
                                  <w:gridSpan w:val="2"/>
                                </w:tcPr>
                                <w:p>
                                  <w:pPr>
                                    <w:pStyle w:val="TableParagraph"/>
                                    <w:spacing w:line="240" w:lineRule="auto" w:before="10"/>
                                    <w:rPr>
                                      <w:i/>
                                      <w:sz w:val="19"/>
                                    </w:rPr>
                                  </w:pPr>
                                </w:p>
                                <w:p>
                                  <w:pPr>
                                    <w:pStyle w:val="TableParagraph"/>
                                    <w:spacing w:line="220" w:lineRule="exact"/>
                                    <w:ind w:left="50"/>
                                    <w:rPr>
                                      <w:i/>
                                      <w:sz w:val="20"/>
                                    </w:rPr>
                                  </w:pPr>
                                  <w:r>
                                    <w:rPr>
                                      <w:i/>
                                      <w:sz w:val="20"/>
                                      <w:u w:val="single"/>
                                    </w:rPr>
                                    <w:t>Mongolic</w:t>
                                  </w:r>
                                  <w:r>
                                    <w:rPr>
                                      <w:i/>
                                      <w:spacing w:val="-8"/>
                                      <w:sz w:val="20"/>
                                      <w:u w:val="single"/>
                                    </w:rPr>
                                    <w:t> </w:t>
                                  </w:r>
                                  <w:r>
                                    <w:rPr>
                                      <w:i/>
                                      <w:sz w:val="20"/>
                                      <w:u w:val="single"/>
                                    </w:rPr>
                                    <w:t>languages</w:t>
                                  </w:r>
                                  <w:r>
                                    <w:rPr>
                                      <w:i/>
                                      <w:spacing w:val="-8"/>
                                      <w:sz w:val="20"/>
                                      <w:u w:val="single"/>
                                    </w:rPr>
                                    <w:t> </w:t>
                                  </w:r>
                                  <w:r>
                                    <w:rPr>
                                      <w:i/>
                                      <w:sz w:val="20"/>
                                      <w:u w:val="single"/>
                                    </w:rPr>
                                    <w:t>(1685-</w:t>
                                  </w:r>
                                  <w:r>
                                    <w:rPr>
                                      <w:i/>
                                      <w:spacing w:val="-2"/>
                                      <w:sz w:val="20"/>
                                      <w:u w:val="single"/>
                                    </w:rPr>
                                    <w:t>1698)</w:t>
                                  </w:r>
                                </w:p>
                              </w:tc>
                            </w:tr>
                            <w:tr>
                              <w:trPr>
                                <w:trHeight w:val="225" w:hRule="atLeast"/>
                              </w:trPr>
                              <w:tc>
                                <w:tcPr>
                                  <w:tcW w:w="612" w:type="dxa"/>
                                </w:tcPr>
                                <w:p>
                                  <w:pPr>
                                    <w:pStyle w:val="TableParagraph"/>
                                    <w:spacing w:line="206" w:lineRule="exact"/>
                                    <w:ind w:left="50"/>
                                    <w:rPr>
                                      <w:sz w:val="20"/>
                                    </w:rPr>
                                  </w:pPr>
                                  <w:r>
                                    <w:rPr>
                                      <w:spacing w:val="-4"/>
                                      <w:sz w:val="20"/>
                                    </w:rPr>
                                    <w:t>1685</w:t>
                                  </w:r>
                                </w:p>
                              </w:tc>
                              <w:tc>
                                <w:tcPr>
                                  <w:tcW w:w="3028" w:type="dxa"/>
                                </w:tcPr>
                                <w:p>
                                  <w:pPr>
                                    <w:pStyle w:val="TableParagraph"/>
                                    <w:spacing w:line="206" w:lineRule="exact"/>
                                    <w:ind w:left="158"/>
                                    <w:rPr>
                                      <w:sz w:val="20"/>
                                    </w:rPr>
                                  </w:pPr>
                                  <w:r>
                                    <w:rPr>
                                      <w:sz w:val="20"/>
                                    </w:rPr>
                                    <w:t>Daur</w:t>
                                  </w:r>
                                  <w:r>
                                    <w:rPr>
                                      <w:spacing w:val="-5"/>
                                      <w:sz w:val="20"/>
                                    </w:rPr>
                                    <w:t> </w:t>
                                  </w:r>
                                  <w:r>
                                    <w:rPr>
                                      <w:spacing w:val="-2"/>
                                      <w:sz w:val="20"/>
                                    </w:rPr>
                                    <w:t>(dta)</w:t>
                                  </w:r>
                                </w:p>
                              </w:tc>
                            </w:tr>
                            <w:tr>
                              <w:trPr>
                                <w:trHeight w:val="230" w:hRule="atLeast"/>
                              </w:trPr>
                              <w:tc>
                                <w:tcPr>
                                  <w:tcW w:w="612" w:type="dxa"/>
                                </w:tcPr>
                                <w:p>
                                  <w:pPr>
                                    <w:pStyle w:val="TableParagraph"/>
                                    <w:spacing w:line="211" w:lineRule="exact"/>
                                    <w:ind w:left="50"/>
                                    <w:rPr>
                                      <w:sz w:val="20"/>
                                    </w:rPr>
                                  </w:pPr>
                                  <w:r>
                                    <w:rPr>
                                      <w:spacing w:val="-4"/>
                                      <w:sz w:val="20"/>
                                    </w:rPr>
                                    <w:t>1687</w:t>
                                  </w:r>
                                </w:p>
                              </w:tc>
                              <w:tc>
                                <w:tcPr>
                                  <w:tcW w:w="3028" w:type="dxa"/>
                                </w:tcPr>
                                <w:p>
                                  <w:pPr>
                                    <w:pStyle w:val="TableParagraph"/>
                                    <w:spacing w:line="211" w:lineRule="exact"/>
                                    <w:ind w:left="158"/>
                                    <w:rPr>
                                      <w:sz w:val="20"/>
                                    </w:rPr>
                                  </w:pPr>
                                  <w:r>
                                    <w:rPr>
                                      <w:sz w:val="20"/>
                                    </w:rPr>
                                    <w:t>Bonan</w:t>
                                  </w:r>
                                  <w:r>
                                    <w:rPr>
                                      <w:spacing w:val="-7"/>
                                      <w:sz w:val="20"/>
                                    </w:rPr>
                                    <w:t> </w:t>
                                  </w:r>
                                  <w:r>
                                    <w:rPr>
                                      <w:spacing w:val="-2"/>
                                      <w:sz w:val="20"/>
                                    </w:rPr>
                                    <w:t>(peh)</w:t>
                                  </w:r>
                                </w:p>
                              </w:tc>
                            </w:tr>
                            <w:tr>
                              <w:trPr>
                                <w:trHeight w:val="230" w:hRule="atLeast"/>
                              </w:trPr>
                              <w:tc>
                                <w:tcPr>
                                  <w:tcW w:w="612" w:type="dxa"/>
                                </w:tcPr>
                                <w:p>
                                  <w:pPr>
                                    <w:pStyle w:val="TableParagraph"/>
                                    <w:ind w:left="50"/>
                                    <w:rPr>
                                      <w:sz w:val="20"/>
                                    </w:rPr>
                                  </w:pPr>
                                  <w:r>
                                    <w:rPr>
                                      <w:spacing w:val="-4"/>
                                      <w:sz w:val="20"/>
                                    </w:rPr>
                                    <w:t>1688</w:t>
                                  </w:r>
                                </w:p>
                              </w:tc>
                              <w:tc>
                                <w:tcPr>
                                  <w:tcW w:w="3028" w:type="dxa"/>
                                </w:tcPr>
                                <w:p>
                                  <w:pPr>
                                    <w:pStyle w:val="TableParagraph"/>
                                    <w:ind w:left="158"/>
                                    <w:rPr>
                                      <w:sz w:val="20"/>
                                    </w:rPr>
                                  </w:pPr>
                                  <w:r>
                                    <w:rPr>
                                      <w:sz w:val="20"/>
                                    </w:rPr>
                                    <w:t>Tu</w:t>
                                  </w:r>
                                  <w:r>
                                    <w:rPr>
                                      <w:spacing w:val="-1"/>
                                      <w:sz w:val="20"/>
                                    </w:rPr>
                                    <w:t> </w:t>
                                  </w:r>
                                  <w:r>
                                    <w:rPr>
                                      <w:spacing w:val="-2"/>
                                      <w:sz w:val="20"/>
                                    </w:rPr>
                                    <w:t>(mjg)</w:t>
                                  </w:r>
                                </w:p>
                              </w:tc>
                            </w:tr>
                            <w:tr>
                              <w:trPr>
                                <w:trHeight w:val="230" w:hRule="atLeast"/>
                              </w:trPr>
                              <w:tc>
                                <w:tcPr>
                                  <w:tcW w:w="612" w:type="dxa"/>
                                </w:tcPr>
                                <w:p>
                                  <w:pPr>
                                    <w:pStyle w:val="TableParagraph"/>
                                    <w:ind w:left="50"/>
                                    <w:rPr>
                                      <w:sz w:val="20"/>
                                    </w:rPr>
                                  </w:pPr>
                                  <w:r>
                                    <w:rPr>
                                      <w:spacing w:val="-4"/>
                                      <w:sz w:val="20"/>
                                    </w:rPr>
                                    <w:t>1690</w:t>
                                  </w:r>
                                </w:p>
                              </w:tc>
                              <w:tc>
                                <w:tcPr>
                                  <w:tcW w:w="3028" w:type="dxa"/>
                                </w:tcPr>
                                <w:p>
                                  <w:pPr>
                                    <w:pStyle w:val="TableParagraph"/>
                                    <w:ind w:left="158"/>
                                    <w:rPr>
                                      <w:sz w:val="20"/>
                                    </w:rPr>
                                  </w:pPr>
                                  <w:r>
                                    <w:rPr>
                                      <w:sz w:val="20"/>
                                    </w:rPr>
                                    <w:t>Mongolian</w:t>
                                  </w:r>
                                  <w:r>
                                    <w:rPr>
                                      <w:spacing w:val="-13"/>
                                      <w:sz w:val="20"/>
                                    </w:rPr>
                                    <w:t> </w:t>
                                  </w:r>
                                  <w:r>
                                    <w:rPr>
                                      <w:sz w:val="20"/>
                                    </w:rPr>
                                    <w:t>(macrolanguage)</w:t>
                                  </w:r>
                                  <w:r>
                                    <w:rPr>
                                      <w:spacing w:val="-10"/>
                                      <w:sz w:val="20"/>
                                    </w:rPr>
                                    <w:t> </w:t>
                                  </w:r>
                                  <w:r>
                                    <w:rPr>
                                      <w:spacing w:val="-4"/>
                                      <w:sz w:val="20"/>
                                    </w:rPr>
                                    <w:t>(mon)</w:t>
                                  </w:r>
                                </w:p>
                              </w:tc>
                            </w:tr>
                            <w:tr>
                              <w:trPr>
                                <w:trHeight w:val="229" w:hRule="atLeast"/>
                              </w:trPr>
                              <w:tc>
                                <w:tcPr>
                                  <w:tcW w:w="612" w:type="dxa"/>
                                </w:tcPr>
                                <w:p>
                                  <w:pPr>
                                    <w:pStyle w:val="TableParagraph"/>
                                    <w:spacing w:line="209" w:lineRule="exact"/>
                                    <w:ind w:left="50"/>
                                    <w:rPr>
                                      <w:sz w:val="20"/>
                                    </w:rPr>
                                  </w:pPr>
                                  <w:r>
                                    <w:rPr>
                                      <w:spacing w:val="-4"/>
                                      <w:sz w:val="20"/>
                                    </w:rPr>
                                    <w:t>1691</w:t>
                                  </w:r>
                                </w:p>
                              </w:tc>
                              <w:tc>
                                <w:tcPr>
                                  <w:tcW w:w="3028" w:type="dxa"/>
                                </w:tcPr>
                                <w:p>
                                  <w:pPr>
                                    <w:pStyle w:val="TableParagraph"/>
                                    <w:spacing w:line="209" w:lineRule="exact"/>
                                    <w:ind w:left="158"/>
                                    <w:rPr>
                                      <w:sz w:val="20"/>
                                    </w:rPr>
                                  </w:pPr>
                                  <w:r>
                                    <w:rPr>
                                      <w:sz w:val="20"/>
                                    </w:rPr>
                                    <w:t>Halh</w:t>
                                  </w:r>
                                  <w:r>
                                    <w:rPr>
                                      <w:spacing w:val="-6"/>
                                      <w:sz w:val="20"/>
                                    </w:rPr>
                                    <w:t> </w:t>
                                  </w:r>
                                  <w:r>
                                    <w:rPr>
                                      <w:sz w:val="20"/>
                                    </w:rPr>
                                    <w:t>Mongolian</w:t>
                                  </w:r>
                                  <w:r>
                                    <w:rPr>
                                      <w:spacing w:val="-5"/>
                                      <w:sz w:val="20"/>
                                    </w:rPr>
                                    <w:t> </w:t>
                                  </w:r>
                                  <w:r>
                                    <w:rPr>
                                      <w:spacing w:val="-4"/>
                                      <w:sz w:val="20"/>
                                    </w:rPr>
                                    <w:t>(khk)</w:t>
                                  </w:r>
                                </w:p>
                              </w:tc>
                            </w:tr>
                            <w:tr>
                              <w:trPr>
                                <w:trHeight w:val="229" w:hRule="atLeast"/>
                              </w:trPr>
                              <w:tc>
                                <w:tcPr>
                                  <w:tcW w:w="612" w:type="dxa"/>
                                </w:tcPr>
                                <w:p>
                                  <w:pPr>
                                    <w:pStyle w:val="TableParagraph"/>
                                    <w:spacing w:line="209" w:lineRule="exact"/>
                                    <w:ind w:left="50"/>
                                    <w:rPr>
                                      <w:sz w:val="20"/>
                                    </w:rPr>
                                  </w:pPr>
                                  <w:r>
                                    <w:rPr>
                                      <w:spacing w:val="-4"/>
                                      <w:sz w:val="20"/>
                                    </w:rPr>
                                    <w:t>1692</w:t>
                                  </w:r>
                                </w:p>
                              </w:tc>
                              <w:tc>
                                <w:tcPr>
                                  <w:tcW w:w="3028" w:type="dxa"/>
                                </w:tcPr>
                                <w:p>
                                  <w:pPr>
                                    <w:pStyle w:val="TableParagraph"/>
                                    <w:spacing w:line="209" w:lineRule="exact"/>
                                    <w:ind w:left="158"/>
                                    <w:rPr>
                                      <w:sz w:val="20"/>
                                    </w:rPr>
                                  </w:pPr>
                                  <w:r>
                                    <w:rPr>
                                      <w:sz w:val="20"/>
                                    </w:rPr>
                                    <w:t>Peripheral</w:t>
                                  </w:r>
                                  <w:r>
                                    <w:rPr>
                                      <w:spacing w:val="-9"/>
                                      <w:sz w:val="20"/>
                                    </w:rPr>
                                    <w:t> </w:t>
                                  </w:r>
                                  <w:r>
                                    <w:rPr>
                                      <w:sz w:val="20"/>
                                    </w:rPr>
                                    <w:t>Mongolian</w:t>
                                  </w:r>
                                  <w:r>
                                    <w:rPr>
                                      <w:spacing w:val="-9"/>
                                      <w:sz w:val="20"/>
                                    </w:rPr>
                                    <w:t> </w:t>
                                  </w:r>
                                  <w:r>
                                    <w:rPr>
                                      <w:spacing w:val="-4"/>
                                      <w:sz w:val="20"/>
                                    </w:rPr>
                                    <w:t>(mvf)</w:t>
                                  </w:r>
                                </w:p>
                              </w:tc>
                            </w:tr>
                            <w:tr>
                              <w:trPr>
                                <w:trHeight w:val="230" w:hRule="atLeast"/>
                              </w:trPr>
                              <w:tc>
                                <w:tcPr>
                                  <w:tcW w:w="612" w:type="dxa"/>
                                </w:tcPr>
                                <w:p>
                                  <w:pPr>
                                    <w:pStyle w:val="TableParagraph"/>
                                    <w:ind w:left="50"/>
                                    <w:rPr>
                                      <w:sz w:val="20"/>
                                    </w:rPr>
                                  </w:pPr>
                                  <w:r>
                                    <w:rPr>
                                      <w:spacing w:val="-4"/>
                                      <w:sz w:val="20"/>
                                    </w:rPr>
                                    <w:t>1695</w:t>
                                  </w:r>
                                </w:p>
                              </w:tc>
                              <w:tc>
                                <w:tcPr>
                                  <w:tcW w:w="3028" w:type="dxa"/>
                                </w:tcPr>
                                <w:p>
                                  <w:pPr>
                                    <w:pStyle w:val="TableParagraph"/>
                                    <w:ind w:left="158"/>
                                    <w:rPr>
                                      <w:sz w:val="20"/>
                                    </w:rPr>
                                  </w:pPr>
                                  <w:r>
                                    <w:rPr>
                                      <w:sz w:val="20"/>
                                    </w:rPr>
                                    <w:t>Buriat</w:t>
                                  </w:r>
                                  <w:r>
                                    <w:rPr>
                                      <w:spacing w:val="-6"/>
                                      <w:sz w:val="20"/>
                                    </w:rPr>
                                    <w:t> </w:t>
                                  </w:r>
                                  <w:r>
                                    <w:rPr>
                                      <w:spacing w:val="-2"/>
                                      <w:sz w:val="20"/>
                                    </w:rPr>
                                    <w:t>(bua)</w:t>
                                  </w:r>
                                </w:p>
                              </w:tc>
                            </w:tr>
                            <w:tr>
                              <w:trPr>
                                <w:trHeight w:val="230" w:hRule="atLeast"/>
                              </w:trPr>
                              <w:tc>
                                <w:tcPr>
                                  <w:tcW w:w="612" w:type="dxa"/>
                                </w:tcPr>
                                <w:p>
                                  <w:pPr>
                                    <w:pStyle w:val="TableParagraph"/>
                                    <w:ind w:left="50"/>
                                    <w:rPr>
                                      <w:sz w:val="20"/>
                                    </w:rPr>
                                  </w:pPr>
                                  <w:r>
                                    <w:rPr>
                                      <w:spacing w:val="-4"/>
                                      <w:sz w:val="20"/>
                                    </w:rPr>
                                    <w:t>1696</w:t>
                                  </w:r>
                                </w:p>
                              </w:tc>
                              <w:tc>
                                <w:tcPr>
                                  <w:tcW w:w="3028" w:type="dxa"/>
                                </w:tcPr>
                                <w:p>
                                  <w:pPr>
                                    <w:pStyle w:val="TableParagraph"/>
                                    <w:ind w:left="158"/>
                                    <w:rPr>
                                      <w:sz w:val="20"/>
                                    </w:rPr>
                                  </w:pPr>
                                  <w:r>
                                    <w:rPr>
                                      <w:sz w:val="20"/>
                                    </w:rPr>
                                    <w:t>Russia</w:t>
                                  </w:r>
                                  <w:r>
                                    <w:rPr>
                                      <w:spacing w:val="-7"/>
                                      <w:sz w:val="20"/>
                                    </w:rPr>
                                    <w:t> </w:t>
                                  </w:r>
                                  <w:r>
                                    <w:rPr>
                                      <w:sz w:val="20"/>
                                    </w:rPr>
                                    <w:t>Buriat</w:t>
                                  </w:r>
                                  <w:r>
                                    <w:rPr>
                                      <w:spacing w:val="-7"/>
                                      <w:sz w:val="20"/>
                                    </w:rPr>
                                    <w:t> </w:t>
                                  </w:r>
                                  <w:r>
                                    <w:rPr>
                                      <w:spacing w:val="-2"/>
                                      <w:sz w:val="20"/>
                                    </w:rPr>
                                    <w:t>(bxr)</w:t>
                                  </w:r>
                                </w:p>
                              </w:tc>
                            </w:tr>
                            <w:tr>
                              <w:trPr>
                                <w:trHeight w:val="225" w:hRule="atLeast"/>
                              </w:trPr>
                              <w:tc>
                                <w:tcPr>
                                  <w:tcW w:w="612" w:type="dxa"/>
                                </w:tcPr>
                                <w:p>
                                  <w:pPr>
                                    <w:pStyle w:val="TableParagraph"/>
                                    <w:spacing w:line="205" w:lineRule="exact"/>
                                    <w:ind w:left="50"/>
                                    <w:rPr>
                                      <w:sz w:val="20"/>
                                    </w:rPr>
                                  </w:pPr>
                                  <w:r>
                                    <w:rPr>
                                      <w:spacing w:val="-4"/>
                                      <w:sz w:val="20"/>
                                    </w:rPr>
                                    <w:t>1698</w:t>
                                  </w:r>
                                </w:p>
                              </w:tc>
                              <w:tc>
                                <w:tcPr>
                                  <w:tcW w:w="3028" w:type="dxa"/>
                                </w:tcPr>
                                <w:p>
                                  <w:pPr>
                                    <w:pStyle w:val="TableParagraph"/>
                                    <w:spacing w:line="205" w:lineRule="exact"/>
                                    <w:ind w:left="158"/>
                                    <w:rPr>
                                      <w:sz w:val="20"/>
                                    </w:rPr>
                                  </w:pPr>
                                  <w:r>
                                    <w:rPr>
                                      <w:sz w:val="20"/>
                                    </w:rPr>
                                    <w:t>Kalmyk</w:t>
                                  </w:r>
                                  <w:r>
                                    <w:rPr>
                                      <w:spacing w:val="-10"/>
                                      <w:sz w:val="20"/>
                                    </w:rPr>
                                    <w:t> </w:t>
                                  </w:r>
                                  <w:r>
                                    <w:rPr>
                                      <w:spacing w:val="-2"/>
                                      <w:sz w:val="20"/>
                                    </w:rPr>
                                    <w:t>(xal)</w:t>
                                  </w: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11.980447pt;width:188pt;height:355.5pt;mso-position-horizontal-relative:page;mso-position-vertical-relative:paragraph;z-index:15765504" type="#_x0000_t202" id="docshape14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028"/>
                      </w:tblGrid>
                      <w:tr>
                        <w:trPr>
                          <w:trHeight w:val="225" w:hRule="atLeast"/>
                        </w:trPr>
                        <w:tc>
                          <w:tcPr>
                            <w:tcW w:w="612" w:type="dxa"/>
                          </w:tcPr>
                          <w:p>
                            <w:pPr>
                              <w:pStyle w:val="TableParagraph"/>
                              <w:spacing w:line="205" w:lineRule="exact"/>
                              <w:ind w:left="50"/>
                              <w:rPr>
                                <w:sz w:val="20"/>
                              </w:rPr>
                            </w:pPr>
                            <w:r>
                              <w:rPr>
                                <w:spacing w:val="-4"/>
                                <w:sz w:val="20"/>
                              </w:rPr>
                              <w:t>1643</w:t>
                            </w:r>
                          </w:p>
                        </w:tc>
                        <w:tc>
                          <w:tcPr>
                            <w:tcW w:w="3028" w:type="dxa"/>
                          </w:tcPr>
                          <w:p>
                            <w:pPr>
                              <w:pStyle w:val="TableParagraph"/>
                              <w:spacing w:line="205" w:lineRule="exact"/>
                              <w:ind w:left="158"/>
                              <w:rPr>
                                <w:sz w:val="20"/>
                              </w:rPr>
                            </w:pPr>
                            <w:r>
                              <w:rPr>
                                <w:sz w:val="20"/>
                              </w:rPr>
                              <w:t>Chuvash</w:t>
                            </w:r>
                            <w:r>
                              <w:rPr>
                                <w:spacing w:val="-10"/>
                                <w:sz w:val="20"/>
                              </w:rPr>
                              <w:t> </w:t>
                            </w:r>
                            <w:r>
                              <w:rPr>
                                <w:spacing w:val="-2"/>
                                <w:sz w:val="20"/>
                              </w:rPr>
                              <w:t>(chv)</w:t>
                            </w:r>
                          </w:p>
                        </w:tc>
                      </w:tr>
                      <w:tr>
                        <w:trPr>
                          <w:trHeight w:val="230" w:hRule="atLeast"/>
                        </w:trPr>
                        <w:tc>
                          <w:tcPr>
                            <w:tcW w:w="612" w:type="dxa"/>
                          </w:tcPr>
                          <w:p>
                            <w:pPr>
                              <w:pStyle w:val="TableParagraph"/>
                              <w:ind w:left="50"/>
                              <w:rPr>
                                <w:sz w:val="20"/>
                              </w:rPr>
                            </w:pPr>
                            <w:r>
                              <w:rPr>
                                <w:spacing w:val="-4"/>
                                <w:sz w:val="20"/>
                              </w:rPr>
                              <w:t>1648</w:t>
                            </w:r>
                          </w:p>
                        </w:tc>
                        <w:tc>
                          <w:tcPr>
                            <w:tcW w:w="3028" w:type="dxa"/>
                          </w:tcPr>
                          <w:p>
                            <w:pPr>
                              <w:pStyle w:val="TableParagraph"/>
                              <w:ind w:left="158"/>
                              <w:rPr>
                                <w:sz w:val="20"/>
                              </w:rPr>
                            </w:pPr>
                            <w:r>
                              <w:rPr>
                                <w:sz w:val="20"/>
                              </w:rPr>
                              <w:t>Kara-Kalpak</w:t>
                            </w:r>
                            <w:r>
                              <w:rPr>
                                <w:spacing w:val="-12"/>
                                <w:sz w:val="20"/>
                              </w:rPr>
                              <w:t> </w:t>
                            </w:r>
                            <w:r>
                              <w:rPr>
                                <w:spacing w:val="-2"/>
                                <w:sz w:val="20"/>
                              </w:rPr>
                              <w:t>(kaa)</w:t>
                            </w:r>
                          </w:p>
                        </w:tc>
                      </w:tr>
                      <w:tr>
                        <w:trPr>
                          <w:trHeight w:val="230" w:hRule="atLeast"/>
                        </w:trPr>
                        <w:tc>
                          <w:tcPr>
                            <w:tcW w:w="612" w:type="dxa"/>
                          </w:tcPr>
                          <w:p>
                            <w:pPr>
                              <w:pStyle w:val="TableParagraph"/>
                              <w:ind w:left="50"/>
                              <w:rPr>
                                <w:sz w:val="20"/>
                              </w:rPr>
                            </w:pPr>
                            <w:r>
                              <w:rPr>
                                <w:spacing w:val="-4"/>
                                <w:sz w:val="20"/>
                              </w:rPr>
                              <w:t>1649</w:t>
                            </w:r>
                          </w:p>
                        </w:tc>
                        <w:tc>
                          <w:tcPr>
                            <w:tcW w:w="3028" w:type="dxa"/>
                          </w:tcPr>
                          <w:p>
                            <w:pPr>
                              <w:pStyle w:val="TableParagraph"/>
                              <w:ind w:left="158"/>
                              <w:rPr>
                                <w:sz w:val="20"/>
                              </w:rPr>
                            </w:pPr>
                            <w:r>
                              <w:rPr>
                                <w:sz w:val="20"/>
                              </w:rPr>
                              <w:t>Kazakh</w:t>
                            </w:r>
                            <w:r>
                              <w:rPr>
                                <w:spacing w:val="-9"/>
                                <w:sz w:val="20"/>
                              </w:rPr>
                              <w:t> </w:t>
                            </w:r>
                            <w:r>
                              <w:rPr>
                                <w:spacing w:val="-2"/>
                                <w:sz w:val="20"/>
                              </w:rPr>
                              <w:t>(kaz)</w:t>
                            </w:r>
                          </w:p>
                        </w:tc>
                      </w:tr>
                      <w:tr>
                        <w:trPr>
                          <w:trHeight w:val="229" w:hRule="atLeast"/>
                        </w:trPr>
                        <w:tc>
                          <w:tcPr>
                            <w:tcW w:w="612" w:type="dxa"/>
                          </w:tcPr>
                          <w:p>
                            <w:pPr>
                              <w:pStyle w:val="TableParagraph"/>
                              <w:spacing w:line="209" w:lineRule="exact"/>
                              <w:ind w:left="50"/>
                              <w:rPr>
                                <w:sz w:val="20"/>
                              </w:rPr>
                            </w:pPr>
                            <w:r>
                              <w:rPr>
                                <w:spacing w:val="-4"/>
                                <w:sz w:val="20"/>
                              </w:rPr>
                              <w:t>1650</w:t>
                            </w:r>
                          </w:p>
                        </w:tc>
                        <w:tc>
                          <w:tcPr>
                            <w:tcW w:w="3028" w:type="dxa"/>
                          </w:tcPr>
                          <w:p>
                            <w:pPr>
                              <w:pStyle w:val="TableParagraph"/>
                              <w:spacing w:line="209" w:lineRule="exact"/>
                              <w:ind w:left="158"/>
                              <w:rPr>
                                <w:sz w:val="20"/>
                              </w:rPr>
                            </w:pPr>
                            <w:r>
                              <w:rPr>
                                <w:sz w:val="20"/>
                              </w:rPr>
                              <w:t>Kirghiz</w:t>
                            </w:r>
                            <w:r>
                              <w:rPr>
                                <w:spacing w:val="-8"/>
                                <w:sz w:val="20"/>
                              </w:rPr>
                              <w:t> </w:t>
                            </w:r>
                            <w:r>
                              <w:rPr>
                                <w:spacing w:val="-2"/>
                                <w:sz w:val="20"/>
                              </w:rPr>
                              <w:t>(kir)</w:t>
                            </w:r>
                          </w:p>
                        </w:tc>
                      </w:tr>
                      <w:tr>
                        <w:trPr>
                          <w:trHeight w:val="229" w:hRule="atLeast"/>
                        </w:trPr>
                        <w:tc>
                          <w:tcPr>
                            <w:tcW w:w="612" w:type="dxa"/>
                          </w:tcPr>
                          <w:p>
                            <w:pPr>
                              <w:pStyle w:val="TableParagraph"/>
                              <w:spacing w:line="209" w:lineRule="exact"/>
                              <w:ind w:left="50"/>
                              <w:rPr>
                                <w:sz w:val="20"/>
                              </w:rPr>
                            </w:pPr>
                            <w:r>
                              <w:rPr>
                                <w:spacing w:val="-4"/>
                                <w:sz w:val="20"/>
                              </w:rPr>
                              <w:t>1652</w:t>
                            </w:r>
                          </w:p>
                        </w:tc>
                        <w:tc>
                          <w:tcPr>
                            <w:tcW w:w="3028" w:type="dxa"/>
                          </w:tcPr>
                          <w:p>
                            <w:pPr>
                              <w:pStyle w:val="TableParagraph"/>
                              <w:spacing w:line="209" w:lineRule="exact"/>
                              <w:ind w:left="158"/>
                              <w:rPr>
                                <w:sz w:val="20"/>
                              </w:rPr>
                            </w:pPr>
                            <w:r>
                              <w:rPr>
                                <w:sz w:val="20"/>
                              </w:rPr>
                              <w:t>Uzbek</w:t>
                            </w:r>
                            <w:r>
                              <w:rPr>
                                <w:spacing w:val="-6"/>
                                <w:sz w:val="20"/>
                              </w:rPr>
                              <w:t> </w:t>
                            </w:r>
                            <w:r>
                              <w:rPr>
                                <w:spacing w:val="-2"/>
                                <w:sz w:val="20"/>
                              </w:rPr>
                              <w:t>(uzb)</w:t>
                            </w:r>
                          </w:p>
                        </w:tc>
                      </w:tr>
                      <w:tr>
                        <w:trPr>
                          <w:trHeight w:val="230" w:hRule="atLeast"/>
                        </w:trPr>
                        <w:tc>
                          <w:tcPr>
                            <w:tcW w:w="612" w:type="dxa"/>
                          </w:tcPr>
                          <w:p>
                            <w:pPr>
                              <w:pStyle w:val="TableParagraph"/>
                              <w:ind w:left="50"/>
                              <w:rPr>
                                <w:sz w:val="20"/>
                              </w:rPr>
                            </w:pPr>
                            <w:r>
                              <w:rPr>
                                <w:spacing w:val="-4"/>
                                <w:sz w:val="20"/>
                              </w:rPr>
                              <w:t>1653</w:t>
                            </w:r>
                          </w:p>
                        </w:tc>
                        <w:tc>
                          <w:tcPr>
                            <w:tcW w:w="3028" w:type="dxa"/>
                          </w:tcPr>
                          <w:p>
                            <w:pPr>
                              <w:pStyle w:val="TableParagraph"/>
                              <w:ind w:left="158"/>
                              <w:rPr>
                                <w:sz w:val="20"/>
                              </w:rPr>
                            </w:pPr>
                            <w:r>
                              <w:rPr>
                                <w:sz w:val="20"/>
                              </w:rPr>
                              <w:t>Northern</w:t>
                            </w:r>
                            <w:r>
                              <w:rPr>
                                <w:spacing w:val="-7"/>
                                <w:sz w:val="20"/>
                              </w:rPr>
                              <w:t> </w:t>
                            </w:r>
                            <w:r>
                              <w:rPr>
                                <w:sz w:val="20"/>
                              </w:rPr>
                              <w:t>Uzbek</w:t>
                            </w:r>
                            <w:r>
                              <w:rPr>
                                <w:spacing w:val="-7"/>
                                <w:sz w:val="20"/>
                              </w:rPr>
                              <w:t> </w:t>
                            </w:r>
                            <w:r>
                              <w:rPr>
                                <w:spacing w:val="-4"/>
                                <w:sz w:val="20"/>
                              </w:rPr>
                              <w:t>(uzn)</w:t>
                            </w:r>
                          </w:p>
                        </w:tc>
                      </w:tr>
                      <w:tr>
                        <w:trPr>
                          <w:trHeight w:val="230" w:hRule="atLeast"/>
                        </w:trPr>
                        <w:tc>
                          <w:tcPr>
                            <w:tcW w:w="612" w:type="dxa"/>
                          </w:tcPr>
                          <w:p>
                            <w:pPr>
                              <w:pStyle w:val="TableParagraph"/>
                              <w:ind w:left="50"/>
                              <w:rPr>
                                <w:sz w:val="20"/>
                              </w:rPr>
                            </w:pPr>
                            <w:r>
                              <w:rPr>
                                <w:spacing w:val="-4"/>
                                <w:sz w:val="20"/>
                              </w:rPr>
                              <w:t>1654</w:t>
                            </w:r>
                          </w:p>
                        </w:tc>
                        <w:tc>
                          <w:tcPr>
                            <w:tcW w:w="3028" w:type="dxa"/>
                          </w:tcPr>
                          <w:p>
                            <w:pPr>
                              <w:pStyle w:val="TableParagraph"/>
                              <w:ind w:left="158"/>
                              <w:rPr>
                                <w:sz w:val="20"/>
                              </w:rPr>
                            </w:pPr>
                            <w:r>
                              <w:rPr>
                                <w:sz w:val="20"/>
                              </w:rPr>
                              <w:t>Southern</w:t>
                            </w:r>
                            <w:r>
                              <w:rPr>
                                <w:spacing w:val="-8"/>
                                <w:sz w:val="20"/>
                              </w:rPr>
                              <w:t> </w:t>
                            </w:r>
                            <w:r>
                              <w:rPr>
                                <w:sz w:val="20"/>
                              </w:rPr>
                              <w:t>Uzbek</w:t>
                            </w:r>
                            <w:r>
                              <w:rPr>
                                <w:spacing w:val="-7"/>
                                <w:sz w:val="20"/>
                              </w:rPr>
                              <w:t> </w:t>
                            </w:r>
                            <w:r>
                              <w:rPr>
                                <w:spacing w:val="-4"/>
                                <w:sz w:val="20"/>
                              </w:rPr>
                              <w:t>(uzs)</w:t>
                            </w:r>
                          </w:p>
                        </w:tc>
                      </w:tr>
                      <w:tr>
                        <w:trPr>
                          <w:trHeight w:val="230" w:hRule="atLeast"/>
                        </w:trPr>
                        <w:tc>
                          <w:tcPr>
                            <w:tcW w:w="612" w:type="dxa"/>
                          </w:tcPr>
                          <w:p>
                            <w:pPr>
                              <w:pStyle w:val="TableParagraph"/>
                              <w:spacing w:line="211" w:lineRule="exact"/>
                              <w:ind w:left="50"/>
                              <w:rPr>
                                <w:sz w:val="20"/>
                              </w:rPr>
                            </w:pPr>
                            <w:r>
                              <w:rPr>
                                <w:spacing w:val="-4"/>
                                <w:sz w:val="20"/>
                              </w:rPr>
                              <w:t>1657</w:t>
                            </w:r>
                          </w:p>
                        </w:tc>
                        <w:tc>
                          <w:tcPr>
                            <w:tcW w:w="3028" w:type="dxa"/>
                          </w:tcPr>
                          <w:p>
                            <w:pPr>
                              <w:pStyle w:val="TableParagraph"/>
                              <w:spacing w:line="211" w:lineRule="exact"/>
                              <w:ind w:left="158"/>
                              <w:rPr>
                                <w:sz w:val="20"/>
                              </w:rPr>
                            </w:pPr>
                            <w:r>
                              <w:rPr>
                                <w:spacing w:val="-2"/>
                                <w:sz w:val="20"/>
                              </w:rPr>
                              <w:t>Karachay-Balkar</w:t>
                            </w:r>
                            <w:r>
                              <w:rPr>
                                <w:spacing w:val="15"/>
                                <w:sz w:val="20"/>
                              </w:rPr>
                              <w:t> </w:t>
                            </w:r>
                            <w:r>
                              <w:rPr>
                                <w:spacing w:val="-4"/>
                                <w:sz w:val="20"/>
                              </w:rPr>
                              <w:t>(krc)</w:t>
                            </w:r>
                          </w:p>
                        </w:tc>
                      </w:tr>
                      <w:tr>
                        <w:trPr>
                          <w:trHeight w:val="230" w:hRule="atLeast"/>
                        </w:trPr>
                        <w:tc>
                          <w:tcPr>
                            <w:tcW w:w="612" w:type="dxa"/>
                          </w:tcPr>
                          <w:p>
                            <w:pPr>
                              <w:pStyle w:val="TableParagraph"/>
                              <w:spacing w:line="211" w:lineRule="exact"/>
                              <w:ind w:left="50"/>
                              <w:rPr>
                                <w:sz w:val="20"/>
                              </w:rPr>
                            </w:pPr>
                            <w:r>
                              <w:rPr>
                                <w:spacing w:val="-4"/>
                                <w:sz w:val="20"/>
                              </w:rPr>
                              <w:t>1658</w:t>
                            </w:r>
                          </w:p>
                        </w:tc>
                        <w:tc>
                          <w:tcPr>
                            <w:tcW w:w="3028" w:type="dxa"/>
                          </w:tcPr>
                          <w:p>
                            <w:pPr>
                              <w:pStyle w:val="TableParagraph"/>
                              <w:spacing w:line="211" w:lineRule="exact"/>
                              <w:ind w:left="158"/>
                              <w:rPr>
                                <w:sz w:val="20"/>
                              </w:rPr>
                            </w:pPr>
                            <w:r>
                              <w:rPr>
                                <w:sz w:val="20"/>
                              </w:rPr>
                              <w:t>Bashkir</w:t>
                            </w:r>
                            <w:r>
                              <w:rPr>
                                <w:spacing w:val="-7"/>
                                <w:sz w:val="20"/>
                              </w:rPr>
                              <w:t> </w:t>
                            </w:r>
                            <w:r>
                              <w:rPr>
                                <w:spacing w:val="-2"/>
                                <w:sz w:val="20"/>
                              </w:rPr>
                              <w:t>(bak)</w:t>
                            </w:r>
                          </w:p>
                        </w:tc>
                      </w:tr>
                      <w:tr>
                        <w:trPr>
                          <w:trHeight w:val="229" w:hRule="atLeast"/>
                        </w:trPr>
                        <w:tc>
                          <w:tcPr>
                            <w:tcW w:w="612" w:type="dxa"/>
                          </w:tcPr>
                          <w:p>
                            <w:pPr>
                              <w:pStyle w:val="TableParagraph"/>
                              <w:spacing w:line="209" w:lineRule="exact"/>
                              <w:ind w:left="50"/>
                              <w:rPr>
                                <w:sz w:val="20"/>
                              </w:rPr>
                            </w:pPr>
                            <w:r>
                              <w:rPr>
                                <w:spacing w:val="-4"/>
                                <w:sz w:val="20"/>
                              </w:rPr>
                              <w:t>1659</w:t>
                            </w:r>
                          </w:p>
                        </w:tc>
                        <w:tc>
                          <w:tcPr>
                            <w:tcW w:w="3028" w:type="dxa"/>
                          </w:tcPr>
                          <w:p>
                            <w:pPr>
                              <w:pStyle w:val="TableParagraph"/>
                              <w:spacing w:line="209" w:lineRule="exact"/>
                              <w:ind w:left="158"/>
                              <w:rPr>
                                <w:sz w:val="20"/>
                              </w:rPr>
                            </w:pPr>
                            <w:r>
                              <w:rPr>
                                <w:sz w:val="20"/>
                              </w:rPr>
                              <w:t>Tatar</w:t>
                            </w:r>
                            <w:r>
                              <w:rPr>
                                <w:spacing w:val="-4"/>
                                <w:sz w:val="20"/>
                              </w:rPr>
                              <w:t> </w:t>
                            </w:r>
                            <w:r>
                              <w:rPr>
                                <w:spacing w:val="-2"/>
                                <w:sz w:val="20"/>
                              </w:rPr>
                              <w:t>(tat)</w:t>
                            </w:r>
                          </w:p>
                        </w:tc>
                      </w:tr>
                      <w:tr>
                        <w:trPr>
                          <w:trHeight w:val="229" w:hRule="atLeast"/>
                        </w:trPr>
                        <w:tc>
                          <w:tcPr>
                            <w:tcW w:w="612" w:type="dxa"/>
                          </w:tcPr>
                          <w:p>
                            <w:pPr>
                              <w:pStyle w:val="TableParagraph"/>
                              <w:spacing w:line="209" w:lineRule="exact"/>
                              <w:ind w:left="50"/>
                              <w:rPr>
                                <w:sz w:val="20"/>
                              </w:rPr>
                            </w:pPr>
                            <w:r>
                              <w:rPr>
                                <w:spacing w:val="-4"/>
                                <w:sz w:val="20"/>
                              </w:rPr>
                              <w:t>1662</w:t>
                            </w:r>
                          </w:p>
                        </w:tc>
                        <w:tc>
                          <w:tcPr>
                            <w:tcW w:w="3028" w:type="dxa"/>
                          </w:tcPr>
                          <w:p>
                            <w:pPr>
                              <w:pStyle w:val="TableParagraph"/>
                              <w:spacing w:line="209" w:lineRule="exact"/>
                              <w:ind w:left="158"/>
                              <w:rPr>
                                <w:sz w:val="20"/>
                              </w:rPr>
                            </w:pPr>
                            <w:r>
                              <w:rPr>
                                <w:sz w:val="20"/>
                              </w:rPr>
                              <w:t>Crimean</w:t>
                            </w:r>
                            <w:r>
                              <w:rPr>
                                <w:spacing w:val="-6"/>
                                <w:sz w:val="20"/>
                              </w:rPr>
                              <w:t> </w:t>
                            </w:r>
                            <w:r>
                              <w:rPr>
                                <w:sz w:val="20"/>
                              </w:rPr>
                              <w:t>Tatar</w:t>
                            </w:r>
                            <w:r>
                              <w:rPr>
                                <w:spacing w:val="-5"/>
                                <w:sz w:val="20"/>
                              </w:rPr>
                              <w:t> </w:t>
                            </w:r>
                            <w:r>
                              <w:rPr>
                                <w:spacing w:val="-4"/>
                                <w:sz w:val="20"/>
                              </w:rPr>
                              <w:t>(crh)</w:t>
                            </w:r>
                          </w:p>
                        </w:tc>
                      </w:tr>
                      <w:tr>
                        <w:trPr>
                          <w:trHeight w:val="230" w:hRule="atLeast"/>
                        </w:trPr>
                        <w:tc>
                          <w:tcPr>
                            <w:tcW w:w="612" w:type="dxa"/>
                          </w:tcPr>
                          <w:p>
                            <w:pPr>
                              <w:pStyle w:val="TableParagraph"/>
                              <w:ind w:left="50"/>
                              <w:rPr>
                                <w:sz w:val="20"/>
                              </w:rPr>
                            </w:pPr>
                            <w:r>
                              <w:rPr>
                                <w:spacing w:val="-4"/>
                                <w:sz w:val="20"/>
                              </w:rPr>
                              <w:t>1666</w:t>
                            </w:r>
                          </w:p>
                        </w:tc>
                        <w:tc>
                          <w:tcPr>
                            <w:tcW w:w="3028" w:type="dxa"/>
                          </w:tcPr>
                          <w:p>
                            <w:pPr>
                              <w:pStyle w:val="TableParagraph"/>
                              <w:ind w:left="158"/>
                              <w:rPr>
                                <w:sz w:val="20"/>
                              </w:rPr>
                            </w:pPr>
                            <w:r>
                              <w:rPr>
                                <w:sz w:val="20"/>
                              </w:rPr>
                              <w:t>Uighur</w:t>
                            </w:r>
                            <w:r>
                              <w:rPr>
                                <w:spacing w:val="-9"/>
                                <w:sz w:val="20"/>
                              </w:rPr>
                              <w:t> </w:t>
                            </w:r>
                            <w:r>
                              <w:rPr>
                                <w:spacing w:val="-2"/>
                                <w:sz w:val="20"/>
                              </w:rPr>
                              <w:t>(uig)</w:t>
                            </w:r>
                          </w:p>
                        </w:tc>
                      </w:tr>
                      <w:tr>
                        <w:trPr>
                          <w:trHeight w:val="230" w:hRule="atLeast"/>
                        </w:trPr>
                        <w:tc>
                          <w:tcPr>
                            <w:tcW w:w="612" w:type="dxa"/>
                          </w:tcPr>
                          <w:p>
                            <w:pPr>
                              <w:pStyle w:val="TableParagraph"/>
                              <w:ind w:left="50"/>
                              <w:rPr>
                                <w:sz w:val="20"/>
                              </w:rPr>
                            </w:pPr>
                            <w:r>
                              <w:rPr>
                                <w:spacing w:val="-4"/>
                                <w:sz w:val="20"/>
                              </w:rPr>
                              <w:t>1668</w:t>
                            </w:r>
                          </w:p>
                        </w:tc>
                        <w:tc>
                          <w:tcPr>
                            <w:tcW w:w="3028" w:type="dxa"/>
                          </w:tcPr>
                          <w:p>
                            <w:pPr>
                              <w:pStyle w:val="TableParagraph"/>
                              <w:ind w:left="158"/>
                              <w:rPr>
                                <w:sz w:val="20"/>
                              </w:rPr>
                            </w:pPr>
                            <w:r>
                              <w:rPr>
                                <w:sz w:val="20"/>
                              </w:rPr>
                              <w:t>Azerbaijani</w:t>
                            </w:r>
                            <w:r>
                              <w:rPr>
                                <w:spacing w:val="-12"/>
                                <w:sz w:val="20"/>
                              </w:rPr>
                              <w:t> </w:t>
                            </w:r>
                            <w:r>
                              <w:rPr>
                                <w:spacing w:val="-2"/>
                                <w:sz w:val="20"/>
                              </w:rPr>
                              <w:t>(aze)</w:t>
                            </w:r>
                          </w:p>
                        </w:tc>
                      </w:tr>
                      <w:tr>
                        <w:trPr>
                          <w:trHeight w:val="230" w:hRule="atLeast"/>
                        </w:trPr>
                        <w:tc>
                          <w:tcPr>
                            <w:tcW w:w="612" w:type="dxa"/>
                          </w:tcPr>
                          <w:p>
                            <w:pPr>
                              <w:pStyle w:val="TableParagraph"/>
                              <w:ind w:left="50"/>
                              <w:rPr>
                                <w:sz w:val="20"/>
                              </w:rPr>
                            </w:pPr>
                            <w:r>
                              <w:rPr>
                                <w:spacing w:val="-4"/>
                                <w:sz w:val="20"/>
                              </w:rPr>
                              <w:t>1669</w:t>
                            </w:r>
                          </w:p>
                        </w:tc>
                        <w:tc>
                          <w:tcPr>
                            <w:tcW w:w="3028" w:type="dxa"/>
                          </w:tcPr>
                          <w:p>
                            <w:pPr>
                              <w:pStyle w:val="TableParagraph"/>
                              <w:ind w:left="158"/>
                              <w:rPr>
                                <w:sz w:val="20"/>
                              </w:rPr>
                            </w:pPr>
                            <w:r>
                              <w:rPr>
                                <w:sz w:val="20"/>
                              </w:rPr>
                              <w:t>North</w:t>
                            </w:r>
                            <w:r>
                              <w:rPr>
                                <w:spacing w:val="-9"/>
                                <w:sz w:val="20"/>
                              </w:rPr>
                              <w:t> </w:t>
                            </w:r>
                            <w:r>
                              <w:rPr>
                                <w:sz w:val="20"/>
                              </w:rPr>
                              <w:t>Azerbaijani</w:t>
                            </w:r>
                            <w:r>
                              <w:rPr>
                                <w:spacing w:val="-8"/>
                                <w:sz w:val="20"/>
                              </w:rPr>
                              <w:t> </w:t>
                            </w:r>
                            <w:r>
                              <w:rPr>
                                <w:spacing w:val="-4"/>
                                <w:sz w:val="20"/>
                              </w:rPr>
                              <w:t>(azj)</w:t>
                            </w:r>
                          </w:p>
                        </w:tc>
                      </w:tr>
                      <w:tr>
                        <w:trPr>
                          <w:trHeight w:val="230" w:hRule="atLeast"/>
                        </w:trPr>
                        <w:tc>
                          <w:tcPr>
                            <w:tcW w:w="612" w:type="dxa"/>
                          </w:tcPr>
                          <w:p>
                            <w:pPr>
                              <w:pStyle w:val="TableParagraph"/>
                              <w:ind w:left="50"/>
                              <w:rPr>
                                <w:sz w:val="20"/>
                              </w:rPr>
                            </w:pPr>
                            <w:r>
                              <w:rPr>
                                <w:spacing w:val="-4"/>
                                <w:sz w:val="20"/>
                              </w:rPr>
                              <w:t>1670</w:t>
                            </w:r>
                          </w:p>
                        </w:tc>
                        <w:tc>
                          <w:tcPr>
                            <w:tcW w:w="3028" w:type="dxa"/>
                          </w:tcPr>
                          <w:p>
                            <w:pPr>
                              <w:pStyle w:val="TableParagraph"/>
                              <w:ind w:left="158"/>
                              <w:rPr>
                                <w:sz w:val="20"/>
                              </w:rPr>
                            </w:pPr>
                            <w:r>
                              <w:rPr>
                                <w:sz w:val="20"/>
                              </w:rPr>
                              <w:t>South</w:t>
                            </w:r>
                            <w:r>
                              <w:rPr>
                                <w:spacing w:val="-7"/>
                                <w:sz w:val="20"/>
                              </w:rPr>
                              <w:t> </w:t>
                            </w:r>
                            <w:r>
                              <w:rPr>
                                <w:sz w:val="20"/>
                              </w:rPr>
                              <w:t>Azerbaijani</w:t>
                            </w:r>
                            <w:r>
                              <w:rPr>
                                <w:spacing w:val="-8"/>
                                <w:sz w:val="20"/>
                              </w:rPr>
                              <w:t> </w:t>
                            </w:r>
                            <w:r>
                              <w:rPr>
                                <w:spacing w:val="-4"/>
                                <w:sz w:val="20"/>
                              </w:rPr>
                              <w:t>(azb)</w:t>
                            </w:r>
                          </w:p>
                        </w:tc>
                      </w:tr>
                      <w:tr>
                        <w:trPr>
                          <w:trHeight w:val="229" w:hRule="atLeast"/>
                        </w:trPr>
                        <w:tc>
                          <w:tcPr>
                            <w:tcW w:w="612" w:type="dxa"/>
                          </w:tcPr>
                          <w:p>
                            <w:pPr>
                              <w:pStyle w:val="TableParagraph"/>
                              <w:spacing w:line="209" w:lineRule="exact"/>
                              <w:ind w:left="50"/>
                              <w:rPr>
                                <w:sz w:val="20"/>
                              </w:rPr>
                            </w:pPr>
                            <w:r>
                              <w:rPr>
                                <w:spacing w:val="-4"/>
                                <w:sz w:val="20"/>
                              </w:rPr>
                              <w:t>1675</w:t>
                            </w:r>
                          </w:p>
                        </w:tc>
                        <w:tc>
                          <w:tcPr>
                            <w:tcW w:w="3028" w:type="dxa"/>
                          </w:tcPr>
                          <w:p>
                            <w:pPr>
                              <w:pStyle w:val="TableParagraph"/>
                              <w:spacing w:line="209" w:lineRule="exact"/>
                              <w:ind w:left="158"/>
                              <w:rPr>
                                <w:sz w:val="20"/>
                              </w:rPr>
                            </w:pPr>
                            <w:r>
                              <w:rPr>
                                <w:sz w:val="20"/>
                              </w:rPr>
                              <w:t>Turkish</w:t>
                            </w:r>
                            <w:r>
                              <w:rPr>
                                <w:spacing w:val="-11"/>
                                <w:sz w:val="20"/>
                              </w:rPr>
                              <w:t> </w:t>
                            </w:r>
                            <w:r>
                              <w:rPr>
                                <w:spacing w:val="-2"/>
                                <w:sz w:val="20"/>
                              </w:rPr>
                              <w:t>(tur)</w:t>
                            </w:r>
                          </w:p>
                        </w:tc>
                      </w:tr>
                      <w:tr>
                        <w:trPr>
                          <w:trHeight w:val="229" w:hRule="atLeast"/>
                        </w:trPr>
                        <w:tc>
                          <w:tcPr>
                            <w:tcW w:w="612" w:type="dxa"/>
                          </w:tcPr>
                          <w:p>
                            <w:pPr>
                              <w:pStyle w:val="TableParagraph"/>
                              <w:spacing w:line="209" w:lineRule="exact"/>
                              <w:ind w:left="50"/>
                              <w:rPr>
                                <w:sz w:val="20"/>
                              </w:rPr>
                            </w:pPr>
                            <w:r>
                              <w:rPr>
                                <w:spacing w:val="-4"/>
                                <w:sz w:val="20"/>
                              </w:rPr>
                              <w:t>1676</w:t>
                            </w:r>
                          </w:p>
                        </w:tc>
                        <w:tc>
                          <w:tcPr>
                            <w:tcW w:w="3028" w:type="dxa"/>
                          </w:tcPr>
                          <w:p>
                            <w:pPr>
                              <w:pStyle w:val="TableParagraph"/>
                              <w:spacing w:line="209" w:lineRule="exact"/>
                              <w:ind w:left="158"/>
                              <w:rPr>
                                <w:sz w:val="20"/>
                              </w:rPr>
                            </w:pPr>
                            <w:r>
                              <w:rPr>
                                <w:sz w:val="20"/>
                              </w:rPr>
                              <w:t>Balkan</w:t>
                            </w:r>
                            <w:r>
                              <w:rPr>
                                <w:spacing w:val="-8"/>
                                <w:sz w:val="20"/>
                              </w:rPr>
                              <w:t> </w:t>
                            </w:r>
                            <w:r>
                              <w:rPr>
                                <w:sz w:val="20"/>
                              </w:rPr>
                              <w:t>Gagauz</w:t>
                            </w:r>
                            <w:r>
                              <w:rPr>
                                <w:spacing w:val="-7"/>
                                <w:sz w:val="20"/>
                              </w:rPr>
                              <w:t> </w:t>
                            </w:r>
                            <w:r>
                              <w:rPr>
                                <w:sz w:val="20"/>
                              </w:rPr>
                              <w:t>Turkish</w:t>
                            </w:r>
                            <w:r>
                              <w:rPr>
                                <w:spacing w:val="-7"/>
                                <w:sz w:val="20"/>
                              </w:rPr>
                              <w:t> </w:t>
                            </w:r>
                            <w:r>
                              <w:rPr>
                                <w:spacing w:val="-4"/>
                                <w:sz w:val="20"/>
                              </w:rPr>
                              <w:t>(bgx)</w:t>
                            </w:r>
                          </w:p>
                        </w:tc>
                      </w:tr>
                      <w:tr>
                        <w:trPr>
                          <w:trHeight w:val="230" w:hRule="atLeast"/>
                        </w:trPr>
                        <w:tc>
                          <w:tcPr>
                            <w:tcW w:w="612" w:type="dxa"/>
                          </w:tcPr>
                          <w:p>
                            <w:pPr>
                              <w:pStyle w:val="TableParagraph"/>
                              <w:ind w:left="50"/>
                              <w:rPr>
                                <w:sz w:val="20"/>
                              </w:rPr>
                            </w:pPr>
                            <w:r>
                              <w:rPr>
                                <w:spacing w:val="-4"/>
                                <w:sz w:val="20"/>
                              </w:rPr>
                              <w:t>1677</w:t>
                            </w:r>
                          </w:p>
                        </w:tc>
                        <w:tc>
                          <w:tcPr>
                            <w:tcW w:w="3028" w:type="dxa"/>
                          </w:tcPr>
                          <w:p>
                            <w:pPr>
                              <w:pStyle w:val="TableParagraph"/>
                              <w:ind w:left="158"/>
                              <w:rPr>
                                <w:sz w:val="20"/>
                              </w:rPr>
                            </w:pPr>
                            <w:r>
                              <w:rPr>
                                <w:sz w:val="20"/>
                              </w:rPr>
                              <w:t>Gagauz</w:t>
                            </w:r>
                            <w:r>
                              <w:rPr>
                                <w:spacing w:val="-8"/>
                                <w:sz w:val="20"/>
                              </w:rPr>
                              <w:t> </w:t>
                            </w:r>
                            <w:r>
                              <w:rPr>
                                <w:spacing w:val="-2"/>
                                <w:sz w:val="20"/>
                              </w:rPr>
                              <w:t>(gag)</w:t>
                            </w:r>
                          </w:p>
                        </w:tc>
                      </w:tr>
                      <w:tr>
                        <w:trPr>
                          <w:trHeight w:val="230" w:hRule="atLeast"/>
                        </w:trPr>
                        <w:tc>
                          <w:tcPr>
                            <w:tcW w:w="612" w:type="dxa"/>
                          </w:tcPr>
                          <w:p>
                            <w:pPr>
                              <w:pStyle w:val="TableParagraph"/>
                              <w:ind w:left="50"/>
                              <w:rPr>
                                <w:sz w:val="20"/>
                              </w:rPr>
                            </w:pPr>
                            <w:r>
                              <w:rPr>
                                <w:spacing w:val="-4"/>
                                <w:sz w:val="20"/>
                              </w:rPr>
                              <w:t>1680</w:t>
                            </w:r>
                          </w:p>
                        </w:tc>
                        <w:tc>
                          <w:tcPr>
                            <w:tcW w:w="3028" w:type="dxa"/>
                          </w:tcPr>
                          <w:p>
                            <w:pPr>
                              <w:pStyle w:val="TableParagraph"/>
                              <w:ind w:left="158"/>
                              <w:rPr>
                                <w:sz w:val="20"/>
                              </w:rPr>
                            </w:pPr>
                            <w:r>
                              <w:rPr>
                                <w:sz w:val="20"/>
                              </w:rPr>
                              <w:t>Turkmen</w:t>
                            </w:r>
                            <w:r>
                              <w:rPr>
                                <w:spacing w:val="-12"/>
                                <w:sz w:val="20"/>
                              </w:rPr>
                              <w:t> </w:t>
                            </w:r>
                            <w:r>
                              <w:rPr>
                                <w:spacing w:val="-2"/>
                                <w:sz w:val="20"/>
                              </w:rPr>
                              <w:t>(tuk)</w:t>
                            </w:r>
                          </w:p>
                        </w:tc>
                      </w:tr>
                      <w:tr>
                        <w:trPr>
                          <w:trHeight w:val="225" w:hRule="atLeast"/>
                        </w:trPr>
                        <w:tc>
                          <w:tcPr>
                            <w:tcW w:w="612" w:type="dxa"/>
                          </w:tcPr>
                          <w:p>
                            <w:pPr>
                              <w:pStyle w:val="TableParagraph"/>
                              <w:spacing w:line="205" w:lineRule="exact"/>
                              <w:ind w:left="50"/>
                              <w:rPr>
                                <w:sz w:val="20"/>
                              </w:rPr>
                            </w:pPr>
                            <w:r>
                              <w:rPr>
                                <w:spacing w:val="-4"/>
                                <w:sz w:val="20"/>
                              </w:rPr>
                              <w:t>1681</w:t>
                            </w:r>
                          </w:p>
                        </w:tc>
                        <w:tc>
                          <w:tcPr>
                            <w:tcW w:w="3028" w:type="dxa"/>
                          </w:tcPr>
                          <w:p>
                            <w:pPr>
                              <w:pStyle w:val="TableParagraph"/>
                              <w:spacing w:line="205" w:lineRule="exact"/>
                              <w:ind w:left="158"/>
                              <w:rPr>
                                <w:sz w:val="20"/>
                              </w:rPr>
                            </w:pPr>
                            <w:r>
                              <w:rPr>
                                <w:sz w:val="20"/>
                              </w:rPr>
                              <w:t>Yakut</w:t>
                            </w:r>
                            <w:r>
                              <w:rPr>
                                <w:spacing w:val="-7"/>
                                <w:sz w:val="20"/>
                              </w:rPr>
                              <w:t> </w:t>
                            </w:r>
                            <w:r>
                              <w:rPr>
                                <w:spacing w:val="-2"/>
                                <w:sz w:val="20"/>
                              </w:rPr>
                              <w:t>(sah)</w:t>
                            </w:r>
                          </w:p>
                        </w:tc>
                      </w:tr>
                      <w:tr>
                        <w:trPr>
                          <w:trHeight w:val="468" w:hRule="atLeast"/>
                        </w:trPr>
                        <w:tc>
                          <w:tcPr>
                            <w:tcW w:w="3640" w:type="dxa"/>
                            <w:gridSpan w:val="2"/>
                          </w:tcPr>
                          <w:p>
                            <w:pPr>
                              <w:pStyle w:val="TableParagraph"/>
                              <w:spacing w:line="240" w:lineRule="auto" w:before="10"/>
                              <w:rPr>
                                <w:i/>
                                <w:sz w:val="19"/>
                              </w:rPr>
                            </w:pPr>
                          </w:p>
                          <w:p>
                            <w:pPr>
                              <w:pStyle w:val="TableParagraph"/>
                              <w:spacing w:line="220" w:lineRule="exact"/>
                              <w:ind w:left="50"/>
                              <w:rPr>
                                <w:i/>
                                <w:sz w:val="20"/>
                              </w:rPr>
                            </w:pPr>
                            <w:r>
                              <w:rPr>
                                <w:i/>
                                <w:sz w:val="20"/>
                                <w:u w:val="single"/>
                              </w:rPr>
                              <w:t>Mongolic</w:t>
                            </w:r>
                            <w:r>
                              <w:rPr>
                                <w:i/>
                                <w:spacing w:val="-8"/>
                                <w:sz w:val="20"/>
                                <w:u w:val="single"/>
                              </w:rPr>
                              <w:t> </w:t>
                            </w:r>
                            <w:r>
                              <w:rPr>
                                <w:i/>
                                <w:sz w:val="20"/>
                                <w:u w:val="single"/>
                              </w:rPr>
                              <w:t>languages</w:t>
                            </w:r>
                            <w:r>
                              <w:rPr>
                                <w:i/>
                                <w:spacing w:val="-8"/>
                                <w:sz w:val="20"/>
                                <w:u w:val="single"/>
                              </w:rPr>
                              <w:t> </w:t>
                            </w:r>
                            <w:r>
                              <w:rPr>
                                <w:i/>
                                <w:sz w:val="20"/>
                                <w:u w:val="single"/>
                              </w:rPr>
                              <w:t>(1685-</w:t>
                            </w:r>
                            <w:r>
                              <w:rPr>
                                <w:i/>
                                <w:spacing w:val="-2"/>
                                <w:sz w:val="20"/>
                                <w:u w:val="single"/>
                              </w:rPr>
                              <w:t>1698)</w:t>
                            </w:r>
                          </w:p>
                        </w:tc>
                      </w:tr>
                      <w:tr>
                        <w:trPr>
                          <w:trHeight w:val="225" w:hRule="atLeast"/>
                        </w:trPr>
                        <w:tc>
                          <w:tcPr>
                            <w:tcW w:w="612" w:type="dxa"/>
                          </w:tcPr>
                          <w:p>
                            <w:pPr>
                              <w:pStyle w:val="TableParagraph"/>
                              <w:spacing w:line="206" w:lineRule="exact"/>
                              <w:ind w:left="50"/>
                              <w:rPr>
                                <w:sz w:val="20"/>
                              </w:rPr>
                            </w:pPr>
                            <w:r>
                              <w:rPr>
                                <w:spacing w:val="-4"/>
                                <w:sz w:val="20"/>
                              </w:rPr>
                              <w:t>1685</w:t>
                            </w:r>
                          </w:p>
                        </w:tc>
                        <w:tc>
                          <w:tcPr>
                            <w:tcW w:w="3028" w:type="dxa"/>
                          </w:tcPr>
                          <w:p>
                            <w:pPr>
                              <w:pStyle w:val="TableParagraph"/>
                              <w:spacing w:line="206" w:lineRule="exact"/>
                              <w:ind w:left="158"/>
                              <w:rPr>
                                <w:sz w:val="20"/>
                              </w:rPr>
                            </w:pPr>
                            <w:r>
                              <w:rPr>
                                <w:sz w:val="20"/>
                              </w:rPr>
                              <w:t>Daur</w:t>
                            </w:r>
                            <w:r>
                              <w:rPr>
                                <w:spacing w:val="-5"/>
                                <w:sz w:val="20"/>
                              </w:rPr>
                              <w:t> </w:t>
                            </w:r>
                            <w:r>
                              <w:rPr>
                                <w:spacing w:val="-2"/>
                                <w:sz w:val="20"/>
                              </w:rPr>
                              <w:t>(dta)</w:t>
                            </w:r>
                          </w:p>
                        </w:tc>
                      </w:tr>
                      <w:tr>
                        <w:trPr>
                          <w:trHeight w:val="230" w:hRule="atLeast"/>
                        </w:trPr>
                        <w:tc>
                          <w:tcPr>
                            <w:tcW w:w="612" w:type="dxa"/>
                          </w:tcPr>
                          <w:p>
                            <w:pPr>
                              <w:pStyle w:val="TableParagraph"/>
                              <w:spacing w:line="211" w:lineRule="exact"/>
                              <w:ind w:left="50"/>
                              <w:rPr>
                                <w:sz w:val="20"/>
                              </w:rPr>
                            </w:pPr>
                            <w:r>
                              <w:rPr>
                                <w:spacing w:val="-4"/>
                                <w:sz w:val="20"/>
                              </w:rPr>
                              <w:t>1687</w:t>
                            </w:r>
                          </w:p>
                        </w:tc>
                        <w:tc>
                          <w:tcPr>
                            <w:tcW w:w="3028" w:type="dxa"/>
                          </w:tcPr>
                          <w:p>
                            <w:pPr>
                              <w:pStyle w:val="TableParagraph"/>
                              <w:spacing w:line="211" w:lineRule="exact"/>
                              <w:ind w:left="158"/>
                              <w:rPr>
                                <w:sz w:val="20"/>
                              </w:rPr>
                            </w:pPr>
                            <w:r>
                              <w:rPr>
                                <w:sz w:val="20"/>
                              </w:rPr>
                              <w:t>Bonan</w:t>
                            </w:r>
                            <w:r>
                              <w:rPr>
                                <w:spacing w:val="-7"/>
                                <w:sz w:val="20"/>
                              </w:rPr>
                              <w:t> </w:t>
                            </w:r>
                            <w:r>
                              <w:rPr>
                                <w:spacing w:val="-2"/>
                                <w:sz w:val="20"/>
                              </w:rPr>
                              <w:t>(peh)</w:t>
                            </w:r>
                          </w:p>
                        </w:tc>
                      </w:tr>
                      <w:tr>
                        <w:trPr>
                          <w:trHeight w:val="230" w:hRule="atLeast"/>
                        </w:trPr>
                        <w:tc>
                          <w:tcPr>
                            <w:tcW w:w="612" w:type="dxa"/>
                          </w:tcPr>
                          <w:p>
                            <w:pPr>
                              <w:pStyle w:val="TableParagraph"/>
                              <w:ind w:left="50"/>
                              <w:rPr>
                                <w:sz w:val="20"/>
                              </w:rPr>
                            </w:pPr>
                            <w:r>
                              <w:rPr>
                                <w:spacing w:val="-4"/>
                                <w:sz w:val="20"/>
                              </w:rPr>
                              <w:t>1688</w:t>
                            </w:r>
                          </w:p>
                        </w:tc>
                        <w:tc>
                          <w:tcPr>
                            <w:tcW w:w="3028" w:type="dxa"/>
                          </w:tcPr>
                          <w:p>
                            <w:pPr>
                              <w:pStyle w:val="TableParagraph"/>
                              <w:ind w:left="158"/>
                              <w:rPr>
                                <w:sz w:val="20"/>
                              </w:rPr>
                            </w:pPr>
                            <w:r>
                              <w:rPr>
                                <w:sz w:val="20"/>
                              </w:rPr>
                              <w:t>Tu</w:t>
                            </w:r>
                            <w:r>
                              <w:rPr>
                                <w:spacing w:val="-1"/>
                                <w:sz w:val="20"/>
                              </w:rPr>
                              <w:t> </w:t>
                            </w:r>
                            <w:r>
                              <w:rPr>
                                <w:spacing w:val="-2"/>
                                <w:sz w:val="20"/>
                              </w:rPr>
                              <w:t>(mjg)</w:t>
                            </w:r>
                          </w:p>
                        </w:tc>
                      </w:tr>
                      <w:tr>
                        <w:trPr>
                          <w:trHeight w:val="230" w:hRule="atLeast"/>
                        </w:trPr>
                        <w:tc>
                          <w:tcPr>
                            <w:tcW w:w="612" w:type="dxa"/>
                          </w:tcPr>
                          <w:p>
                            <w:pPr>
                              <w:pStyle w:val="TableParagraph"/>
                              <w:ind w:left="50"/>
                              <w:rPr>
                                <w:sz w:val="20"/>
                              </w:rPr>
                            </w:pPr>
                            <w:r>
                              <w:rPr>
                                <w:spacing w:val="-4"/>
                                <w:sz w:val="20"/>
                              </w:rPr>
                              <w:t>1690</w:t>
                            </w:r>
                          </w:p>
                        </w:tc>
                        <w:tc>
                          <w:tcPr>
                            <w:tcW w:w="3028" w:type="dxa"/>
                          </w:tcPr>
                          <w:p>
                            <w:pPr>
                              <w:pStyle w:val="TableParagraph"/>
                              <w:ind w:left="158"/>
                              <w:rPr>
                                <w:sz w:val="20"/>
                              </w:rPr>
                            </w:pPr>
                            <w:r>
                              <w:rPr>
                                <w:sz w:val="20"/>
                              </w:rPr>
                              <w:t>Mongolian</w:t>
                            </w:r>
                            <w:r>
                              <w:rPr>
                                <w:spacing w:val="-13"/>
                                <w:sz w:val="20"/>
                              </w:rPr>
                              <w:t> </w:t>
                            </w:r>
                            <w:r>
                              <w:rPr>
                                <w:sz w:val="20"/>
                              </w:rPr>
                              <w:t>(macrolanguage)</w:t>
                            </w:r>
                            <w:r>
                              <w:rPr>
                                <w:spacing w:val="-10"/>
                                <w:sz w:val="20"/>
                              </w:rPr>
                              <w:t> </w:t>
                            </w:r>
                            <w:r>
                              <w:rPr>
                                <w:spacing w:val="-4"/>
                                <w:sz w:val="20"/>
                              </w:rPr>
                              <w:t>(mon)</w:t>
                            </w:r>
                          </w:p>
                        </w:tc>
                      </w:tr>
                      <w:tr>
                        <w:trPr>
                          <w:trHeight w:val="229" w:hRule="atLeast"/>
                        </w:trPr>
                        <w:tc>
                          <w:tcPr>
                            <w:tcW w:w="612" w:type="dxa"/>
                          </w:tcPr>
                          <w:p>
                            <w:pPr>
                              <w:pStyle w:val="TableParagraph"/>
                              <w:spacing w:line="209" w:lineRule="exact"/>
                              <w:ind w:left="50"/>
                              <w:rPr>
                                <w:sz w:val="20"/>
                              </w:rPr>
                            </w:pPr>
                            <w:r>
                              <w:rPr>
                                <w:spacing w:val="-4"/>
                                <w:sz w:val="20"/>
                              </w:rPr>
                              <w:t>1691</w:t>
                            </w:r>
                          </w:p>
                        </w:tc>
                        <w:tc>
                          <w:tcPr>
                            <w:tcW w:w="3028" w:type="dxa"/>
                          </w:tcPr>
                          <w:p>
                            <w:pPr>
                              <w:pStyle w:val="TableParagraph"/>
                              <w:spacing w:line="209" w:lineRule="exact"/>
                              <w:ind w:left="158"/>
                              <w:rPr>
                                <w:sz w:val="20"/>
                              </w:rPr>
                            </w:pPr>
                            <w:r>
                              <w:rPr>
                                <w:sz w:val="20"/>
                              </w:rPr>
                              <w:t>Halh</w:t>
                            </w:r>
                            <w:r>
                              <w:rPr>
                                <w:spacing w:val="-6"/>
                                <w:sz w:val="20"/>
                              </w:rPr>
                              <w:t> </w:t>
                            </w:r>
                            <w:r>
                              <w:rPr>
                                <w:sz w:val="20"/>
                              </w:rPr>
                              <w:t>Mongolian</w:t>
                            </w:r>
                            <w:r>
                              <w:rPr>
                                <w:spacing w:val="-5"/>
                                <w:sz w:val="20"/>
                              </w:rPr>
                              <w:t> </w:t>
                            </w:r>
                            <w:r>
                              <w:rPr>
                                <w:spacing w:val="-4"/>
                                <w:sz w:val="20"/>
                              </w:rPr>
                              <w:t>(khk)</w:t>
                            </w:r>
                          </w:p>
                        </w:tc>
                      </w:tr>
                      <w:tr>
                        <w:trPr>
                          <w:trHeight w:val="229" w:hRule="atLeast"/>
                        </w:trPr>
                        <w:tc>
                          <w:tcPr>
                            <w:tcW w:w="612" w:type="dxa"/>
                          </w:tcPr>
                          <w:p>
                            <w:pPr>
                              <w:pStyle w:val="TableParagraph"/>
                              <w:spacing w:line="209" w:lineRule="exact"/>
                              <w:ind w:left="50"/>
                              <w:rPr>
                                <w:sz w:val="20"/>
                              </w:rPr>
                            </w:pPr>
                            <w:r>
                              <w:rPr>
                                <w:spacing w:val="-4"/>
                                <w:sz w:val="20"/>
                              </w:rPr>
                              <w:t>1692</w:t>
                            </w:r>
                          </w:p>
                        </w:tc>
                        <w:tc>
                          <w:tcPr>
                            <w:tcW w:w="3028" w:type="dxa"/>
                          </w:tcPr>
                          <w:p>
                            <w:pPr>
                              <w:pStyle w:val="TableParagraph"/>
                              <w:spacing w:line="209" w:lineRule="exact"/>
                              <w:ind w:left="158"/>
                              <w:rPr>
                                <w:sz w:val="20"/>
                              </w:rPr>
                            </w:pPr>
                            <w:r>
                              <w:rPr>
                                <w:sz w:val="20"/>
                              </w:rPr>
                              <w:t>Peripheral</w:t>
                            </w:r>
                            <w:r>
                              <w:rPr>
                                <w:spacing w:val="-9"/>
                                <w:sz w:val="20"/>
                              </w:rPr>
                              <w:t> </w:t>
                            </w:r>
                            <w:r>
                              <w:rPr>
                                <w:sz w:val="20"/>
                              </w:rPr>
                              <w:t>Mongolian</w:t>
                            </w:r>
                            <w:r>
                              <w:rPr>
                                <w:spacing w:val="-9"/>
                                <w:sz w:val="20"/>
                              </w:rPr>
                              <w:t> </w:t>
                            </w:r>
                            <w:r>
                              <w:rPr>
                                <w:spacing w:val="-4"/>
                                <w:sz w:val="20"/>
                              </w:rPr>
                              <w:t>(mvf)</w:t>
                            </w:r>
                          </w:p>
                        </w:tc>
                      </w:tr>
                      <w:tr>
                        <w:trPr>
                          <w:trHeight w:val="230" w:hRule="atLeast"/>
                        </w:trPr>
                        <w:tc>
                          <w:tcPr>
                            <w:tcW w:w="612" w:type="dxa"/>
                          </w:tcPr>
                          <w:p>
                            <w:pPr>
                              <w:pStyle w:val="TableParagraph"/>
                              <w:ind w:left="50"/>
                              <w:rPr>
                                <w:sz w:val="20"/>
                              </w:rPr>
                            </w:pPr>
                            <w:r>
                              <w:rPr>
                                <w:spacing w:val="-4"/>
                                <w:sz w:val="20"/>
                              </w:rPr>
                              <w:t>1695</w:t>
                            </w:r>
                          </w:p>
                        </w:tc>
                        <w:tc>
                          <w:tcPr>
                            <w:tcW w:w="3028" w:type="dxa"/>
                          </w:tcPr>
                          <w:p>
                            <w:pPr>
                              <w:pStyle w:val="TableParagraph"/>
                              <w:ind w:left="158"/>
                              <w:rPr>
                                <w:sz w:val="20"/>
                              </w:rPr>
                            </w:pPr>
                            <w:r>
                              <w:rPr>
                                <w:sz w:val="20"/>
                              </w:rPr>
                              <w:t>Buriat</w:t>
                            </w:r>
                            <w:r>
                              <w:rPr>
                                <w:spacing w:val="-6"/>
                                <w:sz w:val="20"/>
                              </w:rPr>
                              <w:t> </w:t>
                            </w:r>
                            <w:r>
                              <w:rPr>
                                <w:spacing w:val="-2"/>
                                <w:sz w:val="20"/>
                              </w:rPr>
                              <w:t>(bua)</w:t>
                            </w:r>
                          </w:p>
                        </w:tc>
                      </w:tr>
                      <w:tr>
                        <w:trPr>
                          <w:trHeight w:val="230" w:hRule="atLeast"/>
                        </w:trPr>
                        <w:tc>
                          <w:tcPr>
                            <w:tcW w:w="612" w:type="dxa"/>
                          </w:tcPr>
                          <w:p>
                            <w:pPr>
                              <w:pStyle w:val="TableParagraph"/>
                              <w:ind w:left="50"/>
                              <w:rPr>
                                <w:sz w:val="20"/>
                              </w:rPr>
                            </w:pPr>
                            <w:r>
                              <w:rPr>
                                <w:spacing w:val="-4"/>
                                <w:sz w:val="20"/>
                              </w:rPr>
                              <w:t>1696</w:t>
                            </w:r>
                          </w:p>
                        </w:tc>
                        <w:tc>
                          <w:tcPr>
                            <w:tcW w:w="3028" w:type="dxa"/>
                          </w:tcPr>
                          <w:p>
                            <w:pPr>
                              <w:pStyle w:val="TableParagraph"/>
                              <w:ind w:left="158"/>
                              <w:rPr>
                                <w:sz w:val="20"/>
                              </w:rPr>
                            </w:pPr>
                            <w:r>
                              <w:rPr>
                                <w:sz w:val="20"/>
                              </w:rPr>
                              <w:t>Russia</w:t>
                            </w:r>
                            <w:r>
                              <w:rPr>
                                <w:spacing w:val="-7"/>
                                <w:sz w:val="20"/>
                              </w:rPr>
                              <w:t> </w:t>
                            </w:r>
                            <w:r>
                              <w:rPr>
                                <w:sz w:val="20"/>
                              </w:rPr>
                              <w:t>Buriat</w:t>
                            </w:r>
                            <w:r>
                              <w:rPr>
                                <w:spacing w:val="-7"/>
                                <w:sz w:val="20"/>
                              </w:rPr>
                              <w:t> </w:t>
                            </w:r>
                            <w:r>
                              <w:rPr>
                                <w:spacing w:val="-2"/>
                                <w:sz w:val="20"/>
                              </w:rPr>
                              <w:t>(bxr)</w:t>
                            </w:r>
                          </w:p>
                        </w:tc>
                      </w:tr>
                      <w:tr>
                        <w:trPr>
                          <w:trHeight w:val="225" w:hRule="atLeast"/>
                        </w:trPr>
                        <w:tc>
                          <w:tcPr>
                            <w:tcW w:w="612" w:type="dxa"/>
                          </w:tcPr>
                          <w:p>
                            <w:pPr>
                              <w:pStyle w:val="TableParagraph"/>
                              <w:spacing w:line="205" w:lineRule="exact"/>
                              <w:ind w:left="50"/>
                              <w:rPr>
                                <w:sz w:val="20"/>
                              </w:rPr>
                            </w:pPr>
                            <w:r>
                              <w:rPr>
                                <w:spacing w:val="-4"/>
                                <w:sz w:val="20"/>
                              </w:rPr>
                              <w:t>1698</w:t>
                            </w:r>
                          </w:p>
                        </w:tc>
                        <w:tc>
                          <w:tcPr>
                            <w:tcW w:w="3028" w:type="dxa"/>
                          </w:tcPr>
                          <w:p>
                            <w:pPr>
                              <w:pStyle w:val="TableParagraph"/>
                              <w:spacing w:line="205" w:lineRule="exact"/>
                              <w:ind w:left="158"/>
                              <w:rPr>
                                <w:sz w:val="20"/>
                              </w:rPr>
                            </w:pPr>
                            <w:r>
                              <w:rPr>
                                <w:sz w:val="20"/>
                              </w:rPr>
                              <w:t>Kalmyk</w:t>
                            </w:r>
                            <w:r>
                              <w:rPr>
                                <w:spacing w:val="-10"/>
                                <w:sz w:val="20"/>
                              </w:rPr>
                              <w:t> </w:t>
                            </w:r>
                            <w:r>
                              <w:rPr>
                                <w:spacing w:val="-2"/>
                                <w:sz w:val="20"/>
                              </w:rPr>
                              <w:t>(xal)</w:t>
                            </w:r>
                          </w:p>
                        </w:tc>
                      </w:tr>
                    </w:tbl>
                    <w:p>
                      <w:pPr>
                        <w:pStyle w:val="BodyText"/>
                      </w:pPr>
                    </w:p>
                  </w:txbxContent>
                </v:textbox>
                <w10:wrap type="none"/>
              </v:shape>
            </w:pict>
          </mc:Fallback>
        </mc:AlternateContent>
      </w:r>
      <w:r>
        <w:rPr>
          <w:rFonts w:ascii="Times New Roman"/>
          <w:i/>
          <w:sz w:val="20"/>
          <w:u w:val="single"/>
        </w:rPr>
        <w:t>Turkic</w:t>
      </w:r>
      <w:r>
        <w:rPr>
          <w:rFonts w:ascii="Times New Roman"/>
          <w:i/>
          <w:spacing w:val="-7"/>
          <w:sz w:val="20"/>
          <w:u w:val="single"/>
        </w:rPr>
        <w:t> </w:t>
      </w:r>
      <w:r>
        <w:rPr>
          <w:rFonts w:ascii="Times New Roman"/>
          <w:i/>
          <w:sz w:val="20"/>
          <w:u w:val="single"/>
        </w:rPr>
        <w:t>languages</w:t>
      </w:r>
      <w:r>
        <w:rPr>
          <w:rFonts w:ascii="Times New Roman"/>
          <w:i/>
          <w:spacing w:val="-8"/>
          <w:sz w:val="20"/>
          <w:u w:val="single"/>
        </w:rPr>
        <w:t> </w:t>
      </w:r>
      <w:r>
        <w:rPr>
          <w:rFonts w:ascii="Times New Roman"/>
          <w:i/>
          <w:sz w:val="20"/>
          <w:u w:val="single"/>
        </w:rPr>
        <w:t>(1643-</w:t>
      </w:r>
      <w:r>
        <w:rPr>
          <w:rFonts w:ascii="Times New Roman"/>
          <w:i/>
          <w:spacing w:val="-4"/>
          <w:sz w:val="20"/>
          <w:u w:val="single"/>
        </w:rPr>
        <w:t>1684)</w:t>
      </w:r>
    </w:p>
    <w:p>
      <w:pPr>
        <w:spacing w:before="67"/>
        <w:ind w:left="552" w:right="0" w:firstLine="0"/>
        <w:jc w:val="left"/>
        <w:rPr>
          <w:rFonts w:ascii="Times New Roman"/>
          <w:i/>
          <w:sz w:val="20"/>
        </w:rPr>
      </w:pPr>
      <w:r>
        <w:rPr/>
        <w:br w:type="column"/>
      </w:r>
      <w:r>
        <w:rPr>
          <w:rFonts w:ascii="Times New Roman"/>
          <w:i/>
          <w:sz w:val="20"/>
          <w:u w:val="single"/>
        </w:rPr>
        <w:t>Tungusic</w:t>
      </w:r>
      <w:r>
        <w:rPr>
          <w:rFonts w:ascii="Times New Roman"/>
          <w:i/>
          <w:spacing w:val="-9"/>
          <w:sz w:val="20"/>
          <w:u w:val="single"/>
        </w:rPr>
        <w:t> </w:t>
      </w:r>
      <w:r>
        <w:rPr>
          <w:rFonts w:ascii="Times New Roman"/>
          <w:i/>
          <w:sz w:val="20"/>
          <w:u w:val="single"/>
        </w:rPr>
        <w:t>languages</w:t>
      </w:r>
      <w:r>
        <w:rPr>
          <w:rFonts w:ascii="Times New Roman"/>
          <w:i/>
          <w:spacing w:val="-8"/>
          <w:sz w:val="20"/>
          <w:u w:val="single"/>
        </w:rPr>
        <w:t> </w:t>
      </w:r>
      <w:r>
        <w:rPr>
          <w:rFonts w:ascii="Times New Roman"/>
          <w:i/>
          <w:sz w:val="20"/>
          <w:u w:val="single"/>
        </w:rPr>
        <w:t>(1699-</w:t>
      </w:r>
      <w:r>
        <w:rPr>
          <w:rFonts w:ascii="Times New Roman"/>
          <w:i/>
          <w:spacing w:val="-2"/>
          <w:sz w:val="20"/>
          <w:u w:val="single"/>
        </w:rPr>
        <w:t>1710)</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387"/>
      </w:tblGrid>
      <w:tr>
        <w:trPr>
          <w:trHeight w:val="224" w:hRule="atLeast"/>
        </w:trPr>
        <w:tc>
          <w:tcPr>
            <w:tcW w:w="612" w:type="dxa"/>
          </w:tcPr>
          <w:p>
            <w:pPr>
              <w:pStyle w:val="TableParagraph"/>
              <w:spacing w:line="204" w:lineRule="exact"/>
              <w:ind w:left="50"/>
              <w:rPr>
                <w:sz w:val="20"/>
              </w:rPr>
            </w:pPr>
            <w:r>
              <w:rPr>
                <w:spacing w:val="-4"/>
                <w:sz w:val="20"/>
              </w:rPr>
              <w:t>1699</w:t>
            </w:r>
          </w:p>
        </w:tc>
        <w:tc>
          <w:tcPr>
            <w:tcW w:w="1387" w:type="dxa"/>
          </w:tcPr>
          <w:p>
            <w:pPr>
              <w:pStyle w:val="TableParagraph"/>
              <w:spacing w:line="204" w:lineRule="exact"/>
              <w:ind w:left="158"/>
              <w:rPr>
                <w:sz w:val="20"/>
              </w:rPr>
            </w:pPr>
            <w:r>
              <w:rPr>
                <w:sz w:val="20"/>
              </w:rPr>
              <w:t>Even</w:t>
            </w:r>
            <w:r>
              <w:rPr>
                <w:spacing w:val="-8"/>
                <w:sz w:val="20"/>
              </w:rPr>
              <w:t> </w:t>
            </w:r>
            <w:r>
              <w:rPr>
                <w:spacing w:val="-2"/>
                <w:sz w:val="20"/>
              </w:rPr>
              <w:t>(eve)</w:t>
            </w:r>
          </w:p>
        </w:tc>
      </w:tr>
      <w:tr>
        <w:trPr>
          <w:trHeight w:val="229" w:hRule="atLeast"/>
        </w:trPr>
        <w:tc>
          <w:tcPr>
            <w:tcW w:w="612" w:type="dxa"/>
          </w:tcPr>
          <w:p>
            <w:pPr>
              <w:pStyle w:val="TableParagraph"/>
              <w:spacing w:line="209" w:lineRule="exact"/>
              <w:ind w:left="50"/>
              <w:rPr>
                <w:sz w:val="20"/>
              </w:rPr>
            </w:pPr>
            <w:r>
              <w:rPr>
                <w:spacing w:val="-4"/>
                <w:sz w:val="20"/>
              </w:rPr>
              <w:t>1702</w:t>
            </w:r>
          </w:p>
        </w:tc>
        <w:tc>
          <w:tcPr>
            <w:tcW w:w="1387" w:type="dxa"/>
          </w:tcPr>
          <w:p>
            <w:pPr>
              <w:pStyle w:val="TableParagraph"/>
              <w:spacing w:line="209" w:lineRule="exact"/>
              <w:ind w:left="158"/>
              <w:rPr>
                <w:sz w:val="20"/>
              </w:rPr>
            </w:pPr>
            <w:r>
              <w:rPr>
                <w:sz w:val="20"/>
              </w:rPr>
              <w:t>Evenki</w:t>
            </w:r>
            <w:r>
              <w:rPr>
                <w:spacing w:val="-9"/>
                <w:sz w:val="20"/>
              </w:rPr>
              <w:t> </w:t>
            </w:r>
            <w:r>
              <w:rPr>
                <w:spacing w:val="-2"/>
                <w:sz w:val="20"/>
              </w:rPr>
              <w:t>(evn)</w:t>
            </w:r>
          </w:p>
        </w:tc>
      </w:tr>
      <w:tr>
        <w:trPr>
          <w:trHeight w:val="230" w:hRule="atLeast"/>
        </w:trPr>
        <w:tc>
          <w:tcPr>
            <w:tcW w:w="612" w:type="dxa"/>
          </w:tcPr>
          <w:p>
            <w:pPr>
              <w:pStyle w:val="TableParagraph"/>
              <w:ind w:left="50"/>
              <w:rPr>
                <w:sz w:val="20"/>
              </w:rPr>
            </w:pPr>
            <w:r>
              <w:rPr>
                <w:spacing w:val="-4"/>
                <w:sz w:val="20"/>
              </w:rPr>
              <w:t>1703</w:t>
            </w:r>
          </w:p>
        </w:tc>
        <w:tc>
          <w:tcPr>
            <w:tcW w:w="1387" w:type="dxa"/>
          </w:tcPr>
          <w:p>
            <w:pPr>
              <w:pStyle w:val="TableParagraph"/>
              <w:ind w:left="158"/>
              <w:rPr>
                <w:sz w:val="20"/>
              </w:rPr>
            </w:pPr>
            <w:r>
              <w:rPr>
                <w:sz w:val="20"/>
              </w:rPr>
              <w:t>Oroqen</w:t>
            </w:r>
            <w:r>
              <w:rPr>
                <w:spacing w:val="-5"/>
                <w:sz w:val="20"/>
              </w:rPr>
              <w:t> </w:t>
            </w:r>
            <w:r>
              <w:rPr>
                <w:spacing w:val="-2"/>
                <w:sz w:val="20"/>
              </w:rPr>
              <w:t>(orh)</w:t>
            </w:r>
          </w:p>
        </w:tc>
      </w:tr>
      <w:tr>
        <w:trPr>
          <w:trHeight w:val="230" w:hRule="atLeast"/>
        </w:trPr>
        <w:tc>
          <w:tcPr>
            <w:tcW w:w="612" w:type="dxa"/>
          </w:tcPr>
          <w:p>
            <w:pPr>
              <w:pStyle w:val="TableParagraph"/>
              <w:ind w:left="50"/>
              <w:rPr>
                <w:sz w:val="20"/>
              </w:rPr>
            </w:pPr>
            <w:r>
              <w:rPr>
                <w:spacing w:val="-4"/>
                <w:sz w:val="20"/>
              </w:rPr>
              <w:t>1705</w:t>
            </w:r>
          </w:p>
        </w:tc>
        <w:tc>
          <w:tcPr>
            <w:tcW w:w="1387" w:type="dxa"/>
          </w:tcPr>
          <w:p>
            <w:pPr>
              <w:pStyle w:val="TableParagraph"/>
              <w:ind w:left="158"/>
              <w:rPr>
                <w:sz w:val="20"/>
              </w:rPr>
            </w:pPr>
            <w:r>
              <w:rPr>
                <w:sz w:val="20"/>
              </w:rPr>
              <w:t>Nanai</w:t>
            </w:r>
            <w:r>
              <w:rPr>
                <w:spacing w:val="-6"/>
                <w:sz w:val="20"/>
              </w:rPr>
              <w:t> </w:t>
            </w:r>
            <w:r>
              <w:rPr>
                <w:spacing w:val="-2"/>
                <w:sz w:val="20"/>
              </w:rPr>
              <w:t>(gld)</w:t>
            </w:r>
          </w:p>
        </w:tc>
      </w:tr>
      <w:tr>
        <w:trPr>
          <w:trHeight w:val="225" w:hRule="atLeast"/>
        </w:trPr>
        <w:tc>
          <w:tcPr>
            <w:tcW w:w="612" w:type="dxa"/>
          </w:tcPr>
          <w:p>
            <w:pPr>
              <w:pStyle w:val="TableParagraph"/>
              <w:spacing w:line="205" w:lineRule="exact"/>
              <w:ind w:left="50"/>
              <w:rPr>
                <w:sz w:val="20"/>
              </w:rPr>
            </w:pPr>
            <w:r>
              <w:rPr>
                <w:spacing w:val="-4"/>
                <w:sz w:val="20"/>
              </w:rPr>
              <w:t>1708</w:t>
            </w:r>
          </w:p>
        </w:tc>
        <w:tc>
          <w:tcPr>
            <w:tcW w:w="1387" w:type="dxa"/>
          </w:tcPr>
          <w:p>
            <w:pPr>
              <w:pStyle w:val="TableParagraph"/>
              <w:spacing w:line="205" w:lineRule="exact"/>
              <w:ind w:left="158"/>
              <w:rPr>
                <w:sz w:val="20"/>
              </w:rPr>
            </w:pPr>
            <w:r>
              <w:rPr>
                <w:sz w:val="20"/>
              </w:rPr>
              <w:t>Manchu</w:t>
            </w:r>
            <w:r>
              <w:rPr>
                <w:spacing w:val="-9"/>
                <w:sz w:val="20"/>
              </w:rPr>
              <w:t> </w:t>
            </w:r>
            <w:r>
              <w:rPr>
                <w:spacing w:val="-2"/>
                <w:sz w:val="20"/>
              </w:rPr>
              <w:t>(mnc)</w:t>
            </w:r>
          </w:p>
        </w:tc>
      </w:tr>
    </w:tbl>
    <w:p>
      <w:pPr>
        <w:pStyle w:val="BodyText"/>
        <w:spacing w:before="2"/>
        <w:rPr>
          <w:rFonts w:ascii="Times New Roman"/>
          <w:i/>
          <w:sz w:val="21"/>
        </w:rPr>
      </w:pPr>
    </w:p>
    <w:p>
      <w:pPr>
        <w:spacing w:before="0"/>
        <w:ind w:left="552" w:right="0" w:firstLine="0"/>
        <w:jc w:val="left"/>
        <w:rPr>
          <w:rFonts w:ascii="Times New Roman"/>
          <w:i/>
          <w:sz w:val="20"/>
        </w:rPr>
      </w:pPr>
      <w:r>
        <w:rPr>
          <w:rFonts w:ascii="Times New Roman"/>
          <w:i/>
          <w:sz w:val="20"/>
          <w:u w:val="single"/>
        </w:rPr>
        <w:t>Dravidian</w:t>
      </w:r>
      <w:r>
        <w:rPr>
          <w:rFonts w:ascii="Times New Roman"/>
          <w:i/>
          <w:spacing w:val="-8"/>
          <w:sz w:val="20"/>
          <w:u w:val="single"/>
        </w:rPr>
        <w:t> </w:t>
      </w:r>
      <w:r>
        <w:rPr>
          <w:rFonts w:ascii="Times New Roman"/>
          <w:i/>
          <w:sz w:val="20"/>
          <w:u w:val="single"/>
        </w:rPr>
        <w:t>languages</w:t>
      </w:r>
      <w:r>
        <w:rPr>
          <w:rFonts w:ascii="Times New Roman"/>
          <w:i/>
          <w:spacing w:val="-9"/>
          <w:sz w:val="20"/>
          <w:u w:val="single"/>
        </w:rPr>
        <w:t> </w:t>
      </w:r>
      <w:r>
        <w:rPr>
          <w:rFonts w:ascii="Times New Roman"/>
          <w:i/>
          <w:sz w:val="20"/>
          <w:u w:val="single"/>
        </w:rPr>
        <w:t>(1711-</w:t>
      </w:r>
      <w:r>
        <w:rPr>
          <w:rFonts w:ascii="Times New Roman"/>
          <w:i/>
          <w:spacing w:val="-2"/>
          <w:sz w:val="20"/>
          <w:u w:val="single"/>
        </w:rPr>
        <w:t>1798)</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393"/>
      </w:tblGrid>
      <w:tr>
        <w:trPr>
          <w:trHeight w:val="225" w:hRule="atLeast"/>
        </w:trPr>
        <w:tc>
          <w:tcPr>
            <w:tcW w:w="612" w:type="dxa"/>
          </w:tcPr>
          <w:p>
            <w:pPr>
              <w:pStyle w:val="TableParagraph"/>
              <w:spacing w:line="205" w:lineRule="exact"/>
              <w:ind w:left="50"/>
              <w:rPr>
                <w:sz w:val="20"/>
              </w:rPr>
            </w:pPr>
            <w:r>
              <w:rPr>
                <w:spacing w:val="-4"/>
                <w:sz w:val="20"/>
              </w:rPr>
              <w:t>1711</w:t>
            </w:r>
          </w:p>
        </w:tc>
        <w:tc>
          <w:tcPr>
            <w:tcW w:w="2393" w:type="dxa"/>
          </w:tcPr>
          <w:p>
            <w:pPr>
              <w:pStyle w:val="TableParagraph"/>
              <w:spacing w:line="205" w:lineRule="exact"/>
              <w:ind w:left="158"/>
              <w:rPr>
                <w:sz w:val="20"/>
              </w:rPr>
            </w:pPr>
            <w:r>
              <w:rPr>
                <w:sz w:val="20"/>
              </w:rPr>
              <w:t>Northwestern</w:t>
            </w:r>
            <w:r>
              <w:rPr>
                <w:spacing w:val="-10"/>
                <w:sz w:val="20"/>
              </w:rPr>
              <w:t> </w:t>
            </w:r>
            <w:r>
              <w:rPr>
                <w:sz w:val="20"/>
              </w:rPr>
              <w:t>Kolami</w:t>
            </w:r>
            <w:r>
              <w:rPr>
                <w:spacing w:val="-10"/>
                <w:sz w:val="20"/>
              </w:rPr>
              <w:t> </w:t>
            </w:r>
            <w:r>
              <w:rPr>
                <w:spacing w:val="-4"/>
                <w:sz w:val="20"/>
              </w:rPr>
              <w:t>(kfb)</w:t>
            </w:r>
          </w:p>
        </w:tc>
      </w:tr>
      <w:tr>
        <w:trPr>
          <w:trHeight w:val="230" w:hRule="atLeast"/>
        </w:trPr>
        <w:tc>
          <w:tcPr>
            <w:tcW w:w="612" w:type="dxa"/>
          </w:tcPr>
          <w:p>
            <w:pPr>
              <w:pStyle w:val="TableParagraph"/>
              <w:ind w:left="50"/>
              <w:rPr>
                <w:sz w:val="20"/>
              </w:rPr>
            </w:pPr>
            <w:r>
              <w:rPr>
                <w:spacing w:val="-4"/>
                <w:sz w:val="20"/>
              </w:rPr>
              <w:t>1716</w:t>
            </w:r>
          </w:p>
        </w:tc>
        <w:tc>
          <w:tcPr>
            <w:tcW w:w="2393" w:type="dxa"/>
          </w:tcPr>
          <w:p>
            <w:pPr>
              <w:pStyle w:val="TableParagraph"/>
              <w:ind w:left="158"/>
              <w:rPr>
                <w:sz w:val="20"/>
              </w:rPr>
            </w:pPr>
            <w:r>
              <w:rPr>
                <w:sz w:val="20"/>
              </w:rPr>
              <w:t>Kui</w:t>
            </w:r>
            <w:r>
              <w:rPr>
                <w:spacing w:val="-6"/>
                <w:sz w:val="20"/>
              </w:rPr>
              <w:t> </w:t>
            </w:r>
            <w:r>
              <w:rPr>
                <w:sz w:val="20"/>
              </w:rPr>
              <w:t>(India)</w:t>
            </w:r>
            <w:r>
              <w:rPr>
                <w:spacing w:val="-4"/>
                <w:sz w:val="20"/>
              </w:rPr>
              <w:t> </w:t>
            </w:r>
            <w:r>
              <w:rPr>
                <w:spacing w:val="-2"/>
                <w:sz w:val="20"/>
              </w:rPr>
              <w:t>(kxu)</w:t>
            </w:r>
          </w:p>
        </w:tc>
      </w:tr>
      <w:tr>
        <w:trPr>
          <w:trHeight w:val="230" w:hRule="atLeast"/>
        </w:trPr>
        <w:tc>
          <w:tcPr>
            <w:tcW w:w="612" w:type="dxa"/>
          </w:tcPr>
          <w:p>
            <w:pPr>
              <w:pStyle w:val="TableParagraph"/>
              <w:ind w:left="50"/>
              <w:rPr>
                <w:sz w:val="20"/>
              </w:rPr>
            </w:pPr>
            <w:r>
              <w:rPr>
                <w:spacing w:val="-4"/>
                <w:sz w:val="20"/>
              </w:rPr>
              <w:t>1720</w:t>
            </w:r>
          </w:p>
        </w:tc>
        <w:tc>
          <w:tcPr>
            <w:tcW w:w="2393" w:type="dxa"/>
          </w:tcPr>
          <w:p>
            <w:pPr>
              <w:pStyle w:val="TableParagraph"/>
              <w:ind w:left="158"/>
              <w:rPr>
                <w:sz w:val="20"/>
              </w:rPr>
            </w:pPr>
            <w:r>
              <w:rPr>
                <w:sz w:val="20"/>
              </w:rPr>
              <w:t>Northern</w:t>
            </w:r>
            <w:r>
              <w:rPr>
                <w:spacing w:val="-8"/>
                <w:sz w:val="20"/>
              </w:rPr>
              <w:t> </w:t>
            </w:r>
            <w:r>
              <w:rPr>
                <w:sz w:val="20"/>
              </w:rPr>
              <w:t>Gondi</w:t>
            </w:r>
            <w:r>
              <w:rPr>
                <w:spacing w:val="-7"/>
                <w:sz w:val="20"/>
              </w:rPr>
              <w:t> </w:t>
            </w:r>
            <w:r>
              <w:rPr>
                <w:spacing w:val="-4"/>
                <w:sz w:val="20"/>
              </w:rPr>
              <w:t>(gno)</w:t>
            </w:r>
          </w:p>
        </w:tc>
      </w:tr>
      <w:tr>
        <w:trPr>
          <w:trHeight w:val="230" w:hRule="atLeast"/>
        </w:trPr>
        <w:tc>
          <w:tcPr>
            <w:tcW w:w="612" w:type="dxa"/>
          </w:tcPr>
          <w:p>
            <w:pPr>
              <w:pStyle w:val="TableParagraph"/>
              <w:ind w:left="50"/>
              <w:rPr>
                <w:sz w:val="20"/>
              </w:rPr>
            </w:pPr>
            <w:r>
              <w:rPr>
                <w:spacing w:val="-4"/>
                <w:sz w:val="20"/>
              </w:rPr>
              <w:t>1730</w:t>
            </w:r>
          </w:p>
        </w:tc>
        <w:tc>
          <w:tcPr>
            <w:tcW w:w="2393" w:type="dxa"/>
          </w:tcPr>
          <w:p>
            <w:pPr>
              <w:pStyle w:val="TableParagraph"/>
              <w:ind w:left="158"/>
              <w:rPr>
                <w:sz w:val="20"/>
              </w:rPr>
            </w:pPr>
            <w:r>
              <w:rPr>
                <w:sz w:val="20"/>
              </w:rPr>
              <w:t>Telugu</w:t>
            </w:r>
            <w:r>
              <w:rPr>
                <w:spacing w:val="-8"/>
                <w:sz w:val="20"/>
              </w:rPr>
              <w:t> </w:t>
            </w:r>
            <w:r>
              <w:rPr>
                <w:spacing w:val="-2"/>
                <w:sz w:val="20"/>
              </w:rPr>
              <w:t>(tel)</w:t>
            </w:r>
          </w:p>
        </w:tc>
      </w:tr>
      <w:tr>
        <w:trPr>
          <w:trHeight w:val="230" w:hRule="atLeast"/>
        </w:trPr>
        <w:tc>
          <w:tcPr>
            <w:tcW w:w="612" w:type="dxa"/>
          </w:tcPr>
          <w:p>
            <w:pPr>
              <w:pStyle w:val="TableParagraph"/>
              <w:ind w:left="50"/>
              <w:rPr>
                <w:sz w:val="20"/>
              </w:rPr>
            </w:pPr>
            <w:r>
              <w:rPr>
                <w:spacing w:val="-4"/>
                <w:sz w:val="20"/>
              </w:rPr>
              <w:t>1735</w:t>
            </w:r>
          </w:p>
        </w:tc>
        <w:tc>
          <w:tcPr>
            <w:tcW w:w="2393" w:type="dxa"/>
          </w:tcPr>
          <w:p>
            <w:pPr>
              <w:pStyle w:val="TableParagraph"/>
              <w:ind w:left="158"/>
              <w:rPr>
                <w:sz w:val="20"/>
              </w:rPr>
            </w:pPr>
            <w:r>
              <w:rPr>
                <w:sz w:val="20"/>
              </w:rPr>
              <w:t>Badaga</w:t>
            </w:r>
            <w:r>
              <w:rPr>
                <w:spacing w:val="-5"/>
                <w:sz w:val="20"/>
              </w:rPr>
              <w:t> </w:t>
            </w:r>
            <w:r>
              <w:rPr>
                <w:spacing w:val="-2"/>
                <w:sz w:val="20"/>
              </w:rPr>
              <w:t>(bfq)</w:t>
            </w:r>
          </w:p>
        </w:tc>
      </w:tr>
      <w:tr>
        <w:trPr>
          <w:trHeight w:val="229" w:hRule="atLeast"/>
        </w:trPr>
        <w:tc>
          <w:tcPr>
            <w:tcW w:w="612" w:type="dxa"/>
          </w:tcPr>
          <w:p>
            <w:pPr>
              <w:pStyle w:val="TableParagraph"/>
              <w:spacing w:line="209" w:lineRule="exact"/>
              <w:ind w:left="50"/>
              <w:rPr>
                <w:sz w:val="20"/>
              </w:rPr>
            </w:pPr>
            <w:r>
              <w:rPr>
                <w:spacing w:val="-4"/>
                <w:sz w:val="20"/>
              </w:rPr>
              <w:t>1737</w:t>
            </w:r>
          </w:p>
        </w:tc>
        <w:tc>
          <w:tcPr>
            <w:tcW w:w="2393" w:type="dxa"/>
          </w:tcPr>
          <w:p>
            <w:pPr>
              <w:pStyle w:val="TableParagraph"/>
              <w:spacing w:line="209" w:lineRule="exact"/>
              <w:ind w:left="158"/>
              <w:rPr>
                <w:sz w:val="20"/>
              </w:rPr>
            </w:pPr>
            <w:r>
              <w:rPr>
                <w:sz w:val="20"/>
              </w:rPr>
              <w:t>Kannada</w:t>
            </w:r>
            <w:r>
              <w:rPr>
                <w:spacing w:val="-8"/>
                <w:sz w:val="20"/>
              </w:rPr>
              <w:t> </w:t>
            </w:r>
            <w:r>
              <w:rPr>
                <w:spacing w:val="-2"/>
                <w:sz w:val="20"/>
              </w:rPr>
              <w:t>(kan)</w:t>
            </w:r>
          </w:p>
        </w:tc>
      </w:tr>
      <w:tr>
        <w:trPr>
          <w:trHeight w:val="229" w:hRule="atLeast"/>
        </w:trPr>
        <w:tc>
          <w:tcPr>
            <w:tcW w:w="612" w:type="dxa"/>
          </w:tcPr>
          <w:p>
            <w:pPr>
              <w:pStyle w:val="TableParagraph"/>
              <w:spacing w:line="209" w:lineRule="exact"/>
              <w:ind w:left="50"/>
              <w:rPr>
                <w:sz w:val="20"/>
              </w:rPr>
            </w:pPr>
            <w:r>
              <w:rPr>
                <w:spacing w:val="-4"/>
                <w:sz w:val="20"/>
              </w:rPr>
              <w:t>1750</w:t>
            </w:r>
          </w:p>
        </w:tc>
        <w:tc>
          <w:tcPr>
            <w:tcW w:w="2393" w:type="dxa"/>
          </w:tcPr>
          <w:p>
            <w:pPr>
              <w:pStyle w:val="TableParagraph"/>
              <w:spacing w:line="209" w:lineRule="exact"/>
              <w:ind w:left="158"/>
              <w:rPr>
                <w:sz w:val="20"/>
              </w:rPr>
            </w:pPr>
            <w:r>
              <w:rPr>
                <w:sz w:val="20"/>
              </w:rPr>
              <w:t>Malayalam</w:t>
            </w:r>
            <w:r>
              <w:rPr>
                <w:spacing w:val="-11"/>
                <w:sz w:val="20"/>
              </w:rPr>
              <w:t> </w:t>
            </w:r>
            <w:r>
              <w:rPr>
                <w:spacing w:val="-2"/>
                <w:sz w:val="20"/>
              </w:rPr>
              <w:t>(mal)</w:t>
            </w:r>
          </w:p>
        </w:tc>
      </w:tr>
      <w:tr>
        <w:trPr>
          <w:trHeight w:val="230" w:hRule="atLeast"/>
        </w:trPr>
        <w:tc>
          <w:tcPr>
            <w:tcW w:w="612" w:type="dxa"/>
          </w:tcPr>
          <w:p>
            <w:pPr>
              <w:pStyle w:val="TableParagraph"/>
              <w:ind w:left="50"/>
              <w:rPr>
                <w:sz w:val="20"/>
              </w:rPr>
            </w:pPr>
            <w:r>
              <w:rPr>
                <w:spacing w:val="-4"/>
                <w:sz w:val="20"/>
              </w:rPr>
              <w:t>1755</w:t>
            </w:r>
          </w:p>
        </w:tc>
        <w:tc>
          <w:tcPr>
            <w:tcW w:w="2393" w:type="dxa"/>
          </w:tcPr>
          <w:p>
            <w:pPr>
              <w:pStyle w:val="TableParagraph"/>
              <w:ind w:left="158"/>
              <w:rPr>
                <w:sz w:val="20"/>
              </w:rPr>
            </w:pPr>
            <w:r>
              <w:rPr>
                <w:sz w:val="20"/>
              </w:rPr>
              <w:t>Paniya</w:t>
            </w:r>
            <w:r>
              <w:rPr>
                <w:spacing w:val="-8"/>
                <w:sz w:val="20"/>
              </w:rPr>
              <w:t> </w:t>
            </w:r>
            <w:r>
              <w:rPr>
                <w:spacing w:val="-2"/>
                <w:sz w:val="20"/>
              </w:rPr>
              <w:t>(pcg)</w:t>
            </w:r>
          </w:p>
        </w:tc>
      </w:tr>
      <w:tr>
        <w:trPr>
          <w:trHeight w:val="230" w:hRule="atLeast"/>
        </w:trPr>
        <w:tc>
          <w:tcPr>
            <w:tcW w:w="612" w:type="dxa"/>
          </w:tcPr>
          <w:p>
            <w:pPr>
              <w:pStyle w:val="TableParagraph"/>
              <w:spacing w:line="211" w:lineRule="exact"/>
              <w:ind w:left="50"/>
              <w:rPr>
                <w:sz w:val="20"/>
              </w:rPr>
            </w:pPr>
            <w:r>
              <w:rPr>
                <w:spacing w:val="-4"/>
                <w:sz w:val="20"/>
              </w:rPr>
              <w:t>1760</w:t>
            </w:r>
          </w:p>
        </w:tc>
        <w:tc>
          <w:tcPr>
            <w:tcW w:w="2393" w:type="dxa"/>
          </w:tcPr>
          <w:p>
            <w:pPr>
              <w:pStyle w:val="TableParagraph"/>
              <w:spacing w:line="211" w:lineRule="exact"/>
              <w:ind w:left="158"/>
              <w:rPr>
                <w:sz w:val="20"/>
              </w:rPr>
            </w:pPr>
            <w:r>
              <w:rPr>
                <w:sz w:val="20"/>
              </w:rPr>
              <w:t>Kodava</w:t>
            </w:r>
            <w:r>
              <w:rPr>
                <w:spacing w:val="-6"/>
                <w:sz w:val="20"/>
              </w:rPr>
              <w:t> </w:t>
            </w:r>
            <w:r>
              <w:rPr>
                <w:spacing w:val="-2"/>
                <w:sz w:val="20"/>
              </w:rPr>
              <w:t>(kfa)</w:t>
            </w:r>
          </w:p>
        </w:tc>
      </w:tr>
      <w:tr>
        <w:trPr>
          <w:trHeight w:val="230" w:hRule="atLeast"/>
        </w:trPr>
        <w:tc>
          <w:tcPr>
            <w:tcW w:w="612" w:type="dxa"/>
          </w:tcPr>
          <w:p>
            <w:pPr>
              <w:pStyle w:val="TableParagraph"/>
              <w:spacing w:line="211" w:lineRule="exact"/>
              <w:ind w:left="50"/>
              <w:rPr>
                <w:sz w:val="20"/>
              </w:rPr>
            </w:pPr>
            <w:r>
              <w:rPr>
                <w:spacing w:val="-4"/>
                <w:sz w:val="20"/>
              </w:rPr>
              <w:t>1765</w:t>
            </w:r>
          </w:p>
        </w:tc>
        <w:tc>
          <w:tcPr>
            <w:tcW w:w="2393" w:type="dxa"/>
          </w:tcPr>
          <w:p>
            <w:pPr>
              <w:pStyle w:val="TableParagraph"/>
              <w:spacing w:line="211" w:lineRule="exact"/>
              <w:ind w:left="158"/>
              <w:rPr>
                <w:sz w:val="20"/>
              </w:rPr>
            </w:pPr>
            <w:r>
              <w:rPr>
                <w:sz w:val="20"/>
              </w:rPr>
              <w:t>Tamil</w:t>
            </w:r>
            <w:r>
              <w:rPr>
                <w:spacing w:val="-8"/>
                <w:sz w:val="20"/>
              </w:rPr>
              <w:t> </w:t>
            </w:r>
            <w:r>
              <w:rPr>
                <w:spacing w:val="-2"/>
                <w:sz w:val="20"/>
              </w:rPr>
              <w:t>(tam)</w:t>
            </w:r>
          </w:p>
        </w:tc>
      </w:tr>
      <w:tr>
        <w:trPr>
          <w:trHeight w:val="230" w:hRule="atLeast"/>
        </w:trPr>
        <w:tc>
          <w:tcPr>
            <w:tcW w:w="612" w:type="dxa"/>
          </w:tcPr>
          <w:p>
            <w:pPr>
              <w:pStyle w:val="TableParagraph"/>
              <w:ind w:left="50"/>
              <w:rPr>
                <w:sz w:val="20"/>
              </w:rPr>
            </w:pPr>
            <w:r>
              <w:rPr>
                <w:spacing w:val="-4"/>
                <w:sz w:val="20"/>
              </w:rPr>
              <w:t>1770</w:t>
            </w:r>
          </w:p>
        </w:tc>
        <w:tc>
          <w:tcPr>
            <w:tcW w:w="2393" w:type="dxa"/>
          </w:tcPr>
          <w:p>
            <w:pPr>
              <w:pStyle w:val="TableParagraph"/>
              <w:ind w:left="158"/>
              <w:rPr>
                <w:sz w:val="20"/>
              </w:rPr>
            </w:pPr>
            <w:r>
              <w:rPr>
                <w:sz w:val="20"/>
              </w:rPr>
              <w:t>Tulu</w:t>
            </w:r>
            <w:r>
              <w:rPr>
                <w:spacing w:val="-6"/>
                <w:sz w:val="20"/>
              </w:rPr>
              <w:t> </w:t>
            </w:r>
            <w:r>
              <w:rPr>
                <w:spacing w:val="-2"/>
                <w:sz w:val="20"/>
              </w:rPr>
              <w:t>(tcy)</w:t>
            </w:r>
          </w:p>
        </w:tc>
      </w:tr>
      <w:tr>
        <w:trPr>
          <w:trHeight w:val="229" w:hRule="atLeast"/>
        </w:trPr>
        <w:tc>
          <w:tcPr>
            <w:tcW w:w="612" w:type="dxa"/>
          </w:tcPr>
          <w:p>
            <w:pPr>
              <w:pStyle w:val="TableParagraph"/>
              <w:spacing w:line="209" w:lineRule="exact"/>
              <w:ind w:left="50"/>
              <w:rPr>
                <w:sz w:val="20"/>
              </w:rPr>
            </w:pPr>
            <w:r>
              <w:rPr>
                <w:spacing w:val="-4"/>
                <w:sz w:val="20"/>
              </w:rPr>
              <w:t>1775</w:t>
            </w:r>
          </w:p>
        </w:tc>
        <w:tc>
          <w:tcPr>
            <w:tcW w:w="2393" w:type="dxa"/>
          </w:tcPr>
          <w:p>
            <w:pPr>
              <w:pStyle w:val="TableParagraph"/>
              <w:spacing w:line="209" w:lineRule="exact"/>
              <w:ind w:left="158"/>
              <w:rPr>
                <w:sz w:val="20"/>
              </w:rPr>
            </w:pPr>
            <w:r>
              <w:rPr>
                <w:sz w:val="20"/>
              </w:rPr>
              <w:t>Brahui</w:t>
            </w:r>
            <w:r>
              <w:rPr>
                <w:spacing w:val="-9"/>
                <w:sz w:val="20"/>
              </w:rPr>
              <w:t> </w:t>
            </w:r>
            <w:r>
              <w:rPr>
                <w:spacing w:val="-2"/>
                <w:sz w:val="20"/>
              </w:rPr>
              <w:t>(brh)</w:t>
            </w:r>
          </w:p>
        </w:tc>
      </w:tr>
      <w:tr>
        <w:trPr>
          <w:trHeight w:val="344" w:hRule="atLeast"/>
        </w:trPr>
        <w:tc>
          <w:tcPr>
            <w:tcW w:w="612" w:type="dxa"/>
          </w:tcPr>
          <w:p>
            <w:pPr>
              <w:pStyle w:val="TableParagraph"/>
              <w:spacing w:line="224" w:lineRule="exact"/>
              <w:ind w:left="50"/>
              <w:rPr>
                <w:sz w:val="20"/>
              </w:rPr>
            </w:pPr>
            <w:r>
              <w:rPr>
                <w:spacing w:val="-4"/>
                <w:sz w:val="20"/>
              </w:rPr>
              <w:t>1780</w:t>
            </w:r>
          </w:p>
        </w:tc>
        <w:tc>
          <w:tcPr>
            <w:tcW w:w="2393" w:type="dxa"/>
          </w:tcPr>
          <w:p>
            <w:pPr>
              <w:pStyle w:val="TableParagraph"/>
              <w:spacing w:line="224" w:lineRule="exact"/>
              <w:ind w:left="158"/>
              <w:rPr>
                <w:sz w:val="20"/>
              </w:rPr>
            </w:pPr>
            <w:r>
              <w:rPr>
                <w:sz w:val="20"/>
              </w:rPr>
              <w:t>Kurukh</w:t>
            </w:r>
            <w:r>
              <w:rPr>
                <w:spacing w:val="-7"/>
                <w:sz w:val="20"/>
              </w:rPr>
              <w:t> </w:t>
            </w:r>
            <w:r>
              <w:rPr>
                <w:spacing w:val="-2"/>
                <w:sz w:val="20"/>
              </w:rPr>
              <w:t>(kru)</w:t>
            </w:r>
          </w:p>
        </w:tc>
      </w:tr>
      <w:tr>
        <w:trPr>
          <w:trHeight w:val="340" w:hRule="atLeast"/>
        </w:trPr>
        <w:tc>
          <w:tcPr>
            <w:tcW w:w="612" w:type="dxa"/>
          </w:tcPr>
          <w:p>
            <w:pPr>
              <w:pStyle w:val="TableParagraph"/>
              <w:spacing w:before="111"/>
              <w:ind w:left="50"/>
              <w:rPr>
                <w:sz w:val="20"/>
              </w:rPr>
            </w:pPr>
            <w:r>
              <w:rPr>
                <w:spacing w:val="-4"/>
                <w:sz w:val="20"/>
              </w:rPr>
              <w:t>1799</w:t>
            </w:r>
          </w:p>
        </w:tc>
        <w:tc>
          <w:tcPr>
            <w:tcW w:w="2393" w:type="dxa"/>
          </w:tcPr>
          <w:p>
            <w:pPr>
              <w:pStyle w:val="TableParagraph"/>
              <w:spacing w:before="111"/>
              <w:ind w:left="158"/>
              <w:rPr>
                <w:sz w:val="20"/>
              </w:rPr>
            </w:pPr>
            <w:r>
              <w:rPr>
                <w:spacing w:val="-2"/>
                <w:sz w:val="20"/>
              </w:rPr>
              <w:t>Burushaski</w:t>
            </w:r>
            <w:r>
              <w:rPr>
                <w:spacing w:val="5"/>
                <w:sz w:val="20"/>
              </w:rPr>
              <w:t> </w:t>
            </w:r>
            <w:r>
              <w:rPr>
                <w:spacing w:val="-2"/>
                <w:sz w:val="20"/>
              </w:rPr>
              <w:t>(bsk)</w:t>
            </w:r>
          </w:p>
        </w:tc>
      </w:tr>
    </w:tbl>
    <w:p>
      <w:pPr>
        <w:pStyle w:val="BodyText"/>
        <w:spacing w:before="2"/>
        <w:rPr>
          <w:rFonts w:ascii="Times New Roman"/>
          <w:i/>
          <w:sz w:val="21"/>
        </w:rPr>
      </w:pPr>
    </w:p>
    <w:p>
      <w:pPr>
        <w:spacing w:before="0"/>
        <w:ind w:left="552" w:right="0" w:firstLine="0"/>
        <w:jc w:val="left"/>
        <w:rPr>
          <w:rFonts w:ascii="Times New Roman"/>
          <w:i/>
          <w:sz w:val="20"/>
        </w:rPr>
      </w:pPr>
      <w:r>
        <w:rPr>
          <w:rFonts w:ascii="Times New Roman"/>
          <w:i/>
          <w:sz w:val="20"/>
          <w:u w:val="single"/>
        </w:rPr>
        <w:t>Austro-Asiatic</w:t>
      </w:r>
      <w:r>
        <w:rPr>
          <w:rFonts w:ascii="Times New Roman"/>
          <w:i/>
          <w:spacing w:val="-11"/>
          <w:sz w:val="20"/>
          <w:u w:val="single"/>
        </w:rPr>
        <w:t> </w:t>
      </w:r>
      <w:r>
        <w:rPr>
          <w:rFonts w:ascii="Times New Roman"/>
          <w:i/>
          <w:sz w:val="20"/>
          <w:u w:val="single"/>
        </w:rPr>
        <w:t>languages</w:t>
      </w:r>
      <w:r>
        <w:rPr>
          <w:rFonts w:ascii="Times New Roman"/>
          <w:i/>
          <w:spacing w:val="-12"/>
          <w:sz w:val="20"/>
          <w:u w:val="single"/>
        </w:rPr>
        <w:t> </w:t>
      </w:r>
      <w:r>
        <w:rPr>
          <w:rFonts w:ascii="Times New Roman"/>
          <w:i/>
          <w:sz w:val="20"/>
          <w:u w:val="single"/>
        </w:rPr>
        <w:t>(1800-</w:t>
      </w:r>
      <w:r>
        <w:rPr>
          <w:rFonts w:ascii="Times New Roman"/>
          <w:i/>
          <w:spacing w:val="-4"/>
          <w:sz w:val="20"/>
          <w:u w:val="single"/>
        </w:rPr>
        <w:t>1969)</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265"/>
      </w:tblGrid>
      <w:tr>
        <w:trPr>
          <w:trHeight w:val="225" w:hRule="atLeast"/>
        </w:trPr>
        <w:tc>
          <w:tcPr>
            <w:tcW w:w="612" w:type="dxa"/>
          </w:tcPr>
          <w:p>
            <w:pPr>
              <w:pStyle w:val="TableParagraph"/>
              <w:spacing w:line="205" w:lineRule="exact"/>
              <w:ind w:left="50"/>
              <w:rPr>
                <w:sz w:val="20"/>
              </w:rPr>
            </w:pPr>
            <w:r>
              <w:rPr>
                <w:spacing w:val="-4"/>
                <w:sz w:val="20"/>
              </w:rPr>
              <w:t>1800</w:t>
            </w:r>
          </w:p>
        </w:tc>
        <w:tc>
          <w:tcPr>
            <w:tcW w:w="1265" w:type="dxa"/>
          </w:tcPr>
          <w:p>
            <w:pPr>
              <w:pStyle w:val="TableParagraph"/>
              <w:spacing w:line="205" w:lineRule="exact"/>
              <w:ind w:left="158"/>
              <w:rPr>
                <w:sz w:val="20"/>
              </w:rPr>
            </w:pPr>
            <w:r>
              <w:rPr>
                <w:sz w:val="20"/>
              </w:rPr>
              <w:t>Korku</w:t>
            </w:r>
            <w:r>
              <w:rPr>
                <w:spacing w:val="-8"/>
                <w:sz w:val="20"/>
              </w:rPr>
              <w:t> </w:t>
            </w:r>
            <w:r>
              <w:rPr>
                <w:spacing w:val="-2"/>
                <w:sz w:val="20"/>
              </w:rPr>
              <w:t>(kfq)</w:t>
            </w:r>
          </w:p>
        </w:tc>
      </w:tr>
      <w:tr>
        <w:trPr>
          <w:trHeight w:val="230" w:hRule="atLeast"/>
        </w:trPr>
        <w:tc>
          <w:tcPr>
            <w:tcW w:w="612" w:type="dxa"/>
          </w:tcPr>
          <w:p>
            <w:pPr>
              <w:pStyle w:val="TableParagraph"/>
              <w:ind w:left="50"/>
              <w:rPr>
                <w:sz w:val="20"/>
              </w:rPr>
            </w:pPr>
            <w:r>
              <w:rPr>
                <w:spacing w:val="-4"/>
                <w:sz w:val="20"/>
              </w:rPr>
              <w:t>1810</w:t>
            </w:r>
          </w:p>
        </w:tc>
        <w:tc>
          <w:tcPr>
            <w:tcW w:w="1265" w:type="dxa"/>
          </w:tcPr>
          <w:p>
            <w:pPr>
              <w:pStyle w:val="TableParagraph"/>
              <w:ind w:left="158"/>
              <w:rPr>
                <w:sz w:val="20"/>
              </w:rPr>
            </w:pPr>
            <w:r>
              <w:rPr>
                <w:sz w:val="20"/>
              </w:rPr>
              <w:t>Asuri</w:t>
            </w:r>
            <w:r>
              <w:rPr>
                <w:spacing w:val="-8"/>
                <w:sz w:val="20"/>
              </w:rPr>
              <w:t> </w:t>
            </w:r>
            <w:r>
              <w:rPr>
                <w:spacing w:val="-2"/>
                <w:sz w:val="20"/>
              </w:rPr>
              <w:t>(asr)</w:t>
            </w:r>
          </w:p>
        </w:tc>
      </w:tr>
      <w:tr>
        <w:trPr>
          <w:trHeight w:val="230" w:hRule="atLeast"/>
        </w:trPr>
        <w:tc>
          <w:tcPr>
            <w:tcW w:w="612" w:type="dxa"/>
          </w:tcPr>
          <w:p>
            <w:pPr>
              <w:pStyle w:val="TableParagraph"/>
              <w:ind w:left="50"/>
              <w:rPr>
                <w:sz w:val="20"/>
              </w:rPr>
            </w:pPr>
            <w:r>
              <w:rPr>
                <w:spacing w:val="-4"/>
                <w:sz w:val="20"/>
              </w:rPr>
              <w:t>1812</w:t>
            </w:r>
          </w:p>
        </w:tc>
        <w:tc>
          <w:tcPr>
            <w:tcW w:w="1265" w:type="dxa"/>
          </w:tcPr>
          <w:p>
            <w:pPr>
              <w:pStyle w:val="TableParagraph"/>
              <w:ind w:left="158"/>
              <w:rPr>
                <w:sz w:val="20"/>
              </w:rPr>
            </w:pPr>
            <w:r>
              <w:rPr>
                <w:sz w:val="20"/>
              </w:rPr>
              <w:t>Munda</w:t>
            </w:r>
            <w:r>
              <w:rPr>
                <w:spacing w:val="-8"/>
                <w:sz w:val="20"/>
              </w:rPr>
              <w:t> </w:t>
            </w:r>
            <w:r>
              <w:rPr>
                <w:spacing w:val="-2"/>
                <w:sz w:val="20"/>
              </w:rPr>
              <w:t>(unx)</w:t>
            </w:r>
          </w:p>
        </w:tc>
      </w:tr>
      <w:tr>
        <w:trPr>
          <w:trHeight w:val="230" w:hRule="atLeast"/>
        </w:trPr>
        <w:tc>
          <w:tcPr>
            <w:tcW w:w="612" w:type="dxa"/>
          </w:tcPr>
          <w:p>
            <w:pPr>
              <w:pStyle w:val="TableParagraph"/>
              <w:ind w:left="50"/>
              <w:rPr>
                <w:sz w:val="20"/>
              </w:rPr>
            </w:pPr>
            <w:r>
              <w:rPr>
                <w:spacing w:val="-4"/>
                <w:sz w:val="20"/>
              </w:rPr>
              <w:t>1820</w:t>
            </w:r>
          </w:p>
        </w:tc>
        <w:tc>
          <w:tcPr>
            <w:tcW w:w="1265" w:type="dxa"/>
          </w:tcPr>
          <w:p>
            <w:pPr>
              <w:pStyle w:val="TableParagraph"/>
              <w:ind w:left="158"/>
              <w:rPr>
                <w:sz w:val="20"/>
              </w:rPr>
            </w:pPr>
            <w:r>
              <w:rPr>
                <w:sz w:val="20"/>
              </w:rPr>
              <w:t>Mahali</w:t>
            </w:r>
            <w:r>
              <w:rPr>
                <w:spacing w:val="-8"/>
                <w:sz w:val="20"/>
              </w:rPr>
              <w:t> </w:t>
            </w:r>
            <w:r>
              <w:rPr>
                <w:spacing w:val="-2"/>
                <w:sz w:val="20"/>
              </w:rPr>
              <w:t>(mjx)</w:t>
            </w:r>
          </w:p>
        </w:tc>
      </w:tr>
      <w:tr>
        <w:trPr>
          <w:trHeight w:val="230" w:hRule="atLeast"/>
        </w:trPr>
        <w:tc>
          <w:tcPr>
            <w:tcW w:w="612" w:type="dxa"/>
          </w:tcPr>
          <w:p>
            <w:pPr>
              <w:pStyle w:val="TableParagraph"/>
              <w:ind w:left="50"/>
              <w:rPr>
                <w:sz w:val="20"/>
              </w:rPr>
            </w:pPr>
            <w:r>
              <w:rPr>
                <w:spacing w:val="-4"/>
                <w:sz w:val="20"/>
              </w:rPr>
              <w:t>1822</w:t>
            </w:r>
          </w:p>
        </w:tc>
        <w:tc>
          <w:tcPr>
            <w:tcW w:w="1265" w:type="dxa"/>
          </w:tcPr>
          <w:p>
            <w:pPr>
              <w:pStyle w:val="TableParagraph"/>
              <w:ind w:left="158"/>
              <w:rPr>
                <w:sz w:val="20"/>
              </w:rPr>
            </w:pPr>
            <w:r>
              <w:rPr>
                <w:sz w:val="20"/>
              </w:rPr>
              <w:t>Santali</w:t>
            </w:r>
            <w:r>
              <w:rPr>
                <w:spacing w:val="-9"/>
                <w:sz w:val="20"/>
              </w:rPr>
              <w:t> </w:t>
            </w:r>
            <w:r>
              <w:rPr>
                <w:spacing w:val="-2"/>
                <w:sz w:val="20"/>
              </w:rPr>
              <w:t>(sat)</w:t>
            </w:r>
          </w:p>
        </w:tc>
      </w:tr>
      <w:tr>
        <w:trPr>
          <w:trHeight w:val="229" w:hRule="atLeast"/>
        </w:trPr>
        <w:tc>
          <w:tcPr>
            <w:tcW w:w="612" w:type="dxa"/>
          </w:tcPr>
          <w:p>
            <w:pPr>
              <w:pStyle w:val="TableParagraph"/>
              <w:spacing w:line="209" w:lineRule="exact"/>
              <w:ind w:left="50"/>
              <w:rPr>
                <w:sz w:val="20"/>
              </w:rPr>
            </w:pPr>
            <w:r>
              <w:rPr>
                <w:spacing w:val="-4"/>
                <w:sz w:val="20"/>
              </w:rPr>
              <w:t>1824</w:t>
            </w:r>
          </w:p>
        </w:tc>
        <w:tc>
          <w:tcPr>
            <w:tcW w:w="1265" w:type="dxa"/>
          </w:tcPr>
          <w:p>
            <w:pPr>
              <w:pStyle w:val="TableParagraph"/>
              <w:spacing w:line="209" w:lineRule="exact"/>
              <w:ind w:left="158"/>
              <w:rPr>
                <w:sz w:val="20"/>
              </w:rPr>
            </w:pPr>
            <w:r>
              <w:rPr>
                <w:sz w:val="20"/>
              </w:rPr>
              <w:t>Turi</w:t>
            </w:r>
            <w:r>
              <w:rPr>
                <w:spacing w:val="-5"/>
                <w:sz w:val="20"/>
              </w:rPr>
              <w:t> </w:t>
            </w:r>
            <w:r>
              <w:rPr>
                <w:spacing w:val="-2"/>
                <w:sz w:val="20"/>
              </w:rPr>
              <w:t>(trd)</w:t>
            </w:r>
          </w:p>
        </w:tc>
      </w:tr>
      <w:tr>
        <w:trPr>
          <w:trHeight w:val="229" w:hRule="atLeast"/>
        </w:trPr>
        <w:tc>
          <w:tcPr>
            <w:tcW w:w="612" w:type="dxa"/>
          </w:tcPr>
          <w:p>
            <w:pPr>
              <w:pStyle w:val="TableParagraph"/>
              <w:spacing w:line="209" w:lineRule="exact"/>
              <w:ind w:left="50"/>
              <w:rPr>
                <w:sz w:val="20"/>
              </w:rPr>
            </w:pPr>
            <w:r>
              <w:rPr>
                <w:spacing w:val="-4"/>
                <w:sz w:val="20"/>
              </w:rPr>
              <w:t>1835</w:t>
            </w:r>
          </w:p>
        </w:tc>
        <w:tc>
          <w:tcPr>
            <w:tcW w:w="1265" w:type="dxa"/>
          </w:tcPr>
          <w:p>
            <w:pPr>
              <w:pStyle w:val="TableParagraph"/>
              <w:spacing w:line="209" w:lineRule="exact"/>
              <w:ind w:left="158"/>
              <w:rPr>
                <w:sz w:val="20"/>
              </w:rPr>
            </w:pPr>
            <w:r>
              <w:rPr>
                <w:sz w:val="20"/>
              </w:rPr>
              <w:t>Juang</w:t>
            </w:r>
            <w:r>
              <w:rPr>
                <w:spacing w:val="-8"/>
                <w:sz w:val="20"/>
              </w:rPr>
              <w:t> </w:t>
            </w:r>
            <w:r>
              <w:rPr>
                <w:spacing w:val="-2"/>
                <w:sz w:val="20"/>
              </w:rPr>
              <w:t>(jun)</w:t>
            </w:r>
          </w:p>
        </w:tc>
      </w:tr>
      <w:tr>
        <w:trPr>
          <w:trHeight w:val="230" w:hRule="atLeast"/>
        </w:trPr>
        <w:tc>
          <w:tcPr>
            <w:tcW w:w="612" w:type="dxa"/>
          </w:tcPr>
          <w:p>
            <w:pPr>
              <w:pStyle w:val="TableParagraph"/>
              <w:spacing w:line="211" w:lineRule="exact"/>
              <w:ind w:left="50"/>
              <w:rPr>
                <w:sz w:val="20"/>
              </w:rPr>
            </w:pPr>
            <w:r>
              <w:rPr>
                <w:spacing w:val="-4"/>
                <w:sz w:val="20"/>
              </w:rPr>
              <w:t>1838</w:t>
            </w:r>
          </w:p>
        </w:tc>
        <w:tc>
          <w:tcPr>
            <w:tcW w:w="1265" w:type="dxa"/>
          </w:tcPr>
          <w:p>
            <w:pPr>
              <w:pStyle w:val="TableParagraph"/>
              <w:spacing w:line="211" w:lineRule="exact"/>
              <w:ind w:left="158"/>
              <w:rPr>
                <w:sz w:val="20"/>
              </w:rPr>
            </w:pPr>
            <w:r>
              <w:rPr>
                <w:sz w:val="20"/>
              </w:rPr>
              <w:t>Kharai</w:t>
            </w:r>
            <w:r>
              <w:rPr>
                <w:spacing w:val="-6"/>
                <w:sz w:val="20"/>
              </w:rPr>
              <w:t> </w:t>
            </w:r>
            <w:r>
              <w:rPr>
                <w:spacing w:val="-2"/>
                <w:sz w:val="20"/>
              </w:rPr>
              <w:t>(khr)</w:t>
            </w:r>
          </w:p>
        </w:tc>
      </w:tr>
      <w:tr>
        <w:trPr>
          <w:trHeight w:val="225" w:hRule="atLeast"/>
        </w:trPr>
        <w:tc>
          <w:tcPr>
            <w:tcW w:w="612" w:type="dxa"/>
          </w:tcPr>
          <w:p>
            <w:pPr>
              <w:pStyle w:val="TableParagraph"/>
              <w:spacing w:line="205" w:lineRule="exact"/>
              <w:ind w:left="50"/>
              <w:rPr>
                <w:sz w:val="20"/>
              </w:rPr>
            </w:pPr>
            <w:r>
              <w:rPr>
                <w:spacing w:val="-4"/>
                <w:sz w:val="20"/>
              </w:rPr>
              <w:t>1850</w:t>
            </w:r>
          </w:p>
        </w:tc>
        <w:tc>
          <w:tcPr>
            <w:tcW w:w="1265" w:type="dxa"/>
          </w:tcPr>
          <w:p>
            <w:pPr>
              <w:pStyle w:val="TableParagraph"/>
              <w:spacing w:line="205" w:lineRule="exact"/>
              <w:ind w:left="158"/>
              <w:rPr>
                <w:sz w:val="20"/>
              </w:rPr>
            </w:pPr>
            <w:r>
              <w:rPr>
                <w:sz w:val="20"/>
              </w:rPr>
              <w:t>Sora</w:t>
            </w:r>
            <w:r>
              <w:rPr>
                <w:spacing w:val="-4"/>
                <w:sz w:val="20"/>
              </w:rPr>
              <w:t> </w:t>
            </w:r>
            <w:r>
              <w:rPr>
                <w:spacing w:val="-2"/>
                <w:sz w:val="20"/>
              </w:rPr>
              <w:t>(srb)</w:t>
            </w:r>
          </w:p>
        </w:tc>
      </w:tr>
    </w:tbl>
    <w:p>
      <w:pPr>
        <w:pStyle w:val="BodyText"/>
        <w:spacing w:before="1"/>
        <w:rPr>
          <w:rFonts w:ascii="Times New Roman"/>
          <w:i/>
          <w:sz w:val="21"/>
        </w:rPr>
      </w:pPr>
    </w:p>
    <w:p>
      <w:pPr>
        <w:spacing w:before="0"/>
        <w:ind w:left="552" w:right="0" w:firstLine="0"/>
        <w:jc w:val="left"/>
        <w:rPr>
          <w:rFonts w:ascii="Times New Roman"/>
          <w:i/>
          <w:sz w:val="20"/>
        </w:rPr>
      </w:pPr>
      <w:r>
        <w:rPr>
          <w:rFonts w:ascii="Times New Roman"/>
          <w:i/>
          <w:sz w:val="20"/>
        </w:rPr>
        <w:t>Mon-Khmer</w:t>
      </w:r>
      <w:r>
        <w:rPr>
          <w:rFonts w:ascii="Times New Roman"/>
          <w:i/>
          <w:spacing w:val="-11"/>
          <w:sz w:val="20"/>
        </w:rPr>
        <w:t> </w:t>
      </w:r>
      <w:r>
        <w:rPr>
          <w:rFonts w:ascii="Times New Roman"/>
          <w:i/>
          <w:sz w:val="20"/>
        </w:rPr>
        <w:t>languages</w:t>
      </w:r>
      <w:r>
        <w:rPr>
          <w:rFonts w:ascii="Times New Roman"/>
          <w:i/>
          <w:spacing w:val="-10"/>
          <w:sz w:val="20"/>
        </w:rPr>
        <w:t> </w:t>
      </w:r>
      <w:r>
        <w:rPr>
          <w:rFonts w:ascii="Times New Roman"/>
          <w:i/>
          <w:sz w:val="20"/>
        </w:rPr>
        <w:t>(1855-</w:t>
      </w:r>
      <w:r>
        <w:rPr>
          <w:rFonts w:ascii="Times New Roman"/>
          <w:i/>
          <w:spacing w:val="-2"/>
          <w:sz w:val="20"/>
        </w:rPr>
        <w:t>1949)</w:t>
      </w:r>
    </w:p>
    <w:p>
      <w:pPr>
        <w:spacing w:after="0"/>
        <w:jc w:val="left"/>
        <w:rPr>
          <w:rFonts w:ascii="Times New Roman"/>
          <w:sz w:val="20"/>
        </w:rPr>
        <w:sectPr>
          <w:footerReference w:type="default" r:id="rId83"/>
          <w:pgSz w:w="12240" w:h="15840"/>
          <w:pgMar w:footer="0" w:header="0" w:top="1080" w:bottom="280" w:left="600" w:right="500"/>
          <w:cols w:num="2" w:equalWidth="0">
            <w:col w:w="4701" w:space="628"/>
            <w:col w:w="5811"/>
          </w:cols>
        </w:sectPr>
      </w:pPr>
    </w:p>
    <w:tbl>
      <w:tblPr>
        <w:tblW w:w="0" w:type="auto"/>
        <w:jc w:val="left"/>
        <w:tblInd w:w="5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039"/>
      </w:tblGrid>
      <w:tr>
        <w:trPr>
          <w:trHeight w:val="224" w:hRule="atLeast"/>
        </w:trPr>
        <w:tc>
          <w:tcPr>
            <w:tcW w:w="612" w:type="dxa"/>
          </w:tcPr>
          <w:p>
            <w:pPr>
              <w:pStyle w:val="TableParagraph"/>
              <w:spacing w:line="204" w:lineRule="exact"/>
              <w:ind w:left="50"/>
              <w:rPr>
                <w:sz w:val="20"/>
              </w:rPr>
            </w:pPr>
            <w:r>
              <w:rPr>
                <w:spacing w:val="-4"/>
                <w:sz w:val="20"/>
              </w:rPr>
              <w:t>1855</w:t>
            </w:r>
          </w:p>
        </w:tc>
        <w:tc>
          <w:tcPr>
            <w:tcW w:w="2039" w:type="dxa"/>
          </w:tcPr>
          <w:p>
            <w:pPr>
              <w:pStyle w:val="TableParagraph"/>
              <w:spacing w:line="204" w:lineRule="exact"/>
              <w:ind w:left="158"/>
              <w:rPr>
                <w:sz w:val="20"/>
              </w:rPr>
            </w:pPr>
            <w:r>
              <w:rPr>
                <w:sz w:val="20"/>
              </w:rPr>
              <w:t>Khasi</w:t>
            </w:r>
            <w:r>
              <w:rPr>
                <w:spacing w:val="-7"/>
                <w:sz w:val="20"/>
              </w:rPr>
              <w:t> </w:t>
            </w:r>
            <w:r>
              <w:rPr>
                <w:spacing w:val="-2"/>
                <w:sz w:val="20"/>
              </w:rPr>
              <w:t>(kha)</w:t>
            </w:r>
          </w:p>
        </w:tc>
      </w:tr>
      <w:tr>
        <w:trPr>
          <w:trHeight w:val="229" w:hRule="atLeast"/>
        </w:trPr>
        <w:tc>
          <w:tcPr>
            <w:tcW w:w="612" w:type="dxa"/>
          </w:tcPr>
          <w:p>
            <w:pPr>
              <w:pStyle w:val="TableParagraph"/>
              <w:spacing w:line="209" w:lineRule="exact"/>
              <w:ind w:left="50"/>
              <w:rPr>
                <w:sz w:val="20"/>
              </w:rPr>
            </w:pPr>
            <w:r>
              <w:rPr>
                <w:spacing w:val="-4"/>
                <w:sz w:val="20"/>
              </w:rPr>
              <w:t>1860</w:t>
            </w:r>
          </w:p>
        </w:tc>
        <w:tc>
          <w:tcPr>
            <w:tcW w:w="2039" w:type="dxa"/>
          </w:tcPr>
          <w:p>
            <w:pPr>
              <w:pStyle w:val="TableParagraph"/>
              <w:spacing w:line="209" w:lineRule="exact"/>
              <w:ind w:left="158"/>
              <w:rPr>
                <w:sz w:val="20"/>
              </w:rPr>
            </w:pPr>
            <w:r>
              <w:rPr>
                <w:sz w:val="20"/>
              </w:rPr>
              <w:t>Jah</w:t>
            </w:r>
            <w:r>
              <w:rPr>
                <w:spacing w:val="-4"/>
                <w:sz w:val="20"/>
              </w:rPr>
              <w:t> </w:t>
            </w:r>
            <w:r>
              <w:rPr>
                <w:sz w:val="20"/>
              </w:rPr>
              <w:t>Hut</w:t>
            </w:r>
            <w:r>
              <w:rPr>
                <w:spacing w:val="-3"/>
                <w:sz w:val="20"/>
              </w:rPr>
              <w:t> </w:t>
            </w:r>
            <w:r>
              <w:rPr>
                <w:spacing w:val="-2"/>
                <w:sz w:val="20"/>
              </w:rPr>
              <w:t>(jah)</w:t>
            </w:r>
          </w:p>
        </w:tc>
      </w:tr>
      <w:tr>
        <w:trPr>
          <w:trHeight w:val="230" w:hRule="atLeast"/>
        </w:trPr>
        <w:tc>
          <w:tcPr>
            <w:tcW w:w="612" w:type="dxa"/>
          </w:tcPr>
          <w:p>
            <w:pPr>
              <w:pStyle w:val="TableParagraph"/>
              <w:ind w:left="50"/>
              <w:rPr>
                <w:sz w:val="20"/>
              </w:rPr>
            </w:pPr>
            <w:r>
              <w:rPr>
                <w:spacing w:val="-4"/>
                <w:sz w:val="20"/>
              </w:rPr>
              <w:t>1870</w:t>
            </w:r>
          </w:p>
        </w:tc>
        <w:tc>
          <w:tcPr>
            <w:tcW w:w="2039" w:type="dxa"/>
          </w:tcPr>
          <w:p>
            <w:pPr>
              <w:pStyle w:val="TableParagraph"/>
              <w:ind w:left="158"/>
              <w:rPr>
                <w:sz w:val="20"/>
              </w:rPr>
            </w:pPr>
            <w:r>
              <w:rPr>
                <w:sz w:val="20"/>
              </w:rPr>
              <w:t>Central</w:t>
            </w:r>
            <w:r>
              <w:rPr>
                <w:spacing w:val="-6"/>
                <w:sz w:val="20"/>
              </w:rPr>
              <w:t> </w:t>
            </w:r>
            <w:r>
              <w:rPr>
                <w:sz w:val="20"/>
              </w:rPr>
              <w:t>Mnong</w:t>
            </w:r>
            <w:r>
              <w:rPr>
                <w:spacing w:val="-7"/>
                <w:sz w:val="20"/>
              </w:rPr>
              <w:t> </w:t>
            </w:r>
            <w:r>
              <w:rPr>
                <w:spacing w:val="-4"/>
                <w:sz w:val="20"/>
              </w:rPr>
              <w:t>(cmo)</w:t>
            </w:r>
          </w:p>
        </w:tc>
      </w:tr>
      <w:tr>
        <w:trPr>
          <w:trHeight w:val="230" w:hRule="atLeast"/>
        </w:trPr>
        <w:tc>
          <w:tcPr>
            <w:tcW w:w="612" w:type="dxa"/>
          </w:tcPr>
          <w:p>
            <w:pPr>
              <w:pStyle w:val="TableParagraph"/>
              <w:ind w:left="50"/>
              <w:rPr>
                <w:sz w:val="20"/>
              </w:rPr>
            </w:pPr>
            <w:r>
              <w:rPr>
                <w:spacing w:val="-4"/>
                <w:sz w:val="20"/>
              </w:rPr>
              <w:t>1873</w:t>
            </w:r>
          </w:p>
        </w:tc>
        <w:tc>
          <w:tcPr>
            <w:tcW w:w="2039" w:type="dxa"/>
          </w:tcPr>
          <w:p>
            <w:pPr>
              <w:pStyle w:val="TableParagraph"/>
              <w:ind w:left="158"/>
              <w:rPr>
                <w:sz w:val="20"/>
              </w:rPr>
            </w:pPr>
            <w:r>
              <w:rPr>
                <w:sz w:val="20"/>
              </w:rPr>
              <w:t>Bahnar</w:t>
            </w:r>
            <w:r>
              <w:rPr>
                <w:spacing w:val="-7"/>
                <w:sz w:val="20"/>
              </w:rPr>
              <w:t> </w:t>
            </w:r>
            <w:r>
              <w:rPr>
                <w:spacing w:val="-2"/>
                <w:sz w:val="20"/>
              </w:rPr>
              <w:t>(bdq)</w:t>
            </w:r>
          </w:p>
        </w:tc>
      </w:tr>
      <w:tr>
        <w:trPr>
          <w:trHeight w:val="230" w:hRule="atLeast"/>
        </w:trPr>
        <w:tc>
          <w:tcPr>
            <w:tcW w:w="612" w:type="dxa"/>
          </w:tcPr>
          <w:p>
            <w:pPr>
              <w:pStyle w:val="TableParagraph"/>
              <w:ind w:left="50"/>
              <w:rPr>
                <w:sz w:val="20"/>
              </w:rPr>
            </w:pPr>
            <w:r>
              <w:rPr>
                <w:spacing w:val="-4"/>
                <w:sz w:val="20"/>
              </w:rPr>
              <w:t>1876</w:t>
            </w:r>
          </w:p>
        </w:tc>
        <w:tc>
          <w:tcPr>
            <w:tcW w:w="2039" w:type="dxa"/>
          </w:tcPr>
          <w:p>
            <w:pPr>
              <w:pStyle w:val="TableParagraph"/>
              <w:ind w:left="158"/>
              <w:rPr>
                <w:sz w:val="20"/>
              </w:rPr>
            </w:pPr>
            <w:r>
              <w:rPr>
                <w:sz w:val="20"/>
              </w:rPr>
              <w:t>Koho</w:t>
            </w:r>
            <w:r>
              <w:rPr>
                <w:spacing w:val="-5"/>
                <w:sz w:val="20"/>
              </w:rPr>
              <w:t> </w:t>
            </w:r>
            <w:r>
              <w:rPr>
                <w:spacing w:val="-2"/>
                <w:sz w:val="20"/>
              </w:rPr>
              <w:t>(kpm)</w:t>
            </w:r>
          </w:p>
        </w:tc>
      </w:tr>
      <w:tr>
        <w:trPr>
          <w:trHeight w:val="229" w:hRule="atLeast"/>
        </w:trPr>
        <w:tc>
          <w:tcPr>
            <w:tcW w:w="612" w:type="dxa"/>
          </w:tcPr>
          <w:p>
            <w:pPr>
              <w:pStyle w:val="TableParagraph"/>
              <w:spacing w:line="209" w:lineRule="exact"/>
              <w:ind w:left="50"/>
              <w:rPr>
                <w:sz w:val="20"/>
              </w:rPr>
            </w:pPr>
            <w:r>
              <w:rPr>
                <w:spacing w:val="-4"/>
                <w:sz w:val="20"/>
              </w:rPr>
              <w:t>1880</w:t>
            </w:r>
          </w:p>
        </w:tc>
        <w:tc>
          <w:tcPr>
            <w:tcW w:w="2039" w:type="dxa"/>
          </w:tcPr>
          <w:p>
            <w:pPr>
              <w:pStyle w:val="TableParagraph"/>
              <w:spacing w:line="209" w:lineRule="exact"/>
              <w:ind w:left="158"/>
              <w:rPr>
                <w:sz w:val="20"/>
              </w:rPr>
            </w:pPr>
            <w:r>
              <w:rPr>
                <w:sz w:val="20"/>
              </w:rPr>
              <w:t>Laven</w:t>
            </w:r>
            <w:r>
              <w:rPr>
                <w:spacing w:val="-8"/>
                <w:sz w:val="20"/>
              </w:rPr>
              <w:t> </w:t>
            </w:r>
            <w:r>
              <w:rPr>
                <w:spacing w:val="-2"/>
                <w:sz w:val="20"/>
              </w:rPr>
              <w:t>(lbo)</w:t>
            </w:r>
          </w:p>
        </w:tc>
      </w:tr>
      <w:tr>
        <w:trPr>
          <w:trHeight w:val="229" w:hRule="atLeast"/>
        </w:trPr>
        <w:tc>
          <w:tcPr>
            <w:tcW w:w="612" w:type="dxa"/>
          </w:tcPr>
          <w:p>
            <w:pPr>
              <w:pStyle w:val="TableParagraph"/>
              <w:spacing w:line="209" w:lineRule="exact"/>
              <w:ind w:left="50"/>
              <w:rPr>
                <w:sz w:val="20"/>
              </w:rPr>
            </w:pPr>
            <w:r>
              <w:rPr>
                <w:spacing w:val="-4"/>
                <w:sz w:val="20"/>
              </w:rPr>
              <w:t>1890</w:t>
            </w:r>
          </w:p>
        </w:tc>
        <w:tc>
          <w:tcPr>
            <w:tcW w:w="2039" w:type="dxa"/>
          </w:tcPr>
          <w:p>
            <w:pPr>
              <w:pStyle w:val="TableParagraph"/>
              <w:spacing w:line="209" w:lineRule="exact"/>
              <w:ind w:left="158"/>
              <w:rPr>
                <w:sz w:val="20"/>
              </w:rPr>
            </w:pPr>
            <w:r>
              <w:rPr>
                <w:sz w:val="20"/>
              </w:rPr>
              <w:t>Upper</w:t>
            </w:r>
            <w:r>
              <w:rPr>
                <w:spacing w:val="-5"/>
                <w:sz w:val="20"/>
              </w:rPr>
              <w:t> </w:t>
            </w:r>
            <w:r>
              <w:rPr>
                <w:sz w:val="20"/>
              </w:rPr>
              <w:t>Ta’oih</w:t>
            </w:r>
            <w:r>
              <w:rPr>
                <w:spacing w:val="-5"/>
                <w:sz w:val="20"/>
              </w:rPr>
              <w:t> </w:t>
            </w:r>
            <w:r>
              <w:rPr>
                <w:spacing w:val="-4"/>
                <w:sz w:val="20"/>
              </w:rPr>
              <w:t>(tth)</w:t>
            </w:r>
          </w:p>
        </w:tc>
      </w:tr>
      <w:tr>
        <w:trPr>
          <w:trHeight w:val="230" w:hRule="atLeast"/>
        </w:trPr>
        <w:tc>
          <w:tcPr>
            <w:tcW w:w="612" w:type="dxa"/>
          </w:tcPr>
          <w:p>
            <w:pPr>
              <w:pStyle w:val="TableParagraph"/>
              <w:ind w:left="50"/>
              <w:rPr>
                <w:sz w:val="20"/>
              </w:rPr>
            </w:pPr>
            <w:r>
              <w:rPr>
                <w:spacing w:val="-4"/>
                <w:sz w:val="20"/>
              </w:rPr>
              <w:t>1895</w:t>
            </w:r>
          </w:p>
        </w:tc>
        <w:tc>
          <w:tcPr>
            <w:tcW w:w="2039" w:type="dxa"/>
          </w:tcPr>
          <w:p>
            <w:pPr>
              <w:pStyle w:val="TableParagraph"/>
              <w:ind w:left="158"/>
              <w:rPr>
                <w:sz w:val="20"/>
              </w:rPr>
            </w:pPr>
            <w:r>
              <w:rPr>
                <w:sz w:val="20"/>
              </w:rPr>
              <w:t>Western</w:t>
            </w:r>
            <w:r>
              <w:rPr>
                <w:spacing w:val="-5"/>
                <w:sz w:val="20"/>
              </w:rPr>
              <w:t> </w:t>
            </w:r>
            <w:r>
              <w:rPr>
                <w:sz w:val="20"/>
              </w:rPr>
              <w:t>Bru</w:t>
            </w:r>
            <w:r>
              <w:rPr>
                <w:spacing w:val="-5"/>
                <w:sz w:val="20"/>
              </w:rPr>
              <w:t> </w:t>
            </w:r>
            <w:r>
              <w:rPr>
                <w:spacing w:val="-2"/>
                <w:sz w:val="20"/>
              </w:rPr>
              <w:t>(brv)</w:t>
            </w:r>
          </w:p>
        </w:tc>
      </w:tr>
      <w:tr>
        <w:trPr>
          <w:trHeight w:val="230" w:hRule="atLeast"/>
        </w:trPr>
        <w:tc>
          <w:tcPr>
            <w:tcW w:w="612" w:type="dxa"/>
          </w:tcPr>
          <w:p>
            <w:pPr>
              <w:pStyle w:val="TableParagraph"/>
              <w:ind w:left="50"/>
              <w:rPr>
                <w:sz w:val="20"/>
              </w:rPr>
            </w:pPr>
            <w:r>
              <w:rPr>
                <w:spacing w:val="-4"/>
                <w:sz w:val="20"/>
              </w:rPr>
              <w:t>1900</w:t>
            </w:r>
          </w:p>
        </w:tc>
        <w:tc>
          <w:tcPr>
            <w:tcW w:w="2039" w:type="dxa"/>
          </w:tcPr>
          <w:p>
            <w:pPr>
              <w:pStyle w:val="TableParagraph"/>
              <w:ind w:left="158"/>
              <w:rPr>
                <w:sz w:val="20"/>
              </w:rPr>
            </w:pPr>
            <w:r>
              <w:rPr>
                <w:sz w:val="20"/>
              </w:rPr>
              <w:t>Central</w:t>
            </w:r>
            <w:r>
              <w:rPr>
                <w:spacing w:val="-7"/>
                <w:sz w:val="20"/>
              </w:rPr>
              <w:t> </w:t>
            </w:r>
            <w:r>
              <w:rPr>
                <w:sz w:val="20"/>
              </w:rPr>
              <w:t>Khmer</w:t>
            </w:r>
            <w:r>
              <w:rPr>
                <w:spacing w:val="-5"/>
                <w:sz w:val="20"/>
              </w:rPr>
              <w:t> </w:t>
            </w:r>
            <w:r>
              <w:rPr>
                <w:spacing w:val="-4"/>
                <w:sz w:val="20"/>
              </w:rPr>
              <w:t>(khm)</w:t>
            </w:r>
          </w:p>
        </w:tc>
      </w:tr>
      <w:tr>
        <w:trPr>
          <w:trHeight w:val="230" w:hRule="atLeast"/>
        </w:trPr>
        <w:tc>
          <w:tcPr>
            <w:tcW w:w="612" w:type="dxa"/>
          </w:tcPr>
          <w:p>
            <w:pPr>
              <w:pStyle w:val="TableParagraph"/>
              <w:ind w:left="50"/>
              <w:rPr>
                <w:sz w:val="20"/>
              </w:rPr>
            </w:pPr>
            <w:r>
              <w:rPr>
                <w:spacing w:val="-4"/>
                <w:sz w:val="20"/>
              </w:rPr>
              <w:t>1905</w:t>
            </w:r>
          </w:p>
        </w:tc>
        <w:tc>
          <w:tcPr>
            <w:tcW w:w="2039" w:type="dxa"/>
          </w:tcPr>
          <w:p>
            <w:pPr>
              <w:pStyle w:val="TableParagraph"/>
              <w:ind w:left="158"/>
              <w:rPr>
                <w:sz w:val="20"/>
              </w:rPr>
            </w:pPr>
            <w:r>
              <w:rPr>
                <w:sz w:val="20"/>
              </w:rPr>
              <w:t>Mon</w:t>
            </w:r>
            <w:r>
              <w:rPr>
                <w:spacing w:val="-4"/>
                <w:sz w:val="20"/>
              </w:rPr>
              <w:t> </w:t>
            </w:r>
            <w:r>
              <w:rPr>
                <w:spacing w:val="-2"/>
                <w:sz w:val="20"/>
              </w:rPr>
              <w:t>(mnw)</w:t>
            </w:r>
          </w:p>
        </w:tc>
      </w:tr>
      <w:tr>
        <w:trPr>
          <w:trHeight w:val="230" w:hRule="atLeast"/>
        </w:trPr>
        <w:tc>
          <w:tcPr>
            <w:tcW w:w="612" w:type="dxa"/>
          </w:tcPr>
          <w:p>
            <w:pPr>
              <w:pStyle w:val="TableParagraph"/>
              <w:spacing w:line="211" w:lineRule="exact"/>
              <w:ind w:left="50"/>
              <w:rPr>
                <w:sz w:val="20"/>
              </w:rPr>
            </w:pPr>
            <w:r>
              <w:rPr>
                <w:spacing w:val="-4"/>
                <w:sz w:val="20"/>
              </w:rPr>
              <w:t>1920</w:t>
            </w:r>
          </w:p>
        </w:tc>
        <w:tc>
          <w:tcPr>
            <w:tcW w:w="2039" w:type="dxa"/>
          </w:tcPr>
          <w:p>
            <w:pPr>
              <w:pStyle w:val="TableParagraph"/>
              <w:spacing w:line="211" w:lineRule="exact"/>
              <w:ind w:left="158"/>
              <w:rPr>
                <w:sz w:val="20"/>
              </w:rPr>
            </w:pPr>
            <w:r>
              <w:rPr>
                <w:sz w:val="20"/>
              </w:rPr>
              <w:t>Khuen</w:t>
            </w:r>
            <w:r>
              <w:rPr>
                <w:spacing w:val="-8"/>
                <w:sz w:val="20"/>
              </w:rPr>
              <w:t> </w:t>
            </w:r>
            <w:r>
              <w:rPr>
                <w:spacing w:val="-2"/>
                <w:sz w:val="20"/>
              </w:rPr>
              <w:t>(khf)</w:t>
            </w:r>
          </w:p>
        </w:tc>
      </w:tr>
      <w:tr>
        <w:trPr>
          <w:trHeight w:val="229" w:hRule="atLeast"/>
        </w:trPr>
        <w:tc>
          <w:tcPr>
            <w:tcW w:w="612" w:type="dxa"/>
          </w:tcPr>
          <w:p>
            <w:pPr>
              <w:pStyle w:val="TableParagraph"/>
              <w:spacing w:line="209" w:lineRule="exact"/>
              <w:ind w:left="50"/>
              <w:rPr>
                <w:sz w:val="20"/>
              </w:rPr>
            </w:pPr>
            <w:r>
              <w:rPr>
                <w:spacing w:val="-4"/>
                <w:sz w:val="20"/>
              </w:rPr>
              <w:t>1922</w:t>
            </w:r>
          </w:p>
        </w:tc>
        <w:tc>
          <w:tcPr>
            <w:tcW w:w="2039" w:type="dxa"/>
          </w:tcPr>
          <w:p>
            <w:pPr>
              <w:pStyle w:val="TableParagraph"/>
              <w:spacing w:line="209" w:lineRule="exact"/>
              <w:ind w:left="158"/>
              <w:rPr>
                <w:sz w:val="20"/>
              </w:rPr>
            </w:pPr>
            <w:r>
              <w:rPr>
                <w:sz w:val="20"/>
              </w:rPr>
              <w:t>Khmu</w:t>
            </w:r>
            <w:r>
              <w:rPr>
                <w:spacing w:val="-9"/>
                <w:sz w:val="20"/>
              </w:rPr>
              <w:t> </w:t>
            </w:r>
            <w:r>
              <w:rPr>
                <w:spacing w:val="-2"/>
                <w:sz w:val="20"/>
              </w:rPr>
              <w:t>(kjg)</w:t>
            </w:r>
          </w:p>
        </w:tc>
      </w:tr>
      <w:tr>
        <w:trPr>
          <w:trHeight w:val="229" w:hRule="atLeast"/>
        </w:trPr>
        <w:tc>
          <w:tcPr>
            <w:tcW w:w="612" w:type="dxa"/>
          </w:tcPr>
          <w:p>
            <w:pPr>
              <w:pStyle w:val="TableParagraph"/>
              <w:spacing w:line="209" w:lineRule="exact"/>
              <w:ind w:left="50"/>
              <w:rPr>
                <w:sz w:val="20"/>
              </w:rPr>
            </w:pPr>
            <w:r>
              <w:rPr>
                <w:spacing w:val="-4"/>
                <w:sz w:val="20"/>
              </w:rPr>
              <w:t>1925</w:t>
            </w:r>
          </w:p>
        </w:tc>
        <w:tc>
          <w:tcPr>
            <w:tcW w:w="2039" w:type="dxa"/>
          </w:tcPr>
          <w:p>
            <w:pPr>
              <w:pStyle w:val="TableParagraph"/>
              <w:spacing w:line="209" w:lineRule="exact"/>
              <w:ind w:left="158"/>
              <w:rPr>
                <w:sz w:val="20"/>
              </w:rPr>
            </w:pPr>
            <w:r>
              <w:rPr>
                <w:sz w:val="20"/>
              </w:rPr>
              <w:t>Lua’</w:t>
            </w:r>
            <w:r>
              <w:rPr>
                <w:spacing w:val="-7"/>
                <w:sz w:val="20"/>
              </w:rPr>
              <w:t> </w:t>
            </w:r>
            <w:r>
              <w:rPr>
                <w:spacing w:val="-2"/>
                <w:sz w:val="20"/>
              </w:rPr>
              <w:t>(prb)</w:t>
            </w:r>
          </w:p>
        </w:tc>
      </w:tr>
      <w:tr>
        <w:trPr>
          <w:trHeight w:val="230" w:hRule="atLeast"/>
        </w:trPr>
        <w:tc>
          <w:tcPr>
            <w:tcW w:w="612" w:type="dxa"/>
          </w:tcPr>
          <w:p>
            <w:pPr>
              <w:pStyle w:val="TableParagraph"/>
              <w:ind w:left="50"/>
              <w:rPr>
                <w:sz w:val="20"/>
              </w:rPr>
            </w:pPr>
            <w:r>
              <w:rPr>
                <w:spacing w:val="-4"/>
                <w:sz w:val="20"/>
              </w:rPr>
              <w:t>1927</w:t>
            </w:r>
          </w:p>
        </w:tc>
        <w:tc>
          <w:tcPr>
            <w:tcW w:w="2039" w:type="dxa"/>
          </w:tcPr>
          <w:p>
            <w:pPr>
              <w:pStyle w:val="TableParagraph"/>
              <w:ind w:left="158"/>
              <w:rPr>
                <w:sz w:val="20"/>
              </w:rPr>
            </w:pPr>
            <w:r>
              <w:rPr>
                <w:sz w:val="20"/>
              </w:rPr>
              <w:t>Mal</w:t>
            </w:r>
            <w:r>
              <w:rPr>
                <w:spacing w:val="-5"/>
                <w:sz w:val="20"/>
              </w:rPr>
              <w:t> </w:t>
            </w:r>
            <w:r>
              <w:rPr>
                <w:spacing w:val="-2"/>
                <w:sz w:val="20"/>
              </w:rPr>
              <w:t>(mlf)</w:t>
            </w:r>
          </w:p>
        </w:tc>
      </w:tr>
      <w:tr>
        <w:trPr>
          <w:trHeight w:val="230" w:hRule="atLeast"/>
        </w:trPr>
        <w:tc>
          <w:tcPr>
            <w:tcW w:w="612" w:type="dxa"/>
          </w:tcPr>
          <w:p>
            <w:pPr>
              <w:pStyle w:val="TableParagraph"/>
              <w:ind w:left="50"/>
              <w:rPr>
                <w:sz w:val="20"/>
              </w:rPr>
            </w:pPr>
            <w:r>
              <w:rPr>
                <w:spacing w:val="-4"/>
                <w:sz w:val="20"/>
              </w:rPr>
              <w:t>1929</w:t>
            </w:r>
          </w:p>
        </w:tc>
        <w:tc>
          <w:tcPr>
            <w:tcW w:w="2039" w:type="dxa"/>
          </w:tcPr>
          <w:p>
            <w:pPr>
              <w:pStyle w:val="TableParagraph"/>
              <w:ind w:left="158"/>
              <w:rPr>
                <w:sz w:val="20"/>
              </w:rPr>
            </w:pPr>
            <w:r>
              <w:rPr>
                <w:sz w:val="20"/>
              </w:rPr>
              <w:t>Phai</w:t>
            </w:r>
            <w:r>
              <w:rPr>
                <w:spacing w:val="-5"/>
                <w:sz w:val="20"/>
              </w:rPr>
              <w:t> </w:t>
            </w:r>
            <w:r>
              <w:rPr>
                <w:spacing w:val="-2"/>
                <w:sz w:val="20"/>
              </w:rPr>
              <w:t>(prt)</w:t>
            </w:r>
          </w:p>
        </w:tc>
      </w:tr>
      <w:tr>
        <w:trPr>
          <w:trHeight w:val="230" w:hRule="atLeast"/>
        </w:trPr>
        <w:tc>
          <w:tcPr>
            <w:tcW w:w="612" w:type="dxa"/>
          </w:tcPr>
          <w:p>
            <w:pPr>
              <w:pStyle w:val="TableParagraph"/>
              <w:ind w:left="50"/>
              <w:rPr>
                <w:sz w:val="20"/>
              </w:rPr>
            </w:pPr>
            <w:r>
              <w:rPr>
                <w:spacing w:val="-4"/>
                <w:sz w:val="20"/>
              </w:rPr>
              <w:t>1931</w:t>
            </w:r>
          </w:p>
        </w:tc>
        <w:tc>
          <w:tcPr>
            <w:tcW w:w="2039" w:type="dxa"/>
          </w:tcPr>
          <w:p>
            <w:pPr>
              <w:pStyle w:val="TableParagraph"/>
              <w:ind w:left="158"/>
              <w:rPr>
                <w:sz w:val="20"/>
              </w:rPr>
            </w:pPr>
            <w:r>
              <w:rPr>
                <w:spacing w:val="-2"/>
                <w:sz w:val="20"/>
              </w:rPr>
              <w:t>Phong-Kniang</w:t>
            </w:r>
            <w:r>
              <w:rPr>
                <w:spacing w:val="10"/>
                <w:sz w:val="20"/>
              </w:rPr>
              <w:t> </w:t>
            </w:r>
            <w:r>
              <w:rPr>
                <w:spacing w:val="-2"/>
                <w:sz w:val="20"/>
              </w:rPr>
              <w:t>(pnx)</w:t>
            </w:r>
          </w:p>
        </w:tc>
      </w:tr>
      <w:tr>
        <w:trPr>
          <w:trHeight w:val="230" w:hRule="atLeast"/>
        </w:trPr>
        <w:tc>
          <w:tcPr>
            <w:tcW w:w="612" w:type="dxa"/>
          </w:tcPr>
          <w:p>
            <w:pPr>
              <w:pStyle w:val="TableParagraph"/>
              <w:ind w:left="50"/>
              <w:rPr>
                <w:sz w:val="20"/>
              </w:rPr>
            </w:pPr>
            <w:r>
              <w:rPr>
                <w:spacing w:val="-4"/>
                <w:sz w:val="20"/>
              </w:rPr>
              <w:t>1935</w:t>
            </w:r>
          </w:p>
        </w:tc>
        <w:tc>
          <w:tcPr>
            <w:tcW w:w="2039" w:type="dxa"/>
          </w:tcPr>
          <w:p>
            <w:pPr>
              <w:pStyle w:val="TableParagraph"/>
              <w:ind w:left="158"/>
              <w:rPr>
                <w:sz w:val="20"/>
              </w:rPr>
            </w:pPr>
            <w:r>
              <w:rPr>
                <w:sz w:val="20"/>
              </w:rPr>
              <w:t>Eastern</w:t>
            </w:r>
            <w:r>
              <w:rPr>
                <w:spacing w:val="-6"/>
                <w:sz w:val="20"/>
              </w:rPr>
              <w:t> </w:t>
            </w:r>
            <w:r>
              <w:rPr>
                <w:sz w:val="20"/>
              </w:rPr>
              <w:t>Lawa</w:t>
            </w:r>
            <w:r>
              <w:rPr>
                <w:spacing w:val="-7"/>
                <w:sz w:val="20"/>
              </w:rPr>
              <w:t> </w:t>
            </w:r>
            <w:r>
              <w:rPr>
                <w:spacing w:val="-2"/>
                <w:sz w:val="20"/>
              </w:rPr>
              <w:t>(lwl)</w:t>
            </w:r>
          </w:p>
        </w:tc>
      </w:tr>
      <w:tr>
        <w:trPr>
          <w:trHeight w:val="344" w:hRule="atLeast"/>
        </w:trPr>
        <w:tc>
          <w:tcPr>
            <w:tcW w:w="612" w:type="dxa"/>
          </w:tcPr>
          <w:p>
            <w:pPr>
              <w:pStyle w:val="TableParagraph"/>
              <w:spacing w:line="226" w:lineRule="exact"/>
              <w:ind w:left="50"/>
              <w:rPr>
                <w:sz w:val="20"/>
              </w:rPr>
            </w:pPr>
            <w:r>
              <w:rPr>
                <w:spacing w:val="-4"/>
                <w:sz w:val="20"/>
              </w:rPr>
              <w:t>1940</w:t>
            </w:r>
          </w:p>
        </w:tc>
        <w:tc>
          <w:tcPr>
            <w:tcW w:w="2039" w:type="dxa"/>
          </w:tcPr>
          <w:p>
            <w:pPr>
              <w:pStyle w:val="TableParagraph"/>
              <w:spacing w:line="226" w:lineRule="exact"/>
              <w:ind w:left="158"/>
              <w:rPr>
                <w:sz w:val="20"/>
              </w:rPr>
            </w:pPr>
            <w:r>
              <w:rPr>
                <w:sz w:val="20"/>
              </w:rPr>
              <w:t>Ruching</w:t>
            </w:r>
            <w:r>
              <w:rPr>
                <w:spacing w:val="-8"/>
                <w:sz w:val="20"/>
              </w:rPr>
              <w:t> </w:t>
            </w:r>
            <w:r>
              <w:rPr>
                <w:sz w:val="20"/>
              </w:rPr>
              <w:t>Palaung</w:t>
            </w:r>
            <w:r>
              <w:rPr>
                <w:spacing w:val="-8"/>
                <w:sz w:val="20"/>
              </w:rPr>
              <w:t> </w:t>
            </w:r>
            <w:r>
              <w:rPr>
                <w:spacing w:val="-4"/>
                <w:sz w:val="20"/>
              </w:rPr>
              <w:t>(pce)</w:t>
            </w:r>
          </w:p>
        </w:tc>
      </w:tr>
      <w:tr>
        <w:trPr>
          <w:trHeight w:val="344" w:hRule="atLeast"/>
        </w:trPr>
        <w:tc>
          <w:tcPr>
            <w:tcW w:w="612" w:type="dxa"/>
          </w:tcPr>
          <w:p>
            <w:pPr>
              <w:pStyle w:val="TableParagraph"/>
              <w:spacing w:line="215" w:lineRule="exact" w:before="109"/>
              <w:ind w:left="50"/>
              <w:rPr>
                <w:sz w:val="20"/>
              </w:rPr>
            </w:pPr>
            <w:r>
              <w:rPr>
                <w:spacing w:val="-4"/>
                <w:sz w:val="20"/>
              </w:rPr>
              <w:t>1950</w:t>
            </w:r>
          </w:p>
        </w:tc>
        <w:tc>
          <w:tcPr>
            <w:tcW w:w="2039" w:type="dxa"/>
          </w:tcPr>
          <w:p>
            <w:pPr>
              <w:pStyle w:val="TableParagraph"/>
              <w:spacing w:line="215" w:lineRule="exact" w:before="109"/>
              <w:ind w:left="158"/>
              <w:rPr>
                <w:sz w:val="20"/>
              </w:rPr>
            </w:pPr>
            <w:r>
              <w:rPr>
                <w:sz w:val="20"/>
              </w:rPr>
              <w:t>Muong</w:t>
            </w:r>
            <w:r>
              <w:rPr>
                <w:spacing w:val="-6"/>
                <w:sz w:val="20"/>
              </w:rPr>
              <w:t> </w:t>
            </w:r>
            <w:r>
              <w:rPr>
                <w:spacing w:val="-2"/>
                <w:sz w:val="20"/>
              </w:rPr>
              <w:t>(mtq)</w:t>
            </w:r>
          </w:p>
        </w:tc>
      </w:tr>
      <w:tr>
        <w:trPr>
          <w:trHeight w:val="225" w:hRule="atLeast"/>
        </w:trPr>
        <w:tc>
          <w:tcPr>
            <w:tcW w:w="612" w:type="dxa"/>
          </w:tcPr>
          <w:p>
            <w:pPr>
              <w:pStyle w:val="TableParagraph"/>
              <w:spacing w:line="205" w:lineRule="exact"/>
              <w:ind w:left="50"/>
              <w:rPr>
                <w:sz w:val="20"/>
              </w:rPr>
            </w:pPr>
            <w:r>
              <w:rPr>
                <w:spacing w:val="-4"/>
                <w:sz w:val="20"/>
              </w:rPr>
              <w:t>1960</w:t>
            </w:r>
          </w:p>
        </w:tc>
        <w:tc>
          <w:tcPr>
            <w:tcW w:w="2039" w:type="dxa"/>
          </w:tcPr>
          <w:p>
            <w:pPr>
              <w:pStyle w:val="TableParagraph"/>
              <w:spacing w:line="205" w:lineRule="exact"/>
              <w:ind w:left="158"/>
              <w:rPr>
                <w:sz w:val="20"/>
              </w:rPr>
            </w:pPr>
            <w:r>
              <w:rPr>
                <w:sz w:val="20"/>
              </w:rPr>
              <w:t>Vietnamese</w:t>
            </w:r>
            <w:r>
              <w:rPr>
                <w:spacing w:val="-11"/>
                <w:sz w:val="20"/>
              </w:rPr>
              <w:t> </w:t>
            </w:r>
            <w:r>
              <w:rPr>
                <w:spacing w:val="-2"/>
                <w:sz w:val="20"/>
              </w:rPr>
              <w:t>(vie)</w:t>
            </w:r>
          </w:p>
        </w:tc>
      </w:tr>
    </w:tbl>
    <w:p>
      <w:pPr>
        <w:spacing w:after="0" w:line="205" w:lineRule="exact"/>
        <w:rPr>
          <w:sz w:val="20"/>
        </w:rPr>
        <w:sectPr>
          <w:type w:val="continuous"/>
          <w:pgSz w:w="12240" w:h="15840"/>
          <w:pgMar w:header="0" w:footer="0" w:top="1820" w:bottom="280" w:left="600" w:right="500"/>
        </w:sectPr>
      </w:pPr>
    </w:p>
    <w:p>
      <w:pPr>
        <w:tabs>
          <w:tab w:pos="5880" w:val="left" w:leader="none"/>
          <w:tab w:pos="6601" w:val="left" w:leader="none"/>
        </w:tabs>
        <w:spacing w:before="70"/>
        <w:ind w:left="552" w:right="0" w:firstLine="0"/>
        <w:jc w:val="left"/>
        <w:rPr>
          <w:rFonts w:ascii="Times New Roman"/>
          <w:sz w:val="20"/>
        </w:rPr>
      </w:pPr>
      <w:r>
        <w:rPr>
          <w:rFonts w:ascii="Times New Roman"/>
          <w:i/>
          <w:sz w:val="20"/>
          <w:u w:val="single"/>
        </w:rPr>
        <w:t>Sino-Tibetan</w:t>
      </w:r>
      <w:r>
        <w:rPr>
          <w:rFonts w:ascii="Times New Roman"/>
          <w:i/>
          <w:spacing w:val="-11"/>
          <w:sz w:val="20"/>
          <w:u w:val="single"/>
        </w:rPr>
        <w:t> </w:t>
      </w:r>
      <w:r>
        <w:rPr>
          <w:rFonts w:ascii="Times New Roman"/>
          <w:i/>
          <w:sz w:val="20"/>
          <w:u w:val="single"/>
        </w:rPr>
        <w:t>languages</w:t>
      </w:r>
      <w:r>
        <w:rPr>
          <w:rFonts w:ascii="Times New Roman"/>
          <w:i/>
          <w:spacing w:val="-10"/>
          <w:sz w:val="20"/>
          <w:u w:val="single"/>
        </w:rPr>
        <w:t> </w:t>
      </w:r>
      <w:r>
        <w:rPr>
          <w:rFonts w:ascii="Times New Roman"/>
          <w:i/>
          <w:sz w:val="20"/>
          <w:u w:val="single"/>
        </w:rPr>
        <w:t>(1970-</w:t>
      </w:r>
      <w:r>
        <w:rPr>
          <w:rFonts w:ascii="Times New Roman"/>
          <w:i/>
          <w:spacing w:val="-4"/>
          <w:sz w:val="20"/>
          <w:u w:val="single"/>
        </w:rPr>
        <w:t>2429)</w:t>
      </w:r>
      <w:r>
        <w:rPr>
          <w:rFonts w:ascii="Times New Roman"/>
          <w:i/>
          <w:sz w:val="20"/>
        </w:rPr>
        <w:tab/>
      </w:r>
      <w:r>
        <w:rPr>
          <w:rFonts w:ascii="Times New Roman"/>
          <w:spacing w:val="-4"/>
          <w:sz w:val="20"/>
        </w:rPr>
        <w:t>2290</w:t>
      </w:r>
      <w:r>
        <w:rPr>
          <w:rFonts w:ascii="Times New Roman"/>
          <w:sz w:val="20"/>
        </w:rPr>
        <w:tab/>
        <w:t>Zyphe</w:t>
      </w:r>
      <w:r>
        <w:rPr>
          <w:rFonts w:ascii="Times New Roman"/>
          <w:spacing w:val="-6"/>
          <w:sz w:val="20"/>
        </w:rPr>
        <w:t> </w:t>
      </w:r>
      <w:r>
        <w:rPr>
          <w:rFonts w:ascii="Times New Roman"/>
          <w:sz w:val="20"/>
        </w:rPr>
        <w:t>Chin</w:t>
      </w:r>
      <w:r>
        <w:rPr>
          <w:rFonts w:ascii="Times New Roman"/>
          <w:spacing w:val="-6"/>
          <w:sz w:val="20"/>
        </w:rPr>
        <w:t> </w:t>
      </w:r>
      <w:r>
        <w:rPr>
          <w:rFonts w:ascii="Times New Roman"/>
          <w:spacing w:val="-2"/>
          <w:sz w:val="20"/>
        </w:rPr>
        <w:t>(zyp)</w:t>
      </w:r>
    </w:p>
    <w:p>
      <w:pPr>
        <w:pStyle w:val="BodyText"/>
        <w:spacing w:before="5"/>
        <w:rPr>
          <w:rFonts w:ascii="Times New Roman"/>
          <w:sz w:val="20"/>
        </w:r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724"/>
        <w:gridCol w:w="1606"/>
        <w:gridCol w:w="2685"/>
      </w:tblGrid>
      <w:tr>
        <w:trPr>
          <w:trHeight w:val="227" w:hRule="atLeast"/>
        </w:trPr>
        <w:tc>
          <w:tcPr>
            <w:tcW w:w="612" w:type="dxa"/>
          </w:tcPr>
          <w:p>
            <w:pPr>
              <w:pStyle w:val="TableParagraph"/>
              <w:spacing w:line="240" w:lineRule="auto"/>
              <w:rPr>
                <w:sz w:val="16"/>
              </w:rPr>
            </w:pPr>
          </w:p>
        </w:tc>
        <w:tc>
          <w:tcPr>
            <w:tcW w:w="3724" w:type="dxa"/>
          </w:tcPr>
          <w:p>
            <w:pPr>
              <w:pStyle w:val="TableParagraph"/>
              <w:spacing w:line="208" w:lineRule="exact"/>
              <w:ind w:left="158"/>
              <w:rPr>
                <w:i/>
                <w:sz w:val="20"/>
              </w:rPr>
            </w:pPr>
            <w:r>
              <w:rPr>
                <w:i/>
                <w:sz w:val="20"/>
              </w:rPr>
              <w:t>Chinese</w:t>
            </w:r>
            <w:r>
              <w:rPr>
                <w:i/>
                <w:spacing w:val="-10"/>
                <w:sz w:val="20"/>
              </w:rPr>
              <w:t> </w:t>
            </w:r>
            <w:r>
              <w:rPr>
                <w:i/>
                <w:sz w:val="20"/>
              </w:rPr>
              <w:t>(1970-</w:t>
            </w:r>
            <w:r>
              <w:rPr>
                <w:i/>
                <w:spacing w:val="-4"/>
                <w:sz w:val="20"/>
              </w:rPr>
              <w:t>2059)</w:t>
            </w:r>
          </w:p>
        </w:tc>
        <w:tc>
          <w:tcPr>
            <w:tcW w:w="1606" w:type="dxa"/>
          </w:tcPr>
          <w:p>
            <w:pPr>
              <w:pStyle w:val="TableParagraph"/>
              <w:spacing w:line="208" w:lineRule="exact"/>
              <w:ind w:right="157"/>
              <w:jc w:val="right"/>
              <w:rPr>
                <w:sz w:val="20"/>
              </w:rPr>
            </w:pPr>
            <w:r>
              <w:rPr>
                <w:spacing w:val="-4"/>
                <w:sz w:val="20"/>
              </w:rPr>
              <w:t>2300</w:t>
            </w:r>
          </w:p>
        </w:tc>
        <w:tc>
          <w:tcPr>
            <w:tcW w:w="2685" w:type="dxa"/>
          </w:tcPr>
          <w:p>
            <w:pPr>
              <w:pStyle w:val="TableParagraph"/>
              <w:spacing w:line="208" w:lineRule="exact"/>
              <w:ind w:left="157"/>
              <w:rPr>
                <w:sz w:val="20"/>
              </w:rPr>
            </w:pPr>
            <w:r>
              <w:rPr>
                <w:sz w:val="20"/>
              </w:rPr>
              <w:t>Manipuri</w:t>
            </w:r>
            <w:r>
              <w:rPr>
                <w:spacing w:val="-13"/>
                <w:sz w:val="20"/>
              </w:rPr>
              <w:t> </w:t>
            </w:r>
            <w:r>
              <w:rPr>
                <w:spacing w:val="-2"/>
                <w:sz w:val="20"/>
              </w:rPr>
              <w:t>(mni)</w:t>
            </w:r>
          </w:p>
        </w:tc>
      </w:tr>
      <w:tr>
        <w:trPr>
          <w:trHeight w:val="230" w:hRule="atLeast"/>
        </w:trPr>
        <w:tc>
          <w:tcPr>
            <w:tcW w:w="612" w:type="dxa"/>
          </w:tcPr>
          <w:p>
            <w:pPr>
              <w:pStyle w:val="TableParagraph"/>
              <w:ind w:left="50"/>
              <w:rPr>
                <w:sz w:val="20"/>
              </w:rPr>
            </w:pPr>
            <w:r>
              <w:rPr>
                <w:spacing w:val="-4"/>
                <w:sz w:val="20"/>
              </w:rPr>
              <w:t>1970</w:t>
            </w:r>
          </w:p>
        </w:tc>
        <w:tc>
          <w:tcPr>
            <w:tcW w:w="3724" w:type="dxa"/>
          </w:tcPr>
          <w:p>
            <w:pPr>
              <w:pStyle w:val="TableParagraph"/>
              <w:ind w:left="158"/>
              <w:rPr>
                <w:sz w:val="20"/>
              </w:rPr>
            </w:pPr>
            <w:r>
              <w:rPr>
                <w:sz w:val="20"/>
              </w:rPr>
              <w:t>Chinese</w:t>
            </w:r>
            <w:r>
              <w:rPr>
                <w:spacing w:val="-13"/>
                <w:sz w:val="20"/>
              </w:rPr>
              <w:t> </w:t>
            </w:r>
            <w:r>
              <w:rPr>
                <w:sz w:val="20"/>
              </w:rPr>
              <w:t>(macrolanguage)</w:t>
            </w:r>
            <w:r>
              <w:rPr>
                <w:spacing w:val="-10"/>
                <w:sz w:val="20"/>
              </w:rPr>
              <w:t> </w:t>
            </w:r>
            <w:r>
              <w:rPr>
                <w:spacing w:val="-2"/>
                <w:sz w:val="20"/>
              </w:rPr>
              <w:t>(zho)</w:t>
            </w:r>
          </w:p>
        </w:tc>
        <w:tc>
          <w:tcPr>
            <w:tcW w:w="1606" w:type="dxa"/>
          </w:tcPr>
          <w:p>
            <w:pPr>
              <w:pStyle w:val="TableParagraph"/>
              <w:ind w:right="157"/>
              <w:jc w:val="right"/>
              <w:rPr>
                <w:sz w:val="20"/>
              </w:rPr>
            </w:pPr>
            <w:r>
              <w:rPr>
                <w:spacing w:val="-4"/>
                <w:sz w:val="20"/>
              </w:rPr>
              <w:t>2310</w:t>
            </w:r>
          </w:p>
        </w:tc>
        <w:tc>
          <w:tcPr>
            <w:tcW w:w="2685" w:type="dxa"/>
          </w:tcPr>
          <w:p>
            <w:pPr>
              <w:pStyle w:val="TableParagraph"/>
              <w:ind w:left="157"/>
              <w:rPr>
                <w:sz w:val="20"/>
              </w:rPr>
            </w:pPr>
            <w:r>
              <w:rPr>
                <w:sz w:val="20"/>
              </w:rPr>
              <w:t>Toto</w:t>
            </w:r>
            <w:r>
              <w:rPr>
                <w:spacing w:val="-3"/>
                <w:sz w:val="20"/>
              </w:rPr>
              <w:t> </w:t>
            </w:r>
            <w:r>
              <w:rPr>
                <w:spacing w:val="-2"/>
                <w:sz w:val="20"/>
              </w:rPr>
              <w:t>(txo)</w:t>
            </w:r>
          </w:p>
        </w:tc>
      </w:tr>
      <w:tr>
        <w:trPr>
          <w:trHeight w:val="230" w:hRule="atLeast"/>
        </w:trPr>
        <w:tc>
          <w:tcPr>
            <w:tcW w:w="612" w:type="dxa"/>
          </w:tcPr>
          <w:p>
            <w:pPr>
              <w:pStyle w:val="TableParagraph"/>
              <w:ind w:left="50"/>
              <w:rPr>
                <w:sz w:val="20"/>
              </w:rPr>
            </w:pPr>
            <w:r>
              <w:rPr>
                <w:spacing w:val="-4"/>
                <w:sz w:val="20"/>
              </w:rPr>
              <w:t>1975</w:t>
            </w:r>
          </w:p>
        </w:tc>
        <w:tc>
          <w:tcPr>
            <w:tcW w:w="3724" w:type="dxa"/>
          </w:tcPr>
          <w:p>
            <w:pPr>
              <w:pStyle w:val="TableParagraph"/>
              <w:ind w:left="158"/>
              <w:rPr>
                <w:sz w:val="20"/>
              </w:rPr>
            </w:pPr>
            <w:r>
              <w:rPr>
                <w:sz w:val="20"/>
              </w:rPr>
              <w:t>Gan</w:t>
            </w:r>
            <w:r>
              <w:rPr>
                <w:spacing w:val="-7"/>
                <w:sz w:val="20"/>
              </w:rPr>
              <w:t> </w:t>
            </w:r>
            <w:r>
              <w:rPr>
                <w:sz w:val="20"/>
              </w:rPr>
              <w:t>Chinese</w:t>
            </w:r>
            <w:r>
              <w:rPr>
                <w:spacing w:val="-5"/>
                <w:sz w:val="20"/>
              </w:rPr>
              <w:t> </w:t>
            </w:r>
            <w:r>
              <w:rPr>
                <w:spacing w:val="-2"/>
                <w:sz w:val="20"/>
              </w:rPr>
              <w:t>(gan)</w:t>
            </w:r>
          </w:p>
        </w:tc>
        <w:tc>
          <w:tcPr>
            <w:tcW w:w="1606" w:type="dxa"/>
          </w:tcPr>
          <w:p>
            <w:pPr>
              <w:pStyle w:val="TableParagraph"/>
              <w:ind w:right="157"/>
              <w:jc w:val="right"/>
              <w:rPr>
                <w:sz w:val="20"/>
              </w:rPr>
            </w:pPr>
            <w:r>
              <w:rPr>
                <w:spacing w:val="-4"/>
                <w:sz w:val="20"/>
              </w:rPr>
              <w:t>2320</w:t>
            </w:r>
          </w:p>
        </w:tc>
        <w:tc>
          <w:tcPr>
            <w:tcW w:w="2685" w:type="dxa"/>
          </w:tcPr>
          <w:p>
            <w:pPr>
              <w:pStyle w:val="TableParagraph"/>
              <w:ind w:left="157"/>
              <w:rPr>
                <w:sz w:val="20"/>
              </w:rPr>
            </w:pPr>
            <w:r>
              <w:rPr>
                <w:sz w:val="20"/>
              </w:rPr>
              <w:t>Bodo</w:t>
            </w:r>
            <w:r>
              <w:rPr>
                <w:spacing w:val="-5"/>
                <w:sz w:val="20"/>
              </w:rPr>
              <w:t> </w:t>
            </w:r>
            <w:r>
              <w:rPr>
                <w:sz w:val="20"/>
              </w:rPr>
              <w:t>(India)</w:t>
            </w:r>
            <w:r>
              <w:rPr>
                <w:spacing w:val="-3"/>
                <w:sz w:val="20"/>
              </w:rPr>
              <w:t> </w:t>
            </w:r>
            <w:r>
              <w:rPr>
                <w:spacing w:val="-2"/>
                <w:sz w:val="20"/>
              </w:rPr>
              <w:t>(brx)</w:t>
            </w:r>
          </w:p>
        </w:tc>
      </w:tr>
      <w:tr>
        <w:trPr>
          <w:trHeight w:val="230" w:hRule="atLeast"/>
        </w:trPr>
        <w:tc>
          <w:tcPr>
            <w:tcW w:w="612" w:type="dxa"/>
          </w:tcPr>
          <w:p>
            <w:pPr>
              <w:pStyle w:val="TableParagraph"/>
              <w:ind w:left="50"/>
              <w:rPr>
                <w:sz w:val="20"/>
              </w:rPr>
            </w:pPr>
            <w:r>
              <w:rPr>
                <w:spacing w:val="-4"/>
                <w:sz w:val="20"/>
              </w:rPr>
              <w:t>1980</w:t>
            </w:r>
          </w:p>
        </w:tc>
        <w:tc>
          <w:tcPr>
            <w:tcW w:w="3724" w:type="dxa"/>
          </w:tcPr>
          <w:p>
            <w:pPr>
              <w:pStyle w:val="TableParagraph"/>
              <w:ind w:left="158"/>
              <w:rPr>
                <w:sz w:val="20"/>
              </w:rPr>
            </w:pPr>
            <w:r>
              <w:rPr>
                <w:sz w:val="20"/>
              </w:rPr>
              <w:t>Xiang</w:t>
            </w:r>
            <w:r>
              <w:rPr>
                <w:spacing w:val="-7"/>
                <w:sz w:val="20"/>
              </w:rPr>
              <w:t> </w:t>
            </w:r>
            <w:r>
              <w:rPr>
                <w:sz w:val="20"/>
              </w:rPr>
              <w:t>Chinese</w:t>
            </w:r>
            <w:r>
              <w:rPr>
                <w:spacing w:val="-6"/>
                <w:sz w:val="20"/>
              </w:rPr>
              <w:t> </w:t>
            </w:r>
            <w:r>
              <w:rPr>
                <w:spacing w:val="-4"/>
                <w:sz w:val="20"/>
              </w:rPr>
              <w:t>(hsn)</w:t>
            </w:r>
          </w:p>
        </w:tc>
        <w:tc>
          <w:tcPr>
            <w:tcW w:w="1606" w:type="dxa"/>
          </w:tcPr>
          <w:p>
            <w:pPr>
              <w:pStyle w:val="TableParagraph"/>
              <w:ind w:right="157"/>
              <w:jc w:val="right"/>
              <w:rPr>
                <w:sz w:val="20"/>
              </w:rPr>
            </w:pPr>
            <w:r>
              <w:rPr>
                <w:spacing w:val="-4"/>
                <w:sz w:val="20"/>
              </w:rPr>
              <w:t>2325</w:t>
            </w:r>
          </w:p>
        </w:tc>
        <w:tc>
          <w:tcPr>
            <w:tcW w:w="2685" w:type="dxa"/>
          </w:tcPr>
          <w:p>
            <w:pPr>
              <w:pStyle w:val="TableParagraph"/>
              <w:ind w:left="157"/>
              <w:rPr>
                <w:sz w:val="20"/>
              </w:rPr>
            </w:pPr>
            <w:r>
              <w:rPr>
                <w:sz w:val="20"/>
              </w:rPr>
              <w:t>Garo</w:t>
            </w:r>
            <w:r>
              <w:rPr>
                <w:spacing w:val="-2"/>
                <w:sz w:val="20"/>
              </w:rPr>
              <w:t> (grt)</w:t>
            </w:r>
          </w:p>
        </w:tc>
      </w:tr>
      <w:tr>
        <w:trPr>
          <w:trHeight w:val="231" w:hRule="atLeast"/>
        </w:trPr>
        <w:tc>
          <w:tcPr>
            <w:tcW w:w="612" w:type="dxa"/>
          </w:tcPr>
          <w:p>
            <w:pPr>
              <w:pStyle w:val="TableParagraph"/>
              <w:spacing w:line="212" w:lineRule="exact"/>
              <w:ind w:left="50"/>
              <w:rPr>
                <w:sz w:val="20"/>
              </w:rPr>
            </w:pPr>
            <w:r>
              <w:rPr>
                <w:spacing w:val="-4"/>
                <w:sz w:val="20"/>
              </w:rPr>
              <w:t>1985</w:t>
            </w:r>
          </w:p>
        </w:tc>
        <w:tc>
          <w:tcPr>
            <w:tcW w:w="3724" w:type="dxa"/>
          </w:tcPr>
          <w:p>
            <w:pPr>
              <w:pStyle w:val="TableParagraph"/>
              <w:spacing w:line="212" w:lineRule="exact"/>
              <w:ind w:left="158"/>
              <w:rPr>
                <w:sz w:val="20"/>
              </w:rPr>
            </w:pPr>
            <w:r>
              <w:rPr>
                <w:sz w:val="20"/>
              </w:rPr>
              <w:t>Hakka</w:t>
            </w:r>
            <w:r>
              <w:rPr>
                <w:spacing w:val="-8"/>
                <w:sz w:val="20"/>
              </w:rPr>
              <w:t> </w:t>
            </w:r>
            <w:r>
              <w:rPr>
                <w:sz w:val="20"/>
              </w:rPr>
              <w:t>Chinese</w:t>
            </w:r>
            <w:r>
              <w:rPr>
                <w:spacing w:val="-7"/>
                <w:sz w:val="20"/>
              </w:rPr>
              <w:t> </w:t>
            </w:r>
            <w:r>
              <w:rPr>
                <w:spacing w:val="-4"/>
                <w:sz w:val="20"/>
              </w:rPr>
              <w:t>(hak)</w:t>
            </w:r>
          </w:p>
        </w:tc>
        <w:tc>
          <w:tcPr>
            <w:tcW w:w="1606" w:type="dxa"/>
          </w:tcPr>
          <w:p>
            <w:pPr>
              <w:pStyle w:val="TableParagraph"/>
              <w:spacing w:line="212" w:lineRule="exact"/>
              <w:ind w:right="157"/>
              <w:jc w:val="right"/>
              <w:rPr>
                <w:sz w:val="20"/>
              </w:rPr>
            </w:pPr>
            <w:r>
              <w:rPr>
                <w:spacing w:val="-4"/>
                <w:sz w:val="20"/>
              </w:rPr>
              <w:t>2340</w:t>
            </w:r>
          </w:p>
        </w:tc>
        <w:tc>
          <w:tcPr>
            <w:tcW w:w="2685" w:type="dxa"/>
          </w:tcPr>
          <w:p>
            <w:pPr>
              <w:pStyle w:val="TableParagraph"/>
              <w:spacing w:line="212" w:lineRule="exact"/>
              <w:ind w:left="157"/>
              <w:rPr>
                <w:sz w:val="20"/>
              </w:rPr>
            </w:pPr>
            <w:r>
              <w:rPr>
                <w:sz w:val="20"/>
              </w:rPr>
              <w:t>Kachin</w:t>
            </w:r>
            <w:r>
              <w:rPr>
                <w:spacing w:val="-7"/>
                <w:sz w:val="20"/>
              </w:rPr>
              <w:t> </w:t>
            </w:r>
            <w:r>
              <w:rPr>
                <w:spacing w:val="-2"/>
                <w:sz w:val="20"/>
              </w:rPr>
              <w:t>(kac)</w:t>
            </w:r>
          </w:p>
        </w:tc>
      </w:tr>
      <w:tr>
        <w:trPr>
          <w:trHeight w:val="226" w:hRule="atLeast"/>
        </w:trPr>
        <w:tc>
          <w:tcPr>
            <w:tcW w:w="612" w:type="dxa"/>
          </w:tcPr>
          <w:p>
            <w:pPr>
              <w:pStyle w:val="TableParagraph"/>
              <w:spacing w:line="207" w:lineRule="exact"/>
              <w:ind w:left="50"/>
              <w:rPr>
                <w:sz w:val="20"/>
              </w:rPr>
            </w:pPr>
            <w:r>
              <w:rPr>
                <w:spacing w:val="-4"/>
                <w:sz w:val="20"/>
              </w:rPr>
              <w:t>1990</w:t>
            </w:r>
          </w:p>
        </w:tc>
        <w:tc>
          <w:tcPr>
            <w:tcW w:w="3724" w:type="dxa"/>
          </w:tcPr>
          <w:p>
            <w:pPr>
              <w:pStyle w:val="TableParagraph"/>
              <w:spacing w:line="207" w:lineRule="exact"/>
              <w:ind w:left="158"/>
              <w:rPr>
                <w:sz w:val="20"/>
              </w:rPr>
            </w:pPr>
            <w:r>
              <w:rPr>
                <w:sz w:val="20"/>
              </w:rPr>
              <w:t>Jinyu</w:t>
            </w:r>
            <w:r>
              <w:rPr>
                <w:spacing w:val="-8"/>
                <w:sz w:val="20"/>
              </w:rPr>
              <w:t> </w:t>
            </w:r>
            <w:r>
              <w:rPr>
                <w:sz w:val="20"/>
              </w:rPr>
              <w:t>Chinese</w:t>
            </w:r>
            <w:r>
              <w:rPr>
                <w:spacing w:val="-6"/>
                <w:sz w:val="20"/>
              </w:rPr>
              <w:t> </w:t>
            </w:r>
            <w:r>
              <w:rPr>
                <w:spacing w:val="-2"/>
                <w:sz w:val="20"/>
              </w:rPr>
              <w:t>(cjy)</w:t>
            </w:r>
          </w:p>
        </w:tc>
        <w:tc>
          <w:tcPr>
            <w:tcW w:w="1606" w:type="dxa"/>
          </w:tcPr>
          <w:p>
            <w:pPr>
              <w:pStyle w:val="TableParagraph"/>
              <w:spacing w:line="240" w:lineRule="auto"/>
              <w:rPr>
                <w:sz w:val="16"/>
              </w:rPr>
            </w:pPr>
          </w:p>
        </w:tc>
        <w:tc>
          <w:tcPr>
            <w:tcW w:w="2685"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2000</w:t>
            </w:r>
          </w:p>
        </w:tc>
        <w:tc>
          <w:tcPr>
            <w:tcW w:w="3724" w:type="dxa"/>
          </w:tcPr>
          <w:p>
            <w:pPr>
              <w:pStyle w:val="TableParagraph"/>
              <w:ind w:left="158"/>
              <w:rPr>
                <w:sz w:val="20"/>
              </w:rPr>
            </w:pPr>
            <w:r>
              <w:rPr>
                <w:sz w:val="20"/>
              </w:rPr>
              <w:t>Mandarin</w:t>
            </w:r>
            <w:r>
              <w:rPr>
                <w:spacing w:val="-10"/>
                <w:sz w:val="20"/>
              </w:rPr>
              <w:t> </w:t>
            </w:r>
            <w:r>
              <w:rPr>
                <w:sz w:val="20"/>
              </w:rPr>
              <w:t>Chinese</w:t>
            </w:r>
            <w:r>
              <w:rPr>
                <w:spacing w:val="-8"/>
                <w:sz w:val="20"/>
              </w:rPr>
              <w:t> </w:t>
            </w:r>
            <w:r>
              <w:rPr>
                <w:spacing w:val="-4"/>
                <w:sz w:val="20"/>
              </w:rPr>
              <w:t>(cmn)</w:t>
            </w:r>
          </w:p>
        </w:tc>
        <w:tc>
          <w:tcPr>
            <w:tcW w:w="1606" w:type="dxa"/>
          </w:tcPr>
          <w:p>
            <w:pPr>
              <w:pStyle w:val="TableParagraph"/>
              <w:spacing w:line="240" w:lineRule="auto"/>
              <w:rPr>
                <w:sz w:val="16"/>
              </w:rPr>
            </w:pPr>
          </w:p>
        </w:tc>
        <w:tc>
          <w:tcPr>
            <w:tcW w:w="2685" w:type="dxa"/>
          </w:tcPr>
          <w:p>
            <w:pPr>
              <w:pStyle w:val="TableParagraph"/>
              <w:ind w:left="157"/>
              <w:rPr>
                <w:i/>
                <w:sz w:val="20"/>
              </w:rPr>
            </w:pPr>
            <w:r>
              <w:rPr>
                <w:i/>
                <w:sz w:val="20"/>
              </w:rPr>
              <w:t>Karen</w:t>
            </w:r>
            <w:r>
              <w:rPr>
                <w:i/>
                <w:spacing w:val="-7"/>
                <w:sz w:val="20"/>
              </w:rPr>
              <w:t> </w:t>
            </w:r>
            <w:r>
              <w:rPr>
                <w:i/>
                <w:sz w:val="20"/>
              </w:rPr>
              <w:t>languages</w:t>
            </w:r>
            <w:r>
              <w:rPr>
                <w:i/>
                <w:spacing w:val="-9"/>
                <w:sz w:val="20"/>
              </w:rPr>
              <w:t> </w:t>
            </w:r>
            <w:r>
              <w:rPr>
                <w:i/>
                <w:sz w:val="20"/>
              </w:rPr>
              <w:t>(2350-</w:t>
            </w:r>
            <w:r>
              <w:rPr>
                <w:i/>
                <w:spacing w:val="-4"/>
                <w:sz w:val="20"/>
              </w:rPr>
              <w:t>2429)</w:t>
            </w:r>
          </w:p>
        </w:tc>
      </w:tr>
      <w:tr>
        <w:trPr>
          <w:trHeight w:val="230" w:hRule="atLeast"/>
        </w:trPr>
        <w:tc>
          <w:tcPr>
            <w:tcW w:w="612" w:type="dxa"/>
          </w:tcPr>
          <w:p>
            <w:pPr>
              <w:pStyle w:val="TableParagraph"/>
              <w:ind w:left="50"/>
              <w:rPr>
                <w:sz w:val="20"/>
              </w:rPr>
            </w:pPr>
            <w:r>
              <w:rPr>
                <w:spacing w:val="-4"/>
                <w:sz w:val="20"/>
              </w:rPr>
              <w:t>2010</w:t>
            </w:r>
          </w:p>
        </w:tc>
        <w:tc>
          <w:tcPr>
            <w:tcW w:w="3724" w:type="dxa"/>
          </w:tcPr>
          <w:p>
            <w:pPr>
              <w:pStyle w:val="TableParagraph"/>
              <w:ind w:left="158"/>
              <w:rPr>
                <w:sz w:val="20"/>
              </w:rPr>
            </w:pPr>
            <w:r>
              <w:rPr>
                <w:sz w:val="20"/>
              </w:rPr>
              <w:t>Min</w:t>
            </w:r>
            <w:r>
              <w:rPr>
                <w:spacing w:val="-6"/>
                <w:sz w:val="20"/>
              </w:rPr>
              <w:t> </w:t>
            </w:r>
            <w:r>
              <w:rPr>
                <w:sz w:val="20"/>
              </w:rPr>
              <w:t>Bei</w:t>
            </w:r>
            <w:r>
              <w:rPr>
                <w:spacing w:val="-4"/>
                <w:sz w:val="20"/>
              </w:rPr>
              <w:t> </w:t>
            </w:r>
            <w:r>
              <w:rPr>
                <w:sz w:val="20"/>
              </w:rPr>
              <w:t>Chinese</w:t>
            </w:r>
            <w:r>
              <w:rPr>
                <w:spacing w:val="-5"/>
                <w:sz w:val="20"/>
              </w:rPr>
              <w:t> </w:t>
            </w:r>
            <w:r>
              <w:rPr>
                <w:spacing w:val="-4"/>
                <w:sz w:val="20"/>
              </w:rPr>
              <w:t>(mnp)</w:t>
            </w:r>
          </w:p>
        </w:tc>
        <w:tc>
          <w:tcPr>
            <w:tcW w:w="1606" w:type="dxa"/>
          </w:tcPr>
          <w:p>
            <w:pPr>
              <w:pStyle w:val="TableParagraph"/>
              <w:ind w:right="157"/>
              <w:jc w:val="right"/>
              <w:rPr>
                <w:sz w:val="20"/>
              </w:rPr>
            </w:pPr>
            <w:r>
              <w:rPr>
                <w:spacing w:val="-4"/>
                <w:sz w:val="20"/>
              </w:rPr>
              <w:t>2350</w:t>
            </w:r>
          </w:p>
        </w:tc>
        <w:tc>
          <w:tcPr>
            <w:tcW w:w="2685" w:type="dxa"/>
          </w:tcPr>
          <w:p>
            <w:pPr>
              <w:pStyle w:val="TableParagraph"/>
              <w:ind w:left="157"/>
              <w:rPr>
                <w:sz w:val="20"/>
              </w:rPr>
            </w:pPr>
            <w:r>
              <w:rPr>
                <w:sz w:val="20"/>
              </w:rPr>
              <w:t>Karen</w:t>
            </w:r>
            <w:r>
              <w:rPr>
                <w:spacing w:val="-7"/>
                <w:sz w:val="20"/>
              </w:rPr>
              <w:t> </w:t>
            </w:r>
            <w:r>
              <w:rPr>
                <w:sz w:val="20"/>
              </w:rPr>
              <w:t>languages</w:t>
            </w:r>
            <w:r>
              <w:rPr>
                <w:spacing w:val="-6"/>
                <w:sz w:val="20"/>
              </w:rPr>
              <w:t> </w:t>
            </w:r>
            <w:r>
              <w:rPr>
                <w:spacing w:val="-4"/>
                <w:sz w:val="20"/>
              </w:rPr>
              <w:t>(kar)</w:t>
            </w:r>
          </w:p>
        </w:tc>
      </w:tr>
      <w:tr>
        <w:trPr>
          <w:trHeight w:val="230" w:hRule="atLeast"/>
        </w:trPr>
        <w:tc>
          <w:tcPr>
            <w:tcW w:w="612" w:type="dxa"/>
          </w:tcPr>
          <w:p>
            <w:pPr>
              <w:pStyle w:val="TableParagraph"/>
              <w:ind w:left="50"/>
              <w:rPr>
                <w:sz w:val="20"/>
              </w:rPr>
            </w:pPr>
            <w:r>
              <w:rPr>
                <w:spacing w:val="-4"/>
                <w:sz w:val="20"/>
              </w:rPr>
              <w:t>2020</w:t>
            </w:r>
          </w:p>
        </w:tc>
        <w:tc>
          <w:tcPr>
            <w:tcW w:w="3724" w:type="dxa"/>
          </w:tcPr>
          <w:p>
            <w:pPr>
              <w:pStyle w:val="TableParagraph"/>
              <w:ind w:left="158"/>
              <w:rPr>
                <w:sz w:val="20"/>
              </w:rPr>
            </w:pPr>
            <w:r>
              <w:rPr>
                <w:sz w:val="20"/>
              </w:rPr>
              <w:t>Min</w:t>
            </w:r>
            <w:r>
              <w:rPr>
                <w:spacing w:val="-6"/>
                <w:sz w:val="20"/>
              </w:rPr>
              <w:t> </w:t>
            </w:r>
            <w:r>
              <w:rPr>
                <w:sz w:val="20"/>
              </w:rPr>
              <w:t>Dong</w:t>
            </w:r>
            <w:r>
              <w:rPr>
                <w:spacing w:val="-5"/>
                <w:sz w:val="20"/>
              </w:rPr>
              <w:t> </w:t>
            </w:r>
            <w:r>
              <w:rPr>
                <w:sz w:val="20"/>
              </w:rPr>
              <w:t>Chinese</w:t>
            </w:r>
            <w:r>
              <w:rPr>
                <w:spacing w:val="-5"/>
                <w:sz w:val="20"/>
              </w:rPr>
              <w:t> </w:t>
            </w:r>
            <w:r>
              <w:rPr>
                <w:spacing w:val="-2"/>
                <w:sz w:val="20"/>
              </w:rPr>
              <w:t>(cdo)</w:t>
            </w:r>
          </w:p>
        </w:tc>
        <w:tc>
          <w:tcPr>
            <w:tcW w:w="1606" w:type="dxa"/>
          </w:tcPr>
          <w:p>
            <w:pPr>
              <w:pStyle w:val="TableParagraph"/>
              <w:ind w:right="157"/>
              <w:jc w:val="right"/>
              <w:rPr>
                <w:sz w:val="20"/>
              </w:rPr>
            </w:pPr>
            <w:r>
              <w:rPr>
                <w:spacing w:val="-4"/>
                <w:sz w:val="20"/>
              </w:rPr>
              <w:t>2355</w:t>
            </w:r>
          </w:p>
        </w:tc>
        <w:tc>
          <w:tcPr>
            <w:tcW w:w="2685" w:type="dxa"/>
          </w:tcPr>
          <w:p>
            <w:pPr>
              <w:pStyle w:val="TableParagraph"/>
              <w:ind w:left="157"/>
              <w:rPr>
                <w:sz w:val="20"/>
              </w:rPr>
            </w:pPr>
            <w:r>
              <w:rPr>
                <w:sz w:val="20"/>
              </w:rPr>
              <w:t>Bwe</w:t>
            </w:r>
            <w:r>
              <w:rPr>
                <w:spacing w:val="-5"/>
                <w:sz w:val="20"/>
              </w:rPr>
              <w:t> </w:t>
            </w:r>
            <w:r>
              <w:rPr>
                <w:sz w:val="20"/>
              </w:rPr>
              <w:t>Karen</w:t>
            </w:r>
            <w:r>
              <w:rPr>
                <w:spacing w:val="-6"/>
                <w:sz w:val="20"/>
              </w:rPr>
              <w:t> </w:t>
            </w:r>
            <w:r>
              <w:rPr>
                <w:spacing w:val="-2"/>
                <w:sz w:val="20"/>
              </w:rPr>
              <w:t>(bwe)</w:t>
            </w:r>
          </w:p>
        </w:tc>
      </w:tr>
      <w:tr>
        <w:trPr>
          <w:trHeight w:val="230" w:hRule="atLeast"/>
        </w:trPr>
        <w:tc>
          <w:tcPr>
            <w:tcW w:w="612" w:type="dxa"/>
          </w:tcPr>
          <w:p>
            <w:pPr>
              <w:pStyle w:val="TableParagraph"/>
              <w:ind w:left="50"/>
              <w:rPr>
                <w:sz w:val="20"/>
              </w:rPr>
            </w:pPr>
            <w:r>
              <w:rPr>
                <w:spacing w:val="-4"/>
                <w:sz w:val="20"/>
              </w:rPr>
              <w:t>2030</w:t>
            </w:r>
          </w:p>
        </w:tc>
        <w:tc>
          <w:tcPr>
            <w:tcW w:w="3724" w:type="dxa"/>
          </w:tcPr>
          <w:p>
            <w:pPr>
              <w:pStyle w:val="TableParagraph"/>
              <w:ind w:left="158"/>
              <w:rPr>
                <w:sz w:val="20"/>
              </w:rPr>
            </w:pPr>
            <w:r>
              <w:rPr>
                <w:sz w:val="20"/>
              </w:rPr>
              <w:t>Min</w:t>
            </w:r>
            <w:r>
              <w:rPr>
                <w:spacing w:val="-5"/>
                <w:sz w:val="20"/>
              </w:rPr>
              <w:t> </w:t>
            </w:r>
            <w:r>
              <w:rPr>
                <w:sz w:val="20"/>
              </w:rPr>
              <w:t>Nan</w:t>
            </w:r>
            <w:r>
              <w:rPr>
                <w:spacing w:val="-6"/>
                <w:sz w:val="20"/>
              </w:rPr>
              <w:t> </w:t>
            </w:r>
            <w:r>
              <w:rPr>
                <w:sz w:val="20"/>
              </w:rPr>
              <w:t>Chinese</w:t>
            </w:r>
            <w:r>
              <w:rPr>
                <w:spacing w:val="-4"/>
                <w:sz w:val="20"/>
              </w:rPr>
              <w:t> (nan)</w:t>
            </w:r>
          </w:p>
        </w:tc>
        <w:tc>
          <w:tcPr>
            <w:tcW w:w="1606" w:type="dxa"/>
          </w:tcPr>
          <w:p>
            <w:pPr>
              <w:pStyle w:val="TableParagraph"/>
              <w:ind w:right="157"/>
              <w:jc w:val="right"/>
              <w:rPr>
                <w:sz w:val="20"/>
              </w:rPr>
            </w:pPr>
            <w:r>
              <w:rPr>
                <w:spacing w:val="-4"/>
                <w:sz w:val="20"/>
              </w:rPr>
              <w:t>2360</w:t>
            </w:r>
          </w:p>
        </w:tc>
        <w:tc>
          <w:tcPr>
            <w:tcW w:w="2685" w:type="dxa"/>
          </w:tcPr>
          <w:p>
            <w:pPr>
              <w:pStyle w:val="TableParagraph"/>
              <w:ind w:left="157"/>
              <w:rPr>
                <w:sz w:val="20"/>
              </w:rPr>
            </w:pPr>
            <w:r>
              <w:rPr>
                <w:sz w:val="20"/>
              </w:rPr>
              <w:t>Geko</w:t>
            </w:r>
            <w:r>
              <w:rPr>
                <w:spacing w:val="-4"/>
                <w:sz w:val="20"/>
              </w:rPr>
              <w:t> </w:t>
            </w:r>
            <w:r>
              <w:rPr>
                <w:sz w:val="20"/>
              </w:rPr>
              <w:t>Karen</w:t>
            </w:r>
            <w:r>
              <w:rPr>
                <w:spacing w:val="-6"/>
                <w:sz w:val="20"/>
              </w:rPr>
              <w:t> </w:t>
            </w:r>
            <w:r>
              <w:rPr>
                <w:spacing w:val="-4"/>
                <w:sz w:val="20"/>
              </w:rPr>
              <w:t>(ghk)</w:t>
            </w:r>
          </w:p>
        </w:tc>
      </w:tr>
      <w:tr>
        <w:trPr>
          <w:trHeight w:val="230" w:hRule="atLeast"/>
        </w:trPr>
        <w:tc>
          <w:tcPr>
            <w:tcW w:w="612" w:type="dxa"/>
          </w:tcPr>
          <w:p>
            <w:pPr>
              <w:pStyle w:val="TableParagraph"/>
              <w:ind w:left="50"/>
              <w:rPr>
                <w:sz w:val="20"/>
              </w:rPr>
            </w:pPr>
            <w:r>
              <w:rPr>
                <w:spacing w:val="-4"/>
                <w:sz w:val="20"/>
              </w:rPr>
              <w:t>2040</w:t>
            </w:r>
          </w:p>
        </w:tc>
        <w:tc>
          <w:tcPr>
            <w:tcW w:w="3724" w:type="dxa"/>
          </w:tcPr>
          <w:p>
            <w:pPr>
              <w:pStyle w:val="TableParagraph"/>
              <w:ind w:left="158"/>
              <w:rPr>
                <w:sz w:val="20"/>
              </w:rPr>
            </w:pPr>
            <w:r>
              <w:rPr>
                <w:sz w:val="20"/>
              </w:rPr>
              <w:t>Wu</w:t>
            </w:r>
            <w:r>
              <w:rPr>
                <w:spacing w:val="-6"/>
                <w:sz w:val="20"/>
              </w:rPr>
              <w:t> </w:t>
            </w:r>
            <w:r>
              <w:rPr>
                <w:sz w:val="20"/>
              </w:rPr>
              <w:t>Chinese</w:t>
            </w:r>
            <w:r>
              <w:rPr>
                <w:spacing w:val="-5"/>
                <w:sz w:val="20"/>
              </w:rPr>
              <w:t> </w:t>
            </w:r>
            <w:r>
              <w:rPr>
                <w:spacing w:val="-4"/>
                <w:sz w:val="20"/>
              </w:rPr>
              <w:t>(wuu)</w:t>
            </w:r>
          </w:p>
        </w:tc>
        <w:tc>
          <w:tcPr>
            <w:tcW w:w="1606" w:type="dxa"/>
          </w:tcPr>
          <w:p>
            <w:pPr>
              <w:pStyle w:val="TableParagraph"/>
              <w:ind w:right="157"/>
              <w:jc w:val="right"/>
              <w:rPr>
                <w:sz w:val="20"/>
              </w:rPr>
            </w:pPr>
            <w:r>
              <w:rPr>
                <w:spacing w:val="-4"/>
                <w:sz w:val="20"/>
              </w:rPr>
              <w:t>2365</w:t>
            </w:r>
          </w:p>
        </w:tc>
        <w:tc>
          <w:tcPr>
            <w:tcW w:w="2685" w:type="dxa"/>
          </w:tcPr>
          <w:p>
            <w:pPr>
              <w:pStyle w:val="TableParagraph"/>
              <w:ind w:left="157"/>
              <w:rPr>
                <w:sz w:val="20"/>
              </w:rPr>
            </w:pPr>
            <w:r>
              <w:rPr>
                <w:sz w:val="20"/>
              </w:rPr>
              <w:t>Western</w:t>
            </w:r>
            <w:r>
              <w:rPr>
                <w:spacing w:val="-7"/>
                <w:sz w:val="20"/>
              </w:rPr>
              <w:t> </w:t>
            </w:r>
            <w:r>
              <w:rPr>
                <w:sz w:val="20"/>
              </w:rPr>
              <w:t>Kayah</w:t>
            </w:r>
            <w:r>
              <w:rPr>
                <w:spacing w:val="-6"/>
                <w:sz w:val="20"/>
              </w:rPr>
              <w:t> </w:t>
            </w:r>
            <w:r>
              <w:rPr>
                <w:spacing w:val="-4"/>
                <w:sz w:val="20"/>
              </w:rPr>
              <w:t>(kyu)</w:t>
            </w:r>
          </w:p>
        </w:tc>
      </w:tr>
      <w:tr>
        <w:trPr>
          <w:trHeight w:val="228" w:hRule="atLeast"/>
        </w:trPr>
        <w:tc>
          <w:tcPr>
            <w:tcW w:w="612" w:type="dxa"/>
          </w:tcPr>
          <w:p>
            <w:pPr>
              <w:pStyle w:val="TableParagraph"/>
              <w:spacing w:line="208" w:lineRule="exact"/>
              <w:ind w:left="50"/>
              <w:rPr>
                <w:sz w:val="20"/>
              </w:rPr>
            </w:pPr>
            <w:r>
              <w:rPr>
                <w:spacing w:val="-4"/>
                <w:sz w:val="20"/>
              </w:rPr>
              <w:t>2050</w:t>
            </w:r>
          </w:p>
        </w:tc>
        <w:tc>
          <w:tcPr>
            <w:tcW w:w="3724" w:type="dxa"/>
          </w:tcPr>
          <w:p>
            <w:pPr>
              <w:pStyle w:val="TableParagraph"/>
              <w:spacing w:line="208" w:lineRule="exact"/>
              <w:ind w:left="158"/>
              <w:rPr>
                <w:sz w:val="20"/>
              </w:rPr>
            </w:pPr>
            <w:r>
              <w:rPr>
                <w:sz w:val="20"/>
              </w:rPr>
              <w:t>Yue</w:t>
            </w:r>
            <w:r>
              <w:rPr>
                <w:spacing w:val="-6"/>
                <w:sz w:val="20"/>
              </w:rPr>
              <w:t> </w:t>
            </w:r>
            <w:r>
              <w:rPr>
                <w:sz w:val="20"/>
              </w:rPr>
              <w:t>Chinese</w:t>
            </w:r>
            <w:r>
              <w:rPr>
                <w:spacing w:val="-6"/>
                <w:sz w:val="20"/>
              </w:rPr>
              <w:t> </w:t>
            </w:r>
            <w:r>
              <w:rPr>
                <w:spacing w:val="-2"/>
                <w:sz w:val="20"/>
              </w:rPr>
              <w:t>(yue)</w:t>
            </w:r>
          </w:p>
        </w:tc>
        <w:tc>
          <w:tcPr>
            <w:tcW w:w="1606" w:type="dxa"/>
          </w:tcPr>
          <w:p>
            <w:pPr>
              <w:pStyle w:val="TableParagraph"/>
              <w:spacing w:line="208" w:lineRule="exact"/>
              <w:ind w:right="157"/>
              <w:jc w:val="right"/>
              <w:rPr>
                <w:sz w:val="20"/>
              </w:rPr>
            </w:pPr>
            <w:r>
              <w:rPr>
                <w:spacing w:val="-4"/>
                <w:sz w:val="20"/>
              </w:rPr>
              <w:t>2370</w:t>
            </w:r>
          </w:p>
        </w:tc>
        <w:tc>
          <w:tcPr>
            <w:tcW w:w="2685" w:type="dxa"/>
          </w:tcPr>
          <w:p>
            <w:pPr>
              <w:pStyle w:val="TableParagraph"/>
              <w:spacing w:line="208" w:lineRule="exact"/>
              <w:ind w:left="157"/>
              <w:rPr>
                <w:sz w:val="20"/>
              </w:rPr>
            </w:pPr>
            <w:r>
              <w:rPr>
                <w:sz w:val="20"/>
              </w:rPr>
              <w:t>Kayan</w:t>
            </w:r>
            <w:r>
              <w:rPr>
                <w:spacing w:val="-7"/>
                <w:sz w:val="20"/>
              </w:rPr>
              <w:t> </w:t>
            </w:r>
            <w:r>
              <w:rPr>
                <w:spacing w:val="-2"/>
                <w:sz w:val="20"/>
              </w:rPr>
              <w:t>(pdu)</w:t>
            </w:r>
          </w:p>
        </w:tc>
      </w:tr>
      <w:tr>
        <w:trPr>
          <w:trHeight w:val="223" w:hRule="atLeast"/>
        </w:trPr>
        <w:tc>
          <w:tcPr>
            <w:tcW w:w="612" w:type="dxa"/>
          </w:tcPr>
          <w:p>
            <w:pPr>
              <w:pStyle w:val="TableParagraph"/>
              <w:spacing w:line="240" w:lineRule="auto"/>
              <w:rPr>
                <w:sz w:val="14"/>
              </w:rPr>
            </w:pPr>
          </w:p>
        </w:tc>
        <w:tc>
          <w:tcPr>
            <w:tcW w:w="3724" w:type="dxa"/>
          </w:tcPr>
          <w:p>
            <w:pPr>
              <w:pStyle w:val="TableParagraph"/>
              <w:spacing w:line="240" w:lineRule="auto"/>
              <w:rPr>
                <w:sz w:val="14"/>
              </w:rPr>
            </w:pPr>
          </w:p>
        </w:tc>
        <w:tc>
          <w:tcPr>
            <w:tcW w:w="1606" w:type="dxa"/>
          </w:tcPr>
          <w:p>
            <w:pPr>
              <w:pStyle w:val="TableParagraph"/>
              <w:spacing w:line="203" w:lineRule="exact"/>
              <w:ind w:right="157"/>
              <w:jc w:val="right"/>
              <w:rPr>
                <w:sz w:val="20"/>
              </w:rPr>
            </w:pPr>
            <w:r>
              <w:rPr>
                <w:spacing w:val="-4"/>
                <w:sz w:val="20"/>
              </w:rPr>
              <w:t>2375</w:t>
            </w:r>
          </w:p>
        </w:tc>
        <w:tc>
          <w:tcPr>
            <w:tcW w:w="2685" w:type="dxa"/>
          </w:tcPr>
          <w:p>
            <w:pPr>
              <w:pStyle w:val="TableParagraph"/>
              <w:spacing w:line="203" w:lineRule="exact"/>
              <w:ind w:left="157"/>
              <w:rPr>
                <w:sz w:val="20"/>
              </w:rPr>
            </w:pPr>
            <w:r>
              <w:rPr>
                <w:sz w:val="20"/>
              </w:rPr>
              <w:t>Mobwa</w:t>
            </w:r>
            <w:r>
              <w:rPr>
                <w:spacing w:val="-6"/>
                <w:sz w:val="20"/>
              </w:rPr>
              <w:t> </w:t>
            </w:r>
            <w:r>
              <w:rPr>
                <w:sz w:val="20"/>
              </w:rPr>
              <w:t>Karen</w:t>
            </w:r>
            <w:r>
              <w:rPr>
                <w:spacing w:val="-6"/>
                <w:sz w:val="20"/>
              </w:rPr>
              <w:t> </w:t>
            </w:r>
            <w:r>
              <w:rPr>
                <w:spacing w:val="-4"/>
                <w:sz w:val="20"/>
              </w:rPr>
              <w:t>(jkm)</w:t>
            </w:r>
          </w:p>
        </w:tc>
      </w:tr>
      <w:tr>
        <w:trPr>
          <w:trHeight w:val="235" w:hRule="atLeast"/>
        </w:trPr>
        <w:tc>
          <w:tcPr>
            <w:tcW w:w="8627" w:type="dxa"/>
            <w:gridSpan w:val="4"/>
          </w:tcPr>
          <w:p>
            <w:pPr>
              <w:pStyle w:val="TableParagraph"/>
              <w:tabs>
                <w:tab w:pos="5378" w:val="left" w:leader="none"/>
                <w:tab w:pos="6099" w:val="left" w:leader="none"/>
              </w:tabs>
              <w:spacing w:before="5"/>
              <w:ind w:left="50"/>
              <w:rPr>
                <w:sz w:val="20"/>
              </w:rPr>
            </w:pPr>
            <w:r>
              <w:rPr>
                <w:i/>
                <w:sz w:val="20"/>
              </w:rPr>
              <w:t>Tibeto-Burman</w:t>
            </w:r>
            <w:r>
              <w:rPr>
                <w:i/>
                <w:spacing w:val="-10"/>
                <w:sz w:val="20"/>
              </w:rPr>
              <w:t> </w:t>
            </w:r>
            <w:r>
              <w:rPr>
                <w:i/>
                <w:sz w:val="20"/>
              </w:rPr>
              <w:t>languages</w:t>
            </w:r>
            <w:r>
              <w:rPr>
                <w:i/>
                <w:spacing w:val="-10"/>
                <w:sz w:val="20"/>
              </w:rPr>
              <w:t> </w:t>
            </w:r>
            <w:r>
              <w:rPr>
                <w:i/>
                <w:sz w:val="20"/>
              </w:rPr>
              <w:t>(2060-</w:t>
            </w:r>
            <w:r>
              <w:rPr>
                <w:i/>
                <w:spacing w:val="-2"/>
                <w:sz w:val="20"/>
              </w:rPr>
              <w:t>2429)</w:t>
            </w:r>
            <w:r>
              <w:rPr>
                <w:i/>
                <w:sz w:val="20"/>
              </w:rPr>
              <w:tab/>
            </w:r>
            <w:r>
              <w:rPr>
                <w:spacing w:val="-4"/>
                <w:sz w:val="20"/>
              </w:rPr>
              <w:t>2380</w:t>
            </w:r>
            <w:r>
              <w:rPr>
                <w:sz w:val="20"/>
              </w:rPr>
              <w:tab/>
              <w:t>Pa'O</w:t>
            </w:r>
            <w:r>
              <w:rPr>
                <w:spacing w:val="-5"/>
                <w:sz w:val="20"/>
              </w:rPr>
              <w:t> </w:t>
            </w:r>
            <w:r>
              <w:rPr>
                <w:spacing w:val="-2"/>
                <w:sz w:val="20"/>
              </w:rPr>
              <w:t>(ppa)</w:t>
            </w:r>
          </w:p>
        </w:tc>
      </w:tr>
      <w:tr>
        <w:trPr>
          <w:trHeight w:val="233" w:hRule="atLeast"/>
        </w:trPr>
        <w:tc>
          <w:tcPr>
            <w:tcW w:w="612" w:type="dxa"/>
          </w:tcPr>
          <w:p>
            <w:pPr>
              <w:pStyle w:val="TableParagraph"/>
              <w:spacing w:line="208" w:lineRule="exact"/>
              <w:ind w:left="50"/>
              <w:rPr>
                <w:sz w:val="20"/>
              </w:rPr>
            </w:pPr>
            <w:r>
              <w:rPr>
                <w:spacing w:val="-4"/>
                <w:sz w:val="20"/>
              </w:rPr>
              <w:t>2060</w:t>
            </w:r>
          </w:p>
        </w:tc>
        <w:tc>
          <w:tcPr>
            <w:tcW w:w="3724" w:type="dxa"/>
          </w:tcPr>
          <w:p>
            <w:pPr>
              <w:pStyle w:val="TableParagraph"/>
              <w:spacing w:line="208" w:lineRule="exact"/>
              <w:ind w:left="158"/>
              <w:rPr>
                <w:sz w:val="20"/>
              </w:rPr>
            </w:pPr>
            <w:r>
              <w:rPr>
                <w:sz w:val="20"/>
              </w:rPr>
              <w:t>Kulung</w:t>
            </w:r>
            <w:r>
              <w:rPr>
                <w:spacing w:val="-7"/>
                <w:sz w:val="20"/>
              </w:rPr>
              <w:t> </w:t>
            </w:r>
            <w:r>
              <w:rPr>
                <w:sz w:val="20"/>
              </w:rPr>
              <w:t>(Nepal)</w:t>
            </w:r>
            <w:r>
              <w:rPr>
                <w:spacing w:val="-4"/>
                <w:sz w:val="20"/>
              </w:rPr>
              <w:t> (kle)</w:t>
            </w:r>
          </w:p>
        </w:tc>
        <w:tc>
          <w:tcPr>
            <w:tcW w:w="1606" w:type="dxa"/>
          </w:tcPr>
          <w:p>
            <w:pPr>
              <w:pStyle w:val="TableParagraph"/>
              <w:spacing w:line="208" w:lineRule="exact"/>
              <w:ind w:right="157"/>
              <w:jc w:val="right"/>
              <w:rPr>
                <w:sz w:val="20"/>
              </w:rPr>
            </w:pPr>
            <w:r>
              <w:rPr>
                <w:spacing w:val="-4"/>
                <w:sz w:val="20"/>
              </w:rPr>
              <w:t>2385</w:t>
            </w:r>
          </w:p>
        </w:tc>
        <w:tc>
          <w:tcPr>
            <w:tcW w:w="2685" w:type="dxa"/>
          </w:tcPr>
          <w:p>
            <w:pPr>
              <w:pStyle w:val="TableParagraph"/>
              <w:spacing w:line="208" w:lineRule="exact"/>
              <w:ind w:left="157"/>
              <w:rPr>
                <w:sz w:val="20"/>
              </w:rPr>
            </w:pPr>
            <w:r>
              <w:rPr>
                <w:sz w:val="20"/>
              </w:rPr>
              <w:t>Pwo</w:t>
            </w:r>
            <w:r>
              <w:rPr>
                <w:spacing w:val="-4"/>
                <w:sz w:val="20"/>
              </w:rPr>
              <w:t> </w:t>
            </w:r>
            <w:r>
              <w:rPr>
                <w:sz w:val="20"/>
              </w:rPr>
              <w:t>Eastern</w:t>
            </w:r>
            <w:r>
              <w:rPr>
                <w:spacing w:val="-6"/>
                <w:sz w:val="20"/>
              </w:rPr>
              <w:t> </w:t>
            </w:r>
            <w:r>
              <w:rPr>
                <w:sz w:val="20"/>
              </w:rPr>
              <w:t>Karen</w:t>
            </w:r>
            <w:r>
              <w:rPr>
                <w:spacing w:val="-6"/>
                <w:sz w:val="20"/>
              </w:rPr>
              <w:t> </w:t>
            </w:r>
            <w:r>
              <w:rPr>
                <w:spacing w:val="-4"/>
                <w:sz w:val="20"/>
              </w:rPr>
              <w:t>(kjp)</w:t>
            </w:r>
          </w:p>
        </w:tc>
      </w:tr>
      <w:tr>
        <w:trPr>
          <w:trHeight w:val="233" w:hRule="atLeast"/>
        </w:trPr>
        <w:tc>
          <w:tcPr>
            <w:tcW w:w="612" w:type="dxa"/>
          </w:tcPr>
          <w:p>
            <w:pPr>
              <w:pStyle w:val="TableParagraph"/>
              <w:spacing w:line="213" w:lineRule="exact"/>
              <w:ind w:left="50"/>
              <w:rPr>
                <w:sz w:val="20"/>
              </w:rPr>
            </w:pPr>
            <w:r>
              <w:rPr>
                <w:spacing w:val="-4"/>
                <w:sz w:val="20"/>
              </w:rPr>
              <w:t>2065</w:t>
            </w:r>
          </w:p>
        </w:tc>
        <w:tc>
          <w:tcPr>
            <w:tcW w:w="3724" w:type="dxa"/>
          </w:tcPr>
          <w:p>
            <w:pPr>
              <w:pStyle w:val="TableParagraph"/>
              <w:spacing w:line="213" w:lineRule="exact"/>
              <w:ind w:left="158"/>
              <w:rPr>
                <w:sz w:val="20"/>
              </w:rPr>
            </w:pPr>
            <w:r>
              <w:rPr>
                <w:sz w:val="20"/>
              </w:rPr>
              <w:t>Gamale</w:t>
            </w:r>
            <w:r>
              <w:rPr>
                <w:spacing w:val="-6"/>
                <w:sz w:val="20"/>
              </w:rPr>
              <w:t> </w:t>
            </w:r>
            <w:r>
              <w:rPr>
                <w:sz w:val="20"/>
              </w:rPr>
              <w:t>Kham</w:t>
            </w:r>
            <w:r>
              <w:rPr>
                <w:spacing w:val="-10"/>
                <w:sz w:val="20"/>
              </w:rPr>
              <w:t> </w:t>
            </w:r>
            <w:r>
              <w:rPr>
                <w:spacing w:val="-4"/>
                <w:sz w:val="20"/>
              </w:rPr>
              <w:t>(kgj)</w:t>
            </w:r>
          </w:p>
        </w:tc>
        <w:tc>
          <w:tcPr>
            <w:tcW w:w="1606" w:type="dxa"/>
          </w:tcPr>
          <w:p>
            <w:pPr>
              <w:pStyle w:val="TableParagraph"/>
              <w:spacing w:line="213" w:lineRule="exact"/>
              <w:ind w:right="157"/>
              <w:jc w:val="right"/>
              <w:rPr>
                <w:sz w:val="20"/>
              </w:rPr>
            </w:pPr>
            <w:r>
              <w:rPr>
                <w:spacing w:val="-4"/>
                <w:sz w:val="20"/>
              </w:rPr>
              <w:t>2390</w:t>
            </w:r>
          </w:p>
        </w:tc>
        <w:tc>
          <w:tcPr>
            <w:tcW w:w="2685" w:type="dxa"/>
          </w:tcPr>
          <w:p>
            <w:pPr>
              <w:pStyle w:val="TableParagraph"/>
              <w:spacing w:line="213" w:lineRule="exact"/>
              <w:ind w:left="157"/>
              <w:rPr>
                <w:sz w:val="20"/>
              </w:rPr>
            </w:pPr>
            <w:r>
              <w:rPr>
                <w:sz w:val="20"/>
              </w:rPr>
              <w:t>S'gaw</w:t>
            </w:r>
            <w:r>
              <w:rPr>
                <w:spacing w:val="-6"/>
                <w:sz w:val="20"/>
              </w:rPr>
              <w:t> </w:t>
            </w:r>
            <w:r>
              <w:rPr>
                <w:sz w:val="20"/>
              </w:rPr>
              <w:t>Karen</w:t>
            </w:r>
            <w:r>
              <w:rPr>
                <w:spacing w:val="-4"/>
                <w:sz w:val="20"/>
              </w:rPr>
              <w:t> (ksw)</w:t>
            </w:r>
          </w:p>
        </w:tc>
      </w:tr>
      <w:tr>
        <w:trPr>
          <w:trHeight w:val="225" w:hRule="atLeast"/>
        </w:trPr>
        <w:tc>
          <w:tcPr>
            <w:tcW w:w="612" w:type="dxa"/>
          </w:tcPr>
          <w:p>
            <w:pPr>
              <w:pStyle w:val="TableParagraph"/>
              <w:spacing w:line="205" w:lineRule="exact"/>
              <w:ind w:left="50"/>
              <w:rPr>
                <w:sz w:val="20"/>
              </w:rPr>
            </w:pPr>
            <w:r>
              <w:rPr>
                <w:spacing w:val="-4"/>
                <w:sz w:val="20"/>
              </w:rPr>
              <w:t>2075</w:t>
            </w:r>
          </w:p>
        </w:tc>
        <w:tc>
          <w:tcPr>
            <w:tcW w:w="3724" w:type="dxa"/>
          </w:tcPr>
          <w:p>
            <w:pPr>
              <w:pStyle w:val="TableParagraph"/>
              <w:spacing w:line="205" w:lineRule="exact"/>
              <w:ind w:left="158"/>
              <w:rPr>
                <w:sz w:val="20"/>
              </w:rPr>
            </w:pPr>
            <w:r>
              <w:rPr>
                <w:sz w:val="20"/>
              </w:rPr>
              <w:t>Nepal</w:t>
            </w:r>
            <w:r>
              <w:rPr>
                <w:spacing w:val="-5"/>
                <w:sz w:val="20"/>
              </w:rPr>
              <w:t> </w:t>
            </w:r>
            <w:r>
              <w:rPr>
                <w:sz w:val="20"/>
              </w:rPr>
              <w:t>Bhasa</w:t>
            </w:r>
            <w:r>
              <w:rPr>
                <w:spacing w:val="-5"/>
                <w:sz w:val="20"/>
              </w:rPr>
              <w:t> </w:t>
            </w:r>
            <w:r>
              <w:rPr>
                <w:spacing w:val="-4"/>
                <w:sz w:val="20"/>
              </w:rPr>
              <w:t>(new)</w:t>
            </w:r>
          </w:p>
        </w:tc>
        <w:tc>
          <w:tcPr>
            <w:tcW w:w="1606" w:type="dxa"/>
          </w:tcPr>
          <w:p>
            <w:pPr>
              <w:pStyle w:val="TableParagraph"/>
              <w:spacing w:line="240" w:lineRule="auto"/>
              <w:rPr>
                <w:sz w:val="16"/>
              </w:rPr>
            </w:pPr>
          </w:p>
        </w:tc>
        <w:tc>
          <w:tcPr>
            <w:tcW w:w="2685" w:type="dxa"/>
          </w:tcPr>
          <w:p>
            <w:pPr>
              <w:pStyle w:val="TableParagraph"/>
              <w:spacing w:line="240" w:lineRule="auto"/>
              <w:rPr>
                <w:sz w:val="16"/>
              </w:rPr>
            </w:pPr>
          </w:p>
        </w:tc>
      </w:tr>
      <w:tr>
        <w:trPr>
          <w:trHeight w:val="232" w:hRule="atLeast"/>
        </w:trPr>
        <w:tc>
          <w:tcPr>
            <w:tcW w:w="612" w:type="dxa"/>
          </w:tcPr>
          <w:p>
            <w:pPr>
              <w:pStyle w:val="TableParagraph"/>
              <w:spacing w:line="208" w:lineRule="exact"/>
              <w:ind w:left="50"/>
              <w:rPr>
                <w:sz w:val="20"/>
              </w:rPr>
            </w:pPr>
            <w:r>
              <w:rPr>
                <w:spacing w:val="-4"/>
                <w:sz w:val="20"/>
              </w:rPr>
              <w:t>2080</w:t>
            </w:r>
          </w:p>
        </w:tc>
        <w:tc>
          <w:tcPr>
            <w:tcW w:w="3724" w:type="dxa"/>
          </w:tcPr>
          <w:p>
            <w:pPr>
              <w:pStyle w:val="TableParagraph"/>
              <w:spacing w:line="208" w:lineRule="exact"/>
              <w:ind w:left="158"/>
              <w:rPr>
                <w:sz w:val="20"/>
              </w:rPr>
            </w:pPr>
            <w:r>
              <w:rPr>
                <w:sz w:val="20"/>
              </w:rPr>
              <w:t>Balti</w:t>
            </w:r>
            <w:r>
              <w:rPr>
                <w:spacing w:val="-4"/>
                <w:sz w:val="20"/>
              </w:rPr>
              <w:t> </w:t>
            </w:r>
            <w:r>
              <w:rPr>
                <w:spacing w:val="-2"/>
                <w:sz w:val="20"/>
              </w:rPr>
              <w:t>(bft)</w:t>
            </w:r>
          </w:p>
        </w:tc>
        <w:tc>
          <w:tcPr>
            <w:tcW w:w="4291" w:type="dxa"/>
            <w:gridSpan w:val="2"/>
          </w:tcPr>
          <w:p>
            <w:pPr>
              <w:pStyle w:val="TableParagraph"/>
              <w:spacing w:line="208" w:lineRule="exact"/>
              <w:ind w:left="1043"/>
              <w:rPr>
                <w:i/>
                <w:sz w:val="20"/>
              </w:rPr>
            </w:pPr>
            <w:r>
              <w:rPr>
                <w:i/>
                <w:sz w:val="20"/>
                <w:u w:val="single"/>
              </w:rPr>
              <w:t>Tai-Kadai</w:t>
            </w:r>
            <w:r>
              <w:rPr>
                <w:i/>
                <w:spacing w:val="-9"/>
                <w:sz w:val="20"/>
                <w:u w:val="single"/>
              </w:rPr>
              <w:t> </w:t>
            </w:r>
            <w:r>
              <w:rPr>
                <w:i/>
                <w:sz w:val="20"/>
                <w:u w:val="single"/>
              </w:rPr>
              <w:t>languages</w:t>
            </w:r>
            <w:r>
              <w:rPr>
                <w:i/>
                <w:spacing w:val="-9"/>
                <w:sz w:val="20"/>
                <w:u w:val="single"/>
              </w:rPr>
              <w:t> </w:t>
            </w:r>
            <w:r>
              <w:rPr>
                <w:i/>
                <w:sz w:val="20"/>
                <w:u w:val="single"/>
              </w:rPr>
              <w:t>(2430-</w:t>
            </w:r>
            <w:r>
              <w:rPr>
                <w:i/>
                <w:spacing w:val="-2"/>
                <w:sz w:val="20"/>
                <w:u w:val="single"/>
              </w:rPr>
              <w:t>2524)</w:t>
            </w:r>
          </w:p>
        </w:tc>
      </w:tr>
      <w:tr>
        <w:trPr>
          <w:trHeight w:val="227" w:hRule="atLeast"/>
        </w:trPr>
        <w:tc>
          <w:tcPr>
            <w:tcW w:w="612" w:type="dxa"/>
          </w:tcPr>
          <w:p>
            <w:pPr>
              <w:pStyle w:val="TableParagraph"/>
              <w:spacing w:line="208" w:lineRule="exact"/>
              <w:ind w:left="50"/>
              <w:rPr>
                <w:sz w:val="20"/>
              </w:rPr>
            </w:pPr>
            <w:r>
              <w:rPr>
                <w:spacing w:val="-4"/>
                <w:sz w:val="20"/>
              </w:rPr>
              <w:t>2085</w:t>
            </w:r>
          </w:p>
        </w:tc>
        <w:tc>
          <w:tcPr>
            <w:tcW w:w="3724" w:type="dxa"/>
          </w:tcPr>
          <w:p>
            <w:pPr>
              <w:pStyle w:val="TableParagraph"/>
              <w:spacing w:line="208" w:lineRule="exact"/>
              <w:ind w:left="158"/>
              <w:rPr>
                <w:sz w:val="20"/>
              </w:rPr>
            </w:pPr>
            <w:r>
              <w:rPr>
                <w:sz w:val="20"/>
              </w:rPr>
              <w:t>Dzongkha</w:t>
            </w:r>
            <w:r>
              <w:rPr>
                <w:spacing w:val="-10"/>
                <w:sz w:val="20"/>
              </w:rPr>
              <w:t> </w:t>
            </w:r>
            <w:r>
              <w:rPr>
                <w:spacing w:val="-2"/>
                <w:sz w:val="20"/>
              </w:rPr>
              <w:t>(dzo)</w:t>
            </w:r>
          </w:p>
        </w:tc>
        <w:tc>
          <w:tcPr>
            <w:tcW w:w="4291" w:type="dxa"/>
            <w:gridSpan w:val="2"/>
          </w:tcPr>
          <w:p>
            <w:pPr>
              <w:pStyle w:val="TableParagraph"/>
              <w:spacing w:line="240" w:lineRule="auto"/>
              <w:rPr>
                <w:sz w:val="16"/>
              </w:rPr>
            </w:pPr>
          </w:p>
        </w:tc>
      </w:tr>
      <w:tr>
        <w:trPr>
          <w:trHeight w:val="227" w:hRule="atLeast"/>
        </w:trPr>
        <w:tc>
          <w:tcPr>
            <w:tcW w:w="612" w:type="dxa"/>
          </w:tcPr>
          <w:p>
            <w:pPr>
              <w:pStyle w:val="TableParagraph"/>
              <w:spacing w:line="208" w:lineRule="exact"/>
              <w:ind w:left="50"/>
              <w:rPr>
                <w:sz w:val="20"/>
              </w:rPr>
            </w:pPr>
            <w:r>
              <w:rPr>
                <w:spacing w:val="-4"/>
                <w:sz w:val="20"/>
              </w:rPr>
              <w:t>2090</w:t>
            </w:r>
          </w:p>
        </w:tc>
        <w:tc>
          <w:tcPr>
            <w:tcW w:w="3724" w:type="dxa"/>
          </w:tcPr>
          <w:p>
            <w:pPr>
              <w:pStyle w:val="TableParagraph"/>
              <w:spacing w:line="208" w:lineRule="exact"/>
              <w:ind w:left="158"/>
              <w:rPr>
                <w:sz w:val="20"/>
              </w:rPr>
            </w:pPr>
            <w:r>
              <w:rPr>
                <w:sz w:val="20"/>
              </w:rPr>
              <w:t>Sikkimese</w:t>
            </w:r>
            <w:r>
              <w:rPr>
                <w:spacing w:val="-11"/>
                <w:sz w:val="20"/>
              </w:rPr>
              <w:t> </w:t>
            </w:r>
            <w:r>
              <w:rPr>
                <w:spacing w:val="-2"/>
                <w:sz w:val="20"/>
              </w:rPr>
              <w:t>(sip)</w:t>
            </w:r>
          </w:p>
        </w:tc>
        <w:tc>
          <w:tcPr>
            <w:tcW w:w="4291" w:type="dxa"/>
            <w:gridSpan w:val="2"/>
          </w:tcPr>
          <w:p>
            <w:pPr>
              <w:pStyle w:val="TableParagraph"/>
              <w:spacing w:line="208" w:lineRule="exact"/>
              <w:ind w:left="1043"/>
              <w:rPr>
                <w:i/>
                <w:sz w:val="20"/>
              </w:rPr>
            </w:pPr>
            <w:r>
              <w:rPr>
                <w:i/>
                <w:sz w:val="20"/>
              </w:rPr>
              <w:t>Thai</w:t>
            </w:r>
            <w:r>
              <w:rPr>
                <w:i/>
                <w:spacing w:val="-8"/>
                <w:sz w:val="20"/>
              </w:rPr>
              <w:t> </w:t>
            </w:r>
            <w:r>
              <w:rPr>
                <w:i/>
                <w:sz w:val="20"/>
              </w:rPr>
              <w:t>(2430-</w:t>
            </w:r>
            <w:r>
              <w:rPr>
                <w:i/>
                <w:spacing w:val="-2"/>
                <w:sz w:val="20"/>
              </w:rPr>
              <w:t>2474)</w:t>
            </w:r>
          </w:p>
        </w:tc>
      </w:tr>
      <w:tr>
        <w:trPr>
          <w:trHeight w:val="232" w:hRule="atLeast"/>
        </w:trPr>
        <w:tc>
          <w:tcPr>
            <w:tcW w:w="612" w:type="dxa"/>
          </w:tcPr>
          <w:p>
            <w:pPr>
              <w:pStyle w:val="TableParagraph"/>
              <w:spacing w:line="208" w:lineRule="exact"/>
              <w:ind w:left="50"/>
              <w:rPr>
                <w:sz w:val="20"/>
              </w:rPr>
            </w:pPr>
            <w:r>
              <w:rPr>
                <w:spacing w:val="-4"/>
                <w:sz w:val="20"/>
              </w:rPr>
              <w:t>2092</w:t>
            </w:r>
          </w:p>
        </w:tc>
        <w:tc>
          <w:tcPr>
            <w:tcW w:w="3724" w:type="dxa"/>
          </w:tcPr>
          <w:p>
            <w:pPr>
              <w:pStyle w:val="TableParagraph"/>
              <w:spacing w:line="208" w:lineRule="exact"/>
              <w:ind w:left="158"/>
              <w:rPr>
                <w:sz w:val="20"/>
              </w:rPr>
            </w:pPr>
            <w:r>
              <w:rPr>
                <w:sz w:val="20"/>
              </w:rPr>
              <w:t>Tshangla</w:t>
            </w:r>
            <w:r>
              <w:rPr>
                <w:spacing w:val="-12"/>
                <w:sz w:val="20"/>
              </w:rPr>
              <w:t> </w:t>
            </w:r>
            <w:r>
              <w:rPr>
                <w:spacing w:val="-2"/>
                <w:sz w:val="20"/>
              </w:rPr>
              <w:t>(tsj)</w:t>
            </w:r>
          </w:p>
        </w:tc>
        <w:tc>
          <w:tcPr>
            <w:tcW w:w="1606" w:type="dxa"/>
          </w:tcPr>
          <w:p>
            <w:pPr>
              <w:pStyle w:val="TableParagraph"/>
              <w:spacing w:line="208" w:lineRule="exact"/>
              <w:ind w:right="157"/>
              <w:jc w:val="right"/>
              <w:rPr>
                <w:sz w:val="20"/>
              </w:rPr>
            </w:pPr>
            <w:r>
              <w:rPr>
                <w:spacing w:val="-4"/>
                <w:sz w:val="20"/>
              </w:rPr>
              <w:t>2430</w:t>
            </w:r>
          </w:p>
        </w:tc>
        <w:tc>
          <w:tcPr>
            <w:tcW w:w="2685" w:type="dxa"/>
          </w:tcPr>
          <w:p>
            <w:pPr>
              <w:pStyle w:val="TableParagraph"/>
              <w:spacing w:line="208" w:lineRule="exact"/>
              <w:ind w:left="157"/>
              <w:rPr>
                <w:sz w:val="20"/>
              </w:rPr>
            </w:pPr>
            <w:r>
              <w:rPr>
                <w:sz w:val="20"/>
              </w:rPr>
              <w:t>Thai</w:t>
            </w:r>
            <w:r>
              <w:rPr>
                <w:spacing w:val="-4"/>
                <w:sz w:val="20"/>
              </w:rPr>
              <w:t> </w:t>
            </w:r>
            <w:r>
              <w:rPr>
                <w:spacing w:val="-2"/>
                <w:sz w:val="20"/>
              </w:rPr>
              <w:t>(tha)</w:t>
            </w:r>
          </w:p>
        </w:tc>
      </w:tr>
      <w:tr>
        <w:trPr>
          <w:trHeight w:val="230" w:hRule="atLeast"/>
        </w:trPr>
        <w:tc>
          <w:tcPr>
            <w:tcW w:w="612" w:type="dxa"/>
          </w:tcPr>
          <w:p>
            <w:pPr>
              <w:pStyle w:val="TableParagraph"/>
              <w:ind w:left="50"/>
              <w:rPr>
                <w:sz w:val="20"/>
              </w:rPr>
            </w:pPr>
            <w:r>
              <w:rPr>
                <w:spacing w:val="-4"/>
                <w:sz w:val="20"/>
              </w:rPr>
              <w:t>2095</w:t>
            </w:r>
          </w:p>
        </w:tc>
        <w:tc>
          <w:tcPr>
            <w:tcW w:w="3724" w:type="dxa"/>
          </w:tcPr>
          <w:p>
            <w:pPr>
              <w:pStyle w:val="TableParagraph"/>
              <w:ind w:left="158"/>
              <w:rPr>
                <w:sz w:val="20"/>
              </w:rPr>
            </w:pPr>
            <w:r>
              <w:rPr>
                <w:sz w:val="20"/>
              </w:rPr>
              <w:t>Sherpa</w:t>
            </w:r>
            <w:r>
              <w:rPr>
                <w:spacing w:val="-6"/>
                <w:sz w:val="20"/>
              </w:rPr>
              <w:t> </w:t>
            </w:r>
            <w:r>
              <w:rPr>
                <w:spacing w:val="-2"/>
                <w:sz w:val="20"/>
              </w:rPr>
              <w:t>(xsr)</w:t>
            </w:r>
          </w:p>
        </w:tc>
        <w:tc>
          <w:tcPr>
            <w:tcW w:w="1606" w:type="dxa"/>
          </w:tcPr>
          <w:p>
            <w:pPr>
              <w:pStyle w:val="TableParagraph"/>
              <w:ind w:right="157"/>
              <w:jc w:val="right"/>
              <w:rPr>
                <w:sz w:val="20"/>
              </w:rPr>
            </w:pPr>
            <w:r>
              <w:rPr>
                <w:spacing w:val="-4"/>
                <w:sz w:val="20"/>
              </w:rPr>
              <w:t>2435</w:t>
            </w:r>
          </w:p>
        </w:tc>
        <w:tc>
          <w:tcPr>
            <w:tcW w:w="2685" w:type="dxa"/>
          </w:tcPr>
          <w:p>
            <w:pPr>
              <w:pStyle w:val="TableParagraph"/>
              <w:ind w:left="157"/>
              <w:rPr>
                <w:sz w:val="20"/>
              </w:rPr>
            </w:pPr>
            <w:r>
              <w:rPr>
                <w:sz w:val="20"/>
              </w:rPr>
              <w:t>Northeastern</w:t>
            </w:r>
            <w:r>
              <w:rPr>
                <w:spacing w:val="-9"/>
                <w:sz w:val="20"/>
              </w:rPr>
              <w:t> </w:t>
            </w:r>
            <w:r>
              <w:rPr>
                <w:sz w:val="20"/>
              </w:rPr>
              <w:t>Thai</w:t>
            </w:r>
            <w:r>
              <w:rPr>
                <w:spacing w:val="-8"/>
                <w:sz w:val="20"/>
              </w:rPr>
              <w:t> </w:t>
            </w:r>
            <w:r>
              <w:rPr>
                <w:spacing w:val="-4"/>
                <w:sz w:val="20"/>
              </w:rPr>
              <w:t>(tts)</w:t>
            </w:r>
          </w:p>
        </w:tc>
      </w:tr>
      <w:tr>
        <w:trPr>
          <w:trHeight w:val="229" w:hRule="atLeast"/>
        </w:trPr>
        <w:tc>
          <w:tcPr>
            <w:tcW w:w="612" w:type="dxa"/>
          </w:tcPr>
          <w:p>
            <w:pPr>
              <w:pStyle w:val="TableParagraph"/>
              <w:spacing w:line="209" w:lineRule="exact"/>
              <w:ind w:left="50"/>
              <w:rPr>
                <w:sz w:val="20"/>
              </w:rPr>
            </w:pPr>
            <w:r>
              <w:rPr>
                <w:spacing w:val="-4"/>
                <w:sz w:val="20"/>
              </w:rPr>
              <w:t>2100</w:t>
            </w:r>
          </w:p>
        </w:tc>
        <w:tc>
          <w:tcPr>
            <w:tcW w:w="3724" w:type="dxa"/>
          </w:tcPr>
          <w:p>
            <w:pPr>
              <w:pStyle w:val="TableParagraph"/>
              <w:spacing w:line="209" w:lineRule="exact"/>
              <w:ind w:left="158"/>
              <w:rPr>
                <w:sz w:val="20"/>
              </w:rPr>
            </w:pPr>
            <w:r>
              <w:rPr>
                <w:sz w:val="20"/>
              </w:rPr>
              <w:t>Tibetan</w:t>
            </w:r>
            <w:r>
              <w:rPr>
                <w:spacing w:val="-6"/>
                <w:sz w:val="20"/>
              </w:rPr>
              <w:t> </w:t>
            </w:r>
            <w:r>
              <w:rPr>
                <w:spacing w:val="-2"/>
                <w:sz w:val="20"/>
              </w:rPr>
              <w:t>(bod)</w:t>
            </w:r>
          </w:p>
        </w:tc>
        <w:tc>
          <w:tcPr>
            <w:tcW w:w="1606" w:type="dxa"/>
          </w:tcPr>
          <w:p>
            <w:pPr>
              <w:pStyle w:val="TableParagraph"/>
              <w:spacing w:line="209" w:lineRule="exact"/>
              <w:ind w:right="157"/>
              <w:jc w:val="right"/>
              <w:rPr>
                <w:sz w:val="20"/>
              </w:rPr>
            </w:pPr>
            <w:r>
              <w:rPr>
                <w:spacing w:val="-4"/>
                <w:sz w:val="20"/>
              </w:rPr>
              <w:t>2440</w:t>
            </w:r>
          </w:p>
        </w:tc>
        <w:tc>
          <w:tcPr>
            <w:tcW w:w="2685" w:type="dxa"/>
          </w:tcPr>
          <w:p>
            <w:pPr>
              <w:pStyle w:val="TableParagraph"/>
              <w:spacing w:line="209" w:lineRule="exact"/>
              <w:ind w:left="157"/>
              <w:rPr>
                <w:sz w:val="20"/>
              </w:rPr>
            </w:pPr>
            <w:r>
              <w:rPr>
                <w:sz w:val="20"/>
              </w:rPr>
              <w:t>Phu</w:t>
            </w:r>
            <w:r>
              <w:rPr>
                <w:spacing w:val="-5"/>
                <w:sz w:val="20"/>
              </w:rPr>
              <w:t> </w:t>
            </w:r>
            <w:r>
              <w:rPr>
                <w:sz w:val="20"/>
              </w:rPr>
              <w:t>Thai</w:t>
            </w:r>
            <w:r>
              <w:rPr>
                <w:spacing w:val="-4"/>
                <w:sz w:val="20"/>
              </w:rPr>
              <w:t> </w:t>
            </w:r>
            <w:r>
              <w:rPr>
                <w:spacing w:val="-2"/>
                <w:sz w:val="20"/>
              </w:rPr>
              <w:t>(pht)</w:t>
            </w:r>
          </w:p>
        </w:tc>
      </w:tr>
      <w:tr>
        <w:trPr>
          <w:trHeight w:val="229" w:hRule="atLeast"/>
        </w:trPr>
        <w:tc>
          <w:tcPr>
            <w:tcW w:w="612" w:type="dxa"/>
          </w:tcPr>
          <w:p>
            <w:pPr>
              <w:pStyle w:val="TableParagraph"/>
              <w:spacing w:line="209" w:lineRule="exact"/>
              <w:ind w:left="50"/>
              <w:rPr>
                <w:sz w:val="20"/>
              </w:rPr>
            </w:pPr>
            <w:r>
              <w:rPr>
                <w:spacing w:val="-4"/>
                <w:sz w:val="20"/>
              </w:rPr>
              <w:t>2105</w:t>
            </w:r>
          </w:p>
        </w:tc>
        <w:tc>
          <w:tcPr>
            <w:tcW w:w="3724" w:type="dxa"/>
          </w:tcPr>
          <w:p>
            <w:pPr>
              <w:pStyle w:val="TableParagraph"/>
              <w:spacing w:line="209" w:lineRule="exact"/>
              <w:ind w:left="158"/>
              <w:rPr>
                <w:sz w:val="20"/>
              </w:rPr>
            </w:pPr>
            <w:r>
              <w:rPr>
                <w:sz w:val="20"/>
              </w:rPr>
              <w:t>Khams</w:t>
            </w:r>
            <w:r>
              <w:rPr>
                <w:spacing w:val="-7"/>
                <w:sz w:val="20"/>
              </w:rPr>
              <w:t> </w:t>
            </w:r>
            <w:r>
              <w:rPr>
                <w:sz w:val="20"/>
              </w:rPr>
              <w:t>Tibetan</w:t>
            </w:r>
            <w:r>
              <w:rPr>
                <w:spacing w:val="-6"/>
                <w:sz w:val="20"/>
              </w:rPr>
              <w:t> </w:t>
            </w:r>
            <w:r>
              <w:rPr>
                <w:spacing w:val="-4"/>
                <w:sz w:val="20"/>
              </w:rPr>
              <w:t>(khg)</w:t>
            </w:r>
          </w:p>
        </w:tc>
        <w:tc>
          <w:tcPr>
            <w:tcW w:w="1606" w:type="dxa"/>
          </w:tcPr>
          <w:p>
            <w:pPr>
              <w:pStyle w:val="TableParagraph"/>
              <w:spacing w:line="209" w:lineRule="exact"/>
              <w:ind w:right="157"/>
              <w:jc w:val="right"/>
              <w:rPr>
                <w:sz w:val="20"/>
              </w:rPr>
            </w:pPr>
            <w:r>
              <w:rPr>
                <w:spacing w:val="-4"/>
                <w:sz w:val="20"/>
              </w:rPr>
              <w:t>2445</w:t>
            </w:r>
          </w:p>
        </w:tc>
        <w:tc>
          <w:tcPr>
            <w:tcW w:w="2685" w:type="dxa"/>
          </w:tcPr>
          <w:p>
            <w:pPr>
              <w:pStyle w:val="TableParagraph"/>
              <w:spacing w:line="209" w:lineRule="exact"/>
              <w:ind w:left="157"/>
              <w:rPr>
                <w:sz w:val="20"/>
              </w:rPr>
            </w:pPr>
            <w:r>
              <w:rPr>
                <w:sz w:val="20"/>
              </w:rPr>
              <w:t>Lü</w:t>
            </w:r>
            <w:r>
              <w:rPr>
                <w:spacing w:val="-4"/>
                <w:sz w:val="20"/>
              </w:rPr>
              <w:t> </w:t>
            </w:r>
            <w:r>
              <w:rPr>
                <w:spacing w:val="-2"/>
                <w:sz w:val="20"/>
              </w:rPr>
              <w:t>(khb)</w:t>
            </w:r>
          </w:p>
        </w:tc>
      </w:tr>
      <w:tr>
        <w:trPr>
          <w:trHeight w:val="230" w:hRule="atLeast"/>
        </w:trPr>
        <w:tc>
          <w:tcPr>
            <w:tcW w:w="612" w:type="dxa"/>
          </w:tcPr>
          <w:p>
            <w:pPr>
              <w:pStyle w:val="TableParagraph"/>
              <w:ind w:left="50"/>
              <w:rPr>
                <w:sz w:val="20"/>
              </w:rPr>
            </w:pPr>
            <w:r>
              <w:rPr>
                <w:spacing w:val="-4"/>
                <w:sz w:val="20"/>
              </w:rPr>
              <w:t>2115</w:t>
            </w:r>
          </w:p>
        </w:tc>
        <w:tc>
          <w:tcPr>
            <w:tcW w:w="3724" w:type="dxa"/>
          </w:tcPr>
          <w:p>
            <w:pPr>
              <w:pStyle w:val="TableParagraph"/>
              <w:ind w:left="158"/>
              <w:rPr>
                <w:sz w:val="20"/>
              </w:rPr>
            </w:pPr>
            <w:r>
              <w:rPr>
                <w:sz w:val="20"/>
              </w:rPr>
              <w:t>Gurung</w:t>
            </w:r>
            <w:r>
              <w:rPr>
                <w:spacing w:val="-7"/>
                <w:sz w:val="20"/>
              </w:rPr>
              <w:t> </w:t>
            </w:r>
            <w:r>
              <w:rPr>
                <w:spacing w:val="-2"/>
                <w:sz w:val="20"/>
              </w:rPr>
              <w:t>(gvr)</w:t>
            </w:r>
          </w:p>
        </w:tc>
        <w:tc>
          <w:tcPr>
            <w:tcW w:w="1606" w:type="dxa"/>
          </w:tcPr>
          <w:p>
            <w:pPr>
              <w:pStyle w:val="TableParagraph"/>
              <w:ind w:right="157"/>
              <w:jc w:val="right"/>
              <w:rPr>
                <w:sz w:val="20"/>
              </w:rPr>
            </w:pPr>
            <w:r>
              <w:rPr>
                <w:spacing w:val="-4"/>
                <w:sz w:val="20"/>
              </w:rPr>
              <w:t>2450</w:t>
            </w:r>
          </w:p>
        </w:tc>
        <w:tc>
          <w:tcPr>
            <w:tcW w:w="2685" w:type="dxa"/>
          </w:tcPr>
          <w:p>
            <w:pPr>
              <w:pStyle w:val="TableParagraph"/>
              <w:ind w:left="157"/>
              <w:rPr>
                <w:sz w:val="20"/>
              </w:rPr>
            </w:pPr>
            <w:r>
              <w:rPr>
                <w:sz w:val="20"/>
              </w:rPr>
              <w:t>Nyaw</w:t>
            </w:r>
            <w:r>
              <w:rPr>
                <w:spacing w:val="-7"/>
                <w:sz w:val="20"/>
              </w:rPr>
              <w:t> </w:t>
            </w:r>
            <w:r>
              <w:rPr>
                <w:spacing w:val="-4"/>
                <w:sz w:val="20"/>
              </w:rPr>
              <w:t>(nyw)</w:t>
            </w:r>
          </w:p>
        </w:tc>
      </w:tr>
      <w:tr>
        <w:trPr>
          <w:trHeight w:val="230" w:hRule="atLeast"/>
        </w:trPr>
        <w:tc>
          <w:tcPr>
            <w:tcW w:w="612" w:type="dxa"/>
          </w:tcPr>
          <w:p>
            <w:pPr>
              <w:pStyle w:val="TableParagraph"/>
              <w:ind w:left="50"/>
              <w:rPr>
                <w:sz w:val="20"/>
              </w:rPr>
            </w:pPr>
            <w:r>
              <w:rPr>
                <w:spacing w:val="-4"/>
                <w:sz w:val="20"/>
              </w:rPr>
              <w:t>2120</w:t>
            </w:r>
          </w:p>
        </w:tc>
        <w:tc>
          <w:tcPr>
            <w:tcW w:w="3724" w:type="dxa"/>
          </w:tcPr>
          <w:p>
            <w:pPr>
              <w:pStyle w:val="TableParagraph"/>
              <w:ind w:left="158"/>
              <w:rPr>
                <w:sz w:val="20"/>
              </w:rPr>
            </w:pPr>
            <w:r>
              <w:rPr>
                <w:sz w:val="20"/>
              </w:rPr>
              <w:t>Eastern</w:t>
            </w:r>
            <w:r>
              <w:rPr>
                <w:spacing w:val="-7"/>
                <w:sz w:val="20"/>
              </w:rPr>
              <w:t> </w:t>
            </w:r>
            <w:r>
              <w:rPr>
                <w:sz w:val="20"/>
              </w:rPr>
              <w:t>Tamang</w:t>
            </w:r>
            <w:r>
              <w:rPr>
                <w:spacing w:val="-7"/>
                <w:sz w:val="20"/>
              </w:rPr>
              <w:t> </w:t>
            </w:r>
            <w:r>
              <w:rPr>
                <w:spacing w:val="-4"/>
                <w:sz w:val="20"/>
              </w:rPr>
              <w:t>(taj)</w:t>
            </w:r>
          </w:p>
        </w:tc>
        <w:tc>
          <w:tcPr>
            <w:tcW w:w="1606" w:type="dxa"/>
          </w:tcPr>
          <w:p>
            <w:pPr>
              <w:pStyle w:val="TableParagraph"/>
              <w:ind w:right="157"/>
              <w:jc w:val="right"/>
              <w:rPr>
                <w:sz w:val="20"/>
              </w:rPr>
            </w:pPr>
            <w:r>
              <w:rPr>
                <w:spacing w:val="-4"/>
                <w:sz w:val="20"/>
              </w:rPr>
              <w:t>2455</w:t>
            </w:r>
          </w:p>
        </w:tc>
        <w:tc>
          <w:tcPr>
            <w:tcW w:w="2685" w:type="dxa"/>
          </w:tcPr>
          <w:p>
            <w:pPr>
              <w:pStyle w:val="TableParagraph"/>
              <w:ind w:left="157"/>
              <w:rPr>
                <w:sz w:val="20"/>
              </w:rPr>
            </w:pPr>
            <w:r>
              <w:rPr>
                <w:sz w:val="20"/>
              </w:rPr>
              <w:t>Shan</w:t>
            </w:r>
            <w:r>
              <w:rPr>
                <w:spacing w:val="-7"/>
                <w:sz w:val="20"/>
              </w:rPr>
              <w:t> </w:t>
            </w:r>
            <w:r>
              <w:rPr>
                <w:spacing w:val="-2"/>
                <w:sz w:val="20"/>
              </w:rPr>
              <w:t>(shn)</w:t>
            </w:r>
          </w:p>
        </w:tc>
      </w:tr>
      <w:tr>
        <w:trPr>
          <w:trHeight w:val="230" w:hRule="atLeast"/>
        </w:trPr>
        <w:tc>
          <w:tcPr>
            <w:tcW w:w="612" w:type="dxa"/>
          </w:tcPr>
          <w:p>
            <w:pPr>
              <w:pStyle w:val="TableParagraph"/>
              <w:ind w:left="50"/>
              <w:rPr>
                <w:sz w:val="20"/>
              </w:rPr>
            </w:pPr>
            <w:r>
              <w:rPr>
                <w:spacing w:val="-4"/>
                <w:sz w:val="20"/>
              </w:rPr>
              <w:t>2135</w:t>
            </w:r>
          </w:p>
        </w:tc>
        <w:tc>
          <w:tcPr>
            <w:tcW w:w="3724" w:type="dxa"/>
          </w:tcPr>
          <w:p>
            <w:pPr>
              <w:pStyle w:val="TableParagraph"/>
              <w:ind w:left="158"/>
              <w:rPr>
                <w:sz w:val="20"/>
              </w:rPr>
            </w:pPr>
            <w:r>
              <w:rPr>
                <w:sz w:val="20"/>
              </w:rPr>
              <w:t>Lepcha</w:t>
            </w:r>
            <w:r>
              <w:rPr>
                <w:spacing w:val="-8"/>
                <w:sz w:val="20"/>
              </w:rPr>
              <w:t> </w:t>
            </w:r>
            <w:r>
              <w:rPr>
                <w:spacing w:val="-2"/>
                <w:sz w:val="20"/>
              </w:rPr>
              <w:t>(lep)</w:t>
            </w:r>
          </w:p>
        </w:tc>
        <w:tc>
          <w:tcPr>
            <w:tcW w:w="1606" w:type="dxa"/>
          </w:tcPr>
          <w:p>
            <w:pPr>
              <w:pStyle w:val="TableParagraph"/>
              <w:ind w:right="157"/>
              <w:jc w:val="right"/>
              <w:rPr>
                <w:sz w:val="20"/>
              </w:rPr>
            </w:pPr>
            <w:r>
              <w:rPr>
                <w:spacing w:val="-4"/>
                <w:sz w:val="20"/>
              </w:rPr>
              <w:t>2460</w:t>
            </w:r>
          </w:p>
        </w:tc>
        <w:tc>
          <w:tcPr>
            <w:tcW w:w="2685" w:type="dxa"/>
          </w:tcPr>
          <w:p>
            <w:pPr>
              <w:pStyle w:val="TableParagraph"/>
              <w:ind w:left="157"/>
              <w:rPr>
                <w:sz w:val="20"/>
              </w:rPr>
            </w:pPr>
            <w:r>
              <w:rPr>
                <w:sz w:val="20"/>
              </w:rPr>
              <w:t>Tai</w:t>
            </w:r>
            <w:r>
              <w:rPr>
                <w:spacing w:val="-3"/>
                <w:sz w:val="20"/>
              </w:rPr>
              <w:t> </w:t>
            </w:r>
            <w:r>
              <w:rPr>
                <w:sz w:val="20"/>
              </w:rPr>
              <w:t>Dam</w:t>
            </w:r>
            <w:r>
              <w:rPr>
                <w:spacing w:val="-5"/>
                <w:sz w:val="20"/>
              </w:rPr>
              <w:t> </w:t>
            </w:r>
            <w:r>
              <w:rPr>
                <w:spacing w:val="-2"/>
                <w:sz w:val="20"/>
              </w:rPr>
              <w:t>(blt)</w:t>
            </w:r>
          </w:p>
        </w:tc>
      </w:tr>
      <w:tr>
        <w:trPr>
          <w:trHeight w:val="231" w:hRule="atLeast"/>
        </w:trPr>
        <w:tc>
          <w:tcPr>
            <w:tcW w:w="612" w:type="dxa"/>
          </w:tcPr>
          <w:p>
            <w:pPr>
              <w:pStyle w:val="TableParagraph"/>
              <w:spacing w:line="212" w:lineRule="exact"/>
              <w:ind w:left="50"/>
              <w:rPr>
                <w:sz w:val="20"/>
              </w:rPr>
            </w:pPr>
            <w:r>
              <w:rPr>
                <w:spacing w:val="-4"/>
                <w:sz w:val="20"/>
              </w:rPr>
              <w:t>2140</w:t>
            </w:r>
          </w:p>
        </w:tc>
        <w:tc>
          <w:tcPr>
            <w:tcW w:w="3724" w:type="dxa"/>
          </w:tcPr>
          <w:p>
            <w:pPr>
              <w:pStyle w:val="TableParagraph"/>
              <w:spacing w:line="212" w:lineRule="exact"/>
              <w:ind w:left="158"/>
              <w:rPr>
                <w:sz w:val="20"/>
              </w:rPr>
            </w:pPr>
            <w:r>
              <w:rPr>
                <w:sz w:val="20"/>
              </w:rPr>
              <w:t>Adi</w:t>
            </w:r>
            <w:r>
              <w:rPr>
                <w:spacing w:val="-8"/>
                <w:sz w:val="20"/>
              </w:rPr>
              <w:t> </w:t>
            </w:r>
            <w:r>
              <w:rPr>
                <w:spacing w:val="-2"/>
                <w:sz w:val="20"/>
              </w:rPr>
              <w:t>(adi)</w:t>
            </w:r>
          </w:p>
        </w:tc>
        <w:tc>
          <w:tcPr>
            <w:tcW w:w="1606" w:type="dxa"/>
          </w:tcPr>
          <w:p>
            <w:pPr>
              <w:pStyle w:val="TableParagraph"/>
              <w:spacing w:line="212" w:lineRule="exact"/>
              <w:ind w:right="157"/>
              <w:jc w:val="right"/>
              <w:rPr>
                <w:sz w:val="20"/>
              </w:rPr>
            </w:pPr>
            <w:r>
              <w:rPr>
                <w:spacing w:val="-4"/>
                <w:sz w:val="20"/>
              </w:rPr>
              <w:t>2465</w:t>
            </w:r>
          </w:p>
        </w:tc>
        <w:tc>
          <w:tcPr>
            <w:tcW w:w="2685" w:type="dxa"/>
          </w:tcPr>
          <w:p>
            <w:pPr>
              <w:pStyle w:val="TableParagraph"/>
              <w:spacing w:line="212" w:lineRule="exact"/>
              <w:ind w:left="157"/>
              <w:rPr>
                <w:sz w:val="20"/>
              </w:rPr>
            </w:pPr>
            <w:r>
              <w:rPr>
                <w:sz w:val="20"/>
              </w:rPr>
              <w:t>Tai</w:t>
            </w:r>
            <w:r>
              <w:rPr>
                <w:spacing w:val="-4"/>
                <w:sz w:val="20"/>
              </w:rPr>
              <w:t> </w:t>
            </w:r>
            <w:r>
              <w:rPr>
                <w:sz w:val="20"/>
              </w:rPr>
              <w:t>Daeng</w:t>
            </w:r>
            <w:r>
              <w:rPr>
                <w:spacing w:val="-5"/>
                <w:sz w:val="20"/>
              </w:rPr>
              <w:t> </w:t>
            </w:r>
            <w:r>
              <w:rPr>
                <w:spacing w:val="-2"/>
                <w:sz w:val="20"/>
              </w:rPr>
              <w:t>(tyr)</w:t>
            </w:r>
          </w:p>
        </w:tc>
      </w:tr>
      <w:tr>
        <w:trPr>
          <w:trHeight w:val="226" w:hRule="atLeast"/>
        </w:trPr>
        <w:tc>
          <w:tcPr>
            <w:tcW w:w="612" w:type="dxa"/>
          </w:tcPr>
          <w:p>
            <w:pPr>
              <w:pStyle w:val="TableParagraph"/>
              <w:spacing w:line="207" w:lineRule="exact"/>
              <w:ind w:left="50"/>
              <w:rPr>
                <w:sz w:val="20"/>
              </w:rPr>
            </w:pPr>
            <w:r>
              <w:rPr>
                <w:spacing w:val="-4"/>
                <w:sz w:val="20"/>
              </w:rPr>
              <w:t>2145</w:t>
            </w:r>
          </w:p>
        </w:tc>
        <w:tc>
          <w:tcPr>
            <w:tcW w:w="3724" w:type="dxa"/>
          </w:tcPr>
          <w:p>
            <w:pPr>
              <w:pStyle w:val="TableParagraph"/>
              <w:spacing w:line="207" w:lineRule="exact"/>
              <w:ind w:left="158"/>
              <w:rPr>
                <w:sz w:val="20"/>
              </w:rPr>
            </w:pPr>
            <w:r>
              <w:rPr>
                <w:sz w:val="20"/>
              </w:rPr>
              <w:t>Mising</w:t>
            </w:r>
            <w:r>
              <w:rPr>
                <w:spacing w:val="-8"/>
                <w:sz w:val="20"/>
              </w:rPr>
              <w:t> </w:t>
            </w:r>
            <w:r>
              <w:rPr>
                <w:spacing w:val="-2"/>
                <w:sz w:val="20"/>
              </w:rPr>
              <w:t>(mrg)</w:t>
            </w:r>
          </w:p>
        </w:tc>
        <w:tc>
          <w:tcPr>
            <w:tcW w:w="1606" w:type="dxa"/>
          </w:tcPr>
          <w:p>
            <w:pPr>
              <w:pStyle w:val="TableParagraph"/>
              <w:spacing w:line="240" w:lineRule="auto"/>
              <w:rPr>
                <w:sz w:val="16"/>
              </w:rPr>
            </w:pPr>
          </w:p>
        </w:tc>
        <w:tc>
          <w:tcPr>
            <w:tcW w:w="2685"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2150</w:t>
            </w:r>
          </w:p>
        </w:tc>
        <w:tc>
          <w:tcPr>
            <w:tcW w:w="3724" w:type="dxa"/>
          </w:tcPr>
          <w:p>
            <w:pPr>
              <w:pStyle w:val="TableParagraph"/>
              <w:spacing w:line="211" w:lineRule="exact"/>
              <w:ind w:left="158"/>
              <w:rPr>
                <w:sz w:val="20"/>
              </w:rPr>
            </w:pPr>
            <w:r>
              <w:rPr>
                <w:sz w:val="20"/>
              </w:rPr>
              <w:t>Rawang</w:t>
            </w:r>
            <w:r>
              <w:rPr>
                <w:spacing w:val="-9"/>
                <w:sz w:val="20"/>
              </w:rPr>
              <w:t> </w:t>
            </w:r>
            <w:r>
              <w:rPr>
                <w:spacing w:val="-2"/>
                <w:sz w:val="20"/>
              </w:rPr>
              <w:t>(raw)</w:t>
            </w:r>
          </w:p>
        </w:tc>
        <w:tc>
          <w:tcPr>
            <w:tcW w:w="1606" w:type="dxa"/>
          </w:tcPr>
          <w:p>
            <w:pPr>
              <w:pStyle w:val="TableParagraph"/>
              <w:spacing w:line="211" w:lineRule="exact"/>
              <w:ind w:right="157"/>
              <w:jc w:val="right"/>
              <w:rPr>
                <w:sz w:val="20"/>
              </w:rPr>
            </w:pPr>
            <w:r>
              <w:rPr>
                <w:spacing w:val="-4"/>
                <w:sz w:val="20"/>
              </w:rPr>
              <w:t>2475</w:t>
            </w:r>
          </w:p>
        </w:tc>
        <w:tc>
          <w:tcPr>
            <w:tcW w:w="2685" w:type="dxa"/>
          </w:tcPr>
          <w:p>
            <w:pPr>
              <w:pStyle w:val="TableParagraph"/>
              <w:spacing w:line="211" w:lineRule="exact"/>
              <w:ind w:left="157"/>
              <w:rPr>
                <w:sz w:val="20"/>
              </w:rPr>
            </w:pPr>
            <w:r>
              <w:rPr>
                <w:sz w:val="20"/>
              </w:rPr>
              <w:t>Lao</w:t>
            </w:r>
            <w:r>
              <w:rPr>
                <w:spacing w:val="-5"/>
                <w:sz w:val="20"/>
              </w:rPr>
              <w:t> </w:t>
            </w:r>
            <w:r>
              <w:rPr>
                <w:spacing w:val="-2"/>
                <w:sz w:val="20"/>
              </w:rPr>
              <w:t>(lao)</w:t>
            </w:r>
          </w:p>
        </w:tc>
      </w:tr>
      <w:tr>
        <w:trPr>
          <w:trHeight w:val="228" w:hRule="atLeast"/>
        </w:trPr>
        <w:tc>
          <w:tcPr>
            <w:tcW w:w="612" w:type="dxa"/>
          </w:tcPr>
          <w:p>
            <w:pPr>
              <w:pStyle w:val="TableParagraph"/>
              <w:spacing w:line="240" w:lineRule="auto"/>
              <w:rPr>
                <w:sz w:val="16"/>
              </w:rPr>
            </w:pPr>
          </w:p>
        </w:tc>
        <w:tc>
          <w:tcPr>
            <w:tcW w:w="3724" w:type="dxa"/>
          </w:tcPr>
          <w:p>
            <w:pPr>
              <w:pStyle w:val="TableParagraph"/>
              <w:spacing w:line="240" w:lineRule="auto"/>
              <w:rPr>
                <w:sz w:val="16"/>
              </w:rPr>
            </w:pPr>
          </w:p>
        </w:tc>
        <w:tc>
          <w:tcPr>
            <w:tcW w:w="1606" w:type="dxa"/>
          </w:tcPr>
          <w:p>
            <w:pPr>
              <w:pStyle w:val="TableParagraph"/>
              <w:spacing w:line="208" w:lineRule="exact"/>
              <w:ind w:right="157"/>
              <w:jc w:val="right"/>
              <w:rPr>
                <w:sz w:val="20"/>
              </w:rPr>
            </w:pPr>
            <w:r>
              <w:rPr>
                <w:spacing w:val="-4"/>
                <w:sz w:val="20"/>
              </w:rPr>
              <w:t>2485</w:t>
            </w:r>
          </w:p>
        </w:tc>
        <w:tc>
          <w:tcPr>
            <w:tcW w:w="2685" w:type="dxa"/>
          </w:tcPr>
          <w:p>
            <w:pPr>
              <w:pStyle w:val="TableParagraph"/>
              <w:spacing w:line="208" w:lineRule="exact"/>
              <w:ind w:left="157"/>
              <w:rPr>
                <w:sz w:val="20"/>
              </w:rPr>
            </w:pPr>
            <w:r>
              <w:rPr>
                <w:sz w:val="20"/>
              </w:rPr>
              <w:t>Bouyei</w:t>
            </w:r>
            <w:r>
              <w:rPr>
                <w:spacing w:val="-7"/>
                <w:sz w:val="20"/>
              </w:rPr>
              <w:t> </w:t>
            </w:r>
            <w:r>
              <w:rPr>
                <w:spacing w:val="-2"/>
                <w:sz w:val="20"/>
              </w:rPr>
              <w:t>(pcc)</w:t>
            </w:r>
          </w:p>
        </w:tc>
      </w:tr>
      <w:tr>
        <w:trPr>
          <w:trHeight w:val="232" w:hRule="atLeast"/>
        </w:trPr>
        <w:tc>
          <w:tcPr>
            <w:tcW w:w="612" w:type="dxa"/>
          </w:tcPr>
          <w:p>
            <w:pPr>
              <w:pStyle w:val="TableParagraph"/>
              <w:spacing w:line="240" w:lineRule="auto"/>
              <w:rPr>
                <w:sz w:val="16"/>
              </w:rPr>
            </w:pPr>
          </w:p>
        </w:tc>
        <w:tc>
          <w:tcPr>
            <w:tcW w:w="3724" w:type="dxa"/>
          </w:tcPr>
          <w:p>
            <w:pPr>
              <w:pStyle w:val="TableParagraph"/>
              <w:spacing w:line="212" w:lineRule="exact"/>
              <w:ind w:left="158"/>
              <w:rPr>
                <w:i/>
                <w:sz w:val="20"/>
              </w:rPr>
            </w:pPr>
            <w:r>
              <w:rPr>
                <w:i/>
                <w:sz w:val="20"/>
              </w:rPr>
              <w:t>Burmese</w:t>
            </w:r>
            <w:r>
              <w:rPr>
                <w:i/>
                <w:spacing w:val="-10"/>
                <w:sz w:val="20"/>
              </w:rPr>
              <w:t> </w:t>
            </w:r>
            <w:r>
              <w:rPr>
                <w:i/>
                <w:sz w:val="20"/>
              </w:rPr>
              <w:t>(2160-</w:t>
            </w:r>
            <w:r>
              <w:rPr>
                <w:i/>
                <w:spacing w:val="-4"/>
                <w:sz w:val="20"/>
              </w:rPr>
              <w:t>2179)</w:t>
            </w:r>
          </w:p>
        </w:tc>
        <w:tc>
          <w:tcPr>
            <w:tcW w:w="1606" w:type="dxa"/>
          </w:tcPr>
          <w:p>
            <w:pPr>
              <w:pStyle w:val="TableParagraph"/>
              <w:spacing w:line="213" w:lineRule="exact"/>
              <w:ind w:right="157"/>
              <w:jc w:val="right"/>
              <w:rPr>
                <w:sz w:val="20"/>
              </w:rPr>
            </w:pPr>
            <w:r>
              <w:rPr>
                <w:spacing w:val="-4"/>
                <w:sz w:val="20"/>
              </w:rPr>
              <w:t>2490</w:t>
            </w:r>
          </w:p>
        </w:tc>
        <w:tc>
          <w:tcPr>
            <w:tcW w:w="2685" w:type="dxa"/>
          </w:tcPr>
          <w:p>
            <w:pPr>
              <w:pStyle w:val="TableParagraph"/>
              <w:spacing w:line="213" w:lineRule="exact"/>
              <w:ind w:left="157"/>
              <w:rPr>
                <w:sz w:val="20"/>
              </w:rPr>
            </w:pPr>
            <w:r>
              <w:rPr>
                <w:sz w:val="20"/>
              </w:rPr>
              <w:t>Zhuang</w:t>
            </w:r>
            <w:r>
              <w:rPr>
                <w:spacing w:val="-12"/>
                <w:sz w:val="20"/>
              </w:rPr>
              <w:t> </w:t>
            </w:r>
            <w:r>
              <w:rPr>
                <w:sz w:val="20"/>
              </w:rPr>
              <w:t>(macrolanguage)</w:t>
            </w:r>
            <w:r>
              <w:rPr>
                <w:spacing w:val="-9"/>
                <w:sz w:val="20"/>
              </w:rPr>
              <w:t> </w:t>
            </w:r>
            <w:r>
              <w:rPr>
                <w:spacing w:val="-4"/>
                <w:sz w:val="20"/>
              </w:rPr>
              <w:t>(zha)</w:t>
            </w:r>
          </w:p>
        </w:tc>
      </w:tr>
      <w:tr>
        <w:trPr>
          <w:trHeight w:val="230" w:hRule="atLeast"/>
        </w:trPr>
        <w:tc>
          <w:tcPr>
            <w:tcW w:w="612" w:type="dxa"/>
          </w:tcPr>
          <w:p>
            <w:pPr>
              <w:pStyle w:val="TableParagraph"/>
              <w:ind w:left="50"/>
              <w:rPr>
                <w:sz w:val="20"/>
              </w:rPr>
            </w:pPr>
            <w:r>
              <w:rPr>
                <w:spacing w:val="-4"/>
                <w:sz w:val="20"/>
              </w:rPr>
              <w:t>2160</w:t>
            </w:r>
          </w:p>
        </w:tc>
        <w:tc>
          <w:tcPr>
            <w:tcW w:w="3724" w:type="dxa"/>
          </w:tcPr>
          <w:p>
            <w:pPr>
              <w:pStyle w:val="TableParagraph"/>
              <w:ind w:left="158"/>
              <w:rPr>
                <w:sz w:val="20"/>
              </w:rPr>
            </w:pPr>
            <w:r>
              <w:rPr>
                <w:sz w:val="20"/>
              </w:rPr>
              <w:t>Burmese</w:t>
            </w:r>
            <w:r>
              <w:rPr>
                <w:spacing w:val="-11"/>
                <w:sz w:val="20"/>
              </w:rPr>
              <w:t> </w:t>
            </w:r>
            <w:r>
              <w:rPr>
                <w:spacing w:val="-2"/>
                <w:sz w:val="20"/>
              </w:rPr>
              <w:t>(mya)</w:t>
            </w:r>
          </w:p>
        </w:tc>
        <w:tc>
          <w:tcPr>
            <w:tcW w:w="1606" w:type="dxa"/>
          </w:tcPr>
          <w:p>
            <w:pPr>
              <w:pStyle w:val="TableParagraph"/>
              <w:ind w:right="157"/>
              <w:jc w:val="right"/>
              <w:rPr>
                <w:sz w:val="20"/>
              </w:rPr>
            </w:pPr>
            <w:r>
              <w:rPr>
                <w:spacing w:val="-4"/>
                <w:sz w:val="20"/>
              </w:rPr>
              <w:t>2500</w:t>
            </w:r>
          </w:p>
        </w:tc>
        <w:tc>
          <w:tcPr>
            <w:tcW w:w="2685" w:type="dxa"/>
          </w:tcPr>
          <w:p>
            <w:pPr>
              <w:pStyle w:val="TableParagraph"/>
              <w:ind w:left="157"/>
              <w:rPr>
                <w:sz w:val="20"/>
              </w:rPr>
            </w:pPr>
            <w:r>
              <w:rPr>
                <w:sz w:val="20"/>
              </w:rPr>
              <w:t>Nung</w:t>
            </w:r>
            <w:r>
              <w:rPr>
                <w:spacing w:val="-8"/>
                <w:sz w:val="20"/>
              </w:rPr>
              <w:t> </w:t>
            </w:r>
            <w:r>
              <w:rPr>
                <w:sz w:val="20"/>
              </w:rPr>
              <w:t>(Vietnam)</w:t>
            </w:r>
            <w:r>
              <w:rPr>
                <w:spacing w:val="-7"/>
                <w:sz w:val="20"/>
              </w:rPr>
              <w:t> </w:t>
            </w:r>
            <w:r>
              <w:rPr>
                <w:spacing w:val="-4"/>
                <w:sz w:val="20"/>
              </w:rPr>
              <w:t>(nut)</w:t>
            </w:r>
          </w:p>
        </w:tc>
      </w:tr>
      <w:tr>
        <w:trPr>
          <w:trHeight w:val="230" w:hRule="atLeast"/>
        </w:trPr>
        <w:tc>
          <w:tcPr>
            <w:tcW w:w="612" w:type="dxa"/>
          </w:tcPr>
          <w:p>
            <w:pPr>
              <w:pStyle w:val="TableParagraph"/>
              <w:ind w:left="50"/>
              <w:rPr>
                <w:sz w:val="20"/>
              </w:rPr>
            </w:pPr>
            <w:r>
              <w:rPr>
                <w:spacing w:val="-4"/>
                <w:sz w:val="20"/>
              </w:rPr>
              <w:t>2165</w:t>
            </w:r>
          </w:p>
        </w:tc>
        <w:tc>
          <w:tcPr>
            <w:tcW w:w="3724" w:type="dxa"/>
          </w:tcPr>
          <w:p>
            <w:pPr>
              <w:pStyle w:val="TableParagraph"/>
              <w:ind w:left="158"/>
              <w:rPr>
                <w:sz w:val="20"/>
              </w:rPr>
            </w:pPr>
            <w:r>
              <w:rPr>
                <w:sz w:val="20"/>
              </w:rPr>
              <w:t>Marma</w:t>
            </w:r>
            <w:r>
              <w:rPr>
                <w:spacing w:val="-8"/>
                <w:sz w:val="20"/>
              </w:rPr>
              <w:t> </w:t>
            </w:r>
            <w:r>
              <w:rPr>
                <w:spacing w:val="-2"/>
                <w:sz w:val="20"/>
              </w:rPr>
              <w:t>(rmz)</w:t>
            </w:r>
          </w:p>
        </w:tc>
        <w:tc>
          <w:tcPr>
            <w:tcW w:w="1606" w:type="dxa"/>
          </w:tcPr>
          <w:p>
            <w:pPr>
              <w:pStyle w:val="TableParagraph"/>
              <w:ind w:right="157"/>
              <w:jc w:val="right"/>
              <w:rPr>
                <w:sz w:val="20"/>
              </w:rPr>
            </w:pPr>
            <w:r>
              <w:rPr>
                <w:spacing w:val="-4"/>
                <w:sz w:val="20"/>
              </w:rPr>
              <w:t>2505</w:t>
            </w:r>
          </w:p>
        </w:tc>
        <w:tc>
          <w:tcPr>
            <w:tcW w:w="2685" w:type="dxa"/>
          </w:tcPr>
          <w:p>
            <w:pPr>
              <w:pStyle w:val="TableParagraph"/>
              <w:ind w:left="157"/>
              <w:rPr>
                <w:sz w:val="20"/>
              </w:rPr>
            </w:pPr>
            <w:r>
              <w:rPr>
                <w:sz w:val="20"/>
              </w:rPr>
              <w:t>Tày</w:t>
            </w:r>
            <w:r>
              <w:rPr>
                <w:spacing w:val="-5"/>
                <w:sz w:val="20"/>
              </w:rPr>
              <w:t> </w:t>
            </w:r>
            <w:r>
              <w:rPr>
                <w:spacing w:val="-2"/>
                <w:sz w:val="20"/>
              </w:rPr>
              <w:t>(tyz)</w:t>
            </w:r>
          </w:p>
        </w:tc>
      </w:tr>
      <w:tr>
        <w:trPr>
          <w:trHeight w:val="225" w:hRule="atLeast"/>
        </w:trPr>
        <w:tc>
          <w:tcPr>
            <w:tcW w:w="612" w:type="dxa"/>
          </w:tcPr>
          <w:p>
            <w:pPr>
              <w:pStyle w:val="TableParagraph"/>
              <w:spacing w:line="205" w:lineRule="exact"/>
              <w:ind w:left="50"/>
              <w:rPr>
                <w:sz w:val="20"/>
              </w:rPr>
            </w:pPr>
            <w:r>
              <w:rPr>
                <w:spacing w:val="-4"/>
                <w:sz w:val="20"/>
              </w:rPr>
              <w:t>2170</w:t>
            </w:r>
          </w:p>
        </w:tc>
        <w:tc>
          <w:tcPr>
            <w:tcW w:w="3724" w:type="dxa"/>
          </w:tcPr>
          <w:p>
            <w:pPr>
              <w:pStyle w:val="TableParagraph"/>
              <w:spacing w:line="205" w:lineRule="exact"/>
              <w:ind w:left="158"/>
              <w:rPr>
                <w:sz w:val="20"/>
              </w:rPr>
            </w:pPr>
            <w:r>
              <w:rPr>
                <w:sz w:val="20"/>
              </w:rPr>
              <w:t>Rakhine</w:t>
            </w:r>
            <w:r>
              <w:rPr>
                <w:spacing w:val="-9"/>
                <w:sz w:val="20"/>
              </w:rPr>
              <w:t> </w:t>
            </w:r>
            <w:r>
              <w:rPr>
                <w:spacing w:val="-2"/>
                <w:sz w:val="20"/>
              </w:rPr>
              <w:t>(rki)</w:t>
            </w:r>
          </w:p>
        </w:tc>
        <w:tc>
          <w:tcPr>
            <w:tcW w:w="1606" w:type="dxa"/>
          </w:tcPr>
          <w:p>
            <w:pPr>
              <w:pStyle w:val="TableParagraph"/>
              <w:spacing w:line="205" w:lineRule="exact"/>
              <w:ind w:right="157"/>
              <w:jc w:val="right"/>
              <w:rPr>
                <w:sz w:val="20"/>
              </w:rPr>
            </w:pPr>
            <w:r>
              <w:rPr>
                <w:spacing w:val="-4"/>
                <w:sz w:val="20"/>
              </w:rPr>
              <w:t>2515</w:t>
            </w:r>
          </w:p>
        </w:tc>
        <w:tc>
          <w:tcPr>
            <w:tcW w:w="2685" w:type="dxa"/>
          </w:tcPr>
          <w:p>
            <w:pPr>
              <w:pStyle w:val="TableParagraph"/>
              <w:spacing w:line="205" w:lineRule="exact"/>
              <w:ind w:left="157"/>
              <w:rPr>
                <w:sz w:val="20"/>
              </w:rPr>
            </w:pPr>
            <w:r>
              <w:rPr>
                <w:sz w:val="20"/>
              </w:rPr>
              <w:t>Southern</w:t>
            </w:r>
            <w:r>
              <w:rPr>
                <w:spacing w:val="-7"/>
                <w:sz w:val="20"/>
              </w:rPr>
              <w:t> </w:t>
            </w:r>
            <w:r>
              <w:rPr>
                <w:sz w:val="20"/>
              </w:rPr>
              <w:t>Dong</w:t>
            </w:r>
            <w:r>
              <w:rPr>
                <w:spacing w:val="-6"/>
                <w:sz w:val="20"/>
              </w:rPr>
              <w:t> </w:t>
            </w:r>
            <w:r>
              <w:rPr>
                <w:spacing w:val="-4"/>
                <w:sz w:val="20"/>
              </w:rPr>
              <w:t>(kmc)</w:t>
            </w:r>
          </w:p>
        </w:tc>
      </w:tr>
      <w:tr>
        <w:trPr>
          <w:trHeight w:val="465" w:hRule="atLeast"/>
        </w:trPr>
        <w:tc>
          <w:tcPr>
            <w:tcW w:w="612" w:type="dxa"/>
          </w:tcPr>
          <w:p>
            <w:pPr>
              <w:pStyle w:val="TableParagraph"/>
              <w:spacing w:line="240" w:lineRule="auto" w:before="1"/>
              <w:rPr>
                <w:sz w:val="20"/>
              </w:rPr>
            </w:pPr>
          </w:p>
          <w:p>
            <w:pPr>
              <w:pStyle w:val="TableParagraph"/>
              <w:spacing w:line="215" w:lineRule="exact"/>
              <w:ind w:left="50"/>
              <w:rPr>
                <w:sz w:val="20"/>
              </w:rPr>
            </w:pPr>
            <w:r>
              <w:rPr>
                <w:spacing w:val="-4"/>
                <w:sz w:val="20"/>
              </w:rPr>
              <w:t>2175</w:t>
            </w:r>
          </w:p>
        </w:tc>
        <w:tc>
          <w:tcPr>
            <w:tcW w:w="3724" w:type="dxa"/>
          </w:tcPr>
          <w:p>
            <w:pPr>
              <w:pStyle w:val="TableParagraph"/>
              <w:spacing w:line="240" w:lineRule="auto" w:before="1"/>
              <w:rPr>
                <w:sz w:val="20"/>
              </w:rPr>
            </w:pPr>
          </w:p>
          <w:p>
            <w:pPr>
              <w:pStyle w:val="TableParagraph"/>
              <w:spacing w:line="215" w:lineRule="exact"/>
              <w:ind w:left="158"/>
              <w:rPr>
                <w:sz w:val="20"/>
              </w:rPr>
            </w:pPr>
            <w:r>
              <w:rPr>
                <w:sz w:val="20"/>
              </w:rPr>
              <w:t>Zaiwa</w:t>
            </w:r>
            <w:r>
              <w:rPr>
                <w:spacing w:val="-8"/>
                <w:sz w:val="20"/>
              </w:rPr>
              <w:t> </w:t>
            </w:r>
            <w:r>
              <w:rPr>
                <w:spacing w:val="-2"/>
                <w:sz w:val="20"/>
              </w:rPr>
              <w:t>(atb)</w:t>
            </w:r>
          </w:p>
        </w:tc>
        <w:tc>
          <w:tcPr>
            <w:tcW w:w="4291" w:type="dxa"/>
            <w:gridSpan w:val="2"/>
          </w:tcPr>
          <w:p>
            <w:pPr>
              <w:pStyle w:val="TableParagraph"/>
              <w:spacing w:line="240" w:lineRule="auto" w:before="7"/>
              <w:rPr>
                <w:sz w:val="19"/>
              </w:rPr>
            </w:pPr>
          </w:p>
          <w:p>
            <w:pPr>
              <w:pStyle w:val="TableParagraph"/>
              <w:spacing w:line="220" w:lineRule="exact"/>
              <w:ind w:left="1043"/>
              <w:rPr>
                <w:i/>
                <w:sz w:val="20"/>
              </w:rPr>
            </w:pPr>
            <w:r>
              <w:rPr>
                <w:i/>
                <w:sz w:val="20"/>
                <w:u w:val="single"/>
              </w:rPr>
              <w:t>Hmong-Mien</w:t>
            </w:r>
            <w:r>
              <w:rPr>
                <w:i/>
                <w:spacing w:val="-10"/>
                <w:sz w:val="20"/>
                <w:u w:val="single"/>
              </w:rPr>
              <w:t> </w:t>
            </w:r>
            <w:r>
              <w:rPr>
                <w:i/>
                <w:sz w:val="20"/>
                <w:u w:val="single"/>
              </w:rPr>
              <w:t>languages</w:t>
            </w:r>
            <w:r>
              <w:rPr>
                <w:i/>
                <w:spacing w:val="-12"/>
                <w:sz w:val="20"/>
                <w:u w:val="single"/>
              </w:rPr>
              <w:t> </w:t>
            </w:r>
            <w:r>
              <w:rPr>
                <w:i/>
                <w:sz w:val="20"/>
                <w:u w:val="single"/>
              </w:rPr>
              <w:t>(2525-</w:t>
            </w:r>
            <w:r>
              <w:rPr>
                <w:i/>
                <w:spacing w:val="-4"/>
                <w:sz w:val="20"/>
                <w:u w:val="single"/>
              </w:rPr>
              <w:t>2559)</w:t>
            </w:r>
          </w:p>
        </w:tc>
      </w:tr>
      <w:tr>
        <w:trPr>
          <w:trHeight w:val="225" w:hRule="atLeast"/>
        </w:trPr>
        <w:tc>
          <w:tcPr>
            <w:tcW w:w="612" w:type="dxa"/>
          </w:tcPr>
          <w:p>
            <w:pPr>
              <w:pStyle w:val="TableParagraph"/>
              <w:spacing w:line="205" w:lineRule="exact"/>
              <w:ind w:left="50"/>
              <w:rPr>
                <w:sz w:val="20"/>
              </w:rPr>
            </w:pPr>
            <w:r>
              <w:rPr>
                <w:spacing w:val="-4"/>
                <w:sz w:val="20"/>
              </w:rPr>
              <w:t>2185</w:t>
            </w:r>
          </w:p>
        </w:tc>
        <w:tc>
          <w:tcPr>
            <w:tcW w:w="3724" w:type="dxa"/>
          </w:tcPr>
          <w:p>
            <w:pPr>
              <w:pStyle w:val="TableParagraph"/>
              <w:spacing w:line="205" w:lineRule="exact"/>
              <w:ind w:left="158"/>
              <w:rPr>
                <w:sz w:val="20"/>
              </w:rPr>
            </w:pPr>
            <w:r>
              <w:rPr>
                <w:sz w:val="20"/>
              </w:rPr>
              <w:t>Lahu</w:t>
            </w:r>
            <w:r>
              <w:rPr>
                <w:spacing w:val="-8"/>
                <w:sz w:val="20"/>
              </w:rPr>
              <w:t> </w:t>
            </w:r>
            <w:r>
              <w:rPr>
                <w:spacing w:val="-2"/>
                <w:sz w:val="20"/>
              </w:rPr>
              <w:t>(lhu)</w:t>
            </w:r>
          </w:p>
        </w:tc>
        <w:tc>
          <w:tcPr>
            <w:tcW w:w="4291" w:type="dxa"/>
            <w:gridSpan w:val="2"/>
          </w:tcPr>
          <w:p>
            <w:pPr>
              <w:pStyle w:val="TableParagraph"/>
              <w:spacing w:line="240" w:lineRule="auto"/>
              <w:rPr>
                <w:sz w:val="16"/>
              </w:rPr>
            </w:pPr>
          </w:p>
        </w:tc>
      </w:tr>
    </w:tbl>
    <w:p>
      <w:pPr>
        <w:spacing w:after="0" w:line="240" w:lineRule="auto"/>
        <w:rPr>
          <w:sz w:val="16"/>
        </w:rPr>
        <w:sectPr>
          <w:footerReference w:type="default" r:id="rId84"/>
          <w:pgSz w:w="12240" w:h="15840"/>
          <w:pgMar w:footer="0" w:header="0" w:top="1080" w:bottom="280" w:left="600" w:right="500"/>
        </w:sectPr>
      </w:pPr>
    </w:p>
    <w:p>
      <w:pPr>
        <w:tabs>
          <w:tab w:pos="1272" w:val="left" w:leader="none"/>
        </w:tabs>
        <w:spacing w:before="18"/>
        <w:ind w:left="552" w:right="0" w:firstLine="0"/>
        <w:jc w:val="left"/>
        <w:rPr>
          <w:rFonts w:ascii="Times New Roman"/>
          <w:sz w:val="20"/>
        </w:rPr>
      </w:pPr>
      <w:r>
        <w:rPr>
          <w:rFonts w:ascii="Times New Roman"/>
          <w:spacing w:val="-4"/>
          <w:sz w:val="20"/>
        </w:rPr>
        <w:t>2190</w:t>
      </w:r>
      <w:r>
        <w:rPr>
          <w:rFonts w:ascii="Times New Roman"/>
          <w:sz w:val="20"/>
        </w:rPr>
        <w:tab/>
        <w:t>Lisu</w:t>
      </w:r>
      <w:r>
        <w:rPr>
          <w:rFonts w:ascii="Times New Roman"/>
          <w:spacing w:val="-6"/>
          <w:sz w:val="20"/>
        </w:rPr>
        <w:t> </w:t>
      </w:r>
      <w:r>
        <w:rPr>
          <w:rFonts w:ascii="Times New Roman"/>
          <w:spacing w:val="-2"/>
          <w:sz w:val="20"/>
        </w:rPr>
        <w:t>(lis)</w:t>
      </w:r>
    </w:p>
    <w:p>
      <w:pPr>
        <w:tabs>
          <w:tab w:pos="1272" w:val="left" w:leader="none"/>
        </w:tabs>
        <w:spacing w:before="1"/>
        <w:ind w:left="552" w:right="38" w:firstLine="0"/>
        <w:jc w:val="left"/>
        <w:rPr>
          <w:rFonts w:ascii="Times New Roman"/>
          <w:sz w:val="20"/>
        </w:rPr>
      </w:pPr>
      <w:r>
        <w:rPr>
          <w:rFonts w:ascii="Times New Roman"/>
          <w:spacing w:val="-4"/>
          <w:sz w:val="20"/>
        </w:rPr>
        <w:t>2195</w:t>
      </w:r>
      <w:r>
        <w:rPr>
          <w:rFonts w:ascii="Times New Roman"/>
          <w:sz w:val="20"/>
        </w:rPr>
        <w:tab/>
        <w:t>Sichuan</w:t>
      </w:r>
      <w:r>
        <w:rPr>
          <w:rFonts w:ascii="Times New Roman"/>
          <w:spacing w:val="-13"/>
          <w:sz w:val="20"/>
        </w:rPr>
        <w:t> </w:t>
      </w:r>
      <w:r>
        <w:rPr>
          <w:rFonts w:ascii="Times New Roman"/>
          <w:sz w:val="20"/>
        </w:rPr>
        <w:t>Yi</w:t>
      </w:r>
      <w:r>
        <w:rPr>
          <w:rFonts w:ascii="Times New Roman"/>
          <w:spacing w:val="-12"/>
          <w:sz w:val="20"/>
        </w:rPr>
        <w:t> </w:t>
      </w:r>
      <w:r>
        <w:rPr>
          <w:rFonts w:ascii="Times New Roman"/>
          <w:sz w:val="20"/>
        </w:rPr>
        <w:t>(iii) </w:t>
      </w:r>
      <w:r>
        <w:rPr>
          <w:rFonts w:ascii="Times New Roman"/>
          <w:spacing w:val="-4"/>
          <w:sz w:val="20"/>
        </w:rPr>
        <w:t>2200</w:t>
      </w:r>
      <w:r>
        <w:rPr>
          <w:rFonts w:ascii="Times New Roman"/>
          <w:sz w:val="20"/>
        </w:rPr>
        <w:tab/>
        <w:t>Phunoi (pho)</w:t>
      </w:r>
    </w:p>
    <w:p>
      <w:pPr>
        <w:tabs>
          <w:tab w:pos="1272" w:val="left" w:leader="none"/>
        </w:tabs>
        <w:spacing w:before="13"/>
        <w:ind w:left="552" w:right="0" w:firstLine="0"/>
        <w:jc w:val="left"/>
        <w:rPr>
          <w:rFonts w:ascii="Times New Roman"/>
          <w:sz w:val="20"/>
        </w:rPr>
      </w:pPr>
      <w:r>
        <w:rPr/>
        <w:br w:type="column"/>
      </w:r>
      <w:r>
        <w:rPr>
          <w:rFonts w:ascii="Times New Roman"/>
          <w:spacing w:val="-4"/>
          <w:sz w:val="20"/>
        </w:rPr>
        <w:t>2525</w:t>
      </w:r>
      <w:r>
        <w:rPr>
          <w:rFonts w:ascii="Times New Roman"/>
          <w:sz w:val="20"/>
        </w:rPr>
        <w:tab/>
        <w:t>Iu</w:t>
      </w:r>
      <w:r>
        <w:rPr>
          <w:rFonts w:ascii="Times New Roman"/>
          <w:spacing w:val="-4"/>
          <w:sz w:val="20"/>
        </w:rPr>
        <w:t> </w:t>
      </w:r>
      <w:r>
        <w:rPr>
          <w:rFonts w:ascii="Times New Roman"/>
          <w:sz w:val="20"/>
        </w:rPr>
        <w:t>Mien</w:t>
      </w:r>
      <w:r>
        <w:rPr>
          <w:rFonts w:ascii="Times New Roman"/>
          <w:spacing w:val="-4"/>
          <w:sz w:val="20"/>
        </w:rPr>
        <w:t> (ium)</w:t>
      </w:r>
    </w:p>
    <w:p>
      <w:pPr>
        <w:pStyle w:val="BodyText"/>
        <w:spacing w:before="10"/>
        <w:rPr>
          <w:rFonts w:ascii="Times New Roman"/>
          <w:sz w:val="19"/>
        </w:rPr>
      </w:pPr>
    </w:p>
    <w:p>
      <w:pPr>
        <w:spacing w:before="0"/>
        <w:ind w:left="552" w:right="0" w:firstLine="0"/>
        <w:jc w:val="left"/>
        <w:rPr>
          <w:rFonts w:ascii="Times New Roman"/>
          <w:i/>
          <w:sz w:val="20"/>
        </w:rPr>
      </w:pPr>
      <w:r>
        <w:rPr>
          <w:rFonts w:ascii="Times New Roman"/>
          <w:i/>
          <w:sz w:val="20"/>
        </w:rPr>
        <w:t>Hmong</w:t>
      </w:r>
      <w:r>
        <w:rPr>
          <w:rFonts w:ascii="Times New Roman"/>
          <w:i/>
          <w:spacing w:val="-8"/>
          <w:sz w:val="20"/>
        </w:rPr>
        <w:t> </w:t>
      </w:r>
      <w:r>
        <w:rPr>
          <w:rFonts w:ascii="Times New Roman"/>
          <w:i/>
          <w:sz w:val="20"/>
        </w:rPr>
        <w:t>(2535-</w:t>
      </w:r>
      <w:r>
        <w:rPr>
          <w:rFonts w:ascii="Times New Roman"/>
          <w:i/>
          <w:spacing w:val="-2"/>
          <w:sz w:val="20"/>
        </w:rPr>
        <w:t>2559)</w:t>
      </w:r>
    </w:p>
    <w:p>
      <w:pPr>
        <w:spacing w:after="0"/>
        <w:jc w:val="left"/>
        <w:rPr>
          <w:rFonts w:ascii="Times New Roman"/>
          <w:sz w:val="20"/>
        </w:rPr>
        <w:sectPr>
          <w:type w:val="continuous"/>
          <w:pgSz w:w="12240" w:h="15840"/>
          <w:pgMar w:header="0" w:footer="0" w:top="1820" w:bottom="280" w:left="600" w:right="500"/>
          <w:cols w:num="2" w:equalWidth="0">
            <w:col w:w="2555" w:space="2774"/>
            <w:col w:w="5811"/>
          </w:cols>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842"/>
        <w:gridCol w:w="1488"/>
        <w:gridCol w:w="2749"/>
      </w:tblGrid>
      <w:tr>
        <w:trPr>
          <w:trHeight w:val="227" w:hRule="atLeast"/>
        </w:trPr>
        <w:tc>
          <w:tcPr>
            <w:tcW w:w="612" w:type="dxa"/>
          </w:tcPr>
          <w:p>
            <w:pPr>
              <w:pStyle w:val="TableParagraph"/>
              <w:spacing w:line="208" w:lineRule="exact"/>
              <w:ind w:left="50"/>
              <w:rPr>
                <w:sz w:val="20"/>
              </w:rPr>
            </w:pPr>
            <w:r>
              <w:rPr>
                <w:spacing w:val="-4"/>
                <w:sz w:val="20"/>
              </w:rPr>
              <w:t>2210</w:t>
            </w:r>
          </w:p>
        </w:tc>
        <w:tc>
          <w:tcPr>
            <w:tcW w:w="3842" w:type="dxa"/>
          </w:tcPr>
          <w:p>
            <w:pPr>
              <w:pStyle w:val="TableParagraph"/>
              <w:spacing w:line="208" w:lineRule="exact"/>
              <w:ind w:left="158"/>
              <w:rPr>
                <w:sz w:val="20"/>
              </w:rPr>
            </w:pPr>
            <w:r>
              <w:rPr>
                <w:sz w:val="20"/>
              </w:rPr>
              <w:t>Ao</w:t>
            </w:r>
            <w:r>
              <w:rPr>
                <w:spacing w:val="-4"/>
                <w:sz w:val="20"/>
              </w:rPr>
              <w:t> </w:t>
            </w:r>
            <w:r>
              <w:rPr>
                <w:sz w:val="20"/>
              </w:rPr>
              <w:t>Naga</w:t>
            </w:r>
            <w:r>
              <w:rPr>
                <w:spacing w:val="-5"/>
                <w:sz w:val="20"/>
              </w:rPr>
              <w:t> </w:t>
            </w:r>
            <w:r>
              <w:rPr>
                <w:spacing w:val="-2"/>
                <w:sz w:val="20"/>
              </w:rPr>
              <w:t>(njo)</w:t>
            </w:r>
          </w:p>
        </w:tc>
        <w:tc>
          <w:tcPr>
            <w:tcW w:w="1488" w:type="dxa"/>
          </w:tcPr>
          <w:p>
            <w:pPr>
              <w:pStyle w:val="TableParagraph"/>
              <w:spacing w:line="208" w:lineRule="exact"/>
              <w:ind w:right="157"/>
              <w:jc w:val="right"/>
              <w:rPr>
                <w:sz w:val="20"/>
              </w:rPr>
            </w:pPr>
            <w:r>
              <w:rPr>
                <w:spacing w:val="-4"/>
                <w:sz w:val="20"/>
              </w:rPr>
              <w:t>2535</w:t>
            </w:r>
          </w:p>
        </w:tc>
        <w:tc>
          <w:tcPr>
            <w:tcW w:w="2749" w:type="dxa"/>
          </w:tcPr>
          <w:p>
            <w:pPr>
              <w:pStyle w:val="TableParagraph"/>
              <w:spacing w:line="208" w:lineRule="exact"/>
              <w:ind w:left="157"/>
              <w:rPr>
                <w:sz w:val="20"/>
              </w:rPr>
            </w:pPr>
            <w:r>
              <w:rPr>
                <w:sz w:val="20"/>
              </w:rPr>
              <w:t>Hmong</w:t>
            </w:r>
            <w:r>
              <w:rPr>
                <w:spacing w:val="-12"/>
                <w:sz w:val="20"/>
              </w:rPr>
              <w:t> </w:t>
            </w:r>
            <w:r>
              <w:rPr>
                <w:sz w:val="20"/>
              </w:rPr>
              <w:t>(macrolanguage)</w:t>
            </w:r>
            <w:r>
              <w:rPr>
                <w:spacing w:val="-8"/>
                <w:sz w:val="20"/>
              </w:rPr>
              <w:t> </w:t>
            </w:r>
            <w:r>
              <w:rPr>
                <w:spacing w:val="-4"/>
                <w:sz w:val="20"/>
              </w:rPr>
              <w:t>(hmn)</w:t>
            </w:r>
          </w:p>
        </w:tc>
      </w:tr>
      <w:tr>
        <w:trPr>
          <w:trHeight w:val="230" w:hRule="atLeast"/>
        </w:trPr>
        <w:tc>
          <w:tcPr>
            <w:tcW w:w="612" w:type="dxa"/>
          </w:tcPr>
          <w:p>
            <w:pPr>
              <w:pStyle w:val="TableParagraph"/>
              <w:ind w:left="50"/>
              <w:rPr>
                <w:sz w:val="20"/>
              </w:rPr>
            </w:pPr>
            <w:r>
              <w:rPr>
                <w:spacing w:val="-4"/>
                <w:sz w:val="20"/>
              </w:rPr>
              <w:t>2215</w:t>
            </w:r>
          </w:p>
        </w:tc>
        <w:tc>
          <w:tcPr>
            <w:tcW w:w="3842" w:type="dxa"/>
          </w:tcPr>
          <w:p>
            <w:pPr>
              <w:pStyle w:val="TableParagraph"/>
              <w:ind w:left="158"/>
              <w:rPr>
                <w:sz w:val="20"/>
              </w:rPr>
            </w:pPr>
            <w:r>
              <w:rPr>
                <w:sz w:val="20"/>
              </w:rPr>
              <w:t>Tangkhul</w:t>
            </w:r>
            <w:r>
              <w:rPr>
                <w:spacing w:val="-9"/>
                <w:sz w:val="20"/>
              </w:rPr>
              <w:t> </w:t>
            </w:r>
            <w:r>
              <w:rPr>
                <w:sz w:val="20"/>
              </w:rPr>
              <w:t>Naga</w:t>
            </w:r>
            <w:r>
              <w:rPr>
                <w:spacing w:val="-6"/>
                <w:sz w:val="20"/>
              </w:rPr>
              <w:t> </w:t>
            </w:r>
            <w:r>
              <w:rPr>
                <w:sz w:val="20"/>
              </w:rPr>
              <w:t>(India)</w:t>
            </w:r>
            <w:r>
              <w:rPr>
                <w:spacing w:val="-7"/>
                <w:sz w:val="20"/>
              </w:rPr>
              <w:t> </w:t>
            </w:r>
            <w:r>
              <w:rPr>
                <w:spacing w:val="-4"/>
                <w:sz w:val="20"/>
              </w:rPr>
              <w:t>(nmf)</w:t>
            </w:r>
          </w:p>
        </w:tc>
        <w:tc>
          <w:tcPr>
            <w:tcW w:w="1488" w:type="dxa"/>
          </w:tcPr>
          <w:p>
            <w:pPr>
              <w:pStyle w:val="TableParagraph"/>
              <w:ind w:right="157"/>
              <w:jc w:val="right"/>
              <w:rPr>
                <w:sz w:val="20"/>
              </w:rPr>
            </w:pPr>
            <w:r>
              <w:rPr>
                <w:spacing w:val="-4"/>
                <w:sz w:val="20"/>
              </w:rPr>
              <w:t>2536</w:t>
            </w:r>
          </w:p>
        </w:tc>
        <w:tc>
          <w:tcPr>
            <w:tcW w:w="2749" w:type="dxa"/>
          </w:tcPr>
          <w:p>
            <w:pPr>
              <w:pStyle w:val="TableParagraph"/>
              <w:ind w:left="157"/>
              <w:rPr>
                <w:sz w:val="20"/>
              </w:rPr>
            </w:pPr>
            <w:r>
              <w:rPr>
                <w:sz w:val="20"/>
              </w:rPr>
              <w:t>Hmong</w:t>
            </w:r>
            <w:r>
              <w:rPr>
                <w:spacing w:val="-5"/>
                <w:sz w:val="20"/>
              </w:rPr>
              <w:t> </w:t>
            </w:r>
            <w:r>
              <w:rPr>
                <w:sz w:val="20"/>
              </w:rPr>
              <w:t>Daw</w:t>
            </w:r>
            <w:r>
              <w:rPr>
                <w:spacing w:val="-6"/>
                <w:sz w:val="20"/>
              </w:rPr>
              <w:t> </w:t>
            </w:r>
            <w:r>
              <w:rPr>
                <w:spacing w:val="-4"/>
                <w:sz w:val="20"/>
              </w:rPr>
              <w:t>(mww)</w:t>
            </w:r>
          </w:p>
        </w:tc>
      </w:tr>
      <w:tr>
        <w:trPr>
          <w:trHeight w:val="230" w:hRule="atLeast"/>
        </w:trPr>
        <w:tc>
          <w:tcPr>
            <w:tcW w:w="612" w:type="dxa"/>
          </w:tcPr>
          <w:p>
            <w:pPr>
              <w:pStyle w:val="TableParagraph"/>
              <w:spacing w:line="240" w:lineRule="auto"/>
              <w:rPr>
                <w:sz w:val="16"/>
              </w:rPr>
            </w:pPr>
          </w:p>
        </w:tc>
        <w:tc>
          <w:tcPr>
            <w:tcW w:w="3842" w:type="dxa"/>
          </w:tcPr>
          <w:p>
            <w:pPr>
              <w:pStyle w:val="TableParagraph"/>
              <w:spacing w:line="240" w:lineRule="auto"/>
              <w:rPr>
                <w:sz w:val="16"/>
              </w:rPr>
            </w:pPr>
          </w:p>
        </w:tc>
        <w:tc>
          <w:tcPr>
            <w:tcW w:w="1488" w:type="dxa"/>
          </w:tcPr>
          <w:p>
            <w:pPr>
              <w:pStyle w:val="TableParagraph"/>
              <w:ind w:right="157"/>
              <w:jc w:val="right"/>
              <w:rPr>
                <w:sz w:val="20"/>
              </w:rPr>
            </w:pPr>
            <w:r>
              <w:rPr>
                <w:spacing w:val="-4"/>
                <w:sz w:val="20"/>
              </w:rPr>
              <w:t>2537</w:t>
            </w:r>
          </w:p>
        </w:tc>
        <w:tc>
          <w:tcPr>
            <w:tcW w:w="2749" w:type="dxa"/>
          </w:tcPr>
          <w:p>
            <w:pPr>
              <w:pStyle w:val="TableParagraph"/>
              <w:ind w:left="157"/>
              <w:rPr>
                <w:sz w:val="20"/>
              </w:rPr>
            </w:pPr>
            <w:r>
              <w:rPr>
                <w:sz w:val="20"/>
              </w:rPr>
              <w:t>Hmong</w:t>
            </w:r>
            <w:r>
              <w:rPr>
                <w:spacing w:val="-6"/>
                <w:sz w:val="20"/>
              </w:rPr>
              <w:t> </w:t>
            </w:r>
            <w:r>
              <w:rPr>
                <w:sz w:val="20"/>
              </w:rPr>
              <w:t>Njua</w:t>
            </w:r>
            <w:r>
              <w:rPr>
                <w:spacing w:val="-5"/>
                <w:sz w:val="20"/>
              </w:rPr>
              <w:t> </w:t>
            </w:r>
            <w:r>
              <w:rPr>
                <w:spacing w:val="-2"/>
                <w:sz w:val="20"/>
              </w:rPr>
              <w:t>(hnj)</w:t>
            </w:r>
          </w:p>
        </w:tc>
      </w:tr>
      <w:tr>
        <w:trPr>
          <w:trHeight w:val="227" w:hRule="atLeast"/>
        </w:trPr>
        <w:tc>
          <w:tcPr>
            <w:tcW w:w="612" w:type="dxa"/>
          </w:tcPr>
          <w:p>
            <w:pPr>
              <w:pStyle w:val="TableParagraph"/>
              <w:spacing w:line="240" w:lineRule="auto"/>
              <w:rPr>
                <w:sz w:val="16"/>
              </w:rPr>
            </w:pPr>
          </w:p>
        </w:tc>
        <w:tc>
          <w:tcPr>
            <w:tcW w:w="3842" w:type="dxa"/>
          </w:tcPr>
          <w:p>
            <w:pPr>
              <w:pStyle w:val="TableParagraph"/>
              <w:spacing w:line="208" w:lineRule="exact"/>
              <w:ind w:left="158"/>
              <w:rPr>
                <w:i/>
                <w:sz w:val="20"/>
              </w:rPr>
            </w:pPr>
            <w:r>
              <w:rPr>
                <w:i/>
                <w:sz w:val="20"/>
              </w:rPr>
              <w:t>Kuki-Chin</w:t>
            </w:r>
            <w:r>
              <w:rPr>
                <w:i/>
                <w:spacing w:val="-8"/>
                <w:sz w:val="20"/>
              </w:rPr>
              <w:t> </w:t>
            </w:r>
            <w:r>
              <w:rPr>
                <w:i/>
                <w:sz w:val="20"/>
              </w:rPr>
              <w:t>languages</w:t>
            </w:r>
            <w:r>
              <w:rPr>
                <w:i/>
                <w:spacing w:val="-9"/>
                <w:sz w:val="20"/>
              </w:rPr>
              <w:t> </w:t>
            </w:r>
            <w:r>
              <w:rPr>
                <w:i/>
                <w:sz w:val="20"/>
              </w:rPr>
              <w:t>(2220-</w:t>
            </w:r>
            <w:r>
              <w:rPr>
                <w:i/>
                <w:spacing w:val="-2"/>
                <w:sz w:val="20"/>
              </w:rPr>
              <w:t>2299)</w:t>
            </w:r>
          </w:p>
        </w:tc>
        <w:tc>
          <w:tcPr>
            <w:tcW w:w="1488" w:type="dxa"/>
          </w:tcPr>
          <w:p>
            <w:pPr>
              <w:pStyle w:val="TableParagraph"/>
              <w:spacing w:line="240" w:lineRule="auto"/>
              <w:rPr>
                <w:sz w:val="16"/>
              </w:rPr>
            </w:pPr>
          </w:p>
        </w:tc>
        <w:tc>
          <w:tcPr>
            <w:tcW w:w="2749" w:type="dxa"/>
          </w:tcPr>
          <w:p>
            <w:pPr>
              <w:pStyle w:val="TableParagraph"/>
              <w:spacing w:line="240" w:lineRule="auto"/>
              <w:rPr>
                <w:sz w:val="16"/>
              </w:rPr>
            </w:pPr>
          </w:p>
        </w:tc>
      </w:tr>
      <w:tr>
        <w:trPr>
          <w:trHeight w:val="228" w:hRule="atLeast"/>
        </w:trPr>
        <w:tc>
          <w:tcPr>
            <w:tcW w:w="8691" w:type="dxa"/>
            <w:gridSpan w:val="4"/>
          </w:tcPr>
          <w:p>
            <w:pPr>
              <w:pStyle w:val="TableParagraph"/>
              <w:tabs>
                <w:tab w:pos="770" w:val="left" w:leader="none"/>
                <w:tab w:pos="5378" w:val="left" w:leader="none"/>
              </w:tabs>
              <w:spacing w:line="209" w:lineRule="exact"/>
              <w:ind w:left="50"/>
              <w:rPr>
                <w:i/>
                <w:sz w:val="20"/>
              </w:rPr>
            </w:pPr>
            <w:r>
              <w:rPr>
                <w:spacing w:val="-4"/>
                <w:sz w:val="20"/>
              </w:rPr>
              <w:t>2220</w:t>
            </w:r>
            <w:r>
              <w:rPr>
                <w:sz w:val="20"/>
              </w:rPr>
              <w:tab/>
              <w:t>Falam</w:t>
            </w:r>
            <w:r>
              <w:rPr>
                <w:spacing w:val="-6"/>
                <w:sz w:val="20"/>
              </w:rPr>
              <w:t> </w:t>
            </w:r>
            <w:r>
              <w:rPr>
                <w:sz w:val="20"/>
              </w:rPr>
              <w:t>Chin</w:t>
            </w:r>
            <w:r>
              <w:rPr>
                <w:spacing w:val="-5"/>
                <w:sz w:val="20"/>
              </w:rPr>
              <w:t> </w:t>
            </w:r>
            <w:r>
              <w:rPr>
                <w:spacing w:val="-4"/>
                <w:sz w:val="20"/>
              </w:rPr>
              <w:t>(cfm)</w:t>
            </w:r>
            <w:r>
              <w:rPr>
                <w:sz w:val="20"/>
              </w:rPr>
              <w:tab/>
            </w:r>
            <w:r>
              <w:rPr>
                <w:i/>
                <w:sz w:val="20"/>
                <w:u w:val="single"/>
              </w:rPr>
              <w:t>Japonic</w:t>
            </w:r>
            <w:r>
              <w:rPr>
                <w:i/>
                <w:spacing w:val="-8"/>
                <w:sz w:val="20"/>
                <w:u w:val="single"/>
              </w:rPr>
              <w:t> </w:t>
            </w:r>
            <w:r>
              <w:rPr>
                <w:i/>
                <w:sz w:val="20"/>
                <w:u w:val="single"/>
              </w:rPr>
              <w:t>languages</w:t>
            </w:r>
            <w:r>
              <w:rPr>
                <w:i/>
                <w:spacing w:val="-7"/>
                <w:sz w:val="20"/>
                <w:u w:val="single"/>
              </w:rPr>
              <w:t> </w:t>
            </w:r>
            <w:r>
              <w:rPr>
                <w:i/>
                <w:sz w:val="20"/>
                <w:u w:val="single"/>
              </w:rPr>
              <w:t>(2560-</w:t>
            </w:r>
            <w:r>
              <w:rPr>
                <w:i/>
                <w:spacing w:val="-2"/>
                <w:sz w:val="20"/>
                <w:u w:val="single"/>
              </w:rPr>
              <w:t>2568)</w:t>
            </w:r>
          </w:p>
        </w:tc>
      </w:tr>
      <w:tr>
        <w:trPr>
          <w:trHeight w:val="232" w:hRule="atLeast"/>
        </w:trPr>
        <w:tc>
          <w:tcPr>
            <w:tcW w:w="612" w:type="dxa"/>
          </w:tcPr>
          <w:p>
            <w:pPr>
              <w:pStyle w:val="TableParagraph"/>
              <w:spacing w:line="208" w:lineRule="exact"/>
              <w:ind w:left="50"/>
              <w:rPr>
                <w:sz w:val="20"/>
              </w:rPr>
            </w:pPr>
            <w:r>
              <w:rPr>
                <w:spacing w:val="-4"/>
                <w:sz w:val="20"/>
              </w:rPr>
              <w:t>2225</w:t>
            </w:r>
          </w:p>
        </w:tc>
        <w:tc>
          <w:tcPr>
            <w:tcW w:w="3842" w:type="dxa"/>
          </w:tcPr>
          <w:p>
            <w:pPr>
              <w:pStyle w:val="TableParagraph"/>
              <w:spacing w:line="208" w:lineRule="exact"/>
              <w:ind w:left="158"/>
              <w:rPr>
                <w:sz w:val="20"/>
              </w:rPr>
            </w:pPr>
            <w:r>
              <w:rPr>
                <w:sz w:val="20"/>
              </w:rPr>
              <w:t>Haka</w:t>
            </w:r>
            <w:r>
              <w:rPr>
                <w:spacing w:val="-5"/>
                <w:sz w:val="20"/>
              </w:rPr>
              <w:t> </w:t>
            </w:r>
            <w:r>
              <w:rPr>
                <w:sz w:val="20"/>
              </w:rPr>
              <w:t>Chin</w:t>
            </w:r>
            <w:r>
              <w:rPr>
                <w:spacing w:val="-5"/>
                <w:sz w:val="20"/>
              </w:rPr>
              <w:t> </w:t>
            </w:r>
            <w:r>
              <w:rPr>
                <w:spacing w:val="-2"/>
                <w:sz w:val="20"/>
              </w:rPr>
              <w:t>(cnh)</w:t>
            </w:r>
          </w:p>
        </w:tc>
        <w:tc>
          <w:tcPr>
            <w:tcW w:w="1488" w:type="dxa"/>
          </w:tcPr>
          <w:p>
            <w:pPr>
              <w:pStyle w:val="TableParagraph"/>
              <w:spacing w:line="208" w:lineRule="exact"/>
              <w:ind w:right="157"/>
              <w:jc w:val="right"/>
              <w:rPr>
                <w:sz w:val="20"/>
              </w:rPr>
            </w:pPr>
            <w:r>
              <w:rPr>
                <w:spacing w:val="-4"/>
                <w:sz w:val="20"/>
              </w:rPr>
              <w:t>2560</w:t>
            </w:r>
          </w:p>
        </w:tc>
        <w:tc>
          <w:tcPr>
            <w:tcW w:w="2749" w:type="dxa"/>
          </w:tcPr>
          <w:p>
            <w:pPr>
              <w:pStyle w:val="TableParagraph"/>
              <w:spacing w:line="208" w:lineRule="exact"/>
              <w:ind w:left="157"/>
              <w:rPr>
                <w:sz w:val="20"/>
              </w:rPr>
            </w:pPr>
            <w:r>
              <w:rPr>
                <w:sz w:val="20"/>
              </w:rPr>
              <w:t>Japanese</w:t>
            </w:r>
            <w:r>
              <w:rPr>
                <w:spacing w:val="-7"/>
                <w:sz w:val="20"/>
              </w:rPr>
              <w:t> </w:t>
            </w:r>
            <w:r>
              <w:rPr>
                <w:spacing w:val="-2"/>
                <w:sz w:val="20"/>
              </w:rPr>
              <w:t>(jpn)</w:t>
            </w:r>
          </w:p>
        </w:tc>
      </w:tr>
      <w:tr>
        <w:trPr>
          <w:trHeight w:val="230" w:hRule="atLeast"/>
        </w:trPr>
        <w:tc>
          <w:tcPr>
            <w:tcW w:w="612" w:type="dxa"/>
          </w:tcPr>
          <w:p>
            <w:pPr>
              <w:pStyle w:val="TableParagraph"/>
              <w:ind w:left="50"/>
              <w:rPr>
                <w:sz w:val="20"/>
              </w:rPr>
            </w:pPr>
            <w:r>
              <w:rPr>
                <w:spacing w:val="-4"/>
                <w:sz w:val="20"/>
              </w:rPr>
              <w:t>2230</w:t>
            </w:r>
          </w:p>
        </w:tc>
        <w:tc>
          <w:tcPr>
            <w:tcW w:w="3842" w:type="dxa"/>
          </w:tcPr>
          <w:p>
            <w:pPr>
              <w:pStyle w:val="TableParagraph"/>
              <w:ind w:left="158"/>
              <w:rPr>
                <w:sz w:val="20"/>
              </w:rPr>
            </w:pPr>
            <w:r>
              <w:rPr>
                <w:sz w:val="20"/>
              </w:rPr>
              <w:t>Hmar</w:t>
            </w:r>
            <w:r>
              <w:rPr>
                <w:spacing w:val="-6"/>
                <w:sz w:val="20"/>
              </w:rPr>
              <w:t> </w:t>
            </w:r>
            <w:r>
              <w:rPr>
                <w:spacing w:val="-2"/>
                <w:sz w:val="20"/>
              </w:rPr>
              <w:t>(hmr)</w:t>
            </w:r>
          </w:p>
        </w:tc>
        <w:tc>
          <w:tcPr>
            <w:tcW w:w="1488" w:type="dxa"/>
          </w:tcPr>
          <w:p>
            <w:pPr>
              <w:pStyle w:val="TableParagraph"/>
              <w:ind w:right="157"/>
              <w:jc w:val="right"/>
              <w:rPr>
                <w:sz w:val="20"/>
              </w:rPr>
            </w:pPr>
            <w:r>
              <w:rPr>
                <w:spacing w:val="-4"/>
                <w:sz w:val="20"/>
              </w:rPr>
              <w:t>2563</w:t>
            </w:r>
          </w:p>
        </w:tc>
        <w:tc>
          <w:tcPr>
            <w:tcW w:w="2749" w:type="dxa"/>
          </w:tcPr>
          <w:p>
            <w:pPr>
              <w:pStyle w:val="TableParagraph"/>
              <w:ind w:left="157"/>
              <w:rPr>
                <w:sz w:val="20"/>
              </w:rPr>
            </w:pPr>
            <w:r>
              <w:rPr>
                <w:sz w:val="20"/>
              </w:rPr>
              <w:t>Central</w:t>
            </w:r>
            <w:r>
              <w:rPr>
                <w:spacing w:val="-8"/>
                <w:sz w:val="20"/>
              </w:rPr>
              <w:t> </w:t>
            </w:r>
            <w:r>
              <w:rPr>
                <w:sz w:val="20"/>
              </w:rPr>
              <w:t>Okinawan</w:t>
            </w:r>
            <w:r>
              <w:rPr>
                <w:spacing w:val="-9"/>
                <w:sz w:val="20"/>
              </w:rPr>
              <w:t> </w:t>
            </w:r>
            <w:r>
              <w:rPr>
                <w:spacing w:val="-4"/>
                <w:sz w:val="20"/>
              </w:rPr>
              <w:t>(ryu)</w:t>
            </w:r>
          </w:p>
        </w:tc>
      </w:tr>
      <w:tr>
        <w:trPr>
          <w:trHeight w:val="232" w:hRule="atLeast"/>
        </w:trPr>
        <w:tc>
          <w:tcPr>
            <w:tcW w:w="612" w:type="dxa"/>
          </w:tcPr>
          <w:p>
            <w:pPr>
              <w:pStyle w:val="TableParagraph"/>
              <w:spacing w:line="213" w:lineRule="exact"/>
              <w:ind w:left="50"/>
              <w:rPr>
                <w:sz w:val="20"/>
              </w:rPr>
            </w:pPr>
            <w:r>
              <w:rPr>
                <w:spacing w:val="-4"/>
                <w:sz w:val="20"/>
              </w:rPr>
              <w:t>2235</w:t>
            </w:r>
          </w:p>
        </w:tc>
        <w:tc>
          <w:tcPr>
            <w:tcW w:w="3842" w:type="dxa"/>
          </w:tcPr>
          <w:p>
            <w:pPr>
              <w:pStyle w:val="TableParagraph"/>
              <w:spacing w:line="213" w:lineRule="exact"/>
              <w:ind w:left="158"/>
              <w:rPr>
                <w:sz w:val="20"/>
              </w:rPr>
            </w:pPr>
            <w:r>
              <w:rPr>
                <w:sz w:val="20"/>
              </w:rPr>
              <w:t>Lushai</w:t>
            </w:r>
            <w:r>
              <w:rPr>
                <w:spacing w:val="-9"/>
                <w:sz w:val="20"/>
              </w:rPr>
              <w:t> </w:t>
            </w:r>
            <w:r>
              <w:rPr>
                <w:spacing w:val="-2"/>
                <w:sz w:val="20"/>
              </w:rPr>
              <w:t>(lus)</w:t>
            </w:r>
          </w:p>
        </w:tc>
        <w:tc>
          <w:tcPr>
            <w:tcW w:w="1488" w:type="dxa"/>
          </w:tcPr>
          <w:p>
            <w:pPr>
              <w:pStyle w:val="TableParagraph"/>
              <w:spacing w:line="213" w:lineRule="exact"/>
              <w:ind w:right="157"/>
              <w:jc w:val="right"/>
              <w:rPr>
                <w:sz w:val="20"/>
              </w:rPr>
            </w:pPr>
            <w:r>
              <w:rPr>
                <w:spacing w:val="-4"/>
                <w:sz w:val="20"/>
              </w:rPr>
              <w:t>2566</w:t>
            </w:r>
          </w:p>
        </w:tc>
        <w:tc>
          <w:tcPr>
            <w:tcW w:w="2749" w:type="dxa"/>
          </w:tcPr>
          <w:p>
            <w:pPr>
              <w:pStyle w:val="TableParagraph"/>
              <w:spacing w:line="213" w:lineRule="exact"/>
              <w:ind w:left="157"/>
              <w:rPr>
                <w:sz w:val="20"/>
              </w:rPr>
            </w:pPr>
            <w:r>
              <w:rPr>
                <w:sz w:val="20"/>
              </w:rPr>
              <w:t>Northern</w:t>
            </w:r>
            <w:r>
              <w:rPr>
                <w:spacing w:val="-11"/>
                <w:sz w:val="20"/>
              </w:rPr>
              <w:t> </w:t>
            </w:r>
            <w:r>
              <w:rPr>
                <w:sz w:val="20"/>
              </w:rPr>
              <w:t>Amami-Oshima</w:t>
            </w:r>
            <w:r>
              <w:rPr>
                <w:spacing w:val="-11"/>
                <w:sz w:val="20"/>
              </w:rPr>
              <w:t> </w:t>
            </w:r>
            <w:r>
              <w:rPr>
                <w:spacing w:val="-4"/>
                <w:sz w:val="20"/>
              </w:rPr>
              <w:t>(ryn)</w:t>
            </w:r>
          </w:p>
        </w:tc>
      </w:tr>
      <w:tr>
        <w:trPr>
          <w:trHeight w:val="227" w:hRule="atLeast"/>
        </w:trPr>
        <w:tc>
          <w:tcPr>
            <w:tcW w:w="612" w:type="dxa"/>
          </w:tcPr>
          <w:p>
            <w:pPr>
              <w:pStyle w:val="TableParagraph"/>
              <w:spacing w:line="208" w:lineRule="exact"/>
              <w:ind w:left="50"/>
              <w:rPr>
                <w:sz w:val="20"/>
              </w:rPr>
            </w:pPr>
            <w:r>
              <w:rPr>
                <w:spacing w:val="-4"/>
                <w:sz w:val="20"/>
              </w:rPr>
              <w:t>2245</w:t>
            </w:r>
          </w:p>
        </w:tc>
        <w:tc>
          <w:tcPr>
            <w:tcW w:w="3842" w:type="dxa"/>
          </w:tcPr>
          <w:p>
            <w:pPr>
              <w:pStyle w:val="TableParagraph"/>
              <w:spacing w:line="208" w:lineRule="exact"/>
              <w:ind w:left="158"/>
              <w:rPr>
                <w:sz w:val="20"/>
              </w:rPr>
            </w:pPr>
            <w:r>
              <w:rPr>
                <w:sz w:val="20"/>
              </w:rPr>
              <w:t>Daai</w:t>
            </w:r>
            <w:r>
              <w:rPr>
                <w:spacing w:val="-5"/>
                <w:sz w:val="20"/>
              </w:rPr>
              <w:t> </w:t>
            </w:r>
            <w:r>
              <w:rPr>
                <w:sz w:val="20"/>
              </w:rPr>
              <w:t>Chin</w:t>
            </w:r>
            <w:r>
              <w:rPr>
                <w:spacing w:val="-6"/>
                <w:sz w:val="20"/>
              </w:rPr>
              <w:t> </w:t>
            </w:r>
            <w:r>
              <w:rPr>
                <w:spacing w:val="-2"/>
                <w:sz w:val="20"/>
              </w:rPr>
              <w:t>(dao)</w:t>
            </w:r>
          </w:p>
        </w:tc>
        <w:tc>
          <w:tcPr>
            <w:tcW w:w="1488" w:type="dxa"/>
          </w:tcPr>
          <w:p>
            <w:pPr>
              <w:pStyle w:val="TableParagraph"/>
              <w:spacing w:line="240" w:lineRule="auto"/>
              <w:rPr>
                <w:sz w:val="16"/>
              </w:rPr>
            </w:pPr>
          </w:p>
        </w:tc>
        <w:tc>
          <w:tcPr>
            <w:tcW w:w="2749"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2250</w:t>
            </w:r>
          </w:p>
        </w:tc>
        <w:tc>
          <w:tcPr>
            <w:tcW w:w="3842" w:type="dxa"/>
          </w:tcPr>
          <w:p>
            <w:pPr>
              <w:pStyle w:val="TableParagraph"/>
              <w:ind w:left="158"/>
              <w:rPr>
                <w:sz w:val="20"/>
              </w:rPr>
            </w:pPr>
            <w:r>
              <w:rPr>
                <w:sz w:val="20"/>
              </w:rPr>
              <w:t>Kaang</w:t>
            </w:r>
            <w:r>
              <w:rPr>
                <w:spacing w:val="-6"/>
                <w:sz w:val="20"/>
              </w:rPr>
              <w:t> </w:t>
            </w:r>
            <w:r>
              <w:rPr>
                <w:sz w:val="20"/>
              </w:rPr>
              <w:t>Chin</w:t>
            </w:r>
            <w:r>
              <w:rPr>
                <w:spacing w:val="-7"/>
                <w:sz w:val="20"/>
              </w:rPr>
              <w:t> </w:t>
            </w:r>
            <w:r>
              <w:rPr>
                <w:spacing w:val="-2"/>
                <w:sz w:val="20"/>
              </w:rPr>
              <w:t>(ckn)</w:t>
            </w:r>
          </w:p>
        </w:tc>
        <w:tc>
          <w:tcPr>
            <w:tcW w:w="1488" w:type="dxa"/>
          </w:tcPr>
          <w:p>
            <w:pPr>
              <w:pStyle w:val="TableParagraph"/>
              <w:ind w:right="157"/>
              <w:jc w:val="right"/>
              <w:rPr>
                <w:sz w:val="20"/>
              </w:rPr>
            </w:pPr>
            <w:r>
              <w:rPr>
                <w:spacing w:val="-4"/>
                <w:sz w:val="20"/>
              </w:rPr>
              <w:t>2569</w:t>
            </w:r>
          </w:p>
        </w:tc>
        <w:tc>
          <w:tcPr>
            <w:tcW w:w="2749" w:type="dxa"/>
          </w:tcPr>
          <w:p>
            <w:pPr>
              <w:pStyle w:val="TableParagraph"/>
              <w:ind w:left="157"/>
              <w:rPr>
                <w:sz w:val="20"/>
              </w:rPr>
            </w:pPr>
            <w:r>
              <w:rPr>
                <w:sz w:val="20"/>
              </w:rPr>
              <w:t>Ainu</w:t>
            </w:r>
            <w:r>
              <w:rPr>
                <w:spacing w:val="-6"/>
                <w:sz w:val="20"/>
              </w:rPr>
              <w:t> </w:t>
            </w:r>
            <w:r>
              <w:rPr>
                <w:sz w:val="20"/>
              </w:rPr>
              <w:t>(Japan)</w:t>
            </w:r>
            <w:r>
              <w:rPr>
                <w:spacing w:val="-4"/>
                <w:sz w:val="20"/>
              </w:rPr>
              <w:t> (ain)</w:t>
            </w:r>
          </w:p>
        </w:tc>
      </w:tr>
      <w:tr>
        <w:trPr>
          <w:trHeight w:val="230" w:hRule="atLeast"/>
        </w:trPr>
        <w:tc>
          <w:tcPr>
            <w:tcW w:w="612" w:type="dxa"/>
          </w:tcPr>
          <w:p>
            <w:pPr>
              <w:pStyle w:val="TableParagraph"/>
              <w:ind w:left="50"/>
              <w:rPr>
                <w:sz w:val="20"/>
              </w:rPr>
            </w:pPr>
            <w:r>
              <w:rPr>
                <w:spacing w:val="-4"/>
                <w:sz w:val="20"/>
              </w:rPr>
              <w:t>2255</w:t>
            </w:r>
          </w:p>
        </w:tc>
        <w:tc>
          <w:tcPr>
            <w:tcW w:w="3842" w:type="dxa"/>
          </w:tcPr>
          <w:p>
            <w:pPr>
              <w:pStyle w:val="TableParagraph"/>
              <w:ind w:left="158"/>
              <w:rPr>
                <w:sz w:val="20"/>
              </w:rPr>
            </w:pPr>
            <w:r>
              <w:rPr>
                <w:sz w:val="20"/>
              </w:rPr>
              <w:t>Matu</w:t>
            </w:r>
            <w:r>
              <w:rPr>
                <w:spacing w:val="-6"/>
                <w:sz w:val="20"/>
              </w:rPr>
              <w:t> </w:t>
            </w:r>
            <w:r>
              <w:rPr>
                <w:sz w:val="20"/>
              </w:rPr>
              <w:t>Chin</w:t>
            </w:r>
            <w:r>
              <w:rPr>
                <w:spacing w:val="-5"/>
                <w:sz w:val="20"/>
              </w:rPr>
              <w:t> </w:t>
            </w:r>
            <w:r>
              <w:rPr>
                <w:spacing w:val="-4"/>
                <w:sz w:val="20"/>
              </w:rPr>
              <w:t>(hlt)</w:t>
            </w:r>
          </w:p>
        </w:tc>
        <w:tc>
          <w:tcPr>
            <w:tcW w:w="1488" w:type="dxa"/>
          </w:tcPr>
          <w:p>
            <w:pPr>
              <w:pStyle w:val="TableParagraph"/>
              <w:ind w:right="157"/>
              <w:jc w:val="right"/>
              <w:rPr>
                <w:sz w:val="20"/>
              </w:rPr>
            </w:pPr>
            <w:r>
              <w:rPr>
                <w:spacing w:val="-4"/>
                <w:sz w:val="20"/>
              </w:rPr>
              <w:t>2575</w:t>
            </w:r>
          </w:p>
        </w:tc>
        <w:tc>
          <w:tcPr>
            <w:tcW w:w="2749" w:type="dxa"/>
          </w:tcPr>
          <w:p>
            <w:pPr>
              <w:pStyle w:val="TableParagraph"/>
              <w:ind w:left="157"/>
              <w:rPr>
                <w:sz w:val="20"/>
              </w:rPr>
            </w:pPr>
            <w:r>
              <w:rPr>
                <w:sz w:val="20"/>
              </w:rPr>
              <w:t>Korean</w:t>
            </w:r>
            <w:r>
              <w:rPr>
                <w:spacing w:val="-6"/>
                <w:sz w:val="20"/>
              </w:rPr>
              <w:t> </w:t>
            </w:r>
            <w:r>
              <w:rPr>
                <w:spacing w:val="-2"/>
                <w:sz w:val="20"/>
              </w:rPr>
              <w:t>(kor)</w:t>
            </w:r>
          </w:p>
        </w:tc>
      </w:tr>
      <w:tr>
        <w:trPr>
          <w:trHeight w:val="225" w:hRule="atLeast"/>
        </w:trPr>
        <w:tc>
          <w:tcPr>
            <w:tcW w:w="612" w:type="dxa"/>
          </w:tcPr>
          <w:p>
            <w:pPr>
              <w:pStyle w:val="TableParagraph"/>
              <w:spacing w:line="205" w:lineRule="exact"/>
              <w:ind w:left="50"/>
              <w:rPr>
                <w:sz w:val="20"/>
              </w:rPr>
            </w:pPr>
            <w:r>
              <w:rPr>
                <w:spacing w:val="-4"/>
                <w:sz w:val="20"/>
              </w:rPr>
              <w:t>2265</w:t>
            </w:r>
          </w:p>
        </w:tc>
        <w:tc>
          <w:tcPr>
            <w:tcW w:w="3842" w:type="dxa"/>
          </w:tcPr>
          <w:p>
            <w:pPr>
              <w:pStyle w:val="TableParagraph"/>
              <w:spacing w:line="205" w:lineRule="exact"/>
              <w:ind w:left="158"/>
              <w:rPr>
                <w:sz w:val="20"/>
              </w:rPr>
            </w:pPr>
            <w:r>
              <w:rPr>
                <w:sz w:val="20"/>
              </w:rPr>
              <w:t>Siyin</w:t>
            </w:r>
            <w:r>
              <w:rPr>
                <w:spacing w:val="-6"/>
                <w:sz w:val="20"/>
              </w:rPr>
              <w:t> </w:t>
            </w:r>
            <w:r>
              <w:rPr>
                <w:sz w:val="20"/>
              </w:rPr>
              <w:t>Chin</w:t>
            </w:r>
            <w:r>
              <w:rPr>
                <w:spacing w:val="-5"/>
                <w:sz w:val="20"/>
              </w:rPr>
              <w:t> </w:t>
            </w:r>
            <w:r>
              <w:rPr>
                <w:spacing w:val="-2"/>
                <w:sz w:val="20"/>
              </w:rPr>
              <w:t>(csy)</w:t>
            </w:r>
          </w:p>
        </w:tc>
        <w:tc>
          <w:tcPr>
            <w:tcW w:w="1488" w:type="dxa"/>
          </w:tcPr>
          <w:p>
            <w:pPr>
              <w:pStyle w:val="TableParagraph"/>
              <w:spacing w:line="240" w:lineRule="auto"/>
              <w:rPr>
                <w:sz w:val="16"/>
              </w:rPr>
            </w:pPr>
          </w:p>
        </w:tc>
        <w:tc>
          <w:tcPr>
            <w:tcW w:w="2749" w:type="dxa"/>
          </w:tcPr>
          <w:p>
            <w:pPr>
              <w:pStyle w:val="TableParagraph"/>
              <w:spacing w:line="240" w:lineRule="auto"/>
              <w:rPr>
                <w:sz w:val="16"/>
              </w:rPr>
            </w:pPr>
          </w:p>
        </w:tc>
      </w:tr>
      <w:tr>
        <w:trPr>
          <w:trHeight w:val="230" w:hRule="atLeast"/>
        </w:trPr>
        <w:tc>
          <w:tcPr>
            <w:tcW w:w="8691" w:type="dxa"/>
            <w:gridSpan w:val="4"/>
          </w:tcPr>
          <w:p>
            <w:pPr>
              <w:pStyle w:val="TableParagraph"/>
              <w:tabs>
                <w:tab w:pos="770" w:val="left" w:leader="none"/>
                <w:tab w:pos="5378" w:val="left" w:leader="none"/>
              </w:tabs>
              <w:ind w:left="50"/>
              <w:rPr>
                <w:i/>
                <w:sz w:val="20"/>
              </w:rPr>
            </w:pPr>
            <w:r>
              <w:rPr>
                <w:spacing w:val="-4"/>
                <w:sz w:val="20"/>
              </w:rPr>
              <w:t>2270</w:t>
            </w:r>
            <w:r>
              <w:rPr>
                <w:sz w:val="20"/>
              </w:rPr>
              <w:tab/>
              <w:t>Tedim</w:t>
            </w:r>
            <w:r>
              <w:rPr>
                <w:spacing w:val="-8"/>
                <w:sz w:val="20"/>
              </w:rPr>
              <w:t> </w:t>
            </w:r>
            <w:r>
              <w:rPr>
                <w:sz w:val="20"/>
              </w:rPr>
              <w:t>Chin</w:t>
            </w:r>
            <w:r>
              <w:rPr>
                <w:spacing w:val="-6"/>
                <w:sz w:val="20"/>
              </w:rPr>
              <w:t> </w:t>
            </w:r>
            <w:r>
              <w:rPr>
                <w:spacing w:val="-4"/>
                <w:sz w:val="20"/>
              </w:rPr>
              <w:t>(ctd)</w:t>
            </w:r>
            <w:r>
              <w:rPr>
                <w:sz w:val="20"/>
              </w:rPr>
              <w:tab/>
            </w:r>
            <w:r>
              <w:rPr>
                <w:i/>
                <w:sz w:val="20"/>
                <w:u w:val="single"/>
              </w:rPr>
              <w:t>Siberian</w:t>
            </w:r>
            <w:r>
              <w:rPr>
                <w:i/>
                <w:spacing w:val="-7"/>
                <w:sz w:val="20"/>
                <w:u w:val="single"/>
              </w:rPr>
              <w:t> </w:t>
            </w:r>
            <w:r>
              <w:rPr>
                <w:i/>
                <w:sz w:val="20"/>
                <w:u w:val="single"/>
              </w:rPr>
              <w:t>languages</w:t>
            </w:r>
            <w:r>
              <w:rPr>
                <w:i/>
                <w:spacing w:val="-10"/>
                <w:sz w:val="20"/>
                <w:u w:val="single"/>
              </w:rPr>
              <w:t> </w:t>
            </w:r>
            <w:r>
              <w:rPr>
                <w:i/>
                <w:sz w:val="20"/>
                <w:u w:val="single"/>
              </w:rPr>
              <w:t>(2577-</w:t>
            </w:r>
            <w:r>
              <w:rPr>
                <w:i/>
                <w:spacing w:val="-2"/>
                <w:sz w:val="20"/>
                <w:u w:val="single"/>
              </w:rPr>
              <w:t>2589)</w:t>
            </w:r>
          </w:p>
        </w:tc>
      </w:tr>
    </w:tbl>
    <w:p>
      <w:pPr>
        <w:spacing w:after="0"/>
        <w:rPr>
          <w:sz w:val="20"/>
        </w:rPr>
        <w:sectPr>
          <w:type w:val="continuous"/>
          <w:pgSz w:w="12240" w:h="15840"/>
          <w:pgMar w:header="0" w:footer="0" w:top="1820" w:bottom="280" w:left="600" w:right="500"/>
        </w:sectPr>
      </w:pPr>
    </w:p>
    <w:p>
      <w:pPr>
        <w:tabs>
          <w:tab w:pos="1272" w:val="left" w:leader="none"/>
        </w:tabs>
        <w:spacing w:before="11"/>
        <w:ind w:left="552" w:right="0" w:firstLine="0"/>
        <w:jc w:val="left"/>
        <w:rPr>
          <w:rFonts w:ascii="Times New Roman"/>
          <w:sz w:val="20"/>
        </w:rPr>
      </w:pPr>
      <w:r>
        <w:rPr>
          <w:rFonts w:ascii="Times New Roman"/>
          <w:spacing w:val="-4"/>
          <w:sz w:val="20"/>
        </w:rPr>
        <w:t>2275</w:t>
      </w:r>
      <w:r>
        <w:rPr>
          <w:rFonts w:ascii="Times New Roman"/>
          <w:sz w:val="20"/>
        </w:rPr>
        <w:tab/>
        <w:t>Zou</w:t>
      </w:r>
      <w:r>
        <w:rPr>
          <w:rFonts w:ascii="Times New Roman"/>
          <w:spacing w:val="-6"/>
          <w:sz w:val="20"/>
        </w:rPr>
        <w:t> </w:t>
      </w:r>
      <w:r>
        <w:rPr>
          <w:rFonts w:ascii="Times New Roman"/>
          <w:spacing w:val="-2"/>
          <w:sz w:val="20"/>
        </w:rPr>
        <w:t>(zom)</w:t>
      </w:r>
    </w:p>
    <w:p>
      <w:pPr>
        <w:tabs>
          <w:tab w:pos="1272" w:val="left" w:leader="none"/>
        </w:tabs>
        <w:spacing w:before="0"/>
        <w:ind w:left="552" w:right="0" w:firstLine="0"/>
        <w:jc w:val="left"/>
        <w:rPr>
          <w:rFonts w:ascii="Times New Roman"/>
          <w:sz w:val="20"/>
        </w:rPr>
      </w:pPr>
      <w:r>
        <w:rPr>
          <w:rFonts w:ascii="Times New Roman"/>
          <w:spacing w:val="-4"/>
          <w:sz w:val="20"/>
        </w:rPr>
        <w:t>2285</w:t>
      </w:r>
      <w:r>
        <w:rPr>
          <w:rFonts w:ascii="Times New Roman"/>
          <w:sz w:val="20"/>
        </w:rPr>
        <w:tab/>
        <w:t>Zotung</w:t>
      </w:r>
      <w:r>
        <w:rPr>
          <w:rFonts w:ascii="Times New Roman"/>
          <w:spacing w:val="-5"/>
          <w:sz w:val="20"/>
        </w:rPr>
        <w:t> </w:t>
      </w:r>
      <w:r>
        <w:rPr>
          <w:rFonts w:ascii="Times New Roman"/>
          <w:sz w:val="20"/>
        </w:rPr>
        <w:t>Chin</w:t>
      </w:r>
      <w:r>
        <w:rPr>
          <w:rFonts w:ascii="Times New Roman"/>
          <w:spacing w:val="-5"/>
          <w:sz w:val="20"/>
        </w:rPr>
        <w:t> </w:t>
      </w:r>
      <w:r>
        <w:rPr>
          <w:rFonts w:ascii="Times New Roman"/>
          <w:spacing w:val="-2"/>
          <w:sz w:val="20"/>
        </w:rPr>
        <w:t>(czt)</w:t>
      </w:r>
    </w:p>
    <w:p>
      <w:pPr>
        <w:tabs>
          <w:tab w:pos="1272" w:val="left" w:leader="none"/>
        </w:tabs>
        <w:spacing w:before="6"/>
        <w:ind w:left="552" w:right="0" w:firstLine="0"/>
        <w:jc w:val="left"/>
        <w:rPr>
          <w:rFonts w:ascii="Times New Roman"/>
          <w:sz w:val="20"/>
        </w:rPr>
      </w:pPr>
      <w:r>
        <w:rPr/>
        <w:br w:type="column"/>
      </w:r>
      <w:r>
        <w:rPr>
          <w:rFonts w:ascii="Times New Roman"/>
          <w:spacing w:val="-4"/>
          <w:sz w:val="20"/>
        </w:rPr>
        <w:t>2577</w:t>
      </w:r>
      <w:r>
        <w:rPr>
          <w:rFonts w:ascii="Times New Roman"/>
          <w:sz w:val="20"/>
        </w:rPr>
        <w:tab/>
        <w:t>Koryak</w:t>
      </w:r>
      <w:r>
        <w:rPr>
          <w:rFonts w:ascii="Times New Roman"/>
          <w:spacing w:val="-8"/>
          <w:sz w:val="20"/>
        </w:rPr>
        <w:t> </w:t>
      </w:r>
      <w:r>
        <w:rPr>
          <w:rFonts w:ascii="Times New Roman"/>
          <w:spacing w:val="-4"/>
          <w:sz w:val="20"/>
        </w:rPr>
        <w:t>(kpy)</w:t>
      </w:r>
    </w:p>
    <w:p>
      <w:pPr>
        <w:tabs>
          <w:tab w:pos="1272" w:val="left" w:leader="none"/>
        </w:tabs>
        <w:spacing w:before="0"/>
        <w:ind w:left="552" w:right="0" w:firstLine="0"/>
        <w:jc w:val="left"/>
        <w:rPr>
          <w:rFonts w:ascii="Times New Roman"/>
          <w:sz w:val="20"/>
        </w:rPr>
      </w:pPr>
      <w:r>
        <w:rPr>
          <w:rFonts w:ascii="Times New Roman"/>
          <w:spacing w:val="-4"/>
          <w:sz w:val="20"/>
        </w:rPr>
        <w:t>2579</w:t>
      </w:r>
      <w:r>
        <w:rPr>
          <w:rFonts w:ascii="Times New Roman"/>
          <w:sz w:val="20"/>
        </w:rPr>
        <w:tab/>
        <w:t>Itelmen</w:t>
      </w:r>
      <w:r>
        <w:rPr>
          <w:rFonts w:ascii="Times New Roman"/>
          <w:spacing w:val="-8"/>
          <w:sz w:val="20"/>
        </w:rPr>
        <w:t> </w:t>
      </w:r>
      <w:r>
        <w:rPr>
          <w:rFonts w:ascii="Times New Roman"/>
          <w:spacing w:val="-2"/>
          <w:sz w:val="20"/>
        </w:rPr>
        <w:t>(itl)</w:t>
      </w:r>
    </w:p>
    <w:p>
      <w:pPr>
        <w:spacing w:after="0"/>
        <w:jc w:val="left"/>
        <w:rPr>
          <w:rFonts w:ascii="Times New Roman"/>
          <w:sz w:val="20"/>
        </w:rPr>
        <w:sectPr>
          <w:type w:val="continuous"/>
          <w:pgSz w:w="12240" w:h="15840"/>
          <w:pgMar w:header="0" w:footer="0" w:top="1820" w:bottom="280" w:left="600" w:right="500"/>
          <w:cols w:num="2" w:equalWidth="0">
            <w:col w:w="2744" w:space="2585"/>
            <w:col w:w="5811"/>
          </w:cols>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841"/>
        <w:gridCol w:w="1487"/>
        <w:gridCol w:w="3858"/>
      </w:tblGrid>
      <w:tr>
        <w:trPr>
          <w:trHeight w:val="225" w:hRule="atLeast"/>
        </w:trPr>
        <w:tc>
          <w:tcPr>
            <w:tcW w:w="612" w:type="dxa"/>
          </w:tcPr>
          <w:p>
            <w:pPr>
              <w:pStyle w:val="TableParagraph"/>
              <w:spacing w:line="205" w:lineRule="exact"/>
              <w:ind w:left="50"/>
              <w:rPr>
                <w:sz w:val="20"/>
              </w:rPr>
            </w:pPr>
            <w:r>
              <w:rPr>
                <w:spacing w:val="-4"/>
                <w:sz w:val="20"/>
              </w:rPr>
              <w:t>2582</w:t>
            </w:r>
          </w:p>
        </w:tc>
        <w:tc>
          <w:tcPr>
            <w:tcW w:w="3841" w:type="dxa"/>
          </w:tcPr>
          <w:p>
            <w:pPr>
              <w:pStyle w:val="TableParagraph"/>
              <w:spacing w:line="205" w:lineRule="exact"/>
              <w:ind w:left="158"/>
              <w:rPr>
                <w:sz w:val="20"/>
              </w:rPr>
            </w:pPr>
            <w:r>
              <w:rPr>
                <w:sz w:val="20"/>
              </w:rPr>
              <w:t>Ket</w:t>
            </w:r>
            <w:r>
              <w:rPr>
                <w:spacing w:val="-3"/>
                <w:sz w:val="20"/>
              </w:rPr>
              <w:t> </w:t>
            </w:r>
            <w:r>
              <w:rPr>
                <w:spacing w:val="-2"/>
                <w:sz w:val="20"/>
              </w:rPr>
              <w:t>(ket)</w:t>
            </w:r>
          </w:p>
        </w:tc>
        <w:tc>
          <w:tcPr>
            <w:tcW w:w="1487" w:type="dxa"/>
          </w:tcPr>
          <w:p>
            <w:pPr>
              <w:pStyle w:val="TableParagraph"/>
              <w:spacing w:line="205" w:lineRule="exact"/>
              <w:ind w:right="155"/>
              <w:jc w:val="right"/>
              <w:rPr>
                <w:sz w:val="20"/>
              </w:rPr>
            </w:pPr>
            <w:r>
              <w:rPr>
                <w:spacing w:val="-4"/>
                <w:sz w:val="20"/>
              </w:rPr>
              <w:t>3060</w:t>
            </w:r>
          </w:p>
        </w:tc>
        <w:tc>
          <w:tcPr>
            <w:tcW w:w="3858" w:type="dxa"/>
          </w:tcPr>
          <w:p>
            <w:pPr>
              <w:pStyle w:val="TableParagraph"/>
              <w:spacing w:line="205" w:lineRule="exact"/>
              <w:ind w:left="159"/>
              <w:rPr>
                <w:sz w:val="20"/>
              </w:rPr>
            </w:pPr>
            <w:r>
              <w:rPr>
                <w:sz w:val="20"/>
              </w:rPr>
              <w:t>Gorontalo</w:t>
            </w:r>
            <w:r>
              <w:rPr>
                <w:spacing w:val="-8"/>
                <w:sz w:val="20"/>
              </w:rPr>
              <w:t> </w:t>
            </w:r>
            <w:r>
              <w:rPr>
                <w:spacing w:val="-2"/>
                <w:sz w:val="20"/>
              </w:rPr>
              <w:t>(gor)</w:t>
            </w:r>
          </w:p>
        </w:tc>
      </w:tr>
      <w:tr>
        <w:trPr>
          <w:trHeight w:val="229" w:hRule="atLeast"/>
        </w:trPr>
        <w:tc>
          <w:tcPr>
            <w:tcW w:w="612" w:type="dxa"/>
          </w:tcPr>
          <w:p>
            <w:pPr>
              <w:pStyle w:val="TableParagraph"/>
              <w:spacing w:line="209" w:lineRule="exact"/>
              <w:ind w:left="50"/>
              <w:rPr>
                <w:sz w:val="20"/>
              </w:rPr>
            </w:pPr>
            <w:r>
              <w:rPr>
                <w:spacing w:val="-4"/>
                <w:sz w:val="20"/>
              </w:rPr>
              <w:t>2585</w:t>
            </w:r>
          </w:p>
        </w:tc>
        <w:tc>
          <w:tcPr>
            <w:tcW w:w="3841" w:type="dxa"/>
          </w:tcPr>
          <w:p>
            <w:pPr>
              <w:pStyle w:val="TableParagraph"/>
              <w:spacing w:line="209" w:lineRule="exact"/>
              <w:ind w:left="158"/>
              <w:rPr>
                <w:sz w:val="20"/>
              </w:rPr>
            </w:pPr>
            <w:r>
              <w:rPr>
                <w:sz w:val="20"/>
              </w:rPr>
              <w:t>Gilyak</w:t>
            </w:r>
            <w:r>
              <w:rPr>
                <w:spacing w:val="-7"/>
                <w:sz w:val="20"/>
              </w:rPr>
              <w:t> </w:t>
            </w:r>
            <w:r>
              <w:rPr>
                <w:spacing w:val="-2"/>
                <w:sz w:val="20"/>
              </w:rPr>
              <w:t>(niv)</w:t>
            </w:r>
          </w:p>
        </w:tc>
        <w:tc>
          <w:tcPr>
            <w:tcW w:w="1487" w:type="dxa"/>
          </w:tcPr>
          <w:p>
            <w:pPr>
              <w:pStyle w:val="TableParagraph"/>
              <w:spacing w:line="209" w:lineRule="exact"/>
              <w:ind w:right="155"/>
              <w:jc w:val="right"/>
              <w:rPr>
                <w:sz w:val="20"/>
              </w:rPr>
            </w:pPr>
            <w:r>
              <w:rPr>
                <w:spacing w:val="-4"/>
                <w:sz w:val="20"/>
              </w:rPr>
              <w:t>3070</w:t>
            </w:r>
          </w:p>
        </w:tc>
        <w:tc>
          <w:tcPr>
            <w:tcW w:w="3858" w:type="dxa"/>
          </w:tcPr>
          <w:p>
            <w:pPr>
              <w:pStyle w:val="TableParagraph"/>
              <w:spacing w:line="209" w:lineRule="exact"/>
              <w:ind w:left="159"/>
              <w:rPr>
                <w:sz w:val="20"/>
              </w:rPr>
            </w:pPr>
            <w:r>
              <w:rPr>
                <w:sz w:val="20"/>
              </w:rPr>
              <w:t>Obo</w:t>
            </w:r>
            <w:r>
              <w:rPr>
                <w:spacing w:val="-4"/>
                <w:sz w:val="20"/>
              </w:rPr>
              <w:t> </w:t>
            </w:r>
            <w:r>
              <w:rPr>
                <w:sz w:val="20"/>
              </w:rPr>
              <w:t>Manobo</w:t>
            </w:r>
            <w:r>
              <w:rPr>
                <w:spacing w:val="-4"/>
                <w:sz w:val="20"/>
              </w:rPr>
              <w:t> </w:t>
            </w:r>
            <w:r>
              <w:rPr>
                <w:spacing w:val="-2"/>
                <w:sz w:val="20"/>
              </w:rPr>
              <w:t>(obo)</w:t>
            </w:r>
          </w:p>
        </w:tc>
      </w:tr>
      <w:tr>
        <w:trPr>
          <w:trHeight w:val="229" w:hRule="atLeast"/>
        </w:trPr>
        <w:tc>
          <w:tcPr>
            <w:tcW w:w="612" w:type="dxa"/>
          </w:tcPr>
          <w:p>
            <w:pPr>
              <w:pStyle w:val="TableParagraph"/>
              <w:spacing w:line="209" w:lineRule="exact"/>
              <w:ind w:left="50"/>
              <w:rPr>
                <w:sz w:val="20"/>
              </w:rPr>
            </w:pPr>
            <w:r>
              <w:rPr>
                <w:spacing w:val="-4"/>
                <w:sz w:val="20"/>
              </w:rPr>
              <w:t>2588</w:t>
            </w:r>
          </w:p>
        </w:tc>
        <w:tc>
          <w:tcPr>
            <w:tcW w:w="3841" w:type="dxa"/>
          </w:tcPr>
          <w:p>
            <w:pPr>
              <w:pStyle w:val="TableParagraph"/>
              <w:spacing w:line="209" w:lineRule="exact"/>
              <w:ind w:left="158"/>
              <w:rPr>
                <w:sz w:val="20"/>
              </w:rPr>
            </w:pPr>
            <w:r>
              <w:rPr>
                <w:sz w:val="20"/>
              </w:rPr>
              <w:t>Northern</w:t>
            </w:r>
            <w:r>
              <w:rPr>
                <w:spacing w:val="-9"/>
                <w:sz w:val="20"/>
              </w:rPr>
              <w:t> </w:t>
            </w:r>
            <w:r>
              <w:rPr>
                <w:sz w:val="20"/>
              </w:rPr>
              <w:t>Yukaghir</w:t>
            </w:r>
            <w:r>
              <w:rPr>
                <w:spacing w:val="-8"/>
                <w:sz w:val="20"/>
              </w:rPr>
              <w:t> </w:t>
            </w:r>
            <w:r>
              <w:rPr>
                <w:spacing w:val="-4"/>
                <w:sz w:val="20"/>
              </w:rPr>
              <w:t>(ykg)</w:t>
            </w:r>
          </w:p>
        </w:tc>
        <w:tc>
          <w:tcPr>
            <w:tcW w:w="1487" w:type="dxa"/>
          </w:tcPr>
          <w:p>
            <w:pPr>
              <w:pStyle w:val="TableParagraph"/>
              <w:spacing w:line="209" w:lineRule="exact"/>
              <w:ind w:right="155"/>
              <w:jc w:val="right"/>
              <w:rPr>
                <w:sz w:val="20"/>
              </w:rPr>
            </w:pPr>
            <w:r>
              <w:rPr>
                <w:spacing w:val="-4"/>
                <w:sz w:val="20"/>
              </w:rPr>
              <w:t>3080</w:t>
            </w:r>
          </w:p>
        </w:tc>
        <w:tc>
          <w:tcPr>
            <w:tcW w:w="3858" w:type="dxa"/>
          </w:tcPr>
          <w:p>
            <w:pPr>
              <w:pStyle w:val="TableParagraph"/>
              <w:spacing w:line="209" w:lineRule="exact"/>
              <w:ind w:left="159"/>
              <w:rPr>
                <w:sz w:val="20"/>
              </w:rPr>
            </w:pPr>
            <w:r>
              <w:rPr>
                <w:sz w:val="20"/>
              </w:rPr>
              <w:t>Ibaloi</w:t>
            </w:r>
            <w:r>
              <w:rPr>
                <w:spacing w:val="-4"/>
                <w:sz w:val="20"/>
              </w:rPr>
              <w:t> </w:t>
            </w:r>
            <w:r>
              <w:rPr>
                <w:spacing w:val="-2"/>
                <w:sz w:val="20"/>
              </w:rPr>
              <w:t>(ibl)</w:t>
            </w:r>
          </w:p>
        </w:tc>
      </w:tr>
      <w:tr>
        <w:trPr>
          <w:trHeight w:val="225" w:hRule="atLeast"/>
        </w:trPr>
        <w:tc>
          <w:tcPr>
            <w:tcW w:w="612" w:type="dxa"/>
          </w:tcPr>
          <w:p>
            <w:pPr>
              <w:pStyle w:val="TableParagraph"/>
              <w:spacing w:line="240" w:lineRule="auto"/>
              <w:rPr>
                <w:sz w:val="16"/>
              </w:rPr>
            </w:pPr>
          </w:p>
        </w:tc>
        <w:tc>
          <w:tcPr>
            <w:tcW w:w="3841" w:type="dxa"/>
          </w:tcPr>
          <w:p>
            <w:pPr>
              <w:pStyle w:val="TableParagraph"/>
              <w:spacing w:line="240" w:lineRule="auto"/>
              <w:rPr>
                <w:sz w:val="16"/>
              </w:rPr>
            </w:pPr>
          </w:p>
        </w:tc>
        <w:tc>
          <w:tcPr>
            <w:tcW w:w="1487" w:type="dxa"/>
          </w:tcPr>
          <w:p>
            <w:pPr>
              <w:pStyle w:val="TableParagraph"/>
              <w:spacing w:line="205" w:lineRule="exact"/>
              <w:ind w:right="155"/>
              <w:jc w:val="right"/>
              <w:rPr>
                <w:sz w:val="20"/>
              </w:rPr>
            </w:pPr>
            <w:r>
              <w:rPr>
                <w:spacing w:val="-4"/>
                <w:sz w:val="20"/>
              </w:rPr>
              <w:t>3090</w:t>
            </w:r>
          </w:p>
        </w:tc>
        <w:tc>
          <w:tcPr>
            <w:tcW w:w="3858" w:type="dxa"/>
          </w:tcPr>
          <w:p>
            <w:pPr>
              <w:pStyle w:val="TableParagraph"/>
              <w:spacing w:line="205" w:lineRule="exact"/>
              <w:ind w:left="159"/>
              <w:rPr>
                <w:sz w:val="20"/>
              </w:rPr>
            </w:pPr>
            <w:r>
              <w:rPr>
                <w:sz w:val="20"/>
              </w:rPr>
              <w:t>Pangasinan</w:t>
            </w:r>
            <w:r>
              <w:rPr>
                <w:spacing w:val="-12"/>
                <w:sz w:val="20"/>
              </w:rPr>
              <w:t> </w:t>
            </w:r>
            <w:r>
              <w:rPr>
                <w:spacing w:val="-2"/>
                <w:sz w:val="20"/>
              </w:rPr>
              <w:t>(pag)</w:t>
            </w:r>
          </w:p>
        </w:tc>
      </w:tr>
      <w:tr>
        <w:trPr>
          <w:trHeight w:val="230" w:hRule="atLeast"/>
        </w:trPr>
        <w:tc>
          <w:tcPr>
            <w:tcW w:w="9798" w:type="dxa"/>
            <w:gridSpan w:val="4"/>
          </w:tcPr>
          <w:p>
            <w:pPr>
              <w:pStyle w:val="TableParagraph"/>
              <w:tabs>
                <w:tab w:pos="5378" w:val="left" w:leader="none"/>
                <w:tab w:pos="6099" w:val="left" w:leader="none"/>
              </w:tabs>
              <w:ind w:left="50"/>
              <w:rPr>
                <w:sz w:val="20"/>
              </w:rPr>
            </w:pPr>
            <w:r>
              <w:rPr>
                <w:i/>
                <w:sz w:val="20"/>
                <w:u w:val="single"/>
              </w:rPr>
              <w:t>Austronesian</w:t>
            </w:r>
            <w:r>
              <w:rPr>
                <w:i/>
                <w:spacing w:val="-9"/>
                <w:sz w:val="20"/>
                <w:u w:val="single"/>
              </w:rPr>
              <w:t> </w:t>
            </w:r>
            <w:r>
              <w:rPr>
                <w:i/>
                <w:sz w:val="20"/>
                <w:u w:val="single"/>
              </w:rPr>
              <w:t>languages</w:t>
            </w:r>
            <w:r>
              <w:rPr>
                <w:i/>
                <w:spacing w:val="-10"/>
                <w:sz w:val="20"/>
                <w:u w:val="single"/>
              </w:rPr>
              <w:t> </w:t>
            </w:r>
            <w:r>
              <w:rPr>
                <w:i/>
                <w:sz w:val="20"/>
                <w:u w:val="single"/>
              </w:rPr>
              <w:t>(2590-</w:t>
            </w:r>
            <w:r>
              <w:rPr>
                <w:i/>
                <w:spacing w:val="-2"/>
                <w:sz w:val="20"/>
                <w:u w:val="single"/>
              </w:rPr>
              <w:t>3798)</w:t>
            </w:r>
            <w:r>
              <w:rPr>
                <w:i/>
                <w:sz w:val="20"/>
              </w:rPr>
              <w:tab/>
            </w:r>
            <w:r>
              <w:rPr>
                <w:spacing w:val="-4"/>
                <w:sz w:val="20"/>
              </w:rPr>
              <w:t>3100</w:t>
            </w:r>
            <w:r>
              <w:rPr>
                <w:sz w:val="20"/>
              </w:rPr>
              <w:tab/>
              <w:t>Batad</w:t>
            </w:r>
            <w:r>
              <w:rPr>
                <w:spacing w:val="-7"/>
                <w:sz w:val="20"/>
              </w:rPr>
              <w:t> </w:t>
            </w:r>
            <w:r>
              <w:rPr>
                <w:sz w:val="20"/>
              </w:rPr>
              <w:t>Ifugao</w:t>
            </w:r>
            <w:r>
              <w:rPr>
                <w:spacing w:val="-6"/>
                <w:sz w:val="20"/>
              </w:rPr>
              <w:t> </w:t>
            </w:r>
            <w:r>
              <w:rPr>
                <w:spacing w:val="-2"/>
                <w:sz w:val="20"/>
              </w:rPr>
              <w:t>(ifb)</w:t>
            </w:r>
          </w:p>
        </w:tc>
      </w:tr>
      <w:tr>
        <w:trPr>
          <w:trHeight w:val="235" w:hRule="atLeast"/>
        </w:trPr>
        <w:tc>
          <w:tcPr>
            <w:tcW w:w="612" w:type="dxa"/>
          </w:tcPr>
          <w:p>
            <w:pPr>
              <w:pStyle w:val="TableParagraph"/>
              <w:spacing w:line="205" w:lineRule="exact"/>
              <w:ind w:left="50"/>
              <w:rPr>
                <w:sz w:val="20"/>
              </w:rPr>
            </w:pPr>
            <w:r>
              <w:rPr>
                <w:spacing w:val="-4"/>
                <w:sz w:val="20"/>
              </w:rPr>
              <w:t>2590</w:t>
            </w:r>
          </w:p>
        </w:tc>
        <w:tc>
          <w:tcPr>
            <w:tcW w:w="3841" w:type="dxa"/>
          </w:tcPr>
          <w:p>
            <w:pPr>
              <w:pStyle w:val="TableParagraph"/>
              <w:spacing w:line="205" w:lineRule="exact"/>
              <w:ind w:left="158"/>
              <w:rPr>
                <w:sz w:val="20"/>
              </w:rPr>
            </w:pPr>
            <w:r>
              <w:rPr>
                <w:sz w:val="20"/>
              </w:rPr>
              <w:t>Buginese</w:t>
            </w:r>
            <w:r>
              <w:rPr>
                <w:spacing w:val="-11"/>
                <w:sz w:val="20"/>
              </w:rPr>
              <w:t> </w:t>
            </w:r>
            <w:r>
              <w:rPr>
                <w:spacing w:val="-2"/>
                <w:sz w:val="20"/>
              </w:rPr>
              <w:t>(bug)</w:t>
            </w:r>
          </w:p>
        </w:tc>
        <w:tc>
          <w:tcPr>
            <w:tcW w:w="1487" w:type="dxa"/>
          </w:tcPr>
          <w:p>
            <w:pPr>
              <w:pStyle w:val="TableParagraph"/>
              <w:spacing w:line="205" w:lineRule="exact"/>
              <w:ind w:right="155"/>
              <w:jc w:val="right"/>
              <w:rPr>
                <w:sz w:val="20"/>
              </w:rPr>
            </w:pPr>
            <w:r>
              <w:rPr>
                <w:spacing w:val="-4"/>
                <w:sz w:val="20"/>
              </w:rPr>
              <w:t>3110</w:t>
            </w:r>
          </w:p>
        </w:tc>
        <w:tc>
          <w:tcPr>
            <w:tcW w:w="3858" w:type="dxa"/>
          </w:tcPr>
          <w:p>
            <w:pPr>
              <w:pStyle w:val="TableParagraph"/>
              <w:spacing w:line="205" w:lineRule="exact"/>
              <w:ind w:left="159"/>
              <w:rPr>
                <w:sz w:val="20"/>
              </w:rPr>
            </w:pPr>
            <w:r>
              <w:rPr>
                <w:sz w:val="20"/>
              </w:rPr>
              <w:t>Tuwali</w:t>
            </w:r>
            <w:r>
              <w:rPr>
                <w:spacing w:val="-7"/>
                <w:sz w:val="20"/>
              </w:rPr>
              <w:t> </w:t>
            </w:r>
            <w:r>
              <w:rPr>
                <w:sz w:val="20"/>
              </w:rPr>
              <w:t>Ifugao</w:t>
            </w:r>
            <w:r>
              <w:rPr>
                <w:spacing w:val="-6"/>
                <w:sz w:val="20"/>
              </w:rPr>
              <w:t> </w:t>
            </w:r>
            <w:r>
              <w:rPr>
                <w:spacing w:val="-4"/>
                <w:sz w:val="20"/>
              </w:rPr>
              <w:t>(ifk)</w:t>
            </w:r>
          </w:p>
        </w:tc>
      </w:tr>
      <w:tr>
        <w:trPr>
          <w:trHeight w:val="230" w:hRule="atLeast"/>
        </w:trPr>
        <w:tc>
          <w:tcPr>
            <w:tcW w:w="612" w:type="dxa"/>
          </w:tcPr>
          <w:p>
            <w:pPr>
              <w:pStyle w:val="TableParagraph"/>
              <w:ind w:left="50"/>
              <w:rPr>
                <w:sz w:val="20"/>
              </w:rPr>
            </w:pPr>
            <w:r>
              <w:rPr>
                <w:spacing w:val="-4"/>
                <w:sz w:val="20"/>
              </w:rPr>
              <w:t>2600</w:t>
            </w:r>
          </w:p>
        </w:tc>
        <w:tc>
          <w:tcPr>
            <w:tcW w:w="3841" w:type="dxa"/>
          </w:tcPr>
          <w:p>
            <w:pPr>
              <w:pStyle w:val="TableParagraph"/>
              <w:ind w:left="158"/>
              <w:rPr>
                <w:sz w:val="20"/>
              </w:rPr>
            </w:pPr>
            <w:r>
              <w:rPr>
                <w:sz w:val="20"/>
              </w:rPr>
              <w:t>Balinese</w:t>
            </w:r>
            <w:r>
              <w:rPr>
                <w:spacing w:val="-8"/>
                <w:sz w:val="20"/>
              </w:rPr>
              <w:t> </w:t>
            </w:r>
            <w:r>
              <w:rPr>
                <w:spacing w:val="-2"/>
                <w:sz w:val="20"/>
              </w:rPr>
              <w:t>(ban)</w:t>
            </w:r>
          </w:p>
        </w:tc>
        <w:tc>
          <w:tcPr>
            <w:tcW w:w="1487" w:type="dxa"/>
          </w:tcPr>
          <w:p>
            <w:pPr>
              <w:pStyle w:val="TableParagraph"/>
              <w:ind w:right="155"/>
              <w:jc w:val="right"/>
              <w:rPr>
                <w:sz w:val="20"/>
              </w:rPr>
            </w:pPr>
            <w:r>
              <w:rPr>
                <w:spacing w:val="-4"/>
                <w:sz w:val="20"/>
              </w:rPr>
              <w:t>3120</w:t>
            </w:r>
          </w:p>
        </w:tc>
        <w:tc>
          <w:tcPr>
            <w:tcW w:w="3858" w:type="dxa"/>
          </w:tcPr>
          <w:p>
            <w:pPr>
              <w:pStyle w:val="TableParagraph"/>
              <w:ind w:left="159"/>
              <w:rPr>
                <w:sz w:val="20"/>
              </w:rPr>
            </w:pPr>
            <w:r>
              <w:rPr>
                <w:sz w:val="20"/>
              </w:rPr>
              <w:t>Bontok</w:t>
            </w:r>
            <w:r>
              <w:rPr>
                <w:spacing w:val="-13"/>
                <w:sz w:val="20"/>
              </w:rPr>
              <w:t> </w:t>
            </w:r>
            <w:r>
              <w:rPr>
                <w:sz w:val="20"/>
              </w:rPr>
              <w:t>(macrolanguage)</w:t>
            </w:r>
            <w:r>
              <w:rPr>
                <w:spacing w:val="-9"/>
                <w:sz w:val="20"/>
              </w:rPr>
              <w:t> </w:t>
            </w:r>
            <w:r>
              <w:rPr>
                <w:spacing w:val="-4"/>
                <w:sz w:val="20"/>
              </w:rPr>
              <w:t>(bnc)</w:t>
            </w:r>
          </w:p>
        </w:tc>
      </w:tr>
      <w:tr>
        <w:trPr>
          <w:trHeight w:val="229" w:hRule="atLeast"/>
        </w:trPr>
        <w:tc>
          <w:tcPr>
            <w:tcW w:w="612" w:type="dxa"/>
          </w:tcPr>
          <w:p>
            <w:pPr>
              <w:pStyle w:val="TableParagraph"/>
              <w:spacing w:line="209" w:lineRule="exact"/>
              <w:ind w:left="50"/>
              <w:rPr>
                <w:sz w:val="20"/>
              </w:rPr>
            </w:pPr>
            <w:r>
              <w:rPr>
                <w:spacing w:val="-4"/>
                <w:sz w:val="20"/>
              </w:rPr>
              <w:t>2610</w:t>
            </w:r>
          </w:p>
        </w:tc>
        <w:tc>
          <w:tcPr>
            <w:tcW w:w="3841" w:type="dxa"/>
          </w:tcPr>
          <w:p>
            <w:pPr>
              <w:pStyle w:val="TableParagraph"/>
              <w:spacing w:line="209" w:lineRule="exact"/>
              <w:ind w:left="158"/>
              <w:rPr>
                <w:sz w:val="20"/>
              </w:rPr>
            </w:pPr>
            <w:r>
              <w:rPr>
                <w:sz w:val="20"/>
              </w:rPr>
              <w:t>Malagasy</w:t>
            </w:r>
            <w:r>
              <w:rPr>
                <w:spacing w:val="-13"/>
                <w:sz w:val="20"/>
              </w:rPr>
              <w:t> </w:t>
            </w:r>
            <w:r>
              <w:rPr>
                <w:sz w:val="20"/>
              </w:rPr>
              <w:t>(macrolanguage)</w:t>
            </w:r>
            <w:r>
              <w:rPr>
                <w:spacing w:val="-9"/>
                <w:sz w:val="20"/>
              </w:rPr>
              <w:t> </w:t>
            </w:r>
            <w:r>
              <w:rPr>
                <w:spacing w:val="-4"/>
                <w:sz w:val="20"/>
              </w:rPr>
              <w:t>(mlg)</w:t>
            </w:r>
          </w:p>
        </w:tc>
        <w:tc>
          <w:tcPr>
            <w:tcW w:w="1487" w:type="dxa"/>
          </w:tcPr>
          <w:p>
            <w:pPr>
              <w:pStyle w:val="TableParagraph"/>
              <w:spacing w:line="209" w:lineRule="exact"/>
              <w:ind w:right="155"/>
              <w:jc w:val="right"/>
              <w:rPr>
                <w:sz w:val="20"/>
              </w:rPr>
            </w:pPr>
            <w:r>
              <w:rPr>
                <w:spacing w:val="-4"/>
                <w:sz w:val="20"/>
              </w:rPr>
              <w:t>3125</w:t>
            </w:r>
          </w:p>
        </w:tc>
        <w:tc>
          <w:tcPr>
            <w:tcW w:w="3858" w:type="dxa"/>
          </w:tcPr>
          <w:p>
            <w:pPr>
              <w:pStyle w:val="TableParagraph"/>
              <w:spacing w:line="209" w:lineRule="exact"/>
              <w:ind w:left="159"/>
              <w:rPr>
                <w:sz w:val="20"/>
              </w:rPr>
            </w:pPr>
            <w:r>
              <w:rPr>
                <w:sz w:val="20"/>
              </w:rPr>
              <w:t>Central</w:t>
            </w:r>
            <w:r>
              <w:rPr>
                <w:spacing w:val="-6"/>
                <w:sz w:val="20"/>
              </w:rPr>
              <w:t> </w:t>
            </w:r>
            <w:r>
              <w:rPr>
                <w:sz w:val="20"/>
              </w:rPr>
              <w:t>Bontok</w:t>
            </w:r>
            <w:r>
              <w:rPr>
                <w:spacing w:val="-6"/>
                <w:sz w:val="20"/>
              </w:rPr>
              <w:t> </w:t>
            </w:r>
            <w:r>
              <w:rPr>
                <w:spacing w:val="-2"/>
                <w:sz w:val="20"/>
              </w:rPr>
              <w:t>(lbk)</w:t>
            </w:r>
          </w:p>
        </w:tc>
      </w:tr>
      <w:tr>
        <w:trPr>
          <w:trHeight w:val="229" w:hRule="atLeast"/>
        </w:trPr>
        <w:tc>
          <w:tcPr>
            <w:tcW w:w="612" w:type="dxa"/>
          </w:tcPr>
          <w:p>
            <w:pPr>
              <w:pStyle w:val="TableParagraph"/>
              <w:spacing w:line="209" w:lineRule="exact"/>
              <w:ind w:left="50"/>
              <w:rPr>
                <w:sz w:val="20"/>
              </w:rPr>
            </w:pPr>
            <w:r>
              <w:rPr>
                <w:spacing w:val="-4"/>
                <w:sz w:val="20"/>
              </w:rPr>
              <w:t>2611</w:t>
            </w:r>
          </w:p>
        </w:tc>
        <w:tc>
          <w:tcPr>
            <w:tcW w:w="3841" w:type="dxa"/>
          </w:tcPr>
          <w:p>
            <w:pPr>
              <w:pStyle w:val="TableParagraph"/>
              <w:spacing w:line="209" w:lineRule="exact"/>
              <w:ind w:left="158"/>
              <w:rPr>
                <w:sz w:val="20"/>
              </w:rPr>
            </w:pPr>
            <w:r>
              <w:rPr>
                <w:sz w:val="20"/>
              </w:rPr>
              <w:t>Plateau</w:t>
            </w:r>
            <w:r>
              <w:rPr>
                <w:spacing w:val="-8"/>
                <w:sz w:val="20"/>
              </w:rPr>
              <w:t> </w:t>
            </w:r>
            <w:r>
              <w:rPr>
                <w:sz w:val="20"/>
              </w:rPr>
              <w:t>Malagasy</w:t>
            </w:r>
            <w:r>
              <w:rPr>
                <w:spacing w:val="-7"/>
                <w:sz w:val="20"/>
              </w:rPr>
              <w:t> </w:t>
            </w:r>
            <w:r>
              <w:rPr>
                <w:spacing w:val="-4"/>
                <w:sz w:val="20"/>
              </w:rPr>
              <w:t>(plt)</w:t>
            </w:r>
          </w:p>
        </w:tc>
        <w:tc>
          <w:tcPr>
            <w:tcW w:w="1487" w:type="dxa"/>
          </w:tcPr>
          <w:p>
            <w:pPr>
              <w:pStyle w:val="TableParagraph"/>
              <w:spacing w:line="209" w:lineRule="exact"/>
              <w:ind w:right="155"/>
              <w:jc w:val="right"/>
              <w:rPr>
                <w:sz w:val="20"/>
              </w:rPr>
            </w:pPr>
            <w:r>
              <w:rPr>
                <w:spacing w:val="-4"/>
                <w:sz w:val="20"/>
              </w:rPr>
              <w:t>3130</w:t>
            </w:r>
          </w:p>
        </w:tc>
        <w:tc>
          <w:tcPr>
            <w:tcW w:w="3858" w:type="dxa"/>
          </w:tcPr>
          <w:p>
            <w:pPr>
              <w:pStyle w:val="TableParagraph"/>
              <w:spacing w:line="209" w:lineRule="exact"/>
              <w:ind w:left="159"/>
              <w:rPr>
                <w:sz w:val="20"/>
              </w:rPr>
            </w:pPr>
            <w:r>
              <w:rPr>
                <w:sz w:val="20"/>
              </w:rPr>
              <w:t>Kankanaey</w:t>
            </w:r>
            <w:r>
              <w:rPr>
                <w:spacing w:val="-10"/>
                <w:sz w:val="20"/>
              </w:rPr>
              <w:t> </w:t>
            </w:r>
            <w:r>
              <w:rPr>
                <w:spacing w:val="-2"/>
                <w:sz w:val="20"/>
              </w:rPr>
              <w:t>(kne)</w:t>
            </w:r>
          </w:p>
        </w:tc>
      </w:tr>
      <w:tr>
        <w:trPr>
          <w:trHeight w:val="230" w:hRule="atLeast"/>
        </w:trPr>
        <w:tc>
          <w:tcPr>
            <w:tcW w:w="612" w:type="dxa"/>
          </w:tcPr>
          <w:p>
            <w:pPr>
              <w:pStyle w:val="TableParagraph"/>
              <w:ind w:left="50"/>
              <w:rPr>
                <w:sz w:val="20"/>
              </w:rPr>
            </w:pPr>
            <w:r>
              <w:rPr>
                <w:spacing w:val="-4"/>
                <w:sz w:val="20"/>
              </w:rPr>
              <w:t>2630</w:t>
            </w:r>
          </w:p>
        </w:tc>
        <w:tc>
          <w:tcPr>
            <w:tcW w:w="3841" w:type="dxa"/>
          </w:tcPr>
          <w:p>
            <w:pPr>
              <w:pStyle w:val="TableParagraph"/>
              <w:ind w:left="158"/>
              <w:rPr>
                <w:sz w:val="20"/>
              </w:rPr>
            </w:pPr>
            <w:r>
              <w:rPr>
                <w:sz w:val="20"/>
              </w:rPr>
              <w:t>Javanese</w:t>
            </w:r>
            <w:r>
              <w:rPr>
                <w:spacing w:val="-9"/>
                <w:sz w:val="20"/>
              </w:rPr>
              <w:t> </w:t>
            </w:r>
            <w:r>
              <w:rPr>
                <w:spacing w:val="-2"/>
                <w:sz w:val="20"/>
              </w:rPr>
              <w:t>(jav)</w:t>
            </w:r>
          </w:p>
        </w:tc>
        <w:tc>
          <w:tcPr>
            <w:tcW w:w="1487" w:type="dxa"/>
          </w:tcPr>
          <w:p>
            <w:pPr>
              <w:pStyle w:val="TableParagraph"/>
              <w:ind w:right="155"/>
              <w:jc w:val="right"/>
              <w:rPr>
                <w:sz w:val="20"/>
              </w:rPr>
            </w:pPr>
            <w:r>
              <w:rPr>
                <w:spacing w:val="-4"/>
                <w:sz w:val="20"/>
              </w:rPr>
              <w:t>3150</w:t>
            </w:r>
          </w:p>
        </w:tc>
        <w:tc>
          <w:tcPr>
            <w:tcW w:w="3858" w:type="dxa"/>
          </w:tcPr>
          <w:p>
            <w:pPr>
              <w:pStyle w:val="TableParagraph"/>
              <w:ind w:left="159"/>
              <w:rPr>
                <w:sz w:val="20"/>
              </w:rPr>
            </w:pPr>
            <w:r>
              <w:rPr>
                <w:sz w:val="20"/>
              </w:rPr>
              <w:t>Iloko</w:t>
            </w:r>
            <w:r>
              <w:rPr>
                <w:spacing w:val="-6"/>
                <w:sz w:val="20"/>
              </w:rPr>
              <w:t> </w:t>
            </w:r>
            <w:r>
              <w:rPr>
                <w:spacing w:val="-2"/>
                <w:sz w:val="20"/>
              </w:rPr>
              <w:t>(ilo)</w:t>
            </w:r>
          </w:p>
        </w:tc>
      </w:tr>
      <w:tr>
        <w:trPr>
          <w:trHeight w:val="230" w:hRule="atLeast"/>
        </w:trPr>
        <w:tc>
          <w:tcPr>
            <w:tcW w:w="612" w:type="dxa"/>
          </w:tcPr>
          <w:p>
            <w:pPr>
              <w:pStyle w:val="TableParagraph"/>
              <w:ind w:left="50"/>
              <w:rPr>
                <w:sz w:val="20"/>
              </w:rPr>
            </w:pPr>
            <w:r>
              <w:rPr>
                <w:spacing w:val="-4"/>
                <w:sz w:val="20"/>
              </w:rPr>
              <w:t>2640</w:t>
            </w:r>
          </w:p>
        </w:tc>
        <w:tc>
          <w:tcPr>
            <w:tcW w:w="3841" w:type="dxa"/>
          </w:tcPr>
          <w:p>
            <w:pPr>
              <w:pStyle w:val="TableParagraph"/>
              <w:ind w:left="158"/>
              <w:rPr>
                <w:sz w:val="20"/>
              </w:rPr>
            </w:pPr>
            <w:r>
              <w:rPr>
                <w:sz w:val="20"/>
              </w:rPr>
              <w:t>Biatah</w:t>
            </w:r>
            <w:r>
              <w:rPr>
                <w:spacing w:val="-6"/>
                <w:sz w:val="20"/>
              </w:rPr>
              <w:t> </w:t>
            </w:r>
            <w:r>
              <w:rPr>
                <w:sz w:val="20"/>
              </w:rPr>
              <w:t>Bidayuh</w:t>
            </w:r>
            <w:r>
              <w:rPr>
                <w:spacing w:val="-6"/>
                <w:sz w:val="20"/>
              </w:rPr>
              <w:t> </w:t>
            </w:r>
            <w:r>
              <w:rPr>
                <w:spacing w:val="-4"/>
                <w:sz w:val="20"/>
              </w:rPr>
              <w:t>(bth)</w:t>
            </w:r>
          </w:p>
        </w:tc>
        <w:tc>
          <w:tcPr>
            <w:tcW w:w="1487" w:type="dxa"/>
          </w:tcPr>
          <w:p>
            <w:pPr>
              <w:pStyle w:val="TableParagraph"/>
              <w:ind w:right="155"/>
              <w:jc w:val="right"/>
              <w:rPr>
                <w:sz w:val="20"/>
              </w:rPr>
            </w:pPr>
            <w:r>
              <w:rPr>
                <w:spacing w:val="-4"/>
                <w:sz w:val="20"/>
              </w:rPr>
              <w:t>3160</w:t>
            </w:r>
          </w:p>
        </w:tc>
        <w:tc>
          <w:tcPr>
            <w:tcW w:w="3858" w:type="dxa"/>
          </w:tcPr>
          <w:p>
            <w:pPr>
              <w:pStyle w:val="TableParagraph"/>
              <w:ind w:left="159"/>
              <w:rPr>
                <w:sz w:val="20"/>
              </w:rPr>
            </w:pPr>
            <w:r>
              <w:rPr>
                <w:sz w:val="20"/>
              </w:rPr>
              <w:t>Ibanag</w:t>
            </w:r>
            <w:r>
              <w:rPr>
                <w:spacing w:val="-7"/>
                <w:sz w:val="20"/>
              </w:rPr>
              <w:t> </w:t>
            </w:r>
            <w:r>
              <w:rPr>
                <w:spacing w:val="-2"/>
                <w:sz w:val="20"/>
              </w:rPr>
              <w:t>(ibg)</w:t>
            </w:r>
          </w:p>
        </w:tc>
      </w:tr>
      <w:tr>
        <w:trPr>
          <w:trHeight w:val="230" w:hRule="atLeast"/>
        </w:trPr>
        <w:tc>
          <w:tcPr>
            <w:tcW w:w="612" w:type="dxa"/>
          </w:tcPr>
          <w:p>
            <w:pPr>
              <w:pStyle w:val="TableParagraph"/>
              <w:ind w:left="50"/>
              <w:rPr>
                <w:sz w:val="20"/>
              </w:rPr>
            </w:pPr>
            <w:r>
              <w:rPr>
                <w:spacing w:val="-4"/>
                <w:sz w:val="20"/>
              </w:rPr>
              <w:t>2650</w:t>
            </w:r>
          </w:p>
        </w:tc>
        <w:tc>
          <w:tcPr>
            <w:tcW w:w="3841" w:type="dxa"/>
          </w:tcPr>
          <w:p>
            <w:pPr>
              <w:pStyle w:val="TableParagraph"/>
              <w:ind w:left="158"/>
              <w:rPr>
                <w:sz w:val="20"/>
              </w:rPr>
            </w:pPr>
            <w:r>
              <w:rPr>
                <w:sz w:val="20"/>
              </w:rPr>
              <w:t>Madurese</w:t>
            </w:r>
            <w:r>
              <w:rPr>
                <w:spacing w:val="-9"/>
                <w:sz w:val="20"/>
              </w:rPr>
              <w:t> </w:t>
            </w:r>
            <w:r>
              <w:rPr>
                <w:spacing w:val="-2"/>
                <w:sz w:val="20"/>
              </w:rPr>
              <w:t>(mad)</w:t>
            </w:r>
          </w:p>
        </w:tc>
        <w:tc>
          <w:tcPr>
            <w:tcW w:w="1487" w:type="dxa"/>
          </w:tcPr>
          <w:p>
            <w:pPr>
              <w:pStyle w:val="TableParagraph"/>
              <w:ind w:right="155"/>
              <w:jc w:val="right"/>
              <w:rPr>
                <w:sz w:val="20"/>
              </w:rPr>
            </w:pPr>
            <w:r>
              <w:rPr>
                <w:spacing w:val="-4"/>
                <w:sz w:val="20"/>
              </w:rPr>
              <w:t>3170</w:t>
            </w:r>
          </w:p>
        </w:tc>
        <w:tc>
          <w:tcPr>
            <w:tcW w:w="3858" w:type="dxa"/>
          </w:tcPr>
          <w:p>
            <w:pPr>
              <w:pStyle w:val="TableParagraph"/>
              <w:ind w:left="159"/>
              <w:rPr>
                <w:sz w:val="20"/>
              </w:rPr>
            </w:pPr>
            <w:r>
              <w:rPr>
                <w:sz w:val="20"/>
              </w:rPr>
              <w:t>Itawit</w:t>
            </w:r>
            <w:r>
              <w:rPr>
                <w:spacing w:val="-9"/>
                <w:sz w:val="20"/>
              </w:rPr>
              <w:t> </w:t>
            </w:r>
            <w:r>
              <w:rPr>
                <w:spacing w:val="-2"/>
                <w:sz w:val="20"/>
              </w:rPr>
              <w:t>(itv)</w:t>
            </w:r>
          </w:p>
        </w:tc>
      </w:tr>
      <w:tr>
        <w:trPr>
          <w:trHeight w:val="230" w:hRule="atLeast"/>
        </w:trPr>
        <w:tc>
          <w:tcPr>
            <w:tcW w:w="612" w:type="dxa"/>
          </w:tcPr>
          <w:p>
            <w:pPr>
              <w:pStyle w:val="TableParagraph"/>
              <w:ind w:left="50"/>
              <w:rPr>
                <w:sz w:val="20"/>
              </w:rPr>
            </w:pPr>
            <w:r>
              <w:rPr>
                <w:spacing w:val="-4"/>
                <w:sz w:val="20"/>
              </w:rPr>
              <w:t>2660</w:t>
            </w:r>
          </w:p>
        </w:tc>
        <w:tc>
          <w:tcPr>
            <w:tcW w:w="3841" w:type="dxa"/>
          </w:tcPr>
          <w:p>
            <w:pPr>
              <w:pStyle w:val="TableParagraph"/>
              <w:ind w:left="158"/>
              <w:rPr>
                <w:sz w:val="20"/>
              </w:rPr>
            </w:pPr>
            <w:r>
              <w:rPr>
                <w:sz w:val="20"/>
              </w:rPr>
              <w:t>Achinese</w:t>
            </w:r>
            <w:r>
              <w:rPr>
                <w:spacing w:val="-11"/>
                <w:sz w:val="20"/>
              </w:rPr>
              <w:t> </w:t>
            </w:r>
            <w:r>
              <w:rPr>
                <w:spacing w:val="-2"/>
                <w:sz w:val="20"/>
              </w:rPr>
              <w:t>(ace)</w:t>
            </w:r>
          </w:p>
        </w:tc>
        <w:tc>
          <w:tcPr>
            <w:tcW w:w="1487" w:type="dxa"/>
          </w:tcPr>
          <w:p>
            <w:pPr>
              <w:pStyle w:val="TableParagraph"/>
              <w:ind w:right="155"/>
              <w:jc w:val="right"/>
              <w:rPr>
                <w:sz w:val="20"/>
              </w:rPr>
            </w:pPr>
            <w:r>
              <w:rPr>
                <w:spacing w:val="-4"/>
                <w:sz w:val="20"/>
              </w:rPr>
              <w:t>3180</w:t>
            </w:r>
          </w:p>
        </w:tc>
        <w:tc>
          <w:tcPr>
            <w:tcW w:w="3858" w:type="dxa"/>
          </w:tcPr>
          <w:p>
            <w:pPr>
              <w:pStyle w:val="TableParagraph"/>
              <w:ind w:left="159"/>
              <w:rPr>
                <w:sz w:val="20"/>
              </w:rPr>
            </w:pPr>
            <w:r>
              <w:rPr>
                <w:sz w:val="20"/>
              </w:rPr>
              <w:t>Ivatan</w:t>
            </w:r>
            <w:r>
              <w:rPr>
                <w:spacing w:val="-8"/>
                <w:sz w:val="20"/>
              </w:rPr>
              <w:t> </w:t>
            </w:r>
            <w:r>
              <w:rPr>
                <w:spacing w:val="-2"/>
                <w:sz w:val="20"/>
              </w:rPr>
              <w:t>(ivv)</w:t>
            </w:r>
          </w:p>
        </w:tc>
      </w:tr>
      <w:tr>
        <w:trPr>
          <w:trHeight w:val="229" w:hRule="atLeast"/>
        </w:trPr>
        <w:tc>
          <w:tcPr>
            <w:tcW w:w="612" w:type="dxa"/>
          </w:tcPr>
          <w:p>
            <w:pPr>
              <w:pStyle w:val="TableParagraph"/>
              <w:spacing w:line="209" w:lineRule="exact"/>
              <w:ind w:left="50"/>
              <w:rPr>
                <w:sz w:val="20"/>
              </w:rPr>
            </w:pPr>
            <w:r>
              <w:rPr>
                <w:spacing w:val="-4"/>
                <w:sz w:val="20"/>
              </w:rPr>
              <w:t>2670</w:t>
            </w:r>
          </w:p>
        </w:tc>
        <w:tc>
          <w:tcPr>
            <w:tcW w:w="3841" w:type="dxa"/>
          </w:tcPr>
          <w:p>
            <w:pPr>
              <w:pStyle w:val="TableParagraph"/>
              <w:spacing w:line="209" w:lineRule="exact"/>
              <w:ind w:left="158"/>
              <w:rPr>
                <w:sz w:val="20"/>
              </w:rPr>
            </w:pPr>
            <w:r>
              <w:rPr>
                <w:sz w:val="20"/>
              </w:rPr>
              <w:t>Eastern</w:t>
            </w:r>
            <w:r>
              <w:rPr>
                <w:spacing w:val="-6"/>
                <w:sz w:val="20"/>
              </w:rPr>
              <w:t> </w:t>
            </w:r>
            <w:r>
              <w:rPr>
                <w:sz w:val="20"/>
              </w:rPr>
              <w:t>Cham</w:t>
            </w:r>
            <w:r>
              <w:rPr>
                <w:spacing w:val="-7"/>
                <w:sz w:val="20"/>
              </w:rPr>
              <w:t> </w:t>
            </w:r>
            <w:r>
              <w:rPr>
                <w:spacing w:val="-4"/>
                <w:sz w:val="20"/>
              </w:rPr>
              <w:t>(cjm)</w:t>
            </w:r>
          </w:p>
        </w:tc>
        <w:tc>
          <w:tcPr>
            <w:tcW w:w="1487" w:type="dxa"/>
          </w:tcPr>
          <w:p>
            <w:pPr>
              <w:pStyle w:val="TableParagraph"/>
              <w:spacing w:line="209" w:lineRule="exact"/>
              <w:ind w:right="155"/>
              <w:jc w:val="right"/>
              <w:rPr>
                <w:sz w:val="20"/>
              </w:rPr>
            </w:pPr>
            <w:r>
              <w:rPr>
                <w:spacing w:val="-4"/>
                <w:sz w:val="20"/>
              </w:rPr>
              <w:t>3190</w:t>
            </w:r>
          </w:p>
        </w:tc>
        <w:tc>
          <w:tcPr>
            <w:tcW w:w="3858" w:type="dxa"/>
          </w:tcPr>
          <w:p>
            <w:pPr>
              <w:pStyle w:val="TableParagraph"/>
              <w:spacing w:line="209" w:lineRule="exact"/>
              <w:ind w:left="159"/>
              <w:rPr>
                <w:sz w:val="20"/>
              </w:rPr>
            </w:pPr>
            <w:r>
              <w:rPr>
                <w:sz w:val="20"/>
              </w:rPr>
              <w:t>Tondano</w:t>
            </w:r>
            <w:r>
              <w:rPr>
                <w:spacing w:val="-6"/>
                <w:sz w:val="20"/>
              </w:rPr>
              <w:t> </w:t>
            </w:r>
            <w:r>
              <w:rPr>
                <w:spacing w:val="-2"/>
                <w:sz w:val="20"/>
              </w:rPr>
              <w:t>(tdn)</w:t>
            </w:r>
          </w:p>
        </w:tc>
      </w:tr>
      <w:tr>
        <w:trPr>
          <w:trHeight w:val="224" w:hRule="atLeast"/>
        </w:trPr>
        <w:tc>
          <w:tcPr>
            <w:tcW w:w="612" w:type="dxa"/>
          </w:tcPr>
          <w:p>
            <w:pPr>
              <w:pStyle w:val="TableParagraph"/>
              <w:spacing w:line="204" w:lineRule="exact"/>
              <w:ind w:left="50"/>
              <w:rPr>
                <w:sz w:val="20"/>
              </w:rPr>
            </w:pPr>
            <w:r>
              <w:rPr>
                <w:spacing w:val="-4"/>
                <w:sz w:val="20"/>
              </w:rPr>
              <w:t>2675</w:t>
            </w:r>
          </w:p>
        </w:tc>
        <w:tc>
          <w:tcPr>
            <w:tcW w:w="3841" w:type="dxa"/>
          </w:tcPr>
          <w:p>
            <w:pPr>
              <w:pStyle w:val="TableParagraph"/>
              <w:spacing w:line="204" w:lineRule="exact"/>
              <w:ind w:left="158"/>
              <w:rPr>
                <w:sz w:val="20"/>
              </w:rPr>
            </w:pPr>
            <w:r>
              <w:rPr>
                <w:sz w:val="20"/>
              </w:rPr>
              <w:t>Western</w:t>
            </w:r>
            <w:r>
              <w:rPr>
                <w:spacing w:val="-6"/>
                <w:sz w:val="20"/>
              </w:rPr>
              <w:t> </w:t>
            </w:r>
            <w:r>
              <w:rPr>
                <w:sz w:val="20"/>
              </w:rPr>
              <w:t>Cham</w:t>
            </w:r>
            <w:r>
              <w:rPr>
                <w:spacing w:val="-9"/>
                <w:sz w:val="20"/>
              </w:rPr>
              <w:t> </w:t>
            </w:r>
            <w:r>
              <w:rPr>
                <w:spacing w:val="-2"/>
                <w:sz w:val="20"/>
              </w:rPr>
              <w:t>(cja)</w:t>
            </w:r>
          </w:p>
        </w:tc>
        <w:tc>
          <w:tcPr>
            <w:tcW w:w="1487" w:type="dxa"/>
          </w:tcPr>
          <w:p>
            <w:pPr>
              <w:pStyle w:val="TableParagraph"/>
              <w:spacing w:line="240" w:lineRule="auto"/>
              <w:rPr>
                <w:sz w:val="16"/>
              </w:rPr>
            </w:pPr>
          </w:p>
        </w:tc>
        <w:tc>
          <w:tcPr>
            <w:tcW w:w="3858" w:type="dxa"/>
          </w:tcPr>
          <w:p>
            <w:pPr>
              <w:pStyle w:val="TableParagraph"/>
              <w:spacing w:line="240" w:lineRule="auto"/>
              <w:rPr>
                <w:sz w:val="16"/>
              </w:rPr>
            </w:pPr>
          </w:p>
        </w:tc>
      </w:tr>
      <w:tr>
        <w:trPr>
          <w:trHeight w:val="230" w:hRule="atLeast"/>
        </w:trPr>
        <w:tc>
          <w:tcPr>
            <w:tcW w:w="9798" w:type="dxa"/>
            <w:gridSpan w:val="4"/>
          </w:tcPr>
          <w:p>
            <w:pPr>
              <w:pStyle w:val="TableParagraph"/>
              <w:tabs>
                <w:tab w:pos="770" w:val="left" w:leader="none"/>
                <w:tab w:pos="5378" w:val="left" w:leader="none"/>
              </w:tabs>
              <w:ind w:left="50"/>
              <w:rPr>
                <w:i/>
                <w:sz w:val="20"/>
              </w:rPr>
            </w:pPr>
            <w:r>
              <w:rPr>
                <w:spacing w:val="-4"/>
                <w:sz w:val="20"/>
              </w:rPr>
              <w:t>2680</w:t>
            </w:r>
            <w:r>
              <w:rPr>
                <w:sz w:val="20"/>
              </w:rPr>
              <w:tab/>
              <w:t>Chru</w:t>
            </w:r>
            <w:r>
              <w:rPr>
                <w:spacing w:val="-6"/>
                <w:sz w:val="20"/>
              </w:rPr>
              <w:t> </w:t>
            </w:r>
            <w:r>
              <w:rPr>
                <w:spacing w:val="-2"/>
                <w:sz w:val="20"/>
              </w:rPr>
              <w:t>(cje)</w:t>
            </w:r>
            <w:r>
              <w:rPr>
                <w:sz w:val="20"/>
              </w:rPr>
              <w:tab/>
            </w:r>
            <w:r>
              <w:rPr>
                <w:i/>
                <w:sz w:val="20"/>
              </w:rPr>
              <w:t>Micronesian</w:t>
            </w:r>
            <w:r>
              <w:rPr>
                <w:i/>
                <w:spacing w:val="-9"/>
                <w:sz w:val="20"/>
              </w:rPr>
              <w:t> </w:t>
            </w:r>
            <w:r>
              <w:rPr>
                <w:i/>
                <w:sz w:val="20"/>
              </w:rPr>
              <w:t>languages</w:t>
            </w:r>
            <w:r>
              <w:rPr>
                <w:i/>
                <w:spacing w:val="-9"/>
                <w:sz w:val="20"/>
              </w:rPr>
              <w:t> </w:t>
            </w:r>
            <w:r>
              <w:rPr>
                <w:i/>
                <w:sz w:val="20"/>
              </w:rPr>
              <w:t>(3220-</w:t>
            </w:r>
            <w:r>
              <w:rPr>
                <w:i/>
                <w:spacing w:val="-2"/>
                <w:sz w:val="20"/>
              </w:rPr>
              <w:t>3419)</w:t>
            </w:r>
          </w:p>
        </w:tc>
      </w:tr>
      <w:tr>
        <w:trPr>
          <w:trHeight w:val="235" w:hRule="atLeast"/>
        </w:trPr>
        <w:tc>
          <w:tcPr>
            <w:tcW w:w="612" w:type="dxa"/>
          </w:tcPr>
          <w:p>
            <w:pPr>
              <w:pStyle w:val="TableParagraph"/>
              <w:spacing w:line="206" w:lineRule="exact"/>
              <w:ind w:left="50"/>
              <w:rPr>
                <w:sz w:val="20"/>
              </w:rPr>
            </w:pPr>
            <w:r>
              <w:rPr>
                <w:spacing w:val="-4"/>
                <w:sz w:val="20"/>
              </w:rPr>
              <w:t>2690</w:t>
            </w:r>
          </w:p>
        </w:tc>
        <w:tc>
          <w:tcPr>
            <w:tcW w:w="3841" w:type="dxa"/>
          </w:tcPr>
          <w:p>
            <w:pPr>
              <w:pStyle w:val="TableParagraph"/>
              <w:spacing w:line="206" w:lineRule="exact"/>
              <w:ind w:left="158"/>
              <w:rPr>
                <w:sz w:val="20"/>
              </w:rPr>
            </w:pPr>
            <w:r>
              <w:rPr>
                <w:sz w:val="20"/>
              </w:rPr>
              <w:t>Jarai</w:t>
            </w:r>
            <w:r>
              <w:rPr>
                <w:spacing w:val="-2"/>
                <w:sz w:val="20"/>
              </w:rPr>
              <w:t> (jra)</w:t>
            </w:r>
          </w:p>
        </w:tc>
        <w:tc>
          <w:tcPr>
            <w:tcW w:w="1487" w:type="dxa"/>
          </w:tcPr>
          <w:p>
            <w:pPr>
              <w:pStyle w:val="TableParagraph"/>
              <w:spacing w:line="206" w:lineRule="exact"/>
              <w:ind w:right="155"/>
              <w:jc w:val="right"/>
              <w:rPr>
                <w:sz w:val="20"/>
              </w:rPr>
            </w:pPr>
            <w:r>
              <w:rPr>
                <w:spacing w:val="-4"/>
                <w:sz w:val="20"/>
              </w:rPr>
              <w:t>3220</w:t>
            </w:r>
          </w:p>
        </w:tc>
        <w:tc>
          <w:tcPr>
            <w:tcW w:w="3858" w:type="dxa"/>
          </w:tcPr>
          <w:p>
            <w:pPr>
              <w:pStyle w:val="TableParagraph"/>
              <w:spacing w:line="206" w:lineRule="exact"/>
              <w:ind w:left="159"/>
              <w:rPr>
                <w:sz w:val="20"/>
              </w:rPr>
            </w:pPr>
            <w:r>
              <w:rPr>
                <w:sz w:val="20"/>
              </w:rPr>
              <w:t>Chamorro</w:t>
            </w:r>
            <w:r>
              <w:rPr>
                <w:spacing w:val="-10"/>
                <w:sz w:val="20"/>
              </w:rPr>
              <w:t> </w:t>
            </w:r>
            <w:r>
              <w:rPr>
                <w:spacing w:val="-4"/>
                <w:sz w:val="20"/>
              </w:rPr>
              <w:t>(cha)</w:t>
            </w:r>
          </w:p>
        </w:tc>
      </w:tr>
      <w:tr>
        <w:trPr>
          <w:trHeight w:val="230" w:hRule="atLeast"/>
        </w:trPr>
        <w:tc>
          <w:tcPr>
            <w:tcW w:w="612" w:type="dxa"/>
          </w:tcPr>
          <w:p>
            <w:pPr>
              <w:pStyle w:val="TableParagraph"/>
              <w:spacing w:line="211" w:lineRule="exact"/>
              <w:ind w:left="50"/>
              <w:rPr>
                <w:sz w:val="20"/>
              </w:rPr>
            </w:pPr>
            <w:r>
              <w:rPr>
                <w:spacing w:val="-4"/>
                <w:sz w:val="20"/>
              </w:rPr>
              <w:t>2700</w:t>
            </w:r>
          </w:p>
        </w:tc>
        <w:tc>
          <w:tcPr>
            <w:tcW w:w="3841" w:type="dxa"/>
          </w:tcPr>
          <w:p>
            <w:pPr>
              <w:pStyle w:val="TableParagraph"/>
              <w:spacing w:line="211" w:lineRule="exact"/>
              <w:ind w:left="158"/>
              <w:rPr>
                <w:sz w:val="20"/>
              </w:rPr>
            </w:pPr>
            <w:r>
              <w:rPr>
                <w:sz w:val="20"/>
              </w:rPr>
              <w:t>Rade</w:t>
            </w:r>
            <w:r>
              <w:rPr>
                <w:spacing w:val="-5"/>
                <w:sz w:val="20"/>
              </w:rPr>
              <w:t> </w:t>
            </w:r>
            <w:r>
              <w:rPr>
                <w:spacing w:val="-2"/>
                <w:sz w:val="20"/>
              </w:rPr>
              <w:t>(rad)</w:t>
            </w:r>
          </w:p>
        </w:tc>
        <w:tc>
          <w:tcPr>
            <w:tcW w:w="1487" w:type="dxa"/>
          </w:tcPr>
          <w:p>
            <w:pPr>
              <w:pStyle w:val="TableParagraph"/>
              <w:spacing w:line="211" w:lineRule="exact"/>
              <w:ind w:right="155"/>
              <w:jc w:val="right"/>
              <w:rPr>
                <w:sz w:val="20"/>
              </w:rPr>
            </w:pPr>
            <w:r>
              <w:rPr>
                <w:spacing w:val="-4"/>
                <w:sz w:val="20"/>
              </w:rPr>
              <w:t>3250</w:t>
            </w:r>
          </w:p>
        </w:tc>
        <w:tc>
          <w:tcPr>
            <w:tcW w:w="3858" w:type="dxa"/>
          </w:tcPr>
          <w:p>
            <w:pPr>
              <w:pStyle w:val="TableParagraph"/>
              <w:spacing w:line="211" w:lineRule="exact"/>
              <w:ind w:left="159"/>
              <w:rPr>
                <w:sz w:val="20"/>
              </w:rPr>
            </w:pPr>
            <w:r>
              <w:rPr>
                <w:sz w:val="20"/>
              </w:rPr>
              <w:t>Gilbertese</w:t>
            </w:r>
            <w:r>
              <w:rPr>
                <w:spacing w:val="-9"/>
                <w:sz w:val="20"/>
              </w:rPr>
              <w:t> </w:t>
            </w:r>
            <w:r>
              <w:rPr>
                <w:spacing w:val="-2"/>
                <w:sz w:val="20"/>
              </w:rPr>
              <w:t>(gil)</w:t>
            </w:r>
          </w:p>
        </w:tc>
      </w:tr>
      <w:tr>
        <w:trPr>
          <w:trHeight w:val="230" w:hRule="atLeast"/>
        </w:trPr>
        <w:tc>
          <w:tcPr>
            <w:tcW w:w="612" w:type="dxa"/>
          </w:tcPr>
          <w:p>
            <w:pPr>
              <w:pStyle w:val="TableParagraph"/>
              <w:ind w:left="50"/>
              <w:rPr>
                <w:sz w:val="20"/>
              </w:rPr>
            </w:pPr>
            <w:r>
              <w:rPr>
                <w:spacing w:val="-4"/>
                <w:sz w:val="20"/>
              </w:rPr>
              <w:t>2710</w:t>
            </w:r>
          </w:p>
        </w:tc>
        <w:tc>
          <w:tcPr>
            <w:tcW w:w="3841" w:type="dxa"/>
          </w:tcPr>
          <w:p>
            <w:pPr>
              <w:pStyle w:val="TableParagraph"/>
              <w:ind w:left="158"/>
              <w:rPr>
                <w:sz w:val="20"/>
              </w:rPr>
            </w:pPr>
            <w:r>
              <w:rPr>
                <w:sz w:val="20"/>
              </w:rPr>
              <w:t>Malay</w:t>
            </w:r>
            <w:r>
              <w:rPr>
                <w:spacing w:val="-12"/>
                <w:sz w:val="20"/>
              </w:rPr>
              <w:t> </w:t>
            </w:r>
            <w:r>
              <w:rPr>
                <w:sz w:val="20"/>
              </w:rPr>
              <w:t>(macrolanguage)</w:t>
            </w:r>
            <w:r>
              <w:rPr>
                <w:spacing w:val="-7"/>
                <w:sz w:val="20"/>
              </w:rPr>
              <w:t> </w:t>
            </w:r>
            <w:r>
              <w:rPr>
                <w:spacing w:val="-4"/>
                <w:sz w:val="20"/>
              </w:rPr>
              <w:t>(msa)</w:t>
            </w:r>
          </w:p>
        </w:tc>
        <w:tc>
          <w:tcPr>
            <w:tcW w:w="1487" w:type="dxa"/>
          </w:tcPr>
          <w:p>
            <w:pPr>
              <w:pStyle w:val="TableParagraph"/>
              <w:ind w:right="155"/>
              <w:jc w:val="right"/>
              <w:rPr>
                <w:sz w:val="20"/>
              </w:rPr>
            </w:pPr>
            <w:r>
              <w:rPr>
                <w:spacing w:val="-4"/>
                <w:sz w:val="20"/>
              </w:rPr>
              <w:t>3260</w:t>
            </w:r>
          </w:p>
        </w:tc>
        <w:tc>
          <w:tcPr>
            <w:tcW w:w="3858" w:type="dxa"/>
          </w:tcPr>
          <w:p>
            <w:pPr>
              <w:pStyle w:val="TableParagraph"/>
              <w:ind w:left="159"/>
              <w:rPr>
                <w:sz w:val="20"/>
              </w:rPr>
            </w:pPr>
            <w:r>
              <w:rPr>
                <w:sz w:val="20"/>
              </w:rPr>
              <w:t>Kosraean</w:t>
            </w:r>
            <w:r>
              <w:rPr>
                <w:spacing w:val="-9"/>
                <w:sz w:val="20"/>
              </w:rPr>
              <w:t> </w:t>
            </w:r>
            <w:r>
              <w:rPr>
                <w:spacing w:val="-2"/>
                <w:sz w:val="20"/>
              </w:rPr>
              <w:t>(kos)</w:t>
            </w:r>
          </w:p>
        </w:tc>
      </w:tr>
      <w:tr>
        <w:trPr>
          <w:trHeight w:val="229" w:hRule="atLeast"/>
        </w:trPr>
        <w:tc>
          <w:tcPr>
            <w:tcW w:w="612" w:type="dxa"/>
          </w:tcPr>
          <w:p>
            <w:pPr>
              <w:pStyle w:val="TableParagraph"/>
              <w:spacing w:line="209" w:lineRule="exact"/>
              <w:ind w:left="50"/>
              <w:rPr>
                <w:sz w:val="20"/>
              </w:rPr>
            </w:pPr>
            <w:r>
              <w:rPr>
                <w:spacing w:val="-4"/>
                <w:sz w:val="20"/>
              </w:rPr>
              <w:t>2715</w:t>
            </w:r>
          </w:p>
        </w:tc>
        <w:tc>
          <w:tcPr>
            <w:tcW w:w="3841" w:type="dxa"/>
          </w:tcPr>
          <w:p>
            <w:pPr>
              <w:pStyle w:val="TableParagraph"/>
              <w:spacing w:line="209" w:lineRule="exact"/>
              <w:ind w:left="158"/>
              <w:rPr>
                <w:sz w:val="20"/>
              </w:rPr>
            </w:pPr>
            <w:r>
              <w:rPr>
                <w:sz w:val="20"/>
              </w:rPr>
              <w:t>Malay</w:t>
            </w:r>
            <w:r>
              <w:rPr>
                <w:spacing w:val="-12"/>
                <w:sz w:val="20"/>
              </w:rPr>
              <w:t> </w:t>
            </w:r>
            <w:r>
              <w:rPr>
                <w:sz w:val="20"/>
              </w:rPr>
              <w:t>(individual</w:t>
            </w:r>
            <w:r>
              <w:rPr>
                <w:spacing w:val="-8"/>
                <w:sz w:val="20"/>
              </w:rPr>
              <w:t> </w:t>
            </w:r>
            <w:r>
              <w:rPr>
                <w:sz w:val="20"/>
              </w:rPr>
              <w:t>language)</w:t>
            </w:r>
            <w:r>
              <w:rPr>
                <w:spacing w:val="-4"/>
                <w:sz w:val="20"/>
              </w:rPr>
              <w:t> </w:t>
            </w:r>
            <w:r>
              <w:rPr>
                <w:spacing w:val="-2"/>
                <w:sz w:val="20"/>
              </w:rPr>
              <w:t>(zlm)</w:t>
            </w:r>
          </w:p>
        </w:tc>
        <w:tc>
          <w:tcPr>
            <w:tcW w:w="1487" w:type="dxa"/>
          </w:tcPr>
          <w:p>
            <w:pPr>
              <w:pStyle w:val="TableParagraph"/>
              <w:spacing w:line="209" w:lineRule="exact"/>
              <w:ind w:right="155"/>
              <w:jc w:val="right"/>
              <w:rPr>
                <w:sz w:val="20"/>
              </w:rPr>
            </w:pPr>
            <w:r>
              <w:rPr>
                <w:spacing w:val="-4"/>
                <w:sz w:val="20"/>
              </w:rPr>
              <w:t>3270</w:t>
            </w:r>
          </w:p>
        </w:tc>
        <w:tc>
          <w:tcPr>
            <w:tcW w:w="3858" w:type="dxa"/>
          </w:tcPr>
          <w:p>
            <w:pPr>
              <w:pStyle w:val="TableParagraph"/>
              <w:spacing w:line="209" w:lineRule="exact"/>
              <w:ind w:left="159"/>
              <w:rPr>
                <w:sz w:val="20"/>
              </w:rPr>
            </w:pPr>
            <w:r>
              <w:rPr>
                <w:sz w:val="20"/>
              </w:rPr>
              <w:t>Marshallese</w:t>
            </w:r>
            <w:r>
              <w:rPr>
                <w:spacing w:val="-12"/>
                <w:sz w:val="20"/>
              </w:rPr>
              <w:t> </w:t>
            </w:r>
            <w:r>
              <w:rPr>
                <w:spacing w:val="-4"/>
                <w:sz w:val="20"/>
              </w:rPr>
              <w:t>(mah)</w:t>
            </w:r>
          </w:p>
        </w:tc>
      </w:tr>
      <w:tr>
        <w:trPr>
          <w:trHeight w:val="229" w:hRule="atLeast"/>
        </w:trPr>
        <w:tc>
          <w:tcPr>
            <w:tcW w:w="612" w:type="dxa"/>
          </w:tcPr>
          <w:p>
            <w:pPr>
              <w:pStyle w:val="TableParagraph"/>
              <w:spacing w:line="209" w:lineRule="exact"/>
              <w:ind w:left="50"/>
              <w:rPr>
                <w:sz w:val="20"/>
              </w:rPr>
            </w:pPr>
            <w:r>
              <w:rPr>
                <w:spacing w:val="-4"/>
                <w:sz w:val="20"/>
              </w:rPr>
              <w:t>2716</w:t>
            </w:r>
          </w:p>
        </w:tc>
        <w:tc>
          <w:tcPr>
            <w:tcW w:w="3841" w:type="dxa"/>
          </w:tcPr>
          <w:p>
            <w:pPr>
              <w:pStyle w:val="TableParagraph"/>
              <w:spacing w:line="209" w:lineRule="exact"/>
              <w:ind w:left="158"/>
              <w:rPr>
                <w:sz w:val="20"/>
              </w:rPr>
            </w:pPr>
            <w:r>
              <w:rPr>
                <w:sz w:val="20"/>
              </w:rPr>
              <w:t>Brunei</w:t>
            </w:r>
            <w:r>
              <w:rPr>
                <w:spacing w:val="-9"/>
                <w:sz w:val="20"/>
              </w:rPr>
              <w:t> </w:t>
            </w:r>
            <w:r>
              <w:rPr>
                <w:spacing w:val="-2"/>
                <w:sz w:val="20"/>
              </w:rPr>
              <w:t>(kxd)</w:t>
            </w:r>
          </w:p>
        </w:tc>
        <w:tc>
          <w:tcPr>
            <w:tcW w:w="1487" w:type="dxa"/>
          </w:tcPr>
          <w:p>
            <w:pPr>
              <w:pStyle w:val="TableParagraph"/>
              <w:spacing w:line="209" w:lineRule="exact"/>
              <w:ind w:right="155"/>
              <w:jc w:val="right"/>
              <w:rPr>
                <w:sz w:val="20"/>
              </w:rPr>
            </w:pPr>
            <w:r>
              <w:rPr>
                <w:spacing w:val="-4"/>
                <w:sz w:val="20"/>
              </w:rPr>
              <w:t>3280</w:t>
            </w:r>
          </w:p>
        </w:tc>
        <w:tc>
          <w:tcPr>
            <w:tcW w:w="3858" w:type="dxa"/>
          </w:tcPr>
          <w:p>
            <w:pPr>
              <w:pStyle w:val="TableParagraph"/>
              <w:spacing w:line="209" w:lineRule="exact"/>
              <w:ind w:left="159"/>
              <w:rPr>
                <w:sz w:val="20"/>
              </w:rPr>
            </w:pPr>
            <w:r>
              <w:rPr>
                <w:sz w:val="20"/>
              </w:rPr>
              <w:t>Carolinian</w:t>
            </w:r>
            <w:r>
              <w:rPr>
                <w:spacing w:val="-9"/>
                <w:sz w:val="20"/>
              </w:rPr>
              <w:t> </w:t>
            </w:r>
            <w:r>
              <w:rPr>
                <w:spacing w:val="-2"/>
                <w:sz w:val="20"/>
              </w:rPr>
              <w:t>(cal)</w:t>
            </w:r>
          </w:p>
        </w:tc>
      </w:tr>
      <w:tr>
        <w:trPr>
          <w:trHeight w:val="230" w:hRule="atLeast"/>
        </w:trPr>
        <w:tc>
          <w:tcPr>
            <w:tcW w:w="612" w:type="dxa"/>
          </w:tcPr>
          <w:p>
            <w:pPr>
              <w:pStyle w:val="TableParagraph"/>
              <w:ind w:left="50"/>
              <w:rPr>
                <w:sz w:val="20"/>
              </w:rPr>
            </w:pPr>
            <w:r>
              <w:rPr>
                <w:spacing w:val="-4"/>
                <w:sz w:val="20"/>
              </w:rPr>
              <w:t>2730</w:t>
            </w:r>
          </w:p>
        </w:tc>
        <w:tc>
          <w:tcPr>
            <w:tcW w:w="3841" w:type="dxa"/>
          </w:tcPr>
          <w:p>
            <w:pPr>
              <w:pStyle w:val="TableParagraph"/>
              <w:ind w:left="158"/>
              <w:rPr>
                <w:sz w:val="20"/>
              </w:rPr>
            </w:pPr>
            <w:r>
              <w:rPr>
                <w:sz w:val="20"/>
              </w:rPr>
              <w:t>Kubu</w:t>
            </w:r>
            <w:r>
              <w:rPr>
                <w:spacing w:val="-6"/>
                <w:sz w:val="20"/>
              </w:rPr>
              <w:t> </w:t>
            </w:r>
            <w:r>
              <w:rPr>
                <w:spacing w:val="-2"/>
                <w:sz w:val="20"/>
              </w:rPr>
              <w:t>(kvb)</w:t>
            </w:r>
          </w:p>
        </w:tc>
        <w:tc>
          <w:tcPr>
            <w:tcW w:w="1487" w:type="dxa"/>
          </w:tcPr>
          <w:p>
            <w:pPr>
              <w:pStyle w:val="TableParagraph"/>
              <w:ind w:right="155"/>
              <w:jc w:val="right"/>
              <w:rPr>
                <w:sz w:val="20"/>
              </w:rPr>
            </w:pPr>
            <w:r>
              <w:rPr>
                <w:spacing w:val="-4"/>
                <w:sz w:val="20"/>
              </w:rPr>
              <w:t>3290</w:t>
            </w:r>
          </w:p>
        </w:tc>
        <w:tc>
          <w:tcPr>
            <w:tcW w:w="3858" w:type="dxa"/>
          </w:tcPr>
          <w:p>
            <w:pPr>
              <w:pStyle w:val="TableParagraph"/>
              <w:ind w:left="159"/>
              <w:rPr>
                <w:sz w:val="20"/>
              </w:rPr>
            </w:pPr>
            <w:r>
              <w:rPr>
                <w:sz w:val="20"/>
              </w:rPr>
              <w:t>Mokilese</w:t>
            </w:r>
            <w:r>
              <w:rPr>
                <w:spacing w:val="-10"/>
                <w:sz w:val="20"/>
              </w:rPr>
              <w:t> </w:t>
            </w:r>
            <w:r>
              <w:rPr>
                <w:spacing w:val="-2"/>
                <w:sz w:val="20"/>
              </w:rPr>
              <w:t>(mkj)</w:t>
            </w:r>
          </w:p>
        </w:tc>
      </w:tr>
      <w:tr>
        <w:trPr>
          <w:trHeight w:val="230" w:hRule="atLeast"/>
        </w:trPr>
        <w:tc>
          <w:tcPr>
            <w:tcW w:w="612" w:type="dxa"/>
          </w:tcPr>
          <w:p>
            <w:pPr>
              <w:pStyle w:val="TableParagraph"/>
              <w:ind w:left="50"/>
              <w:rPr>
                <w:sz w:val="20"/>
              </w:rPr>
            </w:pPr>
            <w:r>
              <w:rPr>
                <w:spacing w:val="-4"/>
                <w:sz w:val="20"/>
              </w:rPr>
              <w:t>2740</w:t>
            </w:r>
          </w:p>
        </w:tc>
        <w:tc>
          <w:tcPr>
            <w:tcW w:w="3841" w:type="dxa"/>
          </w:tcPr>
          <w:p>
            <w:pPr>
              <w:pStyle w:val="TableParagraph"/>
              <w:ind w:left="158"/>
              <w:rPr>
                <w:sz w:val="20"/>
              </w:rPr>
            </w:pPr>
            <w:r>
              <w:rPr>
                <w:spacing w:val="-2"/>
                <w:sz w:val="20"/>
              </w:rPr>
              <w:t>Minangkabau</w:t>
            </w:r>
            <w:r>
              <w:rPr>
                <w:spacing w:val="9"/>
                <w:sz w:val="20"/>
              </w:rPr>
              <w:t> </w:t>
            </w:r>
            <w:r>
              <w:rPr>
                <w:spacing w:val="-2"/>
                <w:sz w:val="20"/>
              </w:rPr>
              <w:t>(min)</w:t>
            </w:r>
          </w:p>
        </w:tc>
        <w:tc>
          <w:tcPr>
            <w:tcW w:w="1487" w:type="dxa"/>
          </w:tcPr>
          <w:p>
            <w:pPr>
              <w:pStyle w:val="TableParagraph"/>
              <w:ind w:right="155"/>
              <w:jc w:val="right"/>
              <w:rPr>
                <w:sz w:val="20"/>
              </w:rPr>
            </w:pPr>
            <w:r>
              <w:rPr>
                <w:spacing w:val="-4"/>
                <w:sz w:val="20"/>
              </w:rPr>
              <w:t>3300</w:t>
            </w:r>
          </w:p>
        </w:tc>
        <w:tc>
          <w:tcPr>
            <w:tcW w:w="3858" w:type="dxa"/>
          </w:tcPr>
          <w:p>
            <w:pPr>
              <w:pStyle w:val="TableParagraph"/>
              <w:ind w:left="159"/>
              <w:rPr>
                <w:sz w:val="20"/>
              </w:rPr>
            </w:pPr>
            <w:r>
              <w:rPr>
                <w:sz w:val="20"/>
              </w:rPr>
              <w:t>Pingelapese</w:t>
            </w:r>
            <w:r>
              <w:rPr>
                <w:spacing w:val="-12"/>
                <w:sz w:val="20"/>
              </w:rPr>
              <w:t> </w:t>
            </w:r>
            <w:r>
              <w:rPr>
                <w:spacing w:val="-2"/>
                <w:sz w:val="20"/>
              </w:rPr>
              <w:t>(pif)</w:t>
            </w:r>
          </w:p>
        </w:tc>
      </w:tr>
      <w:tr>
        <w:trPr>
          <w:trHeight w:val="230" w:hRule="atLeast"/>
        </w:trPr>
        <w:tc>
          <w:tcPr>
            <w:tcW w:w="612" w:type="dxa"/>
          </w:tcPr>
          <w:p>
            <w:pPr>
              <w:pStyle w:val="TableParagraph"/>
              <w:ind w:left="50"/>
              <w:rPr>
                <w:sz w:val="20"/>
              </w:rPr>
            </w:pPr>
            <w:r>
              <w:rPr>
                <w:spacing w:val="-4"/>
                <w:sz w:val="20"/>
              </w:rPr>
              <w:t>2750</w:t>
            </w:r>
          </w:p>
        </w:tc>
        <w:tc>
          <w:tcPr>
            <w:tcW w:w="3841" w:type="dxa"/>
          </w:tcPr>
          <w:p>
            <w:pPr>
              <w:pStyle w:val="TableParagraph"/>
              <w:ind w:left="158"/>
              <w:rPr>
                <w:sz w:val="20"/>
              </w:rPr>
            </w:pPr>
            <w:r>
              <w:rPr>
                <w:sz w:val="20"/>
              </w:rPr>
              <w:t>Musi</w:t>
            </w:r>
            <w:r>
              <w:rPr>
                <w:spacing w:val="-8"/>
                <w:sz w:val="20"/>
              </w:rPr>
              <w:t> </w:t>
            </w:r>
            <w:r>
              <w:rPr>
                <w:spacing w:val="-2"/>
                <w:sz w:val="20"/>
              </w:rPr>
              <w:t>(mui)</w:t>
            </w:r>
          </w:p>
        </w:tc>
        <w:tc>
          <w:tcPr>
            <w:tcW w:w="1487" w:type="dxa"/>
          </w:tcPr>
          <w:p>
            <w:pPr>
              <w:pStyle w:val="TableParagraph"/>
              <w:ind w:right="155"/>
              <w:jc w:val="right"/>
              <w:rPr>
                <w:sz w:val="20"/>
              </w:rPr>
            </w:pPr>
            <w:r>
              <w:rPr>
                <w:spacing w:val="-4"/>
                <w:sz w:val="20"/>
              </w:rPr>
              <w:t>3310</w:t>
            </w:r>
          </w:p>
        </w:tc>
        <w:tc>
          <w:tcPr>
            <w:tcW w:w="3858" w:type="dxa"/>
          </w:tcPr>
          <w:p>
            <w:pPr>
              <w:pStyle w:val="TableParagraph"/>
              <w:ind w:left="159"/>
              <w:rPr>
                <w:sz w:val="20"/>
              </w:rPr>
            </w:pPr>
            <w:r>
              <w:rPr>
                <w:sz w:val="20"/>
              </w:rPr>
              <w:t>Mortlockese</w:t>
            </w:r>
            <w:r>
              <w:rPr>
                <w:spacing w:val="-10"/>
                <w:sz w:val="20"/>
              </w:rPr>
              <w:t> </w:t>
            </w:r>
            <w:r>
              <w:rPr>
                <w:spacing w:val="-2"/>
                <w:sz w:val="20"/>
              </w:rPr>
              <w:t>(mrl)</w:t>
            </w:r>
          </w:p>
        </w:tc>
      </w:tr>
      <w:tr>
        <w:trPr>
          <w:trHeight w:val="229" w:hRule="atLeast"/>
        </w:trPr>
        <w:tc>
          <w:tcPr>
            <w:tcW w:w="612" w:type="dxa"/>
          </w:tcPr>
          <w:p>
            <w:pPr>
              <w:pStyle w:val="TableParagraph"/>
              <w:spacing w:line="209" w:lineRule="exact"/>
              <w:ind w:left="50"/>
              <w:rPr>
                <w:sz w:val="20"/>
              </w:rPr>
            </w:pPr>
            <w:r>
              <w:rPr>
                <w:spacing w:val="-4"/>
                <w:sz w:val="20"/>
              </w:rPr>
              <w:t>2760</w:t>
            </w:r>
          </w:p>
        </w:tc>
        <w:tc>
          <w:tcPr>
            <w:tcW w:w="3841" w:type="dxa"/>
          </w:tcPr>
          <w:p>
            <w:pPr>
              <w:pStyle w:val="TableParagraph"/>
              <w:spacing w:line="209" w:lineRule="exact"/>
              <w:ind w:left="158"/>
              <w:rPr>
                <w:sz w:val="20"/>
              </w:rPr>
            </w:pPr>
            <w:r>
              <w:rPr>
                <w:sz w:val="20"/>
              </w:rPr>
              <w:t>Negeri</w:t>
            </w:r>
            <w:r>
              <w:rPr>
                <w:spacing w:val="-7"/>
                <w:sz w:val="20"/>
              </w:rPr>
              <w:t> </w:t>
            </w:r>
            <w:r>
              <w:rPr>
                <w:sz w:val="20"/>
              </w:rPr>
              <w:t>Sembilan</w:t>
            </w:r>
            <w:r>
              <w:rPr>
                <w:spacing w:val="-6"/>
                <w:sz w:val="20"/>
              </w:rPr>
              <w:t> </w:t>
            </w:r>
            <w:r>
              <w:rPr>
                <w:sz w:val="20"/>
              </w:rPr>
              <w:t>Malay</w:t>
            </w:r>
            <w:r>
              <w:rPr>
                <w:spacing w:val="-6"/>
                <w:sz w:val="20"/>
              </w:rPr>
              <w:t> </w:t>
            </w:r>
            <w:r>
              <w:rPr>
                <w:spacing w:val="-4"/>
                <w:sz w:val="20"/>
              </w:rPr>
              <w:t>(zmi)</w:t>
            </w:r>
          </w:p>
        </w:tc>
        <w:tc>
          <w:tcPr>
            <w:tcW w:w="1487" w:type="dxa"/>
          </w:tcPr>
          <w:p>
            <w:pPr>
              <w:pStyle w:val="TableParagraph"/>
              <w:spacing w:line="209" w:lineRule="exact"/>
              <w:ind w:right="155"/>
              <w:jc w:val="right"/>
              <w:rPr>
                <w:sz w:val="20"/>
              </w:rPr>
            </w:pPr>
            <w:r>
              <w:rPr>
                <w:spacing w:val="-4"/>
                <w:sz w:val="20"/>
              </w:rPr>
              <w:t>3320</w:t>
            </w:r>
          </w:p>
        </w:tc>
        <w:tc>
          <w:tcPr>
            <w:tcW w:w="3858" w:type="dxa"/>
          </w:tcPr>
          <w:p>
            <w:pPr>
              <w:pStyle w:val="TableParagraph"/>
              <w:spacing w:line="209" w:lineRule="exact"/>
              <w:ind w:left="159"/>
              <w:rPr>
                <w:sz w:val="20"/>
              </w:rPr>
            </w:pPr>
            <w:r>
              <w:rPr>
                <w:sz w:val="20"/>
              </w:rPr>
              <w:t>Nauru</w:t>
            </w:r>
            <w:r>
              <w:rPr>
                <w:spacing w:val="-7"/>
                <w:sz w:val="20"/>
              </w:rPr>
              <w:t> </w:t>
            </w:r>
            <w:r>
              <w:rPr>
                <w:spacing w:val="-2"/>
                <w:sz w:val="20"/>
              </w:rPr>
              <w:t>(nau)</w:t>
            </w:r>
          </w:p>
        </w:tc>
      </w:tr>
      <w:tr>
        <w:trPr>
          <w:trHeight w:val="229" w:hRule="atLeast"/>
        </w:trPr>
        <w:tc>
          <w:tcPr>
            <w:tcW w:w="612" w:type="dxa"/>
          </w:tcPr>
          <w:p>
            <w:pPr>
              <w:pStyle w:val="TableParagraph"/>
              <w:spacing w:line="209" w:lineRule="exact"/>
              <w:ind w:left="50"/>
              <w:rPr>
                <w:sz w:val="20"/>
              </w:rPr>
            </w:pPr>
            <w:r>
              <w:rPr>
                <w:spacing w:val="-4"/>
                <w:sz w:val="20"/>
              </w:rPr>
              <w:t>2770</w:t>
            </w:r>
          </w:p>
        </w:tc>
        <w:tc>
          <w:tcPr>
            <w:tcW w:w="3841" w:type="dxa"/>
          </w:tcPr>
          <w:p>
            <w:pPr>
              <w:pStyle w:val="TableParagraph"/>
              <w:spacing w:line="209" w:lineRule="exact"/>
              <w:ind w:left="158"/>
              <w:rPr>
                <w:sz w:val="20"/>
              </w:rPr>
            </w:pPr>
            <w:r>
              <w:rPr>
                <w:sz w:val="20"/>
              </w:rPr>
              <w:t>Indonesian</w:t>
            </w:r>
            <w:r>
              <w:rPr>
                <w:spacing w:val="-10"/>
                <w:sz w:val="20"/>
              </w:rPr>
              <w:t> </w:t>
            </w:r>
            <w:r>
              <w:rPr>
                <w:spacing w:val="-2"/>
                <w:sz w:val="20"/>
              </w:rPr>
              <w:t>(ind)</w:t>
            </w:r>
          </w:p>
        </w:tc>
        <w:tc>
          <w:tcPr>
            <w:tcW w:w="1487" w:type="dxa"/>
          </w:tcPr>
          <w:p>
            <w:pPr>
              <w:pStyle w:val="TableParagraph"/>
              <w:spacing w:line="209" w:lineRule="exact"/>
              <w:ind w:right="155"/>
              <w:jc w:val="right"/>
              <w:rPr>
                <w:sz w:val="20"/>
              </w:rPr>
            </w:pPr>
            <w:r>
              <w:rPr>
                <w:spacing w:val="-4"/>
                <w:sz w:val="20"/>
              </w:rPr>
              <w:t>3330</w:t>
            </w:r>
          </w:p>
        </w:tc>
        <w:tc>
          <w:tcPr>
            <w:tcW w:w="3858" w:type="dxa"/>
          </w:tcPr>
          <w:p>
            <w:pPr>
              <w:pStyle w:val="TableParagraph"/>
              <w:spacing w:line="209" w:lineRule="exact"/>
              <w:ind w:left="159"/>
              <w:rPr>
                <w:sz w:val="20"/>
              </w:rPr>
            </w:pPr>
            <w:r>
              <w:rPr>
                <w:sz w:val="20"/>
              </w:rPr>
              <w:t>Palauan</w:t>
            </w:r>
            <w:r>
              <w:rPr>
                <w:spacing w:val="-8"/>
                <w:sz w:val="20"/>
              </w:rPr>
              <w:t> </w:t>
            </w:r>
            <w:r>
              <w:rPr>
                <w:spacing w:val="-2"/>
                <w:sz w:val="20"/>
              </w:rPr>
              <w:t>(pau)</w:t>
            </w:r>
          </w:p>
        </w:tc>
      </w:tr>
      <w:tr>
        <w:trPr>
          <w:trHeight w:val="230" w:hRule="atLeast"/>
        </w:trPr>
        <w:tc>
          <w:tcPr>
            <w:tcW w:w="612" w:type="dxa"/>
          </w:tcPr>
          <w:p>
            <w:pPr>
              <w:pStyle w:val="TableParagraph"/>
              <w:ind w:left="50"/>
              <w:rPr>
                <w:sz w:val="20"/>
              </w:rPr>
            </w:pPr>
            <w:r>
              <w:rPr>
                <w:spacing w:val="-4"/>
                <w:sz w:val="20"/>
              </w:rPr>
              <w:t>2780</w:t>
            </w:r>
          </w:p>
        </w:tc>
        <w:tc>
          <w:tcPr>
            <w:tcW w:w="3841" w:type="dxa"/>
          </w:tcPr>
          <w:p>
            <w:pPr>
              <w:pStyle w:val="TableParagraph"/>
              <w:ind w:left="158"/>
              <w:rPr>
                <w:sz w:val="20"/>
              </w:rPr>
            </w:pPr>
            <w:r>
              <w:rPr>
                <w:sz w:val="20"/>
              </w:rPr>
              <w:t>Iban</w:t>
            </w:r>
            <w:r>
              <w:rPr>
                <w:spacing w:val="-4"/>
                <w:sz w:val="20"/>
              </w:rPr>
              <w:t> </w:t>
            </w:r>
            <w:r>
              <w:rPr>
                <w:spacing w:val="-2"/>
                <w:sz w:val="20"/>
              </w:rPr>
              <w:t>(iba)</w:t>
            </w:r>
          </w:p>
        </w:tc>
        <w:tc>
          <w:tcPr>
            <w:tcW w:w="1487" w:type="dxa"/>
          </w:tcPr>
          <w:p>
            <w:pPr>
              <w:pStyle w:val="TableParagraph"/>
              <w:ind w:right="155"/>
              <w:jc w:val="right"/>
              <w:rPr>
                <w:sz w:val="20"/>
              </w:rPr>
            </w:pPr>
            <w:r>
              <w:rPr>
                <w:spacing w:val="-4"/>
                <w:sz w:val="20"/>
              </w:rPr>
              <w:t>3340</w:t>
            </w:r>
          </w:p>
        </w:tc>
        <w:tc>
          <w:tcPr>
            <w:tcW w:w="3858" w:type="dxa"/>
          </w:tcPr>
          <w:p>
            <w:pPr>
              <w:pStyle w:val="TableParagraph"/>
              <w:ind w:left="159"/>
              <w:rPr>
                <w:sz w:val="20"/>
              </w:rPr>
            </w:pPr>
            <w:r>
              <w:rPr>
                <w:sz w:val="20"/>
              </w:rPr>
              <w:t>Pohnpeian</w:t>
            </w:r>
            <w:r>
              <w:rPr>
                <w:spacing w:val="-11"/>
                <w:sz w:val="20"/>
              </w:rPr>
              <w:t> </w:t>
            </w:r>
            <w:r>
              <w:rPr>
                <w:spacing w:val="-2"/>
                <w:sz w:val="20"/>
              </w:rPr>
              <w:t>(pon)</w:t>
            </w:r>
          </w:p>
        </w:tc>
      </w:tr>
      <w:tr>
        <w:trPr>
          <w:trHeight w:val="230" w:hRule="atLeast"/>
        </w:trPr>
        <w:tc>
          <w:tcPr>
            <w:tcW w:w="612" w:type="dxa"/>
          </w:tcPr>
          <w:p>
            <w:pPr>
              <w:pStyle w:val="TableParagraph"/>
              <w:ind w:left="50"/>
              <w:rPr>
                <w:sz w:val="20"/>
              </w:rPr>
            </w:pPr>
            <w:r>
              <w:rPr>
                <w:spacing w:val="-4"/>
                <w:sz w:val="20"/>
              </w:rPr>
              <w:t>2790</w:t>
            </w:r>
          </w:p>
        </w:tc>
        <w:tc>
          <w:tcPr>
            <w:tcW w:w="3841" w:type="dxa"/>
          </w:tcPr>
          <w:p>
            <w:pPr>
              <w:pStyle w:val="TableParagraph"/>
              <w:ind w:left="158"/>
              <w:rPr>
                <w:sz w:val="20"/>
              </w:rPr>
            </w:pPr>
            <w:r>
              <w:rPr>
                <w:sz w:val="20"/>
              </w:rPr>
              <w:t>Tetum</w:t>
            </w:r>
            <w:r>
              <w:rPr>
                <w:spacing w:val="-7"/>
                <w:sz w:val="20"/>
              </w:rPr>
              <w:t> </w:t>
            </w:r>
            <w:r>
              <w:rPr>
                <w:spacing w:val="-2"/>
                <w:sz w:val="20"/>
              </w:rPr>
              <w:t>(tet)</w:t>
            </w:r>
          </w:p>
        </w:tc>
        <w:tc>
          <w:tcPr>
            <w:tcW w:w="1487" w:type="dxa"/>
          </w:tcPr>
          <w:p>
            <w:pPr>
              <w:pStyle w:val="TableParagraph"/>
              <w:ind w:right="155"/>
              <w:jc w:val="right"/>
              <w:rPr>
                <w:sz w:val="20"/>
              </w:rPr>
            </w:pPr>
            <w:r>
              <w:rPr>
                <w:spacing w:val="-4"/>
                <w:sz w:val="20"/>
              </w:rPr>
              <w:t>3350</w:t>
            </w:r>
          </w:p>
        </w:tc>
        <w:tc>
          <w:tcPr>
            <w:tcW w:w="3858" w:type="dxa"/>
          </w:tcPr>
          <w:p>
            <w:pPr>
              <w:pStyle w:val="TableParagraph"/>
              <w:ind w:left="159"/>
              <w:rPr>
                <w:sz w:val="20"/>
              </w:rPr>
            </w:pPr>
            <w:r>
              <w:rPr>
                <w:sz w:val="20"/>
              </w:rPr>
              <w:t>Chuukese</w:t>
            </w:r>
            <w:r>
              <w:rPr>
                <w:spacing w:val="-10"/>
                <w:sz w:val="20"/>
              </w:rPr>
              <w:t> </w:t>
            </w:r>
            <w:r>
              <w:rPr>
                <w:spacing w:val="-2"/>
                <w:sz w:val="20"/>
              </w:rPr>
              <w:t>(chk)</w:t>
            </w:r>
          </w:p>
        </w:tc>
      </w:tr>
      <w:tr>
        <w:trPr>
          <w:trHeight w:val="230" w:hRule="atLeast"/>
        </w:trPr>
        <w:tc>
          <w:tcPr>
            <w:tcW w:w="612" w:type="dxa"/>
          </w:tcPr>
          <w:p>
            <w:pPr>
              <w:pStyle w:val="TableParagraph"/>
              <w:ind w:left="50"/>
              <w:rPr>
                <w:sz w:val="20"/>
              </w:rPr>
            </w:pPr>
            <w:r>
              <w:rPr>
                <w:spacing w:val="-4"/>
                <w:sz w:val="20"/>
              </w:rPr>
              <w:t>2800</w:t>
            </w:r>
          </w:p>
        </w:tc>
        <w:tc>
          <w:tcPr>
            <w:tcW w:w="3841" w:type="dxa"/>
          </w:tcPr>
          <w:p>
            <w:pPr>
              <w:pStyle w:val="TableParagraph"/>
              <w:ind w:left="158"/>
              <w:rPr>
                <w:sz w:val="20"/>
              </w:rPr>
            </w:pPr>
            <w:r>
              <w:rPr>
                <w:sz w:val="20"/>
              </w:rPr>
              <w:t>Central</w:t>
            </w:r>
            <w:r>
              <w:rPr>
                <w:spacing w:val="-7"/>
                <w:sz w:val="20"/>
              </w:rPr>
              <w:t> </w:t>
            </w:r>
            <w:r>
              <w:rPr>
                <w:sz w:val="20"/>
              </w:rPr>
              <w:t>Melanau</w:t>
            </w:r>
            <w:r>
              <w:rPr>
                <w:spacing w:val="-7"/>
                <w:sz w:val="20"/>
              </w:rPr>
              <w:t> </w:t>
            </w:r>
            <w:r>
              <w:rPr>
                <w:spacing w:val="-4"/>
                <w:sz w:val="20"/>
              </w:rPr>
              <w:t>(mel)</w:t>
            </w:r>
          </w:p>
        </w:tc>
        <w:tc>
          <w:tcPr>
            <w:tcW w:w="1487" w:type="dxa"/>
          </w:tcPr>
          <w:p>
            <w:pPr>
              <w:pStyle w:val="TableParagraph"/>
              <w:ind w:right="155"/>
              <w:jc w:val="right"/>
              <w:rPr>
                <w:sz w:val="20"/>
              </w:rPr>
            </w:pPr>
            <w:r>
              <w:rPr>
                <w:spacing w:val="-4"/>
                <w:sz w:val="20"/>
              </w:rPr>
              <w:t>3360</w:t>
            </w:r>
          </w:p>
        </w:tc>
        <w:tc>
          <w:tcPr>
            <w:tcW w:w="3858" w:type="dxa"/>
          </w:tcPr>
          <w:p>
            <w:pPr>
              <w:pStyle w:val="TableParagraph"/>
              <w:ind w:left="159"/>
              <w:rPr>
                <w:sz w:val="20"/>
              </w:rPr>
            </w:pPr>
            <w:r>
              <w:rPr>
                <w:sz w:val="20"/>
              </w:rPr>
              <w:t>Puluwatese</w:t>
            </w:r>
            <w:r>
              <w:rPr>
                <w:spacing w:val="-13"/>
                <w:sz w:val="20"/>
              </w:rPr>
              <w:t> </w:t>
            </w:r>
            <w:r>
              <w:rPr>
                <w:spacing w:val="-4"/>
                <w:sz w:val="20"/>
              </w:rPr>
              <w:t>(puw)</w:t>
            </w:r>
          </w:p>
        </w:tc>
      </w:tr>
      <w:tr>
        <w:trPr>
          <w:trHeight w:val="230" w:hRule="atLeast"/>
        </w:trPr>
        <w:tc>
          <w:tcPr>
            <w:tcW w:w="612" w:type="dxa"/>
          </w:tcPr>
          <w:p>
            <w:pPr>
              <w:pStyle w:val="TableParagraph"/>
              <w:ind w:left="50"/>
              <w:rPr>
                <w:sz w:val="20"/>
              </w:rPr>
            </w:pPr>
            <w:r>
              <w:rPr>
                <w:spacing w:val="-4"/>
                <w:sz w:val="20"/>
              </w:rPr>
              <w:t>2810</w:t>
            </w:r>
          </w:p>
        </w:tc>
        <w:tc>
          <w:tcPr>
            <w:tcW w:w="3841" w:type="dxa"/>
          </w:tcPr>
          <w:p>
            <w:pPr>
              <w:pStyle w:val="TableParagraph"/>
              <w:ind w:left="158"/>
              <w:rPr>
                <w:sz w:val="20"/>
              </w:rPr>
            </w:pPr>
            <w:r>
              <w:rPr>
                <w:sz w:val="20"/>
              </w:rPr>
              <w:t>Central</w:t>
            </w:r>
            <w:r>
              <w:rPr>
                <w:spacing w:val="-6"/>
                <w:sz w:val="20"/>
              </w:rPr>
              <w:t> </w:t>
            </w:r>
            <w:r>
              <w:rPr>
                <w:sz w:val="20"/>
              </w:rPr>
              <w:t>Dusun</w:t>
            </w:r>
            <w:r>
              <w:rPr>
                <w:spacing w:val="-7"/>
                <w:sz w:val="20"/>
              </w:rPr>
              <w:t> </w:t>
            </w:r>
            <w:r>
              <w:rPr>
                <w:spacing w:val="-2"/>
                <w:sz w:val="20"/>
              </w:rPr>
              <w:t>(dtp)</w:t>
            </w:r>
          </w:p>
        </w:tc>
        <w:tc>
          <w:tcPr>
            <w:tcW w:w="1487" w:type="dxa"/>
          </w:tcPr>
          <w:p>
            <w:pPr>
              <w:pStyle w:val="TableParagraph"/>
              <w:ind w:right="155"/>
              <w:jc w:val="right"/>
              <w:rPr>
                <w:sz w:val="20"/>
              </w:rPr>
            </w:pPr>
            <w:r>
              <w:rPr>
                <w:spacing w:val="-4"/>
                <w:sz w:val="20"/>
              </w:rPr>
              <w:t>3370</w:t>
            </w:r>
          </w:p>
        </w:tc>
        <w:tc>
          <w:tcPr>
            <w:tcW w:w="3858" w:type="dxa"/>
          </w:tcPr>
          <w:p>
            <w:pPr>
              <w:pStyle w:val="TableParagraph"/>
              <w:ind w:left="159"/>
              <w:rPr>
                <w:sz w:val="20"/>
              </w:rPr>
            </w:pPr>
            <w:r>
              <w:rPr>
                <w:sz w:val="20"/>
              </w:rPr>
              <w:t>Ulithian</w:t>
            </w:r>
            <w:r>
              <w:rPr>
                <w:spacing w:val="-8"/>
                <w:sz w:val="20"/>
              </w:rPr>
              <w:t> </w:t>
            </w:r>
            <w:r>
              <w:rPr>
                <w:spacing w:val="-2"/>
                <w:sz w:val="20"/>
              </w:rPr>
              <w:t>(uli)</w:t>
            </w:r>
          </w:p>
        </w:tc>
      </w:tr>
      <w:tr>
        <w:trPr>
          <w:trHeight w:val="229" w:hRule="atLeast"/>
        </w:trPr>
        <w:tc>
          <w:tcPr>
            <w:tcW w:w="612" w:type="dxa"/>
          </w:tcPr>
          <w:p>
            <w:pPr>
              <w:pStyle w:val="TableParagraph"/>
              <w:spacing w:line="209" w:lineRule="exact"/>
              <w:ind w:left="50"/>
              <w:rPr>
                <w:sz w:val="20"/>
              </w:rPr>
            </w:pPr>
            <w:r>
              <w:rPr>
                <w:spacing w:val="-4"/>
                <w:sz w:val="20"/>
              </w:rPr>
              <w:t>2820</w:t>
            </w:r>
          </w:p>
        </w:tc>
        <w:tc>
          <w:tcPr>
            <w:tcW w:w="3841" w:type="dxa"/>
          </w:tcPr>
          <w:p>
            <w:pPr>
              <w:pStyle w:val="TableParagraph"/>
              <w:spacing w:line="209" w:lineRule="exact"/>
              <w:ind w:left="158"/>
              <w:rPr>
                <w:sz w:val="20"/>
              </w:rPr>
            </w:pPr>
            <w:r>
              <w:rPr>
                <w:sz w:val="20"/>
              </w:rPr>
              <w:t>Coastal</w:t>
            </w:r>
            <w:r>
              <w:rPr>
                <w:spacing w:val="-7"/>
                <w:sz w:val="20"/>
              </w:rPr>
              <w:t> </w:t>
            </w:r>
            <w:r>
              <w:rPr>
                <w:sz w:val="20"/>
              </w:rPr>
              <w:t>Kadazan</w:t>
            </w:r>
            <w:r>
              <w:rPr>
                <w:spacing w:val="-7"/>
                <w:sz w:val="20"/>
              </w:rPr>
              <w:t> </w:t>
            </w:r>
            <w:r>
              <w:rPr>
                <w:spacing w:val="-4"/>
                <w:sz w:val="20"/>
              </w:rPr>
              <w:t>(kzj)</w:t>
            </w:r>
          </w:p>
        </w:tc>
        <w:tc>
          <w:tcPr>
            <w:tcW w:w="1487" w:type="dxa"/>
          </w:tcPr>
          <w:p>
            <w:pPr>
              <w:pStyle w:val="TableParagraph"/>
              <w:spacing w:line="209" w:lineRule="exact"/>
              <w:ind w:right="155"/>
              <w:jc w:val="right"/>
              <w:rPr>
                <w:sz w:val="20"/>
              </w:rPr>
            </w:pPr>
            <w:r>
              <w:rPr>
                <w:spacing w:val="-4"/>
                <w:sz w:val="20"/>
              </w:rPr>
              <w:t>3380</w:t>
            </w:r>
          </w:p>
        </w:tc>
        <w:tc>
          <w:tcPr>
            <w:tcW w:w="3858" w:type="dxa"/>
          </w:tcPr>
          <w:p>
            <w:pPr>
              <w:pStyle w:val="TableParagraph"/>
              <w:spacing w:line="209" w:lineRule="exact"/>
              <w:ind w:left="159"/>
              <w:rPr>
                <w:sz w:val="20"/>
              </w:rPr>
            </w:pPr>
            <w:r>
              <w:rPr>
                <w:sz w:val="20"/>
              </w:rPr>
              <w:t>Woleaian</w:t>
            </w:r>
            <w:r>
              <w:rPr>
                <w:spacing w:val="-7"/>
                <w:sz w:val="20"/>
              </w:rPr>
              <w:t> </w:t>
            </w:r>
            <w:r>
              <w:rPr>
                <w:spacing w:val="-2"/>
                <w:sz w:val="20"/>
              </w:rPr>
              <w:t>(woe)</w:t>
            </w:r>
          </w:p>
        </w:tc>
      </w:tr>
      <w:tr>
        <w:trPr>
          <w:trHeight w:val="229" w:hRule="atLeast"/>
        </w:trPr>
        <w:tc>
          <w:tcPr>
            <w:tcW w:w="612" w:type="dxa"/>
          </w:tcPr>
          <w:p>
            <w:pPr>
              <w:pStyle w:val="TableParagraph"/>
              <w:spacing w:line="209" w:lineRule="exact"/>
              <w:ind w:left="50"/>
              <w:rPr>
                <w:sz w:val="20"/>
              </w:rPr>
            </w:pPr>
            <w:r>
              <w:rPr>
                <w:spacing w:val="-4"/>
                <w:sz w:val="20"/>
              </w:rPr>
              <w:t>2830</w:t>
            </w:r>
          </w:p>
        </w:tc>
        <w:tc>
          <w:tcPr>
            <w:tcW w:w="3841" w:type="dxa"/>
          </w:tcPr>
          <w:p>
            <w:pPr>
              <w:pStyle w:val="TableParagraph"/>
              <w:spacing w:line="209" w:lineRule="exact"/>
              <w:ind w:left="158"/>
              <w:rPr>
                <w:sz w:val="20"/>
              </w:rPr>
            </w:pPr>
            <w:r>
              <w:rPr>
                <w:sz w:val="20"/>
              </w:rPr>
              <w:t>Kelabit</w:t>
            </w:r>
            <w:r>
              <w:rPr>
                <w:spacing w:val="-6"/>
                <w:sz w:val="20"/>
              </w:rPr>
              <w:t> </w:t>
            </w:r>
            <w:r>
              <w:rPr>
                <w:spacing w:val="-2"/>
                <w:sz w:val="20"/>
              </w:rPr>
              <w:t>(kzi)</w:t>
            </w:r>
          </w:p>
        </w:tc>
        <w:tc>
          <w:tcPr>
            <w:tcW w:w="1487" w:type="dxa"/>
          </w:tcPr>
          <w:p>
            <w:pPr>
              <w:pStyle w:val="TableParagraph"/>
              <w:spacing w:line="209" w:lineRule="exact"/>
              <w:ind w:right="155"/>
              <w:jc w:val="right"/>
              <w:rPr>
                <w:sz w:val="20"/>
              </w:rPr>
            </w:pPr>
            <w:r>
              <w:rPr>
                <w:spacing w:val="-4"/>
                <w:sz w:val="20"/>
              </w:rPr>
              <w:t>3390</w:t>
            </w:r>
          </w:p>
        </w:tc>
        <w:tc>
          <w:tcPr>
            <w:tcW w:w="3858" w:type="dxa"/>
          </w:tcPr>
          <w:p>
            <w:pPr>
              <w:pStyle w:val="TableParagraph"/>
              <w:spacing w:line="209" w:lineRule="exact"/>
              <w:ind w:left="159"/>
              <w:rPr>
                <w:sz w:val="20"/>
              </w:rPr>
            </w:pPr>
            <w:r>
              <w:rPr>
                <w:sz w:val="20"/>
              </w:rPr>
              <w:t>Satawalese</w:t>
            </w:r>
            <w:r>
              <w:rPr>
                <w:spacing w:val="-10"/>
                <w:sz w:val="20"/>
              </w:rPr>
              <w:t> </w:t>
            </w:r>
            <w:r>
              <w:rPr>
                <w:spacing w:val="-2"/>
                <w:sz w:val="20"/>
              </w:rPr>
              <w:t>(stw)</w:t>
            </w:r>
          </w:p>
        </w:tc>
      </w:tr>
      <w:tr>
        <w:trPr>
          <w:trHeight w:val="230" w:hRule="atLeast"/>
        </w:trPr>
        <w:tc>
          <w:tcPr>
            <w:tcW w:w="612" w:type="dxa"/>
          </w:tcPr>
          <w:p>
            <w:pPr>
              <w:pStyle w:val="TableParagraph"/>
              <w:spacing w:line="211" w:lineRule="exact"/>
              <w:ind w:left="50"/>
              <w:rPr>
                <w:sz w:val="20"/>
              </w:rPr>
            </w:pPr>
            <w:r>
              <w:rPr>
                <w:spacing w:val="-4"/>
                <w:sz w:val="20"/>
              </w:rPr>
              <w:t>2840</w:t>
            </w:r>
          </w:p>
        </w:tc>
        <w:tc>
          <w:tcPr>
            <w:tcW w:w="3841" w:type="dxa"/>
          </w:tcPr>
          <w:p>
            <w:pPr>
              <w:pStyle w:val="TableParagraph"/>
              <w:spacing w:line="211" w:lineRule="exact"/>
              <w:ind w:left="158"/>
              <w:rPr>
                <w:sz w:val="20"/>
              </w:rPr>
            </w:pPr>
            <w:r>
              <w:rPr>
                <w:sz w:val="20"/>
              </w:rPr>
              <w:t>Mainstream</w:t>
            </w:r>
            <w:r>
              <w:rPr>
                <w:spacing w:val="-11"/>
                <w:sz w:val="20"/>
              </w:rPr>
              <w:t> </w:t>
            </w:r>
            <w:r>
              <w:rPr>
                <w:sz w:val="20"/>
              </w:rPr>
              <w:t>Kenyah</w:t>
            </w:r>
            <w:r>
              <w:rPr>
                <w:spacing w:val="-8"/>
                <w:sz w:val="20"/>
              </w:rPr>
              <w:t> </w:t>
            </w:r>
            <w:r>
              <w:rPr>
                <w:spacing w:val="-4"/>
                <w:sz w:val="20"/>
              </w:rPr>
              <w:t>(xkl)</w:t>
            </w:r>
          </w:p>
        </w:tc>
        <w:tc>
          <w:tcPr>
            <w:tcW w:w="1487" w:type="dxa"/>
          </w:tcPr>
          <w:p>
            <w:pPr>
              <w:pStyle w:val="TableParagraph"/>
              <w:spacing w:line="211" w:lineRule="exact"/>
              <w:ind w:right="155"/>
              <w:jc w:val="right"/>
              <w:rPr>
                <w:sz w:val="20"/>
              </w:rPr>
            </w:pPr>
            <w:r>
              <w:rPr>
                <w:spacing w:val="-4"/>
                <w:sz w:val="20"/>
              </w:rPr>
              <w:t>3400</w:t>
            </w:r>
          </w:p>
        </w:tc>
        <w:tc>
          <w:tcPr>
            <w:tcW w:w="3858" w:type="dxa"/>
          </w:tcPr>
          <w:p>
            <w:pPr>
              <w:pStyle w:val="TableParagraph"/>
              <w:spacing w:line="211" w:lineRule="exact"/>
              <w:ind w:left="159"/>
              <w:rPr>
                <w:sz w:val="20"/>
              </w:rPr>
            </w:pPr>
            <w:r>
              <w:rPr>
                <w:sz w:val="20"/>
              </w:rPr>
              <w:t>Sonsorol</w:t>
            </w:r>
            <w:r>
              <w:rPr>
                <w:spacing w:val="-10"/>
                <w:sz w:val="20"/>
              </w:rPr>
              <w:t> </w:t>
            </w:r>
            <w:r>
              <w:rPr>
                <w:spacing w:val="-2"/>
                <w:sz w:val="20"/>
              </w:rPr>
              <w:t>(sov)</w:t>
            </w:r>
          </w:p>
        </w:tc>
      </w:tr>
      <w:tr>
        <w:trPr>
          <w:trHeight w:val="225" w:hRule="atLeast"/>
        </w:trPr>
        <w:tc>
          <w:tcPr>
            <w:tcW w:w="612" w:type="dxa"/>
          </w:tcPr>
          <w:p>
            <w:pPr>
              <w:pStyle w:val="TableParagraph"/>
              <w:spacing w:line="205" w:lineRule="exact"/>
              <w:ind w:left="50"/>
              <w:rPr>
                <w:sz w:val="20"/>
              </w:rPr>
            </w:pPr>
            <w:r>
              <w:rPr>
                <w:spacing w:val="-4"/>
                <w:sz w:val="20"/>
              </w:rPr>
              <w:t>2850</w:t>
            </w:r>
          </w:p>
        </w:tc>
        <w:tc>
          <w:tcPr>
            <w:tcW w:w="3841" w:type="dxa"/>
          </w:tcPr>
          <w:p>
            <w:pPr>
              <w:pStyle w:val="TableParagraph"/>
              <w:spacing w:line="205" w:lineRule="exact"/>
              <w:ind w:left="158"/>
              <w:rPr>
                <w:sz w:val="20"/>
              </w:rPr>
            </w:pPr>
            <w:r>
              <w:rPr>
                <w:sz w:val="20"/>
              </w:rPr>
              <w:t>Sundanese</w:t>
            </w:r>
            <w:r>
              <w:rPr>
                <w:spacing w:val="-11"/>
                <w:sz w:val="20"/>
              </w:rPr>
              <w:t> </w:t>
            </w:r>
            <w:r>
              <w:rPr>
                <w:spacing w:val="-2"/>
                <w:sz w:val="20"/>
              </w:rPr>
              <w:t>(sun)</w:t>
            </w:r>
          </w:p>
        </w:tc>
        <w:tc>
          <w:tcPr>
            <w:tcW w:w="1487" w:type="dxa"/>
          </w:tcPr>
          <w:p>
            <w:pPr>
              <w:pStyle w:val="TableParagraph"/>
              <w:spacing w:line="205" w:lineRule="exact"/>
              <w:ind w:right="155"/>
              <w:jc w:val="right"/>
              <w:rPr>
                <w:sz w:val="20"/>
              </w:rPr>
            </w:pPr>
            <w:r>
              <w:rPr>
                <w:spacing w:val="-4"/>
                <w:sz w:val="20"/>
              </w:rPr>
              <w:t>3410</w:t>
            </w:r>
          </w:p>
        </w:tc>
        <w:tc>
          <w:tcPr>
            <w:tcW w:w="3858" w:type="dxa"/>
          </w:tcPr>
          <w:p>
            <w:pPr>
              <w:pStyle w:val="TableParagraph"/>
              <w:spacing w:line="205" w:lineRule="exact"/>
              <w:ind w:left="159"/>
              <w:rPr>
                <w:sz w:val="20"/>
              </w:rPr>
            </w:pPr>
            <w:r>
              <w:rPr>
                <w:sz w:val="20"/>
              </w:rPr>
              <w:t>Yapese</w:t>
            </w:r>
            <w:r>
              <w:rPr>
                <w:spacing w:val="-5"/>
                <w:sz w:val="20"/>
              </w:rPr>
              <w:t> </w:t>
            </w:r>
            <w:r>
              <w:rPr>
                <w:spacing w:val="-2"/>
                <w:sz w:val="20"/>
              </w:rPr>
              <w:t>(yap)</w:t>
            </w:r>
          </w:p>
        </w:tc>
      </w:tr>
      <w:tr>
        <w:trPr>
          <w:trHeight w:val="460" w:hRule="atLeast"/>
        </w:trPr>
        <w:tc>
          <w:tcPr>
            <w:tcW w:w="9798" w:type="dxa"/>
            <w:gridSpan w:val="4"/>
          </w:tcPr>
          <w:p>
            <w:pPr>
              <w:pStyle w:val="TableParagraph"/>
              <w:spacing w:line="240" w:lineRule="auto" w:before="1"/>
              <w:rPr>
                <w:sz w:val="20"/>
              </w:rPr>
            </w:pPr>
          </w:p>
          <w:p>
            <w:pPr>
              <w:pStyle w:val="TableParagraph"/>
              <w:tabs>
                <w:tab w:pos="5378" w:val="left" w:leader="none"/>
              </w:tabs>
              <w:ind w:left="50"/>
              <w:rPr>
                <w:i/>
                <w:sz w:val="20"/>
              </w:rPr>
            </w:pPr>
            <w:r>
              <w:rPr>
                <w:i/>
                <w:sz w:val="20"/>
              </w:rPr>
              <w:t>Philippine</w:t>
            </w:r>
            <w:r>
              <w:rPr>
                <w:i/>
                <w:spacing w:val="-10"/>
                <w:sz w:val="20"/>
              </w:rPr>
              <w:t> </w:t>
            </w:r>
            <w:r>
              <w:rPr>
                <w:i/>
                <w:sz w:val="20"/>
              </w:rPr>
              <w:t>languages</w:t>
            </w:r>
            <w:r>
              <w:rPr>
                <w:i/>
                <w:spacing w:val="-9"/>
                <w:sz w:val="20"/>
              </w:rPr>
              <w:t> </w:t>
            </w:r>
            <w:r>
              <w:rPr>
                <w:i/>
                <w:sz w:val="20"/>
              </w:rPr>
              <w:t>(2870-</w:t>
            </w:r>
            <w:r>
              <w:rPr>
                <w:i/>
                <w:spacing w:val="-2"/>
                <w:sz w:val="20"/>
              </w:rPr>
              <w:t>3219)</w:t>
            </w:r>
            <w:r>
              <w:rPr>
                <w:i/>
                <w:sz w:val="20"/>
              </w:rPr>
              <w:tab/>
              <w:t>Polynesian</w:t>
            </w:r>
            <w:r>
              <w:rPr>
                <w:i/>
                <w:spacing w:val="-9"/>
                <w:sz w:val="20"/>
              </w:rPr>
              <w:t> </w:t>
            </w:r>
            <w:r>
              <w:rPr>
                <w:i/>
                <w:sz w:val="20"/>
              </w:rPr>
              <w:t>languages</w:t>
            </w:r>
            <w:r>
              <w:rPr>
                <w:i/>
                <w:spacing w:val="-10"/>
                <w:sz w:val="20"/>
              </w:rPr>
              <w:t> </w:t>
            </w:r>
            <w:r>
              <w:rPr>
                <w:i/>
                <w:sz w:val="20"/>
              </w:rPr>
              <w:t>(3420-</w:t>
            </w:r>
            <w:r>
              <w:rPr>
                <w:i/>
                <w:spacing w:val="-2"/>
                <w:sz w:val="20"/>
              </w:rPr>
              <w:t>3798)</w:t>
            </w:r>
          </w:p>
        </w:tc>
      </w:tr>
      <w:tr>
        <w:trPr>
          <w:trHeight w:val="234" w:hRule="atLeast"/>
        </w:trPr>
        <w:tc>
          <w:tcPr>
            <w:tcW w:w="612" w:type="dxa"/>
          </w:tcPr>
          <w:p>
            <w:pPr>
              <w:pStyle w:val="TableParagraph"/>
              <w:spacing w:line="204" w:lineRule="exact"/>
              <w:ind w:left="50"/>
              <w:rPr>
                <w:sz w:val="20"/>
              </w:rPr>
            </w:pPr>
            <w:r>
              <w:rPr>
                <w:spacing w:val="-4"/>
                <w:sz w:val="20"/>
              </w:rPr>
              <w:t>2870</w:t>
            </w:r>
          </w:p>
        </w:tc>
        <w:tc>
          <w:tcPr>
            <w:tcW w:w="3841" w:type="dxa"/>
          </w:tcPr>
          <w:p>
            <w:pPr>
              <w:pStyle w:val="TableParagraph"/>
              <w:spacing w:line="204" w:lineRule="exact"/>
              <w:ind w:left="158"/>
              <w:rPr>
                <w:sz w:val="20"/>
              </w:rPr>
            </w:pPr>
            <w:r>
              <w:rPr>
                <w:sz w:val="20"/>
              </w:rPr>
              <w:t>Pampanga</w:t>
            </w:r>
            <w:r>
              <w:rPr>
                <w:spacing w:val="-12"/>
                <w:sz w:val="20"/>
              </w:rPr>
              <w:t> </w:t>
            </w:r>
            <w:r>
              <w:rPr>
                <w:spacing w:val="-2"/>
                <w:sz w:val="20"/>
              </w:rPr>
              <w:t>(pam)</w:t>
            </w:r>
          </w:p>
        </w:tc>
        <w:tc>
          <w:tcPr>
            <w:tcW w:w="1487" w:type="dxa"/>
          </w:tcPr>
          <w:p>
            <w:pPr>
              <w:pStyle w:val="TableParagraph"/>
              <w:spacing w:line="204" w:lineRule="exact"/>
              <w:ind w:right="155"/>
              <w:jc w:val="right"/>
              <w:rPr>
                <w:sz w:val="20"/>
              </w:rPr>
            </w:pPr>
            <w:r>
              <w:rPr>
                <w:spacing w:val="-4"/>
                <w:sz w:val="20"/>
              </w:rPr>
              <w:t>3420</w:t>
            </w:r>
          </w:p>
        </w:tc>
        <w:tc>
          <w:tcPr>
            <w:tcW w:w="3858" w:type="dxa"/>
          </w:tcPr>
          <w:p>
            <w:pPr>
              <w:pStyle w:val="TableParagraph"/>
              <w:spacing w:line="204" w:lineRule="exact"/>
              <w:ind w:left="159"/>
              <w:rPr>
                <w:sz w:val="20"/>
              </w:rPr>
            </w:pPr>
            <w:r>
              <w:rPr>
                <w:sz w:val="20"/>
              </w:rPr>
              <w:t>Samoan</w:t>
            </w:r>
            <w:r>
              <w:rPr>
                <w:spacing w:val="-9"/>
                <w:sz w:val="20"/>
              </w:rPr>
              <w:t> </w:t>
            </w:r>
            <w:r>
              <w:rPr>
                <w:spacing w:val="-2"/>
                <w:sz w:val="20"/>
              </w:rPr>
              <w:t>(smo)</w:t>
            </w:r>
          </w:p>
        </w:tc>
      </w:tr>
      <w:tr>
        <w:trPr>
          <w:trHeight w:val="229" w:hRule="atLeast"/>
        </w:trPr>
        <w:tc>
          <w:tcPr>
            <w:tcW w:w="612" w:type="dxa"/>
          </w:tcPr>
          <w:p>
            <w:pPr>
              <w:pStyle w:val="TableParagraph"/>
              <w:spacing w:line="209" w:lineRule="exact"/>
              <w:ind w:left="50"/>
              <w:rPr>
                <w:sz w:val="20"/>
              </w:rPr>
            </w:pPr>
            <w:r>
              <w:rPr>
                <w:spacing w:val="-4"/>
                <w:sz w:val="20"/>
              </w:rPr>
              <w:t>2880</w:t>
            </w:r>
          </w:p>
        </w:tc>
        <w:tc>
          <w:tcPr>
            <w:tcW w:w="3841" w:type="dxa"/>
          </w:tcPr>
          <w:p>
            <w:pPr>
              <w:pStyle w:val="TableParagraph"/>
              <w:spacing w:line="209" w:lineRule="exact"/>
              <w:ind w:left="158"/>
              <w:rPr>
                <w:sz w:val="20"/>
              </w:rPr>
            </w:pPr>
            <w:r>
              <w:rPr>
                <w:sz w:val="20"/>
              </w:rPr>
              <w:t>Bolinao</w:t>
            </w:r>
            <w:r>
              <w:rPr>
                <w:spacing w:val="-6"/>
                <w:sz w:val="20"/>
              </w:rPr>
              <w:t> </w:t>
            </w:r>
            <w:r>
              <w:rPr>
                <w:spacing w:val="-2"/>
                <w:sz w:val="20"/>
              </w:rPr>
              <w:t>(smk)</w:t>
            </w:r>
          </w:p>
        </w:tc>
        <w:tc>
          <w:tcPr>
            <w:tcW w:w="1487" w:type="dxa"/>
          </w:tcPr>
          <w:p>
            <w:pPr>
              <w:pStyle w:val="TableParagraph"/>
              <w:spacing w:line="209" w:lineRule="exact"/>
              <w:ind w:right="155"/>
              <w:jc w:val="right"/>
              <w:rPr>
                <w:sz w:val="20"/>
              </w:rPr>
            </w:pPr>
            <w:r>
              <w:rPr>
                <w:spacing w:val="-4"/>
                <w:sz w:val="20"/>
              </w:rPr>
              <w:t>3430</w:t>
            </w:r>
          </w:p>
        </w:tc>
        <w:tc>
          <w:tcPr>
            <w:tcW w:w="3858" w:type="dxa"/>
          </w:tcPr>
          <w:p>
            <w:pPr>
              <w:pStyle w:val="TableParagraph"/>
              <w:spacing w:line="209" w:lineRule="exact"/>
              <w:ind w:left="159"/>
              <w:rPr>
                <w:sz w:val="20"/>
              </w:rPr>
            </w:pPr>
            <w:r>
              <w:rPr>
                <w:spacing w:val="-2"/>
                <w:sz w:val="20"/>
              </w:rPr>
              <w:t>Kapingamarangi</w:t>
            </w:r>
            <w:r>
              <w:rPr>
                <w:spacing w:val="9"/>
                <w:sz w:val="20"/>
              </w:rPr>
              <w:t> </w:t>
            </w:r>
            <w:r>
              <w:rPr>
                <w:spacing w:val="-4"/>
                <w:sz w:val="20"/>
              </w:rPr>
              <w:t>(kpg)</w:t>
            </w:r>
          </w:p>
        </w:tc>
      </w:tr>
      <w:tr>
        <w:trPr>
          <w:trHeight w:val="230" w:hRule="atLeast"/>
        </w:trPr>
        <w:tc>
          <w:tcPr>
            <w:tcW w:w="612" w:type="dxa"/>
          </w:tcPr>
          <w:p>
            <w:pPr>
              <w:pStyle w:val="TableParagraph"/>
              <w:ind w:left="50"/>
              <w:rPr>
                <w:sz w:val="20"/>
              </w:rPr>
            </w:pPr>
            <w:r>
              <w:rPr>
                <w:spacing w:val="-4"/>
                <w:sz w:val="20"/>
              </w:rPr>
              <w:t>2890</w:t>
            </w:r>
          </w:p>
        </w:tc>
        <w:tc>
          <w:tcPr>
            <w:tcW w:w="3841" w:type="dxa"/>
          </w:tcPr>
          <w:p>
            <w:pPr>
              <w:pStyle w:val="TableParagraph"/>
              <w:ind w:left="158"/>
              <w:rPr>
                <w:sz w:val="20"/>
              </w:rPr>
            </w:pPr>
            <w:r>
              <w:rPr>
                <w:sz w:val="20"/>
              </w:rPr>
              <w:t>Botolan</w:t>
            </w:r>
            <w:r>
              <w:rPr>
                <w:spacing w:val="-7"/>
                <w:sz w:val="20"/>
              </w:rPr>
              <w:t> </w:t>
            </w:r>
            <w:r>
              <w:rPr>
                <w:sz w:val="20"/>
              </w:rPr>
              <w:t>Sambal</w:t>
            </w:r>
            <w:r>
              <w:rPr>
                <w:spacing w:val="-6"/>
                <w:sz w:val="20"/>
              </w:rPr>
              <w:t> </w:t>
            </w:r>
            <w:r>
              <w:rPr>
                <w:spacing w:val="-4"/>
                <w:sz w:val="20"/>
              </w:rPr>
              <w:t>(sbl)</w:t>
            </w:r>
          </w:p>
        </w:tc>
        <w:tc>
          <w:tcPr>
            <w:tcW w:w="1487" w:type="dxa"/>
          </w:tcPr>
          <w:p>
            <w:pPr>
              <w:pStyle w:val="TableParagraph"/>
              <w:ind w:right="155"/>
              <w:jc w:val="right"/>
              <w:rPr>
                <w:sz w:val="20"/>
              </w:rPr>
            </w:pPr>
            <w:r>
              <w:rPr>
                <w:spacing w:val="-4"/>
                <w:sz w:val="20"/>
              </w:rPr>
              <w:t>3440</w:t>
            </w:r>
          </w:p>
        </w:tc>
        <w:tc>
          <w:tcPr>
            <w:tcW w:w="3858" w:type="dxa"/>
          </w:tcPr>
          <w:p>
            <w:pPr>
              <w:pStyle w:val="TableParagraph"/>
              <w:ind w:left="159"/>
              <w:rPr>
                <w:sz w:val="20"/>
              </w:rPr>
            </w:pPr>
            <w:r>
              <w:rPr>
                <w:sz w:val="20"/>
              </w:rPr>
              <w:t>Nukuoro</w:t>
            </w:r>
            <w:r>
              <w:rPr>
                <w:spacing w:val="-9"/>
                <w:sz w:val="20"/>
              </w:rPr>
              <w:t> </w:t>
            </w:r>
            <w:r>
              <w:rPr>
                <w:spacing w:val="-2"/>
                <w:sz w:val="20"/>
              </w:rPr>
              <w:t>(nkr)</w:t>
            </w:r>
          </w:p>
        </w:tc>
      </w:tr>
      <w:tr>
        <w:trPr>
          <w:trHeight w:val="230" w:hRule="atLeast"/>
        </w:trPr>
        <w:tc>
          <w:tcPr>
            <w:tcW w:w="612" w:type="dxa"/>
          </w:tcPr>
          <w:p>
            <w:pPr>
              <w:pStyle w:val="TableParagraph"/>
              <w:ind w:left="50"/>
              <w:rPr>
                <w:sz w:val="20"/>
              </w:rPr>
            </w:pPr>
            <w:r>
              <w:rPr>
                <w:spacing w:val="-4"/>
                <w:sz w:val="20"/>
              </w:rPr>
              <w:t>2900</w:t>
            </w:r>
          </w:p>
        </w:tc>
        <w:tc>
          <w:tcPr>
            <w:tcW w:w="3841" w:type="dxa"/>
          </w:tcPr>
          <w:p>
            <w:pPr>
              <w:pStyle w:val="TableParagraph"/>
              <w:ind w:left="158"/>
              <w:rPr>
                <w:sz w:val="20"/>
              </w:rPr>
            </w:pPr>
            <w:r>
              <w:rPr>
                <w:sz w:val="20"/>
              </w:rPr>
              <w:t>Sambal</w:t>
            </w:r>
            <w:r>
              <w:rPr>
                <w:spacing w:val="-7"/>
                <w:sz w:val="20"/>
              </w:rPr>
              <w:t> </w:t>
            </w:r>
            <w:r>
              <w:rPr>
                <w:spacing w:val="-2"/>
                <w:sz w:val="20"/>
              </w:rPr>
              <w:t>(xsb)</w:t>
            </w:r>
          </w:p>
        </w:tc>
        <w:tc>
          <w:tcPr>
            <w:tcW w:w="1487" w:type="dxa"/>
          </w:tcPr>
          <w:p>
            <w:pPr>
              <w:pStyle w:val="TableParagraph"/>
              <w:ind w:right="155"/>
              <w:jc w:val="right"/>
              <w:rPr>
                <w:sz w:val="20"/>
              </w:rPr>
            </w:pPr>
            <w:r>
              <w:rPr>
                <w:spacing w:val="-4"/>
                <w:sz w:val="20"/>
              </w:rPr>
              <w:t>3470</w:t>
            </w:r>
          </w:p>
        </w:tc>
        <w:tc>
          <w:tcPr>
            <w:tcW w:w="3858" w:type="dxa"/>
          </w:tcPr>
          <w:p>
            <w:pPr>
              <w:pStyle w:val="TableParagraph"/>
              <w:ind w:left="159"/>
              <w:rPr>
                <w:sz w:val="20"/>
              </w:rPr>
            </w:pPr>
            <w:r>
              <w:rPr>
                <w:sz w:val="20"/>
              </w:rPr>
              <w:t>Tuvalu</w:t>
            </w:r>
            <w:r>
              <w:rPr>
                <w:spacing w:val="-9"/>
                <w:sz w:val="20"/>
              </w:rPr>
              <w:t> </w:t>
            </w:r>
            <w:r>
              <w:rPr>
                <w:spacing w:val="-2"/>
                <w:sz w:val="20"/>
              </w:rPr>
              <w:t>(tvl)</w:t>
            </w:r>
          </w:p>
        </w:tc>
      </w:tr>
      <w:tr>
        <w:trPr>
          <w:trHeight w:val="230" w:hRule="atLeast"/>
        </w:trPr>
        <w:tc>
          <w:tcPr>
            <w:tcW w:w="612" w:type="dxa"/>
          </w:tcPr>
          <w:p>
            <w:pPr>
              <w:pStyle w:val="TableParagraph"/>
              <w:spacing w:line="240" w:lineRule="auto"/>
              <w:rPr>
                <w:sz w:val="16"/>
              </w:rPr>
            </w:pPr>
          </w:p>
        </w:tc>
        <w:tc>
          <w:tcPr>
            <w:tcW w:w="3841" w:type="dxa"/>
          </w:tcPr>
          <w:p>
            <w:pPr>
              <w:pStyle w:val="TableParagraph"/>
              <w:spacing w:line="240" w:lineRule="auto"/>
              <w:rPr>
                <w:sz w:val="16"/>
              </w:rPr>
            </w:pPr>
          </w:p>
        </w:tc>
        <w:tc>
          <w:tcPr>
            <w:tcW w:w="1487" w:type="dxa"/>
          </w:tcPr>
          <w:p>
            <w:pPr>
              <w:pStyle w:val="TableParagraph"/>
              <w:ind w:right="155"/>
              <w:jc w:val="right"/>
              <w:rPr>
                <w:sz w:val="20"/>
              </w:rPr>
            </w:pPr>
            <w:r>
              <w:rPr>
                <w:spacing w:val="-4"/>
                <w:sz w:val="20"/>
              </w:rPr>
              <w:t>3480</w:t>
            </w:r>
          </w:p>
        </w:tc>
        <w:tc>
          <w:tcPr>
            <w:tcW w:w="3858" w:type="dxa"/>
          </w:tcPr>
          <w:p>
            <w:pPr>
              <w:pStyle w:val="TableParagraph"/>
              <w:ind w:left="159"/>
              <w:rPr>
                <w:sz w:val="20"/>
              </w:rPr>
            </w:pPr>
            <w:r>
              <w:rPr>
                <w:sz w:val="20"/>
              </w:rPr>
              <w:t>Tokelau</w:t>
            </w:r>
            <w:r>
              <w:rPr>
                <w:spacing w:val="-7"/>
                <w:sz w:val="20"/>
              </w:rPr>
              <w:t> </w:t>
            </w:r>
            <w:r>
              <w:rPr>
                <w:spacing w:val="-2"/>
                <w:sz w:val="20"/>
              </w:rPr>
              <w:t>(tkl)</w:t>
            </w:r>
          </w:p>
        </w:tc>
      </w:tr>
      <w:tr>
        <w:trPr>
          <w:trHeight w:val="229" w:hRule="atLeast"/>
        </w:trPr>
        <w:tc>
          <w:tcPr>
            <w:tcW w:w="612" w:type="dxa"/>
          </w:tcPr>
          <w:p>
            <w:pPr>
              <w:pStyle w:val="TableParagraph"/>
              <w:spacing w:line="240" w:lineRule="auto"/>
              <w:rPr>
                <w:sz w:val="16"/>
              </w:rPr>
            </w:pPr>
          </w:p>
        </w:tc>
        <w:tc>
          <w:tcPr>
            <w:tcW w:w="3841" w:type="dxa"/>
          </w:tcPr>
          <w:p>
            <w:pPr>
              <w:pStyle w:val="TableParagraph"/>
              <w:spacing w:line="209" w:lineRule="exact"/>
              <w:ind w:left="158"/>
              <w:rPr>
                <w:i/>
                <w:sz w:val="20"/>
              </w:rPr>
            </w:pPr>
            <w:r>
              <w:rPr>
                <w:i/>
                <w:sz w:val="20"/>
              </w:rPr>
              <w:t>Tagalog</w:t>
            </w:r>
            <w:r>
              <w:rPr>
                <w:i/>
                <w:spacing w:val="-11"/>
                <w:sz w:val="20"/>
              </w:rPr>
              <w:t> </w:t>
            </w:r>
            <w:r>
              <w:rPr>
                <w:i/>
                <w:sz w:val="20"/>
              </w:rPr>
              <w:t>(2910-</w:t>
            </w:r>
            <w:r>
              <w:rPr>
                <w:i/>
                <w:spacing w:val="-4"/>
                <w:sz w:val="20"/>
              </w:rPr>
              <w:t>2939)</w:t>
            </w:r>
          </w:p>
        </w:tc>
        <w:tc>
          <w:tcPr>
            <w:tcW w:w="1487" w:type="dxa"/>
          </w:tcPr>
          <w:p>
            <w:pPr>
              <w:pStyle w:val="TableParagraph"/>
              <w:spacing w:line="209" w:lineRule="exact"/>
              <w:ind w:right="155"/>
              <w:jc w:val="right"/>
              <w:rPr>
                <w:sz w:val="20"/>
              </w:rPr>
            </w:pPr>
            <w:r>
              <w:rPr>
                <w:spacing w:val="-4"/>
                <w:sz w:val="20"/>
              </w:rPr>
              <w:t>3490</w:t>
            </w:r>
          </w:p>
        </w:tc>
        <w:tc>
          <w:tcPr>
            <w:tcW w:w="3858" w:type="dxa"/>
          </w:tcPr>
          <w:p>
            <w:pPr>
              <w:pStyle w:val="TableParagraph"/>
              <w:spacing w:line="209" w:lineRule="exact"/>
              <w:ind w:left="159"/>
              <w:rPr>
                <w:sz w:val="20"/>
              </w:rPr>
            </w:pPr>
            <w:r>
              <w:rPr>
                <w:sz w:val="20"/>
              </w:rPr>
              <w:t>Wallisian</w:t>
            </w:r>
            <w:r>
              <w:rPr>
                <w:spacing w:val="-9"/>
                <w:sz w:val="20"/>
              </w:rPr>
              <w:t> </w:t>
            </w:r>
            <w:r>
              <w:rPr>
                <w:spacing w:val="-2"/>
                <w:sz w:val="20"/>
              </w:rPr>
              <w:t>(wls)</w:t>
            </w:r>
          </w:p>
        </w:tc>
      </w:tr>
      <w:tr>
        <w:trPr>
          <w:trHeight w:val="229" w:hRule="atLeast"/>
        </w:trPr>
        <w:tc>
          <w:tcPr>
            <w:tcW w:w="612" w:type="dxa"/>
          </w:tcPr>
          <w:p>
            <w:pPr>
              <w:pStyle w:val="TableParagraph"/>
              <w:spacing w:line="209" w:lineRule="exact"/>
              <w:ind w:left="50"/>
              <w:rPr>
                <w:sz w:val="20"/>
              </w:rPr>
            </w:pPr>
            <w:r>
              <w:rPr>
                <w:spacing w:val="-4"/>
                <w:sz w:val="20"/>
              </w:rPr>
              <w:t>2910</w:t>
            </w:r>
          </w:p>
        </w:tc>
        <w:tc>
          <w:tcPr>
            <w:tcW w:w="3841" w:type="dxa"/>
          </w:tcPr>
          <w:p>
            <w:pPr>
              <w:pStyle w:val="TableParagraph"/>
              <w:spacing w:line="209" w:lineRule="exact"/>
              <w:ind w:left="158"/>
              <w:rPr>
                <w:sz w:val="20"/>
              </w:rPr>
            </w:pPr>
            <w:r>
              <w:rPr>
                <w:sz w:val="20"/>
              </w:rPr>
              <w:t>Filipino</w:t>
            </w:r>
            <w:r>
              <w:rPr>
                <w:spacing w:val="-9"/>
                <w:sz w:val="20"/>
              </w:rPr>
              <w:t> </w:t>
            </w:r>
            <w:r>
              <w:rPr>
                <w:spacing w:val="-2"/>
                <w:sz w:val="20"/>
              </w:rPr>
              <w:t>(fil)</w:t>
            </w:r>
          </w:p>
        </w:tc>
        <w:tc>
          <w:tcPr>
            <w:tcW w:w="1487" w:type="dxa"/>
          </w:tcPr>
          <w:p>
            <w:pPr>
              <w:pStyle w:val="TableParagraph"/>
              <w:spacing w:line="209" w:lineRule="exact"/>
              <w:ind w:right="155"/>
              <w:jc w:val="right"/>
              <w:rPr>
                <w:sz w:val="20"/>
              </w:rPr>
            </w:pPr>
            <w:r>
              <w:rPr>
                <w:spacing w:val="-4"/>
                <w:sz w:val="20"/>
              </w:rPr>
              <w:t>3500</w:t>
            </w:r>
          </w:p>
        </w:tc>
        <w:tc>
          <w:tcPr>
            <w:tcW w:w="3858" w:type="dxa"/>
          </w:tcPr>
          <w:p>
            <w:pPr>
              <w:pStyle w:val="TableParagraph"/>
              <w:spacing w:line="209" w:lineRule="exact"/>
              <w:ind w:left="159"/>
              <w:rPr>
                <w:sz w:val="20"/>
              </w:rPr>
            </w:pPr>
            <w:r>
              <w:rPr>
                <w:sz w:val="20"/>
              </w:rPr>
              <w:t>Tonga</w:t>
            </w:r>
            <w:r>
              <w:rPr>
                <w:spacing w:val="-8"/>
                <w:sz w:val="20"/>
              </w:rPr>
              <w:t> </w:t>
            </w:r>
            <w:r>
              <w:rPr>
                <w:sz w:val="20"/>
              </w:rPr>
              <w:t>(Tonga</w:t>
            </w:r>
            <w:r>
              <w:rPr>
                <w:spacing w:val="-8"/>
                <w:sz w:val="20"/>
              </w:rPr>
              <w:t> </w:t>
            </w:r>
            <w:r>
              <w:rPr>
                <w:sz w:val="20"/>
              </w:rPr>
              <w:t>Islands)</w:t>
            </w:r>
            <w:r>
              <w:rPr>
                <w:spacing w:val="-8"/>
                <w:sz w:val="20"/>
              </w:rPr>
              <w:t> </w:t>
            </w:r>
            <w:r>
              <w:rPr>
                <w:spacing w:val="-4"/>
                <w:sz w:val="20"/>
              </w:rPr>
              <w:t>(ton)</w:t>
            </w:r>
          </w:p>
        </w:tc>
      </w:tr>
      <w:tr>
        <w:trPr>
          <w:trHeight w:val="230" w:hRule="atLeast"/>
        </w:trPr>
        <w:tc>
          <w:tcPr>
            <w:tcW w:w="612" w:type="dxa"/>
          </w:tcPr>
          <w:p>
            <w:pPr>
              <w:pStyle w:val="TableParagraph"/>
              <w:ind w:left="50"/>
              <w:rPr>
                <w:sz w:val="20"/>
              </w:rPr>
            </w:pPr>
            <w:r>
              <w:rPr>
                <w:spacing w:val="-4"/>
                <w:sz w:val="20"/>
              </w:rPr>
              <w:t>2920</w:t>
            </w:r>
          </w:p>
        </w:tc>
        <w:tc>
          <w:tcPr>
            <w:tcW w:w="3841" w:type="dxa"/>
          </w:tcPr>
          <w:p>
            <w:pPr>
              <w:pStyle w:val="TableParagraph"/>
              <w:ind w:left="158"/>
              <w:rPr>
                <w:sz w:val="20"/>
              </w:rPr>
            </w:pPr>
            <w:r>
              <w:rPr>
                <w:sz w:val="20"/>
              </w:rPr>
              <w:t>Tagalog</w:t>
            </w:r>
            <w:r>
              <w:rPr>
                <w:spacing w:val="-6"/>
                <w:sz w:val="20"/>
              </w:rPr>
              <w:t> </w:t>
            </w:r>
            <w:r>
              <w:rPr>
                <w:spacing w:val="-2"/>
                <w:sz w:val="20"/>
              </w:rPr>
              <w:t>(tgl)</w:t>
            </w:r>
          </w:p>
        </w:tc>
        <w:tc>
          <w:tcPr>
            <w:tcW w:w="1487" w:type="dxa"/>
          </w:tcPr>
          <w:p>
            <w:pPr>
              <w:pStyle w:val="TableParagraph"/>
              <w:ind w:right="155"/>
              <w:jc w:val="right"/>
              <w:rPr>
                <w:sz w:val="20"/>
              </w:rPr>
            </w:pPr>
            <w:r>
              <w:rPr>
                <w:spacing w:val="-4"/>
                <w:sz w:val="20"/>
              </w:rPr>
              <w:t>3510</w:t>
            </w:r>
          </w:p>
        </w:tc>
        <w:tc>
          <w:tcPr>
            <w:tcW w:w="3858" w:type="dxa"/>
          </w:tcPr>
          <w:p>
            <w:pPr>
              <w:pStyle w:val="TableParagraph"/>
              <w:ind w:left="159"/>
              <w:rPr>
                <w:sz w:val="20"/>
              </w:rPr>
            </w:pPr>
            <w:r>
              <w:rPr>
                <w:sz w:val="20"/>
              </w:rPr>
              <w:t>Niuean</w:t>
            </w:r>
            <w:r>
              <w:rPr>
                <w:spacing w:val="-7"/>
                <w:sz w:val="20"/>
              </w:rPr>
              <w:t> </w:t>
            </w:r>
            <w:r>
              <w:rPr>
                <w:spacing w:val="-2"/>
                <w:sz w:val="20"/>
              </w:rPr>
              <w:t>(niu)</w:t>
            </w:r>
          </w:p>
        </w:tc>
      </w:tr>
      <w:tr>
        <w:trPr>
          <w:trHeight w:val="230" w:hRule="atLeast"/>
        </w:trPr>
        <w:tc>
          <w:tcPr>
            <w:tcW w:w="612" w:type="dxa"/>
          </w:tcPr>
          <w:p>
            <w:pPr>
              <w:pStyle w:val="TableParagraph"/>
              <w:spacing w:line="240" w:lineRule="auto"/>
              <w:rPr>
                <w:sz w:val="16"/>
              </w:rPr>
            </w:pPr>
          </w:p>
        </w:tc>
        <w:tc>
          <w:tcPr>
            <w:tcW w:w="3841" w:type="dxa"/>
          </w:tcPr>
          <w:p>
            <w:pPr>
              <w:pStyle w:val="TableParagraph"/>
              <w:spacing w:line="240" w:lineRule="auto"/>
              <w:rPr>
                <w:sz w:val="16"/>
              </w:rPr>
            </w:pPr>
          </w:p>
        </w:tc>
        <w:tc>
          <w:tcPr>
            <w:tcW w:w="1487" w:type="dxa"/>
          </w:tcPr>
          <w:p>
            <w:pPr>
              <w:pStyle w:val="TableParagraph"/>
              <w:ind w:right="155"/>
              <w:jc w:val="right"/>
              <w:rPr>
                <w:sz w:val="20"/>
              </w:rPr>
            </w:pPr>
            <w:r>
              <w:rPr>
                <w:spacing w:val="-4"/>
                <w:sz w:val="20"/>
              </w:rPr>
              <w:t>3520</w:t>
            </w:r>
          </w:p>
        </w:tc>
        <w:tc>
          <w:tcPr>
            <w:tcW w:w="3858" w:type="dxa"/>
          </w:tcPr>
          <w:p>
            <w:pPr>
              <w:pStyle w:val="TableParagraph"/>
              <w:ind w:left="159"/>
              <w:rPr>
                <w:sz w:val="20"/>
              </w:rPr>
            </w:pPr>
            <w:r>
              <w:rPr>
                <w:sz w:val="20"/>
              </w:rPr>
              <w:t>North</w:t>
            </w:r>
            <w:r>
              <w:rPr>
                <w:spacing w:val="-8"/>
                <w:sz w:val="20"/>
              </w:rPr>
              <w:t> </w:t>
            </w:r>
            <w:r>
              <w:rPr>
                <w:sz w:val="20"/>
              </w:rPr>
              <w:t>Marquesan</w:t>
            </w:r>
            <w:r>
              <w:rPr>
                <w:spacing w:val="-7"/>
                <w:sz w:val="20"/>
              </w:rPr>
              <w:t> </w:t>
            </w:r>
            <w:r>
              <w:rPr>
                <w:spacing w:val="-4"/>
                <w:sz w:val="20"/>
              </w:rPr>
              <w:t>(mrq)</w:t>
            </w:r>
          </w:p>
        </w:tc>
      </w:tr>
      <w:tr>
        <w:trPr>
          <w:trHeight w:val="230" w:hRule="atLeast"/>
        </w:trPr>
        <w:tc>
          <w:tcPr>
            <w:tcW w:w="612" w:type="dxa"/>
          </w:tcPr>
          <w:p>
            <w:pPr>
              <w:pStyle w:val="TableParagraph"/>
              <w:ind w:left="50"/>
              <w:rPr>
                <w:sz w:val="20"/>
              </w:rPr>
            </w:pPr>
            <w:r>
              <w:rPr>
                <w:spacing w:val="-4"/>
                <w:sz w:val="20"/>
              </w:rPr>
              <w:t>2940</w:t>
            </w:r>
          </w:p>
        </w:tc>
        <w:tc>
          <w:tcPr>
            <w:tcW w:w="3841" w:type="dxa"/>
          </w:tcPr>
          <w:p>
            <w:pPr>
              <w:pStyle w:val="TableParagraph"/>
              <w:ind w:left="158"/>
              <w:rPr>
                <w:sz w:val="20"/>
              </w:rPr>
            </w:pPr>
            <w:r>
              <w:rPr>
                <w:sz w:val="20"/>
              </w:rPr>
              <w:t>Mandaya</w:t>
            </w:r>
            <w:r>
              <w:rPr>
                <w:spacing w:val="-11"/>
                <w:sz w:val="20"/>
              </w:rPr>
              <w:t> </w:t>
            </w:r>
            <w:r>
              <w:rPr>
                <w:spacing w:val="-2"/>
                <w:sz w:val="20"/>
              </w:rPr>
              <w:t>(mry)</w:t>
            </w:r>
          </w:p>
        </w:tc>
        <w:tc>
          <w:tcPr>
            <w:tcW w:w="1487" w:type="dxa"/>
          </w:tcPr>
          <w:p>
            <w:pPr>
              <w:pStyle w:val="TableParagraph"/>
              <w:ind w:right="155"/>
              <w:jc w:val="right"/>
              <w:rPr>
                <w:sz w:val="20"/>
              </w:rPr>
            </w:pPr>
            <w:r>
              <w:rPr>
                <w:spacing w:val="-4"/>
                <w:sz w:val="20"/>
              </w:rPr>
              <w:t>3530</w:t>
            </w:r>
          </w:p>
        </w:tc>
        <w:tc>
          <w:tcPr>
            <w:tcW w:w="3858" w:type="dxa"/>
          </w:tcPr>
          <w:p>
            <w:pPr>
              <w:pStyle w:val="TableParagraph"/>
              <w:ind w:left="159"/>
              <w:rPr>
                <w:sz w:val="20"/>
              </w:rPr>
            </w:pPr>
            <w:r>
              <w:rPr>
                <w:sz w:val="20"/>
              </w:rPr>
              <w:t>Rapanui</w:t>
            </w:r>
            <w:r>
              <w:rPr>
                <w:spacing w:val="-9"/>
                <w:sz w:val="20"/>
              </w:rPr>
              <w:t> </w:t>
            </w:r>
            <w:r>
              <w:rPr>
                <w:spacing w:val="-2"/>
                <w:sz w:val="20"/>
              </w:rPr>
              <w:t>(rap)</w:t>
            </w:r>
          </w:p>
        </w:tc>
      </w:tr>
      <w:tr>
        <w:trPr>
          <w:trHeight w:val="230" w:hRule="atLeast"/>
        </w:trPr>
        <w:tc>
          <w:tcPr>
            <w:tcW w:w="612" w:type="dxa"/>
          </w:tcPr>
          <w:p>
            <w:pPr>
              <w:pStyle w:val="TableParagraph"/>
              <w:spacing w:line="211" w:lineRule="exact"/>
              <w:ind w:left="50"/>
              <w:rPr>
                <w:sz w:val="20"/>
              </w:rPr>
            </w:pPr>
            <w:r>
              <w:rPr>
                <w:spacing w:val="-4"/>
                <w:sz w:val="20"/>
              </w:rPr>
              <w:t>2950</w:t>
            </w:r>
          </w:p>
        </w:tc>
        <w:tc>
          <w:tcPr>
            <w:tcW w:w="3841" w:type="dxa"/>
          </w:tcPr>
          <w:p>
            <w:pPr>
              <w:pStyle w:val="TableParagraph"/>
              <w:spacing w:line="211" w:lineRule="exact"/>
              <w:ind w:left="158"/>
              <w:rPr>
                <w:sz w:val="20"/>
              </w:rPr>
            </w:pPr>
            <w:r>
              <w:rPr>
                <w:sz w:val="20"/>
              </w:rPr>
              <w:t>Cebuano</w:t>
            </w:r>
            <w:r>
              <w:rPr>
                <w:spacing w:val="-9"/>
                <w:sz w:val="20"/>
              </w:rPr>
              <w:t> </w:t>
            </w:r>
            <w:r>
              <w:rPr>
                <w:spacing w:val="-2"/>
                <w:sz w:val="20"/>
              </w:rPr>
              <w:t>(ceb)</w:t>
            </w:r>
          </w:p>
        </w:tc>
        <w:tc>
          <w:tcPr>
            <w:tcW w:w="1487" w:type="dxa"/>
          </w:tcPr>
          <w:p>
            <w:pPr>
              <w:pStyle w:val="TableParagraph"/>
              <w:spacing w:line="211" w:lineRule="exact"/>
              <w:ind w:right="155"/>
              <w:jc w:val="right"/>
              <w:rPr>
                <w:sz w:val="20"/>
              </w:rPr>
            </w:pPr>
            <w:r>
              <w:rPr>
                <w:spacing w:val="-4"/>
                <w:sz w:val="20"/>
              </w:rPr>
              <w:t>3540</w:t>
            </w:r>
          </w:p>
        </w:tc>
        <w:tc>
          <w:tcPr>
            <w:tcW w:w="3858" w:type="dxa"/>
          </w:tcPr>
          <w:p>
            <w:pPr>
              <w:pStyle w:val="TableParagraph"/>
              <w:spacing w:line="211" w:lineRule="exact"/>
              <w:ind w:left="159"/>
              <w:rPr>
                <w:sz w:val="20"/>
              </w:rPr>
            </w:pPr>
            <w:r>
              <w:rPr>
                <w:sz w:val="20"/>
              </w:rPr>
              <w:t>Tahitian</w:t>
            </w:r>
            <w:r>
              <w:rPr>
                <w:spacing w:val="-8"/>
                <w:sz w:val="20"/>
              </w:rPr>
              <w:t> </w:t>
            </w:r>
            <w:r>
              <w:rPr>
                <w:spacing w:val="-2"/>
                <w:sz w:val="20"/>
              </w:rPr>
              <w:t>(tah)</w:t>
            </w:r>
          </w:p>
        </w:tc>
      </w:tr>
      <w:tr>
        <w:trPr>
          <w:trHeight w:val="229" w:hRule="atLeast"/>
        </w:trPr>
        <w:tc>
          <w:tcPr>
            <w:tcW w:w="612" w:type="dxa"/>
          </w:tcPr>
          <w:p>
            <w:pPr>
              <w:pStyle w:val="TableParagraph"/>
              <w:spacing w:line="209" w:lineRule="exact"/>
              <w:ind w:left="50"/>
              <w:rPr>
                <w:sz w:val="20"/>
              </w:rPr>
            </w:pPr>
            <w:r>
              <w:rPr>
                <w:spacing w:val="-4"/>
                <w:sz w:val="20"/>
              </w:rPr>
              <w:t>2960</w:t>
            </w:r>
          </w:p>
        </w:tc>
        <w:tc>
          <w:tcPr>
            <w:tcW w:w="3841" w:type="dxa"/>
          </w:tcPr>
          <w:p>
            <w:pPr>
              <w:pStyle w:val="TableParagraph"/>
              <w:spacing w:line="209" w:lineRule="exact"/>
              <w:ind w:left="158"/>
              <w:rPr>
                <w:sz w:val="20"/>
              </w:rPr>
            </w:pPr>
            <w:r>
              <w:rPr>
                <w:sz w:val="20"/>
              </w:rPr>
              <w:t>Hiligaynon</w:t>
            </w:r>
            <w:r>
              <w:rPr>
                <w:spacing w:val="-11"/>
                <w:sz w:val="20"/>
              </w:rPr>
              <w:t> </w:t>
            </w:r>
            <w:r>
              <w:rPr>
                <w:spacing w:val="-2"/>
                <w:sz w:val="20"/>
              </w:rPr>
              <w:t>(hil)</w:t>
            </w:r>
          </w:p>
        </w:tc>
        <w:tc>
          <w:tcPr>
            <w:tcW w:w="1487" w:type="dxa"/>
          </w:tcPr>
          <w:p>
            <w:pPr>
              <w:pStyle w:val="TableParagraph"/>
              <w:spacing w:line="209" w:lineRule="exact"/>
              <w:ind w:right="155"/>
              <w:jc w:val="right"/>
              <w:rPr>
                <w:sz w:val="20"/>
              </w:rPr>
            </w:pPr>
            <w:r>
              <w:rPr>
                <w:spacing w:val="-4"/>
                <w:sz w:val="20"/>
              </w:rPr>
              <w:t>3550</w:t>
            </w:r>
          </w:p>
        </w:tc>
        <w:tc>
          <w:tcPr>
            <w:tcW w:w="3858" w:type="dxa"/>
          </w:tcPr>
          <w:p>
            <w:pPr>
              <w:pStyle w:val="TableParagraph"/>
              <w:spacing w:line="209" w:lineRule="exact"/>
              <w:ind w:left="159"/>
              <w:rPr>
                <w:sz w:val="20"/>
              </w:rPr>
            </w:pPr>
            <w:r>
              <w:rPr>
                <w:sz w:val="20"/>
              </w:rPr>
              <w:t>Rarotongan</w:t>
            </w:r>
            <w:r>
              <w:rPr>
                <w:spacing w:val="-12"/>
                <w:sz w:val="20"/>
              </w:rPr>
              <w:t> </w:t>
            </w:r>
            <w:r>
              <w:rPr>
                <w:spacing w:val="-2"/>
                <w:sz w:val="20"/>
              </w:rPr>
              <w:t>(rar)</w:t>
            </w:r>
          </w:p>
        </w:tc>
      </w:tr>
      <w:tr>
        <w:trPr>
          <w:trHeight w:val="229" w:hRule="atLeast"/>
        </w:trPr>
        <w:tc>
          <w:tcPr>
            <w:tcW w:w="612" w:type="dxa"/>
          </w:tcPr>
          <w:p>
            <w:pPr>
              <w:pStyle w:val="TableParagraph"/>
              <w:spacing w:line="209" w:lineRule="exact"/>
              <w:ind w:left="50"/>
              <w:rPr>
                <w:sz w:val="20"/>
              </w:rPr>
            </w:pPr>
            <w:r>
              <w:rPr>
                <w:spacing w:val="-4"/>
                <w:sz w:val="20"/>
              </w:rPr>
              <w:t>2970</w:t>
            </w:r>
          </w:p>
        </w:tc>
        <w:tc>
          <w:tcPr>
            <w:tcW w:w="3841" w:type="dxa"/>
          </w:tcPr>
          <w:p>
            <w:pPr>
              <w:pStyle w:val="TableParagraph"/>
              <w:spacing w:line="209" w:lineRule="exact"/>
              <w:ind w:left="158"/>
              <w:rPr>
                <w:sz w:val="20"/>
              </w:rPr>
            </w:pPr>
            <w:r>
              <w:rPr>
                <w:sz w:val="20"/>
              </w:rPr>
              <w:t>Masbatenyo</w:t>
            </w:r>
            <w:r>
              <w:rPr>
                <w:spacing w:val="-12"/>
                <w:sz w:val="20"/>
              </w:rPr>
              <w:t> </w:t>
            </w:r>
            <w:r>
              <w:rPr>
                <w:spacing w:val="-4"/>
                <w:sz w:val="20"/>
              </w:rPr>
              <w:t>(msb)</w:t>
            </w:r>
          </w:p>
        </w:tc>
        <w:tc>
          <w:tcPr>
            <w:tcW w:w="1487" w:type="dxa"/>
          </w:tcPr>
          <w:p>
            <w:pPr>
              <w:pStyle w:val="TableParagraph"/>
              <w:spacing w:line="209" w:lineRule="exact"/>
              <w:ind w:right="155"/>
              <w:jc w:val="right"/>
              <w:rPr>
                <w:sz w:val="20"/>
              </w:rPr>
            </w:pPr>
            <w:r>
              <w:rPr>
                <w:spacing w:val="-4"/>
                <w:sz w:val="20"/>
              </w:rPr>
              <w:t>3560</w:t>
            </w:r>
          </w:p>
        </w:tc>
        <w:tc>
          <w:tcPr>
            <w:tcW w:w="3858" w:type="dxa"/>
          </w:tcPr>
          <w:p>
            <w:pPr>
              <w:pStyle w:val="TableParagraph"/>
              <w:spacing w:line="209" w:lineRule="exact"/>
              <w:ind w:left="159"/>
              <w:rPr>
                <w:sz w:val="20"/>
              </w:rPr>
            </w:pPr>
            <w:r>
              <w:rPr>
                <w:sz w:val="20"/>
              </w:rPr>
              <w:t>Maori</w:t>
            </w:r>
            <w:r>
              <w:rPr>
                <w:spacing w:val="-5"/>
                <w:sz w:val="20"/>
              </w:rPr>
              <w:t> </w:t>
            </w:r>
            <w:r>
              <w:rPr>
                <w:spacing w:val="-2"/>
                <w:sz w:val="20"/>
              </w:rPr>
              <w:t>(mri)</w:t>
            </w:r>
          </w:p>
        </w:tc>
      </w:tr>
      <w:tr>
        <w:trPr>
          <w:trHeight w:val="230" w:hRule="atLeast"/>
        </w:trPr>
        <w:tc>
          <w:tcPr>
            <w:tcW w:w="612" w:type="dxa"/>
          </w:tcPr>
          <w:p>
            <w:pPr>
              <w:pStyle w:val="TableParagraph"/>
              <w:ind w:left="50"/>
              <w:rPr>
                <w:sz w:val="20"/>
              </w:rPr>
            </w:pPr>
            <w:r>
              <w:rPr>
                <w:spacing w:val="-4"/>
                <w:sz w:val="20"/>
              </w:rPr>
              <w:t>2980</w:t>
            </w:r>
          </w:p>
        </w:tc>
        <w:tc>
          <w:tcPr>
            <w:tcW w:w="3841" w:type="dxa"/>
          </w:tcPr>
          <w:p>
            <w:pPr>
              <w:pStyle w:val="TableParagraph"/>
              <w:ind w:left="158"/>
              <w:rPr>
                <w:sz w:val="20"/>
              </w:rPr>
            </w:pPr>
            <w:r>
              <w:rPr>
                <w:sz w:val="20"/>
              </w:rPr>
              <w:t>Waray</w:t>
            </w:r>
            <w:r>
              <w:rPr>
                <w:spacing w:val="-11"/>
                <w:sz w:val="20"/>
              </w:rPr>
              <w:t> </w:t>
            </w:r>
            <w:r>
              <w:rPr>
                <w:sz w:val="20"/>
              </w:rPr>
              <w:t>(Philippines)</w:t>
            </w:r>
            <w:r>
              <w:rPr>
                <w:spacing w:val="-7"/>
                <w:sz w:val="20"/>
              </w:rPr>
              <w:t> </w:t>
            </w:r>
            <w:r>
              <w:rPr>
                <w:spacing w:val="-4"/>
                <w:sz w:val="20"/>
              </w:rPr>
              <w:t>(war)</w:t>
            </w:r>
          </w:p>
        </w:tc>
        <w:tc>
          <w:tcPr>
            <w:tcW w:w="1487" w:type="dxa"/>
          </w:tcPr>
          <w:p>
            <w:pPr>
              <w:pStyle w:val="TableParagraph"/>
              <w:ind w:right="155"/>
              <w:jc w:val="right"/>
              <w:rPr>
                <w:sz w:val="20"/>
              </w:rPr>
            </w:pPr>
            <w:r>
              <w:rPr>
                <w:spacing w:val="-4"/>
                <w:sz w:val="20"/>
              </w:rPr>
              <w:t>3570</w:t>
            </w:r>
          </w:p>
        </w:tc>
        <w:tc>
          <w:tcPr>
            <w:tcW w:w="3858" w:type="dxa"/>
          </w:tcPr>
          <w:p>
            <w:pPr>
              <w:pStyle w:val="TableParagraph"/>
              <w:ind w:left="159"/>
              <w:rPr>
                <w:sz w:val="20"/>
              </w:rPr>
            </w:pPr>
            <w:r>
              <w:rPr>
                <w:sz w:val="20"/>
              </w:rPr>
              <w:t>Hawaiian</w:t>
            </w:r>
            <w:r>
              <w:rPr>
                <w:spacing w:val="-10"/>
                <w:sz w:val="20"/>
              </w:rPr>
              <w:t> </w:t>
            </w:r>
            <w:r>
              <w:rPr>
                <w:spacing w:val="-2"/>
                <w:sz w:val="20"/>
              </w:rPr>
              <w:t>(haw)</w:t>
            </w:r>
          </w:p>
        </w:tc>
      </w:tr>
      <w:tr>
        <w:trPr>
          <w:trHeight w:val="230" w:hRule="atLeast"/>
        </w:trPr>
        <w:tc>
          <w:tcPr>
            <w:tcW w:w="612" w:type="dxa"/>
          </w:tcPr>
          <w:p>
            <w:pPr>
              <w:pStyle w:val="TableParagraph"/>
              <w:ind w:left="50"/>
              <w:rPr>
                <w:sz w:val="20"/>
              </w:rPr>
            </w:pPr>
            <w:r>
              <w:rPr>
                <w:spacing w:val="-4"/>
                <w:sz w:val="20"/>
              </w:rPr>
              <w:t>2990</w:t>
            </w:r>
          </w:p>
        </w:tc>
        <w:tc>
          <w:tcPr>
            <w:tcW w:w="3841" w:type="dxa"/>
          </w:tcPr>
          <w:p>
            <w:pPr>
              <w:pStyle w:val="TableParagraph"/>
              <w:ind w:left="158"/>
              <w:rPr>
                <w:sz w:val="20"/>
              </w:rPr>
            </w:pPr>
            <w:r>
              <w:rPr>
                <w:sz w:val="20"/>
              </w:rPr>
              <w:t>Aklanon</w:t>
            </w:r>
            <w:r>
              <w:rPr>
                <w:spacing w:val="-8"/>
                <w:sz w:val="20"/>
              </w:rPr>
              <w:t> </w:t>
            </w:r>
            <w:r>
              <w:rPr>
                <w:spacing w:val="-2"/>
                <w:sz w:val="20"/>
              </w:rPr>
              <w:t>(akl)</w:t>
            </w:r>
          </w:p>
        </w:tc>
        <w:tc>
          <w:tcPr>
            <w:tcW w:w="1487" w:type="dxa"/>
          </w:tcPr>
          <w:p>
            <w:pPr>
              <w:pStyle w:val="TableParagraph"/>
              <w:ind w:right="155"/>
              <w:jc w:val="right"/>
              <w:rPr>
                <w:sz w:val="20"/>
              </w:rPr>
            </w:pPr>
            <w:r>
              <w:rPr>
                <w:spacing w:val="-4"/>
                <w:sz w:val="20"/>
              </w:rPr>
              <w:t>3600</w:t>
            </w:r>
          </w:p>
        </w:tc>
        <w:tc>
          <w:tcPr>
            <w:tcW w:w="3858" w:type="dxa"/>
          </w:tcPr>
          <w:p>
            <w:pPr>
              <w:pStyle w:val="TableParagraph"/>
              <w:ind w:left="159"/>
              <w:rPr>
                <w:sz w:val="20"/>
              </w:rPr>
            </w:pPr>
            <w:r>
              <w:rPr>
                <w:sz w:val="20"/>
              </w:rPr>
              <w:t>Eastern</w:t>
            </w:r>
            <w:r>
              <w:rPr>
                <w:spacing w:val="-11"/>
                <w:sz w:val="20"/>
              </w:rPr>
              <w:t> </w:t>
            </w:r>
            <w:r>
              <w:rPr>
                <w:sz w:val="20"/>
              </w:rPr>
              <w:t>Malayo-Polynesian</w:t>
            </w:r>
            <w:r>
              <w:rPr>
                <w:spacing w:val="-11"/>
                <w:sz w:val="20"/>
              </w:rPr>
              <w:t> </w:t>
            </w:r>
            <w:r>
              <w:rPr>
                <w:sz w:val="20"/>
              </w:rPr>
              <w:t>languages</w:t>
            </w:r>
            <w:r>
              <w:rPr>
                <w:spacing w:val="-10"/>
                <w:sz w:val="20"/>
              </w:rPr>
              <w:t> </w:t>
            </w:r>
            <w:r>
              <w:rPr>
                <w:spacing w:val="-2"/>
                <w:sz w:val="20"/>
              </w:rPr>
              <w:t>N.E.C.</w:t>
            </w:r>
          </w:p>
        </w:tc>
      </w:tr>
      <w:tr>
        <w:trPr>
          <w:trHeight w:val="230" w:hRule="atLeast"/>
        </w:trPr>
        <w:tc>
          <w:tcPr>
            <w:tcW w:w="612" w:type="dxa"/>
          </w:tcPr>
          <w:p>
            <w:pPr>
              <w:pStyle w:val="TableParagraph"/>
              <w:ind w:left="50"/>
              <w:rPr>
                <w:sz w:val="20"/>
              </w:rPr>
            </w:pPr>
            <w:r>
              <w:rPr>
                <w:spacing w:val="-4"/>
                <w:sz w:val="20"/>
              </w:rPr>
              <w:t>3000</w:t>
            </w:r>
          </w:p>
        </w:tc>
        <w:tc>
          <w:tcPr>
            <w:tcW w:w="3841" w:type="dxa"/>
          </w:tcPr>
          <w:p>
            <w:pPr>
              <w:pStyle w:val="TableParagraph"/>
              <w:ind w:left="158"/>
              <w:rPr>
                <w:sz w:val="20"/>
              </w:rPr>
            </w:pPr>
            <w:r>
              <w:rPr>
                <w:sz w:val="20"/>
              </w:rPr>
              <w:t>Cuyonon</w:t>
            </w:r>
            <w:r>
              <w:rPr>
                <w:spacing w:val="-9"/>
                <w:sz w:val="20"/>
              </w:rPr>
              <w:t> </w:t>
            </w:r>
            <w:r>
              <w:rPr>
                <w:spacing w:val="-2"/>
                <w:sz w:val="20"/>
              </w:rPr>
              <w:t>(cyo)</w:t>
            </w:r>
          </w:p>
        </w:tc>
        <w:tc>
          <w:tcPr>
            <w:tcW w:w="1487" w:type="dxa"/>
          </w:tcPr>
          <w:p>
            <w:pPr>
              <w:pStyle w:val="TableParagraph"/>
              <w:ind w:right="155"/>
              <w:jc w:val="right"/>
              <w:rPr>
                <w:sz w:val="20"/>
              </w:rPr>
            </w:pPr>
            <w:r>
              <w:rPr>
                <w:spacing w:val="-4"/>
                <w:sz w:val="20"/>
              </w:rPr>
              <w:t>3610</w:t>
            </w:r>
          </w:p>
        </w:tc>
        <w:tc>
          <w:tcPr>
            <w:tcW w:w="3858" w:type="dxa"/>
          </w:tcPr>
          <w:p>
            <w:pPr>
              <w:pStyle w:val="TableParagraph"/>
              <w:ind w:left="159"/>
              <w:rPr>
                <w:sz w:val="20"/>
              </w:rPr>
            </w:pPr>
            <w:r>
              <w:rPr>
                <w:sz w:val="20"/>
              </w:rPr>
              <w:t>Fijian</w:t>
            </w:r>
            <w:r>
              <w:rPr>
                <w:spacing w:val="-5"/>
                <w:sz w:val="20"/>
              </w:rPr>
              <w:t> </w:t>
            </w:r>
            <w:r>
              <w:rPr>
                <w:spacing w:val="-2"/>
                <w:sz w:val="20"/>
              </w:rPr>
              <w:t>(fij)</w:t>
            </w:r>
          </w:p>
        </w:tc>
      </w:tr>
      <w:tr>
        <w:trPr>
          <w:trHeight w:val="230" w:hRule="atLeast"/>
        </w:trPr>
        <w:tc>
          <w:tcPr>
            <w:tcW w:w="612" w:type="dxa"/>
          </w:tcPr>
          <w:p>
            <w:pPr>
              <w:pStyle w:val="TableParagraph"/>
              <w:ind w:left="50"/>
              <w:rPr>
                <w:sz w:val="20"/>
              </w:rPr>
            </w:pPr>
            <w:r>
              <w:rPr>
                <w:spacing w:val="-4"/>
                <w:sz w:val="20"/>
              </w:rPr>
              <w:t>3010</w:t>
            </w:r>
          </w:p>
        </w:tc>
        <w:tc>
          <w:tcPr>
            <w:tcW w:w="3841" w:type="dxa"/>
          </w:tcPr>
          <w:p>
            <w:pPr>
              <w:pStyle w:val="TableParagraph"/>
              <w:ind w:left="158"/>
              <w:rPr>
                <w:sz w:val="20"/>
              </w:rPr>
            </w:pPr>
            <w:r>
              <w:rPr>
                <w:sz w:val="20"/>
              </w:rPr>
              <w:t>Kinaray-A</w:t>
            </w:r>
            <w:r>
              <w:rPr>
                <w:spacing w:val="-11"/>
                <w:sz w:val="20"/>
              </w:rPr>
              <w:t> </w:t>
            </w:r>
            <w:r>
              <w:rPr>
                <w:spacing w:val="-2"/>
                <w:sz w:val="20"/>
              </w:rPr>
              <w:t>(krj)</w:t>
            </w:r>
          </w:p>
        </w:tc>
        <w:tc>
          <w:tcPr>
            <w:tcW w:w="1487" w:type="dxa"/>
          </w:tcPr>
          <w:p>
            <w:pPr>
              <w:pStyle w:val="TableParagraph"/>
              <w:ind w:right="155"/>
              <w:jc w:val="right"/>
              <w:rPr>
                <w:sz w:val="20"/>
              </w:rPr>
            </w:pPr>
            <w:r>
              <w:rPr>
                <w:spacing w:val="-4"/>
                <w:sz w:val="20"/>
              </w:rPr>
              <w:t>3620</w:t>
            </w:r>
          </w:p>
        </w:tc>
        <w:tc>
          <w:tcPr>
            <w:tcW w:w="3858" w:type="dxa"/>
          </w:tcPr>
          <w:p>
            <w:pPr>
              <w:pStyle w:val="TableParagraph"/>
              <w:ind w:left="159"/>
              <w:rPr>
                <w:sz w:val="20"/>
              </w:rPr>
            </w:pPr>
            <w:r>
              <w:rPr>
                <w:sz w:val="20"/>
              </w:rPr>
              <w:t>Rotuman</w:t>
            </w:r>
            <w:r>
              <w:rPr>
                <w:spacing w:val="-9"/>
                <w:sz w:val="20"/>
              </w:rPr>
              <w:t> </w:t>
            </w:r>
            <w:r>
              <w:rPr>
                <w:spacing w:val="-2"/>
                <w:sz w:val="20"/>
              </w:rPr>
              <w:t>(rtm)</w:t>
            </w:r>
          </w:p>
        </w:tc>
      </w:tr>
      <w:tr>
        <w:trPr>
          <w:trHeight w:val="229" w:hRule="atLeast"/>
        </w:trPr>
        <w:tc>
          <w:tcPr>
            <w:tcW w:w="612" w:type="dxa"/>
          </w:tcPr>
          <w:p>
            <w:pPr>
              <w:pStyle w:val="TableParagraph"/>
              <w:spacing w:line="209" w:lineRule="exact"/>
              <w:ind w:left="50"/>
              <w:rPr>
                <w:sz w:val="20"/>
              </w:rPr>
            </w:pPr>
            <w:r>
              <w:rPr>
                <w:spacing w:val="-4"/>
                <w:sz w:val="20"/>
              </w:rPr>
              <w:t>3020</w:t>
            </w:r>
          </w:p>
        </w:tc>
        <w:tc>
          <w:tcPr>
            <w:tcW w:w="3841" w:type="dxa"/>
          </w:tcPr>
          <w:p>
            <w:pPr>
              <w:pStyle w:val="TableParagraph"/>
              <w:spacing w:line="209" w:lineRule="exact"/>
              <w:ind w:left="158"/>
              <w:rPr>
                <w:sz w:val="20"/>
              </w:rPr>
            </w:pPr>
            <w:r>
              <w:rPr>
                <w:sz w:val="20"/>
              </w:rPr>
              <w:t>Butuanon</w:t>
            </w:r>
            <w:r>
              <w:rPr>
                <w:spacing w:val="-11"/>
                <w:sz w:val="20"/>
              </w:rPr>
              <w:t> </w:t>
            </w:r>
            <w:r>
              <w:rPr>
                <w:spacing w:val="-2"/>
                <w:sz w:val="20"/>
              </w:rPr>
              <w:t>(btw)</w:t>
            </w:r>
          </w:p>
        </w:tc>
        <w:tc>
          <w:tcPr>
            <w:tcW w:w="1487" w:type="dxa"/>
          </w:tcPr>
          <w:p>
            <w:pPr>
              <w:pStyle w:val="TableParagraph"/>
              <w:spacing w:line="209" w:lineRule="exact"/>
              <w:ind w:right="155"/>
              <w:jc w:val="right"/>
              <w:rPr>
                <w:sz w:val="20"/>
              </w:rPr>
            </w:pPr>
            <w:r>
              <w:rPr>
                <w:spacing w:val="-4"/>
                <w:sz w:val="20"/>
              </w:rPr>
              <w:t>3630</w:t>
            </w:r>
          </w:p>
        </w:tc>
        <w:tc>
          <w:tcPr>
            <w:tcW w:w="3858" w:type="dxa"/>
          </w:tcPr>
          <w:p>
            <w:pPr>
              <w:pStyle w:val="TableParagraph"/>
              <w:spacing w:line="209" w:lineRule="exact"/>
              <w:ind w:left="159"/>
              <w:rPr>
                <w:sz w:val="20"/>
              </w:rPr>
            </w:pPr>
            <w:r>
              <w:rPr>
                <w:sz w:val="20"/>
              </w:rPr>
              <w:t>Labo</w:t>
            </w:r>
            <w:r>
              <w:rPr>
                <w:spacing w:val="-5"/>
                <w:sz w:val="20"/>
              </w:rPr>
              <w:t> </w:t>
            </w:r>
            <w:r>
              <w:rPr>
                <w:spacing w:val="-2"/>
                <w:sz w:val="20"/>
              </w:rPr>
              <w:t>(mwi)</w:t>
            </w:r>
          </w:p>
        </w:tc>
      </w:tr>
      <w:tr>
        <w:trPr>
          <w:trHeight w:val="229" w:hRule="atLeast"/>
        </w:trPr>
        <w:tc>
          <w:tcPr>
            <w:tcW w:w="612" w:type="dxa"/>
          </w:tcPr>
          <w:p>
            <w:pPr>
              <w:pStyle w:val="TableParagraph"/>
              <w:spacing w:line="209" w:lineRule="exact"/>
              <w:ind w:left="50"/>
              <w:rPr>
                <w:sz w:val="20"/>
              </w:rPr>
            </w:pPr>
            <w:r>
              <w:rPr>
                <w:spacing w:val="-4"/>
                <w:sz w:val="20"/>
              </w:rPr>
              <w:t>3030</w:t>
            </w:r>
          </w:p>
        </w:tc>
        <w:tc>
          <w:tcPr>
            <w:tcW w:w="3841" w:type="dxa"/>
          </w:tcPr>
          <w:p>
            <w:pPr>
              <w:pStyle w:val="TableParagraph"/>
              <w:spacing w:line="209" w:lineRule="exact"/>
              <w:ind w:left="158"/>
              <w:rPr>
                <w:sz w:val="20"/>
              </w:rPr>
            </w:pPr>
            <w:r>
              <w:rPr>
                <w:sz w:val="20"/>
              </w:rPr>
              <w:t>Tausug</w:t>
            </w:r>
            <w:r>
              <w:rPr>
                <w:spacing w:val="-9"/>
                <w:sz w:val="20"/>
              </w:rPr>
              <w:t> </w:t>
            </w:r>
            <w:r>
              <w:rPr>
                <w:spacing w:val="-2"/>
                <w:sz w:val="20"/>
              </w:rPr>
              <w:t>(tsg)</w:t>
            </w:r>
          </w:p>
        </w:tc>
        <w:tc>
          <w:tcPr>
            <w:tcW w:w="1487" w:type="dxa"/>
          </w:tcPr>
          <w:p>
            <w:pPr>
              <w:pStyle w:val="TableParagraph"/>
              <w:spacing w:line="209" w:lineRule="exact"/>
              <w:ind w:right="155"/>
              <w:jc w:val="right"/>
              <w:rPr>
                <w:sz w:val="20"/>
              </w:rPr>
            </w:pPr>
            <w:r>
              <w:rPr>
                <w:spacing w:val="-4"/>
                <w:sz w:val="20"/>
              </w:rPr>
              <w:t>3640</w:t>
            </w:r>
          </w:p>
        </w:tc>
        <w:tc>
          <w:tcPr>
            <w:tcW w:w="3858" w:type="dxa"/>
          </w:tcPr>
          <w:p>
            <w:pPr>
              <w:pStyle w:val="TableParagraph"/>
              <w:spacing w:line="209" w:lineRule="exact"/>
              <w:ind w:left="159"/>
              <w:rPr>
                <w:sz w:val="20"/>
              </w:rPr>
            </w:pPr>
            <w:r>
              <w:rPr>
                <w:sz w:val="20"/>
              </w:rPr>
              <w:t>Hano</w:t>
            </w:r>
            <w:r>
              <w:rPr>
                <w:spacing w:val="-5"/>
                <w:sz w:val="20"/>
              </w:rPr>
              <w:t> </w:t>
            </w:r>
            <w:r>
              <w:rPr>
                <w:spacing w:val="-2"/>
                <w:sz w:val="20"/>
              </w:rPr>
              <w:t>(lml)</w:t>
            </w:r>
          </w:p>
        </w:tc>
      </w:tr>
      <w:tr>
        <w:trPr>
          <w:trHeight w:val="230" w:hRule="atLeast"/>
        </w:trPr>
        <w:tc>
          <w:tcPr>
            <w:tcW w:w="612" w:type="dxa"/>
          </w:tcPr>
          <w:p>
            <w:pPr>
              <w:pStyle w:val="TableParagraph"/>
              <w:ind w:left="50"/>
              <w:rPr>
                <w:sz w:val="20"/>
              </w:rPr>
            </w:pPr>
            <w:r>
              <w:rPr>
                <w:spacing w:val="-4"/>
                <w:sz w:val="20"/>
              </w:rPr>
              <w:t>3040</w:t>
            </w:r>
          </w:p>
        </w:tc>
        <w:tc>
          <w:tcPr>
            <w:tcW w:w="3841" w:type="dxa"/>
          </w:tcPr>
          <w:p>
            <w:pPr>
              <w:pStyle w:val="TableParagraph"/>
              <w:ind w:left="158"/>
              <w:rPr>
                <w:sz w:val="20"/>
              </w:rPr>
            </w:pPr>
            <w:r>
              <w:rPr>
                <w:sz w:val="20"/>
              </w:rPr>
              <w:t>Surigaonon</w:t>
            </w:r>
            <w:r>
              <w:rPr>
                <w:spacing w:val="-13"/>
                <w:sz w:val="20"/>
              </w:rPr>
              <w:t> </w:t>
            </w:r>
            <w:r>
              <w:rPr>
                <w:spacing w:val="-2"/>
                <w:sz w:val="20"/>
              </w:rPr>
              <w:t>(sgd)</w:t>
            </w:r>
          </w:p>
        </w:tc>
        <w:tc>
          <w:tcPr>
            <w:tcW w:w="1487" w:type="dxa"/>
          </w:tcPr>
          <w:p>
            <w:pPr>
              <w:pStyle w:val="TableParagraph"/>
              <w:ind w:right="155"/>
              <w:jc w:val="right"/>
              <w:rPr>
                <w:sz w:val="20"/>
              </w:rPr>
            </w:pPr>
            <w:r>
              <w:rPr>
                <w:spacing w:val="-4"/>
                <w:sz w:val="20"/>
              </w:rPr>
              <w:t>3650</w:t>
            </w:r>
          </w:p>
        </w:tc>
        <w:tc>
          <w:tcPr>
            <w:tcW w:w="3858" w:type="dxa"/>
          </w:tcPr>
          <w:p>
            <w:pPr>
              <w:pStyle w:val="TableParagraph"/>
              <w:ind w:left="159"/>
              <w:rPr>
                <w:sz w:val="20"/>
              </w:rPr>
            </w:pPr>
            <w:r>
              <w:rPr>
                <w:sz w:val="20"/>
              </w:rPr>
              <w:t>Mota</w:t>
            </w:r>
            <w:r>
              <w:rPr>
                <w:spacing w:val="-4"/>
                <w:sz w:val="20"/>
              </w:rPr>
              <w:t> </w:t>
            </w:r>
            <w:r>
              <w:rPr>
                <w:spacing w:val="-2"/>
                <w:sz w:val="20"/>
              </w:rPr>
              <w:t>(mtt)</w:t>
            </w:r>
          </w:p>
        </w:tc>
      </w:tr>
      <w:tr>
        <w:trPr>
          <w:trHeight w:val="230" w:hRule="atLeast"/>
        </w:trPr>
        <w:tc>
          <w:tcPr>
            <w:tcW w:w="612" w:type="dxa"/>
          </w:tcPr>
          <w:p>
            <w:pPr>
              <w:pStyle w:val="TableParagraph"/>
              <w:ind w:left="50"/>
              <w:rPr>
                <w:sz w:val="20"/>
              </w:rPr>
            </w:pPr>
            <w:r>
              <w:rPr>
                <w:spacing w:val="-4"/>
                <w:sz w:val="20"/>
              </w:rPr>
              <w:t>3050</w:t>
            </w:r>
          </w:p>
        </w:tc>
        <w:tc>
          <w:tcPr>
            <w:tcW w:w="3841" w:type="dxa"/>
          </w:tcPr>
          <w:p>
            <w:pPr>
              <w:pStyle w:val="TableParagraph"/>
              <w:ind w:left="158"/>
              <w:rPr>
                <w:sz w:val="20"/>
              </w:rPr>
            </w:pPr>
            <w:r>
              <w:rPr>
                <w:sz w:val="20"/>
              </w:rPr>
              <w:t>Bikol</w:t>
            </w:r>
            <w:r>
              <w:rPr>
                <w:spacing w:val="-11"/>
                <w:sz w:val="20"/>
              </w:rPr>
              <w:t> </w:t>
            </w:r>
            <w:r>
              <w:rPr>
                <w:sz w:val="20"/>
              </w:rPr>
              <w:t>(macrolanguage)</w:t>
            </w:r>
            <w:r>
              <w:rPr>
                <w:spacing w:val="-8"/>
                <w:sz w:val="20"/>
              </w:rPr>
              <w:t> </w:t>
            </w:r>
            <w:r>
              <w:rPr>
                <w:spacing w:val="-4"/>
                <w:sz w:val="20"/>
              </w:rPr>
              <w:t>(bik)</w:t>
            </w:r>
          </w:p>
        </w:tc>
        <w:tc>
          <w:tcPr>
            <w:tcW w:w="1487" w:type="dxa"/>
          </w:tcPr>
          <w:p>
            <w:pPr>
              <w:pStyle w:val="TableParagraph"/>
              <w:ind w:right="155"/>
              <w:jc w:val="right"/>
              <w:rPr>
                <w:sz w:val="20"/>
              </w:rPr>
            </w:pPr>
            <w:r>
              <w:rPr>
                <w:spacing w:val="-4"/>
                <w:sz w:val="20"/>
              </w:rPr>
              <w:t>3660</w:t>
            </w:r>
          </w:p>
        </w:tc>
        <w:tc>
          <w:tcPr>
            <w:tcW w:w="3858" w:type="dxa"/>
          </w:tcPr>
          <w:p>
            <w:pPr>
              <w:pStyle w:val="TableParagraph"/>
              <w:ind w:left="159"/>
              <w:rPr>
                <w:sz w:val="20"/>
              </w:rPr>
            </w:pPr>
            <w:r>
              <w:rPr>
                <w:sz w:val="20"/>
              </w:rPr>
              <w:t>Kwamera</w:t>
            </w:r>
            <w:r>
              <w:rPr>
                <w:spacing w:val="-10"/>
                <w:sz w:val="20"/>
              </w:rPr>
              <w:t> </w:t>
            </w:r>
            <w:r>
              <w:rPr>
                <w:spacing w:val="-2"/>
                <w:sz w:val="20"/>
              </w:rPr>
              <w:t>(tnk)</w:t>
            </w:r>
          </w:p>
        </w:tc>
      </w:tr>
      <w:tr>
        <w:trPr>
          <w:trHeight w:val="225" w:hRule="atLeast"/>
        </w:trPr>
        <w:tc>
          <w:tcPr>
            <w:tcW w:w="612" w:type="dxa"/>
          </w:tcPr>
          <w:p>
            <w:pPr>
              <w:pStyle w:val="TableParagraph"/>
              <w:spacing w:line="205" w:lineRule="exact"/>
              <w:ind w:left="50"/>
              <w:rPr>
                <w:sz w:val="20"/>
              </w:rPr>
            </w:pPr>
            <w:r>
              <w:rPr>
                <w:spacing w:val="-4"/>
                <w:sz w:val="20"/>
              </w:rPr>
              <w:t>3055</w:t>
            </w:r>
          </w:p>
        </w:tc>
        <w:tc>
          <w:tcPr>
            <w:tcW w:w="3841" w:type="dxa"/>
          </w:tcPr>
          <w:p>
            <w:pPr>
              <w:pStyle w:val="TableParagraph"/>
              <w:spacing w:line="205" w:lineRule="exact"/>
              <w:ind w:left="158"/>
              <w:rPr>
                <w:sz w:val="20"/>
              </w:rPr>
            </w:pPr>
            <w:r>
              <w:rPr>
                <w:sz w:val="20"/>
              </w:rPr>
              <w:t>Central</w:t>
            </w:r>
            <w:r>
              <w:rPr>
                <w:spacing w:val="-6"/>
                <w:sz w:val="20"/>
              </w:rPr>
              <w:t> </w:t>
            </w:r>
            <w:r>
              <w:rPr>
                <w:sz w:val="20"/>
              </w:rPr>
              <w:t>Bikol</w:t>
            </w:r>
            <w:r>
              <w:rPr>
                <w:spacing w:val="-6"/>
                <w:sz w:val="20"/>
              </w:rPr>
              <w:t> </w:t>
            </w:r>
            <w:r>
              <w:rPr>
                <w:spacing w:val="-2"/>
                <w:sz w:val="20"/>
              </w:rPr>
              <w:t>(bcl)</w:t>
            </w:r>
          </w:p>
        </w:tc>
        <w:tc>
          <w:tcPr>
            <w:tcW w:w="1487" w:type="dxa"/>
          </w:tcPr>
          <w:p>
            <w:pPr>
              <w:pStyle w:val="TableParagraph"/>
              <w:spacing w:line="205" w:lineRule="exact"/>
              <w:ind w:right="155"/>
              <w:jc w:val="right"/>
              <w:rPr>
                <w:sz w:val="20"/>
              </w:rPr>
            </w:pPr>
            <w:r>
              <w:rPr>
                <w:spacing w:val="-4"/>
                <w:sz w:val="20"/>
              </w:rPr>
              <w:t>3670</w:t>
            </w:r>
          </w:p>
        </w:tc>
        <w:tc>
          <w:tcPr>
            <w:tcW w:w="3858" w:type="dxa"/>
          </w:tcPr>
          <w:p>
            <w:pPr>
              <w:pStyle w:val="TableParagraph"/>
              <w:spacing w:line="205" w:lineRule="exact"/>
              <w:ind w:left="159"/>
              <w:rPr>
                <w:sz w:val="20"/>
              </w:rPr>
            </w:pPr>
            <w:r>
              <w:rPr>
                <w:sz w:val="20"/>
              </w:rPr>
              <w:t>Lau</w:t>
            </w:r>
            <w:r>
              <w:rPr>
                <w:spacing w:val="-5"/>
                <w:sz w:val="20"/>
              </w:rPr>
              <w:t> </w:t>
            </w:r>
            <w:r>
              <w:rPr>
                <w:spacing w:val="-2"/>
                <w:sz w:val="20"/>
              </w:rPr>
              <w:t>(llu)</w:t>
            </w:r>
          </w:p>
        </w:tc>
      </w:tr>
    </w:tbl>
    <w:p>
      <w:pPr>
        <w:spacing w:after="0" w:line="205" w:lineRule="exact"/>
        <w:rPr>
          <w:sz w:val="20"/>
        </w:rPr>
        <w:sectPr>
          <w:footerReference w:type="default" r:id="rId85"/>
          <w:pgSz w:w="12240" w:h="15840"/>
          <w:pgMar w:footer="0" w:header="0" w:top="1140" w:bottom="280" w:left="600" w:right="500"/>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4360"/>
        <w:gridCol w:w="969"/>
        <w:gridCol w:w="2852"/>
      </w:tblGrid>
      <w:tr>
        <w:trPr>
          <w:trHeight w:val="225" w:hRule="atLeast"/>
        </w:trPr>
        <w:tc>
          <w:tcPr>
            <w:tcW w:w="612" w:type="dxa"/>
          </w:tcPr>
          <w:p>
            <w:pPr>
              <w:pStyle w:val="TableParagraph"/>
              <w:spacing w:line="205" w:lineRule="exact"/>
              <w:ind w:left="50"/>
              <w:rPr>
                <w:sz w:val="20"/>
              </w:rPr>
            </w:pPr>
            <w:r>
              <w:rPr>
                <w:spacing w:val="-4"/>
                <w:sz w:val="20"/>
              </w:rPr>
              <w:t>3680</w:t>
            </w:r>
          </w:p>
        </w:tc>
        <w:tc>
          <w:tcPr>
            <w:tcW w:w="4360" w:type="dxa"/>
          </w:tcPr>
          <w:p>
            <w:pPr>
              <w:pStyle w:val="TableParagraph"/>
              <w:spacing w:line="205" w:lineRule="exact"/>
              <w:ind w:left="158"/>
              <w:rPr>
                <w:sz w:val="20"/>
              </w:rPr>
            </w:pPr>
            <w:r>
              <w:rPr>
                <w:sz w:val="20"/>
              </w:rPr>
              <w:t>Amara</w:t>
            </w:r>
            <w:r>
              <w:rPr>
                <w:spacing w:val="-7"/>
                <w:sz w:val="20"/>
              </w:rPr>
              <w:t> </w:t>
            </w:r>
            <w:r>
              <w:rPr>
                <w:spacing w:val="-2"/>
                <w:sz w:val="20"/>
              </w:rPr>
              <w:t>(aie)</w:t>
            </w:r>
          </w:p>
        </w:tc>
        <w:tc>
          <w:tcPr>
            <w:tcW w:w="969" w:type="dxa"/>
          </w:tcPr>
          <w:p>
            <w:pPr>
              <w:pStyle w:val="TableParagraph"/>
              <w:spacing w:line="205" w:lineRule="exact"/>
              <w:ind w:right="156"/>
              <w:jc w:val="right"/>
              <w:rPr>
                <w:sz w:val="20"/>
              </w:rPr>
            </w:pPr>
            <w:r>
              <w:rPr>
                <w:spacing w:val="-4"/>
                <w:sz w:val="20"/>
              </w:rPr>
              <w:t>1088</w:t>
            </w:r>
          </w:p>
        </w:tc>
        <w:tc>
          <w:tcPr>
            <w:tcW w:w="2852" w:type="dxa"/>
          </w:tcPr>
          <w:p>
            <w:pPr>
              <w:pStyle w:val="TableParagraph"/>
              <w:spacing w:line="205" w:lineRule="exact"/>
              <w:ind w:left="158"/>
              <w:rPr>
                <w:sz w:val="20"/>
              </w:rPr>
            </w:pPr>
            <w:r>
              <w:rPr>
                <w:sz w:val="20"/>
              </w:rPr>
              <w:t>Chinook</w:t>
            </w:r>
            <w:r>
              <w:rPr>
                <w:spacing w:val="-7"/>
                <w:sz w:val="20"/>
              </w:rPr>
              <w:t> </w:t>
            </w:r>
            <w:r>
              <w:rPr>
                <w:sz w:val="20"/>
              </w:rPr>
              <w:t>jargon</w:t>
            </w:r>
            <w:r>
              <w:rPr>
                <w:spacing w:val="-6"/>
                <w:sz w:val="20"/>
              </w:rPr>
              <w:t> </w:t>
            </w:r>
            <w:r>
              <w:rPr>
                <w:spacing w:val="-4"/>
                <w:sz w:val="20"/>
              </w:rPr>
              <w:t>(chn)</w:t>
            </w:r>
          </w:p>
        </w:tc>
      </w:tr>
      <w:tr>
        <w:trPr>
          <w:trHeight w:val="229" w:hRule="atLeast"/>
        </w:trPr>
        <w:tc>
          <w:tcPr>
            <w:tcW w:w="612" w:type="dxa"/>
          </w:tcPr>
          <w:p>
            <w:pPr>
              <w:pStyle w:val="TableParagraph"/>
              <w:spacing w:line="209" w:lineRule="exact"/>
              <w:ind w:left="50"/>
              <w:rPr>
                <w:sz w:val="20"/>
              </w:rPr>
            </w:pPr>
            <w:r>
              <w:rPr>
                <w:spacing w:val="-4"/>
                <w:sz w:val="20"/>
              </w:rPr>
              <w:t>3690</w:t>
            </w:r>
          </w:p>
        </w:tc>
        <w:tc>
          <w:tcPr>
            <w:tcW w:w="4360" w:type="dxa"/>
          </w:tcPr>
          <w:p>
            <w:pPr>
              <w:pStyle w:val="TableParagraph"/>
              <w:spacing w:line="209" w:lineRule="exact"/>
              <w:ind w:left="158"/>
              <w:rPr>
                <w:sz w:val="20"/>
              </w:rPr>
            </w:pPr>
            <w:r>
              <w:rPr>
                <w:spacing w:val="-2"/>
                <w:sz w:val="20"/>
              </w:rPr>
              <w:t>Arifama-Miniafia</w:t>
            </w:r>
            <w:r>
              <w:rPr>
                <w:spacing w:val="14"/>
                <w:sz w:val="20"/>
              </w:rPr>
              <w:t> </w:t>
            </w:r>
            <w:r>
              <w:rPr>
                <w:spacing w:val="-2"/>
                <w:sz w:val="20"/>
              </w:rPr>
              <w:t>(aai)</w:t>
            </w:r>
          </w:p>
        </w:tc>
        <w:tc>
          <w:tcPr>
            <w:tcW w:w="969" w:type="dxa"/>
          </w:tcPr>
          <w:p>
            <w:pPr>
              <w:pStyle w:val="TableParagraph"/>
              <w:spacing w:line="209" w:lineRule="exact"/>
              <w:ind w:right="156"/>
              <w:jc w:val="right"/>
              <w:rPr>
                <w:sz w:val="20"/>
              </w:rPr>
            </w:pPr>
            <w:r>
              <w:rPr>
                <w:spacing w:val="-4"/>
                <w:sz w:val="20"/>
              </w:rPr>
              <w:t>1107</w:t>
            </w:r>
          </w:p>
        </w:tc>
        <w:tc>
          <w:tcPr>
            <w:tcW w:w="2852" w:type="dxa"/>
          </w:tcPr>
          <w:p>
            <w:pPr>
              <w:pStyle w:val="TableParagraph"/>
              <w:spacing w:line="209" w:lineRule="exact"/>
              <w:ind w:left="158"/>
              <w:rPr>
                <w:sz w:val="20"/>
              </w:rPr>
            </w:pPr>
            <w:r>
              <w:rPr>
                <w:sz w:val="20"/>
              </w:rPr>
              <w:t>Pidgin</w:t>
            </w:r>
            <w:r>
              <w:rPr>
                <w:spacing w:val="-9"/>
                <w:sz w:val="20"/>
              </w:rPr>
              <w:t> </w:t>
            </w:r>
            <w:r>
              <w:rPr>
                <w:spacing w:val="-2"/>
                <w:sz w:val="20"/>
              </w:rPr>
              <w:t>N.E.C.</w:t>
            </w:r>
          </w:p>
        </w:tc>
      </w:tr>
      <w:tr>
        <w:trPr>
          <w:trHeight w:val="229" w:hRule="atLeast"/>
        </w:trPr>
        <w:tc>
          <w:tcPr>
            <w:tcW w:w="612" w:type="dxa"/>
          </w:tcPr>
          <w:p>
            <w:pPr>
              <w:pStyle w:val="TableParagraph"/>
              <w:spacing w:line="209" w:lineRule="exact"/>
              <w:ind w:left="50"/>
              <w:rPr>
                <w:sz w:val="20"/>
              </w:rPr>
            </w:pPr>
            <w:r>
              <w:rPr>
                <w:spacing w:val="-4"/>
                <w:sz w:val="20"/>
              </w:rPr>
              <w:t>3700</w:t>
            </w:r>
          </w:p>
        </w:tc>
        <w:tc>
          <w:tcPr>
            <w:tcW w:w="4360" w:type="dxa"/>
          </w:tcPr>
          <w:p>
            <w:pPr>
              <w:pStyle w:val="TableParagraph"/>
              <w:spacing w:line="209" w:lineRule="exact"/>
              <w:ind w:left="158"/>
              <w:rPr>
                <w:sz w:val="20"/>
              </w:rPr>
            </w:pPr>
            <w:r>
              <w:rPr>
                <w:sz w:val="20"/>
              </w:rPr>
              <w:t>Kilivila</w:t>
            </w:r>
            <w:r>
              <w:rPr>
                <w:spacing w:val="-8"/>
                <w:sz w:val="20"/>
              </w:rPr>
              <w:t> </w:t>
            </w:r>
            <w:r>
              <w:rPr>
                <w:spacing w:val="-2"/>
                <w:sz w:val="20"/>
              </w:rPr>
              <w:t>(kij)</w:t>
            </w:r>
          </w:p>
        </w:tc>
        <w:tc>
          <w:tcPr>
            <w:tcW w:w="969" w:type="dxa"/>
          </w:tcPr>
          <w:p>
            <w:pPr>
              <w:pStyle w:val="TableParagraph"/>
              <w:spacing w:line="209" w:lineRule="exact"/>
              <w:ind w:right="156"/>
              <w:jc w:val="right"/>
              <w:rPr>
                <w:sz w:val="20"/>
              </w:rPr>
            </w:pPr>
            <w:r>
              <w:rPr>
                <w:spacing w:val="-4"/>
                <w:sz w:val="20"/>
              </w:rPr>
              <w:t>1109</w:t>
            </w:r>
          </w:p>
        </w:tc>
        <w:tc>
          <w:tcPr>
            <w:tcW w:w="2852" w:type="dxa"/>
          </w:tcPr>
          <w:p>
            <w:pPr>
              <w:pStyle w:val="TableParagraph"/>
              <w:spacing w:line="209" w:lineRule="exact"/>
              <w:ind w:left="158"/>
              <w:rPr>
                <w:sz w:val="20"/>
              </w:rPr>
            </w:pPr>
            <w:r>
              <w:rPr>
                <w:sz w:val="20"/>
              </w:rPr>
              <w:t>Creole</w:t>
            </w:r>
            <w:r>
              <w:rPr>
                <w:spacing w:val="-6"/>
                <w:sz w:val="20"/>
              </w:rPr>
              <w:t> </w:t>
            </w:r>
            <w:r>
              <w:rPr>
                <w:spacing w:val="-2"/>
                <w:sz w:val="20"/>
              </w:rPr>
              <w:t>N.E.C.</w:t>
            </w:r>
          </w:p>
        </w:tc>
      </w:tr>
      <w:tr>
        <w:trPr>
          <w:trHeight w:val="225" w:hRule="atLeast"/>
        </w:trPr>
        <w:tc>
          <w:tcPr>
            <w:tcW w:w="612" w:type="dxa"/>
          </w:tcPr>
          <w:p>
            <w:pPr>
              <w:pStyle w:val="TableParagraph"/>
              <w:spacing w:line="205" w:lineRule="exact"/>
              <w:ind w:left="50"/>
              <w:rPr>
                <w:sz w:val="20"/>
              </w:rPr>
            </w:pPr>
            <w:r>
              <w:rPr>
                <w:spacing w:val="-4"/>
                <w:sz w:val="20"/>
              </w:rPr>
              <w:t>3710</w:t>
            </w:r>
          </w:p>
        </w:tc>
        <w:tc>
          <w:tcPr>
            <w:tcW w:w="4360" w:type="dxa"/>
          </w:tcPr>
          <w:p>
            <w:pPr>
              <w:pStyle w:val="TableParagraph"/>
              <w:spacing w:line="205" w:lineRule="exact"/>
              <w:ind w:left="158"/>
              <w:rPr>
                <w:sz w:val="20"/>
              </w:rPr>
            </w:pPr>
            <w:r>
              <w:rPr>
                <w:sz w:val="20"/>
              </w:rPr>
              <w:t>Motu</w:t>
            </w:r>
            <w:r>
              <w:rPr>
                <w:spacing w:val="-6"/>
                <w:sz w:val="20"/>
              </w:rPr>
              <w:t> </w:t>
            </w:r>
            <w:r>
              <w:rPr>
                <w:spacing w:val="-2"/>
                <w:sz w:val="20"/>
              </w:rPr>
              <w:t>(meu)</w:t>
            </w:r>
          </w:p>
        </w:tc>
        <w:tc>
          <w:tcPr>
            <w:tcW w:w="969" w:type="dxa"/>
          </w:tcPr>
          <w:p>
            <w:pPr>
              <w:pStyle w:val="TableParagraph"/>
              <w:spacing w:line="240" w:lineRule="auto"/>
              <w:rPr>
                <w:sz w:val="16"/>
              </w:rPr>
            </w:pPr>
          </w:p>
        </w:tc>
        <w:tc>
          <w:tcPr>
            <w:tcW w:w="2852" w:type="dxa"/>
          </w:tcPr>
          <w:p>
            <w:pPr>
              <w:pStyle w:val="TableParagraph"/>
              <w:spacing w:line="240" w:lineRule="auto"/>
              <w:rPr>
                <w:sz w:val="16"/>
              </w:rPr>
            </w:pPr>
          </w:p>
        </w:tc>
      </w:tr>
      <w:tr>
        <w:trPr>
          <w:trHeight w:val="230" w:hRule="atLeast"/>
        </w:trPr>
        <w:tc>
          <w:tcPr>
            <w:tcW w:w="8793" w:type="dxa"/>
            <w:gridSpan w:val="4"/>
          </w:tcPr>
          <w:p>
            <w:pPr>
              <w:pStyle w:val="TableParagraph"/>
              <w:tabs>
                <w:tab w:pos="770" w:val="left" w:leader="none"/>
                <w:tab w:pos="5378" w:val="left" w:leader="none"/>
              </w:tabs>
              <w:ind w:left="50"/>
              <w:rPr>
                <w:i/>
                <w:sz w:val="20"/>
              </w:rPr>
            </w:pPr>
            <w:r>
              <w:rPr>
                <w:spacing w:val="-4"/>
                <w:sz w:val="20"/>
              </w:rPr>
              <w:t>3720</w:t>
            </w:r>
            <w:r>
              <w:rPr>
                <w:sz w:val="20"/>
              </w:rPr>
              <w:tab/>
              <w:t>Kuanua</w:t>
            </w:r>
            <w:r>
              <w:rPr>
                <w:spacing w:val="-10"/>
                <w:sz w:val="20"/>
              </w:rPr>
              <w:t> </w:t>
            </w:r>
            <w:r>
              <w:rPr>
                <w:spacing w:val="-4"/>
                <w:sz w:val="20"/>
              </w:rPr>
              <w:t>(ksd)</w:t>
            </w:r>
            <w:r>
              <w:rPr>
                <w:sz w:val="20"/>
              </w:rPr>
              <w:tab/>
            </w:r>
            <w:r>
              <w:rPr>
                <w:i/>
                <w:sz w:val="20"/>
                <w:u w:val="single"/>
              </w:rPr>
              <w:t>Uralic</w:t>
            </w:r>
            <w:r>
              <w:rPr>
                <w:i/>
                <w:spacing w:val="-7"/>
                <w:sz w:val="20"/>
                <w:u w:val="single"/>
              </w:rPr>
              <w:t> </w:t>
            </w:r>
            <w:r>
              <w:rPr>
                <w:i/>
                <w:sz w:val="20"/>
                <w:u w:val="single"/>
              </w:rPr>
              <w:t>languages</w:t>
            </w:r>
            <w:r>
              <w:rPr>
                <w:i/>
                <w:spacing w:val="-7"/>
                <w:sz w:val="20"/>
                <w:u w:val="single"/>
              </w:rPr>
              <w:t> </w:t>
            </w:r>
            <w:r>
              <w:rPr>
                <w:i/>
                <w:sz w:val="20"/>
                <w:u w:val="single"/>
              </w:rPr>
              <w:t>(1565-</w:t>
            </w:r>
            <w:r>
              <w:rPr>
                <w:i/>
                <w:spacing w:val="-2"/>
                <w:sz w:val="20"/>
                <w:u w:val="single"/>
              </w:rPr>
              <w:t>1602)</w:t>
            </w:r>
          </w:p>
        </w:tc>
      </w:tr>
      <w:tr>
        <w:trPr>
          <w:trHeight w:val="235" w:hRule="atLeast"/>
        </w:trPr>
        <w:tc>
          <w:tcPr>
            <w:tcW w:w="612" w:type="dxa"/>
          </w:tcPr>
          <w:p>
            <w:pPr>
              <w:pStyle w:val="TableParagraph"/>
              <w:spacing w:line="205" w:lineRule="exact"/>
              <w:ind w:left="50"/>
              <w:rPr>
                <w:sz w:val="20"/>
              </w:rPr>
            </w:pPr>
            <w:r>
              <w:rPr>
                <w:spacing w:val="-4"/>
                <w:sz w:val="20"/>
              </w:rPr>
              <w:t>3730</w:t>
            </w:r>
          </w:p>
        </w:tc>
        <w:tc>
          <w:tcPr>
            <w:tcW w:w="4360" w:type="dxa"/>
          </w:tcPr>
          <w:p>
            <w:pPr>
              <w:pStyle w:val="TableParagraph"/>
              <w:spacing w:line="205" w:lineRule="exact"/>
              <w:ind w:left="158"/>
              <w:rPr>
                <w:sz w:val="20"/>
              </w:rPr>
            </w:pPr>
            <w:r>
              <w:rPr>
                <w:sz w:val="20"/>
              </w:rPr>
              <w:t>Niwer</w:t>
            </w:r>
            <w:r>
              <w:rPr>
                <w:spacing w:val="-4"/>
                <w:sz w:val="20"/>
              </w:rPr>
              <w:t> </w:t>
            </w:r>
            <w:r>
              <w:rPr>
                <w:sz w:val="20"/>
              </w:rPr>
              <w:t>Mil</w:t>
            </w:r>
            <w:r>
              <w:rPr>
                <w:spacing w:val="-4"/>
                <w:sz w:val="20"/>
              </w:rPr>
              <w:t> (hrc)</w:t>
            </w:r>
          </w:p>
        </w:tc>
        <w:tc>
          <w:tcPr>
            <w:tcW w:w="969" w:type="dxa"/>
          </w:tcPr>
          <w:p>
            <w:pPr>
              <w:pStyle w:val="TableParagraph"/>
              <w:spacing w:line="205" w:lineRule="exact"/>
              <w:ind w:right="156"/>
              <w:jc w:val="right"/>
              <w:rPr>
                <w:sz w:val="20"/>
              </w:rPr>
            </w:pPr>
            <w:r>
              <w:rPr>
                <w:spacing w:val="-4"/>
                <w:sz w:val="20"/>
              </w:rPr>
              <w:t>1565</w:t>
            </w:r>
          </w:p>
        </w:tc>
        <w:tc>
          <w:tcPr>
            <w:tcW w:w="2852" w:type="dxa"/>
          </w:tcPr>
          <w:p>
            <w:pPr>
              <w:pStyle w:val="TableParagraph"/>
              <w:spacing w:line="205" w:lineRule="exact"/>
              <w:ind w:left="158"/>
              <w:rPr>
                <w:sz w:val="20"/>
              </w:rPr>
            </w:pPr>
            <w:r>
              <w:rPr>
                <w:sz w:val="20"/>
              </w:rPr>
              <w:t>Finnish</w:t>
            </w:r>
            <w:r>
              <w:rPr>
                <w:spacing w:val="-10"/>
                <w:sz w:val="20"/>
              </w:rPr>
              <w:t> </w:t>
            </w:r>
            <w:r>
              <w:rPr>
                <w:spacing w:val="-2"/>
                <w:sz w:val="20"/>
              </w:rPr>
              <w:t>(fin)</w:t>
            </w:r>
          </w:p>
        </w:tc>
      </w:tr>
      <w:tr>
        <w:trPr>
          <w:trHeight w:val="230" w:hRule="atLeast"/>
        </w:trPr>
        <w:tc>
          <w:tcPr>
            <w:tcW w:w="612" w:type="dxa"/>
          </w:tcPr>
          <w:p>
            <w:pPr>
              <w:pStyle w:val="TableParagraph"/>
              <w:ind w:left="50"/>
              <w:rPr>
                <w:sz w:val="20"/>
              </w:rPr>
            </w:pPr>
            <w:r>
              <w:rPr>
                <w:spacing w:val="-4"/>
                <w:sz w:val="20"/>
              </w:rPr>
              <w:t>3740</w:t>
            </w:r>
          </w:p>
        </w:tc>
        <w:tc>
          <w:tcPr>
            <w:tcW w:w="4360" w:type="dxa"/>
          </w:tcPr>
          <w:p>
            <w:pPr>
              <w:pStyle w:val="TableParagraph"/>
              <w:ind w:left="158"/>
              <w:rPr>
                <w:sz w:val="20"/>
              </w:rPr>
            </w:pPr>
            <w:r>
              <w:rPr>
                <w:sz w:val="20"/>
              </w:rPr>
              <w:t>Penchal</w:t>
            </w:r>
            <w:r>
              <w:rPr>
                <w:spacing w:val="-8"/>
                <w:sz w:val="20"/>
              </w:rPr>
              <w:t> </w:t>
            </w:r>
            <w:r>
              <w:rPr>
                <w:spacing w:val="-2"/>
                <w:sz w:val="20"/>
              </w:rPr>
              <w:t>(pek)</w:t>
            </w:r>
          </w:p>
        </w:tc>
        <w:tc>
          <w:tcPr>
            <w:tcW w:w="969" w:type="dxa"/>
          </w:tcPr>
          <w:p>
            <w:pPr>
              <w:pStyle w:val="TableParagraph"/>
              <w:ind w:right="156"/>
              <w:jc w:val="right"/>
              <w:rPr>
                <w:sz w:val="20"/>
              </w:rPr>
            </w:pPr>
            <w:r>
              <w:rPr>
                <w:spacing w:val="-4"/>
                <w:sz w:val="20"/>
              </w:rPr>
              <w:t>1566</w:t>
            </w:r>
          </w:p>
        </w:tc>
        <w:tc>
          <w:tcPr>
            <w:tcW w:w="2852" w:type="dxa"/>
          </w:tcPr>
          <w:p>
            <w:pPr>
              <w:pStyle w:val="TableParagraph"/>
              <w:ind w:left="158"/>
              <w:rPr>
                <w:sz w:val="20"/>
              </w:rPr>
            </w:pPr>
            <w:r>
              <w:rPr>
                <w:sz w:val="20"/>
              </w:rPr>
              <w:t>Karelian</w:t>
            </w:r>
            <w:r>
              <w:rPr>
                <w:spacing w:val="-7"/>
                <w:sz w:val="20"/>
              </w:rPr>
              <w:t> </w:t>
            </w:r>
            <w:r>
              <w:rPr>
                <w:spacing w:val="-2"/>
                <w:sz w:val="20"/>
              </w:rPr>
              <w:t>(krl)</w:t>
            </w:r>
          </w:p>
        </w:tc>
      </w:tr>
      <w:tr>
        <w:trPr>
          <w:trHeight w:val="229" w:hRule="atLeast"/>
        </w:trPr>
        <w:tc>
          <w:tcPr>
            <w:tcW w:w="612" w:type="dxa"/>
          </w:tcPr>
          <w:p>
            <w:pPr>
              <w:pStyle w:val="TableParagraph"/>
              <w:spacing w:line="209" w:lineRule="exact"/>
              <w:ind w:left="50"/>
              <w:rPr>
                <w:sz w:val="20"/>
              </w:rPr>
            </w:pPr>
            <w:r>
              <w:rPr>
                <w:spacing w:val="-4"/>
                <w:sz w:val="20"/>
              </w:rPr>
              <w:t>3750</w:t>
            </w:r>
          </w:p>
        </w:tc>
        <w:tc>
          <w:tcPr>
            <w:tcW w:w="4360" w:type="dxa"/>
          </w:tcPr>
          <w:p>
            <w:pPr>
              <w:pStyle w:val="TableParagraph"/>
              <w:spacing w:line="209" w:lineRule="exact"/>
              <w:ind w:left="158"/>
              <w:rPr>
                <w:sz w:val="20"/>
              </w:rPr>
            </w:pPr>
            <w:r>
              <w:rPr>
                <w:sz w:val="20"/>
              </w:rPr>
              <w:t>Kola</w:t>
            </w:r>
            <w:r>
              <w:rPr>
                <w:spacing w:val="-3"/>
                <w:sz w:val="20"/>
              </w:rPr>
              <w:t> </w:t>
            </w:r>
            <w:r>
              <w:rPr>
                <w:spacing w:val="-2"/>
                <w:sz w:val="20"/>
              </w:rPr>
              <w:t>(kvv)</w:t>
            </w:r>
          </w:p>
        </w:tc>
        <w:tc>
          <w:tcPr>
            <w:tcW w:w="969" w:type="dxa"/>
          </w:tcPr>
          <w:p>
            <w:pPr>
              <w:pStyle w:val="TableParagraph"/>
              <w:spacing w:line="209" w:lineRule="exact"/>
              <w:ind w:right="156"/>
              <w:jc w:val="right"/>
              <w:rPr>
                <w:sz w:val="20"/>
              </w:rPr>
            </w:pPr>
            <w:r>
              <w:rPr>
                <w:spacing w:val="-4"/>
                <w:sz w:val="20"/>
              </w:rPr>
              <w:t>1570</w:t>
            </w:r>
          </w:p>
        </w:tc>
        <w:tc>
          <w:tcPr>
            <w:tcW w:w="2852" w:type="dxa"/>
          </w:tcPr>
          <w:p>
            <w:pPr>
              <w:pStyle w:val="TableParagraph"/>
              <w:spacing w:line="209" w:lineRule="exact"/>
              <w:ind w:left="158"/>
              <w:rPr>
                <w:sz w:val="20"/>
              </w:rPr>
            </w:pPr>
            <w:r>
              <w:rPr>
                <w:sz w:val="20"/>
              </w:rPr>
              <w:t>Standard</w:t>
            </w:r>
            <w:r>
              <w:rPr>
                <w:spacing w:val="-7"/>
                <w:sz w:val="20"/>
              </w:rPr>
              <w:t> </w:t>
            </w:r>
            <w:r>
              <w:rPr>
                <w:sz w:val="20"/>
              </w:rPr>
              <w:t>Estonian</w:t>
            </w:r>
            <w:r>
              <w:rPr>
                <w:spacing w:val="-9"/>
                <w:sz w:val="20"/>
              </w:rPr>
              <w:t> </w:t>
            </w:r>
            <w:r>
              <w:rPr>
                <w:spacing w:val="-4"/>
                <w:sz w:val="20"/>
              </w:rPr>
              <w:t>(ekk)</w:t>
            </w:r>
          </w:p>
        </w:tc>
      </w:tr>
      <w:tr>
        <w:trPr>
          <w:trHeight w:val="229" w:hRule="atLeast"/>
        </w:trPr>
        <w:tc>
          <w:tcPr>
            <w:tcW w:w="612" w:type="dxa"/>
          </w:tcPr>
          <w:p>
            <w:pPr>
              <w:pStyle w:val="TableParagraph"/>
              <w:spacing w:line="209" w:lineRule="exact"/>
              <w:ind w:left="50"/>
              <w:rPr>
                <w:sz w:val="20"/>
              </w:rPr>
            </w:pPr>
            <w:r>
              <w:rPr>
                <w:spacing w:val="-4"/>
                <w:sz w:val="20"/>
              </w:rPr>
              <w:t>3755</w:t>
            </w:r>
          </w:p>
        </w:tc>
        <w:tc>
          <w:tcPr>
            <w:tcW w:w="4360" w:type="dxa"/>
          </w:tcPr>
          <w:p>
            <w:pPr>
              <w:pStyle w:val="TableParagraph"/>
              <w:spacing w:line="209" w:lineRule="exact"/>
              <w:ind w:left="158"/>
              <w:rPr>
                <w:sz w:val="20"/>
              </w:rPr>
            </w:pPr>
            <w:r>
              <w:rPr>
                <w:sz w:val="20"/>
              </w:rPr>
              <w:t>Sula</w:t>
            </w:r>
            <w:r>
              <w:rPr>
                <w:spacing w:val="-6"/>
                <w:sz w:val="20"/>
              </w:rPr>
              <w:t> </w:t>
            </w:r>
            <w:r>
              <w:rPr>
                <w:spacing w:val="-2"/>
                <w:sz w:val="20"/>
              </w:rPr>
              <w:t>(szn)</w:t>
            </w:r>
          </w:p>
        </w:tc>
        <w:tc>
          <w:tcPr>
            <w:tcW w:w="969" w:type="dxa"/>
          </w:tcPr>
          <w:p>
            <w:pPr>
              <w:pStyle w:val="TableParagraph"/>
              <w:spacing w:line="209" w:lineRule="exact"/>
              <w:ind w:right="156"/>
              <w:jc w:val="right"/>
              <w:rPr>
                <w:sz w:val="20"/>
              </w:rPr>
            </w:pPr>
            <w:r>
              <w:rPr>
                <w:spacing w:val="-4"/>
                <w:sz w:val="20"/>
              </w:rPr>
              <w:t>1571</w:t>
            </w:r>
          </w:p>
        </w:tc>
        <w:tc>
          <w:tcPr>
            <w:tcW w:w="2852" w:type="dxa"/>
          </w:tcPr>
          <w:p>
            <w:pPr>
              <w:pStyle w:val="TableParagraph"/>
              <w:spacing w:line="209" w:lineRule="exact"/>
              <w:ind w:left="158"/>
              <w:rPr>
                <w:sz w:val="20"/>
              </w:rPr>
            </w:pPr>
            <w:r>
              <w:rPr>
                <w:sz w:val="20"/>
              </w:rPr>
              <w:t>Võro</w:t>
            </w:r>
            <w:r>
              <w:rPr>
                <w:spacing w:val="-3"/>
                <w:sz w:val="20"/>
              </w:rPr>
              <w:t> </w:t>
            </w:r>
            <w:r>
              <w:rPr>
                <w:spacing w:val="-2"/>
                <w:sz w:val="20"/>
              </w:rPr>
              <w:t>(vro)</w:t>
            </w:r>
          </w:p>
        </w:tc>
      </w:tr>
      <w:tr>
        <w:trPr>
          <w:trHeight w:val="230" w:hRule="atLeast"/>
        </w:trPr>
        <w:tc>
          <w:tcPr>
            <w:tcW w:w="612" w:type="dxa"/>
          </w:tcPr>
          <w:p>
            <w:pPr>
              <w:pStyle w:val="TableParagraph"/>
              <w:ind w:left="50"/>
              <w:rPr>
                <w:sz w:val="20"/>
              </w:rPr>
            </w:pPr>
            <w:r>
              <w:rPr>
                <w:spacing w:val="-4"/>
                <w:sz w:val="20"/>
              </w:rPr>
              <w:t>3760</w:t>
            </w:r>
          </w:p>
        </w:tc>
        <w:tc>
          <w:tcPr>
            <w:tcW w:w="4360" w:type="dxa"/>
          </w:tcPr>
          <w:p>
            <w:pPr>
              <w:pStyle w:val="TableParagraph"/>
              <w:ind w:left="158"/>
              <w:rPr>
                <w:sz w:val="20"/>
              </w:rPr>
            </w:pPr>
            <w:r>
              <w:rPr>
                <w:sz w:val="20"/>
              </w:rPr>
              <w:t>Boano</w:t>
            </w:r>
            <w:r>
              <w:rPr>
                <w:spacing w:val="-4"/>
                <w:sz w:val="20"/>
              </w:rPr>
              <w:t> </w:t>
            </w:r>
            <w:r>
              <w:rPr>
                <w:spacing w:val="-2"/>
                <w:sz w:val="20"/>
              </w:rPr>
              <w:t>(bpw)</w:t>
            </w:r>
          </w:p>
        </w:tc>
        <w:tc>
          <w:tcPr>
            <w:tcW w:w="969" w:type="dxa"/>
          </w:tcPr>
          <w:p>
            <w:pPr>
              <w:pStyle w:val="TableParagraph"/>
              <w:ind w:right="156"/>
              <w:jc w:val="right"/>
              <w:rPr>
                <w:sz w:val="20"/>
              </w:rPr>
            </w:pPr>
            <w:r>
              <w:rPr>
                <w:spacing w:val="-4"/>
                <w:sz w:val="20"/>
              </w:rPr>
              <w:t>1572</w:t>
            </w:r>
          </w:p>
        </w:tc>
        <w:tc>
          <w:tcPr>
            <w:tcW w:w="2852" w:type="dxa"/>
          </w:tcPr>
          <w:p>
            <w:pPr>
              <w:pStyle w:val="TableParagraph"/>
              <w:ind w:left="158"/>
              <w:rPr>
                <w:sz w:val="20"/>
              </w:rPr>
            </w:pPr>
            <w:r>
              <w:rPr>
                <w:sz w:val="20"/>
              </w:rPr>
              <w:t>Liv</w:t>
            </w:r>
            <w:r>
              <w:rPr>
                <w:spacing w:val="-4"/>
                <w:sz w:val="20"/>
              </w:rPr>
              <w:t> </w:t>
            </w:r>
            <w:r>
              <w:rPr>
                <w:spacing w:val="-2"/>
                <w:sz w:val="20"/>
              </w:rPr>
              <w:t>(liv)</w:t>
            </w:r>
          </w:p>
        </w:tc>
      </w:tr>
      <w:tr>
        <w:trPr>
          <w:trHeight w:val="230" w:hRule="atLeast"/>
        </w:trPr>
        <w:tc>
          <w:tcPr>
            <w:tcW w:w="612" w:type="dxa"/>
          </w:tcPr>
          <w:p>
            <w:pPr>
              <w:pStyle w:val="TableParagraph"/>
              <w:spacing w:line="240" w:lineRule="auto"/>
              <w:rPr>
                <w:sz w:val="16"/>
              </w:rPr>
            </w:pPr>
          </w:p>
        </w:tc>
        <w:tc>
          <w:tcPr>
            <w:tcW w:w="4360" w:type="dxa"/>
          </w:tcPr>
          <w:p>
            <w:pPr>
              <w:pStyle w:val="TableParagraph"/>
              <w:spacing w:line="240" w:lineRule="auto"/>
              <w:rPr>
                <w:sz w:val="16"/>
              </w:rPr>
            </w:pPr>
          </w:p>
        </w:tc>
        <w:tc>
          <w:tcPr>
            <w:tcW w:w="969" w:type="dxa"/>
          </w:tcPr>
          <w:p>
            <w:pPr>
              <w:pStyle w:val="TableParagraph"/>
              <w:ind w:right="156"/>
              <w:jc w:val="right"/>
              <w:rPr>
                <w:sz w:val="20"/>
              </w:rPr>
            </w:pPr>
            <w:r>
              <w:rPr>
                <w:spacing w:val="-4"/>
                <w:sz w:val="20"/>
              </w:rPr>
              <w:t>1573</w:t>
            </w:r>
          </w:p>
        </w:tc>
        <w:tc>
          <w:tcPr>
            <w:tcW w:w="2852" w:type="dxa"/>
          </w:tcPr>
          <w:p>
            <w:pPr>
              <w:pStyle w:val="TableParagraph"/>
              <w:ind w:left="158"/>
              <w:rPr>
                <w:sz w:val="20"/>
              </w:rPr>
            </w:pPr>
            <w:r>
              <w:rPr>
                <w:sz w:val="20"/>
              </w:rPr>
              <w:t>Votic</w:t>
            </w:r>
            <w:r>
              <w:rPr>
                <w:spacing w:val="-4"/>
                <w:sz w:val="20"/>
              </w:rPr>
              <w:t> </w:t>
            </w:r>
            <w:r>
              <w:rPr>
                <w:spacing w:val="-2"/>
                <w:sz w:val="20"/>
              </w:rPr>
              <w:t>(vot)</w:t>
            </w:r>
          </w:p>
        </w:tc>
      </w:tr>
      <w:tr>
        <w:trPr>
          <w:trHeight w:val="225" w:hRule="atLeast"/>
        </w:trPr>
        <w:tc>
          <w:tcPr>
            <w:tcW w:w="612" w:type="dxa"/>
          </w:tcPr>
          <w:p>
            <w:pPr>
              <w:pStyle w:val="TableParagraph"/>
              <w:spacing w:line="240" w:lineRule="auto"/>
              <w:rPr>
                <w:sz w:val="16"/>
              </w:rPr>
            </w:pPr>
          </w:p>
        </w:tc>
        <w:tc>
          <w:tcPr>
            <w:tcW w:w="4360" w:type="dxa"/>
          </w:tcPr>
          <w:p>
            <w:pPr>
              <w:pStyle w:val="TableParagraph"/>
              <w:spacing w:line="240" w:lineRule="auto"/>
              <w:rPr>
                <w:sz w:val="16"/>
              </w:rPr>
            </w:pPr>
          </w:p>
        </w:tc>
        <w:tc>
          <w:tcPr>
            <w:tcW w:w="969" w:type="dxa"/>
          </w:tcPr>
          <w:p>
            <w:pPr>
              <w:pStyle w:val="TableParagraph"/>
              <w:spacing w:line="205" w:lineRule="exact"/>
              <w:ind w:right="156"/>
              <w:jc w:val="right"/>
              <w:rPr>
                <w:sz w:val="20"/>
              </w:rPr>
            </w:pPr>
            <w:r>
              <w:rPr>
                <w:spacing w:val="-4"/>
                <w:sz w:val="20"/>
              </w:rPr>
              <w:t>1575</w:t>
            </w:r>
          </w:p>
        </w:tc>
        <w:tc>
          <w:tcPr>
            <w:tcW w:w="2852" w:type="dxa"/>
          </w:tcPr>
          <w:p>
            <w:pPr>
              <w:pStyle w:val="TableParagraph"/>
              <w:spacing w:line="205" w:lineRule="exact"/>
              <w:ind w:left="158"/>
              <w:rPr>
                <w:sz w:val="20"/>
              </w:rPr>
            </w:pPr>
            <w:r>
              <w:rPr>
                <w:sz w:val="20"/>
              </w:rPr>
              <w:t>Inari</w:t>
            </w:r>
            <w:r>
              <w:rPr>
                <w:spacing w:val="-7"/>
                <w:sz w:val="20"/>
              </w:rPr>
              <w:t> </w:t>
            </w:r>
            <w:r>
              <w:rPr>
                <w:sz w:val="20"/>
              </w:rPr>
              <w:t>Sami</w:t>
            </w:r>
            <w:r>
              <w:rPr>
                <w:spacing w:val="-6"/>
                <w:sz w:val="20"/>
              </w:rPr>
              <w:t> </w:t>
            </w:r>
            <w:r>
              <w:rPr>
                <w:spacing w:val="-2"/>
                <w:sz w:val="20"/>
              </w:rPr>
              <w:t>(smn)</w:t>
            </w:r>
          </w:p>
        </w:tc>
      </w:tr>
      <w:tr>
        <w:trPr>
          <w:trHeight w:val="237" w:hRule="atLeast"/>
        </w:trPr>
        <w:tc>
          <w:tcPr>
            <w:tcW w:w="4972" w:type="dxa"/>
            <w:gridSpan w:val="2"/>
          </w:tcPr>
          <w:p>
            <w:pPr>
              <w:pStyle w:val="TableParagraph"/>
              <w:spacing w:line="208" w:lineRule="exact"/>
              <w:ind w:left="50"/>
              <w:rPr>
                <w:b/>
                <w:sz w:val="20"/>
              </w:rPr>
            </w:pPr>
            <w:r>
              <w:rPr>
                <w:b/>
                <w:sz w:val="20"/>
              </w:rPr>
              <w:t>OTHER</w:t>
            </w:r>
            <w:r>
              <w:rPr>
                <w:b/>
                <w:spacing w:val="-8"/>
                <w:sz w:val="20"/>
              </w:rPr>
              <w:t> </w:t>
            </w:r>
            <w:r>
              <w:rPr>
                <w:b/>
                <w:sz w:val="20"/>
              </w:rPr>
              <w:t>AND</w:t>
            </w:r>
            <w:r>
              <w:rPr>
                <w:b/>
                <w:spacing w:val="-8"/>
                <w:sz w:val="20"/>
              </w:rPr>
              <w:t> </w:t>
            </w:r>
            <w:r>
              <w:rPr>
                <w:b/>
                <w:sz w:val="20"/>
              </w:rPr>
              <w:t>UNSPECIFIED</w:t>
            </w:r>
            <w:r>
              <w:rPr>
                <w:b/>
                <w:spacing w:val="-8"/>
                <w:sz w:val="20"/>
              </w:rPr>
              <w:t> </w:t>
            </w:r>
            <w:r>
              <w:rPr>
                <w:b/>
                <w:sz w:val="20"/>
              </w:rPr>
              <w:t>LANGUAGES</w:t>
            </w:r>
            <w:r>
              <w:rPr>
                <w:b/>
                <w:spacing w:val="-9"/>
                <w:sz w:val="20"/>
              </w:rPr>
              <w:t> </w:t>
            </w:r>
            <w:r>
              <w:rPr>
                <w:b/>
                <w:spacing w:val="-2"/>
                <w:sz w:val="20"/>
              </w:rPr>
              <w:t>(1000-</w:t>
            </w:r>
          </w:p>
        </w:tc>
        <w:tc>
          <w:tcPr>
            <w:tcW w:w="969" w:type="dxa"/>
          </w:tcPr>
          <w:p>
            <w:pPr>
              <w:pStyle w:val="TableParagraph"/>
              <w:spacing w:line="208" w:lineRule="exact"/>
              <w:ind w:right="156"/>
              <w:jc w:val="right"/>
              <w:rPr>
                <w:sz w:val="20"/>
              </w:rPr>
            </w:pPr>
            <w:r>
              <w:rPr>
                <w:spacing w:val="-4"/>
                <w:sz w:val="20"/>
              </w:rPr>
              <w:t>1576</w:t>
            </w:r>
          </w:p>
        </w:tc>
        <w:tc>
          <w:tcPr>
            <w:tcW w:w="2852" w:type="dxa"/>
          </w:tcPr>
          <w:p>
            <w:pPr>
              <w:pStyle w:val="TableParagraph"/>
              <w:spacing w:line="208" w:lineRule="exact"/>
              <w:ind w:left="158"/>
              <w:rPr>
                <w:sz w:val="20"/>
              </w:rPr>
            </w:pPr>
            <w:r>
              <w:rPr>
                <w:sz w:val="20"/>
              </w:rPr>
              <w:t>Skolt</w:t>
            </w:r>
            <w:r>
              <w:rPr>
                <w:spacing w:val="-6"/>
                <w:sz w:val="20"/>
              </w:rPr>
              <w:t> </w:t>
            </w:r>
            <w:r>
              <w:rPr>
                <w:sz w:val="20"/>
              </w:rPr>
              <w:t>Sami</w:t>
            </w:r>
            <w:r>
              <w:rPr>
                <w:spacing w:val="-6"/>
                <w:sz w:val="20"/>
              </w:rPr>
              <w:t> </w:t>
            </w:r>
            <w:r>
              <w:rPr>
                <w:spacing w:val="-2"/>
                <w:sz w:val="20"/>
              </w:rPr>
              <w:t>(sms)</w:t>
            </w:r>
          </w:p>
        </w:tc>
      </w:tr>
      <w:tr>
        <w:trPr>
          <w:trHeight w:val="229" w:hRule="atLeast"/>
        </w:trPr>
        <w:tc>
          <w:tcPr>
            <w:tcW w:w="4972" w:type="dxa"/>
            <w:gridSpan w:val="2"/>
          </w:tcPr>
          <w:p>
            <w:pPr>
              <w:pStyle w:val="TableParagraph"/>
              <w:spacing w:line="209" w:lineRule="exact"/>
              <w:ind w:left="50"/>
              <w:rPr>
                <w:b/>
                <w:sz w:val="20"/>
              </w:rPr>
            </w:pPr>
            <w:r>
              <w:rPr>
                <w:b/>
                <w:sz w:val="20"/>
              </w:rPr>
              <w:t>1052,</w:t>
            </w:r>
            <w:r>
              <w:rPr>
                <w:b/>
                <w:spacing w:val="-8"/>
                <w:sz w:val="20"/>
              </w:rPr>
              <w:t> </w:t>
            </w:r>
            <w:r>
              <w:rPr>
                <w:b/>
                <w:sz w:val="20"/>
              </w:rPr>
              <w:t>1057-1063,</w:t>
            </w:r>
            <w:r>
              <w:rPr>
                <w:b/>
                <w:spacing w:val="-7"/>
                <w:sz w:val="20"/>
              </w:rPr>
              <w:t> </w:t>
            </w:r>
            <w:r>
              <w:rPr>
                <w:b/>
                <w:sz w:val="20"/>
              </w:rPr>
              <w:t>1074-1109,</w:t>
            </w:r>
            <w:r>
              <w:rPr>
                <w:b/>
                <w:spacing w:val="-9"/>
                <w:sz w:val="20"/>
              </w:rPr>
              <w:t> </w:t>
            </w:r>
            <w:r>
              <w:rPr>
                <w:b/>
                <w:sz w:val="20"/>
              </w:rPr>
              <w:t>1565-1642,</w:t>
            </w:r>
            <w:r>
              <w:rPr>
                <w:b/>
                <w:spacing w:val="-8"/>
                <w:sz w:val="20"/>
              </w:rPr>
              <w:t> </w:t>
            </w:r>
            <w:r>
              <w:rPr>
                <w:b/>
                <w:sz w:val="20"/>
              </w:rPr>
              <w:t>3799-</w:t>
            </w:r>
            <w:r>
              <w:rPr>
                <w:b/>
                <w:spacing w:val="-4"/>
                <w:sz w:val="20"/>
              </w:rPr>
              <w:t>9499,</w:t>
            </w:r>
          </w:p>
        </w:tc>
        <w:tc>
          <w:tcPr>
            <w:tcW w:w="969" w:type="dxa"/>
          </w:tcPr>
          <w:p>
            <w:pPr>
              <w:pStyle w:val="TableParagraph"/>
              <w:spacing w:line="209" w:lineRule="exact"/>
              <w:ind w:right="156"/>
              <w:jc w:val="right"/>
              <w:rPr>
                <w:sz w:val="20"/>
              </w:rPr>
            </w:pPr>
            <w:r>
              <w:rPr>
                <w:spacing w:val="-4"/>
                <w:sz w:val="20"/>
              </w:rPr>
              <w:t>1577</w:t>
            </w:r>
          </w:p>
        </w:tc>
        <w:tc>
          <w:tcPr>
            <w:tcW w:w="2852" w:type="dxa"/>
          </w:tcPr>
          <w:p>
            <w:pPr>
              <w:pStyle w:val="TableParagraph"/>
              <w:spacing w:line="209" w:lineRule="exact"/>
              <w:ind w:left="158"/>
              <w:rPr>
                <w:sz w:val="20"/>
              </w:rPr>
            </w:pPr>
            <w:r>
              <w:rPr>
                <w:sz w:val="20"/>
              </w:rPr>
              <w:t>Ume</w:t>
            </w:r>
            <w:r>
              <w:rPr>
                <w:spacing w:val="-6"/>
                <w:sz w:val="20"/>
              </w:rPr>
              <w:t> </w:t>
            </w:r>
            <w:r>
              <w:rPr>
                <w:sz w:val="20"/>
              </w:rPr>
              <w:t>Sami</w:t>
            </w:r>
            <w:r>
              <w:rPr>
                <w:spacing w:val="-5"/>
                <w:sz w:val="20"/>
              </w:rPr>
              <w:t> </w:t>
            </w:r>
            <w:r>
              <w:rPr>
                <w:spacing w:val="-2"/>
                <w:sz w:val="20"/>
              </w:rPr>
              <w:t>(sju)</w:t>
            </w:r>
          </w:p>
        </w:tc>
      </w:tr>
      <w:tr>
        <w:trPr>
          <w:trHeight w:val="229" w:hRule="atLeast"/>
        </w:trPr>
        <w:tc>
          <w:tcPr>
            <w:tcW w:w="4972" w:type="dxa"/>
            <w:gridSpan w:val="2"/>
          </w:tcPr>
          <w:p>
            <w:pPr>
              <w:pStyle w:val="TableParagraph"/>
              <w:spacing w:line="209" w:lineRule="exact"/>
              <w:ind w:left="50"/>
              <w:rPr>
                <w:b/>
                <w:sz w:val="20"/>
              </w:rPr>
            </w:pPr>
            <w:r>
              <w:rPr>
                <w:b/>
                <w:spacing w:val="-2"/>
                <w:sz w:val="20"/>
              </w:rPr>
              <w:t>9600-9999)</w:t>
            </w:r>
          </w:p>
        </w:tc>
        <w:tc>
          <w:tcPr>
            <w:tcW w:w="969" w:type="dxa"/>
          </w:tcPr>
          <w:p>
            <w:pPr>
              <w:pStyle w:val="TableParagraph"/>
              <w:spacing w:line="209" w:lineRule="exact"/>
              <w:ind w:right="156"/>
              <w:jc w:val="right"/>
              <w:rPr>
                <w:sz w:val="20"/>
              </w:rPr>
            </w:pPr>
            <w:r>
              <w:rPr>
                <w:spacing w:val="-4"/>
                <w:sz w:val="20"/>
              </w:rPr>
              <w:t>1578</w:t>
            </w:r>
          </w:p>
        </w:tc>
        <w:tc>
          <w:tcPr>
            <w:tcW w:w="2852" w:type="dxa"/>
          </w:tcPr>
          <w:p>
            <w:pPr>
              <w:pStyle w:val="TableParagraph"/>
              <w:spacing w:line="209" w:lineRule="exact"/>
              <w:ind w:left="158"/>
              <w:rPr>
                <w:sz w:val="20"/>
              </w:rPr>
            </w:pPr>
            <w:r>
              <w:rPr>
                <w:sz w:val="20"/>
              </w:rPr>
              <w:t>Lule</w:t>
            </w:r>
            <w:r>
              <w:rPr>
                <w:spacing w:val="-5"/>
                <w:sz w:val="20"/>
              </w:rPr>
              <w:t> </w:t>
            </w:r>
            <w:r>
              <w:rPr>
                <w:sz w:val="20"/>
              </w:rPr>
              <w:t>Sami</w:t>
            </w:r>
            <w:r>
              <w:rPr>
                <w:spacing w:val="-6"/>
                <w:sz w:val="20"/>
              </w:rPr>
              <w:t> </w:t>
            </w:r>
            <w:r>
              <w:rPr>
                <w:spacing w:val="-2"/>
                <w:sz w:val="20"/>
              </w:rPr>
              <w:t>(smj)</w:t>
            </w:r>
          </w:p>
        </w:tc>
      </w:tr>
      <w:tr>
        <w:trPr>
          <w:trHeight w:val="227" w:hRule="atLeast"/>
        </w:trPr>
        <w:tc>
          <w:tcPr>
            <w:tcW w:w="4972" w:type="dxa"/>
            <w:gridSpan w:val="2"/>
          </w:tcPr>
          <w:p>
            <w:pPr>
              <w:pStyle w:val="TableParagraph"/>
              <w:spacing w:line="240" w:lineRule="auto"/>
              <w:rPr>
                <w:sz w:val="16"/>
              </w:rPr>
            </w:pPr>
          </w:p>
        </w:tc>
        <w:tc>
          <w:tcPr>
            <w:tcW w:w="969" w:type="dxa"/>
          </w:tcPr>
          <w:p>
            <w:pPr>
              <w:pStyle w:val="TableParagraph"/>
              <w:spacing w:line="208" w:lineRule="exact"/>
              <w:ind w:right="156"/>
              <w:jc w:val="right"/>
              <w:rPr>
                <w:sz w:val="20"/>
              </w:rPr>
            </w:pPr>
            <w:r>
              <w:rPr>
                <w:spacing w:val="-4"/>
                <w:sz w:val="20"/>
              </w:rPr>
              <w:t>1579</w:t>
            </w:r>
          </w:p>
        </w:tc>
        <w:tc>
          <w:tcPr>
            <w:tcW w:w="2852" w:type="dxa"/>
          </w:tcPr>
          <w:p>
            <w:pPr>
              <w:pStyle w:val="TableParagraph"/>
              <w:spacing w:line="208" w:lineRule="exact"/>
              <w:ind w:left="158"/>
              <w:rPr>
                <w:sz w:val="20"/>
              </w:rPr>
            </w:pPr>
            <w:r>
              <w:rPr>
                <w:sz w:val="20"/>
              </w:rPr>
              <w:t>Northern</w:t>
            </w:r>
            <w:r>
              <w:rPr>
                <w:spacing w:val="-7"/>
                <w:sz w:val="20"/>
              </w:rPr>
              <w:t> </w:t>
            </w:r>
            <w:r>
              <w:rPr>
                <w:sz w:val="20"/>
              </w:rPr>
              <w:t>Sami</w:t>
            </w:r>
            <w:r>
              <w:rPr>
                <w:spacing w:val="-7"/>
                <w:sz w:val="20"/>
              </w:rPr>
              <w:t> </w:t>
            </w:r>
            <w:r>
              <w:rPr>
                <w:spacing w:val="-2"/>
                <w:sz w:val="20"/>
              </w:rPr>
              <w:t>(sme)</w:t>
            </w:r>
          </w:p>
        </w:tc>
      </w:tr>
      <w:tr>
        <w:trPr>
          <w:trHeight w:val="230" w:hRule="atLeast"/>
        </w:trPr>
        <w:tc>
          <w:tcPr>
            <w:tcW w:w="4972" w:type="dxa"/>
            <w:gridSpan w:val="2"/>
          </w:tcPr>
          <w:p>
            <w:pPr>
              <w:pStyle w:val="TableParagraph"/>
              <w:spacing w:line="211" w:lineRule="exact"/>
              <w:ind w:left="50"/>
              <w:rPr>
                <w:i/>
                <w:sz w:val="20"/>
              </w:rPr>
            </w:pPr>
            <w:r>
              <w:rPr>
                <w:i/>
                <w:sz w:val="20"/>
                <w:u w:val="single"/>
              </w:rPr>
              <w:t>Creole</w:t>
            </w:r>
            <w:r>
              <w:rPr>
                <w:i/>
                <w:spacing w:val="-7"/>
                <w:sz w:val="20"/>
                <w:u w:val="single"/>
              </w:rPr>
              <w:t> </w:t>
            </w:r>
            <w:r>
              <w:rPr>
                <w:i/>
                <w:sz w:val="20"/>
                <w:u w:val="single"/>
              </w:rPr>
              <w:t>languages</w:t>
            </w:r>
            <w:r>
              <w:rPr>
                <w:i/>
                <w:spacing w:val="-6"/>
                <w:sz w:val="20"/>
              </w:rPr>
              <w:t> </w:t>
            </w:r>
            <w:r>
              <w:rPr>
                <w:i/>
                <w:sz w:val="20"/>
              </w:rPr>
              <w:t>(1000-1052,</w:t>
            </w:r>
            <w:r>
              <w:rPr>
                <w:i/>
                <w:spacing w:val="-9"/>
                <w:sz w:val="20"/>
              </w:rPr>
              <w:t> </w:t>
            </w:r>
            <w:r>
              <w:rPr>
                <w:i/>
                <w:sz w:val="20"/>
              </w:rPr>
              <w:t>1057-1063,</w:t>
            </w:r>
            <w:r>
              <w:rPr>
                <w:i/>
                <w:spacing w:val="-8"/>
                <w:sz w:val="20"/>
              </w:rPr>
              <w:t> </w:t>
            </w:r>
            <w:r>
              <w:rPr>
                <w:i/>
                <w:sz w:val="20"/>
              </w:rPr>
              <w:t>1074-</w:t>
            </w:r>
            <w:r>
              <w:rPr>
                <w:i/>
                <w:spacing w:val="-2"/>
                <w:sz w:val="20"/>
              </w:rPr>
              <w:t>1109)</w:t>
            </w:r>
          </w:p>
        </w:tc>
        <w:tc>
          <w:tcPr>
            <w:tcW w:w="969" w:type="dxa"/>
          </w:tcPr>
          <w:p>
            <w:pPr>
              <w:pStyle w:val="TableParagraph"/>
              <w:spacing w:line="211" w:lineRule="exact"/>
              <w:ind w:right="156"/>
              <w:jc w:val="right"/>
              <w:rPr>
                <w:sz w:val="20"/>
              </w:rPr>
            </w:pPr>
            <w:r>
              <w:rPr>
                <w:spacing w:val="-4"/>
                <w:sz w:val="20"/>
              </w:rPr>
              <w:t>1580</w:t>
            </w:r>
          </w:p>
        </w:tc>
        <w:tc>
          <w:tcPr>
            <w:tcW w:w="2852" w:type="dxa"/>
          </w:tcPr>
          <w:p>
            <w:pPr>
              <w:pStyle w:val="TableParagraph"/>
              <w:spacing w:line="211" w:lineRule="exact"/>
              <w:ind w:left="158"/>
              <w:rPr>
                <w:sz w:val="20"/>
              </w:rPr>
            </w:pPr>
            <w:r>
              <w:rPr>
                <w:sz w:val="20"/>
              </w:rPr>
              <w:t>Pite</w:t>
            </w:r>
            <w:r>
              <w:rPr>
                <w:spacing w:val="-5"/>
                <w:sz w:val="20"/>
              </w:rPr>
              <w:t> </w:t>
            </w:r>
            <w:r>
              <w:rPr>
                <w:sz w:val="20"/>
              </w:rPr>
              <w:t>Sami</w:t>
            </w:r>
            <w:r>
              <w:rPr>
                <w:spacing w:val="-5"/>
                <w:sz w:val="20"/>
              </w:rPr>
              <w:t> </w:t>
            </w:r>
            <w:r>
              <w:rPr>
                <w:spacing w:val="-2"/>
                <w:sz w:val="20"/>
              </w:rPr>
              <w:t>(sje)</w:t>
            </w:r>
          </w:p>
        </w:tc>
      </w:tr>
      <w:tr>
        <w:trPr>
          <w:trHeight w:val="230" w:hRule="atLeast"/>
        </w:trPr>
        <w:tc>
          <w:tcPr>
            <w:tcW w:w="4972" w:type="dxa"/>
            <w:gridSpan w:val="2"/>
          </w:tcPr>
          <w:p>
            <w:pPr>
              <w:pStyle w:val="TableParagraph"/>
              <w:spacing w:line="240" w:lineRule="auto"/>
              <w:rPr>
                <w:sz w:val="16"/>
              </w:rPr>
            </w:pPr>
          </w:p>
        </w:tc>
        <w:tc>
          <w:tcPr>
            <w:tcW w:w="969" w:type="dxa"/>
          </w:tcPr>
          <w:p>
            <w:pPr>
              <w:pStyle w:val="TableParagraph"/>
              <w:spacing w:line="211" w:lineRule="exact"/>
              <w:ind w:right="156"/>
              <w:jc w:val="right"/>
              <w:rPr>
                <w:sz w:val="20"/>
              </w:rPr>
            </w:pPr>
            <w:r>
              <w:rPr>
                <w:spacing w:val="-4"/>
                <w:sz w:val="20"/>
              </w:rPr>
              <w:t>1582</w:t>
            </w:r>
          </w:p>
        </w:tc>
        <w:tc>
          <w:tcPr>
            <w:tcW w:w="2852" w:type="dxa"/>
          </w:tcPr>
          <w:p>
            <w:pPr>
              <w:pStyle w:val="TableParagraph"/>
              <w:spacing w:line="211" w:lineRule="exact"/>
              <w:ind w:left="158"/>
              <w:rPr>
                <w:sz w:val="20"/>
              </w:rPr>
            </w:pPr>
            <w:r>
              <w:rPr>
                <w:sz w:val="20"/>
              </w:rPr>
              <w:t>Hungarian</w:t>
            </w:r>
            <w:r>
              <w:rPr>
                <w:spacing w:val="-10"/>
                <w:sz w:val="20"/>
              </w:rPr>
              <w:t> </w:t>
            </w:r>
            <w:r>
              <w:rPr>
                <w:spacing w:val="-2"/>
                <w:sz w:val="20"/>
              </w:rPr>
              <w:t>(hun)</w:t>
            </w:r>
          </w:p>
        </w:tc>
      </w:tr>
      <w:tr>
        <w:trPr>
          <w:trHeight w:val="230" w:hRule="atLeast"/>
        </w:trPr>
        <w:tc>
          <w:tcPr>
            <w:tcW w:w="4972" w:type="dxa"/>
            <w:gridSpan w:val="2"/>
          </w:tcPr>
          <w:p>
            <w:pPr>
              <w:pStyle w:val="TableParagraph"/>
              <w:ind w:left="50"/>
              <w:rPr>
                <w:i/>
                <w:sz w:val="20"/>
              </w:rPr>
            </w:pPr>
            <w:r>
              <w:rPr>
                <w:i/>
                <w:sz w:val="20"/>
              </w:rPr>
              <w:t>English-based</w:t>
            </w:r>
            <w:r>
              <w:rPr>
                <w:i/>
                <w:spacing w:val="-6"/>
                <w:sz w:val="20"/>
              </w:rPr>
              <w:t> </w:t>
            </w:r>
            <w:r>
              <w:rPr>
                <w:i/>
                <w:sz w:val="20"/>
              </w:rPr>
              <w:t>Creole</w:t>
            </w:r>
            <w:r>
              <w:rPr>
                <w:i/>
                <w:spacing w:val="-7"/>
                <w:sz w:val="20"/>
              </w:rPr>
              <w:t> </w:t>
            </w:r>
            <w:r>
              <w:rPr>
                <w:i/>
                <w:sz w:val="20"/>
              </w:rPr>
              <w:t>languages</w:t>
            </w:r>
            <w:r>
              <w:rPr>
                <w:i/>
                <w:spacing w:val="-8"/>
                <w:sz w:val="20"/>
              </w:rPr>
              <w:t> </w:t>
            </w:r>
            <w:r>
              <w:rPr>
                <w:i/>
                <w:sz w:val="20"/>
              </w:rPr>
              <w:t>(1000-1032,</w:t>
            </w:r>
            <w:r>
              <w:rPr>
                <w:i/>
                <w:spacing w:val="-7"/>
                <w:sz w:val="20"/>
              </w:rPr>
              <w:t> </w:t>
            </w:r>
            <w:r>
              <w:rPr>
                <w:i/>
                <w:spacing w:val="-4"/>
                <w:sz w:val="20"/>
              </w:rPr>
              <w:t>1043-</w:t>
            </w:r>
          </w:p>
        </w:tc>
        <w:tc>
          <w:tcPr>
            <w:tcW w:w="969" w:type="dxa"/>
          </w:tcPr>
          <w:p>
            <w:pPr>
              <w:pStyle w:val="TableParagraph"/>
              <w:ind w:right="156"/>
              <w:jc w:val="right"/>
              <w:rPr>
                <w:sz w:val="20"/>
              </w:rPr>
            </w:pPr>
            <w:r>
              <w:rPr>
                <w:spacing w:val="-4"/>
                <w:sz w:val="20"/>
              </w:rPr>
              <w:t>1584</w:t>
            </w:r>
          </w:p>
        </w:tc>
        <w:tc>
          <w:tcPr>
            <w:tcW w:w="2852" w:type="dxa"/>
          </w:tcPr>
          <w:p>
            <w:pPr>
              <w:pStyle w:val="TableParagraph"/>
              <w:ind w:left="158"/>
              <w:rPr>
                <w:sz w:val="20"/>
              </w:rPr>
            </w:pPr>
            <w:r>
              <w:rPr>
                <w:sz w:val="20"/>
              </w:rPr>
              <w:t>Mari</w:t>
            </w:r>
            <w:r>
              <w:rPr>
                <w:spacing w:val="-5"/>
                <w:sz w:val="20"/>
              </w:rPr>
              <w:t> </w:t>
            </w:r>
            <w:r>
              <w:rPr>
                <w:spacing w:val="-2"/>
                <w:sz w:val="20"/>
              </w:rPr>
              <w:t>(mhg)</w:t>
            </w:r>
          </w:p>
        </w:tc>
      </w:tr>
      <w:tr>
        <w:trPr>
          <w:trHeight w:val="225" w:hRule="atLeast"/>
        </w:trPr>
        <w:tc>
          <w:tcPr>
            <w:tcW w:w="4972" w:type="dxa"/>
            <w:gridSpan w:val="2"/>
          </w:tcPr>
          <w:p>
            <w:pPr>
              <w:pStyle w:val="TableParagraph"/>
              <w:spacing w:line="205" w:lineRule="exact"/>
              <w:ind w:left="50"/>
              <w:rPr>
                <w:i/>
                <w:sz w:val="20"/>
              </w:rPr>
            </w:pPr>
            <w:r>
              <w:rPr/>
              <mc:AlternateContent>
                <mc:Choice Requires="wps">
                  <w:drawing>
                    <wp:anchor distT="0" distB="0" distL="0" distR="0" allowOverlap="1" layoutInCell="1" locked="0" behindDoc="1" simplePos="0" relativeHeight="478383104">
                      <wp:simplePos x="0" y="0"/>
                      <wp:positionH relativeFrom="column">
                        <wp:posOffset>288086</wp:posOffset>
                      </wp:positionH>
                      <wp:positionV relativeFrom="paragraph">
                        <wp:posOffset>129546</wp:posOffset>
                      </wp:positionV>
                      <wp:extent cx="40005" cy="6350"/>
                      <wp:effectExtent l="0" t="0" r="0" b="0"/>
                      <wp:wrapNone/>
                      <wp:docPr id="194" name="Group 194"/>
                      <wp:cNvGraphicFramePr>
                        <a:graphicFrameLocks/>
                      </wp:cNvGraphicFramePr>
                      <a:graphic>
                        <a:graphicData uri="http://schemas.microsoft.com/office/word/2010/wordprocessingGroup">
                          <wpg:wgp>
                            <wpg:cNvPr id="194" name="Group 194"/>
                            <wpg:cNvGrpSpPr/>
                            <wpg:grpSpPr>
                              <a:xfrm>
                                <a:off x="0" y="0"/>
                                <a:ext cx="40005" cy="6350"/>
                                <a:chExt cx="40005" cy="6350"/>
                              </a:xfrm>
                            </wpg:grpSpPr>
                            <wps:wsp>
                              <wps:cNvPr id="195" name="Graphic 195"/>
                              <wps:cNvSpPr/>
                              <wps:spPr>
                                <a:xfrm>
                                  <a:off x="0" y="0"/>
                                  <a:ext cx="40005" cy="6350"/>
                                </a:xfrm>
                                <a:custGeom>
                                  <a:avLst/>
                                  <a:gdLst/>
                                  <a:ahLst/>
                                  <a:cxnLst/>
                                  <a:rect l="l" t="t" r="r" b="b"/>
                                  <a:pathLst>
                                    <a:path w="40005" h="6350">
                                      <a:moveTo>
                                        <a:pt x="39624" y="0"/>
                                      </a:moveTo>
                                      <a:lnTo>
                                        <a:pt x="0" y="0"/>
                                      </a:lnTo>
                                      <a:lnTo>
                                        <a:pt x="0" y="6095"/>
                                      </a:lnTo>
                                      <a:lnTo>
                                        <a:pt x="39624" y="6095"/>
                                      </a:lnTo>
                                      <a:lnTo>
                                        <a:pt x="396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2.684pt;margin-top:10.200547pt;width:3.15pt;height:.5pt;mso-position-horizontal-relative:column;mso-position-vertical-relative:paragraph;z-index:-24933376" id="docshapegroup149" coordorigin="454,204" coordsize="63,10">
                      <v:rect style="position:absolute;left:453;top:204;width:63;height:10" id="docshape150" filled="true" fillcolor="#000000" stroked="false">
                        <v:fill type="solid"/>
                      </v:rect>
                      <w10:wrap type="none"/>
                    </v:group>
                  </w:pict>
                </mc:Fallback>
              </mc:AlternateContent>
            </w:r>
            <w:r>
              <w:rPr>
                <w:i/>
                <w:spacing w:val="-2"/>
                <w:sz w:val="20"/>
              </w:rPr>
              <w:t>1050)</w:t>
            </w:r>
          </w:p>
        </w:tc>
        <w:tc>
          <w:tcPr>
            <w:tcW w:w="969" w:type="dxa"/>
          </w:tcPr>
          <w:p>
            <w:pPr>
              <w:pStyle w:val="TableParagraph"/>
              <w:spacing w:line="205" w:lineRule="exact"/>
              <w:ind w:right="156"/>
              <w:jc w:val="right"/>
              <w:rPr>
                <w:sz w:val="20"/>
              </w:rPr>
            </w:pPr>
            <w:r>
              <w:rPr>
                <w:spacing w:val="-4"/>
                <w:sz w:val="20"/>
              </w:rPr>
              <w:t>1585</w:t>
            </w:r>
          </w:p>
        </w:tc>
        <w:tc>
          <w:tcPr>
            <w:tcW w:w="2852" w:type="dxa"/>
          </w:tcPr>
          <w:p>
            <w:pPr>
              <w:pStyle w:val="TableParagraph"/>
              <w:spacing w:line="205" w:lineRule="exact"/>
              <w:ind w:left="158"/>
              <w:rPr>
                <w:sz w:val="20"/>
              </w:rPr>
            </w:pPr>
            <w:r>
              <w:rPr>
                <w:sz w:val="20"/>
              </w:rPr>
              <w:t>Eastern</w:t>
            </w:r>
            <w:r>
              <w:rPr>
                <w:spacing w:val="-6"/>
                <w:sz w:val="20"/>
              </w:rPr>
              <w:t> </w:t>
            </w:r>
            <w:r>
              <w:rPr>
                <w:sz w:val="20"/>
              </w:rPr>
              <w:t>Mari</w:t>
            </w:r>
            <w:r>
              <w:rPr>
                <w:spacing w:val="-6"/>
                <w:sz w:val="20"/>
              </w:rPr>
              <w:t> </w:t>
            </w:r>
            <w:r>
              <w:rPr>
                <w:spacing w:val="-2"/>
                <w:sz w:val="20"/>
              </w:rPr>
              <w:t>(mhr)</w:t>
            </w:r>
          </w:p>
        </w:tc>
      </w:tr>
      <w:tr>
        <w:trPr>
          <w:trHeight w:val="232" w:hRule="atLeast"/>
        </w:trPr>
        <w:tc>
          <w:tcPr>
            <w:tcW w:w="612" w:type="dxa"/>
          </w:tcPr>
          <w:p>
            <w:pPr>
              <w:pStyle w:val="TableParagraph"/>
              <w:spacing w:line="213" w:lineRule="exact"/>
              <w:ind w:left="50"/>
              <w:rPr>
                <w:sz w:val="20"/>
              </w:rPr>
            </w:pPr>
            <w:r>
              <w:rPr>
                <w:spacing w:val="-4"/>
                <w:sz w:val="20"/>
              </w:rPr>
              <w:t>1000</w:t>
            </w:r>
          </w:p>
        </w:tc>
        <w:tc>
          <w:tcPr>
            <w:tcW w:w="4360" w:type="dxa"/>
          </w:tcPr>
          <w:p>
            <w:pPr>
              <w:pStyle w:val="TableParagraph"/>
              <w:spacing w:line="213" w:lineRule="exact"/>
              <w:ind w:left="158"/>
              <w:rPr>
                <w:sz w:val="20"/>
              </w:rPr>
            </w:pPr>
            <w:r>
              <w:rPr>
                <w:sz w:val="20"/>
              </w:rPr>
              <w:t>Jamaican</w:t>
            </w:r>
            <w:r>
              <w:rPr>
                <w:spacing w:val="-7"/>
                <w:sz w:val="20"/>
              </w:rPr>
              <w:t> </w:t>
            </w:r>
            <w:r>
              <w:rPr>
                <w:sz w:val="20"/>
              </w:rPr>
              <w:t>Creole</w:t>
            </w:r>
            <w:r>
              <w:rPr>
                <w:spacing w:val="-6"/>
                <w:sz w:val="20"/>
              </w:rPr>
              <w:t> </w:t>
            </w:r>
            <w:r>
              <w:rPr>
                <w:sz w:val="20"/>
              </w:rPr>
              <w:t>English</w:t>
            </w:r>
            <w:r>
              <w:rPr>
                <w:spacing w:val="-7"/>
                <w:sz w:val="20"/>
              </w:rPr>
              <w:t> </w:t>
            </w:r>
            <w:r>
              <w:rPr>
                <w:spacing w:val="-4"/>
                <w:sz w:val="20"/>
              </w:rPr>
              <w:t>(jam)</w:t>
            </w:r>
          </w:p>
        </w:tc>
        <w:tc>
          <w:tcPr>
            <w:tcW w:w="969" w:type="dxa"/>
          </w:tcPr>
          <w:p>
            <w:pPr>
              <w:pStyle w:val="TableParagraph"/>
              <w:spacing w:line="213" w:lineRule="exact"/>
              <w:ind w:right="156"/>
              <w:jc w:val="right"/>
              <w:rPr>
                <w:sz w:val="20"/>
              </w:rPr>
            </w:pPr>
            <w:r>
              <w:rPr>
                <w:spacing w:val="-4"/>
                <w:sz w:val="20"/>
              </w:rPr>
              <w:t>1587</w:t>
            </w:r>
          </w:p>
        </w:tc>
        <w:tc>
          <w:tcPr>
            <w:tcW w:w="2852" w:type="dxa"/>
          </w:tcPr>
          <w:p>
            <w:pPr>
              <w:pStyle w:val="TableParagraph"/>
              <w:spacing w:line="213" w:lineRule="exact"/>
              <w:ind w:left="158"/>
              <w:rPr>
                <w:sz w:val="20"/>
              </w:rPr>
            </w:pPr>
            <w:r>
              <w:rPr>
                <w:sz w:val="20"/>
              </w:rPr>
              <w:t>Erzya</w:t>
            </w:r>
            <w:r>
              <w:rPr>
                <w:spacing w:val="-9"/>
                <w:sz w:val="20"/>
              </w:rPr>
              <w:t> </w:t>
            </w:r>
            <w:r>
              <w:rPr>
                <w:spacing w:val="-2"/>
                <w:sz w:val="20"/>
              </w:rPr>
              <w:t>(myv)</w:t>
            </w:r>
          </w:p>
        </w:tc>
      </w:tr>
      <w:tr>
        <w:trPr>
          <w:trHeight w:val="230" w:hRule="atLeast"/>
        </w:trPr>
        <w:tc>
          <w:tcPr>
            <w:tcW w:w="612" w:type="dxa"/>
          </w:tcPr>
          <w:p>
            <w:pPr>
              <w:pStyle w:val="TableParagraph"/>
              <w:ind w:left="50"/>
              <w:rPr>
                <w:sz w:val="20"/>
              </w:rPr>
            </w:pPr>
            <w:r>
              <w:rPr>
                <w:spacing w:val="-4"/>
                <w:sz w:val="20"/>
              </w:rPr>
              <w:t>1001</w:t>
            </w:r>
          </w:p>
        </w:tc>
        <w:tc>
          <w:tcPr>
            <w:tcW w:w="4360" w:type="dxa"/>
          </w:tcPr>
          <w:p>
            <w:pPr>
              <w:pStyle w:val="TableParagraph"/>
              <w:ind w:left="158"/>
              <w:rPr>
                <w:sz w:val="20"/>
              </w:rPr>
            </w:pPr>
            <w:r>
              <w:rPr>
                <w:sz w:val="20"/>
              </w:rPr>
              <w:t>Bajan</w:t>
            </w:r>
            <w:r>
              <w:rPr>
                <w:spacing w:val="-3"/>
                <w:sz w:val="20"/>
              </w:rPr>
              <w:t> </w:t>
            </w:r>
            <w:r>
              <w:rPr>
                <w:spacing w:val="-2"/>
                <w:sz w:val="20"/>
              </w:rPr>
              <w:t>(bjs)</w:t>
            </w:r>
          </w:p>
        </w:tc>
        <w:tc>
          <w:tcPr>
            <w:tcW w:w="969" w:type="dxa"/>
          </w:tcPr>
          <w:p>
            <w:pPr>
              <w:pStyle w:val="TableParagraph"/>
              <w:ind w:right="156"/>
              <w:jc w:val="right"/>
              <w:rPr>
                <w:sz w:val="20"/>
              </w:rPr>
            </w:pPr>
            <w:r>
              <w:rPr>
                <w:spacing w:val="-4"/>
                <w:sz w:val="20"/>
              </w:rPr>
              <w:t>1588</w:t>
            </w:r>
          </w:p>
        </w:tc>
        <w:tc>
          <w:tcPr>
            <w:tcW w:w="2852" w:type="dxa"/>
          </w:tcPr>
          <w:p>
            <w:pPr>
              <w:pStyle w:val="TableParagraph"/>
              <w:ind w:left="158"/>
              <w:rPr>
                <w:sz w:val="20"/>
              </w:rPr>
            </w:pPr>
            <w:r>
              <w:rPr>
                <w:sz w:val="20"/>
              </w:rPr>
              <w:t>Moksha</w:t>
            </w:r>
            <w:r>
              <w:rPr>
                <w:spacing w:val="-9"/>
                <w:sz w:val="20"/>
              </w:rPr>
              <w:t> </w:t>
            </w:r>
            <w:r>
              <w:rPr>
                <w:spacing w:val="-2"/>
                <w:sz w:val="20"/>
              </w:rPr>
              <w:t>(mdf)</w:t>
            </w:r>
          </w:p>
        </w:tc>
      </w:tr>
      <w:tr>
        <w:trPr>
          <w:trHeight w:val="230" w:hRule="atLeast"/>
        </w:trPr>
        <w:tc>
          <w:tcPr>
            <w:tcW w:w="612" w:type="dxa"/>
          </w:tcPr>
          <w:p>
            <w:pPr>
              <w:pStyle w:val="TableParagraph"/>
              <w:ind w:left="50"/>
              <w:rPr>
                <w:sz w:val="20"/>
              </w:rPr>
            </w:pPr>
            <w:r>
              <w:rPr>
                <w:spacing w:val="-4"/>
                <w:sz w:val="20"/>
              </w:rPr>
              <w:t>1003</w:t>
            </w:r>
          </w:p>
        </w:tc>
        <w:tc>
          <w:tcPr>
            <w:tcW w:w="4360" w:type="dxa"/>
          </w:tcPr>
          <w:p>
            <w:pPr>
              <w:pStyle w:val="TableParagraph"/>
              <w:ind w:left="158"/>
              <w:rPr>
                <w:sz w:val="20"/>
              </w:rPr>
            </w:pPr>
            <w:r>
              <w:rPr>
                <w:sz w:val="20"/>
              </w:rPr>
              <w:t>Antigua</w:t>
            </w:r>
            <w:r>
              <w:rPr>
                <w:spacing w:val="-6"/>
                <w:sz w:val="20"/>
              </w:rPr>
              <w:t> </w:t>
            </w:r>
            <w:r>
              <w:rPr>
                <w:sz w:val="20"/>
              </w:rPr>
              <w:t>and</w:t>
            </w:r>
            <w:r>
              <w:rPr>
                <w:spacing w:val="-5"/>
                <w:sz w:val="20"/>
              </w:rPr>
              <w:t> </w:t>
            </w:r>
            <w:r>
              <w:rPr>
                <w:sz w:val="20"/>
              </w:rPr>
              <w:t>Barbuda</w:t>
            </w:r>
            <w:r>
              <w:rPr>
                <w:spacing w:val="-6"/>
                <w:sz w:val="20"/>
              </w:rPr>
              <w:t> </w:t>
            </w:r>
            <w:r>
              <w:rPr>
                <w:sz w:val="20"/>
              </w:rPr>
              <w:t>Creole</w:t>
            </w:r>
            <w:r>
              <w:rPr>
                <w:spacing w:val="-5"/>
                <w:sz w:val="20"/>
              </w:rPr>
              <w:t> </w:t>
            </w:r>
            <w:r>
              <w:rPr>
                <w:sz w:val="20"/>
              </w:rPr>
              <w:t>English</w:t>
            </w:r>
            <w:r>
              <w:rPr>
                <w:spacing w:val="-7"/>
                <w:sz w:val="20"/>
              </w:rPr>
              <w:t> </w:t>
            </w:r>
            <w:r>
              <w:rPr>
                <w:spacing w:val="-2"/>
                <w:sz w:val="20"/>
              </w:rPr>
              <w:t>(aig)</w:t>
            </w:r>
          </w:p>
        </w:tc>
        <w:tc>
          <w:tcPr>
            <w:tcW w:w="969" w:type="dxa"/>
          </w:tcPr>
          <w:p>
            <w:pPr>
              <w:pStyle w:val="TableParagraph"/>
              <w:ind w:right="156"/>
              <w:jc w:val="right"/>
              <w:rPr>
                <w:sz w:val="20"/>
              </w:rPr>
            </w:pPr>
            <w:r>
              <w:rPr>
                <w:spacing w:val="-4"/>
                <w:sz w:val="20"/>
              </w:rPr>
              <w:t>1589</w:t>
            </w:r>
          </w:p>
        </w:tc>
        <w:tc>
          <w:tcPr>
            <w:tcW w:w="2852" w:type="dxa"/>
          </w:tcPr>
          <w:p>
            <w:pPr>
              <w:pStyle w:val="TableParagraph"/>
              <w:ind w:left="158"/>
              <w:rPr>
                <w:sz w:val="20"/>
              </w:rPr>
            </w:pPr>
            <w:r>
              <w:rPr>
                <w:spacing w:val="-2"/>
                <w:sz w:val="20"/>
              </w:rPr>
              <w:t>Komi-Permyak</w:t>
            </w:r>
            <w:r>
              <w:rPr>
                <w:spacing w:val="9"/>
                <w:sz w:val="20"/>
              </w:rPr>
              <w:t> </w:t>
            </w:r>
            <w:r>
              <w:rPr>
                <w:spacing w:val="-4"/>
                <w:sz w:val="20"/>
              </w:rPr>
              <w:t>(koi)</w:t>
            </w:r>
          </w:p>
        </w:tc>
      </w:tr>
      <w:tr>
        <w:trPr>
          <w:trHeight w:val="230" w:hRule="atLeast"/>
        </w:trPr>
        <w:tc>
          <w:tcPr>
            <w:tcW w:w="612" w:type="dxa"/>
          </w:tcPr>
          <w:p>
            <w:pPr>
              <w:pStyle w:val="TableParagraph"/>
              <w:ind w:left="50"/>
              <w:rPr>
                <w:sz w:val="20"/>
              </w:rPr>
            </w:pPr>
            <w:r>
              <w:rPr>
                <w:spacing w:val="-4"/>
                <w:sz w:val="20"/>
              </w:rPr>
              <w:t>1004</w:t>
            </w:r>
          </w:p>
        </w:tc>
        <w:tc>
          <w:tcPr>
            <w:tcW w:w="4360" w:type="dxa"/>
          </w:tcPr>
          <w:p>
            <w:pPr>
              <w:pStyle w:val="TableParagraph"/>
              <w:ind w:left="158"/>
              <w:rPr>
                <w:sz w:val="20"/>
              </w:rPr>
            </w:pPr>
            <w:r>
              <w:rPr>
                <w:sz w:val="20"/>
              </w:rPr>
              <w:t>Bahamas</w:t>
            </w:r>
            <w:r>
              <w:rPr>
                <w:spacing w:val="-6"/>
                <w:sz w:val="20"/>
              </w:rPr>
              <w:t> </w:t>
            </w:r>
            <w:r>
              <w:rPr>
                <w:sz w:val="20"/>
              </w:rPr>
              <w:t>Creole</w:t>
            </w:r>
            <w:r>
              <w:rPr>
                <w:spacing w:val="-7"/>
                <w:sz w:val="20"/>
              </w:rPr>
              <w:t> </w:t>
            </w:r>
            <w:r>
              <w:rPr>
                <w:sz w:val="20"/>
              </w:rPr>
              <w:t>English</w:t>
            </w:r>
            <w:r>
              <w:rPr>
                <w:spacing w:val="-7"/>
                <w:sz w:val="20"/>
              </w:rPr>
              <w:t> </w:t>
            </w:r>
            <w:r>
              <w:rPr>
                <w:spacing w:val="-4"/>
                <w:sz w:val="20"/>
              </w:rPr>
              <w:t>(bah)</w:t>
            </w:r>
          </w:p>
        </w:tc>
        <w:tc>
          <w:tcPr>
            <w:tcW w:w="969" w:type="dxa"/>
          </w:tcPr>
          <w:p>
            <w:pPr>
              <w:pStyle w:val="TableParagraph"/>
              <w:ind w:right="156"/>
              <w:jc w:val="right"/>
              <w:rPr>
                <w:sz w:val="20"/>
              </w:rPr>
            </w:pPr>
            <w:r>
              <w:rPr>
                <w:spacing w:val="-4"/>
                <w:sz w:val="20"/>
              </w:rPr>
              <w:t>1590</w:t>
            </w:r>
          </w:p>
        </w:tc>
        <w:tc>
          <w:tcPr>
            <w:tcW w:w="2852" w:type="dxa"/>
          </w:tcPr>
          <w:p>
            <w:pPr>
              <w:pStyle w:val="TableParagraph"/>
              <w:ind w:left="158"/>
              <w:rPr>
                <w:sz w:val="20"/>
              </w:rPr>
            </w:pPr>
            <w:r>
              <w:rPr>
                <w:spacing w:val="-2"/>
                <w:sz w:val="20"/>
              </w:rPr>
              <w:t>Komi-Zyrian</w:t>
            </w:r>
            <w:r>
              <w:rPr>
                <w:spacing w:val="9"/>
                <w:sz w:val="20"/>
              </w:rPr>
              <w:t> </w:t>
            </w:r>
            <w:r>
              <w:rPr>
                <w:spacing w:val="-2"/>
                <w:sz w:val="20"/>
              </w:rPr>
              <w:t>(kpv)</w:t>
            </w:r>
          </w:p>
        </w:tc>
      </w:tr>
      <w:tr>
        <w:trPr>
          <w:trHeight w:val="229" w:hRule="atLeast"/>
        </w:trPr>
        <w:tc>
          <w:tcPr>
            <w:tcW w:w="612" w:type="dxa"/>
          </w:tcPr>
          <w:p>
            <w:pPr>
              <w:pStyle w:val="TableParagraph"/>
              <w:spacing w:line="209" w:lineRule="exact"/>
              <w:ind w:left="50"/>
              <w:rPr>
                <w:sz w:val="20"/>
              </w:rPr>
            </w:pPr>
            <w:r>
              <w:rPr>
                <w:spacing w:val="-4"/>
                <w:sz w:val="20"/>
              </w:rPr>
              <w:t>1005</w:t>
            </w:r>
          </w:p>
        </w:tc>
        <w:tc>
          <w:tcPr>
            <w:tcW w:w="4360" w:type="dxa"/>
          </w:tcPr>
          <w:p>
            <w:pPr>
              <w:pStyle w:val="TableParagraph"/>
              <w:spacing w:line="209" w:lineRule="exact"/>
              <w:ind w:left="158"/>
              <w:rPr>
                <w:sz w:val="20"/>
              </w:rPr>
            </w:pPr>
            <w:r>
              <w:rPr>
                <w:sz w:val="20"/>
              </w:rPr>
              <w:t>Belize</w:t>
            </w:r>
            <w:r>
              <w:rPr>
                <w:spacing w:val="-6"/>
                <w:sz w:val="20"/>
              </w:rPr>
              <w:t> </w:t>
            </w:r>
            <w:r>
              <w:rPr>
                <w:sz w:val="20"/>
              </w:rPr>
              <w:t>Kriol</w:t>
            </w:r>
            <w:r>
              <w:rPr>
                <w:spacing w:val="-6"/>
                <w:sz w:val="20"/>
              </w:rPr>
              <w:t> </w:t>
            </w:r>
            <w:r>
              <w:rPr>
                <w:sz w:val="20"/>
              </w:rPr>
              <w:t>English</w:t>
            </w:r>
            <w:r>
              <w:rPr>
                <w:spacing w:val="-7"/>
                <w:sz w:val="20"/>
              </w:rPr>
              <w:t> </w:t>
            </w:r>
            <w:r>
              <w:rPr>
                <w:spacing w:val="-4"/>
                <w:sz w:val="20"/>
              </w:rPr>
              <w:t>(bzj)</w:t>
            </w:r>
          </w:p>
        </w:tc>
        <w:tc>
          <w:tcPr>
            <w:tcW w:w="969" w:type="dxa"/>
          </w:tcPr>
          <w:p>
            <w:pPr>
              <w:pStyle w:val="TableParagraph"/>
              <w:spacing w:line="209" w:lineRule="exact"/>
              <w:ind w:right="156"/>
              <w:jc w:val="right"/>
              <w:rPr>
                <w:sz w:val="20"/>
              </w:rPr>
            </w:pPr>
            <w:r>
              <w:rPr>
                <w:spacing w:val="-4"/>
                <w:sz w:val="20"/>
              </w:rPr>
              <w:t>1591</w:t>
            </w:r>
          </w:p>
        </w:tc>
        <w:tc>
          <w:tcPr>
            <w:tcW w:w="2852" w:type="dxa"/>
          </w:tcPr>
          <w:p>
            <w:pPr>
              <w:pStyle w:val="TableParagraph"/>
              <w:spacing w:line="209" w:lineRule="exact"/>
              <w:ind w:left="158"/>
              <w:rPr>
                <w:sz w:val="20"/>
              </w:rPr>
            </w:pPr>
            <w:r>
              <w:rPr>
                <w:sz w:val="20"/>
              </w:rPr>
              <w:t>Udmurt</w:t>
            </w:r>
            <w:r>
              <w:rPr>
                <w:spacing w:val="-11"/>
                <w:sz w:val="20"/>
              </w:rPr>
              <w:t> </w:t>
            </w:r>
            <w:r>
              <w:rPr>
                <w:spacing w:val="-2"/>
                <w:sz w:val="20"/>
              </w:rPr>
              <w:t>(udm)</w:t>
            </w:r>
          </w:p>
        </w:tc>
      </w:tr>
      <w:tr>
        <w:trPr>
          <w:trHeight w:val="229" w:hRule="atLeast"/>
        </w:trPr>
        <w:tc>
          <w:tcPr>
            <w:tcW w:w="612" w:type="dxa"/>
          </w:tcPr>
          <w:p>
            <w:pPr>
              <w:pStyle w:val="TableParagraph"/>
              <w:spacing w:line="209" w:lineRule="exact"/>
              <w:ind w:left="50"/>
              <w:rPr>
                <w:sz w:val="20"/>
              </w:rPr>
            </w:pPr>
            <w:r>
              <w:rPr>
                <w:spacing w:val="-4"/>
                <w:sz w:val="20"/>
              </w:rPr>
              <w:t>1006</w:t>
            </w:r>
          </w:p>
        </w:tc>
        <w:tc>
          <w:tcPr>
            <w:tcW w:w="4360" w:type="dxa"/>
          </w:tcPr>
          <w:p>
            <w:pPr>
              <w:pStyle w:val="TableParagraph"/>
              <w:spacing w:line="209" w:lineRule="exact"/>
              <w:ind w:left="158"/>
              <w:rPr>
                <w:sz w:val="20"/>
              </w:rPr>
            </w:pPr>
            <w:r>
              <w:rPr>
                <w:sz w:val="20"/>
              </w:rPr>
              <w:t>Grenadian</w:t>
            </w:r>
            <w:r>
              <w:rPr>
                <w:spacing w:val="-8"/>
                <w:sz w:val="20"/>
              </w:rPr>
              <w:t> </w:t>
            </w:r>
            <w:r>
              <w:rPr>
                <w:sz w:val="20"/>
              </w:rPr>
              <w:t>Creole</w:t>
            </w:r>
            <w:r>
              <w:rPr>
                <w:spacing w:val="-6"/>
                <w:sz w:val="20"/>
              </w:rPr>
              <w:t> </w:t>
            </w:r>
            <w:r>
              <w:rPr>
                <w:sz w:val="20"/>
              </w:rPr>
              <w:t>English</w:t>
            </w:r>
            <w:r>
              <w:rPr>
                <w:spacing w:val="-7"/>
                <w:sz w:val="20"/>
              </w:rPr>
              <w:t> </w:t>
            </w:r>
            <w:r>
              <w:rPr>
                <w:spacing w:val="-4"/>
                <w:sz w:val="20"/>
              </w:rPr>
              <w:t>(gcl)</w:t>
            </w:r>
          </w:p>
        </w:tc>
        <w:tc>
          <w:tcPr>
            <w:tcW w:w="969" w:type="dxa"/>
          </w:tcPr>
          <w:p>
            <w:pPr>
              <w:pStyle w:val="TableParagraph"/>
              <w:spacing w:line="209" w:lineRule="exact"/>
              <w:ind w:right="156"/>
              <w:jc w:val="right"/>
              <w:rPr>
                <w:sz w:val="20"/>
              </w:rPr>
            </w:pPr>
            <w:r>
              <w:rPr>
                <w:spacing w:val="-4"/>
                <w:sz w:val="20"/>
              </w:rPr>
              <w:t>1594</w:t>
            </w:r>
          </w:p>
        </w:tc>
        <w:tc>
          <w:tcPr>
            <w:tcW w:w="2852" w:type="dxa"/>
          </w:tcPr>
          <w:p>
            <w:pPr>
              <w:pStyle w:val="TableParagraph"/>
              <w:spacing w:line="209" w:lineRule="exact"/>
              <w:ind w:left="158"/>
              <w:rPr>
                <w:sz w:val="20"/>
              </w:rPr>
            </w:pPr>
            <w:r>
              <w:rPr>
                <w:sz w:val="20"/>
              </w:rPr>
              <w:t>Samoyedic</w:t>
            </w:r>
            <w:r>
              <w:rPr>
                <w:spacing w:val="-11"/>
                <w:sz w:val="20"/>
              </w:rPr>
              <w:t> </w:t>
            </w:r>
            <w:r>
              <w:rPr>
                <w:sz w:val="20"/>
              </w:rPr>
              <w:t>languages</w:t>
            </w:r>
            <w:r>
              <w:rPr>
                <w:spacing w:val="-10"/>
                <w:sz w:val="20"/>
              </w:rPr>
              <w:t> </w:t>
            </w:r>
            <w:r>
              <w:rPr>
                <w:spacing w:val="-4"/>
                <w:sz w:val="20"/>
              </w:rPr>
              <w:t>(syd)</w:t>
            </w:r>
          </w:p>
        </w:tc>
      </w:tr>
      <w:tr>
        <w:trPr>
          <w:trHeight w:val="230" w:hRule="atLeast"/>
        </w:trPr>
        <w:tc>
          <w:tcPr>
            <w:tcW w:w="612" w:type="dxa"/>
          </w:tcPr>
          <w:p>
            <w:pPr>
              <w:pStyle w:val="TableParagraph"/>
              <w:ind w:left="50"/>
              <w:rPr>
                <w:sz w:val="20"/>
              </w:rPr>
            </w:pPr>
            <w:r>
              <w:rPr>
                <w:spacing w:val="-4"/>
                <w:sz w:val="20"/>
              </w:rPr>
              <w:t>1007</w:t>
            </w:r>
          </w:p>
        </w:tc>
        <w:tc>
          <w:tcPr>
            <w:tcW w:w="4360" w:type="dxa"/>
          </w:tcPr>
          <w:p>
            <w:pPr>
              <w:pStyle w:val="TableParagraph"/>
              <w:ind w:left="158"/>
              <w:rPr>
                <w:sz w:val="20"/>
              </w:rPr>
            </w:pPr>
            <w:r>
              <w:rPr>
                <w:sz w:val="20"/>
              </w:rPr>
              <w:t>Guyanese</w:t>
            </w:r>
            <w:r>
              <w:rPr>
                <w:spacing w:val="-7"/>
                <w:sz w:val="20"/>
              </w:rPr>
              <w:t> </w:t>
            </w:r>
            <w:r>
              <w:rPr>
                <w:sz w:val="20"/>
              </w:rPr>
              <w:t>Creole</w:t>
            </w:r>
            <w:r>
              <w:rPr>
                <w:spacing w:val="-7"/>
                <w:sz w:val="20"/>
              </w:rPr>
              <w:t> </w:t>
            </w:r>
            <w:r>
              <w:rPr>
                <w:sz w:val="20"/>
              </w:rPr>
              <w:t>English</w:t>
            </w:r>
            <w:r>
              <w:rPr>
                <w:spacing w:val="-8"/>
                <w:sz w:val="20"/>
              </w:rPr>
              <w:t> </w:t>
            </w:r>
            <w:r>
              <w:rPr>
                <w:spacing w:val="-4"/>
                <w:sz w:val="20"/>
              </w:rPr>
              <w:t>(gyn)</w:t>
            </w:r>
          </w:p>
        </w:tc>
        <w:tc>
          <w:tcPr>
            <w:tcW w:w="969" w:type="dxa"/>
          </w:tcPr>
          <w:p>
            <w:pPr>
              <w:pStyle w:val="TableParagraph"/>
              <w:ind w:right="156"/>
              <w:jc w:val="right"/>
              <w:rPr>
                <w:sz w:val="20"/>
              </w:rPr>
            </w:pPr>
            <w:r>
              <w:rPr>
                <w:spacing w:val="-4"/>
                <w:sz w:val="20"/>
              </w:rPr>
              <w:t>1595</w:t>
            </w:r>
          </w:p>
        </w:tc>
        <w:tc>
          <w:tcPr>
            <w:tcW w:w="2852" w:type="dxa"/>
          </w:tcPr>
          <w:p>
            <w:pPr>
              <w:pStyle w:val="TableParagraph"/>
              <w:ind w:left="158"/>
              <w:rPr>
                <w:sz w:val="20"/>
              </w:rPr>
            </w:pPr>
            <w:r>
              <w:rPr>
                <w:sz w:val="20"/>
              </w:rPr>
              <w:t>Nenets</w:t>
            </w:r>
            <w:r>
              <w:rPr>
                <w:spacing w:val="-8"/>
                <w:sz w:val="20"/>
              </w:rPr>
              <w:t> </w:t>
            </w:r>
            <w:r>
              <w:rPr>
                <w:spacing w:val="-2"/>
                <w:sz w:val="20"/>
              </w:rPr>
              <w:t>(yrk)</w:t>
            </w:r>
          </w:p>
        </w:tc>
      </w:tr>
      <w:tr>
        <w:trPr>
          <w:trHeight w:val="230" w:hRule="atLeast"/>
        </w:trPr>
        <w:tc>
          <w:tcPr>
            <w:tcW w:w="612" w:type="dxa"/>
          </w:tcPr>
          <w:p>
            <w:pPr>
              <w:pStyle w:val="TableParagraph"/>
              <w:ind w:left="50"/>
              <w:rPr>
                <w:sz w:val="20"/>
              </w:rPr>
            </w:pPr>
            <w:r>
              <w:rPr>
                <w:spacing w:val="-4"/>
                <w:sz w:val="20"/>
              </w:rPr>
              <w:t>1008</w:t>
            </w:r>
          </w:p>
        </w:tc>
        <w:tc>
          <w:tcPr>
            <w:tcW w:w="4360" w:type="dxa"/>
          </w:tcPr>
          <w:p>
            <w:pPr>
              <w:pStyle w:val="TableParagraph"/>
              <w:ind w:left="158"/>
              <w:rPr>
                <w:sz w:val="20"/>
              </w:rPr>
            </w:pPr>
            <w:r>
              <w:rPr>
                <w:sz w:val="20"/>
              </w:rPr>
              <w:t>Tobagonian</w:t>
            </w:r>
            <w:r>
              <w:rPr>
                <w:spacing w:val="-8"/>
                <w:sz w:val="20"/>
              </w:rPr>
              <w:t> </w:t>
            </w:r>
            <w:r>
              <w:rPr>
                <w:sz w:val="20"/>
              </w:rPr>
              <w:t>Creole</w:t>
            </w:r>
            <w:r>
              <w:rPr>
                <w:spacing w:val="-8"/>
                <w:sz w:val="20"/>
              </w:rPr>
              <w:t> </w:t>
            </w:r>
            <w:r>
              <w:rPr>
                <w:sz w:val="20"/>
              </w:rPr>
              <w:t>English</w:t>
            </w:r>
            <w:r>
              <w:rPr>
                <w:spacing w:val="-7"/>
                <w:sz w:val="20"/>
              </w:rPr>
              <w:t> </w:t>
            </w:r>
            <w:r>
              <w:rPr>
                <w:spacing w:val="-2"/>
                <w:sz w:val="20"/>
              </w:rPr>
              <w:t>(tgh)</w:t>
            </w:r>
          </w:p>
        </w:tc>
        <w:tc>
          <w:tcPr>
            <w:tcW w:w="969" w:type="dxa"/>
          </w:tcPr>
          <w:p>
            <w:pPr>
              <w:pStyle w:val="TableParagraph"/>
              <w:ind w:right="156"/>
              <w:jc w:val="right"/>
              <w:rPr>
                <w:sz w:val="20"/>
              </w:rPr>
            </w:pPr>
            <w:r>
              <w:rPr>
                <w:spacing w:val="-4"/>
                <w:sz w:val="20"/>
              </w:rPr>
              <w:t>1596</w:t>
            </w:r>
          </w:p>
        </w:tc>
        <w:tc>
          <w:tcPr>
            <w:tcW w:w="2852" w:type="dxa"/>
          </w:tcPr>
          <w:p>
            <w:pPr>
              <w:pStyle w:val="TableParagraph"/>
              <w:ind w:left="158"/>
              <w:rPr>
                <w:sz w:val="20"/>
              </w:rPr>
            </w:pPr>
            <w:r>
              <w:rPr>
                <w:sz w:val="20"/>
              </w:rPr>
              <w:t>Nganasan</w:t>
            </w:r>
            <w:r>
              <w:rPr>
                <w:spacing w:val="-8"/>
                <w:sz w:val="20"/>
              </w:rPr>
              <w:t> </w:t>
            </w:r>
            <w:r>
              <w:rPr>
                <w:spacing w:val="-2"/>
                <w:sz w:val="20"/>
              </w:rPr>
              <w:t>(nio)</w:t>
            </w:r>
          </w:p>
        </w:tc>
      </w:tr>
      <w:tr>
        <w:trPr>
          <w:trHeight w:val="230" w:hRule="atLeast"/>
        </w:trPr>
        <w:tc>
          <w:tcPr>
            <w:tcW w:w="612" w:type="dxa"/>
          </w:tcPr>
          <w:p>
            <w:pPr>
              <w:pStyle w:val="TableParagraph"/>
              <w:ind w:left="50"/>
              <w:rPr>
                <w:sz w:val="20"/>
              </w:rPr>
            </w:pPr>
            <w:r>
              <w:rPr>
                <w:spacing w:val="-4"/>
                <w:sz w:val="20"/>
              </w:rPr>
              <w:t>1009</w:t>
            </w:r>
          </w:p>
        </w:tc>
        <w:tc>
          <w:tcPr>
            <w:tcW w:w="4360" w:type="dxa"/>
          </w:tcPr>
          <w:p>
            <w:pPr>
              <w:pStyle w:val="TableParagraph"/>
              <w:ind w:left="158"/>
              <w:rPr>
                <w:sz w:val="20"/>
              </w:rPr>
            </w:pPr>
            <w:r>
              <w:rPr>
                <w:sz w:val="20"/>
              </w:rPr>
              <w:t>Trinidadian</w:t>
            </w:r>
            <w:r>
              <w:rPr>
                <w:spacing w:val="-9"/>
                <w:sz w:val="20"/>
              </w:rPr>
              <w:t> </w:t>
            </w:r>
            <w:r>
              <w:rPr>
                <w:sz w:val="20"/>
              </w:rPr>
              <w:t>Creole</w:t>
            </w:r>
            <w:r>
              <w:rPr>
                <w:spacing w:val="-8"/>
                <w:sz w:val="20"/>
              </w:rPr>
              <w:t> </w:t>
            </w:r>
            <w:r>
              <w:rPr>
                <w:sz w:val="20"/>
              </w:rPr>
              <w:t>English</w:t>
            </w:r>
            <w:r>
              <w:rPr>
                <w:spacing w:val="-9"/>
                <w:sz w:val="20"/>
              </w:rPr>
              <w:t> </w:t>
            </w:r>
            <w:r>
              <w:rPr>
                <w:spacing w:val="-4"/>
                <w:sz w:val="20"/>
              </w:rPr>
              <w:t>(trf)</w:t>
            </w:r>
          </w:p>
        </w:tc>
        <w:tc>
          <w:tcPr>
            <w:tcW w:w="969" w:type="dxa"/>
          </w:tcPr>
          <w:p>
            <w:pPr>
              <w:pStyle w:val="TableParagraph"/>
              <w:ind w:right="156"/>
              <w:jc w:val="right"/>
              <w:rPr>
                <w:sz w:val="20"/>
              </w:rPr>
            </w:pPr>
            <w:r>
              <w:rPr>
                <w:spacing w:val="-4"/>
                <w:sz w:val="20"/>
              </w:rPr>
              <w:t>1597</w:t>
            </w:r>
          </w:p>
        </w:tc>
        <w:tc>
          <w:tcPr>
            <w:tcW w:w="2852" w:type="dxa"/>
          </w:tcPr>
          <w:p>
            <w:pPr>
              <w:pStyle w:val="TableParagraph"/>
              <w:ind w:left="158"/>
              <w:rPr>
                <w:sz w:val="20"/>
              </w:rPr>
            </w:pPr>
            <w:r>
              <w:rPr>
                <w:sz w:val="20"/>
              </w:rPr>
              <w:t>Kamas</w:t>
            </w:r>
            <w:r>
              <w:rPr>
                <w:spacing w:val="-9"/>
                <w:sz w:val="20"/>
              </w:rPr>
              <w:t> </w:t>
            </w:r>
            <w:r>
              <w:rPr>
                <w:spacing w:val="-2"/>
                <w:sz w:val="20"/>
              </w:rPr>
              <w:t>(xas)</w:t>
            </w:r>
          </w:p>
        </w:tc>
      </w:tr>
      <w:tr>
        <w:trPr>
          <w:trHeight w:val="230" w:hRule="atLeast"/>
        </w:trPr>
        <w:tc>
          <w:tcPr>
            <w:tcW w:w="612" w:type="dxa"/>
          </w:tcPr>
          <w:p>
            <w:pPr>
              <w:pStyle w:val="TableParagraph"/>
              <w:ind w:left="50"/>
              <w:rPr>
                <w:sz w:val="20"/>
              </w:rPr>
            </w:pPr>
            <w:r>
              <w:rPr>
                <w:spacing w:val="-4"/>
                <w:sz w:val="20"/>
              </w:rPr>
              <w:t>1010</w:t>
            </w:r>
          </w:p>
        </w:tc>
        <w:tc>
          <w:tcPr>
            <w:tcW w:w="4360" w:type="dxa"/>
          </w:tcPr>
          <w:p>
            <w:pPr>
              <w:pStyle w:val="TableParagraph"/>
              <w:ind w:left="158"/>
              <w:rPr>
                <w:sz w:val="20"/>
              </w:rPr>
            </w:pPr>
            <w:r>
              <w:rPr>
                <w:sz w:val="20"/>
              </w:rPr>
              <w:t>Vincentian</w:t>
            </w:r>
            <w:r>
              <w:rPr>
                <w:spacing w:val="-8"/>
                <w:sz w:val="20"/>
              </w:rPr>
              <w:t> </w:t>
            </w:r>
            <w:r>
              <w:rPr>
                <w:sz w:val="20"/>
              </w:rPr>
              <w:t>Creole</w:t>
            </w:r>
            <w:r>
              <w:rPr>
                <w:spacing w:val="-7"/>
                <w:sz w:val="20"/>
              </w:rPr>
              <w:t> </w:t>
            </w:r>
            <w:r>
              <w:rPr>
                <w:sz w:val="20"/>
              </w:rPr>
              <w:t>English</w:t>
            </w:r>
            <w:r>
              <w:rPr>
                <w:spacing w:val="-8"/>
                <w:sz w:val="20"/>
              </w:rPr>
              <w:t> </w:t>
            </w:r>
            <w:r>
              <w:rPr>
                <w:spacing w:val="-2"/>
                <w:sz w:val="20"/>
              </w:rPr>
              <w:t>(svc)</w:t>
            </w:r>
          </w:p>
        </w:tc>
        <w:tc>
          <w:tcPr>
            <w:tcW w:w="969" w:type="dxa"/>
          </w:tcPr>
          <w:p>
            <w:pPr>
              <w:pStyle w:val="TableParagraph"/>
              <w:ind w:right="156"/>
              <w:jc w:val="right"/>
              <w:rPr>
                <w:sz w:val="20"/>
              </w:rPr>
            </w:pPr>
            <w:r>
              <w:rPr>
                <w:spacing w:val="-4"/>
                <w:sz w:val="20"/>
              </w:rPr>
              <w:t>1599</w:t>
            </w:r>
          </w:p>
        </w:tc>
        <w:tc>
          <w:tcPr>
            <w:tcW w:w="2852" w:type="dxa"/>
          </w:tcPr>
          <w:p>
            <w:pPr>
              <w:pStyle w:val="TableParagraph"/>
              <w:ind w:left="158"/>
              <w:rPr>
                <w:sz w:val="20"/>
              </w:rPr>
            </w:pPr>
            <w:r>
              <w:rPr>
                <w:sz w:val="20"/>
              </w:rPr>
              <w:t>Khanty</w:t>
            </w:r>
            <w:r>
              <w:rPr>
                <w:spacing w:val="-9"/>
                <w:sz w:val="20"/>
              </w:rPr>
              <w:t> </w:t>
            </w:r>
            <w:r>
              <w:rPr>
                <w:spacing w:val="-2"/>
                <w:sz w:val="20"/>
              </w:rPr>
              <w:t>(kca)</w:t>
            </w:r>
          </w:p>
        </w:tc>
      </w:tr>
      <w:tr>
        <w:trPr>
          <w:trHeight w:val="229" w:hRule="atLeast"/>
        </w:trPr>
        <w:tc>
          <w:tcPr>
            <w:tcW w:w="612" w:type="dxa"/>
          </w:tcPr>
          <w:p>
            <w:pPr>
              <w:pStyle w:val="TableParagraph"/>
              <w:spacing w:line="209" w:lineRule="exact"/>
              <w:ind w:left="50"/>
              <w:rPr>
                <w:sz w:val="20"/>
              </w:rPr>
            </w:pPr>
            <w:r>
              <w:rPr>
                <w:spacing w:val="-4"/>
                <w:sz w:val="20"/>
              </w:rPr>
              <w:t>1012</w:t>
            </w:r>
          </w:p>
        </w:tc>
        <w:tc>
          <w:tcPr>
            <w:tcW w:w="4360" w:type="dxa"/>
          </w:tcPr>
          <w:p>
            <w:pPr>
              <w:pStyle w:val="TableParagraph"/>
              <w:spacing w:line="209" w:lineRule="exact"/>
              <w:ind w:left="158"/>
              <w:rPr>
                <w:sz w:val="20"/>
              </w:rPr>
            </w:pPr>
            <w:r>
              <w:rPr>
                <w:sz w:val="20"/>
              </w:rPr>
              <w:t>Virgin</w:t>
            </w:r>
            <w:r>
              <w:rPr>
                <w:spacing w:val="-7"/>
                <w:sz w:val="20"/>
              </w:rPr>
              <w:t> </w:t>
            </w:r>
            <w:r>
              <w:rPr>
                <w:sz w:val="20"/>
              </w:rPr>
              <w:t>Islands</w:t>
            </w:r>
            <w:r>
              <w:rPr>
                <w:spacing w:val="-6"/>
                <w:sz w:val="20"/>
              </w:rPr>
              <w:t> </w:t>
            </w:r>
            <w:r>
              <w:rPr>
                <w:sz w:val="20"/>
              </w:rPr>
              <w:t>Creole</w:t>
            </w:r>
            <w:r>
              <w:rPr>
                <w:spacing w:val="-5"/>
                <w:sz w:val="20"/>
              </w:rPr>
              <w:t> </w:t>
            </w:r>
            <w:r>
              <w:rPr>
                <w:sz w:val="20"/>
              </w:rPr>
              <w:t>English</w:t>
            </w:r>
            <w:r>
              <w:rPr>
                <w:spacing w:val="-5"/>
                <w:sz w:val="20"/>
              </w:rPr>
              <w:t> </w:t>
            </w:r>
            <w:r>
              <w:rPr>
                <w:spacing w:val="-2"/>
                <w:sz w:val="20"/>
              </w:rPr>
              <w:t>(vic)</w:t>
            </w:r>
          </w:p>
        </w:tc>
        <w:tc>
          <w:tcPr>
            <w:tcW w:w="969" w:type="dxa"/>
          </w:tcPr>
          <w:p>
            <w:pPr>
              <w:pStyle w:val="TableParagraph"/>
              <w:spacing w:line="209" w:lineRule="exact"/>
              <w:ind w:right="156"/>
              <w:jc w:val="right"/>
              <w:rPr>
                <w:sz w:val="20"/>
              </w:rPr>
            </w:pPr>
            <w:r>
              <w:rPr>
                <w:spacing w:val="-4"/>
                <w:sz w:val="20"/>
              </w:rPr>
              <w:t>1600</w:t>
            </w:r>
          </w:p>
        </w:tc>
        <w:tc>
          <w:tcPr>
            <w:tcW w:w="2852" w:type="dxa"/>
          </w:tcPr>
          <w:p>
            <w:pPr>
              <w:pStyle w:val="TableParagraph"/>
              <w:spacing w:line="209" w:lineRule="exact"/>
              <w:ind w:left="158"/>
              <w:rPr>
                <w:sz w:val="20"/>
              </w:rPr>
            </w:pPr>
            <w:r>
              <w:rPr>
                <w:sz w:val="20"/>
              </w:rPr>
              <w:t>Mansi</w:t>
            </w:r>
            <w:r>
              <w:rPr>
                <w:spacing w:val="-9"/>
                <w:sz w:val="20"/>
              </w:rPr>
              <w:t> </w:t>
            </w:r>
            <w:r>
              <w:rPr>
                <w:spacing w:val="-2"/>
                <w:sz w:val="20"/>
              </w:rPr>
              <w:t>(mns)</w:t>
            </w:r>
          </w:p>
        </w:tc>
      </w:tr>
      <w:tr>
        <w:trPr>
          <w:trHeight w:val="224" w:hRule="atLeast"/>
        </w:trPr>
        <w:tc>
          <w:tcPr>
            <w:tcW w:w="612" w:type="dxa"/>
          </w:tcPr>
          <w:p>
            <w:pPr>
              <w:pStyle w:val="TableParagraph"/>
              <w:spacing w:line="204" w:lineRule="exact"/>
              <w:ind w:left="50"/>
              <w:rPr>
                <w:sz w:val="20"/>
              </w:rPr>
            </w:pPr>
            <w:r>
              <w:rPr>
                <w:spacing w:val="-4"/>
                <w:sz w:val="20"/>
              </w:rPr>
              <w:t>1015</w:t>
            </w:r>
          </w:p>
        </w:tc>
        <w:tc>
          <w:tcPr>
            <w:tcW w:w="4360" w:type="dxa"/>
          </w:tcPr>
          <w:p>
            <w:pPr>
              <w:pStyle w:val="TableParagraph"/>
              <w:spacing w:line="204" w:lineRule="exact"/>
              <w:ind w:left="158"/>
              <w:rPr>
                <w:sz w:val="20"/>
              </w:rPr>
            </w:pPr>
            <w:r>
              <w:rPr>
                <w:sz w:val="20"/>
              </w:rPr>
              <w:t>Eastern</w:t>
            </w:r>
            <w:r>
              <w:rPr>
                <w:spacing w:val="-7"/>
                <w:sz w:val="20"/>
              </w:rPr>
              <w:t> </w:t>
            </w:r>
            <w:r>
              <w:rPr>
                <w:sz w:val="20"/>
              </w:rPr>
              <w:t>Maroon</w:t>
            </w:r>
            <w:r>
              <w:rPr>
                <w:spacing w:val="-6"/>
                <w:sz w:val="20"/>
              </w:rPr>
              <w:t> </w:t>
            </w:r>
            <w:r>
              <w:rPr>
                <w:sz w:val="20"/>
              </w:rPr>
              <w:t>Creole</w:t>
            </w:r>
            <w:r>
              <w:rPr>
                <w:spacing w:val="-5"/>
                <w:sz w:val="20"/>
              </w:rPr>
              <w:t> </w:t>
            </w:r>
            <w:r>
              <w:rPr>
                <w:spacing w:val="-4"/>
                <w:sz w:val="20"/>
              </w:rPr>
              <w:t>(djk)</w:t>
            </w:r>
          </w:p>
        </w:tc>
        <w:tc>
          <w:tcPr>
            <w:tcW w:w="969" w:type="dxa"/>
          </w:tcPr>
          <w:p>
            <w:pPr>
              <w:pStyle w:val="TableParagraph"/>
              <w:spacing w:line="240" w:lineRule="auto"/>
              <w:rPr>
                <w:sz w:val="16"/>
              </w:rPr>
            </w:pPr>
          </w:p>
        </w:tc>
        <w:tc>
          <w:tcPr>
            <w:tcW w:w="2852" w:type="dxa"/>
          </w:tcPr>
          <w:p>
            <w:pPr>
              <w:pStyle w:val="TableParagraph"/>
              <w:spacing w:line="240" w:lineRule="auto"/>
              <w:rPr>
                <w:sz w:val="16"/>
              </w:rPr>
            </w:pPr>
          </w:p>
        </w:tc>
      </w:tr>
      <w:tr>
        <w:trPr>
          <w:trHeight w:val="230" w:hRule="atLeast"/>
        </w:trPr>
        <w:tc>
          <w:tcPr>
            <w:tcW w:w="8793" w:type="dxa"/>
            <w:gridSpan w:val="4"/>
          </w:tcPr>
          <w:p>
            <w:pPr>
              <w:pStyle w:val="TableParagraph"/>
              <w:tabs>
                <w:tab w:pos="770" w:val="left" w:leader="none"/>
                <w:tab w:pos="5378" w:val="left" w:leader="none"/>
              </w:tabs>
              <w:spacing w:before="1"/>
              <w:ind w:left="50"/>
              <w:rPr>
                <w:i/>
                <w:sz w:val="20"/>
              </w:rPr>
            </w:pPr>
            <w:r>
              <w:rPr>
                <w:spacing w:val="-4"/>
                <w:sz w:val="20"/>
              </w:rPr>
              <w:t>1016</w:t>
            </w:r>
            <w:r>
              <w:rPr>
                <w:sz w:val="20"/>
              </w:rPr>
              <w:tab/>
              <w:t>Saramaccan</w:t>
            </w:r>
            <w:r>
              <w:rPr>
                <w:spacing w:val="-11"/>
                <w:sz w:val="20"/>
              </w:rPr>
              <w:t> </w:t>
            </w:r>
            <w:r>
              <w:rPr>
                <w:spacing w:val="-4"/>
                <w:sz w:val="20"/>
              </w:rPr>
              <w:t>(srm)</w:t>
            </w:r>
            <w:r>
              <w:rPr>
                <w:sz w:val="20"/>
              </w:rPr>
              <w:tab/>
            </w:r>
            <w:r>
              <w:rPr>
                <w:i/>
                <w:sz w:val="20"/>
                <w:u w:val="single"/>
              </w:rPr>
              <w:t>Caucasian</w:t>
            </w:r>
            <w:r>
              <w:rPr>
                <w:i/>
                <w:spacing w:val="-8"/>
                <w:sz w:val="20"/>
                <w:u w:val="single"/>
              </w:rPr>
              <w:t> </w:t>
            </w:r>
            <w:r>
              <w:rPr>
                <w:i/>
                <w:sz w:val="20"/>
                <w:u w:val="single"/>
              </w:rPr>
              <w:t>languages</w:t>
            </w:r>
            <w:r>
              <w:rPr>
                <w:i/>
                <w:spacing w:val="-10"/>
                <w:sz w:val="20"/>
                <w:u w:val="single"/>
              </w:rPr>
              <w:t> </w:t>
            </w:r>
            <w:r>
              <w:rPr>
                <w:i/>
                <w:sz w:val="20"/>
                <w:u w:val="single"/>
              </w:rPr>
              <w:t>(1603-</w:t>
            </w:r>
            <w:r>
              <w:rPr>
                <w:i/>
                <w:spacing w:val="-2"/>
                <w:sz w:val="20"/>
                <w:u w:val="single"/>
              </w:rPr>
              <w:t>1642)</w:t>
            </w:r>
          </w:p>
        </w:tc>
      </w:tr>
      <w:tr>
        <w:trPr>
          <w:trHeight w:val="235" w:hRule="atLeast"/>
        </w:trPr>
        <w:tc>
          <w:tcPr>
            <w:tcW w:w="612" w:type="dxa"/>
          </w:tcPr>
          <w:p>
            <w:pPr>
              <w:pStyle w:val="TableParagraph"/>
              <w:spacing w:line="205" w:lineRule="exact"/>
              <w:ind w:left="50"/>
              <w:rPr>
                <w:sz w:val="20"/>
              </w:rPr>
            </w:pPr>
            <w:r>
              <w:rPr>
                <w:spacing w:val="-4"/>
                <w:sz w:val="20"/>
              </w:rPr>
              <w:t>1017</w:t>
            </w:r>
          </w:p>
        </w:tc>
        <w:tc>
          <w:tcPr>
            <w:tcW w:w="4360" w:type="dxa"/>
          </w:tcPr>
          <w:p>
            <w:pPr>
              <w:pStyle w:val="TableParagraph"/>
              <w:spacing w:line="205" w:lineRule="exact"/>
              <w:ind w:left="158"/>
              <w:rPr>
                <w:sz w:val="20"/>
              </w:rPr>
            </w:pPr>
            <w:r>
              <w:rPr>
                <w:sz w:val="20"/>
              </w:rPr>
              <w:t>Sranan</w:t>
            </w:r>
            <w:r>
              <w:rPr>
                <w:spacing w:val="-8"/>
                <w:sz w:val="20"/>
              </w:rPr>
              <w:t> </w:t>
            </w:r>
            <w:r>
              <w:rPr>
                <w:sz w:val="20"/>
              </w:rPr>
              <w:t>Tongo</w:t>
            </w:r>
            <w:r>
              <w:rPr>
                <w:spacing w:val="-6"/>
                <w:sz w:val="20"/>
              </w:rPr>
              <w:t> </w:t>
            </w:r>
            <w:r>
              <w:rPr>
                <w:spacing w:val="-2"/>
                <w:sz w:val="20"/>
              </w:rPr>
              <w:t>(srn)</w:t>
            </w:r>
          </w:p>
        </w:tc>
        <w:tc>
          <w:tcPr>
            <w:tcW w:w="969" w:type="dxa"/>
          </w:tcPr>
          <w:p>
            <w:pPr>
              <w:pStyle w:val="TableParagraph"/>
              <w:spacing w:line="205" w:lineRule="exact"/>
              <w:ind w:right="156"/>
              <w:jc w:val="right"/>
              <w:rPr>
                <w:sz w:val="20"/>
              </w:rPr>
            </w:pPr>
            <w:r>
              <w:rPr>
                <w:spacing w:val="-4"/>
                <w:sz w:val="20"/>
              </w:rPr>
              <w:t>1603</w:t>
            </w:r>
          </w:p>
        </w:tc>
        <w:tc>
          <w:tcPr>
            <w:tcW w:w="2852" w:type="dxa"/>
          </w:tcPr>
          <w:p>
            <w:pPr>
              <w:pStyle w:val="TableParagraph"/>
              <w:spacing w:line="205" w:lineRule="exact"/>
              <w:ind w:left="158"/>
              <w:rPr>
                <w:sz w:val="20"/>
              </w:rPr>
            </w:pPr>
            <w:r>
              <w:rPr>
                <w:sz w:val="20"/>
              </w:rPr>
              <w:t>Georgian</w:t>
            </w:r>
            <w:r>
              <w:rPr>
                <w:spacing w:val="-10"/>
                <w:sz w:val="20"/>
              </w:rPr>
              <w:t> </w:t>
            </w:r>
            <w:r>
              <w:rPr>
                <w:spacing w:val="-2"/>
                <w:sz w:val="20"/>
              </w:rPr>
              <w:t>(kat)</w:t>
            </w:r>
          </w:p>
        </w:tc>
      </w:tr>
      <w:tr>
        <w:trPr>
          <w:trHeight w:val="230" w:hRule="atLeast"/>
        </w:trPr>
        <w:tc>
          <w:tcPr>
            <w:tcW w:w="612" w:type="dxa"/>
          </w:tcPr>
          <w:p>
            <w:pPr>
              <w:pStyle w:val="TableParagraph"/>
              <w:ind w:left="50"/>
              <w:rPr>
                <w:sz w:val="20"/>
              </w:rPr>
            </w:pPr>
            <w:r>
              <w:rPr>
                <w:spacing w:val="-4"/>
                <w:sz w:val="20"/>
              </w:rPr>
              <w:t>1020</w:t>
            </w:r>
          </w:p>
        </w:tc>
        <w:tc>
          <w:tcPr>
            <w:tcW w:w="4360" w:type="dxa"/>
          </w:tcPr>
          <w:p>
            <w:pPr>
              <w:pStyle w:val="TableParagraph"/>
              <w:ind w:left="158"/>
              <w:rPr>
                <w:sz w:val="20"/>
              </w:rPr>
            </w:pPr>
            <w:r>
              <w:rPr>
                <w:sz w:val="20"/>
              </w:rPr>
              <w:t>Sea</w:t>
            </w:r>
            <w:r>
              <w:rPr>
                <w:spacing w:val="-5"/>
                <w:sz w:val="20"/>
              </w:rPr>
              <w:t> </w:t>
            </w:r>
            <w:r>
              <w:rPr>
                <w:sz w:val="20"/>
              </w:rPr>
              <w:t>Island</w:t>
            </w:r>
            <w:r>
              <w:rPr>
                <w:spacing w:val="-5"/>
                <w:sz w:val="20"/>
              </w:rPr>
              <w:t> </w:t>
            </w:r>
            <w:r>
              <w:rPr>
                <w:sz w:val="20"/>
              </w:rPr>
              <w:t>Creole</w:t>
            </w:r>
            <w:r>
              <w:rPr>
                <w:spacing w:val="-5"/>
                <w:sz w:val="20"/>
              </w:rPr>
              <w:t> </w:t>
            </w:r>
            <w:r>
              <w:rPr>
                <w:spacing w:val="-4"/>
                <w:sz w:val="20"/>
              </w:rPr>
              <w:t>(gul)</w:t>
            </w:r>
          </w:p>
        </w:tc>
        <w:tc>
          <w:tcPr>
            <w:tcW w:w="969" w:type="dxa"/>
          </w:tcPr>
          <w:p>
            <w:pPr>
              <w:pStyle w:val="TableParagraph"/>
              <w:ind w:right="156"/>
              <w:jc w:val="right"/>
              <w:rPr>
                <w:sz w:val="20"/>
              </w:rPr>
            </w:pPr>
            <w:r>
              <w:rPr>
                <w:spacing w:val="-4"/>
                <w:sz w:val="20"/>
              </w:rPr>
              <w:t>1605</w:t>
            </w:r>
          </w:p>
        </w:tc>
        <w:tc>
          <w:tcPr>
            <w:tcW w:w="2852" w:type="dxa"/>
          </w:tcPr>
          <w:p>
            <w:pPr>
              <w:pStyle w:val="TableParagraph"/>
              <w:ind w:left="158"/>
              <w:rPr>
                <w:sz w:val="20"/>
              </w:rPr>
            </w:pPr>
            <w:r>
              <w:rPr>
                <w:sz w:val="20"/>
              </w:rPr>
              <w:t>Svan</w:t>
            </w:r>
            <w:r>
              <w:rPr>
                <w:spacing w:val="-5"/>
                <w:sz w:val="20"/>
              </w:rPr>
              <w:t> </w:t>
            </w:r>
            <w:r>
              <w:rPr>
                <w:spacing w:val="-2"/>
                <w:sz w:val="20"/>
              </w:rPr>
              <w:t>(sva)</w:t>
            </w:r>
          </w:p>
        </w:tc>
      </w:tr>
      <w:tr>
        <w:trPr>
          <w:trHeight w:val="230" w:hRule="atLeast"/>
        </w:trPr>
        <w:tc>
          <w:tcPr>
            <w:tcW w:w="612" w:type="dxa"/>
          </w:tcPr>
          <w:p>
            <w:pPr>
              <w:pStyle w:val="TableParagraph"/>
              <w:ind w:left="50"/>
              <w:rPr>
                <w:sz w:val="20"/>
              </w:rPr>
            </w:pPr>
            <w:r>
              <w:rPr>
                <w:spacing w:val="-4"/>
                <w:sz w:val="20"/>
              </w:rPr>
              <w:t>1022</w:t>
            </w:r>
          </w:p>
        </w:tc>
        <w:tc>
          <w:tcPr>
            <w:tcW w:w="4360" w:type="dxa"/>
          </w:tcPr>
          <w:p>
            <w:pPr>
              <w:pStyle w:val="TableParagraph"/>
              <w:ind w:left="158"/>
              <w:rPr>
                <w:sz w:val="20"/>
              </w:rPr>
            </w:pPr>
            <w:r>
              <w:rPr>
                <w:sz w:val="20"/>
              </w:rPr>
              <w:t>Hawai’i</w:t>
            </w:r>
            <w:r>
              <w:rPr>
                <w:spacing w:val="-6"/>
                <w:sz w:val="20"/>
              </w:rPr>
              <w:t> </w:t>
            </w:r>
            <w:r>
              <w:rPr>
                <w:sz w:val="20"/>
              </w:rPr>
              <w:t>Creole</w:t>
            </w:r>
            <w:r>
              <w:rPr>
                <w:spacing w:val="-8"/>
                <w:sz w:val="20"/>
              </w:rPr>
              <w:t> </w:t>
            </w:r>
            <w:r>
              <w:rPr>
                <w:sz w:val="20"/>
              </w:rPr>
              <w:t>English</w:t>
            </w:r>
            <w:r>
              <w:rPr>
                <w:spacing w:val="-8"/>
                <w:sz w:val="20"/>
              </w:rPr>
              <w:t> </w:t>
            </w:r>
            <w:r>
              <w:rPr>
                <w:spacing w:val="-4"/>
                <w:sz w:val="20"/>
              </w:rPr>
              <w:t>(hwc)</w:t>
            </w:r>
          </w:p>
        </w:tc>
        <w:tc>
          <w:tcPr>
            <w:tcW w:w="969" w:type="dxa"/>
          </w:tcPr>
          <w:p>
            <w:pPr>
              <w:pStyle w:val="TableParagraph"/>
              <w:ind w:right="156"/>
              <w:jc w:val="right"/>
              <w:rPr>
                <w:sz w:val="20"/>
              </w:rPr>
            </w:pPr>
            <w:r>
              <w:rPr>
                <w:spacing w:val="-4"/>
                <w:sz w:val="20"/>
              </w:rPr>
              <w:t>1606</w:t>
            </w:r>
          </w:p>
        </w:tc>
        <w:tc>
          <w:tcPr>
            <w:tcW w:w="2852" w:type="dxa"/>
          </w:tcPr>
          <w:p>
            <w:pPr>
              <w:pStyle w:val="TableParagraph"/>
              <w:ind w:left="158"/>
              <w:rPr>
                <w:sz w:val="20"/>
              </w:rPr>
            </w:pPr>
            <w:r>
              <w:rPr>
                <w:sz w:val="20"/>
              </w:rPr>
              <w:t>Laz</w:t>
            </w:r>
            <w:r>
              <w:rPr>
                <w:spacing w:val="-5"/>
                <w:sz w:val="20"/>
              </w:rPr>
              <w:t> </w:t>
            </w:r>
            <w:r>
              <w:rPr>
                <w:spacing w:val="-2"/>
                <w:sz w:val="20"/>
              </w:rPr>
              <w:t>(lzz)</w:t>
            </w:r>
          </w:p>
        </w:tc>
      </w:tr>
      <w:tr>
        <w:trPr>
          <w:trHeight w:val="229" w:hRule="atLeast"/>
        </w:trPr>
        <w:tc>
          <w:tcPr>
            <w:tcW w:w="612" w:type="dxa"/>
          </w:tcPr>
          <w:p>
            <w:pPr>
              <w:pStyle w:val="TableParagraph"/>
              <w:spacing w:line="209" w:lineRule="exact"/>
              <w:ind w:left="50"/>
              <w:rPr>
                <w:sz w:val="20"/>
              </w:rPr>
            </w:pPr>
            <w:r>
              <w:rPr>
                <w:spacing w:val="-4"/>
                <w:sz w:val="20"/>
              </w:rPr>
              <w:t>1025</w:t>
            </w:r>
          </w:p>
        </w:tc>
        <w:tc>
          <w:tcPr>
            <w:tcW w:w="4360" w:type="dxa"/>
          </w:tcPr>
          <w:p>
            <w:pPr>
              <w:pStyle w:val="TableParagraph"/>
              <w:spacing w:line="209" w:lineRule="exact"/>
              <w:ind w:left="158"/>
              <w:rPr>
                <w:sz w:val="20"/>
              </w:rPr>
            </w:pPr>
            <w:r>
              <w:rPr>
                <w:sz w:val="20"/>
              </w:rPr>
              <w:t>Krio</w:t>
            </w:r>
            <w:r>
              <w:rPr>
                <w:spacing w:val="-3"/>
                <w:sz w:val="20"/>
              </w:rPr>
              <w:t> </w:t>
            </w:r>
            <w:r>
              <w:rPr>
                <w:spacing w:val="-2"/>
                <w:sz w:val="20"/>
              </w:rPr>
              <w:t>(kri)</w:t>
            </w:r>
          </w:p>
        </w:tc>
        <w:tc>
          <w:tcPr>
            <w:tcW w:w="969" w:type="dxa"/>
          </w:tcPr>
          <w:p>
            <w:pPr>
              <w:pStyle w:val="TableParagraph"/>
              <w:spacing w:line="209" w:lineRule="exact"/>
              <w:ind w:right="156"/>
              <w:jc w:val="right"/>
              <w:rPr>
                <w:sz w:val="20"/>
              </w:rPr>
            </w:pPr>
            <w:r>
              <w:rPr>
                <w:spacing w:val="-4"/>
                <w:sz w:val="20"/>
              </w:rPr>
              <w:t>1607</w:t>
            </w:r>
          </w:p>
        </w:tc>
        <w:tc>
          <w:tcPr>
            <w:tcW w:w="2852" w:type="dxa"/>
          </w:tcPr>
          <w:p>
            <w:pPr>
              <w:pStyle w:val="TableParagraph"/>
              <w:spacing w:line="209" w:lineRule="exact"/>
              <w:ind w:left="158"/>
              <w:rPr>
                <w:sz w:val="20"/>
              </w:rPr>
            </w:pPr>
            <w:r>
              <w:rPr>
                <w:sz w:val="20"/>
              </w:rPr>
              <w:t>Mingrelian</w:t>
            </w:r>
            <w:r>
              <w:rPr>
                <w:spacing w:val="-11"/>
                <w:sz w:val="20"/>
              </w:rPr>
              <w:t> </w:t>
            </w:r>
            <w:r>
              <w:rPr>
                <w:spacing w:val="-2"/>
                <w:sz w:val="20"/>
              </w:rPr>
              <w:t>(xmf)</w:t>
            </w:r>
          </w:p>
        </w:tc>
      </w:tr>
      <w:tr>
        <w:trPr>
          <w:trHeight w:val="229" w:hRule="atLeast"/>
        </w:trPr>
        <w:tc>
          <w:tcPr>
            <w:tcW w:w="612" w:type="dxa"/>
          </w:tcPr>
          <w:p>
            <w:pPr>
              <w:pStyle w:val="TableParagraph"/>
              <w:spacing w:line="209" w:lineRule="exact"/>
              <w:ind w:left="50"/>
              <w:rPr>
                <w:sz w:val="20"/>
              </w:rPr>
            </w:pPr>
            <w:r>
              <w:rPr>
                <w:spacing w:val="-4"/>
                <w:sz w:val="20"/>
              </w:rPr>
              <w:t>1027</w:t>
            </w:r>
          </w:p>
        </w:tc>
        <w:tc>
          <w:tcPr>
            <w:tcW w:w="4360" w:type="dxa"/>
          </w:tcPr>
          <w:p>
            <w:pPr>
              <w:pStyle w:val="TableParagraph"/>
              <w:spacing w:line="209" w:lineRule="exact"/>
              <w:ind w:left="158"/>
              <w:rPr>
                <w:sz w:val="20"/>
              </w:rPr>
            </w:pPr>
            <w:r>
              <w:rPr>
                <w:sz w:val="20"/>
              </w:rPr>
              <w:t>Cameroon</w:t>
            </w:r>
            <w:r>
              <w:rPr>
                <w:spacing w:val="-8"/>
                <w:sz w:val="20"/>
              </w:rPr>
              <w:t> </w:t>
            </w:r>
            <w:r>
              <w:rPr>
                <w:sz w:val="20"/>
              </w:rPr>
              <w:t>Pidgin</w:t>
            </w:r>
            <w:r>
              <w:rPr>
                <w:spacing w:val="-7"/>
                <w:sz w:val="20"/>
              </w:rPr>
              <w:t> </w:t>
            </w:r>
            <w:r>
              <w:rPr>
                <w:spacing w:val="-4"/>
                <w:sz w:val="20"/>
              </w:rPr>
              <w:t>(wes)</w:t>
            </w:r>
          </w:p>
        </w:tc>
        <w:tc>
          <w:tcPr>
            <w:tcW w:w="969" w:type="dxa"/>
          </w:tcPr>
          <w:p>
            <w:pPr>
              <w:pStyle w:val="TableParagraph"/>
              <w:spacing w:line="209" w:lineRule="exact"/>
              <w:ind w:right="156"/>
              <w:jc w:val="right"/>
              <w:rPr>
                <w:sz w:val="20"/>
              </w:rPr>
            </w:pPr>
            <w:r>
              <w:rPr>
                <w:spacing w:val="-4"/>
                <w:sz w:val="20"/>
              </w:rPr>
              <w:t>1609</w:t>
            </w:r>
          </w:p>
        </w:tc>
        <w:tc>
          <w:tcPr>
            <w:tcW w:w="2852" w:type="dxa"/>
          </w:tcPr>
          <w:p>
            <w:pPr>
              <w:pStyle w:val="TableParagraph"/>
              <w:spacing w:line="209" w:lineRule="exact"/>
              <w:ind w:left="158"/>
              <w:rPr>
                <w:sz w:val="20"/>
              </w:rPr>
            </w:pPr>
            <w:r>
              <w:rPr>
                <w:sz w:val="20"/>
              </w:rPr>
              <w:t>North</w:t>
            </w:r>
            <w:r>
              <w:rPr>
                <w:spacing w:val="-9"/>
                <w:sz w:val="20"/>
              </w:rPr>
              <w:t> </w:t>
            </w:r>
            <w:r>
              <w:rPr>
                <w:sz w:val="20"/>
              </w:rPr>
              <w:t>Caucasian</w:t>
            </w:r>
            <w:r>
              <w:rPr>
                <w:spacing w:val="-7"/>
                <w:sz w:val="20"/>
              </w:rPr>
              <w:t> </w:t>
            </w:r>
            <w:r>
              <w:rPr>
                <w:sz w:val="20"/>
              </w:rPr>
              <w:t>languages</w:t>
            </w:r>
            <w:r>
              <w:rPr>
                <w:spacing w:val="-7"/>
                <w:sz w:val="20"/>
              </w:rPr>
              <w:t> </w:t>
            </w:r>
            <w:r>
              <w:rPr>
                <w:spacing w:val="-2"/>
                <w:sz w:val="20"/>
              </w:rPr>
              <w:t>(ccn)</w:t>
            </w:r>
          </w:p>
        </w:tc>
      </w:tr>
      <w:tr>
        <w:trPr>
          <w:trHeight w:val="230" w:hRule="atLeast"/>
        </w:trPr>
        <w:tc>
          <w:tcPr>
            <w:tcW w:w="612" w:type="dxa"/>
          </w:tcPr>
          <w:p>
            <w:pPr>
              <w:pStyle w:val="TableParagraph"/>
              <w:ind w:left="50"/>
              <w:rPr>
                <w:sz w:val="20"/>
              </w:rPr>
            </w:pPr>
            <w:r>
              <w:rPr>
                <w:spacing w:val="-4"/>
                <w:sz w:val="20"/>
              </w:rPr>
              <w:t>1028</w:t>
            </w:r>
          </w:p>
        </w:tc>
        <w:tc>
          <w:tcPr>
            <w:tcW w:w="4360" w:type="dxa"/>
          </w:tcPr>
          <w:p>
            <w:pPr>
              <w:pStyle w:val="TableParagraph"/>
              <w:ind w:left="158"/>
              <w:rPr>
                <w:sz w:val="20"/>
              </w:rPr>
            </w:pPr>
            <w:r>
              <w:rPr>
                <w:sz w:val="20"/>
              </w:rPr>
              <w:t>Nigerian</w:t>
            </w:r>
            <w:r>
              <w:rPr>
                <w:spacing w:val="-8"/>
                <w:sz w:val="20"/>
              </w:rPr>
              <w:t> </w:t>
            </w:r>
            <w:r>
              <w:rPr>
                <w:sz w:val="20"/>
              </w:rPr>
              <w:t>Pidgin</w:t>
            </w:r>
            <w:r>
              <w:rPr>
                <w:spacing w:val="-8"/>
                <w:sz w:val="20"/>
              </w:rPr>
              <w:t> </w:t>
            </w:r>
            <w:r>
              <w:rPr>
                <w:spacing w:val="-4"/>
                <w:sz w:val="20"/>
              </w:rPr>
              <w:t>(pcm)</w:t>
            </w:r>
          </w:p>
        </w:tc>
        <w:tc>
          <w:tcPr>
            <w:tcW w:w="969" w:type="dxa"/>
          </w:tcPr>
          <w:p>
            <w:pPr>
              <w:pStyle w:val="TableParagraph"/>
              <w:ind w:right="156"/>
              <w:jc w:val="right"/>
              <w:rPr>
                <w:sz w:val="20"/>
              </w:rPr>
            </w:pPr>
            <w:r>
              <w:rPr>
                <w:spacing w:val="-4"/>
                <w:sz w:val="20"/>
              </w:rPr>
              <w:t>1610</w:t>
            </w:r>
          </w:p>
        </w:tc>
        <w:tc>
          <w:tcPr>
            <w:tcW w:w="2852" w:type="dxa"/>
          </w:tcPr>
          <w:p>
            <w:pPr>
              <w:pStyle w:val="TableParagraph"/>
              <w:ind w:left="158"/>
              <w:rPr>
                <w:sz w:val="20"/>
              </w:rPr>
            </w:pPr>
            <w:r>
              <w:rPr>
                <w:sz w:val="20"/>
              </w:rPr>
              <w:t>Avaric</w:t>
            </w:r>
            <w:r>
              <w:rPr>
                <w:spacing w:val="-6"/>
                <w:sz w:val="20"/>
              </w:rPr>
              <w:t> </w:t>
            </w:r>
            <w:r>
              <w:rPr>
                <w:spacing w:val="-2"/>
                <w:sz w:val="20"/>
              </w:rPr>
              <w:t>(ava)</w:t>
            </w:r>
          </w:p>
        </w:tc>
      </w:tr>
      <w:tr>
        <w:trPr>
          <w:trHeight w:val="230" w:hRule="atLeast"/>
        </w:trPr>
        <w:tc>
          <w:tcPr>
            <w:tcW w:w="612" w:type="dxa"/>
          </w:tcPr>
          <w:p>
            <w:pPr>
              <w:pStyle w:val="TableParagraph"/>
              <w:ind w:left="50"/>
              <w:rPr>
                <w:sz w:val="20"/>
              </w:rPr>
            </w:pPr>
            <w:r>
              <w:rPr>
                <w:spacing w:val="-4"/>
                <w:sz w:val="20"/>
              </w:rPr>
              <w:t>1030</w:t>
            </w:r>
          </w:p>
        </w:tc>
        <w:tc>
          <w:tcPr>
            <w:tcW w:w="4360" w:type="dxa"/>
          </w:tcPr>
          <w:p>
            <w:pPr>
              <w:pStyle w:val="TableParagraph"/>
              <w:ind w:left="158"/>
              <w:rPr>
                <w:sz w:val="20"/>
              </w:rPr>
            </w:pPr>
            <w:r>
              <w:rPr>
                <w:sz w:val="20"/>
              </w:rPr>
              <w:t>Liberian</w:t>
            </w:r>
            <w:r>
              <w:rPr>
                <w:spacing w:val="-7"/>
                <w:sz w:val="20"/>
              </w:rPr>
              <w:t> </w:t>
            </w:r>
            <w:r>
              <w:rPr>
                <w:sz w:val="20"/>
              </w:rPr>
              <w:t>English</w:t>
            </w:r>
            <w:r>
              <w:rPr>
                <w:spacing w:val="-7"/>
                <w:sz w:val="20"/>
              </w:rPr>
              <w:t> </w:t>
            </w:r>
            <w:r>
              <w:rPr>
                <w:spacing w:val="-2"/>
                <w:sz w:val="20"/>
              </w:rPr>
              <w:t>(lir)</w:t>
            </w:r>
          </w:p>
        </w:tc>
        <w:tc>
          <w:tcPr>
            <w:tcW w:w="969" w:type="dxa"/>
          </w:tcPr>
          <w:p>
            <w:pPr>
              <w:pStyle w:val="TableParagraph"/>
              <w:ind w:right="156"/>
              <w:jc w:val="right"/>
              <w:rPr>
                <w:sz w:val="20"/>
              </w:rPr>
            </w:pPr>
            <w:r>
              <w:rPr>
                <w:spacing w:val="-4"/>
                <w:sz w:val="20"/>
              </w:rPr>
              <w:t>1612</w:t>
            </w:r>
          </w:p>
        </w:tc>
        <w:tc>
          <w:tcPr>
            <w:tcW w:w="2852" w:type="dxa"/>
          </w:tcPr>
          <w:p>
            <w:pPr>
              <w:pStyle w:val="TableParagraph"/>
              <w:ind w:left="158"/>
              <w:rPr>
                <w:sz w:val="20"/>
              </w:rPr>
            </w:pPr>
            <w:r>
              <w:rPr>
                <w:sz w:val="20"/>
              </w:rPr>
              <w:t>Lak</w:t>
            </w:r>
            <w:r>
              <w:rPr>
                <w:spacing w:val="-5"/>
                <w:sz w:val="20"/>
              </w:rPr>
              <w:t> </w:t>
            </w:r>
            <w:r>
              <w:rPr>
                <w:spacing w:val="-2"/>
                <w:sz w:val="20"/>
              </w:rPr>
              <w:t>(lbe)</w:t>
            </w:r>
          </w:p>
        </w:tc>
      </w:tr>
      <w:tr>
        <w:trPr>
          <w:trHeight w:val="230" w:hRule="atLeast"/>
        </w:trPr>
        <w:tc>
          <w:tcPr>
            <w:tcW w:w="612" w:type="dxa"/>
          </w:tcPr>
          <w:p>
            <w:pPr>
              <w:pStyle w:val="TableParagraph"/>
              <w:ind w:left="50"/>
              <w:rPr>
                <w:sz w:val="20"/>
              </w:rPr>
            </w:pPr>
            <w:r>
              <w:rPr>
                <w:spacing w:val="-4"/>
                <w:sz w:val="20"/>
              </w:rPr>
              <w:t>1043</w:t>
            </w:r>
          </w:p>
        </w:tc>
        <w:tc>
          <w:tcPr>
            <w:tcW w:w="4360" w:type="dxa"/>
          </w:tcPr>
          <w:p>
            <w:pPr>
              <w:pStyle w:val="TableParagraph"/>
              <w:ind w:left="158"/>
              <w:rPr>
                <w:sz w:val="20"/>
              </w:rPr>
            </w:pPr>
            <w:r>
              <w:rPr>
                <w:sz w:val="20"/>
              </w:rPr>
              <w:t>Bislama</w:t>
            </w:r>
            <w:r>
              <w:rPr>
                <w:spacing w:val="-9"/>
                <w:sz w:val="20"/>
              </w:rPr>
              <w:t> </w:t>
            </w:r>
            <w:r>
              <w:rPr>
                <w:spacing w:val="-2"/>
                <w:sz w:val="20"/>
              </w:rPr>
              <w:t>(bis)</w:t>
            </w:r>
          </w:p>
        </w:tc>
        <w:tc>
          <w:tcPr>
            <w:tcW w:w="969" w:type="dxa"/>
          </w:tcPr>
          <w:p>
            <w:pPr>
              <w:pStyle w:val="TableParagraph"/>
              <w:ind w:right="156"/>
              <w:jc w:val="right"/>
              <w:rPr>
                <w:sz w:val="20"/>
              </w:rPr>
            </w:pPr>
            <w:r>
              <w:rPr>
                <w:spacing w:val="-4"/>
                <w:sz w:val="20"/>
              </w:rPr>
              <w:t>1615</w:t>
            </w:r>
          </w:p>
        </w:tc>
        <w:tc>
          <w:tcPr>
            <w:tcW w:w="2852" w:type="dxa"/>
          </w:tcPr>
          <w:p>
            <w:pPr>
              <w:pStyle w:val="TableParagraph"/>
              <w:ind w:left="158"/>
              <w:rPr>
                <w:sz w:val="20"/>
              </w:rPr>
            </w:pPr>
            <w:r>
              <w:rPr>
                <w:sz w:val="20"/>
              </w:rPr>
              <w:t>Lezghian</w:t>
            </w:r>
            <w:r>
              <w:rPr>
                <w:spacing w:val="-11"/>
                <w:sz w:val="20"/>
              </w:rPr>
              <w:t> </w:t>
            </w:r>
            <w:r>
              <w:rPr>
                <w:spacing w:val="-2"/>
                <w:sz w:val="20"/>
              </w:rPr>
              <w:t>(lez)</w:t>
            </w:r>
          </w:p>
        </w:tc>
      </w:tr>
      <w:tr>
        <w:trPr>
          <w:trHeight w:val="229" w:hRule="atLeast"/>
        </w:trPr>
        <w:tc>
          <w:tcPr>
            <w:tcW w:w="612" w:type="dxa"/>
          </w:tcPr>
          <w:p>
            <w:pPr>
              <w:pStyle w:val="TableParagraph"/>
              <w:spacing w:line="209" w:lineRule="exact"/>
              <w:ind w:left="50"/>
              <w:rPr>
                <w:sz w:val="20"/>
              </w:rPr>
            </w:pPr>
            <w:r>
              <w:rPr>
                <w:spacing w:val="-4"/>
                <w:sz w:val="20"/>
              </w:rPr>
              <w:t>1045</w:t>
            </w:r>
          </w:p>
        </w:tc>
        <w:tc>
          <w:tcPr>
            <w:tcW w:w="4360" w:type="dxa"/>
          </w:tcPr>
          <w:p>
            <w:pPr>
              <w:pStyle w:val="TableParagraph"/>
              <w:spacing w:line="209" w:lineRule="exact"/>
              <w:ind w:left="158"/>
              <w:rPr>
                <w:sz w:val="20"/>
              </w:rPr>
            </w:pPr>
            <w:r>
              <w:rPr>
                <w:sz w:val="20"/>
              </w:rPr>
              <w:t>Pijin</w:t>
            </w:r>
            <w:r>
              <w:rPr>
                <w:spacing w:val="-4"/>
                <w:sz w:val="20"/>
              </w:rPr>
              <w:t> </w:t>
            </w:r>
            <w:r>
              <w:rPr>
                <w:spacing w:val="-2"/>
                <w:sz w:val="20"/>
              </w:rPr>
              <w:t>(pis)</w:t>
            </w:r>
          </w:p>
        </w:tc>
        <w:tc>
          <w:tcPr>
            <w:tcW w:w="969" w:type="dxa"/>
          </w:tcPr>
          <w:p>
            <w:pPr>
              <w:pStyle w:val="TableParagraph"/>
              <w:spacing w:line="209" w:lineRule="exact"/>
              <w:ind w:right="156"/>
              <w:jc w:val="right"/>
              <w:rPr>
                <w:sz w:val="20"/>
              </w:rPr>
            </w:pPr>
            <w:r>
              <w:rPr>
                <w:spacing w:val="-4"/>
                <w:sz w:val="20"/>
              </w:rPr>
              <w:t>1616</w:t>
            </w:r>
          </w:p>
        </w:tc>
        <w:tc>
          <w:tcPr>
            <w:tcW w:w="2852" w:type="dxa"/>
          </w:tcPr>
          <w:p>
            <w:pPr>
              <w:pStyle w:val="TableParagraph"/>
              <w:spacing w:line="209" w:lineRule="exact"/>
              <w:ind w:left="158"/>
              <w:rPr>
                <w:sz w:val="20"/>
              </w:rPr>
            </w:pPr>
            <w:r>
              <w:rPr>
                <w:sz w:val="20"/>
              </w:rPr>
              <w:t>Tabassaran</w:t>
            </w:r>
            <w:r>
              <w:rPr>
                <w:spacing w:val="-7"/>
                <w:sz w:val="20"/>
              </w:rPr>
              <w:t> </w:t>
            </w:r>
            <w:r>
              <w:rPr>
                <w:spacing w:val="-2"/>
                <w:sz w:val="20"/>
              </w:rPr>
              <w:t>(tab)</w:t>
            </w:r>
          </w:p>
        </w:tc>
      </w:tr>
      <w:tr>
        <w:trPr>
          <w:trHeight w:val="229" w:hRule="atLeast"/>
        </w:trPr>
        <w:tc>
          <w:tcPr>
            <w:tcW w:w="612" w:type="dxa"/>
          </w:tcPr>
          <w:p>
            <w:pPr>
              <w:pStyle w:val="TableParagraph"/>
              <w:spacing w:line="209" w:lineRule="exact"/>
              <w:ind w:left="50"/>
              <w:rPr>
                <w:sz w:val="20"/>
              </w:rPr>
            </w:pPr>
            <w:r>
              <w:rPr>
                <w:spacing w:val="-4"/>
                <w:sz w:val="20"/>
              </w:rPr>
              <w:t>1047</w:t>
            </w:r>
          </w:p>
        </w:tc>
        <w:tc>
          <w:tcPr>
            <w:tcW w:w="4360" w:type="dxa"/>
          </w:tcPr>
          <w:p>
            <w:pPr>
              <w:pStyle w:val="TableParagraph"/>
              <w:spacing w:line="209" w:lineRule="exact"/>
              <w:ind w:left="158"/>
              <w:rPr>
                <w:sz w:val="20"/>
              </w:rPr>
            </w:pPr>
            <w:r>
              <w:rPr>
                <w:sz w:val="20"/>
              </w:rPr>
              <w:t>Tok</w:t>
            </w:r>
            <w:r>
              <w:rPr>
                <w:spacing w:val="-6"/>
                <w:sz w:val="20"/>
              </w:rPr>
              <w:t> </w:t>
            </w:r>
            <w:r>
              <w:rPr>
                <w:sz w:val="20"/>
              </w:rPr>
              <w:t>Pisin</w:t>
            </w:r>
            <w:r>
              <w:rPr>
                <w:spacing w:val="-4"/>
                <w:sz w:val="20"/>
              </w:rPr>
              <w:t> </w:t>
            </w:r>
            <w:r>
              <w:rPr>
                <w:spacing w:val="-2"/>
                <w:sz w:val="20"/>
              </w:rPr>
              <w:t>(tpi)</w:t>
            </w:r>
          </w:p>
        </w:tc>
        <w:tc>
          <w:tcPr>
            <w:tcW w:w="969" w:type="dxa"/>
          </w:tcPr>
          <w:p>
            <w:pPr>
              <w:pStyle w:val="TableParagraph"/>
              <w:spacing w:line="209" w:lineRule="exact"/>
              <w:ind w:right="156"/>
              <w:jc w:val="right"/>
              <w:rPr>
                <w:sz w:val="20"/>
              </w:rPr>
            </w:pPr>
            <w:r>
              <w:rPr>
                <w:spacing w:val="-4"/>
                <w:sz w:val="20"/>
              </w:rPr>
              <w:t>1620</w:t>
            </w:r>
          </w:p>
        </w:tc>
        <w:tc>
          <w:tcPr>
            <w:tcW w:w="2852" w:type="dxa"/>
          </w:tcPr>
          <w:p>
            <w:pPr>
              <w:pStyle w:val="TableParagraph"/>
              <w:spacing w:line="209" w:lineRule="exact"/>
              <w:ind w:left="158"/>
              <w:rPr>
                <w:sz w:val="20"/>
              </w:rPr>
            </w:pPr>
            <w:r>
              <w:rPr>
                <w:sz w:val="20"/>
              </w:rPr>
              <w:t>Chechen</w:t>
            </w:r>
            <w:r>
              <w:rPr>
                <w:spacing w:val="-9"/>
                <w:sz w:val="20"/>
              </w:rPr>
              <w:t> </w:t>
            </w:r>
            <w:r>
              <w:rPr>
                <w:spacing w:val="-2"/>
                <w:sz w:val="20"/>
              </w:rPr>
              <w:t>(che)</w:t>
            </w:r>
          </w:p>
        </w:tc>
      </w:tr>
      <w:tr>
        <w:trPr>
          <w:trHeight w:val="230" w:hRule="atLeast"/>
        </w:trPr>
        <w:tc>
          <w:tcPr>
            <w:tcW w:w="612" w:type="dxa"/>
          </w:tcPr>
          <w:p>
            <w:pPr>
              <w:pStyle w:val="TableParagraph"/>
              <w:spacing w:line="240" w:lineRule="auto"/>
              <w:rPr>
                <w:sz w:val="16"/>
              </w:rPr>
            </w:pPr>
          </w:p>
        </w:tc>
        <w:tc>
          <w:tcPr>
            <w:tcW w:w="4360" w:type="dxa"/>
          </w:tcPr>
          <w:p>
            <w:pPr>
              <w:pStyle w:val="TableParagraph"/>
              <w:spacing w:line="240" w:lineRule="auto"/>
              <w:rPr>
                <w:sz w:val="16"/>
              </w:rPr>
            </w:pPr>
          </w:p>
        </w:tc>
        <w:tc>
          <w:tcPr>
            <w:tcW w:w="969" w:type="dxa"/>
          </w:tcPr>
          <w:p>
            <w:pPr>
              <w:pStyle w:val="TableParagraph"/>
              <w:ind w:right="156"/>
              <w:jc w:val="right"/>
              <w:rPr>
                <w:sz w:val="20"/>
              </w:rPr>
            </w:pPr>
            <w:r>
              <w:rPr>
                <w:spacing w:val="-4"/>
                <w:sz w:val="20"/>
              </w:rPr>
              <w:t>1621</w:t>
            </w:r>
          </w:p>
        </w:tc>
        <w:tc>
          <w:tcPr>
            <w:tcW w:w="2852" w:type="dxa"/>
          </w:tcPr>
          <w:p>
            <w:pPr>
              <w:pStyle w:val="TableParagraph"/>
              <w:ind w:left="158"/>
              <w:rPr>
                <w:sz w:val="20"/>
              </w:rPr>
            </w:pPr>
            <w:r>
              <w:rPr>
                <w:sz w:val="20"/>
              </w:rPr>
              <w:t>Ingush</w:t>
            </w:r>
            <w:r>
              <w:rPr>
                <w:spacing w:val="-9"/>
                <w:sz w:val="20"/>
              </w:rPr>
              <w:t> </w:t>
            </w:r>
            <w:r>
              <w:rPr>
                <w:spacing w:val="-2"/>
                <w:sz w:val="20"/>
              </w:rPr>
              <w:t>(inh)</w:t>
            </w:r>
          </w:p>
        </w:tc>
      </w:tr>
      <w:tr>
        <w:trPr>
          <w:trHeight w:val="230" w:hRule="atLeast"/>
        </w:trPr>
        <w:tc>
          <w:tcPr>
            <w:tcW w:w="612" w:type="dxa"/>
          </w:tcPr>
          <w:p>
            <w:pPr>
              <w:pStyle w:val="TableParagraph"/>
              <w:ind w:left="50"/>
              <w:rPr>
                <w:sz w:val="20"/>
              </w:rPr>
            </w:pPr>
            <w:r>
              <w:rPr>
                <w:spacing w:val="-4"/>
                <w:sz w:val="20"/>
              </w:rPr>
              <w:t>1033</w:t>
            </w:r>
          </w:p>
        </w:tc>
        <w:tc>
          <w:tcPr>
            <w:tcW w:w="4360" w:type="dxa"/>
          </w:tcPr>
          <w:p>
            <w:pPr>
              <w:pStyle w:val="TableParagraph"/>
              <w:ind w:left="158"/>
              <w:rPr>
                <w:sz w:val="20"/>
              </w:rPr>
            </w:pPr>
            <w:r>
              <w:rPr>
                <w:sz w:val="20"/>
              </w:rPr>
              <w:t>Flaaitaal</w:t>
            </w:r>
            <w:r>
              <w:rPr>
                <w:spacing w:val="-7"/>
                <w:sz w:val="20"/>
              </w:rPr>
              <w:t> </w:t>
            </w:r>
            <w:r>
              <w:rPr>
                <w:spacing w:val="-2"/>
                <w:sz w:val="20"/>
              </w:rPr>
              <w:t>(fly)</w:t>
            </w:r>
          </w:p>
        </w:tc>
        <w:tc>
          <w:tcPr>
            <w:tcW w:w="969" w:type="dxa"/>
          </w:tcPr>
          <w:p>
            <w:pPr>
              <w:pStyle w:val="TableParagraph"/>
              <w:ind w:right="156"/>
              <w:jc w:val="right"/>
              <w:rPr>
                <w:sz w:val="20"/>
              </w:rPr>
            </w:pPr>
            <w:r>
              <w:rPr>
                <w:spacing w:val="-4"/>
                <w:sz w:val="20"/>
              </w:rPr>
              <w:t>1625</w:t>
            </w:r>
          </w:p>
        </w:tc>
        <w:tc>
          <w:tcPr>
            <w:tcW w:w="2852" w:type="dxa"/>
          </w:tcPr>
          <w:p>
            <w:pPr>
              <w:pStyle w:val="TableParagraph"/>
              <w:ind w:left="158"/>
              <w:rPr>
                <w:sz w:val="20"/>
              </w:rPr>
            </w:pPr>
            <w:r>
              <w:rPr>
                <w:sz w:val="20"/>
              </w:rPr>
              <w:t>Dargwa</w:t>
            </w:r>
            <w:r>
              <w:rPr>
                <w:spacing w:val="-8"/>
                <w:sz w:val="20"/>
              </w:rPr>
              <w:t> </w:t>
            </w:r>
            <w:r>
              <w:rPr>
                <w:spacing w:val="-2"/>
                <w:sz w:val="20"/>
              </w:rPr>
              <w:t>(dar)</w:t>
            </w:r>
          </w:p>
        </w:tc>
      </w:tr>
      <w:tr>
        <w:trPr>
          <w:trHeight w:val="230" w:hRule="atLeast"/>
        </w:trPr>
        <w:tc>
          <w:tcPr>
            <w:tcW w:w="612" w:type="dxa"/>
          </w:tcPr>
          <w:p>
            <w:pPr>
              <w:pStyle w:val="TableParagraph"/>
              <w:ind w:left="50"/>
              <w:rPr>
                <w:sz w:val="20"/>
              </w:rPr>
            </w:pPr>
            <w:r>
              <w:rPr>
                <w:spacing w:val="-4"/>
                <w:sz w:val="20"/>
              </w:rPr>
              <w:t>1034</w:t>
            </w:r>
          </w:p>
        </w:tc>
        <w:tc>
          <w:tcPr>
            <w:tcW w:w="4360" w:type="dxa"/>
          </w:tcPr>
          <w:p>
            <w:pPr>
              <w:pStyle w:val="TableParagraph"/>
              <w:ind w:left="158"/>
              <w:rPr>
                <w:sz w:val="20"/>
              </w:rPr>
            </w:pPr>
            <w:r>
              <w:rPr>
                <w:sz w:val="20"/>
              </w:rPr>
              <w:t>Nubi</w:t>
            </w:r>
            <w:r>
              <w:rPr>
                <w:spacing w:val="-7"/>
                <w:sz w:val="20"/>
              </w:rPr>
              <w:t> </w:t>
            </w:r>
            <w:r>
              <w:rPr>
                <w:spacing w:val="-2"/>
                <w:sz w:val="20"/>
              </w:rPr>
              <w:t>(kcn)</w:t>
            </w:r>
          </w:p>
        </w:tc>
        <w:tc>
          <w:tcPr>
            <w:tcW w:w="969" w:type="dxa"/>
          </w:tcPr>
          <w:p>
            <w:pPr>
              <w:pStyle w:val="TableParagraph"/>
              <w:ind w:right="156"/>
              <w:jc w:val="right"/>
              <w:rPr>
                <w:sz w:val="20"/>
              </w:rPr>
            </w:pPr>
            <w:r>
              <w:rPr>
                <w:spacing w:val="-4"/>
                <w:sz w:val="20"/>
              </w:rPr>
              <w:t>1630</w:t>
            </w:r>
          </w:p>
        </w:tc>
        <w:tc>
          <w:tcPr>
            <w:tcW w:w="2852" w:type="dxa"/>
          </w:tcPr>
          <w:p>
            <w:pPr>
              <w:pStyle w:val="TableParagraph"/>
              <w:ind w:left="158"/>
              <w:rPr>
                <w:sz w:val="20"/>
              </w:rPr>
            </w:pPr>
            <w:r>
              <w:rPr>
                <w:sz w:val="20"/>
              </w:rPr>
              <w:t>Abaza</w:t>
            </w:r>
            <w:r>
              <w:rPr>
                <w:spacing w:val="-8"/>
                <w:sz w:val="20"/>
              </w:rPr>
              <w:t> </w:t>
            </w:r>
            <w:r>
              <w:rPr>
                <w:spacing w:val="-2"/>
                <w:sz w:val="20"/>
              </w:rPr>
              <w:t>(abq)</w:t>
            </w:r>
          </w:p>
        </w:tc>
      </w:tr>
      <w:tr>
        <w:trPr>
          <w:trHeight w:val="230" w:hRule="atLeast"/>
        </w:trPr>
        <w:tc>
          <w:tcPr>
            <w:tcW w:w="612" w:type="dxa"/>
          </w:tcPr>
          <w:p>
            <w:pPr>
              <w:pStyle w:val="TableParagraph"/>
              <w:spacing w:line="211" w:lineRule="exact"/>
              <w:ind w:left="50"/>
              <w:rPr>
                <w:sz w:val="20"/>
              </w:rPr>
            </w:pPr>
            <w:r>
              <w:rPr>
                <w:spacing w:val="-4"/>
                <w:sz w:val="20"/>
              </w:rPr>
              <w:t>1038</w:t>
            </w:r>
          </w:p>
        </w:tc>
        <w:tc>
          <w:tcPr>
            <w:tcW w:w="4360" w:type="dxa"/>
          </w:tcPr>
          <w:p>
            <w:pPr>
              <w:pStyle w:val="TableParagraph"/>
              <w:spacing w:line="211" w:lineRule="exact"/>
              <w:ind w:left="158"/>
              <w:rPr>
                <w:sz w:val="20"/>
              </w:rPr>
            </w:pPr>
            <w:r>
              <w:rPr>
                <w:sz w:val="20"/>
              </w:rPr>
              <w:t>Kituba</w:t>
            </w:r>
            <w:r>
              <w:rPr>
                <w:spacing w:val="-7"/>
                <w:sz w:val="20"/>
              </w:rPr>
              <w:t> </w:t>
            </w:r>
            <w:r>
              <w:rPr>
                <w:sz w:val="20"/>
              </w:rPr>
              <w:t>(Democratic</w:t>
            </w:r>
            <w:r>
              <w:rPr>
                <w:spacing w:val="-4"/>
                <w:sz w:val="20"/>
              </w:rPr>
              <w:t> </w:t>
            </w:r>
            <w:r>
              <w:rPr>
                <w:sz w:val="20"/>
              </w:rPr>
              <w:t>Republic</w:t>
            </w:r>
            <w:r>
              <w:rPr>
                <w:spacing w:val="-5"/>
                <w:sz w:val="20"/>
              </w:rPr>
              <w:t> </w:t>
            </w:r>
            <w:r>
              <w:rPr>
                <w:sz w:val="20"/>
              </w:rPr>
              <w:t>of</w:t>
            </w:r>
            <w:r>
              <w:rPr>
                <w:spacing w:val="-8"/>
                <w:sz w:val="20"/>
              </w:rPr>
              <w:t> </w:t>
            </w:r>
            <w:r>
              <w:rPr>
                <w:sz w:val="20"/>
              </w:rPr>
              <w:t>Congo)</w:t>
            </w:r>
            <w:r>
              <w:rPr>
                <w:spacing w:val="-6"/>
                <w:sz w:val="20"/>
              </w:rPr>
              <w:t> </w:t>
            </w:r>
            <w:r>
              <w:rPr>
                <w:spacing w:val="-4"/>
                <w:sz w:val="20"/>
              </w:rPr>
              <w:t>(ktu)</w:t>
            </w:r>
          </w:p>
        </w:tc>
        <w:tc>
          <w:tcPr>
            <w:tcW w:w="969" w:type="dxa"/>
          </w:tcPr>
          <w:p>
            <w:pPr>
              <w:pStyle w:val="TableParagraph"/>
              <w:spacing w:line="211" w:lineRule="exact"/>
              <w:ind w:right="156"/>
              <w:jc w:val="right"/>
              <w:rPr>
                <w:sz w:val="20"/>
              </w:rPr>
            </w:pPr>
            <w:r>
              <w:rPr>
                <w:spacing w:val="-4"/>
                <w:sz w:val="20"/>
              </w:rPr>
              <w:t>1631</w:t>
            </w:r>
          </w:p>
        </w:tc>
        <w:tc>
          <w:tcPr>
            <w:tcW w:w="2852" w:type="dxa"/>
          </w:tcPr>
          <w:p>
            <w:pPr>
              <w:pStyle w:val="TableParagraph"/>
              <w:spacing w:line="211" w:lineRule="exact"/>
              <w:ind w:left="158"/>
              <w:rPr>
                <w:sz w:val="20"/>
              </w:rPr>
            </w:pPr>
            <w:r>
              <w:rPr>
                <w:sz w:val="20"/>
              </w:rPr>
              <w:t>Abkhazian</w:t>
            </w:r>
            <w:r>
              <w:rPr>
                <w:spacing w:val="-12"/>
                <w:sz w:val="20"/>
              </w:rPr>
              <w:t> </w:t>
            </w:r>
            <w:r>
              <w:rPr>
                <w:spacing w:val="-2"/>
                <w:sz w:val="20"/>
              </w:rPr>
              <w:t>(abk)</w:t>
            </w:r>
          </w:p>
        </w:tc>
      </w:tr>
      <w:tr>
        <w:trPr>
          <w:trHeight w:val="229" w:hRule="atLeast"/>
        </w:trPr>
        <w:tc>
          <w:tcPr>
            <w:tcW w:w="612" w:type="dxa"/>
          </w:tcPr>
          <w:p>
            <w:pPr>
              <w:pStyle w:val="TableParagraph"/>
              <w:spacing w:line="209" w:lineRule="exact"/>
              <w:ind w:left="50"/>
              <w:rPr>
                <w:sz w:val="20"/>
              </w:rPr>
            </w:pPr>
            <w:r>
              <w:rPr>
                <w:spacing w:val="-4"/>
                <w:sz w:val="20"/>
              </w:rPr>
              <w:t>1040</w:t>
            </w:r>
          </w:p>
        </w:tc>
        <w:tc>
          <w:tcPr>
            <w:tcW w:w="4360" w:type="dxa"/>
          </w:tcPr>
          <w:p>
            <w:pPr>
              <w:pStyle w:val="TableParagraph"/>
              <w:spacing w:line="209" w:lineRule="exact"/>
              <w:ind w:left="158"/>
              <w:rPr>
                <w:sz w:val="20"/>
              </w:rPr>
            </w:pPr>
            <w:r>
              <w:rPr>
                <w:sz w:val="20"/>
              </w:rPr>
              <w:t>Sango</w:t>
            </w:r>
            <w:r>
              <w:rPr>
                <w:spacing w:val="-7"/>
                <w:sz w:val="20"/>
              </w:rPr>
              <w:t> </w:t>
            </w:r>
            <w:r>
              <w:rPr>
                <w:spacing w:val="-2"/>
                <w:sz w:val="20"/>
              </w:rPr>
              <w:t>(sag)</w:t>
            </w:r>
          </w:p>
        </w:tc>
        <w:tc>
          <w:tcPr>
            <w:tcW w:w="969" w:type="dxa"/>
          </w:tcPr>
          <w:p>
            <w:pPr>
              <w:pStyle w:val="TableParagraph"/>
              <w:spacing w:line="209" w:lineRule="exact"/>
              <w:ind w:right="156"/>
              <w:jc w:val="right"/>
              <w:rPr>
                <w:sz w:val="20"/>
              </w:rPr>
            </w:pPr>
            <w:r>
              <w:rPr>
                <w:spacing w:val="-4"/>
                <w:sz w:val="20"/>
              </w:rPr>
              <w:t>1635</w:t>
            </w:r>
          </w:p>
        </w:tc>
        <w:tc>
          <w:tcPr>
            <w:tcW w:w="2852" w:type="dxa"/>
          </w:tcPr>
          <w:p>
            <w:pPr>
              <w:pStyle w:val="TableParagraph"/>
              <w:spacing w:line="209" w:lineRule="exact"/>
              <w:ind w:left="158"/>
              <w:rPr>
                <w:sz w:val="20"/>
              </w:rPr>
            </w:pPr>
            <w:r>
              <w:rPr>
                <w:sz w:val="20"/>
              </w:rPr>
              <w:t>Adyghe</w:t>
            </w:r>
            <w:r>
              <w:rPr>
                <w:spacing w:val="-10"/>
                <w:sz w:val="20"/>
              </w:rPr>
              <w:t> </w:t>
            </w:r>
            <w:r>
              <w:rPr>
                <w:spacing w:val="-2"/>
                <w:sz w:val="20"/>
              </w:rPr>
              <w:t>(ady)</w:t>
            </w:r>
          </w:p>
        </w:tc>
      </w:tr>
      <w:tr>
        <w:trPr>
          <w:trHeight w:val="229" w:hRule="atLeast"/>
        </w:trPr>
        <w:tc>
          <w:tcPr>
            <w:tcW w:w="612" w:type="dxa"/>
          </w:tcPr>
          <w:p>
            <w:pPr>
              <w:pStyle w:val="TableParagraph"/>
              <w:spacing w:line="209" w:lineRule="exact"/>
              <w:ind w:left="50"/>
              <w:rPr>
                <w:sz w:val="20"/>
              </w:rPr>
            </w:pPr>
            <w:r>
              <w:rPr>
                <w:spacing w:val="-4"/>
                <w:sz w:val="20"/>
              </w:rPr>
              <w:t>1051</w:t>
            </w:r>
          </w:p>
        </w:tc>
        <w:tc>
          <w:tcPr>
            <w:tcW w:w="4360" w:type="dxa"/>
          </w:tcPr>
          <w:p>
            <w:pPr>
              <w:pStyle w:val="TableParagraph"/>
              <w:spacing w:line="209" w:lineRule="exact"/>
              <w:ind w:left="158"/>
              <w:rPr>
                <w:sz w:val="20"/>
              </w:rPr>
            </w:pPr>
            <w:r>
              <w:rPr>
                <w:sz w:val="20"/>
              </w:rPr>
              <w:t>Hiri</w:t>
            </w:r>
            <w:r>
              <w:rPr>
                <w:spacing w:val="-5"/>
                <w:sz w:val="20"/>
              </w:rPr>
              <w:t> </w:t>
            </w:r>
            <w:r>
              <w:rPr>
                <w:sz w:val="20"/>
              </w:rPr>
              <w:t>Motu</w:t>
            </w:r>
            <w:r>
              <w:rPr>
                <w:spacing w:val="-5"/>
                <w:sz w:val="20"/>
              </w:rPr>
              <w:t> </w:t>
            </w:r>
            <w:r>
              <w:rPr>
                <w:spacing w:val="-2"/>
                <w:sz w:val="20"/>
              </w:rPr>
              <w:t>(mho)</w:t>
            </w:r>
          </w:p>
        </w:tc>
        <w:tc>
          <w:tcPr>
            <w:tcW w:w="969" w:type="dxa"/>
          </w:tcPr>
          <w:p>
            <w:pPr>
              <w:pStyle w:val="TableParagraph"/>
              <w:spacing w:line="209" w:lineRule="exact"/>
              <w:ind w:right="156"/>
              <w:jc w:val="right"/>
              <w:rPr>
                <w:sz w:val="20"/>
              </w:rPr>
            </w:pPr>
            <w:r>
              <w:rPr>
                <w:spacing w:val="-4"/>
                <w:sz w:val="20"/>
              </w:rPr>
              <w:t>1636</w:t>
            </w:r>
          </w:p>
        </w:tc>
        <w:tc>
          <w:tcPr>
            <w:tcW w:w="2852" w:type="dxa"/>
          </w:tcPr>
          <w:p>
            <w:pPr>
              <w:pStyle w:val="TableParagraph"/>
              <w:spacing w:line="209" w:lineRule="exact"/>
              <w:ind w:left="158"/>
              <w:rPr>
                <w:sz w:val="20"/>
              </w:rPr>
            </w:pPr>
            <w:r>
              <w:rPr>
                <w:sz w:val="20"/>
              </w:rPr>
              <w:t>Kabardian</w:t>
            </w:r>
            <w:r>
              <w:rPr>
                <w:spacing w:val="-7"/>
                <w:sz w:val="20"/>
              </w:rPr>
              <w:t> </w:t>
            </w:r>
            <w:r>
              <w:rPr>
                <w:spacing w:val="-2"/>
                <w:sz w:val="20"/>
              </w:rPr>
              <w:t>(kbd)</w:t>
            </w:r>
          </w:p>
        </w:tc>
      </w:tr>
      <w:tr>
        <w:trPr>
          <w:trHeight w:val="230" w:hRule="atLeast"/>
        </w:trPr>
        <w:tc>
          <w:tcPr>
            <w:tcW w:w="612" w:type="dxa"/>
          </w:tcPr>
          <w:p>
            <w:pPr>
              <w:pStyle w:val="TableParagraph"/>
              <w:ind w:left="50"/>
              <w:rPr>
                <w:sz w:val="20"/>
              </w:rPr>
            </w:pPr>
            <w:r>
              <w:rPr>
                <w:spacing w:val="-4"/>
                <w:sz w:val="20"/>
              </w:rPr>
              <w:t>1057</w:t>
            </w:r>
          </w:p>
        </w:tc>
        <w:tc>
          <w:tcPr>
            <w:tcW w:w="4360" w:type="dxa"/>
          </w:tcPr>
          <w:p>
            <w:pPr>
              <w:pStyle w:val="TableParagraph"/>
              <w:ind w:left="158"/>
              <w:rPr>
                <w:sz w:val="20"/>
              </w:rPr>
            </w:pPr>
            <w:r>
              <w:rPr>
                <w:sz w:val="20"/>
              </w:rPr>
              <w:t>Louisiana</w:t>
            </w:r>
            <w:r>
              <w:rPr>
                <w:spacing w:val="-7"/>
                <w:sz w:val="20"/>
              </w:rPr>
              <w:t> </w:t>
            </w:r>
            <w:r>
              <w:rPr>
                <w:sz w:val="20"/>
              </w:rPr>
              <w:t>Creole</w:t>
            </w:r>
            <w:r>
              <w:rPr>
                <w:spacing w:val="-7"/>
                <w:sz w:val="20"/>
              </w:rPr>
              <w:t> </w:t>
            </w:r>
            <w:r>
              <w:rPr>
                <w:sz w:val="20"/>
              </w:rPr>
              <w:t>French</w:t>
            </w:r>
            <w:r>
              <w:rPr>
                <w:spacing w:val="-8"/>
                <w:sz w:val="20"/>
              </w:rPr>
              <w:t> </w:t>
            </w:r>
            <w:r>
              <w:rPr>
                <w:spacing w:val="-4"/>
                <w:sz w:val="20"/>
              </w:rPr>
              <w:t>(lou)</w:t>
            </w:r>
          </w:p>
        </w:tc>
        <w:tc>
          <w:tcPr>
            <w:tcW w:w="969" w:type="dxa"/>
          </w:tcPr>
          <w:p>
            <w:pPr>
              <w:pStyle w:val="TableParagraph"/>
              <w:spacing w:line="240" w:lineRule="auto"/>
              <w:rPr>
                <w:sz w:val="16"/>
              </w:rPr>
            </w:pPr>
          </w:p>
        </w:tc>
        <w:tc>
          <w:tcPr>
            <w:tcW w:w="2852"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1059</w:t>
            </w:r>
          </w:p>
        </w:tc>
        <w:tc>
          <w:tcPr>
            <w:tcW w:w="4360" w:type="dxa"/>
          </w:tcPr>
          <w:p>
            <w:pPr>
              <w:pStyle w:val="TableParagraph"/>
              <w:ind w:left="158"/>
              <w:rPr>
                <w:sz w:val="20"/>
              </w:rPr>
            </w:pPr>
            <w:r>
              <w:rPr>
                <w:sz w:val="20"/>
              </w:rPr>
              <w:t>Morisyen</w:t>
            </w:r>
            <w:r>
              <w:rPr>
                <w:spacing w:val="-11"/>
                <w:sz w:val="20"/>
              </w:rPr>
              <w:t> </w:t>
            </w:r>
            <w:r>
              <w:rPr>
                <w:spacing w:val="-2"/>
                <w:sz w:val="20"/>
              </w:rPr>
              <w:t>(mfe)</w:t>
            </w:r>
          </w:p>
        </w:tc>
        <w:tc>
          <w:tcPr>
            <w:tcW w:w="969" w:type="dxa"/>
          </w:tcPr>
          <w:p>
            <w:pPr>
              <w:pStyle w:val="TableParagraph"/>
              <w:ind w:right="156"/>
              <w:jc w:val="right"/>
              <w:rPr>
                <w:sz w:val="20"/>
              </w:rPr>
            </w:pPr>
            <w:r>
              <w:rPr>
                <w:spacing w:val="-4"/>
                <w:sz w:val="20"/>
              </w:rPr>
              <w:t>3799</w:t>
            </w:r>
          </w:p>
        </w:tc>
        <w:tc>
          <w:tcPr>
            <w:tcW w:w="2852" w:type="dxa"/>
          </w:tcPr>
          <w:p>
            <w:pPr>
              <w:pStyle w:val="TableParagraph"/>
              <w:ind w:left="158"/>
              <w:rPr>
                <w:sz w:val="20"/>
              </w:rPr>
            </w:pPr>
            <w:r>
              <w:rPr>
                <w:sz w:val="20"/>
              </w:rPr>
              <w:t>Papua</w:t>
            </w:r>
            <w:r>
              <w:rPr>
                <w:spacing w:val="-5"/>
                <w:sz w:val="20"/>
              </w:rPr>
              <w:t> </w:t>
            </w:r>
            <w:r>
              <w:rPr>
                <w:sz w:val="20"/>
              </w:rPr>
              <w:t>New</w:t>
            </w:r>
            <w:r>
              <w:rPr>
                <w:spacing w:val="-10"/>
                <w:sz w:val="20"/>
              </w:rPr>
              <w:t> </w:t>
            </w:r>
            <w:r>
              <w:rPr>
                <w:sz w:val="20"/>
              </w:rPr>
              <w:t>Guinea</w:t>
            </w:r>
            <w:r>
              <w:rPr>
                <w:spacing w:val="-5"/>
                <w:sz w:val="20"/>
              </w:rPr>
              <w:t> </w:t>
            </w:r>
            <w:r>
              <w:rPr>
                <w:spacing w:val="-2"/>
                <w:sz w:val="20"/>
              </w:rPr>
              <w:t>N.E.C.</w:t>
            </w:r>
          </w:p>
        </w:tc>
      </w:tr>
      <w:tr>
        <w:trPr>
          <w:trHeight w:val="230" w:hRule="atLeast"/>
        </w:trPr>
        <w:tc>
          <w:tcPr>
            <w:tcW w:w="612" w:type="dxa"/>
          </w:tcPr>
          <w:p>
            <w:pPr>
              <w:pStyle w:val="TableParagraph"/>
              <w:ind w:left="50"/>
              <w:rPr>
                <w:sz w:val="20"/>
              </w:rPr>
            </w:pPr>
            <w:r>
              <w:rPr>
                <w:spacing w:val="-4"/>
                <w:sz w:val="20"/>
              </w:rPr>
              <w:t>1061</w:t>
            </w:r>
          </w:p>
        </w:tc>
        <w:tc>
          <w:tcPr>
            <w:tcW w:w="4360" w:type="dxa"/>
          </w:tcPr>
          <w:p>
            <w:pPr>
              <w:pStyle w:val="TableParagraph"/>
              <w:ind w:left="158"/>
              <w:rPr>
                <w:sz w:val="20"/>
              </w:rPr>
            </w:pPr>
            <w:r>
              <w:rPr>
                <w:sz w:val="20"/>
              </w:rPr>
              <w:t>Rèunion</w:t>
            </w:r>
            <w:r>
              <w:rPr>
                <w:spacing w:val="-6"/>
                <w:sz w:val="20"/>
              </w:rPr>
              <w:t> </w:t>
            </w:r>
            <w:r>
              <w:rPr>
                <w:sz w:val="20"/>
              </w:rPr>
              <w:t>Creole</w:t>
            </w:r>
            <w:r>
              <w:rPr>
                <w:spacing w:val="-7"/>
                <w:sz w:val="20"/>
              </w:rPr>
              <w:t> </w:t>
            </w:r>
            <w:r>
              <w:rPr>
                <w:sz w:val="20"/>
              </w:rPr>
              <w:t>French</w:t>
            </w:r>
            <w:r>
              <w:rPr>
                <w:spacing w:val="-7"/>
                <w:sz w:val="20"/>
              </w:rPr>
              <w:t> </w:t>
            </w:r>
            <w:r>
              <w:rPr>
                <w:spacing w:val="-4"/>
                <w:sz w:val="20"/>
              </w:rPr>
              <w:t>(rcf)</w:t>
            </w:r>
          </w:p>
        </w:tc>
        <w:tc>
          <w:tcPr>
            <w:tcW w:w="969" w:type="dxa"/>
          </w:tcPr>
          <w:p>
            <w:pPr>
              <w:pStyle w:val="TableParagraph"/>
              <w:ind w:right="156"/>
              <w:jc w:val="right"/>
              <w:rPr>
                <w:sz w:val="20"/>
              </w:rPr>
            </w:pPr>
            <w:r>
              <w:rPr>
                <w:spacing w:val="-4"/>
                <w:sz w:val="20"/>
              </w:rPr>
              <w:t>3800</w:t>
            </w:r>
          </w:p>
        </w:tc>
        <w:tc>
          <w:tcPr>
            <w:tcW w:w="2852" w:type="dxa"/>
          </w:tcPr>
          <w:p>
            <w:pPr>
              <w:pStyle w:val="TableParagraph"/>
              <w:ind w:left="158"/>
              <w:rPr>
                <w:sz w:val="20"/>
              </w:rPr>
            </w:pPr>
            <w:r>
              <w:rPr>
                <w:sz w:val="20"/>
              </w:rPr>
              <w:t>Kuman</w:t>
            </w:r>
            <w:r>
              <w:rPr>
                <w:spacing w:val="-8"/>
                <w:sz w:val="20"/>
              </w:rPr>
              <w:t> </w:t>
            </w:r>
            <w:r>
              <w:rPr>
                <w:spacing w:val="-2"/>
                <w:sz w:val="20"/>
              </w:rPr>
              <w:t>(kdi)</w:t>
            </w:r>
          </w:p>
        </w:tc>
      </w:tr>
      <w:tr>
        <w:trPr>
          <w:trHeight w:val="230" w:hRule="atLeast"/>
        </w:trPr>
        <w:tc>
          <w:tcPr>
            <w:tcW w:w="612" w:type="dxa"/>
          </w:tcPr>
          <w:p>
            <w:pPr>
              <w:pStyle w:val="TableParagraph"/>
              <w:ind w:left="50"/>
              <w:rPr>
                <w:sz w:val="20"/>
              </w:rPr>
            </w:pPr>
            <w:r>
              <w:rPr>
                <w:spacing w:val="-4"/>
                <w:sz w:val="20"/>
              </w:rPr>
              <w:t>1064</w:t>
            </w:r>
          </w:p>
        </w:tc>
        <w:tc>
          <w:tcPr>
            <w:tcW w:w="4360" w:type="dxa"/>
          </w:tcPr>
          <w:p>
            <w:pPr>
              <w:pStyle w:val="TableParagraph"/>
              <w:ind w:left="158"/>
              <w:rPr>
                <w:sz w:val="20"/>
              </w:rPr>
            </w:pPr>
            <w:r>
              <w:rPr>
                <w:sz w:val="20"/>
              </w:rPr>
              <w:t>Chavacano</w:t>
            </w:r>
            <w:r>
              <w:rPr>
                <w:spacing w:val="-11"/>
                <w:sz w:val="20"/>
              </w:rPr>
              <w:t> </w:t>
            </w:r>
            <w:r>
              <w:rPr>
                <w:spacing w:val="-4"/>
                <w:sz w:val="20"/>
              </w:rPr>
              <w:t>(cbk)</w:t>
            </w:r>
          </w:p>
        </w:tc>
        <w:tc>
          <w:tcPr>
            <w:tcW w:w="969" w:type="dxa"/>
          </w:tcPr>
          <w:p>
            <w:pPr>
              <w:pStyle w:val="TableParagraph"/>
              <w:ind w:right="156"/>
              <w:jc w:val="right"/>
              <w:rPr>
                <w:sz w:val="20"/>
              </w:rPr>
            </w:pPr>
            <w:r>
              <w:rPr>
                <w:spacing w:val="-4"/>
                <w:sz w:val="20"/>
              </w:rPr>
              <w:t>3810</w:t>
            </w:r>
          </w:p>
        </w:tc>
        <w:tc>
          <w:tcPr>
            <w:tcW w:w="2852" w:type="dxa"/>
          </w:tcPr>
          <w:p>
            <w:pPr>
              <w:pStyle w:val="TableParagraph"/>
              <w:ind w:left="158"/>
              <w:rPr>
                <w:sz w:val="20"/>
              </w:rPr>
            </w:pPr>
            <w:r>
              <w:rPr>
                <w:sz w:val="20"/>
              </w:rPr>
              <w:t>Wahgi</w:t>
            </w:r>
            <w:r>
              <w:rPr>
                <w:spacing w:val="-9"/>
                <w:sz w:val="20"/>
              </w:rPr>
              <w:t> </w:t>
            </w:r>
            <w:r>
              <w:rPr>
                <w:spacing w:val="-2"/>
                <w:sz w:val="20"/>
              </w:rPr>
              <w:t>(wgi)</w:t>
            </w:r>
          </w:p>
        </w:tc>
      </w:tr>
      <w:tr>
        <w:trPr>
          <w:trHeight w:val="229" w:hRule="atLeast"/>
        </w:trPr>
        <w:tc>
          <w:tcPr>
            <w:tcW w:w="612" w:type="dxa"/>
          </w:tcPr>
          <w:p>
            <w:pPr>
              <w:pStyle w:val="TableParagraph"/>
              <w:spacing w:line="209" w:lineRule="exact"/>
              <w:ind w:left="50"/>
              <w:rPr>
                <w:sz w:val="20"/>
              </w:rPr>
            </w:pPr>
            <w:r>
              <w:rPr>
                <w:spacing w:val="-4"/>
                <w:sz w:val="20"/>
              </w:rPr>
              <w:t>1066</w:t>
            </w:r>
          </w:p>
        </w:tc>
        <w:tc>
          <w:tcPr>
            <w:tcW w:w="4360" w:type="dxa"/>
          </w:tcPr>
          <w:p>
            <w:pPr>
              <w:pStyle w:val="TableParagraph"/>
              <w:spacing w:line="209" w:lineRule="exact"/>
              <w:ind w:left="158"/>
              <w:rPr>
                <w:sz w:val="20"/>
              </w:rPr>
            </w:pPr>
            <w:r>
              <w:rPr>
                <w:sz w:val="20"/>
              </w:rPr>
              <w:t>Papiamento</w:t>
            </w:r>
            <w:r>
              <w:rPr>
                <w:spacing w:val="-11"/>
                <w:sz w:val="20"/>
              </w:rPr>
              <w:t> </w:t>
            </w:r>
            <w:r>
              <w:rPr>
                <w:spacing w:val="-4"/>
                <w:sz w:val="20"/>
              </w:rPr>
              <w:t>(pap)</w:t>
            </w:r>
          </w:p>
        </w:tc>
        <w:tc>
          <w:tcPr>
            <w:tcW w:w="969" w:type="dxa"/>
          </w:tcPr>
          <w:p>
            <w:pPr>
              <w:pStyle w:val="TableParagraph"/>
              <w:spacing w:line="209" w:lineRule="exact"/>
              <w:ind w:right="156"/>
              <w:jc w:val="right"/>
              <w:rPr>
                <w:sz w:val="20"/>
              </w:rPr>
            </w:pPr>
            <w:r>
              <w:rPr>
                <w:spacing w:val="-4"/>
                <w:sz w:val="20"/>
              </w:rPr>
              <w:t>3830</w:t>
            </w:r>
          </w:p>
        </w:tc>
        <w:tc>
          <w:tcPr>
            <w:tcW w:w="2852" w:type="dxa"/>
          </w:tcPr>
          <w:p>
            <w:pPr>
              <w:pStyle w:val="TableParagraph"/>
              <w:spacing w:line="209" w:lineRule="exact"/>
              <w:ind w:left="158"/>
              <w:rPr>
                <w:sz w:val="20"/>
              </w:rPr>
            </w:pPr>
            <w:r>
              <w:rPr>
                <w:sz w:val="20"/>
              </w:rPr>
              <w:t>Orokolo</w:t>
            </w:r>
            <w:r>
              <w:rPr>
                <w:spacing w:val="-6"/>
                <w:sz w:val="20"/>
              </w:rPr>
              <w:t> </w:t>
            </w:r>
            <w:r>
              <w:rPr>
                <w:spacing w:val="-2"/>
                <w:sz w:val="20"/>
              </w:rPr>
              <w:t>(oro)</w:t>
            </w:r>
          </w:p>
        </w:tc>
      </w:tr>
      <w:tr>
        <w:trPr>
          <w:trHeight w:val="229" w:hRule="atLeast"/>
        </w:trPr>
        <w:tc>
          <w:tcPr>
            <w:tcW w:w="612" w:type="dxa"/>
          </w:tcPr>
          <w:p>
            <w:pPr>
              <w:pStyle w:val="TableParagraph"/>
              <w:spacing w:line="209" w:lineRule="exact"/>
              <w:ind w:left="50"/>
              <w:rPr>
                <w:sz w:val="20"/>
              </w:rPr>
            </w:pPr>
            <w:r>
              <w:rPr>
                <w:spacing w:val="-4"/>
                <w:sz w:val="20"/>
              </w:rPr>
              <w:t>1074</w:t>
            </w:r>
          </w:p>
        </w:tc>
        <w:tc>
          <w:tcPr>
            <w:tcW w:w="4360" w:type="dxa"/>
          </w:tcPr>
          <w:p>
            <w:pPr>
              <w:pStyle w:val="TableParagraph"/>
              <w:spacing w:line="209" w:lineRule="exact"/>
              <w:ind w:left="158"/>
              <w:rPr>
                <w:sz w:val="20"/>
              </w:rPr>
            </w:pPr>
            <w:r>
              <w:rPr>
                <w:sz w:val="20"/>
              </w:rPr>
              <w:t>Macanese</w:t>
            </w:r>
            <w:r>
              <w:rPr>
                <w:spacing w:val="-10"/>
                <w:sz w:val="20"/>
              </w:rPr>
              <w:t> </w:t>
            </w:r>
            <w:r>
              <w:rPr>
                <w:spacing w:val="-2"/>
                <w:sz w:val="20"/>
              </w:rPr>
              <w:t>(mzs)</w:t>
            </w:r>
          </w:p>
        </w:tc>
        <w:tc>
          <w:tcPr>
            <w:tcW w:w="969" w:type="dxa"/>
          </w:tcPr>
          <w:p>
            <w:pPr>
              <w:pStyle w:val="TableParagraph"/>
              <w:spacing w:line="209" w:lineRule="exact"/>
              <w:ind w:right="156"/>
              <w:jc w:val="right"/>
              <w:rPr>
                <w:sz w:val="20"/>
              </w:rPr>
            </w:pPr>
            <w:r>
              <w:rPr>
                <w:spacing w:val="-4"/>
                <w:sz w:val="20"/>
              </w:rPr>
              <w:t>3850</w:t>
            </w:r>
          </w:p>
        </w:tc>
        <w:tc>
          <w:tcPr>
            <w:tcW w:w="2852" w:type="dxa"/>
          </w:tcPr>
          <w:p>
            <w:pPr>
              <w:pStyle w:val="TableParagraph"/>
              <w:spacing w:line="209" w:lineRule="exact"/>
              <w:ind w:left="158"/>
              <w:rPr>
                <w:sz w:val="20"/>
              </w:rPr>
            </w:pPr>
            <w:r>
              <w:rPr>
                <w:sz w:val="20"/>
              </w:rPr>
              <w:t>Enga</w:t>
            </w:r>
            <w:r>
              <w:rPr>
                <w:spacing w:val="-9"/>
                <w:sz w:val="20"/>
              </w:rPr>
              <w:t> </w:t>
            </w:r>
            <w:r>
              <w:rPr>
                <w:spacing w:val="-2"/>
                <w:sz w:val="20"/>
              </w:rPr>
              <w:t>(enq)</w:t>
            </w:r>
          </w:p>
        </w:tc>
      </w:tr>
      <w:tr>
        <w:trPr>
          <w:trHeight w:val="230" w:hRule="atLeast"/>
        </w:trPr>
        <w:tc>
          <w:tcPr>
            <w:tcW w:w="612" w:type="dxa"/>
          </w:tcPr>
          <w:p>
            <w:pPr>
              <w:pStyle w:val="TableParagraph"/>
              <w:ind w:left="50"/>
              <w:rPr>
                <w:sz w:val="20"/>
              </w:rPr>
            </w:pPr>
            <w:r>
              <w:rPr>
                <w:spacing w:val="-4"/>
                <w:sz w:val="20"/>
              </w:rPr>
              <w:t>1077</w:t>
            </w:r>
          </w:p>
        </w:tc>
        <w:tc>
          <w:tcPr>
            <w:tcW w:w="4360" w:type="dxa"/>
          </w:tcPr>
          <w:p>
            <w:pPr>
              <w:pStyle w:val="TableParagraph"/>
              <w:ind w:left="158"/>
              <w:rPr>
                <w:sz w:val="20"/>
              </w:rPr>
            </w:pPr>
            <w:r>
              <w:rPr>
                <w:sz w:val="20"/>
              </w:rPr>
              <w:t>Naga</w:t>
            </w:r>
            <w:r>
              <w:rPr>
                <w:spacing w:val="-6"/>
                <w:sz w:val="20"/>
              </w:rPr>
              <w:t> </w:t>
            </w:r>
            <w:r>
              <w:rPr>
                <w:sz w:val="20"/>
              </w:rPr>
              <w:t>Pidgin</w:t>
            </w:r>
            <w:r>
              <w:rPr>
                <w:spacing w:val="-8"/>
                <w:sz w:val="20"/>
              </w:rPr>
              <w:t> </w:t>
            </w:r>
            <w:r>
              <w:rPr>
                <w:spacing w:val="-2"/>
                <w:sz w:val="20"/>
              </w:rPr>
              <w:t>(nag)</w:t>
            </w:r>
          </w:p>
        </w:tc>
        <w:tc>
          <w:tcPr>
            <w:tcW w:w="969" w:type="dxa"/>
          </w:tcPr>
          <w:p>
            <w:pPr>
              <w:pStyle w:val="TableParagraph"/>
              <w:ind w:right="156"/>
              <w:jc w:val="right"/>
              <w:rPr>
                <w:sz w:val="20"/>
              </w:rPr>
            </w:pPr>
            <w:r>
              <w:rPr>
                <w:spacing w:val="-4"/>
                <w:sz w:val="20"/>
              </w:rPr>
              <w:t>3870</w:t>
            </w:r>
          </w:p>
        </w:tc>
        <w:tc>
          <w:tcPr>
            <w:tcW w:w="2852" w:type="dxa"/>
          </w:tcPr>
          <w:p>
            <w:pPr>
              <w:pStyle w:val="TableParagraph"/>
              <w:ind w:left="158"/>
              <w:rPr>
                <w:sz w:val="20"/>
              </w:rPr>
            </w:pPr>
            <w:r>
              <w:rPr>
                <w:sz w:val="20"/>
              </w:rPr>
              <w:t>Southern</w:t>
            </w:r>
            <w:r>
              <w:rPr>
                <w:spacing w:val="-8"/>
                <w:sz w:val="20"/>
              </w:rPr>
              <w:t> </w:t>
            </w:r>
            <w:r>
              <w:rPr>
                <w:sz w:val="20"/>
              </w:rPr>
              <w:t>Kiwai</w:t>
            </w:r>
            <w:r>
              <w:rPr>
                <w:spacing w:val="-8"/>
                <w:sz w:val="20"/>
              </w:rPr>
              <w:t> </w:t>
            </w:r>
            <w:r>
              <w:rPr>
                <w:spacing w:val="-4"/>
                <w:sz w:val="20"/>
              </w:rPr>
              <w:t>(kjd)</w:t>
            </w:r>
          </w:p>
        </w:tc>
      </w:tr>
      <w:tr>
        <w:trPr>
          <w:trHeight w:val="230" w:hRule="atLeast"/>
        </w:trPr>
        <w:tc>
          <w:tcPr>
            <w:tcW w:w="612" w:type="dxa"/>
          </w:tcPr>
          <w:p>
            <w:pPr>
              <w:pStyle w:val="TableParagraph"/>
              <w:ind w:left="50"/>
              <w:rPr>
                <w:sz w:val="20"/>
              </w:rPr>
            </w:pPr>
            <w:r>
              <w:rPr>
                <w:spacing w:val="-4"/>
                <w:sz w:val="20"/>
              </w:rPr>
              <w:t>1080</w:t>
            </w:r>
          </w:p>
        </w:tc>
        <w:tc>
          <w:tcPr>
            <w:tcW w:w="4360" w:type="dxa"/>
          </w:tcPr>
          <w:p>
            <w:pPr>
              <w:pStyle w:val="TableParagraph"/>
              <w:ind w:left="158"/>
              <w:rPr>
                <w:sz w:val="20"/>
              </w:rPr>
            </w:pPr>
            <w:r>
              <w:rPr>
                <w:sz w:val="20"/>
              </w:rPr>
              <w:t>Manado</w:t>
            </w:r>
            <w:r>
              <w:rPr>
                <w:spacing w:val="-5"/>
                <w:sz w:val="20"/>
              </w:rPr>
              <w:t> </w:t>
            </w:r>
            <w:r>
              <w:rPr>
                <w:sz w:val="20"/>
              </w:rPr>
              <w:t>Malay</w:t>
            </w:r>
            <w:r>
              <w:rPr>
                <w:spacing w:val="-9"/>
                <w:sz w:val="20"/>
              </w:rPr>
              <w:t> </w:t>
            </w:r>
            <w:r>
              <w:rPr>
                <w:spacing w:val="-4"/>
                <w:sz w:val="20"/>
              </w:rPr>
              <w:t>(xmm)</w:t>
            </w:r>
          </w:p>
        </w:tc>
        <w:tc>
          <w:tcPr>
            <w:tcW w:w="969" w:type="dxa"/>
          </w:tcPr>
          <w:p>
            <w:pPr>
              <w:pStyle w:val="TableParagraph"/>
              <w:ind w:right="156"/>
              <w:jc w:val="right"/>
              <w:rPr>
                <w:sz w:val="20"/>
              </w:rPr>
            </w:pPr>
            <w:r>
              <w:rPr>
                <w:spacing w:val="-4"/>
                <w:sz w:val="20"/>
              </w:rPr>
              <w:t>3890</w:t>
            </w:r>
          </w:p>
        </w:tc>
        <w:tc>
          <w:tcPr>
            <w:tcW w:w="2852" w:type="dxa"/>
          </w:tcPr>
          <w:p>
            <w:pPr>
              <w:pStyle w:val="TableParagraph"/>
              <w:ind w:left="158"/>
              <w:rPr>
                <w:sz w:val="20"/>
              </w:rPr>
            </w:pPr>
            <w:r>
              <w:rPr>
                <w:sz w:val="20"/>
              </w:rPr>
              <w:t>Mala</w:t>
            </w:r>
            <w:r>
              <w:rPr>
                <w:spacing w:val="-5"/>
                <w:sz w:val="20"/>
              </w:rPr>
              <w:t> </w:t>
            </w:r>
            <w:r>
              <w:rPr>
                <w:sz w:val="20"/>
              </w:rPr>
              <w:t>(Papua</w:t>
            </w:r>
            <w:r>
              <w:rPr>
                <w:spacing w:val="-5"/>
                <w:sz w:val="20"/>
              </w:rPr>
              <w:t> </w:t>
            </w:r>
            <w:r>
              <w:rPr>
                <w:sz w:val="20"/>
              </w:rPr>
              <w:t>New</w:t>
            </w:r>
            <w:r>
              <w:rPr>
                <w:spacing w:val="-10"/>
                <w:sz w:val="20"/>
              </w:rPr>
              <w:t> </w:t>
            </w:r>
            <w:r>
              <w:rPr>
                <w:sz w:val="20"/>
              </w:rPr>
              <w:t>Guinea)</w:t>
            </w:r>
            <w:r>
              <w:rPr>
                <w:spacing w:val="-4"/>
                <w:sz w:val="20"/>
              </w:rPr>
              <w:t> (ped)</w:t>
            </w:r>
          </w:p>
        </w:tc>
      </w:tr>
      <w:tr>
        <w:trPr>
          <w:trHeight w:val="225" w:hRule="atLeast"/>
        </w:trPr>
        <w:tc>
          <w:tcPr>
            <w:tcW w:w="612" w:type="dxa"/>
          </w:tcPr>
          <w:p>
            <w:pPr>
              <w:pStyle w:val="TableParagraph"/>
              <w:spacing w:line="205" w:lineRule="exact"/>
              <w:ind w:left="50"/>
              <w:rPr>
                <w:sz w:val="20"/>
              </w:rPr>
            </w:pPr>
            <w:r>
              <w:rPr>
                <w:spacing w:val="-4"/>
                <w:sz w:val="20"/>
              </w:rPr>
              <w:t>1081</w:t>
            </w:r>
          </w:p>
        </w:tc>
        <w:tc>
          <w:tcPr>
            <w:tcW w:w="4360" w:type="dxa"/>
          </w:tcPr>
          <w:p>
            <w:pPr>
              <w:pStyle w:val="TableParagraph"/>
              <w:spacing w:line="205" w:lineRule="exact"/>
              <w:ind w:left="158"/>
              <w:rPr>
                <w:sz w:val="20"/>
              </w:rPr>
            </w:pPr>
            <w:r>
              <w:rPr>
                <w:sz w:val="20"/>
              </w:rPr>
              <w:t>North</w:t>
            </w:r>
            <w:r>
              <w:rPr>
                <w:spacing w:val="-7"/>
                <w:sz w:val="20"/>
              </w:rPr>
              <w:t> </w:t>
            </w:r>
            <w:r>
              <w:rPr>
                <w:sz w:val="20"/>
              </w:rPr>
              <w:t>Moluccan</w:t>
            </w:r>
            <w:r>
              <w:rPr>
                <w:spacing w:val="-6"/>
                <w:sz w:val="20"/>
              </w:rPr>
              <w:t> </w:t>
            </w:r>
            <w:r>
              <w:rPr>
                <w:sz w:val="20"/>
              </w:rPr>
              <w:t>Malay</w:t>
            </w:r>
            <w:r>
              <w:rPr>
                <w:spacing w:val="-8"/>
                <w:sz w:val="20"/>
              </w:rPr>
              <w:t> </w:t>
            </w:r>
            <w:r>
              <w:rPr>
                <w:spacing w:val="-4"/>
                <w:sz w:val="20"/>
              </w:rPr>
              <w:t>(max)</w:t>
            </w:r>
          </w:p>
        </w:tc>
        <w:tc>
          <w:tcPr>
            <w:tcW w:w="969" w:type="dxa"/>
          </w:tcPr>
          <w:p>
            <w:pPr>
              <w:pStyle w:val="TableParagraph"/>
              <w:spacing w:line="205" w:lineRule="exact"/>
              <w:ind w:right="156"/>
              <w:jc w:val="right"/>
              <w:rPr>
                <w:sz w:val="20"/>
              </w:rPr>
            </w:pPr>
            <w:r>
              <w:rPr>
                <w:spacing w:val="-4"/>
                <w:sz w:val="20"/>
              </w:rPr>
              <w:t>3910</w:t>
            </w:r>
          </w:p>
        </w:tc>
        <w:tc>
          <w:tcPr>
            <w:tcW w:w="2852" w:type="dxa"/>
          </w:tcPr>
          <w:p>
            <w:pPr>
              <w:pStyle w:val="TableParagraph"/>
              <w:spacing w:line="205" w:lineRule="exact"/>
              <w:ind w:left="158"/>
              <w:rPr>
                <w:sz w:val="20"/>
              </w:rPr>
            </w:pPr>
            <w:r>
              <w:rPr>
                <w:sz w:val="20"/>
              </w:rPr>
              <w:t>Waube</w:t>
            </w:r>
            <w:r>
              <w:rPr>
                <w:spacing w:val="-5"/>
                <w:sz w:val="20"/>
              </w:rPr>
              <w:t> </w:t>
            </w:r>
            <w:r>
              <w:rPr>
                <w:spacing w:val="-2"/>
                <w:sz w:val="20"/>
              </w:rPr>
              <w:t>(kop)</w:t>
            </w:r>
          </w:p>
        </w:tc>
      </w:tr>
    </w:tbl>
    <w:p>
      <w:pPr>
        <w:spacing w:after="0" w:line="205" w:lineRule="exact"/>
        <w:rPr>
          <w:sz w:val="20"/>
        </w:rPr>
        <w:sectPr>
          <w:footerReference w:type="default" r:id="rId86"/>
          <w:pgSz w:w="12240" w:h="15840"/>
          <w:pgMar w:footer="0" w:header="0" w:top="1140" w:bottom="280" w:left="600" w:right="500"/>
        </w:sectPr>
      </w:pPr>
    </w:p>
    <w:tbl>
      <w:tblPr>
        <w:tblW w:w="0" w:type="auto"/>
        <w:jc w:val="left"/>
        <w:tblInd w:w="5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927"/>
      </w:tblGrid>
      <w:tr>
        <w:trPr>
          <w:trHeight w:val="225" w:hRule="atLeast"/>
        </w:trPr>
        <w:tc>
          <w:tcPr>
            <w:tcW w:w="612" w:type="dxa"/>
          </w:tcPr>
          <w:p>
            <w:pPr>
              <w:pStyle w:val="TableParagraph"/>
              <w:spacing w:line="205" w:lineRule="exact"/>
              <w:ind w:left="50"/>
              <w:rPr>
                <w:sz w:val="20"/>
              </w:rPr>
            </w:pPr>
            <w:r>
              <w:rPr>
                <w:spacing w:val="-4"/>
                <w:sz w:val="20"/>
              </w:rPr>
              <w:t>4685</w:t>
            </w:r>
          </w:p>
        </w:tc>
        <w:tc>
          <w:tcPr>
            <w:tcW w:w="2927" w:type="dxa"/>
          </w:tcPr>
          <w:p>
            <w:pPr>
              <w:pStyle w:val="TableParagraph"/>
              <w:spacing w:line="205" w:lineRule="exact"/>
              <w:ind w:left="158"/>
              <w:rPr>
                <w:sz w:val="20"/>
              </w:rPr>
            </w:pPr>
            <w:r>
              <w:rPr>
                <w:sz w:val="20"/>
              </w:rPr>
              <w:t>Nafusi</w:t>
            </w:r>
            <w:r>
              <w:rPr>
                <w:spacing w:val="-9"/>
                <w:sz w:val="20"/>
              </w:rPr>
              <w:t> </w:t>
            </w:r>
            <w:r>
              <w:rPr>
                <w:spacing w:val="-2"/>
                <w:sz w:val="20"/>
              </w:rPr>
              <w:t>(jbn)</w:t>
            </w:r>
          </w:p>
        </w:tc>
      </w:tr>
      <w:tr>
        <w:trPr>
          <w:trHeight w:val="229" w:hRule="atLeast"/>
        </w:trPr>
        <w:tc>
          <w:tcPr>
            <w:tcW w:w="612" w:type="dxa"/>
          </w:tcPr>
          <w:p>
            <w:pPr>
              <w:pStyle w:val="TableParagraph"/>
              <w:spacing w:line="209" w:lineRule="exact"/>
              <w:ind w:left="50"/>
              <w:rPr>
                <w:sz w:val="20"/>
              </w:rPr>
            </w:pPr>
            <w:r>
              <w:rPr>
                <w:spacing w:val="-4"/>
                <w:sz w:val="20"/>
              </w:rPr>
              <w:t>4690</w:t>
            </w:r>
          </w:p>
        </w:tc>
        <w:tc>
          <w:tcPr>
            <w:tcW w:w="2927" w:type="dxa"/>
          </w:tcPr>
          <w:p>
            <w:pPr>
              <w:pStyle w:val="TableParagraph"/>
              <w:spacing w:line="209" w:lineRule="exact"/>
              <w:ind w:left="158"/>
              <w:rPr>
                <w:sz w:val="20"/>
              </w:rPr>
            </w:pPr>
            <w:r>
              <w:rPr>
                <w:sz w:val="20"/>
              </w:rPr>
              <w:t>Tachawit</w:t>
            </w:r>
            <w:r>
              <w:rPr>
                <w:spacing w:val="-12"/>
                <w:sz w:val="20"/>
              </w:rPr>
              <w:t> </w:t>
            </w:r>
            <w:r>
              <w:rPr>
                <w:spacing w:val="-2"/>
                <w:sz w:val="20"/>
              </w:rPr>
              <w:t>(shy)</w:t>
            </w:r>
          </w:p>
        </w:tc>
      </w:tr>
      <w:tr>
        <w:trPr>
          <w:trHeight w:val="229" w:hRule="atLeast"/>
        </w:trPr>
        <w:tc>
          <w:tcPr>
            <w:tcW w:w="612" w:type="dxa"/>
          </w:tcPr>
          <w:p>
            <w:pPr>
              <w:pStyle w:val="TableParagraph"/>
              <w:spacing w:line="209" w:lineRule="exact"/>
              <w:ind w:left="50"/>
              <w:rPr>
                <w:sz w:val="20"/>
              </w:rPr>
            </w:pPr>
            <w:r>
              <w:rPr>
                <w:spacing w:val="-4"/>
                <w:sz w:val="20"/>
              </w:rPr>
              <w:t>4695</w:t>
            </w:r>
          </w:p>
        </w:tc>
        <w:tc>
          <w:tcPr>
            <w:tcW w:w="2927" w:type="dxa"/>
          </w:tcPr>
          <w:p>
            <w:pPr>
              <w:pStyle w:val="TableParagraph"/>
              <w:spacing w:line="209" w:lineRule="exact"/>
              <w:ind w:left="158"/>
              <w:rPr>
                <w:sz w:val="20"/>
              </w:rPr>
            </w:pPr>
            <w:r>
              <w:rPr>
                <w:sz w:val="20"/>
              </w:rPr>
              <w:t>Tarifit</w:t>
            </w:r>
            <w:r>
              <w:rPr>
                <w:spacing w:val="-6"/>
                <w:sz w:val="20"/>
              </w:rPr>
              <w:t> </w:t>
            </w:r>
            <w:r>
              <w:rPr>
                <w:spacing w:val="-2"/>
                <w:sz w:val="20"/>
              </w:rPr>
              <w:t>(rif)</w:t>
            </w:r>
          </w:p>
        </w:tc>
      </w:tr>
      <w:tr>
        <w:trPr>
          <w:trHeight w:val="230" w:hRule="atLeast"/>
        </w:trPr>
        <w:tc>
          <w:tcPr>
            <w:tcW w:w="612" w:type="dxa"/>
          </w:tcPr>
          <w:p>
            <w:pPr>
              <w:pStyle w:val="TableParagraph"/>
              <w:ind w:left="50"/>
              <w:rPr>
                <w:sz w:val="20"/>
              </w:rPr>
            </w:pPr>
            <w:r>
              <w:rPr>
                <w:spacing w:val="-4"/>
                <w:sz w:val="20"/>
              </w:rPr>
              <w:t>4700</w:t>
            </w:r>
          </w:p>
        </w:tc>
        <w:tc>
          <w:tcPr>
            <w:tcW w:w="2927" w:type="dxa"/>
          </w:tcPr>
          <w:p>
            <w:pPr>
              <w:pStyle w:val="TableParagraph"/>
              <w:ind w:left="158"/>
              <w:rPr>
                <w:sz w:val="20"/>
              </w:rPr>
            </w:pPr>
            <w:r>
              <w:rPr>
                <w:sz w:val="20"/>
              </w:rPr>
              <w:t>Tamashek</w:t>
            </w:r>
            <w:r>
              <w:rPr>
                <w:spacing w:val="-13"/>
                <w:sz w:val="20"/>
              </w:rPr>
              <w:t> </w:t>
            </w:r>
            <w:r>
              <w:rPr>
                <w:sz w:val="20"/>
              </w:rPr>
              <w:t>(macrolanguage)</w:t>
            </w:r>
            <w:r>
              <w:rPr>
                <w:spacing w:val="-11"/>
                <w:sz w:val="20"/>
              </w:rPr>
              <w:t> </w:t>
            </w:r>
            <w:r>
              <w:rPr>
                <w:spacing w:val="-2"/>
                <w:sz w:val="20"/>
              </w:rPr>
              <w:t>(tmh)</w:t>
            </w:r>
          </w:p>
        </w:tc>
      </w:tr>
      <w:tr>
        <w:trPr>
          <w:trHeight w:val="230" w:hRule="atLeast"/>
        </w:trPr>
        <w:tc>
          <w:tcPr>
            <w:tcW w:w="612" w:type="dxa"/>
          </w:tcPr>
          <w:p>
            <w:pPr>
              <w:pStyle w:val="TableParagraph"/>
              <w:ind w:left="50"/>
              <w:rPr>
                <w:sz w:val="20"/>
              </w:rPr>
            </w:pPr>
            <w:r>
              <w:rPr>
                <w:spacing w:val="-4"/>
                <w:sz w:val="20"/>
              </w:rPr>
              <w:t>4701</w:t>
            </w:r>
          </w:p>
        </w:tc>
        <w:tc>
          <w:tcPr>
            <w:tcW w:w="2927" w:type="dxa"/>
          </w:tcPr>
          <w:p>
            <w:pPr>
              <w:pStyle w:val="TableParagraph"/>
              <w:ind w:left="158"/>
              <w:rPr>
                <w:sz w:val="20"/>
              </w:rPr>
            </w:pPr>
            <w:r>
              <w:rPr>
                <w:sz w:val="20"/>
              </w:rPr>
              <w:t>Tamasheq</w:t>
            </w:r>
            <w:r>
              <w:rPr>
                <w:spacing w:val="-11"/>
                <w:sz w:val="20"/>
              </w:rPr>
              <w:t> </w:t>
            </w:r>
            <w:r>
              <w:rPr>
                <w:spacing w:val="-4"/>
                <w:sz w:val="20"/>
              </w:rPr>
              <w:t>(taq)</w:t>
            </w:r>
          </w:p>
        </w:tc>
      </w:tr>
      <w:tr>
        <w:trPr>
          <w:trHeight w:val="225" w:hRule="atLeast"/>
        </w:trPr>
        <w:tc>
          <w:tcPr>
            <w:tcW w:w="612" w:type="dxa"/>
          </w:tcPr>
          <w:p>
            <w:pPr>
              <w:pStyle w:val="TableParagraph"/>
              <w:spacing w:line="205" w:lineRule="exact"/>
              <w:ind w:left="50"/>
              <w:rPr>
                <w:sz w:val="20"/>
              </w:rPr>
            </w:pPr>
            <w:r>
              <w:rPr>
                <w:spacing w:val="-4"/>
                <w:sz w:val="20"/>
              </w:rPr>
              <w:t>4710</w:t>
            </w:r>
          </w:p>
        </w:tc>
        <w:tc>
          <w:tcPr>
            <w:tcW w:w="2927" w:type="dxa"/>
          </w:tcPr>
          <w:p>
            <w:pPr>
              <w:pStyle w:val="TableParagraph"/>
              <w:spacing w:line="205" w:lineRule="exact"/>
              <w:ind w:left="158"/>
              <w:rPr>
                <w:sz w:val="20"/>
              </w:rPr>
            </w:pPr>
            <w:r>
              <w:rPr>
                <w:sz w:val="20"/>
              </w:rPr>
              <w:t>Zenaga</w:t>
            </w:r>
            <w:r>
              <w:rPr>
                <w:spacing w:val="-9"/>
                <w:sz w:val="20"/>
              </w:rPr>
              <w:t> </w:t>
            </w:r>
            <w:r>
              <w:rPr>
                <w:spacing w:val="-2"/>
                <w:sz w:val="20"/>
              </w:rPr>
              <w:t>(zen)</w:t>
            </w:r>
          </w:p>
        </w:tc>
      </w:tr>
    </w:tbl>
    <w:p>
      <w:pPr>
        <w:pStyle w:val="BodyText"/>
        <w:spacing w:before="10"/>
        <w:rPr>
          <w:rFonts w:ascii="Times New Roman"/>
          <w:sz w:val="13"/>
        </w:rPr>
      </w:pPr>
    </w:p>
    <w:p>
      <w:pPr>
        <w:spacing w:after="0"/>
        <w:rPr>
          <w:rFonts w:ascii="Times New Roman"/>
          <w:sz w:val="13"/>
        </w:rPr>
        <w:sectPr>
          <w:footerReference w:type="default" r:id="rId87"/>
          <w:pgSz w:w="12240" w:h="15840"/>
          <w:pgMar w:footer="0" w:header="0" w:top="1140" w:bottom="280" w:left="600" w:right="500"/>
        </w:sect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0"/>
        <w:rPr>
          <w:rFonts w:ascii="Times New Roman"/>
          <w:sz w:val="17"/>
        </w:rPr>
      </w:pPr>
    </w:p>
    <w:p>
      <w:pPr>
        <w:spacing w:line="477" w:lineRule="auto" w:before="0"/>
        <w:ind w:left="552" w:right="0" w:firstLine="0"/>
        <w:jc w:val="left"/>
        <w:rPr>
          <w:rFonts w:ascii="Times New Roman"/>
          <w:i/>
          <w:sz w:val="20"/>
        </w:rPr>
      </w:pPr>
      <w:r>
        <w:rPr/>
        <mc:AlternateContent>
          <mc:Choice Requires="wps">
            <w:drawing>
              <wp:anchor distT="0" distB="0" distL="0" distR="0" allowOverlap="1" layoutInCell="1" locked="0" behindDoc="0" simplePos="0" relativeHeight="15766528">
                <wp:simplePos x="0" y="0"/>
                <wp:positionH relativeFrom="page">
                  <wp:posOffset>661669</wp:posOffset>
                </wp:positionH>
                <wp:positionV relativeFrom="paragraph">
                  <wp:posOffset>-1893310</wp:posOffset>
                </wp:positionV>
                <wp:extent cx="1709420" cy="1743710"/>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709420" cy="17437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960"/>
                            </w:tblGrid>
                            <w:tr>
                              <w:trPr>
                                <w:trHeight w:val="225" w:hRule="atLeast"/>
                              </w:trPr>
                              <w:tc>
                                <w:tcPr>
                                  <w:tcW w:w="612" w:type="dxa"/>
                                </w:tcPr>
                                <w:p>
                                  <w:pPr>
                                    <w:pStyle w:val="TableParagraph"/>
                                    <w:spacing w:line="205" w:lineRule="exact"/>
                                    <w:ind w:left="50"/>
                                    <w:rPr>
                                      <w:sz w:val="20"/>
                                    </w:rPr>
                                  </w:pPr>
                                  <w:r>
                                    <w:rPr>
                                      <w:spacing w:val="-4"/>
                                      <w:sz w:val="20"/>
                                    </w:rPr>
                                    <w:t>3930</w:t>
                                  </w:r>
                                </w:p>
                              </w:tc>
                              <w:tc>
                                <w:tcPr>
                                  <w:tcW w:w="1960" w:type="dxa"/>
                                </w:tcPr>
                                <w:p>
                                  <w:pPr>
                                    <w:pStyle w:val="TableParagraph"/>
                                    <w:spacing w:line="205" w:lineRule="exact"/>
                                    <w:ind w:left="158"/>
                                    <w:rPr>
                                      <w:sz w:val="20"/>
                                    </w:rPr>
                                  </w:pPr>
                                  <w:r>
                                    <w:rPr>
                                      <w:sz w:val="20"/>
                                    </w:rPr>
                                    <w:t>Marind</w:t>
                                  </w:r>
                                  <w:r>
                                    <w:rPr>
                                      <w:spacing w:val="-7"/>
                                      <w:sz w:val="20"/>
                                    </w:rPr>
                                    <w:t> </w:t>
                                  </w:r>
                                  <w:r>
                                    <w:rPr>
                                      <w:spacing w:val="-2"/>
                                      <w:sz w:val="20"/>
                                    </w:rPr>
                                    <w:t>(mrz)</w:t>
                                  </w:r>
                                </w:p>
                              </w:tc>
                            </w:tr>
                            <w:tr>
                              <w:trPr>
                                <w:trHeight w:val="229" w:hRule="atLeast"/>
                              </w:trPr>
                              <w:tc>
                                <w:tcPr>
                                  <w:tcW w:w="612" w:type="dxa"/>
                                </w:tcPr>
                                <w:p>
                                  <w:pPr>
                                    <w:pStyle w:val="TableParagraph"/>
                                    <w:spacing w:line="209" w:lineRule="exact"/>
                                    <w:ind w:left="50"/>
                                    <w:rPr>
                                      <w:sz w:val="20"/>
                                    </w:rPr>
                                  </w:pPr>
                                  <w:r>
                                    <w:rPr>
                                      <w:spacing w:val="-4"/>
                                      <w:sz w:val="20"/>
                                    </w:rPr>
                                    <w:t>3950</w:t>
                                  </w:r>
                                </w:p>
                              </w:tc>
                              <w:tc>
                                <w:tcPr>
                                  <w:tcW w:w="1960" w:type="dxa"/>
                                </w:tcPr>
                                <w:p>
                                  <w:pPr>
                                    <w:pStyle w:val="TableParagraph"/>
                                    <w:spacing w:line="209" w:lineRule="exact"/>
                                    <w:ind w:left="158"/>
                                    <w:rPr>
                                      <w:sz w:val="20"/>
                                    </w:rPr>
                                  </w:pPr>
                                  <w:r>
                                    <w:rPr>
                                      <w:sz w:val="20"/>
                                    </w:rPr>
                                    <w:t>Laua</w:t>
                                  </w:r>
                                  <w:r>
                                    <w:rPr>
                                      <w:spacing w:val="-6"/>
                                      <w:sz w:val="20"/>
                                    </w:rPr>
                                    <w:t> </w:t>
                                  </w:r>
                                  <w:r>
                                    <w:rPr>
                                      <w:spacing w:val="-2"/>
                                      <w:sz w:val="20"/>
                                    </w:rPr>
                                    <w:t>(luf)</w:t>
                                  </w:r>
                                </w:p>
                              </w:tc>
                            </w:tr>
                            <w:tr>
                              <w:trPr>
                                <w:trHeight w:val="229" w:hRule="atLeast"/>
                              </w:trPr>
                              <w:tc>
                                <w:tcPr>
                                  <w:tcW w:w="612" w:type="dxa"/>
                                </w:tcPr>
                                <w:p>
                                  <w:pPr>
                                    <w:pStyle w:val="TableParagraph"/>
                                    <w:spacing w:line="209" w:lineRule="exact"/>
                                    <w:ind w:left="50"/>
                                    <w:rPr>
                                      <w:sz w:val="20"/>
                                    </w:rPr>
                                  </w:pPr>
                                  <w:r>
                                    <w:rPr>
                                      <w:spacing w:val="-4"/>
                                      <w:sz w:val="20"/>
                                    </w:rPr>
                                    <w:t>3970</w:t>
                                  </w:r>
                                </w:p>
                              </w:tc>
                              <w:tc>
                                <w:tcPr>
                                  <w:tcW w:w="1960" w:type="dxa"/>
                                </w:tcPr>
                                <w:p>
                                  <w:pPr>
                                    <w:pStyle w:val="TableParagraph"/>
                                    <w:spacing w:line="209" w:lineRule="exact"/>
                                    <w:ind w:left="158"/>
                                    <w:rPr>
                                      <w:sz w:val="20"/>
                                    </w:rPr>
                                  </w:pPr>
                                  <w:r>
                                    <w:rPr>
                                      <w:sz w:val="20"/>
                                    </w:rPr>
                                    <w:t>Wiru</w:t>
                                  </w:r>
                                  <w:r>
                                    <w:rPr>
                                      <w:spacing w:val="-5"/>
                                      <w:sz w:val="20"/>
                                    </w:rPr>
                                    <w:t> </w:t>
                                  </w:r>
                                  <w:r>
                                    <w:rPr>
                                      <w:spacing w:val="-2"/>
                                      <w:sz w:val="20"/>
                                    </w:rPr>
                                    <w:t>(wiu)</w:t>
                                  </w:r>
                                </w:p>
                              </w:tc>
                            </w:tr>
                            <w:tr>
                              <w:trPr>
                                <w:trHeight w:val="230" w:hRule="atLeast"/>
                              </w:trPr>
                              <w:tc>
                                <w:tcPr>
                                  <w:tcW w:w="612" w:type="dxa"/>
                                </w:tcPr>
                                <w:p>
                                  <w:pPr>
                                    <w:pStyle w:val="TableParagraph"/>
                                    <w:ind w:left="50"/>
                                    <w:rPr>
                                      <w:sz w:val="20"/>
                                    </w:rPr>
                                  </w:pPr>
                                  <w:r>
                                    <w:rPr>
                                      <w:spacing w:val="-4"/>
                                      <w:sz w:val="20"/>
                                    </w:rPr>
                                    <w:t>4150</w:t>
                                  </w:r>
                                </w:p>
                              </w:tc>
                              <w:tc>
                                <w:tcPr>
                                  <w:tcW w:w="1960" w:type="dxa"/>
                                </w:tcPr>
                                <w:p>
                                  <w:pPr>
                                    <w:pStyle w:val="TableParagraph"/>
                                    <w:ind w:left="158"/>
                                    <w:rPr>
                                      <w:sz w:val="20"/>
                                    </w:rPr>
                                  </w:pPr>
                                  <w:r>
                                    <w:rPr>
                                      <w:sz w:val="20"/>
                                    </w:rPr>
                                    <w:t>Tabla</w:t>
                                  </w:r>
                                  <w:r>
                                    <w:rPr>
                                      <w:spacing w:val="-4"/>
                                      <w:sz w:val="20"/>
                                    </w:rPr>
                                    <w:t> (tnm)</w:t>
                                  </w:r>
                                </w:p>
                              </w:tc>
                            </w:tr>
                            <w:tr>
                              <w:trPr>
                                <w:trHeight w:val="230" w:hRule="atLeast"/>
                              </w:trPr>
                              <w:tc>
                                <w:tcPr>
                                  <w:tcW w:w="612" w:type="dxa"/>
                                </w:tcPr>
                                <w:p>
                                  <w:pPr>
                                    <w:pStyle w:val="TableParagraph"/>
                                    <w:ind w:left="50"/>
                                    <w:rPr>
                                      <w:sz w:val="20"/>
                                    </w:rPr>
                                  </w:pPr>
                                  <w:r>
                                    <w:rPr>
                                      <w:spacing w:val="-4"/>
                                      <w:sz w:val="20"/>
                                    </w:rPr>
                                    <w:t>4170</w:t>
                                  </w:r>
                                </w:p>
                              </w:tc>
                              <w:tc>
                                <w:tcPr>
                                  <w:tcW w:w="1960" w:type="dxa"/>
                                </w:tcPr>
                                <w:p>
                                  <w:pPr>
                                    <w:pStyle w:val="TableParagraph"/>
                                    <w:ind w:left="158"/>
                                    <w:rPr>
                                      <w:sz w:val="20"/>
                                    </w:rPr>
                                  </w:pPr>
                                  <w:r>
                                    <w:rPr>
                                      <w:sz w:val="20"/>
                                    </w:rPr>
                                    <w:t>Qaqet</w:t>
                                  </w:r>
                                  <w:r>
                                    <w:rPr>
                                      <w:spacing w:val="-4"/>
                                      <w:sz w:val="20"/>
                                    </w:rPr>
                                    <w:t> </w:t>
                                  </w:r>
                                  <w:r>
                                    <w:rPr>
                                      <w:spacing w:val="-2"/>
                                      <w:sz w:val="20"/>
                                    </w:rPr>
                                    <w:t>(byx)</w:t>
                                  </w:r>
                                </w:p>
                              </w:tc>
                            </w:tr>
                            <w:tr>
                              <w:trPr>
                                <w:trHeight w:val="230" w:hRule="atLeast"/>
                              </w:trPr>
                              <w:tc>
                                <w:tcPr>
                                  <w:tcW w:w="612" w:type="dxa"/>
                                </w:tcPr>
                                <w:p>
                                  <w:pPr>
                                    <w:pStyle w:val="TableParagraph"/>
                                    <w:ind w:left="50"/>
                                    <w:rPr>
                                      <w:sz w:val="20"/>
                                    </w:rPr>
                                  </w:pPr>
                                  <w:r>
                                    <w:rPr>
                                      <w:spacing w:val="-4"/>
                                      <w:sz w:val="20"/>
                                    </w:rPr>
                                    <w:t>4190</w:t>
                                  </w:r>
                                </w:p>
                              </w:tc>
                              <w:tc>
                                <w:tcPr>
                                  <w:tcW w:w="1960" w:type="dxa"/>
                                </w:tcPr>
                                <w:p>
                                  <w:pPr>
                                    <w:pStyle w:val="TableParagraph"/>
                                    <w:ind w:left="158"/>
                                    <w:rPr>
                                      <w:sz w:val="20"/>
                                    </w:rPr>
                                  </w:pPr>
                                  <w:r>
                                    <w:rPr>
                                      <w:sz w:val="20"/>
                                    </w:rPr>
                                    <w:t>Gresi</w:t>
                                  </w:r>
                                  <w:r>
                                    <w:rPr>
                                      <w:spacing w:val="-6"/>
                                      <w:sz w:val="20"/>
                                    </w:rPr>
                                    <w:t> </w:t>
                                  </w:r>
                                  <w:r>
                                    <w:rPr>
                                      <w:spacing w:val="-2"/>
                                      <w:sz w:val="20"/>
                                    </w:rPr>
                                    <w:t>(grs)</w:t>
                                  </w:r>
                                </w:p>
                              </w:tc>
                            </w:tr>
                            <w:tr>
                              <w:trPr>
                                <w:trHeight w:val="230" w:hRule="atLeast"/>
                              </w:trPr>
                              <w:tc>
                                <w:tcPr>
                                  <w:tcW w:w="612" w:type="dxa"/>
                                </w:tcPr>
                                <w:p>
                                  <w:pPr>
                                    <w:pStyle w:val="TableParagraph"/>
                                    <w:ind w:left="50"/>
                                    <w:rPr>
                                      <w:sz w:val="20"/>
                                    </w:rPr>
                                  </w:pPr>
                                  <w:r>
                                    <w:rPr>
                                      <w:spacing w:val="-4"/>
                                      <w:sz w:val="20"/>
                                    </w:rPr>
                                    <w:t>4200</w:t>
                                  </w:r>
                                </w:p>
                              </w:tc>
                              <w:tc>
                                <w:tcPr>
                                  <w:tcW w:w="1960" w:type="dxa"/>
                                </w:tcPr>
                                <w:p>
                                  <w:pPr>
                                    <w:pStyle w:val="TableParagraph"/>
                                    <w:ind w:left="158"/>
                                    <w:rPr>
                                      <w:sz w:val="20"/>
                                    </w:rPr>
                                  </w:pPr>
                                  <w:r>
                                    <w:rPr>
                                      <w:sz w:val="20"/>
                                    </w:rPr>
                                    <w:t>Nimboran</w:t>
                                  </w:r>
                                  <w:r>
                                    <w:rPr>
                                      <w:spacing w:val="-10"/>
                                      <w:sz w:val="20"/>
                                    </w:rPr>
                                    <w:t> </w:t>
                                  </w:r>
                                  <w:r>
                                    <w:rPr>
                                      <w:spacing w:val="-2"/>
                                      <w:sz w:val="20"/>
                                    </w:rPr>
                                    <w:t>(nir)</w:t>
                                  </w:r>
                                </w:p>
                              </w:tc>
                            </w:tr>
                            <w:tr>
                              <w:trPr>
                                <w:trHeight w:val="229" w:hRule="atLeast"/>
                              </w:trPr>
                              <w:tc>
                                <w:tcPr>
                                  <w:tcW w:w="612" w:type="dxa"/>
                                </w:tcPr>
                                <w:p>
                                  <w:pPr>
                                    <w:pStyle w:val="TableParagraph"/>
                                    <w:spacing w:line="209" w:lineRule="exact"/>
                                    <w:ind w:left="50"/>
                                    <w:rPr>
                                      <w:sz w:val="20"/>
                                    </w:rPr>
                                  </w:pPr>
                                  <w:r>
                                    <w:rPr>
                                      <w:spacing w:val="-4"/>
                                      <w:sz w:val="20"/>
                                    </w:rPr>
                                    <w:t>4240</w:t>
                                  </w:r>
                                </w:p>
                              </w:tc>
                              <w:tc>
                                <w:tcPr>
                                  <w:tcW w:w="1960" w:type="dxa"/>
                                </w:tcPr>
                                <w:p>
                                  <w:pPr>
                                    <w:pStyle w:val="TableParagraph"/>
                                    <w:spacing w:line="209" w:lineRule="exact"/>
                                    <w:ind w:left="158"/>
                                    <w:rPr>
                                      <w:sz w:val="20"/>
                                    </w:rPr>
                                  </w:pPr>
                                  <w:r>
                                    <w:rPr>
                                      <w:sz w:val="20"/>
                                    </w:rPr>
                                    <w:t>Rapoisi</w:t>
                                  </w:r>
                                  <w:r>
                                    <w:rPr>
                                      <w:spacing w:val="-8"/>
                                      <w:sz w:val="20"/>
                                    </w:rPr>
                                    <w:t> </w:t>
                                  </w:r>
                                  <w:r>
                                    <w:rPr>
                                      <w:spacing w:val="-2"/>
                                      <w:sz w:val="20"/>
                                    </w:rPr>
                                    <w:t>(kyx)</w:t>
                                  </w:r>
                                </w:p>
                              </w:tc>
                            </w:tr>
                            <w:tr>
                              <w:trPr>
                                <w:trHeight w:val="229" w:hRule="atLeast"/>
                              </w:trPr>
                              <w:tc>
                                <w:tcPr>
                                  <w:tcW w:w="612" w:type="dxa"/>
                                </w:tcPr>
                                <w:p>
                                  <w:pPr>
                                    <w:pStyle w:val="TableParagraph"/>
                                    <w:spacing w:line="209" w:lineRule="exact"/>
                                    <w:ind w:left="50"/>
                                    <w:rPr>
                                      <w:sz w:val="20"/>
                                    </w:rPr>
                                  </w:pPr>
                                  <w:r>
                                    <w:rPr>
                                      <w:spacing w:val="-4"/>
                                      <w:sz w:val="20"/>
                                    </w:rPr>
                                    <w:t>4270</w:t>
                                  </w:r>
                                </w:p>
                              </w:tc>
                              <w:tc>
                                <w:tcPr>
                                  <w:tcW w:w="1960" w:type="dxa"/>
                                </w:tcPr>
                                <w:p>
                                  <w:pPr>
                                    <w:pStyle w:val="TableParagraph"/>
                                    <w:spacing w:line="209" w:lineRule="exact"/>
                                    <w:ind w:left="158"/>
                                    <w:rPr>
                                      <w:sz w:val="20"/>
                                    </w:rPr>
                                  </w:pPr>
                                  <w:r>
                                    <w:rPr>
                                      <w:sz w:val="20"/>
                                    </w:rPr>
                                    <w:t>Tanggu</w:t>
                                  </w:r>
                                  <w:r>
                                    <w:rPr>
                                      <w:spacing w:val="-8"/>
                                      <w:sz w:val="20"/>
                                    </w:rPr>
                                    <w:t> </w:t>
                                  </w:r>
                                  <w:r>
                                    <w:rPr>
                                      <w:spacing w:val="-2"/>
                                      <w:sz w:val="20"/>
                                    </w:rPr>
                                    <w:t>(tgu)</w:t>
                                  </w:r>
                                </w:p>
                              </w:tc>
                            </w:tr>
                            <w:tr>
                              <w:trPr>
                                <w:trHeight w:val="230" w:hRule="atLeast"/>
                              </w:trPr>
                              <w:tc>
                                <w:tcPr>
                                  <w:tcW w:w="612" w:type="dxa"/>
                                </w:tcPr>
                                <w:p>
                                  <w:pPr>
                                    <w:pStyle w:val="TableParagraph"/>
                                    <w:ind w:left="50"/>
                                    <w:rPr>
                                      <w:sz w:val="20"/>
                                    </w:rPr>
                                  </w:pPr>
                                  <w:r>
                                    <w:rPr>
                                      <w:spacing w:val="-4"/>
                                      <w:sz w:val="20"/>
                                    </w:rPr>
                                    <w:t>4320</w:t>
                                  </w:r>
                                </w:p>
                              </w:tc>
                              <w:tc>
                                <w:tcPr>
                                  <w:tcW w:w="1960" w:type="dxa"/>
                                </w:tcPr>
                                <w:p>
                                  <w:pPr>
                                    <w:pStyle w:val="TableParagraph"/>
                                    <w:ind w:left="158"/>
                                    <w:rPr>
                                      <w:sz w:val="20"/>
                                    </w:rPr>
                                  </w:pPr>
                                  <w:r>
                                    <w:rPr>
                                      <w:sz w:val="20"/>
                                    </w:rPr>
                                    <w:t>Sinagen</w:t>
                                  </w:r>
                                  <w:r>
                                    <w:rPr>
                                      <w:spacing w:val="-10"/>
                                      <w:sz w:val="20"/>
                                    </w:rPr>
                                    <w:t> </w:t>
                                  </w:r>
                                  <w:r>
                                    <w:rPr>
                                      <w:spacing w:val="-2"/>
                                      <w:sz w:val="20"/>
                                    </w:rPr>
                                    <w:t>(siu)</w:t>
                                  </w:r>
                                </w:p>
                              </w:tc>
                            </w:tr>
                            <w:tr>
                              <w:trPr>
                                <w:trHeight w:val="230" w:hRule="atLeast"/>
                              </w:trPr>
                              <w:tc>
                                <w:tcPr>
                                  <w:tcW w:w="612" w:type="dxa"/>
                                </w:tcPr>
                                <w:p>
                                  <w:pPr>
                                    <w:pStyle w:val="TableParagraph"/>
                                    <w:ind w:left="50"/>
                                    <w:rPr>
                                      <w:sz w:val="20"/>
                                    </w:rPr>
                                  </w:pPr>
                                  <w:r>
                                    <w:rPr>
                                      <w:spacing w:val="-4"/>
                                      <w:sz w:val="20"/>
                                    </w:rPr>
                                    <w:t>4440</w:t>
                                  </w:r>
                                </w:p>
                              </w:tc>
                              <w:tc>
                                <w:tcPr>
                                  <w:tcW w:w="1960" w:type="dxa"/>
                                </w:tcPr>
                                <w:p>
                                  <w:pPr>
                                    <w:pStyle w:val="TableParagraph"/>
                                    <w:ind w:left="158"/>
                                    <w:rPr>
                                      <w:sz w:val="20"/>
                                    </w:rPr>
                                  </w:pPr>
                                  <w:r>
                                    <w:rPr>
                                      <w:sz w:val="20"/>
                                    </w:rPr>
                                    <w:t>Eastern</w:t>
                                  </w:r>
                                  <w:r>
                                    <w:rPr>
                                      <w:spacing w:val="-8"/>
                                      <w:sz w:val="20"/>
                                    </w:rPr>
                                    <w:t> </w:t>
                                  </w:r>
                                  <w:r>
                                    <w:rPr>
                                      <w:sz w:val="20"/>
                                    </w:rPr>
                                    <w:t>Arrernte</w:t>
                                  </w:r>
                                  <w:r>
                                    <w:rPr>
                                      <w:spacing w:val="-8"/>
                                      <w:sz w:val="20"/>
                                    </w:rPr>
                                    <w:t> </w:t>
                                  </w:r>
                                  <w:r>
                                    <w:rPr>
                                      <w:spacing w:val="-2"/>
                                      <w:sz w:val="20"/>
                                    </w:rPr>
                                    <w:t>(aer)</w:t>
                                  </w:r>
                                </w:p>
                              </w:tc>
                            </w:tr>
                            <w:tr>
                              <w:trPr>
                                <w:trHeight w:val="225" w:hRule="atLeast"/>
                              </w:trPr>
                              <w:tc>
                                <w:tcPr>
                                  <w:tcW w:w="612" w:type="dxa"/>
                                </w:tcPr>
                                <w:p>
                                  <w:pPr>
                                    <w:pStyle w:val="TableParagraph"/>
                                    <w:spacing w:line="205" w:lineRule="exact"/>
                                    <w:ind w:left="50"/>
                                    <w:rPr>
                                      <w:sz w:val="20"/>
                                    </w:rPr>
                                  </w:pPr>
                                  <w:r>
                                    <w:rPr>
                                      <w:spacing w:val="-4"/>
                                      <w:sz w:val="20"/>
                                    </w:rPr>
                                    <w:t>4450</w:t>
                                  </w:r>
                                </w:p>
                              </w:tc>
                              <w:tc>
                                <w:tcPr>
                                  <w:tcW w:w="1960" w:type="dxa"/>
                                </w:tcPr>
                                <w:p>
                                  <w:pPr>
                                    <w:pStyle w:val="TableParagraph"/>
                                    <w:spacing w:line="205" w:lineRule="exact"/>
                                    <w:ind w:left="158"/>
                                    <w:rPr>
                                      <w:sz w:val="20"/>
                                    </w:rPr>
                                  </w:pPr>
                                  <w:r>
                                    <w:rPr>
                                      <w:sz w:val="20"/>
                                    </w:rPr>
                                    <w:t>Yan-nhangu</w:t>
                                  </w:r>
                                  <w:r>
                                    <w:rPr>
                                      <w:spacing w:val="-12"/>
                                      <w:sz w:val="20"/>
                                    </w:rPr>
                                    <w:t> </w:t>
                                  </w:r>
                                  <w:r>
                                    <w:rPr>
                                      <w:spacing w:val="-2"/>
                                      <w:sz w:val="20"/>
                                    </w:rPr>
                                    <w:t>(jay)</w:t>
                                  </w: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149.079559pt;width:134.6pt;height:137.3pt;mso-position-horizontal-relative:page;mso-position-vertical-relative:paragraph;z-index:15766528" type="#_x0000_t202" id="docshape15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960"/>
                      </w:tblGrid>
                      <w:tr>
                        <w:trPr>
                          <w:trHeight w:val="225" w:hRule="atLeast"/>
                        </w:trPr>
                        <w:tc>
                          <w:tcPr>
                            <w:tcW w:w="612" w:type="dxa"/>
                          </w:tcPr>
                          <w:p>
                            <w:pPr>
                              <w:pStyle w:val="TableParagraph"/>
                              <w:spacing w:line="205" w:lineRule="exact"/>
                              <w:ind w:left="50"/>
                              <w:rPr>
                                <w:sz w:val="20"/>
                              </w:rPr>
                            </w:pPr>
                            <w:r>
                              <w:rPr>
                                <w:spacing w:val="-4"/>
                                <w:sz w:val="20"/>
                              </w:rPr>
                              <w:t>3930</w:t>
                            </w:r>
                          </w:p>
                        </w:tc>
                        <w:tc>
                          <w:tcPr>
                            <w:tcW w:w="1960" w:type="dxa"/>
                          </w:tcPr>
                          <w:p>
                            <w:pPr>
                              <w:pStyle w:val="TableParagraph"/>
                              <w:spacing w:line="205" w:lineRule="exact"/>
                              <w:ind w:left="158"/>
                              <w:rPr>
                                <w:sz w:val="20"/>
                              </w:rPr>
                            </w:pPr>
                            <w:r>
                              <w:rPr>
                                <w:sz w:val="20"/>
                              </w:rPr>
                              <w:t>Marind</w:t>
                            </w:r>
                            <w:r>
                              <w:rPr>
                                <w:spacing w:val="-7"/>
                                <w:sz w:val="20"/>
                              </w:rPr>
                              <w:t> </w:t>
                            </w:r>
                            <w:r>
                              <w:rPr>
                                <w:spacing w:val="-2"/>
                                <w:sz w:val="20"/>
                              </w:rPr>
                              <w:t>(mrz)</w:t>
                            </w:r>
                          </w:p>
                        </w:tc>
                      </w:tr>
                      <w:tr>
                        <w:trPr>
                          <w:trHeight w:val="229" w:hRule="atLeast"/>
                        </w:trPr>
                        <w:tc>
                          <w:tcPr>
                            <w:tcW w:w="612" w:type="dxa"/>
                          </w:tcPr>
                          <w:p>
                            <w:pPr>
                              <w:pStyle w:val="TableParagraph"/>
                              <w:spacing w:line="209" w:lineRule="exact"/>
                              <w:ind w:left="50"/>
                              <w:rPr>
                                <w:sz w:val="20"/>
                              </w:rPr>
                            </w:pPr>
                            <w:r>
                              <w:rPr>
                                <w:spacing w:val="-4"/>
                                <w:sz w:val="20"/>
                              </w:rPr>
                              <w:t>3950</w:t>
                            </w:r>
                          </w:p>
                        </w:tc>
                        <w:tc>
                          <w:tcPr>
                            <w:tcW w:w="1960" w:type="dxa"/>
                          </w:tcPr>
                          <w:p>
                            <w:pPr>
                              <w:pStyle w:val="TableParagraph"/>
                              <w:spacing w:line="209" w:lineRule="exact"/>
                              <w:ind w:left="158"/>
                              <w:rPr>
                                <w:sz w:val="20"/>
                              </w:rPr>
                            </w:pPr>
                            <w:r>
                              <w:rPr>
                                <w:sz w:val="20"/>
                              </w:rPr>
                              <w:t>Laua</w:t>
                            </w:r>
                            <w:r>
                              <w:rPr>
                                <w:spacing w:val="-6"/>
                                <w:sz w:val="20"/>
                              </w:rPr>
                              <w:t> </w:t>
                            </w:r>
                            <w:r>
                              <w:rPr>
                                <w:spacing w:val="-2"/>
                                <w:sz w:val="20"/>
                              </w:rPr>
                              <w:t>(luf)</w:t>
                            </w:r>
                          </w:p>
                        </w:tc>
                      </w:tr>
                      <w:tr>
                        <w:trPr>
                          <w:trHeight w:val="229" w:hRule="atLeast"/>
                        </w:trPr>
                        <w:tc>
                          <w:tcPr>
                            <w:tcW w:w="612" w:type="dxa"/>
                          </w:tcPr>
                          <w:p>
                            <w:pPr>
                              <w:pStyle w:val="TableParagraph"/>
                              <w:spacing w:line="209" w:lineRule="exact"/>
                              <w:ind w:left="50"/>
                              <w:rPr>
                                <w:sz w:val="20"/>
                              </w:rPr>
                            </w:pPr>
                            <w:r>
                              <w:rPr>
                                <w:spacing w:val="-4"/>
                                <w:sz w:val="20"/>
                              </w:rPr>
                              <w:t>3970</w:t>
                            </w:r>
                          </w:p>
                        </w:tc>
                        <w:tc>
                          <w:tcPr>
                            <w:tcW w:w="1960" w:type="dxa"/>
                          </w:tcPr>
                          <w:p>
                            <w:pPr>
                              <w:pStyle w:val="TableParagraph"/>
                              <w:spacing w:line="209" w:lineRule="exact"/>
                              <w:ind w:left="158"/>
                              <w:rPr>
                                <w:sz w:val="20"/>
                              </w:rPr>
                            </w:pPr>
                            <w:r>
                              <w:rPr>
                                <w:sz w:val="20"/>
                              </w:rPr>
                              <w:t>Wiru</w:t>
                            </w:r>
                            <w:r>
                              <w:rPr>
                                <w:spacing w:val="-5"/>
                                <w:sz w:val="20"/>
                              </w:rPr>
                              <w:t> </w:t>
                            </w:r>
                            <w:r>
                              <w:rPr>
                                <w:spacing w:val="-2"/>
                                <w:sz w:val="20"/>
                              </w:rPr>
                              <w:t>(wiu)</w:t>
                            </w:r>
                          </w:p>
                        </w:tc>
                      </w:tr>
                      <w:tr>
                        <w:trPr>
                          <w:trHeight w:val="230" w:hRule="atLeast"/>
                        </w:trPr>
                        <w:tc>
                          <w:tcPr>
                            <w:tcW w:w="612" w:type="dxa"/>
                          </w:tcPr>
                          <w:p>
                            <w:pPr>
                              <w:pStyle w:val="TableParagraph"/>
                              <w:ind w:left="50"/>
                              <w:rPr>
                                <w:sz w:val="20"/>
                              </w:rPr>
                            </w:pPr>
                            <w:r>
                              <w:rPr>
                                <w:spacing w:val="-4"/>
                                <w:sz w:val="20"/>
                              </w:rPr>
                              <w:t>4150</w:t>
                            </w:r>
                          </w:p>
                        </w:tc>
                        <w:tc>
                          <w:tcPr>
                            <w:tcW w:w="1960" w:type="dxa"/>
                          </w:tcPr>
                          <w:p>
                            <w:pPr>
                              <w:pStyle w:val="TableParagraph"/>
                              <w:ind w:left="158"/>
                              <w:rPr>
                                <w:sz w:val="20"/>
                              </w:rPr>
                            </w:pPr>
                            <w:r>
                              <w:rPr>
                                <w:sz w:val="20"/>
                              </w:rPr>
                              <w:t>Tabla</w:t>
                            </w:r>
                            <w:r>
                              <w:rPr>
                                <w:spacing w:val="-4"/>
                                <w:sz w:val="20"/>
                              </w:rPr>
                              <w:t> (tnm)</w:t>
                            </w:r>
                          </w:p>
                        </w:tc>
                      </w:tr>
                      <w:tr>
                        <w:trPr>
                          <w:trHeight w:val="230" w:hRule="atLeast"/>
                        </w:trPr>
                        <w:tc>
                          <w:tcPr>
                            <w:tcW w:w="612" w:type="dxa"/>
                          </w:tcPr>
                          <w:p>
                            <w:pPr>
                              <w:pStyle w:val="TableParagraph"/>
                              <w:ind w:left="50"/>
                              <w:rPr>
                                <w:sz w:val="20"/>
                              </w:rPr>
                            </w:pPr>
                            <w:r>
                              <w:rPr>
                                <w:spacing w:val="-4"/>
                                <w:sz w:val="20"/>
                              </w:rPr>
                              <w:t>4170</w:t>
                            </w:r>
                          </w:p>
                        </w:tc>
                        <w:tc>
                          <w:tcPr>
                            <w:tcW w:w="1960" w:type="dxa"/>
                          </w:tcPr>
                          <w:p>
                            <w:pPr>
                              <w:pStyle w:val="TableParagraph"/>
                              <w:ind w:left="158"/>
                              <w:rPr>
                                <w:sz w:val="20"/>
                              </w:rPr>
                            </w:pPr>
                            <w:r>
                              <w:rPr>
                                <w:sz w:val="20"/>
                              </w:rPr>
                              <w:t>Qaqet</w:t>
                            </w:r>
                            <w:r>
                              <w:rPr>
                                <w:spacing w:val="-4"/>
                                <w:sz w:val="20"/>
                              </w:rPr>
                              <w:t> </w:t>
                            </w:r>
                            <w:r>
                              <w:rPr>
                                <w:spacing w:val="-2"/>
                                <w:sz w:val="20"/>
                              </w:rPr>
                              <w:t>(byx)</w:t>
                            </w:r>
                          </w:p>
                        </w:tc>
                      </w:tr>
                      <w:tr>
                        <w:trPr>
                          <w:trHeight w:val="230" w:hRule="atLeast"/>
                        </w:trPr>
                        <w:tc>
                          <w:tcPr>
                            <w:tcW w:w="612" w:type="dxa"/>
                          </w:tcPr>
                          <w:p>
                            <w:pPr>
                              <w:pStyle w:val="TableParagraph"/>
                              <w:ind w:left="50"/>
                              <w:rPr>
                                <w:sz w:val="20"/>
                              </w:rPr>
                            </w:pPr>
                            <w:r>
                              <w:rPr>
                                <w:spacing w:val="-4"/>
                                <w:sz w:val="20"/>
                              </w:rPr>
                              <w:t>4190</w:t>
                            </w:r>
                          </w:p>
                        </w:tc>
                        <w:tc>
                          <w:tcPr>
                            <w:tcW w:w="1960" w:type="dxa"/>
                          </w:tcPr>
                          <w:p>
                            <w:pPr>
                              <w:pStyle w:val="TableParagraph"/>
                              <w:ind w:left="158"/>
                              <w:rPr>
                                <w:sz w:val="20"/>
                              </w:rPr>
                            </w:pPr>
                            <w:r>
                              <w:rPr>
                                <w:sz w:val="20"/>
                              </w:rPr>
                              <w:t>Gresi</w:t>
                            </w:r>
                            <w:r>
                              <w:rPr>
                                <w:spacing w:val="-6"/>
                                <w:sz w:val="20"/>
                              </w:rPr>
                              <w:t> </w:t>
                            </w:r>
                            <w:r>
                              <w:rPr>
                                <w:spacing w:val="-2"/>
                                <w:sz w:val="20"/>
                              </w:rPr>
                              <w:t>(grs)</w:t>
                            </w:r>
                          </w:p>
                        </w:tc>
                      </w:tr>
                      <w:tr>
                        <w:trPr>
                          <w:trHeight w:val="230" w:hRule="atLeast"/>
                        </w:trPr>
                        <w:tc>
                          <w:tcPr>
                            <w:tcW w:w="612" w:type="dxa"/>
                          </w:tcPr>
                          <w:p>
                            <w:pPr>
                              <w:pStyle w:val="TableParagraph"/>
                              <w:ind w:left="50"/>
                              <w:rPr>
                                <w:sz w:val="20"/>
                              </w:rPr>
                            </w:pPr>
                            <w:r>
                              <w:rPr>
                                <w:spacing w:val="-4"/>
                                <w:sz w:val="20"/>
                              </w:rPr>
                              <w:t>4200</w:t>
                            </w:r>
                          </w:p>
                        </w:tc>
                        <w:tc>
                          <w:tcPr>
                            <w:tcW w:w="1960" w:type="dxa"/>
                          </w:tcPr>
                          <w:p>
                            <w:pPr>
                              <w:pStyle w:val="TableParagraph"/>
                              <w:ind w:left="158"/>
                              <w:rPr>
                                <w:sz w:val="20"/>
                              </w:rPr>
                            </w:pPr>
                            <w:r>
                              <w:rPr>
                                <w:sz w:val="20"/>
                              </w:rPr>
                              <w:t>Nimboran</w:t>
                            </w:r>
                            <w:r>
                              <w:rPr>
                                <w:spacing w:val="-10"/>
                                <w:sz w:val="20"/>
                              </w:rPr>
                              <w:t> </w:t>
                            </w:r>
                            <w:r>
                              <w:rPr>
                                <w:spacing w:val="-2"/>
                                <w:sz w:val="20"/>
                              </w:rPr>
                              <w:t>(nir)</w:t>
                            </w:r>
                          </w:p>
                        </w:tc>
                      </w:tr>
                      <w:tr>
                        <w:trPr>
                          <w:trHeight w:val="229" w:hRule="atLeast"/>
                        </w:trPr>
                        <w:tc>
                          <w:tcPr>
                            <w:tcW w:w="612" w:type="dxa"/>
                          </w:tcPr>
                          <w:p>
                            <w:pPr>
                              <w:pStyle w:val="TableParagraph"/>
                              <w:spacing w:line="209" w:lineRule="exact"/>
                              <w:ind w:left="50"/>
                              <w:rPr>
                                <w:sz w:val="20"/>
                              </w:rPr>
                            </w:pPr>
                            <w:r>
                              <w:rPr>
                                <w:spacing w:val="-4"/>
                                <w:sz w:val="20"/>
                              </w:rPr>
                              <w:t>4240</w:t>
                            </w:r>
                          </w:p>
                        </w:tc>
                        <w:tc>
                          <w:tcPr>
                            <w:tcW w:w="1960" w:type="dxa"/>
                          </w:tcPr>
                          <w:p>
                            <w:pPr>
                              <w:pStyle w:val="TableParagraph"/>
                              <w:spacing w:line="209" w:lineRule="exact"/>
                              <w:ind w:left="158"/>
                              <w:rPr>
                                <w:sz w:val="20"/>
                              </w:rPr>
                            </w:pPr>
                            <w:r>
                              <w:rPr>
                                <w:sz w:val="20"/>
                              </w:rPr>
                              <w:t>Rapoisi</w:t>
                            </w:r>
                            <w:r>
                              <w:rPr>
                                <w:spacing w:val="-8"/>
                                <w:sz w:val="20"/>
                              </w:rPr>
                              <w:t> </w:t>
                            </w:r>
                            <w:r>
                              <w:rPr>
                                <w:spacing w:val="-2"/>
                                <w:sz w:val="20"/>
                              </w:rPr>
                              <w:t>(kyx)</w:t>
                            </w:r>
                          </w:p>
                        </w:tc>
                      </w:tr>
                      <w:tr>
                        <w:trPr>
                          <w:trHeight w:val="229" w:hRule="atLeast"/>
                        </w:trPr>
                        <w:tc>
                          <w:tcPr>
                            <w:tcW w:w="612" w:type="dxa"/>
                          </w:tcPr>
                          <w:p>
                            <w:pPr>
                              <w:pStyle w:val="TableParagraph"/>
                              <w:spacing w:line="209" w:lineRule="exact"/>
                              <w:ind w:left="50"/>
                              <w:rPr>
                                <w:sz w:val="20"/>
                              </w:rPr>
                            </w:pPr>
                            <w:r>
                              <w:rPr>
                                <w:spacing w:val="-4"/>
                                <w:sz w:val="20"/>
                              </w:rPr>
                              <w:t>4270</w:t>
                            </w:r>
                          </w:p>
                        </w:tc>
                        <w:tc>
                          <w:tcPr>
                            <w:tcW w:w="1960" w:type="dxa"/>
                          </w:tcPr>
                          <w:p>
                            <w:pPr>
                              <w:pStyle w:val="TableParagraph"/>
                              <w:spacing w:line="209" w:lineRule="exact"/>
                              <w:ind w:left="158"/>
                              <w:rPr>
                                <w:sz w:val="20"/>
                              </w:rPr>
                            </w:pPr>
                            <w:r>
                              <w:rPr>
                                <w:sz w:val="20"/>
                              </w:rPr>
                              <w:t>Tanggu</w:t>
                            </w:r>
                            <w:r>
                              <w:rPr>
                                <w:spacing w:val="-8"/>
                                <w:sz w:val="20"/>
                              </w:rPr>
                              <w:t> </w:t>
                            </w:r>
                            <w:r>
                              <w:rPr>
                                <w:spacing w:val="-2"/>
                                <w:sz w:val="20"/>
                              </w:rPr>
                              <w:t>(tgu)</w:t>
                            </w:r>
                          </w:p>
                        </w:tc>
                      </w:tr>
                      <w:tr>
                        <w:trPr>
                          <w:trHeight w:val="230" w:hRule="atLeast"/>
                        </w:trPr>
                        <w:tc>
                          <w:tcPr>
                            <w:tcW w:w="612" w:type="dxa"/>
                          </w:tcPr>
                          <w:p>
                            <w:pPr>
                              <w:pStyle w:val="TableParagraph"/>
                              <w:ind w:left="50"/>
                              <w:rPr>
                                <w:sz w:val="20"/>
                              </w:rPr>
                            </w:pPr>
                            <w:r>
                              <w:rPr>
                                <w:spacing w:val="-4"/>
                                <w:sz w:val="20"/>
                              </w:rPr>
                              <w:t>4320</w:t>
                            </w:r>
                          </w:p>
                        </w:tc>
                        <w:tc>
                          <w:tcPr>
                            <w:tcW w:w="1960" w:type="dxa"/>
                          </w:tcPr>
                          <w:p>
                            <w:pPr>
                              <w:pStyle w:val="TableParagraph"/>
                              <w:ind w:left="158"/>
                              <w:rPr>
                                <w:sz w:val="20"/>
                              </w:rPr>
                            </w:pPr>
                            <w:r>
                              <w:rPr>
                                <w:sz w:val="20"/>
                              </w:rPr>
                              <w:t>Sinagen</w:t>
                            </w:r>
                            <w:r>
                              <w:rPr>
                                <w:spacing w:val="-10"/>
                                <w:sz w:val="20"/>
                              </w:rPr>
                              <w:t> </w:t>
                            </w:r>
                            <w:r>
                              <w:rPr>
                                <w:spacing w:val="-2"/>
                                <w:sz w:val="20"/>
                              </w:rPr>
                              <w:t>(siu)</w:t>
                            </w:r>
                          </w:p>
                        </w:tc>
                      </w:tr>
                      <w:tr>
                        <w:trPr>
                          <w:trHeight w:val="230" w:hRule="atLeast"/>
                        </w:trPr>
                        <w:tc>
                          <w:tcPr>
                            <w:tcW w:w="612" w:type="dxa"/>
                          </w:tcPr>
                          <w:p>
                            <w:pPr>
                              <w:pStyle w:val="TableParagraph"/>
                              <w:ind w:left="50"/>
                              <w:rPr>
                                <w:sz w:val="20"/>
                              </w:rPr>
                            </w:pPr>
                            <w:r>
                              <w:rPr>
                                <w:spacing w:val="-4"/>
                                <w:sz w:val="20"/>
                              </w:rPr>
                              <w:t>4440</w:t>
                            </w:r>
                          </w:p>
                        </w:tc>
                        <w:tc>
                          <w:tcPr>
                            <w:tcW w:w="1960" w:type="dxa"/>
                          </w:tcPr>
                          <w:p>
                            <w:pPr>
                              <w:pStyle w:val="TableParagraph"/>
                              <w:ind w:left="158"/>
                              <w:rPr>
                                <w:sz w:val="20"/>
                              </w:rPr>
                            </w:pPr>
                            <w:r>
                              <w:rPr>
                                <w:sz w:val="20"/>
                              </w:rPr>
                              <w:t>Eastern</w:t>
                            </w:r>
                            <w:r>
                              <w:rPr>
                                <w:spacing w:val="-8"/>
                                <w:sz w:val="20"/>
                              </w:rPr>
                              <w:t> </w:t>
                            </w:r>
                            <w:r>
                              <w:rPr>
                                <w:sz w:val="20"/>
                              </w:rPr>
                              <w:t>Arrernte</w:t>
                            </w:r>
                            <w:r>
                              <w:rPr>
                                <w:spacing w:val="-8"/>
                                <w:sz w:val="20"/>
                              </w:rPr>
                              <w:t> </w:t>
                            </w:r>
                            <w:r>
                              <w:rPr>
                                <w:spacing w:val="-2"/>
                                <w:sz w:val="20"/>
                              </w:rPr>
                              <w:t>(aer)</w:t>
                            </w:r>
                          </w:p>
                        </w:tc>
                      </w:tr>
                      <w:tr>
                        <w:trPr>
                          <w:trHeight w:val="225" w:hRule="atLeast"/>
                        </w:trPr>
                        <w:tc>
                          <w:tcPr>
                            <w:tcW w:w="612" w:type="dxa"/>
                          </w:tcPr>
                          <w:p>
                            <w:pPr>
                              <w:pStyle w:val="TableParagraph"/>
                              <w:spacing w:line="205" w:lineRule="exact"/>
                              <w:ind w:left="50"/>
                              <w:rPr>
                                <w:sz w:val="20"/>
                              </w:rPr>
                            </w:pPr>
                            <w:r>
                              <w:rPr>
                                <w:spacing w:val="-4"/>
                                <w:sz w:val="20"/>
                              </w:rPr>
                              <w:t>4450</w:t>
                            </w:r>
                          </w:p>
                        </w:tc>
                        <w:tc>
                          <w:tcPr>
                            <w:tcW w:w="1960" w:type="dxa"/>
                          </w:tcPr>
                          <w:p>
                            <w:pPr>
                              <w:pStyle w:val="TableParagraph"/>
                              <w:spacing w:line="205" w:lineRule="exact"/>
                              <w:ind w:left="158"/>
                              <w:rPr>
                                <w:sz w:val="20"/>
                              </w:rPr>
                            </w:pPr>
                            <w:r>
                              <w:rPr>
                                <w:sz w:val="20"/>
                              </w:rPr>
                              <w:t>Yan-nhangu</w:t>
                            </w:r>
                            <w:r>
                              <w:rPr>
                                <w:spacing w:val="-12"/>
                                <w:sz w:val="20"/>
                              </w:rPr>
                              <w:t> </w:t>
                            </w:r>
                            <w:r>
                              <w:rPr>
                                <w:spacing w:val="-2"/>
                                <w:sz w:val="20"/>
                              </w:rPr>
                              <w:t>(jay)</w:t>
                            </w:r>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67040">
                <wp:simplePos x="0" y="0"/>
                <wp:positionH relativeFrom="page">
                  <wp:posOffset>661669</wp:posOffset>
                </wp:positionH>
                <wp:positionV relativeFrom="paragraph">
                  <wp:posOffset>589920</wp:posOffset>
                </wp:positionV>
                <wp:extent cx="2150110" cy="5972809"/>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150110" cy="597280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654"/>
                            </w:tblGrid>
                            <w:tr>
                              <w:trPr>
                                <w:trHeight w:val="225" w:hRule="atLeast"/>
                              </w:trPr>
                              <w:tc>
                                <w:tcPr>
                                  <w:tcW w:w="612" w:type="dxa"/>
                                </w:tcPr>
                                <w:p>
                                  <w:pPr>
                                    <w:pStyle w:val="TableParagraph"/>
                                    <w:spacing w:line="240" w:lineRule="auto"/>
                                    <w:rPr>
                                      <w:sz w:val="16"/>
                                    </w:rPr>
                                  </w:pPr>
                                </w:p>
                              </w:tc>
                              <w:tc>
                                <w:tcPr>
                                  <w:tcW w:w="2654" w:type="dxa"/>
                                </w:tcPr>
                                <w:p>
                                  <w:pPr>
                                    <w:pStyle w:val="TableParagraph"/>
                                    <w:spacing w:line="205" w:lineRule="exact"/>
                                    <w:ind w:left="158"/>
                                    <w:rPr>
                                      <w:i/>
                                      <w:sz w:val="20"/>
                                    </w:rPr>
                                  </w:pPr>
                                  <w:r>
                                    <w:rPr>
                                      <w:i/>
                                      <w:sz w:val="20"/>
                                    </w:rPr>
                                    <w:t>Arabic</w:t>
                                  </w:r>
                                  <w:r>
                                    <w:rPr>
                                      <w:i/>
                                      <w:spacing w:val="-7"/>
                                      <w:sz w:val="20"/>
                                    </w:rPr>
                                    <w:t> </w:t>
                                  </w:r>
                                  <w:r>
                                    <w:rPr>
                                      <w:i/>
                                      <w:sz w:val="20"/>
                                    </w:rPr>
                                    <w:t>(4500-</w:t>
                                  </w:r>
                                  <w:r>
                                    <w:rPr>
                                      <w:i/>
                                      <w:spacing w:val="-2"/>
                                      <w:sz w:val="20"/>
                                    </w:rPr>
                                    <w:t>4544)</w:t>
                                  </w:r>
                                </w:p>
                              </w:tc>
                            </w:tr>
                            <w:tr>
                              <w:trPr>
                                <w:trHeight w:val="230" w:hRule="atLeast"/>
                              </w:trPr>
                              <w:tc>
                                <w:tcPr>
                                  <w:tcW w:w="612" w:type="dxa"/>
                                </w:tcPr>
                                <w:p>
                                  <w:pPr>
                                    <w:pStyle w:val="TableParagraph"/>
                                    <w:ind w:left="50"/>
                                    <w:rPr>
                                      <w:sz w:val="20"/>
                                    </w:rPr>
                                  </w:pPr>
                                  <w:r>
                                    <w:rPr>
                                      <w:spacing w:val="-4"/>
                                      <w:sz w:val="20"/>
                                    </w:rPr>
                                    <w:t>4500</w:t>
                                  </w:r>
                                </w:p>
                              </w:tc>
                              <w:tc>
                                <w:tcPr>
                                  <w:tcW w:w="2654" w:type="dxa"/>
                                </w:tcPr>
                                <w:p>
                                  <w:pPr>
                                    <w:pStyle w:val="TableParagraph"/>
                                    <w:ind w:left="158"/>
                                    <w:rPr>
                                      <w:sz w:val="20"/>
                                    </w:rPr>
                                  </w:pPr>
                                  <w:r>
                                    <w:rPr>
                                      <w:sz w:val="20"/>
                                    </w:rPr>
                                    <w:t>Arabic</w:t>
                                  </w:r>
                                  <w:r>
                                    <w:rPr>
                                      <w:spacing w:val="-12"/>
                                      <w:sz w:val="20"/>
                                    </w:rPr>
                                    <w:t> </w:t>
                                  </w:r>
                                  <w:r>
                                    <w:rPr>
                                      <w:sz w:val="20"/>
                                    </w:rPr>
                                    <w:t>(macrolanguage)</w:t>
                                  </w:r>
                                  <w:r>
                                    <w:rPr>
                                      <w:spacing w:val="-8"/>
                                      <w:sz w:val="20"/>
                                    </w:rPr>
                                    <w:t> </w:t>
                                  </w:r>
                                  <w:r>
                                    <w:rPr>
                                      <w:spacing w:val="-2"/>
                                      <w:sz w:val="20"/>
                                    </w:rPr>
                                    <w:t>(ara)</w:t>
                                  </w:r>
                                </w:p>
                              </w:tc>
                            </w:tr>
                            <w:tr>
                              <w:trPr>
                                <w:trHeight w:val="229" w:hRule="atLeast"/>
                              </w:trPr>
                              <w:tc>
                                <w:tcPr>
                                  <w:tcW w:w="612" w:type="dxa"/>
                                </w:tcPr>
                                <w:p>
                                  <w:pPr>
                                    <w:pStyle w:val="TableParagraph"/>
                                    <w:spacing w:line="209" w:lineRule="exact"/>
                                    <w:ind w:left="50"/>
                                    <w:rPr>
                                      <w:sz w:val="20"/>
                                    </w:rPr>
                                  </w:pPr>
                                  <w:r>
                                    <w:rPr>
                                      <w:spacing w:val="-4"/>
                                      <w:sz w:val="20"/>
                                    </w:rPr>
                                    <w:t>4502</w:t>
                                  </w:r>
                                </w:p>
                              </w:tc>
                              <w:tc>
                                <w:tcPr>
                                  <w:tcW w:w="2654" w:type="dxa"/>
                                </w:tcPr>
                                <w:p>
                                  <w:pPr>
                                    <w:pStyle w:val="TableParagraph"/>
                                    <w:spacing w:line="209" w:lineRule="exact"/>
                                    <w:ind w:left="158"/>
                                    <w:rPr>
                                      <w:sz w:val="20"/>
                                    </w:rPr>
                                  </w:pPr>
                                  <w:r>
                                    <w:rPr>
                                      <w:sz w:val="20"/>
                                    </w:rPr>
                                    <w:t>Algerian</w:t>
                                  </w:r>
                                  <w:r>
                                    <w:rPr>
                                      <w:spacing w:val="-7"/>
                                      <w:sz w:val="20"/>
                                    </w:rPr>
                                    <w:t> </w:t>
                                  </w:r>
                                  <w:r>
                                    <w:rPr>
                                      <w:sz w:val="20"/>
                                    </w:rPr>
                                    <w:t>Arabic</w:t>
                                  </w:r>
                                  <w:r>
                                    <w:rPr>
                                      <w:spacing w:val="-7"/>
                                      <w:sz w:val="20"/>
                                    </w:rPr>
                                    <w:t> </w:t>
                                  </w:r>
                                  <w:r>
                                    <w:rPr>
                                      <w:spacing w:val="-2"/>
                                      <w:sz w:val="20"/>
                                    </w:rPr>
                                    <w:t>(arq)</w:t>
                                  </w:r>
                                </w:p>
                              </w:tc>
                            </w:tr>
                            <w:tr>
                              <w:trPr>
                                <w:trHeight w:val="229" w:hRule="atLeast"/>
                              </w:trPr>
                              <w:tc>
                                <w:tcPr>
                                  <w:tcW w:w="612" w:type="dxa"/>
                                </w:tcPr>
                                <w:p>
                                  <w:pPr>
                                    <w:pStyle w:val="TableParagraph"/>
                                    <w:spacing w:line="209" w:lineRule="exact"/>
                                    <w:ind w:left="50"/>
                                    <w:rPr>
                                      <w:sz w:val="20"/>
                                    </w:rPr>
                                  </w:pPr>
                                  <w:r>
                                    <w:rPr>
                                      <w:spacing w:val="-4"/>
                                      <w:sz w:val="20"/>
                                    </w:rPr>
                                    <w:t>4504</w:t>
                                  </w:r>
                                </w:p>
                              </w:tc>
                              <w:tc>
                                <w:tcPr>
                                  <w:tcW w:w="2654" w:type="dxa"/>
                                </w:tcPr>
                                <w:p>
                                  <w:pPr>
                                    <w:pStyle w:val="TableParagraph"/>
                                    <w:spacing w:line="209" w:lineRule="exact"/>
                                    <w:ind w:left="158"/>
                                    <w:rPr>
                                      <w:sz w:val="20"/>
                                    </w:rPr>
                                  </w:pPr>
                                  <w:r>
                                    <w:rPr>
                                      <w:sz w:val="20"/>
                                    </w:rPr>
                                    <w:t>Chadian</w:t>
                                  </w:r>
                                  <w:r>
                                    <w:rPr>
                                      <w:spacing w:val="-7"/>
                                      <w:sz w:val="20"/>
                                    </w:rPr>
                                    <w:t> </w:t>
                                  </w:r>
                                  <w:r>
                                    <w:rPr>
                                      <w:sz w:val="20"/>
                                    </w:rPr>
                                    <w:t>Arabic</w:t>
                                  </w:r>
                                  <w:r>
                                    <w:rPr>
                                      <w:spacing w:val="-7"/>
                                      <w:sz w:val="20"/>
                                    </w:rPr>
                                    <w:t> </w:t>
                                  </w:r>
                                  <w:r>
                                    <w:rPr>
                                      <w:spacing w:val="-4"/>
                                      <w:sz w:val="20"/>
                                    </w:rPr>
                                    <w:t>(shu)</w:t>
                                  </w:r>
                                </w:p>
                              </w:tc>
                            </w:tr>
                            <w:tr>
                              <w:trPr>
                                <w:trHeight w:val="230" w:hRule="atLeast"/>
                              </w:trPr>
                              <w:tc>
                                <w:tcPr>
                                  <w:tcW w:w="612" w:type="dxa"/>
                                </w:tcPr>
                                <w:p>
                                  <w:pPr>
                                    <w:pStyle w:val="TableParagraph"/>
                                    <w:ind w:left="50"/>
                                    <w:rPr>
                                      <w:sz w:val="20"/>
                                    </w:rPr>
                                  </w:pPr>
                                  <w:r>
                                    <w:rPr>
                                      <w:spacing w:val="-4"/>
                                      <w:sz w:val="20"/>
                                    </w:rPr>
                                    <w:t>4506</w:t>
                                  </w:r>
                                </w:p>
                              </w:tc>
                              <w:tc>
                                <w:tcPr>
                                  <w:tcW w:w="2654" w:type="dxa"/>
                                </w:tcPr>
                                <w:p>
                                  <w:pPr>
                                    <w:pStyle w:val="TableParagraph"/>
                                    <w:ind w:left="158"/>
                                    <w:rPr>
                                      <w:sz w:val="20"/>
                                    </w:rPr>
                                  </w:pPr>
                                  <w:r>
                                    <w:rPr>
                                      <w:sz w:val="20"/>
                                    </w:rPr>
                                    <w:t>Cypriot</w:t>
                                  </w:r>
                                  <w:r>
                                    <w:rPr>
                                      <w:spacing w:val="-6"/>
                                      <w:sz w:val="20"/>
                                    </w:rPr>
                                    <w:t> </w:t>
                                  </w:r>
                                  <w:r>
                                    <w:rPr>
                                      <w:sz w:val="20"/>
                                    </w:rPr>
                                    <w:t>Arabic</w:t>
                                  </w:r>
                                  <w:r>
                                    <w:rPr>
                                      <w:spacing w:val="-8"/>
                                      <w:sz w:val="20"/>
                                    </w:rPr>
                                    <w:t> </w:t>
                                  </w:r>
                                  <w:r>
                                    <w:rPr>
                                      <w:spacing w:val="-2"/>
                                      <w:sz w:val="20"/>
                                    </w:rPr>
                                    <w:t>(acy)</w:t>
                                  </w:r>
                                </w:p>
                              </w:tc>
                            </w:tr>
                            <w:tr>
                              <w:trPr>
                                <w:trHeight w:val="230" w:hRule="atLeast"/>
                              </w:trPr>
                              <w:tc>
                                <w:tcPr>
                                  <w:tcW w:w="612" w:type="dxa"/>
                                </w:tcPr>
                                <w:p>
                                  <w:pPr>
                                    <w:pStyle w:val="TableParagraph"/>
                                    <w:ind w:left="50"/>
                                    <w:rPr>
                                      <w:sz w:val="20"/>
                                    </w:rPr>
                                  </w:pPr>
                                  <w:r>
                                    <w:rPr>
                                      <w:spacing w:val="-4"/>
                                      <w:sz w:val="20"/>
                                    </w:rPr>
                                    <w:t>4508</w:t>
                                  </w:r>
                                </w:p>
                              </w:tc>
                              <w:tc>
                                <w:tcPr>
                                  <w:tcW w:w="2654" w:type="dxa"/>
                                </w:tcPr>
                                <w:p>
                                  <w:pPr>
                                    <w:pStyle w:val="TableParagraph"/>
                                    <w:ind w:left="158"/>
                                    <w:rPr>
                                      <w:sz w:val="20"/>
                                    </w:rPr>
                                  </w:pPr>
                                  <w:r>
                                    <w:rPr>
                                      <w:sz w:val="20"/>
                                    </w:rPr>
                                    <w:t>Egyptian</w:t>
                                  </w:r>
                                  <w:r>
                                    <w:rPr>
                                      <w:spacing w:val="-7"/>
                                      <w:sz w:val="20"/>
                                    </w:rPr>
                                    <w:t> </w:t>
                                  </w:r>
                                  <w:r>
                                    <w:rPr>
                                      <w:sz w:val="20"/>
                                    </w:rPr>
                                    <w:t>Arabic</w:t>
                                  </w:r>
                                  <w:r>
                                    <w:rPr>
                                      <w:spacing w:val="-7"/>
                                      <w:sz w:val="20"/>
                                    </w:rPr>
                                    <w:t> </w:t>
                                  </w:r>
                                  <w:r>
                                    <w:rPr>
                                      <w:spacing w:val="-2"/>
                                      <w:sz w:val="20"/>
                                    </w:rPr>
                                    <w:t>(arz)</w:t>
                                  </w:r>
                                </w:p>
                              </w:tc>
                            </w:tr>
                            <w:tr>
                              <w:trPr>
                                <w:trHeight w:val="230" w:hRule="atLeast"/>
                              </w:trPr>
                              <w:tc>
                                <w:tcPr>
                                  <w:tcW w:w="612" w:type="dxa"/>
                                </w:tcPr>
                                <w:p>
                                  <w:pPr>
                                    <w:pStyle w:val="TableParagraph"/>
                                    <w:ind w:left="50"/>
                                    <w:rPr>
                                      <w:sz w:val="20"/>
                                    </w:rPr>
                                  </w:pPr>
                                  <w:r>
                                    <w:rPr>
                                      <w:spacing w:val="-4"/>
                                      <w:sz w:val="20"/>
                                    </w:rPr>
                                    <w:t>4510</w:t>
                                  </w:r>
                                </w:p>
                              </w:tc>
                              <w:tc>
                                <w:tcPr>
                                  <w:tcW w:w="2654" w:type="dxa"/>
                                </w:tcPr>
                                <w:p>
                                  <w:pPr>
                                    <w:pStyle w:val="TableParagraph"/>
                                    <w:ind w:left="158"/>
                                    <w:rPr>
                                      <w:sz w:val="20"/>
                                    </w:rPr>
                                  </w:pPr>
                                  <w:r>
                                    <w:rPr>
                                      <w:sz w:val="20"/>
                                    </w:rPr>
                                    <w:t>Gulf</w:t>
                                  </w:r>
                                  <w:r>
                                    <w:rPr>
                                      <w:spacing w:val="-5"/>
                                      <w:sz w:val="20"/>
                                    </w:rPr>
                                    <w:t> </w:t>
                                  </w:r>
                                  <w:r>
                                    <w:rPr>
                                      <w:sz w:val="20"/>
                                    </w:rPr>
                                    <w:t>Arabic</w:t>
                                  </w:r>
                                  <w:r>
                                    <w:rPr>
                                      <w:spacing w:val="-5"/>
                                      <w:sz w:val="20"/>
                                    </w:rPr>
                                    <w:t> </w:t>
                                  </w:r>
                                  <w:r>
                                    <w:rPr>
                                      <w:spacing w:val="-4"/>
                                      <w:sz w:val="20"/>
                                    </w:rPr>
                                    <w:t>(afb)</w:t>
                                  </w:r>
                                </w:p>
                              </w:tc>
                            </w:tr>
                            <w:tr>
                              <w:trPr>
                                <w:trHeight w:val="229" w:hRule="atLeast"/>
                              </w:trPr>
                              <w:tc>
                                <w:tcPr>
                                  <w:tcW w:w="612" w:type="dxa"/>
                                </w:tcPr>
                                <w:p>
                                  <w:pPr>
                                    <w:pStyle w:val="TableParagraph"/>
                                    <w:spacing w:line="209" w:lineRule="exact"/>
                                    <w:ind w:left="50"/>
                                    <w:rPr>
                                      <w:sz w:val="20"/>
                                    </w:rPr>
                                  </w:pPr>
                                  <w:r>
                                    <w:rPr>
                                      <w:spacing w:val="-4"/>
                                      <w:sz w:val="20"/>
                                    </w:rPr>
                                    <w:t>4512</w:t>
                                  </w:r>
                                </w:p>
                              </w:tc>
                              <w:tc>
                                <w:tcPr>
                                  <w:tcW w:w="2654" w:type="dxa"/>
                                </w:tcPr>
                                <w:p>
                                  <w:pPr>
                                    <w:pStyle w:val="TableParagraph"/>
                                    <w:spacing w:line="209" w:lineRule="exact"/>
                                    <w:ind w:left="158"/>
                                    <w:rPr>
                                      <w:sz w:val="20"/>
                                    </w:rPr>
                                  </w:pPr>
                                  <w:r>
                                    <w:rPr>
                                      <w:sz w:val="20"/>
                                    </w:rPr>
                                    <w:t>Mesopotamian</w:t>
                                  </w:r>
                                  <w:r>
                                    <w:rPr>
                                      <w:spacing w:val="-9"/>
                                      <w:sz w:val="20"/>
                                    </w:rPr>
                                    <w:t> </w:t>
                                  </w:r>
                                  <w:r>
                                    <w:rPr>
                                      <w:sz w:val="20"/>
                                    </w:rPr>
                                    <w:t>Arabic</w:t>
                                  </w:r>
                                  <w:r>
                                    <w:rPr>
                                      <w:spacing w:val="-10"/>
                                      <w:sz w:val="20"/>
                                    </w:rPr>
                                    <w:t> </w:t>
                                  </w:r>
                                  <w:r>
                                    <w:rPr>
                                      <w:spacing w:val="-4"/>
                                      <w:sz w:val="20"/>
                                    </w:rPr>
                                    <w:t>(acm)</w:t>
                                  </w:r>
                                </w:p>
                              </w:tc>
                            </w:tr>
                            <w:tr>
                              <w:trPr>
                                <w:trHeight w:val="229" w:hRule="atLeast"/>
                              </w:trPr>
                              <w:tc>
                                <w:tcPr>
                                  <w:tcW w:w="612" w:type="dxa"/>
                                </w:tcPr>
                                <w:p>
                                  <w:pPr>
                                    <w:pStyle w:val="TableParagraph"/>
                                    <w:spacing w:line="209" w:lineRule="exact"/>
                                    <w:ind w:left="50"/>
                                    <w:rPr>
                                      <w:sz w:val="20"/>
                                    </w:rPr>
                                  </w:pPr>
                                  <w:r>
                                    <w:rPr>
                                      <w:spacing w:val="-4"/>
                                      <w:sz w:val="20"/>
                                    </w:rPr>
                                    <w:t>4514</w:t>
                                  </w:r>
                                </w:p>
                              </w:tc>
                              <w:tc>
                                <w:tcPr>
                                  <w:tcW w:w="2654" w:type="dxa"/>
                                </w:tcPr>
                                <w:p>
                                  <w:pPr>
                                    <w:pStyle w:val="TableParagraph"/>
                                    <w:spacing w:line="209" w:lineRule="exact"/>
                                    <w:ind w:left="158"/>
                                    <w:rPr>
                                      <w:sz w:val="20"/>
                                    </w:rPr>
                                  </w:pPr>
                                  <w:r>
                                    <w:rPr>
                                      <w:sz w:val="20"/>
                                    </w:rPr>
                                    <w:t>Moroccan</w:t>
                                  </w:r>
                                  <w:r>
                                    <w:rPr>
                                      <w:spacing w:val="-7"/>
                                      <w:sz w:val="20"/>
                                    </w:rPr>
                                    <w:t> </w:t>
                                  </w:r>
                                  <w:r>
                                    <w:rPr>
                                      <w:sz w:val="20"/>
                                    </w:rPr>
                                    <w:t>Arabic</w:t>
                                  </w:r>
                                  <w:r>
                                    <w:rPr>
                                      <w:spacing w:val="-7"/>
                                      <w:sz w:val="20"/>
                                    </w:rPr>
                                    <w:t> </w:t>
                                  </w:r>
                                  <w:r>
                                    <w:rPr>
                                      <w:spacing w:val="-4"/>
                                      <w:sz w:val="20"/>
                                    </w:rPr>
                                    <w:t>(ary)</w:t>
                                  </w:r>
                                </w:p>
                              </w:tc>
                            </w:tr>
                            <w:tr>
                              <w:trPr>
                                <w:trHeight w:val="230" w:hRule="atLeast"/>
                              </w:trPr>
                              <w:tc>
                                <w:tcPr>
                                  <w:tcW w:w="612" w:type="dxa"/>
                                </w:tcPr>
                                <w:p>
                                  <w:pPr>
                                    <w:pStyle w:val="TableParagraph"/>
                                    <w:ind w:left="50"/>
                                    <w:rPr>
                                      <w:sz w:val="20"/>
                                    </w:rPr>
                                  </w:pPr>
                                  <w:r>
                                    <w:rPr>
                                      <w:spacing w:val="-4"/>
                                      <w:sz w:val="20"/>
                                    </w:rPr>
                                    <w:t>4516</w:t>
                                  </w:r>
                                </w:p>
                              </w:tc>
                              <w:tc>
                                <w:tcPr>
                                  <w:tcW w:w="2654" w:type="dxa"/>
                                </w:tcPr>
                                <w:p>
                                  <w:pPr>
                                    <w:pStyle w:val="TableParagraph"/>
                                    <w:ind w:left="158"/>
                                    <w:rPr>
                                      <w:sz w:val="20"/>
                                    </w:rPr>
                                  </w:pPr>
                                  <w:r>
                                    <w:rPr>
                                      <w:sz w:val="20"/>
                                    </w:rPr>
                                    <w:t>North</w:t>
                                  </w:r>
                                  <w:r>
                                    <w:rPr>
                                      <w:spacing w:val="-10"/>
                                      <w:sz w:val="20"/>
                                    </w:rPr>
                                    <w:t> </w:t>
                                  </w:r>
                                  <w:r>
                                    <w:rPr>
                                      <w:sz w:val="20"/>
                                    </w:rPr>
                                    <w:t>Levantine</w:t>
                                  </w:r>
                                  <w:r>
                                    <w:rPr>
                                      <w:spacing w:val="-5"/>
                                      <w:sz w:val="20"/>
                                    </w:rPr>
                                    <w:t> </w:t>
                                  </w:r>
                                  <w:r>
                                    <w:rPr>
                                      <w:sz w:val="20"/>
                                    </w:rPr>
                                    <w:t>Arabic</w:t>
                                  </w:r>
                                  <w:r>
                                    <w:rPr>
                                      <w:spacing w:val="-8"/>
                                      <w:sz w:val="20"/>
                                    </w:rPr>
                                    <w:t> </w:t>
                                  </w:r>
                                  <w:r>
                                    <w:rPr>
                                      <w:spacing w:val="-2"/>
                                      <w:sz w:val="20"/>
                                    </w:rPr>
                                    <w:t>(apc)</w:t>
                                  </w:r>
                                </w:p>
                              </w:tc>
                            </w:tr>
                            <w:tr>
                              <w:trPr>
                                <w:trHeight w:val="230" w:hRule="atLeast"/>
                              </w:trPr>
                              <w:tc>
                                <w:tcPr>
                                  <w:tcW w:w="612" w:type="dxa"/>
                                </w:tcPr>
                                <w:p>
                                  <w:pPr>
                                    <w:pStyle w:val="TableParagraph"/>
                                    <w:ind w:left="50"/>
                                    <w:rPr>
                                      <w:sz w:val="20"/>
                                    </w:rPr>
                                  </w:pPr>
                                  <w:r>
                                    <w:rPr>
                                      <w:spacing w:val="-4"/>
                                      <w:sz w:val="20"/>
                                    </w:rPr>
                                    <w:t>4518</w:t>
                                  </w:r>
                                </w:p>
                              </w:tc>
                              <w:tc>
                                <w:tcPr>
                                  <w:tcW w:w="2654" w:type="dxa"/>
                                </w:tcPr>
                                <w:p>
                                  <w:pPr>
                                    <w:pStyle w:val="TableParagraph"/>
                                    <w:ind w:left="158"/>
                                    <w:rPr>
                                      <w:sz w:val="20"/>
                                    </w:rPr>
                                  </w:pPr>
                                  <w:r>
                                    <w:rPr>
                                      <w:sz w:val="20"/>
                                    </w:rPr>
                                    <w:t>Omani</w:t>
                                  </w:r>
                                  <w:r>
                                    <w:rPr>
                                      <w:spacing w:val="-6"/>
                                      <w:sz w:val="20"/>
                                    </w:rPr>
                                    <w:t> </w:t>
                                  </w:r>
                                  <w:r>
                                    <w:rPr>
                                      <w:sz w:val="20"/>
                                    </w:rPr>
                                    <w:t>Arabic</w:t>
                                  </w:r>
                                  <w:r>
                                    <w:rPr>
                                      <w:spacing w:val="-7"/>
                                      <w:sz w:val="20"/>
                                    </w:rPr>
                                    <w:t> </w:t>
                                  </w:r>
                                  <w:r>
                                    <w:rPr>
                                      <w:spacing w:val="-4"/>
                                      <w:sz w:val="20"/>
                                    </w:rPr>
                                    <w:t>(acx)</w:t>
                                  </w:r>
                                </w:p>
                              </w:tc>
                            </w:tr>
                            <w:tr>
                              <w:trPr>
                                <w:trHeight w:val="230" w:hRule="atLeast"/>
                              </w:trPr>
                              <w:tc>
                                <w:tcPr>
                                  <w:tcW w:w="612" w:type="dxa"/>
                                </w:tcPr>
                                <w:p>
                                  <w:pPr>
                                    <w:pStyle w:val="TableParagraph"/>
                                    <w:ind w:left="50"/>
                                    <w:rPr>
                                      <w:sz w:val="20"/>
                                    </w:rPr>
                                  </w:pPr>
                                  <w:r>
                                    <w:rPr>
                                      <w:spacing w:val="-4"/>
                                      <w:sz w:val="20"/>
                                    </w:rPr>
                                    <w:t>4520</w:t>
                                  </w:r>
                                </w:p>
                              </w:tc>
                              <w:tc>
                                <w:tcPr>
                                  <w:tcW w:w="2654" w:type="dxa"/>
                                </w:tcPr>
                                <w:p>
                                  <w:pPr>
                                    <w:pStyle w:val="TableParagraph"/>
                                    <w:ind w:left="158"/>
                                    <w:rPr>
                                      <w:sz w:val="20"/>
                                    </w:rPr>
                                  </w:pPr>
                                  <w:r>
                                    <w:rPr>
                                      <w:sz w:val="20"/>
                                    </w:rPr>
                                    <w:t>Sanaani</w:t>
                                  </w:r>
                                  <w:r>
                                    <w:rPr>
                                      <w:spacing w:val="-7"/>
                                      <w:sz w:val="20"/>
                                    </w:rPr>
                                    <w:t> </w:t>
                                  </w:r>
                                  <w:r>
                                    <w:rPr>
                                      <w:sz w:val="20"/>
                                    </w:rPr>
                                    <w:t>Arabic</w:t>
                                  </w:r>
                                  <w:r>
                                    <w:rPr>
                                      <w:spacing w:val="-7"/>
                                      <w:sz w:val="20"/>
                                    </w:rPr>
                                    <w:t> </w:t>
                                  </w:r>
                                  <w:r>
                                    <w:rPr>
                                      <w:spacing w:val="-4"/>
                                      <w:sz w:val="20"/>
                                    </w:rPr>
                                    <w:t>(ayn)</w:t>
                                  </w:r>
                                </w:p>
                              </w:tc>
                            </w:tr>
                            <w:tr>
                              <w:trPr>
                                <w:trHeight w:val="230" w:hRule="atLeast"/>
                              </w:trPr>
                              <w:tc>
                                <w:tcPr>
                                  <w:tcW w:w="612" w:type="dxa"/>
                                </w:tcPr>
                                <w:p>
                                  <w:pPr>
                                    <w:pStyle w:val="TableParagraph"/>
                                    <w:ind w:left="50"/>
                                    <w:rPr>
                                      <w:sz w:val="20"/>
                                    </w:rPr>
                                  </w:pPr>
                                  <w:r>
                                    <w:rPr>
                                      <w:spacing w:val="-4"/>
                                      <w:sz w:val="20"/>
                                    </w:rPr>
                                    <w:t>4522</w:t>
                                  </w:r>
                                </w:p>
                              </w:tc>
                              <w:tc>
                                <w:tcPr>
                                  <w:tcW w:w="2654" w:type="dxa"/>
                                </w:tcPr>
                                <w:p>
                                  <w:pPr>
                                    <w:pStyle w:val="TableParagraph"/>
                                    <w:ind w:left="158"/>
                                    <w:rPr>
                                      <w:sz w:val="20"/>
                                    </w:rPr>
                                  </w:pPr>
                                  <w:r>
                                    <w:rPr>
                                      <w:sz w:val="20"/>
                                    </w:rPr>
                                    <w:t>South</w:t>
                                  </w:r>
                                  <w:r>
                                    <w:rPr>
                                      <w:spacing w:val="-9"/>
                                      <w:sz w:val="20"/>
                                    </w:rPr>
                                    <w:t> </w:t>
                                  </w:r>
                                  <w:r>
                                    <w:rPr>
                                      <w:sz w:val="20"/>
                                    </w:rPr>
                                    <w:t>Levantine</w:t>
                                  </w:r>
                                  <w:r>
                                    <w:rPr>
                                      <w:spacing w:val="-6"/>
                                      <w:sz w:val="20"/>
                                    </w:rPr>
                                    <w:t> </w:t>
                                  </w:r>
                                  <w:r>
                                    <w:rPr>
                                      <w:sz w:val="20"/>
                                    </w:rPr>
                                    <w:t>Arabic</w:t>
                                  </w:r>
                                  <w:r>
                                    <w:rPr>
                                      <w:spacing w:val="-8"/>
                                      <w:sz w:val="20"/>
                                    </w:rPr>
                                    <w:t> </w:t>
                                  </w:r>
                                  <w:r>
                                    <w:rPr>
                                      <w:spacing w:val="-4"/>
                                      <w:sz w:val="20"/>
                                    </w:rPr>
                                    <w:t>(ajp)</w:t>
                                  </w:r>
                                </w:p>
                              </w:tc>
                            </w:tr>
                            <w:tr>
                              <w:trPr>
                                <w:trHeight w:val="229" w:hRule="atLeast"/>
                              </w:trPr>
                              <w:tc>
                                <w:tcPr>
                                  <w:tcW w:w="612" w:type="dxa"/>
                                </w:tcPr>
                                <w:p>
                                  <w:pPr>
                                    <w:pStyle w:val="TableParagraph"/>
                                    <w:spacing w:line="209" w:lineRule="exact"/>
                                    <w:ind w:left="50"/>
                                    <w:rPr>
                                      <w:sz w:val="20"/>
                                    </w:rPr>
                                  </w:pPr>
                                  <w:r>
                                    <w:rPr>
                                      <w:spacing w:val="-4"/>
                                      <w:sz w:val="20"/>
                                    </w:rPr>
                                    <w:t>4524</w:t>
                                  </w:r>
                                </w:p>
                              </w:tc>
                              <w:tc>
                                <w:tcPr>
                                  <w:tcW w:w="2654" w:type="dxa"/>
                                </w:tcPr>
                                <w:p>
                                  <w:pPr>
                                    <w:pStyle w:val="TableParagraph"/>
                                    <w:spacing w:line="209" w:lineRule="exact"/>
                                    <w:ind w:left="158"/>
                                    <w:rPr>
                                      <w:sz w:val="20"/>
                                    </w:rPr>
                                  </w:pPr>
                                  <w:r>
                                    <w:rPr>
                                      <w:sz w:val="20"/>
                                    </w:rPr>
                                    <w:t>Standard</w:t>
                                  </w:r>
                                  <w:r>
                                    <w:rPr>
                                      <w:spacing w:val="-7"/>
                                      <w:sz w:val="20"/>
                                    </w:rPr>
                                    <w:t> </w:t>
                                  </w:r>
                                  <w:r>
                                    <w:rPr>
                                      <w:sz w:val="20"/>
                                    </w:rPr>
                                    <w:t>Arabic</w:t>
                                  </w:r>
                                  <w:r>
                                    <w:rPr>
                                      <w:spacing w:val="-7"/>
                                      <w:sz w:val="20"/>
                                    </w:rPr>
                                    <w:t> </w:t>
                                  </w:r>
                                  <w:r>
                                    <w:rPr>
                                      <w:spacing w:val="-2"/>
                                      <w:sz w:val="20"/>
                                    </w:rPr>
                                    <w:t>(arb)</w:t>
                                  </w:r>
                                </w:p>
                              </w:tc>
                            </w:tr>
                            <w:tr>
                              <w:trPr>
                                <w:trHeight w:val="229" w:hRule="atLeast"/>
                              </w:trPr>
                              <w:tc>
                                <w:tcPr>
                                  <w:tcW w:w="612" w:type="dxa"/>
                                </w:tcPr>
                                <w:p>
                                  <w:pPr>
                                    <w:pStyle w:val="TableParagraph"/>
                                    <w:spacing w:line="209" w:lineRule="exact"/>
                                    <w:ind w:left="50"/>
                                    <w:rPr>
                                      <w:sz w:val="20"/>
                                    </w:rPr>
                                  </w:pPr>
                                  <w:r>
                                    <w:rPr>
                                      <w:spacing w:val="-4"/>
                                      <w:sz w:val="20"/>
                                    </w:rPr>
                                    <w:t>4526</w:t>
                                  </w:r>
                                </w:p>
                              </w:tc>
                              <w:tc>
                                <w:tcPr>
                                  <w:tcW w:w="2654" w:type="dxa"/>
                                </w:tcPr>
                                <w:p>
                                  <w:pPr>
                                    <w:pStyle w:val="TableParagraph"/>
                                    <w:spacing w:line="209" w:lineRule="exact"/>
                                    <w:ind w:left="158"/>
                                    <w:rPr>
                                      <w:sz w:val="20"/>
                                    </w:rPr>
                                  </w:pPr>
                                  <w:r>
                                    <w:rPr>
                                      <w:sz w:val="20"/>
                                    </w:rPr>
                                    <w:t>Sudanese</w:t>
                                  </w:r>
                                  <w:r>
                                    <w:rPr>
                                      <w:spacing w:val="-7"/>
                                      <w:sz w:val="20"/>
                                    </w:rPr>
                                    <w:t> </w:t>
                                  </w:r>
                                  <w:r>
                                    <w:rPr>
                                      <w:sz w:val="20"/>
                                    </w:rPr>
                                    <w:t>Arabic</w:t>
                                  </w:r>
                                  <w:r>
                                    <w:rPr>
                                      <w:spacing w:val="-7"/>
                                      <w:sz w:val="20"/>
                                    </w:rPr>
                                    <w:t> </w:t>
                                  </w:r>
                                  <w:r>
                                    <w:rPr>
                                      <w:spacing w:val="-2"/>
                                      <w:sz w:val="20"/>
                                    </w:rPr>
                                    <w:t>(apd)</w:t>
                                  </w:r>
                                </w:p>
                              </w:tc>
                            </w:tr>
                            <w:tr>
                              <w:trPr>
                                <w:trHeight w:val="230" w:hRule="atLeast"/>
                              </w:trPr>
                              <w:tc>
                                <w:tcPr>
                                  <w:tcW w:w="612" w:type="dxa"/>
                                </w:tcPr>
                                <w:p>
                                  <w:pPr>
                                    <w:pStyle w:val="TableParagraph"/>
                                    <w:spacing w:line="211" w:lineRule="exact"/>
                                    <w:ind w:left="50"/>
                                    <w:rPr>
                                      <w:sz w:val="20"/>
                                    </w:rPr>
                                  </w:pPr>
                                  <w:r>
                                    <w:rPr>
                                      <w:spacing w:val="-4"/>
                                      <w:sz w:val="20"/>
                                    </w:rPr>
                                    <w:t>4528</w:t>
                                  </w:r>
                                </w:p>
                              </w:tc>
                              <w:tc>
                                <w:tcPr>
                                  <w:tcW w:w="2654" w:type="dxa"/>
                                </w:tcPr>
                                <w:p>
                                  <w:pPr>
                                    <w:pStyle w:val="TableParagraph"/>
                                    <w:spacing w:line="211" w:lineRule="exact"/>
                                    <w:ind w:left="158"/>
                                    <w:rPr>
                                      <w:sz w:val="20"/>
                                    </w:rPr>
                                  </w:pPr>
                                  <w:r>
                                    <w:rPr>
                                      <w:sz w:val="20"/>
                                    </w:rPr>
                                    <w:t>Tunisian</w:t>
                                  </w:r>
                                  <w:r>
                                    <w:rPr>
                                      <w:spacing w:val="-7"/>
                                      <w:sz w:val="20"/>
                                    </w:rPr>
                                    <w:t> </w:t>
                                  </w:r>
                                  <w:r>
                                    <w:rPr>
                                      <w:sz w:val="20"/>
                                    </w:rPr>
                                    <w:t>Arabic</w:t>
                                  </w:r>
                                  <w:r>
                                    <w:rPr>
                                      <w:spacing w:val="-8"/>
                                      <w:sz w:val="20"/>
                                    </w:rPr>
                                    <w:t> </w:t>
                                  </w:r>
                                  <w:r>
                                    <w:rPr>
                                      <w:spacing w:val="-4"/>
                                      <w:sz w:val="20"/>
                                    </w:rPr>
                                    <w:t>(aeb)</w:t>
                                  </w:r>
                                </w:p>
                              </w:tc>
                            </w:tr>
                            <w:tr>
                              <w:trPr>
                                <w:trHeight w:val="230" w:hRule="atLeast"/>
                              </w:trPr>
                              <w:tc>
                                <w:tcPr>
                                  <w:tcW w:w="612" w:type="dxa"/>
                                </w:tcPr>
                                <w:p>
                                  <w:pPr>
                                    <w:pStyle w:val="TableParagraph"/>
                                    <w:ind w:left="50"/>
                                    <w:rPr>
                                      <w:sz w:val="20"/>
                                    </w:rPr>
                                  </w:pPr>
                                  <w:r>
                                    <w:rPr>
                                      <w:spacing w:val="-4"/>
                                      <w:sz w:val="20"/>
                                    </w:rPr>
                                    <w:t>4530</w:t>
                                  </w:r>
                                </w:p>
                              </w:tc>
                              <w:tc>
                                <w:tcPr>
                                  <w:tcW w:w="2654" w:type="dxa"/>
                                </w:tcPr>
                                <w:p>
                                  <w:pPr>
                                    <w:pStyle w:val="TableParagraph"/>
                                    <w:ind w:left="158"/>
                                    <w:rPr>
                                      <w:sz w:val="20"/>
                                    </w:rPr>
                                  </w:pPr>
                                  <w:r>
                                    <w:rPr>
                                      <w:sz w:val="20"/>
                                    </w:rPr>
                                    <w:t>Hassaniyya</w:t>
                                  </w:r>
                                  <w:r>
                                    <w:rPr>
                                      <w:spacing w:val="-13"/>
                                      <w:sz w:val="20"/>
                                    </w:rPr>
                                    <w:t> </w:t>
                                  </w:r>
                                  <w:r>
                                    <w:rPr>
                                      <w:spacing w:val="-2"/>
                                      <w:sz w:val="20"/>
                                    </w:rPr>
                                    <w:t>(mey)</w:t>
                                  </w:r>
                                </w:p>
                              </w:tc>
                            </w:tr>
                            <w:tr>
                              <w:trPr>
                                <w:trHeight w:val="230" w:hRule="atLeast"/>
                              </w:trPr>
                              <w:tc>
                                <w:tcPr>
                                  <w:tcW w:w="612" w:type="dxa"/>
                                </w:tcPr>
                                <w:p>
                                  <w:pPr>
                                    <w:pStyle w:val="TableParagraph"/>
                                    <w:ind w:left="50"/>
                                    <w:rPr>
                                      <w:sz w:val="20"/>
                                    </w:rPr>
                                  </w:pPr>
                                  <w:r>
                                    <w:rPr>
                                      <w:spacing w:val="-4"/>
                                      <w:sz w:val="20"/>
                                    </w:rPr>
                                    <w:t>4535</w:t>
                                  </w:r>
                                </w:p>
                              </w:tc>
                              <w:tc>
                                <w:tcPr>
                                  <w:tcW w:w="2654" w:type="dxa"/>
                                </w:tcPr>
                                <w:p>
                                  <w:pPr>
                                    <w:pStyle w:val="TableParagraph"/>
                                    <w:ind w:left="158"/>
                                    <w:rPr>
                                      <w:sz w:val="20"/>
                                    </w:rPr>
                                  </w:pPr>
                                  <w:r>
                                    <w:rPr>
                                      <w:sz w:val="20"/>
                                    </w:rPr>
                                    <w:t>Maltese</w:t>
                                  </w:r>
                                  <w:r>
                                    <w:rPr>
                                      <w:spacing w:val="-8"/>
                                      <w:sz w:val="20"/>
                                    </w:rPr>
                                    <w:t> </w:t>
                                  </w:r>
                                  <w:r>
                                    <w:rPr>
                                      <w:spacing w:val="-2"/>
                                      <w:sz w:val="20"/>
                                    </w:rPr>
                                    <w:t>(mlt)</w:t>
                                  </w:r>
                                </w:p>
                              </w:tc>
                            </w:tr>
                            <w:tr>
                              <w:trPr>
                                <w:trHeight w:val="344" w:hRule="atLeast"/>
                              </w:trPr>
                              <w:tc>
                                <w:tcPr>
                                  <w:tcW w:w="612" w:type="dxa"/>
                                </w:tcPr>
                                <w:p>
                                  <w:pPr>
                                    <w:pStyle w:val="TableParagraph"/>
                                    <w:spacing w:line="226" w:lineRule="exact"/>
                                    <w:ind w:left="50"/>
                                    <w:rPr>
                                      <w:sz w:val="20"/>
                                    </w:rPr>
                                  </w:pPr>
                                  <w:r>
                                    <w:rPr>
                                      <w:spacing w:val="-4"/>
                                      <w:sz w:val="20"/>
                                    </w:rPr>
                                    <w:t>4540</w:t>
                                  </w:r>
                                </w:p>
                              </w:tc>
                              <w:tc>
                                <w:tcPr>
                                  <w:tcW w:w="2654" w:type="dxa"/>
                                </w:tcPr>
                                <w:p>
                                  <w:pPr>
                                    <w:pStyle w:val="TableParagraph"/>
                                    <w:spacing w:line="226" w:lineRule="exact"/>
                                    <w:ind w:left="158"/>
                                    <w:rPr>
                                      <w:sz w:val="20"/>
                                    </w:rPr>
                                  </w:pPr>
                                  <w:r>
                                    <w:rPr>
                                      <w:spacing w:val="-2"/>
                                      <w:sz w:val="20"/>
                                    </w:rPr>
                                    <w:t>Judeo-Arabic</w:t>
                                  </w:r>
                                  <w:r>
                                    <w:rPr>
                                      <w:spacing w:val="10"/>
                                      <w:sz w:val="20"/>
                                    </w:rPr>
                                    <w:t> </w:t>
                                  </w:r>
                                  <w:r>
                                    <w:rPr>
                                      <w:spacing w:val="-4"/>
                                      <w:sz w:val="20"/>
                                    </w:rPr>
                                    <w:t>(jrb)</w:t>
                                  </w:r>
                                </w:p>
                              </w:tc>
                            </w:tr>
                            <w:tr>
                              <w:trPr>
                                <w:trHeight w:val="344" w:hRule="atLeast"/>
                              </w:trPr>
                              <w:tc>
                                <w:tcPr>
                                  <w:tcW w:w="612" w:type="dxa"/>
                                </w:tcPr>
                                <w:p>
                                  <w:pPr>
                                    <w:pStyle w:val="TableParagraph"/>
                                    <w:spacing w:line="215" w:lineRule="exact" w:before="109"/>
                                    <w:ind w:left="50"/>
                                    <w:rPr>
                                      <w:sz w:val="20"/>
                                    </w:rPr>
                                  </w:pPr>
                                  <w:r>
                                    <w:rPr>
                                      <w:spacing w:val="-4"/>
                                      <w:sz w:val="20"/>
                                    </w:rPr>
                                    <w:t>4545</w:t>
                                  </w:r>
                                </w:p>
                              </w:tc>
                              <w:tc>
                                <w:tcPr>
                                  <w:tcW w:w="2654" w:type="dxa"/>
                                </w:tcPr>
                                <w:p>
                                  <w:pPr>
                                    <w:pStyle w:val="TableParagraph"/>
                                    <w:spacing w:line="215" w:lineRule="exact" w:before="109"/>
                                    <w:ind w:left="158"/>
                                    <w:rPr>
                                      <w:sz w:val="20"/>
                                    </w:rPr>
                                  </w:pPr>
                                  <w:r>
                                    <w:rPr>
                                      <w:sz w:val="20"/>
                                    </w:rPr>
                                    <w:t>Hebrew</w:t>
                                  </w:r>
                                  <w:r>
                                    <w:rPr>
                                      <w:spacing w:val="-9"/>
                                      <w:sz w:val="20"/>
                                    </w:rPr>
                                    <w:t> </w:t>
                                  </w:r>
                                  <w:r>
                                    <w:rPr>
                                      <w:spacing w:val="-2"/>
                                      <w:sz w:val="20"/>
                                    </w:rPr>
                                    <w:t>(heb)</w:t>
                                  </w:r>
                                </w:p>
                              </w:tc>
                            </w:tr>
                            <w:tr>
                              <w:trPr>
                                <w:trHeight w:val="230" w:hRule="atLeast"/>
                              </w:trPr>
                              <w:tc>
                                <w:tcPr>
                                  <w:tcW w:w="612" w:type="dxa"/>
                                </w:tcPr>
                                <w:p>
                                  <w:pPr>
                                    <w:pStyle w:val="TableParagraph"/>
                                    <w:ind w:left="50"/>
                                    <w:rPr>
                                      <w:sz w:val="20"/>
                                    </w:rPr>
                                  </w:pPr>
                                  <w:r>
                                    <w:rPr>
                                      <w:spacing w:val="-4"/>
                                      <w:sz w:val="20"/>
                                    </w:rPr>
                                    <w:t>4555</w:t>
                                  </w:r>
                                </w:p>
                              </w:tc>
                              <w:tc>
                                <w:tcPr>
                                  <w:tcW w:w="2654" w:type="dxa"/>
                                </w:tcPr>
                                <w:p>
                                  <w:pPr>
                                    <w:pStyle w:val="TableParagraph"/>
                                    <w:ind w:left="158"/>
                                    <w:rPr>
                                      <w:sz w:val="20"/>
                                    </w:rPr>
                                  </w:pPr>
                                  <w:r>
                                    <w:rPr>
                                      <w:sz w:val="20"/>
                                    </w:rPr>
                                    <w:t>Syriac</w:t>
                                  </w:r>
                                  <w:r>
                                    <w:rPr>
                                      <w:spacing w:val="-11"/>
                                      <w:sz w:val="20"/>
                                    </w:rPr>
                                    <w:t> </w:t>
                                  </w:r>
                                  <w:r>
                                    <w:rPr>
                                      <w:sz w:val="20"/>
                                    </w:rPr>
                                    <w:t>(macrolanguage)</w:t>
                                  </w:r>
                                  <w:r>
                                    <w:rPr>
                                      <w:spacing w:val="-9"/>
                                      <w:sz w:val="20"/>
                                    </w:rPr>
                                    <w:t> </w:t>
                                  </w:r>
                                  <w:r>
                                    <w:rPr>
                                      <w:spacing w:val="-4"/>
                                      <w:sz w:val="20"/>
                                    </w:rPr>
                                    <w:t>(syr)</w:t>
                                  </w:r>
                                </w:p>
                              </w:tc>
                            </w:tr>
                            <w:tr>
                              <w:trPr>
                                <w:trHeight w:val="230" w:hRule="atLeast"/>
                              </w:trPr>
                              <w:tc>
                                <w:tcPr>
                                  <w:tcW w:w="612" w:type="dxa"/>
                                </w:tcPr>
                                <w:p>
                                  <w:pPr>
                                    <w:pStyle w:val="TableParagraph"/>
                                    <w:ind w:left="50"/>
                                    <w:rPr>
                                      <w:sz w:val="20"/>
                                    </w:rPr>
                                  </w:pPr>
                                  <w:r>
                                    <w:rPr>
                                      <w:spacing w:val="-4"/>
                                      <w:sz w:val="20"/>
                                    </w:rPr>
                                    <w:t>4560</w:t>
                                  </w:r>
                                </w:p>
                              </w:tc>
                              <w:tc>
                                <w:tcPr>
                                  <w:tcW w:w="2654" w:type="dxa"/>
                                </w:tcPr>
                                <w:p>
                                  <w:pPr>
                                    <w:pStyle w:val="TableParagraph"/>
                                    <w:ind w:left="158"/>
                                    <w:rPr>
                                      <w:sz w:val="20"/>
                                    </w:rPr>
                                  </w:pPr>
                                  <w:r>
                                    <w:rPr>
                                      <w:sz w:val="20"/>
                                    </w:rPr>
                                    <w:t>Assyrian</w:t>
                                  </w:r>
                                  <w:r>
                                    <w:rPr>
                                      <w:spacing w:val="-10"/>
                                      <w:sz w:val="20"/>
                                    </w:rPr>
                                    <w:t> </w:t>
                                  </w:r>
                                  <w:r>
                                    <w:rPr>
                                      <w:sz w:val="20"/>
                                    </w:rPr>
                                    <w:t>Neo-Aramaic</w:t>
                                  </w:r>
                                  <w:r>
                                    <w:rPr>
                                      <w:spacing w:val="-9"/>
                                      <w:sz w:val="20"/>
                                    </w:rPr>
                                    <w:t> </w:t>
                                  </w:r>
                                  <w:r>
                                    <w:rPr>
                                      <w:spacing w:val="-2"/>
                                      <w:sz w:val="20"/>
                                    </w:rPr>
                                    <w:t>(aii)</w:t>
                                  </w:r>
                                </w:p>
                              </w:tc>
                            </w:tr>
                            <w:tr>
                              <w:trPr>
                                <w:trHeight w:val="230" w:hRule="atLeast"/>
                              </w:trPr>
                              <w:tc>
                                <w:tcPr>
                                  <w:tcW w:w="612" w:type="dxa"/>
                                </w:tcPr>
                                <w:p>
                                  <w:pPr>
                                    <w:pStyle w:val="TableParagraph"/>
                                    <w:ind w:left="50"/>
                                    <w:rPr>
                                      <w:sz w:val="20"/>
                                    </w:rPr>
                                  </w:pPr>
                                  <w:r>
                                    <w:rPr>
                                      <w:spacing w:val="-4"/>
                                      <w:sz w:val="20"/>
                                    </w:rPr>
                                    <w:t>4565</w:t>
                                  </w:r>
                                </w:p>
                              </w:tc>
                              <w:tc>
                                <w:tcPr>
                                  <w:tcW w:w="2654" w:type="dxa"/>
                                </w:tcPr>
                                <w:p>
                                  <w:pPr>
                                    <w:pStyle w:val="TableParagraph"/>
                                    <w:ind w:left="158"/>
                                    <w:rPr>
                                      <w:sz w:val="20"/>
                                    </w:rPr>
                                  </w:pPr>
                                  <w:r>
                                    <w:rPr>
                                      <w:sz w:val="20"/>
                                    </w:rPr>
                                    <w:t>Chaldean</w:t>
                                  </w:r>
                                  <w:r>
                                    <w:rPr>
                                      <w:spacing w:val="-11"/>
                                      <w:sz w:val="20"/>
                                    </w:rPr>
                                    <w:t> </w:t>
                                  </w:r>
                                  <w:r>
                                    <w:rPr>
                                      <w:sz w:val="20"/>
                                    </w:rPr>
                                    <w:t>Neo-Aramaic</w:t>
                                  </w:r>
                                  <w:r>
                                    <w:rPr>
                                      <w:spacing w:val="-10"/>
                                      <w:sz w:val="20"/>
                                    </w:rPr>
                                    <w:t> </w:t>
                                  </w:r>
                                  <w:r>
                                    <w:rPr>
                                      <w:spacing w:val="-4"/>
                                      <w:sz w:val="20"/>
                                    </w:rPr>
                                    <w:t>(cld)</w:t>
                                  </w:r>
                                </w:p>
                              </w:tc>
                            </w:tr>
                            <w:tr>
                              <w:trPr>
                                <w:trHeight w:val="229" w:hRule="atLeast"/>
                              </w:trPr>
                              <w:tc>
                                <w:tcPr>
                                  <w:tcW w:w="612" w:type="dxa"/>
                                </w:tcPr>
                                <w:p>
                                  <w:pPr>
                                    <w:pStyle w:val="TableParagraph"/>
                                    <w:spacing w:line="209" w:lineRule="exact"/>
                                    <w:ind w:left="50"/>
                                    <w:rPr>
                                      <w:sz w:val="20"/>
                                    </w:rPr>
                                  </w:pPr>
                                  <w:r>
                                    <w:rPr>
                                      <w:spacing w:val="-4"/>
                                      <w:sz w:val="20"/>
                                    </w:rPr>
                                    <w:t>4570</w:t>
                                  </w:r>
                                </w:p>
                              </w:tc>
                              <w:tc>
                                <w:tcPr>
                                  <w:tcW w:w="2654" w:type="dxa"/>
                                </w:tcPr>
                                <w:p>
                                  <w:pPr>
                                    <w:pStyle w:val="TableParagraph"/>
                                    <w:spacing w:line="209" w:lineRule="exact"/>
                                    <w:ind w:left="158"/>
                                    <w:rPr>
                                      <w:sz w:val="20"/>
                                    </w:rPr>
                                  </w:pPr>
                                  <w:r>
                                    <w:rPr>
                                      <w:sz w:val="20"/>
                                    </w:rPr>
                                    <w:t>Hulaulá</w:t>
                                  </w:r>
                                  <w:r>
                                    <w:rPr>
                                      <w:spacing w:val="-8"/>
                                      <w:sz w:val="20"/>
                                    </w:rPr>
                                    <w:t> </w:t>
                                  </w:r>
                                  <w:r>
                                    <w:rPr>
                                      <w:spacing w:val="-2"/>
                                      <w:sz w:val="20"/>
                                    </w:rPr>
                                    <w:t>(huy)</w:t>
                                  </w:r>
                                </w:p>
                              </w:tc>
                            </w:tr>
                            <w:tr>
                              <w:trPr>
                                <w:trHeight w:val="229" w:hRule="atLeast"/>
                              </w:trPr>
                              <w:tc>
                                <w:tcPr>
                                  <w:tcW w:w="612" w:type="dxa"/>
                                </w:tcPr>
                                <w:p>
                                  <w:pPr>
                                    <w:pStyle w:val="TableParagraph"/>
                                    <w:spacing w:line="209" w:lineRule="exact"/>
                                    <w:ind w:left="50"/>
                                    <w:rPr>
                                      <w:sz w:val="20"/>
                                    </w:rPr>
                                  </w:pPr>
                                  <w:r>
                                    <w:rPr>
                                      <w:spacing w:val="-4"/>
                                      <w:sz w:val="20"/>
                                    </w:rPr>
                                    <w:t>4575</w:t>
                                  </w:r>
                                </w:p>
                              </w:tc>
                              <w:tc>
                                <w:tcPr>
                                  <w:tcW w:w="2654" w:type="dxa"/>
                                </w:tcPr>
                                <w:p>
                                  <w:pPr>
                                    <w:pStyle w:val="TableParagraph"/>
                                    <w:spacing w:line="209" w:lineRule="exact"/>
                                    <w:ind w:left="158"/>
                                    <w:rPr>
                                      <w:sz w:val="20"/>
                                    </w:rPr>
                                  </w:pPr>
                                  <w:r>
                                    <w:rPr>
                                      <w:sz w:val="20"/>
                                    </w:rPr>
                                    <w:t>Turoyo</w:t>
                                  </w:r>
                                  <w:r>
                                    <w:rPr>
                                      <w:spacing w:val="-8"/>
                                      <w:sz w:val="20"/>
                                    </w:rPr>
                                    <w:t> </w:t>
                                  </w:r>
                                  <w:r>
                                    <w:rPr>
                                      <w:spacing w:val="-2"/>
                                      <w:sz w:val="20"/>
                                    </w:rPr>
                                    <w:t>(tru)</w:t>
                                  </w:r>
                                </w:p>
                              </w:tc>
                            </w:tr>
                            <w:tr>
                              <w:trPr>
                                <w:trHeight w:val="230" w:hRule="atLeast"/>
                              </w:trPr>
                              <w:tc>
                                <w:tcPr>
                                  <w:tcW w:w="612" w:type="dxa"/>
                                </w:tcPr>
                                <w:p>
                                  <w:pPr>
                                    <w:pStyle w:val="TableParagraph"/>
                                    <w:ind w:left="50"/>
                                    <w:rPr>
                                      <w:sz w:val="20"/>
                                    </w:rPr>
                                  </w:pPr>
                                  <w:r>
                                    <w:rPr>
                                      <w:spacing w:val="-4"/>
                                      <w:sz w:val="20"/>
                                    </w:rPr>
                                    <w:t>4590</w:t>
                                  </w:r>
                                </w:p>
                              </w:tc>
                              <w:tc>
                                <w:tcPr>
                                  <w:tcW w:w="2654" w:type="dxa"/>
                                </w:tcPr>
                                <w:p>
                                  <w:pPr>
                                    <w:pStyle w:val="TableParagraph"/>
                                    <w:ind w:left="158"/>
                                    <w:rPr>
                                      <w:sz w:val="20"/>
                                    </w:rPr>
                                  </w:pPr>
                                  <w:r>
                                    <w:rPr>
                                      <w:sz w:val="20"/>
                                    </w:rPr>
                                    <w:t>Amharic</w:t>
                                  </w:r>
                                  <w:r>
                                    <w:rPr>
                                      <w:spacing w:val="-7"/>
                                      <w:sz w:val="20"/>
                                    </w:rPr>
                                    <w:t> </w:t>
                                  </w:r>
                                  <w:r>
                                    <w:rPr>
                                      <w:spacing w:val="-2"/>
                                      <w:sz w:val="20"/>
                                    </w:rPr>
                                    <w:t>(amh)</w:t>
                                  </w:r>
                                </w:p>
                              </w:tc>
                            </w:tr>
                            <w:tr>
                              <w:trPr>
                                <w:trHeight w:val="230" w:hRule="atLeast"/>
                              </w:trPr>
                              <w:tc>
                                <w:tcPr>
                                  <w:tcW w:w="612" w:type="dxa"/>
                                </w:tcPr>
                                <w:p>
                                  <w:pPr>
                                    <w:pStyle w:val="TableParagraph"/>
                                    <w:ind w:left="50"/>
                                    <w:rPr>
                                      <w:sz w:val="20"/>
                                    </w:rPr>
                                  </w:pPr>
                                  <w:r>
                                    <w:rPr>
                                      <w:spacing w:val="-4"/>
                                      <w:sz w:val="20"/>
                                    </w:rPr>
                                    <w:t>4600</w:t>
                                  </w:r>
                                </w:p>
                              </w:tc>
                              <w:tc>
                                <w:tcPr>
                                  <w:tcW w:w="2654" w:type="dxa"/>
                                </w:tcPr>
                                <w:p>
                                  <w:pPr>
                                    <w:pStyle w:val="TableParagraph"/>
                                    <w:ind w:left="158"/>
                                    <w:rPr>
                                      <w:sz w:val="20"/>
                                    </w:rPr>
                                  </w:pPr>
                                  <w:r>
                                    <w:rPr>
                                      <w:sz w:val="20"/>
                                    </w:rPr>
                                    <w:t>Harari</w:t>
                                  </w:r>
                                  <w:r>
                                    <w:rPr>
                                      <w:spacing w:val="-5"/>
                                      <w:sz w:val="20"/>
                                    </w:rPr>
                                    <w:t> </w:t>
                                  </w:r>
                                  <w:r>
                                    <w:rPr>
                                      <w:spacing w:val="-2"/>
                                      <w:sz w:val="20"/>
                                    </w:rPr>
                                    <w:t>(har)</w:t>
                                  </w:r>
                                </w:p>
                              </w:tc>
                            </w:tr>
                            <w:tr>
                              <w:trPr>
                                <w:trHeight w:val="230" w:hRule="atLeast"/>
                              </w:trPr>
                              <w:tc>
                                <w:tcPr>
                                  <w:tcW w:w="612" w:type="dxa"/>
                                </w:tcPr>
                                <w:p>
                                  <w:pPr>
                                    <w:pStyle w:val="TableParagraph"/>
                                    <w:ind w:left="50"/>
                                    <w:rPr>
                                      <w:sz w:val="20"/>
                                    </w:rPr>
                                  </w:pPr>
                                  <w:r>
                                    <w:rPr>
                                      <w:spacing w:val="-4"/>
                                      <w:sz w:val="20"/>
                                    </w:rPr>
                                    <w:t>4610</w:t>
                                  </w:r>
                                </w:p>
                              </w:tc>
                              <w:tc>
                                <w:tcPr>
                                  <w:tcW w:w="2654" w:type="dxa"/>
                                </w:tcPr>
                                <w:p>
                                  <w:pPr>
                                    <w:pStyle w:val="TableParagraph"/>
                                    <w:ind w:left="158"/>
                                    <w:rPr>
                                      <w:sz w:val="20"/>
                                    </w:rPr>
                                  </w:pPr>
                                  <w:r>
                                    <w:rPr>
                                      <w:sz w:val="20"/>
                                    </w:rPr>
                                    <w:t>Silt'e</w:t>
                                  </w:r>
                                  <w:r>
                                    <w:rPr>
                                      <w:spacing w:val="-7"/>
                                      <w:sz w:val="20"/>
                                    </w:rPr>
                                    <w:t> </w:t>
                                  </w:r>
                                  <w:r>
                                    <w:rPr>
                                      <w:spacing w:val="-2"/>
                                      <w:sz w:val="20"/>
                                    </w:rPr>
                                    <w:t>(stv)</w:t>
                                  </w:r>
                                </w:p>
                              </w:tc>
                            </w:tr>
                            <w:tr>
                              <w:trPr>
                                <w:trHeight w:val="230" w:hRule="atLeast"/>
                              </w:trPr>
                              <w:tc>
                                <w:tcPr>
                                  <w:tcW w:w="612" w:type="dxa"/>
                                </w:tcPr>
                                <w:p>
                                  <w:pPr>
                                    <w:pStyle w:val="TableParagraph"/>
                                    <w:spacing w:line="211" w:lineRule="exact"/>
                                    <w:ind w:left="50"/>
                                    <w:rPr>
                                      <w:sz w:val="20"/>
                                    </w:rPr>
                                  </w:pPr>
                                  <w:r>
                                    <w:rPr>
                                      <w:spacing w:val="-4"/>
                                      <w:sz w:val="20"/>
                                    </w:rPr>
                                    <w:t>4620</w:t>
                                  </w:r>
                                </w:p>
                              </w:tc>
                              <w:tc>
                                <w:tcPr>
                                  <w:tcW w:w="2654" w:type="dxa"/>
                                </w:tcPr>
                                <w:p>
                                  <w:pPr>
                                    <w:pStyle w:val="TableParagraph"/>
                                    <w:spacing w:line="211" w:lineRule="exact"/>
                                    <w:ind w:left="158"/>
                                    <w:rPr>
                                      <w:sz w:val="20"/>
                                    </w:rPr>
                                  </w:pPr>
                                  <w:r>
                                    <w:rPr>
                                      <w:sz w:val="20"/>
                                    </w:rPr>
                                    <w:t>Sebat</w:t>
                                  </w:r>
                                  <w:r>
                                    <w:rPr>
                                      <w:spacing w:val="-5"/>
                                      <w:sz w:val="20"/>
                                    </w:rPr>
                                    <w:t> </w:t>
                                  </w:r>
                                  <w:r>
                                    <w:rPr>
                                      <w:sz w:val="20"/>
                                    </w:rPr>
                                    <w:t>Bet</w:t>
                                  </w:r>
                                  <w:r>
                                    <w:rPr>
                                      <w:spacing w:val="-4"/>
                                      <w:sz w:val="20"/>
                                    </w:rPr>
                                    <w:t> </w:t>
                                  </w:r>
                                  <w:r>
                                    <w:rPr>
                                      <w:sz w:val="20"/>
                                    </w:rPr>
                                    <w:t>Gurage</w:t>
                                  </w:r>
                                  <w:r>
                                    <w:rPr>
                                      <w:spacing w:val="-5"/>
                                      <w:sz w:val="20"/>
                                    </w:rPr>
                                    <w:t> </w:t>
                                  </w:r>
                                  <w:r>
                                    <w:rPr>
                                      <w:spacing w:val="-4"/>
                                      <w:sz w:val="20"/>
                                    </w:rPr>
                                    <w:t>(sgw)</w:t>
                                  </w:r>
                                </w:p>
                              </w:tc>
                            </w:tr>
                            <w:tr>
                              <w:trPr>
                                <w:trHeight w:val="229" w:hRule="atLeast"/>
                              </w:trPr>
                              <w:tc>
                                <w:tcPr>
                                  <w:tcW w:w="612" w:type="dxa"/>
                                </w:tcPr>
                                <w:p>
                                  <w:pPr>
                                    <w:pStyle w:val="TableParagraph"/>
                                    <w:spacing w:line="209" w:lineRule="exact"/>
                                    <w:ind w:left="50"/>
                                    <w:rPr>
                                      <w:sz w:val="20"/>
                                    </w:rPr>
                                  </w:pPr>
                                  <w:r>
                                    <w:rPr>
                                      <w:spacing w:val="-4"/>
                                      <w:sz w:val="20"/>
                                    </w:rPr>
                                    <w:t>4630</w:t>
                                  </w:r>
                                </w:p>
                              </w:tc>
                              <w:tc>
                                <w:tcPr>
                                  <w:tcW w:w="2654" w:type="dxa"/>
                                </w:tcPr>
                                <w:p>
                                  <w:pPr>
                                    <w:pStyle w:val="TableParagraph"/>
                                    <w:spacing w:line="209" w:lineRule="exact"/>
                                    <w:ind w:left="158"/>
                                    <w:rPr>
                                      <w:sz w:val="20"/>
                                    </w:rPr>
                                  </w:pPr>
                                  <w:r>
                                    <w:rPr>
                                      <w:sz w:val="20"/>
                                    </w:rPr>
                                    <w:t>Tigre</w:t>
                                  </w:r>
                                  <w:r>
                                    <w:rPr>
                                      <w:spacing w:val="-5"/>
                                      <w:sz w:val="20"/>
                                    </w:rPr>
                                    <w:t> </w:t>
                                  </w:r>
                                  <w:r>
                                    <w:rPr>
                                      <w:spacing w:val="-2"/>
                                      <w:sz w:val="20"/>
                                    </w:rPr>
                                    <w:t>(tig)</w:t>
                                  </w:r>
                                </w:p>
                              </w:tc>
                            </w:tr>
                            <w:tr>
                              <w:trPr>
                                <w:trHeight w:val="344" w:hRule="atLeast"/>
                              </w:trPr>
                              <w:tc>
                                <w:tcPr>
                                  <w:tcW w:w="612" w:type="dxa"/>
                                </w:tcPr>
                                <w:p>
                                  <w:pPr>
                                    <w:pStyle w:val="TableParagraph"/>
                                    <w:spacing w:line="224" w:lineRule="exact"/>
                                    <w:ind w:left="50"/>
                                    <w:rPr>
                                      <w:sz w:val="20"/>
                                    </w:rPr>
                                  </w:pPr>
                                  <w:r>
                                    <w:rPr>
                                      <w:spacing w:val="-4"/>
                                      <w:sz w:val="20"/>
                                    </w:rPr>
                                    <w:t>4640</w:t>
                                  </w:r>
                                </w:p>
                              </w:tc>
                              <w:tc>
                                <w:tcPr>
                                  <w:tcW w:w="2654" w:type="dxa"/>
                                </w:tcPr>
                                <w:p>
                                  <w:pPr>
                                    <w:pStyle w:val="TableParagraph"/>
                                    <w:spacing w:line="224" w:lineRule="exact"/>
                                    <w:ind w:left="158"/>
                                    <w:rPr>
                                      <w:sz w:val="20"/>
                                    </w:rPr>
                                  </w:pPr>
                                  <w:r>
                                    <w:rPr>
                                      <w:sz w:val="20"/>
                                    </w:rPr>
                                    <w:t>Tigrinya</w:t>
                                  </w:r>
                                  <w:r>
                                    <w:rPr>
                                      <w:spacing w:val="-11"/>
                                      <w:sz w:val="20"/>
                                    </w:rPr>
                                    <w:t> </w:t>
                                  </w:r>
                                  <w:r>
                                    <w:rPr>
                                      <w:spacing w:val="-2"/>
                                      <w:sz w:val="20"/>
                                    </w:rPr>
                                    <w:t>(tir)</w:t>
                                  </w:r>
                                </w:p>
                              </w:tc>
                            </w:tr>
                            <w:tr>
                              <w:trPr>
                                <w:trHeight w:val="340" w:hRule="atLeast"/>
                              </w:trPr>
                              <w:tc>
                                <w:tcPr>
                                  <w:tcW w:w="612" w:type="dxa"/>
                                </w:tcPr>
                                <w:p>
                                  <w:pPr>
                                    <w:pStyle w:val="TableParagraph"/>
                                    <w:spacing w:before="111"/>
                                    <w:ind w:left="50"/>
                                    <w:rPr>
                                      <w:sz w:val="20"/>
                                    </w:rPr>
                                  </w:pPr>
                                  <w:r>
                                    <w:rPr>
                                      <w:spacing w:val="-4"/>
                                      <w:sz w:val="20"/>
                                    </w:rPr>
                                    <w:t>4645</w:t>
                                  </w:r>
                                </w:p>
                              </w:tc>
                              <w:tc>
                                <w:tcPr>
                                  <w:tcW w:w="2654" w:type="dxa"/>
                                </w:tcPr>
                                <w:p>
                                  <w:pPr>
                                    <w:pStyle w:val="TableParagraph"/>
                                    <w:spacing w:before="111"/>
                                    <w:ind w:left="158"/>
                                    <w:rPr>
                                      <w:sz w:val="20"/>
                                    </w:rPr>
                                  </w:pPr>
                                  <w:r>
                                    <w:rPr>
                                      <w:sz w:val="20"/>
                                    </w:rPr>
                                    <w:t>Coptic</w:t>
                                  </w:r>
                                  <w:r>
                                    <w:rPr>
                                      <w:spacing w:val="-5"/>
                                      <w:sz w:val="20"/>
                                    </w:rPr>
                                    <w:t> </w:t>
                                  </w:r>
                                  <w:r>
                                    <w:rPr>
                                      <w:spacing w:val="-2"/>
                                      <w:sz w:val="20"/>
                                    </w:rPr>
                                    <w:t>(cop)</w:t>
                                  </w:r>
                                </w:p>
                              </w:tc>
                            </w:tr>
                            <w:tr>
                              <w:trPr>
                                <w:trHeight w:val="470" w:hRule="atLeast"/>
                              </w:trPr>
                              <w:tc>
                                <w:tcPr>
                                  <w:tcW w:w="3266" w:type="dxa"/>
                                  <w:gridSpan w:val="2"/>
                                </w:tcPr>
                                <w:p>
                                  <w:pPr>
                                    <w:pStyle w:val="TableParagraph"/>
                                    <w:spacing w:line="240" w:lineRule="auto" w:before="1"/>
                                    <w:rPr>
                                      <w:i/>
                                      <w:sz w:val="20"/>
                                    </w:rPr>
                                  </w:pPr>
                                </w:p>
                                <w:p>
                                  <w:pPr>
                                    <w:pStyle w:val="TableParagraph"/>
                                    <w:spacing w:line="220" w:lineRule="exact"/>
                                    <w:ind w:left="50"/>
                                    <w:rPr>
                                      <w:i/>
                                      <w:sz w:val="20"/>
                                    </w:rPr>
                                  </w:pPr>
                                  <w:r>
                                    <w:rPr>
                                      <w:i/>
                                      <w:sz w:val="20"/>
                                    </w:rPr>
                                    <w:t>Berber</w:t>
                                  </w:r>
                                  <w:r>
                                    <w:rPr>
                                      <w:i/>
                                      <w:spacing w:val="-8"/>
                                      <w:sz w:val="20"/>
                                    </w:rPr>
                                    <w:t> </w:t>
                                  </w:r>
                                  <w:r>
                                    <w:rPr>
                                      <w:i/>
                                      <w:sz w:val="20"/>
                                    </w:rPr>
                                    <w:t>languages</w:t>
                                  </w:r>
                                  <w:r>
                                    <w:rPr>
                                      <w:i/>
                                      <w:spacing w:val="-7"/>
                                      <w:sz w:val="20"/>
                                    </w:rPr>
                                    <w:t> </w:t>
                                  </w:r>
                                  <w:r>
                                    <w:rPr>
                                      <w:i/>
                                      <w:sz w:val="20"/>
                                    </w:rPr>
                                    <w:t>(4660-</w:t>
                                  </w:r>
                                  <w:r>
                                    <w:rPr>
                                      <w:i/>
                                      <w:spacing w:val="-4"/>
                                      <w:sz w:val="20"/>
                                    </w:rPr>
                                    <w:t>4719)</w:t>
                                  </w:r>
                                </w:p>
                              </w:tc>
                            </w:tr>
                            <w:tr>
                              <w:trPr>
                                <w:trHeight w:val="224" w:hRule="atLeast"/>
                              </w:trPr>
                              <w:tc>
                                <w:tcPr>
                                  <w:tcW w:w="612" w:type="dxa"/>
                                </w:tcPr>
                                <w:p>
                                  <w:pPr>
                                    <w:pStyle w:val="TableParagraph"/>
                                    <w:spacing w:line="204" w:lineRule="exact"/>
                                    <w:ind w:left="50"/>
                                    <w:rPr>
                                      <w:sz w:val="20"/>
                                    </w:rPr>
                                  </w:pPr>
                                  <w:r>
                                    <w:rPr>
                                      <w:spacing w:val="-4"/>
                                      <w:sz w:val="20"/>
                                    </w:rPr>
                                    <w:t>4660</w:t>
                                  </w:r>
                                </w:p>
                              </w:tc>
                              <w:tc>
                                <w:tcPr>
                                  <w:tcW w:w="2654" w:type="dxa"/>
                                </w:tcPr>
                                <w:p>
                                  <w:pPr>
                                    <w:pStyle w:val="TableParagraph"/>
                                    <w:spacing w:line="204" w:lineRule="exact"/>
                                    <w:ind w:left="158"/>
                                    <w:rPr>
                                      <w:sz w:val="20"/>
                                    </w:rPr>
                                  </w:pPr>
                                  <w:r>
                                    <w:rPr>
                                      <w:sz w:val="20"/>
                                    </w:rPr>
                                    <w:t>Berber</w:t>
                                  </w:r>
                                  <w:r>
                                    <w:rPr>
                                      <w:spacing w:val="-7"/>
                                      <w:sz w:val="20"/>
                                    </w:rPr>
                                    <w:t> </w:t>
                                  </w:r>
                                  <w:r>
                                    <w:rPr>
                                      <w:sz w:val="20"/>
                                    </w:rPr>
                                    <w:t>languages</w:t>
                                  </w:r>
                                  <w:r>
                                    <w:rPr>
                                      <w:spacing w:val="-8"/>
                                      <w:sz w:val="20"/>
                                    </w:rPr>
                                    <w:t> </w:t>
                                  </w:r>
                                  <w:r>
                                    <w:rPr>
                                      <w:spacing w:val="-4"/>
                                      <w:sz w:val="20"/>
                                    </w:rPr>
                                    <w:t>(ber)</w:t>
                                  </w:r>
                                </w:p>
                              </w:tc>
                            </w:tr>
                            <w:tr>
                              <w:trPr>
                                <w:trHeight w:val="229" w:hRule="atLeast"/>
                              </w:trPr>
                              <w:tc>
                                <w:tcPr>
                                  <w:tcW w:w="612" w:type="dxa"/>
                                </w:tcPr>
                                <w:p>
                                  <w:pPr>
                                    <w:pStyle w:val="TableParagraph"/>
                                    <w:spacing w:line="209" w:lineRule="exact"/>
                                    <w:ind w:left="50"/>
                                    <w:rPr>
                                      <w:sz w:val="20"/>
                                    </w:rPr>
                                  </w:pPr>
                                  <w:r>
                                    <w:rPr>
                                      <w:spacing w:val="-4"/>
                                      <w:sz w:val="20"/>
                                    </w:rPr>
                                    <w:t>4661</w:t>
                                  </w:r>
                                </w:p>
                              </w:tc>
                              <w:tc>
                                <w:tcPr>
                                  <w:tcW w:w="2654" w:type="dxa"/>
                                </w:tcPr>
                                <w:p>
                                  <w:pPr>
                                    <w:pStyle w:val="TableParagraph"/>
                                    <w:spacing w:line="209" w:lineRule="exact"/>
                                    <w:ind w:left="158"/>
                                    <w:rPr>
                                      <w:sz w:val="20"/>
                                    </w:rPr>
                                  </w:pPr>
                                  <w:r>
                                    <w:rPr>
                                      <w:sz w:val="20"/>
                                    </w:rPr>
                                    <w:t>Siwi</w:t>
                                  </w:r>
                                  <w:r>
                                    <w:rPr>
                                      <w:spacing w:val="-7"/>
                                      <w:sz w:val="20"/>
                                    </w:rPr>
                                    <w:t> </w:t>
                                  </w:r>
                                  <w:r>
                                    <w:rPr>
                                      <w:spacing w:val="-2"/>
                                      <w:sz w:val="20"/>
                                    </w:rPr>
                                    <w:t>(siz)</w:t>
                                  </w:r>
                                </w:p>
                              </w:tc>
                            </w:tr>
                            <w:tr>
                              <w:trPr>
                                <w:trHeight w:val="230" w:hRule="atLeast"/>
                              </w:trPr>
                              <w:tc>
                                <w:tcPr>
                                  <w:tcW w:w="612" w:type="dxa"/>
                                </w:tcPr>
                                <w:p>
                                  <w:pPr>
                                    <w:pStyle w:val="TableParagraph"/>
                                    <w:ind w:left="50"/>
                                    <w:rPr>
                                      <w:sz w:val="20"/>
                                    </w:rPr>
                                  </w:pPr>
                                  <w:r>
                                    <w:rPr>
                                      <w:spacing w:val="-4"/>
                                      <w:sz w:val="20"/>
                                    </w:rPr>
                                    <w:t>4670</w:t>
                                  </w:r>
                                </w:p>
                              </w:tc>
                              <w:tc>
                                <w:tcPr>
                                  <w:tcW w:w="2654" w:type="dxa"/>
                                </w:tcPr>
                                <w:p>
                                  <w:pPr>
                                    <w:pStyle w:val="TableParagraph"/>
                                    <w:ind w:left="158"/>
                                    <w:rPr>
                                      <w:sz w:val="20"/>
                                    </w:rPr>
                                  </w:pPr>
                                  <w:r>
                                    <w:rPr>
                                      <w:sz w:val="20"/>
                                    </w:rPr>
                                    <w:t>Central</w:t>
                                  </w:r>
                                  <w:r>
                                    <w:rPr>
                                      <w:spacing w:val="-7"/>
                                      <w:sz w:val="20"/>
                                    </w:rPr>
                                    <w:t> </w:t>
                                  </w:r>
                                  <w:r>
                                    <w:rPr>
                                      <w:sz w:val="20"/>
                                    </w:rPr>
                                    <w:t>Atlas</w:t>
                                  </w:r>
                                  <w:r>
                                    <w:rPr>
                                      <w:spacing w:val="-8"/>
                                      <w:sz w:val="20"/>
                                    </w:rPr>
                                    <w:t> </w:t>
                                  </w:r>
                                  <w:r>
                                    <w:rPr>
                                      <w:sz w:val="20"/>
                                    </w:rPr>
                                    <w:t>Tamazight</w:t>
                                  </w:r>
                                  <w:r>
                                    <w:rPr>
                                      <w:spacing w:val="-9"/>
                                      <w:sz w:val="20"/>
                                    </w:rPr>
                                    <w:t> </w:t>
                                  </w:r>
                                  <w:r>
                                    <w:rPr>
                                      <w:spacing w:val="-4"/>
                                      <w:sz w:val="20"/>
                                    </w:rPr>
                                    <w:t>(tzm)</w:t>
                                  </w:r>
                                </w:p>
                              </w:tc>
                            </w:tr>
                            <w:tr>
                              <w:trPr>
                                <w:trHeight w:val="230" w:hRule="atLeast"/>
                              </w:trPr>
                              <w:tc>
                                <w:tcPr>
                                  <w:tcW w:w="612" w:type="dxa"/>
                                </w:tcPr>
                                <w:p>
                                  <w:pPr>
                                    <w:pStyle w:val="TableParagraph"/>
                                    <w:ind w:left="50"/>
                                    <w:rPr>
                                      <w:sz w:val="20"/>
                                    </w:rPr>
                                  </w:pPr>
                                  <w:r>
                                    <w:rPr>
                                      <w:spacing w:val="-4"/>
                                      <w:sz w:val="20"/>
                                    </w:rPr>
                                    <w:t>4675</w:t>
                                  </w:r>
                                </w:p>
                              </w:tc>
                              <w:tc>
                                <w:tcPr>
                                  <w:tcW w:w="2654" w:type="dxa"/>
                                </w:tcPr>
                                <w:p>
                                  <w:pPr>
                                    <w:pStyle w:val="TableParagraph"/>
                                    <w:ind w:left="158"/>
                                    <w:rPr>
                                      <w:sz w:val="20"/>
                                    </w:rPr>
                                  </w:pPr>
                                  <w:r>
                                    <w:rPr>
                                      <w:sz w:val="20"/>
                                    </w:rPr>
                                    <w:t>Tachelhit</w:t>
                                  </w:r>
                                  <w:r>
                                    <w:rPr>
                                      <w:spacing w:val="-10"/>
                                      <w:sz w:val="20"/>
                                    </w:rPr>
                                    <w:t> </w:t>
                                  </w:r>
                                  <w:r>
                                    <w:rPr>
                                      <w:spacing w:val="-2"/>
                                      <w:sz w:val="20"/>
                                    </w:rPr>
                                    <w:t>(shi)</w:t>
                                  </w:r>
                                </w:p>
                              </w:tc>
                            </w:tr>
                            <w:tr>
                              <w:trPr>
                                <w:trHeight w:val="225" w:hRule="atLeast"/>
                              </w:trPr>
                              <w:tc>
                                <w:tcPr>
                                  <w:tcW w:w="612" w:type="dxa"/>
                                </w:tcPr>
                                <w:p>
                                  <w:pPr>
                                    <w:pStyle w:val="TableParagraph"/>
                                    <w:spacing w:line="205" w:lineRule="exact"/>
                                    <w:ind w:left="50"/>
                                    <w:rPr>
                                      <w:sz w:val="20"/>
                                    </w:rPr>
                                  </w:pPr>
                                  <w:r>
                                    <w:rPr>
                                      <w:spacing w:val="-4"/>
                                      <w:sz w:val="20"/>
                                    </w:rPr>
                                    <w:t>4680</w:t>
                                  </w:r>
                                </w:p>
                              </w:tc>
                              <w:tc>
                                <w:tcPr>
                                  <w:tcW w:w="2654" w:type="dxa"/>
                                </w:tcPr>
                                <w:p>
                                  <w:pPr>
                                    <w:pStyle w:val="TableParagraph"/>
                                    <w:spacing w:line="205" w:lineRule="exact"/>
                                    <w:ind w:left="158"/>
                                    <w:rPr>
                                      <w:sz w:val="20"/>
                                    </w:rPr>
                                  </w:pPr>
                                  <w:r>
                                    <w:rPr>
                                      <w:sz w:val="20"/>
                                    </w:rPr>
                                    <w:t>Kabyle</w:t>
                                  </w:r>
                                  <w:r>
                                    <w:rPr>
                                      <w:spacing w:val="-7"/>
                                      <w:sz w:val="20"/>
                                    </w:rPr>
                                    <w:t> </w:t>
                                  </w:r>
                                  <w:r>
                                    <w:rPr>
                                      <w:spacing w:val="-2"/>
                                      <w:sz w:val="20"/>
                                    </w:rPr>
                                    <w:t>(kab)</w:t>
                                  </w: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46.450439pt;width:169.3pt;height:470.3pt;mso-position-horizontal-relative:page;mso-position-vertical-relative:paragraph;z-index:15767040" type="#_x0000_t202" id="docshape15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654"/>
                      </w:tblGrid>
                      <w:tr>
                        <w:trPr>
                          <w:trHeight w:val="225" w:hRule="atLeast"/>
                        </w:trPr>
                        <w:tc>
                          <w:tcPr>
                            <w:tcW w:w="612" w:type="dxa"/>
                          </w:tcPr>
                          <w:p>
                            <w:pPr>
                              <w:pStyle w:val="TableParagraph"/>
                              <w:spacing w:line="240" w:lineRule="auto"/>
                              <w:rPr>
                                <w:sz w:val="16"/>
                              </w:rPr>
                            </w:pPr>
                          </w:p>
                        </w:tc>
                        <w:tc>
                          <w:tcPr>
                            <w:tcW w:w="2654" w:type="dxa"/>
                          </w:tcPr>
                          <w:p>
                            <w:pPr>
                              <w:pStyle w:val="TableParagraph"/>
                              <w:spacing w:line="205" w:lineRule="exact"/>
                              <w:ind w:left="158"/>
                              <w:rPr>
                                <w:i/>
                                <w:sz w:val="20"/>
                              </w:rPr>
                            </w:pPr>
                            <w:r>
                              <w:rPr>
                                <w:i/>
                                <w:sz w:val="20"/>
                              </w:rPr>
                              <w:t>Arabic</w:t>
                            </w:r>
                            <w:r>
                              <w:rPr>
                                <w:i/>
                                <w:spacing w:val="-7"/>
                                <w:sz w:val="20"/>
                              </w:rPr>
                              <w:t> </w:t>
                            </w:r>
                            <w:r>
                              <w:rPr>
                                <w:i/>
                                <w:sz w:val="20"/>
                              </w:rPr>
                              <w:t>(4500-</w:t>
                            </w:r>
                            <w:r>
                              <w:rPr>
                                <w:i/>
                                <w:spacing w:val="-2"/>
                                <w:sz w:val="20"/>
                              </w:rPr>
                              <w:t>4544)</w:t>
                            </w:r>
                          </w:p>
                        </w:tc>
                      </w:tr>
                      <w:tr>
                        <w:trPr>
                          <w:trHeight w:val="230" w:hRule="atLeast"/>
                        </w:trPr>
                        <w:tc>
                          <w:tcPr>
                            <w:tcW w:w="612" w:type="dxa"/>
                          </w:tcPr>
                          <w:p>
                            <w:pPr>
                              <w:pStyle w:val="TableParagraph"/>
                              <w:ind w:left="50"/>
                              <w:rPr>
                                <w:sz w:val="20"/>
                              </w:rPr>
                            </w:pPr>
                            <w:r>
                              <w:rPr>
                                <w:spacing w:val="-4"/>
                                <w:sz w:val="20"/>
                              </w:rPr>
                              <w:t>4500</w:t>
                            </w:r>
                          </w:p>
                        </w:tc>
                        <w:tc>
                          <w:tcPr>
                            <w:tcW w:w="2654" w:type="dxa"/>
                          </w:tcPr>
                          <w:p>
                            <w:pPr>
                              <w:pStyle w:val="TableParagraph"/>
                              <w:ind w:left="158"/>
                              <w:rPr>
                                <w:sz w:val="20"/>
                              </w:rPr>
                            </w:pPr>
                            <w:r>
                              <w:rPr>
                                <w:sz w:val="20"/>
                              </w:rPr>
                              <w:t>Arabic</w:t>
                            </w:r>
                            <w:r>
                              <w:rPr>
                                <w:spacing w:val="-12"/>
                                <w:sz w:val="20"/>
                              </w:rPr>
                              <w:t> </w:t>
                            </w:r>
                            <w:r>
                              <w:rPr>
                                <w:sz w:val="20"/>
                              </w:rPr>
                              <w:t>(macrolanguage)</w:t>
                            </w:r>
                            <w:r>
                              <w:rPr>
                                <w:spacing w:val="-8"/>
                                <w:sz w:val="20"/>
                              </w:rPr>
                              <w:t> </w:t>
                            </w:r>
                            <w:r>
                              <w:rPr>
                                <w:spacing w:val="-2"/>
                                <w:sz w:val="20"/>
                              </w:rPr>
                              <w:t>(ara)</w:t>
                            </w:r>
                          </w:p>
                        </w:tc>
                      </w:tr>
                      <w:tr>
                        <w:trPr>
                          <w:trHeight w:val="229" w:hRule="atLeast"/>
                        </w:trPr>
                        <w:tc>
                          <w:tcPr>
                            <w:tcW w:w="612" w:type="dxa"/>
                          </w:tcPr>
                          <w:p>
                            <w:pPr>
                              <w:pStyle w:val="TableParagraph"/>
                              <w:spacing w:line="209" w:lineRule="exact"/>
                              <w:ind w:left="50"/>
                              <w:rPr>
                                <w:sz w:val="20"/>
                              </w:rPr>
                            </w:pPr>
                            <w:r>
                              <w:rPr>
                                <w:spacing w:val="-4"/>
                                <w:sz w:val="20"/>
                              </w:rPr>
                              <w:t>4502</w:t>
                            </w:r>
                          </w:p>
                        </w:tc>
                        <w:tc>
                          <w:tcPr>
                            <w:tcW w:w="2654" w:type="dxa"/>
                          </w:tcPr>
                          <w:p>
                            <w:pPr>
                              <w:pStyle w:val="TableParagraph"/>
                              <w:spacing w:line="209" w:lineRule="exact"/>
                              <w:ind w:left="158"/>
                              <w:rPr>
                                <w:sz w:val="20"/>
                              </w:rPr>
                            </w:pPr>
                            <w:r>
                              <w:rPr>
                                <w:sz w:val="20"/>
                              </w:rPr>
                              <w:t>Algerian</w:t>
                            </w:r>
                            <w:r>
                              <w:rPr>
                                <w:spacing w:val="-7"/>
                                <w:sz w:val="20"/>
                              </w:rPr>
                              <w:t> </w:t>
                            </w:r>
                            <w:r>
                              <w:rPr>
                                <w:sz w:val="20"/>
                              </w:rPr>
                              <w:t>Arabic</w:t>
                            </w:r>
                            <w:r>
                              <w:rPr>
                                <w:spacing w:val="-7"/>
                                <w:sz w:val="20"/>
                              </w:rPr>
                              <w:t> </w:t>
                            </w:r>
                            <w:r>
                              <w:rPr>
                                <w:spacing w:val="-2"/>
                                <w:sz w:val="20"/>
                              </w:rPr>
                              <w:t>(arq)</w:t>
                            </w:r>
                          </w:p>
                        </w:tc>
                      </w:tr>
                      <w:tr>
                        <w:trPr>
                          <w:trHeight w:val="229" w:hRule="atLeast"/>
                        </w:trPr>
                        <w:tc>
                          <w:tcPr>
                            <w:tcW w:w="612" w:type="dxa"/>
                          </w:tcPr>
                          <w:p>
                            <w:pPr>
                              <w:pStyle w:val="TableParagraph"/>
                              <w:spacing w:line="209" w:lineRule="exact"/>
                              <w:ind w:left="50"/>
                              <w:rPr>
                                <w:sz w:val="20"/>
                              </w:rPr>
                            </w:pPr>
                            <w:r>
                              <w:rPr>
                                <w:spacing w:val="-4"/>
                                <w:sz w:val="20"/>
                              </w:rPr>
                              <w:t>4504</w:t>
                            </w:r>
                          </w:p>
                        </w:tc>
                        <w:tc>
                          <w:tcPr>
                            <w:tcW w:w="2654" w:type="dxa"/>
                          </w:tcPr>
                          <w:p>
                            <w:pPr>
                              <w:pStyle w:val="TableParagraph"/>
                              <w:spacing w:line="209" w:lineRule="exact"/>
                              <w:ind w:left="158"/>
                              <w:rPr>
                                <w:sz w:val="20"/>
                              </w:rPr>
                            </w:pPr>
                            <w:r>
                              <w:rPr>
                                <w:sz w:val="20"/>
                              </w:rPr>
                              <w:t>Chadian</w:t>
                            </w:r>
                            <w:r>
                              <w:rPr>
                                <w:spacing w:val="-7"/>
                                <w:sz w:val="20"/>
                              </w:rPr>
                              <w:t> </w:t>
                            </w:r>
                            <w:r>
                              <w:rPr>
                                <w:sz w:val="20"/>
                              </w:rPr>
                              <w:t>Arabic</w:t>
                            </w:r>
                            <w:r>
                              <w:rPr>
                                <w:spacing w:val="-7"/>
                                <w:sz w:val="20"/>
                              </w:rPr>
                              <w:t> </w:t>
                            </w:r>
                            <w:r>
                              <w:rPr>
                                <w:spacing w:val="-4"/>
                                <w:sz w:val="20"/>
                              </w:rPr>
                              <w:t>(shu)</w:t>
                            </w:r>
                          </w:p>
                        </w:tc>
                      </w:tr>
                      <w:tr>
                        <w:trPr>
                          <w:trHeight w:val="230" w:hRule="atLeast"/>
                        </w:trPr>
                        <w:tc>
                          <w:tcPr>
                            <w:tcW w:w="612" w:type="dxa"/>
                          </w:tcPr>
                          <w:p>
                            <w:pPr>
                              <w:pStyle w:val="TableParagraph"/>
                              <w:ind w:left="50"/>
                              <w:rPr>
                                <w:sz w:val="20"/>
                              </w:rPr>
                            </w:pPr>
                            <w:r>
                              <w:rPr>
                                <w:spacing w:val="-4"/>
                                <w:sz w:val="20"/>
                              </w:rPr>
                              <w:t>4506</w:t>
                            </w:r>
                          </w:p>
                        </w:tc>
                        <w:tc>
                          <w:tcPr>
                            <w:tcW w:w="2654" w:type="dxa"/>
                          </w:tcPr>
                          <w:p>
                            <w:pPr>
                              <w:pStyle w:val="TableParagraph"/>
                              <w:ind w:left="158"/>
                              <w:rPr>
                                <w:sz w:val="20"/>
                              </w:rPr>
                            </w:pPr>
                            <w:r>
                              <w:rPr>
                                <w:sz w:val="20"/>
                              </w:rPr>
                              <w:t>Cypriot</w:t>
                            </w:r>
                            <w:r>
                              <w:rPr>
                                <w:spacing w:val="-6"/>
                                <w:sz w:val="20"/>
                              </w:rPr>
                              <w:t> </w:t>
                            </w:r>
                            <w:r>
                              <w:rPr>
                                <w:sz w:val="20"/>
                              </w:rPr>
                              <w:t>Arabic</w:t>
                            </w:r>
                            <w:r>
                              <w:rPr>
                                <w:spacing w:val="-8"/>
                                <w:sz w:val="20"/>
                              </w:rPr>
                              <w:t> </w:t>
                            </w:r>
                            <w:r>
                              <w:rPr>
                                <w:spacing w:val="-2"/>
                                <w:sz w:val="20"/>
                              </w:rPr>
                              <w:t>(acy)</w:t>
                            </w:r>
                          </w:p>
                        </w:tc>
                      </w:tr>
                      <w:tr>
                        <w:trPr>
                          <w:trHeight w:val="230" w:hRule="atLeast"/>
                        </w:trPr>
                        <w:tc>
                          <w:tcPr>
                            <w:tcW w:w="612" w:type="dxa"/>
                          </w:tcPr>
                          <w:p>
                            <w:pPr>
                              <w:pStyle w:val="TableParagraph"/>
                              <w:ind w:left="50"/>
                              <w:rPr>
                                <w:sz w:val="20"/>
                              </w:rPr>
                            </w:pPr>
                            <w:r>
                              <w:rPr>
                                <w:spacing w:val="-4"/>
                                <w:sz w:val="20"/>
                              </w:rPr>
                              <w:t>4508</w:t>
                            </w:r>
                          </w:p>
                        </w:tc>
                        <w:tc>
                          <w:tcPr>
                            <w:tcW w:w="2654" w:type="dxa"/>
                          </w:tcPr>
                          <w:p>
                            <w:pPr>
                              <w:pStyle w:val="TableParagraph"/>
                              <w:ind w:left="158"/>
                              <w:rPr>
                                <w:sz w:val="20"/>
                              </w:rPr>
                            </w:pPr>
                            <w:r>
                              <w:rPr>
                                <w:sz w:val="20"/>
                              </w:rPr>
                              <w:t>Egyptian</w:t>
                            </w:r>
                            <w:r>
                              <w:rPr>
                                <w:spacing w:val="-7"/>
                                <w:sz w:val="20"/>
                              </w:rPr>
                              <w:t> </w:t>
                            </w:r>
                            <w:r>
                              <w:rPr>
                                <w:sz w:val="20"/>
                              </w:rPr>
                              <w:t>Arabic</w:t>
                            </w:r>
                            <w:r>
                              <w:rPr>
                                <w:spacing w:val="-7"/>
                                <w:sz w:val="20"/>
                              </w:rPr>
                              <w:t> </w:t>
                            </w:r>
                            <w:r>
                              <w:rPr>
                                <w:spacing w:val="-2"/>
                                <w:sz w:val="20"/>
                              </w:rPr>
                              <w:t>(arz)</w:t>
                            </w:r>
                          </w:p>
                        </w:tc>
                      </w:tr>
                      <w:tr>
                        <w:trPr>
                          <w:trHeight w:val="230" w:hRule="atLeast"/>
                        </w:trPr>
                        <w:tc>
                          <w:tcPr>
                            <w:tcW w:w="612" w:type="dxa"/>
                          </w:tcPr>
                          <w:p>
                            <w:pPr>
                              <w:pStyle w:val="TableParagraph"/>
                              <w:ind w:left="50"/>
                              <w:rPr>
                                <w:sz w:val="20"/>
                              </w:rPr>
                            </w:pPr>
                            <w:r>
                              <w:rPr>
                                <w:spacing w:val="-4"/>
                                <w:sz w:val="20"/>
                              </w:rPr>
                              <w:t>4510</w:t>
                            </w:r>
                          </w:p>
                        </w:tc>
                        <w:tc>
                          <w:tcPr>
                            <w:tcW w:w="2654" w:type="dxa"/>
                          </w:tcPr>
                          <w:p>
                            <w:pPr>
                              <w:pStyle w:val="TableParagraph"/>
                              <w:ind w:left="158"/>
                              <w:rPr>
                                <w:sz w:val="20"/>
                              </w:rPr>
                            </w:pPr>
                            <w:r>
                              <w:rPr>
                                <w:sz w:val="20"/>
                              </w:rPr>
                              <w:t>Gulf</w:t>
                            </w:r>
                            <w:r>
                              <w:rPr>
                                <w:spacing w:val="-5"/>
                                <w:sz w:val="20"/>
                              </w:rPr>
                              <w:t> </w:t>
                            </w:r>
                            <w:r>
                              <w:rPr>
                                <w:sz w:val="20"/>
                              </w:rPr>
                              <w:t>Arabic</w:t>
                            </w:r>
                            <w:r>
                              <w:rPr>
                                <w:spacing w:val="-5"/>
                                <w:sz w:val="20"/>
                              </w:rPr>
                              <w:t> </w:t>
                            </w:r>
                            <w:r>
                              <w:rPr>
                                <w:spacing w:val="-4"/>
                                <w:sz w:val="20"/>
                              </w:rPr>
                              <w:t>(afb)</w:t>
                            </w:r>
                          </w:p>
                        </w:tc>
                      </w:tr>
                      <w:tr>
                        <w:trPr>
                          <w:trHeight w:val="229" w:hRule="atLeast"/>
                        </w:trPr>
                        <w:tc>
                          <w:tcPr>
                            <w:tcW w:w="612" w:type="dxa"/>
                          </w:tcPr>
                          <w:p>
                            <w:pPr>
                              <w:pStyle w:val="TableParagraph"/>
                              <w:spacing w:line="209" w:lineRule="exact"/>
                              <w:ind w:left="50"/>
                              <w:rPr>
                                <w:sz w:val="20"/>
                              </w:rPr>
                            </w:pPr>
                            <w:r>
                              <w:rPr>
                                <w:spacing w:val="-4"/>
                                <w:sz w:val="20"/>
                              </w:rPr>
                              <w:t>4512</w:t>
                            </w:r>
                          </w:p>
                        </w:tc>
                        <w:tc>
                          <w:tcPr>
                            <w:tcW w:w="2654" w:type="dxa"/>
                          </w:tcPr>
                          <w:p>
                            <w:pPr>
                              <w:pStyle w:val="TableParagraph"/>
                              <w:spacing w:line="209" w:lineRule="exact"/>
                              <w:ind w:left="158"/>
                              <w:rPr>
                                <w:sz w:val="20"/>
                              </w:rPr>
                            </w:pPr>
                            <w:r>
                              <w:rPr>
                                <w:sz w:val="20"/>
                              </w:rPr>
                              <w:t>Mesopotamian</w:t>
                            </w:r>
                            <w:r>
                              <w:rPr>
                                <w:spacing w:val="-9"/>
                                <w:sz w:val="20"/>
                              </w:rPr>
                              <w:t> </w:t>
                            </w:r>
                            <w:r>
                              <w:rPr>
                                <w:sz w:val="20"/>
                              </w:rPr>
                              <w:t>Arabic</w:t>
                            </w:r>
                            <w:r>
                              <w:rPr>
                                <w:spacing w:val="-10"/>
                                <w:sz w:val="20"/>
                              </w:rPr>
                              <w:t> </w:t>
                            </w:r>
                            <w:r>
                              <w:rPr>
                                <w:spacing w:val="-4"/>
                                <w:sz w:val="20"/>
                              </w:rPr>
                              <w:t>(acm)</w:t>
                            </w:r>
                          </w:p>
                        </w:tc>
                      </w:tr>
                      <w:tr>
                        <w:trPr>
                          <w:trHeight w:val="229" w:hRule="atLeast"/>
                        </w:trPr>
                        <w:tc>
                          <w:tcPr>
                            <w:tcW w:w="612" w:type="dxa"/>
                          </w:tcPr>
                          <w:p>
                            <w:pPr>
                              <w:pStyle w:val="TableParagraph"/>
                              <w:spacing w:line="209" w:lineRule="exact"/>
                              <w:ind w:left="50"/>
                              <w:rPr>
                                <w:sz w:val="20"/>
                              </w:rPr>
                            </w:pPr>
                            <w:r>
                              <w:rPr>
                                <w:spacing w:val="-4"/>
                                <w:sz w:val="20"/>
                              </w:rPr>
                              <w:t>4514</w:t>
                            </w:r>
                          </w:p>
                        </w:tc>
                        <w:tc>
                          <w:tcPr>
                            <w:tcW w:w="2654" w:type="dxa"/>
                          </w:tcPr>
                          <w:p>
                            <w:pPr>
                              <w:pStyle w:val="TableParagraph"/>
                              <w:spacing w:line="209" w:lineRule="exact"/>
                              <w:ind w:left="158"/>
                              <w:rPr>
                                <w:sz w:val="20"/>
                              </w:rPr>
                            </w:pPr>
                            <w:r>
                              <w:rPr>
                                <w:sz w:val="20"/>
                              </w:rPr>
                              <w:t>Moroccan</w:t>
                            </w:r>
                            <w:r>
                              <w:rPr>
                                <w:spacing w:val="-7"/>
                                <w:sz w:val="20"/>
                              </w:rPr>
                              <w:t> </w:t>
                            </w:r>
                            <w:r>
                              <w:rPr>
                                <w:sz w:val="20"/>
                              </w:rPr>
                              <w:t>Arabic</w:t>
                            </w:r>
                            <w:r>
                              <w:rPr>
                                <w:spacing w:val="-7"/>
                                <w:sz w:val="20"/>
                              </w:rPr>
                              <w:t> </w:t>
                            </w:r>
                            <w:r>
                              <w:rPr>
                                <w:spacing w:val="-4"/>
                                <w:sz w:val="20"/>
                              </w:rPr>
                              <w:t>(ary)</w:t>
                            </w:r>
                          </w:p>
                        </w:tc>
                      </w:tr>
                      <w:tr>
                        <w:trPr>
                          <w:trHeight w:val="230" w:hRule="atLeast"/>
                        </w:trPr>
                        <w:tc>
                          <w:tcPr>
                            <w:tcW w:w="612" w:type="dxa"/>
                          </w:tcPr>
                          <w:p>
                            <w:pPr>
                              <w:pStyle w:val="TableParagraph"/>
                              <w:ind w:left="50"/>
                              <w:rPr>
                                <w:sz w:val="20"/>
                              </w:rPr>
                            </w:pPr>
                            <w:r>
                              <w:rPr>
                                <w:spacing w:val="-4"/>
                                <w:sz w:val="20"/>
                              </w:rPr>
                              <w:t>4516</w:t>
                            </w:r>
                          </w:p>
                        </w:tc>
                        <w:tc>
                          <w:tcPr>
                            <w:tcW w:w="2654" w:type="dxa"/>
                          </w:tcPr>
                          <w:p>
                            <w:pPr>
                              <w:pStyle w:val="TableParagraph"/>
                              <w:ind w:left="158"/>
                              <w:rPr>
                                <w:sz w:val="20"/>
                              </w:rPr>
                            </w:pPr>
                            <w:r>
                              <w:rPr>
                                <w:sz w:val="20"/>
                              </w:rPr>
                              <w:t>North</w:t>
                            </w:r>
                            <w:r>
                              <w:rPr>
                                <w:spacing w:val="-10"/>
                                <w:sz w:val="20"/>
                              </w:rPr>
                              <w:t> </w:t>
                            </w:r>
                            <w:r>
                              <w:rPr>
                                <w:sz w:val="20"/>
                              </w:rPr>
                              <w:t>Levantine</w:t>
                            </w:r>
                            <w:r>
                              <w:rPr>
                                <w:spacing w:val="-5"/>
                                <w:sz w:val="20"/>
                              </w:rPr>
                              <w:t> </w:t>
                            </w:r>
                            <w:r>
                              <w:rPr>
                                <w:sz w:val="20"/>
                              </w:rPr>
                              <w:t>Arabic</w:t>
                            </w:r>
                            <w:r>
                              <w:rPr>
                                <w:spacing w:val="-8"/>
                                <w:sz w:val="20"/>
                              </w:rPr>
                              <w:t> </w:t>
                            </w:r>
                            <w:r>
                              <w:rPr>
                                <w:spacing w:val="-2"/>
                                <w:sz w:val="20"/>
                              </w:rPr>
                              <w:t>(apc)</w:t>
                            </w:r>
                          </w:p>
                        </w:tc>
                      </w:tr>
                      <w:tr>
                        <w:trPr>
                          <w:trHeight w:val="230" w:hRule="atLeast"/>
                        </w:trPr>
                        <w:tc>
                          <w:tcPr>
                            <w:tcW w:w="612" w:type="dxa"/>
                          </w:tcPr>
                          <w:p>
                            <w:pPr>
                              <w:pStyle w:val="TableParagraph"/>
                              <w:ind w:left="50"/>
                              <w:rPr>
                                <w:sz w:val="20"/>
                              </w:rPr>
                            </w:pPr>
                            <w:r>
                              <w:rPr>
                                <w:spacing w:val="-4"/>
                                <w:sz w:val="20"/>
                              </w:rPr>
                              <w:t>4518</w:t>
                            </w:r>
                          </w:p>
                        </w:tc>
                        <w:tc>
                          <w:tcPr>
                            <w:tcW w:w="2654" w:type="dxa"/>
                          </w:tcPr>
                          <w:p>
                            <w:pPr>
                              <w:pStyle w:val="TableParagraph"/>
                              <w:ind w:left="158"/>
                              <w:rPr>
                                <w:sz w:val="20"/>
                              </w:rPr>
                            </w:pPr>
                            <w:r>
                              <w:rPr>
                                <w:sz w:val="20"/>
                              </w:rPr>
                              <w:t>Omani</w:t>
                            </w:r>
                            <w:r>
                              <w:rPr>
                                <w:spacing w:val="-6"/>
                                <w:sz w:val="20"/>
                              </w:rPr>
                              <w:t> </w:t>
                            </w:r>
                            <w:r>
                              <w:rPr>
                                <w:sz w:val="20"/>
                              </w:rPr>
                              <w:t>Arabic</w:t>
                            </w:r>
                            <w:r>
                              <w:rPr>
                                <w:spacing w:val="-7"/>
                                <w:sz w:val="20"/>
                              </w:rPr>
                              <w:t> </w:t>
                            </w:r>
                            <w:r>
                              <w:rPr>
                                <w:spacing w:val="-4"/>
                                <w:sz w:val="20"/>
                              </w:rPr>
                              <w:t>(acx)</w:t>
                            </w:r>
                          </w:p>
                        </w:tc>
                      </w:tr>
                      <w:tr>
                        <w:trPr>
                          <w:trHeight w:val="230" w:hRule="atLeast"/>
                        </w:trPr>
                        <w:tc>
                          <w:tcPr>
                            <w:tcW w:w="612" w:type="dxa"/>
                          </w:tcPr>
                          <w:p>
                            <w:pPr>
                              <w:pStyle w:val="TableParagraph"/>
                              <w:ind w:left="50"/>
                              <w:rPr>
                                <w:sz w:val="20"/>
                              </w:rPr>
                            </w:pPr>
                            <w:r>
                              <w:rPr>
                                <w:spacing w:val="-4"/>
                                <w:sz w:val="20"/>
                              </w:rPr>
                              <w:t>4520</w:t>
                            </w:r>
                          </w:p>
                        </w:tc>
                        <w:tc>
                          <w:tcPr>
                            <w:tcW w:w="2654" w:type="dxa"/>
                          </w:tcPr>
                          <w:p>
                            <w:pPr>
                              <w:pStyle w:val="TableParagraph"/>
                              <w:ind w:left="158"/>
                              <w:rPr>
                                <w:sz w:val="20"/>
                              </w:rPr>
                            </w:pPr>
                            <w:r>
                              <w:rPr>
                                <w:sz w:val="20"/>
                              </w:rPr>
                              <w:t>Sanaani</w:t>
                            </w:r>
                            <w:r>
                              <w:rPr>
                                <w:spacing w:val="-7"/>
                                <w:sz w:val="20"/>
                              </w:rPr>
                              <w:t> </w:t>
                            </w:r>
                            <w:r>
                              <w:rPr>
                                <w:sz w:val="20"/>
                              </w:rPr>
                              <w:t>Arabic</w:t>
                            </w:r>
                            <w:r>
                              <w:rPr>
                                <w:spacing w:val="-7"/>
                                <w:sz w:val="20"/>
                              </w:rPr>
                              <w:t> </w:t>
                            </w:r>
                            <w:r>
                              <w:rPr>
                                <w:spacing w:val="-4"/>
                                <w:sz w:val="20"/>
                              </w:rPr>
                              <w:t>(ayn)</w:t>
                            </w:r>
                          </w:p>
                        </w:tc>
                      </w:tr>
                      <w:tr>
                        <w:trPr>
                          <w:trHeight w:val="230" w:hRule="atLeast"/>
                        </w:trPr>
                        <w:tc>
                          <w:tcPr>
                            <w:tcW w:w="612" w:type="dxa"/>
                          </w:tcPr>
                          <w:p>
                            <w:pPr>
                              <w:pStyle w:val="TableParagraph"/>
                              <w:ind w:left="50"/>
                              <w:rPr>
                                <w:sz w:val="20"/>
                              </w:rPr>
                            </w:pPr>
                            <w:r>
                              <w:rPr>
                                <w:spacing w:val="-4"/>
                                <w:sz w:val="20"/>
                              </w:rPr>
                              <w:t>4522</w:t>
                            </w:r>
                          </w:p>
                        </w:tc>
                        <w:tc>
                          <w:tcPr>
                            <w:tcW w:w="2654" w:type="dxa"/>
                          </w:tcPr>
                          <w:p>
                            <w:pPr>
                              <w:pStyle w:val="TableParagraph"/>
                              <w:ind w:left="158"/>
                              <w:rPr>
                                <w:sz w:val="20"/>
                              </w:rPr>
                            </w:pPr>
                            <w:r>
                              <w:rPr>
                                <w:sz w:val="20"/>
                              </w:rPr>
                              <w:t>South</w:t>
                            </w:r>
                            <w:r>
                              <w:rPr>
                                <w:spacing w:val="-9"/>
                                <w:sz w:val="20"/>
                              </w:rPr>
                              <w:t> </w:t>
                            </w:r>
                            <w:r>
                              <w:rPr>
                                <w:sz w:val="20"/>
                              </w:rPr>
                              <w:t>Levantine</w:t>
                            </w:r>
                            <w:r>
                              <w:rPr>
                                <w:spacing w:val="-6"/>
                                <w:sz w:val="20"/>
                              </w:rPr>
                              <w:t> </w:t>
                            </w:r>
                            <w:r>
                              <w:rPr>
                                <w:sz w:val="20"/>
                              </w:rPr>
                              <w:t>Arabic</w:t>
                            </w:r>
                            <w:r>
                              <w:rPr>
                                <w:spacing w:val="-8"/>
                                <w:sz w:val="20"/>
                              </w:rPr>
                              <w:t> </w:t>
                            </w:r>
                            <w:r>
                              <w:rPr>
                                <w:spacing w:val="-4"/>
                                <w:sz w:val="20"/>
                              </w:rPr>
                              <w:t>(ajp)</w:t>
                            </w:r>
                          </w:p>
                        </w:tc>
                      </w:tr>
                      <w:tr>
                        <w:trPr>
                          <w:trHeight w:val="229" w:hRule="atLeast"/>
                        </w:trPr>
                        <w:tc>
                          <w:tcPr>
                            <w:tcW w:w="612" w:type="dxa"/>
                          </w:tcPr>
                          <w:p>
                            <w:pPr>
                              <w:pStyle w:val="TableParagraph"/>
                              <w:spacing w:line="209" w:lineRule="exact"/>
                              <w:ind w:left="50"/>
                              <w:rPr>
                                <w:sz w:val="20"/>
                              </w:rPr>
                            </w:pPr>
                            <w:r>
                              <w:rPr>
                                <w:spacing w:val="-4"/>
                                <w:sz w:val="20"/>
                              </w:rPr>
                              <w:t>4524</w:t>
                            </w:r>
                          </w:p>
                        </w:tc>
                        <w:tc>
                          <w:tcPr>
                            <w:tcW w:w="2654" w:type="dxa"/>
                          </w:tcPr>
                          <w:p>
                            <w:pPr>
                              <w:pStyle w:val="TableParagraph"/>
                              <w:spacing w:line="209" w:lineRule="exact"/>
                              <w:ind w:left="158"/>
                              <w:rPr>
                                <w:sz w:val="20"/>
                              </w:rPr>
                            </w:pPr>
                            <w:r>
                              <w:rPr>
                                <w:sz w:val="20"/>
                              </w:rPr>
                              <w:t>Standard</w:t>
                            </w:r>
                            <w:r>
                              <w:rPr>
                                <w:spacing w:val="-7"/>
                                <w:sz w:val="20"/>
                              </w:rPr>
                              <w:t> </w:t>
                            </w:r>
                            <w:r>
                              <w:rPr>
                                <w:sz w:val="20"/>
                              </w:rPr>
                              <w:t>Arabic</w:t>
                            </w:r>
                            <w:r>
                              <w:rPr>
                                <w:spacing w:val="-7"/>
                                <w:sz w:val="20"/>
                              </w:rPr>
                              <w:t> </w:t>
                            </w:r>
                            <w:r>
                              <w:rPr>
                                <w:spacing w:val="-2"/>
                                <w:sz w:val="20"/>
                              </w:rPr>
                              <w:t>(arb)</w:t>
                            </w:r>
                          </w:p>
                        </w:tc>
                      </w:tr>
                      <w:tr>
                        <w:trPr>
                          <w:trHeight w:val="229" w:hRule="atLeast"/>
                        </w:trPr>
                        <w:tc>
                          <w:tcPr>
                            <w:tcW w:w="612" w:type="dxa"/>
                          </w:tcPr>
                          <w:p>
                            <w:pPr>
                              <w:pStyle w:val="TableParagraph"/>
                              <w:spacing w:line="209" w:lineRule="exact"/>
                              <w:ind w:left="50"/>
                              <w:rPr>
                                <w:sz w:val="20"/>
                              </w:rPr>
                            </w:pPr>
                            <w:r>
                              <w:rPr>
                                <w:spacing w:val="-4"/>
                                <w:sz w:val="20"/>
                              </w:rPr>
                              <w:t>4526</w:t>
                            </w:r>
                          </w:p>
                        </w:tc>
                        <w:tc>
                          <w:tcPr>
                            <w:tcW w:w="2654" w:type="dxa"/>
                          </w:tcPr>
                          <w:p>
                            <w:pPr>
                              <w:pStyle w:val="TableParagraph"/>
                              <w:spacing w:line="209" w:lineRule="exact"/>
                              <w:ind w:left="158"/>
                              <w:rPr>
                                <w:sz w:val="20"/>
                              </w:rPr>
                            </w:pPr>
                            <w:r>
                              <w:rPr>
                                <w:sz w:val="20"/>
                              </w:rPr>
                              <w:t>Sudanese</w:t>
                            </w:r>
                            <w:r>
                              <w:rPr>
                                <w:spacing w:val="-7"/>
                                <w:sz w:val="20"/>
                              </w:rPr>
                              <w:t> </w:t>
                            </w:r>
                            <w:r>
                              <w:rPr>
                                <w:sz w:val="20"/>
                              </w:rPr>
                              <w:t>Arabic</w:t>
                            </w:r>
                            <w:r>
                              <w:rPr>
                                <w:spacing w:val="-7"/>
                                <w:sz w:val="20"/>
                              </w:rPr>
                              <w:t> </w:t>
                            </w:r>
                            <w:r>
                              <w:rPr>
                                <w:spacing w:val="-2"/>
                                <w:sz w:val="20"/>
                              </w:rPr>
                              <w:t>(apd)</w:t>
                            </w:r>
                          </w:p>
                        </w:tc>
                      </w:tr>
                      <w:tr>
                        <w:trPr>
                          <w:trHeight w:val="230" w:hRule="atLeast"/>
                        </w:trPr>
                        <w:tc>
                          <w:tcPr>
                            <w:tcW w:w="612" w:type="dxa"/>
                          </w:tcPr>
                          <w:p>
                            <w:pPr>
                              <w:pStyle w:val="TableParagraph"/>
                              <w:spacing w:line="211" w:lineRule="exact"/>
                              <w:ind w:left="50"/>
                              <w:rPr>
                                <w:sz w:val="20"/>
                              </w:rPr>
                            </w:pPr>
                            <w:r>
                              <w:rPr>
                                <w:spacing w:val="-4"/>
                                <w:sz w:val="20"/>
                              </w:rPr>
                              <w:t>4528</w:t>
                            </w:r>
                          </w:p>
                        </w:tc>
                        <w:tc>
                          <w:tcPr>
                            <w:tcW w:w="2654" w:type="dxa"/>
                          </w:tcPr>
                          <w:p>
                            <w:pPr>
                              <w:pStyle w:val="TableParagraph"/>
                              <w:spacing w:line="211" w:lineRule="exact"/>
                              <w:ind w:left="158"/>
                              <w:rPr>
                                <w:sz w:val="20"/>
                              </w:rPr>
                            </w:pPr>
                            <w:r>
                              <w:rPr>
                                <w:sz w:val="20"/>
                              </w:rPr>
                              <w:t>Tunisian</w:t>
                            </w:r>
                            <w:r>
                              <w:rPr>
                                <w:spacing w:val="-7"/>
                                <w:sz w:val="20"/>
                              </w:rPr>
                              <w:t> </w:t>
                            </w:r>
                            <w:r>
                              <w:rPr>
                                <w:sz w:val="20"/>
                              </w:rPr>
                              <w:t>Arabic</w:t>
                            </w:r>
                            <w:r>
                              <w:rPr>
                                <w:spacing w:val="-8"/>
                                <w:sz w:val="20"/>
                              </w:rPr>
                              <w:t> </w:t>
                            </w:r>
                            <w:r>
                              <w:rPr>
                                <w:spacing w:val="-4"/>
                                <w:sz w:val="20"/>
                              </w:rPr>
                              <w:t>(aeb)</w:t>
                            </w:r>
                          </w:p>
                        </w:tc>
                      </w:tr>
                      <w:tr>
                        <w:trPr>
                          <w:trHeight w:val="230" w:hRule="atLeast"/>
                        </w:trPr>
                        <w:tc>
                          <w:tcPr>
                            <w:tcW w:w="612" w:type="dxa"/>
                          </w:tcPr>
                          <w:p>
                            <w:pPr>
                              <w:pStyle w:val="TableParagraph"/>
                              <w:ind w:left="50"/>
                              <w:rPr>
                                <w:sz w:val="20"/>
                              </w:rPr>
                            </w:pPr>
                            <w:r>
                              <w:rPr>
                                <w:spacing w:val="-4"/>
                                <w:sz w:val="20"/>
                              </w:rPr>
                              <w:t>4530</w:t>
                            </w:r>
                          </w:p>
                        </w:tc>
                        <w:tc>
                          <w:tcPr>
                            <w:tcW w:w="2654" w:type="dxa"/>
                          </w:tcPr>
                          <w:p>
                            <w:pPr>
                              <w:pStyle w:val="TableParagraph"/>
                              <w:ind w:left="158"/>
                              <w:rPr>
                                <w:sz w:val="20"/>
                              </w:rPr>
                            </w:pPr>
                            <w:r>
                              <w:rPr>
                                <w:sz w:val="20"/>
                              </w:rPr>
                              <w:t>Hassaniyya</w:t>
                            </w:r>
                            <w:r>
                              <w:rPr>
                                <w:spacing w:val="-13"/>
                                <w:sz w:val="20"/>
                              </w:rPr>
                              <w:t> </w:t>
                            </w:r>
                            <w:r>
                              <w:rPr>
                                <w:spacing w:val="-2"/>
                                <w:sz w:val="20"/>
                              </w:rPr>
                              <w:t>(mey)</w:t>
                            </w:r>
                          </w:p>
                        </w:tc>
                      </w:tr>
                      <w:tr>
                        <w:trPr>
                          <w:trHeight w:val="230" w:hRule="atLeast"/>
                        </w:trPr>
                        <w:tc>
                          <w:tcPr>
                            <w:tcW w:w="612" w:type="dxa"/>
                          </w:tcPr>
                          <w:p>
                            <w:pPr>
                              <w:pStyle w:val="TableParagraph"/>
                              <w:ind w:left="50"/>
                              <w:rPr>
                                <w:sz w:val="20"/>
                              </w:rPr>
                            </w:pPr>
                            <w:r>
                              <w:rPr>
                                <w:spacing w:val="-4"/>
                                <w:sz w:val="20"/>
                              </w:rPr>
                              <w:t>4535</w:t>
                            </w:r>
                          </w:p>
                        </w:tc>
                        <w:tc>
                          <w:tcPr>
                            <w:tcW w:w="2654" w:type="dxa"/>
                          </w:tcPr>
                          <w:p>
                            <w:pPr>
                              <w:pStyle w:val="TableParagraph"/>
                              <w:ind w:left="158"/>
                              <w:rPr>
                                <w:sz w:val="20"/>
                              </w:rPr>
                            </w:pPr>
                            <w:r>
                              <w:rPr>
                                <w:sz w:val="20"/>
                              </w:rPr>
                              <w:t>Maltese</w:t>
                            </w:r>
                            <w:r>
                              <w:rPr>
                                <w:spacing w:val="-8"/>
                                <w:sz w:val="20"/>
                              </w:rPr>
                              <w:t> </w:t>
                            </w:r>
                            <w:r>
                              <w:rPr>
                                <w:spacing w:val="-2"/>
                                <w:sz w:val="20"/>
                              </w:rPr>
                              <w:t>(mlt)</w:t>
                            </w:r>
                          </w:p>
                        </w:tc>
                      </w:tr>
                      <w:tr>
                        <w:trPr>
                          <w:trHeight w:val="344" w:hRule="atLeast"/>
                        </w:trPr>
                        <w:tc>
                          <w:tcPr>
                            <w:tcW w:w="612" w:type="dxa"/>
                          </w:tcPr>
                          <w:p>
                            <w:pPr>
                              <w:pStyle w:val="TableParagraph"/>
                              <w:spacing w:line="226" w:lineRule="exact"/>
                              <w:ind w:left="50"/>
                              <w:rPr>
                                <w:sz w:val="20"/>
                              </w:rPr>
                            </w:pPr>
                            <w:r>
                              <w:rPr>
                                <w:spacing w:val="-4"/>
                                <w:sz w:val="20"/>
                              </w:rPr>
                              <w:t>4540</w:t>
                            </w:r>
                          </w:p>
                        </w:tc>
                        <w:tc>
                          <w:tcPr>
                            <w:tcW w:w="2654" w:type="dxa"/>
                          </w:tcPr>
                          <w:p>
                            <w:pPr>
                              <w:pStyle w:val="TableParagraph"/>
                              <w:spacing w:line="226" w:lineRule="exact"/>
                              <w:ind w:left="158"/>
                              <w:rPr>
                                <w:sz w:val="20"/>
                              </w:rPr>
                            </w:pPr>
                            <w:r>
                              <w:rPr>
                                <w:spacing w:val="-2"/>
                                <w:sz w:val="20"/>
                              </w:rPr>
                              <w:t>Judeo-Arabic</w:t>
                            </w:r>
                            <w:r>
                              <w:rPr>
                                <w:spacing w:val="10"/>
                                <w:sz w:val="20"/>
                              </w:rPr>
                              <w:t> </w:t>
                            </w:r>
                            <w:r>
                              <w:rPr>
                                <w:spacing w:val="-4"/>
                                <w:sz w:val="20"/>
                              </w:rPr>
                              <w:t>(jrb)</w:t>
                            </w:r>
                          </w:p>
                        </w:tc>
                      </w:tr>
                      <w:tr>
                        <w:trPr>
                          <w:trHeight w:val="344" w:hRule="atLeast"/>
                        </w:trPr>
                        <w:tc>
                          <w:tcPr>
                            <w:tcW w:w="612" w:type="dxa"/>
                          </w:tcPr>
                          <w:p>
                            <w:pPr>
                              <w:pStyle w:val="TableParagraph"/>
                              <w:spacing w:line="215" w:lineRule="exact" w:before="109"/>
                              <w:ind w:left="50"/>
                              <w:rPr>
                                <w:sz w:val="20"/>
                              </w:rPr>
                            </w:pPr>
                            <w:r>
                              <w:rPr>
                                <w:spacing w:val="-4"/>
                                <w:sz w:val="20"/>
                              </w:rPr>
                              <w:t>4545</w:t>
                            </w:r>
                          </w:p>
                        </w:tc>
                        <w:tc>
                          <w:tcPr>
                            <w:tcW w:w="2654" w:type="dxa"/>
                          </w:tcPr>
                          <w:p>
                            <w:pPr>
                              <w:pStyle w:val="TableParagraph"/>
                              <w:spacing w:line="215" w:lineRule="exact" w:before="109"/>
                              <w:ind w:left="158"/>
                              <w:rPr>
                                <w:sz w:val="20"/>
                              </w:rPr>
                            </w:pPr>
                            <w:r>
                              <w:rPr>
                                <w:sz w:val="20"/>
                              </w:rPr>
                              <w:t>Hebrew</w:t>
                            </w:r>
                            <w:r>
                              <w:rPr>
                                <w:spacing w:val="-9"/>
                                <w:sz w:val="20"/>
                              </w:rPr>
                              <w:t> </w:t>
                            </w:r>
                            <w:r>
                              <w:rPr>
                                <w:spacing w:val="-2"/>
                                <w:sz w:val="20"/>
                              </w:rPr>
                              <w:t>(heb)</w:t>
                            </w:r>
                          </w:p>
                        </w:tc>
                      </w:tr>
                      <w:tr>
                        <w:trPr>
                          <w:trHeight w:val="230" w:hRule="atLeast"/>
                        </w:trPr>
                        <w:tc>
                          <w:tcPr>
                            <w:tcW w:w="612" w:type="dxa"/>
                          </w:tcPr>
                          <w:p>
                            <w:pPr>
                              <w:pStyle w:val="TableParagraph"/>
                              <w:ind w:left="50"/>
                              <w:rPr>
                                <w:sz w:val="20"/>
                              </w:rPr>
                            </w:pPr>
                            <w:r>
                              <w:rPr>
                                <w:spacing w:val="-4"/>
                                <w:sz w:val="20"/>
                              </w:rPr>
                              <w:t>4555</w:t>
                            </w:r>
                          </w:p>
                        </w:tc>
                        <w:tc>
                          <w:tcPr>
                            <w:tcW w:w="2654" w:type="dxa"/>
                          </w:tcPr>
                          <w:p>
                            <w:pPr>
                              <w:pStyle w:val="TableParagraph"/>
                              <w:ind w:left="158"/>
                              <w:rPr>
                                <w:sz w:val="20"/>
                              </w:rPr>
                            </w:pPr>
                            <w:r>
                              <w:rPr>
                                <w:sz w:val="20"/>
                              </w:rPr>
                              <w:t>Syriac</w:t>
                            </w:r>
                            <w:r>
                              <w:rPr>
                                <w:spacing w:val="-11"/>
                                <w:sz w:val="20"/>
                              </w:rPr>
                              <w:t> </w:t>
                            </w:r>
                            <w:r>
                              <w:rPr>
                                <w:sz w:val="20"/>
                              </w:rPr>
                              <w:t>(macrolanguage)</w:t>
                            </w:r>
                            <w:r>
                              <w:rPr>
                                <w:spacing w:val="-9"/>
                                <w:sz w:val="20"/>
                              </w:rPr>
                              <w:t> </w:t>
                            </w:r>
                            <w:r>
                              <w:rPr>
                                <w:spacing w:val="-4"/>
                                <w:sz w:val="20"/>
                              </w:rPr>
                              <w:t>(syr)</w:t>
                            </w:r>
                          </w:p>
                        </w:tc>
                      </w:tr>
                      <w:tr>
                        <w:trPr>
                          <w:trHeight w:val="230" w:hRule="atLeast"/>
                        </w:trPr>
                        <w:tc>
                          <w:tcPr>
                            <w:tcW w:w="612" w:type="dxa"/>
                          </w:tcPr>
                          <w:p>
                            <w:pPr>
                              <w:pStyle w:val="TableParagraph"/>
                              <w:ind w:left="50"/>
                              <w:rPr>
                                <w:sz w:val="20"/>
                              </w:rPr>
                            </w:pPr>
                            <w:r>
                              <w:rPr>
                                <w:spacing w:val="-4"/>
                                <w:sz w:val="20"/>
                              </w:rPr>
                              <w:t>4560</w:t>
                            </w:r>
                          </w:p>
                        </w:tc>
                        <w:tc>
                          <w:tcPr>
                            <w:tcW w:w="2654" w:type="dxa"/>
                          </w:tcPr>
                          <w:p>
                            <w:pPr>
                              <w:pStyle w:val="TableParagraph"/>
                              <w:ind w:left="158"/>
                              <w:rPr>
                                <w:sz w:val="20"/>
                              </w:rPr>
                            </w:pPr>
                            <w:r>
                              <w:rPr>
                                <w:sz w:val="20"/>
                              </w:rPr>
                              <w:t>Assyrian</w:t>
                            </w:r>
                            <w:r>
                              <w:rPr>
                                <w:spacing w:val="-10"/>
                                <w:sz w:val="20"/>
                              </w:rPr>
                              <w:t> </w:t>
                            </w:r>
                            <w:r>
                              <w:rPr>
                                <w:sz w:val="20"/>
                              </w:rPr>
                              <w:t>Neo-Aramaic</w:t>
                            </w:r>
                            <w:r>
                              <w:rPr>
                                <w:spacing w:val="-9"/>
                                <w:sz w:val="20"/>
                              </w:rPr>
                              <w:t> </w:t>
                            </w:r>
                            <w:r>
                              <w:rPr>
                                <w:spacing w:val="-2"/>
                                <w:sz w:val="20"/>
                              </w:rPr>
                              <w:t>(aii)</w:t>
                            </w:r>
                          </w:p>
                        </w:tc>
                      </w:tr>
                      <w:tr>
                        <w:trPr>
                          <w:trHeight w:val="230" w:hRule="atLeast"/>
                        </w:trPr>
                        <w:tc>
                          <w:tcPr>
                            <w:tcW w:w="612" w:type="dxa"/>
                          </w:tcPr>
                          <w:p>
                            <w:pPr>
                              <w:pStyle w:val="TableParagraph"/>
                              <w:ind w:left="50"/>
                              <w:rPr>
                                <w:sz w:val="20"/>
                              </w:rPr>
                            </w:pPr>
                            <w:r>
                              <w:rPr>
                                <w:spacing w:val="-4"/>
                                <w:sz w:val="20"/>
                              </w:rPr>
                              <w:t>4565</w:t>
                            </w:r>
                          </w:p>
                        </w:tc>
                        <w:tc>
                          <w:tcPr>
                            <w:tcW w:w="2654" w:type="dxa"/>
                          </w:tcPr>
                          <w:p>
                            <w:pPr>
                              <w:pStyle w:val="TableParagraph"/>
                              <w:ind w:left="158"/>
                              <w:rPr>
                                <w:sz w:val="20"/>
                              </w:rPr>
                            </w:pPr>
                            <w:r>
                              <w:rPr>
                                <w:sz w:val="20"/>
                              </w:rPr>
                              <w:t>Chaldean</w:t>
                            </w:r>
                            <w:r>
                              <w:rPr>
                                <w:spacing w:val="-11"/>
                                <w:sz w:val="20"/>
                              </w:rPr>
                              <w:t> </w:t>
                            </w:r>
                            <w:r>
                              <w:rPr>
                                <w:sz w:val="20"/>
                              </w:rPr>
                              <w:t>Neo-Aramaic</w:t>
                            </w:r>
                            <w:r>
                              <w:rPr>
                                <w:spacing w:val="-10"/>
                                <w:sz w:val="20"/>
                              </w:rPr>
                              <w:t> </w:t>
                            </w:r>
                            <w:r>
                              <w:rPr>
                                <w:spacing w:val="-4"/>
                                <w:sz w:val="20"/>
                              </w:rPr>
                              <w:t>(cld)</w:t>
                            </w:r>
                          </w:p>
                        </w:tc>
                      </w:tr>
                      <w:tr>
                        <w:trPr>
                          <w:trHeight w:val="229" w:hRule="atLeast"/>
                        </w:trPr>
                        <w:tc>
                          <w:tcPr>
                            <w:tcW w:w="612" w:type="dxa"/>
                          </w:tcPr>
                          <w:p>
                            <w:pPr>
                              <w:pStyle w:val="TableParagraph"/>
                              <w:spacing w:line="209" w:lineRule="exact"/>
                              <w:ind w:left="50"/>
                              <w:rPr>
                                <w:sz w:val="20"/>
                              </w:rPr>
                            </w:pPr>
                            <w:r>
                              <w:rPr>
                                <w:spacing w:val="-4"/>
                                <w:sz w:val="20"/>
                              </w:rPr>
                              <w:t>4570</w:t>
                            </w:r>
                          </w:p>
                        </w:tc>
                        <w:tc>
                          <w:tcPr>
                            <w:tcW w:w="2654" w:type="dxa"/>
                          </w:tcPr>
                          <w:p>
                            <w:pPr>
                              <w:pStyle w:val="TableParagraph"/>
                              <w:spacing w:line="209" w:lineRule="exact"/>
                              <w:ind w:left="158"/>
                              <w:rPr>
                                <w:sz w:val="20"/>
                              </w:rPr>
                            </w:pPr>
                            <w:r>
                              <w:rPr>
                                <w:sz w:val="20"/>
                              </w:rPr>
                              <w:t>Hulaulá</w:t>
                            </w:r>
                            <w:r>
                              <w:rPr>
                                <w:spacing w:val="-8"/>
                                <w:sz w:val="20"/>
                              </w:rPr>
                              <w:t> </w:t>
                            </w:r>
                            <w:r>
                              <w:rPr>
                                <w:spacing w:val="-2"/>
                                <w:sz w:val="20"/>
                              </w:rPr>
                              <w:t>(huy)</w:t>
                            </w:r>
                          </w:p>
                        </w:tc>
                      </w:tr>
                      <w:tr>
                        <w:trPr>
                          <w:trHeight w:val="229" w:hRule="atLeast"/>
                        </w:trPr>
                        <w:tc>
                          <w:tcPr>
                            <w:tcW w:w="612" w:type="dxa"/>
                          </w:tcPr>
                          <w:p>
                            <w:pPr>
                              <w:pStyle w:val="TableParagraph"/>
                              <w:spacing w:line="209" w:lineRule="exact"/>
                              <w:ind w:left="50"/>
                              <w:rPr>
                                <w:sz w:val="20"/>
                              </w:rPr>
                            </w:pPr>
                            <w:r>
                              <w:rPr>
                                <w:spacing w:val="-4"/>
                                <w:sz w:val="20"/>
                              </w:rPr>
                              <w:t>4575</w:t>
                            </w:r>
                          </w:p>
                        </w:tc>
                        <w:tc>
                          <w:tcPr>
                            <w:tcW w:w="2654" w:type="dxa"/>
                          </w:tcPr>
                          <w:p>
                            <w:pPr>
                              <w:pStyle w:val="TableParagraph"/>
                              <w:spacing w:line="209" w:lineRule="exact"/>
                              <w:ind w:left="158"/>
                              <w:rPr>
                                <w:sz w:val="20"/>
                              </w:rPr>
                            </w:pPr>
                            <w:r>
                              <w:rPr>
                                <w:sz w:val="20"/>
                              </w:rPr>
                              <w:t>Turoyo</w:t>
                            </w:r>
                            <w:r>
                              <w:rPr>
                                <w:spacing w:val="-8"/>
                                <w:sz w:val="20"/>
                              </w:rPr>
                              <w:t> </w:t>
                            </w:r>
                            <w:r>
                              <w:rPr>
                                <w:spacing w:val="-2"/>
                                <w:sz w:val="20"/>
                              </w:rPr>
                              <w:t>(tru)</w:t>
                            </w:r>
                          </w:p>
                        </w:tc>
                      </w:tr>
                      <w:tr>
                        <w:trPr>
                          <w:trHeight w:val="230" w:hRule="atLeast"/>
                        </w:trPr>
                        <w:tc>
                          <w:tcPr>
                            <w:tcW w:w="612" w:type="dxa"/>
                          </w:tcPr>
                          <w:p>
                            <w:pPr>
                              <w:pStyle w:val="TableParagraph"/>
                              <w:ind w:left="50"/>
                              <w:rPr>
                                <w:sz w:val="20"/>
                              </w:rPr>
                            </w:pPr>
                            <w:r>
                              <w:rPr>
                                <w:spacing w:val="-4"/>
                                <w:sz w:val="20"/>
                              </w:rPr>
                              <w:t>4590</w:t>
                            </w:r>
                          </w:p>
                        </w:tc>
                        <w:tc>
                          <w:tcPr>
                            <w:tcW w:w="2654" w:type="dxa"/>
                          </w:tcPr>
                          <w:p>
                            <w:pPr>
                              <w:pStyle w:val="TableParagraph"/>
                              <w:ind w:left="158"/>
                              <w:rPr>
                                <w:sz w:val="20"/>
                              </w:rPr>
                            </w:pPr>
                            <w:r>
                              <w:rPr>
                                <w:sz w:val="20"/>
                              </w:rPr>
                              <w:t>Amharic</w:t>
                            </w:r>
                            <w:r>
                              <w:rPr>
                                <w:spacing w:val="-7"/>
                                <w:sz w:val="20"/>
                              </w:rPr>
                              <w:t> </w:t>
                            </w:r>
                            <w:r>
                              <w:rPr>
                                <w:spacing w:val="-2"/>
                                <w:sz w:val="20"/>
                              </w:rPr>
                              <w:t>(amh)</w:t>
                            </w:r>
                          </w:p>
                        </w:tc>
                      </w:tr>
                      <w:tr>
                        <w:trPr>
                          <w:trHeight w:val="230" w:hRule="atLeast"/>
                        </w:trPr>
                        <w:tc>
                          <w:tcPr>
                            <w:tcW w:w="612" w:type="dxa"/>
                          </w:tcPr>
                          <w:p>
                            <w:pPr>
                              <w:pStyle w:val="TableParagraph"/>
                              <w:ind w:left="50"/>
                              <w:rPr>
                                <w:sz w:val="20"/>
                              </w:rPr>
                            </w:pPr>
                            <w:r>
                              <w:rPr>
                                <w:spacing w:val="-4"/>
                                <w:sz w:val="20"/>
                              </w:rPr>
                              <w:t>4600</w:t>
                            </w:r>
                          </w:p>
                        </w:tc>
                        <w:tc>
                          <w:tcPr>
                            <w:tcW w:w="2654" w:type="dxa"/>
                          </w:tcPr>
                          <w:p>
                            <w:pPr>
                              <w:pStyle w:val="TableParagraph"/>
                              <w:ind w:left="158"/>
                              <w:rPr>
                                <w:sz w:val="20"/>
                              </w:rPr>
                            </w:pPr>
                            <w:r>
                              <w:rPr>
                                <w:sz w:val="20"/>
                              </w:rPr>
                              <w:t>Harari</w:t>
                            </w:r>
                            <w:r>
                              <w:rPr>
                                <w:spacing w:val="-5"/>
                                <w:sz w:val="20"/>
                              </w:rPr>
                              <w:t> </w:t>
                            </w:r>
                            <w:r>
                              <w:rPr>
                                <w:spacing w:val="-2"/>
                                <w:sz w:val="20"/>
                              </w:rPr>
                              <w:t>(har)</w:t>
                            </w:r>
                          </w:p>
                        </w:tc>
                      </w:tr>
                      <w:tr>
                        <w:trPr>
                          <w:trHeight w:val="230" w:hRule="atLeast"/>
                        </w:trPr>
                        <w:tc>
                          <w:tcPr>
                            <w:tcW w:w="612" w:type="dxa"/>
                          </w:tcPr>
                          <w:p>
                            <w:pPr>
                              <w:pStyle w:val="TableParagraph"/>
                              <w:ind w:left="50"/>
                              <w:rPr>
                                <w:sz w:val="20"/>
                              </w:rPr>
                            </w:pPr>
                            <w:r>
                              <w:rPr>
                                <w:spacing w:val="-4"/>
                                <w:sz w:val="20"/>
                              </w:rPr>
                              <w:t>4610</w:t>
                            </w:r>
                          </w:p>
                        </w:tc>
                        <w:tc>
                          <w:tcPr>
                            <w:tcW w:w="2654" w:type="dxa"/>
                          </w:tcPr>
                          <w:p>
                            <w:pPr>
                              <w:pStyle w:val="TableParagraph"/>
                              <w:ind w:left="158"/>
                              <w:rPr>
                                <w:sz w:val="20"/>
                              </w:rPr>
                            </w:pPr>
                            <w:r>
                              <w:rPr>
                                <w:sz w:val="20"/>
                              </w:rPr>
                              <w:t>Silt'e</w:t>
                            </w:r>
                            <w:r>
                              <w:rPr>
                                <w:spacing w:val="-7"/>
                                <w:sz w:val="20"/>
                              </w:rPr>
                              <w:t> </w:t>
                            </w:r>
                            <w:r>
                              <w:rPr>
                                <w:spacing w:val="-2"/>
                                <w:sz w:val="20"/>
                              </w:rPr>
                              <w:t>(stv)</w:t>
                            </w:r>
                          </w:p>
                        </w:tc>
                      </w:tr>
                      <w:tr>
                        <w:trPr>
                          <w:trHeight w:val="230" w:hRule="atLeast"/>
                        </w:trPr>
                        <w:tc>
                          <w:tcPr>
                            <w:tcW w:w="612" w:type="dxa"/>
                          </w:tcPr>
                          <w:p>
                            <w:pPr>
                              <w:pStyle w:val="TableParagraph"/>
                              <w:spacing w:line="211" w:lineRule="exact"/>
                              <w:ind w:left="50"/>
                              <w:rPr>
                                <w:sz w:val="20"/>
                              </w:rPr>
                            </w:pPr>
                            <w:r>
                              <w:rPr>
                                <w:spacing w:val="-4"/>
                                <w:sz w:val="20"/>
                              </w:rPr>
                              <w:t>4620</w:t>
                            </w:r>
                          </w:p>
                        </w:tc>
                        <w:tc>
                          <w:tcPr>
                            <w:tcW w:w="2654" w:type="dxa"/>
                          </w:tcPr>
                          <w:p>
                            <w:pPr>
                              <w:pStyle w:val="TableParagraph"/>
                              <w:spacing w:line="211" w:lineRule="exact"/>
                              <w:ind w:left="158"/>
                              <w:rPr>
                                <w:sz w:val="20"/>
                              </w:rPr>
                            </w:pPr>
                            <w:r>
                              <w:rPr>
                                <w:sz w:val="20"/>
                              </w:rPr>
                              <w:t>Sebat</w:t>
                            </w:r>
                            <w:r>
                              <w:rPr>
                                <w:spacing w:val="-5"/>
                                <w:sz w:val="20"/>
                              </w:rPr>
                              <w:t> </w:t>
                            </w:r>
                            <w:r>
                              <w:rPr>
                                <w:sz w:val="20"/>
                              </w:rPr>
                              <w:t>Bet</w:t>
                            </w:r>
                            <w:r>
                              <w:rPr>
                                <w:spacing w:val="-4"/>
                                <w:sz w:val="20"/>
                              </w:rPr>
                              <w:t> </w:t>
                            </w:r>
                            <w:r>
                              <w:rPr>
                                <w:sz w:val="20"/>
                              </w:rPr>
                              <w:t>Gurage</w:t>
                            </w:r>
                            <w:r>
                              <w:rPr>
                                <w:spacing w:val="-5"/>
                                <w:sz w:val="20"/>
                              </w:rPr>
                              <w:t> </w:t>
                            </w:r>
                            <w:r>
                              <w:rPr>
                                <w:spacing w:val="-4"/>
                                <w:sz w:val="20"/>
                              </w:rPr>
                              <w:t>(sgw)</w:t>
                            </w:r>
                          </w:p>
                        </w:tc>
                      </w:tr>
                      <w:tr>
                        <w:trPr>
                          <w:trHeight w:val="229" w:hRule="atLeast"/>
                        </w:trPr>
                        <w:tc>
                          <w:tcPr>
                            <w:tcW w:w="612" w:type="dxa"/>
                          </w:tcPr>
                          <w:p>
                            <w:pPr>
                              <w:pStyle w:val="TableParagraph"/>
                              <w:spacing w:line="209" w:lineRule="exact"/>
                              <w:ind w:left="50"/>
                              <w:rPr>
                                <w:sz w:val="20"/>
                              </w:rPr>
                            </w:pPr>
                            <w:r>
                              <w:rPr>
                                <w:spacing w:val="-4"/>
                                <w:sz w:val="20"/>
                              </w:rPr>
                              <w:t>4630</w:t>
                            </w:r>
                          </w:p>
                        </w:tc>
                        <w:tc>
                          <w:tcPr>
                            <w:tcW w:w="2654" w:type="dxa"/>
                          </w:tcPr>
                          <w:p>
                            <w:pPr>
                              <w:pStyle w:val="TableParagraph"/>
                              <w:spacing w:line="209" w:lineRule="exact"/>
                              <w:ind w:left="158"/>
                              <w:rPr>
                                <w:sz w:val="20"/>
                              </w:rPr>
                            </w:pPr>
                            <w:r>
                              <w:rPr>
                                <w:sz w:val="20"/>
                              </w:rPr>
                              <w:t>Tigre</w:t>
                            </w:r>
                            <w:r>
                              <w:rPr>
                                <w:spacing w:val="-5"/>
                                <w:sz w:val="20"/>
                              </w:rPr>
                              <w:t> </w:t>
                            </w:r>
                            <w:r>
                              <w:rPr>
                                <w:spacing w:val="-2"/>
                                <w:sz w:val="20"/>
                              </w:rPr>
                              <w:t>(tig)</w:t>
                            </w:r>
                          </w:p>
                        </w:tc>
                      </w:tr>
                      <w:tr>
                        <w:trPr>
                          <w:trHeight w:val="344" w:hRule="atLeast"/>
                        </w:trPr>
                        <w:tc>
                          <w:tcPr>
                            <w:tcW w:w="612" w:type="dxa"/>
                          </w:tcPr>
                          <w:p>
                            <w:pPr>
                              <w:pStyle w:val="TableParagraph"/>
                              <w:spacing w:line="224" w:lineRule="exact"/>
                              <w:ind w:left="50"/>
                              <w:rPr>
                                <w:sz w:val="20"/>
                              </w:rPr>
                            </w:pPr>
                            <w:r>
                              <w:rPr>
                                <w:spacing w:val="-4"/>
                                <w:sz w:val="20"/>
                              </w:rPr>
                              <w:t>4640</w:t>
                            </w:r>
                          </w:p>
                        </w:tc>
                        <w:tc>
                          <w:tcPr>
                            <w:tcW w:w="2654" w:type="dxa"/>
                          </w:tcPr>
                          <w:p>
                            <w:pPr>
                              <w:pStyle w:val="TableParagraph"/>
                              <w:spacing w:line="224" w:lineRule="exact"/>
                              <w:ind w:left="158"/>
                              <w:rPr>
                                <w:sz w:val="20"/>
                              </w:rPr>
                            </w:pPr>
                            <w:r>
                              <w:rPr>
                                <w:sz w:val="20"/>
                              </w:rPr>
                              <w:t>Tigrinya</w:t>
                            </w:r>
                            <w:r>
                              <w:rPr>
                                <w:spacing w:val="-11"/>
                                <w:sz w:val="20"/>
                              </w:rPr>
                              <w:t> </w:t>
                            </w:r>
                            <w:r>
                              <w:rPr>
                                <w:spacing w:val="-2"/>
                                <w:sz w:val="20"/>
                              </w:rPr>
                              <w:t>(tir)</w:t>
                            </w:r>
                          </w:p>
                        </w:tc>
                      </w:tr>
                      <w:tr>
                        <w:trPr>
                          <w:trHeight w:val="340" w:hRule="atLeast"/>
                        </w:trPr>
                        <w:tc>
                          <w:tcPr>
                            <w:tcW w:w="612" w:type="dxa"/>
                          </w:tcPr>
                          <w:p>
                            <w:pPr>
                              <w:pStyle w:val="TableParagraph"/>
                              <w:spacing w:before="111"/>
                              <w:ind w:left="50"/>
                              <w:rPr>
                                <w:sz w:val="20"/>
                              </w:rPr>
                            </w:pPr>
                            <w:r>
                              <w:rPr>
                                <w:spacing w:val="-4"/>
                                <w:sz w:val="20"/>
                              </w:rPr>
                              <w:t>4645</w:t>
                            </w:r>
                          </w:p>
                        </w:tc>
                        <w:tc>
                          <w:tcPr>
                            <w:tcW w:w="2654" w:type="dxa"/>
                          </w:tcPr>
                          <w:p>
                            <w:pPr>
                              <w:pStyle w:val="TableParagraph"/>
                              <w:spacing w:before="111"/>
                              <w:ind w:left="158"/>
                              <w:rPr>
                                <w:sz w:val="20"/>
                              </w:rPr>
                            </w:pPr>
                            <w:r>
                              <w:rPr>
                                <w:sz w:val="20"/>
                              </w:rPr>
                              <w:t>Coptic</w:t>
                            </w:r>
                            <w:r>
                              <w:rPr>
                                <w:spacing w:val="-5"/>
                                <w:sz w:val="20"/>
                              </w:rPr>
                              <w:t> </w:t>
                            </w:r>
                            <w:r>
                              <w:rPr>
                                <w:spacing w:val="-2"/>
                                <w:sz w:val="20"/>
                              </w:rPr>
                              <w:t>(cop)</w:t>
                            </w:r>
                          </w:p>
                        </w:tc>
                      </w:tr>
                      <w:tr>
                        <w:trPr>
                          <w:trHeight w:val="470" w:hRule="atLeast"/>
                        </w:trPr>
                        <w:tc>
                          <w:tcPr>
                            <w:tcW w:w="3266" w:type="dxa"/>
                            <w:gridSpan w:val="2"/>
                          </w:tcPr>
                          <w:p>
                            <w:pPr>
                              <w:pStyle w:val="TableParagraph"/>
                              <w:spacing w:line="240" w:lineRule="auto" w:before="1"/>
                              <w:rPr>
                                <w:i/>
                                <w:sz w:val="20"/>
                              </w:rPr>
                            </w:pPr>
                          </w:p>
                          <w:p>
                            <w:pPr>
                              <w:pStyle w:val="TableParagraph"/>
                              <w:spacing w:line="220" w:lineRule="exact"/>
                              <w:ind w:left="50"/>
                              <w:rPr>
                                <w:i/>
                                <w:sz w:val="20"/>
                              </w:rPr>
                            </w:pPr>
                            <w:r>
                              <w:rPr>
                                <w:i/>
                                <w:sz w:val="20"/>
                              </w:rPr>
                              <w:t>Berber</w:t>
                            </w:r>
                            <w:r>
                              <w:rPr>
                                <w:i/>
                                <w:spacing w:val="-8"/>
                                <w:sz w:val="20"/>
                              </w:rPr>
                              <w:t> </w:t>
                            </w:r>
                            <w:r>
                              <w:rPr>
                                <w:i/>
                                <w:sz w:val="20"/>
                              </w:rPr>
                              <w:t>languages</w:t>
                            </w:r>
                            <w:r>
                              <w:rPr>
                                <w:i/>
                                <w:spacing w:val="-7"/>
                                <w:sz w:val="20"/>
                              </w:rPr>
                              <w:t> </w:t>
                            </w:r>
                            <w:r>
                              <w:rPr>
                                <w:i/>
                                <w:sz w:val="20"/>
                              </w:rPr>
                              <w:t>(4660-</w:t>
                            </w:r>
                            <w:r>
                              <w:rPr>
                                <w:i/>
                                <w:spacing w:val="-4"/>
                                <w:sz w:val="20"/>
                              </w:rPr>
                              <w:t>4719)</w:t>
                            </w:r>
                          </w:p>
                        </w:tc>
                      </w:tr>
                      <w:tr>
                        <w:trPr>
                          <w:trHeight w:val="224" w:hRule="atLeast"/>
                        </w:trPr>
                        <w:tc>
                          <w:tcPr>
                            <w:tcW w:w="612" w:type="dxa"/>
                          </w:tcPr>
                          <w:p>
                            <w:pPr>
                              <w:pStyle w:val="TableParagraph"/>
                              <w:spacing w:line="204" w:lineRule="exact"/>
                              <w:ind w:left="50"/>
                              <w:rPr>
                                <w:sz w:val="20"/>
                              </w:rPr>
                            </w:pPr>
                            <w:r>
                              <w:rPr>
                                <w:spacing w:val="-4"/>
                                <w:sz w:val="20"/>
                              </w:rPr>
                              <w:t>4660</w:t>
                            </w:r>
                          </w:p>
                        </w:tc>
                        <w:tc>
                          <w:tcPr>
                            <w:tcW w:w="2654" w:type="dxa"/>
                          </w:tcPr>
                          <w:p>
                            <w:pPr>
                              <w:pStyle w:val="TableParagraph"/>
                              <w:spacing w:line="204" w:lineRule="exact"/>
                              <w:ind w:left="158"/>
                              <w:rPr>
                                <w:sz w:val="20"/>
                              </w:rPr>
                            </w:pPr>
                            <w:r>
                              <w:rPr>
                                <w:sz w:val="20"/>
                              </w:rPr>
                              <w:t>Berber</w:t>
                            </w:r>
                            <w:r>
                              <w:rPr>
                                <w:spacing w:val="-7"/>
                                <w:sz w:val="20"/>
                              </w:rPr>
                              <w:t> </w:t>
                            </w:r>
                            <w:r>
                              <w:rPr>
                                <w:sz w:val="20"/>
                              </w:rPr>
                              <w:t>languages</w:t>
                            </w:r>
                            <w:r>
                              <w:rPr>
                                <w:spacing w:val="-8"/>
                                <w:sz w:val="20"/>
                              </w:rPr>
                              <w:t> </w:t>
                            </w:r>
                            <w:r>
                              <w:rPr>
                                <w:spacing w:val="-4"/>
                                <w:sz w:val="20"/>
                              </w:rPr>
                              <w:t>(ber)</w:t>
                            </w:r>
                          </w:p>
                        </w:tc>
                      </w:tr>
                      <w:tr>
                        <w:trPr>
                          <w:trHeight w:val="229" w:hRule="atLeast"/>
                        </w:trPr>
                        <w:tc>
                          <w:tcPr>
                            <w:tcW w:w="612" w:type="dxa"/>
                          </w:tcPr>
                          <w:p>
                            <w:pPr>
                              <w:pStyle w:val="TableParagraph"/>
                              <w:spacing w:line="209" w:lineRule="exact"/>
                              <w:ind w:left="50"/>
                              <w:rPr>
                                <w:sz w:val="20"/>
                              </w:rPr>
                            </w:pPr>
                            <w:r>
                              <w:rPr>
                                <w:spacing w:val="-4"/>
                                <w:sz w:val="20"/>
                              </w:rPr>
                              <w:t>4661</w:t>
                            </w:r>
                          </w:p>
                        </w:tc>
                        <w:tc>
                          <w:tcPr>
                            <w:tcW w:w="2654" w:type="dxa"/>
                          </w:tcPr>
                          <w:p>
                            <w:pPr>
                              <w:pStyle w:val="TableParagraph"/>
                              <w:spacing w:line="209" w:lineRule="exact"/>
                              <w:ind w:left="158"/>
                              <w:rPr>
                                <w:sz w:val="20"/>
                              </w:rPr>
                            </w:pPr>
                            <w:r>
                              <w:rPr>
                                <w:sz w:val="20"/>
                              </w:rPr>
                              <w:t>Siwi</w:t>
                            </w:r>
                            <w:r>
                              <w:rPr>
                                <w:spacing w:val="-7"/>
                                <w:sz w:val="20"/>
                              </w:rPr>
                              <w:t> </w:t>
                            </w:r>
                            <w:r>
                              <w:rPr>
                                <w:spacing w:val="-2"/>
                                <w:sz w:val="20"/>
                              </w:rPr>
                              <w:t>(siz)</w:t>
                            </w:r>
                          </w:p>
                        </w:tc>
                      </w:tr>
                      <w:tr>
                        <w:trPr>
                          <w:trHeight w:val="230" w:hRule="atLeast"/>
                        </w:trPr>
                        <w:tc>
                          <w:tcPr>
                            <w:tcW w:w="612" w:type="dxa"/>
                          </w:tcPr>
                          <w:p>
                            <w:pPr>
                              <w:pStyle w:val="TableParagraph"/>
                              <w:ind w:left="50"/>
                              <w:rPr>
                                <w:sz w:val="20"/>
                              </w:rPr>
                            </w:pPr>
                            <w:r>
                              <w:rPr>
                                <w:spacing w:val="-4"/>
                                <w:sz w:val="20"/>
                              </w:rPr>
                              <w:t>4670</w:t>
                            </w:r>
                          </w:p>
                        </w:tc>
                        <w:tc>
                          <w:tcPr>
                            <w:tcW w:w="2654" w:type="dxa"/>
                          </w:tcPr>
                          <w:p>
                            <w:pPr>
                              <w:pStyle w:val="TableParagraph"/>
                              <w:ind w:left="158"/>
                              <w:rPr>
                                <w:sz w:val="20"/>
                              </w:rPr>
                            </w:pPr>
                            <w:r>
                              <w:rPr>
                                <w:sz w:val="20"/>
                              </w:rPr>
                              <w:t>Central</w:t>
                            </w:r>
                            <w:r>
                              <w:rPr>
                                <w:spacing w:val="-7"/>
                                <w:sz w:val="20"/>
                              </w:rPr>
                              <w:t> </w:t>
                            </w:r>
                            <w:r>
                              <w:rPr>
                                <w:sz w:val="20"/>
                              </w:rPr>
                              <w:t>Atlas</w:t>
                            </w:r>
                            <w:r>
                              <w:rPr>
                                <w:spacing w:val="-8"/>
                                <w:sz w:val="20"/>
                              </w:rPr>
                              <w:t> </w:t>
                            </w:r>
                            <w:r>
                              <w:rPr>
                                <w:sz w:val="20"/>
                              </w:rPr>
                              <w:t>Tamazight</w:t>
                            </w:r>
                            <w:r>
                              <w:rPr>
                                <w:spacing w:val="-9"/>
                                <w:sz w:val="20"/>
                              </w:rPr>
                              <w:t> </w:t>
                            </w:r>
                            <w:r>
                              <w:rPr>
                                <w:spacing w:val="-4"/>
                                <w:sz w:val="20"/>
                              </w:rPr>
                              <w:t>(tzm)</w:t>
                            </w:r>
                          </w:p>
                        </w:tc>
                      </w:tr>
                      <w:tr>
                        <w:trPr>
                          <w:trHeight w:val="230" w:hRule="atLeast"/>
                        </w:trPr>
                        <w:tc>
                          <w:tcPr>
                            <w:tcW w:w="612" w:type="dxa"/>
                          </w:tcPr>
                          <w:p>
                            <w:pPr>
                              <w:pStyle w:val="TableParagraph"/>
                              <w:ind w:left="50"/>
                              <w:rPr>
                                <w:sz w:val="20"/>
                              </w:rPr>
                            </w:pPr>
                            <w:r>
                              <w:rPr>
                                <w:spacing w:val="-4"/>
                                <w:sz w:val="20"/>
                              </w:rPr>
                              <w:t>4675</w:t>
                            </w:r>
                          </w:p>
                        </w:tc>
                        <w:tc>
                          <w:tcPr>
                            <w:tcW w:w="2654" w:type="dxa"/>
                          </w:tcPr>
                          <w:p>
                            <w:pPr>
                              <w:pStyle w:val="TableParagraph"/>
                              <w:ind w:left="158"/>
                              <w:rPr>
                                <w:sz w:val="20"/>
                              </w:rPr>
                            </w:pPr>
                            <w:r>
                              <w:rPr>
                                <w:sz w:val="20"/>
                              </w:rPr>
                              <w:t>Tachelhit</w:t>
                            </w:r>
                            <w:r>
                              <w:rPr>
                                <w:spacing w:val="-10"/>
                                <w:sz w:val="20"/>
                              </w:rPr>
                              <w:t> </w:t>
                            </w:r>
                            <w:r>
                              <w:rPr>
                                <w:spacing w:val="-2"/>
                                <w:sz w:val="20"/>
                              </w:rPr>
                              <w:t>(shi)</w:t>
                            </w:r>
                          </w:p>
                        </w:tc>
                      </w:tr>
                      <w:tr>
                        <w:trPr>
                          <w:trHeight w:val="225" w:hRule="atLeast"/>
                        </w:trPr>
                        <w:tc>
                          <w:tcPr>
                            <w:tcW w:w="612" w:type="dxa"/>
                          </w:tcPr>
                          <w:p>
                            <w:pPr>
                              <w:pStyle w:val="TableParagraph"/>
                              <w:spacing w:line="205" w:lineRule="exact"/>
                              <w:ind w:left="50"/>
                              <w:rPr>
                                <w:sz w:val="20"/>
                              </w:rPr>
                            </w:pPr>
                            <w:r>
                              <w:rPr>
                                <w:spacing w:val="-4"/>
                                <w:sz w:val="20"/>
                              </w:rPr>
                              <w:t>4680</w:t>
                            </w:r>
                          </w:p>
                        </w:tc>
                        <w:tc>
                          <w:tcPr>
                            <w:tcW w:w="2654" w:type="dxa"/>
                          </w:tcPr>
                          <w:p>
                            <w:pPr>
                              <w:pStyle w:val="TableParagraph"/>
                              <w:spacing w:line="205" w:lineRule="exact"/>
                              <w:ind w:left="158"/>
                              <w:rPr>
                                <w:sz w:val="20"/>
                              </w:rPr>
                            </w:pPr>
                            <w:r>
                              <w:rPr>
                                <w:sz w:val="20"/>
                              </w:rPr>
                              <w:t>Kabyle</w:t>
                            </w:r>
                            <w:r>
                              <w:rPr>
                                <w:spacing w:val="-7"/>
                                <w:sz w:val="20"/>
                              </w:rPr>
                              <w:t> </w:t>
                            </w:r>
                            <w:r>
                              <w:rPr>
                                <w:spacing w:val="-2"/>
                                <w:sz w:val="20"/>
                              </w:rPr>
                              <w:t>(kab)</w:t>
                            </w:r>
                          </w:p>
                        </w:tc>
                      </w:tr>
                    </w:tbl>
                    <w:p>
                      <w:pPr>
                        <w:pStyle w:val="BodyText"/>
                      </w:pPr>
                    </w:p>
                  </w:txbxContent>
                </v:textbox>
                <w10:wrap type="none"/>
              </v:shape>
            </w:pict>
          </mc:Fallback>
        </mc:AlternateContent>
      </w:r>
      <w:r>
        <w:rPr>
          <w:rFonts w:ascii="Times New Roman"/>
          <w:i/>
          <w:sz w:val="20"/>
          <w:u w:val="single"/>
        </w:rPr>
        <w:t>Afro-Asiatic</w:t>
      </w:r>
      <w:r>
        <w:rPr>
          <w:rFonts w:ascii="Times New Roman"/>
          <w:i/>
          <w:spacing w:val="-13"/>
          <w:sz w:val="20"/>
          <w:u w:val="single"/>
        </w:rPr>
        <w:t> </w:t>
      </w:r>
      <w:r>
        <w:rPr>
          <w:rFonts w:ascii="Times New Roman"/>
          <w:i/>
          <w:sz w:val="20"/>
          <w:u w:val="single"/>
        </w:rPr>
        <w:t>languages</w:t>
      </w:r>
      <w:r>
        <w:rPr>
          <w:rFonts w:ascii="Times New Roman"/>
          <w:i/>
          <w:spacing w:val="-12"/>
          <w:sz w:val="20"/>
          <w:u w:val="single"/>
        </w:rPr>
        <w:t> </w:t>
      </w:r>
      <w:r>
        <w:rPr>
          <w:rFonts w:ascii="Times New Roman"/>
          <w:i/>
          <w:sz w:val="20"/>
          <w:u w:val="single"/>
        </w:rPr>
        <w:t>(4500-4899)</w:t>
      </w:r>
      <w:r>
        <w:rPr>
          <w:rFonts w:ascii="Times New Roman"/>
          <w:i/>
          <w:sz w:val="20"/>
        </w:rPr>
        <w:t> Semitic languages (4500-4644)</w:t>
      </w:r>
    </w:p>
    <w:p>
      <w:pPr>
        <w:spacing w:before="91"/>
        <w:ind w:left="602" w:right="0" w:firstLine="0"/>
        <w:jc w:val="left"/>
        <w:rPr>
          <w:rFonts w:ascii="Times New Roman"/>
          <w:i/>
          <w:sz w:val="20"/>
        </w:rPr>
      </w:pPr>
      <w:r>
        <w:rPr/>
        <w:br w:type="column"/>
      </w:r>
      <w:r>
        <w:rPr>
          <w:rFonts w:ascii="Times New Roman"/>
          <w:i/>
          <w:sz w:val="20"/>
        </w:rPr>
        <w:t>Chadic</w:t>
      </w:r>
      <w:r>
        <w:rPr>
          <w:rFonts w:ascii="Times New Roman"/>
          <w:i/>
          <w:spacing w:val="-5"/>
          <w:sz w:val="20"/>
        </w:rPr>
        <w:t> </w:t>
      </w:r>
      <w:r>
        <w:rPr>
          <w:rFonts w:ascii="Times New Roman"/>
          <w:i/>
          <w:sz w:val="20"/>
        </w:rPr>
        <w:t>languages</w:t>
      </w:r>
      <w:r>
        <w:rPr>
          <w:rFonts w:ascii="Times New Roman"/>
          <w:i/>
          <w:spacing w:val="-6"/>
          <w:sz w:val="20"/>
        </w:rPr>
        <w:t> </w:t>
      </w:r>
      <w:r>
        <w:rPr>
          <w:rFonts w:ascii="Times New Roman"/>
          <w:i/>
          <w:sz w:val="20"/>
        </w:rPr>
        <w:t>(4720-</w:t>
      </w:r>
      <w:r>
        <w:rPr>
          <w:rFonts w:ascii="Times New Roman"/>
          <w:i/>
          <w:spacing w:val="-4"/>
          <w:sz w:val="20"/>
        </w:rPr>
        <w:t> 4789)</w:t>
      </w: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077"/>
      </w:tblGrid>
      <w:tr>
        <w:trPr>
          <w:trHeight w:val="225" w:hRule="atLeast"/>
        </w:trPr>
        <w:tc>
          <w:tcPr>
            <w:tcW w:w="612" w:type="dxa"/>
          </w:tcPr>
          <w:p>
            <w:pPr>
              <w:pStyle w:val="TableParagraph"/>
              <w:spacing w:line="205" w:lineRule="exact"/>
              <w:ind w:left="50"/>
              <w:rPr>
                <w:sz w:val="20"/>
              </w:rPr>
            </w:pPr>
            <w:r>
              <w:rPr>
                <w:spacing w:val="-4"/>
                <w:sz w:val="20"/>
              </w:rPr>
              <w:t>4720</w:t>
            </w:r>
          </w:p>
        </w:tc>
        <w:tc>
          <w:tcPr>
            <w:tcW w:w="2077" w:type="dxa"/>
          </w:tcPr>
          <w:p>
            <w:pPr>
              <w:pStyle w:val="TableParagraph"/>
              <w:spacing w:line="205" w:lineRule="exact"/>
              <w:ind w:left="158"/>
              <w:rPr>
                <w:sz w:val="20"/>
              </w:rPr>
            </w:pPr>
            <w:r>
              <w:rPr>
                <w:sz w:val="20"/>
              </w:rPr>
              <w:t>Bura-Pabir</w:t>
            </w:r>
            <w:r>
              <w:rPr>
                <w:spacing w:val="-10"/>
                <w:sz w:val="20"/>
              </w:rPr>
              <w:t> </w:t>
            </w:r>
            <w:r>
              <w:rPr>
                <w:spacing w:val="-2"/>
                <w:sz w:val="20"/>
              </w:rPr>
              <w:t>(bwr)</w:t>
            </w:r>
          </w:p>
        </w:tc>
      </w:tr>
      <w:tr>
        <w:trPr>
          <w:trHeight w:val="230" w:hRule="atLeast"/>
        </w:trPr>
        <w:tc>
          <w:tcPr>
            <w:tcW w:w="612" w:type="dxa"/>
          </w:tcPr>
          <w:p>
            <w:pPr>
              <w:pStyle w:val="TableParagraph"/>
              <w:ind w:left="50"/>
              <w:rPr>
                <w:sz w:val="20"/>
              </w:rPr>
            </w:pPr>
            <w:r>
              <w:rPr>
                <w:spacing w:val="-4"/>
                <w:sz w:val="20"/>
              </w:rPr>
              <w:t>4725</w:t>
            </w:r>
          </w:p>
        </w:tc>
        <w:tc>
          <w:tcPr>
            <w:tcW w:w="2077" w:type="dxa"/>
          </w:tcPr>
          <w:p>
            <w:pPr>
              <w:pStyle w:val="TableParagraph"/>
              <w:ind w:left="158"/>
              <w:rPr>
                <w:sz w:val="20"/>
              </w:rPr>
            </w:pPr>
            <w:r>
              <w:rPr>
                <w:sz w:val="20"/>
              </w:rPr>
              <w:t>Huba</w:t>
            </w:r>
            <w:r>
              <w:rPr>
                <w:spacing w:val="-5"/>
                <w:sz w:val="20"/>
              </w:rPr>
              <w:t> </w:t>
            </w:r>
            <w:r>
              <w:rPr>
                <w:spacing w:val="-2"/>
                <w:sz w:val="20"/>
              </w:rPr>
              <w:t>(hbb)</w:t>
            </w:r>
          </w:p>
        </w:tc>
      </w:tr>
      <w:tr>
        <w:trPr>
          <w:trHeight w:val="230" w:hRule="atLeast"/>
        </w:trPr>
        <w:tc>
          <w:tcPr>
            <w:tcW w:w="612" w:type="dxa"/>
          </w:tcPr>
          <w:p>
            <w:pPr>
              <w:pStyle w:val="TableParagraph"/>
              <w:ind w:left="50"/>
              <w:rPr>
                <w:sz w:val="20"/>
              </w:rPr>
            </w:pPr>
            <w:r>
              <w:rPr>
                <w:spacing w:val="-4"/>
                <w:sz w:val="20"/>
              </w:rPr>
              <w:t>4735</w:t>
            </w:r>
          </w:p>
        </w:tc>
        <w:tc>
          <w:tcPr>
            <w:tcW w:w="2077" w:type="dxa"/>
          </w:tcPr>
          <w:p>
            <w:pPr>
              <w:pStyle w:val="TableParagraph"/>
              <w:ind w:left="158"/>
              <w:rPr>
                <w:sz w:val="20"/>
              </w:rPr>
            </w:pPr>
            <w:r>
              <w:rPr>
                <w:sz w:val="20"/>
              </w:rPr>
              <w:t>Bata</w:t>
            </w:r>
            <w:r>
              <w:rPr>
                <w:spacing w:val="-3"/>
                <w:sz w:val="20"/>
              </w:rPr>
              <w:t> </w:t>
            </w:r>
            <w:r>
              <w:rPr>
                <w:spacing w:val="-2"/>
                <w:sz w:val="20"/>
              </w:rPr>
              <w:t>(bta)</w:t>
            </w:r>
          </w:p>
        </w:tc>
      </w:tr>
      <w:tr>
        <w:trPr>
          <w:trHeight w:val="230" w:hRule="atLeast"/>
        </w:trPr>
        <w:tc>
          <w:tcPr>
            <w:tcW w:w="612" w:type="dxa"/>
          </w:tcPr>
          <w:p>
            <w:pPr>
              <w:pStyle w:val="TableParagraph"/>
              <w:ind w:left="50"/>
              <w:rPr>
                <w:sz w:val="20"/>
              </w:rPr>
            </w:pPr>
            <w:r>
              <w:rPr>
                <w:spacing w:val="-4"/>
                <w:sz w:val="20"/>
              </w:rPr>
              <w:t>4740</w:t>
            </w:r>
          </w:p>
        </w:tc>
        <w:tc>
          <w:tcPr>
            <w:tcW w:w="2077" w:type="dxa"/>
          </w:tcPr>
          <w:p>
            <w:pPr>
              <w:pStyle w:val="TableParagraph"/>
              <w:ind w:left="158"/>
              <w:rPr>
                <w:sz w:val="20"/>
              </w:rPr>
            </w:pPr>
            <w:r>
              <w:rPr>
                <w:sz w:val="20"/>
              </w:rPr>
              <w:t>Gidar</w:t>
            </w:r>
            <w:r>
              <w:rPr>
                <w:spacing w:val="-3"/>
                <w:sz w:val="20"/>
              </w:rPr>
              <w:t> </w:t>
            </w:r>
            <w:r>
              <w:rPr>
                <w:spacing w:val="-2"/>
                <w:sz w:val="20"/>
              </w:rPr>
              <w:t>(gid)</w:t>
            </w:r>
          </w:p>
        </w:tc>
      </w:tr>
      <w:tr>
        <w:trPr>
          <w:trHeight w:val="230" w:hRule="atLeast"/>
        </w:trPr>
        <w:tc>
          <w:tcPr>
            <w:tcW w:w="612" w:type="dxa"/>
          </w:tcPr>
          <w:p>
            <w:pPr>
              <w:pStyle w:val="TableParagraph"/>
              <w:ind w:left="50"/>
              <w:rPr>
                <w:sz w:val="20"/>
              </w:rPr>
            </w:pPr>
            <w:r>
              <w:rPr>
                <w:spacing w:val="-4"/>
                <w:sz w:val="20"/>
              </w:rPr>
              <w:t>4750</w:t>
            </w:r>
          </w:p>
        </w:tc>
        <w:tc>
          <w:tcPr>
            <w:tcW w:w="2077" w:type="dxa"/>
          </w:tcPr>
          <w:p>
            <w:pPr>
              <w:pStyle w:val="TableParagraph"/>
              <w:ind w:left="158"/>
              <w:rPr>
                <w:sz w:val="20"/>
              </w:rPr>
            </w:pPr>
            <w:r>
              <w:rPr>
                <w:sz w:val="20"/>
              </w:rPr>
              <w:t>Hausa</w:t>
            </w:r>
            <w:r>
              <w:rPr>
                <w:spacing w:val="-7"/>
                <w:sz w:val="20"/>
              </w:rPr>
              <w:t> </w:t>
            </w:r>
            <w:r>
              <w:rPr>
                <w:spacing w:val="-2"/>
                <w:sz w:val="20"/>
              </w:rPr>
              <w:t>(hau)</w:t>
            </w:r>
          </w:p>
        </w:tc>
      </w:tr>
      <w:tr>
        <w:trPr>
          <w:trHeight w:val="229" w:hRule="atLeast"/>
        </w:trPr>
        <w:tc>
          <w:tcPr>
            <w:tcW w:w="612" w:type="dxa"/>
          </w:tcPr>
          <w:p>
            <w:pPr>
              <w:pStyle w:val="TableParagraph"/>
              <w:spacing w:line="209" w:lineRule="exact"/>
              <w:ind w:left="50"/>
              <w:rPr>
                <w:sz w:val="20"/>
              </w:rPr>
            </w:pPr>
            <w:r>
              <w:rPr>
                <w:spacing w:val="-4"/>
                <w:sz w:val="20"/>
              </w:rPr>
              <w:t>4760</w:t>
            </w:r>
          </w:p>
        </w:tc>
        <w:tc>
          <w:tcPr>
            <w:tcW w:w="2077" w:type="dxa"/>
          </w:tcPr>
          <w:p>
            <w:pPr>
              <w:pStyle w:val="TableParagraph"/>
              <w:spacing w:line="209" w:lineRule="exact"/>
              <w:ind w:left="158"/>
              <w:rPr>
                <w:sz w:val="20"/>
              </w:rPr>
            </w:pPr>
            <w:r>
              <w:rPr>
                <w:sz w:val="20"/>
              </w:rPr>
              <w:t>Tangale</w:t>
            </w:r>
            <w:r>
              <w:rPr>
                <w:spacing w:val="-8"/>
                <w:sz w:val="20"/>
              </w:rPr>
              <w:t> </w:t>
            </w:r>
            <w:r>
              <w:rPr>
                <w:spacing w:val="-2"/>
                <w:sz w:val="20"/>
              </w:rPr>
              <w:t>(tan)</w:t>
            </w:r>
          </w:p>
        </w:tc>
      </w:tr>
      <w:tr>
        <w:trPr>
          <w:trHeight w:val="224" w:hRule="atLeast"/>
        </w:trPr>
        <w:tc>
          <w:tcPr>
            <w:tcW w:w="612" w:type="dxa"/>
          </w:tcPr>
          <w:p>
            <w:pPr>
              <w:pStyle w:val="TableParagraph"/>
              <w:spacing w:line="204" w:lineRule="exact"/>
              <w:ind w:left="50"/>
              <w:rPr>
                <w:sz w:val="20"/>
              </w:rPr>
            </w:pPr>
            <w:r>
              <w:rPr>
                <w:spacing w:val="-4"/>
                <w:sz w:val="20"/>
              </w:rPr>
              <w:t>4765</w:t>
            </w:r>
          </w:p>
        </w:tc>
        <w:tc>
          <w:tcPr>
            <w:tcW w:w="2077" w:type="dxa"/>
          </w:tcPr>
          <w:p>
            <w:pPr>
              <w:pStyle w:val="TableParagraph"/>
              <w:spacing w:line="204" w:lineRule="exact"/>
              <w:ind w:left="158"/>
              <w:rPr>
                <w:sz w:val="20"/>
              </w:rPr>
            </w:pPr>
            <w:r>
              <w:rPr>
                <w:spacing w:val="-2"/>
                <w:sz w:val="20"/>
              </w:rPr>
              <w:t>Cakfem-Mushere</w:t>
            </w:r>
            <w:r>
              <w:rPr>
                <w:spacing w:val="12"/>
                <w:sz w:val="20"/>
              </w:rPr>
              <w:t> </w:t>
            </w:r>
            <w:r>
              <w:rPr>
                <w:spacing w:val="-4"/>
                <w:sz w:val="20"/>
              </w:rPr>
              <w:t>(cky)</w:t>
            </w:r>
          </w:p>
        </w:tc>
      </w:tr>
    </w:tbl>
    <w:p>
      <w:pPr>
        <w:pStyle w:val="BodyText"/>
        <w:spacing w:before="10"/>
        <w:rPr>
          <w:rFonts w:ascii="Times New Roman"/>
          <w:i/>
          <w:sz w:val="20"/>
        </w:rPr>
      </w:pPr>
    </w:p>
    <w:p>
      <w:pPr>
        <w:spacing w:before="1"/>
        <w:ind w:left="602" w:right="0" w:firstLine="0"/>
        <w:jc w:val="left"/>
        <w:rPr>
          <w:rFonts w:ascii="Times New Roman"/>
          <w:i/>
          <w:sz w:val="20"/>
        </w:rPr>
      </w:pPr>
      <w:r>
        <w:rPr>
          <w:rFonts w:ascii="Times New Roman"/>
          <w:i/>
          <w:sz w:val="20"/>
        </w:rPr>
        <w:t>Cushitic</w:t>
      </w:r>
      <w:r>
        <w:rPr>
          <w:rFonts w:ascii="Times New Roman"/>
          <w:i/>
          <w:spacing w:val="-8"/>
          <w:sz w:val="20"/>
        </w:rPr>
        <w:t> </w:t>
      </w:r>
      <w:r>
        <w:rPr>
          <w:rFonts w:ascii="Times New Roman"/>
          <w:i/>
          <w:sz w:val="20"/>
        </w:rPr>
        <w:t>languages</w:t>
      </w:r>
      <w:r>
        <w:rPr>
          <w:rFonts w:ascii="Times New Roman"/>
          <w:i/>
          <w:spacing w:val="-7"/>
          <w:sz w:val="20"/>
        </w:rPr>
        <w:t> </w:t>
      </w:r>
      <w:r>
        <w:rPr>
          <w:rFonts w:ascii="Times New Roman"/>
          <w:i/>
          <w:sz w:val="20"/>
        </w:rPr>
        <w:t>(4790-</w:t>
      </w:r>
      <w:r>
        <w:rPr>
          <w:rFonts w:ascii="Times New Roman"/>
          <w:i/>
          <w:spacing w:val="-4"/>
          <w:sz w:val="20"/>
        </w:rPr>
        <w:t>4899)</w:t>
      </w:r>
    </w:p>
    <w:p>
      <w:pPr>
        <w:tabs>
          <w:tab w:pos="1322" w:val="left" w:leader="none"/>
        </w:tabs>
        <w:spacing w:before="1"/>
        <w:ind w:left="602" w:right="0" w:firstLine="0"/>
        <w:jc w:val="left"/>
        <w:rPr>
          <w:rFonts w:ascii="Times New Roman"/>
          <w:sz w:val="20"/>
        </w:rPr>
      </w:pPr>
      <w:r>
        <w:rPr>
          <w:rFonts w:ascii="Times New Roman"/>
          <w:spacing w:val="-4"/>
          <w:sz w:val="20"/>
        </w:rPr>
        <w:t>4790</w:t>
      </w:r>
      <w:r>
        <w:rPr>
          <w:rFonts w:ascii="Times New Roman"/>
          <w:sz w:val="20"/>
        </w:rPr>
        <w:tab/>
        <w:t>Bilin</w:t>
      </w:r>
      <w:r>
        <w:rPr>
          <w:rFonts w:ascii="Times New Roman"/>
          <w:spacing w:val="-7"/>
          <w:sz w:val="20"/>
        </w:rPr>
        <w:t> </w:t>
      </w:r>
      <w:r>
        <w:rPr>
          <w:rFonts w:ascii="Times New Roman"/>
          <w:spacing w:val="-4"/>
          <w:sz w:val="20"/>
        </w:rPr>
        <w:t>(byn)</w:t>
      </w:r>
    </w:p>
    <w:p>
      <w:pPr>
        <w:tabs>
          <w:tab w:pos="1322" w:val="left" w:leader="none"/>
        </w:tabs>
        <w:spacing w:before="0"/>
        <w:ind w:left="602" w:right="0" w:firstLine="0"/>
        <w:jc w:val="left"/>
        <w:rPr>
          <w:rFonts w:ascii="Times New Roman"/>
          <w:sz w:val="20"/>
        </w:rPr>
      </w:pPr>
      <w:r>
        <w:rPr>
          <w:rFonts w:ascii="Times New Roman"/>
          <w:spacing w:val="-4"/>
          <w:sz w:val="20"/>
        </w:rPr>
        <w:t>4800</w:t>
      </w:r>
      <w:r>
        <w:rPr>
          <w:rFonts w:ascii="Times New Roman"/>
          <w:sz w:val="20"/>
        </w:rPr>
        <w:tab/>
        <w:t>Afar</w:t>
      </w:r>
      <w:r>
        <w:rPr>
          <w:rFonts w:ascii="Times New Roman"/>
          <w:spacing w:val="-5"/>
          <w:sz w:val="20"/>
        </w:rPr>
        <w:t> </w:t>
      </w:r>
      <w:r>
        <w:rPr>
          <w:rFonts w:ascii="Times New Roman"/>
          <w:spacing w:val="-4"/>
          <w:sz w:val="20"/>
        </w:rPr>
        <w:t>(aar)</w:t>
      </w:r>
    </w:p>
    <w:p>
      <w:pPr>
        <w:tabs>
          <w:tab w:pos="1322" w:val="left" w:leader="none"/>
        </w:tabs>
        <w:spacing w:line="229" w:lineRule="exact" w:before="0"/>
        <w:ind w:left="602" w:right="0" w:firstLine="0"/>
        <w:jc w:val="left"/>
        <w:rPr>
          <w:rFonts w:ascii="Times New Roman"/>
          <w:sz w:val="20"/>
        </w:rPr>
      </w:pPr>
      <w:r>
        <w:rPr>
          <w:rFonts w:ascii="Times New Roman"/>
          <w:spacing w:val="-4"/>
          <w:sz w:val="20"/>
        </w:rPr>
        <w:t>4805</w:t>
      </w:r>
      <w:r>
        <w:rPr>
          <w:rFonts w:ascii="Times New Roman"/>
          <w:sz w:val="20"/>
        </w:rPr>
        <w:tab/>
        <w:t>Saho</w:t>
      </w:r>
      <w:r>
        <w:rPr>
          <w:rFonts w:ascii="Times New Roman"/>
          <w:spacing w:val="-7"/>
          <w:sz w:val="20"/>
        </w:rPr>
        <w:t> </w:t>
      </w:r>
      <w:r>
        <w:rPr>
          <w:rFonts w:ascii="Times New Roman"/>
          <w:spacing w:val="-4"/>
          <w:sz w:val="20"/>
        </w:rPr>
        <w:t>(ssy)</w:t>
      </w:r>
    </w:p>
    <w:p>
      <w:pPr>
        <w:tabs>
          <w:tab w:pos="1322" w:val="left" w:leader="none"/>
        </w:tabs>
        <w:spacing w:line="229" w:lineRule="exact" w:before="0"/>
        <w:ind w:left="602" w:right="0" w:firstLine="0"/>
        <w:jc w:val="left"/>
        <w:rPr>
          <w:rFonts w:ascii="Times New Roman"/>
          <w:sz w:val="20"/>
        </w:rPr>
      </w:pPr>
      <w:r>
        <w:rPr>
          <w:rFonts w:ascii="Times New Roman"/>
          <w:spacing w:val="-4"/>
          <w:sz w:val="20"/>
        </w:rPr>
        <w:t>4815</w:t>
      </w:r>
      <w:r>
        <w:rPr>
          <w:rFonts w:ascii="Times New Roman"/>
          <w:sz w:val="20"/>
        </w:rPr>
        <w:tab/>
        <w:t>Hadiyya</w:t>
      </w:r>
      <w:r>
        <w:rPr>
          <w:rFonts w:ascii="Times New Roman"/>
          <w:spacing w:val="-10"/>
          <w:sz w:val="20"/>
        </w:rPr>
        <w:t> </w:t>
      </w:r>
      <w:r>
        <w:rPr>
          <w:rFonts w:ascii="Times New Roman"/>
          <w:spacing w:val="-4"/>
          <w:sz w:val="20"/>
        </w:rPr>
        <w:t>(hdy)</w:t>
      </w:r>
    </w:p>
    <w:p>
      <w:pPr>
        <w:spacing w:before="1"/>
        <w:ind w:left="602" w:right="0" w:firstLine="0"/>
        <w:jc w:val="both"/>
        <w:rPr>
          <w:rFonts w:ascii="Times New Roman"/>
          <w:sz w:val="20"/>
        </w:rPr>
      </w:pPr>
      <w:r>
        <w:rPr>
          <w:rFonts w:ascii="Times New Roman"/>
          <w:sz w:val="20"/>
        </w:rPr>
        <w:t>4825</w:t>
      </w:r>
      <w:r>
        <w:rPr>
          <w:rFonts w:ascii="Times New Roman"/>
          <w:spacing w:val="53"/>
          <w:sz w:val="20"/>
        </w:rPr>
        <w:t>   </w:t>
      </w:r>
      <w:r>
        <w:rPr>
          <w:rFonts w:ascii="Times New Roman"/>
          <w:sz w:val="20"/>
        </w:rPr>
        <w:t>Sidamo </w:t>
      </w:r>
      <w:r>
        <w:rPr>
          <w:rFonts w:ascii="Times New Roman"/>
          <w:spacing w:val="-4"/>
          <w:sz w:val="20"/>
        </w:rPr>
        <w:t>(sid)</w:t>
      </w:r>
    </w:p>
    <w:p>
      <w:pPr>
        <w:spacing w:before="0"/>
        <w:ind w:left="602" w:right="2038" w:firstLine="0"/>
        <w:jc w:val="both"/>
        <w:rPr>
          <w:rFonts w:ascii="Times New Roman"/>
          <w:sz w:val="20"/>
        </w:rPr>
      </w:pPr>
      <w:r>
        <w:rPr>
          <w:rFonts w:ascii="Times New Roman"/>
          <w:sz w:val="20"/>
        </w:rPr>
        <w:t>4830</w:t>
      </w:r>
      <w:r>
        <w:rPr>
          <w:rFonts w:ascii="Times New Roman"/>
          <w:spacing w:val="40"/>
          <w:sz w:val="20"/>
        </w:rPr>
        <w:t> </w:t>
      </w:r>
      <w:r>
        <w:rPr>
          <w:rFonts w:ascii="Times New Roman"/>
          <w:sz w:val="20"/>
        </w:rPr>
        <w:t>Oromo</w:t>
      </w:r>
      <w:r>
        <w:rPr>
          <w:rFonts w:ascii="Times New Roman"/>
          <w:spacing w:val="-1"/>
          <w:sz w:val="20"/>
        </w:rPr>
        <w:t> </w:t>
      </w:r>
      <w:r>
        <w:rPr>
          <w:rFonts w:ascii="Times New Roman"/>
          <w:sz w:val="20"/>
        </w:rPr>
        <w:t>(macrolanguage) (orm) 4832</w:t>
      </w:r>
      <w:r>
        <w:rPr>
          <w:rFonts w:ascii="Times New Roman"/>
          <w:spacing w:val="40"/>
          <w:sz w:val="20"/>
        </w:rPr>
        <w:t> </w:t>
      </w:r>
      <w:r>
        <w:rPr>
          <w:rFonts w:ascii="Times New Roman"/>
          <w:sz w:val="20"/>
        </w:rPr>
        <w:t>Borana-Arsi-Guji</w:t>
      </w:r>
      <w:r>
        <w:rPr>
          <w:rFonts w:ascii="Times New Roman"/>
          <w:spacing w:val="-6"/>
          <w:sz w:val="20"/>
        </w:rPr>
        <w:t> </w:t>
      </w:r>
      <w:r>
        <w:rPr>
          <w:rFonts w:ascii="Times New Roman"/>
          <w:sz w:val="20"/>
        </w:rPr>
        <w:t>Oromo</w:t>
      </w:r>
      <w:r>
        <w:rPr>
          <w:rFonts w:ascii="Times New Roman"/>
          <w:spacing w:val="-4"/>
          <w:sz w:val="20"/>
        </w:rPr>
        <w:t> </w:t>
      </w:r>
      <w:r>
        <w:rPr>
          <w:rFonts w:ascii="Times New Roman"/>
          <w:sz w:val="20"/>
        </w:rPr>
        <w:t>(gax) 4834</w:t>
      </w:r>
      <w:r>
        <w:rPr>
          <w:rFonts w:ascii="Times New Roman"/>
          <w:spacing w:val="80"/>
          <w:sz w:val="20"/>
        </w:rPr>
        <w:t>  </w:t>
      </w:r>
      <w:r>
        <w:rPr>
          <w:rFonts w:ascii="Times New Roman"/>
          <w:sz w:val="20"/>
        </w:rPr>
        <w:t>Eastern Oromo (hae)</w:t>
      </w:r>
    </w:p>
    <w:p>
      <w:pPr>
        <w:tabs>
          <w:tab w:pos="1322" w:val="left" w:leader="none"/>
        </w:tabs>
        <w:spacing w:before="0"/>
        <w:ind w:left="602" w:right="2413" w:firstLine="0"/>
        <w:jc w:val="left"/>
        <w:rPr>
          <w:rFonts w:ascii="Times New Roman"/>
          <w:sz w:val="20"/>
        </w:rPr>
      </w:pPr>
      <w:r>
        <w:rPr>
          <w:rFonts w:ascii="Times New Roman"/>
          <w:spacing w:val="-4"/>
          <w:sz w:val="20"/>
        </w:rPr>
        <w:t>4836</w:t>
      </w:r>
      <w:r>
        <w:rPr>
          <w:rFonts w:ascii="Times New Roman"/>
          <w:sz w:val="20"/>
        </w:rPr>
        <w:tab/>
        <w:t>West</w:t>
      </w:r>
      <w:r>
        <w:rPr>
          <w:rFonts w:ascii="Times New Roman"/>
          <w:spacing w:val="-13"/>
          <w:sz w:val="20"/>
        </w:rPr>
        <w:t> </w:t>
      </w:r>
      <w:r>
        <w:rPr>
          <w:rFonts w:ascii="Times New Roman"/>
          <w:sz w:val="20"/>
        </w:rPr>
        <w:t>Central</w:t>
      </w:r>
      <w:r>
        <w:rPr>
          <w:rFonts w:ascii="Times New Roman"/>
          <w:spacing w:val="-12"/>
          <w:sz w:val="20"/>
        </w:rPr>
        <w:t> </w:t>
      </w:r>
      <w:r>
        <w:rPr>
          <w:rFonts w:ascii="Times New Roman"/>
          <w:sz w:val="20"/>
        </w:rPr>
        <w:t>Oromo</w:t>
      </w:r>
      <w:r>
        <w:rPr>
          <w:rFonts w:ascii="Times New Roman"/>
          <w:spacing w:val="-13"/>
          <w:sz w:val="20"/>
        </w:rPr>
        <w:t> </w:t>
      </w:r>
      <w:r>
        <w:rPr>
          <w:rFonts w:ascii="Times New Roman"/>
          <w:sz w:val="20"/>
        </w:rPr>
        <w:t>(gaz) </w:t>
      </w:r>
      <w:r>
        <w:rPr>
          <w:rFonts w:ascii="Times New Roman"/>
          <w:spacing w:val="-4"/>
          <w:sz w:val="20"/>
        </w:rPr>
        <w:t>4840</w:t>
      </w:r>
      <w:r>
        <w:rPr>
          <w:rFonts w:ascii="Times New Roman"/>
          <w:sz w:val="20"/>
        </w:rPr>
        <w:tab/>
        <w:t>Somali (som)</w:t>
      </w:r>
    </w:p>
    <w:p>
      <w:pPr>
        <w:tabs>
          <w:tab w:pos="1322" w:val="left" w:leader="none"/>
        </w:tabs>
        <w:spacing w:before="0"/>
        <w:ind w:left="602" w:right="0" w:firstLine="0"/>
        <w:jc w:val="left"/>
        <w:rPr>
          <w:rFonts w:ascii="Times New Roman"/>
          <w:sz w:val="20"/>
        </w:rPr>
      </w:pPr>
      <w:r>
        <w:rPr>
          <w:rFonts w:ascii="Times New Roman"/>
          <w:spacing w:val="-4"/>
          <w:sz w:val="20"/>
        </w:rPr>
        <w:t>4845</w:t>
      </w:r>
      <w:r>
        <w:rPr>
          <w:rFonts w:ascii="Times New Roman"/>
          <w:sz w:val="20"/>
        </w:rPr>
        <w:tab/>
        <w:t>Garre</w:t>
      </w:r>
      <w:r>
        <w:rPr>
          <w:rFonts w:ascii="Times New Roman"/>
          <w:spacing w:val="-4"/>
          <w:sz w:val="20"/>
        </w:rPr>
        <w:t> (gex)</w:t>
      </w:r>
    </w:p>
    <w:p>
      <w:pPr>
        <w:tabs>
          <w:tab w:pos="1322" w:val="left" w:leader="none"/>
        </w:tabs>
        <w:spacing w:before="0"/>
        <w:ind w:left="602" w:right="0" w:firstLine="0"/>
        <w:jc w:val="left"/>
        <w:rPr>
          <w:rFonts w:ascii="Times New Roman"/>
          <w:sz w:val="20"/>
        </w:rPr>
      </w:pPr>
      <w:r>
        <w:rPr>
          <w:rFonts w:ascii="Times New Roman"/>
          <w:spacing w:val="-4"/>
          <w:sz w:val="20"/>
        </w:rPr>
        <w:t>4850</w:t>
      </w:r>
      <w:r>
        <w:rPr>
          <w:rFonts w:ascii="Times New Roman"/>
          <w:sz w:val="20"/>
        </w:rPr>
        <w:tab/>
        <w:t>Maay</w:t>
      </w:r>
      <w:r>
        <w:rPr>
          <w:rFonts w:ascii="Times New Roman"/>
          <w:spacing w:val="-7"/>
          <w:sz w:val="20"/>
        </w:rPr>
        <w:t> </w:t>
      </w:r>
      <w:r>
        <w:rPr>
          <w:rFonts w:ascii="Times New Roman"/>
          <w:spacing w:val="-4"/>
          <w:sz w:val="20"/>
        </w:rPr>
        <w:t>(ymm)</w:t>
      </w:r>
    </w:p>
    <w:p>
      <w:pPr>
        <w:tabs>
          <w:tab w:pos="1322" w:val="left" w:leader="none"/>
        </w:tabs>
        <w:spacing w:before="1"/>
        <w:ind w:left="602" w:right="0" w:firstLine="0"/>
        <w:jc w:val="left"/>
        <w:rPr>
          <w:rFonts w:ascii="Times New Roman"/>
          <w:sz w:val="20"/>
        </w:rPr>
      </w:pPr>
      <w:r>
        <w:rPr>
          <w:rFonts w:ascii="Times New Roman"/>
          <w:spacing w:val="-4"/>
          <w:sz w:val="20"/>
        </w:rPr>
        <w:t>4855</w:t>
      </w:r>
      <w:r>
        <w:rPr>
          <w:rFonts w:ascii="Times New Roman"/>
          <w:sz w:val="20"/>
        </w:rPr>
        <w:tab/>
        <w:t>Beja</w:t>
      </w:r>
      <w:r>
        <w:rPr>
          <w:rFonts w:ascii="Times New Roman"/>
          <w:spacing w:val="-3"/>
          <w:sz w:val="20"/>
        </w:rPr>
        <w:t> </w:t>
      </w:r>
      <w:r>
        <w:rPr>
          <w:rFonts w:ascii="Times New Roman"/>
          <w:spacing w:val="-4"/>
          <w:sz w:val="20"/>
        </w:rPr>
        <w:t>(bej)</w:t>
      </w:r>
    </w:p>
    <w:p>
      <w:pPr>
        <w:pStyle w:val="BodyText"/>
        <w:rPr>
          <w:rFonts w:ascii="Times New Roman"/>
          <w:sz w:val="20"/>
        </w:rPr>
      </w:pPr>
    </w:p>
    <w:p>
      <w:pPr>
        <w:spacing w:before="1"/>
        <w:ind w:left="602" w:right="0" w:firstLine="0"/>
        <w:jc w:val="left"/>
        <w:rPr>
          <w:rFonts w:ascii="Times New Roman"/>
          <w:i/>
          <w:sz w:val="20"/>
        </w:rPr>
      </w:pPr>
      <w:r>
        <w:rPr>
          <w:rFonts w:ascii="Times New Roman"/>
          <w:i/>
          <w:sz w:val="20"/>
        </w:rPr>
        <w:t>Omotic</w:t>
      </w:r>
      <w:r>
        <w:rPr>
          <w:rFonts w:ascii="Times New Roman"/>
          <w:i/>
          <w:spacing w:val="-9"/>
          <w:sz w:val="20"/>
        </w:rPr>
        <w:t> </w:t>
      </w:r>
      <w:r>
        <w:rPr>
          <w:rFonts w:ascii="Times New Roman"/>
          <w:i/>
          <w:sz w:val="20"/>
        </w:rPr>
        <w:t>languages</w:t>
      </w:r>
      <w:r>
        <w:rPr>
          <w:rFonts w:ascii="Times New Roman"/>
          <w:i/>
          <w:spacing w:val="-7"/>
          <w:sz w:val="20"/>
        </w:rPr>
        <w:t> </w:t>
      </w:r>
      <w:r>
        <w:rPr>
          <w:rFonts w:ascii="Times New Roman"/>
          <w:i/>
          <w:sz w:val="20"/>
        </w:rPr>
        <w:t>(4860-</w:t>
      </w:r>
      <w:r>
        <w:rPr>
          <w:rFonts w:ascii="Times New Roman"/>
          <w:i/>
          <w:spacing w:val="-4"/>
          <w:sz w:val="20"/>
        </w:rPr>
        <w:t>4899)</w:t>
      </w:r>
    </w:p>
    <w:p>
      <w:pPr>
        <w:tabs>
          <w:tab w:pos="1322" w:val="left" w:leader="none"/>
        </w:tabs>
        <w:spacing w:line="229" w:lineRule="exact" w:before="34"/>
        <w:ind w:left="602" w:right="0" w:firstLine="0"/>
        <w:jc w:val="left"/>
        <w:rPr>
          <w:rFonts w:ascii="Times New Roman"/>
          <w:sz w:val="20"/>
        </w:rPr>
      </w:pPr>
      <w:r>
        <w:rPr>
          <w:rFonts w:ascii="Times New Roman"/>
          <w:spacing w:val="-4"/>
          <w:sz w:val="20"/>
        </w:rPr>
        <w:t>4860</w:t>
      </w:r>
      <w:r>
        <w:rPr>
          <w:rFonts w:ascii="Times New Roman"/>
          <w:sz w:val="20"/>
        </w:rPr>
        <w:tab/>
        <w:t>Aari</w:t>
      </w:r>
      <w:r>
        <w:rPr>
          <w:rFonts w:ascii="Times New Roman"/>
          <w:spacing w:val="-7"/>
          <w:sz w:val="20"/>
        </w:rPr>
        <w:t> </w:t>
      </w:r>
      <w:r>
        <w:rPr>
          <w:rFonts w:ascii="Times New Roman"/>
          <w:spacing w:val="-4"/>
          <w:sz w:val="20"/>
        </w:rPr>
        <w:t>(aiw)</w:t>
      </w:r>
    </w:p>
    <w:p>
      <w:pPr>
        <w:tabs>
          <w:tab w:pos="1322" w:val="left" w:leader="none"/>
        </w:tabs>
        <w:spacing w:line="229" w:lineRule="exact" w:before="0"/>
        <w:ind w:left="602" w:right="0" w:firstLine="0"/>
        <w:jc w:val="left"/>
        <w:rPr>
          <w:rFonts w:ascii="Times New Roman"/>
          <w:sz w:val="20"/>
        </w:rPr>
      </w:pPr>
      <w:r>
        <w:rPr>
          <w:rFonts w:ascii="Times New Roman"/>
          <w:spacing w:val="-4"/>
          <w:sz w:val="20"/>
        </w:rPr>
        <w:t>4870</w:t>
      </w:r>
      <w:r>
        <w:rPr>
          <w:rFonts w:ascii="Times New Roman"/>
          <w:sz w:val="20"/>
        </w:rPr>
        <w:tab/>
        <w:t>Kafa</w:t>
      </w:r>
      <w:r>
        <w:rPr>
          <w:rFonts w:ascii="Times New Roman"/>
          <w:spacing w:val="-5"/>
          <w:sz w:val="20"/>
        </w:rPr>
        <w:t> </w:t>
      </w:r>
      <w:r>
        <w:rPr>
          <w:rFonts w:ascii="Times New Roman"/>
          <w:spacing w:val="-2"/>
          <w:sz w:val="20"/>
        </w:rPr>
        <w:t>(kbr)</w:t>
      </w:r>
    </w:p>
    <w:p>
      <w:pPr>
        <w:tabs>
          <w:tab w:pos="1322" w:val="left" w:leader="none"/>
        </w:tabs>
        <w:spacing w:before="0"/>
        <w:ind w:left="602" w:right="0" w:firstLine="0"/>
        <w:jc w:val="left"/>
        <w:rPr>
          <w:rFonts w:ascii="Times New Roman"/>
          <w:sz w:val="20"/>
        </w:rPr>
      </w:pPr>
      <w:r>
        <w:rPr>
          <w:rFonts w:ascii="Times New Roman"/>
          <w:spacing w:val="-4"/>
          <w:sz w:val="20"/>
        </w:rPr>
        <w:t>4880</w:t>
      </w:r>
      <w:r>
        <w:rPr>
          <w:rFonts w:ascii="Times New Roman"/>
          <w:sz w:val="20"/>
        </w:rPr>
        <w:tab/>
        <w:t>Wolaytta</w:t>
      </w:r>
      <w:r>
        <w:rPr>
          <w:rFonts w:ascii="Times New Roman"/>
          <w:spacing w:val="-10"/>
          <w:sz w:val="20"/>
        </w:rPr>
        <w:t> </w:t>
      </w:r>
      <w:r>
        <w:rPr>
          <w:rFonts w:ascii="Times New Roman"/>
          <w:spacing w:val="-4"/>
          <w:sz w:val="20"/>
        </w:rPr>
        <w:t>(wal)</w:t>
      </w:r>
    </w:p>
    <w:p>
      <w:pPr>
        <w:pStyle w:val="BodyText"/>
        <w:spacing w:before="1"/>
        <w:rPr>
          <w:rFonts w:ascii="Times New Roman"/>
          <w:sz w:val="20"/>
        </w:rPr>
      </w:pPr>
    </w:p>
    <w:p>
      <w:pPr>
        <w:spacing w:before="0"/>
        <w:ind w:left="602" w:right="0" w:firstLine="0"/>
        <w:jc w:val="both"/>
        <w:rPr>
          <w:rFonts w:ascii="Times New Roman"/>
          <w:i/>
          <w:sz w:val="20"/>
        </w:rPr>
      </w:pPr>
      <w:r>
        <w:rPr>
          <w:rFonts w:ascii="Times New Roman"/>
          <w:i/>
          <w:sz w:val="20"/>
          <w:u w:val="single"/>
        </w:rPr>
        <w:t>Nilo-Saharan</w:t>
      </w:r>
      <w:r>
        <w:rPr>
          <w:rFonts w:ascii="Times New Roman"/>
          <w:i/>
          <w:spacing w:val="-9"/>
          <w:sz w:val="20"/>
          <w:u w:val="single"/>
        </w:rPr>
        <w:t> </w:t>
      </w:r>
      <w:r>
        <w:rPr>
          <w:rFonts w:ascii="Times New Roman"/>
          <w:i/>
          <w:sz w:val="20"/>
          <w:u w:val="single"/>
        </w:rPr>
        <w:t>languages</w:t>
      </w:r>
      <w:r>
        <w:rPr>
          <w:rFonts w:ascii="Times New Roman"/>
          <w:i/>
          <w:spacing w:val="-11"/>
          <w:sz w:val="20"/>
          <w:u w:val="single"/>
        </w:rPr>
        <w:t> </w:t>
      </w:r>
      <w:r>
        <w:rPr>
          <w:rFonts w:ascii="Times New Roman"/>
          <w:i/>
          <w:sz w:val="20"/>
          <w:u w:val="single"/>
        </w:rPr>
        <w:t>(4900-</w:t>
      </w:r>
      <w:r>
        <w:rPr>
          <w:rFonts w:ascii="Times New Roman"/>
          <w:i/>
          <w:spacing w:val="-4"/>
          <w:sz w:val="20"/>
          <w:u w:val="single"/>
        </w:rPr>
        <w:t>5119)</w:t>
      </w:r>
    </w:p>
    <w:p>
      <w:pPr>
        <w:spacing w:after="0"/>
        <w:jc w:val="both"/>
        <w:rPr>
          <w:rFonts w:ascii="Times New Roman"/>
          <w:sz w:val="20"/>
        </w:rPr>
        <w:sectPr>
          <w:type w:val="continuous"/>
          <w:pgSz w:w="12240" w:h="15840"/>
          <w:pgMar w:header="0" w:footer="0" w:top="1820" w:bottom="280" w:left="600" w:right="500"/>
          <w:cols w:num="2" w:equalWidth="0">
            <w:col w:w="3497" w:space="1782"/>
            <w:col w:w="5861"/>
          </w:cols>
        </w:sectPr>
      </w:pPr>
    </w:p>
    <w:tbl>
      <w:tblPr>
        <w:tblW w:w="0" w:type="auto"/>
        <w:jc w:val="left"/>
        <w:tblInd w:w="5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740"/>
      </w:tblGrid>
      <w:tr>
        <w:trPr>
          <w:trHeight w:val="225" w:hRule="atLeast"/>
        </w:trPr>
        <w:tc>
          <w:tcPr>
            <w:tcW w:w="612" w:type="dxa"/>
          </w:tcPr>
          <w:p>
            <w:pPr>
              <w:pStyle w:val="TableParagraph"/>
              <w:spacing w:line="205" w:lineRule="exact"/>
              <w:ind w:left="50"/>
              <w:rPr>
                <w:sz w:val="20"/>
              </w:rPr>
            </w:pPr>
            <w:r>
              <w:rPr>
                <w:spacing w:val="-4"/>
                <w:sz w:val="20"/>
              </w:rPr>
              <w:t>4900</w:t>
            </w:r>
          </w:p>
        </w:tc>
        <w:tc>
          <w:tcPr>
            <w:tcW w:w="2740" w:type="dxa"/>
          </w:tcPr>
          <w:p>
            <w:pPr>
              <w:pStyle w:val="TableParagraph"/>
              <w:spacing w:line="205" w:lineRule="exact"/>
              <w:ind w:left="158"/>
              <w:rPr>
                <w:sz w:val="20"/>
              </w:rPr>
            </w:pPr>
            <w:r>
              <w:rPr>
                <w:sz w:val="20"/>
              </w:rPr>
              <w:t>Mangbetu</w:t>
            </w:r>
            <w:r>
              <w:rPr>
                <w:spacing w:val="-11"/>
                <w:sz w:val="20"/>
              </w:rPr>
              <w:t> </w:t>
            </w:r>
            <w:r>
              <w:rPr>
                <w:spacing w:val="-2"/>
                <w:sz w:val="20"/>
              </w:rPr>
              <w:t>(mdj)</w:t>
            </w:r>
          </w:p>
        </w:tc>
      </w:tr>
      <w:tr>
        <w:trPr>
          <w:trHeight w:val="229" w:hRule="atLeast"/>
        </w:trPr>
        <w:tc>
          <w:tcPr>
            <w:tcW w:w="612" w:type="dxa"/>
          </w:tcPr>
          <w:p>
            <w:pPr>
              <w:pStyle w:val="TableParagraph"/>
              <w:spacing w:line="209" w:lineRule="exact"/>
              <w:ind w:left="50"/>
              <w:rPr>
                <w:sz w:val="20"/>
              </w:rPr>
            </w:pPr>
            <w:r>
              <w:rPr>
                <w:spacing w:val="-4"/>
                <w:sz w:val="20"/>
              </w:rPr>
              <w:t>4905</w:t>
            </w:r>
          </w:p>
        </w:tc>
        <w:tc>
          <w:tcPr>
            <w:tcW w:w="2740" w:type="dxa"/>
          </w:tcPr>
          <w:p>
            <w:pPr>
              <w:pStyle w:val="TableParagraph"/>
              <w:spacing w:line="209" w:lineRule="exact"/>
              <w:ind w:left="158"/>
              <w:rPr>
                <w:sz w:val="20"/>
              </w:rPr>
            </w:pPr>
            <w:r>
              <w:rPr>
                <w:sz w:val="20"/>
              </w:rPr>
              <w:t>Lugbara</w:t>
            </w:r>
            <w:r>
              <w:rPr>
                <w:spacing w:val="-9"/>
                <w:sz w:val="20"/>
              </w:rPr>
              <w:t> </w:t>
            </w:r>
            <w:r>
              <w:rPr>
                <w:spacing w:val="-2"/>
                <w:sz w:val="20"/>
              </w:rPr>
              <w:t>(lgg)</w:t>
            </w:r>
          </w:p>
        </w:tc>
      </w:tr>
      <w:tr>
        <w:trPr>
          <w:trHeight w:val="229" w:hRule="atLeast"/>
        </w:trPr>
        <w:tc>
          <w:tcPr>
            <w:tcW w:w="612" w:type="dxa"/>
          </w:tcPr>
          <w:p>
            <w:pPr>
              <w:pStyle w:val="TableParagraph"/>
              <w:spacing w:line="209" w:lineRule="exact"/>
              <w:ind w:left="50"/>
              <w:rPr>
                <w:sz w:val="20"/>
              </w:rPr>
            </w:pPr>
            <w:r>
              <w:rPr>
                <w:spacing w:val="-4"/>
                <w:sz w:val="20"/>
              </w:rPr>
              <w:t>4910</w:t>
            </w:r>
          </w:p>
        </w:tc>
        <w:tc>
          <w:tcPr>
            <w:tcW w:w="2740" w:type="dxa"/>
          </w:tcPr>
          <w:p>
            <w:pPr>
              <w:pStyle w:val="TableParagraph"/>
              <w:spacing w:line="209" w:lineRule="exact"/>
              <w:ind w:left="158"/>
              <w:rPr>
                <w:sz w:val="20"/>
              </w:rPr>
            </w:pPr>
            <w:r>
              <w:rPr>
                <w:sz w:val="20"/>
              </w:rPr>
              <w:t>Moru</w:t>
            </w:r>
            <w:r>
              <w:rPr>
                <w:spacing w:val="-5"/>
                <w:sz w:val="20"/>
              </w:rPr>
              <w:t> </w:t>
            </w:r>
            <w:r>
              <w:rPr>
                <w:spacing w:val="-2"/>
                <w:sz w:val="20"/>
              </w:rPr>
              <w:t>(mgd)</w:t>
            </w:r>
          </w:p>
        </w:tc>
      </w:tr>
      <w:tr>
        <w:trPr>
          <w:trHeight w:val="230" w:hRule="atLeast"/>
        </w:trPr>
        <w:tc>
          <w:tcPr>
            <w:tcW w:w="612" w:type="dxa"/>
          </w:tcPr>
          <w:p>
            <w:pPr>
              <w:pStyle w:val="TableParagraph"/>
              <w:ind w:left="50"/>
              <w:rPr>
                <w:sz w:val="20"/>
              </w:rPr>
            </w:pPr>
            <w:r>
              <w:rPr>
                <w:spacing w:val="-4"/>
                <w:sz w:val="20"/>
              </w:rPr>
              <w:t>4915</w:t>
            </w:r>
          </w:p>
        </w:tc>
        <w:tc>
          <w:tcPr>
            <w:tcW w:w="2740" w:type="dxa"/>
          </w:tcPr>
          <w:p>
            <w:pPr>
              <w:pStyle w:val="TableParagraph"/>
              <w:ind w:left="158"/>
              <w:rPr>
                <w:sz w:val="20"/>
              </w:rPr>
            </w:pPr>
            <w:r>
              <w:rPr>
                <w:sz w:val="20"/>
              </w:rPr>
              <w:t>Ma'di</w:t>
            </w:r>
            <w:r>
              <w:rPr>
                <w:spacing w:val="-8"/>
                <w:sz w:val="20"/>
              </w:rPr>
              <w:t> </w:t>
            </w:r>
            <w:r>
              <w:rPr>
                <w:spacing w:val="-2"/>
                <w:sz w:val="20"/>
              </w:rPr>
              <w:t>(mhi)</w:t>
            </w:r>
          </w:p>
        </w:tc>
      </w:tr>
      <w:tr>
        <w:trPr>
          <w:trHeight w:val="230" w:hRule="atLeast"/>
        </w:trPr>
        <w:tc>
          <w:tcPr>
            <w:tcW w:w="612" w:type="dxa"/>
          </w:tcPr>
          <w:p>
            <w:pPr>
              <w:pStyle w:val="TableParagraph"/>
              <w:ind w:left="50"/>
              <w:rPr>
                <w:sz w:val="20"/>
              </w:rPr>
            </w:pPr>
            <w:r>
              <w:rPr>
                <w:spacing w:val="-4"/>
                <w:sz w:val="20"/>
              </w:rPr>
              <w:t>4919</w:t>
            </w:r>
          </w:p>
        </w:tc>
        <w:tc>
          <w:tcPr>
            <w:tcW w:w="2740" w:type="dxa"/>
          </w:tcPr>
          <w:p>
            <w:pPr>
              <w:pStyle w:val="TableParagraph"/>
              <w:ind w:left="158"/>
              <w:rPr>
                <w:sz w:val="20"/>
              </w:rPr>
            </w:pPr>
            <w:r>
              <w:rPr>
                <w:sz w:val="20"/>
              </w:rPr>
              <w:t>Laka</w:t>
            </w:r>
            <w:r>
              <w:rPr>
                <w:spacing w:val="-7"/>
                <w:sz w:val="20"/>
              </w:rPr>
              <w:t> </w:t>
            </w:r>
            <w:r>
              <w:rPr>
                <w:sz w:val="20"/>
              </w:rPr>
              <w:t>(Chad)</w:t>
            </w:r>
            <w:r>
              <w:rPr>
                <w:spacing w:val="-5"/>
                <w:sz w:val="20"/>
              </w:rPr>
              <w:t> </w:t>
            </w:r>
            <w:r>
              <w:rPr>
                <w:spacing w:val="-4"/>
                <w:sz w:val="20"/>
              </w:rPr>
              <w:t>(lap)</w:t>
            </w:r>
          </w:p>
        </w:tc>
      </w:tr>
      <w:tr>
        <w:trPr>
          <w:trHeight w:val="230" w:hRule="atLeast"/>
        </w:trPr>
        <w:tc>
          <w:tcPr>
            <w:tcW w:w="612" w:type="dxa"/>
          </w:tcPr>
          <w:p>
            <w:pPr>
              <w:pStyle w:val="TableParagraph"/>
              <w:ind w:left="50"/>
              <w:rPr>
                <w:sz w:val="20"/>
              </w:rPr>
            </w:pPr>
            <w:r>
              <w:rPr>
                <w:spacing w:val="-4"/>
                <w:sz w:val="20"/>
              </w:rPr>
              <w:t>4920</w:t>
            </w:r>
          </w:p>
        </w:tc>
        <w:tc>
          <w:tcPr>
            <w:tcW w:w="2740" w:type="dxa"/>
          </w:tcPr>
          <w:p>
            <w:pPr>
              <w:pStyle w:val="TableParagraph"/>
              <w:ind w:left="158"/>
              <w:rPr>
                <w:sz w:val="20"/>
              </w:rPr>
            </w:pPr>
            <w:r>
              <w:rPr>
                <w:sz w:val="20"/>
              </w:rPr>
              <w:t>Ngambay</w:t>
            </w:r>
            <w:r>
              <w:rPr>
                <w:spacing w:val="-9"/>
                <w:sz w:val="20"/>
              </w:rPr>
              <w:t> </w:t>
            </w:r>
            <w:r>
              <w:rPr>
                <w:spacing w:val="-2"/>
                <w:sz w:val="20"/>
              </w:rPr>
              <w:t>(sba)</w:t>
            </w:r>
          </w:p>
        </w:tc>
      </w:tr>
      <w:tr>
        <w:trPr>
          <w:trHeight w:val="230" w:hRule="atLeast"/>
        </w:trPr>
        <w:tc>
          <w:tcPr>
            <w:tcW w:w="612" w:type="dxa"/>
          </w:tcPr>
          <w:p>
            <w:pPr>
              <w:pStyle w:val="TableParagraph"/>
              <w:ind w:left="50"/>
              <w:rPr>
                <w:sz w:val="20"/>
              </w:rPr>
            </w:pPr>
            <w:r>
              <w:rPr>
                <w:spacing w:val="-4"/>
                <w:sz w:val="20"/>
              </w:rPr>
              <w:t>4925</w:t>
            </w:r>
          </w:p>
        </w:tc>
        <w:tc>
          <w:tcPr>
            <w:tcW w:w="2740" w:type="dxa"/>
          </w:tcPr>
          <w:p>
            <w:pPr>
              <w:pStyle w:val="TableParagraph"/>
              <w:ind w:left="158"/>
              <w:rPr>
                <w:sz w:val="20"/>
              </w:rPr>
            </w:pPr>
            <w:r>
              <w:rPr>
                <w:sz w:val="20"/>
              </w:rPr>
              <w:t>Sar</w:t>
            </w:r>
            <w:r>
              <w:rPr>
                <w:spacing w:val="-3"/>
                <w:sz w:val="20"/>
              </w:rPr>
              <w:t> </w:t>
            </w:r>
            <w:r>
              <w:rPr>
                <w:spacing w:val="-2"/>
                <w:sz w:val="20"/>
              </w:rPr>
              <w:t>(mwm)</w:t>
            </w:r>
          </w:p>
        </w:tc>
      </w:tr>
      <w:tr>
        <w:trPr>
          <w:trHeight w:val="229" w:hRule="atLeast"/>
        </w:trPr>
        <w:tc>
          <w:tcPr>
            <w:tcW w:w="612" w:type="dxa"/>
          </w:tcPr>
          <w:p>
            <w:pPr>
              <w:pStyle w:val="TableParagraph"/>
              <w:spacing w:line="209" w:lineRule="exact"/>
              <w:ind w:left="50"/>
              <w:rPr>
                <w:sz w:val="20"/>
              </w:rPr>
            </w:pPr>
            <w:r>
              <w:rPr>
                <w:spacing w:val="-4"/>
                <w:sz w:val="20"/>
              </w:rPr>
              <w:t>4930</w:t>
            </w:r>
          </w:p>
        </w:tc>
        <w:tc>
          <w:tcPr>
            <w:tcW w:w="2740" w:type="dxa"/>
          </w:tcPr>
          <w:p>
            <w:pPr>
              <w:pStyle w:val="TableParagraph"/>
              <w:spacing w:line="209" w:lineRule="exact"/>
              <w:ind w:left="158"/>
              <w:rPr>
                <w:sz w:val="20"/>
              </w:rPr>
            </w:pPr>
            <w:r>
              <w:rPr>
                <w:sz w:val="20"/>
              </w:rPr>
              <w:t>Sara</w:t>
            </w:r>
            <w:r>
              <w:rPr>
                <w:spacing w:val="-4"/>
                <w:sz w:val="20"/>
              </w:rPr>
              <w:t> </w:t>
            </w:r>
            <w:r>
              <w:rPr>
                <w:sz w:val="20"/>
              </w:rPr>
              <w:t>Kaba</w:t>
            </w:r>
            <w:r>
              <w:rPr>
                <w:spacing w:val="-3"/>
                <w:sz w:val="20"/>
              </w:rPr>
              <w:t> </w:t>
            </w:r>
            <w:r>
              <w:rPr>
                <w:sz w:val="20"/>
              </w:rPr>
              <w:t>Náà</w:t>
            </w:r>
            <w:r>
              <w:rPr>
                <w:spacing w:val="-3"/>
                <w:sz w:val="20"/>
              </w:rPr>
              <w:t> </w:t>
            </w:r>
            <w:r>
              <w:rPr>
                <w:spacing w:val="-4"/>
                <w:sz w:val="20"/>
              </w:rPr>
              <w:t>(kwv)</w:t>
            </w:r>
          </w:p>
        </w:tc>
      </w:tr>
      <w:tr>
        <w:trPr>
          <w:trHeight w:val="229" w:hRule="atLeast"/>
        </w:trPr>
        <w:tc>
          <w:tcPr>
            <w:tcW w:w="612" w:type="dxa"/>
          </w:tcPr>
          <w:p>
            <w:pPr>
              <w:pStyle w:val="TableParagraph"/>
              <w:spacing w:line="209" w:lineRule="exact"/>
              <w:ind w:left="50"/>
              <w:rPr>
                <w:sz w:val="20"/>
              </w:rPr>
            </w:pPr>
            <w:r>
              <w:rPr>
                <w:spacing w:val="-4"/>
                <w:sz w:val="20"/>
              </w:rPr>
              <w:t>4935</w:t>
            </w:r>
          </w:p>
        </w:tc>
        <w:tc>
          <w:tcPr>
            <w:tcW w:w="2740" w:type="dxa"/>
          </w:tcPr>
          <w:p>
            <w:pPr>
              <w:pStyle w:val="TableParagraph"/>
              <w:spacing w:line="209" w:lineRule="exact"/>
              <w:ind w:left="158"/>
              <w:rPr>
                <w:sz w:val="20"/>
              </w:rPr>
            </w:pPr>
            <w:r>
              <w:rPr>
                <w:sz w:val="20"/>
              </w:rPr>
              <w:t>Ama</w:t>
            </w:r>
            <w:r>
              <w:rPr>
                <w:spacing w:val="-7"/>
                <w:sz w:val="20"/>
              </w:rPr>
              <w:t> </w:t>
            </w:r>
            <w:r>
              <w:rPr>
                <w:sz w:val="20"/>
              </w:rPr>
              <w:t>(Sudan)</w:t>
            </w:r>
            <w:r>
              <w:rPr>
                <w:spacing w:val="-7"/>
                <w:sz w:val="20"/>
              </w:rPr>
              <w:t> </w:t>
            </w:r>
            <w:r>
              <w:rPr>
                <w:spacing w:val="-2"/>
                <w:sz w:val="20"/>
              </w:rPr>
              <w:t>(nyi)</w:t>
            </w:r>
          </w:p>
        </w:tc>
      </w:tr>
      <w:tr>
        <w:trPr>
          <w:trHeight w:val="230" w:hRule="atLeast"/>
        </w:trPr>
        <w:tc>
          <w:tcPr>
            <w:tcW w:w="612" w:type="dxa"/>
          </w:tcPr>
          <w:p>
            <w:pPr>
              <w:pStyle w:val="TableParagraph"/>
              <w:spacing w:line="211" w:lineRule="exact"/>
              <w:ind w:left="50"/>
              <w:rPr>
                <w:sz w:val="20"/>
              </w:rPr>
            </w:pPr>
            <w:r>
              <w:rPr>
                <w:spacing w:val="-4"/>
                <w:sz w:val="20"/>
              </w:rPr>
              <w:t>4940</w:t>
            </w:r>
          </w:p>
        </w:tc>
        <w:tc>
          <w:tcPr>
            <w:tcW w:w="2740" w:type="dxa"/>
          </w:tcPr>
          <w:p>
            <w:pPr>
              <w:pStyle w:val="TableParagraph"/>
              <w:spacing w:line="211" w:lineRule="exact"/>
              <w:ind w:left="158"/>
              <w:rPr>
                <w:sz w:val="20"/>
              </w:rPr>
            </w:pPr>
            <w:r>
              <w:rPr>
                <w:sz w:val="20"/>
              </w:rPr>
              <w:t>Didinga</w:t>
            </w:r>
            <w:r>
              <w:rPr>
                <w:spacing w:val="-8"/>
                <w:sz w:val="20"/>
              </w:rPr>
              <w:t> </w:t>
            </w:r>
            <w:r>
              <w:rPr>
                <w:spacing w:val="-2"/>
                <w:sz w:val="20"/>
              </w:rPr>
              <w:t>(did)</w:t>
            </w:r>
          </w:p>
        </w:tc>
      </w:tr>
      <w:tr>
        <w:trPr>
          <w:trHeight w:val="230" w:hRule="atLeast"/>
        </w:trPr>
        <w:tc>
          <w:tcPr>
            <w:tcW w:w="612" w:type="dxa"/>
          </w:tcPr>
          <w:p>
            <w:pPr>
              <w:pStyle w:val="TableParagraph"/>
              <w:spacing w:line="211" w:lineRule="exact"/>
              <w:ind w:left="50"/>
              <w:rPr>
                <w:sz w:val="20"/>
              </w:rPr>
            </w:pPr>
            <w:r>
              <w:rPr>
                <w:spacing w:val="-4"/>
                <w:sz w:val="20"/>
              </w:rPr>
              <w:t>4950</w:t>
            </w:r>
          </w:p>
        </w:tc>
        <w:tc>
          <w:tcPr>
            <w:tcW w:w="2740" w:type="dxa"/>
          </w:tcPr>
          <w:p>
            <w:pPr>
              <w:pStyle w:val="TableParagraph"/>
              <w:spacing w:line="211" w:lineRule="exact"/>
              <w:ind w:left="158"/>
              <w:rPr>
                <w:sz w:val="20"/>
              </w:rPr>
            </w:pPr>
            <w:r>
              <w:rPr>
                <w:sz w:val="20"/>
              </w:rPr>
              <w:t>Kalenjin</w:t>
            </w:r>
            <w:r>
              <w:rPr>
                <w:spacing w:val="-12"/>
                <w:sz w:val="20"/>
              </w:rPr>
              <w:t> </w:t>
            </w:r>
            <w:r>
              <w:rPr>
                <w:sz w:val="20"/>
              </w:rPr>
              <w:t>(macrolanguage)</w:t>
            </w:r>
            <w:r>
              <w:rPr>
                <w:spacing w:val="-9"/>
                <w:sz w:val="20"/>
              </w:rPr>
              <w:t> </w:t>
            </w:r>
            <w:r>
              <w:rPr>
                <w:spacing w:val="-4"/>
                <w:sz w:val="20"/>
              </w:rPr>
              <w:t>(kln)</w:t>
            </w:r>
          </w:p>
        </w:tc>
      </w:tr>
      <w:tr>
        <w:trPr>
          <w:trHeight w:val="230" w:hRule="atLeast"/>
        </w:trPr>
        <w:tc>
          <w:tcPr>
            <w:tcW w:w="612" w:type="dxa"/>
          </w:tcPr>
          <w:p>
            <w:pPr>
              <w:pStyle w:val="TableParagraph"/>
              <w:ind w:left="50"/>
              <w:rPr>
                <w:sz w:val="20"/>
              </w:rPr>
            </w:pPr>
            <w:r>
              <w:rPr>
                <w:spacing w:val="-4"/>
                <w:sz w:val="20"/>
              </w:rPr>
              <w:t>4953</w:t>
            </w:r>
          </w:p>
        </w:tc>
        <w:tc>
          <w:tcPr>
            <w:tcW w:w="2740" w:type="dxa"/>
          </w:tcPr>
          <w:p>
            <w:pPr>
              <w:pStyle w:val="TableParagraph"/>
              <w:ind w:left="158"/>
              <w:rPr>
                <w:sz w:val="20"/>
              </w:rPr>
            </w:pPr>
            <w:r>
              <w:rPr>
                <w:sz w:val="20"/>
              </w:rPr>
              <w:t>Kipsigis</w:t>
            </w:r>
            <w:r>
              <w:rPr>
                <w:spacing w:val="-8"/>
                <w:sz w:val="20"/>
              </w:rPr>
              <w:t> </w:t>
            </w:r>
            <w:r>
              <w:rPr>
                <w:spacing w:val="-2"/>
                <w:sz w:val="20"/>
              </w:rPr>
              <w:t>(sgc)</w:t>
            </w:r>
          </w:p>
        </w:tc>
      </w:tr>
      <w:tr>
        <w:trPr>
          <w:trHeight w:val="229" w:hRule="atLeast"/>
        </w:trPr>
        <w:tc>
          <w:tcPr>
            <w:tcW w:w="612" w:type="dxa"/>
          </w:tcPr>
          <w:p>
            <w:pPr>
              <w:pStyle w:val="TableParagraph"/>
              <w:spacing w:line="209" w:lineRule="exact"/>
              <w:ind w:left="50"/>
              <w:rPr>
                <w:sz w:val="20"/>
              </w:rPr>
            </w:pPr>
            <w:r>
              <w:rPr>
                <w:spacing w:val="-4"/>
                <w:sz w:val="20"/>
              </w:rPr>
              <w:t>4955</w:t>
            </w:r>
          </w:p>
        </w:tc>
        <w:tc>
          <w:tcPr>
            <w:tcW w:w="2740" w:type="dxa"/>
          </w:tcPr>
          <w:p>
            <w:pPr>
              <w:pStyle w:val="TableParagraph"/>
              <w:spacing w:line="209" w:lineRule="exact"/>
              <w:ind w:left="158"/>
              <w:rPr>
                <w:sz w:val="20"/>
              </w:rPr>
            </w:pPr>
            <w:r>
              <w:rPr>
                <w:sz w:val="20"/>
              </w:rPr>
              <w:t>Nandi</w:t>
            </w:r>
            <w:r>
              <w:rPr>
                <w:spacing w:val="-6"/>
                <w:sz w:val="20"/>
              </w:rPr>
              <w:t> </w:t>
            </w:r>
            <w:r>
              <w:rPr>
                <w:spacing w:val="-2"/>
                <w:sz w:val="20"/>
              </w:rPr>
              <w:t>(niq)</w:t>
            </w:r>
          </w:p>
        </w:tc>
      </w:tr>
      <w:tr>
        <w:trPr>
          <w:trHeight w:val="229" w:hRule="atLeast"/>
        </w:trPr>
        <w:tc>
          <w:tcPr>
            <w:tcW w:w="612" w:type="dxa"/>
          </w:tcPr>
          <w:p>
            <w:pPr>
              <w:pStyle w:val="TableParagraph"/>
              <w:spacing w:line="209" w:lineRule="exact"/>
              <w:ind w:left="50"/>
              <w:rPr>
                <w:sz w:val="20"/>
              </w:rPr>
            </w:pPr>
            <w:r>
              <w:rPr>
                <w:spacing w:val="-4"/>
                <w:sz w:val="20"/>
              </w:rPr>
              <w:t>4960</w:t>
            </w:r>
          </w:p>
        </w:tc>
        <w:tc>
          <w:tcPr>
            <w:tcW w:w="2740" w:type="dxa"/>
          </w:tcPr>
          <w:p>
            <w:pPr>
              <w:pStyle w:val="TableParagraph"/>
              <w:spacing w:line="209" w:lineRule="exact"/>
              <w:ind w:left="158"/>
              <w:rPr>
                <w:sz w:val="20"/>
              </w:rPr>
            </w:pPr>
            <w:r>
              <w:rPr>
                <w:sz w:val="20"/>
              </w:rPr>
              <w:t>Pökoot</w:t>
            </w:r>
            <w:r>
              <w:rPr>
                <w:spacing w:val="-5"/>
                <w:sz w:val="20"/>
              </w:rPr>
              <w:t> </w:t>
            </w:r>
            <w:r>
              <w:rPr>
                <w:spacing w:val="-2"/>
                <w:sz w:val="20"/>
              </w:rPr>
              <w:t>(pko)</w:t>
            </w:r>
          </w:p>
        </w:tc>
      </w:tr>
      <w:tr>
        <w:trPr>
          <w:trHeight w:val="230" w:hRule="atLeast"/>
        </w:trPr>
        <w:tc>
          <w:tcPr>
            <w:tcW w:w="612" w:type="dxa"/>
          </w:tcPr>
          <w:p>
            <w:pPr>
              <w:pStyle w:val="TableParagraph"/>
              <w:ind w:left="50"/>
              <w:rPr>
                <w:sz w:val="20"/>
              </w:rPr>
            </w:pPr>
            <w:r>
              <w:rPr>
                <w:spacing w:val="-4"/>
                <w:sz w:val="20"/>
              </w:rPr>
              <w:t>4965</w:t>
            </w:r>
          </w:p>
        </w:tc>
        <w:tc>
          <w:tcPr>
            <w:tcW w:w="2740" w:type="dxa"/>
          </w:tcPr>
          <w:p>
            <w:pPr>
              <w:pStyle w:val="TableParagraph"/>
              <w:ind w:left="158"/>
              <w:rPr>
                <w:sz w:val="20"/>
              </w:rPr>
            </w:pPr>
            <w:r>
              <w:rPr>
                <w:sz w:val="20"/>
              </w:rPr>
              <w:t>Dinka</w:t>
            </w:r>
            <w:r>
              <w:rPr>
                <w:spacing w:val="-11"/>
                <w:sz w:val="20"/>
              </w:rPr>
              <w:t> </w:t>
            </w:r>
            <w:r>
              <w:rPr>
                <w:sz w:val="20"/>
              </w:rPr>
              <w:t>(macrolanguage)</w:t>
            </w:r>
            <w:r>
              <w:rPr>
                <w:spacing w:val="-8"/>
                <w:sz w:val="20"/>
              </w:rPr>
              <w:t> </w:t>
            </w:r>
            <w:r>
              <w:rPr>
                <w:spacing w:val="-4"/>
                <w:sz w:val="20"/>
              </w:rPr>
              <w:t>(din)</w:t>
            </w:r>
          </w:p>
        </w:tc>
      </w:tr>
      <w:tr>
        <w:trPr>
          <w:trHeight w:val="230" w:hRule="atLeast"/>
        </w:trPr>
        <w:tc>
          <w:tcPr>
            <w:tcW w:w="612" w:type="dxa"/>
          </w:tcPr>
          <w:p>
            <w:pPr>
              <w:pStyle w:val="TableParagraph"/>
              <w:ind w:left="50"/>
              <w:rPr>
                <w:sz w:val="20"/>
              </w:rPr>
            </w:pPr>
            <w:r>
              <w:rPr>
                <w:spacing w:val="-4"/>
                <w:sz w:val="20"/>
              </w:rPr>
              <w:t>4967</w:t>
            </w:r>
          </w:p>
        </w:tc>
        <w:tc>
          <w:tcPr>
            <w:tcW w:w="2740" w:type="dxa"/>
          </w:tcPr>
          <w:p>
            <w:pPr>
              <w:pStyle w:val="TableParagraph"/>
              <w:ind w:left="158"/>
              <w:rPr>
                <w:sz w:val="20"/>
              </w:rPr>
            </w:pPr>
            <w:r>
              <w:rPr>
                <w:sz w:val="20"/>
              </w:rPr>
              <w:t>Southwestern</w:t>
            </w:r>
            <w:r>
              <w:rPr>
                <w:spacing w:val="-10"/>
                <w:sz w:val="20"/>
              </w:rPr>
              <w:t> </w:t>
            </w:r>
            <w:r>
              <w:rPr>
                <w:sz w:val="20"/>
              </w:rPr>
              <w:t>Dinka</w:t>
            </w:r>
            <w:r>
              <w:rPr>
                <w:spacing w:val="-8"/>
                <w:sz w:val="20"/>
              </w:rPr>
              <w:t> </w:t>
            </w:r>
            <w:r>
              <w:rPr>
                <w:spacing w:val="-4"/>
                <w:sz w:val="20"/>
              </w:rPr>
              <w:t>(dik)</w:t>
            </w:r>
          </w:p>
        </w:tc>
      </w:tr>
      <w:tr>
        <w:trPr>
          <w:trHeight w:val="230" w:hRule="atLeast"/>
        </w:trPr>
        <w:tc>
          <w:tcPr>
            <w:tcW w:w="612" w:type="dxa"/>
          </w:tcPr>
          <w:p>
            <w:pPr>
              <w:pStyle w:val="TableParagraph"/>
              <w:ind w:left="50"/>
              <w:rPr>
                <w:sz w:val="20"/>
              </w:rPr>
            </w:pPr>
            <w:r>
              <w:rPr>
                <w:spacing w:val="-4"/>
                <w:sz w:val="20"/>
              </w:rPr>
              <w:t>4970</w:t>
            </w:r>
          </w:p>
        </w:tc>
        <w:tc>
          <w:tcPr>
            <w:tcW w:w="2740" w:type="dxa"/>
          </w:tcPr>
          <w:p>
            <w:pPr>
              <w:pStyle w:val="TableParagraph"/>
              <w:ind w:left="158"/>
              <w:rPr>
                <w:sz w:val="20"/>
              </w:rPr>
            </w:pPr>
            <w:r>
              <w:rPr>
                <w:sz w:val="20"/>
              </w:rPr>
              <w:t>Nuer</w:t>
            </w:r>
            <w:r>
              <w:rPr>
                <w:spacing w:val="-4"/>
                <w:sz w:val="20"/>
              </w:rPr>
              <w:t> </w:t>
            </w:r>
            <w:r>
              <w:rPr>
                <w:spacing w:val="-2"/>
                <w:sz w:val="20"/>
              </w:rPr>
              <w:t>(nus)</w:t>
            </w:r>
          </w:p>
        </w:tc>
      </w:tr>
      <w:tr>
        <w:trPr>
          <w:trHeight w:val="230" w:hRule="atLeast"/>
        </w:trPr>
        <w:tc>
          <w:tcPr>
            <w:tcW w:w="612" w:type="dxa"/>
          </w:tcPr>
          <w:p>
            <w:pPr>
              <w:pStyle w:val="TableParagraph"/>
              <w:ind w:left="50"/>
              <w:rPr>
                <w:sz w:val="20"/>
              </w:rPr>
            </w:pPr>
            <w:r>
              <w:rPr>
                <w:spacing w:val="-4"/>
                <w:sz w:val="20"/>
              </w:rPr>
              <w:t>4975</w:t>
            </w:r>
          </w:p>
        </w:tc>
        <w:tc>
          <w:tcPr>
            <w:tcW w:w="2740" w:type="dxa"/>
          </w:tcPr>
          <w:p>
            <w:pPr>
              <w:pStyle w:val="TableParagraph"/>
              <w:ind w:left="158"/>
              <w:rPr>
                <w:sz w:val="20"/>
              </w:rPr>
            </w:pPr>
            <w:r>
              <w:rPr>
                <w:sz w:val="20"/>
              </w:rPr>
              <w:t>Adhola</w:t>
            </w:r>
            <w:r>
              <w:rPr>
                <w:spacing w:val="-7"/>
                <w:sz w:val="20"/>
              </w:rPr>
              <w:t> </w:t>
            </w:r>
            <w:r>
              <w:rPr>
                <w:spacing w:val="-2"/>
                <w:sz w:val="20"/>
              </w:rPr>
              <w:t>(adh)</w:t>
            </w:r>
          </w:p>
        </w:tc>
      </w:tr>
      <w:tr>
        <w:trPr>
          <w:trHeight w:val="229" w:hRule="atLeast"/>
        </w:trPr>
        <w:tc>
          <w:tcPr>
            <w:tcW w:w="612" w:type="dxa"/>
          </w:tcPr>
          <w:p>
            <w:pPr>
              <w:pStyle w:val="TableParagraph"/>
              <w:spacing w:line="209" w:lineRule="exact"/>
              <w:ind w:left="50"/>
              <w:rPr>
                <w:sz w:val="20"/>
              </w:rPr>
            </w:pPr>
            <w:r>
              <w:rPr>
                <w:spacing w:val="-4"/>
                <w:sz w:val="20"/>
              </w:rPr>
              <w:t>4978</w:t>
            </w:r>
          </w:p>
        </w:tc>
        <w:tc>
          <w:tcPr>
            <w:tcW w:w="2740" w:type="dxa"/>
          </w:tcPr>
          <w:p>
            <w:pPr>
              <w:pStyle w:val="TableParagraph"/>
              <w:spacing w:line="209" w:lineRule="exact"/>
              <w:ind w:left="158"/>
              <w:rPr>
                <w:sz w:val="20"/>
              </w:rPr>
            </w:pPr>
            <w:r>
              <w:rPr>
                <w:sz w:val="20"/>
              </w:rPr>
              <w:t>Acoli</w:t>
            </w:r>
            <w:r>
              <w:rPr>
                <w:spacing w:val="-8"/>
                <w:sz w:val="20"/>
              </w:rPr>
              <w:t> </w:t>
            </w:r>
            <w:r>
              <w:rPr>
                <w:spacing w:val="-2"/>
                <w:sz w:val="20"/>
              </w:rPr>
              <w:t>(ach)</w:t>
            </w:r>
          </w:p>
        </w:tc>
      </w:tr>
      <w:tr>
        <w:trPr>
          <w:trHeight w:val="229" w:hRule="atLeast"/>
        </w:trPr>
        <w:tc>
          <w:tcPr>
            <w:tcW w:w="612" w:type="dxa"/>
          </w:tcPr>
          <w:p>
            <w:pPr>
              <w:pStyle w:val="TableParagraph"/>
              <w:spacing w:line="209" w:lineRule="exact"/>
              <w:ind w:left="50"/>
              <w:rPr>
                <w:sz w:val="20"/>
              </w:rPr>
            </w:pPr>
            <w:r>
              <w:rPr>
                <w:spacing w:val="-4"/>
                <w:sz w:val="20"/>
              </w:rPr>
              <w:t>4980</w:t>
            </w:r>
          </w:p>
        </w:tc>
        <w:tc>
          <w:tcPr>
            <w:tcW w:w="2740" w:type="dxa"/>
          </w:tcPr>
          <w:p>
            <w:pPr>
              <w:pStyle w:val="TableParagraph"/>
              <w:spacing w:line="209" w:lineRule="exact"/>
              <w:ind w:left="158"/>
              <w:rPr>
                <w:sz w:val="20"/>
              </w:rPr>
            </w:pPr>
            <w:r>
              <w:rPr>
                <w:sz w:val="20"/>
              </w:rPr>
              <w:t>Lango</w:t>
            </w:r>
            <w:r>
              <w:rPr>
                <w:spacing w:val="-8"/>
                <w:sz w:val="20"/>
              </w:rPr>
              <w:t> </w:t>
            </w:r>
            <w:r>
              <w:rPr>
                <w:sz w:val="20"/>
              </w:rPr>
              <w:t>(Uganda)</w:t>
            </w:r>
            <w:r>
              <w:rPr>
                <w:spacing w:val="-7"/>
                <w:sz w:val="20"/>
              </w:rPr>
              <w:t> </w:t>
            </w:r>
            <w:r>
              <w:rPr>
                <w:spacing w:val="-4"/>
                <w:sz w:val="20"/>
              </w:rPr>
              <w:t>(laj)</w:t>
            </w:r>
          </w:p>
        </w:tc>
      </w:tr>
      <w:tr>
        <w:trPr>
          <w:trHeight w:val="225" w:hRule="atLeast"/>
        </w:trPr>
        <w:tc>
          <w:tcPr>
            <w:tcW w:w="612" w:type="dxa"/>
          </w:tcPr>
          <w:p>
            <w:pPr>
              <w:pStyle w:val="TableParagraph"/>
              <w:spacing w:line="205" w:lineRule="exact"/>
              <w:ind w:left="50"/>
              <w:rPr>
                <w:sz w:val="20"/>
              </w:rPr>
            </w:pPr>
            <w:r>
              <w:rPr>
                <w:spacing w:val="-4"/>
                <w:sz w:val="20"/>
              </w:rPr>
              <w:t>4985</w:t>
            </w:r>
          </w:p>
        </w:tc>
        <w:tc>
          <w:tcPr>
            <w:tcW w:w="2740" w:type="dxa"/>
          </w:tcPr>
          <w:p>
            <w:pPr>
              <w:pStyle w:val="TableParagraph"/>
              <w:spacing w:line="205" w:lineRule="exact"/>
              <w:ind w:left="158"/>
              <w:rPr>
                <w:sz w:val="20"/>
              </w:rPr>
            </w:pPr>
            <w:r>
              <w:rPr>
                <w:sz w:val="20"/>
              </w:rPr>
              <w:t>Alur</w:t>
            </w:r>
            <w:r>
              <w:rPr>
                <w:spacing w:val="-7"/>
                <w:sz w:val="20"/>
              </w:rPr>
              <w:t> </w:t>
            </w:r>
            <w:r>
              <w:rPr>
                <w:spacing w:val="-2"/>
                <w:sz w:val="20"/>
              </w:rPr>
              <w:t>(alz)</w:t>
            </w:r>
          </w:p>
        </w:tc>
      </w:tr>
    </w:tbl>
    <w:p>
      <w:pPr>
        <w:spacing w:after="0" w:line="205" w:lineRule="exact"/>
        <w:rPr>
          <w:sz w:val="20"/>
        </w:rPr>
        <w:sectPr>
          <w:type w:val="continuous"/>
          <w:pgSz w:w="12240" w:h="15840"/>
          <w:pgMar w:header="0" w:footer="0" w:top="1820" w:bottom="280" w:left="600" w:right="500"/>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901"/>
        <w:gridCol w:w="1428"/>
        <w:gridCol w:w="2638"/>
      </w:tblGrid>
      <w:tr>
        <w:trPr>
          <w:trHeight w:val="225" w:hRule="atLeast"/>
        </w:trPr>
        <w:tc>
          <w:tcPr>
            <w:tcW w:w="612" w:type="dxa"/>
          </w:tcPr>
          <w:p>
            <w:pPr>
              <w:pStyle w:val="TableParagraph"/>
              <w:spacing w:line="205" w:lineRule="exact"/>
              <w:ind w:left="50"/>
              <w:rPr>
                <w:sz w:val="20"/>
              </w:rPr>
            </w:pPr>
            <w:r>
              <w:rPr>
                <w:spacing w:val="-4"/>
                <w:sz w:val="20"/>
              </w:rPr>
              <w:t>4990</w:t>
            </w:r>
          </w:p>
        </w:tc>
        <w:tc>
          <w:tcPr>
            <w:tcW w:w="3901" w:type="dxa"/>
          </w:tcPr>
          <w:p>
            <w:pPr>
              <w:pStyle w:val="TableParagraph"/>
              <w:spacing w:line="205" w:lineRule="exact"/>
              <w:ind w:left="158"/>
              <w:rPr>
                <w:sz w:val="20"/>
              </w:rPr>
            </w:pPr>
            <w:r>
              <w:rPr>
                <w:sz w:val="20"/>
              </w:rPr>
              <w:t>Luo</w:t>
            </w:r>
            <w:r>
              <w:rPr>
                <w:spacing w:val="-6"/>
                <w:sz w:val="20"/>
              </w:rPr>
              <w:t> </w:t>
            </w:r>
            <w:r>
              <w:rPr>
                <w:sz w:val="20"/>
              </w:rPr>
              <w:t>(Kenya</w:t>
            </w:r>
            <w:r>
              <w:rPr>
                <w:spacing w:val="-6"/>
                <w:sz w:val="20"/>
              </w:rPr>
              <w:t> </w:t>
            </w:r>
            <w:r>
              <w:rPr>
                <w:sz w:val="20"/>
              </w:rPr>
              <w:t>and</w:t>
            </w:r>
            <w:r>
              <w:rPr>
                <w:spacing w:val="-6"/>
                <w:sz w:val="20"/>
              </w:rPr>
              <w:t> </w:t>
            </w:r>
            <w:r>
              <w:rPr>
                <w:sz w:val="20"/>
              </w:rPr>
              <w:t>Tanzania)</w:t>
            </w:r>
            <w:r>
              <w:rPr>
                <w:spacing w:val="-5"/>
                <w:sz w:val="20"/>
              </w:rPr>
              <w:t> </w:t>
            </w:r>
            <w:r>
              <w:rPr>
                <w:spacing w:val="-4"/>
                <w:sz w:val="20"/>
              </w:rPr>
              <w:t>(luo)</w:t>
            </w:r>
          </w:p>
        </w:tc>
        <w:tc>
          <w:tcPr>
            <w:tcW w:w="1428" w:type="dxa"/>
          </w:tcPr>
          <w:p>
            <w:pPr>
              <w:pStyle w:val="TableParagraph"/>
              <w:spacing w:line="205" w:lineRule="exact"/>
              <w:ind w:right="156"/>
              <w:jc w:val="right"/>
              <w:rPr>
                <w:sz w:val="20"/>
              </w:rPr>
            </w:pPr>
            <w:r>
              <w:rPr>
                <w:spacing w:val="-4"/>
                <w:sz w:val="20"/>
              </w:rPr>
              <w:t>5235</w:t>
            </w:r>
          </w:p>
        </w:tc>
        <w:tc>
          <w:tcPr>
            <w:tcW w:w="2638" w:type="dxa"/>
          </w:tcPr>
          <w:p>
            <w:pPr>
              <w:pStyle w:val="TableParagraph"/>
              <w:spacing w:line="205" w:lineRule="exact"/>
              <w:ind w:left="158"/>
              <w:rPr>
                <w:sz w:val="20"/>
              </w:rPr>
            </w:pPr>
            <w:r>
              <w:rPr>
                <w:sz w:val="20"/>
              </w:rPr>
              <w:t>Meru</w:t>
            </w:r>
            <w:r>
              <w:rPr>
                <w:spacing w:val="-6"/>
                <w:sz w:val="20"/>
              </w:rPr>
              <w:t> </w:t>
            </w:r>
            <w:r>
              <w:rPr>
                <w:spacing w:val="-2"/>
                <w:sz w:val="20"/>
              </w:rPr>
              <w:t>(mer)</w:t>
            </w:r>
          </w:p>
        </w:tc>
      </w:tr>
      <w:tr>
        <w:trPr>
          <w:trHeight w:val="229" w:hRule="atLeast"/>
        </w:trPr>
        <w:tc>
          <w:tcPr>
            <w:tcW w:w="612" w:type="dxa"/>
          </w:tcPr>
          <w:p>
            <w:pPr>
              <w:pStyle w:val="TableParagraph"/>
              <w:spacing w:line="209" w:lineRule="exact"/>
              <w:ind w:left="50"/>
              <w:rPr>
                <w:sz w:val="20"/>
              </w:rPr>
            </w:pPr>
            <w:r>
              <w:rPr>
                <w:spacing w:val="-4"/>
                <w:sz w:val="20"/>
              </w:rPr>
              <w:t>4995</w:t>
            </w:r>
          </w:p>
        </w:tc>
        <w:tc>
          <w:tcPr>
            <w:tcW w:w="3901" w:type="dxa"/>
          </w:tcPr>
          <w:p>
            <w:pPr>
              <w:pStyle w:val="TableParagraph"/>
              <w:spacing w:line="209" w:lineRule="exact"/>
              <w:ind w:left="158"/>
              <w:rPr>
                <w:sz w:val="20"/>
              </w:rPr>
            </w:pPr>
            <w:r>
              <w:rPr>
                <w:sz w:val="20"/>
              </w:rPr>
              <w:t>Anuak</w:t>
            </w:r>
            <w:r>
              <w:rPr>
                <w:spacing w:val="-8"/>
                <w:sz w:val="20"/>
              </w:rPr>
              <w:t> </w:t>
            </w:r>
            <w:r>
              <w:rPr>
                <w:spacing w:val="-2"/>
                <w:sz w:val="20"/>
              </w:rPr>
              <w:t>(anu)</w:t>
            </w:r>
          </w:p>
        </w:tc>
        <w:tc>
          <w:tcPr>
            <w:tcW w:w="1428" w:type="dxa"/>
          </w:tcPr>
          <w:p>
            <w:pPr>
              <w:pStyle w:val="TableParagraph"/>
              <w:spacing w:line="209" w:lineRule="exact"/>
              <w:ind w:right="156"/>
              <w:jc w:val="right"/>
              <w:rPr>
                <w:sz w:val="20"/>
              </w:rPr>
            </w:pPr>
            <w:r>
              <w:rPr>
                <w:spacing w:val="-4"/>
                <w:sz w:val="20"/>
              </w:rPr>
              <w:t>5240</w:t>
            </w:r>
          </w:p>
        </w:tc>
        <w:tc>
          <w:tcPr>
            <w:tcW w:w="2638" w:type="dxa"/>
          </w:tcPr>
          <w:p>
            <w:pPr>
              <w:pStyle w:val="TableParagraph"/>
              <w:spacing w:line="209" w:lineRule="exact"/>
              <w:ind w:left="158"/>
              <w:rPr>
                <w:sz w:val="20"/>
              </w:rPr>
            </w:pPr>
            <w:r>
              <w:rPr>
                <w:sz w:val="20"/>
              </w:rPr>
              <w:t>Embu</w:t>
            </w:r>
            <w:r>
              <w:rPr>
                <w:spacing w:val="-7"/>
                <w:sz w:val="20"/>
              </w:rPr>
              <w:t> </w:t>
            </w:r>
            <w:r>
              <w:rPr>
                <w:spacing w:val="-2"/>
                <w:sz w:val="20"/>
              </w:rPr>
              <w:t>(ebu)</w:t>
            </w:r>
          </w:p>
        </w:tc>
      </w:tr>
      <w:tr>
        <w:trPr>
          <w:trHeight w:val="229" w:hRule="atLeast"/>
        </w:trPr>
        <w:tc>
          <w:tcPr>
            <w:tcW w:w="612" w:type="dxa"/>
          </w:tcPr>
          <w:p>
            <w:pPr>
              <w:pStyle w:val="TableParagraph"/>
              <w:spacing w:line="209" w:lineRule="exact"/>
              <w:ind w:left="50"/>
              <w:rPr>
                <w:sz w:val="20"/>
              </w:rPr>
            </w:pPr>
            <w:r>
              <w:rPr>
                <w:spacing w:val="-4"/>
                <w:sz w:val="20"/>
              </w:rPr>
              <w:t>5000</w:t>
            </w:r>
          </w:p>
        </w:tc>
        <w:tc>
          <w:tcPr>
            <w:tcW w:w="3901" w:type="dxa"/>
          </w:tcPr>
          <w:p>
            <w:pPr>
              <w:pStyle w:val="TableParagraph"/>
              <w:spacing w:line="209" w:lineRule="exact"/>
              <w:ind w:left="158"/>
              <w:rPr>
                <w:sz w:val="20"/>
              </w:rPr>
            </w:pPr>
            <w:r>
              <w:rPr>
                <w:sz w:val="20"/>
              </w:rPr>
              <w:t>Luwo</w:t>
            </w:r>
            <w:r>
              <w:rPr>
                <w:spacing w:val="-8"/>
                <w:sz w:val="20"/>
              </w:rPr>
              <w:t> </w:t>
            </w:r>
            <w:r>
              <w:rPr>
                <w:spacing w:val="-2"/>
                <w:sz w:val="20"/>
              </w:rPr>
              <w:t>(lwo)</w:t>
            </w:r>
          </w:p>
        </w:tc>
        <w:tc>
          <w:tcPr>
            <w:tcW w:w="1428" w:type="dxa"/>
          </w:tcPr>
          <w:p>
            <w:pPr>
              <w:pStyle w:val="TableParagraph"/>
              <w:spacing w:line="209" w:lineRule="exact"/>
              <w:ind w:right="156"/>
              <w:jc w:val="right"/>
              <w:rPr>
                <w:sz w:val="20"/>
              </w:rPr>
            </w:pPr>
            <w:r>
              <w:rPr>
                <w:spacing w:val="-4"/>
                <w:sz w:val="20"/>
              </w:rPr>
              <w:t>5245</w:t>
            </w:r>
          </w:p>
        </w:tc>
        <w:tc>
          <w:tcPr>
            <w:tcW w:w="2638" w:type="dxa"/>
          </w:tcPr>
          <w:p>
            <w:pPr>
              <w:pStyle w:val="TableParagraph"/>
              <w:spacing w:line="209" w:lineRule="exact"/>
              <w:ind w:left="158"/>
              <w:rPr>
                <w:sz w:val="20"/>
              </w:rPr>
            </w:pPr>
            <w:r>
              <w:rPr>
                <w:sz w:val="20"/>
              </w:rPr>
              <w:t>Kamba</w:t>
            </w:r>
            <w:r>
              <w:rPr>
                <w:spacing w:val="-8"/>
                <w:sz w:val="20"/>
              </w:rPr>
              <w:t> </w:t>
            </w:r>
            <w:r>
              <w:rPr>
                <w:sz w:val="20"/>
              </w:rPr>
              <w:t>(Kenya)</w:t>
            </w:r>
            <w:r>
              <w:rPr>
                <w:spacing w:val="-6"/>
                <w:sz w:val="20"/>
              </w:rPr>
              <w:t> </w:t>
            </w:r>
            <w:r>
              <w:rPr>
                <w:spacing w:val="-4"/>
                <w:sz w:val="20"/>
              </w:rPr>
              <w:t>(kam)</w:t>
            </w:r>
          </w:p>
        </w:tc>
      </w:tr>
      <w:tr>
        <w:trPr>
          <w:trHeight w:val="230" w:hRule="atLeast"/>
        </w:trPr>
        <w:tc>
          <w:tcPr>
            <w:tcW w:w="612" w:type="dxa"/>
          </w:tcPr>
          <w:p>
            <w:pPr>
              <w:pStyle w:val="TableParagraph"/>
              <w:ind w:left="50"/>
              <w:rPr>
                <w:sz w:val="20"/>
              </w:rPr>
            </w:pPr>
            <w:r>
              <w:rPr>
                <w:spacing w:val="-4"/>
                <w:sz w:val="20"/>
              </w:rPr>
              <w:t>5005</w:t>
            </w:r>
          </w:p>
        </w:tc>
        <w:tc>
          <w:tcPr>
            <w:tcW w:w="3901" w:type="dxa"/>
          </w:tcPr>
          <w:p>
            <w:pPr>
              <w:pStyle w:val="TableParagraph"/>
              <w:ind w:left="158"/>
              <w:rPr>
                <w:sz w:val="20"/>
              </w:rPr>
            </w:pPr>
            <w:r>
              <w:rPr>
                <w:sz w:val="20"/>
              </w:rPr>
              <w:t>Shilluk</w:t>
            </w:r>
            <w:r>
              <w:rPr>
                <w:spacing w:val="-7"/>
                <w:sz w:val="20"/>
              </w:rPr>
              <w:t> </w:t>
            </w:r>
            <w:r>
              <w:rPr>
                <w:spacing w:val="-2"/>
                <w:sz w:val="20"/>
              </w:rPr>
              <w:t>(shk)</w:t>
            </w:r>
          </w:p>
        </w:tc>
        <w:tc>
          <w:tcPr>
            <w:tcW w:w="1428" w:type="dxa"/>
          </w:tcPr>
          <w:p>
            <w:pPr>
              <w:pStyle w:val="TableParagraph"/>
              <w:ind w:right="156"/>
              <w:jc w:val="right"/>
              <w:rPr>
                <w:sz w:val="20"/>
              </w:rPr>
            </w:pPr>
            <w:r>
              <w:rPr>
                <w:spacing w:val="-4"/>
                <w:sz w:val="20"/>
              </w:rPr>
              <w:t>5248</w:t>
            </w:r>
          </w:p>
        </w:tc>
        <w:tc>
          <w:tcPr>
            <w:tcW w:w="2638" w:type="dxa"/>
          </w:tcPr>
          <w:p>
            <w:pPr>
              <w:pStyle w:val="TableParagraph"/>
              <w:ind w:left="158"/>
              <w:rPr>
                <w:sz w:val="20"/>
              </w:rPr>
            </w:pPr>
            <w:r>
              <w:rPr>
                <w:sz w:val="20"/>
              </w:rPr>
              <w:t>Giryama</w:t>
            </w:r>
            <w:r>
              <w:rPr>
                <w:spacing w:val="-9"/>
                <w:sz w:val="20"/>
              </w:rPr>
              <w:t> </w:t>
            </w:r>
            <w:r>
              <w:rPr>
                <w:spacing w:val="-2"/>
                <w:sz w:val="20"/>
              </w:rPr>
              <w:t>(nyf)</w:t>
            </w:r>
          </w:p>
        </w:tc>
      </w:tr>
      <w:tr>
        <w:trPr>
          <w:trHeight w:val="230" w:hRule="atLeast"/>
        </w:trPr>
        <w:tc>
          <w:tcPr>
            <w:tcW w:w="612" w:type="dxa"/>
          </w:tcPr>
          <w:p>
            <w:pPr>
              <w:pStyle w:val="TableParagraph"/>
              <w:ind w:left="50"/>
              <w:rPr>
                <w:sz w:val="20"/>
              </w:rPr>
            </w:pPr>
            <w:r>
              <w:rPr>
                <w:spacing w:val="-4"/>
                <w:sz w:val="20"/>
              </w:rPr>
              <w:t>5010</w:t>
            </w:r>
          </w:p>
        </w:tc>
        <w:tc>
          <w:tcPr>
            <w:tcW w:w="3901" w:type="dxa"/>
          </w:tcPr>
          <w:p>
            <w:pPr>
              <w:pStyle w:val="TableParagraph"/>
              <w:ind w:left="158"/>
              <w:rPr>
                <w:sz w:val="20"/>
              </w:rPr>
            </w:pPr>
            <w:r>
              <w:rPr>
                <w:sz w:val="20"/>
              </w:rPr>
              <w:t>Mabaan</w:t>
            </w:r>
            <w:r>
              <w:rPr>
                <w:spacing w:val="-7"/>
                <w:sz w:val="20"/>
              </w:rPr>
              <w:t> </w:t>
            </w:r>
            <w:r>
              <w:rPr>
                <w:spacing w:val="-2"/>
                <w:sz w:val="20"/>
              </w:rPr>
              <w:t>(mfz)</w:t>
            </w:r>
          </w:p>
        </w:tc>
        <w:tc>
          <w:tcPr>
            <w:tcW w:w="1428" w:type="dxa"/>
          </w:tcPr>
          <w:p>
            <w:pPr>
              <w:pStyle w:val="TableParagraph"/>
              <w:ind w:right="156"/>
              <w:jc w:val="right"/>
              <w:rPr>
                <w:sz w:val="20"/>
              </w:rPr>
            </w:pPr>
            <w:r>
              <w:rPr>
                <w:spacing w:val="-4"/>
                <w:sz w:val="20"/>
              </w:rPr>
              <w:t>5250</w:t>
            </w:r>
          </w:p>
        </w:tc>
        <w:tc>
          <w:tcPr>
            <w:tcW w:w="2638" w:type="dxa"/>
          </w:tcPr>
          <w:p>
            <w:pPr>
              <w:pStyle w:val="TableParagraph"/>
              <w:ind w:left="158"/>
              <w:rPr>
                <w:sz w:val="20"/>
              </w:rPr>
            </w:pPr>
            <w:r>
              <w:rPr>
                <w:sz w:val="20"/>
              </w:rPr>
              <w:t>Sagalla</w:t>
            </w:r>
            <w:r>
              <w:rPr>
                <w:spacing w:val="-8"/>
                <w:sz w:val="20"/>
              </w:rPr>
              <w:t> </w:t>
            </w:r>
            <w:r>
              <w:rPr>
                <w:spacing w:val="-2"/>
                <w:sz w:val="20"/>
              </w:rPr>
              <w:t>(tga)</w:t>
            </w:r>
          </w:p>
        </w:tc>
      </w:tr>
      <w:tr>
        <w:trPr>
          <w:trHeight w:val="230" w:hRule="atLeast"/>
        </w:trPr>
        <w:tc>
          <w:tcPr>
            <w:tcW w:w="612" w:type="dxa"/>
          </w:tcPr>
          <w:p>
            <w:pPr>
              <w:pStyle w:val="TableParagraph"/>
              <w:ind w:left="50"/>
              <w:rPr>
                <w:sz w:val="20"/>
              </w:rPr>
            </w:pPr>
            <w:r>
              <w:rPr>
                <w:spacing w:val="-4"/>
                <w:sz w:val="20"/>
              </w:rPr>
              <w:t>5015</w:t>
            </w:r>
          </w:p>
        </w:tc>
        <w:tc>
          <w:tcPr>
            <w:tcW w:w="3901" w:type="dxa"/>
          </w:tcPr>
          <w:p>
            <w:pPr>
              <w:pStyle w:val="TableParagraph"/>
              <w:ind w:left="158"/>
              <w:rPr>
                <w:sz w:val="20"/>
              </w:rPr>
            </w:pPr>
            <w:r>
              <w:rPr>
                <w:sz w:val="20"/>
              </w:rPr>
              <w:t>Bari</w:t>
            </w:r>
            <w:r>
              <w:rPr>
                <w:spacing w:val="-3"/>
                <w:sz w:val="20"/>
              </w:rPr>
              <w:t> </w:t>
            </w:r>
            <w:r>
              <w:rPr>
                <w:spacing w:val="-2"/>
                <w:sz w:val="20"/>
              </w:rPr>
              <w:t>(bfa)</w:t>
            </w:r>
          </w:p>
        </w:tc>
        <w:tc>
          <w:tcPr>
            <w:tcW w:w="1428" w:type="dxa"/>
          </w:tcPr>
          <w:p>
            <w:pPr>
              <w:pStyle w:val="TableParagraph"/>
              <w:ind w:right="156"/>
              <w:jc w:val="right"/>
              <w:rPr>
                <w:sz w:val="20"/>
              </w:rPr>
            </w:pPr>
            <w:r>
              <w:rPr>
                <w:spacing w:val="-4"/>
                <w:sz w:val="20"/>
              </w:rPr>
              <w:t>5255</w:t>
            </w:r>
          </w:p>
        </w:tc>
        <w:tc>
          <w:tcPr>
            <w:tcW w:w="2638" w:type="dxa"/>
          </w:tcPr>
          <w:p>
            <w:pPr>
              <w:pStyle w:val="TableParagraph"/>
              <w:ind w:left="158"/>
              <w:rPr>
                <w:sz w:val="20"/>
              </w:rPr>
            </w:pPr>
            <w:r>
              <w:rPr>
                <w:sz w:val="20"/>
              </w:rPr>
              <w:t>Sukuma</w:t>
            </w:r>
            <w:r>
              <w:rPr>
                <w:spacing w:val="-10"/>
                <w:sz w:val="20"/>
              </w:rPr>
              <w:t> </w:t>
            </w:r>
            <w:r>
              <w:rPr>
                <w:spacing w:val="-2"/>
                <w:sz w:val="20"/>
              </w:rPr>
              <w:t>(suk)</w:t>
            </w:r>
          </w:p>
        </w:tc>
      </w:tr>
      <w:tr>
        <w:trPr>
          <w:trHeight w:val="230" w:hRule="atLeast"/>
        </w:trPr>
        <w:tc>
          <w:tcPr>
            <w:tcW w:w="612" w:type="dxa"/>
          </w:tcPr>
          <w:p>
            <w:pPr>
              <w:pStyle w:val="TableParagraph"/>
              <w:ind w:left="50"/>
              <w:rPr>
                <w:sz w:val="20"/>
              </w:rPr>
            </w:pPr>
            <w:r>
              <w:rPr>
                <w:spacing w:val="-4"/>
                <w:sz w:val="20"/>
              </w:rPr>
              <w:t>5020</w:t>
            </w:r>
          </w:p>
        </w:tc>
        <w:tc>
          <w:tcPr>
            <w:tcW w:w="3901" w:type="dxa"/>
          </w:tcPr>
          <w:p>
            <w:pPr>
              <w:pStyle w:val="TableParagraph"/>
              <w:ind w:left="158"/>
              <w:rPr>
                <w:sz w:val="20"/>
              </w:rPr>
            </w:pPr>
            <w:r>
              <w:rPr>
                <w:sz w:val="20"/>
              </w:rPr>
              <w:t>Kakwa</w:t>
            </w:r>
            <w:r>
              <w:rPr>
                <w:spacing w:val="-8"/>
                <w:sz w:val="20"/>
              </w:rPr>
              <w:t> </w:t>
            </w:r>
            <w:r>
              <w:rPr>
                <w:spacing w:val="-2"/>
                <w:sz w:val="20"/>
              </w:rPr>
              <w:t>(keo)</w:t>
            </w:r>
          </w:p>
        </w:tc>
        <w:tc>
          <w:tcPr>
            <w:tcW w:w="1428" w:type="dxa"/>
          </w:tcPr>
          <w:p>
            <w:pPr>
              <w:pStyle w:val="TableParagraph"/>
              <w:ind w:right="156"/>
              <w:jc w:val="right"/>
              <w:rPr>
                <w:sz w:val="20"/>
              </w:rPr>
            </w:pPr>
            <w:r>
              <w:rPr>
                <w:spacing w:val="-4"/>
                <w:sz w:val="20"/>
              </w:rPr>
              <w:t>5260</w:t>
            </w:r>
          </w:p>
        </w:tc>
        <w:tc>
          <w:tcPr>
            <w:tcW w:w="2638" w:type="dxa"/>
          </w:tcPr>
          <w:p>
            <w:pPr>
              <w:pStyle w:val="TableParagraph"/>
              <w:ind w:left="158"/>
              <w:rPr>
                <w:sz w:val="20"/>
              </w:rPr>
            </w:pPr>
            <w:r>
              <w:rPr>
                <w:spacing w:val="-2"/>
                <w:sz w:val="20"/>
              </w:rPr>
              <w:t>Nyamwezi</w:t>
            </w:r>
            <w:r>
              <w:rPr>
                <w:spacing w:val="3"/>
                <w:sz w:val="20"/>
              </w:rPr>
              <w:t> </w:t>
            </w:r>
            <w:r>
              <w:rPr>
                <w:spacing w:val="-2"/>
                <w:sz w:val="20"/>
              </w:rPr>
              <w:t>(nym)</w:t>
            </w:r>
          </w:p>
        </w:tc>
      </w:tr>
      <w:tr>
        <w:trPr>
          <w:trHeight w:val="229" w:hRule="atLeast"/>
        </w:trPr>
        <w:tc>
          <w:tcPr>
            <w:tcW w:w="612" w:type="dxa"/>
          </w:tcPr>
          <w:p>
            <w:pPr>
              <w:pStyle w:val="TableParagraph"/>
              <w:spacing w:line="209" w:lineRule="exact"/>
              <w:ind w:left="50"/>
              <w:rPr>
                <w:sz w:val="20"/>
              </w:rPr>
            </w:pPr>
            <w:r>
              <w:rPr>
                <w:spacing w:val="-4"/>
                <w:sz w:val="20"/>
              </w:rPr>
              <w:t>5030</w:t>
            </w:r>
          </w:p>
        </w:tc>
        <w:tc>
          <w:tcPr>
            <w:tcW w:w="3901" w:type="dxa"/>
          </w:tcPr>
          <w:p>
            <w:pPr>
              <w:pStyle w:val="TableParagraph"/>
              <w:spacing w:line="209" w:lineRule="exact"/>
              <w:ind w:left="158"/>
              <w:rPr>
                <w:sz w:val="20"/>
              </w:rPr>
            </w:pPr>
            <w:r>
              <w:rPr>
                <w:sz w:val="20"/>
              </w:rPr>
              <w:t>Otuho</w:t>
            </w:r>
            <w:r>
              <w:rPr>
                <w:spacing w:val="-5"/>
                <w:sz w:val="20"/>
              </w:rPr>
              <w:t> </w:t>
            </w:r>
            <w:r>
              <w:rPr>
                <w:spacing w:val="-2"/>
                <w:sz w:val="20"/>
              </w:rPr>
              <w:t>(lot)</w:t>
            </w:r>
          </w:p>
        </w:tc>
        <w:tc>
          <w:tcPr>
            <w:tcW w:w="1428" w:type="dxa"/>
          </w:tcPr>
          <w:p>
            <w:pPr>
              <w:pStyle w:val="TableParagraph"/>
              <w:spacing w:line="209" w:lineRule="exact"/>
              <w:ind w:right="156"/>
              <w:jc w:val="right"/>
              <w:rPr>
                <w:sz w:val="20"/>
              </w:rPr>
            </w:pPr>
            <w:r>
              <w:rPr>
                <w:spacing w:val="-4"/>
                <w:sz w:val="20"/>
              </w:rPr>
              <w:t>5265</w:t>
            </w:r>
          </w:p>
        </w:tc>
        <w:tc>
          <w:tcPr>
            <w:tcW w:w="2638" w:type="dxa"/>
          </w:tcPr>
          <w:p>
            <w:pPr>
              <w:pStyle w:val="TableParagraph"/>
              <w:spacing w:line="209" w:lineRule="exact"/>
              <w:ind w:left="158"/>
              <w:rPr>
                <w:sz w:val="20"/>
              </w:rPr>
            </w:pPr>
            <w:r>
              <w:rPr>
                <w:sz w:val="20"/>
              </w:rPr>
              <w:t>Hehe</w:t>
            </w:r>
            <w:r>
              <w:rPr>
                <w:spacing w:val="-6"/>
                <w:sz w:val="20"/>
              </w:rPr>
              <w:t> </w:t>
            </w:r>
            <w:r>
              <w:rPr>
                <w:spacing w:val="-2"/>
                <w:sz w:val="20"/>
              </w:rPr>
              <w:t>(heh)</w:t>
            </w:r>
          </w:p>
        </w:tc>
      </w:tr>
      <w:tr>
        <w:trPr>
          <w:trHeight w:val="229" w:hRule="atLeast"/>
        </w:trPr>
        <w:tc>
          <w:tcPr>
            <w:tcW w:w="612" w:type="dxa"/>
          </w:tcPr>
          <w:p>
            <w:pPr>
              <w:pStyle w:val="TableParagraph"/>
              <w:spacing w:line="209" w:lineRule="exact"/>
              <w:ind w:left="50"/>
              <w:rPr>
                <w:sz w:val="20"/>
              </w:rPr>
            </w:pPr>
            <w:r>
              <w:rPr>
                <w:spacing w:val="-4"/>
                <w:sz w:val="20"/>
              </w:rPr>
              <w:t>5035</w:t>
            </w:r>
          </w:p>
        </w:tc>
        <w:tc>
          <w:tcPr>
            <w:tcW w:w="3901" w:type="dxa"/>
          </w:tcPr>
          <w:p>
            <w:pPr>
              <w:pStyle w:val="TableParagraph"/>
              <w:spacing w:line="209" w:lineRule="exact"/>
              <w:ind w:left="158"/>
              <w:rPr>
                <w:sz w:val="20"/>
              </w:rPr>
            </w:pPr>
            <w:r>
              <w:rPr>
                <w:sz w:val="20"/>
              </w:rPr>
              <w:t>Masai</w:t>
            </w:r>
            <w:r>
              <w:rPr>
                <w:spacing w:val="-6"/>
                <w:sz w:val="20"/>
              </w:rPr>
              <w:t> </w:t>
            </w:r>
            <w:r>
              <w:rPr>
                <w:spacing w:val="-2"/>
                <w:sz w:val="20"/>
              </w:rPr>
              <w:t>(mas)</w:t>
            </w:r>
          </w:p>
        </w:tc>
        <w:tc>
          <w:tcPr>
            <w:tcW w:w="1428" w:type="dxa"/>
          </w:tcPr>
          <w:p>
            <w:pPr>
              <w:pStyle w:val="TableParagraph"/>
              <w:spacing w:line="209" w:lineRule="exact"/>
              <w:ind w:right="156"/>
              <w:jc w:val="right"/>
              <w:rPr>
                <w:sz w:val="20"/>
              </w:rPr>
            </w:pPr>
            <w:r>
              <w:rPr>
                <w:spacing w:val="-4"/>
                <w:sz w:val="20"/>
              </w:rPr>
              <w:t>5270</w:t>
            </w:r>
          </w:p>
        </w:tc>
        <w:tc>
          <w:tcPr>
            <w:tcW w:w="2638" w:type="dxa"/>
          </w:tcPr>
          <w:p>
            <w:pPr>
              <w:pStyle w:val="TableParagraph"/>
              <w:spacing w:line="209" w:lineRule="exact"/>
              <w:ind w:left="158"/>
              <w:rPr>
                <w:sz w:val="20"/>
              </w:rPr>
            </w:pPr>
            <w:r>
              <w:rPr>
                <w:sz w:val="20"/>
              </w:rPr>
              <w:t>Pangwa</w:t>
            </w:r>
            <w:r>
              <w:rPr>
                <w:spacing w:val="-9"/>
                <w:sz w:val="20"/>
              </w:rPr>
              <w:t> </w:t>
            </w:r>
            <w:r>
              <w:rPr>
                <w:spacing w:val="-2"/>
                <w:sz w:val="20"/>
              </w:rPr>
              <w:t>(pbr)</w:t>
            </w:r>
          </w:p>
        </w:tc>
      </w:tr>
      <w:tr>
        <w:trPr>
          <w:trHeight w:val="230" w:hRule="atLeast"/>
        </w:trPr>
        <w:tc>
          <w:tcPr>
            <w:tcW w:w="612" w:type="dxa"/>
          </w:tcPr>
          <w:p>
            <w:pPr>
              <w:pStyle w:val="TableParagraph"/>
              <w:ind w:left="50"/>
              <w:rPr>
                <w:sz w:val="20"/>
              </w:rPr>
            </w:pPr>
            <w:r>
              <w:rPr>
                <w:spacing w:val="-4"/>
                <w:sz w:val="20"/>
              </w:rPr>
              <w:t>5040</w:t>
            </w:r>
          </w:p>
        </w:tc>
        <w:tc>
          <w:tcPr>
            <w:tcW w:w="3901" w:type="dxa"/>
          </w:tcPr>
          <w:p>
            <w:pPr>
              <w:pStyle w:val="TableParagraph"/>
              <w:ind w:left="158"/>
              <w:rPr>
                <w:sz w:val="20"/>
              </w:rPr>
            </w:pPr>
            <w:r>
              <w:rPr>
                <w:sz w:val="20"/>
              </w:rPr>
              <w:t>Teso</w:t>
            </w:r>
            <w:r>
              <w:rPr>
                <w:spacing w:val="-2"/>
                <w:sz w:val="20"/>
              </w:rPr>
              <w:t> (teo)</w:t>
            </w:r>
          </w:p>
        </w:tc>
        <w:tc>
          <w:tcPr>
            <w:tcW w:w="1428" w:type="dxa"/>
          </w:tcPr>
          <w:p>
            <w:pPr>
              <w:pStyle w:val="TableParagraph"/>
              <w:ind w:right="156"/>
              <w:jc w:val="right"/>
              <w:rPr>
                <w:sz w:val="20"/>
              </w:rPr>
            </w:pPr>
            <w:r>
              <w:rPr>
                <w:spacing w:val="-4"/>
                <w:sz w:val="20"/>
              </w:rPr>
              <w:t>5275</w:t>
            </w:r>
          </w:p>
        </w:tc>
        <w:tc>
          <w:tcPr>
            <w:tcW w:w="2638" w:type="dxa"/>
          </w:tcPr>
          <w:p>
            <w:pPr>
              <w:pStyle w:val="TableParagraph"/>
              <w:ind w:left="158"/>
              <w:rPr>
                <w:sz w:val="20"/>
              </w:rPr>
            </w:pPr>
            <w:r>
              <w:rPr>
                <w:sz w:val="20"/>
              </w:rPr>
              <w:t>Zigula</w:t>
            </w:r>
            <w:r>
              <w:rPr>
                <w:spacing w:val="-7"/>
                <w:sz w:val="20"/>
              </w:rPr>
              <w:t> </w:t>
            </w:r>
            <w:r>
              <w:rPr>
                <w:spacing w:val="-2"/>
                <w:sz w:val="20"/>
              </w:rPr>
              <w:t>(ziw)</w:t>
            </w:r>
          </w:p>
        </w:tc>
      </w:tr>
      <w:tr>
        <w:trPr>
          <w:trHeight w:val="230" w:hRule="atLeast"/>
        </w:trPr>
        <w:tc>
          <w:tcPr>
            <w:tcW w:w="612" w:type="dxa"/>
          </w:tcPr>
          <w:p>
            <w:pPr>
              <w:pStyle w:val="TableParagraph"/>
              <w:ind w:left="50"/>
              <w:rPr>
                <w:sz w:val="20"/>
              </w:rPr>
            </w:pPr>
            <w:r>
              <w:rPr>
                <w:spacing w:val="-4"/>
                <w:sz w:val="20"/>
              </w:rPr>
              <w:t>5045</w:t>
            </w:r>
          </w:p>
        </w:tc>
        <w:tc>
          <w:tcPr>
            <w:tcW w:w="3901" w:type="dxa"/>
          </w:tcPr>
          <w:p>
            <w:pPr>
              <w:pStyle w:val="TableParagraph"/>
              <w:ind w:left="158"/>
              <w:rPr>
                <w:sz w:val="20"/>
              </w:rPr>
            </w:pPr>
            <w:r>
              <w:rPr>
                <w:sz w:val="20"/>
              </w:rPr>
              <w:t>Karamojong</w:t>
            </w:r>
            <w:r>
              <w:rPr>
                <w:spacing w:val="-10"/>
                <w:sz w:val="20"/>
              </w:rPr>
              <w:t> </w:t>
            </w:r>
            <w:r>
              <w:rPr>
                <w:spacing w:val="-2"/>
                <w:sz w:val="20"/>
              </w:rPr>
              <w:t>(kdj)</w:t>
            </w:r>
          </w:p>
        </w:tc>
        <w:tc>
          <w:tcPr>
            <w:tcW w:w="1428" w:type="dxa"/>
          </w:tcPr>
          <w:p>
            <w:pPr>
              <w:pStyle w:val="TableParagraph"/>
              <w:ind w:right="156"/>
              <w:jc w:val="right"/>
              <w:rPr>
                <w:sz w:val="20"/>
              </w:rPr>
            </w:pPr>
            <w:r>
              <w:rPr>
                <w:spacing w:val="-4"/>
                <w:sz w:val="20"/>
              </w:rPr>
              <w:t>5278</w:t>
            </w:r>
          </w:p>
        </w:tc>
        <w:tc>
          <w:tcPr>
            <w:tcW w:w="2638" w:type="dxa"/>
          </w:tcPr>
          <w:p>
            <w:pPr>
              <w:pStyle w:val="TableParagraph"/>
              <w:ind w:left="158"/>
              <w:rPr>
                <w:sz w:val="20"/>
              </w:rPr>
            </w:pPr>
            <w:r>
              <w:rPr>
                <w:spacing w:val="-2"/>
                <w:sz w:val="20"/>
              </w:rPr>
              <w:t>Mushungulu</w:t>
            </w:r>
            <w:r>
              <w:rPr>
                <w:spacing w:val="6"/>
                <w:sz w:val="20"/>
              </w:rPr>
              <w:t> </w:t>
            </w:r>
            <w:r>
              <w:rPr>
                <w:spacing w:val="-2"/>
                <w:sz w:val="20"/>
              </w:rPr>
              <w:t>(xma)</w:t>
            </w:r>
          </w:p>
        </w:tc>
      </w:tr>
      <w:tr>
        <w:trPr>
          <w:trHeight w:val="230" w:hRule="atLeast"/>
        </w:trPr>
        <w:tc>
          <w:tcPr>
            <w:tcW w:w="612" w:type="dxa"/>
          </w:tcPr>
          <w:p>
            <w:pPr>
              <w:pStyle w:val="TableParagraph"/>
              <w:ind w:left="50"/>
              <w:rPr>
                <w:sz w:val="20"/>
              </w:rPr>
            </w:pPr>
            <w:r>
              <w:rPr>
                <w:spacing w:val="-4"/>
                <w:sz w:val="20"/>
              </w:rPr>
              <w:t>5048</w:t>
            </w:r>
          </w:p>
        </w:tc>
        <w:tc>
          <w:tcPr>
            <w:tcW w:w="3901" w:type="dxa"/>
          </w:tcPr>
          <w:p>
            <w:pPr>
              <w:pStyle w:val="TableParagraph"/>
              <w:ind w:left="158"/>
              <w:rPr>
                <w:sz w:val="20"/>
              </w:rPr>
            </w:pPr>
            <w:r>
              <w:rPr>
                <w:sz w:val="20"/>
              </w:rPr>
              <w:t>Turkana</w:t>
            </w:r>
            <w:r>
              <w:rPr>
                <w:spacing w:val="-10"/>
                <w:sz w:val="20"/>
              </w:rPr>
              <w:t> </w:t>
            </w:r>
            <w:r>
              <w:rPr>
                <w:spacing w:val="-2"/>
                <w:sz w:val="20"/>
              </w:rPr>
              <w:t>(tuv)</w:t>
            </w:r>
          </w:p>
        </w:tc>
        <w:tc>
          <w:tcPr>
            <w:tcW w:w="1428" w:type="dxa"/>
          </w:tcPr>
          <w:p>
            <w:pPr>
              <w:pStyle w:val="TableParagraph"/>
              <w:ind w:right="156"/>
              <w:jc w:val="right"/>
              <w:rPr>
                <w:sz w:val="20"/>
              </w:rPr>
            </w:pPr>
            <w:r>
              <w:rPr>
                <w:spacing w:val="-4"/>
                <w:sz w:val="20"/>
              </w:rPr>
              <w:t>5280</w:t>
            </w:r>
          </w:p>
        </w:tc>
        <w:tc>
          <w:tcPr>
            <w:tcW w:w="2638" w:type="dxa"/>
          </w:tcPr>
          <w:p>
            <w:pPr>
              <w:pStyle w:val="TableParagraph"/>
              <w:ind w:left="158"/>
              <w:rPr>
                <w:sz w:val="20"/>
              </w:rPr>
            </w:pPr>
            <w:r>
              <w:rPr>
                <w:sz w:val="20"/>
              </w:rPr>
              <w:t>Kongo</w:t>
            </w:r>
            <w:r>
              <w:rPr>
                <w:spacing w:val="-11"/>
                <w:sz w:val="20"/>
              </w:rPr>
              <w:t> </w:t>
            </w:r>
            <w:r>
              <w:rPr>
                <w:sz w:val="20"/>
              </w:rPr>
              <w:t>(macrolanguage)</w:t>
            </w:r>
            <w:r>
              <w:rPr>
                <w:spacing w:val="-9"/>
                <w:sz w:val="20"/>
              </w:rPr>
              <w:t> </w:t>
            </w:r>
            <w:r>
              <w:rPr>
                <w:spacing w:val="-4"/>
                <w:sz w:val="20"/>
              </w:rPr>
              <w:t>(kon)</w:t>
            </w:r>
          </w:p>
        </w:tc>
      </w:tr>
      <w:tr>
        <w:trPr>
          <w:trHeight w:val="230" w:hRule="atLeast"/>
        </w:trPr>
        <w:tc>
          <w:tcPr>
            <w:tcW w:w="612" w:type="dxa"/>
          </w:tcPr>
          <w:p>
            <w:pPr>
              <w:pStyle w:val="TableParagraph"/>
              <w:ind w:left="50"/>
              <w:rPr>
                <w:sz w:val="20"/>
              </w:rPr>
            </w:pPr>
            <w:r>
              <w:rPr>
                <w:spacing w:val="-4"/>
                <w:sz w:val="20"/>
              </w:rPr>
              <w:t>5055</w:t>
            </w:r>
          </w:p>
        </w:tc>
        <w:tc>
          <w:tcPr>
            <w:tcW w:w="3901" w:type="dxa"/>
          </w:tcPr>
          <w:p>
            <w:pPr>
              <w:pStyle w:val="TableParagraph"/>
              <w:ind w:left="158"/>
              <w:rPr>
                <w:sz w:val="20"/>
              </w:rPr>
            </w:pPr>
            <w:r>
              <w:rPr>
                <w:sz w:val="20"/>
              </w:rPr>
              <w:t>Nobiin</w:t>
            </w:r>
            <w:r>
              <w:rPr>
                <w:spacing w:val="-6"/>
                <w:sz w:val="20"/>
              </w:rPr>
              <w:t> </w:t>
            </w:r>
            <w:r>
              <w:rPr>
                <w:spacing w:val="-2"/>
                <w:sz w:val="20"/>
              </w:rPr>
              <w:t>(fia)</w:t>
            </w:r>
          </w:p>
        </w:tc>
        <w:tc>
          <w:tcPr>
            <w:tcW w:w="1428" w:type="dxa"/>
          </w:tcPr>
          <w:p>
            <w:pPr>
              <w:pStyle w:val="TableParagraph"/>
              <w:ind w:right="156"/>
              <w:jc w:val="right"/>
              <w:rPr>
                <w:sz w:val="20"/>
              </w:rPr>
            </w:pPr>
            <w:r>
              <w:rPr>
                <w:spacing w:val="-4"/>
                <w:sz w:val="20"/>
              </w:rPr>
              <w:t>5281</w:t>
            </w:r>
          </w:p>
        </w:tc>
        <w:tc>
          <w:tcPr>
            <w:tcW w:w="2638" w:type="dxa"/>
          </w:tcPr>
          <w:p>
            <w:pPr>
              <w:pStyle w:val="TableParagraph"/>
              <w:ind w:left="158"/>
              <w:rPr>
                <w:sz w:val="20"/>
              </w:rPr>
            </w:pPr>
            <w:r>
              <w:rPr>
                <w:sz w:val="20"/>
              </w:rPr>
              <w:t>Koongo</w:t>
            </w:r>
            <w:r>
              <w:rPr>
                <w:spacing w:val="-8"/>
                <w:sz w:val="20"/>
              </w:rPr>
              <w:t> </w:t>
            </w:r>
            <w:r>
              <w:rPr>
                <w:spacing w:val="-2"/>
                <w:sz w:val="20"/>
              </w:rPr>
              <w:t>(kng)</w:t>
            </w:r>
          </w:p>
        </w:tc>
      </w:tr>
      <w:tr>
        <w:trPr>
          <w:trHeight w:val="229" w:hRule="atLeast"/>
        </w:trPr>
        <w:tc>
          <w:tcPr>
            <w:tcW w:w="612" w:type="dxa"/>
          </w:tcPr>
          <w:p>
            <w:pPr>
              <w:pStyle w:val="TableParagraph"/>
              <w:spacing w:line="209" w:lineRule="exact"/>
              <w:ind w:left="50"/>
              <w:rPr>
                <w:sz w:val="20"/>
              </w:rPr>
            </w:pPr>
            <w:r>
              <w:rPr>
                <w:spacing w:val="-4"/>
                <w:sz w:val="20"/>
              </w:rPr>
              <w:t>5060</w:t>
            </w:r>
          </w:p>
        </w:tc>
        <w:tc>
          <w:tcPr>
            <w:tcW w:w="3901" w:type="dxa"/>
          </w:tcPr>
          <w:p>
            <w:pPr>
              <w:pStyle w:val="TableParagraph"/>
              <w:spacing w:line="209" w:lineRule="exact"/>
              <w:ind w:left="158"/>
              <w:rPr>
                <w:sz w:val="20"/>
              </w:rPr>
            </w:pPr>
            <w:r>
              <w:rPr>
                <w:sz w:val="20"/>
              </w:rPr>
              <w:t>Kanuri</w:t>
            </w:r>
            <w:r>
              <w:rPr>
                <w:spacing w:val="-12"/>
                <w:sz w:val="20"/>
              </w:rPr>
              <w:t> </w:t>
            </w:r>
            <w:r>
              <w:rPr>
                <w:sz w:val="20"/>
              </w:rPr>
              <w:t>(macrolanguage)</w:t>
            </w:r>
            <w:r>
              <w:rPr>
                <w:spacing w:val="-10"/>
                <w:sz w:val="20"/>
              </w:rPr>
              <w:t> </w:t>
            </w:r>
            <w:r>
              <w:rPr>
                <w:spacing w:val="-4"/>
                <w:sz w:val="20"/>
              </w:rPr>
              <w:t>(kau)</w:t>
            </w:r>
          </w:p>
        </w:tc>
        <w:tc>
          <w:tcPr>
            <w:tcW w:w="1428" w:type="dxa"/>
          </w:tcPr>
          <w:p>
            <w:pPr>
              <w:pStyle w:val="TableParagraph"/>
              <w:spacing w:line="209" w:lineRule="exact"/>
              <w:ind w:right="156"/>
              <w:jc w:val="right"/>
              <w:rPr>
                <w:sz w:val="20"/>
              </w:rPr>
            </w:pPr>
            <w:r>
              <w:rPr>
                <w:spacing w:val="-4"/>
                <w:sz w:val="20"/>
              </w:rPr>
              <w:t>5283</w:t>
            </w:r>
          </w:p>
        </w:tc>
        <w:tc>
          <w:tcPr>
            <w:tcW w:w="2638" w:type="dxa"/>
          </w:tcPr>
          <w:p>
            <w:pPr>
              <w:pStyle w:val="TableParagraph"/>
              <w:spacing w:line="209" w:lineRule="exact"/>
              <w:ind w:left="158"/>
              <w:rPr>
                <w:sz w:val="20"/>
              </w:rPr>
            </w:pPr>
            <w:r>
              <w:rPr>
                <w:sz w:val="20"/>
              </w:rPr>
              <w:t>Laari</w:t>
            </w:r>
            <w:r>
              <w:rPr>
                <w:spacing w:val="-8"/>
                <w:sz w:val="20"/>
              </w:rPr>
              <w:t> </w:t>
            </w:r>
            <w:r>
              <w:rPr>
                <w:spacing w:val="-2"/>
                <w:sz w:val="20"/>
              </w:rPr>
              <w:t>(ldi)</w:t>
            </w:r>
          </w:p>
        </w:tc>
      </w:tr>
      <w:tr>
        <w:trPr>
          <w:trHeight w:val="229" w:hRule="atLeast"/>
        </w:trPr>
        <w:tc>
          <w:tcPr>
            <w:tcW w:w="612" w:type="dxa"/>
          </w:tcPr>
          <w:p>
            <w:pPr>
              <w:pStyle w:val="TableParagraph"/>
              <w:spacing w:line="209" w:lineRule="exact"/>
              <w:ind w:left="50"/>
              <w:rPr>
                <w:sz w:val="20"/>
              </w:rPr>
            </w:pPr>
            <w:r>
              <w:rPr>
                <w:spacing w:val="-4"/>
                <w:sz w:val="20"/>
              </w:rPr>
              <w:t>5061</w:t>
            </w:r>
          </w:p>
        </w:tc>
        <w:tc>
          <w:tcPr>
            <w:tcW w:w="3901" w:type="dxa"/>
          </w:tcPr>
          <w:p>
            <w:pPr>
              <w:pStyle w:val="TableParagraph"/>
              <w:spacing w:line="209" w:lineRule="exact"/>
              <w:ind w:left="158"/>
              <w:rPr>
                <w:sz w:val="20"/>
              </w:rPr>
            </w:pPr>
            <w:r>
              <w:rPr>
                <w:sz w:val="20"/>
              </w:rPr>
              <w:t>Central</w:t>
            </w:r>
            <w:r>
              <w:rPr>
                <w:spacing w:val="-7"/>
                <w:sz w:val="20"/>
              </w:rPr>
              <w:t> </w:t>
            </w:r>
            <w:r>
              <w:rPr>
                <w:sz w:val="20"/>
              </w:rPr>
              <w:t>Kanuri</w:t>
            </w:r>
            <w:r>
              <w:rPr>
                <w:spacing w:val="-7"/>
                <w:sz w:val="20"/>
              </w:rPr>
              <w:t> </w:t>
            </w:r>
            <w:r>
              <w:rPr>
                <w:spacing w:val="-2"/>
                <w:sz w:val="20"/>
              </w:rPr>
              <w:t>(knc)</w:t>
            </w:r>
          </w:p>
        </w:tc>
        <w:tc>
          <w:tcPr>
            <w:tcW w:w="1428" w:type="dxa"/>
          </w:tcPr>
          <w:p>
            <w:pPr>
              <w:pStyle w:val="TableParagraph"/>
              <w:spacing w:line="209" w:lineRule="exact"/>
              <w:ind w:right="156"/>
              <w:jc w:val="right"/>
              <w:rPr>
                <w:sz w:val="20"/>
              </w:rPr>
            </w:pPr>
            <w:r>
              <w:rPr>
                <w:spacing w:val="-4"/>
                <w:sz w:val="20"/>
              </w:rPr>
              <w:t>5285</w:t>
            </w:r>
          </w:p>
        </w:tc>
        <w:tc>
          <w:tcPr>
            <w:tcW w:w="2638" w:type="dxa"/>
          </w:tcPr>
          <w:p>
            <w:pPr>
              <w:pStyle w:val="TableParagraph"/>
              <w:spacing w:line="209" w:lineRule="exact"/>
              <w:ind w:left="158"/>
              <w:rPr>
                <w:sz w:val="20"/>
              </w:rPr>
            </w:pPr>
            <w:r>
              <w:rPr>
                <w:sz w:val="20"/>
              </w:rPr>
              <w:t>Kimbundu</w:t>
            </w:r>
            <w:r>
              <w:rPr>
                <w:spacing w:val="-10"/>
                <w:sz w:val="20"/>
              </w:rPr>
              <w:t> </w:t>
            </w:r>
            <w:r>
              <w:rPr>
                <w:spacing w:val="-2"/>
                <w:sz w:val="20"/>
              </w:rPr>
              <w:t>(kmb)</w:t>
            </w:r>
          </w:p>
        </w:tc>
      </w:tr>
      <w:tr>
        <w:trPr>
          <w:trHeight w:val="230" w:hRule="atLeast"/>
        </w:trPr>
        <w:tc>
          <w:tcPr>
            <w:tcW w:w="612" w:type="dxa"/>
          </w:tcPr>
          <w:p>
            <w:pPr>
              <w:pStyle w:val="TableParagraph"/>
              <w:ind w:left="50"/>
              <w:rPr>
                <w:sz w:val="20"/>
              </w:rPr>
            </w:pPr>
            <w:r>
              <w:rPr>
                <w:spacing w:val="-4"/>
                <w:sz w:val="20"/>
              </w:rPr>
              <w:t>5063</w:t>
            </w:r>
          </w:p>
        </w:tc>
        <w:tc>
          <w:tcPr>
            <w:tcW w:w="3901" w:type="dxa"/>
          </w:tcPr>
          <w:p>
            <w:pPr>
              <w:pStyle w:val="TableParagraph"/>
              <w:ind w:left="158"/>
              <w:rPr>
                <w:sz w:val="20"/>
              </w:rPr>
            </w:pPr>
            <w:r>
              <w:rPr>
                <w:sz w:val="20"/>
              </w:rPr>
              <w:t>Manga</w:t>
            </w:r>
            <w:r>
              <w:rPr>
                <w:spacing w:val="-8"/>
                <w:sz w:val="20"/>
              </w:rPr>
              <w:t> </w:t>
            </w:r>
            <w:r>
              <w:rPr>
                <w:sz w:val="20"/>
              </w:rPr>
              <w:t>Kanuri</w:t>
            </w:r>
            <w:r>
              <w:rPr>
                <w:spacing w:val="-8"/>
                <w:sz w:val="20"/>
              </w:rPr>
              <w:t> </w:t>
            </w:r>
            <w:r>
              <w:rPr>
                <w:spacing w:val="-4"/>
                <w:sz w:val="20"/>
              </w:rPr>
              <w:t>(kby)</w:t>
            </w:r>
          </w:p>
        </w:tc>
        <w:tc>
          <w:tcPr>
            <w:tcW w:w="1428" w:type="dxa"/>
          </w:tcPr>
          <w:p>
            <w:pPr>
              <w:pStyle w:val="TableParagraph"/>
              <w:ind w:right="156"/>
              <w:jc w:val="right"/>
              <w:rPr>
                <w:sz w:val="20"/>
              </w:rPr>
            </w:pPr>
            <w:r>
              <w:rPr>
                <w:spacing w:val="-4"/>
                <w:sz w:val="20"/>
              </w:rPr>
              <w:t>5290</w:t>
            </w:r>
          </w:p>
        </w:tc>
        <w:tc>
          <w:tcPr>
            <w:tcW w:w="2638" w:type="dxa"/>
          </w:tcPr>
          <w:p>
            <w:pPr>
              <w:pStyle w:val="TableParagraph"/>
              <w:ind w:left="158"/>
              <w:rPr>
                <w:sz w:val="20"/>
              </w:rPr>
            </w:pPr>
            <w:r>
              <w:rPr>
                <w:sz w:val="20"/>
              </w:rPr>
              <w:t>Haya</w:t>
            </w:r>
            <w:r>
              <w:rPr>
                <w:spacing w:val="-7"/>
                <w:sz w:val="20"/>
              </w:rPr>
              <w:t> </w:t>
            </w:r>
            <w:r>
              <w:rPr>
                <w:spacing w:val="-2"/>
                <w:sz w:val="20"/>
              </w:rPr>
              <w:t>(hay)</w:t>
            </w:r>
          </w:p>
        </w:tc>
      </w:tr>
      <w:tr>
        <w:trPr>
          <w:trHeight w:val="230" w:hRule="atLeast"/>
        </w:trPr>
        <w:tc>
          <w:tcPr>
            <w:tcW w:w="612" w:type="dxa"/>
          </w:tcPr>
          <w:p>
            <w:pPr>
              <w:pStyle w:val="TableParagraph"/>
              <w:spacing w:line="211" w:lineRule="exact"/>
              <w:ind w:left="50"/>
              <w:rPr>
                <w:sz w:val="20"/>
              </w:rPr>
            </w:pPr>
            <w:r>
              <w:rPr>
                <w:spacing w:val="-4"/>
                <w:sz w:val="20"/>
              </w:rPr>
              <w:t>5070</w:t>
            </w:r>
          </w:p>
        </w:tc>
        <w:tc>
          <w:tcPr>
            <w:tcW w:w="3901" w:type="dxa"/>
          </w:tcPr>
          <w:p>
            <w:pPr>
              <w:pStyle w:val="TableParagraph"/>
              <w:spacing w:line="211" w:lineRule="exact"/>
              <w:ind w:left="158"/>
              <w:rPr>
                <w:sz w:val="20"/>
              </w:rPr>
            </w:pPr>
            <w:r>
              <w:rPr>
                <w:sz w:val="20"/>
              </w:rPr>
              <w:t>Tedaga</w:t>
            </w:r>
            <w:r>
              <w:rPr>
                <w:spacing w:val="-4"/>
                <w:sz w:val="20"/>
              </w:rPr>
              <w:t> </w:t>
            </w:r>
            <w:r>
              <w:rPr>
                <w:spacing w:val="-2"/>
                <w:sz w:val="20"/>
              </w:rPr>
              <w:t>(tuq)</w:t>
            </w:r>
          </w:p>
        </w:tc>
        <w:tc>
          <w:tcPr>
            <w:tcW w:w="1428" w:type="dxa"/>
          </w:tcPr>
          <w:p>
            <w:pPr>
              <w:pStyle w:val="TableParagraph"/>
              <w:spacing w:line="211" w:lineRule="exact"/>
              <w:ind w:right="156"/>
              <w:jc w:val="right"/>
              <w:rPr>
                <w:sz w:val="20"/>
              </w:rPr>
            </w:pPr>
            <w:r>
              <w:rPr>
                <w:spacing w:val="-4"/>
                <w:sz w:val="20"/>
              </w:rPr>
              <w:t>5300</w:t>
            </w:r>
          </w:p>
        </w:tc>
        <w:tc>
          <w:tcPr>
            <w:tcW w:w="2638" w:type="dxa"/>
          </w:tcPr>
          <w:p>
            <w:pPr>
              <w:pStyle w:val="TableParagraph"/>
              <w:spacing w:line="211" w:lineRule="exact"/>
              <w:ind w:left="158"/>
              <w:rPr>
                <w:sz w:val="20"/>
              </w:rPr>
            </w:pPr>
            <w:r>
              <w:rPr>
                <w:sz w:val="20"/>
              </w:rPr>
              <w:t>Luyia</w:t>
            </w:r>
            <w:r>
              <w:rPr>
                <w:spacing w:val="-12"/>
                <w:sz w:val="20"/>
              </w:rPr>
              <w:t> </w:t>
            </w:r>
            <w:r>
              <w:rPr>
                <w:sz w:val="20"/>
              </w:rPr>
              <w:t>(macrolanguage)</w:t>
            </w:r>
            <w:r>
              <w:rPr>
                <w:spacing w:val="-9"/>
                <w:sz w:val="20"/>
              </w:rPr>
              <w:t> </w:t>
            </w:r>
            <w:r>
              <w:rPr>
                <w:spacing w:val="-4"/>
                <w:sz w:val="20"/>
              </w:rPr>
              <w:t>(luy)</w:t>
            </w:r>
          </w:p>
        </w:tc>
      </w:tr>
      <w:tr>
        <w:trPr>
          <w:trHeight w:val="230" w:hRule="atLeast"/>
        </w:trPr>
        <w:tc>
          <w:tcPr>
            <w:tcW w:w="612" w:type="dxa"/>
          </w:tcPr>
          <w:p>
            <w:pPr>
              <w:pStyle w:val="TableParagraph"/>
              <w:spacing w:line="211" w:lineRule="exact"/>
              <w:ind w:left="50"/>
              <w:rPr>
                <w:sz w:val="20"/>
              </w:rPr>
            </w:pPr>
            <w:r>
              <w:rPr>
                <w:spacing w:val="-4"/>
                <w:sz w:val="20"/>
              </w:rPr>
              <w:t>5075</w:t>
            </w:r>
          </w:p>
        </w:tc>
        <w:tc>
          <w:tcPr>
            <w:tcW w:w="3901" w:type="dxa"/>
          </w:tcPr>
          <w:p>
            <w:pPr>
              <w:pStyle w:val="TableParagraph"/>
              <w:spacing w:line="211" w:lineRule="exact"/>
              <w:ind w:left="158"/>
              <w:rPr>
                <w:sz w:val="20"/>
              </w:rPr>
            </w:pPr>
            <w:r>
              <w:rPr>
                <w:sz w:val="20"/>
              </w:rPr>
              <w:t>Zaghawa</w:t>
            </w:r>
            <w:r>
              <w:rPr>
                <w:spacing w:val="-13"/>
                <w:sz w:val="20"/>
              </w:rPr>
              <w:t> </w:t>
            </w:r>
            <w:r>
              <w:rPr>
                <w:spacing w:val="-2"/>
                <w:sz w:val="20"/>
              </w:rPr>
              <w:t>(zag)</w:t>
            </w:r>
          </w:p>
        </w:tc>
        <w:tc>
          <w:tcPr>
            <w:tcW w:w="1428" w:type="dxa"/>
          </w:tcPr>
          <w:p>
            <w:pPr>
              <w:pStyle w:val="TableParagraph"/>
              <w:spacing w:line="211" w:lineRule="exact"/>
              <w:ind w:right="156"/>
              <w:jc w:val="right"/>
              <w:rPr>
                <w:sz w:val="20"/>
              </w:rPr>
            </w:pPr>
            <w:r>
              <w:rPr>
                <w:spacing w:val="-4"/>
                <w:sz w:val="20"/>
              </w:rPr>
              <w:t>5301</w:t>
            </w:r>
          </w:p>
        </w:tc>
        <w:tc>
          <w:tcPr>
            <w:tcW w:w="2638" w:type="dxa"/>
          </w:tcPr>
          <w:p>
            <w:pPr>
              <w:pStyle w:val="TableParagraph"/>
              <w:spacing w:line="211" w:lineRule="exact"/>
              <w:ind w:left="158"/>
              <w:rPr>
                <w:sz w:val="20"/>
              </w:rPr>
            </w:pPr>
            <w:r>
              <w:rPr>
                <w:sz w:val="20"/>
              </w:rPr>
              <w:t>Bukusu</w:t>
            </w:r>
            <w:r>
              <w:rPr>
                <w:spacing w:val="-9"/>
                <w:sz w:val="20"/>
              </w:rPr>
              <w:t> </w:t>
            </w:r>
            <w:r>
              <w:rPr>
                <w:spacing w:val="-2"/>
                <w:sz w:val="20"/>
              </w:rPr>
              <w:t>(bxk)</w:t>
            </w:r>
          </w:p>
        </w:tc>
      </w:tr>
      <w:tr>
        <w:trPr>
          <w:trHeight w:val="230" w:hRule="atLeast"/>
        </w:trPr>
        <w:tc>
          <w:tcPr>
            <w:tcW w:w="612" w:type="dxa"/>
          </w:tcPr>
          <w:p>
            <w:pPr>
              <w:pStyle w:val="TableParagraph"/>
              <w:ind w:left="50"/>
              <w:rPr>
                <w:sz w:val="20"/>
              </w:rPr>
            </w:pPr>
            <w:r>
              <w:rPr>
                <w:spacing w:val="-4"/>
                <w:sz w:val="20"/>
              </w:rPr>
              <w:t>5080</w:t>
            </w:r>
          </w:p>
        </w:tc>
        <w:tc>
          <w:tcPr>
            <w:tcW w:w="3901" w:type="dxa"/>
          </w:tcPr>
          <w:p>
            <w:pPr>
              <w:pStyle w:val="TableParagraph"/>
              <w:ind w:left="158"/>
              <w:rPr>
                <w:sz w:val="20"/>
              </w:rPr>
            </w:pPr>
            <w:r>
              <w:rPr>
                <w:sz w:val="20"/>
              </w:rPr>
              <w:t>Amdang</w:t>
            </w:r>
            <w:r>
              <w:rPr>
                <w:spacing w:val="-8"/>
                <w:sz w:val="20"/>
              </w:rPr>
              <w:t> </w:t>
            </w:r>
            <w:r>
              <w:rPr>
                <w:spacing w:val="-2"/>
                <w:sz w:val="20"/>
              </w:rPr>
              <w:t>(amj)</w:t>
            </w:r>
          </w:p>
        </w:tc>
        <w:tc>
          <w:tcPr>
            <w:tcW w:w="1428" w:type="dxa"/>
          </w:tcPr>
          <w:p>
            <w:pPr>
              <w:pStyle w:val="TableParagraph"/>
              <w:ind w:right="156"/>
              <w:jc w:val="right"/>
              <w:rPr>
                <w:sz w:val="20"/>
              </w:rPr>
            </w:pPr>
            <w:r>
              <w:rPr>
                <w:spacing w:val="-4"/>
                <w:sz w:val="20"/>
              </w:rPr>
              <w:t>5302</w:t>
            </w:r>
          </w:p>
        </w:tc>
        <w:tc>
          <w:tcPr>
            <w:tcW w:w="2638" w:type="dxa"/>
          </w:tcPr>
          <w:p>
            <w:pPr>
              <w:pStyle w:val="TableParagraph"/>
              <w:ind w:left="158"/>
              <w:rPr>
                <w:sz w:val="20"/>
              </w:rPr>
            </w:pPr>
            <w:r>
              <w:rPr>
                <w:sz w:val="20"/>
              </w:rPr>
              <w:t>East</w:t>
            </w:r>
            <w:r>
              <w:rPr>
                <w:spacing w:val="-7"/>
                <w:sz w:val="20"/>
              </w:rPr>
              <w:t> </w:t>
            </w:r>
            <w:r>
              <w:rPr>
                <w:sz w:val="20"/>
              </w:rPr>
              <w:t>Nyala</w:t>
            </w:r>
            <w:r>
              <w:rPr>
                <w:spacing w:val="-5"/>
                <w:sz w:val="20"/>
              </w:rPr>
              <w:t> </w:t>
            </w:r>
            <w:r>
              <w:rPr>
                <w:spacing w:val="-2"/>
                <w:sz w:val="20"/>
              </w:rPr>
              <w:t>(nle)</w:t>
            </w:r>
          </w:p>
        </w:tc>
      </w:tr>
      <w:tr>
        <w:trPr>
          <w:trHeight w:val="229" w:hRule="atLeast"/>
        </w:trPr>
        <w:tc>
          <w:tcPr>
            <w:tcW w:w="612" w:type="dxa"/>
          </w:tcPr>
          <w:p>
            <w:pPr>
              <w:pStyle w:val="TableParagraph"/>
              <w:spacing w:line="209" w:lineRule="exact"/>
              <w:ind w:left="50"/>
              <w:rPr>
                <w:sz w:val="20"/>
              </w:rPr>
            </w:pPr>
            <w:r>
              <w:rPr>
                <w:spacing w:val="-4"/>
                <w:sz w:val="20"/>
              </w:rPr>
              <w:t>5085</w:t>
            </w:r>
          </w:p>
        </w:tc>
        <w:tc>
          <w:tcPr>
            <w:tcW w:w="3901" w:type="dxa"/>
          </w:tcPr>
          <w:p>
            <w:pPr>
              <w:pStyle w:val="TableParagraph"/>
              <w:spacing w:line="209" w:lineRule="exact"/>
              <w:ind w:left="158"/>
              <w:rPr>
                <w:sz w:val="20"/>
              </w:rPr>
            </w:pPr>
            <w:r>
              <w:rPr>
                <w:sz w:val="20"/>
              </w:rPr>
              <w:t>Fur</w:t>
            </w:r>
            <w:r>
              <w:rPr>
                <w:spacing w:val="-5"/>
                <w:sz w:val="20"/>
              </w:rPr>
              <w:t> </w:t>
            </w:r>
            <w:r>
              <w:rPr>
                <w:spacing w:val="-2"/>
                <w:sz w:val="20"/>
              </w:rPr>
              <w:t>(fvr)</w:t>
            </w:r>
          </w:p>
        </w:tc>
        <w:tc>
          <w:tcPr>
            <w:tcW w:w="1428" w:type="dxa"/>
          </w:tcPr>
          <w:p>
            <w:pPr>
              <w:pStyle w:val="TableParagraph"/>
              <w:spacing w:line="209" w:lineRule="exact"/>
              <w:ind w:right="156"/>
              <w:jc w:val="right"/>
              <w:rPr>
                <w:sz w:val="20"/>
              </w:rPr>
            </w:pPr>
            <w:r>
              <w:rPr>
                <w:spacing w:val="-4"/>
                <w:sz w:val="20"/>
              </w:rPr>
              <w:t>5303</w:t>
            </w:r>
          </w:p>
        </w:tc>
        <w:tc>
          <w:tcPr>
            <w:tcW w:w="2638" w:type="dxa"/>
          </w:tcPr>
          <w:p>
            <w:pPr>
              <w:pStyle w:val="TableParagraph"/>
              <w:spacing w:line="209" w:lineRule="exact"/>
              <w:ind w:left="158"/>
              <w:rPr>
                <w:sz w:val="20"/>
              </w:rPr>
            </w:pPr>
            <w:r>
              <w:rPr>
                <w:spacing w:val="-2"/>
                <w:sz w:val="20"/>
              </w:rPr>
              <w:t>Idakho-Isukha-Tiriki</w:t>
            </w:r>
            <w:r>
              <w:rPr>
                <w:spacing w:val="18"/>
                <w:sz w:val="20"/>
              </w:rPr>
              <w:t> </w:t>
            </w:r>
            <w:r>
              <w:rPr>
                <w:spacing w:val="-4"/>
                <w:sz w:val="20"/>
              </w:rPr>
              <w:t>(ida)</w:t>
            </w:r>
          </w:p>
        </w:tc>
      </w:tr>
      <w:tr>
        <w:trPr>
          <w:trHeight w:val="229" w:hRule="atLeast"/>
        </w:trPr>
        <w:tc>
          <w:tcPr>
            <w:tcW w:w="612" w:type="dxa"/>
          </w:tcPr>
          <w:p>
            <w:pPr>
              <w:pStyle w:val="TableParagraph"/>
              <w:spacing w:line="209" w:lineRule="exact"/>
              <w:ind w:left="50"/>
              <w:rPr>
                <w:sz w:val="20"/>
              </w:rPr>
            </w:pPr>
            <w:r>
              <w:rPr>
                <w:spacing w:val="-4"/>
                <w:sz w:val="20"/>
              </w:rPr>
              <w:t>5090</w:t>
            </w:r>
          </w:p>
        </w:tc>
        <w:tc>
          <w:tcPr>
            <w:tcW w:w="3901" w:type="dxa"/>
          </w:tcPr>
          <w:p>
            <w:pPr>
              <w:pStyle w:val="TableParagraph"/>
              <w:spacing w:line="209" w:lineRule="exact"/>
              <w:ind w:left="158"/>
              <w:rPr>
                <w:sz w:val="20"/>
              </w:rPr>
            </w:pPr>
            <w:r>
              <w:rPr>
                <w:spacing w:val="-2"/>
                <w:sz w:val="20"/>
              </w:rPr>
              <w:t>Katcha-Kadugli-Miri</w:t>
            </w:r>
            <w:r>
              <w:rPr>
                <w:spacing w:val="19"/>
                <w:sz w:val="20"/>
              </w:rPr>
              <w:t> </w:t>
            </w:r>
            <w:r>
              <w:rPr>
                <w:spacing w:val="-2"/>
                <w:sz w:val="20"/>
              </w:rPr>
              <w:t>(xtc)</w:t>
            </w:r>
          </w:p>
        </w:tc>
        <w:tc>
          <w:tcPr>
            <w:tcW w:w="1428" w:type="dxa"/>
          </w:tcPr>
          <w:p>
            <w:pPr>
              <w:pStyle w:val="TableParagraph"/>
              <w:spacing w:line="209" w:lineRule="exact"/>
              <w:ind w:right="156"/>
              <w:jc w:val="right"/>
              <w:rPr>
                <w:sz w:val="20"/>
              </w:rPr>
            </w:pPr>
            <w:r>
              <w:rPr>
                <w:spacing w:val="-4"/>
                <w:sz w:val="20"/>
              </w:rPr>
              <w:t>5307</w:t>
            </w:r>
          </w:p>
        </w:tc>
        <w:tc>
          <w:tcPr>
            <w:tcW w:w="2638" w:type="dxa"/>
          </w:tcPr>
          <w:p>
            <w:pPr>
              <w:pStyle w:val="TableParagraph"/>
              <w:spacing w:line="209" w:lineRule="exact"/>
              <w:ind w:left="158"/>
              <w:rPr>
                <w:sz w:val="20"/>
              </w:rPr>
            </w:pPr>
            <w:r>
              <w:rPr>
                <w:sz w:val="20"/>
              </w:rPr>
              <w:t>Logooli</w:t>
            </w:r>
            <w:r>
              <w:rPr>
                <w:spacing w:val="-9"/>
                <w:sz w:val="20"/>
              </w:rPr>
              <w:t> </w:t>
            </w:r>
            <w:r>
              <w:rPr>
                <w:spacing w:val="-2"/>
                <w:sz w:val="20"/>
              </w:rPr>
              <w:t>(rag)</w:t>
            </w:r>
          </w:p>
        </w:tc>
      </w:tr>
      <w:tr>
        <w:trPr>
          <w:trHeight w:val="230" w:hRule="atLeast"/>
        </w:trPr>
        <w:tc>
          <w:tcPr>
            <w:tcW w:w="612" w:type="dxa"/>
          </w:tcPr>
          <w:p>
            <w:pPr>
              <w:pStyle w:val="TableParagraph"/>
              <w:ind w:left="50"/>
              <w:rPr>
                <w:sz w:val="20"/>
              </w:rPr>
            </w:pPr>
            <w:r>
              <w:rPr>
                <w:spacing w:val="-4"/>
                <w:sz w:val="20"/>
              </w:rPr>
              <w:t>5095</w:t>
            </w:r>
          </w:p>
        </w:tc>
        <w:tc>
          <w:tcPr>
            <w:tcW w:w="3901" w:type="dxa"/>
          </w:tcPr>
          <w:p>
            <w:pPr>
              <w:pStyle w:val="TableParagraph"/>
              <w:ind w:left="158"/>
              <w:rPr>
                <w:sz w:val="20"/>
              </w:rPr>
            </w:pPr>
            <w:r>
              <w:rPr>
                <w:sz w:val="20"/>
              </w:rPr>
              <w:t>Kunama</w:t>
            </w:r>
            <w:r>
              <w:rPr>
                <w:spacing w:val="-10"/>
                <w:sz w:val="20"/>
              </w:rPr>
              <w:t> </w:t>
            </w:r>
            <w:r>
              <w:rPr>
                <w:spacing w:val="-2"/>
                <w:sz w:val="20"/>
              </w:rPr>
              <w:t>(kun)</w:t>
            </w:r>
          </w:p>
        </w:tc>
        <w:tc>
          <w:tcPr>
            <w:tcW w:w="1428" w:type="dxa"/>
          </w:tcPr>
          <w:p>
            <w:pPr>
              <w:pStyle w:val="TableParagraph"/>
              <w:ind w:right="156"/>
              <w:jc w:val="right"/>
              <w:rPr>
                <w:sz w:val="20"/>
              </w:rPr>
            </w:pPr>
            <w:r>
              <w:rPr>
                <w:spacing w:val="-4"/>
                <w:sz w:val="20"/>
              </w:rPr>
              <w:t>5310</w:t>
            </w:r>
          </w:p>
        </w:tc>
        <w:tc>
          <w:tcPr>
            <w:tcW w:w="2638" w:type="dxa"/>
          </w:tcPr>
          <w:p>
            <w:pPr>
              <w:pStyle w:val="TableParagraph"/>
              <w:ind w:left="158"/>
              <w:rPr>
                <w:sz w:val="20"/>
              </w:rPr>
            </w:pPr>
            <w:r>
              <w:rPr>
                <w:sz w:val="20"/>
              </w:rPr>
              <w:t>Saamia</w:t>
            </w:r>
            <w:r>
              <w:rPr>
                <w:spacing w:val="-8"/>
                <w:sz w:val="20"/>
              </w:rPr>
              <w:t> </w:t>
            </w:r>
            <w:r>
              <w:rPr>
                <w:spacing w:val="-2"/>
                <w:sz w:val="20"/>
              </w:rPr>
              <w:t>(lsm)</w:t>
            </w:r>
          </w:p>
        </w:tc>
      </w:tr>
      <w:tr>
        <w:trPr>
          <w:trHeight w:val="230" w:hRule="atLeast"/>
        </w:trPr>
        <w:tc>
          <w:tcPr>
            <w:tcW w:w="612" w:type="dxa"/>
          </w:tcPr>
          <w:p>
            <w:pPr>
              <w:pStyle w:val="TableParagraph"/>
              <w:ind w:left="50"/>
              <w:rPr>
                <w:sz w:val="20"/>
              </w:rPr>
            </w:pPr>
            <w:r>
              <w:rPr>
                <w:spacing w:val="-4"/>
                <w:sz w:val="20"/>
              </w:rPr>
              <w:t>5100</w:t>
            </w:r>
          </w:p>
        </w:tc>
        <w:tc>
          <w:tcPr>
            <w:tcW w:w="3901" w:type="dxa"/>
          </w:tcPr>
          <w:p>
            <w:pPr>
              <w:pStyle w:val="TableParagraph"/>
              <w:ind w:left="158"/>
              <w:rPr>
                <w:sz w:val="20"/>
              </w:rPr>
            </w:pPr>
            <w:r>
              <w:rPr>
                <w:sz w:val="20"/>
              </w:rPr>
              <w:t>Maba</w:t>
            </w:r>
            <w:r>
              <w:rPr>
                <w:spacing w:val="-6"/>
                <w:sz w:val="20"/>
              </w:rPr>
              <w:t> </w:t>
            </w:r>
            <w:r>
              <w:rPr>
                <w:sz w:val="20"/>
              </w:rPr>
              <w:t>(Chad)</w:t>
            </w:r>
            <w:r>
              <w:rPr>
                <w:spacing w:val="-6"/>
                <w:sz w:val="20"/>
              </w:rPr>
              <w:t> </w:t>
            </w:r>
            <w:r>
              <w:rPr>
                <w:spacing w:val="-2"/>
                <w:sz w:val="20"/>
              </w:rPr>
              <w:t>(mde)</w:t>
            </w:r>
          </w:p>
        </w:tc>
        <w:tc>
          <w:tcPr>
            <w:tcW w:w="1428" w:type="dxa"/>
          </w:tcPr>
          <w:p>
            <w:pPr>
              <w:pStyle w:val="TableParagraph"/>
              <w:ind w:right="156"/>
              <w:jc w:val="right"/>
              <w:rPr>
                <w:sz w:val="20"/>
              </w:rPr>
            </w:pPr>
            <w:r>
              <w:rPr>
                <w:spacing w:val="-4"/>
                <w:sz w:val="20"/>
              </w:rPr>
              <w:t>5315</w:t>
            </w:r>
          </w:p>
        </w:tc>
        <w:tc>
          <w:tcPr>
            <w:tcW w:w="2638" w:type="dxa"/>
          </w:tcPr>
          <w:p>
            <w:pPr>
              <w:pStyle w:val="TableParagraph"/>
              <w:ind w:left="158"/>
              <w:rPr>
                <w:sz w:val="20"/>
              </w:rPr>
            </w:pPr>
            <w:r>
              <w:rPr>
                <w:sz w:val="20"/>
              </w:rPr>
              <w:t>Gusii</w:t>
            </w:r>
            <w:r>
              <w:rPr>
                <w:spacing w:val="-6"/>
                <w:sz w:val="20"/>
              </w:rPr>
              <w:t> </w:t>
            </w:r>
            <w:r>
              <w:rPr>
                <w:spacing w:val="-2"/>
                <w:sz w:val="20"/>
              </w:rPr>
              <w:t>(guz)</w:t>
            </w:r>
          </w:p>
        </w:tc>
      </w:tr>
      <w:tr>
        <w:trPr>
          <w:trHeight w:val="230" w:hRule="atLeast"/>
        </w:trPr>
        <w:tc>
          <w:tcPr>
            <w:tcW w:w="612" w:type="dxa"/>
          </w:tcPr>
          <w:p>
            <w:pPr>
              <w:pStyle w:val="TableParagraph"/>
              <w:ind w:left="50"/>
              <w:rPr>
                <w:sz w:val="20"/>
              </w:rPr>
            </w:pPr>
            <w:r>
              <w:rPr>
                <w:spacing w:val="-4"/>
                <w:sz w:val="20"/>
              </w:rPr>
              <w:t>5105</w:t>
            </w:r>
          </w:p>
        </w:tc>
        <w:tc>
          <w:tcPr>
            <w:tcW w:w="3901" w:type="dxa"/>
          </w:tcPr>
          <w:p>
            <w:pPr>
              <w:pStyle w:val="TableParagraph"/>
              <w:ind w:left="158"/>
              <w:rPr>
                <w:sz w:val="20"/>
              </w:rPr>
            </w:pPr>
            <w:r>
              <w:rPr>
                <w:sz w:val="20"/>
              </w:rPr>
              <w:t>Masalit</w:t>
            </w:r>
            <w:r>
              <w:rPr>
                <w:spacing w:val="-8"/>
                <w:sz w:val="20"/>
              </w:rPr>
              <w:t> </w:t>
            </w:r>
            <w:r>
              <w:rPr>
                <w:spacing w:val="-2"/>
                <w:sz w:val="20"/>
              </w:rPr>
              <w:t>(mls)</w:t>
            </w:r>
          </w:p>
        </w:tc>
        <w:tc>
          <w:tcPr>
            <w:tcW w:w="1428" w:type="dxa"/>
          </w:tcPr>
          <w:p>
            <w:pPr>
              <w:pStyle w:val="TableParagraph"/>
              <w:ind w:right="156"/>
              <w:jc w:val="right"/>
              <w:rPr>
                <w:sz w:val="20"/>
              </w:rPr>
            </w:pPr>
            <w:r>
              <w:rPr>
                <w:spacing w:val="-4"/>
                <w:sz w:val="20"/>
              </w:rPr>
              <w:t>5320</w:t>
            </w:r>
          </w:p>
        </w:tc>
        <w:tc>
          <w:tcPr>
            <w:tcW w:w="2638" w:type="dxa"/>
          </w:tcPr>
          <w:p>
            <w:pPr>
              <w:pStyle w:val="TableParagraph"/>
              <w:ind w:left="158"/>
              <w:rPr>
                <w:sz w:val="20"/>
              </w:rPr>
            </w:pPr>
            <w:r>
              <w:rPr>
                <w:sz w:val="20"/>
              </w:rPr>
              <w:t>Masaaba</w:t>
            </w:r>
            <w:r>
              <w:rPr>
                <w:spacing w:val="-8"/>
                <w:sz w:val="20"/>
              </w:rPr>
              <w:t> </w:t>
            </w:r>
            <w:r>
              <w:rPr>
                <w:spacing w:val="-2"/>
                <w:sz w:val="20"/>
              </w:rPr>
              <w:t>(myx)</w:t>
            </w:r>
          </w:p>
        </w:tc>
      </w:tr>
      <w:tr>
        <w:trPr>
          <w:trHeight w:val="229" w:hRule="atLeast"/>
        </w:trPr>
        <w:tc>
          <w:tcPr>
            <w:tcW w:w="612" w:type="dxa"/>
          </w:tcPr>
          <w:p>
            <w:pPr>
              <w:pStyle w:val="TableParagraph"/>
              <w:spacing w:line="209" w:lineRule="exact"/>
              <w:ind w:left="50"/>
              <w:rPr>
                <w:sz w:val="20"/>
              </w:rPr>
            </w:pPr>
            <w:r>
              <w:rPr>
                <w:spacing w:val="-4"/>
                <w:sz w:val="20"/>
              </w:rPr>
              <w:t>5110</w:t>
            </w:r>
          </w:p>
        </w:tc>
        <w:tc>
          <w:tcPr>
            <w:tcW w:w="3901" w:type="dxa"/>
          </w:tcPr>
          <w:p>
            <w:pPr>
              <w:pStyle w:val="TableParagraph"/>
              <w:spacing w:line="209" w:lineRule="exact"/>
              <w:ind w:left="158"/>
              <w:rPr>
                <w:sz w:val="20"/>
              </w:rPr>
            </w:pPr>
            <w:r>
              <w:rPr>
                <w:sz w:val="20"/>
              </w:rPr>
              <w:t>Kibet</w:t>
            </w:r>
            <w:r>
              <w:rPr>
                <w:spacing w:val="-4"/>
                <w:sz w:val="20"/>
              </w:rPr>
              <w:t> </w:t>
            </w:r>
            <w:r>
              <w:rPr>
                <w:spacing w:val="-2"/>
                <w:sz w:val="20"/>
              </w:rPr>
              <w:t>(kie)</w:t>
            </w:r>
          </w:p>
        </w:tc>
        <w:tc>
          <w:tcPr>
            <w:tcW w:w="1428" w:type="dxa"/>
          </w:tcPr>
          <w:p>
            <w:pPr>
              <w:pStyle w:val="TableParagraph"/>
              <w:spacing w:line="209" w:lineRule="exact"/>
              <w:ind w:right="156"/>
              <w:jc w:val="right"/>
              <w:rPr>
                <w:sz w:val="20"/>
              </w:rPr>
            </w:pPr>
            <w:r>
              <w:rPr>
                <w:spacing w:val="-4"/>
                <w:sz w:val="20"/>
              </w:rPr>
              <w:t>5330</w:t>
            </w:r>
          </w:p>
        </w:tc>
        <w:tc>
          <w:tcPr>
            <w:tcW w:w="2638" w:type="dxa"/>
          </w:tcPr>
          <w:p>
            <w:pPr>
              <w:pStyle w:val="TableParagraph"/>
              <w:spacing w:line="209" w:lineRule="exact"/>
              <w:ind w:left="158"/>
              <w:rPr>
                <w:sz w:val="20"/>
              </w:rPr>
            </w:pPr>
            <w:r>
              <w:rPr>
                <w:sz w:val="20"/>
              </w:rPr>
              <w:t>Nyoro</w:t>
            </w:r>
            <w:r>
              <w:rPr>
                <w:spacing w:val="-6"/>
                <w:sz w:val="20"/>
              </w:rPr>
              <w:t> </w:t>
            </w:r>
            <w:r>
              <w:rPr>
                <w:spacing w:val="-2"/>
                <w:sz w:val="20"/>
              </w:rPr>
              <w:t>(nyo)</w:t>
            </w:r>
          </w:p>
        </w:tc>
      </w:tr>
      <w:tr>
        <w:trPr>
          <w:trHeight w:val="229" w:hRule="atLeast"/>
        </w:trPr>
        <w:tc>
          <w:tcPr>
            <w:tcW w:w="612" w:type="dxa"/>
          </w:tcPr>
          <w:p>
            <w:pPr>
              <w:pStyle w:val="TableParagraph"/>
              <w:spacing w:line="209" w:lineRule="exact"/>
              <w:ind w:left="50"/>
              <w:rPr>
                <w:sz w:val="20"/>
              </w:rPr>
            </w:pPr>
            <w:r>
              <w:rPr>
                <w:spacing w:val="-4"/>
                <w:sz w:val="20"/>
              </w:rPr>
              <w:t>5115</w:t>
            </w:r>
          </w:p>
        </w:tc>
        <w:tc>
          <w:tcPr>
            <w:tcW w:w="3901" w:type="dxa"/>
          </w:tcPr>
          <w:p>
            <w:pPr>
              <w:pStyle w:val="TableParagraph"/>
              <w:spacing w:line="209" w:lineRule="exact"/>
              <w:ind w:left="158"/>
              <w:rPr>
                <w:sz w:val="20"/>
              </w:rPr>
            </w:pPr>
            <w:r>
              <w:rPr>
                <w:sz w:val="20"/>
              </w:rPr>
              <w:t>Koyraboro</w:t>
            </w:r>
            <w:r>
              <w:rPr>
                <w:spacing w:val="-7"/>
                <w:sz w:val="20"/>
              </w:rPr>
              <w:t> </w:t>
            </w:r>
            <w:r>
              <w:rPr>
                <w:sz w:val="20"/>
              </w:rPr>
              <w:t>Senni</w:t>
            </w:r>
            <w:r>
              <w:rPr>
                <w:spacing w:val="-7"/>
                <w:sz w:val="20"/>
              </w:rPr>
              <w:t> </w:t>
            </w:r>
            <w:r>
              <w:rPr>
                <w:sz w:val="20"/>
              </w:rPr>
              <w:t>Songhay</w:t>
            </w:r>
            <w:r>
              <w:rPr>
                <w:spacing w:val="-11"/>
                <w:sz w:val="20"/>
              </w:rPr>
              <w:t> </w:t>
            </w:r>
            <w:r>
              <w:rPr>
                <w:spacing w:val="-4"/>
                <w:sz w:val="20"/>
              </w:rPr>
              <w:t>(ses)</w:t>
            </w:r>
          </w:p>
        </w:tc>
        <w:tc>
          <w:tcPr>
            <w:tcW w:w="1428" w:type="dxa"/>
          </w:tcPr>
          <w:p>
            <w:pPr>
              <w:pStyle w:val="TableParagraph"/>
              <w:spacing w:line="209" w:lineRule="exact"/>
              <w:ind w:right="156"/>
              <w:jc w:val="right"/>
              <w:rPr>
                <w:sz w:val="20"/>
              </w:rPr>
            </w:pPr>
            <w:r>
              <w:rPr>
                <w:spacing w:val="-4"/>
                <w:sz w:val="20"/>
              </w:rPr>
              <w:t>5335</w:t>
            </w:r>
          </w:p>
        </w:tc>
        <w:tc>
          <w:tcPr>
            <w:tcW w:w="2638" w:type="dxa"/>
          </w:tcPr>
          <w:p>
            <w:pPr>
              <w:pStyle w:val="TableParagraph"/>
              <w:spacing w:line="209" w:lineRule="exact"/>
              <w:ind w:left="158"/>
              <w:rPr>
                <w:sz w:val="20"/>
              </w:rPr>
            </w:pPr>
            <w:r>
              <w:rPr>
                <w:sz w:val="20"/>
              </w:rPr>
              <w:t>Nyankole</w:t>
            </w:r>
            <w:r>
              <w:rPr>
                <w:spacing w:val="-11"/>
                <w:sz w:val="20"/>
              </w:rPr>
              <w:t> </w:t>
            </w:r>
            <w:r>
              <w:rPr>
                <w:spacing w:val="-2"/>
                <w:sz w:val="20"/>
              </w:rPr>
              <w:t>(nyn)</w:t>
            </w:r>
          </w:p>
        </w:tc>
      </w:tr>
      <w:tr>
        <w:trPr>
          <w:trHeight w:val="230" w:hRule="atLeast"/>
        </w:trPr>
        <w:tc>
          <w:tcPr>
            <w:tcW w:w="612" w:type="dxa"/>
          </w:tcPr>
          <w:p>
            <w:pPr>
              <w:pStyle w:val="TableParagraph"/>
              <w:ind w:left="50"/>
              <w:rPr>
                <w:sz w:val="20"/>
              </w:rPr>
            </w:pPr>
            <w:r>
              <w:rPr>
                <w:spacing w:val="-4"/>
                <w:sz w:val="20"/>
              </w:rPr>
              <w:t>5117</w:t>
            </w:r>
          </w:p>
        </w:tc>
        <w:tc>
          <w:tcPr>
            <w:tcW w:w="3901" w:type="dxa"/>
          </w:tcPr>
          <w:p>
            <w:pPr>
              <w:pStyle w:val="TableParagraph"/>
              <w:ind w:left="158"/>
              <w:rPr>
                <w:sz w:val="20"/>
              </w:rPr>
            </w:pPr>
            <w:r>
              <w:rPr>
                <w:sz w:val="20"/>
              </w:rPr>
              <w:t>Zarma</w:t>
            </w:r>
            <w:r>
              <w:rPr>
                <w:spacing w:val="-9"/>
                <w:sz w:val="20"/>
              </w:rPr>
              <w:t> </w:t>
            </w:r>
            <w:r>
              <w:rPr>
                <w:spacing w:val="-2"/>
                <w:sz w:val="20"/>
              </w:rPr>
              <w:t>(dje)</w:t>
            </w:r>
          </w:p>
        </w:tc>
        <w:tc>
          <w:tcPr>
            <w:tcW w:w="1428" w:type="dxa"/>
          </w:tcPr>
          <w:p>
            <w:pPr>
              <w:pStyle w:val="TableParagraph"/>
              <w:ind w:right="156"/>
              <w:jc w:val="right"/>
              <w:rPr>
                <w:sz w:val="20"/>
              </w:rPr>
            </w:pPr>
            <w:r>
              <w:rPr>
                <w:spacing w:val="-4"/>
                <w:sz w:val="20"/>
              </w:rPr>
              <w:t>5340</w:t>
            </w:r>
          </w:p>
        </w:tc>
        <w:tc>
          <w:tcPr>
            <w:tcW w:w="2638" w:type="dxa"/>
          </w:tcPr>
          <w:p>
            <w:pPr>
              <w:pStyle w:val="TableParagraph"/>
              <w:ind w:left="158"/>
              <w:rPr>
                <w:sz w:val="20"/>
              </w:rPr>
            </w:pPr>
            <w:r>
              <w:rPr>
                <w:sz w:val="20"/>
              </w:rPr>
              <w:t>Chiga</w:t>
            </w:r>
            <w:r>
              <w:rPr>
                <w:spacing w:val="-8"/>
                <w:sz w:val="20"/>
              </w:rPr>
              <w:t> </w:t>
            </w:r>
            <w:r>
              <w:rPr>
                <w:spacing w:val="-2"/>
                <w:sz w:val="20"/>
              </w:rPr>
              <w:t>(cgg)</w:t>
            </w:r>
          </w:p>
        </w:tc>
      </w:tr>
      <w:tr>
        <w:trPr>
          <w:trHeight w:val="230" w:hRule="atLeast"/>
        </w:trPr>
        <w:tc>
          <w:tcPr>
            <w:tcW w:w="612" w:type="dxa"/>
          </w:tcPr>
          <w:p>
            <w:pPr>
              <w:pStyle w:val="TableParagraph"/>
              <w:spacing w:line="240" w:lineRule="auto"/>
              <w:rPr>
                <w:sz w:val="16"/>
              </w:rPr>
            </w:pPr>
          </w:p>
        </w:tc>
        <w:tc>
          <w:tcPr>
            <w:tcW w:w="3901" w:type="dxa"/>
          </w:tcPr>
          <w:p>
            <w:pPr>
              <w:pStyle w:val="TableParagraph"/>
              <w:spacing w:line="240" w:lineRule="auto"/>
              <w:rPr>
                <w:sz w:val="16"/>
              </w:rPr>
            </w:pPr>
          </w:p>
        </w:tc>
        <w:tc>
          <w:tcPr>
            <w:tcW w:w="1428" w:type="dxa"/>
          </w:tcPr>
          <w:p>
            <w:pPr>
              <w:pStyle w:val="TableParagraph"/>
              <w:ind w:right="156"/>
              <w:jc w:val="right"/>
              <w:rPr>
                <w:sz w:val="20"/>
              </w:rPr>
            </w:pPr>
            <w:r>
              <w:rPr>
                <w:spacing w:val="-4"/>
                <w:sz w:val="20"/>
              </w:rPr>
              <w:t>5345</w:t>
            </w:r>
          </w:p>
        </w:tc>
        <w:tc>
          <w:tcPr>
            <w:tcW w:w="2638" w:type="dxa"/>
          </w:tcPr>
          <w:p>
            <w:pPr>
              <w:pStyle w:val="TableParagraph"/>
              <w:ind w:left="158"/>
              <w:rPr>
                <w:sz w:val="20"/>
              </w:rPr>
            </w:pPr>
            <w:r>
              <w:rPr>
                <w:sz w:val="20"/>
              </w:rPr>
              <w:t>Ganda</w:t>
            </w:r>
            <w:r>
              <w:rPr>
                <w:spacing w:val="-6"/>
                <w:sz w:val="20"/>
              </w:rPr>
              <w:t> </w:t>
            </w:r>
            <w:r>
              <w:rPr>
                <w:spacing w:val="-2"/>
                <w:sz w:val="20"/>
              </w:rPr>
              <w:t>(lug)</w:t>
            </w:r>
          </w:p>
        </w:tc>
      </w:tr>
      <w:tr>
        <w:trPr>
          <w:trHeight w:val="230" w:hRule="atLeast"/>
        </w:trPr>
        <w:tc>
          <w:tcPr>
            <w:tcW w:w="612" w:type="dxa"/>
          </w:tcPr>
          <w:p>
            <w:pPr>
              <w:pStyle w:val="TableParagraph"/>
              <w:ind w:left="50"/>
              <w:rPr>
                <w:sz w:val="20"/>
              </w:rPr>
            </w:pPr>
            <w:r>
              <w:rPr>
                <w:spacing w:val="-4"/>
                <w:sz w:val="20"/>
              </w:rPr>
              <w:t>5120</w:t>
            </w:r>
          </w:p>
        </w:tc>
        <w:tc>
          <w:tcPr>
            <w:tcW w:w="3901" w:type="dxa"/>
          </w:tcPr>
          <w:p>
            <w:pPr>
              <w:pStyle w:val="TableParagraph"/>
              <w:ind w:left="158"/>
              <w:rPr>
                <w:sz w:val="20"/>
              </w:rPr>
            </w:pPr>
            <w:r>
              <w:rPr>
                <w:sz w:val="20"/>
              </w:rPr>
              <w:t>Korana</w:t>
            </w:r>
            <w:r>
              <w:rPr>
                <w:spacing w:val="-6"/>
                <w:sz w:val="20"/>
              </w:rPr>
              <w:t> </w:t>
            </w:r>
            <w:r>
              <w:rPr>
                <w:spacing w:val="-2"/>
                <w:sz w:val="20"/>
              </w:rPr>
              <w:t>(kqz)</w:t>
            </w:r>
          </w:p>
        </w:tc>
        <w:tc>
          <w:tcPr>
            <w:tcW w:w="1428" w:type="dxa"/>
          </w:tcPr>
          <w:p>
            <w:pPr>
              <w:pStyle w:val="TableParagraph"/>
              <w:ind w:right="156"/>
              <w:jc w:val="right"/>
              <w:rPr>
                <w:sz w:val="20"/>
              </w:rPr>
            </w:pPr>
            <w:r>
              <w:rPr>
                <w:spacing w:val="-4"/>
                <w:sz w:val="20"/>
              </w:rPr>
              <w:t>5350</w:t>
            </w:r>
          </w:p>
        </w:tc>
        <w:tc>
          <w:tcPr>
            <w:tcW w:w="2638" w:type="dxa"/>
          </w:tcPr>
          <w:p>
            <w:pPr>
              <w:pStyle w:val="TableParagraph"/>
              <w:ind w:left="158"/>
              <w:rPr>
                <w:sz w:val="20"/>
              </w:rPr>
            </w:pPr>
            <w:r>
              <w:rPr>
                <w:sz w:val="20"/>
              </w:rPr>
              <w:t>Soga</w:t>
            </w:r>
            <w:r>
              <w:rPr>
                <w:spacing w:val="-7"/>
                <w:sz w:val="20"/>
              </w:rPr>
              <w:t> </w:t>
            </w:r>
            <w:r>
              <w:rPr>
                <w:spacing w:val="-2"/>
                <w:sz w:val="20"/>
              </w:rPr>
              <w:t>(xog)</w:t>
            </w:r>
          </w:p>
        </w:tc>
      </w:tr>
      <w:tr>
        <w:trPr>
          <w:trHeight w:val="230" w:hRule="atLeast"/>
        </w:trPr>
        <w:tc>
          <w:tcPr>
            <w:tcW w:w="612" w:type="dxa"/>
          </w:tcPr>
          <w:p>
            <w:pPr>
              <w:pStyle w:val="TableParagraph"/>
              <w:ind w:left="50"/>
              <w:rPr>
                <w:sz w:val="20"/>
              </w:rPr>
            </w:pPr>
            <w:r>
              <w:rPr>
                <w:spacing w:val="-4"/>
                <w:sz w:val="20"/>
              </w:rPr>
              <w:t>5125</w:t>
            </w:r>
          </w:p>
        </w:tc>
        <w:tc>
          <w:tcPr>
            <w:tcW w:w="3901" w:type="dxa"/>
          </w:tcPr>
          <w:p>
            <w:pPr>
              <w:pStyle w:val="TableParagraph"/>
              <w:ind w:left="158"/>
              <w:rPr>
                <w:sz w:val="20"/>
              </w:rPr>
            </w:pPr>
            <w:r>
              <w:rPr>
                <w:sz w:val="20"/>
              </w:rPr>
              <w:t>Gana</w:t>
            </w:r>
            <w:r>
              <w:rPr>
                <w:spacing w:val="-6"/>
                <w:sz w:val="20"/>
              </w:rPr>
              <w:t> </w:t>
            </w:r>
            <w:r>
              <w:rPr>
                <w:spacing w:val="-2"/>
                <w:sz w:val="20"/>
              </w:rPr>
              <w:t>(gnk)</w:t>
            </w:r>
          </w:p>
        </w:tc>
        <w:tc>
          <w:tcPr>
            <w:tcW w:w="1428" w:type="dxa"/>
          </w:tcPr>
          <w:p>
            <w:pPr>
              <w:pStyle w:val="TableParagraph"/>
              <w:ind w:right="156"/>
              <w:jc w:val="right"/>
              <w:rPr>
                <w:sz w:val="20"/>
              </w:rPr>
            </w:pPr>
            <w:r>
              <w:rPr>
                <w:spacing w:val="-4"/>
                <w:sz w:val="20"/>
              </w:rPr>
              <w:t>5355</w:t>
            </w:r>
          </w:p>
        </w:tc>
        <w:tc>
          <w:tcPr>
            <w:tcW w:w="2638" w:type="dxa"/>
          </w:tcPr>
          <w:p>
            <w:pPr>
              <w:pStyle w:val="TableParagraph"/>
              <w:ind w:left="158"/>
              <w:rPr>
                <w:sz w:val="20"/>
              </w:rPr>
            </w:pPr>
            <w:r>
              <w:rPr>
                <w:sz w:val="20"/>
              </w:rPr>
              <w:t>Gwere</w:t>
            </w:r>
            <w:r>
              <w:rPr>
                <w:spacing w:val="-8"/>
                <w:sz w:val="20"/>
              </w:rPr>
              <w:t> </w:t>
            </w:r>
            <w:r>
              <w:rPr>
                <w:spacing w:val="-2"/>
                <w:sz w:val="20"/>
              </w:rPr>
              <w:t>(gwr)</w:t>
            </w:r>
          </w:p>
        </w:tc>
      </w:tr>
      <w:tr>
        <w:trPr>
          <w:trHeight w:val="229" w:hRule="atLeast"/>
        </w:trPr>
        <w:tc>
          <w:tcPr>
            <w:tcW w:w="612" w:type="dxa"/>
          </w:tcPr>
          <w:p>
            <w:pPr>
              <w:pStyle w:val="TableParagraph"/>
              <w:spacing w:line="209" w:lineRule="exact"/>
              <w:ind w:left="50"/>
              <w:rPr>
                <w:sz w:val="20"/>
              </w:rPr>
            </w:pPr>
            <w:r>
              <w:rPr>
                <w:spacing w:val="-4"/>
                <w:sz w:val="20"/>
              </w:rPr>
              <w:t>5127</w:t>
            </w:r>
          </w:p>
        </w:tc>
        <w:tc>
          <w:tcPr>
            <w:tcW w:w="3901" w:type="dxa"/>
          </w:tcPr>
          <w:p>
            <w:pPr>
              <w:pStyle w:val="TableParagraph"/>
              <w:spacing w:line="209" w:lineRule="exact"/>
              <w:ind w:left="158"/>
              <w:rPr>
                <w:sz w:val="20"/>
              </w:rPr>
            </w:pPr>
            <w:r>
              <w:rPr>
                <w:sz w:val="20"/>
              </w:rPr>
              <w:t>Nama</w:t>
            </w:r>
            <w:r>
              <w:rPr>
                <w:spacing w:val="-8"/>
                <w:sz w:val="20"/>
              </w:rPr>
              <w:t> </w:t>
            </w:r>
            <w:r>
              <w:rPr>
                <w:sz w:val="20"/>
              </w:rPr>
              <w:t>(Namibia)</w:t>
            </w:r>
            <w:r>
              <w:rPr>
                <w:spacing w:val="-6"/>
                <w:sz w:val="20"/>
              </w:rPr>
              <w:t> </w:t>
            </w:r>
            <w:r>
              <w:rPr>
                <w:spacing w:val="-4"/>
                <w:sz w:val="20"/>
              </w:rPr>
              <w:t>(ylo)</w:t>
            </w:r>
          </w:p>
        </w:tc>
        <w:tc>
          <w:tcPr>
            <w:tcW w:w="1428" w:type="dxa"/>
          </w:tcPr>
          <w:p>
            <w:pPr>
              <w:pStyle w:val="TableParagraph"/>
              <w:spacing w:line="209" w:lineRule="exact"/>
              <w:ind w:right="156"/>
              <w:jc w:val="right"/>
              <w:rPr>
                <w:sz w:val="20"/>
              </w:rPr>
            </w:pPr>
            <w:r>
              <w:rPr>
                <w:spacing w:val="-4"/>
                <w:sz w:val="20"/>
              </w:rPr>
              <w:t>5360</w:t>
            </w:r>
          </w:p>
        </w:tc>
        <w:tc>
          <w:tcPr>
            <w:tcW w:w="2638" w:type="dxa"/>
          </w:tcPr>
          <w:p>
            <w:pPr>
              <w:pStyle w:val="TableParagraph"/>
              <w:spacing w:line="209" w:lineRule="exact"/>
              <w:ind w:left="158"/>
              <w:rPr>
                <w:sz w:val="20"/>
              </w:rPr>
            </w:pPr>
            <w:r>
              <w:rPr>
                <w:sz w:val="20"/>
              </w:rPr>
              <w:t>Tooro</w:t>
            </w:r>
            <w:r>
              <w:rPr>
                <w:spacing w:val="-5"/>
                <w:sz w:val="20"/>
              </w:rPr>
              <w:t> </w:t>
            </w:r>
            <w:r>
              <w:rPr>
                <w:spacing w:val="-2"/>
                <w:sz w:val="20"/>
              </w:rPr>
              <w:t>(ttj)</w:t>
            </w:r>
          </w:p>
        </w:tc>
      </w:tr>
      <w:tr>
        <w:trPr>
          <w:trHeight w:val="229" w:hRule="atLeast"/>
        </w:trPr>
        <w:tc>
          <w:tcPr>
            <w:tcW w:w="612" w:type="dxa"/>
          </w:tcPr>
          <w:p>
            <w:pPr>
              <w:pStyle w:val="TableParagraph"/>
              <w:spacing w:line="209" w:lineRule="exact"/>
              <w:ind w:left="50"/>
              <w:rPr>
                <w:sz w:val="20"/>
              </w:rPr>
            </w:pPr>
            <w:r>
              <w:rPr>
                <w:spacing w:val="-4"/>
                <w:sz w:val="20"/>
              </w:rPr>
              <w:t>5130</w:t>
            </w:r>
          </w:p>
        </w:tc>
        <w:tc>
          <w:tcPr>
            <w:tcW w:w="3901" w:type="dxa"/>
          </w:tcPr>
          <w:p>
            <w:pPr>
              <w:pStyle w:val="TableParagraph"/>
              <w:spacing w:line="209" w:lineRule="exact"/>
              <w:ind w:left="158"/>
              <w:rPr>
                <w:sz w:val="20"/>
              </w:rPr>
            </w:pPr>
            <w:r>
              <w:rPr>
                <w:sz w:val="20"/>
              </w:rPr>
              <w:t>Hadza</w:t>
            </w:r>
            <w:r>
              <w:rPr>
                <w:spacing w:val="-5"/>
                <w:sz w:val="20"/>
              </w:rPr>
              <w:t> </w:t>
            </w:r>
            <w:r>
              <w:rPr>
                <w:spacing w:val="-2"/>
                <w:sz w:val="20"/>
              </w:rPr>
              <w:t>(hts)</w:t>
            </w:r>
          </w:p>
        </w:tc>
        <w:tc>
          <w:tcPr>
            <w:tcW w:w="1428" w:type="dxa"/>
          </w:tcPr>
          <w:p>
            <w:pPr>
              <w:pStyle w:val="TableParagraph"/>
              <w:spacing w:line="209" w:lineRule="exact"/>
              <w:ind w:right="156"/>
              <w:jc w:val="right"/>
              <w:rPr>
                <w:sz w:val="20"/>
              </w:rPr>
            </w:pPr>
            <w:r>
              <w:rPr>
                <w:spacing w:val="-4"/>
                <w:sz w:val="20"/>
              </w:rPr>
              <w:t>5365</w:t>
            </w:r>
          </w:p>
        </w:tc>
        <w:tc>
          <w:tcPr>
            <w:tcW w:w="2638" w:type="dxa"/>
          </w:tcPr>
          <w:p>
            <w:pPr>
              <w:pStyle w:val="TableParagraph"/>
              <w:spacing w:line="209" w:lineRule="exact"/>
              <w:ind w:left="158"/>
              <w:rPr>
                <w:sz w:val="20"/>
              </w:rPr>
            </w:pPr>
            <w:r>
              <w:rPr>
                <w:sz w:val="20"/>
              </w:rPr>
              <w:t>Kinyarwanda</w:t>
            </w:r>
            <w:r>
              <w:rPr>
                <w:spacing w:val="-12"/>
                <w:sz w:val="20"/>
              </w:rPr>
              <w:t> </w:t>
            </w:r>
            <w:r>
              <w:rPr>
                <w:spacing w:val="-2"/>
                <w:sz w:val="20"/>
              </w:rPr>
              <w:t>(kin)</w:t>
            </w:r>
          </w:p>
        </w:tc>
      </w:tr>
      <w:tr>
        <w:trPr>
          <w:trHeight w:val="230" w:hRule="atLeast"/>
        </w:trPr>
        <w:tc>
          <w:tcPr>
            <w:tcW w:w="612" w:type="dxa"/>
          </w:tcPr>
          <w:p>
            <w:pPr>
              <w:pStyle w:val="TableParagraph"/>
              <w:spacing w:line="211" w:lineRule="exact"/>
              <w:ind w:left="50"/>
              <w:rPr>
                <w:sz w:val="20"/>
              </w:rPr>
            </w:pPr>
            <w:r>
              <w:rPr>
                <w:spacing w:val="-4"/>
                <w:sz w:val="20"/>
              </w:rPr>
              <w:t>5135</w:t>
            </w:r>
          </w:p>
        </w:tc>
        <w:tc>
          <w:tcPr>
            <w:tcW w:w="3901" w:type="dxa"/>
          </w:tcPr>
          <w:p>
            <w:pPr>
              <w:pStyle w:val="TableParagraph"/>
              <w:spacing w:line="211" w:lineRule="exact"/>
              <w:ind w:left="158"/>
              <w:rPr>
                <w:sz w:val="20"/>
              </w:rPr>
            </w:pPr>
            <w:r>
              <w:rPr>
                <w:sz w:val="20"/>
              </w:rPr>
              <w:t>Sandawe</w:t>
            </w:r>
            <w:r>
              <w:rPr>
                <w:spacing w:val="-10"/>
                <w:sz w:val="20"/>
              </w:rPr>
              <w:t> </w:t>
            </w:r>
            <w:r>
              <w:rPr>
                <w:spacing w:val="-2"/>
                <w:sz w:val="20"/>
              </w:rPr>
              <w:t>(sad)</w:t>
            </w:r>
          </w:p>
        </w:tc>
        <w:tc>
          <w:tcPr>
            <w:tcW w:w="1428" w:type="dxa"/>
          </w:tcPr>
          <w:p>
            <w:pPr>
              <w:pStyle w:val="TableParagraph"/>
              <w:spacing w:line="211" w:lineRule="exact"/>
              <w:ind w:right="156"/>
              <w:jc w:val="right"/>
              <w:rPr>
                <w:sz w:val="20"/>
              </w:rPr>
            </w:pPr>
            <w:r>
              <w:rPr>
                <w:spacing w:val="-4"/>
                <w:sz w:val="20"/>
              </w:rPr>
              <w:t>5370</w:t>
            </w:r>
          </w:p>
        </w:tc>
        <w:tc>
          <w:tcPr>
            <w:tcW w:w="2638" w:type="dxa"/>
          </w:tcPr>
          <w:p>
            <w:pPr>
              <w:pStyle w:val="TableParagraph"/>
              <w:spacing w:line="211" w:lineRule="exact"/>
              <w:ind w:left="158"/>
              <w:rPr>
                <w:sz w:val="20"/>
              </w:rPr>
            </w:pPr>
            <w:r>
              <w:rPr>
                <w:sz w:val="20"/>
              </w:rPr>
              <w:t>Rundi</w:t>
            </w:r>
            <w:r>
              <w:rPr>
                <w:spacing w:val="-7"/>
                <w:sz w:val="20"/>
              </w:rPr>
              <w:t> </w:t>
            </w:r>
            <w:r>
              <w:rPr>
                <w:spacing w:val="-2"/>
                <w:sz w:val="20"/>
              </w:rPr>
              <w:t>(run)</w:t>
            </w:r>
          </w:p>
        </w:tc>
      </w:tr>
      <w:tr>
        <w:trPr>
          <w:trHeight w:val="230" w:hRule="atLeast"/>
        </w:trPr>
        <w:tc>
          <w:tcPr>
            <w:tcW w:w="612" w:type="dxa"/>
          </w:tcPr>
          <w:p>
            <w:pPr>
              <w:pStyle w:val="TableParagraph"/>
              <w:spacing w:line="240" w:lineRule="auto"/>
              <w:rPr>
                <w:sz w:val="16"/>
              </w:rPr>
            </w:pPr>
          </w:p>
        </w:tc>
        <w:tc>
          <w:tcPr>
            <w:tcW w:w="3901" w:type="dxa"/>
          </w:tcPr>
          <w:p>
            <w:pPr>
              <w:pStyle w:val="TableParagraph"/>
              <w:spacing w:line="240" w:lineRule="auto"/>
              <w:rPr>
                <w:sz w:val="16"/>
              </w:rPr>
            </w:pPr>
          </w:p>
        </w:tc>
        <w:tc>
          <w:tcPr>
            <w:tcW w:w="1428" w:type="dxa"/>
          </w:tcPr>
          <w:p>
            <w:pPr>
              <w:pStyle w:val="TableParagraph"/>
              <w:ind w:right="156"/>
              <w:jc w:val="right"/>
              <w:rPr>
                <w:sz w:val="20"/>
              </w:rPr>
            </w:pPr>
            <w:r>
              <w:rPr>
                <w:spacing w:val="-4"/>
                <w:sz w:val="20"/>
              </w:rPr>
              <w:t>5375</w:t>
            </w:r>
          </w:p>
        </w:tc>
        <w:tc>
          <w:tcPr>
            <w:tcW w:w="2638" w:type="dxa"/>
          </w:tcPr>
          <w:p>
            <w:pPr>
              <w:pStyle w:val="TableParagraph"/>
              <w:ind w:left="158"/>
              <w:rPr>
                <w:sz w:val="20"/>
              </w:rPr>
            </w:pPr>
            <w:r>
              <w:rPr>
                <w:sz w:val="20"/>
              </w:rPr>
              <w:t>Fuliiru</w:t>
            </w:r>
            <w:r>
              <w:rPr>
                <w:spacing w:val="-7"/>
                <w:sz w:val="20"/>
              </w:rPr>
              <w:t> </w:t>
            </w:r>
            <w:r>
              <w:rPr>
                <w:spacing w:val="-2"/>
                <w:sz w:val="20"/>
              </w:rPr>
              <w:t>(flr)</w:t>
            </w:r>
          </w:p>
        </w:tc>
      </w:tr>
      <w:tr>
        <w:trPr>
          <w:trHeight w:val="225" w:hRule="atLeast"/>
        </w:trPr>
        <w:tc>
          <w:tcPr>
            <w:tcW w:w="612" w:type="dxa"/>
          </w:tcPr>
          <w:p>
            <w:pPr>
              <w:pStyle w:val="TableParagraph"/>
              <w:spacing w:line="240" w:lineRule="auto"/>
              <w:rPr>
                <w:sz w:val="16"/>
              </w:rPr>
            </w:pPr>
          </w:p>
        </w:tc>
        <w:tc>
          <w:tcPr>
            <w:tcW w:w="3901" w:type="dxa"/>
          </w:tcPr>
          <w:p>
            <w:pPr>
              <w:pStyle w:val="TableParagraph"/>
              <w:spacing w:line="240" w:lineRule="auto"/>
              <w:rPr>
                <w:sz w:val="16"/>
              </w:rPr>
            </w:pPr>
          </w:p>
        </w:tc>
        <w:tc>
          <w:tcPr>
            <w:tcW w:w="1428" w:type="dxa"/>
          </w:tcPr>
          <w:p>
            <w:pPr>
              <w:pStyle w:val="TableParagraph"/>
              <w:spacing w:line="205" w:lineRule="exact"/>
              <w:ind w:right="156"/>
              <w:jc w:val="right"/>
              <w:rPr>
                <w:sz w:val="20"/>
              </w:rPr>
            </w:pPr>
            <w:r>
              <w:rPr>
                <w:spacing w:val="-4"/>
                <w:sz w:val="20"/>
              </w:rPr>
              <w:t>5380</w:t>
            </w:r>
          </w:p>
        </w:tc>
        <w:tc>
          <w:tcPr>
            <w:tcW w:w="2638" w:type="dxa"/>
          </w:tcPr>
          <w:p>
            <w:pPr>
              <w:pStyle w:val="TableParagraph"/>
              <w:spacing w:line="205" w:lineRule="exact"/>
              <w:ind w:left="158"/>
              <w:rPr>
                <w:sz w:val="20"/>
              </w:rPr>
            </w:pPr>
            <w:r>
              <w:rPr>
                <w:sz w:val="20"/>
              </w:rPr>
              <w:t>Nyemba</w:t>
            </w:r>
            <w:r>
              <w:rPr>
                <w:spacing w:val="-10"/>
                <w:sz w:val="20"/>
              </w:rPr>
              <w:t> </w:t>
            </w:r>
            <w:r>
              <w:rPr>
                <w:spacing w:val="-2"/>
                <w:sz w:val="20"/>
              </w:rPr>
              <w:t>(nba)</w:t>
            </w:r>
          </w:p>
        </w:tc>
      </w:tr>
      <w:tr>
        <w:trPr>
          <w:trHeight w:val="235" w:hRule="atLeast"/>
        </w:trPr>
        <w:tc>
          <w:tcPr>
            <w:tcW w:w="4513" w:type="dxa"/>
            <w:gridSpan w:val="2"/>
          </w:tcPr>
          <w:p>
            <w:pPr>
              <w:pStyle w:val="TableParagraph"/>
              <w:spacing w:line="205" w:lineRule="exact"/>
              <w:ind w:left="50"/>
              <w:rPr>
                <w:i/>
                <w:sz w:val="20"/>
              </w:rPr>
            </w:pPr>
            <w:r>
              <w:rPr>
                <w:i/>
                <w:sz w:val="20"/>
                <w:u w:val="single"/>
              </w:rPr>
              <w:t>Niger-Congo</w:t>
            </w:r>
            <w:r>
              <w:rPr>
                <w:i/>
                <w:spacing w:val="-9"/>
                <w:sz w:val="20"/>
                <w:u w:val="single"/>
              </w:rPr>
              <w:t> </w:t>
            </w:r>
            <w:r>
              <w:rPr>
                <w:i/>
                <w:sz w:val="20"/>
                <w:u w:val="single"/>
              </w:rPr>
              <w:t>languages</w:t>
            </w:r>
            <w:r>
              <w:rPr>
                <w:i/>
                <w:spacing w:val="-11"/>
                <w:sz w:val="20"/>
                <w:u w:val="single"/>
              </w:rPr>
              <w:t> </w:t>
            </w:r>
            <w:r>
              <w:rPr>
                <w:i/>
                <w:sz w:val="20"/>
                <w:u w:val="single"/>
              </w:rPr>
              <w:t>(5140-</w:t>
            </w:r>
            <w:r>
              <w:rPr>
                <w:i/>
                <w:spacing w:val="-4"/>
                <w:sz w:val="20"/>
                <w:u w:val="single"/>
              </w:rPr>
              <w:t>6701)</w:t>
            </w:r>
          </w:p>
        </w:tc>
        <w:tc>
          <w:tcPr>
            <w:tcW w:w="1428" w:type="dxa"/>
          </w:tcPr>
          <w:p>
            <w:pPr>
              <w:pStyle w:val="TableParagraph"/>
              <w:spacing w:line="205" w:lineRule="exact"/>
              <w:ind w:right="156"/>
              <w:jc w:val="right"/>
              <w:rPr>
                <w:sz w:val="20"/>
              </w:rPr>
            </w:pPr>
            <w:r>
              <w:rPr>
                <w:spacing w:val="-4"/>
                <w:sz w:val="20"/>
              </w:rPr>
              <w:t>5385</w:t>
            </w:r>
          </w:p>
        </w:tc>
        <w:tc>
          <w:tcPr>
            <w:tcW w:w="2638" w:type="dxa"/>
          </w:tcPr>
          <w:p>
            <w:pPr>
              <w:pStyle w:val="TableParagraph"/>
              <w:spacing w:line="205" w:lineRule="exact"/>
              <w:ind w:left="158"/>
              <w:rPr>
                <w:sz w:val="20"/>
              </w:rPr>
            </w:pPr>
            <w:r>
              <w:rPr>
                <w:sz w:val="20"/>
              </w:rPr>
              <w:t>Luvale</w:t>
            </w:r>
            <w:r>
              <w:rPr>
                <w:spacing w:val="-10"/>
                <w:sz w:val="20"/>
              </w:rPr>
              <w:t> </w:t>
            </w:r>
            <w:r>
              <w:rPr>
                <w:spacing w:val="-2"/>
                <w:sz w:val="20"/>
              </w:rPr>
              <w:t>(lue)</w:t>
            </w:r>
          </w:p>
        </w:tc>
      </w:tr>
      <w:tr>
        <w:trPr>
          <w:trHeight w:val="229" w:hRule="atLeast"/>
        </w:trPr>
        <w:tc>
          <w:tcPr>
            <w:tcW w:w="4513" w:type="dxa"/>
            <w:gridSpan w:val="2"/>
          </w:tcPr>
          <w:p>
            <w:pPr>
              <w:pStyle w:val="TableParagraph"/>
              <w:spacing w:line="240" w:lineRule="auto"/>
              <w:rPr>
                <w:sz w:val="16"/>
              </w:rPr>
            </w:pPr>
          </w:p>
        </w:tc>
        <w:tc>
          <w:tcPr>
            <w:tcW w:w="1428" w:type="dxa"/>
          </w:tcPr>
          <w:p>
            <w:pPr>
              <w:pStyle w:val="TableParagraph"/>
              <w:spacing w:line="209" w:lineRule="exact"/>
              <w:ind w:right="156"/>
              <w:jc w:val="right"/>
              <w:rPr>
                <w:sz w:val="20"/>
              </w:rPr>
            </w:pPr>
            <w:r>
              <w:rPr>
                <w:spacing w:val="-4"/>
                <w:sz w:val="20"/>
              </w:rPr>
              <w:t>5390</w:t>
            </w:r>
          </w:p>
        </w:tc>
        <w:tc>
          <w:tcPr>
            <w:tcW w:w="2638" w:type="dxa"/>
          </w:tcPr>
          <w:p>
            <w:pPr>
              <w:pStyle w:val="TableParagraph"/>
              <w:spacing w:line="209" w:lineRule="exact"/>
              <w:ind w:left="158"/>
              <w:rPr>
                <w:sz w:val="20"/>
              </w:rPr>
            </w:pPr>
            <w:r>
              <w:rPr>
                <w:sz w:val="20"/>
              </w:rPr>
              <w:t>Lozi</w:t>
            </w:r>
            <w:r>
              <w:rPr>
                <w:spacing w:val="-5"/>
                <w:sz w:val="20"/>
              </w:rPr>
              <w:t> </w:t>
            </w:r>
            <w:r>
              <w:rPr>
                <w:spacing w:val="-2"/>
                <w:sz w:val="20"/>
              </w:rPr>
              <w:t>(loz)</w:t>
            </w:r>
          </w:p>
        </w:tc>
      </w:tr>
      <w:tr>
        <w:trPr>
          <w:trHeight w:val="224" w:hRule="atLeast"/>
        </w:trPr>
        <w:tc>
          <w:tcPr>
            <w:tcW w:w="4513" w:type="dxa"/>
            <w:gridSpan w:val="2"/>
          </w:tcPr>
          <w:p>
            <w:pPr>
              <w:pStyle w:val="TableParagraph"/>
              <w:spacing w:line="204" w:lineRule="exact"/>
              <w:ind w:left="50"/>
              <w:rPr>
                <w:i/>
                <w:sz w:val="20"/>
              </w:rPr>
            </w:pPr>
            <w:r>
              <w:rPr>
                <w:i/>
                <w:sz w:val="20"/>
              </w:rPr>
              <w:t>Bantoid</w:t>
            </w:r>
            <w:r>
              <w:rPr>
                <w:i/>
                <w:spacing w:val="-7"/>
                <w:sz w:val="20"/>
              </w:rPr>
              <w:t> </w:t>
            </w:r>
            <w:r>
              <w:rPr>
                <w:i/>
                <w:sz w:val="20"/>
              </w:rPr>
              <w:t>languages</w:t>
            </w:r>
            <w:r>
              <w:rPr>
                <w:i/>
                <w:spacing w:val="-9"/>
                <w:sz w:val="20"/>
              </w:rPr>
              <w:t> </w:t>
            </w:r>
            <w:r>
              <w:rPr>
                <w:i/>
                <w:sz w:val="20"/>
              </w:rPr>
              <w:t>(5140-</w:t>
            </w:r>
            <w:r>
              <w:rPr>
                <w:i/>
                <w:spacing w:val="-2"/>
                <w:sz w:val="20"/>
              </w:rPr>
              <w:t>5829)</w:t>
            </w:r>
          </w:p>
        </w:tc>
        <w:tc>
          <w:tcPr>
            <w:tcW w:w="1428" w:type="dxa"/>
          </w:tcPr>
          <w:p>
            <w:pPr>
              <w:pStyle w:val="TableParagraph"/>
              <w:spacing w:line="204" w:lineRule="exact"/>
              <w:ind w:right="156"/>
              <w:jc w:val="right"/>
              <w:rPr>
                <w:sz w:val="20"/>
              </w:rPr>
            </w:pPr>
            <w:r>
              <w:rPr>
                <w:spacing w:val="-4"/>
                <w:sz w:val="20"/>
              </w:rPr>
              <w:t>5400</w:t>
            </w:r>
          </w:p>
        </w:tc>
        <w:tc>
          <w:tcPr>
            <w:tcW w:w="2638" w:type="dxa"/>
          </w:tcPr>
          <w:p>
            <w:pPr>
              <w:pStyle w:val="TableParagraph"/>
              <w:spacing w:line="204" w:lineRule="exact"/>
              <w:ind w:left="158"/>
              <w:rPr>
                <w:sz w:val="20"/>
              </w:rPr>
            </w:pPr>
            <w:r>
              <w:rPr>
                <w:sz w:val="20"/>
              </w:rPr>
              <w:t>Kaonde</w:t>
            </w:r>
            <w:r>
              <w:rPr>
                <w:spacing w:val="-7"/>
                <w:sz w:val="20"/>
              </w:rPr>
              <w:t> </w:t>
            </w:r>
            <w:r>
              <w:rPr>
                <w:spacing w:val="-2"/>
                <w:sz w:val="20"/>
              </w:rPr>
              <w:t>(kqn)</w:t>
            </w:r>
          </w:p>
        </w:tc>
      </w:tr>
      <w:tr>
        <w:trPr>
          <w:trHeight w:val="235" w:hRule="atLeast"/>
        </w:trPr>
        <w:tc>
          <w:tcPr>
            <w:tcW w:w="612" w:type="dxa"/>
          </w:tcPr>
          <w:p>
            <w:pPr>
              <w:pStyle w:val="TableParagraph"/>
              <w:spacing w:line="205" w:lineRule="exact"/>
              <w:ind w:left="50"/>
              <w:rPr>
                <w:sz w:val="20"/>
              </w:rPr>
            </w:pPr>
            <w:r>
              <w:rPr>
                <w:spacing w:val="-4"/>
                <w:sz w:val="20"/>
              </w:rPr>
              <w:t>5140</w:t>
            </w:r>
          </w:p>
        </w:tc>
        <w:tc>
          <w:tcPr>
            <w:tcW w:w="3901" w:type="dxa"/>
          </w:tcPr>
          <w:p>
            <w:pPr>
              <w:pStyle w:val="TableParagraph"/>
              <w:spacing w:line="205" w:lineRule="exact"/>
              <w:ind w:left="158"/>
              <w:rPr>
                <w:sz w:val="20"/>
              </w:rPr>
            </w:pPr>
            <w:r>
              <w:rPr>
                <w:sz w:val="20"/>
              </w:rPr>
              <w:t>Bantu</w:t>
            </w:r>
            <w:r>
              <w:rPr>
                <w:spacing w:val="-9"/>
                <w:sz w:val="20"/>
              </w:rPr>
              <w:t> </w:t>
            </w:r>
            <w:r>
              <w:rPr>
                <w:sz w:val="20"/>
              </w:rPr>
              <w:t>languages</w:t>
            </w:r>
            <w:r>
              <w:rPr>
                <w:spacing w:val="-8"/>
                <w:sz w:val="20"/>
              </w:rPr>
              <w:t> </w:t>
            </w:r>
            <w:r>
              <w:rPr>
                <w:spacing w:val="-2"/>
                <w:sz w:val="20"/>
              </w:rPr>
              <w:t>(bnt)</w:t>
            </w:r>
          </w:p>
        </w:tc>
        <w:tc>
          <w:tcPr>
            <w:tcW w:w="1428" w:type="dxa"/>
          </w:tcPr>
          <w:p>
            <w:pPr>
              <w:pStyle w:val="TableParagraph"/>
              <w:spacing w:line="205" w:lineRule="exact"/>
              <w:ind w:right="156"/>
              <w:jc w:val="right"/>
              <w:rPr>
                <w:sz w:val="20"/>
              </w:rPr>
            </w:pPr>
            <w:r>
              <w:rPr>
                <w:spacing w:val="-4"/>
                <w:sz w:val="20"/>
              </w:rPr>
              <w:t>5405</w:t>
            </w:r>
          </w:p>
        </w:tc>
        <w:tc>
          <w:tcPr>
            <w:tcW w:w="2638" w:type="dxa"/>
          </w:tcPr>
          <w:p>
            <w:pPr>
              <w:pStyle w:val="TableParagraph"/>
              <w:spacing w:line="205" w:lineRule="exact"/>
              <w:ind w:left="158"/>
              <w:rPr>
                <w:sz w:val="20"/>
              </w:rPr>
            </w:pPr>
            <w:r>
              <w:rPr>
                <w:spacing w:val="-2"/>
                <w:sz w:val="20"/>
              </w:rPr>
              <w:t>Luba-Lulua</w:t>
            </w:r>
            <w:r>
              <w:rPr>
                <w:spacing w:val="5"/>
                <w:sz w:val="20"/>
              </w:rPr>
              <w:t> </w:t>
            </w:r>
            <w:r>
              <w:rPr>
                <w:spacing w:val="-2"/>
                <w:sz w:val="20"/>
              </w:rPr>
              <w:t>(lua)</w:t>
            </w:r>
          </w:p>
        </w:tc>
      </w:tr>
      <w:tr>
        <w:trPr>
          <w:trHeight w:val="230" w:hRule="atLeast"/>
        </w:trPr>
        <w:tc>
          <w:tcPr>
            <w:tcW w:w="612" w:type="dxa"/>
          </w:tcPr>
          <w:p>
            <w:pPr>
              <w:pStyle w:val="TableParagraph"/>
              <w:ind w:left="50"/>
              <w:rPr>
                <w:sz w:val="20"/>
              </w:rPr>
            </w:pPr>
            <w:r>
              <w:rPr>
                <w:spacing w:val="-4"/>
                <w:sz w:val="20"/>
              </w:rPr>
              <w:t>5145</w:t>
            </w:r>
          </w:p>
        </w:tc>
        <w:tc>
          <w:tcPr>
            <w:tcW w:w="3901" w:type="dxa"/>
          </w:tcPr>
          <w:p>
            <w:pPr>
              <w:pStyle w:val="TableParagraph"/>
              <w:ind w:left="158"/>
              <w:rPr>
                <w:sz w:val="20"/>
              </w:rPr>
            </w:pPr>
            <w:r>
              <w:rPr>
                <w:sz w:val="20"/>
              </w:rPr>
              <w:t>Samba</w:t>
            </w:r>
            <w:r>
              <w:rPr>
                <w:spacing w:val="-6"/>
                <w:sz w:val="20"/>
              </w:rPr>
              <w:t> </w:t>
            </w:r>
            <w:r>
              <w:rPr>
                <w:sz w:val="20"/>
              </w:rPr>
              <w:t>Daka</w:t>
            </w:r>
            <w:r>
              <w:rPr>
                <w:spacing w:val="-5"/>
                <w:sz w:val="20"/>
              </w:rPr>
              <w:t> </w:t>
            </w:r>
            <w:r>
              <w:rPr>
                <w:spacing w:val="-4"/>
                <w:sz w:val="20"/>
              </w:rPr>
              <w:t>(ccg)</w:t>
            </w:r>
          </w:p>
        </w:tc>
        <w:tc>
          <w:tcPr>
            <w:tcW w:w="1428" w:type="dxa"/>
          </w:tcPr>
          <w:p>
            <w:pPr>
              <w:pStyle w:val="TableParagraph"/>
              <w:ind w:right="156"/>
              <w:jc w:val="right"/>
              <w:rPr>
                <w:sz w:val="20"/>
              </w:rPr>
            </w:pPr>
            <w:r>
              <w:rPr>
                <w:spacing w:val="-4"/>
                <w:sz w:val="20"/>
              </w:rPr>
              <w:t>5407</w:t>
            </w:r>
          </w:p>
        </w:tc>
        <w:tc>
          <w:tcPr>
            <w:tcW w:w="2638" w:type="dxa"/>
          </w:tcPr>
          <w:p>
            <w:pPr>
              <w:pStyle w:val="TableParagraph"/>
              <w:ind w:left="158"/>
              <w:rPr>
                <w:sz w:val="20"/>
              </w:rPr>
            </w:pPr>
            <w:r>
              <w:rPr>
                <w:spacing w:val="-2"/>
                <w:sz w:val="20"/>
              </w:rPr>
              <w:t>Luba-Katanga</w:t>
            </w:r>
            <w:r>
              <w:rPr>
                <w:spacing w:val="10"/>
                <w:sz w:val="20"/>
              </w:rPr>
              <w:t> </w:t>
            </w:r>
            <w:r>
              <w:rPr>
                <w:spacing w:val="-2"/>
                <w:sz w:val="20"/>
              </w:rPr>
              <w:t>(lub)</w:t>
            </w:r>
          </w:p>
        </w:tc>
      </w:tr>
      <w:tr>
        <w:trPr>
          <w:trHeight w:val="230" w:hRule="atLeast"/>
        </w:trPr>
        <w:tc>
          <w:tcPr>
            <w:tcW w:w="612" w:type="dxa"/>
          </w:tcPr>
          <w:p>
            <w:pPr>
              <w:pStyle w:val="TableParagraph"/>
              <w:spacing w:line="240" w:lineRule="auto"/>
              <w:rPr>
                <w:sz w:val="16"/>
              </w:rPr>
            </w:pPr>
          </w:p>
        </w:tc>
        <w:tc>
          <w:tcPr>
            <w:tcW w:w="3901" w:type="dxa"/>
          </w:tcPr>
          <w:p>
            <w:pPr>
              <w:pStyle w:val="TableParagraph"/>
              <w:spacing w:line="240" w:lineRule="auto"/>
              <w:rPr>
                <w:sz w:val="16"/>
              </w:rPr>
            </w:pPr>
          </w:p>
        </w:tc>
        <w:tc>
          <w:tcPr>
            <w:tcW w:w="1428" w:type="dxa"/>
          </w:tcPr>
          <w:p>
            <w:pPr>
              <w:pStyle w:val="TableParagraph"/>
              <w:ind w:right="156"/>
              <w:jc w:val="right"/>
              <w:rPr>
                <w:sz w:val="20"/>
              </w:rPr>
            </w:pPr>
            <w:r>
              <w:rPr>
                <w:spacing w:val="-4"/>
                <w:sz w:val="20"/>
              </w:rPr>
              <w:t>5410</w:t>
            </w:r>
          </w:p>
        </w:tc>
        <w:tc>
          <w:tcPr>
            <w:tcW w:w="2638" w:type="dxa"/>
          </w:tcPr>
          <w:p>
            <w:pPr>
              <w:pStyle w:val="TableParagraph"/>
              <w:ind w:left="158"/>
              <w:rPr>
                <w:sz w:val="20"/>
              </w:rPr>
            </w:pPr>
            <w:r>
              <w:rPr>
                <w:sz w:val="20"/>
              </w:rPr>
              <w:t>Lunda</w:t>
            </w:r>
            <w:r>
              <w:rPr>
                <w:spacing w:val="-9"/>
                <w:sz w:val="20"/>
              </w:rPr>
              <w:t> </w:t>
            </w:r>
            <w:r>
              <w:rPr>
                <w:spacing w:val="-2"/>
                <w:sz w:val="20"/>
              </w:rPr>
              <w:t>(lun)</w:t>
            </w:r>
          </w:p>
        </w:tc>
      </w:tr>
      <w:tr>
        <w:trPr>
          <w:trHeight w:val="229" w:hRule="atLeast"/>
        </w:trPr>
        <w:tc>
          <w:tcPr>
            <w:tcW w:w="612" w:type="dxa"/>
          </w:tcPr>
          <w:p>
            <w:pPr>
              <w:pStyle w:val="TableParagraph"/>
              <w:spacing w:line="240" w:lineRule="auto"/>
              <w:rPr>
                <w:sz w:val="16"/>
              </w:rPr>
            </w:pPr>
          </w:p>
        </w:tc>
        <w:tc>
          <w:tcPr>
            <w:tcW w:w="3901" w:type="dxa"/>
          </w:tcPr>
          <w:p>
            <w:pPr>
              <w:pStyle w:val="TableParagraph"/>
              <w:spacing w:line="209" w:lineRule="exact"/>
              <w:ind w:left="158"/>
              <w:rPr>
                <w:i/>
                <w:sz w:val="20"/>
              </w:rPr>
            </w:pPr>
            <w:r>
              <w:rPr>
                <w:i/>
                <w:sz w:val="20"/>
              </w:rPr>
              <w:t>Swahili</w:t>
            </w:r>
            <w:r>
              <w:rPr>
                <w:i/>
                <w:spacing w:val="-8"/>
                <w:sz w:val="20"/>
              </w:rPr>
              <w:t> </w:t>
            </w:r>
            <w:r>
              <w:rPr>
                <w:i/>
                <w:sz w:val="20"/>
              </w:rPr>
              <w:t>(5150-</w:t>
            </w:r>
            <w:r>
              <w:rPr>
                <w:i/>
                <w:spacing w:val="-2"/>
                <w:sz w:val="20"/>
              </w:rPr>
              <w:t>5159)</w:t>
            </w:r>
          </w:p>
        </w:tc>
        <w:tc>
          <w:tcPr>
            <w:tcW w:w="1428" w:type="dxa"/>
          </w:tcPr>
          <w:p>
            <w:pPr>
              <w:pStyle w:val="TableParagraph"/>
              <w:spacing w:line="209" w:lineRule="exact"/>
              <w:ind w:right="156"/>
              <w:jc w:val="right"/>
              <w:rPr>
                <w:sz w:val="20"/>
              </w:rPr>
            </w:pPr>
            <w:r>
              <w:rPr>
                <w:spacing w:val="-4"/>
                <w:sz w:val="20"/>
              </w:rPr>
              <w:t>5415</w:t>
            </w:r>
          </w:p>
        </w:tc>
        <w:tc>
          <w:tcPr>
            <w:tcW w:w="2638" w:type="dxa"/>
          </w:tcPr>
          <w:p>
            <w:pPr>
              <w:pStyle w:val="TableParagraph"/>
              <w:spacing w:line="209" w:lineRule="exact"/>
              <w:ind w:left="158"/>
              <w:rPr>
                <w:sz w:val="20"/>
              </w:rPr>
            </w:pPr>
            <w:r>
              <w:rPr>
                <w:sz w:val="20"/>
              </w:rPr>
              <w:t>Bemba</w:t>
            </w:r>
            <w:r>
              <w:rPr>
                <w:spacing w:val="-8"/>
                <w:sz w:val="20"/>
              </w:rPr>
              <w:t> </w:t>
            </w:r>
            <w:r>
              <w:rPr>
                <w:sz w:val="20"/>
              </w:rPr>
              <w:t>(Zambia)</w:t>
            </w:r>
            <w:r>
              <w:rPr>
                <w:spacing w:val="-8"/>
                <w:sz w:val="20"/>
              </w:rPr>
              <w:t> </w:t>
            </w:r>
            <w:r>
              <w:rPr>
                <w:spacing w:val="-4"/>
                <w:sz w:val="20"/>
              </w:rPr>
              <w:t>(bem)</w:t>
            </w:r>
          </w:p>
        </w:tc>
      </w:tr>
      <w:tr>
        <w:trPr>
          <w:trHeight w:val="229" w:hRule="atLeast"/>
        </w:trPr>
        <w:tc>
          <w:tcPr>
            <w:tcW w:w="612" w:type="dxa"/>
          </w:tcPr>
          <w:p>
            <w:pPr>
              <w:pStyle w:val="TableParagraph"/>
              <w:spacing w:line="209" w:lineRule="exact"/>
              <w:ind w:left="50"/>
              <w:rPr>
                <w:sz w:val="20"/>
              </w:rPr>
            </w:pPr>
            <w:r>
              <w:rPr>
                <w:spacing w:val="-4"/>
                <w:sz w:val="20"/>
              </w:rPr>
              <w:t>5150</w:t>
            </w:r>
          </w:p>
        </w:tc>
        <w:tc>
          <w:tcPr>
            <w:tcW w:w="3901" w:type="dxa"/>
          </w:tcPr>
          <w:p>
            <w:pPr>
              <w:pStyle w:val="TableParagraph"/>
              <w:spacing w:line="209" w:lineRule="exact"/>
              <w:ind w:left="158"/>
              <w:rPr>
                <w:sz w:val="20"/>
              </w:rPr>
            </w:pPr>
            <w:r>
              <w:rPr>
                <w:sz w:val="20"/>
              </w:rPr>
              <w:t>Swahili</w:t>
            </w:r>
            <w:r>
              <w:rPr>
                <w:spacing w:val="-11"/>
                <w:sz w:val="20"/>
              </w:rPr>
              <w:t> </w:t>
            </w:r>
            <w:r>
              <w:rPr>
                <w:sz w:val="20"/>
              </w:rPr>
              <w:t>(macrolanguage)</w:t>
            </w:r>
            <w:r>
              <w:rPr>
                <w:spacing w:val="-9"/>
                <w:sz w:val="20"/>
              </w:rPr>
              <w:t> </w:t>
            </w:r>
            <w:r>
              <w:rPr>
                <w:spacing w:val="-4"/>
                <w:sz w:val="20"/>
              </w:rPr>
              <w:t>(swa)</w:t>
            </w:r>
          </w:p>
        </w:tc>
        <w:tc>
          <w:tcPr>
            <w:tcW w:w="1428" w:type="dxa"/>
          </w:tcPr>
          <w:p>
            <w:pPr>
              <w:pStyle w:val="TableParagraph"/>
              <w:spacing w:line="209" w:lineRule="exact"/>
              <w:ind w:right="156"/>
              <w:jc w:val="right"/>
              <w:rPr>
                <w:sz w:val="20"/>
              </w:rPr>
            </w:pPr>
            <w:r>
              <w:rPr>
                <w:spacing w:val="-4"/>
                <w:sz w:val="20"/>
              </w:rPr>
              <w:t>5420</w:t>
            </w:r>
          </w:p>
        </w:tc>
        <w:tc>
          <w:tcPr>
            <w:tcW w:w="2638" w:type="dxa"/>
          </w:tcPr>
          <w:p>
            <w:pPr>
              <w:pStyle w:val="TableParagraph"/>
              <w:spacing w:line="209" w:lineRule="exact"/>
              <w:ind w:left="158"/>
              <w:rPr>
                <w:sz w:val="20"/>
              </w:rPr>
            </w:pPr>
            <w:r>
              <w:rPr>
                <w:spacing w:val="-2"/>
                <w:sz w:val="20"/>
              </w:rPr>
              <w:t>Mambwe-Lungu</w:t>
            </w:r>
            <w:r>
              <w:rPr>
                <w:spacing w:val="8"/>
                <w:sz w:val="20"/>
              </w:rPr>
              <w:t> </w:t>
            </w:r>
            <w:r>
              <w:rPr>
                <w:spacing w:val="-2"/>
                <w:sz w:val="20"/>
              </w:rPr>
              <w:t>(mgr)</w:t>
            </w:r>
          </w:p>
        </w:tc>
      </w:tr>
      <w:tr>
        <w:trPr>
          <w:trHeight w:val="230" w:hRule="atLeast"/>
        </w:trPr>
        <w:tc>
          <w:tcPr>
            <w:tcW w:w="612" w:type="dxa"/>
          </w:tcPr>
          <w:p>
            <w:pPr>
              <w:pStyle w:val="TableParagraph"/>
              <w:ind w:left="50"/>
              <w:rPr>
                <w:sz w:val="20"/>
              </w:rPr>
            </w:pPr>
            <w:r>
              <w:rPr>
                <w:spacing w:val="-4"/>
                <w:sz w:val="20"/>
              </w:rPr>
              <w:t>5151</w:t>
            </w:r>
          </w:p>
        </w:tc>
        <w:tc>
          <w:tcPr>
            <w:tcW w:w="3901" w:type="dxa"/>
          </w:tcPr>
          <w:p>
            <w:pPr>
              <w:pStyle w:val="TableParagraph"/>
              <w:ind w:left="158"/>
              <w:rPr>
                <w:sz w:val="20"/>
              </w:rPr>
            </w:pPr>
            <w:r>
              <w:rPr>
                <w:sz w:val="20"/>
              </w:rPr>
              <w:t>Swahili</w:t>
            </w:r>
            <w:r>
              <w:rPr>
                <w:spacing w:val="-10"/>
                <w:sz w:val="20"/>
              </w:rPr>
              <w:t> </w:t>
            </w:r>
            <w:r>
              <w:rPr>
                <w:sz w:val="20"/>
              </w:rPr>
              <w:t>(individual</w:t>
            </w:r>
            <w:r>
              <w:rPr>
                <w:spacing w:val="-9"/>
                <w:sz w:val="20"/>
              </w:rPr>
              <w:t> </w:t>
            </w:r>
            <w:r>
              <w:rPr>
                <w:sz w:val="20"/>
              </w:rPr>
              <w:t>language)</w:t>
            </w:r>
            <w:r>
              <w:rPr>
                <w:spacing w:val="-8"/>
                <w:sz w:val="20"/>
              </w:rPr>
              <w:t> </w:t>
            </w:r>
            <w:r>
              <w:rPr>
                <w:spacing w:val="-4"/>
                <w:sz w:val="20"/>
              </w:rPr>
              <w:t>(swh)</w:t>
            </w:r>
          </w:p>
        </w:tc>
        <w:tc>
          <w:tcPr>
            <w:tcW w:w="1428" w:type="dxa"/>
          </w:tcPr>
          <w:p>
            <w:pPr>
              <w:pStyle w:val="TableParagraph"/>
              <w:ind w:right="156"/>
              <w:jc w:val="right"/>
              <w:rPr>
                <w:sz w:val="20"/>
              </w:rPr>
            </w:pPr>
            <w:r>
              <w:rPr>
                <w:spacing w:val="-4"/>
                <w:sz w:val="20"/>
              </w:rPr>
              <w:t>5425</w:t>
            </w:r>
          </w:p>
        </w:tc>
        <w:tc>
          <w:tcPr>
            <w:tcW w:w="2638" w:type="dxa"/>
          </w:tcPr>
          <w:p>
            <w:pPr>
              <w:pStyle w:val="TableParagraph"/>
              <w:ind w:left="158"/>
              <w:rPr>
                <w:sz w:val="20"/>
              </w:rPr>
            </w:pPr>
            <w:r>
              <w:rPr>
                <w:sz w:val="20"/>
              </w:rPr>
              <w:t>Lamba</w:t>
            </w:r>
            <w:r>
              <w:rPr>
                <w:spacing w:val="-9"/>
                <w:sz w:val="20"/>
              </w:rPr>
              <w:t> </w:t>
            </w:r>
            <w:r>
              <w:rPr>
                <w:spacing w:val="-2"/>
                <w:sz w:val="20"/>
              </w:rPr>
              <w:t>(lam)</w:t>
            </w:r>
          </w:p>
        </w:tc>
      </w:tr>
      <w:tr>
        <w:trPr>
          <w:trHeight w:val="230" w:hRule="atLeast"/>
        </w:trPr>
        <w:tc>
          <w:tcPr>
            <w:tcW w:w="612" w:type="dxa"/>
          </w:tcPr>
          <w:p>
            <w:pPr>
              <w:pStyle w:val="TableParagraph"/>
              <w:ind w:left="50"/>
              <w:rPr>
                <w:sz w:val="20"/>
              </w:rPr>
            </w:pPr>
            <w:r>
              <w:rPr>
                <w:spacing w:val="-4"/>
                <w:sz w:val="20"/>
              </w:rPr>
              <w:t>5152</w:t>
            </w:r>
          </w:p>
        </w:tc>
        <w:tc>
          <w:tcPr>
            <w:tcW w:w="3901" w:type="dxa"/>
          </w:tcPr>
          <w:p>
            <w:pPr>
              <w:pStyle w:val="TableParagraph"/>
              <w:ind w:left="158"/>
              <w:rPr>
                <w:sz w:val="20"/>
              </w:rPr>
            </w:pPr>
            <w:r>
              <w:rPr>
                <w:sz w:val="20"/>
              </w:rPr>
              <w:t>Congo</w:t>
            </w:r>
            <w:r>
              <w:rPr>
                <w:spacing w:val="-6"/>
                <w:sz w:val="20"/>
              </w:rPr>
              <w:t> </w:t>
            </w:r>
            <w:r>
              <w:rPr>
                <w:sz w:val="20"/>
              </w:rPr>
              <w:t>Swahili</w:t>
            </w:r>
            <w:r>
              <w:rPr>
                <w:spacing w:val="-8"/>
                <w:sz w:val="20"/>
              </w:rPr>
              <w:t> </w:t>
            </w:r>
            <w:r>
              <w:rPr>
                <w:spacing w:val="-2"/>
                <w:sz w:val="20"/>
              </w:rPr>
              <w:t>(swc)</w:t>
            </w:r>
          </w:p>
        </w:tc>
        <w:tc>
          <w:tcPr>
            <w:tcW w:w="1428" w:type="dxa"/>
          </w:tcPr>
          <w:p>
            <w:pPr>
              <w:pStyle w:val="TableParagraph"/>
              <w:ind w:right="156"/>
              <w:jc w:val="right"/>
              <w:rPr>
                <w:sz w:val="20"/>
              </w:rPr>
            </w:pPr>
            <w:r>
              <w:rPr>
                <w:spacing w:val="-4"/>
                <w:sz w:val="20"/>
              </w:rPr>
              <w:t>5430</w:t>
            </w:r>
          </w:p>
        </w:tc>
        <w:tc>
          <w:tcPr>
            <w:tcW w:w="2638" w:type="dxa"/>
          </w:tcPr>
          <w:p>
            <w:pPr>
              <w:pStyle w:val="TableParagraph"/>
              <w:ind w:left="158"/>
              <w:rPr>
                <w:sz w:val="20"/>
              </w:rPr>
            </w:pPr>
            <w:r>
              <w:rPr>
                <w:sz w:val="20"/>
              </w:rPr>
              <w:t>Ila</w:t>
            </w:r>
            <w:r>
              <w:rPr>
                <w:spacing w:val="-3"/>
                <w:sz w:val="20"/>
              </w:rPr>
              <w:t> </w:t>
            </w:r>
            <w:r>
              <w:rPr>
                <w:spacing w:val="-2"/>
                <w:sz w:val="20"/>
              </w:rPr>
              <w:t>(ilb)</w:t>
            </w:r>
          </w:p>
        </w:tc>
      </w:tr>
      <w:tr>
        <w:trPr>
          <w:trHeight w:val="230" w:hRule="atLeast"/>
        </w:trPr>
        <w:tc>
          <w:tcPr>
            <w:tcW w:w="612" w:type="dxa"/>
          </w:tcPr>
          <w:p>
            <w:pPr>
              <w:pStyle w:val="TableParagraph"/>
              <w:spacing w:line="240" w:lineRule="auto"/>
              <w:rPr>
                <w:sz w:val="16"/>
              </w:rPr>
            </w:pPr>
          </w:p>
        </w:tc>
        <w:tc>
          <w:tcPr>
            <w:tcW w:w="3901" w:type="dxa"/>
          </w:tcPr>
          <w:p>
            <w:pPr>
              <w:pStyle w:val="TableParagraph"/>
              <w:spacing w:line="240" w:lineRule="auto"/>
              <w:rPr>
                <w:sz w:val="16"/>
              </w:rPr>
            </w:pPr>
          </w:p>
        </w:tc>
        <w:tc>
          <w:tcPr>
            <w:tcW w:w="1428" w:type="dxa"/>
          </w:tcPr>
          <w:p>
            <w:pPr>
              <w:pStyle w:val="TableParagraph"/>
              <w:ind w:right="157"/>
              <w:jc w:val="right"/>
              <w:rPr>
                <w:sz w:val="20"/>
              </w:rPr>
            </w:pPr>
            <w:r>
              <w:rPr>
                <w:spacing w:val="-4"/>
                <w:sz w:val="20"/>
              </w:rPr>
              <w:t>5435</w:t>
            </w:r>
          </w:p>
        </w:tc>
        <w:tc>
          <w:tcPr>
            <w:tcW w:w="2638" w:type="dxa"/>
          </w:tcPr>
          <w:p>
            <w:pPr>
              <w:pStyle w:val="TableParagraph"/>
              <w:ind w:left="158"/>
              <w:rPr>
                <w:sz w:val="20"/>
              </w:rPr>
            </w:pPr>
            <w:r>
              <w:rPr>
                <w:sz w:val="20"/>
              </w:rPr>
              <w:t>Lenje</w:t>
            </w:r>
            <w:r>
              <w:rPr>
                <w:spacing w:val="-5"/>
                <w:sz w:val="20"/>
              </w:rPr>
              <w:t> </w:t>
            </w:r>
            <w:r>
              <w:rPr>
                <w:spacing w:val="-2"/>
                <w:sz w:val="20"/>
              </w:rPr>
              <w:t>(leh)</w:t>
            </w:r>
          </w:p>
        </w:tc>
      </w:tr>
      <w:tr>
        <w:trPr>
          <w:trHeight w:val="230" w:hRule="atLeast"/>
        </w:trPr>
        <w:tc>
          <w:tcPr>
            <w:tcW w:w="612" w:type="dxa"/>
          </w:tcPr>
          <w:p>
            <w:pPr>
              <w:pStyle w:val="TableParagraph"/>
              <w:spacing w:line="211" w:lineRule="exact"/>
              <w:ind w:left="50"/>
              <w:rPr>
                <w:sz w:val="20"/>
              </w:rPr>
            </w:pPr>
            <w:r>
              <w:rPr>
                <w:spacing w:val="-4"/>
                <w:sz w:val="20"/>
              </w:rPr>
              <w:t>5160</w:t>
            </w:r>
          </w:p>
        </w:tc>
        <w:tc>
          <w:tcPr>
            <w:tcW w:w="3901" w:type="dxa"/>
          </w:tcPr>
          <w:p>
            <w:pPr>
              <w:pStyle w:val="TableParagraph"/>
              <w:spacing w:line="211" w:lineRule="exact"/>
              <w:ind w:left="158"/>
              <w:rPr>
                <w:sz w:val="20"/>
              </w:rPr>
            </w:pPr>
            <w:r>
              <w:rPr>
                <w:sz w:val="20"/>
              </w:rPr>
              <w:t>Ekajuk</w:t>
            </w:r>
            <w:r>
              <w:rPr>
                <w:spacing w:val="-9"/>
                <w:sz w:val="20"/>
              </w:rPr>
              <w:t> </w:t>
            </w:r>
            <w:r>
              <w:rPr>
                <w:spacing w:val="-2"/>
                <w:sz w:val="20"/>
              </w:rPr>
              <w:t>(eka)</w:t>
            </w:r>
          </w:p>
        </w:tc>
        <w:tc>
          <w:tcPr>
            <w:tcW w:w="1428" w:type="dxa"/>
          </w:tcPr>
          <w:p>
            <w:pPr>
              <w:pStyle w:val="TableParagraph"/>
              <w:spacing w:line="211" w:lineRule="exact"/>
              <w:ind w:right="156"/>
              <w:jc w:val="right"/>
              <w:rPr>
                <w:sz w:val="20"/>
              </w:rPr>
            </w:pPr>
            <w:r>
              <w:rPr>
                <w:spacing w:val="-4"/>
                <w:sz w:val="20"/>
              </w:rPr>
              <w:t>5437</w:t>
            </w:r>
          </w:p>
        </w:tc>
        <w:tc>
          <w:tcPr>
            <w:tcW w:w="2638" w:type="dxa"/>
          </w:tcPr>
          <w:p>
            <w:pPr>
              <w:pStyle w:val="TableParagraph"/>
              <w:spacing w:line="211" w:lineRule="exact"/>
              <w:ind w:left="158"/>
              <w:rPr>
                <w:sz w:val="20"/>
              </w:rPr>
            </w:pPr>
            <w:r>
              <w:rPr>
                <w:sz w:val="20"/>
              </w:rPr>
              <w:t>Tonga</w:t>
            </w:r>
            <w:r>
              <w:rPr>
                <w:spacing w:val="-9"/>
                <w:sz w:val="20"/>
              </w:rPr>
              <w:t> </w:t>
            </w:r>
            <w:r>
              <w:rPr>
                <w:sz w:val="20"/>
              </w:rPr>
              <w:t>(Zambia)</w:t>
            </w:r>
            <w:r>
              <w:rPr>
                <w:spacing w:val="-7"/>
                <w:sz w:val="20"/>
              </w:rPr>
              <w:t> </w:t>
            </w:r>
            <w:r>
              <w:rPr>
                <w:spacing w:val="-2"/>
                <w:sz w:val="20"/>
              </w:rPr>
              <w:t>(toi)</w:t>
            </w:r>
          </w:p>
        </w:tc>
      </w:tr>
      <w:tr>
        <w:trPr>
          <w:trHeight w:val="229" w:hRule="atLeast"/>
        </w:trPr>
        <w:tc>
          <w:tcPr>
            <w:tcW w:w="612" w:type="dxa"/>
          </w:tcPr>
          <w:p>
            <w:pPr>
              <w:pStyle w:val="TableParagraph"/>
              <w:spacing w:line="209" w:lineRule="exact"/>
              <w:ind w:left="50"/>
              <w:rPr>
                <w:sz w:val="20"/>
              </w:rPr>
            </w:pPr>
            <w:r>
              <w:rPr>
                <w:spacing w:val="-4"/>
                <w:sz w:val="20"/>
              </w:rPr>
              <w:t>5170</w:t>
            </w:r>
          </w:p>
        </w:tc>
        <w:tc>
          <w:tcPr>
            <w:tcW w:w="3901" w:type="dxa"/>
          </w:tcPr>
          <w:p>
            <w:pPr>
              <w:pStyle w:val="TableParagraph"/>
              <w:spacing w:line="209" w:lineRule="exact"/>
              <w:ind w:left="158"/>
              <w:rPr>
                <w:sz w:val="20"/>
              </w:rPr>
            </w:pPr>
            <w:r>
              <w:rPr>
                <w:sz w:val="20"/>
              </w:rPr>
              <w:t>Nkem-Nkum</w:t>
            </w:r>
            <w:r>
              <w:rPr>
                <w:spacing w:val="-12"/>
                <w:sz w:val="20"/>
              </w:rPr>
              <w:t> </w:t>
            </w:r>
            <w:r>
              <w:rPr>
                <w:spacing w:val="-2"/>
                <w:sz w:val="20"/>
              </w:rPr>
              <w:t>(isi)</w:t>
            </w:r>
          </w:p>
        </w:tc>
        <w:tc>
          <w:tcPr>
            <w:tcW w:w="1428" w:type="dxa"/>
          </w:tcPr>
          <w:p>
            <w:pPr>
              <w:pStyle w:val="TableParagraph"/>
              <w:spacing w:line="209" w:lineRule="exact"/>
              <w:ind w:right="156"/>
              <w:jc w:val="right"/>
              <w:rPr>
                <w:sz w:val="20"/>
              </w:rPr>
            </w:pPr>
            <w:r>
              <w:rPr>
                <w:spacing w:val="-4"/>
                <w:sz w:val="20"/>
              </w:rPr>
              <w:t>5445</w:t>
            </w:r>
          </w:p>
        </w:tc>
        <w:tc>
          <w:tcPr>
            <w:tcW w:w="2638" w:type="dxa"/>
          </w:tcPr>
          <w:p>
            <w:pPr>
              <w:pStyle w:val="TableParagraph"/>
              <w:spacing w:line="209" w:lineRule="exact"/>
              <w:ind w:left="158"/>
              <w:rPr>
                <w:sz w:val="20"/>
              </w:rPr>
            </w:pPr>
            <w:r>
              <w:rPr>
                <w:sz w:val="20"/>
              </w:rPr>
              <w:t>Nyanja</w:t>
            </w:r>
            <w:r>
              <w:rPr>
                <w:spacing w:val="-6"/>
                <w:sz w:val="20"/>
              </w:rPr>
              <w:t> </w:t>
            </w:r>
            <w:r>
              <w:rPr>
                <w:spacing w:val="-2"/>
                <w:sz w:val="20"/>
              </w:rPr>
              <w:t>(nya)</w:t>
            </w:r>
          </w:p>
        </w:tc>
      </w:tr>
      <w:tr>
        <w:trPr>
          <w:trHeight w:val="229" w:hRule="atLeast"/>
        </w:trPr>
        <w:tc>
          <w:tcPr>
            <w:tcW w:w="612" w:type="dxa"/>
          </w:tcPr>
          <w:p>
            <w:pPr>
              <w:pStyle w:val="TableParagraph"/>
              <w:spacing w:line="209" w:lineRule="exact"/>
              <w:ind w:left="50"/>
              <w:rPr>
                <w:sz w:val="20"/>
              </w:rPr>
            </w:pPr>
            <w:r>
              <w:rPr>
                <w:spacing w:val="-4"/>
                <w:sz w:val="20"/>
              </w:rPr>
              <w:t>5180</w:t>
            </w:r>
          </w:p>
        </w:tc>
        <w:tc>
          <w:tcPr>
            <w:tcW w:w="3901" w:type="dxa"/>
          </w:tcPr>
          <w:p>
            <w:pPr>
              <w:pStyle w:val="TableParagraph"/>
              <w:spacing w:line="209" w:lineRule="exact"/>
              <w:ind w:left="158"/>
              <w:rPr>
                <w:sz w:val="20"/>
              </w:rPr>
            </w:pPr>
            <w:r>
              <w:rPr>
                <w:sz w:val="20"/>
              </w:rPr>
              <w:t>Ejagham</w:t>
            </w:r>
            <w:r>
              <w:rPr>
                <w:spacing w:val="-11"/>
                <w:sz w:val="20"/>
              </w:rPr>
              <w:t> </w:t>
            </w:r>
            <w:r>
              <w:rPr>
                <w:spacing w:val="-2"/>
                <w:sz w:val="20"/>
              </w:rPr>
              <w:t>(etu)</w:t>
            </w:r>
          </w:p>
        </w:tc>
        <w:tc>
          <w:tcPr>
            <w:tcW w:w="1428" w:type="dxa"/>
          </w:tcPr>
          <w:p>
            <w:pPr>
              <w:pStyle w:val="TableParagraph"/>
              <w:spacing w:line="209" w:lineRule="exact"/>
              <w:ind w:right="156"/>
              <w:jc w:val="right"/>
              <w:rPr>
                <w:sz w:val="20"/>
              </w:rPr>
            </w:pPr>
            <w:r>
              <w:rPr>
                <w:spacing w:val="-4"/>
                <w:sz w:val="20"/>
              </w:rPr>
              <w:t>5455</w:t>
            </w:r>
          </w:p>
        </w:tc>
        <w:tc>
          <w:tcPr>
            <w:tcW w:w="2638" w:type="dxa"/>
          </w:tcPr>
          <w:p>
            <w:pPr>
              <w:pStyle w:val="TableParagraph"/>
              <w:spacing w:line="209" w:lineRule="exact"/>
              <w:ind w:left="158"/>
              <w:rPr>
                <w:sz w:val="20"/>
              </w:rPr>
            </w:pPr>
            <w:r>
              <w:rPr>
                <w:sz w:val="20"/>
              </w:rPr>
              <w:t>Tonga</w:t>
            </w:r>
            <w:r>
              <w:rPr>
                <w:spacing w:val="-8"/>
                <w:sz w:val="20"/>
              </w:rPr>
              <w:t> </w:t>
            </w:r>
            <w:r>
              <w:rPr>
                <w:sz w:val="20"/>
              </w:rPr>
              <w:t>(Nyasa)</w:t>
            </w:r>
            <w:r>
              <w:rPr>
                <w:spacing w:val="-7"/>
                <w:sz w:val="20"/>
              </w:rPr>
              <w:t> </w:t>
            </w:r>
            <w:r>
              <w:rPr>
                <w:spacing w:val="-4"/>
                <w:sz w:val="20"/>
              </w:rPr>
              <w:t>(tog)</w:t>
            </w:r>
          </w:p>
        </w:tc>
      </w:tr>
      <w:tr>
        <w:trPr>
          <w:trHeight w:val="230" w:hRule="atLeast"/>
        </w:trPr>
        <w:tc>
          <w:tcPr>
            <w:tcW w:w="612" w:type="dxa"/>
          </w:tcPr>
          <w:p>
            <w:pPr>
              <w:pStyle w:val="TableParagraph"/>
              <w:ind w:left="50"/>
              <w:rPr>
                <w:sz w:val="20"/>
              </w:rPr>
            </w:pPr>
            <w:r>
              <w:rPr>
                <w:spacing w:val="-4"/>
                <w:sz w:val="20"/>
              </w:rPr>
              <w:t>5185</w:t>
            </w:r>
          </w:p>
        </w:tc>
        <w:tc>
          <w:tcPr>
            <w:tcW w:w="3901" w:type="dxa"/>
          </w:tcPr>
          <w:p>
            <w:pPr>
              <w:pStyle w:val="TableParagraph"/>
              <w:ind w:left="158"/>
              <w:rPr>
                <w:sz w:val="20"/>
              </w:rPr>
            </w:pPr>
            <w:r>
              <w:rPr>
                <w:sz w:val="20"/>
              </w:rPr>
              <w:t>Bankal</w:t>
            </w:r>
            <w:r>
              <w:rPr>
                <w:spacing w:val="-8"/>
                <w:sz w:val="20"/>
              </w:rPr>
              <w:t> </w:t>
            </w:r>
            <w:r>
              <w:rPr>
                <w:spacing w:val="-2"/>
                <w:sz w:val="20"/>
              </w:rPr>
              <w:t>(jjr)</w:t>
            </w:r>
          </w:p>
        </w:tc>
        <w:tc>
          <w:tcPr>
            <w:tcW w:w="1428" w:type="dxa"/>
          </w:tcPr>
          <w:p>
            <w:pPr>
              <w:pStyle w:val="TableParagraph"/>
              <w:ind w:right="156"/>
              <w:jc w:val="right"/>
              <w:rPr>
                <w:sz w:val="20"/>
              </w:rPr>
            </w:pPr>
            <w:r>
              <w:rPr>
                <w:spacing w:val="-4"/>
                <w:sz w:val="20"/>
              </w:rPr>
              <w:t>5460</w:t>
            </w:r>
          </w:p>
        </w:tc>
        <w:tc>
          <w:tcPr>
            <w:tcW w:w="2638" w:type="dxa"/>
          </w:tcPr>
          <w:p>
            <w:pPr>
              <w:pStyle w:val="TableParagraph"/>
              <w:ind w:left="158"/>
              <w:rPr>
                <w:sz w:val="20"/>
              </w:rPr>
            </w:pPr>
            <w:r>
              <w:rPr>
                <w:sz w:val="20"/>
              </w:rPr>
              <w:t>Nsenga</w:t>
            </w:r>
            <w:r>
              <w:rPr>
                <w:spacing w:val="-8"/>
                <w:sz w:val="20"/>
              </w:rPr>
              <w:t> </w:t>
            </w:r>
            <w:r>
              <w:rPr>
                <w:spacing w:val="-2"/>
                <w:sz w:val="20"/>
              </w:rPr>
              <w:t>(nse)</w:t>
            </w:r>
          </w:p>
        </w:tc>
      </w:tr>
      <w:tr>
        <w:trPr>
          <w:trHeight w:val="230" w:hRule="atLeast"/>
        </w:trPr>
        <w:tc>
          <w:tcPr>
            <w:tcW w:w="612" w:type="dxa"/>
          </w:tcPr>
          <w:p>
            <w:pPr>
              <w:pStyle w:val="TableParagraph"/>
              <w:ind w:left="50"/>
              <w:rPr>
                <w:sz w:val="20"/>
              </w:rPr>
            </w:pPr>
            <w:r>
              <w:rPr>
                <w:spacing w:val="-4"/>
                <w:sz w:val="20"/>
              </w:rPr>
              <w:t>5190</w:t>
            </w:r>
          </w:p>
        </w:tc>
        <w:tc>
          <w:tcPr>
            <w:tcW w:w="3901" w:type="dxa"/>
          </w:tcPr>
          <w:p>
            <w:pPr>
              <w:pStyle w:val="TableParagraph"/>
              <w:ind w:left="158"/>
              <w:rPr>
                <w:sz w:val="20"/>
              </w:rPr>
            </w:pPr>
            <w:r>
              <w:rPr>
                <w:sz w:val="20"/>
              </w:rPr>
              <w:t>Mama</w:t>
            </w:r>
            <w:r>
              <w:rPr>
                <w:spacing w:val="-8"/>
                <w:sz w:val="20"/>
              </w:rPr>
              <w:t> </w:t>
            </w:r>
            <w:r>
              <w:rPr>
                <w:spacing w:val="-2"/>
                <w:sz w:val="20"/>
              </w:rPr>
              <w:t>(mma)</w:t>
            </w:r>
          </w:p>
        </w:tc>
        <w:tc>
          <w:tcPr>
            <w:tcW w:w="1428" w:type="dxa"/>
          </w:tcPr>
          <w:p>
            <w:pPr>
              <w:pStyle w:val="TableParagraph"/>
              <w:ind w:right="156"/>
              <w:jc w:val="right"/>
              <w:rPr>
                <w:sz w:val="20"/>
              </w:rPr>
            </w:pPr>
            <w:r>
              <w:rPr>
                <w:spacing w:val="-4"/>
                <w:sz w:val="20"/>
              </w:rPr>
              <w:t>5462</w:t>
            </w:r>
          </w:p>
        </w:tc>
        <w:tc>
          <w:tcPr>
            <w:tcW w:w="2638" w:type="dxa"/>
          </w:tcPr>
          <w:p>
            <w:pPr>
              <w:pStyle w:val="TableParagraph"/>
              <w:ind w:left="158"/>
              <w:rPr>
                <w:sz w:val="20"/>
              </w:rPr>
            </w:pPr>
            <w:r>
              <w:rPr>
                <w:sz w:val="20"/>
              </w:rPr>
              <w:t>Sena</w:t>
            </w:r>
            <w:r>
              <w:rPr>
                <w:spacing w:val="-6"/>
                <w:sz w:val="20"/>
              </w:rPr>
              <w:t> </w:t>
            </w:r>
            <w:r>
              <w:rPr>
                <w:spacing w:val="-2"/>
                <w:sz w:val="20"/>
              </w:rPr>
              <w:t>(seh)</w:t>
            </w:r>
          </w:p>
        </w:tc>
      </w:tr>
      <w:tr>
        <w:trPr>
          <w:trHeight w:val="230" w:hRule="atLeast"/>
        </w:trPr>
        <w:tc>
          <w:tcPr>
            <w:tcW w:w="612" w:type="dxa"/>
          </w:tcPr>
          <w:p>
            <w:pPr>
              <w:pStyle w:val="TableParagraph"/>
              <w:ind w:left="50"/>
              <w:rPr>
                <w:sz w:val="20"/>
              </w:rPr>
            </w:pPr>
            <w:r>
              <w:rPr>
                <w:spacing w:val="-4"/>
                <w:sz w:val="20"/>
              </w:rPr>
              <w:t>5195</w:t>
            </w:r>
          </w:p>
        </w:tc>
        <w:tc>
          <w:tcPr>
            <w:tcW w:w="3901" w:type="dxa"/>
          </w:tcPr>
          <w:p>
            <w:pPr>
              <w:pStyle w:val="TableParagraph"/>
              <w:ind w:left="158"/>
              <w:rPr>
                <w:sz w:val="20"/>
              </w:rPr>
            </w:pPr>
            <w:r>
              <w:rPr>
                <w:sz w:val="20"/>
              </w:rPr>
              <w:t>Kenyang</w:t>
            </w:r>
            <w:r>
              <w:rPr>
                <w:spacing w:val="-9"/>
                <w:sz w:val="20"/>
              </w:rPr>
              <w:t> </w:t>
            </w:r>
            <w:r>
              <w:rPr>
                <w:spacing w:val="-2"/>
                <w:sz w:val="20"/>
              </w:rPr>
              <w:t>(ken)</w:t>
            </w:r>
          </w:p>
        </w:tc>
        <w:tc>
          <w:tcPr>
            <w:tcW w:w="1428" w:type="dxa"/>
          </w:tcPr>
          <w:p>
            <w:pPr>
              <w:pStyle w:val="TableParagraph"/>
              <w:ind w:right="156"/>
              <w:jc w:val="right"/>
              <w:rPr>
                <w:sz w:val="20"/>
              </w:rPr>
            </w:pPr>
            <w:r>
              <w:rPr>
                <w:spacing w:val="-4"/>
                <w:sz w:val="20"/>
              </w:rPr>
              <w:t>5465</w:t>
            </w:r>
          </w:p>
        </w:tc>
        <w:tc>
          <w:tcPr>
            <w:tcW w:w="2638" w:type="dxa"/>
          </w:tcPr>
          <w:p>
            <w:pPr>
              <w:pStyle w:val="TableParagraph"/>
              <w:ind w:left="158"/>
              <w:rPr>
                <w:sz w:val="20"/>
              </w:rPr>
            </w:pPr>
            <w:r>
              <w:rPr>
                <w:spacing w:val="-2"/>
                <w:sz w:val="20"/>
              </w:rPr>
              <w:t>Tumbuka</w:t>
            </w:r>
            <w:r>
              <w:rPr>
                <w:spacing w:val="1"/>
                <w:sz w:val="20"/>
              </w:rPr>
              <w:t> </w:t>
            </w:r>
            <w:r>
              <w:rPr>
                <w:spacing w:val="-2"/>
                <w:sz w:val="20"/>
              </w:rPr>
              <w:t>(tum)</w:t>
            </w:r>
          </w:p>
        </w:tc>
      </w:tr>
      <w:tr>
        <w:trPr>
          <w:trHeight w:val="230" w:hRule="atLeast"/>
        </w:trPr>
        <w:tc>
          <w:tcPr>
            <w:tcW w:w="612" w:type="dxa"/>
          </w:tcPr>
          <w:p>
            <w:pPr>
              <w:pStyle w:val="TableParagraph"/>
              <w:ind w:left="50"/>
              <w:rPr>
                <w:sz w:val="20"/>
              </w:rPr>
            </w:pPr>
            <w:r>
              <w:rPr>
                <w:spacing w:val="-4"/>
                <w:sz w:val="20"/>
              </w:rPr>
              <w:t>5200</w:t>
            </w:r>
          </w:p>
        </w:tc>
        <w:tc>
          <w:tcPr>
            <w:tcW w:w="3901" w:type="dxa"/>
          </w:tcPr>
          <w:p>
            <w:pPr>
              <w:pStyle w:val="TableParagraph"/>
              <w:ind w:left="158"/>
              <w:rPr>
                <w:sz w:val="20"/>
              </w:rPr>
            </w:pPr>
            <w:r>
              <w:rPr>
                <w:sz w:val="20"/>
              </w:rPr>
              <w:t>Mbe</w:t>
            </w:r>
            <w:r>
              <w:rPr>
                <w:spacing w:val="-3"/>
                <w:sz w:val="20"/>
              </w:rPr>
              <w:t> </w:t>
            </w:r>
            <w:r>
              <w:rPr>
                <w:spacing w:val="-2"/>
                <w:sz w:val="20"/>
              </w:rPr>
              <w:t>(mfo)</w:t>
            </w:r>
          </w:p>
        </w:tc>
        <w:tc>
          <w:tcPr>
            <w:tcW w:w="1428" w:type="dxa"/>
          </w:tcPr>
          <w:p>
            <w:pPr>
              <w:pStyle w:val="TableParagraph"/>
              <w:ind w:right="156"/>
              <w:jc w:val="right"/>
              <w:rPr>
                <w:sz w:val="20"/>
              </w:rPr>
            </w:pPr>
            <w:r>
              <w:rPr>
                <w:spacing w:val="-4"/>
                <w:sz w:val="20"/>
              </w:rPr>
              <w:t>5470</w:t>
            </w:r>
          </w:p>
        </w:tc>
        <w:tc>
          <w:tcPr>
            <w:tcW w:w="2638" w:type="dxa"/>
          </w:tcPr>
          <w:p>
            <w:pPr>
              <w:pStyle w:val="TableParagraph"/>
              <w:ind w:left="158"/>
              <w:rPr>
                <w:sz w:val="20"/>
              </w:rPr>
            </w:pPr>
            <w:r>
              <w:rPr>
                <w:sz w:val="20"/>
              </w:rPr>
              <w:t>Makhuwa</w:t>
            </w:r>
            <w:r>
              <w:rPr>
                <w:spacing w:val="-11"/>
                <w:sz w:val="20"/>
              </w:rPr>
              <w:t> </w:t>
            </w:r>
            <w:r>
              <w:rPr>
                <w:spacing w:val="-2"/>
                <w:sz w:val="20"/>
              </w:rPr>
              <w:t>(vmw)</w:t>
            </w:r>
          </w:p>
        </w:tc>
      </w:tr>
      <w:tr>
        <w:trPr>
          <w:trHeight w:val="229" w:hRule="atLeast"/>
        </w:trPr>
        <w:tc>
          <w:tcPr>
            <w:tcW w:w="612" w:type="dxa"/>
          </w:tcPr>
          <w:p>
            <w:pPr>
              <w:pStyle w:val="TableParagraph"/>
              <w:spacing w:line="209" w:lineRule="exact"/>
              <w:ind w:left="50"/>
              <w:rPr>
                <w:sz w:val="20"/>
              </w:rPr>
            </w:pPr>
            <w:r>
              <w:rPr>
                <w:spacing w:val="-4"/>
                <w:sz w:val="20"/>
              </w:rPr>
              <w:t>5205</w:t>
            </w:r>
          </w:p>
        </w:tc>
        <w:tc>
          <w:tcPr>
            <w:tcW w:w="3901" w:type="dxa"/>
          </w:tcPr>
          <w:p>
            <w:pPr>
              <w:pStyle w:val="TableParagraph"/>
              <w:spacing w:line="209" w:lineRule="exact"/>
              <w:ind w:left="158"/>
              <w:rPr>
                <w:sz w:val="20"/>
              </w:rPr>
            </w:pPr>
            <w:r>
              <w:rPr>
                <w:sz w:val="20"/>
              </w:rPr>
              <w:t>Venda</w:t>
            </w:r>
            <w:r>
              <w:rPr>
                <w:spacing w:val="-6"/>
                <w:sz w:val="20"/>
              </w:rPr>
              <w:t> </w:t>
            </w:r>
            <w:r>
              <w:rPr>
                <w:spacing w:val="-2"/>
                <w:sz w:val="20"/>
              </w:rPr>
              <w:t>(ven)</w:t>
            </w:r>
          </w:p>
        </w:tc>
        <w:tc>
          <w:tcPr>
            <w:tcW w:w="1428" w:type="dxa"/>
          </w:tcPr>
          <w:p>
            <w:pPr>
              <w:pStyle w:val="TableParagraph"/>
              <w:spacing w:line="209" w:lineRule="exact"/>
              <w:ind w:right="156"/>
              <w:jc w:val="right"/>
              <w:rPr>
                <w:sz w:val="20"/>
              </w:rPr>
            </w:pPr>
            <w:r>
              <w:rPr>
                <w:spacing w:val="-4"/>
                <w:sz w:val="20"/>
              </w:rPr>
              <w:t>5475</w:t>
            </w:r>
          </w:p>
        </w:tc>
        <w:tc>
          <w:tcPr>
            <w:tcW w:w="2638" w:type="dxa"/>
          </w:tcPr>
          <w:p>
            <w:pPr>
              <w:pStyle w:val="TableParagraph"/>
              <w:spacing w:line="209" w:lineRule="exact"/>
              <w:ind w:left="158"/>
              <w:rPr>
                <w:sz w:val="20"/>
              </w:rPr>
            </w:pPr>
            <w:r>
              <w:rPr>
                <w:sz w:val="20"/>
              </w:rPr>
              <w:t>Matumbi</w:t>
            </w:r>
            <w:r>
              <w:rPr>
                <w:spacing w:val="-10"/>
                <w:sz w:val="20"/>
              </w:rPr>
              <w:t> </w:t>
            </w:r>
            <w:r>
              <w:rPr>
                <w:spacing w:val="-2"/>
                <w:sz w:val="20"/>
              </w:rPr>
              <w:t>(mgw)</w:t>
            </w:r>
          </w:p>
        </w:tc>
      </w:tr>
      <w:tr>
        <w:trPr>
          <w:trHeight w:val="229" w:hRule="atLeast"/>
        </w:trPr>
        <w:tc>
          <w:tcPr>
            <w:tcW w:w="612" w:type="dxa"/>
          </w:tcPr>
          <w:p>
            <w:pPr>
              <w:pStyle w:val="TableParagraph"/>
              <w:spacing w:line="209" w:lineRule="exact"/>
              <w:ind w:left="50"/>
              <w:rPr>
                <w:sz w:val="20"/>
              </w:rPr>
            </w:pPr>
            <w:r>
              <w:rPr>
                <w:spacing w:val="-4"/>
                <w:sz w:val="20"/>
              </w:rPr>
              <w:t>5210</w:t>
            </w:r>
          </w:p>
        </w:tc>
        <w:tc>
          <w:tcPr>
            <w:tcW w:w="3901" w:type="dxa"/>
          </w:tcPr>
          <w:p>
            <w:pPr>
              <w:pStyle w:val="TableParagraph"/>
              <w:spacing w:line="209" w:lineRule="exact"/>
              <w:ind w:left="158"/>
              <w:rPr>
                <w:sz w:val="20"/>
              </w:rPr>
            </w:pPr>
            <w:r>
              <w:rPr>
                <w:sz w:val="20"/>
              </w:rPr>
              <w:t>Bembe</w:t>
            </w:r>
            <w:r>
              <w:rPr>
                <w:spacing w:val="-8"/>
                <w:sz w:val="20"/>
              </w:rPr>
              <w:t> </w:t>
            </w:r>
            <w:r>
              <w:rPr>
                <w:spacing w:val="-2"/>
                <w:sz w:val="20"/>
              </w:rPr>
              <w:t>(bmb)</w:t>
            </w:r>
          </w:p>
        </w:tc>
        <w:tc>
          <w:tcPr>
            <w:tcW w:w="1428" w:type="dxa"/>
          </w:tcPr>
          <w:p>
            <w:pPr>
              <w:pStyle w:val="TableParagraph"/>
              <w:spacing w:line="209" w:lineRule="exact"/>
              <w:ind w:right="156"/>
              <w:jc w:val="right"/>
              <w:rPr>
                <w:sz w:val="20"/>
              </w:rPr>
            </w:pPr>
            <w:r>
              <w:rPr>
                <w:spacing w:val="-4"/>
                <w:sz w:val="20"/>
              </w:rPr>
              <w:t>5480</w:t>
            </w:r>
          </w:p>
        </w:tc>
        <w:tc>
          <w:tcPr>
            <w:tcW w:w="2638" w:type="dxa"/>
          </w:tcPr>
          <w:p>
            <w:pPr>
              <w:pStyle w:val="TableParagraph"/>
              <w:spacing w:line="209" w:lineRule="exact"/>
              <w:ind w:left="158"/>
              <w:rPr>
                <w:sz w:val="20"/>
              </w:rPr>
            </w:pPr>
            <w:r>
              <w:rPr>
                <w:sz w:val="20"/>
              </w:rPr>
              <w:t>Yao</w:t>
            </w:r>
            <w:r>
              <w:rPr>
                <w:spacing w:val="-3"/>
                <w:sz w:val="20"/>
              </w:rPr>
              <w:t> </w:t>
            </w:r>
            <w:r>
              <w:rPr>
                <w:spacing w:val="-2"/>
                <w:sz w:val="20"/>
              </w:rPr>
              <w:t>(yao)</w:t>
            </w:r>
          </w:p>
        </w:tc>
      </w:tr>
      <w:tr>
        <w:trPr>
          <w:trHeight w:val="230" w:hRule="atLeast"/>
        </w:trPr>
        <w:tc>
          <w:tcPr>
            <w:tcW w:w="612" w:type="dxa"/>
          </w:tcPr>
          <w:p>
            <w:pPr>
              <w:pStyle w:val="TableParagraph"/>
              <w:ind w:left="50"/>
              <w:rPr>
                <w:sz w:val="20"/>
              </w:rPr>
            </w:pPr>
            <w:r>
              <w:rPr>
                <w:spacing w:val="-4"/>
                <w:sz w:val="20"/>
              </w:rPr>
              <w:t>5220</w:t>
            </w:r>
          </w:p>
        </w:tc>
        <w:tc>
          <w:tcPr>
            <w:tcW w:w="3901" w:type="dxa"/>
          </w:tcPr>
          <w:p>
            <w:pPr>
              <w:pStyle w:val="TableParagraph"/>
              <w:ind w:left="158"/>
              <w:rPr>
                <w:sz w:val="20"/>
              </w:rPr>
            </w:pPr>
            <w:r>
              <w:rPr>
                <w:sz w:val="20"/>
              </w:rPr>
              <w:t>Nyanga</w:t>
            </w:r>
            <w:r>
              <w:rPr>
                <w:spacing w:val="-11"/>
                <w:sz w:val="20"/>
              </w:rPr>
              <w:t> </w:t>
            </w:r>
            <w:r>
              <w:rPr>
                <w:spacing w:val="-2"/>
                <w:sz w:val="20"/>
              </w:rPr>
              <w:t>(nyj)</w:t>
            </w:r>
          </w:p>
        </w:tc>
        <w:tc>
          <w:tcPr>
            <w:tcW w:w="1428" w:type="dxa"/>
          </w:tcPr>
          <w:p>
            <w:pPr>
              <w:pStyle w:val="TableParagraph"/>
              <w:ind w:right="156"/>
              <w:jc w:val="right"/>
              <w:rPr>
                <w:sz w:val="20"/>
              </w:rPr>
            </w:pPr>
            <w:r>
              <w:rPr>
                <w:spacing w:val="-4"/>
                <w:sz w:val="20"/>
              </w:rPr>
              <w:t>5485</w:t>
            </w:r>
          </w:p>
        </w:tc>
        <w:tc>
          <w:tcPr>
            <w:tcW w:w="2638" w:type="dxa"/>
          </w:tcPr>
          <w:p>
            <w:pPr>
              <w:pStyle w:val="TableParagraph"/>
              <w:ind w:left="158"/>
              <w:rPr>
                <w:sz w:val="20"/>
              </w:rPr>
            </w:pPr>
            <w:r>
              <w:rPr>
                <w:sz w:val="20"/>
              </w:rPr>
              <w:t>Makonde</w:t>
            </w:r>
            <w:r>
              <w:rPr>
                <w:spacing w:val="-10"/>
                <w:sz w:val="20"/>
              </w:rPr>
              <w:t> </w:t>
            </w:r>
            <w:r>
              <w:rPr>
                <w:spacing w:val="-2"/>
                <w:sz w:val="20"/>
              </w:rPr>
              <w:t>(kde)</w:t>
            </w:r>
          </w:p>
        </w:tc>
      </w:tr>
      <w:tr>
        <w:trPr>
          <w:trHeight w:val="230" w:hRule="atLeast"/>
        </w:trPr>
        <w:tc>
          <w:tcPr>
            <w:tcW w:w="612" w:type="dxa"/>
          </w:tcPr>
          <w:p>
            <w:pPr>
              <w:pStyle w:val="TableParagraph"/>
              <w:ind w:left="50"/>
              <w:rPr>
                <w:sz w:val="20"/>
              </w:rPr>
            </w:pPr>
            <w:r>
              <w:rPr>
                <w:spacing w:val="-4"/>
                <w:sz w:val="20"/>
              </w:rPr>
              <w:t>5225</w:t>
            </w:r>
          </w:p>
        </w:tc>
        <w:tc>
          <w:tcPr>
            <w:tcW w:w="3901" w:type="dxa"/>
          </w:tcPr>
          <w:p>
            <w:pPr>
              <w:pStyle w:val="TableParagraph"/>
              <w:ind w:left="158"/>
              <w:rPr>
                <w:sz w:val="20"/>
              </w:rPr>
            </w:pPr>
            <w:r>
              <w:rPr>
                <w:sz w:val="20"/>
              </w:rPr>
              <w:t>Mochi</w:t>
            </w:r>
            <w:r>
              <w:rPr>
                <w:spacing w:val="-7"/>
                <w:sz w:val="20"/>
              </w:rPr>
              <w:t> </w:t>
            </w:r>
            <w:r>
              <w:rPr>
                <w:spacing w:val="-2"/>
                <w:sz w:val="20"/>
              </w:rPr>
              <w:t>(old)</w:t>
            </w:r>
          </w:p>
        </w:tc>
        <w:tc>
          <w:tcPr>
            <w:tcW w:w="1428" w:type="dxa"/>
          </w:tcPr>
          <w:p>
            <w:pPr>
              <w:pStyle w:val="TableParagraph"/>
              <w:ind w:right="156"/>
              <w:jc w:val="right"/>
              <w:rPr>
                <w:sz w:val="20"/>
              </w:rPr>
            </w:pPr>
            <w:r>
              <w:rPr>
                <w:spacing w:val="-4"/>
                <w:sz w:val="20"/>
              </w:rPr>
              <w:t>5490</w:t>
            </w:r>
          </w:p>
        </w:tc>
        <w:tc>
          <w:tcPr>
            <w:tcW w:w="2638" w:type="dxa"/>
          </w:tcPr>
          <w:p>
            <w:pPr>
              <w:pStyle w:val="TableParagraph"/>
              <w:ind w:left="158"/>
              <w:rPr>
                <w:sz w:val="20"/>
              </w:rPr>
            </w:pPr>
            <w:r>
              <w:rPr>
                <w:sz w:val="20"/>
              </w:rPr>
              <w:t>Herero</w:t>
            </w:r>
            <w:r>
              <w:rPr>
                <w:spacing w:val="-3"/>
                <w:sz w:val="20"/>
              </w:rPr>
              <w:t> </w:t>
            </w:r>
            <w:r>
              <w:rPr>
                <w:spacing w:val="-2"/>
                <w:sz w:val="20"/>
              </w:rPr>
              <w:t>(her)</w:t>
            </w:r>
          </w:p>
        </w:tc>
      </w:tr>
      <w:tr>
        <w:trPr>
          <w:trHeight w:val="225" w:hRule="atLeast"/>
        </w:trPr>
        <w:tc>
          <w:tcPr>
            <w:tcW w:w="612" w:type="dxa"/>
          </w:tcPr>
          <w:p>
            <w:pPr>
              <w:pStyle w:val="TableParagraph"/>
              <w:spacing w:line="205" w:lineRule="exact"/>
              <w:ind w:left="50"/>
              <w:rPr>
                <w:sz w:val="20"/>
              </w:rPr>
            </w:pPr>
            <w:r>
              <w:rPr>
                <w:spacing w:val="-4"/>
                <w:sz w:val="20"/>
              </w:rPr>
              <w:t>5230</w:t>
            </w:r>
          </w:p>
        </w:tc>
        <w:tc>
          <w:tcPr>
            <w:tcW w:w="3901" w:type="dxa"/>
          </w:tcPr>
          <w:p>
            <w:pPr>
              <w:pStyle w:val="TableParagraph"/>
              <w:spacing w:line="205" w:lineRule="exact"/>
              <w:ind w:left="158"/>
              <w:rPr>
                <w:sz w:val="20"/>
              </w:rPr>
            </w:pPr>
            <w:r>
              <w:rPr>
                <w:sz w:val="20"/>
              </w:rPr>
              <w:t>Kikuyu</w:t>
            </w:r>
            <w:r>
              <w:rPr>
                <w:spacing w:val="-9"/>
                <w:sz w:val="20"/>
              </w:rPr>
              <w:t> </w:t>
            </w:r>
            <w:r>
              <w:rPr>
                <w:spacing w:val="-2"/>
                <w:sz w:val="20"/>
              </w:rPr>
              <w:t>(kik)</w:t>
            </w:r>
          </w:p>
        </w:tc>
        <w:tc>
          <w:tcPr>
            <w:tcW w:w="1428" w:type="dxa"/>
          </w:tcPr>
          <w:p>
            <w:pPr>
              <w:pStyle w:val="TableParagraph"/>
              <w:spacing w:line="205" w:lineRule="exact"/>
              <w:ind w:right="156"/>
              <w:jc w:val="right"/>
              <w:rPr>
                <w:sz w:val="20"/>
              </w:rPr>
            </w:pPr>
            <w:r>
              <w:rPr>
                <w:spacing w:val="-4"/>
                <w:sz w:val="20"/>
              </w:rPr>
              <w:t>5495</w:t>
            </w:r>
          </w:p>
        </w:tc>
        <w:tc>
          <w:tcPr>
            <w:tcW w:w="2638" w:type="dxa"/>
          </w:tcPr>
          <w:p>
            <w:pPr>
              <w:pStyle w:val="TableParagraph"/>
              <w:spacing w:line="205" w:lineRule="exact"/>
              <w:ind w:left="158"/>
              <w:rPr>
                <w:sz w:val="20"/>
              </w:rPr>
            </w:pPr>
            <w:r>
              <w:rPr>
                <w:sz w:val="20"/>
              </w:rPr>
              <w:t>Umbundu</w:t>
            </w:r>
            <w:r>
              <w:rPr>
                <w:spacing w:val="-10"/>
                <w:sz w:val="20"/>
              </w:rPr>
              <w:t> </w:t>
            </w:r>
            <w:r>
              <w:rPr>
                <w:spacing w:val="-2"/>
                <w:sz w:val="20"/>
              </w:rPr>
              <w:t>(umb)</w:t>
            </w:r>
          </w:p>
        </w:tc>
      </w:tr>
    </w:tbl>
    <w:p>
      <w:pPr>
        <w:spacing w:after="0" w:line="205" w:lineRule="exact"/>
        <w:rPr>
          <w:sz w:val="20"/>
        </w:rPr>
        <w:sectPr>
          <w:footerReference w:type="default" r:id="rId88"/>
          <w:pgSz w:w="12240" w:h="15840"/>
          <w:pgMar w:footer="0" w:header="0" w:top="1140" w:bottom="280" w:left="600" w:right="500"/>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703"/>
        <w:gridCol w:w="1627"/>
        <w:gridCol w:w="2962"/>
      </w:tblGrid>
      <w:tr>
        <w:trPr>
          <w:trHeight w:val="225" w:hRule="atLeast"/>
        </w:trPr>
        <w:tc>
          <w:tcPr>
            <w:tcW w:w="612" w:type="dxa"/>
          </w:tcPr>
          <w:p>
            <w:pPr>
              <w:pStyle w:val="TableParagraph"/>
              <w:spacing w:line="205" w:lineRule="exact"/>
              <w:ind w:left="50"/>
              <w:rPr>
                <w:sz w:val="20"/>
              </w:rPr>
            </w:pPr>
            <w:r>
              <w:rPr>
                <w:spacing w:val="-4"/>
                <w:sz w:val="20"/>
              </w:rPr>
              <w:t>5500</w:t>
            </w:r>
          </w:p>
        </w:tc>
        <w:tc>
          <w:tcPr>
            <w:tcW w:w="3703" w:type="dxa"/>
          </w:tcPr>
          <w:p>
            <w:pPr>
              <w:pStyle w:val="TableParagraph"/>
              <w:spacing w:line="205" w:lineRule="exact"/>
              <w:ind w:left="158"/>
              <w:rPr>
                <w:sz w:val="20"/>
              </w:rPr>
            </w:pPr>
            <w:r>
              <w:rPr>
                <w:sz w:val="20"/>
              </w:rPr>
              <w:t>Kuanyama</w:t>
            </w:r>
            <w:r>
              <w:rPr>
                <w:spacing w:val="-11"/>
                <w:sz w:val="20"/>
              </w:rPr>
              <w:t> </w:t>
            </w:r>
            <w:r>
              <w:rPr>
                <w:spacing w:val="-2"/>
                <w:sz w:val="20"/>
              </w:rPr>
              <w:t>(kua)</w:t>
            </w:r>
          </w:p>
        </w:tc>
        <w:tc>
          <w:tcPr>
            <w:tcW w:w="1627" w:type="dxa"/>
          </w:tcPr>
          <w:p>
            <w:pPr>
              <w:pStyle w:val="TableParagraph"/>
              <w:spacing w:line="205" w:lineRule="exact"/>
              <w:ind w:right="157"/>
              <w:jc w:val="right"/>
              <w:rPr>
                <w:sz w:val="20"/>
              </w:rPr>
            </w:pPr>
            <w:r>
              <w:rPr>
                <w:spacing w:val="-4"/>
                <w:sz w:val="20"/>
              </w:rPr>
              <w:t>5765</w:t>
            </w:r>
          </w:p>
        </w:tc>
        <w:tc>
          <w:tcPr>
            <w:tcW w:w="2962" w:type="dxa"/>
          </w:tcPr>
          <w:p>
            <w:pPr>
              <w:pStyle w:val="TableParagraph"/>
              <w:spacing w:line="205" w:lineRule="exact"/>
              <w:ind w:left="157"/>
              <w:rPr>
                <w:sz w:val="20"/>
              </w:rPr>
            </w:pPr>
            <w:r>
              <w:rPr>
                <w:sz w:val="20"/>
              </w:rPr>
              <w:t>Meta'</w:t>
            </w:r>
            <w:r>
              <w:rPr>
                <w:spacing w:val="-7"/>
                <w:sz w:val="20"/>
              </w:rPr>
              <w:t> </w:t>
            </w:r>
            <w:r>
              <w:rPr>
                <w:spacing w:val="-4"/>
                <w:sz w:val="20"/>
              </w:rPr>
              <w:t>(mgo)</w:t>
            </w:r>
          </w:p>
        </w:tc>
      </w:tr>
      <w:tr>
        <w:trPr>
          <w:trHeight w:val="229" w:hRule="atLeast"/>
        </w:trPr>
        <w:tc>
          <w:tcPr>
            <w:tcW w:w="612" w:type="dxa"/>
          </w:tcPr>
          <w:p>
            <w:pPr>
              <w:pStyle w:val="TableParagraph"/>
              <w:spacing w:line="209" w:lineRule="exact"/>
              <w:ind w:left="50"/>
              <w:rPr>
                <w:sz w:val="20"/>
              </w:rPr>
            </w:pPr>
            <w:r>
              <w:rPr>
                <w:spacing w:val="-4"/>
                <w:sz w:val="20"/>
              </w:rPr>
              <w:t>5505</w:t>
            </w:r>
          </w:p>
        </w:tc>
        <w:tc>
          <w:tcPr>
            <w:tcW w:w="3703" w:type="dxa"/>
          </w:tcPr>
          <w:p>
            <w:pPr>
              <w:pStyle w:val="TableParagraph"/>
              <w:spacing w:line="209" w:lineRule="exact"/>
              <w:ind w:left="158"/>
              <w:rPr>
                <w:sz w:val="20"/>
              </w:rPr>
            </w:pPr>
            <w:r>
              <w:rPr>
                <w:sz w:val="20"/>
              </w:rPr>
              <w:t>Xhosa</w:t>
            </w:r>
            <w:r>
              <w:rPr>
                <w:spacing w:val="-7"/>
                <w:sz w:val="20"/>
              </w:rPr>
              <w:t> </w:t>
            </w:r>
            <w:r>
              <w:rPr>
                <w:spacing w:val="-2"/>
                <w:sz w:val="20"/>
              </w:rPr>
              <w:t>(xho)</w:t>
            </w:r>
          </w:p>
        </w:tc>
        <w:tc>
          <w:tcPr>
            <w:tcW w:w="1627" w:type="dxa"/>
          </w:tcPr>
          <w:p>
            <w:pPr>
              <w:pStyle w:val="TableParagraph"/>
              <w:spacing w:line="209" w:lineRule="exact"/>
              <w:ind w:right="157"/>
              <w:jc w:val="right"/>
              <w:rPr>
                <w:sz w:val="20"/>
              </w:rPr>
            </w:pPr>
            <w:r>
              <w:rPr>
                <w:spacing w:val="-4"/>
                <w:sz w:val="20"/>
              </w:rPr>
              <w:t>5770</w:t>
            </w:r>
          </w:p>
        </w:tc>
        <w:tc>
          <w:tcPr>
            <w:tcW w:w="2962" w:type="dxa"/>
          </w:tcPr>
          <w:p>
            <w:pPr>
              <w:pStyle w:val="TableParagraph"/>
              <w:spacing w:line="209" w:lineRule="exact"/>
              <w:ind w:left="157"/>
              <w:rPr>
                <w:sz w:val="20"/>
              </w:rPr>
            </w:pPr>
            <w:r>
              <w:rPr>
                <w:sz w:val="20"/>
              </w:rPr>
              <w:t>Ngie</w:t>
            </w:r>
            <w:r>
              <w:rPr>
                <w:spacing w:val="-5"/>
                <w:sz w:val="20"/>
              </w:rPr>
              <w:t> </w:t>
            </w:r>
            <w:r>
              <w:rPr>
                <w:spacing w:val="-2"/>
                <w:sz w:val="20"/>
              </w:rPr>
              <w:t>(ngj)</w:t>
            </w:r>
          </w:p>
        </w:tc>
      </w:tr>
      <w:tr>
        <w:trPr>
          <w:trHeight w:val="229" w:hRule="atLeast"/>
        </w:trPr>
        <w:tc>
          <w:tcPr>
            <w:tcW w:w="612" w:type="dxa"/>
          </w:tcPr>
          <w:p>
            <w:pPr>
              <w:pStyle w:val="TableParagraph"/>
              <w:spacing w:line="209" w:lineRule="exact"/>
              <w:ind w:left="50"/>
              <w:rPr>
                <w:sz w:val="20"/>
              </w:rPr>
            </w:pPr>
            <w:r>
              <w:rPr>
                <w:spacing w:val="-4"/>
                <w:sz w:val="20"/>
              </w:rPr>
              <w:t>5510</w:t>
            </w:r>
          </w:p>
        </w:tc>
        <w:tc>
          <w:tcPr>
            <w:tcW w:w="3703" w:type="dxa"/>
          </w:tcPr>
          <w:p>
            <w:pPr>
              <w:pStyle w:val="TableParagraph"/>
              <w:spacing w:line="209" w:lineRule="exact"/>
              <w:ind w:left="158"/>
              <w:rPr>
                <w:sz w:val="20"/>
              </w:rPr>
            </w:pPr>
            <w:r>
              <w:rPr>
                <w:sz w:val="20"/>
              </w:rPr>
              <w:t>Zulu</w:t>
            </w:r>
            <w:r>
              <w:rPr>
                <w:spacing w:val="-8"/>
                <w:sz w:val="20"/>
              </w:rPr>
              <w:t> </w:t>
            </w:r>
            <w:r>
              <w:rPr>
                <w:spacing w:val="-2"/>
                <w:sz w:val="20"/>
              </w:rPr>
              <w:t>(zul)</w:t>
            </w:r>
          </w:p>
        </w:tc>
        <w:tc>
          <w:tcPr>
            <w:tcW w:w="1627" w:type="dxa"/>
          </w:tcPr>
          <w:p>
            <w:pPr>
              <w:pStyle w:val="TableParagraph"/>
              <w:spacing w:line="209" w:lineRule="exact"/>
              <w:ind w:right="157"/>
              <w:jc w:val="right"/>
              <w:rPr>
                <w:sz w:val="20"/>
              </w:rPr>
            </w:pPr>
            <w:r>
              <w:rPr>
                <w:spacing w:val="-4"/>
                <w:sz w:val="20"/>
              </w:rPr>
              <w:t>5775</w:t>
            </w:r>
          </w:p>
        </w:tc>
        <w:tc>
          <w:tcPr>
            <w:tcW w:w="2962" w:type="dxa"/>
          </w:tcPr>
          <w:p>
            <w:pPr>
              <w:pStyle w:val="TableParagraph"/>
              <w:spacing w:line="209" w:lineRule="exact"/>
              <w:ind w:left="157"/>
              <w:rPr>
                <w:sz w:val="20"/>
              </w:rPr>
            </w:pPr>
            <w:r>
              <w:rPr>
                <w:sz w:val="20"/>
              </w:rPr>
              <w:t>Ngwo</w:t>
            </w:r>
            <w:r>
              <w:rPr>
                <w:spacing w:val="-6"/>
                <w:sz w:val="20"/>
              </w:rPr>
              <w:t> </w:t>
            </w:r>
            <w:r>
              <w:rPr>
                <w:spacing w:val="-2"/>
                <w:sz w:val="20"/>
              </w:rPr>
              <w:t>(ngn)</w:t>
            </w:r>
          </w:p>
        </w:tc>
      </w:tr>
      <w:tr>
        <w:trPr>
          <w:trHeight w:val="230" w:hRule="atLeast"/>
        </w:trPr>
        <w:tc>
          <w:tcPr>
            <w:tcW w:w="612" w:type="dxa"/>
          </w:tcPr>
          <w:p>
            <w:pPr>
              <w:pStyle w:val="TableParagraph"/>
              <w:ind w:left="50"/>
              <w:rPr>
                <w:sz w:val="20"/>
              </w:rPr>
            </w:pPr>
            <w:r>
              <w:rPr>
                <w:spacing w:val="-4"/>
                <w:sz w:val="20"/>
              </w:rPr>
              <w:t>5515</w:t>
            </w:r>
          </w:p>
        </w:tc>
        <w:tc>
          <w:tcPr>
            <w:tcW w:w="3703" w:type="dxa"/>
          </w:tcPr>
          <w:p>
            <w:pPr>
              <w:pStyle w:val="TableParagraph"/>
              <w:ind w:left="158"/>
              <w:rPr>
                <w:sz w:val="20"/>
              </w:rPr>
            </w:pPr>
            <w:r>
              <w:rPr>
                <w:sz w:val="20"/>
              </w:rPr>
              <w:t>Swati</w:t>
            </w:r>
            <w:r>
              <w:rPr>
                <w:spacing w:val="-7"/>
                <w:sz w:val="20"/>
              </w:rPr>
              <w:t> </w:t>
            </w:r>
            <w:r>
              <w:rPr>
                <w:spacing w:val="-2"/>
                <w:sz w:val="20"/>
              </w:rPr>
              <w:t>(ssw)</w:t>
            </w:r>
          </w:p>
        </w:tc>
        <w:tc>
          <w:tcPr>
            <w:tcW w:w="1627" w:type="dxa"/>
          </w:tcPr>
          <w:p>
            <w:pPr>
              <w:pStyle w:val="TableParagraph"/>
              <w:ind w:right="157"/>
              <w:jc w:val="right"/>
              <w:rPr>
                <w:sz w:val="20"/>
              </w:rPr>
            </w:pPr>
            <w:r>
              <w:rPr>
                <w:spacing w:val="-4"/>
                <w:sz w:val="20"/>
              </w:rPr>
              <w:t>5780</w:t>
            </w:r>
          </w:p>
        </w:tc>
        <w:tc>
          <w:tcPr>
            <w:tcW w:w="2962" w:type="dxa"/>
          </w:tcPr>
          <w:p>
            <w:pPr>
              <w:pStyle w:val="TableParagraph"/>
              <w:ind w:left="157"/>
              <w:rPr>
                <w:sz w:val="20"/>
              </w:rPr>
            </w:pPr>
            <w:r>
              <w:rPr>
                <w:sz w:val="20"/>
              </w:rPr>
              <w:t>Babanki</w:t>
            </w:r>
            <w:r>
              <w:rPr>
                <w:spacing w:val="-9"/>
                <w:sz w:val="20"/>
              </w:rPr>
              <w:t> </w:t>
            </w:r>
            <w:r>
              <w:rPr>
                <w:spacing w:val="-2"/>
                <w:sz w:val="20"/>
              </w:rPr>
              <w:t>(bbk)</w:t>
            </w:r>
          </w:p>
        </w:tc>
      </w:tr>
      <w:tr>
        <w:trPr>
          <w:trHeight w:val="230" w:hRule="atLeast"/>
        </w:trPr>
        <w:tc>
          <w:tcPr>
            <w:tcW w:w="612" w:type="dxa"/>
          </w:tcPr>
          <w:p>
            <w:pPr>
              <w:pStyle w:val="TableParagraph"/>
              <w:ind w:left="50"/>
              <w:rPr>
                <w:sz w:val="20"/>
              </w:rPr>
            </w:pPr>
            <w:r>
              <w:rPr>
                <w:spacing w:val="-4"/>
                <w:sz w:val="20"/>
              </w:rPr>
              <w:t>5520</w:t>
            </w:r>
          </w:p>
        </w:tc>
        <w:tc>
          <w:tcPr>
            <w:tcW w:w="3703" w:type="dxa"/>
          </w:tcPr>
          <w:p>
            <w:pPr>
              <w:pStyle w:val="TableParagraph"/>
              <w:ind w:left="158"/>
              <w:rPr>
                <w:sz w:val="20"/>
              </w:rPr>
            </w:pPr>
            <w:r>
              <w:rPr>
                <w:sz w:val="20"/>
              </w:rPr>
              <w:t>North</w:t>
            </w:r>
            <w:r>
              <w:rPr>
                <w:spacing w:val="-7"/>
                <w:sz w:val="20"/>
              </w:rPr>
              <w:t> </w:t>
            </w:r>
            <w:r>
              <w:rPr>
                <w:sz w:val="20"/>
              </w:rPr>
              <w:t>Ndebele</w:t>
            </w:r>
            <w:r>
              <w:rPr>
                <w:spacing w:val="-4"/>
                <w:sz w:val="20"/>
              </w:rPr>
              <w:t> </w:t>
            </w:r>
            <w:r>
              <w:rPr>
                <w:spacing w:val="-2"/>
                <w:sz w:val="20"/>
              </w:rPr>
              <w:t>(nde)</w:t>
            </w:r>
          </w:p>
        </w:tc>
        <w:tc>
          <w:tcPr>
            <w:tcW w:w="1627" w:type="dxa"/>
          </w:tcPr>
          <w:p>
            <w:pPr>
              <w:pStyle w:val="TableParagraph"/>
              <w:ind w:right="157"/>
              <w:jc w:val="right"/>
              <w:rPr>
                <w:sz w:val="20"/>
              </w:rPr>
            </w:pPr>
            <w:r>
              <w:rPr>
                <w:spacing w:val="-4"/>
                <w:sz w:val="20"/>
              </w:rPr>
              <w:t>5785</w:t>
            </w:r>
          </w:p>
        </w:tc>
        <w:tc>
          <w:tcPr>
            <w:tcW w:w="2962" w:type="dxa"/>
          </w:tcPr>
          <w:p>
            <w:pPr>
              <w:pStyle w:val="TableParagraph"/>
              <w:ind w:left="157"/>
              <w:rPr>
                <w:sz w:val="20"/>
              </w:rPr>
            </w:pPr>
            <w:r>
              <w:rPr>
                <w:sz w:val="20"/>
              </w:rPr>
              <w:t>Kom</w:t>
            </w:r>
            <w:r>
              <w:rPr>
                <w:spacing w:val="-10"/>
                <w:sz w:val="20"/>
              </w:rPr>
              <w:t> </w:t>
            </w:r>
            <w:r>
              <w:rPr>
                <w:sz w:val="20"/>
              </w:rPr>
              <w:t>(Cameroon)</w:t>
            </w:r>
            <w:r>
              <w:rPr>
                <w:spacing w:val="-5"/>
                <w:sz w:val="20"/>
              </w:rPr>
              <w:t> </w:t>
            </w:r>
            <w:r>
              <w:rPr>
                <w:spacing w:val="-4"/>
                <w:sz w:val="20"/>
              </w:rPr>
              <w:t>(bkm)</w:t>
            </w:r>
          </w:p>
        </w:tc>
      </w:tr>
      <w:tr>
        <w:trPr>
          <w:trHeight w:val="230" w:hRule="atLeast"/>
        </w:trPr>
        <w:tc>
          <w:tcPr>
            <w:tcW w:w="612" w:type="dxa"/>
          </w:tcPr>
          <w:p>
            <w:pPr>
              <w:pStyle w:val="TableParagraph"/>
              <w:ind w:left="50"/>
              <w:rPr>
                <w:sz w:val="20"/>
              </w:rPr>
            </w:pPr>
            <w:r>
              <w:rPr>
                <w:spacing w:val="-4"/>
                <w:sz w:val="20"/>
              </w:rPr>
              <w:t>5525</w:t>
            </w:r>
          </w:p>
        </w:tc>
        <w:tc>
          <w:tcPr>
            <w:tcW w:w="3703" w:type="dxa"/>
          </w:tcPr>
          <w:p>
            <w:pPr>
              <w:pStyle w:val="TableParagraph"/>
              <w:ind w:left="158"/>
              <w:rPr>
                <w:sz w:val="20"/>
              </w:rPr>
            </w:pPr>
            <w:r>
              <w:rPr>
                <w:sz w:val="20"/>
              </w:rPr>
              <w:t>Shona</w:t>
            </w:r>
            <w:r>
              <w:rPr>
                <w:spacing w:val="-8"/>
                <w:sz w:val="20"/>
              </w:rPr>
              <w:t> </w:t>
            </w:r>
            <w:r>
              <w:rPr>
                <w:spacing w:val="-2"/>
                <w:sz w:val="20"/>
              </w:rPr>
              <w:t>(sna)</w:t>
            </w:r>
          </w:p>
        </w:tc>
        <w:tc>
          <w:tcPr>
            <w:tcW w:w="1627" w:type="dxa"/>
          </w:tcPr>
          <w:p>
            <w:pPr>
              <w:pStyle w:val="TableParagraph"/>
              <w:ind w:right="157"/>
              <w:jc w:val="right"/>
              <w:rPr>
                <w:sz w:val="20"/>
              </w:rPr>
            </w:pPr>
            <w:r>
              <w:rPr>
                <w:spacing w:val="-4"/>
                <w:sz w:val="20"/>
              </w:rPr>
              <w:t>5790</w:t>
            </w:r>
          </w:p>
        </w:tc>
        <w:tc>
          <w:tcPr>
            <w:tcW w:w="2962" w:type="dxa"/>
          </w:tcPr>
          <w:p>
            <w:pPr>
              <w:pStyle w:val="TableParagraph"/>
              <w:ind w:left="157"/>
              <w:rPr>
                <w:sz w:val="20"/>
              </w:rPr>
            </w:pPr>
            <w:r>
              <w:rPr>
                <w:sz w:val="20"/>
              </w:rPr>
              <w:t>Oku</w:t>
            </w:r>
            <w:r>
              <w:rPr>
                <w:spacing w:val="-4"/>
                <w:sz w:val="20"/>
              </w:rPr>
              <w:t> </w:t>
            </w:r>
            <w:r>
              <w:rPr>
                <w:spacing w:val="-2"/>
                <w:sz w:val="20"/>
              </w:rPr>
              <w:t>(oku)</w:t>
            </w:r>
          </w:p>
        </w:tc>
      </w:tr>
      <w:tr>
        <w:trPr>
          <w:trHeight w:val="230" w:hRule="atLeast"/>
        </w:trPr>
        <w:tc>
          <w:tcPr>
            <w:tcW w:w="612" w:type="dxa"/>
          </w:tcPr>
          <w:p>
            <w:pPr>
              <w:pStyle w:val="TableParagraph"/>
              <w:ind w:left="50"/>
              <w:rPr>
                <w:sz w:val="20"/>
              </w:rPr>
            </w:pPr>
            <w:r>
              <w:rPr>
                <w:spacing w:val="-4"/>
                <w:sz w:val="20"/>
              </w:rPr>
              <w:t>5530</w:t>
            </w:r>
          </w:p>
        </w:tc>
        <w:tc>
          <w:tcPr>
            <w:tcW w:w="3703" w:type="dxa"/>
          </w:tcPr>
          <w:p>
            <w:pPr>
              <w:pStyle w:val="TableParagraph"/>
              <w:ind w:left="158"/>
              <w:rPr>
                <w:sz w:val="20"/>
              </w:rPr>
            </w:pPr>
            <w:r>
              <w:rPr>
                <w:sz w:val="20"/>
              </w:rPr>
              <w:t>Ndau</w:t>
            </w:r>
            <w:r>
              <w:rPr>
                <w:spacing w:val="-5"/>
                <w:sz w:val="20"/>
              </w:rPr>
              <w:t> </w:t>
            </w:r>
            <w:r>
              <w:rPr>
                <w:spacing w:val="-2"/>
                <w:sz w:val="20"/>
              </w:rPr>
              <w:t>(ndc)</w:t>
            </w:r>
          </w:p>
        </w:tc>
        <w:tc>
          <w:tcPr>
            <w:tcW w:w="1627" w:type="dxa"/>
          </w:tcPr>
          <w:p>
            <w:pPr>
              <w:pStyle w:val="TableParagraph"/>
              <w:ind w:right="157"/>
              <w:jc w:val="right"/>
              <w:rPr>
                <w:sz w:val="20"/>
              </w:rPr>
            </w:pPr>
            <w:r>
              <w:rPr>
                <w:spacing w:val="-4"/>
                <w:sz w:val="20"/>
              </w:rPr>
              <w:t>5795</w:t>
            </w:r>
          </w:p>
        </w:tc>
        <w:tc>
          <w:tcPr>
            <w:tcW w:w="2962" w:type="dxa"/>
          </w:tcPr>
          <w:p>
            <w:pPr>
              <w:pStyle w:val="TableParagraph"/>
              <w:ind w:left="157"/>
              <w:rPr>
                <w:sz w:val="20"/>
              </w:rPr>
            </w:pPr>
            <w:r>
              <w:rPr>
                <w:sz w:val="20"/>
              </w:rPr>
              <w:t>Lamnso'</w:t>
            </w:r>
            <w:r>
              <w:rPr>
                <w:spacing w:val="-8"/>
                <w:sz w:val="20"/>
              </w:rPr>
              <w:t> </w:t>
            </w:r>
            <w:r>
              <w:rPr>
                <w:spacing w:val="-2"/>
                <w:sz w:val="20"/>
              </w:rPr>
              <w:t>(lns)</w:t>
            </w:r>
          </w:p>
        </w:tc>
      </w:tr>
      <w:tr>
        <w:trPr>
          <w:trHeight w:val="229" w:hRule="atLeast"/>
        </w:trPr>
        <w:tc>
          <w:tcPr>
            <w:tcW w:w="612" w:type="dxa"/>
          </w:tcPr>
          <w:p>
            <w:pPr>
              <w:pStyle w:val="TableParagraph"/>
              <w:spacing w:line="209" w:lineRule="exact"/>
              <w:ind w:left="50"/>
              <w:rPr>
                <w:sz w:val="20"/>
              </w:rPr>
            </w:pPr>
            <w:r>
              <w:rPr>
                <w:spacing w:val="-4"/>
                <w:sz w:val="20"/>
              </w:rPr>
              <w:t>5535</w:t>
            </w:r>
          </w:p>
        </w:tc>
        <w:tc>
          <w:tcPr>
            <w:tcW w:w="3703" w:type="dxa"/>
          </w:tcPr>
          <w:p>
            <w:pPr>
              <w:pStyle w:val="TableParagraph"/>
              <w:spacing w:line="209" w:lineRule="exact"/>
              <w:ind w:left="158"/>
              <w:rPr>
                <w:sz w:val="20"/>
              </w:rPr>
            </w:pPr>
            <w:r>
              <w:rPr>
                <w:sz w:val="20"/>
              </w:rPr>
              <w:t>Kalanga</w:t>
            </w:r>
            <w:r>
              <w:rPr>
                <w:spacing w:val="-8"/>
                <w:sz w:val="20"/>
              </w:rPr>
              <w:t> </w:t>
            </w:r>
            <w:r>
              <w:rPr>
                <w:spacing w:val="-2"/>
                <w:sz w:val="20"/>
              </w:rPr>
              <w:t>(kck)</w:t>
            </w:r>
          </w:p>
        </w:tc>
        <w:tc>
          <w:tcPr>
            <w:tcW w:w="1627" w:type="dxa"/>
          </w:tcPr>
          <w:p>
            <w:pPr>
              <w:pStyle w:val="TableParagraph"/>
              <w:spacing w:line="209" w:lineRule="exact"/>
              <w:ind w:right="157"/>
              <w:jc w:val="right"/>
              <w:rPr>
                <w:sz w:val="20"/>
              </w:rPr>
            </w:pPr>
            <w:r>
              <w:rPr>
                <w:spacing w:val="-4"/>
                <w:sz w:val="20"/>
              </w:rPr>
              <w:t>5800</w:t>
            </w:r>
          </w:p>
        </w:tc>
        <w:tc>
          <w:tcPr>
            <w:tcW w:w="2962" w:type="dxa"/>
          </w:tcPr>
          <w:p>
            <w:pPr>
              <w:pStyle w:val="TableParagraph"/>
              <w:spacing w:line="209" w:lineRule="exact"/>
              <w:ind w:left="157"/>
              <w:rPr>
                <w:sz w:val="20"/>
              </w:rPr>
            </w:pPr>
            <w:r>
              <w:rPr>
                <w:sz w:val="20"/>
              </w:rPr>
              <w:t>Kenswei</w:t>
            </w:r>
            <w:r>
              <w:rPr>
                <w:spacing w:val="-8"/>
                <w:sz w:val="20"/>
              </w:rPr>
              <w:t> </w:t>
            </w:r>
            <w:r>
              <w:rPr>
                <w:sz w:val="20"/>
              </w:rPr>
              <w:t>Nsei</w:t>
            </w:r>
            <w:r>
              <w:rPr>
                <w:spacing w:val="-6"/>
                <w:sz w:val="20"/>
              </w:rPr>
              <w:t> </w:t>
            </w:r>
            <w:r>
              <w:rPr>
                <w:spacing w:val="-2"/>
                <w:sz w:val="20"/>
              </w:rPr>
              <w:t>(ndb)</w:t>
            </w:r>
          </w:p>
        </w:tc>
      </w:tr>
      <w:tr>
        <w:trPr>
          <w:trHeight w:val="229" w:hRule="atLeast"/>
        </w:trPr>
        <w:tc>
          <w:tcPr>
            <w:tcW w:w="612" w:type="dxa"/>
          </w:tcPr>
          <w:p>
            <w:pPr>
              <w:pStyle w:val="TableParagraph"/>
              <w:spacing w:line="209" w:lineRule="exact"/>
              <w:ind w:left="50"/>
              <w:rPr>
                <w:sz w:val="20"/>
              </w:rPr>
            </w:pPr>
            <w:r>
              <w:rPr>
                <w:spacing w:val="-4"/>
                <w:sz w:val="20"/>
              </w:rPr>
              <w:t>5540</w:t>
            </w:r>
          </w:p>
        </w:tc>
        <w:tc>
          <w:tcPr>
            <w:tcW w:w="3703" w:type="dxa"/>
          </w:tcPr>
          <w:p>
            <w:pPr>
              <w:pStyle w:val="TableParagraph"/>
              <w:spacing w:line="209" w:lineRule="exact"/>
              <w:ind w:left="158"/>
              <w:rPr>
                <w:sz w:val="20"/>
              </w:rPr>
            </w:pPr>
            <w:r>
              <w:rPr>
                <w:sz w:val="20"/>
              </w:rPr>
              <w:t>Tswana</w:t>
            </w:r>
            <w:r>
              <w:rPr>
                <w:spacing w:val="-10"/>
                <w:sz w:val="20"/>
              </w:rPr>
              <w:t> </w:t>
            </w:r>
            <w:r>
              <w:rPr>
                <w:spacing w:val="-2"/>
                <w:sz w:val="20"/>
              </w:rPr>
              <w:t>(tsn)</w:t>
            </w:r>
          </w:p>
        </w:tc>
        <w:tc>
          <w:tcPr>
            <w:tcW w:w="1627" w:type="dxa"/>
          </w:tcPr>
          <w:p>
            <w:pPr>
              <w:pStyle w:val="TableParagraph"/>
              <w:spacing w:line="209" w:lineRule="exact"/>
              <w:ind w:right="157"/>
              <w:jc w:val="right"/>
              <w:rPr>
                <w:sz w:val="20"/>
              </w:rPr>
            </w:pPr>
            <w:r>
              <w:rPr>
                <w:spacing w:val="-4"/>
                <w:sz w:val="20"/>
              </w:rPr>
              <w:t>5805</w:t>
            </w:r>
          </w:p>
        </w:tc>
        <w:tc>
          <w:tcPr>
            <w:tcW w:w="2962" w:type="dxa"/>
          </w:tcPr>
          <w:p>
            <w:pPr>
              <w:pStyle w:val="TableParagraph"/>
              <w:spacing w:line="209" w:lineRule="exact"/>
              <w:ind w:left="157"/>
              <w:rPr>
                <w:sz w:val="20"/>
              </w:rPr>
            </w:pPr>
            <w:r>
              <w:rPr>
                <w:sz w:val="20"/>
              </w:rPr>
              <w:t>Vengo</w:t>
            </w:r>
            <w:r>
              <w:rPr>
                <w:spacing w:val="-6"/>
                <w:sz w:val="20"/>
              </w:rPr>
              <w:t> </w:t>
            </w:r>
            <w:r>
              <w:rPr>
                <w:spacing w:val="-2"/>
                <w:sz w:val="20"/>
              </w:rPr>
              <w:t>(bav)</w:t>
            </w:r>
          </w:p>
        </w:tc>
      </w:tr>
      <w:tr>
        <w:trPr>
          <w:trHeight w:val="230" w:hRule="atLeast"/>
        </w:trPr>
        <w:tc>
          <w:tcPr>
            <w:tcW w:w="612" w:type="dxa"/>
          </w:tcPr>
          <w:p>
            <w:pPr>
              <w:pStyle w:val="TableParagraph"/>
              <w:ind w:left="50"/>
              <w:rPr>
                <w:sz w:val="20"/>
              </w:rPr>
            </w:pPr>
            <w:r>
              <w:rPr>
                <w:spacing w:val="-4"/>
                <w:sz w:val="20"/>
              </w:rPr>
              <w:t>5545</w:t>
            </w:r>
          </w:p>
        </w:tc>
        <w:tc>
          <w:tcPr>
            <w:tcW w:w="3703" w:type="dxa"/>
          </w:tcPr>
          <w:p>
            <w:pPr>
              <w:pStyle w:val="TableParagraph"/>
              <w:ind w:left="158"/>
              <w:rPr>
                <w:sz w:val="20"/>
              </w:rPr>
            </w:pPr>
            <w:r>
              <w:rPr>
                <w:sz w:val="20"/>
              </w:rPr>
              <w:t>Northern</w:t>
            </w:r>
            <w:r>
              <w:rPr>
                <w:spacing w:val="-7"/>
                <w:sz w:val="20"/>
              </w:rPr>
              <w:t> </w:t>
            </w:r>
            <w:r>
              <w:rPr>
                <w:sz w:val="20"/>
              </w:rPr>
              <w:t>Sotho</w:t>
            </w:r>
            <w:r>
              <w:rPr>
                <w:spacing w:val="-5"/>
                <w:sz w:val="20"/>
              </w:rPr>
              <w:t> </w:t>
            </w:r>
            <w:r>
              <w:rPr>
                <w:spacing w:val="-4"/>
                <w:sz w:val="20"/>
              </w:rPr>
              <w:t>(nso)</w:t>
            </w:r>
          </w:p>
        </w:tc>
        <w:tc>
          <w:tcPr>
            <w:tcW w:w="1627" w:type="dxa"/>
          </w:tcPr>
          <w:p>
            <w:pPr>
              <w:pStyle w:val="TableParagraph"/>
              <w:ind w:right="157"/>
              <w:jc w:val="right"/>
              <w:rPr>
                <w:sz w:val="20"/>
              </w:rPr>
            </w:pPr>
            <w:r>
              <w:rPr>
                <w:spacing w:val="-4"/>
                <w:sz w:val="20"/>
              </w:rPr>
              <w:t>5810</w:t>
            </w:r>
          </w:p>
        </w:tc>
        <w:tc>
          <w:tcPr>
            <w:tcW w:w="2962" w:type="dxa"/>
          </w:tcPr>
          <w:p>
            <w:pPr>
              <w:pStyle w:val="TableParagraph"/>
              <w:ind w:left="157"/>
              <w:rPr>
                <w:sz w:val="20"/>
              </w:rPr>
            </w:pPr>
            <w:r>
              <w:rPr>
                <w:sz w:val="20"/>
              </w:rPr>
              <w:t>Aghem</w:t>
            </w:r>
            <w:r>
              <w:rPr>
                <w:spacing w:val="-9"/>
                <w:sz w:val="20"/>
              </w:rPr>
              <w:t> </w:t>
            </w:r>
            <w:r>
              <w:rPr>
                <w:spacing w:val="-2"/>
                <w:sz w:val="20"/>
              </w:rPr>
              <w:t>(agq)</w:t>
            </w:r>
          </w:p>
        </w:tc>
      </w:tr>
      <w:tr>
        <w:trPr>
          <w:trHeight w:val="230" w:hRule="atLeast"/>
        </w:trPr>
        <w:tc>
          <w:tcPr>
            <w:tcW w:w="612" w:type="dxa"/>
          </w:tcPr>
          <w:p>
            <w:pPr>
              <w:pStyle w:val="TableParagraph"/>
              <w:ind w:left="50"/>
              <w:rPr>
                <w:sz w:val="20"/>
              </w:rPr>
            </w:pPr>
            <w:r>
              <w:rPr>
                <w:spacing w:val="-4"/>
                <w:sz w:val="20"/>
              </w:rPr>
              <w:t>5546</w:t>
            </w:r>
          </w:p>
        </w:tc>
        <w:tc>
          <w:tcPr>
            <w:tcW w:w="3703" w:type="dxa"/>
          </w:tcPr>
          <w:p>
            <w:pPr>
              <w:pStyle w:val="TableParagraph"/>
              <w:ind w:left="158"/>
              <w:rPr>
                <w:sz w:val="20"/>
              </w:rPr>
            </w:pPr>
            <w:r>
              <w:rPr>
                <w:sz w:val="20"/>
              </w:rPr>
              <w:t>Southern</w:t>
            </w:r>
            <w:r>
              <w:rPr>
                <w:spacing w:val="-8"/>
                <w:sz w:val="20"/>
              </w:rPr>
              <w:t> </w:t>
            </w:r>
            <w:r>
              <w:rPr>
                <w:sz w:val="20"/>
              </w:rPr>
              <w:t>Sotho</w:t>
            </w:r>
            <w:r>
              <w:rPr>
                <w:spacing w:val="-5"/>
                <w:sz w:val="20"/>
              </w:rPr>
              <w:t> </w:t>
            </w:r>
            <w:r>
              <w:rPr>
                <w:spacing w:val="-4"/>
                <w:sz w:val="20"/>
              </w:rPr>
              <w:t>(sot)</w:t>
            </w:r>
          </w:p>
        </w:tc>
        <w:tc>
          <w:tcPr>
            <w:tcW w:w="1627" w:type="dxa"/>
          </w:tcPr>
          <w:p>
            <w:pPr>
              <w:pStyle w:val="TableParagraph"/>
              <w:ind w:right="157"/>
              <w:jc w:val="right"/>
              <w:rPr>
                <w:sz w:val="20"/>
              </w:rPr>
            </w:pPr>
            <w:r>
              <w:rPr>
                <w:spacing w:val="-4"/>
                <w:sz w:val="20"/>
              </w:rPr>
              <w:t>5815</w:t>
            </w:r>
          </w:p>
        </w:tc>
        <w:tc>
          <w:tcPr>
            <w:tcW w:w="2962" w:type="dxa"/>
          </w:tcPr>
          <w:p>
            <w:pPr>
              <w:pStyle w:val="TableParagraph"/>
              <w:ind w:left="157"/>
              <w:rPr>
                <w:sz w:val="20"/>
              </w:rPr>
            </w:pPr>
            <w:r>
              <w:rPr>
                <w:sz w:val="20"/>
              </w:rPr>
              <w:t>Isu</w:t>
            </w:r>
            <w:r>
              <w:rPr>
                <w:spacing w:val="-8"/>
                <w:sz w:val="20"/>
              </w:rPr>
              <w:t> </w:t>
            </w:r>
            <w:r>
              <w:rPr>
                <w:sz w:val="20"/>
              </w:rPr>
              <w:t>(Menchum</w:t>
            </w:r>
            <w:r>
              <w:rPr>
                <w:spacing w:val="-10"/>
                <w:sz w:val="20"/>
              </w:rPr>
              <w:t> </w:t>
            </w:r>
            <w:r>
              <w:rPr>
                <w:sz w:val="20"/>
              </w:rPr>
              <w:t>Division)</w:t>
            </w:r>
            <w:r>
              <w:rPr>
                <w:spacing w:val="-6"/>
                <w:sz w:val="20"/>
              </w:rPr>
              <w:t> </w:t>
            </w:r>
            <w:r>
              <w:rPr>
                <w:spacing w:val="-4"/>
                <w:sz w:val="20"/>
              </w:rPr>
              <w:t>(isu)</w:t>
            </w:r>
          </w:p>
        </w:tc>
      </w:tr>
      <w:tr>
        <w:trPr>
          <w:trHeight w:val="230" w:hRule="atLeast"/>
        </w:trPr>
        <w:tc>
          <w:tcPr>
            <w:tcW w:w="612" w:type="dxa"/>
          </w:tcPr>
          <w:p>
            <w:pPr>
              <w:pStyle w:val="TableParagraph"/>
              <w:ind w:left="50"/>
              <w:rPr>
                <w:sz w:val="20"/>
              </w:rPr>
            </w:pPr>
            <w:r>
              <w:rPr>
                <w:spacing w:val="-4"/>
                <w:sz w:val="20"/>
              </w:rPr>
              <w:t>5550</w:t>
            </w:r>
          </w:p>
        </w:tc>
        <w:tc>
          <w:tcPr>
            <w:tcW w:w="3703" w:type="dxa"/>
          </w:tcPr>
          <w:p>
            <w:pPr>
              <w:pStyle w:val="TableParagraph"/>
              <w:ind w:left="158"/>
              <w:rPr>
                <w:sz w:val="20"/>
              </w:rPr>
            </w:pPr>
            <w:r>
              <w:rPr>
                <w:sz w:val="20"/>
              </w:rPr>
              <w:t>Tsonga</w:t>
            </w:r>
            <w:r>
              <w:rPr>
                <w:spacing w:val="-8"/>
                <w:sz w:val="20"/>
              </w:rPr>
              <w:t> </w:t>
            </w:r>
            <w:r>
              <w:rPr>
                <w:spacing w:val="-2"/>
                <w:sz w:val="20"/>
              </w:rPr>
              <w:t>(tso)</w:t>
            </w:r>
          </w:p>
        </w:tc>
        <w:tc>
          <w:tcPr>
            <w:tcW w:w="1627" w:type="dxa"/>
          </w:tcPr>
          <w:p>
            <w:pPr>
              <w:pStyle w:val="TableParagraph"/>
              <w:ind w:right="157"/>
              <w:jc w:val="right"/>
              <w:rPr>
                <w:sz w:val="20"/>
              </w:rPr>
            </w:pPr>
            <w:r>
              <w:rPr>
                <w:spacing w:val="-4"/>
                <w:sz w:val="20"/>
              </w:rPr>
              <w:t>5820</w:t>
            </w:r>
          </w:p>
        </w:tc>
        <w:tc>
          <w:tcPr>
            <w:tcW w:w="2962" w:type="dxa"/>
          </w:tcPr>
          <w:p>
            <w:pPr>
              <w:pStyle w:val="TableParagraph"/>
              <w:ind w:left="157"/>
              <w:rPr>
                <w:sz w:val="20"/>
              </w:rPr>
            </w:pPr>
            <w:r>
              <w:rPr>
                <w:sz w:val="20"/>
              </w:rPr>
              <w:t>Njebi</w:t>
            </w:r>
            <w:r>
              <w:rPr>
                <w:spacing w:val="-3"/>
                <w:sz w:val="20"/>
              </w:rPr>
              <w:t> </w:t>
            </w:r>
            <w:r>
              <w:rPr>
                <w:spacing w:val="-2"/>
                <w:sz w:val="20"/>
              </w:rPr>
              <w:t>(nzb)</w:t>
            </w:r>
          </w:p>
        </w:tc>
      </w:tr>
      <w:tr>
        <w:trPr>
          <w:trHeight w:val="225" w:hRule="atLeast"/>
        </w:trPr>
        <w:tc>
          <w:tcPr>
            <w:tcW w:w="612" w:type="dxa"/>
          </w:tcPr>
          <w:p>
            <w:pPr>
              <w:pStyle w:val="TableParagraph"/>
              <w:spacing w:line="205" w:lineRule="exact"/>
              <w:ind w:left="50"/>
              <w:rPr>
                <w:sz w:val="20"/>
              </w:rPr>
            </w:pPr>
            <w:r>
              <w:rPr>
                <w:spacing w:val="-4"/>
                <w:sz w:val="20"/>
              </w:rPr>
              <w:t>5555</w:t>
            </w:r>
          </w:p>
        </w:tc>
        <w:tc>
          <w:tcPr>
            <w:tcW w:w="3703" w:type="dxa"/>
          </w:tcPr>
          <w:p>
            <w:pPr>
              <w:pStyle w:val="TableParagraph"/>
              <w:spacing w:line="205" w:lineRule="exact"/>
              <w:ind w:left="158"/>
              <w:rPr>
                <w:sz w:val="20"/>
              </w:rPr>
            </w:pPr>
            <w:r>
              <w:rPr>
                <w:sz w:val="20"/>
              </w:rPr>
              <w:t>Bafia</w:t>
            </w:r>
            <w:r>
              <w:rPr>
                <w:spacing w:val="-6"/>
                <w:sz w:val="20"/>
              </w:rPr>
              <w:t> </w:t>
            </w:r>
            <w:r>
              <w:rPr>
                <w:spacing w:val="-2"/>
                <w:sz w:val="20"/>
              </w:rPr>
              <w:t>(ksf)</w:t>
            </w:r>
          </w:p>
        </w:tc>
        <w:tc>
          <w:tcPr>
            <w:tcW w:w="1627" w:type="dxa"/>
          </w:tcPr>
          <w:p>
            <w:pPr>
              <w:pStyle w:val="TableParagraph"/>
              <w:spacing w:line="240" w:lineRule="auto"/>
              <w:rPr>
                <w:sz w:val="16"/>
              </w:rPr>
            </w:pPr>
          </w:p>
        </w:tc>
        <w:tc>
          <w:tcPr>
            <w:tcW w:w="2962" w:type="dxa"/>
          </w:tcPr>
          <w:p>
            <w:pPr>
              <w:pStyle w:val="TableParagraph"/>
              <w:spacing w:line="240" w:lineRule="auto"/>
              <w:rPr>
                <w:sz w:val="16"/>
              </w:rPr>
            </w:pPr>
          </w:p>
        </w:tc>
      </w:tr>
      <w:tr>
        <w:trPr>
          <w:trHeight w:val="230" w:hRule="atLeast"/>
        </w:trPr>
        <w:tc>
          <w:tcPr>
            <w:tcW w:w="8904" w:type="dxa"/>
            <w:gridSpan w:val="4"/>
          </w:tcPr>
          <w:p>
            <w:pPr>
              <w:pStyle w:val="TableParagraph"/>
              <w:tabs>
                <w:tab w:pos="770" w:val="left" w:leader="none"/>
                <w:tab w:pos="5378" w:val="left" w:leader="none"/>
              </w:tabs>
              <w:ind w:left="50"/>
              <w:rPr>
                <w:i/>
                <w:sz w:val="20"/>
              </w:rPr>
            </w:pPr>
            <w:r>
              <w:rPr>
                <w:spacing w:val="-4"/>
                <w:sz w:val="20"/>
              </w:rPr>
              <w:t>5560</w:t>
            </w:r>
            <w:r>
              <w:rPr>
                <w:sz w:val="20"/>
              </w:rPr>
              <w:tab/>
              <w:t>Basa</w:t>
            </w:r>
            <w:r>
              <w:rPr>
                <w:spacing w:val="-8"/>
                <w:sz w:val="20"/>
              </w:rPr>
              <w:t> </w:t>
            </w:r>
            <w:r>
              <w:rPr>
                <w:sz w:val="20"/>
              </w:rPr>
              <w:t>(Cameroon)</w:t>
            </w:r>
            <w:r>
              <w:rPr>
                <w:spacing w:val="-7"/>
                <w:sz w:val="20"/>
              </w:rPr>
              <w:t> </w:t>
            </w:r>
            <w:r>
              <w:rPr>
                <w:spacing w:val="-4"/>
                <w:sz w:val="20"/>
              </w:rPr>
              <w:t>(bas)</w:t>
            </w:r>
            <w:r>
              <w:rPr>
                <w:sz w:val="20"/>
              </w:rPr>
              <w:tab/>
            </w:r>
            <w:r>
              <w:rPr>
                <w:i/>
                <w:sz w:val="20"/>
              </w:rPr>
              <w:t>Mande</w:t>
            </w:r>
            <w:r>
              <w:rPr>
                <w:i/>
                <w:spacing w:val="-8"/>
                <w:sz w:val="20"/>
              </w:rPr>
              <w:t> </w:t>
            </w:r>
            <w:r>
              <w:rPr>
                <w:i/>
                <w:sz w:val="20"/>
              </w:rPr>
              <w:t>languages</w:t>
            </w:r>
            <w:r>
              <w:rPr>
                <w:i/>
                <w:spacing w:val="-8"/>
                <w:sz w:val="20"/>
              </w:rPr>
              <w:t> </w:t>
            </w:r>
            <w:r>
              <w:rPr>
                <w:i/>
                <w:sz w:val="20"/>
              </w:rPr>
              <w:t>(5830-</w:t>
            </w:r>
            <w:r>
              <w:rPr>
                <w:i/>
                <w:spacing w:val="-2"/>
                <w:sz w:val="20"/>
              </w:rPr>
              <w:t>5939)</w:t>
            </w:r>
          </w:p>
        </w:tc>
      </w:tr>
      <w:tr>
        <w:trPr>
          <w:trHeight w:val="232" w:hRule="atLeast"/>
        </w:trPr>
        <w:tc>
          <w:tcPr>
            <w:tcW w:w="612" w:type="dxa"/>
          </w:tcPr>
          <w:p>
            <w:pPr>
              <w:pStyle w:val="TableParagraph"/>
              <w:spacing w:line="205" w:lineRule="exact"/>
              <w:ind w:left="50"/>
              <w:rPr>
                <w:sz w:val="20"/>
              </w:rPr>
            </w:pPr>
            <w:r>
              <w:rPr>
                <w:spacing w:val="-4"/>
                <w:sz w:val="20"/>
              </w:rPr>
              <w:t>5565</w:t>
            </w:r>
          </w:p>
        </w:tc>
        <w:tc>
          <w:tcPr>
            <w:tcW w:w="3703" w:type="dxa"/>
          </w:tcPr>
          <w:p>
            <w:pPr>
              <w:pStyle w:val="TableParagraph"/>
              <w:spacing w:line="205" w:lineRule="exact"/>
              <w:ind w:left="158"/>
              <w:rPr>
                <w:sz w:val="20"/>
              </w:rPr>
            </w:pPr>
            <w:r>
              <w:rPr>
                <w:sz w:val="20"/>
              </w:rPr>
              <w:t>Nyokon</w:t>
            </w:r>
            <w:r>
              <w:rPr>
                <w:spacing w:val="-8"/>
                <w:sz w:val="20"/>
              </w:rPr>
              <w:t> </w:t>
            </w:r>
            <w:r>
              <w:rPr>
                <w:spacing w:val="-2"/>
                <w:sz w:val="20"/>
              </w:rPr>
              <w:t>(nvo)</w:t>
            </w:r>
          </w:p>
        </w:tc>
        <w:tc>
          <w:tcPr>
            <w:tcW w:w="1627" w:type="dxa"/>
          </w:tcPr>
          <w:p>
            <w:pPr>
              <w:pStyle w:val="TableParagraph"/>
              <w:spacing w:line="205" w:lineRule="exact"/>
              <w:ind w:right="157"/>
              <w:jc w:val="right"/>
              <w:rPr>
                <w:sz w:val="20"/>
              </w:rPr>
            </w:pPr>
            <w:r>
              <w:rPr>
                <w:spacing w:val="-4"/>
                <w:sz w:val="20"/>
              </w:rPr>
              <w:t>5830</w:t>
            </w:r>
          </w:p>
        </w:tc>
        <w:tc>
          <w:tcPr>
            <w:tcW w:w="2962" w:type="dxa"/>
          </w:tcPr>
          <w:p>
            <w:pPr>
              <w:pStyle w:val="TableParagraph"/>
              <w:spacing w:line="205" w:lineRule="exact"/>
              <w:ind w:left="157"/>
              <w:rPr>
                <w:sz w:val="20"/>
              </w:rPr>
            </w:pPr>
            <w:r>
              <w:rPr>
                <w:sz w:val="20"/>
              </w:rPr>
              <w:t>Soninke</w:t>
            </w:r>
            <w:r>
              <w:rPr>
                <w:spacing w:val="-11"/>
                <w:sz w:val="20"/>
              </w:rPr>
              <w:t> </w:t>
            </w:r>
            <w:r>
              <w:rPr>
                <w:spacing w:val="-2"/>
                <w:sz w:val="20"/>
              </w:rPr>
              <w:t>(snk)</w:t>
            </w:r>
          </w:p>
        </w:tc>
      </w:tr>
      <w:tr>
        <w:trPr>
          <w:trHeight w:val="230" w:hRule="atLeast"/>
        </w:trPr>
        <w:tc>
          <w:tcPr>
            <w:tcW w:w="612" w:type="dxa"/>
          </w:tcPr>
          <w:p>
            <w:pPr>
              <w:pStyle w:val="TableParagraph"/>
              <w:ind w:left="50"/>
              <w:rPr>
                <w:sz w:val="20"/>
              </w:rPr>
            </w:pPr>
            <w:r>
              <w:rPr>
                <w:spacing w:val="-4"/>
                <w:sz w:val="20"/>
              </w:rPr>
              <w:t>5570</w:t>
            </w:r>
          </w:p>
        </w:tc>
        <w:tc>
          <w:tcPr>
            <w:tcW w:w="3703" w:type="dxa"/>
          </w:tcPr>
          <w:p>
            <w:pPr>
              <w:pStyle w:val="TableParagraph"/>
              <w:ind w:left="158"/>
              <w:rPr>
                <w:sz w:val="20"/>
              </w:rPr>
            </w:pPr>
            <w:r>
              <w:rPr>
                <w:sz w:val="20"/>
              </w:rPr>
              <w:t>Nomaande</w:t>
            </w:r>
            <w:r>
              <w:rPr>
                <w:spacing w:val="-11"/>
                <w:sz w:val="20"/>
              </w:rPr>
              <w:t> </w:t>
            </w:r>
            <w:r>
              <w:rPr>
                <w:spacing w:val="-2"/>
                <w:sz w:val="20"/>
              </w:rPr>
              <w:t>(lem)</w:t>
            </w:r>
          </w:p>
        </w:tc>
        <w:tc>
          <w:tcPr>
            <w:tcW w:w="1627" w:type="dxa"/>
          </w:tcPr>
          <w:p>
            <w:pPr>
              <w:pStyle w:val="TableParagraph"/>
              <w:ind w:right="157"/>
              <w:jc w:val="right"/>
              <w:rPr>
                <w:sz w:val="20"/>
              </w:rPr>
            </w:pPr>
            <w:r>
              <w:rPr>
                <w:spacing w:val="-4"/>
                <w:sz w:val="20"/>
              </w:rPr>
              <w:t>5835</w:t>
            </w:r>
          </w:p>
        </w:tc>
        <w:tc>
          <w:tcPr>
            <w:tcW w:w="2962" w:type="dxa"/>
          </w:tcPr>
          <w:p>
            <w:pPr>
              <w:pStyle w:val="TableParagraph"/>
              <w:ind w:left="157"/>
              <w:rPr>
                <w:sz w:val="20"/>
              </w:rPr>
            </w:pPr>
            <w:r>
              <w:rPr>
                <w:sz w:val="20"/>
              </w:rPr>
              <w:t>Southern</w:t>
            </w:r>
            <w:r>
              <w:rPr>
                <w:spacing w:val="-6"/>
                <w:sz w:val="20"/>
              </w:rPr>
              <w:t> </w:t>
            </w:r>
            <w:r>
              <w:rPr>
                <w:sz w:val="20"/>
              </w:rPr>
              <w:t>Bobo</w:t>
            </w:r>
            <w:r>
              <w:rPr>
                <w:spacing w:val="-4"/>
                <w:sz w:val="20"/>
              </w:rPr>
              <w:t> </w:t>
            </w:r>
            <w:r>
              <w:rPr>
                <w:sz w:val="20"/>
              </w:rPr>
              <w:t>Madaré</w:t>
            </w:r>
            <w:r>
              <w:rPr>
                <w:spacing w:val="-6"/>
                <w:sz w:val="20"/>
              </w:rPr>
              <w:t> </w:t>
            </w:r>
            <w:r>
              <w:rPr>
                <w:spacing w:val="-4"/>
                <w:sz w:val="20"/>
              </w:rPr>
              <w:t>(bwq)</w:t>
            </w:r>
          </w:p>
        </w:tc>
      </w:tr>
      <w:tr>
        <w:trPr>
          <w:trHeight w:val="230" w:hRule="atLeast"/>
        </w:trPr>
        <w:tc>
          <w:tcPr>
            <w:tcW w:w="612" w:type="dxa"/>
          </w:tcPr>
          <w:p>
            <w:pPr>
              <w:pStyle w:val="TableParagraph"/>
              <w:spacing w:line="211" w:lineRule="exact"/>
              <w:ind w:left="50"/>
              <w:rPr>
                <w:sz w:val="20"/>
              </w:rPr>
            </w:pPr>
            <w:r>
              <w:rPr>
                <w:spacing w:val="-4"/>
                <w:sz w:val="20"/>
              </w:rPr>
              <w:t>5575</w:t>
            </w:r>
          </w:p>
        </w:tc>
        <w:tc>
          <w:tcPr>
            <w:tcW w:w="3703" w:type="dxa"/>
          </w:tcPr>
          <w:p>
            <w:pPr>
              <w:pStyle w:val="TableParagraph"/>
              <w:spacing w:line="211" w:lineRule="exact"/>
              <w:ind w:left="158"/>
              <w:rPr>
                <w:sz w:val="20"/>
              </w:rPr>
            </w:pPr>
            <w:r>
              <w:rPr>
                <w:sz w:val="20"/>
              </w:rPr>
              <w:t>Bube</w:t>
            </w:r>
            <w:r>
              <w:rPr>
                <w:spacing w:val="-5"/>
                <w:sz w:val="20"/>
              </w:rPr>
              <w:t> </w:t>
            </w:r>
            <w:r>
              <w:rPr>
                <w:spacing w:val="-2"/>
                <w:sz w:val="20"/>
              </w:rPr>
              <w:t>(bvb)</w:t>
            </w:r>
          </w:p>
        </w:tc>
        <w:tc>
          <w:tcPr>
            <w:tcW w:w="1627" w:type="dxa"/>
          </w:tcPr>
          <w:p>
            <w:pPr>
              <w:pStyle w:val="TableParagraph"/>
              <w:spacing w:line="211" w:lineRule="exact"/>
              <w:ind w:right="157"/>
              <w:jc w:val="right"/>
              <w:rPr>
                <w:sz w:val="20"/>
              </w:rPr>
            </w:pPr>
            <w:r>
              <w:rPr>
                <w:spacing w:val="-4"/>
                <w:sz w:val="20"/>
              </w:rPr>
              <w:t>5840</w:t>
            </w:r>
          </w:p>
        </w:tc>
        <w:tc>
          <w:tcPr>
            <w:tcW w:w="2962" w:type="dxa"/>
          </w:tcPr>
          <w:p>
            <w:pPr>
              <w:pStyle w:val="TableParagraph"/>
              <w:spacing w:line="211" w:lineRule="exact"/>
              <w:ind w:left="157"/>
              <w:rPr>
                <w:sz w:val="20"/>
              </w:rPr>
            </w:pPr>
            <w:r>
              <w:rPr>
                <w:sz w:val="20"/>
              </w:rPr>
              <w:t>Kuranko</w:t>
            </w:r>
            <w:r>
              <w:rPr>
                <w:spacing w:val="-8"/>
                <w:sz w:val="20"/>
              </w:rPr>
              <w:t> </w:t>
            </w:r>
            <w:r>
              <w:rPr>
                <w:spacing w:val="-2"/>
                <w:sz w:val="20"/>
              </w:rPr>
              <w:t>(knk)</w:t>
            </w:r>
          </w:p>
        </w:tc>
      </w:tr>
      <w:tr>
        <w:trPr>
          <w:trHeight w:val="230" w:hRule="atLeast"/>
        </w:trPr>
        <w:tc>
          <w:tcPr>
            <w:tcW w:w="612" w:type="dxa"/>
          </w:tcPr>
          <w:p>
            <w:pPr>
              <w:pStyle w:val="TableParagraph"/>
              <w:spacing w:line="211" w:lineRule="exact"/>
              <w:ind w:left="50"/>
              <w:rPr>
                <w:sz w:val="20"/>
              </w:rPr>
            </w:pPr>
            <w:r>
              <w:rPr>
                <w:spacing w:val="-4"/>
                <w:sz w:val="20"/>
              </w:rPr>
              <w:t>5580</w:t>
            </w:r>
          </w:p>
        </w:tc>
        <w:tc>
          <w:tcPr>
            <w:tcW w:w="3703" w:type="dxa"/>
          </w:tcPr>
          <w:p>
            <w:pPr>
              <w:pStyle w:val="TableParagraph"/>
              <w:spacing w:line="211" w:lineRule="exact"/>
              <w:ind w:left="158"/>
              <w:rPr>
                <w:sz w:val="20"/>
              </w:rPr>
            </w:pPr>
            <w:r>
              <w:rPr>
                <w:sz w:val="20"/>
              </w:rPr>
              <w:t>Benga</w:t>
            </w:r>
            <w:r>
              <w:rPr>
                <w:spacing w:val="-8"/>
                <w:sz w:val="20"/>
              </w:rPr>
              <w:t> </w:t>
            </w:r>
            <w:r>
              <w:rPr>
                <w:spacing w:val="-2"/>
                <w:sz w:val="20"/>
              </w:rPr>
              <w:t>(bng)</w:t>
            </w:r>
          </w:p>
        </w:tc>
        <w:tc>
          <w:tcPr>
            <w:tcW w:w="1627" w:type="dxa"/>
          </w:tcPr>
          <w:p>
            <w:pPr>
              <w:pStyle w:val="TableParagraph"/>
              <w:spacing w:line="211" w:lineRule="exact"/>
              <w:ind w:right="157"/>
              <w:jc w:val="right"/>
              <w:rPr>
                <w:sz w:val="20"/>
              </w:rPr>
            </w:pPr>
            <w:r>
              <w:rPr>
                <w:spacing w:val="-4"/>
                <w:sz w:val="20"/>
              </w:rPr>
              <w:t>5845</w:t>
            </w:r>
          </w:p>
        </w:tc>
        <w:tc>
          <w:tcPr>
            <w:tcW w:w="2962" w:type="dxa"/>
          </w:tcPr>
          <w:p>
            <w:pPr>
              <w:pStyle w:val="TableParagraph"/>
              <w:spacing w:line="211" w:lineRule="exact"/>
              <w:ind w:left="157"/>
              <w:rPr>
                <w:sz w:val="20"/>
              </w:rPr>
            </w:pPr>
            <w:r>
              <w:rPr>
                <w:sz w:val="20"/>
              </w:rPr>
              <w:t>Mandingo</w:t>
            </w:r>
            <w:r>
              <w:rPr>
                <w:spacing w:val="-12"/>
                <w:sz w:val="20"/>
              </w:rPr>
              <w:t> </w:t>
            </w:r>
            <w:r>
              <w:rPr>
                <w:sz w:val="20"/>
              </w:rPr>
              <w:t>(macrolanguage)</w:t>
            </w:r>
            <w:r>
              <w:rPr>
                <w:spacing w:val="-10"/>
                <w:sz w:val="20"/>
              </w:rPr>
              <w:t> </w:t>
            </w:r>
            <w:r>
              <w:rPr>
                <w:spacing w:val="-4"/>
                <w:sz w:val="20"/>
              </w:rPr>
              <w:t>(man)</w:t>
            </w:r>
          </w:p>
        </w:tc>
      </w:tr>
      <w:tr>
        <w:trPr>
          <w:trHeight w:val="230" w:hRule="atLeast"/>
        </w:trPr>
        <w:tc>
          <w:tcPr>
            <w:tcW w:w="612" w:type="dxa"/>
          </w:tcPr>
          <w:p>
            <w:pPr>
              <w:pStyle w:val="TableParagraph"/>
              <w:ind w:left="50"/>
              <w:rPr>
                <w:sz w:val="20"/>
              </w:rPr>
            </w:pPr>
            <w:r>
              <w:rPr>
                <w:spacing w:val="-4"/>
                <w:sz w:val="20"/>
              </w:rPr>
              <w:t>5585</w:t>
            </w:r>
          </w:p>
        </w:tc>
        <w:tc>
          <w:tcPr>
            <w:tcW w:w="3703" w:type="dxa"/>
          </w:tcPr>
          <w:p>
            <w:pPr>
              <w:pStyle w:val="TableParagraph"/>
              <w:ind w:left="158"/>
              <w:rPr>
                <w:sz w:val="20"/>
              </w:rPr>
            </w:pPr>
            <w:r>
              <w:rPr>
                <w:sz w:val="20"/>
              </w:rPr>
              <w:t>Mokpwe</w:t>
            </w:r>
            <w:r>
              <w:rPr>
                <w:spacing w:val="-11"/>
                <w:sz w:val="20"/>
              </w:rPr>
              <w:t> </w:t>
            </w:r>
            <w:r>
              <w:rPr>
                <w:spacing w:val="-2"/>
                <w:sz w:val="20"/>
              </w:rPr>
              <w:t>(bri)</w:t>
            </w:r>
          </w:p>
        </w:tc>
        <w:tc>
          <w:tcPr>
            <w:tcW w:w="1627" w:type="dxa"/>
          </w:tcPr>
          <w:p>
            <w:pPr>
              <w:pStyle w:val="TableParagraph"/>
              <w:ind w:right="157"/>
              <w:jc w:val="right"/>
              <w:rPr>
                <w:sz w:val="20"/>
              </w:rPr>
            </w:pPr>
            <w:r>
              <w:rPr>
                <w:spacing w:val="-4"/>
                <w:sz w:val="20"/>
              </w:rPr>
              <w:t>5850</w:t>
            </w:r>
          </w:p>
        </w:tc>
        <w:tc>
          <w:tcPr>
            <w:tcW w:w="2962" w:type="dxa"/>
          </w:tcPr>
          <w:p>
            <w:pPr>
              <w:pStyle w:val="TableParagraph"/>
              <w:ind w:left="157"/>
              <w:rPr>
                <w:sz w:val="20"/>
              </w:rPr>
            </w:pPr>
            <w:r>
              <w:rPr>
                <w:sz w:val="20"/>
              </w:rPr>
              <w:t>Mandinka</w:t>
            </w:r>
            <w:r>
              <w:rPr>
                <w:spacing w:val="-12"/>
                <w:sz w:val="20"/>
              </w:rPr>
              <w:t> </w:t>
            </w:r>
            <w:r>
              <w:rPr>
                <w:spacing w:val="-2"/>
                <w:sz w:val="20"/>
              </w:rPr>
              <w:t>(mnk)</w:t>
            </w:r>
          </w:p>
        </w:tc>
      </w:tr>
      <w:tr>
        <w:trPr>
          <w:trHeight w:val="229" w:hRule="atLeast"/>
        </w:trPr>
        <w:tc>
          <w:tcPr>
            <w:tcW w:w="612" w:type="dxa"/>
          </w:tcPr>
          <w:p>
            <w:pPr>
              <w:pStyle w:val="TableParagraph"/>
              <w:spacing w:line="209" w:lineRule="exact"/>
              <w:ind w:left="50"/>
              <w:rPr>
                <w:sz w:val="20"/>
              </w:rPr>
            </w:pPr>
            <w:r>
              <w:rPr>
                <w:spacing w:val="-4"/>
                <w:sz w:val="20"/>
              </w:rPr>
              <w:t>5590</w:t>
            </w:r>
          </w:p>
        </w:tc>
        <w:tc>
          <w:tcPr>
            <w:tcW w:w="3703" w:type="dxa"/>
          </w:tcPr>
          <w:p>
            <w:pPr>
              <w:pStyle w:val="TableParagraph"/>
              <w:spacing w:line="209" w:lineRule="exact"/>
              <w:ind w:left="158"/>
              <w:rPr>
                <w:sz w:val="20"/>
              </w:rPr>
            </w:pPr>
            <w:r>
              <w:rPr>
                <w:sz w:val="20"/>
              </w:rPr>
              <w:t>Duala</w:t>
            </w:r>
            <w:r>
              <w:rPr>
                <w:spacing w:val="-6"/>
                <w:sz w:val="20"/>
              </w:rPr>
              <w:t> </w:t>
            </w:r>
            <w:r>
              <w:rPr>
                <w:spacing w:val="-2"/>
                <w:sz w:val="20"/>
              </w:rPr>
              <w:t>(dua)</w:t>
            </w:r>
          </w:p>
        </w:tc>
        <w:tc>
          <w:tcPr>
            <w:tcW w:w="1627" w:type="dxa"/>
          </w:tcPr>
          <w:p>
            <w:pPr>
              <w:pStyle w:val="TableParagraph"/>
              <w:spacing w:line="209" w:lineRule="exact"/>
              <w:ind w:right="157"/>
              <w:jc w:val="right"/>
              <w:rPr>
                <w:sz w:val="20"/>
              </w:rPr>
            </w:pPr>
            <w:r>
              <w:rPr>
                <w:spacing w:val="-4"/>
                <w:sz w:val="20"/>
              </w:rPr>
              <w:t>5853</w:t>
            </w:r>
          </w:p>
        </w:tc>
        <w:tc>
          <w:tcPr>
            <w:tcW w:w="2962" w:type="dxa"/>
          </w:tcPr>
          <w:p>
            <w:pPr>
              <w:pStyle w:val="TableParagraph"/>
              <w:spacing w:line="209" w:lineRule="exact"/>
              <w:ind w:left="157"/>
              <w:rPr>
                <w:sz w:val="20"/>
              </w:rPr>
            </w:pPr>
            <w:r>
              <w:rPr>
                <w:sz w:val="20"/>
              </w:rPr>
              <w:t>Eastern</w:t>
            </w:r>
            <w:r>
              <w:rPr>
                <w:spacing w:val="-10"/>
                <w:sz w:val="20"/>
              </w:rPr>
              <w:t> </w:t>
            </w:r>
            <w:r>
              <w:rPr>
                <w:sz w:val="20"/>
              </w:rPr>
              <w:t>Maninkakan</w:t>
            </w:r>
            <w:r>
              <w:rPr>
                <w:spacing w:val="-9"/>
                <w:sz w:val="20"/>
              </w:rPr>
              <w:t> </w:t>
            </w:r>
            <w:r>
              <w:rPr>
                <w:spacing w:val="-4"/>
                <w:sz w:val="20"/>
              </w:rPr>
              <w:t>(emk)</w:t>
            </w:r>
          </w:p>
        </w:tc>
      </w:tr>
      <w:tr>
        <w:trPr>
          <w:trHeight w:val="229" w:hRule="atLeast"/>
        </w:trPr>
        <w:tc>
          <w:tcPr>
            <w:tcW w:w="612" w:type="dxa"/>
          </w:tcPr>
          <w:p>
            <w:pPr>
              <w:pStyle w:val="TableParagraph"/>
              <w:spacing w:line="209" w:lineRule="exact"/>
              <w:ind w:left="50"/>
              <w:rPr>
                <w:sz w:val="20"/>
              </w:rPr>
            </w:pPr>
            <w:r>
              <w:rPr>
                <w:spacing w:val="-4"/>
                <w:sz w:val="20"/>
              </w:rPr>
              <w:t>5595</w:t>
            </w:r>
          </w:p>
        </w:tc>
        <w:tc>
          <w:tcPr>
            <w:tcW w:w="3703" w:type="dxa"/>
          </w:tcPr>
          <w:p>
            <w:pPr>
              <w:pStyle w:val="TableParagraph"/>
              <w:spacing w:line="209" w:lineRule="exact"/>
              <w:ind w:left="158"/>
              <w:rPr>
                <w:sz w:val="20"/>
              </w:rPr>
            </w:pPr>
            <w:r>
              <w:rPr>
                <w:sz w:val="20"/>
              </w:rPr>
              <w:t>Ewondo</w:t>
            </w:r>
            <w:r>
              <w:rPr>
                <w:spacing w:val="-9"/>
                <w:sz w:val="20"/>
              </w:rPr>
              <w:t> </w:t>
            </w:r>
            <w:r>
              <w:rPr>
                <w:spacing w:val="-2"/>
                <w:sz w:val="20"/>
              </w:rPr>
              <w:t>(ewo)</w:t>
            </w:r>
          </w:p>
        </w:tc>
        <w:tc>
          <w:tcPr>
            <w:tcW w:w="1627" w:type="dxa"/>
          </w:tcPr>
          <w:p>
            <w:pPr>
              <w:pStyle w:val="TableParagraph"/>
              <w:spacing w:line="209" w:lineRule="exact"/>
              <w:ind w:right="157"/>
              <w:jc w:val="right"/>
              <w:rPr>
                <w:sz w:val="20"/>
              </w:rPr>
            </w:pPr>
            <w:r>
              <w:rPr>
                <w:spacing w:val="-4"/>
                <w:sz w:val="20"/>
              </w:rPr>
              <w:t>5855</w:t>
            </w:r>
          </w:p>
        </w:tc>
        <w:tc>
          <w:tcPr>
            <w:tcW w:w="2962" w:type="dxa"/>
          </w:tcPr>
          <w:p>
            <w:pPr>
              <w:pStyle w:val="TableParagraph"/>
              <w:spacing w:line="209" w:lineRule="exact"/>
              <w:ind w:left="157"/>
              <w:rPr>
                <w:sz w:val="20"/>
              </w:rPr>
            </w:pPr>
            <w:r>
              <w:rPr>
                <w:sz w:val="20"/>
              </w:rPr>
              <w:t>Western</w:t>
            </w:r>
            <w:r>
              <w:rPr>
                <w:spacing w:val="-9"/>
                <w:sz w:val="20"/>
              </w:rPr>
              <w:t> </w:t>
            </w:r>
            <w:r>
              <w:rPr>
                <w:sz w:val="20"/>
              </w:rPr>
              <w:t>Maninkakan</w:t>
            </w:r>
            <w:r>
              <w:rPr>
                <w:spacing w:val="-9"/>
                <w:sz w:val="20"/>
              </w:rPr>
              <w:t> </w:t>
            </w:r>
            <w:r>
              <w:rPr>
                <w:spacing w:val="-4"/>
                <w:sz w:val="20"/>
              </w:rPr>
              <w:t>(mlq)</w:t>
            </w:r>
          </w:p>
        </w:tc>
      </w:tr>
      <w:tr>
        <w:trPr>
          <w:trHeight w:val="230" w:hRule="atLeast"/>
        </w:trPr>
        <w:tc>
          <w:tcPr>
            <w:tcW w:w="612" w:type="dxa"/>
          </w:tcPr>
          <w:p>
            <w:pPr>
              <w:pStyle w:val="TableParagraph"/>
              <w:ind w:left="50"/>
              <w:rPr>
                <w:sz w:val="20"/>
              </w:rPr>
            </w:pPr>
            <w:r>
              <w:rPr>
                <w:spacing w:val="-4"/>
                <w:sz w:val="20"/>
              </w:rPr>
              <w:t>5600</w:t>
            </w:r>
          </w:p>
        </w:tc>
        <w:tc>
          <w:tcPr>
            <w:tcW w:w="3703" w:type="dxa"/>
          </w:tcPr>
          <w:p>
            <w:pPr>
              <w:pStyle w:val="TableParagraph"/>
              <w:ind w:left="158"/>
              <w:rPr>
                <w:sz w:val="20"/>
              </w:rPr>
            </w:pPr>
            <w:r>
              <w:rPr>
                <w:sz w:val="20"/>
              </w:rPr>
              <w:t>Eton</w:t>
            </w:r>
            <w:r>
              <w:rPr>
                <w:spacing w:val="-9"/>
                <w:sz w:val="20"/>
              </w:rPr>
              <w:t> </w:t>
            </w:r>
            <w:r>
              <w:rPr>
                <w:sz w:val="20"/>
              </w:rPr>
              <w:t>(Cameroon)</w:t>
            </w:r>
            <w:r>
              <w:rPr>
                <w:spacing w:val="-8"/>
                <w:sz w:val="20"/>
              </w:rPr>
              <w:t> </w:t>
            </w:r>
            <w:r>
              <w:rPr>
                <w:spacing w:val="-4"/>
                <w:sz w:val="20"/>
              </w:rPr>
              <w:t>(eto)</w:t>
            </w:r>
          </w:p>
        </w:tc>
        <w:tc>
          <w:tcPr>
            <w:tcW w:w="1627" w:type="dxa"/>
          </w:tcPr>
          <w:p>
            <w:pPr>
              <w:pStyle w:val="TableParagraph"/>
              <w:ind w:right="157"/>
              <w:jc w:val="right"/>
              <w:rPr>
                <w:sz w:val="20"/>
              </w:rPr>
            </w:pPr>
            <w:r>
              <w:rPr>
                <w:spacing w:val="-4"/>
                <w:sz w:val="20"/>
              </w:rPr>
              <w:t>5860</w:t>
            </w:r>
          </w:p>
        </w:tc>
        <w:tc>
          <w:tcPr>
            <w:tcW w:w="2962" w:type="dxa"/>
          </w:tcPr>
          <w:p>
            <w:pPr>
              <w:pStyle w:val="TableParagraph"/>
              <w:ind w:left="157"/>
              <w:rPr>
                <w:sz w:val="20"/>
              </w:rPr>
            </w:pPr>
            <w:r>
              <w:rPr>
                <w:sz w:val="20"/>
              </w:rPr>
              <w:t>Bambara</w:t>
            </w:r>
            <w:r>
              <w:rPr>
                <w:spacing w:val="-9"/>
                <w:sz w:val="20"/>
              </w:rPr>
              <w:t> </w:t>
            </w:r>
            <w:r>
              <w:rPr>
                <w:spacing w:val="-2"/>
                <w:sz w:val="20"/>
              </w:rPr>
              <w:t>(bam)</w:t>
            </w:r>
          </w:p>
        </w:tc>
      </w:tr>
      <w:tr>
        <w:trPr>
          <w:trHeight w:val="230" w:hRule="atLeast"/>
        </w:trPr>
        <w:tc>
          <w:tcPr>
            <w:tcW w:w="612" w:type="dxa"/>
          </w:tcPr>
          <w:p>
            <w:pPr>
              <w:pStyle w:val="TableParagraph"/>
              <w:ind w:left="50"/>
              <w:rPr>
                <w:sz w:val="20"/>
              </w:rPr>
            </w:pPr>
            <w:r>
              <w:rPr>
                <w:spacing w:val="-4"/>
                <w:sz w:val="20"/>
              </w:rPr>
              <w:t>5605</w:t>
            </w:r>
          </w:p>
        </w:tc>
        <w:tc>
          <w:tcPr>
            <w:tcW w:w="3703" w:type="dxa"/>
          </w:tcPr>
          <w:p>
            <w:pPr>
              <w:pStyle w:val="TableParagraph"/>
              <w:ind w:left="158"/>
              <w:rPr>
                <w:sz w:val="20"/>
              </w:rPr>
            </w:pPr>
            <w:r>
              <w:rPr>
                <w:sz w:val="20"/>
              </w:rPr>
              <w:t>Bulu</w:t>
            </w:r>
            <w:r>
              <w:rPr>
                <w:spacing w:val="-10"/>
                <w:sz w:val="20"/>
              </w:rPr>
              <w:t> </w:t>
            </w:r>
            <w:r>
              <w:rPr>
                <w:sz w:val="20"/>
              </w:rPr>
              <w:t>(Cameroon)</w:t>
            </w:r>
            <w:r>
              <w:rPr>
                <w:spacing w:val="-7"/>
                <w:sz w:val="20"/>
              </w:rPr>
              <w:t> </w:t>
            </w:r>
            <w:r>
              <w:rPr>
                <w:spacing w:val="-4"/>
                <w:sz w:val="20"/>
              </w:rPr>
              <w:t>(bum)</w:t>
            </w:r>
          </w:p>
        </w:tc>
        <w:tc>
          <w:tcPr>
            <w:tcW w:w="1627" w:type="dxa"/>
          </w:tcPr>
          <w:p>
            <w:pPr>
              <w:pStyle w:val="TableParagraph"/>
              <w:ind w:right="157"/>
              <w:jc w:val="right"/>
              <w:rPr>
                <w:sz w:val="20"/>
              </w:rPr>
            </w:pPr>
            <w:r>
              <w:rPr>
                <w:spacing w:val="-4"/>
                <w:sz w:val="20"/>
              </w:rPr>
              <w:t>5865</w:t>
            </w:r>
          </w:p>
        </w:tc>
        <w:tc>
          <w:tcPr>
            <w:tcW w:w="2962" w:type="dxa"/>
          </w:tcPr>
          <w:p>
            <w:pPr>
              <w:pStyle w:val="TableParagraph"/>
              <w:ind w:left="157"/>
              <w:rPr>
                <w:sz w:val="20"/>
              </w:rPr>
            </w:pPr>
            <w:r>
              <w:rPr>
                <w:sz w:val="20"/>
              </w:rPr>
              <w:t>Dyula</w:t>
            </w:r>
            <w:r>
              <w:rPr>
                <w:spacing w:val="-7"/>
                <w:sz w:val="20"/>
              </w:rPr>
              <w:t> </w:t>
            </w:r>
            <w:r>
              <w:rPr>
                <w:spacing w:val="-2"/>
                <w:sz w:val="20"/>
              </w:rPr>
              <w:t>(dyu)</w:t>
            </w:r>
          </w:p>
        </w:tc>
      </w:tr>
      <w:tr>
        <w:trPr>
          <w:trHeight w:val="230" w:hRule="atLeast"/>
        </w:trPr>
        <w:tc>
          <w:tcPr>
            <w:tcW w:w="612" w:type="dxa"/>
          </w:tcPr>
          <w:p>
            <w:pPr>
              <w:pStyle w:val="TableParagraph"/>
              <w:ind w:left="50"/>
              <w:rPr>
                <w:sz w:val="20"/>
              </w:rPr>
            </w:pPr>
            <w:r>
              <w:rPr>
                <w:spacing w:val="-4"/>
                <w:sz w:val="20"/>
              </w:rPr>
              <w:t>5610</w:t>
            </w:r>
          </w:p>
        </w:tc>
        <w:tc>
          <w:tcPr>
            <w:tcW w:w="3703" w:type="dxa"/>
          </w:tcPr>
          <w:p>
            <w:pPr>
              <w:pStyle w:val="TableParagraph"/>
              <w:ind w:left="158"/>
              <w:rPr>
                <w:sz w:val="20"/>
              </w:rPr>
            </w:pPr>
            <w:r>
              <w:rPr>
                <w:sz w:val="20"/>
              </w:rPr>
              <w:t>Fang</w:t>
            </w:r>
            <w:r>
              <w:rPr>
                <w:spacing w:val="-8"/>
                <w:sz w:val="20"/>
              </w:rPr>
              <w:t> </w:t>
            </w:r>
            <w:r>
              <w:rPr>
                <w:sz w:val="20"/>
              </w:rPr>
              <w:t>(Equatorial</w:t>
            </w:r>
            <w:r>
              <w:rPr>
                <w:spacing w:val="-6"/>
                <w:sz w:val="20"/>
              </w:rPr>
              <w:t> </w:t>
            </w:r>
            <w:r>
              <w:rPr>
                <w:sz w:val="20"/>
              </w:rPr>
              <w:t>Guinea)</w:t>
            </w:r>
            <w:r>
              <w:rPr>
                <w:spacing w:val="-7"/>
                <w:sz w:val="20"/>
              </w:rPr>
              <w:t> </w:t>
            </w:r>
            <w:r>
              <w:rPr>
                <w:spacing w:val="-4"/>
                <w:sz w:val="20"/>
              </w:rPr>
              <w:t>(fan)</w:t>
            </w:r>
          </w:p>
        </w:tc>
        <w:tc>
          <w:tcPr>
            <w:tcW w:w="1627" w:type="dxa"/>
          </w:tcPr>
          <w:p>
            <w:pPr>
              <w:pStyle w:val="TableParagraph"/>
              <w:ind w:right="157"/>
              <w:jc w:val="right"/>
              <w:rPr>
                <w:sz w:val="20"/>
              </w:rPr>
            </w:pPr>
            <w:r>
              <w:rPr>
                <w:spacing w:val="-4"/>
                <w:sz w:val="20"/>
              </w:rPr>
              <w:t>5870</w:t>
            </w:r>
          </w:p>
        </w:tc>
        <w:tc>
          <w:tcPr>
            <w:tcW w:w="2962" w:type="dxa"/>
          </w:tcPr>
          <w:p>
            <w:pPr>
              <w:pStyle w:val="TableParagraph"/>
              <w:ind w:left="157"/>
              <w:rPr>
                <w:sz w:val="20"/>
              </w:rPr>
            </w:pPr>
            <w:r>
              <w:rPr>
                <w:sz w:val="20"/>
              </w:rPr>
              <w:t>Mahou</w:t>
            </w:r>
            <w:r>
              <w:rPr>
                <w:spacing w:val="-8"/>
                <w:sz w:val="20"/>
              </w:rPr>
              <w:t> </w:t>
            </w:r>
            <w:r>
              <w:rPr>
                <w:spacing w:val="-2"/>
                <w:sz w:val="20"/>
              </w:rPr>
              <w:t>(mxx)</w:t>
            </w:r>
          </w:p>
        </w:tc>
      </w:tr>
      <w:tr>
        <w:trPr>
          <w:trHeight w:val="229" w:hRule="atLeast"/>
        </w:trPr>
        <w:tc>
          <w:tcPr>
            <w:tcW w:w="612" w:type="dxa"/>
          </w:tcPr>
          <w:p>
            <w:pPr>
              <w:pStyle w:val="TableParagraph"/>
              <w:spacing w:line="209" w:lineRule="exact"/>
              <w:ind w:left="50"/>
              <w:rPr>
                <w:sz w:val="20"/>
              </w:rPr>
            </w:pPr>
            <w:r>
              <w:rPr>
                <w:spacing w:val="-4"/>
                <w:sz w:val="20"/>
              </w:rPr>
              <w:t>5615</w:t>
            </w:r>
          </w:p>
        </w:tc>
        <w:tc>
          <w:tcPr>
            <w:tcW w:w="3703" w:type="dxa"/>
          </w:tcPr>
          <w:p>
            <w:pPr>
              <w:pStyle w:val="TableParagraph"/>
              <w:spacing w:line="209" w:lineRule="exact"/>
              <w:ind w:left="158"/>
              <w:rPr>
                <w:sz w:val="20"/>
              </w:rPr>
            </w:pPr>
            <w:r>
              <w:rPr>
                <w:sz w:val="20"/>
              </w:rPr>
              <w:t>Oroko</w:t>
            </w:r>
            <w:r>
              <w:rPr>
                <w:spacing w:val="-6"/>
                <w:sz w:val="20"/>
              </w:rPr>
              <w:t> </w:t>
            </w:r>
            <w:r>
              <w:rPr>
                <w:spacing w:val="-2"/>
                <w:sz w:val="20"/>
              </w:rPr>
              <w:t>(bdu)</w:t>
            </w:r>
          </w:p>
        </w:tc>
        <w:tc>
          <w:tcPr>
            <w:tcW w:w="1627" w:type="dxa"/>
          </w:tcPr>
          <w:p>
            <w:pPr>
              <w:pStyle w:val="TableParagraph"/>
              <w:spacing w:line="209" w:lineRule="exact"/>
              <w:ind w:right="157"/>
              <w:jc w:val="right"/>
              <w:rPr>
                <w:sz w:val="20"/>
              </w:rPr>
            </w:pPr>
            <w:r>
              <w:rPr>
                <w:spacing w:val="-4"/>
                <w:sz w:val="20"/>
              </w:rPr>
              <w:t>5880</w:t>
            </w:r>
          </w:p>
        </w:tc>
        <w:tc>
          <w:tcPr>
            <w:tcW w:w="2962" w:type="dxa"/>
          </w:tcPr>
          <w:p>
            <w:pPr>
              <w:pStyle w:val="TableParagraph"/>
              <w:spacing w:line="209" w:lineRule="exact"/>
              <w:ind w:left="157"/>
              <w:rPr>
                <w:sz w:val="20"/>
              </w:rPr>
            </w:pPr>
            <w:r>
              <w:rPr>
                <w:sz w:val="20"/>
              </w:rPr>
              <w:t>Kono</w:t>
            </w:r>
            <w:r>
              <w:rPr>
                <w:spacing w:val="-6"/>
                <w:sz w:val="20"/>
              </w:rPr>
              <w:t> </w:t>
            </w:r>
            <w:r>
              <w:rPr>
                <w:sz w:val="20"/>
              </w:rPr>
              <w:t>(Sierra</w:t>
            </w:r>
            <w:r>
              <w:rPr>
                <w:spacing w:val="-6"/>
                <w:sz w:val="20"/>
              </w:rPr>
              <w:t> </w:t>
            </w:r>
            <w:r>
              <w:rPr>
                <w:sz w:val="20"/>
              </w:rPr>
              <w:t>Leone)</w:t>
            </w:r>
            <w:r>
              <w:rPr>
                <w:spacing w:val="-6"/>
                <w:sz w:val="20"/>
              </w:rPr>
              <w:t> </w:t>
            </w:r>
            <w:r>
              <w:rPr>
                <w:spacing w:val="-4"/>
                <w:sz w:val="20"/>
              </w:rPr>
              <w:t>(kno)</w:t>
            </w:r>
          </w:p>
        </w:tc>
      </w:tr>
      <w:tr>
        <w:trPr>
          <w:trHeight w:val="229" w:hRule="atLeast"/>
        </w:trPr>
        <w:tc>
          <w:tcPr>
            <w:tcW w:w="612" w:type="dxa"/>
          </w:tcPr>
          <w:p>
            <w:pPr>
              <w:pStyle w:val="TableParagraph"/>
              <w:spacing w:line="209" w:lineRule="exact"/>
              <w:ind w:left="50"/>
              <w:rPr>
                <w:sz w:val="20"/>
              </w:rPr>
            </w:pPr>
            <w:r>
              <w:rPr>
                <w:spacing w:val="-4"/>
                <w:sz w:val="20"/>
              </w:rPr>
              <w:t>5620</w:t>
            </w:r>
          </w:p>
        </w:tc>
        <w:tc>
          <w:tcPr>
            <w:tcW w:w="3703" w:type="dxa"/>
          </w:tcPr>
          <w:p>
            <w:pPr>
              <w:pStyle w:val="TableParagraph"/>
              <w:spacing w:line="209" w:lineRule="exact"/>
              <w:ind w:left="158"/>
              <w:rPr>
                <w:sz w:val="20"/>
              </w:rPr>
            </w:pPr>
            <w:r>
              <w:rPr>
                <w:sz w:val="20"/>
              </w:rPr>
              <w:t>Mbo</w:t>
            </w:r>
            <w:r>
              <w:rPr>
                <w:spacing w:val="-2"/>
                <w:sz w:val="20"/>
              </w:rPr>
              <w:t> (zms)</w:t>
            </w:r>
          </w:p>
        </w:tc>
        <w:tc>
          <w:tcPr>
            <w:tcW w:w="1627" w:type="dxa"/>
          </w:tcPr>
          <w:p>
            <w:pPr>
              <w:pStyle w:val="TableParagraph"/>
              <w:spacing w:line="209" w:lineRule="exact"/>
              <w:ind w:right="157"/>
              <w:jc w:val="right"/>
              <w:rPr>
                <w:sz w:val="20"/>
              </w:rPr>
            </w:pPr>
            <w:r>
              <w:rPr>
                <w:spacing w:val="-4"/>
                <w:sz w:val="20"/>
              </w:rPr>
              <w:t>5885</w:t>
            </w:r>
          </w:p>
        </w:tc>
        <w:tc>
          <w:tcPr>
            <w:tcW w:w="2962" w:type="dxa"/>
          </w:tcPr>
          <w:p>
            <w:pPr>
              <w:pStyle w:val="TableParagraph"/>
              <w:spacing w:line="209" w:lineRule="exact"/>
              <w:ind w:left="157"/>
              <w:rPr>
                <w:sz w:val="20"/>
              </w:rPr>
            </w:pPr>
            <w:r>
              <w:rPr>
                <w:sz w:val="20"/>
              </w:rPr>
              <w:t>Vai</w:t>
            </w:r>
            <w:r>
              <w:rPr>
                <w:spacing w:val="-3"/>
                <w:sz w:val="20"/>
              </w:rPr>
              <w:t> </w:t>
            </w:r>
            <w:r>
              <w:rPr>
                <w:spacing w:val="-2"/>
                <w:sz w:val="20"/>
              </w:rPr>
              <w:t>(vai)</w:t>
            </w:r>
          </w:p>
        </w:tc>
      </w:tr>
      <w:tr>
        <w:trPr>
          <w:trHeight w:val="230" w:hRule="atLeast"/>
        </w:trPr>
        <w:tc>
          <w:tcPr>
            <w:tcW w:w="612" w:type="dxa"/>
          </w:tcPr>
          <w:p>
            <w:pPr>
              <w:pStyle w:val="TableParagraph"/>
              <w:ind w:left="50"/>
              <w:rPr>
                <w:sz w:val="20"/>
              </w:rPr>
            </w:pPr>
            <w:r>
              <w:rPr>
                <w:spacing w:val="-4"/>
                <w:sz w:val="20"/>
              </w:rPr>
              <w:t>5625</w:t>
            </w:r>
          </w:p>
        </w:tc>
        <w:tc>
          <w:tcPr>
            <w:tcW w:w="3703" w:type="dxa"/>
          </w:tcPr>
          <w:p>
            <w:pPr>
              <w:pStyle w:val="TableParagraph"/>
              <w:ind w:left="158"/>
              <w:rPr>
                <w:sz w:val="20"/>
              </w:rPr>
            </w:pPr>
            <w:r>
              <w:rPr>
                <w:sz w:val="20"/>
              </w:rPr>
              <w:t>Akoose</w:t>
            </w:r>
            <w:r>
              <w:rPr>
                <w:spacing w:val="-7"/>
                <w:sz w:val="20"/>
              </w:rPr>
              <w:t> </w:t>
            </w:r>
            <w:r>
              <w:rPr>
                <w:spacing w:val="-2"/>
                <w:sz w:val="20"/>
              </w:rPr>
              <w:t>(bss)</w:t>
            </w:r>
          </w:p>
        </w:tc>
        <w:tc>
          <w:tcPr>
            <w:tcW w:w="1627" w:type="dxa"/>
          </w:tcPr>
          <w:p>
            <w:pPr>
              <w:pStyle w:val="TableParagraph"/>
              <w:ind w:right="157"/>
              <w:jc w:val="right"/>
              <w:rPr>
                <w:sz w:val="20"/>
              </w:rPr>
            </w:pPr>
            <w:r>
              <w:rPr>
                <w:spacing w:val="-4"/>
                <w:sz w:val="20"/>
              </w:rPr>
              <w:t>5890</w:t>
            </w:r>
          </w:p>
        </w:tc>
        <w:tc>
          <w:tcPr>
            <w:tcW w:w="2962" w:type="dxa"/>
          </w:tcPr>
          <w:p>
            <w:pPr>
              <w:pStyle w:val="TableParagraph"/>
              <w:ind w:left="157"/>
              <w:rPr>
                <w:sz w:val="20"/>
              </w:rPr>
            </w:pPr>
            <w:r>
              <w:rPr>
                <w:sz w:val="20"/>
              </w:rPr>
              <w:t>Susu</w:t>
            </w:r>
            <w:r>
              <w:rPr>
                <w:spacing w:val="-6"/>
                <w:sz w:val="20"/>
              </w:rPr>
              <w:t> </w:t>
            </w:r>
            <w:r>
              <w:rPr>
                <w:spacing w:val="-2"/>
                <w:sz w:val="20"/>
              </w:rPr>
              <w:t>(sus)</w:t>
            </w:r>
          </w:p>
        </w:tc>
      </w:tr>
      <w:tr>
        <w:trPr>
          <w:trHeight w:val="230" w:hRule="atLeast"/>
        </w:trPr>
        <w:tc>
          <w:tcPr>
            <w:tcW w:w="612" w:type="dxa"/>
          </w:tcPr>
          <w:p>
            <w:pPr>
              <w:pStyle w:val="TableParagraph"/>
              <w:ind w:left="50"/>
              <w:rPr>
                <w:sz w:val="20"/>
              </w:rPr>
            </w:pPr>
            <w:r>
              <w:rPr>
                <w:spacing w:val="-4"/>
                <w:sz w:val="20"/>
              </w:rPr>
              <w:t>5630</w:t>
            </w:r>
          </w:p>
        </w:tc>
        <w:tc>
          <w:tcPr>
            <w:tcW w:w="3703" w:type="dxa"/>
          </w:tcPr>
          <w:p>
            <w:pPr>
              <w:pStyle w:val="TableParagraph"/>
              <w:ind w:left="158"/>
              <w:rPr>
                <w:sz w:val="20"/>
              </w:rPr>
            </w:pPr>
            <w:r>
              <w:rPr>
                <w:sz w:val="20"/>
              </w:rPr>
              <w:t>Bakaka</w:t>
            </w:r>
            <w:r>
              <w:rPr>
                <w:spacing w:val="-7"/>
                <w:sz w:val="20"/>
              </w:rPr>
              <w:t> </w:t>
            </w:r>
            <w:r>
              <w:rPr>
                <w:spacing w:val="-2"/>
                <w:sz w:val="20"/>
              </w:rPr>
              <w:t>(bqz)</w:t>
            </w:r>
          </w:p>
        </w:tc>
        <w:tc>
          <w:tcPr>
            <w:tcW w:w="1627" w:type="dxa"/>
          </w:tcPr>
          <w:p>
            <w:pPr>
              <w:pStyle w:val="TableParagraph"/>
              <w:ind w:right="157"/>
              <w:jc w:val="right"/>
              <w:rPr>
                <w:sz w:val="20"/>
              </w:rPr>
            </w:pPr>
            <w:r>
              <w:rPr>
                <w:spacing w:val="-4"/>
                <w:sz w:val="20"/>
              </w:rPr>
              <w:t>5895</w:t>
            </w:r>
          </w:p>
        </w:tc>
        <w:tc>
          <w:tcPr>
            <w:tcW w:w="2962" w:type="dxa"/>
          </w:tcPr>
          <w:p>
            <w:pPr>
              <w:pStyle w:val="TableParagraph"/>
              <w:ind w:left="157"/>
              <w:rPr>
                <w:sz w:val="20"/>
              </w:rPr>
            </w:pPr>
            <w:r>
              <w:rPr>
                <w:sz w:val="20"/>
              </w:rPr>
              <w:t>Yalunka</w:t>
            </w:r>
            <w:r>
              <w:rPr>
                <w:spacing w:val="-10"/>
                <w:sz w:val="20"/>
              </w:rPr>
              <w:t> </w:t>
            </w:r>
            <w:r>
              <w:rPr>
                <w:spacing w:val="-2"/>
                <w:sz w:val="20"/>
              </w:rPr>
              <w:t>(yal)</w:t>
            </w:r>
          </w:p>
        </w:tc>
      </w:tr>
      <w:tr>
        <w:trPr>
          <w:trHeight w:val="230" w:hRule="atLeast"/>
        </w:trPr>
        <w:tc>
          <w:tcPr>
            <w:tcW w:w="612" w:type="dxa"/>
          </w:tcPr>
          <w:p>
            <w:pPr>
              <w:pStyle w:val="TableParagraph"/>
              <w:ind w:left="50"/>
              <w:rPr>
                <w:sz w:val="20"/>
              </w:rPr>
            </w:pPr>
            <w:r>
              <w:rPr>
                <w:spacing w:val="-4"/>
                <w:sz w:val="20"/>
              </w:rPr>
              <w:t>5633</w:t>
            </w:r>
          </w:p>
        </w:tc>
        <w:tc>
          <w:tcPr>
            <w:tcW w:w="3703" w:type="dxa"/>
          </w:tcPr>
          <w:p>
            <w:pPr>
              <w:pStyle w:val="TableParagraph"/>
              <w:ind w:left="158"/>
              <w:rPr>
                <w:sz w:val="20"/>
              </w:rPr>
            </w:pPr>
            <w:r>
              <w:rPr>
                <w:sz w:val="20"/>
              </w:rPr>
              <w:t>Punu</w:t>
            </w:r>
            <w:r>
              <w:rPr>
                <w:spacing w:val="-9"/>
                <w:sz w:val="20"/>
              </w:rPr>
              <w:t> </w:t>
            </w:r>
            <w:r>
              <w:rPr>
                <w:spacing w:val="-2"/>
                <w:sz w:val="20"/>
              </w:rPr>
              <w:t>(puu)</w:t>
            </w:r>
          </w:p>
        </w:tc>
        <w:tc>
          <w:tcPr>
            <w:tcW w:w="1627" w:type="dxa"/>
          </w:tcPr>
          <w:p>
            <w:pPr>
              <w:pStyle w:val="TableParagraph"/>
              <w:ind w:right="157"/>
              <w:jc w:val="right"/>
              <w:rPr>
                <w:sz w:val="20"/>
              </w:rPr>
            </w:pPr>
            <w:r>
              <w:rPr>
                <w:spacing w:val="-4"/>
                <w:sz w:val="20"/>
              </w:rPr>
              <w:t>5900</w:t>
            </w:r>
          </w:p>
        </w:tc>
        <w:tc>
          <w:tcPr>
            <w:tcW w:w="2962" w:type="dxa"/>
          </w:tcPr>
          <w:p>
            <w:pPr>
              <w:pStyle w:val="TableParagraph"/>
              <w:ind w:left="157"/>
              <w:rPr>
                <w:sz w:val="20"/>
              </w:rPr>
            </w:pPr>
            <w:r>
              <w:rPr>
                <w:sz w:val="20"/>
              </w:rPr>
              <w:t>Kpelle</w:t>
            </w:r>
            <w:r>
              <w:rPr>
                <w:spacing w:val="-10"/>
                <w:sz w:val="20"/>
              </w:rPr>
              <w:t> </w:t>
            </w:r>
            <w:r>
              <w:rPr>
                <w:sz w:val="20"/>
              </w:rPr>
              <w:t>(macrolanguage)</w:t>
            </w:r>
            <w:r>
              <w:rPr>
                <w:spacing w:val="-8"/>
                <w:sz w:val="20"/>
              </w:rPr>
              <w:t> </w:t>
            </w:r>
            <w:r>
              <w:rPr>
                <w:spacing w:val="-4"/>
                <w:sz w:val="20"/>
              </w:rPr>
              <w:t>(kpe)</w:t>
            </w:r>
          </w:p>
        </w:tc>
      </w:tr>
      <w:tr>
        <w:trPr>
          <w:trHeight w:val="230" w:hRule="atLeast"/>
        </w:trPr>
        <w:tc>
          <w:tcPr>
            <w:tcW w:w="612" w:type="dxa"/>
          </w:tcPr>
          <w:p>
            <w:pPr>
              <w:pStyle w:val="TableParagraph"/>
              <w:ind w:left="50"/>
              <w:rPr>
                <w:sz w:val="20"/>
              </w:rPr>
            </w:pPr>
            <w:r>
              <w:rPr>
                <w:spacing w:val="-4"/>
                <w:sz w:val="20"/>
              </w:rPr>
              <w:t>5635</w:t>
            </w:r>
          </w:p>
        </w:tc>
        <w:tc>
          <w:tcPr>
            <w:tcW w:w="3703" w:type="dxa"/>
          </w:tcPr>
          <w:p>
            <w:pPr>
              <w:pStyle w:val="TableParagraph"/>
              <w:ind w:left="158"/>
              <w:rPr>
                <w:sz w:val="20"/>
              </w:rPr>
            </w:pPr>
            <w:r>
              <w:rPr>
                <w:sz w:val="20"/>
              </w:rPr>
              <w:t>Ibali</w:t>
            </w:r>
            <w:r>
              <w:rPr>
                <w:spacing w:val="-5"/>
                <w:sz w:val="20"/>
              </w:rPr>
              <w:t> </w:t>
            </w:r>
            <w:r>
              <w:rPr>
                <w:sz w:val="20"/>
              </w:rPr>
              <w:t>Teke</w:t>
            </w:r>
            <w:r>
              <w:rPr>
                <w:spacing w:val="-3"/>
                <w:sz w:val="20"/>
              </w:rPr>
              <w:t> </w:t>
            </w:r>
            <w:r>
              <w:rPr>
                <w:spacing w:val="-2"/>
                <w:sz w:val="20"/>
              </w:rPr>
              <w:t>(tek)</w:t>
            </w:r>
          </w:p>
        </w:tc>
        <w:tc>
          <w:tcPr>
            <w:tcW w:w="1627" w:type="dxa"/>
          </w:tcPr>
          <w:p>
            <w:pPr>
              <w:pStyle w:val="TableParagraph"/>
              <w:ind w:right="157"/>
              <w:jc w:val="right"/>
              <w:rPr>
                <w:sz w:val="20"/>
              </w:rPr>
            </w:pPr>
            <w:r>
              <w:rPr>
                <w:spacing w:val="-4"/>
                <w:sz w:val="20"/>
              </w:rPr>
              <w:t>5901</w:t>
            </w:r>
          </w:p>
        </w:tc>
        <w:tc>
          <w:tcPr>
            <w:tcW w:w="2962" w:type="dxa"/>
          </w:tcPr>
          <w:p>
            <w:pPr>
              <w:pStyle w:val="TableParagraph"/>
              <w:ind w:left="157"/>
              <w:rPr>
                <w:sz w:val="20"/>
              </w:rPr>
            </w:pPr>
            <w:r>
              <w:rPr>
                <w:sz w:val="20"/>
              </w:rPr>
              <w:t>Liberia</w:t>
            </w:r>
            <w:r>
              <w:rPr>
                <w:spacing w:val="-6"/>
                <w:sz w:val="20"/>
              </w:rPr>
              <w:t> </w:t>
            </w:r>
            <w:r>
              <w:rPr>
                <w:sz w:val="20"/>
              </w:rPr>
              <w:t>Kpelle</w:t>
            </w:r>
            <w:r>
              <w:rPr>
                <w:spacing w:val="-6"/>
                <w:sz w:val="20"/>
              </w:rPr>
              <w:t> </w:t>
            </w:r>
            <w:r>
              <w:rPr>
                <w:spacing w:val="-2"/>
                <w:sz w:val="20"/>
              </w:rPr>
              <w:t>(xpe)</w:t>
            </w:r>
          </w:p>
        </w:tc>
      </w:tr>
      <w:tr>
        <w:trPr>
          <w:trHeight w:val="229" w:hRule="atLeast"/>
        </w:trPr>
        <w:tc>
          <w:tcPr>
            <w:tcW w:w="612" w:type="dxa"/>
          </w:tcPr>
          <w:p>
            <w:pPr>
              <w:pStyle w:val="TableParagraph"/>
              <w:spacing w:line="209" w:lineRule="exact"/>
              <w:ind w:left="50"/>
              <w:rPr>
                <w:sz w:val="20"/>
              </w:rPr>
            </w:pPr>
            <w:r>
              <w:rPr>
                <w:spacing w:val="-4"/>
                <w:sz w:val="20"/>
              </w:rPr>
              <w:t>5640</w:t>
            </w:r>
          </w:p>
        </w:tc>
        <w:tc>
          <w:tcPr>
            <w:tcW w:w="3703" w:type="dxa"/>
          </w:tcPr>
          <w:p>
            <w:pPr>
              <w:pStyle w:val="TableParagraph"/>
              <w:spacing w:line="209" w:lineRule="exact"/>
              <w:ind w:left="158"/>
              <w:rPr>
                <w:sz w:val="20"/>
              </w:rPr>
            </w:pPr>
            <w:r>
              <w:rPr>
                <w:sz w:val="20"/>
              </w:rPr>
              <w:t>Bangala</w:t>
            </w:r>
            <w:r>
              <w:rPr>
                <w:spacing w:val="-9"/>
                <w:sz w:val="20"/>
              </w:rPr>
              <w:t> </w:t>
            </w:r>
            <w:r>
              <w:rPr>
                <w:spacing w:val="-2"/>
                <w:sz w:val="20"/>
              </w:rPr>
              <w:t>(bxg)</w:t>
            </w:r>
          </w:p>
        </w:tc>
        <w:tc>
          <w:tcPr>
            <w:tcW w:w="1627" w:type="dxa"/>
          </w:tcPr>
          <w:p>
            <w:pPr>
              <w:pStyle w:val="TableParagraph"/>
              <w:spacing w:line="209" w:lineRule="exact"/>
              <w:ind w:right="157"/>
              <w:jc w:val="right"/>
              <w:rPr>
                <w:sz w:val="20"/>
              </w:rPr>
            </w:pPr>
            <w:r>
              <w:rPr>
                <w:spacing w:val="-4"/>
                <w:sz w:val="20"/>
              </w:rPr>
              <w:t>5905</w:t>
            </w:r>
          </w:p>
        </w:tc>
        <w:tc>
          <w:tcPr>
            <w:tcW w:w="2962" w:type="dxa"/>
          </w:tcPr>
          <w:p>
            <w:pPr>
              <w:pStyle w:val="TableParagraph"/>
              <w:spacing w:line="209" w:lineRule="exact"/>
              <w:ind w:left="157"/>
              <w:rPr>
                <w:sz w:val="20"/>
              </w:rPr>
            </w:pPr>
            <w:r>
              <w:rPr>
                <w:sz w:val="20"/>
              </w:rPr>
              <w:t>Bandi</w:t>
            </w:r>
            <w:r>
              <w:rPr>
                <w:spacing w:val="-5"/>
                <w:sz w:val="20"/>
              </w:rPr>
              <w:t> </w:t>
            </w:r>
            <w:r>
              <w:rPr>
                <w:spacing w:val="-2"/>
                <w:sz w:val="20"/>
              </w:rPr>
              <w:t>(bza)</w:t>
            </w:r>
          </w:p>
        </w:tc>
      </w:tr>
      <w:tr>
        <w:trPr>
          <w:trHeight w:val="229" w:hRule="atLeast"/>
        </w:trPr>
        <w:tc>
          <w:tcPr>
            <w:tcW w:w="612" w:type="dxa"/>
          </w:tcPr>
          <w:p>
            <w:pPr>
              <w:pStyle w:val="TableParagraph"/>
              <w:spacing w:line="209" w:lineRule="exact"/>
              <w:ind w:left="50"/>
              <w:rPr>
                <w:sz w:val="20"/>
              </w:rPr>
            </w:pPr>
            <w:r>
              <w:rPr>
                <w:spacing w:val="-4"/>
                <w:sz w:val="20"/>
              </w:rPr>
              <w:t>5645</w:t>
            </w:r>
          </w:p>
        </w:tc>
        <w:tc>
          <w:tcPr>
            <w:tcW w:w="3703" w:type="dxa"/>
          </w:tcPr>
          <w:p>
            <w:pPr>
              <w:pStyle w:val="TableParagraph"/>
              <w:spacing w:line="209" w:lineRule="exact"/>
              <w:ind w:left="158"/>
              <w:rPr>
                <w:sz w:val="20"/>
              </w:rPr>
            </w:pPr>
            <w:r>
              <w:rPr>
                <w:sz w:val="20"/>
              </w:rPr>
              <w:t>Lingala</w:t>
            </w:r>
            <w:r>
              <w:rPr>
                <w:spacing w:val="-9"/>
                <w:sz w:val="20"/>
              </w:rPr>
              <w:t> </w:t>
            </w:r>
            <w:r>
              <w:rPr>
                <w:spacing w:val="-2"/>
                <w:sz w:val="20"/>
              </w:rPr>
              <w:t>(lin)</w:t>
            </w:r>
          </w:p>
        </w:tc>
        <w:tc>
          <w:tcPr>
            <w:tcW w:w="1627" w:type="dxa"/>
          </w:tcPr>
          <w:p>
            <w:pPr>
              <w:pStyle w:val="TableParagraph"/>
              <w:spacing w:line="209" w:lineRule="exact"/>
              <w:ind w:right="157"/>
              <w:jc w:val="right"/>
              <w:rPr>
                <w:sz w:val="20"/>
              </w:rPr>
            </w:pPr>
            <w:r>
              <w:rPr>
                <w:spacing w:val="-4"/>
                <w:sz w:val="20"/>
              </w:rPr>
              <w:t>5910</w:t>
            </w:r>
          </w:p>
        </w:tc>
        <w:tc>
          <w:tcPr>
            <w:tcW w:w="2962" w:type="dxa"/>
          </w:tcPr>
          <w:p>
            <w:pPr>
              <w:pStyle w:val="TableParagraph"/>
              <w:spacing w:line="209" w:lineRule="exact"/>
              <w:ind w:left="157"/>
              <w:rPr>
                <w:sz w:val="20"/>
              </w:rPr>
            </w:pPr>
            <w:r>
              <w:rPr>
                <w:sz w:val="20"/>
              </w:rPr>
              <w:t>Mende</w:t>
            </w:r>
            <w:r>
              <w:rPr>
                <w:spacing w:val="-7"/>
                <w:sz w:val="20"/>
              </w:rPr>
              <w:t> </w:t>
            </w:r>
            <w:r>
              <w:rPr>
                <w:sz w:val="20"/>
              </w:rPr>
              <w:t>(Sierra</w:t>
            </w:r>
            <w:r>
              <w:rPr>
                <w:spacing w:val="-7"/>
                <w:sz w:val="20"/>
              </w:rPr>
              <w:t> </w:t>
            </w:r>
            <w:r>
              <w:rPr>
                <w:sz w:val="20"/>
              </w:rPr>
              <w:t>Leone)</w:t>
            </w:r>
            <w:r>
              <w:rPr>
                <w:spacing w:val="-6"/>
                <w:sz w:val="20"/>
              </w:rPr>
              <w:t> </w:t>
            </w:r>
            <w:r>
              <w:rPr>
                <w:spacing w:val="-4"/>
                <w:sz w:val="20"/>
              </w:rPr>
              <w:t>(men)</w:t>
            </w:r>
          </w:p>
        </w:tc>
      </w:tr>
      <w:tr>
        <w:trPr>
          <w:trHeight w:val="230" w:hRule="atLeast"/>
        </w:trPr>
        <w:tc>
          <w:tcPr>
            <w:tcW w:w="612" w:type="dxa"/>
          </w:tcPr>
          <w:p>
            <w:pPr>
              <w:pStyle w:val="TableParagraph"/>
              <w:spacing w:line="211" w:lineRule="exact"/>
              <w:ind w:left="50"/>
              <w:rPr>
                <w:sz w:val="20"/>
              </w:rPr>
            </w:pPr>
            <w:r>
              <w:rPr>
                <w:spacing w:val="-4"/>
                <w:sz w:val="20"/>
              </w:rPr>
              <w:t>5650</w:t>
            </w:r>
          </w:p>
        </w:tc>
        <w:tc>
          <w:tcPr>
            <w:tcW w:w="3703" w:type="dxa"/>
          </w:tcPr>
          <w:p>
            <w:pPr>
              <w:pStyle w:val="TableParagraph"/>
              <w:spacing w:line="211" w:lineRule="exact"/>
              <w:ind w:left="158"/>
              <w:rPr>
                <w:sz w:val="20"/>
              </w:rPr>
            </w:pPr>
            <w:r>
              <w:rPr>
                <w:sz w:val="20"/>
              </w:rPr>
              <w:t>Mabaale</w:t>
            </w:r>
            <w:r>
              <w:rPr>
                <w:spacing w:val="-6"/>
                <w:sz w:val="20"/>
              </w:rPr>
              <w:t> </w:t>
            </w:r>
            <w:r>
              <w:rPr>
                <w:spacing w:val="-2"/>
                <w:sz w:val="20"/>
              </w:rPr>
              <w:t>(mmz)</w:t>
            </w:r>
          </w:p>
        </w:tc>
        <w:tc>
          <w:tcPr>
            <w:tcW w:w="1627" w:type="dxa"/>
          </w:tcPr>
          <w:p>
            <w:pPr>
              <w:pStyle w:val="TableParagraph"/>
              <w:spacing w:line="211" w:lineRule="exact"/>
              <w:ind w:right="157"/>
              <w:jc w:val="right"/>
              <w:rPr>
                <w:sz w:val="20"/>
              </w:rPr>
            </w:pPr>
            <w:r>
              <w:rPr>
                <w:spacing w:val="-4"/>
                <w:sz w:val="20"/>
              </w:rPr>
              <w:t>5915</w:t>
            </w:r>
          </w:p>
        </w:tc>
        <w:tc>
          <w:tcPr>
            <w:tcW w:w="2962" w:type="dxa"/>
          </w:tcPr>
          <w:p>
            <w:pPr>
              <w:pStyle w:val="TableParagraph"/>
              <w:spacing w:line="211" w:lineRule="exact"/>
              <w:ind w:left="157"/>
              <w:rPr>
                <w:sz w:val="20"/>
              </w:rPr>
            </w:pPr>
            <w:r>
              <w:rPr>
                <w:sz w:val="20"/>
              </w:rPr>
              <w:t>Loma</w:t>
            </w:r>
            <w:r>
              <w:rPr>
                <w:spacing w:val="-7"/>
                <w:sz w:val="20"/>
              </w:rPr>
              <w:t> </w:t>
            </w:r>
            <w:r>
              <w:rPr>
                <w:sz w:val="20"/>
              </w:rPr>
              <w:t>(Liberia)</w:t>
            </w:r>
            <w:r>
              <w:rPr>
                <w:spacing w:val="-6"/>
                <w:sz w:val="20"/>
              </w:rPr>
              <w:t> </w:t>
            </w:r>
            <w:r>
              <w:rPr>
                <w:spacing w:val="-2"/>
                <w:sz w:val="20"/>
              </w:rPr>
              <w:t>(lom)</w:t>
            </w:r>
          </w:p>
        </w:tc>
      </w:tr>
      <w:tr>
        <w:trPr>
          <w:trHeight w:val="230" w:hRule="atLeast"/>
        </w:trPr>
        <w:tc>
          <w:tcPr>
            <w:tcW w:w="612" w:type="dxa"/>
          </w:tcPr>
          <w:p>
            <w:pPr>
              <w:pStyle w:val="TableParagraph"/>
              <w:ind w:left="50"/>
              <w:rPr>
                <w:sz w:val="20"/>
              </w:rPr>
            </w:pPr>
            <w:r>
              <w:rPr>
                <w:spacing w:val="-4"/>
                <w:sz w:val="20"/>
              </w:rPr>
              <w:t>5655</w:t>
            </w:r>
          </w:p>
        </w:tc>
        <w:tc>
          <w:tcPr>
            <w:tcW w:w="3703" w:type="dxa"/>
          </w:tcPr>
          <w:p>
            <w:pPr>
              <w:pStyle w:val="TableParagraph"/>
              <w:ind w:left="158"/>
              <w:rPr>
                <w:sz w:val="20"/>
              </w:rPr>
            </w:pPr>
            <w:r>
              <w:rPr>
                <w:sz w:val="20"/>
              </w:rPr>
              <w:t>Bangi</w:t>
            </w:r>
            <w:r>
              <w:rPr>
                <w:spacing w:val="-8"/>
                <w:sz w:val="20"/>
              </w:rPr>
              <w:t> </w:t>
            </w:r>
            <w:r>
              <w:rPr>
                <w:spacing w:val="-2"/>
                <w:sz w:val="20"/>
              </w:rPr>
              <w:t>(bni)</w:t>
            </w:r>
          </w:p>
        </w:tc>
        <w:tc>
          <w:tcPr>
            <w:tcW w:w="1627" w:type="dxa"/>
          </w:tcPr>
          <w:p>
            <w:pPr>
              <w:pStyle w:val="TableParagraph"/>
              <w:ind w:right="157"/>
              <w:jc w:val="right"/>
              <w:rPr>
                <w:sz w:val="20"/>
              </w:rPr>
            </w:pPr>
            <w:r>
              <w:rPr>
                <w:spacing w:val="-4"/>
                <w:sz w:val="20"/>
              </w:rPr>
              <w:t>5917</w:t>
            </w:r>
          </w:p>
        </w:tc>
        <w:tc>
          <w:tcPr>
            <w:tcW w:w="2962" w:type="dxa"/>
          </w:tcPr>
          <w:p>
            <w:pPr>
              <w:pStyle w:val="TableParagraph"/>
              <w:ind w:left="157"/>
              <w:rPr>
                <w:sz w:val="20"/>
              </w:rPr>
            </w:pPr>
            <w:r>
              <w:rPr>
                <w:sz w:val="20"/>
              </w:rPr>
              <w:t>Toma</w:t>
            </w:r>
            <w:r>
              <w:rPr>
                <w:spacing w:val="-6"/>
                <w:sz w:val="20"/>
              </w:rPr>
              <w:t> </w:t>
            </w:r>
            <w:r>
              <w:rPr>
                <w:spacing w:val="-2"/>
                <w:sz w:val="20"/>
              </w:rPr>
              <w:t>(tod)</w:t>
            </w:r>
          </w:p>
        </w:tc>
      </w:tr>
      <w:tr>
        <w:trPr>
          <w:trHeight w:val="230" w:hRule="atLeast"/>
        </w:trPr>
        <w:tc>
          <w:tcPr>
            <w:tcW w:w="612" w:type="dxa"/>
          </w:tcPr>
          <w:p>
            <w:pPr>
              <w:pStyle w:val="TableParagraph"/>
              <w:ind w:left="50"/>
              <w:rPr>
                <w:sz w:val="20"/>
              </w:rPr>
            </w:pPr>
            <w:r>
              <w:rPr>
                <w:spacing w:val="-4"/>
                <w:sz w:val="20"/>
              </w:rPr>
              <w:t>5660</w:t>
            </w:r>
          </w:p>
        </w:tc>
        <w:tc>
          <w:tcPr>
            <w:tcW w:w="3703" w:type="dxa"/>
          </w:tcPr>
          <w:p>
            <w:pPr>
              <w:pStyle w:val="TableParagraph"/>
              <w:ind w:left="158"/>
              <w:rPr>
                <w:sz w:val="20"/>
              </w:rPr>
            </w:pPr>
            <w:r>
              <w:rPr>
                <w:sz w:val="20"/>
              </w:rPr>
              <w:t>Ntomba</w:t>
            </w:r>
            <w:r>
              <w:rPr>
                <w:spacing w:val="-7"/>
                <w:sz w:val="20"/>
              </w:rPr>
              <w:t> </w:t>
            </w:r>
            <w:r>
              <w:rPr>
                <w:spacing w:val="-2"/>
                <w:sz w:val="20"/>
              </w:rPr>
              <w:t>(nto)</w:t>
            </w:r>
          </w:p>
        </w:tc>
        <w:tc>
          <w:tcPr>
            <w:tcW w:w="1627" w:type="dxa"/>
          </w:tcPr>
          <w:p>
            <w:pPr>
              <w:pStyle w:val="TableParagraph"/>
              <w:ind w:right="157"/>
              <w:jc w:val="right"/>
              <w:rPr>
                <w:sz w:val="20"/>
              </w:rPr>
            </w:pPr>
            <w:r>
              <w:rPr>
                <w:spacing w:val="-4"/>
                <w:sz w:val="20"/>
              </w:rPr>
              <w:t>5920</w:t>
            </w:r>
          </w:p>
        </w:tc>
        <w:tc>
          <w:tcPr>
            <w:tcW w:w="2962" w:type="dxa"/>
          </w:tcPr>
          <w:p>
            <w:pPr>
              <w:pStyle w:val="TableParagraph"/>
              <w:ind w:left="157"/>
              <w:rPr>
                <w:sz w:val="20"/>
              </w:rPr>
            </w:pPr>
            <w:r>
              <w:rPr>
                <w:sz w:val="20"/>
              </w:rPr>
              <w:t>Bissa</w:t>
            </w:r>
            <w:r>
              <w:rPr>
                <w:spacing w:val="-6"/>
                <w:sz w:val="20"/>
              </w:rPr>
              <w:t> </w:t>
            </w:r>
            <w:r>
              <w:rPr>
                <w:spacing w:val="-2"/>
                <w:sz w:val="20"/>
              </w:rPr>
              <w:t>(bib)</w:t>
            </w:r>
          </w:p>
        </w:tc>
      </w:tr>
      <w:tr>
        <w:trPr>
          <w:trHeight w:val="230" w:hRule="atLeast"/>
        </w:trPr>
        <w:tc>
          <w:tcPr>
            <w:tcW w:w="612" w:type="dxa"/>
          </w:tcPr>
          <w:p>
            <w:pPr>
              <w:pStyle w:val="TableParagraph"/>
              <w:ind w:left="50"/>
              <w:rPr>
                <w:sz w:val="20"/>
              </w:rPr>
            </w:pPr>
            <w:r>
              <w:rPr>
                <w:spacing w:val="-4"/>
                <w:sz w:val="20"/>
              </w:rPr>
              <w:t>5665</w:t>
            </w:r>
          </w:p>
        </w:tc>
        <w:tc>
          <w:tcPr>
            <w:tcW w:w="3703" w:type="dxa"/>
          </w:tcPr>
          <w:p>
            <w:pPr>
              <w:pStyle w:val="TableParagraph"/>
              <w:ind w:left="158"/>
              <w:rPr>
                <w:sz w:val="20"/>
              </w:rPr>
            </w:pPr>
            <w:r>
              <w:rPr>
                <w:sz w:val="20"/>
              </w:rPr>
              <w:t>Mongo</w:t>
            </w:r>
            <w:r>
              <w:rPr>
                <w:spacing w:val="-8"/>
                <w:sz w:val="20"/>
              </w:rPr>
              <w:t> </w:t>
            </w:r>
            <w:r>
              <w:rPr>
                <w:spacing w:val="-2"/>
                <w:sz w:val="20"/>
              </w:rPr>
              <w:t>(lol)</w:t>
            </w:r>
          </w:p>
        </w:tc>
        <w:tc>
          <w:tcPr>
            <w:tcW w:w="1627" w:type="dxa"/>
          </w:tcPr>
          <w:p>
            <w:pPr>
              <w:pStyle w:val="TableParagraph"/>
              <w:ind w:right="157"/>
              <w:jc w:val="right"/>
              <w:rPr>
                <w:sz w:val="20"/>
              </w:rPr>
            </w:pPr>
            <w:r>
              <w:rPr>
                <w:spacing w:val="-4"/>
                <w:sz w:val="20"/>
              </w:rPr>
              <w:t>5925</w:t>
            </w:r>
          </w:p>
        </w:tc>
        <w:tc>
          <w:tcPr>
            <w:tcW w:w="2962" w:type="dxa"/>
          </w:tcPr>
          <w:p>
            <w:pPr>
              <w:pStyle w:val="TableParagraph"/>
              <w:ind w:left="157"/>
              <w:rPr>
                <w:sz w:val="20"/>
              </w:rPr>
            </w:pPr>
            <w:r>
              <w:rPr>
                <w:sz w:val="20"/>
              </w:rPr>
              <w:t>Dan</w:t>
            </w:r>
            <w:r>
              <w:rPr>
                <w:spacing w:val="-5"/>
                <w:sz w:val="20"/>
              </w:rPr>
              <w:t> </w:t>
            </w:r>
            <w:r>
              <w:rPr>
                <w:spacing w:val="-2"/>
                <w:sz w:val="20"/>
              </w:rPr>
              <w:t>(dnj)</w:t>
            </w:r>
          </w:p>
        </w:tc>
      </w:tr>
      <w:tr>
        <w:trPr>
          <w:trHeight w:val="229" w:hRule="atLeast"/>
        </w:trPr>
        <w:tc>
          <w:tcPr>
            <w:tcW w:w="612" w:type="dxa"/>
          </w:tcPr>
          <w:p>
            <w:pPr>
              <w:pStyle w:val="TableParagraph"/>
              <w:spacing w:line="209" w:lineRule="exact"/>
              <w:ind w:left="50"/>
              <w:rPr>
                <w:sz w:val="20"/>
              </w:rPr>
            </w:pPr>
            <w:r>
              <w:rPr>
                <w:spacing w:val="-4"/>
                <w:sz w:val="20"/>
              </w:rPr>
              <w:t>5670</w:t>
            </w:r>
          </w:p>
        </w:tc>
        <w:tc>
          <w:tcPr>
            <w:tcW w:w="3703" w:type="dxa"/>
          </w:tcPr>
          <w:p>
            <w:pPr>
              <w:pStyle w:val="TableParagraph"/>
              <w:spacing w:line="209" w:lineRule="exact"/>
              <w:ind w:left="158"/>
              <w:rPr>
                <w:sz w:val="20"/>
              </w:rPr>
            </w:pPr>
            <w:r>
              <w:rPr>
                <w:sz w:val="20"/>
              </w:rPr>
              <w:t>Ligenza</w:t>
            </w:r>
            <w:r>
              <w:rPr>
                <w:spacing w:val="-11"/>
                <w:sz w:val="20"/>
              </w:rPr>
              <w:t> </w:t>
            </w:r>
            <w:r>
              <w:rPr>
                <w:spacing w:val="-2"/>
                <w:sz w:val="20"/>
              </w:rPr>
              <w:t>(lgz)</w:t>
            </w:r>
          </w:p>
        </w:tc>
        <w:tc>
          <w:tcPr>
            <w:tcW w:w="1627" w:type="dxa"/>
          </w:tcPr>
          <w:p>
            <w:pPr>
              <w:pStyle w:val="TableParagraph"/>
              <w:spacing w:line="209" w:lineRule="exact"/>
              <w:ind w:right="157"/>
              <w:jc w:val="right"/>
              <w:rPr>
                <w:sz w:val="20"/>
              </w:rPr>
            </w:pPr>
            <w:r>
              <w:rPr>
                <w:spacing w:val="-4"/>
                <w:sz w:val="20"/>
              </w:rPr>
              <w:t>5930</w:t>
            </w:r>
          </w:p>
        </w:tc>
        <w:tc>
          <w:tcPr>
            <w:tcW w:w="2962" w:type="dxa"/>
          </w:tcPr>
          <w:p>
            <w:pPr>
              <w:pStyle w:val="TableParagraph"/>
              <w:spacing w:line="209" w:lineRule="exact"/>
              <w:ind w:left="157"/>
              <w:rPr>
                <w:sz w:val="20"/>
              </w:rPr>
            </w:pPr>
            <w:r>
              <w:rPr>
                <w:sz w:val="20"/>
              </w:rPr>
              <w:t>Mano</w:t>
            </w:r>
            <w:r>
              <w:rPr>
                <w:spacing w:val="-6"/>
                <w:sz w:val="20"/>
              </w:rPr>
              <w:t> </w:t>
            </w:r>
            <w:r>
              <w:rPr>
                <w:spacing w:val="-2"/>
                <w:sz w:val="20"/>
              </w:rPr>
              <w:t>(mev)</w:t>
            </w:r>
          </w:p>
        </w:tc>
      </w:tr>
      <w:tr>
        <w:trPr>
          <w:trHeight w:val="229" w:hRule="atLeast"/>
        </w:trPr>
        <w:tc>
          <w:tcPr>
            <w:tcW w:w="612" w:type="dxa"/>
          </w:tcPr>
          <w:p>
            <w:pPr>
              <w:pStyle w:val="TableParagraph"/>
              <w:spacing w:line="209" w:lineRule="exact"/>
              <w:ind w:left="50"/>
              <w:rPr>
                <w:sz w:val="20"/>
              </w:rPr>
            </w:pPr>
            <w:r>
              <w:rPr>
                <w:spacing w:val="-4"/>
                <w:sz w:val="20"/>
              </w:rPr>
              <w:t>5675</w:t>
            </w:r>
          </w:p>
        </w:tc>
        <w:tc>
          <w:tcPr>
            <w:tcW w:w="3703" w:type="dxa"/>
          </w:tcPr>
          <w:p>
            <w:pPr>
              <w:pStyle w:val="TableParagraph"/>
              <w:spacing w:line="209" w:lineRule="exact"/>
              <w:ind w:left="158"/>
              <w:rPr>
                <w:sz w:val="20"/>
              </w:rPr>
            </w:pPr>
            <w:r>
              <w:rPr>
                <w:sz w:val="20"/>
              </w:rPr>
              <w:t>Bwa</w:t>
            </w:r>
            <w:r>
              <w:rPr>
                <w:spacing w:val="-6"/>
                <w:sz w:val="20"/>
              </w:rPr>
              <w:t> </w:t>
            </w:r>
            <w:r>
              <w:rPr>
                <w:spacing w:val="-2"/>
                <w:sz w:val="20"/>
              </w:rPr>
              <w:t>(bww)</w:t>
            </w:r>
          </w:p>
        </w:tc>
        <w:tc>
          <w:tcPr>
            <w:tcW w:w="1627" w:type="dxa"/>
          </w:tcPr>
          <w:p>
            <w:pPr>
              <w:pStyle w:val="TableParagraph"/>
              <w:spacing w:line="209" w:lineRule="exact"/>
              <w:ind w:right="157"/>
              <w:jc w:val="right"/>
              <w:rPr>
                <w:sz w:val="20"/>
              </w:rPr>
            </w:pPr>
            <w:r>
              <w:rPr>
                <w:spacing w:val="-4"/>
                <w:sz w:val="20"/>
              </w:rPr>
              <w:t>5935</w:t>
            </w:r>
          </w:p>
        </w:tc>
        <w:tc>
          <w:tcPr>
            <w:tcW w:w="2962" w:type="dxa"/>
          </w:tcPr>
          <w:p>
            <w:pPr>
              <w:pStyle w:val="TableParagraph"/>
              <w:spacing w:line="209" w:lineRule="exact"/>
              <w:ind w:left="157"/>
              <w:rPr>
                <w:sz w:val="20"/>
              </w:rPr>
            </w:pPr>
            <w:r>
              <w:rPr>
                <w:sz w:val="20"/>
              </w:rPr>
              <w:t>Gagu</w:t>
            </w:r>
            <w:r>
              <w:rPr>
                <w:spacing w:val="-5"/>
                <w:sz w:val="20"/>
              </w:rPr>
              <w:t> </w:t>
            </w:r>
            <w:r>
              <w:rPr>
                <w:spacing w:val="-2"/>
                <w:sz w:val="20"/>
              </w:rPr>
              <w:t>(ggu)</w:t>
            </w:r>
          </w:p>
        </w:tc>
      </w:tr>
      <w:tr>
        <w:trPr>
          <w:trHeight w:val="225" w:hRule="atLeast"/>
        </w:trPr>
        <w:tc>
          <w:tcPr>
            <w:tcW w:w="612" w:type="dxa"/>
          </w:tcPr>
          <w:p>
            <w:pPr>
              <w:pStyle w:val="TableParagraph"/>
              <w:spacing w:line="205" w:lineRule="exact"/>
              <w:ind w:left="50"/>
              <w:rPr>
                <w:sz w:val="20"/>
              </w:rPr>
            </w:pPr>
            <w:r>
              <w:rPr>
                <w:spacing w:val="-4"/>
                <w:sz w:val="20"/>
              </w:rPr>
              <w:t>5677</w:t>
            </w:r>
          </w:p>
        </w:tc>
        <w:tc>
          <w:tcPr>
            <w:tcW w:w="3703" w:type="dxa"/>
          </w:tcPr>
          <w:p>
            <w:pPr>
              <w:pStyle w:val="TableParagraph"/>
              <w:spacing w:line="205" w:lineRule="exact"/>
              <w:ind w:left="158"/>
              <w:rPr>
                <w:sz w:val="20"/>
              </w:rPr>
            </w:pPr>
            <w:r>
              <w:rPr>
                <w:sz w:val="20"/>
              </w:rPr>
              <w:t>Tetela</w:t>
            </w:r>
            <w:r>
              <w:rPr>
                <w:spacing w:val="-3"/>
                <w:sz w:val="20"/>
              </w:rPr>
              <w:t> </w:t>
            </w:r>
            <w:r>
              <w:rPr>
                <w:spacing w:val="-2"/>
                <w:sz w:val="20"/>
              </w:rPr>
              <w:t>(tll)</w:t>
            </w:r>
          </w:p>
        </w:tc>
        <w:tc>
          <w:tcPr>
            <w:tcW w:w="1627" w:type="dxa"/>
          </w:tcPr>
          <w:p>
            <w:pPr>
              <w:pStyle w:val="TableParagraph"/>
              <w:spacing w:line="240" w:lineRule="auto"/>
              <w:rPr>
                <w:sz w:val="16"/>
              </w:rPr>
            </w:pPr>
          </w:p>
        </w:tc>
        <w:tc>
          <w:tcPr>
            <w:tcW w:w="2962" w:type="dxa"/>
          </w:tcPr>
          <w:p>
            <w:pPr>
              <w:pStyle w:val="TableParagraph"/>
              <w:spacing w:line="240" w:lineRule="auto"/>
              <w:rPr>
                <w:sz w:val="16"/>
              </w:rPr>
            </w:pPr>
          </w:p>
        </w:tc>
      </w:tr>
      <w:tr>
        <w:trPr>
          <w:trHeight w:val="230" w:hRule="atLeast"/>
        </w:trPr>
        <w:tc>
          <w:tcPr>
            <w:tcW w:w="8904" w:type="dxa"/>
            <w:gridSpan w:val="4"/>
          </w:tcPr>
          <w:p>
            <w:pPr>
              <w:pStyle w:val="TableParagraph"/>
              <w:tabs>
                <w:tab w:pos="770" w:val="left" w:leader="none"/>
                <w:tab w:pos="5378" w:val="left" w:leader="none"/>
              </w:tabs>
              <w:ind w:left="50"/>
              <w:rPr>
                <w:i/>
                <w:sz w:val="20"/>
              </w:rPr>
            </w:pPr>
            <w:r>
              <w:rPr>
                <w:spacing w:val="-4"/>
                <w:sz w:val="20"/>
              </w:rPr>
              <w:t>5680</w:t>
            </w:r>
            <w:r>
              <w:rPr>
                <w:sz w:val="20"/>
              </w:rPr>
              <w:tab/>
              <w:t>Abon</w:t>
            </w:r>
            <w:r>
              <w:rPr>
                <w:spacing w:val="-7"/>
                <w:sz w:val="20"/>
              </w:rPr>
              <w:t> </w:t>
            </w:r>
            <w:r>
              <w:rPr>
                <w:spacing w:val="-2"/>
                <w:sz w:val="20"/>
              </w:rPr>
              <w:t>(abo)</w:t>
            </w:r>
            <w:r>
              <w:rPr>
                <w:sz w:val="20"/>
              </w:rPr>
              <w:tab/>
            </w:r>
            <w:r>
              <w:rPr>
                <w:i/>
                <w:sz w:val="20"/>
              </w:rPr>
              <w:t>Fulah-Wolof</w:t>
            </w:r>
            <w:r>
              <w:rPr>
                <w:i/>
                <w:spacing w:val="-11"/>
                <w:sz w:val="20"/>
              </w:rPr>
              <w:t> </w:t>
            </w:r>
            <w:r>
              <w:rPr>
                <w:i/>
                <w:sz w:val="20"/>
              </w:rPr>
              <w:t>languages</w:t>
            </w:r>
            <w:r>
              <w:rPr>
                <w:i/>
                <w:spacing w:val="-11"/>
                <w:sz w:val="20"/>
              </w:rPr>
              <w:t> </w:t>
            </w:r>
            <w:r>
              <w:rPr>
                <w:i/>
                <w:sz w:val="20"/>
              </w:rPr>
              <w:t>(5940-</w:t>
            </w:r>
            <w:r>
              <w:rPr>
                <w:i/>
                <w:spacing w:val="-2"/>
                <w:sz w:val="20"/>
              </w:rPr>
              <w:t>5959)</w:t>
            </w:r>
          </w:p>
        </w:tc>
      </w:tr>
      <w:tr>
        <w:trPr>
          <w:trHeight w:val="235" w:hRule="atLeast"/>
        </w:trPr>
        <w:tc>
          <w:tcPr>
            <w:tcW w:w="612" w:type="dxa"/>
          </w:tcPr>
          <w:p>
            <w:pPr>
              <w:pStyle w:val="TableParagraph"/>
              <w:spacing w:line="205" w:lineRule="exact"/>
              <w:ind w:left="50"/>
              <w:rPr>
                <w:sz w:val="20"/>
              </w:rPr>
            </w:pPr>
            <w:r>
              <w:rPr>
                <w:spacing w:val="-4"/>
                <w:sz w:val="20"/>
              </w:rPr>
              <w:t>5683</w:t>
            </w:r>
          </w:p>
        </w:tc>
        <w:tc>
          <w:tcPr>
            <w:tcW w:w="3703" w:type="dxa"/>
          </w:tcPr>
          <w:p>
            <w:pPr>
              <w:pStyle w:val="TableParagraph"/>
              <w:spacing w:line="205" w:lineRule="exact"/>
              <w:ind w:left="158"/>
              <w:rPr>
                <w:sz w:val="20"/>
              </w:rPr>
            </w:pPr>
            <w:r>
              <w:rPr>
                <w:sz w:val="20"/>
              </w:rPr>
              <w:t>Batu</w:t>
            </w:r>
            <w:r>
              <w:rPr>
                <w:spacing w:val="-4"/>
                <w:sz w:val="20"/>
              </w:rPr>
              <w:t> </w:t>
            </w:r>
            <w:r>
              <w:rPr>
                <w:spacing w:val="-2"/>
                <w:sz w:val="20"/>
              </w:rPr>
              <w:t>(btu)</w:t>
            </w:r>
          </w:p>
        </w:tc>
        <w:tc>
          <w:tcPr>
            <w:tcW w:w="1627" w:type="dxa"/>
          </w:tcPr>
          <w:p>
            <w:pPr>
              <w:pStyle w:val="TableParagraph"/>
              <w:spacing w:line="205" w:lineRule="exact"/>
              <w:ind w:right="157"/>
              <w:jc w:val="right"/>
              <w:rPr>
                <w:sz w:val="20"/>
              </w:rPr>
            </w:pPr>
            <w:r>
              <w:rPr>
                <w:spacing w:val="-4"/>
                <w:sz w:val="20"/>
              </w:rPr>
              <w:t>5940</w:t>
            </w:r>
          </w:p>
        </w:tc>
        <w:tc>
          <w:tcPr>
            <w:tcW w:w="2962" w:type="dxa"/>
          </w:tcPr>
          <w:p>
            <w:pPr>
              <w:pStyle w:val="TableParagraph"/>
              <w:spacing w:line="205" w:lineRule="exact"/>
              <w:ind w:left="157"/>
              <w:rPr>
                <w:sz w:val="20"/>
              </w:rPr>
            </w:pPr>
            <w:r>
              <w:rPr>
                <w:sz w:val="20"/>
              </w:rPr>
              <w:t>Fulah</w:t>
            </w:r>
            <w:r>
              <w:rPr>
                <w:spacing w:val="-11"/>
                <w:sz w:val="20"/>
              </w:rPr>
              <w:t> </w:t>
            </w:r>
            <w:r>
              <w:rPr>
                <w:sz w:val="20"/>
              </w:rPr>
              <w:t>(macrolanguage)</w:t>
            </w:r>
            <w:r>
              <w:rPr>
                <w:spacing w:val="-8"/>
                <w:sz w:val="20"/>
              </w:rPr>
              <w:t> </w:t>
            </w:r>
            <w:r>
              <w:rPr>
                <w:spacing w:val="-2"/>
                <w:sz w:val="20"/>
              </w:rPr>
              <w:t>(ful)</w:t>
            </w:r>
          </w:p>
        </w:tc>
      </w:tr>
      <w:tr>
        <w:trPr>
          <w:trHeight w:val="229" w:hRule="atLeast"/>
        </w:trPr>
        <w:tc>
          <w:tcPr>
            <w:tcW w:w="612" w:type="dxa"/>
          </w:tcPr>
          <w:p>
            <w:pPr>
              <w:pStyle w:val="TableParagraph"/>
              <w:spacing w:line="209" w:lineRule="exact"/>
              <w:ind w:left="50"/>
              <w:rPr>
                <w:sz w:val="20"/>
              </w:rPr>
            </w:pPr>
            <w:r>
              <w:rPr>
                <w:spacing w:val="-4"/>
                <w:sz w:val="20"/>
              </w:rPr>
              <w:t>5685</w:t>
            </w:r>
          </w:p>
        </w:tc>
        <w:tc>
          <w:tcPr>
            <w:tcW w:w="3703" w:type="dxa"/>
          </w:tcPr>
          <w:p>
            <w:pPr>
              <w:pStyle w:val="TableParagraph"/>
              <w:spacing w:line="209" w:lineRule="exact"/>
              <w:ind w:left="158"/>
              <w:rPr>
                <w:sz w:val="20"/>
              </w:rPr>
            </w:pPr>
            <w:r>
              <w:rPr>
                <w:sz w:val="20"/>
              </w:rPr>
              <w:t>Tiv</w:t>
            </w:r>
            <w:r>
              <w:rPr>
                <w:spacing w:val="-3"/>
                <w:sz w:val="20"/>
              </w:rPr>
              <w:t> </w:t>
            </w:r>
            <w:r>
              <w:rPr>
                <w:spacing w:val="-4"/>
                <w:sz w:val="20"/>
              </w:rPr>
              <w:t>(tiv)</w:t>
            </w:r>
          </w:p>
        </w:tc>
        <w:tc>
          <w:tcPr>
            <w:tcW w:w="1627" w:type="dxa"/>
          </w:tcPr>
          <w:p>
            <w:pPr>
              <w:pStyle w:val="TableParagraph"/>
              <w:spacing w:line="209" w:lineRule="exact"/>
              <w:ind w:right="157"/>
              <w:jc w:val="right"/>
              <w:rPr>
                <w:sz w:val="20"/>
              </w:rPr>
            </w:pPr>
            <w:r>
              <w:rPr>
                <w:spacing w:val="-4"/>
                <w:sz w:val="20"/>
              </w:rPr>
              <w:t>5942</w:t>
            </w:r>
          </w:p>
        </w:tc>
        <w:tc>
          <w:tcPr>
            <w:tcW w:w="2962" w:type="dxa"/>
          </w:tcPr>
          <w:p>
            <w:pPr>
              <w:pStyle w:val="TableParagraph"/>
              <w:spacing w:line="209" w:lineRule="exact"/>
              <w:ind w:left="157"/>
              <w:rPr>
                <w:sz w:val="20"/>
              </w:rPr>
            </w:pPr>
            <w:r>
              <w:rPr>
                <w:sz w:val="20"/>
              </w:rPr>
              <w:t>Adamawa</w:t>
            </w:r>
            <w:r>
              <w:rPr>
                <w:spacing w:val="-11"/>
                <w:sz w:val="20"/>
              </w:rPr>
              <w:t> </w:t>
            </w:r>
            <w:r>
              <w:rPr>
                <w:sz w:val="20"/>
              </w:rPr>
              <w:t>Fulfulde</w:t>
            </w:r>
            <w:r>
              <w:rPr>
                <w:spacing w:val="-10"/>
                <w:sz w:val="20"/>
              </w:rPr>
              <w:t> </w:t>
            </w:r>
            <w:r>
              <w:rPr>
                <w:spacing w:val="-4"/>
                <w:sz w:val="20"/>
              </w:rPr>
              <w:t>(fub)</w:t>
            </w:r>
          </w:p>
        </w:tc>
      </w:tr>
      <w:tr>
        <w:trPr>
          <w:trHeight w:val="229" w:hRule="atLeast"/>
        </w:trPr>
        <w:tc>
          <w:tcPr>
            <w:tcW w:w="612" w:type="dxa"/>
          </w:tcPr>
          <w:p>
            <w:pPr>
              <w:pStyle w:val="TableParagraph"/>
              <w:spacing w:line="209" w:lineRule="exact"/>
              <w:ind w:left="50"/>
              <w:rPr>
                <w:sz w:val="20"/>
              </w:rPr>
            </w:pPr>
            <w:r>
              <w:rPr>
                <w:spacing w:val="-4"/>
                <w:sz w:val="20"/>
              </w:rPr>
              <w:t>5695</w:t>
            </w:r>
          </w:p>
        </w:tc>
        <w:tc>
          <w:tcPr>
            <w:tcW w:w="3703" w:type="dxa"/>
          </w:tcPr>
          <w:p>
            <w:pPr>
              <w:pStyle w:val="TableParagraph"/>
              <w:spacing w:line="209" w:lineRule="exact"/>
              <w:ind w:left="158"/>
              <w:rPr>
                <w:sz w:val="20"/>
              </w:rPr>
            </w:pPr>
            <w:r>
              <w:rPr>
                <w:sz w:val="20"/>
              </w:rPr>
              <w:t>Bamileke</w:t>
            </w:r>
            <w:r>
              <w:rPr>
                <w:spacing w:val="-10"/>
                <w:sz w:val="20"/>
              </w:rPr>
              <w:t> </w:t>
            </w:r>
            <w:r>
              <w:rPr>
                <w:sz w:val="20"/>
              </w:rPr>
              <w:t>languages</w:t>
            </w:r>
            <w:r>
              <w:rPr>
                <w:spacing w:val="-10"/>
                <w:sz w:val="20"/>
              </w:rPr>
              <w:t> </w:t>
            </w:r>
            <w:r>
              <w:rPr>
                <w:spacing w:val="-2"/>
                <w:sz w:val="20"/>
              </w:rPr>
              <w:t>(bai)</w:t>
            </w:r>
          </w:p>
        </w:tc>
        <w:tc>
          <w:tcPr>
            <w:tcW w:w="1627" w:type="dxa"/>
          </w:tcPr>
          <w:p>
            <w:pPr>
              <w:pStyle w:val="TableParagraph"/>
              <w:spacing w:line="209" w:lineRule="exact"/>
              <w:ind w:right="157"/>
              <w:jc w:val="right"/>
              <w:rPr>
                <w:sz w:val="20"/>
              </w:rPr>
            </w:pPr>
            <w:r>
              <w:rPr>
                <w:spacing w:val="-4"/>
                <w:sz w:val="20"/>
              </w:rPr>
              <w:t>5945</w:t>
            </w:r>
          </w:p>
        </w:tc>
        <w:tc>
          <w:tcPr>
            <w:tcW w:w="2962" w:type="dxa"/>
          </w:tcPr>
          <w:p>
            <w:pPr>
              <w:pStyle w:val="TableParagraph"/>
              <w:spacing w:line="209" w:lineRule="exact"/>
              <w:ind w:left="157"/>
              <w:rPr>
                <w:sz w:val="20"/>
              </w:rPr>
            </w:pPr>
            <w:r>
              <w:rPr>
                <w:sz w:val="20"/>
              </w:rPr>
              <w:t>Pulaar</w:t>
            </w:r>
            <w:r>
              <w:rPr>
                <w:spacing w:val="-6"/>
                <w:sz w:val="20"/>
              </w:rPr>
              <w:t> </w:t>
            </w:r>
            <w:r>
              <w:rPr>
                <w:spacing w:val="-2"/>
                <w:sz w:val="20"/>
              </w:rPr>
              <w:t>(fuc)</w:t>
            </w:r>
          </w:p>
        </w:tc>
      </w:tr>
      <w:tr>
        <w:trPr>
          <w:trHeight w:val="230" w:hRule="atLeast"/>
        </w:trPr>
        <w:tc>
          <w:tcPr>
            <w:tcW w:w="612" w:type="dxa"/>
          </w:tcPr>
          <w:p>
            <w:pPr>
              <w:pStyle w:val="TableParagraph"/>
              <w:ind w:left="50"/>
              <w:rPr>
                <w:sz w:val="20"/>
              </w:rPr>
            </w:pPr>
            <w:r>
              <w:rPr>
                <w:spacing w:val="-4"/>
                <w:sz w:val="20"/>
              </w:rPr>
              <w:t>5696</w:t>
            </w:r>
          </w:p>
        </w:tc>
        <w:tc>
          <w:tcPr>
            <w:tcW w:w="3703" w:type="dxa"/>
          </w:tcPr>
          <w:p>
            <w:pPr>
              <w:pStyle w:val="TableParagraph"/>
              <w:ind w:left="158"/>
              <w:rPr>
                <w:sz w:val="20"/>
              </w:rPr>
            </w:pPr>
            <w:r>
              <w:rPr>
                <w:sz w:val="20"/>
              </w:rPr>
              <w:t>Fe'fe'</w:t>
            </w:r>
            <w:r>
              <w:rPr>
                <w:spacing w:val="-7"/>
                <w:sz w:val="20"/>
              </w:rPr>
              <w:t> </w:t>
            </w:r>
            <w:r>
              <w:rPr>
                <w:spacing w:val="-4"/>
                <w:sz w:val="20"/>
              </w:rPr>
              <w:t>(fmp)</w:t>
            </w:r>
          </w:p>
        </w:tc>
        <w:tc>
          <w:tcPr>
            <w:tcW w:w="1627" w:type="dxa"/>
          </w:tcPr>
          <w:p>
            <w:pPr>
              <w:pStyle w:val="TableParagraph"/>
              <w:ind w:right="157"/>
              <w:jc w:val="right"/>
              <w:rPr>
                <w:sz w:val="20"/>
              </w:rPr>
            </w:pPr>
            <w:r>
              <w:rPr>
                <w:spacing w:val="-4"/>
                <w:sz w:val="20"/>
              </w:rPr>
              <w:t>5946</w:t>
            </w:r>
          </w:p>
        </w:tc>
        <w:tc>
          <w:tcPr>
            <w:tcW w:w="2962" w:type="dxa"/>
          </w:tcPr>
          <w:p>
            <w:pPr>
              <w:pStyle w:val="TableParagraph"/>
              <w:ind w:left="157"/>
              <w:rPr>
                <w:sz w:val="20"/>
              </w:rPr>
            </w:pPr>
            <w:r>
              <w:rPr>
                <w:sz w:val="20"/>
              </w:rPr>
              <w:t>Pular</w:t>
            </w:r>
            <w:r>
              <w:rPr>
                <w:spacing w:val="-5"/>
                <w:sz w:val="20"/>
              </w:rPr>
              <w:t> </w:t>
            </w:r>
            <w:r>
              <w:rPr>
                <w:spacing w:val="-2"/>
                <w:sz w:val="20"/>
              </w:rPr>
              <w:t>(fuf)</w:t>
            </w:r>
          </w:p>
        </w:tc>
      </w:tr>
      <w:tr>
        <w:trPr>
          <w:trHeight w:val="230" w:hRule="atLeast"/>
        </w:trPr>
        <w:tc>
          <w:tcPr>
            <w:tcW w:w="612" w:type="dxa"/>
          </w:tcPr>
          <w:p>
            <w:pPr>
              <w:pStyle w:val="TableParagraph"/>
              <w:ind w:left="50"/>
              <w:rPr>
                <w:sz w:val="20"/>
              </w:rPr>
            </w:pPr>
            <w:r>
              <w:rPr>
                <w:spacing w:val="-4"/>
                <w:sz w:val="20"/>
              </w:rPr>
              <w:t>5700</w:t>
            </w:r>
          </w:p>
        </w:tc>
        <w:tc>
          <w:tcPr>
            <w:tcW w:w="3703" w:type="dxa"/>
          </w:tcPr>
          <w:p>
            <w:pPr>
              <w:pStyle w:val="TableParagraph"/>
              <w:ind w:left="158"/>
              <w:rPr>
                <w:sz w:val="20"/>
              </w:rPr>
            </w:pPr>
            <w:r>
              <w:rPr>
                <w:sz w:val="20"/>
              </w:rPr>
              <w:t>Mengaka</w:t>
            </w:r>
            <w:r>
              <w:rPr>
                <w:spacing w:val="-12"/>
                <w:sz w:val="20"/>
              </w:rPr>
              <w:t> </w:t>
            </w:r>
            <w:r>
              <w:rPr>
                <w:spacing w:val="-2"/>
                <w:sz w:val="20"/>
              </w:rPr>
              <w:t>(xmg)</w:t>
            </w:r>
          </w:p>
        </w:tc>
        <w:tc>
          <w:tcPr>
            <w:tcW w:w="1627" w:type="dxa"/>
          </w:tcPr>
          <w:p>
            <w:pPr>
              <w:pStyle w:val="TableParagraph"/>
              <w:ind w:right="157"/>
              <w:jc w:val="right"/>
              <w:rPr>
                <w:sz w:val="20"/>
              </w:rPr>
            </w:pPr>
            <w:r>
              <w:rPr>
                <w:spacing w:val="-4"/>
                <w:sz w:val="20"/>
              </w:rPr>
              <w:t>5950</w:t>
            </w:r>
          </w:p>
        </w:tc>
        <w:tc>
          <w:tcPr>
            <w:tcW w:w="2962" w:type="dxa"/>
          </w:tcPr>
          <w:p>
            <w:pPr>
              <w:pStyle w:val="TableParagraph"/>
              <w:ind w:left="157"/>
              <w:rPr>
                <w:sz w:val="20"/>
              </w:rPr>
            </w:pPr>
            <w:r>
              <w:rPr>
                <w:sz w:val="20"/>
              </w:rPr>
              <w:t>Wolof</w:t>
            </w:r>
            <w:r>
              <w:rPr>
                <w:spacing w:val="-6"/>
                <w:sz w:val="20"/>
              </w:rPr>
              <w:t> </w:t>
            </w:r>
            <w:r>
              <w:rPr>
                <w:spacing w:val="-2"/>
                <w:sz w:val="20"/>
              </w:rPr>
              <w:t>(wol)</w:t>
            </w:r>
          </w:p>
        </w:tc>
      </w:tr>
      <w:tr>
        <w:trPr>
          <w:trHeight w:val="230" w:hRule="atLeast"/>
        </w:trPr>
        <w:tc>
          <w:tcPr>
            <w:tcW w:w="612" w:type="dxa"/>
          </w:tcPr>
          <w:p>
            <w:pPr>
              <w:pStyle w:val="TableParagraph"/>
              <w:ind w:left="50"/>
              <w:rPr>
                <w:sz w:val="20"/>
              </w:rPr>
            </w:pPr>
            <w:r>
              <w:rPr>
                <w:spacing w:val="-4"/>
                <w:sz w:val="20"/>
              </w:rPr>
              <w:t>5705</w:t>
            </w:r>
          </w:p>
        </w:tc>
        <w:tc>
          <w:tcPr>
            <w:tcW w:w="3703" w:type="dxa"/>
          </w:tcPr>
          <w:p>
            <w:pPr>
              <w:pStyle w:val="TableParagraph"/>
              <w:ind w:left="158"/>
              <w:rPr>
                <w:sz w:val="20"/>
              </w:rPr>
            </w:pPr>
            <w:r>
              <w:rPr>
                <w:sz w:val="20"/>
              </w:rPr>
              <w:t>Ngiemboon</w:t>
            </w:r>
            <w:r>
              <w:rPr>
                <w:spacing w:val="-9"/>
                <w:sz w:val="20"/>
              </w:rPr>
              <w:t> </w:t>
            </w:r>
            <w:r>
              <w:rPr>
                <w:spacing w:val="-2"/>
                <w:sz w:val="20"/>
              </w:rPr>
              <w:t>(nnh)</w:t>
            </w:r>
          </w:p>
        </w:tc>
        <w:tc>
          <w:tcPr>
            <w:tcW w:w="1627" w:type="dxa"/>
          </w:tcPr>
          <w:p>
            <w:pPr>
              <w:pStyle w:val="TableParagraph"/>
              <w:spacing w:line="240" w:lineRule="auto"/>
              <w:rPr>
                <w:sz w:val="16"/>
              </w:rPr>
            </w:pPr>
          </w:p>
        </w:tc>
        <w:tc>
          <w:tcPr>
            <w:tcW w:w="2962"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5710</w:t>
            </w:r>
          </w:p>
        </w:tc>
        <w:tc>
          <w:tcPr>
            <w:tcW w:w="3703" w:type="dxa"/>
          </w:tcPr>
          <w:p>
            <w:pPr>
              <w:pStyle w:val="TableParagraph"/>
              <w:spacing w:line="211" w:lineRule="exact"/>
              <w:ind w:left="158"/>
              <w:rPr>
                <w:sz w:val="20"/>
              </w:rPr>
            </w:pPr>
            <w:r>
              <w:rPr>
                <w:sz w:val="20"/>
              </w:rPr>
              <w:t>Ngwe</w:t>
            </w:r>
            <w:r>
              <w:rPr>
                <w:spacing w:val="-7"/>
                <w:sz w:val="20"/>
              </w:rPr>
              <w:t> </w:t>
            </w:r>
            <w:r>
              <w:rPr>
                <w:spacing w:val="-2"/>
                <w:sz w:val="20"/>
              </w:rPr>
              <w:t>(nwe)</w:t>
            </w:r>
          </w:p>
        </w:tc>
        <w:tc>
          <w:tcPr>
            <w:tcW w:w="1627" w:type="dxa"/>
          </w:tcPr>
          <w:p>
            <w:pPr>
              <w:pStyle w:val="TableParagraph"/>
              <w:spacing w:line="211" w:lineRule="exact"/>
              <w:ind w:right="157"/>
              <w:jc w:val="right"/>
              <w:rPr>
                <w:sz w:val="20"/>
              </w:rPr>
            </w:pPr>
            <w:r>
              <w:rPr>
                <w:spacing w:val="-4"/>
                <w:sz w:val="20"/>
              </w:rPr>
              <w:t>5960</w:t>
            </w:r>
          </w:p>
        </w:tc>
        <w:tc>
          <w:tcPr>
            <w:tcW w:w="2962" w:type="dxa"/>
          </w:tcPr>
          <w:p>
            <w:pPr>
              <w:pStyle w:val="TableParagraph"/>
              <w:spacing w:line="211" w:lineRule="exact"/>
              <w:ind w:left="157"/>
              <w:rPr>
                <w:sz w:val="20"/>
              </w:rPr>
            </w:pPr>
            <w:r>
              <w:rPr>
                <w:sz w:val="20"/>
              </w:rPr>
              <w:t>Serer</w:t>
            </w:r>
            <w:r>
              <w:rPr>
                <w:spacing w:val="-4"/>
                <w:sz w:val="20"/>
              </w:rPr>
              <w:t> </w:t>
            </w:r>
            <w:r>
              <w:rPr>
                <w:spacing w:val="-2"/>
                <w:sz w:val="20"/>
              </w:rPr>
              <w:t>(srr)</w:t>
            </w:r>
          </w:p>
        </w:tc>
      </w:tr>
      <w:tr>
        <w:trPr>
          <w:trHeight w:val="229" w:hRule="atLeast"/>
        </w:trPr>
        <w:tc>
          <w:tcPr>
            <w:tcW w:w="612" w:type="dxa"/>
          </w:tcPr>
          <w:p>
            <w:pPr>
              <w:pStyle w:val="TableParagraph"/>
              <w:spacing w:line="209" w:lineRule="exact"/>
              <w:ind w:left="50"/>
              <w:rPr>
                <w:sz w:val="20"/>
              </w:rPr>
            </w:pPr>
            <w:r>
              <w:rPr>
                <w:spacing w:val="-4"/>
                <w:sz w:val="20"/>
              </w:rPr>
              <w:t>5715</w:t>
            </w:r>
          </w:p>
        </w:tc>
        <w:tc>
          <w:tcPr>
            <w:tcW w:w="3703" w:type="dxa"/>
          </w:tcPr>
          <w:p>
            <w:pPr>
              <w:pStyle w:val="TableParagraph"/>
              <w:spacing w:line="209" w:lineRule="exact"/>
              <w:ind w:left="158"/>
              <w:rPr>
                <w:sz w:val="20"/>
              </w:rPr>
            </w:pPr>
            <w:r>
              <w:rPr>
                <w:sz w:val="20"/>
              </w:rPr>
              <w:t>Yemba</w:t>
            </w:r>
            <w:r>
              <w:rPr>
                <w:spacing w:val="-7"/>
                <w:sz w:val="20"/>
              </w:rPr>
              <w:t> </w:t>
            </w:r>
            <w:r>
              <w:rPr>
                <w:spacing w:val="-2"/>
                <w:sz w:val="20"/>
              </w:rPr>
              <w:t>(ybb)</w:t>
            </w:r>
          </w:p>
        </w:tc>
        <w:tc>
          <w:tcPr>
            <w:tcW w:w="1627" w:type="dxa"/>
          </w:tcPr>
          <w:p>
            <w:pPr>
              <w:pStyle w:val="TableParagraph"/>
              <w:spacing w:line="209" w:lineRule="exact"/>
              <w:ind w:right="157"/>
              <w:jc w:val="right"/>
              <w:rPr>
                <w:sz w:val="20"/>
              </w:rPr>
            </w:pPr>
            <w:r>
              <w:rPr>
                <w:spacing w:val="-4"/>
                <w:sz w:val="20"/>
              </w:rPr>
              <w:t>5965</w:t>
            </w:r>
          </w:p>
        </w:tc>
        <w:tc>
          <w:tcPr>
            <w:tcW w:w="2962" w:type="dxa"/>
          </w:tcPr>
          <w:p>
            <w:pPr>
              <w:pStyle w:val="TableParagraph"/>
              <w:spacing w:line="209" w:lineRule="exact"/>
              <w:ind w:left="157"/>
              <w:rPr>
                <w:sz w:val="20"/>
              </w:rPr>
            </w:pPr>
            <w:r>
              <w:rPr>
                <w:sz w:val="20"/>
              </w:rPr>
              <w:t>Wamey</w:t>
            </w:r>
            <w:r>
              <w:rPr>
                <w:spacing w:val="-9"/>
                <w:sz w:val="20"/>
              </w:rPr>
              <w:t> </w:t>
            </w:r>
            <w:r>
              <w:rPr>
                <w:spacing w:val="-2"/>
                <w:sz w:val="20"/>
              </w:rPr>
              <w:t>(cou)</w:t>
            </w:r>
          </w:p>
        </w:tc>
      </w:tr>
      <w:tr>
        <w:trPr>
          <w:trHeight w:val="229" w:hRule="atLeast"/>
        </w:trPr>
        <w:tc>
          <w:tcPr>
            <w:tcW w:w="612" w:type="dxa"/>
          </w:tcPr>
          <w:p>
            <w:pPr>
              <w:pStyle w:val="TableParagraph"/>
              <w:spacing w:line="209" w:lineRule="exact"/>
              <w:ind w:left="50"/>
              <w:rPr>
                <w:sz w:val="20"/>
              </w:rPr>
            </w:pPr>
            <w:r>
              <w:rPr>
                <w:spacing w:val="-4"/>
                <w:sz w:val="20"/>
              </w:rPr>
              <w:t>5720</w:t>
            </w:r>
          </w:p>
        </w:tc>
        <w:tc>
          <w:tcPr>
            <w:tcW w:w="3703" w:type="dxa"/>
          </w:tcPr>
          <w:p>
            <w:pPr>
              <w:pStyle w:val="TableParagraph"/>
              <w:spacing w:line="209" w:lineRule="exact"/>
              <w:ind w:left="158"/>
              <w:rPr>
                <w:sz w:val="20"/>
              </w:rPr>
            </w:pPr>
            <w:r>
              <w:rPr>
                <w:sz w:val="20"/>
              </w:rPr>
              <w:t>Bafut</w:t>
            </w:r>
            <w:r>
              <w:rPr>
                <w:spacing w:val="-9"/>
                <w:sz w:val="20"/>
              </w:rPr>
              <w:t> </w:t>
            </w:r>
            <w:r>
              <w:rPr>
                <w:spacing w:val="-2"/>
                <w:sz w:val="20"/>
              </w:rPr>
              <w:t>(bfd)</w:t>
            </w:r>
          </w:p>
        </w:tc>
        <w:tc>
          <w:tcPr>
            <w:tcW w:w="1627" w:type="dxa"/>
          </w:tcPr>
          <w:p>
            <w:pPr>
              <w:pStyle w:val="TableParagraph"/>
              <w:spacing w:line="209" w:lineRule="exact"/>
              <w:ind w:right="157"/>
              <w:jc w:val="right"/>
              <w:rPr>
                <w:sz w:val="20"/>
              </w:rPr>
            </w:pPr>
            <w:r>
              <w:rPr>
                <w:spacing w:val="-4"/>
                <w:sz w:val="20"/>
              </w:rPr>
              <w:t>5970</w:t>
            </w:r>
          </w:p>
        </w:tc>
        <w:tc>
          <w:tcPr>
            <w:tcW w:w="2962" w:type="dxa"/>
          </w:tcPr>
          <w:p>
            <w:pPr>
              <w:pStyle w:val="TableParagraph"/>
              <w:spacing w:line="209" w:lineRule="exact"/>
              <w:ind w:left="157"/>
              <w:rPr>
                <w:sz w:val="20"/>
              </w:rPr>
            </w:pPr>
            <w:r>
              <w:rPr>
                <w:spacing w:val="-2"/>
                <w:sz w:val="20"/>
              </w:rPr>
              <w:t>Balanta-Kentohe</w:t>
            </w:r>
            <w:r>
              <w:rPr>
                <w:spacing w:val="15"/>
                <w:sz w:val="20"/>
              </w:rPr>
              <w:t> </w:t>
            </w:r>
            <w:r>
              <w:rPr>
                <w:spacing w:val="-4"/>
                <w:sz w:val="20"/>
              </w:rPr>
              <w:t>(ble)</w:t>
            </w:r>
          </w:p>
        </w:tc>
      </w:tr>
      <w:tr>
        <w:trPr>
          <w:trHeight w:val="230" w:hRule="atLeast"/>
        </w:trPr>
        <w:tc>
          <w:tcPr>
            <w:tcW w:w="612" w:type="dxa"/>
          </w:tcPr>
          <w:p>
            <w:pPr>
              <w:pStyle w:val="TableParagraph"/>
              <w:ind w:left="50"/>
              <w:rPr>
                <w:sz w:val="20"/>
              </w:rPr>
            </w:pPr>
            <w:r>
              <w:rPr>
                <w:spacing w:val="-4"/>
                <w:sz w:val="20"/>
              </w:rPr>
              <w:t>5721</w:t>
            </w:r>
          </w:p>
        </w:tc>
        <w:tc>
          <w:tcPr>
            <w:tcW w:w="3703" w:type="dxa"/>
          </w:tcPr>
          <w:p>
            <w:pPr>
              <w:pStyle w:val="TableParagraph"/>
              <w:ind w:left="158"/>
              <w:rPr>
                <w:sz w:val="20"/>
              </w:rPr>
            </w:pPr>
            <w:r>
              <w:rPr>
                <w:spacing w:val="-2"/>
                <w:sz w:val="20"/>
              </w:rPr>
              <w:t>Bambili-Bambui</w:t>
            </w:r>
            <w:r>
              <w:rPr>
                <w:spacing w:val="10"/>
                <w:sz w:val="20"/>
              </w:rPr>
              <w:t> </w:t>
            </w:r>
            <w:r>
              <w:rPr>
                <w:spacing w:val="-4"/>
                <w:sz w:val="20"/>
              </w:rPr>
              <w:t>(baw)</w:t>
            </w:r>
          </w:p>
        </w:tc>
        <w:tc>
          <w:tcPr>
            <w:tcW w:w="1627" w:type="dxa"/>
          </w:tcPr>
          <w:p>
            <w:pPr>
              <w:pStyle w:val="TableParagraph"/>
              <w:ind w:right="157"/>
              <w:jc w:val="right"/>
              <w:rPr>
                <w:sz w:val="20"/>
              </w:rPr>
            </w:pPr>
            <w:r>
              <w:rPr>
                <w:spacing w:val="-4"/>
                <w:sz w:val="20"/>
              </w:rPr>
              <w:t>5975</w:t>
            </w:r>
          </w:p>
        </w:tc>
        <w:tc>
          <w:tcPr>
            <w:tcW w:w="2962" w:type="dxa"/>
          </w:tcPr>
          <w:p>
            <w:pPr>
              <w:pStyle w:val="TableParagraph"/>
              <w:ind w:left="157"/>
              <w:rPr>
                <w:sz w:val="20"/>
              </w:rPr>
            </w:pPr>
            <w:r>
              <w:rPr>
                <w:sz w:val="20"/>
              </w:rPr>
              <w:t>Jola-Fonyi</w:t>
            </w:r>
            <w:r>
              <w:rPr>
                <w:spacing w:val="-11"/>
                <w:sz w:val="20"/>
              </w:rPr>
              <w:t> </w:t>
            </w:r>
            <w:r>
              <w:rPr>
                <w:spacing w:val="-2"/>
                <w:sz w:val="20"/>
              </w:rPr>
              <w:t>(dyo)</w:t>
            </w:r>
          </w:p>
        </w:tc>
      </w:tr>
      <w:tr>
        <w:trPr>
          <w:trHeight w:val="230" w:hRule="atLeast"/>
        </w:trPr>
        <w:tc>
          <w:tcPr>
            <w:tcW w:w="612" w:type="dxa"/>
          </w:tcPr>
          <w:p>
            <w:pPr>
              <w:pStyle w:val="TableParagraph"/>
              <w:ind w:left="50"/>
              <w:rPr>
                <w:sz w:val="20"/>
              </w:rPr>
            </w:pPr>
            <w:r>
              <w:rPr>
                <w:spacing w:val="-4"/>
                <w:sz w:val="20"/>
              </w:rPr>
              <w:t>5725</w:t>
            </w:r>
          </w:p>
        </w:tc>
        <w:tc>
          <w:tcPr>
            <w:tcW w:w="3703" w:type="dxa"/>
          </w:tcPr>
          <w:p>
            <w:pPr>
              <w:pStyle w:val="TableParagraph"/>
              <w:ind w:left="158"/>
              <w:rPr>
                <w:sz w:val="20"/>
              </w:rPr>
            </w:pPr>
            <w:r>
              <w:rPr>
                <w:spacing w:val="-2"/>
                <w:sz w:val="20"/>
              </w:rPr>
              <w:t>Mendankwe-Nkwen</w:t>
            </w:r>
            <w:r>
              <w:rPr>
                <w:spacing w:val="11"/>
                <w:sz w:val="20"/>
              </w:rPr>
              <w:t> </w:t>
            </w:r>
            <w:r>
              <w:rPr>
                <w:spacing w:val="-4"/>
                <w:sz w:val="20"/>
              </w:rPr>
              <w:t>(mfd)</w:t>
            </w:r>
          </w:p>
        </w:tc>
        <w:tc>
          <w:tcPr>
            <w:tcW w:w="1627" w:type="dxa"/>
          </w:tcPr>
          <w:p>
            <w:pPr>
              <w:pStyle w:val="TableParagraph"/>
              <w:ind w:right="157"/>
              <w:jc w:val="right"/>
              <w:rPr>
                <w:sz w:val="20"/>
              </w:rPr>
            </w:pPr>
            <w:r>
              <w:rPr>
                <w:spacing w:val="-4"/>
                <w:sz w:val="20"/>
              </w:rPr>
              <w:t>5980</w:t>
            </w:r>
          </w:p>
        </w:tc>
        <w:tc>
          <w:tcPr>
            <w:tcW w:w="2962" w:type="dxa"/>
          </w:tcPr>
          <w:p>
            <w:pPr>
              <w:pStyle w:val="TableParagraph"/>
              <w:ind w:left="157"/>
              <w:rPr>
                <w:sz w:val="20"/>
              </w:rPr>
            </w:pPr>
            <w:r>
              <w:rPr>
                <w:sz w:val="20"/>
              </w:rPr>
              <w:t>Mandjak</w:t>
            </w:r>
            <w:r>
              <w:rPr>
                <w:spacing w:val="-8"/>
                <w:sz w:val="20"/>
              </w:rPr>
              <w:t> </w:t>
            </w:r>
            <w:r>
              <w:rPr>
                <w:spacing w:val="-2"/>
                <w:sz w:val="20"/>
              </w:rPr>
              <w:t>(mfv)</w:t>
            </w:r>
          </w:p>
        </w:tc>
      </w:tr>
      <w:tr>
        <w:trPr>
          <w:trHeight w:val="230" w:hRule="atLeast"/>
        </w:trPr>
        <w:tc>
          <w:tcPr>
            <w:tcW w:w="612" w:type="dxa"/>
          </w:tcPr>
          <w:p>
            <w:pPr>
              <w:pStyle w:val="TableParagraph"/>
              <w:ind w:left="50"/>
              <w:rPr>
                <w:sz w:val="20"/>
              </w:rPr>
            </w:pPr>
            <w:r>
              <w:rPr>
                <w:spacing w:val="-4"/>
                <w:sz w:val="20"/>
              </w:rPr>
              <w:t>5730</w:t>
            </w:r>
          </w:p>
        </w:tc>
        <w:tc>
          <w:tcPr>
            <w:tcW w:w="3703" w:type="dxa"/>
          </w:tcPr>
          <w:p>
            <w:pPr>
              <w:pStyle w:val="TableParagraph"/>
              <w:ind w:left="158"/>
              <w:rPr>
                <w:sz w:val="20"/>
              </w:rPr>
            </w:pPr>
            <w:r>
              <w:rPr>
                <w:sz w:val="20"/>
              </w:rPr>
              <w:t>Ngemba</w:t>
            </w:r>
            <w:r>
              <w:rPr>
                <w:spacing w:val="-9"/>
                <w:sz w:val="20"/>
              </w:rPr>
              <w:t> </w:t>
            </w:r>
            <w:r>
              <w:rPr>
                <w:spacing w:val="-2"/>
                <w:sz w:val="20"/>
              </w:rPr>
              <w:t>(nge)</w:t>
            </w:r>
          </w:p>
        </w:tc>
        <w:tc>
          <w:tcPr>
            <w:tcW w:w="1627" w:type="dxa"/>
          </w:tcPr>
          <w:p>
            <w:pPr>
              <w:pStyle w:val="TableParagraph"/>
              <w:ind w:right="157"/>
              <w:jc w:val="right"/>
              <w:rPr>
                <w:sz w:val="20"/>
              </w:rPr>
            </w:pPr>
            <w:r>
              <w:rPr>
                <w:spacing w:val="-4"/>
                <w:sz w:val="20"/>
              </w:rPr>
              <w:t>5985</w:t>
            </w:r>
          </w:p>
        </w:tc>
        <w:tc>
          <w:tcPr>
            <w:tcW w:w="2962" w:type="dxa"/>
          </w:tcPr>
          <w:p>
            <w:pPr>
              <w:pStyle w:val="TableParagraph"/>
              <w:ind w:left="157"/>
              <w:rPr>
                <w:sz w:val="20"/>
              </w:rPr>
            </w:pPr>
            <w:r>
              <w:rPr>
                <w:sz w:val="20"/>
              </w:rPr>
              <w:t>Gola</w:t>
            </w:r>
            <w:r>
              <w:rPr>
                <w:spacing w:val="-3"/>
                <w:sz w:val="20"/>
              </w:rPr>
              <w:t> </w:t>
            </w:r>
            <w:r>
              <w:rPr>
                <w:spacing w:val="-2"/>
                <w:sz w:val="20"/>
              </w:rPr>
              <w:t>(gol)</w:t>
            </w:r>
          </w:p>
        </w:tc>
      </w:tr>
      <w:tr>
        <w:trPr>
          <w:trHeight w:val="230" w:hRule="atLeast"/>
        </w:trPr>
        <w:tc>
          <w:tcPr>
            <w:tcW w:w="612" w:type="dxa"/>
          </w:tcPr>
          <w:p>
            <w:pPr>
              <w:pStyle w:val="TableParagraph"/>
              <w:ind w:left="50"/>
              <w:rPr>
                <w:sz w:val="20"/>
              </w:rPr>
            </w:pPr>
            <w:r>
              <w:rPr>
                <w:spacing w:val="-4"/>
                <w:sz w:val="20"/>
              </w:rPr>
              <w:t>5735</w:t>
            </w:r>
          </w:p>
        </w:tc>
        <w:tc>
          <w:tcPr>
            <w:tcW w:w="3703" w:type="dxa"/>
          </w:tcPr>
          <w:p>
            <w:pPr>
              <w:pStyle w:val="TableParagraph"/>
              <w:ind w:left="158"/>
              <w:rPr>
                <w:sz w:val="20"/>
              </w:rPr>
            </w:pPr>
            <w:r>
              <w:rPr>
                <w:sz w:val="20"/>
              </w:rPr>
              <w:t>Pinyin</w:t>
            </w:r>
            <w:r>
              <w:rPr>
                <w:spacing w:val="-8"/>
                <w:sz w:val="20"/>
              </w:rPr>
              <w:t> </w:t>
            </w:r>
            <w:r>
              <w:rPr>
                <w:spacing w:val="-2"/>
                <w:sz w:val="20"/>
              </w:rPr>
              <w:t>(pny)</w:t>
            </w:r>
          </w:p>
        </w:tc>
        <w:tc>
          <w:tcPr>
            <w:tcW w:w="1627" w:type="dxa"/>
          </w:tcPr>
          <w:p>
            <w:pPr>
              <w:pStyle w:val="TableParagraph"/>
              <w:ind w:right="157"/>
              <w:jc w:val="right"/>
              <w:rPr>
                <w:sz w:val="20"/>
              </w:rPr>
            </w:pPr>
            <w:r>
              <w:rPr>
                <w:spacing w:val="-4"/>
                <w:sz w:val="20"/>
              </w:rPr>
              <w:t>5990</w:t>
            </w:r>
          </w:p>
        </w:tc>
        <w:tc>
          <w:tcPr>
            <w:tcW w:w="2962" w:type="dxa"/>
          </w:tcPr>
          <w:p>
            <w:pPr>
              <w:pStyle w:val="TableParagraph"/>
              <w:ind w:left="157"/>
              <w:rPr>
                <w:sz w:val="20"/>
              </w:rPr>
            </w:pPr>
            <w:r>
              <w:rPr>
                <w:sz w:val="20"/>
              </w:rPr>
              <w:t>Krim</w:t>
            </w:r>
            <w:r>
              <w:rPr>
                <w:spacing w:val="-7"/>
                <w:sz w:val="20"/>
              </w:rPr>
              <w:t> </w:t>
            </w:r>
            <w:r>
              <w:rPr>
                <w:spacing w:val="-2"/>
                <w:sz w:val="20"/>
              </w:rPr>
              <w:t>(krm)</w:t>
            </w:r>
          </w:p>
        </w:tc>
      </w:tr>
      <w:tr>
        <w:trPr>
          <w:trHeight w:val="229" w:hRule="atLeast"/>
        </w:trPr>
        <w:tc>
          <w:tcPr>
            <w:tcW w:w="612" w:type="dxa"/>
          </w:tcPr>
          <w:p>
            <w:pPr>
              <w:pStyle w:val="TableParagraph"/>
              <w:spacing w:line="209" w:lineRule="exact"/>
              <w:ind w:left="50"/>
              <w:rPr>
                <w:sz w:val="20"/>
              </w:rPr>
            </w:pPr>
            <w:r>
              <w:rPr>
                <w:spacing w:val="-4"/>
                <w:sz w:val="20"/>
              </w:rPr>
              <w:t>5740</w:t>
            </w:r>
          </w:p>
        </w:tc>
        <w:tc>
          <w:tcPr>
            <w:tcW w:w="3703" w:type="dxa"/>
          </w:tcPr>
          <w:p>
            <w:pPr>
              <w:pStyle w:val="TableParagraph"/>
              <w:spacing w:line="209" w:lineRule="exact"/>
              <w:ind w:left="158"/>
              <w:rPr>
                <w:sz w:val="20"/>
              </w:rPr>
            </w:pPr>
            <w:r>
              <w:rPr>
                <w:sz w:val="20"/>
              </w:rPr>
              <w:t>Limbum</w:t>
            </w:r>
            <w:r>
              <w:rPr>
                <w:spacing w:val="-9"/>
                <w:sz w:val="20"/>
              </w:rPr>
              <w:t> </w:t>
            </w:r>
            <w:r>
              <w:rPr>
                <w:spacing w:val="-2"/>
                <w:sz w:val="20"/>
              </w:rPr>
              <w:t>(lmp)</w:t>
            </w:r>
          </w:p>
        </w:tc>
        <w:tc>
          <w:tcPr>
            <w:tcW w:w="1627" w:type="dxa"/>
          </w:tcPr>
          <w:p>
            <w:pPr>
              <w:pStyle w:val="TableParagraph"/>
              <w:spacing w:line="209" w:lineRule="exact"/>
              <w:ind w:right="157"/>
              <w:jc w:val="right"/>
              <w:rPr>
                <w:sz w:val="20"/>
              </w:rPr>
            </w:pPr>
            <w:r>
              <w:rPr>
                <w:spacing w:val="-4"/>
                <w:sz w:val="20"/>
              </w:rPr>
              <w:t>5995</w:t>
            </w:r>
          </w:p>
        </w:tc>
        <w:tc>
          <w:tcPr>
            <w:tcW w:w="2962" w:type="dxa"/>
          </w:tcPr>
          <w:p>
            <w:pPr>
              <w:pStyle w:val="TableParagraph"/>
              <w:spacing w:line="209" w:lineRule="exact"/>
              <w:ind w:left="157"/>
              <w:rPr>
                <w:sz w:val="20"/>
              </w:rPr>
            </w:pPr>
            <w:r>
              <w:rPr>
                <w:sz w:val="20"/>
              </w:rPr>
              <w:t>Southern</w:t>
            </w:r>
            <w:r>
              <w:rPr>
                <w:spacing w:val="-7"/>
                <w:sz w:val="20"/>
              </w:rPr>
              <w:t> </w:t>
            </w:r>
            <w:r>
              <w:rPr>
                <w:sz w:val="20"/>
              </w:rPr>
              <w:t>Kisi</w:t>
            </w:r>
            <w:r>
              <w:rPr>
                <w:spacing w:val="-4"/>
                <w:sz w:val="20"/>
              </w:rPr>
              <w:t> (kss)</w:t>
            </w:r>
          </w:p>
        </w:tc>
      </w:tr>
      <w:tr>
        <w:trPr>
          <w:trHeight w:val="229" w:hRule="atLeast"/>
        </w:trPr>
        <w:tc>
          <w:tcPr>
            <w:tcW w:w="612" w:type="dxa"/>
          </w:tcPr>
          <w:p>
            <w:pPr>
              <w:pStyle w:val="TableParagraph"/>
              <w:spacing w:line="209" w:lineRule="exact"/>
              <w:ind w:left="50"/>
              <w:rPr>
                <w:sz w:val="20"/>
              </w:rPr>
            </w:pPr>
            <w:r>
              <w:rPr>
                <w:spacing w:val="-4"/>
                <w:sz w:val="20"/>
              </w:rPr>
              <w:t>5745</w:t>
            </w:r>
          </w:p>
        </w:tc>
        <w:tc>
          <w:tcPr>
            <w:tcW w:w="3703" w:type="dxa"/>
          </w:tcPr>
          <w:p>
            <w:pPr>
              <w:pStyle w:val="TableParagraph"/>
              <w:spacing w:line="209" w:lineRule="exact"/>
              <w:ind w:left="158"/>
              <w:rPr>
                <w:sz w:val="20"/>
              </w:rPr>
            </w:pPr>
            <w:r>
              <w:rPr>
                <w:sz w:val="20"/>
              </w:rPr>
              <w:t>Bamali</w:t>
            </w:r>
            <w:r>
              <w:rPr>
                <w:spacing w:val="-8"/>
                <w:sz w:val="20"/>
              </w:rPr>
              <w:t> </w:t>
            </w:r>
            <w:r>
              <w:rPr>
                <w:spacing w:val="-2"/>
                <w:sz w:val="20"/>
              </w:rPr>
              <w:t>(bbq)</w:t>
            </w:r>
          </w:p>
        </w:tc>
        <w:tc>
          <w:tcPr>
            <w:tcW w:w="1627" w:type="dxa"/>
          </w:tcPr>
          <w:p>
            <w:pPr>
              <w:pStyle w:val="TableParagraph"/>
              <w:spacing w:line="209" w:lineRule="exact"/>
              <w:ind w:right="157"/>
              <w:jc w:val="right"/>
              <w:rPr>
                <w:sz w:val="20"/>
              </w:rPr>
            </w:pPr>
            <w:r>
              <w:rPr>
                <w:spacing w:val="-4"/>
                <w:sz w:val="20"/>
              </w:rPr>
              <w:t>6000</w:t>
            </w:r>
          </w:p>
        </w:tc>
        <w:tc>
          <w:tcPr>
            <w:tcW w:w="2962" w:type="dxa"/>
          </w:tcPr>
          <w:p>
            <w:pPr>
              <w:pStyle w:val="TableParagraph"/>
              <w:spacing w:line="209" w:lineRule="exact"/>
              <w:ind w:left="157"/>
              <w:rPr>
                <w:sz w:val="20"/>
              </w:rPr>
            </w:pPr>
            <w:r>
              <w:rPr>
                <w:sz w:val="20"/>
              </w:rPr>
              <w:t>Timne</w:t>
            </w:r>
            <w:r>
              <w:rPr>
                <w:spacing w:val="-8"/>
                <w:sz w:val="20"/>
              </w:rPr>
              <w:t> </w:t>
            </w:r>
            <w:r>
              <w:rPr>
                <w:spacing w:val="-2"/>
                <w:sz w:val="20"/>
              </w:rPr>
              <w:t>(tem)</w:t>
            </w:r>
          </w:p>
        </w:tc>
      </w:tr>
      <w:tr>
        <w:trPr>
          <w:trHeight w:val="230" w:hRule="atLeast"/>
        </w:trPr>
        <w:tc>
          <w:tcPr>
            <w:tcW w:w="612" w:type="dxa"/>
          </w:tcPr>
          <w:p>
            <w:pPr>
              <w:pStyle w:val="TableParagraph"/>
              <w:ind w:left="50"/>
              <w:rPr>
                <w:sz w:val="20"/>
              </w:rPr>
            </w:pPr>
            <w:r>
              <w:rPr>
                <w:spacing w:val="-4"/>
                <w:sz w:val="20"/>
              </w:rPr>
              <w:t>5750</w:t>
            </w:r>
          </w:p>
        </w:tc>
        <w:tc>
          <w:tcPr>
            <w:tcW w:w="3703" w:type="dxa"/>
          </w:tcPr>
          <w:p>
            <w:pPr>
              <w:pStyle w:val="TableParagraph"/>
              <w:ind w:left="158"/>
              <w:rPr>
                <w:sz w:val="20"/>
              </w:rPr>
            </w:pPr>
            <w:r>
              <w:rPr>
                <w:sz w:val="20"/>
              </w:rPr>
              <w:t>Bamun</w:t>
            </w:r>
            <w:r>
              <w:rPr>
                <w:spacing w:val="-6"/>
                <w:sz w:val="20"/>
              </w:rPr>
              <w:t> </w:t>
            </w:r>
            <w:r>
              <w:rPr>
                <w:spacing w:val="-2"/>
                <w:sz w:val="20"/>
              </w:rPr>
              <w:t>(bax)</w:t>
            </w:r>
          </w:p>
        </w:tc>
        <w:tc>
          <w:tcPr>
            <w:tcW w:w="1627" w:type="dxa"/>
          </w:tcPr>
          <w:p>
            <w:pPr>
              <w:pStyle w:val="TableParagraph"/>
              <w:ind w:right="157"/>
              <w:jc w:val="right"/>
              <w:rPr>
                <w:sz w:val="20"/>
              </w:rPr>
            </w:pPr>
            <w:r>
              <w:rPr>
                <w:spacing w:val="-4"/>
                <w:sz w:val="20"/>
              </w:rPr>
              <w:t>6005</w:t>
            </w:r>
          </w:p>
        </w:tc>
        <w:tc>
          <w:tcPr>
            <w:tcW w:w="2962" w:type="dxa"/>
          </w:tcPr>
          <w:p>
            <w:pPr>
              <w:pStyle w:val="TableParagraph"/>
              <w:ind w:left="157"/>
              <w:rPr>
                <w:sz w:val="20"/>
              </w:rPr>
            </w:pPr>
            <w:r>
              <w:rPr>
                <w:sz w:val="20"/>
              </w:rPr>
              <w:t>West-Central</w:t>
            </w:r>
            <w:r>
              <w:rPr>
                <w:spacing w:val="-8"/>
                <w:sz w:val="20"/>
              </w:rPr>
              <w:t> </w:t>
            </w:r>
            <w:r>
              <w:rPr>
                <w:sz w:val="20"/>
              </w:rPr>
              <w:t>Limba</w:t>
            </w:r>
            <w:r>
              <w:rPr>
                <w:spacing w:val="-9"/>
                <w:sz w:val="20"/>
              </w:rPr>
              <w:t> </w:t>
            </w:r>
            <w:r>
              <w:rPr>
                <w:spacing w:val="-2"/>
                <w:sz w:val="20"/>
              </w:rPr>
              <w:t>(lia)</w:t>
            </w:r>
          </w:p>
        </w:tc>
      </w:tr>
      <w:tr>
        <w:trPr>
          <w:trHeight w:val="230" w:hRule="atLeast"/>
        </w:trPr>
        <w:tc>
          <w:tcPr>
            <w:tcW w:w="612" w:type="dxa"/>
          </w:tcPr>
          <w:p>
            <w:pPr>
              <w:pStyle w:val="TableParagraph"/>
              <w:ind w:left="50"/>
              <w:rPr>
                <w:sz w:val="20"/>
              </w:rPr>
            </w:pPr>
            <w:r>
              <w:rPr>
                <w:spacing w:val="-4"/>
                <w:sz w:val="20"/>
              </w:rPr>
              <w:t>5755</w:t>
            </w:r>
          </w:p>
        </w:tc>
        <w:tc>
          <w:tcPr>
            <w:tcW w:w="3703" w:type="dxa"/>
          </w:tcPr>
          <w:p>
            <w:pPr>
              <w:pStyle w:val="TableParagraph"/>
              <w:ind w:left="158"/>
              <w:rPr>
                <w:sz w:val="20"/>
              </w:rPr>
            </w:pPr>
            <w:r>
              <w:rPr>
                <w:sz w:val="20"/>
              </w:rPr>
              <w:t>Medumba</w:t>
            </w:r>
            <w:r>
              <w:rPr>
                <w:spacing w:val="-10"/>
                <w:sz w:val="20"/>
              </w:rPr>
              <w:t> </w:t>
            </w:r>
            <w:r>
              <w:rPr>
                <w:spacing w:val="-2"/>
                <w:sz w:val="20"/>
              </w:rPr>
              <w:t>(byv)</w:t>
            </w:r>
          </w:p>
        </w:tc>
        <w:tc>
          <w:tcPr>
            <w:tcW w:w="1627" w:type="dxa"/>
          </w:tcPr>
          <w:p>
            <w:pPr>
              <w:pStyle w:val="TableParagraph"/>
              <w:spacing w:line="240" w:lineRule="auto"/>
              <w:rPr>
                <w:sz w:val="16"/>
              </w:rPr>
            </w:pPr>
          </w:p>
        </w:tc>
        <w:tc>
          <w:tcPr>
            <w:tcW w:w="2962" w:type="dxa"/>
          </w:tcPr>
          <w:p>
            <w:pPr>
              <w:pStyle w:val="TableParagraph"/>
              <w:spacing w:line="240" w:lineRule="auto"/>
              <w:rPr>
                <w:sz w:val="16"/>
              </w:rPr>
            </w:pPr>
          </w:p>
        </w:tc>
      </w:tr>
      <w:tr>
        <w:trPr>
          <w:trHeight w:val="225" w:hRule="atLeast"/>
        </w:trPr>
        <w:tc>
          <w:tcPr>
            <w:tcW w:w="612" w:type="dxa"/>
          </w:tcPr>
          <w:p>
            <w:pPr>
              <w:pStyle w:val="TableParagraph"/>
              <w:spacing w:line="205" w:lineRule="exact"/>
              <w:ind w:left="50"/>
              <w:rPr>
                <w:sz w:val="20"/>
              </w:rPr>
            </w:pPr>
            <w:r>
              <w:rPr>
                <w:spacing w:val="-4"/>
                <w:sz w:val="20"/>
              </w:rPr>
              <w:t>5760</w:t>
            </w:r>
          </w:p>
        </w:tc>
        <w:tc>
          <w:tcPr>
            <w:tcW w:w="3703" w:type="dxa"/>
          </w:tcPr>
          <w:p>
            <w:pPr>
              <w:pStyle w:val="TableParagraph"/>
              <w:spacing w:line="205" w:lineRule="exact"/>
              <w:ind w:left="158"/>
              <w:rPr>
                <w:sz w:val="20"/>
              </w:rPr>
            </w:pPr>
            <w:r>
              <w:rPr>
                <w:sz w:val="20"/>
              </w:rPr>
              <w:t>Mungaka</w:t>
            </w:r>
            <w:r>
              <w:rPr>
                <w:spacing w:val="-10"/>
                <w:sz w:val="20"/>
              </w:rPr>
              <w:t> </w:t>
            </w:r>
            <w:r>
              <w:rPr>
                <w:spacing w:val="-2"/>
                <w:sz w:val="20"/>
              </w:rPr>
              <w:t>(mhk)</w:t>
            </w:r>
          </w:p>
        </w:tc>
        <w:tc>
          <w:tcPr>
            <w:tcW w:w="1627" w:type="dxa"/>
          </w:tcPr>
          <w:p>
            <w:pPr>
              <w:pStyle w:val="TableParagraph"/>
              <w:spacing w:line="240" w:lineRule="auto"/>
              <w:rPr>
                <w:sz w:val="16"/>
              </w:rPr>
            </w:pPr>
          </w:p>
        </w:tc>
        <w:tc>
          <w:tcPr>
            <w:tcW w:w="2962" w:type="dxa"/>
          </w:tcPr>
          <w:p>
            <w:pPr>
              <w:pStyle w:val="TableParagraph"/>
              <w:spacing w:line="240" w:lineRule="auto"/>
              <w:rPr>
                <w:sz w:val="16"/>
              </w:rPr>
            </w:pPr>
          </w:p>
        </w:tc>
      </w:tr>
    </w:tbl>
    <w:p>
      <w:pPr>
        <w:spacing w:after="0" w:line="240" w:lineRule="auto"/>
        <w:rPr>
          <w:sz w:val="16"/>
        </w:rPr>
        <w:sectPr>
          <w:footerReference w:type="default" r:id="rId89"/>
          <w:pgSz w:w="12240" w:h="15840"/>
          <w:pgMar w:footer="0" w:header="0" w:top="1140" w:bottom="280" w:left="600" w:right="500"/>
        </w:sectPr>
      </w:pPr>
    </w:p>
    <w:p>
      <w:pPr>
        <w:spacing w:before="67"/>
        <w:ind w:left="552" w:right="0" w:firstLine="0"/>
        <w:jc w:val="left"/>
        <w:rPr>
          <w:rFonts w:ascii="Times New Roman"/>
          <w:i/>
          <w:sz w:val="20"/>
        </w:rPr>
      </w:pPr>
      <w:r>
        <w:rPr>
          <w:rFonts w:ascii="Times New Roman"/>
          <w:i/>
          <w:sz w:val="20"/>
        </w:rPr>
        <w:t>Gur</w:t>
      </w:r>
      <w:r>
        <w:rPr>
          <w:rFonts w:ascii="Times New Roman"/>
          <w:i/>
          <w:spacing w:val="-7"/>
          <w:sz w:val="20"/>
        </w:rPr>
        <w:t> </w:t>
      </w:r>
      <w:r>
        <w:rPr>
          <w:rFonts w:ascii="Times New Roman"/>
          <w:i/>
          <w:sz w:val="20"/>
        </w:rPr>
        <w:t>languages</w:t>
      </w:r>
      <w:r>
        <w:rPr>
          <w:rFonts w:ascii="Times New Roman"/>
          <w:i/>
          <w:spacing w:val="-6"/>
          <w:sz w:val="20"/>
        </w:rPr>
        <w:t> </w:t>
      </w:r>
      <w:r>
        <w:rPr>
          <w:rFonts w:ascii="Times New Roman"/>
          <w:i/>
          <w:sz w:val="20"/>
        </w:rPr>
        <w:t>(6015-</w:t>
      </w:r>
      <w:r>
        <w:rPr>
          <w:rFonts w:ascii="Times New Roman"/>
          <w:i/>
          <w:spacing w:val="-4"/>
          <w:sz w:val="20"/>
        </w:rPr>
        <w:t>6119)</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116"/>
      </w:tblGrid>
      <w:tr>
        <w:trPr>
          <w:trHeight w:val="224" w:hRule="atLeast"/>
        </w:trPr>
        <w:tc>
          <w:tcPr>
            <w:tcW w:w="612" w:type="dxa"/>
          </w:tcPr>
          <w:p>
            <w:pPr>
              <w:pStyle w:val="TableParagraph"/>
              <w:spacing w:line="204" w:lineRule="exact"/>
              <w:ind w:left="50"/>
              <w:rPr>
                <w:sz w:val="20"/>
              </w:rPr>
            </w:pPr>
            <w:r>
              <w:rPr>
                <w:spacing w:val="-4"/>
                <w:sz w:val="20"/>
              </w:rPr>
              <w:t>6015</w:t>
            </w:r>
          </w:p>
        </w:tc>
        <w:tc>
          <w:tcPr>
            <w:tcW w:w="2116" w:type="dxa"/>
          </w:tcPr>
          <w:p>
            <w:pPr>
              <w:pStyle w:val="TableParagraph"/>
              <w:spacing w:line="204" w:lineRule="exact"/>
              <w:ind w:left="158"/>
              <w:rPr>
                <w:sz w:val="20"/>
              </w:rPr>
            </w:pPr>
            <w:r>
              <w:rPr>
                <w:sz w:val="20"/>
              </w:rPr>
              <w:t>Baatonum</w:t>
            </w:r>
            <w:r>
              <w:rPr>
                <w:spacing w:val="-13"/>
                <w:sz w:val="20"/>
              </w:rPr>
              <w:t> </w:t>
            </w:r>
            <w:r>
              <w:rPr>
                <w:spacing w:val="-4"/>
                <w:sz w:val="20"/>
              </w:rPr>
              <w:t>(bba)</w:t>
            </w:r>
          </w:p>
        </w:tc>
      </w:tr>
      <w:tr>
        <w:trPr>
          <w:trHeight w:val="229" w:hRule="atLeast"/>
        </w:trPr>
        <w:tc>
          <w:tcPr>
            <w:tcW w:w="612" w:type="dxa"/>
          </w:tcPr>
          <w:p>
            <w:pPr>
              <w:pStyle w:val="TableParagraph"/>
              <w:spacing w:line="209" w:lineRule="exact"/>
              <w:ind w:left="50"/>
              <w:rPr>
                <w:sz w:val="20"/>
              </w:rPr>
            </w:pPr>
            <w:r>
              <w:rPr>
                <w:spacing w:val="-4"/>
                <w:sz w:val="20"/>
              </w:rPr>
              <w:t>6020</w:t>
            </w:r>
          </w:p>
        </w:tc>
        <w:tc>
          <w:tcPr>
            <w:tcW w:w="2116" w:type="dxa"/>
          </w:tcPr>
          <w:p>
            <w:pPr>
              <w:pStyle w:val="TableParagraph"/>
              <w:spacing w:line="209" w:lineRule="exact"/>
              <w:ind w:left="158"/>
              <w:rPr>
                <w:sz w:val="20"/>
              </w:rPr>
            </w:pPr>
            <w:r>
              <w:rPr>
                <w:sz w:val="20"/>
              </w:rPr>
              <w:t>Nafaanra</w:t>
            </w:r>
            <w:r>
              <w:rPr>
                <w:spacing w:val="-9"/>
                <w:sz w:val="20"/>
              </w:rPr>
              <w:t> </w:t>
            </w:r>
            <w:r>
              <w:rPr>
                <w:spacing w:val="-2"/>
                <w:sz w:val="20"/>
              </w:rPr>
              <w:t>(nfr)</w:t>
            </w:r>
          </w:p>
        </w:tc>
      </w:tr>
      <w:tr>
        <w:trPr>
          <w:trHeight w:val="230" w:hRule="atLeast"/>
        </w:trPr>
        <w:tc>
          <w:tcPr>
            <w:tcW w:w="612" w:type="dxa"/>
          </w:tcPr>
          <w:p>
            <w:pPr>
              <w:pStyle w:val="TableParagraph"/>
              <w:ind w:left="50"/>
              <w:rPr>
                <w:sz w:val="20"/>
              </w:rPr>
            </w:pPr>
            <w:r>
              <w:rPr>
                <w:spacing w:val="-4"/>
                <w:sz w:val="20"/>
              </w:rPr>
              <w:t>6025</w:t>
            </w:r>
          </w:p>
        </w:tc>
        <w:tc>
          <w:tcPr>
            <w:tcW w:w="2116" w:type="dxa"/>
          </w:tcPr>
          <w:p>
            <w:pPr>
              <w:pStyle w:val="TableParagraph"/>
              <w:ind w:left="158"/>
              <w:rPr>
                <w:sz w:val="20"/>
              </w:rPr>
            </w:pPr>
            <w:r>
              <w:rPr>
                <w:sz w:val="20"/>
              </w:rPr>
              <w:t>Cebaara</w:t>
            </w:r>
            <w:r>
              <w:rPr>
                <w:spacing w:val="-8"/>
                <w:sz w:val="20"/>
              </w:rPr>
              <w:t> </w:t>
            </w:r>
            <w:r>
              <w:rPr>
                <w:sz w:val="20"/>
              </w:rPr>
              <w:t>Sénoufo</w:t>
            </w:r>
            <w:r>
              <w:rPr>
                <w:spacing w:val="-7"/>
                <w:sz w:val="20"/>
              </w:rPr>
              <w:t> </w:t>
            </w:r>
            <w:r>
              <w:rPr>
                <w:spacing w:val="-4"/>
                <w:sz w:val="20"/>
              </w:rPr>
              <w:t>(sef)</w:t>
            </w:r>
          </w:p>
        </w:tc>
      </w:tr>
      <w:tr>
        <w:trPr>
          <w:trHeight w:val="230" w:hRule="atLeast"/>
        </w:trPr>
        <w:tc>
          <w:tcPr>
            <w:tcW w:w="612" w:type="dxa"/>
          </w:tcPr>
          <w:p>
            <w:pPr>
              <w:pStyle w:val="TableParagraph"/>
              <w:ind w:left="50"/>
              <w:rPr>
                <w:sz w:val="20"/>
              </w:rPr>
            </w:pPr>
            <w:r>
              <w:rPr>
                <w:spacing w:val="-4"/>
                <w:sz w:val="20"/>
              </w:rPr>
              <w:t>6026</w:t>
            </w:r>
          </w:p>
        </w:tc>
        <w:tc>
          <w:tcPr>
            <w:tcW w:w="2116" w:type="dxa"/>
          </w:tcPr>
          <w:p>
            <w:pPr>
              <w:pStyle w:val="TableParagraph"/>
              <w:ind w:left="158"/>
              <w:rPr>
                <w:sz w:val="20"/>
              </w:rPr>
            </w:pPr>
            <w:r>
              <w:rPr>
                <w:sz w:val="20"/>
              </w:rPr>
              <w:t>Djimini</w:t>
            </w:r>
            <w:r>
              <w:rPr>
                <w:spacing w:val="-9"/>
                <w:sz w:val="20"/>
              </w:rPr>
              <w:t> </w:t>
            </w:r>
            <w:r>
              <w:rPr>
                <w:sz w:val="20"/>
              </w:rPr>
              <w:t>Sénoufo</w:t>
            </w:r>
            <w:r>
              <w:rPr>
                <w:spacing w:val="-6"/>
                <w:sz w:val="20"/>
              </w:rPr>
              <w:t> </w:t>
            </w:r>
            <w:r>
              <w:rPr>
                <w:spacing w:val="-4"/>
                <w:sz w:val="20"/>
              </w:rPr>
              <w:t>(dyi)</w:t>
            </w:r>
          </w:p>
        </w:tc>
      </w:tr>
      <w:tr>
        <w:trPr>
          <w:trHeight w:val="230" w:hRule="atLeast"/>
        </w:trPr>
        <w:tc>
          <w:tcPr>
            <w:tcW w:w="612" w:type="dxa"/>
          </w:tcPr>
          <w:p>
            <w:pPr>
              <w:pStyle w:val="TableParagraph"/>
              <w:ind w:left="50"/>
              <w:rPr>
                <w:sz w:val="20"/>
              </w:rPr>
            </w:pPr>
            <w:r>
              <w:rPr>
                <w:spacing w:val="-4"/>
                <w:sz w:val="20"/>
              </w:rPr>
              <w:t>6035</w:t>
            </w:r>
          </w:p>
        </w:tc>
        <w:tc>
          <w:tcPr>
            <w:tcW w:w="2116" w:type="dxa"/>
          </w:tcPr>
          <w:p>
            <w:pPr>
              <w:pStyle w:val="TableParagraph"/>
              <w:ind w:left="158"/>
              <w:rPr>
                <w:sz w:val="20"/>
              </w:rPr>
            </w:pPr>
            <w:r>
              <w:rPr>
                <w:sz w:val="20"/>
              </w:rPr>
              <w:t>Ntcham</w:t>
            </w:r>
            <w:r>
              <w:rPr>
                <w:spacing w:val="-8"/>
                <w:sz w:val="20"/>
              </w:rPr>
              <w:t> </w:t>
            </w:r>
            <w:r>
              <w:rPr>
                <w:spacing w:val="-2"/>
                <w:sz w:val="20"/>
              </w:rPr>
              <w:t>(bud)</w:t>
            </w:r>
          </w:p>
        </w:tc>
      </w:tr>
      <w:tr>
        <w:trPr>
          <w:trHeight w:val="230" w:hRule="atLeast"/>
        </w:trPr>
        <w:tc>
          <w:tcPr>
            <w:tcW w:w="612" w:type="dxa"/>
          </w:tcPr>
          <w:p>
            <w:pPr>
              <w:pStyle w:val="TableParagraph"/>
              <w:ind w:left="50"/>
              <w:rPr>
                <w:sz w:val="20"/>
              </w:rPr>
            </w:pPr>
            <w:r>
              <w:rPr>
                <w:spacing w:val="-4"/>
                <w:sz w:val="20"/>
              </w:rPr>
              <w:t>6040</w:t>
            </w:r>
          </w:p>
        </w:tc>
        <w:tc>
          <w:tcPr>
            <w:tcW w:w="2116" w:type="dxa"/>
          </w:tcPr>
          <w:p>
            <w:pPr>
              <w:pStyle w:val="TableParagraph"/>
              <w:ind w:left="158"/>
              <w:rPr>
                <w:sz w:val="20"/>
              </w:rPr>
            </w:pPr>
            <w:r>
              <w:rPr>
                <w:spacing w:val="-2"/>
                <w:sz w:val="20"/>
              </w:rPr>
              <w:t>Gourmanchéma</w:t>
            </w:r>
            <w:r>
              <w:rPr>
                <w:spacing w:val="7"/>
                <w:sz w:val="20"/>
              </w:rPr>
              <w:t> </w:t>
            </w:r>
            <w:r>
              <w:rPr>
                <w:spacing w:val="-4"/>
                <w:sz w:val="20"/>
              </w:rPr>
              <w:t>(gux)</w:t>
            </w:r>
          </w:p>
        </w:tc>
      </w:tr>
      <w:tr>
        <w:trPr>
          <w:trHeight w:val="229" w:hRule="atLeast"/>
        </w:trPr>
        <w:tc>
          <w:tcPr>
            <w:tcW w:w="612" w:type="dxa"/>
          </w:tcPr>
          <w:p>
            <w:pPr>
              <w:pStyle w:val="TableParagraph"/>
              <w:spacing w:line="209" w:lineRule="exact"/>
              <w:ind w:left="50"/>
              <w:rPr>
                <w:sz w:val="20"/>
              </w:rPr>
            </w:pPr>
            <w:r>
              <w:rPr>
                <w:spacing w:val="-4"/>
                <w:sz w:val="20"/>
              </w:rPr>
              <w:t>6045</w:t>
            </w:r>
          </w:p>
        </w:tc>
        <w:tc>
          <w:tcPr>
            <w:tcW w:w="2116" w:type="dxa"/>
          </w:tcPr>
          <w:p>
            <w:pPr>
              <w:pStyle w:val="TableParagraph"/>
              <w:spacing w:line="209" w:lineRule="exact"/>
              <w:ind w:left="158"/>
              <w:rPr>
                <w:sz w:val="20"/>
              </w:rPr>
            </w:pPr>
            <w:r>
              <w:rPr>
                <w:sz w:val="20"/>
              </w:rPr>
              <w:t>Buli</w:t>
            </w:r>
            <w:r>
              <w:rPr>
                <w:spacing w:val="-7"/>
                <w:sz w:val="20"/>
              </w:rPr>
              <w:t> </w:t>
            </w:r>
            <w:r>
              <w:rPr>
                <w:sz w:val="20"/>
              </w:rPr>
              <w:t>(Ghana)</w:t>
            </w:r>
            <w:r>
              <w:rPr>
                <w:spacing w:val="-4"/>
                <w:sz w:val="20"/>
              </w:rPr>
              <w:t> (bwu)</w:t>
            </w:r>
          </w:p>
        </w:tc>
      </w:tr>
      <w:tr>
        <w:trPr>
          <w:trHeight w:val="229" w:hRule="atLeast"/>
        </w:trPr>
        <w:tc>
          <w:tcPr>
            <w:tcW w:w="612" w:type="dxa"/>
          </w:tcPr>
          <w:p>
            <w:pPr>
              <w:pStyle w:val="TableParagraph"/>
              <w:spacing w:line="209" w:lineRule="exact"/>
              <w:ind w:left="50"/>
              <w:rPr>
                <w:sz w:val="20"/>
              </w:rPr>
            </w:pPr>
            <w:r>
              <w:rPr>
                <w:spacing w:val="-4"/>
                <w:sz w:val="20"/>
              </w:rPr>
              <w:t>6050</w:t>
            </w:r>
          </w:p>
        </w:tc>
        <w:tc>
          <w:tcPr>
            <w:tcW w:w="2116" w:type="dxa"/>
          </w:tcPr>
          <w:p>
            <w:pPr>
              <w:pStyle w:val="TableParagraph"/>
              <w:spacing w:line="209" w:lineRule="exact"/>
              <w:ind w:left="158"/>
              <w:rPr>
                <w:sz w:val="20"/>
              </w:rPr>
            </w:pPr>
            <w:r>
              <w:rPr>
                <w:sz w:val="20"/>
              </w:rPr>
              <w:t>Dagbani</w:t>
            </w:r>
            <w:r>
              <w:rPr>
                <w:spacing w:val="-9"/>
                <w:sz w:val="20"/>
              </w:rPr>
              <w:t> </w:t>
            </w:r>
            <w:r>
              <w:rPr>
                <w:spacing w:val="-2"/>
                <w:sz w:val="20"/>
              </w:rPr>
              <w:t>(dag)</w:t>
            </w:r>
          </w:p>
        </w:tc>
      </w:tr>
      <w:tr>
        <w:trPr>
          <w:trHeight w:val="230" w:hRule="atLeast"/>
        </w:trPr>
        <w:tc>
          <w:tcPr>
            <w:tcW w:w="612" w:type="dxa"/>
          </w:tcPr>
          <w:p>
            <w:pPr>
              <w:pStyle w:val="TableParagraph"/>
              <w:ind w:left="50"/>
              <w:rPr>
                <w:sz w:val="20"/>
              </w:rPr>
            </w:pPr>
            <w:r>
              <w:rPr>
                <w:spacing w:val="-4"/>
                <w:sz w:val="20"/>
              </w:rPr>
              <w:t>6055</w:t>
            </w:r>
          </w:p>
        </w:tc>
        <w:tc>
          <w:tcPr>
            <w:tcW w:w="2116" w:type="dxa"/>
          </w:tcPr>
          <w:p>
            <w:pPr>
              <w:pStyle w:val="TableParagraph"/>
              <w:ind w:left="158"/>
              <w:rPr>
                <w:sz w:val="20"/>
              </w:rPr>
            </w:pPr>
            <w:r>
              <w:rPr>
                <w:sz w:val="20"/>
              </w:rPr>
              <w:t>Kusaal</w:t>
            </w:r>
            <w:r>
              <w:rPr>
                <w:spacing w:val="-9"/>
                <w:sz w:val="20"/>
              </w:rPr>
              <w:t> </w:t>
            </w:r>
            <w:r>
              <w:rPr>
                <w:spacing w:val="-2"/>
                <w:sz w:val="20"/>
              </w:rPr>
              <w:t>(kus)</w:t>
            </w:r>
          </w:p>
        </w:tc>
      </w:tr>
      <w:tr>
        <w:trPr>
          <w:trHeight w:val="230" w:hRule="atLeast"/>
        </w:trPr>
        <w:tc>
          <w:tcPr>
            <w:tcW w:w="612" w:type="dxa"/>
          </w:tcPr>
          <w:p>
            <w:pPr>
              <w:pStyle w:val="TableParagraph"/>
              <w:ind w:left="50"/>
              <w:rPr>
                <w:sz w:val="20"/>
              </w:rPr>
            </w:pPr>
            <w:r>
              <w:rPr>
                <w:spacing w:val="-4"/>
                <w:sz w:val="20"/>
              </w:rPr>
              <w:t>6060</w:t>
            </w:r>
          </w:p>
        </w:tc>
        <w:tc>
          <w:tcPr>
            <w:tcW w:w="2116" w:type="dxa"/>
          </w:tcPr>
          <w:p>
            <w:pPr>
              <w:pStyle w:val="TableParagraph"/>
              <w:ind w:left="158"/>
              <w:rPr>
                <w:sz w:val="20"/>
              </w:rPr>
            </w:pPr>
            <w:r>
              <w:rPr>
                <w:sz w:val="20"/>
              </w:rPr>
              <w:t>Mampruli</w:t>
            </w:r>
            <w:r>
              <w:rPr>
                <w:spacing w:val="-12"/>
                <w:sz w:val="20"/>
              </w:rPr>
              <w:t> </w:t>
            </w:r>
            <w:r>
              <w:rPr>
                <w:spacing w:val="-2"/>
                <w:sz w:val="20"/>
              </w:rPr>
              <w:t>(maw)</w:t>
            </w:r>
          </w:p>
        </w:tc>
      </w:tr>
      <w:tr>
        <w:trPr>
          <w:trHeight w:val="230" w:hRule="atLeast"/>
        </w:trPr>
        <w:tc>
          <w:tcPr>
            <w:tcW w:w="612" w:type="dxa"/>
          </w:tcPr>
          <w:p>
            <w:pPr>
              <w:pStyle w:val="TableParagraph"/>
              <w:ind w:left="50"/>
              <w:rPr>
                <w:sz w:val="20"/>
              </w:rPr>
            </w:pPr>
            <w:r>
              <w:rPr>
                <w:spacing w:val="-4"/>
                <w:sz w:val="20"/>
              </w:rPr>
              <w:t>6065</w:t>
            </w:r>
          </w:p>
        </w:tc>
        <w:tc>
          <w:tcPr>
            <w:tcW w:w="2116" w:type="dxa"/>
          </w:tcPr>
          <w:p>
            <w:pPr>
              <w:pStyle w:val="TableParagraph"/>
              <w:ind w:left="158"/>
              <w:rPr>
                <w:sz w:val="20"/>
              </w:rPr>
            </w:pPr>
            <w:r>
              <w:rPr>
                <w:sz w:val="20"/>
              </w:rPr>
              <w:t>Mossi</w:t>
            </w:r>
            <w:r>
              <w:rPr>
                <w:spacing w:val="-7"/>
                <w:sz w:val="20"/>
              </w:rPr>
              <w:t> </w:t>
            </w:r>
            <w:r>
              <w:rPr>
                <w:spacing w:val="-2"/>
                <w:sz w:val="20"/>
              </w:rPr>
              <w:t>(mos)</w:t>
            </w:r>
          </w:p>
        </w:tc>
      </w:tr>
      <w:tr>
        <w:trPr>
          <w:trHeight w:val="230" w:hRule="atLeast"/>
        </w:trPr>
        <w:tc>
          <w:tcPr>
            <w:tcW w:w="612" w:type="dxa"/>
          </w:tcPr>
          <w:p>
            <w:pPr>
              <w:pStyle w:val="TableParagraph"/>
              <w:ind w:left="50"/>
              <w:rPr>
                <w:sz w:val="20"/>
              </w:rPr>
            </w:pPr>
            <w:r>
              <w:rPr>
                <w:spacing w:val="-4"/>
                <w:sz w:val="20"/>
              </w:rPr>
              <w:t>6070</w:t>
            </w:r>
          </w:p>
        </w:tc>
        <w:tc>
          <w:tcPr>
            <w:tcW w:w="2116" w:type="dxa"/>
          </w:tcPr>
          <w:p>
            <w:pPr>
              <w:pStyle w:val="TableParagraph"/>
              <w:ind w:left="158"/>
              <w:rPr>
                <w:sz w:val="20"/>
              </w:rPr>
            </w:pPr>
            <w:r>
              <w:rPr>
                <w:sz w:val="20"/>
              </w:rPr>
              <w:t>Farefare</w:t>
            </w:r>
            <w:r>
              <w:rPr>
                <w:spacing w:val="-8"/>
                <w:sz w:val="20"/>
              </w:rPr>
              <w:t> </w:t>
            </w:r>
            <w:r>
              <w:rPr>
                <w:spacing w:val="-2"/>
                <w:sz w:val="20"/>
              </w:rPr>
              <w:t>(gur)</w:t>
            </w:r>
          </w:p>
        </w:tc>
      </w:tr>
      <w:tr>
        <w:trPr>
          <w:trHeight w:val="229" w:hRule="atLeast"/>
        </w:trPr>
        <w:tc>
          <w:tcPr>
            <w:tcW w:w="612" w:type="dxa"/>
          </w:tcPr>
          <w:p>
            <w:pPr>
              <w:pStyle w:val="TableParagraph"/>
              <w:spacing w:line="209" w:lineRule="exact"/>
              <w:ind w:left="50"/>
              <w:rPr>
                <w:sz w:val="20"/>
              </w:rPr>
            </w:pPr>
            <w:r>
              <w:rPr>
                <w:spacing w:val="-4"/>
                <w:sz w:val="20"/>
              </w:rPr>
              <w:t>6075</w:t>
            </w:r>
          </w:p>
        </w:tc>
        <w:tc>
          <w:tcPr>
            <w:tcW w:w="2116" w:type="dxa"/>
          </w:tcPr>
          <w:p>
            <w:pPr>
              <w:pStyle w:val="TableParagraph"/>
              <w:spacing w:line="209" w:lineRule="exact"/>
              <w:ind w:left="158"/>
              <w:rPr>
                <w:sz w:val="20"/>
              </w:rPr>
            </w:pPr>
            <w:r>
              <w:rPr>
                <w:sz w:val="20"/>
              </w:rPr>
              <w:t>Southern</w:t>
            </w:r>
            <w:r>
              <w:rPr>
                <w:spacing w:val="-9"/>
                <w:sz w:val="20"/>
              </w:rPr>
              <w:t> </w:t>
            </w:r>
            <w:r>
              <w:rPr>
                <w:sz w:val="20"/>
              </w:rPr>
              <w:t>Dagaare</w:t>
            </w:r>
            <w:r>
              <w:rPr>
                <w:spacing w:val="-7"/>
                <w:sz w:val="20"/>
              </w:rPr>
              <w:t> </w:t>
            </w:r>
            <w:r>
              <w:rPr>
                <w:spacing w:val="-4"/>
                <w:sz w:val="20"/>
              </w:rPr>
              <w:t>(dga)</w:t>
            </w:r>
          </w:p>
        </w:tc>
      </w:tr>
      <w:tr>
        <w:trPr>
          <w:trHeight w:val="229" w:hRule="atLeast"/>
        </w:trPr>
        <w:tc>
          <w:tcPr>
            <w:tcW w:w="612" w:type="dxa"/>
          </w:tcPr>
          <w:p>
            <w:pPr>
              <w:pStyle w:val="TableParagraph"/>
              <w:spacing w:line="209" w:lineRule="exact"/>
              <w:ind w:left="50"/>
              <w:rPr>
                <w:sz w:val="20"/>
              </w:rPr>
            </w:pPr>
            <w:r>
              <w:rPr>
                <w:spacing w:val="-4"/>
                <w:sz w:val="20"/>
              </w:rPr>
              <w:t>6080</w:t>
            </w:r>
          </w:p>
        </w:tc>
        <w:tc>
          <w:tcPr>
            <w:tcW w:w="2116" w:type="dxa"/>
          </w:tcPr>
          <w:p>
            <w:pPr>
              <w:pStyle w:val="TableParagraph"/>
              <w:spacing w:line="209" w:lineRule="exact"/>
              <w:ind w:left="158"/>
              <w:rPr>
                <w:sz w:val="20"/>
              </w:rPr>
            </w:pPr>
            <w:r>
              <w:rPr>
                <w:sz w:val="20"/>
              </w:rPr>
              <w:t>Wali</w:t>
            </w:r>
            <w:r>
              <w:rPr>
                <w:spacing w:val="-6"/>
                <w:sz w:val="20"/>
              </w:rPr>
              <w:t> </w:t>
            </w:r>
            <w:r>
              <w:rPr>
                <w:sz w:val="20"/>
              </w:rPr>
              <w:t>(Ghana)</w:t>
            </w:r>
            <w:r>
              <w:rPr>
                <w:spacing w:val="-5"/>
                <w:sz w:val="20"/>
              </w:rPr>
              <w:t> </w:t>
            </w:r>
            <w:r>
              <w:rPr>
                <w:spacing w:val="-4"/>
                <w:sz w:val="20"/>
              </w:rPr>
              <w:t>(wlx)</w:t>
            </w:r>
          </w:p>
        </w:tc>
      </w:tr>
      <w:tr>
        <w:trPr>
          <w:trHeight w:val="230" w:hRule="atLeast"/>
        </w:trPr>
        <w:tc>
          <w:tcPr>
            <w:tcW w:w="612" w:type="dxa"/>
          </w:tcPr>
          <w:p>
            <w:pPr>
              <w:pStyle w:val="TableParagraph"/>
              <w:ind w:left="50"/>
              <w:rPr>
                <w:sz w:val="20"/>
              </w:rPr>
            </w:pPr>
            <w:r>
              <w:rPr>
                <w:spacing w:val="-4"/>
                <w:sz w:val="20"/>
              </w:rPr>
              <w:t>6085</w:t>
            </w:r>
          </w:p>
        </w:tc>
        <w:tc>
          <w:tcPr>
            <w:tcW w:w="2116" w:type="dxa"/>
          </w:tcPr>
          <w:p>
            <w:pPr>
              <w:pStyle w:val="TableParagraph"/>
              <w:ind w:left="158"/>
              <w:rPr>
                <w:sz w:val="20"/>
              </w:rPr>
            </w:pPr>
            <w:r>
              <w:rPr>
                <w:sz w:val="20"/>
              </w:rPr>
              <w:t>Kaansa</w:t>
            </w:r>
            <w:r>
              <w:rPr>
                <w:spacing w:val="-9"/>
                <w:sz w:val="20"/>
              </w:rPr>
              <w:t> </w:t>
            </w:r>
            <w:r>
              <w:rPr>
                <w:spacing w:val="-2"/>
                <w:sz w:val="20"/>
              </w:rPr>
              <w:t>(gna)</w:t>
            </w:r>
          </w:p>
        </w:tc>
      </w:tr>
      <w:tr>
        <w:trPr>
          <w:trHeight w:val="230" w:hRule="atLeast"/>
        </w:trPr>
        <w:tc>
          <w:tcPr>
            <w:tcW w:w="612" w:type="dxa"/>
          </w:tcPr>
          <w:p>
            <w:pPr>
              <w:pStyle w:val="TableParagraph"/>
              <w:spacing w:line="211" w:lineRule="exact"/>
              <w:ind w:left="50"/>
              <w:rPr>
                <w:sz w:val="20"/>
              </w:rPr>
            </w:pPr>
            <w:r>
              <w:rPr>
                <w:spacing w:val="-4"/>
                <w:sz w:val="20"/>
              </w:rPr>
              <w:t>6090</w:t>
            </w:r>
          </w:p>
        </w:tc>
        <w:tc>
          <w:tcPr>
            <w:tcW w:w="2116" w:type="dxa"/>
          </w:tcPr>
          <w:p>
            <w:pPr>
              <w:pStyle w:val="TableParagraph"/>
              <w:spacing w:line="211" w:lineRule="exact"/>
              <w:ind w:left="158"/>
              <w:rPr>
                <w:sz w:val="20"/>
              </w:rPr>
            </w:pPr>
            <w:r>
              <w:rPr>
                <w:sz w:val="20"/>
              </w:rPr>
              <w:t>Kasem</w:t>
            </w:r>
            <w:r>
              <w:rPr>
                <w:spacing w:val="-8"/>
                <w:sz w:val="20"/>
              </w:rPr>
              <w:t> </w:t>
            </w:r>
            <w:r>
              <w:rPr>
                <w:spacing w:val="-2"/>
                <w:sz w:val="20"/>
              </w:rPr>
              <w:t>(xsm)</w:t>
            </w:r>
          </w:p>
        </w:tc>
      </w:tr>
      <w:tr>
        <w:trPr>
          <w:trHeight w:val="230" w:hRule="atLeast"/>
        </w:trPr>
        <w:tc>
          <w:tcPr>
            <w:tcW w:w="612" w:type="dxa"/>
          </w:tcPr>
          <w:p>
            <w:pPr>
              <w:pStyle w:val="TableParagraph"/>
              <w:spacing w:line="211" w:lineRule="exact"/>
              <w:ind w:left="50"/>
              <w:rPr>
                <w:sz w:val="20"/>
              </w:rPr>
            </w:pPr>
            <w:r>
              <w:rPr>
                <w:spacing w:val="-4"/>
                <w:sz w:val="20"/>
              </w:rPr>
              <w:t>6095</w:t>
            </w:r>
          </w:p>
        </w:tc>
        <w:tc>
          <w:tcPr>
            <w:tcW w:w="2116" w:type="dxa"/>
          </w:tcPr>
          <w:p>
            <w:pPr>
              <w:pStyle w:val="TableParagraph"/>
              <w:spacing w:line="211" w:lineRule="exact"/>
              <w:ind w:left="158"/>
              <w:rPr>
                <w:sz w:val="20"/>
              </w:rPr>
            </w:pPr>
            <w:r>
              <w:rPr>
                <w:sz w:val="20"/>
              </w:rPr>
              <w:t>Kabiyè</w:t>
            </w:r>
            <w:r>
              <w:rPr>
                <w:spacing w:val="-7"/>
                <w:sz w:val="20"/>
              </w:rPr>
              <w:t> </w:t>
            </w:r>
            <w:r>
              <w:rPr>
                <w:spacing w:val="-2"/>
                <w:sz w:val="20"/>
              </w:rPr>
              <w:t>(kbp)</w:t>
            </w:r>
          </w:p>
        </w:tc>
      </w:tr>
      <w:tr>
        <w:trPr>
          <w:trHeight w:val="230" w:hRule="atLeast"/>
        </w:trPr>
        <w:tc>
          <w:tcPr>
            <w:tcW w:w="612" w:type="dxa"/>
          </w:tcPr>
          <w:p>
            <w:pPr>
              <w:pStyle w:val="TableParagraph"/>
              <w:ind w:left="50"/>
              <w:rPr>
                <w:sz w:val="20"/>
              </w:rPr>
            </w:pPr>
            <w:r>
              <w:rPr>
                <w:spacing w:val="-4"/>
                <w:sz w:val="20"/>
              </w:rPr>
              <w:t>6098</w:t>
            </w:r>
          </w:p>
        </w:tc>
        <w:tc>
          <w:tcPr>
            <w:tcW w:w="2116" w:type="dxa"/>
          </w:tcPr>
          <w:p>
            <w:pPr>
              <w:pStyle w:val="TableParagraph"/>
              <w:ind w:left="158"/>
              <w:rPr>
                <w:sz w:val="20"/>
              </w:rPr>
            </w:pPr>
            <w:r>
              <w:rPr>
                <w:sz w:val="20"/>
              </w:rPr>
              <w:t>Tem</w:t>
            </w:r>
            <w:r>
              <w:rPr>
                <w:spacing w:val="-6"/>
                <w:sz w:val="20"/>
              </w:rPr>
              <w:t> </w:t>
            </w:r>
            <w:r>
              <w:rPr>
                <w:spacing w:val="-2"/>
                <w:sz w:val="20"/>
              </w:rPr>
              <w:t>(kdh)</w:t>
            </w:r>
          </w:p>
        </w:tc>
      </w:tr>
      <w:tr>
        <w:trPr>
          <w:trHeight w:val="229" w:hRule="atLeast"/>
        </w:trPr>
        <w:tc>
          <w:tcPr>
            <w:tcW w:w="612" w:type="dxa"/>
          </w:tcPr>
          <w:p>
            <w:pPr>
              <w:pStyle w:val="TableParagraph"/>
              <w:spacing w:line="209" w:lineRule="exact"/>
              <w:ind w:left="50"/>
              <w:rPr>
                <w:sz w:val="20"/>
              </w:rPr>
            </w:pPr>
            <w:r>
              <w:rPr>
                <w:spacing w:val="-4"/>
                <w:sz w:val="20"/>
              </w:rPr>
              <w:t>6100</w:t>
            </w:r>
          </w:p>
        </w:tc>
        <w:tc>
          <w:tcPr>
            <w:tcW w:w="2116" w:type="dxa"/>
          </w:tcPr>
          <w:p>
            <w:pPr>
              <w:pStyle w:val="TableParagraph"/>
              <w:spacing w:line="209" w:lineRule="exact"/>
              <w:ind w:left="158"/>
              <w:rPr>
                <w:sz w:val="20"/>
              </w:rPr>
            </w:pPr>
            <w:r>
              <w:rPr>
                <w:sz w:val="20"/>
              </w:rPr>
              <w:t>Paasaal</w:t>
            </w:r>
            <w:r>
              <w:rPr>
                <w:spacing w:val="-7"/>
                <w:sz w:val="20"/>
              </w:rPr>
              <w:t> </w:t>
            </w:r>
            <w:r>
              <w:rPr>
                <w:spacing w:val="-2"/>
                <w:sz w:val="20"/>
              </w:rPr>
              <w:t>(sig)</w:t>
            </w:r>
          </w:p>
        </w:tc>
      </w:tr>
      <w:tr>
        <w:trPr>
          <w:trHeight w:val="229" w:hRule="atLeast"/>
        </w:trPr>
        <w:tc>
          <w:tcPr>
            <w:tcW w:w="612" w:type="dxa"/>
          </w:tcPr>
          <w:p>
            <w:pPr>
              <w:pStyle w:val="TableParagraph"/>
              <w:spacing w:line="209" w:lineRule="exact"/>
              <w:ind w:left="50"/>
              <w:rPr>
                <w:sz w:val="20"/>
              </w:rPr>
            </w:pPr>
            <w:r>
              <w:rPr>
                <w:spacing w:val="-4"/>
                <w:sz w:val="20"/>
              </w:rPr>
              <w:t>6105</w:t>
            </w:r>
          </w:p>
        </w:tc>
        <w:tc>
          <w:tcPr>
            <w:tcW w:w="2116" w:type="dxa"/>
          </w:tcPr>
          <w:p>
            <w:pPr>
              <w:pStyle w:val="TableParagraph"/>
              <w:spacing w:line="209" w:lineRule="exact"/>
              <w:ind w:left="158"/>
              <w:rPr>
                <w:sz w:val="20"/>
              </w:rPr>
            </w:pPr>
            <w:r>
              <w:rPr>
                <w:sz w:val="20"/>
              </w:rPr>
              <w:t>Vagla</w:t>
            </w:r>
            <w:r>
              <w:rPr>
                <w:spacing w:val="-6"/>
                <w:sz w:val="20"/>
              </w:rPr>
              <w:t> </w:t>
            </w:r>
            <w:r>
              <w:rPr>
                <w:spacing w:val="-2"/>
                <w:sz w:val="20"/>
              </w:rPr>
              <w:t>(vag)</w:t>
            </w:r>
          </w:p>
        </w:tc>
      </w:tr>
      <w:tr>
        <w:trPr>
          <w:trHeight w:val="225" w:hRule="atLeast"/>
        </w:trPr>
        <w:tc>
          <w:tcPr>
            <w:tcW w:w="612" w:type="dxa"/>
          </w:tcPr>
          <w:p>
            <w:pPr>
              <w:pStyle w:val="TableParagraph"/>
              <w:spacing w:line="205" w:lineRule="exact"/>
              <w:ind w:left="50"/>
              <w:rPr>
                <w:sz w:val="20"/>
              </w:rPr>
            </w:pPr>
            <w:r>
              <w:rPr>
                <w:spacing w:val="-4"/>
                <w:sz w:val="20"/>
              </w:rPr>
              <w:t>6110</w:t>
            </w:r>
          </w:p>
        </w:tc>
        <w:tc>
          <w:tcPr>
            <w:tcW w:w="2116" w:type="dxa"/>
          </w:tcPr>
          <w:p>
            <w:pPr>
              <w:pStyle w:val="TableParagraph"/>
              <w:spacing w:line="205" w:lineRule="exact"/>
              <w:ind w:left="158"/>
              <w:rPr>
                <w:sz w:val="20"/>
              </w:rPr>
            </w:pPr>
            <w:r>
              <w:rPr>
                <w:sz w:val="20"/>
              </w:rPr>
              <w:t>Wara</w:t>
            </w:r>
            <w:r>
              <w:rPr>
                <w:spacing w:val="-3"/>
                <w:sz w:val="20"/>
              </w:rPr>
              <w:t> </w:t>
            </w:r>
            <w:r>
              <w:rPr>
                <w:spacing w:val="-2"/>
                <w:sz w:val="20"/>
              </w:rPr>
              <w:t>(wbf)</w:t>
            </w:r>
          </w:p>
        </w:tc>
      </w:tr>
    </w:tbl>
    <w:p>
      <w:pPr>
        <w:pStyle w:val="BodyText"/>
        <w:spacing w:before="7"/>
        <w:rPr>
          <w:rFonts w:ascii="Times New Roman"/>
          <w:i/>
          <w:sz w:val="21"/>
        </w:rPr>
      </w:pPr>
    </w:p>
    <w:p>
      <w:pPr>
        <w:spacing w:before="1"/>
        <w:ind w:left="552" w:right="0" w:firstLine="0"/>
        <w:jc w:val="left"/>
        <w:rPr>
          <w:rFonts w:ascii="Times New Roman"/>
          <w:i/>
          <w:sz w:val="20"/>
        </w:rPr>
      </w:pPr>
      <w:r>
        <w:rPr>
          <w:rFonts w:ascii="Times New Roman"/>
          <w:i/>
          <w:sz w:val="20"/>
        </w:rPr>
        <w:t>Kwa</w:t>
      </w:r>
      <w:r>
        <w:rPr>
          <w:rFonts w:ascii="Times New Roman"/>
          <w:i/>
          <w:spacing w:val="-6"/>
          <w:sz w:val="20"/>
        </w:rPr>
        <w:t> </w:t>
      </w:r>
      <w:r>
        <w:rPr>
          <w:rFonts w:ascii="Times New Roman"/>
          <w:i/>
          <w:sz w:val="20"/>
        </w:rPr>
        <w:t>languages</w:t>
      </w:r>
      <w:r>
        <w:rPr>
          <w:rFonts w:ascii="Times New Roman"/>
          <w:i/>
          <w:spacing w:val="-6"/>
          <w:sz w:val="20"/>
        </w:rPr>
        <w:t> </w:t>
      </w:r>
      <w:r>
        <w:rPr>
          <w:rFonts w:ascii="Times New Roman"/>
          <w:i/>
          <w:sz w:val="20"/>
        </w:rPr>
        <w:t>(6120-</w:t>
      </w:r>
      <w:r>
        <w:rPr>
          <w:rFonts w:ascii="Times New Roman"/>
          <w:i/>
          <w:spacing w:val="-4"/>
          <w:sz w:val="20"/>
        </w:rPr>
        <w:t>6249)</w:t>
      </w:r>
    </w:p>
    <w:p>
      <w:pPr>
        <w:spacing w:before="0"/>
        <w:ind w:left="1272" w:right="0" w:firstLine="0"/>
        <w:jc w:val="left"/>
        <w:rPr>
          <w:rFonts w:ascii="Times New Roman"/>
          <w:i/>
          <w:sz w:val="20"/>
        </w:rPr>
      </w:pPr>
      <w:r>
        <w:rPr/>
        <mc:AlternateContent>
          <mc:Choice Requires="wps">
            <w:drawing>
              <wp:anchor distT="0" distB="0" distL="0" distR="0" allowOverlap="1" layoutInCell="1" locked="0" behindDoc="0" simplePos="0" relativeHeight="15767552">
                <wp:simplePos x="0" y="0"/>
                <wp:positionH relativeFrom="page">
                  <wp:posOffset>661669</wp:posOffset>
                </wp:positionH>
                <wp:positionV relativeFrom="paragraph">
                  <wp:posOffset>150627</wp:posOffset>
                </wp:positionV>
                <wp:extent cx="2054860" cy="4806949"/>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054860" cy="480694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504"/>
                            </w:tblGrid>
                            <w:tr>
                              <w:trPr>
                                <w:trHeight w:val="225" w:hRule="atLeast"/>
                              </w:trPr>
                              <w:tc>
                                <w:tcPr>
                                  <w:tcW w:w="612" w:type="dxa"/>
                                </w:tcPr>
                                <w:p>
                                  <w:pPr>
                                    <w:pStyle w:val="TableParagraph"/>
                                    <w:spacing w:line="205" w:lineRule="exact"/>
                                    <w:ind w:left="50"/>
                                    <w:rPr>
                                      <w:sz w:val="20"/>
                                    </w:rPr>
                                  </w:pPr>
                                  <w:r>
                                    <w:rPr>
                                      <w:spacing w:val="-4"/>
                                      <w:sz w:val="20"/>
                                    </w:rPr>
                                    <w:t>6120</w:t>
                                  </w:r>
                                </w:p>
                              </w:tc>
                              <w:tc>
                                <w:tcPr>
                                  <w:tcW w:w="2504" w:type="dxa"/>
                                </w:tcPr>
                                <w:p>
                                  <w:pPr>
                                    <w:pStyle w:val="TableParagraph"/>
                                    <w:spacing w:line="205" w:lineRule="exact"/>
                                    <w:ind w:left="158"/>
                                    <w:rPr>
                                      <w:sz w:val="20"/>
                                    </w:rPr>
                                  </w:pPr>
                                  <w:r>
                                    <w:rPr>
                                      <w:sz w:val="20"/>
                                    </w:rPr>
                                    <w:t>Akan</w:t>
                                  </w:r>
                                  <w:r>
                                    <w:rPr>
                                      <w:spacing w:val="-11"/>
                                      <w:sz w:val="20"/>
                                    </w:rPr>
                                    <w:t> </w:t>
                                  </w:r>
                                  <w:r>
                                    <w:rPr>
                                      <w:sz w:val="20"/>
                                    </w:rPr>
                                    <w:t>(macrolanguage)</w:t>
                                  </w:r>
                                  <w:r>
                                    <w:rPr>
                                      <w:spacing w:val="-9"/>
                                      <w:sz w:val="20"/>
                                    </w:rPr>
                                    <w:t> </w:t>
                                  </w:r>
                                  <w:r>
                                    <w:rPr>
                                      <w:spacing w:val="-2"/>
                                      <w:sz w:val="20"/>
                                    </w:rPr>
                                    <w:t>(aka)</w:t>
                                  </w:r>
                                </w:p>
                              </w:tc>
                            </w:tr>
                            <w:tr>
                              <w:trPr>
                                <w:trHeight w:val="230" w:hRule="atLeast"/>
                              </w:trPr>
                              <w:tc>
                                <w:tcPr>
                                  <w:tcW w:w="612" w:type="dxa"/>
                                </w:tcPr>
                                <w:p>
                                  <w:pPr>
                                    <w:pStyle w:val="TableParagraph"/>
                                    <w:ind w:left="50"/>
                                    <w:rPr>
                                      <w:sz w:val="20"/>
                                    </w:rPr>
                                  </w:pPr>
                                  <w:r>
                                    <w:rPr>
                                      <w:spacing w:val="-4"/>
                                      <w:sz w:val="20"/>
                                    </w:rPr>
                                    <w:t>6125</w:t>
                                  </w:r>
                                </w:p>
                              </w:tc>
                              <w:tc>
                                <w:tcPr>
                                  <w:tcW w:w="2504" w:type="dxa"/>
                                </w:tcPr>
                                <w:p>
                                  <w:pPr>
                                    <w:pStyle w:val="TableParagraph"/>
                                    <w:ind w:left="158"/>
                                    <w:rPr>
                                      <w:sz w:val="20"/>
                                    </w:rPr>
                                  </w:pPr>
                                  <w:r>
                                    <w:rPr>
                                      <w:sz w:val="20"/>
                                    </w:rPr>
                                    <w:t>Fanti</w:t>
                                  </w:r>
                                  <w:r>
                                    <w:rPr>
                                      <w:spacing w:val="-8"/>
                                      <w:sz w:val="20"/>
                                    </w:rPr>
                                    <w:t> </w:t>
                                  </w:r>
                                  <w:r>
                                    <w:rPr>
                                      <w:spacing w:val="-2"/>
                                      <w:sz w:val="20"/>
                                    </w:rPr>
                                    <w:t>(fat)</w:t>
                                  </w:r>
                                </w:p>
                              </w:tc>
                            </w:tr>
                            <w:tr>
                              <w:trPr>
                                <w:trHeight w:val="345" w:hRule="atLeast"/>
                              </w:trPr>
                              <w:tc>
                                <w:tcPr>
                                  <w:tcW w:w="612" w:type="dxa"/>
                                </w:tcPr>
                                <w:p>
                                  <w:pPr>
                                    <w:pStyle w:val="TableParagraph"/>
                                    <w:spacing w:line="226" w:lineRule="exact"/>
                                    <w:ind w:left="50"/>
                                    <w:rPr>
                                      <w:sz w:val="20"/>
                                    </w:rPr>
                                  </w:pPr>
                                  <w:r>
                                    <w:rPr>
                                      <w:spacing w:val="-4"/>
                                      <w:sz w:val="20"/>
                                    </w:rPr>
                                    <w:t>6130</w:t>
                                  </w:r>
                                </w:p>
                              </w:tc>
                              <w:tc>
                                <w:tcPr>
                                  <w:tcW w:w="2504" w:type="dxa"/>
                                </w:tcPr>
                                <w:p>
                                  <w:pPr>
                                    <w:pStyle w:val="TableParagraph"/>
                                    <w:spacing w:line="226" w:lineRule="exact"/>
                                    <w:ind w:left="158"/>
                                    <w:rPr>
                                      <w:sz w:val="20"/>
                                    </w:rPr>
                                  </w:pPr>
                                  <w:r>
                                    <w:rPr>
                                      <w:sz w:val="20"/>
                                    </w:rPr>
                                    <w:t>Twi</w:t>
                                  </w:r>
                                  <w:r>
                                    <w:rPr>
                                      <w:spacing w:val="-8"/>
                                      <w:sz w:val="20"/>
                                    </w:rPr>
                                    <w:t> </w:t>
                                  </w:r>
                                  <w:r>
                                    <w:rPr>
                                      <w:spacing w:val="-2"/>
                                      <w:sz w:val="20"/>
                                    </w:rPr>
                                    <w:t>(twi)</w:t>
                                  </w:r>
                                </w:p>
                              </w:tc>
                            </w:tr>
                            <w:tr>
                              <w:trPr>
                                <w:trHeight w:val="345" w:hRule="atLeast"/>
                              </w:trPr>
                              <w:tc>
                                <w:tcPr>
                                  <w:tcW w:w="612" w:type="dxa"/>
                                </w:tcPr>
                                <w:p>
                                  <w:pPr>
                                    <w:pStyle w:val="TableParagraph"/>
                                    <w:spacing w:line="215" w:lineRule="exact" w:before="111"/>
                                    <w:ind w:left="50"/>
                                    <w:rPr>
                                      <w:sz w:val="20"/>
                                    </w:rPr>
                                  </w:pPr>
                                  <w:r>
                                    <w:rPr>
                                      <w:spacing w:val="-4"/>
                                      <w:sz w:val="20"/>
                                    </w:rPr>
                                    <w:t>6135</w:t>
                                  </w:r>
                                </w:p>
                              </w:tc>
                              <w:tc>
                                <w:tcPr>
                                  <w:tcW w:w="2504" w:type="dxa"/>
                                </w:tcPr>
                                <w:p>
                                  <w:pPr>
                                    <w:pStyle w:val="TableParagraph"/>
                                    <w:spacing w:line="215" w:lineRule="exact" w:before="111"/>
                                    <w:ind w:left="158"/>
                                    <w:rPr>
                                      <w:sz w:val="20"/>
                                    </w:rPr>
                                  </w:pPr>
                                  <w:r>
                                    <w:rPr>
                                      <w:sz w:val="20"/>
                                    </w:rPr>
                                    <w:t>Anyin</w:t>
                                  </w:r>
                                  <w:r>
                                    <w:rPr>
                                      <w:spacing w:val="-10"/>
                                      <w:sz w:val="20"/>
                                    </w:rPr>
                                    <w:t> </w:t>
                                  </w:r>
                                  <w:r>
                                    <w:rPr>
                                      <w:spacing w:val="-2"/>
                                      <w:sz w:val="20"/>
                                    </w:rPr>
                                    <w:t>(any)</w:t>
                                  </w:r>
                                </w:p>
                              </w:tc>
                            </w:tr>
                            <w:tr>
                              <w:trPr>
                                <w:trHeight w:val="229" w:hRule="atLeast"/>
                              </w:trPr>
                              <w:tc>
                                <w:tcPr>
                                  <w:tcW w:w="612" w:type="dxa"/>
                                </w:tcPr>
                                <w:p>
                                  <w:pPr>
                                    <w:pStyle w:val="TableParagraph"/>
                                    <w:spacing w:line="209" w:lineRule="exact"/>
                                    <w:ind w:left="50"/>
                                    <w:rPr>
                                      <w:sz w:val="20"/>
                                    </w:rPr>
                                  </w:pPr>
                                  <w:r>
                                    <w:rPr>
                                      <w:spacing w:val="-4"/>
                                      <w:sz w:val="20"/>
                                    </w:rPr>
                                    <w:t>6140</w:t>
                                  </w:r>
                                </w:p>
                              </w:tc>
                              <w:tc>
                                <w:tcPr>
                                  <w:tcW w:w="2504" w:type="dxa"/>
                                </w:tcPr>
                                <w:p>
                                  <w:pPr>
                                    <w:pStyle w:val="TableParagraph"/>
                                    <w:spacing w:line="209" w:lineRule="exact"/>
                                    <w:ind w:left="158"/>
                                    <w:rPr>
                                      <w:sz w:val="20"/>
                                    </w:rPr>
                                  </w:pPr>
                                  <w:r>
                                    <w:rPr>
                                      <w:sz w:val="20"/>
                                    </w:rPr>
                                    <w:t>Baoulé</w:t>
                                  </w:r>
                                  <w:r>
                                    <w:rPr>
                                      <w:spacing w:val="-6"/>
                                      <w:sz w:val="20"/>
                                    </w:rPr>
                                    <w:t> </w:t>
                                  </w:r>
                                  <w:r>
                                    <w:rPr>
                                      <w:spacing w:val="-2"/>
                                      <w:sz w:val="20"/>
                                    </w:rPr>
                                    <w:t>(bci)</w:t>
                                  </w:r>
                                </w:p>
                              </w:tc>
                            </w:tr>
                            <w:tr>
                              <w:trPr>
                                <w:trHeight w:val="229" w:hRule="atLeast"/>
                              </w:trPr>
                              <w:tc>
                                <w:tcPr>
                                  <w:tcW w:w="612" w:type="dxa"/>
                                </w:tcPr>
                                <w:p>
                                  <w:pPr>
                                    <w:pStyle w:val="TableParagraph"/>
                                    <w:spacing w:line="209" w:lineRule="exact"/>
                                    <w:ind w:left="50"/>
                                    <w:rPr>
                                      <w:sz w:val="20"/>
                                    </w:rPr>
                                  </w:pPr>
                                  <w:r>
                                    <w:rPr>
                                      <w:spacing w:val="-4"/>
                                      <w:sz w:val="20"/>
                                    </w:rPr>
                                    <w:t>6145</w:t>
                                  </w:r>
                                </w:p>
                              </w:tc>
                              <w:tc>
                                <w:tcPr>
                                  <w:tcW w:w="2504" w:type="dxa"/>
                                </w:tcPr>
                                <w:p>
                                  <w:pPr>
                                    <w:pStyle w:val="TableParagraph"/>
                                    <w:spacing w:line="209" w:lineRule="exact"/>
                                    <w:ind w:left="158"/>
                                    <w:rPr>
                                      <w:sz w:val="20"/>
                                    </w:rPr>
                                  </w:pPr>
                                  <w:r>
                                    <w:rPr>
                                      <w:sz w:val="20"/>
                                    </w:rPr>
                                    <w:t>Sehwi</w:t>
                                  </w:r>
                                  <w:r>
                                    <w:rPr>
                                      <w:spacing w:val="-10"/>
                                      <w:sz w:val="20"/>
                                    </w:rPr>
                                    <w:t> </w:t>
                                  </w:r>
                                  <w:r>
                                    <w:rPr>
                                      <w:spacing w:val="-2"/>
                                      <w:sz w:val="20"/>
                                    </w:rPr>
                                    <w:t>(sfw)</w:t>
                                  </w:r>
                                </w:p>
                              </w:tc>
                            </w:tr>
                            <w:tr>
                              <w:trPr>
                                <w:trHeight w:val="230" w:hRule="atLeast"/>
                              </w:trPr>
                              <w:tc>
                                <w:tcPr>
                                  <w:tcW w:w="612" w:type="dxa"/>
                                </w:tcPr>
                                <w:p>
                                  <w:pPr>
                                    <w:pStyle w:val="TableParagraph"/>
                                    <w:spacing w:line="211" w:lineRule="exact"/>
                                    <w:ind w:left="50"/>
                                    <w:rPr>
                                      <w:sz w:val="20"/>
                                    </w:rPr>
                                  </w:pPr>
                                  <w:r>
                                    <w:rPr>
                                      <w:spacing w:val="-4"/>
                                      <w:sz w:val="20"/>
                                    </w:rPr>
                                    <w:t>6150</w:t>
                                  </w:r>
                                </w:p>
                              </w:tc>
                              <w:tc>
                                <w:tcPr>
                                  <w:tcW w:w="2504" w:type="dxa"/>
                                </w:tcPr>
                                <w:p>
                                  <w:pPr>
                                    <w:pStyle w:val="TableParagraph"/>
                                    <w:spacing w:line="211" w:lineRule="exact"/>
                                    <w:ind w:left="158"/>
                                    <w:rPr>
                                      <w:sz w:val="20"/>
                                    </w:rPr>
                                  </w:pPr>
                                  <w:r>
                                    <w:rPr>
                                      <w:sz w:val="20"/>
                                    </w:rPr>
                                    <w:t>Nzima</w:t>
                                  </w:r>
                                  <w:r>
                                    <w:rPr>
                                      <w:spacing w:val="-8"/>
                                      <w:sz w:val="20"/>
                                    </w:rPr>
                                    <w:t> </w:t>
                                  </w:r>
                                  <w:r>
                                    <w:rPr>
                                      <w:spacing w:val="-2"/>
                                      <w:sz w:val="20"/>
                                    </w:rPr>
                                    <w:t>(nzi)</w:t>
                                  </w:r>
                                </w:p>
                              </w:tc>
                            </w:tr>
                            <w:tr>
                              <w:trPr>
                                <w:trHeight w:val="230" w:hRule="atLeast"/>
                              </w:trPr>
                              <w:tc>
                                <w:tcPr>
                                  <w:tcW w:w="612" w:type="dxa"/>
                                </w:tcPr>
                                <w:p>
                                  <w:pPr>
                                    <w:pStyle w:val="TableParagraph"/>
                                    <w:ind w:left="50"/>
                                    <w:rPr>
                                      <w:sz w:val="20"/>
                                    </w:rPr>
                                  </w:pPr>
                                  <w:r>
                                    <w:rPr>
                                      <w:spacing w:val="-4"/>
                                      <w:sz w:val="20"/>
                                    </w:rPr>
                                    <w:t>6155</w:t>
                                  </w:r>
                                </w:p>
                              </w:tc>
                              <w:tc>
                                <w:tcPr>
                                  <w:tcW w:w="2504" w:type="dxa"/>
                                </w:tcPr>
                                <w:p>
                                  <w:pPr>
                                    <w:pStyle w:val="TableParagraph"/>
                                    <w:ind w:left="158"/>
                                    <w:rPr>
                                      <w:sz w:val="20"/>
                                    </w:rPr>
                                  </w:pPr>
                                  <w:r>
                                    <w:rPr>
                                      <w:sz w:val="20"/>
                                    </w:rPr>
                                    <w:t>Gonja</w:t>
                                  </w:r>
                                  <w:r>
                                    <w:rPr>
                                      <w:spacing w:val="-4"/>
                                      <w:sz w:val="20"/>
                                    </w:rPr>
                                    <w:t> </w:t>
                                  </w:r>
                                  <w:r>
                                    <w:rPr>
                                      <w:spacing w:val="-2"/>
                                      <w:sz w:val="20"/>
                                    </w:rPr>
                                    <w:t>(gjn)</w:t>
                                  </w:r>
                                </w:p>
                              </w:tc>
                            </w:tr>
                            <w:tr>
                              <w:trPr>
                                <w:trHeight w:val="230" w:hRule="atLeast"/>
                              </w:trPr>
                              <w:tc>
                                <w:tcPr>
                                  <w:tcW w:w="612" w:type="dxa"/>
                                </w:tcPr>
                                <w:p>
                                  <w:pPr>
                                    <w:pStyle w:val="TableParagraph"/>
                                    <w:ind w:left="50"/>
                                    <w:rPr>
                                      <w:sz w:val="20"/>
                                    </w:rPr>
                                  </w:pPr>
                                  <w:r>
                                    <w:rPr>
                                      <w:spacing w:val="-4"/>
                                      <w:sz w:val="20"/>
                                    </w:rPr>
                                    <w:t>6160</w:t>
                                  </w:r>
                                </w:p>
                              </w:tc>
                              <w:tc>
                                <w:tcPr>
                                  <w:tcW w:w="2504" w:type="dxa"/>
                                </w:tcPr>
                                <w:p>
                                  <w:pPr>
                                    <w:pStyle w:val="TableParagraph"/>
                                    <w:ind w:left="158"/>
                                    <w:rPr>
                                      <w:sz w:val="20"/>
                                    </w:rPr>
                                  </w:pPr>
                                  <w:r>
                                    <w:rPr>
                                      <w:sz w:val="20"/>
                                    </w:rPr>
                                    <w:t>Krache</w:t>
                                  </w:r>
                                  <w:r>
                                    <w:rPr>
                                      <w:spacing w:val="-8"/>
                                      <w:sz w:val="20"/>
                                    </w:rPr>
                                    <w:t> </w:t>
                                  </w:r>
                                  <w:r>
                                    <w:rPr>
                                      <w:spacing w:val="-2"/>
                                      <w:sz w:val="20"/>
                                    </w:rPr>
                                    <w:t>(kye)</w:t>
                                  </w:r>
                                </w:p>
                              </w:tc>
                            </w:tr>
                            <w:tr>
                              <w:trPr>
                                <w:trHeight w:val="230" w:hRule="atLeast"/>
                              </w:trPr>
                              <w:tc>
                                <w:tcPr>
                                  <w:tcW w:w="612" w:type="dxa"/>
                                </w:tcPr>
                                <w:p>
                                  <w:pPr>
                                    <w:pStyle w:val="TableParagraph"/>
                                    <w:ind w:left="50"/>
                                    <w:rPr>
                                      <w:sz w:val="20"/>
                                    </w:rPr>
                                  </w:pPr>
                                  <w:r>
                                    <w:rPr>
                                      <w:spacing w:val="-4"/>
                                      <w:sz w:val="20"/>
                                    </w:rPr>
                                    <w:t>6165</w:t>
                                  </w:r>
                                </w:p>
                              </w:tc>
                              <w:tc>
                                <w:tcPr>
                                  <w:tcW w:w="2504" w:type="dxa"/>
                                </w:tcPr>
                                <w:p>
                                  <w:pPr>
                                    <w:pStyle w:val="TableParagraph"/>
                                    <w:ind w:left="158"/>
                                    <w:rPr>
                                      <w:sz w:val="20"/>
                                    </w:rPr>
                                  </w:pPr>
                                  <w:r>
                                    <w:rPr>
                                      <w:sz w:val="20"/>
                                    </w:rPr>
                                    <w:t>Nawuri</w:t>
                                  </w:r>
                                  <w:r>
                                    <w:rPr>
                                      <w:spacing w:val="-10"/>
                                      <w:sz w:val="20"/>
                                    </w:rPr>
                                    <w:t> </w:t>
                                  </w:r>
                                  <w:r>
                                    <w:rPr>
                                      <w:spacing w:val="-2"/>
                                      <w:sz w:val="20"/>
                                    </w:rPr>
                                    <w:t>(naw)</w:t>
                                  </w:r>
                                </w:p>
                              </w:tc>
                            </w:tr>
                            <w:tr>
                              <w:trPr>
                                <w:trHeight w:val="229" w:hRule="atLeast"/>
                              </w:trPr>
                              <w:tc>
                                <w:tcPr>
                                  <w:tcW w:w="612" w:type="dxa"/>
                                </w:tcPr>
                                <w:p>
                                  <w:pPr>
                                    <w:pStyle w:val="TableParagraph"/>
                                    <w:spacing w:line="209" w:lineRule="exact"/>
                                    <w:ind w:left="50"/>
                                    <w:rPr>
                                      <w:sz w:val="20"/>
                                    </w:rPr>
                                  </w:pPr>
                                  <w:r>
                                    <w:rPr>
                                      <w:spacing w:val="-4"/>
                                      <w:sz w:val="20"/>
                                    </w:rPr>
                                    <w:t>6170</w:t>
                                  </w:r>
                                </w:p>
                              </w:tc>
                              <w:tc>
                                <w:tcPr>
                                  <w:tcW w:w="2504" w:type="dxa"/>
                                </w:tcPr>
                                <w:p>
                                  <w:pPr>
                                    <w:pStyle w:val="TableParagraph"/>
                                    <w:spacing w:line="209" w:lineRule="exact"/>
                                    <w:ind w:left="158"/>
                                    <w:rPr>
                                      <w:sz w:val="20"/>
                                    </w:rPr>
                                  </w:pPr>
                                  <w:r>
                                    <w:rPr>
                                      <w:sz w:val="20"/>
                                    </w:rPr>
                                    <w:t>Awutu</w:t>
                                  </w:r>
                                  <w:r>
                                    <w:rPr>
                                      <w:spacing w:val="-6"/>
                                      <w:sz w:val="20"/>
                                    </w:rPr>
                                    <w:t> </w:t>
                                  </w:r>
                                  <w:r>
                                    <w:rPr>
                                      <w:spacing w:val="-2"/>
                                      <w:sz w:val="20"/>
                                    </w:rPr>
                                    <w:t>(afu)</w:t>
                                  </w:r>
                                </w:p>
                              </w:tc>
                            </w:tr>
                            <w:tr>
                              <w:trPr>
                                <w:trHeight w:val="229" w:hRule="atLeast"/>
                              </w:trPr>
                              <w:tc>
                                <w:tcPr>
                                  <w:tcW w:w="612" w:type="dxa"/>
                                </w:tcPr>
                                <w:p>
                                  <w:pPr>
                                    <w:pStyle w:val="TableParagraph"/>
                                    <w:spacing w:line="209" w:lineRule="exact"/>
                                    <w:ind w:left="50"/>
                                    <w:rPr>
                                      <w:sz w:val="20"/>
                                    </w:rPr>
                                  </w:pPr>
                                  <w:r>
                                    <w:rPr>
                                      <w:spacing w:val="-4"/>
                                      <w:sz w:val="20"/>
                                    </w:rPr>
                                    <w:t>6175</w:t>
                                  </w:r>
                                </w:p>
                              </w:tc>
                              <w:tc>
                                <w:tcPr>
                                  <w:tcW w:w="2504" w:type="dxa"/>
                                </w:tcPr>
                                <w:p>
                                  <w:pPr>
                                    <w:pStyle w:val="TableParagraph"/>
                                    <w:spacing w:line="209" w:lineRule="exact"/>
                                    <w:ind w:left="158"/>
                                    <w:rPr>
                                      <w:sz w:val="20"/>
                                    </w:rPr>
                                  </w:pPr>
                                  <w:r>
                                    <w:rPr>
                                      <w:sz w:val="20"/>
                                    </w:rPr>
                                    <w:t>Larteh</w:t>
                                  </w:r>
                                  <w:r>
                                    <w:rPr>
                                      <w:spacing w:val="-8"/>
                                      <w:sz w:val="20"/>
                                    </w:rPr>
                                    <w:t> </w:t>
                                  </w:r>
                                  <w:r>
                                    <w:rPr>
                                      <w:spacing w:val="-2"/>
                                      <w:sz w:val="20"/>
                                    </w:rPr>
                                    <w:t>(lar)</w:t>
                                  </w:r>
                                </w:p>
                              </w:tc>
                            </w:tr>
                            <w:tr>
                              <w:trPr>
                                <w:trHeight w:val="230" w:hRule="atLeast"/>
                              </w:trPr>
                              <w:tc>
                                <w:tcPr>
                                  <w:tcW w:w="612" w:type="dxa"/>
                                </w:tcPr>
                                <w:p>
                                  <w:pPr>
                                    <w:pStyle w:val="TableParagraph"/>
                                    <w:ind w:left="50"/>
                                    <w:rPr>
                                      <w:sz w:val="20"/>
                                    </w:rPr>
                                  </w:pPr>
                                  <w:r>
                                    <w:rPr>
                                      <w:spacing w:val="-4"/>
                                      <w:sz w:val="20"/>
                                    </w:rPr>
                                    <w:t>6180</w:t>
                                  </w:r>
                                </w:p>
                              </w:tc>
                              <w:tc>
                                <w:tcPr>
                                  <w:tcW w:w="2504" w:type="dxa"/>
                                </w:tcPr>
                                <w:p>
                                  <w:pPr>
                                    <w:pStyle w:val="TableParagraph"/>
                                    <w:ind w:left="158"/>
                                    <w:rPr>
                                      <w:sz w:val="20"/>
                                    </w:rPr>
                                  </w:pPr>
                                  <w:r>
                                    <w:rPr>
                                      <w:sz w:val="20"/>
                                    </w:rPr>
                                    <w:t>Logba</w:t>
                                  </w:r>
                                  <w:r>
                                    <w:rPr>
                                      <w:spacing w:val="-8"/>
                                      <w:sz w:val="20"/>
                                    </w:rPr>
                                    <w:t> </w:t>
                                  </w:r>
                                  <w:r>
                                    <w:rPr>
                                      <w:spacing w:val="-2"/>
                                      <w:sz w:val="20"/>
                                    </w:rPr>
                                    <w:t>(lgq)</w:t>
                                  </w:r>
                                </w:p>
                              </w:tc>
                            </w:tr>
                            <w:tr>
                              <w:trPr>
                                <w:trHeight w:val="230" w:hRule="atLeast"/>
                              </w:trPr>
                              <w:tc>
                                <w:tcPr>
                                  <w:tcW w:w="612" w:type="dxa"/>
                                </w:tcPr>
                                <w:p>
                                  <w:pPr>
                                    <w:pStyle w:val="TableParagraph"/>
                                    <w:ind w:left="50"/>
                                    <w:rPr>
                                      <w:sz w:val="20"/>
                                    </w:rPr>
                                  </w:pPr>
                                  <w:r>
                                    <w:rPr>
                                      <w:spacing w:val="-4"/>
                                      <w:sz w:val="20"/>
                                    </w:rPr>
                                    <w:t>6185</w:t>
                                  </w:r>
                                </w:p>
                              </w:tc>
                              <w:tc>
                                <w:tcPr>
                                  <w:tcW w:w="2504" w:type="dxa"/>
                                </w:tcPr>
                                <w:p>
                                  <w:pPr>
                                    <w:pStyle w:val="TableParagraph"/>
                                    <w:ind w:left="158"/>
                                    <w:rPr>
                                      <w:sz w:val="20"/>
                                    </w:rPr>
                                  </w:pPr>
                                  <w:r>
                                    <w:rPr>
                                      <w:sz w:val="20"/>
                                    </w:rPr>
                                    <w:t>Sekpele</w:t>
                                  </w:r>
                                  <w:r>
                                    <w:rPr>
                                      <w:spacing w:val="-8"/>
                                      <w:sz w:val="20"/>
                                    </w:rPr>
                                    <w:t> </w:t>
                                  </w:r>
                                  <w:r>
                                    <w:rPr>
                                      <w:spacing w:val="-2"/>
                                      <w:sz w:val="20"/>
                                    </w:rPr>
                                    <w:t>(lip)</w:t>
                                  </w:r>
                                </w:p>
                              </w:tc>
                            </w:tr>
                            <w:tr>
                              <w:trPr>
                                <w:trHeight w:val="230" w:hRule="atLeast"/>
                              </w:trPr>
                              <w:tc>
                                <w:tcPr>
                                  <w:tcW w:w="612" w:type="dxa"/>
                                </w:tcPr>
                                <w:p>
                                  <w:pPr>
                                    <w:pStyle w:val="TableParagraph"/>
                                    <w:ind w:left="50"/>
                                    <w:rPr>
                                      <w:sz w:val="20"/>
                                    </w:rPr>
                                  </w:pPr>
                                  <w:r>
                                    <w:rPr>
                                      <w:spacing w:val="-4"/>
                                      <w:sz w:val="20"/>
                                    </w:rPr>
                                    <w:t>6190</w:t>
                                  </w:r>
                                </w:p>
                              </w:tc>
                              <w:tc>
                                <w:tcPr>
                                  <w:tcW w:w="2504" w:type="dxa"/>
                                </w:tcPr>
                                <w:p>
                                  <w:pPr>
                                    <w:pStyle w:val="TableParagraph"/>
                                    <w:ind w:left="158"/>
                                    <w:rPr>
                                      <w:sz w:val="20"/>
                                    </w:rPr>
                                  </w:pPr>
                                  <w:r>
                                    <w:rPr>
                                      <w:sz w:val="20"/>
                                    </w:rPr>
                                    <w:t>Adioukrou</w:t>
                                  </w:r>
                                  <w:r>
                                    <w:rPr>
                                      <w:spacing w:val="-12"/>
                                      <w:sz w:val="20"/>
                                    </w:rPr>
                                    <w:t> </w:t>
                                  </w:r>
                                  <w:r>
                                    <w:rPr>
                                      <w:spacing w:val="-2"/>
                                      <w:sz w:val="20"/>
                                    </w:rPr>
                                    <w:t>(adj)</w:t>
                                  </w:r>
                                </w:p>
                              </w:tc>
                            </w:tr>
                            <w:tr>
                              <w:trPr>
                                <w:trHeight w:val="229" w:hRule="atLeast"/>
                              </w:trPr>
                              <w:tc>
                                <w:tcPr>
                                  <w:tcW w:w="612" w:type="dxa"/>
                                </w:tcPr>
                                <w:p>
                                  <w:pPr>
                                    <w:pStyle w:val="TableParagraph"/>
                                    <w:spacing w:line="209" w:lineRule="exact"/>
                                    <w:ind w:left="50"/>
                                    <w:rPr>
                                      <w:sz w:val="20"/>
                                    </w:rPr>
                                  </w:pPr>
                                  <w:r>
                                    <w:rPr>
                                      <w:spacing w:val="-4"/>
                                      <w:sz w:val="20"/>
                                    </w:rPr>
                                    <w:t>6195</w:t>
                                  </w:r>
                                </w:p>
                              </w:tc>
                              <w:tc>
                                <w:tcPr>
                                  <w:tcW w:w="2504" w:type="dxa"/>
                                </w:tcPr>
                                <w:p>
                                  <w:pPr>
                                    <w:pStyle w:val="TableParagraph"/>
                                    <w:spacing w:line="209" w:lineRule="exact"/>
                                    <w:ind w:left="158"/>
                                    <w:rPr>
                                      <w:sz w:val="20"/>
                                    </w:rPr>
                                  </w:pPr>
                                  <w:r>
                                    <w:rPr>
                                      <w:sz w:val="20"/>
                                    </w:rPr>
                                    <w:t>Attié</w:t>
                                  </w:r>
                                  <w:r>
                                    <w:rPr>
                                      <w:spacing w:val="-6"/>
                                      <w:sz w:val="20"/>
                                    </w:rPr>
                                    <w:t> </w:t>
                                  </w:r>
                                  <w:r>
                                    <w:rPr>
                                      <w:spacing w:val="-2"/>
                                      <w:sz w:val="20"/>
                                    </w:rPr>
                                    <w:t>(ati)</w:t>
                                  </w:r>
                                </w:p>
                              </w:tc>
                            </w:tr>
                            <w:tr>
                              <w:trPr>
                                <w:trHeight w:val="229" w:hRule="atLeast"/>
                              </w:trPr>
                              <w:tc>
                                <w:tcPr>
                                  <w:tcW w:w="612" w:type="dxa"/>
                                </w:tcPr>
                                <w:p>
                                  <w:pPr>
                                    <w:pStyle w:val="TableParagraph"/>
                                    <w:spacing w:line="209" w:lineRule="exact"/>
                                    <w:ind w:left="50"/>
                                    <w:rPr>
                                      <w:sz w:val="20"/>
                                    </w:rPr>
                                  </w:pPr>
                                  <w:r>
                                    <w:rPr>
                                      <w:spacing w:val="-4"/>
                                      <w:sz w:val="20"/>
                                    </w:rPr>
                                    <w:t>6200</w:t>
                                  </w:r>
                                </w:p>
                              </w:tc>
                              <w:tc>
                                <w:tcPr>
                                  <w:tcW w:w="2504" w:type="dxa"/>
                                </w:tcPr>
                                <w:p>
                                  <w:pPr>
                                    <w:pStyle w:val="TableParagraph"/>
                                    <w:spacing w:line="209" w:lineRule="exact"/>
                                    <w:ind w:left="158"/>
                                    <w:rPr>
                                      <w:sz w:val="20"/>
                                    </w:rPr>
                                  </w:pPr>
                                  <w:r>
                                    <w:rPr>
                                      <w:sz w:val="20"/>
                                    </w:rPr>
                                    <w:t>Adangme</w:t>
                                  </w:r>
                                  <w:r>
                                    <w:rPr>
                                      <w:spacing w:val="-11"/>
                                      <w:sz w:val="20"/>
                                    </w:rPr>
                                    <w:t> </w:t>
                                  </w:r>
                                  <w:r>
                                    <w:rPr>
                                      <w:spacing w:val="-2"/>
                                      <w:sz w:val="20"/>
                                    </w:rPr>
                                    <w:t>(ada)</w:t>
                                  </w:r>
                                </w:p>
                              </w:tc>
                            </w:tr>
                            <w:tr>
                              <w:trPr>
                                <w:trHeight w:val="230" w:hRule="atLeast"/>
                              </w:trPr>
                              <w:tc>
                                <w:tcPr>
                                  <w:tcW w:w="612" w:type="dxa"/>
                                </w:tcPr>
                                <w:p>
                                  <w:pPr>
                                    <w:pStyle w:val="TableParagraph"/>
                                    <w:ind w:left="50"/>
                                    <w:rPr>
                                      <w:sz w:val="20"/>
                                    </w:rPr>
                                  </w:pPr>
                                  <w:r>
                                    <w:rPr>
                                      <w:spacing w:val="-4"/>
                                      <w:sz w:val="20"/>
                                    </w:rPr>
                                    <w:t>6205</w:t>
                                  </w:r>
                                </w:p>
                              </w:tc>
                              <w:tc>
                                <w:tcPr>
                                  <w:tcW w:w="2504" w:type="dxa"/>
                                </w:tcPr>
                                <w:p>
                                  <w:pPr>
                                    <w:pStyle w:val="TableParagraph"/>
                                    <w:ind w:left="158"/>
                                    <w:rPr>
                                      <w:sz w:val="20"/>
                                    </w:rPr>
                                  </w:pPr>
                                  <w:r>
                                    <w:rPr>
                                      <w:sz w:val="20"/>
                                    </w:rPr>
                                    <w:t>Ga</w:t>
                                  </w:r>
                                  <w:r>
                                    <w:rPr>
                                      <w:spacing w:val="-3"/>
                                      <w:sz w:val="20"/>
                                    </w:rPr>
                                    <w:t> </w:t>
                                  </w:r>
                                  <w:r>
                                    <w:rPr>
                                      <w:spacing w:val="-2"/>
                                      <w:sz w:val="20"/>
                                    </w:rPr>
                                    <w:t>(gaa)</w:t>
                                  </w:r>
                                </w:p>
                              </w:tc>
                            </w:tr>
                            <w:tr>
                              <w:trPr>
                                <w:trHeight w:val="230" w:hRule="atLeast"/>
                              </w:trPr>
                              <w:tc>
                                <w:tcPr>
                                  <w:tcW w:w="612" w:type="dxa"/>
                                </w:tcPr>
                                <w:p>
                                  <w:pPr>
                                    <w:pStyle w:val="TableParagraph"/>
                                    <w:ind w:left="50"/>
                                    <w:rPr>
                                      <w:sz w:val="20"/>
                                    </w:rPr>
                                  </w:pPr>
                                  <w:r>
                                    <w:rPr>
                                      <w:spacing w:val="-4"/>
                                      <w:sz w:val="20"/>
                                    </w:rPr>
                                    <w:t>6210</w:t>
                                  </w:r>
                                </w:p>
                              </w:tc>
                              <w:tc>
                                <w:tcPr>
                                  <w:tcW w:w="2504" w:type="dxa"/>
                                </w:tcPr>
                                <w:p>
                                  <w:pPr>
                                    <w:pStyle w:val="TableParagraph"/>
                                    <w:ind w:left="158"/>
                                    <w:rPr>
                                      <w:sz w:val="20"/>
                                    </w:rPr>
                                  </w:pPr>
                                  <w:r>
                                    <w:rPr>
                                      <w:sz w:val="20"/>
                                    </w:rPr>
                                    <w:t>Adangbe</w:t>
                                  </w:r>
                                  <w:r>
                                    <w:rPr>
                                      <w:spacing w:val="-11"/>
                                      <w:sz w:val="20"/>
                                    </w:rPr>
                                    <w:t> </w:t>
                                  </w:r>
                                  <w:r>
                                    <w:rPr>
                                      <w:spacing w:val="-2"/>
                                      <w:sz w:val="20"/>
                                    </w:rPr>
                                    <w:t>(adq)</w:t>
                                  </w:r>
                                </w:p>
                              </w:tc>
                            </w:tr>
                            <w:tr>
                              <w:trPr>
                                <w:trHeight w:val="230" w:hRule="atLeast"/>
                              </w:trPr>
                              <w:tc>
                                <w:tcPr>
                                  <w:tcW w:w="612" w:type="dxa"/>
                                </w:tcPr>
                                <w:p>
                                  <w:pPr>
                                    <w:pStyle w:val="TableParagraph"/>
                                    <w:ind w:left="50"/>
                                    <w:rPr>
                                      <w:sz w:val="20"/>
                                    </w:rPr>
                                  </w:pPr>
                                  <w:r>
                                    <w:rPr>
                                      <w:spacing w:val="-4"/>
                                      <w:sz w:val="20"/>
                                    </w:rPr>
                                    <w:t>6215</w:t>
                                  </w:r>
                                </w:p>
                              </w:tc>
                              <w:tc>
                                <w:tcPr>
                                  <w:tcW w:w="2504" w:type="dxa"/>
                                </w:tcPr>
                                <w:p>
                                  <w:pPr>
                                    <w:pStyle w:val="TableParagraph"/>
                                    <w:ind w:left="158"/>
                                    <w:rPr>
                                      <w:sz w:val="20"/>
                                    </w:rPr>
                                  </w:pPr>
                                  <w:r>
                                    <w:rPr>
                                      <w:sz w:val="20"/>
                                    </w:rPr>
                                    <w:t>Ikposo</w:t>
                                  </w:r>
                                  <w:r>
                                    <w:rPr>
                                      <w:spacing w:val="-6"/>
                                      <w:sz w:val="20"/>
                                    </w:rPr>
                                    <w:t> </w:t>
                                  </w:r>
                                  <w:r>
                                    <w:rPr>
                                      <w:spacing w:val="-2"/>
                                      <w:sz w:val="20"/>
                                    </w:rPr>
                                    <w:t>(kpo)</w:t>
                                  </w:r>
                                </w:p>
                              </w:tc>
                            </w:tr>
                            <w:tr>
                              <w:trPr>
                                <w:trHeight w:val="230" w:hRule="atLeast"/>
                              </w:trPr>
                              <w:tc>
                                <w:tcPr>
                                  <w:tcW w:w="612" w:type="dxa"/>
                                </w:tcPr>
                                <w:p>
                                  <w:pPr>
                                    <w:pStyle w:val="TableParagraph"/>
                                    <w:spacing w:line="211" w:lineRule="exact"/>
                                    <w:ind w:left="50"/>
                                    <w:rPr>
                                      <w:sz w:val="20"/>
                                    </w:rPr>
                                  </w:pPr>
                                  <w:r>
                                    <w:rPr>
                                      <w:spacing w:val="-4"/>
                                      <w:sz w:val="20"/>
                                    </w:rPr>
                                    <w:t>6220</w:t>
                                  </w:r>
                                </w:p>
                              </w:tc>
                              <w:tc>
                                <w:tcPr>
                                  <w:tcW w:w="2504" w:type="dxa"/>
                                </w:tcPr>
                                <w:p>
                                  <w:pPr>
                                    <w:pStyle w:val="TableParagraph"/>
                                    <w:spacing w:line="211" w:lineRule="exact"/>
                                    <w:ind w:left="158"/>
                                    <w:rPr>
                                      <w:sz w:val="20"/>
                                    </w:rPr>
                                  </w:pPr>
                                  <w:r>
                                    <w:rPr>
                                      <w:sz w:val="20"/>
                                    </w:rPr>
                                    <w:t>Aja</w:t>
                                  </w:r>
                                  <w:r>
                                    <w:rPr>
                                      <w:spacing w:val="-6"/>
                                      <w:sz w:val="20"/>
                                    </w:rPr>
                                    <w:t> </w:t>
                                  </w:r>
                                  <w:r>
                                    <w:rPr>
                                      <w:sz w:val="20"/>
                                    </w:rPr>
                                    <w:t>(Benin)</w:t>
                                  </w:r>
                                  <w:r>
                                    <w:rPr>
                                      <w:spacing w:val="-6"/>
                                      <w:sz w:val="20"/>
                                    </w:rPr>
                                    <w:t> </w:t>
                                  </w:r>
                                  <w:r>
                                    <w:rPr>
                                      <w:spacing w:val="-2"/>
                                      <w:sz w:val="20"/>
                                    </w:rPr>
                                    <w:t>(ajg)</w:t>
                                  </w:r>
                                </w:p>
                              </w:tc>
                            </w:tr>
                            <w:tr>
                              <w:trPr>
                                <w:trHeight w:val="229" w:hRule="atLeast"/>
                              </w:trPr>
                              <w:tc>
                                <w:tcPr>
                                  <w:tcW w:w="612" w:type="dxa"/>
                                </w:tcPr>
                                <w:p>
                                  <w:pPr>
                                    <w:pStyle w:val="TableParagraph"/>
                                    <w:spacing w:line="209" w:lineRule="exact"/>
                                    <w:ind w:left="50"/>
                                    <w:rPr>
                                      <w:sz w:val="20"/>
                                    </w:rPr>
                                  </w:pPr>
                                  <w:r>
                                    <w:rPr>
                                      <w:spacing w:val="-4"/>
                                      <w:sz w:val="20"/>
                                    </w:rPr>
                                    <w:t>6225</w:t>
                                  </w:r>
                                </w:p>
                              </w:tc>
                              <w:tc>
                                <w:tcPr>
                                  <w:tcW w:w="2504" w:type="dxa"/>
                                </w:tcPr>
                                <w:p>
                                  <w:pPr>
                                    <w:pStyle w:val="TableParagraph"/>
                                    <w:spacing w:line="209" w:lineRule="exact"/>
                                    <w:ind w:left="158"/>
                                    <w:rPr>
                                      <w:sz w:val="20"/>
                                    </w:rPr>
                                  </w:pPr>
                                  <w:r>
                                    <w:rPr>
                                      <w:sz w:val="20"/>
                                    </w:rPr>
                                    <w:t>Gun</w:t>
                                  </w:r>
                                  <w:r>
                                    <w:rPr>
                                      <w:spacing w:val="-4"/>
                                      <w:sz w:val="20"/>
                                    </w:rPr>
                                    <w:t> </w:t>
                                  </w:r>
                                  <w:r>
                                    <w:rPr>
                                      <w:spacing w:val="-2"/>
                                      <w:sz w:val="20"/>
                                    </w:rPr>
                                    <w:t>(guw)</w:t>
                                  </w:r>
                                </w:p>
                              </w:tc>
                            </w:tr>
                            <w:tr>
                              <w:trPr>
                                <w:trHeight w:val="229" w:hRule="atLeast"/>
                              </w:trPr>
                              <w:tc>
                                <w:tcPr>
                                  <w:tcW w:w="612" w:type="dxa"/>
                                </w:tcPr>
                                <w:p>
                                  <w:pPr>
                                    <w:pStyle w:val="TableParagraph"/>
                                    <w:spacing w:line="209" w:lineRule="exact"/>
                                    <w:ind w:left="50"/>
                                    <w:rPr>
                                      <w:sz w:val="20"/>
                                    </w:rPr>
                                  </w:pPr>
                                  <w:r>
                                    <w:rPr>
                                      <w:spacing w:val="-4"/>
                                      <w:sz w:val="20"/>
                                    </w:rPr>
                                    <w:t>6230</w:t>
                                  </w:r>
                                </w:p>
                              </w:tc>
                              <w:tc>
                                <w:tcPr>
                                  <w:tcW w:w="2504" w:type="dxa"/>
                                </w:tcPr>
                                <w:p>
                                  <w:pPr>
                                    <w:pStyle w:val="TableParagraph"/>
                                    <w:spacing w:line="209" w:lineRule="exact"/>
                                    <w:ind w:left="158"/>
                                    <w:rPr>
                                      <w:sz w:val="20"/>
                                    </w:rPr>
                                  </w:pPr>
                                  <w:r>
                                    <w:rPr>
                                      <w:sz w:val="20"/>
                                    </w:rPr>
                                    <w:t>Ewe</w:t>
                                  </w:r>
                                  <w:r>
                                    <w:rPr>
                                      <w:spacing w:val="-7"/>
                                      <w:sz w:val="20"/>
                                    </w:rPr>
                                    <w:t> </w:t>
                                  </w:r>
                                  <w:r>
                                    <w:rPr>
                                      <w:spacing w:val="-2"/>
                                      <w:sz w:val="20"/>
                                    </w:rPr>
                                    <w:t>(ewe)</w:t>
                                  </w:r>
                                </w:p>
                              </w:tc>
                            </w:tr>
                            <w:tr>
                              <w:trPr>
                                <w:trHeight w:val="230" w:hRule="atLeast"/>
                              </w:trPr>
                              <w:tc>
                                <w:tcPr>
                                  <w:tcW w:w="612" w:type="dxa"/>
                                </w:tcPr>
                                <w:p>
                                  <w:pPr>
                                    <w:pStyle w:val="TableParagraph"/>
                                    <w:ind w:left="50"/>
                                    <w:rPr>
                                      <w:sz w:val="20"/>
                                    </w:rPr>
                                  </w:pPr>
                                  <w:r>
                                    <w:rPr>
                                      <w:spacing w:val="-4"/>
                                      <w:sz w:val="20"/>
                                    </w:rPr>
                                    <w:t>6235</w:t>
                                  </w:r>
                                </w:p>
                              </w:tc>
                              <w:tc>
                                <w:tcPr>
                                  <w:tcW w:w="2504" w:type="dxa"/>
                                </w:tcPr>
                                <w:p>
                                  <w:pPr>
                                    <w:pStyle w:val="TableParagraph"/>
                                    <w:ind w:left="158"/>
                                    <w:rPr>
                                      <w:sz w:val="20"/>
                                    </w:rPr>
                                  </w:pPr>
                                  <w:r>
                                    <w:rPr>
                                      <w:sz w:val="20"/>
                                    </w:rPr>
                                    <w:t>Fon</w:t>
                                  </w:r>
                                  <w:r>
                                    <w:rPr>
                                      <w:spacing w:val="-5"/>
                                      <w:sz w:val="20"/>
                                    </w:rPr>
                                    <w:t> </w:t>
                                  </w:r>
                                  <w:r>
                                    <w:rPr>
                                      <w:spacing w:val="-2"/>
                                      <w:sz w:val="20"/>
                                    </w:rPr>
                                    <w:t>(fon)</w:t>
                                  </w:r>
                                </w:p>
                              </w:tc>
                            </w:tr>
                            <w:tr>
                              <w:trPr>
                                <w:trHeight w:val="230" w:hRule="atLeast"/>
                              </w:trPr>
                              <w:tc>
                                <w:tcPr>
                                  <w:tcW w:w="612" w:type="dxa"/>
                                </w:tcPr>
                                <w:p>
                                  <w:pPr>
                                    <w:pStyle w:val="TableParagraph"/>
                                    <w:ind w:left="50"/>
                                    <w:rPr>
                                      <w:sz w:val="20"/>
                                    </w:rPr>
                                  </w:pPr>
                                  <w:r>
                                    <w:rPr>
                                      <w:spacing w:val="-4"/>
                                      <w:sz w:val="20"/>
                                    </w:rPr>
                                    <w:t>6240</w:t>
                                  </w:r>
                                </w:p>
                              </w:tc>
                              <w:tc>
                                <w:tcPr>
                                  <w:tcW w:w="2504" w:type="dxa"/>
                                </w:tcPr>
                                <w:p>
                                  <w:pPr>
                                    <w:pStyle w:val="TableParagraph"/>
                                    <w:ind w:left="158"/>
                                    <w:rPr>
                                      <w:sz w:val="20"/>
                                    </w:rPr>
                                  </w:pPr>
                                  <w:r>
                                    <w:rPr>
                                      <w:sz w:val="20"/>
                                    </w:rPr>
                                    <w:t>Gen</w:t>
                                  </w:r>
                                  <w:r>
                                    <w:rPr>
                                      <w:spacing w:val="-5"/>
                                      <w:sz w:val="20"/>
                                    </w:rPr>
                                    <w:t> </w:t>
                                  </w:r>
                                  <w:r>
                                    <w:rPr>
                                      <w:spacing w:val="-2"/>
                                      <w:sz w:val="20"/>
                                    </w:rPr>
                                    <w:t>(gej)</w:t>
                                  </w:r>
                                </w:p>
                              </w:tc>
                            </w:tr>
                            <w:tr>
                              <w:trPr>
                                <w:trHeight w:val="225" w:hRule="atLeast"/>
                              </w:trPr>
                              <w:tc>
                                <w:tcPr>
                                  <w:tcW w:w="612" w:type="dxa"/>
                                </w:tcPr>
                                <w:p>
                                  <w:pPr>
                                    <w:pStyle w:val="TableParagraph"/>
                                    <w:spacing w:line="205" w:lineRule="exact"/>
                                    <w:ind w:left="50"/>
                                    <w:rPr>
                                      <w:sz w:val="20"/>
                                    </w:rPr>
                                  </w:pPr>
                                  <w:r>
                                    <w:rPr>
                                      <w:spacing w:val="-4"/>
                                      <w:sz w:val="20"/>
                                    </w:rPr>
                                    <w:t>6245</w:t>
                                  </w:r>
                                </w:p>
                              </w:tc>
                              <w:tc>
                                <w:tcPr>
                                  <w:tcW w:w="2504" w:type="dxa"/>
                                </w:tcPr>
                                <w:p>
                                  <w:pPr>
                                    <w:pStyle w:val="TableParagraph"/>
                                    <w:spacing w:line="205" w:lineRule="exact"/>
                                    <w:ind w:left="158"/>
                                    <w:rPr>
                                      <w:sz w:val="20"/>
                                    </w:rPr>
                                  </w:pPr>
                                  <w:r>
                                    <w:rPr>
                                      <w:sz w:val="20"/>
                                    </w:rPr>
                                    <w:t>Waci</w:t>
                                  </w:r>
                                  <w:r>
                                    <w:rPr>
                                      <w:spacing w:val="-4"/>
                                      <w:sz w:val="20"/>
                                    </w:rPr>
                                    <w:t> </w:t>
                                  </w:r>
                                  <w:r>
                                    <w:rPr>
                                      <w:sz w:val="20"/>
                                    </w:rPr>
                                    <w:t>Gbe</w:t>
                                  </w:r>
                                  <w:r>
                                    <w:rPr>
                                      <w:spacing w:val="-3"/>
                                      <w:sz w:val="20"/>
                                    </w:rPr>
                                    <w:t> </w:t>
                                  </w:r>
                                  <w:r>
                                    <w:rPr>
                                      <w:spacing w:val="-2"/>
                                      <w:sz w:val="20"/>
                                    </w:rPr>
                                    <w:t>(wci)</w:t>
                                  </w:r>
                                </w:p>
                              </w:tc>
                            </w:tr>
                            <w:tr>
                              <w:trPr>
                                <w:trHeight w:val="468" w:hRule="atLeast"/>
                              </w:trPr>
                              <w:tc>
                                <w:tcPr>
                                  <w:tcW w:w="3116" w:type="dxa"/>
                                  <w:gridSpan w:val="2"/>
                                </w:tcPr>
                                <w:p>
                                  <w:pPr>
                                    <w:pStyle w:val="TableParagraph"/>
                                    <w:spacing w:line="240" w:lineRule="auto" w:before="1"/>
                                    <w:rPr>
                                      <w:i/>
                                      <w:sz w:val="20"/>
                                    </w:rPr>
                                  </w:pPr>
                                </w:p>
                                <w:p>
                                  <w:pPr>
                                    <w:pStyle w:val="TableParagraph"/>
                                    <w:spacing w:line="217" w:lineRule="exact"/>
                                    <w:ind w:left="50"/>
                                    <w:rPr>
                                      <w:i/>
                                      <w:sz w:val="20"/>
                                    </w:rPr>
                                  </w:pPr>
                                  <w:r>
                                    <w:rPr>
                                      <w:i/>
                                      <w:sz w:val="20"/>
                                    </w:rPr>
                                    <w:t>Ijoid</w:t>
                                  </w:r>
                                  <w:r>
                                    <w:rPr>
                                      <w:i/>
                                      <w:spacing w:val="-7"/>
                                      <w:sz w:val="20"/>
                                    </w:rPr>
                                    <w:t> </w:t>
                                  </w:r>
                                  <w:r>
                                    <w:rPr>
                                      <w:i/>
                                      <w:sz w:val="20"/>
                                    </w:rPr>
                                    <w:t>languages</w:t>
                                  </w:r>
                                  <w:r>
                                    <w:rPr>
                                      <w:i/>
                                      <w:spacing w:val="-8"/>
                                      <w:sz w:val="20"/>
                                    </w:rPr>
                                    <w:t> </w:t>
                                  </w:r>
                                  <w:r>
                                    <w:rPr>
                                      <w:i/>
                                      <w:sz w:val="20"/>
                                    </w:rPr>
                                    <w:t>(6250-</w:t>
                                  </w:r>
                                  <w:r>
                                    <w:rPr>
                                      <w:i/>
                                      <w:spacing w:val="-4"/>
                                      <w:sz w:val="20"/>
                                    </w:rPr>
                                    <w:t>6284)</w:t>
                                  </w:r>
                                </w:p>
                              </w:tc>
                            </w:tr>
                            <w:tr>
                              <w:trPr>
                                <w:trHeight w:val="225" w:hRule="atLeast"/>
                              </w:trPr>
                              <w:tc>
                                <w:tcPr>
                                  <w:tcW w:w="612" w:type="dxa"/>
                                </w:tcPr>
                                <w:p>
                                  <w:pPr>
                                    <w:pStyle w:val="TableParagraph"/>
                                    <w:spacing w:line="205" w:lineRule="exact"/>
                                    <w:ind w:left="50"/>
                                    <w:rPr>
                                      <w:sz w:val="20"/>
                                    </w:rPr>
                                  </w:pPr>
                                  <w:r>
                                    <w:rPr>
                                      <w:spacing w:val="-4"/>
                                      <w:sz w:val="20"/>
                                    </w:rPr>
                                    <w:t>6250</w:t>
                                  </w:r>
                                </w:p>
                              </w:tc>
                              <w:tc>
                                <w:tcPr>
                                  <w:tcW w:w="2504" w:type="dxa"/>
                                </w:tcPr>
                                <w:p>
                                  <w:pPr>
                                    <w:pStyle w:val="TableParagraph"/>
                                    <w:spacing w:line="205" w:lineRule="exact"/>
                                    <w:ind w:left="158"/>
                                    <w:rPr>
                                      <w:sz w:val="20"/>
                                    </w:rPr>
                                  </w:pPr>
                                  <w:r>
                                    <w:rPr>
                                      <w:sz w:val="20"/>
                                    </w:rPr>
                                    <w:t>Southeast</w:t>
                                  </w:r>
                                  <w:r>
                                    <w:rPr>
                                      <w:spacing w:val="-6"/>
                                      <w:sz w:val="20"/>
                                    </w:rPr>
                                    <w:t> </w:t>
                                  </w:r>
                                  <w:r>
                                    <w:rPr>
                                      <w:sz w:val="20"/>
                                    </w:rPr>
                                    <w:t>Ijo</w:t>
                                  </w:r>
                                  <w:r>
                                    <w:rPr>
                                      <w:spacing w:val="-4"/>
                                      <w:sz w:val="20"/>
                                    </w:rPr>
                                    <w:t> </w:t>
                                  </w:r>
                                  <w:r>
                                    <w:rPr>
                                      <w:spacing w:val="-2"/>
                                      <w:sz w:val="20"/>
                                    </w:rPr>
                                    <w:t>(ijs)</w:t>
                                  </w:r>
                                </w:p>
                              </w:tc>
                            </w:tr>
                            <w:tr>
                              <w:trPr>
                                <w:trHeight w:val="230" w:hRule="atLeast"/>
                              </w:trPr>
                              <w:tc>
                                <w:tcPr>
                                  <w:tcW w:w="612" w:type="dxa"/>
                                </w:tcPr>
                                <w:p>
                                  <w:pPr>
                                    <w:pStyle w:val="TableParagraph"/>
                                    <w:ind w:left="50"/>
                                    <w:rPr>
                                      <w:sz w:val="20"/>
                                    </w:rPr>
                                  </w:pPr>
                                  <w:r>
                                    <w:rPr>
                                      <w:spacing w:val="-4"/>
                                      <w:sz w:val="20"/>
                                    </w:rPr>
                                    <w:t>6255</w:t>
                                  </w:r>
                                </w:p>
                              </w:tc>
                              <w:tc>
                                <w:tcPr>
                                  <w:tcW w:w="2504" w:type="dxa"/>
                                </w:tcPr>
                                <w:p>
                                  <w:pPr>
                                    <w:pStyle w:val="TableParagraph"/>
                                    <w:ind w:left="158"/>
                                    <w:rPr>
                                      <w:sz w:val="20"/>
                                    </w:rPr>
                                  </w:pPr>
                                  <w:r>
                                    <w:rPr>
                                      <w:sz w:val="20"/>
                                    </w:rPr>
                                    <w:t>Ibani</w:t>
                                  </w:r>
                                  <w:r>
                                    <w:rPr>
                                      <w:spacing w:val="-6"/>
                                      <w:sz w:val="20"/>
                                    </w:rPr>
                                    <w:t> </w:t>
                                  </w:r>
                                  <w:r>
                                    <w:rPr>
                                      <w:spacing w:val="-2"/>
                                      <w:sz w:val="20"/>
                                    </w:rPr>
                                    <w:t>(iby)</w:t>
                                  </w:r>
                                </w:p>
                              </w:tc>
                            </w:tr>
                            <w:tr>
                              <w:trPr>
                                <w:trHeight w:val="230" w:hRule="atLeast"/>
                              </w:trPr>
                              <w:tc>
                                <w:tcPr>
                                  <w:tcW w:w="612" w:type="dxa"/>
                                </w:tcPr>
                                <w:p>
                                  <w:pPr>
                                    <w:pStyle w:val="TableParagraph"/>
                                    <w:ind w:left="50"/>
                                    <w:rPr>
                                      <w:sz w:val="20"/>
                                    </w:rPr>
                                  </w:pPr>
                                  <w:r>
                                    <w:rPr>
                                      <w:spacing w:val="-4"/>
                                      <w:sz w:val="20"/>
                                    </w:rPr>
                                    <w:t>6260</w:t>
                                  </w:r>
                                </w:p>
                              </w:tc>
                              <w:tc>
                                <w:tcPr>
                                  <w:tcW w:w="2504" w:type="dxa"/>
                                </w:tcPr>
                                <w:p>
                                  <w:pPr>
                                    <w:pStyle w:val="TableParagraph"/>
                                    <w:ind w:left="158"/>
                                    <w:rPr>
                                      <w:sz w:val="20"/>
                                    </w:rPr>
                                  </w:pPr>
                                  <w:r>
                                    <w:rPr>
                                      <w:sz w:val="20"/>
                                    </w:rPr>
                                    <w:t>Kalabari</w:t>
                                  </w:r>
                                  <w:r>
                                    <w:rPr>
                                      <w:spacing w:val="-6"/>
                                      <w:sz w:val="20"/>
                                    </w:rPr>
                                    <w:t> </w:t>
                                  </w:r>
                                  <w:r>
                                    <w:rPr>
                                      <w:spacing w:val="-2"/>
                                      <w:sz w:val="20"/>
                                    </w:rPr>
                                    <w:t>(ijn)</w:t>
                                  </w:r>
                                </w:p>
                              </w:tc>
                            </w:tr>
                            <w:tr>
                              <w:trPr>
                                <w:trHeight w:val="225" w:hRule="atLeast"/>
                              </w:trPr>
                              <w:tc>
                                <w:tcPr>
                                  <w:tcW w:w="612" w:type="dxa"/>
                                </w:tcPr>
                                <w:p>
                                  <w:pPr>
                                    <w:pStyle w:val="TableParagraph"/>
                                    <w:spacing w:line="205" w:lineRule="exact"/>
                                    <w:ind w:left="50"/>
                                    <w:rPr>
                                      <w:sz w:val="20"/>
                                    </w:rPr>
                                  </w:pPr>
                                  <w:r>
                                    <w:rPr>
                                      <w:spacing w:val="-4"/>
                                      <w:sz w:val="20"/>
                                    </w:rPr>
                                    <w:t>6265</w:t>
                                  </w:r>
                                </w:p>
                              </w:tc>
                              <w:tc>
                                <w:tcPr>
                                  <w:tcW w:w="2504" w:type="dxa"/>
                                </w:tcPr>
                                <w:p>
                                  <w:pPr>
                                    <w:pStyle w:val="TableParagraph"/>
                                    <w:spacing w:line="205" w:lineRule="exact"/>
                                    <w:ind w:left="158"/>
                                    <w:rPr>
                                      <w:sz w:val="20"/>
                                    </w:rPr>
                                  </w:pPr>
                                  <w:r>
                                    <w:rPr>
                                      <w:sz w:val="20"/>
                                    </w:rPr>
                                    <w:t>Kirike</w:t>
                                  </w:r>
                                  <w:r>
                                    <w:rPr>
                                      <w:spacing w:val="-8"/>
                                      <w:sz w:val="20"/>
                                    </w:rPr>
                                    <w:t> </w:t>
                                  </w:r>
                                  <w:r>
                                    <w:rPr>
                                      <w:spacing w:val="-2"/>
                                      <w:sz w:val="20"/>
                                    </w:rPr>
                                    <w:t>(okr)</w:t>
                                  </w: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11.86046pt;width:161.8pt;height:378.5pt;mso-position-horizontal-relative:page;mso-position-vertical-relative:paragraph;z-index:15767552" type="#_x0000_t202" id="docshape15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504"/>
                      </w:tblGrid>
                      <w:tr>
                        <w:trPr>
                          <w:trHeight w:val="225" w:hRule="atLeast"/>
                        </w:trPr>
                        <w:tc>
                          <w:tcPr>
                            <w:tcW w:w="612" w:type="dxa"/>
                          </w:tcPr>
                          <w:p>
                            <w:pPr>
                              <w:pStyle w:val="TableParagraph"/>
                              <w:spacing w:line="205" w:lineRule="exact"/>
                              <w:ind w:left="50"/>
                              <w:rPr>
                                <w:sz w:val="20"/>
                              </w:rPr>
                            </w:pPr>
                            <w:r>
                              <w:rPr>
                                <w:spacing w:val="-4"/>
                                <w:sz w:val="20"/>
                              </w:rPr>
                              <w:t>6120</w:t>
                            </w:r>
                          </w:p>
                        </w:tc>
                        <w:tc>
                          <w:tcPr>
                            <w:tcW w:w="2504" w:type="dxa"/>
                          </w:tcPr>
                          <w:p>
                            <w:pPr>
                              <w:pStyle w:val="TableParagraph"/>
                              <w:spacing w:line="205" w:lineRule="exact"/>
                              <w:ind w:left="158"/>
                              <w:rPr>
                                <w:sz w:val="20"/>
                              </w:rPr>
                            </w:pPr>
                            <w:r>
                              <w:rPr>
                                <w:sz w:val="20"/>
                              </w:rPr>
                              <w:t>Akan</w:t>
                            </w:r>
                            <w:r>
                              <w:rPr>
                                <w:spacing w:val="-11"/>
                                <w:sz w:val="20"/>
                              </w:rPr>
                              <w:t> </w:t>
                            </w:r>
                            <w:r>
                              <w:rPr>
                                <w:sz w:val="20"/>
                              </w:rPr>
                              <w:t>(macrolanguage)</w:t>
                            </w:r>
                            <w:r>
                              <w:rPr>
                                <w:spacing w:val="-9"/>
                                <w:sz w:val="20"/>
                              </w:rPr>
                              <w:t> </w:t>
                            </w:r>
                            <w:r>
                              <w:rPr>
                                <w:spacing w:val="-2"/>
                                <w:sz w:val="20"/>
                              </w:rPr>
                              <w:t>(aka)</w:t>
                            </w:r>
                          </w:p>
                        </w:tc>
                      </w:tr>
                      <w:tr>
                        <w:trPr>
                          <w:trHeight w:val="230" w:hRule="atLeast"/>
                        </w:trPr>
                        <w:tc>
                          <w:tcPr>
                            <w:tcW w:w="612" w:type="dxa"/>
                          </w:tcPr>
                          <w:p>
                            <w:pPr>
                              <w:pStyle w:val="TableParagraph"/>
                              <w:ind w:left="50"/>
                              <w:rPr>
                                <w:sz w:val="20"/>
                              </w:rPr>
                            </w:pPr>
                            <w:r>
                              <w:rPr>
                                <w:spacing w:val="-4"/>
                                <w:sz w:val="20"/>
                              </w:rPr>
                              <w:t>6125</w:t>
                            </w:r>
                          </w:p>
                        </w:tc>
                        <w:tc>
                          <w:tcPr>
                            <w:tcW w:w="2504" w:type="dxa"/>
                          </w:tcPr>
                          <w:p>
                            <w:pPr>
                              <w:pStyle w:val="TableParagraph"/>
                              <w:ind w:left="158"/>
                              <w:rPr>
                                <w:sz w:val="20"/>
                              </w:rPr>
                            </w:pPr>
                            <w:r>
                              <w:rPr>
                                <w:sz w:val="20"/>
                              </w:rPr>
                              <w:t>Fanti</w:t>
                            </w:r>
                            <w:r>
                              <w:rPr>
                                <w:spacing w:val="-8"/>
                                <w:sz w:val="20"/>
                              </w:rPr>
                              <w:t> </w:t>
                            </w:r>
                            <w:r>
                              <w:rPr>
                                <w:spacing w:val="-2"/>
                                <w:sz w:val="20"/>
                              </w:rPr>
                              <w:t>(fat)</w:t>
                            </w:r>
                          </w:p>
                        </w:tc>
                      </w:tr>
                      <w:tr>
                        <w:trPr>
                          <w:trHeight w:val="345" w:hRule="atLeast"/>
                        </w:trPr>
                        <w:tc>
                          <w:tcPr>
                            <w:tcW w:w="612" w:type="dxa"/>
                          </w:tcPr>
                          <w:p>
                            <w:pPr>
                              <w:pStyle w:val="TableParagraph"/>
                              <w:spacing w:line="226" w:lineRule="exact"/>
                              <w:ind w:left="50"/>
                              <w:rPr>
                                <w:sz w:val="20"/>
                              </w:rPr>
                            </w:pPr>
                            <w:r>
                              <w:rPr>
                                <w:spacing w:val="-4"/>
                                <w:sz w:val="20"/>
                              </w:rPr>
                              <w:t>6130</w:t>
                            </w:r>
                          </w:p>
                        </w:tc>
                        <w:tc>
                          <w:tcPr>
                            <w:tcW w:w="2504" w:type="dxa"/>
                          </w:tcPr>
                          <w:p>
                            <w:pPr>
                              <w:pStyle w:val="TableParagraph"/>
                              <w:spacing w:line="226" w:lineRule="exact"/>
                              <w:ind w:left="158"/>
                              <w:rPr>
                                <w:sz w:val="20"/>
                              </w:rPr>
                            </w:pPr>
                            <w:r>
                              <w:rPr>
                                <w:sz w:val="20"/>
                              </w:rPr>
                              <w:t>Twi</w:t>
                            </w:r>
                            <w:r>
                              <w:rPr>
                                <w:spacing w:val="-8"/>
                                <w:sz w:val="20"/>
                              </w:rPr>
                              <w:t> </w:t>
                            </w:r>
                            <w:r>
                              <w:rPr>
                                <w:spacing w:val="-2"/>
                                <w:sz w:val="20"/>
                              </w:rPr>
                              <w:t>(twi)</w:t>
                            </w:r>
                          </w:p>
                        </w:tc>
                      </w:tr>
                      <w:tr>
                        <w:trPr>
                          <w:trHeight w:val="345" w:hRule="atLeast"/>
                        </w:trPr>
                        <w:tc>
                          <w:tcPr>
                            <w:tcW w:w="612" w:type="dxa"/>
                          </w:tcPr>
                          <w:p>
                            <w:pPr>
                              <w:pStyle w:val="TableParagraph"/>
                              <w:spacing w:line="215" w:lineRule="exact" w:before="111"/>
                              <w:ind w:left="50"/>
                              <w:rPr>
                                <w:sz w:val="20"/>
                              </w:rPr>
                            </w:pPr>
                            <w:r>
                              <w:rPr>
                                <w:spacing w:val="-4"/>
                                <w:sz w:val="20"/>
                              </w:rPr>
                              <w:t>6135</w:t>
                            </w:r>
                          </w:p>
                        </w:tc>
                        <w:tc>
                          <w:tcPr>
                            <w:tcW w:w="2504" w:type="dxa"/>
                          </w:tcPr>
                          <w:p>
                            <w:pPr>
                              <w:pStyle w:val="TableParagraph"/>
                              <w:spacing w:line="215" w:lineRule="exact" w:before="111"/>
                              <w:ind w:left="158"/>
                              <w:rPr>
                                <w:sz w:val="20"/>
                              </w:rPr>
                            </w:pPr>
                            <w:r>
                              <w:rPr>
                                <w:sz w:val="20"/>
                              </w:rPr>
                              <w:t>Anyin</w:t>
                            </w:r>
                            <w:r>
                              <w:rPr>
                                <w:spacing w:val="-10"/>
                                <w:sz w:val="20"/>
                              </w:rPr>
                              <w:t> </w:t>
                            </w:r>
                            <w:r>
                              <w:rPr>
                                <w:spacing w:val="-2"/>
                                <w:sz w:val="20"/>
                              </w:rPr>
                              <w:t>(any)</w:t>
                            </w:r>
                          </w:p>
                        </w:tc>
                      </w:tr>
                      <w:tr>
                        <w:trPr>
                          <w:trHeight w:val="229" w:hRule="atLeast"/>
                        </w:trPr>
                        <w:tc>
                          <w:tcPr>
                            <w:tcW w:w="612" w:type="dxa"/>
                          </w:tcPr>
                          <w:p>
                            <w:pPr>
                              <w:pStyle w:val="TableParagraph"/>
                              <w:spacing w:line="209" w:lineRule="exact"/>
                              <w:ind w:left="50"/>
                              <w:rPr>
                                <w:sz w:val="20"/>
                              </w:rPr>
                            </w:pPr>
                            <w:r>
                              <w:rPr>
                                <w:spacing w:val="-4"/>
                                <w:sz w:val="20"/>
                              </w:rPr>
                              <w:t>6140</w:t>
                            </w:r>
                          </w:p>
                        </w:tc>
                        <w:tc>
                          <w:tcPr>
                            <w:tcW w:w="2504" w:type="dxa"/>
                          </w:tcPr>
                          <w:p>
                            <w:pPr>
                              <w:pStyle w:val="TableParagraph"/>
                              <w:spacing w:line="209" w:lineRule="exact"/>
                              <w:ind w:left="158"/>
                              <w:rPr>
                                <w:sz w:val="20"/>
                              </w:rPr>
                            </w:pPr>
                            <w:r>
                              <w:rPr>
                                <w:sz w:val="20"/>
                              </w:rPr>
                              <w:t>Baoulé</w:t>
                            </w:r>
                            <w:r>
                              <w:rPr>
                                <w:spacing w:val="-6"/>
                                <w:sz w:val="20"/>
                              </w:rPr>
                              <w:t> </w:t>
                            </w:r>
                            <w:r>
                              <w:rPr>
                                <w:spacing w:val="-2"/>
                                <w:sz w:val="20"/>
                              </w:rPr>
                              <w:t>(bci)</w:t>
                            </w:r>
                          </w:p>
                        </w:tc>
                      </w:tr>
                      <w:tr>
                        <w:trPr>
                          <w:trHeight w:val="229" w:hRule="atLeast"/>
                        </w:trPr>
                        <w:tc>
                          <w:tcPr>
                            <w:tcW w:w="612" w:type="dxa"/>
                          </w:tcPr>
                          <w:p>
                            <w:pPr>
                              <w:pStyle w:val="TableParagraph"/>
                              <w:spacing w:line="209" w:lineRule="exact"/>
                              <w:ind w:left="50"/>
                              <w:rPr>
                                <w:sz w:val="20"/>
                              </w:rPr>
                            </w:pPr>
                            <w:r>
                              <w:rPr>
                                <w:spacing w:val="-4"/>
                                <w:sz w:val="20"/>
                              </w:rPr>
                              <w:t>6145</w:t>
                            </w:r>
                          </w:p>
                        </w:tc>
                        <w:tc>
                          <w:tcPr>
                            <w:tcW w:w="2504" w:type="dxa"/>
                          </w:tcPr>
                          <w:p>
                            <w:pPr>
                              <w:pStyle w:val="TableParagraph"/>
                              <w:spacing w:line="209" w:lineRule="exact"/>
                              <w:ind w:left="158"/>
                              <w:rPr>
                                <w:sz w:val="20"/>
                              </w:rPr>
                            </w:pPr>
                            <w:r>
                              <w:rPr>
                                <w:sz w:val="20"/>
                              </w:rPr>
                              <w:t>Sehwi</w:t>
                            </w:r>
                            <w:r>
                              <w:rPr>
                                <w:spacing w:val="-10"/>
                                <w:sz w:val="20"/>
                              </w:rPr>
                              <w:t> </w:t>
                            </w:r>
                            <w:r>
                              <w:rPr>
                                <w:spacing w:val="-2"/>
                                <w:sz w:val="20"/>
                              </w:rPr>
                              <w:t>(sfw)</w:t>
                            </w:r>
                          </w:p>
                        </w:tc>
                      </w:tr>
                      <w:tr>
                        <w:trPr>
                          <w:trHeight w:val="230" w:hRule="atLeast"/>
                        </w:trPr>
                        <w:tc>
                          <w:tcPr>
                            <w:tcW w:w="612" w:type="dxa"/>
                          </w:tcPr>
                          <w:p>
                            <w:pPr>
                              <w:pStyle w:val="TableParagraph"/>
                              <w:spacing w:line="211" w:lineRule="exact"/>
                              <w:ind w:left="50"/>
                              <w:rPr>
                                <w:sz w:val="20"/>
                              </w:rPr>
                            </w:pPr>
                            <w:r>
                              <w:rPr>
                                <w:spacing w:val="-4"/>
                                <w:sz w:val="20"/>
                              </w:rPr>
                              <w:t>6150</w:t>
                            </w:r>
                          </w:p>
                        </w:tc>
                        <w:tc>
                          <w:tcPr>
                            <w:tcW w:w="2504" w:type="dxa"/>
                          </w:tcPr>
                          <w:p>
                            <w:pPr>
                              <w:pStyle w:val="TableParagraph"/>
                              <w:spacing w:line="211" w:lineRule="exact"/>
                              <w:ind w:left="158"/>
                              <w:rPr>
                                <w:sz w:val="20"/>
                              </w:rPr>
                            </w:pPr>
                            <w:r>
                              <w:rPr>
                                <w:sz w:val="20"/>
                              </w:rPr>
                              <w:t>Nzima</w:t>
                            </w:r>
                            <w:r>
                              <w:rPr>
                                <w:spacing w:val="-8"/>
                                <w:sz w:val="20"/>
                              </w:rPr>
                              <w:t> </w:t>
                            </w:r>
                            <w:r>
                              <w:rPr>
                                <w:spacing w:val="-2"/>
                                <w:sz w:val="20"/>
                              </w:rPr>
                              <w:t>(nzi)</w:t>
                            </w:r>
                          </w:p>
                        </w:tc>
                      </w:tr>
                      <w:tr>
                        <w:trPr>
                          <w:trHeight w:val="230" w:hRule="atLeast"/>
                        </w:trPr>
                        <w:tc>
                          <w:tcPr>
                            <w:tcW w:w="612" w:type="dxa"/>
                          </w:tcPr>
                          <w:p>
                            <w:pPr>
                              <w:pStyle w:val="TableParagraph"/>
                              <w:ind w:left="50"/>
                              <w:rPr>
                                <w:sz w:val="20"/>
                              </w:rPr>
                            </w:pPr>
                            <w:r>
                              <w:rPr>
                                <w:spacing w:val="-4"/>
                                <w:sz w:val="20"/>
                              </w:rPr>
                              <w:t>6155</w:t>
                            </w:r>
                          </w:p>
                        </w:tc>
                        <w:tc>
                          <w:tcPr>
                            <w:tcW w:w="2504" w:type="dxa"/>
                          </w:tcPr>
                          <w:p>
                            <w:pPr>
                              <w:pStyle w:val="TableParagraph"/>
                              <w:ind w:left="158"/>
                              <w:rPr>
                                <w:sz w:val="20"/>
                              </w:rPr>
                            </w:pPr>
                            <w:r>
                              <w:rPr>
                                <w:sz w:val="20"/>
                              </w:rPr>
                              <w:t>Gonja</w:t>
                            </w:r>
                            <w:r>
                              <w:rPr>
                                <w:spacing w:val="-4"/>
                                <w:sz w:val="20"/>
                              </w:rPr>
                              <w:t> </w:t>
                            </w:r>
                            <w:r>
                              <w:rPr>
                                <w:spacing w:val="-2"/>
                                <w:sz w:val="20"/>
                              </w:rPr>
                              <w:t>(gjn)</w:t>
                            </w:r>
                          </w:p>
                        </w:tc>
                      </w:tr>
                      <w:tr>
                        <w:trPr>
                          <w:trHeight w:val="230" w:hRule="atLeast"/>
                        </w:trPr>
                        <w:tc>
                          <w:tcPr>
                            <w:tcW w:w="612" w:type="dxa"/>
                          </w:tcPr>
                          <w:p>
                            <w:pPr>
                              <w:pStyle w:val="TableParagraph"/>
                              <w:ind w:left="50"/>
                              <w:rPr>
                                <w:sz w:val="20"/>
                              </w:rPr>
                            </w:pPr>
                            <w:r>
                              <w:rPr>
                                <w:spacing w:val="-4"/>
                                <w:sz w:val="20"/>
                              </w:rPr>
                              <w:t>6160</w:t>
                            </w:r>
                          </w:p>
                        </w:tc>
                        <w:tc>
                          <w:tcPr>
                            <w:tcW w:w="2504" w:type="dxa"/>
                          </w:tcPr>
                          <w:p>
                            <w:pPr>
                              <w:pStyle w:val="TableParagraph"/>
                              <w:ind w:left="158"/>
                              <w:rPr>
                                <w:sz w:val="20"/>
                              </w:rPr>
                            </w:pPr>
                            <w:r>
                              <w:rPr>
                                <w:sz w:val="20"/>
                              </w:rPr>
                              <w:t>Krache</w:t>
                            </w:r>
                            <w:r>
                              <w:rPr>
                                <w:spacing w:val="-8"/>
                                <w:sz w:val="20"/>
                              </w:rPr>
                              <w:t> </w:t>
                            </w:r>
                            <w:r>
                              <w:rPr>
                                <w:spacing w:val="-2"/>
                                <w:sz w:val="20"/>
                              </w:rPr>
                              <w:t>(kye)</w:t>
                            </w:r>
                          </w:p>
                        </w:tc>
                      </w:tr>
                      <w:tr>
                        <w:trPr>
                          <w:trHeight w:val="230" w:hRule="atLeast"/>
                        </w:trPr>
                        <w:tc>
                          <w:tcPr>
                            <w:tcW w:w="612" w:type="dxa"/>
                          </w:tcPr>
                          <w:p>
                            <w:pPr>
                              <w:pStyle w:val="TableParagraph"/>
                              <w:ind w:left="50"/>
                              <w:rPr>
                                <w:sz w:val="20"/>
                              </w:rPr>
                            </w:pPr>
                            <w:r>
                              <w:rPr>
                                <w:spacing w:val="-4"/>
                                <w:sz w:val="20"/>
                              </w:rPr>
                              <w:t>6165</w:t>
                            </w:r>
                          </w:p>
                        </w:tc>
                        <w:tc>
                          <w:tcPr>
                            <w:tcW w:w="2504" w:type="dxa"/>
                          </w:tcPr>
                          <w:p>
                            <w:pPr>
                              <w:pStyle w:val="TableParagraph"/>
                              <w:ind w:left="158"/>
                              <w:rPr>
                                <w:sz w:val="20"/>
                              </w:rPr>
                            </w:pPr>
                            <w:r>
                              <w:rPr>
                                <w:sz w:val="20"/>
                              </w:rPr>
                              <w:t>Nawuri</w:t>
                            </w:r>
                            <w:r>
                              <w:rPr>
                                <w:spacing w:val="-10"/>
                                <w:sz w:val="20"/>
                              </w:rPr>
                              <w:t> </w:t>
                            </w:r>
                            <w:r>
                              <w:rPr>
                                <w:spacing w:val="-2"/>
                                <w:sz w:val="20"/>
                              </w:rPr>
                              <w:t>(naw)</w:t>
                            </w:r>
                          </w:p>
                        </w:tc>
                      </w:tr>
                      <w:tr>
                        <w:trPr>
                          <w:trHeight w:val="229" w:hRule="atLeast"/>
                        </w:trPr>
                        <w:tc>
                          <w:tcPr>
                            <w:tcW w:w="612" w:type="dxa"/>
                          </w:tcPr>
                          <w:p>
                            <w:pPr>
                              <w:pStyle w:val="TableParagraph"/>
                              <w:spacing w:line="209" w:lineRule="exact"/>
                              <w:ind w:left="50"/>
                              <w:rPr>
                                <w:sz w:val="20"/>
                              </w:rPr>
                            </w:pPr>
                            <w:r>
                              <w:rPr>
                                <w:spacing w:val="-4"/>
                                <w:sz w:val="20"/>
                              </w:rPr>
                              <w:t>6170</w:t>
                            </w:r>
                          </w:p>
                        </w:tc>
                        <w:tc>
                          <w:tcPr>
                            <w:tcW w:w="2504" w:type="dxa"/>
                          </w:tcPr>
                          <w:p>
                            <w:pPr>
                              <w:pStyle w:val="TableParagraph"/>
                              <w:spacing w:line="209" w:lineRule="exact"/>
                              <w:ind w:left="158"/>
                              <w:rPr>
                                <w:sz w:val="20"/>
                              </w:rPr>
                            </w:pPr>
                            <w:r>
                              <w:rPr>
                                <w:sz w:val="20"/>
                              </w:rPr>
                              <w:t>Awutu</w:t>
                            </w:r>
                            <w:r>
                              <w:rPr>
                                <w:spacing w:val="-6"/>
                                <w:sz w:val="20"/>
                              </w:rPr>
                              <w:t> </w:t>
                            </w:r>
                            <w:r>
                              <w:rPr>
                                <w:spacing w:val="-2"/>
                                <w:sz w:val="20"/>
                              </w:rPr>
                              <w:t>(afu)</w:t>
                            </w:r>
                          </w:p>
                        </w:tc>
                      </w:tr>
                      <w:tr>
                        <w:trPr>
                          <w:trHeight w:val="229" w:hRule="atLeast"/>
                        </w:trPr>
                        <w:tc>
                          <w:tcPr>
                            <w:tcW w:w="612" w:type="dxa"/>
                          </w:tcPr>
                          <w:p>
                            <w:pPr>
                              <w:pStyle w:val="TableParagraph"/>
                              <w:spacing w:line="209" w:lineRule="exact"/>
                              <w:ind w:left="50"/>
                              <w:rPr>
                                <w:sz w:val="20"/>
                              </w:rPr>
                            </w:pPr>
                            <w:r>
                              <w:rPr>
                                <w:spacing w:val="-4"/>
                                <w:sz w:val="20"/>
                              </w:rPr>
                              <w:t>6175</w:t>
                            </w:r>
                          </w:p>
                        </w:tc>
                        <w:tc>
                          <w:tcPr>
                            <w:tcW w:w="2504" w:type="dxa"/>
                          </w:tcPr>
                          <w:p>
                            <w:pPr>
                              <w:pStyle w:val="TableParagraph"/>
                              <w:spacing w:line="209" w:lineRule="exact"/>
                              <w:ind w:left="158"/>
                              <w:rPr>
                                <w:sz w:val="20"/>
                              </w:rPr>
                            </w:pPr>
                            <w:r>
                              <w:rPr>
                                <w:sz w:val="20"/>
                              </w:rPr>
                              <w:t>Larteh</w:t>
                            </w:r>
                            <w:r>
                              <w:rPr>
                                <w:spacing w:val="-8"/>
                                <w:sz w:val="20"/>
                              </w:rPr>
                              <w:t> </w:t>
                            </w:r>
                            <w:r>
                              <w:rPr>
                                <w:spacing w:val="-2"/>
                                <w:sz w:val="20"/>
                              </w:rPr>
                              <w:t>(lar)</w:t>
                            </w:r>
                          </w:p>
                        </w:tc>
                      </w:tr>
                      <w:tr>
                        <w:trPr>
                          <w:trHeight w:val="230" w:hRule="atLeast"/>
                        </w:trPr>
                        <w:tc>
                          <w:tcPr>
                            <w:tcW w:w="612" w:type="dxa"/>
                          </w:tcPr>
                          <w:p>
                            <w:pPr>
                              <w:pStyle w:val="TableParagraph"/>
                              <w:ind w:left="50"/>
                              <w:rPr>
                                <w:sz w:val="20"/>
                              </w:rPr>
                            </w:pPr>
                            <w:r>
                              <w:rPr>
                                <w:spacing w:val="-4"/>
                                <w:sz w:val="20"/>
                              </w:rPr>
                              <w:t>6180</w:t>
                            </w:r>
                          </w:p>
                        </w:tc>
                        <w:tc>
                          <w:tcPr>
                            <w:tcW w:w="2504" w:type="dxa"/>
                          </w:tcPr>
                          <w:p>
                            <w:pPr>
                              <w:pStyle w:val="TableParagraph"/>
                              <w:ind w:left="158"/>
                              <w:rPr>
                                <w:sz w:val="20"/>
                              </w:rPr>
                            </w:pPr>
                            <w:r>
                              <w:rPr>
                                <w:sz w:val="20"/>
                              </w:rPr>
                              <w:t>Logba</w:t>
                            </w:r>
                            <w:r>
                              <w:rPr>
                                <w:spacing w:val="-8"/>
                                <w:sz w:val="20"/>
                              </w:rPr>
                              <w:t> </w:t>
                            </w:r>
                            <w:r>
                              <w:rPr>
                                <w:spacing w:val="-2"/>
                                <w:sz w:val="20"/>
                              </w:rPr>
                              <w:t>(lgq)</w:t>
                            </w:r>
                          </w:p>
                        </w:tc>
                      </w:tr>
                      <w:tr>
                        <w:trPr>
                          <w:trHeight w:val="230" w:hRule="atLeast"/>
                        </w:trPr>
                        <w:tc>
                          <w:tcPr>
                            <w:tcW w:w="612" w:type="dxa"/>
                          </w:tcPr>
                          <w:p>
                            <w:pPr>
                              <w:pStyle w:val="TableParagraph"/>
                              <w:ind w:left="50"/>
                              <w:rPr>
                                <w:sz w:val="20"/>
                              </w:rPr>
                            </w:pPr>
                            <w:r>
                              <w:rPr>
                                <w:spacing w:val="-4"/>
                                <w:sz w:val="20"/>
                              </w:rPr>
                              <w:t>6185</w:t>
                            </w:r>
                          </w:p>
                        </w:tc>
                        <w:tc>
                          <w:tcPr>
                            <w:tcW w:w="2504" w:type="dxa"/>
                          </w:tcPr>
                          <w:p>
                            <w:pPr>
                              <w:pStyle w:val="TableParagraph"/>
                              <w:ind w:left="158"/>
                              <w:rPr>
                                <w:sz w:val="20"/>
                              </w:rPr>
                            </w:pPr>
                            <w:r>
                              <w:rPr>
                                <w:sz w:val="20"/>
                              </w:rPr>
                              <w:t>Sekpele</w:t>
                            </w:r>
                            <w:r>
                              <w:rPr>
                                <w:spacing w:val="-8"/>
                                <w:sz w:val="20"/>
                              </w:rPr>
                              <w:t> </w:t>
                            </w:r>
                            <w:r>
                              <w:rPr>
                                <w:spacing w:val="-2"/>
                                <w:sz w:val="20"/>
                              </w:rPr>
                              <w:t>(lip)</w:t>
                            </w:r>
                          </w:p>
                        </w:tc>
                      </w:tr>
                      <w:tr>
                        <w:trPr>
                          <w:trHeight w:val="230" w:hRule="atLeast"/>
                        </w:trPr>
                        <w:tc>
                          <w:tcPr>
                            <w:tcW w:w="612" w:type="dxa"/>
                          </w:tcPr>
                          <w:p>
                            <w:pPr>
                              <w:pStyle w:val="TableParagraph"/>
                              <w:ind w:left="50"/>
                              <w:rPr>
                                <w:sz w:val="20"/>
                              </w:rPr>
                            </w:pPr>
                            <w:r>
                              <w:rPr>
                                <w:spacing w:val="-4"/>
                                <w:sz w:val="20"/>
                              </w:rPr>
                              <w:t>6190</w:t>
                            </w:r>
                          </w:p>
                        </w:tc>
                        <w:tc>
                          <w:tcPr>
                            <w:tcW w:w="2504" w:type="dxa"/>
                          </w:tcPr>
                          <w:p>
                            <w:pPr>
                              <w:pStyle w:val="TableParagraph"/>
                              <w:ind w:left="158"/>
                              <w:rPr>
                                <w:sz w:val="20"/>
                              </w:rPr>
                            </w:pPr>
                            <w:r>
                              <w:rPr>
                                <w:sz w:val="20"/>
                              </w:rPr>
                              <w:t>Adioukrou</w:t>
                            </w:r>
                            <w:r>
                              <w:rPr>
                                <w:spacing w:val="-12"/>
                                <w:sz w:val="20"/>
                              </w:rPr>
                              <w:t> </w:t>
                            </w:r>
                            <w:r>
                              <w:rPr>
                                <w:spacing w:val="-2"/>
                                <w:sz w:val="20"/>
                              </w:rPr>
                              <w:t>(adj)</w:t>
                            </w:r>
                          </w:p>
                        </w:tc>
                      </w:tr>
                      <w:tr>
                        <w:trPr>
                          <w:trHeight w:val="229" w:hRule="atLeast"/>
                        </w:trPr>
                        <w:tc>
                          <w:tcPr>
                            <w:tcW w:w="612" w:type="dxa"/>
                          </w:tcPr>
                          <w:p>
                            <w:pPr>
                              <w:pStyle w:val="TableParagraph"/>
                              <w:spacing w:line="209" w:lineRule="exact"/>
                              <w:ind w:left="50"/>
                              <w:rPr>
                                <w:sz w:val="20"/>
                              </w:rPr>
                            </w:pPr>
                            <w:r>
                              <w:rPr>
                                <w:spacing w:val="-4"/>
                                <w:sz w:val="20"/>
                              </w:rPr>
                              <w:t>6195</w:t>
                            </w:r>
                          </w:p>
                        </w:tc>
                        <w:tc>
                          <w:tcPr>
                            <w:tcW w:w="2504" w:type="dxa"/>
                          </w:tcPr>
                          <w:p>
                            <w:pPr>
                              <w:pStyle w:val="TableParagraph"/>
                              <w:spacing w:line="209" w:lineRule="exact"/>
                              <w:ind w:left="158"/>
                              <w:rPr>
                                <w:sz w:val="20"/>
                              </w:rPr>
                            </w:pPr>
                            <w:r>
                              <w:rPr>
                                <w:sz w:val="20"/>
                              </w:rPr>
                              <w:t>Attié</w:t>
                            </w:r>
                            <w:r>
                              <w:rPr>
                                <w:spacing w:val="-6"/>
                                <w:sz w:val="20"/>
                              </w:rPr>
                              <w:t> </w:t>
                            </w:r>
                            <w:r>
                              <w:rPr>
                                <w:spacing w:val="-2"/>
                                <w:sz w:val="20"/>
                              </w:rPr>
                              <w:t>(ati)</w:t>
                            </w:r>
                          </w:p>
                        </w:tc>
                      </w:tr>
                      <w:tr>
                        <w:trPr>
                          <w:trHeight w:val="229" w:hRule="atLeast"/>
                        </w:trPr>
                        <w:tc>
                          <w:tcPr>
                            <w:tcW w:w="612" w:type="dxa"/>
                          </w:tcPr>
                          <w:p>
                            <w:pPr>
                              <w:pStyle w:val="TableParagraph"/>
                              <w:spacing w:line="209" w:lineRule="exact"/>
                              <w:ind w:left="50"/>
                              <w:rPr>
                                <w:sz w:val="20"/>
                              </w:rPr>
                            </w:pPr>
                            <w:r>
                              <w:rPr>
                                <w:spacing w:val="-4"/>
                                <w:sz w:val="20"/>
                              </w:rPr>
                              <w:t>6200</w:t>
                            </w:r>
                          </w:p>
                        </w:tc>
                        <w:tc>
                          <w:tcPr>
                            <w:tcW w:w="2504" w:type="dxa"/>
                          </w:tcPr>
                          <w:p>
                            <w:pPr>
                              <w:pStyle w:val="TableParagraph"/>
                              <w:spacing w:line="209" w:lineRule="exact"/>
                              <w:ind w:left="158"/>
                              <w:rPr>
                                <w:sz w:val="20"/>
                              </w:rPr>
                            </w:pPr>
                            <w:r>
                              <w:rPr>
                                <w:sz w:val="20"/>
                              </w:rPr>
                              <w:t>Adangme</w:t>
                            </w:r>
                            <w:r>
                              <w:rPr>
                                <w:spacing w:val="-11"/>
                                <w:sz w:val="20"/>
                              </w:rPr>
                              <w:t> </w:t>
                            </w:r>
                            <w:r>
                              <w:rPr>
                                <w:spacing w:val="-2"/>
                                <w:sz w:val="20"/>
                              </w:rPr>
                              <w:t>(ada)</w:t>
                            </w:r>
                          </w:p>
                        </w:tc>
                      </w:tr>
                      <w:tr>
                        <w:trPr>
                          <w:trHeight w:val="230" w:hRule="atLeast"/>
                        </w:trPr>
                        <w:tc>
                          <w:tcPr>
                            <w:tcW w:w="612" w:type="dxa"/>
                          </w:tcPr>
                          <w:p>
                            <w:pPr>
                              <w:pStyle w:val="TableParagraph"/>
                              <w:ind w:left="50"/>
                              <w:rPr>
                                <w:sz w:val="20"/>
                              </w:rPr>
                            </w:pPr>
                            <w:r>
                              <w:rPr>
                                <w:spacing w:val="-4"/>
                                <w:sz w:val="20"/>
                              </w:rPr>
                              <w:t>6205</w:t>
                            </w:r>
                          </w:p>
                        </w:tc>
                        <w:tc>
                          <w:tcPr>
                            <w:tcW w:w="2504" w:type="dxa"/>
                          </w:tcPr>
                          <w:p>
                            <w:pPr>
                              <w:pStyle w:val="TableParagraph"/>
                              <w:ind w:left="158"/>
                              <w:rPr>
                                <w:sz w:val="20"/>
                              </w:rPr>
                            </w:pPr>
                            <w:r>
                              <w:rPr>
                                <w:sz w:val="20"/>
                              </w:rPr>
                              <w:t>Ga</w:t>
                            </w:r>
                            <w:r>
                              <w:rPr>
                                <w:spacing w:val="-3"/>
                                <w:sz w:val="20"/>
                              </w:rPr>
                              <w:t> </w:t>
                            </w:r>
                            <w:r>
                              <w:rPr>
                                <w:spacing w:val="-2"/>
                                <w:sz w:val="20"/>
                              </w:rPr>
                              <w:t>(gaa)</w:t>
                            </w:r>
                          </w:p>
                        </w:tc>
                      </w:tr>
                      <w:tr>
                        <w:trPr>
                          <w:trHeight w:val="230" w:hRule="atLeast"/>
                        </w:trPr>
                        <w:tc>
                          <w:tcPr>
                            <w:tcW w:w="612" w:type="dxa"/>
                          </w:tcPr>
                          <w:p>
                            <w:pPr>
                              <w:pStyle w:val="TableParagraph"/>
                              <w:ind w:left="50"/>
                              <w:rPr>
                                <w:sz w:val="20"/>
                              </w:rPr>
                            </w:pPr>
                            <w:r>
                              <w:rPr>
                                <w:spacing w:val="-4"/>
                                <w:sz w:val="20"/>
                              </w:rPr>
                              <w:t>6210</w:t>
                            </w:r>
                          </w:p>
                        </w:tc>
                        <w:tc>
                          <w:tcPr>
                            <w:tcW w:w="2504" w:type="dxa"/>
                          </w:tcPr>
                          <w:p>
                            <w:pPr>
                              <w:pStyle w:val="TableParagraph"/>
                              <w:ind w:left="158"/>
                              <w:rPr>
                                <w:sz w:val="20"/>
                              </w:rPr>
                            </w:pPr>
                            <w:r>
                              <w:rPr>
                                <w:sz w:val="20"/>
                              </w:rPr>
                              <w:t>Adangbe</w:t>
                            </w:r>
                            <w:r>
                              <w:rPr>
                                <w:spacing w:val="-11"/>
                                <w:sz w:val="20"/>
                              </w:rPr>
                              <w:t> </w:t>
                            </w:r>
                            <w:r>
                              <w:rPr>
                                <w:spacing w:val="-2"/>
                                <w:sz w:val="20"/>
                              </w:rPr>
                              <w:t>(adq)</w:t>
                            </w:r>
                          </w:p>
                        </w:tc>
                      </w:tr>
                      <w:tr>
                        <w:trPr>
                          <w:trHeight w:val="230" w:hRule="atLeast"/>
                        </w:trPr>
                        <w:tc>
                          <w:tcPr>
                            <w:tcW w:w="612" w:type="dxa"/>
                          </w:tcPr>
                          <w:p>
                            <w:pPr>
                              <w:pStyle w:val="TableParagraph"/>
                              <w:ind w:left="50"/>
                              <w:rPr>
                                <w:sz w:val="20"/>
                              </w:rPr>
                            </w:pPr>
                            <w:r>
                              <w:rPr>
                                <w:spacing w:val="-4"/>
                                <w:sz w:val="20"/>
                              </w:rPr>
                              <w:t>6215</w:t>
                            </w:r>
                          </w:p>
                        </w:tc>
                        <w:tc>
                          <w:tcPr>
                            <w:tcW w:w="2504" w:type="dxa"/>
                          </w:tcPr>
                          <w:p>
                            <w:pPr>
                              <w:pStyle w:val="TableParagraph"/>
                              <w:ind w:left="158"/>
                              <w:rPr>
                                <w:sz w:val="20"/>
                              </w:rPr>
                            </w:pPr>
                            <w:r>
                              <w:rPr>
                                <w:sz w:val="20"/>
                              </w:rPr>
                              <w:t>Ikposo</w:t>
                            </w:r>
                            <w:r>
                              <w:rPr>
                                <w:spacing w:val="-6"/>
                                <w:sz w:val="20"/>
                              </w:rPr>
                              <w:t> </w:t>
                            </w:r>
                            <w:r>
                              <w:rPr>
                                <w:spacing w:val="-2"/>
                                <w:sz w:val="20"/>
                              </w:rPr>
                              <w:t>(kpo)</w:t>
                            </w:r>
                          </w:p>
                        </w:tc>
                      </w:tr>
                      <w:tr>
                        <w:trPr>
                          <w:trHeight w:val="230" w:hRule="atLeast"/>
                        </w:trPr>
                        <w:tc>
                          <w:tcPr>
                            <w:tcW w:w="612" w:type="dxa"/>
                          </w:tcPr>
                          <w:p>
                            <w:pPr>
                              <w:pStyle w:val="TableParagraph"/>
                              <w:spacing w:line="211" w:lineRule="exact"/>
                              <w:ind w:left="50"/>
                              <w:rPr>
                                <w:sz w:val="20"/>
                              </w:rPr>
                            </w:pPr>
                            <w:r>
                              <w:rPr>
                                <w:spacing w:val="-4"/>
                                <w:sz w:val="20"/>
                              </w:rPr>
                              <w:t>6220</w:t>
                            </w:r>
                          </w:p>
                        </w:tc>
                        <w:tc>
                          <w:tcPr>
                            <w:tcW w:w="2504" w:type="dxa"/>
                          </w:tcPr>
                          <w:p>
                            <w:pPr>
                              <w:pStyle w:val="TableParagraph"/>
                              <w:spacing w:line="211" w:lineRule="exact"/>
                              <w:ind w:left="158"/>
                              <w:rPr>
                                <w:sz w:val="20"/>
                              </w:rPr>
                            </w:pPr>
                            <w:r>
                              <w:rPr>
                                <w:sz w:val="20"/>
                              </w:rPr>
                              <w:t>Aja</w:t>
                            </w:r>
                            <w:r>
                              <w:rPr>
                                <w:spacing w:val="-6"/>
                                <w:sz w:val="20"/>
                              </w:rPr>
                              <w:t> </w:t>
                            </w:r>
                            <w:r>
                              <w:rPr>
                                <w:sz w:val="20"/>
                              </w:rPr>
                              <w:t>(Benin)</w:t>
                            </w:r>
                            <w:r>
                              <w:rPr>
                                <w:spacing w:val="-6"/>
                                <w:sz w:val="20"/>
                              </w:rPr>
                              <w:t> </w:t>
                            </w:r>
                            <w:r>
                              <w:rPr>
                                <w:spacing w:val="-2"/>
                                <w:sz w:val="20"/>
                              </w:rPr>
                              <w:t>(ajg)</w:t>
                            </w:r>
                          </w:p>
                        </w:tc>
                      </w:tr>
                      <w:tr>
                        <w:trPr>
                          <w:trHeight w:val="229" w:hRule="atLeast"/>
                        </w:trPr>
                        <w:tc>
                          <w:tcPr>
                            <w:tcW w:w="612" w:type="dxa"/>
                          </w:tcPr>
                          <w:p>
                            <w:pPr>
                              <w:pStyle w:val="TableParagraph"/>
                              <w:spacing w:line="209" w:lineRule="exact"/>
                              <w:ind w:left="50"/>
                              <w:rPr>
                                <w:sz w:val="20"/>
                              </w:rPr>
                            </w:pPr>
                            <w:r>
                              <w:rPr>
                                <w:spacing w:val="-4"/>
                                <w:sz w:val="20"/>
                              </w:rPr>
                              <w:t>6225</w:t>
                            </w:r>
                          </w:p>
                        </w:tc>
                        <w:tc>
                          <w:tcPr>
                            <w:tcW w:w="2504" w:type="dxa"/>
                          </w:tcPr>
                          <w:p>
                            <w:pPr>
                              <w:pStyle w:val="TableParagraph"/>
                              <w:spacing w:line="209" w:lineRule="exact"/>
                              <w:ind w:left="158"/>
                              <w:rPr>
                                <w:sz w:val="20"/>
                              </w:rPr>
                            </w:pPr>
                            <w:r>
                              <w:rPr>
                                <w:sz w:val="20"/>
                              </w:rPr>
                              <w:t>Gun</w:t>
                            </w:r>
                            <w:r>
                              <w:rPr>
                                <w:spacing w:val="-4"/>
                                <w:sz w:val="20"/>
                              </w:rPr>
                              <w:t> </w:t>
                            </w:r>
                            <w:r>
                              <w:rPr>
                                <w:spacing w:val="-2"/>
                                <w:sz w:val="20"/>
                              </w:rPr>
                              <w:t>(guw)</w:t>
                            </w:r>
                          </w:p>
                        </w:tc>
                      </w:tr>
                      <w:tr>
                        <w:trPr>
                          <w:trHeight w:val="229" w:hRule="atLeast"/>
                        </w:trPr>
                        <w:tc>
                          <w:tcPr>
                            <w:tcW w:w="612" w:type="dxa"/>
                          </w:tcPr>
                          <w:p>
                            <w:pPr>
                              <w:pStyle w:val="TableParagraph"/>
                              <w:spacing w:line="209" w:lineRule="exact"/>
                              <w:ind w:left="50"/>
                              <w:rPr>
                                <w:sz w:val="20"/>
                              </w:rPr>
                            </w:pPr>
                            <w:r>
                              <w:rPr>
                                <w:spacing w:val="-4"/>
                                <w:sz w:val="20"/>
                              </w:rPr>
                              <w:t>6230</w:t>
                            </w:r>
                          </w:p>
                        </w:tc>
                        <w:tc>
                          <w:tcPr>
                            <w:tcW w:w="2504" w:type="dxa"/>
                          </w:tcPr>
                          <w:p>
                            <w:pPr>
                              <w:pStyle w:val="TableParagraph"/>
                              <w:spacing w:line="209" w:lineRule="exact"/>
                              <w:ind w:left="158"/>
                              <w:rPr>
                                <w:sz w:val="20"/>
                              </w:rPr>
                            </w:pPr>
                            <w:r>
                              <w:rPr>
                                <w:sz w:val="20"/>
                              </w:rPr>
                              <w:t>Ewe</w:t>
                            </w:r>
                            <w:r>
                              <w:rPr>
                                <w:spacing w:val="-7"/>
                                <w:sz w:val="20"/>
                              </w:rPr>
                              <w:t> </w:t>
                            </w:r>
                            <w:r>
                              <w:rPr>
                                <w:spacing w:val="-2"/>
                                <w:sz w:val="20"/>
                              </w:rPr>
                              <w:t>(ewe)</w:t>
                            </w:r>
                          </w:p>
                        </w:tc>
                      </w:tr>
                      <w:tr>
                        <w:trPr>
                          <w:trHeight w:val="230" w:hRule="atLeast"/>
                        </w:trPr>
                        <w:tc>
                          <w:tcPr>
                            <w:tcW w:w="612" w:type="dxa"/>
                          </w:tcPr>
                          <w:p>
                            <w:pPr>
                              <w:pStyle w:val="TableParagraph"/>
                              <w:ind w:left="50"/>
                              <w:rPr>
                                <w:sz w:val="20"/>
                              </w:rPr>
                            </w:pPr>
                            <w:r>
                              <w:rPr>
                                <w:spacing w:val="-4"/>
                                <w:sz w:val="20"/>
                              </w:rPr>
                              <w:t>6235</w:t>
                            </w:r>
                          </w:p>
                        </w:tc>
                        <w:tc>
                          <w:tcPr>
                            <w:tcW w:w="2504" w:type="dxa"/>
                          </w:tcPr>
                          <w:p>
                            <w:pPr>
                              <w:pStyle w:val="TableParagraph"/>
                              <w:ind w:left="158"/>
                              <w:rPr>
                                <w:sz w:val="20"/>
                              </w:rPr>
                            </w:pPr>
                            <w:r>
                              <w:rPr>
                                <w:sz w:val="20"/>
                              </w:rPr>
                              <w:t>Fon</w:t>
                            </w:r>
                            <w:r>
                              <w:rPr>
                                <w:spacing w:val="-5"/>
                                <w:sz w:val="20"/>
                              </w:rPr>
                              <w:t> </w:t>
                            </w:r>
                            <w:r>
                              <w:rPr>
                                <w:spacing w:val="-2"/>
                                <w:sz w:val="20"/>
                              </w:rPr>
                              <w:t>(fon)</w:t>
                            </w:r>
                          </w:p>
                        </w:tc>
                      </w:tr>
                      <w:tr>
                        <w:trPr>
                          <w:trHeight w:val="230" w:hRule="atLeast"/>
                        </w:trPr>
                        <w:tc>
                          <w:tcPr>
                            <w:tcW w:w="612" w:type="dxa"/>
                          </w:tcPr>
                          <w:p>
                            <w:pPr>
                              <w:pStyle w:val="TableParagraph"/>
                              <w:ind w:left="50"/>
                              <w:rPr>
                                <w:sz w:val="20"/>
                              </w:rPr>
                            </w:pPr>
                            <w:r>
                              <w:rPr>
                                <w:spacing w:val="-4"/>
                                <w:sz w:val="20"/>
                              </w:rPr>
                              <w:t>6240</w:t>
                            </w:r>
                          </w:p>
                        </w:tc>
                        <w:tc>
                          <w:tcPr>
                            <w:tcW w:w="2504" w:type="dxa"/>
                          </w:tcPr>
                          <w:p>
                            <w:pPr>
                              <w:pStyle w:val="TableParagraph"/>
                              <w:ind w:left="158"/>
                              <w:rPr>
                                <w:sz w:val="20"/>
                              </w:rPr>
                            </w:pPr>
                            <w:r>
                              <w:rPr>
                                <w:sz w:val="20"/>
                              </w:rPr>
                              <w:t>Gen</w:t>
                            </w:r>
                            <w:r>
                              <w:rPr>
                                <w:spacing w:val="-5"/>
                                <w:sz w:val="20"/>
                              </w:rPr>
                              <w:t> </w:t>
                            </w:r>
                            <w:r>
                              <w:rPr>
                                <w:spacing w:val="-2"/>
                                <w:sz w:val="20"/>
                              </w:rPr>
                              <w:t>(gej)</w:t>
                            </w:r>
                          </w:p>
                        </w:tc>
                      </w:tr>
                      <w:tr>
                        <w:trPr>
                          <w:trHeight w:val="225" w:hRule="atLeast"/>
                        </w:trPr>
                        <w:tc>
                          <w:tcPr>
                            <w:tcW w:w="612" w:type="dxa"/>
                          </w:tcPr>
                          <w:p>
                            <w:pPr>
                              <w:pStyle w:val="TableParagraph"/>
                              <w:spacing w:line="205" w:lineRule="exact"/>
                              <w:ind w:left="50"/>
                              <w:rPr>
                                <w:sz w:val="20"/>
                              </w:rPr>
                            </w:pPr>
                            <w:r>
                              <w:rPr>
                                <w:spacing w:val="-4"/>
                                <w:sz w:val="20"/>
                              </w:rPr>
                              <w:t>6245</w:t>
                            </w:r>
                          </w:p>
                        </w:tc>
                        <w:tc>
                          <w:tcPr>
                            <w:tcW w:w="2504" w:type="dxa"/>
                          </w:tcPr>
                          <w:p>
                            <w:pPr>
                              <w:pStyle w:val="TableParagraph"/>
                              <w:spacing w:line="205" w:lineRule="exact"/>
                              <w:ind w:left="158"/>
                              <w:rPr>
                                <w:sz w:val="20"/>
                              </w:rPr>
                            </w:pPr>
                            <w:r>
                              <w:rPr>
                                <w:sz w:val="20"/>
                              </w:rPr>
                              <w:t>Waci</w:t>
                            </w:r>
                            <w:r>
                              <w:rPr>
                                <w:spacing w:val="-4"/>
                                <w:sz w:val="20"/>
                              </w:rPr>
                              <w:t> </w:t>
                            </w:r>
                            <w:r>
                              <w:rPr>
                                <w:sz w:val="20"/>
                              </w:rPr>
                              <w:t>Gbe</w:t>
                            </w:r>
                            <w:r>
                              <w:rPr>
                                <w:spacing w:val="-3"/>
                                <w:sz w:val="20"/>
                              </w:rPr>
                              <w:t> </w:t>
                            </w:r>
                            <w:r>
                              <w:rPr>
                                <w:spacing w:val="-2"/>
                                <w:sz w:val="20"/>
                              </w:rPr>
                              <w:t>(wci)</w:t>
                            </w:r>
                          </w:p>
                        </w:tc>
                      </w:tr>
                      <w:tr>
                        <w:trPr>
                          <w:trHeight w:val="468" w:hRule="atLeast"/>
                        </w:trPr>
                        <w:tc>
                          <w:tcPr>
                            <w:tcW w:w="3116" w:type="dxa"/>
                            <w:gridSpan w:val="2"/>
                          </w:tcPr>
                          <w:p>
                            <w:pPr>
                              <w:pStyle w:val="TableParagraph"/>
                              <w:spacing w:line="240" w:lineRule="auto" w:before="1"/>
                              <w:rPr>
                                <w:i/>
                                <w:sz w:val="20"/>
                              </w:rPr>
                            </w:pPr>
                          </w:p>
                          <w:p>
                            <w:pPr>
                              <w:pStyle w:val="TableParagraph"/>
                              <w:spacing w:line="217" w:lineRule="exact"/>
                              <w:ind w:left="50"/>
                              <w:rPr>
                                <w:i/>
                                <w:sz w:val="20"/>
                              </w:rPr>
                            </w:pPr>
                            <w:r>
                              <w:rPr>
                                <w:i/>
                                <w:sz w:val="20"/>
                              </w:rPr>
                              <w:t>Ijoid</w:t>
                            </w:r>
                            <w:r>
                              <w:rPr>
                                <w:i/>
                                <w:spacing w:val="-7"/>
                                <w:sz w:val="20"/>
                              </w:rPr>
                              <w:t> </w:t>
                            </w:r>
                            <w:r>
                              <w:rPr>
                                <w:i/>
                                <w:sz w:val="20"/>
                              </w:rPr>
                              <w:t>languages</w:t>
                            </w:r>
                            <w:r>
                              <w:rPr>
                                <w:i/>
                                <w:spacing w:val="-8"/>
                                <w:sz w:val="20"/>
                              </w:rPr>
                              <w:t> </w:t>
                            </w:r>
                            <w:r>
                              <w:rPr>
                                <w:i/>
                                <w:sz w:val="20"/>
                              </w:rPr>
                              <w:t>(6250-</w:t>
                            </w:r>
                            <w:r>
                              <w:rPr>
                                <w:i/>
                                <w:spacing w:val="-4"/>
                                <w:sz w:val="20"/>
                              </w:rPr>
                              <w:t>6284)</w:t>
                            </w:r>
                          </w:p>
                        </w:tc>
                      </w:tr>
                      <w:tr>
                        <w:trPr>
                          <w:trHeight w:val="225" w:hRule="atLeast"/>
                        </w:trPr>
                        <w:tc>
                          <w:tcPr>
                            <w:tcW w:w="612" w:type="dxa"/>
                          </w:tcPr>
                          <w:p>
                            <w:pPr>
                              <w:pStyle w:val="TableParagraph"/>
                              <w:spacing w:line="205" w:lineRule="exact"/>
                              <w:ind w:left="50"/>
                              <w:rPr>
                                <w:sz w:val="20"/>
                              </w:rPr>
                            </w:pPr>
                            <w:r>
                              <w:rPr>
                                <w:spacing w:val="-4"/>
                                <w:sz w:val="20"/>
                              </w:rPr>
                              <w:t>6250</w:t>
                            </w:r>
                          </w:p>
                        </w:tc>
                        <w:tc>
                          <w:tcPr>
                            <w:tcW w:w="2504" w:type="dxa"/>
                          </w:tcPr>
                          <w:p>
                            <w:pPr>
                              <w:pStyle w:val="TableParagraph"/>
                              <w:spacing w:line="205" w:lineRule="exact"/>
                              <w:ind w:left="158"/>
                              <w:rPr>
                                <w:sz w:val="20"/>
                              </w:rPr>
                            </w:pPr>
                            <w:r>
                              <w:rPr>
                                <w:sz w:val="20"/>
                              </w:rPr>
                              <w:t>Southeast</w:t>
                            </w:r>
                            <w:r>
                              <w:rPr>
                                <w:spacing w:val="-6"/>
                                <w:sz w:val="20"/>
                              </w:rPr>
                              <w:t> </w:t>
                            </w:r>
                            <w:r>
                              <w:rPr>
                                <w:sz w:val="20"/>
                              </w:rPr>
                              <w:t>Ijo</w:t>
                            </w:r>
                            <w:r>
                              <w:rPr>
                                <w:spacing w:val="-4"/>
                                <w:sz w:val="20"/>
                              </w:rPr>
                              <w:t> </w:t>
                            </w:r>
                            <w:r>
                              <w:rPr>
                                <w:spacing w:val="-2"/>
                                <w:sz w:val="20"/>
                              </w:rPr>
                              <w:t>(ijs)</w:t>
                            </w:r>
                          </w:p>
                        </w:tc>
                      </w:tr>
                      <w:tr>
                        <w:trPr>
                          <w:trHeight w:val="230" w:hRule="atLeast"/>
                        </w:trPr>
                        <w:tc>
                          <w:tcPr>
                            <w:tcW w:w="612" w:type="dxa"/>
                          </w:tcPr>
                          <w:p>
                            <w:pPr>
                              <w:pStyle w:val="TableParagraph"/>
                              <w:ind w:left="50"/>
                              <w:rPr>
                                <w:sz w:val="20"/>
                              </w:rPr>
                            </w:pPr>
                            <w:r>
                              <w:rPr>
                                <w:spacing w:val="-4"/>
                                <w:sz w:val="20"/>
                              </w:rPr>
                              <w:t>6255</w:t>
                            </w:r>
                          </w:p>
                        </w:tc>
                        <w:tc>
                          <w:tcPr>
                            <w:tcW w:w="2504" w:type="dxa"/>
                          </w:tcPr>
                          <w:p>
                            <w:pPr>
                              <w:pStyle w:val="TableParagraph"/>
                              <w:ind w:left="158"/>
                              <w:rPr>
                                <w:sz w:val="20"/>
                              </w:rPr>
                            </w:pPr>
                            <w:r>
                              <w:rPr>
                                <w:sz w:val="20"/>
                              </w:rPr>
                              <w:t>Ibani</w:t>
                            </w:r>
                            <w:r>
                              <w:rPr>
                                <w:spacing w:val="-6"/>
                                <w:sz w:val="20"/>
                              </w:rPr>
                              <w:t> </w:t>
                            </w:r>
                            <w:r>
                              <w:rPr>
                                <w:spacing w:val="-2"/>
                                <w:sz w:val="20"/>
                              </w:rPr>
                              <w:t>(iby)</w:t>
                            </w:r>
                          </w:p>
                        </w:tc>
                      </w:tr>
                      <w:tr>
                        <w:trPr>
                          <w:trHeight w:val="230" w:hRule="atLeast"/>
                        </w:trPr>
                        <w:tc>
                          <w:tcPr>
                            <w:tcW w:w="612" w:type="dxa"/>
                          </w:tcPr>
                          <w:p>
                            <w:pPr>
                              <w:pStyle w:val="TableParagraph"/>
                              <w:ind w:left="50"/>
                              <w:rPr>
                                <w:sz w:val="20"/>
                              </w:rPr>
                            </w:pPr>
                            <w:r>
                              <w:rPr>
                                <w:spacing w:val="-4"/>
                                <w:sz w:val="20"/>
                              </w:rPr>
                              <w:t>6260</w:t>
                            </w:r>
                          </w:p>
                        </w:tc>
                        <w:tc>
                          <w:tcPr>
                            <w:tcW w:w="2504" w:type="dxa"/>
                          </w:tcPr>
                          <w:p>
                            <w:pPr>
                              <w:pStyle w:val="TableParagraph"/>
                              <w:ind w:left="158"/>
                              <w:rPr>
                                <w:sz w:val="20"/>
                              </w:rPr>
                            </w:pPr>
                            <w:r>
                              <w:rPr>
                                <w:sz w:val="20"/>
                              </w:rPr>
                              <w:t>Kalabari</w:t>
                            </w:r>
                            <w:r>
                              <w:rPr>
                                <w:spacing w:val="-6"/>
                                <w:sz w:val="20"/>
                              </w:rPr>
                              <w:t> </w:t>
                            </w:r>
                            <w:r>
                              <w:rPr>
                                <w:spacing w:val="-2"/>
                                <w:sz w:val="20"/>
                              </w:rPr>
                              <w:t>(ijn)</w:t>
                            </w:r>
                          </w:p>
                        </w:tc>
                      </w:tr>
                      <w:tr>
                        <w:trPr>
                          <w:trHeight w:val="225" w:hRule="atLeast"/>
                        </w:trPr>
                        <w:tc>
                          <w:tcPr>
                            <w:tcW w:w="612" w:type="dxa"/>
                          </w:tcPr>
                          <w:p>
                            <w:pPr>
                              <w:pStyle w:val="TableParagraph"/>
                              <w:spacing w:line="205" w:lineRule="exact"/>
                              <w:ind w:left="50"/>
                              <w:rPr>
                                <w:sz w:val="20"/>
                              </w:rPr>
                            </w:pPr>
                            <w:r>
                              <w:rPr>
                                <w:spacing w:val="-4"/>
                                <w:sz w:val="20"/>
                              </w:rPr>
                              <w:t>6265</w:t>
                            </w:r>
                          </w:p>
                        </w:tc>
                        <w:tc>
                          <w:tcPr>
                            <w:tcW w:w="2504" w:type="dxa"/>
                          </w:tcPr>
                          <w:p>
                            <w:pPr>
                              <w:pStyle w:val="TableParagraph"/>
                              <w:spacing w:line="205" w:lineRule="exact"/>
                              <w:ind w:left="158"/>
                              <w:rPr>
                                <w:sz w:val="20"/>
                              </w:rPr>
                            </w:pPr>
                            <w:r>
                              <w:rPr>
                                <w:sz w:val="20"/>
                              </w:rPr>
                              <w:t>Kirike</w:t>
                            </w:r>
                            <w:r>
                              <w:rPr>
                                <w:spacing w:val="-8"/>
                                <w:sz w:val="20"/>
                              </w:rPr>
                              <w:t> </w:t>
                            </w:r>
                            <w:r>
                              <w:rPr>
                                <w:spacing w:val="-2"/>
                                <w:sz w:val="20"/>
                              </w:rPr>
                              <w:t>(okr)</w:t>
                            </w:r>
                          </w:p>
                        </w:tc>
                      </w:tr>
                    </w:tbl>
                    <w:p>
                      <w:pPr>
                        <w:pStyle w:val="BodyText"/>
                      </w:pPr>
                    </w:p>
                  </w:txbxContent>
                </v:textbox>
                <w10:wrap type="none"/>
              </v:shape>
            </w:pict>
          </mc:Fallback>
        </mc:AlternateContent>
      </w:r>
      <w:r>
        <w:rPr>
          <w:rFonts w:ascii="Times New Roman"/>
          <w:i/>
          <w:sz w:val="20"/>
        </w:rPr>
        <w:t>Akan</w:t>
      </w:r>
      <w:r>
        <w:rPr>
          <w:rFonts w:ascii="Times New Roman"/>
          <w:i/>
          <w:spacing w:val="-7"/>
          <w:sz w:val="20"/>
        </w:rPr>
        <w:t> </w:t>
      </w:r>
      <w:r>
        <w:rPr>
          <w:rFonts w:ascii="Times New Roman"/>
          <w:i/>
          <w:sz w:val="20"/>
        </w:rPr>
        <w:t>(6120-</w:t>
      </w:r>
      <w:r>
        <w:rPr>
          <w:rFonts w:ascii="Times New Roman"/>
          <w:i/>
          <w:spacing w:val="-4"/>
          <w:sz w:val="20"/>
        </w:rPr>
        <w:t>6134)</w:t>
      </w:r>
    </w:p>
    <w:p>
      <w:pPr>
        <w:spacing w:line="240" w:lineRule="auto" w:before="7"/>
        <w:rPr>
          <w:rFonts w:ascii="Times New Roman"/>
          <w:i/>
          <w:sz w:val="6"/>
        </w:rPr>
      </w:pPr>
      <w:r>
        <w:rPr/>
        <w:br w:type="column"/>
      </w:r>
      <w:r>
        <w:rPr>
          <w:rFonts w:ascii="Times New Roman"/>
          <w:i/>
          <w:sz w:val="6"/>
        </w:rPr>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256"/>
      </w:tblGrid>
      <w:tr>
        <w:trPr>
          <w:trHeight w:val="225" w:hRule="atLeast"/>
        </w:trPr>
        <w:tc>
          <w:tcPr>
            <w:tcW w:w="612" w:type="dxa"/>
          </w:tcPr>
          <w:p>
            <w:pPr>
              <w:pStyle w:val="TableParagraph"/>
              <w:spacing w:line="205" w:lineRule="exact"/>
              <w:ind w:left="50"/>
              <w:rPr>
                <w:sz w:val="20"/>
              </w:rPr>
            </w:pPr>
            <w:r>
              <w:rPr>
                <w:spacing w:val="-4"/>
                <w:sz w:val="20"/>
              </w:rPr>
              <w:t>6270</w:t>
            </w:r>
          </w:p>
        </w:tc>
        <w:tc>
          <w:tcPr>
            <w:tcW w:w="1256" w:type="dxa"/>
          </w:tcPr>
          <w:p>
            <w:pPr>
              <w:pStyle w:val="TableParagraph"/>
              <w:spacing w:line="205" w:lineRule="exact"/>
              <w:ind w:left="158"/>
              <w:rPr>
                <w:sz w:val="20"/>
              </w:rPr>
            </w:pPr>
            <w:r>
              <w:rPr>
                <w:sz w:val="20"/>
              </w:rPr>
              <w:t>Izon</w:t>
            </w:r>
            <w:r>
              <w:rPr>
                <w:spacing w:val="-4"/>
                <w:sz w:val="20"/>
              </w:rPr>
              <w:t> </w:t>
            </w:r>
            <w:r>
              <w:rPr>
                <w:spacing w:val="-2"/>
                <w:sz w:val="20"/>
              </w:rPr>
              <w:t>(ijc)</w:t>
            </w:r>
          </w:p>
        </w:tc>
      </w:tr>
      <w:tr>
        <w:trPr>
          <w:trHeight w:val="229" w:hRule="atLeast"/>
        </w:trPr>
        <w:tc>
          <w:tcPr>
            <w:tcW w:w="612" w:type="dxa"/>
          </w:tcPr>
          <w:p>
            <w:pPr>
              <w:pStyle w:val="TableParagraph"/>
              <w:spacing w:line="209" w:lineRule="exact"/>
              <w:ind w:left="50"/>
              <w:rPr>
                <w:sz w:val="20"/>
              </w:rPr>
            </w:pPr>
            <w:r>
              <w:rPr>
                <w:spacing w:val="-4"/>
                <w:sz w:val="20"/>
              </w:rPr>
              <w:t>6275</w:t>
            </w:r>
          </w:p>
        </w:tc>
        <w:tc>
          <w:tcPr>
            <w:tcW w:w="1256" w:type="dxa"/>
          </w:tcPr>
          <w:p>
            <w:pPr>
              <w:pStyle w:val="TableParagraph"/>
              <w:spacing w:line="209" w:lineRule="exact"/>
              <w:ind w:left="158"/>
              <w:rPr>
                <w:sz w:val="20"/>
              </w:rPr>
            </w:pPr>
            <w:r>
              <w:rPr>
                <w:sz w:val="20"/>
              </w:rPr>
              <w:t>Biseni</w:t>
            </w:r>
            <w:r>
              <w:rPr>
                <w:spacing w:val="-8"/>
                <w:sz w:val="20"/>
              </w:rPr>
              <w:t> </w:t>
            </w:r>
            <w:r>
              <w:rPr>
                <w:spacing w:val="-2"/>
                <w:sz w:val="20"/>
              </w:rPr>
              <w:t>(ije)</w:t>
            </w:r>
          </w:p>
        </w:tc>
      </w:tr>
      <w:tr>
        <w:trPr>
          <w:trHeight w:val="224" w:hRule="atLeast"/>
        </w:trPr>
        <w:tc>
          <w:tcPr>
            <w:tcW w:w="612" w:type="dxa"/>
          </w:tcPr>
          <w:p>
            <w:pPr>
              <w:pStyle w:val="TableParagraph"/>
              <w:spacing w:line="204" w:lineRule="exact"/>
              <w:ind w:left="50"/>
              <w:rPr>
                <w:sz w:val="20"/>
              </w:rPr>
            </w:pPr>
            <w:r>
              <w:rPr>
                <w:spacing w:val="-4"/>
                <w:sz w:val="20"/>
              </w:rPr>
              <w:t>6280</w:t>
            </w:r>
          </w:p>
        </w:tc>
        <w:tc>
          <w:tcPr>
            <w:tcW w:w="1256" w:type="dxa"/>
          </w:tcPr>
          <w:p>
            <w:pPr>
              <w:pStyle w:val="TableParagraph"/>
              <w:spacing w:line="204" w:lineRule="exact"/>
              <w:ind w:left="158"/>
              <w:rPr>
                <w:sz w:val="20"/>
              </w:rPr>
            </w:pPr>
            <w:r>
              <w:rPr>
                <w:sz w:val="20"/>
              </w:rPr>
              <w:t>Arigidi</w:t>
            </w:r>
            <w:r>
              <w:rPr>
                <w:spacing w:val="-10"/>
                <w:sz w:val="20"/>
              </w:rPr>
              <w:t> </w:t>
            </w:r>
            <w:r>
              <w:rPr>
                <w:spacing w:val="-2"/>
                <w:sz w:val="20"/>
              </w:rPr>
              <w:t>(aqg)</w:t>
            </w:r>
          </w:p>
        </w:tc>
      </w:tr>
    </w:tbl>
    <w:p>
      <w:pPr>
        <w:pStyle w:val="BodyText"/>
        <w:spacing w:before="3"/>
        <w:rPr>
          <w:rFonts w:ascii="Times New Roman"/>
          <w:i/>
          <w:sz w:val="20"/>
        </w:rPr>
      </w:pPr>
    </w:p>
    <w:p>
      <w:pPr>
        <w:spacing w:before="0"/>
        <w:ind w:left="552" w:right="0" w:firstLine="0"/>
        <w:jc w:val="left"/>
        <w:rPr>
          <w:rFonts w:ascii="Times New Roman"/>
          <w:i/>
          <w:sz w:val="20"/>
        </w:rPr>
      </w:pPr>
      <w:r>
        <w:rPr>
          <w:rFonts w:ascii="Times New Roman"/>
          <w:i/>
          <w:sz w:val="20"/>
        </w:rPr>
        <w:t>Defoid</w:t>
      </w:r>
      <w:r>
        <w:rPr>
          <w:rFonts w:ascii="Times New Roman"/>
          <w:i/>
          <w:spacing w:val="-7"/>
          <w:sz w:val="20"/>
        </w:rPr>
        <w:t> </w:t>
      </w:r>
      <w:r>
        <w:rPr>
          <w:rFonts w:ascii="Times New Roman"/>
          <w:i/>
          <w:sz w:val="20"/>
        </w:rPr>
        <w:t>languages</w:t>
      </w:r>
      <w:r>
        <w:rPr>
          <w:rFonts w:ascii="Times New Roman"/>
          <w:i/>
          <w:spacing w:val="-6"/>
          <w:sz w:val="20"/>
        </w:rPr>
        <w:t> </w:t>
      </w:r>
      <w:r>
        <w:rPr>
          <w:rFonts w:ascii="Times New Roman"/>
          <w:i/>
          <w:sz w:val="20"/>
        </w:rPr>
        <w:t>(6285-</w:t>
      </w:r>
      <w:r>
        <w:rPr>
          <w:rFonts w:ascii="Times New Roman"/>
          <w:i/>
          <w:spacing w:val="-4"/>
          <w:sz w:val="20"/>
        </w:rPr>
        <w:t>6299)</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1255"/>
      </w:tblGrid>
      <w:tr>
        <w:trPr>
          <w:trHeight w:val="225" w:hRule="atLeast"/>
        </w:trPr>
        <w:tc>
          <w:tcPr>
            <w:tcW w:w="612" w:type="dxa"/>
          </w:tcPr>
          <w:p>
            <w:pPr>
              <w:pStyle w:val="TableParagraph"/>
              <w:spacing w:line="205" w:lineRule="exact"/>
              <w:ind w:left="50"/>
              <w:rPr>
                <w:sz w:val="20"/>
              </w:rPr>
            </w:pPr>
            <w:r>
              <w:rPr>
                <w:spacing w:val="-4"/>
                <w:sz w:val="20"/>
              </w:rPr>
              <w:t>6285</w:t>
            </w:r>
          </w:p>
        </w:tc>
        <w:tc>
          <w:tcPr>
            <w:tcW w:w="1255" w:type="dxa"/>
          </w:tcPr>
          <w:p>
            <w:pPr>
              <w:pStyle w:val="TableParagraph"/>
              <w:spacing w:line="205" w:lineRule="exact"/>
              <w:ind w:left="158"/>
              <w:rPr>
                <w:sz w:val="20"/>
              </w:rPr>
            </w:pPr>
            <w:r>
              <w:rPr>
                <w:sz w:val="20"/>
              </w:rPr>
              <w:t>Igala</w:t>
            </w:r>
            <w:r>
              <w:rPr>
                <w:spacing w:val="-6"/>
                <w:sz w:val="20"/>
              </w:rPr>
              <w:t> </w:t>
            </w:r>
            <w:r>
              <w:rPr>
                <w:spacing w:val="-2"/>
                <w:sz w:val="20"/>
              </w:rPr>
              <w:t>(igl)</w:t>
            </w:r>
          </w:p>
        </w:tc>
      </w:tr>
      <w:tr>
        <w:trPr>
          <w:trHeight w:val="230" w:hRule="atLeast"/>
        </w:trPr>
        <w:tc>
          <w:tcPr>
            <w:tcW w:w="612" w:type="dxa"/>
          </w:tcPr>
          <w:p>
            <w:pPr>
              <w:pStyle w:val="TableParagraph"/>
              <w:ind w:left="50"/>
              <w:rPr>
                <w:sz w:val="20"/>
              </w:rPr>
            </w:pPr>
            <w:r>
              <w:rPr>
                <w:spacing w:val="-4"/>
                <w:sz w:val="20"/>
              </w:rPr>
              <w:t>6290</w:t>
            </w:r>
          </w:p>
        </w:tc>
        <w:tc>
          <w:tcPr>
            <w:tcW w:w="1255" w:type="dxa"/>
          </w:tcPr>
          <w:p>
            <w:pPr>
              <w:pStyle w:val="TableParagraph"/>
              <w:ind w:left="158"/>
              <w:rPr>
                <w:sz w:val="20"/>
              </w:rPr>
            </w:pPr>
            <w:r>
              <w:rPr>
                <w:sz w:val="20"/>
              </w:rPr>
              <w:t>Yoruba</w:t>
            </w:r>
            <w:r>
              <w:rPr>
                <w:spacing w:val="-6"/>
                <w:sz w:val="20"/>
              </w:rPr>
              <w:t> </w:t>
            </w:r>
            <w:r>
              <w:rPr>
                <w:spacing w:val="-2"/>
                <w:sz w:val="20"/>
              </w:rPr>
              <w:t>(yor)</w:t>
            </w:r>
          </w:p>
        </w:tc>
      </w:tr>
      <w:tr>
        <w:trPr>
          <w:trHeight w:val="229" w:hRule="atLeast"/>
        </w:trPr>
        <w:tc>
          <w:tcPr>
            <w:tcW w:w="612" w:type="dxa"/>
          </w:tcPr>
          <w:p>
            <w:pPr>
              <w:pStyle w:val="TableParagraph"/>
              <w:spacing w:line="209" w:lineRule="exact"/>
              <w:ind w:left="50"/>
              <w:rPr>
                <w:sz w:val="20"/>
              </w:rPr>
            </w:pPr>
            <w:r>
              <w:rPr>
                <w:spacing w:val="-4"/>
                <w:sz w:val="20"/>
              </w:rPr>
              <w:t>6293</w:t>
            </w:r>
          </w:p>
        </w:tc>
        <w:tc>
          <w:tcPr>
            <w:tcW w:w="1255" w:type="dxa"/>
          </w:tcPr>
          <w:p>
            <w:pPr>
              <w:pStyle w:val="TableParagraph"/>
              <w:spacing w:line="209" w:lineRule="exact"/>
              <w:ind w:left="158"/>
              <w:rPr>
                <w:sz w:val="20"/>
              </w:rPr>
            </w:pPr>
            <w:r>
              <w:rPr>
                <w:sz w:val="20"/>
              </w:rPr>
              <w:t>Ifè</w:t>
            </w:r>
            <w:r>
              <w:rPr>
                <w:spacing w:val="-5"/>
                <w:sz w:val="20"/>
              </w:rPr>
              <w:t> </w:t>
            </w:r>
            <w:r>
              <w:rPr>
                <w:spacing w:val="-2"/>
                <w:sz w:val="20"/>
              </w:rPr>
              <w:t>(ife)</w:t>
            </w:r>
          </w:p>
        </w:tc>
      </w:tr>
      <w:tr>
        <w:trPr>
          <w:trHeight w:val="224" w:hRule="atLeast"/>
        </w:trPr>
        <w:tc>
          <w:tcPr>
            <w:tcW w:w="612" w:type="dxa"/>
          </w:tcPr>
          <w:p>
            <w:pPr>
              <w:pStyle w:val="TableParagraph"/>
              <w:spacing w:line="204" w:lineRule="exact"/>
              <w:ind w:left="50"/>
              <w:rPr>
                <w:sz w:val="20"/>
              </w:rPr>
            </w:pPr>
            <w:r>
              <w:rPr>
                <w:spacing w:val="-4"/>
                <w:sz w:val="20"/>
              </w:rPr>
              <w:t>6295</w:t>
            </w:r>
          </w:p>
        </w:tc>
        <w:tc>
          <w:tcPr>
            <w:tcW w:w="1255" w:type="dxa"/>
          </w:tcPr>
          <w:p>
            <w:pPr>
              <w:pStyle w:val="TableParagraph"/>
              <w:spacing w:line="204" w:lineRule="exact"/>
              <w:ind w:left="158"/>
              <w:rPr>
                <w:sz w:val="20"/>
              </w:rPr>
            </w:pPr>
            <w:r>
              <w:rPr>
                <w:sz w:val="20"/>
              </w:rPr>
              <w:t>Isekiri</w:t>
            </w:r>
            <w:r>
              <w:rPr>
                <w:spacing w:val="-8"/>
                <w:sz w:val="20"/>
              </w:rPr>
              <w:t> </w:t>
            </w:r>
            <w:r>
              <w:rPr>
                <w:spacing w:val="-2"/>
                <w:sz w:val="20"/>
              </w:rPr>
              <w:t>(its)</w:t>
            </w:r>
          </w:p>
        </w:tc>
      </w:tr>
    </w:tbl>
    <w:p>
      <w:pPr>
        <w:pStyle w:val="BodyText"/>
        <w:rPr>
          <w:rFonts w:ascii="Times New Roman"/>
          <w:i/>
          <w:sz w:val="21"/>
        </w:rPr>
      </w:pPr>
    </w:p>
    <w:p>
      <w:pPr>
        <w:spacing w:before="1"/>
        <w:ind w:left="552" w:right="0" w:firstLine="0"/>
        <w:jc w:val="left"/>
        <w:rPr>
          <w:rFonts w:ascii="Times New Roman"/>
          <w:i/>
          <w:sz w:val="20"/>
        </w:rPr>
      </w:pPr>
      <w:r>
        <w:rPr>
          <w:rFonts w:ascii="Times New Roman"/>
          <w:i/>
          <w:sz w:val="20"/>
        </w:rPr>
        <w:t>Edoid</w:t>
      </w:r>
      <w:r>
        <w:rPr>
          <w:rFonts w:ascii="Times New Roman"/>
          <w:i/>
          <w:spacing w:val="-6"/>
          <w:sz w:val="20"/>
        </w:rPr>
        <w:t> </w:t>
      </w:r>
      <w:r>
        <w:rPr>
          <w:rFonts w:ascii="Times New Roman"/>
          <w:i/>
          <w:sz w:val="20"/>
        </w:rPr>
        <w:t>languages</w:t>
      </w:r>
      <w:r>
        <w:rPr>
          <w:rFonts w:ascii="Times New Roman"/>
          <w:i/>
          <w:spacing w:val="-8"/>
          <w:sz w:val="20"/>
        </w:rPr>
        <w:t> </w:t>
      </w:r>
      <w:r>
        <w:rPr>
          <w:rFonts w:ascii="Times New Roman"/>
          <w:i/>
          <w:sz w:val="20"/>
        </w:rPr>
        <w:t>(6300-</w:t>
      </w:r>
      <w:r>
        <w:rPr>
          <w:rFonts w:ascii="Times New Roman"/>
          <w:i/>
          <w:spacing w:val="-4"/>
          <w:sz w:val="20"/>
        </w:rPr>
        <w:t>6356)</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755"/>
      </w:tblGrid>
      <w:tr>
        <w:trPr>
          <w:trHeight w:val="225" w:hRule="atLeast"/>
        </w:trPr>
        <w:tc>
          <w:tcPr>
            <w:tcW w:w="612" w:type="dxa"/>
          </w:tcPr>
          <w:p>
            <w:pPr>
              <w:pStyle w:val="TableParagraph"/>
              <w:spacing w:line="205" w:lineRule="exact"/>
              <w:ind w:left="50"/>
              <w:rPr>
                <w:sz w:val="20"/>
              </w:rPr>
            </w:pPr>
            <w:r>
              <w:rPr>
                <w:spacing w:val="-4"/>
                <w:sz w:val="20"/>
              </w:rPr>
              <w:t>6300</w:t>
            </w:r>
          </w:p>
        </w:tc>
        <w:tc>
          <w:tcPr>
            <w:tcW w:w="2755" w:type="dxa"/>
          </w:tcPr>
          <w:p>
            <w:pPr>
              <w:pStyle w:val="TableParagraph"/>
              <w:spacing w:line="205" w:lineRule="exact"/>
              <w:ind w:left="158"/>
              <w:rPr>
                <w:sz w:val="20"/>
              </w:rPr>
            </w:pPr>
            <w:r>
              <w:rPr>
                <w:sz w:val="20"/>
              </w:rPr>
              <w:t>Bini</w:t>
            </w:r>
            <w:r>
              <w:rPr>
                <w:spacing w:val="-6"/>
                <w:sz w:val="20"/>
              </w:rPr>
              <w:t> </w:t>
            </w:r>
            <w:r>
              <w:rPr>
                <w:spacing w:val="-2"/>
                <w:sz w:val="20"/>
              </w:rPr>
              <w:t>(bin)</w:t>
            </w:r>
          </w:p>
        </w:tc>
      </w:tr>
      <w:tr>
        <w:trPr>
          <w:trHeight w:val="230" w:hRule="atLeast"/>
        </w:trPr>
        <w:tc>
          <w:tcPr>
            <w:tcW w:w="612" w:type="dxa"/>
          </w:tcPr>
          <w:p>
            <w:pPr>
              <w:pStyle w:val="TableParagraph"/>
              <w:ind w:left="50"/>
              <w:rPr>
                <w:sz w:val="20"/>
              </w:rPr>
            </w:pPr>
            <w:r>
              <w:rPr>
                <w:spacing w:val="-4"/>
                <w:sz w:val="20"/>
              </w:rPr>
              <w:t>6305</w:t>
            </w:r>
          </w:p>
        </w:tc>
        <w:tc>
          <w:tcPr>
            <w:tcW w:w="2755" w:type="dxa"/>
          </w:tcPr>
          <w:p>
            <w:pPr>
              <w:pStyle w:val="TableParagraph"/>
              <w:ind w:left="158"/>
              <w:rPr>
                <w:sz w:val="20"/>
              </w:rPr>
            </w:pPr>
            <w:r>
              <w:rPr>
                <w:sz w:val="20"/>
              </w:rPr>
              <w:t>Esan</w:t>
            </w:r>
            <w:r>
              <w:rPr>
                <w:spacing w:val="-6"/>
                <w:sz w:val="20"/>
              </w:rPr>
              <w:t> </w:t>
            </w:r>
            <w:r>
              <w:rPr>
                <w:spacing w:val="-2"/>
                <w:sz w:val="20"/>
              </w:rPr>
              <w:t>(ish)</w:t>
            </w:r>
          </w:p>
        </w:tc>
      </w:tr>
      <w:tr>
        <w:trPr>
          <w:trHeight w:val="229" w:hRule="atLeast"/>
        </w:trPr>
        <w:tc>
          <w:tcPr>
            <w:tcW w:w="612" w:type="dxa"/>
          </w:tcPr>
          <w:p>
            <w:pPr>
              <w:pStyle w:val="TableParagraph"/>
              <w:spacing w:line="209" w:lineRule="exact"/>
              <w:ind w:left="50"/>
              <w:rPr>
                <w:sz w:val="20"/>
              </w:rPr>
            </w:pPr>
            <w:r>
              <w:rPr>
                <w:spacing w:val="-4"/>
                <w:sz w:val="20"/>
              </w:rPr>
              <w:t>6310</w:t>
            </w:r>
          </w:p>
        </w:tc>
        <w:tc>
          <w:tcPr>
            <w:tcW w:w="2755" w:type="dxa"/>
          </w:tcPr>
          <w:p>
            <w:pPr>
              <w:pStyle w:val="TableParagraph"/>
              <w:spacing w:line="209" w:lineRule="exact"/>
              <w:ind w:left="158"/>
              <w:rPr>
                <w:sz w:val="20"/>
              </w:rPr>
            </w:pPr>
            <w:r>
              <w:rPr>
                <w:spacing w:val="-2"/>
                <w:sz w:val="20"/>
              </w:rPr>
              <w:t>Emai-Iuleha-Ora</w:t>
            </w:r>
            <w:r>
              <w:rPr>
                <w:spacing w:val="13"/>
                <w:sz w:val="20"/>
              </w:rPr>
              <w:t> </w:t>
            </w:r>
            <w:r>
              <w:rPr>
                <w:spacing w:val="-4"/>
                <w:sz w:val="20"/>
              </w:rPr>
              <w:t>(ema)</w:t>
            </w:r>
          </w:p>
        </w:tc>
      </w:tr>
      <w:tr>
        <w:trPr>
          <w:trHeight w:val="229" w:hRule="atLeast"/>
        </w:trPr>
        <w:tc>
          <w:tcPr>
            <w:tcW w:w="612" w:type="dxa"/>
          </w:tcPr>
          <w:p>
            <w:pPr>
              <w:pStyle w:val="TableParagraph"/>
              <w:spacing w:line="209" w:lineRule="exact"/>
              <w:ind w:left="50"/>
              <w:rPr>
                <w:sz w:val="20"/>
              </w:rPr>
            </w:pPr>
            <w:r>
              <w:rPr>
                <w:spacing w:val="-4"/>
                <w:sz w:val="20"/>
              </w:rPr>
              <w:t>6315</w:t>
            </w:r>
          </w:p>
        </w:tc>
        <w:tc>
          <w:tcPr>
            <w:tcW w:w="2755" w:type="dxa"/>
          </w:tcPr>
          <w:p>
            <w:pPr>
              <w:pStyle w:val="TableParagraph"/>
              <w:spacing w:line="209" w:lineRule="exact"/>
              <w:ind w:left="158"/>
              <w:rPr>
                <w:sz w:val="20"/>
              </w:rPr>
            </w:pPr>
            <w:r>
              <w:rPr>
                <w:sz w:val="20"/>
              </w:rPr>
              <w:t>Epie</w:t>
            </w:r>
            <w:r>
              <w:rPr>
                <w:spacing w:val="-3"/>
                <w:sz w:val="20"/>
              </w:rPr>
              <w:t> </w:t>
            </w:r>
            <w:r>
              <w:rPr>
                <w:spacing w:val="-2"/>
                <w:sz w:val="20"/>
              </w:rPr>
              <w:t>(epi)</w:t>
            </w:r>
          </w:p>
        </w:tc>
      </w:tr>
      <w:tr>
        <w:trPr>
          <w:trHeight w:val="230" w:hRule="atLeast"/>
        </w:trPr>
        <w:tc>
          <w:tcPr>
            <w:tcW w:w="612" w:type="dxa"/>
          </w:tcPr>
          <w:p>
            <w:pPr>
              <w:pStyle w:val="TableParagraph"/>
              <w:ind w:left="50"/>
              <w:rPr>
                <w:sz w:val="20"/>
              </w:rPr>
            </w:pPr>
            <w:r>
              <w:rPr>
                <w:spacing w:val="-4"/>
                <w:sz w:val="20"/>
              </w:rPr>
              <w:t>6320</w:t>
            </w:r>
          </w:p>
        </w:tc>
        <w:tc>
          <w:tcPr>
            <w:tcW w:w="2755" w:type="dxa"/>
          </w:tcPr>
          <w:p>
            <w:pPr>
              <w:pStyle w:val="TableParagraph"/>
              <w:ind w:left="158"/>
              <w:rPr>
                <w:sz w:val="20"/>
              </w:rPr>
            </w:pPr>
            <w:r>
              <w:rPr>
                <w:sz w:val="20"/>
              </w:rPr>
              <w:t>Ivbie</w:t>
            </w:r>
            <w:r>
              <w:rPr>
                <w:spacing w:val="-12"/>
                <w:sz w:val="20"/>
              </w:rPr>
              <w:t> </w:t>
            </w:r>
            <w:r>
              <w:rPr>
                <w:sz w:val="20"/>
              </w:rPr>
              <w:t>North-Okpela-Arhe</w:t>
            </w:r>
            <w:r>
              <w:rPr>
                <w:spacing w:val="-12"/>
                <w:sz w:val="20"/>
              </w:rPr>
              <w:t> </w:t>
            </w:r>
            <w:r>
              <w:rPr>
                <w:spacing w:val="-4"/>
                <w:sz w:val="20"/>
              </w:rPr>
              <w:t>(atg)</w:t>
            </w:r>
          </w:p>
        </w:tc>
      </w:tr>
      <w:tr>
        <w:trPr>
          <w:trHeight w:val="230" w:hRule="atLeast"/>
        </w:trPr>
        <w:tc>
          <w:tcPr>
            <w:tcW w:w="612" w:type="dxa"/>
          </w:tcPr>
          <w:p>
            <w:pPr>
              <w:pStyle w:val="TableParagraph"/>
              <w:spacing w:line="211" w:lineRule="exact"/>
              <w:ind w:left="50"/>
              <w:rPr>
                <w:sz w:val="20"/>
              </w:rPr>
            </w:pPr>
            <w:r>
              <w:rPr>
                <w:spacing w:val="-4"/>
                <w:sz w:val="20"/>
              </w:rPr>
              <w:t>6325</w:t>
            </w:r>
          </w:p>
        </w:tc>
        <w:tc>
          <w:tcPr>
            <w:tcW w:w="2755" w:type="dxa"/>
          </w:tcPr>
          <w:p>
            <w:pPr>
              <w:pStyle w:val="TableParagraph"/>
              <w:spacing w:line="211" w:lineRule="exact"/>
              <w:ind w:left="158"/>
              <w:rPr>
                <w:sz w:val="20"/>
              </w:rPr>
            </w:pPr>
            <w:r>
              <w:rPr>
                <w:sz w:val="20"/>
              </w:rPr>
              <w:t>Uneme</w:t>
            </w:r>
            <w:r>
              <w:rPr>
                <w:spacing w:val="-7"/>
                <w:sz w:val="20"/>
              </w:rPr>
              <w:t> </w:t>
            </w:r>
            <w:r>
              <w:rPr>
                <w:spacing w:val="-2"/>
                <w:sz w:val="20"/>
              </w:rPr>
              <w:t>(une)</w:t>
            </w:r>
          </w:p>
        </w:tc>
      </w:tr>
      <w:tr>
        <w:trPr>
          <w:trHeight w:val="230" w:hRule="atLeast"/>
        </w:trPr>
        <w:tc>
          <w:tcPr>
            <w:tcW w:w="612" w:type="dxa"/>
          </w:tcPr>
          <w:p>
            <w:pPr>
              <w:pStyle w:val="TableParagraph"/>
              <w:spacing w:line="211" w:lineRule="exact"/>
              <w:ind w:left="50"/>
              <w:rPr>
                <w:sz w:val="20"/>
              </w:rPr>
            </w:pPr>
            <w:r>
              <w:rPr>
                <w:spacing w:val="-4"/>
                <w:sz w:val="20"/>
              </w:rPr>
              <w:t>6330</w:t>
            </w:r>
          </w:p>
        </w:tc>
        <w:tc>
          <w:tcPr>
            <w:tcW w:w="2755" w:type="dxa"/>
          </w:tcPr>
          <w:p>
            <w:pPr>
              <w:pStyle w:val="TableParagraph"/>
              <w:spacing w:line="211" w:lineRule="exact"/>
              <w:ind w:left="158"/>
              <w:rPr>
                <w:sz w:val="20"/>
              </w:rPr>
            </w:pPr>
            <w:r>
              <w:rPr>
                <w:sz w:val="20"/>
              </w:rPr>
              <w:t>Yekhee</w:t>
            </w:r>
            <w:r>
              <w:rPr>
                <w:spacing w:val="-8"/>
                <w:sz w:val="20"/>
              </w:rPr>
              <w:t> </w:t>
            </w:r>
            <w:r>
              <w:rPr>
                <w:spacing w:val="-2"/>
                <w:sz w:val="20"/>
              </w:rPr>
              <w:t>(ets)</w:t>
            </w:r>
          </w:p>
        </w:tc>
      </w:tr>
      <w:tr>
        <w:trPr>
          <w:trHeight w:val="230" w:hRule="atLeast"/>
        </w:trPr>
        <w:tc>
          <w:tcPr>
            <w:tcW w:w="612" w:type="dxa"/>
          </w:tcPr>
          <w:p>
            <w:pPr>
              <w:pStyle w:val="TableParagraph"/>
              <w:ind w:left="50"/>
              <w:rPr>
                <w:sz w:val="20"/>
              </w:rPr>
            </w:pPr>
            <w:r>
              <w:rPr>
                <w:spacing w:val="-4"/>
                <w:sz w:val="20"/>
              </w:rPr>
              <w:t>6335</w:t>
            </w:r>
          </w:p>
        </w:tc>
        <w:tc>
          <w:tcPr>
            <w:tcW w:w="2755" w:type="dxa"/>
          </w:tcPr>
          <w:p>
            <w:pPr>
              <w:pStyle w:val="TableParagraph"/>
              <w:ind w:left="158"/>
              <w:rPr>
                <w:sz w:val="20"/>
              </w:rPr>
            </w:pPr>
            <w:r>
              <w:rPr>
                <w:sz w:val="20"/>
              </w:rPr>
              <w:t>Iyayu</w:t>
            </w:r>
            <w:r>
              <w:rPr>
                <w:spacing w:val="-8"/>
                <w:sz w:val="20"/>
              </w:rPr>
              <w:t> </w:t>
            </w:r>
            <w:r>
              <w:rPr>
                <w:spacing w:val="-2"/>
                <w:sz w:val="20"/>
              </w:rPr>
              <w:t>(iya)</w:t>
            </w:r>
          </w:p>
        </w:tc>
      </w:tr>
      <w:tr>
        <w:trPr>
          <w:trHeight w:val="229" w:hRule="atLeast"/>
        </w:trPr>
        <w:tc>
          <w:tcPr>
            <w:tcW w:w="612" w:type="dxa"/>
          </w:tcPr>
          <w:p>
            <w:pPr>
              <w:pStyle w:val="TableParagraph"/>
              <w:spacing w:line="209" w:lineRule="exact"/>
              <w:ind w:left="50"/>
              <w:rPr>
                <w:sz w:val="20"/>
              </w:rPr>
            </w:pPr>
            <w:r>
              <w:rPr>
                <w:spacing w:val="-4"/>
                <w:sz w:val="20"/>
              </w:rPr>
              <w:t>6340</w:t>
            </w:r>
          </w:p>
        </w:tc>
        <w:tc>
          <w:tcPr>
            <w:tcW w:w="2755" w:type="dxa"/>
          </w:tcPr>
          <w:p>
            <w:pPr>
              <w:pStyle w:val="TableParagraph"/>
              <w:spacing w:line="209" w:lineRule="exact"/>
              <w:ind w:left="158"/>
              <w:rPr>
                <w:sz w:val="20"/>
              </w:rPr>
            </w:pPr>
            <w:r>
              <w:rPr>
                <w:sz w:val="20"/>
              </w:rPr>
              <w:t>Isoko</w:t>
            </w:r>
            <w:r>
              <w:rPr>
                <w:spacing w:val="-6"/>
                <w:sz w:val="20"/>
              </w:rPr>
              <w:t> </w:t>
            </w:r>
            <w:r>
              <w:rPr>
                <w:spacing w:val="-2"/>
                <w:sz w:val="20"/>
              </w:rPr>
              <w:t>(iso)</w:t>
            </w:r>
          </w:p>
        </w:tc>
      </w:tr>
      <w:tr>
        <w:trPr>
          <w:trHeight w:val="229" w:hRule="atLeast"/>
        </w:trPr>
        <w:tc>
          <w:tcPr>
            <w:tcW w:w="612" w:type="dxa"/>
          </w:tcPr>
          <w:p>
            <w:pPr>
              <w:pStyle w:val="TableParagraph"/>
              <w:spacing w:line="209" w:lineRule="exact"/>
              <w:ind w:left="50"/>
              <w:rPr>
                <w:sz w:val="20"/>
              </w:rPr>
            </w:pPr>
            <w:r>
              <w:rPr>
                <w:spacing w:val="-4"/>
                <w:sz w:val="20"/>
              </w:rPr>
              <w:t>6345</w:t>
            </w:r>
          </w:p>
        </w:tc>
        <w:tc>
          <w:tcPr>
            <w:tcW w:w="2755" w:type="dxa"/>
          </w:tcPr>
          <w:p>
            <w:pPr>
              <w:pStyle w:val="TableParagraph"/>
              <w:spacing w:line="209" w:lineRule="exact"/>
              <w:ind w:left="158"/>
              <w:rPr>
                <w:sz w:val="20"/>
              </w:rPr>
            </w:pPr>
            <w:r>
              <w:rPr>
                <w:sz w:val="20"/>
              </w:rPr>
              <w:t>Okpe</w:t>
            </w:r>
            <w:r>
              <w:rPr>
                <w:spacing w:val="-6"/>
                <w:sz w:val="20"/>
              </w:rPr>
              <w:t> </w:t>
            </w:r>
            <w:r>
              <w:rPr>
                <w:sz w:val="20"/>
              </w:rPr>
              <w:t>(Southwestern</w:t>
            </w:r>
            <w:r>
              <w:rPr>
                <w:spacing w:val="-7"/>
                <w:sz w:val="20"/>
              </w:rPr>
              <w:t> </w:t>
            </w:r>
            <w:r>
              <w:rPr>
                <w:sz w:val="20"/>
              </w:rPr>
              <w:t>Edo)</w:t>
            </w:r>
            <w:r>
              <w:rPr>
                <w:spacing w:val="-6"/>
                <w:sz w:val="20"/>
              </w:rPr>
              <w:t> </w:t>
            </w:r>
            <w:r>
              <w:rPr>
                <w:spacing w:val="-4"/>
                <w:sz w:val="20"/>
              </w:rPr>
              <w:t>(oke)</w:t>
            </w:r>
          </w:p>
        </w:tc>
      </w:tr>
      <w:tr>
        <w:trPr>
          <w:trHeight w:val="230" w:hRule="atLeast"/>
        </w:trPr>
        <w:tc>
          <w:tcPr>
            <w:tcW w:w="612" w:type="dxa"/>
          </w:tcPr>
          <w:p>
            <w:pPr>
              <w:pStyle w:val="TableParagraph"/>
              <w:ind w:left="50"/>
              <w:rPr>
                <w:sz w:val="20"/>
              </w:rPr>
            </w:pPr>
            <w:r>
              <w:rPr>
                <w:spacing w:val="-4"/>
                <w:sz w:val="20"/>
              </w:rPr>
              <w:t>6350</w:t>
            </w:r>
          </w:p>
        </w:tc>
        <w:tc>
          <w:tcPr>
            <w:tcW w:w="2755" w:type="dxa"/>
          </w:tcPr>
          <w:p>
            <w:pPr>
              <w:pStyle w:val="TableParagraph"/>
              <w:ind w:left="158"/>
              <w:rPr>
                <w:sz w:val="20"/>
              </w:rPr>
            </w:pPr>
            <w:r>
              <w:rPr>
                <w:sz w:val="20"/>
              </w:rPr>
              <w:t>Urhobo</w:t>
            </w:r>
            <w:r>
              <w:rPr>
                <w:spacing w:val="-6"/>
                <w:sz w:val="20"/>
              </w:rPr>
              <w:t> </w:t>
            </w:r>
            <w:r>
              <w:rPr>
                <w:spacing w:val="-2"/>
                <w:sz w:val="20"/>
              </w:rPr>
              <w:t>(urh)</w:t>
            </w:r>
          </w:p>
        </w:tc>
      </w:tr>
      <w:tr>
        <w:trPr>
          <w:trHeight w:val="225" w:hRule="atLeast"/>
        </w:trPr>
        <w:tc>
          <w:tcPr>
            <w:tcW w:w="612" w:type="dxa"/>
          </w:tcPr>
          <w:p>
            <w:pPr>
              <w:pStyle w:val="TableParagraph"/>
              <w:spacing w:line="205" w:lineRule="exact"/>
              <w:ind w:left="50"/>
              <w:rPr>
                <w:sz w:val="20"/>
              </w:rPr>
            </w:pPr>
            <w:r>
              <w:rPr>
                <w:spacing w:val="-4"/>
                <w:sz w:val="20"/>
              </w:rPr>
              <w:t>6355</w:t>
            </w:r>
          </w:p>
        </w:tc>
        <w:tc>
          <w:tcPr>
            <w:tcW w:w="2755" w:type="dxa"/>
          </w:tcPr>
          <w:p>
            <w:pPr>
              <w:pStyle w:val="TableParagraph"/>
              <w:spacing w:line="205" w:lineRule="exact"/>
              <w:ind w:left="158"/>
              <w:rPr>
                <w:sz w:val="20"/>
              </w:rPr>
            </w:pPr>
            <w:r>
              <w:rPr>
                <w:sz w:val="20"/>
              </w:rPr>
              <w:t>Uvbie</w:t>
            </w:r>
            <w:r>
              <w:rPr>
                <w:spacing w:val="-5"/>
                <w:sz w:val="20"/>
              </w:rPr>
              <w:t> </w:t>
            </w:r>
            <w:r>
              <w:rPr>
                <w:spacing w:val="-2"/>
                <w:sz w:val="20"/>
              </w:rPr>
              <w:t>(evh)</w:t>
            </w:r>
          </w:p>
        </w:tc>
      </w:tr>
    </w:tbl>
    <w:p>
      <w:pPr>
        <w:pStyle w:val="BodyText"/>
        <w:spacing w:before="3"/>
        <w:rPr>
          <w:rFonts w:ascii="Times New Roman"/>
          <w:i/>
          <w:sz w:val="21"/>
        </w:rPr>
      </w:pPr>
    </w:p>
    <w:p>
      <w:pPr>
        <w:spacing w:line="229" w:lineRule="exact" w:before="0"/>
        <w:ind w:left="552" w:right="0" w:firstLine="0"/>
        <w:jc w:val="left"/>
        <w:rPr>
          <w:rFonts w:ascii="Times New Roman"/>
          <w:i/>
          <w:sz w:val="20"/>
        </w:rPr>
      </w:pPr>
      <w:r>
        <w:rPr>
          <w:rFonts w:ascii="Times New Roman"/>
          <w:i/>
          <w:sz w:val="20"/>
        </w:rPr>
        <w:t>Idomoid</w:t>
      </w:r>
      <w:r>
        <w:rPr>
          <w:rFonts w:ascii="Times New Roman"/>
          <w:i/>
          <w:spacing w:val="-7"/>
          <w:sz w:val="20"/>
        </w:rPr>
        <w:t> </w:t>
      </w:r>
      <w:r>
        <w:rPr>
          <w:rFonts w:ascii="Times New Roman"/>
          <w:i/>
          <w:sz w:val="20"/>
        </w:rPr>
        <w:t>languages</w:t>
      </w:r>
      <w:r>
        <w:rPr>
          <w:rFonts w:ascii="Times New Roman"/>
          <w:i/>
          <w:spacing w:val="-9"/>
          <w:sz w:val="20"/>
        </w:rPr>
        <w:t> </w:t>
      </w:r>
      <w:r>
        <w:rPr>
          <w:rFonts w:ascii="Times New Roman"/>
          <w:i/>
          <w:sz w:val="20"/>
        </w:rPr>
        <w:t>(6357-</w:t>
      </w:r>
      <w:r>
        <w:rPr>
          <w:rFonts w:ascii="Times New Roman"/>
          <w:i/>
          <w:spacing w:val="-2"/>
          <w:sz w:val="20"/>
        </w:rPr>
        <w:t>6369)</w:t>
      </w:r>
    </w:p>
    <w:p>
      <w:pPr>
        <w:tabs>
          <w:tab w:pos="1272" w:val="left" w:leader="none"/>
        </w:tabs>
        <w:spacing w:line="229" w:lineRule="exact" w:before="0"/>
        <w:ind w:left="552" w:right="0" w:firstLine="0"/>
        <w:jc w:val="left"/>
        <w:rPr>
          <w:rFonts w:ascii="Times New Roman"/>
          <w:sz w:val="20"/>
        </w:rPr>
      </w:pPr>
      <w:r>
        <w:rPr>
          <w:rFonts w:ascii="Times New Roman"/>
          <w:spacing w:val="-4"/>
          <w:sz w:val="20"/>
        </w:rPr>
        <w:t>6357</w:t>
      </w:r>
      <w:r>
        <w:rPr>
          <w:rFonts w:ascii="Times New Roman"/>
          <w:sz w:val="20"/>
        </w:rPr>
        <w:tab/>
        <w:t>Idoma</w:t>
      </w:r>
      <w:r>
        <w:rPr>
          <w:rFonts w:ascii="Times New Roman"/>
          <w:spacing w:val="-8"/>
          <w:sz w:val="20"/>
        </w:rPr>
        <w:t> </w:t>
      </w:r>
      <w:r>
        <w:rPr>
          <w:rFonts w:ascii="Times New Roman"/>
          <w:spacing w:val="-4"/>
          <w:sz w:val="20"/>
        </w:rPr>
        <w:t>(idu)</w:t>
      </w:r>
    </w:p>
    <w:p>
      <w:pPr>
        <w:tabs>
          <w:tab w:pos="1272" w:val="left" w:leader="none"/>
        </w:tabs>
        <w:spacing w:before="1"/>
        <w:ind w:left="552" w:right="0" w:firstLine="0"/>
        <w:jc w:val="left"/>
        <w:rPr>
          <w:rFonts w:ascii="Times New Roman"/>
          <w:sz w:val="20"/>
        </w:rPr>
      </w:pPr>
      <w:r>
        <w:rPr>
          <w:rFonts w:ascii="Times New Roman"/>
          <w:spacing w:val="-4"/>
          <w:sz w:val="20"/>
        </w:rPr>
        <w:t>6360</w:t>
      </w:r>
      <w:r>
        <w:rPr>
          <w:rFonts w:ascii="Times New Roman"/>
          <w:sz w:val="20"/>
        </w:rPr>
        <w:tab/>
        <w:t>Igede</w:t>
      </w:r>
      <w:r>
        <w:rPr>
          <w:rFonts w:ascii="Times New Roman"/>
          <w:spacing w:val="-6"/>
          <w:sz w:val="20"/>
        </w:rPr>
        <w:t> </w:t>
      </w:r>
      <w:r>
        <w:rPr>
          <w:rFonts w:ascii="Times New Roman"/>
          <w:spacing w:val="-2"/>
          <w:sz w:val="20"/>
        </w:rPr>
        <w:t>(ige)</w:t>
      </w:r>
    </w:p>
    <w:p>
      <w:pPr>
        <w:tabs>
          <w:tab w:pos="1272" w:val="left" w:leader="none"/>
        </w:tabs>
        <w:spacing w:before="0"/>
        <w:ind w:left="552" w:right="0" w:firstLine="0"/>
        <w:jc w:val="left"/>
        <w:rPr>
          <w:rFonts w:ascii="Times New Roman"/>
          <w:sz w:val="20"/>
        </w:rPr>
      </w:pPr>
      <w:r>
        <w:rPr>
          <w:rFonts w:ascii="Times New Roman"/>
          <w:spacing w:val="-4"/>
          <w:sz w:val="20"/>
        </w:rPr>
        <w:t>6363</w:t>
      </w:r>
      <w:r>
        <w:rPr>
          <w:rFonts w:ascii="Times New Roman"/>
          <w:sz w:val="20"/>
        </w:rPr>
        <w:tab/>
        <w:t>Yala</w:t>
      </w:r>
      <w:r>
        <w:rPr>
          <w:rFonts w:ascii="Times New Roman"/>
          <w:spacing w:val="-4"/>
          <w:sz w:val="20"/>
        </w:rPr>
        <w:t> </w:t>
      </w:r>
      <w:r>
        <w:rPr>
          <w:rFonts w:ascii="Times New Roman"/>
          <w:spacing w:val="-2"/>
          <w:sz w:val="20"/>
        </w:rPr>
        <w:t>(yba)</w:t>
      </w:r>
    </w:p>
    <w:p>
      <w:pPr>
        <w:tabs>
          <w:tab w:pos="1272" w:val="left" w:leader="none"/>
        </w:tabs>
        <w:spacing w:before="1"/>
        <w:ind w:left="552" w:right="0" w:firstLine="0"/>
        <w:jc w:val="left"/>
        <w:rPr>
          <w:rFonts w:ascii="Times New Roman"/>
          <w:sz w:val="20"/>
        </w:rPr>
      </w:pPr>
      <w:r>
        <w:rPr>
          <w:rFonts w:ascii="Times New Roman"/>
          <w:spacing w:val="-4"/>
          <w:sz w:val="20"/>
        </w:rPr>
        <w:t>6365</w:t>
      </w:r>
      <w:r>
        <w:rPr>
          <w:rFonts w:ascii="Times New Roman"/>
          <w:sz w:val="20"/>
        </w:rPr>
        <w:tab/>
        <w:t>Ekpeye</w:t>
      </w:r>
      <w:r>
        <w:rPr>
          <w:rFonts w:ascii="Times New Roman"/>
          <w:spacing w:val="-9"/>
          <w:sz w:val="20"/>
        </w:rPr>
        <w:t> </w:t>
      </w:r>
      <w:r>
        <w:rPr>
          <w:rFonts w:ascii="Times New Roman"/>
          <w:spacing w:val="-4"/>
          <w:sz w:val="20"/>
        </w:rPr>
        <w:t>(ekp)</w:t>
      </w:r>
    </w:p>
    <w:p>
      <w:pPr>
        <w:pStyle w:val="BodyText"/>
        <w:rPr>
          <w:rFonts w:ascii="Times New Roman"/>
          <w:sz w:val="20"/>
        </w:rPr>
      </w:pPr>
    </w:p>
    <w:p>
      <w:pPr>
        <w:spacing w:before="1"/>
        <w:ind w:left="552" w:right="0" w:firstLine="0"/>
        <w:jc w:val="left"/>
        <w:rPr>
          <w:rFonts w:ascii="Times New Roman"/>
          <w:i/>
          <w:sz w:val="20"/>
        </w:rPr>
      </w:pPr>
      <w:r>
        <w:rPr>
          <w:rFonts w:ascii="Times New Roman"/>
          <w:i/>
          <w:sz w:val="20"/>
        </w:rPr>
        <w:t>Igboid</w:t>
      </w:r>
      <w:r>
        <w:rPr>
          <w:rFonts w:ascii="Times New Roman"/>
          <w:i/>
          <w:spacing w:val="-9"/>
          <w:sz w:val="20"/>
        </w:rPr>
        <w:t> </w:t>
      </w:r>
      <w:r>
        <w:rPr>
          <w:rFonts w:ascii="Times New Roman"/>
          <w:i/>
          <w:sz w:val="20"/>
        </w:rPr>
        <w:t>languages</w:t>
      </w:r>
      <w:r>
        <w:rPr>
          <w:rFonts w:ascii="Times New Roman"/>
          <w:i/>
          <w:spacing w:val="-6"/>
          <w:sz w:val="20"/>
        </w:rPr>
        <w:t> </w:t>
      </w:r>
      <w:r>
        <w:rPr>
          <w:rFonts w:ascii="Times New Roman"/>
          <w:i/>
          <w:sz w:val="20"/>
        </w:rPr>
        <w:t>(6370-</w:t>
      </w:r>
      <w:r>
        <w:rPr>
          <w:rFonts w:ascii="Times New Roman"/>
          <w:i/>
          <w:spacing w:val="-4"/>
          <w:sz w:val="20"/>
        </w:rPr>
        <w:t>6389)</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542"/>
      </w:tblGrid>
      <w:tr>
        <w:trPr>
          <w:trHeight w:val="225" w:hRule="atLeast"/>
        </w:trPr>
        <w:tc>
          <w:tcPr>
            <w:tcW w:w="612" w:type="dxa"/>
          </w:tcPr>
          <w:p>
            <w:pPr>
              <w:pStyle w:val="TableParagraph"/>
              <w:spacing w:line="206" w:lineRule="exact"/>
              <w:ind w:left="50"/>
              <w:rPr>
                <w:sz w:val="20"/>
              </w:rPr>
            </w:pPr>
            <w:r>
              <w:rPr>
                <w:spacing w:val="-4"/>
                <w:sz w:val="20"/>
              </w:rPr>
              <w:t>6370</w:t>
            </w:r>
          </w:p>
        </w:tc>
        <w:tc>
          <w:tcPr>
            <w:tcW w:w="2542" w:type="dxa"/>
          </w:tcPr>
          <w:p>
            <w:pPr>
              <w:pStyle w:val="TableParagraph"/>
              <w:spacing w:line="206" w:lineRule="exact"/>
              <w:ind w:left="158"/>
              <w:rPr>
                <w:sz w:val="20"/>
              </w:rPr>
            </w:pPr>
            <w:r>
              <w:rPr>
                <w:sz w:val="20"/>
              </w:rPr>
              <w:t>Igbo</w:t>
            </w:r>
            <w:r>
              <w:rPr>
                <w:spacing w:val="-4"/>
                <w:sz w:val="20"/>
              </w:rPr>
              <w:t> </w:t>
            </w:r>
            <w:r>
              <w:rPr>
                <w:spacing w:val="-2"/>
                <w:sz w:val="20"/>
              </w:rPr>
              <w:t>(ibo)</w:t>
            </w:r>
          </w:p>
        </w:tc>
      </w:tr>
      <w:tr>
        <w:trPr>
          <w:trHeight w:val="230" w:hRule="atLeast"/>
        </w:trPr>
        <w:tc>
          <w:tcPr>
            <w:tcW w:w="612" w:type="dxa"/>
          </w:tcPr>
          <w:p>
            <w:pPr>
              <w:pStyle w:val="TableParagraph"/>
              <w:spacing w:line="211" w:lineRule="exact"/>
              <w:ind w:left="50"/>
              <w:rPr>
                <w:sz w:val="20"/>
              </w:rPr>
            </w:pPr>
            <w:r>
              <w:rPr>
                <w:spacing w:val="-4"/>
                <w:sz w:val="20"/>
              </w:rPr>
              <w:t>6375</w:t>
            </w:r>
          </w:p>
        </w:tc>
        <w:tc>
          <w:tcPr>
            <w:tcW w:w="2542" w:type="dxa"/>
          </w:tcPr>
          <w:p>
            <w:pPr>
              <w:pStyle w:val="TableParagraph"/>
              <w:spacing w:line="211" w:lineRule="exact"/>
              <w:ind w:left="158"/>
              <w:rPr>
                <w:sz w:val="20"/>
              </w:rPr>
            </w:pPr>
            <w:r>
              <w:rPr>
                <w:sz w:val="20"/>
              </w:rPr>
              <w:t>Ika</w:t>
            </w:r>
            <w:r>
              <w:rPr>
                <w:spacing w:val="-5"/>
                <w:sz w:val="20"/>
              </w:rPr>
              <w:t> </w:t>
            </w:r>
            <w:r>
              <w:rPr>
                <w:spacing w:val="-2"/>
                <w:sz w:val="20"/>
              </w:rPr>
              <w:t>(ikk)</w:t>
            </w:r>
          </w:p>
        </w:tc>
      </w:tr>
      <w:tr>
        <w:trPr>
          <w:trHeight w:val="230" w:hRule="atLeast"/>
        </w:trPr>
        <w:tc>
          <w:tcPr>
            <w:tcW w:w="612" w:type="dxa"/>
          </w:tcPr>
          <w:p>
            <w:pPr>
              <w:pStyle w:val="TableParagraph"/>
              <w:ind w:left="50"/>
              <w:rPr>
                <w:sz w:val="20"/>
              </w:rPr>
            </w:pPr>
            <w:r>
              <w:rPr>
                <w:spacing w:val="-4"/>
                <w:sz w:val="20"/>
              </w:rPr>
              <w:t>6378</w:t>
            </w:r>
          </w:p>
        </w:tc>
        <w:tc>
          <w:tcPr>
            <w:tcW w:w="2542" w:type="dxa"/>
          </w:tcPr>
          <w:p>
            <w:pPr>
              <w:pStyle w:val="TableParagraph"/>
              <w:ind w:left="158"/>
              <w:rPr>
                <w:sz w:val="20"/>
              </w:rPr>
            </w:pPr>
            <w:r>
              <w:rPr>
                <w:sz w:val="20"/>
              </w:rPr>
              <w:t>Ikwere</w:t>
            </w:r>
            <w:r>
              <w:rPr>
                <w:spacing w:val="-7"/>
                <w:sz w:val="20"/>
              </w:rPr>
              <w:t> </w:t>
            </w:r>
            <w:r>
              <w:rPr>
                <w:spacing w:val="-2"/>
                <w:sz w:val="20"/>
              </w:rPr>
              <w:t>(ikw)</w:t>
            </w:r>
          </w:p>
        </w:tc>
      </w:tr>
      <w:tr>
        <w:trPr>
          <w:trHeight w:val="230" w:hRule="atLeast"/>
        </w:trPr>
        <w:tc>
          <w:tcPr>
            <w:tcW w:w="612" w:type="dxa"/>
          </w:tcPr>
          <w:p>
            <w:pPr>
              <w:pStyle w:val="TableParagraph"/>
              <w:ind w:left="50"/>
              <w:rPr>
                <w:sz w:val="20"/>
              </w:rPr>
            </w:pPr>
            <w:r>
              <w:rPr>
                <w:spacing w:val="-4"/>
                <w:sz w:val="20"/>
              </w:rPr>
              <w:t>6381</w:t>
            </w:r>
          </w:p>
        </w:tc>
        <w:tc>
          <w:tcPr>
            <w:tcW w:w="2542" w:type="dxa"/>
          </w:tcPr>
          <w:p>
            <w:pPr>
              <w:pStyle w:val="TableParagraph"/>
              <w:ind w:left="158"/>
              <w:rPr>
                <w:sz w:val="20"/>
              </w:rPr>
            </w:pPr>
            <w:r>
              <w:rPr>
                <w:sz w:val="20"/>
              </w:rPr>
              <w:t>Ogbah</w:t>
            </w:r>
            <w:r>
              <w:rPr>
                <w:spacing w:val="-7"/>
                <w:sz w:val="20"/>
              </w:rPr>
              <w:t> </w:t>
            </w:r>
            <w:r>
              <w:rPr>
                <w:spacing w:val="-2"/>
                <w:sz w:val="20"/>
              </w:rPr>
              <w:t>(ogc)</w:t>
            </w:r>
          </w:p>
        </w:tc>
      </w:tr>
      <w:tr>
        <w:trPr>
          <w:trHeight w:val="344" w:hRule="atLeast"/>
        </w:trPr>
        <w:tc>
          <w:tcPr>
            <w:tcW w:w="612" w:type="dxa"/>
          </w:tcPr>
          <w:p>
            <w:pPr>
              <w:pStyle w:val="TableParagraph"/>
              <w:spacing w:line="226" w:lineRule="exact"/>
              <w:ind w:left="50"/>
              <w:rPr>
                <w:sz w:val="20"/>
              </w:rPr>
            </w:pPr>
            <w:r>
              <w:rPr>
                <w:spacing w:val="-4"/>
                <w:sz w:val="20"/>
              </w:rPr>
              <w:t>6384</w:t>
            </w:r>
          </w:p>
        </w:tc>
        <w:tc>
          <w:tcPr>
            <w:tcW w:w="2542" w:type="dxa"/>
          </w:tcPr>
          <w:p>
            <w:pPr>
              <w:pStyle w:val="TableParagraph"/>
              <w:spacing w:line="226" w:lineRule="exact"/>
              <w:ind w:left="158"/>
              <w:rPr>
                <w:sz w:val="20"/>
              </w:rPr>
            </w:pPr>
            <w:r>
              <w:rPr>
                <w:spacing w:val="-2"/>
                <w:sz w:val="20"/>
              </w:rPr>
              <w:t>Ukwuani-Aboh-Ndoni</w:t>
            </w:r>
            <w:r>
              <w:rPr>
                <w:spacing w:val="17"/>
                <w:sz w:val="20"/>
              </w:rPr>
              <w:t> </w:t>
            </w:r>
            <w:r>
              <w:rPr>
                <w:spacing w:val="-4"/>
                <w:sz w:val="20"/>
              </w:rPr>
              <w:t>(ukw)</w:t>
            </w:r>
          </w:p>
        </w:tc>
      </w:tr>
      <w:tr>
        <w:trPr>
          <w:trHeight w:val="344" w:hRule="atLeast"/>
        </w:trPr>
        <w:tc>
          <w:tcPr>
            <w:tcW w:w="612" w:type="dxa"/>
          </w:tcPr>
          <w:p>
            <w:pPr>
              <w:pStyle w:val="TableParagraph"/>
              <w:spacing w:line="215" w:lineRule="exact" w:before="109"/>
              <w:ind w:left="50"/>
              <w:rPr>
                <w:sz w:val="20"/>
              </w:rPr>
            </w:pPr>
            <w:r>
              <w:rPr>
                <w:spacing w:val="-4"/>
                <w:sz w:val="20"/>
              </w:rPr>
              <w:t>6390</w:t>
            </w:r>
          </w:p>
        </w:tc>
        <w:tc>
          <w:tcPr>
            <w:tcW w:w="2542" w:type="dxa"/>
          </w:tcPr>
          <w:p>
            <w:pPr>
              <w:pStyle w:val="TableParagraph"/>
              <w:spacing w:line="215" w:lineRule="exact" w:before="109"/>
              <w:ind w:left="158"/>
              <w:rPr>
                <w:sz w:val="20"/>
              </w:rPr>
            </w:pPr>
            <w:r>
              <w:rPr>
                <w:sz w:val="20"/>
              </w:rPr>
              <w:t>Jibu</w:t>
            </w:r>
            <w:r>
              <w:rPr>
                <w:spacing w:val="-4"/>
                <w:sz w:val="20"/>
              </w:rPr>
              <w:t> </w:t>
            </w:r>
            <w:r>
              <w:rPr>
                <w:spacing w:val="-2"/>
                <w:sz w:val="20"/>
              </w:rPr>
              <w:t>(jib)</w:t>
            </w:r>
          </w:p>
        </w:tc>
      </w:tr>
      <w:tr>
        <w:trPr>
          <w:trHeight w:val="230" w:hRule="atLeast"/>
        </w:trPr>
        <w:tc>
          <w:tcPr>
            <w:tcW w:w="612" w:type="dxa"/>
          </w:tcPr>
          <w:p>
            <w:pPr>
              <w:pStyle w:val="TableParagraph"/>
              <w:ind w:left="50"/>
              <w:rPr>
                <w:sz w:val="20"/>
              </w:rPr>
            </w:pPr>
            <w:r>
              <w:rPr>
                <w:spacing w:val="-4"/>
                <w:sz w:val="20"/>
              </w:rPr>
              <w:t>6395</w:t>
            </w:r>
          </w:p>
        </w:tc>
        <w:tc>
          <w:tcPr>
            <w:tcW w:w="2542" w:type="dxa"/>
          </w:tcPr>
          <w:p>
            <w:pPr>
              <w:pStyle w:val="TableParagraph"/>
              <w:ind w:left="158"/>
              <w:rPr>
                <w:sz w:val="20"/>
              </w:rPr>
            </w:pPr>
            <w:r>
              <w:rPr>
                <w:sz w:val="20"/>
              </w:rPr>
              <w:t>Kutep</w:t>
            </w:r>
            <w:r>
              <w:rPr>
                <w:spacing w:val="-5"/>
                <w:sz w:val="20"/>
              </w:rPr>
              <w:t> </w:t>
            </w:r>
            <w:r>
              <w:rPr>
                <w:spacing w:val="-2"/>
                <w:sz w:val="20"/>
              </w:rPr>
              <w:t>(kub)</w:t>
            </w:r>
          </w:p>
        </w:tc>
      </w:tr>
      <w:tr>
        <w:trPr>
          <w:trHeight w:val="230" w:hRule="atLeast"/>
        </w:trPr>
        <w:tc>
          <w:tcPr>
            <w:tcW w:w="612" w:type="dxa"/>
          </w:tcPr>
          <w:p>
            <w:pPr>
              <w:pStyle w:val="TableParagraph"/>
              <w:ind w:left="50"/>
              <w:rPr>
                <w:sz w:val="20"/>
              </w:rPr>
            </w:pPr>
            <w:r>
              <w:rPr>
                <w:spacing w:val="-4"/>
                <w:sz w:val="20"/>
              </w:rPr>
              <w:t>6400</w:t>
            </w:r>
          </w:p>
        </w:tc>
        <w:tc>
          <w:tcPr>
            <w:tcW w:w="2542" w:type="dxa"/>
          </w:tcPr>
          <w:p>
            <w:pPr>
              <w:pStyle w:val="TableParagraph"/>
              <w:ind w:left="158"/>
              <w:rPr>
                <w:sz w:val="20"/>
              </w:rPr>
            </w:pPr>
            <w:r>
              <w:rPr>
                <w:sz w:val="20"/>
              </w:rPr>
              <w:t>Bauchi</w:t>
            </w:r>
            <w:r>
              <w:rPr>
                <w:spacing w:val="-8"/>
                <w:sz w:val="20"/>
              </w:rPr>
              <w:t> </w:t>
            </w:r>
            <w:r>
              <w:rPr>
                <w:spacing w:val="-2"/>
                <w:sz w:val="20"/>
              </w:rPr>
              <w:t>(bsf)</w:t>
            </w:r>
          </w:p>
        </w:tc>
      </w:tr>
      <w:tr>
        <w:trPr>
          <w:trHeight w:val="230" w:hRule="atLeast"/>
        </w:trPr>
        <w:tc>
          <w:tcPr>
            <w:tcW w:w="612" w:type="dxa"/>
          </w:tcPr>
          <w:p>
            <w:pPr>
              <w:pStyle w:val="TableParagraph"/>
              <w:ind w:left="50"/>
              <w:rPr>
                <w:sz w:val="20"/>
              </w:rPr>
            </w:pPr>
            <w:r>
              <w:rPr>
                <w:spacing w:val="-4"/>
                <w:sz w:val="20"/>
              </w:rPr>
              <w:t>6405</w:t>
            </w:r>
          </w:p>
        </w:tc>
        <w:tc>
          <w:tcPr>
            <w:tcW w:w="2542" w:type="dxa"/>
          </w:tcPr>
          <w:p>
            <w:pPr>
              <w:pStyle w:val="TableParagraph"/>
              <w:ind w:left="158"/>
              <w:rPr>
                <w:sz w:val="20"/>
              </w:rPr>
            </w:pPr>
            <w:r>
              <w:rPr>
                <w:sz w:val="20"/>
              </w:rPr>
              <w:t>Bina</w:t>
            </w:r>
            <w:r>
              <w:rPr>
                <w:spacing w:val="-7"/>
                <w:sz w:val="20"/>
              </w:rPr>
              <w:t> </w:t>
            </w:r>
            <w:r>
              <w:rPr>
                <w:sz w:val="20"/>
              </w:rPr>
              <w:t>(Nigeria)</w:t>
            </w:r>
            <w:r>
              <w:rPr>
                <w:spacing w:val="-6"/>
                <w:sz w:val="20"/>
              </w:rPr>
              <w:t> </w:t>
            </w:r>
            <w:r>
              <w:rPr>
                <w:spacing w:val="-4"/>
                <w:sz w:val="20"/>
              </w:rPr>
              <w:t>(byj)</w:t>
            </w:r>
          </w:p>
        </w:tc>
      </w:tr>
      <w:tr>
        <w:trPr>
          <w:trHeight w:val="229" w:hRule="atLeast"/>
        </w:trPr>
        <w:tc>
          <w:tcPr>
            <w:tcW w:w="612" w:type="dxa"/>
          </w:tcPr>
          <w:p>
            <w:pPr>
              <w:pStyle w:val="TableParagraph"/>
              <w:spacing w:line="209" w:lineRule="exact"/>
              <w:ind w:left="50"/>
              <w:rPr>
                <w:sz w:val="20"/>
              </w:rPr>
            </w:pPr>
            <w:r>
              <w:rPr>
                <w:spacing w:val="-4"/>
                <w:sz w:val="20"/>
              </w:rPr>
              <w:t>6408</w:t>
            </w:r>
          </w:p>
        </w:tc>
        <w:tc>
          <w:tcPr>
            <w:tcW w:w="2542" w:type="dxa"/>
          </w:tcPr>
          <w:p>
            <w:pPr>
              <w:pStyle w:val="TableParagraph"/>
              <w:spacing w:line="209" w:lineRule="exact"/>
              <w:ind w:left="158"/>
              <w:rPr>
                <w:sz w:val="20"/>
              </w:rPr>
            </w:pPr>
            <w:r>
              <w:rPr>
                <w:sz w:val="20"/>
              </w:rPr>
              <w:t>Tumi</w:t>
            </w:r>
            <w:r>
              <w:rPr>
                <w:spacing w:val="-8"/>
                <w:sz w:val="20"/>
              </w:rPr>
              <w:t> </w:t>
            </w:r>
            <w:r>
              <w:rPr>
                <w:spacing w:val="-2"/>
                <w:sz w:val="20"/>
              </w:rPr>
              <w:t>(kku)</w:t>
            </w:r>
          </w:p>
        </w:tc>
      </w:tr>
      <w:tr>
        <w:trPr>
          <w:trHeight w:val="229" w:hRule="atLeast"/>
        </w:trPr>
        <w:tc>
          <w:tcPr>
            <w:tcW w:w="612" w:type="dxa"/>
          </w:tcPr>
          <w:p>
            <w:pPr>
              <w:pStyle w:val="TableParagraph"/>
              <w:spacing w:line="209" w:lineRule="exact"/>
              <w:ind w:left="50"/>
              <w:rPr>
                <w:sz w:val="20"/>
              </w:rPr>
            </w:pPr>
            <w:r>
              <w:rPr>
                <w:spacing w:val="-4"/>
                <w:sz w:val="20"/>
              </w:rPr>
              <w:t>6410</w:t>
            </w:r>
          </w:p>
        </w:tc>
        <w:tc>
          <w:tcPr>
            <w:tcW w:w="2542" w:type="dxa"/>
          </w:tcPr>
          <w:p>
            <w:pPr>
              <w:pStyle w:val="TableParagraph"/>
              <w:spacing w:line="209" w:lineRule="exact"/>
              <w:ind w:left="158"/>
              <w:rPr>
                <w:sz w:val="20"/>
              </w:rPr>
            </w:pPr>
            <w:r>
              <w:rPr>
                <w:sz w:val="20"/>
              </w:rPr>
              <w:t>Ebira</w:t>
            </w:r>
            <w:r>
              <w:rPr>
                <w:spacing w:val="-4"/>
                <w:sz w:val="20"/>
              </w:rPr>
              <w:t> </w:t>
            </w:r>
            <w:r>
              <w:rPr>
                <w:spacing w:val="-2"/>
                <w:sz w:val="20"/>
              </w:rPr>
              <w:t>(igb)</w:t>
            </w:r>
          </w:p>
        </w:tc>
      </w:tr>
      <w:tr>
        <w:trPr>
          <w:trHeight w:val="230" w:hRule="atLeast"/>
        </w:trPr>
        <w:tc>
          <w:tcPr>
            <w:tcW w:w="612" w:type="dxa"/>
          </w:tcPr>
          <w:p>
            <w:pPr>
              <w:pStyle w:val="TableParagraph"/>
              <w:ind w:left="50"/>
              <w:rPr>
                <w:sz w:val="20"/>
              </w:rPr>
            </w:pPr>
            <w:r>
              <w:rPr>
                <w:spacing w:val="-4"/>
                <w:sz w:val="20"/>
              </w:rPr>
              <w:t>6415</w:t>
            </w:r>
          </w:p>
        </w:tc>
        <w:tc>
          <w:tcPr>
            <w:tcW w:w="2542" w:type="dxa"/>
          </w:tcPr>
          <w:p>
            <w:pPr>
              <w:pStyle w:val="TableParagraph"/>
              <w:ind w:left="158"/>
              <w:rPr>
                <w:sz w:val="20"/>
              </w:rPr>
            </w:pPr>
            <w:r>
              <w:rPr>
                <w:sz w:val="20"/>
              </w:rPr>
              <w:t>Gade</w:t>
            </w:r>
            <w:r>
              <w:rPr>
                <w:spacing w:val="-4"/>
                <w:sz w:val="20"/>
              </w:rPr>
              <w:t> </w:t>
            </w:r>
            <w:r>
              <w:rPr>
                <w:spacing w:val="-2"/>
                <w:sz w:val="20"/>
              </w:rPr>
              <w:t>(ged)</w:t>
            </w:r>
          </w:p>
        </w:tc>
      </w:tr>
      <w:tr>
        <w:trPr>
          <w:trHeight w:val="230" w:hRule="atLeast"/>
        </w:trPr>
        <w:tc>
          <w:tcPr>
            <w:tcW w:w="612" w:type="dxa"/>
          </w:tcPr>
          <w:p>
            <w:pPr>
              <w:pStyle w:val="TableParagraph"/>
              <w:ind w:left="50"/>
              <w:rPr>
                <w:sz w:val="20"/>
              </w:rPr>
            </w:pPr>
            <w:r>
              <w:rPr>
                <w:spacing w:val="-4"/>
                <w:sz w:val="20"/>
              </w:rPr>
              <w:t>6420</w:t>
            </w:r>
          </w:p>
        </w:tc>
        <w:tc>
          <w:tcPr>
            <w:tcW w:w="2542" w:type="dxa"/>
          </w:tcPr>
          <w:p>
            <w:pPr>
              <w:pStyle w:val="TableParagraph"/>
              <w:ind w:left="158"/>
              <w:rPr>
                <w:sz w:val="20"/>
              </w:rPr>
            </w:pPr>
            <w:r>
              <w:rPr>
                <w:sz w:val="20"/>
              </w:rPr>
              <w:t>Gbagyi</w:t>
            </w:r>
            <w:r>
              <w:rPr>
                <w:spacing w:val="-9"/>
                <w:sz w:val="20"/>
              </w:rPr>
              <w:t> </w:t>
            </w:r>
            <w:r>
              <w:rPr>
                <w:spacing w:val="-2"/>
                <w:sz w:val="20"/>
              </w:rPr>
              <w:t>(gbr)</w:t>
            </w:r>
          </w:p>
        </w:tc>
      </w:tr>
      <w:tr>
        <w:trPr>
          <w:trHeight w:val="230" w:hRule="atLeast"/>
        </w:trPr>
        <w:tc>
          <w:tcPr>
            <w:tcW w:w="612" w:type="dxa"/>
          </w:tcPr>
          <w:p>
            <w:pPr>
              <w:pStyle w:val="TableParagraph"/>
              <w:ind w:left="50"/>
              <w:rPr>
                <w:sz w:val="20"/>
              </w:rPr>
            </w:pPr>
            <w:r>
              <w:rPr>
                <w:spacing w:val="-4"/>
                <w:sz w:val="20"/>
              </w:rPr>
              <w:t>6425</w:t>
            </w:r>
          </w:p>
        </w:tc>
        <w:tc>
          <w:tcPr>
            <w:tcW w:w="2542" w:type="dxa"/>
          </w:tcPr>
          <w:p>
            <w:pPr>
              <w:pStyle w:val="TableParagraph"/>
              <w:ind w:left="158"/>
              <w:rPr>
                <w:sz w:val="20"/>
              </w:rPr>
            </w:pPr>
            <w:r>
              <w:rPr>
                <w:sz w:val="20"/>
              </w:rPr>
              <w:t>Nupe-Nupe-Tako</w:t>
            </w:r>
            <w:r>
              <w:rPr>
                <w:spacing w:val="-13"/>
                <w:sz w:val="20"/>
              </w:rPr>
              <w:t> </w:t>
            </w:r>
            <w:r>
              <w:rPr>
                <w:spacing w:val="-4"/>
                <w:sz w:val="20"/>
              </w:rPr>
              <w:t>(nup)</w:t>
            </w:r>
          </w:p>
        </w:tc>
      </w:tr>
      <w:tr>
        <w:trPr>
          <w:trHeight w:val="230" w:hRule="atLeast"/>
        </w:trPr>
        <w:tc>
          <w:tcPr>
            <w:tcW w:w="612" w:type="dxa"/>
          </w:tcPr>
          <w:p>
            <w:pPr>
              <w:pStyle w:val="TableParagraph"/>
              <w:spacing w:line="211" w:lineRule="exact"/>
              <w:ind w:left="50"/>
              <w:rPr>
                <w:sz w:val="20"/>
              </w:rPr>
            </w:pPr>
            <w:r>
              <w:rPr>
                <w:spacing w:val="-4"/>
                <w:sz w:val="20"/>
              </w:rPr>
              <w:t>6435</w:t>
            </w:r>
          </w:p>
        </w:tc>
        <w:tc>
          <w:tcPr>
            <w:tcW w:w="2542" w:type="dxa"/>
          </w:tcPr>
          <w:p>
            <w:pPr>
              <w:pStyle w:val="TableParagraph"/>
              <w:spacing w:line="211" w:lineRule="exact"/>
              <w:ind w:left="158"/>
              <w:rPr>
                <w:sz w:val="20"/>
              </w:rPr>
            </w:pPr>
            <w:r>
              <w:rPr>
                <w:sz w:val="20"/>
              </w:rPr>
              <w:t>Adara</w:t>
            </w:r>
            <w:r>
              <w:rPr>
                <w:spacing w:val="-6"/>
                <w:sz w:val="20"/>
              </w:rPr>
              <w:t> </w:t>
            </w:r>
            <w:r>
              <w:rPr>
                <w:spacing w:val="-2"/>
                <w:sz w:val="20"/>
              </w:rPr>
              <w:t>(kad)</w:t>
            </w:r>
          </w:p>
        </w:tc>
      </w:tr>
      <w:tr>
        <w:trPr>
          <w:trHeight w:val="229" w:hRule="atLeast"/>
        </w:trPr>
        <w:tc>
          <w:tcPr>
            <w:tcW w:w="612" w:type="dxa"/>
          </w:tcPr>
          <w:p>
            <w:pPr>
              <w:pStyle w:val="TableParagraph"/>
              <w:spacing w:line="209" w:lineRule="exact"/>
              <w:ind w:left="50"/>
              <w:rPr>
                <w:sz w:val="20"/>
              </w:rPr>
            </w:pPr>
            <w:r>
              <w:rPr>
                <w:spacing w:val="-4"/>
                <w:sz w:val="20"/>
              </w:rPr>
              <w:t>6440</w:t>
            </w:r>
          </w:p>
        </w:tc>
        <w:tc>
          <w:tcPr>
            <w:tcW w:w="2542" w:type="dxa"/>
          </w:tcPr>
          <w:p>
            <w:pPr>
              <w:pStyle w:val="TableParagraph"/>
              <w:spacing w:line="209" w:lineRule="exact"/>
              <w:ind w:left="158"/>
              <w:rPr>
                <w:sz w:val="20"/>
              </w:rPr>
            </w:pPr>
            <w:r>
              <w:rPr>
                <w:sz w:val="20"/>
              </w:rPr>
              <w:t>Berom</w:t>
            </w:r>
            <w:r>
              <w:rPr>
                <w:spacing w:val="-7"/>
                <w:sz w:val="20"/>
              </w:rPr>
              <w:t> </w:t>
            </w:r>
            <w:r>
              <w:rPr>
                <w:spacing w:val="-2"/>
                <w:sz w:val="20"/>
              </w:rPr>
              <w:t>(bom)</w:t>
            </w:r>
          </w:p>
        </w:tc>
      </w:tr>
      <w:tr>
        <w:trPr>
          <w:trHeight w:val="229" w:hRule="atLeast"/>
        </w:trPr>
        <w:tc>
          <w:tcPr>
            <w:tcW w:w="612" w:type="dxa"/>
          </w:tcPr>
          <w:p>
            <w:pPr>
              <w:pStyle w:val="TableParagraph"/>
              <w:spacing w:line="209" w:lineRule="exact"/>
              <w:ind w:left="50"/>
              <w:rPr>
                <w:sz w:val="20"/>
              </w:rPr>
            </w:pPr>
            <w:r>
              <w:rPr>
                <w:spacing w:val="-4"/>
                <w:sz w:val="20"/>
              </w:rPr>
              <w:t>6445</w:t>
            </w:r>
          </w:p>
        </w:tc>
        <w:tc>
          <w:tcPr>
            <w:tcW w:w="2542" w:type="dxa"/>
          </w:tcPr>
          <w:p>
            <w:pPr>
              <w:pStyle w:val="TableParagraph"/>
              <w:spacing w:line="209" w:lineRule="exact"/>
              <w:ind w:left="158"/>
              <w:rPr>
                <w:sz w:val="20"/>
              </w:rPr>
            </w:pPr>
            <w:r>
              <w:rPr>
                <w:sz w:val="20"/>
              </w:rPr>
              <w:t>Eggon</w:t>
            </w:r>
            <w:r>
              <w:rPr>
                <w:spacing w:val="-8"/>
                <w:sz w:val="20"/>
              </w:rPr>
              <w:t> </w:t>
            </w:r>
            <w:r>
              <w:rPr>
                <w:spacing w:val="-2"/>
                <w:sz w:val="20"/>
              </w:rPr>
              <w:t>(ego)</w:t>
            </w:r>
          </w:p>
        </w:tc>
      </w:tr>
      <w:tr>
        <w:trPr>
          <w:trHeight w:val="230" w:hRule="atLeast"/>
        </w:trPr>
        <w:tc>
          <w:tcPr>
            <w:tcW w:w="612" w:type="dxa"/>
          </w:tcPr>
          <w:p>
            <w:pPr>
              <w:pStyle w:val="TableParagraph"/>
              <w:ind w:left="50"/>
              <w:rPr>
                <w:sz w:val="20"/>
              </w:rPr>
            </w:pPr>
            <w:r>
              <w:rPr>
                <w:spacing w:val="-4"/>
                <w:sz w:val="20"/>
              </w:rPr>
              <w:t>6450</w:t>
            </w:r>
          </w:p>
        </w:tc>
        <w:tc>
          <w:tcPr>
            <w:tcW w:w="2542" w:type="dxa"/>
          </w:tcPr>
          <w:p>
            <w:pPr>
              <w:pStyle w:val="TableParagraph"/>
              <w:ind w:left="158"/>
              <w:rPr>
                <w:sz w:val="20"/>
              </w:rPr>
            </w:pPr>
            <w:r>
              <w:rPr>
                <w:sz w:val="20"/>
              </w:rPr>
              <w:t>Jju</w:t>
            </w:r>
            <w:r>
              <w:rPr>
                <w:spacing w:val="-1"/>
                <w:sz w:val="20"/>
              </w:rPr>
              <w:t> </w:t>
            </w:r>
            <w:r>
              <w:rPr>
                <w:spacing w:val="-2"/>
                <w:sz w:val="20"/>
              </w:rPr>
              <w:t>(kaj)</w:t>
            </w:r>
          </w:p>
        </w:tc>
      </w:tr>
      <w:tr>
        <w:trPr>
          <w:trHeight w:val="225" w:hRule="atLeast"/>
        </w:trPr>
        <w:tc>
          <w:tcPr>
            <w:tcW w:w="612" w:type="dxa"/>
          </w:tcPr>
          <w:p>
            <w:pPr>
              <w:pStyle w:val="TableParagraph"/>
              <w:spacing w:line="205" w:lineRule="exact"/>
              <w:ind w:left="50"/>
              <w:rPr>
                <w:sz w:val="20"/>
              </w:rPr>
            </w:pPr>
            <w:r>
              <w:rPr>
                <w:spacing w:val="-4"/>
                <w:sz w:val="20"/>
              </w:rPr>
              <w:t>6455</w:t>
            </w:r>
          </w:p>
        </w:tc>
        <w:tc>
          <w:tcPr>
            <w:tcW w:w="2542" w:type="dxa"/>
          </w:tcPr>
          <w:p>
            <w:pPr>
              <w:pStyle w:val="TableParagraph"/>
              <w:spacing w:line="205" w:lineRule="exact"/>
              <w:ind w:left="158"/>
              <w:rPr>
                <w:sz w:val="20"/>
              </w:rPr>
            </w:pPr>
            <w:r>
              <w:rPr>
                <w:sz w:val="20"/>
              </w:rPr>
              <w:t>Ukaan</w:t>
            </w:r>
            <w:r>
              <w:rPr>
                <w:spacing w:val="-6"/>
                <w:sz w:val="20"/>
              </w:rPr>
              <w:t> </w:t>
            </w:r>
            <w:r>
              <w:rPr>
                <w:spacing w:val="-2"/>
                <w:sz w:val="20"/>
              </w:rPr>
              <w:t>(kcf)</w:t>
            </w:r>
          </w:p>
        </w:tc>
      </w:tr>
    </w:tbl>
    <w:p>
      <w:pPr>
        <w:pStyle w:val="BodyText"/>
        <w:spacing w:before="4"/>
        <w:rPr>
          <w:rFonts w:ascii="Times New Roman"/>
          <w:i/>
          <w:sz w:val="21"/>
        </w:rPr>
      </w:pPr>
    </w:p>
    <w:p>
      <w:pPr>
        <w:spacing w:before="0"/>
        <w:ind w:left="552" w:right="0" w:firstLine="0"/>
        <w:jc w:val="left"/>
        <w:rPr>
          <w:rFonts w:ascii="Times New Roman"/>
          <w:i/>
          <w:sz w:val="20"/>
        </w:rPr>
      </w:pPr>
      <w:r>
        <w:rPr>
          <w:rFonts w:ascii="Times New Roman"/>
          <w:i/>
          <w:sz w:val="20"/>
        </w:rPr>
        <w:t>Kru</w:t>
      </w:r>
      <w:r>
        <w:rPr>
          <w:rFonts w:ascii="Times New Roman"/>
          <w:i/>
          <w:spacing w:val="-6"/>
          <w:sz w:val="20"/>
        </w:rPr>
        <w:t> </w:t>
      </w:r>
      <w:r>
        <w:rPr>
          <w:rFonts w:ascii="Times New Roman"/>
          <w:i/>
          <w:sz w:val="20"/>
        </w:rPr>
        <w:t>languages</w:t>
      </w:r>
      <w:r>
        <w:rPr>
          <w:rFonts w:ascii="Times New Roman"/>
          <w:i/>
          <w:spacing w:val="-7"/>
          <w:sz w:val="20"/>
        </w:rPr>
        <w:t> </w:t>
      </w:r>
      <w:r>
        <w:rPr>
          <w:rFonts w:ascii="Times New Roman"/>
          <w:i/>
          <w:sz w:val="20"/>
        </w:rPr>
        <w:t>(6460-</w:t>
      </w:r>
      <w:r>
        <w:rPr>
          <w:rFonts w:ascii="Times New Roman"/>
          <w:i/>
          <w:spacing w:val="-4"/>
          <w:sz w:val="20"/>
        </w:rPr>
        <w:t>6499)</w:t>
      </w:r>
    </w:p>
    <w:p>
      <w:pPr>
        <w:spacing w:after="0"/>
        <w:jc w:val="left"/>
        <w:rPr>
          <w:rFonts w:ascii="Times New Roman"/>
          <w:sz w:val="20"/>
        </w:rPr>
        <w:sectPr>
          <w:footerReference w:type="default" r:id="rId90"/>
          <w:pgSz w:w="12240" w:h="15840"/>
          <w:pgMar w:footer="0" w:header="0" w:top="1080" w:bottom="280" w:left="600" w:right="500"/>
          <w:cols w:num="2" w:equalWidth="0">
            <w:col w:w="3658" w:space="1671"/>
            <w:col w:w="5811"/>
          </w:cols>
        </w:sectPr>
      </w:pPr>
    </w:p>
    <w:p>
      <w:pPr>
        <w:pStyle w:val="BodyText"/>
        <w:spacing w:before="9"/>
        <w:rPr>
          <w:rFonts w:ascii="Times New Roman"/>
          <w:i/>
          <w:sz w:val="3"/>
        </w:rPr>
      </w:pPr>
    </w:p>
    <w:tbl>
      <w:tblPr>
        <w:tblW w:w="0" w:type="auto"/>
        <w:jc w:val="left"/>
        <w:tblInd w:w="5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2562"/>
      </w:tblGrid>
      <w:tr>
        <w:trPr>
          <w:trHeight w:val="225" w:hRule="atLeast"/>
        </w:trPr>
        <w:tc>
          <w:tcPr>
            <w:tcW w:w="612" w:type="dxa"/>
          </w:tcPr>
          <w:p>
            <w:pPr>
              <w:pStyle w:val="TableParagraph"/>
              <w:spacing w:line="205" w:lineRule="exact"/>
              <w:ind w:left="50"/>
              <w:rPr>
                <w:sz w:val="20"/>
              </w:rPr>
            </w:pPr>
            <w:r>
              <w:rPr>
                <w:spacing w:val="-4"/>
                <w:sz w:val="20"/>
              </w:rPr>
              <w:t>6460</w:t>
            </w:r>
          </w:p>
        </w:tc>
        <w:tc>
          <w:tcPr>
            <w:tcW w:w="2562" w:type="dxa"/>
          </w:tcPr>
          <w:p>
            <w:pPr>
              <w:pStyle w:val="TableParagraph"/>
              <w:spacing w:line="205" w:lineRule="exact"/>
              <w:ind w:left="158"/>
              <w:rPr>
                <w:sz w:val="20"/>
              </w:rPr>
            </w:pPr>
            <w:r>
              <w:rPr>
                <w:sz w:val="20"/>
              </w:rPr>
              <w:t>Wané</w:t>
            </w:r>
            <w:r>
              <w:rPr>
                <w:spacing w:val="-5"/>
                <w:sz w:val="20"/>
              </w:rPr>
              <w:t> </w:t>
            </w:r>
            <w:r>
              <w:rPr>
                <w:spacing w:val="-2"/>
                <w:sz w:val="20"/>
              </w:rPr>
              <w:t>(hwa)</w:t>
            </w:r>
          </w:p>
        </w:tc>
      </w:tr>
      <w:tr>
        <w:trPr>
          <w:trHeight w:val="230" w:hRule="atLeast"/>
        </w:trPr>
        <w:tc>
          <w:tcPr>
            <w:tcW w:w="612" w:type="dxa"/>
          </w:tcPr>
          <w:p>
            <w:pPr>
              <w:pStyle w:val="TableParagraph"/>
              <w:ind w:left="50"/>
              <w:rPr>
                <w:sz w:val="20"/>
              </w:rPr>
            </w:pPr>
            <w:r>
              <w:rPr>
                <w:spacing w:val="-4"/>
                <w:sz w:val="20"/>
              </w:rPr>
              <w:t>6465</w:t>
            </w:r>
          </w:p>
        </w:tc>
        <w:tc>
          <w:tcPr>
            <w:tcW w:w="2562" w:type="dxa"/>
          </w:tcPr>
          <w:p>
            <w:pPr>
              <w:pStyle w:val="TableParagraph"/>
              <w:ind w:left="158"/>
              <w:rPr>
                <w:sz w:val="20"/>
              </w:rPr>
            </w:pPr>
            <w:r>
              <w:rPr>
                <w:sz w:val="20"/>
              </w:rPr>
              <w:t>Kuwaa</w:t>
            </w:r>
            <w:r>
              <w:rPr>
                <w:spacing w:val="-8"/>
                <w:sz w:val="20"/>
              </w:rPr>
              <w:t> </w:t>
            </w:r>
            <w:r>
              <w:rPr>
                <w:spacing w:val="-2"/>
                <w:sz w:val="20"/>
              </w:rPr>
              <w:t>(blh)</w:t>
            </w:r>
          </w:p>
        </w:tc>
      </w:tr>
      <w:tr>
        <w:trPr>
          <w:trHeight w:val="229" w:hRule="atLeast"/>
        </w:trPr>
        <w:tc>
          <w:tcPr>
            <w:tcW w:w="612" w:type="dxa"/>
          </w:tcPr>
          <w:p>
            <w:pPr>
              <w:pStyle w:val="TableParagraph"/>
              <w:spacing w:line="209" w:lineRule="exact"/>
              <w:ind w:left="50"/>
              <w:rPr>
                <w:sz w:val="20"/>
              </w:rPr>
            </w:pPr>
            <w:r>
              <w:rPr>
                <w:spacing w:val="-4"/>
                <w:sz w:val="20"/>
              </w:rPr>
              <w:t>6470</w:t>
            </w:r>
          </w:p>
        </w:tc>
        <w:tc>
          <w:tcPr>
            <w:tcW w:w="2562" w:type="dxa"/>
          </w:tcPr>
          <w:p>
            <w:pPr>
              <w:pStyle w:val="TableParagraph"/>
              <w:spacing w:line="209" w:lineRule="exact"/>
              <w:ind w:left="158"/>
              <w:rPr>
                <w:sz w:val="20"/>
              </w:rPr>
            </w:pPr>
            <w:r>
              <w:rPr>
                <w:sz w:val="20"/>
              </w:rPr>
              <w:t>Bassa</w:t>
            </w:r>
            <w:r>
              <w:rPr>
                <w:spacing w:val="-5"/>
                <w:sz w:val="20"/>
              </w:rPr>
              <w:t> </w:t>
            </w:r>
            <w:r>
              <w:rPr>
                <w:spacing w:val="-2"/>
                <w:sz w:val="20"/>
              </w:rPr>
              <w:t>(bsq)</w:t>
            </w:r>
          </w:p>
        </w:tc>
      </w:tr>
      <w:tr>
        <w:trPr>
          <w:trHeight w:val="229" w:hRule="atLeast"/>
        </w:trPr>
        <w:tc>
          <w:tcPr>
            <w:tcW w:w="612" w:type="dxa"/>
          </w:tcPr>
          <w:p>
            <w:pPr>
              <w:pStyle w:val="TableParagraph"/>
              <w:spacing w:line="209" w:lineRule="exact"/>
              <w:ind w:left="50"/>
              <w:rPr>
                <w:sz w:val="20"/>
              </w:rPr>
            </w:pPr>
            <w:r>
              <w:rPr>
                <w:spacing w:val="-4"/>
                <w:sz w:val="20"/>
              </w:rPr>
              <w:t>6475</w:t>
            </w:r>
          </w:p>
        </w:tc>
        <w:tc>
          <w:tcPr>
            <w:tcW w:w="2562" w:type="dxa"/>
          </w:tcPr>
          <w:p>
            <w:pPr>
              <w:pStyle w:val="TableParagraph"/>
              <w:spacing w:line="209" w:lineRule="exact"/>
              <w:ind w:left="158"/>
              <w:rPr>
                <w:sz w:val="20"/>
              </w:rPr>
            </w:pPr>
            <w:r>
              <w:rPr>
                <w:sz w:val="20"/>
              </w:rPr>
              <w:t>Grebo</w:t>
            </w:r>
            <w:r>
              <w:rPr>
                <w:spacing w:val="-10"/>
                <w:sz w:val="20"/>
              </w:rPr>
              <w:t> </w:t>
            </w:r>
            <w:r>
              <w:rPr>
                <w:sz w:val="20"/>
              </w:rPr>
              <w:t>(macrolanguage)</w:t>
            </w:r>
            <w:r>
              <w:rPr>
                <w:spacing w:val="-9"/>
                <w:sz w:val="20"/>
              </w:rPr>
              <w:t> </w:t>
            </w:r>
            <w:r>
              <w:rPr>
                <w:spacing w:val="-4"/>
                <w:sz w:val="20"/>
              </w:rPr>
              <w:t>(grb)</w:t>
            </w:r>
          </w:p>
        </w:tc>
      </w:tr>
      <w:tr>
        <w:trPr>
          <w:trHeight w:val="225" w:hRule="atLeast"/>
        </w:trPr>
        <w:tc>
          <w:tcPr>
            <w:tcW w:w="612" w:type="dxa"/>
          </w:tcPr>
          <w:p>
            <w:pPr>
              <w:pStyle w:val="TableParagraph"/>
              <w:spacing w:line="205" w:lineRule="exact"/>
              <w:ind w:left="50"/>
              <w:rPr>
                <w:sz w:val="20"/>
              </w:rPr>
            </w:pPr>
            <w:r>
              <w:rPr>
                <w:spacing w:val="-4"/>
                <w:sz w:val="20"/>
              </w:rPr>
              <w:t>6476</w:t>
            </w:r>
          </w:p>
        </w:tc>
        <w:tc>
          <w:tcPr>
            <w:tcW w:w="2562" w:type="dxa"/>
          </w:tcPr>
          <w:p>
            <w:pPr>
              <w:pStyle w:val="TableParagraph"/>
              <w:spacing w:line="205" w:lineRule="exact"/>
              <w:ind w:left="158"/>
              <w:rPr>
                <w:sz w:val="20"/>
              </w:rPr>
            </w:pPr>
            <w:r>
              <w:rPr>
                <w:sz w:val="20"/>
              </w:rPr>
              <w:t>Northern</w:t>
            </w:r>
            <w:r>
              <w:rPr>
                <w:spacing w:val="-7"/>
                <w:sz w:val="20"/>
              </w:rPr>
              <w:t> </w:t>
            </w:r>
            <w:r>
              <w:rPr>
                <w:sz w:val="20"/>
              </w:rPr>
              <w:t>Grebo</w:t>
            </w:r>
            <w:r>
              <w:rPr>
                <w:spacing w:val="-5"/>
                <w:sz w:val="20"/>
              </w:rPr>
              <w:t> </w:t>
            </w:r>
            <w:r>
              <w:rPr>
                <w:spacing w:val="-4"/>
                <w:sz w:val="20"/>
              </w:rPr>
              <w:t>(gbo)</w:t>
            </w:r>
          </w:p>
        </w:tc>
      </w:tr>
    </w:tbl>
    <w:p>
      <w:pPr>
        <w:spacing w:after="0" w:line="205" w:lineRule="exact"/>
        <w:rPr>
          <w:sz w:val="20"/>
        </w:rPr>
        <w:sectPr>
          <w:type w:val="continuous"/>
          <w:pgSz w:w="12240" w:h="15840"/>
          <w:pgMar w:header="0" w:footer="0" w:top="1820" w:bottom="280" w:left="600" w:right="500"/>
        </w:sectPr>
      </w:pP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824"/>
        <w:gridCol w:w="1457"/>
        <w:gridCol w:w="3328"/>
      </w:tblGrid>
      <w:tr>
        <w:trPr>
          <w:trHeight w:val="225" w:hRule="atLeast"/>
        </w:trPr>
        <w:tc>
          <w:tcPr>
            <w:tcW w:w="612" w:type="dxa"/>
          </w:tcPr>
          <w:p>
            <w:pPr>
              <w:pStyle w:val="TableParagraph"/>
              <w:spacing w:line="205" w:lineRule="exact"/>
              <w:ind w:left="50"/>
              <w:rPr>
                <w:sz w:val="20"/>
              </w:rPr>
            </w:pPr>
            <w:r>
              <w:rPr>
                <w:spacing w:val="-4"/>
                <w:sz w:val="20"/>
              </w:rPr>
              <w:t>6480</w:t>
            </w:r>
          </w:p>
        </w:tc>
        <w:tc>
          <w:tcPr>
            <w:tcW w:w="3824" w:type="dxa"/>
          </w:tcPr>
          <w:p>
            <w:pPr>
              <w:pStyle w:val="TableParagraph"/>
              <w:spacing w:line="205" w:lineRule="exact"/>
              <w:ind w:left="158"/>
              <w:rPr>
                <w:sz w:val="20"/>
              </w:rPr>
            </w:pPr>
            <w:r>
              <w:rPr>
                <w:sz w:val="20"/>
              </w:rPr>
              <w:t>Klao</w:t>
            </w:r>
            <w:r>
              <w:rPr>
                <w:spacing w:val="-3"/>
                <w:sz w:val="20"/>
              </w:rPr>
              <w:t> </w:t>
            </w:r>
            <w:r>
              <w:rPr>
                <w:spacing w:val="-2"/>
                <w:sz w:val="20"/>
              </w:rPr>
              <w:t>(klu)</w:t>
            </w:r>
          </w:p>
        </w:tc>
        <w:tc>
          <w:tcPr>
            <w:tcW w:w="4785" w:type="dxa"/>
            <w:gridSpan w:val="2"/>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6485</w:t>
            </w:r>
          </w:p>
        </w:tc>
        <w:tc>
          <w:tcPr>
            <w:tcW w:w="3824" w:type="dxa"/>
          </w:tcPr>
          <w:p>
            <w:pPr>
              <w:pStyle w:val="TableParagraph"/>
              <w:spacing w:line="209" w:lineRule="exact"/>
              <w:ind w:left="158"/>
              <w:rPr>
                <w:sz w:val="20"/>
              </w:rPr>
            </w:pPr>
            <w:r>
              <w:rPr>
                <w:sz w:val="20"/>
              </w:rPr>
              <w:t>Eastern</w:t>
            </w:r>
            <w:r>
              <w:rPr>
                <w:spacing w:val="-6"/>
                <w:sz w:val="20"/>
              </w:rPr>
              <w:t> </w:t>
            </w:r>
            <w:r>
              <w:rPr>
                <w:sz w:val="20"/>
              </w:rPr>
              <w:t>Krahn</w:t>
            </w:r>
            <w:r>
              <w:rPr>
                <w:spacing w:val="-6"/>
                <w:sz w:val="20"/>
              </w:rPr>
              <w:t> </w:t>
            </w:r>
            <w:r>
              <w:rPr>
                <w:spacing w:val="-2"/>
                <w:sz w:val="20"/>
              </w:rPr>
              <w:t>(kqo)</w:t>
            </w:r>
          </w:p>
        </w:tc>
        <w:tc>
          <w:tcPr>
            <w:tcW w:w="4785" w:type="dxa"/>
            <w:gridSpan w:val="2"/>
          </w:tcPr>
          <w:p>
            <w:pPr>
              <w:pStyle w:val="TableParagraph"/>
              <w:spacing w:line="209" w:lineRule="exact"/>
              <w:ind w:left="943"/>
              <w:rPr>
                <w:i/>
                <w:sz w:val="20"/>
              </w:rPr>
            </w:pPr>
            <w:r>
              <w:rPr>
                <w:i/>
                <w:sz w:val="20"/>
                <w:u w:val="single"/>
              </w:rPr>
              <w:t>Native</w:t>
            </w:r>
            <w:r>
              <w:rPr>
                <w:i/>
                <w:spacing w:val="-7"/>
                <w:sz w:val="20"/>
                <w:u w:val="single"/>
              </w:rPr>
              <w:t> </w:t>
            </w:r>
            <w:r>
              <w:rPr>
                <w:i/>
                <w:sz w:val="20"/>
                <w:u w:val="single"/>
              </w:rPr>
              <w:t>North</w:t>
            </w:r>
            <w:r>
              <w:rPr>
                <w:i/>
                <w:spacing w:val="-6"/>
                <w:sz w:val="20"/>
                <w:u w:val="single"/>
              </w:rPr>
              <w:t> </w:t>
            </w:r>
            <w:r>
              <w:rPr>
                <w:i/>
                <w:sz w:val="20"/>
                <w:u w:val="single"/>
              </w:rPr>
              <w:t>American</w:t>
            </w:r>
            <w:r>
              <w:rPr>
                <w:i/>
                <w:spacing w:val="-5"/>
                <w:sz w:val="20"/>
                <w:u w:val="single"/>
              </w:rPr>
              <w:t> </w:t>
            </w:r>
            <w:r>
              <w:rPr>
                <w:i/>
                <w:sz w:val="20"/>
                <w:u w:val="single"/>
              </w:rPr>
              <w:t>languages</w:t>
            </w:r>
            <w:r>
              <w:rPr>
                <w:i/>
                <w:spacing w:val="-8"/>
                <w:sz w:val="20"/>
                <w:u w:val="single"/>
              </w:rPr>
              <w:t> </w:t>
            </w:r>
            <w:r>
              <w:rPr>
                <w:i/>
                <w:sz w:val="20"/>
                <w:u w:val="single"/>
              </w:rPr>
              <w:t>(6800-</w:t>
            </w:r>
            <w:r>
              <w:rPr>
                <w:i/>
                <w:spacing w:val="-4"/>
                <w:sz w:val="20"/>
                <w:u w:val="single"/>
              </w:rPr>
              <w:t>7099)</w:t>
            </w:r>
          </w:p>
        </w:tc>
      </w:tr>
      <w:tr>
        <w:trPr>
          <w:trHeight w:val="229" w:hRule="atLeast"/>
        </w:trPr>
        <w:tc>
          <w:tcPr>
            <w:tcW w:w="612" w:type="dxa"/>
          </w:tcPr>
          <w:p>
            <w:pPr>
              <w:pStyle w:val="TableParagraph"/>
              <w:spacing w:line="209" w:lineRule="exact"/>
              <w:ind w:left="50"/>
              <w:rPr>
                <w:sz w:val="20"/>
              </w:rPr>
            </w:pPr>
            <w:r>
              <w:rPr>
                <w:spacing w:val="-4"/>
                <w:sz w:val="20"/>
              </w:rPr>
              <w:t>6486</w:t>
            </w:r>
          </w:p>
        </w:tc>
        <w:tc>
          <w:tcPr>
            <w:tcW w:w="3824" w:type="dxa"/>
          </w:tcPr>
          <w:p>
            <w:pPr>
              <w:pStyle w:val="TableParagraph"/>
              <w:spacing w:line="209" w:lineRule="exact"/>
              <w:ind w:left="158"/>
              <w:rPr>
                <w:sz w:val="20"/>
              </w:rPr>
            </w:pPr>
            <w:r>
              <w:rPr>
                <w:sz w:val="20"/>
              </w:rPr>
              <w:t>Western</w:t>
            </w:r>
            <w:r>
              <w:rPr>
                <w:spacing w:val="-6"/>
                <w:sz w:val="20"/>
              </w:rPr>
              <w:t> </w:t>
            </w:r>
            <w:r>
              <w:rPr>
                <w:sz w:val="20"/>
              </w:rPr>
              <w:t>Krahn</w:t>
            </w:r>
            <w:r>
              <w:rPr>
                <w:spacing w:val="-6"/>
                <w:sz w:val="20"/>
              </w:rPr>
              <w:t> </w:t>
            </w:r>
            <w:r>
              <w:rPr>
                <w:spacing w:val="-4"/>
                <w:sz w:val="20"/>
              </w:rPr>
              <w:t>(krw)</w:t>
            </w:r>
          </w:p>
        </w:tc>
        <w:tc>
          <w:tcPr>
            <w:tcW w:w="4785" w:type="dxa"/>
            <w:gridSpan w:val="2"/>
          </w:tcPr>
          <w:p>
            <w:pPr>
              <w:pStyle w:val="TableParagraph"/>
              <w:spacing w:line="240" w:lineRule="auto"/>
              <w:rPr>
                <w:sz w:val="16"/>
              </w:rPr>
            </w:pPr>
          </w:p>
        </w:tc>
      </w:tr>
      <w:tr>
        <w:trPr>
          <w:trHeight w:val="225" w:hRule="atLeast"/>
        </w:trPr>
        <w:tc>
          <w:tcPr>
            <w:tcW w:w="612" w:type="dxa"/>
          </w:tcPr>
          <w:p>
            <w:pPr>
              <w:pStyle w:val="TableParagraph"/>
              <w:spacing w:line="205" w:lineRule="exact"/>
              <w:ind w:left="50"/>
              <w:rPr>
                <w:sz w:val="20"/>
              </w:rPr>
            </w:pPr>
            <w:r>
              <w:rPr>
                <w:spacing w:val="-4"/>
                <w:sz w:val="20"/>
              </w:rPr>
              <w:t>6490</w:t>
            </w:r>
          </w:p>
        </w:tc>
        <w:tc>
          <w:tcPr>
            <w:tcW w:w="3824" w:type="dxa"/>
          </w:tcPr>
          <w:p>
            <w:pPr>
              <w:pStyle w:val="TableParagraph"/>
              <w:spacing w:line="205" w:lineRule="exact"/>
              <w:ind w:left="158"/>
              <w:rPr>
                <w:sz w:val="20"/>
              </w:rPr>
            </w:pPr>
            <w:r>
              <w:rPr>
                <w:sz w:val="20"/>
              </w:rPr>
              <w:t>Sapo</w:t>
            </w:r>
            <w:r>
              <w:rPr>
                <w:spacing w:val="-4"/>
                <w:sz w:val="20"/>
              </w:rPr>
              <w:t> </w:t>
            </w:r>
            <w:r>
              <w:rPr>
                <w:spacing w:val="-2"/>
                <w:sz w:val="20"/>
              </w:rPr>
              <w:t>(krn)</w:t>
            </w:r>
          </w:p>
        </w:tc>
        <w:tc>
          <w:tcPr>
            <w:tcW w:w="4785" w:type="dxa"/>
            <w:gridSpan w:val="2"/>
          </w:tcPr>
          <w:p>
            <w:pPr>
              <w:pStyle w:val="TableParagraph"/>
              <w:spacing w:line="205" w:lineRule="exact"/>
              <w:ind w:left="943"/>
              <w:rPr>
                <w:i/>
                <w:sz w:val="20"/>
              </w:rPr>
            </w:pPr>
            <w:r>
              <w:rPr>
                <w:i/>
                <w:sz w:val="20"/>
              </w:rPr>
              <w:t>Aleut</w:t>
            </w:r>
            <w:r>
              <w:rPr>
                <w:i/>
                <w:spacing w:val="-7"/>
                <w:sz w:val="20"/>
              </w:rPr>
              <w:t> </w:t>
            </w:r>
            <w:r>
              <w:rPr>
                <w:i/>
                <w:sz w:val="20"/>
              </w:rPr>
              <w:t>languages</w:t>
            </w:r>
            <w:r>
              <w:rPr>
                <w:i/>
                <w:spacing w:val="-7"/>
                <w:sz w:val="20"/>
              </w:rPr>
              <w:t> </w:t>
            </w:r>
            <w:r>
              <w:rPr>
                <w:i/>
                <w:sz w:val="20"/>
              </w:rPr>
              <w:t>(6800-</w:t>
            </w:r>
            <w:r>
              <w:rPr>
                <w:i/>
                <w:spacing w:val="-4"/>
                <w:sz w:val="20"/>
              </w:rPr>
              <w:t>6814)</w:t>
            </w:r>
          </w:p>
        </w:tc>
      </w:tr>
      <w:tr>
        <w:trPr>
          <w:trHeight w:val="235" w:hRule="atLeast"/>
        </w:trPr>
        <w:tc>
          <w:tcPr>
            <w:tcW w:w="612" w:type="dxa"/>
          </w:tcPr>
          <w:p>
            <w:pPr>
              <w:pStyle w:val="TableParagraph"/>
              <w:spacing w:line="240" w:lineRule="auto"/>
              <w:rPr>
                <w:sz w:val="16"/>
              </w:rPr>
            </w:pPr>
          </w:p>
        </w:tc>
        <w:tc>
          <w:tcPr>
            <w:tcW w:w="3824" w:type="dxa"/>
          </w:tcPr>
          <w:p>
            <w:pPr>
              <w:pStyle w:val="TableParagraph"/>
              <w:spacing w:line="240" w:lineRule="auto"/>
              <w:rPr>
                <w:sz w:val="16"/>
              </w:rPr>
            </w:pPr>
          </w:p>
        </w:tc>
        <w:tc>
          <w:tcPr>
            <w:tcW w:w="1457" w:type="dxa"/>
          </w:tcPr>
          <w:p>
            <w:pPr>
              <w:pStyle w:val="TableParagraph"/>
              <w:spacing w:line="205" w:lineRule="exact"/>
              <w:ind w:right="108"/>
              <w:jc w:val="right"/>
              <w:rPr>
                <w:sz w:val="20"/>
              </w:rPr>
            </w:pPr>
            <w:r>
              <w:rPr>
                <w:spacing w:val="-4"/>
                <w:sz w:val="20"/>
              </w:rPr>
              <w:t>6800</w:t>
            </w:r>
          </w:p>
        </w:tc>
        <w:tc>
          <w:tcPr>
            <w:tcW w:w="3328" w:type="dxa"/>
          </w:tcPr>
          <w:p>
            <w:pPr>
              <w:pStyle w:val="TableParagraph"/>
              <w:spacing w:line="205" w:lineRule="exact"/>
              <w:ind w:left="206"/>
              <w:rPr>
                <w:sz w:val="20"/>
              </w:rPr>
            </w:pPr>
            <w:r>
              <w:rPr>
                <w:sz w:val="20"/>
              </w:rPr>
              <w:t>Aleut</w:t>
            </w:r>
            <w:r>
              <w:rPr>
                <w:spacing w:val="-9"/>
                <w:sz w:val="20"/>
              </w:rPr>
              <w:t> </w:t>
            </w:r>
            <w:r>
              <w:rPr>
                <w:spacing w:val="-2"/>
                <w:sz w:val="20"/>
              </w:rPr>
              <w:t>(ale)</w:t>
            </w:r>
          </w:p>
        </w:tc>
      </w:tr>
      <w:tr>
        <w:trPr>
          <w:trHeight w:val="230" w:hRule="atLeast"/>
        </w:trPr>
        <w:tc>
          <w:tcPr>
            <w:tcW w:w="612" w:type="dxa"/>
          </w:tcPr>
          <w:p>
            <w:pPr>
              <w:pStyle w:val="TableParagraph"/>
              <w:ind w:left="50"/>
              <w:rPr>
                <w:sz w:val="20"/>
              </w:rPr>
            </w:pPr>
            <w:r>
              <w:rPr>
                <w:spacing w:val="-4"/>
                <w:sz w:val="20"/>
              </w:rPr>
              <w:t>6500</w:t>
            </w:r>
          </w:p>
        </w:tc>
        <w:tc>
          <w:tcPr>
            <w:tcW w:w="3824" w:type="dxa"/>
          </w:tcPr>
          <w:p>
            <w:pPr>
              <w:pStyle w:val="TableParagraph"/>
              <w:ind w:left="158"/>
              <w:rPr>
                <w:sz w:val="20"/>
              </w:rPr>
            </w:pPr>
            <w:r>
              <w:rPr>
                <w:sz w:val="20"/>
              </w:rPr>
              <w:t>Efik</w:t>
            </w:r>
            <w:r>
              <w:rPr>
                <w:spacing w:val="-8"/>
                <w:sz w:val="20"/>
              </w:rPr>
              <w:t> </w:t>
            </w:r>
            <w:r>
              <w:rPr>
                <w:spacing w:val="-2"/>
                <w:sz w:val="20"/>
              </w:rPr>
              <w:t>(efi)</w:t>
            </w:r>
          </w:p>
        </w:tc>
        <w:tc>
          <w:tcPr>
            <w:tcW w:w="1457" w:type="dxa"/>
          </w:tcPr>
          <w:p>
            <w:pPr>
              <w:pStyle w:val="TableParagraph"/>
              <w:ind w:right="108"/>
              <w:jc w:val="right"/>
              <w:rPr>
                <w:sz w:val="20"/>
              </w:rPr>
            </w:pPr>
            <w:r>
              <w:rPr>
                <w:spacing w:val="-4"/>
                <w:sz w:val="20"/>
              </w:rPr>
              <w:t>6801</w:t>
            </w:r>
          </w:p>
        </w:tc>
        <w:tc>
          <w:tcPr>
            <w:tcW w:w="3328" w:type="dxa"/>
          </w:tcPr>
          <w:p>
            <w:pPr>
              <w:pStyle w:val="TableParagraph"/>
              <w:ind w:left="206"/>
              <w:rPr>
                <w:sz w:val="20"/>
              </w:rPr>
            </w:pPr>
            <w:r>
              <w:rPr>
                <w:sz w:val="20"/>
              </w:rPr>
              <w:t>Inupiaq</w:t>
            </w:r>
            <w:r>
              <w:rPr>
                <w:spacing w:val="-11"/>
                <w:sz w:val="20"/>
              </w:rPr>
              <w:t> </w:t>
            </w:r>
            <w:r>
              <w:rPr>
                <w:sz w:val="20"/>
              </w:rPr>
              <w:t>(macrolanguage)</w:t>
            </w:r>
            <w:r>
              <w:rPr>
                <w:spacing w:val="-9"/>
                <w:sz w:val="20"/>
              </w:rPr>
              <w:t> </w:t>
            </w:r>
            <w:r>
              <w:rPr>
                <w:spacing w:val="-4"/>
                <w:sz w:val="20"/>
              </w:rPr>
              <w:t>(ipk)</w:t>
            </w:r>
          </w:p>
        </w:tc>
      </w:tr>
      <w:tr>
        <w:trPr>
          <w:trHeight w:val="230" w:hRule="atLeast"/>
        </w:trPr>
        <w:tc>
          <w:tcPr>
            <w:tcW w:w="612" w:type="dxa"/>
          </w:tcPr>
          <w:p>
            <w:pPr>
              <w:pStyle w:val="TableParagraph"/>
              <w:ind w:left="50"/>
              <w:rPr>
                <w:sz w:val="20"/>
              </w:rPr>
            </w:pPr>
            <w:r>
              <w:rPr>
                <w:spacing w:val="-4"/>
                <w:sz w:val="20"/>
              </w:rPr>
              <w:t>6505</w:t>
            </w:r>
          </w:p>
        </w:tc>
        <w:tc>
          <w:tcPr>
            <w:tcW w:w="3824" w:type="dxa"/>
          </w:tcPr>
          <w:p>
            <w:pPr>
              <w:pStyle w:val="TableParagraph"/>
              <w:ind w:left="158"/>
              <w:rPr>
                <w:sz w:val="20"/>
              </w:rPr>
            </w:pPr>
            <w:r>
              <w:rPr>
                <w:sz w:val="20"/>
              </w:rPr>
              <w:t>Anaang</w:t>
            </w:r>
            <w:r>
              <w:rPr>
                <w:spacing w:val="-9"/>
                <w:sz w:val="20"/>
              </w:rPr>
              <w:t> </w:t>
            </w:r>
            <w:r>
              <w:rPr>
                <w:spacing w:val="-2"/>
                <w:sz w:val="20"/>
              </w:rPr>
              <w:t>(anw)</w:t>
            </w:r>
          </w:p>
        </w:tc>
        <w:tc>
          <w:tcPr>
            <w:tcW w:w="1457" w:type="dxa"/>
          </w:tcPr>
          <w:p>
            <w:pPr>
              <w:pStyle w:val="TableParagraph"/>
              <w:ind w:right="108"/>
              <w:jc w:val="right"/>
              <w:rPr>
                <w:sz w:val="20"/>
              </w:rPr>
            </w:pPr>
            <w:r>
              <w:rPr>
                <w:spacing w:val="-4"/>
                <w:sz w:val="20"/>
              </w:rPr>
              <w:t>6802</w:t>
            </w:r>
          </w:p>
        </w:tc>
        <w:tc>
          <w:tcPr>
            <w:tcW w:w="3328" w:type="dxa"/>
          </w:tcPr>
          <w:p>
            <w:pPr>
              <w:pStyle w:val="TableParagraph"/>
              <w:ind w:left="206"/>
              <w:rPr>
                <w:sz w:val="20"/>
              </w:rPr>
            </w:pPr>
            <w:r>
              <w:rPr>
                <w:sz w:val="20"/>
              </w:rPr>
              <w:t>North</w:t>
            </w:r>
            <w:r>
              <w:rPr>
                <w:spacing w:val="-8"/>
                <w:sz w:val="20"/>
              </w:rPr>
              <w:t> </w:t>
            </w:r>
            <w:r>
              <w:rPr>
                <w:sz w:val="20"/>
              </w:rPr>
              <w:t>Alaskan</w:t>
            </w:r>
            <w:r>
              <w:rPr>
                <w:spacing w:val="-7"/>
                <w:sz w:val="20"/>
              </w:rPr>
              <w:t> </w:t>
            </w:r>
            <w:r>
              <w:rPr>
                <w:sz w:val="20"/>
              </w:rPr>
              <w:t>Inupiatun</w:t>
            </w:r>
            <w:r>
              <w:rPr>
                <w:spacing w:val="-6"/>
                <w:sz w:val="20"/>
              </w:rPr>
              <w:t> </w:t>
            </w:r>
            <w:r>
              <w:rPr>
                <w:spacing w:val="-2"/>
                <w:sz w:val="20"/>
              </w:rPr>
              <w:t>(esi)</w:t>
            </w:r>
          </w:p>
        </w:tc>
      </w:tr>
      <w:tr>
        <w:trPr>
          <w:trHeight w:val="229" w:hRule="atLeast"/>
        </w:trPr>
        <w:tc>
          <w:tcPr>
            <w:tcW w:w="612" w:type="dxa"/>
          </w:tcPr>
          <w:p>
            <w:pPr>
              <w:pStyle w:val="TableParagraph"/>
              <w:spacing w:line="209" w:lineRule="exact"/>
              <w:ind w:left="50"/>
              <w:rPr>
                <w:sz w:val="20"/>
              </w:rPr>
            </w:pPr>
            <w:r>
              <w:rPr>
                <w:spacing w:val="-4"/>
                <w:sz w:val="20"/>
              </w:rPr>
              <w:t>6510</w:t>
            </w:r>
          </w:p>
        </w:tc>
        <w:tc>
          <w:tcPr>
            <w:tcW w:w="3824" w:type="dxa"/>
          </w:tcPr>
          <w:p>
            <w:pPr>
              <w:pStyle w:val="TableParagraph"/>
              <w:spacing w:line="209" w:lineRule="exact"/>
              <w:ind w:left="158"/>
              <w:rPr>
                <w:sz w:val="20"/>
              </w:rPr>
            </w:pPr>
            <w:r>
              <w:rPr>
                <w:sz w:val="20"/>
              </w:rPr>
              <w:t>Ibibio</w:t>
            </w:r>
            <w:r>
              <w:rPr>
                <w:spacing w:val="-3"/>
                <w:sz w:val="20"/>
              </w:rPr>
              <w:t> </w:t>
            </w:r>
            <w:r>
              <w:rPr>
                <w:spacing w:val="-2"/>
                <w:sz w:val="20"/>
              </w:rPr>
              <w:t>(ibb)</w:t>
            </w:r>
          </w:p>
        </w:tc>
        <w:tc>
          <w:tcPr>
            <w:tcW w:w="1457" w:type="dxa"/>
          </w:tcPr>
          <w:p>
            <w:pPr>
              <w:pStyle w:val="TableParagraph"/>
              <w:spacing w:line="209" w:lineRule="exact"/>
              <w:ind w:right="108"/>
              <w:jc w:val="right"/>
              <w:rPr>
                <w:sz w:val="20"/>
              </w:rPr>
            </w:pPr>
            <w:r>
              <w:rPr>
                <w:spacing w:val="-4"/>
                <w:sz w:val="20"/>
              </w:rPr>
              <w:t>6803</w:t>
            </w:r>
          </w:p>
        </w:tc>
        <w:tc>
          <w:tcPr>
            <w:tcW w:w="3328" w:type="dxa"/>
          </w:tcPr>
          <w:p>
            <w:pPr>
              <w:pStyle w:val="TableParagraph"/>
              <w:spacing w:line="209" w:lineRule="exact"/>
              <w:ind w:left="206"/>
              <w:rPr>
                <w:sz w:val="20"/>
              </w:rPr>
            </w:pPr>
            <w:r>
              <w:rPr>
                <w:sz w:val="20"/>
              </w:rPr>
              <w:t>Northwest</w:t>
            </w:r>
            <w:r>
              <w:rPr>
                <w:spacing w:val="-7"/>
                <w:sz w:val="20"/>
              </w:rPr>
              <w:t> </w:t>
            </w:r>
            <w:r>
              <w:rPr>
                <w:sz w:val="20"/>
              </w:rPr>
              <w:t>Alaska</w:t>
            </w:r>
            <w:r>
              <w:rPr>
                <w:spacing w:val="-9"/>
                <w:sz w:val="20"/>
              </w:rPr>
              <w:t> </w:t>
            </w:r>
            <w:r>
              <w:rPr>
                <w:sz w:val="20"/>
              </w:rPr>
              <w:t>Inupiatun</w:t>
            </w:r>
            <w:r>
              <w:rPr>
                <w:spacing w:val="-9"/>
                <w:sz w:val="20"/>
              </w:rPr>
              <w:t> </w:t>
            </w:r>
            <w:r>
              <w:rPr>
                <w:spacing w:val="-2"/>
                <w:sz w:val="20"/>
              </w:rPr>
              <w:t>(esk)</w:t>
            </w:r>
          </w:p>
        </w:tc>
      </w:tr>
      <w:tr>
        <w:trPr>
          <w:trHeight w:val="229" w:hRule="atLeast"/>
        </w:trPr>
        <w:tc>
          <w:tcPr>
            <w:tcW w:w="612" w:type="dxa"/>
          </w:tcPr>
          <w:p>
            <w:pPr>
              <w:pStyle w:val="TableParagraph"/>
              <w:spacing w:line="209" w:lineRule="exact"/>
              <w:ind w:left="50"/>
              <w:rPr>
                <w:sz w:val="20"/>
              </w:rPr>
            </w:pPr>
            <w:r>
              <w:rPr>
                <w:spacing w:val="-4"/>
                <w:sz w:val="20"/>
              </w:rPr>
              <w:t>6515</w:t>
            </w:r>
          </w:p>
        </w:tc>
        <w:tc>
          <w:tcPr>
            <w:tcW w:w="3824" w:type="dxa"/>
          </w:tcPr>
          <w:p>
            <w:pPr>
              <w:pStyle w:val="TableParagraph"/>
              <w:spacing w:line="209" w:lineRule="exact"/>
              <w:ind w:left="158"/>
              <w:rPr>
                <w:sz w:val="20"/>
              </w:rPr>
            </w:pPr>
            <w:r>
              <w:rPr>
                <w:sz w:val="20"/>
              </w:rPr>
              <w:t>Ekit</w:t>
            </w:r>
            <w:r>
              <w:rPr>
                <w:spacing w:val="-7"/>
                <w:sz w:val="20"/>
              </w:rPr>
              <w:t> </w:t>
            </w:r>
            <w:r>
              <w:rPr>
                <w:spacing w:val="-2"/>
                <w:sz w:val="20"/>
              </w:rPr>
              <w:t>(eke)</w:t>
            </w:r>
          </w:p>
        </w:tc>
        <w:tc>
          <w:tcPr>
            <w:tcW w:w="1457" w:type="dxa"/>
          </w:tcPr>
          <w:p>
            <w:pPr>
              <w:pStyle w:val="TableParagraph"/>
              <w:spacing w:line="209" w:lineRule="exact"/>
              <w:ind w:right="108"/>
              <w:jc w:val="right"/>
              <w:rPr>
                <w:sz w:val="20"/>
              </w:rPr>
            </w:pPr>
            <w:r>
              <w:rPr>
                <w:spacing w:val="-4"/>
                <w:sz w:val="20"/>
              </w:rPr>
              <w:t>6804</w:t>
            </w:r>
          </w:p>
        </w:tc>
        <w:tc>
          <w:tcPr>
            <w:tcW w:w="3328" w:type="dxa"/>
          </w:tcPr>
          <w:p>
            <w:pPr>
              <w:pStyle w:val="TableParagraph"/>
              <w:spacing w:line="209" w:lineRule="exact"/>
              <w:ind w:left="206"/>
              <w:rPr>
                <w:sz w:val="20"/>
              </w:rPr>
            </w:pPr>
            <w:r>
              <w:rPr>
                <w:sz w:val="20"/>
              </w:rPr>
              <w:t>Eastern</w:t>
            </w:r>
            <w:r>
              <w:rPr>
                <w:spacing w:val="-9"/>
                <w:sz w:val="20"/>
              </w:rPr>
              <w:t> </w:t>
            </w:r>
            <w:r>
              <w:rPr>
                <w:sz w:val="20"/>
              </w:rPr>
              <w:t>Canadian</w:t>
            </w:r>
            <w:r>
              <w:rPr>
                <w:spacing w:val="-8"/>
                <w:sz w:val="20"/>
              </w:rPr>
              <w:t> </w:t>
            </w:r>
            <w:r>
              <w:rPr>
                <w:sz w:val="20"/>
              </w:rPr>
              <w:t>Inuktitut</w:t>
            </w:r>
            <w:r>
              <w:rPr>
                <w:spacing w:val="-9"/>
                <w:sz w:val="20"/>
              </w:rPr>
              <w:t> </w:t>
            </w:r>
            <w:r>
              <w:rPr>
                <w:spacing w:val="-4"/>
                <w:sz w:val="20"/>
              </w:rPr>
              <w:t>(ike)</w:t>
            </w:r>
          </w:p>
        </w:tc>
      </w:tr>
      <w:tr>
        <w:trPr>
          <w:trHeight w:val="230" w:hRule="atLeast"/>
        </w:trPr>
        <w:tc>
          <w:tcPr>
            <w:tcW w:w="612" w:type="dxa"/>
          </w:tcPr>
          <w:p>
            <w:pPr>
              <w:pStyle w:val="TableParagraph"/>
              <w:ind w:left="50"/>
              <w:rPr>
                <w:sz w:val="20"/>
              </w:rPr>
            </w:pPr>
            <w:r>
              <w:rPr>
                <w:spacing w:val="-4"/>
                <w:sz w:val="20"/>
              </w:rPr>
              <w:t>6520</w:t>
            </w:r>
          </w:p>
        </w:tc>
        <w:tc>
          <w:tcPr>
            <w:tcW w:w="3824" w:type="dxa"/>
          </w:tcPr>
          <w:p>
            <w:pPr>
              <w:pStyle w:val="TableParagraph"/>
              <w:ind w:left="158"/>
              <w:rPr>
                <w:sz w:val="20"/>
              </w:rPr>
            </w:pPr>
            <w:r>
              <w:rPr>
                <w:sz w:val="20"/>
              </w:rPr>
              <w:t>Ibino</w:t>
            </w:r>
            <w:r>
              <w:rPr>
                <w:spacing w:val="-5"/>
                <w:sz w:val="20"/>
              </w:rPr>
              <w:t> </w:t>
            </w:r>
            <w:r>
              <w:rPr>
                <w:spacing w:val="-2"/>
                <w:sz w:val="20"/>
              </w:rPr>
              <w:t>(ibn)</w:t>
            </w:r>
          </w:p>
        </w:tc>
        <w:tc>
          <w:tcPr>
            <w:tcW w:w="1457" w:type="dxa"/>
          </w:tcPr>
          <w:p>
            <w:pPr>
              <w:pStyle w:val="TableParagraph"/>
              <w:ind w:right="108"/>
              <w:jc w:val="right"/>
              <w:rPr>
                <w:sz w:val="20"/>
              </w:rPr>
            </w:pPr>
            <w:r>
              <w:rPr>
                <w:spacing w:val="-4"/>
                <w:sz w:val="20"/>
              </w:rPr>
              <w:t>6806</w:t>
            </w:r>
          </w:p>
        </w:tc>
        <w:tc>
          <w:tcPr>
            <w:tcW w:w="3328" w:type="dxa"/>
          </w:tcPr>
          <w:p>
            <w:pPr>
              <w:pStyle w:val="TableParagraph"/>
              <w:ind w:left="206"/>
              <w:rPr>
                <w:sz w:val="20"/>
              </w:rPr>
            </w:pPr>
            <w:r>
              <w:rPr>
                <w:sz w:val="20"/>
              </w:rPr>
              <w:t>Greenlandic</w:t>
            </w:r>
            <w:r>
              <w:rPr>
                <w:spacing w:val="-12"/>
                <w:sz w:val="20"/>
              </w:rPr>
              <w:t> </w:t>
            </w:r>
            <w:r>
              <w:rPr>
                <w:spacing w:val="-2"/>
                <w:sz w:val="20"/>
              </w:rPr>
              <w:t>(kal)</w:t>
            </w:r>
          </w:p>
        </w:tc>
      </w:tr>
      <w:tr>
        <w:trPr>
          <w:trHeight w:val="230" w:hRule="atLeast"/>
        </w:trPr>
        <w:tc>
          <w:tcPr>
            <w:tcW w:w="612" w:type="dxa"/>
          </w:tcPr>
          <w:p>
            <w:pPr>
              <w:pStyle w:val="TableParagraph"/>
              <w:ind w:left="50"/>
              <w:rPr>
                <w:sz w:val="20"/>
              </w:rPr>
            </w:pPr>
            <w:r>
              <w:rPr>
                <w:spacing w:val="-4"/>
                <w:sz w:val="20"/>
              </w:rPr>
              <w:t>6525</w:t>
            </w:r>
          </w:p>
        </w:tc>
        <w:tc>
          <w:tcPr>
            <w:tcW w:w="3824" w:type="dxa"/>
          </w:tcPr>
          <w:p>
            <w:pPr>
              <w:pStyle w:val="TableParagraph"/>
              <w:ind w:left="158"/>
              <w:rPr>
                <w:sz w:val="20"/>
              </w:rPr>
            </w:pPr>
            <w:r>
              <w:rPr>
                <w:sz w:val="20"/>
              </w:rPr>
              <w:t>Obolo</w:t>
            </w:r>
            <w:r>
              <w:rPr>
                <w:spacing w:val="-4"/>
                <w:sz w:val="20"/>
              </w:rPr>
              <w:t> </w:t>
            </w:r>
            <w:r>
              <w:rPr>
                <w:spacing w:val="-2"/>
                <w:sz w:val="20"/>
              </w:rPr>
              <w:t>(ann)</w:t>
            </w:r>
          </w:p>
        </w:tc>
        <w:tc>
          <w:tcPr>
            <w:tcW w:w="1457" w:type="dxa"/>
          </w:tcPr>
          <w:p>
            <w:pPr>
              <w:pStyle w:val="TableParagraph"/>
              <w:ind w:right="108"/>
              <w:jc w:val="right"/>
              <w:rPr>
                <w:sz w:val="20"/>
              </w:rPr>
            </w:pPr>
            <w:r>
              <w:rPr>
                <w:spacing w:val="-4"/>
                <w:sz w:val="20"/>
              </w:rPr>
              <w:t>6808</w:t>
            </w:r>
          </w:p>
        </w:tc>
        <w:tc>
          <w:tcPr>
            <w:tcW w:w="3328" w:type="dxa"/>
          </w:tcPr>
          <w:p>
            <w:pPr>
              <w:pStyle w:val="TableParagraph"/>
              <w:ind w:left="206"/>
              <w:rPr>
                <w:sz w:val="20"/>
              </w:rPr>
            </w:pPr>
            <w:r>
              <w:rPr>
                <w:sz w:val="20"/>
              </w:rPr>
              <w:t>Pacific</w:t>
            </w:r>
            <w:r>
              <w:rPr>
                <w:spacing w:val="-5"/>
                <w:sz w:val="20"/>
              </w:rPr>
              <w:t> </w:t>
            </w:r>
            <w:r>
              <w:rPr>
                <w:sz w:val="20"/>
              </w:rPr>
              <w:t>Gulf</w:t>
            </w:r>
            <w:r>
              <w:rPr>
                <w:spacing w:val="-6"/>
                <w:sz w:val="20"/>
              </w:rPr>
              <w:t> </w:t>
            </w:r>
            <w:r>
              <w:rPr>
                <w:sz w:val="20"/>
              </w:rPr>
              <w:t>Yupik</w:t>
            </w:r>
            <w:r>
              <w:rPr>
                <w:spacing w:val="-7"/>
                <w:sz w:val="20"/>
              </w:rPr>
              <w:t> </w:t>
            </w:r>
            <w:r>
              <w:rPr>
                <w:spacing w:val="-4"/>
                <w:sz w:val="20"/>
              </w:rPr>
              <w:t>(ems)</w:t>
            </w:r>
          </w:p>
        </w:tc>
      </w:tr>
      <w:tr>
        <w:trPr>
          <w:trHeight w:val="230" w:hRule="atLeast"/>
        </w:trPr>
        <w:tc>
          <w:tcPr>
            <w:tcW w:w="612" w:type="dxa"/>
          </w:tcPr>
          <w:p>
            <w:pPr>
              <w:pStyle w:val="TableParagraph"/>
              <w:ind w:left="50"/>
              <w:rPr>
                <w:sz w:val="20"/>
              </w:rPr>
            </w:pPr>
            <w:r>
              <w:rPr>
                <w:spacing w:val="-4"/>
                <w:sz w:val="20"/>
              </w:rPr>
              <w:t>6530</w:t>
            </w:r>
          </w:p>
        </w:tc>
        <w:tc>
          <w:tcPr>
            <w:tcW w:w="3824" w:type="dxa"/>
          </w:tcPr>
          <w:p>
            <w:pPr>
              <w:pStyle w:val="TableParagraph"/>
              <w:ind w:left="158"/>
              <w:rPr>
                <w:sz w:val="20"/>
              </w:rPr>
            </w:pPr>
            <w:r>
              <w:rPr>
                <w:sz w:val="20"/>
              </w:rPr>
              <w:t>Oro</w:t>
            </w:r>
            <w:r>
              <w:rPr>
                <w:spacing w:val="-3"/>
                <w:sz w:val="20"/>
              </w:rPr>
              <w:t> </w:t>
            </w:r>
            <w:r>
              <w:rPr>
                <w:spacing w:val="-2"/>
                <w:sz w:val="20"/>
              </w:rPr>
              <w:t>(orx)</w:t>
            </w:r>
          </w:p>
        </w:tc>
        <w:tc>
          <w:tcPr>
            <w:tcW w:w="1457" w:type="dxa"/>
          </w:tcPr>
          <w:p>
            <w:pPr>
              <w:pStyle w:val="TableParagraph"/>
              <w:ind w:right="108"/>
              <w:jc w:val="right"/>
              <w:rPr>
                <w:sz w:val="20"/>
              </w:rPr>
            </w:pPr>
            <w:r>
              <w:rPr>
                <w:spacing w:val="-4"/>
                <w:sz w:val="20"/>
              </w:rPr>
              <w:t>6809</w:t>
            </w:r>
          </w:p>
        </w:tc>
        <w:tc>
          <w:tcPr>
            <w:tcW w:w="3328" w:type="dxa"/>
          </w:tcPr>
          <w:p>
            <w:pPr>
              <w:pStyle w:val="TableParagraph"/>
              <w:ind w:left="206"/>
              <w:rPr>
                <w:sz w:val="20"/>
              </w:rPr>
            </w:pPr>
            <w:r>
              <w:rPr>
                <w:sz w:val="20"/>
              </w:rPr>
              <w:t>Central</w:t>
            </w:r>
            <w:r>
              <w:rPr>
                <w:spacing w:val="-6"/>
                <w:sz w:val="20"/>
              </w:rPr>
              <w:t> </w:t>
            </w:r>
            <w:r>
              <w:rPr>
                <w:sz w:val="20"/>
              </w:rPr>
              <w:t>Siberian</w:t>
            </w:r>
            <w:r>
              <w:rPr>
                <w:spacing w:val="-6"/>
                <w:sz w:val="20"/>
              </w:rPr>
              <w:t> </w:t>
            </w:r>
            <w:r>
              <w:rPr>
                <w:sz w:val="20"/>
              </w:rPr>
              <w:t>Yupik</w:t>
            </w:r>
            <w:r>
              <w:rPr>
                <w:spacing w:val="-7"/>
                <w:sz w:val="20"/>
              </w:rPr>
              <w:t> </w:t>
            </w:r>
            <w:r>
              <w:rPr>
                <w:spacing w:val="-4"/>
                <w:sz w:val="20"/>
              </w:rPr>
              <w:t>(ess)</w:t>
            </w:r>
          </w:p>
        </w:tc>
      </w:tr>
      <w:tr>
        <w:trPr>
          <w:trHeight w:val="230" w:hRule="atLeast"/>
        </w:trPr>
        <w:tc>
          <w:tcPr>
            <w:tcW w:w="612" w:type="dxa"/>
          </w:tcPr>
          <w:p>
            <w:pPr>
              <w:pStyle w:val="TableParagraph"/>
              <w:ind w:left="50"/>
              <w:rPr>
                <w:sz w:val="20"/>
              </w:rPr>
            </w:pPr>
            <w:r>
              <w:rPr>
                <w:spacing w:val="-4"/>
                <w:sz w:val="20"/>
              </w:rPr>
              <w:t>6535</w:t>
            </w:r>
          </w:p>
        </w:tc>
        <w:tc>
          <w:tcPr>
            <w:tcW w:w="3824" w:type="dxa"/>
          </w:tcPr>
          <w:p>
            <w:pPr>
              <w:pStyle w:val="TableParagraph"/>
              <w:ind w:left="158"/>
              <w:rPr>
                <w:sz w:val="20"/>
              </w:rPr>
            </w:pPr>
            <w:r>
              <w:rPr>
                <w:sz w:val="20"/>
              </w:rPr>
              <w:t>Eleme</w:t>
            </w:r>
            <w:r>
              <w:rPr>
                <w:spacing w:val="-8"/>
                <w:sz w:val="20"/>
              </w:rPr>
              <w:t> </w:t>
            </w:r>
            <w:r>
              <w:rPr>
                <w:spacing w:val="-2"/>
                <w:sz w:val="20"/>
              </w:rPr>
              <w:t>(elm)</w:t>
            </w:r>
          </w:p>
        </w:tc>
        <w:tc>
          <w:tcPr>
            <w:tcW w:w="1457" w:type="dxa"/>
          </w:tcPr>
          <w:p>
            <w:pPr>
              <w:pStyle w:val="TableParagraph"/>
              <w:ind w:right="108"/>
              <w:jc w:val="right"/>
              <w:rPr>
                <w:sz w:val="20"/>
              </w:rPr>
            </w:pPr>
            <w:r>
              <w:rPr>
                <w:spacing w:val="-4"/>
                <w:sz w:val="20"/>
              </w:rPr>
              <w:t>6810</w:t>
            </w:r>
          </w:p>
        </w:tc>
        <w:tc>
          <w:tcPr>
            <w:tcW w:w="3328" w:type="dxa"/>
          </w:tcPr>
          <w:p>
            <w:pPr>
              <w:pStyle w:val="TableParagraph"/>
              <w:ind w:left="206"/>
              <w:rPr>
                <w:sz w:val="20"/>
              </w:rPr>
            </w:pPr>
            <w:r>
              <w:rPr>
                <w:sz w:val="20"/>
              </w:rPr>
              <w:t>Central</w:t>
            </w:r>
            <w:r>
              <w:rPr>
                <w:spacing w:val="-7"/>
                <w:sz w:val="20"/>
              </w:rPr>
              <w:t> </w:t>
            </w:r>
            <w:r>
              <w:rPr>
                <w:sz w:val="20"/>
              </w:rPr>
              <w:t>Yupik</w:t>
            </w:r>
            <w:r>
              <w:rPr>
                <w:spacing w:val="-7"/>
                <w:sz w:val="20"/>
              </w:rPr>
              <w:t> </w:t>
            </w:r>
            <w:r>
              <w:rPr>
                <w:spacing w:val="-2"/>
                <w:sz w:val="20"/>
              </w:rPr>
              <w:t>(esu)</w:t>
            </w:r>
          </w:p>
        </w:tc>
      </w:tr>
      <w:tr>
        <w:trPr>
          <w:trHeight w:val="225" w:hRule="atLeast"/>
        </w:trPr>
        <w:tc>
          <w:tcPr>
            <w:tcW w:w="612" w:type="dxa"/>
          </w:tcPr>
          <w:p>
            <w:pPr>
              <w:pStyle w:val="TableParagraph"/>
              <w:spacing w:line="205" w:lineRule="exact"/>
              <w:ind w:left="50"/>
              <w:rPr>
                <w:sz w:val="20"/>
              </w:rPr>
            </w:pPr>
            <w:r>
              <w:rPr>
                <w:spacing w:val="-4"/>
                <w:sz w:val="20"/>
              </w:rPr>
              <w:t>6540</w:t>
            </w:r>
          </w:p>
        </w:tc>
        <w:tc>
          <w:tcPr>
            <w:tcW w:w="3824" w:type="dxa"/>
          </w:tcPr>
          <w:p>
            <w:pPr>
              <w:pStyle w:val="TableParagraph"/>
              <w:spacing w:line="205" w:lineRule="exact"/>
              <w:ind w:left="158"/>
              <w:rPr>
                <w:sz w:val="20"/>
              </w:rPr>
            </w:pPr>
            <w:r>
              <w:rPr>
                <w:sz w:val="20"/>
              </w:rPr>
              <w:t>Gokana</w:t>
            </w:r>
            <w:r>
              <w:rPr>
                <w:spacing w:val="-9"/>
                <w:sz w:val="20"/>
              </w:rPr>
              <w:t> </w:t>
            </w:r>
            <w:r>
              <w:rPr>
                <w:spacing w:val="-2"/>
                <w:sz w:val="20"/>
              </w:rPr>
              <w:t>(gkn)</w:t>
            </w:r>
          </w:p>
        </w:tc>
        <w:tc>
          <w:tcPr>
            <w:tcW w:w="1457" w:type="dxa"/>
          </w:tcPr>
          <w:p>
            <w:pPr>
              <w:pStyle w:val="TableParagraph"/>
              <w:spacing w:line="240" w:lineRule="auto"/>
              <w:rPr>
                <w:sz w:val="16"/>
              </w:rPr>
            </w:pPr>
          </w:p>
        </w:tc>
        <w:tc>
          <w:tcPr>
            <w:tcW w:w="3328" w:type="dxa"/>
          </w:tcPr>
          <w:p>
            <w:pPr>
              <w:pStyle w:val="TableParagraph"/>
              <w:spacing w:line="240" w:lineRule="auto"/>
              <w:rPr>
                <w:sz w:val="16"/>
              </w:rPr>
            </w:pPr>
          </w:p>
        </w:tc>
      </w:tr>
      <w:tr>
        <w:trPr>
          <w:trHeight w:val="227" w:hRule="atLeast"/>
        </w:trPr>
        <w:tc>
          <w:tcPr>
            <w:tcW w:w="9221" w:type="dxa"/>
            <w:gridSpan w:val="4"/>
          </w:tcPr>
          <w:p>
            <w:pPr>
              <w:pStyle w:val="TableParagraph"/>
              <w:tabs>
                <w:tab w:pos="770" w:val="left" w:leader="none"/>
                <w:tab w:pos="5378" w:val="left" w:leader="none"/>
              </w:tabs>
              <w:spacing w:line="208" w:lineRule="exact"/>
              <w:ind w:left="50"/>
              <w:rPr>
                <w:i/>
                <w:sz w:val="20"/>
              </w:rPr>
            </w:pPr>
            <w:r>
              <w:rPr>
                <w:spacing w:val="-4"/>
                <w:sz w:val="20"/>
              </w:rPr>
              <w:t>6545</w:t>
            </w:r>
            <w:r>
              <w:rPr>
                <w:sz w:val="20"/>
              </w:rPr>
              <w:tab/>
              <w:t>Khana</w:t>
            </w:r>
            <w:r>
              <w:rPr>
                <w:spacing w:val="-7"/>
                <w:sz w:val="20"/>
              </w:rPr>
              <w:t> </w:t>
            </w:r>
            <w:r>
              <w:rPr>
                <w:spacing w:val="-4"/>
                <w:sz w:val="20"/>
              </w:rPr>
              <w:t>(ogo)</w:t>
            </w:r>
            <w:r>
              <w:rPr>
                <w:sz w:val="20"/>
              </w:rPr>
              <w:tab/>
            </w:r>
            <w:r>
              <w:rPr>
                <w:i/>
                <w:sz w:val="20"/>
              </w:rPr>
              <w:t>Algonquian</w:t>
            </w:r>
            <w:r>
              <w:rPr>
                <w:i/>
                <w:spacing w:val="-11"/>
                <w:sz w:val="20"/>
              </w:rPr>
              <w:t> </w:t>
            </w:r>
            <w:r>
              <w:rPr>
                <w:i/>
                <w:sz w:val="20"/>
              </w:rPr>
              <w:t>languages</w:t>
            </w:r>
            <w:r>
              <w:rPr>
                <w:i/>
                <w:spacing w:val="-9"/>
                <w:sz w:val="20"/>
              </w:rPr>
              <w:t> </w:t>
            </w:r>
            <w:r>
              <w:rPr>
                <w:i/>
                <w:sz w:val="20"/>
              </w:rPr>
              <w:t>(6815-</w:t>
            </w:r>
            <w:r>
              <w:rPr>
                <w:i/>
                <w:spacing w:val="-2"/>
                <w:sz w:val="20"/>
              </w:rPr>
              <w:t>6848)</w:t>
            </w:r>
          </w:p>
        </w:tc>
      </w:tr>
      <w:tr>
        <w:trPr>
          <w:trHeight w:val="235" w:hRule="atLeast"/>
        </w:trPr>
        <w:tc>
          <w:tcPr>
            <w:tcW w:w="612" w:type="dxa"/>
          </w:tcPr>
          <w:p>
            <w:pPr>
              <w:pStyle w:val="TableParagraph"/>
              <w:spacing w:line="205" w:lineRule="exact"/>
              <w:ind w:left="50"/>
              <w:rPr>
                <w:sz w:val="20"/>
              </w:rPr>
            </w:pPr>
            <w:r>
              <w:rPr>
                <w:spacing w:val="-4"/>
                <w:sz w:val="20"/>
              </w:rPr>
              <w:t>6550</w:t>
            </w:r>
          </w:p>
        </w:tc>
        <w:tc>
          <w:tcPr>
            <w:tcW w:w="3824" w:type="dxa"/>
          </w:tcPr>
          <w:p>
            <w:pPr>
              <w:pStyle w:val="TableParagraph"/>
              <w:spacing w:line="205" w:lineRule="exact"/>
              <w:ind w:left="158"/>
              <w:rPr>
                <w:sz w:val="20"/>
              </w:rPr>
            </w:pPr>
            <w:r>
              <w:rPr>
                <w:sz w:val="20"/>
              </w:rPr>
              <w:t>Tee</w:t>
            </w:r>
            <w:r>
              <w:rPr>
                <w:spacing w:val="-3"/>
                <w:sz w:val="20"/>
              </w:rPr>
              <w:t> </w:t>
            </w:r>
            <w:r>
              <w:rPr>
                <w:spacing w:val="-4"/>
                <w:sz w:val="20"/>
              </w:rPr>
              <w:t>(tkq)</w:t>
            </w:r>
          </w:p>
        </w:tc>
        <w:tc>
          <w:tcPr>
            <w:tcW w:w="1457" w:type="dxa"/>
          </w:tcPr>
          <w:p>
            <w:pPr>
              <w:pStyle w:val="TableParagraph"/>
              <w:spacing w:line="205" w:lineRule="exact"/>
              <w:ind w:right="108"/>
              <w:jc w:val="right"/>
              <w:rPr>
                <w:sz w:val="20"/>
              </w:rPr>
            </w:pPr>
            <w:r>
              <w:rPr>
                <w:spacing w:val="-4"/>
                <w:sz w:val="20"/>
              </w:rPr>
              <w:t>6815</w:t>
            </w:r>
          </w:p>
        </w:tc>
        <w:tc>
          <w:tcPr>
            <w:tcW w:w="3328" w:type="dxa"/>
          </w:tcPr>
          <w:p>
            <w:pPr>
              <w:pStyle w:val="TableParagraph"/>
              <w:spacing w:line="205" w:lineRule="exact"/>
              <w:ind w:left="206"/>
              <w:rPr>
                <w:sz w:val="20"/>
              </w:rPr>
            </w:pPr>
            <w:r>
              <w:rPr>
                <w:sz w:val="20"/>
              </w:rPr>
              <w:t>Algonquin</w:t>
            </w:r>
            <w:r>
              <w:rPr>
                <w:spacing w:val="-11"/>
                <w:sz w:val="20"/>
              </w:rPr>
              <w:t> </w:t>
            </w:r>
            <w:r>
              <w:rPr>
                <w:spacing w:val="-2"/>
                <w:sz w:val="20"/>
              </w:rPr>
              <w:t>(alq)</w:t>
            </w:r>
          </w:p>
        </w:tc>
      </w:tr>
      <w:tr>
        <w:trPr>
          <w:trHeight w:val="230" w:hRule="atLeast"/>
        </w:trPr>
        <w:tc>
          <w:tcPr>
            <w:tcW w:w="612" w:type="dxa"/>
          </w:tcPr>
          <w:p>
            <w:pPr>
              <w:pStyle w:val="TableParagraph"/>
              <w:spacing w:line="211" w:lineRule="exact"/>
              <w:ind w:left="50"/>
              <w:rPr>
                <w:sz w:val="20"/>
              </w:rPr>
            </w:pPr>
            <w:r>
              <w:rPr>
                <w:spacing w:val="-4"/>
                <w:sz w:val="20"/>
              </w:rPr>
              <w:t>6555</w:t>
            </w:r>
          </w:p>
        </w:tc>
        <w:tc>
          <w:tcPr>
            <w:tcW w:w="3824" w:type="dxa"/>
          </w:tcPr>
          <w:p>
            <w:pPr>
              <w:pStyle w:val="TableParagraph"/>
              <w:spacing w:line="211" w:lineRule="exact"/>
              <w:ind w:left="158"/>
              <w:rPr>
                <w:sz w:val="20"/>
              </w:rPr>
            </w:pPr>
            <w:r>
              <w:rPr>
                <w:sz w:val="20"/>
              </w:rPr>
              <w:t>Abua</w:t>
            </w:r>
            <w:r>
              <w:rPr>
                <w:spacing w:val="-7"/>
                <w:sz w:val="20"/>
              </w:rPr>
              <w:t> </w:t>
            </w:r>
            <w:r>
              <w:rPr>
                <w:spacing w:val="-2"/>
                <w:sz w:val="20"/>
              </w:rPr>
              <w:t>(abn)</w:t>
            </w:r>
          </w:p>
        </w:tc>
        <w:tc>
          <w:tcPr>
            <w:tcW w:w="1457" w:type="dxa"/>
          </w:tcPr>
          <w:p>
            <w:pPr>
              <w:pStyle w:val="TableParagraph"/>
              <w:spacing w:line="211" w:lineRule="exact"/>
              <w:ind w:right="108"/>
              <w:jc w:val="right"/>
              <w:rPr>
                <w:sz w:val="20"/>
              </w:rPr>
            </w:pPr>
            <w:r>
              <w:rPr>
                <w:spacing w:val="-4"/>
                <w:sz w:val="20"/>
              </w:rPr>
              <w:t>6817</w:t>
            </w:r>
          </w:p>
        </w:tc>
        <w:tc>
          <w:tcPr>
            <w:tcW w:w="3328" w:type="dxa"/>
          </w:tcPr>
          <w:p>
            <w:pPr>
              <w:pStyle w:val="TableParagraph"/>
              <w:spacing w:line="211" w:lineRule="exact"/>
              <w:ind w:left="206"/>
              <w:rPr>
                <w:sz w:val="20"/>
              </w:rPr>
            </w:pPr>
            <w:r>
              <w:rPr>
                <w:spacing w:val="-2"/>
                <w:sz w:val="20"/>
              </w:rPr>
              <w:t>Mohegan-Pequot</w:t>
            </w:r>
            <w:r>
              <w:rPr>
                <w:spacing w:val="13"/>
                <w:sz w:val="20"/>
              </w:rPr>
              <w:t> </w:t>
            </w:r>
            <w:r>
              <w:rPr>
                <w:spacing w:val="-4"/>
                <w:sz w:val="20"/>
              </w:rPr>
              <w:t>(xpq)</w:t>
            </w:r>
          </w:p>
        </w:tc>
      </w:tr>
      <w:tr>
        <w:trPr>
          <w:trHeight w:val="230" w:hRule="atLeast"/>
        </w:trPr>
        <w:tc>
          <w:tcPr>
            <w:tcW w:w="612" w:type="dxa"/>
          </w:tcPr>
          <w:p>
            <w:pPr>
              <w:pStyle w:val="TableParagraph"/>
              <w:spacing w:line="211" w:lineRule="exact"/>
              <w:ind w:left="50"/>
              <w:rPr>
                <w:sz w:val="20"/>
              </w:rPr>
            </w:pPr>
            <w:r>
              <w:rPr>
                <w:spacing w:val="-4"/>
                <w:sz w:val="20"/>
              </w:rPr>
              <w:t>6560</w:t>
            </w:r>
          </w:p>
        </w:tc>
        <w:tc>
          <w:tcPr>
            <w:tcW w:w="3824" w:type="dxa"/>
          </w:tcPr>
          <w:p>
            <w:pPr>
              <w:pStyle w:val="TableParagraph"/>
              <w:spacing w:line="211" w:lineRule="exact"/>
              <w:ind w:left="158"/>
              <w:rPr>
                <w:sz w:val="20"/>
              </w:rPr>
            </w:pPr>
            <w:r>
              <w:rPr>
                <w:spacing w:val="-2"/>
                <w:sz w:val="20"/>
              </w:rPr>
              <w:t>Agwagwune</w:t>
            </w:r>
            <w:r>
              <w:rPr>
                <w:spacing w:val="4"/>
                <w:sz w:val="20"/>
              </w:rPr>
              <w:t> </w:t>
            </w:r>
            <w:r>
              <w:rPr>
                <w:spacing w:val="-2"/>
                <w:sz w:val="20"/>
              </w:rPr>
              <w:t>(yay)</w:t>
            </w:r>
          </w:p>
        </w:tc>
        <w:tc>
          <w:tcPr>
            <w:tcW w:w="1457" w:type="dxa"/>
          </w:tcPr>
          <w:p>
            <w:pPr>
              <w:pStyle w:val="TableParagraph"/>
              <w:spacing w:line="211" w:lineRule="exact"/>
              <w:ind w:right="108"/>
              <w:jc w:val="right"/>
              <w:rPr>
                <w:sz w:val="20"/>
              </w:rPr>
            </w:pPr>
            <w:r>
              <w:rPr>
                <w:spacing w:val="-4"/>
                <w:sz w:val="20"/>
              </w:rPr>
              <w:t>6818</w:t>
            </w:r>
          </w:p>
        </w:tc>
        <w:tc>
          <w:tcPr>
            <w:tcW w:w="3328" w:type="dxa"/>
          </w:tcPr>
          <w:p>
            <w:pPr>
              <w:pStyle w:val="TableParagraph"/>
              <w:spacing w:line="211" w:lineRule="exact"/>
              <w:ind w:left="206"/>
              <w:rPr>
                <w:sz w:val="20"/>
              </w:rPr>
            </w:pPr>
            <w:r>
              <w:rPr>
                <w:sz w:val="20"/>
              </w:rPr>
              <w:t>Narragansett</w:t>
            </w:r>
            <w:r>
              <w:rPr>
                <w:spacing w:val="-12"/>
                <w:sz w:val="20"/>
              </w:rPr>
              <w:t> </w:t>
            </w:r>
            <w:r>
              <w:rPr>
                <w:spacing w:val="-2"/>
                <w:sz w:val="20"/>
              </w:rPr>
              <w:t>(xnt)</w:t>
            </w:r>
          </w:p>
        </w:tc>
      </w:tr>
      <w:tr>
        <w:trPr>
          <w:trHeight w:val="230" w:hRule="atLeast"/>
        </w:trPr>
        <w:tc>
          <w:tcPr>
            <w:tcW w:w="612" w:type="dxa"/>
          </w:tcPr>
          <w:p>
            <w:pPr>
              <w:pStyle w:val="TableParagraph"/>
              <w:ind w:left="50"/>
              <w:rPr>
                <w:sz w:val="20"/>
              </w:rPr>
            </w:pPr>
            <w:r>
              <w:rPr>
                <w:spacing w:val="-4"/>
                <w:sz w:val="20"/>
              </w:rPr>
              <w:t>6563</w:t>
            </w:r>
          </w:p>
        </w:tc>
        <w:tc>
          <w:tcPr>
            <w:tcW w:w="3824" w:type="dxa"/>
          </w:tcPr>
          <w:p>
            <w:pPr>
              <w:pStyle w:val="TableParagraph"/>
              <w:ind w:left="158"/>
              <w:rPr>
                <w:sz w:val="20"/>
              </w:rPr>
            </w:pPr>
            <w:r>
              <w:rPr>
                <w:sz w:val="20"/>
              </w:rPr>
              <w:t>Kohumono</w:t>
            </w:r>
            <w:r>
              <w:rPr>
                <w:spacing w:val="-11"/>
                <w:sz w:val="20"/>
              </w:rPr>
              <w:t> </w:t>
            </w:r>
            <w:r>
              <w:rPr>
                <w:spacing w:val="-4"/>
                <w:sz w:val="20"/>
              </w:rPr>
              <w:t>(bcs)</w:t>
            </w:r>
          </w:p>
        </w:tc>
        <w:tc>
          <w:tcPr>
            <w:tcW w:w="1457" w:type="dxa"/>
          </w:tcPr>
          <w:p>
            <w:pPr>
              <w:pStyle w:val="TableParagraph"/>
              <w:ind w:right="108"/>
              <w:jc w:val="right"/>
              <w:rPr>
                <w:sz w:val="20"/>
              </w:rPr>
            </w:pPr>
            <w:r>
              <w:rPr>
                <w:spacing w:val="-4"/>
                <w:sz w:val="20"/>
              </w:rPr>
              <w:t>6819</w:t>
            </w:r>
          </w:p>
        </w:tc>
        <w:tc>
          <w:tcPr>
            <w:tcW w:w="3328" w:type="dxa"/>
          </w:tcPr>
          <w:p>
            <w:pPr>
              <w:pStyle w:val="TableParagraph"/>
              <w:ind w:left="206"/>
              <w:rPr>
                <w:sz w:val="20"/>
              </w:rPr>
            </w:pPr>
            <w:r>
              <w:rPr>
                <w:sz w:val="20"/>
              </w:rPr>
              <w:t>Powhatan</w:t>
            </w:r>
            <w:r>
              <w:rPr>
                <w:spacing w:val="-10"/>
                <w:sz w:val="20"/>
              </w:rPr>
              <w:t> </w:t>
            </w:r>
            <w:r>
              <w:rPr>
                <w:spacing w:val="-2"/>
                <w:sz w:val="20"/>
              </w:rPr>
              <w:t>(pim)</w:t>
            </w:r>
          </w:p>
        </w:tc>
      </w:tr>
      <w:tr>
        <w:trPr>
          <w:trHeight w:val="229" w:hRule="atLeast"/>
        </w:trPr>
        <w:tc>
          <w:tcPr>
            <w:tcW w:w="612" w:type="dxa"/>
          </w:tcPr>
          <w:p>
            <w:pPr>
              <w:pStyle w:val="TableParagraph"/>
              <w:spacing w:line="209" w:lineRule="exact"/>
              <w:ind w:left="50"/>
              <w:rPr>
                <w:sz w:val="20"/>
              </w:rPr>
            </w:pPr>
            <w:r>
              <w:rPr>
                <w:spacing w:val="-4"/>
                <w:sz w:val="20"/>
              </w:rPr>
              <w:t>6565</w:t>
            </w:r>
          </w:p>
        </w:tc>
        <w:tc>
          <w:tcPr>
            <w:tcW w:w="3824" w:type="dxa"/>
          </w:tcPr>
          <w:p>
            <w:pPr>
              <w:pStyle w:val="TableParagraph"/>
              <w:spacing w:line="209" w:lineRule="exact"/>
              <w:ind w:left="158"/>
              <w:rPr>
                <w:sz w:val="20"/>
              </w:rPr>
            </w:pPr>
            <w:r>
              <w:rPr>
                <w:sz w:val="20"/>
              </w:rPr>
              <w:t>Legbo</w:t>
            </w:r>
            <w:r>
              <w:rPr>
                <w:spacing w:val="-6"/>
                <w:sz w:val="20"/>
              </w:rPr>
              <w:t> </w:t>
            </w:r>
            <w:r>
              <w:rPr>
                <w:spacing w:val="-2"/>
                <w:sz w:val="20"/>
              </w:rPr>
              <w:t>(agb)</w:t>
            </w:r>
          </w:p>
        </w:tc>
        <w:tc>
          <w:tcPr>
            <w:tcW w:w="1457" w:type="dxa"/>
          </w:tcPr>
          <w:p>
            <w:pPr>
              <w:pStyle w:val="TableParagraph"/>
              <w:spacing w:line="209" w:lineRule="exact"/>
              <w:ind w:right="108"/>
              <w:jc w:val="right"/>
              <w:rPr>
                <w:sz w:val="20"/>
              </w:rPr>
            </w:pPr>
            <w:r>
              <w:rPr>
                <w:spacing w:val="-4"/>
                <w:sz w:val="20"/>
              </w:rPr>
              <w:t>6820</w:t>
            </w:r>
          </w:p>
        </w:tc>
        <w:tc>
          <w:tcPr>
            <w:tcW w:w="3328" w:type="dxa"/>
          </w:tcPr>
          <w:p>
            <w:pPr>
              <w:pStyle w:val="TableParagraph"/>
              <w:spacing w:line="209" w:lineRule="exact"/>
              <w:ind w:left="206"/>
              <w:rPr>
                <w:sz w:val="20"/>
              </w:rPr>
            </w:pPr>
            <w:r>
              <w:rPr>
                <w:sz w:val="20"/>
              </w:rPr>
              <w:t>Wampanoag</w:t>
            </w:r>
            <w:r>
              <w:rPr>
                <w:spacing w:val="-13"/>
                <w:sz w:val="20"/>
              </w:rPr>
              <w:t> </w:t>
            </w:r>
            <w:r>
              <w:rPr>
                <w:spacing w:val="-4"/>
                <w:sz w:val="20"/>
              </w:rPr>
              <w:t>(wam)</w:t>
            </w:r>
          </w:p>
        </w:tc>
      </w:tr>
      <w:tr>
        <w:trPr>
          <w:trHeight w:val="229" w:hRule="atLeast"/>
        </w:trPr>
        <w:tc>
          <w:tcPr>
            <w:tcW w:w="612" w:type="dxa"/>
          </w:tcPr>
          <w:p>
            <w:pPr>
              <w:pStyle w:val="TableParagraph"/>
              <w:spacing w:line="209" w:lineRule="exact"/>
              <w:ind w:left="50"/>
              <w:rPr>
                <w:sz w:val="20"/>
              </w:rPr>
            </w:pPr>
            <w:r>
              <w:rPr>
                <w:spacing w:val="-4"/>
                <w:sz w:val="20"/>
              </w:rPr>
              <w:t>6570</w:t>
            </w:r>
          </w:p>
        </w:tc>
        <w:tc>
          <w:tcPr>
            <w:tcW w:w="3824" w:type="dxa"/>
          </w:tcPr>
          <w:p>
            <w:pPr>
              <w:pStyle w:val="TableParagraph"/>
              <w:spacing w:line="209" w:lineRule="exact"/>
              <w:ind w:left="158"/>
              <w:rPr>
                <w:sz w:val="20"/>
              </w:rPr>
            </w:pPr>
            <w:r>
              <w:rPr>
                <w:sz w:val="20"/>
              </w:rPr>
              <w:t>Lokaa</w:t>
            </w:r>
            <w:r>
              <w:rPr>
                <w:spacing w:val="-8"/>
                <w:sz w:val="20"/>
              </w:rPr>
              <w:t> </w:t>
            </w:r>
            <w:r>
              <w:rPr>
                <w:spacing w:val="-2"/>
                <w:sz w:val="20"/>
              </w:rPr>
              <w:t>(yaz)</w:t>
            </w:r>
          </w:p>
        </w:tc>
        <w:tc>
          <w:tcPr>
            <w:tcW w:w="1457" w:type="dxa"/>
          </w:tcPr>
          <w:p>
            <w:pPr>
              <w:pStyle w:val="TableParagraph"/>
              <w:spacing w:line="209" w:lineRule="exact"/>
              <w:ind w:right="108"/>
              <w:jc w:val="right"/>
              <w:rPr>
                <w:sz w:val="20"/>
              </w:rPr>
            </w:pPr>
            <w:r>
              <w:rPr>
                <w:spacing w:val="-4"/>
                <w:sz w:val="20"/>
              </w:rPr>
              <w:t>6821</w:t>
            </w:r>
          </w:p>
        </w:tc>
        <w:tc>
          <w:tcPr>
            <w:tcW w:w="3328" w:type="dxa"/>
          </w:tcPr>
          <w:p>
            <w:pPr>
              <w:pStyle w:val="TableParagraph"/>
              <w:spacing w:line="209" w:lineRule="exact"/>
              <w:ind w:left="206"/>
              <w:rPr>
                <w:sz w:val="20"/>
              </w:rPr>
            </w:pPr>
            <w:r>
              <w:rPr>
                <w:sz w:val="20"/>
              </w:rPr>
              <w:t>Lumbee</w:t>
            </w:r>
            <w:r>
              <w:rPr>
                <w:spacing w:val="-9"/>
                <w:sz w:val="20"/>
              </w:rPr>
              <w:t> </w:t>
            </w:r>
            <w:r>
              <w:rPr>
                <w:spacing w:val="-2"/>
                <w:sz w:val="20"/>
              </w:rPr>
              <w:t>(lmz)</w:t>
            </w:r>
          </w:p>
        </w:tc>
      </w:tr>
      <w:tr>
        <w:trPr>
          <w:trHeight w:val="230" w:hRule="atLeast"/>
        </w:trPr>
        <w:tc>
          <w:tcPr>
            <w:tcW w:w="612" w:type="dxa"/>
          </w:tcPr>
          <w:p>
            <w:pPr>
              <w:pStyle w:val="TableParagraph"/>
              <w:ind w:left="50"/>
              <w:rPr>
                <w:sz w:val="20"/>
              </w:rPr>
            </w:pPr>
            <w:r>
              <w:rPr>
                <w:spacing w:val="-4"/>
                <w:sz w:val="20"/>
              </w:rPr>
              <w:t>6575</w:t>
            </w:r>
          </w:p>
        </w:tc>
        <w:tc>
          <w:tcPr>
            <w:tcW w:w="3824" w:type="dxa"/>
          </w:tcPr>
          <w:p>
            <w:pPr>
              <w:pStyle w:val="TableParagraph"/>
              <w:ind w:left="158"/>
              <w:rPr>
                <w:sz w:val="20"/>
              </w:rPr>
            </w:pPr>
            <w:r>
              <w:rPr>
                <w:spacing w:val="-2"/>
                <w:sz w:val="20"/>
              </w:rPr>
              <w:t>Olulumo-Ikom</w:t>
            </w:r>
            <w:r>
              <w:rPr>
                <w:spacing w:val="11"/>
                <w:sz w:val="20"/>
              </w:rPr>
              <w:t> </w:t>
            </w:r>
            <w:r>
              <w:rPr>
                <w:spacing w:val="-2"/>
                <w:sz w:val="20"/>
              </w:rPr>
              <w:t>(iko)</w:t>
            </w:r>
          </w:p>
        </w:tc>
        <w:tc>
          <w:tcPr>
            <w:tcW w:w="1457" w:type="dxa"/>
          </w:tcPr>
          <w:p>
            <w:pPr>
              <w:pStyle w:val="TableParagraph"/>
              <w:ind w:right="108"/>
              <w:jc w:val="right"/>
              <w:rPr>
                <w:sz w:val="20"/>
              </w:rPr>
            </w:pPr>
            <w:r>
              <w:rPr>
                <w:spacing w:val="-4"/>
                <w:sz w:val="20"/>
              </w:rPr>
              <w:t>6822</w:t>
            </w:r>
          </w:p>
        </w:tc>
        <w:tc>
          <w:tcPr>
            <w:tcW w:w="3328" w:type="dxa"/>
          </w:tcPr>
          <w:p>
            <w:pPr>
              <w:pStyle w:val="TableParagraph"/>
              <w:ind w:left="206"/>
              <w:rPr>
                <w:sz w:val="20"/>
              </w:rPr>
            </w:pPr>
            <w:r>
              <w:rPr>
                <w:sz w:val="20"/>
              </w:rPr>
              <w:t>Arapaho</w:t>
            </w:r>
            <w:r>
              <w:rPr>
                <w:spacing w:val="-9"/>
                <w:sz w:val="20"/>
              </w:rPr>
              <w:t> </w:t>
            </w:r>
            <w:r>
              <w:rPr>
                <w:spacing w:val="-2"/>
                <w:sz w:val="20"/>
              </w:rPr>
              <w:t>(arp)</w:t>
            </w:r>
          </w:p>
        </w:tc>
      </w:tr>
      <w:tr>
        <w:trPr>
          <w:trHeight w:val="230" w:hRule="atLeast"/>
        </w:trPr>
        <w:tc>
          <w:tcPr>
            <w:tcW w:w="612" w:type="dxa"/>
          </w:tcPr>
          <w:p>
            <w:pPr>
              <w:pStyle w:val="TableParagraph"/>
              <w:ind w:left="50"/>
              <w:rPr>
                <w:sz w:val="20"/>
              </w:rPr>
            </w:pPr>
            <w:r>
              <w:rPr>
                <w:spacing w:val="-4"/>
                <w:sz w:val="20"/>
              </w:rPr>
              <w:t>6580</w:t>
            </w:r>
          </w:p>
        </w:tc>
        <w:tc>
          <w:tcPr>
            <w:tcW w:w="3824" w:type="dxa"/>
          </w:tcPr>
          <w:p>
            <w:pPr>
              <w:pStyle w:val="TableParagraph"/>
              <w:ind w:left="158"/>
              <w:rPr>
                <w:sz w:val="20"/>
              </w:rPr>
            </w:pPr>
            <w:r>
              <w:rPr>
                <w:sz w:val="20"/>
              </w:rPr>
              <w:t>Bete-Bendi</w:t>
            </w:r>
            <w:r>
              <w:rPr>
                <w:spacing w:val="-11"/>
                <w:sz w:val="20"/>
              </w:rPr>
              <w:t> </w:t>
            </w:r>
            <w:r>
              <w:rPr>
                <w:spacing w:val="-2"/>
                <w:sz w:val="20"/>
              </w:rPr>
              <w:t>(btt)</w:t>
            </w:r>
          </w:p>
        </w:tc>
        <w:tc>
          <w:tcPr>
            <w:tcW w:w="1457" w:type="dxa"/>
          </w:tcPr>
          <w:p>
            <w:pPr>
              <w:pStyle w:val="TableParagraph"/>
              <w:ind w:right="108"/>
              <w:jc w:val="right"/>
              <w:rPr>
                <w:sz w:val="20"/>
              </w:rPr>
            </w:pPr>
            <w:r>
              <w:rPr>
                <w:spacing w:val="-4"/>
                <w:sz w:val="20"/>
              </w:rPr>
              <w:t>6823</w:t>
            </w:r>
          </w:p>
        </w:tc>
        <w:tc>
          <w:tcPr>
            <w:tcW w:w="3328" w:type="dxa"/>
          </w:tcPr>
          <w:p>
            <w:pPr>
              <w:pStyle w:val="TableParagraph"/>
              <w:ind w:left="206"/>
              <w:rPr>
                <w:sz w:val="20"/>
              </w:rPr>
            </w:pPr>
            <w:r>
              <w:rPr>
                <w:sz w:val="20"/>
              </w:rPr>
              <w:t>Gros</w:t>
            </w:r>
            <w:r>
              <w:rPr>
                <w:spacing w:val="-6"/>
                <w:sz w:val="20"/>
              </w:rPr>
              <w:t> </w:t>
            </w:r>
            <w:r>
              <w:rPr>
                <w:sz w:val="20"/>
              </w:rPr>
              <w:t>Ventre</w:t>
            </w:r>
            <w:r>
              <w:rPr>
                <w:spacing w:val="-5"/>
                <w:sz w:val="20"/>
              </w:rPr>
              <w:t> </w:t>
            </w:r>
            <w:r>
              <w:rPr>
                <w:spacing w:val="-2"/>
                <w:sz w:val="20"/>
              </w:rPr>
              <w:t>(ats)</w:t>
            </w:r>
          </w:p>
        </w:tc>
      </w:tr>
      <w:tr>
        <w:trPr>
          <w:trHeight w:val="230" w:hRule="atLeast"/>
        </w:trPr>
        <w:tc>
          <w:tcPr>
            <w:tcW w:w="612" w:type="dxa"/>
          </w:tcPr>
          <w:p>
            <w:pPr>
              <w:pStyle w:val="TableParagraph"/>
              <w:ind w:left="50"/>
              <w:rPr>
                <w:sz w:val="20"/>
              </w:rPr>
            </w:pPr>
            <w:r>
              <w:rPr>
                <w:spacing w:val="-4"/>
                <w:sz w:val="20"/>
              </w:rPr>
              <w:t>6585</w:t>
            </w:r>
          </w:p>
        </w:tc>
        <w:tc>
          <w:tcPr>
            <w:tcW w:w="3824" w:type="dxa"/>
          </w:tcPr>
          <w:p>
            <w:pPr>
              <w:pStyle w:val="TableParagraph"/>
              <w:ind w:left="158"/>
              <w:rPr>
                <w:sz w:val="20"/>
              </w:rPr>
            </w:pPr>
            <w:r>
              <w:rPr>
                <w:sz w:val="20"/>
              </w:rPr>
              <w:t>Bokyi</w:t>
            </w:r>
            <w:r>
              <w:rPr>
                <w:spacing w:val="-7"/>
                <w:sz w:val="20"/>
              </w:rPr>
              <w:t> </w:t>
            </w:r>
            <w:r>
              <w:rPr>
                <w:spacing w:val="-2"/>
                <w:sz w:val="20"/>
              </w:rPr>
              <w:t>(bky)</w:t>
            </w:r>
          </w:p>
        </w:tc>
        <w:tc>
          <w:tcPr>
            <w:tcW w:w="1457" w:type="dxa"/>
          </w:tcPr>
          <w:p>
            <w:pPr>
              <w:pStyle w:val="TableParagraph"/>
              <w:ind w:right="108"/>
              <w:jc w:val="right"/>
              <w:rPr>
                <w:sz w:val="20"/>
              </w:rPr>
            </w:pPr>
            <w:r>
              <w:rPr>
                <w:spacing w:val="-4"/>
                <w:sz w:val="20"/>
              </w:rPr>
              <w:t>6824</w:t>
            </w:r>
          </w:p>
        </w:tc>
        <w:tc>
          <w:tcPr>
            <w:tcW w:w="3328" w:type="dxa"/>
          </w:tcPr>
          <w:p>
            <w:pPr>
              <w:pStyle w:val="TableParagraph"/>
              <w:ind w:left="206"/>
              <w:rPr>
                <w:sz w:val="20"/>
              </w:rPr>
            </w:pPr>
            <w:r>
              <w:rPr>
                <w:sz w:val="20"/>
              </w:rPr>
              <w:t>Siksika</w:t>
            </w:r>
            <w:r>
              <w:rPr>
                <w:spacing w:val="-9"/>
                <w:sz w:val="20"/>
              </w:rPr>
              <w:t> </w:t>
            </w:r>
            <w:r>
              <w:rPr>
                <w:spacing w:val="-2"/>
                <w:sz w:val="20"/>
              </w:rPr>
              <w:t>(bla)</w:t>
            </w:r>
          </w:p>
        </w:tc>
      </w:tr>
      <w:tr>
        <w:trPr>
          <w:trHeight w:val="229" w:hRule="atLeast"/>
        </w:trPr>
        <w:tc>
          <w:tcPr>
            <w:tcW w:w="612" w:type="dxa"/>
          </w:tcPr>
          <w:p>
            <w:pPr>
              <w:pStyle w:val="TableParagraph"/>
              <w:spacing w:line="209" w:lineRule="exact"/>
              <w:ind w:left="50"/>
              <w:rPr>
                <w:sz w:val="20"/>
              </w:rPr>
            </w:pPr>
            <w:r>
              <w:rPr>
                <w:spacing w:val="-4"/>
                <w:sz w:val="20"/>
              </w:rPr>
              <w:t>6590</w:t>
            </w:r>
          </w:p>
        </w:tc>
        <w:tc>
          <w:tcPr>
            <w:tcW w:w="3824" w:type="dxa"/>
          </w:tcPr>
          <w:p>
            <w:pPr>
              <w:pStyle w:val="TableParagraph"/>
              <w:spacing w:line="209" w:lineRule="exact"/>
              <w:ind w:left="158"/>
              <w:rPr>
                <w:sz w:val="20"/>
              </w:rPr>
            </w:pPr>
            <w:r>
              <w:rPr>
                <w:sz w:val="20"/>
              </w:rPr>
              <w:t>Baka</w:t>
            </w:r>
            <w:r>
              <w:rPr>
                <w:spacing w:val="-8"/>
                <w:sz w:val="20"/>
              </w:rPr>
              <w:t> </w:t>
            </w:r>
            <w:r>
              <w:rPr>
                <w:sz w:val="20"/>
              </w:rPr>
              <w:t>(Cameroon)</w:t>
            </w:r>
            <w:r>
              <w:rPr>
                <w:spacing w:val="-8"/>
                <w:sz w:val="20"/>
              </w:rPr>
              <w:t> </w:t>
            </w:r>
            <w:r>
              <w:rPr>
                <w:spacing w:val="-4"/>
                <w:sz w:val="20"/>
              </w:rPr>
              <w:t>(bkc)</w:t>
            </w:r>
          </w:p>
        </w:tc>
        <w:tc>
          <w:tcPr>
            <w:tcW w:w="1457" w:type="dxa"/>
          </w:tcPr>
          <w:p>
            <w:pPr>
              <w:pStyle w:val="TableParagraph"/>
              <w:spacing w:line="209" w:lineRule="exact"/>
              <w:ind w:right="108"/>
              <w:jc w:val="right"/>
              <w:rPr>
                <w:sz w:val="20"/>
              </w:rPr>
            </w:pPr>
            <w:r>
              <w:rPr>
                <w:spacing w:val="-4"/>
                <w:sz w:val="20"/>
              </w:rPr>
              <w:t>6825</w:t>
            </w:r>
          </w:p>
        </w:tc>
        <w:tc>
          <w:tcPr>
            <w:tcW w:w="3328" w:type="dxa"/>
          </w:tcPr>
          <w:p>
            <w:pPr>
              <w:pStyle w:val="TableParagraph"/>
              <w:spacing w:line="209" w:lineRule="exact"/>
              <w:ind w:left="206"/>
              <w:rPr>
                <w:sz w:val="20"/>
              </w:rPr>
            </w:pPr>
            <w:r>
              <w:rPr>
                <w:spacing w:val="-2"/>
                <w:sz w:val="20"/>
              </w:rPr>
              <w:t>Cheyenne</w:t>
            </w:r>
            <w:r>
              <w:rPr>
                <w:spacing w:val="3"/>
                <w:sz w:val="20"/>
              </w:rPr>
              <w:t> </w:t>
            </w:r>
            <w:r>
              <w:rPr>
                <w:spacing w:val="-2"/>
                <w:sz w:val="20"/>
              </w:rPr>
              <w:t>(chy)</w:t>
            </w:r>
          </w:p>
        </w:tc>
      </w:tr>
      <w:tr>
        <w:trPr>
          <w:trHeight w:val="229" w:hRule="atLeast"/>
        </w:trPr>
        <w:tc>
          <w:tcPr>
            <w:tcW w:w="612" w:type="dxa"/>
          </w:tcPr>
          <w:p>
            <w:pPr>
              <w:pStyle w:val="TableParagraph"/>
              <w:spacing w:line="209" w:lineRule="exact"/>
              <w:ind w:left="50"/>
              <w:rPr>
                <w:sz w:val="20"/>
              </w:rPr>
            </w:pPr>
            <w:r>
              <w:rPr>
                <w:spacing w:val="-4"/>
                <w:sz w:val="20"/>
              </w:rPr>
              <w:t>6595</w:t>
            </w:r>
          </w:p>
        </w:tc>
        <w:tc>
          <w:tcPr>
            <w:tcW w:w="3824" w:type="dxa"/>
          </w:tcPr>
          <w:p>
            <w:pPr>
              <w:pStyle w:val="TableParagraph"/>
              <w:spacing w:line="209" w:lineRule="exact"/>
              <w:ind w:left="158"/>
              <w:rPr>
                <w:sz w:val="20"/>
              </w:rPr>
            </w:pPr>
            <w:r>
              <w:rPr>
                <w:sz w:val="20"/>
              </w:rPr>
              <w:t>Mayogo</w:t>
            </w:r>
            <w:r>
              <w:rPr>
                <w:spacing w:val="-9"/>
                <w:sz w:val="20"/>
              </w:rPr>
              <w:t> </w:t>
            </w:r>
            <w:r>
              <w:rPr>
                <w:spacing w:val="-2"/>
                <w:sz w:val="20"/>
              </w:rPr>
              <w:t>(mdm)</w:t>
            </w:r>
          </w:p>
        </w:tc>
        <w:tc>
          <w:tcPr>
            <w:tcW w:w="1457" w:type="dxa"/>
          </w:tcPr>
          <w:p>
            <w:pPr>
              <w:pStyle w:val="TableParagraph"/>
              <w:spacing w:line="209" w:lineRule="exact"/>
              <w:ind w:right="108"/>
              <w:jc w:val="right"/>
              <w:rPr>
                <w:sz w:val="20"/>
              </w:rPr>
            </w:pPr>
            <w:r>
              <w:rPr>
                <w:spacing w:val="-4"/>
                <w:sz w:val="20"/>
              </w:rPr>
              <w:t>6827</w:t>
            </w:r>
          </w:p>
        </w:tc>
        <w:tc>
          <w:tcPr>
            <w:tcW w:w="3328" w:type="dxa"/>
          </w:tcPr>
          <w:p>
            <w:pPr>
              <w:pStyle w:val="TableParagraph"/>
              <w:spacing w:line="209" w:lineRule="exact"/>
              <w:ind w:left="206"/>
              <w:rPr>
                <w:sz w:val="20"/>
              </w:rPr>
            </w:pPr>
            <w:r>
              <w:rPr>
                <w:sz w:val="20"/>
              </w:rPr>
              <w:t>Cree</w:t>
            </w:r>
            <w:r>
              <w:rPr>
                <w:spacing w:val="-5"/>
                <w:sz w:val="20"/>
              </w:rPr>
              <w:t> </w:t>
            </w:r>
            <w:r>
              <w:rPr>
                <w:spacing w:val="-2"/>
                <w:sz w:val="20"/>
              </w:rPr>
              <w:t>(cre)</w:t>
            </w:r>
          </w:p>
        </w:tc>
      </w:tr>
      <w:tr>
        <w:trPr>
          <w:trHeight w:val="230" w:hRule="atLeast"/>
        </w:trPr>
        <w:tc>
          <w:tcPr>
            <w:tcW w:w="612" w:type="dxa"/>
          </w:tcPr>
          <w:p>
            <w:pPr>
              <w:pStyle w:val="TableParagraph"/>
              <w:ind w:left="50"/>
              <w:rPr>
                <w:sz w:val="20"/>
              </w:rPr>
            </w:pPr>
            <w:r>
              <w:rPr>
                <w:spacing w:val="-4"/>
                <w:sz w:val="20"/>
              </w:rPr>
              <w:t>6600</w:t>
            </w:r>
          </w:p>
        </w:tc>
        <w:tc>
          <w:tcPr>
            <w:tcW w:w="3824" w:type="dxa"/>
          </w:tcPr>
          <w:p>
            <w:pPr>
              <w:pStyle w:val="TableParagraph"/>
              <w:ind w:left="158"/>
              <w:rPr>
                <w:sz w:val="20"/>
              </w:rPr>
            </w:pPr>
            <w:r>
              <w:rPr>
                <w:sz w:val="20"/>
              </w:rPr>
              <w:t>Gbaya</w:t>
            </w:r>
            <w:r>
              <w:rPr>
                <w:spacing w:val="-7"/>
                <w:sz w:val="20"/>
              </w:rPr>
              <w:t> </w:t>
            </w:r>
            <w:r>
              <w:rPr>
                <w:spacing w:val="-2"/>
                <w:sz w:val="20"/>
              </w:rPr>
              <w:t>(gba)</w:t>
            </w:r>
          </w:p>
        </w:tc>
        <w:tc>
          <w:tcPr>
            <w:tcW w:w="1457" w:type="dxa"/>
          </w:tcPr>
          <w:p>
            <w:pPr>
              <w:pStyle w:val="TableParagraph"/>
              <w:ind w:right="108"/>
              <w:jc w:val="right"/>
              <w:rPr>
                <w:sz w:val="20"/>
              </w:rPr>
            </w:pPr>
            <w:r>
              <w:rPr>
                <w:spacing w:val="-4"/>
                <w:sz w:val="20"/>
              </w:rPr>
              <w:t>6828</w:t>
            </w:r>
          </w:p>
        </w:tc>
        <w:tc>
          <w:tcPr>
            <w:tcW w:w="3328" w:type="dxa"/>
          </w:tcPr>
          <w:p>
            <w:pPr>
              <w:pStyle w:val="TableParagraph"/>
              <w:ind w:left="206"/>
              <w:rPr>
                <w:sz w:val="20"/>
              </w:rPr>
            </w:pPr>
            <w:r>
              <w:rPr>
                <w:sz w:val="20"/>
              </w:rPr>
              <w:t>Michif</w:t>
            </w:r>
            <w:r>
              <w:rPr>
                <w:spacing w:val="-8"/>
                <w:sz w:val="20"/>
              </w:rPr>
              <w:t> </w:t>
            </w:r>
            <w:r>
              <w:rPr>
                <w:spacing w:val="-2"/>
                <w:sz w:val="20"/>
              </w:rPr>
              <w:t>(crg)</w:t>
            </w:r>
          </w:p>
        </w:tc>
      </w:tr>
      <w:tr>
        <w:trPr>
          <w:trHeight w:val="230" w:hRule="atLeast"/>
        </w:trPr>
        <w:tc>
          <w:tcPr>
            <w:tcW w:w="612" w:type="dxa"/>
          </w:tcPr>
          <w:p>
            <w:pPr>
              <w:pStyle w:val="TableParagraph"/>
              <w:ind w:left="50"/>
              <w:rPr>
                <w:sz w:val="20"/>
              </w:rPr>
            </w:pPr>
            <w:r>
              <w:rPr>
                <w:spacing w:val="-4"/>
                <w:sz w:val="20"/>
              </w:rPr>
              <w:t>6601</w:t>
            </w:r>
          </w:p>
        </w:tc>
        <w:tc>
          <w:tcPr>
            <w:tcW w:w="3824" w:type="dxa"/>
          </w:tcPr>
          <w:p>
            <w:pPr>
              <w:pStyle w:val="TableParagraph"/>
              <w:ind w:left="158"/>
              <w:rPr>
                <w:sz w:val="20"/>
              </w:rPr>
            </w:pPr>
            <w:r>
              <w:rPr>
                <w:sz w:val="20"/>
              </w:rPr>
              <w:t>Northwest</w:t>
            </w:r>
            <w:r>
              <w:rPr>
                <w:spacing w:val="-9"/>
                <w:sz w:val="20"/>
              </w:rPr>
              <w:t> </w:t>
            </w:r>
            <w:r>
              <w:rPr>
                <w:sz w:val="20"/>
              </w:rPr>
              <w:t>Gbaya</w:t>
            </w:r>
            <w:r>
              <w:rPr>
                <w:spacing w:val="-7"/>
                <w:sz w:val="20"/>
              </w:rPr>
              <w:t> </w:t>
            </w:r>
            <w:r>
              <w:rPr>
                <w:spacing w:val="-4"/>
                <w:sz w:val="20"/>
              </w:rPr>
              <w:t>(gya)</w:t>
            </w:r>
          </w:p>
        </w:tc>
        <w:tc>
          <w:tcPr>
            <w:tcW w:w="1457" w:type="dxa"/>
          </w:tcPr>
          <w:p>
            <w:pPr>
              <w:pStyle w:val="TableParagraph"/>
              <w:ind w:right="108"/>
              <w:jc w:val="right"/>
              <w:rPr>
                <w:sz w:val="20"/>
              </w:rPr>
            </w:pPr>
            <w:r>
              <w:rPr>
                <w:spacing w:val="-4"/>
                <w:sz w:val="20"/>
              </w:rPr>
              <w:t>6829</w:t>
            </w:r>
          </w:p>
        </w:tc>
        <w:tc>
          <w:tcPr>
            <w:tcW w:w="3328" w:type="dxa"/>
          </w:tcPr>
          <w:p>
            <w:pPr>
              <w:pStyle w:val="TableParagraph"/>
              <w:ind w:left="206"/>
              <w:rPr>
                <w:sz w:val="20"/>
              </w:rPr>
            </w:pPr>
            <w:r>
              <w:rPr>
                <w:sz w:val="20"/>
              </w:rPr>
              <w:t>Delaware</w:t>
            </w:r>
            <w:r>
              <w:rPr>
                <w:spacing w:val="-10"/>
                <w:sz w:val="20"/>
              </w:rPr>
              <w:t> </w:t>
            </w:r>
            <w:r>
              <w:rPr>
                <w:spacing w:val="-2"/>
                <w:sz w:val="20"/>
              </w:rPr>
              <w:t>(del)</w:t>
            </w:r>
          </w:p>
        </w:tc>
      </w:tr>
      <w:tr>
        <w:trPr>
          <w:trHeight w:val="230" w:hRule="atLeast"/>
        </w:trPr>
        <w:tc>
          <w:tcPr>
            <w:tcW w:w="612" w:type="dxa"/>
          </w:tcPr>
          <w:p>
            <w:pPr>
              <w:pStyle w:val="TableParagraph"/>
              <w:ind w:left="50"/>
              <w:rPr>
                <w:sz w:val="20"/>
              </w:rPr>
            </w:pPr>
            <w:r>
              <w:rPr>
                <w:spacing w:val="-4"/>
                <w:sz w:val="20"/>
              </w:rPr>
              <w:t>6605</w:t>
            </w:r>
          </w:p>
        </w:tc>
        <w:tc>
          <w:tcPr>
            <w:tcW w:w="3824" w:type="dxa"/>
          </w:tcPr>
          <w:p>
            <w:pPr>
              <w:pStyle w:val="TableParagraph"/>
              <w:ind w:left="158"/>
              <w:rPr>
                <w:sz w:val="20"/>
              </w:rPr>
            </w:pPr>
            <w:r>
              <w:rPr>
                <w:sz w:val="20"/>
              </w:rPr>
              <w:t>Zande</w:t>
            </w:r>
            <w:r>
              <w:rPr>
                <w:spacing w:val="-9"/>
                <w:sz w:val="20"/>
              </w:rPr>
              <w:t> </w:t>
            </w:r>
            <w:r>
              <w:rPr>
                <w:sz w:val="20"/>
              </w:rPr>
              <w:t>(individual</w:t>
            </w:r>
            <w:r>
              <w:rPr>
                <w:spacing w:val="-8"/>
                <w:sz w:val="20"/>
              </w:rPr>
              <w:t> </w:t>
            </w:r>
            <w:r>
              <w:rPr>
                <w:sz w:val="20"/>
              </w:rPr>
              <w:t>language)</w:t>
            </w:r>
            <w:r>
              <w:rPr>
                <w:spacing w:val="-8"/>
                <w:sz w:val="20"/>
              </w:rPr>
              <w:t> </w:t>
            </w:r>
            <w:r>
              <w:rPr>
                <w:spacing w:val="-4"/>
                <w:sz w:val="20"/>
              </w:rPr>
              <w:t>(zne)</w:t>
            </w:r>
          </w:p>
        </w:tc>
        <w:tc>
          <w:tcPr>
            <w:tcW w:w="1457" w:type="dxa"/>
          </w:tcPr>
          <w:p>
            <w:pPr>
              <w:pStyle w:val="TableParagraph"/>
              <w:ind w:right="108"/>
              <w:jc w:val="right"/>
              <w:rPr>
                <w:sz w:val="20"/>
              </w:rPr>
            </w:pPr>
            <w:r>
              <w:rPr>
                <w:spacing w:val="-4"/>
                <w:sz w:val="20"/>
              </w:rPr>
              <w:t>6830</w:t>
            </w:r>
          </w:p>
        </w:tc>
        <w:tc>
          <w:tcPr>
            <w:tcW w:w="3328" w:type="dxa"/>
          </w:tcPr>
          <w:p>
            <w:pPr>
              <w:pStyle w:val="TableParagraph"/>
              <w:ind w:left="206"/>
              <w:rPr>
                <w:sz w:val="20"/>
              </w:rPr>
            </w:pPr>
            <w:r>
              <w:rPr>
                <w:sz w:val="20"/>
              </w:rPr>
              <w:t>Munsee</w:t>
            </w:r>
            <w:r>
              <w:rPr>
                <w:spacing w:val="-8"/>
                <w:sz w:val="20"/>
              </w:rPr>
              <w:t> </w:t>
            </w:r>
            <w:r>
              <w:rPr>
                <w:spacing w:val="-2"/>
                <w:sz w:val="20"/>
              </w:rPr>
              <w:t>(umu)</w:t>
            </w:r>
          </w:p>
        </w:tc>
      </w:tr>
      <w:tr>
        <w:trPr>
          <w:trHeight w:val="230" w:hRule="atLeast"/>
        </w:trPr>
        <w:tc>
          <w:tcPr>
            <w:tcW w:w="612" w:type="dxa"/>
          </w:tcPr>
          <w:p>
            <w:pPr>
              <w:pStyle w:val="TableParagraph"/>
              <w:ind w:left="50"/>
              <w:rPr>
                <w:sz w:val="20"/>
              </w:rPr>
            </w:pPr>
            <w:r>
              <w:rPr>
                <w:spacing w:val="-4"/>
                <w:sz w:val="20"/>
              </w:rPr>
              <w:t>6610</w:t>
            </w:r>
          </w:p>
        </w:tc>
        <w:tc>
          <w:tcPr>
            <w:tcW w:w="3824" w:type="dxa"/>
          </w:tcPr>
          <w:p>
            <w:pPr>
              <w:pStyle w:val="TableParagraph"/>
              <w:ind w:left="158"/>
              <w:rPr>
                <w:sz w:val="20"/>
              </w:rPr>
            </w:pPr>
            <w:r>
              <w:rPr>
                <w:sz w:val="20"/>
              </w:rPr>
              <w:t>Day</w:t>
            </w:r>
            <w:r>
              <w:rPr>
                <w:spacing w:val="-6"/>
                <w:sz w:val="20"/>
              </w:rPr>
              <w:t> </w:t>
            </w:r>
            <w:r>
              <w:rPr>
                <w:spacing w:val="-2"/>
                <w:sz w:val="20"/>
              </w:rPr>
              <w:t>(dai)</w:t>
            </w:r>
          </w:p>
        </w:tc>
        <w:tc>
          <w:tcPr>
            <w:tcW w:w="1457" w:type="dxa"/>
          </w:tcPr>
          <w:p>
            <w:pPr>
              <w:pStyle w:val="TableParagraph"/>
              <w:ind w:right="108"/>
              <w:jc w:val="right"/>
              <w:rPr>
                <w:sz w:val="20"/>
              </w:rPr>
            </w:pPr>
            <w:r>
              <w:rPr>
                <w:spacing w:val="-4"/>
                <w:sz w:val="20"/>
              </w:rPr>
              <w:t>6831</w:t>
            </w:r>
          </w:p>
        </w:tc>
        <w:tc>
          <w:tcPr>
            <w:tcW w:w="3328" w:type="dxa"/>
          </w:tcPr>
          <w:p>
            <w:pPr>
              <w:pStyle w:val="TableParagraph"/>
              <w:ind w:left="206"/>
              <w:rPr>
                <w:sz w:val="20"/>
              </w:rPr>
            </w:pPr>
            <w:r>
              <w:rPr>
                <w:sz w:val="20"/>
              </w:rPr>
              <w:t>Unami</w:t>
            </w:r>
            <w:r>
              <w:rPr>
                <w:spacing w:val="-8"/>
                <w:sz w:val="20"/>
              </w:rPr>
              <w:t> </w:t>
            </w:r>
            <w:r>
              <w:rPr>
                <w:spacing w:val="-2"/>
                <w:sz w:val="20"/>
              </w:rPr>
              <w:t>(unm)</w:t>
            </w:r>
          </w:p>
        </w:tc>
      </w:tr>
      <w:tr>
        <w:trPr>
          <w:trHeight w:val="229" w:hRule="atLeast"/>
        </w:trPr>
        <w:tc>
          <w:tcPr>
            <w:tcW w:w="612" w:type="dxa"/>
          </w:tcPr>
          <w:p>
            <w:pPr>
              <w:pStyle w:val="TableParagraph"/>
              <w:spacing w:line="209" w:lineRule="exact"/>
              <w:ind w:left="50"/>
              <w:rPr>
                <w:sz w:val="20"/>
              </w:rPr>
            </w:pPr>
            <w:r>
              <w:rPr>
                <w:spacing w:val="-4"/>
                <w:sz w:val="20"/>
              </w:rPr>
              <w:t>6615</w:t>
            </w:r>
          </w:p>
        </w:tc>
        <w:tc>
          <w:tcPr>
            <w:tcW w:w="3824" w:type="dxa"/>
          </w:tcPr>
          <w:p>
            <w:pPr>
              <w:pStyle w:val="TableParagraph"/>
              <w:spacing w:line="209" w:lineRule="exact"/>
              <w:ind w:left="158"/>
              <w:rPr>
                <w:sz w:val="20"/>
              </w:rPr>
            </w:pPr>
            <w:r>
              <w:rPr>
                <w:sz w:val="20"/>
              </w:rPr>
              <w:t>Mbum</w:t>
            </w:r>
            <w:r>
              <w:rPr>
                <w:spacing w:val="-8"/>
                <w:sz w:val="20"/>
              </w:rPr>
              <w:t> </w:t>
            </w:r>
            <w:r>
              <w:rPr>
                <w:spacing w:val="-2"/>
                <w:sz w:val="20"/>
              </w:rPr>
              <w:t>(mdd)</w:t>
            </w:r>
          </w:p>
        </w:tc>
        <w:tc>
          <w:tcPr>
            <w:tcW w:w="1457" w:type="dxa"/>
          </w:tcPr>
          <w:p>
            <w:pPr>
              <w:pStyle w:val="TableParagraph"/>
              <w:spacing w:line="209" w:lineRule="exact"/>
              <w:ind w:right="108"/>
              <w:jc w:val="right"/>
              <w:rPr>
                <w:sz w:val="20"/>
              </w:rPr>
            </w:pPr>
            <w:r>
              <w:rPr>
                <w:spacing w:val="-4"/>
                <w:sz w:val="20"/>
              </w:rPr>
              <w:t>6832</w:t>
            </w:r>
          </w:p>
        </w:tc>
        <w:tc>
          <w:tcPr>
            <w:tcW w:w="3328" w:type="dxa"/>
          </w:tcPr>
          <w:p>
            <w:pPr>
              <w:pStyle w:val="TableParagraph"/>
              <w:spacing w:line="209" w:lineRule="exact"/>
              <w:ind w:left="206"/>
              <w:rPr>
                <w:sz w:val="20"/>
              </w:rPr>
            </w:pPr>
            <w:r>
              <w:rPr>
                <w:sz w:val="20"/>
              </w:rPr>
              <w:t>Nanticoke</w:t>
            </w:r>
            <w:r>
              <w:rPr>
                <w:spacing w:val="-11"/>
                <w:sz w:val="20"/>
              </w:rPr>
              <w:t> </w:t>
            </w:r>
            <w:r>
              <w:rPr>
                <w:spacing w:val="-2"/>
                <w:sz w:val="20"/>
              </w:rPr>
              <w:t>(nnt)</w:t>
            </w:r>
          </w:p>
        </w:tc>
      </w:tr>
      <w:tr>
        <w:trPr>
          <w:trHeight w:val="229" w:hRule="atLeast"/>
        </w:trPr>
        <w:tc>
          <w:tcPr>
            <w:tcW w:w="612" w:type="dxa"/>
          </w:tcPr>
          <w:p>
            <w:pPr>
              <w:pStyle w:val="TableParagraph"/>
              <w:spacing w:line="209" w:lineRule="exact"/>
              <w:ind w:left="50"/>
              <w:rPr>
                <w:sz w:val="20"/>
              </w:rPr>
            </w:pPr>
            <w:r>
              <w:rPr>
                <w:spacing w:val="-4"/>
                <w:sz w:val="20"/>
              </w:rPr>
              <w:t>6620</w:t>
            </w:r>
          </w:p>
        </w:tc>
        <w:tc>
          <w:tcPr>
            <w:tcW w:w="3824" w:type="dxa"/>
          </w:tcPr>
          <w:p>
            <w:pPr>
              <w:pStyle w:val="TableParagraph"/>
              <w:spacing w:line="209" w:lineRule="exact"/>
              <w:ind w:left="158"/>
              <w:rPr>
                <w:sz w:val="20"/>
              </w:rPr>
            </w:pPr>
            <w:r>
              <w:rPr>
                <w:sz w:val="20"/>
              </w:rPr>
              <w:t>Samba</w:t>
            </w:r>
            <w:r>
              <w:rPr>
                <w:spacing w:val="-5"/>
                <w:sz w:val="20"/>
              </w:rPr>
              <w:t> </w:t>
            </w:r>
            <w:r>
              <w:rPr>
                <w:sz w:val="20"/>
              </w:rPr>
              <w:t>Leko</w:t>
            </w:r>
            <w:r>
              <w:rPr>
                <w:spacing w:val="-6"/>
                <w:sz w:val="20"/>
              </w:rPr>
              <w:t> </w:t>
            </w:r>
            <w:r>
              <w:rPr>
                <w:spacing w:val="-2"/>
                <w:sz w:val="20"/>
              </w:rPr>
              <w:t>(ndi)</w:t>
            </w:r>
          </w:p>
        </w:tc>
        <w:tc>
          <w:tcPr>
            <w:tcW w:w="1457" w:type="dxa"/>
          </w:tcPr>
          <w:p>
            <w:pPr>
              <w:pStyle w:val="TableParagraph"/>
              <w:spacing w:line="209" w:lineRule="exact"/>
              <w:ind w:right="108"/>
              <w:jc w:val="right"/>
              <w:rPr>
                <w:sz w:val="20"/>
              </w:rPr>
            </w:pPr>
            <w:r>
              <w:rPr>
                <w:spacing w:val="-4"/>
                <w:sz w:val="20"/>
              </w:rPr>
              <w:t>6833</w:t>
            </w:r>
          </w:p>
        </w:tc>
        <w:tc>
          <w:tcPr>
            <w:tcW w:w="3328" w:type="dxa"/>
          </w:tcPr>
          <w:p>
            <w:pPr>
              <w:pStyle w:val="TableParagraph"/>
              <w:spacing w:line="209" w:lineRule="exact"/>
              <w:ind w:left="206"/>
              <w:rPr>
                <w:sz w:val="20"/>
              </w:rPr>
            </w:pPr>
            <w:r>
              <w:rPr>
                <w:sz w:val="20"/>
              </w:rPr>
              <w:t>Meskwaki</w:t>
            </w:r>
            <w:r>
              <w:rPr>
                <w:spacing w:val="-13"/>
                <w:sz w:val="20"/>
              </w:rPr>
              <w:t> </w:t>
            </w:r>
            <w:r>
              <w:rPr>
                <w:spacing w:val="-2"/>
                <w:sz w:val="20"/>
              </w:rPr>
              <w:t>(sac)</w:t>
            </w:r>
          </w:p>
        </w:tc>
      </w:tr>
      <w:tr>
        <w:trPr>
          <w:trHeight w:val="230" w:hRule="atLeast"/>
        </w:trPr>
        <w:tc>
          <w:tcPr>
            <w:tcW w:w="612" w:type="dxa"/>
          </w:tcPr>
          <w:p>
            <w:pPr>
              <w:pStyle w:val="TableParagraph"/>
              <w:spacing w:line="211" w:lineRule="exact"/>
              <w:ind w:left="50"/>
              <w:rPr>
                <w:sz w:val="20"/>
              </w:rPr>
            </w:pPr>
            <w:r>
              <w:rPr>
                <w:spacing w:val="-4"/>
                <w:sz w:val="20"/>
              </w:rPr>
              <w:t>6625</w:t>
            </w:r>
          </w:p>
        </w:tc>
        <w:tc>
          <w:tcPr>
            <w:tcW w:w="3824" w:type="dxa"/>
          </w:tcPr>
          <w:p>
            <w:pPr>
              <w:pStyle w:val="TableParagraph"/>
              <w:spacing w:line="211" w:lineRule="exact"/>
              <w:ind w:left="158"/>
              <w:rPr>
                <w:sz w:val="20"/>
              </w:rPr>
            </w:pPr>
            <w:r>
              <w:rPr>
                <w:sz w:val="20"/>
              </w:rPr>
              <w:t>Teme</w:t>
            </w:r>
            <w:r>
              <w:rPr>
                <w:spacing w:val="-7"/>
                <w:sz w:val="20"/>
              </w:rPr>
              <w:t> </w:t>
            </w:r>
            <w:r>
              <w:rPr>
                <w:spacing w:val="-2"/>
                <w:sz w:val="20"/>
              </w:rPr>
              <w:t>(tdo)</w:t>
            </w:r>
          </w:p>
        </w:tc>
        <w:tc>
          <w:tcPr>
            <w:tcW w:w="1457" w:type="dxa"/>
          </w:tcPr>
          <w:p>
            <w:pPr>
              <w:pStyle w:val="TableParagraph"/>
              <w:spacing w:line="211" w:lineRule="exact"/>
              <w:ind w:right="108"/>
              <w:jc w:val="right"/>
              <w:rPr>
                <w:sz w:val="20"/>
              </w:rPr>
            </w:pPr>
            <w:r>
              <w:rPr>
                <w:spacing w:val="-4"/>
                <w:sz w:val="20"/>
              </w:rPr>
              <w:t>6834</w:t>
            </w:r>
          </w:p>
        </w:tc>
        <w:tc>
          <w:tcPr>
            <w:tcW w:w="3328" w:type="dxa"/>
          </w:tcPr>
          <w:p>
            <w:pPr>
              <w:pStyle w:val="TableParagraph"/>
              <w:spacing w:line="211" w:lineRule="exact"/>
              <w:ind w:left="206"/>
              <w:rPr>
                <w:sz w:val="20"/>
              </w:rPr>
            </w:pPr>
            <w:r>
              <w:rPr>
                <w:sz w:val="20"/>
              </w:rPr>
              <w:t>Kickapoo</w:t>
            </w:r>
            <w:r>
              <w:rPr>
                <w:spacing w:val="-6"/>
                <w:sz w:val="20"/>
              </w:rPr>
              <w:t> </w:t>
            </w:r>
            <w:r>
              <w:rPr>
                <w:spacing w:val="-2"/>
                <w:sz w:val="20"/>
              </w:rPr>
              <w:t>(kic)</w:t>
            </w:r>
          </w:p>
        </w:tc>
      </w:tr>
      <w:tr>
        <w:trPr>
          <w:trHeight w:val="230" w:hRule="atLeast"/>
        </w:trPr>
        <w:tc>
          <w:tcPr>
            <w:tcW w:w="612" w:type="dxa"/>
          </w:tcPr>
          <w:p>
            <w:pPr>
              <w:pStyle w:val="TableParagraph"/>
              <w:ind w:left="50"/>
              <w:rPr>
                <w:sz w:val="20"/>
              </w:rPr>
            </w:pPr>
            <w:r>
              <w:rPr>
                <w:spacing w:val="-4"/>
                <w:sz w:val="20"/>
              </w:rPr>
              <w:t>6630</w:t>
            </w:r>
          </w:p>
        </w:tc>
        <w:tc>
          <w:tcPr>
            <w:tcW w:w="3824" w:type="dxa"/>
          </w:tcPr>
          <w:p>
            <w:pPr>
              <w:pStyle w:val="TableParagraph"/>
              <w:ind w:left="158"/>
              <w:rPr>
                <w:sz w:val="20"/>
              </w:rPr>
            </w:pPr>
            <w:r>
              <w:rPr>
                <w:sz w:val="20"/>
              </w:rPr>
              <w:t>Kaan</w:t>
            </w:r>
            <w:r>
              <w:rPr>
                <w:spacing w:val="-6"/>
                <w:sz w:val="20"/>
              </w:rPr>
              <w:t> </w:t>
            </w:r>
            <w:r>
              <w:rPr>
                <w:spacing w:val="-2"/>
                <w:sz w:val="20"/>
              </w:rPr>
              <w:t>(ldl)</w:t>
            </w:r>
          </w:p>
        </w:tc>
        <w:tc>
          <w:tcPr>
            <w:tcW w:w="1457" w:type="dxa"/>
          </w:tcPr>
          <w:p>
            <w:pPr>
              <w:pStyle w:val="TableParagraph"/>
              <w:ind w:right="108"/>
              <w:jc w:val="right"/>
              <w:rPr>
                <w:sz w:val="20"/>
              </w:rPr>
            </w:pPr>
            <w:r>
              <w:rPr>
                <w:spacing w:val="-4"/>
                <w:sz w:val="20"/>
              </w:rPr>
              <w:t>6835</w:t>
            </w:r>
          </w:p>
        </w:tc>
        <w:tc>
          <w:tcPr>
            <w:tcW w:w="3328" w:type="dxa"/>
          </w:tcPr>
          <w:p>
            <w:pPr>
              <w:pStyle w:val="TableParagraph"/>
              <w:ind w:left="206"/>
              <w:rPr>
                <w:sz w:val="20"/>
              </w:rPr>
            </w:pPr>
            <w:r>
              <w:rPr>
                <w:spacing w:val="-2"/>
                <w:sz w:val="20"/>
              </w:rPr>
              <w:t>Menominee</w:t>
            </w:r>
            <w:r>
              <w:rPr>
                <w:spacing w:val="5"/>
                <w:sz w:val="20"/>
              </w:rPr>
              <w:t> </w:t>
            </w:r>
            <w:r>
              <w:rPr>
                <w:spacing w:val="-2"/>
                <w:sz w:val="20"/>
              </w:rPr>
              <w:t>(mez)</w:t>
            </w:r>
          </w:p>
        </w:tc>
      </w:tr>
      <w:tr>
        <w:trPr>
          <w:trHeight w:val="230" w:hRule="atLeast"/>
        </w:trPr>
        <w:tc>
          <w:tcPr>
            <w:tcW w:w="612" w:type="dxa"/>
          </w:tcPr>
          <w:p>
            <w:pPr>
              <w:pStyle w:val="TableParagraph"/>
              <w:ind w:left="50"/>
              <w:rPr>
                <w:sz w:val="20"/>
              </w:rPr>
            </w:pPr>
            <w:r>
              <w:rPr>
                <w:spacing w:val="-4"/>
                <w:sz w:val="20"/>
              </w:rPr>
              <w:t>6635</w:t>
            </w:r>
          </w:p>
        </w:tc>
        <w:tc>
          <w:tcPr>
            <w:tcW w:w="3824" w:type="dxa"/>
          </w:tcPr>
          <w:p>
            <w:pPr>
              <w:pStyle w:val="TableParagraph"/>
              <w:ind w:left="158"/>
              <w:rPr>
                <w:sz w:val="20"/>
              </w:rPr>
            </w:pPr>
            <w:r>
              <w:rPr>
                <w:sz w:val="20"/>
              </w:rPr>
              <w:t>Tula</w:t>
            </w:r>
            <w:r>
              <w:rPr>
                <w:spacing w:val="-4"/>
                <w:sz w:val="20"/>
              </w:rPr>
              <w:t> </w:t>
            </w:r>
            <w:r>
              <w:rPr>
                <w:spacing w:val="-2"/>
                <w:sz w:val="20"/>
              </w:rPr>
              <w:t>(tul)</w:t>
            </w:r>
          </w:p>
        </w:tc>
        <w:tc>
          <w:tcPr>
            <w:tcW w:w="1457" w:type="dxa"/>
          </w:tcPr>
          <w:p>
            <w:pPr>
              <w:pStyle w:val="TableParagraph"/>
              <w:ind w:right="108"/>
              <w:jc w:val="right"/>
              <w:rPr>
                <w:sz w:val="20"/>
              </w:rPr>
            </w:pPr>
            <w:r>
              <w:rPr>
                <w:spacing w:val="-4"/>
                <w:sz w:val="20"/>
              </w:rPr>
              <w:t>6837</w:t>
            </w:r>
          </w:p>
        </w:tc>
        <w:tc>
          <w:tcPr>
            <w:tcW w:w="3328" w:type="dxa"/>
          </w:tcPr>
          <w:p>
            <w:pPr>
              <w:pStyle w:val="TableParagraph"/>
              <w:ind w:left="206"/>
              <w:rPr>
                <w:sz w:val="20"/>
              </w:rPr>
            </w:pPr>
            <w:r>
              <w:rPr>
                <w:sz w:val="20"/>
              </w:rPr>
              <w:t>Miami</w:t>
            </w:r>
            <w:r>
              <w:rPr>
                <w:spacing w:val="-9"/>
                <w:sz w:val="20"/>
              </w:rPr>
              <w:t> </w:t>
            </w:r>
            <w:r>
              <w:rPr>
                <w:spacing w:val="-2"/>
                <w:sz w:val="20"/>
              </w:rPr>
              <w:t>(mia)</w:t>
            </w:r>
          </w:p>
        </w:tc>
      </w:tr>
      <w:tr>
        <w:trPr>
          <w:trHeight w:val="230" w:hRule="atLeast"/>
        </w:trPr>
        <w:tc>
          <w:tcPr>
            <w:tcW w:w="612" w:type="dxa"/>
          </w:tcPr>
          <w:p>
            <w:pPr>
              <w:pStyle w:val="TableParagraph"/>
              <w:ind w:left="50"/>
              <w:rPr>
                <w:sz w:val="20"/>
              </w:rPr>
            </w:pPr>
            <w:r>
              <w:rPr>
                <w:spacing w:val="-4"/>
                <w:sz w:val="20"/>
              </w:rPr>
              <w:t>6640</w:t>
            </w:r>
          </w:p>
        </w:tc>
        <w:tc>
          <w:tcPr>
            <w:tcW w:w="3824" w:type="dxa"/>
          </w:tcPr>
          <w:p>
            <w:pPr>
              <w:pStyle w:val="TableParagraph"/>
              <w:ind w:left="158"/>
              <w:rPr>
                <w:sz w:val="20"/>
              </w:rPr>
            </w:pPr>
            <w:r>
              <w:rPr>
                <w:sz w:val="20"/>
              </w:rPr>
              <w:t>Jamsay</w:t>
            </w:r>
            <w:r>
              <w:rPr>
                <w:spacing w:val="-9"/>
                <w:sz w:val="20"/>
              </w:rPr>
              <w:t> </w:t>
            </w:r>
            <w:r>
              <w:rPr>
                <w:sz w:val="20"/>
              </w:rPr>
              <w:t>Dogon</w:t>
            </w:r>
            <w:r>
              <w:rPr>
                <w:spacing w:val="-5"/>
                <w:sz w:val="20"/>
              </w:rPr>
              <w:t> </w:t>
            </w:r>
            <w:r>
              <w:rPr>
                <w:spacing w:val="-4"/>
                <w:sz w:val="20"/>
              </w:rPr>
              <w:t>(djm)</w:t>
            </w:r>
          </w:p>
        </w:tc>
        <w:tc>
          <w:tcPr>
            <w:tcW w:w="1457" w:type="dxa"/>
          </w:tcPr>
          <w:p>
            <w:pPr>
              <w:pStyle w:val="TableParagraph"/>
              <w:ind w:right="108"/>
              <w:jc w:val="right"/>
              <w:rPr>
                <w:sz w:val="20"/>
              </w:rPr>
            </w:pPr>
            <w:r>
              <w:rPr>
                <w:spacing w:val="-4"/>
                <w:sz w:val="20"/>
              </w:rPr>
              <w:t>6838</w:t>
            </w:r>
          </w:p>
        </w:tc>
        <w:tc>
          <w:tcPr>
            <w:tcW w:w="3328" w:type="dxa"/>
          </w:tcPr>
          <w:p>
            <w:pPr>
              <w:pStyle w:val="TableParagraph"/>
              <w:ind w:left="206"/>
              <w:rPr>
                <w:sz w:val="20"/>
              </w:rPr>
            </w:pPr>
            <w:r>
              <w:rPr>
                <w:sz w:val="20"/>
              </w:rPr>
              <w:t>Mi'kmaq</w:t>
            </w:r>
            <w:r>
              <w:rPr>
                <w:spacing w:val="-8"/>
                <w:sz w:val="20"/>
              </w:rPr>
              <w:t> </w:t>
            </w:r>
            <w:r>
              <w:rPr>
                <w:spacing w:val="-2"/>
                <w:sz w:val="20"/>
              </w:rPr>
              <w:t>(mic)</w:t>
            </w:r>
          </w:p>
        </w:tc>
      </w:tr>
      <w:tr>
        <w:trPr>
          <w:trHeight w:val="229" w:hRule="atLeast"/>
        </w:trPr>
        <w:tc>
          <w:tcPr>
            <w:tcW w:w="612" w:type="dxa"/>
          </w:tcPr>
          <w:p>
            <w:pPr>
              <w:pStyle w:val="TableParagraph"/>
              <w:spacing w:line="209" w:lineRule="exact"/>
              <w:ind w:left="50"/>
              <w:rPr>
                <w:sz w:val="20"/>
              </w:rPr>
            </w:pPr>
            <w:r>
              <w:rPr>
                <w:spacing w:val="-4"/>
                <w:sz w:val="20"/>
              </w:rPr>
              <w:t>6650</w:t>
            </w:r>
          </w:p>
        </w:tc>
        <w:tc>
          <w:tcPr>
            <w:tcW w:w="3824" w:type="dxa"/>
          </w:tcPr>
          <w:p>
            <w:pPr>
              <w:pStyle w:val="TableParagraph"/>
              <w:spacing w:line="209" w:lineRule="exact"/>
              <w:ind w:left="158"/>
              <w:rPr>
                <w:sz w:val="20"/>
              </w:rPr>
            </w:pPr>
            <w:r>
              <w:rPr>
                <w:sz w:val="20"/>
              </w:rPr>
              <w:t>Moro</w:t>
            </w:r>
            <w:r>
              <w:rPr>
                <w:spacing w:val="-3"/>
                <w:sz w:val="20"/>
              </w:rPr>
              <w:t> </w:t>
            </w:r>
            <w:r>
              <w:rPr>
                <w:spacing w:val="-2"/>
                <w:sz w:val="20"/>
              </w:rPr>
              <w:t>(mor)</w:t>
            </w:r>
          </w:p>
        </w:tc>
        <w:tc>
          <w:tcPr>
            <w:tcW w:w="1457" w:type="dxa"/>
          </w:tcPr>
          <w:p>
            <w:pPr>
              <w:pStyle w:val="TableParagraph"/>
              <w:spacing w:line="209" w:lineRule="exact"/>
              <w:ind w:right="108"/>
              <w:jc w:val="right"/>
              <w:rPr>
                <w:sz w:val="20"/>
              </w:rPr>
            </w:pPr>
            <w:r>
              <w:rPr>
                <w:spacing w:val="-4"/>
                <w:sz w:val="20"/>
              </w:rPr>
              <w:t>6839</w:t>
            </w:r>
          </w:p>
        </w:tc>
        <w:tc>
          <w:tcPr>
            <w:tcW w:w="3328" w:type="dxa"/>
          </w:tcPr>
          <w:p>
            <w:pPr>
              <w:pStyle w:val="TableParagraph"/>
              <w:spacing w:line="209" w:lineRule="exact"/>
              <w:ind w:left="206"/>
              <w:rPr>
                <w:sz w:val="20"/>
              </w:rPr>
            </w:pPr>
            <w:r>
              <w:rPr>
                <w:sz w:val="20"/>
              </w:rPr>
              <w:t>Ojibwa</w:t>
            </w:r>
            <w:r>
              <w:rPr>
                <w:spacing w:val="-8"/>
                <w:sz w:val="20"/>
              </w:rPr>
              <w:t> </w:t>
            </w:r>
            <w:r>
              <w:rPr>
                <w:spacing w:val="-2"/>
                <w:sz w:val="20"/>
              </w:rPr>
              <w:t>(oji)</w:t>
            </w:r>
          </w:p>
        </w:tc>
      </w:tr>
      <w:tr>
        <w:trPr>
          <w:trHeight w:val="229" w:hRule="atLeast"/>
        </w:trPr>
        <w:tc>
          <w:tcPr>
            <w:tcW w:w="612" w:type="dxa"/>
          </w:tcPr>
          <w:p>
            <w:pPr>
              <w:pStyle w:val="TableParagraph"/>
              <w:spacing w:line="240" w:lineRule="auto"/>
              <w:rPr>
                <w:sz w:val="16"/>
              </w:rPr>
            </w:pPr>
          </w:p>
        </w:tc>
        <w:tc>
          <w:tcPr>
            <w:tcW w:w="3824" w:type="dxa"/>
          </w:tcPr>
          <w:p>
            <w:pPr>
              <w:pStyle w:val="TableParagraph"/>
              <w:spacing w:line="240" w:lineRule="auto"/>
              <w:rPr>
                <w:sz w:val="16"/>
              </w:rPr>
            </w:pPr>
          </w:p>
        </w:tc>
        <w:tc>
          <w:tcPr>
            <w:tcW w:w="1457" w:type="dxa"/>
          </w:tcPr>
          <w:p>
            <w:pPr>
              <w:pStyle w:val="TableParagraph"/>
              <w:spacing w:line="209" w:lineRule="exact"/>
              <w:ind w:right="108"/>
              <w:jc w:val="right"/>
              <w:rPr>
                <w:sz w:val="20"/>
              </w:rPr>
            </w:pPr>
            <w:r>
              <w:rPr>
                <w:spacing w:val="-4"/>
                <w:sz w:val="20"/>
              </w:rPr>
              <w:t>6840</w:t>
            </w:r>
          </w:p>
        </w:tc>
        <w:tc>
          <w:tcPr>
            <w:tcW w:w="3328" w:type="dxa"/>
          </w:tcPr>
          <w:p>
            <w:pPr>
              <w:pStyle w:val="TableParagraph"/>
              <w:spacing w:line="209" w:lineRule="exact"/>
              <w:ind w:left="206"/>
              <w:rPr>
                <w:sz w:val="20"/>
              </w:rPr>
            </w:pPr>
            <w:r>
              <w:rPr>
                <w:sz w:val="20"/>
              </w:rPr>
              <w:t>Chippewa</w:t>
            </w:r>
            <w:r>
              <w:rPr>
                <w:spacing w:val="-12"/>
                <w:sz w:val="20"/>
              </w:rPr>
              <w:t> </w:t>
            </w:r>
            <w:r>
              <w:rPr>
                <w:spacing w:val="-2"/>
                <w:sz w:val="20"/>
              </w:rPr>
              <w:t>(ciw)</w:t>
            </w:r>
          </w:p>
        </w:tc>
      </w:tr>
      <w:tr>
        <w:trPr>
          <w:trHeight w:val="230" w:hRule="atLeast"/>
        </w:trPr>
        <w:tc>
          <w:tcPr>
            <w:tcW w:w="612" w:type="dxa"/>
          </w:tcPr>
          <w:p>
            <w:pPr>
              <w:pStyle w:val="TableParagraph"/>
              <w:ind w:left="50"/>
              <w:rPr>
                <w:sz w:val="20"/>
              </w:rPr>
            </w:pPr>
            <w:r>
              <w:rPr>
                <w:spacing w:val="-4"/>
                <w:sz w:val="20"/>
              </w:rPr>
              <w:t>6702</w:t>
            </w:r>
          </w:p>
        </w:tc>
        <w:tc>
          <w:tcPr>
            <w:tcW w:w="3824" w:type="dxa"/>
          </w:tcPr>
          <w:p>
            <w:pPr>
              <w:pStyle w:val="TableParagraph"/>
              <w:ind w:left="158"/>
              <w:rPr>
                <w:sz w:val="20"/>
              </w:rPr>
            </w:pPr>
            <w:r>
              <w:rPr>
                <w:sz w:val="20"/>
              </w:rPr>
              <w:t>Benin</w:t>
            </w:r>
            <w:r>
              <w:rPr>
                <w:spacing w:val="-7"/>
                <w:sz w:val="20"/>
              </w:rPr>
              <w:t> </w:t>
            </w:r>
            <w:r>
              <w:rPr>
                <w:spacing w:val="-2"/>
                <w:sz w:val="20"/>
              </w:rPr>
              <w:t>N.E.C.</w:t>
            </w:r>
          </w:p>
        </w:tc>
        <w:tc>
          <w:tcPr>
            <w:tcW w:w="1457" w:type="dxa"/>
          </w:tcPr>
          <w:p>
            <w:pPr>
              <w:pStyle w:val="TableParagraph"/>
              <w:ind w:right="108"/>
              <w:jc w:val="right"/>
              <w:rPr>
                <w:sz w:val="20"/>
              </w:rPr>
            </w:pPr>
            <w:r>
              <w:rPr>
                <w:spacing w:val="-4"/>
                <w:sz w:val="20"/>
              </w:rPr>
              <w:t>6841</w:t>
            </w:r>
          </w:p>
        </w:tc>
        <w:tc>
          <w:tcPr>
            <w:tcW w:w="3328" w:type="dxa"/>
          </w:tcPr>
          <w:p>
            <w:pPr>
              <w:pStyle w:val="TableParagraph"/>
              <w:ind w:left="206"/>
              <w:rPr>
                <w:sz w:val="20"/>
              </w:rPr>
            </w:pPr>
            <w:r>
              <w:rPr>
                <w:sz w:val="20"/>
              </w:rPr>
              <w:t>Ottawa</w:t>
            </w:r>
            <w:r>
              <w:rPr>
                <w:spacing w:val="-7"/>
                <w:sz w:val="20"/>
              </w:rPr>
              <w:t> </w:t>
            </w:r>
            <w:r>
              <w:rPr>
                <w:spacing w:val="-2"/>
                <w:sz w:val="20"/>
              </w:rPr>
              <w:t>(otw)</w:t>
            </w:r>
          </w:p>
        </w:tc>
      </w:tr>
      <w:tr>
        <w:trPr>
          <w:trHeight w:val="230" w:hRule="atLeast"/>
        </w:trPr>
        <w:tc>
          <w:tcPr>
            <w:tcW w:w="612" w:type="dxa"/>
          </w:tcPr>
          <w:p>
            <w:pPr>
              <w:pStyle w:val="TableParagraph"/>
              <w:ind w:left="50"/>
              <w:rPr>
                <w:sz w:val="20"/>
              </w:rPr>
            </w:pPr>
            <w:r>
              <w:rPr>
                <w:spacing w:val="-4"/>
                <w:sz w:val="20"/>
              </w:rPr>
              <w:t>6707</w:t>
            </w:r>
          </w:p>
        </w:tc>
        <w:tc>
          <w:tcPr>
            <w:tcW w:w="3824" w:type="dxa"/>
          </w:tcPr>
          <w:p>
            <w:pPr>
              <w:pStyle w:val="TableParagraph"/>
              <w:ind w:left="158"/>
              <w:rPr>
                <w:sz w:val="20"/>
              </w:rPr>
            </w:pPr>
            <w:r>
              <w:rPr>
                <w:sz w:val="20"/>
              </w:rPr>
              <w:t>Cameroon</w:t>
            </w:r>
            <w:r>
              <w:rPr>
                <w:spacing w:val="-10"/>
                <w:sz w:val="20"/>
              </w:rPr>
              <w:t> </w:t>
            </w:r>
            <w:r>
              <w:rPr>
                <w:spacing w:val="-2"/>
                <w:sz w:val="20"/>
              </w:rPr>
              <w:t>N.E.C.</w:t>
            </w:r>
          </w:p>
        </w:tc>
        <w:tc>
          <w:tcPr>
            <w:tcW w:w="1457" w:type="dxa"/>
          </w:tcPr>
          <w:p>
            <w:pPr>
              <w:pStyle w:val="TableParagraph"/>
              <w:ind w:right="108"/>
              <w:jc w:val="right"/>
              <w:rPr>
                <w:sz w:val="20"/>
              </w:rPr>
            </w:pPr>
            <w:r>
              <w:rPr>
                <w:spacing w:val="-4"/>
                <w:sz w:val="20"/>
              </w:rPr>
              <w:t>6842</w:t>
            </w:r>
          </w:p>
        </w:tc>
        <w:tc>
          <w:tcPr>
            <w:tcW w:w="3328" w:type="dxa"/>
          </w:tcPr>
          <w:p>
            <w:pPr>
              <w:pStyle w:val="TableParagraph"/>
              <w:ind w:left="206"/>
              <w:rPr>
                <w:sz w:val="20"/>
              </w:rPr>
            </w:pPr>
            <w:r>
              <w:rPr>
                <w:sz w:val="20"/>
              </w:rPr>
              <w:t>Severn</w:t>
            </w:r>
            <w:r>
              <w:rPr>
                <w:spacing w:val="-7"/>
                <w:sz w:val="20"/>
              </w:rPr>
              <w:t> </w:t>
            </w:r>
            <w:r>
              <w:rPr>
                <w:sz w:val="20"/>
              </w:rPr>
              <w:t>Ojibwa</w:t>
            </w:r>
            <w:r>
              <w:rPr>
                <w:spacing w:val="-5"/>
                <w:sz w:val="20"/>
              </w:rPr>
              <w:t> </w:t>
            </w:r>
            <w:r>
              <w:rPr>
                <w:spacing w:val="-4"/>
                <w:sz w:val="20"/>
              </w:rPr>
              <w:t>(ojs)</w:t>
            </w:r>
          </w:p>
        </w:tc>
      </w:tr>
      <w:tr>
        <w:trPr>
          <w:trHeight w:val="230" w:hRule="atLeast"/>
        </w:trPr>
        <w:tc>
          <w:tcPr>
            <w:tcW w:w="612" w:type="dxa"/>
          </w:tcPr>
          <w:p>
            <w:pPr>
              <w:pStyle w:val="TableParagraph"/>
              <w:ind w:left="50"/>
              <w:rPr>
                <w:sz w:val="20"/>
              </w:rPr>
            </w:pPr>
            <w:r>
              <w:rPr>
                <w:spacing w:val="-4"/>
                <w:sz w:val="20"/>
              </w:rPr>
              <w:t>6716</w:t>
            </w:r>
          </w:p>
        </w:tc>
        <w:tc>
          <w:tcPr>
            <w:tcW w:w="3824" w:type="dxa"/>
          </w:tcPr>
          <w:p>
            <w:pPr>
              <w:pStyle w:val="TableParagraph"/>
              <w:ind w:left="158"/>
              <w:rPr>
                <w:sz w:val="20"/>
              </w:rPr>
            </w:pPr>
            <w:r>
              <w:rPr>
                <w:sz w:val="20"/>
              </w:rPr>
              <w:t>Eritrea</w:t>
            </w:r>
            <w:r>
              <w:rPr>
                <w:spacing w:val="-6"/>
                <w:sz w:val="20"/>
              </w:rPr>
              <w:t> </w:t>
            </w:r>
            <w:r>
              <w:rPr>
                <w:spacing w:val="-2"/>
                <w:sz w:val="20"/>
              </w:rPr>
              <w:t>N.E.C.</w:t>
            </w:r>
          </w:p>
        </w:tc>
        <w:tc>
          <w:tcPr>
            <w:tcW w:w="1457" w:type="dxa"/>
          </w:tcPr>
          <w:p>
            <w:pPr>
              <w:pStyle w:val="TableParagraph"/>
              <w:ind w:right="108"/>
              <w:jc w:val="right"/>
              <w:rPr>
                <w:sz w:val="20"/>
              </w:rPr>
            </w:pPr>
            <w:r>
              <w:rPr>
                <w:spacing w:val="-4"/>
                <w:sz w:val="20"/>
              </w:rPr>
              <w:t>6843</w:t>
            </w:r>
          </w:p>
        </w:tc>
        <w:tc>
          <w:tcPr>
            <w:tcW w:w="3328" w:type="dxa"/>
          </w:tcPr>
          <w:p>
            <w:pPr>
              <w:pStyle w:val="TableParagraph"/>
              <w:ind w:left="206"/>
              <w:rPr>
                <w:sz w:val="20"/>
              </w:rPr>
            </w:pPr>
            <w:r>
              <w:rPr>
                <w:spacing w:val="-2"/>
                <w:sz w:val="20"/>
              </w:rPr>
              <w:t>Potawatomi</w:t>
            </w:r>
            <w:r>
              <w:rPr>
                <w:spacing w:val="7"/>
                <w:sz w:val="20"/>
              </w:rPr>
              <w:t> </w:t>
            </w:r>
            <w:r>
              <w:rPr>
                <w:spacing w:val="-2"/>
                <w:sz w:val="20"/>
              </w:rPr>
              <w:t>(pot)</w:t>
            </w:r>
          </w:p>
        </w:tc>
      </w:tr>
      <w:tr>
        <w:trPr>
          <w:trHeight w:val="229" w:hRule="atLeast"/>
        </w:trPr>
        <w:tc>
          <w:tcPr>
            <w:tcW w:w="612" w:type="dxa"/>
          </w:tcPr>
          <w:p>
            <w:pPr>
              <w:pStyle w:val="TableParagraph"/>
              <w:spacing w:line="209" w:lineRule="exact"/>
              <w:ind w:left="50"/>
              <w:rPr>
                <w:sz w:val="20"/>
              </w:rPr>
            </w:pPr>
            <w:r>
              <w:rPr>
                <w:spacing w:val="-4"/>
                <w:sz w:val="20"/>
              </w:rPr>
              <w:t>6717</w:t>
            </w:r>
          </w:p>
        </w:tc>
        <w:tc>
          <w:tcPr>
            <w:tcW w:w="3824" w:type="dxa"/>
          </w:tcPr>
          <w:p>
            <w:pPr>
              <w:pStyle w:val="TableParagraph"/>
              <w:spacing w:line="209" w:lineRule="exact"/>
              <w:ind w:left="158"/>
              <w:rPr>
                <w:sz w:val="20"/>
              </w:rPr>
            </w:pPr>
            <w:r>
              <w:rPr>
                <w:sz w:val="20"/>
              </w:rPr>
              <w:t>Ethiopia</w:t>
            </w:r>
            <w:r>
              <w:rPr>
                <w:spacing w:val="-8"/>
                <w:sz w:val="20"/>
              </w:rPr>
              <w:t> </w:t>
            </w:r>
            <w:r>
              <w:rPr>
                <w:spacing w:val="-2"/>
                <w:sz w:val="20"/>
              </w:rPr>
              <w:t>N.E.C.</w:t>
            </w:r>
          </w:p>
        </w:tc>
        <w:tc>
          <w:tcPr>
            <w:tcW w:w="1457" w:type="dxa"/>
          </w:tcPr>
          <w:p>
            <w:pPr>
              <w:pStyle w:val="TableParagraph"/>
              <w:spacing w:line="209" w:lineRule="exact"/>
              <w:ind w:right="108"/>
              <w:jc w:val="right"/>
              <w:rPr>
                <w:sz w:val="20"/>
              </w:rPr>
            </w:pPr>
            <w:r>
              <w:rPr>
                <w:spacing w:val="-4"/>
                <w:sz w:val="20"/>
              </w:rPr>
              <w:t>6844</w:t>
            </w:r>
          </w:p>
        </w:tc>
        <w:tc>
          <w:tcPr>
            <w:tcW w:w="3328" w:type="dxa"/>
          </w:tcPr>
          <w:p>
            <w:pPr>
              <w:pStyle w:val="TableParagraph"/>
              <w:spacing w:line="209" w:lineRule="exact"/>
              <w:ind w:left="206"/>
              <w:rPr>
                <w:sz w:val="20"/>
              </w:rPr>
            </w:pPr>
            <w:r>
              <w:rPr>
                <w:spacing w:val="-2"/>
                <w:sz w:val="20"/>
              </w:rPr>
              <w:t>Malecite-Passamaquoddy</w:t>
            </w:r>
            <w:r>
              <w:rPr>
                <w:spacing w:val="22"/>
                <w:sz w:val="20"/>
              </w:rPr>
              <w:t> </w:t>
            </w:r>
            <w:r>
              <w:rPr>
                <w:spacing w:val="-4"/>
                <w:sz w:val="20"/>
              </w:rPr>
              <w:t>(pqm)</w:t>
            </w:r>
          </w:p>
        </w:tc>
      </w:tr>
      <w:tr>
        <w:trPr>
          <w:trHeight w:val="229" w:hRule="atLeast"/>
        </w:trPr>
        <w:tc>
          <w:tcPr>
            <w:tcW w:w="612" w:type="dxa"/>
          </w:tcPr>
          <w:p>
            <w:pPr>
              <w:pStyle w:val="TableParagraph"/>
              <w:spacing w:line="209" w:lineRule="exact"/>
              <w:ind w:left="50"/>
              <w:rPr>
                <w:sz w:val="20"/>
              </w:rPr>
            </w:pPr>
            <w:r>
              <w:rPr>
                <w:spacing w:val="-4"/>
                <w:sz w:val="20"/>
              </w:rPr>
              <w:t>6719</w:t>
            </w:r>
          </w:p>
        </w:tc>
        <w:tc>
          <w:tcPr>
            <w:tcW w:w="3824" w:type="dxa"/>
          </w:tcPr>
          <w:p>
            <w:pPr>
              <w:pStyle w:val="TableParagraph"/>
              <w:spacing w:line="209" w:lineRule="exact"/>
              <w:ind w:left="158"/>
              <w:rPr>
                <w:sz w:val="20"/>
              </w:rPr>
            </w:pPr>
            <w:r>
              <w:rPr>
                <w:sz w:val="20"/>
              </w:rPr>
              <w:t>Gambia</w:t>
            </w:r>
            <w:r>
              <w:rPr>
                <w:spacing w:val="-8"/>
                <w:sz w:val="20"/>
              </w:rPr>
              <w:t> </w:t>
            </w:r>
            <w:r>
              <w:rPr>
                <w:spacing w:val="-2"/>
                <w:sz w:val="20"/>
              </w:rPr>
              <w:t>N.E.C.</w:t>
            </w:r>
          </w:p>
        </w:tc>
        <w:tc>
          <w:tcPr>
            <w:tcW w:w="1457" w:type="dxa"/>
          </w:tcPr>
          <w:p>
            <w:pPr>
              <w:pStyle w:val="TableParagraph"/>
              <w:spacing w:line="209" w:lineRule="exact"/>
              <w:ind w:right="108"/>
              <w:jc w:val="right"/>
              <w:rPr>
                <w:sz w:val="20"/>
              </w:rPr>
            </w:pPr>
            <w:r>
              <w:rPr>
                <w:spacing w:val="-4"/>
                <w:sz w:val="20"/>
              </w:rPr>
              <w:t>6845</w:t>
            </w:r>
          </w:p>
        </w:tc>
        <w:tc>
          <w:tcPr>
            <w:tcW w:w="3328" w:type="dxa"/>
          </w:tcPr>
          <w:p>
            <w:pPr>
              <w:pStyle w:val="TableParagraph"/>
              <w:spacing w:line="209" w:lineRule="exact"/>
              <w:ind w:left="206"/>
              <w:rPr>
                <w:sz w:val="20"/>
              </w:rPr>
            </w:pPr>
            <w:r>
              <w:rPr>
                <w:sz w:val="20"/>
              </w:rPr>
              <w:t>Eastern</w:t>
            </w:r>
            <w:r>
              <w:rPr>
                <w:spacing w:val="-8"/>
                <w:sz w:val="20"/>
              </w:rPr>
              <w:t> </w:t>
            </w:r>
            <w:r>
              <w:rPr>
                <w:sz w:val="20"/>
              </w:rPr>
              <w:t>Abnaki</w:t>
            </w:r>
            <w:r>
              <w:rPr>
                <w:spacing w:val="-8"/>
                <w:sz w:val="20"/>
              </w:rPr>
              <w:t> </w:t>
            </w:r>
            <w:r>
              <w:rPr>
                <w:spacing w:val="-2"/>
                <w:sz w:val="20"/>
              </w:rPr>
              <w:t>(aaq)</w:t>
            </w:r>
          </w:p>
        </w:tc>
      </w:tr>
      <w:tr>
        <w:trPr>
          <w:trHeight w:val="230" w:hRule="atLeast"/>
        </w:trPr>
        <w:tc>
          <w:tcPr>
            <w:tcW w:w="612" w:type="dxa"/>
          </w:tcPr>
          <w:p>
            <w:pPr>
              <w:pStyle w:val="TableParagraph"/>
              <w:ind w:left="50"/>
              <w:rPr>
                <w:sz w:val="20"/>
              </w:rPr>
            </w:pPr>
            <w:r>
              <w:rPr>
                <w:spacing w:val="-4"/>
                <w:sz w:val="20"/>
              </w:rPr>
              <w:t>6720</w:t>
            </w:r>
          </w:p>
        </w:tc>
        <w:tc>
          <w:tcPr>
            <w:tcW w:w="3824" w:type="dxa"/>
          </w:tcPr>
          <w:p>
            <w:pPr>
              <w:pStyle w:val="TableParagraph"/>
              <w:ind w:left="158"/>
              <w:rPr>
                <w:sz w:val="20"/>
              </w:rPr>
            </w:pPr>
            <w:r>
              <w:rPr>
                <w:sz w:val="20"/>
              </w:rPr>
              <w:t>Ghana</w:t>
            </w:r>
            <w:r>
              <w:rPr>
                <w:spacing w:val="-7"/>
                <w:sz w:val="20"/>
              </w:rPr>
              <w:t> </w:t>
            </w:r>
            <w:r>
              <w:rPr>
                <w:spacing w:val="-2"/>
                <w:sz w:val="20"/>
              </w:rPr>
              <w:t>N.E.C.</w:t>
            </w:r>
          </w:p>
        </w:tc>
        <w:tc>
          <w:tcPr>
            <w:tcW w:w="1457" w:type="dxa"/>
          </w:tcPr>
          <w:p>
            <w:pPr>
              <w:pStyle w:val="TableParagraph"/>
              <w:ind w:right="108"/>
              <w:jc w:val="right"/>
              <w:rPr>
                <w:sz w:val="20"/>
              </w:rPr>
            </w:pPr>
            <w:r>
              <w:rPr>
                <w:spacing w:val="-4"/>
                <w:sz w:val="20"/>
              </w:rPr>
              <w:t>6846</w:t>
            </w:r>
          </w:p>
        </w:tc>
        <w:tc>
          <w:tcPr>
            <w:tcW w:w="3328" w:type="dxa"/>
          </w:tcPr>
          <w:p>
            <w:pPr>
              <w:pStyle w:val="TableParagraph"/>
              <w:ind w:left="206"/>
              <w:rPr>
                <w:sz w:val="20"/>
              </w:rPr>
            </w:pPr>
            <w:r>
              <w:rPr>
                <w:sz w:val="20"/>
              </w:rPr>
              <w:t>Western</w:t>
            </w:r>
            <w:r>
              <w:rPr>
                <w:spacing w:val="-7"/>
                <w:sz w:val="20"/>
              </w:rPr>
              <w:t> </w:t>
            </w:r>
            <w:r>
              <w:rPr>
                <w:sz w:val="20"/>
              </w:rPr>
              <w:t>Abnaki</w:t>
            </w:r>
            <w:r>
              <w:rPr>
                <w:spacing w:val="-9"/>
                <w:sz w:val="20"/>
              </w:rPr>
              <w:t> </w:t>
            </w:r>
            <w:r>
              <w:rPr>
                <w:spacing w:val="-4"/>
                <w:sz w:val="20"/>
              </w:rPr>
              <w:t>(abe)</w:t>
            </w:r>
          </w:p>
        </w:tc>
      </w:tr>
      <w:tr>
        <w:trPr>
          <w:trHeight w:val="230" w:hRule="atLeast"/>
        </w:trPr>
        <w:tc>
          <w:tcPr>
            <w:tcW w:w="612" w:type="dxa"/>
          </w:tcPr>
          <w:p>
            <w:pPr>
              <w:pStyle w:val="TableParagraph"/>
              <w:ind w:left="50"/>
              <w:rPr>
                <w:sz w:val="20"/>
              </w:rPr>
            </w:pPr>
            <w:r>
              <w:rPr>
                <w:spacing w:val="-4"/>
                <w:sz w:val="20"/>
              </w:rPr>
              <w:t>6721</w:t>
            </w:r>
          </w:p>
        </w:tc>
        <w:tc>
          <w:tcPr>
            <w:tcW w:w="3824" w:type="dxa"/>
          </w:tcPr>
          <w:p>
            <w:pPr>
              <w:pStyle w:val="TableParagraph"/>
              <w:ind w:left="158"/>
              <w:rPr>
                <w:sz w:val="20"/>
              </w:rPr>
            </w:pPr>
            <w:r>
              <w:rPr>
                <w:sz w:val="20"/>
              </w:rPr>
              <w:t>Guinea</w:t>
            </w:r>
            <w:r>
              <w:rPr>
                <w:spacing w:val="-7"/>
                <w:sz w:val="20"/>
              </w:rPr>
              <w:t> </w:t>
            </w:r>
            <w:r>
              <w:rPr>
                <w:spacing w:val="-2"/>
                <w:sz w:val="20"/>
              </w:rPr>
              <w:t>N.E.C.</w:t>
            </w:r>
          </w:p>
        </w:tc>
        <w:tc>
          <w:tcPr>
            <w:tcW w:w="1457" w:type="dxa"/>
          </w:tcPr>
          <w:p>
            <w:pPr>
              <w:pStyle w:val="TableParagraph"/>
              <w:ind w:right="108"/>
              <w:jc w:val="right"/>
              <w:rPr>
                <w:sz w:val="20"/>
              </w:rPr>
            </w:pPr>
            <w:r>
              <w:rPr>
                <w:spacing w:val="-4"/>
                <w:sz w:val="20"/>
              </w:rPr>
              <w:t>6848</w:t>
            </w:r>
          </w:p>
        </w:tc>
        <w:tc>
          <w:tcPr>
            <w:tcW w:w="3328" w:type="dxa"/>
          </w:tcPr>
          <w:p>
            <w:pPr>
              <w:pStyle w:val="TableParagraph"/>
              <w:ind w:left="206"/>
              <w:rPr>
                <w:sz w:val="20"/>
              </w:rPr>
            </w:pPr>
            <w:r>
              <w:rPr>
                <w:sz w:val="20"/>
              </w:rPr>
              <w:t>Shawnee</w:t>
            </w:r>
            <w:r>
              <w:rPr>
                <w:spacing w:val="-10"/>
                <w:sz w:val="20"/>
              </w:rPr>
              <w:t> </w:t>
            </w:r>
            <w:r>
              <w:rPr>
                <w:spacing w:val="-2"/>
                <w:sz w:val="20"/>
              </w:rPr>
              <w:t>(sjw)</w:t>
            </w:r>
          </w:p>
        </w:tc>
      </w:tr>
      <w:tr>
        <w:trPr>
          <w:trHeight w:val="230" w:hRule="atLeast"/>
        </w:trPr>
        <w:tc>
          <w:tcPr>
            <w:tcW w:w="612" w:type="dxa"/>
          </w:tcPr>
          <w:p>
            <w:pPr>
              <w:pStyle w:val="TableParagraph"/>
              <w:ind w:left="50"/>
              <w:rPr>
                <w:sz w:val="20"/>
              </w:rPr>
            </w:pPr>
            <w:r>
              <w:rPr>
                <w:spacing w:val="-4"/>
                <w:sz w:val="20"/>
              </w:rPr>
              <w:t>6723</w:t>
            </w:r>
          </w:p>
        </w:tc>
        <w:tc>
          <w:tcPr>
            <w:tcW w:w="3824" w:type="dxa"/>
          </w:tcPr>
          <w:p>
            <w:pPr>
              <w:pStyle w:val="TableParagraph"/>
              <w:ind w:left="158"/>
              <w:rPr>
                <w:sz w:val="20"/>
              </w:rPr>
            </w:pPr>
            <w:r>
              <w:rPr>
                <w:sz w:val="20"/>
              </w:rPr>
              <w:t>Kenya</w:t>
            </w:r>
            <w:r>
              <w:rPr>
                <w:spacing w:val="-7"/>
                <w:sz w:val="20"/>
              </w:rPr>
              <w:t> </w:t>
            </w:r>
            <w:r>
              <w:rPr>
                <w:spacing w:val="-2"/>
                <w:sz w:val="20"/>
              </w:rPr>
              <w:t>N.E.C.</w:t>
            </w:r>
          </w:p>
        </w:tc>
        <w:tc>
          <w:tcPr>
            <w:tcW w:w="1457" w:type="dxa"/>
          </w:tcPr>
          <w:p>
            <w:pPr>
              <w:pStyle w:val="TableParagraph"/>
              <w:spacing w:line="240" w:lineRule="auto"/>
              <w:rPr>
                <w:sz w:val="16"/>
              </w:rPr>
            </w:pPr>
          </w:p>
        </w:tc>
        <w:tc>
          <w:tcPr>
            <w:tcW w:w="3328"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6725</w:t>
            </w:r>
          </w:p>
        </w:tc>
        <w:tc>
          <w:tcPr>
            <w:tcW w:w="3824" w:type="dxa"/>
          </w:tcPr>
          <w:p>
            <w:pPr>
              <w:pStyle w:val="TableParagraph"/>
              <w:spacing w:line="211" w:lineRule="exact"/>
              <w:ind w:left="158"/>
              <w:rPr>
                <w:sz w:val="20"/>
              </w:rPr>
            </w:pPr>
            <w:r>
              <w:rPr>
                <w:sz w:val="20"/>
              </w:rPr>
              <w:t>Liberia</w:t>
            </w:r>
            <w:r>
              <w:rPr>
                <w:spacing w:val="-7"/>
                <w:sz w:val="20"/>
              </w:rPr>
              <w:t> </w:t>
            </w:r>
            <w:r>
              <w:rPr>
                <w:spacing w:val="-2"/>
                <w:sz w:val="20"/>
              </w:rPr>
              <w:t>N.E.C.</w:t>
            </w:r>
          </w:p>
        </w:tc>
        <w:tc>
          <w:tcPr>
            <w:tcW w:w="1457" w:type="dxa"/>
          </w:tcPr>
          <w:p>
            <w:pPr>
              <w:pStyle w:val="TableParagraph"/>
              <w:spacing w:line="211" w:lineRule="exact"/>
              <w:ind w:right="108"/>
              <w:jc w:val="right"/>
              <w:rPr>
                <w:sz w:val="20"/>
              </w:rPr>
            </w:pPr>
            <w:r>
              <w:rPr>
                <w:spacing w:val="-4"/>
                <w:sz w:val="20"/>
              </w:rPr>
              <w:t>6849</w:t>
            </w:r>
          </w:p>
        </w:tc>
        <w:tc>
          <w:tcPr>
            <w:tcW w:w="3328" w:type="dxa"/>
          </w:tcPr>
          <w:p>
            <w:pPr>
              <w:pStyle w:val="TableParagraph"/>
              <w:spacing w:line="211" w:lineRule="exact"/>
              <w:ind w:left="206"/>
              <w:rPr>
                <w:sz w:val="20"/>
              </w:rPr>
            </w:pPr>
            <w:r>
              <w:rPr>
                <w:sz w:val="20"/>
              </w:rPr>
              <w:t>Wiyot</w:t>
            </w:r>
            <w:r>
              <w:rPr>
                <w:spacing w:val="-8"/>
                <w:sz w:val="20"/>
              </w:rPr>
              <w:t> </w:t>
            </w:r>
            <w:r>
              <w:rPr>
                <w:spacing w:val="-2"/>
                <w:sz w:val="20"/>
              </w:rPr>
              <w:t>(wiy)</w:t>
            </w:r>
          </w:p>
        </w:tc>
      </w:tr>
      <w:tr>
        <w:trPr>
          <w:trHeight w:val="229" w:hRule="atLeast"/>
        </w:trPr>
        <w:tc>
          <w:tcPr>
            <w:tcW w:w="612" w:type="dxa"/>
          </w:tcPr>
          <w:p>
            <w:pPr>
              <w:pStyle w:val="TableParagraph"/>
              <w:spacing w:line="209" w:lineRule="exact"/>
              <w:ind w:left="50"/>
              <w:rPr>
                <w:sz w:val="20"/>
              </w:rPr>
            </w:pPr>
            <w:r>
              <w:rPr>
                <w:spacing w:val="-4"/>
                <w:sz w:val="20"/>
              </w:rPr>
              <w:t>6728</w:t>
            </w:r>
          </w:p>
        </w:tc>
        <w:tc>
          <w:tcPr>
            <w:tcW w:w="3824" w:type="dxa"/>
          </w:tcPr>
          <w:p>
            <w:pPr>
              <w:pStyle w:val="TableParagraph"/>
              <w:spacing w:line="209" w:lineRule="exact"/>
              <w:ind w:left="158"/>
              <w:rPr>
                <w:sz w:val="20"/>
              </w:rPr>
            </w:pPr>
            <w:r>
              <w:rPr>
                <w:sz w:val="20"/>
              </w:rPr>
              <w:t>Mali</w:t>
            </w:r>
            <w:r>
              <w:rPr>
                <w:spacing w:val="-5"/>
                <w:sz w:val="20"/>
              </w:rPr>
              <w:t> </w:t>
            </w:r>
            <w:r>
              <w:rPr>
                <w:spacing w:val="-2"/>
                <w:sz w:val="20"/>
              </w:rPr>
              <w:t>N.E.C.</w:t>
            </w:r>
          </w:p>
        </w:tc>
        <w:tc>
          <w:tcPr>
            <w:tcW w:w="1457" w:type="dxa"/>
          </w:tcPr>
          <w:p>
            <w:pPr>
              <w:pStyle w:val="TableParagraph"/>
              <w:spacing w:line="209" w:lineRule="exact"/>
              <w:ind w:right="108"/>
              <w:jc w:val="right"/>
              <w:rPr>
                <w:sz w:val="20"/>
              </w:rPr>
            </w:pPr>
            <w:r>
              <w:rPr>
                <w:spacing w:val="-4"/>
                <w:sz w:val="20"/>
              </w:rPr>
              <w:t>6850</w:t>
            </w:r>
          </w:p>
        </w:tc>
        <w:tc>
          <w:tcPr>
            <w:tcW w:w="3328" w:type="dxa"/>
          </w:tcPr>
          <w:p>
            <w:pPr>
              <w:pStyle w:val="TableParagraph"/>
              <w:spacing w:line="209" w:lineRule="exact"/>
              <w:ind w:left="206"/>
              <w:rPr>
                <w:sz w:val="20"/>
              </w:rPr>
            </w:pPr>
            <w:r>
              <w:rPr>
                <w:sz w:val="20"/>
              </w:rPr>
              <w:t>Yurok</w:t>
            </w:r>
            <w:r>
              <w:rPr>
                <w:spacing w:val="-7"/>
                <w:sz w:val="20"/>
              </w:rPr>
              <w:t> </w:t>
            </w:r>
            <w:r>
              <w:rPr>
                <w:spacing w:val="-2"/>
                <w:sz w:val="20"/>
              </w:rPr>
              <w:t>(yur)</w:t>
            </w:r>
          </w:p>
        </w:tc>
      </w:tr>
      <w:tr>
        <w:trPr>
          <w:trHeight w:val="229" w:hRule="atLeast"/>
        </w:trPr>
        <w:tc>
          <w:tcPr>
            <w:tcW w:w="612" w:type="dxa"/>
          </w:tcPr>
          <w:p>
            <w:pPr>
              <w:pStyle w:val="TableParagraph"/>
              <w:spacing w:line="209" w:lineRule="exact"/>
              <w:ind w:left="50"/>
              <w:rPr>
                <w:sz w:val="20"/>
              </w:rPr>
            </w:pPr>
            <w:r>
              <w:rPr>
                <w:spacing w:val="-4"/>
                <w:sz w:val="20"/>
              </w:rPr>
              <w:t>6733</w:t>
            </w:r>
          </w:p>
        </w:tc>
        <w:tc>
          <w:tcPr>
            <w:tcW w:w="3824" w:type="dxa"/>
          </w:tcPr>
          <w:p>
            <w:pPr>
              <w:pStyle w:val="TableParagraph"/>
              <w:spacing w:line="209" w:lineRule="exact"/>
              <w:ind w:left="158"/>
              <w:rPr>
                <w:sz w:val="20"/>
              </w:rPr>
            </w:pPr>
            <w:r>
              <w:rPr>
                <w:spacing w:val="-2"/>
                <w:sz w:val="20"/>
              </w:rPr>
              <w:t>Mozambique</w:t>
            </w:r>
            <w:r>
              <w:rPr>
                <w:spacing w:val="7"/>
                <w:sz w:val="20"/>
              </w:rPr>
              <w:t> </w:t>
            </w:r>
            <w:r>
              <w:rPr>
                <w:spacing w:val="-2"/>
                <w:sz w:val="20"/>
              </w:rPr>
              <w:t>N.E.C.</w:t>
            </w:r>
          </w:p>
        </w:tc>
        <w:tc>
          <w:tcPr>
            <w:tcW w:w="1457" w:type="dxa"/>
          </w:tcPr>
          <w:p>
            <w:pPr>
              <w:pStyle w:val="TableParagraph"/>
              <w:spacing w:line="209" w:lineRule="exact"/>
              <w:ind w:right="108"/>
              <w:jc w:val="right"/>
              <w:rPr>
                <w:sz w:val="20"/>
              </w:rPr>
            </w:pPr>
            <w:r>
              <w:rPr>
                <w:spacing w:val="-4"/>
                <w:sz w:val="20"/>
              </w:rPr>
              <w:t>6856</w:t>
            </w:r>
          </w:p>
        </w:tc>
        <w:tc>
          <w:tcPr>
            <w:tcW w:w="3328" w:type="dxa"/>
          </w:tcPr>
          <w:p>
            <w:pPr>
              <w:pStyle w:val="TableParagraph"/>
              <w:spacing w:line="209" w:lineRule="exact"/>
              <w:ind w:left="206"/>
              <w:rPr>
                <w:sz w:val="20"/>
              </w:rPr>
            </w:pPr>
            <w:r>
              <w:rPr>
                <w:sz w:val="20"/>
              </w:rPr>
              <w:t>Kutenai</w:t>
            </w:r>
            <w:r>
              <w:rPr>
                <w:spacing w:val="-8"/>
                <w:sz w:val="20"/>
              </w:rPr>
              <w:t> </w:t>
            </w:r>
            <w:r>
              <w:rPr>
                <w:spacing w:val="-2"/>
                <w:sz w:val="20"/>
              </w:rPr>
              <w:t>(kut)</w:t>
            </w:r>
          </w:p>
        </w:tc>
      </w:tr>
      <w:tr>
        <w:trPr>
          <w:trHeight w:val="230" w:hRule="atLeast"/>
        </w:trPr>
        <w:tc>
          <w:tcPr>
            <w:tcW w:w="612" w:type="dxa"/>
          </w:tcPr>
          <w:p>
            <w:pPr>
              <w:pStyle w:val="TableParagraph"/>
              <w:ind w:left="50"/>
              <w:rPr>
                <w:sz w:val="20"/>
              </w:rPr>
            </w:pPr>
            <w:r>
              <w:rPr>
                <w:spacing w:val="-4"/>
                <w:sz w:val="20"/>
              </w:rPr>
              <w:t>6734</w:t>
            </w:r>
          </w:p>
        </w:tc>
        <w:tc>
          <w:tcPr>
            <w:tcW w:w="3824" w:type="dxa"/>
          </w:tcPr>
          <w:p>
            <w:pPr>
              <w:pStyle w:val="TableParagraph"/>
              <w:ind w:left="158"/>
              <w:rPr>
                <w:sz w:val="20"/>
              </w:rPr>
            </w:pPr>
            <w:r>
              <w:rPr>
                <w:sz w:val="20"/>
              </w:rPr>
              <w:t>Namibia</w:t>
            </w:r>
            <w:r>
              <w:rPr>
                <w:spacing w:val="-9"/>
                <w:sz w:val="20"/>
              </w:rPr>
              <w:t> </w:t>
            </w:r>
            <w:r>
              <w:rPr>
                <w:spacing w:val="-2"/>
                <w:sz w:val="20"/>
              </w:rPr>
              <w:t>N.E.C.</w:t>
            </w:r>
          </w:p>
        </w:tc>
        <w:tc>
          <w:tcPr>
            <w:tcW w:w="1457" w:type="dxa"/>
          </w:tcPr>
          <w:p>
            <w:pPr>
              <w:pStyle w:val="TableParagraph"/>
              <w:ind w:right="108"/>
              <w:jc w:val="right"/>
              <w:rPr>
                <w:sz w:val="20"/>
              </w:rPr>
            </w:pPr>
            <w:r>
              <w:rPr>
                <w:spacing w:val="-4"/>
                <w:sz w:val="20"/>
              </w:rPr>
              <w:t>6857</w:t>
            </w:r>
          </w:p>
        </w:tc>
        <w:tc>
          <w:tcPr>
            <w:tcW w:w="3328" w:type="dxa"/>
          </w:tcPr>
          <w:p>
            <w:pPr>
              <w:pStyle w:val="TableParagraph"/>
              <w:ind w:left="206"/>
              <w:rPr>
                <w:sz w:val="20"/>
              </w:rPr>
            </w:pPr>
            <w:r>
              <w:rPr>
                <w:sz w:val="20"/>
              </w:rPr>
              <w:t>Quileute</w:t>
            </w:r>
            <w:r>
              <w:rPr>
                <w:spacing w:val="-9"/>
                <w:sz w:val="20"/>
              </w:rPr>
              <w:t> </w:t>
            </w:r>
            <w:r>
              <w:rPr>
                <w:spacing w:val="-2"/>
                <w:sz w:val="20"/>
              </w:rPr>
              <w:t>(qui)</w:t>
            </w:r>
          </w:p>
        </w:tc>
      </w:tr>
      <w:tr>
        <w:trPr>
          <w:trHeight w:val="230" w:hRule="atLeast"/>
        </w:trPr>
        <w:tc>
          <w:tcPr>
            <w:tcW w:w="612" w:type="dxa"/>
          </w:tcPr>
          <w:p>
            <w:pPr>
              <w:pStyle w:val="TableParagraph"/>
              <w:ind w:left="50"/>
              <w:rPr>
                <w:sz w:val="20"/>
              </w:rPr>
            </w:pPr>
            <w:r>
              <w:rPr>
                <w:spacing w:val="-4"/>
                <w:sz w:val="20"/>
              </w:rPr>
              <w:t>6735</w:t>
            </w:r>
          </w:p>
        </w:tc>
        <w:tc>
          <w:tcPr>
            <w:tcW w:w="3824" w:type="dxa"/>
          </w:tcPr>
          <w:p>
            <w:pPr>
              <w:pStyle w:val="TableParagraph"/>
              <w:ind w:left="158"/>
              <w:rPr>
                <w:sz w:val="20"/>
              </w:rPr>
            </w:pPr>
            <w:r>
              <w:rPr>
                <w:sz w:val="20"/>
              </w:rPr>
              <w:t>Niger</w:t>
            </w:r>
            <w:r>
              <w:rPr>
                <w:spacing w:val="-6"/>
                <w:sz w:val="20"/>
              </w:rPr>
              <w:t> </w:t>
            </w:r>
            <w:r>
              <w:rPr>
                <w:spacing w:val="-2"/>
                <w:sz w:val="20"/>
              </w:rPr>
              <w:t>N.E.C.</w:t>
            </w:r>
          </w:p>
        </w:tc>
        <w:tc>
          <w:tcPr>
            <w:tcW w:w="1457" w:type="dxa"/>
          </w:tcPr>
          <w:p>
            <w:pPr>
              <w:pStyle w:val="TableParagraph"/>
              <w:ind w:right="108"/>
              <w:jc w:val="right"/>
              <w:rPr>
                <w:sz w:val="20"/>
              </w:rPr>
            </w:pPr>
            <w:r>
              <w:rPr>
                <w:spacing w:val="-4"/>
                <w:sz w:val="20"/>
              </w:rPr>
              <w:t>6859</w:t>
            </w:r>
          </w:p>
        </w:tc>
        <w:tc>
          <w:tcPr>
            <w:tcW w:w="3328" w:type="dxa"/>
          </w:tcPr>
          <w:p>
            <w:pPr>
              <w:pStyle w:val="TableParagraph"/>
              <w:ind w:left="206"/>
              <w:rPr>
                <w:sz w:val="20"/>
              </w:rPr>
            </w:pPr>
            <w:r>
              <w:rPr>
                <w:sz w:val="20"/>
              </w:rPr>
              <w:t>Kwakiutl</w:t>
            </w:r>
            <w:r>
              <w:rPr>
                <w:spacing w:val="-12"/>
                <w:sz w:val="20"/>
              </w:rPr>
              <w:t> </w:t>
            </w:r>
            <w:r>
              <w:rPr>
                <w:spacing w:val="-2"/>
                <w:sz w:val="20"/>
              </w:rPr>
              <w:t>(kwk)</w:t>
            </w:r>
          </w:p>
        </w:tc>
      </w:tr>
      <w:tr>
        <w:trPr>
          <w:trHeight w:val="230" w:hRule="atLeast"/>
        </w:trPr>
        <w:tc>
          <w:tcPr>
            <w:tcW w:w="612" w:type="dxa"/>
          </w:tcPr>
          <w:p>
            <w:pPr>
              <w:pStyle w:val="TableParagraph"/>
              <w:ind w:left="50"/>
              <w:rPr>
                <w:sz w:val="20"/>
              </w:rPr>
            </w:pPr>
            <w:r>
              <w:rPr>
                <w:spacing w:val="-4"/>
                <w:sz w:val="20"/>
              </w:rPr>
              <w:t>6736</w:t>
            </w:r>
          </w:p>
        </w:tc>
        <w:tc>
          <w:tcPr>
            <w:tcW w:w="3824" w:type="dxa"/>
          </w:tcPr>
          <w:p>
            <w:pPr>
              <w:pStyle w:val="TableParagraph"/>
              <w:ind w:left="158"/>
              <w:rPr>
                <w:sz w:val="20"/>
              </w:rPr>
            </w:pPr>
            <w:r>
              <w:rPr>
                <w:sz w:val="20"/>
              </w:rPr>
              <w:t>Nigeria</w:t>
            </w:r>
            <w:r>
              <w:rPr>
                <w:spacing w:val="-7"/>
                <w:sz w:val="20"/>
              </w:rPr>
              <w:t> </w:t>
            </w:r>
            <w:r>
              <w:rPr>
                <w:spacing w:val="-2"/>
                <w:sz w:val="20"/>
              </w:rPr>
              <w:t>N.E.C.</w:t>
            </w:r>
          </w:p>
        </w:tc>
        <w:tc>
          <w:tcPr>
            <w:tcW w:w="1457" w:type="dxa"/>
          </w:tcPr>
          <w:p>
            <w:pPr>
              <w:pStyle w:val="TableParagraph"/>
              <w:ind w:right="108"/>
              <w:jc w:val="right"/>
              <w:rPr>
                <w:sz w:val="20"/>
              </w:rPr>
            </w:pPr>
            <w:r>
              <w:rPr>
                <w:spacing w:val="-4"/>
                <w:sz w:val="20"/>
              </w:rPr>
              <w:t>6861</w:t>
            </w:r>
          </w:p>
        </w:tc>
        <w:tc>
          <w:tcPr>
            <w:tcW w:w="3328" w:type="dxa"/>
          </w:tcPr>
          <w:p>
            <w:pPr>
              <w:pStyle w:val="TableParagraph"/>
              <w:ind w:left="206"/>
              <w:rPr>
                <w:sz w:val="20"/>
              </w:rPr>
            </w:pPr>
            <w:r>
              <w:rPr>
                <w:sz w:val="20"/>
              </w:rPr>
              <w:t>Ditidaht</w:t>
            </w:r>
            <w:r>
              <w:rPr>
                <w:spacing w:val="-9"/>
                <w:sz w:val="20"/>
              </w:rPr>
              <w:t> </w:t>
            </w:r>
            <w:r>
              <w:rPr>
                <w:spacing w:val="-2"/>
                <w:sz w:val="20"/>
              </w:rPr>
              <w:t>(dtd)</w:t>
            </w:r>
          </w:p>
        </w:tc>
      </w:tr>
      <w:tr>
        <w:trPr>
          <w:trHeight w:val="230" w:hRule="atLeast"/>
        </w:trPr>
        <w:tc>
          <w:tcPr>
            <w:tcW w:w="612" w:type="dxa"/>
          </w:tcPr>
          <w:p>
            <w:pPr>
              <w:pStyle w:val="TableParagraph"/>
              <w:ind w:left="50"/>
              <w:rPr>
                <w:sz w:val="20"/>
              </w:rPr>
            </w:pPr>
            <w:r>
              <w:rPr>
                <w:spacing w:val="-4"/>
                <w:sz w:val="20"/>
              </w:rPr>
              <w:t>6738</w:t>
            </w:r>
          </w:p>
        </w:tc>
        <w:tc>
          <w:tcPr>
            <w:tcW w:w="3824" w:type="dxa"/>
          </w:tcPr>
          <w:p>
            <w:pPr>
              <w:pStyle w:val="TableParagraph"/>
              <w:ind w:left="158"/>
              <w:rPr>
                <w:sz w:val="20"/>
              </w:rPr>
            </w:pPr>
            <w:r>
              <w:rPr>
                <w:sz w:val="20"/>
              </w:rPr>
              <w:t>Senegal</w:t>
            </w:r>
            <w:r>
              <w:rPr>
                <w:spacing w:val="-9"/>
                <w:sz w:val="20"/>
              </w:rPr>
              <w:t> </w:t>
            </w:r>
            <w:r>
              <w:rPr>
                <w:spacing w:val="-2"/>
                <w:sz w:val="20"/>
              </w:rPr>
              <w:t>N.E.C.</w:t>
            </w:r>
          </w:p>
        </w:tc>
        <w:tc>
          <w:tcPr>
            <w:tcW w:w="1457" w:type="dxa"/>
          </w:tcPr>
          <w:p>
            <w:pPr>
              <w:pStyle w:val="TableParagraph"/>
              <w:ind w:right="108"/>
              <w:jc w:val="right"/>
              <w:rPr>
                <w:sz w:val="20"/>
              </w:rPr>
            </w:pPr>
            <w:r>
              <w:rPr>
                <w:spacing w:val="-4"/>
                <w:sz w:val="20"/>
              </w:rPr>
              <w:t>6862</w:t>
            </w:r>
          </w:p>
        </w:tc>
        <w:tc>
          <w:tcPr>
            <w:tcW w:w="3328" w:type="dxa"/>
          </w:tcPr>
          <w:p>
            <w:pPr>
              <w:pStyle w:val="TableParagraph"/>
              <w:ind w:left="206"/>
              <w:rPr>
                <w:sz w:val="20"/>
              </w:rPr>
            </w:pPr>
            <w:r>
              <w:rPr>
                <w:spacing w:val="-2"/>
                <w:sz w:val="20"/>
              </w:rPr>
              <w:t>Nuu-chah-nulth</w:t>
            </w:r>
            <w:r>
              <w:rPr>
                <w:spacing w:val="12"/>
                <w:sz w:val="20"/>
              </w:rPr>
              <w:t> </w:t>
            </w:r>
            <w:r>
              <w:rPr>
                <w:spacing w:val="-4"/>
                <w:sz w:val="20"/>
              </w:rPr>
              <w:t>(nuk)</w:t>
            </w:r>
          </w:p>
        </w:tc>
      </w:tr>
      <w:tr>
        <w:trPr>
          <w:trHeight w:val="229" w:hRule="atLeast"/>
        </w:trPr>
        <w:tc>
          <w:tcPr>
            <w:tcW w:w="612" w:type="dxa"/>
          </w:tcPr>
          <w:p>
            <w:pPr>
              <w:pStyle w:val="TableParagraph"/>
              <w:spacing w:line="209" w:lineRule="exact"/>
              <w:ind w:left="50"/>
              <w:rPr>
                <w:sz w:val="20"/>
              </w:rPr>
            </w:pPr>
            <w:r>
              <w:rPr>
                <w:spacing w:val="-4"/>
                <w:sz w:val="20"/>
              </w:rPr>
              <w:t>6740</w:t>
            </w:r>
          </w:p>
        </w:tc>
        <w:tc>
          <w:tcPr>
            <w:tcW w:w="3824" w:type="dxa"/>
          </w:tcPr>
          <w:p>
            <w:pPr>
              <w:pStyle w:val="TableParagraph"/>
              <w:spacing w:line="209" w:lineRule="exact"/>
              <w:ind w:left="158"/>
              <w:rPr>
                <w:sz w:val="20"/>
              </w:rPr>
            </w:pPr>
            <w:r>
              <w:rPr>
                <w:sz w:val="20"/>
              </w:rPr>
              <w:t>Sierra</w:t>
            </w:r>
            <w:r>
              <w:rPr>
                <w:spacing w:val="-7"/>
                <w:sz w:val="20"/>
              </w:rPr>
              <w:t> </w:t>
            </w:r>
            <w:r>
              <w:rPr>
                <w:sz w:val="20"/>
              </w:rPr>
              <w:t>Leone</w:t>
            </w:r>
            <w:r>
              <w:rPr>
                <w:spacing w:val="-6"/>
                <w:sz w:val="20"/>
              </w:rPr>
              <w:t> </w:t>
            </w:r>
            <w:r>
              <w:rPr>
                <w:spacing w:val="-2"/>
                <w:sz w:val="20"/>
              </w:rPr>
              <w:t>N.E.C.</w:t>
            </w:r>
          </w:p>
        </w:tc>
        <w:tc>
          <w:tcPr>
            <w:tcW w:w="1457" w:type="dxa"/>
          </w:tcPr>
          <w:p>
            <w:pPr>
              <w:pStyle w:val="TableParagraph"/>
              <w:spacing w:line="209" w:lineRule="exact"/>
              <w:ind w:right="108"/>
              <w:jc w:val="right"/>
              <w:rPr>
                <w:sz w:val="20"/>
              </w:rPr>
            </w:pPr>
            <w:r>
              <w:rPr>
                <w:spacing w:val="-4"/>
                <w:sz w:val="20"/>
              </w:rPr>
              <w:t>6863</w:t>
            </w:r>
          </w:p>
        </w:tc>
        <w:tc>
          <w:tcPr>
            <w:tcW w:w="3328" w:type="dxa"/>
          </w:tcPr>
          <w:p>
            <w:pPr>
              <w:pStyle w:val="TableParagraph"/>
              <w:spacing w:line="209" w:lineRule="exact"/>
              <w:ind w:left="206"/>
              <w:rPr>
                <w:sz w:val="20"/>
              </w:rPr>
            </w:pPr>
            <w:r>
              <w:rPr>
                <w:sz w:val="20"/>
              </w:rPr>
              <w:t>Makah</w:t>
            </w:r>
            <w:r>
              <w:rPr>
                <w:spacing w:val="-9"/>
                <w:sz w:val="20"/>
              </w:rPr>
              <w:t> </w:t>
            </w:r>
            <w:r>
              <w:rPr>
                <w:spacing w:val="-2"/>
                <w:sz w:val="20"/>
              </w:rPr>
              <w:t>(myh)</w:t>
            </w:r>
          </w:p>
        </w:tc>
      </w:tr>
      <w:tr>
        <w:trPr>
          <w:trHeight w:val="229" w:hRule="atLeast"/>
        </w:trPr>
        <w:tc>
          <w:tcPr>
            <w:tcW w:w="612" w:type="dxa"/>
          </w:tcPr>
          <w:p>
            <w:pPr>
              <w:pStyle w:val="TableParagraph"/>
              <w:spacing w:line="209" w:lineRule="exact"/>
              <w:ind w:left="50"/>
              <w:rPr>
                <w:sz w:val="20"/>
              </w:rPr>
            </w:pPr>
            <w:r>
              <w:rPr>
                <w:spacing w:val="-4"/>
                <w:sz w:val="20"/>
              </w:rPr>
              <w:t>6745</w:t>
            </w:r>
          </w:p>
        </w:tc>
        <w:tc>
          <w:tcPr>
            <w:tcW w:w="3824" w:type="dxa"/>
          </w:tcPr>
          <w:p>
            <w:pPr>
              <w:pStyle w:val="TableParagraph"/>
              <w:spacing w:line="209" w:lineRule="exact"/>
              <w:ind w:left="158"/>
              <w:rPr>
                <w:sz w:val="20"/>
              </w:rPr>
            </w:pPr>
            <w:r>
              <w:rPr>
                <w:sz w:val="20"/>
              </w:rPr>
              <w:t>Sudan</w:t>
            </w:r>
            <w:r>
              <w:rPr>
                <w:spacing w:val="-7"/>
                <w:sz w:val="20"/>
              </w:rPr>
              <w:t> </w:t>
            </w:r>
            <w:r>
              <w:rPr>
                <w:spacing w:val="-2"/>
                <w:sz w:val="20"/>
              </w:rPr>
              <w:t>N.E.C.</w:t>
            </w:r>
          </w:p>
        </w:tc>
        <w:tc>
          <w:tcPr>
            <w:tcW w:w="1457" w:type="dxa"/>
          </w:tcPr>
          <w:p>
            <w:pPr>
              <w:pStyle w:val="TableParagraph"/>
              <w:spacing w:line="240" w:lineRule="auto"/>
              <w:rPr>
                <w:sz w:val="16"/>
              </w:rPr>
            </w:pPr>
          </w:p>
        </w:tc>
        <w:tc>
          <w:tcPr>
            <w:tcW w:w="3328"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6747</w:t>
            </w:r>
          </w:p>
        </w:tc>
        <w:tc>
          <w:tcPr>
            <w:tcW w:w="3824" w:type="dxa"/>
          </w:tcPr>
          <w:p>
            <w:pPr>
              <w:pStyle w:val="TableParagraph"/>
              <w:ind w:left="158"/>
              <w:rPr>
                <w:sz w:val="20"/>
              </w:rPr>
            </w:pPr>
            <w:r>
              <w:rPr>
                <w:sz w:val="20"/>
              </w:rPr>
              <w:t>Tanzania</w:t>
            </w:r>
            <w:r>
              <w:rPr>
                <w:spacing w:val="-9"/>
                <w:sz w:val="20"/>
              </w:rPr>
              <w:t> </w:t>
            </w:r>
            <w:r>
              <w:rPr>
                <w:spacing w:val="-2"/>
                <w:sz w:val="20"/>
              </w:rPr>
              <w:t>N.E.C.</w:t>
            </w:r>
          </w:p>
        </w:tc>
        <w:tc>
          <w:tcPr>
            <w:tcW w:w="1457" w:type="dxa"/>
          </w:tcPr>
          <w:p>
            <w:pPr>
              <w:pStyle w:val="TableParagraph"/>
              <w:ind w:right="25"/>
              <w:jc w:val="right"/>
              <w:rPr>
                <w:i/>
                <w:sz w:val="20"/>
              </w:rPr>
            </w:pPr>
            <w:r>
              <w:rPr>
                <w:i/>
                <w:spacing w:val="-2"/>
                <w:sz w:val="20"/>
              </w:rPr>
              <w:t>Salish</w:t>
            </w:r>
          </w:p>
        </w:tc>
        <w:tc>
          <w:tcPr>
            <w:tcW w:w="3328" w:type="dxa"/>
          </w:tcPr>
          <w:p>
            <w:pPr>
              <w:pStyle w:val="TableParagraph"/>
              <w:ind w:left="25"/>
              <w:rPr>
                <w:i/>
                <w:sz w:val="20"/>
              </w:rPr>
            </w:pPr>
            <w:r>
              <w:rPr>
                <w:i/>
                <w:sz w:val="20"/>
              </w:rPr>
              <w:t>languages</w:t>
            </w:r>
            <w:r>
              <w:rPr>
                <w:i/>
                <w:spacing w:val="-12"/>
                <w:sz w:val="20"/>
              </w:rPr>
              <w:t> </w:t>
            </w:r>
            <w:r>
              <w:rPr>
                <w:i/>
                <w:sz w:val="20"/>
              </w:rPr>
              <w:t>(6866-</w:t>
            </w:r>
            <w:r>
              <w:rPr>
                <w:i/>
                <w:spacing w:val="-4"/>
                <w:sz w:val="20"/>
              </w:rPr>
              <w:t>6891)</w:t>
            </w:r>
          </w:p>
        </w:tc>
      </w:tr>
      <w:tr>
        <w:trPr>
          <w:trHeight w:val="230" w:hRule="atLeast"/>
        </w:trPr>
        <w:tc>
          <w:tcPr>
            <w:tcW w:w="612" w:type="dxa"/>
          </w:tcPr>
          <w:p>
            <w:pPr>
              <w:pStyle w:val="TableParagraph"/>
              <w:ind w:left="50"/>
              <w:rPr>
                <w:sz w:val="20"/>
              </w:rPr>
            </w:pPr>
            <w:r>
              <w:rPr>
                <w:spacing w:val="-4"/>
                <w:sz w:val="20"/>
              </w:rPr>
              <w:t>6750</w:t>
            </w:r>
          </w:p>
        </w:tc>
        <w:tc>
          <w:tcPr>
            <w:tcW w:w="3824" w:type="dxa"/>
          </w:tcPr>
          <w:p>
            <w:pPr>
              <w:pStyle w:val="TableParagraph"/>
              <w:ind w:left="158"/>
              <w:rPr>
                <w:sz w:val="20"/>
              </w:rPr>
            </w:pPr>
            <w:r>
              <w:rPr>
                <w:sz w:val="20"/>
              </w:rPr>
              <w:t>Uganda</w:t>
            </w:r>
            <w:r>
              <w:rPr>
                <w:spacing w:val="-7"/>
                <w:sz w:val="20"/>
              </w:rPr>
              <w:t> </w:t>
            </w:r>
            <w:r>
              <w:rPr>
                <w:spacing w:val="-2"/>
                <w:sz w:val="20"/>
              </w:rPr>
              <w:t>N.E.C.</w:t>
            </w:r>
          </w:p>
        </w:tc>
        <w:tc>
          <w:tcPr>
            <w:tcW w:w="1457" w:type="dxa"/>
          </w:tcPr>
          <w:p>
            <w:pPr>
              <w:pStyle w:val="TableParagraph"/>
              <w:ind w:right="108"/>
              <w:jc w:val="right"/>
              <w:rPr>
                <w:sz w:val="20"/>
              </w:rPr>
            </w:pPr>
            <w:r>
              <w:rPr>
                <w:spacing w:val="-4"/>
                <w:sz w:val="20"/>
              </w:rPr>
              <w:t>6866</w:t>
            </w:r>
          </w:p>
        </w:tc>
        <w:tc>
          <w:tcPr>
            <w:tcW w:w="3328" w:type="dxa"/>
          </w:tcPr>
          <w:p>
            <w:pPr>
              <w:pStyle w:val="TableParagraph"/>
              <w:ind w:left="206"/>
              <w:rPr>
                <w:sz w:val="20"/>
              </w:rPr>
            </w:pPr>
            <w:r>
              <w:rPr>
                <w:sz w:val="20"/>
              </w:rPr>
              <w:t>Quinault</w:t>
            </w:r>
            <w:r>
              <w:rPr>
                <w:spacing w:val="-8"/>
                <w:sz w:val="20"/>
              </w:rPr>
              <w:t> </w:t>
            </w:r>
            <w:r>
              <w:rPr>
                <w:spacing w:val="-2"/>
                <w:sz w:val="20"/>
              </w:rPr>
              <w:t>(qun)</w:t>
            </w:r>
          </w:p>
        </w:tc>
      </w:tr>
      <w:tr>
        <w:trPr>
          <w:trHeight w:val="225" w:hRule="atLeast"/>
        </w:trPr>
        <w:tc>
          <w:tcPr>
            <w:tcW w:w="612" w:type="dxa"/>
          </w:tcPr>
          <w:p>
            <w:pPr>
              <w:pStyle w:val="TableParagraph"/>
              <w:spacing w:line="205" w:lineRule="exact"/>
              <w:ind w:left="50"/>
              <w:rPr>
                <w:sz w:val="20"/>
              </w:rPr>
            </w:pPr>
            <w:r>
              <w:rPr>
                <w:spacing w:val="-4"/>
                <w:sz w:val="20"/>
              </w:rPr>
              <w:t>6795</w:t>
            </w:r>
          </w:p>
        </w:tc>
        <w:tc>
          <w:tcPr>
            <w:tcW w:w="3824" w:type="dxa"/>
          </w:tcPr>
          <w:p>
            <w:pPr>
              <w:pStyle w:val="TableParagraph"/>
              <w:spacing w:line="205" w:lineRule="exact"/>
              <w:ind w:left="158"/>
              <w:rPr>
                <w:sz w:val="20"/>
              </w:rPr>
            </w:pPr>
            <w:r>
              <w:rPr>
                <w:sz w:val="20"/>
              </w:rPr>
              <w:t>Africa</w:t>
            </w:r>
            <w:r>
              <w:rPr>
                <w:spacing w:val="-8"/>
                <w:sz w:val="20"/>
              </w:rPr>
              <w:t> </w:t>
            </w:r>
            <w:r>
              <w:rPr>
                <w:spacing w:val="-2"/>
                <w:sz w:val="20"/>
              </w:rPr>
              <w:t>N.E.C.</w:t>
            </w:r>
          </w:p>
        </w:tc>
        <w:tc>
          <w:tcPr>
            <w:tcW w:w="1457" w:type="dxa"/>
          </w:tcPr>
          <w:p>
            <w:pPr>
              <w:pStyle w:val="TableParagraph"/>
              <w:spacing w:line="205" w:lineRule="exact"/>
              <w:ind w:right="108"/>
              <w:jc w:val="right"/>
              <w:rPr>
                <w:sz w:val="20"/>
              </w:rPr>
            </w:pPr>
            <w:r>
              <w:rPr>
                <w:spacing w:val="-4"/>
                <w:sz w:val="20"/>
              </w:rPr>
              <w:t>6867</w:t>
            </w:r>
          </w:p>
        </w:tc>
        <w:tc>
          <w:tcPr>
            <w:tcW w:w="3328" w:type="dxa"/>
          </w:tcPr>
          <w:p>
            <w:pPr>
              <w:pStyle w:val="TableParagraph"/>
              <w:spacing w:line="205" w:lineRule="exact"/>
              <w:ind w:left="206"/>
              <w:rPr>
                <w:sz w:val="20"/>
              </w:rPr>
            </w:pPr>
            <w:r>
              <w:rPr>
                <w:sz w:val="20"/>
              </w:rPr>
              <w:t>Lower</w:t>
            </w:r>
            <w:r>
              <w:rPr>
                <w:spacing w:val="-7"/>
                <w:sz w:val="20"/>
              </w:rPr>
              <w:t> </w:t>
            </w:r>
            <w:r>
              <w:rPr>
                <w:sz w:val="20"/>
              </w:rPr>
              <w:t>Chehalis</w:t>
            </w:r>
            <w:r>
              <w:rPr>
                <w:spacing w:val="-8"/>
                <w:sz w:val="20"/>
              </w:rPr>
              <w:t> </w:t>
            </w:r>
            <w:r>
              <w:rPr>
                <w:spacing w:val="-2"/>
                <w:sz w:val="20"/>
              </w:rPr>
              <w:t>(cea)</w:t>
            </w:r>
          </w:p>
        </w:tc>
      </w:tr>
    </w:tbl>
    <w:p>
      <w:pPr>
        <w:spacing w:after="0" w:line="205" w:lineRule="exact"/>
        <w:rPr>
          <w:sz w:val="20"/>
        </w:rPr>
        <w:sectPr>
          <w:footerReference w:type="default" r:id="rId91"/>
          <w:pgSz w:w="12240" w:h="15840"/>
          <w:pgMar w:footer="0" w:header="0" w:top="1140" w:bottom="280" w:left="600" w:right="500"/>
        </w:sectPr>
      </w:pPr>
    </w:p>
    <w:p>
      <w:pPr>
        <w:tabs>
          <w:tab w:pos="1272" w:val="left" w:leader="none"/>
          <w:tab w:pos="5880" w:val="left" w:leader="none"/>
        </w:tabs>
        <w:spacing w:before="67" w:after="10"/>
        <w:ind w:left="552" w:right="0" w:firstLine="0"/>
        <w:jc w:val="left"/>
        <w:rPr>
          <w:rFonts w:ascii="Times New Roman"/>
          <w:i/>
          <w:sz w:val="20"/>
        </w:rPr>
      </w:pPr>
      <w:r>
        <w:rPr>
          <w:rFonts w:ascii="Times New Roman"/>
          <w:spacing w:val="-4"/>
          <w:sz w:val="20"/>
        </w:rPr>
        <w:t>6868</w:t>
      </w:r>
      <w:r>
        <w:rPr>
          <w:rFonts w:ascii="Times New Roman"/>
          <w:sz w:val="20"/>
        </w:rPr>
        <w:tab/>
        <w:t>Upper</w:t>
      </w:r>
      <w:r>
        <w:rPr>
          <w:rFonts w:ascii="Times New Roman"/>
          <w:spacing w:val="-6"/>
          <w:sz w:val="20"/>
        </w:rPr>
        <w:t> </w:t>
      </w:r>
      <w:r>
        <w:rPr>
          <w:rFonts w:ascii="Times New Roman"/>
          <w:sz w:val="20"/>
        </w:rPr>
        <w:t>Chehalis</w:t>
      </w:r>
      <w:r>
        <w:rPr>
          <w:rFonts w:ascii="Times New Roman"/>
          <w:spacing w:val="-6"/>
          <w:sz w:val="20"/>
        </w:rPr>
        <w:t> </w:t>
      </w:r>
      <w:r>
        <w:rPr>
          <w:rFonts w:ascii="Times New Roman"/>
          <w:spacing w:val="-4"/>
          <w:sz w:val="20"/>
        </w:rPr>
        <w:t>(cjh)</w:t>
      </w:r>
      <w:r>
        <w:rPr>
          <w:rFonts w:ascii="Times New Roman"/>
          <w:sz w:val="20"/>
        </w:rPr>
        <w:tab/>
      </w:r>
      <w:r>
        <w:rPr>
          <w:rFonts w:ascii="Times New Roman"/>
          <w:i/>
          <w:sz w:val="20"/>
        </w:rPr>
        <w:t>Kiowa-Tanoan</w:t>
      </w:r>
      <w:r>
        <w:rPr>
          <w:rFonts w:ascii="Times New Roman"/>
          <w:i/>
          <w:spacing w:val="-11"/>
          <w:sz w:val="20"/>
        </w:rPr>
        <w:t> </w:t>
      </w:r>
      <w:r>
        <w:rPr>
          <w:rFonts w:ascii="Times New Roman"/>
          <w:i/>
          <w:sz w:val="20"/>
        </w:rPr>
        <w:t>languages</w:t>
      </w:r>
      <w:r>
        <w:rPr>
          <w:rFonts w:ascii="Times New Roman"/>
          <w:i/>
          <w:spacing w:val="-12"/>
          <w:sz w:val="20"/>
        </w:rPr>
        <w:t> </w:t>
      </w:r>
      <w:r>
        <w:rPr>
          <w:rFonts w:ascii="Times New Roman"/>
          <w:i/>
          <w:sz w:val="20"/>
        </w:rPr>
        <w:t>(6936-</w:t>
      </w:r>
      <w:r>
        <w:rPr>
          <w:rFonts w:ascii="Times New Roman"/>
          <w:i/>
          <w:spacing w:val="-2"/>
          <w:sz w:val="20"/>
        </w:rPr>
        <w:t>6941)</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944"/>
        <w:gridCol w:w="1386"/>
        <w:gridCol w:w="2965"/>
      </w:tblGrid>
      <w:tr>
        <w:trPr>
          <w:trHeight w:val="224" w:hRule="atLeast"/>
        </w:trPr>
        <w:tc>
          <w:tcPr>
            <w:tcW w:w="612" w:type="dxa"/>
          </w:tcPr>
          <w:p>
            <w:pPr>
              <w:pStyle w:val="TableParagraph"/>
              <w:spacing w:line="204" w:lineRule="exact"/>
              <w:ind w:left="50"/>
              <w:rPr>
                <w:sz w:val="20"/>
              </w:rPr>
            </w:pPr>
            <w:r>
              <w:rPr>
                <w:spacing w:val="-4"/>
                <w:sz w:val="20"/>
              </w:rPr>
              <w:t>6869</w:t>
            </w:r>
          </w:p>
        </w:tc>
        <w:tc>
          <w:tcPr>
            <w:tcW w:w="3944" w:type="dxa"/>
          </w:tcPr>
          <w:p>
            <w:pPr>
              <w:pStyle w:val="TableParagraph"/>
              <w:spacing w:line="204" w:lineRule="exact"/>
              <w:ind w:left="158"/>
              <w:rPr>
                <w:sz w:val="20"/>
              </w:rPr>
            </w:pPr>
            <w:r>
              <w:rPr>
                <w:sz w:val="20"/>
              </w:rPr>
              <w:t>Cowlitz</w:t>
            </w:r>
            <w:r>
              <w:rPr>
                <w:spacing w:val="-9"/>
                <w:sz w:val="20"/>
              </w:rPr>
              <w:t> </w:t>
            </w:r>
            <w:r>
              <w:rPr>
                <w:spacing w:val="-2"/>
                <w:sz w:val="20"/>
              </w:rPr>
              <w:t>(cow)</w:t>
            </w:r>
          </w:p>
        </w:tc>
        <w:tc>
          <w:tcPr>
            <w:tcW w:w="1386" w:type="dxa"/>
          </w:tcPr>
          <w:p>
            <w:pPr>
              <w:pStyle w:val="TableParagraph"/>
              <w:spacing w:line="204" w:lineRule="exact"/>
              <w:ind w:right="157"/>
              <w:jc w:val="right"/>
              <w:rPr>
                <w:sz w:val="20"/>
              </w:rPr>
            </w:pPr>
            <w:r>
              <w:rPr>
                <w:spacing w:val="-4"/>
                <w:sz w:val="20"/>
              </w:rPr>
              <w:t>6936</w:t>
            </w:r>
          </w:p>
        </w:tc>
        <w:tc>
          <w:tcPr>
            <w:tcW w:w="2965" w:type="dxa"/>
          </w:tcPr>
          <w:p>
            <w:pPr>
              <w:pStyle w:val="TableParagraph"/>
              <w:spacing w:line="204" w:lineRule="exact"/>
              <w:ind w:left="157"/>
              <w:rPr>
                <w:sz w:val="20"/>
              </w:rPr>
            </w:pPr>
            <w:r>
              <w:rPr>
                <w:sz w:val="20"/>
              </w:rPr>
              <w:t>Kiowa</w:t>
            </w:r>
            <w:r>
              <w:rPr>
                <w:spacing w:val="-8"/>
                <w:sz w:val="20"/>
              </w:rPr>
              <w:t> </w:t>
            </w:r>
            <w:r>
              <w:rPr>
                <w:spacing w:val="-2"/>
                <w:sz w:val="20"/>
              </w:rPr>
              <w:t>(kio)</w:t>
            </w:r>
          </w:p>
        </w:tc>
      </w:tr>
      <w:tr>
        <w:trPr>
          <w:trHeight w:val="229" w:hRule="atLeast"/>
        </w:trPr>
        <w:tc>
          <w:tcPr>
            <w:tcW w:w="612" w:type="dxa"/>
          </w:tcPr>
          <w:p>
            <w:pPr>
              <w:pStyle w:val="TableParagraph"/>
              <w:spacing w:line="209" w:lineRule="exact"/>
              <w:ind w:left="50"/>
              <w:rPr>
                <w:sz w:val="20"/>
              </w:rPr>
            </w:pPr>
            <w:r>
              <w:rPr>
                <w:spacing w:val="-4"/>
                <w:sz w:val="20"/>
              </w:rPr>
              <w:t>6872</w:t>
            </w:r>
          </w:p>
        </w:tc>
        <w:tc>
          <w:tcPr>
            <w:tcW w:w="3944" w:type="dxa"/>
          </w:tcPr>
          <w:p>
            <w:pPr>
              <w:pStyle w:val="TableParagraph"/>
              <w:spacing w:line="209" w:lineRule="exact"/>
              <w:ind w:left="158"/>
              <w:rPr>
                <w:sz w:val="20"/>
              </w:rPr>
            </w:pPr>
            <w:r>
              <w:rPr>
                <w:sz w:val="20"/>
              </w:rPr>
              <w:t>Clallam</w:t>
            </w:r>
            <w:r>
              <w:rPr>
                <w:spacing w:val="-8"/>
                <w:sz w:val="20"/>
              </w:rPr>
              <w:t> </w:t>
            </w:r>
            <w:r>
              <w:rPr>
                <w:spacing w:val="-2"/>
                <w:sz w:val="20"/>
              </w:rPr>
              <w:t>(clm)</w:t>
            </w:r>
          </w:p>
        </w:tc>
        <w:tc>
          <w:tcPr>
            <w:tcW w:w="1386" w:type="dxa"/>
          </w:tcPr>
          <w:p>
            <w:pPr>
              <w:pStyle w:val="TableParagraph"/>
              <w:spacing w:line="209" w:lineRule="exact"/>
              <w:ind w:right="157"/>
              <w:jc w:val="right"/>
              <w:rPr>
                <w:sz w:val="20"/>
              </w:rPr>
            </w:pPr>
            <w:r>
              <w:rPr>
                <w:spacing w:val="-4"/>
                <w:sz w:val="20"/>
              </w:rPr>
              <w:t>6937</w:t>
            </w:r>
          </w:p>
        </w:tc>
        <w:tc>
          <w:tcPr>
            <w:tcW w:w="2965" w:type="dxa"/>
          </w:tcPr>
          <w:p>
            <w:pPr>
              <w:pStyle w:val="TableParagraph"/>
              <w:spacing w:line="209" w:lineRule="exact"/>
              <w:ind w:left="157"/>
              <w:rPr>
                <w:sz w:val="20"/>
              </w:rPr>
            </w:pPr>
            <w:r>
              <w:rPr>
                <w:sz w:val="20"/>
              </w:rPr>
              <w:t>Northern</w:t>
            </w:r>
            <w:r>
              <w:rPr>
                <w:spacing w:val="-8"/>
                <w:sz w:val="20"/>
              </w:rPr>
              <w:t> </w:t>
            </w:r>
            <w:r>
              <w:rPr>
                <w:sz w:val="20"/>
              </w:rPr>
              <w:t>Tiwa</w:t>
            </w:r>
            <w:r>
              <w:rPr>
                <w:spacing w:val="-6"/>
                <w:sz w:val="20"/>
              </w:rPr>
              <w:t> </w:t>
            </w:r>
            <w:r>
              <w:rPr>
                <w:spacing w:val="-4"/>
                <w:sz w:val="20"/>
              </w:rPr>
              <w:t>(twf)</w:t>
            </w:r>
          </w:p>
        </w:tc>
      </w:tr>
      <w:tr>
        <w:trPr>
          <w:trHeight w:val="230" w:hRule="atLeast"/>
        </w:trPr>
        <w:tc>
          <w:tcPr>
            <w:tcW w:w="612" w:type="dxa"/>
          </w:tcPr>
          <w:p>
            <w:pPr>
              <w:pStyle w:val="TableParagraph"/>
              <w:ind w:left="50"/>
              <w:rPr>
                <w:sz w:val="20"/>
              </w:rPr>
            </w:pPr>
            <w:r>
              <w:rPr>
                <w:spacing w:val="-4"/>
                <w:sz w:val="20"/>
              </w:rPr>
              <w:t>6873</w:t>
            </w:r>
          </w:p>
        </w:tc>
        <w:tc>
          <w:tcPr>
            <w:tcW w:w="3944" w:type="dxa"/>
          </w:tcPr>
          <w:p>
            <w:pPr>
              <w:pStyle w:val="TableParagraph"/>
              <w:ind w:left="158"/>
              <w:rPr>
                <w:sz w:val="20"/>
              </w:rPr>
            </w:pPr>
            <w:r>
              <w:rPr>
                <w:sz w:val="20"/>
              </w:rPr>
              <w:t>Coeur</w:t>
            </w:r>
            <w:r>
              <w:rPr>
                <w:spacing w:val="-6"/>
                <w:sz w:val="20"/>
              </w:rPr>
              <w:t> </w:t>
            </w:r>
            <w:r>
              <w:rPr>
                <w:sz w:val="20"/>
              </w:rPr>
              <w:t>d'Alene</w:t>
            </w:r>
            <w:r>
              <w:rPr>
                <w:spacing w:val="-6"/>
                <w:sz w:val="20"/>
              </w:rPr>
              <w:t> </w:t>
            </w:r>
            <w:r>
              <w:rPr>
                <w:spacing w:val="-2"/>
                <w:sz w:val="20"/>
              </w:rPr>
              <w:t>(crd)</w:t>
            </w:r>
          </w:p>
        </w:tc>
        <w:tc>
          <w:tcPr>
            <w:tcW w:w="1386" w:type="dxa"/>
          </w:tcPr>
          <w:p>
            <w:pPr>
              <w:pStyle w:val="TableParagraph"/>
              <w:ind w:right="157"/>
              <w:jc w:val="right"/>
              <w:rPr>
                <w:sz w:val="20"/>
              </w:rPr>
            </w:pPr>
            <w:r>
              <w:rPr>
                <w:spacing w:val="-4"/>
                <w:sz w:val="20"/>
              </w:rPr>
              <w:t>6938</w:t>
            </w:r>
          </w:p>
        </w:tc>
        <w:tc>
          <w:tcPr>
            <w:tcW w:w="2965" w:type="dxa"/>
          </w:tcPr>
          <w:p>
            <w:pPr>
              <w:pStyle w:val="TableParagraph"/>
              <w:ind w:left="157"/>
              <w:rPr>
                <w:sz w:val="20"/>
              </w:rPr>
            </w:pPr>
            <w:r>
              <w:rPr>
                <w:sz w:val="20"/>
              </w:rPr>
              <w:t>Southern</w:t>
            </w:r>
            <w:r>
              <w:rPr>
                <w:spacing w:val="-8"/>
                <w:sz w:val="20"/>
              </w:rPr>
              <w:t> </w:t>
            </w:r>
            <w:r>
              <w:rPr>
                <w:sz w:val="20"/>
              </w:rPr>
              <w:t>Tiwa</w:t>
            </w:r>
            <w:r>
              <w:rPr>
                <w:spacing w:val="-7"/>
                <w:sz w:val="20"/>
              </w:rPr>
              <w:t> </w:t>
            </w:r>
            <w:r>
              <w:rPr>
                <w:spacing w:val="-4"/>
                <w:sz w:val="20"/>
              </w:rPr>
              <w:t>(tix)</w:t>
            </w:r>
          </w:p>
        </w:tc>
      </w:tr>
      <w:tr>
        <w:trPr>
          <w:trHeight w:val="230" w:hRule="atLeast"/>
        </w:trPr>
        <w:tc>
          <w:tcPr>
            <w:tcW w:w="612" w:type="dxa"/>
          </w:tcPr>
          <w:p>
            <w:pPr>
              <w:pStyle w:val="TableParagraph"/>
              <w:ind w:left="50"/>
              <w:rPr>
                <w:sz w:val="20"/>
              </w:rPr>
            </w:pPr>
            <w:r>
              <w:rPr>
                <w:spacing w:val="-4"/>
                <w:sz w:val="20"/>
              </w:rPr>
              <w:t>6874</w:t>
            </w:r>
          </w:p>
        </w:tc>
        <w:tc>
          <w:tcPr>
            <w:tcW w:w="3944" w:type="dxa"/>
          </w:tcPr>
          <w:p>
            <w:pPr>
              <w:pStyle w:val="TableParagraph"/>
              <w:ind w:left="158"/>
              <w:rPr>
                <w:sz w:val="20"/>
              </w:rPr>
            </w:pPr>
            <w:r>
              <w:rPr>
                <w:spacing w:val="-2"/>
                <w:sz w:val="20"/>
              </w:rPr>
              <w:t>Columbia-Wenatchi</w:t>
            </w:r>
            <w:r>
              <w:rPr>
                <w:spacing w:val="14"/>
                <w:sz w:val="20"/>
              </w:rPr>
              <w:t> </w:t>
            </w:r>
            <w:r>
              <w:rPr>
                <w:spacing w:val="-4"/>
                <w:sz w:val="20"/>
              </w:rPr>
              <w:t>(col)</w:t>
            </w:r>
          </w:p>
        </w:tc>
        <w:tc>
          <w:tcPr>
            <w:tcW w:w="1386" w:type="dxa"/>
          </w:tcPr>
          <w:p>
            <w:pPr>
              <w:pStyle w:val="TableParagraph"/>
              <w:ind w:right="157"/>
              <w:jc w:val="right"/>
              <w:rPr>
                <w:sz w:val="20"/>
              </w:rPr>
            </w:pPr>
            <w:r>
              <w:rPr>
                <w:spacing w:val="-4"/>
                <w:sz w:val="20"/>
              </w:rPr>
              <w:t>6939</w:t>
            </w:r>
          </w:p>
        </w:tc>
        <w:tc>
          <w:tcPr>
            <w:tcW w:w="2965" w:type="dxa"/>
          </w:tcPr>
          <w:p>
            <w:pPr>
              <w:pStyle w:val="TableParagraph"/>
              <w:ind w:left="157"/>
              <w:rPr>
                <w:sz w:val="20"/>
              </w:rPr>
            </w:pPr>
            <w:r>
              <w:rPr>
                <w:sz w:val="20"/>
              </w:rPr>
              <w:t>Tewa</w:t>
            </w:r>
            <w:r>
              <w:rPr>
                <w:spacing w:val="-7"/>
                <w:sz w:val="20"/>
              </w:rPr>
              <w:t> </w:t>
            </w:r>
            <w:r>
              <w:rPr>
                <w:sz w:val="20"/>
              </w:rPr>
              <w:t>(USA)</w:t>
            </w:r>
            <w:r>
              <w:rPr>
                <w:spacing w:val="-7"/>
                <w:sz w:val="20"/>
              </w:rPr>
              <w:t> </w:t>
            </w:r>
            <w:r>
              <w:rPr>
                <w:spacing w:val="-2"/>
                <w:sz w:val="20"/>
              </w:rPr>
              <w:t>(tew)</w:t>
            </w:r>
          </w:p>
        </w:tc>
      </w:tr>
      <w:tr>
        <w:trPr>
          <w:trHeight w:val="230" w:hRule="atLeast"/>
        </w:trPr>
        <w:tc>
          <w:tcPr>
            <w:tcW w:w="612" w:type="dxa"/>
          </w:tcPr>
          <w:p>
            <w:pPr>
              <w:pStyle w:val="TableParagraph"/>
              <w:ind w:left="50"/>
              <w:rPr>
                <w:sz w:val="20"/>
              </w:rPr>
            </w:pPr>
            <w:r>
              <w:rPr>
                <w:spacing w:val="-4"/>
                <w:sz w:val="20"/>
              </w:rPr>
              <w:t>6875</w:t>
            </w:r>
          </w:p>
        </w:tc>
        <w:tc>
          <w:tcPr>
            <w:tcW w:w="3944" w:type="dxa"/>
          </w:tcPr>
          <w:p>
            <w:pPr>
              <w:pStyle w:val="TableParagraph"/>
              <w:ind w:left="158"/>
              <w:rPr>
                <w:sz w:val="20"/>
              </w:rPr>
            </w:pPr>
            <w:r>
              <w:rPr>
                <w:sz w:val="20"/>
              </w:rPr>
              <w:t>Okanagan</w:t>
            </w:r>
            <w:r>
              <w:rPr>
                <w:spacing w:val="-10"/>
                <w:sz w:val="20"/>
              </w:rPr>
              <w:t> </w:t>
            </w:r>
            <w:r>
              <w:rPr>
                <w:spacing w:val="-2"/>
                <w:sz w:val="20"/>
              </w:rPr>
              <w:t>(oka)</w:t>
            </w:r>
          </w:p>
        </w:tc>
        <w:tc>
          <w:tcPr>
            <w:tcW w:w="1386" w:type="dxa"/>
          </w:tcPr>
          <w:p>
            <w:pPr>
              <w:pStyle w:val="TableParagraph"/>
              <w:ind w:right="157"/>
              <w:jc w:val="right"/>
              <w:rPr>
                <w:sz w:val="20"/>
              </w:rPr>
            </w:pPr>
            <w:r>
              <w:rPr>
                <w:spacing w:val="-4"/>
                <w:sz w:val="20"/>
              </w:rPr>
              <w:t>6940</w:t>
            </w:r>
          </w:p>
        </w:tc>
        <w:tc>
          <w:tcPr>
            <w:tcW w:w="2965" w:type="dxa"/>
          </w:tcPr>
          <w:p>
            <w:pPr>
              <w:pStyle w:val="TableParagraph"/>
              <w:ind w:left="157"/>
              <w:rPr>
                <w:sz w:val="20"/>
              </w:rPr>
            </w:pPr>
            <w:r>
              <w:rPr>
                <w:sz w:val="20"/>
              </w:rPr>
              <w:t>Jemez</w:t>
            </w:r>
            <w:r>
              <w:rPr>
                <w:spacing w:val="-8"/>
                <w:sz w:val="20"/>
              </w:rPr>
              <w:t> </w:t>
            </w:r>
            <w:r>
              <w:rPr>
                <w:spacing w:val="-2"/>
                <w:sz w:val="20"/>
              </w:rPr>
              <w:t>(tow)</w:t>
            </w:r>
          </w:p>
        </w:tc>
      </w:tr>
      <w:tr>
        <w:trPr>
          <w:trHeight w:val="225" w:hRule="atLeast"/>
        </w:trPr>
        <w:tc>
          <w:tcPr>
            <w:tcW w:w="612" w:type="dxa"/>
          </w:tcPr>
          <w:p>
            <w:pPr>
              <w:pStyle w:val="TableParagraph"/>
              <w:spacing w:line="205" w:lineRule="exact"/>
              <w:ind w:left="50"/>
              <w:rPr>
                <w:sz w:val="20"/>
              </w:rPr>
            </w:pPr>
            <w:r>
              <w:rPr>
                <w:spacing w:val="-4"/>
                <w:sz w:val="20"/>
              </w:rPr>
              <w:t>6876</w:t>
            </w:r>
          </w:p>
        </w:tc>
        <w:tc>
          <w:tcPr>
            <w:tcW w:w="3944" w:type="dxa"/>
          </w:tcPr>
          <w:p>
            <w:pPr>
              <w:pStyle w:val="TableParagraph"/>
              <w:spacing w:line="205" w:lineRule="exact"/>
              <w:ind w:left="158"/>
              <w:rPr>
                <w:sz w:val="20"/>
              </w:rPr>
            </w:pPr>
            <w:r>
              <w:rPr>
                <w:sz w:val="20"/>
              </w:rPr>
              <w:t>Kalispel-Pend</w:t>
            </w:r>
            <w:r>
              <w:rPr>
                <w:spacing w:val="-10"/>
                <w:sz w:val="20"/>
              </w:rPr>
              <w:t> </w:t>
            </w:r>
            <w:r>
              <w:rPr>
                <w:sz w:val="20"/>
              </w:rPr>
              <w:t>d'Oreille</w:t>
            </w:r>
            <w:r>
              <w:rPr>
                <w:spacing w:val="-10"/>
                <w:sz w:val="20"/>
              </w:rPr>
              <w:t> </w:t>
            </w:r>
            <w:r>
              <w:rPr>
                <w:spacing w:val="-2"/>
                <w:sz w:val="20"/>
              </w:rPr>
              <w:t>(fla)</w:t>
            </w:r>
          </w:p>
        </w:tc>
        <w:tc>
          <w:tcPr>
            <w:tcW w:w="1386" w:type="dxa"/>
          </w:tcPr>
          <w:p>
            <w:pPr>
              <w:pStyle w:val="TableParagraph"/>
              <w:spacing w:line="240" w:lineRule="auto"/>
              <w:rPr>
                <w:sz w:val="16"/>
              </w:rPr>
            </w:pPr>
          </w:p>
        </w:tc>
        <w:tc>
          <w:tcPr>
            <w:tcW w:w="2965" w:type="dxa"/>
          </w:tcPr>
          <w:p>
            <w:pPr>
              <w:pStyle w:val="TableParagraph"/>
              <w:spacing w:line="240" w:lineRule="auto"/>
              <w:rPr>
                <w:sz w:val="16"/>
              </w:rPr>
            </w:pPr>
          </w:p>
        </w:tc>
      </w:tr>
      <w:tr>
        <w:trPr>
          <w:trHeight w:val="230" w:hRule="atLeast"/>
        </w:trPr>
        <w:tc>
          <w:tcPr>
            <w:tcW w:w="8907" w:type="dxa"/>
            <w:gridSpan w:val="4"/>
          </w:tcPr>
          <w:p>
            <w:pPr>
              <w:pStyle w:val="TableParagraph"/>
              <w:tabs>
                <w:tab w:pos="770" w:val="left" w:leader="none"/>
                <w:tab w:pos="5378" w:val="left" w:leader="none"/>
              </w:tabs>
              <w:ind w:left="50"/>
              <w:rPr>
                <w:i/>
                <w:sz w:val="20"/>
              </w:rPr>
            </w:pPr>
            <w:r>
              <w:rPr>
                <w:spacing w:val="-4"/>
                <w:sz w:val="20"/>
              </w:rPr>
              <w:t>6877</w:t>
            </w:r>
            <w:r>
              <w:rPr>
                <w:sz w:val="20"/>
              </w:rPr>
              <w:tab/>
              <w:t>Spokane</w:t>
            </w:r>
            <w:r>
              <w:rPr>
                <w:spacing w:val="-9"/>
                <w:sz w:val="20"/>
              </w:rPr>
              <w:t> </w:t>
            </w:r>
            <w:r>
              <w:rPr>
                <w:spacing w:val="-4"/>
                <w:sz w:val="20"/>
              </w:rPr>
              <w:t>(spo)</w:t>
            </w:r>
            <w:r>
              <w:rPr>
                <w:sz w:val="20"/>
              </w:rPr>
              <w:tab/>
            </w:r>
            <w:r>
              <w:rPr>
                <w:i/>
                <w:sz w:val="20"/>
              </w:rPr>
              <w:t>Penutian</w:t>
            </w:r>
            <w:r>
              <w:rPr>
                <w:i/>
                <w:spacing w:val="-8"/>
                <w:sz w:val="20"/>
              </w:rPr>
              <w:t> </w:t>
            </w:r>
            <w:r>
              <w:rPr>
                <w:i/>
                <w:sz w:val="20"/>
              </w:rPr>
              <w:t>languages</w:t>
            </w:r>
            <w:r>
              <w:rPr>
                <w:i/>
                <w:spacing w:val="-9"/>
                <w:sz w:val="20"/>
              </w:rPr>
              <w:t> </w:t>
            </w:r>
            <w:r>
              <w:rPr>
                <w:i/>
                <w:sz w:val="20"/>
              </w:rPr>
              <w:t>(6942-</w:t>
            </w:r>
            <w:r>
              <w:rPr>
                <w:i/>
                <w:spacing w:val="-2"/>
                <w:sz w:val="20"/>
              </w:rPr>
              <w:t>6976)</w:t>
            </w:r>
          </w:p>
        </w:tc>
      </w:tr>
      <w:tr>
        <w:trPr>
          <w:trHeight w:val="232" w:hRule="atLeast"/>
        </w:trPr>
        <w:tc>
          <w:tcPr>
            <w:tcW w:w="612" w:type="dxa"/>
          </w:tcPr>
          <w:p>
            <w:pPr>
              <w:pStyle w:val="TableParagraph"/>
              <w:spacing w:line="205" w:lineRule="exact"/>
              <w:ind w:left="50"/>
              <w:rPr>
                <w:sz w:val="20"/>
              </w:rPr>
            </w:pPr>
            <w:r>
              <w:rPr>
                <w:spacing w:val="-4"/>
                <w:sz w:val="20"/>
              </w:rPr>
              <w:t>6878</w:t>
            </w:r>
          </w:p>
        </w:tc>
        <w:tc>
          <w:tcPr>
            <w:tcW w:w="3944" w:type="dxa"/>
          </w:tcPr>
          <w:p>
            <w:pPr>
              <w:pStyle w:val="TableParagraph"/>
              <w:spacing w:line="205" w:lineRule="exact"/>
              <w:ind w:left="158"/>
              <w:rPr>
                <w:sz w:val="20"/>
              </w:rPr>
            </w:pPr>
            <w:r>
              <w:rPr>
                <w:sz w:val="20"/>
              </w:rPr>
              <w:t>Shuswap</w:t>
            </w:r>
            <w:r>
              <w:rPr>
                <w:spacing w:val="-11"/>
                <w:sz w:val="20"/>
              </w:rPr>
              <w:t> </w:t>
            </w:r>
            <w:r>
              <w:rPr>
                <w:spacing w:val="-2"/>
                <w:sz w:val="20"/>
              </w:rPr>
              <w:t>(shs)</w:t>
            </w:r>
          </w:p>
        </w:tc>
        <w:tc>
          <w:tcPr>
            <w:tcW w:w="1386" w:type="dxa"/>
          </w:tcPr>
          <w:p>
            <w:pPr>
              <w:pStyle w:val="TableParagraph"/>
              <w:spacing w:line="205" w:lineRule="exact"/>
              <w:ind w:right="157"/>
              <w:jc w:val="right"/>
              <w:rPr>
                <w:sz w:val="20"/>
              </w:rPr>
            </w:pPr>
            <w:r>
              <w:rPr>
                <w:spacing w:val="-4"/>
                <w:sz w:val="20"/>
              </w:rPr>
              <w:t>6942</w:t>
            </w:r>
          </w:p>
        </w:tc>
        <w:tc>
          <w:tcPr>
            <w:tcW w:w="2965" w:type="dxa"/>
          </w:tcPr>
          <w:p>
            <w:pPr>
              <w:pStyle w:val="TableParagraph"/>
              <w:spacing w:line="205" w:lineRule="exact"/>
              <w:ind w:left="157"/>
              <w:rPr>
                <w:sz w:val="20"/>
              </w:rPr>
            </w:pPr>
            <w:r>
              <w:rPr>
                <w:sz w:val="20"/>
              </w:rPr>
              <w:t>Northeast</w:t>
            </w:r>
            <w:r>
              <w:rPr>
                <w:spacing w:val="-8"/>
                <w:sz w:val="20"/>
              </w:rPr>
              <w:t> </w:t>
            </w:r>
            <w:r>
              <w:rPr>
                <w:sz w:val="20"/>
              </w:rPr>
              <w:t>Maidu</w:t>
            </w:r>
            <w:r>
              <w:rPr>
                <w:spacing w:val="-8"/>
                <w:sz w:val="20"/>
              </w:rPr>
              <w:t> </w:t>
            </w:r>
            <w:r>
              <w:rPr>
                <w:spacing w:val="-4"/>
                <w:sz w:val="20"/>
              </w:rPr>
              <w:t>(nmu)</w:t>
            </w:r>
          </w:p>
        </w:tc>
      </w:tr>
      <w:tr>
        <w:trPr>
          <w:trHeight w:val="230" w:hRule="atLeast"/>
        </w:trPr>
        <w:tc>
          <w:tcPr>
            <w:tcW w:w="612" w:type="dxa"/>
          </w:tcPr>
          <w:p>
            <w:pPr>
              <w:pStyle w:val="TableParagraph"/>
              <w:ind w:left="50"/>
              <w:rPr>
                <w:sz w:val="20"/>
              </w:rPr>
            </w:pPr>
            <w:r>
              <w:rPr>
                <w:spacing w:val="-4"/>
                <w:sz w:val="20"/>
              </w:rPr>
              <w:t>6879</w:t>
            </w:r>
          </w:p>
        </w:tc>
        <w:tc>
          <w:tcPr>
            <w:tcW w:w="3944" w:type="dxa"/>
          </w:tcPr>
          <w:p>
            <w:pPr>
              <w:pStyle w:val="TableParagraph"/>
              <w:ind w:left="158"/>
              <w:rPr>
                <w:sz w:val="20"/>
              </w:rPr>
            </w:pPr>
            <w:r>
              <w:rPr>
                <w:sz w:val="20"/>
              </w:rPr>
              <w:t>Halkomelem</w:t>
            </w:r>
            <w:r>
              <w:rPr>
                <w:spacing w:val="-13"/>
                <w:sz w:val="20"/>
              </w:rPr>
              <w:t> </w:t>
            </w:r>
            <w:r>
              <w:rPr>
                <w:spacing w:val="-4"/>
                <w:sz w:val="20"/>
              </w:rPr>
              <w:t>(hur)</w:t>
            </w:r>
          </w:p>
        </w:tc>
        <w:tc>
          <w:tcPr>
            <w:tcW w:w="1386" w:type="dxa"/>
          </w:tcPr>
          <w:p>
            <w:pPr>
              <w:pStyle w:val="TableParagraph"/>
              <w:ind w:right="157"/>
              <w:jc w:val="right"/>
              <w:rPr>
                <w:sz w:val="20"/>
              </w:rPr>
            </w:pPr>
            <w:r>
              <w:rPr>
                <w:spacing w:val="-4"/>
                <w:sz w:val="20"/>
              </w:rPr>
              <w:t>6943</w:t>
            </w:r>
          </w:p>
        </w:tc>
        <w:tc>
          <w:tcPr>
            <w:tcW w:w="2965" w:type="dxa"/>
          </w:tcPr>
          <w:p>
            <w:pPr>
              <w:pStyle w:val="TableParagraph"/>
              <w:ind w:left="157"/>
              <w:rPr>
                <w:sz w:val="20"/>
              </w:rPr>
            </w:pPr>
            <w:r>
              <w:rPr>
                <w:sz w:val="20"/>
              </w:rPr>
              <w:t>Northwest</w:t>
            </w:r>
            <w:r>
              <w:rPr>
                <w:spacing w:val="-8"/>
                <w:sz w:val="20"/>
              </w:rPr>
              <w:t> </w:t>
            </w:r>
            <w:r>
              <w:rPr>
                <w:sz w:val="20"/>
              </w:rPr>
              <w:t>Maidu</w:t>
            </w:r>
            <w:r>
              <w:rPr>
                <w:spacing w:val="-7"/>
                <w:sz w:val="20"/>
              </w:rPr>
              <w:t> </w:t>
            </w:r>
            <w:r>
              <w:rPr>
                <w:spacing w:val="-4"/>
                <w:sz w:val="20"/>
              </w:rPr>
              <w:t>(mjd)</w:t>
            </w:r>
          </w:p>
        </w:tc>
      </w:tr>
      <w:tr>
        <w:trPr>
          <w:trHeight w:val="230" w:hRule="atLeast"/>
        </w:trPr>
        <w:tc>
          <w:tcPr>
            <w:tcW w:w="612" w:type="dxa"/>
          </w:tcPr>
          <w:p>
            <w:pPr>
              <w:pStyle w:val="TableParagraph"/>
              <w:ind w:left="50"/>
              <w:rPr>
                <w:sz w:val="20"/>
              </w:rPr>
            </w:pPr>
            <w:r>
              <w:rPr>
                <w:spacing w:val="-4"/>
                <w:sz w:val="20"/>
              </w:rPr>
              <w:t>6880</w:t>
            </w:r>
          </w:p>
        </w:tc>
        <w:tc>
          <w:tcPr>
            <w:tcW w:w="3944" w:type="dxa"/>
          </w:tcPr>
          <w:p>
            <w:pPr>
              <w:pStyle w:val="TableParagraph"/>
              <w:ind w:left="158"/>
              <w:rPr>
                <w:sz w:val="20"/>
              </w:rPr>
            </w:pPr>
            <w:r>
              <w:rPr>
                <w:sz w:val="20"/>
              </w:rPr>
              <w:t>Straits</w:t>
            </w:r>
            <w:r>
              <w:rPr>
                <w:spacing w:val="-7"/>
                <w:sz w:val="20"/>
              </w:rPr>
              <w:t> </w:t>
            </w:r>
            <w:r>
              <w:rPr>
                <w:sz w:val="20"/>
              </w:rPr>
              <w:t>Salish</w:t>
            </w:r>
            <w:r>
              <w:rPr>
                <w:spacing w:val="-5"/>
                <w:sz w:val="20"/>
              </w:rPr>
              <w:t> </w:t>
            </w:r>
            <w:r>
              <w:rPr>
                <w:spacing w:val="-2"/>
                <w:sz w:val="20"/>
              </w:rPr>
              <w:t>(str)</w:t>
            </w:r>
          </w:p>
        </w:tc>
        <w:tc>
          <w:tcPr>
            <w:tcW w:w="1386" w:type="dxa"/>
          </w:tcPr>
          <w:p>
            <w:pPr>
              <w:pStyle w:val="TableParagraph"/>
              <w:ind w:right="157"/>
              <w:jc w:val="right"/>
              <w:rPr>
                <w:sz w:val="20"/>
              </w:rPr>
            </w:pPr>
            <w:r>
              <w:rPr>
                <w:spacing w:val="-4"/>
                <w:sz w:val="20"/>
              </w:rPr>
              <w:t>6944</w:t>
            </w:r>
          </w:p>
        </w:tc>
        <w:tc>
          <w:tcPr>
            <w:tcW w:w="2965" w:type="dxa"/>
          </w:tcPr>
          <w:p>
            <w:pPr>
              <w:pStyle w:val="TableParagraph"/>
              <w:ind w:left="157"/>
              <w:rPr>
                <w:sz w:val="20"/>
              </w:rPr>
            </w:pPr>
            <w:r>
              <w:rPr>
                <w:sz w:val="20"/>
              </w:rPr>
              <w:t>Nisenan</w:t>
            </w:r>
            <w:r>
              <w:rPr>
                <w:spacing w:val="-8"/>
                <w:sz w:val="20"/>
              </w:rPr>
              <w:t> </w:t>
            </w:r>
            <w:r>
              <w:rPr>
                <w:spacing w:val="-2"/>
                <w:sz w:val="20"/>
              </w:rPr>
              <w:t>(nsz)</w:t>
            </w:r>
          </w:p>
        </w:tc>
      </w:tr>
      <w:tr>
        <w:trPr>
          <w:trHeight w:val="230" w:hRule="atLeast"/>
        </w:trPr>
        <w:tc>
          <w:tcPr>
            <w:tcW w:w="612" w:type="dxa"/>
          </w:tcPr>
          <w:p>
            <w:pPr>
              <w:pStyle w:val="TableParagraph"/>
              <w:ind w:left="50"/>
              <w:rPr>
                <w:sz w:val="20"/>
              </w:rPr>
            </w:pPr>
            <w:r>
              <w:rPr>
                <w:spacing w:val="-4"/>
                <w:sz w:val="20"/>
              </w:rPr>
              <w:t>6881</w:t>
            </w:r>
          </w:p>
        </w:tc>
        <w:tc>
          <w:tcPr>
            <w:tcW w:w="3944" w:type="dxa"/>
          </w:tcPr>
          <w:p>
            <w:pPr>
              <w:pStyle w:val="TableParagraph"/>
              <w:ind w:left="158"/>
              <w:rPr>
                <w:sz w:val="20"/>
              </w:rPr>
            </w:pPr>
            <w:r>
              <w:rPr>
                <w:sz w:val="20"/>
              </w:rPr>
              <w:t>Nooksack</w:t>
            </w:r>
            <w:r>
              <w:rPr>
                <w:spacing w:val="-10"/>
                <w:sz w:val="20"/>
              </w:rPr>
              <w:t> </w:t>
            </w:r>
            <w:r>
              <w:rPr>
                <w:spacing w:val="-2"/>
                <w:sz w:val="20"/>
              </w:rPr>
              <w:t>(nok)</w:t>
            </w:r>
          </w:p>
        </w:tc>
        <w:tc>
          <w:tcPr>
            <w:tcW w:w="1386" w:type="dxa"/>
          </w:tcPr>
          <w:p>
            <w:pPr>
              <w:pStyle w:val="TableParagraph"/>
              <w:ind w:right="157"/>
              <w:jc w:val="right"/>
              <w:rPr>
                <w:sz w:val="20"/>
              </w:rPr>
            </w:pPr>
            <w:r>
              <w:rPr>
                <w:spacing w:val="-4"/>
                <w:sz w:val="20"/>
              </w:rPr>
              <w:t>6946</w:t>
            </w:r>
          </w:p>
        </w:tc>
        <w:tc>
          <w:tcPr>
            <w:tcW w:w="2965" w:type="dxa"/>
          </w:tcPr>
          <w:p>
            <w:pPr>
              <w:pStyle w:val="TableParagraph"/>
              <w:ind w:left="157"/>
              <w:rPr>
                <w:sz w:val="20"/>
              </w:rPr>
            </w:pPr>
            <w:r>
              <w:rPr>
                <w:sz w:val="20"/>
              </w:rPr>
              <w:t>Northern</w:t>
            </w:r>
            <w:r>
              <w:rPr>
                <w:spacing w:val="-9"/>
                <w:sz w:val="20"/>
              </w:rPr>
              <w:t> </w:t>
            </w:r>
            <w:r>
              <w:rPr>
                <w:sz w:val="20"/>
              </w:rPr>
              <w:t>Ohlone</w:t>
            </w:r>
            <w:r>
              <w:rPr>
                <w:spacing w:val="-8"/>
                <w:sz w:val="20"/>
              </w:rPr>
              <w:t> </w:t>
            </w:r>
            <w:r>
              <w:rPr>
                <w:spacing w:val="-2"/>
                <w:sz w:val="20"/>
              </w:rPr>
              <w:t>(cst)</w:t>
            </w:r>
          </w:p>
        </w:tc>
      </w:tr>
      <w:tr>
        <w:trPr>
          <w:trHeight w:val="230" w:hRule="atLeast"/>
        </w:trPr>
        <w:tc>
          <w:tcPr>
            <w:tcW w:w="612" w:type="dxa"/>
          </w:tcPr>
          <w:p>
            <w:pPr>
              <w:pStyle w:val="TableParagraph"/>
              <w:ind w:left="50"/>
              <w:rPr>
                <w:sz w:val="20"/>
              </w:rPr>
            </w:pPr>
            <w:r>
              <w:rPr>
                <w:spacing w:val="-4"/>
                <w:sz w:val="20"/>
              </w:rPr>
              <w:t>6883</w:t>
            </w:r>
          </w:p>
        </w:tc>
        <w:tc>
          <w:tcPr>
            <w:tcW w:w="3944" w:type="dxa"/>
          </w:tcPr>
          <w:p>
            <w:pPr>
              <w:pStyle w:val="TableParagraph"/>
              <w:ind w:left="158"/>
              <w:rPr>
                <w:sz w:val="20"/>
              </w:rPr>
            </w:pPr>
            <w:r>
              <w:rPr>
                <w:sz w:val="20"/>
              </w:rPr>
              <w:t>Lushootseed</w:t>
            </w:r>
            <w:r>
              <w:rPr>
                <w:spacing w:val="-12"/>
                <w:sz w:val="20"/>
              </w:rPr>
              <w:t> </w:t>
            </w:r>
            <w:r>
              <w:rPr>
                <w:spacing w:val="-4"/>
                <w:sz w:val="20"/>
              </w:rPr>
              <w:t>(lut)</w:t>
            </w:r>
          </w:p>
        </w:tc>
        <w:tc>
          <w:tcPr>
            <w:tcW w:w="1386" w:type="dxa"/>
          </w:tcPr>
          <w:p>
            <w:pPr>
              <w:pStyle w:val="TableParagraph"/>
              <w:ind w:right="157"/>
              <w:jc w:val="right"/>
              <w:rPr>
                <w:sz w:val="20"/>
              </w:rPr>
            </w:pPr>
            <w:r>
              <w:rPr>
                <w:spacing w:val="-4"/>
                <w:sz w:val="20"/>
              </w:rPr>
              <w:t>6948</w:t>
            </w:r>
          </w:p>
        </w:tc>
        <w:tc>
          <w:tcPr>
            <w:tcW w:w="2965" w:type="dxa"/>
          </w:tcPr>
          <w:p>
            <w:pPr>
              <w:pStyle w:val="TableParagraph"/>
              <w:ind w:left="157"/>
              <w:rPr>
                <w:sz w:val="20"/>
              </w:rPr>
            </w:pPr>
            <w:r>
              <w:rPr>
                <w:sz w:val="20"/>
              </w:rPr>
              <w:t>Coast</w:t>
            </w:r>
            <w:r>
              <w:rPr>
                <w:spacing w:val="-7"/>
                <w:sz w:val="20"/>
              </w:rPr>
              <w:t> </w:t>
            </w:r>
            <w:r>
              <w:rPr>
                <w:sz w:val="20"/>
              </w:rPr>
              <w:t>Miwok</w:t>
            </w:r>
            <w:r>
              <w:rPr>
                <w:spacing w:val="-6"/>
                <w:sz w:val="20"/>
              </w:rPr>
              <w:t> </w:t>
            </w:r>
            <w:r>
              <w:rPr>
                <w:spacing w:val="-2"/>
                <w:sz w:val="20"/>
              </w:rPr>
              <w:t>(csi)</w:t>
            </w:r>
          </w:p>
        </w:tc>
      </w:tr>
      <w:tr>
        <w:trPr>
          <w:trHeight w:val="229" w:hRule="atLeast"/>
        </w:trPr>
        <w:tc>
          <w:tcPr>
            <w:tcW w:w="612" w:type="dxa"/>
          </w:tcPr>
          <w:p>
            <w:pPr>
              <w:pStyle w:val="TableParagraph"/>
              <w:spacing w:line="209" w:lineRule="exact"/>
              <w:ind w:left="50"/>
              <w:rPr>
                <w:sz w:val="20"/>
              </w:rPr>
            </w:pPr>
            <w:r>
              <w:rPr>
                <w:spacing w:val="-4"/>
                <w:sz w:val="20"/>
              </w:rPr>
              <w:t>6884</w:t>
            </w:r>
          </w:p>
        </w:tc>
        <w:tc>
          <w:tcPr>
            <w:tcW w:w="3944" w:type="dxa"/>
          </w:tcPr>
          <w:p>
            <w:pPr>
              <w:pStyle w:val="TableParagraph"/>
              <w:spacing w:line="209" w:lineRule="exact"/>
              <w:ind w:left="158"/>
              <w:rPr>
                <w:sz w:val="20"/>
              </w:rPr>
            </w:pPr>
            <w:r>
              <w:rPr>
                <w:sz w:val="20"/>
              </w:rPr>
              <w:t>Skagit</w:t>
            </w:r>
            <w:r>
              <w:rPr>
                <w:spacing w:val="-9"/>
                <w:sz w:val="20"/>
              </w:rPr>
              <w:t> </w:t>
            </w:r>
            <w:r>
              <w:rPr>
                <w:spacing w:val="-2"/>
                <w:sz w:val="20"/>
              </w:rPr>
              <w:t>(ska)</w:t>
            </w:r>
          </w:p>
        </w:tc>
        <w:tc>
          <w:tcPr>
            <w:tcW w:w="1386" w:type="dxa"/>
          </w:tcPr>
          <w:p>
            <w:pPr>
              <w:pStyle w:val="TableParagraph"/>
              <w:spacing w:line="209" w:lineRule="exact"/>
              <w:ind w:right="157"/>
              <w:jc w:val="right"/>
              <w:rPr>
                <w:sz w:val="20"/>
              </w:rPr>
            </w:pPr>
            <w:r>
              <w:rPr>
                <w:spacing w:val="-4"/>
                <w:sz w:val="20"/>
              </w:rPr>
              <w:t>6949</w:t>
            </w:r>
          </w:p>
        </w:tc>
        <w:tc>
          <w:tcPr>
            <w:tcW w:w="2965" w:type="dxa"/>
          </w:tcPr>
          <w:p>
            <w:pPr>
              <w:pStyle w:val="TableParagraph"/>
              <w:spacing w:line="209" w:lineRule="exact"/>
              <w:ind w:left="157"/>
              <w:rPr>
                <w:sz w:val="20"/>
              </w:rPr>
            </w:pPr>
            <w:r>
              <w:rPr>
                <w:sz w:val="20"/>
              </w:rPr>
              <w:t>Plains</w:t>
            </w:r>
            <w:r>
              <w:rPr>
                <w:spacing w:val="-7"/>
                <w:sz w:val="20"/>
              </w:rPr>
              <w:t> </w:t>
            </w:r>
            <w:r>
              <w:rPr>
                <w:sz w:val="20"/>
              </w:rPr>
              <w:t>Miwok</w:t>
            </w:r>
            <w:r>
              <w:rPr>
                <w:spacing w:val="-7"/>
                <w:sz w:val="20"/>
              </w:rPr>
              <w:t> </w:t>
            </w:r>
            <w:r>
              <w:rPr>
                <w:spacing w:val="-2"/>
                <w:sz w:val="20"/>
              </w:rPr>
              <w:t>(pmw)</w:t>
            </w:r>
          </w:p>
        </w:tc>
      </w:tr>
      <w:tr>
        <w:trPr>
          <w:trHeight w:val="229" w:hRule="atLeast"/>
        </w:trPr>
        <w:tc>
          <w:tcPr>
            <w:tcW w:w="612" w:type="dxa"/>
          </w:tcPr>
          <w:p>
            <w:pPr>
              <w:pStyle w:val="TableParagraph"/>
              <w:spacing w:line="209" w:lineRule="exact"/>
              <w:ind w:left="50"/>
              <w:rPr>
                <w:sz w:val="20"/>
              </w:rPr>
            </w:pPr>
            <w:r>
              <w:rPr>
                <w:spacing w:val="-4"/>
                <w:sz w:val="20"/>
              </w:rPr>
              <w:t>6885</w:t>
            </w:r>
          </w:p>
        </w:tc>
        <w:tc>
          <w:tcPr>
            <w:tcW w:w="3944" w:type="dxa"/>
          </w:tcPr>
          <w:p>
            <w:pPr>
              <w:pStyle w:val="TableParagraph"/>
              <w:spacing w:line="209" w:lineRule="exact"/>
              <w:ind w:left="158"/>
              <w:rPr>
                <w:sz w:val="20"/>
              </w:rPr>
            </w:pPr>
            <w:r>
              <w:rPr>
                <w:sz w:val="20"/>
              </w:rPr>
              <w:t>Snohomish</w:t>
            </w:r>
            <w:r>
              <w:rPr>
                <w:spacing w:val="-13"/>
                <w:sz w:val="20"/>
              </w:rPr>
              <w:t> </w:t>
            </w:r>
            <w:r>
              <w:rPr>
                <w:spacing w:val="-2"/>
                <w:sz w:val="20"/>
              </w:rPr>
              <w:t>(sno)</w:t>
            </w:r>
          </w:p>
        </w:tc>
        <w:tc>
          <w:tcPr>
            <w:tcW w:w="1386" w:type="dxa"/>
          </w:tcPr>
          <w:p>
            <w:pPr>
              <w:pStyle w:val="TableParagraph"/>
              <w:spacing w:line="209" w:lineRule="exact"/>
              <w:ind w:right="157"/>
              <w:jc w:val="right"/>
              <w:rPr>
                <w:sz w:val="20"/>
              </w:rPr>
            </w:pPr>
            <w:r>
              <w:rPr>
                <w:spacing w:val="-4"/>
                <w:sz w:val="20"/>
              </w:rPr>
              <w:t>6950</w:t>
            </w:r>
          </w:p>
        </w:tc>
        <w:tc>
          <w:tcPr>
            <w:tcW w:w="2965" w:type="dxa"/>
          </w:tcPr>
          <w:p>
            <w:pPr>
              <w:pStyle w:val="TableParagraph"/>
              <w:spacing w:line="209" w:lineRule="exact"/>
              <w:ind w:left="157"/>
              <w:rPr>
                <w:sz w:val="20"/>
              </w:rPr>
            </w:pPr>
            <w:r>
              <w:rPr>
                <w:sz w:val="20"/>
              </w:rPr>
              <w:t>Central</w:t>
            </w:r>
            <w:r>
              <w:rPr>
                <w:spacing w:val="-6"/>
                <w:sz w:val="20"/>
              </w:rPr>
              <w:t> </w:t>
            </w:r>
            <w:r>
              <w:rPr>
                <w:sz w:val="20"/>
              </w:rPr>
              <w:t>Sierra</w:t>
            </w:r>
            <w:r>
              <w:rPr>
                <w:spacing w:val="-6"/>
                <w:sz w:val="20"/>
              </w:rPr>
              <w:t> </w:t>
            </w:r>
            <w:r>
              <w:rPr>
                <w:sz w:val="20"/>
              </w:rPr>
              <w:t>Miwok</w:t>
            </w:r>
            <w:r>
              <w:rPr>
                <w:spacing w:val="-6"/>
                <w:sz w:val="20"/>
              </w:rPr>
              <w:t> </w:t>
            </w:r>
            <w:r>
              <w:rPr>
                <w:spacing w:val="-4"/>
                <w:sz w:val="20"/>
              </w:rPr>
              <w:t>(csm)</w:t>
            </w:r>
          </w:p>
        </w:tc>
      </w:tr>
      <w:tr>
        <w:trPr>
          <w:trHeight w:val="230" w:hRule="atLeast"/>
        </w:trPr>
        <w:tc>
          <w:tcPr>
            <w:tcW w:w="612" w:type="dxa"/>
          </w:tcPr>
          <w:p>
            <w:pPr>
              <w:pStyle w:val="TableParagraph"/>
              <w:ind w:left="50"/>
              <w:rPr>
                <w:sz w:val="20"/>
              </w:rPr>
            </w:pPr>
            <w:r>
              <w:rPr>
                <w:spacing w:val="-4"/>
                <w:sz w:val="20"/>
              </w:rPr>
              <w:t>6886</w:t>
            </w:r>
          </w:p>
        </w:tc>
        <w:tc>
          <w:tcPr>
            <w:tcW w:w="3944" w:type="dxa"/>
          </w:tcPr>
          <w:p>
            <w:pPr>
              <w:pStyle w:val="TableParagraph"/>
              <w:ind w:left="158"/>
              <w:rPr>
                <w:sz w:val="20"/>
              </w:rPr>
            </w:pPr>
            <w:r>
              <w:rPr>
                <w:sz w:val="20"/>
              </w:rPr>
              <w:t>Southern</w:t>
            </w:r>
            <w:r>
              <w:rPr>
                <w:spacing w:val="-7"/>
                <w:sz w:val="20"/>
              </w:rPr>
              <w:t> </w:t>
            </w:r>
            <w:r>
              <w:rPr>
                <w:sz w:val="20"/>
              </w:rPr>
              <w:t>Puget</w:t>
            </w:r>
            <w:r>
              <w:rPr>
                <w:spacing w:val="-7"/>
                <w:sz w:val="20"/>
              </w:rPr>
              <w:t> </w:t>
            </w:r>
            <w:r>
              <w:rPr>
                <w:sz w:val="20"/>
              </w:rPr>
              <w:t>Sound</w:t>
            </w:r>
            <w:r>
              <w:rPr>
                <w:spacing w:val="-5"/>
                <w:sz w:val="20"/>
              </w:rPr>
              <w:t> </w:t>
            </w:r>
            <w:r>
              <w:rPr>
                <w:sz w:val="20"/>
              </w:rPr>
              <w:t>Salish</w:t>
            </w:r>
            <w:r>
              <w:rPr>
                <w:spacing w:val="-6"/>
                <w:sz w:val="20"/>
              </w:rPr>
              <w:t> </w:t>
            </w:r>
            <w:r>
              <w:rPr>
                <w:spacing w:val="-4"/>
                <w:sz w:val="20"/>
              </w:rPr>
              <w:t>(slh)</w:t>
            </w:r>
          </w:p>
        </w:tc>
        <w:tc>
          <w:tcPr>
            <w:tcW w:w="1386" w:type="dxa"/>
          </w:tcPr>
          <w:p>
            <w:pPr>
              <w:pStyle w:val="TableParagraph"/>
              <w:ind w:right="157"/>
              <w:jc w:val="right"/>
              <w:rPr>
                <w:sz w:val="20"/>
              </w:rPr>
            </w:pPr>
            <w:r>
              <w:rPr>
                <w:spacing w:val="-4"/>
                <w:sz w:val="20"/>
              </w:rPr>
              <w:t>6951</w:t>
            </w:r>
          </w:p>
        </w:tc>
        <w:tc>
          <w:tcPr>
            <w:tcW w:w="2965" w:type="dxa"/>
          </w:tcPr>
          <w:p>
            <w:pPr>
              <w:pStyle w:val="TableParagraph"/>
              <w:ind w:left="157"/>
              <w:rPr>
                <w:sz w:val="20"/>
              </w:rPr>
            </w:pPr>
            <w:r>
              <w:rPr>
                <w:sz w:val="20"/>
              </w:rPr>
              <w:t>Northern</w:t>
            </w:r>
            <w:r>
              <w:rPr>
                <w:spacing w:val="-7"/>
                <w:sz w:val="20"/>
              </w:rPr>
              <w:t> </w:t>
            </w:r>
            <w:r>
              <w:rPr>
                <w:sz w:val="20"/>
              </w:rPr>
              <w:t>Sierra</w:t>
            </w:r>
            <w:r>
              <w:rPr>
                <w:spacing w:val="-6"/>
                <w:sz w:val="20"/>
              </w:rPr>
              <w:t> </w:t>
            </w:r>
            <w:r>
              <w:rPr>
                <w:sz w:val="20"/>
              </w:rPr>
              <w:t>Miwok</w:t>
            </w:r>
            <w:r>
              <w:rPr>
                <w:spacing w:val="-7"/>
                <w:sz w:val="20"/>
              </w:rPr>
              <w:t> </w:t>
            </w:r>
            <w:r>
              <w:rPr>
                <w:spacing w:val="-4"/>
                <w:sz w:val="20"/>
              </w:rPr>
              <w:t>(nsq)</w:t>
            </w:r>
          </w:p>
        </w:tc>
      </w:tr>
      <w:tr>
        <w:trPr>
          <w:trHeight w:val="230" w:hRule="atLeast"/>
        </w:trPr>
        <w:tc>
          <w:tcPr>
            <w:tcW w:w="612" w:type="dxa"/>
          </w:tcPr>
          <w:p>
            <w:pPr>
              <w:pStyle w:val="TableParagraph"/>
              <w:spacing w:line="211" w:lineRule="exact"/>
              <w:ind w:left="50"/>
              <w:rPr>
                <w:sz w:val="20"/>
              </w:rPr>
            </w:pPr>
            <w:r>
              <w:rPr>
                <w:spacing w:val="-4"/>
                <w:sz w:val="20"/>
              </w:rPr>
              <w:t>6888</w:t>
            </w:r>
          </w:p>
        </w:tc>
        <w:tc>
          <w:tcPr>
            <w:tcW w:w="3944" w:type="dxa"/>
          </w:tcPr>
          <w:p>
            <w:pPr>
              <w:pStyle w:val="TableParagraph"/>
              <w:spacing w:line="211" w:lineRule="exact"/>
              <w:ind w:left="158"/>
              <w:rPr>
                <w:sz w:val="20"/>
              </w:rPr>
            </w:pPr>
            <w:r>
              <w:rPr>
                <w:sz w:val="20"/>
              </w:rPr>
              <w:t>Tillamook</w:t>
            </w:r>
            <w:r>
              <w:rPr>
                <w:spacing w:val="-10"/>
                <w:sz w:val="20"/>
              </w:rPr>
              <w:t> </w:t>
            </w:r>
            <w:r>
              <w:rPr>
                <w:spacing w:val="-2"/>
                <w:sz w:val="20"/>
              </w:rPr>
              <w:t>(til)</w:t>
            </w:r>
          </w:p>
        </w:tc>
        <w:tc>
          <w:tcPr>
            <w:tcW w:w="1386" w:type="dxa"/>
          </w:tcPr>
          <w:p>
            <w:pPr>
              <w:pStyle w:val="TableParagraph"/>
              <w:spacing w:line="211" w:lineRule="exact"/>
              <w:ind w:right="157"/>
              <w:jc w:val="right"/>
              <w:rPr>
                <w:sz w:val="20"/>
              </w:rPr>
            </w:pPr>
            <w:r>
              <w:rPr>
                <w:spacing w:val="-4"/>
                <w:sz w:val="20"/>
              </w:rPr>
              <w:t>6952</w:t>
            </w:r>
          </w:p>
        </w:tc>
        <w:tc>
          <w:tcPr>
            <w:tcW w:w="2965" w:type="dxa"/>
          </w:tcPr>
          <w:p>
            <w:pPr>
              <w:pStyle w:val="TableParagraph"/>
              <w:spacing w:line="211" w:lineRule="exact"/>
              <w:ind w:left="157"/>
              <w:rPr>
                <w:sz w:val="20"/>
              </w:rPr>
            </w:pPr>
            <w:r>
              <w:rPr>
                <w:sz w:val="20"/>
              </w:rPr>
              <w:t>Southern</w:t>
            </w:r>
            <w:r>
              <w:rPr>
                <w:spacing w:val="-8"/>
                <w:sz w:val="20"/>
              </w:rPr>
              <w:t> </w:t>
            </w:r>
            <w:r>
              <w:rPr>
                <w:sz w:val="20"/>
              </w:rPr>
              <w:t>Sierra</w:t>
            </w:r>
            <w:r>
              <w:rPr>
                <w:spacing w:val="-6"/>
                <w:sz w:val="20"/>
              </w:rPr>
              <w:t> </w:t>
            </w:r>
            <w:r>
              <w:rPr>
                <w:sz w:val="20"/>
              </w:rPr>
              <w:t>Miwok</w:t>
            </w:r>
            <w:r>
              <w:rPr>
                <w:spacing w:val="-7"/>
                <w:sz w:val="20"/>
              </w:rPr>
              <w:t> </w:t>
            </w:r>
            <w:r>
              <w:rPr>
                <w:spacing w:val="-4"/>
                <w:sz w:val="20"/>
              </w:rPr>
              <w:t>(skd)</w:t>
            </w:r>
          </w:p>
        </w:tc>
      </w:tr>
      <w:tr>
        <w:trPr>
          <w:trHeight w:val="230" w:hRule="atLeast"/>
        </w:trPr>
        <w:tc>
          <w:tcPr>
            <w:tcW w:w="612" w:type="dxa"/>
          </w:tcPr>
          <w:p>
            <w:pPr>
              <w:pStyle w:val="TableParagraph"/>
              <w:spacing w:line="211" w:lineRule="exact"/>
              <w:ind w:left="50"/>
              <w:rPr>
                <w:sz w:val="20"/>
              </w:rPr>
            </w:pPr>
            <w:r>
              <w:rPr>
                <w:spacing w:val="-4"/>
                <w:sz w:val="20"/>
              </w:rPr>
              <w:t>6890</w:t>
            </w:r>
          </w:p>
        </w:tc>
        <w:tc>
          <w:tcPr>
            <w:tcW w:w="3944" w:type="dxa"/>
          </w:tcPr>
          <w:p>
            <w:pPr>
              <w:pStyle w:val="TableParagraph"/>
              <w:spacing w:line="211" w:lineRule="exact"/>
              <w:ind w:left="158"/>
              <w:rPr>
                <w:sz w:val="20"/>
              </w:rPr>
            </w:pPr>
            <w:r>
              <w:rPr>
                <w:sz w:val="20"/>
              </w:rPr>
              <w:t>Twana</w:t>
            </w:r>
            <w:r>
              <w:rPr>
                <w:spacing w:val="-9"/>
                <w:sz w:val="20"/>
              </w:rPr>
              <w:t> </w:t>
            </w:r>
            <w:r>
              <w:rPr>
                <w:spacing w:val="-2"/>
                <w:sz w:val="20"/>
              </w:rPr>
              <w:t>(twa)</w:t>
            </w:r>
          </w:p>
        </w:tc>
        <w:tc>
          <w:tcPr>
            <w:tcW w:w="1386" w:type="dxa"/>
          </w:tcPr>
          <w:p>
            <w:pPr>
              <w:pStyle w:val="TableParagraph"/>
              <w:spacing w:line="211" w:lineRule="exact"/>
              <w:ind w:right="157"/>
              <w:jc w:val="right"/>
              <w:rPr>
                <w:sz w:val="20"/>
              </w:rPr>
            </w:pPr>
            <w:r>
              <w:rPr>
                <w:spacing w:val="-4"/>
                <w:sz w:val="20"/>
              </w:rPr>
              <w:t>6955</w:t>
            </w:r>
          </w:p>
        </w:tc>
        <w:tc>
          <w:tcPr>
            <w:tcW w:w="2965" w:type="dxa"/>
          </w:tcPr>
          <w:p>
            <w:pPr>
              <w:pStyle w:val="TableParagraph"/>
              <w:spacing w:line="211" w:lineRule="exact"/>
              <w:ind w:left="157"/>
              <w:rPr>
                <w:sz w:val="20"/>
              </w:rPr>
            </w:pPr>
            <w:r>
              <w:rPr>
                <w:sz w:val="20"/>
              </w:rPr>
              <w:t>Nomlaki</w:t>
            </w:r>
            <w:r>
              <w:rPr>
                <w:spacing w:val="-8"/>
                <w:sz w:val="20"/>
              </w:rPr>
              <w:t> </w:t>
            </w:r>
            <w:r>
              <w:rPr>
                <w:spacing w:val="-2"/>
                <w:sz w:val="20"/>
              </w:rPr>
              <w:t>(nol)</w:t>
            </w:r>
          </w:p>
        </w:tc>
      </w:tr>
      <w:tr>
        <w:trPr>
          <w:trHeight w:val="230" w:hRule="atLeast"/>
        </w:trPr>
        <w:tc>
          <w:tcPr>
            <w:tcW w:w="612" w:type="dxa"/>
          </w:tcPr>
          <w:p>
            <w:pPr>
              <w:pStyle w:val="TableParagraph"/>
              <w:spacing w:line="240" w:lineRule="auto"/>
              <w:rPr>
                <w:sz w:val="16"/>
              </w:rPr>
            </w:pPr>
          </w:p>
        </w:tc>
        <w:tc>
          <w:tcPr>
            <w:tcW w:w="3944" w:type="dxa"/>
          </w:tcPr>
          <w:p>
            <w:pPr>
              <w:pStyle w:val="TableParagraph"/>
              <w:spacing w:line="240" w:lineRule="auto"/>
              <w:rPr>
                <w:sz w:val="16"/>
              </w:rPr>
            </w:pPr>
          </w:p>
        </w:tc>
        <w:tc>
          <w:tcPr>
            <w:tcW w:w="1386" w:type="dxa"/>
          </w:tcPr>
          <w:p>
            <w:pPr>
              <w:pStyle w:val="TableParagraph"/>
              <w:ind w:right="157"/>
              <w:jc w:val="right"/>
              <w:rPr>
                <w:sz w:val="20"/>
              </w:rPr>
            </w:pPr>
            <w:r>
              <w:rPr>
                <w:spacing w:val="-4"/>
                <w:sz w:val="20"/>
              </w:rPr>
              <w:t>6956</w:t>
            </w:r>
          </w:p>
        </w:tc>
        <w:tc>
          <w:tcPr>
            <w:tcW w:w="2965" w:type="dxa"/>
          </w:tcPr>
          <w:p>
            <w:pPr>
              <w:pStyle w:val="TableParagraph"/>
              <w:ind w:left="157"/>
              <w:rPr>
                <w:sz w:val="20"/>
              </w:rPr>
            </w:pPr>
            <w:r>
              <w:rPr>
                <w:sz w:val="20"/>
              </w:rPr>
              <w:t>Patwin</w:t>
            </w:r>
            <w:r>
              <w:rPr>
                <w:spacing w:val="-7"/>
                <w:sz w:val="20"/>
              </w:rPr>
              <w:t> </w:t>
            </w:r>
            <w:r>
              <w:rPr>
                <w:spacing w:val="-2"/>
                <w:sz w:val="20"/>
              </w:rPr>
              <w:t>(pwi)</w:t>
            </w:r>
          </w:p>
        </w:tc>
      </w:tr>
      <w:tr>
        <w:trPr>
          <w:trHeight w:val="229" w:hRule="atLeast"/>
        </w:trPr>
        <w:tc>
          <w:tcPr>
            <w:tcW w:w="612" w:type="dxa"/>
          </w:tcPr>
          <w:p>
            <w:pPr>
              <w:pStyle w:val="TableParagraph"/>
              <w:spacing w:line="209" w:lineRule="exact"/>
              <w:ind w:left="50"/>
              <w:rPr>
                <w:sz w:val="20"/>
              </w:rPr>
            </w:pPr>
            <w:r>
              <w:rPr>
                <w:spacing w:val="-4"/>
                <w:sz w:val="20"/>
              </w:rPr>
              <w:t>6892</w:t>
            </w:r>
          </w:p>
        </w:tc>
        <w:tc>
          <w:tcPr>
            <w:tcW w:w="3944" w:type="dxa"/>
          </w:tcPr>
          <w:p>
            <w:pPr>
              <w:pStyle w:val="TableParagraph"/>
              <w:spacing w:line="209" w:lineRule="exact"/>
              <w:ind w:left="158"/>
              <w:rPr>
                <w:sz w:val="20"/>
              </w:rPr>
            </w:pPr>
            <w:r>
              <w:rPr>
                <w:sz w:val="20"/>
              </w:rPr>
              <w:t>Haida</w:t>
            </w:r>
            <w:r>
              <w:rPr>
                <w:spacing w:val="-11"/>
                <w:sz w:val="20"/>
              </w:rPr>
              <w:t> </w:t>
            </w:r>
            <w:r>
              <w:rPr>
                <w:sz w:val="20"/>
              </w:rPr>
              <w:t>(macrolanguage)</w:t>
            </w:r>
            <w:r>
              <w:rPr>
                <w:spacing w:val="-8"/>
                <w:sz w:val="20"/>
              </w:rPr>
              <w:t> </w:t>
            </w:r>
            <w:r>
              <w:rPr>
                <w:spacing w:val="-4"/>
                <w:sz w:val="20"/>
              </w:rPr>
              <w:t>(hai)</w:t>
            </w:r>
          </w:p>
        </w:tc>
        <w:tc>
          <w:tcPr>
            <w:tcW w:w="1386" w:type="dxa"/>
          </w:tcPr>
          <w:p>
            <w:pPr>
              <w:pStyle w:val="TableParagraph"/>
              <w:spacing w:line="209" w:lineRule="exact"/>
              <w:ind w:right="157"/>
              <w:jc w:val="right"/>
              <w:rPr>
                <w:sz w:val="20"/>
              </w:rPr>
            </w:pPr>
            <w:r>
              <w:rPr>
                <w:spacing w:val="-4"/>
                <w:sz w:val="20"/>
              </w:rPr>
              <w:t>6957</w:t>
            </w:r>
          </w:p>
        </w:tc>
        <w:tc>
          <w:tcPr>
            <w:tcW w:w="2965" w:type="dxa"/>
          </w:tcPr>
          <w:p>
            <w:pPr>
              <w:pStyle w:val="TableParagraph"/>
              <w:spacing w:line="209" w:lineRule="exact"/>
              <w:ind w:left="157"/>
              <w:rPr>
                <w:sz w:val="20"/>
              </w:rPr>
            </w:pPr>
            <w:r>
              <w:rPr>
                <w:sz w:val="20"/>
              </w:rPr>
              <w:t>Wintu</w:t>
            </w:r>
            <w:r>
              <w:rPr>
                <w:spacing w:val="-8"/>
                <w:sz w:val="20"/>
              </w:rPr>
              <w:t> </w:t>
            </w:r>
            <w:r>
              <w:rPr>
                <w:spacing w:val="-2"/>
                <w:sz w:val="20"/>
              </w:rPr>
              <w:t>(wnw)</w:t>
            </w:r>
          </w:p>
        </w:tc>
      </w:tr>
      <w:tr>
        <w:trPr>
          <w:trHeight w:val="229" w:hRule="atLeast"/>
        </w:trPr>
        <w:tc>
          <w:tcPr>
            <w:tcW w:w="612" w:type="dxa"/>
          </w:tcPr>
          <w:p>
            <w:pPr>
              <w:pStyle w:val="TableParagraph"/>
              <w:spacing w:line="209" w:lineRule="exact"/>
              <w:ind w:left="50"/>
              <w:rPr>
                <w:sz w:val="20"/>
              </w:rPr>
            </w:pPr>
            <w:r>
              <w:rPr>
                <w:spacing w:val="-4"/>
                <w:sz w:val="20"/>
              </w:rPr>
              <w:t>6893</w:t>
            </w:r>
          </w:p>
        </w:tc>
        <w:tc>
          <w:tcPr>
            <w:tcW w:w="3944" w:type="dxa"/>
          </w:tcPr>
          <w:p>
            <w:pPr>
              <w:pStyle w:val="TableParagraph"/>
              <w:spacing w:line="209" w:lineRule="exact"/>
              <w:ind w:left="158"/>
              <w:rPr>
                <w:sz w:val="20"/>
              </w:rPr>
            </w:pPr>
            <w:r>
              <w:rPr>
                <w:sz w:val="20"/>
              </w:rPr>
              <w:t>Northern</w:t>
            </w:r>
            <w:r>
              <w:rPr>
                <w:spacing w:val="-7"/>
                <w:sz w:val="20"/>
              </w:rPr>
              <w:t> </w:t>
            </w:r>
            <w:r>
              <w:rPr>
                <w:sz w:val="20"/>
              </w:rPr>
              <w:t>Haida</w:t>
            </w:r>
            <w:r>
              <w:rPr>
                <w:spacing w:val="-5"/>
                <w:sz w:val="20"/>
              </w:rPr>
              <w:t> </w:t>
            </w:r>
            <w:r>
              <w:rPr>
                <w:spacing w:val="-4"/>
                <w:sz w:val="20"/>
              </w:rPr>
              <w:t>(hdn)</w:t>
            </w:r>
          </w:p>
        </w:tc>
        <w:tc>
          <w:tcPr>
            <w:tcW w:w="1386" w:type="dxa"/>
          </w:tcPr>
          <w:p>
            <w:pPr>
              <w:pStyle w:val="TableParagraph"/>
              <w:spacing w:line="209" w:lineRule="exact"/>
              <w:ind w:right="157"/>
              <w:jc w:val="right"/>
              <w:rPr>
                <w:sz w:val="20"/>
              </w:rPr>
            </w:pPr>
            <w:r>
              <w:rPr>
                <w:spacing w:val="-4"/>
                <w:sz w:val="20"/>
              </w:rPr>
              <w:t>6960</w:t>
            </w:r>
          </w:p>
        </w:tc>
        <w:tc>
          <w:tcPr>
            <w:tcW w:w="2965" w:type="dxa"/>
          </w:tcPr>
          <w:p>
            <w:pPr>
              <w:pStyle w:val="TableParagraph"/>
              <w:spacing w:line="209" w:lineRule="exact"/>
              <w:ind w:left="157"/>
              <w:rPr>
                <w:sz w:val="20"/>
              </w:rPr>
            </w:pPr>
            <w:r>
              <w:rPr>
                <w:sz w:val="20"/>
              </w:rPr>
              <w:t>Yokuts</w:t>
            </w:r>
            <w:r>
              <w:rPr>
                <w:spacing w:val="-8"/>
                <w:sz w:val="20"/>
              </w:rPr>
              <w:t> </w:t>
            </w:r>
            <w:r>
              <w:rPr>
                <w:spacing w:val="-2"/>
                <w:sz w:val="20"/>
              </w:rPr>
              <w:t>(yok)</w:t>
            </w:r>
          </w:p>
        </w:tc>
      </w:tr>
      <w:tr>
        <w:trPr>
          <w:trHeight w:val="230" w:hRule="atLeast"/>
        </w:trPr>
        <w:tc>
          <w:tcPr>
            <w:tcW w:w="612" w:type="dxa"/>
          </w:tcPr>
          <w:p>
            <w:pPr>
              <w:pStyle w:val="TableParagraph"/>
              <w:ind w:left="50"/>
              <w:rPr>
                <w:sz w:val="20"/>
              </w:rPr>
            </w:pPr>
            <w:r>
              <w:rPr>
                <w:spacing w:val="-4"/>
                <w:sz w:val="20"/>
              </w:rPr>
              <w:t>6894</w:t>
            </w:r>
          </w:p>
        </w:tc>
        <w:tc>
          <w:tcPr>
            <w:tcW w:w="3944" w:type="dxa"/>
          </w:tcPr>
          <w:p>
            <w:pPr>
              <w:pStyle w:val="TableParagraph"/>
              <w:ind w:left="158"/>
              <w:rPr>
                <w:sz w:val="20"/>
              </w:rPr>
            </w:pPr>
            <w:r>
              <w:rPr>
                <w:sz w:val="20"/>
              </w:rPr>
              <w:t>Southern</w:t>
            </w:r>
            <w:r>
              <w:rPr>
                <w:spacing w:val="-7"/>
                <w:sz w:val="20"/>
              </w:rPr>
              <w:t> </w:t>
            </w:r>
            <w:r>
              <w:rPr>
                <w:sz w:val="20"/>
              </w:rPr>
              <w:t>Haida</w:t>
            </w:r>
            <w:r>
              <w:rPr>
                <w:spacing w:val="-6"/>
                <w:sz w:val="20"/>
              </w:rPr>
              <w:t> </w:t>
            </w:r>
            <w:r>
              <w:rPr>
                <w:spacing w:val="-4"/>
                <w:sz w:val="20"/>
              </w:rPr>
              <w:t>(hax)</w:t>
            </w:r>
          </w:p>
        </w:tc>
        <w:tc>
          <w:tcPr>
            <w:tcW w:w="1386" w:type="dxa"/>
          </w:tcPr>
          <w:p>
            <w:pPr>
              <w:pStyle w:val="TableParagraph"/>
              <w:ind w:right="157"/>
              <w:jc w:val="right"/>
              <w:rPr>
                <w:sz w:val="20"/>
              </w:rPr>
            </w:pPr>
            <w:r>
              <w:rPr>
                <w:spacing w:val="-4"/>
                <w:sz w:val="20"/>
              </w:rPr>
              <w:t>6961</w:t>
            </w:r>
          </w:p>
        </w:tc>
        <w:tc>
          <w:tcPr>
            <w:tcW w:w="2965" w:type="dxa"/>
          </w:tcPr>
          <w:p>
            <w:pPr>
              <w:pStyle w:val="TableParagraph"/>
              <w:ind w:left="157"/>
              <w:rPr>
                <w:sz w:val="20"/>
              </w:rPr>
            </w:pPr>
            <w:r>
              <w:rPr>
                <w:sz w:val="20"/>
              </w:rPr>
              <w:t>Kalapuya</w:t>
            </w:r>
            <w:r>
              <w:rPr>
                <w:spacing w:val="-10"/>
                <w:sz w:val="20"/>
              </w:rPr>
              <w:t> </w:t>
            </w:r>
            <w:r>
              <w:rPr>
                <w:spacing w:val="-2"/>
                <w:sz w:val="20"/>
              </w:rPr>
              <w:t>(kyl)</w:t>
            </w:r>
          </w:p>
        </w:tc>
      </w:tr>
      <w:tr>
        <w:trPr>
          <w:trHeight w:val="225" w:hRule="atLeast"/>
        </w:trPr>
        <w:tc>
          <w:tcPr>
            <w:tcW w:w="612" w:type="dxa"/>
          </w:tcPr>
          <w:p>
            <w:pPr>
              <w:pStyle w:val="TableParagraph"/>
              <w:spacing w:line="240" w:lineRule="auto"/>
              <w:rPr>
                <w:sz w:val="16"/>
              </w:rPr>
            </w:pPr>
          </w:p>
        </w:tc>
        <w:tc>
          <w:tcPr>
            <w:tcW w:w="3944" w:type="dxa"/>
          </w:tcPr>
          <w:p>
            <w:pPr>
              <w:pStyle w:val="TableParagraph"/>
              <w:spacing w:line="240" w:lineRule="auto"/>
              <w:rPr>
                <w:sz w:val="16"/>
              </w:rPr>
            </w:pPr>
          </w:p>
        </w:tc>
        <w:tc>
          <w:tcPr>
            <w:tcW w:w="1386" w:type="dxa"/>
          </w:tcPr>
          <w:p>
            <w:pPr>
              <w:pStyle w:val="TableParagraph"/>
              <w:spacing w:line="205" w:lineRule="exact"/>
              <w:ind w:right="157"/>
              <w:jc w:val="right"/>
              <w:rPr>
                <w:sz w:val="20"/>
              </w:rPr>
            </w:pPr>
            <w:r>
              <w:rPr>
                <w:spacing w:val="-4"/>
                <w:sz w:val="20"/>
              </w:rPr>
              <w:t>6962</w:t>
            </w:r>
          </w:p>
        </w:tc>
        <w:tc>
          <w:tcPr>
            <w:tcW w:w="2965" w:type="dxa"/>
          </w:tcPr>
          <w:p>
            <w:pPr>
              <w:pStyle w:val="TableParagraph"/>
              <w:spacing w:line="205" w:lineRule="exact"/>
              <w:ind w:left="157"/>
              <w:rPr>
                <w:sz w:val="20"/>
              </w:rPr>
            </w:pPr>
            <w:r>
              <w:rPr>
                <w:sz w:val="20"/>
              </w:rPr>
              <w:t>Siuslaw</w:t>
            </w:r>
            <w:r>
              <w:rPr>
                <w:spacing w:val="-8"/>
                <w:sz w:val="20"/>
              </w:rPr>
              <w:t> </w:t>
            </w:r>
            <w:r>
              <w:rPr>
                <w:spacing w:val="-2"/>
                <w:sz w:val="20"/>
              </w:rPr>
              <w:t>(sis)</w:t>
            </w:r>
          </w:p>
        </w:tc>
      </w:tr>
      <w:tr>
        <w:trPr>
          <w:trHeight w:val="230" w:hRule="atLeast"/>
        </w:trPr>
        <w:tc>
          <w:tcPr>
            <w:tcW w:w="8907" w:type="dxa"/>
            <w:gridSpan w:val="4"/>
          </w:tcPr>
          <w:p>
            <w:pPr>
              <w:pStyle w:val="TableParagraph"/>
              <w:tabs>
                <w:tab w:pos="5378" w:val="left" w:leader="none"/>
                <w:tab w:pos="6099" w:val="left" w:leader="none"/>
              </w:tabs>
              <w:ind w:left="50"/>
              <w:rPr>
                <w:sz w:val="20"/>
              </w:rPr>
            </w:pPr>
            <w:r>
              <w:rPr>
                <w:i/>
                <w:sz w:val="20"/>
              </w:rPr>
              <w:t>Eyak-Athabaskan</w:t>
            </w:r>
            <w:r>
              <w:rPr>
                <w:i/>
                <w:spacing w:val="-11"/>
                <w:sz w:val="20"/>
              </w:rPr>
              <w:t> </w:t>
            </w:r>
            <w:r>
              <w:rPr>
                <w:i/>
                <w:sz w:val="20"/>
              </w:rPr>
              <w:t>languages</w:t>
            </w:r>
            <w:r>
              <w:rPr>
                <w:i/>
                <w:spacing w:val="-12"/>
                <w:sz w:val="20"/>
              </w:rPr>
              <w:t> </w:t>
            </w:r>
            <w:r>
              <w:rPr>
                <w:i/>
                <w:sz w:val="20"/>
              </w:rPr>
              <w:t>(6895-</w:t>
            </w:r>
            <w:r>
              <w:rPr>
                <w:i/>
                <w:spacing w:val="-4"/>
                <w:sz w:val="20"/>
              </w:rPr>
              <w:t>6935)</w:t>
            </w:r>
            <w:r>
              <w:rPr>
                <w:i/>
                <w:sz w:val="20"/>
              </w:rPr>
              <w:tab/>
            </w:r>
            <w:r>
              <w:rPr>
                <w:spacing w:val="-4"/>
                <w:sz w:val="20"/>
              </w:rPr>
              <w:t>6963</w:t>
            </w:r>
            <w:r>
              <w:rPr>
                <w:sz w:val="20"/>
              </w:rPr>
              <w:tab/>
              <w:t>Klamath-Modoc</w:t>
            </w:r>
            <w:r>
              <w:rPr>
                <w:spacing w:val="-12"/>
                <w:sz w:val="20"/>
              </w:rPr>
              <w:t> </w:t>
            </w:r>
            <w:r>
              <w:rPr>
                <w:spacing w:val="-2"/>
                <w:sz w:val="20"/>
              </w:rPr>
              <w:t>(kla)</w:t>
            </w:r>
          </w:p>
        </w:tc>
      </w:tr>
      <w:tr>
        <w:trPr>
          <w:trHeight w:val="234" w:hRule="atLeast"/>
        </w:trPr>
        <w:tc>
          <w:tcPr>
            <w:tcW w:w="612" w:type="dxa"/>
          </w:tcPr>
          <w:p>
            <w:pPr>
              <w:pStyle w:val="TableParagraph"/>
              <w:spacing w:line="204" w:lineRule="exact"/>
              <w:ind w:left="50"/>
              <w:rPr>
                <w:sz w:val="20"/>
              </w:rPr>
            </w:pPr>
            <w:r>
              <w:rPr>
                <w:spacing w:val="-4"/>
                <w:sz w:val="20"/>
              </w:rPr>
              <w:t>6895</w:t>
            </w:r>
          </w:p>
        </w:tc>
        <w:tc>
          <w:tcPr>
            <w:tcW w:w="3944" w:type="dxa"/>
          </w:tcPr>
          <w:p>
            <w:pPr>
              <w:pStyle w:val="TableParagraph"/>
              <w:spacing w:line="204" w:lineRule="exact"/>
              <w:ind w:left="158"/>
              <w:rPr>
                <w:sz w:val="20"/>
              </w:rPr>
            </w:pPr>
            <w:r>
              <w:rPr>
                <w:sz w:val="20"/>
              </w:rPr>
              <w:t>Athapascan</w:t>
            </w:r>
            <w:r>
              <w:rPr>
                <w:spacing w:val="-10"/>
                <w:sz w:val="20"/>
              </w:rPr>
              <w:t> </w:t>
            </w:r>
            <w:r>
              <w:rPr>
                <w:sz w:val="20"/>
              </w:rPr>
              <w:t>languages</w:t>
            </w:r>
            <w:r>
              <w:rPr>
                <w:spacing w:val="-9"/>
                <w:sz w:val="20"/>
              </w:rPr>
              <w:t> </w:t>
            </w:r>
            <w:r>
              <w:rPr>
                <w:spacing w:val="-4"/>
                <w:sz w:val="20"/>
              </w:rPr>
              <w:t>(ath)</w:t>
            </w:r>
          </w:p>
        </w:tc>
        <w:tc>
          <w:tcPr>
            <w:tcW w:w="1386" w:type="dxa"/>
          </w:tcPr>
          <w:p>
            <w:pPr>
              <w:pStyle w:val="TableParagraph"/>
              <w:spacing w:line="204" w:lineRule="exact"/>
              <w:ind w:right="157"/>
              <w:jc w:val="right"/>
              <w:rPr>
                <w:sz w:val="20"/>
              </w:rPr>
            </w:pPr>
            <w:r>
              <w:rPr>
                <w:spacing w:val="-4"/>
                <w:sz w:val="20"/>
              </w:rPr>
              <w:t>6965</w:t>
            </w:r>
          </w:p>
        </w:tc>
        <w:tc>
          <w:tcPr>
            <w:tcW w:w="2965" w:type="dxa"/>
          </w:tcPr>
          <w:p>
            <w:pPr>
              <w:pStyle w:val="TableParagraph"/>
              <w:spacing w:line="204" w:lineRule="exact"/>
              <w:ind w:left="157"/>
              <w:rPr>
                <w:sz w:val="20"/>
              </w:rPr>
            </w:pPr>
            <w:r>
              <w:rPr>
                <w:sz w:val="20"/>
              </w:rPr>
              <w:t>Nez</w:t>
            </w:r>
            <w:r>
              <w:rPr>
                <w:spacing w:val="-3"/>
                <w:sz w:val="20"/>
              </w:rPr>
              <w:t> </w:t>
            </w:r>
            <w:r>
              <w:rPr>
                <w:sz w:val="20"/>
              </w:rPr>
              <w:t>Perce</w:t>
            </w:r>
            <w:r>
              <w:rPr>
                <w:spacing w:val="-3"/>
                <w:sz w:val="20"/>
              </w:rPr>
              <w:t> </w:t>
            </w:r>
            <w:r>
              <w:rPr>
                <w:spacing w:val="-2"/>
                <w:sz w:val="20"/>
              </w:rPr>
              <w:t>(nez)</w:t>
            </w:r>
          </w:p>
        </w:tc>
      </w:tr>
      <w:tr>
        <w:trPr>
          <w:trHeight w:val="229" w:hRule="atLeast"/>
        </w:trPr>
        <w:tc>
          <w:tcPr>
            <w:tcW w:w="612" w:type="dxa"/>
          </w:tcPr>
          <w:p>
            <w:pPr>
              <w:pStyle w:val="TableParagraph"/>
              <w:spacing w:line="209" w:lineRule="exact"/>
              <w:ind w:left="50"/>
              <w:rPr>
                <w:sz w:val="20"/>
              </w:rPr>
            </w:pPr>
            <w:r>
              <w:rPr>
                <w:spacing w:val="-4"/>
                <w:sz w:val="20"/>
              </w:rPr>
              <w:t>6897</w:t>
            </w:r>
          </w:p>
        </w:tc>
        <w:tc>
          <w:tcPr>
            <w:tcW w:w="3944" w:type="dxa"/>
          </w:tcPr>
          <w:p>
            <w:pPr>
              <w:pStyle w:val="TableParagraph"/>
              <w:spacing w:line="209" w:lineRule="exact"/>
              <w:ind w:left="158"/>
              <w:rPr>
                <w:sz w:val="20"/>
              </w:rPr>
            </w:pPr>
            <w:r>
              <w:rPr>
                <w:sz w:val="20"/>
              </w:rPr>
              <w:t>Eyak</w:t>
            </w:r>
            <w:r>
              <w:rPr>
                <w:spacing w:val="-8"/>
                <w:sz w:val="20"/>
              </w:rPr>
              <w:t> </w:t>
            </w:r>
            <w:r>
              <w:rPr>
                <w:spacing w:val="-2"/>
                <w:sz w:val="20"/>
              </w:rPr>
              <w:t>(eya)</w:t>
            </w:r>
          </w:p>
        </w:tc>
        <w:tc>
          <w:tcPr>
            <w:tcW w:w="1386" w:type="dxa"/>
          </w:tcPr>
          <w:p>
            <w:pPr>
              <w:pStyle w:val="TableParagraph"/>
              <w:spacing w:line="209" w:lineRule="exact"/>
              <w:ind w:right="157"/>
              <w:jc w:val="right"/>
              <w:rPr>
                <w:sz w:val="20"/>
              </w:rPr>
            </w:pPr>
            <w:r>
              <w:rPr>
                <w:spacing w:val="-4"/>
                <w:sz w:val="20"/>
              </w:rPr>
              <w:t>6966</w:t>
            </w:r>
          </w:p>
        </w:tc>
        <w:tc>
          <w:tcPr>
            <w:tcW w:w="2965" w:type="dxa"/>
          </w:tcPr>
          <w:p>
            <w:pPr>
              <w:pStyle w:val="TableParagraph"/>
              <w:spacing w:line="209" w:lineRule="exact"/>
              <w:ind w:left="157"/>
              <w:rPr>
                <w:sz w:val="20"/>
              </w:rPr>
            </w:pPr>
            <w:r>
              <w:rPr>
                <w:sz w:val="20"/>
              </w:rPr>
              <w:t>Tenino</w:t>
            </w:r>
            <w:r>
              <w:rPr>
                <w:spacing w:val="-6"/>
                <w:sz w:val="20"/>
              </w:rPr>
              <w:t> </w:t>
            </w:r>
            <w:r>
              <w:rPr>
                <w:spacing w:val="-2"/>
                <w:sz w:val="20"/>
              </w:rPr>
              <w:t>(tqn)</w:t>
            </w:r>
          </w:p>
        </w:tc>
      </w:tr>
      <w:tr>
        <w:trPr>
          <w:trHeight w:val="230" w:hRule="atLeast"/>
        </w:trPr>
        <w:tc>
          <w:tcPr>
            <w:tcW w:w="612" w:type="dxa"/>
          </w:tcPr>
          <w:p>
            <w:pPr>
              <w:pStyle w:val="TableParagraph"/>
              <w:ind w:left="50"/>
              <w:rPr>
                <w:sz w:val="20"/>
              </w:rPr>
            </w:pPr>
            <w:r>
              <w:rPr>
                <w:spacing w:val="-4"/>
                <w:sz w:val="20"/>
              </w:rPr>
              <w:t>6898</w:t>
            </w:r>
          </w:p>
        </w:tc>
        <w:tc>
          <w:tcPr>
            <w:tcW w:w="3944" w:type="dxa"/>
          </w:tcPr>
          <w:p>
            <w:pPr>
              <w:pStyle w:val="TableParagraph"/>
              <w:ind w:left="158"/>
              <w:rPr>
                <w:sz w:val="20"/>
              </w:rPr>
            </w:pPr>
            <w:r>
              <w:rPr>
                <w:sz w:val="20"/>
              </w:rPr>
              <w:t>Tlingit</w:t>
            </w:r>
            <w:r>
              <w:rPr>
                <w:spacing w:val="-9"/>
                <w:sz w:val="20"/>
              </w:rPr>
              <w:t> </w:t>
            </w:r>
            <w:r>
              <w:rPr>
                <w:spacing w:val="-2"/>
                <w:sz w:val="20"/>
              </w:rPr>
              <w:t>(tli)</w:t>
            </w:r>
          </w:p>
        </w:tc>
        <w:tc>
          <w:tcPr>
            <w:tcW w:w="1386" w:type="dxa"/>
          </w:tcPr>
          <w:p>
            <w:pPr>
              <w:pStyle w:val="TableParagraph"/>
              <w:ind w:right="157"/>
              <w:jc w:val="right"/>
              <w:rPr>
                <w:sz w:val="20"/>
              </w:rPr>
            </w:pPr>
            <w:r>
              <w:rPr>
                <w:spacing w:val="-4"/>
                <w:sz w:val="20"/>
              </w:rPr>
              <w:t>6967</w:t>
            </w:r>
          </w:p>
        </w:tc>
        <w:tc>
          <w:tcPr>
            <w:tcW w:w="2965" w:type="dxa"/>
          </w:tcPr>
          <w:p>
            <w:pPr>
              <w:pStyle w:val="TableParagraph"/>
              <w:ind w:left="157"/>
              <w:rPr>
                <w:sz w:val="20"/>
              </w:rPr>
            </w:pPr>
            <w:r>
              <w:rPr>
                <w:sz w:val="20"/>
              </w:rPr>
              <w:t>Umatilla</w:t>
            </w:r>
            <w:r>
              <w:rPr>
                <w:spacing w:val="-7"/>
                <w:sz w:val="20"/>
              </w:rPr>
              <w:t> </w:t>
            </w:r>
            <w:r>
              <w:rPr>
                <w:spacing w:val="-2"/>
                <w:sz w:val="20"/>
              </w:rPr>
              <w:t>(uma)</w:t>
            </w:r>
          </w:p>
        </w:tc>
      </w:tr>
      <w:tr>
        <w:trPr>
          <w:trHeight w:val="230" w:hRule="atLeast"/>
        </w:trPr>
        <w:tc>
          <w:tcPr>
            <w:tcW w:w="612" w:type="dxa"/>
          </w:tcPr>
          <w:p>
            <w:pPr>
              <w:pStyle w:val="TableParagraph"/>
              <w:ind w:left="50"/>
              <w:rPr>
                <w:sz w:val="20"/>
              </w:rPr>
            </w:pPr>
            <w:r>
              <w:rPr>
                <w:spacing w:val="-4"/>
                <w:sz w:val="20"/>
              </w:rPr>
              <w:t>6900</w:t>
            </w:r>
          </w:p>
        </w:tc>
        <w:tc>
          <w:tcPr>
            <w:tcW w:w="3944" w:type="dxa"/>
          </w:tcPr>
          <w:p>
            <w:pPr>
              <w:pStyle w:val="TableParagraph"/>
              <w:ind w:left="158"/>
              <w:rPr>
                <w:sz w:val="20"/>
              </w:rPr>
            </w:pPr>
            <w:r>
              <w:rPr>
                <w:sz w:val="20"/>
              </w:rPr>
              <w:t>Slave</w:t>
            </w:r>
            <w:r>
              <w:rPr>
                <w:spacing w:val="-10"/>
                <w:sz w:val="20"/>
              </w:rPr>
              <w:t> </w:t>
            </w:r>
            <w:r>
              <w:rPr>
                <w:sz w:val="20"/>
              </w:rPr>
              <w:t>(Athapascan)</w:t>
            </w:r>
            <w:r>
              <w:rPr>
                <w:spacing w:val="-9"/>
                <w:sz w:val="20"/>
              </w:rPr>
              <w:t> </w:t>
            </w:r>
            <w:r>
              <w:rPr>
                <w:spacing w:val="-4"/>
                <w:sz w:val="20"/>
              </w:rPr>
              <w:t>(den)</w:t>
            </w:r>
          </w:p>
        </w:tc>
        <w:tc>
          <w:tcPr>
            <w:tcW w:w="1386" w:type="dxa"/>
          </w:tcPr>
          <w:p>
            <w:pPr>
              <w:pStyle w:val="TableParagraph"/>
              <w:ind w:right="157"/>
              <w:jc w:val="right"/>
              <w:rPr>
                <w:sz w:val="20"/>
              </w:rPr>
            </w:pPr>
            <w:r>
              <w:rPr>
                <w:spacing w:val="-4"/>
                <w:sz w:val="20"/>
              </w:rPr>
              <w:t>6968</w:t>
            </w:r>
          </w:p>
        </w:tc>
        <w:tc>
          <w:tcPr>
            <w:tcW w:w="2965" w:type="dxa"/>
          </w:tcPr>
          <w:p>
            <w:pPr>
              <w:pStyle w:val="TableParagraph"/>
              <w:ind w:left="157"/>
              <w:rPr>
                <w:sz w:val="20"/>
              </w:rPr>
            </w:pPr>
            <w:r>
              <w:rPr>
                <w:sz w:val="20"/>
              </w:rPr>
              <w:t>Walla</w:t>
            </w:r>
            <w:r>
              <w:rPr>
                <w:spacing w:val="-4"/>
                <w:sz w:val="20"/>
              </w:rPr>
              <w:t> </w:t>
            </w:r>
            <w:r>
              <w:rPr>
                <w:sz w:val="20"/>
              </w:rPr>
              <w:t>Walla</w:t>
            </w:r>
            <w:r>
              <w:rPr>
                <w:spacing w:val="-4"/>
                <w:sz w:val="20"/>
              </w:rPr>
              <w:t> </w:t>
            </w:r>
            <w:r>
              <w:rPr>
                <w:spacing w:val="-2"/>
                <w:sz w:val="20"/>
              </w:rPr>
              <w:t>(waa)</w:t>
            </w:r>
          </w:p>
        </w:tc>
      </w:tr>
      <w:tr>
        <w:trPr>
          <w:trHeight w:val="230" w:hRule="atLeast"/>
        </w:trPr>
        <w:tc>
          <w:tcPr>
            <w:tcW w:w="612" w:type="dxa"/>
          </w:tcPr>
          <w:p>
            <w:pPr>
              <w:pStyle w:val="TableParagraph"/>
              <w:ind w:left="50"/>
              <w:rPr>
                <w:sz w:val="20"/>
              </w:rPr>
            </w:pPr>
            <w:r>
              <w:rPr>
                <w:spacing w:val="-4"/>
                <w:sz w:val="20"/>
              </w:rPr>
              <w:t>6902</w:t>
            </w:r>
          </w:p>
        </w:tc>
        <w:tc>
          <w:tcPr>
            <w:tcW w:w="3944" w:type="dxa"/>
          </w:tcPr>
          <w:p>
            <w:pPr>
              <w:pStyle w:val="TableParagraph"/>
              <w:ind w:left="158"/>
              <w:rPr>
                <w:sz w:val="20"/>
              </w:rPr>
            </w:pPr>
            <w:r>
              <w:rPr>
                <w:sz w:val="20"/>
              </w:rPr>
              <w:t>Chilcotin</w:t>
            </w:r>
            <w:r>
              <w:rPr>
                <w:spacing w:val="-10"/>
                <w:sz w:val="20"/>
              </w:rPr>
              <w:t> </w:t>
            </w:r>
            <w:r>
              <w:rPr>
                <w:spacing w:val="-2"/>
                <w:sz w:val="20"/>
              </w:rPr>
              <w:t>(clc)</w:t>
            </w:r>
          </w:p>
        </w:tc>
        <w:tc>
          <w:tcPr>
            <w:tcW w:w="1386" w:type="dxa"/>
          </w:tcPr>
          <w:p>
            <w:pPr>
              <w:pStyle w:val="TableParagraph"/>
              <w:ind w:right="157"/>
              <w:jc w:val="right"/>
              <w:rPr>
                <w:sz w:val="20"/>
              </w:rPr>
            </w:pPr>
            <w:r>
              <w:rPr>
                <w:spacing w:val="-4"/>
                <w:sz w:val="20"/>
              </w:rPr>
              <w:t>6969</w:t>
            </w:r>
          </w:p>
        </w:tc>
        <w:tc>
          <w:tcPr>
            <w:tcW w:w="2965" w:type="dxa"/>
          </w:tcPr>
          <w:p>
            <w:pPr>
              <w:pStyle w:val="TableParagraph"/>
              <w:ind w:left="157"/>
              <w:rPr>
                <w:sz w:val="20"/>
              </w:rPr>
            </w:pPr>
            <w:r>
              <w:rPr>
                <w:sz w:val="20"/>
              </w:rPr>
              <w:t>Yakama</w:t>
            </w:r>
            <w:r>
              <w:rPr>
                <w:spacing w:val="-8"/>
                <w:sz w:val="20"/>
              </w:rPr>
              <w:t> </w:t>
            </w:r>
            <w:r>
              <w:rPr>
                <w:spacing w:val="-2"/>
                <w:sz w:val="20"/>
              </w:rPr>
              <w:t>(yak)</w:t>
            </w:r>
          </w:p>
        </w:tc>
      </w:tr>
      <w:tr>
        <w:trPr>
          <w:trHeight w:val="230" w:hRule="atLeast"/>
        </w:trPr>
        <w:tc>
          <w:tcPr>
            <w:tcW w:w="612" w:type="dxa"/>
          </w:tcPr>
          <w:p>
            <w:pPr>
              <w:pStyle w:val="TableParagraph"/>
              <w:ind w:left="50"/>
              <w:rPr>
                <w:sz w:val="20"/>
              </w:rPr>
            </w:pPr>
            <w:r>
              <w:rPr>
                <w:spacing w:val="-4"/>
                <w:sz w:val="20"/>
              </w:rPr>
              <w:t>6903</w:t>
            </w:r>
          </w:p>
        </w:tc>
        <w:tc>
          <w:tcPr>
            <w:tcW w:w="3944" w:type="dxa"/>
          </w:tcPr>
          <w:p>
            <w:pPr>
              <w:pStyle w:val="TableParagraph"/>
              <w:ind w:left="158"/>
              <w:rPr>
                <w:sz w:val="20"/>
              </w:rPr>
            </w:pPr>
            <w:r>
              <w:rPr>
                <w:sz w:val="20"/>
              </w:rPr>
              <w:t>Ahtena</w:t>
            </w:r>
            <w:r>
              <w:rPr>
                <w:spacing w:val="-7"/>
                <w:sz w:val="20"/>
              </w:rPr>
              <w:t> </w:t>
            </w:r>
            <w:r>
              <w:rPr>
                <w:spacing w:val="-2"/>
                <w:sz w:val="20"/>
              </w:rPr>
              <w:t>(aht)</w:t>
            </w:r>
          </w:p>
        </w:tc>
        <w:tc>
          <w:tcPr>
            <w:tcW w:w="1386" w:type="dxa"/>
          </w:tcPr>
          <w:p>
            <w:pPr>
              <w:pStyle w:val="TableParagraph"/>
              <w:ind w:right="157"/>
              <w:jc w:val="right"/>
              <w:rPr>
                <w:sz w:val="20"/>
              </w:rPr>
            </w:pPr>
            <w:r>
              <w:rPr>
                <w:spacing w:val="-4"/>
                <w:sz w:val="20"/>
              </w:rPr>
              <w:t>6971</w:t>
            </w:r>
          </w:p>
        </w:tc>
        <w:tc>
          <w:tcPr>
            <w:tcW w:w="2965" w:type="dxa"/>
          </w:tcPr>
          <w:p>
            <w:pPr>
              <w:pStyle w:val="TableParagraph"/>
              <w:ind w:left="157"/>
              <w:rPr>
                <w:sz w:val="20"/>
              </w:rPr>
            </w:pPr>
            <w:r>
              <w:rPr>
                <w:sz w:val="20"/>
              </w:rPr>
              <w:t>Chinook</w:t>
            </w:r>
            <w:r>
              <w:rPr>
                <w:spacing w:val="-9"/>
                <w:sz w:val="20"/>
              </w:rPr>
              <w:t> </w:t>
            </w:r>
            <w:r>
              <w:rPr>
                <w:spacing w:val="-2"/>
                <w:sz w:val="20"/>
              </w:rPr>
              <w:t>(chh)</w:t>
            </w:r>
          </w:p>
        </w:tc>
      </w:tr>
      <w:tr>
        <w:trPr>
          <w:trHeight w:val="229" w:hRule="atLeast"/>
        </w:trPr>
        <w:tc>
          <w:tcPr>
            <w:tcW w:w="612" w:type="dxa"/>
          </w:tcPr>
          <w:p>
            <w:pPr>
              <w:pStyle w:val="TableParagraph"/>
              <w:spacing w:line="209" w:lineRule="exact"/>
              <w:ind w:left="50"/>
              <w:rPr>
                <w:sz w:val="20"/>
              </w:rPr>
            </w:pPr>
            <w:r>
              <w:rPr>
                <w:spacing w:val="-4"/>
                <w:sz w:val="20"/>
              </w:rPr>
              <w:t>6904</w:t>
            </w:r>
          </w:p>
        </w:tc>
        <w:tc>
          <w:tcPr>
            <w:tcW w:w="3944" w:type="dxa"/>
          </w:tcPr>
          <w:p>
            <w:pPr>
              <w:pStyle w:val="TableParagraph"/>
              <w:spacing w:line="209" w:lineRule="exact"/>
              <w:ind w:left="158"/>
              <w:rPr>
                <w:sz w:val="20"/>
              </w:rPr>
            </w:pPr>
            <w:r>
              <w:rPr>
                <w:sz w:val="20"/>
              </w:rPr>
              <w:t>Tanaina</w:t>
            </w:r>
            <w:r>
              <w:rPr>
                <w:spacing w:val="-7"/>
                <w:sz w:val="20"/>
              </w:rPr>
              <w:t> </w:t>
            </w:r>
            <w:r>
              <w:rPr>
                <w:spacing w:val="-2"/>
                <w:sz w:val="20"/>
              </w:rPr>
              <w:t>(tfn)</w:t>
            </w:r>
          </w:p>
        </w:tc>
        <w:tc>
          <w:tcPr>
            <w:tcW w:w="1386" w:type="dxa"/>
          </w:tcPr>
          <w:p>
            <w:pPr>
              <w:pStyle w:val="TableParagraph"/>
              <w:spacing w:line="209" w:lineRule="exact"/>
              <w:ind w:right="157"/>
              <w:jc w:val="right"/>
              <w:rPr>
                <w:sz w:val="20"/>
              </w:rPr>
            </w:pPr>
            <w:r>
              <w:rPr>
                <w:spacing w:val="-4"/>
                <w:sz w:val="20"/>
              </w:rPr>
              <w:t>6972</w:t>
            </w:r>
          </w:p>
        </w:tc>
        <w:tc>
          <w:tcPr>
            <w:tcW w:w="2965" w:type="dxa"/>
          </w:tcPr>
          <w:p>
            <w:pPr>
              <w:pStyle w:val="TableParagraph"/>
              <w:spacing w:line="209" w:lineRule="exact"/>
              <w:ind w:left="157"/>
              <w:rPr>
                <w:sz w:val="20"/>
              </w:rPr>
            </w:pPr>
            <w:r>
              <w:rPr>
                <w:spacing w:val="-2"/>
                <w:sz w:val="20"/>
              </w:rPr>
              <w:t>Wasco-Wishram</w:t>
            </w:r>
            <w:r>
              <w:rPr>
                <w:spacing w:val="10"/>
                <w:sz w:val="20"/>
              </w:rPr>
              <w:t> </w:t>
            </w:r>
            <w:r>
              <w:rPr>
                <w:spacing w:val="-4"/>
                <w:sz w:val="20"/>
              </w:rPr>
              <w:t>(wac)</w:t>
            </w:r>
          </w:p>
        </w:tc>
      </w:tr>
      <w:tr>
        <w:trPr>
          <w:trHeight w:val="229" w:hRule="atLeast"/>
        </w:trPr>
        <w:tc>
          <w:tcPr>
            <w:tcW w:w="612" w:type="dxa"/>
          </w:tcPr>
          <w:p>
            <w:pPr>
              <w:pStyle w:val="TableParagraph"/>
              <w:spacing w:line="209" w:lineRule="exact"/>
              <w:ind w:left="50"/>
              <w:rPr>
                <w:sz w:val="20"/>
              </w:rPr>
            </w:pPr>
            <w:r>
              <w:rPr>
                <w:spacing w:val="-4"/>
                <w:sz w:val="20"/>
              </w:rPr>
              <w:t>6905</w:t>
            </w:r>
          </w:p>
        </w:tc>
        <w:tc>
          <w:tcPr>
            <w:tcW w:w="3944" w:type="dxa"/>
          </w:tcPr>
          <w:p>
            <w:pPr>
              <w:pStyle w:val="TableParagraph"/>
              <w:spacing w:line="209" w:lineRule="exact"/>
              <w:ind w:left="158"/>
              <w:rPr>
                <w:sz w:val="20"/>
              </w:rPr>
            </w:pPr>
            <w:r>
              <w:rPr>
                <w:spacing w:val="-2"/>
                <w:sz w:val="20"/>
              </w:rPr>
              <w:t>Degexit'an</w:t>
            </w:r>
            <w:r>
              <w:rPr>
                <w:spacing w:val="7"/>
                <w:sz w:val="20"/>
              </w:rPr>
              <w:t> </w:t>
            </w:r>
            <w:r>
              <w:rPr>
                <w:spacing w:val="-2"/>
                <w:sz w:val="20"/>
              </w:rPr>
              <w:t>(ing)</w:t>
            </w:r>
          </w:p>
        </w:tc>
        <w:tc>
          <w:tcPr>
            <w:tcW w:w="1386" w:type="dxa"/>
          </w:tcPr>
          <w:p>
            <w:pPr>
              <w:pStyle w:val="TableParagraph"/>
              <w:spacing w:line="209" w:lineRule="exact"/>
              <w:ind w:right="157"/>
              <w:jc w:val="right"/>
              <w:rPr>
                <w:sz w:val="20"/>
              </w:rPr>
            </w:pPr>
            <w:r>
              <w:rPr>
                <w:spacing w:val="-4"/>
                <w:sz w:val="20"/>
              </w:rPr>
              <w:t>6974</w:t>
            </w:r>
          </w:p>
        </w:tc>
        <w:tc>
          <w:tcPr>
            <w:tcW w:w="2965" w:type="dxa"/>
          </w:tcPr>
          <w:p>
            <w:pPr>
              <w:pStyle w:val="TableParagraph"/>
              <w:spacing w:line="209" w:lineRule="exact"/>
              <w:ind w:left="157"/>
              <w:rPr>
                <w:sz w:val="20"/>
              </w:rPr>
            </w:pPr>
            <w:r>
              <w:rPr>
                <w:sz w:val="20"/>
              </w:rPr>
              <w:t>Gitxsan</w:t>
            </w:r>
            <w:r>
              <w:rPr>
                <w:spacing w:val="-9"/>
                <w:sz w:val="20"/>
              </w:rPr>
              <w:t> </w:t>
            </w:r>
            <w:r>
              <w:rPr>
                <w:spacing w:val="-2"/>
                <w:sz w:val="20"/>
              </w:rPr>
              <w:t>(git)</w:t>
            </w:r>
          </w:p>
        </w:tc>
      </w:tr>
      <w:tr>
        <w:trPr>
          <w:trHeight w:val="230" w:hRule="atLeast"/>
        </w:trPr>
        <w:tc>
          <w:tcPr>
            <w:tcW w:w="612" w:type="dxa"/>
          </w:tcPr>
          <w:p>
            <w:pPr>
              <w:pStyle w:val="TableParagraph"/>
              <w:spacing w:line="211" w:lineRule="exact"/>
              <w:ind w:left="50"/>
              <w:rPr>
                <w:sz w:val="20"/>
              </w:rPr>
            </w:pPr>
            <w:r>
              <w:rPr>
                <w:spacing w:val="-4"/>
                <w:sz w:val="20"/>
              </w:rPr>
              <w:t>6906</w:t>
            </w:r>
          </w:p>
        </w:tc>
        <w:tc>
          <w:tcPr>
            <w:tcW w:w="3944" w:type="dxa"/>
          </w:tcPr>
          <w:p>
            <w:pPr>
              <w:pStyle w:val="TableParagraph"/>
              <w:spacing w:line="211" w:lineRule="exact"/>
              <w:ind w:left="158"/>
              <w:rPr>
                <w:sz w:val="20"/>
              </w:rPr>
            </w:pPr>
            <w:r>
              <w:rPr>
                <w:sz w:val="20"/>
              </w:rPr>
              <w:t>Koyukon</w:t>
            </w:r>
            <w:r>
              <w:rPr>
                <w:spacing w:val="-10"/>
                <w:sz w:val="20"/>
              </w:rPr>
              <w:t> </w:t>
            </w:r>
            <w:r>
              <w:rPr>
                <w:spacing w:val="-2"/>
                <w:sz w:val="20"/>
              </w:rPr>
              <w:t>(koy)</w:t>
            </w:r>
          </w:p>
        </w:tc>
        <w:tc>
          <w:tcPr>
            <w:tcW w:w="1386" w:type="dxa"/>
          </w:tcPr>
          <w:p>
            <w:pPr>
              <w:pStyle w:val="TableParagraph"/>
              <w:spacing w:line="211" w:lineRule="exact"/>
              <w:ind w:right="157"/>
              <w:jc w:val="right"/>
              <w:rPr>
                <w:sz w:val="20"/>
              </w:rPr>
            </w:pPr>
            <w:r>
              <w:rPr>
                <w:spacing w:val="-4"/>
                <w:sz w:val="20"/>
              </w:rPr>
              <w:t>6975</w:t>
            </w:r>
          </w:p>
        </w:tc>
        <w:tc>
          <w:tcPr>
            <w:tcW w:w="2965" w:type="dxa"/>
          </w:tcPr>
          <w:p>
            <w:pPr>
              <w:pStyle w:val="TableParagraph"/>
              <w:spacing w:line="211" w:lineRule="exact"/>
              <w:ind w:left="157"/>
              <w:rPr>
                <w:sz w:val="20"/>
              </w:rPr>
            </w:pPr>
            <w:r>
              <w:rPr>
                <w:sz w:val="20"/>
              </w:rPr>
              <w:t>Nisga'a</w:t>
            </w:r>
            <w:r>
              <w:rPr>
                <w:spacing w:val="-10"/>
                <w:sz w:val="20"/>
              </w:rPr>
              <w:t> </w:t>
            </w:r>
            <w:r>
              <w:rPr>
                <w:spacing w:val="-2"/>
                <w:sz w:val="20"/>
              </w:rPr>
              <w:t>(ncg)</w:t>
            </w:r>
          </w:p>
        </w:tc>
      </w:tr>
      <w:tr>
        <w:trPr>
          <w:trHeight w:val="230" w:hRule="atLeast"/>
        </w:trPr>
        <w:tc>
          <w:tcPr>
            <w:tcW w:w="612" w:type="dxa"/>
          </w:tcPr>
          <w:p>
            <w:pPr>
              <w:pStyle w:val="TableParagraph"/>
              <w:ind w:left="50"/>
              <w:rPr>
                <w:sz w:val="20"/>
              </w:rPr>
            </w:pPr>
            <w:r>
              <w:rPr>
                <w:spacing w:val="-4"/>
                <w:sz w:val="20"/>
              </w:rPr>
              <w:t>6907</w:t>
            </w:r>
          </w:p>
        </w:tc>
        <w:tc>
          <w:tcPr>
            <w:tcW w:w="3944" w:type="dxa"/>
          </w:tcPr>
          <w:p>
            <w:pPr>
              <w:pStyle w:val="TableParagraph"/>
              <w:ind w:left="158"/>
              <w:rPr>
                <w:sz w:val="20"/>
              </w:rPr>
            </w:pPr>
            <w:r>
              <w:rPr>
                <w:sz w:val="20"/>
              </w:rPr>
              <w:t>Holikachuk</w:t>
            </w:r>
            <w:r>
              <w:rPr>
                <w:spacing w:val="-10"/>
                <w:sz w:val="20"/>
              </w:rPr>
              <w:t> </w:t>
            </w:r>
            <w:r>
              <w:rPr>
                <w:spacing w:val="-2"/>
                <w:sz w:val="20"/>
              </w:rPr>
              <w:t>(hoi)</w:t>
            </w:r>
          </w:p>
        </w:tc>
        <w:tc>
          <w:tcPr>
            <w:tcW w:w="1386" w:type="dxa"/>
          </w:tcPr>
          <w:p>
            <w:pPr>
              <w:pStyle w:val="TableParagraph"/>
              <w:ind w:right="157"/>
              <w:jc w:val="right"/>
              <w:rPr>
                <w:sz w:val="20"/>
              </w:rPr>
            </w:pPr>
            <w:r>
              <w:rPr>
                <w:spacing w:val="-4"/>
                <w:sz w:val="20"/>
              </w:rPr>
              <w:t>6976</w:t>
            </w:r>
          </w:p>
        </w:tc>
        <w:tc>
          <w:tcPr>
            <w:tcW w:w="2965" w:type="dxa"/>
          </w:tcPr>
          <w:p>
            <w:pPr>
              <w:pStyle w:val="TableParagraph"/>
              <w:ind w:left="157"/>
              <w:rPr>
                <w:sz w:val="20"/>
              </w:rPr>
            </w:pPr>
            <w:r>
              <w:rPr>
                <w:sz w:val="20"/>
              </w:rPr>
              <w:t>Tsimshian</w:t>
            </w:r>
            <w:r>
              <w:rPr>
                <w:spacing w:val="-11"/>
                <w:sz w:val="20"/>
              </w:rPr>
              <w:t> </w:t>
            </w:r>
            <w:r>
              <w:rPr>
                <w:spacing w:val="-2"/>
                <w:sz w:val="20"/>
              </w:rPr>
              <w:t>(tsi)</w:t>
            </w:r>
          </w:p>
        </w:tc>
      </w:tr>
      <w:tr>
        <w:trPr>
          <w:trHeight w:val="225" w:hRule="atLeast"/>
        </w:trPr>
        <w:tc>
          <w:tcPr>
            <w:tcW w:w="612" w:type="dxa"/>
          </w:tcPr>
          <w:p>
            <w:pPr>
              <w:pStyle w:val="TableParagraph"/>
              <w:spacing w:line="205" w:lineRule="exact"/>
              <w:ind w:left="50"/>
              <w:rPr>
                <w:sz w:val="20"/>
              </w:rPr>
            </w:pPr>
            <w:r>
              <w:rPr>
                <w:spacing w:val="-4"/>
                <w:sz w:val="20"/>
              </w:rPr>
              <w:t>6908</w:t>
            </w:r>
          </w:p>
        </w:tc>
        <w:tc>
          <w:tcPr>
            <w:tcW w:w="3944" w:type="dxa"/>
          </w:tcPr>
          <w:p>
            <w:pPr>
              <w:pStyle w:val="TableParagraph"/>
              <w:spacing w:line="205" w:lineRule="exact"/>
              <w:ind w:left="158"/>
              <w:rPr>
                <w:sz w:val="20"/>
              </w:rPr>
            </w:pPr>
            <w:r>
              <w:rPr>
                <w:sz w:val="20"/>
              </w:rPr>
              <w:t>Upper</w:t>
            </w:r>
            <w:r>
              <w:rPr>
                <w:spacing w:val="-7"/>
                <w:sz w:val="20"/>
              </w:rPr>
              <w:t> </w:t>
            </w:r>
            <w:r>
              <w:rPr>
                <w:sz w:val="20"/>
              </w:rPr>
              <w:t>Kuskokwim</w:t>
            </w:r>
            <w:r>
              <w:rPr>
                <w:spacing w:val="-10"/>
                <w:sz w:val="20"/>
              </w:rPr>
              <w:t> </w:t>
            </w:r>
            <w:r>
              <w:rPr>
                <w:spacing w:val="-4"/>
                <w:sz w:val="20"/>
              </w:rPr>
              <w:t>(kuu)</w:t>
            </w:r>
          </w:p>
        </w:tc>
        <w:tc>
          <w:tcPr>
            <w:tcW w:w="1386" w:type="dxa"/>
          </w:tcPr>
          <w:p>
            <w:pPr>
              <w:pStyle w:val="TableParagraph"/>
              <w:spacing w:line="240" w:lineRule="auto"/>
              <w:rPr>
                <w:sz w:val="16"/>
              </w:rPr>
            </w:pPr>
          </w:p>
        </w:tc>
        <w:tc>
          <w:tcPr>
            <w:tcW w:w="2965" w:type="dxa"/>
          </w:tcPr>
          <w:p>
            <w:pPr>
              <w:pStyle w:val="TableParagraph"/>
              <w:spacing w:line="240" w:lineRule="auto"/>
              <w:rPr>
                <w:sz w:val="16"/>
              </w:rPr>
            </w:pPr>
          </w:p>
        </w:tc>
      </w:tr>
      <w:tr>
        <w:trPr>
          <w:trHeight w:val="230" w:hRule="atLeast"/>
        </w:trPr>
        <w:tc>
          <w:tcPr>
            <w:tcW w:w="8907" w:type="dxa"/>
            <w:gridSpan w:val="4"/>
          </w:tcPr>
          <w:p>
            <w:pPr>
              <w:pStyle w:val="TableParagraph"/>
              <w:tabs>
                <w:tab w:pos="770" w:val="left" w:leader="none"/>
                <w:tab w:pos="5378" w:val="left" w:leader="none"/>
              </w:tabs>
              <w:ind w:left="50"/>
              <w:rPr>
                <w:i/>
                <w:sz w:val="20"/>
              </w:rPr>
            </w:pPr>
            <w:r>
              <w:rPr>
                <w:spacing w:val="-4"/>
                <w:sz w:val="20"/>
              </w:rPr>
              <w:t>6909</w:t>
            </w:r>
            <w:r>
              <w:rPr>
                <w:sz w:val="20"/>
              </w:rPr>
              <w:tab/>
              <w:t>Lower</w:t>
            </w:r>
            <w:r>
              <w:rPr>
                <w:spacing w:val="-6"/>
                <w:sz w:val="20"/>
              </w:rPr>
              <w:t> </w:t>
            </w:r>
            <w:r>
              <w:rPr>
                <w:sz w:val="20"/>
              </w:rPr>
              <w:t>Tanana</w:t>
            </w:r>
            <w:r>
              <w:rPr>
                <w:spacing w:val="-7"/>
                <w:sz w:val="20"/>
              </w:rPr>
              <w:t> </w:t>
            </w:r>
            <w:r>
              <w:rPr>
                <w:spacing w:val="-2"/>
                <w:sz w:val="20"/>
              </w:rPr>
              <w:t>(taa)</w:t>
            </w:r>
            <w:r>
              <w:rPr>
                <w:sz w:val="20"/>
              </w:rPr>
              <w:tab/>
            </w:r>
            <w:r>
              <w:rPr>
                <w:i/>
                <w:sz w:val="20"/>
              </w:rPr>
              <w:t>Hokan</w:t>
            </w:r>
            <w:r>
              <w:rPr>
                <w:i/>
                <w:spacing w:val="-8"/>
                <w:sz w:val="20"/>
              </w:rPr>
              <w:t> </w:t>
            </w:r>
            <w:r>
              <w:rPr>
                <w:i/>
                <w:sz w:val="20"/>
              </w:rPr>
              <w:t>languages</w:t>
            </w:r>
            <w:r>
              <w:rPr>
                <w:i/>
                <w:spacing w:val="-7"/>
                <w:sz w:val="20"/>
              </w:rPr>
              <w:t> </w:t>
            </w:r>
            <w:r>
              <w:rPr>
                <w:i/>
                <w:sz w:val="20"/>
              </w:rPr>
              <w:t>(6977-</w:t>
            </w:r>
            <w:r>
              <w:rPr>
                <w:i/>
                <w:spacing w:val="-2"/>
                <w:sz w:val="20"/>
              </w:rPr>
              <w:t>7009)</w:t>
            </w:r>
          </w:p>
        </w:tc>
      </w:tr>
      <w:tr>
        <w:trPr>
          <w:trHeight w:val="234" w:hRule="atLeast"/>
        </w:trPr>
        <w:tc>
          <w:tcPr>
            <w:tcW w:w="612" w:type="dxa"/>
          </w:tcPr>
          <w:p>
            <w:pPr>
              <w:pStyle w:val="TableParagraph"/>
              <w:spacing w:line="204" w:lineRule="exact"/>
              <w:ind w:left="50"/>
              <w:rPr>
                <w:sz w:val="20"/>
              </w:rPr>
            </w:pPr>
            <w:r>
              <w:rPr>
                <w:spacing w:val="-4"/>
                <w:sz w:val="20"/>
              </w:rPr>
              <w:t>6910</w:t>
            </w:r>
          </w:p>
        </w:tc>
        <w:tc>
          <w:tcPr>
            <w:tcW w:w="3944" w:type="dxa"/>
          </w:tcPr>
          <w:p>
            <w:pPr>
              <w:pStyle w:val="TableParagraph"/>
              <w:spacing w:line="204" w:lineRule="exact"/>
              <w:ind w:left="158"/>
              <w:rPr>
                <w:sz w:val="20"/>
              </w:rPr>
            </w:pPr>
            <w:r>
              <w:rPr>
                <w:sz w:val="20"/>
              </w:rPr>
              <w:t>Tanacross</w:t>
            </w:r>
            <w:r>
              <w:rPr>
                <w:spacing w:val="-9"/>
                <w:sz w:val="20"/>
              </w:rPr>
              <w:t> </w:t>
            </w:r>
            <w:r>
              <w:rPr>
                <w:spacing w:val="-2"/>
                <w:sz w:val="20"/>
              </w:rPr>
              <w:t>(tcb)</w:t>
            </w:r>
          </w:p>
        </w:tc>
        <w:tc>
          <w:tcPr>
            <w:tcW w:w="1386" w:type="dxa"/>
          </w:tcPr>
          <w:p>
            <w:pPr>
              <w:pStyle w:val="TableParagraph"/>
              <w:spacing w:line="204" w:lineRule="exact"/>
              <w:ind w:right="157"/>
              <w:jc w:val="right"/>
              <w:rPr>
                <w:sz w:val="20"/>
              </w:rPr>
            </w:pPr>
            <w:r>
              <w:rPr>
                <w:spacing w:val="-4"/>
                <w:sz w:val="20"/>
              </w:rPr>
              <w:t>6978</w:t>
            </w:r>
          </w:p>
        </w:tc>
        <w:tc>
          <w:tcPr>
            <w:tcW w:w="2965" w:type="dxa"/>
          </w:tcPr>
          <w:p>
            <w:pPr>
              <w:pStyle w:val="TableParagraph"/>
              <w:spacing w:line="204" w:lineRule="exact"/>
              <w:ind w:left="157"/>
              <w:rPr>
                <w:sz w:val="20"/>
              </w:rPr>
            </w:pPr>
            <w:r>
              <w:rPr>
                <w:sz w:val="20"/>
              </w:rPr>
              <w:t>Achumawi</w:t>
            </w:r>
            <w:r>
              <w:rPr>
                <w:spacing w:val="-12"/>
                <w:sz w:val="20"/>
              </w:rPr>
              <w:t> </w:t>
            </w:r>
            <w:r>
              <w:rPr>
                <w:spacing w:val="-2"/>
                <w:sz w:val="20"/>
              </w:rPr>
              <w:t>(acv)</w:t>
            </w:r>
          </w:p>
        </w:tc>
      </w:tr>
      <w:tr>
        <w:trPr>
          <w:trHeight w:val="229" w:hRule="atLeast"/>
        </w:trPr>
        <w:tc>
          <w:tcPr>
            <w:tcW w:w="612" w:type="dxa"/>
          </w:tcPr>
          <w:p>
            <w:pPr>
              <w:pStyle w:val="TableParagraph"/>
              <w:spacing w:line="209" w:lineRule="exact"/>
              <w:ind w:left="50"/>
              <w:rPr>
                <w:sz w:val="20"/>
              </w:rPr>
            </w:pPr>
            <w:r>
              <w:rPr>
                <w:spacing w:val="-4"/>
                <w:sz w:val="20"/>
              </w:rPr>
              <w:t>6911</w:t>
            </w:r>
          </w:p>
        </w:tc>
        <w:tc>
          <w:tcPr>
            <w:tcW w:w="3944" w:type="dxa"/>
          </w:tcPr>
          <w:p>
            <w:pPr>
              <w:pStyle w:val="TableParagraph"/>
              <w:spacing w:line="209" w:lineRule="exact"/>
              <w:ind w:left="158"/>
              <w:rPr>
                <w:sz w:val="20"/>
              </w:rPr>
            </w:pPr>
            <w:r>
              <w:rPr>
                <w:sz w:val="20"/>
              </w:rPr>
              <w:t>Upper</w:t>
            </w:r>
            <w:r>
              <w:rPr>
                <w:spacing w:val="-6"/>
                <w:sz w:val="20"/>
              </w:rPr>
              <w:t> </w:t>
            </w:r>
            <w:r>
              <w:rPr>
                <w:sz w:val="20"/>
              </w:rPr>
              <w:t>Tanana</w:t>
            </w:r>
            <w:r>
              <w:rPr>
                <w:spacing w:val="-3"/>
                <w:sz w:val="20"/>
              </w:rPr>
              <w:t> </w:t>
            </w:r>
            <w:r>
              <w:rPr>
                <w:spacing w:val="-2"/>
                <w:sz w:val="20"/>
              </w:rPr>
              <w:t>(tau)</w:t>
            </w:r>
          </w:p>
        </w:tc>
        <w:tc>
          <w:tcPr>
            <w:tcW w:w="1386" w:type="dxa"/>
          </w:tcPr>
          <w:p>
            <w:pPr>
              <w:pStyle w:val="TableParagraph"/>
              <w:spacing w:line="209" w:lineRule="exact"/>
              <w:ind w:right="157"/>
              <w:jc w:val="right"/>
              <w:rPr>
                <w:sz w:val="20"/>
              </w:rPr>
            </w:pPr>
            <w:r>
              <w:rPr>
                <w:spacing w:val="-4"/>
                <w:sz w:val="20"/>
              </w:rPr>
              <w:t>6979</w:t>
            </w:r>
          </w:p>
        </w:tc>
        <w:tc>
          <w:tcPr>
            <w:tcW w:w="2965" w:type="dxa"/>
          </w:tcPr>
          <w:p>
            <w:pPr>
              <w:pStyle w:val="TableParagraph"/>
              <w:spacing w:line="209" w:lineRule="exact"/>
              <w:ind w:left="157"/>
              <w:rPr>
                <w:sz w:val="20"/>
              </w:rPr>
            </w:pPr>
            <w:r>
              <w:rPr>
                <w:spacing w:val="-2"/>
                <w:sz w:val="20"/>
              </w:rPr>
              <w:t>Atsugewi</w:t>
            </w:r>
            <w:r>
              <w:rPr>
                <w:spacing w:val="3"/>
                <w:sz w:val="20"/>
              </w:rPr>
              <w:t> </w:t>
            </w:r>
            <w:r>
              <w:rPr>
                <w:spacing w:val="-2"/>
                <w:sz w:val="20"/>
              </w:rPr>
              <w:t>(atw)</w:t>
            </w:r>
          </w:p>
        </w:tc>
      </w:tr>
      <w:tr>
        <w:trPr>
          <w:trHeight w:val="230" w:hRule="atLeast"/>
        </w:trPr>
        <w:tc>
          <w:tcPr>
            <w:tcW w:w="612" w:type="dxa"/>
          </w:tcPr>
          <w:p>
            <w:pPr>
              <w:pStyle w:val="TableParagraph"/>
              <w:ind w:left="50"/>
              <w:rPr>
                <w:sz w:val="20"/>
              </w:rPr>
            </w:pPr>
            <w:r>
              <w:rPr>
                <w:spacing w:val="-4"/>
                <w:sz w:val="20"/>
              </w:rPr>
              <w:t>6912</w:t>
            </w:r>
          </w:p>
        </w:tc>
        <w:tc>
          <w:tcPr>
            <w:tcW w:w="3944" w:type="dxa"/>
          </w:tcPr>
          <w:p>
            <w:pPr>
              <w:pStyle w:val="TableParagraph"/>
              <w:ind w:left="158"/>
              <w:rPr>
                <w:sz w:val="20"/>
              </w:rPr>
            </w:pPr>
            <w:r>
              <w:rPr>
                <w:sz w:val="20"/>
              </w:rPr>
              <w:t>Northern</w:t>
            </w:r>
            <w:r>
              <w:rPr>
                <w:spacing w:val="-10"/>
                <w:sz w:val="20"/>
              </w:rPr>
              <w:t> </w:t>
            </w:r>
            <w:r>
              <w:rPr>
                <w:sz w:val="20"/>
              </w:rPr>
              <w:t>Tutchone</w:t>
            </w:r>
            <w:r>
              <w:rPr>
                <w:spacing w:val="-8"/>
                <w:sz w:val="20"/>
              </w:rPr>
              <w:t> </w:t>
            </w:r>
            <w:r>
              <w:rPr>
                <w:spacing w:val="-4"/>
                <w:sz w:val="20"/>
              </w:rPr>
              <w:t>(ttm)</w:t>
            </w:r>
          </w:p>
        </w:tc>
        <w:tc>
          <w:tcPr>
            <w:tcW w:w="1386" w:type="dxa"/>
          </w:tcPr>
          <w:p>
            <w:pPr>
              <w:pStyle w:val="TableParagraph"/>
              <w:ind w:right="157"/>
              <w:jc w:val="right"/>
              <w:rPr>
                <w:sz w:val="20"/>
              </w:rPr>
            </w:pPr>
            <w:r>
              <w:rPr>
                <w:spacing w:val="-4"/>
                <w:sz w:val="20"/>
              </w:rPr>
              <w:t>6980</w:t>
            </w:r>
          </w:p>
        </w:tc>
        <w:tc>
          <w:tcPr>
            <w:tcW w:w="2965" w:type="dxa"/>
          </w:tcPr>
          <w:p>
            <w:pPr>
              <w:pStyle w:val="TableParagraph"/>
              <w:ind w:left="157"/>
              <w:rPr>
                <w:sz w:val="20"/>
              </w:rPr>
            </w:pPr>
            <w:r>
              <w:rPr>
                <w:sz w:val="20"/>
              </w:rPr>
              <w:t>Karok</w:t>
            </w:r>
            <w:r>
              <w:rPr>
                <w:spacing w:val="-4"/>
                <w:sz w:val="20"/>
              </w:rPr>
              <w:t> </w:t>
            </w:r>
            <w:r>
              <w:rPr>
                <w:spacing w:val="-2"/>
                <w:sz w:val="20"/>
              </w:rPr>
              <w:t>(kyh)</w:t>
            </w:r>
          </w:p>
        </w:tc>
      </w:tr>
      <w:tr>
        <w:trPr>
          <w:trHeight w:val="230" w:hRule="atLeast"/>
        </w:trPr>
        <w:tc>
          <w:tcPr>
            <w:tcW w:w="612" w:type="dxa"/>
          </w:tcPr>
          <w:p>
            <w:pPr>
              <w:pStyle w:val="TableParagraph"/>
              <w:ind w:left="50"/>
              <w:rPr>
                <w:sz w:val="20"/>
              </w:rPr>
            </w:pPr>
            <w:r>
              <w:rPr>
                <w:spacing w:val="-4"/>
                <w:sz w:val="20"/>
              </w:rPr>
              <w:t>6913</w:t>
            </w:r>
          </w:p>
        </w:tc>
        <w:tc>
          <w:tcPr>
            <w:tcW w:w="3944" w:type="dxa"/>
          </w:tcPr>
          <w:p>
            <w:pPr>
              <w:pStyle w:val="TableParagraph"/>
              <w:ind w:left="158"/>
              <w:rPr>
                <w:sz w:val="20"/>
              </w:rPr>
            </w:pPr>
            <w:r>
              <w:rPr>
                <w:sz w:val="20"/>
              </w:rPr>
              <w:t>Southern</w:t>
            </w:r>
            <w:r>
              <w:rPr>
                <w:spacing w:val="-10"/>
                <w:sz w:val="20"/>
              </w:rPr>
              <w:t> </w:t>
            </w:r>
            <w:r>
              <w:rPr>
                <w:sz w:val="20"/>
              </w:rPr>
              <w:t>Tutchone</w:t>
            </w:r>
            <w:r>
              <w:rPr>
                <w:spacing w:val="-9"/>
                <w:sz w:val="20"/>
              </w:rPr>
              <w:t> </w:t>
            </w:r>
            <w:r>
              <w:rPr>
                <w:spacing w:val="-2"/>
                <w:sz w:val="20"/>
              </w:rPr>
              <w:t>(tce)</w:t>
            </w:r>
          </w:p>
        </w:tc>
        <w:tc>
          <w:tcPr>
            <w:tcW w:w="1386" w:type="dxa"/>
          </w:tcPr>
          <w:p>
            <w:pPr>
              <w:pStyle w:val="TableParagraph"/>
              <w:ind w:right="157"/>
              <w:jc w:val="right"/>
              <w:rPr>
                <w:sz w:val="20"/>
              </w:rPr>
            </w:pPr>
            <w:r>
              <w:rPr>
                <w:spacing w:val="-4"/>
                <w:sz w:val="20"/>
              </w:rPr>
              <w:t>6981</w:t>
            </w:r>
          </w:p>
        </w:tc>
        <w:tc>
          <w:tcPr>
            <w:tcW w:w="2965" w:type="dxa"/>
          </w:tcPr>
          <w:p>
            <w:pPr>
              <w:pStyle w:val="TableParagraph"/>
              <w:ind w:left="157"/>
              <w:rPr>
                <w:sz w:val="20"/>
              </w:rPr>
            </w:pPr>
            <w:r>
              <w:rPr>
                <w:sz w:val="20"/>
              </w:rPr>
              <w:t>Central</w:t>
            </w:r>
            <w:r>
              <w:rPr>
                <w:spacing w:val="-7"/>
                <w:sz w:val="20"/>
              </w:rPr>
              <w:t> </w:t>
            </w:r>
            <w:r>
              <w:rPr>
                <w:sz w:val="20"/>
              </w:rPr>
              <w:t>Pomo</w:t>
            </w:r>
            <w:r>
              <w:rPr>
                <w:spacing w:val="-5"/>
                <w:sz w:val="20"/>
              </w:rPr>
              <w:t> </w:t>
            </w:r>
            <w:r>
              <w:rPr>
                <w:spacing w:val="-2"/>
                <w:sz w:val="20"/>
              </w:rPr>
              <w:t>(poo)</w:t>
            </w:r>
          </w:p>
        </w:tc>
      </w:tr>
      <w:tr>
        <w:trPr>
          <w:trHeight w:val="230" w:hRule="atLeast"/>
        </w:trPr>
        <w:tc>
          <w:tcPr>
            <w:tcW w:w="612" w:type="dxa"/>
          </w:tcPr>
          <w:p>
            <w:pPr>
              <w:pStyle w:val="TableParagraph"/>
              <w:ind w:left="50"/>
              <w:rPr>
                <w:sz w:val="20"/>
              </w:rPr>
            </w:pPr>
            <w:r>
              <w:rPr>
                <w:spacing w:val="-4"/>
                <w:sz w:val="20"/>
              </w:rPr>
              <w:t>6914</w:t>
            </w:r>
          </w:p>
        </w:tc>
        <w:tc>
          <w:tcPr>
            <w:tcW w:w="3944" w:type="dxa"/>
          </w:tcPr>
          <w:p>
            <w:pPr>
              <w:pStyle w:val="TableParagraph"/>
              <w:ind w:left="158"/>
              <w:rPr>
                <w:sz w:val="20"/>
              </w:rPr>
            </w:pPr>
            <w:r>
              <w:rPr>
                <w:sz w:val="20"/>
              </w:rPr>
              <w:t>Gwich'in</w:t>
            </w:r>
            <w:r>
              <w:rPr>
                <w:spacing w:val="-10"/>
                <w:sz w:val="20"/>
              </w:rPr>
              <w:t> </w:t>
            </w:r>
            <w:r>
              <w:rPr>
                <w:spacing w:val="-2"/>
                <w:sz w:val="20"/>
              </w:rPr>
              <w:t>(gwi)</w:t>
            </w:r>
          </w:p>
        </w:tc>
        <w:tc>
          <w:tcPr>
            <w:tcW w:w="1386" w:type="dxa"/>
          </w:tcPr>
          <w:p>
            <w:pPr>
              <w:pStyle w:val="TableParagraph"/>
              <w:ind w:right="157"/>
              <w:jc w:val="right"/>
              <w:rPr>
                <w:sz w:val="20"/>
              </w:rPr>
            </w:pPr>
            <w:r>
              <w:rPr>
                <w:spacing w:val="-4"/>
                <w:sz w:val="20"/>
              </w:rPr>
              <w:t>6982</w:t>
            </w:r>
          </w:p>
        </w:tc>
        <w:tc>
          <w:tcPr>
            <w:tcW w:w="2965" w:type="dxa"/>
          </w:tcPr>
          <w:p>
            <w:pPr>
              <w:pStyle w:val="TableParagraph"/>
              <w:ind w:left="157"/>
              <w:rPr>
                <w:sz w:val="20"/>
              </w:rPr>
            </w:pPr>
            <w:r>
              <w:rPr>
                <w:sz w:val="20"/>
              </w:rPr>
              <w:t>Kashaya</w:t>
            </w:r>
            <w:r>
              <w:rPr>
                <w:spacing w:val="-9"/>
                <w:sz w:val="20"/>
              </w:rPr>
              <w:t> </w:t>
            </w:r>
            <w:r>
              <w:rPr>
                <w:spacing w:val="-2"/>
                <w:sz w:val="20"/>
              </w:rPr>
              <w:t>(kju)</w:t>
            </w:r>
          </w:p>
        </w:tc>
      </w:tr>
      <w:tr>
        <w:trPr>
          <w:trHeight w:val="229" w:hRule="atLeast"/>
        </w:trPr>
        <w:tc>
          <w:tcPr>
            <w:tcW w:w="612" w:type="dxa"/>
          </w:tcPr>
          <w:p>
            <w:pPr>
              <w:pStyle w:val="TableParagraph"/>
              <w:spacing w:line="209" w:lineRule="exact"/>
              <w:ind w:left="50"/>
              <w:rPr>
                <w:sz w:val="20"/>
              </w:rPr>
            </w:pPr>
            <w:r>
              <w:rPr>
                <w:spacing w:val="-4"/>
                <w:sz w:val="20"/>
              </w:rPr>
              <w:t>6915</w:t>
            </w:r>
          </w:p>
        </w:tc>
        <w:tc>
          <w:tcPr>
            <w:tcW w:w="3944" w:type="dxa"/>
          </w:tcPr>
          <w:p>
            <w:pPr>
              <w:pStyle w:val="TableParagraph"/>
              <w:spacing w:line="209" w:lineRule="exact"/>
              <w:ind w:left="158"/>
              <w:rPr>
                <w:sz w:val="20"/>
              </w:rPr>
            </w:pPr>
            <w:r>
              <w:rPr>
                <w:sz w:val="20"/>
              </w:rPr>
              <w:t>Han</w:t>
            </w:r>
            <w:r>
              <w:rPr>
                <w:spacing w:val="-5"/>
                <w:sz w:val="20"/>
              </w:rPr>
              <w:t> </w:t>
            </w:r>
            <w:r>
              <w:rPr>
                <w:spacing w:val="-2"/>
                <w:sz w:val="20"/>
              </w:rPr>
              <w:t>(haa)</w:t>
            </w:r>
          </w:p>
        </w:tc>
        <w:tc>
          <w:tcPr>
            <w:tcW w:w="1386" w:type="dxa"/>
          </w:tcPr>
          <w:p>
            <w:pPr>
              <w:pStyle w:val="TableParagraph"/>
              <w:spacing w:line="209" w:lineRule="exact"/>
              <w:ind w:right="157"/>
              <w:jc w:val="right"/>
              <w:rPr>
                <w:sz w:val="20"/>
              </w:rPr>
            </w:pPr>
            <w:r>
              <w:rPr>
                <w:spacing w:val="-4"/>
                <w:sz w:val="20"/>
              </w:rPr>
              <w:t>6983</w:t>
            </w:r>
          </w:p>
        </w:tc>
        <w:tc>
          <w:tcPr>
            <w:tcW w:w="2965" w:type="dxa"/>
          </w:tcPr>
          <w:p>
            <w:pPr>
              <w:pStyle w:val="TableParagraph"/>
              <w:spacing w:line="209" w:lineRule="exact"/>
              <w:ind w:left="157"/>
              <w:rPr>
                <w:sz w:val="20"/>
              </w:rPr>
            </w:pPr>
            <w:r>
              <w:rPr>
                <w:sz w:val="20"/>
              </w:rPr>
              <w:t>Southern</w:t>
            </w:r>
            <w:r>
              <w:rPr>
                <w:spacing w:val="-8"/>
                <w:sz w:val="20"/>
              </w:rPr>
              <w:t> </w:t>
            </w:r>
            <w:r>
              <w:rPr>
                <w:sz w:val="20"/>
              </w:rPr>
              <w:t>Pomo</w:t>
            </w:r>
            <w:r>
              <w:rPr>
                <w:spacing w:val="-5"/>
                <w:sz w:val="20"/>
              </w:rPr>
              <w:t> </w:t>
            </w:r>
            <w:r>
              <w:rPr>
                <w:spacing w:val="-4"/>
                <w:sz w:val="20"/>
              </w:rPr>
              <w:t>(peq)</w:t>
            </w:r>
          </w:p>
        </w:tc>
      </w:tr>
      <w:tr>
        <w:trPr>
          <w:trHeight w:val="229" w:hRule="atLeast"/>
        </w:trPr>
        <w:tc>
          <w:tcPr>
            <w:tcW w:w="612" w:type="dxa"/>
          </w:tcPr>
          <w:p>
            <w:pPr>
              <w:pStyle w:val="TableParagraph"/>
              <w:spacing w:line="209" w:lineRule="exact"/>
              <w:ind w:left="50"/>
              <w:rPr>
                <w:sz w:val="20"/>
              </w:rPr>
            </w:pPr>
            <w:r>
              <w:rPr>
                <w:spacing w:val="-4"/>
                <w:sz w:val="20"/>
              </w:rPr>
              <w:t>6916</w:t>
            </w:r>
          </w:p>
        </w:tc>
        <w:tc>
          <w:tcPr>
            <w:tcW w:w="3944" w:type="dxa"/>
          </w:tcPr>
          <w:p>
            <w:pPr>
              <w:pStyle w:val="TableParagraph"/>
              <w:spacing w:line="209" w:lineRule="exact"/>
              <w:ind w:left="158"/>
              <w:rPr>
                <w:sz w:val="20"/>
              </w:rPr>
            </w:pPr>
            <w:r>
              <w:rPr>
                <w:sz w:val="20"/>
              </w:rPr>
              <w:t>Chetco</w:t>
            </w:r>
            <w:r>
              <w:rPr>
                <w:spacing w:val="-8"/>
                <w:sz w:val="20"/>
              </w:rPr>
              <w:t> </w:t>
            </w:r>
            <w:r>
              <w:rPr>
                <w:spacing w:val="-2"/>
                <w:sz w:val="20"/>
              </w:rPr>
              <w:t>(ctc)</w:t>
            </w:r>
          </w:p>
        </w:tc>
        <w:tc>
          <w:tcPr>
            <w:tcW w:w="1386" w:type="dxa"/>
          </w:tcPr>
          <w:p>
            <w:pPr>
              <w:pStyle w:val="TableParagraph"/>
              <w:spacing w:line="209" w:lineRule="exact"/>
              <w:ind w:right="157"/>
              <w:jc w:val="right"/>
              <w:rPr>
                <w:sz w:val="20"/>
              </w:rPr>
            </w:pPr>
            <w:r>
              <w:rPr>
                <w:spacing w:val="-4"/>
                <w:sz w:val="20"/>
              </w:rPr>
              <w:t>6984</w:t>
            </w:r>
          </w:p>
        </w:tc>
        <w:tc>
          <w:tcPr>
            <w:tcW w:w="2965" w:type="dxa"/>
          </w:tcPr>
          <w:p>
            <w:pPr>
              <w:pStyle w:val="TableParagraph"/>
              <w:spacing w:line="209" w:lineRule="exact"/>
              <w:ind w:left="157"/>
              <w:rPr>
                <w:sz w:val="20"/>
              </w:rPr>
            </w:pPr>
            <w:r>
              <w:rPr>
                <w:sz w:val="20"/>
              </w:rPr>
              <w:t>Northern</w:t>
            </w:r>
            <w:r>
              <w:rPr>
                <w:spacing w:val="-7"/>
                <w:sz w:val="20"/>
              </w:rPr>
              <w:t> </w:t>
            </w:r>
            <w:r>
              <w:rPr>
                <w:sz w:val="20"/>
              </w:rPr>
              <w:t>Pomo</w:t>
            </w:r>
            <w:r>
              <w:rPr>
                <w:spacing w:val="-5"/>
                <w:sz w:val="20"/>
              </w:rPr>
              <w:t> </w:t>
            </w:r>
            <w:r>
              <w:rPr>
                <w:spacing w:val="-4"/>
                <w:sz w:val="20"/>
              </w:rPr>
              <w:t>(pej)</w:t>
            </w:r>
          </w:p>
        </w:tc>
      </w:tr>
      <w:tr>
        <w:trPr>
          <w:trHeight w:val="230" w:hRule="atLeast"/>
        </w:trPr>
        <w:tc>
          <w:tcPr>
            <w:tcW w:w="612" w:type="dxa"/>
          </w:tcPr>
          <w:p>
            <w:pPr>
              <w:pStyle w:val="TableParagraph"/>
              <w:ind w:left="50"/>
              <w:rPr>
                <w:sz w:val="20"/>
              </w:rPr>
            </w:pPr>
            <w:r>
              <w:rPr>
                <w:spacing w:val="-4"/>
                <w:sz w:val="20"/>
              </w:rPr>
              <w:t>6917</w:t>
            </w:r>
          </w:p>
        </w:tc>
        <w:tc>
          <w:tcPr>
            <w:tcW w:w="3944" w:type="dxa"/>
          </w:tcPr>
          <w:p>
            <w:pPr>
              <w:pStyle w:val="TableParagraph"/>
              <w:ind w:left="158"/>
              <w:rPr>
                <w:sz w:val="20"/>
              </w:rPr>
            </w:pPr>
            <w:r>
              <w:rPr>
                <w:sz w:val="20"/>
              </w:rPr>
              <w:t>Coquille</w:t>
            </w:r>
            <w:r>
              <w:rPr>
                <w:spacing w:val="-9"/>
                <w:sz w:val="20"/>
              </w:rPr>
              <w:t> </w:t>
            </w:r>
            <w:r>
              <w:rPr>
                <w:spacing w:val="-2"/>
                <w:sz w:val="20"/>
              </w:rPr>
              <w:t>(coq)</w:t>
            </w:r>
          </w:p>
        </w:tc>
        <w:tc>
          <w:tcPr>
            <w:tcW w:w="1386" w:type="dxa"/>
          </w:tcPr>
          <w:p>
            <w:pPr>
              <w:pStyle w:val="TableParagraph"/>
              <w:ind w:right="157"/>
              <w:jc w:val="right"/>
              <w:rPr>
                <w:sz w:val="20"/>
              </w:rPr>
            </w:pPr>
            <w:r>
              <w:rPr>
                <w:spacing w:val="-4"/>
                <w:sz w:val="20"/>
              </w:rPr>
              <w:t>6985</w:t>
            </w:r>
          </w:p>
        </w:tc>
        <w:tc>
          <w:tcPr>
            <w:tcW w:w="2965" w:type="dxa"/>
          </w:tcPr>
          <w:p>
            <w:pPr>
              <w:pStyle w:val="TableParagraph"/>
              <w:ind w:left="157"/>
              <w:rPr>
                <w:sz w:val="20"/>
              </w:rPr>
            </w:pPr>
            <w:r>
              <w:rPr>
                <w:sz w:val="20"/>
              </w:rPr>
              <w:t>Eastern</w:t>
            </w:r>
            <w:r>
              <w:rPr>
                <w:spacing w:val="-7"/>
                <w:sz w:val="20"/>
              </w:rPr>
              <w:t> </w:t>
            </w:r>
            <w:r>
              <w:rPr>
                <w:sz w:val="20"/>
              </w:rPr>
              <w:t>Pomo</w:t>
            </w:r>
            <w:r>
              <w:rPr>
                <w:spacing w:val="-4"/>
                <w:sz w:val="20"/>
              </w:rPr>
              <w:t> </w:t>
            </w:r>
            <w:r>
              <w:rPr>
                <w:spacing w:val="-2"/>
                <w:sz w:val="20"/>
              </w:rPr>
              <w:t>(peb)</w:t>
            </w:r>
          </w:p>
        </w:tc>
      </w:tr>
      <w:tr>
        <w:trPr>
          <w:trHeight w:val="230" w:hRule="atLeast"/>
        </w:trPr>
        <w:tc>
          <w:tcPr>
            <w:tcW w:w="612" w:type="dxa"/>
          </w:tcPr>
          <w:p>
            <w:pPr>
              <w:pStyle w:val="TableParagraph"/>
              <w:ind w:left="50"/>
              <w:rPr>
                <w:sz w:val="20"/>
              </w:rPr>
            </w:pPr>
            <w:r>
              <w:rPr>
                <w:spacing w:val="-4"/>
                <w:sz w:val="20"/>
              </w:rPr>
              <w:t>6918</w:t>
            </w:r>
          </w:p>
        </w:tc>
        <w:tc>
          <w:tcPr>
            <w:tcW w:w="3944" w:type="dxa"/>
          </w:tcPr>
          <w:p>
            <w:pPr>
              <w:pStyle w:val="TableParagraph"/>
              <w:ind w:left="158"/>
              <w:rPr>
                <w:sz w:val="20"/>
              </w:rPr>
            </w:pPr>
            <w:r>
              <w:rPr>
                <w:sz w:val="20"/>
              </w:rPr>
              <w:t>Galice</w:t>
            </w:r>
            <w:r>
              <w:rPr>
                <w:spacing w:val="-6"/>
                <w:sz w:val="20"/>
              </w:rPr>
              <w:t> </w:t>
            </w:r>
            <w:r>
              <w:rPr>
                <w:spacing w:val="-2"/>
                <w:sz w:val="20"/>
              </w:rPr>
              <w:t>(gce)</w:t>
            </w:r>
          </w:p>
        </w:tc>
        <w:tc>
          <w:tcPr>
            <w:tcW w:w="1386" w:type="dxa"/>
          </w:tcPr>
          <w:p>
            <w:pPr>
              <w:pStyle w:val="TableParagraph"/>
              <w:ind w:right="157"/>
              <w:jc w:val="right"/>
              <w:rPr>
                <w:sz w:val="20"/>
              </w:rPr>
            </w:pPr>
            <w:r>
              <w:rPr>
                <w:spacing w:val="-4"/>
                <w:sz w:val="20"/>
              </w:rPr>
              <w:t>6986</w:t>
            </w:r>
          </w:p>
        </w:tc>
        <w:tc>
          <w:tcPr>
            <w:tcW w:w="2965" w:type="dxa"/>
          </w:tcPr>
          <w:p>
            <w:pPr>
              <w:pStyle w:val="TableParagraph"/>
              <w:ind w:left="157"/>
              <w:rPr>
                <w:sz w:val="20"/>
              </w:rPr>
            </w:pPr>
            <w:r>
              <w:rPr>
                <w:sz w:val="20"/>
              </w:rPr>
              <w:t>Northeastern</w:t>
            </w:r>
            <w:r>
              <w:rPr>
                <w:spacing w:val="-10"/>
                <w:sz w:val="20"/>
              </w:rPr>
              <w:t> </w:t>
            </w:r>
            <w:r>
              <w:rPr>
                <w:sz w:val="20"/>
              </w:rPr>
              <w:t>Pomo</w:t>
            </w:r>
            <w:r>
              <w:rPr>
                <w:spacing w:val="-7"/>
                <w:sz w:val="20"/>
              </w:rPr>
              <w:t> </w:t>
            </w:r>
            <w:r>
              <w:rPr>
                <w:spacing w:val="-4"/>
                <w:sz w:val="20"/>
              </w:rPr>
              <w:t>(pef)</w:t>
            </w:r>
          </w:p>
        </w:tc>
      </w:tr>
      <w:tr>
        <w:trPr>
          <w:trHeight w:val="230" w:hRule="atLeast"/>
        </w:trPr>
        <w:tc>
          <w:tcPr>
            <w:tcW w:w="612" w:type="dxa"/>
          </w:tcPr>
          <w:p>
            <w:pPr>
              <w:pStyle w:val="TableParagraph"/>
              <w:ind w:left="50"/>
              <w:rPr>
                <w:sz w:val="20"/>
              </w:rPr>
            </w:pPr>
            <w:r>
              <w:rPr>
                <w:spacing w:val="-4"/>
                <w:sz w:val="20"/>
              </w:rPr>
              <w:t>6919</w:t>
            </w:r>
          </w:p>
        </w:tc>
        <w:tc>
          <w:tcPr>
            <w:tcW w:w="3944" w:type="dxa"/>
          </w:tcPr>
          <w:p>
            <w:pPr>
              <w:pStyle w:val="TableParagraph"/>
              <w:ind w:left="158"/>
              <w:rPr>
                <w:sz w:val="20"/>
              </w:rPr>
            </w:pPr>
            <w:r>
              <w:rPr>
                <w:sz w:val="20"/>
              </w:rPr>
              <w:t>Tolowa</w:t>
            </w:r>
            <w:r>
              <w:rPr>
                <w:spacing w:val="-9"/>
                <w:sz w:val="20"/>
              </w:rPr>
              <w:t> </w:t>
            </w:r>
            <w:r>
              <w:rPr>
                <w:spacing w:val="-2"/>
                <w:sz w:val="20"/>
              </w:rPr>
              <w:t>(tol)</w:t>
            </w:r>
          </w:p>
        </w:tc>
        <w:tc>
          <w:tcPr>
            <w:tcW w:w="1386" w:type="dxa"/>
          </w:tcPr>
          <w:p>
            <w:pPr>
              <w:pStyle w:val="TableParagraph"/>
              <w:ind w:right="157"/>
              <w:jc w:val="right"/>
              <w:rPr>
                <w:sz w:val="20"/>
              </w:rPr>
            </w:pPr>
            <w:r>
              <w:rPr>
                <w:spacing w:val="-4"/>
                <w:sz w:val="20"/>
              </w:rPr>
              <w:t>6987</w:t>
            </w:r>
          </w:p>
        </w:tc>
        <w:tc>
          <w:tcPr>
            <w:tcW w:w="2965" w:type="dxa"/>
          </w:tcPr>
          <w:p>
            <w:pPr>
              <w:pStyle w:val="TableParagraph"/>
              <w:ind w:left="157"/>
              <w:rPr>
                <w:sz w:val="20"/>
              </w:rPr>
            </w:pPr>
            <w:r>
              <w:rPr>
                <w:sz w:val="20"/>
              </w:rPr>
              <w:t>Southeastern</w:t>
            </w:r>
            <w:r>
              <w:rPr>
                <w:spacing w:val="-10"/>
                <w:sz w:val="20"/>
              </w:rPr>
              <w:t> </w:t>
            </w:r>
            <w:r>
              <w:rPr>
                <w:sz w:val="20"/>
              </w:rPr>
              <w:t>Pomo</w:t>
            </w:r>
            <w:r>
              <w:rPr>
                <w:spacing w:val="-8"/>
                <w:sz w:val="20"/>
              </w:rPr>
              <w:t> </w:t>
            </w:r>
            <w:r>
              <w:rPr>
                <w:spacing w:val="-4"/>
                <w:sz w:val="20"/>
              </w:rPr>
              <w:t>(pom)</w:t>
            </w:r>
          </w:p>
        </w:tc>
      </w:tr>
      <w:tr>
        <w:trPr>
          <w:trHeight w:val="230" w:hRule="atLeast"/>
        </w:trPr>
        <w:tc>
          <w:tcPr>
            <w:tcW w:w="612" w:type="dxa"/>
          </w:tcPr>
          <w:p>
            <w:pPr>
              <w:pStyle w:val="TableParagraph"/>
              <w:spacing w:line="211" w:lineRule="exact"/>
              <w:ind w:left="50"/>
              <w:rPr>
                <w:sz w:val="20"/>
              </w:rPr>
            </w:pPr>
            <w:r>
              <w:rPr>
                <w:spacing w:val="-4"/>
                <w:sz w:val="20"/>
              </w:rPr>
              <w:t>6920</w:t>
            </w:r>
          </w:p>
        </w:tc>
        <w:tc>
          <w:tcPr>
            <w:tcW w:w="3944" w:type="dxa"/>
          </w:tcPr>
          <w:p>
            <w:pPr>
              <w:pStyle w:val="TableParagraph"/>
              <w:spacing w:line="211" w:lineRule="exact"/>
              <w:ind w:left="158"/>
              <w:rPr>
                <w:sz w:val="20"/>
              </w:rPr>
            </w:pPr>
            <w:r>
              <w:rPr>
                <w:sz w:val="20"/>
              </w:rPr>
              <w:t>Tututni</w:t>
            </w:r>
            <w:r>
              <w:rPr>
                <w:spacing w:val="-11"/>
                <w:sz w:val="20"/>
              </w:rPr>
              <w:t> </w:t>
            </w:r>
            <w:r>
              <w:rPr>
                <w:spacing w:val="-2"/>
                <w:sz w:val="20"/>
              </w:rPr>
              <w:t>(tuu)</w:t>
            </w:r>
          </w:p>
        </w:tc>
        <w:tc>
          <w:tcPr>
            <w:tcW w:w="1386" w:type="dxa"/>
          </w:tcPr>
          <w:p>
            <w:pPr>
              <w:pStyle w:val="TableParagraph"/>
              <w:spacing w:line="211" w:lineRule="exact"/>
              <w:ind w:right="157"/>
              <w:jc w:val="right"/>
              <w:rPr>
                <w:sz w:val="20"/>
              </w:rPr>
            </w:pPr>
            <w:r>
              <w:rPr>
                <w:spacing w:val="-4"/>
                <w:sz w:val="20"/>
              </w:rPr>
              <w:t>6988</w:t>
            </w:r>
          </w:p>
        </w:tc>
        <w:tc>
          <w:tcPr>
            <w:tcW w:w="2965" w:type="dxa"/>
          </w:tcPr>
          <w:p>
            <w:pPr>
              <w:pStyle w:val="TableParagraph"/>
              <w:spacing w:line="211" w:lineRule="exact"/>
              <w:ind w:left="157"/>
              <w:rPr>
                <w:sz w:val="20"/>
              </w:rPr>
            </w:pPr>
            <w:r>
              <w:rPr>
                <w:sz w:val="20"/>
              </w:rPr>
              <w:t>Shasta</w:t>
            </w:r>
            <w:r>
              <w:rPr>
                <w:spacing w:val="-7"/>
                <w:sz w:val="20"/>
              </w:rPr>
              <w:t> </w:t>
            </w:r>
            <w:r>
              <w:rPr>
                <w:spacing w:val="-2"/>
                <w:sz w:val="20"/>
              </w:rPr>
              <w:t>(sht)</w:t>
            </w:r>
          </w:p>
        </w:tc>
      </w:tr>
      <w:tr>
        <w:trPr>
          <w:trHeight w:val="229" w:hRule="atLeast"/>
        </w:trPr>
        <w:tc>
          <w:tcPr>
            <w:tcW w:w="612" w:type="dxa"/>
          </w:tcPr>
          <w:p>
            <w:pPr>
              <w:pStyle w:val="TableParagraph"/>
              <w:spacing w:line="209" w:lineRule="exact"/>
              <w:ind w:left="50"/>
              <w:rPr>
                <w:sz w:val="20"/>
              </w:rPr>
            </w:pPr>
            <w:r>
              <w:rPr>
                <w:spacing w:val="-4"/>
                <w:sz w:val="20"/>
              </w:rPr>
              <w:t>6921</w:t>
            </w:r>
          </w:p>
        </w:tc>
        <w:tc>
          <w:tcPr>
            <w:tcW w:w="3944" w:type="dxa"/>
          </w:tcPr>
          <w:p>
            <w:pPr>
              <w:pStyle w:val="TableParagraph"/>
              <w:spacing w:line="209" w:lineRule="exact"/>
              <w:ind w:left="158"/>
              <w:rPr>
                <w:sz w:val="20"/>
              </w:rPr>
            </w:pPr>
            <w:r>
              <w:rPr>
                <w:sz w:val="20"/>
              </w:rPr>
              <w:t>Hupa</w:t>
            </w:r>
            <w:r>
              <w:rPr>
                <w:spacing w:val="-5"/>
                <w:sz w:val="20"/>
              </w:rPr>
              <w:t> </w:t>
            </w:r>
            <w:r>
              <w:rPr>
                <w:spacing w:val="-2"/>
                <w:sz w:val="20"/>
              </w:rPr>
              <w:t>(hup)</w:t>
            </w:r>
          </w:p>
        </w:tc>
        <w:tc>
          <w:tcPr>
            <w:tcW w:w="1386" w:type="dxa"/>
          </w:tcPr>
          <w:p>
            <w:pPr>
              <w:pStyle w:val="TableParagraph"/>
              <w:spacing w:line="209" w:lineRule="exact"/>
              <w:ind w:right="157"/>
              <w:jc w:val="right"/>
              <w:rPr>
                <w:sz w:val="20"/>
              </w:rPr>
            </w:pPr>
            <w:r>
              <w:rPr>
                <w:spacing w:val="-4"/>
                <w:sz w:val="20"/>
              </w:rPr>
              <w:t>6989</w:t>
            </w:r>
          </w:p>
        </w:tc>
        <w:tc>
          <w:tcPr>
            <w:tcW w:w="2965" w:type="dxa"/>
          </w:tcPr>
          <w:p>
            <w:pPr>
              <w:pStyle w:val="TableParagraph"/>
              <w:spacing w:line="209" w:lineRule="exact"/>
              <w:ind w:left="157"/>
              <w:rPr>
                <w:sz w:val="20"/>
              </w:rPr>
            </w:pPr>
            <w:r>
              <w:rPr>
                <w:sz w:val="20"/>
              </w:rPr>
              <w:t>Washo</w:t>
            </w:r>
            <w:r>
              <w:rPr>
                <w:spacing w:val="-6"/>
                <w:sz w:val="20"/>
              </w:rPr>
              <w:t> </w:t>
            </w:r>
            <w:r>
              <w:rPr>
                <w:spacing w:val="-2"/>
                <w:sz w:val="20"/>
              </w:rPr>
              <w:t>(was)</w:t>
            </w:r>
          </w:p>
        </w:tc>
      </w:tr>
      <w:tr>
        <w:trPr>
          <w:trHeight w:val="229" w:hRule="atLeast"/>
        </w:trPr>
        <w:tc>
          <w:tcPr>
            <w:tcW w:w="612" w:type="dxa"/>
          </w:tcPr>
          <w:p>
            <w:pPr>
              <w:pStyle w:val="TableParagraph"/>
              <w:spacing w:line="209" w:lineRule="exact"/>
              <w:ind w:left="50"/>
              <w:rPr>
                <w:sz w:val="20"/>
              </w:rPr>
            </w:pPr>
            <w:r>
              <w:rPr>
                <w:spacing w:val="-4"/>
                <w:sz w:val="20"/>
              </w:rPr>
              <w:t>6922</w:t>
            </w:r>
          </w:p>
        </w:tc>
        <w:tc>
          <w:tcPr>
            <w:tcW w:w="3944" w:type="dxa"/>
          </w:tcPr>
          <w:p>
            <w:pPr>
              <w:pStyle w:val="TableParagraph"/>
              <w:spacing w:line="209" w:lineRule="exact"/>
              <w:ind w:left="158"/>
              <w:rPr>
                <w:sz w:val="20"/>
              </w:rPr>
            </w:pPr>
            <w:r>
              <w:rPr>
                <w:sz w:val="20"/>
              </w:rPr>
              <w:t>Kato</w:t>
            </w:r>
            <w:r>
              <w:rPr>
                <w:spacing w:val="-3"/>
                <w:sz w:val="20"/>
              </w:rPr>
              <w:t> </w:t>
            </w:r>
            <w:r>
              <w:rPr>
                <w:spacing w:val="-2"/>
                <w:sz w:val="20"/>
              </w:rPr>
              <w:t>(ktw)</w:t>
            </w:r>
          </w:p>
        </w:tc>
        <w:tc>
          <w:tcPr>
            <w:tcW w:w="1386" w:type="dxa"/>
          </w:tcPr>
          <w:p>
            <w:pPr>
              <w:pStyle w:val="TableParagraph"/>
              <w:spacing w:line="209" w:lineRule="exact"/>
              <w:ind w:right="157"/>
              <w:jc w:val="right"/>
              <w:rPr>
                <w:sz w:val="20"/>
              </w:rPr>
            </w:pPr>
            <w:r>
              <w:rPr>
                <w:spacing w:val="-4"/>
                <w:sz w:val="20"/>
              </w:rPr>
              <w:t>6990</w:t>
            </w:r>
          </w:p>
        </w:tc>
        <w:tc>
          <w:tcPr>
            <w:tcW w:w="2965" w:type="dxa"/>
          </w:tcPr>
          <w:p>
            <w:pPr>
              <w:pStyle w:val="TableParagraph"/>
              <w:spacing w:line="209" w:lineRule="exact"/>
              <w:ind w:left="157"/>
              <w:rPr>
                <w:sz w:val="20"/>
              </w:rPr>
            </w:pPr>
            <w:r>
              <w:rPr>
                <w:sz w:val="20"/>
              </w:rPr>
              <w:t>Maricopa</w:t>
            </w:r>
            <w:r>
              <w:rPr>
                <w:spacing w:val="-6"/>
                <w:sz w:val="20"/>
              </w:rPr>
              <w:t> </w:t>
            </w:r>
            <w:r>
              <w:rPr>
                <w:spacing w:val="-2"/>
                <w:sz w:val="20"/>
              </w:rPr>
              <w:t>(mrc)</w:t>
            </w:r>
          </w:p>
        </w:tc>
      </w:tr>
      <w:tr>
        <w:trPr>
          <w:trHeight w:val="230" w:hRule="atLeast"/>
        </w:trPr>
        <w:tc>
          <w:tcPr>
            <w:tcW w:w="612" w:type="dxa"/>
          </w:tcPr>
          <w:p>
            <w:pPr>
              <w:pStyle w:val="TableParagraph"/>
              <w:ind w:left="50"/>
              <w:rPr>
                <w:sz w:val="20"/>
              </w:rPr>
            </w:pPr>
            <w:r>
              <w:rPr>
                <w:spacing w:val="-4"/>
                <w:sz w:val="20"/>
              </w:rPr>
              <w:t>6923</w:t>
            </w:r>
          </w:p>
        </w:tc>
        <w:tc>
          <w:tcPr>
            <w:tcW w:w="3944" w:type="dxa"/>
          </w:tcPr>
          <w:p>
            <w:pPr>
              <w:pStyle w:val="TableParagraph"/>
              <w:ind w:left="158"/>
              <w:rPr>
                <w:sz w:val="20"/>
              </w:rPr>
            </w:pPr>
            <w:r>
              <w:rPr>
                <w:sz w:val="20"/>
              </w:rPr>
              <w:t>Mattole</w:t>
            </w:r>
            <w:r>
              <w:rPr>
                <w:spacing w:val="-7"/>
                <w:sz w:val="20"/>
              </w:rPr>
              <w:t> </w:t>
            </w:r>
            <w:r>
              <w:rPr>
                <w:spacing w:val="-2"/>
                <w:sz w:val="20"/>
              </w:rPr>
              <w:t>(mvb)</w:t>
            </w:r>
          </w:p>
        </w:tc>
        <w:tc>
          <w:tcPr>
            <w:tcW w:w="1386" w:type="dxa"/>
          </w:tcPr>
          <w:p>
            <w:pPr>
              <w:pStyle w:val="TableParagraph"/>
              <w:ind w:right="157"/>
              <w:jc w:val="right"/>
              <w:rPr>
                <w:sz w:val="20"/>
              </w:rPr>
            </w:pPr>
            <w:r>
              <w:rPr>
                <w:spacing w:val="-4"/>
                <w:sz w:val="20"/>
              </w:rPr>
              <w:t>6991</w:t>
            </w:r>
          </w:p>
        </w:tc>
        <w:tc>
          <w:tcPr>
            <w:tcW w:w="2965" w:type="dxa"/>
          </w:tcPr>
          <w:p>
            <w:pPr>
              <w:pStyle w:val="TableParagraph"/>
              <w:ind w:left="157"/>
              <w:rPr>
                <w:sz w:val="20"/>
              </w:rPr>
            </w:pPr>
            <w:r>
              <w:rPr>
                <w:sz w:val="20"/>
              </w:rPr>
              <w:t>Mohave</w:t>
            </w:r>
            <w:r>
              <w:rPr>
                <w:spacing w:val="-9"/>
                <w:sz w:val="20"/>
              </w:rPr>
              <w:t> </w:t>
            </w:r>
            <w:r>
              <w:rPr>
                <w:spacing w:val="-2"/>
                <w:sz w:val="20"/>
              </w:rPr>
              <w:t>(mov)</w:t>
            </w:r>
          </w:p>
        </w:tc>
      </w:tr>
      <w:tr>
        <w:trPr>
          <w:trHeight w:val="230" w:hRule="atLeast"/>
        </w:trPr>
        <w:tc>
          <w:tcPr>
            <w:tcW w:w="612" w:type="dxa"/>
          </w:tcPr>
          <w:p>
            <w:pPr>
              <w:pStyle w:val="TableParagraph"/>
              <w:ind w:left="50"/>
              <w:rPr>
                <w:sz w:val="20"/>
              </w:rPr>
            </w:pPr>
            <w:r>
              <w:rPr>
                <w:spacing w:val="-4"/>
                <w:sz w:val="20"/>
              </w:rPr>
              <w:t>6924</w:t>
            </w:r>
          </w:p>
        </w:tc>
        <w:tc>
          <w:tcPr>
            <w:tcW w:w="3944" w:type="dxa"/>
          </w:tcPr>
          <w:p>
            <w:pPr>
              <w:pStyle w:val="TableParagraph"/>
              <w:ind w:left="158"/>
              <w:rPr>
                <w:sz w:val="20"/>
              </w:rPr>
            </w:pPr>
            <w:r>
              <w:rPr>
                <w:sz w:val="20"/>
              </w:rPr>
              <w:t>Wailaki</w:t>
            </w:r>
            <w:r>
              <w:rPr>
                <w:spacing w:val="-7"/>
                <w:sz w:val="20"/>
              </w:rPr>
              <w:t> </w:t>
            </w:r>
            <w:r>
              <w:rPr>
                <w:spacing w:val="-2"/>
                <w:sz w:val="20"/>
              </w:rPr>
              <w:t>(wlk)</w:t>
            </w:r>
          </w:p>
        </w:tc>
        <w:tc>
          <w:tcPr>
            <w:tcW w:w="1386" w:type="dxa"/>
          </w:tcPr>
          <w:p>
            <w:pPr>
              <w:pStyle w:val="TableParagraph"/>
              <w:ind w:right="157"/>
              <w:jc w:val="right"/>
              <w:rPr>
                <w:sz w:val="20"/>
              </w:rPr>
            </w:pPr>
            <w:r>
              <w:rPr>
                <w:spacing w:val="-4"/>
                <w:sz w:val="20"/>
              </w:rPr>
              <w:t>6992</w:t>
            </w:r>
          </w:p>
        </w:tc>
        <w:tc>
          <w:tcPr>
            <w:tcW w:w="2965" w:type="dxa"/>
          </w:tcPr>
          <w:p>
            <w:pPr>
              <w:pStyle w:val="TableParagraph"/>
              <w:ind w:left="157"/>
              <w:rPr>
                <w:sz w:val="20"/>
              </w:rPr>
            </w:pPr>
            <w:r>
              <w:rPr>
                <w:sz w:val="20"/>
              </w:rPr>
              <w:t>Quechan</w:t>
            </w:r>
            <w:r>
              <w:rPr>
                <w:spacing w:val="-10"/>
                <w:sz w:val="20"/>
              </w:rPr>
              <w:t> </w:t>
            </w:r>
            <w:r>
              <w:rPr>
                <w:spacing w:val="-2"/>
                <w:sz w:val="20"/>
              </w:rPr>
              <w:t>(yum)</w:t>
            </w:r>
          </w:p>
        </w:tc>
      </w:tr>
      <w:tr>
        <w:trPr>
          <w:trHeight w:val="230" w:hRule="atLeast"/>
        </w:trPr>
        <w:tc>
          <w:tcPr>
            <w:tcW w:w="612" w:type="dxa"/>
          </w:tcPr>
          <w:p>
            <w:pPr>
              <w:pStyle w:val="TableParagraph"/>
              <w:ind w:left="50"/>
              <w:rPr>
                <w:sz w:val="20"/>
              </w:rPr>
            </w:pPr>
            <w:r>
              <w:rPr>
                <w:spacing w:val="-4"/>
                <w:sz w:val="20"/>
              </w:rPr>
              <w:t>6927</w:t>
            </w:r>
          </w:p>
        </w:tc>
        <w:tc>
          <w:tcPr>
            <w:tcW w:w="3944" w:type="dxa"/>
          </w:tcPr>
          <w:p>
            <w:pPr>
              <w:pStyle w:val="TableParagraph"/>
              <w:ind w:left="158"/>
              <w:rPr>
                <w:sz w:val="20"/>
              </w:rPr>
            </w:pPr>
            <w:r>
              <w:rPr>
                <w:sz w:val="20"/>
              </w:rPr>
              <w:t>Jicarilla</w:t>
            </w:r>
            <w:r>
              <w:rPr>
                <w:spacing w:val="-8"/>
                <w:sz w:val="20"/>
              </w:rPr>
              <w:t> </w:t>
            </w:r>
            <w:r>
              <w:rPr>
                <w:sz w:val="20"/>
              </w:rPr>
              <w:t>Apache</w:t>
            </w:r>
            <w:r>
              <w:rPr>
                <w:spacing w:val="-7"/>
                <w:sz w:val="20"/>
              </w:rPr>
              <w:t> </w:t>
            </w:r>
            <w:r>
              <w:rPr>
                <w:spacing w:val="-4"/>
                <w:sz w:val="20"/>
              </w:rPr>
              <w:t>(apj)</w:t>
            </w:r>
          </w:p>
        </w:tc>
        <w:tc>
          <w:tcPr>
            <w:tcW w:w="1386" w:type="dxa"/>
          </w:tcPr>
          <w:p>
            <w:pPr>
              <w:pStyle w:val="TableParagraph"/>
              <w:ind w:right="157"/>
              <w:jc w:val="right"/>
              <w:rPr>
                <w:sz w:val="20"/>
              </w:rPr>
            </w:pPr>
            <w:r>
              <w:rPr>
                <w:spacing w:val="-4"/>
                <w:sz w:val="20"/>
              </w:rPr>
              <w:t>6994</w:t>
            </w:r>
          </w:p>
        </w:tc>
        <w:tc>
          <w:tcPr>
            <w:tcW w:w="2965" w:type="dxa"/>
          </w:tcPr>
          <w:p>
            <w:pPr>
              <w:pStyle w:val="TableParagraph"/>
              <w:ind w:left="157"/>
              <w:rPr>
                <w:sz w:val="20"/>
              </w:rPr>
            </w:pPr>
            <w:r>
              <w:rPr>
                <w:sz w:val="20"/>
              </w:rPr>
              <w:t>Kumiai</w:t>
            </w:r>
            <w:r>
              <w:rPr>
                <w:spacing w:val="-7"/>
                <w:sz w:val="20"/>
              </w:rPr>
              <w:t> </w:t>
            </w:r>
            <w:r>
              <w:rPr>
                <w:spacing w:val="-2"/>
                <w:sz w:val="20"/>
              </w:rPr>
              <w:t>(dih)</w:t>
            </w:r>
          </w:p>
        </w:tc>
      </w:tr>
      <w:tr>
        <w:trPr>
          <w:trHeight w:val="230" w:hRule="atLeast"/>
        </w:trPr>
        <w:tc>
          <w:tcPr>
            <w:tcW w:w="612" w:type="dxa"/>
          </w:tcPr>
          <w:p>
            <w:pPr>
              <w:pStyle w:val="TableParagraph"/>
              <w:ind w:left="50"/>
              <w:rPr>
                <w:sz w:val="20"/>
              </w:rPr>
            </w:pPr>
            <w:r>
              <w:rPr>
                <w:spacing w:val="-4"/>
                <w:sz w:val="20"/>
              </w:rPr>
              <w:t>6928</w:t>
            </w:r>
          </w:p>
        </w:tc>
        <w:tc>
          <w:tcPr>
            <w:tcW w:w="3944" w:type="dxa"/>
          </w:tcPr>
          <w:p>
            <w:pPr>
              <w:pStyle w:val="TableParagraph"/>
              <w:ind w:left="158"/>
              <w:rPr>
                <w:sz w:val="20"/>
              </w:rPr>
            </w:pPr>
            <w:r>
              <w:rPr>
                <w:sz w:val="20"/>
              </w:rPr>
              <w:t>Lipan</w:t>
            </w:r>
            <w:r>
              <w:rPr>
                <w:spacing w:val="-7"/>
                <w:sz w:val="20"/>
              </w:rPr>
              <w:t> </w:t>
            </w:r>
            <w:r>
              <w:rPr>
                <w:sz w:val="20"/>
              </w:rPr>
              <w:t>Apache</w:t>
            </w:r>
            <w:r>
              <w:rPr>
                <w:spacing w:val="-7"/>
                <w:sz w:val="20"/>
              </w:rPr>
              <w:t> </w:t>
            </w:r>
            <w:r>
              <w:rPr>
                <w:spacing w:val="-2"/>
                <w:sz w:val="20"/>
              </w:rPr>
              <w:t>(apl)</w:t>
            </w:r>
          </w:p>
        </w:tc>
        <w:tc>
          <w:tcPr>
            <w:tcW w:w="1386" w:type="dxa"/>
          </w:tcPr>
          <w:p>
            <w:pPr>
              <w:pStyle w:val="TableParagraph"/>
              <w:ind w:right="157"/>
              <w:jc w:val="right"/>
              <w:rPr>
                <w:sz w:val="20"/>
              </w:rPr>
            </w:pPr>
            <w:r>
              <w:rPr>
                <w:spacing w:val="-4"/>
                <w:sz w:val="20"/>
              </w:rPr>
              <w:t>6995</w:t>
            </w:r>
          </w:p>
        </w:tc>
        <w:tc>
          <w:tcPr>
            <w:tcW w:w="2965" w:type="dxa"/>
          </w:tcPr>
          <w:p>
            <w:pPr>
              <w:pStyle w:val="TableParagraph"/>
              <w:ind w:left="157"/>
              <w:rPr>
                <w:sz w:val="20"/>
              </w:rPr>
            </w:pPr>
            <w:r>
              <w:rPr>
                <w:sz w:val="20"/>
              </w:rPr>
              <w:t>Cocopa</w:t>
            </w:r>
            <w:r>
              <w:rPr>
                <w:spacing w:val="-5"/>
                <w:sz w:val="20"/>
              </w:rPr>
              <w:t> </w:t>
            </w:r>
            <w:r>
              <w:rPr>
                <w:spacing w:val="-2"/>
                <w:sz w:val="20"/>
              </w:rPr>
              <w:t>(coc)</w:t>
            </w:r>
          </w:p>
        </w:tc>
      </w:tr>
      <w:tr>
        <w:trPr>
          <w:trHeight w:val="229" w:hRule="atLeast"/>
        </w:trPr>
        <w:tc>
          <w:tcPr>
            <w:tcW w:w="612" w:type="dxa"/>
          </w:tcPr>
          <w:p>
            <w:pPr>
              <w:pStyle w:val="TableParagraph"/>
              <w:spacing w:line="209" w:lineRule="exact"/>
              <w:ind w:left="50"/>
              <w:rPr>
                <w:sz w:val="20"/>
              </w:rPr>
            </w:pPr>
            <w:r>
              <w:rPr>
                <w:spacing w:val="-4"/>
                <w:sz w:val="20"/>
              </w:rPr>
              <w:t>6929</w:t>
            </w:r>
          </w:p>
        </w:tc>
        <w:tc>
          <w:tcPr>
            <w:tcW w:w="3944" w:type="dxa"/>
          </w:tcPr>
          <w:p>
            <w:pPr>
              <w:pStyle w:val="TableParagraph"/>
              <w:spacing w:line="209" w:lineRule="exact"/>
              <w:ind w:left="158"/>
              <w:rPr>
                <w:sz w:val="20"/>
              </w:rPr>
            </w:pPr>
            <w:r>
              <w:rPr>
                <w:spacing w:val="-2"/>
                <w:sz w:val="20"/>
              </w:rPr>
              <w:t>Mescalero-Chiricahua</w:t>
            </w:r>
            <w:r>
              <w:rPr>
                <w:spacing w:val="12"/>
                <w:sz w:val="20"/>
              </w:rPr>
              <w:t> </w:t>
            </w:r>
            <w:r>
              <w:rPr>
                <w:spacing w:val="-2"/>
                <w:sz w:val="20"/>
              </w:rPr>
              <w:t>Apache</w:t>
            </w:r>
            <w:r>
              <w:rPr>
                <w:spacing w:val="13"/>
                <w:sz w:val="20"/>
              </w:rPr>
              <w:t> </w:t>
            </w:r>
            <w:r>
              <w:rPr>
                <w:spacing w:val="-4"/>
                <w:sz w:val="20"/>
              </w:rPr>
              <w:t>(apm)</w:t>
            </w:r>
          </w:p>
        </w:tc>
        <w:tc>
          <w:tcPr>
            <w:tcW w:w="1386" w:type="dxa"/>
          </w:tcPr>
          <w:p>
            <w:pPr>
              <w:pStyle w:val="TableParagraph"/>
              <w:spacing w:line="209" w:lineRule="exact"/>
              <w:ind w:right="157"/>
              <w:jc w:val="right"/>
              <w:rPr>
                <w:sz w:val="20"/>
              </w:rPr>
            </w:pPr>
            <w:r>
              <w:rPr>
                <w:spacing w:val="-4"/>
                <w:sz w:val="20"/>
              </w:rPr>
              <w:t>6997</w:t>
            </w:r>
          </w:p>
        </w:tc>
        <w:tc>
          <w:tcPr>
            <w:tcW w:w="2965" w:type="dxa"/>
          </w:tcPr>
          <w:p>
            <w:pPr>
              <w:pStyle w:val="TableParagraph"/>
              <w:spacing w:line="209" w:lineRule="exact"/>
              <w:ind w:left="157"/>
              <w:rPr>
                <w:sz w:val="20"/>
              </w:rPr>
            </w:pPr>
            <w:r>
              <w:rPr>
                <w:spacing w:val="-2"/>
                <w:sz w:val="20"/>
              </w:rPr>
              <w:t>Havasupai-Walapai-Yavapai</w:t>
            </w:r>
            <w:r>
              <w:rPr>
                <w:spacing w:val="27"/>
                <w:sz w:val="20"/>
              </w:rPr>
              <w:t> </w:t>
            </w:r>
            <w:r>
              <w:rPr>
                <w:spacing w:val="-4"/>
                <w:sz w:val="20"/>
              </w:rPr>
              <w:t>(yuf)</w:t>
            </w:r>
          </w:p>
        </w:tc>
      </w:tr>
      <w:tr>
        <w:trPr>
          <w:trHeight w:val="229" w:hRule="atLeast"/>
        </w:trPr>
        <w:tc>
          <w:tcPr>
            <w:tcW w:w="612" w:type="dxa"/>
          </w:tcPr>
          <w:p>
            <w:pPr>
              <w:pStyle w:val="TableParagraph"/>
              <w:spacing w:line="209" w:lineRule="exact"/>
              <w:ind w:left="50"/>
              <w:rPr>
                <w:sz w:val="20"/>
              </w:rPr>
            </w:pPr>
            <w:r>
              <w:rPr>
                <w:spacing w:val="-4"/>
                <w:sz w:val="20"/>
              </w:rPr>
              <w:t>6930</w:t>
            </w:r>
          </w:p>
        </w:tc>
        <w:tc>
          <w:tcPr>
            <w:tcW w:w="3944" w:type="dxa"/>
          </w:tcPr>
          <w:p>
            <w:pPr>
              <w:pStyle w:val="TableParagraph"/>
              <w:spacing w:line="209" w:lineRule="exact"/>
              <w:ind w:left="158"/>
              <w:rPr>
                <w:sz w:val="20"/>
              </w:rPr>
            </w:pPr>
            <w:r>
              <w:rPr>
                <w:sz w:val="20"/>
              </w:rPr>
              <w:t>Western</w:t>
            </w:r>
            <w:r>
              <w:rPr>
                <w:spacing w:val="-7"/>
                <w:sz w:val="20"/>
              </w:rPr>
              <w:t> </w:t>
            </w:r>
            <w:r>
              <w:rPr>
                <w:sz w:val="20"/>
              </w:rPr>
              <w:t>Apache</w:t>
            </w:r>
            <w:r>
              <w:rPr>
                <w:spacing w:val="-8"/>
                <w:sz w:val="20"/>
              </w:rPr>
              <w:t> </w:t>
            </w:r>
            <w:r>
              <w:rPr>
                <w:spacing w:val="-4"/>
                <w:sz w:val="20"/>
              </w:rPr>
              <w:t>(apw)</w:t>
            </w:r>
          </w:p>
        </w:tc>
        <w:tc>
          <w:tcPr>
            <w:tcW w:w="1386" w:type="dxa"/>
          </w:tcPr>
          <w:p>
            <w:pPr>
              <w:pStyle w:val="TableParagraph"/>
              <w:spacing w:line="209" w:lineRule="exact"/>
              <w:ind w:right="157"/>
              <w:jc w:val="right"/>
              <w:rPr>
                <w:sz w:val="20"/>
              </w:rPr>
            </w:pPr>
            <w:r>
              <w:rPr>
                <w:spacing w:val="-4"/>
                <w:sz w:val="20"/>
              </w:rPr>
              <w:t>7000</w:t>
            </w:r>
          </w:p>
        </w:tc>
        <w:tc>
          <w:tcPr>
            <w:tcW w:w="2965" w:type="dxa"/>
          </w:tcPr>
          <w:p>
            <w:pPr>
              <w:pStyle w:val="TableParagraph"/>
              <w:spacing w:line="209" w:lineRule="exact"/>
              <w:ind w:left="157"/>
              <w:rPr>
                <w:sz w:val="20"/>
              </w:rPr>
            </w:pPr>
            <w:r>
              <w:rPr>
                <w:sz w:val="20"/>
              </w:rPr>
              <w:t>Barbareño</w:t>
            </w:r>
            <w:r>
              <w:rPr>
                <w:spacing w:val="-5"/>
                <w:sz w:val="20"/>
              </w:rPr>
              <w:t> </w:t>
            </w:r>
            <w:r>
              <w:rPr>
                <w:spacing w:val="-4"/>
                <w:sz w:val="20"/>
              </w:rPr>
              <w:t>(boi)</w:t>
            </w:r>
          </w:p>
        </w:tc>
      </w:tr>
      <w:tr>
        <w:trPr>
          <w:trHeight w:val="230" w:hRule="atLeast"/>
        </w:trPr>
        <w:tc>
          <w:tcPr>
            <w:tcW w:w="612" w:type="dxa"/>
          </w:tcPr>
          <w:p>
            <w:pPr>
              <w:pStyle w:val="TableParagraph"/>
              <w:ind w:left="50"/>
              <w:rPr>
                <w:sz w:val="20"/>
              </w:rPr>
            </w:pPr>
            <w:r>
              <w:rPr>
                <w:spacing w:val="-4"/>
                <w:sz w:val="20"/>
              </w:rPr>
              <w:t>6931</w:t>
            </w:r>
          </w:p>
        </w:tc>
        <w:tc>
          <w:tcPr>
            <w:tcW w:w="3944" w:type="dxa"/>
          </w:tcPr>
          <w:p>
            <w:pPr>
              <w:pStyle w:val="TableParagraph"/>
              <w:ind w:left="158"/>
              <w:rPr>
                <w:sz w:val="20"/>
              </w:rPr>
            </w:pPr>
            <w:r>
              <w:rPr>
                <w:sz w:val="20"/>
              </w:rPr>
              <w:t>Kiowa</w:t>
            </w:r>
            <w:r>
              <w:rPr>
                <w:spacing w:val="-6"/>
                <w:sz w:val="20"/>
              </w:rPr>
              <w:t> </w:t>
            </w:r>
            <w:r>
              <w:rPr>
                <w:sz w:val="20"/>
              </w:rPr>
              <w:t>Apache</w:t>
            </w:r>
            <w:r>
              <w:rPr>
                <w:spacing w:val="-8"/>
                <w:sz w:val="20"/>
              </w:rPr>
              <w:t> </w:t>
            </w:r>
            <w:r>
              <w:rPr>
                <w:spacing w:val="-4"/>
                <w:sz w:val="20"/>
              </w:rPr>
              <w:t>(apk)</w:t>
            </w:r>
          </w:p>
        </w:tc>
        <w:tc>
          <w:tcPr>
            <w:tcW w:w="1386" w:type="dxa"/>
          </w:tcPr>
          <w:p>
            <w:pPr>
              <w:pStyle w:val="TableParagraph"/>
              <w:ind w:right="157"/>
              <w:jc w:val="right"/>
              <w:rPr>
                <w:sz w:val="20"/>
              </w:rPr>
            </w:pPr>
            <w:r>
              <w:rPr>
                <w:spacing w:val="-4"/>
                <w:sz w:val="20"/>
              </w:rPr>
              <w:t>7001</w:t>
            </w:r>
          </w:p>
        </w:tc>
        <w:tc>
          <w:tcPr>
            <w:tcW w:w="2965" w:type="dxa"/>
          </w:tcPr>
          <w:p>
            <w:pPr>
              <w:pStyle w:val="TableParagraph"/>
              <w:ind w:left="157"/>
              <w:rPr>
                <w:sz w:val="20"/>
              </w:rPr>
            </w:pPr>
            <w:r>
              <w:rPr>
                <w:sz w:val="20"/>
              </w:rPr>
              <w:t>Ineseño</w:t>
            </w:r>
            <w:r>
              <w:rPr>
                <w:spacing w:val="-8"/>
                <w:sz w:val="20"/>
              </w:rPr>
              <w:t> </w:t>
            </w:r>
            <w:r>
              <w:rPr>
                <w:spacing w:val="-2"/>
                <w:sz w:val="20"/>
              </w:rPr>
              <w:t>(inz)</w:t>
            </w:r>
          </w:p>
        </w:tc>
      </w:tr>
      <w:tr>
        <w:trPr>
          <w:trHeight w:val="230" w:hRule="atLeast"/>
        </w:trPr>
        <w:tc>
          <w:tcPr>
            <w:tcW w:w="612" w:type="dxa"/>
          </w:tcPr>
          <w:p>
            <w:pPr>
              <w:pStyle w:val="TableParagraph"/>
              <w:ind w:left="50"/>
              <w:rPr>
                <w:sz w:val="20"/>
              </w:rPr>
            </w:pPr>
            <w:r>
              <w:rPr>
                <w:spacing w:val="-4"/>
                <w:sz w:val="20"/>
              </w:rPr>
              <w:t>6933</w:t>
            </w:r>
          </w:p>
        </w:tc>
        <w:tc>
          <w:tcPr>
            <w:tcW w:w="3944" w:type="dxa"/>
          </w:tcPr>
          <w:p>
            <w:pPr>
              <w:pStyle w:val="TableParagraph"/>
              <w:ind w:left="158"/>
              <w:rPr>
                <w:sz w:val="20"/>
              </w:rPr>
            </w:pPr>
            <w:r>
              <w:rPr>
                <w:sz w:val="20"/>
              </w:rPr>
              <w:t>Navajo</w:t>
            </w:r>
            <w:r>
              <w:rPr>
                <w:spacing w:val="-4"/>
                <w:sz w:val="20"/>
              </w:rPr>
              <w:t> </w:t>
            </w:r>
            <w:r>
              <w:rPr>
                <w:spacing w:val="-2"/>
                <w:sz w:val="20"/>
              </w:rPr>
              <w:t>(nav)</w:t>
            </w:r>
          </w:p>
        </w:tc>
        <w:tc>
          <w:tcPr>
            <w:tcW w:w="1386" w:type="dxa"/>
          </w:tcPr>
          <w:p>
            <w:pPr>
              <w:pStyle w:val="TableParagraph"/>
              <w:ind w:right="157"/>
              <w:jc w:val="right"/>
              <w:rPr>
                <w:sz w:val="20"/>
              </w:rPr>
            </w:pPr>
            <w:r>
              <w:rPr>
                <w:spacing w:val="-4"/>
                <w:sz w:val="20"/>
              </w:rPr>
              <w:t>7002</w:t>
            </w:r>
          </w:p>
        </w:tc>
        <w:tc>
          <w:tcPr>
            <w:tcW w:w="2965" w:type="dxa"/>
          </w:tcPr>
          <w:p>
            <w:pPr>
              <w:pStyle w:val="TableParagraph"/>
              <w:ind w:left="157"/>
              <w:rPr>
                <w:sz w:val="20"/>
              </w:rPr>
            </w:pPr>
            <w:r>
              <w:rPr>
                <w:sz w:val="20"/>
              </w:rPr>
              <w:t>Purisimeño</w:t>
            </w:r>
            <w:r>
              <w:rPr>
                <w:spacing w:val="-13"/>
                <w:sz w:val="20"/>
              </w:rPr>
              <w:t> </w:t>
            </w:r>
            <w:r>
              <w:rPr>
                <w:spacing w:val="-4"/>
                <w:sz w:val="20"/>
              </w:rPr>
              <w:t>(puy)</w:t>
            </w:r>
          </w:p>
        </w:tc>
      </w:tr>
      <w:tr>
        <w:trPr>
          <w:trHeight w:val="225" w:hRule="atLeast"/>
        </w:trPr>
        <w:tc>
          <w:tcPr>
            <w:tcW w:w="612" w:type="dxa"/>
          </w:tcPr>
          <w:p>
            <w:pPr>
              <w:pStyle w:val="TableParagraph"/>
              <w:spacing w:line="240" w:lineRule="auto"/>
              <w:rPr>
                <w:sz w:val="16"/>
              </w:rPr>
            </w:pPr>
          </w:p>
        </w:tc>
        <w:tc>
          <w:tcPr>
            <w:tcW w:w="3944" w:type="dxa"/>
          </w:tcPr>
          <w:p>
            <w:pPr>
              <w:pStyle w:val="TableParagraph"/>
              <w:spacing w:line="240" w:lineRule="auto"/>
              <w:rPr>
                <w:sz w:val="16"/>
              </w:rPr>
            </w:pPr>
          </w:p>
        </w:tc>
        <w:tc>
          <w:tcPr>
            <w:tcW w:w="1386" w:type="dxa"/>
          </w:tcPr>
          <w:p>
            <w:pPr>
              <w:pStyle w:val="TableParagraph"/>
              <w:spacing w:line="205" w:lineRule="exact"/>
              <w:ind w:right="157"/>
              <w:jc w:val="right"/>
              <w:rPr>
                <w:sz w:val="20"/>
              </w:rPr>
            </w:pPr>
            <w:r>
              <w:rPr>
                <w:spacing w:val="-4"/>
                <w:sz w:val="20"/>
              </w:rPr>
              <w:t>7003</w:t>
            </w:r>
          </w:p>
        </w:tc>
        <w:tc>
          <w:tcPr>
            <w:tcW w:w="2965" w:type="dxa"/>
          </w:tcPr>
          <w:p>
            <w:pPr>
              <w:pStyle w:val="TableParagraph"/>
              <w:spacing w:line="205" w:lineRule="exact"/>
              <w:ind w:left="157"/>
              <w:rPr>
                <w:sz w:val="20"/>
              </w:rPr>
            </w:pPr>
            <w:r>
              <w:rPr>
                <w:sz w:val="20"/>
              </w:rPr>
              <w:t>Ventureño</w:t>
            </w:r>
            <w:r>
              <w:rPr>
                <w:spacing w:val="-10"/>
                <w:sz w:val="20"/>
              </w:rPr>
              <w:t> </w:t>
            </w:r>
            <w:r>
              <w:rPr>
                <w:spacing w:val="-2"/>
                <w:sz w:val="20"/>
              </w:rPr>
              <w:t>(veo)</w:t>
            </w:r>
          </w:p>
        </w:tc>
      </w:tr>
    </w:tbl>
    <w:p>
      <w:pPr>
        <w:spacing w:after="0" w:line="205" w:lineRule="exact"/>
        <w:rPr>
          <w:sz w:val="20"/>
        </w:rPr>
        <w:sectPr>
          <w:footerReference w:type="default" r:id="rId92"/>
          <w:pgSz w:w="12240" w:h="15840"/>
          <w:pgMar w:footer="0" w:header="0" w:top="1080" w:bottom="280" w:left="600" w:right="500"/>
        </w:sectPr>
      </w:pPr>
    </w:p>
    <w:p>
      <w:pPr>
        <w:tabs>
          <w:tab w:pos="1272" w:val="left" w:leader="none"/>
          <w:tab w:pos="5880" w:val="left" w:leader="none"/>
        </w:tabs>
        <w:spacing w:before="67" w:after="10"/>
        <w:ind w:left="552" w:right="0" w:firstLine="0"/>
        <w:jc w:val="left"/>
        <w:rPr>
          <w:rFonts w:ascii="Times New Roman" w:hAnsi="Times New Roman"/>
          <w:i/>
          <w:sz w:val="20"/>
        </w:rPr>
      </w:pPr>
      <w:r>
        <w:rPr>
          <w:rFonts w:ascii="Times New Roman" w:hAnsi="Times New Roman"/>
          <w:spacing w:val="-4"/>
          <w:sz w:val="20"/>
        </w:rPr>
        <w:t>7004</w:t>
      </w:r>
      <w:r>
        <w:rPr>
          <w:rFonts w:ascii="Times New Roman" w:hAnsi="Times New Roman"/>
          <w:sz w:val="20"/>
        </w:rPr>
        <w:tab/>
        <w:t>Cruzeño</w:t>
      </w:r>
      <w:r>
        <w:rPr>
          <w:rFonts w:ascii="Times New Roman" w:hAnsi="Times New Roman"/>
          <w:spacing w:val="-9"/>
          <w:sz w:val="20"/>
        </w:rPr>
        <w:t> </w:t>
      </w:r>
      <w:r>
        <w:rPr>
          <w:rFonts w:ascii="Times New Roman" w:hAnsi="Times New Roman"/>
          <w:spacing w:val="-2"/>
          <w:sz w:val="20"/>
        </w:rPr>
        <w:t>(crz)</w:t>
      </w:r>
      <w:r>
        <w:rPr>
          <w:rFonts w:ascii="Times New Roman" w:hAnsi="Times New Roman"/>
          <w:sz w:val="20"/>
        </w:rPr>
        <w:tab/>
      </w:r>
      <w:r>
        <w:rPr>
          <w:rFonts w:ascii="Times New Roman" w:hAnsi="Times New Roman"/>
          <w:i/>
          <w:sz w:val="20"/>
        </w:rPr>
        <w:t>Uto-Aztecan</w:t>
      </w:r>
      <w:r>
        <w:rPr>
          <w:rFonts w:ascii="Times New Roman" w:hAnsi="Times New Roman"/>
          <w:i/>
          <w:spacing w:val="-10"/>
          <w:sz w:val="20"/>
        </w:rPr>
        <w:t> </w:t>
      </w:r>
      <w:r>
        <w:rPr>
          <w:rFonts w:ascii="Times New Roman" w:hAnsi="Times New Roman"/>
          <w:i/>
          <w:sz w:val="20"/>
        </w:rPr>
        <w:t>languages</w:t>
      </w:r>
      <w:r>
        <w:rPr>
          <w:rFonts w:ascii="Times New Roman" w:hAnsi="Times New Roman"/>
          <w:i/>
          <w:spacing w:val="-12"/>
          <w:sz w:val="20"/>
        </w:rPr>
        <w:t> </w:t>
      </w:r>
      <w:r>
        <w:rPr>
          <w:rFonts w:ascii="Times New Roman" w:hAnsi="Times New Roman"/>
          <w:i/>
          <w:sz w:val="20"/>
        </w:rPr>
        <w:t>(7060-</w:t>
      </w:r>
      <w:r>
        <w:rPr>
          <w:rFonts w:ascii="Times New Roman" w:hAnsi="Times New Roman"/>
          <w:i/>
          <w:spacing w:val="-2"/>
          <w:sz w:val="20"/>
        </w:rPr>
        <w:t>7124)</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2"/>
        <w:gridCol w:w="3322"/>
        <w:gridCol w:w="1987"/>
        <w:gridCol w:w="2744"/>
      </w:tblGrid>
      <w:tr>
        <w:trPr>
          <w:trHeight w:val="224" w:hRule="atLeast"/>
        </w:trPr>
        <w:tc>
          <w:tcPr>
            <w:tcW w:w="632" w:type="dxa"/>
          </w:tcPr>
          <w:p>
            <w:pPr>
              <w:pStyle w:val="TableParagraph"/>
              <w:spacing w:line="204" w:lineRule="exact"/>
              <w:ind w:left="50"/>
              <w:rPr>
                <w:sz w:val="20"/>
              </w:rPr>
            </w:pPr>
            <w:r>
              <w:rPr>
                <w:spacing w:val="-4"/>
                <w:sz w:val="20"/>
              </w:rPr>
              <w:t>7005</w:t>
            </w:r>
          </w:p>
        </w:tc>
        <w:tc>
          <w:tcPr>
            <w:tcW w:w="3322" w:type="dxa"/>
          </w:tcPr>
          <w:p>
            <w:pPr>
              <w:pStyle w:val="TableParagraph"/>
              <w:spacing w:line="204" w:lineRule="exact"/>
              <w:ind w:left="138"/>
              <w:rPr>
                <w:sz w:val="20"/>
              </w:rPr>
            </w:pPr>
            <w:r>
              <w:rPr>
                <w:sz w:val="20"/>
              </w:rPr>
              <w:t>Obispeño</w:t>
            </w:r>
            <w:r>
              <w:rPr>
                <w:spacing w:val="-7"/>
                <w:sz w:val="20"/>
              </w:rPr>
              <w:t> </w:t>
            </w:r>
            <w:r>
              <w:rPr>
                <w:spacing w:val="-2"/>
                <w:sz w:val="20"/>
              </w:rPr>
              <w:t>(obi)</w:t>
            </w:r>
          </w:p>
        </w:tc>
        <w:tc>
          <w:tcPr>
            <w:tcW w:w="1987" w:type="dxa"/>
          </w:tcPr>
          <w:p>
            <w:pPr>
              <w:pStyle w:val="TableParagraph"/>
              <w:spacing w:line="204" w:lineRule="exact"/>
              <w:ind w:right="156"/>
              <w:jc w:val="right"/>
              <w:rPr>
                <w:sz w:val="20"/>
              </w:rPr>
            </w:pPr>
            <w:r>
              <w:rPr>
                <w:spacing w:val="-4"/>
                <w:sz w:val="20"/>
              </w:rPr>
              <w:t>7060</w:t>
            </w:r>
          </w:p>
        </w:tc>
        <w:tc>
          <w:tcPr>
            <w:tcW w:w="2744" w:type="dxa"/>
          </w:tcPr>
          <w:p>
            <w:pPr>
              <w:pStyle w:val="TableParagraph"/>
              <w:spacing w:line="204" w:lineRule="exact"/>
              <w:ind w:left="158"/>
              <w:rPr>
                <w:sz w:val="20"/>
              </w:rPr>
            </w:pPr>
            <w:r>
              <w:rPr>
                <w:sz w:val="20"/>
              </w:rPr>
              <w:t>Comanche</w:t>
            </w:r>
            <w:r>
              <w:rPr>
                <w:spacing w:val="-12"/>
                <w:sz w:val="20"/>
              </w:rPr>
              <w:t> </w:t>
            </w:r>
            <w:r>
              <w:rPr>
                <w:spacing w:val="-2"/>
                <w:sz w:val="20"/>
              </w:rPr>
              <w:t>(com)</w:t>
            </w:r>
          </w:p>
        </w:tc>
      </w:tr>
      <w:tr>
        <w:trPr>
          <w:trHeight w:val="229" w:hRule="atLeast"/>
        </w:trPr>
        <w:tc>
          <w:tcPr>
            <w:tcW w:w="632" w:type="dxa"/>
          </w:tcPr>
          <w:p>
            <w:pPr>
              <w:pStyle w:val="TableParagraph"/>
              <w:spacing w:line="209" w:lineRule="exact"/>
              <w:ind w:left="50"/>
              <w:rPr>
                <w:sz w:val="20"/>
              </w:rPr>
            </w:pPr>
            <w:r>
              <w:rPr>
                <w:spacing w:val="-4"/>
                <w:sz w:val="20"/>
              </w:rPr>
              <w:t>7007</w:t>
            </w:r>
          </w:p>
        </w:tc>
        <w:tc>
          <w:tcPr>
            <w:tcW w:w="3322" w:type="dxa"/>
          </w:tcPr>
          <w:p>
            <w:pPr>
              <w:pStyle w:val="TableParagraph"/>
              <w:spacing w:line="209" w:lineRule="exact"/>
              <w:ind w:left="138"/>
              <w:rPr>
                <w:sz w:val="20"/>
              </w:rPr>
            </w:pPr>
            <w:r>
              <w:rPr>
                <w:sz w:val="20"/>
              </w:rPr>
              <w:t>Chimariko</w:t>
            </w:r>
            <w:r>
              <w:rPr>
                <w:spacing w:val="-10"/>
                <w:sz w:val="20"/>
              </w:rPr>
              <w:t> </w:t>
            </w:r>
            <w:r>
              <w:rPr>
                <w:spacing w:val="-4"/>
                <w:sz w:val="20"/>
              </w:rPr>
              <w:t>(cid)</w:t>
            </w:r>
          </w:p>
        </w:tc>
        <w:tc>
          <w:tcPr>
            <w:tcW w:w="1987" w:type="dxa"/>
          </w:tcPr>
          <w:p>
            <w:pPr>
              <w:pStyle w:val="TableParagraph"/>
              <w:spacing w:line="209" w:lineRule="exact"/>
              <w:ind w:right="156"/>
              <w:jc w:val="right"/>
              <w:rPr>
                <w:sz w:val="20"/>
              </w:rPr>
            </w:pPr>
            <w:r>
              <w:rPr>
                <w:spacing w:val="-4"/>
                <w:sz w:val="20"/>
              </w:rPr>
              <w:t>7062</w:t>
            </w:r>
          </w:p>
        </w:tc>
        <w:tc>
          <w:tcPr>
            <w:tcW w:w="2744" w:type="dxa"/>
          </w:tcPr>
          <w:p>
            <w:pPr>
              <w:pStyle w:val="TableParagraph"/>
              <w:spacing w:line="209" w:lineRule="exact"/>
              <w:ind w:left="158"/>
              <w:rPr>
                <w:sz w:val="20"/>
              </w:rPr>
            </w:pPr>
            <w:r>
              <w:rPr>
                <w:sz w:val="20"/>
              </w:rPr>
              <w:t>Shoshoni</w:t>
            </w:r>
            <w:r>
              <w:rPr>
                <w:spacing w:val="-12"/>
                <w:sz w:val="20"/>
              </w:rPr>
              <w:t> </w:t>
            </w:r>
            <w:r>
              <w:rPr>
                <w:spacing w:val="-2"/>
                <w:sz w:val="20"/>
              </w:rPr>
              <w:t>(shh)</w:t>
            </w:r>
          </w:p>
        </w:tc>
      </w:tr>
      <w:tr>
        <w:trPr>
          <w:trHeight w:val="230" w:hRule="atLeast"/>
        </w:trPr>
        <w:tc>
          <w:tcPr>
            <w:tcW w:w="632" w:type="dxa"/>
          </w:tcPr>
          <w:p>
            <w:pPr>
              <w:pStyle w:val="TableParagraph"/>
              <w:ind w:left="50"/>
              <w:rPr>
                <w:sz w:val="20"/>
              </w:rPr>
            </w:pPr>
            <w:r>
              <w:rPr>
                <w:spacing w:val="-4"/>
                <w:sz w:val="20"/>
              </w:rPr>
              <w:t>7008</w:t>
            </w:r>
          </w:p>
        </w:tc>
        <w:tc>
          <w:tcPr>
            <w:tcW w:w="3322" w:type="dxa"/>
          </w:tcPr>
          <w:p>
            <w:pPr>
              <w:pStyle w:val="TableParagraph"/>
              <w:ind w:left="138"/>
              <w:rPr>
                <w:sz w:val="20"/>
              </w:rPr>
            </w:pPr>
            <w:r>
              <w:rPr>
                <w:sz w:val="20"/>
              </w:rPr>
              <w:t>Esselen</w:t>
            </w:r>
            <w:r>
              <w:rPr>
                <w:spacing w:val="-8"/>
                <w:sz w:val="20"/>
              </w:rPr>
              <w:t> </w:t>
            </w:r>
            <w:r>
              <w:rPr>
                <w:spacing w:val="-2"/>
                <w:sz w:val="20"/>
              </w:rPr>
              <w:t>(esq)</w:t>
            </w:r>
          </w:p>
        </w:tc>
        <w:tc>
          <w:tcPr>
            <w:tcW w:w="1987" w:type="dxa"/>
          </w:tcPr>
          <w:p>
            <w:pPr>
              <w:pStyle w:val="TableParagraph"/>
              <w:ind w:right="156"/>
              <w:jc w:val="right"/>
              <w:rPr>
                <w:sz w:val="20"/>
              </w:rPr>
            </w:pPr>
            <w:r>
              <w:rPr>
                <w:spacing w:val="-4"/>
                <w:sz w:val="20"/>
              </w:rPr>
              <w:t>7064</w:t>
            </w:r>
          </w:p>
        </w:tc>
        <w:tc>
          <w:tcPr>
            <w:tcW w:w="2744" w:type="dxa"/>
          </w:tcPr>
          <w:p>
            <w:pPr>
              <w:pStyle w:val="TableParagraph"/>
              <w:ind w:left="158"/>
              <w:rPr>
                <w:sz w:val="20"/>
              </w:rPr>
            </w:pPr>
            <w:r>
              <w:rPr>
                <w:sz w:val="20"/>
              </w:rPr>
              <w:t>Panamint</w:t>
            </w:r>
            <w:r>
              <w:rPr>
                <w:spacing w:val="-11"/>
                <w:sz w:val="20"/>
              </w:rPr>
              <w:t> </w:t>
            </w:r>
            <w:r>
              <w:rPr>
                <w:spacing w:val="-2"/>
                <w:sz w:val="20"/>
              </w:rPr>
              <w:t>(par)</w:t>
            </w:r>
          </w:p>
        </w:tc>
      </w:tr>
      <w:tr>
        <w:trPr>
          <w:trHeight w:val="230" w:hRule="atLeast"/>
        </w:trPr>
        <w:tc>
          <w:tcPr>
            <w:tcW w:w="632" w:type="dxa"/>
          </w:tcPr>
          <w:p>
            <w:pPr>
              <w:pStyle w:val="TableParagraph"/>
              <w:ind w:left="50"/>
              <w:rPr>
                <w:sz w:val="20"/>
              </w:rPr>
            </w:pPr>
            <w:r>
              <w:rPr>
                <w:spacing w:val="-4"/>
                <w:sz w:val="20"/>
              </w:rPr>
              <w:t>7009</w:t>
            </w:r>
          </w:p>
        </w:tc>
        <w:tc>
          <w:tcPr>
            <w:tcW w:w="3322" w:type="dxa"/>
          </w:tcPr>
          <w:p>
            <w:pPr>
              <w:pStyle w:val="TableParagraph"/>
              <w:ind w:left="138"/>
              <w:rPr>
                <w:sz w:val="20"/>
              </w:rPr>
            </w:pPr>
            <w:r>
              <w:rPr>
                <w:sz w:val="20"/>
              </w:rPr>
              <w:t>Salinan</w:t>
            </w:r>
            <w:r>
              <w:rPr>
                <w:spacing w:val="-7"/>
                <w:sz w:val="20"/>
              </w:rPr>
              <w:t> </w:t>
            </w:r>
            <w:r>
              <w:rPr>
                <w:spacing w:val="-2"/>
                <w:sz w:val="20"/>
              </w:rPr>
              <w:t>(sln)</w:t>
            </w:r>
          </w:p>
        </w:tc>
        <w:tc>
          <w:tcPr>
            <w:tcW w:w="1987" w:type="dxa"/>
          </w:tcPr>
          <w:p>
            <w:pPr>
              <w:pStyle w:val="TableParagraph"/>
              <w:ind w:right="156"/>
              <w:jc w:val="right"/>
              <w:rPr>
                <w:sz w:val="20"/>
              </w:rPr>
            </w:pPr>
            <w:r>
              <w:rPr>
                <w:spacing w:val="-4"/>
                <w:sz w:val="20"/>
              </w:rPr>
              <w:t>7066</w:t>
            </w:r>
          </w:p>
        </w:tc>
        <w:tc>
          <w:tcPr>
            <w:tcW w:w="2744" w:type="dxa"/>
          </w:tcPr>
          <w:p>
            <w:pPr>
              <w:pStyle w:val="TableParagraph"/>
              <w:ind w:left="158"/>
              <w:rPr>
                <w:sz w:val="20"/>
              </w:rPr>
            </w:pPr>
            <w:r>
              <w:rPr>
                <w:sz w:val="20"/>
              </w:rPr>
              <w:t>Mono</w:t>
            </w:r>
            <w:r>
              <w:rPr>
                <w:spacing w:val="-7"/>
                <w:sz w:val="20"/>
              </w:rPr>
              <w:t> </w:t>
            </w:r>
            <w:r>
              <w:rPr>
                <w:sz w:val="20"/>
              </w:rPr>
              <w:t>(USA)</w:t>
            </w:r>
            <w:r>
              <w:rPr>
                <w:spacing w:val="-7"/>
                <w:sz w:val="20"/>
              </w:rPr>
              <w:t> </w:t>
            </w:r>
            <w:r>
              <w:rPr>
                <w:spacing w:val="-4"/>
                <w:sz w:val="20"/>
              </w:rPr>
              <w:t>(mnr)</w:t>
            </w:r>
          </w:p>
        </w:tc>
      </w:tr>
      <w:tr>
        <w:trPr>
          <w:trHeight w:val="230" w:hRule="atLeast"/>
        </w:trPr>
        <w:tc>
          <w:tcPr>
            <w:tcW w:w="632" w:type="dxa"/>
          </w:tcPr>
          <w:p>
            <w:pPr>
              <w:pStyle w:val="TableParagraph"/>
              <w:spacing w:line="240" w:lineRule="auto"/>
              <w:rPr>
                <w:sz w:val="16"/>
              </w:rPr>
            </w:pPr>
          </w:p>
        </w:tc>
        <w:tc>
          <w:tcPr>
            <w:tcW w:w="3322" w:type="dxa"/>
          </w:tcPr>
          <w:p>
            <w:pPr>
              <w:pStyle w:val="TableParagraph"/>
              <w:spacing w:line="240" w:lineRule="auto"/>
              <w:rPr>
                <w:sz w:val="16"/>
              </w:rPr>
            </w:pPr>
          </w:p>
        </w:tc>
        <w:tc>
          <w:tcPr>
            <w:tcW w:w="1987" w:type="dxa"/>
          </w:tcPr>
          <w:p>
            <w:pPr>
              <w:pStyle w:val="TableParagraph"/>
              <w:ind w:right="156"/>
              <w:jc w:val="right"/>
              <w:rPr>
                <w:sz w:val="20"/>
              </w:rPr>
            </w:pPr>
            <w:r>
              <w:rPr>
                <w:spacing w:val="-4"/>
                <w:sz w:val="20"/>
              </w:rPr>
              <w:t>7068</w:t>
            </w:r>
          </w:p>
        </w:tc>
        <w:tc>
          <w:tcPr>
            <w:tcW w:w="2744" w:type="dxa"/>
          </w:tcPr>
          <w:p>
            <w:pPr>
              <w:pStyle w:val="TableParagraph"/>
              <w:ind w:left="158"/>
              <w:rPr>
                <w:sz w:val="20"/>
              </w:rPr>
            </w:pPr>
            <w:r>
              <w:rPr>
                <w:sz w:val="20"/>
              </w:rPr>
              <w:t>Northern</w:t>
            </w:r>
            <w:r>
              <w:rPr>
                <w:spacing w:val="-8"/>
                <w:sz w:val="20"/>
              </w:rPr>
              <w:t> </w:t>
            </w:r>
            <w:r>
              <w:rPr>
                <w:sz w:val="20"/>
              </w:rPr>
              <w:t>Paiute</w:t>
            </w:r>
            <w:r>
              <w:rPr>
                <w:spacing w:val="-6"/>
                <w:sz w:val="20"/>
              </w:rPr>
              <w:t> </w:t>
            </w:r>
            <w:r>
              <w:rPr>
                <w:spacing w:val="-4"/>
                <w:sz w:val="20"/>
              </w:rPr>
              <w:t>(pao)</w:t>
            </w:r>
          </w:p>
        </w:tc>
      </w:tr>
      <w:tr>
        <w:trPr>
          <w:trHeight w:val="230" w:hRule="atLeast"/>
        </w:trPr>
        <w:tc>
          <w:tcPr>
            <w:tcW w:w="632" w:type="dxa"/>
          </w:tcPr>
          <w:p>
            <w:pPr>
              <w:pStyle w:val="TableParagraph"/>
              <w:ind w:left="50"/>
              <w:rPr>
                <w:sz w:val="20"/>
              </w:rPr>
            </w:pPr>
            <w:r>
              <w:rPr>
                <w:spacing w:val="-4"/>
                <w:sz w:val="20"/>
              </w:rPr>
              <w:t>7010</w:t>
            </w:r>
          </w:p>
        </w:tc>
        <w:tc>
          <w:tcPr>
            <w:tcW w:w="3322" w:type="dxa"/>
          </w:tcPr>
          <w:p>
            <w:pPr>
              <w:pStyle w:val="TableParagraph"/>
              <w:ind w:left="138"/>
              <w:rPr>
                <w:sz w:val="20"/>
              </w:rPr>
            </w:pPr>
            <w:r>
              <w:rPr>
                <w:sz w:val="20"/>
              </w:rPr>
              <w:t>Tonkawa</w:t>
            </w:r>
            <w:r>
              <w:rPr>
                <w:spacing w:val="-12"/>
                <w:sz w:val="20"/>
              </w:rPr>
              <w:t> </w:t>
            </w:r>
            <w:r>
              <w:rPr>
                <w:spacing w:val="-2"/>
                <w:sz w:val="20"/>
              </w:rPr>
              <w:t>(tqw)</w:t>
            </w:r>
          </w:p>
        </w:tc>
        <w:tc>
          <w:tcPr>
            <w:tcW w:w="1987" w:type="dxa"/>
          </w:tcPr>
          <w:p>
            <w:pPr>
              <w:pStyle w:val="TableParagraph"/>
              <w:ind w:right="156"/>
              <w:jc w:val="right"/>
              <w:rPr>
                <w:sz w:val="20"/>
              </w:rPr>
            </w:pPr>
            <w:r>
              <w:rPr>
                <w:spacing w:val="-4"/>
                <w:sz w:val="20"/>
              </w:rPr>
              <w:t>7069</w:t>
            </w:r>
          </w:p>
        </w:tc>
        <w:tc>
          <w:tcPr>
            <w:tcW w:w="2744" w:type="dxa"/>
          </w:tcPr>
          <w:p>
            <w:pPr>
              <w:pStyle w:val="TableParagraph"/>
              <w:ind w:left="158"/>
              <w:rPr>
                <w:sz w:val="20"/>
              </w:rPr>
            </w:pPr>
            <w:r>
              <w:rPr>
                <w:sz w:val="20"/>
              </w:rPr>
              <w:t>Ute-Southern</w:t>
            </w:r>
            <w:r>
              <w:rPr>
                <w:spacing w:val="-10"/>
                <w:sz w:val="20"/>
              </w:rPr>
              <w:t> </w:t>
            </w:r>
            <w:r>
              <w:rPr>
                <w:sz w:val="20"/>
              </w:rPr>
              <w:t>Paiute</w:t>
            </w:r>
            <w:r>
              <w:rPr>
                <w:spacing w:val="-8"/>
                <w:sz w:val="20"/>
              </w:rPr>
              <w:t> </w:t>
            </w:r>
            <w:r>
              <w:rPr>
                <w:spacing w:val="-4"/>
                <w:sz w:val="20"/>
              </w:rPr>
              <w:t>(ute)</w:t>
            </w:r>
          </w:p>
        </w:tc>
      </w:tr>
      <w:tr>
        <w:trPr>
          <w:trHeight w:val="229" w:hRule="atLeast"/>
        </w:trPr>
        <w:tc>
          <w:tcPr>
            <w:tcW w:w="632" w:type="dxa"/>
          </w:tcPr>
          <w:p>
            <w:pPr>
              <w:pStyle w:val="TableParagraph"/>
              <w:spacing w:line="209" w:lineRule="exact"/>
              <w:ind w:left="50"/>
              <w:rPr>
                <w:sz w:val="20"/>
              </w:rPr>
            </w:pPr>
            <w:r>
              <w:rPr>
                <w:spacing w:val="-4"/>
                <w:sz w:val="20"/>
              </w:rPr>
              <w:t>7011</w:t>
            </w:r>
          </w:p>
        </w:tc>
        <w:tc>
          <w:tcPr>
            <w:tcW w:w="3322" w:type="dxa"/>
          </w:tcPr>
          <w:p>
            <w:pPr>
              <w:pStyle w:val="TableParagraph"/>
              <w:spacing w:line="209" w:lineRule="exact"/>
              <w:ind w:left="138"/>
              <w:rPr>
                <w:sz w:val="20"/>
              </w:rPr>
            </w:pPr>
            <w:r>
              <w:rPr>
                <w:sz w:val="20"/>
              </w:rPr>
              <w:t>Yuchi</w:t>
            </w:r>
            <w:r>
              <w:rPr>
                <w:spacing w:val="-7"/>
                <w:sz w:val="20"/>
              </w:rPr>
              <w:t> </w:t>
            </w:r>
            <w:r>
              <w:rPr>
                <w:spacing w:val="-2"/>
                <w:sz w:val="20"/>
              </w:rPr>
              <w:t>(yuc)</w:t>
            </w:r>
          </w:p>
        </w:tc>
        <w:tc>
          <w:tcPr>
            <w:tcW w:w="1987" w:type="dxa"/>
          </w:tcPr>
          <w:p>
            <w:pPr>
              <w:pStyle w:val="TableParagraph"/>
              <w:spacing w:line="209" w:lineRule="exact"/>
              <w:ind w:right="156"/>
              <w:jc w:val="right"/>
              <w:rPr>
                <w:sz w:val="20"/>
              </w:rPr>
            </w:pPr>
            <w:r>
              <w:rPr>
                <w:spacing w:val="-4"/>
                <w:sz w:val="20"/>
              </w:rPr>
              <w:t>7070</w:t>
            </w:r>
          </w:p>
        </w:tc>
        <w:tc>
          <w:tcPr>
            <w:tcW w:w="2744" w:type="dxa"/>
          </w:tcPr>
          <w:p>
            <w:pPr>
              <w:pStyle w:val="TableParagraph"/>
              <w:spacing w:line="209" w:lineRule="exact"/>
              <w:ind w:left="158"/>
              <w:rPr>
                <w:sz w:val="20"/>
              </w:rPr>
            </w:pPr>
            <w:r>
              <w:rPr>
                <w:sz w:val="20"/>
              </w:rPr>
              <w:t>Kawaiisu</w:t>
            </w:r>
            <w:r>
              <w:rPr>
                <w:spacing w:val="-9"/>
                <w:sz w:val="20"/>
              </w:rPr>
              <w:t> </w:t>
            </w:r>
            <w:r>
              <w:rPr>
                <w:spacing w:val="-2"/>
                <w:sz w:val="20"/>
              </w:rPr>
              <w:t>(xaw)</w:t>
            </w:r>
          </w:p>
        </w:tc>
      </w:tr>
      <w:tr>
        <w:trPr>
          <w:trHeight w:val="229" w:hRule="atLeast"/>
        </w:trPr>
        <w:tc>
          <w:tcPr>
            <w:tcW w:w="632" w:type="dxa"/>
          </w:tcPr>
          <w:p>
            <w:pPr>
              <w:pStyle w:val="TableParagraph"/>
              <w:spacing w:line="240" w:lineRule="auto"/>
              <w:rPr>
                <w:sz w:val="16"/>
              </w:rPr>
            </w:pPr>
          </w:p>
        </w:tc>
        <w:tc>
          <w:tcPr>
            <w:tcW w:w="3322" w:type="dxa"/>
          </w:tcPr>
          <w:p>
            <w:pPr>
              <w:pStyle w:val="TableParagraph"/>
              <w:spacing w:line="240" w:lineRule="auto"/>
              <w:rPr>
                <w:sz w:val="16"/>
              </w:rPr>
            </w:pPr>
          </w:p>
        </w:tc>
        <w:tc>
          <w:tcPr>
            <w:tcW w:w="1987" w:type="dxa"/>
          </w:tcPr>
          <w:p>
            <w:pPr>
              <w:pStyle w:val="TableParagraph"/>
              <w:spacing w:line="209" w:lineRule="exact"/>
              <w:ind w:right="156"/>
              <w:jc w:val="right"/>
              <w:rPr>
                <w:sz w:val="20"/>
              </w:rPr>
            </w:pPr>
            <w:r>
              <w:rPr>
                <w:spacing w:val="-4"/>
                <w:sz w:val="20"/>
              </w:rPr>
              <w:t>7072</w:t>
            </w:r>
          </w:p>
        </w:tc>
        <w:tc>
          <w:tcPr>
            <w:tcW w:w="2744" w:type="dxa"/>
          </w:tcPr>
          <w:p>
            <w:pPr>
              <w:pStyle w:val="TableParagraph"/>
              <w:spacing w:line="209" w:lineRule="exact"/>
              <w:ind w:left="158"/>
              <w:rPr>
                <w:sz w:val="20"/>
              </w:rPr>
            </w:pPr>
            <w:r>
              <w:rPr>
                <w:sz w:val="20"/>
              </w:rPr>
              <w:t>Cahuilla</w:t>
            </w:r>
            <w:r>
              <w:rPr>
                <w:spacing w:val="-10"/>
                <w:sz w:val="20"/>
              </w:rPr>
              <w:t> </w:t>
            </w:r>
            <w:r>
              <w:rPr>
                <w:spacing w:val="-2"/>
                <w:sz w:val="20"/>
              </w:rPr>
              <w:t>(chl)</w:t>
            </w:r>
          </w:p>
        </w:tc>
      </w:tr>
      <w:tr>
        <w:trPr>
          <w:trHeight w:val="230" w:hRule="atLeast"/>
        </w:trPr>
        <w:tc>
          <w:tcPr>
            <w:tcW w:w="632" w:type="dxa"/>
          </w:tcPr>
          <w:p>
            <w:pPr>
              <w:pStyle w:val="TableParagraph"/>
              <w:ind w:left="50"/>
              <w:rPr>
                <w:i/>
                <w:sz w:val="20"/>
              </w:rPr>
            </w:pPr>
            <w:r>
              <w:rPr>
                <w:i/>
                <w:spacing w:val="-2"/>
                <w:sz w:val="20"/>
              </w:rPr>
              <w:t>Siouan</w:t>
            </w:r>
          </w:p>
        </w:tc>
        <w:tc>
          <w:tcPr>
            <w:tcW w:w="3322" w:type="dxa"/>
          </w:tcPr>
          <w:p>
            <w:pPr>
              <w:pStyle w:val="TableParagraph"/>
              <w:ind w:left="24"/>
              <w:rPr>
                <w:i/>
                <w:sz w:val="20"/>
              </w:rPr>
            </w:pPr>
            <w:r>
              <w:rPr>
                <w:i/>
                <w:sz w:val="20"/>
              </w:rPr>
              <w:t>languages</w:t>
            </w:r>
            <w:r>
              <w:rPr>
                <w:i/>
                <w:spacing w:val="-11"/>
                <w:sz w:val="20"/>
              </w:rPr>
              <w:t> </w:t>
            </w:r>
            <w:r>
              <w:rPr>
                <w:i/>
                <w:sz w:val="20"/>
              </w:rPr>
              <w:t>(7013-</w:t>
            </w:r>
            <w:r>
              <w:rPr>
                <w:i/>
                <w:spacing w:val="-4"/>
                <w:sz w:val="20"/>
              </w:rPr>
              <w:t>7027)</w:t>
            </w:r>
          </w:p>
        </w:tc>
        <w:tc>
          <w:tcPr>
            <w:tcW w:w="1987" w:type="dxa"/>
          </w:tcPr>
          <w:p>
            <w:pPr>
              <w:pStyle w:val="TableParagraph"/>
              <w:ind w:right="156"/>
              <w:jc w:val="right"/>
              <w:rPr>
                <w:sz w:val="20"/>
              </w:rPr>
            </w:pPr>
            <w:r>
              <w:rPr>
                <w:spacing w:val="-4"/>
                <w:sz w:val="20"/>
              </w:rPr>
              <w:t>7074</w:t>
            </w:r>
          </w:p>
        </w:tc>
        <w:tc>
          <w:tcPr>
            <w:tcW w:w="2744" w:type="dxa"/>
          </w:tcPr>
          <w:p>
            <w:pPr>
              <w:pStyle w:val="TableParagraph"/>
              <w:ind w:left="158"/>
              <w:rPr>
                <w:sz w:val="20"/>
              </w:rPr>
            </w:pPr>
            <w:r>
              <w:rPr>
                <w:sz w:val="20"/>
              </w:rPr>
              <w:t>Cupeño</w:t>
            </w:r>
            <w:r>
              <w:rPr>
                <w:spacing w:val="-8"/>
                <w:sz w:val="20"/>
              </w:rPr>
              <w:t> </w:t>
            </w:r>
            <w:r>
              <w:rPr>
                <w:spacing w:val="-2"/>
                <w:sz w:val="20"/>
              </w:rPr>
              <w:t>(cup)</w:t>
            </w:r>
          </w:p>
        </w:tc>
      </w:tr>
      <w:tr>
        <w:trPr>
          <w:trHeight w:val="230" w:hRule="atLeast"/>
        </w:trPr>
        <w:tc>
          <w:tcPr>
            <w:tcW w:w="632" w:type="dxa"/>
          </w:tcPr>
          <w:p>
            <w:pPr>
              <w:pStyle w:val="TableParagraph"/>
              <w:ind w:left="50"/>
              <w:rPr>
                <w:sz w:val="20"/>
              </w:rPr>
            </w:pPr>
            <w:r>
              <w:rPr>
                <w:spacing w:val="-4"/>
                <w:sz w:val="20"/>
              </w:rPr>
              <w:t>7013</w:t>
            </w:r>
          </w:p>
        </w:tc>
        <w:tc>
          <w:tcPr>
            <w:tcW w:w="3322" w:type="dxa"/>
          </w:tcPr>
          <w:p>
            <w:pPr>
              <w:pStyle w:val="TableParagraph"/>
              <w:ind w:left="138"/>
              <w:rPr>
                <w:sz w:val="20"/>
              </w:rPr>
            </w:pPr>
            <w:r>
              <w:rPr>
                <w:sz w:val="20"/>
              </w:rPr>
              <w:t>Crow</w:t>
            </w:r>
            <w:r>
              <w:rPr>
                <w:spacing w:val="-8"/>
                <w:sz w:val="20"/>
              </w:rPr>
              <w:t> </w:t>
            </w:r>
            <w:r>
              <w:rPr>
                <w:spacing w:val="-2"/>
                <w:sz w:val="20"/>
              </w:rPr>
              <w:t>(cro)</w:t>
            </w:r>
          </w:p>
        </w:tc>
        <w:tc>
          <w:tcPr>
            <w:tcW w:w="1987" w:type="dxa"/>
          </w:tcPr>
          <w:p>
            <w:pPr>
              <w:pStyle w:val="TableParagraph"/>
              <w:ind w:right="156"/>
              <w:jc w:val="right"/>
              <w:rPr>
                <w:sz w:val="20"/>
              </w:rPr>
            </w:pPr>
            <w:r>
              <w:rPr>
                <w:spacing w:val="-4"/>
                <w:sz w:val="20"/>
              </w:rPr>
              <w:t>7076</w:t>
            </w:r>
          </w:p>
        </w:tc>
        <w:tc>
          <w:tcPr>
            <w:tcW w:w="2744" w:type="dxa"/>
          </w:tcPr>
          <w:p>
            <w:pPr>
              <w:pStyle w:val="TableParagraph"/>
              <w:ind w:left="158"/>
              <w:rPr>
                <w:sz w:val="20"/>
              </w:rPr>
            </w:pPr>
            <w:r>
              <w:rPr>
                <w:sz w:val="20"/>
              </w:rPr>
              <w:t>Luiseno</w:t>
            </w:r>
            <w:r>
              <w:rPr>
                <w:spacing w:val="-9"/>
                <w:sz w:val="20"/>
              </w:rPr>
              <w:t> </w:t>
            </w:r>
            <w:r>
              <w:rPr>
                <w:spacing w:val="-2"/>
                <w:sz w:val="20"/>
              </w:rPr>
              <w:t>(lui)</w:t>
            </w:r>
          </w:p>
        </w:tc>
      </w:tr>
      <w:tr>
        <w:trPr>
          <w:trHeight w:val="230" w:hRule="atLeast"/>
        </w:trPr>
        <w:tc>
          <w:tcPr>
            <w:tcW w:w="632" w:type="dxa"/>
          </w:tcPr>
          <w:p>
            <w:pPr>
              <w:pStyle w:val="TableParagraph"/>
              <w:ind w:left="50"/>
              <w:rPr>
                <w:sz w:val="20"/>
              </w:rPr>
            </w:pPr>
            <w:r>
              <w:rPr>
                <w:spacing w:val="-4"/>
                <w:sz w:val="20"/>
              </w:rPr>
              <w:t>7014</w:t>
            </w:r>
          </w:p>
        </w:tc>
        <w:tc>
          <w:tcPr>
            <w:tcW w:w="3322" w:type="dxa"/>
          </w:tcPr>
          <w:p>
            <w:pPr>
              <w:pStyle w:val="TableParagraph"/>
              <w:ind w:left="138"/>
              <w:rPr>
                <w:sz w:val="20"/>
              </w:rPr>
            </w:pPr>
            <w:r>
              <w:rPr>
                <w:sz w:val="20"/>
              </w:rPr>
              <w:t>Hidatsa</w:t>
            </w:r>
            <w:r>
              <w:rPr>
                <w:spacing w:val="-7"/>
                <w:sz w:val="20"/>
              </w:rPr>
              <w:t> </w:t>
            </w:r>
            <w:r>
              <w:rPr>
                <w:spacing w:val="-2"/>
                <w:sz w:val="20"/>
              </w:rPr>
              <w:t>(hid)</w:t>
            </w:r>
          </w:p>
        </w:tc>
        <w:tc>
          <w:tcPr>
            <w:tcW w:w="1987" w:type="dxa"/>
          </w:tcPr>
          <w:p>
            <w:pPr>
              <w:pStyle w:val="TableParagraph"/>
              <w:ind w:right="156"/>
              <w:jc w:val="right"/>
              <w:rPr>
                <w:sz w:val="20"/>
              </w:rPr>
            </w:pPr>
            <w:r>
              <w:rPr>
                <w:spacing w:val="-4"/>
                <w:sz w:val="20"/>
              </w:rPr>
              <w:t>7078</w:t>
            </w:r>
          </w:p>
        </w:tc>
        <w:tc>
          <w:tcPr>
            <w:tcW w:w="2744" w:type="dxa"/>
          </w:tcPr>
          <w:p>
            <w:pPr>
              <w:pStyle w:val="TableParagraph"/>
              <w:ind w:left="158"/>
              <w:rPr>
                <w:sz w:val="20"/>
              </w:rPr>
            </w:pPr>
            <w:r>
              <w:rPr>
                <w:sz w:val="20"/>
              </w:rPr>
              <w:t>Serrano</w:t>
            </w:r>
            <w:r>
              <w:rPr>
                <w:spacing w:val="-7"/>
                <w:sz w:val="20"/>
              </w:rPr>
              <w:t> </w:t>
            </w:r>
            <w:r>
              <w:rPr>
                <w:spacing w:val="-2"/>
                <w:sz w:val="20"/>
              </w:rPr>
              <w:t>(ser)</w:t>
            </w:r>
          </w:p>
        </w:tc>
      </w:tr>
      <w:tr>
        <w:trPr>
          <w:trHeight w:val="230" w:hRule="atLeast"/>
        </w:trPr>
        <w:tc>
          <w:tcPr>
            <w:tcW w:w="632" w:type="dxa"/>
          </w:tcPr>
          <w:p>
            <w:pPr>
              <w:pStyle w:val="TableParagraph"/>
              <w:ind w:left="50"/>
              <w:rPr>
                <w:sz w:val="20"/>
              </w:rPr>
            </w:pPr>
            <w:r>
              <w:rPr>
                <w:spacing w:val="-4"/>
                <w:sz w:val="20"/>
              </w:rPr>
              <w:t>7015</w:t>
            </w:r>
          </w:p>
        </w:tc>
        <w:tc>
          <w:tcPr>
            <w:tcW w:w="3322" w:type="dxa"/>
          </w:tcPr>
          <w:p>
            <w:pPr>
              <w:pStyle w:val="TableParagraph"/>
              <w:ind w:left="138"/>
              <w:rPr>
                <w:sz w:val="20"/>
              </w:rPr>
            </w:pPr>
            <w:r>
              <w:rPr>
                <w:sz w:val="20"/>
              </w:rPr>
              <w:t>Mandan</w:t>
            </w:r>
            <w:r>
              <w:rPr>
                <w:spacing w:val="-9"/>
                <w:sz w:val="20"/>
              </w:rPr>
              <w:t> </w:t>
            </w:r>
            <w:r>
              <w:rPr>
                <w:spacing w:val="-2"/>
                <w:sz w:val="20"/>
              </w:rPr>
              <w:t>(mhq)</w:t>
            </w:r>
          </w:p>
        </w:tc>
        <w:tc>
          <w:tcPr>
            <w:tcW w:w="1987" w:type="dxa"/>
          </w:tcPr>
          <w:p>
            <w:pPr>
              <w:pStyle w:val="TableParagraph"/>
              <w:ind w:right="156"/>
              <w:jc w:val="right"/>
              <w:rPr>
                <w:sz w:val="20"/>
              </w:rPr>
            </w:pPr>
            <w:r>
              <w:rPr>
                <w:spacing w:val="-4"/>
                <w:sz w:val="20"/>
              </w:rPr>
              <w:t>7080</w:t>
            </w:r>
          </w:p>
        </w:tc>
        <w:tc>
          <w:tcPr>
            <w:tcW w:w="2744" w:type="dxa"/>
          </w:tcPr>
          <w:p>
            <w:pPr>
              <w:pStyle w:val="TableParagraph"/>
              <w:ind w:left="158"/>
              <w:rPr>
                <w:sz w:val="20"/>
              </w:rPr>
            </w:pPr>
            <w:r>
              <w:rPr>
                <w:sz w:val="20"/>
              </w:rPr>
              <w:t>Hopi</w:t>
            </w:r>
            <w:r>
              <w:rPr>
                <w:spacing w:val="-5"/>
                <w:sz w:val="20"/>
              </w:rPr>
              <w:t> </w:t>
            </w:r>
            <w:r>
              <w:rPr>
                <w:spacing w:val="-2"/>
                <w:sz w:val="20"/>
              </w:rPr>
              <w:t>(hop)</w:t>
            </w:r>
          </w:p>
        </w:tc>
      </w:tr>
      <w:tr>
        <w:trPr>
          <w:trHeight w:val="229" w:hRule="atLeast"/>
        </w:trPr>
        <w:tc>
          <w:tcPr>
            <w:tcW w:w="632" w:type="dxa"/>
          </w:tcPr>
          <w:p>
            <w:pPr>
              <w:pStyle w:val="TableParagraph"/>
              <w:spacing w:line="209" w:lineRule="exact"/>
              <w:ind w:left="50"/>
              <w:rPr>
                <w:sz w:val="20"/>
              </w:rPr>
            </w:pPr>
            <w:r>
              <w:rPr>
                <w:spacing w:val="-4"/>
                <w:sz w:val="20"/>
              </w:rPr>
              <w:t>7016</w:t>
            </w:r>
          </w:p>
        </w:tc>
        <w:tc>
          <w:tcPr>
            <w:tcW w:w="3322" w:type="dxa"/>
          </w:tcPr>
          <w:p>
            <w:pPr>
              <w:pStyle w:val="TableParagraph"/>
              <w:spacing w:line="209" w:lineRule="exact"/>
              <w:ind w:left="138"/>
              <w:rPr>
                <w:sz w:val="20"/>
              </w:rPr>
            </w:pPr>
            <w:r>
              <w:rPr>
                <w:sz w:val="20"/>
              </w:rPr>
              <w:t>Catawba</w:t>
            </w:r>
            <w:r>
              <w:rPr>
                <w:spacing w:val="-8"/>
                <w:sz w:val="20"/>
              </w:rPr>
              <w:t> </w:t>
            </w:r>
            <w:r>
              <w:rPr>
                <w:spacing w:val="-2"/>
                <w:sz w:val="20"/>
              </w:rPr>
              <w:t>(chc)</w:t>
            </w:r>
          </w:p>
        </w:tc>
        <w:tc>
          <w:tcPr>
            <w:tcW w:w="1987" w:type="dxa"/>
          </w:tcPr>
          <w:p>
            <w:pPr>
              <w:pStyle w:val="TableParagraph"/>
              <w:spacing w:line="209" w:lineRule="exact"/>
              <w:ind w:right="156"/>
              <w:jc w:val="right"/>
              <w:rPr>
                <w:sz w:val="20"/>
              </w:rPr>
            </w:pPr>
            <w:r>
              <w:rPr>
                <w:spacing w:val="-4"/>
                <w:sz w:val="20"/>
              </w:rPr>
              <w:t>7082</w:t>
            </w:r>
          </w:p>
        </w:tc>
        <w:tc>
          <w:tcPr>
            <w:tcW w:w="2744" w:type="dxa"/>
          </w:tcPr>
          <w:p>
            <w:pPr>
              <w:pStyle w:val="TableParagraph"/>
              <w:spacing w:line="209" w:lineRule="exact"/>
              <w:ind w:left="158"/>
              <w:rPr>
                <w:sz w:val="20"/>
              </w:rPr>
            </w:pPr>
            <w:r>
              <w:rPr>
                <w:sz w:val="20"/>
              </w:rPr>
              <w:t>Tübatulabal</w:t>
            </w:r>
            <w:r>
              <w:rPr>
                <w:spacing w:val="-9"/>
                <w:sz w:val="20"/>
              </w:rPr>
              <w:t> </w:t>
            </w:r>
            <w:r>
              <w:rPr>
                <w:spacing w:val="-2"/>
                <w:sz w:val="20"/>
              </w:rPr>
              <w:t>(tub)</w:t>
            </w:r>
          </w:p>
        </w:tc>
      </w:tr>
      <w:tr>
        <w:trPr>
          <w:trHeight w:val="229" w:hRule="atLeast"/>
        </w:trPr>
        <w:tc>
          <w:tcPr>
            <w:tcW w:w="632" w:type="dxa"/>
          </w:tcPr>
          <w:p>
            <w:pPr>
              <w:pStyle w:val="TableParagraph"/>
              <w:spacing w:line="209" w:lineRule="exact"/>
              <w:ind w:left="50"/>
              <w:rPr>
                <w:sz w:val="20"/>
              </w:rPr>
            </w:pPr>
            <w:r>
              <w:rPr>
                <w:spacing w:val="-4"/>
                <w:sz w:val="20"/>
              </w:rPr>
              <w:t>7017</w:t>
            </w:r>
          </w:p>
        </w:tc>
        <w:tc>
          <w:tcPr>
            <w:tcW w:w="3322" w:type="dxa"/>
          </w:tcPr>
          <w:p>
            <w:pPr>
              <w:pStyle w:val="TableParagraph"/>
              <w:spacing w:line="209" w:lineRule="exact"/>
              <w:ind w:left="138"/>
              <w:rPr>
                <w:sz w:val="20"/>
              </w:rPr>
            </w:pPr>
            <w:r>
              <w:rPr>
                <w:spacing w:val="-2"/>
                <w:sz w:val="20"/>
              </w:rPr>
              <w:t>Assiniboine</w:t>
            </w:r>
            <w:r>
              <w:rPr>
                <w:spacing w:val="9"/>
                <w:sz w:val="20"/>
              </w:rPr>
              <w:t> </w:t>
            </w:r>
            <w:r>
              <w:rPr>
                <w:spacing w:val="-2"/>
                <w:sz w:val="20"/>
              </w:rPr>
              <w:t>(asb)</w:t>
            </w:r>
          </w:p>
        </w:tc>
        <w:tc>
          <w:tcPr>
            <w:tcW w:w="1987" w:type="dxa"/>
          </w:tcPr>
          <w:p>
            <w:pPr>
              <w:pStyle w:val="TableParagraph"/>
              <w:spacing w:line="209" w:lineRule="exact"/>
              <w:ind w:right="156"/>
              <w:jc w:val="right"/>
              <w:rPr>
                <w:sz w:val="20"/>
              </w:rPr>
            </w:pPr>
            <w:r>
              <w:rPr>
                <w:spacing w:val="-4"/>
                <w:sz w:val="20"/>
              </w:rPr>
              <w:t>7084</w:t>
            </w:r>
          </w:p>
        </w:tc>
        <w:tc>
          <w:tcPr>
            <w:tcW w:w="2744" w:type="dxa"/>
          </w:tcPr>
          <w:p>
            <w:pPr>
              <w:pStyle w:val="TableParagraph"/>
              <w:spacing w:line="209" w:lineRule="exact"/>
              <w:ind w:left="158"/>
              <w:rPr>
                <w:sz w:val="20"/>
              </w:rPr>
            </w:pPr>
            <w:r>
              <w:rPr>
                <w:sz w:val="20"/>
              </w:rPr>
              <w:t>Tohono</w:t>
            </w:r>
            <w:r>
              <w:rPr>
                <w:spacing w:val="-7"/>
                <w:sz w:val="20"/>
              </w:rPr>
              <w:t> </w:t>
            </w:r>
            <w:r>
              <w:rPr>
                <w:sz w:val="20"/>
              </w:rPr>
              <w:t>O'odham</w:t>
            </w:r>
            <w:r>
              <w:rPr>
                <w:spacing w:val="-10"/>
                <w:sz w:val="20"/>
              </w:rPr>
              <w:t> </w:t>
            </w:r>
            <w:r>
              <w:rPr>
                <w:spacing w:val="-4"/>
                <w:sz w:val="20"/>
              </w:rPr>
              <w:t>(ood)</w:t>
            </w:r>
          </w:p>
        </w:tc>
      </w:tr>
      <w:tr>
        <w:trPr>
          <w:trHeight w:val="230" w:hRule="atLeast"/>
        </w:trPr>
        <w:tc>
          <w:tcPr>
            <w:tcW w:w="632" w:type="dxa"/>
          </w:tcPr>
          <w:p>
            <w:pPr>
              <w:pStyle w:val="TableParagraph"/>
              <w:ind w:left="50"/>
              <w:rPr>
                <w:sz w:val="20"/>
              </w:rPr>
            </w:pPr>
            <w:r>
              <w:rPr>
                <w:spacing w:val="-4"/>
                <w:sz w:val="20"/>
              </w:rPr>
              <w:t>7018</w:t>
            </w:r>
          </w:p>
        </w:tc>
        <w:tc>
          <w:tcPr>
            <w:tcW w:w="3322" w:type="dxa"/>
          </w:tcPr>
          <w:p>
            <w:pPr>
              <w:pStyle w:val="TableParagraph"/>
              <w:ind w:left="138"/>
              <w:rPr>
                <w:sz w:val="20"/>
              </w:rPr>
            </w:pPr>
            <w:r>
              <w:rPr>
                <w:sz w:val="20"/>
              </w:rPr>
              <w:t>Dakota</w:t>
            </w:r>
            <w:r>
              <w:rPr>
                <w:spacing w:val="-6"/>
                <w:sz w:val="20"/>
              </w:rPr>
              <w:t> </w:t>
            </w:r>
            <w:r>
              <w:rPr>
                <w:spacing w:val="-2"/>
                <w:sz w:val="20"/>
              </w:rPr>
              <w:t>(dak)</w:t>
            </w:r>
          </w:p>
        </w:tc>
        <w:tc>
          <w:tcPr>
            <w:tcW w:w="1987" w:type="dxa"/>
          </w:tcPr>
          <w:p>
            <w:pPr>
              <w:pStyle w:val="TableParagraph"/>
              <w:ind w:right="156"/>
              <w:jc w:val="right"/>
              <w:rPr>
                <w:sz w:val="20"/>
              </w:rPr>
            </w:pPr>
            <w:r>
              <w:rPr>
                <w:spacing w:val="-4"/>
                <w:sz w:val="20"/>
              </w:rPr>
              <w:t>7100</w:t>
            </w:r>
          </w:p>
        </w:tc>
        <w:tc>
          <w:tcPr>
            <w:tcW w:w="2744" w:type="dxa"/>
          </w:tcPr>
          <w:p>
            <w:pPr>
              <w:pStyle w:val="TableParagraph"/>
              <w:ind w:left="158"/>
              <w:rPr>
                <w:sz w:val="20"/>
              </w:rPr>
            </w:pPr>
            <w:r>
              <w:rPr>
                <w:sz w:val="20"/>
              </w:rPr>
              <w:t>Southeastern</w:t>
            </w:r>
            <w:r>
              <w:rPr>
                <w:spacing w:val="-11"/>
                <w:sz w:val="20"/>
              </w:rPr>
              <w:t> </w:t>
            </w:r>
            <w:r>
              <w:rPr>
                <w:sz w:val="20"/>
              </w:rPr>
              <w:t>Tepehuan</w:t>
            </w:r>
            <w:r>
              <w:rPr>
                <w:spacing w:val="-10"/>
                <w:sz w:val="20"/>
              </w:rPr>
              <w:t> </w:t>
            </w:r>
            <w:r>
              <w:rPr>
                <w:spacing w:val="-4"/>
                <w:sz w:val="20"/>
              </w:rPr>
              <w:t>(stp)</w:t>
            </w:r>
          </w:p>
        </w:tc>
      </w:tr>
      <w:tr>
        <w:trPr>
          <w:trHeight w:val="230" w:hRule="atLeast"/>
        </w:trPr>
        <w:tc>
          <w:tcPr>
            <w:tcW w:w="632" w:type="dxa"/>
          </w:tcPr>
          <w:p>
            <w:pPr>
              <w:pStyle w:val="TableParagraph"/>
              <w:spacing w:line="211" w:lineRule="exact"/>
              <w:ind w:left="50"/>
              <w:rPr>
                <w:sz w:val="20"/>
              </w:rPr>
            </w:pPr>
            <w:r>
              <w:rPr>
                <w:spacing w:val="-4"/>
                <w:sz w:val="20"/>
              </w:rPr>
              <w:t>7019</w:t>
            </w:r>
          </w:p>
        </w:tc>
        <w:tc>
          <w:tcPr>
            <w:tcW w:w="3322" w:type="dxa"/>
          </w:tcPr>
          <w:p>
            <w:pPr>
              <w:pStyle w:val="TableParagraph"/>
              <w:spacing w:line="211" w:lineRule="exact"/>
              <w:ind w:left="138"/>
              <w:rPr>
                <w:sz w:val="20"/>
              </w:rPr>
            </w:pPr>
            <w:r>
              <w:rPr>
                <w:sz w:val="20"/>
              </w:rPr>
              <w:t>Lakota</w:t>
            </w:r>
            <w:r>
              <w:rPr>
                <w:spacing w:val="-7"/>
                <w:sz w:val="20"/>
              </w:rPr>
              <w:t> </w:t>
            </w:r>
            <w:r>
              <w:rPr>
                <w:spacing w:val="-2"/>
                <w:sz w:val="20"/>
              </w:rPr>
              <w:t>(lkt)</w:t>
            </w:r>
          </w:p>
        </w:tc>
        <w:tc>
          <w:tcPr>
            <w:tcW w:w="1987" w:type="dxa"/>
          </w:tcPr>
          <w:p>
            <w:pPr>
              <w:pStyle w:val="TableParagraph"/>
              <w:spacing w:line="211" w:lineRule="exact"/>
              <w:ind w:right="156"/>
              <w:jc w:val="right"/>
              <w:rPr>
                <w:sz w:val="20"/>
              </w:rPr>
            </w:pPr>
            <w:r>
              <w:rPr>
                <w:spacing w:val="-4"/>
                <w:sz w:val="20"/>
              </w:rPr>
              <w:t>7103</w:t>
            </w:r>
          </w:p>
        </w:tc>
        <w:tc>
          <w:tcPr>
            <w:tcW w:w="2744" w:type="dxa"/>
          </w:tcPr>
          <w:p>
            <w:pPr>
              <w:pStyle w:val="TableParagraph"/>
              <w:spacing w:line="211" w:lineRule="exact"/>
              <w:ind w:left="158"/>
              <w:rPr>
                <w:sz w:val="20"/>
              </w:rPr>
            </w:pPr>
            <w:r>
              <w:rPr>
                <w:sz w:val="20"/>
              </w:rPr>
              <w:t>Eastern</w:t>
            </w:r>
            <w:r>
              <w:rPr>
                <w:spacing w:val="-8"/>
                <w:sz w:val="20"/>
              </w:rPr>
              <w:t> </w:t>
            </w:r>
            <w:r>
              <w:rPr>
                <w:sz w:val="20"/>
              </w:rPr>
              <w:t>Huasteca</w:t>
            </w:r>
            <w:r>
              <w:rPr>
                <w:spacing w:val="-7"/>
                <w:sz w:val="20"/>
              </w:rPr>
              <w:t> </w:t>
            </w:r>
            <w:r>
              <w:rPr>
                <w:sz w:val="20"/>
              </w:rPr>
              <w:t>Nahuatl</w:t>
            </w:r>
            <w:r>
              <w:rPr>
                <w:spacing w:val="-7"/>
                <w:sz w:val="20"/>
              </w:rPr>
              <w:t> </w:t>
            </w:r>
            <w:r>
              <w:rPr>
                <w:spacing w:val="-2"/>
                <w:sz w:val="20"/>
              </w:rPr>
              <w:t>(nhe)</w:t>
            </w:r>
          </w:p>
        </w:tc>
      </w:tr>
      <w:tr>
        <w:trPr>
          <w:trHeight w:val="230" w:hRule="atLeast"/>
        </w:trPr>
        <w:tc>
          <w:tcPr>
            <w:tcW w:w="632" w:type="dxa"/>
          </w:tcPr>
          <w:p>
            <w:pPr>
              <w:pStyle w:val="TableParagraph"/>
              <w:spacing w:line="211" w:lineRule="exact"/>
              <w:ind w:left="50"/>
              <w:rPr>
                <w:sz w:val="20"/>
              </w:rPr>
            </w:pPr>
            <w:r>
              <w:rPr>
                <w:spacing w:val="-4"/>
                <w:sz w:val="20"/>
              </w:rPr>
              <w:t>7020</w:t>
            </w:r>
          </w:p>
        </w:tc>
        <w:tc>
          <w:tcPr>
            <w:tcW w:w="3322" w:type="dxa"/>
          </w:tcPr>
          <w:p>
            <w:pPr>
              <w:pStyle w:val="TableParagraph"/>
              <w:spacing w:line="211" w:lineRule="exact"/>
              <w:ind w:left="138"/>
              <w:rPr>
                <w:sz w:val="20"/>
              </w:rPr>
            </w:pPr>
            <w:r>
              <w:rPr>
                <w:sz w:val="20"/>
              </w:rPr>
              <w:t>Stoney</w:t>
            </w:r>
            <w:r>
              <w:rPr>
                <w:spacing w:val="-10"/>
                <w:sz w:val="20"/>
              </w:rPr>
              <w:t> </w:t>
            </w:r>
            <w:r>
              <w:rPr>
                <w:spacing w:val="-2"/>
                <w:sz w:val="20"/>
              </w:rPr>
              <w:t>(sto)</w:t>
            </w:r>
          </w:p>
        </w:tc>
        <w:tc>
          <w:tcPr>
            <w:tcW w:w="1987" w:type="dxa"/>
          </w:tcPr>
          <w:p>
            <w:pPr>
              <w:pStyle w:val="TableParagraph"/>
              <w:spacing w:line="211" w:lineRule="exact"/>
              <w:ind w:right="156"/>
              <w:jc w:val="right"/>
              <w:rPr>
                <w:sz w:val="20"/>
              </w:rPr>
            </w:pPr>
            <w:r>
              <w:rPr>
                <w:spacing w:val="-4"/>
                <w:sz w:val="20"/>
              </w:rPr>
              <w:t>7105</w:t>
            </w:r>
          </w:p>
        </w:tc>
        <w:tc>
          <w:tcPr>
            <w:tcW w:w="2744" w:type="dxa"/>
          </w:tcPr>
          <w:p>
            <w:pPr>
              <w:pStyle w:val="TableParagraph"/>
              <w:spacing w:line="211" w:lineRule="exact"/>
              <w:ind w:left="158"/>
              <w:rPr>
                <w:sz w:val="20"/>
              </w:rPr>
            </w:pPr>
            <w:r>
              <w:rPr>
                <w:sz w:val="20"/>
              </w:rPr>
              <w:t>Michoacán</w:t>
            </w:r>
            <w:r>
              <w:rPr>
                <w:spacing w:val="-9"/>
                <w:sz w:val="20"/>
              </w:rPr>
              <w:t> </w:t>
            </w:r>
            <w:r>
              <w:rPr>
                <w:sz w:val="20"/>
              </w:rPr>
              <w:t>Nahuatl</w:t>
            </w:r>
            <w:r>
              <w:rPr>
                <w:spacing w:val="-8"/>
                <w:sz w:val="20"/>
              </w:rPr>
              <w:t> </w:t>
            </w:r>
            <w:r>
              <w:rPr>
                <w:spacing w:val="-4"/>
                <w:sz w:val="20"/>
              </w:rPr>
              <w:t>(ncl)</w:t>
            </w:r>
          </w:p>
        </w:tc>
      </w:tr>
      <w:tr>
        <w:trPr>
          <w:trHeight w:val="230" w:hRule="atLeast"/>
        </w:trPr>
        <w:tc>
          <w:tcPr>
            <w:tcW w:w="632" w:type="dxa"/>
          </w:tcPr>
          <w:p>
            <w:pPr>
              <w:pStyle w:val="TableParagraph"/>
              <w:ind w:left="50"/>
              <w:rPr>
                <w:sz w:val="20"/>
              </w:rPr>
            </w:pPr>
            <w:r>
              <w:rPr>
                <w:spacing w:val="-4"/>
                <w:sz w:val="20"/>
              </w:rPr>
              <w:t>7022</w:t>
            </w:r>
          </w:p>
        </w:tc>
        <w:tc>
          <w:tcPr>
            <w:tcW w:w="3322" w:type="dxa"/>
          </w:tcPr>
          <w:p>
            <w:pPr>
              <w:pStyle w:val="TableParagraph"/>
              <w:ind w:left="138"/>
              <w:rPr>
                <w:sz w:val="20"/>
              </w:rPr>
            </w:pPr>
            <w:r>
              <w:rPr>
                <w:sz w:val="20"/>
              </w:rPr>
              <w:t>Iowa-Oto</w:t>
            </w:r>
            <w:r>
              <w:rPr>
                <w:spacing w:val="-9"/>
                <w:sz w:val="20"/>
              </w:rPr>
              <w:t> </w:t>
            </w:r>
            <w:r>
              <w:rPr>
                <w:spacing w:val="-2"/>
                <w:sz w:val="20"/>
              </w:rPr>
              <w:t>(iow)</w:t>
            </w:r>
          </w:p>
        </w:tc>
        <w:tc>
          <w:tcPr>
            <w:tcW w:w="1987" w:type="dxa"/>
          </w:tcPr>
          <w:p>
            <w:pPr>
              <w:pStyle w:val="TableParagraph"/>
              <w:ind w:right="156"/>
              <w:jc w:val="right"/>
              <w:rPr>
                <w:sz w:val="20"/>
              </w:rPr>
            </w:pPr>
            <w:r>
              <w:rPr>
                <w:spacing w:val="-4"/>
                <w:sz w:val="20"/>
              </w:rPr>
              <w:t>7109</w:t>
            </w:r>
          </w:p>
        </w:tc>
        <w:tc>
          <w:tcPr>
            <w:tcW w:w="2744" w:type="dxa"/>
          </w:tcPr>
          <w:p>
            <w:pPr>
              <w:pStyle w:val="TableParagraph"/>
              <w:ind w:left="158"/>
              <w:rPr>
                <w:sz w:val="20"/>
              </w:rPr>
            </w:pPr>
            <w:r>
              <w:rPr>
                <w:sz w:val="20"/>
              </w:rPr>
              <w:t>El</w:t>
            </w:r>
            <w:r>
              <w:rPr>
                <w:spacing w:val="-6"/>
                <w:sz w:val="20"/>
              </w:rPr>
              <w:t> </w:t>
            </w:r>
            <w:r>
              <w:rPr>
                <w:sz w:val="20"/>
              </w:rPr>
              <w:t>Nayar</w:t>
            </w:r>
            <w:r>
              <w:rPr>
                <w:spacing w:val="-3"/>
                <w:sz w:val="20"/>
              </w:rPr>
              <w:t> </w:t>
            </w:r>
            <w:r>
              <w:rPr>
                <w:sz w:val="20"/>
              </w:rPr>
              <w:t>Cora</w:t>
            </w:r>
            <w:r>
              <w:rPr>
                <w:spacing w:val="-4"/>
                <w:sz w:val="20"/>
              </w:rPr>
              <w:t> (crn)</w:t>
            </w:r>
          </w:p>
        </w:tc>
      </w:tr>
      <w:tr>
        <w:trPr>
          <w:trHeight w:val="229" w:hRule="atLeast"/>
        </w:trPr>
        <w:tc>
          <w:tcPr>
            <w:tcW w:w="632" w:type="dxa"/>
          </w:tcPr>
          <w:p>
            <w:pPr>
              <w:pStyle w:val="TableParagraph"/>
              <w:spacing w:line="209" w:lineRule="exact"/>
              <w:ind w:left="50"/>
              <w:rPr>
                <w:sz w:val="20"/>
              </w:rPr>
            </w:pPr>
            <w:r>
              <w:rPr>
                <w:spacing w:val="-4"/>
                <w:sz w:val="20"/>
              </w:rPr>
              <w:t>7023</w:t>
            </w:r>
          </w:p>
        </w:tc>
        <w:tc>
          <w:tcPr>
            <w:tcW w:w="3322" w:type="dxa"/>
          </w:tcPr>
          <w:p>
            <w:pPr>
              <w:pStyle w:val="TableParagraph"/>
              <w:spacing w:line="209" w:lineRule="exact"/>
              <w:ind w:left="138"/>
              <w:rPr>
                <w:sz w:val="20"/>
              </w:rPr>
            </w:pPr>
            <w:r>
              <w:rPr>
                <w:sz w:val="20"/>
              </w:rPr>
              <w:t>Ho-Chunk</w:t>
            </w:r>
            <w:r>
              <w:rPr>
                <w:spacing w:val="-10"/>
                <w:sz w:val="20"/>
              </w:rPr>
              <w:t> </w:t>
            </w:r>
            <w:r>
              <w:rPr>
                <w:spacing w:val="-2"/>
                <w:sz w:val="20"/>
              </w:rPr>
              <w:t>(win)</w:t>
            </w:r>
          </w:p>
        </w:tc>
        <w:tc>
          <w:tcPr>
            <w:tcW w:w="1987" w:type="dxa"/>
          </w:tcPr>
          <w:p>
            <w:pPr>
              <w:pStyle w:val="TableParagraph"/>
              <w:spacing w:line="209" w:lineRule="exact"/>
              <w:ind w:right="156"/>
              <w:jc w:val="right"/>
              <w:rPr>
                <w:sz w:val="20"/>
              </w:rPr>
            </w:pPr>
            <w:r>
              <w:rPr>
                <w:spacing w:val="-4"/>
                <w:sz w:val="20"/>
              </w:rPr>
              <w:t>7111</w:t>
            </w:r>
          </w:p>
        </w:tc>
        <w:tc>
          <w:tcPr>
            <w:tcW w:w="2744" w:type="dxa"/>
          </w:tcPr>
          <w:p>
            <w:pPr>
              <w:pStyle w:val="TableParagraph"/>
              <w:spacing w:line="209" w:lineRule="exact"/>
              <w:ind w:left="158"/>
              <w:rPr>
                <w:sz w:val="20"/>
              </w:rPr>
            </w:pPr>
            <w:r>
              <w:rPr>
                <w:sz w:val="20"/>
              </w:rPr>
              <w:t>Huichol</w:t>
            </w:r>
            <w:r>
              <w:rPr>
                <w:spacing w:val="-8"/>
                <w:sz w:val="20"/>
              </w:rPr>
              <w:t> </w:t>
            </w:r>
            <w:r>
              <w:rPr>
                <w:spacing w:val="-2"/>
                <w:sz w:val="20"/>
              </w:rPr>
              <w:t>(hch)</w:t>
            </w:r>
          </w:p>
        </w:tc>
      </w:tr>
      <w:tr>
        <w:trPr>
          <w:trHeight w:val="229" w:hRule="atLeast"/>
        </w:trPr>
        <w:tc>
          <w:tcPr>
            <w:tcW w:w="632" w:type="dxa"/>
          </w:tcPr>
          <w:p>
            <w:pPr>
              <w:pStyle w:val="TableParagraph"/>
              <w:spacing w:line="209" w:lineRule="exact"/>
              <w:ind w:left="50"/>
              <w:rPr>
                <w:sz w:val="20"/>
              </w:rPr>
            </w:pPr>
            <w:r>
              <w:rPr>
                <w:spacing w:val="-4"/>
                <w:sz w:val="20"/>
              </w:rPr>
              <w:t>7024</w:t>
            </w:r>
          </w:p>
        </w:tc>
        <w:tc>
          <w:tcPr>
            <w:tcW w:w="3322" w:type="dxa"/>
          </w:tcPr>
          <w:p>
            <w:pPr>
              <w:pStyle w:val="TableParagraph"/>
              <w:spacing w:line="209" w:lineRule="exact"/>
              <w:ind w:left="138"/>
              <w:rPr>
                <w:sz w:val="20"/>
              </w:rPr>
            </w:pPr>
            <w:r>
              <w:rPr>
                <w:sz w:val="20"/>
              </w:rPr>
              <w:t>Kansa</w:t>
            </w:r>
            <w:r>
              <w:rPr>
                <w:spacing w:val="-7"/>
                <w:sz w:val="20"/>
              </w:rPr>
              <w:t> </w:t>
            </w:r>
            <w:r>
              <w:rPr>
                <w:spacing w:val="-2"/>
                <w:sz w:val="20"/>
              </w:rPr>
              <w:t>(ksk)</w:t>
            </w:r>
          </w:p>
        </w:tc>
        <w:tc>
          <w:tcPr>
            <w:tcW w:w="1987" w:type="dxa"/>
          </w:tcPr>
          <w:p>
            <w:pPr>
              <w:pStyle w:val="TableParagraph"/>
              <w:spacing w:line="209" w:lineRule="exact"/>
              <w:ind w:right="156"/>
              <w:jc w:val="right"/>
              <w:rPr>
                <w:sz w:val="20"/>
              </w:rPr>
            </w:pPr>
            <w:r>
              <w:rPr>
                <w:spacing w:val="-4"/>
                <w:sz w:val="20"/>
              </w:rPr>
              <w:t>7115</w:t>
            </w:r>
          </w:p>
        </w:tc>
        <w:tc>
          <w:tcPr>
            <w:tcW w:w="2744" w:type="dxa"/>
          </w:tcPr>
          <w:p>
            <w:pPr>
              <w:pStyle w:val="TableParagraph"/>
              <w:spacing w:line="209" w:lineRule="exact"/>
              <w:ind w:left="158"/>
              <w:rPr>
                <w:sz w:val="20"/>
              </w:rPr>
            </w:pPr>
            <w:r>
              <w:rPr>
                <w:sz w:val="20"/>
              </w:rPr>
              <w:t>Central</w:t>
            </w:r>
            <w:r>
              <w:rPr>
                <w:spacing w:val="-8"/>
                <w:sz w:val="20"/>
              </w:rPr>
              <w:t> </w:t>
            </w:r>
            <w:r>
              <w:rPr>
                <w:sz w:val="20"/>
              </w:rPr>
              <w:t>Tarahumara</w:t>
            </w:r>
            <w:r>
              <w:rPr>
                <w:spacing w:val="-8"/>
                <w:sz w:val="20"/>
              </w:rPr>
              <w:t> </w:t>
            </w:r>
            <w:r>
              <w:rPr>
                <w:spacing w:val="-2"/>
                <w:sz w:val="20"/>
              </w:rPr>
              <w:t>(tar)</w:t>
            </w:r>
          </w:p>
        </w:tc>
      </w:tr>
      <w:tr>
        <w:trPr>
          <w:trHeight w:val="230" w:hRule="atLeast"/>
        </w:trPr>
        <w:tc>
          <w:tcPr>
            <w:tcW w:w="632" w:type="dxa"/>
          </w:tcPr>
          <w:p>
            <w:pPr>
              <w:pStyle w:val="TableParagraph"/>
              <w:ind w:left="50"/>
              <w:rPr>
                <w:sz w:val="20"/>
              </w:rPr>
            </w:pPr>
            <w:r>
              <w:rPr>
                <w:spacing w:val="-4"/>
                <w:sz w:val="20"/>
              </w:rPr>
              <w:t>7025</w:t>
            </w:r>
          </w:p>
        </w:tc>
        <w:tc>
          <w:tcPr>
            <w:tcW w:w="3322" w:type="dxa"/>
          </w:tcPr>
          <w:p>
            <w:pPr>
              <w:pStyle w:val="TableParagraph"/>
              <w:ind w:left="138"/>
              <w:rPr>
                <w:sz w:val="20"/>
              </w:rPr>
            </w:pPr>
            <w:r>
              <w:rPr>
                <w:spacing w:val="-2"/>
                <w:sz w:val="20"/>
              </w:rPr>
              <w:t>Omaha-Ponca</w:t>
            </w:r>
            <w:r>
              <w:rPr>
                <w:spacing w:val="6"/>
                <w:sz w:val="20"/>
              </w:rPr>
              <w:t> </w:t>
            </w:r>
            <w:r>
              <w:rPr>
                <w:spacing w:val="-4"/>
                <w:sz w:val="20"/>
              </w:rPr>
              <w:t>(oma)</w:t>
            </w:r>
          </w:p>
        </w:tc>
        <w:tc>
          <w:tcPr>
            <w:tcW w:w="1987" w:type="dxa"/>
          </w:tcPr>
          <w:p>
            <w:pPr>
              <w:pStyle w:val="TableParagraph"/>
              <w:ind w:right="156"/>
              <w:jc w:val="right"/>
              <w:rPr>
                <w:sz w:val="20"/>
              </w:rPr>
            </w:pPr>
            <w:r>
              <w:rPr>
                <w:spacing w:val="-4"/>
                <w:sz w:val="20"/>
              </w:rPr>
              <w:t>7120</w:t>
            </w:r>
          </w:p>
        </w:tc>
        <w:tc>
          <w:tcPr>
            <w:tcW w:w="2744" w:type="dxa"/>
          </w:tcPr>
          <w:p>
            <w:pPr>
              <w:pStyle w:val="TableParagraph"/>
              <w:ind w:left="158"/>
              <w:rPr>
                <w:sz w:val="20"/>
              </w:rPr>
            </w:pPr>
            <w:r>
              <w:rPr>
                <w:sz w:val="20"/>
              </w:rPr>
              <w:t>Mayo</w:t>
            </w:r>
            <w:r>
              <w:rPr>
                <w:spacing w:val="-6"/>
                <w:sz w:val="20"/>
              </w:rPr>
              <w:t> </w:t>
            </w:r>
            <w:r>
              <w:rPr>
                <w:spacing w:val="-2"/>
                <w:sz w:val="20"/>
              </w:rPr>
              <w:t>(mfy)</w:t>
            </w:r>
          </w:p>
        </w:tc>
      </w:tr>
      <w:tr>
        <w:trPr>
          <w:trHeight w:val="230" w:hRule="atLeast"/>
        </w:trPr>
        <w:tc>
          <w:tcPr>
            <w:tcW w:w="632" w:type="dxa"/>
          </w:tcPr>
          <w:p>
            <w:pPr>
              <w:pStyle w:val="TableParagraph"/>
              <w:ind w:left="50"/>
              <w:rPr>
                <w:sz w:val="20"/>
              </w:rPr>
            </w:pPr>
            <w:r>
              <w:rPr>
                <w:spacing w:val="-4"/>
                <w:sz w:val="20"/>
              </w:rPr>
              <w:t>7026</w:t>
            </w:r>
          </w:p>
        </w:tc>
        <w:tc>
          <w:tcPr>
            <w:tcW w:w="3322" w:type="dxa"/>
          </w:tcPr>
          <w:p>
            <w:pPr>
              <w:pStyle w:val="TableParagraph"/>
              <w:ind w:left="138"/>
              <w:rPr>
                <w:sz w:val="20"/>
              </w:rPr>
            </w:pPr>
            <w:r>
              <w:rPr>
                <w:sz w:val="20"/>
              </w:rPr>
              <w:t>Osage</w:t>
            </w:r>
            <w:r>
              <w:rPr>
                <w:spacing w:val="-7"/>
                <w:sz w:val="20"/>
              </w:rPr>
              <w:t> </w:t>
            </w:r>
            <w:r>
              <w:rPr>
                <w:spacing w:val="-2"/>
                <w:sz w:val="20"/>
              </w:rPr>
              <w:t>(osa)</w:t>
            </w:r>
          </w:p>
        </w:tc>
        <w:tc>
          <w:tcPr>
            <w:tcW w:w="1987" w:type="dxa"/>
          </w:tcPr>
          <w:p>
            <w:pPr>
              <w:pStyle w:val="TableParagraph"/>
              <w:ind w:right="156"/>
              <w:jc w:val="right"/>
              <w:rPr>
                <w:sz w:val="20"/>
              </w:rPr>
            </w:pPr>
            <w:r>
              <w:rPr>
                <w:spacing w:val="-4"/>
                <w:sz w:val="20"/>
              </w:rPr>
              <w:t>7123</w:t>
            </w:r>
          </w:p>
        </w:tc>
        <w:tc>
          <w:tcPr>
            <w:tcW w:w="2744" w:type="dxa"/>
          </w:tcPr>
          <w:p>
            <w:pPr>
              <w:pStyle w:val="TableParagraph"/>
              <w:ind w:left="158"/>
              <w:rPr>
                <w:sz w:val="20"/>
              </w:rPr>
            </w:pPr>
            <w:r>
              <w:rPr>
                <w:sz w:val="20"/>
              </w:rPr>
              <w:t>Yaqui</w:t>
            </w:r>
            <w:r>
              <w:rPr>
                <w:spacing w:val="-7"/>
                <w:sz w:val="20"/>
              </w:rPr>
              <w:t> </w:t>
            </w:r>
            <w:r>
              <w:rPr>
                <w:spacing w:val="-2"/>
                <w:sz w:val="20"/>
              </w:rPr>
              <w:t>(yaq)</w:t>
            </w:r>
          </w:p>
        </w:tc>
      </w:tr>
      <w:tr>
        <w:trPr>
          <w:trHeight w:val="225" w:hRule="atLeast"/>
        </w:trPr>
        <w:tc>
          <w:tcPr>
            <w:tcW w:w="632" w:type="dxa"/>
          </w:tcPr>
          <w:p>
            <w:pPr>
              <w:pStyle w:val="TableParagraph"/>
              <w:spacing w:line="205" w:lineRule="exact"/>
              <w:ind w:left="50"/>
              <w:rPr>
                <w:sz w:val="20"/>
              </w:rPr>
            </w:pPr>
            <w:r>
              <w:rPr>
                <w:spacing w:val="-4"/>
                <w:sz w:val="20"/>
              </w:rPr>
              <w:t>7027</w:t>
            </w:r>
          </w:p>
        </w:tc>
        <w:tc>
          <w:tcPr>
            <w:tcW w:w="3322" w:type="dxa"/>
          </w:tcPr>
          <w:p>
            <w:pPr>
              <w:pStyle w:val="TableParagraph"/>
              <w:spacing w:line="205" w:lineRule="exact"/>
              <w:ind w:left="138"/>
              <w:rPr>
                <w:sz w:val="20"/>
              </w:rPr>
            </w:pPr>
            <w:r>
              <w:rPr>
                <w:sz w:val="20"/>
              </w:rPr>
              <w:t>Quapaw</w:t>
            </w:r>
            <w:r>
              <w:rPr>
                <w:spacing w:val="-7"/>
                <w:sz w:val="20"/>
              </w:rPr>
              <w:t> </w:t>
            </w:r>
            <w:r>
              <w:rPr>
                <w:spacing w:val="-2"/>
                <w:sz w:val="20"/>
              </w:rPr>
              <w:t>(qua)</w:t>
            </w:r>
          </w:p>
        </w:tc>
        <w:tc>
          <w:tcPr>
            <w:tcW w:w="1987" w:type="dxa"/>
          </w:tcPr>
          <w:p>
            <w:pPr>
              <w:pStyle w:val="TableParagraph"/>
              <w:spacing w:line="240" w:lineRule="auto"/>
              <w:rPr>
                <w:sz w:val="16"/>
              </w:rPr>
            </w:pPr>
          </w:p>
        </w:tc>
        <w:tc>
          <w:tcPr>
            <w:tcW w:w="2744" w:type="dxa"/>
          </w:tcPr>
          <w:p>
            <w:pPr>
              <w:pStyle w:val="TableParagraph"/>
              <w:spacing w:line="240" w:lineRule="auto"/>
              <w:rPr>
                <w:sz w:val="16"/>
              </w:rPr>
            </w:pPr>
          </w:p>
        </w:tc>
      </w:tr>
    </w:tbl>
    <w:p>
      <w:pPr>
        <w:spacing w:line="229" w:lineRule="exact" w:before="9"/>
        <w:ind w:left="5881" w:right="0" w:firstLine="0"/>
        <w:jc w:val="left"/>
        <w:rPr>
          <w:rFonts w:ascii="Times New Roman"/>
          <w:i/>
          <w:sz w:val="20"/>
        </w:rPr>
      </w:pPr>
      <w:r>
        <w:rPr>
          <w:rFonts w:ascii="Times New Roman"/>
          <w:i/>
          <w:sz w:val="20"/>
          <w:u w:val="single"/>
        </w:rPr>
        <w:t>Central</w:t>
      </w:r>
      <w:r>
        <w:rPr>
          <w:rFonts w:ascii="Times New Roman"/>
          <w:i/>
          <w:spacing w:val="-7"/>
          <w:sz w:val="20"/>
          <w:u w:val="single"/>
        </w:rPr>
        <w:t> </w:t>
      </w:r>
      <w:r>
        <w:rPr>
          <w:rFonts w:ascii="Times New Roman"/>
          <w:i/>
          <w:sz w:val="20"/>
          <w:u w:val="single"/>
        </w:rPr>
        <w:t>and</w:t>
      </w:r>
      <w:r>
        <w:rPr>
          <w:rFonts w:ascii="Times New Roman"/>
          <w:i/>
          <w:spacing w:val="-4"/>
          <w:sz w:val="20"/>
          <w:u w:val="single"/>
        </w:rPr>
        <w:t> </w:t>
      </w:r>
      <w:r>
        <w:rPr>
          <w:rFonts w:ascii="Times New Roman"/>
          <w:i/>
          <w:sz w:val="20"/>
          <w:u w:val="single"/>
        </w:rPr>
        <w:t>South</w:t>
      </w:r>
      <w:r>
        <w:rPr>
          <w:rFonts w:ascii="Times New Roman"/>
          <w:i/>
          <w:spacing w:val="-5"/>
          <w:sz w:val="20"/>
          <w:u w:val="single"/>
        </w:rPr>
        <w:t> </w:t>
      </w:r>
      <w:r>
        <w:rPr>
          <w:rFonts w:ascii="Times New Roman"/>
          <w:i/>
          <w:sz w:val="20"/>
          <w:u w:val="single"/>
        </w:rPr>
        <w:t>American</w:t>
      </w:r>
      <w:r>
        <w:rPr>
          <w:rFonts w:ascii="Times New Roman"/>
          <w:i/>
          <w:spacing w:val="-4"/>
          <w:sz w:val="20"/>
          <w:u w:val="single"/>
        </w:rPr>
        <w:t> </w:t>
      </w:r>
      <w:r>
        <w:rPr>
          <w:rFonts w:ascii="Times New Roman"/>
          <w:i/>
          <w:sz w:val="20"/>
          <w:u w:val="single"/>
        </w:rPr>
        <w:t>languages</w:t>
      </w:r>
      <w:r>
        <w:rPr>
          <w:rFonts w:ascii="Times New Roman"/>
          <w:i/>
          <w:spacing w:val="-6"/>
          <w:sz w:val="20"/>
          <w:u w:val="single"/>
        </w:rPr>
        <w:t> </w:t>
      </w:r>
      <w:r>
        <w:rPr>
          <w:rFonts w:ascii="Times New Roman"/>
          <w:i/>
          <w:sz w:val="20"/>
          <w:u w:val="single"/>
        </w:rPr>
        <w:t>(7100-</w:t>
      </w:r>
      <w:r>
        <w:rPr>
          <w:rFonts w:ascii="Times New Roman"/>
          <w:i/>
          <w:spacing w:val="-4"/>
          <w:sz w:val="20"/>
          <w:u w:val="single"/>
        </w:rPr>
        <w:t>7999)</w:t>
      </w:r>
    </w:p>
    <w:p>
      <w:pPr>
        <w:spacing w:line="229" w:lineRule="exact" w:before="0" w:after="10"/>
        <w:ind w:left="552" w:right="0" w:firstLine="0"/>
        <w:jc w:val="left"/>
        <w:rPr>
          <w:rFonts w:ascii="Times New Roman"/>
          <w:i/>
          <w:sz w:val="20"/>
        </w:rPr>
      </w:pPr>
      <w:r>
        <w:rPr>
          <w:rFonts w:ascii="Times New Roman"/>
          <w:i/>
          <w:sz w:val="20"/>
        </w:rPr>
        <w:t>Muskogean</w:t>
      </w:r>
      <w:r>
        <w:rPr>
          <w:rFonts w:ascii="Times New Roman"/>
          <w:i/>
          <w:spacing w:val="-9"/>
          <w:sz w:val="20"/>
        </w:rPr>
        <w:t> </w:t>
      </w:r>
      <w:r>
        <w:rPr>
          <w:rFonts w:ascii="Times New Roman"/>
          <w:i/>
          <w:sz w:val="20"/>
        </w:rPr>
        <w:t>languages</w:t>
      </w:r>
      <w:r>
        <w:rPr>
          <w:rFonts w:ascii="Times New Roman"/>
          <w:i/>
          <w:spacing w:val="-10"/>
          <w:sz w:val="20"/>
        </w:rPr>
        <w:t> </w:t>
      </w:r>
      <w:r>
        <w:rPr>
          <w:rFonts w:ascii="Times New Roman"/>
          <w:i/>
          <w:sz w:val="20"/>
        </w:rPr>
        <w:t>(7028-</w:t>
      </w:r>
      <w:r>
        <w:rPr>
          <w:rFonts w:ascii="Times New Roman"/>
          <w:i/>
          <w:spacing w:val="-2"/>
          <w:sz w:val="20"/>
        </w:rPr>
        <w:t>7033)</w:t>
      </w:r>
    </w:p>
    <w:tbl>
      <w:tblPr>
        <w:tblW w:w="0" w:type="auto"/>
        <w:jc w:val="left"/>
        <w:tblInd w:w="5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3478"/>
        <w:gridCol w:w="1852"/>
        <w:gridCol w:w="2095"/>
      </w:tblGrid>
      <w:tr>
        <w:trPr>
          <w:trHeight w:val="225" w:hRule="atLeast"/>
        </w:trPr>
        <w:tc>
          <w:tcPr>
            <w:tcW w:w="612" w:type="dxa"/>
          </w:tcPr>
          <w:p>
            <w:pPr>
              <w:pStyle w:val="TableParagraph"/>
              <w:spacing w:line="205" w:lineRule="exact"/>
              <w:ind w:left="50"/>
              <w:rPr>
                <w:sz w:val="20"/>
              </w:rPr>
            </w:pPr>
            <w:r>
              <w:rPr>
                <w:spacing w:val="-4"/>
                <w:sz w:val="20"/>
              </w:rPr>
              <w:t>7028</w:t>
            </w:r>
          </w:p>
        </w:tc>
        <w:tc>
          <w:tcPr>
            <w:tcW w:w="3478" w:type="dxa"/>
          </w:tcPr>
          <w:p>
            <w:pPr>
              <w:pStyle w:val="TableParagraph"/>
              <w:spacing w:line="205" w:lineRule="exact"/>
              <w:ind w:left="158"/>
              <w:rPr>
                <w:sz w:val="20"/>
              </w:rPr>
            </w:pPr>
            <w:r>
              <w:rPr>
                <w:sz w:val="20"/>
              </w:rPr>
              <w:t>Alabama</w:t>
            </w:r>
            <w:r>
              <w:rPr>
                <w:spacing w:val="-10"/>
                <w:sz w:val="20"/>
              </w:rPr>
              <w:t> </w:t>
            </w:r>
            <w:r>
              <w:rPr>
                <w:spacing w:val="-2"/>
                <w:sz w:val="20"/>
              </w:rPr>
              <w:t>(akz)</w:t>
            </w:r>
          </w:p>
        </w:tc>
        <w:tc>
          <w:tcPr>
            <w:tcW w:w="1852" w:type="dxa"/>
          </w:tcPr>
          <w:p>
            <w:pPr>
              <w:pStyle w:val="TableParagraph"/>
              <w:spacing w:line="205" w:lineRule="exact"/>
              <w:ind w:right="157"/>
              <w:jc w:val="right"/>
              <w:rPr>
                <w:sz w:val="20"/>
              </w:rPr>
            </w:pPr>
            <w:r>
              <w:rPr>
                <w:spacing w:val="-4"/>
                <w:sz w:val="20"/>
              </w:rPr>
              <w:t>7125</w:t>
            </w:r>
          </w:p>
        </w:tc>
        <w:tc>
          <w:tcPr>
            <w:tcW w:w="2095" w:type="dxa"/>
          </w:tcPr>
          <w:p>
            <w:pPr>
              <w:pStyle w:val="TableParagraph"/>
              <w:spacing w:line="205" w:lineRule="exact"/>
              <w:ind w:left="157"/>
              <w:rPr>
                <w:sz w:val="20"/>
              </w:rPr>
            </w:pPr>
            <w:r>
              <w:rPr>
                <w:sz w:val="20"/>
              </w:rPr>
              <w:t>Matagalpa</w:t>
            </w:r>
            <w:r>
              <w:rPr>
                <w:spacing w:val="-8"/>
                <w:sz w:val="20"/>
              </w:rPr>
              <w:t> </w:t>
            </w:r>
            <w:r>
              <w:rPr>
                <w:spacing w:val="-2"/>
                <w:sz w:val="20"/>
              </w:rPr>
              <w:t>(mtn)</w:t>
            </w:r>
          </w:p>
        </w:tc>
      </w:tr>
      <w:tr>
        <w:trPr>
          <w:trHeight w:val="230" w:hRule="atLeast"/>
        </w:trPr>
        <w:tc>
          <w:tcPr>
            <w:tcW w:w="612" w:type="dxa"/>
          </w:tcPr>
          <w:p>
            <w:pPr>
              <w:pStyle w:val="TableParagraph"/>
              <w:ind w:left="50"/>
              <w:rPr>
                <w:sz w:val="20"/>
              </w:rPr>
            </w:pPr>
            <w:r>
              <w:rPr>
                <w:spacing w:val="-4"/>
                <w:sz w:val="20"/>
              </w:rPr>
              <w:t>7029</w:t>
            </w:r>
          </w:p>
        </w:tc>
        <w:tc>
          <w:tcPr>
            <w:tcW w:w="3478" w:type="dxa"/>
          </w:tcPr>
          <w:p>
            <w:pPr>
              <w:pStyle w:val="TableParagraph"/>
              <w:ind w:left="158"/>
              <w:rPr>
                <w:sz w:val="20"/>
              </w:rPr>
            </w:pPr>
            <w:r>
              <w:rPr>
                <w:sz w:val="20"/>
              </w:rPr>
              <w:t>Koasati</w:t>
            </w:r>
            <w:r>
              <w:rPr>
                <w:spacing w:val="-7"/>
                <w:sz w:val="20"/>
              </w:rPr>
              <w:t> </w:t>
            </w:r>
            <w:r>
              <w:rPr>
                <w:spacing w:val="-2"/>
                <w:sz w:val="20"/>
              </w:rPr>
              <w:t>(cku)</w:t>
            </w:r>
          </w:p>
        </w:tc>
        <w:tc>
          <w:tcPr>
            <w:tcW w:w="1852" w:type="dxa"/>
          </w:tcPr>
          <w:p>
            <w:pPr>
              <w:pStyle w:val="TableParagraph"/>
              <w:ind w:right="157"/>
              <w:jc w:val="right"/>
              <w:rPr>
                <w:sz w:val="20"/>
              </w:rPr>
            </w:pPr>
            <w:r>
              <w:rPr>
                <w:spacing w:val="-4"/>
                <w:sz w:val="20"/>
              </w:rPr>
              <w:t>7126</w:t>
            </w:r>
          </w:p>
        </w:tc>
        <w:tc>
          <w:tcPr>
            <w:tcW w:w="2095" w:type="dxa"/>
          </w:tcPr>
          <w:p>
            <w:pPr>
              <w:pStyle w:val="TableParagraph"/>
              <w:ind w:left="157"/>
              <w:rPr>
                <w:sz w:val="20"/>
              </w:rPr>
            </w:pPr>
            <w:r>
              <w:rPr>
                <w:sz w:val="20"/>
              </w:rPr>
              <w:t>Mayangna</w:t>
            </w:r>
            <w:r>
              <w:rPr>
                <w:spacing w:val="-11"/>
                <w:sz w:val="20"/>
              </w:rPr>
              <w:t> </w:t>
            </w:r>
            <w:r>
              <w:rPr>
                <w:spacing w:val="-2"/>
                <w:sz w:val="20"/>
              </w:rPr>
              <w:t>(yan)</w:t>
            </w:r>
          </w:p>
        </w:tc>
      </w:tr>
      <w:tr>
        <w:trPr>
          <w:trHeight w:val="230" w:hRule="atLeast"/>
        </w:trPr>
        <w:tc>
          <w:tcPr>
            <w:tcW w:w="612" w:type="dxa"/>
          </w:tcPr>
          <w:p>
            <w:pPr>
              <w:pStyle w:val="TableParagraph"/>
              <w:ind w:left="50"/>
              <w:rPr>
                <w:sz w:val="20"/>
              </w:rPr>
            </w:pPr>
            <w:r>
              <w:rPr>
                <w:spacing w:val="-4"/>
                <w:sz w:val="20"/>
              </w:rPr>
              <w:t>7030</w:t>
            </w:r>
          </w:p>
        </w:tc>
        <w:tc>
          <w:tcPr>
            <w:tcW w:w="3478" w:type="dxa"/>
          </w:tcPr>
          <w:p>
            <w:pPr>
              <w:pStyle w:val="TableParagraph"/>
              <w:ind w:left="158"/>
              <w:rPr>
                <w:sz w:val="20"/>
              </w:rPr>
            </w:pPr>
            <w:r>
              <w:rPr>
                <w:sz w:val="20"/>
              </w:rPr>
              <w:t>Mikasuki</w:t>
            </w:r>
            <w:r>
              <w:rPr>
                <w:spacing w:val="-10"/>
                <w:sz w:val="20"/>
              </w:rPr>
              <w:t> </w:t>
            </w:r>
            <w:r>
              <w:rPr>
                <w:spacing w:val="-2"/>
                <w:sz w:val="20"/>
              </w:rPr>
              <w:t>(mik)</w:t>
            </w:r>
          </w:p>
        </w:tc>
        <w:tc>
          <w:tcPr>
            <w:tcW w:w="1852" w:type="dxa"/>
          </w:tcPr>
          <w:p>
            <w:pPr>
              <w:pStyle w:val="TableParagraph"/>
              <w:ind w:right="157"/>
              <w:jc w:val="right"/>
              <w:rPr>
                <w:sz w:val="20"/>
              </w:rPr>
            </w:pPr>
            <w:r>
              <w:rPr>
                <w:spacing w:val="-4"/>
                <w:sz w:val="20"/>
              </w:rPr>
              <w:t>7127</w:t>
            </w:r>
          </w:p>
        </w:tc>
        <w:tc>
          <w:tcPr>
            <w:tcW w:w="2095" w:type="dxa"/>
          </w:tcPr>
          <w:p>
            <w:pPr>
              <w:pStyle w:val="TableParagraph"/>
              <w:ind w:left="157"/>
              <w:rPr>
                <w:sz w:val="20"/>
              </w:rPr>
            </w:pPr>
            <w:r>
              <w:rPr>
                <w:sz w:val="20"/>
              </w:rPr>
              <w:t>Mískito</w:t>
            </w:r>
            <w:r>
              <w:rPr>
                <w:spacing w:val="-7"/>
                <w:sz w:val="20"/>
              </w:rPr>
              <w:t> </w:t>
            </w:r>
            <w:r>
              <w:rPr>
                <w:spacing w:val="-2"/>
                <w:sz w:val="20"/>
              </w:rPr>
              <w:t>(miq)</w:t>
            </w:r>
          </w:p>
        </w:tc>
      </w:tr>
      <w:tr>
        <w:trPr>
          <w:trHeight w:val="225" w:hRule="atLeast"/>
        </w:trPr>
        <w:tc>
          <w:tcPr>
            <w:tcW w:w="612" w:type="dxa"/>
          </w:tcPr>
          <w:p>
            <w:pPr>
              <w:pStyle w:val="TableParagraph"/>
              <w:spacing w:line="205" w:lineRule="exact"/>
              <w:ind w:left="50"/>
              <w:rPr>
                <w:sz w:val="20"/>
              </w:rPr>
            </w:pPr>
            <w:r>
              <w:rPr>
                <w:spacing w:val="-4"/>
                <w:sz w:val="20"/>
              </w:rPr>
              <w:t>7031</w:t>
            </w:r>
          </w:p>
        </w:tc>
        <w:tc>
          <w:tcPr>
            <w:tcW w:w="3478" w:type="dxa"/>
          </w:tcPr>
          <w:p>
            <w:pPr>
              <w:pStyle w:val="TableParagraph"/>
              <w:spacing w:line="205" w:lineRule="exact"/>
              <w:ind w:left="158"/>
              <w:rPr>
                <w:sz w:val="20"/>
              </w:rPr>
            </w:pPr>
            <w:r>
              <w:rPr>
                <w:sz w:val="20"/>
              </w:rPr>
              <w:t>Creek</w:t>
            </w:r>
            <w:r>
              <w:rPr>
                <w:spacing w:val="-7"/>
                <w:sz w:val="20"/>
              </w:rPr>
              <w:t> </w:t>
            </w:r>
            <w:r>
              <w:rPr>
                <w:spacing w:val="-2"/>
                <w:sz w:val="20"/>
              </w:rPr>
              <w:t>(mus)</w:t>
            </w:r>
          </w:p>
        </w:tc>
        <w:tc>
          <w:tcPr>
            <w:tcW w:w="1852" w:type="dxa"/>
          </w:tcPr>
          <w:p>
            <w:pPr>
              <w:pStyle w:val="TableParagraph"/>
              <w:spacing w:line="240" w:lineRule="auto"/>
              <w:rPr>
                <w:sz w:val="16"/>
              </w:rPr>
            </w:pPr>
          </w:p>
        </w:tc>
        <w:tc>
          <w:tcPr>
            <w:tcW w:w="2095" w:type="dxa"/>
          </w:tcPr>
          <w:p>
            <w:pPr>
              <w:pStyle w:val="TableParagraph"/>
              <w:spacing w:line="240" w:lineRule="auto"/>
              <w:rPr>
                <w:sz w:val="16"/>
              </w:rPr>
            </w:pPr>
          </w:p>
        </w:tc>
      </w:tr>
      <w:tr>
        <w:trPr>
          <w:trHeight w:val="463" w:hRule="atLeast"/>
        </w:trPr>
        <w:tc>
          <w:tcPr>
            <w:tcW w:w="612" w:type="dxa"/>
          </w:tcPr>
          <w:p>
            <w:pPr>
              <w:pStyle w:val="TableParagraph"/>
              <w:spacing w:line="229" w:lineRule="exact"/>
              <w:ind w:left="50"/>
              <w:rPr>
                <w:sz w:val="20"/>
              </w:rPr>
            </w:pPr>
            <w:r>
              <w:rPr>
                <w:spacing w:val="-4"/>
                <w:sz w:val="20"/>
              </w:rPr>
              <w:t>7032</w:t>
            </w:r>
          </w:p>
          <w:p>
            <w:pPr>
              <w:pStyle w:val="TableParagraph"/>
              <w:spacing w:line="214" w:lineRule="exact"/>
              <w:ind w:left="50"/>
              <w:rPr>
                <w:sz w:val="20"/>
              </w:rPr>
            </w:pPr>
            <w:r>
              <w:rPr>
                <w:spacing w:val="-4"/>
                <w:sz w:val="20"/>
              </w:rPr>
              <w:t>7033</w:t>
            </w:r>
          </w:p>
        </w:tc>
        <w:tc>
          <w:tcPr>
            <w:tcW w:w="3478" w:type="dxa"/>
          </w:tcPr>
          <w:p>
            <w:pPr>
              <w:pStyle w:val="TableParagraph"/>
              <w:spacing w:line="228" w:lineRule="exact"/>
              <w:ind w:left="158" w:right="1279"/>
              <w:rPr>
                <w:sz w:val="20"/>
              </w:rPr>
            </w:pPr>
            <w:r>
              <w:rPr>
                <w:sz w:val="20"/>
              </w:rPr>
              <w:t>Choctaw (cho) Chickasaw</w:t>
            </w:r>
            <w:r>
              <w:rPr>
                <w:spacing w:val="-10"/>
                <w:sz w:val="20"/>
              </w:rPr>
              <w:t> </w:t>
            </w:r>
            <w:r>
              <w:rPr>
                <w:spacing w:val="-4"/>
                <w:sz w:val="20"/>
              </w:rPr>
              <w:t>(cic)</w:t>
            </w:r>
          </w:p>
        </w:tc>
        <w:tc>
          <w:tcPr>
            <w:tcW w:w="1852" w:type="dxa"/>
          </w:tcPr>
          <w:p>
            <w:pPr>
              <w:pStyle w:val="TableParagraph"/>
              <w:spacing w:line="229" w:lineRule="exact"/>
              <w:ind w:left="1288"/>
              <w:rPr>
                <w:i/>
                <w:sz w:val="20"/>
              </w:rPr>
            </w:pPr>
            <w:r>
              <w:rPr>
                <w:i/>
                <w:spacing w:val="-2"/>
                <w:sz w:val="20"/>
              </w:rPr>
              <w:t>Mayan</w:t>
            </w:r>
          </w:p>
          <w:p>
            <w:pPr>
              <w:pStyle w:val="TableParagraph"/>
              <w:spacing w:line="214" w:lineRule="exact"/>
              <w:ind w:left="1288"/>
              <w:rPr>
                <w:sz w:val="20"/>
              </w:rPr>
            </w:pPr>
            <w:r>
              <w:rPr>
                <w:spacing w:val="-4"/>
                <w:sz w:val="20"/>
              </w:rPr>
              <w:t>7130</w:t>
            </w:r>
          </w:p>
        </w:tc>
        <w:tc>
          <w:tcPr>
            <w:tcW w:w="2095" w:type="dxa"/>
          </w:tcPr>
          <w:p>
            <w:pPr>
              <w:pStyle w:val="TableParagraph"/>
              <w:spacing w:line="229" w:lineRule="exact"/>
              <w:ind w:left="43"/>
              <w:rPr>
                <w:i/>
                <w:sz w:val="20"/>
              </w:rPr>
            </w:pPr>
            <w:r>
              <w:rPr>
                <w:i/>
                <w:sz w:val="20"/>
              </w:rPr>
              <w:t>languages</w:t>
            </w:r>
            <w:r>
              <w:rPr>
                <w:i/>
                <w:spacing w:val="-12"/>
                <w:sz w:val="20"/>
              </w:rPr>
              <w:t> </w:t>
            </w:r>
            <w:r>
              <w:rPr>
                <w:i/>
                <w:sz w:val="20"/>
              </w:rPr>
              <w:t>(7130-</w:t>
            </w:r>
            <w:r>
              <w:rPr>
                <w:i/>
                <w:spacing w:val="-4"/>
                <w:sz w:val="20"/>
              </w:rPr>
              <w:t>7181)</w:t>
            </w:r>
          </w:p>
          <w:p>
            <w:pPr>
              <w:pStyle w:val="TableParagraph"/>
              <w:spacing w:line="214" w:lineRule="exact"/>
              <w:ind w:left="157"/>
              <w:rPr>
                <w:sz w:val="20"/>
              </w:rPr>
            </w:pPr>
            <w:r>
              <w:rPr>
                <w:sz w:val="20"/>
              </w:rPr>
              <w:t>Huastec</w:t>
            </w:r>
            <w:r>
              <w:rPr>
                <w:spacing w:val="-8"/>
                <w:sz w:val="20"/>
              </w:rPr>
              <w:t> </w:t>
            </w:r>
            <w:r>
              <w:rPr>
                <w:spacing w:val="-2"/>
                <w:sz w:val="20"/>
              </w:rPr>
              <w:t>(hus)</w:t>
            </w:r>
          </w:p>
        </w:tc>
      </w:tr>
      <w:tr>
        <w:trPr>
          <w:trHeight w:val="230" w:hRule="atLeast"/>
        </w:trPr>
        <w:tc>
          <w:tcPr>
            <w:tcW w:w="612" w:type="dxa"/>
          </w:tcPr>
          <w:p>
            <w:pPr>
              <w:pStyle w:val="TableParagraph"/>
              <w:spacing w:line="240" w:lineRule="auto"/>
              <w:rPr>
                <w:sz w:val="16"/>
              </w:rPr>
            </w:pPr>
          </w:p>
        </w:tc>
        <w:tc>
          <w:tcPr>
            <w:tcW w:w="3478" w:type="dxa"/>
          </w:tcPr>
          <w:p>
            <w:pPr>
              <w:pStyle w:val="TableParagraph"/>
              <w:spacing w:line="240" w:lineRule="auto"/>
              <w:rPr>
                <w:sz w:val="16"/>
              </w:rPr>
            </w:pPr>
          </w:p>
        </w:tc>
        <w:tc>
          <w:tcPr>
            <w:tcW w:w="1852" w:type="dxa"/>
          </w:tcPr>
          <w:p>
            <w:pPr>
              <w:pStyle w:val="TableParagraph"/>
              <w:spacing w:line="211" w:lineRule="exact"/>
              <w:ind w:right="157"/>
              <w:jc w:val="right"/>
              <w:rPr>
                <w:sz w:val="20"/>
              </w:rPr>
            </w:pPr>
            <w:r>
              <w:rPr>
                <w:spacing w:val="-4"/>
                <w:sz w:val="20"/>
              </w:rPr>
              <w:t>7135</w:t>
            </w:r>
          </w:p>
        </w:tc>
        <w:tc>
          <w:tcPr>
            <w:tcW w:w="2095" w:type="dxa"/>
          </w:tcPr>
          <w:p>
            <w:pPr>
              <w:pStyle w:val="TableParagraph"/>
              <w:spacing w:line="211" w:lineRule="exact"/>
              <w:ind w:left="157"/>
              <w:rPr>
                <w:sz w:val="20"/>
              </w:rPr>
            </w:pPr>
            <w:r>
              <w:rPr>
                <w:sz w:val="20"/>
              </w:rPr>
              <w:t>Chol</w:t>
            </w:r>
            <w:r>
              <w:rPr>
                <w:spacing w:val="-7"/>
                <w:sz w:val="20"/>
              </w:rPr>
              <w:t> </w:t>
            </w:r>
            <w:r>
              <w:rPr>
                <w:spacing w:val="-2"/>
                <w:sz w:val="20"/>
              </w:rPr>
              <w:t>(ctu)</w:t>
            </w:r>
          </w:p>
        </w:tc>
      </w:tr>
      <w:tr>
        <w:trPr>
          <w:trHeight w:val="230" w:hRule="atLeast"/>
        </w:trPr>
        <w:tc>
          <w:tcPr>
            <w:tcW w:w="612" w:type="dxa"/>
          </w:tcPr>
          <w:p>
            <w:pPr>
              <w:pStyle w:val="TableParagraph"/>
              <w:ind w:left="50"/>
              <w:rPr>
                <w:sz w:val="20"/>
              </w:rPr>
            </w:pPr>
            <w:r>
              <w:rPr>
                <w:spacing w:val="-4"/>
                <w:sz w:val="20"/>
              </w:rPr>
              <w:t>7034</w:t>
            </w:r>
          </w:p>
        </w:tc>
        <w:tc>
          <w:tcPr>
            <w:tcW w:w="3478" w:type="dxa"/>
          </w:tcPr>
          <w:p>
            <w:pPr>
              <w:pStyle w:val="TableParagraph"/>
              <w:ind w:left="158"/>
              <w:rPr>
                <w:sz w:val="20"/>
              </w:rPr>
            </w:pPr>
            <w:r>
              <w:rPr>
                <w:spacing w:val="-2"/>
                <w:sz w:val="20"/>
              </w:rPr>
              <w:t>Chitimacha</w:t>
            </w:r>
            <w:r>
              <w:rPr>
                <w:spacing w:val="6"/>
                <w:sz w:val="20"/>
              </w:rPr>
              <w:t> </w:t>
            </w:r>
            <w:r>
              <w:rPr>
                <w:spacing w:val="-4"/>
                <w:sz w:val="20"/>
              </w:rPr>
              <w:t>(ctm)</w:t>
            </w:r>
          </w:p>
        </w:tc>
        <w:tc>
          <w:tcPr>
            <w:tcW w:w="1852" w:type="dxa"/>
          </w:tcPr>
          <w:p>
            <w:pPr>
              <w:pStyle w:val="TableParagraph"/>
              <w:ind w:right="157"/>
              <w:jc w:val="right"/>
              <w:rPr>
                <w:sz w:val="20"/>
              </w:rPr>
            </w:pPr>
            <w:r>
              <w:rPr>
                <w:spacing w:val="-4"/>
                <w:sz w:val="20"/>
              </w:rPr>
              <w:t>7136</w:t>
            </w:r>
          </w:p>
        </w:tc>
        <w:tc>
          <w:tcPr>
            <w:tcW w:w="2095" w:type="dxa"/>
          </w:tcPr>
          <w:p>
            <w:pPr>
              <w:pStyle w:val="TableParagraph"/>
              <w:ind w:left="157"/>
              <w:rPr>
                <w:sz w:val="20"/>
              </w:rPr>
            </w:pPr>
            <w:r>
              <w:rPr>
                <w:sz w:val="20"/>
              </w:rPr>
              <w:t>Chortí</w:t>
            </w:r>
            <w:r>
              <w:rPr>
                <w:spacing w:val="-9"/>
                <w:sz w:val="20"/>
              </w:rPr>
              <w:t> </w:t>
            </w:r>
            <w:r>
              <w:rPr>
                <w:spacing w:val="-2"/>
                <w:sz w:val="20"/>
              </w:rPr>
              <w:t>(caa)</w:t>
            </w:r>
          </w:p>
        </w:tc>
      </w:tr>
      <w:tr>
        <w:trPr>
          <w:trHeight w:val="230" w:hRule="atLeast"/>
        </w:trPr>
        <w:tc>
          <w:tcPr>
            <w:tcW w:w="612" w:type="dxa"/>
          </w:tcPr>
          <w:p>
            <w:pPr>
              <w:pStyle w:val="TableParagraph"/>
              <w:ind w:left="50"/>
              <w:rPr>
                <w:sz w:val="20"/>
              </w:rPr>
            </w:pPr>
            <w:r>
              <w:rPr>
                <w:spacing w:val="-4"/>
                <w:sz w:val="20"/>
              </w:rPr>
              <w:t>7036</w:t>
            </w:r>
          </w:p>
        </w:tc>
        <w:tc>
          <w:tcPr>
            <w:tcW w:w="3478" w:type="dxa"/>
          </w:tcPr>
          <w:p>
            <w:pPr>
              <w:pStyle w:val="TableParagraph"/>
              <w:ind w:left="158"/>
              <w:rPr>
                <w:sz w:val="20"/>
              </w:rPr>
            </w:pPr>
            <w:r>
              <w:rPr>
                <w:sz w:val="20"/>
              </w:rPr>
              <w:t>Yuki</w:t>
            </w:r>
            <w:r>
              <w:rPr>
                <w:spacing w:val="-6"/>
                <w:sz w:val="20"/>
              </w:rPr>
              <w:t> </w:t>
            </w:r>
            <w:r>
              <w:rPr>
                <w:spacing w:val="-2"/>
                <w:sz w:val="20"/>
              </w:rPr>
              <w:t>(yuk)</w:t>
            </w:r>
          </w:p>
        </w:tc>
        <w:tc>
          <w:tcPr>
            <w:tcW w:w="1852" w:type="dxa"/>
          </w:tcPr>
          <w:p>
            <w:pPr>
              <w:pStyle w:val="TableParagraph"/>
              <w:ind w:right="157"/>
              <w:jc w:val="right"/>
              <w:rPr>
                <w:sz w:val="20"/>
              </w:rPr>
            </w:pPr>
            <w:r>
              <w:rPr>
                <w:spacing w:val="-4"/>
                <w:sz w:val="20"/>
              </w:rPr>
              <w:t>7137</w:t>
            </w:r>
          </w:p>
        </w:tc>
        <w:tc>
          <w:tcPr>
            <w:tcW w:w="2095" w:type="dxa"/>
          </w:tcPr>
          <w:p>
            <w:pPr>
              <w:pStyle w:val="TableParagraph"/>
              <w:ind w:left="157"/>
              <w:rPr>
                <w:sz w:val="20"/>
              </w:rPr>
            </w:pPr>
            <w:r>
              <w:rPr>
                <w:sz w:val="20"/>
              </w:rPr>
              <w:t>Tzeltal</w:t>
            </w:r>
            <w:r>
              <w:rPr>
                <w:spacing w:val="-5"/>
                <w:sz w:val="20"/>
              </w:rPr>
              <w:t> </w:t>
            </w:r>
            <w:r>
              <w:rPr>
                <w:spacing w:val="-2"/>
                <w:sz w:val="20"/>
              </w:rPr>
              <w:t>(tzh)</w:t>
            </w:r>
          </w:p>
        </w:tc>
      </w:tr>
      <w:tr>
        <w:trPr>
          <w:trHeight w:val="230" w:hRule="atLeast"/>
        </w:trPr>
        <w:tc>
          <w:tcPr>
            <w:tcW w:w="612" w:type="dxa"/>
          </w:tcPr>
          <w:p>
            <w:pPr>
              <w:pStyle w:val="TableParagraph"/>
              <w:ind w:left="50"/>
              <w:rPr>
                <w:sz w:val="20"/>
              </w:rPr>
            </w:pPr>
            <w:r>
              <w:rPr>
                <w:spacing w:val="-4"/>
                <w:sz w:val="20"/>
              </w:rPr>
              <w:t>7037</w:t>
            </w:r>
          </w:p>
        </w:tc>
        <w:tc>
          <w:tcPr>
            <w:tcW w:w="3478" w:type="dxa"/>
          </w:tcPr>
          <w:p>
            <w:pPr>
              <w:pStyle w:val="TableParagraph"/>
              <w:ind w:left="158"/>
              <w:rPr>
                <w:sz w:val="20"/>
              </w:rPr>
            </w:pPr>
            <w:r>
              <w:rPr>
                <w:sz w:val="20"/>
              </w:rPr>
              <w:t>Wappo</w:t>
            </w:r>
            <w:r>
              <w:rPr>
                <w:spacing w:val="-4"/>
                <w:sz w:val="20"/>
              </w:rPr>
              <w:t> </w:t>
            </w:r>
            <w:r>
              <w:rPr>
                <w:spacing w:val="-2"/>
                <w:sz w:val="20"/>
              </w:rPr>
              <w:t>(wao)</w:t>
            </w:r>
          </w:p>
        </w:tc>
        <w:tc>
          <w:tcPr>
            <w:tcW w:w="1852" w:type="dxa"/>
          </w:tcPr>
          <w:p>
            <w:pPr>
              <w:pStyle w:val="TableParagraph"/>
              <w:ind w:right="157"/>
              <w:jc w:val="right"/>
              <w:rPr>
                <w:sz w:val="20"/>
              </w:rPr>
            </w:pPr>
            <w:r>
              <w:rPr>
                <w:spacing w:val="-4"/>
                <w:sz w:val="20"/>
              </w:rPr>
              <w:t>7138</w:t>
            </w:r>
          </w:p>
        </w:tc>
        <w:tc>
          <w:tcPr>
            <w:tcW w:w="2095" w:type="dxa"/>
          </w:tcPr>
          <w:p>
            <w:pPr>
              <w:pStyle w:val="TableParagraph"/>
              <w:ind w:left="157"/>
              <w:rPr>
                <w:sz w:val="20"/>
              </w:rPr>
            </w:pPr>
            <w:r>
              <w:rPr>
                <w:sz w:val="20"/>
              </w:rPr>
              <w:t>Tzotzil</w:t>
            </w:r>
            <w:r>
              <w:rPr>
                <w:spacing w:val="-4"/>
                <w:sz w:val="20"/>
              </w:rPr>
              <w:t> </w:t>
            </w:r>
            <w:r>
              <w:rPr>
                <w:spacing w:val="-2"/>
                <w:sz w:val="20"/>
              </w:rPr>
              <w:t>(tzo)</w:t>
            </w:r>
          </w:p>
        </w:tc>
      </w:tr>
      <w:tr>
        <w:trPr>
          <w:trHeight w:val="229" w:hRule="atLeast"/>
        </w:trPr>
        <w:tc>
          <w:tcPr>
            <w:tcW w:w="612" w:type="dxa"/>
          </w:tcPr>
          <w:p>
            <w:pPr>
              <w:pStyle w:val="TableParagraph"/>
              <w:spacing w:line="209" w:lineRule="exact"/>
              <w:ind w:left="50"/>
              <w:rPr>
                <w:sz w:val="20"/>
              </w:rPr>
            </w:pPr>
            <w:r>
              <w:rPr>
                <w:spacing w:val="-4"/>
                <w:sz w:val="20"/>
              </w:rPr>
              <w:t>7039</w:t>
            </w:r>
          </w:p>
        </w:tc>
        <w:tc>
          <w:tcPr>
            <w:tcW w:w="3478" w:type="dxa"/>
          </w:tcPr>
          <w:p>
            <w:pPr>
              <w:pStyle w:val="TableParagraph"/>
              <w:spacing w:line="209" w:lineRule="exact"/>
              <w:ind w:left="158"/>
              <w:rPr>
                <w:sz w:val="20"/>
              </w:rPr>
            </w:pPr>
            <w:r>
              <w:rPr>
                <w:sz w:val="20"/>
              </w:rPr>
              <w:t>Eastern</w:t>
            </w:r>
            <w:r>
              <w:rPr>
                <w:spacing w:val="-6"/>
                <w:sz w:val="20"/>
              </w:rPr>
              <w:t> </w:t>
            </w:r>
            <w:r>
              <w:rPr>
                <w:sz w:val="20"/>
              </w:rPr>
              <w:t>Keres</w:t>
            </w:r>
            <w:r>
              <w:rPr>
                <w:spacing w:val="-6"/>
                <w:sz w:val="20"/>
              </w:rPr>
              <w:t> </w:t>
            </w:r>
            <w:r>
              <w:rPr>
                <w:spacing w:val="-2"/>
                <w:sz w:val="20"/>
              </w:rPr>
              <w:t>(kee)</w:t>
            </w:r>
          </w:p>
        </w:tc>
        <w:tc>
          <w:tcPr>
            <w:tcW w:w="1852" w:type="dxa"/>
          </w:tcPr>
          <w:p>
            <w:pPr>
              <w:pStyle w:val="TableParagraph"/>
              <w:spacing w:line="209" w:lineRule="exact"/>
              <w:ind w:right="157"/>
              <w:jc w:val="right"/>
              <w:rPr>
                <w:sz w:val="20"/>
              </w:rPr>
            </w:pPr>
            <w:r>
              <w:rPr>
                <w:spacing w:val="-4"/>
                <w:sz w:val="20"/>
              </w:rPr>
              <w:t>7143</w:t>
            </w:r>
          </w:p>
        </w:tc>
        <w:tc>
          <w:tcPr>
            <w:tcW w:w="2095" w:type="dxa"/>
          </w:tcPr>
          <w:p>
            <w:pPr>
              <w:pStyle w:val="TableParagraph"/>
              <w:spacing w:line="209" w:lineRule="exact"/>
              <w:ind w:left="157"/>
              <w:rPr>
                <w:sz w:val="20"/>
              </w:rPr>
            </w:pPr>
            <w:r>
              <w:rPr>
                <w:sz w:val="20"/>
              </w:rPr>
              <w:t>Aguacateco</w:t>
            </w:r>
            <w:r>
              <w:rPr>
                <w:spacing w:val="-10"/>
                <w:sz w:val="20"/>
              </w:rPr>
              <w:t> </w:t>
            </w:r>
            <w:r>
              <w:rPr>
                <w:spacing w:val="-2"/>
                <w:sz w:val="20"/>
              </w:rPr>
              <w:t>(agu)</w:t>
            </w:r>
          </w:p>
        </w:tc>
      </w:tr>
      <w:tr>
        <w:trPr>
          <w:trHeight w:val="229" w:hRule="atLeast"/>
        </w:trPr>
        <w:tc>
          <w:tcPr>
            <w:tcW w:w="612" w:type="dxa"/>
          </w:tcPr>
          <w:p>
            <w:pPr>
              <w:pStyle w:val="TableParagraph"/>
              <w:spacing w:line="209" w:lineRule="exact"/>
              <w:ind w:left="50"/>
              <w:rPr>
                <w:sz w:val="20"/>
              </w:rPr>
            </w:pPr>
            <w:r>
              <w:rPr>
                <w:spacing w:val="-4"/>
                <w:sz w:val="20"/>
              </w:rPr>
              <w:t>7040</w:t>
            </w:r>
          </w:p>
        </w:tc>
        <w:tc>
          <w:tcPr>
            <w:tcW w:w="3478" w:type="dxa"/>
          </w:tcPr>
          <w:p>
            <w:pPr>
              <w:pStyle w:val="TableParagraph"/>
              <w:spacing w:line="209" w:lineRule="exact"/>
              <w:ind w:left="158"/>
              <w:rPr>
                <w:sz w:val="20"/>
              </w:rPr>
            </w:pPr>
            <w:r>
              <w:rPr>
                <w:sz w:val="20"/>
              </w:rPr>
              <w:t>Western</w:t>
            </w:r>
            <w:r>
              <w:rPr>
                <w:spacing w:val="-6"/>
                <w:sz w:val="20"/>
              </w:rPr>
              <w:t> </w:t>
            </w:r>
            <w:r>
              <w:rPr>
                <w:sz w:val="20"/>
              </w:rPr>
              <w:t>Keres</w:t>
            </w:r>
            <w:r>
              <w:rPr>
                <w:spacing w:val="-6"/>
                <w:sz w:val="20"/>
              </w:rPr>
              <w:t> </w:t>
            </w:r>
            <w:r>
              <w:rPr>
                <w:spacing w:val="-4"/>
                <w:sz w:val="20"/>
              </w:rPr>
              <w:t>(kjq)</w:t>
            </w:r>
          </w:p>
        </w:tc>
        <w:tc>
          <w:tcPr>
            <w:tcW w:w="1852" w:type="dxa"/>
          </w:tcPr>
          <w:p>
            <w:pPr>
              <w:pStyle w:val="TableParagraph"/>
              <w:spacing w:line="209" w:lineRule="exact"/>
              <w:ind w:right="157"/>
              <w:jc w:val="right"/>
              <w:rPr>
                <w:sz w:val="20"/>
              </w:rPr>
            </w:pPr>
            <w:r>
              <w:rPr>
                <w:spacing w:val="-4"/>
                <w:sz w:val="20"/>
              </w:rPr>
              <w:t>7144</w:t>
            </w:r>
          </w:p>
        </w:tc>
        <w:tc>
          <w:tcPr>
            <w:tcW w:w="2095" w:type="dxa"/>
          </w:tcPr>
          <w:p>
            <w:pPr>
              <w:pStyle w:val="TableParagraph"/>
              <w:spacing w:line="209" w:lineRule="exact"/>
              <w:ind w:left="157"/>
              <w:rPr>
                <w:sz w:val="20"/>
              </w:rPr>
            </w:pPr>
            <w:r>
              <w:rPr>
                <w:sz w:val="20"/>
              </w:rPr>
              <w:t>Ixil</w:t>
            </w:r>
            <w:r>
              <w:rPr>
                <w:spacing w:val="-6"/>
                <w:sz w:val="20"/>
              </w:rPr>
              <w:t> </w:t>
            </w:r>
            <w:r>
              <w:rPr>
                <w:spacing w:val="-2"/>
                <w:sz w:val="20"/>
              </w:rPr>
              <w:t>(ixl)</w:t>
            </w:r>
          </w:p>
        </w:tc>
      </w:tr>
      <w:tr>
        <w:trPr>
          <w:trHeight w:val="225" w:hRule="atLeast"/>
        </w:trPr>
        <w:tc>
          <w:tcPr>
            <w:tcW w:w="612" w:type="dxa"/>
          </w:tcPr>
          <w:p>
            <w:pPr>
              <w:pStyle w:val="TableParagraph"/>
              <w:spacing w:line="240" w:lineRule="auto"/>
              <w:rPr>
                <w:sz w:val="16"/>
              </w:rPr>
            </w:pPr>
          </w:p>
        </w:tc>
        <w:tc>
          <w:tcPr>
            <w:tcW w:w="3478" w:type="dxa"/>
          </w:tcPr>
          <w:p>
            <w:pPr>
              <w:pStyle w:val="TableParagraph"/>
              <w:spacing w:line="240" w:lineRule="auto"/>
              <w:rPr>
                <w:sz w:val="16"/>
              </w:rPr>
            </w:pPr>
          </w:p>
        </w:tc>
        <w:tc>
          <w:tcPr>
            <w:tcW w:w="1852" w:type="dxa"/>
          </w:tcPr>
          <w:p>
            <w:pPr>
              <w:pStyle w:val="TableParagraph"/>
              <w:spacing w:line="205" w:lineRule="exact"/>
              <w:ind w:right="157"/>
              <w:jc w:val="right"/>
              <w:rPr>
                <w:sz w:val="20"/>
              </w:rPr>
            </w:pPr>
            <w:r>
              <w:rPr>
                <w:spacing w:val="-4"/>
                <w:sz w:val="20"/>
              </w:rPr>
              <w:t>7150</w:t>
            </w:r>
          </w:p>
        </w:tc>
        <w:tc>
          <w:tcPr>
            <w:tcW w:w="2095" w:type="dxa"/>
          </w:tcPr>
          <w:p>
            <w:pPr>
              <w:pStyle w:val="TableParagraph"/>
              <w:spacing w:line="205" w:lineRule="exact"/>
              <w:ind w:left="157"/>
              <w:rPr>
                <w:sz w:val="20"/>
              </w:rPr>
            </w:pPr>
            <w:r>
              <w:rPr>
                <w:sz w:val="20"/>
              </w:rPr>
              <w:t>Mam</w:t>
            </w:r>
            <w:r>
              <w:rPr>
                <w:spacing w:val="-7"/>
                <w:sz w:val="20"/>
              </w:rPr>
              <w:t> </w:t>
            </w:r>
            <w:r>
              <w:rPr>
                <w:spacing w:val="-2"/>
                <w:sz w:val="20"/>
              </w:rPr>
              <w:t>(mam)</w:t>
            </w:r>
          </w:p>
        </w:tc>
      </w:tr>
      <w:tr>
        <w:trPr>
          <w:trHeight w:val="230" w:hRule="atLeast"/>
        </w:trPr>
        <w:tc>
          <w:tcPr>
            <w:tcW w:w="8037" w:type="dxa"/>
            <w:gridSpan w:val="4"/>
          </w:tcPr>
          <w:p>
            <w:pPr>
              <w:pStyle w:val="TableParagraph"/>
              <w:tabs>
                <w:tab w:pos="5378" w:val="left" w:leader="none"/>
                <w:tab w:pos="6099" w:val="left" w:leader="none"/>
              </w:tabs>
              <w:ind w:left="50"/>
              <w:rPr>
                <w:sz w:val="20"/>
              </w:rPr>
            </w:pPr>
            <w:r>
              <w:rPr>
                <w:i/>
                <w:sz w:val="20"/>
              </w:rPr>
              <w:t>Iroquoian</w:t>
            </w:r>
            <w:r>
              <w:rPr>
                <w:i/>
                <w:spacing w:val="-9"/>
                <w:sz w:val="20"/>
              </w:rPr>
              <w:t> </w:t>
            </w:r>
            <w:r>
              <w:rPr>
                <w:i/>
                <w:sz w:val="20"/>
              </w:rPr>
              <w:t>languages</w:t>
            </w:r>
            <w:r>
              <w:rPr>
                <w:i/>
                <w:spacing w:val="-11"/>
                <w:sz w:val="20"/>
              </w:rPr>
              <w:t> </w:t>
            </w:r>
            <w:r>
              <w:rPr>
                <w:i/>
                <w:sz w:val="20"/>
              </w:rPr>
              <w:t>(7041-</w:t>
            </w:r>
            <w:r>
              <w:rPr>
                <w:i/>
                <w:spacing w:val="-4"/>
                <w:sz w:val="20"/>
              </w:rPr>
              <w:t>7050)</w:t>
            </w:r>
            <w:r>
              <w:rPr>
                <w:i/>
                <w:sz w:val="20"/>
              </w:rPr>
              <w:tab/>
            </w:r>
            <w:r>
              <w:rPr>
                <w:spacing w:val="-4"/>
                <w:sz w:val="20"/>
              </w:rPr>
              <w:t>7152</w:t>
            </w:r>
            <w:r>
              <w:rPr>
                <w:sz w:val="20"/>
              </w:rPr>
              <w:tab/>
              <w:t>Tektiteko</w:t>
            </w:r>
            <w:r>
              <w:rPr>
                <w:spacing w:val="-8"/>
                <w:sz w:val="20"/>
              </w:rPr>
              <w:t> </w:t>
            </w:r>
            <w:r>
              <w:rPr>
                <w:spacing w:val="-2"/>
                <w:sz w:val="20"/>
              </w:rPr>
              <w:t>(ttc)</w:t>
            </w:r>
          </w:p>
        </w:tc>
      </w:tr>
      <w:tr>
        <w:trPr>
          <w:trHeight w:val="235" w:hRule="atLeast"/>
        </w:trPr>
        <w:tc>
          <w:tcPr>
            <w:tcW w:w="612" w:type="dxa"/>
          </w:tcPr>
          <w:p>
            <w:pPr>
              <w:pStyle w:val="TableParagraph"/>
              <w:spacing w:line="205" w:lineRule="exact"/>
              <w:ind w:left="50"/>
              <w:rPr>
                <w:sz w:val="20"/>
              </w:rPr>
            </w:pPr>
            <w:r>
              <w:rPr>
                <w:spacing w:val="-4"/>
                <w:sz w:val="20"/>
              </w:rPr>
              <w:t>7042</w:t>
            </w:r>
          </w:p>
        </w:tc>
        <w:tc>
          <w:tcPr>
            <w:tcW w:w="3478" w:type="dxa"/>
          </w:tcPr>
          <w:p>
            <w:pPr>
              <w:pStyle w:val="TableParagraph"/>
              <w:spacing w:line="205" w:lineRule="exact"/>
              <w:ind w:left="158"/>
              <w:rPr>
                <w:sz w:val="20"/>
              </w:rPr>
            </w:pPr>
            <w:r>
              <w:rPr>
                <w:sz w:val="20"/>
              </w:rPr>
              <w:t>Iroquoian</w:t>
            </w:r>
            <w:r>
              <w:rPr>
                <w:spacing w:val="-10"/>
                <w:sz w:val="20"/>
              </w:rPr>
              <w:t> </w:t>
            </w:r>
            <w:r>
              <w:rPr>
                <w:sz w:val="20"/>
              </w:rPr>
              <w:t>languages</w:t>
            </w:r>
            <w:r>
              <w:rPr>
                <w:spacing w:val="-9"/>
                <w:sz w:val="20"/>
              </w:rPr>
              <w:t> </w:t>
            </w:r>
            <w:r>
              <w:rPr>
                <w:spacing w:val="-4"/>
                <w:sz w:val="20"/>
              </w:rPr>
              <w:t>(iro)</w:t>
            </w:r>
          </w:p>
        </w:tc>
        <w:tc>
          <w:tcPr>
            <w:tcW w:w="1852" w:type="dxa"/>
          </w:tcPr>
          <w:p>
            <w:pPr>
              <w:pStyle w:val="TableParagraph"/>
              <w:spacing w:line="205" w:lineRule="exact"/>
              <w:ind w:right="157"/>
              <w:jc w:val="right"/>
              <w:rPr>
                <w:sz w:val="20"/>
              </w:rPr>
            </w:pPr>
            <w:r>
              <w:rPr>
                <w:spacing w:val="-4"/>
                <w:sz w:val="20"/>
              </w:rPr>
              <w:t>7155</w:t>
            </w:r>
          </w:p>
        </w:tc>
        <w:tc>
          <w:tcPr>
            <w:tcW w:w="2095" w:type="dxa"/>
          </w:tcPr>
          <w:p>
            <w:pPr>
              <w:pStyle w:val="TableParagraph"/>
              <w:spacing w:line="205" w:lineRule="exact"/>
              <w:ind w:left="157"/>
              <w:rPr>
                <w:sz w:val="20"/>
              </w:rPr>
            </w:pPr>
            <w:r>
              <w:rPr>
                <w:sz w:val="20"/>
              </w:rPr>
              <w:t>Kaqchikel</w:t>
            </w:r>
            <w:r>
              <w:rPr>
                <w:spacing w:val="-11"/>
                <w:sz w:val="20"/>
              </w:rPr>
              <w:t> </w:t>
            </w:r>
            <w:r>
              <w:rPr>
                <w:spacing w:val="-2"/>
                <w:sz w:val="20"/>
              </w:rPr>
              <w:t>(cak)</w:t>
            </w:r>
          </w:p>
        </w:tc>
      </w:tr>
      <w:tr>
        <w:trPr>
          <w:trHeight w:val="229" w:hRule="atLeast"/>
        </w:trPr>
        <w:tc>
          <w:tcPr>
            <w:tcW w:w="612" w:type="dxa"/>
          </w:tcPr>
          <w:p>
            <w:pPr>
              <w:pStyle w:val="TableParagraph"/>
              <w:spacing w:line="209" w:lineRule="exact"/>
              <w:ind w:left="50"/>
              <w:rPr>
                <w:sz w:val="20"/>
              </w:rPr>
            </w:pPr>
            <w:r>
              <w:rPr>
                <w:spacing w:val="-4"/>
                <w:sz w:val="20"/>
              </w:rPr>
              <w:t>7043</w:t>
            </w:r>
          </w:p>
        </w:tc>
        <w:tc>
          <w:tcPr>
            <w:tcW w:w="3478" w:type="dxa"/>
          </w:tcPr>
          <w:p>
            <w:pPr>
              <w:pStyle w:val="TableParagraph"/>
              <w:spacing w:line="209" w:lineRule="exact"/>
              <w:ind w:left="158"/>
              <w:rPr>
                <w:sz w:val="20"/>
              </w:rPr>
            </w:pPr>
            <w:r>
              <w:rPr>
                <w:sz w:val="20"/>
              </w:rPr>
              <w:t>Mohawk</w:t>
            </w:r>
            <w:r>
              <w:rPr>
                <w:spacing w:val="-11"/>
                <w:sz w:val="20"/>
              </w:rPr>
              <w:t> </w:t>
            </w:r>
            <w:r>
              <w:rPr>
                <w:spacing w:val="-2"/>
                <w:sz w:val="20"/>
              </w:rPr>
              <w:t>(moh)</w:t>
            </w:r>
          </w:p>
        </w:tc>
        <w:tc>
          <w:tcPr>
            <w:tcW w:w="1852" w:type="dxa"/>
          </w:tcPr>
          <w:p>
            <w:pPr>
              <w:pStyle w:val="TableParagraph"/>
              <w:spacing w:line="209" w:lineRule="exact"/>
              <w:ind w:right="157"/>
              <w:jc w:val="right"/>
              <w:rPr>
                <w:sz w:val="20"/>
              </w:rPr>
            </w:pPr>
            <w:r>
              <w:rPr>
                <w:spacing w:val="-4"/>
                <w:sz w:val="20"/>
              </w:rPr>
              <w:t>7156</w:t>
            </w:r>
          </w:p>
        </w:tc>
        <w:tc>
          <w:tcPr>
            <w:tcW w:w="2095" w:type="dxa"/>
          </w:tcPr>
          <w:p>
            <w:pPr>
              <w:pStyle w:val="TableParagraph"/>
              <w:spacing w:line="209" w:lineRule="exact"/>
              <w:ind w:left="157"/>
              <w:rPr>
                <w:sz w:val="20"/>
              </w:rPr>
            </w:pPr>
            <w:r>
              <w:rPr>
                <w:spacing w:val="-2"/>
                <w:sz w:val="20"/>
              </w:rPr>
              <w:t>Tz'utujil</w:t>
            </w:r>
          </w:p>
        </w:tc>
      </w:tr>
      <w:tr>
        <w:trPr>
          <w:trHeight w:val="229" w:hRule="atLeast"/>
        </w:trPr>
        <w:tc>
          <w:tcPr>
            <w:tcW w:w="612" w:type="dxa"/>
          </w:tcPr>
          <w:p>
            <w:pPr>
              <w:pStyle w:val="TableParagraph"/>
              <w:spacing w:line="209" w:lineRule="exact"/>
              <w:ind w:left="50"/>
              <w:rPr>
                <w:sz w:val="20"/>
              </w:rPr>
            </w:pPr>
            <w:r>
              <w:rPr>
                <w:spacing w:val="-4"/>
                <w:sz w:val="20"/>
              </w:rPr>
              <w:t>7044</w:t>
            </w:r>
          </w:p>
        </w:tc>
        <w:tc>
          <w:tcPr>
            <w:tcW w:w="3478" w:type="dxa"/>
          </w:tcPr>
          <w:p>
            <w:pPr>
              <w:pStyle w:val="TableParagraph"/>
              <w:spacing w:line="209" w:lineRule="exact"/>
              <w:ind w:left="158"/>
              <w:rPr>
                <w:sz w:val="20"/>
              </w:rPr>
            </w:pPr>
            <w:r>
              <w:rPr>
                <w:sz w:val="20"/>
              </w:rPr>
              <w:t>Oneida</w:t>
            </w:r>
            <w:r>
              <w:rPr>
                <w:spacing w:val="-6"/>
                <w:sz w:val="20"/>
              </w:rPr>
              <w:t> </w:t>
            </w:r>
            <w:r>
              <w:rPr>
                <w:spacing w:val="-2"/>
                <w:sz w:val="20"/>
              </w:rPr>
              <w:t>(one)</w:t>
            </w:r>
          </w:p>
        </w:tc>
        <w:tc>
          <w:tcPr>
            <w:tcW w:w="1852" w:type="dxa"/>
          </w:tcPr>
          <w:p>
            <w:pPr>
              <w:pStyle w:val="TableParagraph"/>
              <w:spacing w:line="209" w:lineRule="exact"/>
              <w:ind w:right="157"/>
              <w:jc w:val="right"/>
              <w:rPr>
                <w:sz w:val="20"/>
              </w:rPr>
            </w:pPr>
            <w:r>
              <w:rPr>
                <w:spacing w:val="-4"/>
                <w:sz w:val="20"/>
              </w:rPr>
              <w:t>7160</w:t>
            </w:r>
          </w:p>
        </w:tc>
        <w:tc>
          <w:tcPr>
            <w:tcW w:w="2095" w:type="dxa"/>
          </w:tcPr>
          <w:p>
            <w:pPr>
              <w:pStyle w:val="TableParagraph"/>
              <w:spacing w:line="209" w:lineRule="exact"/>
              <w:ind w:left="157"/>
              <w:rPr>
                <w:sz w:val="20"/>
              </w:rPr>
            </w:pPr>
            <w:r>
              <w:rPr>
                <w:sz w:val="20"/>
              </w:rPr>
              <w:t>K'iche'</w:t>
            </w:r>
            <w:r>
              <w:rPr>
                <w:spacing w:val="-8"/>
                <w:sz w:val="20"/>
              </w:rPr>
              <w:t> </w:t>
            </w:r>
            <w:r>
              <w:rPr>
                <w:spacing w:val="-2"/>
                <w:sz w:val="20"/>
              </w:rPr>
              <w:t>(quc)</w:t>
            </w:r>
          </w:p>
        </w:tc>
      </w:tr>
      <w:tr>
        <w:trPr>
          <w:trHeight w:val="230" w:hRule="atLeast"/>
        </w:trPr>
        <w:tc>
          <w:tcPr>
            <w:tcW w:w="612" w:type="dxa"/>
          </w:tcPr>
          <w:p>
            <w:pPr>
              <w:pStyle w:val="TableParagraph"/>
              <w:ind w:left="50"/>
              <w:rPr>
                <w:sz w:val="20"/>
              </w:rPr>
            </w:pPr>
            <w:r>
              <w:rPr>
                <w:spacing w:val="-4"/>
                <w:sz w:val="20"/>
              </w:rPr>
              <w:t>7045</w:t>
            </w:r>
          </w:p>
        </w:tc>
        <w:tc>
          <w:tcPr>
            <w:tcW w:w="3478" w:type="dxa"/>
          </w:tcPr>
          <w:p>
            <w:pPr>
              <w:pStyle w:val="TableParagraph"/>
              <w:ind w:left="158"/>
              <w:rPr>
                <w:sz w:val="20"/>
              </w:rPr>
            </w:pPr>
            <w:r>
              <w:rPr>
                <w:sz w:val="20"/>
              </w:rPr>
              <w:t>Onondaga</w:t>
            </w:r>
            <w:r>
              <w:rPr>
                <w:spacing w:val="-10"/>
                <w:sz w:val="20"/>
              </w:rPr>
              <w:t> </w:t>
            </w:r>
            <w:r>
              <w:rPr>
                <w:spacing w:val="-2"/>
                <w:sz w:val="20"/>
              </w:rPr>
              <w:t>(ono)</w:t>
            </w:r>
          </w:p>
        </w:tc>
        <w:tc>
          <w:tcPr>
            <w:tcW w:w="1852" w:type="dxa"/>
          </w:tcPr>
          <w:p>
            <w:pPr>
              <w:pStyle w:val="TableParagraph"/>
              <w:ind w:right="157"/>
              <w:jc w:val="right"/>
              <w:rPr>
                <w:sz w:val="20"/>
              </w:rPr>
            </w:pPr>
            <w:r>
              <w:rPr>
                <w:spacing w:val="-4"/>
                <w:sz w:val="20"/>
              </w:rPr>
              <w:t>7161</w:t>
            </w:r>
          </w:p>
        </w:tc>
        <w:tc>
          <w:tcPr>
            <w:tcW w:w="2095" w:type="dxa"/>
          </w:tcPr>
          <w:p>
            <w:pPr>
              <w:pStyle w:val="TableParagraph"/>
              <w:ind w:left="157"/>
              <w:rPr>
                <w:sz w:val="20"/>
              </w:rPr>
            </w:pPr>
            <w:r>
              <w:rPr>
                <w:sz w:val="20"/>
              </w:rPr>
              <w:t>Kekchí</w:t>
            </w:r>
            <w:r>
              <w:rPr>
                <w:spacing w:val="-8"/>
                <w:sz w:val="20"/>
              </w:rPr>
              <w:t> </w:t>
            </w:r>
            <w:r>
              <w:rPr>
                <w:spacing w:val="-2"/>
                <w:sz w:val="20"/>
              </w:rPr>
              <w:t>(kek)</w:t>
            </w:r>
          </w:p>
        </w:tc>
      </w:tr>
      <w:tr>
        <w:trPr>
          <w:trHeight w:val="230" w:hRule="atLeast"/>
        </w:trPr>
        <w:tc>
          <w:tcPr>
            <w:tcW w:w="612" w:type="dxa"/>
          </w:tcPr>
          <w:p>
            <w:pPr>
              <w:pStyle w:val="TableParagraph"/>
              <w:ind w:left="50"/>
              <w:rPr>
                <w:sz w:val="20"/>
              </w:rPr>
            </w:pPr>
            <w:r>
              <w:rPr>
                <w:spacing w:val="-4"/>
                <w:sz w:val="20"/>
              </w:rPr>
              <w:t>7046</w:t>
            </w:r>
          </w:p>
        </w:tc>
        <w:tc>
          <w:tcPr>
            <w:tcW w:w="3478" w:type="dxa"/>
          </w:tcPr>
          <w:p>
            <w:pPr>
              <w:pStyle w:val="TableParagraph"/>
              <w:ind w:left="158"/>
              <w:rPr>
                <w:sz w:val="20"/>
              </w:rPr>
            </w:pPr>
            <w:r>
              <w:rPr>
                <w:sz w:val="20"/>
              </w:rPr>
              <w:t>Cayuga</w:t>
            </w:r>
            <w:r>
              <w:rPr>
                <w:spacing w:val="-9"/>
                <w:sz w:val="20"/>
              </w:rPr>
              <w:t> </w:t>
            </w:r>
            <w:r>
              <w:rPr>
                <w:spacing w:val="-2"/>
                <w:sz w:val="20"/>
              </w:rPr>
              <w:t>(cay)</w:t>
            </w:r>
          </w:p>
        </w:tc>
        <w:tc>
          <w:tcPr>
            <w:tcW w:w="1852" w:type="dxa"/>
          </w:tcPr>
          <w:p>
            <w:pPr>
              <w:pStyle w:val="TableParagraph"/>
              <w:ind w:right="157"/>
              <w:jc w:val="right"/>
              <w:rPr>
                <w:sz w:val="20"/>
              </w:rPr>
            </w:pPr>
            <w:r>
              <w:rPr>
                <w:spacing w:val="-4"/>
                <w:sz w:val="20"/>
              </w:rPr>
              <w:t>7162</w:t>
            </w:r>
          </w:p>
        </w:tc>
        <w:tc>
          <w:tcPr>
            <w:tcW w:w="2095" w:type="dxa"/>
          </w:tcPr>
          <w:p>
            <w:pPr>
              <w:pStyle w:val="TableParagraph"/>
              <w:ind w:left="157"/>
              <w:rPr>
                <w:sz w:val="20"/>
              </w:rPr>
            </w:pPr>
            <w:r>
              <w:rPr>
                <w:sz w:val="20"/>
              </w:rPr>
              <w:t>Poqomam</w:t>
            </w:r>
            <w:r>
              <w:rPr>
                <w:spacing w:val="-12"/>
                <w:sz w:val="20"/>
              </w:rPr>
              <w:t> </w:t>
            </w:r>
            <w:r>
              <w:rPr>
                <w:spacing w:val="-2"/>
                <w:sz w:val="20"/>
              </w:rPr>
              <w:t>(poc)</w:t>
            </w:r>
          </w:p>
        </w:tc>
      </w:tr>
      <w:tr>
        <w:trPr>
          <w:trHeight w:val="230" w:hRule="atLeast"/>
        </w:trPr>
        <w:tc>
          <w:tcPr>
            <w:tcW w:w="612" w:type="dxa"/>
          </w:tcPr>
          <w:p>
            <w:pPr>
              <w:pStyle w:val="TableParagraph"/>
              <w:ind w:left="50"/>
              <w:rPr>
                <w:sz w:val="20"/>
              </w:rPr>
            </w:pPr>
            <w:r>
              <w:rPr>
                <w:spacing w:val="-4"/>
                <w:sz w:val="20"/>
              </w:rPr>
              <w:t>7047</w:t>
            </w:r>
          </w:p>
        </w:tc>
        <w:tc>
          <w:tcPr>
            <w:tcW w:w="3478" w:type="dxa"/>
          </w:tcPr>
          <w:p>
            <w:pPr>
              <w:pStyle w:val="TableParagraph"/>
              <w:ind w:left="158"/>
              <w:rPr>
                <w:sz w:val="20"/>
              </w:rPr>
            </w:pPr>
            <w:r>
              <w:rPr>
                <w:sz w:val="20"/>
              </w:rPr>
              <w:t>Seneca</w:t>
            </w:r>
            <w:r>
              <w:rPr>
                <w:spacing w:val="-8"/>
                <w:sz w:val="20"/>
              </w:rPr>
              <w:t> </w:t>
            </w:r>
            <w:r>
              <w:rPr>
                <w:spacing w:val="-2"/>
                <w:sz w:val="20"/>
              </w:rPr>
              <w:t>(see)</w:t>
            </w:r>
          </w:p>
        </w:tc>
        <w:tc>
          <w:tcPr>
            <w:tcW w:w="1852" w:type="dxa"/>
          </w:tcPr>
          <w:p>
            <w:pPr>
              <w:pStyle w:val="TableParagraph"/>
              <w:ind w:right="157"/>
              <w:jc w:val="right"/>
              <w:rPr>
                <w:sz w:val="20"/>
              </w:rPr>
            </w:pPr>
            <w:r>
              <w:rPr>
                <w:spacing w:val="-4"/>
                <w:sz w:val="20"/>
              </w:rPr>
              <w:t>7163</w:t>
            </w:r>
          </w:p>
        </w:tc>
        <w:tc>
          <w:tcPr>
            <w:tcW w:w="2095" w:type="dxa"/>
          </w:tcPr>
          <w:p>
            <w:pPr>
              <w:pStyle w:val="TableParagraph"/>
              <w:ind w:left="157"/>
              <w:rPr>
                <w:sz w:val="20"/>
              </w:rPr>
            </w:pPr>
            <w:r>
              <w:rPr>
                <w:sz w:val="20"/>
              </w:rPr>
              <w:t>Poqomchi'</w:t>
            </w:r>
            <w:r>
              <w:rPr>
                <w:spacing w:val="-12"/>
                <w:sz w:val="20"/>
              </w:rPr>
              <w:t> </w:t>
            </w:r>
            <w:r>
              <w:rPr>
                <w:spacing w:val="-2"/>
                <w:sz w:val="20"/>
              </w:rPr>
              <w:t>(poh)</w:t>
            </w:r>
          </w:p>
        </w:tc>
      </w:tr>
      <w:tr>
        <w:trPr>
          <w:trHeight w:val="230" w:hRule="atLeast"/>
        </w:trPr>
        <w:tc>
          <w:tcPr>
            <w:tcW w:w="612" w:type="dxa"/>
          </w:tcPr>
          <w:p>
            <w:pPr>
              <w:pStyle w:val="TableParagraph"/>
              <w:spacing w:line="211" w:lineRule="exact"/>
              <w:ind w:left="50"/>
              <w:rPr>
                <w:sz w:val="20"/>
              </w:rPr>
            </w:pPr>
            <w:r>
              <w:rPr>
                <w:spacing w:val="-4"/>
                <w:sz w:val="20"/>
              </w:rPr>
              <w:t>7048</w:t>
            </w:r>
          </w:p>
        </w:tc>
        <w:tc>
          <w:tcPr>
            <w:tcW w:w="3478" w:type="dxa"/>
          </w:tcPr>
          <w:p>
            <w:pPr>
              <w:pStyle w:val="TableParagraph"/>
              <w:spacing w:line="211" w:lineRule="exact"/>
              <w:ind w:left="158"/>
              <w:rPr>
                <w:sz w:val="20"/>
              </w:rPr>
            </w:pPr>
            <w:r>
              <w:rPr>
                <w:sz w:val="20"/>
              </w:rPr>
              <w:t>Wyandot</w:t>
            </w:r>
            <w:r>
              <w:rPr>
                <w:spacing w:val="-10"/>
                <w:sz w:val="20"/>
              </w:rPr>
              <w:t> </w:t>
            </w:r>
            <w:r>
              <w:rPr>
                <w:spacing w:val="-2"/>
                <w:sz w:val="20"/>
              </w:rPr>
              <w:t>(wya)</w:t>
            </w:r>
          </w:p>
        </w:tc>
        <w:tc>
          <w:tcPr>
            <w:tcW w:w="1852" w:type="dxa"/>
          </w:tcPr>
          <w:p>
            <w:pPr>
              <w:pStyle w:val="TableParagraph"/>
              <w:spacing w:line="211" w:lineRule="exact"/>
              <w:ind w:right="157"/>
              <w:jc w:val="right"/>
              <w:rPr>
                <w:sz w:val="20"/>
              </w:rPr>
            </w:pPr>
            <w:r>
              <w:rPr>
                <w:spacing w:val="-4"/>
                <w:sz w:val="20"/>
              </w:rPr>
              <w:t>7166</w:t>
            </w:r>
          </w:p>
        </w:tc>
        <w:tc>
          <w:tcPr>
            <w:tcW w:w="2095" w:type="dxa"/>
          </w:tcPr>
          <w:p>
            <w:pPr>
              <w:pStyle w:val="TableParagraph"/>
              <w:spacing w:line="211" w:lineRule="exact"/>
              <w:ind w:left="157"/>
              <w:rPr>
                <w:sz w:val="20"/>
              </w:rPr>
            </w:pPr>
            <w:r>
              <w:rPr>
                <w:sz w:val="20"/>
              </w:rPr>
              <w:t>Chuj</w:t>
            </w:r>
            <w:r>
              <w:rPr>
                <w:spacing w:val="-4"/>
                <w:sz w:val="20"/>
              </w:rPr>
              <w:t> </w:t>
            </w:r>
            <w:r>
              <w:rPr>
                <w:spacing w:val="-2"/>
                <w:sz w:val="20"/>
              </w:rPr>
              <w:t>(cac)</w:t>
            </w:r>
          </w:p>
        </w:tc>
      </w:tr>
      <w:tr>
        <w:trPr>
          <w:trHeight w:val="229" w:hRule="atLeast"/>
        </w:trPr>
        <w:tc>
          <w:tcPr>
            <w:tcW w:w="612" w:type="dxa"/>
          </w:tcPr>
          <w:p>
            <w:pPr>
              <w:pStyle w:val="TableParagraph"/>
              <w:spacing w:line="209" w:lineRule="exact"/>
              <w:ind w:left="50"/>
              <w:rPr>
                <w:sz w:val="20"/>
              </w:rPr>
            </w:pPr>
            <w:r>
              <w:rPr>
                <w:spacing w:val="-4"/>
                <w:sz w:val="20"/>
              </w:rPr>
              <w:t>7049</w:t>
            </w:r>
          </w:p>
        </w:tc>
        <w:tc>
          <w:tcPr>
            <w:tcW w:w="3478" w:type="dxa"/>
          </w:tcPr>
          <w:p>
            <w:pPr>
              <w:pStyle w:val="TableParagraph"/>
              <w:spacing w:line="209" w:lineRule="exact"/>
              <w:ind w:left="158"/>
              <w:rPr>
                <w:sz w:val="20"/>
              </w:rPr>
            </w:pPr>
            <w:r>
              <w:rPr>
                <w:sz w:val="20"/>
              </w:rPr>
              <w:t>Tuscarora</w:t>
            </w:r>
            <w:r>
              <w:rPr>
                <w:spacing w:val="-8"/>
                <w:sz w:val="20"/>
              </w:rPr>
              <w:t> </w:t>
            </w:r>
            <w:r>
              <w:rPr>
                <w:spacing w:val="-2"/>
                <w:sz w:val="20"/>
              </w:rPr>
              <w:t>(tus)</w:t>
            </w:r>
          </w:p>
        </w:tc>
        <w:tc>
          <w:tcPr>
            <w:tcW w:w="1852" w:type="dxa"/>
          </w:tcPr>
          <w:p>
            <w:pPr>
              <w:pStyle w:val="TableParagraph"/>
              <w:spacing w:line="209" w:lineRule="exact"/>
              <w:ind w:right="157"/>
              <w:jc w:val="right"/>
              <w:rPr>
                <w:sz w:val="20"/>
              </w:rPr>
            </w:pPr>
            <w:r>
              <w:rPr>
                <w:spacing w:val="-4"/>
                <w:sz w:val="20"/>
              </w:rPr>
              <w:t>7170</w:t>
            </w:r>
          </w:p>
        </w:tc>
        <w:tc>
          <w:tcPr>
            <w:tcW w:w="2095" w:type="dxa"/>
          </w:tcPr>
          <w:p>
            <w:pPr>
              <w:pStyle w:val="TableParagraph"/>
              <w:spacing w:line="209" w:lineRule="exact"/>
              <w:ind w:left="157"/>
              <w:rPr>
                <w:sz w:val="20"/>
              </w:rPr>
            </w:pPr>
            <w:r>
              <w:rPr>
                <w:sz w:val="20"/>
              </w:rPr>
              <w:t>Popti'</w:t>
            </w:r>
            <w:r>
              <w:rPr>
                <w:spacing w:val="-5"/>
                <w:sz w:val="20"/>
              </w:rPr>
              <w:t> </w:t>
            </w:r>
            <w:r>
              <w:rPr>
                <w:spacing w:val="-2"/>
                <w:sz w:val="20"/>
              </w:rPr>
              <w:t>(jac)</w:t>
            </w:r>
          </w:p>
        </w:tc>
      </w:tr>
      <w:tr>
        <w:trPr>
          <w:trHeight w:val="229" w:hRule="atLeast"/>
        </w:trPr>
        <w:tc>
          <w:tcPr>
            <w:tcW w:w="612" w:type="dxa"/>
          </w:tcPr>
          <w:p>
            <w:pPr>
              <w:pStyle w:val="TableParagraph"/>
              <w:spacing w:line="209" w:lineRule="exact"/>
              <w:ind w:left="50"/>
              <w:rPr>
                <w:sz w:val="20"/>
              </w:rPr>
            </w:pPr>
            <w:r>
              <w:rPr>
                <w:spacing w:val="-4"/>
                <w:sz w:val="20"/>
              </w:rPr>
              <w:t>7050</w:t>
            </w:r>
          </w:p>
        </w:tc>
        <w:tc>
          <w:tcPr>
            <w:tcW w:w="3478" w:type="dxa"/>
          </w:tcPr>
          <w:p>
            <w:pPr>
              <w:pStyle w:val="TableParagraph"/>
              <w:spacing w:line="209" w:lineRule="exact"/>
              <w:ind w:left="158"/>
              <w:rPr>
                <w:sz w:val="20"/>
              </w:rPr>
            </w:pPr>
            <w:r>
              <w:rPr>
                <w:sz w:val="20"/>
              </w:rPr>
              <w:t>Cherokee</w:t>
            </w:r>
            <w:r>
              <w:rPr>
                <w:spacing w:val="-11"/>
                <w:sz w:val="20"/>
              </w:rPr>
              <w:t> </w:t>
            </w:r>
            <w:r>
              <w:rPr>
                <w:spacing w:val="-2"/>
                <w:sz w:val="20"/>
              </w:rPr>
              <w:t>(chr)</w:t>
            </w:r>
          </w:p>
        </w:tc>
        <w:tc>
          <w:tcPr>
            <w:tcW w:w="1852" w:type="dxa"/>
          </w:tcPr>
          <w:p>
            <w:pPr>
              <w:pStyle w:val="TableParagraph"/>
              <w:spacing w:line="209" w:lineRule="exact"/>
              <w:ind w:right="157"/>
              <w:jc w:val="right"/>
              <w:rPr>
                <w:sz w:val="20"/>
              </w:rPr>
            </w:pPr>
            <w:r>
              <w:rPr>
                <w:spacing w:val="-4"/>
                <w:sz w:val="20"/>
              </w:rPr>
              <w:t>7171</w:t>
            </w:r>
          </w:p>
        </w:tc>
        <w:tc>
          <w:tcPr>
            <w:tcW w:w="2095" w:type="dxa"/>
          </w:tcPr>
          <w:p>
            <w:pPr>
              <w:pStyle w:val="TableParagraph"/>
              <w:spacing w:line="209" w:lineRule="exact"/>
              <w:ind w:left="157"/>
              <w:rPr>
                <w:sz w:val="20"/>
              </w:rPr>
            </w:pPr>
            <w:r>
              <w:rPr>
                <w:sz w:val="20"/>
              </w:rPr>
              <w:t>Q'anjob'al</w:t>
            </w:r>
            <w:r>
              <w:rPr>
                <w:spacing w:val="-10"/>
                <w:sz w:val="20"/>
              </w:rPr>
              <w:t> </w:t>
            </w:r>
            <w:r>
              <w:rPr>
                <w:spacing w:val="-2"/>
                <w:sz w:val="20"/>
              </w:rPr>
              <w:t>(kjb)</w:t>
            </w:r>
          </w:p>
        </w:tc>
      </w:tr>
      <w:tr>
        <w:trPr>
          <w:trHeight w:val="225" w:hRule="atLeast"/>
        </w:trPr>
        <w:tc>
          <w:tcPr>
            <w:tcW w:w="612" w:type="dxa"/>
          </w:tcPr>
          <w:p>
            <w:pPr>
              <w:pStyle w:val="TableParagraph"/>
              <w:spacing w:line="240" w:lineRule="auto"/>
              <w:rPr>
                <w:sz w:val="16"/>
              </w:rPr>
            </w:pPr>
          </w:p>
        </w:tc>
        <w:tc>
          <w:tcPr>
            <w:tcW w:w="3478" w:type="dxa"/>
          </w:tcPr>
          <w:p>
            <w:pPr>
              <w:pStyle w:val="TableParagraph"/>
              <w:spacing w:line="240" w:lineRule="auto"/>
              <w:rPr>
                <w:sz w:val="16"/>
              </w:rPr>
            </w:pPr>
          </w:p>
        </w:tc>
        <w:tc>
          <w:tcPr>
            <w:tcW w:w="1852" w:type="dxa"/>
          </w:tcPr>
          <w:p>
            <w:pPr>
              <w:pStyle w:val="TableParagraph"/>
              <w:spacing w:line="205" w:lineRule="exact"/>
              <w:ind w:right="157"/>
              <w:jc w:val="right"/>
              <w:rPr>
                <w:sz w:val="20"/>
              </w:rPr>
            </w:pPr>
            <w:r>
              <w:rPr>
                <w:spacing w:val="-4"/>
                <w:sz w:val="20"/>
              </w:rPr>
              <w:t>7172</w:t>
            </w:r>
          </w:p>
        </w:tc>
        <w:tc>
          <w:tcPr>
            <w:tcW w:w="2095" w:type="dxa"/>
          </w:tcPr>
          <w:p>
            <w:pPr>
              <w:pStyle w:val="TableParagraph"/>
              <w:spacing w:line="205" w:lineRule="exact"/>
              <w:ind w:left="157"/>
              <w:rPr>
                <w:sz w:val="20"/>
              </w:rPr>
            </w:pPr>
            <w:r>
              <w:rPr>
                <w:sz w:val="20"/>
              </w:rPr>
              <w:t>Western</w:t>
            </w:r>
            <w:r>
              <w:rPr>
                <w:spacing w:val="-6"/>
                <w:sz w:val="20"/>
              </w:rPr>
              <w:t> </w:t>
            </w:r>
            <w:r>
              <w:rPr>
                <w:sz w:val="20"/>
              </w:rPr>
              <w:t>Kanjobal</w:t>
            </w:r>
            <w:r>
              <w:rPr>
                <w:spacing w:val="-5"/>
                <w:sz w:val="20"/>
              </w:rPr>
              <w:t> </w:t>
            </w:r>
            <w:r>
              <w:rPr>
                <w:spacing w:val="-4"/>
                <w:sz w:val="20"/>
              </w:rPr>
              <w:t>(knj)</w:t>
            </w:r>
          </w:p>
        </w:tc>
      </w:tr>
      <w:tr>
        <w:trPr>
          <w:trHeight w:val="230" w:hRule="atLeast"/>
        </w:trPr>
        <w:tc>
          <w:tcPr>
            <w:tcW w:w="8037" w:type="dxa"/>
            <w:gridSpan w:val="4"/>
          </w:tcPr>
          <w:p>
            <w:pPr>
              <w:pStyle w:val="TableParagraph"/>
              <w:tabs>
                <w:tab w:pos="5378" w:val="left" w:leader="none"/>
                <w:tab w:pos="6099" w:val="left" w:leader="none"/>
              </w:tabs>
              <w:ind w:left="50"/>
              <w:rPr>
                <w:sz w:val="20"/>
              </w:rPr>
            </w:pPr>
            <w:r>
              <w:rPr>
                <w:i/>
                <w:sz w:val="20"/>
              </w:rPr>
              <w:t>Caddoan</w:t>
            </w:r>
            <w:r>
              <w:rPr>
                <w:i/>
                <w:spacing w:val="-8"/>
                <w:sz w:val="20"/>
              </w:rPr>
              <w:t> </w:t>
            </w:r>
            <w:r>
              <w:rPr>
                <w:i/>
                <w:sz w:val="20"/>
              </w:rPr>
              <w:t>languages</w:t>
            </w:r>
            <w:r>
              <w:rPr>
                <w:i/>
                <w:spacing w:val="-7"/>
                <w:sz w:val="20"/>
              </w:rPr>
              <w:t> </w:t>
            </w:r>
            <w:r>
              <w:rPr>
                <w:i/>
                <w:sz w:val="20"/>
              </w:rPr>
              <w:t>(7051-</w:t>
            </w:r>
            <w:r>
              <w:rPr>
                <w:i/>
                <w:spacing w:val="-2"/>
                <w:sz w:val="20"/>
              </w:rPr>
              <w:t>7055)</w:t>
            </w:r>
            <w:r>
              <w:rPr>
                <w:i/>
                <w:sz w:val="20"/>
              </w:rPr>
              <w:tab/>
            </w:r>
            <w:r>
              <w:rPr>
                <w:spacing w:val="-4"/>
                <w:sz w:val="20"/>
              </w:rPr>
              <w:t>7175</w:t>
            </w:r>
            <w:r>
              <w:rPr>
                <w:sz w:val="20"/>
              </w:rPr>
              <w:tab/>
              <w:t>Itzá</w:t>
            </w:r>
            <w:r>
              <w:rPr>
                <w:spacing w:val="-3"/>
                <w:sz w:val="20"/>
              </w:rPr>
              <w:t> </w:t>
            </w:r>
            <w:r>
              <w:rPr>
                <w:spacing w:val="-2"/>
                <w:sz w:val="20"/>
              </w:rPr>
              <w:t>(itz)</w:t>
            </w:r>
          </w:p>
        </w:tc>
      </w:tr>
      <w:tr>
        <w:trPr>
          <w:trHeight w:val="235" w:hRule="atLeast"/>
        </w:trPr>
        <w:tc>
          <w:tcPr>
            <w:tcW w:w="612" w:type="dxa"/>
          </w:tcPr>
          <w:p>
            <w:pPr>
              <w:pStyle w:val="TableParagraph"/>
              <w:spacing w:line="205" w:lineRule="exact"/>
              <w:ind w:left="50"/>
              <w:rPr>
                <w:sz w:val="20"/>
              </w:rPr>
            </w:pPr>
            <w:r>
              <w:rPr>
                <w:spacing w:val="-4"/>
                <w:sz w:val="20"/>
              </w:rPr>
              <w:t>7052</w:t>
            </w:r>
          </w:p>
        </w:tc>
        <w:tc>
          <w:tcPr>
            <w:tcW w:w="3478" w:type="dxa"/>
          </w:tcPr>
          <w:p>
            <w:pPr>
              <w:pStyle w:val="TableParagraph"/>
              <w:spacing w:line="205" w:lineRule="exact"/>
              <w:ind w:left="158"/>
              <w:rPr>
                <w:sz w:val="20"/>
              </w:rPr>
            </w:pPr>
            <w:r>
              <w:rPr>
                <w:sz w:val="20"/>
              </w:rPr>
              <w:t>Caddo</w:t>
            </w:r>
            <w:r>
              <w:rPr>
                <w:spacing w:val="-4"/>
                <w:sz w:val="20"/>
              </w:rPr>
              <w:t> </w:t>
            </w:r>
            <w:r>
              <w:rPr>
                <w:spacing w:val="-2"/>
                <w:sz w:val="20"/>
              </w:rPr>
              <w:t>(cad)</w:t>
            </w:r>
          </w:p>
        </w:tc>
        <w:tc>
          <w:tcPr>
            <w:tcW w:w="1852" w:type="dxa"/>
          </w:tcPr>
          <w:p>
            <w:pPr>
              <w:pStyle w:val="TableParagraph"/>
              <w:spacing w:line="205" w:lineRule="exact"/>
              <w:ind w:right="157"/>
              <w:jc w:val="right"/>
              <w:rPr>
                <w:sz w:val="20"/>
              </w:rPr>
            </w:pPr>
            <w:r>
              <w:rPr>
                <w:spacing w:val="-4"/>
                <w:sz w:val="20"/>
              </w:rPr>
              <w:t>7177</w:t>
            </w:r>
          </w:p>
        </w:tc>
        <w:tc>
          <w:tcPr>
            <w:tcW w:w="2095" w:type="dxa"/>
          </w:tcPr>
          <w:p>
            <w:pPr>
              <w:pStyle w:val="TableParagraph"/>
              <w:spacing w:line="205" w:lineRule="exact"/>
              <w:ind w:left="157"/>
              <w:rPr>
                <w:sz w:val="20"/>
              </w:rPr>
            </w:pPr>
            <w:r>
              <w:rPr>
                <w:sz w:val="20"/>
              </w:rPr>
              <w:t>Mopán</w:t>
            </w:r>
            <w:r>
              <w:rPr>
                <w:spacing w:val="-7"/>
                <w:sz w:val="20"/>
              </w:rPr>
              <w:t> </w:t>
            </w:r>
            <w:r>
              <w:rPr>
                <w:sz w:val="20"/>
              </w:rPr>
              <w:t>Maya</w:t>
            </w:r>
            <w:r>
              <w:rPr>
                <w:spacing w:val="-5"/>
                <w:sz w:val="20"/>
              </w:rPr>
              <w:t> </w:t>
            </w:r>
            <w:r>
              <w:rPr>
                <w:spacing w:val="-2"/>
                <w:sz w:val="20"/>
              </w:rPr>
              <w:t>(mop)</w:t>
            </w:r>
          </w:p>
        </w:tc>
      </w:tr>
      <w:tr>
        <w:trPr>
          <w:trHeight w:val="230" w:hRule="atLeast"/>
        </w:trPr>
        <w:tc>
          <w:tcPr>
            <w:tcW w:w="612" w:type="dxa"/>
          </w:tcPr>
          <w:p>
            <w:pPr>
              <w:pStyle w:val="TableParagraph"/>
              <w:ind w:left="50"/>
              <w:rPr>
                <w:sz w:val="20"/>
              </w:rPr>
            </w:pPr>
            <w:r>
              <w:rPr>
                <w:spacing w:val="-4"/>
                <w:sz w:val="20"/>
              </w:rPr>
              <w:t>7053</w:t>
            </w:r>
          </w:p>
        </w:tc>
        <w:tc>
          <w:tcPr>
            <w:tcW w:w="3478" w:type="dxa"/>
          </w:tcPr>
          <w:p>
            <w:pPr>
              <w:pStyle w:val="TableParagraph"/>
              <w:ind w:left="158"/>
              <w:rPr>
                <w:sz w:val="20"/>
              </w:rPr>
            </w:pPr>
            <w:r>
              <w:rPr>
                <w:sz w:val="20"/>
              </w:rPr>
              <w:t>Arikara</w:t>
            </w:r>
            <w:r>
              <w:rPr>
                <w:spacing w:val="-9"/>
                <w:sz w:val="20"/>
              </w:rPr>
              <w:t> </w:t>
            </w:r>
            <w:r>
              <w:rPr>
                <w:spacing w:val="-2"/>
                <w:sz w:val="20"/>
              </w:rPr>
              <w:t>(ari)</w:t>
            </w:r>
          </w:p>
        </w:tc>
        <w:tc>
          <w:tcPr>
            <w:tcW w:w="1852" w:type="dxa"/>
          </w:tcPr>
          <w:p>
            <w:pPr>
              <w:pStyle w:val="TableParagraph"/>
              <w:ind w:right="157"/>
              <w:jc w:val="right"/>
              <w:rPr>
                <w:sz w:val="20"/>
              </w:rPr>
            </w:pPr>
            <w:r>
              <w:rPr>
                <w:spacing w:val="-4"/>
                <w:sz w:val="20"/>
              </w:rPr>
              <w:t>7179</w:t>
            </w:r>
          </w:p>
        </w:tc>
        <w:tc>
          <w:tcPr>
            <w:tcW w:w="2095" w:type="dxa"/>
          </w:tcPr>
          <w:p>
            <w:pPr>
              <w:pStyle w:val="TableParagraph"/>
              <w:ind w:left="157"/>
              <w:rPr>
                <w:sz w:val="20"/>
              </w:rPr>
            </w:pPr>
            <w:r>
              <w:rPr>
                <w:sz w:val="20"/>
              </w:rPr>
              <w:t>Lacandon</w:t>
            </w:r>
            <w:r>
              <w:rPr>
                <w:spacing w:val="-9"/>
                <w:sz w:val="20"/>
              </w:rPr>
              <w:t> </w:t>
            </w:r>
            <w:r>
              <w:rPr>
                <w:spacing w:val="-2"/>
                <w:sz w:val="20"/>
              </w:rPr>
              <w:t>(lac)</w:t>
            </w:r>
          </w:p>
        </w:tc>
      </w:tr>
      <w:tr>
        <w:trPr>
          <w:trHeight w:val="229" w:hRule="atLeast"/>
        </w:trPr>
        <w:tc>
          <w:tcPr>
            <w:tcW w:w="612" w:type="dxa"/>
          </w:tcPr>
          <w:p>
            <w:pPr>
              <w:pStyle w:val="TableParagraph"/>
              <w:spacing w:line="209" w:lineRule="exact"/>
              <w:ind w:left="50"/>
              <w:rPr>
                <w:sz w:val="20"/>
              </w:rPr>
            </w:pPr>
            <w:r>
              <w:rPr>
                <w:spacing w:val="-4"/>
                <w:sz w:val="20"/>
              </w:rPr>
              <w:t>7054</w:t>
            </w:r>
          </w:p>
        </w:tc>
        <w:tc>
          <w:tcPr>
            <w:tcW w:w="3478" w:type="dxa"/>
          </w:tcPr>
          <w:p>
            <w:pPr>
              <w:pStyle w:val="TableParagraph"/>
              <w:spacing w:line="209" w:lineRule="exact"/>
              <w:ind w:left="158"/>
              <w:rPr>
                <w:sz w:val="20"/>
              </w:rPr>
            </w:pPr>
            <w:r>
              <w:rPr>
                <w:sz w:val="20"/>
              </w:rPr>
              <w:t>Pawnee</w:t>
            </w:r>
            <w:r>
              <w:rPr>
                <w:spacing w:val="-11"/>
                <w:sz w:val="20"/>
              </w:rPr>
              <w:t> </w:t>
            </w:r>
            <w:r>
              <w:rPr>
                <w:spacing w:val="-2"/>
                <w:sz w:val="20"/>
              </w:rPr>
              <w:t>(paw)</w:t>
            </w:r>
          </w:p>
        </w:tc>
        <w:tc>
          <w:tcPr>
            <w:tcW w:w="1852" w:type="dxa"/>
          </w:tcPr>
          <w:p>
            <w:pPr>
              <w:pStyle w:val="TableParagraph"/>
              <w:spacing w:line="209" w:lineRule="exact"/>
              <w:ind w:right="157"/>
              <w:jc w:val="right"/>
              <w:rPr>
                <w:sz w:val="20"/>
              </w:rPr>
            </w:pPr>
            <w:r>
              <w:rPr>
                <w:spacing w:val="-4"/>
                <w:sz w:val="20"/>
              </w:rPr>
              <w:t>7180</w:t>
            </w:r>
          </w:p>
        </w:tc>
        <w:tc>
          <w:tcPr>
            <w:tcW w:w="2095" w:type="dxa"/>
          </w:tcPr>
          <w:p>
            <w:pPr>
              <w:pStyle w:val="TableParagraph"/>
              <w:spacing w:line="209" w:lineRule="exact"/>
              <w:ind w:left="157"/>
              <w:rPr>
                <w:sz w:val="20"/>
              </w:rPr>
            </w:pPr>
            <w:r>
              <w:rPr>
                <w:sz w:val="20"/>
              </w:rPr>
              <w:t>Yucateco</w:t>
            </w:r>
            <w:r>
              <w:rPr>
                <w:spacing w:val="-8"/>
                <w:sz w:val="20"/>
              </w:rPr>
              <w:t> </w:t>
            </w:r>
            <w:r>
              <w:rPr>
                <w:spacing w:val="-2"/>
                <w:sz w:val="20"/>
              </w:rPr>
              <w:t>(yua)</w:t>
            </w:r>
          </w:p>
        </w:tc>
      </w:tr>
      <w:tr>
        <w:trPr>
          <w:trHeight w:val="344" w:hRule="atLeast"/>
        </w:trPr>
        <w:tc>
          <w:tcPr>
            <w:tcW w:w="612" w:type="dxa"/>
          </w:tcPr>
          <w:p>
            <w:pPr>
              <w:pStyle w:val="TableParagraph"/>
              <w:spacing w:line="224" w:lineRule="exact"/>
              <w:ind w:left="50"/>
              <w:rPr>
                <w:sz w:val="20"/>
              </w:rPr>
            </w:pPr>
            <w:r>
              <w:rPr>
                <w:spacing w:val="-4"/>
                <w:sz w:val="20"/>
              </w:rPr>
              <w:t>7055</w:t>
            </w:r>
          </w:p>
        </w:tc>
        <w:tc>
          <w:tcPr>
            <w:tcW w:w="3478" w:type="dxa"/>
          </w:tcPr>
          <w:p>
            <w:pPr>
              <w:pStyle w:val="TableParagraph"/>
              <w:spacing w:line="224" w:lineRule="exact"/>
              <w:ind w:left="158"/>
              <w:rPr>
                <w:sz w:val="20"/>
              </w:rPr>
            </w:pPr>
            <w:r>
              <w:rPr>
                <w:sz w:val="20"/>
              </w:rPr>
              <w:t>Wichita</w:t>
            </w:r>
            <w:r>
              <w:rPr>
                <w:spacing w:val="-7"/>
                <w:sz w:val="20"/>
              </w:rPr>
              <w:t> </w:t>
            </w:r>
            <w:r>
              <w:rPr>
                <w:spacing w:val="-2"/>
                <w:sz w:val="20"/>
              </w:rPr>
              <w:t>(wic)</w:t>
            </w:r>
          </w:p>
        </w:tc>
        <w:tc>
          <w:tcPr>
            <w:tcW w:w="1852" w:type="dxa"/>
          </w:tcPr>
          <w:p>
            <w:pPr>
              <w:pStyle w:val="TableParagraph"/>
              <w:spacing w:line="240" w:lineRule="auto"/>
              <w:rPr>
                <w:sz w:val="18"/>
              </w:rPr>
            </w:pPr>
          </w:p>
        </w:tc>
        <w:tc>
          <w:tcPr>
            <w:tcW w:w="2095" w:type="dxa"/>
          </w:tcPr>
          <w:p>
            <w:pPr>
              <w:pStyle w:val="TableParagraph"/>
              <w:spacing w:line="240" w:lineRule="auto"/>
              <w:rPr>
                <w:sz w:val="18"/>
              </w:rPr>
            </w:pPr>
          </w:p>
        </w:tc>
      </w:tr>
      <w:tr>
        <w:trPr>
          <w:trHeight w:val="340" w:hRule="atLeast"/>
        </w:trPr>
        <w:tc>
          <w:tcPr>
            <w:tcW w:w="612" w:type="dxa"/>
          </w:tcPr>
          <w:p>
            <w:pPr>
              <w:pStyle w:val="TableParagraph"/>
              <w:spacing w:before="111"/>
              <w:ind w:left="50"/>
              <w:rPr>
                <w:sz w:val="20"/>
              </w:rPr>
            </w:pPr>
            <w:r>
              <w:rPr>
                <w:spacing w:val="-4"/>
                <w:sz w:val="20"/>
              </w:rPr>
              <w:t>7059</w:t>
            </w:r>
          </w:p>
        </w:tc>
        <w:tc>
          <w:tcPr>
            <w:tcW w:w="3478" w:type="dxa"/>
          </w:tcPr>
          <w:p>
            <w:pPr>
              <w:pStyle w:val="TableParagraph"/>
              <w:spacing w:before="111"/>
              <w:ind w:left="158"/>
              <w:rPr>
                <w:sz w:val="20"/>
              </w:rPr>
            </w:pPr>
            <w:r>
              <w:rPr>
                <w:sz w:val="20"/>
              </w:rPr>
              <w:t>Zuni</w:t>
            </w:r>
            <w:r>
              <w:rPr>
                <w:spacing w:val="-9"/>
                <w:sz w:val="20"/>
              </w:rPr>
              <w:t> </w:t>
            </w:r>
            <w:r>
              <w:rPr>
                <w:spacing w:val="-2"/>
                <w:sz w:val="20"/>
              </w:rPr>
              <w:t>(zun)</w:t>
            </w:r>
          </w:p>
        </w:tc>
        <w:tc>
          <w:tcPr>
            <w:tcW w:w="1852" w:type="dxa"/>
          </w:tcPr>
          <w:p>
            <w:pPr>
              <w:pStyle w:val="TableParagraph"/>
              <w:spacing w:line="240" w:lineRule="auto"/>
              <w:rPr>
                <w:sz w:val="18"/>
              </w:rPr>
            </w:pPr>
          </w:p>
        </w:tc>
        <w:tc>
          <w:tcPr>
            <w:tcW w:w="2095" w:type="dxa"/>
          </w:tcPr>
          <w:p>
            <w:pPr>
              <w:pStyle w:val="TableParagraph"/>
              <w:spacing w:line="240" w:lineRule="auto"/>
              <w:rPr>
                <w:sz w:val="18"/>
              </w:rPr>
            </w:pPr>
          </w:p>
        </w:tc>
      </w:tr>
    </w:tbl>
    <w:p>
      <w:pPr>
        <w:spacing w:after="0" w:line="240" w:lineRule="auto"/>
        <w:rPr>
          <w:sz w:val="18"/>
        </w:rPr>
        <w:sectPr>
          <w:footerReference w:type="default" r:id="rId93"/>
          <w:pgSz w:w="12240" w:h="15840"/>
          <w:pgMar w:footer="0" w:header="0" w:top="1080" w:bottom="280" w:left="600" w:right="500"/>
        </w:sectPr>
      </w:pPr>
    </w:p>
    <w:p>
      <w:pPr>
        <w:tabs>
          <w:tab w:pos="1272" w:val="left" w:leader="none"/>
          <w:tab w:pos="5880" w:val="left" w:leader="none"/>
        </w:tabs>
        <w:spacing w:before="67"/>
        <w:ind w:left="552" w:right="0" w:firstLine="0"/>
        <w:jc w:val="left"/>
        <w:rPr>
          <w:rFonts w:ascii="Times New Roman"/>
          <w:i/>
          <w:sz w:val="20"/>
        </w:rPr>
      </w:pPr>
      <w:r>
        <w:rPr>
          <w:rFonts w:ascii="Times New Roman"/>
          <w:spacing w:val="-4"/>
          <w:sz w:val="20"/>
        </w:rPr>
        <w:t>7182</w:t>
      </w:r>
      <w:r>
        <w:rPr>
          <w:rFonts w:ascii="Times New Roman"/>
          <w:sz w:val="20"/>
        </w:rPr>
        <w:tab/>
        <w:t>Purepecha</w:t>
      </w:r>
      <w:r>
        <w:rPr>
          <w:rFonts w:ascii="Times New Roman"/>
          <w:spacing w:val="-11"/>
          <w:sz w:val="20"/>
        </w:rPr>
        <w:t> </w:t>
      </w:r>
      <w:r>
        <w:rPr>
          <w:rFonts w:ascii="Times New Roman"/>
          <w:spacing w:val="-2"/>
          <w:sz w:val="20"/>
        </w:rPr>
        <w:t>(tsz)</w:t>
      </w:r>
      <w:r>
        <w:rPr>
          <w:rFonts w:ascii="Times New Roman"/>
          <w:sz w:val="20"/>
        </w:rPr>
        <w:tab/>
      </w:r>
      <w:r>
        <w:rPr>
          <w:rFonts w:ascii="Times New Roman"/>
          <w:i/>
          <w:sz w:val="20"/>
          <w:u w:val="single"/>
        </w:rPr>
        <w:t>Other</w:t>
      </w:r>
      <w:r>
        <w:rPr>
          <w:rFonts w:ascii="Times New Roman"/>
          <w:i/>
          <w:spacing w:val="-7"/>
          <w:sz w:val="20"/>
          <w:u w:val="single"/>
        </w:rPr>
        <w:t> </w:t>
      </w:r>
      <w:r>
        <w:rPr>
          <w:rFonts w:ascii="Times New Roman"/>
          <w:i/>
          <w:sz w:val="20"/>
          <w:u w:val="single"/>
        </w:rPr>
        <w:t>and</w:t>
      </w:r>
      <w:r>
        <w:rPr>
          <w:rFonts w:ascii="Times New Roman"/>
          <w:i/>
          <w:spacing w:val="-5"/>
          <w:sz w:val="20"/>
          <w:u w:val="single"/>
        </w:rPr>
        <w:t> </w:t>
      </w:r>
      <w:r>
        <w:rPr>
          <w:rFonts w:ascii="Times New Roman"/>
          <w:i/>
          <w:sz w:val="20"/>
          <w:u w:val="single"/>
        </w:rPr>
        <w:t>unspecified</w:t>
      </w:r>
      <w:r>
        <w:rPr>
          <w:rFonts w:ascii="Times New Roman"/>
          <w:i/>
          <w:spacing w:val="-5"/>
          <w:sz w:val="20"/>
          <w:u w:val="single"/>
        </w:rPr>
        <w:t> </w:t>
      </w:r>
      <w:r>
        <w:rPr>
          <w:rFonts w:ascii="Times New Roman"/>
          <w:i/>
          <w:sz w:val="20"/>
          <w:u w:val="single"/>
        </w:rPr>
        <w:t>languages</w:t>
      </w:r>
      <w:r>
        <w:rPr>
          <w:rFonts w:ascii="Times New Roman"/>
          <w:i/>
          <w:spacing w:val="-7"/>
          <w:sz w:val="20"/>
          <w:u w:val="single"/>
        </w:rPr>
        <w:t> </w:t>
      </w:r>
      <w:r>
        <w:rPr>
          <w:rFonts w:ascii="Times New Roman"/>
          <w:i/>
          <w:sz w:val="20"/>
          <w:u w:val="single"/>
        </w:rPr>
        <w:t>(8000-</w:t>
      </w:r>
      <w:r>
        <w:rPr>
          <w:rFonts w:ascii="Times New Roman"/>
          <w:i/>
          <w:spacing w:val="-2"/>
          <w:sz w:val="20"/>
          <w:u w:val="single"/>
        </w:rPr>
        <w:t>9999)</w:t>
      </w: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spacing w:before="0"/>
        <w:ind w:left="0" w:right="2592" w:firstLine="0"/>
        <w:jc w:val="right"/>
        <w:rPr>
          <w:rFonts w:ascii="Times New Roman"/>
          <w:sz w:val="20"/>
        </w:rPr>
      </w:pPr>
      <w:r>
        <w:rPr/>
        <mc:AlternateContent>
          <mc:Choice Requires="wps">
            <w:drawing>
              <wp:anchor distT="0" distB="0" distL="0" distR="0" allowOverlap="1" layoutInCell="1" locked="0" behindDoc="0" simplePos="0" relativeHeight="15768064">
                <wp:simplePos x="0" y="0"/>
                <wp:positionH relativeFrom="page">
                  <wp:posOffset>661669</wp:posOffset>
                </wp:positionH>
                <wp:positionV relativeFrom="paragraph">
                  <wp:posOffset>-578097</wp:posOffset>
                </wp:positionV>
                <wp:extent cx="5139055" cy="786765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5139055" cy="78676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4077"/>
                              <w:gridCol w:w="1251"/>
                              <w:gridCol w:w="2031"/>
                            </w:tblGrid>
                            <w:tr>
                              <w:trPr>
                                <w:trHeight w:val="224" w:hRule="atLeast"/>
                              </w:trPr>
                              <w:tc>
                                <w:tcPr>
                                  <w:tcW w:w="612" w:type="dxa"/>
                                </w:tcPr>
                                <w:p>
                                  <w:pPr>
                                    <w:pStyle w:val="TableParagraph"/>
                                    <w:spacing w:line="204" w:lineRule="exact"/>
                                    <w:ind w:left="50"/>
                                    <w:rPr>
                                      <w:sz w:val="20"/>
                                    </w:rPr>
                                  </w:pPr>
                                  <w:r>
                                    <w:rPr>
                                      <w:spacing w:val="-4"/>
                                      <w:sz w:val="20"/>
                                    </w:rPr>
                                    <w:t>7185</w:t>
                                  </w:r>
                                </w:p>
                              </w:tc>
                              <w:tc>
                                <w:tcPr>
                                  <w:tcW w:w="4077" w:type="dxa"/>
                                </w:tcPr>
                                <w:p>
                                  <w:pPr>
                                    <w:pStyle w:val="TableParagraph"/>
                                    <w:spacing w:line="204" w:lineRule="exact"/>
                                    <w:ind w:left="158"/>
                                    <w:rPr>
                                      <w:sz w:val="20"/>
                                    </w:rPr>
                                  </w:pPr>
                                  <w:r>
                                    <w:rPr>
                                      <w:sz w:val="20"/>
                                    </w:rPr>
                                    <w:t>Huilliche</w:t>
                                  </w:r>
                                  <w:r>
                                    <w:rPr>
                                      <w:spacing w:val="-10"/>
                                      <w:sz w:val="20"/>
                                    </w:rPr>
                                    <w:t> </w:t>
                                  </w:r>
                                  <w:r>
                                    <w:rPr>
                                      <w:spacing w:val="-2"/>
                                      <w:sz w:val="20"/>
                                    </w:rPr>
                                    <w:t>(huh)</w:t>
                                  </w:r>
                                </w:p>
                              </w:tc>
                              <w:tc>
                                <w:tcPr>
                                  <w:tcW w:w="1251" w:type="dxa"/>
                                </w:tcPr>
                                <w:p>
                                  <w:pPr>
                                    <w:pStyle w:val="TableParagraph"/>
                                    <w:spacing w:line="204" w:lineRule="exact"/>
                                    <w:ind w:right="155"/>
                                    <w:jc w:val="right"/>
                                    <w:rPr>
                                      <w:sz w:val="20"/>
                                    </w:rPr>
                                  </w:pPr>
                                  <w:r>
                                    <w:rPr>
                                      <w:spacing w:val="-4"/>
                                      <w:sz w:val="20"/>
                                    </w:rPr>
                                    <w:t>8000</w:t>
                                  </w:r>
                                </w:p>
                              </w:tc>
                              <w:tc>
                                <w:tcPr>
                                  <w:tcW w:w="2031" w:type="dxa"/>
                                </w:tcPr>
                                <w:p>
                                  <w:pPr>
                                    <w:pStyle w:val="TableParagraph"/>
                                    <w:spacing w:line="204" w:lineRule="exact"/>
                                    <w:ind w:left="159"/>
                                    <w:rPr>
                                      <w:sz w:val="20"/>
                                    </w:rPr>
                                  </w:pPr>
                                  <w:r>
                                    <w:rPr>
                                      <w:sz w:val="20"/>
                                    </w:rPr>
                                    <w:t>Basque</w:t>
                                  </w:r>
                                  <w:r>
                                    <w:rPr>
                                      <w:spacing w:val="-7"/>
                                      <w:sz w:val="20"/>
                                    </w:rPr>
                                    <w:t> </w:t>
                                  </w:r>
                                  <w:r>
                                    <w:rPr>
                                      <w:spacing w:val="-2"/>
                                      <w:sz w:val="20"/>
                                    </w:rPr>
                                    <w:t>(eus)</w:t>
                                  </w:r>
                                </w:p>
                              </w:tc>
                            </w:tr>
                            <w:tr>
                              <w:trPr>
                                <w:trHeight w:val="229" w:hRule="atLeast"/>
                              </w:trPr>
                              <w:tc>
                                <w:tcPr>
                                  <w:tcW w:w="612" w:type="dxa"/>
                                </w:tcPr>
                                <w:p>
                                  <w:pPr>
                                    <w:pStyle w:val="TableParagraph"/>
                                    <w:spacing w:line="209" w:lineRule="exact"/>
                                    <w:ind w:left="50"/>
                                    <w:rPr>
                                      <w:sz w:val="20"/>
                                    </w:rPr>
                                  </w:pPr>
                                  <w:r>
                                    <w:rPr>
                                      <w:spacing w:val="-4"/>
                                      <w:sz w:val="20"/>
                                    </w:rPr>
                                    <w:t>7186</w:t>
                                  </w:r>
                                </w:p>
                              </w:tc>
                              <w:tc>
                                <w:tcPr>
                                  <w:tcW w:w="4077" w:type="dxa"/>
                                </w:tcPr>
                                <w:p>
                                  <w:pPr>
                                    <w:pStyle w:val="TableParagraph"/>
                                    <w:spacing w:line="209" w:lineRule="exact"/>
                                    <w:ind w:left="158"/>
                                    <w:rPr>
                                      <w:sz w:val="20"/>
                                    </w:rPr>
                                  </w:pPr>
                                  <w:r>
                                    <w:rPr>
                                      <w:spacing w:val="-2"/>
                                      <w:sz w:val="20"/>
                                    </w:rPr>
                                    <w:t>Mapudungun</w:t>
                                  </w:r>
                                  <w:r>
                                    <w:rPr>
                                      <w:spacing w:val="6"/>
                                      <w:sz w:val="20"/>
                                    </w:rPr>
                                    <w:t> </w:t>
                                  </w:r>
                                  <w:r>
                                    <w:rPr>
                                      <w:spacing w:val="-4"/>
                                      <w:sz w:val="20"/>
                                    </w:rPr>
                                    <w:t>(arn)</w:t>
                                  </w:r>
                                </w:p>
                              </w:tc>
                              <w:tc>
                                <w:tcPr>
                                  <w:tcW w:w="1251" w:type="dxa"/>
                                </w:tcPr>
                                <w:p>
                                  <w:pPr>
                                    <w:pStyle w:val="TableParagraph"/>
                                    <w:spacing w:line="209" w:lineRule="exact"/>
                                    <w:ind w:right="155"/>
                                    <w:jc w:val="right"/>
                                    <w:rPr>
                                      <w:sz w:val="20"/>
                                    </w:rPr>
                                  </w:pPr>
                                  <w:r>
                                    <w:rPr>
                                      <w:spacing w:val="-4"/>
                                      <w:sz w:val="20"/>
                                    </w:rPr>
                                    <w:t>8010</w:t>
                                  </w:r>
                                </w:p>
                              </w:tc>
                              <w:tc>
                                <w:tcPr>
                                  <w:tcW w:w="2031" w:type="dxa"/>
                                </w:tcPr>
                                <w:p>
                                  <w:pPr>
                                    <w:pStyle w:val="TableParagraph"/>
                                    <w:spacing w:line="209" w:lineRule="exact"/>
                                    <w:ind w:left="159"/>
                                    <w:rPr>
                                      <w:sz w:val="20"/>
                                    </w:rPr>
                                  </w:pPr>
                                  <w:r>
                                    <w:rPr>
                                      <w:sz w:val="20"/>
                                    </w:rPr>
                                    <w:t>Esperanto</w:t>
                                  </w:r>
                                  <w:r>
                                    <w:rPr>
                                      <w:spacing w:val="-7"/>
                                      <w:sz w:val="20"/>
                                    </w:rPr>
                                    <w:t> </w:t>
                                  </w:r>
                                  <w:r>
                                    <w:rPr>
                                      <w:spacing w:val="-2"/>
                                      <w:sz w:val="20"/>
                                    </w:rPr>
                                    <w:t>(epo)</w:t>
                                  </w:r>
                                </w:p>
                              </w:tc>
                            </w:tr>
                            <w:tr>
                              <w:trPr>
                                <w:trHeight w:val="230" w:hRule="atLeast"/>
                              </w:trPr>
                              <w:tc>
                                <w:tcPr>
                                  <w:tcW w:w="612" w:type="dxa"/>
                                </w:tcPr>
                                <w:p>
                                  <w:pPr>
                                    <w:pStyle w:val="TableParagraph"/>
                                    <w:ind w:left="50"/>
                                    <w:rPr>
                                      <w:sz w:val="20"/>
                                    </w:rPr>
                                  </w:pPr>
                                  <w:r>
                                    <w:rPr>
                                      <w:spacing w:val="-4"/>
                                      <w:sz w:val="20"/>
                                    </w:rPr>
                                    <w:t>7188</w:t>
                                  </w:r>
                                </w:p>
                              </w:tc>
                              <w:tc>
                                <w:tcPr>
                                  <w:tcW w:w="4077" w:type="dxa"/>
                                </w:tcPr>
                                <w:p>
                                  <w:pPr>
                                    <w:pStyle w:val="TableParagraph"/>
                                    <w:ind w:left="158"/>
                                    <w:rPr>
                                      <w:sz w:val="20"/>
                                    </w:rPr>
                                  </w:pPr>
                                  <w:r>
                                    <w:rPr>
                                      <w:sz w:val="20"/>
                                    </w:rPr>
                                    <w:t>Highland</w:t>
                                  </w:r>
                                  <w:r>
                                    <w:rPr>
                                      <w:spacing w:val="-7"/>
                                      <w:sz w:val="20"/>
                                    </w:rPr>
                                    <w:t> </w:t>
                                  </w:r>
                                  <w:r>
                                    <w:rPr>
                                      <w:sz w:val="20"/>
                                    </w:rPr>
                                    <w:t>Totonac</w:t>
                                  </w:r>
                                  <w:r>
                                    <w:rPr>
                                      <w:spacing w:val="-7"/>
                                      <w:sz w:val="20"/>
                                    </w:rPr>
                                    <w:t> </w:t>
                                  </w:r>
                                  <w:r>
                                    <w:rPr>
                                      <w:spacing w:val="-4"/>
                                      <w:sz w:val="20"/>
                                    </w:rPr>
                                    <w:t>(tos)</w:t>
                                  </w:r>
                                </w:p>
                              </w:tc>
                              <w:tc>
                                <w:tcPr>
                                  <w:tcW w:w="1251" w:type="dxa"/>
                                </w:tcPr>
                                <w:p>
                                  <w:pPr>
                                    <w:pStyle w:val="TableParagraph"/>
                                    <w:ind w:right="155"/>
                                    <w:jc w:val="right"/>
                                    <w:rPr>
                                      <w:sz w:val="20"/>
                                    </w:rPr>
                                  </w:pPr>
                                  <w:r>
                                    <w:rPr>
                                      <w:spacing w:val="-4"/>
                                      <w:sz w:val="20"/>
                                    </w:rPr>
                                    <w:t>8020</w:t>
                                  </w:r>
                                </w:p>
                              </w:tc>
                              <w:tc>
                                <w:tcPr>
                                  <w:tcW w:w="2031" w:type="dxa"/>
                                </w:tcPr>
                                <w:p>
                                  <w:pPr>
                                    <w:pStyle w:val="TableParagraph"/>
                                    <w:ind w:left="159"/>
                                    <w:rPr>
                                      <w:sz w:val="20"/>
                                    </w:rPr>
                                  </w:pPr>
                                  <w:r>
                                    <w:rPr>
                                      <w:sz w:val="20"/>
                                    </w:rPr>
                                    <w:t>Shelta</w:t>
                                  </w:r>
                                  <w:r>
                                    <w:rPr>
                                      <w:spacing w:val="-7"/>
                                      <w:sz w:val="20"/>
                                    </w:rPr>
                                    <w:t> </w:t>
                                  </w:r>
                                  <w:r>
                                    <w:rPr>
                                      <w:spacing w:val="-2"/>
                                      <w:sz w:val="20"/>
                                    </w:rPr>
                                    <w:t>(sth)</w:t>
                                  </w:r>
                                </w:p>
                              </w:tc>
                            </w:tr>
                            <w:tr>
                              <w:trPr>
                                <w:trHeight w:val="225" w:hRule="atLeast"/>
                              </w:trPr>
                              <w:tc>
                                <w:tcPr>
                                  <w:tcW w:w="612" w:type="dxa"/>
                                </w:tcPr>
                                <w:p>
                                  <w:pPr>
                                    <w:pStyle w:val="TableParagraph"/>
                                    <w:spacing w:line="240" w:lineRule="auto"/>
                                    <w:rPr>
                                      <w:sz w:val="16"/>
                                    </w:rPr>
                                  </w:pPr>
                                </w:p>
                              </w:tc>
                              <w:tc>
                                <w:tcPr>
                                  <w:tcW w:w="4077" w:type="dxa"/>
                                </w:tcPr>
                                <w:p>
                                  <w:pPr>
                                    <w:pStyle w:val="TableParagraph"/>
                                    <w:spacing w:line="240" w:lineRule="auto"/>
                                    <w:rPr>
                                      <w:sz w:val="16"/>
                                    </w:rPr>
                                  </w:pPr>
                                </w:p>
                              </w:tc>
                              <w:tc>
                                <w:tcPr>
                                  <w:tcW w:w="1251" w:type="dxa"/>
                                </w:tcPr>
                                <w:p>
                                  <w:pPr>
                                    <w:pStyle w:val="TableParagraph"/>
                                    <w:spacing w:line="205" w:lineRule="exact"/>
                                    <w:ind w:right="155"/>
                                    <w:jc w:val="right"/>
                                    <w:rPr>
                                      <w:sz w:val="20"/>
                                    </w:rPr>
                                  </w:pPr>
                                  <w:r>
                                    <w:rPr>
                                      <w:spacing w:val="-4"/>
                                      <w:sz w:val="20"/>
                                    </w:rPr>
                                    <w:t>8030</w:t>
                                  </w:r>
                                </w:p>
                              </w:tc>
                              <w:tc>
                                <w:tcPr>
                                  <w:tcW w:w="2031" w:type="dxa"/>
                                </w:tcPr>
                                <w:p>
                                  <w:pPr>
                                    <w:pStyle w:val="TableParagraph"/>
                                    <w:spacing w:line="205" w:lineRule="exact"/>
                                    <w:ind w:left="159"/>
                                    <w:rPr>
                                      <w:sz w:val="20"/>
                                    </w:rPr>
                                  </w:pPr>
                                  <w:r>
                                    <w:rPr>
                                      <w:sz w:val="20"/>
                                    </w:rPr>
                                    <w:t>Latin</w:t>
                                  </w:r>
                                  <w:r>
                                    <w:rPr>
                                      <w:spacing w:val="-6"/>
                                      <w:sz w:val="20"/>
                                    </w:rPr>
                                    <w:t> </w:t>
                                  </w:r>
                                  <w:r>
                                    <w:rPr>
                                      <w:spacing w:val="-2"/>
                                      <w:sz w:val="20"/>
                                    </w:rPr>
                                    <w:t>(lat)</w:t>
                                  </w:r>
                                </w:p>
                              </w:tc>
                            </w:tr>
                            <w:tr>
                              <w:trPr>
                                <w:trHeight w:val="465" w:hRule="atLeast"/>
                              </w:trPr>
                              <w:tc>
                                <w:tcPr>
                                  <w:tcW w:w="612" w:type="dxa"/>
                                </w:tcPr>
                                <w:p>
                                  <w:pPr>
                                    <w:pStyle w:val="TableParagraph"/>
                                    <w:spacing w:line="240" w:lineRule="auto"/>
                                    <w:ind w:left="50"/>
                                    <w:rPr>
                                      <w:i/>
                                      <w:sz w:val="20"/>
                                    </w:rPr>
                                  </w:pPr>
                                  <w:r>
                                    <w:rPr>
                                      <w:i/>
                                      <w:spacing w:val="-2"/>
                                      <w:sz w:val="20"/>
                                    </w:rPr>
                                    <w:t>Otoma</w:t>
                                  </w:r>
                                </w:p>
                                <w:p>
                                  <w:pPr>
                                    <w:pStyle w:val="TableParagraph"/>
                                    <w:spacing w:line="215" w:lineRule="exact" w:before="1"/>
                                    <w:ind w:left="50"/>
                                    <w:rPr>
                                      <w:sz w:val="20"/>
                                    </w:rPr>
                                  </w:pPr>
                                  <w:r>
                                    <w:rPr>
                                      <w:spacing w:val="-4"/>
                                      <w:sz w:val="20"/>
                                    </w:rPr>
                                    <w:t>7200</w:t>
                                  </w:r>
                                </w:p>
                              </w:tc>
                              <w:tc>
                                <w:tcPr>
                                  <w:tcW w:w="4077" w:type="dxa"/>
                                </w:tcPr>
                                <w:p>
                                  <w:pPr>
                                    <w:pStyle w:val="TableParagraph"/>
                                    <w:spacing w:line="240" w:lineRule="auto"/>
                                    <w:ind w:left="-18"/>
                                    <w:rPr>
                                      <w:i/>
                                      <w:sz w:val="20"/>
                                    </w:rPr>
                                  </w:pPr>
                                  <w:r>
                                    <w:rPr>
                                      <w:i/>
                                      <w:sz w:val="20"/>
                                    </w:rPr>
                                    <w:t>nguean</w:t>
                                  </w:r>
                                  <w:r>
                                    <w:rPr>
                                      <w:i/>
                                      <w:spacing w:val="-8"/>
                                      <w:sz w:val="20"/>
                                    </w:rPr>
                                    <w:t> </w:t>
                                  </w:r>
                                  <w:r>
                                    <w:rPr>
                                      <w:i/>
                                      <w:sz w:val="20"/>
                                    </w:rPr>
                                    <w:t>languages</w:t>
                                  </w:r>
                                  <w:r>
                                    <w:rPr>
                                      <w:i/>
                                      <w:spacing w:val="-10"/>
                                      <w:sz w:val="20"/>
                                    </w:rPr>
                                    <w:t> </w:t>
                                  </w:r>
                                  <w:r>
                                    <w:rPr>
                                      <w:i/>
                                      <w:sz w:val="20"/>
                                    </w:rPr>
                                    <w:t>(7200-</w:t>
                                  </w:r>
                                  <w:r>
                                    <w:rPr>
                                      <w:i/>
                                      <w:spacing w:val="-2"/>
                                      <w:sz w:val="20"/>
                                    </w:rPr>
                                    <w:t>7399)</w:t>
                                  </w:r>
                                </w:p>
                                <w:p>
                                  <w:pPr>
                                    <w:pStyle w:val="TableParagraph"/>
                                    <w:spacing w:line="215" w:lineRule="exact" w:before="1"/>
                                    <w:ind w:left="158"/>
                                    <w:rPr>
                                      <w:sz w:val="20"/>
                                    </w:rPr>
                                  </w:pPr>
                                  <w:r>
                                    <w:rPr>
                                      <w:sz w:val="20"/>
                                    </w:rPr>
                                    <w:t>Guerrero</w:t>
                                  </w:r>
                                  <w:r>
                                    <w:rPr>
                                      <w:spacing w:val="-8"/>
                                      <w:sz w:val="20"/>
                                    </w:rPr>
                                    <w:t> </w:t>
                                  </w:r>
                                  <w:r>
                                    <w:rPr>
                                      <w:sz w:val="20"/>
                                    </w:rPr>
                                    <w:t>Amuzgo</w:t>
                                  </w:r>
                                  <w:r>
                                    <w:rPr>
                                      <w:spacing w:val="-8"/>
                                      <w:sz w:val="20"/>
                                    </w:rPr>
                                    <w:t> </w:t>
                                  </w:r>
                                  <w:r>
                                    <w:rPr>
                                      <w:spacing w:val="-4"/>
                                      <w:sz w:val="20"/>
                                    </w:rPr>
                                    <w:t>(amu)</w:t>
                                  </w:r>
                                </w:p>
                              </w:tc>
                              <w:tc>
                                <w:tcPr>
                                  <w:tcW w:w="1251" w:type="dxa"/>
                                </w:tcPr>
                                <w:p>
                                  <w:pPr>
                                    <w:pStyle w:val="TableParagraph"/>
                                    <w:spacing w:line="240" w:lineRule="auto"/>
                                    <w:ind w:left="690"/>
                                    <w:rPr>
                                      <w:sz w:val="20"/>
                                    </w:rPr>
                                  </w:pPr>
                                  <w:r>
                                    <w:rPr>
                                      <w:spacing w:val="-4"/>
                                      <w:sz w:val="20"/>
                                    </w:rPr>
                                    <w:t>8050</w:t>
                                  </w:r>
                                </w:p>
                                <w:p>
                                  <w:pPr>
                                    <w:pStyle w:val="TableParagraph"/>
                                    <w:spacing w:line="215" w:lineRule="exact" w:before="1"/>
                                    <w:ind w:left="690"/>
                                    <w:rPr>
                                      <w:sz w:val="20"/>
                                    </w:rPr>
                                  </w:pPr>
                                  <w:r>
                                    <w:rPr>
                                      <w:spacing w:val="-4"/>
                                      <w:sz w:val="20"/>
                                    </w:rPr>
                                    <w:t>8055</w:t>
                                  </w:r>
                                </w:p>
                              </w:tc>
                              <w:tc>
                                <w:tcPr>
                                  <w:tcW w:w="2031" w:type="dxa"/>
                                </w:tcPr>
                                <w:p>
                                  <w:pPr>
                                    <w:pStyle w:val="TableParagraph"/>
                                    <w:spacing w:line="230" w:lineRule="atLeast"/>
                                    <w:ind w:left="159" w:right="-29"/>
                                    <w:rPr>
                                      <w:sz w:val="20"/>
                                    </w:rPr>
                                  </w:pPr>
                                  <w:r>
                                    <w:rPr>
                                      <w:sz w:val="20"/>
                                    </w:rPr>
                                    <w:t>American</w:t>
                                  </w:r>
                                  <w:r>
                                    <w:rPr>
                                      <w:spacing w:val="-13"/>
                                      <w:sz w:val="20"/>
                                    </w:rPr>
                                    <w:t> </w:t>
                                  </w:r>
                                  <w:r>
                                    <w:rPr>
                                      <w:sz w:val="20"/>
                                    </w:rPr>
                                    <w:t>Indian</w:t>
                                  </w:r>
                                  <w:r>
                                    <w:rPr>
                                      <w:spacing w:val="-12"/>
                                      <w:sz w:val="20"/>
                                    </w:rPr>
                                    <w:t> </w:t>
                                  </w:r>
                                  <w:r>
                                    <w:rPr>
                                      <w:sz w:val="20"/>
                                    </w:rPr>
                                    <w:t>N.E.C Caribbean N.E.C.</w:t>
                                  </w:r>
                                </w:p>
                              </w:tc>
                            </w:tr>
                            <w:tr>
                              <w:trPr>
                                <w:trHeight w:val="229" w:hRule="atLeast"/>
                              </w:trPr>
                              <w:tc>
                                <w:tcPr>
                                  <w:tcW w:w="612" w:type="dxa"/>
                                </w:tcPr>
                                <w:p>
                                  <w:pPr>
                                    <w:pStyle w:val="TableParagraph"/>
                                    <w:spacing w:line="209" w:lineRule="exact"/>
                                    <w:ind w:left="50"/>
                                    <w:rPr>
                                      <w:sz w:val="20"/>
                                    </w:rPr>
                                  </w:pPr>
                                  <w:r>
                                    <w:rPr>
                                      <w:spacing w:val="-4"/>
                                      <w:sz w:val="20"/>
                                    </w:rPr>
                                    <w:t>7210</w:t>
                                  </w:r>
                                </w:p>
                              </w:tc>
                              <w:tc>
                                <w:tcPr>
                                  <w:tcW w:w="4077" w:type="dxa"/>
                                </w:tcPr>
                                <w:p>
                                  <w:pPr>
                                    <w:pStyle w:val="TableParagraph"/>
                                    <w:spacing w:line="209" w:lineRule="exact"/>
                                    <w:ind w:left="158"/>
                                    <w:rPr>
                                      <w:sz w:val="20"/>
                                    </w:rPr>
                                  </w:pPr>
                                  <w:r>
                                    <w:rPr>
                                      <w:sz w:val="20"/>
                                    </w:rPr>
                                    <w:t>Copala</w:t>
                                  </w:r>
                                  <w:r>
                                    <w:rPr>
                                      <w:spacing w:val="-6"/>
                                      <w:sz w:val="20"/>
                                    </w:rPr>
                                    <w:t> </w:t>
                                  </w:r>
                                  <w:r>
                                    <w:rPr>
                                      <w:sz w:val="20"/>
                                    </w:rPr>
                                    <w:t>Triqui</w:t>
                                  </w:r>
                                  <w:r>
                                    <w:rPr>
                                      <w:spacing w:val="-7"/>
                                      <w:sz w:val="20"/>
                                    </w:rPr>
                                    <w:t> </w:t>
                                  </w:r>
                                  <w:r>
                                    <w:rPr>
                                      <w:spacing w:val="-2"/>
                                      <w:sz w:val="20"/>
                                    </w:rPr>
                                    <w:t>(trc)</w:t>
                                  </w:r>
                                </w:p>
                              </w:tc>
                              <w:tc>
                                <w:tcPr>
                                  <w:tcW w:w="1251" w:type="dxa"/>
                                </w:tcPr>
                                <w:p>
                                  <w:pPr>
                                    <w:pStyle w:val="TableParagraph"/>
                                    <w:spacing w:line="209" w:lineRule="exact"/>
                                    <w:ind w:right="155"/>
                                    <w:jc w:val="right"/>
                                    <w:rPr>
                                      <w:sz w:val="20"/>
                                    </w:rPr>
                                  </w:pPr>
                                  <w:r>
                                    <w:rPr>
                                      <w:spacing w:val="-4"/>
                                      <w:sz w:val="20"/>
                                    </w:rPr>
                                    <w:t>8060</w:t>
                                  </w:r>
                                </w:p>
                              </w:tc>
                              <w:tc>
                                <w:tcPr>
                                  <w:tcW w:w="2031" w:type="dxa"/>
                                </w:tcPr>
                                <w:p>
                                  <w:pPr>
                                    <w:pStyle w:val="TableParagraph"/>
                                    <w:spacing w:line="209" w:lineRule="exact"/>
                                    <w:ind w:left="159"/>
                                    <w:rPr>
                                      <w:sz w:val="20"/>
                                    </w:rPr>
                                  </w:pPr>
                                  <w:r>
                                    <w:rPr>
                                      <w:sz w:val="20"/>
                                    </w:rPr>
                                    <w:t>Eastern</w:t>
                                  </w:r>
                                  <w:r>
                                    <w:rPr>
                                      <w:spacing w:val="-7"/>
                                      <w:sz w:val="20"/>
                                    </w:rPr>
                                    <w:t> </w:t>
                                  </w:r>
                                  <w:r>
                                    <w:rPr>
                                      <w:sz w:val="20"/>
                                    </w:rPr>
                                    <w:t>Europe</w:t>
                                  </w:r>
                                  <w:r>
                                    <w:rPr>
                                      <w:spacing w:val="-6"/>
                                      <w:sz w:val="20"/>
                                    </w:rPr>
                                    <w:t> </w:t>
                                  </w:r>
                                  <w:r>
                                    <w:rPr>
                                      <w:spacing w:val="-2"/>
                                      <w:sz w:val="20"/>
                                    </w:rPr>
                                    <w:t>N.E.C.</w:t>
                                  </w:r>
                                </w:p>
                              </w:tc>
                            </w:tr>
                            <w:tr>
                              <w:trPr>
                                <w:trHeight w:val="229" w:hRule="atLeast"/>
                              </w:trPr>
                              <w:tc>
                                <w:tcPr>
                                  <w:tcW w:w="612" w:type="dxa"/>
                                </w:tcPr>
                                <w:p>
                                  <w:pPr>
                                    <w:pStyle w:val="TableParagraph"/>
                                    <w:spacing w:line="209" w:lineRule="exact"/>
                                    <w:ind w:left="50"/>
                                    <w:rPr>
                                      <w:sz w:val="20"/>
                                    </w:rPr>
                                  </w:pPr>
                                  <w:r>
                                    <w:rPr>
                                      <w:spacing w:val="-4"/>
                                      <w:sz w:val="20"/>
                                    </w:rPr>
                                    <w:t>7220</w:t>
                                  </w:r>
                                </w:p>
                              </w:tc>
                              <w:tc>
                                <w:tcPr>
                                  <w:tcW w:w="4077" w:type="dxa"/>
                                </w:tcPr>
                                <w:p>
                                  <w:pPr>
                                    <w:pStyle w:val="TableParagraph"/>
                                    <w:spacing w:line="209" w:lineRule="exact"/>
                                    <w:ind w:left="158"/>
                                    <w:rPr>
                                      <w:sz w:val="20"/>
                                    </w:rPr>
                                  </w:pPr>
                                  <w:r>
                                    <w:rPr>
                                      <w:sz w:val="20"/>
                                    </w:rPr>
                                    <w:t>Alacatlatzala</w:t>
                                  </w:r>
                                  <w:r>
                                    <w:rPr>
                                      <w:spacing w:val="-9"/>
                                      <w:sz w:val="20"/>
                                    </w:rPr>
                                    <w:t> </w:t>
                                  </w:r>
                                  <w:r>
                                    <w:rPr>
                                      <w:sz w:val="20"/>
                                    </w:rPr>
                                    <w:t>Mixtec</w:t>
                                  </w:r>
                                  <w:r>
                                    <w:rPr>
                                      <w:spacing w:val="-9"/>
                                      <w:sz w:val="20"/>
                                    </w:rPr>
                                    <w:t> </w:t>
                                  </w:r>
                                  <w:r>
                                    <w:rPr>
                                      <w:spacing w:val="-4"/>
                                      <w:sz w:val="20"/>
                                    </w:rPr>
                                    <w:t>(mim)</w:t>
                                  </w:r>
                                </w:p>
                              </w:tc>
                              <w:tc>
                                <w:tcPr>
                                  <w:tcW w:w="1251" w:type="dxa"/>
                                </w:tcPr>
                                <w:p>
                                  <w:pPr>
                                    <w:pStyle w:val="TableParagraph"/>
                                    <w:spacing w:line="209" w:lineRule="exact"/>
                                    <w:ind w:right="155"/>
                                    <w:jc w:val="right"/>
                                    <w:rPr>
                                      <w:sz w:val="20"/>
                                    </w:rPr>
                                  </w:pPr>
                                  <w:r>
                                    <w:rPr>
                                      <w:spacing w:val="-4"/>
                                      <w:sz w:val="20"/>
                                    </w:rPr>
                                    <w:t>8061</w:t>
                                  </w:r>
                                </w:p>
                              </w:tc>
                              <w:tc>
                                <w:tcPr>
                                  <w:tcW w:w="2031" w:type="dxa"/>
                                </w:tcPr>
                                <w:p>
                                  <w:pPr>
                                    <w:pStyle w:val="TableParagraph"/>
                                    <w:spacing w:line="209" w:lineRule="exact"/>
                                    <w:ind w:left="159"/>
                                    <w:rPr>
                                      <w:sz w:val="20"/>
                                    </w:rPr>
                                  </w:pPr>
                                  <w:r>
                                    <w:rPr>
                                      <w:sz w:val="20"/>
                                    </w:rPr>
                                    <w:t>Europe</w:t>
                                  </w:r>
                                  <w:r>
                                    <w:rPr>
                                      <w:spacing w:val="-6"/>
                                      <w:sz w:val="20"/>
                                    </w:rPr>
                                    <w:t> </w:t>
                                  </w:r>
                                  <w:r>
                                    <w:rPr>
                                      <w:spacing w:val="-2"/>
                                      <w:sz w:val="20"/>
                                    </w:rPr>
                                    <w:t>N.E.C.</w:t>
                                  </w:r>
                                </w:p>
                              </w:tc>
                            </w:tr>
                            <w:tr>
                              <w:trPr>
                                <w:trHeight w:val="230" w:hRule="atLeast"/>
                              </w:trPr>
                              <w:tc>
                                <w:tcPr>
                                  <w:tcW w:w="612" w:type="dxa"/>
                                </w:tcPr>
                                <w:p>
                                  <w:pPr>
                                    <w:pStyle w:val="TableParagraph"/>
                                    <w:ind w:left="50"/>
                                    <w:rPr>
                                      <w:sz w:val="20"/>
                                    </w:rPr>
                                  </w:pPr>
                                  <w:r>
                                    <w:rPr>
                                      <w:spacing w:val="-4"/>
                                      <w:sz w:val="20"/>
                                    </w:rPr>
                                    <w:t>7230</w:t>
                                  </w:r>
                                </w:p>
                              </w:tc>
                              <w:tc>
                                <w:tcPr>
                                  <w:tcW w:w="4077" w:type="dxa"/>
                                </w:tcPr>
                                <w:p>
                                  <w:pPr>
                                    <w:pStyle w:val="TableParagraph"/>
                                    <w:ind w:left="158"/>
                                    <w:rPr>
                                      <w:sz w:val="20"/>
                                    </w:rPr>
                                  </w:pPr>
                                  <w:r>
                                    <w:rPr>
                                      <w:sz w:val="20"/>
                                    </w:rPr>
                                    <w:t>Mixtepec</w:t>
                                  </w:r>
                                  <w:r>
                                    <w:rPr>
                                      <w:spacing w:val="-7"/>
                                      <w:sz w:val="20"/>
                                    </w:rPr>
                                    <w:t> </w:t>
                                  </w:r>
                                  <w:r>
                                    <w:rPr>
                                      <w:sz w:val="20"/>
                                    </w:rPr>
                                    <w:t>Mixtec</w:t>
                                  </w:r>
                                  <w:r>
                                    <w:rPr>
                                      <w:spacing w:val="-6"/>
                                      <w:sz w:val="20"/>
                                    </w:rPr>
                                    <w:t> </w:t>
                                  </w:r>
                                  <w:r>
                                    <w:rPr>
                                      <w:spacing w:val="-4"/>
                                      <w:sz w:val="20"/>
                                    </w:rPr>
                                    <w:t>(mix)</w:t>
                                  </w:r>
                                </w:p>
                              </w:tc>
                              <w:tc>
                                <w:tcPr>
                                  <w:tcW w:w="1251" w:type="dxa"/>
                                </w:tcPr>
                                <w:p>
                                  <w:pPr>
                                    <w:pStyle w:val="TableParagraph"/>
                                    <w:ind w:right="155"/>
                                    <w:jc w:val="right"/>
                                    <w:rPr>
                                      <w:sz w:val="20"/>
                                    </w:rPr>
                                  </w:pPr>
                                  <w:r>
                                    <w:rPr>
                                      <w:spacing w:val="-4"/>
                                      <w:sz w:val="20"/>
                                    </w:rPr>
                                    <w:t>8089</w:t>
                                  </w:r>
                                </w:p>
                              </w:tc>
                              <w:tc>
                                <w:tcPr>
                                  <w:tcW w:w="2031" w:type="dxa"/>
                                </w:tcPr>
                                <w:p>
                                  <w:pPr>
                                    <w:pStyle w:val="TableParagraph"/>
                                    <w:ind w:left="159"/>
                                    <w:rPr>
                                      <w:sz w:val="20"/>
                                    </w:rPr>
                                  </w:pPr>
                                  <w:r>
                                    <w:rPr>
                                      <w:sz w:val="20"/>
                                    </w:rPr>
                                    <w:t>Specified</w:t>
                                  </w:r>
                                  <w:r>
                                    <w:rPr>
                                      <w:spacing w:val="-6"/>
                                      <w:sz w:val="20"/>
                                    </w:rPr>
                                    <w:t> </w:t>
                                  </w:r>
                                  <w:r>
                                    <w:rPr>
                                      <w:sz w:val="20"/>
                                    </w:rPr>
                                    <w:t>not</w:t>
                                  </w:r>
                                  <w:r>
                                    <w:rPr>
                                      <w:spacing w:val="-8"/>
                                      <w:sz w:val="20"/>
                                    </w:rPr>
                                    <w:t> </w:t>
                                  </w:r>
                                  <w:r>
                                    <w:rPr>
                                      <w:spacing w:val="-2"/>
                                      <w:sz w:val="20"/>
                                    </w:rPr>
                                    <w:t>listed</w:t>
                                  </w:r>
                                </w:p>
                              </w:tc>
                            </w:tr>
                            <w:tr>
                              <w:trPr>
                                <w:trHeight w:val="230" w:hRule="atLeast"/>
                              </w:trPr>
                              <w:tc>
                                <w:tcPr>
                                  <w:tcW w:w="612" w:type="dxa"/>
                                </w:tcPr>
                                <w:p>
                                  <w:pPr>
                                    <w:pStyle w:val="TableParagraph"/>
                                    <w:ind w:left="50"/>
                                    <w:rPr>
                                      <w:sz w:val="20"/>
                                    </w:rPr>
                                  </w:pPr>
                                  <w:r>
                                    <w:rPr>
                                      <w:spacing w:val="-4"/>
                                      <w:sz w:val="20"/>
                                    </w:rPr>
                                    <w:t>7240</w:t>
                                  </w:r>
                                </w:p>
                              </w:tc>
                              <w:tc>
                                <w:tcPr>
                                  <w:tcW w:w="4077" w:type="dxa"/>
                                </w:tcPr>
                                <w:p>
                                  <w:pPr>
                                    <w:pStyle w:val="TableParagraph"/>
                                    <w:ind w:left="158"/>
                                    <w:rPr>
                                      <w:sz w:val="20"/>
                                    </w:rPr>
                                  </w:pPr>
                                  <w:r>
                                    <w:rPr>
                                      <w:sz w:val="20"/>
                                    </w:rPr>
                                    <w:t>Silacayoapan</w:t>
                                  </w:r>
                                  <w:r>
                                    <w:rPr>
                                      <w:spacing w:val="-10"/>
                                      <w:sz w:val="20"/>
                                    </w:rPr>
                                    <w:t> </w:t>
                                  </w:r>
                                  <w:r>
                                    <w:rPr>
                                      <w:sz w:val="20"/>
                                    </w:rPr>
                                    <w:t>Mixtec</w:t>
                                  </w:r>
                                  <w:r>
                                    <w:rPr>
                                      <w:spacing w:val="-9"/>
                                      <w:sz w:val="20"/>
                                    </w:rPr>
                                    <w:t> </w:t>
                                  </w:r>
                                  <w:r>
                                    <w:rPr>
                                      <w:spacing w:val="-4"/>
                                      <w:sz w:val="20"/>
                                    </w:rPr>
                                    <w:t>(mks)</w:t>
                                  </w:r>
                                </w:p>
                              </w:tc>
                              <w:tc>
                                <w:tcPr>
                                  <w:tcW w:w="1251" w:type="dxa"/>
                                </w:tcPr>
                                <w:p>
                                  <w:pPr>
                                    <w:pStyle w:val="TableParagraph"/>
                                    <w:ind w:right="155"/>
                                    <w:jc w:val="right"/>
                                    <w:rPr>
                                      <w:sz w:val="20"/>
                                    </w:rPr>
                                  </w:pPr>
                                  <w:r>
                                    <w:rPr>
                                      <w:spacing w:val="-4"/>
                                      <w:sz w:val="20"/>
                                    </w:rPr>
                                    <w:t>9999</w:t>
                                  </w:r>
                                </w:p>
                              </w:tc>
                              <w:tc>
                                <w:tcPr>
                                  <w:tcW w:w="2031" w:type="dxa"/>
                                </w:tcPr>
                                <w:p>
                                  <w:pPr>
                                    <w:pStyle w:val="TableParagraph"/>
                                    <w:ind w:left="159"/>
                                    <w:rPr>
                                      <w:sz w:val="20"/>
                                    </w:rPr>
                                  </w:pPr>
                                  <w:r>
                                    <w:rPr>
                                      <w:spacing w:val="-2"/>
                                      <w:sz w:val="20"/>
                                    </w:rPr>
                                    <w:t>Unspecified</w:t>
                                  </w:r>
                                </w:p>
                              </w:tc>
                            </w:tr>
                            <w:tr>
                              <w:trPr>
                                <w:trHeight w:val="230" w:hRule="atLeast"/>
                              </w:trPr>
                              <w:tc>
                                <w:tcPr>
                                  <w:tcW w:w="612" w:type="dxa"/>
                                </w:tcPr>
                                <w:p>
                                  <w:pPr>
                                    <w:pStyle w:val="TableParagraph"/>
                                    <w:ind w:left="50"/>
                                    <w:rPr>
                                      <w:sz w:val="20"/>
                                    </w:rPr>
                                  </w:pPr>
                                  <w:r>
                                    <w:rPr>
                                      <w:spacing w:val="-4"/>
                                      <w:sz w:val="20"/>
                                    </w:rPr>
                                    <w:t>7250</w:t>
                                  </w:r>
                                </w:p>
                              </w:tc>
                              <w:tc>
                                <w:tcPr>
                                  <w:tcW w:w="4077" w:type="dxa"/>
                                </w:tcPr>
                                <w:p>
                                  <w:pPr>
                                    <w:pStyle w:val="TableParagraph"/>
                                    <w:ind w:left="158"/>
                                    <w:rPr>
                                      <w:sz w:val="20"/>
                                    </w:rPr>
                                  </w:pPr>
                                  <w:r>
                                    <w:rPr>
                                      <w:sz w:val="20"/>
                                    </w:rPr>
                                    <w:t>Mixtec</w:t>
                                  </w:r>
                                  <w:r>
                                    <w:rPr>
                                      <w:spacing w:val="-7"/>
                                      <w:sz w:val="20"/>
                                    </w:rPr>
                                    <w:t> </w:t>
                                  </w:r>
                                  <w:r>
                                    <w:rPr>
                                      <w:spacing w:val="-2"/>
                                      <w:sz w:val="20"/>
                                    </w:rPr>
                                    <w:t>N.E.C.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7260</w:t>
                                  </w:r>
                                </w:p>
                              </w:tc>
                              <w:tc>
                                <w:tcPr>
                                  <w:tcW w:w="4077" w:type="dxa"/>
                                </w:tcPr>
                                <w:p>
                                  <w:pPr>
                                    <w:pStyle w:val="TableParagraph"/>
                                    <w:ind w:left="158"/>
                                    <w:rPr>
                                      <w:sz w:val="20"/>
                                    </w:rPr>
                                  </w:pPr>
                                  <w:r>
                                    <w:rPr>
                                      <w:sz w:val="20"/>
                                    </w:rPr>
                                    <w:t>Tepeuxila</w:t>
                                  </w:r>
                                  <w:r>
                                    <w:rPr>
                                      <w:spacing w:val="-8"/>
                                      <w:sz w:val="20"/>
                                    </w:rPr>
                                    <w:t> </w:t>
                                  </w:r>
                                  <w:r>
                                    <w:rPr>
                                      <w:sz w:val="20"/>
                                    </w:rPr>
                                    <w:t>Cuicatec</w:t>
                                  </w:r>
                                  <w:r>
                                    <w:rPr>
                                      <w:spacing w:val="-8"/>
                                      <w:sz w:val="20"/>
                                    </w:rPr>
                                    <w:t> </w:t>
                                  </w:r>
                                  <w:r>
                                    <w:rPr>
                                      <w:spacing w:val="-4"/>
                                      <w:sz w:val="20"/>
                                    </w:rPr>
                                    <w:t>(cux)</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7270</w:t>
                                  </w:r>
                                </w:p>
                              </w:tc>
                              <w:tc>
                                <w:tcPr>
                                  <w:tcW w:w="4077" w:type="dxa"/>
                                </w:tcPr>
                                <w:p>
                                  <w:pPr>
                                    <w:pStyle w:val="TableParagraph"/>
                                    <w:spacing w:line="209" w:lineRule="exact"/>
                                    <w:ind w:left="158"/>
                                    <w:rPr>
                                      <w:sz w:val="20"/>
                                    </w:rPr>
                                  </w:pPr>
                                  <w:r>
                                    <w:rPr>
                                      <w:sz w:val="20"/>
                                    </w:rPr>
                                    <w:t>Huautla</w:t>
                                  </w:r>
                                  <w:r>
                                    <w:rPr>
                                      <w:spacing w:val="-8"/>
                                      <w:sz w:val="20"/>
                                    </w:rPr>
                                    <w:t> </w:t>
                                  </w:r>
                                  <w:r>
                                    <w:rPr>
                                      <w:sz w:val="20"/>
                                    </w:rPr>
                                    <w:t>Mazatec</w:t>
                                  </w:r>
                                  <w:r>
                                    <w:rPr>
                                      <w:spacing w:val="-7"/>
                                      <w:sz w:val="20"/>
                                    </w:rPr>
                                    <w:t> </w:t>
                                  </w:r>
                                  <w:r>
                                    <w:rPr>
                                      <w:spacing w:val="-4"/>
                                      <w:sz w:val="20"/>
                                    </w:rPr>
                                    <w:t>(mau)</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7280</w:t>
                                  </w:r>
                                </w:p>
                              </w:tc>
                              <w:tc>
                                <w:tcPr>
                                  <w:tcW w:w="4077" w:type="dxa"/>
                                </w:tcPr>
                                <w:p>
                                  <w:pPr>
                                    <w:pStyle w:val="TableParagraph"/>
                                    <w:spacing w:line="209" w:lineRule="exact"/>
                                    <w:ind w:left="158"/>
                                    <w:rPr>
                                      <w:sz w:val="20"/>
                                    </w:rPr>
                                  </w:pPr>
                                  <w:r>
                                    <w:rPr>
                                      <w:sz w:val="20"/>
                                    </w:rPr>
                                    <w:t>Ixcatec</w:t>
                                  </w:r>
                                  <w:r>
                                    <w:rPr>
                                      <w:spacing w:val="-8"/>
                                      <w:sz w:val="20"/>
                                    </w:rPr>
                                    <w:t> </w:t>
                                  </w:r>
                                  <w:r>
                                    <w:rPr>
                                      <w:spacing w:val="-2"/>
                                      <w:sz w:val="20"/>
                                    </w:rPr>
                                    <w:t>(ixc)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7290</w:t>
                                  </w:r>
                                </w:p>
                              </w:tc>
                              <w:tc>
                                <w:tcPr>
                                  <w:tcW w:w="4077" w:type="dxa"/>
                                </w:tcPr>
                                <w:p>
                                  <w:pPr>
                                    <w:pStyle w:val="TableParagraph"/>
                                    <w:ind w:left="158"/>
                                    <w:rPr>
                                      <w:sz w:val="20"/>
                                    </w:rPr>
                                  </w:pPr>
                                  <w:r>
                                    <w:rPr>
                                      <w:sz w:val="20"/>
                                    </w:rPr>
                                    <w:t>San</w:t>
                                  </w:r>
                                  <w:r>
                                    <w:rPr>
                                      <w:spacing w:val="-7"/>
                                      <w:sz w:val="20"/>
                                    </w:rPr>
                                    <w:t> </w:t>
                                  </w:r>
                                  <w:r>
                                    <w:rPr>
                                      <w:sz w:val="20"/>
                                    </w:rPr>
                                    <w:t>Juan</w:t>
                                  </w:r>
                                  <w:r>
                                    <w:rPr>
                                      <w:spacing w:val="-4"/>
                                      <w:sz w:val="20"/>
                                    </w:rPr>
                                    <w:t> </w:t>
                                  </w:r>
                                  <w:r>
                                    <w:rPr>
                                      <w:sz w:val="20"/>
                                    </w:rPr>
                                    <w:t>Atzingo</w:t>
                                  </w:r>
                                  <w:r>
                                    <w:rPr>
                                      <w:spacing w:val="-4"/>
                                      <w:sz w:val="20"/>
                                    </w:rPr>
                                    <w:t> </w:t>
                                  </w:r>
                                  <w:r>
                                    <w:rPr>
                                      <w:sz w:val="20"/>
                                    </w:rPr>
                                    <w:t>Popoloca</w:t>
                                  </w:r>
                                  <w:r>
                                    <w:rPr>
                                      <w:spacing w:val="-5"/>
                                      <w:sz w:val="20"/>
                                    </w:rPr>
                                    <w:t> </w:t>
                                  </w:r>
                                  <w:r>
                                    <w:rPr>
                                      <w:spacing w:val="-2"/>
                                      <w:sz w:val="20"/>
                                    </w:rPr>
                                    <w:t>(poe)</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7300</w:t>
                                  </w:r>
                                </w:p>
                              </w:tc>
                              <w:tc>
                                <w:tcPr>
                                  <w:tcW w:w="4077" w:type="dxa"/>
                                </w:tcPr>
                                <w:p>
                                  <w:pPr>
                                    <w:pStyle w:val="TableParagraph"/>
                                    <w:spacing w:line="211" w:lineRule="exact"/>
                                    <w:ind w:left="158"/>
                                    <w:rPr>
                                      <w:sz w:val="20"/>
                                    </w:rPr>
                                  </w:pPr>
                                  <w:r>
                                    <w:rPr>
                                      <w:sz w:val="20"/>
                                    </w:rPr>
                                    <w:t>Zapotec</w:t>
                                  </w:r>
                                  <w:r>
                                    <w:rPr>
                                      <w:spacing w:val="-7"/>
                                      <w:sz w:val="20"/>
                                    </w:rPr>
                                    <w:t> </w:t>
                                  </w:r>
                                  <w:r>
                                    <w:rPr>
                                      <w:spacing w:val="-2"/>
                                      <w:sz w:val="20"/>
                                    </w:rPr>
                                    <w:t>(zap)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7310</w:t>
                                  </w:r>
                                </w:p>
                              </w:tc>
                              <w:tc>
                                <w:tcPr>
                                  <w:tcW w:w="4077" w:type="dxa"/>
                                </w:tcPr>
                                <w:p>
                                  <w:pPr>
                                    <w:pStyle w:val="TableParagraph"/>
                                    <w:spacing w:line="211" w:lineRule="exact"/>
                                    <w:ind w:left="158"/>
                                    <w:rPr>
                                      <w:sz w:val="20"/>
                                    </w:rPr>
                                  </w:pPr>
                                  <w:r>
                                    <w:rPr>
                                      <w:sz w:val="20"/>
                                    </w:rPr>
                                    <w:t>Western</w:t>
                                  </w:r>
                                  <w:r>
                                    <w:rPr>
                                      <w:spacing w:val="-6"/>
                                      <w:sz w:val="20"/>
                                    </w:rPr>
                                    <w:t> </w:t>
                                  </w:r>
                                  <w:r>
                                    <w:rPr>
                                      <w:sz w:val="20"/>
                                    </w:rPr>
                                    <w:t>Tlacolula</w:t>
                                  </w:r>
                                  <w:r>
                                    <w:rPr>
                                      <w:spacing w:val="-5"/>
                                      <w:sz w:val="20"/>
                                    </w:rPr>
                                    <w:t> </w:t>
                                  </w:r>
                                  <w:r>
                                    <w:rPr>
                                      <w:sz w:val="20"/>
                                    </w:rPr>
                                    <w:t>Valley</w:t>
                                  </w:r>
                                  <w:r>
                                    <w:rPr>
                                      <w:spacing w:val="-6"/>
                                      <w:sz w:val="20"/>
                                    </w:rPr>
                                    <w:t> </w:t>
                                  </w:r>
                                  <w:r>
                                    <w:rPr>
                                      <w:sz w:val="20"/>
                                    </w:rPr>
                                    <w:t>Zapotec</w:t>
                                  </w:r>
                                  <w:r>
                                    <w:rPr>
                                      <w:spacing w:val="-5"/>
                                      <w:sz w:val="20"/>
                                    </w:rPr>
                                    <w:t> </w:t>
                                  </w:r>
                                  <w:r>
                                    <w:rPr>
                                      <w:spacing w:val="-4"/>
                                      <w:sz w:val="20"/>
                                    </w:rPr>
                                    <w:t>(twb)</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7320</w:t>
                                  </w:r>
                                </w:p>
                              </w:tc>
                              <w:tc>
                                <w:tcPr>
                                  <w:tcW w:w="4077" w:type="dxa"/>
                                </w:tcPr>
                                <w:p>
                                  <w:pPr>
                                    <w:pStyle w:val="TableParagraph"/>
                                    <w:ind w:left="158"/>
                                    <w:rPr>
                                      <w:sz w:val="20"/>
                                    </w:rPr>
                                  </w:pPr>
                                  <w:r>
                                    <w:rPr>
                                      <w:sz w:val="20"/>
                                    </w:rPr>
                                    <w:t>Zoogocho</w:t>
                                  </w:r>
                                  <w:r>
                                    <w:rPr>
                                      <w:spacing w:val="-6"/>
                                      <w:sz w:val="20"/>
                                    </w:rPr>
                                    <w:t> </w:t>
                                  </w:r>
                                  <w:r>
                                    <w:rPr>
                                      <w:sz w:val="20"/>
                                    </w:rPr>
                                    <w:t>Zapotec</w:t>
                                  </w:r>
                                  <w:r>
                                    <w:rPr>
                                      <w:spacing w:val="-8"/>
                                      <w:sz w:val="20"/>
                                    </w:rPr>
                                    <w:t> </w:t>
                                  </w:r>
                                  <w:r>
                                    <w:rPr>
                                      <w:spacing w:val="-2"/>
                                      <w:sz w:val="20"/>
                                    </w:rPr>
                                    <w:t>(zpq)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7330</w:t>
                                  </w:r>
                                </w:p>
                              </w:tc>
                              <w:tc>
                                <w:tcPr>
                                  <w:tcW w:w="4077" w:type="dxa"/>
                                </w:tcPr>
                                <w:p>
                                  <w:pPr>
                                    <w:pStyle w:val="TableParagraph"/>
                                    <w:spacing w:line="209" w:lineRule="exact"/>
                                    <w:ind w:left="158"/>
                                    <w:rPr>
                                      <w:sz w:val="20"/>
                                    </w:rPr>
                                  </w:pPr>
                                  <w:r>
                                    <w:rPr>
                                      <w:sz w:val="20"/>
                                    </w:rPr>
                                    <w:t>Central</w:t>
                                  </w:r>
                                  <w:r>
                                    <w:rPr>
                                      <w:spacing w:val="-8"/>
                                      <w:sz w:val="20"/>
                                    </w:rPr>
                                    <w:t> </w:t>
                                  </w:r>
                                  <w:r>
                                    <w:rPr>
                                      <w:sz w:val="20"/>
                                    </w:rPr>
                                    <w:t>Mazahua</w:t>
                                  </w:r>
                                  <w:r>
                                    <w:rPr>
                                      <w:spacing w:val="-8"/>
                                      <w:sz w:val="20"/>
                                    </w:rPr>
                                    <w:t> </w:t>
                                  </w:r>
                                  <w:r>
                                    <w:rPr>
                                      <w:spacing w:val="-4"/>
                                      <w:sz w:val="20"/>
                                    </w:rPr>
                                    <w:t>(maz)</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7340</w:t>
                                  </w:r>
                                </w:p>
                              </w:tc>
                              <w:tc>
                                <w:tcPr>
                                  <w:tcW w:w="4077" w:type="dxa"/>
                                </w:tcPr>
                                <w:p>
                                  <w:pPr>
                                    <w:pStyle w:val="TableParagraph"/>
                                    <w:spacing w:line="209" w:lineRule="exact"/>
                                    <w:ind w:left="158"/>
                                    <w:rPr>
                                      <w:sz w:val="20"/>
                                    </w:rPr>
                                  </w:pPr>
                                  <w:r>
                                    <w:rPr>
                                      <w:sz w:val="20"/>
                                    </w:rPr>
                                    <w:t>Mezquital</w:t>
                                  </w:r>
                                  <w:r>
                                    <w:rPr>
                                      <w:spacing w:val="-8"/>
                                      <w:sz w:val="20"/>
                                    </w:rPr>
                                    <w:t> </w:t>
                                  </w:r>
                                  <w:r>
                                    <w:rPr>
                                      <w:sz w:val="20"/>
                                    </w:rPr>
                                    <w:t>Otomi</w:t>
                                  </w:r>
                                  <w:r>
                                    <w:rPr>
                                      <w:spacing w:val="-8"/>
                                      <w:sz w:val="20"/>
                                    </w:rPr>
                                    <w:t> </w:t>
                                  </w:r>
                                  <w:r>
                                    <w:rPr>
                                      <w:spacing w:val="-2"/>
                                      <w:sz w:val="20"/>
                                    </w:rPr>
                                    <w:t>(ote)</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345" w:hRule="atLeast"/>
                              </w:trPr>
                              <w:tc>
                                <w:tcPr>
                                  <w:tcW w:w="612" w:type="dxa"/>
                                </w:tcPr>
                                <w:p>
                                  <w:pPr>
                                    <w:pStyle w:val="TableParagraph"/>
                                    <w:spacing w:line="226" w:lineRule="exact"/>
                                    <w:ind w:left="50"/>
                                    <w:rPr>
                                      <w:sz w:val="20"/>
                                    </w:rPr>
                                  </w:pPr>
                                  <w:r>
                                    <w:rPr>
                                      <w:spacing w:val="-4"/>
                                      <w:sz w:val="20"/>
                                    </w:rPr>
                                    <w:t>7350</w:t>
                                  </w:r>
                                </w:p>
                              </w:tc>
                              <w:tc>
                                <w:tcPr>
                                  <w:tcW w:w="4077" w:type="dxa"/>
                                </w:tcPr>
                                <w:p>
                                  <w:pPr>
                                    <w:pStyle w:val="TableParagraph"/>
                                    <w:spacing w:line="226" w:lineRule="exact"/>
                                    <w:ind w:left="158"/>
                                    <w:rPr>
                                      <w:sz w:val="20"/>
                                    </w:rPr>
                                  </w:pPr>
                                  <w:r>
                                    <w:rPr>
                                      <w:sz w:val="20"/>
                                    </w:rPr>
                                    <w:t>Ojitlán</w:t>
                                  </w:r>
                                  <w:r>
                                    <w:rPr>
                                      <w:spacing w:val="-10"/>
                                      <w:sz w:val="20"/>
                                    </w:rPr>
                                    <w:t> </w:t>
                                  </w:r>
                                  <w:r>
                                    <w:rPr>
                                      <w:sz w:val="20"/>
                                    </w:rPr>
                                    <w:t>Chinantec</w:t>
                                  </w:r>
                                  <w:r>
                                    <w:rPr>
                                      <w:spacing w:val="-7"/>
                                      <w:sz w:val="20"/>
                                    </w:rPr>
                                    <w:t> </w:t>
                                  </w:r>
                                  <w:r>
                                    <w:rPr>
                                      <w:spacing w:val="-4"/>
                                      <w:sz w:val="20"/>
                                    </w:rPr>
                                    <w:t>(chj)</w:t>
                                  </w:r>
                                </w:p>
                              </w:tc>
                              <w:tc>
                                <w:tcPr>
                                  <w:tcW w:w="1251" w:type="dxa"/>
                                </w:tcPr>
                                <w:p>
                                  <w:pPr>
                                    <w:pStyle w:val="TableParagraph"/>
                                    <w:spacing w:line="240" w:lineRule="auto"/>
                                    <w:rPr>
                                      <w:sz w:val="18"/>
                                    </w:rPr>
                                  </w:pPr>
                                </w:p>
                              </w:tc>
                              <w:tc>
                                <w:tcPr>
                                  <w:tcW w:w="2031" w:type="dxa"/>
                                </w:tcPr>
                                <w:p>
                                  <w:pPr>
                                    <w:pStyle w:val="TableParagraph"/>
                                    <w:spacing w:line="240" w:lineRule="auto"/>
                                    <w:rPr>
                                      <w:sz w:val="18"/>
                                    </w:rPr>
                                  </w:pPr>
                                </w:p>
                              </w:tc>
                            </w:tr>
                            <w:tr>
                              <w:trPr>
                                <w:trHeight w:val="345" w:hRule="atLeast"/>
                              </w:trPr>
                              <w:tc>
                                <w:tcPr>
                                  <w:tcW w:w="612" w:type="dxa"/>
                                </w:tcPr>
                                <w:p>
                                  <w:pPr>
                                    <w:pStyle w:val="TableParagraph"/>
                                    <w:spacing w:line="215" w:lineRule="exact" w:before="111"/>
                                    <w:ind w:left="50"/>
                                    <w:rPr>
                                      <w:sz w:val="20"/>
                                    </w:rPr>
                                  </w:pPr>
                                  <w:r>
                                    <w:rPr>
                                      <w:spacing w:val="-4"/>
                                      <w:sz w:val="20"/>
                                    </w:rPr>
                                    <w:t>7400</w:t>
                                  </w:r>
                                </w:p>
                              </w:tc>
                              <w:tc>
                                <w:tcPr>
                                  <w:tcW w:w="4077" w:type="dxa"/>
                                </w:tcPr>
                                <w:p>
                                  <w:pPr>
                                    <w:pStyle w:val="TableParagraph"/>
                                    <w:spacing w:line="215" w:lineRule="exact" w:before="111"/>
                                    <w:ind w:left="158"/>
                                    <w:rPr>
                                      <w:sz w:val="20"/>
                                    </w:rPr>
                                  </w:pPr>
                                  <w:r>
                                    <w:rPr>
                                      <w:sz w:val="20"/>
                                    </w:rPr>
                                    <w:t>Quechua</w:t>
                                  </w:r>
                                  <w:r>
                                    <w:rPr>
                                      <w:spacing w:val="-11"/>
                                      <w:sz w:val="20"/>
                                    </w:rPr>
                                    <w:t> </w:t>
                                  </w:r>
                                  <w:r>
                                    <w:rPr>
                                      <w:spacing w:val="-2"/>
                                      <w:sz w:val="20"/>
                                    </w:rPr>
                                    <w:t>(que)</w:t>
                                  </w:r>
                                </w:p>
                              </w:tc>
                              <w:tc>
                                <w:tcPr>
                                  <w:tcW w:w="1251" w:type="dxa"/>
                                </w:tcPr>
                                <w:p>
                                  <w:pPr>
                                    <w:pStyle w:val="TableParagraph"/>
                                    <w:spacing w:line="240" w:lineRule="auto"/>
                                    <w:rPr>
                                      <w:sz w:val="18"/>
                                    </w:rPr>
                                  </w:pPr>
                                </w:p>
                              </w:tc>
                              <w:tc>
                                <w:tcPr>
                                  <w:tcW w:w="2031" w:type="dxa"/>
                                </w:tcPr>
                                <w:p>
                                  <w:pPr>
                                    <w:pStyle w:val="TableParagraph"/>
                                    <w:spacing w:line="240" w:lineRule="auto"/>
                                    <w:rPr>
                                      <w:sz w:val="18"/>
                                    </w:rPr>
                                  </w:pPr>
                                </w:p>
                              </w:tc>
                            </w:tr>
                            <w:tr>
                              <w:trPr>
                                <w:trHeight w:val="229" w:hRule="atLeast"/>
                              </w:trPr>
                              <w:tc>
                                <w:tcPr>
                                  <w:tcW w:w="612" w:type="dxa"/>
                                </w:tcPr>
                                <w:p>
                                  <w:pPr>
                                    <w:pStyle w:val="TableParagraph"/>
                                    <w:spacing w:line="209" w:lineRule="exact"/>
                                    <w:ind w:left="50"/>
                                    <w:rPr>
                                      <w:sz w:val="20"/>
                                    </w:rPr>
                                  </w:pPr>
                                  <w:r>
                                    <w:rPr>
                                      <w:spacing w:val="-4"/>
                                      <w:sz w:val="20"/>
                                    </w:rPr>
                                    <w:t>7500</w:t>
                                  </w:r>
                                </w:p>
                              </w:tc>
                              <w:tc>
                                <w:tcPr>
                                  <w:tcW w:w="4077" w:type="dxa"/>
                                </w:tcPr>
                                <w:p>
                                  <w:pPr>
                                    <w:pStyle w:val="TableParagraph"/>
                                    <w:spacing w:line="209" w:lineRule="exact"/>
                                    <w:ind w:left="158"/>
                                    <w:rPr>
                                      <w:sz w:val="20"/>
                                    </w:rPr>
                                  </w:pPr>
                                  <w:r>
                                    <w:rPr>
                                      <w:sz w:val="20"/>
                                    </w:rPr>
                                    <w:t>Aymara</w:t>
                                  </w:r>
                                  <w:r>
                                    <w:rPr>
                                      <w:spacing w:val="-7"/>
                                      <w:sz w:val="20"/>
                                    </w:rPr>
                                    <w:t> </w:t>
                                  </w:r>
                                  <w:r>
                                    <w:rPr>
                                      <w:spacing w:val="-2"/>
                                      <w:sz w:val="20"/>
                                    </w:rPr>
                                    <w:t>(aym)</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7501</w:t>
                                  </w:r>
                                </w:p>
                              </w:tc>
                              <w:tc>
                                <w:tcPr>
                                  <w:tcW w:w="4077" w:type="dxa"/>
                                </w:tcPr>
                                <w:p>
                                  <w:pPr>
                                    <w:pStyle w:val="TableParagraph"/>
                                    <w:spacing w:line="209" w:lineRule="exact"/>
                                    <w:ind w:left="158"/>
                                    <w:rPr>
                                      <w:sz w:val="20"/>
                                    </w:rPr>
                                  </w:pPr>
                                  <w:r>
                                    <w:rPr>
                                      <w:sz w:val="20"/>
                                    </w:rPr>
                                    <w:t>Central</w:t>
                                  </w:r>
                                  <w:r>
                                    <w:rPr>
                                      <w:spacing w:val="-6"/>
                                      <w:sz w:val="20"/>
                                    </w:rPr>
                                    <w:t> </w:t>
                                  </w:r>
                                  <w:r>
                                    <w:rPr>
                                      <w:sz w:val="20"/>
                                    </w:rPr>
                                    <w:t>Aymara</w:t>
                                  </w:r>
                                  <w:r>
                                    <w:rPr>
                                      <w:spacing w:val="-7"/>
                                      <w:sz w:val="20"/>
                                    </w:rPr>
                                    <w:t> </w:t>
                                  </w:r>
                                  <w:r>
                                    <w:rPr>
                                      <w:spacing w:val="-4"/>
                                      <w:sz w:val="20"/>
                                    </w:rPr>
                                    <w:t>(ayr)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7505</w:t>
                                  </w:r>
                                </w:p>
                              </w:tc>
                              <w:tc>
                                <w:tcPr>
                                  <w:tcW w:w="4077" w:type="dxa"/>
                                </w:tcPr>
                                <w:p>
                                  <w:pPr>
                                    <w:pStyle w:val="TableParagraph"/>
                                    <w:ind w:left="158"/>
                                    <w:rPr>
                                      <w:sz w:val="20"/>
                                    </w:rPr>
                                  </w:pPr>
                                  <w:r>
                                    <w:rPr>
                                      <w:sz w:val="20"/>
                                    </w:rPr>
                                    <w:t>Galibi</w:t>
                                  </w:r>
                                  <w:r>
                                    <w:rPr>
                                      <w:spacing w:val="-6"/>
                                      <w:sz w:val="20"/>
                                    </w:rPr>
                                    <w:t> </w:t>
                                  </w:r>
                                  <w:r>
                                    <w:rPr>
                                      <w:sz w:val="20"/>
                                    </w:rPr>
                                    <w:t>Carib</w:t>
                                  </w:r>
                                  <w:r>
                                    <w:rPr>
                                      <w:spacing w:val="-3"/>
                                      <w:sz w:val="20"/>
                                    </w:rPr>
                                    <w:t> </w:t>
                                  </w:r>
                                  <w:r>
                                    <w:rPr>
                                      <w:spacing w:val="-2"/>
                                      <w:sz w:val="20"/>
                                    </w:rPr>
                                    <w:t>(car)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7515</w:t>
                                  </w:r>
                                </w:p>
                              </w:tc>
                              <w:tc>
                                <w:tcPr>
                                  <w:tcW w:w="4077" w:type="dxa"/>
                                </w:tcPr>
                                <w:p>
                                  <w:pPr>
                                    <w:pStyle w:val="TableParagraph"/>
                                    <w:ind w:left="158"/>
                                    <w:rPr>
                                      <w:sz w:val="20"/>
                                    </w:rPr>
                                  </w:pPr>
                                  <w:r>
                                    <w:rPr>
                                      <w:sz w:val="20"/>
                                    </w:rPr>
                                    <w:t>Wayana</w:t>
                                  </w:r>
                                  <w:r>
                                    <w:rPr>
                                      <w:spacing w:val="-10"/>
                                      <w:sz w:val="20"/>
                                    </w:rPr>
                                    <w:t> </w:t>
                                  </w:r>
                                  <w:r>
                                    <w:rPr>
                                      <w:spacing w:val="-2"/>
                                      <w:sz w:val="20"/>
                                    </w:rPr>
                                    <w:t>(way)</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7525</w:t>
                                  </w:r>
                                </w:p>
                              </w:tc>
                              <w:tc>
                                <w:tcPr>
                                  <w:tcW w:w="4077" w:type="dxa"/>
                                </w:tcPr>
                                <w:p>
                                  <w:pPr>
                                    <w:pStyle w:val="TableParagraph"/>
                                    <w:ind w:left="158"/>
                                    <w:rPr>
                                      <w:sz w:val="20"/>
                                    </w:rPr>
                                  </w:pPr>
                                  <w:r>
                                    <w:rPr>
                                      <w:sz w:val="20"/>
                                    </w:rPr>
                                    <w:t>Waiwai</w:t>
                                  </w:r>
                                  <w:r>
                                    <w:rPr>
                                      <w:spacing w:val="-9"/>
                                      <w:sz w:val="20"/>
                                    </w:rPr>
                                    <w:t> </w:t>
                                  </w:r>
                                  <w:r>
                                    <w:rPr>
                                      <w:spacing w:val="-2"/>
                                      <w:sz w:val="20"/>
                                    </w:rPr>
                                    <w:t>(waw)</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7535</w:t>
                                  </w:r>
                                </w:p>
                              </w:tc>
                              <w:tc>
                                <w:tcPr>
                                  <w:tcW w:w="4077" w:type="dxa"/>
                                </w:tcPr>
                                <w:p>
                                  <w:pPr>
                                    <w:pStyle w:val="TableParagraph"/>
                                    <w:ind w:left="158"/>
                                    <w:rPr>
                                      <w:sz w:val="20"/>
                                    </w:rPr>
                                  </w:pPr>
                                  <w:r>
                                    <w:rPr>
                                      <w:sz w:val="20"/>
                                    </w:rPr>
                                    <w:t>Guahibo</w:t>
                                  </w:r>
                                  <w:r>
                                    <w:rPr>
                                      <w:spacing w:val="-7"/>
                                      <w:sz w:val="20"/>
                                    </w:rPr>
                                    <w:t> </w:t>
                                  </w:r>
                                  <w:r>
                                    <w:rPr>
                                      <w:spacing w:val="-2"/>
                                      <w:sz w:val="20"/>
                                    </w:rPr>
                                    <w:t>(guh)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7540</w:t>
                                  </w:r>
                                </w:p>
                              </w:tc>
                              <w:tc>
                                <w:tcPr>
                                  <w:tcW w:w="4077" w:type="dxa"/>
                                </w:tcPr>
                                <w:p>
                                  <w:pPr>
                                    <w:pStyle w:val="TableParagraph"/>
                                    <w:spacing w:line="209" w:lineRule="exact"/>
                                    <w:ind w:left="158"/>
                                    <w:rPr>
                                      <w:sz w:val="20"/>
                                    </w:rPr>
                                  </w:pPr>
                                  <w:r>
                                    <w:rPr>
                                      <w:spacing w:val="-2"/>
                                      <w:sz w:val="20"/>
                                    </w:rPr>
                                    <w:t>Asháninka</w:t>
                                  </w:r>
                                  <w:r>
                                    <w:rPr>
                                      <w:spacing w:val="5"/>
                                      <w:sz w:val="20"/>
                                    </w:rPr>
                                    <w:t> </w:t>
                                  </w:r>
                                  <w:r>
                                    <w:rPr>
                                      <w:spacing w:val="-2"/>
                                      <w:sz w:val="20"/>
                                    </w:rPr>
                                    <w:t>(cni)</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7550</w:t>
                                  </w:r>
                                </w:p>
                              </w:tc>
                              <w:tc>
                                <w:tcPr>
                                  <w:tcW w:w="4077" w:type="dxa"/>
                                </w:tcPr>
                                <w:p>
                                  <w:pPr>
                                    <w:pStyle w:val="TableParagraph"/>
                                    <w:spacing w:line="209" w:lineRule="exact"/>
                                    <w:ind w:left="158"/>
                                    <w:rPr>
                                      <w:sz w:val="20"/>
                                    </w:rPr>
                                  </w:pPr>
                                  <w:r>
                                    <w:rPr>
                                      <w:sz w:val="20"/>
                                    </w:rPr>
                                    <w:t>Arawak</w:t>
                                  </w:r>
                                  <w:r>
                                    <w:rPr>
                                      <w:spacing w:val="-10"/>
                                      <w:sz w:val="20"/>
                                    </w:rPr>
                                    <w:t> </w:t>
                                  </w:r>
                                  <w:r>
                                    <w:rPr>
                                      <w:spacing w:val="-2"/>
                                      <w:sz w:val="20"/>
                                    </w:rPr>
                                    <w:t>(arw)</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7555</w:t>
                                  </w:r>
                                </w:p>
                              </w:tc>
                              <w:tc>
                                <w:tcPr>
                                  <w:tcW w:w="4077" w:type="dxa"/>
                                </w:tcPr>
                                <w:p>
                                  <w:pPr>
                                    <w:pStyle w:val="TableParagraph"/>
                                    <w:spacing w:line="211" w:lineRule="exact"/>
                                    <w:ind w:left="158"/>
                                    <w:rPr>
                                      <w:sz w:val="20"/>
                                    </w:rPr>
                                  </w:pPr>
                                  <w:r>
                                    <w:rPr>
                                      <w:sz w:val="20"/>
                                    </w:rPr>
                                    <w:t>Garifuna</w:t>
                                  </w:r>
                                  <w:r>
                                    <w:rPr>
                                      <w:spacing w:val="-11"/>
                                      <w:sz w:val="20"/>
                                    </w:rPr>
                                    <w:t> </w:t>
                                  </w:r>
                                  <w:r>
                                    <w:rPr>
                                      <w:spacing w:val="-2"/>
                                      <w:sz w:val="20"/>
                                    </w:rPr>
                                    <w:t>(cab)</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7560</w:t>
                                  </w:r>
                                </w:p>
                              </w:tc>
                              <w:tc>
                                <w:tcPr>
                                  <w:tcW w:w="4077" w:type="dxa"/>
                                </w:tcPr>
                                <w:p>
                                  <w:pPr>
                                    <w:pStyle w:val="TableParagraph"/>
                                    <w:ind w:left="158"/>
                                    <w:rPr>
                                      <w:sz w:val="20"/>
                                    </w:rPr>
                                  </w:pPr>
                                  <w:r>
                                    <w:rPr>
                                      <w:sz w:val="20"/>
                                    </w:rPr>
                                    <w:t>Taino</w:t>
                                  </w:r>
                                  <w:r>
                                    <w:rPr>
                                      <w:spacing w:val="-3"/>
                                      <w:sz w:val="20"/>
                                    </w:rPr>
                                    <w:t> </w:t>
                                  </w:r>
                                  <w:r>
                                    <w:rPr>
                                      <w:spacing w:val="-2"/>
                                      <w:sz w:val="20"/>
                                    </w:rPr>
                                    <w:t>(tnq)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7565</w:t>
                                  </w:r>
                                </w:p>
                              </w:tc>
                              <w:tc>
                                <w:tcPr>
                                  <w:tcW w:w="4077" w:type="dxa"/>
                                </w:tcPr>
                                <w:p>
                                  <w:pPr>
                                    <w:pStyle w:val="TableParagraph"/>
                                    <w:ind w:left="158"/>
                                    <w:rPr>
                                      <w:sz w:val="20"/>
                                    </w:rPr>
                                  </w:pPr>
                                  <w:r>
                                    <w:rPr>
                                      <w:sz w:val="20"/>
                                    </w:rPr>
                                    <w:t>Wayuu</w:t>
                                  </w:r>
                                  <w:r>
                                    <w:rPr>
                                      <w:spacing w:val="-6"/>
                                      <w:sz w:val="20"/>
                                    </w:rPr>
                                    <w:t> </w:t>
                                  </w:r>
                                  <w:r>
                                    <w:rPr>
                                      <w:spacing w:val="-2"/>
                                      <w:sz w:val="20"/>
                                    </w:rPr>
                                    <w:t>(guc)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7575</w:t>
                                  </w:r>
                                </w:p>
                              </w:tc>
                              <w:tc>
                                <w:tcPr>
                                  <w:tcW w:w="4077" w:type="dxa"/>
                                </w:tcPr>
                                <w:p>
                                  <w:pPr>
                                    <w:pStyle w:val="TableParagraph"/>
                                    <w:ind w:left="158"/>
                                    <w:rPr>
                                      <w:sz w:val="20"/>
                                    </w:rPr>
                                  </w:pPr>
                                  <w:r>
                                    <w:rPr>
                                      <w:sz w:val="20"/>
                                    </w:rPr>
                                    <w:t>Wapishana</w:t>
                                  </w:r>
                                  <w:r>
                                    <w:rPr>
                                      <w:spacing w:val="-11"/>
                                      <w:sz w:val="20"/>
                                    </w:rPr>
                                    <w:t> </w:t>
                                  </w:r>
                                  <w:r>
                                    <w:rPr>
                                      <w:spacing w:val="-2"/>
                                      <w:sz w:val="20"/>
                                    </w:rPr>
                                    <w:t>(wap)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7585</w:t>
                                  </w:r>
                                </w:p>
                              </w:tc>
                              <w:tc>
                                <w:tcPr>
                                  <w:tcW w:w="4077" w:type="dxa"/>
                                </w:tcPr>
                                <w:p>
                                  <w:pPr>
                                    <w:pStyle w:val="TableParagraph"/>
                                    <w:spacing w:line="209" w:lineRule="exact"/>
                                    <w:ind w:left="158"/>
                                    <w:rPr>
                                      <w:sz w:val="20"/>
                                    </w:rPr>
                                  </w:pPr>
                                  <w:r>
                                    <w:rPr>
                                      <w:sz w:val="20"/>
                                    </w:rPr>
                                    <w:t>Yucuna</w:t>
                                  </w:r>
                                  <w:r>
                                    <w:rPr>
                                      <w:spacing w:val="-10"/>
                                      <w:sz w:val="20"/>
                                    </w:rPr>
                                    <w:t> </w:t>
                                  </w:r>
                                  <w:r>
                                    <w:rPr>
                                      <w:spacing w:val="-2"/>
                                      <w:sz w:val="20"/>
                                    </w:rPr>
                                    <w:t>(ycn)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7600</w:t>
                                  </w:r>
                                </w:p>
                              </w:tc>
                              <w:tc>
                                <w:tcPr>
                                  <w:tcW w:w="4077" w:type="dxa"/>
                                </w:tcPr>
                                <w:p>
                                  <w:pPr>
                                    <w:pStyle w:val="TableParagraph"/>
                                    <w:spacing w:line="209" w:lineRule="exact"/>
                                    <w:ind w:left="158"/>
                                    <w:rPr>
                                      <w:sz w:val="20"/>
                                    </w:rPr>
                                  </w:pPr>
                                  <w:r>
                                    <w:rPr>
                                      <w:sz w:val="20"/>
                                    </w:rPr>
                                    <w:t>Northern</w:t>
                                  </w:r>
                                  <w:r>
                                    <w:rPr>
                                      <w:spacing w:val="-8"/>
                                      <w:sz w:val="20"/>
                                    </w:rPr>
                                    <w:t> </w:t>
                                  </w:r>
                                  <w:r>
                                    <w:rPr>
                                      <w:sz w:val="20"/>
                                    </w:rPr>
                                    <w:t>Emberá</w:t>
                                  </w:r>
                                  <w:r>
                                    <w:rPr>
                                      <w:spacing w:val="-7"/>
                                      <w:sz w:val="20"/>
                                    </w:rPr>
                                    <w:t> </w:t>
                                  </w:r>
                                  <w:r>
                                    <w:rPr>
                                      <w:spacing w:val="-4"/>
                                      <w:sz w:val="20"/>
                                    </w:rPr>
                                    <w:t>(emp)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7635</w:t>
                                  </w:r>
                                </w:p>
                              </w:tc>
                              <w:tc>
                                <w:tcPr>
                                  <w:tcW w:w="4077" w:type="dxa"/>
                                </w:tcPr>
                                <w:p>
                                  <w:pPr>
                                    <w:pStyle w:val="TableParagraph"/>
                                    <w:ind w:left="158"/>
                                    <w:rPr>
                                      <w:sz w:val="20"/>
                                    </w:rPr>
                                  </w:pPr>
                                  <w:r>
                                    <w:rPr>
                                      <w:sz w:val="20"/>
                                    </w:rPr>
                                    <w:t>Boruca</w:t>
                                  </w:r>
                                  <w:r>
                                    <w:rPr>
                                      <w:spacing w:val="-6"/>
                                      <w:sz w:val="20"/>
                                    </w:rPr>
                                    <w:t> </w:t>
                                  </w:r>
                                  <w:r>
                                    <w:rPr>
                                      <w:spacing w:val="-2"/>
                                      <w:sz w:val="20"/>
                                    </w:rPr>
                                    <w:t>(brn)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7640</w:t>
                                  </w:r>
                                </w:p>
                              </w:tc>
                              <w:tc>
                                <w:tcPr>
                                  <w:tcW w:w="4077" w:type="dxa"/>
                                </w:tcPr>
                                <w:p>
                                  <w:pPr>
                                    <w:pStyle w:val="TableParagraph"/>
                                    <w:ind w:left="158"/>
                                    <w:rPr>
                                      <w:sz w:val="20"/>
                                    </w:rPr>
                                  </w:pPr>
                                  <w:r>
                                    <w:rPr>
                                      <w:sz w:val="20"/>
                                    </w:rPr>
                                    <w:t>Ngäbere</w:t>
                                  </w:r>
                                  <w:r>
                                    <w:rPr>
                                      <w:spacing w:val="-6"/>
                                      <w:sz w:val="20"/>
                                    </w:rPr>
                                    <w:t> </w:t>
                                  </w:r>
                                  <w:r>
                                    <w:rPr>
                                      <w:spacing w:val="-2"/>
                                      <w:sz w:val="20"/>
                                    </w:rPr>
                                    <w:t>(gym)</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7645</w:t>
                                  </w:r>
                                </w:p>
                              </w:tc>
                              <w:tc>
                                <w:tcPr>
                                  <w:tcW w:w="4077" w:type="dxa"/>
                                </w:tcPr>
                                <w:p>
                                  <w:pPr>
                                    <w:pStyle w:val="TableParagraph"/>
                                    <w:ind w:left="158"/>
                                    <w:rPr>
                                      <w:sz w:val="20"/>
                                    </w:rPr>
                                  </w:pPr>
                                  <w:r>
                                    <w:rPr>
                                      <w:sz w:val="20"/>
                                    </w:rPr>
                                    <w:t>Arhuaco</w:t>
                                  </w:r>
                                  <w:r>
                                    <w:rPr>
                                      <w:spacing w:val="-11"/>
                                      <w:sz w:val="20"/>
                                    </w:rPr>
                                    <w:t> </w:t>
                                  </w:r>
                                  <w:r>
                                    <w:rPr>
                                      <w:spacing w:val="-2"/>
                                      <w:sz w:val="20"/>
                                    </w:rPr>
                                    <w:t>(arh)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7648</w:t>
                                  </w:r>
                                </w:p>
                              </w:tc>
                              <w:tc>
                                <w:tcPr>
                                  <w:tcW w:w="4077" w:type="dxa"/>
                                </w:tcPr>
                                <w:p>
                                  <w:pPr>
                                    <w:pStyle w:val="TableParagraph"/>
                                    <w:spacing w:line="209" w:lineRule="exact"/>
                                    <w:ind w:left="158"/>
                                    <w:rPr>
                                      <w:sz w:val="20"/>
                                    </w:rPr>
                                  </w:pPr>
                                  <w:r>
                                    <w:rPr>
                                      <w:sz w:val="20"/>
                                    </w:rPr>
                                    <w:t>Cogui</w:t>
                                  </w:r>
                                  <w:r>
                                    <w:rPr>
                                      <w:spacing w:val="-7"/>
                                      <w:sz w:val="20"/>
                                    </w:rPr>
                                    <w:t> </w:t>
                                  </w:r>
                                  <w:r>
                                    <w:rPr>
                                      <w:spacing w:val="-2"/>
                                      <w:sz w:val="20"/>
                                    </w:rPr>
                                    <w:t>(kog)</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7650</w:t>
                                  </w:r>
                                </w:p>
                              </w:tc>
                              <w:tc>
                                <w:tcPr>
                                  <w:tcW w:w="4077" w:type="dxa"/>
                                </w:tcPr>
                                <w:p>
                                  <w:pPr>
                                    <w:pStyle w:val="TableParagraph"/>
                                    <w:spacing w:line="209" w:lineRule="exact"/>
                                    <w:ind w:left="158"/>
                                    <w:rPr>
                                      <w:sz w:val="20"/>
                                    </w:rPr>
                                  </w:pPr>
                                  <w:r>
                                    <w:rPr>
                                      <w:sz w:val="20"/>
                                    </w:rPr>
                                    <w:t>San</w:t>
                                  </w:r>
                                  <w:r>
                                    <w:rPr>
                                      <w:spacing w:val="-5"/>
                                      <w:sz w:val="20"/>
                                    </w:rPr>
                                    <w:t> </w:t>
                                  </w:r>
                                  <w:r>
                                    <w:rPr>
                                      <w:sz w:val="20"/>
                                    </w:rPr>
                                    <w:t>Blas</w:t>
                                  </w:r>
                                  <w:r>
                                    <w:rPr>
                                      <w:spacing w:val="-5"/>
                                      <w:sz w:val="20"/>
                                    </w:rPr>
                                    <w:t> </w:t>
                                  </w:r>
                                  <w:r>
                                    <w:rPr>
                                      <w:sz w:val="20"/>
                                    </w:rPr>
                                    <w:t>Kuna</w:t>
                                  </w:r>
                                  <w:r>
                                    <w:rPr>
                                      <w:spacing w:val="-4"/>
                                      <w:sz w:val="20"/>
                                    </w:rPr>
                                    <w:t> </w:t>
                                  </w:r>
                                  <w:r>
                                    <w:rPr>
                                      <w:spacing w:val="-2"/>
                                      <w:sz w:val="20"/>
                                    </w:rPr>
                                    <w:t>(cuk)</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7655</w:t>
                                  </w:r>
                                </w:p>
                              </w:tc>
                              <w:tc>
                                <w:tcPr>
                                  <w:tcW w:w="4077" w:type="dxa"/>
                                </w:tcPr>
                                <w:p>
                                  <w:pPr>
                                    <w:pStyle w:val="TableParagraph"/>
                                    <w:ind w:left="158"/>
                                    <w:rPr>
                                      <w:sz w:val="20"/>
                                    </w:rPr>
                                  </w:pPr>
                                  <w:r>
                                    <w:rPr>
                                      <w:sz w:val="20"/>
                                    </w:rPr>
                                    <w:t>Cofán</w:t>
                                  </w:r>
                                  <w:r>
                                    <w:rPr>
                                      <w:spacing w:val="-6"/>
                                      <w:sz w:val="20"/>
                                    </w:rPr>
                                    <w:t> </w:t>
                                  </w:r>
                                  <w:r>
                                    <w:rPr>
                                      <w:spacing w:val="-2"/>
                                      <w:sz w:val="20"/>
                                    </w:rPr>
                                    <w:t>(con)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7660</w:t>
                                  </w:r>
                                </w:p>
                              </w:tc>
                              <w:tc>
                                <w:tcPr>
                                  <w:tcW w:w="4077" w:type="dxa"/>
                                </w:tcPr>
                                <w:p>
                                  <w:pPr>
                                    <w:pStyle w:val="TableParagraph"/>
                                    <w:ind w:left="158"/>
                                    <w:rPr>
                                      <w:sz w:val="20"/>
                                    </w:rPr>
                                  </w:pPr>
                                  <w:r>
                                    <w:rPr>
                                      <w:sz w:val="20"/>
                                    </w:rPr>
                                    <w:t>Paumarí</w:t>
                                  </w:r>
                                  <w:r>
                                    <w:rPr>
                                      <w:spacing w:val="-9"/>
                                      <w:sz w:val="20"/>
                                    </w:rPr>
                                    <w:t> </w:t>
                                  </w:r>
                                  <w:r>
                                    <w:rPr>
                                      <w:spacing w:val="-2"/>
                                      <w:sz w:val="20"/>
                                    </w:rPr>
                                    <w:t>(pad)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7665</w:t>
                                  </w:r>
                                </w:p>
                              </w:tc>
                              <w:tc>
                                <w:tcPr>
                                  <w:tcW w:w="4077" w:type="dxa"/>
                                </w:tcPr>
                                <w:p>
                                  <w:pPr>
                                    <w:pStyle w:val="TableParagraph"/>
                                    <w:ind w:left="158"/>
                                    <w:rPr>
                                      <w:sz w:val="20"/>
                                    </w:rPr>
                                  </w:pPr>
                                  <w:r>
                                    <w:rPr>
                                      <w:sz w:val="20"/>
                                    </w:rPr>
                                    <w:t>Mondé</w:t>
                                  </w:r>
                                  <w:r>
                                    <w:rPr>
                                      <w:spacing w:val="-6"/>
                                      <w:sz w:val="20"/>
                                    </w:rPr>
                                    <w:t> </w:t>
                                  </w:r>
                                  <w:r>
                                    <w:rPr>
                                      <w:spacing w:val="-2"/>
                                      <w:sz w:val="20"/>
                                    </w:rPr>
                                    <w:t>(mnd)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7670</w:t>
                                  </w:r>
                                </w:p>
                              </w:tc>
                              <w:tc>
                                <w:tcPr>
                                  <w:tcW w:w="4077" w:type="dxa"/>
                                </w:tcPr>
                                <w:p>
                                  <w:pPr>
                                    <w:pStyle w:val="TableParagraph"/>
                                    <w:spacing w:line="211" w:lineRule="exact"/>
                                    <w:ind w:left="158"/>
                                    <w:rPr>
                                      <w:sz w:val="20"/>
                                    </w:rPr>
                                  </w:pPr>
                                  <w:r>
                                    <w:rPr>
                                      <w:sz w:val="20"/>
                                    </w:rPr>
                                    <w:t>Tuparí</w:t>
                                  </w:r>
                                  <w:r>
                                    <w:rPr>
                                      <w:spacing w:val="-5"/>
                                      <w:sz w:val="20"/>
                                    </w:rPr>
                                    <w:t> </w:t>
                                  </w:r>
                                  <w:r>
                                    <w:rPr>
                                      <w:spacing w:val="-2"/>
                                      <w:sz w:val="20"/>
                                    </w:rPr>
                                    <w:t>(tpr)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7680</w:t>
                                  </w:r>
                                </w:p>
                              </w:tc>
                              <w:tc>
                                <w:tcPr>
                                  <w:tcW w:w="4077" w:type="dxa"/>
                                </w:tcPr>
                                <w:p>
                                  <w:pPr>
                                    <w:pStyle w:val="TableParagraph"/>
                                    <w:spacing w:line="209" w:lineRule="exact"/>
                                    <w:ind w:left="158"/>
                                    <w:rPr>
                                      <w:sz w:val="20"/>
                                    </w:rPr>
                                  </w:pPr>
                                  <w:r>
                                    <w:rPr>
                                      <w:sz w:val="20"/>
                                    </w:rPr>
                                    <w:t>Guarani</w:t>
                                  </w:r>
                                  <w:r>
                                    <w:rPr>
                                      <w:spacing w:val="-9"/>
                                      <w:sz w:val="20"/>
                                    </w:rPr>
                                    <w:t> </w:t>
                                  </w:r>
                                  <w:r>
                                    <w:rPr>
                                      <w:spacing w:val="-2"/>
                                      <w:sz w:val="20"/>
                                    </w:rPr>
                                    <w:t>(grn)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7682</w:t>
                                  </w:r>
                                </w:p>
                              </w:tc>
                              <w:tc>
                                <w:tcPr>
                                  <w:tcW w:w="4077" w:type="dxa"/>
                                </w:tcPr>
                                <w:p>
                                  <w:pPr>
                                    <w:pStyle w:val="TableParagraph"/>
                                    <w:spacing w:line="209" w:lineRule="exact"/>
                                    <w:ind w:left="158"/>
                                    <w:rPr>
                                      <w:sz w:val="20"/>
                                    </w:rPr>
                                  </w:pPr>
                                  <w:r>
                                    <w:rPr>
                                      <w:sz w:val="20"/>
                                    </w:rPr>
                                    <w:t>Paraguayan</w:t>
                                  </w:r>
                                  <w:r>
                                    <w:rPr>
                                      <w:spacing w:val="-10"/>
                                      <w:sz w:val="20"/>
                                    </w:rPr>
                                    <w:t> </w:t>
                                  </w:r>
                                  <w:r>
                                    <w:rPr>
                                      <w:sz w:val="20"/>
                                    </w:rPr>
                                    <w:t>Guaraní</w:t>
                                  </w:r>
                                  <w:r>
                                    <w:rPr>
                                      <w:spacing w:val="-9"/>
                                      <w:sz w:val="20"/>
                                    </w:rPr>
                                    <w:t> </w:t>
                                  </w:r>
                                  <w:r>
                                    <w:rPr>
                                      <w:spacing w:val="-4"/>
                                      <w:sz w:val="20"/>
                                    </w:rPr>
                                    <w:t>(gug)</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7690</w:t>
                                  </w:r>
                                </w:p>
                              </w:tc>
                              <w:tc>
                                <w:tcPr>
                                  <w:tcW w:w="4077" w:type="dxa"/>
                                </w:tcPr>
                                <w:p>
                                  <w:pPr>
                                    <w:pStyle w:val="TableParagraph"/>
                                    <w:ind w:left="158"/>
                                    <w:rPr>
                                      <w:sz w:val="20"/>
                                    </w:rPr>
                                  </w:pPr>
                                  <w:r>
                                    <w:rPr>
                                      <w:sz w:val="20"/>
                                    </w:rPr>
                                    <w:t>Sirionó</w:t>
                                  </w:r>
                                  <w:r>
                                    <w:rPr>
                                      <w:spacing w:val="-6"/>
                                      <w:sz w:val="20"/>
                                    </w:rPr>
                                    <w:t> </w:t>
                                  </w:r>
                                  <w:r>
                                    <w:rPr>
                                      <w:spacing w:val="-2"/>
                                      <w:sz w:val="20"/>
                                    </w:rPr>
                                    <w:t>(srq)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7700</w:t>
                                  </w:r>
                                </w:p>
                              </w:tc>
                              <w:tc>
                                <w:tcPr>
                                  <w:tcW w:w="4077" w:type="dxa"/>
                                </w:tcPr>
                                <w:p>
                                  <w:pPr>
                                    <w:pStyle w:val="TableParagraph"/>
                                    <w:ind w:left="158"/>
                                    <w:rPr>
                                      <w:sz w:val="20"/>
                                    </w:rPr>
                                  </w:pPr>
                                  <w:r>
                                    <w:rPr>
                                      <w:sz w:val="20"/>
                                    </w:rPr>
                                    <w:t>Xingú</w:t>
                                  </w:r>
                                  <w:r>
                                    <w:rPr>
                                      <w:spacing w:val="-7"/>
                                      <w:sz w:val="20"/>
                                    </w:rPr>
                                    <w:t> </w:t>
                                  </w:r>
                                  <w:r>
                                    <w:rPr>
                                      <w:sz w:val="20"/>
                                    </w:rPr>
                                    <w:t>Asuriní</w:t>
                                  </w:r>
                                  <w:r>
                                    <w:rPr>
                                      <w:spacing w:val="-7"/>
                                      <w:sz w:val="20"/>
                                    </w:rPr>
                                    <w:t> </w:t>
                                  </w:r>
                                  <w:r>
                                    <w:rPr>
                                      <w:spacing w:val="-2"/>
                                      <w:sz w:val="20"/>
                                    </w:rPr>
                                    <w:t>(asn)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7710</w:t>
                                  </w:r>
                                </w:p>
                              </w:tc>
                              <w:tc>
                                <w:tcPr>
                                  <w:tcW w:w="4077" w:type="dxa"/>
                                </w:tcPr>
                                <w:p>
                                  <w:pPr>
                                    <w:pStyle w:val="TableParagraph"/>
                                    <w:ind w:left="158"/>
                                    <w:rPr>
                                      <w:sz w:val="20"/>
                                    </w:rPr>
                                  </w:pPr>
                                  <w:r>
                                    <w:rPr>
                                      <w:spacing w:val="-2"/>
                                      <w:sz w:val="20"/>
                                    </w:rPr>
                                    <w:t>Cocama-Cocamilla</w:t>
                                  </w:r>
                                  <w:r>
                                    <w:rPr>
                                      <w:spacing w:val="14"/>
                                      <w:sz w:val="20"/>
                                    </w:rPr>
                                    <w:t> </w:t>
                                  </w:r>
                                  <w:r>
                                    <w:rPr>
                                      <w:spacing w:val="-4"/>
                                      <w:sz w:val="20"/>
                                    </w:rPr>
                                    <w:t>(cod)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7715</w:t>
                                  </w:r>
                                </w:p>
                              </w:tc>
                              <w:tc>
                                <w:tcPr>
                                  <w:tcW w:w="4077" w:type="dxa"/>
                                </w:tcPr>
                                <w:p>
                                  <w:pPr>
                                    <w:pStyle w:val="TableParagraph"/>
                                    <w:ind w:left="158"/>
                                    <w:rPr>
                                      <w:sz w:val="20"/>
                                    </w:rPr>
                                  </w:pPr>
                                  <w:r>
                                    <w:rPr>
                                      <w:sz w:val="20"/>
                                    </w:rPr>
                                    <w:t>Nhengatu</w:t>
                                  </w:r>
                                  <w:r>
                                    <w:rPr>
                                      <w:spacing w:val="-10"/>
                                      <w:sz w:val="20"/>
                                    </w:rPr>
                                    <w:t> </w:t>
                                  </w:r>
                                  <w:r>
                                    <w:rPr>
                                      <w:spacing w:val="-2"/>
                                      <w:sz w:val="20"/>
                                    </w:rPr>
                                    <w:t>(yrl)</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7735</w:t>
                                  </w:r>
                                </w:p>
                              </w:tc>
                              <w:tc>
                                <w:tcPr>
                                  <w:tcW w:w="4077" w:type="dxa"/>
                                </w:tcPr>
                                <w:p>
                                  <w:pPr>
                                    <w:pStyle w:val="TableParagraph"/>
                                    <w:spacing w:line="209" w:lineRule="exact"/>
                                    <w:ind w:left="158"/>
                                    <w:rPr>
                                      <w:sz w:val="20"/>
                                    </w:rPr>
                                  </w:pPr>
                                  <w:r>
                                    <w:rPr>
                                      <w:sz w:val="20"/>
                                    </w:rPr>
                                    <w:t>Tehuelche</w:t>
                                  </w:r>
                                  <w:r>
                                    <w:rPr>
                                      <w:spacing w:val="-11"/>
                                      <w:sz w:val="20"/>
                                    </w:rPr>
                                    <w:t> </w:t>
                                  </w:r>
                                  <w:r>
                                    <w:rPr>
                                      <w:spacing w:val="-2"/>
                                      <w:sz w:val="20"/>
                                    </w:rPr>
                                    <w:t>(teh)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4" w:hRule="atLeast"/>
                              </w:trPr>
                              <w:tc>
                                <w:tcPr>
                                  <w:tcW w:w="612" w:type="dxa"/>
                                </w:tcPr>
                                <w:p>
                                  <w:pPr>
                                    <w:pStyle w:val="TableParagraph"/>
                                    <w:spacing w:line="204" w:lineRule="exact"/>
                                    <w:ind w:left="50"/>
                                    <w:rPr>
                                      <w:sz w:val="20"/>
                                    </w:rPr>
                                  </w:pPr>
                                  <w:r>
                                    <w:rPr>
                                      <w:spacing w:val="-4"/>
                                      <w:sz w:val="20"/>
                                    </w:rPr>
                                    <w:t>7800</w:t>
                                  </w:r>
                                </w:p>
                              </w:tc>
                              <w:tc>
                                <w:tcPr>
                                  <w:tcW w:w="4077" w:type="dxa"/>
                                </w:tcPr>
                                <w:p>
                                  <w:pPr>
                                    <w:pStyle w:val="TableParagraph"/>
                                    <w:spacing w:line="204" w:lineRule="exact"/>
                                    <w:ind w:left="158"/>
                                    <w:rPr>
                                      <w:sz w:val="20"/>
                                    </w:rPr>
                                  </w:pPr>
                                  <w:r>
                                    <w:rPr>
                                      <w:sz w:val="20"/>
                                    </w:rPr>
                                    <w:t>Argentina</w:t>
                                  </w:r>
                                  <w:r>
                                    <w:rPr>
                                      <w:spacing w:val="-12"/>
                                      <w:sz w:val="20"/>
                                    </w:rPr>
                                    <w:t> </w:t>
                                  </w:r>
                                  <w:r>
                                    <w:rPr>
                                      <w:spacing w:val="-2"/>
                                      <w:sz w:val="20"/>
                                    </w:rPr>
                                    <w:t>N.E.C.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bl>
                          <w:p>
                            <w:pPr>
                              <w:pStyle w:val="BodyText"/>
                            </w:pPr>
                          </w:p>
                        </w:txbxContent>
                      </wps:txbx>
                      <wps:bodyPr wrap="square" lIns="0" tIns="0" rIns="0" bIns="0" rtlCol="0">
                        <a:noAutofit/>
                      </wps:bodyPr>
                    </wps:wsp>
                  </a:graphicData>
                </a:graphic>
              </wp:anchor>
            </w:drawing>
          </mc:Choice>
          <mc:Fallback>
            <w:pict>
              <v:shape style="position:absolute;margin-left:52.099998pt;margin-top:-45.51952pt;width:404.65pt;height:619.5pt;mso-position-horizontal-relative:page;mso-position-vertical-relative:paragraph;z-index:15768064" type="#_x0000_t202" id="docshape1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12"/>
                        <w:gridCol w:w="4077"/>
                        <w:gridCol w:w="1251"/>
                        <w:gridCol w:w="2031"/>
                      </w:tblGrid>
                      <w:tr>
                        <w:trPr>
                          <w:trHeight w:val="224" w:hRule="atLeast"/>
                        </w:trPr>
                        <w:tc>
                          <w:tcPr>
                            <w:tcW w:w="612" w:type="dxa"/>
                          </w:tcPr>
                          <w:p>
                            <w:pPr>
                              <w:pStyle w:val="TableParagraph"/>
                              <w:spacing w:line="204" w:lineRule="exact"/>
                              <w:ind w:left="50"/>
                              <w:rPr>
                                <w:sz w:val="20"/>
                              </w:rPr>
                            </w:pPr>
                            <w:r>
                              <w:rPr>
                                <w:spacing w:val="-4"/>
                                <w:sz w:val="20"/>
                              </w:rPr>
                              <w:t>7185</w:t>
                            </w:r>
                          </w:p>
                        </w:tc>
                        <w:tc>
                          <w:tcPr>
                            <w:tcW w:w="4077" w:type="dxa"/>
                          </w:tcPr>
                          <w:p>
                            <w:pPr>
                              <w:pStyle w:val="TableParagraph"/>
                              <w:spacing w:line="204" w:lineRule="exact"/>
                              <w:ind w:left="158"/>
                              <w:rPr>
                                <w:sz w:val="20"/>
                              </w:rPr>
                            </w:pPr>
                            <w:r>
                              <w:rPr>
                                <w:sz w:val="20"/>
                              </w:rPr>
                              <w:t>Huilliche</w:t>
                            </w:r>
                            <w:r>
                              <w:rPr>
                                <w:spacing w:val="-10"/>
                                <w:sz w:val="20"/>
                              </w:rPr>
                              <w:t> </w:t>
                            </w:r>
                            <w:r>
                              <w:rPr>
                                <w:spacing w:val="-2"/>
                                <w:sz w:val="20"/>
                              </w:rPr>
                              <w:t>(huh)</w:t>
                            </w:r>
                          </w:p>
                        </w:tc>
                        <w:tc>
                          <w:tcPr>
                            <w:tcW w:w="1251" w:type="dxa"/>
                          </w:tcPr>
                          <w:p>
                            <w:pPr>
                              <w:pStyle w:val="TableParagraph"/>
                              <w:spacing w:line="204" w:lineRule="exact"/>
                              <w:ind w:right="155"/>
                              <w:jc w:val="right"/>
                              <w:rPr>
                                <w:sz w:val="20"/>
                              </w:rPr>
                            </w:pPr>
                            <w:r>
                              <w:rPr>
                                <w:spacing w:val="-4"/>
                                <w:sz w:val="20"/>
                              </w:rPr>
                              <w:t>8000</w:t>
                            </w:r>
                          </w:p>
                        </w:tc>
                        <w:tc>
                          <w:tcPr>
                            <w:tcW w:w="2031" w:type="dxa"/>
                          </w:tcPr>
                          <w:p>
                            <w:pPr>
                              <w:pStyle w:val="TableParagraph"/>
                              <w:spacing w:line="204" w:lineRule="exact"/>
                              <w:ind w:left="159"/>
                              <w:rPr>
                                <w:sz w:val="20"/>
                              </w:rPr>
                            </w:pPr>
                            <w:r>
                              <w:rPr>
                                <w:sz w:val="20"/>
                              </w:rPr>
                              <w:t>Basque</w:t>
                            </w:r>
                            <w:r>
                              <w:rPr>
                                <w:spacing w:val="-7"/>
                                <w:sz w:val="20"/>
                              </w:rPr>
                              <w:t> </w:t>
                            </w:r>
                            <w:r>
                              <w:rPr>
                                <w:spacing w:val="-2"/>
                                <w:sz w:val="20"/>
                              </w:rPr>
                              <w:t>(eus)</w:t>
                            </w:r>
                          </w:p>
                        </w:tc>
                      </w:tr>
                      <w:tr>
                        <w:trPr>
                          <w:trHeight w:val="229" w:hRule="atLeast"/>
                        </w:trPr>
                        <w:tc>
                          <w:tcPr>
                            <w:tcW w:w="612" w:type="dxa"/>
                          </w:tcPr>
                          <w:p>
                            <w:pPr>
                              <w:pStyle w:val="TableParagraph"/>
                              <w:spacing w:line="209" w:lineRule="exact"/>
                              <w:ind w:left="50"/>
                              <w:rPr>
                                <w:sz w:val="20"/>
                              </w:rPr>
                            </w:pPr>
                            <w:r>
                              <w:rPr>
                                <w:spacing w:val="-4"/>
                                <w:sz w:val="20"/>
                              </w:rPr>
                              <w:t>7186</w:t>
                            </w:r>
                          </w:p>
                        </w:tc>
                        <w:tc>
                          <w:tcPr>
                            <w:tcW w:w="4077" w:type="dxa"/>
                          </w:tcPr>
                          <w:p>
                            <w:pPr>
                              <w:pStyle w:val="TableParagraph"/>
                              <w:spacing w:line="209" w:lineRule="exact"/>
                              <w:ind w:left="158"/>
                              <w:rPr>
                                <w:sz w:val="20"/>
                              </w:rPr>
                            </w:pPr>
                            <w:r>
                              <w:rPr>
                                <w:spacing w:val="-2"/>
                                <w:sz w:val="20"/>
                              </w:rPr>
                              <w:t>Mapudungun</w:t>
                            </w:r>
                            <w:r>
                              <w:rPr>
                                <w:spacing w:val="6"/>
                                <w:sz w:val="20"/>
                              </w:rPr>
                              <w:t> </w:t>
                            </w:r>
                            <w:r>
                              <w:rPr>
                                <w:spacing w:val="-4"/>
                                <w:sz w:val="20"/>
                              </w:rPr>
                              <w:t>(arn)</w:t>
                            </w:r>
                          </w:p>
                        </w:tc>
                        <w:tc>
                          <w:tcPr>
                            <w:tcW w:w="1251" w:type="dxa"/>
                          </w:tcPr>
                          <w:p>
                            <w:pPr>
                              <w:pStyle w:val="TableParagraph"/>
                              <w:spacing w:line="209" w:lineRule="exact"/>
                              <w:ind w:right="155"/>
                              <w:jc w:val="right"/>
                              <w:rPr>
                                <w:sz w:val="20"/>
                              </w:rPr>
                            </w:pPr>
                            <w:r>
                              <w:rPr>
                                <w:spacing w:val="-4"/>
                                <w:sz w:val="20"/>
                              </w:rPr>
                              <w:t>8010</w:t>
                            </w:r>
                          </w:p>
                        </w:tc>
                        <w:tc>
                          <w:tcPr>
                            <w:tcW w:w="2031" w:type="dxa"/>
                          </w:tcPr>
                          <w:p>
                            <w:pPr>
                              <w:pStyle w:val="TableParagraph"/>
                              <w:spacing w:line="209" w:lineRule="exact"/>
                              <w:ind w:left="159"/>
                              <w:rPr>
                                <w:sz w:val="20"/>
                              </w:rPr>
                            </w:pPr>
                            <w:r>
                              <w:rPr>
                                <w:sz w:val="20"/>
                              </w:rPr>
                              <w:t>Esperanto</w:t>
                            </w:r>
                            <w:r>
                              <w:rPr>
                                <w:spacing w:val="-7"/>
                                <w:sz w:val="20"/>
                              </w:rPr>
                              <w:t> </w:t>
                            </w:r>
                            <w:r>
                              <w:rPr>
                                <w:spacing w:val="-2"/>
                                <w:sz w:val="20"/>
                              </w:rPr>
                              <w:t>(epo)</w:t>
                            </w:r>
                          </w:p>
                        </w:tc>
                      </w:tr>
                      <w:tr>
                        <w:trPr>
                          <w:trHeight w:val="230" w:hRule="atLeast"/>
                        </w:trPr>
                        <w:tc>
                          <w:tcPr>
                            <w:tcW w:w="612" w:type="dxa"/>
                          </w:tcPr>
                          <w:p>
                            <w:pPr>
                              <w:pStyle w:val="TableParagraph"/>
                              <w:ind w:left="50"/>
                              <w:rPr>
                                <w:sz w:val="20"/>
                              </w:rPr>
                            </w:pPr>
                            <w:r>
                              <w:rPr>
                                <w:spacing w:val="-4"/>
                                <w:sz w:val="20"/>
                              </w:rPr>
                              <w:t>7188</w:t>
                            </w:r>
                          </w:p>
                        </w:tc>
                        <w:tc>
                          <w:tcPr>
                            <w:tcW w:w="4077" w:type="dxa"/>
                          </w:tcPr>
                          <w:p>
                            <w:pPr>
                              <w:pStyle w:val="TableParagraph"/>
                              <w:ind w:left="158"/>
                              <w:rPr>
                                <w:sz w:val="20"/>
                              </w:rPr>
                            </w:pPr>
                            <w:r>
                              <w:rPr>
                                <w:sz w:val="20"/>
                              </w:rPr>
                              <w:t>Highland</w:t>
                            </w:r>
                            <w:r>
                              <w:rPr>
                                <w:spacing w:val="-7"/>
                                <w:sz w:val="20"/>
                              </w:rPr>
                              <w:t> </w:t>
                            </w:r>
                            <w:r>
                              <w:rPr>
                                <w:sz w:val="20"/>
                              </w:rPr>
                              <w:t>Totonac</w:t>
                            </w:r>
                            <w:r>
                              <w:rPr>
                                <w:spacing w:val="-7"/>
                                <w:sz w:val="20"/>
                              </w:rPr>
                              <w:t> </w:t>
                            </w:r>
                            <w:r>
                              <w:rPr>
                                <w:spacing w:val="-4"/>
                                <w:sz w:val="20"/>
                              </w:rPr>
                              <w:t>(tos)</w:t>
                            </w:r>
                          </w:p>
                        </w:tc>
                        <w:tc>
                          <w:tcPr>
                            <w:tcW w:w="1251" w:type="dxa"/>
                          </w:tcPr>
                          <w:p>
                            <w:pPr>
                              <w:pStyle w:val="TableParagraph"/>
                              <w:ind w:right="155"/>
                              <w:jc w:val="right"/>
                              <w:rPr>
                                <w:sz w:val="20"/>
                              </w:rPr>
                            </w:pPr>
                            <w:r>
                              <w:rPr>
                                <w:spacing w:val="-4"/>
                                <w:sz w:val="20"/>
                              </w:rPr>
                              <w:t>8020</w:t>
                            </w:r>
                          </w:p>
                        </w:tc>
                        <w:tc>
                          <w:tcPr>
                            <w:tcW w:w="2031" w:type="dxa"/>
                          </w:tcPr>
                          <w:p>
                            <w:pPr>
                              <w:pStyle w:val="TableParagraph"/>
                              <w:ind w:left="159"/>
                              <w:rPr>
                                <w:sz w:val="20"/>
                              </w:rPr>
                            </w:pPr>
                            <w:r>
                              <w:rPr>
                                <w:sz w:val="20"/>
                              </w:rPr>
                              <w:t>Shelta</w:t>
                            </w:r>
                            <w:r>
                              <w:rPr>
                                <w:spacing w:val="-7"/>
                                <w:sz w:val="20"/>
                              </w:rPr>
                              <w:t> </w:t>
                            </w:r>
                            <w:r>
                              <w:rPr>
                                <w:spacing w:val="-2"/>
                                <w:sz w:val="20"/>
                              </w:rPr>
                              <w:t>(sth)</w:t>
                            </w:r>
                          </w:p>
                        </w:tc>
                      </w:tr>
                      <w:tr>
                        <w:trPr>
                          <w:trHeight w:val="225" w:hRule="atLeast"/>
                        </w:trPr>
                        <w:tc>
                          <w:tcPr>
                            <w:tcW w:w="612" w:type="dxa"/>
                          </w:tcPr>
                          <w:p>
                            <w:pPr>
                              <w:pStyle w:val="TableParagraph"/>
                              <w:spacing w:line="240" w:lineRule="auto"/>
                              <w:rPr>
                                <w:sz w:val="16"/>
                              </w:rPr>
                            </w:pPr>
                          </w:p>
                        </w:tc>
                        <w:tc>
                          <w:tcPr>
                            <w:tcW w:w="4077" w:type="dxa"/>
                          </w:tcPr>
                          <w:p>
                            <w:pPr>
                              <w:pStyle w:val="TableParagraph"/>
                              <w:spacing w:line="240" w:lineRule="auto"/>
                              <w:rPr>
                                <w:sz w:val="16"/>
                              </w:rPr>
                            </w:pPr>
                          </w:p>
                        </w:tc>
                        <w:tc>
                          <w:tcPr>
                            <w:tcW w:w="1251" w:type="dxa"/>
                          </w:tcPr>
                          <w:p>
                            <w:pPr>
                              <w:pStyle w:val="TableParagraph"/>
                              <w:spacing w:line="205" w:lineRule="exact"/>
                              <w:ind w:right="155"/>
                              <w:jc w:val="right"/>
                              <w:rPr>
                                <w:sz w:val="20"/>
                              </w:rPr>
                            </w:pPr>
                            <w:r>
                              <w:rPr>
                                <w:spacing w:val="-4"/>
                                <w:sz w:val="20"/>
                              </w:rPr>
                              <w:t>8030</w:t>
                            </w:r>
                          </w:p>
                        </w:tc>
                        <w:tc>
                          <w:tcPr>
                            <w:tcW w:w="2031" w:type="dxa"/>
                          </w:tcPr>
                          <w:p>
                            <w:pPr>
                              <w:pStyle w:val="TableParagraph"/>
                              <w:spacing w:line="205" w:lineRule="exact"/>
                              <w:ind w:left="159"/>
                              <w:rPr>
                                <w:sz w:val="20"/>
                              </w:rPr>
                            </w:pPr>
                            <w:r>
                              <w:rPr>
                                <w:sz w:val="20"/>
                              </w:rPr>
                              <w:t>Latin</w:t>
                            </w:r>
                            <w:r>
                              <w:rPr>
                                <w:spacing w:val="-6"/>
                                <w:sz w:val="20"/>
                              </w:rPr>
                              <w:t> </w:t>
                            </w:r>
                            <w:r>
                              <w:rPr>
                                <w:spacing w:val="-2"/>
                                <w:sz w:val="20"/>
                              </w:rPr>
                              <w:t>(lat)</w:t>
                            </w:r>
                          </w:p>
                        </w:tc>
                      </w:tr>
                      <w:tr>
                        <w:trPr>
                          <w:trHeight w:val="465" w:hRule="atLeast"/>
                        </w:trPr>
                        <w:tc>
                          <w:tcPr>
                            <w:tcW w:w="612" w:type="dxa"/>
                          </w:tcPr>
                          <w:p>
                            <w:pPr>
                              <w:pStyle w:val="TableParagraph"/>
                              <w:spacing w:line="240" w:lineRule="auto"/>
                              <w:ind w:left="50"/>
                              <w:rPr>
                                <w:i/>
                                <w:sz w:val="20"/>
                              </w:rPr>
                            </w:pPr>
                            <w:r>
                              <w:rPr>
                                <w:i/>
                                <w:spacing w:val="-2"/>
                                <w:sz w:val="20"/>
                              </w:rPr>
                              <w:t>Otoma</w:t>
                            </w:r>
                          </w:p>
                          <w:p>
                            <w:pPr>
                              <w:pStyle w:val="TableParagraph"/>
                              <w:spacing w:line="215" w:lineRule="exact" w:before="1"/>
                              <w:ind w:left="50"/>
                              <w:rPr>
                                <w:sz w:val="20"/>
                              </w:rPr>
                            </w:pPr>
                            <w:r>
                              <w:rPr>
                                <w:spacing w:val="-4"/>
                                <w:sz w:val="20"/>
                              </w:rPr>
                              <w:t>7200</w:t>
                            </w:r>
                          </w:p>
                        </w:tc>
                        <w:tc>
                          <w:tcPr>
                            <w:tcW w:w="4077" w:type="dxa"/>
                          </w:tcPr>
                          <w:p>
                            <w:pPr>
                              <w:pStyle w:val="TableParagraph"/>
                              <w:spacing w:line="240" w:lineRule="auto"/>
                              <w:ind w:left="-18"/>
                              <w:rPr>
                                <w:i/>
                                <w:sz w:val="20"/>
                              </w:rPr>
                            </w:pPr>
                            <w:r>
                              <w:rPr>
                                <w:i/>
                                <w:sz w:val="20"/>
                              </w:rPr>
                              <w:t>nguean</w:t>
                            </w:r>
                            <w:r>
                              <w:rPr>
                                <w:i/>
                                <w:spacing w:val="-8"/>
                                <w:sz w:val="20"/>
                              </w:rPr>
                              <w:t> </w:t>
                            </w:r>
                            <w:r>
                              <w:rPr>
                                <w:i/>
                                <w:sz w:val="20"/>
                              </w:rPr>
                              <w:t>languages</w:t>
                            </w:r>
                            <w:r>
                              <w:rPr>
                                <w:i/>
                                <w:spacing w:val="-10"/>
                                <w:sz w:val="20"/>
                              </w:rPr>
                              <w:t> </w:t>
                            </w:r>
                            <w:r>
                              <w:rPr>
                                <w:i/>
                                <w:sz w:val="20"/>
                              </w:rPr>
                              <w:t>(7200-</w:t>
                            </w:r>
                            <w:r>
                              <w:rPr>
                                <w:i/>
                                <w:spacing w:val="-2"/>
                                <w:sz w:val="20"/>
                              </w:rPr>
                              <w:t>7399)</w:t>
                            </w:r>
                          </w:p>
                          <w:p>
                            <w:pPr>
                              <w:pStyle w:val="TableParagraph"/>
                              <w:spacing w:line="215" w:lineRule="exact" w:before="1"/>
                              <w:ind w:left="158"/>
                              <w:rPr>
                                <w:sz w:val="20"/>
                              </w:rPr>
                            </w:pPr>
                            <w:r>
                              <w:rPr>
                                <w:sz w:val="20"/>
                              </w:rPr>
                              <w:t>Guerrero</w:t>
                            </w:r>
                            <w:r>
                              <w:rPr>
                                <w:spacing w:val="-8"/>
                                <w:sz w:val="20"/>
                              </w:rPr>
                              <w:t> </w:t>
                            </w:r>
                            <w:r>
                              <w:rPr>
                                <w:sz w:val="20"/>
                              </w:rPr>
                              <w:t>Amuzgo</w:t>
                            </w:r>
                            <w:r>
                              <w:rPr>
                                <w:spacing w:val="-8"/>
                                <w:sz w:val="20"/>
                              </w:rPr>
                              <w:t> </w:t>
                            </w:r>
                            <w:r>
                              <w:rPr>
                                <w:spacing w:val="-4"/>
                                <w:sz w:val="20"/>
                              </w:rPr>
                              <w:t>(amu)</w:t>
                            </w:r>
                          </w:p>
                        </w:tc>
                        <w:tc>
                          <w:tcPr>
                            <w:tcW w:w="1251" w:type="dxa"/>
                          </w:tcPr>
                          <w:p>
                            <w:pPr>
                              <w:pStyle w:val="TableParagraph"/>
                              <w:spacing w:line="240" w:lineRule="auto"/>
                              <w:ind w:left="690"/>
                              <w:rPr>
                                <w:sz w:val="20"/>
                              </w:rPr>
                            </w:pPr>
                            <w:r>
                              <w:rPr>
                                <w:spacing w:val="-4"/>
                                <w:sz w:val="20"/>
                              </w:rPr>
                              <w:t>8050</w:t>
                            </w:r>
                          </w:p>
                          <w:p>
                            <w:pPr>
                              <w:pStyle w:val="TableParagraph"/>
                              <w:spacing w:line="215" w:lineRule="exact" w:before="1"/>
                              <w:ind w:left="690"/>
                              <w:rPr>
                                <w:sz w:val="20"/>
                              </w:rPr>
                            </w:pPr>
                            <w:r>
                              <w:rPr>
                                <w:spacing w:val="-4"/>
                                <w:sz w:val="20"/>
                              </w:rPr>
                              <w:t>8055</w:t>
                            </w:r>
                          </w:p>
                        </w:tc>
                        <w:tc>
                          <w:tcPr>
                            <w:tcW w:w="2031" w:type="dxa"/>
                          </w:tcPr>
                          <w:p>
                            <w:pPr>
                              <w:pStyle w:val="TableParagraph"/>
                              <w:spacing w:line="230" w:lineRule="atLeast"/>
                              <w:ind w:left="159" w:right="-29"/>
                              <w:rPr>
                                <w:sz w:val="20"/>
                              </w:rPr>
                            </w:pPr>
                            <w:r>
                              <w:rPr>
                                <w:sz w:val="20"/>
                              </w:rPr>
                              <w:t>American</w:t>
                            </w:r>
                            <w:r>
                              <w:rPr>
                                <w:spacing w:val="-13"/>
                                <w:sz w:val="20"/>
                              </w:rPr>
                              <w:t> </w:t>
                            </w:r>
                            <w:r>
                              <w:rPr>
                                <w:sz w:val="20"/>
                              </w:rPr>
                              <w:t>Indian</w:t>
                            </w:r>
                            <w:r>
                              <w:rPr>
                                <w:spacing w:val="-12"/>
                                <w:sz w:val="20"/>
                              </w:rPr>
                              <w:t> </w:t>
                            </w:r>
                            <w:r>
                              <w:rPr>
                                <w:sz w:val="20"/>
                              </w:rPr>
                              <w:t>N.E.C Caribbean N.E.C.</w:t>
                            </w:r>
                          </w:p>
                        </w:tc>
                      </w:tr>
                      <w:tr>
                        <w:trPr>
                          <w:trHeight w:val="229" w:hRule="atLeast"/>
                        </w:trPr>
                        <w:tc>
                          <w:tcPr>
                            <w:tcW w:w="612" w:type="dxa"/>
                          </w:tcPr>
                          <w:p>
                            <w:pPr>
                              <w:pStyle w:val="TableParagraph"/>
                              <w:spacing w:line="209" w:lineRule="exact"/>
                              <w:ind w:left="50"/>
                              <w:rPr>
                                <w:sz w:val="20"/>
                              </w:rPr>
                            </w:pPr>
                            <w:r>
                              <w:rPr>
                                <w:spacing w:val="-4"/>
                                <w:sz w:val="20"/>
                              </w:rPr>
                              <w:t>7210</w:t>
                            </w:r>
                          </w:p>
                        </w:tc>
                        <w:tc>
                          <w:tcPr>
                            <w:tcW w:w="4077" w:type="dxa"/>
                          </w:tcPr>
                          <w:p>
                            <w:pPr>
                              <w:pStyle w:val="TableParagraph"/>
                              <w:spacing w:line="209" w:lineRule="exact"/>
                              <w:ind w:left="158"/>
                              <w:rPr>
                                <w:sz w:val="20"/>
                              </w:rPr>
                            </w:pPr>
                            <w:r>
                              <w:rPr>
                                <w:sz w:val="20"/>
                              </w:rPr>
                              <w:t>Copala</w:t>
                            </w:r>
                            <w:r>
                              <w:rPr>
                                <w:spacing w:val="-6"/>
                                <w:sz w:val="20"/>
                              </w:rPr>
                              <w:t> </w:t>
                            </w:r>
                            <w:r>
                              <w:rPr>
                                <w:sz w:val="20"/>
                              </w:rPr>
                              <w:t>Triqui</w:t>
                            </w:r>
                            <w:r>
                              <w:rPr>
                                <w:spacing w:val="-7"/>
                                <w:sz w:val="20"/>
                              </w:rPr>
                              <w:t> </w:t>
                            </w:r>
                            <w:r>
                              <w:rPr>
                                <w:spacing w:val="-2"/>
                                <w:sz w:val="20"/>
                              </w:rPr>
                              <w:t>(trc)</w:t>
                            </w:r>
                          </w:p>
                        </w:tc>
                        <w:tc>
                          <w:tcPr>
                            <w:tcW w:w="1251" w:type="dxa"/>
                          </w:tcPr>
                          <w:p>
                            <w:pPr>
                              <w:pStyle w:val="TableParagraph"/>
                              <w:spacing w:line="209" w:lineRule="exact"/>
                              <w:ind w:right="155"/>
                              <w:jc w:val="right"/>
                              <w:rPr>
                                <w:sz w:val="20"/>
                              </w:rPr>
                            </w:pPr>
                            <w:r>
                              <w:rPr>
                                <w:spacing w:val="-4"/>
                                <w:sz w:val="20"/>
                              </w:rPr>
                              <w:t>8060</w:t>
                            </w:r>
                          </w:p>
                        </w:tc>
                        <w:tc>
                          <w:tcPr>
                            <w:tcW w:w="2031" w:type="dxa"/>
                          </w:tcPr>
                          <w:p>
                            <w:pPr>
                              <w:pStyle w:val="TableParagraph"/>
                              <w:spacing w:line="209" w:lineRule="exact"/>
                              <w:ind w:left="159"/>
                              <w:rPr>
                                <w:sz w:val="20"/>
                              </w:rPr>
                            </w:pPr>
                            <w:r>
                              <w:rPr>
                                <w:sz w:val="20"/>
                              </w:rPr>
                              <w:t>Eastern</w:t>
                            </w:r>
                            <w:r>
                              <w:rPr>
                                <w:spacing w:val="-7"/>
                                <w:sz w:val="20"/>
                              </w:rPr>
                              <w:t> </w:t>
                            </w:r>
                            <w:r>
                              <w:rPr>
                                <w:sz w:val="20"/>
                              </w:rPr>
                              <w:t>Europe</w:t>
                            </w:r>
                            <w:r>
                              <w:rPr>
                                <w:spacing w:val="-6"/>
                                <w:sz w:val="20"/>
                              </w:rPr>
                              <w:t> </w:t>
                            </w:r>
                            <w:r>
                              <w:rPr>
                                <w:spacing w:val="-2"/>
                                <w:sz w:val="20"/>
                              </w:rPr>
                              <w:t>N.E.C.</w:t>
                            </w:r>
                          </w:p>
                        </w:tc>
                      </w:tr>
                      <w:tr>
                        <w:trPr>
                          <w:trHeight w:val="229" w:hRule="atLeast"/>
                        </w:trPr>
                        <w:tc>
                          <w:tcPr>
                            <w:tcW w:w="612" w:type="dxa"/>
                          </w:tcPr>
                          <w:p>
                            <w:pPr>
                              <w:pStyle w:val="TableParagraph"/>
                              <w:spacing w:line="209" w:lineRule="exact"/>
                              <w:ind w:left="50"/>
                              <w:rPr>
                                <w:sz w:val="20"/>
                              </w:rPr>
                            </w:pPr>
                            <w:r>
                              <w:rPr>
                                <w:spacing w:val="-4"/>
                                <w:sz w:val="20"/>
                              </w:rPr>
                              <w:t>7220</w:t>
                            </w:r>
                          </w:p>
                        </w:tc>
                        <w:tc>
                          <w:tcPr>
                            <w:tcW w:w="4077" w:type="dxa"/>
                          </w:tcPr>
                          <w:p>
                            <w:pPr>
                              <w:pStyle w:val="TableParagraph"/>
                              <w:spacing w:line="209" w:lineRule="exact"/>
                              <w:ind w:left="158"/>
                              <w:rPr>
                                <w:sz w:val="20"/>
                              </w:rPr>
                            </w:pPr>
                            <w:r>
                              <w:rPr>
                                <w:sz w:val="20"/>
                              </w:rPr>
                              <w:t>Alacatlatzala</w:t>
                            </w:r>
                            <w:r>
                              <w:rPr>
                                <w:spacing w:val="-9"/>
                                <w:sz w:val="20"/>
                              </w:rPr>
                              <w:t> </w:t>
                            </w:r>
                            <w:r>
                              <w:rPr>
                                <w:sz w:val="20"/>
                              </w:rPr>
                              <w:t>Mixtec</w:t>
                            </w:r>
                            <w:r>
                              <w:rPr>
                                <w:spacing w:val="-9"/>
                                <w:sz w:val="20"/>
                              </w:rPr>
                              <w:t> </w:t>
                            </w:r>
                            <w:r>
                              <w:rPr>
                                <w:spacing w:val="-4"/>
                                <w:sz w:val="20"/>
                              </w:rPr>
                              <w:t>(mim)</w:t>
                            </w:r>
                          </w:p>
                        </w:tc>
                        <w:tc>
                          <w:tcPr>
                            <w:tcW w:w="1251" w:type="dxa"/>
                          </w:tcPr>
                          <w:p>
                            <w:pPr>
                              <w:pStyle w:val="TableParagraph"/>
                              <w:spacing w:line="209" w:lineRule="exact"/>
                              <w:ind w:right="155"/>
                              <w:jc w:val="right"/>
                              <w:rPr>
                                <w:sz w:val="20"/>
                              </w:rPr>
                            </w:pPr>
                            <w:r>
                              <w:rPr>
                                <w:spacing w:val="-4"/>
                                <w:sz w:val="20"/>
                              </w:rPr>
                              <w:t>8061</w:t>
                            </w:r>
                          </w:p>
                        </w:tc>
                        <w:tc>
                          <w:tcPr>
                            <w:tcW w:w="2031" w:type="dxa"/>
                          </w:tcPr>
                          <w:p>
                            <w:pPr>
                              <w:pStyle w:val="TableParagraph"/>
                              <w:spacing w:line="209" w:lineRule="exact"/>
                              <w:ind w:left="159"/>
                              <w:rPr>
                                <w:sz w:val="20"/>
                              </w:rPr>
                            </w:pPr>
                            <w:r>
                              <w:rPr>
                                <w:sz w:val="20"/>
                              </w:rPr>
                              <w:t>Europe</w:t>
                            </w:r>
                            <w:r>
                              <w:rPr>
                                <w:spacing w:val="-6"/>
                                <w:sz w:val="20"/>
                              </w:rPr>
                              <w:t> </w:t>
                            </w:r>
                            <w:r>
                              <w:rPr>
                                <w:spacing w:val="-2"/>
                                <w:sz w:val="20"/>
                              </w:rPr>
                              <w:t>N.E.C.</w:t>
                            </w:r>
                          </w:p>
                        </w:tc>
                      </w:tr>
                      <w:tr>
                        <w:trPr>
                          <w:trHeight w:val="230" w:hRule="atLeast"/>
                        </w:trPr>
                        <w:tc>
                          <w:tcPr>
                            <w:tcW w:w="612" w:type="dxa"/>
                          </w:tcPr>
                          <w:p>
                            <w:pPr>
                              <w:pStyle w:val="TableParagraph"/>
                              <w:ind w:left="50"/>
                              <w:rPr>
                                <w:sz w:val="20"/>
                              </w:rPr>
                            </w:pPr>
                            <w:r>
                              <w:rPr>
                                <w:spacing w:val="-4"/>
                                <w:sz w:val="20"/>
                              </w:rPr>
                              <w:t>7230</w:t>
                            </w:r>
                          </w:p>
                        </w:tc>
                        <w:tc>
                          <w:tcPr>
                            <w:tcW w:w="4077" w:type="dxa"/>
                          </w:tcPr>
                          <w:p>
                            <w:pPr>
                              <w:pStyle w:val="TableParagraph"/>
                              <w:ind w:left="158"/>
                              <w:rPr>
                                <w:sz w:val="20"/>
                              </w:rPr>
                            </w:pPr>
                            <w:r>
                              <w:rPr>
                                <w:sz w:val="20"/>
                              </w:rPr>
                              <w:t>Mixtepec</w:t>
                            </w:r>
                            <w:r>
                              <w:rPr>
                                <w:spacing w:val="-7"/>
                                <w:sz w:val="20"/>
                              </w:rPr>
                              <w:t> </w:t>
                            </w:r>
                            <w:r>
                              <w:rPr>
                                <w:sz w:val="20"/>
                              </w:rPr>
                              <w:t>Mixtec</w:t>
                            </w:r>
                            <w:r>
                              <w:rPr>
                                <w:spacing w:val="-6"/>
                                <w:sz w:val="20"/>
                              </w:rPr>
                              <w:t> </w:t>
                            </w:r>
                            <w:r>
                              <w:rPr>
                                <w:spacing w:val="-4"/>
                                <w:sz w:val="20"/>
                              </w:rPr>
                              <w:t>(mix)</w:t>
                            </w:r>
                          </w:p>
                        </w:tc>
                        <w:tc>
                          <w:tcPr>
                            <w:tcW w:w="1251" w:type="dxa"/>
                          </w:tcPr>
                          <w:p>
                            <w:pPr>
                              <w:pStyle w:val="TableParagraph"/>
                              <w:ind w:right="155"/>
                              <w:jc w:val="right"/>
                              <w:rPr>
                                <w:sz w:val="20"/>
                              </w:rPr>
                            </w:pPr>
                            <w:r>
                              <w:rPr>
                                <w:spacing w:val="-4"/>
                                <w:sz w:val="20"/>
                              </w:rPr>
                              <w:t>8089</w:t>
                            </w:r>
                          </w:p>
                        </w:tc>
                        <w:tc>
                          <w:tcPr>
                            <w:tcW w:w="2031" w:type="dxa"/>
                          </w:tcPr>
                          <w:p>
                            <w:pPr>
                              <w:pStyle w:val="TableParagraph"/>
                              <w:ind w:left="159"/>
                              <w:rPr>
                                <w:sz w:val="20"/>
                              </w:rPr>
                            </w:pPr>
                            <w:r>
                              <w:rPr>
                                <w:sz w:val="20"/>
                              </w:rPr>
                              <w:t>Specified</w:t>
                            </w:r>
                            <w:r>
                              <w:rPr>
                                <w:spacing w:val="-6"/>
                                <w:sz w:val="20"/>
                              </w:rPr>
                              <w:t> </w:t>
                            </w:r>
                            <w:r>
                              <w:rPr>
                                <w:sz w:val="20"/>
                              </w:rPr>
                              <w:t>not</w:t>
                            </w:r>
                            <w:r>
                              <w:rPr>
                                <w:spacing w:val="-8"/>
                                <w:sz w:val="20"/>
                              </w:rPr>
                              <w:t> </w:t>
                            </w:r>
                            <w:r>
                              <w:rPr>
                                <w:spacing w:val="-2"/>
                                <w:sz w:val="20"/>
                              </w:rPr>
                              <w:t>listed</w:t>
                            </w:r>
                          </w:p>
                        </w:tc>
                      </w:tr>
                      <w:tr>
                        <w:trPr>
                          <w:trHeight w:val="230" w:hRule="atLeast"/>
                        </w:trPr>
                        <w:tc>
                          <w:tcPr>
                            <w:tcW w:w="612" w:type="dxa"/>
                          </w:tcPr>
                          <w:p>
                            <w:pPr>
                              <w:pStyle w:val="TableParagraph"/>
                              <w:ind w:left="50"/>
                              <w:rPr>
                                <w:sz w:val="20"/>
                              </w:rPr>
                            </w:pPr>
                            <w:r>
                              <w:rPr>
                                <w:spacing w:val="-4"/>
                                <w:sz w:val="20"/>
                              </w:rPr>
                              <w:t>7240</w:t>
                            </w:r>
                          </w:p>
                        </w:tc>
                        <w:tc>
                          <w:tcPr>
                            <w:tcW w:w="4077" w:type="dxa"/>
                          </w:tcPr>
                          <w:p>
                            <w:pPr>
                              <w:pStyle w:val="TableParagraph"/>
                              <w:ind w:left="158"/>
                              <w:rPr>
                                <w:sz w:val="20"/>
                              </w:rPr>
                            </w:pPr>
                            <w:r>
                              <w:rPr>
                                <w:sz w:val="20"/>
                              </w:rPr>
                              <w:t>Silacayoapan</w:t>
                            </w:r>
                            <w:r>
                              <w:rPr>
                                <w:spacing w:val="-10"/>
                                <w:sz w:val="20"/>
                              </w:rPr>
                              <w:t> </w:t>
                            </w:r>
                            <w:r>
                              <w:rPr>
                                <w:sz w:val="20"/>
                              </w:rPr>
                              <w:t>Mixtec</w:t>
                            </w:r>
                            <w:r>
                              <w:rPr>
                                <w:spacing w:val="-9"/>
                                <w:sz w:val="20"/>
                              </w:rPr>
                              <w:t> </w:t>
                            </w:r>
                            <w:r>
                              <w:rPr>
                                <w:spacing w:val="-4"/>
                                <w:sz w:val="20"/>
                              </w:rPr>
                              <w:t>(mks)</w:t>
                            </w:r>
                          </w:p>
                        </w:tc>
                        <w:tc>
                          <w:tcPr>
                            <w:tcW w:w="1251" w:type="dxa"/>
                          </w:tcPr>
                          <w:p>
                            <w:pPr>
                              <w:pStyle w:val="TableParagraph"/>
                              <w:ind w:right="155"/>
                              <w:jc w:val="right"/>
                              <w:rPr>
                                <w:sz w:val="20"/>
                              </w:rPr>
                            </w:pPr>
                            <w:r>
                              <w:rPr>
                                <w:spacing w:val="-4"/>
                                <w:sz w:val="20"/>
                              </w:rPr>
                              <w:t>9999</w:t>
                            </w:r>
                          </w:p>
                        </w:tc>
                        <w:tc>
                          <w:tcPr>
                            <w:tcW w:w="2031" w:type="dxa"/>
                          </w:tcPr>
                          <w:p>
                            <w:pPr>
                              <w:pStyle w:val="TableParagraph"/>
                              <w:ind w:left="159"/>
                              <w:rPr>
                                <w:sz w:val="20"/>
                              </w:rPr>
                            </w:pPr>
                            <w:r>
                              <w:rPr>
                                <w:spacing w:val="-2"/>
                                <w:sz w:val="20"/>
                              </w:rPr>
                              <w:t>Unspecified</w:t>
                            </w:r>
                          </w:p>
                        </w:tc>
                      </w:tr>
                      <w:tr>
                        <w:trPr>
                          <w:trHeight w:val="230" w:hRule="atLeast"/>
                        </w:trPr>
                        <w:tc>
                          <w:tcPr>
                            <w:tcW w:w="612" w:type="dxa"/>
                          </w:tcPr>
                          <w:p>
                            <w:pPr>
                              <w:pStyle w:val="TableParagraph"/>
                              <w:ind w:left="50"/>
                              <w:rPr>
                                <w:sz w:val="20"/>
                              </w:rPr>
                            </w:pPr>
                            <w:r>
                              <w:rPr>
                                <w:spacing w:val="-4"/>
                                <w:sz w:val="20"/>
                              </w:rPr>
                              <w:t>7250</w:t>
                            </w:r>
                          </w:p>
                        </w:tc>
                        <w:tc>
                          <w:tcPr>
                            <w:tcW w:w="4077" w:type="dxa"/>
                          </w:tcPr>
                          <w:p>
                            <w:pPr>
                              <w:pStyle w:val="TableParagraph"/>
                              <w:ind w:left="158"/>
                              <w:rPr>
                                <w:sz w:val="20"/>
                              </w:rPr>
                            </w:pPr>
                            <w:r>
                              <w:rPr>
                                <w:sz w:val="20"/>
                              </w:rPr>
                              <w:t>Mixtec</w:t>
                            </w:r>
                            <w:r>
                              <w:rPr>
                                <w:spacing w:val="-7"/>
                                <w:sz w:val="20"/>
                              </w:rPr>
                              <w:t> </w:t>
                            </w:r>
                            <w:r>
                              <w:rPr>
                                <w:spacing w:val="-2"/>
                                <w:sz w:val="20"/>
                              </w:rPr>
                              <w:t>N.E.C.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7260</w:t>
                            </w:r>
                          </w:p>
                        </w:tc>
                        <w:tc>
                          <w:tcPr>
                            <w:tcW w:w="4077" w:type="dxa"/>
                          </w:tcPr>
                          <w:p>
                            <w:pPr>
                              <w:pStyle w:val="TableParagraph"/>
                              <w:ind w:left="158"/>
                              <w:rPr>
                                <w:sz w:val="20"/>
                              </w:rPr>
                            </w:pPr>
                            <w:r>
                              <w:rPr>
                                <w:sz w:val="20"/>
                              </w:rPr>
                              <w:t>Tepeuxila</w:t>
                            </w:r>
                            <w:r>
                              <w:rPr>
                                <w:spacing w:val="-8"/>
                                <w:sz w:val="20"/>
                              </w:rPr>
                              <w:t> </w:t>
                            </w:r>
                            <w:r>
                              <w:rPr>
                                <w:sz w:val="20"/>
                              </w:rPr>
                              <w:t>Cuicatec</w:t>
                            </w:r>
                            <w:r>
                              <w:rPr>
                                <w:spacing w:val="-8"/>
                                <w:sz w:val="20"/>
                              </w:rPr>
                              <w:t> </w:t>
                            </w:r>
                            <w:r>
                              <w:rPr>
                                <w:spacing w:val="-4"/>
                                <w:sz w:val="20"/>
                              </w:rPr>
                              <w:t>(cux)</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7270</w:t>
                            </w:r>
                          </w:p>
                        </w:tc>
                        <w:tc>
                          <w:tcPr>
                            <w:tcW w:w="4077" w:type="dxa"/>
                          </w:tcPr>
                          <w:p>
                            <w:pPr>
                              <w:pStyle w:val="TableParagraph"/>
                              <w:spacing w:line="209" w:lineRule="exact"/>
                              <w:ind w:left="158"/>
                              <w:rPr>
                                <w:sz w:val="20"/>
                              </w:rPr>
                            </w:pPr>
                            <w:r>
                              <w:rPr>
                                <w:sz w:val="20"/>
                              </w:rPr>
                              <w:t>Huautla</w:t>
                            </w:r>
                            <w:r>
                              <w:rPr>
                                <w:spacing w:val="-8"/>
                                <w:sz w:val="20"/>
                              </w:rPr>
                              <w:t> </w:t>
                            </w:r>
                            <w:r>
                              <w:rPr>
                                <w:sz w:val="20"/>
                              </w:rPr>
                              <w:t>Mazatec</w:t>
                            </w:r>
                            <w:r>
                              <w:rPr>
                                <w:spacing w:val="-7"/>
                                <w:sz w:val="20"/>
                              </w:rPr>
                              <w:t> </w:t>
                            </w:r>
                            <w:r>
                              <w:rPr>
                                <w:spacing w:val="-4"/>
                                <w:sz w:val="20"/>
                              </w:rPr>
                              <w:t>(mau)</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7280</w:t>
                            </w:r>
                          </w:p>
                        </w:tc>
                        <w:tc>
                          <w:tcPr>
                            <w:tcW w:w="4077" w:type="dxa"/>
                          </w:tcPr>
                          <w:p>
                            <w:pPr>
                              <w:pStyle w:val="TableParagraph"/>
                              <w:spacing w:line="209" w:lineRule="exact"/>
                              <w:ind w:left="158"/>
                              <w:rPr>
                                <w:sz w:val="20"/>
                              </w:rPr>
                            </w:pPr>
                            <w:r>
                              <w:rPr>
                                <w:sz w:val="20"/>
                              </w:rPr>
                              <w:t>Ixcatec</w:t>
                            </w:r>
                            <w:r>
                              <w:rPr>
                                <w:spacing w:val="-8"/>
                                <w:sz w:val="20"/>
                              </w:rPr>
                              <w:t> </w:t>
                            </w:r>
                            <w:r>
                              <w:rPr>
                                <w:spacing w:val="-2"/>
                                <w:sz w:val="20"/>
                              </w:rPr>
                              <w:t>(ixc)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7290</w:t>
                            </w:r>
                          </w:p>
                        </w:tc>
                        <w:tc>
                          <w:tcPr>
                            <w:tcW w:w="4077" w:type="dxa"/>
                          </w:tcPr>
                          <w:p>
                            <w:pPr>
                              <w:pStyle w:val="TableParagraph"/>
                              <w:ind w:left="158"/>
                              <w:rPr>
                                <w:sz w:val="20"/>
                              </w:rPr>
                            </w:pPr>
                            <w:r>
                              <w:rPr>
                                <w:sz w:val="20"/>
                              </w:rPr>
                              <w:t>San</w:t>
                            </w:r>
                            <w:r>
                              <w:rPr>
                                <w:spacing w:val="-7"/>
                                <w:sz w:val="20"/>
                              </w:rPr>
                              <w:t> </w:t>
                            </w:r>
                            <w:r>
                              <w:rPr>
                                <w:sz w:val="20"/>
                              </w:rPr>
                              <w:t>Juan</w:t>
                            </w:r>
                            <w:r>
                              <w:rPr>
                                <w:spacing w:val="-4"/>
                                <w:sz w:val="20"/>
                              </w:rPr>
                              <w:t> </w:t>
                            </w:r>
                            <w:r>
                              <w:rPr>
                                <w:sz w:val="20"/>
                              </w:rPr>
                              <w:t>Atzingo</w:t>
                            </w:r>
                            <w:r>
                              <w:rPr>
                                <w:spacing w:val="-4"/>
                                <w:sz w:val="20"/>
                              </w:rPr>
                              <w:t> </w:t>
                            </w:r>
                            <w:r>
                              <w:rPr>
                                <w:sz w:val="20"/>
                              </w:rPr>
                              <w:t>Popoloca</w:t>
                            </w:r>
                            <w:r>
                              <w:rPr>
                                <w:spacing w:val="-5"/>
                                <w:sz w:val="20"/>
                              </w:rPr>
                              <w:t> </w:t>
                            </w:r>
                            <w:r>
                              <w:rPr>
                                <w:spacing w:val="-2"/>
                                <w:sz w:val="20"/>
                              </w:rPr>
                              <w:t>(poe)</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7300</w:t>
                            </w:r>
                          </w:p>
                        </w:tc>
                        <w:tc>
                          <w:tcPr>
                            <w:tcW w:w="4077" w:type="dxa"/>
                          </w:tcPr>
                          <w:p>
                            <w:pPr>
                              <w:pStyle w:val="TableParagraph"/>
                              <w:spacing w:line="211" w:lineRule="exact"/>
                              <w:ind w:left="158"/>
                              <w:rPr>
                                <w:sz w:val="20"/>
                              </w:rPr>
                            </w:pPr>
                            <w:r>
                              <w:rPr>
                                <w:sz w:val="20"/>
                              </w:rPr>
                              <w:t>Zapotec</w:t>
                            </w:r>
                            <w:r>
                              <w:rPr>
                                <w:spacing w:val="-7"/>
                                <w:sz w:val="20"/>
                              </w:rPr>
                              <w:t> </w:t>
                            </w:r>
                            <w:r>
                              <w:rPr>
                                <w:spacing w:val="-2"/>
                                <w:sz w:val="20"/>
                              </w:rPr>
                              <w:t>(zap)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7310</w:t>
                            </w:r>
                          </w:p>
                        </w:tc>
                        <w:tc>
                          <w:tcPr>
                            <w:tcW w:w="4077" w:type="dxa"/>
                          </w:tcPr>
                          <w:p>
                            <w:pPr>
                              <w:pStyle w:val="TableParagraph"/>
                              <w:spacing w:line="211" w:lineRule="exact"/>
                              <w:ind w:left="158"/>
                              <w:rPr>
                                <w:sz w:val="20"/>
                              </w:rPr>
                            </w:pPr>
                            <w:r>
                              <w:rPr>
                                <w:sz w:val="20"/>
                              </w:rPr>
                              <w:t>Western</w:t>
                            </w:r>
                            <w:r>
                              <w:rPr>
                                <w:spacing w:val="-6"/>
                                <w:sz w:val="20"/>
                              </w:rPr>
                              <w:t> </w:t>
                            </w:r>
                            <w:r>
                              <w:rPr>
                                <w:sz w:val="20"/>
                              </w:rPr>
                              <w:t>Tlacolula</w:t>
                            </w:r>
                            <w:r>
                              <w:rPr>
                                <w:spacing w:val="-5"/>
                                <w:sz w:val="20"/>
                              </w:rPr>
                              <w:t> </w:t>
                            </w:r>
                            <w:r>
                              <w:rPr>
                                <w:sz w:val="20"/>
                              </w:rPr>
                              <w:t>Valley</w:t>
                            </w:r>
                            <w:r>
                              <w:rPr>
                                <w:spacing w:val="-6"/>
                                <w:sz w:val="20"/>
                              </w:rPr>
                              <w:t> </w:t>
                            </w:r>
                            <w:r>
                              <w:rPr>
                                <w:sz w:val="20"/>
                              </w:rPr>
                              <w:t>Zapotec</w:t>
                            </w:r>
                            <w:r>
                              <w:rPr>
                                <w:spacing w:val="-5"/>
                                <w:sz w:val="20"/>
                              </w:rPr>
                              <w:t> </w:t>
                            </w:r>
                            <w:r>
                              <w:rPr>
                                <w:spacing w:val="-4"/>
                                <w:sz w:val="20"/>
                              </w:rPr>
                              <w:t>(twb)</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7320</w:t>
                            </w:r>
                          </w:p>
                        </w:tc>
                        <w:tc>
                          <w:tcPr>
                            <w:tcW w:w="4077" w:type="dxa"/>
                          </w:tcPr>
                          <w:p>
                            <w:pPr>
                              <w:pStyle w:val="TableParagraph"/>
                              <w:ind w:left="158"/>
                              <w:rPr>
                                <w:sz w:val="20"/>
                              </w:rPr>
                            </w:pPr>
                            <w:r>
                              <w:rPr>
                                <w:sz w:val="20"/>
                              </w:rPr>
                              <w:t>Zoogocho</w:t>
                            </w:r>
                            <w:r>
                              <w:rPr>
                                <w:spacing w:val="-6"/>
                                <w:sz w:val="20"/>
                              </w:rPr>
                              <w:t> </w:t>
                            </w:r>
                            <w:r>
                              <w:rPr>
                                <w:sz w:val="20"/>
                              </w:rPr>
                              <w:t>Zapotec</w:t>
                            </w:r>
                            <w:r>
                              <w:rPr>
                                <w:spacing w:val="-8"/>
                                <w:sz w:val="20"/>
                              </w:rPr>
                              <w:t> </w:t>
                            </w:r>
                            <w:r>
                              <w:rPr>
                                <w:spacing w:val="-2"/>
                                <w:sz w:val="20"/>
                              </w:rPr>
                              <w:t>(zpq)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7330</w:t>
                            </w:r>
                          </w:p>
                        </w:tc>
                        <w:tc>
                          <w:tcPr>
                            <w:tcW w:w="4077" w:type="dxa"/>
                          </w:tcPr>
                          <w:p>
                            <w:pPr>
                              <w:pStyle w:val="TableParagraph"/>
                              <w:spacing w:line="209" w:lineRule="exact"/>
                              <w:ind w:left="158"/>
                              <w:rPr>
                                <w:sz w:val="20"/>
                              </w:rPr>
                            </w:pPr>
                            <w:r>
                              <w:rPr>
                                <w:sz w:val="20"/>
                              </w:rPr>
                              <w:t>Central</w:t>
                            </w:r>
                            <w:r>
                              <w:rPr>
                                <w:spacing w:val="-8"/>
                                <w:sz w:val="20"/>
                              </w:rPr>
                              <w:t> </w:t>
                            </w:r>
                            <w:r>
                              <w:rPr>
                                <w:sz w:val="20"/>
                              </w:rPr>
                              <w:t>Mazahua</w:t>
                            </w:r>
                            <w:r>
                              <w:rPr>
                                <w:spacing w:val="-8"/>
                                <w:sz w:val="20"/>
                              </w:rPr>
                              <w:t> </w:t>
                            </w:r>
                            <w:r>
                              <w:rPr>
                                <w:spacing w:val="-4"/>
                                <w:sz w:val="20"/>
                              </w:rPr>
                              <w:t>(maz)</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7340</w:t>
                            </w:r>
                          </w:p>
                        </w:tc>
                        <w:tc>
                          <w:tcPr>
                            <w:tcW w:w="4077" w:type="dxa"/>
                          </w:tcPr>
                          <w:p>
                            <w:pPr>
                              <w:pStyle w:val="TableParagraph"/>
                              <w:spacing w:line="209" w:lineRule="exact"/>
                              <w:ind w:left="158"/>
                              <w:rPr>
                                <w:sz w:val="20"/>
                              </w:rPr>
                            </w:pPr>
                            <w:r>
                              <w:rPr>
                                <w:sz w:val="20"/>
                              </w:rPr>
                              <w:t>Mezquital</w:t>
                            </w:r>
                            <w:r>
                              <w:rPr>
                                <w:spacing w:val="-8"/>
                                <w:sz w:val="20"/>
                              </w:rPr>
                              <w:t> </w:t>
                            </w:r>
                            <w:r>
                              <w:rPr>
                                <w:sz w:val="20"/>
                              </w:rPr>
                              <w:t>Otomi</w:t>
                            </w:r>
                            <w:r>
                              <w:rPr>
                                <w:spacing w:val="-8"/>
                                <w:sz w:val="20"/>
                              </w:rPr>
                              <w:t> </w:t>
                            </w:r>
                            <w:r>
                              <w:rPr>
                                <w:spacing w:val="-2"/>
                                <w:sz w:val="20"/>
                              </w:rPr>
                              <w:t>(ote)</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345" w:hRule="atLeast"/>
                        </w:trPr>
                        <w:tc>
                          <w:tcPr>
                            <w:tcW w:w="612" w:type="dxa"/>
                          </w:tcPr>
                          <w:p>
                            <w:pPr>
                              <w:pStyle w:val="TableParagraph"/>
                              <w:spacing w:line="226" w:lineRule="exact"/>
                              <w:ind w:left="50"/>
                              <w:rPr>
                                <w:sz w:val="20"/>
                              </w:rPr>
                            </w:pPr>
                            <w:r>
                              <w:rPr>
                                <w:spacing w:val="-4"/>
                                <w:sz w:val="20"/>
                              </w:rPr>
                              <w:t>7350</w:t>
                            </w:r>
                          </w:p>
                        </w:tc>
                        <w:tc>
                          <w:tcPr>
                            <w:tcW w:w="4077" w:type="dxa"/>
                          </w:tcPr>
                          <w:p>
                            <w:pPr>
                              <w:pStyle w:val="TableParagraph"/>
                              <w:spacing w:line="226" w:lineRule="exact"/>
                              <w:ind w:left="158"/>
                              <w:rPr>
                                <w:sz w:val="20"/>
                              </w:rPr>
                            </w:pPr>
                            <w:r>
                              <w:rPr>
                                <w:sz w:val="20"/>
                              </w:rPr>
                              <w:t>Ojitlán</w:t>
                            </w:r>
                            <w:r>
                              <w:rPr>
                                <w:spacing w:val="-10"/>
                                <w:sz w:val="20"/>
                              </w:rPr>
                              <w:t> </w:t>
                            </w:r>
                            <w:r>
                              <w:rPr>
                                <w:sz w:val="20"/>
                              </w:rPr>
                              <w:t>Chinantec</w:t>
                            </w:r>
                            <w:r>
                              <w:rPr>
                                <w:spacing w:val="-7"/>
                                <w:sz w:val="20"/>
                              </w:rPr>
                              <w:t> </w:t>
                            </w:r>
                            <w:r>
                              <w:rPr>
                                <w:spacing w:val="-4"/>
                                <w:sz w:val="20"/>
                              </w:rPr>
                              <w:t>(chj)</w:t>
                            </w:r>
                          </w:p>
                        </w:tc>
                        <w:tc>
                          <w:tcPr>
                            <w:tcW w:w="1251" w:type="dxa"/>
                          </w:tcPr>
                          <w:p>
                            <w:pPr>
                              <w:pStyle w:val="TableParagraph"/>
                              <w:spacing w:line="240" w:lineRule="auto"/>
                              <w:rPr>
                                <w:sz w:val="18"/>
                              </w:rPr>
                            </w:pPr>
                          </w:p>
                        </w:tc>
                        <w:tc>
                          <w:tcPr>
                            <w:tcW w:w="2031" w:type="dxa"/>
                          </w:tcPr>
                          <w:p>
                            <w:pPr>
                              <w:pStyle w:val="TableParagraph"/>
                              <w:spacing w:line="240" w:lineRule="auto"/>
                              <w:rPr>
                                <w:sz w:val="18"/>
                              </w:rPr>
                            </w:pPr>
                          </w:p>
                        </w:tc>
                      </w:tr>
                      <w:tr>
                        <w:trPr>
                          <w:trHeight w:val="345" w:hRule="atLeast"/>
                        </w:trPr>
                        <w:tc>
                          <w:tcPr>
                            <w:tcW w:w="612" w:type="dxa"/>
                          </w:tcPr>
                          <w:p>
                            <w:pPr>
                              <w:pStyle w:val="TableParagraph"/>
                              <w:spacing w:line="215" w:lineRule="exact" w:before="111"/>
                              <w:ind w:left="50"/>
                              <w:rPr>
                                <w:sz w:val="20"/>
                              </w:rPr>
                            </w:pPr>
                            <w:r>
                              <w:rPr>
                                <w:spacing w:val="-4"/>
                                <w:sz w:val="20"/>
                              </w:rPr>
                              <w:t>7400</w:t>
                            </w:r>
                          </w:p>
                        </w:tc>
                        <w:tc>
                          <w:tcPr>
                            <w:tcW w:w="4077" w:type="dxa"/>
                          </w:tcPr>
                          <w:p>
                            <w:pPr>
                              <w:pStyle w:val="TableParagraph"/>
                              <w:spacing w:line="215" w:lineRule="exact" w:before="111"/>
                              <w:ind w:left="158"/>
                              <w:rPr>
                                <w:sz w:val="20"/>
                              </w:rPr>
                            </w:pPr>
                            <w:r>
                              <w:rPr>
                                <w:sz w:val="20"/>
                              </w:rPr>
                              <w:t>Quechua</w:t>
                            </w:r>
                            <w:r>
                              <w:rPr>
                                <w:spacing w:val="-11"/>
                                <w:sz w:val="20"/>
                              </w:rPr>
                              <w:t> </w:t>
                            </w:r>
                            <w:r>
                              <w:rPr>
                                <w:spacing w:val="-2"/>
                                <w:sz w:val="20"/>
                              </w:rPr>
                              <w:t>(que)</w:t>
                            </w:r>
                          </w:p>
                        </w:tc>
                        <w:tc>
                          <w:tcPr>
                            <w:tcW w:w="1251" w:type="dxa"/>
                          </w:tcPr>
                          <w:p>
                            <w:pPr>
                              <w:pStyle w:val="TableParagraph"/>
                              <w:spacing w:line="240" w:lineRule="auto"/>
                              <w:rPr>
                                <w:sz w:val="18"/>
                              </w:rPr>
                            </w:pPr>
                          </w:p>
                        </w:tc>
                        <w:tc>
                          <w:tcPr>
                            <w:tcW w:w="2031" w:type="dxa"/>
                          </w:tcPr>
                          <w:p>
                            <w:pPr>
                              <w:pStyle w:val="TableParagraph"/>
                              <w:spacing w:line="240" w:lineRule="auto"/>
                              <w:rPr>
                                <w:sz w:val="18"/>
                              </w:rPr>
                            </w:pPr>
                          </w:p>
                        </w:tc>
                      </w:tr>
                      <w:tr>
                        <w:trPr>
                          <w:trHeight w:val="229" w:hRule="atLeast"/>
                        </w:trPr>
                        <w:tc>
                          <w:tcPr>
                            <w:tcW w:w="612" w:type="dxa"/>
                          </w:tcPr>
                          <w:p>
                            <w:pPr>
                              <w:pStyle w:val="TableParagraph"/>
                              <w:spacing w:line="209" w:lineRule="exact"/>
                              <w:ind w:left="50"/>
                              <w:rPr>
                                <w:sz w:val="20"/>
                              </w:rPr>
                            </w:pPr>
                            <w:r>
                              <w:rPr>
                                <w:spacing w:val="-4"/>
                                <w:sz w:val="20"/>
                              </w:rPr>
                              <w:t>7500</w:t>
                            </w:r>
                          </w:p>
                        </w:tc>
                        <w:tc>
                          <w:tcPr>
                            <w:tcW w:w="4077" w:type="dxa"/>
                          </w:tcPr>
                          <w:p>
                            <w:pPr>
                              <w:pStyle w:val="TableParagraph"/>
                              <w:spacing w:line="209" w:lineRule="exact"/>
                              <w:ind w:left="158"/>
                              <w:rPr>
                                <w:sz w:val="20"/>
                              </w:rPr>
                            </w:pPr>
                            <w:r>
                              <w:rPr>
                                <w:sz w:val="20"/>
                              </w:rPr>
                              <w:t>Aymara</w:t>
                            </w:r>
                            <w:r>
                              <w:rPr>
                                <w:spacing w:val="-7"/>
                                <w:sz w:val="20"/>
                              </w:rPr>
                              <w:t> </w:t>
                            </w:r>
                            <w:r>
                              <w:rPr>
                                <w:spacing w:val="-2"/>
                                <w:sz w:val="20"/>
                              </w:rPr>
                              <w:t>(aym)</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7501</w:t>
                            </w:r>
                          </w:p>
                        </w:tc>
                        <w:tc>
                          <w:tcPr>
                            <w:tcW w:w="4077" w:type="dxa"/>
                          </w:tcPr>
                          <w:p>
                            <w:pPr>
                              <w:pStyle w:val="TableParagraph"/>
                              <w:spacing w:line="209" w:lineRule="exact"/>
                              <w:ind w:left="158"/>
                              <w:rPr>
                                <w:sz w:val="20"/>
                              </w:rPr>
                            </w:pPr>
                            <w:r>
                              <w:rPr>
                                <w:sz w:val="20"/>
                              </w:rPr>
                              <w:t>Central</w:t>
                            </w:r>
                            <w:r>
                              <w:rPr>
                                <w:spacing w:val="-6"/>
                                <w:sz w:val="20"/>
                              </w:rPr>
                              <w:t> </w:t>
                            </w:r>
                            <w:r>
                              <w:rPr>
                                <w:sz w:val="20"/>
                              </w:rPr>
                              <w:t>Aymara</w:t>
                            </w:r>
                            <w:r>
                              <w:rPr>
                                <w:spacing w:val="-7"/>
                                <w:sz w:val="20"/>
                              </w:rPr>
                              <w:t> </w:t>
                            </w:r>
                            <w:r>
                              <w:rPr>
                                <w:spacing w:val="-4"/>
                                <w:sz w:val="20"/>
                              </w:rPr>
                              <w:t>(ayr)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7505</w:t>
                            </w:r>
                          </w:p>
                        </w:tc>
                        <w:tc>
                          <w:tcPr>
                            <w:tcW w:w="4077" w:type="dxa"/>
                          </w:tcPr>
                          <w:p>
                            <w:pPr>
                              <w:pStyle w:val="TableParagraph"/>
                              <w:ind w:left="158"/>
                              <w:rPr>
                                <w:sz w:val="20"/>
                              </w:rPr>
                            </w:pPr>
                            <w:r>
                              <w:rPr>
                                <w:sz w:val="20"/>
                              </w:rPr>
                              <w:t>Galibi</w:t>
                            </w:r>
                            <w:r>
                              <w:rPr>
                                <w:spacing w:val="-6"/>
                                <w:sz w:val="20"/>
                              </w:rPr>
                              <w:t> </w:t>
                            </w:r>
                            <w:r>
                              <w:rPr>
                                <w:sz w:val="20"/>
                              </w:rPr>
                              <w:t>Carib</w:t>
                            </w:r>
                            <w:r>
                              <w:rPr>
                                <w:spacing w:val="-3"/>
                                <w:sz w:val="20"/>
                              </w:rPr>
                              <w:t> </w:t>
                            </w:r>
                            <w:r>
                              <w:rPr>
                                <w:spacing w:val="-2"/>
                                <w:sz w:val="20"/>
                              </w:rPr>
                              <w:t>(car)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7515</w:t>
                            </w:r>
                          </w:p>
                        </w:tc>
                        <w:tc>
                          <w:tcPr>
                            <w:tcW w:w="4077" w:type="dxa"/>
                          </w:tcPr>
                          <w:p>
                            <w:pPr>
                              <w:pStyle w:val="TableParagraph"/>
                              <w:ind w:left="158"/>
                              <w:rPr>
                                <w:sz w:val="20"/>
                              </w:rPr>
                            </w:pPr>
                            <w:r>
                              <w:rPr>
                                <w:sz w:val="20"/>
                              </w:rPr>
                              <w:t>Wayana</w:t>
                            </w:r>
                            <w:r>
                              <w:rPr>
                                <w:spacing w:val="-10"/>
                                <w:sz w:val="20"/>
                              </w:rPr>
                              <w:t> </w:t>
                            </w:r>
                            <w:r>
                              <w:rPr>
                                <w:spacing w:val="-2"/>
                                <w:sz w:val="20"/>
                              </w:rPr>
                              <w:t>(way)</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7525</w:t>
                            </w:r>
                          </w:p>
                        </w:tc>
                        <w:tc>
                          <w:tcPr>
                            <w:tcW w:w="4077" w:type="dxa"/>
                          </w:tcPr>
                          <w:p>
                            <w:pPr>
                              <w:pStyle w:val="TableParagraph"/>
                              <w:ind w:left="158"/>
                              <w:rPr>
                                <w:sz w:val="20"/>
                              </w:rPr>
                            </w:pPr>
                            <w:r>
                              <w:rPr>
                                <w:sz w:val="20"/>
                              </w:rPr>
                              <w:t>Waiwai</w:t>
                            </w:r>
                            <w:r>
                              <w:rPr>
                                <w:spacing w:val="-9"/>
                                <w:sz w:val="20"/>
                              </w:rPr>
                              <w:t> </w:t>
                            </w:r>
                            <w:r>
                              <w:rPr>
                                <w:spacing w:val="-2"/>
                                <w:sz w:val="20"/>
                              </w:rPr>
                              <w:t>(waw)</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7535</w:t>
                            </w:r>
                          </w:p>
                        </w:tc>
                        <w:tc>
                          <w:tcPr>
                            <w:tcW w:w="4077" w:type="dxa"/>
                          </w:tcPr>
                          <w:p>
                            <w:pPr>
                              <w:pStyle w:val="TableParagraph"/>
                              <w:ind w:left="158"/>
                              <w:rPr>
                                <w:sz w:val="20"/>
                              </w:rPr>
                            </w:pPr>
                            <w:r>
                              <w:rPr>
                                <w:sz w:val="20"/>
                              </w:rPr>
                              <w:t>Guahibo</w:t>
                            </w:r>
                            <w:r>
                              <w:rPr>
                                <w:spacing w:val="-7"/>
                                <w:sz w:val="20"/>
                              </w:rPr>
                              <w:t> </w:t>
                            </w:r>
                            <w:r>
                              <w:rPr>
                                <w:spacing w:val="-2"/>
                                <w:sz w:val="20"/>
                              </w:rPr>
                              <w:t>(guh)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7540</w:t>
                            </w:r>
                          </w:p>
                        </w:tc>
                        <w:tc>
                          <w:tcPr>
                            <w:tcW w:w="4077" w:type="dxa"/>
                          </w:tcPr>
                          <w:p>
                            <w:pPr>
                              <w:pStyle w:val="TableParagraph"/>
                              <w:spacing w:line="209" w:lineRule="exact"/>
                              <w:ind w:left="158"/>
                              <w:rPr>
                                <w:sz w:val="20"/>
                              </w:rPr>
                            </w:pPr>
                            <w:r>
                              <w:rPr>
                                <w:spacing w:val="-2"/>
                                <w:sz w:val="20"/>
                              </w:rPr>
                              <w:t>Asháninka</w:t>
                            </w:r>
                            <w:r>
                              <w:rPr>
                                <w:spacing w:val="5"/>
                                <w:sz w:val="20"/>
                              </w:rPr>
                              <w:t> </w:t>
                            </w:r>
                            <w:r>
                              <w:rPr>
                                <w:spacing w:val="-2"/>
                                <w:sz w:val="20"/>
                              </w:rPr>
                              <w:t>(cni)</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7550</w:t>
                            </w:r>
                          </w:p>
                        </w:tc>
                        <w:tc>
                          <w:tcPr>
                            <w:tcW w:w="4077" w:type="dxa"/>
                          </w:tcPr>
                          <w:p>
                            <w:pPr>
                              <w:pStyle w:val="TableParagraph"/>
                              <w:spacing w:line="209" w:lineRule="exact"/>
                              <w:ind w:left="158"/>
                              <w:rPr>
                                <w:sz w:val="20"/>
                              </w:rPr>
                            </w:pPr>
                            <w:r>
                              <w:rPr>
                                <w:sz w:val="20"/>
                              </w:rPr>
                              <w:t>Arawak</w:t>
                            </w:r>
                            <w:r>
                              <w:rPr>
                                <w:spacing w:val="-10"/>
                                <w:sz w:val="20"/>
                              </w:rPr>
                              <w:t> </w:t>
                            </w:r>
                            <w:r>
                              <w:rPr>
                                <w:spacing w:val="-2"/>
                                <w:sz w:val="20"/>
                              </w:rPr>
                              <w:t>(arw)</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7555</w:t>
                            </w:r>
                          </w:p>
                        </w:tc>
                        <w:tc>
                          <w:tcPr>
                            <w:tcW w:w="4077" w:type="dxa"/>
                          </w:tcPr>
                          <w:p>
                            <w:pPr>
                              <w:pStyle w:val="TableParagraph"/>
                              <w:spacing w:line="211" w:lineRule="exact"/>
                              <w:ind w:left="158"/>
                              <w:rPr>
                                <w:sz w:val="20"/>
                              </w:rPr>
                            </w:pPr>
                            <w:r>
                              <w:rPr>
                                <w:sz w:val="20"/>
                              </w:rPr>
                              <w:t>Garifuna</w:t>
                            </w:r>
                            <w:r>
                              <w:rPr>
                                <w:spacing w:val="-11"/>
                                <w:sz w:val="20"/>
                              </w:rPr>
                              <w:t> </w:t>
                            </w:r>
                            <w:r>
                              <w:rPr>
                                <w:spacing w:val="-2"/>
                                <w:sz w:val="20"/>
                              </w:rPr>
                              <w:t>(cab)</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7560</w:t>
                            </w:r>
                          </w:p>
                        </w:tc>
                        <w:tc>
                          <w:tcPr>
                            <w:tcW w:w="4077" w:type="dxa"/>
                          </w:tcPr>
                          <w:p>
                            <w:pPr>
                              <w:pStyle w:val="TableParagraph"/>
                              <w:ind w:left="158"/>
                              <w:rPr>
                                <w:sz w:val="20"/>
                              </w:rPr>
                            </w:pPr>
                            <w:r>
                              <w:rPr>
                                <w:sz w:val="20"/>
                              </w:rPr>
                              <w:t>Taino</w:t>
                            </w:r>
                            <w:r>
                              <w:rPr>
                                <w:spacing w:val="-3"/>
                                <w:sz w:val="20"/>
                              </w:rPr>
                              <w:t> </w:t>
                            </w:r>
                            <w:r>
                              <w:rPr>
                                <w:spacing w:val="-2"/>
                                <w:sz w:val="20"/>
                              </w:rPr>
                              <w:t>(tnq)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7565</w:t>
                            </w:r>
                          </w:p>
                        </w:tc>
                        <w:tc>
                          <w:tcPr>
                            <w:tcW w:w="4077" w:type="dxa"/>
                          </w:tcPr>
                          <w:p>
                            <w:pPr>
                              <w:pStyle w:val="TableParagraph"/>
                              <w:ind w:left="158"/>
                              <w:rPr>
                                <w:sz w:val="20"/>
                              </w:rPr>
                            </w:pPr>
                            <w:r>
                              <w:rPr>
                                <w:sz w:val="20"/>
                              </w:rPr>
                              <w:t>Wayuu</w:t>
                            </w:r>
                            <w:r>
                              <w:rPr>
                                <w:spacing w:val="-6"/>
                                <w:sz w:val="20"/>
                              </w:rPr>
                              <w:t> </w:t>
                            </w:r>
                            <w:r>
                              <w:rPr>
                                <w:spacing w:val="-2"/>
                                <w:sz w:val="20"/>
                              </w:rPr>
                              <w:t>(guc)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7575</w:t>
                            </w:r>
                          </w:p>
                        </w:tc>
                        <w:tc>
                          <w:tcPr>
                            <w:tcW w:w="4077" w:type="dxa"/>
                          </w:tcPr>
                          <w:p>
                            <w:pPr>
                              <w:pStyle w:val="TableParagraph"/>
                              <w:ind w:left="158"/>
                              <w:rPr>
                                <w:sz w:val="20"/>
                              </w:rPr>
                            </w:pPr>
                            <w:r>
                              <w:rPr>
                                <w:sz w:val="20"/>
                              </w:rPr>
                              <w:t>Wapishana</w:t>
                            </w:r>
                            <w:r>
                              <w:rPr>
                                <w:spacing w:val="-11"/>
                                <w:sz w:val="20"/>
                              </w:rPr>
                              <w:t> </w:t>
                            </w:r>
                            <w:r>
                              <w:rPr>
                                <w:spacing w:val="-2"/>
                                <w:sz w:val="20"/>
                              </w:rPr>
                              <w:t>(wap)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7585</w:t>
                            </w:r>
                          </w:p>
                        </w:tc>
                        <w:tc>
                          <w:tcPr>
                            <w:tcW w:w="4077" w:type="dxa"/>
                          </w:tcPr>
                          <w:p>
                            <w:pPr>
                              <w:pStyle w:val="TableParagraph"/>
                              <w:spacing w:line="209" w:lineRule="exact"/>
                              <w:ind w:left="158"/>
                              <w:rPr>
                                <w:sz w:val="20"/>
                              </w:rPr>
                            </w:pPr>
                            <w:r>
                              <w:rPr>
                                <w:sz w:val="20"/>
                              </w:rPr>
                              <w:t>Yucuna</w:t>
                            </w:r>
                            <w:r>
                              <w:rPr>
                                <w:spacing w:val="-10"/>
                                <w:sz w:val="20"/>
                              </w:rPr>
                              <w:t> </w:t>
                            </w:r>
                            <w:r>
                              <w:rPr>
                                <w:spacing w:val="-2"/>
                                <w:sz w:val="20"/>
                              </w:rPr>
                              <w:t>(ycn)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7600</w:t>
                            </w:r>
                          </w:p>
                        </w:tc>
                        <w:tc>
                          <w:tcPr>
                            <w:tcW w:w="4077" w:type="dxa"/>
                          </w:tcPr>
                          <w:p>
                            <w:pPr>
                              <w:pStyle w:val="TableParagraph"/>
                              <w:spacing w:line="209" w:lineRule="exact"/>
                              <w:ind w:left="158"/>
                              <w:rPr>
                                <w:sz w:val="20"/>
                              </w:rPr>
                            </w:pPr>
                            <w:r>
                              <w:rPr>
                                <w:sz w:val="20"/>
                              </w:rPr>
                              <w:t>Northern</w:t>
                            </w:r>
                            <w:r>
                              <w:rPr>
                                <w:spacing w:val="-8"/>
                                <w:sz w:val="20"/>
                              </w:rPr>
                              <w:t> </w:t>
                            </w:r>
                            <w:r>
                              <w:rPr>
                                <w:sz w:val="20"/>
                              </w:rPr>
                              <w:t>Emberá</w:t>
                            </w:r>
                            <w:r>
                              <w:rPr>
                                <w:spacing w:val="-7"/>
                                <w:sz w:val="20"/>
                              </w:rPr>
                              <w:t> </w:t>
                            </w:r>
                            <w:r>
                              <w:rPr>
                                <w:spacing w:val="-4"/>
                                <w:sz w:val="20"/>
                              </w:rPr>
                              <w:t>(emp)</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7635</w:t>
                            </w:r>
                          </w:p>
                        </w:tc>
                        <w:tc>
                          <w:tcPr>
                            <w:tcW w:w="4077" w:type="dxa"/>
                          </w:tcPr>
                          <w:p>
                            <w:pPr>
                              <w:pStyle w:val="TableParagraph"/>
                              <w:ind w:left="158"/>
                              <w:rPr>
                                <w:sz w:val="20"/>
                              </w:rPr>
                            </w:pPr>
                            <w:r>
                              <w:rPr>
                                <w:sz w:val="20"/>
                              </w:rPr>
                              <w:t>Boruca</w:t>
                            </w:r>
                            <w:r>
                              <w:rPr>
                                <w:spacing w:val="-6"/>
                                <w:sz w:val="20"/>
                              </w:rPr>
                              <w:t> </w:t>
                            </w:r>
                            <w:r>
                              <w:rPr>
                                <w:spacing w:val="-2"/>
                                <w:sz w:val="20"/>
                              </w:rPr>
                              <w:t>(brn)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7640</w:t>
                            </w:r>
                          </w:p>
                        </w:tc>
                        <w:tc>
                          <w:tcPr>
                            <w:tcW w:w="4077" w:type="dxa"/>
                          </w:tcPr>
                          <w:p>
                            <w:pPr>
                              <w:pStyle w:val="TableParagraph"/>
                              <w:ind w:left="158"/>
                              <w:rPr>
                                <w:sz w:val="20"/>
                              </w:rPr>
                            </w:pPr>
                            <w:r>
                              <w:rPr>
                                <w:sz w:val="20"/>
                              </w:rPr>
                              <w:t>Ngäbere</w:t>
                            </w:r>
                            <w:r>
                              <w:rPr>
                                <w:spacing w:val="-6"/>
                                <w:sz w:val="20"/>
                              </w:rPr>
                              <w:t> </w:t>
                            </w:r>
                            <w:r>
                              <w:rPr>
                                <w:spacing w:val="-2"/>
                                <w:sz w:val="20"/>
                              </w:rPr>
                              <w:t>(gym)</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7645</w:t>
                            </w:r>
                          </w:p>
                        </w:tc>
                        <w:tc>
                          <w:tcPr>
                            <w:tcW w:w="4077" w:type="dxa"/>
                          </w:tcPr>
                          <w:p>
                            <w:pPr>
                              <w:pStyle w:val="TableParagraph"/>
                              <w:ind w:left="158"/>
                              <w:rPr>
                                <w:sz w:val="20"/>
                              </w:rPr>
                            </w:pPr>
                            <w:r>
                              <w:rPr>
                                <w:sz w:val="20"/>
                              </w:rPr>
                              <w:t>Arhuaco</w:t>
                            </w:r>
                            <w:r>
                              <w:rPr>
                                <w:spacing w:val="-11"/>
                                <w:sz w:val="20"/>
                              </w:rPr>
                              <w:t> </w:t>
                            </w:r>
                            <w:r>
                              <w:rPr>
                                <w:spacing w:val="-2"/>
                                <w:sz w:val="20"/>
                              </w:rPr>
                              <w:t>(arh)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7648</w:t>
                            </w:r>
                          </w:p>
                        </w:tc>
                        <w:tc>
                          <w:tcPr>
                            <w:tcW w:w="4077" w:type="dxa"/>
                          </w:tcPr>
                          <w:p>
                            <w:pPr>
                              <w:pStyle w:val="TableParagraph"/>
                              <w:spacing w:line="209" w:lineRule="exact"/>
                              <w:ind w:left="158"/>
                              <w:rPr>
                                <w:sz w:val="20"/>
                              </w:rPr>
                            </w:pPr>
                            <w:r>
                              <w:rPr>
                                <w:sz w:val="20"/>
                              </w:rPr>
                              <w:t>Cogui</w:t>
                            </w:r>
                            <w:r>
                              <w:rPr>
                                <w:spacing w:val="-7"/>
                                <w:sz w:val="20"/>
                              </w:rPr>
                              <w:t> </w:t>
                            </w:r>
                            <w:r>
                              <w:rPr>
                                <w:spacing w:val="-2"/>
                                <w:sz w:val="20"/>
                              </w:rPr>
                              <w:t>(kog)</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7650</w:t>
                            </w:r>
                          </w:p>
                        </w:tc>
                        <w:tc>
                          <w:tcPr>
                            <w:tcW w:w="4077" w:type="dxa"/>
                          </w:tcPr>
                          <w:p>
                            <w:pPr>
                              <w:pStyle w:val="TableParagraph"/>
                              <w:spacing w:line="209" w:lineRule="exact"/>
                              <w:ind w:left="158"/>
                              <w:rPr>
                                <w:sz w:val="20"/>
                              </w:rPr>
                            </w:pPr>
                            <w:r>
                              <w:rPr>
                                <w:sz w:val="20"/>
                              </w:rPr>
                              <w:t>San</w:t>
                            </w:r>
                            <w:r>
                              <w:rPr>
                                <w:spacing w:val="-5"/>
                                <w:sz w:val="20"/>
                              </w:rPr>
                              <w:t> </w:t>
                            </w:r>
                            <w:r>
                              <w:rPr>
                                <w:sz w:val="20"/>
                              </w:rPr>
                              <w:t>Blas</w:t>
                            </w:r>
                            <w:r>
                              <w:rPr>
                                <w:spacing w:val="-5"/>
                                <w:sz w:val="20"/>
                              </w:rPr>
                              <w:t> </w:t>
                            </w:r>
                            <w:r>
                              <w:rPr>
                                <w:sz w:val="20"/>
                              </w:rPr>
                              <w:t>Kuna</w:t>
                            </w:r>
                            <w:r>
                              <w:rPr>
                                <w:spacing w:val="-4"/>
                                <w:sz w:val="20"/>
                              </w:rPr>
                              <w:t> </w:t>
                            </w:r>
                            <w:r>
                              <w:rPr>
                                <w:spacing w:val="-2"/>
                                <w:sz w:val="20"/>
                              </w:rPr>
                              <w:t>(cuk)</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7655</w:t>
                            </w:r>
                          </w:p>
                        </w:tc>
                        <w:tc>
                          <w:tcPr>
                            <w:tcW w:w="4077" w:type="dxa"/>
                          </w:tcPr>
                          <w:p>
                            <w:pPr>
                              <w:pStyle w:val="TableParagraph"/>
                              <w:ind w:left="158"/>
                              <w:rPr>
                                <w:sz w:val="20"/>
                              </w:rPr>
                            </w:pPr>
                            <w:r>
                              <w:rPr>
                                <w:sz w:val="20"/>
                              </w:rPr>
                              <w:t>Cofán</w:t>
                            </w:r>
                            <w:r>
                              <w:rPr>
                                <w:spacing w:val="-6"/>
                                <w:sz w:val="20"/>
                              </w:rPr>
                              <w:t> </w:t>
                            </w:r>
                            <w:r>
                              <w:rPr>
                                <w:spacing w:val="-2"/>
                                <w:sz w:val="20"/>
                              </w:rPr>
                              <w:t>(con)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7660</w:t>
                            </w:r>
                          </w:p>
                        </w:tc>
                        <w:tc>
                          <w:tcPr>
                            <w:tcW w:w="4077" w:type="dxa"/>
                          </w:tcPr>
                          <w:p>
                            <w:pPr>
                              <w:pStyle w:val="TableParagraph"/>
                              <w:ind w:left="158"/>
                              <w:rPr>
                                <w:sz w:val="20"/>
                              </w:rPr>
                            </w:pPr>
                            <w:r>
                              <w:rPr>
                                <w:sz w:val="20"/>
                              </w:rPr>
                              <w:t>Paumarí</w:t>
                            </w:r>
                            <w:r>
                              <w:rPr>
                                <w:spacing w:val="-9"/>
                                <w:sz w:val="20"/>
                              </w:rPr>
                              <w:t> </w:t>
                            </w:r>
                            <w:r>
                              <w:rPr>
                                <w:spacing w:val="-2"/>
                                <w:sz w:val="20"/>
                              </w:rPr>
                              <w:t>(pad)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7665</w:t>
                            </w:r>
                          </w:p>
                        </w:tc>
                        <w:tc>
                          <w:tcPr>
                            <w:tcW w:w="4077" w:type="dxa"/>
                          </w:tcPr>
                          <w:p>
                            <w:pPr>
                              <w:pStyle w:val="TableParagraph"/>
                              <w:ind w:left="158"/>
                              <w:rPr>
                                <w:sz w:val="20"/>
                              </w:rPr>
                            </w:pPr>
                            <w:r>
                              <w:rPr>
                                <w:sz w:val="20"/>
                              </w:rPr>
                              <w:t>Mondé</w:t>
                            </w:r>
                            <w:r>
                              <w:rPr>
                                <w:spacing w:val="-6"/>
                                <w:sz w:val="20"/>
                              </w:rPr>
                              <w:t> </w:t>
                            </w:r>
                            <w:r>
                              <w:rPr>
                                <w:spacing w:val="-2"/>
                                <w:sz w:val="20"/>
                              </w:rPr>
                              <w:t>(mnd)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spacing w:line="211" w:lineRule="exact"/>
                              <w:ind w:left="50"/>
                              <w:rPr>
                                <w:sz w:val="20"/>
                              </w:rPr>
                            </w:pPr>
                            <w:r>
                              <w:rPr>
                                <w:spacing w:val="-4"/>
                                <w:sz w:val="20"/>
                              </w:rPr>
                              <w:t>7670</w:t>
                            </w:r>
                          </w:p>
                        </w:tc>
                        <w:tc>
                          <w:tcPr>
                            <w:tcW w:w="4077" w:type="dxa"/>
                          </w:tcPr>
                          <w:p>
                            <w:pPr>
                              <w:pStyle w:val="TableParagraph"/>
                              <w:spacing w:line="211" w:lineRule="exact"/>
                              <w:ind w:left="158"/>
                              <w:rPr>
                                <w:sz w:val="20"/>
                              </w:rPr>
                            </w:pPr>
                            <w:r>
                              <w:rPr>
                                <w:sz w:val="20"/>
                              </w:rPr>
                              <w:t>Tuparí</w:t>
                            </w:r>
                            <w:r>
                              <w:rPr>
                                <w:spacing w:val="-5"/>
                                <w:sz w:val="20"/>
                              </w:rPr>
                              <w:t> </w:t>
                            </w:r>
                            <w:r>
                              <w:rPr>
                                <w:spacing w:val="-2"/>
                                <w:sz w:val="20"/>
                              </w:rPr>
                              <w:t>(tpr)</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7680</w:t>
                            </w:r>
                          </w:p>
                        </w:tc>
                        <w:tc>
                          <w:tcPr>
                            <w:tcW w:w="4077" w:type="dxa"/>
                          </w:tcPr>
                          <w:p>
                            <w:pPr>
                              <w:pStyle w:val="TableParagraph"/>
                              <w:spacing w:line="209" w:lineRule="exact"/>
                              <w:ind w:left="158"/>
                              <w:rPr>
                                <w:sz w:val="20"/>
                              </w:rPr>
                            </w:pPr>
                            <w:r>
                              <w:rPr>
                                <w:sz w:val="20"/>
                              </w:rPr>
                              <w:t>Guarani</w:t>
                            </w:r>
                            <w:r>
                              <w:rPr>
                                <w:spacing w:val="-9"/>
                                <w:sz w:val="20"/>
                              </w:rPr>
                              <w:t> </w:t>
                            </w:r>
                            <w:r>
                              <w:rPr>
                                <w:spacing w:val="-2"/>
                                <w:sz w:val="20"/>
                              </w:rPr>
                              <w:t>(grn)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7682</w:t>
                            </w:r>
                          </w:p>
                        </w:tc>
                        <w:tc>
                          <w:tcPr>
                            <w:tcW w:w="4077" w:type="dxa"/>
                          </w:tcPr>
                          <w:p>
                            <w:pPr>
                              <w:pStyle w:val="TableParagraph"/>
                              <w:spacing w:line="209" w:lineRule="exact"/>
                              <w:ind w:left="158"/>
                              <w:rPr>
                                <w:sz w:val="20"/>
                              </w:rPr>
                            </w:pPr>
                            <w:r>
                              <w:rPr>
                                <w:sz w:val="20"/>
                              </w:rPr>
                              <w:t>Paraguayan</w:t>
                            </w:r>
                            <w:r>
                              <w:rPr>
                                <w:spacing w:val="-10"/>
                                <w:sz w:val="20"/>
                              </w:rPr>
                              <w:t> </w:t>
                            </w:r>
                            <w:r>
                              <w:rPr>
                                <w:sz w:val="20"/>
                              </w:rPr>
                              <w:t>Guaraní</w:t>
                            </w:r>
                            <w:r>
                              <w:rPr>
                                <w:spacing w:val="-9"/>
                                <w:sz w:val="20"/>
                              </w:rPr>
                              <w:t> </w:t>
                            </w:r>
                            <w:r>
                              <w:rPr>
                                <w:spacing w:val="-4"/>
                                <w:sz w:val="20"/>
                              </w:rPr>
                              <w:t>(gug)</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7690</w:t>
                            </w:r>
                          </w:p>
                        </w:tc>
                        <w:tc>
                          <w:tcPr>
                            <w:tcW w:w="4077" w:type="dxa"/>
                          </w:tcPr>
                          <w:p>
                            <w:pPr>
                              <w:pStyle w:val="TableParagraph"/>
                              <w:ind w:left="158"/>
                              <w:rPr>
                                <w:sz w:val="20"/>
                              </w:rPr>
                            </w:pPr>
                            <w:r>
                              <w:rPr>
                                <w:sz w:val="20"/>
                              </w:rPr>
                              <w:t>Sirionó</w:t>
                            </w:r>
                            <w:r>
                              <w:rPr>
                                <w:spacing w:val="-6"/>
                                <w:sz w:val="20"/>
                              </w:rPr>
                              <w:t> </w:t>
                            </w:r>
                            <w:r>
                              <w:rPr>
                                <w:spacing w:val="-2"/>
                                <w:sz w:val="20"/>
                              </w:rPr>
                              <w:t>(srq)</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7700</w:t>
                            </w:r>
                          </w:p>
                        </w:tc>
                        <w:tc>
                          <w:tcPr>
                            <w:tcW w:w="4077" w:type="dxa"/>
                          </w:tcPr>
                          <w:p>
                            <w:pPr>
                              <w:pStyle w:val="TableParagraph"/>
                              <w:ind w:left="158"/>
                              <w:rPr>
                                <w:sz w:val="20"/>
                              </w:rPr>
                            </w:pPr>
                            <w:r>
                              <w:rPr>
                                <w:sz w:val="20"/>
                              </w:rPr>
                              <w:t>Xingú</w:t>
                            </w:r>
                            <w:r>
                              <w:rPr>
                                <w:spacing w:val="-7"/>
                                <w:sz w:val="20"/>
                              </w:rPr>
                              <w:t> </w:t>
                            </w:r>
                            <w:r>
                              <w:rPr>
                                <w:sz w:val="20"/>
                              </w:rPr>
                              <w:t>Asuriní</w:t>
                            </w:r>
                            <w:r>
                              <w:rPr>
                                <w:spacing w:val="-7"/>
                                <w:sz w:val="20"/>
                              </w:rPr>
                              <w:t> </w:t>
                            </w:r>
                            <w:r>
                              <w:rPr>
                                <w:spacing w:val="-2"/>
                                <w:sz w:val="20"/>
                              </w:rPr>
                              <w:t>(asn)</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7710</w:t>
                            </w:r>
                          </w:p>
                        </w:tc>
                        <w:tc>
                          <w:tcPr>
                            <w:tcW w:w="4077" w:type="dxa"/>
                          </w:tcPr>
                          <w:p>
                            <w:pPr>
                              <w:pStyle w:val="TableParagraph"/>
                              <w:ind w:left="158"/>
                              <w:rPr>
                                <w:sz w:val="20"/>
                              </w:rPr>
                            </w:pPr>
                            <w:r>
                              <w:rPr>
                                <w:spacing w:val="-2"/>
                                <w:sz w:val="20"/>
                              </w:rPr>
                              <w:t>Cocama-Cocamilla</w:t>
                            </w:r>
                            <w:r>
                              <w:rPr>
                                <w:spacing w:val="14"/>
                                <w:sz w:val="20"/>
                              </w:rPr>
                              <w:t> </w:t>
                            </w:r>
                            <w:r>
                              <w:rPr>
                                <w:spacing w:val="-4"/>
                                <w:sz w:val="20"/>
                              </w:rPr>
                              <w:t>(cod)</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30" w:hRule="atLeast"/>
                        </w:trPr>
                        <w:tc>
                          <w:tcPr>
                            <w:tcW w:w="612" w:type="dxa"/>
                          </w:tcPr>
                          <w:p>
                            <w:pPr>
                              <w:pStyle w:val="TableParagraph"/>
                              <w:ind w:left="50"/>
                              <w:rPr>
                                <w:sz w:val="20"/>
                              </w:rPr>
                            </w:pPr>
                            <w:r>
                              <w:rPr>
                                <w:spacing w:val="-4"/>
                                <w:sz w:val="20"/>
                              </w:rPr>
                              <w:t>7715</w:t>
                            </w:r>
                          </w:p>
                        </w:tc>
                        <w:tc>
                          <w:tcPr>
                            <w:tcW w:w="4077" w:type="dxa"/>
                          </w:tcPr>
                          <w:p>
                            <w:pPr>
                              <w:pStyle w:val="TableParagraph"/>
                              <w:ind w:left="158"/>
                              <w:rPr>
                                <w:sz w:val="20"/>
                              </w:rPr>
                            </w:pPr>
                            <w:r>
                              <w:rPr>
                                <w:sz w:val="20"/>
                              </w:rPr>
                              <w:t>Nhengatu</w:t>
                            </w:r>
                            <w:r>
                              <w:rPr>
                                <w:spacing w:val="-10"/>
                                <w:sz w:val="20"/>
                              </w:rPr>
                              <w:t> </w:t>
                            </w:r>
                            <w:r>
                              <w:rPr>
                                <w:spacing w:val="-2"/>
                                <w:sz w:val="20"/>
                              </w:rPr>
                              <w:t>(yrl)</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9" w:hRule="atLeast"/>
                        </w:trPr>
                        <w:tc>
                          <w:tcPr>
                            <w:tcW w:w="612" w:type="dxa"/>
                          </w:tcPr>
                          <w:p>
                            <w:pPr>
                              <w:pStyle w:val="TableParagraph"/>
                              <w:spacing w:line="209" w:lineRule="exact"/>
                              <w:ind w:left="50"/>
                              <w:rPr>
                                <w:sz w:val="20"/>
                              </w:rPr>
                            </w:pPr>
                            <w:r>
                              <w:rPr>
                                <w:spacing w:val="-4"/>
                                <w:sz w:val="20"/>
                              </w:rPr>
                              <w:t>7735</w:t>
                            </w:r>
                          </w:p>
                        </w:tc>
                        <w:tc>
                          <w:tcPr>
                            <w:tcW w:w="4077" w:type="dxa"/>
                          </w:tcPr>
                          <w:p>
                            <w:pPr>
                              <w:pStyle w:val="TableParagraph"/>
                              <w:spacing w:line="209" w:lineRule="exact"/>
                              <w:ind w:left="158"/>
                              <w:rPr>
                                <w:sz w:val="20"/>
                              </w:rPr>
                            </w:pPr>
                            <w:r>
                              <w:rPr>
                                <w:sz w:val="20"/>
                              </w:rPr>
                              <w:t>Tehuelche</w:t>
                            </w:r>
                            <w:r>
                              <w:rPr>
                                <w:spacing w:val="-11"/>
                                <w:sz w:val="20"/>
                              </w:rPr>
                              <w:t> </w:t>
                            </w:r>
                            <w:r>
                              <w:rPr>
                                <w:spacing w:val="-2"/>
                                <w:sz w:val="20"/>
                              </w:rPr>
                              <w:t>(teh)</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r>
                        <w:trPr>
                          <w:trHeight w:val="224" w:hRule="atLeast"/>
                        </w:trPr>
                        <w:tc>
                          <w:tcPr>
                            <w:tcW w:w="612" w:type="dxa"/>
                          </w:tcPr>
                          <w:p>
                            <w:pPr>
                              <w:pStyle w:val="TableParagraph"/>
                              <w:spacing w:line="204" w:lineRule="exact"/>
                              <w:ind w:left="50"/>
                              <w:rPr>
                                <w:sz w:val="20"/>
                              </w:rPr>
                            </w:pPr>
                            <w:r>
                              <w:rPr>
                                <w:spacing w:val="-4"/>
                                <w:sz w:val="20"/>
                              </w:rPr>
                              <w:t>7800</w:t>
                            </w:r>
                          </w:p>
                        </w:tc>
                        <w:tc>
                          <w:tcPr>
                            <w:tcW w:w="4077" w:type="dxa"/>
                          </w:tcPr>
                          <w:p>
                            <w:pPr>
                              <w:pStyle w:val="TableParagraph"/>
                              <w:spacing w:line="204" w:lineRule="exact"/>
                              <w:ind w:left="158"/>
                              <w:rPr>
                                <w:sz w:val="20"/>
                              </w:rPr>
                            </w:pPr>
                            <w:r>
                              <w:rPr>
                                <w:sz w:val="20"/>
                              </w:rPr>
                              <w:t>Argentina</w:t>
                            </w:r>
                            <w:r>
                              <w:rPr>
                                <w:spacing w:val="-12"/>
                                <w:sz w:val="20"/>
                              </w:rPr>
                              <w:t> </w:t>
                            </w:r>
                            <w:r>
                              <w:rPr>
                                <w:spacing w:val="-2"/>
                                <w:sz w:val="20"/>
                              </w:rPr>
                              <w:t>N.E.C.</w:t>
                            </w:r>
                          </w:p>
                        </w:tc>
                        <w:tc>
                          <w:tcPr>
                            <w:tcW w:w="1251" w:type="dxa"/>
                          </w:tcPr>
                          <w:p>
                            <w:pPr>
                              <w:pStyle w:val="TableParagraph"/>
                              <w:spacing w:line="240" w:lineRule="auto"/>
                              <w:rPr>
                                <w:sz w:val="16"/>
                              </w:rPr>
                            </w:pPr>
                          </w:p>
                        </w:tc>
                        <w:tc>
                          <w:tcPr>
                            <w:tcW w:w="2031" w:type="dxa"/>
                          </w:tcPr>
                          <w:p>
                            <w:pPr>
                              <w:pStyle w:val="TableParagraph"/>
                              <w:spacing w:line="240" w:lineRule="auto"/>
                              <w:rPr>
                                <w:sz w:val="16"/>
                              </w:rPr>
                            </w:pPr>
                          </w:p>
                        </w:tc>
                      </w:tr>
                    </w:tbl>
                    <w:p>
                      <w:pPr>
                        <w:pStyle w:val="BodyText"/>
                      </w:pPr>
                    </w:p>
                  </w:txbxContent>
                </v:textbox>
                <w10:wrap type="none"/>
              </v:shape>
            </w:pict>
          </mc:Fallback>
        </mc:AlternateContent>
      </w:r>
      <w:r>
        <w:rPr>
          <w:rFonts w:ascii="Times New Roman"/>
          <w:w w:val="99"/>
          <w:sz w:val="20"/>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0"/>
        </w:rPr>
      </w:pPr>
    </w:p>
    <w:p>
      <w:pPr>
        <w:tabs>
          <w:tab w:pos="1272" w:val="left" w:leader="none"/>
          <w:tab w:pos="7962" w:val="left" w:leader="none"/>
        </w:tabs>
        <w:spacing w:before="0"/>
        <w:ind w:left="552" w:right="0" w:firstLine="0"/>
        <w:jc w:val="left"/>
        <w:rPr>
          <w:rFonts w:ascii="Times New Roman"/>
          <w:sz w:val="20"/>
        </w:rPr>
      </w:pPr>
      <w:r>
        <w:rPr>
          <w:rFonts w:ascii="Times New Roman"/>
          <w:spacing w:val="-4"/>
          <w:sz w:val="20"/>
        </w:rPr>
        <w:t>7810</w:t>
      </w:r>
      <w:r>
        <w:rPr>
          <w:rFonts w:ascii="Times New Roman"/>
          <w:sz w:val="20"/>
        </w:rPr>
        <w:tab/>
        <w:t>Guatemala</w:t>
      </w:r>
      <w:r>
        <w:rPr>
          <w:rFonts w:ascii="Times New Roman"/>
          <w:spacing w:val="-10"/>
          <w:sz w:val="20"/>
        </w:rPr>
        <w:t> </w:t>
      </w:r>
      <w:r>
        <w:rPr>
          <w:rFonts w:ascii="Times New Roman"/>
          <w:spacing w:val="-2"/>
          <w:sz w:val="20"/>
        </w:rPr>
        <w:t>N.E.C.</w:t>
      </w:r>
      <w:r>
        <w:rPr>
          <w:rFonts w:ascii="Times New Roman"/>
          <w:sz w:val="20"/>
        </w:rPr>
        <w:tab/>
        <w:t>Last</w:t>
      </w:r>
      <w:r>
        <w:rPr>
          <w:rFonts w:ascii="Times New Roman"/>
          <w:spacing w:val="-6"/>
          <w:sz w:val="20"/>
        </w:rPr>
        <w:t> </w:t>
      </w:r>
      <w:r>
        <w:rPr>
          <w:rFonts w:ascii="Times New Roman"/>
          <w:sz w:val="20"/>
        </w:rPr>
        <w:t>revised</w:t>
      </w:r>
      <w:r>
        <w:rPr>
          <w:rFonts w:ascii="Times New Roman"/>
          <w:spacing w:val="-4"/>
          <w:sz w:val="20"/>
        </w:rPr>
        <w:t> </w:t>
      </w:r>
      <w:r>
        <w:rPr>
          <w:rFonts w:ascii="Times New Roman"/>
          <w:sz w:val="20"/>
        </w:rPr>
        <w:t>September</w:t>
      </w:r>
      <w:r>
        <w:rPr>
          <w:rFonts w:ascii="Times New Roman"/>
          <w:spacing w:val="-4"/>
          <w:sz w:val="20"/>
        </w:rPr>
        <w:t> </w:t>
      </w:r>
      <w:r>
        <w:rPr>
          <w:rFonts w:ascii="Times New Roman"/>
          <w:sz w:val="20"/>
        </w:rPr>
        <w:t>8,</w:t>
      </w:r>
      <w:r>
        <w:rPr>
          <w:rFonts w:ascii="Times New Roman"/>
          <w:spacing w:val="-5"/>
          <w:sz w:val="20"/>
        </w:rPr>
        <w:t> </w:t>
      </w:r>
      <w:r>
        <w:rPr>
          <w:rFonts w:ascii="Times New Roman"/>
          <w:spacing w:val="-4"/>
          <w:sz w:val="20"/>
        </w:rPr>
        <w:t>2017</w:t>
      </w:r>
    </w:p>
    <w:p>
      <w:pPr>
        <w:spacing w:after="0"/>
        <w:jc w:val="left"/>
        <w:rPr>
          <w:rFonts w:ascii="Times New Roman"/>
          <w:sz w:val="20"/>
        </w:rPr>
        <w:sectPr>
          <w:footerReference w:type="default" r:id="rId94"/>
          <w:pgSz w:w="12240" w:h="15840"/>
          <w:pgMar w:footer="0" w:header="0" w:top="1080" w:bottom="280" w:left="600" w:right="500"/>
        </w:sectPr>
      </w:pPr>
    </w:p>
    <w:p>
      <w:pPr>
        <w:pStyle w:val="BodyText"/>
        <w:rPr>
          <w:rFonts w:ascii="Times New Roman"/>
          <w:sz w:val="20"/>
        </w:rPr>
      </w:pPr>
    </w:p>
    <w:p>
      <w:pPr>
        <w:pStyle w:val="BodyText"/>
        <w:rPr>
          <w:rFonts w:ascii="Times New Roman"/>
          <w:sz w:val="20"/>
        </w:rPr>
      </w:pPr>
    </w:p>
    <w:p>
      <w:pPr>
        <w:pStyle w:val="BodyText"/>
        <w:spacing w:before="1"/>
        <w:rPr>
          <w:rFonts w:ascii="Times New Roman"/>
          <w:sz w:val="21"/>
        </w:rPr>
      </w:pPr>
    </w:p>
    <w:p>
      <w:pPr>
        <w:pStyle w:val="Heading6"/>
        <w:spacing w:before="92"/>
        <w:ind w:left="2259"/>
        <w:jc w:val="left"/>
        <w:rPr>
          <w:rFonts w:ascii="Arial"/>
        </w:rPr>
      </w:pPr>
      <w:r>
        <w:rPr/>
        <mc:AlternateContent>
          <mc:Choice Requires="wps">
            <w:drawing>
              <wp:anchor distT="0" distB="0" distL="0" distR="0" allowOverlap="1" layoutInCell="1" locked="0" behindDoc="1" simplePos="0" relativeHeight="478385664">
                <wp:simplePos x="0" y="0"/>
                <wp:positionH relativeFrom="page">
                  <wp:posOffset>940256</wp:posOffset>
                </wp:positionH>
                <wp:positionV relativeFrom="paragraph">
                  <wp:posOffset>-439928</wp:posOffset>
                </wp:positionV>
                <wp:extent cx="5800725" cy="7653655"/>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5800725" cy="7653655"/>
                          <a:chExt cx="5800725" cy="7653655"/>
                        </a:xfrm>
                      </wpg:grpSpPr>
                      <wps:wsp>
                        <wps:cNvPr id="201" name="Graphic 201"/>
                        <wps:cNvSpPr/>
                        <wps:spPr>
                          <a:xfrm>
                            <a:off x="12211" y="0"/>
                            <a:ext cx="1270" cy="7653655"/>
                          </a:xfrm>
                          <a:custGeom>
                            <a:avLst/>
                            <a:gdLst/>
                            <a:ahLst/>
                            <a:cxnLst/>
                            <a:rect l="l" t="t" r="r" b="b"/>
                            <a:pathLst>
                              <a:path w="0" h="7653655">
                                <a:moveTo>
                                  <a:pt x="0" y="7653648"/>
                                </a:moveTo>
                                <a:lnTo>
                                  <a:pt x="0" y="0"/>
                                </a:lnTo>
                              </a:path>
                            </a:pathLst>
                          </a:custGeom>
                          <a:ln w="15263">
                            <a:solidFill>
                              <a:srgbClr val="000000"/>
                            </a:solidFill>
                            <a:prstDash val="solid"/>
                          </a:ln>
                        </wps:spPr>
                        <wps:bodyPr wrap="square" lIns="0" tIns="0" rIns="0" bIns="0" rtlCol="0">
                          <a:prstTxWarp prst="textNoShape">
                            <a:avLst/>
                          </a:prstTxWarp>
                          <a:noAutofit/>
                        </wps:bodyPr>
                      </wps:wsp>
                      <wps:wsp>
                        <wps:cNvPr id="202" name="Graphic 202"/>
                        <wps:cNvSpPr/>
                        <wps:spPr>
                          <a:xfrm>
                            <a:off x="0" y="0"/>
                            <a:ext cx="5800725" cy="7653655"/>
                          </a:xfrm>
                          <a:custGeom>
                            <a:avLst/>
                            <a:gdLst/>
                            <a:ahLst/>
                            <a:cxnLst/>
                            <a:rect l="l" t="t" r="r" b="b"/>
                            <a:pathLst>
                              <a:path w="5800725" h="7653655">
                                <a:moveTo>
                                  <a:pt x="5791128" y="7653648"/>
                                </a:moveTo>
                                <a:lnTo>
                                  <a:pt x="5791128" y="0"/>
                                </a:lnTo>
                              </a:path>
                              <a:path w="5800725" h="7653655">
                                <a:moveTo>
                                  <a:pt x="0" y="12206"/>
                                </a:moveTo>
                                <a:lnTo>
                                  <a:pt x="5800286" y="12206"/>
                                </a:lnTo>
                              </a:path>
                            </a:pathLst>
                          </a:custGeom>
                          <a:ln w="12208">
                            <a:solidFill>
                              <a:srgbClr val="000000"/>
                            </a:solidFill>
                            <a:prstDash val="solid"/>
                          </a:ln>
                        </wps:spPr>
                        <wps:bodyPr wrap="square" lIns="0" tIns="0" rIns="0" bIns="0" rtlCol="0">
                          <a:prstTxWarp prst="textNoShape">
                            <a:avLst/>
                          </a:prstTxWarp>
                          <a:noAutofit/>
                        </wps:bodyPr>
                      </wps:wsp>
                      <wps:wsp>
                        <wps:cNvPr id="203" name="Graphic 203"/>
                        <wps:cNvSpPr/>
                        <wps:spPr>
                          <a:xfrm>
                            <a:off x="0" y="7635338"/>
                            <a:ext cx="5800725" cy="1270"/>
                          </a:xfrm>
                          <a:custGeom>
                            <a:avLst/>
                            <a:gdLst/>
                            <a:ahLst/>
                            <a:cxnLst/>
                            <a:rect l="l" t="t" r="r" b="b"/>
                            <a:pathLst>
                              <a:path w="5800725" h="0">
                                <a:moveTo>
                                  <a:pt x="0" y="0"/>
                                </a:moveTo>
                                <a:lnTo>
                                  <a:pt x="5800286" y="0"/>
                                </a:lnTo>
                              </a:path>
                            </a:pathLst>
                          </a:custGeom>
                          <a:ln w="152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4.035980pt;margin-top:-34.640064pt;width:456.75pt;height:602.65pt;mso-position-horizontal-relative:page;mso-position-vertical-relative:paragraph;z-index:-24930816" id="docshapegroup155" coordorigin="1481,-693" coordsize="9135,12053">
                <v:line style="position:absolute" from="1500,11360" to="1500,-693" stroked="true" strokeweight="1.201883pt" strokecolor="#000000">
                  <v:stroke dashstyle="solid"/>
                </v:line>
                <v:shape style="position:absolute;left:1480;top:-693;width:9135;height:12053" id="docshape156" coordorigin="1481,-693" coordsize="9135,12053" path="m10601,11360l10601,-693m1481,-674l10615,-674e" filled="false" stroked="true" strokeweight=".961335pt" strokecolor="#000000">
                  <v:path arrowok="t"/>
                  <v:stroke dashstyle="solid"/>
                </v:shape>
                <v:line style="position:absolute" from="1481,11331" to="10615,11331" stroked="true" strokeweight="1.201454pt" strokecolor="#000000">
                  <v:stroke dashstyle="solid"/>
                </v:line>
                <w10:wrap type="none"/>
              </v:group>
            </w:pict>
          </mc:Fallback>
        </mc:AlternateContent>
      </w:r>
      <w:r>
        <w:rPr>
          <w:rFonts w:ascii="Arial"/>
          <w:color w:val="0F0C16"/>
          <w:spacing w:val="-6"/>
        </w:rPr>
        <w:t>Ho</w:t>
      </w:r>
      <w:r>
        <w:rPr>
          <w:rFonts w:ascii="Arial"/>
          <w:color w:val="281831"/>
          <w:spacing w:val="-6"/>
        </w:rPr>
        <w:t>w</w:t>
      </w:r>
      <w:r>
        <w:rPr>
          <w:rFonts w:ascii="Arial"/>
          <w:color w:val="281831"/>
          <w:spacing w:val="-26"/>
        </w:rPr>
        <w:t> </w:t>
      </w:r>
      <w:r>
        <w:rPr>
          <w:rFonts w:ascii="Arial"/>
          <w:color w:val="281831"/>
          <w:spacing w:val="-6"/>
        </w:rPr>
        <w:t>t</w:t>
      </w:r>
      <w:r>
        <w:rPr>
          <w:rFonts w:ascii="Arial"/>
          <w:color w:val="0F0C16"/>
          <w:spacing w:val="-6"/>
        </w:rPr>
        <w:t>o</w:t>
      </w:r>
      <w:r>
        <w:rPr>
          <w:rFonts w:ascii="Arial"/>
          <w:color w:val="0F0C16"/>
          <w:spacing w:val="-16"/>
        </w:rPr>
        <w:t> </w:t>
      </w:r>
      <w:r>
        <w:rPr>
          <w:rFonts w:ascii="Arial"/>
          <w:color w:val="281831"/>
          <w:spacing w:val="-6"/>
        </w:rPr>
        <w:t>W</w:t>
      </w:r>
      <w:r>
        <w:rPr>
          <w:rFonts w:ascii="Arial"/>
          <w:color w:val="0F0C16"/>
          <w:spacing w:val="-6"/>
        </w:rPr>
        <w:t>o</w:t>
      </w:r>
      <w:r>
        <w:rPr>
          <w:rFonts w:ascii="Arial"/>
          <w:color w:val="281831"/>
          <w:spacing w:val="-6"/>
        </w:rPr>
        <w:t>rk</w:t>
      </w:r>
      <w:r>
        <w:rPr>
          <w:rFonts w:ascii="Arial"/>
          <w:color w:val="281831"/>
          <w:spacing w:val="-17"/>
        </w:rPr>
        <w:t> </w:t>
      </w:r>
      <w:r>
        <w:rPr>
          <w:rFonts w:ascii="Arial"/>
          <w:color w:val="281831"/>
          <w:spacing w:val="-6"/>
        </w:rPr>
        <w:t>w</w:t>
      </w:r>
      <w:r>
        <w:rPr>
          <w:rFonts w:ascii="Arial"/>
          <w:color w:val="492646"/>
          <w:spacing w:val="-6"/>
        </w:rPr>
        <w:t>i</w:t>
      </w:r>
      <w:r>
        <w:rPr>
          <w:rFonts w:ascii="Arial"/>
          <w:color w:val="281831"/>
          <w:spacing w:val="-6"/>
        </w:rPr>
        <w:t>t</w:t>
      </w:r>
      <w:r>
        <w:rPr>
          <w:rFonts w:ascii="Arial"/>
          <w:color w:val="0E1C2F"/>
          <w:spacing w:val="-6"/>
        </w:rPr>
        <w:t>h</w:t>
      </w:r>
      <w:r>
        <w:rPr>
          <w:rFonts w:ascii="Arial"/>
          <w:color w:val="0E1C2F"/>
          <w:spacing w:val="-24"/>
        </w:rPr>
        <w:t> </w:t>
      </w:r>
      <w:r>
        <w:rPr>
          <w:rFonts w:ascii="Arial"/>
          <w:color w:val="0F0C16"/>
          <w:spacing w:val="-6"/>
        </w:rPr>
        <w:t>a</w:t>
      </w:r>
      <w:r>
        <w:rPr>
          <w:rFonts w:ascii="Arial"/>
          <w:color w:val="0F0C16"/>
          <w:spacing w:val="-13"/>
        </w:rPr>
        <w:t> </w:t>
      </w:r>
      <w:r>
        <w:rPr>
          <w:rFonts w:ascii="Arial"/>
          <w:color w:val="0E1C2F"/>
          <w:spacing w:val="-6"/>
        </w:rPr>
        <w:t>Telephone</w:t>
      </w:r>
      <w:r>
        <w:rPr>
          <w:rFonts w:ascii="Arial"/>
          <w:color w:val="0E1C2F"/>
          <w:spacing w:val="10"/>
        </w:rPr>
        <w:t> </w:t>
      </w:r>
      <w:r>
        <w:rPr>
          <w:rFonts w:ascii="Arial"/>
          <w:color w:val="281831"/>
          <w:spacing w:val="-6"/>
        </w:rPr>
        <w:t>Int</w:t>
      </w:r>
      <w:r>
        <w:rPr>
          <w:rFonts w:ascii="Arial"/>
          <w:color w:val="0F0C16"/>
          <w:spacing w:val="-6"/>
        </w:rPr>
        <w:t>e</w:t>
      </w:r>
      <w:r>
        <w:rPr>
          <w:rFonts w:ascii="Arial"/>
          <w:color w:val="281831"/>
          <w:spacing w:val="-6"/>
        </w:rPr>
        <w:t>rp</w:t>
      </w:r>
      <w:r>
        <w:rPr>
          <w:rFonts w:ascii="Arial"/>
          <w:color w:val="0E1C2F"/>
          <w:spacing w:val="-6"/>
        </w:rPr>
        <w:t>r</w:t>
      </w:r>
      <w:r>
        <w:rPr>
          <w:rFonts w:ascii="Arial"/>
          <w:color w:val="0F0C16"/>
          <w:spacing w:val="-6"/>
        </w:rPr>
        <w:t>e</w:t>
      </w:r>
      <w:r>
        <w:rPr>
          <w:rFonts w:ascii="Arial"/>
          <w:color w:val="281831"/>
          <w:spacing w:val="-6"/>
        </w:rPr>
        <w:t>t</w:t>
      </w:r>
      <w:r>
        <w:rPr>
          <w:rFonts w:ascii="Arial"/>
          <w:color w:val="0F0C16"/>
          <w:spacing w:val="-6"/>
        </w:rPr>
        <w:t>e</w:t>
      </w:r>
      <w:r>
        <w:rPr>
          <w:rFonts w:ascii="Arial"/>
          <w:color w:val="281831"/>
          <w:spacing w:val="-6"/>
        </w:rPr>
        <w:t>r</w:t>
      </w:r>
    </w:p>
    <w:p>
      <w:pPr>
        <w:spacing w:line="266" w:lineRule="auto" w:before="264"/>
        <w:ind w:left="2255" w:right="2469" w:hanging="4"/>
        <w:jc w:val="left"/>
        <w:rPr>
          <w:rFonts w:ascii="Arial" w:hAnsi="Arial"/>
          <w:sz w:val="17"/>
        </w:rPr>
      </w:pPr>
      <w:r>
        <w:rPr>
          <w:rFonts w:ascii="Arial" w:hAnsi="Arial"/>
          <w:color w:val="181F52"/>
          <w:w w:val="105"/>
          <w:sz w:val="17"/>
        </w:rPr>
        <w:t>T</w:t>
      </w:r>
      <w:r>
        <w:rPr>
          <w:rFonts w:ascii="Arial" w:hAnsi="Arial"/>
          <w:color w:val="4F495E"/>
          <w:w w:val="105"/>
          <w:sz w:val="17"/>
        </w:rPr>
        <w:t>elephone </w:t>
      </w:r>
      <w:r>
        <w:rPr>
          <w:rFonts w:ascii="Arial" w:hAnsi="Arial"/>
          <w:color w:val="333D74"/>
          <w:w w:val="105"/>
          <w:sz w:val="17"/>
        </w:rPr>
        <w:t>i</w:t>
      </w:r>
      <w:r>
        <w:rPr>
          <w:rFonts w:ascii="Arial" w:hAnsi="Arial"/>
          <w:color w:val="4F495E"/>
          <w:w w:val="105"/>
          <w:sz w:val="17"/>
        </w:rPr>
        <w:t>nterpreters may </w:t>
      </w:r>
      <w:r>
        <w:rPr>
          <w:rFonts w:ascii="Arial" w:hAnsi="Arial"/>
          <w:color w:val="333D74"/>
          <w:w w:val="105"/>
          <w:sz w:val="17"/>
        </w:rPr>
        <w:t>r</w:t>
      </w:r>
      <w:r>
        <w:rPr>
          <w:rFonts w:ascii="Arial" w:hAnsi="Arial"/>
          <w:color w:val="4F495E"/>
          <w:w w:val="105"/>
          <w:sz w:val="17"/>
        </w:rPr>
        <w:t>ece</w:t>
      </w:r>
      <w:r>
        <w:rPr>
          <w:rFonts w:ascii="Arial" w:hAnsi="Arial"/>
          <w:color w:val="480F3F"/>
          <w:w w:val="105"/>
          <w:sz w:val="17"/>
        </w:rPr>
        <w:t>i</w:t>
      </w:r>
      <w:r>
        <w:rPr>
          <w:rFonts w:ascii="Arial" w:hAnsi="Arial"/>
          <w:color w:val="4F495E"/>
          <w:w w:val="105"/>
          <w:sz w:val="17"/>
        </w:rPr>
        <w:t>ve several </w:t>
      </w:r>
      <w:r>
        <w:rPr>
          <w:rFonts w:ascii="Arial" w:hAnsi="Arial"/>
          <w:color w:val="5D5E74"/>
          <w:w w:val="105"/>
          <w:sz w:val="17"/>
        </w:rPr>
        <w:t>calls </w:t>
      </w:r>
      <w:r>
        <w:rPr>
          <w:rFonts w:ascii="Arial" w:hAnsi="Arial"/>
          <w:color w:val="4F495E"/>
          <w:w w:val="105"/>
          <w:sz w:val="17"/>
        </w:rPr>
        <w:t>a day</w:t>
      </w:r>
      <w:r>
        <w:rPr>
          <w:rFonts w:ascii="Arial" w:hAnsi="Arial"/>
          <w:color w:val="281831"/>
          <w:w w:val="105"/>
          <w:sz w:val="17"/>
        </w:rPr>
        <w:t>-</w:t>
      </w:r>
      <w:r>
        <w:rPr>
          <w:rFonts w:ascii="Arial" w:hAnsi="Arial"/>
          <w:color w:val="3D3459"/>
          <w:w w:val="105"/>
          <w:sz w:val="17"/>
        </w:rPr>
        <w:t>ea</w:t>
      </w:r>
      <w:r>
        <w:rPr>
          <w:rFonts w:ascii="Arial" w:hAnsi="Arial"/>
          <w:color w:val="5D5E74"/>
          <w:w w:val="105"/>
          <w:sz w:val="17"/>
        </w:rPr>
        <w:t>ch </w:t>
      </w:r>
      <w:r>
        <w:rPr>
          <w:rFonts w:ascii="Arial" w:hAnsi="Arial"/>
          <w:color w:val="4F495E"/>
          <w:w w:val="105"/>
          <w:sz w:val="17"/>
        </w:rPr>
        <w:t>one </w:t>
      </w:r>
      <w:r>
        <w:rPr>
          <w:rFonts w:ascii="Arial" w:hAnsi="Arial"/>
          <w:color w:val="212F77"/>
          <w:w w:val="105"/>
          <w:sz w:val="17"/>
        </w:rPr>
        <w:t>r</w:t>
      </w:r>
      <w:r>
        <w:rPr>
          <w:rFonts w:ascii="Arial" w:hAnsi="Arial"/>
          <w:color w:val="4F495E"/>
          <w:w w:val="105"/>
          <w:sz w:val="17"/>
        </w:rPr>
        <w:t>equiring</w:t>
      </w:r>
      <w:r>
        <w:rPr>
          <w:rFonts w:ascii="Arial" w:hAnsi="Arial"/>
          <w:color w:val="4F495E"/>
          <w:spacing w:val="40"/>
          <w:w w:val="105"/>
          <w:sz w:val="17"/>
        </w:rPr>
        <w:t> </w:t>
      </w:r>
      <w:r>
        <w:rPr>
          <w:rFonts w:ascii="Arial" w:hAnsi="Arial"/>
          <w:color w:val="4F495E"/>
          <w:w w:val="105"/>
          <w:sz w:val="17"/>
        </w:rPr>
        <w:t>special</w:t>
      </w:r>
      <w:r>
        <w:rPr>
          <w:rFonts w:ascii="Arial" w:hAnsi="Arial"/>
          <w:color w:val="4F495E"/>
          <w:spacing w:val="29"/>
          <w:w w:val="105"/>
          <w:sz w:val="17"/>
        </w:rPr>
        <w:t> </w:t>
      </w:r>
      <w:r>
        <w:rPr>
          <w:rFonts w:ascii="Arial" w:hAnsi="Arial"/>
          <w:color w:val="4F495E"/>
          <w:w w:val="105"/>
          <w:sz w:val="17"/>
        </w:rPr>
        <w:t>attent</w:t>
      </w:r>
      <w:r>
        <w:rPr>
          <w:rFonts w:ascii="Arial" w:hAnsi="Arial"/>
          <w:color w:val="492646"/>
          <w:w w:val="105"/>
          <w:sz w:val="17"/>
        </w:rPr>
        <w:t>i</w:t>
      </w:r>
      <w:r>
        <w:rPr>
          <w:rFonts w:ascii="Arial" w:hAnsi="Arial"/>
          <w:color w:val="4F495E"/>
          <w:w w:val="105"/>
          <w:sz w:val="17"/>
        </w:rPr>
        <w:t>on in a</w:t>
      </w:r>
      <w:r>
        <w:rPr>
          <w:rFonts w:ascii="Arial" w:hAnsi="Arial"/>
          <w:color w:val="4F495E"/>
          <w:spacing w:val="26"/>
          <w:w w:val="105"/>
          <w:sz w:val="17"/>
        </w:rPr>
        <w:t> </w:t>
      </w:r>
      <w:r>
        <w:rPr>
          <w:rFonts w:ascii="Arial" w:hAnsi="Arial"/>
          <w:color w:val="4F495E"/>
          <w:w w:val="105"/>
          <w:sz w:val="17"/>
        </w:rPr>
        <w:t>spec</w:t>
      </w:r>
      <w:r>
        <w:rPr>
          <w:rFonts w:ascii="Arial" w:hAnsi="Arial"/>
          <w:color w:val="212F77"/>
          <w:w w:val="105"/>
          <w:sz w:val="17"/>
        </w:rPr>
        <w:t>i</w:t>
      </w:r>
      <w:r>
        <w:rPr>
          <w:rFonts w:ascii="Arial" w:hAnsi="Arial"/>
          <w:color w:val="3D3459"/>
          <w:w w:val="105"/>
          <w:sz w:val="17"/>
        </w:rPr>
        <w:t>fic </w:t>
      </w:r>
      <w:r>
        <w:rPr>
          <w:rFonts w:ascii="Arial" w:hAnsi="Arial"/>
          <w:color w:val="4F495E"/>
          <w:w w:val="105"/>
          <w:sz w:val="17"/>
        </w:rPr>
        <w:t>field.</w:t>
      </w:r>
      <w:r>
        <w:rPr>
          <w:rFonts w:ascii="Arial" w:hAnsi="Arial"/>
          <w:color w:val="4F495E"/>
          <w:spacing w:val="30"/>
          <w:w w:val="105"/>
          <w:sz w:val="17"/>
        </w:rPr>
        <w:t> </w:t>
      </w:r>
      <w:r>
        <w:rPr>
          <w:rFonts w:ascii="Arial" w:hAnsi="Arial"/>
          <w:color w:val="4F495E"/>
          <w:w w:val="105"/>
          <w:sz w:val="17"/>
        </w:rPr>
        <w:t>When</w:t>
      </w:r>
      <w:r>
        <w:rPr>
          <w:rFonts w:ascii="Arial" w:hAnsi="Arial"/>
          <w:color w:val="4F495E"/>
          <w:spacing w:val="27"/>
          <w:w w:val="105"/>
          <w:sz w:val="17"/>
        </w:rPr>
        <w:t> </w:t>
      </w:r>
      <w:r>
        <w:rPr>
          <w:rFonts w:ascii="Arial" w:hAnsi="Arial"/>
          <w:color w:val="4F495E"/>
          <w:w w:val="105"/>
          <w:sz w:val="17"/>
        </w:rPr>
        <w:t>working</w:t>
      </w:r>
      <w:r>
        <w:rPr>
          <w:rFonts w:ascii="Arial" w:hAnsi="Arial"/>
          <w:color w:val="4F495E"/>
          <w:spacing w:val="35"/>
          <w:w w:val="105"/>
          <w:sz w:val="17"/>
        </w:rPr>
        <w:t> </w:t>
      </w:r>
      <w:r>
        <w:rPr>
          <w:rFonts w:ascii="Arial" w:hAnsi="Arial"/>
          <w:color w:val="4F495E"/>
          <w:w w:val="105"/>
          <w:sz w:val="17"/>
        </w:rPr>
        <w:t>w</w:t>
      </w:r>
      <w:r>
        <w:rPr>
          <w:rFonts w:ascii="Arial" w:hAnsi="Arial"/>
          <w:color w:val="333D74"/>
          <w:w w:val="105"/>
          <w:sz w:val="17"/>
        </w:rPr>
        <w:t>i</w:t>
      </w:r>
      <w:r>
        <w:rPr>
          <w:rFonts w:ascii="Arial" w:hAnsi="Arial"/>
          <w:color w:val="4F495E"/>
          <w:w w:val="105"/>
          <w:sz w:val="17"/>
        </w:rPr>
        <w:t>th an </w:t>
      </w:r>
      <w:r>
        <w:rPr>
          <w:rFonts w:ascii="Arial" w:hAnsi="Arial"/>
          <w:color w:val="212F77"/>
          <w:w w:val="105"/>
          <w:sz w:val="17"/>
        </w:rPr>
        <w:t>i</w:t>
      </w:r>
      <w:r>
        <w:rPr>
          <w:rFonts w:ascii="Arial" w:hAnsi="Arial"/>
          <w:color w:val="4F495E"/>
          <w:w w:val="105"/>
          <w:sz w:val="17"/>
        </w:rPr>
        <w:t>nte</w:t>
      </w:r>
      <w:r>
        <w:rPr>
          <w:rFonts w:ascii="Arial" w:hAnsi="Arial"/>
          <w:color w:val="6B5B5B"/>
          <w:w w:val="105"/>
          <w:sz w:val="17"/>
        </w:rPr>
        <w:t>r</w:t>
      </w:r>
      <w:r>
        <w:rPr>
          <w:rFonts w:ascii="Arial" w:hAnsi="Arial"/>
          <w:color w:val="4F495E"/>
          <w:w w:val="105"/>
          <w:sz w:val="17"/>
        </w:rPr>
        <w:t>preter over-the</w:t>
      </w:r>
      <w:r>
        <w:rPr>
          <w:rFonts w:ascii="Arial" w:hAnsi="Arial"/>
          <w:color w:val="492646"/>
          <w:w w:val="105"/>
          <w:sz w:val="17"/>
        </w:rPr>
        <w:t>­ </w:t>
      </w:r>
      <w:r>
        <w:rPr>
          <w:rFonts w:ascii="Arial" w:hAnsi="Arial"/>
          <w:color w:val="4F495E"/>
          <w:w w:val="105"/>
          <w:sz w:val="17"/>
        </w:rPr>
        <w:t>phone,</w:t>
      </w:r>
      <w:r>
        <w:rPr>
          <w:rFonts w:ascii="Arial" w:hAnsi="Arial"/>
          <w:color w:val="4F495E"/>
          <w:spacing w:val="33"/>
          <w:w w:val="105"/>
          <w:sz w:val="17"/>
        </w:rPr>
        <w:t> </w:t>
      </w:r>
      <w:r>
        <w:rPr>
          <w:rFonts w:ascii="Arial" w:hAnsi="Arial"/>
          <w:color w:val="492646"/>
          <w:w w:val="105"/>
          <w:sz w:val="17"/>
        </w:rPr>
        <w:t>t</w:t>
      </w:r>
      <w:r>
        <w:rPr>
          <w:rFonts w:ascii="Arial" w:hAnsi="Arial"/>
          <w:color w:val="4F495E"/>
          <w:w w:val="105"/>
          <w:sz w:val="17"/>
        </w:rPr>
        <w:t>here are a few</w:t>
      </w:r>
      <w:r>
        <w:rPr>
          <w:rFonts w:ascii="Arial" w:hAnsi="Arial"/>
          <w:color w:val="4F495E"/>
          <w:spacing w:val="33"/>
          <w:w w:val="105"/>
          <w:sz w:val="17"/>
        </w:rPr>
        <w:t> </w:t>
      </w:r>
      <w:r>
        <w:rPr>
          <w:rFonts w:ascii="Arial" w:hAnsi="Arial"/>
          <w:color w:val="3D3459"/>
          <w:w w:val="105"/>
          <w:sz w:val="17"/>
        </w:rPr>
        <w:t>th</w:t>
      </w:r>
      <w:r>
        <w:rPr>
          <w:rFonts w:ascii="Arial" w:hAnsi="Arial"/>
          <w:color w:val="480F3F"/>
          <w:w w:val="105"/>
          <w:sz w:val="17"/>
        </w:rPr>
        <w:t>i</w:t>
      </w:r>
      <w:r>
        <w:rPr>
          <w:rFonts w:ascii="Arial" w:hAnsi="Arial"/>
          <w:color w:val="4F495E"/>
          <w:w w:val="105"/>
          <w:sz w:val="17"/>
        </w:rPr>
        <w:t>ngs </w:t>
      </w:r>
      <w:r>
        <w:rPr>
          <w:rFonts w:ascii="Arial" w:hAnsi="Arial"/>
          <w:color w:val="5D5E74"/>
          <w:w w:val="105"/>
          <w:sz w:val="17"/>
        </w:rPr>
        <w:t>you </w:t>
      </w:r>
      <w:r>
        <w:rPr>
          <w:rFonts w:ascii="Arial" w:hAnsi="Arial"/>
          <w:color w:val="4F495E"/>
          <w:w w:val="105"/>
          <w:sz w:val="17"/>
        </w:rPr>
        <w:t>shou</w:t>
      </w:r>
      <w:r>
        <w:rPr>
          <w:rFonts w:ascii="Arial" w:hAnsi="Arial"/>
          <w:color w:val="480F3F"/>
          <w:w w:val="105"/>
          <w:sz w:val="17"/>
        </w:rPr>
        <w:t>l</w:t>
      </w:r>
      <w:r>
        <w:rPr>
          <w:rFonts w:ascii="Arial" w:hAnsi="Arial"/>
          <w:color w:val="4F495E"/>
          <w:w w:val="105"/>
          <w:sz w:val="17"/>
        </w:rPr>
        <w:t>d keep </w:t>
      </w:r>
      <w:r>
        <w:rPr>
          <w:rFonts w:ascii="Arial" w:hAnsi="Arial"/>
          <w:color w:val="480F3F"/>
          <w:w w:val="105"/>
          <w:sz w:val="17"/>
        </w:rPr>
        <w:t>i</w:t>
      </w:r>
      <w:r>
        <w:rPr>
          <w:rFonts w:ascii="Arial" w:hAnsi="Arial"/>
          <w:color w:val="4F495E"/>
          <w:w w:val="105"/>
          <w:sz w:val="17"/>
        </w:rPr>
        <w:t>n </w:t>
      </w:r>
      <w:r>
        <w:rPr>
          <w:rFonts w:ascii="Arial" w:hAnsi="Arial"/>
          <w:color w:val="3D3459"/>
          <w:w w:val="105"/>
          <w:sz w:val="17"/>
        </w:rPr>
        <w:t>m</w:t>
      </w:r>
      <w:r>
        <w:rPr>
          <w:rFonts w:ascii="Arial" w:hAnsi="Arial"/>
          <w:color w:val="5D5E74"/>
          <w:w w:val="105"/>
          <w:sz w:val="17"/>
        </w:rPr>
        <w:t>ind </w:t>
      </w:r>
      <w:r>
        <w:rPr>
          <w:rFonts w:ascii="Arial" w:hAnsi="Arial"/>
          <w:color w:val="3D3459"/>
          <w:w w:val="105"/>
          <w:sz w:val="17"/>
        </w:rPr>
        <w:t>to ensure</w:t>
      </w:r>
      <w:r>
        <w:rPr>
          <w:rFonts w:ascii="Arial" w:hAnsi="Arial"/>
          <w:color w:val="3D3459"/>
          <w:spacing w:val="34"/>
          <w:w w:val="105"/>
          <w:sz w:val="17"/>
        </w:rPr>
        <w:t> </w:t>
      </w:r>
      <w:r>
        <w:rPr>
          <w:rFonts w:ascii="Arial" w:hAnsi="Arial"/>
          <w:color w:val="5D5E74"/>
          <w:w w:val="105"/>
          <w:sz w:val="17"/>
        </w:rPr>
        <w:t>your </w:t>
      </w:r>
      <w:r>
        <w:rPr>
          <w:rFonts w:ascii="Arial" w:hAnsi="Arial"/>
          <w:color w:val="4F495E"/>
          <w:w w:val="105"/>
          <w:sz w:val="17"/>
        </w:rPr>
        <w:t>call is </w:t>
      </w:r>
      <w:r>
        <w:rPr>
          <w:rFonts w:ascii="Arial" w:hAnsi="Arial"/>
          <w:color w:val="3D3459"/>
          <w:w w:val="105"/>
          <w:sz w:val="17"/>
        </w:rPr>
        <w:t>handle</w:t>
      </w:r>
      <w:r>
        <w:rPr>
          <w:rFonts w:ascii="Arial" w:hAnsi="Arial"/>
          <w:color w:val="5D5E74"/>
          <w:w w:val="105"/>
          <w:sz w:val="17"/>
        </w:rPr>
        <w:t>d </w:t>
      </w:r>
      <w:r>
        <w:rPr>
          <w:rFonts w:ascii="Arial" w:hAnsi="Arial"/>
          <w:color w:val="4F495E"/>
          <w:w w:val="105"/>
          <w:sz w:val="17"/>
        </w:rPr>
        <w:t>qu</w:t>
      </w:r>
      <w:r>
        <w:rPr>
          <w:rFonts w:ascii="Arial" w:hAnsi="Arial"/>
          <w:color w:val="480F3F"/>
          <w:w w:val="105"/>
          <w:sz w:val="17"/>
        </w:rPr>
        <w:t>i</w:t>
      </w:r>
      <w:r>
        <w:rPr>
          <w:rFonts w:ascii="Arial" w:hAnsi="Arial"/>
          <w:color w:val="5D5E74"/>
          <w:w w:val="105"/>
          <w:sz w:val="17"/>
        </w:rPr>
        <w:t>ck</w:t>
      </w:r>
      <w:r>
        <w:rPr>
          <w:rFonts w:ascii="Arial" w:hAnsi="Arial"/>
          <w:color w:val="480F3F"/>
          <w:w w:val="105"/>
          <w:sz w:val="17"/>
        </w:rPr>
        <w:t>l</w:t>
      </w:r>
      <w:r>
        <w:rPr>
          <w:rFonts w:ascii="Arial" w:hAnsi="Arial"/>
          <w:color w:val="5D5E74"/>
          <w:w w:val="105"/>
          <w:sz w:val="17"/>
        </w:rPr>
        <w:t>y </w:t>
      </w:r>
      <w:r>
        <w:rPr>
          <w:rFonts w:ascii="Arial" w:hAnsi="Arial"/>
          <w:color w:val="4F495E"/>
          <w:w w:val="105"/>
          <w:sz w:val="17"/>
        </w:rPr>
        <w:t>and successfu</w:t>
      </w:r>
      <w:r>
        <w:rPr>
          <w:rFonts w:ascii="Arial" w:hAnsi="Arial"/>
          <w:color w:val="212F77"/>
          <w:w w:val="105"/>
          <w:sz w:val="17"/>
        </w:rPr>
        <w:t>l</w:t>
      </w:r>
      <w:r>
        <w:rPr>
          <w:rFonts w:ascii="Arial" w:hAnsi="Arial"/>
          <w:color w:val="5D5E74"/>
          <w:w w:val="105"/>
          <w:sz w:val="17"/>
        </w:rPr>
        <w:t>ly</w:t>
      </w:r>
      <w:r>
        <w:rPr>
          <w:rFonts w:ascii="Arial" w:hAnsi="Arial"/>
          <w:color w:val="281831"/>
          <w:w w:val="105"/>
          <w:sz w:val="17"/>
        </w:rPr>
        <w:t>.</w:t>
      </w:r>
    </w:p>
    <w:p>
      <w:pPr>
        <w:pStyle w:val="BodyText"/>
        <w:rPr>
          <w:rFonts w:ascii="Arial"/>
          <w:sz w:val="21"/>
        </w:rPr>
      </w:pPr>
    </w:p>
    <w:p>
      <w:pPr>
        <w:spacing w:before="0"/>
        <w:ind w:left="2260" w:right="0" w:firstLine="0"/>
        <w:jc w:val="left"/>
        <w:rPr>
          <w:rFonts w:ascii="Arial"/>
          <w:b/>
          <w:sz w:val="15"/>
        </w:rPr>
      </w:pPr>
      <w:r>
        <w:rPr>
          <w:rFonts w:ascii="Arial"/>
          <w:b/>
          <w:color w:val="281831"/>
          <w:w w:val="105"/>
          <w:sz w:val="15"/>
        </w:rPr>
        <w:t>Y</w:t>
      </w:r>
      <w:r>
        <w:rPr>
          <w:rFonts w:ascii="Arial"/>
          <w:b/>
          <w:color w:val="0F0C16"/>
          <w:w w:val="105"/>
          <w:sz w:val="15"/>
        </w:rPr>
        <w:t>o</w:t>
      </w:r>
      <w:r>
        <w:rPr>
          <w:rFonts w:ascii="Arial"/>
          <w:b/>
          <w:color w:val="281831"/>
          <w:w w:val="105"/>
          <w:sz w:val="15"/>
        </w:rPr>
        <w:t>ur</w:t>
      </w:r>
      <w:r>
        <w:rPr>
          <w:rFonts w:ascii="Arial"/>
          <w:b/>
          <w:color w:val="281831"/>
          <w:spacing w:val="6"/>
          <w:w w:val="105"/>
          <w:sz w:val="15"/>
        </w:rPr>
        <w:t> </w:t>
      </w:r>
      <w:r>
        <w:rPr>
          <w:rFonts w:ascii="Arial"/>
          <w:b/>
          <w:color w:val="0E1C2F"/>
          <w:spacing w:val="-4"/>
          <w:w w:val="105"/>
          <w:sz w:val="15"/>
        </w:rPr>
        <w:t>role</w:t>
      </w:r>
    </w:p>
    <w:p>
      <w:pPr>
        <w:pStyle w:val="BodyText"/>
        <w:spacing w:before="7"/>
        <w:rPr>
          <w:rFonts w:ascii="Arial"/>
          <w:b/>
          <w:sz w:val="22"/>
        </w:rPr>
      </w:pPr>
    </w:p>
    <w:p>
      <w:pPr>
        <w:pStyle w:val="ListParagraph"/>
        <w:numPr>
          <w:ilvl w:val="0"/>
          <w:numId w:val="39"/>
        </w:numPr>
        <w:tabs>
          <w:tab w:pos="2836" w:val="left" w:leader="none"/>
          <w:tab w:pos="2842" w:val="left" w:leader="none"/>
        </w:tabs>
        <w:spacing w:line="261" w:lineRule="auto" w:before="1" w:after="0"/>
        <w:ind w:left="2836" w:right="2341" w:hanging="292"/>
        <w:jc w:val="left"/>
        <w:rPr>
          <w:rFonts w:ascii="Arial" w:hAnsi="Arial"/>
          <w:sz w:val="17"/>
        </w:rPr>
      </w:pPr>
      <w:r>
        <w:rPr>
          <w:rFonts w:ascii="Arial" w:hAnsi="Arial"/>
          <w:color w:val="0F0C16"/>
          <w:sz w:val="17"/>
        </w:rPr>
        <w:tab/>
      </w:r>
      <w:r>
        <w:rPr>
          <w:rFonts w:ascii="Arial" w:hAnsi="Arial"/>
          <w:color w:val="3D3459"/>
          <w:w w:val="105"/>
          <w:sz w:val="17"/>
        </w:rPr>
        <w:t>A</w:t>
      </w:r>
      <w:r>
        <w:rPr>
          <w:rFonts w:ascii="Arial" w:hAnsi="Arial"/>
          <w:color w:val="480F3F"/>
          <w:w w:val="105"/>
          <w:sz w:val="17"/>
        </w:rPr>
        <w:t>l</w:t>
      </w:r>
      <w:r>
        <w:rPr>
          <w:rFonts w:ascii="Arial" w:hAnsi="Arial"/>
          <w:color w:val="4F495E"/>
          <w:w w:val="105"/>
          <w:sz w:val="17"/>
        </w:rPr>
        <w:t>ways speak</w:t>
      </w:r>
      <w:r>
        <w:rPr>
          <w:rFonts w:ascii="Arial" w:hAnsi="Arial"/>
          <w:color w:val="4F495E"/>
          <w:spacing w:val="36"/>
          <w:w w:val="105"/>
          <w:sz w:val="17"/>
        </w:rPr>
        <w:t> </w:t>
      </w:r>
      <w:r>
        <w:rPr>
          <w:rFonts w:ascii="Arial" w:hAnsi="Arial"/>
          <w:color w:val="4F495E"/>
          <w:w w:val="105"/>
          <w:sz w:val="17"/>
        </w:rPr>
        <w:t>in</w:t>
      </w:r>
      <w:r>
        <w:rPr>
          <w:rFonts w:ascii="Arial" w:hAnsi="Arial"/>
          <w:color w:val="4F495E"/>
          <w:spacing w:val="40"/>
          <w:w w:val="105"/>
          <w:sz w:val="17"/>
        </w:rPr>
        <w:t> </w:t>
      </w:r>
      <w:r>
        <w:rPr>
          <w:rFonts w:ascii="Arial" w:hAnsi="Arial"/>
          <w:color w:val="4F495E"/>
          <w:w w:val="105"/>
          <w:sz w:val="17"/>
        </w:rPr>
        <w:t>firs</w:t>
      </w:r>
      <w:r>
        <w:rPr>
          <w:rFonts w:ascii="Arial" w:hAnsi="Arial"/>
          <w:color w:val="492646"/>
          <w:w w:val="105"/>
          <w:sz w:val="17"/>
        </w:rPr>
        <w:t>t</w:t>
      </w:r>
      <w:r>
        <w:rPr>
          <w:rFonts w:ascii="Arial" w:hAnsi="Arial"/>
          <w:color w:val="492646"/>
          <w:spacing w:val="40"/>
          <w:w w:val="105"/>
          <w:sz w:val="17"/>
        </w:rPr>
        <w:t> </w:t>
      </w:r>
      <w:r>
        <w:rPr>
          <w:rFonts w:ascii="Arial" w:hAnsi="Arial"/>
          <w:color w:val="4F495E"/>
          <w:w w:val="105"/>
          <w:sz w:val="17"/>
        </w:rPr>
        <w:t>person,</w:t>
      </w:r>
      <w:r>
        <w:rPr>
          <w:rFonts w:ascii="Arial" w:hAnsi="Arial"/>
          <w:color w:val="4F495E"/>
          <w:spacing w:val="35"/>
          <w:w w:val="105"/>
          <w:sz w:val="17"/>
        </w:rPr>
        <w:t> </w:t>
      </w:r>
      <w:r>
        <w:rPr>
          <w:rFonts w:ascii="Arial" w:hAnsi="Arial"/>
          <w:color w:val="492646"/>
          <w:w w:val="105"/>
          <w:sz w:val="17"/>
        </w:rPr>
        <w:t>j</w:t>
      </w:r>
      <w:r>
        <w:rPr>
          <w:rFonts w:ascii="Arial" w:hAnsi="Arial"/>
          <w:color w:val="4F495E"/>
          <w:w w:val="105"/>
          <w:sz w:val="17"/>
        </w:rPr>
        <w:t>ust</w:t>
      </w:r>
      <w:r>
        <w:rPr>
          <w:rFonts w:ascii="Arial" w:hAnsi="Arial"/>
          <w:color w:val="4F495E"/>
          <w:spacing w:val="35"/>
          <w:w w:val="105"/>
          <w:sz w:val="17"/>
        </w:rPr>
        <w:t> </w:t>
      </w:r>
      <w:r>
        <w:rPr>
          <w:rFonts w:ascii="Arial" w:hAnsi="Arial"/>
          <w:color w:val="4F495E"/>
          <w:w w:val="105"/>
          <w:sz w:val="17"/>
        </w:rPr>
        <w:t>as </w:t>
      </w:r>
      <w:r>
        <w:rPr>
          <w:rFonts w:ascii="Arial" w:hAnsi="Arial"/>
          <w:color w:val="5D5E74"/>
          <w:w w:val="105"/>
          <w:sz w:val="17"/>
        </w:rPr>
        <w:t>yo</w:t>
      </w:r>
      <w:r>
        <w:rPr>
          <w:rFonts w:ascii="Arial" w:hAnsi="Arial"/>
          <w:color w:val="3D3459"/>
          <w:w w:val="105"/>
          <w:sz w:val="17"/>
        </w:rPr>
        <w:t>u </w:t>
      </w:r>
      <w:r>
        <w:rPr>
          <w:rFonts w:ascii="Arial" w:hAnsi="Arial"/>
          <w:color w:val="5D5E74"/>
          <w:w w:val="105"/>
          <w:sz w:val="17"/>
        </w:rPr>
        <w:t>wou</w:t>
      </w:r>
      <w:r>
        <w:rPr>
          <w:rFonts w:ascii="Arial" w:hAnsi="Arial"/>
          <w:color w:val="333D74"/>
          <w:w w:val="105"/>
          <w:sz w:val="17"/>
        </w:rPr>
        <w:t>l</w:t>
      </w:r>
      <w:r>
        <w:rPr>
          <w:rFonts w:ascii="Arial" w:hAnsi="Arial"/>
          <w:color w:val="3D3459"/>
          <w:w w:val="105"/>
          <w:sz w:val="17"/>
        </w:rPr>
        <w:t>d </w:t>
      </w:r>
      <w:r>
        <w:rPr>
          <w:rFonts w:ascii="Arial" w:hAnsi="Arial"/>
          <w:color w:val="4F495E"/>
          <w:w w:val="105"/>
          <w:sz w:val="17"/>
        </w:rPr>
        <w:t>in</w:t>
      </w:r>
      <w:r>
        <w:rPr>
          <w:rFonts w:ascii="Arial" w:hAnsi="Arial"/>
          <w:color w:val="4F495E"/>
          <w:spacing w:val="34"/>
          <w:w w:val="105"/>
          <w:sz w:val="17"/>
        </w:rPr>
        <w:t> </w:t>
      </w:r>
      <w:r>
        <w:rPr>
          <w:rFonts w:ascii="Arial" w:hAnsi="Arial"/>
          <w:color w:val="4F495E"/>
          <w:w w:val="105"/>
          <w:sz w:val="17"/>
        </w:rPr>
        <w:t>normal</w:t>
      </w:r>
      <w:r>
        <w:rPr>
          <w:rFonts w:ascii="Arial" w:hAnsi="Arial"/>
          <w:color w:val="4F495E"/>
          <w:spacing w:val="29"/>
          <w:w w:val="105"/>
          <w:sz w:val="17"/>
        </w:rPr>
        <w:t> </w:t>
      </w:r>
      <w:r>
        <w:rPr>
          <w:rFonts w:ascii="Arial" w:hAnsi="Arial"/>
          <w:color w:val="5D5E74"/>
          <w:w w:val="105"/>
          <w:sz w:val="17"/>
        </w:rPr>
        <w:t>conversatio</w:t>
      </w:r>
      <w:r>
        <w:rPr>
          <w:rFonts w:ascii="Arial" w:hAnsi="Arial"/>
          <w:color w:val="492646"/>
          <w:w w:val="105"/>
          <w:sz w:val="17"/>
        </w:rPr>
        <w:t>n</w:t>
      </w:r>
      <w:r>
        <w:rPr>
          <w:rFonts w:ascii="Arial" w:hAnsi="Arial"/>
          <w:color w:val="385B85"/>
          <w:w w:val="105"/>
          <w:sz w:val="17"/>
        </w:rPr>
        <w:t>. </w:t>
      </w:r>
      <w:r>
        <w:rPr>
          <w:rFonts w:ascii="Arial" w:hAnsi="Arial"/>
          <w:color w:val="492646"/>
          <w:w w:val="105"/>
          <w:sz w:val="17"/>
        </w:rPr>
        <w:t>F</w:t>
      </w:r>
      <w:r>
        <w:rPr>
          <w:rFonts w:ascii="Arial" w:hAnsi="Arial"/>
          <w:color w:val="4F495E"/>
          <w:w w:val="105"/>
          <w:sz w:val="17"/>
        </w:rPr>
        <w:t>or exam</w:t>
      </w:r>
      <w:r>
        <w:rPr>
          <w:rFonts w:ascii="Arial" w:hAnsi="Arial"/>
          <w:color w:val="333D74"/>
          <w:w w:val="105"/>
          <w:sz w:val="17"/>
        </w:rPr>
        <w:t>p</w:t>
      </w:r>
      <w:r>
        <w:rPr>
          <w:rFonts w:ascii="Arial" w:hAnsi="Arial"/>
          <w:color w:val="0E2377"/>
          <w:w w:val="105"/>
          <w:sz w:val="17"/>
        </w:rPr>
        <w:t>l</w:t>
      </w:r>
      <w:r>
        <w:rPr>
          <w:rFonts w:ascii="Arial" w:hAnsi="Arial"/>
          <w:color w:val="4F495E"/>
          <w:w w:val="105"/>
          <w:sz w:val="17"/>
        </w:rPr>
        <w:t>e,</w:t>
      </w:r>
      <w:r>
        <w:rPr>
          <w:rFonts w:ascii="Arial" w:hAnsi="Arial"/>
          <w:color w:val="4F495E"/>
          <w:spacing w:val="14"/>
          <w:w w:val="105"/>
          <w:sz w:val="17"/>
        </w:rPr>
        <w:t> </w:t>
      </w:r>
      <w:r>
        <w:rPr>
          <w:rFonts w:ascii="Arial" w:hAnsi="Arial"/>
          <w:color w:val="4F495E"/>
          <w:w w:val="105"/>
          <w:sz w:val="17"/>
        </w:rPr>
        <w:t>say, </w:t>
      </w:r>
      <w:r>
        <w:rPr>
          <w:rFonts w:ascii="Arial" w:hAnsi="Arial"/>
          <w:color w:val="5D5E74"/>
          <w:w w:val="105"/>
          <w:sz w:val="17"/>
        </w:rPr>
        <w:t>"Do</w:t>
      </w:r>
      <w:r>
        <w:rPr>
          <w:rFonts w:ascii="Arial" w:hAnsi="Arial"/>
          <w:color w:val="5D5E74"/>
          <w:spacing w:val="18"/>
          <w:w w:val="105"/>
          <w:sz w:val="17"/>
        </w:rPr>
        <w:t> </w:t>
      </w:r>
      <w:r>
        <w:rPr>
          <w:rFonts w:ascii="Arial" w:hAnsi="Arial"/>
          <w:color w:val="5D5E74"/>
          <w:w w:val="105"/>
          <w:sz w:val="17"/>
        </w:rPr>
        <w:t>you</w:t>
      </w:r>
      <w:r>
        <w:rPr>
          <w:rFonts w:ascii="Arial" w:hAnsi="Arial"/>
          <w:color w:val="5D5E74"/>
          <w:spacing w:val="13"/>
          <w:w w:val="105"/>
          <w:sz w:val="17"/>
        </w:rPr>
        <w:t> </w:t>
      </w:r>
      <w:r>
        <w:rPr>
          <w:rFonts w:ascii="Arial" w:hAnsi="Arial"/>
          <w:color w:val="4F495E"/>
          <w:w w:val="105"/>
          <w:sz w:val="17"/>
        </w:rPr>
        <w:t>have</w:t>
      </w:r>
      <w:r>
        <w:rPr>
          <w:rFonts w:ascii="Arial" w:hAnsi="Arial"/>
          <w:color w:val="4F495E"/>
          <w:spacing w:val="14"/>
          <w:w w:val="105"/>
          <w:sz w:val="17"/>
        </w:rPr>
        <w:t> </w:t>
      </w:r>
      <w:r>
        <w:rPr>
          <w:rFonts w:ascii="Arial" w:hAnsi="Arial"/>
          <w:color w:val="4F495E"/>
          <w:w w:val="105"/>
          <w:sz w:val="17"/>
        </w:rPr>
        <w:t>a</w:t>
      </w:r>
      <w:r>
        <w:rPr>
          <w:rFonts w:ascii="Arial" w:hAnsi="Arial"/>
          <w:color w:val="4F495E"/>
          <w:spacing w:val="20"/>
          <w:w w:val="105"/>
          <w:sz w:val="17"/>
        </w:rPr>
        <w:t> </w:t>
      </w:r>
      <w:r>
        <w:rPr>
          <w:rFonts w:ascii="Arial" w:hAnsi="Arial"/>
          <w:color w:val="4F495E"/>
          <w:w w:val="105"/>
          <w:sz w:val="17"/>
        </w:rPr>
        <w:t>feve</w:t>
      </w:r>
      <w:r>
        <w:rPr>
          <w:rFonts w:ascii="Arial" w:hAnsi="Arial"/>
          <w:color w:val="333D74"/>
          <w:w w:val="105"/>
          <w:sz w:val="17"/>
        </w:rPr>
        <w:t>r</w:t>
      </w:r>
      <w:r>
        <w:rPr>
          <w:rFonts w:ascii="Arial" w:hAnsi="Arial"/>
          <w:color w:val="5D5E74"/>
          <w:w w:val="105"/>
          <w:sz w:val="17"/>
        </w:rPr>
        <w:t>?"</w:t>
      </w:r>
      <w:r>
        <w:rPr>
          <w:rFonts w:ascii="Arial" w:hAnsi="Arial"/>
          <w:color w:val="5D5E74"/>
          <w:spacing w:val="19"/>
          <w:w w:val="105"/>
          <w:sz w:val="17"/>
        </w:rPr>
        <w:t> </w:t>
      </w:r>
      <w:r>
        <w:rPr>
          <w:rFonts w:ascii="Arial" w:hAnsi="Arial"/>
          <w:color w:val="5D5E74"/>
          <w:w w:val="105"/>
          <w:sz w:val="17"/>
        </w:rPr>
        <w:t>ra</w:t>
      </w:r>
      <w:r>
        <w:rPr>
          <w:rFonts w:ascii="Arial" w:hAnsi="Arial"/>
          <w:color w:val="3D3459"/>
          <w:w w:val="105"/>
          <w:sz w:val="17"/>
        </w:rPr>
        <w:t>ther</w:t>
      </w:r>
      <w:r>
        <w:rPr>
          <w:rFonts w:ascii="Arial" w:hAnsi="Arial"/>
          <w:color w:val="3D3459"/>
          <w:spacing w:val="12"/>
          <w:w w:val="105"/>
          <w:sz w:val="17"/>
        </w:rPr>
        <w:t> </w:t>
      </w:r>
      <w:r>
        <w:rPr>
          <w:rFonts w:ascii="Arial" w:hAnsi="Arial"/>
          <w:color w:val="4F495E"/>
          <w:w w:val="105"/>
          <w:sz w:val="17"/>
        </w:rPr>
        <w:t>than </w:t>
      </w:r>
      <w:r>
        <w:rPr>
          <w:rFonts w:ascii="Arial" w:hAnsi="Arial"/>
          <w:color w:val="5D5E74"/>
          <w:w w:val="105"/>
          <w:sz w:val="17"/>
        </w:rPr>
        <w:t>"</w:t>
      </w:r>
      <w:r>
        <w:rPr>
          <w:rFonts w:ascii="Arial" w:hAnsi="Arial"/>
          <w:color w:val="3D3459"/>
          <w:w w:val="105"/>
          <w:sz w:val="17"/>
        </w:rPr>
        <w:t>Ask her</w:t>
      </w:r>
      <w:r>
        <w:rPr>
          <w:rFonts w:ascii="Arial" w:hAnsi="Arial"/>
          <w:color w:val="3D3459"/>
          <w:spacing w:val="13"/>
          <w:w w:val="105"/>
          <w:sz w:val="17"/>
        </w:rPr>
        <w:t> </w:t>
      </w:r>
      <w:r>
        <w:rPr>
          <w:rFonts w:ascii="Arial" w:hAnsi="Arial"/>
          <w:color w:val="5D5E74"/>
          <w:w w:val="105"/>
          <w:sz w:val="17"/>
        </w:rPr>
        <w:t>i</w:t>
      </w:r>
      <w:r>
        <w:rPr>
          <w:rFonts w:ascii="Arial" w:hAnsi="Arial"/>
          <w:color w:val="3D3459"/>
          <w:w w:val="105"/>
          <w:sz w:val="17"/>
        </w:rPr>
        <w:t>f</w:t>
      </w:r>
      <w:r>
        <w:rPr>
          <w:rFonts w:ascii="Arial" w:hAnsi="Arial"/>
          <w:color w:val="3D3459"/>
          <w:spacing w:val="14"/>
          <w:w w:val="105"/>
          <w:sz w:val="17"/>
        </w:rPr>
        <w:t> </w:t>
      </w:r>
      <w:r>
        <w:rPr>
          <w:rFonts w:ascii="Arial" w:hAnsi="Arial"/>
          <w:color w:val="4F495E"/>
          <w:w w:val="105"/>
          <w:sz w:val="17"/>
        </w:rPr>
        <w:t>she</w:t>
      </w:r>
      <w:r>
        <w:rPr>
          <w:rFonts w:ascii="Arial" w:hAnsi="Arial"/>
          <w:color w:val="4F495E"/>
          <w:spacing w:val="14"/>
          <w:w w:val="105"/>
          <w:sz w:val="17"/>
        </w:rPr>
        <w:t> </w:t>
      </w:r>
      <w:r>
        <w:rPr>
          <w:rFonts w:ascii="Arial" w:hAnsi="Arial"/>
          <w:color w:val="3D3459"/>
          <w:w w:val="105"/>
          <w:sz w:val="17"/>
        </w:rPr>
        <w:t>has </w:t>
      </w:r>
      <w:r>
        <w:rPr>
          <w:rFonts w:ascii="Arial" w:hAnsi="Arial"/>
          <w:color w:val="4F495E"/>
          <w:w w:val="105"/>
          <w:sz w:val="17"/>
        </w:rPr>
        <w:t>a fever, p</w:t>
      </w:r>
      <w:r>
        <w:rPr>
          <w:rFonts w:ascii="Arial" w:hAnsi="Arial"/>
          <w:color w:val="212F77"/>
          <w:w w:val="105"/>
          <w:sz w:val="17"/>
        </w:rPr>
        <w:t>l</w:t>
      </w:r>
      <w:r>
        <w:rPr>
          <w:rFonts w:ascii="Arial" w:hAnsi="Arial"/>
          <w:color w:val="4F495E"/>
          <w:w w:val="105"/>
          <w:sz w:val="17"/>
        </w:rPr>
        <w:t>ease."</w:t>
      </w:r>
    </w:p>
    <w:p>
      <w:pPr>
        <w:pStyle w:val="ListParagraph"/>
        <w:numPr>
          <w:ilvl w:val="0"/>
          <w:numId w:val="39"/>
        </w:numPr>
        <w:tabs>
          <w:tab w:pos="2835" w:val="left" w:leader="none"/>
        </w:tabs>
        <w:spacing w:line="278" w:lineRule="auto" w:before="9" w:after="0"/>
        <w:ind w:left="2835" w:right="2658" w:hanging="291"/>
        <w:jc w:val="left"/>
        <w:rPr>
          <w:rFonts w:ascii="Arial" w:hAnsi="Arial"/>
          <w:sz w:val="17"/>
        </w:rPr>
      </w:pPr>
      <w:r>
        <w:rPr>
          <w:rFonts w:ascii="Arial" w:hAnsi="Arial"/>
          <w:color w:val="4F495E"/>
          <w:w w:val="110"/>
          <w:sz w:val="17"/>
        </w:rPr>
        <w:t>Immediately</w:t>
      </w:r>
      <w:r>
        <w:rPr>
          <w:rFonts w:ascii="Arial" w:hAnsi="Arial"/>
          <w:color w:val="4F495E"/>
          <w:spacing w:val="-2"/>
          <w:w w:val="110"/>
          <w:sz w:val="17"/>
        </w:rPr>
        <w:t> </w:t>
      </w:r>
      <w:r>
        <w:rPr>
          <w:rFonts w:ascii="Arial" w:hAnsi="Arial"/>
          <w:color w:val="480F3F"/>
          <w:w w:val="110"/>
          <w:sz w:val="17"/>
        </w:rPr>
        <w:t>i</w:t>
      </w:r>
      <w:r>
        <w:rPr>
          <w:rFonts w:ascii="Arial" w:hAnsi="Arial"/>
          <w:color w:val="3D3459"/>
          <w:w w:val="110"/>
          <w:sz w:val="17"/>
        </w:rPr>
        <w:t>ntrodu</w:t>
      </w:r>
      <w:r>
        <w:rPr>
          <w:rFonts w:ascii="Arial" w:hAnsi="Arial"/>
          <w:color w:val="5D5E74"/>
          <w:w w:val="110"/>
          <w:sz w:val="17"/>
        </w:rPr>
        <w:t>c</w:t>
      </w:r>
      <w:r>
        <w:rPr>
          <w:rFonts w:ascii="Arial" w:hAnsi="Arial"/>
          <w:color w:val="3D3459"/>
          <w:w w:val="110"/>
          <w:sz w:val="17"/>
        </w:rPr>
        <w:t>e</w:t>
      </w:r>
      <w:r>
        <w:rPr>
          <w:rFonts w:ascii="Arial" w:hAnsi="Arial"/>
          <w:color w:val="3D3459"/>
          <w:spacing w:val="-11"/>
          <w:w w:val="110"/>
          <w:sz w:val="17"/>
        </w:rPr>
        <w:t> </w:t>
      </w:r>
      <w:r>
        <w:rPr>
          <w:rFonts w:ascii="Arial" w:hAnsi="Arial"/>
          <w:color w:val="5D5E74"/>
          <w:w w:val="110"/>
          <w:sz w:val="17"/>
        </w:rPr>
        <w:t>you</w:t>
      </w:r>
      <w:r>
        <w:rPr>
          <w:rFonts w:ascii="Arial" w:hAnsi="Arial"/>
          <w:color w:val="333D74"/>
          <w:w w:val="110"/>
          <w:sz w:val="17"/>
        </w:rPr>
        <w:t>r</w:t>
      </w:r>
      <w:r>
        <w:rPr>
          <w:rFonts w:ascii="Arial" w:hAnsi="Arial"/>
          <w:color w:val="4F495E"/>
          <w:w w:val="110"/>
          <w:sz w:val="17"/>
        </w:rPr>
        <w:t>self</w:t>
      </w:r>
      <w:r>
        <w:rPr>
          <w:rFonts w:ascii="Arial" w:hAnsi="Arial"/>
          <w:color w:val="4F495E"/>
          <w:spacing w:val="-8"/>
          <w:w w:val="110"/>
          <w:sz w:val="17"/>
        </w:rPr>
        <w:t> </w:t>
      </w:r>
      <w:r>
        <w:rPr>
          <w:rFonts w:ascii="Arial" w:hAnsi="Arial"/>
          <w:color w:val="492646"/>
          <w:w w:val="110"/>
          <w:sz w:val="17"/>
        </w:rPr>
        <w:t>t</w:t>
      </w:r>
      <w:r>
        <w:rPr>
          <w:rFonts w:ascii="Arial" w:hAnsi="Arial"/>
          <w:color w:val="4F495E"/>
          <w:w w:val="110"/>
          <w:sz w:val="17"/>
        </w:rPr>
        <w:t>o</w:t>
      </w:r>
      <w:r>
        <w:rPr>
          <w:rFonts w:ascii="Arial" w:hAnsi="Arial"/>
          <w:color w:val="4F495E"/>
          <w:spacing w:val="-11"/>
          <w:w w:val="110"/>
          <w:sz w:val="17"/>
        </w:rPr>
        <w:t> </w:t>
      </w:r>
      <w:r>
        <w:rPr>
          <w:rFonts w:ascii="Arial" w:hAnsi="Arial"/>
          <w:color w:val="3D3459"/>
          <w:w w:val="110"/>
          <w:sz w:val="17"/>
        </w:rPr>
        <w:t>the</w:t>
      </w:r>
      <w:r>
        <w:rPr>
          <w:rFonts w:ascii="Arial" w:hAnsi="Arial"/>
          <w:color w:val="3D3459"/>
          <w:spacing w:val="-13"/>
          <w:w w:val="110"/>
          <w:sz w:val="17"/>
        </w:rPr>
        <w:t> </w:t>
      </w:r>
      <w:r>
        <w:rPr>
          <w:rFonts w:ascii="Arial" w:hAnsi="Arial"/>
          <w:color w:val="6B5B5B"/>
          <w:w w:val="110"/>
          <w:sz w:val="17"/>
        </w:rPr>
        <w:t>l</w:t>
      </w:r>
      <w:r>
        <w:rPr>
          <w:rFonts w:ascii="Arial" w:hAnsi="Arial"/>
          <w:color w:val="480F3F"/>
          <w:w w:val="110"/>
          <w:sz w:val="17"/>
        </w:rPr>
        <w:t>i</w:t>
      </w:r>
      <w:r>
        <w:rPr>
          <w:rFonts w:ascii="Arial" w:hAnsi="Arial"/>
          <w:color w:val="4F495E"/>
          <w:w w:val="110"/>
          <w:sz w:val="17"/>
        </w:rPr>
        <w:t>m</w:t>
      </w:r>
      <w:r>
        <w:rPr>
          <w:rFonts w:ascii="Arial" w:hAnsi="Arial"/>
          <w:color w:val="480F3F"/>
          <w:w w:val="110"/>
          <w:sz w:val="17"/>
        </w:rPr>
        <w:t>i</w:t>
      </w:r>
      <w:r>
        <w:rPr>
          <w:rFonts w:ascii="Arial" w:hAnsi="Arial"/>
          <w:color w:val="3D3459"/>
          <w:w w:val="110"/>
          <w:sz w:val="17"/>
        </w:rPr>
        <w:t>ted</w:t>
      </w:r>
      <w:r>
        <w:rPr>
          <w:rFonts w:ascii="Arial" w:hAnsi="Arial"/>
          <w:color w:val="281831"/>
          <w:w w:val="110"/>
          <w:sz w:val="17"/>
        </w:rPr>
        <w:t>-E</w:t>
      </w:r>
      <w:r>
        <w:rPr>
          <w:rFonts w:ascii="Arial" w:hAnsi="Arial"/>
          <w:color w:val="3D3459"/>
          <w:w w:val="110"/>
          <w:sz w:val="17"/>
        </w:rPr>
        <w:t>n</w:t>
      </w:r>
      <w:r>
        <w:rPr>
          <w:rFonts w:ascii="Arial" w:hAnsi="Arial"/>
          <w:color w:val="5D5E74"/>
          <w:w w:val="110"/>
          <w:sz w:val="17"/>
        </w:rPr>
        <w:t>g</w:t>
      </w:r>
      <w:r>
        <w:rPr>
          <w:rFonts w:ascii="Arial" w:hAnsi="Arial"/>
          <w:color w:val="492646"/>
          <w:w w:val="110"/>
          <w:sz w:val="17"/>
        </w:rPr>
        <w:t>l</w:t>
      </w:r>
      <w:r>
        <w:rPr>
          <w:rFonts w:ascii="Arial" w:hAnsi="Arial"/>
          <w:color w:val="4F495E"/>
          <w:w w:val="110"/>
          <w:sz w:val="17"/>
        </w:rPr>
        <w:t>is</w:t>
      </w:r>
      <w:r>
        <w:rPr>
          <w:rFonts w:ascii="Arial" w:hAnsi="Arial"/>
          <w:color w:val="333D74"/>
          <w:w w:val="110"/>
          <w:sz w:val="17"/>
        </w:rPr>
        <w:t>h</w:t>
      </w:r>
      <w:r>
        <w:rPr>
          <w:rFonts w:ascii="Arial" w:hAnsi="Arial"/>
          <w:color w:val="333D74"/>
          <w:spacing w:val="-13"/>
          <w:w w:val="110"/>
          <w:sz w:val="17"/>
        </w:rPr>
        <w:t> </w:t>
      </w:r>
      <w:r>
        <w:rPr>
          <w:rFonts w:ascii="Arial" w:hAnsi="Arial"/>
          <w:color w:val="4F495E"/>
          <w:w w:val="110"/>
          <w:sz w:val="17"/>
        </w:rPr>
        <w:t>proficie</w:t>
      </w:r>
      <w:r>
        <w:rPr>
          <w:rFonts w:ascii="Arial" w:hAnsi="Arial"/>
          <w:color w:val="492646"/>
          <w:w w:val="110"/>
          <w:sz w:val="17"/>
        </w:rPr>
        <w:t>n</w:t>
      </w:r>
      <w:r>
        <w:rPr>
          <w:rFonts w:ascii="Arial" w:hAnsi="Arial"/>
          <w:color w:val="4F495E"/>
          <w:w w:val="110"/>
          <w:sz w:val="17"/>
        </w:rPr>
        <w:t>t</w:t>
      </w:r>
      <w:r>
        <w:rPr>
          <w:rFonts w:ascii="Arial" w:hAnsi="Arial"/>
          <w:color w:val="4F495E"/>
          <w:spacing w:val="-3"/>
          <w:w w:val="110"/>
          <w:sz w:val="17"/>
        </w:rPr>
        <w:t> </w:t>
      </w:r>
      <w:r>
        <w:rPr>
          <w:rFonts w:ascii="Arial" w:hAnsi="Arial"/>
          <w:color w:val="5D5E74"/>
          <w:w w:val="110"/>
          <w:sz w:val="17"/>
        </w:rPr>
        <w:t>(</w:t>
      </w:r>
      <w:r>
        <w:rPr>
          <w:rFonts w:ascii="Arial" w:hAnsi="Arial"/>
          <w:color w:val="3D3459"/>
          <w:w w:val="110"/>
          <w:sz w:val="17"/>
        </w:rPr>
        <w:t>LEP</w:t>
      </w:r>
      <w:r>
        <w:rPr>
          <w:rFonts w:ascii="Arial" w:hAnsi="Arial"/>
          <w:color w:val="5D5E74"/>
          <w:w w:val="110"/>
          <w:sz w:val="17"/>
        </w:rPr>
        <w:t>) </w:t>
      </w:r>
      <w:r>
        <w:rPr>
          <w:rFonts w:ascii="Arial" w:hAnsi="Arial"/>
          <w:color w:val="4F495E"/>
          <w:w w:val="110"/>
          <w:sz w:val="17"/>
        </w:rPr>
        <w:t>cl</w:t>
      </w:r>
      <w:r>
        <w:rPr>
          <w:rFonts w:ascii="Arial" w:hAnsi="Arial"/>
          <w:color w:val="212F77"/>
          <w:w w:val="110"/>
          <w:sz w:val="17"/>
        </w:rPr>
        <w:t>i</w:t>
      </w:r>
      <w:r>
        <w:rPr>
          <w:rFonts w:ascii="Arial" w:hAnsi="Arial"/>
          <w:color w:val="4F495E"/>
          <w:w w:val="110"/>
          <w:sz w:val="17"/>
        </w:rPr>
        <w:t>ent and explain </w:t>
      </w:r>
      <w:r>
        <w:rPr>
          <w:rFonts w:ascii="Arial" w:hAnsi="Arial"/>
          <w:color w:val="5D5E74"/>
          <w:w w:val="110"/>
          <w:sz w:val="17"/>
        </w:rPr>
        <w:t>yo</w:t>
      </w:r>
      <w:r>
        <w:rPr>
          <w:rFonts w:ascii="Arial" w:hAnsi="Arial"/>
          <w:color w:val="3D3459"/>
          <w:w w:val="110"/>
          <w:sz w:val="17"/>
        </w:rPr>
        <w:t>ur </w:t>
      </w:r>
      <w:r>
        <w:rPr>
          <w:rFonts w:ascii="Arial" w:hAnsi="Arial"/>
          <w:color w:val="5D5E74"/>
          <w:w w:val="110"/>
          <w:sz w:val="17"/>
        </w:rPr>
        <w:t>reason </w:t>
      </w:r>
      <w:r>
        <w:rPr>
          <w:rFonts w:ascii="Arial" w:hAnsi="Arial"/>
          <w:color w:val="4F495E"/>
          <w:w w:val="110"/>
          <w:sz w:val="17"/>
        </w:rPr>
        <w:t>for </w:t>
      </w:r>
      <w:r>
        <w:rPr>
          <w:rFonts w:ascii="Arial" w:hAnsi="Arial"/>
          <w:color w:val="5D5E74"/>
          <w:w w:val="110"/>
          <w:sz w:val="17"/>
        </w:rPr>
        <w:t>cal</w:t>
      </w:r>
      <w:r>
        <w:rPr>
          <w:rFonts w:ascii="Arial" w:hAnsi="Arial"/>
          <w:color w:val="492646"/>
          <w:w w:val="110"/>
          <w:sz w:val="17"/>
        </w:rPr>
        <w:t>l</w:t>
      </w:r>
      <w:r>
        <w:rPr>
          <w:rFonts w:ascii="Arial" w:hAnsi="Arial"/>
          <w:color w:val="5D5E74"/>
          <w:w w:val="110"/>
          <w:sz w:val="17"/>
        </w:rPr>
        <w:t>ing.</w:t>
      </w:r>
    </w:p>
    <w:p>
      <w:pPr>
        <w:pStyle w:val="ListParagraph"/>
        <w:numPr>
          <w:ilvl w:val="0"/>
          <w:numId w:val="39"/>
        </w:numPr>
        <w:tabs>
          <w:tab w:pos="2833" w:val="left" w:leader="none"/>
        </w:tabs>
        <w:spacing w:line="179" w:lineRule="exact" w:before="0" w:after="0"/>
        <w:ind w:left="2833" w:right="0" w:hanging="289"/>
        <w:jc w:val="left"/>
        <w:rPr>
          <w:rFonts w:ascii="Arial" w:hAnsi="Arial"/>
          <w:sz w:val="17"/>
        </w:rPr>
      </w:pPr>
      <w:r>
        <w:rPr>
          <w:rFonts w:ascii="Arial" w:hAnsi="Arial"/>
          <w:color w:val="3D3459"/>
          <w:w w:val="110"/>
          <w:sz w:val="17"/>
        </w:rPr>
        <w:t>Te</w:t>
      </w:r>
      <w:r>
        <w:rPr>
          <w:rFonts w:ascii="Arial" w:hAnsi="Arial"/>
          <w:color w:val="6B5B5B"/>
          <w:w w:val="110"/>
          <w:sz w:val="17"/>
        </w:rPr>
        <w:t>l</w:t>
      </w:r>
      <w:r>
        <w:rPr>
          <w:rFonts w:ascii="Arial" w:hAnsi="Arial"/>
          <w:color w:val="4F495E"/>
          <w:w w:val="110"/>
          <w:sz w:val="17"/>
        </w:rPr>
        <w:t>e</w:t>
      </w:r>
      <w:r>
        <w:rPr>
          <w:rFonts w:ascii="Arial" w:hAnsi="Arial"/>
          <w:color w:val="6B5B5B"/>
          <w:w w:val="110"/>
          <w:sz w:val="17"/>
        </w:rPr>
        <w:t>p</w:t>
      </w:r>
      <w:r>
        <w:rPr>
          <w:rFonts w:ascii="Arial" w:hAnsi="Arial"/>
          <w:color w:val="4F495E"/>
          <w:w w:val="110"/>
          <w:sz w:val="17"/>
        </w:rPr>
        <w:t>hone</w:t>
      </w:r>
      <w:r>
        <w:rPr>
          <w:rFonts w:ascii="Arial" w:hAnsi="Arial"/>
          <w:color w:val="4F495E"/>
          <w:spacing w:val="-13"/>
          <w:w w:val="110"/>
          <w:sz w:val="17"/>
        </w:rPr>
        <w:t> </w:t>
      </w:r>
      <w:r>
        <w:rPr>
          <w:rFonts w:ascii="Arial" w:hAnsi="Arial"/>
          <w:color w:val="5D5E74"/>
          <w:w w:val="110"/>
          <w:sz w:val="17"/>
        </w:rPr>
        <w:t>i</w:t>
      </w:r>
      <w:r>
        <w:rPr>
          <w:rFonts w:ascii="Arial" w:hAnsi="Arial"/>
          <w:color w:val="3D3459"/>
          <w:w w:val="110"/>
          <w:sz w:val="17"/>
        </w:rPr>
        <w:t>nterpretat</w:t>
      </w:r>
      <w:r>
        <w:rPr>
          <w:rFonts w:ascii="Arial" w:hAnsi="Arial"/>
          <w:color w:val="212F77"/>
          <w:w w:val="110"/>
          <w:sz w:val="17"/>
        </w:rPr>
        <w:t>i</w:t>
      </w:r>
      <w:r>
        <w:rPr>
          <w:rFonts w:ascii="Arial" w:hAnsi="Arial"/>
          <w:color w:val="4F495E"/>
          <w:w w:val="110"/>
          <w:sz w:val="17"/>
        </w:rPr>
        <w:t>on</w:t>
      </w:r>
      <w:r>
        <w:rPr>
          <w:rFonts w:ascii="Arial" w:hAnsi="Arial"/>
          <w:color w:val="4F495E"/>
          <w:spacing w:val="-13"/>
          <w:w w:val="110"/>
          <w:sz w:val="17"/>
        </w:rPr>
        <w:t> </w:t>
      </w:r>
      <w:r>
        <w:rPr>
          <w:rFonts w:ascii="Arial" w:hAnsi="Arial"/>
          <w:color w:val="333D74"/>
          <w:w w:val="110"/>
          <w:sz w:val="17"/>
        </w:rPr>
        <w:t>i</w:t>
      </w:r>
      <w:r>
        <w:rPr>
          <w:rFonts w:ascii="Arial" w:hAnsi="Arial"/>
          <w:color w:val="4F495E"/>
          <w:w w:val="110"/>
          <w:sz w:val="17"/>
        </w:rPr>
        <w:t>s</w:t>
      </w:r>
      <w:r>
        <w:rPr>
          <w:rFonts w:ascii="Arial" w:hAnsi="Arial"/>
          <w:color w:val="4F495E"/>
          <w:spacing w:val="-13"/>
          <w:w w:val="110"/>
          <w:sz w:val="17"/>
        </w:rPr>
        <w:t> </w:t>
      </w:r>
      <w:r>
        <w:rPr>
          <w:rFonts w:ascii="Arial" w:hAnsi="Arial"/>
          <w:color w:val="5D5E74"/>
          <w:w w:val="110"/>
          <w:sz w:val="17"/>
        </w:rPr>
        <w:t>"consecu</w:t>
      </w:r>
      <w:r>
        <w:rPr>
          <w:rFonts w:ascii="Arial" w:hAnsi="Arial"/>
          <w:color w:val="3D3459"/>
          <w:w w:val="110"/>
          <w:sz w:val="17"/>
        </w:rPr>
        <w:t>tive</w:t>
      </w:r>
      <w:r>
        <w:rPr>
          <w:rFonts w:ascii="Arial" w:hAnsi="Arial"/>
          <w:color w:val="5D5E74"/>
          <w:w w:val="110"/>
          <w:sz w:val="17"/>
        </w:rPr>
        <w:t>"</w:t>
      </w:r>
      <w:r>
        <w:rPr>
          <w:rFonts w:ascii="Arial" w:hAnsi="Arial"/>
          <w:color w:val="5D5E74"/>
          <w:spacing w:val="-6"/>
          <w:w w:val="110"/>
          <w:sz w:val="17"/>
        </w:rPr>
        <w:t> </w:t>
      </w:r>
      <w:r>
        <w:rPr>
          <w:rFonts w:ascii="Arial" w:hAnsi="Arial"/>
          <w:color w:val="492646"/>
          <w:w w:val="110"/>
          <w:sz w:val="17"/>
        </w:rPr>
        <w:t>i</w:t>
      </w:r>
      <w:r>
        <w:rPr>
          <w:rFonts w:ascii="Arial" w:hAnsi="Arial"/>
          <w:color w:val="4F495E"/>
          <w:w w:val="110"/>
          <w:sz w:val="17"/>
        </w:rPr>
        <w:t>nte</w:t>
      </w:r>
      <w:r>
        <w:rPr>
          <w:rFonts w:ascii="Arial" w:hAnsi="Arial"/>
          <w:color w:val="333D74"/>
          <w:w w:val="110"/>
          <w:sz w:val="17"/>
        </w:rPr>
        <w:t>r</w:t>
      </w:r>
      <w:r>
        <w:rPr>
          <w:rFonts w:ascii="Arial" w:hAnsi="Arial"/>
          <w:color w:val="5D5E74"/>
          <w:w w:val="110"/>
          <w:sz w:val="17"/>
        </w:rPr>
        <w:t>pr</w:t>
      </w:r>
      <w:r>
        <w:rPr>
          <w:rFonts w:ascii="Arial" w:hAnsi="Arial"/>
          <w:color w:val="3D3459"/>
          <w:w w:val="110"/>
          <w:sz w:val="17"/>
        </w:rPr>
        <w:t>etati</w:t>
      </w:r>
      <w:r>
        <w:rPr>
          <w:rFonts w:ascii="Arial" w:hAnsi="Arial"/>
          <w:color w:val="5D5E74"/>
          <w:w w:val="110"/>
          <w:sz w:val="17"/>
        </w:rPr>
        <w:t>on</w:t>
      </w:r>
      <w:r>
        <w:rPr>
          <w:rFonts w:ascii="Arial" w:hAnsi="Arial"/>
          <w:color w:val="6B5B5B"/>
          <w:w w:val="110"/>
          <w:sz w:val="17"/>
        </w:rPr>
        <w:t>.</w:t>
      </w:r>
      <w:r>
        <w:rPr>
          <w:rFonts w:ascii="Arial" w:hAnsi="Arial"/>
          <w:color w:val="6B5B5B"/>
          <w:spacing w:val="-12"/>
          <w:w w:val="110"/>
          <w:sz w:val="17"/>
        </w:rPr>
        <w:t> </w:t>
      </w:r>
      <w:r>
        <w:rPr>
          <w:rFonts w:ascii="Arial" w:hAnsi="Arial"/>
          <w:color w:val="3D3459"/>
          <w:w w:val="110"/>
          <w:sz w:val="17"/>
        </w:rPr>
        <w:t>That</w:t>
      </w:r>
      <w:r>
        <w:rPr>
          <w:rFonts w:ascii="Arial" w:hAnsi="Arial"/>
          <w:color w:val="3D3459"/>
          <w:spacing w:val="-5"/>
          <w:w w:val="110"/>
          <w:sz w:val="17"/>
        </w:rPr>
        <w:t> </w:t>
      </w:r>
      <w:r>
        <w:rPr>
          <w:rFonts w:ascii="Arial" w:hAnsi="Arial"/>
          <w:color w:val="4F495E"/>
          <w:w w:val="110"/>
          <w:sz w:val="17"/>
        </w:rPr>
        <w:t>means</w:t>
      </w:r>
      <w:r>
        <w:rPr>
          <w:rFonts w:ascii="Arial" w:hAnsi="Arial"/>
          <w:color w:val="4F495E"/>
          <w:spacing w:val="2"/>
          <w:w w:val="110"/>
          <w:sz w:val="17"/>
        </w:rPr>
        <w:t> </w:t>
      </w:r>
      <w:r>
        <w:rPr>
          <w:rFonts w:ascii="Arial" w:hAnsi="Arial"/>
          <w:color w:val="5D5E74"/>
          <w:spacing w:val="-5"/>
          <w:w w:val="110"/>
          <w:sz w:val="17"/>
        </w:rPr>
        <w:t>yo</w:t>
      </w:r>
      <w:r>
        <w:rPr>
          <w:rFonts w:ascii="Arial" w:hAnsi="Arial"/>
          <w:color w:val="3D3459"/>
          <w:spacing w:val="-5"/>
          <w:w w:val="110"/>
          <w:sz w:val="17"/>
        </w:rPr>
        <w:t>u</w:t>
      </w:r>
    </w:p>
    <w:p>
      <w:pPr>
        <w:spacing w:line="278" w:lineRule="auto" w:before="21"/>
        <w:ind w:left="2840" w:right="1672" w:firstLine="1"/>
        <w:jc w:val="left"/>
        <w:rPr>
          <w:rFonts w:ascii="Arial"/>
          <w:sz w:val="17"/>
        </w:rPr>
      </w:pPr>
      <w:r>
        <w:rPr>
          <w:rFonts w:ascii="Arial"/>
          <w:color w:val="4F495E"/>
          <w:w w:val="105"/>
          <w:sz w:val="17"/>
        </w:rPr>
        <w:t>w</w:t>
      </w:r>
      <w:r>
        <w:rPr>
          <w:rFonts w:ascii="Arial"/>
          <w:color w:val="492646"/>
          <w:w w:val="105"/>
          <w:sz w:val="17"/>
        </w:rPr>
        <w:t>i</w:t>
      </w:r>
      <w:r>
        <w:rPr>
          <w:rFonts w:ascii="Arial"/>
          <w:color w:val="4F495E"/>
          <w:w w:val="105"/>
          <w:sz w:val="17"/>
        </w:rPr>
        <w:t>l</w:t>
      </w:r>
      <w:r>
        <w:rPr>
          <w:rFonts w:ascii="Arial"/>
          <w:color w:val="480F3F"/>
          <w:w w:val="105"/>
          <w:sz w:val="17"/>
        </w:rPr>
        <w:t>l </w:t>
      </w:r>
      <w:r>
        <w:rPr>
          <w:rFonts w:ascii="Arial"/>
          <w:color w:val="4F495E"/>
          <w:w w:val="105"/>
          <w:sz w:val="17"/>
        </w:rPr>
        <w:t>experience pauses</w:t>
      </w:r>
      <w:r>
        <w:rPr>
          <w:rFonts w:ascii="Arial"/>
          <w:color w:val="4F495E"/>
          <w:w w:val="105"/>
          <w:sz w:val="17"/>
        </w:rPr>
        <w:t> when </w:t>
      </w:r>
      <w:r>
        <w:rPr>
          <w:rFonts w:ascii="Arial"/>
          <w:color w:val="3D3459"/>
          <w:w w:val="105"/>
          <w:sz w:val="17"/>
        </w:rPr>
        <w:t>the </w:t>
      </w:r>
      <w:r>
        <w:rPr>
          <w:rFonts w:ascii="Arial"/>
          <w:color w:val="4F495E"/>
          <w:w w:val="105"/>
          <w:sz w:val="17"/>
        </w:rPr>
        <w:t>in</w:t>
      </w:r>
      <w:r>
        <w:rPr>
          <w:rFonts w:ascii="Arial"/>
          <w:color w:val="492646"/>
          <w:w w:val="105"/>
          <w:sz w:val="17"/>
        </w:rPr>
        <w:t>te</w:t>
      </w:r>
      <w:r>
        <w:rPr>
          <w:rFonts w:ascii="Arial"/>
          <w:color w:val="4F495E"/>
          <w:w w:val="105"/>
          <w:sz w:val="17"/>
        </w:rPr>
        <w:t>rp</w:t>
      </w:r>
      <w:r>
        <w:rPr>
          <w:rFonts w:ascii="Arial"/>
          <w:color w:val="212F77"/>
          <w:w w:val="105"/>
          <w:sz w:val="17"/>
        </w:rPr>
        <w:t>r</w:t>
      </w:r>
      <w:r>
        <w:rPr>
          <w:rFonts w:ascii="Arial"/>
          <w:color w:val="3D3459"/>
          <w:w w:val="105"/>
          <w:sz w:val="17"/>
        </w:rPr>
        <w:t>eter </w:t>
      </w:r>
      <w:r>
        <w:rPr>
          <w:rFonts w:ascii="Arial"/>
          <w:color w:val="5D5E74"/>
          <w:w w:val="105"/>
          <w:sz w:val="17"/>
        </w:rPr>
        <w:t>repeats </w:t>
      </w:r>
      <w:r>
        <w:rPr>
          <w:rFonts w:ascii="Arial"/>
          <w:color w:val="4F495E"/>
          <w:w w:val="105"/>
          <w:sz w:val="17"/>
        </w:rPr>
        <w:t>each statement </w:t>
      </w:r>
      <w:r>
        <w:rPr>
          <w:rFonts w:ascii="Arial"/>
          <w:color w:val="5D5E74"/>
          <w:w w:val="105"/>
          <w:sz w:val="17"/>
        </w:rPr>
        <w:t>i</w:t>
      </w:r>
      <w:r>
        <w:rPr>
          <w:rFonts w:ascii="Arial"/>
          <w:color w:val="3D3459"/>
          <w:w w:val="105"/>
          <w:sz w:val="17"/>
        </w:rPr>
        <w:t>n the </w:t>
      </w:r>
      <w:r>
        <w:rPr>
          <w:rFonts w:ascii="Arial"/>
          <w:color w:val="492646"/>
          <w:w w:val="105"/>
          <w:sz w:val="17"/>
        </w:rPr>
        <w:t>r</w:t>
      </w:r>
      <w:r>
        <w:rPr>
          <w:rFonts w:ascii="Arial"/>
          <w:color w:val="4F495E"/>
          <w:w w:val="105"/>
          <w:sz w:val="17"/>
        </w:rPr>
        <w:t>espective </w:t>
      </w:r>
      <w:r>
        <w:rPr>
          <w:rFonts w:ascii="Arial"/>
          <w:color w:val="480F3F"/>
          <w:w w:val="105"/>
          <w:sz w:val="17"/>
        </w:rPr>
        <w:t>l</w:t>
      </w:r>
      <w:r>
        <w:rPr>
          <w:rFonts w:ascii="Arial"/>
          <w:color w:val="4F495E"/>
          <w:w w:val="105"/>
          <w:sz w:val="17"/>
        </w:rPr>
        <w:t>anguage.</w:t>
      </w:r>
    </w:p>
    <w:p>
      <w:pPr>
        <w:pStyle w:val="ListParagraph"/>
        <w:numPr>
          <w:ilvl w:val="0"/>
          <w:numId w:val="39"/>
        </w:numPr>
        <w:tabs>
          <w:tab w:pos="2842" w:val="left" w:leader="none"/>
        </w:tabs>
        <w:spacing w:line="179" w:lineRule="exact" w:before="0" w:after="0"/>
        <w:ind w:left="2842" w:right="0" w:hanging="298"/>
        <w:jc w:val="left"/>
        <w:rPr>
          <w:rFonts w:ascii="Arial" w:hAnsi="Arial"/>
          <w:sz w:val="17"/>
        </w:rPr>
      </w:pPr>
      <w:r>
        <w:rPr>
          <w:rFonts w:ascii="Arial" w:hAnsi="Arial"/>
          <w:color w:val="3D3459"/>
          <w:w w:val="105"/>
          <w:sz w:val="17"/>
        </w:rPr>
        <w:t>After</w:t>
      </w:r>
      <w:r>
        <w:rPr>
          <w:rFonts w:ascii="Arial" w:hAnsi="Arial"/>
          <w:color w:val="3D3459"/>
          <w:spacing w:val="19"/>
          <w:w w:val="105"/>
          <w:sz w:val="17"/>
        </w:rPr>
        <w:t> </w:t>
      </w:r>
      <w:r>
        <w:rPr>
          <w:rFonts w:ascii="Arial" w:hAnsi="Arial"/>
          <w:color w:val="5D5E74"/>
          <w:w w:val="105"/>
          <w:sz w:val="17"/>
        </w:rPr>
        <w:t>yo</w:t>
      </w:r>
      <w:r>
        <w:rPr>
          <w:rFonts w:ascii="Arial" w:hAnsi="Arial"/>
          <w:color w:val="3D3459"/>
          <w:w w:val="105"/>
          <w:sz w:val="17"/>
        </w:rPr>
        <w:t>u</w:t>
      </w:r>
      <w:r>
        <w:rPr>
          <w:rFonts w:ascii="Arial" w:hAnsi="Arial"/>
          <w:color w:val="3D3459"/>
          <w:spacing w:val="10"/>
          <w:w w:val="105"/>
          <w:sz w:val="17"/>
        </w:rPr>
        <w:t> </w:t>
      </w:r>
      <w:r>
        <w:rPr>
          <w:rFonts w:ascii="Arial" w:hAnsi="Arial"/>
          <w:color w:val="4F495E"/>
          <w:w w:val="105"/>
          <w:sz w:val="17"/>
        </w:rPr>
        <w:t>speak</w:t>
      </w:r>
      <w:r>
        <w:rPr>
          <w:rFonts w:ascii="Arial" w:hAnsi="Arial"/>
          <w:color w:val="4F495E"/>
          <w:spacing w:val="20"/>
          <w:w w:val="105"/>
          <w:sz w:val="17"/>
        </w:rPr>
        <w:t> </w:t>
      </w:r>
      <w:r>
        <w:rPr>
          <w:rFonts w:ascii="Arial" w:hAnsi="Arial"/>
          <w:color w:val="4F495E"/>
          <w:w w:val="105"/>
          <w:sz w:val="17"/>
        </w:rPr>
        <w:t>one</w:t>
      </w:r>
      <w:r>
        <w:rPr>
          <w:rFonts w:ascii="Arial" w:hAnsi="Arial"/>
          <w:color w:val="0F0C16"/>
          <w:w w:val="105"/>
          <w:sz w:val="17"/>
        </w:rPr>
        <w:t>-</w:t>
      </w:r>
      <w:r>
        <w:rPr>
          <w:rFonts w:ascii="Arial" w:hAnsi="Arial"/>
          <w:color w:val="4F495E"/>
          <w:w w:val="105"/>
          <w:sz w:val="17"/>
        </w:rPr>
        <w:t>two</w:t>
      </w:r>
      <w:r>
        <w:rPr>
          <w:rFonts w:ascii="Arial" w:hAnsi="Arial"/>
          <w:color w:val="4F495E"/>
          <w:spacing w:val="6"/>
          <w:w w:val="105"/>
          <w:sz w:val="17"/>
        </w:rPr>
        <w:t> </w:t>
      </w:r>
      <w:r>
        <w:rPr>
          <w:rFonts w:ascii="Arial" w:hAnsi="Arial"/>
          <w:color w:val="4F495E"/>
          <w:w w:val="105"/>
          <w:sz w:val="17"/>
        </w:rPr>
        <w:t>sentences</w:t>
      </w:r>
      <w:r>
        <w:rPr>
          <w:rFonts w:ascii="Arial" w:hAnsi="Arial"/>
          <w:color w:val="4F495E"/>
          <w:spacing w:val="27"/>
          <w:w w:val="105"/>
          <w:sz w:val="17"/>
        </w:rPr>
        <w:t> </w:t>
      </w:r>
      <w:r>
        <w:rPr>
          <w:rFonts w:ascii="Arial" w:hAnsi="Arial"/>
          <w:color w:val="4F495E"/>
          <w:w w:val="105"/>
          <w:sz w:val="17"/>
        </w:rPr>
        <w:t>or</w:t>
      </w:r>
      <w:r>
        <w:rPr>
          <w:rFonts w:ascii="Arial" w:hAnsi="Arial"/>
          <w:color w:val="4F495E"/>
          <w:spacing w:val="30"/>
          <w:w w:val="105"/>
          <w:sz w:val="17"/>
        </w:rPr>
        <w:t> </w:t>
      </w:r>
      <w:r>
        <w:rPr>
          <w:rFonts w:ascii="Arial" w:hAnsi="Arial"/>
          <w:color w:val="4F495E"/>
          <w:w w:val="105"/>
          <w:sz w:val="17"/>
        </w:rPr>
        <w:t>fin</w:t>
      </w:r>
      <w:r>
        <w:rPr>
          <w:rFonts w:ascii="Arial" w:hAnsi="Arial"/>
          <w:color w:val="492646"/>
          <w:w w:val="105"/>
          <w:sz w:val="17"/>
        </w:rPr>
        <w:t>i</w:t>
      </w:r>
      <w:r>
        <w:rPr>
          <w:rFonts w:ascii="Arial" w:hAnsi="Arial"/>
          <w:color w:val="4F495E"/>
          <w:w w:val="105"/>
          <w:sz w:val="17"/>
        </w:rPr>
        <w:t>sh</w:t>
      </w:r>
      <w:r>
        <w:rPr>
          <w:rFonts w:ascii="Arial" w:hAnsi="Arial"/>
          <w:color w:val="4F495E"/>
          <w:spacing w:val="5"/>
          <w:w w:val="105"/>
          <w:sz w:val="17"/>
        </w:rPr>
        <w:t> </w:t>
      </w:r>
      <w:r>
        <w:rPr>
          <w:rFonts w:ascii="Arial" w:hAnsi="Arial"/>
          <w:color w:val="4F495E"/>
          <w:w w:val="105"/>
          <w:sz w:val="17"/>
        </w:rPr>
        <w:t>a</w:t>
      </w:r>
      <w:r>
        <w:rPr>
          <w:rFonts w:ascii="Arial" w:hAnsi="Arial"/>
          <w:color w:val="4F495E"/>
          <w:spacing w:val="20"/>
          <w:w w:val="105"/>
          <w:sz w:val="17"/>
        </w:rPr>
        <w:t> </w:t>
      </w:r>
      <w:r>
        <w:rPr>
          <w:rFonts w:ascii="Arial" w:hAnsi="Arial"/>
          <w:color w:val="492646"/>
          <w:w w:val="105"/>
          <w:sz w:val="17"/>
        </w:rPr>
        <w:t>t</w:t>
      </w:r>
      <w:r>
        <w:rPr>
          <w:rFonts w:ascii="Arial" w:hAnsi="Arial"/>
          <w:color w:val="4F495E"/>
          <w:w w:val="105"/>
          <w:sz w:val="17"/>
        </w:rPr>
        <w:t>hought,</w:t>
      </w:r>
      <w:r>
        <w:rPr>
          <w:rFonts w:ascii="Arial" w:hAnsi="Arial"/>
          <w:color w:val="4F495E"/>
          <w:spacing w:val="8"/>
          <w:w w:val="105"/>
          <w:sz w:val="17"/>
        </w:rPr>
        <w:t> </w:t>
      </w:r>
      <w:r>
        <w:rPr>
          <w:rFonts w:ascii="Arial" w:hAnsi="Arial"/>
          <w:color w:val="5D5E74"/>
          <w:w w:val="105"/>
          <w:sz w:val="17"/>
        </w:rPr>
        <w:t>pa</w:t>
      </w:r>
      <w:r>
        <w:rPr>
          <w:rFonts w:ascii="Arial" w:hAnsi="Arial"/>
          <w:color w:val="3D3459"/>
          <w:w w:val="105"/>
          <w:sz w:val="17"/>
        </w:rPr>
        <w:t>use</w:t>
      </w:r>
      <w:r>
        <w:rPr>
          <w:rFonts w:ascii="Arial" w:hAnsi="Arial"/>
          <w:color w:val="3D3459"/>
          <w:spacing w:val="8"/>
          <w:w w:val="105"/>
          <w:sz w:val="17"/>
        </w:rPr>
        <w:t> </w:t>
      </w:r>
      <w:r>
        <w:rPr>
          <w:rFonts w:ascii="Arial" w:hAnsi="Arial"/>
          <w:color w:val="3D3459"/>
          <w:w w:val="105"/>
          <w:sz w:val="17"/>
        </w:rPr>
        <w:t>to</w:t>
      </w:r>
      <w:r>
        <w:rPr>
          <w:rFonts w:ascii="Arial" w:hAnsi="Arial"/>
          <w:color w:val="3D3459"/>
          <w:spacing w:val="27"/>
          <w:w w:val="105"/>
          <w:sz w:val="17"/>
        </w:rPr>
        <w:t> </w:t>
      </w:r>
      <w:r>
        <w:rPr>
          <w:rFonts w:ascii="Arial" w:hAnsi="Arial"/>
          <w:color w:val="4F495E"/>
          <w:w w:val="105"/>
          <w:sz w:val="17"/>
        </w:rPr>
        <w:t>give</w:t>
      </w:r>
      <w:r>
        <w:rPr>
          <w:rFonts w:ascii="Arial" w:hAnsi="Arial"/>
          <w:color w:val="4F495E"/>
          <w:spacing w:val="11"/>
          <w:w w:val="105"/>
          <w:sz w:val="17"/>
        </w:rPr>
        <w:t> </w:t>
      </w:r>
      <w:r>
        <w:rPr>
          <w:rFonts w:ascii="Arial" w:hAnsi="Arial"/>
          <w:color w:val="3D3459"/>
          <w:spacing w:val="-5"/>
          <w:w w:val="105"/>
          <w:sz w:val="17"/>
        </w:rPr>
        <w:t>the</w:t>
      </w:r>
    </w:p>
    <w:p>
      <w:pPr>
        <w:spacing w:before="21"/>
        <w:ind w:left="2840" w:right="0" w:firstLine="0"/>
        <w:jc w:val="left"/>
        <w:rPr>
          <w:rFonts w:ascii="Arial"/>
          <w:sz w:val="17"/>
        </w:rPr>
      </w:pPr>
      <w:r>
        <w:rPr>
          <w:rFonts w:ascii="Arial"/>
          <w:color w:val="480F3F"/>
          <w:w w:val="110"/>
          <w:sz w:val="17"/>
        </w:rPr>
        <w:t>i</w:t>
      </w:r>
      <w:r>
        <w:rPr>
          <w:rFonts w:ascii="Arial"/>
          <w:color w:val="4F495E"/>
          <w:w w:val="110"/>
          <w:sz w:val="17"/>
        </w:rPr>
        <w:t>nte</w:t>
      </w:r>
      <w:r>
        <w:rPr>
          <w:rFonts w:ascii="Arial"/>
          <w:color w:val="6B5B5B"/>
          <w:w w:val="110"/>
          <w:sz w:val="17"/>
        </w:rPr>
        <w:t>r</w:t>
      </w:r>
      <w:r>
        <w:rPr>
          <w:rFonts w:ascii="Arial"/>
          <w:color w:val="5D5E74"/>
          <w:w w:val="110"/>
          <w:sz w:val="17"/>
        </w:rPr>
        <w:t>pre</w:t>
      </w:r>
      <w:r>
        <w:rPr>
          <w:rFonts w:ascii="Arial"/>
          <w:color w:val="3D3459"/>
          <w:w w:val="110"/>
          <w:sz w:val="17"/>
        </w:rPr>
        <w:t>ter</w:t>
      </w:r>
      <w:r>
        <w:rPr>
          <w:rFonts w:ascii="Arial"/>
          <w:color w:val="3D3459"/>
          <w:spacing w:val="5"/>
          <w:w w:val="110"/>
          <w:sz w:val="17"/>
        </w:rPr>
        <w:t> </w:t>
      </w:r>
      <w:r>
        <w:rPr>
          <w:rFonts w:ascii="Arial"/>
          <w:color w:val="3D3459"/>
          <w:w w:val="110"/>
          <w:sz w:val="17"/>
        </w:rPr>
        <w:t>enou</w:t>
      </w:r>
      <w:r>
        <w:rPr>
          <w:rFonts w:ascii="Arial"/>
          <w:color w:val="5D5E74"/>
          <w:w w:val="110"/>
          <w:sz w:val="17"/>
        </w:rPr>
        <w:t>g</w:t>
      </w:r>
      <w:r>
        <w:rPr>
          <w:rFonts w:ascii="Arial"/>
          <w:color w:val="3D3459"/>
          <w:w w:val="110"/>
          <w:sz w:val="17"/>
        </w:rPr>
        <w:t>h</w:t>
      </w:r>
      <w:r>
        <w:rPr>
          <w:rFonts w:ascii="Arial"/>
          <w:color w:val="3D3459"/>
          <w:spacing w:val="-1"/>
          <w:w w:val="110"/>
          <w:sz w:val="17"/>
        </w:rPr>
        <w:t> </w:t>
      </w:r>
      <w:r>
        <w:rPr>
          <w:rFonts w:ascii="Arial"/>
          <w:color w:val="4F495E"/>
          <w:w w:val="110"/>
          <w:sz w:val="17"/>
        </w:rPr>
        <w:t>t</w:t>
      </w:r>
      <w:r>
        <w:rPr>
          <w:rFonts w:ascii="Arial"/>
          <w:color w:val="492646"/>
          <w:w w:val="110"/>
          <w:sz w:val="17"/>
        </w:rPr>
        <w:t>i</w:t>
      </w:r>
      <w:r>
        <w:rPr>
          <w:rFonts w:ascii="Arial"/>
          <w:color w:val="4F495E"/>
          <w:w w:val="110"/>
          <w:sz w:val="17"/>
        </w:rPr>
        <w:t>me</w:t>
      </w:r>
      <w:r>
        <w:rPr>
          <w:rFonts w:ascii="Arial"/>
          <w:color w:val="4F495E"/>
          <w:spacing w:val="7"/>
          <w:w w:val="110"/>
          <w:sz w:val="17"/>
        </w:rPr>
        <w:t> </w:t>
      </w:r>
      <w:r>
        <w:rPr>
          <w:rFonts w:ascii="Arial"/>
          <w:color w:val="3D3459"/>
          <w:w w:val="110"/>
          <w:sz w:val="17"/>
        </w:rPr>
        <w:t>to</w:t>
      </w:r>
      <w:r>
        <w:rPr>
          <w:rFonts w:ascii="Arial"/>
          <w:color w:val="3D3459"/>
          <w:spacing w:val="2"/>
          <w:w w:val="110"/>
          <w:sz w:val="17"/>
        </w:rPr>
        <w:t> </w:t>
      </w:r>
      <w:r>
        <w:rPr>
          <w:rFonts w:ascii="Arial"/>
          <w:color w:val="333D74"/>
          <w:spacing w:val="-2"/>
          <w:w w:val="110"/>
          <w:sz w:val="17"/>
        </w:rPr>
        <w:t>i</w:t>
      </w:r>
      <w:r>
        <w:rPr>
          <w:rFonts w:ascii="Arial"/>
          <w:color w:val="4F495E"/>
          <w:spacing w:val="-2"/>
          <w:w w:val="110"/>
          <w:sz w:val="17"/>
        </w:rPr>
        <w:t>nterpret.</w:t>
      </w:r>
    </w:p>
    <w:p>
      <w:pPr>
        <w:pStyle w:val="ListParagraph"/>
        <w:numPr>
          <w:ilvl w:val="0"/>
          <w:numId w:val="39"/>
        </w:numPr>
        <w:tabs>
          <w:tab w:pos="2840" w:val="left" w:leader="none"/>
        </w:tabs>
        <w:spacing w:line="266" w:lineRule="auto" w:before="30" w:after="0"/>
        <w:ind w:left="2840" w:right="2381" w:hanging="296"/>
        <w:jc w:val="left"/>
        <w:rPr>
          <w:rFonts w:ascii="Arial" w:hAnsi="Arial"/>
          <w:sz w:val="17"/>
        </w:rPr>
      </w:pPr>
      <w:r>
        <w:rPr>
          <w:rFonts w:ascii="Arial" w:hAnsi="Arial"/>
          <w:color w:val="492646"/>
          <w:w w:val="110"/>
          <w:sz w:val="17"/>
        </w:rPr>
        <w:t>B</w:t>
      </w:r>
      <w:r>
        <w:rPr>
          <w:rFonts w:ascii="Arial" w:hAnsi="Arial"/>
          <w:color w:val="4F495E"/>
          <w:w w:val="110"/>
          <w:sz w:val="17"/>
        </w:rPr>
        <w:t>e</w:t>
      </w:r>
      <w:r>
        <w:rPr>
          <w:rFonts w:ascii="Arial" w:hAnsi="Arial"/>
          <w:color w:val="4F495E"/>
          <w:spacing w:val="-3"/>
          <w:w w:val="110"/>
          <w:sz w:val="17"/>
        </w:rPr>
        <w:t> </w:t>
      </w:r>
      <w:r>
        <w:rPr>
          <w:rFonts w:ascii="Arial" w:hAnsi="Arial"/>
          <w:color w:val="4F495E"/>
          <w:w w:val="110"/>
          <w:sz w:val="17"/>
        </w:rPr>
        <w:t>prepared</w:t>
      </w:r>
      <w:r>
        <w:rPr>
          <w:rFonts w:ascii="Arial" w:hAnsi="Arial"/>
          <w:color w:val="4F495E"/>
          <w:spacing w:val="24"/>
          <w:w w:val="110"/>
          <w:sz w:val="17"/>
        </w:rPr>
        <w:t> </w:t>
      </w:r>
      <w:r>
        <w:rPr>
          <w:rFonts w:ascii="Arial" w:hAnsi="Arial"/>
          <w:color w:val="4F495E"/>
          <w:w w:val="110"/>
          <w:sz w:val="17"/>
        </w:rPr>
        <w:t>to exp</w:t>
      </w:r>
      <w:r>
        <w:rPr>
          <w:rFonts w:ascii="Arial" w:hAnsi="Arial"/>
          <w:color w:val="492646"/>
          <w:w w:val="110"/>
          <w:sz w:val="17"/>
        </w:rPr>
        <w:t>l</w:t>
      </w:r>
      <w:r>
        <w:rPr>
          <w:rFonts w:ascii="Arial" w:hAnsi="Arial"/>
          <w:color w:val="4F495E"/>
          <w:w w:val="110"/>
          <w:sz w:val="17"/>
        </w:rPr>
        <w:t>ain</w:t>
      </w:r>
      <w:r>
        <w:rPr>
          <w:rFonts w:ascii="Arial" w:hAnsi="Arial"/>
          <w:color w:val="4F495E"/>
          <w:spacing w:val="-6"/>
          <w:w w:val="110"/>
          <w:sz w:val="17"/>
        </w:rPr>
        <w:t> </w:t>
      </w:r>
      <w:r>
        <w:rPr>
          <w:rFonts w:ascii="Arial" w:hAnsi="Arial"/>
          <w:color w:val="4F495E"/>
          <w:w w:val="110"/>
          <w:sz w:val="17"/>
        </w:rPr>
        <w:t>some things </w:t>
      </w:r>
      <w:r>
        <w:rPr>
          <w:rFonts w:ascii="Arial" w:hAnsi="Arial"/>
          <w:color w:val="333D74"/>
          <w:w w:val="110"/>
          <w:sz w:val="17"/>
        </w:rPr>
        <w:t>in </w:t>
      </w:r>
      <w:r>
        <w:rPr>
          <w:rFonts w:ascii="Arial" w:hAnsi="Arial"/>
          <w:color w:val="3D3459"/>
          <w:w w:val="110"/>
          <w:sz w:val="17"/>
        </w:rPr>
        <w:t>more </w:t>
      </w:r>
      <w:r>
        <w:rPr>
          <w:rFonts w:ascii="Arial" w:hAnsi="Arial"/>
          <w:color w:val="5D5E74"/>
          <w:w w:val="110"/>
          <w:sz w:val="17"/>
        </w:rPr>
        <w:t>de</w:t>
      </w:r>
      <w:r>
        <w:rPr>
          <w:rFonts w:ascii="Arial" w:hAnsi="Arial"/>
          <w:color w:val="3D3459"/>
          <w:w w:val="110"/>
          <w:sz w:val="17"/>
        </w:rPr>
        <w:t>tai</w:t>
      </w:r>
      <w:r>
        <w:rPr>
          <w:rFonts w:ascii="Arial" w:hAnsi="Arial"/>
          <w:color w:val="480F3F"/>
          <w:w w:val="110"/>
          <w:sz w:val="17"/>
        </w:rPr>
        <w:t>l </w:t>
      </w:r>
      <w:r>
        <w:rPr>
          <w:rFonts w:ascii="Arial" w:hAnsi="Arial"/>
          <w:color w:val="4F495E"/>
          <w:w w:val="110"/>
          <w:sz w:val="17"/>
        </w:rPr>
        <w:t>fo</w:t>
      </w:r>
      <w:r>
        <w:rPr>
          <w:rFonts w:ascii="Arial" w:hAnsi="Arial"/>
          <w:color w:val="333D74"/>
          <w:w w:val="110"/>
          <w:sz w:val="17"/>
        </w:rPr>
        <w:t>r </w:t>
      </w:r>
      <w:r>
        <w:rPr>
          <w:rFonts w:ascii="Arial" w:hAnsi="Arial"/>
          <w:color w:val="4F495E"/>
          <w:w w:val="110"/>
          <w:sz w:val="17"/>
        </w:rPr>
        <w:t>the telephone </w:t>
      </w:r>
      <w:r>
        <w:rPr>
          <w:rFonts w:ascii="Arial" w:hAnsi="Arial"/>
          <w:color w:val="480F3F"/>
          <w:w w:val="110"/>
          <w:sz w:val="17"/>
        </w:rPr>
        <w:t>i</w:t>
      </w:r>
      <w:r>
        <w:rPr>
          <w:rFonts w:ascii="Arial" w:hAnsi="Arial"/>
          <w:color w:val="4F495E"/>
          <w:w w:val="110"/>
          <w:sz w:val="17"/>
        </w:rPr>
        <w:t>nte</w:t>
      </w:r>
      <w:r>
        <w:rPr>
          <w:rFonts w:ascii="Arial" w:hAnsi="Arial"/>
          <w:color w:val="6B5B5B"/>
          <w:w w:val="110"/>
          <w:sz w:val="17"/>
        </w:rPr>
        <w:t>r</w:t>
      </w:r>
      <w:r>
        <w:rPr>
          <w:rFonts w:ascii="Arial" w:hAnsi="Arial"/>
          <w:color w:val="5D5E74"/>
          <w:w w:val="110"/>
          <w:sz w:val="17"/>
        </w:rPr>
        <w:t>pre</w:t>
      </w:r>
      <w:r>
        <w:rPr>
          <w:rFonts w:ascii="Arial" w:hAnsi="Arial"/>
          <w:color w:val="3D3459"/>
          <w:w w:val="110"/>
          <w:sz w:val="17"/>
        </w:rPr>
        <w:t>ter</w:t>
      </w:r>
      <w:r>
        <w:rPr>
          <w:rFonts w:ascii="Arial" w:hAnsi="Arial"/>
          <w:color w:val="5D5E74"/>
          <w:w w:val="110"/>
          <w:sz w:val="17"/>
        </w:rPr>
        <w:t>.</w:t>
      </w:r>
      <w:r>
        <w:rPr>
          <w:rFonts w:ascii="Arial" w:hAnsi="Arial"/>
          <w:color w:val="5D5E74"/>
          <w:spacing w:val="-13"/>
          <w:w w:val="110"/>
          <w:sz w:val="17"/>
        </w:rPr>
        <w:t> </w:t>
      </w:r>
      <w:r>
        <w:rPr>
          <w:rFonts w:ascii="Arial" w:hAnsi="Arial"/>
          <w:color w:val="5D5E74"/>
          <w:w w:val="110"/>
          <w:sz w:val="17"/>
        </w:rPr>
        <w:t>So</w:t>
      </w:r>
      <w:r>
        <w:rPr>
          <w:rFonts w:ascii="Arial" w:hAnsi="Arial"/>
          <w:color w:val="3D3459"/>
          <w:w w:val="110"/>
          <w:sz w:val="17"/>
        </w:rPr>
        <w:t>me</w:t>
      </w:r>
      <w:r>
        <w:rPr>
          <w:rFonts w:ascii="Arial" w:hAnsi="Arial"/>
          <w:color w:val="3D3459"/>
          <w:spacing w:val="-13"/>
          <w:w w:val="110"/>
          <w:sz w:val="17"/>
        </w:rPr>
        <w:t> </w:t>
      </w:r>
      <w:r>
        <w:rPr>
          <w:rFonts w:ascii="Arial" w:hAnsi="Arial"/>
          <w:color w:val="4F495E"/>
          <w:w w:val="110"/>
          <w:sz w:val="17"/>
        </w:rPr>
        <w:t>term</w:t>
      </w:r>
      <w:r>
        <w:rPr>
          <w:rFonts w:ascii="Arial" w:hAnsi="Arial"/>
          <w:color w:val="333D74"/>
          <w:w w:val="110"/>
          <w:sz w:val="17"/>
        </w:rPr>
        <w:t>i</w:t>
      </w:r>
      <w:r>
        <w:rPr>
          <w:rFonts w:ascii="Arial" w:hAnsi="Arial"/>
          <w:color w:val="4F495E"/>
          <w:w w:val="110"/>
          <w:sz w:val="17"/>
        </w:rPr>
        <w:t>nology</w:t>
      </w:r>
      <w:r>
        <w:rPr>
          <w:rFonts w:ascii="Arial" w:hAnsi="Arial"/>
          <w:color w:val="4F495E"/>
          <w:spacing w:val="-11"/>
          <w:w w:val="110"/>
          <w:sz w:val="17"/>
        </w:rPr>
        <w:t> </w:t>
      </w:r>
      <w:r>
        <w:rPr>
          <w:rFonts w:ascii="Arial" w:hAnsi="Arial"/>
          <w:color w:val="4F495E"/>
          <w:w w:val="110"/>
          <w:sz w:val="17"/>
        </w:rPr>
        <w:t>and</w:t>
      </w:r>
      <w:r>
        <w:rPr>
          <w:rFonts w:ascii="Arial" w:hAnsi="Arial"/>
          <w:color w:val="4F495E"/>
          <w:spacing w:val="-13"/>
          <w:w w:val="110"/>
          <w:sz w:val="17"/>
        </w:rPr>
        <w:t> </w:t>
      </w:r>
      <w:r>
        <w:rPr>
          <w:rFonts w:ascii="Arial" w:hAnsi="Arial"/>
          <w:color w:val="4F495E"/>
          <w:w w:val="110"/>
          <w:sz w:val="17"/>
        </w:rPr>
        <w:t>concepts</w:t>
      </w:r>
      <w:r>
        <w:rPr>
          <w:rFonts w:ascii="Arial" w:hAnsi="Arial"/>
          <w:color w:val="4F495E"/>
          <w:spacing w:val="-2"/>
          <w:w w:val="110"/>
          <w:sz w:val="17"/>
        </w:rPr>
        <w:t> </w:t>
      </w:r>
      <w:r>
        <w:rPr>
          <w:rFonts w:ascii="Arial" w:hAnsi="Arial"/>
          <w:color w:val="4F495E"/>
          <w:w w:val="110"/>
          <w:sz w:val="17"/>
        </w:rPr>
        <w:t>may</w:t>
      </w:r>
      <w:r>
        <w:rPr>
          <w:rFonts w:ascii="Arial" w:hAnsi="Arial"/>
          <w:color w:val="4F495E"/>
          <w:spacing w:val="-6"/>
          <w:w w:val="110"/>
          <w:sz w:val="17"/>
        </w:rPr>
        <w:t> </w:t>
      </w:r>
      <w:r>
        <w:rPr>
          <w:rFonts w:ascii="Arial" w:hAnsi="Arial"/>
          <w:color w:val="3D3459"/>
          <w:w w:val="110"/>
          <w:sz w:val="17"/>
        </w:rPr>
        <w:t>not</w:t>
      </w:r>
      <w:r>
        <w:rPr>
          <w:rFonts w:ascii="Arial" w:hAnsi="Arial"/>
          <w:color w:val="3D3459"/>
          <w:spacing w:val="-9"/>
          <w:w w:val="110"/>
          <w:sz w:val="17"/>
        </w:rPr>
        <w:t> </w:t>
      </w:r>
      <w:r>
        <w:rPr>
          <w:rFonts w:ascii="Arial" w:hAnsi="Arial"/>
          <w:color w:val="3D3459"/>
          <w:w w:val="110"/>
          <w:sz w:val="17"/>
        </w:rPr>
        <w:t>have</w:t>
      </w:r>
      <w:r>
        <w:rPr>
          <w:rFonts w:ascii="Arial" w:hAnsi="Arial"/>
          <w:color w:val="3D3459"/>
          <w:spacing w:val="-10"/>
          <w:w w:val="110"/>
          <w:sz w:val="17"/>
        </w:rPr>
        <w:t> </w:t>
      </w:r>
      <w:r>
        <w:rPr>
          <w:rFonts w:ascii="Arial" w:hAnsi="Arial"/>
          <w:color w:val="4F495E"/>
          <w:w w:val="110"/>
          <w:sz w:val="17"/>
        </w:rPr>
        <w:t>an</w:t>
      </w:r>
      <w:r>
        <w:rPr>
          <w:rFonts w:ascii="Arial" w:hAnsi="Arial"/>
          <w:color w:val="4F495E"/>
          <w:spacing w:val="-13"/>
          <w:w w:val="110"/>
          <w:sz w:val="17"/>
        </w:rPr>
        <w:t> </w:t>
      </w:r>
      <w:r>
        <w:rPr>
          <w:rFonts w:ascii="Arial" w:hAnsi="Arial"/>
          <w:color w:val="4F495E"/>
          <w:w w:val="110"/>
          <w:sz w:val="17"/>
        </w:rPr>
        <w:t>equivalent </w:t>
      </w:r>
      <w:r>
        <w:rPr>
          <w:rFonts w:ascii="Arial" w:hAnsi="Arial"/>
          <w:color w:val="480F3F"/>
          <w:w w:val="110"/>
          <w:sz w:val="17"/>
        </w:rPr>
        <w:t>i</w:t>
      </w:r>
      <w:r>
        <w:rPr>
          <w:rFonts w:ascii="Arial" w:hAnsi="Arial"/>
          <w:color w:val="4F495E"/>
          <w:w w:val="110"/>
          <w:sz w:val="17"/>
        </w:rPr>
        <w:t>n the </w:t>
      </w:r>
      <w:r>
        <w:rPr>
          <w:rFonts w:ascii="Arial" w:hAnsi="Arial"/>
          <w:color w:val="492646"/>
          <w:w w:val="110"/>
          <w:sz w:val="17"/>
        </w:rPr>
        <w:t>t</w:t>
      </w:r>
      <w:r>
        <w:rPr>
          <w:rFonts w:ascii="Arial" w:hAnsi="Arial"/>
          <w:color w:val="4F495E"/>
          <w:w w:val="110"/>
          <w:sz w:val="17"/>
        </w:rPr>
        <w:t>arget</w:t>
      </w:r>
      <w:r>
        <w:rPr>
          <w:rFonts w:ascii="Arial" w:hAnsi="Arial"/>
          <w:color w:val="4F495E"/>
          <w:w w:val="110"/>
          <w:sz w:val="17"/>
        </w:rPr>
        <w:t> </w:t>
      </w:r>
      <w:r>
        <w:rPr>
          <w:rFonts w:ascii="Arial" w:hAnsi="Arial"/>
          <w:color w:val="6B5B5B"/>
          <w:w w:val="110"/>
          <w:sz w:val="17"/>
        </w:rPr>
        <w:t>language.</w:t>
      </w:r>
    </w:p>
    <w:p>
      <w:pPr>
        <w:pStyle w:val="ListParagraph"/>
        <w:numPr>
          <w:ilvl w:val="0"/>
          <w:numId w:val="39"/>
        </w:numPr>
        <w:tabs>
          <w:tab w:pos="2836" w:val="left" w:leader="none"/>
          <w:tab w:pos="2838" w:val="left" w:leader="none"/>
        </w:tabs>
        <w:spacing w:line="266" w:lineRule="auto" w:before="3" w:after="0"/>
        <w:ind w:left="2836" w:right="2338" w:hanging="293"/>
        <w:jc w:val="left"/>
        <w:rPr>
          <w:rFonts w:ascii="Arial" w:hAnsi="Arial"/>
          <w:sz w:val="17"/>
        </w:rPr>
      </w:pPr>
      <w:r>
        <w:rPr>
          <w:rFonts w:ascii="Arial" w:hAnsi="Arial"/>
          <w:color w:val="0F0C16"/>
          <w:sz w:val="17"/>
        </w:rPr>
        <w:tab/>
      </w:r>
      <w:r>
        <w:rPr>
          <w:rFonts w:ascii="Arial" w:hAnsi="Arial"/>
          <w:color w:val="4F495E"/>
          <w:w w:val="110"/>
          <w:sz w:val="17"/>
        </w:rPr>
        <w:t>Con</w:t>
      </w:r>
      <w:r>
        <w:rPr>
          <w:rFonts w:ascii="Arial" w:hAnsi="Arial"/>
          <w:color w:val="492646"/>
          <w:w w:val="110"/>
          <w:sz w:val="17"/>
        </w:rPr>
        <w:t>t</w:t>
      </w:r>
      <w:r>
        <w:rPr>
          <w:rFonts w:ascii="Arial" w:hAnsi="Arial"/>
          <w:color w:val="4F495E"/>
          <w:w w:val="110"/>
          <w:sz w:val="17"/>
        </w:rPr>
        <w:t>ro</w:t>
      </w:r>
      <w:r>
        <w:rPr>
          <w:rFonts w:ascii="Arial" w:hAnsi="Arial"/>
          <w:color w:val="212F77"/>
          <w:w w:val="110"/>
          <w:sz w:val="17"/>
        </w:rPr>
        <w:t>l </w:t>
      </w:r>
      <w:r>
        <w:rPr>
          <w:rFonts w:ascii="Arial" w:hAnsi="Arial"/>
          <w:color w:val="492646"/>
          <w:w w:val="110"/>
          <w:sz w:val="17"/>
        </w:rPr>
        <w:t>t</w:t>
      </w:r>
      <w:r>
        <w:rPr>
          <w:rFonts w:ascii="Arial" w:hAnsi="Arial"/>
          <w:color w:val="4F495E"/>
          <w:w w:val="110"/>
          <w:sz w:val="17"/>
        </w:rPr>
        <w:t>he conve</w:t>
      </w:r>
      <w:r>
        <w:rPr>
          <w:rFonts w:ascii="Arial" w:hAnsi="Arial"/>
          <w:color w:val="492646"/>
          <w:w w:val="110"/>
          <w:sz w:val="17"/>
        </w:rPr>
        <w:t>r</w:t>
      </w:r>
      <w:r>
        <w:rPr>
          <w:rFonts w:ascii="Arial" w:hAnsi="Arial"/>
          <w:color w:val="4F495E"/>
          <w:w w:val="110"/>
          <w:sz w:val="17"/>
        </w:rPr>
        <w:t>sation. </w:t>
      </w:r>
      <w:r>
        <w:rPr>
          <w:rFonts w:ascii="Arial" w:hAnsi="Arial"/>
          <w:color w:val="3D3459"/>
          <w:w w:val="110"/>
          <w:sz w:val="17"/>
        </w:rPr>
        <w:t>The te</w:t>
      </w:r>
      <w:r>
        <w:rPr>
          <w:rFonts w:ascii="Arial" w:hAnsi="Arial"/>
          <w:color w:val="480F3F"/>
          <w:w w:val="110"/>
          <w:sz w:val="17"/>
        </w:rPr>
        <w:t>l</w:t>
      </w:r>
      <w:r>
        <w:rPr>
          <w:rFonts w:ascii="Arial" w:hAnsi="Arial"/>
          <w:color w:val="4F495E"/>
          <w:w w:val="110"/>
          <w:sz w:val="17"/>
        </w:rPr>
        <w:t>ephone interp</w:t>
      </w:r>
      <w:r>
        <w:rPr>
          <w:rFonts w:ascii="Arial" w:hAnsi="Arial"/>
          <w:color w:val="333D74"/>
          <w:w w:val="110"/>
          <w:sz w:val="17"/>
        </w:rPr>
        <w:t>r</w:t>
      </w:r>
      <w:r>
        <w:rPr>
          <w:rFonts w:ascii="Arial" w:hAnsi="Arial"/>
          <w:color w:val="4F495E"/>
          <w:w w:val="110"/>
          <w:sz w:val="17"/>
        </w:rPr>
        <w:t>ete</w:t>
      </w:r>
      <w:r>
        <w:rPr>
          <w:rFonts w:ascii="Arial" w:hAnsi="Arial"/>
          <w:color w:val="492646"/>
          <w:w w:val="110"/>
          <w:sz w:val="17"/>
        </w:rPr>
        <w:t>r </w:t>
      </w:r>
      <w:r>
        <w:rPr>
          <w:rFonts w:ascii="Arial" w:hAnsi="Arial"/>
          <w:color w:val="5D5E74"/>
          <w:w w:val="110"/>
          <w:sz w:val="17"/>
        </w:rPr>
        <w:t>is </w:t>
      </w:r>
      <w:r>
        <w:rPr>
          <w:rFonts w:ascii="Arial" w:hAnsi="Arial"/>
          <w:color w:val="4F495E"/>
          <w:w w:val="110"/>
          <w:sz w:val="17"/>
        </w:rPr>
        <w:t>on</w:t>
      </w:r>
      <w:r>
        <w:rPr>
          <w:rFonts w:ascii="Arial" w:hAnsi="Arial"/>
          <w:color w:val="333D74"/>
          <w:w w:val="110"/>
          <w:sz w:val="17"/>
        </w:rPr>
        <w:t>l</w:t>
      </w:r>
      <w:r>
        <w:rPr>
          <w:rFonts w:ascii="Arial" w:hAnsi="Arial"/>
          <w:color w:val="5D5E74"/>
          <w:w w:val="110"/>
          <w:sz w:val="17"/>
        </w:rPr>
        <w:t>y </w:t>
      </w:r>
      <w:r>
        <w:rPr>
          <w:rFonts w:ascii="Arial" w:hAnsi="Arial"/>
          <w:color w:val="4F495E"/>
          <w:w w:val="110"/>
          <w:sz w:val="17"/>
        </w:rPr>
        <w:t>t</w:t>
      </w:r>
      <w:r>
        <w:rPr>
          <w:rFonts w:ascii="Arial" w:hAnsi="Arial"/>
          <w:color w:val="492646"/>
          <w:w w:val="110"/>
          <w:sz w:val="17"/>
        </w:rPr>
        <w:t>he</w:t>
      </w:r>
      <w:r>
        <w:rPr>
          <w:rFonts w:ascii="Arial" w:hAnsi="Arial"/>
          <w:color w:val="4F495E"/>
          <w:w w:val="110"/>
          <w:sz w:val="17"/>
        </w:rPr>
        <w:t>re to </w:t>
      </w:r>
      <w:r>
        <w:rPr>
          <w:rFonts w:ascii="Arial" w:hAnsi="Arial"/>
          <w:color w:val="480F3F"/>
          <w:w w:val="110"/>
          <w:sz w:val="17"/>
        </w:rPr>
        <w:t>i</w:t>
      </w:r>
      <w:r>
        <w:rPr>
          <w:rFonts w:ascii="Arial" w:hAnsi="Arial"/>
          <w:color w:val="4F495E"/>
          <w:w w:val="110"/>
          <w:sz w:val="17"/>
        </w:rPr>
        <w:t>nterpret.</w:t>
      </w:r>
      <w:r>
        <w:rPr>
          <w:rFonts w:ascii="Arial" w:hAnsi="Arial"/>
          <w:color w:val="4F495E"/>
          <w:spacing w:val="-13"/>
          <w:w w:val="110"/>
          <w:sz w:val="17"/>
        </w:rPr>
        <w:t> </w:t>
      </w:r>
      <w:r>
        <w:rPr>
          <w:rFonts w:ascii="Arial" w:hAnsi="Arial"/>
          <w:color w:val="5D5E74"/>
          <w:w w:val="110"/>
          <w:sz w:val="17"/>
        </w:rPr>
        <w:t>Yo</w:t>
      </w:r>
      <w:r>
        <w:rPr>
          <w:rFonts w:ascii="Arial" w:hAnsi="Arial"/>
          <w:color w:val="3D3459"/>
          <w:w w:val="110"/>
          <w:sz w:val="17"/>
        </w:rPr>
        <w:t>u</w:t>
      </w:r>
      <w:r>
        <w:rPr>
          <w:rFonts w:ascii="Arial" w:hAnsi="Arial"/>
          <w:color w:val="3D3459"/>
          <w:spacing w:val="-13"/>
          <w:w w:val="110"/>
          <w:sz w:val="17"/>
        </w:rPr>
        <w:t> </w:t>
      </w:r>
      <w:r>
        <w:rPr>
          <w:rFonts w:ascii="Arial" w:hAnsi="Arial"/>
          <w:color w:val="3D3459"/>
          <w:w w:val="110"/>
          <w:sz w:val="17"/>
        </w:rPr>
        <w:t>a</w:t>
      </w:r>
      <w:r>
        <w:rPr>
          <w:rFonts w:ascii="Arial" w:hAnsi="Arial"/>
          <w:color w:val="5D5E74"/>
          <w:w w:val="110"/>
          <w:sz w:val="17"/>
        </w:rPr>
        <w:t>r</w:t>
      </w:r>
      <w:r>
        <w:rPr>
          <w:rFonts w:ascii="Arial" w:hAnsi="Arial"/>
          <w:color w:val="3D3459"/>
          <w:w w:val="110"/>
          <w:sz w:val="17"/>
        </w:rPr>
        <w:t>e</w:t>
      </w:r>
      <w:r>
        <w:rPr>
          <w:rFonts w:ascii="Arial" w:hAnsi="Arial"/>
          <w:color w:val="3D3459"/>
          <w:spacing w:val="-13"/>
          <w:w w:val="110"/>
          <w:sz w:val="17"/>
        </w:rPr>
        <w:t> </w:t>
      </w:r>
      <w:r>
        <w:rPr>
          <w:rFonts w:ascii="Arial" w:hAnsi="Arial"/>
          <w:color w:val="4F495E"/>
          <w:w w:val="110"/>
          <w:sz w:val="17"/>
        </w:rPr>
        <w:t>responsible</w:t>
      </w:r>
      <w:r>
        <w:rPr>
          <w:rFonts w:ascii="Arial" w:hAnsi="Arial"/>
          <w:color w:val="4F495E"/>
          <w:spacing w:val="-9"/>
          <w:w w:val="110"/>
          <w:sz w:val="17"/>
        </w:rPr>
        <w:t> </w:t>
      </w:r>
      <w:r>
        <w:rPr>
          <w:rFonts w:ascii="Arial" w:hAnsi="Arial"/>
          <w:color w:val="4F495E"/>
          <w:w w:val="110"/>
          <w:sz w:val="17"/>
        </w:rPr>
        <w:t>fo</w:t>
      </w:r>
      <w:r>
        <w:rPr>
          <w:rFonts w:ascii="Arial" w:hAnsi="Arial"/>
          <w:color w:val="492646"/>
          <w:w w:val="110"/>
          <w:sz w:val="17"/>
        </w:rPr>
        <w:t>r</w:t>
      </w:r>
      <w:r>
        <w:rPr>
          <w:rFonts w:ascii="Arial" w:hAnsi="Arial"/>
          <w:color w:val="492646"/>
          <w:spacing w:val="-11"/>
          <w:w w:val="110"/>
          <w:sz w:val="17"/>
        </w:rPr>
        <w:t> </w:t>
      </w:r>
      <w:r>
        <w:rPr>
          <w:rFonts w:ascii="Arial" w:hAnsi="Arial"/>
          <w:color w:val="4F495E"/>
          <w:w w:val="110"/>
          <w:sz w:val="17"/>
        </w:rPr>
        <w:t>making</w:t>
      </w:r>
      <w:r>
        <w:rPr>
          <w:rFonts w:ascii="Arial" w:hAnsi="Arial"/>
          <w:color w:val="4F495E"/>
          <w:spacing w:val="-12"/>
          <w:w w:val="110"/>
          <w:sz w:val="17"/>
        </w:rPr>
        <w:t> </w:t>
      </w:r>
      <w:r>
        <w:rPr>
          <w:rFonts w:ascii="Arial" w:hAnsi="Arial"/>
          <w:color w:val="4F495E"/>
          <w:w w:val="110"/>
          <w:sz w:val="17"/>
        </w:rPr>
        <w:t>sure</w:t>
      </w:r>
      <w:r>
        <w:rPr>
          <w:rFonts w:ascii="Arial" w:hAnsi="Arial"/>
          <w:color w:val="4F495E"/>
          <w:spacing w:val="-13"/>
          <w:w w:val="110"/>
          <w:sz w:val="17"/>
        </w:rPr>
        <w:t> </w:t>
      </w:r>
      <w:r>
        <w:rPr>
          <w:rFonts w:ascii="Arial" w:hAnsi="Arial"/>
          <w:color w:val="492646"/>
          <w:w w:val="110"/>
          <w:sz w:val="17"/>
        </w:rPr>
        <w:t>t</w:t>
      </w:r>
      <w:r>
        <w:rPr>
          <w:rFonts w:ascii="Arial" w:hAnsi="Arial"/>
          <w:color w:val="4F495E"/>
          <w:w w:val="110"/>
          <w:sz w:val="17"/>
        </w:rPr>
        <w:t>he</w:t>
      </w:r>
      <w:r>
        <w:rPr>
          <w:rFonts w:ascii="Arial" w:hAnsi="Arial"/>
          <w:color w:val="4F495E"/>
          <w:spacing w:val="-13"/>
          <w:w w:val="110"/>
          <w:sz w:val="17"/>
        </w:rPr>
        <w:t> </w:t>
      </w:r>
      <w:r>
        <w:rPr>
          <w:rFonts w:ascii="Arial" w:hAnsi="Arial"/>
          <w:color w:val="492646"/>
          <w:w w:val="110"/>
          <w:sz w:val="17"/>
        </w:rPr>
        <w:t>LEP</w:t>
      </w:r>
      <w:r>
        <w:rPr>
          <w:rFonts w:ascii="Arial" w:hAnsi="Arial"/>
          <w:color w:val="492646"/>
          <w:spacing w:val="-12"/>
          <w:w w:val="110"/>
          <w:sz w:val="17"/>
        </w:rPr>
        <w:t> </w:t>
      </w:r>
      <w:r>
        <w:rPr>
          <w:rFonts w:ascii="Arial" w:hAnsi="Arial"/>
          <w:color w:val="4F495E"/>
          <w:w w:val="110"/>
          <w:sz w:val="17"/>
        </w:rPr>
        <w:t>cl</w:t>
      </w:r>
      <w:r>
        <w:rPr>
          <w:rFonts w:ascii="Arial" w:hAnsi="Arial"/>
          <w:color w:val="492646"/>
          <w:w w:val="110"/>
          <w:sz w:val="17"/>
        </w:rPr>
        <w:t>i</w:t>
      </w:r>
      <w:r>
        <w:rPr>
          <w:rFonts w:ascii="Arial" w:hAnsi="Arial"/>
          <w:color w:val="4F495E"/>
          <w:w w:val="110"/>
          <w:sz w:val="17"/>
        </w:rPr>
        <w:t>ent</w:t>
      </w:r>
      <w:r>
        <w:rPr>
          <w:rFonts w:ascii="Arial" w:hAnsi="Arial"/>
          <w:color w:val="4F495E"/>
          <w:spacing w:val="-6"/>
          <w:w w:val="110"/>
          <w:sz w:val="17"/>
        </w:rPr>
        <w:t> </w:t>
      </w:r>
      <w:r>
        <w:rPr>
          <w:rFonts w:ascii="Arial" w:hAnsi="Arial"/>
          <w:color w:val="5D5E74"/>
          <w:w w:val="110"/>
          <w:sz w:val="17"/>
        </w:rPr>
        <w:t>receives</w:t>
      </w:r>
      <w:r>
        <w:rPr>
          <w:rFonts w:ascii="Arial" w:hAnsi="Arial"/>
          <w:color w:val="5D5E74"/>
          <w:spacing w:val="-12"/>
          <w:w w:val="110"/>
          <w:sz w:val="17"/>
        </w:rPr>
        <w:t> </w:t>
      </w:r>
      <w:r>
        <w:rPr>
          <w:rFonts w:ascii="Arial" w:hAnsi="Arial"/>
          <w:color w:val="492646"/>
          <w:w w:val="110"/>
          <w:sz w:val="17"/>
        </w:rPr>
        <w:t>t</w:t>
      </w:r>
      <w:r>
        <w:rPr>
          <w:rFonts w:ascii="Arial" w:hAnsi="Arial"/>
          <w:color w:val="4F495E"/>
          <w:w w:val="110"/>
          <w:sz w:val="17"/>
        </w:rPr>
        <w:t>he same se</w:t>
      </w:r>
      <w:r>
        <w:rPr>
          <w:rFonts w:ascii="Arial" w:hAnsi="Arial"/>
          <w:color w:val="333D74"/>
          <w:w w:val="110"/>
          <w:sz w:val="17"/>
        </w:rPr>
        <w:t>r</w:t>
      </w:r>
      <w:r>
        <w:rPr>
          <w:rFonts w:ascii="Arial" w:hAnsi="Arial"/>
          <w:color w:val="4F495E"/>
          <w:w w:val="110"/>
          <w:sz w:val="17"/>
        </w:rPr>
        <w:t>vice as an </w:t>
      </w:r>
      <w:r>
        <w:rPr>
          <w:rFonts w:ascii="Arial" w:hAnsi="Arial"/>
          <w:color w:val="492646"/>
          <w:w w:val="110"/>
          <w:sz w:val="17"/>
        </w:rPr>
        <w:t>E</w:t>
      </w:r>
      <w:r>
        <w:rPr>
          <w:rFonts w:ascii="Arial" w:hAnsi="Arial"/>
          <w:color w:val="4F495E"/>
          <w:w w:val="110"/>
          <w:sz w:val="17"/>
        </w:rPr>
        <w:t>ngl</w:t>
      </w:r>
      <w:r>
        <w:rPr>
          <w:rFonts w:ascii="Arial" w:hAnsi="Arial"/>
          <w:color w:val="480F3F"/>
          <w:w w:val="110"/>
          <w:sz w:val="17"/>
        </w:rPr>
        <w:t>i</w:t>
      </w:r>
      <w:r>
        <w:rPr>
          <w:rFonts w:ascii="Arial" w:hAnsi="Arial"/>
          <w:color w:val="4F495E"/>
          <w:w w:val="110"/>
          <w:sz w:val="17"/>
        </w:rPr>
        <w:t>sh</w:t>
      </w:r>
      <w:r>
        <w:rPr>
          <w:rFonts w:ascii="Arial" w:hAnsi="Arial"/>
          <w:color w:val="281831"/>
          <w:w w:val="110"/>
          <w:sz w:val="17"/>
        </w:rPr>
        <w:t>-</w:t>
      </w:r>
      <w:r>
        <w:rPr>
          <w:rFonts w:ascii="Arial" w:hAnsi="Arial"/>
          <w:color w:val="4F495E"/>
          <w:w w:val="110"/>
          <w:sz w:val="17"/>
        </w:rPr>
        <w:t>speaking client</w:t>
      </w:r>
      <w:r>
        <w:rPr>
          <w:rFonts w:ascii="Arial" w:hAnsi="Arial"/>
          <w:color w:val="181F52"/>
          <w:w w:val="110"/>
          <w:sz w:val="17"/>
        </w:rPr>
        <w:t>.</w:t>
      </w:r>
    </w:p>
    <w:p>
      <w:pPr>
        <w:pStyle w:val="ListParagraph"/>
        <w:numPr>
          <w:ilvl w:val="0"/>
          <w:numId w:val="39"/>
        </w:numPr>
        <w:tabs>
          <w:tab w:pos="2841" w:val="left" w:leader="none"/>
        </w:tabs>
        <w:spacing w:line="271" w:lineRule="auto" w:before="2" w:after="0"/>
        <w:ind w:left="2841" w:right="2208" w:hanging="298"/>
        <w:jc w:val="left"/>
        <w:rPr>
          <w:rFonts w:ascii="Arial" w:hAnsi="Arial"/>
          <w:sz w:val="17"/>
        </w:rPr>
      </w:pPr>
      <w:r>
        <w:rPr>
          <w:rFonts w:ascii="Arial" w:hAnsi="Arial"/>
          <w:color w:val="3D3459"/>
          <w:w w:val="110"/>
          <w:sz w:val="17"/>
        </w:rPr>
        <w:t>Ask</w:t>
      </w:r>
      <w:r>
        <w:rPr>
          <w:rFonts w:ascii="Arial" w:hAnsi="Arial"/>
          <w:color w:val="3D3459"/>
          <w:spacing w:val="-11"/>
          <w:w w:val="110"/>
          <w:sz w:val="17"/>
        </w:rPr>
        <w:t> </w:t>
      </w:r>
      <w:r>
        <w:rPr>
          <w:rFonts w:ascii="Arial" w:hAnsi="Arial"/>
          <w:color w:val="4F495E"/>
          <w:w w:val="110"/>
          <w:sz w:val="17"/>
        </w:rPr>
        <w:t>t</w:t>
      </w:r>
      <w:r>
        <w:rPr>
          <w:rFonts w:ascii="Arial" w:hAnsi="Arial"/>
          <w:color w:val="333D74"/>
          <w:w w:val="110"/>
          <w:sz w:val="17"/>
        </w:rPr>
        <w:t>h</w:t>
      </w:r>
      <w:r>
        <w:rPr>
          <w:rFonts w:ascii="Arial" w:hAnsi="Arial"/>
          <w:color w:val="4F495E"/>
          <w:w w:val="110"/>
          <w:sz w:val="17"/>
        </w:rPr>
        <w:t>e</w:t>
      </w:r>
      <w:r>
        <w:rPr>
          <w:rFonts w:ascii="Arial" w:hAnsi="Arial"/>
          <w:color w:val="4F495E"/>
          <w:spacing w:val="-13"/>
          <w:w w:val="110"/>
          <w:sz w:val="17"/>
        </w:rPr>
        <w:t> </w:t>
      </w:r>
      <w:r>
        <w:rPr>
          <w:rFonts w:ascii="Arial" w:hAnsi="Arial"/>
          <w:color w:val="492646"/>
          <w:w w:val="110"/>
          <w:sz w:val="17"/>
        </w:rPr>
        <w:t>i</w:t>
      </w:r>
      <w:r>
        <w:rPr>
          <w:rFonts w:ascii="Arial" w:hAnsi="Arial"/>
          <w:color w:val="4F495E"/>
          <w:w w:val="110"/>
          <w:sz w:val="17"/>
        </w:rPr>
        <w:t>nte</w:t>
      </w:r>
      <w:r>
        <w:rPr>
          <w:rFonts w:ascii="Arial" w:hAnsi="Arial"/>
          <w:color w:val="333D74"/>
          <w:w w:val="110"/>
          <w:sz w:val="17"/>
        </w:rPr>
        <w:t>r</w:t>
      </w:r>
      <w:r>
        <w:rPr>
          <w:rFonts w:ascii="Arial" w:hAnsi="Arial"/>
          <w:color w:val="5D5E74"/>
          <w:w w:val="110"/>
          <w:sz w:val="17"/>
        </w:rPr>
        <w:t>pre</w:t>
      </w:r>
      <w:r>
        <w:rPr>
          <w:rFonts w:ascii="Arial" w:hAnsi="Arial"/>
          <w:color w:val="3D3459"/>
          <w:w w:val="110"/>
          <w:sz w:val="17"/>
        </w:rPr>
        <w:t>ter</w:t>
      </w:r>
      <w:r>
        <w:rPr>
          <w:rFonts w:ascii="Arial" w:hAnsi="Arial"/>
          <w:color w:val="3D3459"/>
          <w:spacing w:val="-13"/>
          <w:w w:val="110"/>
          <w:sz w:val="17"/>
        </w:rPr>
        <w:t> </w:t>
      </w:r>
      <w:r>
        <w:rPr>
          <w:rFonts w:ascii="Arial" w:hAnsi="Arial"/>
          <w:color w:val="4F495E"/>
          <w:w w:val="110"/>
          <w:sz w:val="17"/>
        </w:rPr>
        <w:t>and</w:t>
      </w:r>
      <w:r>
        <w:rPr>
          <w:rFonts w:ascii="Arial" w:hAnsi="Arial"/>
          <w:color w:val="4F495E"/>
          <w:spacing w:val="-11"/>
          <w:w w:val="110"/>
          <w:sz w:val="17"/>
        </w:rPr>
        <w:t> </w:t>
      </w:r>
      <w:r>
        <w:rPr>
          <w:rFonts w:ascii="Arial" w:hAnsi="Arial"/>
          <w:color w:val="492646"/>
          <w:w w:val="110"/>
          <w:sz w:val="17"/>
        </w:rPr>
        <w:t>t</w:t>
      </w:r>
      <w:r>
        <w:rPr>
          <w:rFonts w:ascii="Arial" w:hAnsi="Arial"/>
          <w:color w:val="4F495E"/>
          <w:w w:val="110"/>
          <w:sz w:val="17"/>
        </w:rPr>
        <w:t>he</w:t>
      </w:r>
      <w:r>
        <w:rPr>
          <w:rFonts w:ascii="Arial" w:hAnsi="Arial"/>
          <w:color w:val="4F495E"/>
          <w:spacing w:val="-10"/>
          <w:w w:val="110"/>
          <w:sz w:val="17"/>
        </w:rPr>
        <w:t> </w:t>
      </w:r>
      <w:r>
        <w:rPr>
          <w:rFonts w:ascii="Arial" w:hAnsi="Arial"/>
          <w:color w:val="181F52"/>
          <w:w w:val="110"/>
          <w:sz w:val="17"/>
        </w:rPr>
        <w:t>L</w:t>
      </w:r>
      <w:r>
        <w:rPr>
          <w:rFonts w:ascii="Arial" w:hAnsi="Arial"/>
          <w:color w:val="281831"/>
          <w:w w:val="110"/>
          <w:sz w:val="17"/>
        </w:rPr>
        <w:t>E</w:t>
      </w:r>
      <w:r>
        <w:rPr>
          <w:rFonts w:ascii="Arial" w:hAnsi="Arial"/>
          <w:color w:val="3D3459"/>
          <w:w w:val="110"/>
          <w:sz w:val="17"/>
        </w:rPr>
        <w:t>P</w:t>
      </w:r>
      <w:r>
        <w:rPr>
          <w:rFonts w:ascii="Arial" w:hAnsi="Arial"/>
          <w:color w:val="3D3459"/>
          <w:spacing w:val="-26"/>
          <w:w w:val="110"/>
          <w:sz w:val="17"/>
        </w:rPr>
        <w:t> </w:t>
      </w:r>
      <w:r>
        <w:rPr>
          <w:rFonts w:ascii="Arial" w:hAnsi="Arial"/>
          <w:color w:val="4F495E"/>
          <w:w w:val="110"/>
          <w:sz w:val="17"/>
        </w:rPr>
        <w:t>cl</w:t>
      </w:r>
      <w:r>
        <w:rPr>
          <w:rFonts w:ascii="Arial" w:hAnsi="Arial"/>
          <w:color w:val="212F77"/>
          <w:w w:val="110"/>
          <w:sz w:val="17"/>
        </w:rPr>
        <w:t>i</w:t>
      </w:r>
      <w:r>
        <w:rPr>
          <w:rFonts w:ascii="Arial" w:hAnsi="Arial"/>
          <w:color w:val="4F495E"/>
          <w:w w:val="110"/>
          <w:sz w:val="17"/>
        </w:rPr>
        <w:t>ent</w:t>
      </w:r>
      <w:r>
        <w:rPr>
          <w:rFonts w:ascii="Arial" w:hAnsi="Arial"/>
          <w:color w:val="4F495E"/>
          <w:spacing w:val="-4"/>
          <w:w w:val="110"/>
          <w:sz w:val="17"/>
        </w:rPr>
        <w:t> </w:t>
      </w:r>
      <w:r>
        <w:rPr>
          <w:rFonts w:ascii="Arial" w:hAnsi="Arial"/>
          <w:color w:val="5D5E74"/>
          <w:w w:val="110"/>
          <w:sz w:val="17"/>
        </w:rPr>
        <w:t>q</w:t>
      </w:r>
      <w:r>
        <w:rPr>
          <w:rFonts w:ascii="Arial" w:hAnsi="Arial"/>
          <w:color w:val="3D3459"/>
          <w:w w:val="110"/>
          <w:sz w:val="17"/>
        </w:rPr>
        <w:t>uestions</w:t>
      </w:r>
      <w:r>
        <w:rPr>
          <w:rFonts w:ascii="Arial" w:hAnsi="Arial"/>
          <w:color w:val="3D3459"/>
          <w:spacing w:val="-13"/>
          <w:w w:val="110"/>
          <w:sz w:val="17"/>
        </w:rPr>
        <w:t> </w:t>
      </w:r>
      <w:r>
        <w:rPr>
          <w:rFonts w:ascii="Arial" w:hAnsi="Arial"/>
          <w:color w:val="3D3459"/>
          <w:w w:val="110"/>
          <w:sz w:val="17"/>
        </w:rPr>
        <w:t>t</w:t>
      </w:r>
      <w:r>
        <w:rPr>
          <w:rFonts w:ascii="Arial" w:hAnsi="Arial"/>
          <w:color w:val="5D5E74"/>
          <w:w w:val="110"/>
          <w:sz w:val="17"/>
        </w:rPr>
        <w:t>o</w:t>
      </w:r>
      <w:r>
        <w:rPr>
          <w:rFonts w:ascii="Arial" w:hAnsi="Arial"/>
          <w:color w:val="5D5E74"/>
          <w:spacing w:val="-10"/>
          <w:w w:val="110"/>
          <w:sz w:val="17"/>
        </w:rPr>
        <w:t> </w:t>
      </w:r>
      <w:r>
        <w:rPr>
          <w:rFonts w:ascii="Arial" w:hAnsi="Arial"/>
          <w:color w:val="4F495E"/>
          <w:w w:val="110"/>
          <w:sz w:val="17"/>
        </w:rPr>
        <w:t>ensure</w:t>
      </w:r>
      <w:r>
        <w:rPr>
          <w:rFonts w:ascii="Arial" w:hAnsi="Arial"/>
          <w:color w:val="4F495E"/>
          <w:spacing w:val="-8"/>
          <w:w w:val="110"/>
          <w:sz w:val="17"/>
        </w:rPr>
        <w:t> </w:t>
      </w:r>
      <w:r>
        <w:rPr>
          <w:rFonts w:ascii="Arial" w:hAnsi="Arial"/>
          <w:color w:val="3D3459"/>
          <w:w w:val="110"/>
          <w:sz w:val="17"/>
        </w:rPr>
        <w:t>the</w:t>
      </w:r>
      <w:r>
        <w:rPr>
          <w:rFonts w:ascii="Arial" w:hAnsi="Arial"/>
          <w:color w:val="5D5E74"/>
          <w:w w:val="110"/>
          <w:sz w:val="17"/>
        </w:rPr>
        <w:t>y</w:t>
      </w:r>
      <w:r>
        <w:rPr>
          <w:rFonts w:ascii="Arial" w:hAnsi="Arial"/>
          <w:color w:val="5D5E74"/>
          <w:spacing w:val="-7"/>
          <w:w w:val="110"/>
          <w:sz w:val="17"/>
        </w:rPr>
        <w:t> </w:t>
      </w:r>
      <w:r>
        <w:rPr>
          <w:rFonts w:ascii="Arial" w:hAnsi="Arial"/>
          <w:color w:val="333D74"/>
          <w:w w:val="110"/>
          <w:sz w:val="17"/>
        </w:rPr>
        <w:t>understand </w:t>
      </w:r>
      <w:r>
        <w:rPr>
          <w:rFonts w:ascii="Arial" w:hAnsi="Arial"/>
          <w:color w:val="4F495E"/>
          <w:w w:val="110"/>
          <w:sz w:val="17"/>
        </w:rPr>
        <w:t>wha</w:t>
      </w:r>
      <w:r>
        <w:rPr>
          <w:rFonts w:ascii="Arial" w:hAnsi="Arial"/>
          <w:color w:val="492646"/>
          <w:w w:val="110"/>
          <w:sz w:val="17"/>
        </w:rPr>
        <w:t>t</w:t>
      </w:r>
      <w:r>
        <w:rPr>
          <w:rFonts w:ascii="Arial" w:hAnsi="Arial"/>
          <w:color w:val="492646"/>
          <w:w w:val="110"/>
          <w:sz w:val="17"/>
        </w:rPr>
        <w:t> </w:t>
      </w:r>
      <w:r>
        <w:rPr>
          <w:rFonts w:ascii="Arial" w:hAnsi="Arial"/>
          <w:color w:val="5D5E74"/>
          <w:w w:val="110"/>
          <w:sz w:val="17"/>
        </w:rPr>
        <w:t>you </w:t>
      </w:r>
      <w:r>
        <w:rPr>
          <w:rFonts w:ascii="Arial" w:hAnsi="Arial"/>
          <w:color w:val="4F495E"/>
          <w:w w:val="110"/>
          <w:sz w:val="17"/>
        </w:rPr>
        <w:t>want </w:t>
      </w:r>
      <w:r>
        <w:rPr>
          <w:rFonts w:ascii="Arial" w:hAnsi="Arial"/>
          <w:color w:val="3D3459"/>
          <w:w w:val="110"/>
          <w:sz w:val="17"/>
        </w:rPr>
        <w:t>t</w:t>
      </w:r>
      <w:r>
        <w:rPr>
          <w:rFonts w:ascii="Arial" w:hAnsi="Arial"/>
          <w:color w:val="5D5E74"/>
          <w:w w:val="110"/>
          <w:sz w:val="17"/>
        </w:rPr>
        <w:t>o </w:t>
      </w:r>
      <w:r>
        <w:rPr>
          <w:rFonts w:ascii="Arial" w:hAnsi="Arial"/>
          <w:color w:val="4F495E"/>
          <w:w w:val="110"/>
          <w:sz w:val="17"/>
        </w:rPr>
        <w:t>commun</w:t>
      </w:r>
      <w:r>
        <w:rPr>
          <w:rFonts w:ascii="Arial" w:hAnsi="Arial"/>
          <w:color w:val="6B5B5B"/>
          <w:w w:val="110"/>
          <w:sz w:val="17"/>
        </w:rPr>
        <w:t>i</w:t>
      </w:r>
      <w:r>
        <w:rPr>
          <w:rFonts w:ascii="Arial" w:hAnsi="Arial"/>
          <w:color w:val="5D5E74"/>
          <w:w w:val="110"/>
          <w:sz w:val="17"/>
        </w:rPr>
        <w:t>c</w:t>
      </w:r>
      <w:r>
        <w:rPr>
          <w:rFonts w:ascii="Arial" w:hAnsi="Arial"/>
          <w:color w:val="3D3459"/>
          <w:w w:val="110"/>
          <w:sz w:val="17"/>
        </w:rPr>
        <w:t>a</w:t>
      </w:r>
      <w:r>
        <w:rPr>
          <w:rFonts w:ascii="Arial" w:hAnsi="Arial"/>
          <w:color w:val="181F52"/>
          <w:w w:val="110"/>
          <w:sz w:val="17"/>
        </w:rPr>
        <w:t>t</w:t>
      </w:r>
      <w:r>
        <w:rPr>
          <w:rFonts w:ascii="Arial" w:hAnsi="Arial"/>
          <w:color w:val="4F495E"/>
          <w:w w:val="110"/>
          <w:sz w:val="17"/>
        </w:rPr>
        <w:t>e</w:t>
      </w:r>
      <w:r>
        <w:rPr>
          <w:rFonts w:ascii="Arial" w:hAnsi="Arial"/>
          <w:color w:val="492646"/>
          <w:w w:val="110"/>
          <w:sz w:val="17"/>
        </w:rPr>
        <w:t>.</w:t>
      </w:r>
    </w:p>
    <w:p>
      <w:pPr>
        <w:pStyle w:val="ListParagraph"/>
        <w:numPr>
          <w:ilvl w:val="0"/>
          <w:numId w:val="39"/>
        </w:numPr>
        <w:tabs>
          <w:tab w:pos="2840" w:val="left" w:leader="none"/>
          <w:tab w:pos="2842" w:val="left" w:leader="none"/>
        </w:tabs>
        <w:spacing w:line="271" w:lineRule="auto" w:before="0" w:after="0"/>
        <w:ind w:left="2840" w:right="2376" w:hanging="296"/>
        <w:jc w:val="left"/>
        <w:rPr>
          <w:rFonts w:ascii="Arial" w:hAnsi="Arial"/>
          <w:sz w:val="17"/>
        </w:rPr>
      </w:pPr>
      <w:r>
        <w:rPr>
          <w:rFonts w:ascii="Arial" w:hAnsi="Arial"/>
          <w:color w:val="0F0C16"/>
          <w:sz w:val="17"/>
        </w:rPr>
        <w:tab/>
      </w:r>
      <w:r>
        <w:rPr>
          <w:rFonts w:ascii="Arial" w:hAnsi="Arial"/>
          <w:color w:val="3D3459"/>
          <w:w w:val="110"/>
          <w:sz w:val="17"/>
        </w:rPr>
        <w:t>Avoid ask</w:t>
      </w:r>
      <w:r>
        <w:rPr>
          <w:rFonts w:ascii="Arial" w:hAnsi="Arial"/>
          <w:color w:val="212F77"/>
          <w:w w:val="110"/>
          <w:sz w:val="17"/>
        </w:rPr>
        <w:t>i</w:t>
      </w:r>
      <w:r>
        <w:rPr>
          <w:rFonts w:ascii="Arial" w:hAnsi="Arial"/>
          <w:color w:val="4F495E"/>
          <w:w w:val="110"/>
          <w:sz w:val="17"/>
        </w:rPr>
        <w:t>ng</w:t>
      </w:r>
      <w:r>
        <w:rPr>
          <w:rFonts w:ascii="Arial" w:hAnsi="Arial"/>
          <w:color w:val="4F495E"/>
          <w:spacing w:val="-6"/>
          <w:w w:val="110"/>
          <w:sz w:val="17"/>
        </w:rPr>
        <w:t> </w:t>
      </w:r>
      <w:r>
        <w:rPr>
          <w:rFonts w:ascii="Arial" w:hAnsi="Arial"/>
          <w:color w:val="492646"/>
          <w:w w:val="110"/>
          <w:sz w:val="17"/>
        </w:rPr>
        <w:t>t</w:t>
      </w:r>
      <w:r>
        <w:rPr>
          <w:rFonts w:ascii="Arial" w:hAnsi="Arial"/>
          <w:color w:val="4F495E"/>
          <w:w w:val="110"/>
          <w:sz w:val="17"/>
        </w:rPr>
        <w:t>he</w:t>
      </w:r>
      <w:r>
        <w:rPr>
          <w:rFonts w:ascii="Arial" w:hAnsi="Arial"/>
          <w:color w:val="4F495E"/>
          <w:spacing w:val="-8"/>
          <w:w w:val="110"/>
          <w:sz w:val="17"/>
        </w:rPr>
        <w:t> </w:t>
      </w:r>
      <w:r>
        <w:rPr>
          <w:rFonts w:ascii="Arial" w:hAnsi="Arial"/>
          <w:color w:val="212F77"/>
          <w:w w:val="110"/>
          <w:sz w:val="17"/>
        </w:rPr>
        <w:t>i</w:t>
      </w:r>
      <w:r>
        <w:rPr>
          <w:rFonts w:ascii="Arial" w:hAnsi="Arial"/>
          <w:color w:val="4F495E"/>
          <w:w w:val="110"/>
          <w:sz w:val="17"/>
        </w:rPr>
        <w:t>nte</w:t>
      </w:r>
      <w:r>
        <w:rPr>
          <w:rFonts w:ascii="Arial" w:hAnsi="Arial"/>
          <w:color w:val="6B5B5B"/>
          <w:w w:val="110"/>
          <w:sz w:val="17"/>
        </w:rPr>
        <w:t>r</w:t>
      </w:r>
      <w:r>
        <w:rPr>
          <w:rFonts w:ascii="Arial" w:hAnsi="Arial"/>
          <w:color w:val="4F495E"/>
          <w:w w:val="110"/>
          <w:sz w:val="17"/>
        </w:rPr>
        <w:t>preter</w:t>
      </w:r>
      <w:r>
        <w:rPr>
          <w:rFonts w:ascii="Arial" w:hAnsi="Arial"/>
          <w:color w:val="4F495E"/>
          <w:spacing w:val="-1"/>
          <w:w w:val="110"/>
          <w:sz w:val="17"/>
        </w:rPr>
        <w:t> </w:t>
      </w:r>
      <w:r>
        <w:rPr>
          <w:rFonts w:ascii="Arial" w:hAnsi="Arial"/>
          <w:color w:val="4F495E"/>
          <w:w w:val="110"/>
          <w:sz w:val="17"/>
        </w:rPr>
        <w:t>for h</w:t>
      </w:r>
      <w:r>
        <w:rPr>
          <w:rFonts w:ascii="Arial" w:hAnsi="Arial"/>
          <w:color w:val="480F3F"/>
          <w:w w:val="110"/>
          <w:sz w:val="17"/>
        </w:rPr>
        <w:t>i</w:t>
      </w:r>
      <w:r>
        <w:rPr>
          <w:rFonts w:ascii="Arial" w:hAnsi="Arial"/>
          <w:color w:val="4F495E"/>
          <w:w w:val="110"/>
          <w:sz w:val="17"/>
        </w:rPr>
        <w:t>s/</w:t>
      </w:r>
      <w:r>
        <w:rPr>
          <w:rFonts w:ascii="Arial" w:hAnsi="Arial"/>
          <w:color w:val="492646"/>
          <w:w w:val="110"/>
          <w:sz w:val="17"/>
        </w:rPr>
        <w:t>h</w:t>
      </w:r>
      <w:r>
        <w:rPr>
          <w:rFonts w:ascii="Arial" w:hAnsi="Arial"/>
          <w:color w:val="4F495E"/>
          <w:w w:val="110"/>
          <w:sz w:val="17"/>
        </w:rPr>
        <w:t>er</w:t>
      </w:r>
      <w:r>
        <w:rPr>
          <w:rFonts w:ascii="Arial" w:hAnsi="Arial"/>
          <w:color w:val="4F495E"/>
          <w:spacing w:val="-5"/>
          <w:w w:val="110"/>
          <w:sz w:val="17"/>
        </w:rPr>
        <w:t> </w:t>
      </w:r>
      <w:r>
        <w:rPr>
          <w:rFonts w:ascii="Arial" w:hAnsi="Arial"/>
          <w:color w:val="4F495E"/>
          <w:w w:val="110"/>
          <w:sz w:val="17"/>
        </w:rPr>
        <w:t>opin</w:t>
      </w:r>
      <w:r>
        <w:rPr>
          <w:rFonts w:ascii="Arial" w:hAnsi="Arial"/>
          <w:color w:val="212F77"/>
          <w:w w:val="110"/>
          <w:sz w:val="17"/>
        </w:rPr>
        <w:t>i</w:t>
      </w:r>
      <w:r>
        <w:rPr>
          <w:rFonts w:ascii="Arial" w:hAnsi="Arial"/>
          <w:color w:val="4F495E"/>
          <w:w w:val="110"/>
          <w:sz w:val="17"/>
        </w:rPr>
        <w:t>on</w:t>
      </w:r>
      <w:r>
        <w:rPr>
          <w:rFonts w:ascii="Arial" w:hAnsi="Arial"/>
          <w:color w:val="4F495E"/>
          <w:spacing w:val="-9"/>
          <w:w w:val="110"/>
          <w:sz w:val="17"/>
        </w:rPr>
        <w:t> </w:t>
      </w:r>
      <w:r>
        <w:rPr>
          <w:rFonts w:ascii="Arial" w:hAnsi="Arial"/>
          <w:color w:val="4F495E"/>
          <w:w w:val="110"/>
          <w:sz w:val="17"/>
        </w:rPr>
        <w:t>about the</w:t>
      </w:r>
      <w:r>
        <w:rPr>
          <w:rFonts w:ascii="Arial" w:hAnsi="Arial"/>
          <w:color w:val="4F495E"/>
          <w:spacing w:val="-5"/>
          <w:w w:val="110"/>
          <w:sz w:val="17"/>
        </w:rPr>
        <w:t> </w:t>
      </w:r>
      <w:r>
        <w:rPr>
          <w:rFonts w:ascii="Arial" w:hAnsi="Arial"/>
          <w:color w:val="4F495E"/>
          <w:w w:val="110"/>
          <w:sz w:val="17"/>
        </w:rPr>
        <w:t>s</w:t>
      </w:r>
      <w:r>
        <w:rPr>
          <w:rFonts w:ascii="Arial" w:hAnsi="Arial"/>
          <w:color w:val="480F3F"/>
          <w:w w:val="110"/>
          <w:sz w:val="17"/>
        </w:rPr>
        <w:t>i</w:t>
      </w:r>
      <w:r>
        <w:rPr>
          <w:rFonts w:ascii="Arial" w:hAnsi="Arial"/>
          <w:color w:val="4F495E"/>
          <w:w w:val="110"/>
          <w:sz w:val="17"/>
        </w:rPr>
        <w:t>tuation</w:t>
      </w:r>
      <w:r>
        <w:rPr>
          <w:rFonts w:ascii="Arial" w:hAnsi="Arial"/>
          <w:color w:val="4F495E"/>
          <w:spacing w:val="-5"/>
          <w:w w:val="110"/>
          <w:sz w:val="17"/>
        </w:rPr>
        <w:t> </w:t>
      </w:r>
      <w:r>
        <w:rPr>
          <w:rFonts w:ascii="Arial" w:hAnsi="Arial"/>
          <w:color w:val="4F495E"/>
          <w:w w:val="110"/>
          <w:sz w:val="17"/>
        </w:rPr>
        <w:t>be</w:t>
      </w:r>
      <w:r>
        <w:rPr>
          <w:rFonts w:ascii="Arial" w:hAnsi="Arial"/>
          <w:color w:val="212F77"/>
          <w:w w:val="110"/>
          <w:sz w:val="17"/>
        </w:rPr>
        <w:t>i</w:t>
      </w:r>
      <w:r>
        <w:rPr>
          <w:rFonts w:ascii="Arial" w:hAnsi="Arial"/>
          <w:color w:val="3D3459"/>
          <w:w w:val="110"/>
          <w:sz w:val="17"/>
        </w:rPr>
        <w:t>n</w:t>
      </w:r>
      <w:r>
        <w:rPr>
          <w:rFonts w:ascii="Arial" w:hAnsi="Arial"/>
          <w:color w:val="5D5E74"/>
          <w:w w:val="110"/>
          <w:sz w:val="17"/>
        </w:rPr>
        <w:t>g </w:t>
      </w:r>
      <w:r>
        <w:rPr>
          <w:rFonts w:ascii="Arial" w:hAnsi="Arial"/>
          <w:color w:val="480F3F"/>
          <w:spacing w:val="-2"/>
          <w:w w:val="110"/>
          <w:sz w:val="17"/>
        </w:rPr>
        <w:t>i</w:t>
      </w:r>
      <w:r>
        <w:rPr>
          <w:rFonts w:ascii="Arial" w:hAnsi="Arial"/>
          <w:color w:val="4F495E"/>
          <w:spacing w:val="-2"/>
          <w:w w:val="110"/>
          <w:sz w:val="17"/>
        </w:rPr>
        <w:t>nte</w:t>
      </w:r>
      <w:r>
        <w:rPr>
          <w:rFonts w:ascii="Arial" w:hAnsi="Arial"/>
          <w:color w:val="6B5B5B"/>
          <w:spacing w:val="-2"/>
          <w:w w:val="110"/>
          <w:sz w:val="17"/>
        </w:rPr>
        <w:t>r</w:t>
      </w:r>
      <w:r>
        <w:rPr>
          <w:rFonts w:ascii="Arial" w:hAnsi="Arial"/>
          <w:color w:val="5D5E74"/>
          <w:spacing w:val="-2"/>
          <w:w w:val="110"/>
          <w:sz w:val="17"/>
        </w:rPr>
        <w:t>pre</w:t>
      </w:r>
      <w:r>
        <w:rPr>
          <w:rFonts w:ascii="Arial" w:hAnsi="Arial"/>
          <w:color w:val="3D3459"/>
          <w:spacing w:val="-2"/>
          <w:w w:val="110"/>
          <w:sz w:val="17"/>
        </w:rPr>
        <w:t>ted.</w:t>
      </w:r>
    </w:p>
    <w:p>
      <w:pPr>
        <w:pStyle w:val="ListParagraph"/>
        <w:numPr>
          <w:ilvl w:val="0"/>
          <w:numId w:val="39"/>
        </w:numPr>
        <w:tabs>
          <w:tab w:pos="2835" w:val="left" w:leader="none"/>
          <w:tab w:pos="2840" w:val="left" w:leader="none"/>
        </w:tabs>
        <w:spacing w:line="271" w:lineRule="auto" w:before="0" w:after="0"/>
        <w:ind w:left="2835" w:right="2247" w:hanging="291"/>
        <w:jc w:val="left"/>
        <w:rPr>
          <w:rFonts w:ascii="Arial" w:hAnsi="Arial"/>
          <w:sz w:val="17"/>
        </w:rPr>
      </w:pPr>
      <w:r>
        <w:rPr>
          <w:rFonts w:ascii="Arial" w:hAnsi="Arial"/>
          <w:color w:val="0F0C16"/>
          <w:sz w:val="17"/>
        </w:rPr>
        <w:tab/>
      </w:r>
      <w:r>
        <w:rPr>
          <w:rFonts w:ascii="Arial" w:hAnsi="Arial"/>
          <w:color w:val="4F495E"/>
          <w:w w:val="110"/>
          <w:sz w:val="17"/>
        </w:rPr>
        <w:t>We </w:t>
      </w:r>
      <w:r>
        <w:rPr>
          <w:rFonts w:ascii="Arial" w:hAnsi="Arial"/>
          <w:color w:val="5D5E74"/>
          <w:w w:val="110"/>
          <w:sz w:val="17"/>
        </w:rPr>
        <w:t>ca</w:t>
      </w:r>
      <w:r>
        <w:rPr>
          <w:rFonts w:ascii="Arial" w:hAnsi="Arial"/>
          <w:color w:val="3D3459"/>
          <w:w w:val="110"/>
          <w:sz w:val="17"/>
        </w:rPr>
        <w:t>n</w:t>
      </w:r>
      <w:r>
        <w:rPr>
          <w:rFonts w:ascii="Arial" w:hAnsi="Arial"/>
          <w:color w:val="3D3459"/>
          <w:spacing w:val="-1"/>
          <w:w w:val="110"/>
          <w:sz w:val="17"/>
        </w:rPr>
        <w:t> </w:t>
      </w:r>
      <w:r>
        <w:rPr>
          <w:rFonts w:ascii="Arial" w:hAnsi="Arial"/>
          <w:color w:val="4F495E"/>
          <w:w w:val="110"/>
          <w:sz w:val="17"/>
        </w:rPr>
        <w:t>accommodate </w:t>
      </w:r>
      <w:r>
        <w:rPr>
          <w:rFonts w:ascii="Arial" w:hAnsi="Arial"/>
          <w:color w:val="492646"/>
          <w:w w:val="110"/>
          <w:sz w:val="17"/>
        </w:rPr>
        <w:t>t</w:t>
      </w:r>
      <w:r>
        <w:rPr>
          <w:rFonts w:ascii="Arial" w:hAnsi="Arial"/>
          <w:color w:val="4F495E"/>
          <w:w w:val="110"/>
          <w:sz w:val="17"/>
        </w:rPr>
        <w:t>hree</w:t>
      </w:r>
      <w:r>
        <w:rPr>
          <w:rFonts w:ascii="Arial" w:hAnsi="Arial"/>
          <w:color w:val="281831"/>
          <w:w w:val="110"/>
          <w:sz w:val="17"/>
        </w:rPr>
        <w:t>-</w:t>
      </w:r>
      <w:r>
        <w:rPr>
          <w:rFonts w:ascii="Arial" w:hAnsi="Arial"/>
          <w:color w:val="5D5E74"/>
          <w:w w:val="110"/>
          <w:sz w:val="17"/>
        </w:rPr>
        <w:t>way </w:t>
      </w:r>
      <w:r>
        <w:rPr>
          <w:rFonts w:ascii="Arial" w:hAnsi="Arial"/>
          <w:color w:val="3D3459"/>
          <w:w w:val="110"/>
          <w:sz w:val="17"/>
        </w:rPr>
        <w:t>telephone </w:t>
      </w:r>
      <w:r>
        <w:rPr>
          <w:rFonts w:ascii="Arial" w:hAnsi="Arial"/>
          <w:color w:val="480F3F"/>
          <w:w w:val="110"/>
          <w:sz w:val="17"/>
        </w:rPr>
        <w:t>i</w:t>
      </w:r>
      <w:r>
        <w:rPr>
          <w:rFonts w:ascii="Arial" w:hAnsi="Arial"/>
          <w:color w:val="4F495E"/>
          <w:w w:val="110"/>
          <w:sz w:val="17"/>
        </w:rPr>
        <w:t>nterpretat</w:t>
      </w:r>
      <w:r>
        <w:rPr>
          <w:rFonts w:ascii="Arial" w:hAnsi="Arial"/>
          <w:color w:val="480F3F"/>
          <w:w w:val="110"/>
          <w:sz w:val="17"/>
        </w:rPr>
        <w:t>i</w:t>
      </w:r>
      <w:r>
        <w:rPr>
          <w:rFonts w:ascii="Arial" w:hAnsi="Arial"/>
          <w:color w:val="4F495E"/>
          <w:w w:val="110"/>
          <w:sz w:val="17"/>
        </w:rPr>
        <w:t>on </w:t>
      </w:r>
      <w:r>
        <w:rPr>
          <w:rFonts w:ascii="Arial" w:hAnsi="Arial"/>
          <w:color w:val="5D5E74"/>
          <w:w w:val="110"/>
          <w:sz w:val="17"/>
        </w:rPr>
        <w:t>ca</w:t>
      </w:r>
      <w:r>
        <w:rPr>
          <w:rFonts w:ascii="Arial" w:hAnsi="Arial"/>
          <w:color w:val="3D3459"/>
          <w:w w:val="110"/>
          <w:sz w:val="17"/>
        </w:rPr>
        <w:t>lls</w:t>
      </w:r>
      <w:r>
        <w:rPr>
          <w:rFonts w:ascii="Arial" w:hAnsi="Arial"/>
          <w:color w:val="281831"/>
          <w:w w:val="110"/>
          <w:sz w:val="17"/>
        </w:rPr>
        <w:t>.</w:t>
      </w:r>
      <w:r>
        <w:rPr>
          <w:rFonts w:ascii="Arial" w:hAnsi="Arial"/>
          <w:color w:val="281831"/>
          <w:spacing w:val="-5"/>
          <w:w w:val="110"/>
          <w:sz w:val="17"/>
        </w:rPr>
        <w:t> </w:t>
      </w:r>
      <w:r>
        <w:rPr>
          <w:rFonts w:ascii="Arial" w:hAnsi="Arial"/>
          <w:color w:val="3D3459"/>
          <w:w w:val="110"/>
          <w:sz w:val="17"/>
        </w:rPr>
        <w:t>Tel</w:t>
      </w:r>
      <w:r>
        <w:rPr>
          <w:rFonts w:ascii="Arial" w:hAnsi="Arial"/>
          <w:color w:val="0E2377"/>
          <w:w w:val="110"/>
          <w:sz w:val="17"/>
        </w:rPr>
        <w:t>l </w:t>
      </w:r>
      <w:r>
        <w:rPr>
          <w:rFonts w:ascii="Arial" w:hAnsi="Arial"/>
          <w:color w:val="492646"/>
          <w:w w:val="110"/>
          <w:sz w:val="17"/>
        </w:rPr>
        <w:t>t</w:t>
      </w:r>
      <w:r>
        <w:rPr>
          <w:rFonts w:ascii="Arial" w:hAnsi="Arial"/>
          <w:color w:val="4F495E"/>
          <w:w w:val="110"/>
          <w:sz w:val="17"/>
        </w:rPr>
        <w:t>he </w:t>
      </w:r>
      <w:r>
        <w:rPr>
          <w:rFonts w:ascii="Arial" w:hAnsi="Arial"/>
          <w:color w:val="5D5E74"/>
          <w:w w:val="110"/>
          <w:sz w:val="17"/>
        </w:rPr>
        <w:t>ca</w:t>
      </w:r>
      <w:r>
        <w:rPr>
          <w:rFonts w:ascii="Arial" w:hAnsi="Arial"/>
          <w:color w:val="492646"/>
          <w:w w:val="110"/>
          <w:sz w:val="17"/>
        </w:rPr>
        <w:t>l</w:t>
      </w:r>
      <w:r>
        <w:rPr>
          <w:rFonts w:ascii="Arial" w:hAnsi="Arial"/>
          <w:color w:val="4F495E"/>
          <w:w w:val="110"/>
          <w:sz w:val="17"/>
        </w:rPr>
        <w:t>l</w:t>
      </w:r>
      <w:r>
        <w:rPr>
          <w:rFonts w:ascii="Arial" w:hAnsi="Arial"/>
          <w:color w:val="4F495E"/>
          <w:spacing w:val="-5"/>
          <w:w w:val="110"/>
          <w:sz w:val="17"/>
        </w:rPr>
        <w:t> </w:t>
      </w:r>
      <w:r>
        <w:rPr>
          <w:rFonts w:ascii="Arial" w:hAnsi="Arial"/>
          <w:color w:val="5D5E74"/>
          <w:w w:val="110"/>
          <w:sz w:val="17"/>
        </w:rPr>
        <w:t>cen</w:t>
      </w:r>
      <w:r>
        <w:rPr>
          <w:rFonts w:ascii="Arial" w:hAnsi="Arial"/>
          <w:color w:val="3D3459"/>
          <w:w w:val="110"/>
          <w:sz w:val="17"/>
        </w:rPr>
        <w:t>te</w:t>
      </w:r>
      <w:r>
        <w:rPr>
          <w:rFonts w:ascii="Arial" w:hAnsi="Arial"/>
          <w:color w:val="5D5E74"/>
          <w:w w:val="110"/>
          <w:sz w:val="17"/>
        </w:rPr>
        <w:t>r </w:t>
      </w:r>
      <w:r>
        <w:rPr>
          <w:rFonts w:ascii="Arial" w:hAnsi="Arial"/>
          <w:color w:val="4F495E"/>
          <w:w w:val="110"/>
          <w:sz w:val="17"/>
        </w:rPr>
        <w:t>agent</w:t>
      </w:r>
      <w:r>
        <w:rPr>
          <w:rFonts w:ascii="Arial" w:hAnsi="Arial"/>
          <w:color w:val="4F495E"/>
          <w:spacing w:val="-5"/>
          <w:w w:val="110"/>
          <w:sz w:val="17"/>
        </w:rPr>
        <w:t> </w:t>
      </w:r>
      <w:r>
        <w:rPr>
          <w:rFonts w:ascii="Arial" w:hAnsi="Arial"/>
          <w:color w:val="492646"/>
          <w:w w:val="110"/>
          <w:sz w:val="17"/>
        </w:rPr>
        <w:t>t</w:t>
      </w:r>
      <w:r>
        <w:rPr>
          <w:rFonts w:ascii="Arial" w:hAnsi="Arial"/>
          <w:color w:val="4F495E"/>
          <w:w w:val="110"/>
          <w:sz w:val="17"/>
        </w:rPr>
        <w:t>he</w:t>
      </w:r>
      <w:r>
        <w:rPr>
          <w:rFonts w:ascii="Arial" w:hAnsi="Arial"/>
          <w:color w:val="4F495E"/>
          <w:spacing w:val="-3"/>
          <w:w w:val="110"/>
          <w:sz w:val="17"/>
        </w:rPr>
        <w:t> </w:t>
      </w:r>
      <w:r>
        <w:rPr>
          <w:rFonts w:ascii="Arial" w:hAnsi="Arial"/>
          <w:color w:val="3D3459"/>
          <w:w w:val="110"/>
          <w:sz w:val="17"/>
        </w:rPr>
        <w:t>name</w:t>
      </w:r>
      <w:r>
        <w:rPr>
          <w:rFonts w:ascii="Arial" w:hAnsi="Arial"/>
          <w:color w:val="3D3459"/>
          <w:spacing w:val="-2"/>
          <w:w w:val="110"/>
          <w:sz w:val="17"/>
        </w:rPr>
        <w:t> </w:t>
      </w:r>
      <w:r>
        <w:rPr>
          <w:rFonts w:ascii="Arial" w:hAnsi="Arial"/>
          <w:color w:val="3D3459"/>
          <w:w w:val="110"/>
          <w:sz w:val="17"/>
        </w:rPr>
        <w:t>and</w:t>
      </w:r>
      <w:r>
        <w:rPr>
          <w:rFonts w:ascii="Arial" w:hAnsi="Arial"/>
          <w:color w:val="3D3459"/>
          <w:spacing w:val="-2"/>
          <w:w w:val="110"/>
          <w:sz w:val="17"/>
        </w:rPr>
        <w:t> </w:t>
      </w:r>
      <w:r>
        <w:rPr>
          <w:rFonts w:ascii="Arial" w:hAnsi="Arial"/>
          <w:color w:val="4F495E"/>
          <w:w w:val="110"/>
          <w:sz w:val="17"/>
        </w:rPr>
        <w:t>phone</w:t>
      </w:r>
      <w:r>
        <w:rPr>
          <w:rFonts w:ascii="Arial" w:hAnsi="Arial"/>
          <w:color w:val="4F495E"/>
          <w:spacing w:val="-7"/>
          <w:w w:val="110"/>
          <w:sz w:val="17"/>
        </w:rPr>
        <w:t> </w:t>
      </w:r>
      <w:r>
        <w:rPr>
          <w:rFonts w:ascii="Arial" w:hAnsi="Arial"/>
          <w:color w:val="4F495E"/>
          <w:w w:val="110"/>
          <w:sz w:val="17"/>
        </w:rPr>
        <w:t>numbe</w:t>
      </w:r>
      <w:r>
        <w:rPr>
          <w:rFonts w:ascii="Arial" w:hAnsi="Arial"/>
          <w:color w:val="492646"/>
          <w:w w:val="110"/>
          <w:sz w:val="17"/>
        </w:rPr>
        <w:t>r</w:t>
      </w:r>
      <w:r>
        <w:rPr>
          <w:rFonts w:ascii="Arial" w:hAnsi="Arial"/>
          <w:color w:val="492646"/>
          <w:spacing w:val="-4"/>
          <w:w w:val="110"/>
          <w:sz w:val="17"/>
        </w:rPr>
        <w:t> </w:t>
      </w:r>
      <w:r>
        <w:rPr>
          <w:rFonts w:ascii="Arial" w:hAnsi="Arial"/>
          <w:color w:val="4F495E"/>
          <w:w w:val="110"/>
          <w:sz w:val="17"/>
        </w:rPr>
        <w:t>o</w:t>
      </w:r>
      <w:r>
        <w:rPr>
          <w:rFonts w:ascii="Arial" w:hAnsi="Arial"/>
          <w:color w:val="492646"/>
          <w:w w:val="110"/>
          <w:sz w:val="17"/>
        </w:rPr>
        <w:t>f </w:t>
      </w:r>
      <w:r>
        <w:rPr>
          <w:rFonts w:ascii="Arial" w:hAnsi="Arial"/>
          <w:color w:val="4F495E"/>
          <w:w w:val="110"/>
          <w:sz w:val="17"/>
        </w:rPr>
        <w:t>the</w:t>
      </w:r>
      <w:r>
        <w:rPr>
          <w:rFonts w:ascii="Arial" w:hAnsi="Arial"/>
          <w:color w:val="4F495E"/>
          <w:spacing w:val="-6"/>
          <w:w w:val="110"/>
          <w:sz w:val="17"/>
        </w:rPr>
        <w:t> </w:t>
      </w:r>
      <w:r>
        <w:rPr>
          <w:rFonts w:ascii="Arial" w:hAnsi="Arial"/>
          <w:color w:val="492646"/>
          <w:w w:val="110"/>
          <w:sz w:val="17"/>
        </w:rPr>
        <w:t>t</w:t>
      </w:r>
      <w:r>
        <w:rPr>
          <w:rFonts w:ascii="Arial" w:hAnsi="Arial"/>
          <w:color w:val="4F495E"/>
          <w:w w:val="110"/>
          <w:sz w:val="17"/>
        </w:rPr>
        <w:t>hird party,</w:t>
      </w:r>
      <w:r>
        <w:rPr>
          <w:rFonts w:ascii="Arial" w:hAnsi="Arial"/>
          <w:color w:val="4F495E"/>
          <w:spacing w:val="-5"/>
          <w:w w:val="110"/>
          <w:sz w:val="17"/>
        </w:rPr>
        <w:t> </w:t>
      </w:r>
      <w:r>
        <w:rPr>
          <w:rFonts w:ascii="Arial" w:hAnsi="Arial"/>
          <w:color w:val="4F495E"/>
          <w:w w:val="110"/>
          <w:sz w:val="17"/>
        </w:rPr>
        <w:t>and</w:t>
      </w:r>
      <w:r>
        <w:rPr>
          <w:rFonts w:ascii="Arial" w:hAnsi="Arial"/>
          <w:color w:val="4F495E"/>
          <w:spacing w:val="-3"/>
          <w:w w:val="110"/>
          <w:sz w:val="17"/>
        </w:rPr>
        <w:t> </w:t>
      </w:r>
      <w:r>
        <w:rPr>
          <w:rFonts w:ascii="Arial" w:hAnsi="Arial"/>
          <w:color w:val="3D3459"/>
          <w:w w:val="110"/>
          <w:sz w:val="17"/>
        </w:rPr>
        <w:t>the</w:t>
      </w:r>
      <w:r>
        <w:rPr>
          <w:rFonts w:ascii="Arial" w:hAnsi="Arial"/>
          <w:color w:val="5D5E74"/>
          <w:w w:val="110"/>
          <w:sz w:val="17"/>
        </w:rPr>
        <w:t>y </w:t>
      </w:r>
      <w:r>
        <w:rPr>
          <w:rFonts w:ascii="Arial" w:hAnsi="Arial"/>
          <w:color w:val="4F495E"/>
          <w:w w:val="110"/>
          <w:sz w:val="17"/>
        </w:rPr>
        <w:t>w</w:t>
      </w:r>
      <w:r>
        <w:rPr>
          <w:rFonts w:ascii="Arial" w:hAnsi="Arial"/>
          <w:color w:val="492646"/>
          <w:w w:val="110"/>
          <w:sz w:val="17"/>
        </w:rPr>
        <w:t>i</w:t>
      </w:r>
      <w:r>
        <w:rPr>
          <w:rFonts w:ascii="Arial" w:hAnsi="Arial"/>
          <w:color w:val="4F495E"/>
          <w:w w:val="110"/>
          <w:sz w:val="17"/>
        </w:rPr>
        <w:t>l</w:t>
      </w:r>
      <w:r>
        <w:rPr>
          <w:rFonts w:ascii="Arial" w:hAnsi="Arial"/>
          <w:color w:val="480F3F"/>
          <w:w w:val="110"/>
          <w:sz w:val="17"/>
        </w:rPr>
        <w:t>l </w:t>
      </w:r>
      <w:r>
        <w:rPr>
          <w:rFonts w:ascii="Arial" w:hAnsi="Arial"/>
          <w:color w:val="4F495E"/>
          <w:w w:val="110"/>
          <w:sz w:val="17"/>
        </w:rPr>
        <w:t>a</w:t>
      </w:r>
      <w:r>
        <w:rPr>
          <w:rFonts w:ascii="Arial" w:hAnsi="Arial"/>
          <w:color w:val="492646"/>
          <w:w w:val="110"/>
          <w:sz w:val="17"/>
        </w:rPr>
        <w:t>r</w:t>
      </w:r>
      <w:r>
        <w:rPr>
          <w:rFonts w:ascii="Arial" w:hAnsi="Arial"/>
          <w:color w:val="4F495E"/>
          <w:w w:val="110"/>
          <w:sz w:val="17"/>
        </w:rPr>
        <w:t>range</w:t>
      </w:r>
      <w:r>
        <w:rPr>
          <w:rFonts w:ascii="Arial" w:hAnsi="Arial"/>
          <w:color w:val="4F495E"/>
          <w:spacing w:val="-1"/>
          <w:w w:val="110"/>
          <w:sz w:val="17"/>
        </w:rPr>
        <w:t> </w:t>
      </w:r>
      <w:r>
        <w:rPr>
          <w:rFonts w:ascii="Arial" w:hAnsi="Arial"/>
          <w:color w:val="4F495E"/>
          <w:w w:val="110"/>
          <w:sz w:val="17"/>
        </w:rPr>
        <w:t>the </w:t>
      </w:r>
      <w:r>
        <w:rPr>
          <w:rFonts w:ascii="Arial" w:hAnsi="Arial"/>
          <w:color w:val="5D5E74"/>
          <w:w w:val="110"/>
          <w:sz w:val="17"/>
        </w:rPr>
        <w:t>ca</w:t>
      </w:r>
      <w:r>
        <w:rPr>
          <w:rFonts w:ascii="Arial" w:hAnsi="Arial"/>
          <w:color w:val="480F3F"/>
          <w:w w:val="110"/>
          <w:sz w:val="17"/>
        </w:rPr>
        <w:t>l</w:t>
      </w:r>
      <w:r>
        <w:rPr>
          <w:rFonts w:ascii="Arial" w:hAnsi="Arial"/>
          <w:color w:val="212F77"/>
          <w:w w:val="110"/>
          <w:sz w:val="17"/>
        </w:rPr>
        <w:t>l </w:t>
      </w:r>
      <w:r>
        <w:rPr>
          <w:rFonts w:ascii="Arial" w:hAnsi="Arial"/>
          <w:color w:val="4F495E"/>
          <w:w w:val="110"/>
          <w:sz w:val="17"/>
        </w:rPr>
        <w:t>for </w:t>
      </w:r>
      <w:r>
        <w:rPr>
          <w:rFonts w:ascii="Arial" w:hAnsi="Arial"/>
          <w:color w:val="5D5E74"/>
          <w:w w:val="110"/>
          <w:sz w:val="17"/>
        </w:rPr>
        <w:t>you. </w:t>
      </w:r>
      <w:r>
        <w:rPr>
          <w:rFonts w:ascii="Arial" w:hAnsi="Arial"/>
          <w:color w:val="492646"/>
          <w:w w:val="110"/>
          <w:sz w:val="17"/>
        </w:rPr>
        <w:t>T</w:t>
      </w:r>
      <w:r>
        <w:rPr>
          <w:rFonts w:ascii="Arial" w:hAnsi="Arial"/>
          <w:color w:val="4F495E"/>
          <w:w w:val="110"/>
          <w:sz w:val="17"/>
        </w:rPr>
        <w:t>he</w:t>
      </w:r>
      <w:r>
        <w:rPr>
          <w:rFonts w:ascii="Arial" w:hAnsi="Arial"/>
          <w:color w:val="4F495E"/>
          <w:spacing w:val="-1"/>
          <w:w w:val="110"/>
          <w:sz w:val="17"/>
        </w:rPr>
        <w:t> </w:t>
      </w:r>
      <w:r>
        <w:rPr>
          <w:rFonts w:ascii="Arial" w:hAnsi="Arial"/>
          <w:color w:val="333D74"/>
          <w:w w:val="110"/>
          <w:sz w:val="17"/>
        </w:rPr>
        <w:t>i</w:t>
      </w:r>
      <w:r>
        <w:rPr>
          <w:rFonts w:ascii="Arial" w:hAnsi="Arial"/>
          <w:color w:val="3D3459"/>
          <w:w w:val="110"/>
          <w:sz w:val="17"/>
        </w:rPr>
        <w:t>nterprete</w:t>
      </w:r>
      <w:r>
        <w:rPr>
          <w:rFonts w:ascii="Arial" w:hAnsi="Arial"/>
          <w:color w:val="5D5E74"/>
          <w:w w:val="110"/>
          <w:sz w:val="17"/>
        </w:rPr>
        <w:t>r canno</w:t>
      </w:r>
      <w:r>
        <w:rPr>
          <w:rFonts w:ascii="Arial" w:hAnsi="Arial"/>
          <w:color w:val="3D3459"/>
          <w:w w:val="110"/>
          <w:sz w:val="17"/>
        </w:rPr>
        <w:t>t</w:t>
      </w:r>
      <w:r>
        <w:rPr>
          <w:rFonts w:ascii="Arial" w:hAnsi="Arial"/>
          <w:color w:val="3D3459"/>
          <w:w w:val="110"/>
          <w:sz w:val="17"/>
        </w:rPr>
        <w:t> fa</w:t>
      </w:r>
      <w:r>
        <w:rPr>
          <w:rFonts w:ascii="Arial" w:hAnsi="Arial"/>
          <w:color w:val="5D5E74"/>
          <w:w w:val="110"/>
          <w:sz w:val="17"/>
        </w:rPr>
        <w:t>cil</w:t>
      </w:r>
      <w:r>
        <w:rPr>
          <w:rFonts w:ascii="Arial" w:hAnsi="Arial"/>
          <w:color w:val="212F77"/>
          <w:w w:val="110"/>
          <w:sz w:val="17"/>
        </w:rPr>
        <w:t>i</w:t>
      </w:r>
      <w:r>
        <w:rPr>
          <w:rFonts w:ascii="Arial" w:hAnsi="Arial"/>
          <w:color w:val="4F495E"/>
          <w:w w:val="110"/>
          <w:sz w:val="17"/>
        </w:rPr>
        <w:t>tate </w:t>
      </w:r>
      <w:r>
        <w:rPr>
          <w:rFonts w:ascii="Arial" w:hAnsi="Arial"/>
          <w:color w:val="3D3459"/>
          <w:w w:val="110"/>
          <w:sz w:val="17"/>
        </w:rPr>
        <w:t>this </w:t>
      </w:r>
      <w:r>
        <w:rPr>
          <w:rFonts w:ascii="Arial" w:hAnsi="Arial"/>
          <w:color w:val="4F495E"/>
          <w:w w:val="110"/>
          <w:sz w:val="17"/>
        </w:rPr>
        <w:t>fo</w:t>
      </w:r>
      <w:r>
        <w:rPr>
          <w:rFonts w:ascii="Arial" w:hAnsi="Arial"/>
          <w:color w:val="333D74"/>
          <w:w w:val="110"/>
          <w:sz w:val="17"/>
        </w:rPr>
        <w:t>r </w:t>
      </w:r>
      <w:r>
        <w:rPr>
          <w:rFonts w:ascii="Arial" w:hAnsi="Arial"/>
          <w:color w:val="5D5E74"/>
          <w:w w:val="110"/>
          <w:sz w:val="17"/>
        </w:rPr>
        <w:t>you. You </w:t>
      </w:r>
      <w:r>
        <w:rPr>
          <w:rFonts w:ascii="Arial" w:hAnsi="Arial"/>
          <w:color w:val="4F495E"/>
          <w:w w:val="110"/>
          <w:sz w:val="17"/>
        </w:rPr>
        <w:t>must ask </w:t>
      </w:r>
      <w:r>
        <w:rPr>
          <w:rFonts w:ascii="Arial" w:hAnsi="Arial"/>
          <w:color w:val="3D3459"/>
          <w:w w:val="110"/>
          <w:sz w:val="17"/>
        </w:rPr>
        <w:t>the </w:t>
      </w:r>
      <w:r>
        <w:rPr>
          <w:rFonts w:ascii="Arial" w:hAnsi="Arial"/>
          <w:color w:val="5D5E74"/>
          <w:w w:val="110"/>
          <w:sz w:val="17"/>
        </w:rPr>
        <w:t>cal</w:t>
      </w:r>
      <w:r>
        <w:rPr>
          <w:rFonts w:ascii="Arial" w:hAnsi="Arial"/>
          <w:color w:val="3D3459"/>
          <w:w w:val="110"/>
          <w:sz w:val="17"/>
        </w:rPr>
        <w:t>l</w:t>
      </w:r>
      <w:r>
        <w:rPr>
          <w:rFonts w:ascii="Arial" w:hAnsi="Arial"/>
          <w:color w:val="3D3459"/>
          <w:spacing w:val="-5"/>
          <w:w w:val="110"/>
          <w:sz w:val="17"/>
        </w:rPr>
        <w:t> </w:t>
      </w:r>
      <w:r>
        <w:rPr>
          <w:rFonts w:ascii="Arial" w:hAnsi="Arial"/>
          <w:color w:val="5D5E74"/>
          <w:w w:val="110"/>
          <w:sz w:val="17"/>
        </w:rPr>
        <w:t>ce</w:t>
      </w:r>
      <w:r>
        <w:rPr>
          <w:rFonts w:ascii="Arial" w:hAnsi="Arial"/>
          <w:color w:val="3D3459"/>
          <w:w w:val="110"/>
          <w:sz w:val="17"/>
        </w:rPr>
        <w:t>nter </w:t>
      </w:r>
      <w:r>
        <w:rPr>
          <w:rFonts w:ascii="Arial" w:hAnsi="Arial"/>
          <w:color w:val="4F495E"/>
          <w:w w:val="110"/>
          <w:sz w:val="17"/>
        </w:rPr>
        <w:t>agent </w:t>
      </w:r>
      <w:r>
        <w:rPr>
          <w:rFonts w:ascii="Arial" w:hAnsi="Arial"/>
          <w:color w:val="3D3459"/>
          <w:w w:val="110"/>
          <w:sz w:val="17"/>
        </w:rPr>
        <w:t>at </w:t>
      </w:r>
      <w:r>
        <w:rPr>
          <w:rFonts w:ascii="Arial" w:hAnsi="Arial"/>
          <w:color w:val="4F495E"/>
          <w:w w:val="110"/>
          <w:sz w:val="17"/>
        </w:rPr>
        <w:t>t</w:t>
      </w:r>
      <w:r>
        <w:rPr>
          <w:rFonts w:ascii="Arial" w:hAnsi="Arial"/>
          <w:color w:val="333D74"/>
          <w:w w:val="110"/>
          <w:sz w:val="17"/>
        </w:rPr>
        <w:t>h</w:t>
      </w:r>
      <w:r>
        <w:rPr>
          <w:rFonts w:ascii="Arial" w:hAnsi="Arial"/>
          <w:color w:val="4F495E"/>
          <w:w w:val="110"/>
          <w:sz w:val="17"/>
        </w:rPr>
        <w:t>e beg</w:t>
      </w:r>
      <w:r>
        <w:rPr>
          <w:rFonts w:ascii="Arial" w:hAnsi="Arial"/>
          <w:color w:val="212F77"/>
          <w:w w:val="110"/>
          <w:sz w:val="17"/>
        </w:rPr>
        <w:t>i</w:t>
      </w:r>
      <w:r>
        <w:rPr>
          <w:rFonts w:ascii="Arial" w:hAnsi="Arial"/>
          <w:color w:val="4F495E"/>
          <w:w w:val="110"/>
          <w:sz w:val="17"/>
        </w:rPr>
        <w:t>nning of the </w:t>
      </w:r>
      <w:r>
        <w:rPr>
          <w:rFonts w:ascii="Arial" w:hAnsi="Arial"/>
          <w:color w:val="5D5E74"/>
          <w:w w:val="110"/>
          <w:sz w:val="17"/>
        </w:rPr>
        <w:t>cal</w:t>
      </w:r>
      <w:r>
        <w:rPr>
          <w:rFonts w:ascii="Arial" w:hAnsi="Arial"/>
          <w:color w:val="212F77"/>
          <w:w w:val="110"/>
          <w:sz w:val="17"/>
        </w:rPr>
        <w:t>l.</w:t>
      </w:r>
    </w:p>
    <w:p>
      <w:pPr>
        <w:pStyle w:val="ListParagraph"/>
        <w:numPr>
          <w:ilvl w:val="0"/>
          <w:numId w:val="39"/>
        </w:numPr>
        <w:tabs>
          <w:tab w:pos="2836" w:val="left" w:leader="none"/>
        </w:tabs>
        <w:spacing w:line="271" w:lineRule="auto" w:before="0" w:after="0"/>
        <w:ind w:left="2836" w:right="2924" w:hanging="293"/>
        <w:jc w:val="left"/>
        <w:rPr>
          <w:rFonts w:ascii="Arial" w:hAnsi="Arial"/>
          <w:sz w:val="17"/>
        </w:rPr>
      </w:pPr>
      <w:r>
        <w:rPr>
          <w:rFonts w:ascii="Arial" w:hAnsi="Arial"/>
          <w:color w:val="281831"/>
          <w:w w:val="110"/>
          <w:sz w:val="17"/>
        </w:rPr>
        <w:t>F</w:t>
      </w:r>
      <w:r>
        <w:rPr>
          <w:rFonts w:ascii="Arial" w:hAnsi="Arial"/>
          <w:color w:val="4F495E"/>
          <w:w w:val="110"/>
          <w:sz w:val="17"/>
        </w:rPr>
        <w:t>o</w:t>
      </w:r>
      <w:r>
        <w:rPr>
          <w:rFonts w:ascii="Arial" w:hAnsi="Arial"/>
          <w:color w:val="480F3F"/>
          <w:w w:val="110"/>
          <w:sz w:val="17"/>
        </w:rPr>
        <w:t>l</w:t>
      </w:r>
      <w:r>
        <w:rPr>
          <w:rFonts w:ascii="Arial" w:hAnsi="Arial"/>
          <w:color w:val="5D5E74"/>
          <w:w w:val="110"/>
          <w:sz w:val="17"/>
        </w:rPr>
        <w:t>low</w:t>
      </w:r>
      <w:r>
        <w:rPr>
          <w:rFonts w:ascii="Arial" w:hAnsi="Arial"/>
          <w:color w:val="5D5E74"/>
          <w:spacing w:val="-5"/>
          <w:w w:val="110"/>
          <w:sz w:val="17"/>
        </w:rPr>
        <w:t> </w:t>
      </w:r>
      <w:r>
        <w:rPr>
          <w:rFonts w:ascii="Arial" w:hAnsi="Arial"/>
          <w:color w:val="4F495E"/>
          <w:w w:val="110"/>
          <w:sz w:val="17"/>
        </w:rPr>
        <w:t>up</w:t>
      </w:r>
      <w:r>
        <w:rPr>
          <w:rFonts w:ascii="Arial" w:hAnsi="Arial"/>
          <w:color w:val="4F495E"/>
          <w:spacing w:val="-10"/>
          <w:w w:val="110"/>
          <w:sz w:val="17"/>
        </w:rPr>
        <w:t> </w:t>
      </w:r>
      <w:r>
        <w:rPr>
          <w:rFonts w:ascii="Arial" w:hAnsi="Arial"/>
          <w:color w:val="4F495E"/>
          <w:w w:val="110"/>
          <w:sz w:val="17"/>
        </w:rPr>
        <w:t>by</w:t>
      </w:r>
      <w:r>
        <w:rPr>
          <w:rFonts w:ascii="Arial" w:hAnsi="Arial"/>
          <w:color w:val="4F495E"/>
          <w:spacing w:val="-5"/>
          <w:w w:val="110"/>
          <w:sz w:val="17"/>
        </w:rPr>
        <w:t> </w:t>
      </w:r>
      <w:r>
        <w:rPr>
          <w:rFonts w:ascii="Arial" w:hAnsi="Arial"/>
          <w:color w:val="6B5B5B"/>
          <w:w w:val="110"/>
          <w:sz w:val="17"/>
        </w:rPr>
        <w:t>providing</w:t>
      </w:r>
      <w:r>
        <w:rPr>
          <w:rFonts w:ascii="Arial" w:hAnsi="Arial"/>
          <w:color w:val="6B5B5B"/>
          <w:spacing w:val="-7"/>
          <w:w w:val="110"/>
          <w:sz w:val="17"/>
        </w:rPr>
        <w:t> </w:t>
      </w:r>
      <w:r>
        <w:rPr>
          <w:rFonts w:ascii="Arial" w:hAnsi="Arial"/>
          <w:color w:val="333D74"/>
          <w:w w:val="110"/>
          <w:sz w:val="17"/>
        </w:rPr>
        <w:t>u</w:t>
      </w:r>
      <w:r>
        <w:rPr>
          <w:rFonts w:ascii="Arial" w:hAnsi="Arial"/>
          <w:color w:val="4F495E"/>
          <w:w w:val="110"/>
          <w:sz w:val="17"/>
        </w:rPr>
        <w:t>s</w:t>
      </w:r>
      <w:r>
        <w:rPr>
          <w:rFonts w:ascii="Arial" w:hAnsi="Arial"/>
          <w:color w:val="4F495E"/>
          <w:spacing w:val="-6"/>
          <w:w w:val="110"/>
          <w:sz w:val="17"/>
        </w:rPr>
        <w:t> </w:t>
      </w:r>
      <w:r>
        <w:rPr>
          <w:rFonts w:ascii="Arial" w:hAnsi="Arial"/>
          <w:color w:val="4F495E"/>
          <w:w w:val="110"/>
          <w:sz w:val="17"/>
        </w:rPr>
        <w:t>wi</w:t>
      </w:r>
      <w:r>
        <w:rPr>
          <w:rFonts w:ascii="Arial" w:hAnsi="Arial"/>
          <w:color w:val="492646"/>
          <w:w w:val="110"/>
          <w:sz w:val="17"/>
        </w:rPr>
        <w:t>t</w:t>
      </w:r>
      <w:r>
        <w:rPr>
          <w:rFonts w:ascii="Arial" w:hAnsi="Arial"/>
          <w:color w:val="4F495E"/>
          <w:w w:val="110"/>
          <w:sz w:val="17"/>
        </w:rPr>
        <w:t>h</w:t>
      </w:r>
      <w:r>
        <w:rPr>
          <w:rFonts w:ascii="Arial" w:hAnsi="Arial"/>
          <w:color w:val="4F495E"/>
          <w:spacing w:val="-6"/>
          <w:w w:val="110"/>
          <w:sz w:val="17"/>
        </w:rPr>
        <w:t> </w:t>
      </w:r>
      <w:r>
        <w:rPr>
          <w:rFonts w:ascii="Arial" w:hAnsi="Arial"/>
          <w:color w:val="3D3459"/>
          <w:w w:val="110"/>
          <w:sz w:val="17"/>
        </w:rPr>
        <w:t>feedback </w:t>
      </w:r>
      <w:r>
        <w:rPr>
          <w:rFonts w:ascii="Arial" w:hAnsi="Arial"/>
          <w:color w:val="4F495E"/>
          <w:w w:val="110"/>
          <w:sz w:val="17"/>
        </w:rPr>
        <w:t>about</w:t>
      </w:r>
      <w:r>
        <w:rPr>
          <w:rFonts w:ascii="Arial" w:hAnsi="Arial"/>
          <w:color w:val="4F495E"/>
          <w:spacing w:val="-5"/>
          <w:w w:val="110"/>
          <w:sz w:val="17"/>
        </w:rPr>
        <w:t> </w:t>
      </w:r>
      <w:r>
        <w:rPr>
          <w:rFonts w:ascii="Arial" w:hAnsi="Arial"/>
          <w:color w:val="5D5E74"/>
          <w:w w:val="110"/>
          <w:sz w:val="17"/>
        </w:rPr>
        <w:t>your</w:t>
      </w:r>
      <w:r>
        <w:rPr>
          <w:rFonts w:ascii="Arial" w:hAnsi="Arial"/>
          <w:color w:val="5D5E74"/>
          <w:spacing w:val="-5"/>
          <w:w w:val="110"/>
          <w:sz w:val="17"/>
        </w:rPr>
        <w:t> </w:t>
      </w:r>
      <w:r>
        <w:rPr>
          <w:rFonts w:ascii="Arial" w:hAnsi="Arial"/>
          <w:color w:val="5D5E74"/>
          <w:w w:val="110"/>
          <w:sz w:val="17"/>
        </w:rPr>
        <w:t>i</w:t>
      </w:r>
      <w:r>
        <w:rPr>
          <w:rFonts w:ascii="Arial" w:hAnsi="Arial"/>
          <w:color w:val="3D3459"/>
          <w:w w:val="110"/>
          <w:sz w:val="17"/>
        </w:rPr>
        <w:t>nter</w:t>
      </w:r>
      <w:r>
        <w:rPr>
          <w:rFonts w:ascii="Arial" w:hAnsi="Arial"/>
          <w:color w:val="5D5E74"/>
          <w:w w:val="110"/>
          <w:sz w:val="17"/>
        </w:rPr>
        <w:t>p</w:t>
      </w:r>
      <w:r>
        <w:rPr>
          <w:rFonts w:ascii="Arial" w:hAnsi="Arial"/>
          <w:color w:val="333D74"/>
          <w:w w:val="110"/>
          <w:sz w:val="17"/>
        </w:rPr>
        <w:t>r</w:t>
      </w:r>
      <w:r>
        <w:rPr>
          <w:rFonts w:ascii="Arial" w:hAnsi="Arial"/>
          <w:color w:val="4F495E"/>
          <w:w w:val="110"/>
          <w:sz w:val="17"/>
        </w:rPr>
        <w:t>e</w:t>
      </w:r>
      <w:r>
        <w:rPr>
          <w:rFonts w:ascii="Arial" w:hAnsi="Arial"/>
          <w:color w:val="492646"/>
          <w:w w:val="110"/>
          <w:sz w:val="17"/>
        </w:rPr>
        <w:t>t</w:t>
      </w:r>
      <w:r>
        <w:rPr>
          <w:rFonts w:ascii="Arial" w:hAnsi="Arial"/>
          <w:color w:val="4F495E"/>
          <w:w w:val="110"/>
          <w:sz w:val="17"/>
        </w:rPr>
        <w:t>ation </w:t>
      </w:r>
      <w:r>
        <w:rPr>
          <w:rFonts w:ascii="Arial" w:hAnsi="Arial"/>
          <w:color w:val="4F495E"/>
          <w:spacing w:val="-2"/>
          <w:w w:val="110"/>
          <w:sz w:val="17"/>
        </w:rPr>
        <w:t>serv</w:t>
      </w:r>
      <w:r>
        <w:rPr>
          <w:rFonts w:ascii="Arial" w:hAnsi="Arial"/>
          <w:color w:val="492646"/>
          <w:spacing w:val="-2"/>
          <w:w w:val="110"/>
          <w:sz w:val="17"/>
        </w:rPr>
        <w:t>i</w:t>
      </w:r>
      <w:r>
        <w:rPr>
          <w:rFonts w:ascii="Arial" w:hAnsi="Arial"/>
          <w:color w:val="5D5E74"/>
          <w:spacing w:val="-2"/>
          <w:w w:val="110"/>
          <w:sz w:val="17"/>
        </w:rPr>
        <w:t>ces</w:t>
      </w:r>
      <w:r>
        <w:rPr>
          <w:rFonts w:ascii="Arial" w:hAnsi="Arial"/>
          <w:color w:val="281831"/>
          <w:spacing w:val="-2"/>
          <w:w w:val="110"/>
          <w:sz w:val="17"/>
        </w:rPr>
        <w:t>.</w:t>
      </w:r>
    </w:p>
    <w:p>
      <w:pPr>
        <w:pStyle w:val="BodyText"/>
        <w:spacing w:before="6"/>
        <w:rPr>
          <w:rFonts w:ascii="Arial"/>
          <w:sz w:val="18"/>
        </w:rPr>
      </w:pPr>
    </w:p>
    <w:p>
      <w:pPr>
        <w:spacing w:before="0"/>
        <w:ind w:left="2260" w:right="0" w:firstLine="0"/>
        <w:jc w:val="left"/>
        <w:rPr>
          <w:rFonts w:ascii="Arial"/>
          <w:b/>
          <w:sz w:val="15"/>
        </w:rPr>
      </w:pPr>
      <w:r>
        <w:rPr>
          <w:rFonts w:ascii="Arial"/>
          <w:b/>
          <w:color w:val="281831"/>
          <w:w w:val="105"/>
          <w:sz w:val="15"/>
        </w:rPr>
        <w:t>Y</w:t>
      </w:r>
      <w:r>
        <w:rPr>
          <w:rFonts w:ascii="Arial"/>
          <w:b/>
          <w:color w:val="0F0C16"/>
          <w:w w:val="105"/>
          <w:sz w:val="15"/>
        </w:rPr>
        <w:t>o</w:t>
      </w:r>
      <w:r>
        <w:rPr>
          <w:rFonts w:ascii="Arial"/>
          <w:b/>
          <w:color w:val="281831"/>
          <w:w w:val="105"/>
          <w:sz w:val="15"/>
        </w:rPr>
        <w:t>ur</w:t>
      </w:r>
      <w:r>
        <w:rPr>
          <w:rFonts w:ascii="Arial"/>
          <w:b/>
          <w:color w:val="281831"/>
          <w:spacing w:val="6"/>
          <w:w w:val="105"/>
          <w:sz w:val="15"/>
        </w:rPr>
        <w:t> </w:t>
      </w:r>
      <w:r>
        <w:rPr>
          <w:rFonts w:ascii="Arial"/>
          <w:b/>
          <w:color w:val="281831"/>
          <w:w w:val="105"/>
          <w:sz w:val="15"/>
        </w:rPr>
        <w:t>t</w:t>
      </w:r>
      <w:r>
        <w:rPr>
          <w:rFonts w:ascii="Arial"/>
          <w:b/>
          <w:color w:val="0F0C16"/>
          <w:w w:val="105"/>
          <w:sz w:val="15"/>
        </w:rPr>
        <w:t>e</w:t>
      </w:r>
      <w:r>
        <w:rPr>
          <w:rFonts w:ascii="Arial"/>
          <w:b/>
          <w:color w:val="281831"/>
          <w:w w:val="105"/>
          <w:sz w:val="15"/>
        </w:rPr>
        <w:t>l</w:t>
      </w:r>
      <w:r>
        <w:rPr>
          <w:rFonts w:ascii="Arial"/>
          <w:b/>
          <w:color w:val="0F0C16"/>
          <w:w w:val="105"/>
          <w:sz w:val="15"/>
        </w:rPr>
        <w:t>ep</w:t>
      </w:r>
      <w:r>
        <w:rPr>
          <w:rFonts w:ascii="Arial"/>
          <w:b/>
          <w:color w:val="281831"/>
          <w:w w:val="105"/>
          <w:sz w:val="15"/>
        </w:rPr>
        <w:t>h</w:t>
      </w:r>
      <w:r>
        <w:rPr>
          <w:rFonts w:ascii="Arial"/>
          <w:b/>
          <w:color w:val="0F0C16"/>
          <w:w w:val="105"/>
          <w:sz w:val="15"/>
        </w:rPr>
        <w:t>o</w:t>
      </w:r>
      <w:r>
        <w:rPr>
          <w:rFonts w:ascii="Arial"/>
          <w:b/>
          <w:color w:val="281831"/>
          <w:w w:val="105"/>
          <w:sz w:val="15"/>
        </w:rPr>
        <w:t>n</w:t>
      </w:r>
      <w:r>
        <w:rPr>
          <w:rFonts w:ascii="Arial"/>
          <w:b/>
          <w:color w:val="0F0C16"/>
          <w:w w:val="105"/>
          <w:sz w:val="15"/>
        </w:rPr>
        <w:t>e</w:t>
      </w:r>
      <w:r>
        <w:rPr>
          <w:rFonts w:ascii="Arial"/>
          <w:b/>
          <w:color w:val="0F0C16"/>
          <w:spacing w:val="14"/>
          <w:w w:val="105"/>
          <w:sz w:val="15"/>
        </w:rPr>
        <w:t> </w:t>
      </w:r>
      <w:r>
        <w:rPr>
          <w:rFonts w:ascii="Arial"/>
          <w:b/>
          <w:color w:val="480F3F"/>
          <w:w w:val="105"/>
          <w:sz w:val="15"/>
        </w:rPr>
        <w:t>i</w:t>
      </w:r>
      <w:r>
        <w:rPr>
          <w:rFonts w:ascii="Arial"/>
          <w:b/>
          <w:color w:val="281831"/>
          <w:w w:val="105"/>
          <w:sz w:val="15"/>
        </w:rPr>
        <w:t>nt</w:t>
      </w:r>
      <w:r>
        <w:rPr>
          <w:rFonts w:ascii="Arial"/>
          <w:b/>
          <w:color w:val="0F0C16"/>
          <w:w w:val="105"/>
          <w:sz w:val="15"/>
        </w:rPr>
        <w:t>e</w:t>
      </w:r>
      <w:r>
        <w:rPr>
          <w:rFonts w:ascii="Arial"/>
          <w:b/>
          <w:color w:val="281831"/>
          <w:w w:val="105"/>
          <w:sz w:val="15"/>
        </w:rPr>
        <w:t>r</w:t>
      </w:r>
      <w:r>
        <w:rPr>
          <w:rFonts w:ascii="Arial"/>
          <w:b/>
          <w:color w:val="0F0C16"/>
          <w:w w:val="105"/>
          <w:sz w:val="15"/>
        </w:rPr>
        <w:t>pre</w:t>
      </w:r>
      <w:r>
        <w:rPr>
          <w:rFonts w:ascii="Arial"/>
          <w:b/>
          <w:color w:val="281831"/>
          <w:w w:val="105"/>
          <w:sz w:val="15"/>
        </w:rPr>
        <w:t>t</w:t>
      </w:r>
      <w:r>
        <w:rPr>
          <w:rFonts w:ascii="Arial"/>
          <w:b/>
          <w:color w:val="0F0C16"/>
          <w:w w:val="105"/>
          <w:sz w:val="15"/>
        </w:rPr>
        <w:t>e</w:t>
      </w:r>
      <w:r>
        <w:rPr>
          <w:rFonts w:ascii="Arial"/>
          <w:b/>
          <w:color w:val="281831"/>
          <w:w w:val="105"/>
          <w:sz w:val="15"/>
        </w:rPr>
        <w:t>r</w:t>
      </w:r>
      <w:r>
        <w:rPr>
          <w:rFonts w:ascii="Arial"/>
          <w:b/>
          <w:color w:val="5D5E74"/>
          <w:w w:val="105"/>
          <w:sz w:val="15"/>
        </w:rPr>
        <w:t>'</w:t>
      </w:r>
      <w:r>
        <w:rPr>
          <w:rFonts w:ascii="Arial"/>
          <w:b/>
          <w:color w:val="0F0C16"/>
          <w:w w:val="105"/>
          <w:sz w:val="15"/>
        </w:rPr>
        <w:t>s</w:t>
      </w:r>
      <w:r>
        <w:rPr>
          <w:rFonts w:ascii="Arial"/>
          <w:b/>
          <w:color w:val="0F0C16"/>
          <w:spacing w:val="15"/>
          <w:w w:val="105"/>
          <w:sz w:val="15"/>
        </w:rPr>
        <w:t> </w:t>
      </w:r>
      <w:r>
        <w:rPr>
          <w:rFonts w:ascii="Arial"/>
          <w:b/>
          <w:color w:val="281831"/>
          <w:spacing w:val="-4"/>
          <w:w w:val="105"/>
          <w:sz w:val="15"/>
        </w:rPr>
        <w:t>r</w:t>
      </w:r>
      <w:r>
        <w:rPr>
          <w:rFonts w:ascii="Arial"/>
          <w:b/>
          <w:color w:val="0F0C16"/>
          <w:spacing w:val="-4"/>
          <w:w w:val="105"/>
          <w:sz w:val="15"/>
        </w:rPr>
        <w:t>o</w:t>
      </w:r>
      <w:r>
        <w:rPr>
          <w:rFonts w:ascii="Arial"/>
          <w:b/>
          <w:color w:val="281831"/>
          <w:spacing w:val="-4"/>
          <w:w w:val="105"/>
          <w:sz w:val="15"/>
        </w:rPr>
        <w:t>l</w:t>
      </w:r>
      <w:r>
        <w:rPr>
          <w:rFonts w:ascii="Arial"/>
          <w:b/>
          <w:color w:val="0F0C16"/>
          <w:spacing w:val="-4"/>
          <w:w w:val="105"/>
          <w:sz w:val="15"/>
        </w:rPr>
        <w:t>e</w:t>
      </w:r>
    </w:p>
    <w:p>
      <w:pPr>
        <w:pStyle w:val="BodyText"/>
        <w:spacing w:before="9"/>
        <w:rPr>
          <w:rFonts w:ascii="Arial"/>
          <w:b/>
          <w:sz w:val="21"/>
        </w:rPr>
      </w:pPr>
    </w:p>
    <w:p>
      <w:pPr>
        <w:spacing w:line="271" w:lineRule="auto" w:before="0"/>
        <w:ind w:left="2259" w:right="2142" w:firstLine="4"/>
        <w:jc w:val="left"/>
        <w:rPr>
          <w:rFonts w:ascii="Arial"/>
          <w:sz w:val="17"/>
        </w:rPr>
      </w:pPr>
      <w:r>
        <w:rPr>
          <w:rFonts w:ascii="Arial"/>
          <w:color w:val="4F495E"/>
          <w:w w:val="110"/>
          <w:sz w:val="17"/>
        </w:rPr>
        <w:t>We</w:t>
      </w:r>
      <w:r>
        <w:rPr>
          <w:rFonts w:ascii="Arial"/>
          <w:color w:val="4F495E"/>
          <w:spacing w:val="-10"/>
          <w:w w:val="110"/>
          <w:sz w:val="17"/>
        </w:rPr>
        <w:t> </w:t>
      </w:r>
      <w:r>
        <w:rPr>
          <w:rFonts w:ascii="Arial"/>
          <w:color w:val="4F495E"/>
          <w:w w:val="110"/>
          <w:sz w:val="17"/>
        </w:rPr>
        <w:t>expec</w:t>
      </w:r>
      <w:r>
        <w:rPr>
          <w:rFonts w:ascii="Arial"/>
          <w:color w:val="492646"/>
          <w:w w:val="110"/>
          <w:sz w:val="17"/>
        </w:rPr>
        <w:t>t</w:t>
      </w:r>
      <w:r>
        <w:rPr>
          <w:rFonts w:ascii="Arial"/>
          <w:color w:val="492646"/>
          <w:w w:val="110"/>
          <w:sz w:val="17"/>
        </w:rPr>
        <w:t> </w:t>
      </w:r>
      <w:r>
        <w:rPr>
          <w:rFonts w:ascii="Arial"/>
          <w:color w:val="4F495E"/>
          <w:w w:val="110"/>
          <w:sz w:val="17"/>
        </w:rPr>
        <w:t>ou</w:t>
      </w:r>
      <w:r>
        <w:rPr>
          <w:rFonts w:ascii="Arial"/>
          <w:color w:val="492646"/>
          <w:w w:val="110"/>
          <w:sz w:val="17"/>
        </w:rPr>
        <w:t>r</w:t>
      </w:r>
      <w:r>
        <w:rPr>
          <w:rFonts w:ascii="Arial"/>
          <w:color w:val="492646"/>
          <w:spacing w:val="-9"/>
          <w:w w:val="110"/>
          <w:sz w:val="17"/>
        </w:rPr>
        <w:t> </w:t>
      </w:r>
      <w:r>
        <w:rPr>
          <w:rFonts w:ascii="Arial"/>
          <w:color w:val="0E2377"/>
          <w:w w:val="110"/>
          <w:sz w:val="17"/>
        </w:rPr>
        <w:t>i</w:t>
      </w:r>
      <w:r>
        <w:rPr>
          <w:rFonts w:ascii="Arial"/>
          <w:color w:val="4F495E"/>
          <w:w w:val="110"/>
          <w:sz w:val="17"/>
        </w:rPr>
        <w:t>nterpreters</w:t>
      </w:r>
      <w:r>
        <w:rPr>
          <w:rFonts w:ascii="Arial"/>
          <w:color w:val="4F495E"/>
          <w:spacing w:val="-13"/>
          <w:w w:val="110"/>
          <w:sz w:val="17"/>
        </w:rPr>
        <w:t> </w:t>
      </w:r>
      <w:r>
        <w:rPr>
          <w:rFonts w:ascii="Arial"/>
          <w:color w:val="492646"/>
          <w:w w:val="110"/>
          <w:sz w:val="17"/>
        </w:rPr>
        <w:t>t</w:t>
      </w:r>
      <w:r>
        <w:rPr>
          <w:rFonts w:ascii="Arial"/>
          <w:color w:val="4F495E"/>
          <w:w w:val="110"/>
          <w:sz w:val="17"/>
        </w:rPr>
        <w:t>o</w:t>
      </w:r>
      <w:r>
        <w:rPr>
          <w:rFonts w:ascii="Arial"/>
          <w:color w:val="4F495E"/>
          <w:spacing w:val="-8"/>
          <w:w w:val="110"/>
          <w:sz w:val="17"/>
        </w:rPr>
        <w:t> </w:t>
      </w:r>
      <w:r>
        <w:rPr>
          <w:rFonts w:ascii="Arial"/>
          <w:color w:val="3D3459"/>
          <w:w w:val="110"/>
          <w:sz w:val="17"/>
        </w:rPr>
        <w:t>meet</w:t>
      </w:r>
      <w:r>
        <w:rPr>
          <w:rFonts w:ascii="Arial"/>
          <w:color w:val="3D3459"/>
          <w:spacing w:val="-7"/>
          <w:w w:val="110"/>
          <w:sz w:val="17"/>
        </w:rPr>
        <w:t> </w:t>
      </w:r>
      <w:r>
        <w:rPr>
          <w:rFonts w:ascii="Arial"/>
          <w:color w:val="4F495E"/>
          <w:w w:val="110"/>
          <w:sz w:val="17"/>
        </w:rPr>
        <w:t>h</w:t>
      </w:r>
      <w:r>
        <w:rPr>
          <w:rFonts w:ascii="Arial"/>
          <w:color w:val="333D74"/>
          <w:w w:val="110"/>
          <w:sz w:val="17"/>
        </w:rPr>
        <w:t>i</w:t>
      </w:r>
      <w:r>
        <w:rPr>
          <w:rFonts w:ascii="Arial"/>
          <w:color w:val="4F495E"/>
          <w:w w:val="110"/>
          <w:sz w:val="17"/>
        </w:rPr>
        <w:t>gh</w:t>
      </w:r>
      <w:r>
        <w:rPr>
          <w:rFonts w:ascii="Arial"/>
          <w:color w:val="4F495E"/>
          <w:spacing w:val="-11"/>
          <w:w w:val="110"/>
          <w:sz w:val="17"/>
        </w:rPr>
        <w:t> </w:t>
      </w:r>
      <w:r>
        <w:rPr>
          <w:rFonts w:ascii="Arial"/>
          <w:color w:val="4F495E"/>
          <w:w w:val="110"/>
          <w:sz w:val="17"/>
        </w:rPr>
        <w:t>standards</w:t>
      </w:r>
      <w:r>
        <w:rPr>
          <w:rFonts w:ascii="Arial"/>
          <w:color w:val="4F495E"/>
          <w:spacing w:val="-5"/>
          <w:w w:val="110"/>
          <w:sz w:val="17"/>
        </w:rPr>
        <w:t> </w:t>
      </w:r>
      <w:r>
        <w:rPr>
          <w:rFonts w:ascii="Arial"/>
          <w:color w:val="4F495E"/>
          <w:w w:val="110"/>
          <w:sz w:val="17"/>
        </w:rPr>
        <w:t>and</w:t>
      </w:r>
      <w:r>
        <w:rPr>
          <w:rFonts w:ascii="Arial"/>
          <w:color w:val="4F495E"/>
          <w:spacing w:val="-6"/>
          <w:w w:val="110"/>
          <w:sz w:val="17"/>
        </w:rPr>
        <w:t> </w:t>
      </w:r>
      <w:r>
        <w:rPr>
          <w:rFonts w:ascii="Arial"/>
          <w:color w:val="4F495E"/>
          <w:w w:val="110"/>
          <w:sz w:val="17"/>
        </w:rPr>
        <w:t>want</w:t>
      </w:r>
      <w:r>
        <w:rPr>
          <w:rFonts w:ascii="Arial"/>
          <w:color w:val="4F495E"/>
          <w:spacing w:val="-8"/>
          <w:w w:val="110"/>
          <w:sz w:val="17"/>
        </w:rPr>
        <w:t> </w:t>
      </w:r>
      <w:r>
        <w:rPr>
          <w:rFonts w:ascii="Arial"/>
          <w:color w:val="4F495E"/>
          <w:w w:val="110"/>
          <w:sz w:val="17"/>
        </w:rPr>
        <w:t>to know</w:t>
      </w:r>
      <w:r>
        <w:rPr>
          <w:rFonts w:ascii="Arial"/>
          <w:color w:val="4F495E"/>
          <w:w w:val="110"/>
          <w:sz w:val="17"/>
        </w:rPr>
        <w:t> when</w:t>
      </w:r>
      <w:r>
        <w:rPr>
          <w:rFonts w:ascii="Arial"/>
          <w:color w:val="4F495E"/>
          <w:spacing w:val="-8"/>
          <w:w w:val="110"/>
          <w:sz w:val="17"/>
        </w:rPr>
        <w:t> </w:t>
      </w:r>
      <w:r>
        <w:rPr>
          <w:rFonts w:ascii="Arial"/>
          <w:color w:val="3D3459"/>
          <w:w w:val="110"/>
          <w:sz w:val="17"/>
        </w:rPr>
        <w:t>the</w:t>
      </w:r>
      <w:r>
        <w:rPr>
          <w:rFonts w:ascii="Arial"/>
          <w:color w:val="5D5E74"/>
          <w:w w:val="110"/>
          <w:sz w:val="17"/>
        </w:rPr>
        <w:t>y </w:t>
      </w:r>
      <w:r>
        <w:rPr>
          <w:rFonts w:ascii="Arial"/>
          <w:color w:val="4F495E"/>
          <w:w w:val="110"/>
          <w:sz w:val="17"/>
        </w:rPr>
        <w:t>are meeting our expecta</w:t>
      </w:r>
      <w:r>
        <w:rPr>
          <w:rFonts w:ascii="Arial"/>
          <w:color w:val="181F52"/>
          <w:w w:val="110"/>
          <w:sz w:val="17"/>
        </w:rPr>
        <w:t>t</w:t>
      </w:r>
      <w:r>
        <w:rPr>
          <w:rFonts w:ascii="Arial"/>
          <w:color w:val="492646"/>
          <w:w w:val="110"/>
          <w:sz w:val="17"/>
        </w:rPr>
        <w:t>i</w:t>
      </w:r>
      <w:r>
        <w:rPr>
          <w:rFonts w:ascii="Arial"/>
          <w:color w:val="4F495E"/>
          <w:w w:val="110"/>
          <w:sz w:val="17"/>
        </w:rPr>
        <w:t>ons.</w:t>
      </w:r>
      <w:r>
        <w:rPr>
          <w:rFonts w:ascii="Arial"/>
          <w:color w:val="4F495E"/>
          <w:spacing w:val="-9"/>
          <w:w w:val="110"/>
          <w:sz w:val="17"/>
        </w:rPr>
        <w:t> </w:t>
      </w:r>
      <w:r>
        <w:rPr>
          <w:rFonts w:ascii="Arial"/>
          <w:color w:val="281831"/>
          <w:w w:val="110"/>
          <w:sz w:val="17"/>
        </w:rPr>
        <w:t>T</w:t>
      </w:r>
      <w:r>
        <w:rPr>
          <w:rFonts w:ascii="Arial"/>
          <w:color w:val="4F495E"/>
          <w:w w:val="110"/>
          <w:sz w:val="17"/>
        </w:rPr>
        <w:t>o that end, </w:t>
      </w:r>
      <w:r>
        <w:rPr>
          <w:rFonts w:ascii="Arial"/>
          <w:color w:val="5D5E74"/>
          <w:w w:val="110"/>
          <w:sz w:val="17"/>
        </w:rPr>
        <w:t>yo</w:t>
      </w:r>
      <w:r>
        <w:rPr>
          <w:rFonts w:ascii="Arial"/>
          <w:color w:val="3D3459"/>
          <w:w w:val="110"/>
          <w:sz w:val="17"/>
        </w:rPr>
        <w:t>u</w:t>
      </w:r>
      <w:r>
        <w:rPr>
          <w:rFonts w:ascii="Arial"/>
          <w:color w:val="5D5E74"/>
          <w:w w:val="110"/>
          <w:sz w:val="17"/>
        </w:rPr>
        <w:t>r </w:t>
      </w:r>
      <w:r>
        <w:rPr>
          <w:rFonts w:ascii="Arial"/>
          <w:color w:val="3D3459"/>
          <w:w w:val="110"/>
          <w:sz w:val="17"/>
        </w:rPr>
        <w:t>feedba</w:t>
      </w:r>
      <w:r>
        <w:rPr>
          <w:rFonts w:ascii="Arial"/>
          <w:color w:val="5D5E74"/>
          <w:w w:val="110"/>
          <w:sz w:val="17"/>
        </w:rPr>
        <w:t>ck </w:t>
      </w:r>
      <w:r>
        <w:rPr>
          <w:rFonts w:ascii="Arial"/>
          <w:color w:val="333D74"/>
          <w:w w:val="110"/>
          <w:sz w:val="17"/>
        </w:rPr>
        <w:t>i</w:t>
      </w:r>
      <w:r>
        <w:rPr>
          <w:rFonts w:ascii="Arial"/>
          <w:color w:val="4F495E"/>
          <w:w w:val="110"/>
          <w:sz w:val="17"/>
        </w:rPr>
        <w:t>s </w:t>
      </w:r>
      <w:r>
        <w:rPr>
          <w:rFonts w:ascii="Arial"/>
          <w:color w:val="5D5E74"/>
          <w:w w:val="110"/>
          <w:sz w:val="17"/>
        </w:rPr>
        <w:t>cri</w:t>
      </w:r>
      <w:r>
        <w:rPr>
          <w:rFonts w:ascii="Arial"/>
          <w:color w:val="281831"/>
          <w:w w:val="110"/>
          <w:sz w:val="17"/>
        </w:rPr>
        <w:t>t</w:t>
      </w:r>
      <w:r>
        <w:rPr>
          <w:rFonts w:ascii="Arial"/>
          <w:color w:val="4F495E"/>
          <w:w w:val="110"/>
          <w:sz w:val="17"/>
        </w:rPr>
        <w:t>ical.</w:t>
      </w:r>
    </w:p>
    <w:p>
      <w:pPr>
        <w:pStyle w:val="BodyText"/>
        <w:spacing w:before="3"/>
        <w:rPr>
          <w:rFonts w:ascii="Arial"/>
          <w:sz w:val="19"/>
        </w:rPr>
      </w:pPr>
    </w:p>
    <w:p>
      <w:pPr>
        <w:pStyle w:val="ListParagraph"/>
        <w:numPr>
          <w:ilvl w:val="0"/>
          <w:numId w:val="39"/>
        </w:numPr>
        <w:tabs>
          <w:tab w:pos="2836" w:val="left" w:leader="none"/>
          <w:tab w:pos="2838" w:val="left" w:leader="none"/>
        </w:tabs>
        <w:spacing w:line="271" w:lineRule="auto" w:before="0" w:after="0"/>
        <w:ind w:left="2836" w:right="2427" w:hanging="292"/>
        <w:jc w:val="left"/>
        <w:rPr>
          <w:rFonts w:ascii="Arial" w:hAnsi="Arial"/>
          <w:sz w:val="17"/>
        </w:rPr>
      </w:pPr>
      <w:r>
        <w:rPr>
          <w:rFonts w:ascii="Arial" w:hAnsi="Arial"/>
          <w:color w:val="0F0C16"/>
          <w:sz w:val="17"/>
        </w:rPr>
        <w:tab/>
      </w:r>
      <w:r>
        <w:rPr>
          <w:rFonts w:ascii="Arial" w:hAnsi="Arial"/>
          <w:color w:val="4F495E"/>
          <w:w w:val="110"/>
          <w:sz w:val="17"/>
        </w:rPr>
        <w:t>Make</w:t>
      </w:r>
      <w:r>
        <w:rPr>
          <w:rFonts w:ascii="Arial" w:hAnsi="Arial"/>
          <w:color w:val="4F495E"/>
          <w:spacing w:val="-6"/>
          <w:w w:val="110"/>
          <w:sz w:val="17"/>
        </w:rPr>
        <w:t> </w:t>
      </w:r>
      <w:r>
        <w:rPr>
          <w:rFonts w:ascii="Arial" w:hAnsi="Arial"/>
          <w:color w:val="4F495E"/>
          <w:w w:val="110"/>
          <w:sz w:val="17"/>
        </w:rPr>
        <w:t>sure</w:t>
      </w:r>
      <w:r>
        <w:rPr>
          <w:rFonts w:ascii="Arial" w:hAnsi="Arial"/>
          <w:color w:val="4F495E"/>
          <w:spacing w:val="-5"/>
          <w:w w:val="110"/>
          <w:sz w:val="17"/>
        </w:rPr>
        <w:t> </w:t>
      </w:r>
      <w:r>
        <w:rPr>
          <w:rFonts w:ascii="Arial" w:hAnsi="Arial"/>
          <w:color w:val="5D5E74"/>
          <w:w w:val="110"/>
          <w:sz w:val="17"/>
        </w:rPr>
        <w:t>you</w:t>
      </w:r>
      <w:r>
        <w:rPr>
          <w:rFonts w:ascii="Arial" w:hAnsi="Arial"/>
          <w:color w:val="333D74"/>
          <w:w w:val="110"/>
          <w:sz w:val="17"/>
        </w:rPr>
        <w:t>r</w:t>
      </w:r>
      <w:r>
        <w:rPr>
          <w:rFonts w:ascii="Arial" w:hAnsi="Arial"/>
          <w:color w:val="333D74"/>
          <w:spacing w:val="-9"/>
          <w:w w:val="110"/>
          <w:sz w:val="17"/>
        </w:rPr>
        <w:t> </w:t>
      </w:r>
      <w:r>
        <w:rPr>
          <w:rFonts w:ascii="Arial" w:hAnsi="Arial"/>
          <w:color w:val="6B5B5B"/>
          <w:w w:val="110"/>
          <w:sz w:val="17"/>
        </w:rPr>
        <w:t>i</w:t>
      </w:r>
      <w:r>
        <w:rPr>
          <w:rFonts w:ascii="Arial" w:hAnsi="Arial"/>
          <w:color w:val="3D3459"/>
          <w:w w:val="110"/>
          <w:sz w:val="17"/>
        </w:rPr>
        <w:t>nterpreter</w:t>
      </w:r>
      <w:r>
        <w:rPr>
          <w:rFonts w:ascii="Arial" w:hAnsi="Arial"/>
          <w:color w:val="3D3459"/>
          <w:spacing w:val="-9"/>
          <w:w w:val="110"/>
          <w:sz w:val="17"/>
        </w:rPr>
        <w:t> </w:t>
      </w:r>
      <w:r>
        <w:rPr>
          <w:rFonts w:ascii="Arial" w:hAnsi="Arial"/>
          <w:color w:val="5D5E74"/>
          <w:w w:val="110"/>
          <w:sz w:val="17"/>
        </w:rPr>
        <w:t>i</w:t>
      </w:r>
      <w:r>
        <w:rPr>
          <w:rFonts w:ascii="Arial" w:hAnsi="Arial"/>
          <w:color w:val="492646"/>
          <w:w w:val="110"/>
          <w:sz w:val="17"/>
        </w:rPr>
        <w:t>n</w:t>
      </w:r>
      <w:r>
        <w:rPr>
          <w:rFonts w:ascii="Arial" w:hAnsi="Arial"/>
          <w:color w:val="4F495E"/>
          <w:w w:val="110"/>
          <w:sz w:val="17"/>
        </w:rPr>
        <w:t>troduces</w:t>
      </w:r>
      <w:r>
        <w:rPr>
          <w:rFonts w:ascii="Arial" w:hAnsi="Arial"/>
          <w:color w:val="4F495E"/>
          <w:spacing w:val="-12"/>
          <w:w w:val="110"/>
          <w:sz w:val="17"/>
        </w:rPr>
        <w:t> </w:t>
      </w:r>
      <w:r>
        <w:rPr>
          <w:rFonts w:ascii="Arial" w:hAnsi="Arial"/>
          <w:color w:val="3D3459"/>
          <w:w w:val="110"/>
          <w:sz w:val="17"/>
        </w:rPr>
        <w:t>h</w:t>
      </w:r>
      <w:r>
        <w:rPr>
          <w:rFonts w:ascii="Arial" w:hAnsi="Arial"/>
          <w:color w:val="6B5B5B"/>
          <w:w w:val="110"/>
          <w:sz w:val="17"/>
        </w:rPr>
        <w:t>i</w:t>
      </w:r>
      <w:r>
        <w:rPr>
          <w:rFonts w:ascii="Arial" w:hAnsi="Arial"/>
          <w:color w:val="4F495E"/>
          <w:w w:val="110"/>
          <w:sz w:val="17"/>
        </w:rPr>
        <w:t>mself/herse</w:t>
      </w:r>
      <w:r>
        <w:rPr>
          <w:rFonts w:ascii="Arial" w:hAnsi="Arial"/>
          <w:color w:val="480F3F"/>
          <w:w w:val="110"/>
          <w:sz w:val="17"/>
        </w:rPr>
        <w:t>l</w:t>
      </w:r>
      <w:r>
        <w:rPr>
          <w:rFonts w:ascii="Arial" w:hAnsi="Arial"/>
          <w:color w:val="3D3459"/>
          <w:w w:val="110"/>
          <w:sz w:val="17"/>
        </w:rPr>
        <w:t>f</w:t>
      </w:r>
      <w:r>
        <w:rPr>
          <w:rFonts w:ascii="Arial" w:hAnsi="Arial"/>
          <w:color w:val="3D3459"/>
          <w:spacing w:val="-6"/>
          <w:w w:val="110"/>
          <w:sz w:val="17"/>
        </w:rPr>
        <w:t> </w:t>
      </w:r>
      <w:r>
        <w:rPr>
          <w:rFonts w:ascii="Arial" w:hAnsi="Arial"/>
          <w:color w:val="333D74"/>
          <w:w w:val="110"/>
          <w:sz w:val="17"/>
        </w:rPr>
        <w:t>u</w:t>
      </w:r>
      <w:r>
        <w:rPr>
          <w:rFonts w:ascii="Arial" w:hAnsi="Arial"/>
          <w:color w:val="4F495E"/>
          <w:w w:val="110"/>
          <w:sz w:val="17"/>
        </w:rPr>
        <w:t>sing</w:t>
      </w:r>
      <w:r>
        <w:rPr>
          <w:rFonts w:ascii="Arial" w:hAnsi="Arial"/>
          <w:color w:val="4F495E"/>
          <w:spacing w:val="-11"/>
          <w:w w:val="110"/>
          <w:sz w:val="17"/>
        </w:rPr>
        <w:t> </w:t>
      </w:r>
      <w:r>
        <w:rPr>
          <w:rFonts w:ascii="Arial" w:hAnsi="Arial"/>
          <w:color w:val="4F495E"/>
          <w:w w:val="110"/>
          <w:sz w:val="17"/>
        </w:rPr>
        <w:t>a</w:t>
      </w:r>
      <w:r>
        <w:rPr>
          <w:rFonts w:ascii="Arial" w:hAnsi="Arial"/>
          <w:color w:val="4F495E"/>
          <w:spacing w:val="-8"/>
          <w:w w:val="110"/>
          <w:sz w:val="17"/>
        </w:rPr>
        <w:t> </w:t>
      </w:r>
      <w:r>
        <w:rPr>
          <w:rFonts w:ascii="Arial" w:hAnsi="Arial"/>
          <w:color w:val="3D3459"/>
          <w:w w:val="110"/>
          <w:sz w:val="17"/>
        </w:rPr>
        <w:t>fi</w:t>
      </w:r>
      <w:r>
        <w:rPr>
          <w:rFonts w:ascii="Arial" w:hAnsi="Arial"/>
          <w:color w:val="5D5E74"/>
          <w:w w:val="110"/>
          <w:sz w:val="17"/>
        </w:rPr>
        <w:t>rst</w:t>
      </w:r>
      <w:r>
        <w:rPr>
          <w:rFonts w:ascii="Arial" w:hAnsi="Arial"/>
          <w:color w:val="5D5E74"/>
          <w:w w:val="110"/>
          <w:sz w:val="17"/>
        </w:rPr>
        <w:t> </w:t>
      </w:r>
      <w:r>
        <w:rPr>
          <w:rFonts w:ascii="Arial" w:hAnsi="Arial"/>
          <w:color w:val="4F495E"/>
          <w:w w:val="110"/>
          <w:sz w:val="17"/>
        </w:rPr>
        <w:t>name and</w:t>
      </w:r>
      <w:r>
        <w:rPr>
          <w:rFonts w:ascii="Arial" w:hAnsi="Arial"/>
          <w:color w:val="4F495E"/>
          <w:spacing w:val="-4"/>
          <w:w w:val="110"/>
          <w:sz w:val="17"/>
        </w:rPr>
        <w:t> </w:t>
      </w:r>
      <w:r>
        <w:rPr>
          <w:rFonts w:ascii="Arial" w:hAnsi="Arial"/>
          <w:color w:val="3D3459"/>
          <w:w w:val="110"/>
          <w:sz w:val="17"/>
        </w:rPr>
        <w:t>ID</w:t>
      </w:r>
      <w:r>
        <w:rPr>
          <w:rFonts w:ascii="Arial" w:hAnsi="Arial"/>
          <w:color w:val="3D3459"/>
          <w:spacing w:val="28"/>
          <w:w w:val="110"/>
          <w:sz w:val="17"/>
        </w:rPr>
        <w:t> </w:t>
      </w:r>
      <w:r>
        <w:rPr>
          <w:rFonts w:ascii="Arial" w:hAnsi="Arial"/>
          <w:color w:val="4F495E"/>
          <w:w w:val="110"/>
          <w:sz w:val="17"/>
        </w:rPr>
        <w:t>number. </w:t>
      </w:r>
      <w:r>
        <w:rPr>
          <w:rFonts w:ascii="Arial" w:hAnsi="Arial"/>
          <w:color w:val="3D3459"/>
          <w:w w:val="110"/>
          <w:sz w:val="17"/>
        </w:rPr>
        <w:t>The</w:t>
      </w:r>
      <w:r>
        <w:rPr>
          <w:rFonts w:ascii="Arial" w:hAnsi="Arial"/>
          <w:color w:val="5D5E74"/>
          <w:w w:val="110"/>
          <w:sz w:val="17"/>
        </w:rPr>
        <w:t>y </w:t>
      </w:r>
      <w:r>
        <w:rPr>
          <w:rFonts w:ascii="Arial" w:hAnsi="Arial"/>
          <w:color w:val="4F495E"/>
          <w:w w:val="110"/>
          <w:sz w:val="17"/>
        </w:rPr>
        <w:t>are not requ</w:t>
      </w:r>
      <w:r>
        <w:rPr>
          <w:rFonts w:ascii="Arial" w:hAnsi="Arial"/>
          <w:color w:val="492646"/>
          <w:w w:val="110"/>
          <w:sz w:val="17"/>
        </w:rPr>
        <w:t>i</w:t>
      </w:r>
      <w:r>
        <w:rPr>
          <w:rFonts w:ascii="Arial" w:hAnsi="Arial"/>
          <w:color w:val="333D74"/>
          <w:w w:val="110"/>
          <w:sz w:val="17"/>
        </w:rPr>
        <w:t>r</w:t>
      </w:r>
      <w:r>
        <w:rPr>
          <w:rFonts w:ascii="Arial" w:hAnsi="Arial"/>
          <w:color w:val="4F495E"/>
          <w:w w:val="110"/>
          <w:sz w:val="17"/>
        </w:rPr>
        <w:t>ed </w:t>
      </w:r>
      <w:r>
        <w:rPr>
          <w:rFonts w:ascii="Arial" w:hAnsi="Arial"/>
          <w:color w:val="3D3459"/>
          <w:w w:val="110"/>
          <w:sz w:val="17"/>
        </w:rPr>
        <w:t>to </w:t>
      </w:r>
      <w:r>
        <w:rPr>
          <w:rFonts w:ascii="Arial" w:hAnsi="Arial"/>
          <w:color w:val="4F495E"/>
          <w:w w:val="110"/>
          <w:sz w:val="17"/>
        </w:rPr>
        <w:t>provide a last name.</w:t>
      </w:r>
    </w:p>
    <w:p>
      <w:pPr>
        <w:pStyle w:val="ListParagraph"/>
        <w:numPr>
          <w:ilvl w:val="0"/>
          <w:numId w:val="39"/>
        </w:numPr>
        <w:tabs>
          <w:tab w:pos="2835" w:val="left" w:leader="none"/>
          <w:tab w:pos="2841" w:val="left" w:leader="none"/>
        </w:tabs>
        <w:spacing w:line="271" w:lineRule="auto" w:before="0" w:after="0"/>
        <w:ind w:left="2835" w:right="2322" w:hanging="291"/>
        <w:jc w:val="left"/>
        <w:rPr>
          <w:rFonts w:ascii="Arial" w:hAnsi="Arial"/>
          <w:sz w:val="17"/>
        </w:rPr>
      </w:pPr>
      <w:r>
        <w:rPr>
          <w:rFonts w:ascii="Arial" w:hAnsi="Arial"/>
          <w:color w:val="0F0C16"/>
          <w:sz w:val="17"/>
        </w:rPr>
        <w:tab/>
      </w:r>
      <w:r>
        <w:rPr>
          <w:rFonts w:ascii="Arial" w:hAnsi="Arial"/>
          <w:color w:val="5D5E74"/>
          <w:w w:val="105"/>
          <w:sz w:val="17"/>
        </w:rPr>
        <w:t>Your</w:t>
      </w:r>
      <w:r>
        <w:rPr>
          <w:rFonts w:ascii="Arial" w:hAnsi="Arial"/>
          <w:color w:val="5D5E74"/>
          <w:spacing w:val="37"/>
          <w:w w:val="105"/>
          <w:sz w:val="17"/>
        </w:rPr>
        <w:t> </w:t>
      </w:r>
      <w:r>
        <w:rPr>
          <w:rFonts w:ascii="Arial" w:hAnsi="Arial"/>
          <w:color w:val="480F3F"/>
          <w:w w:val="105"/>
          <w:sz w:val="17"/>
        </w:rPr>
        <w:t>i</w:t>
      </w:r>
      <w:r>
        <w:rPr>
          <w:rFonts w:ascii="Arial" w:hAnsi="Arial"/>
          <w:color w:val="4F495E"/>
          <w:w w:val="105"/>
          <w:sz w:val="17"/>
        </w:rPr>
        <w:t>n</w:t>
      </w:r>
      <w:r>
        <w:rPr>
          <w:rFonts w:ascii="Arial" w:hAnsi="Arial"/>
          <w:color w:val="492646"/>
          <w:w w:val="105"/>
          <w:sz w:val="17"/>
        </w:rPr>
        <w:t>t</w:t>
      </w:r>
      <w:r>
        <w:rPr>
          <w:rFonts w:ascii="Arial" w:hAnsi="Arial"/>
          <w:color w:val="4F495E"/>
          <w:w w:val="105"/>
          <w:sz w:val="17"/>
        </w:rPr>
        <w:t>erp</w:t>
      </w:r>
      <w:r>
        <w:rPr>
          <w:rFonts w:ascii="Arial" w:hAnsi="Arial"/>
          <w:color w:val="333D74"/>
          <w:w w:val="105"/>
          <w:sz w:val="17"/>
        </w:rPr>
        <w:t>r</w:t>
      </w:r>
      <w:r>
        <w:rPr>
          <w:rFonts w:ascii="Arial" w:hAnsi="Arial"/>
          <w:color w:val="4F495E"/>
          <w:w w:val="105"/>
          <w:sz w:val="17"/>
        </w:rPr>
        <w:t>e</w:t>
      </w:r>
      <w:r>
        <w:rPr>
          <w:rFonts w:ascii="Arial" w:hAnsi="Arial"/>
          <w:color w:val="492646"/>
          <w:w w:val="105"/>
          <w:sz w:val="17"/>
        </w:rPr>
        <w:t>t</w:t>
      </w:r>
      <w:r>
        <w:rPr>
          <w:rFonts w:ascii="Arial" w:hAnsi="Arial"/>
          <w:color w:val="4F495E"/>
          <w:w w:val="105"/>
          <w:sz w:val="17"/>
        </w:rPr>
        <w:t>er</w:t>
      </w:r>
      <w:r>
        <w:rPr>
          <w:rFonts w:ascii="Arial" w:hAnsi="Arial"/>
          <w:color w:val="4F495E"/>
          <w:spacing w:val="26"/>
          <w:w w:val="105"/>
          <w:sz w:val="17"/>
        </w:rPr>
        <w:t> </w:t>
      </w:r>
      <w:r>
        <w:rPr>
          <w:rFonts w:ascii="Arial" w:hAnsi="Arial"/>
          <w:color w:val="4F495E"/>
          <w:w w:val="105"/>
          <w:sz w:val="17"/>
        </w:rPr>
        <w:t>shou</w:t>
      </w:r>
      <w:r>
        <w:rPr>
          <w:rFonts w:ascii="Arial" w:hAnsi="Arial"/>
          <w:color w:val="212F77"/>
          <w:w w:val="105"/>
          <w:sz w:val="17"/>
        </w:rPr>
        <w:t>l</w:t>
      </w:r>
      <w:r>
        <w:rPr>
          <w:rFonts w:ascii="Arial" w:hAnsi="Arial"/>
          <w:color w:val="3D3459"/>
          <w:w w:val="105"/>
          <w:sz w:val="17"/>
        </w:rPr>
        <w:t>d</w:t>
      </w:r>
      <w:r>
        <w:rPr>
          <w:rFonts w:ascii="Arial" w:hAnsi="Arial"/>
          <w:color w:val="3D3459"/>
          <w:spacing w:val="33"/>
          <w:w w:val="105"/>
          <w:sz w:val="17"/>
        </w:rPr>
        <w:t> </w:t>
      </w:r>
      <w:r>
        <w:rPr>
          <w:rFonts w:ascii="Arial" w:hAnsi="Arial"/>
          <w:color w:val="3D3459"/>
          <w:w w:val="105"/>
          <w:sz w:val="17"/>
        </w:rPr>
        <w:t>not</w:t>
      </w:r>
      <w:r>
        <w:rPr>
          <w:rFonts w:ascii="Arial" w:hAnsi="Arial"/>
          <w:color w:val="3D3459"/>
          <w:spacing w:val="30"/>
          <w:w w:val="105"/>
          <w:sz w:val="17"/>
        </w:rPr>
        <w:t> </w:t>
      </w:r>
      <w:r>
        <w:rPr>
          <w:rFonts w:ascii="Arial" w:hAnsi="Arial"/>
          <w:color w:val="4F495E"/>
          <w:w w:val="105"/>
          <w:sz w:val="17"/>
        </w:rPr>
        <w:t>have</w:t>
      </w:r>
      <w:r>
        <w:rPr>
          <w:rFonts w:ascii="Arial" w:hAnsi="Arial"/>
          <w:color w:val="4F495E"/>
          <w:spacing w:val="33"/>
          <w:w w:val="105"/>
          <w:sz w:val="17"/>
        </w:rPr>
        <w:t> </w:t>
      </w:r>
      <w:r>
        <w:rPr>
          <w:rFonts w:ascii="Arial" w:hAnsi="Arial"/>
          <w:color w:val="4F495E"/>
          <w:w w:val="105"/>
          <w:sz w:val="17"/>
        </w:rPr>
        <w:t>a</w:t>
      </w:r>
      <w:r>
        <w:rPr>
          <w:rFonts w:ascii="Arial" w:hAnsi="Arial"/>
          <w:color w:val="4F495E"/>
          <w:spacing w:val="36"/>
          <w:w w:val="105"/>
          <w:sz w:val="17"/>
        </w:rPr>
        <w:t> </w:t>
      </w:r>
      <w:r>
        <w:rPr>
          <w:rFonts w:ascii="Arial" w:hAnsi="Arial"/>
          <w:color w:val="5D5E74"/>
          <w:w w:val="105"/>
          <w:sz w:val="17"/>
        </w:rPr>
        <w:t>s</w:t>
      </w:r>
      <w:r>
        <w:rPr>
          <w:rFonts w:ascii="Arial" w:hAnsi="Arial"/>
          <w:color w:val="212F77"/>
          <w:w w:val="105"/>
          <w:sz w:val="17"/>
        </w:rPr>
        <w:t>i</w:t>
      </w:r>
      <w:r>
        <w:rPr>
          <w:rFonts w:ascii="Arial" w:hAnsi="Arial"/>
          <w:color w:val="3D3459"/>
          <w:w w:val="105"/>
          <w:sz w:val="17"/>
        </w:rPr>
        <w:t>de </w:t>
      </w:r>
      <w:r>
        <w:rPr>
          <w:rFonts w:ascii="Arial" w:hAnsi="Arial"/>
          <w:color w:val="5D5E74"/>
          <w:w w:val="105"/>
          <w:sz w:val="17"/>
        </w:rPr>
        <w:t>conve</w:t>
      </w:r>
      <w:r>
        <w:rPr>
          <w:rFonts w:ascii="Arial" w:hAnsi="Arial"/>
          <w:color w:val="492646"/>
          <w:w w:val="105"/>
          <w:sz w:val="17"/>
        </w:rPr>
        <w:t>r</w:t>
      </w:r>
      <w:r>
        <w:rPr>
          <w:rFonts w:ascii="Arial" w:hAnsi="Arial"/>
          <w:color w:val="4F495E"/>
          <w:w w:val="105"/>
          <w:sz w:val="17"/>
        </w:rPr>
        <w:t>sation</w:t>
      </w:r>
      <w:r>
        <w:rPr>
          <w:rFonts w:ascii="Arial" w:hAnsi="Arial"/>
          <w:color w:val="4F495E"/>
          <w:spacing w:val="29"/>
          <w:w w:val="105"/>
          <w:sz w:val="17"/>
        </w:rPr>
        <w:t> </w:t>
      </w:r>
      <w:r>
        <w:rPr>
          <w:rFonts w:ascii="Arial" w:hAnsi="Arial"/>
          <w:color w:val="4F495E"/>
          <w:w w:val="105"/>
          <w:sz w:val="17"/>
        </w:rPr>
        <w:t>with</w:t>
      </w:r>
      <w:r>
        <w:rPr>
          <w:rFonts w:ascii="Arial" w:hAnsi="Arial"/>
          <w:color w:val="4F495E"/>
          <w:spacing w:val="34"/>
          <w:w w:val="105"/>
          <w:sz w:val="17"/>
        </w:rPr>
        <w:t> </w:t>
      </w:r>
      <w:r>
        <w:rPr>
          <w:rFonts w:ascii="Arial" w:hAnsi="Arial"/>
          <w:color w:val="5D5E74"/>
          <w:w w:val="105"/>
          <w:sz w:val="17"/>
        </w:rPr>
        <w:t>yo</w:t>
      </w:r>
      <w:r>
        <w:rPr>
          <w:rFonts w:ascii="Arial" w:hAnsi="Arial"/>
          <w:color w:val="3D3459"/>
          <w:w w:val="105"/>
          <w:sz w:val="17"/>
        </w:rPr>
        <w:t>u</w:t>
      </w:r>
      <w:r>
        <w:rPr>
          <w:rFonts w:ascii="Arial" w:hAnsi="Arial"/>
          <w:color w:val="3D3459"/>
          <w:spacing w:val="27"/>
          <w:w w:val="105"/>
          <w:sz w:val="17"/>
        </w:rPr>
        <w:t> </w:t>
      </w:r>
      <w:r>
        <w:rPr>
          <w:rFonts w:ascii="Arial" w:hAnsi="Arial"/>
          <w:color w:val="4F495E"/>
          <w:w w:val="105"/>
          <w:sz w:val="17"/>
        </w:rPr>
        <w:t>or</w:t>
      </w:r>
      <w:r>
        <w:rPr>
          <w:rFonts w:ascii="Arial" w:hAnsi="Arial"/>
          <w:color w:val="4F495E"/>
          <w:spacing w:val="40"/>
          <w:w w:val="105"/>
          <w:sz w:val="17"/>
        </w:rPr>
        <w:t> </w:t>
      </w:r>
      <w:r>
        <w:rPr>
          <w:rFonts w:ascii="Arial" w:hAnsi="Arial"/>
          <w:color w:val="4F495E"/>
          <w:w w:val="105"/>
          <w:sz w:val="17"/>
        </w:rPr>
        <w:t>the </w:t>
      </w:r>
      <w:r>
        <w:rPr>
          <w:rFonts w:ascii="Arial" w:hAnsi="Arial"/>
          <w:color w:val="5D5E74"/>
          <w:w w:val="105"/>
          <w:sz w:val="17"/>
        </w:rPr>
        <w:t>cl</w:t>
      </w:r>
      <w:r>
        <w:rPr>
          <w:rFonts w:ascii="Arial" w:hAnsi="Arial"/>
          <w:color w:val="212F77"/>
          <w:w w:val="105"/>
          <w:sz w:val="17"/>
        </w:rPr>
        <w:t>i</w:t>
      </w:r>
      <w:r>
        <w:rPr>
          <w:rFonts w:ascii="Arial" w:hAnsi="Arial"/>
          <w:color w:val="4F495E"/>
          <w:w w:val="105"/>
          <w:sz w:val="17"/>
        </w:rPr>
        <w:t>ent.</w:t>
      </w:r>
      <w:r>
        <w:rPr>
          <w:rFonts w:ascii="Arial" w:hAnsi="Arial"/>
          <w:color w:val="4F495E"/>
          <w:spacing w:val="40"/>
          <w:w w:val="105"/>
          <w:sz w:val="17"/>
        </w:rPr>
        <w:t> </w:t>
      </w:r>
      <w:r>
        <w:rPr>
          <w:rFonts w:ascii="Arial" w:hAnsi="Arial"/>
          <w:color w:val="3D3459"/>
          <w:w w:val="105"/>
          <w:sz w:val="17"/>
        </w:rPr>
        <w:t>He </w:t>
      </w:r>
      <w:r>
        <w:rPr>
          <w:rFonts w:ascii="Arial" w:hAnsi="Arial"/>
          <w:color w:val="4F495E"/>
          <w:w w:val="105"/>
          <w:sz w:val="17"/>
        </w:rPr>
        <w:t>or</w:t>
      </w:r>
      <w:r>
        <w:rPr>
          <w:rFonts w:ascii="Arial" w:hAnsi="Arial"/>
          <w:color w:val="4F495E"/>
          <w:spacing w:val="37"/>
          <w:w w:val="105"/>
          <w:sz w:val="17"/>
        </w:rPr>
        <w:t> </w:t>
      </w:r>
      <w:r>
        <w:rPr>
          <w:rFonts w:ascii="Arial" w:hAnsi="Arial"/>
          <w:color w:val="4F495E"/>
          <w:w w:val="105"/>
          <w:sz w:val="17"/>
        </w:rPr>
        <w:t>she mus</w:t>
      </w:r>
      <w:r>
        <w:rPr>
          <w:rFonts w:ascii="Arial" w:hAnsi="Arial"/>
          <w:color w:val="492646"/>
          <w:w w:val="105"/>
          <w:sz w:val="17"/>
        </w:rPr>
        <w:t>t</w:t>
      </w:r>
      <w:r>
        <w:rPr>
          <w:rFonts w:ascii="Arial" w:hAnsi="Arial"/>
          <w:color w:val="492646"/>
          <w:spacing w:val="37"/>
          <w:w w:val="105"/>
          <w:sz w:val="17"/>
        </w:rPr>
        <w:t> </w:t>
      </w:r>
      <w:r>
        <w:rPr>
          <w:rFonts w:ascii="Arial" w:hAnsi="Arial"/>
          <w:color w:val="492646"/>
          <w:w w:val="105"/>
          <w:sz w:val="17"/>
        </w:rPr>
        <w:t>r</w:t>
      </w:r>
      <w:r>
        <w:rPr>
          <w:rFonts w:ascii="Arial" w:hAnsi="Arial"/>
          <w:color w:val="4F495E"/>
          <w:w w:val="105"/>
          <w:sz w:val="17"/>
        </w:rPr>
        <w:t>elay everything</w:t>
      </w:r>
      <w:r>
        <w:rPr>
          <w:rFonts w:ascii="Arial" w:hAnsi="Arial"/>
          <w:color w:val="4F495E"/>
          <w:spacing w:val="40"/>
          <w:w w:val="105"/>
          <w:sz w:val="17"/>
        </w:rPr>
        <w:t> </w:t>
      </w:r>
      <w:r>
        <w:rPr>
          <w:rFonts w:ascii="Arial" w:hAnsi="Arial"/>
          <w:color w:val="3D3459"/>
          <w:w w:val="105"/>
          <w:sz w:val="17"/>
        </w:rPr>
        <w:t>that </w:t>
      </w:r>
      <w:r>
        <w:rPr>
          <w:rFonts w:ascii="Arial" w:hAnsi="Arial"/>
          <w:color w:val="333D74"/>
          <w:w w:val="105"/>
          <w:sz w:val="17"/>
        </w:rPr>
        <w:t>i</w:t>
      </w:r>
      <w:r>
        <w:rPr>
          <w:rFonts w:ascii="Arial" w:hAnsi="Arial"/>
          <w:color w:val="4F495E"/>
          <w:w w:val="105"/>
          <w:sz w:val="17"/>
        </w:rPr>
        <w:t>s said back to</w:t>
      </w:r>
      <w:r>
        <w:rPr>
          <w:rFonts w:ascii="Arial" w:hAnsi="Arial"/>
          <w:color w:val="4F495E"/>
          <w:spacing w:val="36"/>
          <w:w w:val="105"/>
          <w:sz w:val="17"/>
        </w:rPr>
        <w:t> </w:t>
      </w:r>
      <w:r>
        <w:rPr>
          <w:rFonts w:ascii="Arial" w:hAnsi="Arial"/>
          <w:color w:val="5D5E74"/>
          <w:w w:val="105"/>
          <w:sz w:val="17"/>
        </w:rPr>
        <w:t>yo</w:t>
      </w:r>
      <w:r>
        <w:rPr>
          <w:rFonts w:ascii="Arial" w:hAnsi="Arial"/>
          <w:color w:val="492646"/>
          <w:w w:val="105"/>
          <w:sz w:val="17"/>
        </w:rPr>
        <w:t>u </w:t>
      </w:r>
      <w:r>
        <w:rPr>
          <w:rFonts w:ascii="Arial" w:hAnsi="Arial"/>
          <w:color w:val="4F495E"/>
          <w:w w:val="105"/>
          <w:sz w:val="17"/>
        </w:rPr>
        <w:t>or </w:t>
      </w:r>
      <w:r>
        <w:rPr>
          <w:rFonts w:ascii="Arial" w:hAnsi="Arial"/>
          <w:color w:val="5D5E74"/>
          <w:w w:val="105"/>
          <w:sz w:val="17"/>
        </w:rPr>
        <w:t>your cl</w:t>
      </w:r>
      <w:r>
        <w:rPr>
          <w:rFonts w:ascii="Arial" w:hAnsi="Arial"/>
          <w:color w:val="212F77"/>
          <w:w w:val="105"/>
          <w:sz w:val="17"/>
        </w:rPr>
        <w:t>i</w:t>
      </w:r>
      <w:r>
        <w:rPr>
          <w:rFonts w:ascii="Arial" w:hAnsi="Arial"/>
          <w:color w:val="4F495E"/>
          <w:w w:val="105"/>
          <w:sz w:val="17"/>
        </w:rPr>
        <w:t>ent.</w:t>
      </w:r>
      <w:r>
        <w:rPr>
          <w:rFonts w:ascii="Arial" w:hAnsi="Arial"/>
          <w:color w:val="4F495E"/>
          <w:spacing w:val="30"/>
          <w:w w:val="105"/>
          <w:sz w:val="17"/>
        </w:rPr>
        <w:t> </w:t>
      </w:r>
      <w:r>
        <w:rPr>
          <w:rFonts w:ascii="Arial" w:hAnsi="Arial"/>
          <w:color w:val="4F495E"/>
          <w:w w:val="105"/>
          <w:sz w:val="17"/>
        </w:rPr>
        <w:t>T</w:t>
      </w:r>
      <w:r>
        <w:rPr>
          <w:rFonts w:ascii="Arial" w:hAnsi="Arial"/>
          <w:color w:val="333D74"/>
          <w:w w:val="105"/>
          <w:sz w:val="17"/>
        </w:rPr>
        <w:t>hi</w:t>
      </w:r>
      <w:r>
        <w:rPr>
          <w:rFonts w:ascii="Arial" w:hAnsi="Arial"/>
          <w:color w:val="4F495E"/>
          <w:w w:val="105"/>
          <w:sz w:val="17"/>
        </w:rPr>
        <w:t>s </w:t>
      </w:r>
      <w:r>
        <w:rPr>
          <w:rFonts w:ascii="Arial" w:hAnsi="Arial"/>
          <w:color w:val="5D5E74"/>
          <w:w w:val="105"/>
          <w:sz w:val="17"/>
        </w:rPr>
        <w:t>includes</w:t>
      </w:r>
      <w:r>
        <w:rPr>
          <w:rFonts w:ascii="Arial" w:hAnsi="Arial"/>
          <w:color w:val="5D5E74"/>
          <w:spacing w:val="24"/>
          <w:w w:val="105"/>
          <w:sz w:val="17"/>
        </w:rPr>
        <w:t> </w:t>
      </w:r>
      <w:r>
        <w:rPr>
          <w:rFonts w:ascii="Arial" w:hAnsi="Arial"/>
          <w:color w:val="4F495E"/>
          <w:w w:val="105"/>
          <w:sz w:val="17"/>
        </w:rPr>
        <w:t>any</w:t>
      </w:r>
      <w:r>
        <w:rPr>
          <w:rFonts w:ascii="Arial" w:hAnsi="Arial"/>
          <w:color w:val="4F495E"/>
          <w:spacing w:val="25"/>
          <w:w w:val="105"/>
          <w:sz w:val="17"/>
        </w:rPr>
        <w:t> </w:t>
      </w:r>
      <w:r>
        <w:rPr>
          <w:rFonts w:ascii="Arial" w:hAnsi="Arial"/>
          <w:color w:val="4F495E"/>
          <w:w w:val="105"/>
          <w:sz w:val="17"/>
        </w:rPr>
        <w:t>advice</w:t>
      </w:r>
      <w:r>
        <w:rPr>
          <w:rFonts w:ascii="Arial" w:hAnsi="Arial"/>
          <w:color w:val="4F495E"/>
          <w:spacing w:val="21"/>
          <w:w w:val="105"/>
          <w:sz w:val="17"/>
        </w:rPr>
        <w:t> </w:t>
      </w:r>
      <w:r>
        <w:rPr>
          <w:rFonts w:ascii="Arial" w:hAnsi="Arial"/>
          <w:color w:val="4F495E"/>
          <w:w w:val="105"/>
          <w:sz w:val="17"/>
        </w:rPr>
        <w:t>that</w:t>
      </w:r>
      <w:r>
        <w:rPr>
          <w:rFonts w:ascii="Arial" w:hAnsi="Arial"/>
          <w:color w:val="4F495E"/>
          <w:spacing w:val="21"/>
          <w:w w:val="105"/>
          <w:sz w:val="17"/>
        </w:rPr>
        <w:t> </w:t>
      </w:r>
      <w:r>
        <w:rPr>
          <w:rFonts w:ascii="Arial" w:hAnsi="Arial"/>
          <w:color w:val="3D3459"/>
          <w:w w:val="105"/>
          <w:sz w:val="17"/>
        </w:rPr>
        <w:t>the</w:t>
      </w:r>
      <w:r>
        <w:rPr>
          <w:rFonts w:ascii="Arial" w:hAnsi="Arial"/>
          <w:color w:val="3D3459"/>
          <w:spacing w:val="20"/>
          <w:w w:val="105"/>
          <w:sz w:val="17"/>
        </w:rPr>
        <w:t> </w:t>
      </w:r>
      <w:r>
        <w:rPr>
          <w:rFonts w:ascii="Arial" w:hAnsi="Arial"/>
          <w:color w:val="4F495E"/>
          <w:w w:val="105"/>
          <w:sz w:val="17"/>
        </w:rPr>
        <w:t>client</w:t>
      </w:r>
      <w:r>
        <w:rPr>
          <w:rFonts w:ascii="Arial" w:hAnsi="Arial"/>
          <w:color w:val="4F495E"/>
          <w:spacing w:val="20"/>
          <w:w w:val="105"/>
          <w:sz w:val="17"/>
        </w:rPr>
        <w:t> </w:t>
      </w:r>
      <w:r>
        <w:rPr>
          <w:rFonts w:ascii="Arial" w:hAnsi="Arial"/>
          <w:color w:val="4F495E"/>
          <w:w w:val="105"/>
          <w:sz w:val="17"/>
        </w:rPr>
        <w:t>may</w:t>
      </w:r>
      <w:r>
        <w:rPr>
          <w:rFonts w:ascii="Arial" w:hAnsi="Arial"/>
          <w:color w:val="4F495E"/>
          <w:spacing w:val="16"/>
          <w:w w:val="105"/>
          <w:sz w:val="17"/>
        </w:rPr>
        <w:t> </w:t>
      </w:r>
      <w:r>
        <w:rPr>
          <w:rFonts w:ascii="Arial" w:hAnsi="Arial"/>
          <w:color w:val="4F495E"/>
          <w:w w:val="105"/>
          <w:sz w:val="17"/>
        </w:rPr>
        <w:t>ask</w:t>
      </w:r>
      <w:r>
        <w:rPr>
          <w:rFonts w:ascii="Arial" w:hAnsi="Arial"/>
          <w:color w:val="4F495E"/>
          <w:spacing w:val="18"/>
          <w:w w:val="105"/>
          <w:sz w:val="17"/>
        </w:rPr>
        <w:t> </w:t>
      </w:r>
      <w:r>
        <w:rPr>
          <w:rFonts w:ascii="Arial" w:hAnsi="Arial"/>
          <w:color w:val="4F495E"/>
          <w:w w:val="105"/>
          <w:sz w:val="17"/>
        </w:rPr>
        <w:t>of</w:t>
      </w:r>
      <w:r>
        <w:rPr>
          <w:rFonts w:ascii="Arial" w:hAnsi="Arial"/>
          <w:color w:val="4F495E"/>
          <w:spacing w:val="27"/>
          <w:w w:val="105"/>
          <w:sz w:val="17"/>
        </w:rPr>
        <w:t> </w:t>
      </w:r>
      <w:r>
        <w:rPr>
          <w:rFonts w:ascii="Arial" w:hAnsi="Arial"/>
          <w:color w:val="3D3459"/>
          <w:w w:val="105"/>
          <w:sz w:val="17"/>
        </w:rPr>
        <w:t>the </w:t>
      </w:r>
      <w:r>
        <w:rPr>
          <w:rFonts w:ascii="Arial" w:hAnsi="Arial"/>
          <w:color w:val="5D5E74"/>
          <w:w w:val="105"/>
          <w:sz w:val="17"/>
        </w:rPr>
        <w:t>i</w:t>
      </w:r>
      <w:r>
        <w:rPr>
          <w:rFonts w:ascii="Arial" w:hAnsi="Arial"/>
          <w:color w:val="3D3459"/>
          <w:w w:val="105"/>
          <w:sz w:val="17"/>
        </w:rPr>
        <w:t>nter</w:t>
      </w:r>
      <w:r>
        <w:rPr>
          <w:rFonts w:ascii="Arial" w:hAnsi="Arial"/>
          <w:color w:val="5D5E74"/>
          <w:w w:val="105"/>
          <w:sz w:val="17"/>
        </w:rPr>
        <w:t>pre</w:t>
      </w:r>
      <w:r>
        <w:rPr>
          <w:rFonts w:ascii="Arial" w:hAnsi="Arial"/>
          <w:color w:val="492646"/>
          <w:w w:val="105"/>
          <w:sz w:val="17"/>
        </w:rPr>
        <w:t>t</w:t>
      </w:r>
      <w:r>
        <w:rPr>
          <w:rFonts w:ascii="Arial" w:hAnsi="Arial"/>
          <w:color w:val="4F495E"/>
          <w:w w:val="105"/>
          <w:sz w:val="17"/>
        </w:rPr>
        <w:t>er</w:t>
      </w:r>
      <w:r>
        <w:rPr>
          <w:rFonts w:ascii="Arial" w:hAnsi="Arial"/>
          <w:color w:val="6B5B5B"/>
          <w:w w:val="105"/>
          <w:sz w:val="17"/>
        </w:rPr>
        <w:t>.</w:t>
      </w:r>
    </w:p>
    <w:p>
      <w:pPr>
        <w:pStyle w:val="ListParagraph"/>
        <w:numPr>
          <w:ilvl w:val="0"/>
          <w:numId w:val="39"/>
        </w:numPr>
        <w:tabs>
          <w:tab w:pos="2840" w:val="left" w:leader="none"/>
        </w:tabs>
        <w:spacing w:line="271" w:lineRule="auto" w:before="0" w:after="0"/>
        <w:ind w:left="2840" w:right="2472" w:hanging="296"/>
        <w:jc w:val="left"/>
        <w:rPr>
          <w:rFonts w:ascii="Arial" w:hAnsi="Arial"/>
          <w:sz w:val="17"/>
        </w:rPr>
      </w:pPr>
      <w:r>
        <w:rPr>
          <w:rFonts w:ascii="Arial" w:hAnsi="Arial"/>
          <w:color w:val="5D5E74"/>
          <w:w w:val="110"/>
          <w:sz w:val="17"/>
        </w:rPr>
        <w:t>Your</w:t>
      </w:r>
      <w:r>
        <w:rPr>
          <w:rFonts w:ascii="Arial" w:hAnsi="Arial"/>
          <w:color w:val="5D5E74"/>
          <w:spacing w:val="-8"/>
          <w:w w:val="110"/>
          <w:sz w:val="17"/>
        </w:rPr>
        <w:t> </w:t>
      </w:r>
      <w:r>
        <w:rPr>
          <w:rFonts w:ascii="Arial" w:hAnsi="Arial"/>
          <w:color w:val="480F3F"/>
          <w:w w:val="110"/>
          <w:sz w:val="17"/>
        </w:rPr>
        <w:t>i</w:t>
      </w:r>
      <w:r>
        <w:rPr>
          <w:rFonts w:ascii="Arial" w:hAnsi="Arial"/>
          <w:color w:val="4F495E"/>
          <w:w w:val="110"/>
          <w:sz w:val="17"/>
        </w:rPr>
        <w:t>n</w:t>
      </w:r>
      <w:r>
        <w:rPr>
          <w:rFonts w:ascii="Arial" w:hAnsi="Arial"/>
          <w:color w:val="492646"/>
          <w:w w:val="110"/>
          <w:sz w:val="17"/>
        </w:rPr>
        <w:t>t</w:t>
      </w:r>
      <w:r>
        <w:rPr>
          <w:rFonts w:ascii="Arial" w:hAnsi="Arial"/>
          <w:color w:val="4F495E"/>
          <w:w w:val="110"/>
          <w:sz w:val="17"/>
        </w:rPr>
        <w:t>erp</w:t>
      </w:r>
      <w:r>
        <w:rPr>
          <w:rFonts w:ascii="Arial" w:hAnsi="Arial"/>
          <w:color w:val="333D74"/>
          <w:w w:val="110"/>
          <w:sz w:val="17"/>
        </w:rPr>
        <w:t>r</w:t>
      </w:r>
      <w:r>
        <w:rPr>
          <w:rFonts w:ascii="Arial" w:hAnsi="Arial"/>
          <w:color w:val="4F495E"/>
          <w:w w:val="110"/>
          <w:sz w:val="17"/>
        </w:rPr>
        <w:t>ete</w:t>
      </w:r>
      <w:r>
        <w:rPr>
          <w:rFonts w:ascii="Arial" w:hAnsi="Arial"/>
          <w:color w:val="333D74"/>
          <w:w w:val="110"/>
          <w:sz w:val="17"/>
        </w:rPr>
        <w:t>r</w:t>
      </w:r>
      <w:r>
        <w:rPr>
          <w:rFonts w:ascii="Arial" w:hAnsi="Arial"/>
          <w:color w:val="333D74"/>
          <w:spacing w:val="-13"/>
          <w:w w:val="110"/>
          <w:sz w:val="17"/>
        </w:rPr>
        <w:t> </w:t>
      </w:r>
      <w:r>
        <w:rPr>
          <w:rFonts w:ascii="Arial" w:hAnsi="Arial"/>
          <w:color w:val="4F495E"/>
          <w:w w:val="110"/>
          <w:sz w:val="17"/>
        </w:rPr>
        <w:t>shou</w:t>
      </w:r>
      <w:r>
        <w:rPr>
          <w:rFonts w:ascii="Arial" w:hAnsi="Arial"/>
          <w:color w:val="212F77"/>
          <w:w w:val="110"/>
          <w:sz w:val="17"/>
        </w:rPr>
        <w:t>l</w:t>
      </w:r>
      <w:r>
        <w:rPr>
          <w:rFonts w:ascii="Arial" w:hAnsi="Arial"/>
          <w:color w:val="3D3459"/>
          <w:w w:val="110"/>
          <w:sz w:val="17"/>
        </w:rPr>
        <w:t>d</w:t>
      </w:r>
      <w:r>
        <w:rPr>
          <w:rFonts w:ascii="Arial" w:hAnsi="Arial"/>
          <w:color w:val="3D3459"/>
          <w:spacing w:val="-10"/>
          <w:w w:val="110"/>
          <w:sz w:val="17"/>
        </w:rPr>
        <w:t> </w:t>
      </w:r>
      <w:r>
        <w:rPr>
          <w:rFonts w:ascii="Arial" w:hAnsi="Arial"/>
          <w:color w:val="3D3459"/>
          <w:w w:val="110"/>
          <w:sz w:val="17"/>
        </w:rPr>
        <w:t>not</w:t>
      </w:r>
      <w:r>
        <w:rPr>
          <w:rFonts w:ascii="Arial" w:hAnsi="Arial"/>
          <w:color w:val="3D3459"/>
          <w:spacing w:val="-11"/>
          <w:w w:val="110"/>
          <w:sz w:val="17"/>
        </w:rPr>
        <w:t> </w:t>
      </w:r>
      <w:r>
        <w:rPr>
          <w:rFonts w:ascii="Arial" w:hAnsi="Arial"/>
          <w:color w:val="4F495E"/>
          <w:w w:val="110"/>
          <w:sz w:val="17"/>
        </w:rPr>
        <w:t>discuss</w:t>
      </w:r>
      <w:r>
        <w:rPr>
          <w:rFonts w:ascii="Arial" w:hAnsi="Arial"/>
          <w:color w:val="4F495E"/>
          <w:spacing w:val="-6"/>
          <w:w w:val="110"/>
          <w:sz w:val="17"/>
        </w:rPr>
        <w:t> </w:t>
      </w:r>
      <w:r>
        <w:rPr>
          <w:rFonts w:ascii="Arial" w:hAnsi="Arial"/>
          <w:color w:val="4F495E"/>
          <w:w w:val="110"/>
          <w:sz w:val="17"/>
        </w:rPr>
        <w:t>anything</w:t>
      </w:r>
      <w:r>
        <w:rPr>
          <w:rFonts w:ascii="Arial" w:hAnsi="Arial"/>
          <w:color w:val="4F495E"/>
          <w:spacing w:val="-8"/>
          <w:w w:val="110"/>
          <w:sz w:val="17"/>
        </w:rPr>
        <w:t> </w:t>
      </w:r>
      <w:r>
        <w:rPr>
          <w:rFonts w:ascii="Arial" w:hAnsi="Arial"/>
          <w:color w:val="4F495E"/>
          <w:w w:val="110"/>
          <w:sz w:val="17"/>
        </w:rPr>
        <w:t>unre</w:t>
      </w:r>
      <w:r>
        <w:rPr>
          <w:rFonts w:ascii="Arial" w:hAnsi="Arial"/>
          <w:color w:val="480F3F"/>
          <w:w w:val="110"/>
          <w:sz w:val="17"/>
        </w:rPr>
        <w:t>l</w:t>
      </w:r>
      <w:r>
        <w:rPr>
          <w:rFonts w:ascii="Arial" w:hAnsi="Arial"/>
          <w:color w:val="4F495E"/>
          <w:w w:val="110"/>
          <w:sz w:val="17"/>
        </w:rPr>
        <w:t>ated</w:t>
      </w:r>
      <w:r>
        <w:rPr>
          <w:rFonts w:ascii="Arial" w:hAnsi="Arial"/>
          <w:color w:val="4F495E"/>
          <w:spacing w:val="-11"/>
          <w:w w:val="110"/>
          <w:sz w:val="17"/>
        </w:rPr>
        <w:t> </w:t>
      </w:r>
      <w:r>
        <w:rPr>
          <w:rFonts w:ascii="Arial" w:hAnsi="Arial"/>
          <w:color w:val="492646"/>
          <w:w w:val="110"/>
          <w:sz w:val="17"/>
        </w:rPr>
        <w:t>t</w:t>
      </w:r>
      <w:r>
        <w:rPr>
          <w:rFonts w:ascii="Arial" w:hAnsi="Arial"/>
          <w:color w:val="4F495E"/>
          <w:w w:val="110"/>
          <w:sz w:val="17"/>
        </w:rPr>
        <w:t>o</w:t>
      </w:r>
      <w:r>
        <w:rPr>
          <w:rFonts w:ascii="Arial" w:hAnsi="Arial"/>
          <w:color w:val="4F495E"/>
          <w:spacing w:val="-11"/>
          <w:w w:val="110"/>
          <w:sz w:val="17"/>
        </w:rPr>
        <w:t> </w:t>
      </w:r>
      <w:r>
        <w:rPr>
          <w:rFonts w:ascii="Arial" w:hAnsi="Arial"/>
          <w:color w:val="3D3459"/>
          <w:w w:val="110"/>
          <w:sz w:val="17"/>
        </w:rPr>
        <w:t>the</w:t>
      </w:r>
      <w:r>
        <w:rPr>
          <w:rFonts w:ascii="Arial" w:hAnsi="Arial"/>
          <w:color w:val="3D3459"/>
          <w:spacing w:val="-12"/>
          <w:w w:val="110"/>
          <w:sz w:val="17"/>
        </w:rPr>
        <w:t> </w:t>
      </w:r>
      <w:r>
        <w:rPr>
          <w:rFonts w:ascii="Arial" w:hAnsi="Arial"/>
          <w:color w:val="4F495E"/>
          <w:w w:val="110"/>
          <w:sz w:val="17"/>
        </w:rPr>
        <w:t>telephone </w:t>
      </w:r>
      <w:r>
        <w:rPr>
          <w:rFonts w:ascii="Arial" w:hAnsi="Arial"/>
          <w:color w:val="480F3F"/>
          <w:w w:val="110"/>
          <w:sz w:val="17"/>
        </w:rPr>
        <w:t>i</w:t>
      </w:r>
      <w:r>
        <w:rPr>
          <w:rFonts w:ascii="Arial" w:hAnsi="Arial"/>
          <w:color w:val="4F495E"/>
          <w:w w:val="110"/>
          <w:sz w:val="17"/>
        </w:rPr>
        <w:t>nte</w:t>
      </w:r>
      <w:r>
        <w:rPr>
          <w:rFonts w:ascii="Arial" w:hAnsi="Arial"/>
          <w:color w:val="6B5B5B"/>
          <w:w w:val="110"/>
          <w:sz w:val="17"/>
        </w:rPr>
        <w:t>r</w:t>
      </w:r>
      <w:r>
        <w:rPr>
          <w:rFonts w:ascii="Arial" w:hAnsi="Arial"/>
          <w:color w:val="5D5E74"/>
          <w:w w:val="110"/>
          <w:sz w:val="17"/>
        </w:rPr>
        <w:t>pre</w:t>
      </w:r>
      <w:r>
        <w:rPr>
          <w:rFonts w:ascii="Arial" w:hAnsi="Arial"/>
          <w:color w:val="3D3459"/>
          <w:w w:val="110"/>
          <w:sz w:val="17"/>
        </w:rPr>
        <w:t>tation </w:t>
      </w:r>
      <w:r>
        <w:rPr>
          <w:rFonts w:ascii="Arial" w:hAnsi="Arial"/>
          <w:color w:val="4F495E"/>
          <w:w w:val="110"/>
          <w:sz w:val="17"/>
        </w:rPr>
        <w:t>assignment.</w:t>
      </w:r>
    </w:p>
    <w:p>
      <w:pPr>
        <w:spacing w:after="0" w:line="271" w:lineRule="auto"/>
        <w:jc w:val="left"/>
        <w:rPr>
          <w:rFonts w:ascii="Arial" w:hAnsi="Arial"/>
          <w:sz w:val="17"/>
        </w:rPr>
        <w:sectPr>
          <w:footerReference w:type="default" r:id="rId95"/>
          <w:pgSz w:w="12240" w:h="15840"/>
          <w:pgMar w:footer="0" w:header="0" w:top="1480" w:bottom="280" w:left="600" w:right="500"/>
        </w:sectPr>
      </w:pPr>
    </w:p>
    <w:p>
      <w:pPr>
        <w:tabs>
          <w:tab w:pos="10140" w:val="left" w:leader="none"/>
          <w:tab w:pos="16532" w:val="left" w:leader="none"/>
        </w:tabs>
        <w:spacing w:line="240" w:lineRule="auto"/>
        <w:ind w:left="140" w:right="0" w:firstLine="0"/>
        <w:jc w:val="left"/>
        <w:rPr>
          <w:rFonts w:ascii="Arial"/>
          <w:sz w:val="20"/>
        </w:rPr>
      </w:pPr>
      <w:r>
        <w:rPr>
          <w:rFonts w:ascii="Arial"/>
          <w:position w:val="9"/>
          <w:sz w:val="20"/>
        </w:rPr>
        <mc:AlternateContent>
          <mc:Choice Requires="wps">
            <w:drawing>
              <wp:inline distT="0" distB="0" distL="0" distR="0">
                <wp:extent cx="5791200" cy="203200"/>
                <wp:effectExtent l="0" t="0" r="0" b="6350"/>
                <wp:docPr id="204" name="Group 204"/>
                <wp:cNvGraphicFramePr>
                  <a:graphicFrameLocks/>
                </wp:cNvGraphicFramePr>
                <a:graphic>
                  <a:graphicData uri="http://schemas.microsoft.com/office/word/2010/wordprocessingGroup">
                    <wpg:wgp>
                      <wpg:cNvPr id="204" name="Group 204"/>
                      <wpg:cNvGrpSpPr/>
                      <wpg:grpSpPr>
                        <a:xfrm>
                          <a:off x="0" y="0"/>
                          <a:ext cx="5791200" cy="203200"/>
                          <a:chExt cx="5791200" cy="203200"/>
                        </a:xfrm>
                      </wpg:grpSpPr>
                      <wps:wsp>
                        <wps:cNvPr id="205" name="Graphic 205"/>
                        <wps:cNvSpPr/>
                        <wps:spPr>
                          <a:xfrm>
                            <a:off x="0" y="0"/>
                            <a:ext cx="5791200" cy="203200"/>
                          </a:xfrm>
                          <a:custGeom>
                            <a:avLst/>
                            <a:gdLst/>
                            <a:ahLst/>
                            <a:cxnLst/>
                            <a:rect l="l" t="t" r="r" b="b"/>
                            <a:pathLst>
                              <a:path w="5791200" h="203200">
                                <a:moveTo>
                                  <a:pt x="5791200" y="203206"/>
                                </a:moveTo>
                                <a:lnTo>
                                  <a:pt x="0" y="203206"/>
                                </a:lnTo>
                                <a:lnTo>
                                  <a:pt x="0" y="0"/>
                                </a:lnTo>
                                <a:lnTo>
                                  <a:pt x="5791200" y="0"/>
                                </a:lnTo>
                                <a:lnTo>
                                  <a:pt x="5791200" y="203206"/>
                                </a:lnTo>
                                <a:close/>
                              </a:path>
                            </a:pathLst>
                          </a:custGeom>
                          <a:solidFill>
                            <a:srgbClr val="231F20"/>
                          </a:solidFill>
                        </wps:spPr>
                        <wps:bodyPr wrap="square" lIns="0" tIns="0" rIns="0" bIns="0" rtlCol="0">
                          <a:prstTxWarp prst="textNoShape">
                            <a:avLst/>
                          </a:prstTxWarp>
                          <a:noAutofit/>
                        </wps:bodyPr>
                      </wps:wsp>
                      <pic:pic>
                        <pic:nvPicPr>
                          <pic:cNvPr id="206" name="Image 206"/>
                          <pic:cNvPicPr/>
                        </pic:nvPicPr>
                        <pic:blipFill>
                          <a:blip r:embed="rId97" cstate="print"/>
                          <a:stretch>
                            <a:fillRect/>
                          </a:stretch>
                        </pic:blipFill>
                        <pic:spPr>
                          <a:xfrm>
                            <a:off x="73415" y="57087"/>
                            <a:ext cx="497334" cy="121741"/>
                          </a:xfrm>
                          <a:prstGeom prst="rect">
                            <a:avLst/>
                          </a:prstGeom>
                        </pic:spPr>
                      </pic:pic>
                    </wpg:wgp>
                  </a:graphicData>
                </a:graphic>
              </wp:inline>
            </w:drawing>
          </mc:Choice>
          <mc:Fallback>
            <w:pict>
              <v:group style="width:456pt;height:16pt;mso-position-horizontal-relative:char;mso-position-vertical-relative:line" id="docshapegroup157" coordorigin="0,0" coordsize="9120,320">
                <v:rect style="position:absolute;left:0;top:0;width:9120;height:320" id="docshape158" filled="true" fillcolor="#231f20" stroked="false">
                  <v:fill type="solid"/>
                </v:rect>
                <v:shape style="position:absolute;left:115;top:89;width:784;height:192" type="#_x0000_t75" id="docshape159" stroked="false">
                  <v:imagedata r:id="rId97" o:title=""/>
                </v:shape>
              </v:group>
            </w:pict>
          </mc:Fallback>
        </mc:AlternateContent>
      </w:r>
      <w:r>
        <w:rPr>
          <w:rFonts w:ascii="Arial"/>
          <w:position w:val="9"/>
          <w:sz w:val="20"/>
        </w:rPr>
      </w:r>
      <w:r>
        <w:rPr>
          <w:rFonts w:ascii="Arial"/>
          <w:position w:val="9"/>
          <w:sz w:val="20"/>
        </w:rPr>
        <w:tab/>
      </w:r>
      <w:r>
        <w:rPr>
          <w:rFonts w:ascii="Arial"/>
          <w:position w:val="9"/>
          <w:sz w:val="20"/>
        </w:rPr>
        <mc:AlternateContent>
          <mc:Choice Requires="wps">
            <w:drawing>
              <wp:inline distT="0" distB="0" distL="0" distR="0">
                <wp:extent cx="2599690" cy="203200"/>
                <wp:effectExtent l="0" t="0" r="0" b="6350"/>
                <wp:docPr id="207" name="Group 207"/>
                <wp:cNvGraphicFramePr>
                  <a:graphicFrameLocks/>
                </wp:cNvGraphicFramePr>
                <a:graphic>
                  <a:graphicData uri="http://schemas.microsoft.com/office/word/2010/wordprocessingGroup">
                    <wpg:wgp>
                      <wpg:cNvPr id="207" name="Group 207"/>
                      <wpg:cNvGrpSpPr/>
                      <wpg:grpSpPr>
                        <a:xfrm>
                          <a:off x="0" y="0"/>
                          <a:ext cx="2599690" cy="203200"/>
                          <a:chExt cx="2599690" cy="203200"/>
                        </a:xfrm>
                      </wpg:grpSpPr>
                      <wps:wsp>
                        <wps:cNvPr id="208" name="Graphic 208"/>
                        <wps:cNvSpPr/>
                        <wps:spPr>
                          <a:xfrm>
                            <a:off x="0" y="0"/>
                            <a:ext cx="2599690" cy="203200"/>
                          </a:xfrm>
                          <a:custGeom>
                            <a:avLst/>
                            <a:gdLst/>
                            <a:ahLst/>
                            <a:cxnLst/>
                            <a:rect l="l" t="t" r="r" b="b"/>
                            <a:pathLst>
                              <a:path w="2599690" h="203200">
                                <a:moveTo>
                                  <a:pt x="2599270" y="203206"/>
                                </a:moveTo>
                                <a:lnTo>
                                  <a:pt x="0" y="203206"/>
                                </a:lnTo>
                                <a:lnTo>
                                  <a:pt x="0" y="0"/>
                                </a:lnTo>
                                <a:lnTo>
                                  <a:pt x="2599270" y="0"/>
                                </a:lnTo>
                                <a:lnTo>
                                  <a:pt x="2599270" y="203206"/>
                                </a:lnTo>
                                <a:close/>
                              </a:path>
                            </a:pathLst>
                          </a:custGeom>
                          <a:solidFill>
                            <a:srgbClr val="231F20"/>
                          </a:solidFill>
                        </wps:spPr>
                        <wps:bodyPr wrap="square" lIns="0" tIns="0" rIns="0" bIns="0" rtlCol="0">
                          <a:prstTxWarp prst="textNoShape">
                            <a:avLst/>
                          </a:prstTxWarp>
                          <a:noAutofit/>
                        </wps:bodyPr>
                      </wps:wsp>
                      <pic:pic>
                        <pic:nvPicPr>
                          <pic:cNvPr id="209" name="Image 209"/>
                          <pic:cNvPicPr/>
                        </pic:nvPicPr>
                        <pic:blipFill>
                          <a:blip r:embed="rId98" cstate="print"/>
                          <a:stretch>
                            <a:fillRect/>
                          </a:stretch>
                        </pic:blipFill>
                        <pic:spPr>
                          <a:xfrm>
                            <a:off x="85824" y="55500"/>
                            <a:ext cx="489967" cy="98623"/>
                          </a:xfrm>
                          <a:prstGeom prst="rect">
                            <a:avLst/>
                          </a:prstGeom>
                        </pic:spPr>
                      </pic:pic>
                      <wps:wsp>
                        <wps:cNvPr id="210" name="Graphic 210"/>
                        <wps:cNvSpPr/>
                        <wps:spPr>
                          <a:xfrm>
                            <a:off x="635317" y="57095"/>
                            <a:ext cx="510540" cy="97155"/>
                          </a:xfrm>
                          <a:custGeom>
                            <a:avLst/>
                            <a:gdLst/>
                            <a:ahLst/>
                            <a:cxnLst/>
                            <a:rect l="l" t="t" r="r" b="b"/>
                            <a:pathLst>
                              <a:path w="510540" h="97155">
                                <a:moveTo>
                                  <a:pt x="29565" y="0"/>
                                </a:moveTo>
                                <a:lnTo>
                                  <a:pt x="0" y="0"/>
                                </a:lnTo>
                                <a:lnTo>
                                  <a:pt x="0" y="95440"/>
                                </a:lnTo>
                                <a:lnTo>
                                  <a:pt x="29565" y="95440"/>
                                </a:lnTo>
                                <a:lnTo>
                                  <a:pt x="29565" y="0"/>
                                </a:lnTo>
                                <a:close/>
                              </a:path>
                              <a:path w="510540" h="97155">
                                <a:moveTo>
                                  <a:pt x="117741" y="69062"/>
                                </a:moveTo>
                                <a:lnTo>
                                  <a:pt x="79006" y="49669"/>
                                </a:lnTo>
                                <a:lnTo>
                                  <a:pt x="75234" y="48882"/>
                                </a:lnTo>
                                <a:lnTo>
                                  <a:pt x="71780" y="47142"/>
                                </a:lnTo>
                                <a:lnTo>
                                  <a:pt x="70916" y="45859"/>
                                </a:lnTo>
                                <a:lnTo>
                                  <a:pt x="70916" y="42646"/>
                                </a:lnTo>
                                <a:lnTo>
                                  <a:pt x="71602" y="41351"/>
                                </a:lnTo>
                                <a:lnTo>
                                  <a:pt x="74320" y="39230"/>
                                </a:lnTo>
                                <a:lnTo>
                                  <a:pt x="76492" y="38696"/>
                                </a:lnTo>
                                <a:lnTo>
                                  <a:pt x="82423" y="38696"/>
                                </a:lnTo>
                                <a:lnTo>
                                  <a:pt x="84937" y="39382"/>
                                </a:lnTo>
                                <a:lnTo>
                                  <a:pt x="88544" y="41808"/>
                                </a:lnTo>
                                <a:lnTo>
                                  <a:pt x="89623" y="43434"/>
                                </a:lnTo>
                                <a:lnTo>
                                  <a:pt x="90258" y="45643"/>
                                </a:lnTo>
                                <a:lnTo>
                                  <a:pt x="115366" y="43154"/>
                                </a:lnTo>
                                <a:lnTo>
                                  <a:pt x="89001" y="24701"/>
                                </a:lnTo>
                                <a:lnTo>
                                  <a:pt x="72961" y="24701"/>
                                </a:lnTo>
                                <a:lnTo>
                                  <a:pt x="47205" y="41770"/>
                                </a:lnTo>
                                <a:lnTo>
                                  <a:pt x="47205" y="50495"/>
                                </a:lnTo>
                                <a:lnTo>
                                  <a:pt x="85255" y="69951"/>
                                </a:lnTo>
                                <a:lnTo>
                                  <a:pt x="89052" y="70866"/>
                                </a:lnTo>
                                <a:lnTo>
                                  <a:pt x="92443" y="72644"/>
                                </a:lnTo>
                                <a:lnTo>
                                  <a:pt x="93433" y="74117"/>
                                </a:lnTo>
                                <a:lnTo>
                                  <a:pt x="93433" y="77724"/>
                                </a:lnTo>
                                <a:lnTo>
                                  <a:pt x="92684" y="79133"/>
                                </a:lnTo>
                                <a:lnTo>
                                  <a:pt x="91160" y="80264"/>
                                </a:lnTo>
                                <a:lnTo>
                                  <a:pt x="89204" y="81788"/>
                                </a:lnTo>
                                <a:lnTo>
                                  <a:pt x="86461" y="82550"/>
                                </a:lnTo>
                                <a:lnTo>
                                  <a:pt x="79629" y="82550"/>
                                </a:lnTo>
                                <a:lnTo>
                                  <a:pt x="77025" y="81876"/>
                                </a:lnTo>
                                <a:lnTo>
                                  <a:pt x="73126" y="79184"/>
                                </a:lnTo>
                                <a:lnTo>
                                  <a:pt x="71615" y="76936"/>
                                </a:lnTo>
                                <a:lnTo>
                                  <a:pt x="70523" y="73812"/>
                                </a:lnTo>
                                <a:lnTo>
                                  <a:pt x="44221" y="76301"/>
                                </a:lnTo>
                                <a:lnTo>
                                  <a:pt x="81546" y="97028"/>
                                </a:lnTo>
                                <a:lnTo>
                                  <a:pt x="90487" y="97028"/>
                                </a:lnTo>
                                <a:lnTo>
                                  <a:pt x="97561" y="95923"/>
                                </a:lnTo>
                                <a:lnTo>
                                  <a:pt x="107924" y="91452"/>
                                </a:lnTo>
                                <a:lnTo>
                                  <a:pt x="111721" y="88442"/>
                                </a:lnTo>
                                <a:lnTo>
                                  <a:pt x="115481" y="82550"/>
                                </a:lnTo>
                                <a:lnTo>
                                  <a:pt x="116547" y="80886"/>
                                </a:lnTo>
                                <a:lnTo>
                                  <a:pt x="117741" y="77000"/>
                                </a:lnTo>
                                <a:lnTo>
                                  <a:pt x="117741" y="69062"/>
                                </a:lnTo>
                                <a:close/>
                              </a:path>
                              <a:path w="510540" h="97155">
                                <a:moveTo>
                                  <a:pt x="157949" y="0"/>
                                </a:moveTo>
                                <a:lnTo>
                                  <a:pt x="131368" y="0"/>
                                </a:lnTo>
                                <a:lnTo>
                                  <a:pt x="131368" y="95440"/>
                                </a:lnTo>
                                <a:lnTo>
                                  <a:pt x="157949" y="95440"/>
                                </a:lnTo>
                                <a:lnTo>
                                  <a:pt x="157949" y="0"/>
                                </a:lnTo>
                                <a:close/>
                              </a:path>
                              <a:path w="510540" h="97155">
                                <a:moveTo>
                                  <a:pt x="251218" y="95440"/>
                                </a:moveTo>
                                <a:lnTo>
                                  <a:pt x="249834" y="92583"/>
                                </a:lnTo>
                                <a:lnTo>
                                  <a:pt x="248932" y="90220"/>
                                </a:lnTo>
                                <a:lnTo>
                                  <a:pt x="248208" y="87020"/>
                                </a:lnTo>
                                <a:lnTo>
                                  <a:pt x="248094" y="86537"/>
                                </a:lnTo>
                                <a:lnTo>
                                  <a:pt x="247891" y="83985"/>
                                </a:lnTo>
                                <a:lnTo>
                                  <a:pt x="247891" y="82346"/>
                                </a:lnTo>
                                <a:lnTo>
                                  <a:pt x="247891" y="62699"/>
                                </a:lnTo>
                                <a:lnTo>
                                  <a:pt x="247891" y="46913"/>
                                </a:lnTo>
                                <a:lnTo>
                                  <a:pt x="247243" y="43497"/>
                                </a:lnTo>
                                <a:lnTo>
                                  <a:pt x="246138" y="40474"/>
                                </a:lnTo>
                                <a:lnTo>
                                  <a:pt x="244640" y="36334"/>
                                </a:lnTo>
                                <a:lnTo>
                                  <a:pt x="242862" y="33566"/>
                                </a:lnTo>
                                <a:lnTo>
                                  <a:pt x="240601" y="31610"/>
                                </a:lnTo>
                                <a:lnTo>
                                  <a:pt x="237388" y="28778"/>
                                </a:lnTo>
                                <a:lnTo>
                                  <a:pt x="233375" y="26924"/>
                                </a:lnTo>
                                <a:lnTo>
                                  <a:pt x="223735" y="25146"/>
                                </a:lnTo>
                                <a:lnTo>
                                  <a:pt x="217360" y="24701"/>
                                </a:lnTo>
                                <a:lnTo>
                                  <a:pt x="204482" y="24701"/>
                                </a:lnTo>
                                <a:lnTo>
                                  <a:pt x="173736" y="46037"/>
                                </a:lnTo>
                                <a:lnTo>
                                  <a:pt x="198983" y="48717"/>
                                </a:lnTo>
                                <a:lnTo>
                                  <a:pt x="200025" y="45707"/>
                                </a:lnTo>
                                <a:lnTo>
                                  <a:pt x="201383" y="43662"/>
                                </a:lnTo>
                                <a:lnTo>
                                  <a:pt x="205257" y="41173"/>
                                </a:lnTo>
                                <a:lnTo>
                                  <a:pt x="208521" y="40474"/>
                                </a:lnTo>
                                <a:lnTo>
                                  <a:pt x="216255" y="40474"/>
                                </a:lnTo>
                                <a:lnTo>
                                  <a:pt x="218630" y="41135"/>
                                </a:lnTo>
                                <a:lnTo>
                                  <a:pt x="221335" y="43751"/>
                                </a:lnTo>
                                <a:lnTo>
                                  <a:pt x="221907" y="45707"/>
                                </a:lnTo>
                                <a:lnTo>
                                  <a:pt x="221996" y="49314"/>
                                </a:lnTo>
                                <a:lnTo>
                                  <a:pt x="221996" y="62699"/>
                                </a:lnTo>
                                <a:lnTo>
                                  <a:pt x="221996" y="70231"/>
                                </a:lnTo>
                                <a:lnTo>
                                  <a:pt x="209727" y="82346"/>
                                </a:lnTo>
                                <a:lnTo>
                                  <a:pt x="203962" y="82346"/>
                                </a:lnTo>
                                <a:lnTo>
                                  <a:pt x="201828" y="81686"/>
                                </a:lnTo>
                                <a:lnTo>
                                  <a:pt x="198907" y="79044"/>
                                </a:lnTo>
                                <a:lnTo>
                                  <a:pt x="198183" y="77343"/>
                                </a:lnTo>
                                <a:lnTo>
                                  <a:pt x="198183" y="73444"/>
                                </a:lnTo>
                                <a:lnTo>
                                  <a:pt x="214553" y="65151"/>
                                </a:lnTo>
                                <a:lnTo>
                                  <a:pt x="218351" y="64008"/>
                                </a:lnTo>
                                <a:lnTo>
                                  <a:pt x="221996" y="62699"/>
                                </a:lnTo>
                                <a:lnTo>
                                  <a:pt x="221996" y="49314"/>
                                </a:lnTo>
                                <a:lnTo>
                                  <a:pt x="218706" y="50609"/>
                                </a:lnTo>
                                <a:lnTo>
                                  <a:pt x="215582" y="51663"/>
                                </a:lnTo>
                                <a:lnTo>
                                  <a:pt x="209677" y="53276"/>
                                </a:lnTo>
                                <a:lnTo>
                                  <a:pt x="203225" y="54673"/>
                                </a:lnTo>
                                <a:lnTo>
                                  <a:pt x="184988" y="58318"/>
                                </a:lnTo>
                                <a:lnTo>
                                  <a:pt x="179298" y="60833"/>
                                </a:lnTo>
                                <a:lnTo>
                                  <a:pt x="173151" y="67589"/>
                                </a:lnTo>
                                <a:lnTo>
                                  <a:pt x="171640" y="71818"/>
                                </a:lnTo>
                                <a:lnTo>
                                  <a:pt x="171602" y="82778"/>
                                </a:lnTo>
                                <a:lnTo>
                                  <a:pt x="173736" y="87490"/>
                                </a:lnTo>
                                <a:lnTo>
                                  <a:pt x="182283" y="95123"/>
                                </a:lnTo>
                                <a:lnTo>
                                  <a:pt x="188556" y="97028"/>
                                </a:lnTo>
                                <a:lnTo>
                                  <a:pt x="202996" y="97028"/>
                                </a:lnTo>
                                <a:lnTo>
                                  <a:pt x="208457" y="96075"/>
                                </a:lnTo>
                                <a:lnTo>
                                  <a:pt x="216573" y="92748"/>
                                </a:lnTo>
                                <a:lnTo>
                                  <a:pt x="220014" y="90360"/>
                                </a:lnTo>
                                <a:lnTo>
                                  <a:pt x="223494" y="87020"/>
                                </a:lnTo>
                                <a:lnTo>
                                  <a:pt x="223799" y="89014"/>
                                </a:lnTo>
                                <a:lnTo>
                                  <a:pt x="224104" y="90462"/>
                                </a:lnTo>
                                <a:lnTo>
                                  <a:pt x="224701" y="92316"/>
                                </a:lnTo>
                                <a:lnTo>
                                  <a:pt x="225361" y="93675"/>
                                </a:lnTo>
                                <a:lnTo>
                                  <a:pt x="226352" y="95440"/>
                                </a:lnTo>
                                <a:lnTo>
                                  <a:pt x="251218" y="95440"/>
                                </a:lnTo>
                                <a:close/>
                              </a:path>
                              <a:path w="510540" h="97155">
                                <a:moveTo>
                                  <a:pt x="336842" y="42354"/>
                                </a:moveTo>
                                <a:lnTo>
                                  <a:pt x="335356" y="37515"/>
                                </a:lnTo>
                                <a:lnTo>
                                  <a:pt x="334772" y="35623"/>
                                </a:lnTo>
                                <a:lnTo>
                                  <a:pt x="326491" y="26885"/>
                                </a:lnTo>
                                <a:lnTo>
                                  <a:pt x="320763" y="24701"/>
                                </a:lnTo>
                                <a:lnTo>
                                  <a:pt x="308025" y="24701"/>
                                </a:lnTo>
                                <a:lnTo>
                                  <a:pt x="303441" y="25692"/>
                                </a:lnTo>
                                <a:lnTo>
                                  <a:pt x="295897" y="29641"/>
                                </a:lnTo>
                                <a:lnTo>
                                  <a:pt x="292176" y="32931"/>
                                </a:lnTo>
                                <a:lnTo>
                                  <a:pt x="288493" y="37515"/>
                                </a:lnTo>
                                <a:lnTo>
                                  <a:pt x="288493" y="26289"/>
                                </a:lnTo>
                                <a:lnTo>
                                  <a:pt x="263817" y="26289"/>
                                </a:lnTo>
                                <a:lnTo>
                                  <a:pt x="263817" y="95440"/>
                                </a:lnTo>
                                <a:lnTo>
                                  <a:pt x="290309" y="95440"/>
                                </a:lnTo>
                                <a:lnTo>
                                  <a:pt x="290309" y="55892"/>
                                </a:lnTo>
                                <a:lnTo>
                                  <a:pt x="291299" y="51523"/>
                                </a:lnTo>
                                <a:lnTo>
                                  <a:pt x="295287" y="46659"/>
                                </a:lnTo>
                                <a:lnTo>
                                  <a:pt x="297891" y="45440"/>
                                </a:lnTo>
                                <a:lnTo>
                                  <a:pt x="303987" y="45440"/>
                                </a:lnTo>
                                <a:lnTo>
                                  <a:pt x="306235" y="46342"/>
                                </a:lnTo>
                                <a:lnTo>
                                  <a:pt x="309448" y="49949"/>
                                </a:lnTo>
                                <a:lnTo>
                                  <a:pt x="310261" y="53022"/>
                                </a:lnTo>
                                <a:lnTo>
                                  <a:pt x="310261" y="95440"/>
                                </a:lnTo>
                                <a:lnTo>
                                  <a:pt x="336842" y="95440"/>
                                </a:lnTo>
                                <a:lnTo>
                                  <a:pt x="336842" y="45440"/>
                                </a:lnTo>
                                <a:lnTo>
                                  <a:pt x="336842" y="42354"/>
                                </a:lnTo>
                                <a:close/>
                              </a:path>
                              <a:path w="510540" h="97155">
                                <a:moveTo>
                                  <a:pt x="425488" y="0"/>
                                </a:moveTo>
                                <a:lnTo>
                                  <a:pt x="398894" y="0"/>
                                </a:lnTo>
                                <a:lnTo>
                                  <a:pt x="398894" y="55232"/>
                                </a:lnTo>
                                <a:lnTo>
                                  <a:pt x="398830" y="66890"/>
                                </a:lnTo>
                                <a:lnTo>
                                  <a:pt x="397764" y="70980"/>
                                </a:lnTo>
                                <a:lnTo>
                                  <a:pt x="393268" y="76263"/>
                                </a:lnTo>
                                <a:lnTo>
                                  <a:pt x="390436" y="77584"/>
                                </a:lnTo>
                                <a:lnTo>
                                  <a:pt x="383895" y="77584"/>
                                </a:lnTo>
                                <a:lnTo>
                                  <a:pt x="381241" y="76276"/>
                                </a:lnTo>
                                <a:lnTo>
                                  <a:pt x="376961" y="71031"/>
                                </a:lnTo>
                                <a:lnTo>
                                  <a:pt x="375881" y="66890"/>
                                </a:lnTo>
                                <a:lnTo>
                                  <a:pt x="375881" y="55232"/>
                                </a:lnTo>
                                <a:lnTo>
                                  <a:pt x="376923" y="50939"/>
                                </a:lnTo>
                                <a:lnTo>
                                  <a:pt x="381088" y="45821"/>
                                </a:lnTo>
                                <a:lnTo>
                                  <a:pt x="383654" y="44551"/>
                                </a:lnTo>
                                <a:lnTo>
                                  <a:pt x="390245" y="44551"/>
                                </a:lnTo>
                                <a:lnTo>
                                  <a:pt x="393153" y="45885"/>
                                </a:lnTo>
                                <a:lnTo>
                                  <a:pt x="397738" y="51219"/>
                                </a:lnTo>
                                <a:lnTo>
                                  <a:pt x="398894" y="55232"/>
                                </a:lnTo>
                                <a:lnTo>
                                  <a:pt x="398894" y="0"/>
                                </a:lnTo>
                                <a:lnTo>
                                  <a:pt x="398691" y="0"/>
                                </a:lnTo>
                                <a:lnTo>
                                  <a:pt x="398691" y="33058"/>
                                </a:lnTo>
                                <a:lnTo>
                                  <a:pt x="396087" y="30276"/>
                                </a:lnTo>
                                <a:lnTo>
                                  <a:pt x="393115" y="28181"/>
                                </a:lnTo>
                                <a:lnTo>
                                  <a:pt x="386397" y="25400"/>
                                </a:lnTo>
                                <a:lnTo>
                                  <a:pt x="382651" y="24701"/>
                                </a:lnTo>
                                <a:lnTo>
                                  <a:pt x="370078" y="24701"/>
                                </a:lnTo>
                                <a:lnTo>
                                  <a:pt x="349389" y="60147"/>
                                </a:lnTo>
                                <a:lnTo>
                                  <a:pt x="349846" y="67551"/>
                                </a:lnTo>
                                <a:lnTo>
                                  <a:pt x="368998" y="97028"/>
                                </a:lnTo>
                                <a:lnTo>
                                  <a:pt x="383082" y="97028"/>
                                </a:lnTo>
                                <a:lnTo>
                                  <a:pt x="387337" y="96024"/>
                                </a:lnTo>
                                <a:lnTo>
                                  <a:pt x="394017" y="92506"/>
                                </a:lnTo>
                                <a:lnTo>
                                  <a:pt x="397179" y="89573"/>
                                </a:lnTo>
                                <a:lnTo>
                                  <a:pt x="400659" y="85217"/>
                                </a:lnTo>
                                <a:lnTo>
                                  <a:pt x="400659" y="95440"/>
                                </a:lnTo>
                                <a:lnTo>
                                  <a:pt x="425488" y="95440"/>
                                </a:lnTo>
                                <a:lnTo>
                                  <a:pt x="425488" y="85217"/>
                                </a:lnTo>
                                <a:lnTo>
                                  <a:pt x="425488" y="77584"/>
                                </a:lnTo>
                                <a:lnTo>
                                  <a:pt x="425488" y="44551"/>
                                </a:lnTo>
                                <a:lnTo>
                                  <a:pt x="425488" y="33058"/>
                                </a:lnTo>
                                <a:lnTo>
                                  <a:pt x="425488" y="0"/>
                                </a:lnTo>
                                <a:close/>
                              </a:path>
                              <a:path w="510540" h="97155">
                                <a:moveTo>
                                  <a:pt x="510463" y="69062"/>
                                </a:moveTo>
                                <a:lnTo>
                                  <a:pt x="471716" y="49669"/>
                                </a:lnTo>
                                <a:lnTo>
                                  <a:pt x="467956" y="48882"/>
                                </a:lnTo>
                                <a:lnTo>
                                  <a:pt x="464489" y="47142"/>
                                </a:lnTo>
                                <a:lnTo>
                                  <a:pt x="463638" y="45859"/>
                                </a:lnTo>
                                <a:lnTo>
                                  <a:pt x="463638" y="42646"/>
                                </a:lnTo>
                                <a:lnTo>
                                  <a:pt x="464312" y="41351"/>
                                </a:lnTo>
                                <a:lnTo>
                                  <a:pt x="467042" y="39230"/>
                                </a:lnTo>
                                <a:lnTo>
                                  <a:pt x="469214" y="38696"/>
                                </a:lnTo>
                                <a:lnTo>
                                  <a:pt x="475145" y="38696"/>
                                </a:lnTo>
                                <a:lnTo>
                                  <a:pt x="477659" y="39382"/>
                                </a:lnTo>
                                <a:lnTo>
                                  <a:pt x="481241" y="41808"/>
                                </a:lnTo>
                                <a:lnTo>
                                  <a:pt x="482320" y="43434"/>
                                </a:lnTo>
                                <a:lnTo>
                                  <a:pt x="482981" y="45643"/>
                                </a:lnTo>
                                <a:lnTo>
                                  <a:pt x="508088" y="43154"/>
                                </a:lnTo>
                                <a:lnTo>
                                  <a:pt x="481723" y="24701"/>
                                </a:lnTo>
                                <a:lnTo>
                                  <a:pt x="465683" y="24701"/>
                                </a:lnTo>
                                <a:lnTo>
                                  <a:pt x="439928" y="41770"/>
                                </a:lnTo>
                                <a:lnTo>
                                  <a:pt x="439928" y="50495"/>
                                </a:lnTo>
                                <a:lnTo>
                                  <a:pt x="477977" y="69951"/>
                                </a:lnTo>
                                <a:lnTo>
                                  <a:pt x="481761" y="70866"/>
                                </a:lnTo>
                                <a:lnTo>
                                  <a:pt x="485165" y="72644"/>
                                </a:lnTo>
                                <a:lnTo>
                                  <a:pt x="486156" y="74117"/>
                                </a:lnTo>
                                <a:lnTo>
                                  <a:pt x="486156" y="77724"/>
                                </a:lnTo>
                                <a:lnTo>
                                  <a:pt x="485406" y="79133"/>
                                </a:lnTo>
                                <a:lnTo>
                                  <a:pt x="483882" y="80264"/>
                                </a:lnTo>
                                <a:lnTo>
                                  <a:pt x="481926" y="81788"/>
                                </a:lnTo>
                                <a:lnTo>
                                  <a:pt x="479158" y="82550"/>
                                </a:lnTo>
                                <a:lnTo>
                                  <a:pt x="472351" y="82550"/>
                                </a:lnTo>
                                <a:lnTo>
                                  <a:pt x="469747" y="81876"/>
                                </a:lnTo>
                                <a:lnTo>
                                  <a:pt x="465848" y="79184"/>
                                </a:lnTo>
                                <a:lnTo>
                                  <a:pt x="464312" y="76936"/>
                                </a:lnTo>
                                <a:lnTo>
                                  <a:pt x="463245" y="73812"/>
                                </a:lnTo>
                                <a:lnTo>
                                  <a:pt x="436943" y="76301"/>
                                </a:lnTo>
                                <a:lnTo>
                                  <a:pt x="474268" y="97028"/>
                                </a:lnTo>
                                <a:lnTo>
                                  <a:pt x="483196" y="97028"/>
                                </a:lnTo>
                                <a:lnTo>
                                  <a:pt x="490258" y="95923"/>
                                </a:lnTo>
                                <a:lnTo>
                                  <a:pt x="500646" y="91452"/>
                                </a:lnTo>
                                <a:lnTo>
                                  <a:pt x="504444" y="88442"/>
                                </a:lnTo>
                                <a:lnTo>
                                  <a:pt x="508203" y="82550"/>
                                </a:lnTo>
                                <a:lnTo>
                                  <a:pt x="509270" y="80886"/>
                                </a:lnTo>
                                <a:lnTo>
                                  <a:pt x="510463" y="77000"/>
                                </a:lnTo>
                                <a:lnTo>
                                  <a:pt x="510463" y="69062"/>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04.7pt;height:16pt;mso-position-horizontal-relative:char;mso-position-vertical-relative:line" id="docshapegroup160" coordorigin="0,0" coordsize="4094,320">
                <v:rect style="position:absolute;left:0;top:0;width:4094;height:320" id="docshape161" filled="true" fillcolor="#231f20" stroked="false">
                  <v:fill type="solid"/>
                </v:rect>
                <v:shape style="position:absolute;left:135;top:87;width:772;height:156" type="#_x0000_t75" id="docshape162" stroked="false">
                  <v:imagedata r:id="rId98" o:title=""/>
                </v:shape>
                <v:shape style="position:absolute;left:1000;top:89;width:804;height:153" id="docshape163" coordorigin="1001,90" coordsize="804,153" path="m1047,90l1001,90,1001,240,1047,240,1047,90xm1186,199l1184,193,1177,183,1172,179,1158,173,1148,171,1125,168,1119,167,1114,164,1112,162,1112,157,1113,155,1118,152,1121,151,1130,151,1134,152,1140,156,1142,158,1143,162,1182,158,1179,151,1176,145,1168,137,1163,134,1150,130,1141,129,1115,129,1106,130,1091,135,1085,139,1077,149,1075,156,1075,169,1077,175,1084,186,1089,189,1101,193,1111,196,1135,200,1141,202,1146,204,1148,207,1148,212,1146,215,1144,216,1141,219,1137,220,1126,220,1122,219,1116,215,1113,211,1112,206,1070,210,1073,221,1078,229,1086,234,1094,238,1103,241,1115,242,1129,243,1143,243,1154,241,1170,234,1176,229,1182,220,1184,217,1186,211,1186,199xm1249,90l1207,90,1207,240,1249,240,1249,90xm1396,240l1394,236,1393,232,1391,227,1391,226,1391,222,1391,220,1391,189,1391,164,1390,158,1388,154,1386,147,1383,143,1379,140,1374,135,1368,132,1353,130,1343,129,1323,129,1315,129,1302,132,1297,133,1287,138,1283,142,1278,150,1276,155,1274,162,1274,162,1314,167,1316,162,1318,159,1324,155,1329,154,1341,154,1345,155,1349,159,1350,162,1350,168,1350,189,1350,201,1349,205,1346,211,1343,214,1335,218,1331,220,1322,220,1318,219,1314,214,1313,212,1313,206,1314,203,1318,199,1324,196,1332,194,1338,193,1344,191,1350,189,1350,168,1345,170,1340,171,1331,174,1321,176,1292,182,1283,186,1273,196,1271,203,1271,220,1274,228,1288,240,1297,243,1320,243,1329,241,1342,236,1347,232,1352,227,1353,230,1353,232,1354,235,1355,237,1357,240,1396,240xm1531,157l1529,149,1528,146,1515,132,1506,129,1486,129,1478,130,1466,137,1461,142,1455,149,1455,131,1416,131,1416,240,1458,240,1458,178,1459,171,1466,163,1470,161,1479,161,1483,163,1488,169,1489,173,1489,240,1531,240,1531,161,1531,157xm1671,90l1629,90,1629,177,1629,195,1627,202,1620,210,1615,212,1605,212,1601,210,1594,202,1592,195,1592,177,1594,170,1601,162,1605,160,1615,160,1620,162,1627,171,1629,177,1629,90,1628,90,1628,142,1624,138,1620,134,1609,130,1603,129,1583,129,1572,134,1564,143,1558,151,1554,161,1552,172,1551,185,1551,196,1554,207,1557,217,1562,226,1570,237,1582,243,1604,243,1610,241,1621,236,1626,231,1631,224,1631,240,1671,240,1671,224,1671,212,1671,160,1671,142,1671,90xm1804,199l1803,193,1795,183,1790,179,1777,173,1766,171,1743,168,1737,167,1732,164,1731,162,1731,157,1732,155,1736,152,1739,151,1749,151,1753,152,1758,156,1760,158,1761,162,1801,158,1798,151,1794,145,1786,137,1781,134,1769,130,1759,129,1734,129,1724,130,1709,135,1704,139,1695,149,1693,156,1693,169,1695,175,1703,186,1708,189,1719,193,1729,196,1753,200,1759,202,1765,204,1766,207,1766,212,1765,215,1763,216,1759,219,1755,220,1744,220,1740,219,1734,215,1732,211,1730,206,1689,210,1691,221,1696,229,1705,234,1712,238,1722,241,1734,242,1747,243,1761,243,1773,241,1789,234,1795,229,1801,220,1803,217,1804,211,1804,199xe" filled="true" fillcolor="#ffffff" stroked="false">
                  <v:path arrowok="t"/>
                  <v:fill type="solid"/>
                </v:shape>
              </v:group>
            </w:pict>
          </mc:Fallback>
        </mc:AlternateContent>
      </w:r>
      <w:r>
        <w:rPr>
          <w:rFonts w:ascii="Arial"/>
          <w:position w:val="9"/>
          <w:sz w:val="20"/>
        </w:rPr>
      </w:r>
      <w:r>
        <w:rPr>
          <w:rFonts w:ascii="Arial"/>
          <w:position w:val="9"/>
          <w:sz w:val="20"/>
        </w:rPr>
        <w:tab/>
      </w:r>
      <w:r>
        <w:rPr>
          <w:rFonts w:ascii="Arial"/>
          <w:sz w:val="20"/>
        </w:rPr>
        <w:drawing>
          <wp:inline distT="0" distB="0" distL="0" distR="0">
            <wp:extent cx="1746063" cy="390144"/>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99" cstate="print"/>
                    <a:stretch>
                      <a:fillRect/>
                    </a:stretch>
                  </pic:blipFill>
                  <pic:spPr>
                    <a:xfrm>
                      <a:off x="0" y="0"/>
                      <a:ext cx="1746063" cy="390144"/>
                    </a:xfrm>
                    <a:prstGeom prst="rect">
                      <a:avLst/>
                    </a:prstGeom>
                  </pic:spPr>
                </pic:pic>
              </a:graphicData>
            </a:graphic>
          </wp:inline>
        </w:drawing>
      </w:r>
      <w:r>
        <w:rPr>
          <w:rFonts w:ascii="Arial"/>
          <w:sz w:val="20"/>
        </w:rPr>
      </w:r>
    </w:p>
    <w:p>
      <w:pPr>
        <w:spacing w:after="0" w:line="240" w:lineRule="auto"/>
        <w:jc w:val="left"/>
        <w:rPr>
          <w:rFonts w:ascii="Arial"/>
          <w:sz w:val="20"/>
        </w:rPr>
        <w:sectPr>
          <w:footerReference w:type="default" r:id="rId96"/>
          <w:pgSz w:w="20160" w:h="12240" w:orient="landscape"/>
          <w:pgMar w:footer="0" w:header="0" w:top="340" w:bottom="0" w:left="380" w:right="120"/>
        </w:sectPr>
      </w:pPr>
    </w:p>
    <w:p>
      <w:pPr>
        <w:tabs>
          <w:tab w:pos="3347" w:val="left" w:leader="none"/>
        </w:tabs>
        <w:spacing w:before="11"/>
        <w:ind w:left="223" w:right="0" w:firstLine="0"/>
        <w:jc w:val="left"/>
        <w:rPr>
          <w:rFonts w:ascii="Times New Roman"/>
          <w:sz w:val="17"/>
        </w:rPr>
      </w:pPr>
      <w:r>
        <w:rPr/>
        <w:drawing>
          <wp:anchor distT="0" distB="0" distL="0" distR="0" allowOverlap="1" layoutInCell="1" locked="0" behindDoc="0" simplePos="0" relativeHeight="15793152">
            <wp:simplePos x="0" y="0"/>
            <wp:positionH relativeFrom="page">
              <wp:posOffset>2713955</wp:posOffset>
            </wp:positionH>
            <wp:positionV relativeFrom="paragraph">
              <wp:posOffset>78516</wp:posOffset>
            </wp:positionV>
            <wp:extent cx="214306" cy="104140"/>
            <wp:effectExtent l="0" t="0" r="0" b="0"/>
            <wp:wrapNone/>
            <wp:docPr id="212" name="Image 212"/>
            <wp:cNvGraphicFramePr>
              <a:graphicFrameLocks/>
            </wp:cNvGraphicFramePr>
            <a:graphic>
              <a:graphicData uri="http://schemas.openxmlformats.org/drawingml/2006/picture">
                <pic:pic>
                  <pic:nvPicPr>
                    <pic:cNvPr id="212" name="Image 212"/>
                    <pic:cNvPicPr/>
                  </pic:nvPicPr>
                  <pic:blipFill>
                    <a:blip r:embed="rId100" cstate="print"/>
                    <a:stretch>
                      <a:fillRect/>
                    </a:stretch>
                  </pic:blipFill>
                  <pic:spPr>
                    <a:xfrm>
                      <a:off x="0" y="0"/>
                      <a:ext cx="214306" cy="104140"/>
                    </a:xfrm>
                    <a:prstGeom prst="rect">
                      <a:avLst/>
                    </a:prstGeom>
                  </pic:spPr>
                </pic:pic>
              </a:graphicData>
            </a:graphic>
          </wp:anchor>
        </w:drawing>
      </w:r>
      <w:r>
        <w:rPr>
          <w:rFonts w:ascii="Times New Roman"/>
          <w:b/>
          <w:color w:val="363133"/>
          <w:spacing w:val="-2"/>
          <w:w w:val="110"/>
          <w:sz w:val="19"/>
        </w:rPr>
        <w:t>Albanian</w:t>
      </w:r>
      <w:r>
        <w:rPr>
          <w:rFonts w:ascii="Times New Roman"/>
          <w:b/>
          <w:color w:val="363133"/>
          <w:sz w:val="19"/>
        </w:rPr>
        <w:tab/>
      </w:r>
      <w:r>
        <w:rPr>
          <w:rFonts w:ascii="Times New Roman"/>
          <w:color w:val="363133"/>
          <w:spacing w:val="-2"/>
          <w:w w:val="110"/>
          <w:sz w:val="17"/>
        </w:rPr>
        <w:t>Shqip</w:t>
      </w:r>
    </w:p>
    <w:p>
      <w:pPr>
        <w:spacing w:line="247" w:lineRule="auto" w:before="11"/>
        <w:ind w:left="216" w:right="0" w:hanging="1"/>
        <w:jc w:val="left"/>
        <w:rPr>
          <w:rFonts w:ascii="Times New Roman"/>
          <w:sz w:val="17"/>
        </w:rPr>
      </w:pPr>
      <w:r>
        <w:rPr>
          <w:rFonts w:ascii="Times New Roman"/>
          <w:color w:val="363133"/>
          <w:w w:val="105"/>
          <w:sz w:val="17"/>
        </w:rPr>
        <w:t>Tregoni me</w:t>
      </w:r>
      <w:r>
        <w:rPr>
          <w:rFonts w:ascii="Times New Roman"/>
          <w:color w:val="363133"/>
          <w:spacing w:val="-5"/>
          <w:w w:val="105"/>
          <w:sz w:val="17"/>
        </w:rPr>
        <w:t> </w:t>
      </w:r>
      <w:r>
        <w:rPr>
          <w:rFonts w:ascii="Times New Roman"/>
          <w:color w:val="363133"/>
          <w:w w:val="105"/>
          <w:sz w:val="17"/>
        </w:rPr>
        <w:t>gisht gjuhen tuaj.</w:t>
      </w:r>
      <w:r>
        <w:rPr>
          <w:rFonts w:ascii="Times New Roman"/>
          <w:color w:val="363133"/>
          <w:spacing w:val="-1"/>
          <w:w w:val="105"/>
          <w:sz w:val="17"/>
        </w:rPr>
        <w:t> </w:t>
      </w:r>
      <w:r>
        <w:rPr>
          <w:rFonts w:ascii="Times New Roman"/>
          <w:color w:val="363133"/>
          <w:w w:val="105"/>
          <w:sz w:val="17"/>
        </w:rPr>
        <w:t>Dote therrasim</w:t>
      </w:r>
      <w:r>
        <w:rPr>
          <w:rFonts w:ascii="Times New Roman"/>
          <w:color w:val="363133"/>
          <w:w w:val="105"/>
          <w:sz w:val="17"/>
        </w:rPr>
        <w:t> </w:t>
      </w:r>
      <w:r>
        <w:rPr>
          <w:rFonts w:ascii="Times New Roman"/>
          <w:color w:val="262123"/>
          <w:w w:val="105"/>
          <w:sz w:val="17"/>
        </w:rPr>
        <w:t>nje </w:t>
      </w:r>
      <w:r>
        <w:rPr>
          <w:rFonts w:ascii="Times New Roman"/>
          <w:color w:val="363133"/>
          <w:w w:val="105"/>
          <w:sz w:val="17"/>
        </w:rPr>
        <w:t>perkthyes.</w:t>
      </w:r>
      <w:r>
        <w:rPr>
          <w:rFonts w:ascii="Times New Roman"/>
          <w:color w:val="363133"/>
          <w:spacing w:val="40"/>
          <w:w w:val="105"/>
          <w:sz w:val="17"/>
        </w:rPr>
        <w:t> </w:t>
      </w:r>
      <w:r>
        <w:rPr>
          <w:rFonts w:ascii="Times New Roman"/>
          <w:color w:val="363133"/>
          <w:w w:val="105"/>
          <w:sz w:val="17"/>
        </w:rPr>
        <w:t>Perkthyesi do te merret falas per ju.</w:t>
      </w:r>
    </w:p>
    <w:p>
      <w:pPr>
        <w:pStyle w:val="BodyText"/>
        <w:spacing w:before="10"/>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13" name="Group 213"/>
                <wp:cNvGraphicFramePr>
                  <a:graphicFrameLocks/>
                </wp:cNvGraphicFramePr>
                <a:graphic>
                  <a:graphicData uri="http://schemas.microsoft.com/office/word/2010/wordprocessingGroup">
                    <wpg:wgp>
                      <wpg:cNvPr id="213" name="Group 213"/>
                      <wpg:cNvGrpSpPr/>
                      <wpg:grpSpPr>
                        <a:xfrm>
                          <a:off x="0" y="0"/>
                          <a:ext cx="2616200" cy="3175"/>
                          <a:chExt cx="2616200" cy="3175"/>
                        </a:xfrm>
                      </wpg:grpSpPr>
                      <wps:wsp>
                        <wps:cNvPr id="214" name="Graphic 214"/>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64" coordorigin="0,0" coordsize="4120,5">
                <v:shape style="position:absolute;left:0;top:2;width:4120;height:2" id="docshape165"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136" w:val="left" w:leader="none"/>
        </w:tabs>
        <w:spacing w:before="15"/>
        <w:ind w:left="221" w:right="0" w:firstLine="0"/>
        <w:jc w:val="left"/>
        <w:rPr>
          <w:rFonts w:ascii="Times New Roman"/>
          <w:sz w:val="17"/>
        </w:rPr>
      </w:pPr>
      <w:r>
        <w:rPr/>
        <w:br w:type="column"/>
      </w:r>
      <w:r>
        <w:rPr>
          <w:rFonts w:ascii="Times New Roman"/>
          <w:b/>
          <w:color w:val="262123"/>
          <w:spacing w:val="-2"/>
          <w:w w:val="115"/>
          <w:sz w:val="19"/>
        </w:rPr>
        <w:t>Icelandic</w:t>
      </w:r>
      <w:r>
        <w:rPr>
          <w:rFonts w:ascii="Times New Roman"/>
          <w:b/>
          <w:color w:val="262123"/>
          <w:sz w:val="19"/>
        </w:rPr>
        <w:tab/>
      </w:r>
      <w:r>
        <w:rPr>
          <w:rFonts w:ascii="Times New Roman"/>
          <w:color w:val="363133"/>
          <w:spacing w:val="-2"/>
          <w:w w:val="115"/>
          <w:sz w:val="17"/>
        </w:rPr>
        <w:t>islenska</w:t>
      </w:r>
    </w:p>
    <w:p>
      <w:pPr>
        <w:spacing w:before="2"/>
        <w:ind w:left="215" w:right="8" w:firstLine="2"/>
        <w:jc w:val="left"/>
        <w:rPr>
          <w:rFonts w:ascii="Times New Roman"/>
          <w:sz w:val="17"/>
        </w:rPr>
      </w:pPr>
      <w:r>
        <w:rPr/>
        <w:drawing>
          <wp:anchor distT="0" distB="0" distL="0" distR="0" allowOverlap="1" layoutInCell="1" locked="0" behindDoc="0" simplePos="0" relativeHeight="15800320">
            <wp:simplePos x="0" y="0"/>
            <wp:positionH relativeFrom="page">
              <wp:posOffset>5878054</wp:posOffset>
            </wp:positionH>
            <wp:positionV relativeFrom="paragraph">
              <wp:posOffset>-70324</wp:posOffset>
            </wp:positionV>
            <wp:extent cx="214306" cy="104140"/>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100" cstate="print"/>
                    <a:stretch>
                      <a:fillRect/>
                    </a:stretch>
                  </pic:blipFill>
                  <pic:spPr>
                    <a:xfrm>
                      <a:off x="0" y="0"/>
                      <a:ext cx="214306" cy="104140"/>
                    </a:xfrm>
                    <a:prstGeom prst="rect">
                      <a:avLst/>
                    </a:prstGeom>
                  </pic:spPr>
                </pic:pic>
              </a:graphicData>
            </a:graphic>
          </wp:anchor>
        </w:drawing>
      </w:r>
      <w:r>
        <w:rPr/>
        <w:drawing>
          <wp:anchor distT="0" distB="0" distL="0" distR="0" allowOverlap="1" layoutInCell="1" locked="0" behindDoc="0" simplePos="0" relativeHeight="15800832">
            <wp:simplePos x="0" y="0"/>
            <wp:positionH relativeFrom="page">
              <wp:posOffset>5878054</wp:posOffset>
            </wp:positionH>
            <wp:positionV relativeFrom="paragraph">
              <wp:posOffset>369735</wp:posOffset>
            </wp:positionV>
            <wp:extent cx="214306" cy="104140"/>
            <wp:effectExtent l="0" t="0" r="0" b="0"/>
            <wp:wrapNone/>
            <wp:docPr id="216" name="Image 216"/>
            <wp:cNvGraphicFramePr>
              <a:graphicFrameLocks/>
            </wp:cNvGraphicFramePr>
            <a:graphic>
              <a:graphicData uri="http://schemas.openxmlformats.org/drawingml/2006/picture">
                <pic:pic>
                  <pic:nvPicPr>
                    <pic:cNvPr id="216" name="Image 216"/>
                    <pic:cNvPicPr/>
                  </pic:nvPicPr>
                  <pic:blipFill>
                    <a:blip r:embed="rId101" cstate="print"/>
                    <a:stretch>
                      <a:fillRect/>
                    </a:stretch>
                  </pic:blipFill>
                  <pic:spPr>
                    <a:xfrm>
                      <a:off x="0" y="0"/>
                      <a:ext cx="214306" cy="104140"/>
                    </a:xfrm>
                    <a:prstGeom prst="rect">
                      <a:avLst/>
                    </a:prstGeom>
                  </pic:spPr>
                </pic:pic>
              </a:graphicData>
            </a:graphic>
          </wp:anchor>
        </w:drawing>
      </w:r>
      <w:r>
        <w:rPr>
          <w:rFonts w:ascii="Times New Roman"/>
          <w:color w:val="363133"/>
          <w:w w:val="105"/>
          <w:sz w:val="17"/>
        </w:rPr>
        <w:t>Bentu</w:t>
      </w:r>
      <w:r>
        <w:rPr>
          <w:rFonts w:ascii="Times New Roman"/>
          <w:color w:val="363133"/>
          <w:spacing w:val="-4"/>
          <w:w w:val="105"/>
          <w:sz w:val="17"/>
        </w:rPr>
        <w:t> </w:t>
      </w:r>
      <w:r>
        <w:rPr>
          <w:rFonts w:ascii="Times New Roman"/>
          <w:color w:val="363133"/>
          <w:w w:val="105"/>
          <w:sz w:val="17"/>
        </w:rPr>
        <w:t>a</w:t>
      </w:r>
      <w:r>
        <w:rPr>
          <w:rFonts w:ascii="Times New Roman"/>
          <w:color w:val="363133"/>
          <w:spacing w:val="-12"/>
          <w:w w:val="105"/>
          <w:sz w:val="17"/>
        </w:rPr>
        <w:t> </w:t>
      </w:r>
      <w:r>
        <w:rPr>
          <w:rFonts w:ascii="Times New Roman"/>
          <w:color w:val="363133"/>
          <w:w w:val="105"/>
          <w:sz w:val="17"/>
        </w:rPr>
        <w:t>pitt</w:t>
      </w:r>
      <w:r>
        <w:rPr>
          <w:rFonts w:ascii="Times New Roman"/>
          <w:color w:val="363133"/>
          <w:spacing w:val="-9"/>
          <w:w w:val="105"/>
          <w:sz w:val="17"/>
        </w:rPr>
        <w:t> </w:t>
      </w:r>
      <w:r>
        <w:rPr>
          <w:rFonts w:ascii="Times New Roman"/>
          <w:color w:val="363133"/>
          <w:w w:val="105"/>
          <w:sz w:val="17"/>
        </w:rPr>
        <w:t>tungumal.</w:t>
      </w:r>
      <w:r>
        <w:rPr>
          <w:rFonts w:ascii="Times New Roman"/>
          <w:color w:val="363133"/>
          <w:spacing w:val="-7"/>
          <w:w w:val="105"/>
          <w:sz w:val="17"/>
        </w:rPr>
        <w:t> </w:t>
      </w:r>
      <w:r>
        <w:rPr>
          <w:rFonts w:ascii="Times New Roman"/>
          <w:color w:val="363133"/>
          <w:w w:val="105"/>
          <w:sz w:val="17"/>
        </w:rPr>
        <w:t>l&gt;ao</w:t>
      </w:r>
      <w:r>
        <w:rPr>
          <w:rFonts w:ascii="Times New Roman"/>
          <w:color w:val="363133"/>
          <w:spacing w:val="-8"/>
          <w:w w:val="105"/>
          <w:sz w:val="17"/>
        </w:rPr>
        <w:t> </w:t>
      </w:r>
      <w:r>
        <w:rPr>
          <w:rFonts w:ascii="Times New Roman"/>
          <w:color w:val="363133"/>
          <w:w w:val="105"/>
          <w:sz w:val="17"/>
        </w:rPr>
        <w:t>verour</w:t>
      </w:r>
      <w:r>
        <w:rPr>
          <w:rFonts w:ascii="Times New Roman"/>
          <w:color w:val="363133"/>
          <w:spacing w:val="-5"/>
          <w:w w:val="105"/>
          <w:sz w:val="17"/>
        </w:rPr>
        <w:t> </w:t>
      </w:r>
      <w:r>
        <w:rPr>
          <w:rFonts w:ascii="Times New Roman"/>
          <w:color w:val="363133"/>
          <w:w w:val="105"/>
          <w:sz w:val="17"/>
        </w:rPr>
        <w:t>hringt</w:t>
      </w:r>
      <w:r>
        <w:rPr>
          <w:rFonts w:ascii="Times New Roman"/>
          <w:color w:val="363133"/>
          <w:spacing w:val="-4"/>
          <w:w w:val="105"/>
          <w:sz w:val="17"/>
        </w:rPr>
        <w:t> </w:t>
      </w:r>
      <w:r>
        <w:rPr>
          <w:rFonts w:ascii="Times New Roman"/>
          <w:color w:val="363133"/>
          <w:w w:val="105"/>
          <w:sz w:val="17"/>
        </w:rPr>
        <w:t>i</w:t>
      </w:r>
      <w:r>
        <w:rPr>
          <w:rFonts w:ascii="Times New Roman"/>
          <w:color w:val="363133"/>
          <w:spacing w:val="-10"/>
          <w:w w:val="105"/>
          <w:sz w:val="17"/>
        </w:rPr>
        <w:t> </w:t>
      </w:r>
      <w:r>
        <w:rPr>
          <w:rFonts w:ascii="Times New Roman"/>
          <w:color w:val="363133"/>
          <w:w w:val="105"/>
          <w:sz w:val="17"/>
        </w:rPr>
        <w:t>tulk. Tulkurinn</w:t>
      </w:r>
      <w:r>
        <w:rPr>
          <w:rFonts w:ascii="Times New Roman"/>
          <w:color w:val="363133"/>
          <w:w w:val="105"/>
          <w:sz w:val="17"/>
        </w:rPr>
        <w:t> er per ao kostnaoarlausu.</w:t>
      </w:r>
    </w:p>
    <w:p>
      <w:pPr>
        <w:pStyle w:val="BodyText"/>
        <w:spacing w:before="4"/>
        <w:rPr>
          <w:rFonts w:ascii="Times New Roman"/>
          <w:sz w:val="6"/>
        </w:rPr>
      </w:pPr>
    </w:p>
    <w:p>
      <w:pPr>
        <w:pStyle w:val="BodyText"/>
        <w:spacing w:line="20" w:lineRule="exact"/>
        <w:ind w:left="147" w:right="-72"/>
        <w:rPr>
          <w:rFonts w:ascii="Times New Roman"/>
          <w:sz w:val="2"/>
        </w:rPr>
      </w:pPr>
      <w:r>
        <w:rPr>
          <w:rFonts w:ascii="Times New Roman"/>
          <w:sz w:val="2"/>
        </w:rPr>
        <mc:AlternateContent>
          <mc:Choice Requires="wps">
            <w:drawing>
              <wp:inline distT="0" distB="0" distL="0" distR="0">
                <wp:extent cx="2616200" cy="3175"/>
                <wp:effectExtent l="9525" t="0" r="0" b="6350"/>
                <wp:docPr id="217" name="Group 217"/>
                <wp:cNvGraphicFramePr>
                  <a:graphicFrameLocks/>
                </wp:cNvGraphicFramePr>
                <a:graphic>
                  <a:graphicData uri="http://schemas.microsoft.com/office/word/2010/wordprocessingGroup">
                    <wpg:wgp>
                      <wpg:cNvPr id="217" name="Group 217"/>
                      <wpg:cNvGrpSpPr/>
                      <wpg:grpSpPr>
                        <a:xfrm>
                          <a:off x="0" y="0"/>
                          <a:ext cx="2616200" cy="3175"/>
                          <a:chExt cx="2616200" cy="3175"/>
                        </a:xfrm>
                      </wpg:grpSpPr>
                      <wps:wsp>
                        <wps:cNvPr id="218" name="Graphic 21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66" coordorigin="0,0" coordsize="4120,5">
                <v:shape style="position:absolute;left:0;top:2;width:4120;height:2" id="docshape167"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681" w:val="left" w:leader="none"/>
        </w:tabs>
        <w:spacing w:before="15"/>
        <w:ind w:left="228" w:right="0" w:firstLine="0"/>
        <w:jc w:val="left"/>
        <w:rPr>
          <w:rFonts w:ascii="Times New Roman"/>
          <w:sz w:val="17"/>
        </w:rPr>
      </w:pPr>
      <w:r>
        <w:rPr/>
        <w:br w:type="column"/>
      </w:r>
      <w:r>
        <w:rPr>
          <w:rFonts w:ascii="Times New Roman"/>
          <w:b/>
          <w:color w:val="262123"/>
          <w:spacing w:val="-2"/>
          <w:w w:val="110"/>
          <w:sz w:val="19"/>
        </w:rPr>
        <w:t>Fijian</w:t>
      </w:r>
      <w:r>
        <w:rPr>
          <w:rFonts w:ascii="Times New Roman"/>
          <w:b/>
          <w:color w:val="262123"/>
          <w:sz w:val="19"/>
        </w:rPr>
        <w:tab/>
      </w:r>
      <w:r>
        <w:rPr>
          <w:rFonts w:ascii="Times New Roman"/>
          <w:color w:val="363133"/>
          <w:w w:val="110"/>
          <w:sz w:val="17"/>
        </w:rPr>
        <w:t>Vosa</w:t>
      </w:r>
      <w:r>
        <w:rPr>
          <w:rFonts w:ascii="Times New Roman"/>
          <w:color w:val="363133"/>
          <w:spacing w:val="2"/>
          <w:w w:val="110"/>
          <w:sz w:val="17"/>
        </w:rPr>
        <w:t> </w:t>
      </w:r>
      <w:r>
        <w:rPr>
          <w:rFonts w:ascii="Times New Roman"/>
          <w:color w:val="363133"/>
          <w:spacing w:val="-2"/>
          <w:w w:val="110"/>
          <w:sz w:val="17"/>
        </w:rPr>
        <w:t>Vakaviti</w:t>
      </w:r>
    </w:p>
    <w:p>
      <w:pPr>
        <w:spacing w:before="7"/>
        <w:ind w:left="221" w:right="0" w:hanging="7"/>
        <w:jc w:val="left"/>
        <w:rPr>
          <w:rFonts w:ascii="Times New Roman"/>
          <w:sz w:val="17"/>
        </w:rPr>
      </w:pPr>
      <w:r>
        <w:rPr/>
        <w:drawing>
          <wp:anchor distT="0" distB="0" distL="0" distR="0" allowOverlap="1" layoutInCell="1" locked="0" behindDoc="0" simplePos="0" relativeHeight="15807488">
            <wp:simplePos x="0" y="0"/>
            <wp:positionH relativeFrom="page">
              <wp:posOffset>9053054</wp:posOffset>
            </wp:positionH>
            <wp:positionV relativeFrom="paragraph">
              <wp:posOffset>-70203</wp:posOffset>
            </wp:positionV>
            <wp:extent cx="214299" cy="104140"/>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102" cstate="print"/>
                    <a:stretch>
                      <a:fillRect/>
                    </a:stretch>
                  </pic:blipFill>
                  <pic:spPr>
                    <a:xfrm>
                      <a:off x="0" y="0"/>
                      <a:ext cx="214299" cy="104140"/>
                    </a:xfrm>
                    <a:prstGeom prst="rect">
                      <a:avLst/>
                    </a:prstGeom>
                  </pic:spPr>
                </pic:pic>
              </a:graphicData>
            </a:graphic>
          </wp:anchor>
        </w:drawing>
      </w:r>
      <w:r>
        <w:rPr/>
        <w:drawing>
          <wp:anchor distT="0" distB="0" distL="0" distR="0" allowOverlap="1" layoutInCell="1" locked="0" behindDoc="0" simplePos="0" relativeHeight="15808000">
            <wp:simplePos x="0" y="0"/>
            <wp:positionH relativeFrom="page">
              <wp:posOffset>9053054</wp:posOffset>
            </wp:positionH>
            <wp:positionV relativeFrom="paragraph">
              <wp:posOffset>369856</wp:posOffset>
            </wp:positionV>
            <wp:extent cx="214299" cy="104140"/>
            <wp:effectExtent l="0" t="0" r="0" b="0"/>
            <wp:wrapNone/>
            <wp:docPr id="220" name="Image 220"/>
            <wp:cNvGraphicFramePr>
              <a:graphicFrameLocks/>
            </wp:cNvGraphicFramePr>
            <a:graphic>
              <a:graphicData uri="http://schemas.openxmlformats.org/drawingml/2006/picture">
                <pic:pic>
                  <pic:nvPicPr>
                    <pic:cNvPr id="220" name="Image 220"/>
                    <pic:cNvPicPr/>
                  </pic:nvPicPr>
                  <pic:blipFill>
                    <a:blip r:embed="rId103" cstate="print"/>
                    <a:stretch>
                      <a:fillRect/>
                    </a:stretch>
                  </pic:blipFill>
                  <pic:spPr>
                    <a:xfrm>
                      <a:off x="0" y="0"/>
                      <a:ext cx="214299" cy="104140"/>
                    </a:xfrm>
                    <a:prstGeom prst="rect">
                      <a:avLst/>
                    </a:prstGeom>
                  </pic:spPr>
                </pic:pic>
              </a:graphicData>
            </a:graphic>
          </wp:anchor>
        </w:drawing>
      </w:r>
      <w:r>
        <w:rPr>
          <w:rFonts w:ascii="Times New Roman"/>
          <w:color w:val="363133"/>
          <w:sz w:val="17"/>
        </w:rPr>
        <w:t>Dusia na nomu vosa. Nina vakarautaki</w:t>
      </w:r>
      <w:r>
        <w:rPr>
          <w:rFonts w:ascii="Times New Roman"/>
          <w:color w:val="363133"/>
          <w:spacing w:val="21"/>
          <w:sz w:val="17"/>
        </w:rPr>
        <w:t> </w:t>
      </w:r>
      <w:r>
        <w:rPr>
          <w:rFonts w:ascii="Times New Roman"/>
          <w:color w:val="363133"/>
          <w:sz w:val="17"/>
        </w:rPr>
        <w:t>mai e</w:t>
      </w:r>
      <w:r>
        <w:rPr>
          <w:rFonts w:ascii="Times New Roman"/>
          <w:color w:val="363133"/>
          <w:spacing w:val="-7"/>
          <w:sz w:val="17"/>
        </w:rPr>
        <w:t> </w:t>
      </w:r>
      <w:r>
        <w:rPr>
          <w:rFonts w:ascii="Times New Roman"/>
          <w:color w:val="363133"/>
          <w:sz w:val="17"/>
        </w:rPr>
        <w:t>dua na dau vakadewa vosa.</w:t>
      </w:r>
      <w:r>
        <w:rPr>
          <w:rFonts w:ascii="Times New Roman"/>
          <w:color w:val="363133"/>
          <w:spacing w:val="39"/>
          <w:sz w:val="17"/>
        </w:rPr>
        <w:t> </w:t>
      </w:r>
      <w:r>
        <w:rPr>
          <w:rFonts w:ascii="Times New Roman"/>
          <w:color w:val="494646"/>
          <w:sz w:val="17"/>
        </w:rPr>
        <w:t>Na </w:t>
      </w:r>
      <w:r>
        <w:rPr>
          <w:rFonts w:ascii="Times New Roman"/>
          <w:color w:val="363133"/>
          <w:sz w:val="17"/>
        </w:rPr>
        <w:t>dau vakadewa vosa e</w:t>
      </w:r>
      <w:r>
        <w:rPr>
          <w:rFonts w:ascii="Times New Roman"/>
          <w:color w:val="363133"/>
          <w:spacing w:val="-11"/>
          <w:sz w:val="17"/>
        </w:rPr>
        <w:t> </w:t>
      </w:r>
      <w:r>
        <w:rPr>
          <w:rFonts w:ascii="Times New Roman"/>
          <w:color w:val="363133"/>
          <w:sz w:val="17"/>
        </w:rPr>
        <w:t>sega ni</w:t>
      </w:r>
      <w:r>
        <w:rPr>
          <w:rFonts w:ascii="Times New Roman"/>
          <w:color w:val="363133"/>
          <w:spacing w:val="-2"/>
          <w:sz w:val="17"/>
        </w:rPr>
        <w:t> </w:t>
      </w:r>
      <w:r>
        <w:rPr>
          <w:rFonts w:ascii="Times New Roman"/>
          <w:color w:val="363133"/>
          <w:sz w:val="17"/>
        </w:rPr>
        <w:t>saumi.</w:t>
      </w:r>
    </w:p>
    <w:p>
      <w:pPr>
        <w:pStyle w:val="BodyText"/>
        <w:spacing w:before="11"/>
        <w:rPr>
          <w:rFonts w:ascii="Times New Roman"/>
          <w:sz w:val="5"/>
        </w:rPr>
      </w:pPr>
    </w:p>
    <w:p>
      <w:pPr>
        <w:pStyle w:val="BodyText"/>
        <w:spacing w:line="20" w:lineRule="exact"/>
        <w:ind w:left="110" w:right="-72"/>
        <w:rPr>
          <w:rFonts w:ascii="Times New Roman"/>
          <w:sz w:val="2"/>
        </w:rPr>
      </w:pPr>
      <w:r>
        <w:rPr>
          <w:rFonts w:ascii="Times New Roman"/>
          <w:sz w:val="2"/>
        </w:rPr>
        <mc:AlternateContent>
          <mc:Choice Requires="wps">
            <w:drawing>
              <wp:inline distT="0" distB="0" distL="0" distR="0">
                <wp:extent cx="2616200" cy="3175"/>
                <wp:effectExtent l="9525" t="0" r="0" b="6350"/>
                <wp:docPr id="221" name="Group 221"/>
                <wp:cNvGraphicFramePr>
                  <a:graphicFrameLocks/>
                </wp:cNvGraphicFramePr>
                <a:graphic>
                  <a:graphicData uri="http://schemas.microsoft.com/office/word/2010/wordprocessingGroup">
                    <wpg:wgp>
                      <wpg:cNvPr id="221" name="Group 221"/>
                      <wpg:cNvGrpSpPr/>
                      <wpg:grpSpPr>
                        <a:xfrm>
                          <a:off x="0" y="0"/>
                          <a:ext cx="2616200" cy="3175"/>
                          <a:chExt cx="2616200" cy="3175"/>
                        </a:xfrm>
                      </wpg:grpSpPr>
                      <wps:wsp>
                        <wps:cNvPr id="222" name="Graphic 22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68" coordorigin="0,0" coordsize="4120,5">
                <v:shape style="position:absolute;left:0;top:2;width:4120;height:2" id="docshape169" coordorigin="0,3" coordsize="4120,0" path="m0,3l644,3,2060,3,3476,3,4120,3e" filled="false" stroked="true" strokeweight=".25pt" strokecolor="#231f20">
                  <v:path arrowok="t"/>
                  <v:stroke dashstyle="solid"/>
                </v:shape>
              </v:group>
            </w:pict>
          </mc:Fallback>
        </mc:AlternateContent>
      </w:r>
      <w:r>
        <w:rPr>
          <w:rFonts w:ascii="Times New Roman"/>
          <w:sz w:val="2"/>
        </w:rPr>
      </w:r>
    </w:p>
    <w:p>
      <w:pPr>
        <w:pStyle w:val="Heading1"/>
        <w:spacing w:line="498" w:lineRule="exact" w:before="237"/>
        <w:ind w:left="215"/>
      </w:pPr>
      <w:r>
        <w:rPr>
          <w:b w:val="0"/>
        </w:rPr>
        <w:br w:type="column"/>
      </w:r>
      <w:r>
        <w:rPr>
          <w:color w:val="262123"/>
          <w:spacing w:val="-2"/>
        </w:rPr>
        <w:t>Language</w:t>
      </w:r>
    </w:p>
    <w:p>
      <w:pPr>
        <w:spacing w:after="0" w:line="498" w:lineRule="exact"/>
        <w:sectPr>
          <w:type w:val="continuous"/>
          <w:pgSz w:w="20160" w:h="12240" w:orient="landscape"/>
          <w:pgMar w:header="0" w:footer="0" w:top="1820" w:bottom="280" w:left="380" w:right="120"/>
          <w:cols w:num="4" w:equalWidth="0">
            <w:col w:w="4272" w:space="720"/>
            <w:col w:w="4263" w:space="775"/>
            <w:col w:w="4225" w:space="681"/>
            <w:col w:w="4724"/>
          </w:cols>
        </w:sectPr>
      </w:pPr>
    </w:p>
    <w:p>
      <w:pPr>
        <w:tabs>
          <w:tab w:pos="3207" w:val="left" w:leader="none"/>
        </w:tabs>
        <w:spacing w:line="135" w:lineRule="exact" w:before="2"/>
        <w:ind w:left="204" w:right="0" w:firstLine="0"/>
        <w:jc w:val="left"/>
        <w:rPr>
          <w:rFonts w:ascii="Times New Roman"/>
          <w:sz w:val="17"/>
        </w:rPr>
      </w:pPr>
      <w:r>
        <w:rPr/>
        <w:drawing>
          <wp:anchor distT="0" distB="0" distL="0" distR="0" allowOverlap="1" layoutInCell="1" locked="0" behindDoc="0" simplePos="0" relativeHeight="15793664">
            <wp:simplePos x="0" y="0"/>
            <wp:positionH relativeFrom="page">
              <wp:posOffset>2713955</wp:posOffset>
            </wp:positionH>
            <wp:positionV relativeFrom="paragraph">
              <wp:posOffset>51892</wp:posOffset>
            </wp:positionV>
            <wp:extent cx="214306" cy="104140"/>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101" cstate="print"/>
                    <a:stretch>
                      <a:fillRect/>
                    </a:stretch>
                  </pic:blipFill>
                  <pic:spPr>
                    <a:xfrm>
                      <a:off x="0" y="0"/>
                      <a:ext cx="214306" cy="104140"/>
                    </a:xfrm>
                    <a:prstGeom prst="rect">
                      <a:avLst/>
                    </a:prstGeom>
                  </pic:spPr>
                </pic:pic>
              </a:graphicData>
            </a:graphic>
          </wp:anchor>
        </w:drawing>
      </w:r>
      <w:r>
        <w:rPr>
          <w:rFonts w:ascii="Times New Roman"/>
          <w:b/>
          <w:color w:val="363133"/>
          <w:spacing w:val="-2"/>
          <w:sz w:val="19"/>
        </w:rPr>
        <w:t>Armenian</w:t>
      </w:r>
      <w:r>
        <w:rPr>
          <w:rFonts w:ascii="Times New Roman"/>
          <w:b/>
          <w:color w:val="363133"/>
          <w:sz w:val="19"/>
        </w:rPr>
        <w:tab/>
      </w:r>
      <w:r>
        <w:rPr>
          <w:rFonts w:ascii="Times New Roman"/>
          <w:color w:val="262123"/>
          <w:spacing w:val="-2"/>
          <w:sz w:val="17"/>
        </w:rPr>
        <w:t>"lwJb17tCi</w:t>
      </w:r>
    </w:p>
    <w:p>
      <w:pPr>
        <w:tabs>
          <w:tab w:pos="3154" w:val="left" w:leader="none"/>
        </w:tabs>
        <w:spacing w:line="137" w:lineRule="exact" w:before="0"/>
        <w:ind w:left="204" w:right="0" w:firstLine="0"/>
        <w:jc w:val="left"/>
        <w:rPr>
          <w:rFonts w:ascii="Times New Roman"/>
          <w:sz w:val="17"/>
        </w:rPr>
      </w:pPr>
      <w:r>
        <w:rPr/>
        <w:br w:type="column"/>
      </w:r>
      <w:r>
        <w:rPr>
          <w:rFonts w:ascii="Times New Roman"/>
          <w:b/>
          <w:color w:val="262123"/>
          <w:spacing w:val="-2"/>
          <w:w w:val="115"/>
          <w:sz w:val="19"/>
        </w:rPr>
        <w:t>Italian</w:t>
      </w:r>
      <w:r>
        <w:rPr>
          <w:rFonts w:ascii="Times New Roman"/>
          <w:b/>
          <w:color w:val="262123"/>
          <w:sz w:val="19"/>
        </w:rPr>
        <w:tab/>
      </w:r>
      <w:r>
        <w:rPr>
          <w:rFonts w:ascii="Times New Roman"/>
          <w:color w:val="363133"/>
          <w:spacing w:val="-2"/>
          <w:w w:val="115"/>
          <w:sz w:val="17"/>
        </w:rPr>
        <w:t>Italiano</w:t>
      </w:r>
    </w:p>
    <w:p>
      <w:pPr>
        <w:spacing w:line="137" w:lineRule="exact" w:before="0"/>
        <w:ind w:left="204" w:right="0" w:firstLine="0"/>
        <w:jc w:val="left"/>
        <w:rPr>
          <w:rFonts w:ascii="Times New Roman"/>
          <w:b/>
          <w:sz w:val="19"/>
        </w:rPr>
      </w:pPr>
      <w:r>
        <w:rPr/>
        <w:br w:type="column"/>
      </w:r>
      <w:r>
        <w:rPr>
          <w:rFonts w:ascii="Times New Roman"/>
          <w:b/>
          <w:color w:val="363133"/>
          <w:spacing w:val="-2"/>
          <w:w w:val="110"/>
          <w:sz w:val="19"/>
        </w:rPr>
        <w:t>Ilocano</w:t>
      </w:r>
    </w:p>
    <w:p>
      <w:pPr>
        <w:spacing w:line="116" w:lineRule="exact" w:before="20"/>
        <w:ind w:left="204" w:right="0" w:firstLine="0"/>
        <w:jc w:val="left"/>
        <w:rPr>
          <w:rFonts w:ascii="Times New Roman"/>
          <w:sz w:val="17"/>
        </w:rPr>
      </w:pPr>
      <w:r>
        <w:rPr/>
        <w:br w:type="column"/>
      </w:r>
      <w:r>
        <w:rPr>
          <w:rFonts w:ascii="Times New Roman"/>
          <w:color w:val="363133"/>
          <w:spacing w:val="-2"/>
          <w:w w:val="115"/>
          <w:sz w:val="17"/>
        </w:rPr>
        <w:t>Ilokano</w:t>
      </w:r>
    </w:p>
    <w:p>
      <w:pPr>
        <w:spacing w:after="0" w:line="116" w:lineRule="exact"/>
        <w:jc w:val="left"/>
        <w:rPr>
          <w:rFonts w:ascii="Times New Roman"/>
          <w:sz w:val="17"/>
        </w:rPr>
        <w:sectPr>
          <w:type w:val="continuous"/>
          <w:pgSz w:w="20160" w:h="12240" w:orient="landscape"/>
          <w:pgMar w:header="0" w:footer="0" w:top="1820" w:bottom="280" w:left="380" w:right="120"/>
          <w:cols w:num="4" w:equalWidth="0">
            <w:col w:w="4272" w:space="737"/>
            <w:col w:w="4246" w:space="799"/>
            <w:col w:w="908" w:space="2037"/>
            <w:col w:w="6661"/>
          </w:cols>
        </w:sectPr>
      </w:pPr>
    </w:p>
    <w:p>
      <w:pPr>
        <w:spacing w:line="393" w:lineRule="auto" w:before="82"/>
        <w:ind w:left="228" w:right="281" w:hanging="4"/>
        <w:jc w:val="left"/>
        <w:rPr>
          <w:rFonts w:ascii="Arial" w:hAnsi="Arial"/>
          <w:sz w:val="13"/>
        </w:rPr>
      </w:pPr>
      <w:r>
        <w:rPr/>
        <mc:AlternateContent>
          <mc:Choice Requires="wps">
            <w:drawing>
              <wp:anchor distT="0" distB="0" distL="0" distR="0" allowOverlap="1" layoutInCell="1" locked="0" behindDoc="0" simplePos="0" relativeHeight="15787008">
                <wp:simplePos x="0" y="0"/>
                <wp:positionH relativeFrom="page">
                  <wp:posOffset>330200</wp:posOffset>
                </wp:positionH>
                <wp:positionV relativeFrom="paragraph">
                  <wp:posOffset>339540</wp:posOffset>
                </wp:positionV>
                <wp:extent cx="2616200" cy="127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6pt;margin-top:26.735437pt;width:206pt;height:.1pt;mso-position-horizontal-relative:page;mso-position-vertical-relative:paragraph;z-index:15787008" id="docshape170" coordorigin="520,535" coordsize="4120,0" path="m520,535l1164,535,2580,535,3996,535,4640,535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11584">
            <wp:simplePos x="0" y="0"/>
            <wp:positionH relativeFrom="page">
              <wp:posOffset>12113704</wp:posOffset>
            </wp:positionH>
            <wp:positionV relativeFrom="paragraph">
              <wp:posOffset>-200203</wp:posOffset>
            </wp:positionV>
            <wp:extent cx="334304" cy="161290"/>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104" cstate="print"/>
                    <a:stretch>
                      <a:fillRect/>
                    </a:stretch>
                  </pic:blipFill>
                  <pic:spPr>
                    <a:xfrm>
                      <a:off x="0" y="0"/>
                      <a:ext cx="334304" cy="161290"/>
                    </a:xfrm>
                    <a:prstGeom prst="rect">
                      <a:avLst/>
                    </a:prstGeom>
                  </pic:spPr>
                </pic:pic>
              </a:graphicData>
            </a:graphic>
          </wp:anchor>
        </w:drawing>
      </w:r>
      <w:r>
        <w:rPr>
          <w:rFonts w:ascii="Arial" w:hAnsi="Arial"/>
          <w:color w:val="363133"/>
          <w:sz w:val="13"/>
        </w:rPr>
        <w:t>8nJ9</w:t>
      </w:r>
      <w:r>
        <w:rPr>
          <w:rFonts w:ascii="Arial" w:hAnsi="Arial"/>
          <w:color w:val="363133"/>
          <w:spacing w:val="35"/>
          <w:sz w:val="13"/>
        </w:rPr>
        <w:t> </w:t>
      </w:r>
      <w:r>
        <w:rPr>
          <w:rFonts w:ascii="Arial" w:hAnsi="Arial"/>
          <w:color w:val="363133"/>
          <w:sz w:val="13"/>
        </w:rPr>
        <w:t>mmtQ</w:t>
      </w:r>
      <w:r>
        <w:rPr>
          <w:rFonts w:ascii="Arial" w:hAnsi="Arial"/>
          <w:color w:val="363133"/>
          <w:spacing w:val="36"/>
          <w:sz w:val="13"/>
        </w:rPr>
        <w:t> </w:t>
      </w:r>
      <w:r>
        <w:rPr>
          <w:rFonts w:ascii="Arial" w:hAnsi="Arial"/>
          <w:color w:val="262123"/>
          <w:sz w:val="13"/>
        </w:rPr>
        <w:t>n</w:t>
      </w:r>
      <w:r>
        <w:rPr>
          <w:rFonts w:ascii="Arial" w:hAnsi="Arial"/>
          <w:color w:val="625E60"/>
          <w:sz w:val="13"/>
        </w:rPr>
        <w:t>·</w:t>
      </w:r>
      <w:r>
        <w:rPr>
          <w:rFonts w:ascii="Arial" w:hAnsi="Arial"/>
          <w:color w:val="363133"/>
          <w:sz w:val="13"/>
        </w:rPr>
        <w:t>r</w:t>
      </w:r>
      <w:r>
        <w:rPr>
          <w:rFonts w:ascii="Arial" w:hAnsi="Arial"/>
          <w:color w:val="363133"/>
          <w:spacing w:val="40"/>
          <w:sz w:val="13"/>
        </w:rPr>
        <w:t> </w:t>
      </w:r>
      <w:r>
        <w:rPr>
          <w:rFonts w:ascii="Arial" w:hAnsi="Arial"/>
          <w:color w:val="363133"/>
          <w:sz w:val="13"/>
        </w:rPr>
        <w:t>ut4</w:t>
      </w:r>
      <w:r>
        <w:rPr>
          <w:rFonts w:ascii="Arial" w:hAnsi="Arial"/>
          <w:color w:val="363133"/>
          <w:spacing w:val="35"/>
          <w:sz w:val="13"/>
        </w:rPr>
        <w:t> </w:t>
      </w:r>
      <w:r>
        <w:rPr>
          <w:rFonts w:ascii="Arial" w:hAnsi="Arial"/>
          <w:color w:val="262123"/>
          <w:sz w:val="13"/>
        </w:rPr>
        <w:t>LbqmG</w:t>
      </w:r>
      <w:r>
        <w:rPr>
          <w:rFonts w:ascii="Arial" w:hAnsi="Arial"/>
          <w:color w:val="262123"/>
          <w:spacing w:val="40"/>
          <w:sz w:val="13"/>
        </w:rPr>
        <w:t> </w:t>
      </w:r>
      <w:r>
        <w:rPr>
          <w:rFonts w:ascii="Arial" w:hAnsi="Arial"/>
          <w:color w:val="262123"/>
          <w:sz w:val="13"/>
        </w:rPr>
        <w:t>4Q</w:t>
      </w:r>
      <w:r>
        <w:rPr>
          <w:rFonts w:ascii="Arial" w:hAnsi="Arial"/>
          <w:color w:val="262123"/>
          <w:spacing w:val="40"/>
          <w:sz w:val="13"/>
        </w:rPr>
        <w:t> </w:t>
      </w:r>
      <w:r>
        <w:rPr>
          <w:rFonts w:ascii="Arial" w:hAnsi="Arial"/>
          <w:color w:val="363133"/>
          <w:sz w:val="13"/>
        </w:rPr>
        <w:t>tuout,e· lclwrquwGt,!</w:t>
      </w:r>
      <w:r>
        <w:rPr>
          <w:rFonts w:ascii="Arial" w:hAnsi="Arial"/>
          <w:color w:val="363133"/>
          <w:spacing w:val="31"/>
          <w:sz w:val="13"/>
        </w:rPr>
        <w:t> </w:t>
      </w:r>
      <w:r>
        <w:rPr>
          <w:rFonts w:ascii="Arial" w:hAnsi="Arial"/>
          <w:color w:val="363133"/>
          <w:sz w:val="13"/>
        </w:rPr>
        <w:t>LIQ</w:t>
      </w:r>
      <w:r>
        <w:rPr>
          <w:rFonts w:ascii="Arial" w:hAnsi="Arial"/>
          <w:color w:val="363133"/>
          <w:spacing w:val="40"/>
          <w:sz w:val="13"/>
        </w:rPr>
        <w:t> </w:t>
      </w:r>
      <w:r>
        <w:rPr>
          <w:rFonts w:ascii="Arial" w:hAnsi="Arial"/>
          <w:color w:val="363133"/>
          <w:sz w:val="13"/>
        </w:rPr>
        <w:t>4wG!bL</w:t>
      </w:r>
      <w:r>
        <w:rPr>
          <w:rFonts w:ascii="Arial" w:hAnsi="Arial"/>
          <w:color w:val="363133"/>
          <w:spacing w:val="33"/>
          <w:sz w:val="13"/>
        </w:rPr>
        <w:t> </w:t>
      </w:r>
      <w:r>
        <w:rPr>
          <w:rFonts w:ascii="Arial" w:hAnsi="Arial"/>
          <w:color w:val="363133"/>
          <w:sz w:val="13"/>
        </w:rPr>
        <w:t>4Q</w:t>
      </w:r>
      <w:r>
        <w:rPr>
          <w:rFonts w:ascii="Arial" w:hAnsi="Arial"/>
          <w:color w:val="363133"/>
          <w:spacing w:val="26"/>
          <w:sz w:val="13"/>
        </w:rPr>
        <w:t> </w:t>
      </w:r>
      <w:r>
        <w:rPr>
          <w:rFonts w:ascii="Arial" w:hAnsi="Arial"/>
          <w:color w:val="363133"/>
          <w:sz w:val="13"/>
        </w:rPr>
        <w:t>mwGQ.</w:t>
      </w:r>
      <w:r>
        <w:rPr>
          <w:rFonts w:ascii="Arial" w:hAnsi="Arial"/>
          <w:color w:val="363133"/>
          <w:spacing w:val="30"/>
          <w:sz w:val="13"/>
        </w:rPr>
        <w:t> </w:t>
      </w:r>
      <w:r>
        <w:rPr>
          <w:rFonts w:ascii="Arial" w:hAnsi="Arial"/>
          <w:color w:val="363133"/>
          <w:sz w:val="13"/>
        </w:rPr>
        <w:t>@wrquwGt,rn</w:t>
      </w:r>
      <w:r>
        <w:rPr>
          <w:rFonts w:ascii="Arial" w:hAnsi="Arial"/>
          <w:color w:val="363133"/>
          <w:spacing w:val="40"/>
          <w:sz w:val="13"/>
        </w:rPr>
        <w:t> </w:t>
      </w:r>
      <w:r>
        <w:rPr>
          <w:rFonts w:ascii="Arial" w:hAnsi="Arial"/>
          <w:color w:val="363133"/>
          <w:sz w:val="13"/>
        </w:rPr>
        <w:t>4Q</w:t>
      </w:r>
      <w:r>
        <w:rPr>
          <w:rFonts w:ascii="Arial" w:hAnsi="Arial"/>
          <w:color w:val="363133"/>
          <w:spacing w:val="33"/>
          <w:sz w:val="13"/>
        </w:rPr>
        <w:t> </w:t>
      </w:r>
      <w:r>
        <w:rPr>
          <w:rFonts w:ascii="Arial" w:hAnsi="Arial"/>
          <w:color w:val="262123"/>
          <w:sz w:val="13"/>
        </w:rPr>
        <w:t>mrwuwrirmt,</w:t>
      </w:r>
      <w:r>
        <w:rPr>
          <w:rFonts w:ascii="Arial" w:hAnsi="Arial"/>
          <w:color w:val="262123"/>
          <w:spacing w:val="38"/>
          <w:sz w:val="13"/>
        </w:rPr>
        <w:t> </w:t>
      </w:r>
      <w:r>
        <w:rPr>
          <w:rFonts w:ascii="Arial" w:hAnsi="Arial"/>
          <w:color w:val="363133"/>
          <w:sz w:val="13"/>
        </w:rPr>
        <w:t>wGL[6wr.</w:t>
      </w:r>
    </w:p>
    <w:p>
      <w:pPr>
        <w:spacing w:line="191" w:lineRule="exact" w:before="66"/>
        <w:ind w:left="224" w:right="0" w:firstLine="0"/>
        <w:jc w:val="left"/>
        <w:rPr>
          <w:rFonts w:ascii="Times New Roman"/>
          <w:sz w:val="17"/>
        </w:rPr>
      </w:pPr>
      <w:r>
        <w:rPr/>
        <w:br w:type="column"/>
      </w:r>
      <w:r>
        <w:rPr>
          <w:rFonts w:ascii="Times New Roman"/>
          <w:color w:val="363133"/>
          <w:w w:val="105"/>
          <w:sz w:val="17"/>
        </w:rPr>
        <w:t>Puntare sulla</w:t>
      </w:r>
      <w:r>
        <w:rPr>
          <w:rFonts w:ascii="Times New Roman"/>
          <w:color w:val="363133"/>
          <w:spacing w:val="-5"/>
          <w:w w:val="105"/>
          <w:sz w:val="17"/>
        </w:rPr>
        <w:t> </w:t>
      </w:r>
      <w:r>
        <w:rPr>
          <w:rFonts w:ascii="Times New Roman"/>
          <w:color w:val="363133"/>
          <w:w w:val="105"/>
          <w:sz w:val="17"/>
        </w:rPr>
        <w:t>propria</w:t>
      </w:r>
      <w:r>
        <w:rPr>
          <w:rFonts w:ascii="Times New Roman"/>
          <w:color w:val="363133"/>
          <w:spacing w:val="6"/>
          <w:w w:val="105"/>
          <w:sz w:val="17"/>
        </w:rPr>
        <w:t> </w:t>
      </w:r>
      <w:r>
        <w:rPr>
          <w:rFonts w:ascii="Times New Roman"/>
          <w:color w:val="363133"/>
          <w:spacing w:val="-2"/>
          <w:w w:val="105"/>
          <w:sz w:val="17"/>
        </w:rPr>
        <w:t>lingua</w:t>
      </w:r>
      <w:r>
        <w:rPr>
          <w:rFonts w:ascii="Times New Roman"/>
          <w:color w:val="625E60"/>
          <w:spacing w:val="-2"/>
          <w:w w:val="105"/>
          <w:sz w:val="17"/>
        </w:rPr>
        <w:t>.</w:t>
      </w:r>
    </w:p>
    <w:p>
      <w:pPr>
        <w:spacing w:line="203" w:lineRule="exact" w:before="0"/>
        <w:ind w:left="236" w:right="0" w:firstLine="0"/>
        <w:jc w:val="left"/>
        <w:rPr>
          <w:rFonts w:ascii="Times New Roman"/>
          <w:sz w:val="17"/>
        </w:rPr>
      </w:pPr>
      <w:r>
        <w:rPr/>
        <mc:AlternateContent>
          <mc:Choice Requires="wps">
            <w:drawing>
              <wp:anchor distT="0" distB="0" distL="0" distR="0" allowOverlap="1" layoutInCell="1" locked="0" behindDoc="0" simplePos="0" relativeHeight="15787520">
                <wp:simplePos x="0" y="0"/>
                <wp:positionH relativeFrom="page">
                  <wp:posOffset>3504902</wp:posOffset>
                </wp:positionH>
                <wp:positionV relativeFrom="paragraph">
                  <wp:posOffset>176063</wp:posOffset>
                </wp:positionV>
                <wp:extent cx="2616200" cy="127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13.8633pt;width:206pt;height:.1pt;mso-position-horizontal-relative:page;mso-position-vertical-relative:paragraph;z-index:15787520" id="docshape171" coordorigin="5520,277" coordsize="4120,0" path="m5520,277l6163,277,7580,277,8996,277,9640,277e" filled="false" stroked="true" strokeweight=".25pt" strokecolor="#231f20">
                <v:path arrowok="t"/>
                <v:stroke dashstyle="solid"/>
                <w10:wrap type="none"/>
              </v:shape>
            </w:pict>
          </mc:Fallback>
        </mc:AlternateContent>
      </w:r>
      <w:r>
        <w:rPr>
          <w:rFonts w:ascii="Times New Roman"/>
          <w:color w:val="363133"/>
          <w:w w:val="105"/>
          <w:sz w:val="17"/>
        </w:rPr>
        <w:t>Un</w:t>
      </w:r>
      <w:r>
        <w:rPr>
          <w:rFonts w:ascii="Times New Roman"/>
          <w:color w:val="363133"/>
          <w:spacing w:val="9"/>
          <w:w w:val="105"/>
          <w:sz w:val="17"/>
        </w:rPr>
        <w:t> </w:t>
      </w:r>
      <w:r>
        <w:rPr>
          <w:rFonts w:ascii="Times New Roman"/>
          <w:color w:val="363133"/>
          <w:w w:val="105"/>
          <w:sz w:val="17"/>
        </w:rPr>
        <w:t>interprete</w:t>
      </w:r>
      <w:r>
        <w:rPr>
          <w:rFonts w:ascii="Times New Roman"/>
          <w:color w:val="363133"/>
          <w:spacing w:val="-1"/>
          <w:w w:val="105"/>
          <w:sz w:val="17"/>
        </w:rPr>
        <w:t> </w:t>
      </w:r>
      <w:r>
        <w:rPr>
          <w:rFonts w:ascii="Times New Roman"/>
          <w:color w:val="363133"/>
          <w:w w:val="105"/>
          <w:sz w:val="17"/>
        </w:rPr>
        <w:t>sara</w:t>
      </w:r>
      <w:r>
        <w:rPr>
          <w:rFonts w:ascii="Times New Roman"/>
          <w:color w:val="363133"/>
          <w:spacing w:val="1"/>
          <w:w w:val="105"/>
          <w:sz w:val="17"/>
        </w:rPr>
        <w:t> </w:t>
      </w:r>
      <w:r>
        <w:rPr>
          <w:rFonts w:ascii="Times New Roman"/>
          <w:color w:val="363133"/>
          <w:w w:val="105"/>
          <w:sz w:val="17"/>
        </w:rPr>
        <w:t>chiamato.</w:t>
      </w:r>
      <w:r>
        <w:rPr>
          <w:rFonts w:ascii="Times New Roman"/>
          <w:color w:val="363133"/>
          <w:spacing w:val="34"/>
          <w:w w:val="105"/>
          <w:sz w:val="17"/>
        </w:rPr>
        <w:t> </w:t>
      </w:r>
      <w:r>
        <w:rPr>
          <w:rFonts w:ascii="Arial"/>
          <w:color w:val="363133"/>
          <w:w w:val="105"/>
          <w:sz w:val="18"/>
        </w:rPr>
        <w:t>II</w:t>
      </w:r>
      <w:r>
        <w:rPr>
          <w:rFonts w:ascii="Arial"/>
          <w:color w:val="363133"/>
          <w:spacing w:val="3"/>
          <w:w w:val="105"/>
          <w:sz w:val="18"/>
        </w:rPr>
        <w:t> </w:t>
      </w:r>
      <w:r>
        <w:rPr>
          <w:rFonts w:ascii="Times New Roman"/>
          <w:color w:val="363133"/>
          <w:w w:val="105"/>
          <w:sz w:val="17"/>
        </w:rPr>
        <w:t>servizio</w:t>
      </w:r>
      <w:r>
        <w:rPr>
          <w:rFonts w:ascii="Times New Roman"/>
          <w:color w:val="363133"/>
          <w:spacing w:val="-3"/>
          <w:w w:val="105"/>
          <w:sz w:val="17"/>
        </w:rPr>
        <w:t> </w:t>
      </w:r>
      <w:r>
        <w:rPr>
          <w:rFonts w:ascii="Times New Roman"/>
          <w:color w:val="363133"/>
          <w:w w:val="105"/>
          <w:sz w:val="17"/>
        </w:rPr>
        <w:t>e</w:t>
      </w:r>
      <w:r>
        <w:rPr>
          <w:rFonts w:ascii="Times New Roman"/>
          <w:color w:val="363133"/>
          <w:spacing w:val="-4"/>
          <w:w w:val="105"/>
          <w:sz w:val="17"/>
        </w:rPr>
        <w:t> </w:t>
      </w:r>
      <w:r>
        <w:rPr>
          <w:rFonts w:ascii="Times New Roman"/>
          <w:color w:val="363133"/>
          <w:spacing w:val="-2"/>
          <w:w w:val="105"/>
          <w:sz w:val="17"/>
        </w:rPr>
        <w:t>gratuito.</w:t>
      </w:r>
    </w:p>
    <w:p>
      <w:pPr>
        <w:spacing w:before="81"/>
        <w:ind w:left="230" w:right="0" w:firstLine="0"/>
        <w:jc w:val="left"/>
        <w:rPr>
          <w:rFonts w:ascii="Times New Roman"/>
          <w:sz w:val="17"/>
        </w:rPr>
      </w:pPr>
      <w:r>
        <w:rPr/>
        <w:br w:type="column"/>
      </w:r>
      <w:r>
        <w:rPr>
          <w:rFonts w:ascii="Times New Roman"/>
          <w:color w:val="363133"/>
          <w:w w:val="85"/>
          <w:sz w:val="17"/>
        </w:rPr>
        <w:t>Itudo</w:t>
      </w:r>
      <w:r>
        <w:rPr>
          <w:rFonts w:ascii="Times New Roman"/>
          <w:color w:val="363133"/>
          <w:spacing w:val="-5"/>
          <w:w w:val="85"/>
          <w:sz w:val="17"/>
        </w:rPr>
        <w:t> </w:t>
      </w:r>
      <w:r>
        <w:rPr>
          <w:rFonts w:ascii="Times New Roman"/>
          <w:color w:val="494646"/>
          <w:w w:val="85"/>
          <w:sz w:val="17"/>
        </w:rPr>
        <w:t>yo</w:t>
      </w:r>
      <w:r>
        <w:rPr>
          <w:rFonts w:ascii="Times New Roman"/>
          <w:color w:val="494646"/>
          <w:spacing w:val="-4"/>
          <w:w w:val="85"/>
          <w:sz w:val="17"/>
        </w:rPr>
        <w:t> </w:t>
      </w:r>
      <w:r>
        <w:rPr>
          <w:rFonts w:ascii="Times New Roman"/>
          <w:color w:val="363133"/>
          <w:w w:val="85"/>
          <w:sz w:val="17"/>
        </w:rPr>
        <w:t>ti</w:t>
      </w:r>
      <w:r>
        <w:rPr>
          <w:rFonts w:ascii="Times New Roman"/>
          <w:color w:val="363133"/>
          <w:spacing w:val="-4"/>
          <w:w w:val="85"/>
          <w:sz w:val="17"/>
        </w:rPr>
        <w:t> </w:t>
      </w:r>
      <w:r>
        <w:rPr>
          <w:rFonts w:ascii="Times New Roman"/>
          <w:color w:val="494646"/>
          <w:w w:val="85"/>
          <w:sz w:val="17"/>
        </w:rPr>
        <w:t>sao</w:t>
      </w:r>
      <w:r>
        <w:rPr>
          <w:rFonts w:ascii="Times New Roman"/>
          <w:color w:val="494646"/>
          <w:spacing w:val="-4"/>
          <w:w w:val="85"/>
          <w:sz w:val="17"/>
        </w:rPr>
        <w:t> </w:t>
      </w:r>
      <w:r>
        <w:rPr>
          <w:rFonts w:ascii="Times New Roman"/>
          <w:color w:val="494646"/>
          <w:w w:val="85"/>
          <w:sz w:val="17"/>
        </w:rPr>
        <w:t>yo</w:t>
      </w:r>
      <w:r>
        <w:rPr>
          <w:rFonts w:ascii="Times New Roman"/>
          <w:color w:val="262123"/>
          <w:w w:val="85"/>
          <w:sz w:val="17"/>
        </w:rPr>
        <w:t>.</w:t>
      </w:r>
      <w:r>
        <w:rPr>
          <w:rFonts w:ascii="Times New Roman"/>
          <w:color w:val="262123"/>
          <w:spacing w:val="-19"/>
          <w:w w:val="85"/>
          <w:sz w:val="17"/>
        </w:rPr>
        <w:t> </w:t>
      </w:r>
      <w:r>
        <w:rPr>
          <w:rFonts w:ascii="Times New Roman"/>
          <w:color w:val="363133"/>
          <w:w w:val="85"/>
          <w:sz w:val="17"/>
        </w:rPr>
        <w:t>Maawagan</w:t>
      </w:r>
      <w:r>
        <w:rPr>
          <w:rFonts w:ascii="Times New Roman"/>
          <w:color w:val="363133"/>
          <w:spacing w:val="-1"/>
          <w:sz w:val="17"/>
        </w:rPr>
        <w:t> </w:t>
      </w:r>
      <w:r>
        <w:rPr>
          <w:rFonts w:ascii="Times New Roman"/>
          <w:color w:val="363133"/>
          <w:w w:val="85"/>
          <w:sz w:val="17"/>
        </w:rPr>
        <w:t>ti</w:t>
      </w:r>
      <w:r>
        <w:rPr>
          <w:rFonts w:ascii="Times New Roman"/>
          <w:color w:val="363133"/>
          <w:spacing w:val="-3"/>
          <w:sz w:val="17"/>
        </w:rPr>
        <w:t> </w:t>
      </w:r>
      <w:r>
        <w:rPr>
          <w:rFonts w:ascii="Times New Roman"/>
          <w:color w:val="363133"/>
          <w:w w:val="85"/>
          <w:sz w:val="17"/>
        </w:rPr>
        <w:t>maysa</w:t>
      </w:r>
      <w:r>
        <w:rPr>
          <w:rFonts w:ascii="Times New Roman"/>
          <w:color w:val="363133"/>
          <w:spacing w:val="-2"/>
          <w:sz w:val="17"/>
        </w:rPr>
        <w:t> </w:t>
      </w:r>
      <w:r>
        <w:rPr>
          <w:rFonts w:ascii="Times New Roman"/>
          <w:color w:val="363133"/>
          <w:w w:val="85"/>
          <w:sz w:val="17"/>
        </w:rPr>
        <w:t>nga</w:t>
      </w:r>
      <w:r>
        <w:rPr>
          <w:rFonts w:ascii="Times New Roman"/>
          <w:color w:val="363133"/>
          <w:spacing w:val="-3"/>
          <w:sz w:val="17"/>
        </w:rPr>
        <w:t> </w:t>
      </w:r>
      <w:r>
        <w:rPr>
          <w:rFonts w:ascii="Times New Roman"/>
          <w:color w:val="363133"/>
          <w:spacing w:val="-2"/>
          <w:w w:val="85"/>
          <w:sz w:val="17"/>
        </w:rPr>
        <w:t>mangipatpatarus.</w:t>
      </w:r>
    </w:p>
    <w:p>
      <w:pPr>
        <w:spacing w:before="6"/>
        <w:ind w:left="224" w:right="0" w:firstLine="0"/>
        <w:jc w:val="left"/>
        <w:rPr>
          <w:rFonts w:ascii="Times New Roman"/>
          <w:sz w:val="17"/>
        </w:rPr>
      </w:pPr>
      <w:r>
        <w:rPr/>
        <mc:AlternateContent>
          <mc:Choice Requires="wps">
            <w:drawing>
              <wp:anchor distT="0" distB="0" distL="0" distR="0" allowOverlap="1" layoutInCell="1" locked="0" behindDoc="0" simplePos="0" relativeHeight="15790080">
                <wp:simplePos x="0" y="0"/>
                <wp:positionH relativeFrom="page">
                  <wp:posOffset>6679903</wp:posOffset>
                </wp:positionH>
                <wp:positionV relativeFrom="paragraph">
                  <wp:posOffset>163930</wp:posOffset>
                </wp:positionV>
                <wp:extent cx="2616200" cy="1270"/>
                <wp:effectExtent l="0" t="0" r="0" b="0"/>
                <wp:wrapNone/>
                <wp:docPr id="227" name="Graphic 227"/>
                <wp:cNvGraphicFramePr>
                  <a:graphicFrameLocks/>
                </wp:cNvGraphicFramePr>
                <a:graphic>
                  <a:graphicData uri="http://schemas.microsoft.com/office/word/2010/wordprocessingShape">
                    <wps:wsp>
                      <wps:cNvPr id="227" name="Graphic 227"/>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12.907945pt;width:206pt;height:.1pt;mso-position-horizontal-relative:page;mso-position-vertical-relative:paragraph;z-index:15790080" id="docshape172" coordorigin="10520,258" coordsize="4120,0" path="m10520,258l11163,258,12580,258,13996,258,14640,258e" filled="false" stroked="true" strokeweight=".25pt" strokecolor="#231f20">
                <v:path arrowok="t"/>
                <v:stroke dashstyle="solid"/>
                <w10:wrap type="none"/>
              </v:shape>
            </w:pict>
          </mc:Fallback>
        </mc:AlternateContent>
      </w:r>
      <w:r>
        <w:rPr>
          <w:rFonts w:ascii="Times New Roman"/>
          <w:color w:val="363133"/>
          <w:w w:val="85"/>
          <w:sz w:val="17"/>
        </w:rPr>
        <w:t>lti</w:t>
      </w:r>
      <w:r>
        <w:rPr>
          <w:rFonts w:ascii="Times New Roman"/>
          <w:color w:val="363133"/>
          <w:spacing w:val="-5"/>
          <w:w w:val="85"/>
          <w:sz w:val="17"/>
        </w:rPr>
        <w:t> </w:t>
      </w:r>
      <w:r>
        <w:rPr>
          <w:rFonts w:ascii="Times New Roman"/>
          <w:color w:val="363133"/>
          <w:w w:val="85"/>
          <w:sz w:val="17"/>
        </w:rPr>
        <w:t>mangipatpatarus</w:t>
      </w:r>
      <w:r>
        <w:rPr>
          <w:rFonts w:ascii="Times New Roman"/>
          <w:color w:val="363133"/>
          <w:spacing w:val="-4"/>
          <w:w w:val="85"/>
          <w:sz w:val="17"/>
        </w:rPr>
        <w:t> </w:t>
      </w:r>
      <w:r>
        <w:rPr>
          <w:rFonts w:ascii="Times New Roman"/>
          <w:color w:val="363133"/>
          <w:w w:val="85"/>
          <w:sz w:val="17"/>
        </w:rPr>
        <w:t>ket</w:t>
      </w:r>
      <w:r>
        <w:rPr>
          <w:rFonts w:ascii="Times New Roman"/>
          <w:color w:val="363133"/>
          <w:spacing w:val="-4"/>
          <w:w w:val="85"/>
          <w:sz w:val="17"/>
        </w:rPr>
        <w:t> </w:t>
      </w:r>
      <w:r>
        <w:rPr>
          <w:rFonts w:ascii="Times New Roman"/>
          <w:color w:val="363133"/>
          <w:w w:val="85"/>
          <w:sz w:val="17"/>
        </w:rPr>
        <w:t>tumulong</w:t>
      </w:r>
      <w:r>
        <w:rPr>
          <w:rFonts w:ascii="Times New Roman"/>
          <w:color w:val="363133"/>
          <w:spacing w:val="-2"/>
          <w:w w:val="85"/>
          <w:sz w:val="17"/>
        </w:rPr>
        <w:t> </w:t>
      </w:r>
      <w:r>
        <w:rPr>
          <w:rFonts w:ascii="Times New Roman"/>
          <w:color w:val="363133"/>
          <w:w w:val="85"/>
          <w:sz w:val="17"/>
        </w:rPr>
        <w:t>kadakayo</w:t>
      </w:r>
      <w:r>
        <w:rPr>
          <w:rFonts w:ascii="Times New Roman"/>
          <w:color w:val="363133"/>
          <w:spacing w:val="-1"/>
          <w:sz w:val="17"/>
        </w:rPr>
        <w:t> </w:t>
      </w:r>
      <w:r>
        <w:rPr>
          <w:rFonts w:ascii="Times New Roman"/>
          <w:color w:val="363133"/>
          <w:w w:val="85"/>
          <w:sz w:val="17"/>
        </w:rPr>
        <w:t>nga</w:t>
      </w:r>
      <w:r>
        <w:rPr>
          <w:rFonts w:ascii="Times New Roman"/>
          <w:color w:val="363133"/>
          <w:spacing w:val="-5"/>
          <w:w w:val="85"/>
          <w:sz w:val="17"/>
        </w:rPr>
        <w:t> </w:t>
      </w:r>
      <w:r>
        <w:rPr>
          <w:rFonts w:ascii="Times New Roman"/>
          <w:color w:val="363133"/>
          <w:w w:val="85"/>
          <w:sz w:val="17"/>
        </w:rPr>
        <w:t>saan</w:t>
      </w:r>
      <w:r>
        <w:rPr>
          <w:rFonts w:ascii="Times New Roman"/>
          <w:color w:val="363133"/>
          <w:spacing w:val="-4"/>
          <w:sz w:val="17"/>
        </w:rPr>
        <w:t> </w:t>
      </w:r>
      <w:r>
        <w:rPr>
          <w:rFonts w:ascii="Times New Roman"/>
          <w:color w:val="494646"/>
          <w:w w:val="85"/>
          <w:sz w:val="17"/>
        </w:rPr>
        <w:t>yo</w:t>
      </w:r>
      <w:r>
        <w:rPr>
          <w:rFonts w:ascii="Times New Roman"/>
          <w:color w:val="494646"/>
          <w:spacing w:val="-4"/>
          <w:w w:val="85"/>
          <w:sz w:val="17"/>
        </w:rPr>
        <w:t> </w:t>
      </w:r>
      <w:r>
        <w:rPr>
          <w:rFonts w:ascii="Times New Roman"/>
          <w:color w:val="363133"/>
          <w:w w:val="85"/>
          <w:sz w:val="17"/>
        </w:rPr>
        <w:t>a</w:t>
      </w:r>
      <w:r>
        <w:rPr>
          <w:rFonts w:ascii="Times New Roman"/>
          <w:color w:val="363133"/>
          <w:spacing w:val="-7"/>
          <w:sz w:val="17"/>
        </w:rPr>
        <w:t> </w:t>
      </w:r>
      <w:r>
        <w:rPr>
          <w:rFonts w:ascii="Times New Roman"/>
          <w:color w:val="363133"/>
          <w:spacing w:val="-2"/>
          <w:w w:val="85"/>
          <w:sz w:val="17"/>
        </w:rPr>
        <w:t>bayadan.</w:t>
      </w:r>
    </w:p>
    <w:p>
      <w:pPr>
        <w:pStyle w:val="Heading1"/>
        <w:ind w:left="224"/>
      </w:pPr>
      <w:r>
        <w:rPr>
          <w:b w:val="0"/>
        </w:rPr>
        <w:br w:type="column"/>
      </w:r>
      <w:r>
        <w:rPr>
          <w:color w:val="262123"/>
          <w:spacing w:val="-2"/>
          <w:w w:val="105"/>
        </w:rPr>
        <w:t>Identification</w:t>
      </w:r>
    </w:p>
    <w:p>
      <w:pPr>
        <w:spacing w:after="0"/>
        <w:sectPr>
          <w:type w:val="continuous"/>
          <w:pgSz w:w="20160" w:h="12240" w:orient="landscape"/>
          <w:pgMar w:header="0" w:footer="0" w:top="1820" w:bottom="280" w:left="380" w:right="120"/>
          <w:cols w:num="4" w:equalWidth="0">
            <w:col w:w="4272" w:space="723"/>
            <w:col w:w="4260" w:space="767"/>
            <w:col w:w="4232" w:space="677"/>
            <w:col w:w="4729"/>
          </w:cols>
        </w:sectPr>
      </w:pPr>
    </w:p>
    <w:p>
      <w:pPr>
        <w:tabs>
          <w:tab w:pos="3181" w:val="left" w:leader="none"/>
        </w:tabs>
        <w:spacing w:line="57" w:lineRule="exact" w:before="0"/>
        <w:ind w:left="211" w:right="0" w:firstLine="0"/>
        <w:jc w:val="left"/>
        <w:rPr>
          <w:rFonts w:ascii="Times New Roman"/>
          <w:sz w:val="17"/>
        </w:rPr>
      </w:pPr>
      <w:r>
        <w:rPr/>
        <w:drawing>
          <wp:anchor distT="0" distB="0" distL="0" distR="0" allowOverlap="1" layoutInCell="1" locked="0" behindDoc="0" simplePos="0" relativeHeight="15794176">
            <wp:simplePos x="0" y="0"/>
            <wp:positionH relativeFrom="page">
              <wp:posOffset>2713955</wp:posOffset>
            </wp:positionH>
            <wp:positionV relativeFrom="paragraph">
              <wp:posOffset>47985</wp:posOffset>
            </wp:positionV>
            <wp:extent cx="214306" cy="104139"/>
            <wp:effectExtent l="0" t="0" r="0" b="0"/>
            <wp:wrapNone/>
            <wp:docPr id="228" name="Image 228"/>
            <wp:cNvGraphicFramePr>
              <a:graphicFrameLocks/>
            </wp:cNvGraphicFramePr>
            <a:graphic>
              <a:graphicData uri="http://schemas.openxmlformats.org/drawingml/2006/picture">
                <pic:pic>
                  <pic:nvPicPr>
                    <pic:cNvPr id="228" name="Image 228"/>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363133"/>
          <w:spacing w:val="-2"/>
          <w:w w:val="115"/>
          <w:sz w:val="19"/>
        </w:rPr>
        <w:t>Basque</w:t>
      </w:r>
      <w:r>
        <w:rPr>
          <w:rFonts w:ascii="Times New Roman"/>
          <w:b/>
          <w:color w:val="363133"/>
          <w:sz w:val="19"/>
        </w:rPr>
        <w:tab/>
      </w:r>
      <w:r>
        <w:rPr>
          <w:rFonts w:ascii="Times New Roman"/>
          <w:color w:val="363133"/>
          <w:spacing w:val="-2"/>
          <w:w w:val="115"/>
          <w:sz w:val="17"/>
        </w:rPr>
        <w:t>Euskara</w:t>
      </w:r>
    </w:p>
    <w:p>
      <w:pPr>
        <w:tabs>
          <w:tab w:pos="3099" w:val="left" w:leader="none"/>
        </w:tabs>
        <w:spacing w:line="57" w:lineRule="exact" w:before="0"/>
        <w:ind w:left="211" w:right="0" w:firstLine="0"/>
        <w:jc w:val="left"/>
        <w:rPr>
          <w:rFonts w:ascii="Times New Roman"/>
          <w:sz w:val="17"/>
        </w:rPr>
      </w:pPr>
      <w:r>
        <w:rPr/>
        <w:br w:type="column"/>
      </w:r>
      <w:r>
        <w:rPr>
          <w:rFonts w:ascii="Times New Roman"/>
          <w:b/>
          <w:color w:val="363133"/>
          <w:spacing w:val="-2"/>
          <w:w w:val="115"/>
          <w:sz w:val="19"/>
        </w:rPr>
        <w:t>Lithuanian</w:t>
      </w:r>
      <w:r>
        <w:rPr>
          <w:rFonts w:ascii="Times New Roman"/>
          <w:b/>
          <w:color w:val="363133"/>
          <w:sz w:val="19"/>
        </w:rPr>
        <w:tab/>
      </w:r>
      <w:r>
        <w:rPr>
          <w:rFonts w:ascii="Times New Roman"/>
          <w:color w:val="363133"/>
          <w:spacing w:val="-2"/>
          <w:w w:val="115"/>
          <w:sz w:val="17"/>
        </w:rPr>
        <w:t>Lietuvill</w:t>
      </w:r>
    </w:p>
    <w:p>
      <w:pPr>
        <w:spacing w:line="57" w:lineRule="exact" w:before="0"/>
        <w:ind w:left="211" w:right="0" w:firstLine="0"/>
        <w:jc w:val="left"/>
        <w:rPr>
          <w:rFonts w:ascii="Times New Roman"/>
          <w:b/>
          <w:sz w:val="19"/>
        </w:rPr>
      </w:pPr>
      <w:r>
        <w:rPr/>
        <w:br w:type="column"/>
      </w:r>
      <w:r>
        <w:rPr>
          <w:rFonts w:ascii="Times New Roman"/>
          <w:b/>
          <w:color w:val="262123"/>
          <w:spacing w:val="-2"/>
          <w:w w:val="110"/>
          <w:sz w:val="19"/>
        </w:rPr>
        <w:t>Indonesian</w:t>
      </w:r>
    </w:p>
    <w:p>
      <w:pPr>
        <w:spacing w:line="54" w:lineRule="exact" w:before="4"/>
        <w:ind w:left="211" w:right="0" w:firstLine="0"/>
        <w:jc w:val="left"/>
        <w:rPr>
          <w:rFonts w:ascii="Times New Roman"/>
          <w:sz w:val="17"/>
        </w:rPr>
      </w:pPr>
      <w:r>
        <w:rPr/>
        <w:br w:type="column"/>
      </w:r>
      <w:r>
        <w:rPr>
          <w:rFonts w:ascii="Times New Roman"/>
          <w:color w:val="363133"/>
          <w:w w:val="115"/>
          <w:sz w:val="17"/>
        </w:rPr>
        <w:t>Bahasa</w:t>
      </w:r>
      <w:r>
        <w:rPr>
          <w:rFonts w:ascii="Times New Roman"/>
          <w:color w:val="363133"/>
          <w:spacing w:val="9"/>
          <w:w w:val="115"/>
          <w:sz w:val="17"/>
        </w:rPr>
        <w:t> </w:t>
      </w:r>
      <w:r>
        <w:rPr>
          <w:rFonts w:ascii="Times New Roman"/>
          <w:color w:val="363133"/>
          <w:spacing w:val="-2"/>
          <w:w w:val="115"/>
          <w:sz w:val="17"/>
        </w:rPr>
        <w:t>Indonesia</w:t>
      </w:r>
    </w:p>
    <w:p>
      <w:pPr>
        <w:spacing w:after="0" w:line="54" w:lineRule="exact"/>
        <w:jc w:val="left"/>
        <w:rPr>
          <w:rFonts w:ascii="Times New Roman"/>
          <w:sz w:val="17"/>
        </w:rPr>
        <w:sectPr>
          <w:type w:val="continuous"/>
          <w:pgSz w:w="20160" w:h="12240" w:orient="landscape"/>
          <w:pgMar w:header="0" w:footer="0" w:top="1820" w:bottom="280" w:left="380" w:right="120"/>
          <w:cols w:num="4" w:equalWidth="0">
            <w:col w:w="4272" w:space="725"/>
            <w:col w:w="4258" w:space="792"/>
            <w:col w:w="1240" w:space="913"/>
            <w:col w:w="7460"/>
          </w:cols>
        </w:sectPr>
      </w:pPr>
    </w:p>
    <w:p>
      <w:pPr>
        <w:spacing w:line="247" w:lineRule="auto" w:before="153"/>
        <w:ind w:left="216" w:right="0" w:firstLine="0"/>
        <w:jc w:val="left"/>
        <w:rPr>
          <w:rFonts w:ascii="Times New Roman"/>
          <w:sz w:val="17"/>
        </w:rPr>
      </w:pPr>
      <w:r>
        <w:rPr>
          <w:rFonts w:ascii="Times New Roman"/>
          <w:color w:val="494646"/>
          <w:w w:val="105"/>
          <w:sz w:val="17"/>
        </w:rPr>
        <w:t>Euskara</w:t>
      </w:r>
      <w:r>
        <w:rPr>
          <w:rFonts w:ascii="Times New Roman"/>
          <w:color w:val="494646"/>
          <w:spacing w:val="-1"/>
          <w:w w:val="105"/>
          <w:sz w:val="17"/>
        </w:rPr>
        <w:t> </w:t>
      </w:r>
      <w:r>
        <w:rPr>
          <w:rFonts w:ascii="Times New Roman"/>
          <w:color w:val="363133"/>
          <w:w w:val="105"/>
          <w:sz w:val="17"/>
        </w:rPr>
        <w:t>seinalatu. Jarraian itzultzaile bati deituko</w:t>
      </w:r>
      <w:r>
        <w:rPr>
          <w:rFonts w:ascii="Times New Roman"/>
          <w:color w:val="363133"/>
          <w:spacing w:val="-1"/>
          <w:w w:val="105"/>
          <w:sz w:val="17"/>
        </w:rPr>
        <w:t> </w:t>
      </w:r>
      <w:r>
        <w:rPr>
          <w:rFonts w:ascii="Times New Roman"/>
          <w:color w:val="363133"/>
          <w:w w:val="105"/>
          <w:sz w:val="17"/>
        </w:rPr>
        <w:t>diogu</w:t>
      </w:r>
      <w:r>
        <w:rPr>
          <w:rFonts w:ascii="Times New Roman"/>
          <w:color w:val="625E60"/>
          <w:w w:val="105"/>
          <w:sz w:val="17"/>
        </w:rPr>
        <w:t>. </w:t>
      </w:r>
      <w:r>
        <w:rPr>
          <w:rFonts w:ascii="Times New Roman"/>
          <w:color w:val="363133"/>
          <w:w w:val="105"/>
          <w:sz w:val="17"/>
        </w:rPr>
        <w:t>Itzultzaileak doako zerbitzua eskeiniko dizu.</w:t>
      </w:r>
    </w:p>
    <w:p>
      <w:pPr>
        <w:pStyle w:val="BodyText"/>
        <w:spacing w:before="10"/>
        <w:rPr>
          <w:rFonts w:ascii="Times New Roman"/>
          <w:sz w:val="4"/>
        </w:rPr>
      </w:pPr>
    </w:p>
    <w:p>
      <w:pPr>
        <w:pStyle w:val="BodyText"/>
        <w:spacing w:line="20" w:lineRule="exact"/>
        <w:ind w:left="140"/>
        <w:rPr>
          <w:rFonts w:ascii="Times New Roman"/>
          <w:sz w:val="2"/>
        </w:rPr>
      </w:pPr>
      <w:r>
        <w:rPr>
          <w:rFonts w:ascii="Times New Roman"/>
          <w:sz w:val="2"/>
        </w:rPr>
        <mc:AlternateContent>
          <mc:Choice Requires="wps">
            <w:drawing>
              <wp:inline distT="0" distB="0" distL="0" distR="0">
                <wp:extent cx="2616200" cy="3175"/>
                <wp:effectExtent l="9525" t="0" r="0" b="6350"/>
                <wp:docPr id="229" name="Group 229"/>
                <wp:cNvGraphicFramePr>
                  <a:graphicFrameLocks/>
                </wp:cNvGraphicFramePr>
                <a:graphic>
                  <a:graphicData uri="http://schemas.microsoft.com/office/word/2010/wordprocessingGroup">
                    <wpg:wgp>
                      <wpg:cNvPr id="229" name="Group 229"/>
                      <wpg:cNvGrpSpPr/>
                      <wpg:grpSpPr>
                        <a:xfrm>
                          <a:off x="0" y="0"/>
                          <a:ext cx="2616200" cy="3175"/>
                          <a:chExt cx="2616200" cy="3175"/>
                        </a:xfrm>
                      </wpg:grpSpPr>
                      <wps:wsp>
                        <wps:cNvPr id="230" name="Graphic 230"/>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73" coordorigin="0,0" coordsize="4120,5">
                <v:shape style="position:absolute;left:0;top:2;width:4120;height:2" id="docshape174"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100" w:val="left" w:leader="none"/>
        </w:tabs>
        <w:spacing w:before="0"/>
        <w:ind w:left="211" w:right="0" w:firstLine="0"/>
        <w:jc w:val="left"/>
        <w:rPr>
          <w:rFonts w:ascii="Times New Roman"/>
          <w:sz w:val="17"/>
        </w:rPr>
      </w:pPr>
      <w:r>
        <w:rPr/>
        <w:drawing>
          <wp:anchor distT="0" distB="0" distL="0" distR="0" allowOverlap="1" layoutInCell="1" locked="0" behindDoc="0" simplePos="0" relativeHeight="15794688">
            <wp:simplePos x="0" y="0"/>
            <wp:positionH relativeFrom="page">
              <wp:posOffset>2713955</wp:posOffset>
            </wp:positionH>
            <wp:positionV relativeFrom="paragraph">
              <wp:posOffset>54774</wp:posOffset>
            </wp:positionV>
            <wp:extent cx="214306" cy="104139"/>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363133"/>
          <w:spacing w:val="-2"/>
          <w:w w:val="115"/>
          <w:sz w:val="19"/>
        </w:rPr>
        <w:t>Bosnian</w:t>
      </w:r>
      <w:r>
        <w:rPr>
          <w:rFonts w:ascii="Times New Roman"/>
          <w:b/>
          <w:color w:val="363133"/>
          <w:sz w:val="19"/>
        </w:rPr>
        <w:tab/>
      </w:r>
      <w:r>
        <w:rPr>
          <w:rFonts w:ascii="Times New Roman"/>
          <w:color w:val="363133"/>
          <w:spacing w:val="-2"/>
          <w:w w:val="115"/>
          <w:sz w:val="17"/>
        </w:rPr>
        <w:t>Bosanski</w:t>
      </w:r>
    </w:p>
    <w:p>
      <w:pPr>
        <w:spacing w:line="247" w:lineRule="auto" w:before="4"/>
        <w:ind w:left="222" w:right="108" w:firstLine="0"/>
        <w:jc w:val="left"/>
        <w:rPr>
          <w:rFonts w:ascii="Times New Roman"/>
          <w:sz w:val="17"/>
        </w:rPr>
      </w:pPr>
      <w:r>
        <w:rPr>
          <w:rFonts w:ascii="Times New Roman"/>
          <w:color w:val="363133"/>
          <w:w w:val="105"/>
          <w:sz w:val="17"/>
        </w:rPr>
        <w:t>Pokazite svoj</w:t>
      </w:r>
      <w:r>
        <w:rPr>
          <w:rFonts w:ascii="Times New Roman"/>
          <w:color w:val="363133"/>
          <w:spacing w:val="-2"/>
          <w:w w:val="105"/>
          <w:sz w:val="17"/>
        </w:rPr>
        <w:t> </w:t>
      </w:r>
      <w:r>
        <w:rPr>
          <w:rFonts w:ascii="Times New Roman"/>
          <w:color w:val="363133"/>
          <w:w w:val="105"/>
          <w:sz w:val="17"/>
        </w:rPr>
        <w:t>jezik</w:t>
      </w:r>
      <w:r>
        <w:rPr>
          <w:rFonts w:ascii="Times New Roman"/>
          <w:color w:val="625E60"/>
          <w:w w:val="105"/>
          <w:sz w:val="17"/>
        </w:rPr>
        <w:t>.</w:t>
      </w:r>
      <w:r>
        <w:rPr>
          <w:rFonts w:ascii="Times New Roman"/>
          <w:color w:val="625E60"/>
          <w:spacing w:val="-10"/>
          <w:w w:val="105"/>
          <w:sz w:val="17"/>
        </w:rPr>
        <w:t> </w:t>
      </w:r>
      <w:r>
        <w:rPr>
          <w:rFonts w:ascii="Times New Roman"/>
          <w:color w:val="363133"/>
          <w:w w:val="105"/>
          <w:sz w:val="17"/>
        </w:rPr>
        <w:t>Prevodilac ce biti pozvan. Prevodilac je</w:t>
      </w:r>
      <w:r>
        <w:rPr>
          <w:rFonts w:ascii="Times New Roman"/>
          <w:color w:val="363133"/>
          <w:spacing w:val="-7"/>
          <w:w w:val="105"/>
          <w:sz w:val="17"/>
        </w:rPr>
        <w:t> </w:t>
      </w:r>
      <w:r>
        <w:rPr>
          <w:rFonts w:ascii="Times New Roman"/>
          <w:color w:val="363133"/>
          <w:w w:val="105"/>
          <w:sz w:val="17"/>
        </w:rPr>
        <w:t>obezbijeden</w:t>
      </w:r>
      <w:r>
        <w:rPr>
          <w:rFonts w:ascii="Times New Roman"/>
          <w:color w:val="363133"/>
          <w:spacing w:val="13"/>
          <w:w w:val="105"/>
          <w:sz w:val="17"/>
        </w:rPr>
        <w:t> </w:t>
      </w:r>
      <w:r>
        <w:rPr>
          <w:rFonts w:ascii="Times New Roman"/>
          <w:color w:val="363133"/>
          <w:w w:val="105"/>
          <w:sz w:val="17"/>
        </w:rPr>
        <w:t>bez</w:t>
      </w:r>
      <w:r>
        <w:rPr>
          <w:rFonts w:ascii="Times New Roman"/>
          <w:color w:val="363133"/>
          <w:spacing w:val="-5"/>
          <w:w w:val="105"/>
          <w:sz w:val="17"/>
        </w:rPr>
        <w:t> </w:t>
      </w:r>
      <w:r>
        <w:rPr>
          <w:rFonts w:ascii="Times New Roman"/>
          <w:color w:val="363133"/>
          <w:w w:val="105"/>
          <w:sz w:val="17"/>
        </w:rPr>
        <w:t>troskova za</w:t>
      </w:r>
      <w:r>
        <w:rPr>
          <w:rFonts w:ascii="Times New Roman"/>
          <w:color w:val="363133"/>
          <w:spacing w:val="-4"/>
          <w:w w:val="105"/>
          <w:sz w:val="17"/>
        </w:rPr>
        <w:t> </w:t>
      </w:r>
      <w:r>
        <w:rPr>
          <w:rFonts w:ascii="Times New Roman"/>
          <w:color w:val="363133"/>
          <w:w w:val="105"/>
          <w:sz w:val="17"/>
        </w:rPr>
        <w:t>vas</w:t>
      </w:r>
      <w:r>
        <w:rPr>
          <w:rFonts w:ascii="Times New Roman"/>
          <w:color w:val="625E60"/>
          <w:w w:val="105"/>
          <w:sz w:val="17"/>
        </w:rPr>
        <w:t>.</w:t>
      </w:r>
    </w:p>
    <w:p>
      <w:pPr>
        <w:pStyle w:val="BodyText"/>
        <w:spacing w:before="9"/>
        <w:rPr>
          <w:rFonts w:ascii="Times New Roman"/>
          <w:sz w:val="4"/>
        </w:rPr>
      </w:pPr>
    </w:p>
    <w:p>
      <w:pPr>
        <w:pStyle w:val="BodyText"/>
        <w:spacing w:line="20" w:lineRule="exact"/>
        <w:ind w:left="140"/>
        <w:rPr>
          <w:rFonts w:ascii="Times New Roman"/>
          <w:sz w:val="2"/>
        </w:rPr>
      </w:pPr>
      <w:r>
        <w:rPr>
          <w:rFonts w:ascii="Times New Roman"/>
          <w:sz w:val="2"/>
        </w:rPr>
        <mc:AlternateContent>
          <mc:Choice Requires="wps">
            <w:drawing>
              <wp:inline distT="0" distB="0" distL="0" distR="0">
                <wp:extent cx="2616200" cy="3175"/>
                <wp:effectExtent l="9525" t="0" r="0" b="6350"/>
                <wp:docPr id="232" name="Group 232"/>
                <wp:cNvGraphicFramePr>
                  <a:graphicFrameLocks/>
                </wp:cNvGraphicFramePr>
                <a:graphic>
                  <a:graphicData uri="http://schemas.microsoft.com/office/word/2010/wordprocessingGroup">
                    <wpg:wgp>
                      <wpg:cNvPr id="232" name="Group 232"/>
                      <wpg:cNvGrpSpPr/>
                      <wpg:grpSpPr>
                        <a:xfrm>
                          <a:off x="0" y="0"/>
                          <a:ext cx="2616200" cy="3175"/>
                          <a:chExt cx="2616200" cy="3175"/>
                        </a:xfrm>
                      </wpg:grpSpPr>
                      <wps:wsp>
                        <wps:cNvPr id="233" name="Graphic 23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75" coordorigin="0,0" coordsize="4120,5">
                <v:shape style="position:absolute;left:0;top:2;width:4120;height:2" id="docshape17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941" w:val="left" w:leader="none"/>
        </w:tabs>
        <w:spacing w:before="0"/>
        <w:ind w:left="231" w:right="0" w:firstLine="0"/>
        <w:jc w:val="left"/>
        <w:rPr>
          <w:rFonts w:ascii="Times New Roman"/>
          <w:sz w:val="17"/>
        </w:rPr>
      </w:pPr>
      <w:r>
        <w:rPr/>
        <w:drawing>
          <wp:anchor distT="0" distB="0" distL="0" distR="0" allowOverlap="1" layoutInCell="1" locked="0" behindDoc="0" simplePos="0" relativeHeight="15812608">
            <wp:simplePos x="0" y="0"/>
            <wp:positionH relativeFrom="page">
              <wp:posOffset>2713955</wp:posOffset>
            </wp:positionH>
            <wp:positionV relativeFrom="paragraph">
              <wp:posOffset>56622</wp:posOffset>
            </wp:positionV>
            <wp:extent cx="214306" cy="104139"/>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05"/>
          <w:sz w:val="19"/>
        </w:rPr>
        <w:t>Bulgarian</w:t>
      </w:r>
      <w:r>
        <w:rPr>
          <w:rFonts w:ascii="Times New Roman"/>
          <w:b/>
          <w:color w:val="262123"/>
          <w:sz w:val="19"/>
        </w:rPr>
        <w:tab/>
      </w:r>
      <w:r>
        <w:rPr>
          <w:rFonts w:ascii="Times New Roman"/>
          <w:color w:val="363133"/>
          <w:spacing w:val="-2"/>
          <w:w w:val="105"/>
          <w:sz w:val="17"/>
        </w:rPr>
        <w:t>EorrrapcKH</w:t>
      </w:r>
    </w:p>
    <w:p>
      <w:pPr>
        <w:spacing w:line="247" w:lineRule="auto" w:before="6"/>
        <w:ind w:left="201" w:right="0" w:firstLine="0"/>
        <w:jc w:val="left"/>
        <w:rPr>
          <w:rFonts w:ascii="Times New Roman"/>
          <w:sz w:val="17"/>
        </w:rPr>
      </w:pPr>
      <w:r>
        <w:rPr>
          <w:rFonts w:ascii="Times New Roman"/>
          <w:color w:val="363133"/>
          <w:w w:val="90"/>
          <w:sz w:val="17"/>
        </w:rPr>
        <w:t>IIocoqeTe</w:t>
      </w:r>
      <w:r>
        <w:rPr>
          <w:rFonts w:ascii="Times New Roman"/>
          <w:color w:val="363133"/>
          <w:sz w:val="17"/>
        </w:rPr>
        <w:t> </w:t>
      </w:r>
      <w:r>
        <w:rPr>
          <w:rFonts w:ascii="Times New Roman"/>
          <w:color w:val="363133"/>
          <w:w w:val="90"/>
          <w:sz w:val="17"/>
        </w:rPr>
        <w:t>Barnmn e</w:t>
      </w:r>
      <w:r>
        <w:rPr>
          <w:rFonts w:ascii="Times New Roman"/>
          <w:color w:val="625E60"/>
          <w:w w:val="90"/>
          <w:sz w:val="17"/>
        </w:rPr>
        <w:t>:</w:t>
      </w:r>
      <w:r>
        <w:rPr>
          <w:rFonts w:ascii="Times New Roman"/>
          <w:color w:val="363133"/>
          <w:w w:val="90"/>
          <w:sz w:val="17"/>
        </w:rPr>
        <w:t>mK.lll,e 6wi;e H3BHKaH</w:t>
      </w:r>
      <w:r>
        <w:rPr>
          <w:rFonts w:ascii="Times New Roman"/>
          <w:color w:val="363133"/>
          <w:sz w:val="17"/>
        </w:rPr>
        <w:t> </w:t>
      </w:r>
      <w:r>
        <w:rPr>
          <w:rFonts w:ascii="Times New Roman"/>
          <w:color w:val="363133"/>
          <w:w w:val="90"/>
          <w:sz w:val="17"/>
        </w:rPr>
        <w:t>rrpeBO/laq</w:t>
      </w:r>
      <w:r>
        <w:rPr>
          <w:rFonts w:ascii="Times New Roman"/>
          <w:color w:val="363133"/>
          <w:sz w:val="17"/>
        </w:rPr>
        <w:t> </w:t>
      </w:r>
      <w:r>
        <w:rPr>
          <w:rFonts w:ascii="Times New Roman"/>
          <w:color w:val="363133"/>
          <w:spacing w:val="-2"/>
          <w:sz w:val="17"/>
        </w:rPr>
        <w:t>IIpeBo.11aqbT </w:t>
      </w:r>
      <w:r>
        <w:rPr>
          <w:rFonts w:ascii="Times New Roman"/>
          <w:color w:val="494646"/>
          <w:spacing w:val="-2"/>
          <w:sz w:val="17"/>
        </w:rPr>
        <w:t>e</w:t>
      </w:r>
      <w:r>
        <w:rPr>
          <w:rFonts w:ascii="Times New Roman"/>
          <w:color w:val="494646"/>
          <w:spacing w:val="-9"/>
          <w:sz w:val="17"/>
        </w:rPr>
        <w:t> </w:t>
      </w:r>
      <w:r>
        <w:rPr>
          <w:rFonts w:ascii="Times New Roman"/>
          <w:color w:val="363133"/>
          <w:spacing w:val="-2"/>
          <w:sz w:val="17"/>
        </w:rPr>
        <w:t>ocnrypeH 6e3rrnaTHO </w:t>
      </w:r>
      <w:r>
        <w:rPr>
          <w:rFonts w:ascii="Times New Roman"/>
          <w:color w:val="494646"/>
          <w:spacing w:val="-2"/>
          <w:sz w:val="17"/>
        </w:rPr>
        <w:t>3a</w:t>
      </w:r>
      <w:r>
        <w:rPr>
          <w:rFonts w:ascii="Times New Roman"/>
          <w:color w:val="494646"/>
          <w:spacing w:val="-5"/>
          <w:sz w:val="17"/>
        </w:rPr>
        <w:t> </w:t>
      </w:r>
      <w:r>
        <w:rPr>
          <w:rFonts w:ascii="Times New Roman"/>
          <w:color w:val="363133"/>
          <w:spacing w:val="-2"/>
          <w:sz w:val="17"/>
        </w:rPr>
        <w:t>Bae.</w:t>
      </w:r>
    </w:p>
    <w:p>
      <w:pPr>
        <w:spacing w:line="158" w:lineRule="exact"/>
        <w:ind w:left="3873" w:right="0" w:firstLine="0"/>
        <w:rPr>
          <w:rFonts w:ascii="Times New Roman"/>
          <w:sz w:val="15"/>
        </w:rPr>
      </w:pPr>
      <w:r>
        <w:rPr/>
        <w:br w:type="column"/>
      </w:r>
      <w:r>
        <w:rPr>
          <w:rFonts w:ascii="Times New Roman"/>
          <w:position w:val="-2"/>
          <w:sz w:val="15"/>
        </w:rPr>
        <w:drawing>
          <wp:inline distT="0" distB="0" distL="0" distR="0">
            <wp:extent cx="212351" cy="100584"/>
            <wp:effectExtent l="0" t="0" r="0" b="0"/>
            <wp:docPr id="235" name="Image 235"/>
            <wp:cNvGraphicFramePr>
              <a:graphicFrameLocks/>
            </wp:cNvGraphicFramePr>
            <a:graphic>
              <a:graphicData uri="http://schemas.openxmlformats.org/drawingml/2006/picture">
                <pic:pic>
                  <pic:nvPicPr>
                    <pic:cNvPr id="235" name="Image 235"/>
                    <pic:cNvPicPr/>
                  </pic:nvPicPr>
                  <pic:blipFill>
                    <a:blip r:embed="rId105" cstate="print"/>
                    <a:stretch>
                      <a:fillRect/>
                    </a:stretch>
                  </pic:blipFill>
                  <pic:spPr>
                    <a:xfrm>
                      <a:off x="0" y="0"/>
                      <a:ext cx="212351" cy="100584"/>
                    </a:xfrm>
                    <a:prstGeom prst="rect">
                      <a:avLst/>
                    </a:prstGeom>
                  </pic:spPr>
                </pic:pic>
              </a:graphicData>
            </a:graphic>
          </wp:inline>
        </w:drawing>
      </w:r>
      <w:r>
        <w:rPr>
          <w:rFonts w:ascii="Times New Roman"/>
          <w:position w:val="-2"/>
          <w:sz w:val="15"/>
        </w:rPr>
      </w:r>
    </w:p>
    <w:p>
      <w:pPr>
        <w:spacing w:before="0"/>
        <w:ind w:left="207" w:right="61" w:hanging="6"/>
        <w:jc w:val="left"/>
        <w:rPr>
          <w:rFonts w:ascii="Times New Roman"/>
          <w:sz w:val="17"/>
        </w:rPr>
      </w:pPr>
      <w:r>
        <w:rPr/>
        <w:drawing>
          <wp:anchor distT="0" distB="0" distL="0" distR="0" allowOverlap="1" layoutInCell="1" locked="0" behindDoc="0" simplePos="0" relativeHeight="15801344">
            <wp:simplePos x="0" y="0"/>
            <wp:positionH relativeFrom="page">
              <wp:posOffset>5878054</wp:posOffset>
            </wp:positionH>
            <wp:positionV relativeFrom="paragraph">
              <wp:posOffset>351250</wp:posOffset>
            </wp:positionV>
            <wp:extent cx="214306" cy="104139"/>
            <wp:effectExtent l="0" t="0" r="0" b="0"/>
            <wp:wrapNone/>
            <wp:docPr id="236" name="Image 236"/>
            <wp:cNvGraphicFramePr>
              <a:graphicFrameLocks/>
            </wp:cNvGraphicFramePr>
            <a:graphic>
              <a:graphicData uri="http://schemas.openxmlformats.org/drawingml/2006/picture">
                <pic:pic>
                  <pic:nvPicPr>
                    <pic:cNvPr id="236" name="Image 236"/>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color w:val="363133"/>
          <w:w w:val="105"/>
          <w:sz w:val="17"/>
        </w:rPr>
        <w:t>Nurodykite savo</w:t>
      </w:r>
      <w:r>
        <w:rPr>
          <w:rFonts w:ascii="Times New Roman"/>
          <w:color w:val="363133"/>
          <w:spacing w:val="-9"/>
          <w:w w:val="105"/>
          <w:sz w:val="17"/>
        </w:rPr>
        <w:t> </w:t>
      </w:r>
      <w:r>
        <w:rPr>
          <w:rFonts w:ascii="Times New Roman"/>
          <w:color w:val="363133"/>
          <w:w w:val="105"/>
          <w:sz w:val="17"/>
        </w:rPr>
        <w:t>kalbfl.</w:t>
      </w:r>
      <w:r>
        <w:rPr>
          <w:rFonts w:ascii="Times New Roman"/>
          <w:color w:val="363133"/>
          <w:spacing w:val="-10"/>
          <w:w w:val="105"/>
          <w:sz w:val="17"/>
        </w:rPr>
        <w:t> </w:t>
      </w:r>
      <w:r>
        <w:rPr>
          <w:rFonts w:ascii="Times New Roman"/>
          <w:color w:val="363133"/>
          <w:w w:val="105"/>
          <w:sz w:val="17"/>
        </w:rPr>
        <w:t>Bus</w:t>
      </w:r>
      <w:r>
        <w:rPr>
          <w:rFonts w:ascii="Times New Roman"/>
          <w:color w:val="363133"/>
          <w:spacing w:val="-12"/>
          <w:w w:val="105"/>
          <w:sz w:val="17"/>
        </w:rPr>
        <w:t> </w:t>
      </w:r>
      <w:r>
        <w:rPr>
          <w:rFonts w:ascii="Times New Roman"/>
          <w:color w:val="363133"/>
          <w:w w:val="105"/>
          <w:sz w:val="17"/>
        </w:rPr>
        <w:t>pakviestas vertejas</w:t>
      </w:r>
      <w:r>
        <w:rPr>
          <w:rFonts w:ascii="Times New Roman"/>
          <w:color w:val="625E60"/>
          <w:w w:val="105"/>
          <w:sz w:val="17"/>
        </w:rPr>
        <w:t>. </w:t>
      </w:r>
      <w:r>
        <w:rPr>
          <w:rFonts w:ascii="Times New Roman"/>
          <w:color w:val="363133"/>
          <w:w w:val="105"/>
          <w:sz w:val="17"/>
        </w:rPr>
        <w:t>Vertejas jums bus </w:t>
      </w:r>
      <w:r>
        <w:rPr>
          <w:rFonts w:ascii="Times New Roman"/>
          <w:color w:val="494646"/>
          <w:w w:val="105"/>
          <w:sz w:val="17"/>
        </w:rPr>
        <w:t>suteiktas </w:t>
      </w:r>
      <w:r>
        <w:rPr>
          <w:rFonts w:ascii="Times New Roman"/>
          <w:color w:val="363133"/>
          <w:w w:val="105"/>
          <w:sz w:val="17"/>
        </w:rPr>
        <w:t>nemokamai.</w:t>
      </w:r>
    </w:p>
    <w:p>
      <w:pPr>
        <w:pStyle w:val="BodyText"/>
        <w:spacing w:before="5"/>
        <w:rPr>
          <w:rFonts w:ascii="Times New Roman"/>
          <w:sz w:val="5"/>
        </w:rPr>
      </w:pPr>
    </w:p>
    <w:p>
      <w:pPr>
        <w:pStyle w:val="BodyText"/>
        <w:spacing w:line="20" w:lineRule="exact"/>
        <w:ind w:left="136" w:right="-72"/>
        <w:rPr>
          <w:rFonts w:ascii="Times New Roman"/>
          <w:sz w:val="2"/>
        </w:rPr>
      </w:pPr>
      <w:r>
        <w:rPr>
          <w:rFonts w:ascii="Times New Roman"/>
          <w:sz w:val="2"/>
        </w:rPr>
        <mc:AlternateContent>
          <mc:Choice Requires="wps">
            <w:drawing>
              <wp:inline distT="0" distB="0" distL="0" distR="0">
                <wp:extent cx="2616200" cy="3175"/>
                <wp:effectExtent l="9525" t="0" r="0" b="6350"/>
                <wp:docPr id="237" name="Group 237"/>
                <wp:cNvGraphicFramePr>
                  <a:graphicFrameLocks/>
                </wp:cNvGraphicFramePr>
                <a:graphic>
                  <a:graphicData uri="http://schemas.microsoft.com/office/word/2010/wordprocessingGroup">
                    <wpg:wgp>
                      <wpg:cNvPr id="237" name="Group 237"/>
                      <wpg:cNvGrpSpPr/>
                      <wpg:grpSpPr>
                        <a:xfrm>
                          <a:off x="0" y="0"/>
                          <a:ext cx="2616200" cy="3175"/>
                          <a:chExt cx="2616200" cy="3175"/>
                        </a:xfrm>
                      </wpg:grpSpPr>
                      <wps:wsp>
                        <wps:cNvPr id="238" name="Graphic 23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77" coordorigin="0,0" coordsize="4120,5">
                <v:shape style="position:absolute;left:0;top:2;width:4120;height:2" id="docshape178"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772" w:val="left" w:leader="none"/>
        </w:tabs>
        <w:spacing w:line="273" w:lineRule="auto" w:before="0"/>
        <w:ind w:left="223" w:right="239" w:hanging="14"/>
        <w:jc w:val="left"/>
        <w:rPr>
          <w:rFonts w:ascii="Arial"/>
          <w:sz w:val="15"/>
        </w:rPr>
      </w:pPr>
      <w:r>
        <w:rPr>
          <w:rFonts w:ascii="Times New Roman"/>
          <w:b/>
          <w:color w:val="363133"/>
          <w:spacing w:val="-2"/>
          <w:sz w:val="19"/>
        </w:rPr>
        <w:t>Macedonian</w:t>
      </w:r>
      <w:r>
        <w:rPr>
          <w:rFonts w:ascii="Times New Roman"/>
          <w:b/>
          <w:color w:val="363133"/>
          <w:sz w:val="19"/>
        </w:rPr>
        <w:tab/>
      </w:r>
      <w:r>
        <w:rPr>
          <w:rFonts w:ascii="Times New Roman"/>
          <w:color w:val="262123"/>
          <w:spacing w:val="-2"/>
          <w:sz w:val="17"/>
        </w:rPr>
        <w:t>MaKe,qoHCK </w:t>
      </w:r>
      <w:r>
        <w:rPr>
          <w:rFonts w:ascii="Arial"/>
          <w:color w:val="262123"/>
          <w:w w:val="90"/>
          <w:sz w:val="15"/>
        </w:rPr>
        <w:t>noKa&gt;KeTe</w:t>
      </w:r>
      <w:r>
        <w:rPr>
          <w:rFonts w:ascii="Arial"/>
          <w:color w:val="262123"/>
          <w:spacing w:val="-3"/>
          <w:w w:val="90"/>
          <w:sz w:val="15"/>
        </w:rPr>
        <w:t> </w:t>
      </w:r>
      <w:r>
        <w:rPr>
          <w:rFonts w:ascii="Arial"/>
          <w:color w:val="262123"/>
          <w:w w:val="90"/>
          <w:sz w:val="15"/>
        </w:rPr>
        <w:t>Ha</w:t>
      </w:r>
      <w:r>
        <w:rPr>
          <w:rFonts w:ascii="Arial"/>
          <w:color w:val="262123"/>
          <w:spacing w:val="-6"/>
          <w:w w:val="90"/>
          <w:sz w:val="15"/>
        </w:rPr>
        <w:t> </w:t>
      </w:r>
      <w:r>
        <w:rPr>
          <w:rFonts w:ascii="Arial"/>
          <w:color w:val="262123"/>
          <w:w w:val="90"/>
          <w:sz w:val="15"/>
        </w:rPr>
        <w:t>ja3VIKOT</w:t>
      </w:r>
      <w:r>
        <w:rPr>
          <w:rFonts w:ascii="Arial"/>
          <w:color w:val="262123"/>
          <w:spacing w:val="-4"/>
          <w:w w:val="90"/>
          <w:sz w:val="15"/>
        </w:rPr>
        <w:t> </w:t>
      </w:r>
      <w:r>
        <w:rPr>
          <w:rFonts w:ascii="Arial"/>
          <w:color w:val="262123"/>
          <w:w w:val="90"/>
          <w:sz w:val="15"/>
        </w:rPr>
        <w:t>Ha</w:t>
      </w:r>
      <w:r>
        <w:rPr>
          <w:rFonts w:ascii="Arial"/>
          <w:color w:val="262123"/>
          <w:spacing w:val="-7"/>
          <w:w w:val="90"/>
          <w:sz w:val="15"/>
        </w:rPr>
        <w:t> </w:t>
      </w:r>
      <w:r>
        <w:rPr>
          <w:rFonts w:ascii="Arial"/>
          <w:color w:val="363133"/>
          <w:w w:val="90"/>
          <w:sz w:val="15"/>
        </w:rPr>
        <w:t>KOj</w:t>
      </w:r>
      <w:r>
        <w:rPr>
          <w:rFonts w:ascii="Arial"/>
          <w:color w:val="363133"/>
          <w:spacing w:val="-6"/>
          <w:w w:val="90"/>
          <w:sz w:val="15"/>
        </w:rPr>
        <w:t> </w:t>
      </w:r>
      <w:r>
        <w:rPr>
          <w:rFonts w:ascii="Arial"/>
          <w:color w:val="363133"/>
          <w:w w:val="90"/>
          <w:sz w:val="15"/>
        </w:rPr>
        <w:t>36opysaTe.</w:t>
      </w:r>
      <w:r>
        <w:rPr>
          <w:rFonts w:ascii="Arial"/>
          <w:color w:val="363133"/>
          <w:spacing w:val="-2"/>
          <w:w w:val="90"/>
          <w:sz w:val="15"/>
        </w:rPr>
        <w:t> </w:t>
      </w:r>
      <w:r>
        <w:rPr>
          <w:rFonts w:ascii="Arial"/>
          <w:color w:val="262123"/>
          <w:w w:val="90"/>
          <w:sz w:val="15"/>
        </w:rPr>
        <w:t>Ke</w:t>
      </w:r>
      <w:r>
        <w:rPr>
          <w:rFonts w:ascii="Arial"/>
          <w:color w:val="262123"/>
          <w:spacing w:val="-6"/>
          <w:w w:val="90"/>
          <w:sz w:val="15"/>
        </w:rPr>
        <w:t> </w:t>
      </w:r>
      <w:r>
        <w:rPr>
          <w:rFonts w:ascii="Arial"/>
          <w:color w:val="262123"/>
          <w:w w:val="90"/>
          <w:sz w:val="15"/>
        </w:rPr>
        <w:t>nOBVIKaMe</w:t>
      </w:r>
      <w:r>
        <w:rPr>
          <w:rFonts w:ascii="Arial"/>
          <w:color w:val="262123"/>
          <w:sz w:val="15"/>
        </w:rPr>
        <w:t> </w:t>
      </w:r>
      <w:r>
        <w:rPr>
          <w:rFonts w:ascii="Arial"/>
          <w:color w:val="262123"/>
          <w:spacing w:val="-6"/>
          <w:sz w:val="15"/>
        </w:rPr>
        <w:t>npeBeAyBa4</w:t>
      </w:r>
      <w:r>
        <w:rPr>
          <w:rFonts w:ascii="Arial"/>
          <w:color w:val="625E60"/>
          <w:spacing w:val="-6"/>
          <w:sz w:val="15"/>
        </w:rPr>
        <w:t>. </w:t>
      </w:r>
      <w:r>
        <w:rPr>
          <w:rFonts w:ascii="Arial"/>
          <w:color w:val="363133"/>
          <w:spacing w:val="-6"/>
          <w:sz w:val="15"/>
        </w:rPr>
        <w:t>Ycnyrvirn</w:t>
      </w:r>
      <w:r>
        <w:rPr>
          <w:rFonts w:ascii="Arial"/>
          <w:color w:val="363133"/>
          <w:spacing w:val="-5"/>
          <w:sz w:val="15"/>
        </w:rPr>
        <w:t> </w:t>
      </w:r>
      <w:r>
        <w:rPr>
          <w:rFonts w:ascii="Arial"/>
          <w:color w:val="363133"/>
          <w:spacing w:val="-6"/>
          <w:sz w:val="15"/>
        </w:rPr>
        <w:t>Ha</w:t>
      </w:r>
      <w:r>
        <w:rPr>
          <w:rFonts w:ascii="Arial"/>
          <w:color w:val="363133"/>
          <w:spacing w:val="-4"/>
          <w:sz w:val="15"/>
        </w:rPr>
        <w:t> </w:t>
      </w:r>
      <w:r>
        <w:rPr>
          <w:rFonts w:ascii="Arial"/>
          <w:color w:val="262123"/>
          <w:spacing w:val="-6"/>
          <w:sz w:val="15"/>
        </w:rPr>
        <w:t>npeBeAyBa4oT</w:t>
      </w:r>
      <w:r>
        <w:rPr>
          <w:rFonts w:ascii="Arial"/>
          <w:color w:val="262123"/>
          <w:spacing w:val="4"/>
          <w:sz w:val="15"/>
        </w:rPr>
        <w:t> </w:t>
      </w:r>
      <w:r>
        <w:rPr>
          <w:rFonts w:ascii="Arial"/>
          <w:color w:val="363133"/>
          <w:spacing w:val="-6"/>
          <w:sz w:val="15"/>
        </w:rPr>
        <w:t>ce</w:t>
      </w:r>
      <w:r>
        <w:rPr>
          <w:rFonts w:ascii="Arial"/>
          <w:color w:val="363133"/>
          <w:spacing w:val="-5"/>
          <w:sz w:val="15"/>
        </w:rPr>
        <w:t> </w:t>
      </w:r>
      <w:r>
        <w:rPr>
          <w:rFonts w:ascii="Arial"/>
          <w:color w:val="363133"/>
          <w:spacing w:val="-6"/>
          <w:sz w:val="15"/>
        </w:rPr>
        <w:t>6ecnnaTHl-1.</w:t>
      </w:r>
    </w:p>
    <w:p>
      <w:pPr>
        <w:pStyle w:val="BodyText"/>
        <w:spacing w:before="4"/>
        <w:rPr>
          <w:rFonts w:ascii="Arial"/>
          <w:sz w:val="3"/>
        </w:rPr>
      </w:pPr>
    </w:p>
    <w:p>
      <w:pPr>
        <w:pStyle w:val="BodyText"/>
        <w:spacing w:line="20" w:lineRule="exact"/>
        <w:ind w:left="136" w:right="-72"/>
        <w:rPr>
          <w:rFonts w:ascii="Arial"/>
          <w:sz w:val="2"/>
        </w:rPr>
      </w:pPr>
      <w:r>
        <w:rPr>
          <w:rFonts w:ascii="Arial"/>
          <w:sz w:val="2"/>
        </w:rPr>
        <mc:AlternateContent>
          <mc:Choice Requires="wps">
            <w:drawing>
              <wp:inline distT="0" distB="0" distL="0" distR="0">
                <wp:extent cx="2616200" cy="3175"/>
                <wp:effectExtent l="9525" t="0" r="0" b="6350"/>
                <wp:docPr id="239" name="Group 239"/>
                <wp:cNvGraphicFramePr>
                  <a:graphicFrameLocks/>
                </wp:cNvGraphicFramePr>
                <a:graphic>
                  <a:graphicData uri="http://schemas.microsoft.com/office/word/2010/wordprocessingGroup">
                    <wpg:wgp>
                      <wpg:cNvPr id="239" name="Group 239"/>
                      <wpg:cNvGrpSpPr/>
                      <wpg:grpSpPr>
                        <a:xfrm>
                          <a:off x="0" y="0"/>
                          <a:ext cx="2616200" cy="3175"/>
                          <a:chExt cx="2616200" cy="3175"/>
                        </a:xfrm>
                      </wpg:grpSpPr>
                      <wps:wsp>
                        <wps:cNvPr id="240" name="Graphic 240"/>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79" coordorigin="0,0" coordsize="4120,5">
                <v:shape style="position:absolute;left:0;top:2;width:4120;height:2" id="docshape180"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3276" w:val="left" w:leader="none"/>
        </w:tabs>
        <w:spacing w:before="0"/>
        <w:ind w:left="206" w:right="0" w:firstLine="0"/>
        <w:jc w:val="left"/>
        <w:rPr>
          <w:rFonts w:ascii="Times New Roman"/>
          <w:sz w:val="17"/>
        </w:rPr>
      </w:pPr>
      <w:r>
        <w:rPr/>
        <w:drawing>
          <wp:anchor distT="0" distB="0" distL="0" distR="0" allowOverlap="1" layoutInCell="1" locked="0" behindDoc="0" simplePos="0" relativeHeight="15801856">
            <wp:simplePos x="0" y="0"/>
            <wp:positionH relativeFrom="page">
              <wp:posOffset>5878054</wp:posOffset>
            </wp:positionH>
            <wp:positionV relativeFrom="paragraph">
              <wp:posOffset>58448</wp:posOffset>
            </wp:positionV>
            <wp:extent cx="214306" cy="104139"/>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5"/>
          <w:sz w:val="19"/>
        </w:rPr>
        <w:t>Norwegian</w:t>
      </w:r>
      <w:r>
        <w:rPr>
          <w:rFonts w:ascii="Times New Roman"/>
          <w:b/>
          <w:color w:val="262123"/>
          <w:sz w:val="19"/>
        </w:rPr>
        <w:tab/>
      </w:r>
      <w:r>
        <w:rPr>
          <w:rFonts w:ascii="Times New Roman"/>
          <w:color w:val="363133"/>
          <w:spacing w:val="-2"/>
          <w:w w:val="115"/>
          <w:sz w:val="17"/>
        </w:rPr>
        <w:t>Norsk</w:t>
      </w:r>
    </w:p>
    <w:p>
      <w:pPr>
        <w:spacing w:line="247" w:lineRule="auto" w:before="1"/>
        <w:ind w:left="208" w:right="913" w:firstLine="2"/>
        <w:jc w:val="left"/>
        <w:rPr>
          <w:rFonts w:ascii="Times New Roman"/>
          <w:sz w:val="17"/>
        </w:rPr>
      </w:pPr>
      <w:r>
        <w:rPr>
          <w:rFonts w:ascii="Times New Roman"/>
          <w:color w:val="363133"/>
          <w:w w:val="105"/>
          <w:sz w:val="17"/>
        </w:rPr>
        <w:t>Pek pa ditt sprak. Vi tilkaller en tolk. Tolken</w:t>
      </w:r>
      <w:r>
        <w:rPr>
          <w:rFonts w:ascii="Times New Roman"/>
          <w:color w:val="363133"/>
          <w:spacing w:val="-1"/>
          <w:w w:val="105"/>
          <w:sz w:val="17"/>
        </w:rPr>
        <w:t> </w:t>
      </w:r>
      <w:r>
        <w:rPr>
          <w:rFonts w:ascii="Times New Roman"/>
          <w:color w:val="363133"/>
          <w:w w:val="105"/>
          <w:sz w:val="17"/>
        </w:rPr>
        <w:t>arbeider</w:t>
      </w:r>
      <w:r>
        <w:rPr>
          <w:rFonts w:ascii="Times New Roman"/>
          <w:color w:val="363133"/>
          <w:spacing w:val="-1"/>
          <w:w w:val="105"/>
          <w:sz w:val="17"/>
        </w:rPr>
        <w:t> </w:t>
      </w:r>
      <w:r>
        <w:rPr>
          <w:rFonts w:ascii="Times New Roman"/>
          <w:color w:val="363133"/>
          <w:w w:val="105"/>
          <w:sz w:val="17"/>
        </w:rPr>
        <w:t>uten</w:t>
      </w:r>
      <w:r>
        <w:rPr>
          <w:rFonts w:ascii="Times New Roman"/>
          <w:color w:val="363133"/>
          <w:spacing w:val="-3"/>
          <w:w w:val="105"/>
          <w:sz w:val="17"/>
        </w:rPr>
        <w:t> </w:t>
      </w:r>
      <w:r>
        <w:rPr>
          <w:rFonts w:ascii="Times New Roman"/>
          <w:color w:val="363133"/>
          <w:w w:val="105"/>
          <w:sz w:val="17"/>
        </w:rPr>
        <w:t>at</w:t>
      </w:r>
      <w:r>
        <w:rPr>
          <w:rFonts w:ascii="Times New Roman"/>
          <w:color w:val="363133"/>
          <w:spacing w:val="-6"/>
          <w:w w:val="105"/>
          <w:sz w:val="17"/>
        </w:rPr>
        <w:t> </w:t>
      </w:r>
      <w:r>
        <w:rPr>
          <w:rFonts w:ascii="Times New Roman"/>
          <w:color w:val="363133"/>
          <w:w w:val="105"/>
          <w:sz w:val="17"/>
        </w:rPr>
        <w:t>det</w:t>
      </w:r>
      <w:r>
        <w:rPr>
          <w:rFonts w:ascii="Times New Roman"/>
          <w:color w:val="363133"/>
          <w:spacing w:val="-4"/>
          <w:w w:val="105"/>
          <w:sz w:val="17"/>
        </w:rPr>
        <w:t> </w:t>
      </w:r>
      <w:r>
        <w:rPr>
          <w:rFonts w:ascii="Times New Roman"/>
          <w:color w:val="363133"/>
          <w:w w:val="105"/>
          <w:sz w:val="17"/>
        </w:rPr>
        <w:t>koster</w:t>
      </w:r>
      <w:r>
        <w:rPr>
          <w:rFonts w:ascii="Times New Roman"/>
          <w:color w:val="363133"/>
          <w:spacing w:val="-5"/>
          <w:w w:val="105"/>
          <w:sz w:val="17"/>
        </w:rPr>
        <w:t> </w:t>
      </w:r>
      <w:r>
        <w:rPr>
          <w:rFonts w:ascii="Times New Roman"/>
          <w:color w:val="363133"/>
          <w:w w:val="105"/>
          <w:sz w:val="17"/>
        </w:rPr>
        <w:t>deg</w:t>
      </w:r>
      <w:r>
        <w:rPr>
          <w:rFonts w:ascii="Times New Roman"/>
          <w:color w:val="363133"/>
          <w:spacing w:val="-3"/>
          <w:w w:val="105"/>
          <w:sz w:val="17"/>
        </w:rPr>
        <w:t> </w:t>
      </w:r>
      <w:r>
        <w:rPr>
          <w:rFonts w:ascii="Times New Roman"/>
          <w:color w:val="363133"/>
          <w:w w:val="105"/>
          <w:sz w:val="17"/>
        </w:rPr>
        <w:t>noe.</w:t>
      </w:r>
    </w:p>
    <w:p>
      <w:pPr>
        <w:spacing w:line="151" w:lineRule="exact"/>
        <w:ind w:left="3844" w:right="0" w:firstLine="0"/>
        <w:rPr>
          <w:rFonts w:ascii="Times New Roman"/>
          <w:sz w:val="15"/>
        </w:rPr>
      </w:pPr>
      <w:r>
        <w:rPr/>
        <w:br w:type="column"/>
      </w:r>
      <w:r>
        <w:rPr>
          <w:rFonts w:ascii="Times New Roman"/>
          <w:position w:val="-2"/>
          <w:sz w:val="15"/>
        </w:rPr>
        <w:drawing>
          <wp:inline distT="0" distB="0" distL="0" distR="0">
            <wp:extent cx="211796" cy="96392"/>
            <wp:effectExtent l="0" t="0" r="0" b="0"/>
            <wp:docPr id="242" name="Image 242"/>
            <wp:cNvGraphicFramePr>
              <a:graphicFrameLocks/>
            </wp:cNvGraphicFramePr>
            <a:graphic>
              <a:graphicData uri="http://schemas.openxmlformats.org/drawingml/2006/picture">
                <pic:pic>
                  <pic:nvPicPr>
                    <pic:cNvPr id="242" name="Image 242"/>
                    <pic:cNvPicPr/>
                  </pic:nvPicPr>
                  <pic:blipFill>
                    <a:blip r:embed="rId106" cstate="print"/>
                    <a:stretch>
                      <a:fillRect/>
                    </a:stretch>
                  </pic:blipFill>
                  <pic:spPr>
                    <a:xfrm>
                      <a:off x="0" y="0"/>
                      <a:ext cx="211796" cy="96392"/>
                    </a:xfrm>
                    <a:prstGeom prst="rect">
                      <a:avLst/>
                    </a:prstGeom>
                  </pic:spPr>
                </pic:pic>
              </a:graphicData>
            </a:graphic>
          </wp:inline>
        </w:drawing>
      </w:r>
      <w:r>
        <w:rPr>
          <w:rFonts w:ascii="Times New Roman"/>
          <w:position w:val="-2"/>
          <w:sz w:val="15"/>
        </w:rPr>
      </w:r>
    </w:p>
    <w:p>
      <w:pPr>
        <w:spacing w:line="247" w:lineRule="auto" w:before="16"/>
        <w:ind w:left="216" w:right="0" w:firstLine="3"/>
        <w:jc w:val="left"/>
        <w:rPr>
          <w:rFonts w:ascii="Times New Roman"/>
          <w:sz w:val="17"/>
        </w:rPr>
      </w:pPr>
      <w:r>
        <w:rPr>
          <w:rFonts w:ascii="Times New Roman"/>
          <w:color w:val="363133"/>
          <w:w w:val="105"/>
          <w:sz w:val="17"/>
        </w:rPr>
        <w:t>Tunjukkan bahasa</w:t>
      </w:r>
      <w:r>
        <w:rPr>
          <w:rFonts w:ascii="Times New Roman"/>
          <w:color w:val="363133"/>
          <w:spacing w:val="-4"/>
          <w:w w:val="105"/>
          <w:sz w:val="17"/>
        </w:rPr>
        <w:t> </w:t>
      </w:r>
      <w:r>
        <w:rPr>
          <w:rFonts w:ascii="Times New Roman"/>
          <w:color w:val="363133"/>
          <w:w w:val="105"/>
          <w:sz w:val="17"/>
        </w:rPr>
        <w:t>Anda.</w:t>
      </w:r>
      <w:r>
        <w:rPr>
          <w:rFonts w:ascii="Times New Roman"/>
          <w:color w:val="363133"/>
          <w:spacing w:val="-4"/>
          <w:w w:val="105"/>
          <w:sz w:val="17"/>
        </w:rPr>
        <w:t> </w:t>
      </w:r>
      <w:r>
        <w:rPr>
          <w:rFonts w:ascii="Times New Roman"/>
          <w:color w:val="363133"/>
          <w:w w:val="105"/>
          <w:sz w:val="17"/>
        </w:rPr>
        <w:t>Jurubahasa akan</w:t>
      </w:r>
      <w:r>
        <w:rPr>
          <w:rFonts w:ascii="Times New Roman"/>
          <w:color w:val="363133"/>
          <w:spacing w:val="-4"/>
          <w:w w:val="105"/>
          <w:sz w:val="17"/>
        </w:rPr>
        <w:t> </w:t>
      </w:r>
      <w:r>
        <w:rPr>
          <w:rFonts w:ascii="Times New Roman"/>
          <w:color w:val="363133"/>
          <w:w w:val="105"/>
          <w:sz w:val="17"/>
        </w:rPr>
        <w:t>diadakan</w:t>
      </w:r>
      <w:r>
        <w:rPr>
          <w:rFonts w:ascii="Times New Roman"/>
          <w:color w:val="625E60"/>
          <w:w w:val="105"/>
          <w:sz w:val="17"/>
        </w:rPr>
        <w:t>. </w:t>
      </w:r>
      <w:r>
        <w:rPr>
          <w:rFonts w:ascii="Times New Roman"/>
          <w:color w:val="363133"/>
          <w:w w:val="105"/>
          <w:sz w:val="17"/>
        </w:rPr>
        <w:t>Jurubahasa diadakan </w:t>
      </w:r>
      <w:r>
        <w:rPr>
          <w:rFonts w:ascii="Times New Roman"/>
          <w:color w:val="262123"/>
          <w:w w:val="105"/>
          <w:sz w:val="17"/>
        </w:rPr>
        <w:t>tanpa </w:t>
      </w:r>
      <w:r>
        <w:rPr>
          <w:rFonts w:ascii="Times New Roman"/>
          <w:color w:val="363133"/>
          <w:w w:val="105"/>
          <w:sz w:val="17"/>
        </w:rPr>
        <w:t>Anda dibebani biaya.</w:t>
      </w:r>
    </w:p>
    <w:p>
      <w:pPr>
        <w:pStyle w:val="BodyText"/>
        <w:spacing w:before="7"/>
        <w:rPr>
          <w:rFonts w:ascii="Times New Roman"/>
          <w:sz w:val="3"/>
        </w:rPr>
      </w:pPr>
    </w:p>
    <w:p>
      <w:pPr>
        <w:pStyle w:val="BodyText"/>
        <w:spacing w:line="20" w:lineRule="exact"/>
        <w:ind w:left="107" w:right="-72"/>
        <w:rPr>
          <w:rFonts w:ascii="Times New Roman"/>
          <w:sz w:val="2"/>
        </w:rPr>
      </w:pPr>
      <w:r>
        <w:rPr>
          <w:rFonts w:ascii="Times New Roman"/>
          <w:sz w:val="2"/>
        </w:rPr>
        <mc:AlternateContent>
          <mc:Choice Requires="wps">
            <w:drawing>
              <wp:inline distT="0" distB="0" distL="0" distR="0">
                <wp:extent cx="2616200" cy="3175"/>
                <wp:effectExtent l="9525" t="0" r="0" b="6350"/>
                <wp:docPr id="243" name="Group 243"/>
                <wp:cNvGraphicFramePr>
                  <a:graphicFrameLocks/>
                </wp:cNvGraphicFramePr>
                <a:graphic>
                  <a:graphicData uri="http://schemas.microsoft.com/office/word/2010/wordprocessingGroup">
                    <wpg:wgp>
                      <wpg:cNvPr id="243" name="Group 243"/>
                      <wpg:cNvGrpSpPr/>
                      <wpg:grpSpPr>
                        <a:xfrm>
                          <a:off x="0" y="0"/>
                          <a:ext cx="2616200" cy="3175"/>
                          <a:chExt cx="2616200" cy="3175"/>
                        </a:xfrm>
                      </wpg:grpSpPr>
                      <wps:wsp>
                        <wps:cNvPr id="244" name="Graphic 244"/>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81" coordorigin="0,0" coordsize="4120,5">
                <v:shape style="position:absolute;left:0;top:2;width:4120;height:2" id="docshape182"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542" w:val="left" w:leader="none"/>
        </w:tabs>
        <w:spacing w:before="0"/>
        <w:ind w:left="225" w:right="0" w:firstLine="0"/>
        <w:jc w:val="left"/>
        <w:rPr>
          <w:rFonts w:ascii="Times New Roman"/>
          <w:sz w:val="17"/>
        </w:rPr>
      </w:pPr>
      <w:r>
        <w:rPr/>
        <w:drawing>
          <wp:anchor distT="0" distB="0" distL="0" distR="0" allowOverlap="1" layoutInCell="1" locked="0" behindDoc="0" simplePos="0" relativeHeight="15808512">
            <wp:simplePos x="0" y="0"/>
            <wp:positionH relativeFrom="page">
              <wp:posOffset>9053054</wp:posOffset>
            </wp:positionH>
            <wp:positionV relativeFrom="paragraph">
              <wp:posOffset>57828</wp:posOffset>
            </wp:positionV>
            <wp:extent cx="214299" cy="104139"/>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106" cstate="print"/>
                    <a:stretch>
                      <a:fillRect/>
                    </a:stretch>
                  </pic:blipFill>
                  <pic:spPr>
                    <a:xfrm>
                      <a:off x="0" y="0"/>
                      <a:ext cx="214299" cy="104139"/>
                    </a:xfrm>
                    <a:prstGeom prst="rect">
                      <a:avLst/>
                    </a:prstGeom>
                  </pic:spPr>
                </pic:pic>
              </a:graphicData>
            </a:graphic>
          </wp:anchor>
        </w:drawing>
      </w:r>
      <w:r>
        <w:rPr>
          <w:rFonts w:ascii="Times New Roman"/>
          <w:b/>
          <w:color w:val="363133"/>
          <w:spacing w:val="-4"/>
          <w:w w:val="115"/>
          <w:sz w:val="19"/>
        </w:rPr>
        <w:t>Malay</w:t>
      </w:r>
      <w:r>
        <w:rPr>
          <w:rFonts w:ascii="Times New Roman"/>
          <w:b/>
          <w:color w:val="363133"/>
          <w:sz w:val="19"/>
        </w:rPr>
        <w:tab/>
      </w:r>
      <w:r>
        <w:rPr>
          <w:rFonts w:ascii="Times New Roman"/>
          <w:color w:val="363133"/>
          <w:w w:val="115"/>
          <w:sz w:val="17"/>
        </w:rPr>
        <w:t>Bahasa</w:t>
      </w:r>
      <w:r>
        <w:rPr>
          <w:rFonts w:ascii="Times New Roman"/>
          <w:color w:val="363133"/>
          <w:spacing w:val="6"/>
          <w:w w:val="115"/>
          <w:sz w:val="17"/>
        </w:rPr>
        <w:t> </w:t>
      </w:r>
      <w:r>
        <w:rPr>
          <w:rFonts w:ascii="Times New Roman"/>
          <w:color w:val="363133"/>
          <w:spacing w:val="-2"/>
          <w:w w:val="115"/>
          <w:sz w:val="17"/>
        </w:rPr>
        <w:t>Melayu</w:t>
      </w:r>
    </w:p>
    <w:p>
      <w:pPr>
        <w:spacing w:line="247" w:lineRule="auto" w:before="0"/>
        <w:ind w:left="216" w:right="0" w:hanging="2"/>
        <w:jc w:val="left"/>
        <w:rPr>
          <w:rFonts w:ascii="Times New Roman"/>
          <w:sz w:val="17"/>
        </w:rPr>
      </w:pPr>
      <w:r>
        <w:rPr>
          <w:rFonts w:ascii="Times New Roman"/>
          <w:color w:val="363133"/>
          <w:sz w:val="17"/>
        </w:rPr>
        <w:t>Tunjukkan bahasa anda. Jurubahasa akan dihubungi. </w:t>
      </w:r>
      <w:r>
        <w:rPr>
          <w:rFonts w:ascii="Times New Roman"/>
          <w:color w:val="363133"/>
          <w:spacing w:val="-2"/>
          <w:sz w:val="17"/>
        </w:rPr>
        <w:t>Jurubahasa akan</w:t>
      </w:r>
      <w:r>
        <w:rPr>
          <w:rFonts w:ascii="Times New Roman"/>
          <w:color w:val="363133"/>
          <w:spacing w:val="-3"/>
          <w:sz w:val="17"/>
        </w:rPr>
        <w:t> </w:t>
      </w:r>
      <w:r>
        <w:rPr>
          <w:rFonts w:ascii="Times New Roman"/>
          <w:color w:val="363133"/>
          <w:spacing w:val="-2"/>
          <w:sz w:val="17"/>
        </w:rPr>
        <w:t>disediakan tanpa</w:t>
      </w:r>
      <w:r>
        <w:rPr>
          <w:rFonts w:ascii="Times New Roman"/>
          <w:color w:val="363133"/>
          <w:spacing w:val="-4"/>
          <w:sz w:val="17"/>
        </w:rPr>
        <w:t> </w:t>
      </w:r>
      <w:r>
        <w:rPr>
          <w:rFonts w:ascii="Times New Roman"/>
          <w:color w:val="363133"/>
          <w:spacing w:val="-2"/>
          <w:sz w:val="17"/>
        </w:rPr>
        <w:t>anda</w:t>
      </w:r>
      <w:r>
        <w:rPr>
          <w:rFonts w:ascii="Times New Roman"/>
          <w:color w:val="363133"/>
          <w:spacing w:val="-6"/>
          <w:sz w:val="17"/>
        </w:rPr>
        <w:t> </w:t>
      </w:r>
      <w:r>
        <w:rPr>
          <w:rFonts w:ascii="Times New Roman"/>
          <w:color w:val="363133"/>
          <w:spacing w:val="-2"/>
          <w:sz w:val="17"/>
        </w:rPr>
        <w:t>dikenakan bayaran</w:t>
      </w:r>
      <w:r>
        <w:rPr>
          <w:rFonts w:ascii="Times New Roman"/>
          <w:color w:val="625E60"/>
          <w:spacing w:val="-2"/>
          <w:sz w:val="17"/>
        </w:rPr>
        <w:t>.</w:t>
      </w:r>
    </w:p>
    <w:p>
      <w:pPr>
        <w:pStyle w:val="BodyText"/>
        <w:spacing w:before="2"/>
        <w:rPr>
          <w:rFonts w:ascii="Times New Roman"/>
          <w:sz w:val="5"/>
        </w:rPr>
      </w:pPr>
    </w:p>
    <w:p>
      <w:pPr>
        <w:pStyle w:val="BodyText"/>
        <w:spacing w:line="20" w:lineRule="exact"/>
        <w:ind w:left="107" w:right="-72"/>
        <w:rPr>
          <w:rFonts w:ascii="Times New Roman"/>
          <w:sz w:val="2"/>
        </w:rPr>
      </w:pPr>
      <w:r>
        <w:rPr>
          <w:rFonts w:ascii="Times New Roman"/>
          <w:sz w:val="2"/>
        </w:rPr>
        <mc:AlternateContent>
          <mc:Choice Requires="wps">
            <w:drawing>
              <wp:inline distT="0" distB="0" distL="0" distR="0">
                <wp:extent cx="2616200" cy="3175"/>
                <wp:effectExtent l="9525" t="0" r="0" b="6350"/>
                <wp:docPr id="246" name="Group 246"/>
                <wp:cNvGraphicFramePr>
                  <a:graphicFrameLocks/>
                </wp:cNvGraphicFramePr>
                <a:graphic>
                  <a:graphicData uri="http://schemas.microsoft.com/office/word/2010/wordprocessingGroup">
                    <wpg:wgp>
                      <wpg:cNvPr id="246" name="Group 246"/>
                      <wpg:cNvGrpSpPr/>
                      <wpg:grpSpPr>
                        <a:xfrm>
                          <a:off x="0" y="0"/>
                          <a:ext cx="2616200" cy="3175"/>
                          <a:chExt cx="2616200" cy="3175"/>
                        </a:xfrm>
                      </wpg:grpSpPr>
                      <wps:wsp>
                        <wps:cNvPr id="247" name="Graphic 247"/>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83" coordorigin="0,0" coordsize="4120,5">
                <v:shape style="position:absolute;left:0;top:2;width:4120;height:2" id="docshape184"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821" w:val="left" w:leader="none"/>
        </w:tabs>
        <w:spacing w:line="249" w:lineRule="auto" w:before="0"/>
        <w:ind w:left="207" w:right="440" w:hanging="6"/>
        <w:jc w:val="left"/>
        <w:rPr>
          <w:rFonts w:ascii="Times New Roman"/>
          <w:sz w:val="17"/>
        </w:rPr>
      </w:pPr>
      <w:r>
        <w:rPr/>
        <mc:AlternateContent>
          <mc:Choice Requires="wps">
            <w:drawing>
              <wp:anchor distT="0" distB="0" distL="0" distR="0" allowOverlap="1" layoutInCell="1" locked="0" behindDoc="0" simplePos="0" relativeHeight="15790592">
                <wp:simplePos x="0" y="0"/>
                <wp:positionH relativeFrom="page">
                  <wp:posOffset>6679903</wp:posOffset>
                </wp:positionH>
                <wp:positionV relativeFrom="paragraph">
                  <wp:posOffset>441035</wp:posOffset>
                </wp:positionV>
                <wp:extent cx="2616200" cy="1270"/>
                <wp:effectExtent l="0" t="0" r="0" b="0"/>
                <wp:wrapNone/>
                <wp:docPr id="248" name="Graphic 248"/>
                <wp:cNvGraphicFramePr>
                  <a:graphicFrameLocks/>
                </wp:cNvGraphicFramePr>
                <a:graphic>
                  <a:graphicData uri="http://schemas.microsoft.com/office/word/2010/wordprocessingShape">
                    <wps:wsp>
                      <wps:cNvPr id="248" name="Graphic 248"/>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34.727234pt;width:206pt;height:.1pt;mso-position-horizontal-relative:page;mso-position-vertical-relative:paragraph;z-index:15790592" id="docshape185" coordorigin="10520,695" coordsize="4120,0" path="m10520,695l11163,695,12580,695,13996,695,14640,695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09024">
            <wp:simplePos x="0" y="0"/>
            <wp:positionH relativeFrom="page">
              <wp:posOffset>9053054</wp:posOffset>
            </wp:positionH>
            <wp:positionV relativeFrom="paragraph">
              <wp:posOffset>58448</wp:posOffset>
            </wp:positionV>
            <wp:extent cx="214299" cy="104139"/>
            <wp:effectExtent l="0" t="0" r="0" b="0"/>
            <wp:wrapNone/>
            <wp:docPr id="249" name="Image 249"/>
            <wp:cNvGraphicFramePr>
              <a:graphicFrameLocks/>
            </wp:cNvGraphicFramePr>
            <a:graphic>
              <a:graphicData uri="http://schemas.openxmlformats.org/drawingml/2006/picture">
                <pic:pic>
                  <pic:nvPicPr>
                    <pic:cNvPr id="249" name="Image 249"/>
                    <pic:cNvPicPr/>
                  </pic:nvPicPr>
                  <pic:blipFill>
                    <a:blip r:embed="rId106" cstate="print"/>
                    <a:stretch>
                      <a:fillRect/>
                    </a:stretch>
                  </pic:blipFill>
                  <pic:spPr>
                    <a:xfrm>
                      <a:off x="0" y="0"/>
                      <a:ext cx="214299" cy="104139"/>
                    </a:xfrm>
                    <a:prstGeom prst="rect">
                      <a:avLst/>
                    </a:prstGeom>
                  </pic:spPr>
                </pic:pic>
              </a:graphicData>
            </a:graphic>
          </wp:anchor>
        </w:drawing>
      </w:r>
      <w:r>
        <w:rPr/>
        <w:drawing>
          <wp:anchor distT="0" distB="0" distL="0" distR="0" allowOverlap="1" layoutInCell="1" locked="0" behindDoc="0" simplePos="0" relativeHeight="15809536">
            <wp:simplePos x="0" y="0"/>
            <wp:positionH relativeFrom="page">
              <wp:posOffset>9053054</wp:posOffset>
            </wp:positionH>
            <wp:positionV relativeFrom="paragraph">
              <wp:posOffset>498508</wp:posOffset>
            </wp:positionV>
            <wp:extent cx="214299" cy="104139"/>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102" cstate="print"/>
                    <a:stretch>
                      <a:fillRect/>
                    </a:stretch>
                  </pic:blipFill>
                  <pic:spPr>
                    <a:xfrm>
                      <a:off x="0" y="0"/>
                      <a:ext cx="214299" cy="104139"/>
                    </a:xfrm>
                    <a:prstGeom prst="rect">
                      <a:avLst/>
                    </a:prstGeom>
                  </pic:spPr>
                </pic:pic>
              </a:graphicData>
            </a:graphic>
          </wp:anchor>
        </w:drawing>
      </w:r>
      <w:r>
        <w:rPr>
          <w:rFonts w:ascii="Times New Roman"/>
          <w:b/>
          <w:color w:val="363133"/>
          <w:spacing w:val="-2"/>
          <w:sz w:val="19"/>
        </w:rPr>
        <w:t>Marshallese</w:t>
      </w:r>
      <w:r>
        <w:rPr>
          <w:rFonts w:ascii="Times New Roman"/>
          <w:b/>
          <w:color w:val="363133"/>
          <w:sz w:val="19"/>
        </w:rPr>
        <w:tab/>
      </w:r>
      <w:r>
        <w:rPr>
          <w:rFonts w:ascii="Times New Roman"/>
          <w:color w:val="363133"/>
          <w:sz w:val="17"/>
        </w:rPr>
        <w:t>Kajin </w:t>
      </w:r>
      <w:r>
        <w:rPr>
          <w:rFonts w:ascii="Times New Roman"/>
          <w:color w:val="363133"/>
          <w:sz w:val="17"/>
        </w:rPr>
        <w:t>Majol Kwalok Kajifi</w:t>
      </w:r>
      <w:r>
        <w:rPr>
          <w:rFonts w:ascii="Times New Roman"/>
          <w:color w:val="363133"/>
          <w:spacing w:val="-8"/>
          <w:sz w:val="17"/>
        </w:rPr>
        <w:t> </w:t>
      </w:r>
      <w:r>
        <w:rPr>
          <w:rFonts w:ascii="Arial"/>
          <w:color w:val="363133"/>
          <w:sz w:val="16"/>
        </w:rPr>
        <w:t>Eo</w:t>
      </w:r>
      <w:r>
        <w:rPr>
          <w:rFonts w:ascii="Arial"/>
          <w:color w:val="363133"/>
          <w:spacing w:val="-5"/>
          <w:sz w:val="16"/>
        </w:rPr>
        <w:t> </w:t>
      </w:r>
      <w:r>
        <w:rPr>
          <w:rFonts w:ascii="Times New Roman"/>
          <w:color w:val="363133"/>
          <w:sz w:val="17"/>
        </w:rPr>
        <w:t>Am.</w:t>
      </w:r>
      <w:r>
        <w:rPr>
          <w:rFonts w:ascii="Times New Roman"/>
          <w:color w:val="363133"/>
          <w:spacing w:val="-4"/>
          <w:sz w:val="17"/>
        </w:rPr>
        <w:t> </w:t>
      </w:r>
      <w:r>
        <w:rPr>
          <w:rFonts w:ascii="Times New Roman"/>
          <w:color w:val="363133"/>
          <w:sz w:val="17"/>
        </w:rPr>
        <w:t>Im Renaj</w:t>
      </w:r>
      <w:r>
        <w:rPr>
          <w:rFonts w:ascii="Times New Roman"/>
          <w:color w:val="363133"/>
          <w:spacing w:val="-4"/>
          <w:sz w:val="17"/>
        </w:rPr>
        <w:t> </w:t>
      </w:r>
      <w:r>
        <w:rPr>
          <w:rFonts w:ascii="Times New Roman"/>
          <w:color w:val="363133"/>
          <w:sz w:val="17"/>
        </w:rPr>
        <w:t>Kir</w:t>
      </w:r>
      <w:r>
        <w:rPr>
          <w:rFonts w:ascii="Times New Roman"/>
          <w:color w:val="363133"/>
          <w:spacing w:val="-5"/>
          <w:sz w:val="17"/>
        </w:rPr>
        <w:t> </w:t>
      </w:r>
      <w:r>
        <w:rPr>
          <w:rFonts w:ascii="Times New Roman"/>
          <w:color w:val="363133"/>
          <w:sz w:val="17"/>
        </w:rPr>
        <w:t>Ri-ukokok</w:t>
      </w:r>
      <w:r>
        <w:rPr>
          <w:rFonts w:ascii="Times New Roman"/>
          <w:color w:val="363133"/>
          <w:spacing w:val="12"/>
          <w:sz w:val="17"/>
        </w:rPr>
        <w:t> </w:t>
      </w:r>
      <w:r>
        <w:rPr>
          <w:rFonts w:ascii="Times New Roman"/>
          <w:color w:val="494646"/>
          <w:sz w:val="17"/>
        </w:rPr>
        <w:t>Eo. </w:t>
      </w:r>
      <w:r>
        <w:rPr>
          <w:rFonts w:ascii="Times New Roman"/>
          <w:color w:val="363133"/>
          <w:sz w:val="17"/>
        </w:rPr>
        <w:t>R-ukok Eo </w:t>
      </w:r>
      <w:r>
        <w:rPr>
          <w:rFonts w:ascii="Times New Roman"/>
          <w:color w:val="494646"/>
          <w:sz w:val="17"/>
        </w:rPr>
        <w:t>Enaj Ejelok </w:t>
      </w:r>
      <w:r>
        <w:rPr>
          <w:rFonts w:ascii="Times New Roman"/>
          <w:color w:val="363133"/>
          <w:sz w:val="17"/>
        </w:rPr>
        <w:t>Wonen llo An Jibafi </w:t>
      </w:r>
      <w:r>
        <w:rPr>
          <w:rFonts w:ascii="Times New Roman"/>
          <w:color w:val="494646"/>
          <w:sz w:val="17"/>
        </w:rPr>
        <w:t>Eok.</w:t>
      </w:r>
    </w:p>
    <w:p>
      <w:pPr>
        <w:pStyle w:val="Heading1"/>
      </w:pPr>
      <w:r>
        <w:rPr>
          <w:b w:val="0"/>
        </w:rPr>
        <w:br w:type="column"/>
      </w:r>
      <w:r>
        <w:rPr>
          <w:color w:val="262123"/>
          <w:spacing w:val="-4"/>
          <w:w w:val="110"/>
        </w:rPr>
        <w:t>Card</w:t>
      </w:r>
    </w:p>
    <w:p>
      <w:pPr>
        <w:spacing w:line="283" w:lineRule="auto" w:before="308"/>
        <w:ind w:left="226" w:right="422" w:hanging="1"/>
        <w:jc w:val="left"/>
        <w:rPr>
          <w:rFonts w:ascii="Times New Roman"/>
          <w:sz w:val="17"/>
        </w:rPr>
      </w:pPr>
      <w:r>
        <w:rPr>
          <w:rFonts w:ascii="Times New Roman"/>
          <w:color w:val="363133"/>
          <w:w w:val="115"/>
          <w:sz w:val="17"/>
        </w:rPr>
        <w:t>As</w:t>
      </w:r>
      <w:r>
        <w:rPr>
          <w:rFonts w:ascii="Times New Roman"/>
          <w:color w:val="363133"/>
          <w:w w:val="115"/>
          <w:sz w:val="17"/>
        </w:rPr>
        <w:t> a Language Line Services customer you have access to over-the-phone interpretation 24 hours a day, 7 days a week. Use this Language Identification Card in a face-to-face situation, to determine which language a person speaks. The</w:t>
      </w:r>
    </w:p>
    <w:p>
      <w:pPr>
        <w:spacing w:after="0" w:line="283" w:lineRule="auto"/>
        <w:jc w:val="left"/>
        <w:rPr>
          <w:rFonts w:ascii="Times New Roman"/>
          <w:sz w:val="17"/>
        </w:rPr>
        <w:sectPr>
          <w:type w:val="continuous"/>
          <w:pgSz w:w="20160" w:h="12240" w:orient="landscape"/>
          <w:pgMar w:header="0" w:footer="0" w:top="1820" w:bottom="280" w:left="380" w:right="120"/>
          <w:cols w:num="4" w:equalWidth="0">
            <w:col w:w="4353" w:space="650"/>
            <w:col w:w="4251" w:space="778"/>
            <w:col w:w="4222" w:space="690"/>
            <w:col w:w="4716"/>
          </w:cols>
        </w:sectPr>
      </w:pPr>
    </w:p>
    <w:p>
      <w:pPr>
        <w:pStyle w:val="BodyText"/>
        <w:spacing w:before="11"/>
        <w:rPr>
          <w:rFonts w:ascii="Times New Roman"/>
          <w:sz w:val="3"/>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51" name="Group 251"/>
                <wp:cNvGraphicFramePr>
                  <a:graphicFrameLocks/>
                </wp:cNvGraphicFramePr>
                <a:graphic>
                  <a:graphicData uri="http://schemas.microsoft.com/office/word/2010/wordprocessingGroup">
                    <wpg:wgp>
                      <wpg:cNvPr id="251" name="Group 251"/>
                      <wpg:cNvGrpSpPr/>
                      <wpg:grpSpPr>
                        <a:xfrm>
                          <a:off x="0" y="0"/>
                          <a:ext cx="2616200" cy="3175"/>
                          <a:chExt cx="2616200" cy="3175"/>
                        </a:xfrm>
                      </wpg:grpSpPr>
                      <wps:wsp>
                        <wps:cNvPr id="252" name="Graphic 25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86" coordorigin="0,0" coordsize="4120,5">
                <v:shape style="position:absolute;left:0;top:2;width:4120;height:2" id="docshape187"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143" w:val="left" w:leader="none"/>
        </w:tabs>
        <w:spacing w:line="167" w:lineRule="exact" w:before="0"/>
        <w:ind w:left="227" w:right="0" w:firstLine="0"/>
        <w:jc w:val="left"/>
        <w:rPr>
          <w:rFonts w:ascii="Times New Roman"/>
          <w:sz w:val="17"/>
        </w:rPr>
      </w:pPr>
      <w:r>
        <w:rPr/>
        <w:drawing>
          <wp:anchor distT="0" distB="0" distL="0" distR="0" allowOverlap="1" layoutInCell="1" locked="0" behindDoc="0" simplePos="0" relativeHeight="15795200">
            <wp:simplePos x="0" y="0"/>
            <wp:positionH relativeFrom="page">
              <wp:posOffset>2713955</wp:posOffset>
            </wp:positionH>
            <wp:positionV relativeFrom="paragraph">
              <wp:posOffset>46695</wp:posOffset>
            </wp:positionV>
            <wp:extent cx="214306" cy="104139"/>
            <wp:effectExtent l="0" t="0" r="0" b="0"/>
            <wp:wrapNone/>
            <wp:docPr id="253" name="Image 253"/>
            <wp:cNvGraphicFramePr>
              <a:graphicFrameLocks/>
            </wp:cNvGraphicFramePr>
            <a:graphic>
              <a:graphicData uri="http://schemas.openxmlformats.org/drawingml/2006/picture">
                <pic:pic>
                  <pic:nvPicPr>
                    <pic:cNvPr id="253" name="Image 253"/>
                    <pic:cNvPicPr/>
                  </pic:nvPicPr>
                  <pic:blipFill>
                    <a:blip r:embed="rId100"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0"/>
          <w:sz w:val="19"/>
        </w:rPr>
        <w:t>Croatian</w:t>
      </w:r>
      <w:r>
        <w:rPr>
          <w:rFonts w:ascii="Times New Roman"/>
          <w:b/>
          <w:color w:val="262123"/>
          <w:sz w:val="19"/>
        </w:rPr>
        <w:tab/>
      </w:r>
      <w:r>
        <w:rPr>
          <w:rFonts w:ascii="Times New Roman"/>
          <w:color w:val="363133"/>
          <w:spacing w:val="-2"/>
          <w:w w:val="110"/>
          <w:sz w:val="17"/>
        </w:rPr>
        <w:t>Hrvatski</w:t>
      </w:r>
    </w:p>
    <w:p>
      <w:pPr>
        <w:spacing w:line="240" w:lineRule="auto" w:before="11"/>
        <w:rPr>
          <w:rFonts w:ascii="Times New Roman"/>
          <w:sz w:val="3"/>
        </w:rPr>
      </w:pPr>
      <w:r>
        <w:rPr/>
        <w:br w:type="column"/>
      </w:r>
      <w:r>
        <w:rPr>
          <w:rFonts w:ascii="Times New Roman"/>
          <w:sz w:val="3"/>
        </w:rPr>
      </w:r>
    </w:p>
    <w:p>
      <w:pPr>
        <w:pStyle w:val="BodyText"/>
        <w:spacing w:line="20" w:lineRule="exact"/>
        <w:ind w:left="154" w:right="-72"/>
        <w:rPr>
          <w:rFonts w:ascii="Times New Roman"/>
          <w:sz w:val="2"/>
        </w:rPr>
      </w:pPr>
      <w:r>
        <w:rPr>
          <w:rFonts w:ascii="Times New Roman"/>
          <w:sz w:val="2"/>
        </w:rPr>
        <mc:AlternateContent>
          <mc:Choice Requires="wps">
            <w:drawing>
              <wp:inline distT="0" distB="0" distL="0" distR="0">
                <wp:extent cx="2616200" cy="3175"/>
                <wp:effectExtent l="9525" t="0" r="0" b="6350"/>
                <wp:docPr id="254" name="Group 254"/>
                <wp:cNvGraphicFramePr>
                  <a:graphicFrameLocks/>
                </wp:cNvGraphicFramePr>
                <a:graphic>
                  <a:graphicData uri="http://schemas.microsoft.com/office/word/2010/wordprocessingGroup">
                    <wpg:wgp>
                      <wpg:cNvPr id="254" name="Group 254"/>
                      <wpg:cNvGrpSpPr/>
                      <wpg:grpSpPr>
                        <a:xfrm>
                          <a:off x="0" y="0"/>
                          <a:ext cx="2616200" cy="3175"/>
                          <a:chExt cx="2616200" cy="3175"/>
                        </a:xfrm>
                      </wpg:grpSpPr>
                      <wps:wsp>
                        <wps:cNvPr id="255" name="Graphic 25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88" coordorigin="0,0" coordsize="4120,5">
                <v:shape style="position:absolute;left:0;top:2;width:4120;height:2" id="docshape189"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294" w:val="left" w:leader="none"/>
        </w:tabs>
        <w:spacing w:line="167" w:lineRule="exact" w:before="0"/>
        <w:ind w:left="227" w:right="0" w:firstLine="0"/>
        <w:jc w:val="left"/>
        <w:rPr>
          <w:rFonts w:ascii="Times New Roman"/>
          <w:sz w:val="17"/>
        </w:rPr>
      </w:pPr>
      <w:r>
        <w:rPr/>
        <w:drawing>
          <wp:anchor distT="0" distB="0" distL="0" distR="0" allowOverlap="1" layoutInCell="1" locked="0" behindDoc="0" simplePos="0" relativeHeight="15802368">
            <wp:simplePos x="0" y="0"/>
            <wp:positionH relativeFrom="page">
              <wp:posOffset>5878054</wp:posOffset>
            </wp:positionH>
            <wp:positionV relativeFrom="paragraph">
              <wp:posOffset>49748</wp:posOffset>
            </wp:positionV>
            <wp:extent cx="214306" cy="104139"/>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00"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5"/>
          <w:sz w:val="19"/>
        </w:rPr>
        <w:t>Polish</w:t>
      </w:r>
      <w:r>
        <w:rPr>
          <w:rFonts w:ascii="Times New Roman"/>
          <w:b/>
          <w:color w:val="262123"/>
          <w:sz w:val="19"/>
        </w:rPr>
        <w:tab/>
      </w:r>
      <w:r>
        <w:rPr>
          <w:rFonts w:ascii="Times New Roman"/>
          <w:color w:val="363133"/>
          <w:spacing w:val="-2"/>
          <w:w w:val="115"/>
          <w:sz w:val="17"/>
        </w:rPr>
        <w:t>Polski</w:t>
      </w:r>
    </w:p>
    <w:p>
      <w:pPr>
        <w:spacing w:line="170" w:lineRule="exact" w:before="63"/>
        <w:ind w:left="227" w:right="0" w:firstLine="0"/>
        <w:jc w:val="left"/>
        <w:rPr>
          <w:rFonts w:ascii="Times New Roman"/>
          <w:b/>
          <w:sz w:val="19"/>
        </w:rPr>
      </w:pPr>
      <w:r>
        <w:rPr/>
        <w:br w:type="column"/>
      </w:r>
      <w:r>
        <w:rPr>
          <w:rFonts w:ascii="Times New Roman"/>
          <w:b/>
          <w:color w:val="262123"/>
          <w:spacing w:val="-2"/>
          <w:w w:val="110"/>
          <w:sz w:val="19"/>
        </w:rPr>
        <w:t>Samoan</w:t>
      </w:r>
    </w:p>
    <w:p>
      <w:pPr>
        <w:spacing w:line="161" w:lineRule="exact" w:before="72"/>
        <w:ind w:left="227" w:right="0" w:firstLine="0"/>
        <w:jc w:val="left"/>
        <w:rPr>
          <w:rFonts w:ascii="Times New Roman"/>
          <w:sz w:val="17"/>
        </w:rPr>
      </w:pPr>
      <w:r>
        <w:rPr/>
        <w:br w:type="column"/>
      </w:r>
      <w:r>
        <w:rPr>
          <w:rFonts w:ascii="Times New Roman"/>
          <w:color w:val="363133"/>
          <w:spacing w:val="-2"/>
          <w:w w:val="115"/>
          <w:sz w:val="17"/>
        </w:rPr>
        <w:t>Fa'asamoa</w:t>
      </w:r>
    </w:p>
    <w:p>
      <w:pPr>
        <w:spacing w:line="195" w:lineRule="exact" w:before="0"/>
        <w:ind w:left="227" w:right="0" w:firstLine="0"/>
        <w:jc w:val="left"/>
        <w:rPr>
          <w:rFonts w:ascii="Times New Roman"/>
          <w:sz w:val="17"/>
        </w:rPr>
      </w:pPr>
      <w:r>
        <w:rPr/>
        <w:br w:type="column"/>
      </w:r>
      <w:r>
        <w:rPr>
          <w:rFonts w:ascii="Times New Roman"/>
          <w:color w:val="363133"/>
          <w:w w:val="115"/>
          <w:sz w:val="17"/>
        </w:rPr>
        <w:t>Language</w:t>
      </w:r>
      <w:r>
        <w:rPr>
          <w:rFonts w:ascii="Times New Roman"/>
          <w:color w:val="363133"/>
          <w:spacing w:val="12"/>
          <w:w w:val="115"/>
          <w:sz w:val="17"/>
        </w:rPr>
        <w:t> </w:t>
      </w:r>
      <w:r>
        <w:rPr>
          <w:rFonts w:ascii="Times New Roman"/>
          <w:color w:val="363133"/>
          <w:w w:val="115"/>
          <w:sz w:val="17"/>
        </w:rPr>
        <w:t>ID Card</w:t>
      </w:r>
      <w:r>
        <w:rPr>
          <w:rFonts w:ascii="Times New Roman"/>
          <w:color w:val="363133"/>
          <w:spacing w:val="8"/>
          <w:w w:val="115"/>
          <w:sz w:val="17"/>
        </w:rPr>
        <w:t> </w:t>
      </w:r>
      <w:r>
        <w:rPr>
          <w:rFonts w:ascii="Times New Roman"/>
          <w:color w:val="262123"/>
          <w:w w:val="115"/>
          <w:sz w:val="17"/>
        </w:rPr>
        <w:t>lists</w:t>
      </w:r>
      <w:r>
        <w:rPr>
          <w:rFonts w:ascii="Times New Roman"/>
          <w:color w:val="262123"/>
          <w:spacing w:val="3"/>
          <w:w w:val="115"/>
          <w:sz w:val="17"/>
        </w:rPr>
        <w:t> </w:t>
      </w:r>
      <w:r>
        <w:rPr>
          <w:rFonts w:ascii="Times New Roman"/>
          <w:color w:val="363133"/>
          <w:w w:val="115"/>
          <w:sz w:val="17"/>
        </w:rPr>
        <w:t>the</w:t>
      </w:r>
      <w:r>
        <w:rPr>
          <w:rFonts w:ascii="Times New Roman"/>
          <w:color w:val="363133"/>
          <w:spacing w:val="10"/>
          <w:w w:val="115"/>
          <w:sz w:val="17"/>
        </w:rPr>
        <w:t> </w:t>
      </w:r>
      <w:r>
        <w:rPr>
          <w:rFonts w:ascii="Times New Roman"/>
          <w:color w:val="262123"/>
          <w:w w:val="115"/>
          <w:sz w:val="17"/>
        </w:rPr>
        <w:t>languages</w:t>
      </w:r>
      <w:r>
        <w:rPr>
          <w:rFonts w:ascii="Times New Roman"/>
          <w:color w:val="262123"/>
          <w:spacing w:val="12"/>
          <w:w w:val="115"/>
          <w:sz w:val="17"/>
        </w:rPr>
        <w:t> </w:t>
      </w:r>
      <w:r>
        <w:rPr>
          <w:rFonts w:ascii="Times New Roman"/>
          <w:color w:val="363133"/>
          <w:spacing w:val="-4"/>
          <w:w w:val="115"/>
          <w:sz w:val="17"/>
        </w:rPr>
        <w:t>most</w:t>
      </w:r>
    </w:p>
    <w:p>
      <w:pPr>
        <w:spacing w:after="0" w:line="195" w:lineRule="exact"/>
        <w:jc w:val="left"/>
        <w:rPr>
          <w:rFonts w:ascii="Times New Roman"/>
          <w:sz w:val="17"/>
        </w:rPr>
        <w:sectPr>
          <w:type w:val="continuous"/>
          <w:pgSz w:w="20160" w:h="12240" w:orient="landscape"/>
          <w:pgMar w:header="0" w:footer="0" w:top="1820" w:bottom="280" w:left="380" w:right="120"/>
          <w:cols w:num="5" w:equalWidth="0">
            <w:col w:w="4272" w:space="713"/>
            <w:col w:w="4270" w:space="756"/>
            <w:col w:w="975" w:space="1779"/>
            <w:col w:w="1489" w:space="692"/>
            <w:col w:w="4714"/>
          </w:cols>
        </w:sectPr>
      </w:pPr>
    </w:p>
    <w:p>
      <w:pPr>
        <w:spacing w:line="247" w:lineRule="auto" w:before="41"/>
        <w:ind w:left="198" w:right="281" w:firstLine="0"/>
        <w:jc w:val="left"/>
        <w:rPr>
          <w:rFonts w:ascii="Times New Roman"/>
          <w:sz w:val="17"/>
        </w:rPr>
      </w:pPr>
      <w:r>
        <w:rPr>
          <w:rFonts w:ascii="Times New Roman"/>
          <w:color w:val="363133"/>
          <w:w w:val="105"/>
          <w:sz w:val="17"/>
        </w:rPr>
        <w:t>Pokazite svoj</w:t>
      </w:r>
      <w:r>
        <w:rPr>
          <w:rFonts w:ascii="Times New Roman"/>
          <w:color w:val="363133"/>
          <w:spacing w:val="-2"/>
          <w:w w:val="105"/>
          <w:sz w:val="17"/>
        </w:rPr>
        <w:t> </w:t>
      </w:r>
      <w:r>
        <w:rPr>
          <w:rFonts w:ascii="Times New Roman"/>
          <w:color w:val="363133"/>
          <w:w w:val="105"/>
          <w:sz w:val="17"/>
        </w:rPr>
        <w:t>jezik. Prevoditelj ce biti pozvan. Prevoditelj je</w:t>
      </w:r>
      <w:r>
        <w:rPr>
          <w:rFonts w:ascii="Times New Roman"/>
          <w:color w:val="363133"/>
          <w:spacing w:val="-10"/>
          <w:w w:val="105"/>
          <w:sz w:val="17"/>
        </w:rPr>
        <w:t> </w:t>
      </w:r>
      <w:r>
        <w:rPr>
          <w:rFonts w:ascii="Times New Roman"/>
          <w:color w:val="363133"/>
          <w:w w:val="105"/>
          <w:sz w:val="17"/>
        </w:rPr>
        <w:t>obezbijeden bez</w:t>
      </w:r>
      <w:r>
        <w:rPr>
          <w:rFonts w:ascii="Times New Roman"/>
          <w:color w:val="363133"/>
          <w:spacing w:val="-4"/>
          <w:w w:val="105"/>
          <w:sz w:val="17"/>
        </w:rPr>
        <w:t> </w:t>
      </w:r>
      <w:r>
        <w:rPr>
          <w:rFonts w:ascii="Times New Roman"/>
          <w:color w:val="363133"/>
          <w:w w:val="105"/>
          <w:sz w:val="17"/>
        </w:rPr>
        <w:t>troskova po</w:t>
      </w:r>
      <w:r>
        <w:rPr>
          <w:rFonts w:ascii="Times New Roman"/>
          <w:color w:val="363133"/>
          <w:spacing w:val="-8"/>
          <w:w w:val="105"/>
          <w:sz w:val="17"/>
        </w:rPr>
        <w:t> </w:t>
      </w:r>
      <w:r>
        <w:rPr>
          <w:rFonts w:ascii="Times New Roman"/>
          <w:color w:val="363133"/>
          <w:w w:val="105"/>
          <w:sz w:val="17"/>
        </w:rPr>
        <w:t>vas.</w:t>
      </w:r>
    </w:p>
    <w:p>
      <w:pPr>
        <w:pStyle w:val="BodyText"/>
        <w:spacing w:before="9"/>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57" name="Group 257"/>
                <wp:cNvGraphicFramePr>
                  <a:graphicFrameLocks/>
                </wp:cNvGraphicFramePr>
                <a:graphic>
                  <a:graphicData uri="http://schemas.microsoft.com/office/word/2010/wordprocessingGroup">
                    <wpg:wgp>
                      <wpg:cNvPr id="257" name="Group 257"/>
                      <wpg:cNvGrpSpPr/>
                      <wpg:grpSpPr>
                        <a:xfrm>
                          <a:off x="0" y="0"/>
                          <a:ext cx="2616200" cy="3175"/>
                          <a:chExt cx="2616200" cy="3175"/>
                        </a:xfrm>
                      </wpg:grpSpPr>
                      <wps:wsp>
                        <wps:cNvPr id="258" name="Graphic 25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90" coordorigin="0,0" coordsize="4120,5">
                <v:shape style="position:absolute;left:0;top:2;width:4120;height:2" id="docshape19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226" w:val="left" w:leader="none"/>
        </w:tabs>
        <w:spacing w:line="217" w:lineRule="exact" w:before="13"/>
        <w:ind w:left="227" w:right="0" w:firstLine="0"/>
        <w:jc w:val="left"/>
        <w:rPr>
          <w:rFonts w:ascii="Times New Roman"/>
          <w:sz w:val="17"/>
        </w:rPr>
      </w:pPr>
      <w:r>
        <w:rPr/>
        <w:drawing>
          <wp:anchor distT="0" distB="0" distL="0" distR="0" allowOverlap="1" layoutInCell="1" locked="0" behindDoc="0" simplePos="0" relativeHeight="15795712">
            <wp:simplePos x="0" y="0"/>
            <wp:positionH relativeFrom="page">
              <wp:posOffset>2713955</wp:posOffset>
            </wp:positionH>
            <wp:positionV relativeFrom="paragraph">
              <wp:posOffset>55593</wp:posOffset>
            </wp:positionV>
            <wp:extent cx="214306" cy="104139"/>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262123"/>
          <w:spacing w:val="-4"/>
          <w:w w:val="115"/>
          <w:sz w:val="19"/>
        </w:rPr>
        <w:t>Czech</w:t>
      </w:r>
      <w:r>
        <w:rPr>
          <w:rFonts w:ascii="Times New Roman"/>
          <w:b/>
          <w:color w:val="262123"/>
          <w:sz w:val="19"/>
        </w:rPr>
        <w:tab/>
      </w:r>
      <w:r>
        <w:rPr>
          <w:rFonts w:ascii="Times New Roman"/>
          <w:color w:val="363133"/>
          <w:spacing w:val="-2"/>
          <w:w w:val="115"/>
          <w:sz w:val="17"/>
        </w:rPr>
        <w:t>Cestina</w:t>
      </w:r>
    </w:p>
    <w:p>
      <w:pPr>
        <w:spacing w:line="247" w:lineRule="auto" w:before="0"/>
        <w:ind w:left="205" w:right="281" w:firstLine="4"/>
        <w:jc w:val="left"/>
        <w:rPr>
          <w:rFonts w:ascii="Times New Roman"/>
          <w:sz w:val="17"/>
        </w:rPr>
      </w:pPr>
      <w:r>
        <w:rPr>
          <w:rFonts w:ascii="Times New Roman"/>
          <w:color w:val="494646"/>
          <w:w w:val="105"/>
          <w:sz w:val="17"/>
        </w:rPr>
        <w:t>Ukazte </w:t>
      </w:r>
      <w:r>
        <w:rPr>
          <w:rFonts w:ascii="Times New Roman"/>
          <w:color w:val="363133"/>
          <w:w w:val="105"/>
          <w:sz w:val="17"/>
        </w:rPr>
        <w:t>na</w:t>
      </w:r>
      <w:r>
        <w:rPr>
          <w:rFonts w:ascii="Times New Roman"/>
          <w:color w:val="363133"/>
          <w:spacing w:val="-7"/>
          <w:w w:val="105"/>
          <w:sz w:val="17"/>
        </w:rPr>
        <w:t> </w:t>
      </w:r>
      <w:r>
        <w:rPr>
          <w:rFonts w:ascii="Times New Roman"/>
          <w:color w:val="363133"/>
          <w:w w:val="105"/>
          <w:sz w:val="17"/>
        </w:rPr>
        <w:t>vas</w:t>
      </w:r>
      <w:r>
        <w:rPr>
          <w:rFonts w:ascii="Times New Roman"/>
          <w:color w:val="363133"/>
          <w:spacing w:val="-10"/>
          <w:w w:val="105"/>
          <w:sz w:val="17"/>
        </w:rPr>
        <w:t> </w:t>
      </w:r>
      <w:r>
        <w:rPr>
          <w:rFonts w:ascii="Times New Roman"/>
          <w:color w:val="363133"/>
          <w:w w:val="105"/>
          <w:sz w:val="17"/>
        </w:rPr>
        <w:t>jazyk.</w:t>
      </w:r>
      <w:r>
        <w:rPr>
          <w:rFonts w:ascii="Times New Roman"/>
          <w:color w:val="363133"/>
          <w:spacing w:val="-4"/>
          <w:w w:val="105"/>
          <w:sz w:val="17"/>
        </w:rPr>
        <w:t> </w:t>
      </w:r>
      <w:r>
        <w:rPr>
          <w:rFonts w:ascii="Times New Roman"/>
          <w:color w:val="363133"/>
          <w:w w:val="105"/>
          <w:sz w:val="17"/>
        </w:rPr>
        <w:t>Bude</w:t>
      </w:r>
      <w:r>
        <w:rPr>
          <w:rFonts w:ascii="Times New Roman"/>
          <w:color w:val="363133"/>
          <w:spacing w:val="-9"/>
          <w:w w:val="105"/>
          <w:sz w:val="17"/>
        </w:rPr>
        <w:t> </w:t>
      </w:r>
      <w:r>
        <w:rPr>
          <w:rFonts w:ascii="Times New Roman"/>
          <w:color w:val="494646"/>
          <w:w w:val="105"/>
          <w:sz w:val="17"/>
        </w:rPr>
        <w:t>zavolan </w:t>
      </w:r>
      <w:r>
        <w:rPr>
          <w:rFonts w:ascii="Times New Roman"/>
          <w:color w:val="363133"/>
          <w:w w:val="105"/>
          <w:sz w:val="17"/>
        </w:rPr>
        <w:t>tlumocnik. Tlumoceni je pro vas bezplatne</w:t>
      </w:r>
      <w:r>
        <w:rPr>
          <w:rFonts w:ascii="Times New Roman"/>
          <w:color w:val="625E60"/>
          <w:w w:val="105"/>
          <w:sz w:val="17"/>
        </w:rPr>
        <w:t>.</w:t>
      </w:r>
    </w:p>
    <w:p>
      <w:pPr>
        <w:spacing w:line="247" w:lineRule="auto" w:before="41"/>
        <w:ind w:left="208" w:right="61" w:hanging="3"/>
        <w:jc w:val="left"/>
        <w:rPr>
          <w:rFonts w:ascii="Times New Roman"/>
          <w:sz w:val="17"/>
        </w:rPr>
      </w:pPr>
      <w:r>
        <w:rPr/>
        <w:br w:type="column"/>
      </w:r>
      <w:r>
        <w:rPr>
          <w:rFonts w:ascii="Times New Roman"/>
          <w:color w:val="363133"/>
          <w:sz w:val="17"/>
        </w:rPr>
        <w:t>Prosz&lt;t wskazac sw6j</w:t>
      </w:r>
      <w:r>
        <w:rPr>
          <w:rFonts w:ascii="Times New Roman"/>
          <w:color w:val="363133"/>
          <w:spacing w:val="-3"/>
          <w:sz w:val="17"/>
        </w:rPr>
        <w:t> </w:t>
      </w:r>
      <w:r>
        <w:rPr>
          <w:rFonts w:ascii="Times New Roman"/>
          <w:color w:val="363133"/>
          <w:sz w:val="17"/>
        </w:rPr>
        <w:t>j&lt;tzyk i wezwiemy tlumacza. Tlumacza zapewnimy bezp!atnie.</w:t>
      </w:r>
    </w:p>
    <w:p>
      <w:pPr>
        <w:pStyle w:val="BodyText"/>
        <w:spacing w:before="9"/>
        <w:rPr>
          <w:rFonts w:ascii="Times New Roman"/>
          <w:sz w:val="4"/>
        </w:rPr>
      </w:pPr>
    </w:p>
    <w:p>
      <w:pPr>
        <w:pStyle w:val="BodyText"/>
        <w:spacing w:line="20" w:lineRule="exact"/>
        <w:ind w:left="135" w:right="-72"/>
        <w:rPr>
          <w:rFonts w:ascii="Times New Roman"/>
          <w:sz w:val="2"/>
        </w:rPr>
      </w:pPr>
      <w:r>
        <w:rPr>
          <w:rFonts w:ascii="Times New Roman"/>
          <w:sz w:val="2"/>
        </w:rPr>
        <mc:AlternateContent>
          <mc:Choice Requires="wps">
            <w:drawing>
              <wp:inline distT="0" distB="0" distL="0" distR="0">
                <wp:extent cx="2616200" cy="3175"/>
                <wp:effectExtent l="9525" t="0" r="0" b="6350"/>
                <wp:docPr id="260" name="Group 260"/>
                <wp:cNvGraphicFramePr>
                  <a:graphicFrameLocks/>
                </wp:cNvGraphicFramePr>
                <a:graphic>
                  <a:graphicData uri="http://schemas.microsoft.com/office/word/2010/wordprocessingGroup">
                    <wpg:wgp>
                      <wpg:cNvPr id="260" name="Group 260"/>
                      <wpg:cNvGrpSpPr/>
                      <wpg:grpSpPr>
                        <a:xfrm>
                          <a:off x="0" y="0"/>
                          <a:ext cx="2616200" cy="3175"/>
                          <a:chExt cx="2616200" cy="3175"/>
                        </a:xfrm>
                      </wpg:grpSpPr>
                      <wps:wsp>
                        <wps:cNvPr id="261" name="Graphic 26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92" coordorigin="0,0" coordsize="4120,5">
                <v:shape style="position:absolute;left:0;top:2;width:4120;height:2" id="docshape193"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982" w:val="left" w:leader="none"/>
        </w:tabs>
        <w:spacing w:line="215" w:lineRule="exact" w:before="13"/>
        <w:ind w:left="208" w:right="0" w:firstLine="0"/>
        <w:jc w:val="left"/>
        <w:rPr>
          <w:rFonts w:ascii="Times New Roman"/>
          <w:sz w:val="17"/>
        </w:rPr>
      </w:pPr>
      <w:r>
        <w:rPr/>
        <w:drawing>
          <wp:anchor distT="0" distB="0" distL="0" distR="0" allowOverlap="1" layoutInCell="1" locked="0" behindDoc="0" simplePos="0" relativeHeight="15802880">
            <wp:simplePos x="0" y="0"/>
            <wp:positionH relativeFrom="page">
              <wp:posOffset>5878054</wp:posOffset>
            </wp:positionH>
            <wp:positionV relativeFrom="paragraph">
              <wp:posOffset>55593</wp:posOffset>
            </wp:positionV>
            <wp:extent cx="214306" cy="104139"/>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5"/>
          <w:sz w:val="19"/>
        </w:rPr>
        <w:t>Portuguese</w:t>
      </w:r>
      <w:r>
        <w:rPr>
          <w:rFonts w:ascii="Times New Roman"/>
          <w:b/>
          <w:color w:val="262123"/>
          <w:sz w:val="19"/>
        </w:rPr>
        <w:tab/>
      </w:r>
      <w:r>
        <w:rPr>
          <w:rFonts w:ascii="Times New Roman"/>
          <w:color w:val="363133"/>
          <w:spacing w:val="-2"/>
          <w:w w:val="115"/>
          <w:sz w:val="17"/>
        </w:rPr>
        <w:t>Portugues</w:t>
      </w:r>
    </w:p>
    <w:p>
      <w:pPr>
        <w:spacing w:line="192" w:lineRule="exact" w:before="0"/>
        <w:ind w:left="198" w:right="0" w:firstLine="0"/>
        <w:jc w:val="left"/>
        <w:rPr>
          <w:rFonts w:ascii="Times New Roman"/>
          <w:sz w:val="17"/>
        </w:rPr>
      </w:pPr>
      <w:r>
        <w:rPr>
          <w:rFonts w:ascii="Times New Roman"/>
          <w:color w:val="363133"/>
          <w:spacing w:val="-4"/>
          <w:sz w:val="17"/>
        </w:rPr>
        <w:t>lndique</w:t>
      </w:r>
      <w:r>
        <w:rPr>
          <w:rFonts w:ascii="Times New Roman"/>
          <w:color w:val="363133"/>
          <w:spacing w:val="-7"/>
          <w:sz w:val="17"/>
        </w:rPr>
        <w:t> </w:t>
      </w:r>
      <w:r>
        <w:rPr>
          <w:rFonts w:ascii="Times New Roman"/>
          <w:color w:val="363133"/>
          <w:spacing w:val="-4"/>
          <w:sz w:val="17"/>
        </w:rPr>
        <w:t>o</w:t>
      </w:r>
      <w:r>
        <w:rPr>
          <w:rFonts w:ascii="Times New Roman"/>
          <w:color w:val="363133"/>
          <w:spacing w:val="-8"/>
          <w:sz w:val="17"/>
        </w:rPr>
        <w:t> </w:t>
      </w:r>
      <w:r>
        <w:rPr>
          <w:rFonts w:ascii="Times New Roman"/>
          <w:color w:val="494646"/>
          <w:spacing w:val="-4"/>
          <w:sz w:val="17"/>
        </w:rPr>
        <w:t>seu</w:t>
      </w:r>
      <w:r>
        <w:rPr>
          <w:rFonts w:ascii="Times New Roman"/>
          <w:color w:val="494646"/>
          <w:spacing w:val="-7"/>
          <w:sz w:val="17"/>
        </w:rPr>
        <w:t> </w:t>
      </w:r>
      <w:r>
        <w:rPr>
          <w:rFonts w:ascii="Times New Roman"/>
          <w:color w:val="363133"/>
          <w:spacing w:val="-4"/>
          <w:sz w:val="17"/>
        </w:rPr>
        <w:t>idioma.</w:t>
      </w:r>
      <w:r>
        <w:rPr>
          <w:rFonts w:ascii="Times New Roman"/>
          <w:color w:val="363133"/>
          <w:spacing w:val="-6"/>
          <w:sz w:val="17"/>
        </w:rPr>
        <w:t> </w:t>
      </w:r>
      <w:r>
        <w:rPr>
          <w:rFonts w:ascii="Times New Roman"/>
          <w:color w:val="363133"/>
          <w:spacing w:val="-4"/>
          <w:sz w:val="17"/>
        </w:rPr>
        <w:t>Um</w:t>
      </w:r>
      <w:r>
        <w:rPr>
          <w:rFonts w:ascii="Times New Roman"/>
          <w:color w:val="363133"/>
          <w:spacing w:val="-5"/>
          <w:sz w:val="17"/>
        </w:rPr>
        <w:t> </w:t>
      </w:r>
      <w:r>
        <w:rPr>
          <w:rFonts w:ascii="Times New Roman"/>
          <w:color w:val="363133"/>
          <w:spacing w:val="-4"/>
          <w:sz w:val="17"/>
        </w:rPr>
        <w:t>interprete</w:t>
      </w:r>
      <w:r>
        <w:rPr>
          <w:rFonts w:ascii="Times New Roman"/>
          <w:color w:val="363133"/>
          <w:spacing w:val="-7"/>
          <w:sz w:val="17"/>
        </w:rPr>
        <w:t> </w:t>
      </w:r>
      <w:r>
        <w:rPr>
          <w:rFonts w:ascii="Times New Roman"/>
          <w:color w:val="363133"/>
          <w:spacing w:val="-4"/>
          <w:sz w:val="17"/>
        </w:rPr>
        <w:t>sen\</w:t>
      </w:r>
      <w:r>
        <w:rPr>
          <w:rFonts w:ascii="Times New Roman"/>
          <w:color w:val="363133"/>
          <w:spacing w:val="-6"/>
          <w:sz w:val="17"/>
        </w:rPr>
        <w:t> </w:t>
      </w:r>
      <w:r>
        <w:rPr>
          <w:rFonts w:ascii="Times New Roman"/>
          <w:color w:val="363133"/>
          <w:spacing w:val="-4"/>
          <w:sz w:val="17"/>
        </w:rPr>
        <w:t>chamado.</w:t>
      </w:r>
    </w:p>
    <w:p>
      <w:pPr>
        <w:spacing w:before="6"/>
        <w:ind w:left="207" w:right="0" w:firstLine="0"/>
        <w:jc w:val="left"/>
        <w:rPr>
          <w:rFonts w:ascii="Times New Roman"/>
          <w:sz w:val="17"/>
        </w:rPr>
      </w:pPr>
      <w:r>
        <w:rPr/>
        <mc:AlternateContent>
          <mc:Choice Requires="wps">
            <w:drawing>
              <wp:anchor distT="0" distB="0" distL="0" distR="0" allowOverlap="1" layoutInCell="1" locked="0" behindDoc="0" simplePos="0" relativeHeight="15788032">
                <wp:simplePos x="0" y="0"/>
                <wp:positionH relativeFrom="page">
                  <wp:posOffset>3504902</wp:posOffset>
                </wp:positionH>
                <wp:positionV relativeFrom="paragraph">
                  <wp:posOffset>169807</wp:posOffset>
                </wp:positionV>
                <wp:extent cx="2616200" cy="127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13.370708pt;width:206pt;height:.1pt;mso-position-horizontal-relative:page;mso-position-vertical-relative:paragraph;z-index:15788032" id="docshape194" coordorigin="5520,267" coordsize="4120,0" path="m5520,267l6163,267,7580,267,8996,267,9640,267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03392">
            <wp:simplePos x="0" y="0"/>
            <wp:positionH relativeFrom="page">
              <wp:posOffset>5878054</wp:posOffset>
            </wp:positionH>
            <wp:positionV relativeFrom="paragraph">
              <wp:posOffset>229023</wp:posOffset>
            </wp:positionV>
            <wp:extent cx="214306" cy="104139"/>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color w:val="363133"/>
          <w:spacing w:val="-4"/>
          <w:sz w:val="17"/>
        </w:rPr>
        <w:t>A</w:t>
      </w:r>
      <w:r>
        <w:rPr>
          <w:rFonts w:ascii="Times New Roman"/>
          <w:color w:val="363133"/>
          <w:spacing w:val="-7"/>
          <w:sz w:val="17"/>
        </w:rPr>
        <w:t> </w:t>
      </w:r>
      <w:r>
        <w:rPr>
          <w:rFonts w:ascii="Times New Roman"/>
          <w:color w:val="363133"/>
          <w:spacing w:val="-4"/>
          <w:sz w:val="17"/>
        </w:rPr>
        <w:t>interpreta</w:t>
      </w:r>
      <w:r>
        <w:rPr>
          <w:rFonts w:ascii="Times New Roman"/>
          <w:color w:val="363133"/>
          <w:spacing w:val="-7"/>
          <w:sz w:val="17"/>
        </w:rPr>
        <w:t> </w:t>
      </w:r>
      <w:r>
        <w:rPr>
          <w:rFonts w:ascii="Times New Roman"/>
          <w:color w:val="363133"/>
          <w:spacing w:val="-4"/>
          <w:sz w:val="17"/>
        </w:rPr>
        <w:t>ao</w:t>
      </w:r>
      <w:r>
        <w:rPr>
          <w:rFonts w:ascii="Times New Roman"/>
          <w:color w:val="363133"/>
          <w:spacing w:val="-6"/>
          <w:sz w:val="17"/>
        </w:rPr>
        <w:t> </w:t>
      </w:r>
      <w:r>
        <w:rPr>
          <w:rFonts w:ascii="Times New Roman"/>
          <w:color w:val="363133"/>
          <w:spacing w:val="-4"/>
          <w:sz w:val="17"/>
        </w:rPr>
        <w:t>e</w:t>
      </w:r>
      <w:r>
        <w:rPr>
          <w:rFonts w:ascii="Times New Roman"/>
          <w:color w:val="363133"/>
          <w:spacing w:val="-11"/>
          <w:sz w:val="17"/>
        </w:rPr>
        <w:t> </w:t>
      </w:r>
      <w:r>
        <w:rPr>
          <w:rFonts w:ascii="Times New Roman"/>
          <w:color w:val="363133"/>
          <w:spacing w:val="-4"/>
          <w:sz w:val="17"/>
        </w:rPr>
        <w:t>fomecida</w:t>
      </w:r>
      <w:r>
        <w:rPr>
          <w:rFonts w:ascii="Times New Roman"/>
          <w:color w:val="363133"/>
          <w:spacing w:val="-1"/>
          <w:sz w:val="17"/>
        </w:rPr>
        <w:t> </w:t>
      </w:r>
      <w:r>
        <w:rPr>
          <w:rFonts w:ascii="Times New Roman"/>
          <w:color w:val="494646"/>
          <w:spacing w:val="-4"/>
          <w:sz w:val="17"/>
        </w:rPr>
        <w:t>sem </w:t>
      </w:r>
      <w:r>
        <w:rPr>
          <w:rFonts w:ascii="Times New Roman"/>
          <w:color w:val="363133"/>
          <w:spacing w:val="-4"/>
          <w:sz w:val="17"/>
        </w:rPr>
        <w:t>qualquer</w:t>
      </w:r>
      <w:r>
        <w:rPr>
          <w:rFonts w:ascii="Times New Roman"/>
          <w:color w:val="363133"/>
          <w:spacing w:val="-3"/>
          <w:sz w:val="17"/>
        </w:rPr>
        <w:t> </w:t>
      </w:r>
      <w:r>
        <w:rPr>
          <w:rFonts w:ascii="Times New Roman"/>
          <w:color w:val="363133"/>
          <w:spacing w:val="-4"/>
          <w:sz w:val="17"/>
        </w:rPr>
        <w:t>custo</w:t>
      </w:r>
      <w:r>
        <w:rPr>
          <w:rFonts w:ascii="Times New Roman"/>
          <w:color w:val="363133"/>
          <w:spacing w:val="-1"/>
          <w:sz w:val="17"/>
        </w:rPr>
        <w:t> </w:t>
      </w:r>
      <w:r>
        <w:rPr>
          <w:rFonts w:ascii="Times New Roman"/>
          <w:color w:val="363133"/>
          <w:spacing w:val="-4"/>
          <w:sz w:val="17"/>
        </w:rPr>
        <w:t>para</w:t>
      </w:r>
      <w:r>
        <w:rPr>
          <w:rFonts w:ascii="Times New Roman"/>
          <w:color w:val="363133"/>
          <w:spacing w:val="-3"/>
          <w:sz w:val="17"/>
        </w:rPr>
        <w:t> </w:t>
      </w:r>
      <w:r>
        <w:rPr>
          <w:rFonts w:ascii="Times New Roman"/>
          <w:color w:val="363133"/>
          <w:spacing w:val="-4"/>
          <w:sz w:val="17"/>
        </w:rPr>
        <w:t>voce.</w:t>
      </w:r>
    </w:p>
    <w:p>
      <w:pPr>
        <w:spacing w:before="41"/>
        <w:ind w:left="226" w:right="0" w:firstLine="0"/>
        <w:jc w:val="left"/>
        <w:rPr>
          <w:rFonts w:ascii="Times New Roman"/>
          <w:sz w:val="17"/>
        </w:rPr>
      </w:pPr>
      <w:r>
        <w:rPr/>
        <w:br w:type="column"/>
      </w:r>
      <w:r>
        <w:rPr>
          <w:rFonts w:ascii="Times New Roman"/>
          <w:color w:val="363133"/>
          <w:sz w:val="17"/>
        </w:rPr>
        <w:t>Fa'asino</w:t>
      </w:r>
      <w:r>
        <w:rPr>
          <w:rFonts w:ascii="Times New Roman"/>
          <w:color w:val="363133"/>
          <w:spacing w:val="-12"/>
          <w:sz w:val="17"/>
        </w:rPr>
        <w:t> </w:t>
      </w:r>
      <w:r>
        <w:rPr>
          <w:rFonts w:ascii="Times New Roman"/>
          <w:color w:val="363133"/>
          <w:sz w:val="17"/>
        </w:rPr>
        <w:t>!au</w:t>
      </w:r>
      <w:r>
        <w:rPr>
          <w:rFonts w:ascii="Times New Roman"/>
          <w:color w:val="363133"/>
          <w:spacing w:val="-11"/>
          <w:sz w:val="17"/>
        </w:rPr>
        <w:t> </w:t>
      </w:r>
      <w:r>
        <w:rPr>
          <w:rFonts w:ascii="Times New Roman"/>
          <w:color w:val="363133"/>
          <w:sz w:val="17"/>
        </w:rPr>
        <w:t>gagana</w:t>
      </w:r>
      <w:r>
        <w:rPr>
          <w:rFonts w:ascii="Times New Roman"/>
          <w:color w:val="625E60"/>
          <w:sz w:val="17"/>
        </w:rPr>
        <w:t>.</w:t>
      </w:r>
      <w:r>
        <w:rPr>
          <w:rFonts w:ascii="Times New Roman"/>
          <w:color w:val="625E60"/>
          <w:spacing w:val="-14"/>
          <w:sz w:val="17"/>
        </w:rPr>
        <w:t> </w:t>
      </w:r>
      <w:r>
        <w:rPr>
          <w:rFonts w:ascii="Arial"/>
          <w:color w:val="363133"/>
          <w:sz w:val="16"/>
        </w:rPr>
        <w:t>0</w:t>
      </w:r>
      <w:r>
        <w:rPr>
          <w:rFonts w:ascii="Arial"/>
          <w:color w:val="363133"/>
          <w:spacing w:val="5"/>
          <w:sz w:val="16"/>
        </w:rPr>
        <w:t> </w:t>
      </w:r>
      <w:r>
        <w:rPr>
          <w:rFonts w:ascii="Times New Roman"/>
          <w:color w:val="262123"/>
          <w:sz w:val="17"/>
        </w:rPr>
        <w:t>le</w:t>
      </w:r>
      <w:r>
        <w:rPr>
          <w:rFonts w:ascii="Times New Roman"/>
          <w:color w:val="262123"/>
          <w:spacing w:val="-10"/>
          <w:sz w:val="17"/>
        </w:rPr>
        <w:t> </w:t>
      </w:r>
      <w:r>
        <w:rPr>
          <w:rFonts w:ascii="Times New Roman"/>
          <w:color w:val="363133"/>
          <w:sz w:val="17"/>
        </w:rPr>
        <w:t>a</w:t>
      </w:r>
      <w:r>
        <w:rPr>
          <w:rFonts w:ascii="Times New Roman"/>
          <w:color w:val="363133"/>
          <w:spacing w:val="-5"/>
          <w:sz w:val="17"/>
        </w:rPr>
        <w:t> </w:t>
      </w:r>
      <w:r>
        <w:rPr>
          <w:rFonts w:ascii="Times New Roman"/>
          <w:color w:val="363133"/>
          <w:sz w:val="17"/>
        </w:rPr>
        <w:t>vala'au</w:t>
      </w:r>
      <w:r>
        <w:rPr>
          <w:rFonts w:ascii="Times New Roman"/>
          <w:color w:val="363133"/>
          <w:spacing w:val="-5"/>
          <w:sz w:val="17"/>
        </w:rPr>
        <w:t> </w:t>
      </w:r>
      <w:r>
        <w:rPr>
          <w:rFonts w:ascii="Times New Roman"/>
          <w:color w:val="363133"/>
          <w:sz w:val="17"/>
        </w:rPr>
        <w:t>se</w:t>
      </w:r>
      <w:r>
        <w:rPr>
          <w:rFonts w:ascii="Times New Roman"/>
          <w:color w:val="363133"/>
          <w:spacing w:val="-11"/>
          <w:sz w:val="17"/>
        </w:rPr>
        <w:t> </w:t>
      </w:r>
      <w:r>
        <w:rPr>
          <w:rFonts w:ascii="Times New Roman"/>
          <w:color w:val="363133"/>
          <w:spacing w:val="-2"/>
          <w:sz w:val="17"/>
        </w:rPr>
        <w:t>fa'amatala'upu.</w:t>
      </w:r>
    </w:p>
    <w:p>
      <w:pPr>
        <w:spacing w:before="1"/>
        <w:ind w:left="228" w:right="0" w:firstLine="0"/>
        <w:jc w:val="left"/>
        <w:rPr>
          <w:rFonts w:ascii="Times New Roman"/>
          <w:sz w:val="17"/>
        </w:rPr>
      </w:pPr>
      <w:r>
        <w:rPr>
          <w:rFonts w:ascii="Times New Roman"/>
          <w:color w:val="363133"/>
          <w:spacing w:val="-2"/>
          <w:sz w:val="17"/>
        </w:rPr>
        <w:t>Ua</w:t>
      </w:r>
      <w:r>
        <w:rPr>
          <w:rFonts w:ascii="Times New Roman"/>
          <w:color w:val="363133"/>
          <w:spacing w:val="-4"/>
          <w:sz w:val="17"/>
        </w:rPr>
        <w:t> </w:t>
      </w:r>
      <w:r>
        <w:rPr>
          <w:rFonts w:ascii="Times New Roman"/>
          <w:color w:val="363133"/>
          <w:spacing w:val="-2"/>
          <w:sz w:val="17"/>
        </w:rPr>
        <w:t>saunia</w:t>
      </w:r>
      <w:r>
        <w:rPr>
          <w:rFonts w:ascii="Times New Roman"/>
          <w:color w:val="363133"/>
          <w:spacing w:val="3"/>
          <w:sz w:val="17"/>
        </w:rPr>
        <w:t> </w:t>
      </w:r>
      <w:r>
        <w:rPr>
          <w:rFonts w:ascii="Times New Roman"/>
          <w:color w:val="363133"/>
          <w:spacing w:val="-2"/>
          <w:sz w:val="17"/>
        </w:rPr>
        <w:t>se</w:t>
      </w:r>
      <w:r>
        <w:rPr>
          <w:rFonts w:ascii="Times New Roman"/>
          <w:color w:val="363133"/>
          <w:spacing w:val="-7"/>
          <w:sz w:val="17"/>
        </w:rPr>
        <w:t> </w:t>
      </w:r>
      <w:r>
        <w:rPr>
          <w:rFonts w:ascii="Times New Roman"/>
          <w:color w:val="363133"/>
          <w:spacing w:val="-2"/>
          <w:sz w:val="17"/>
        </w:rPr>
        <w:t>fa'amatala'upu</w:t>
      </w:r>
      <w:r>
        <w:rPr>
          <w:rFonts w:ascii="Times New Roman"/>
          <w:color w:val="363133"/>
          <w:spacing w:val="-5"/>
          <w:sz w:val="17"/>
        </w:rPr>
        <w:t> </w:t>
      </w:r>
      <w:r>
        <w:rPr>
          <w:rFonts w:ascii="Times New Roman"/>
          <w:color w:val="363133"/>
          <w:spacing w:val="-2"/>
          <w:sz w:val="17"/>
        </w:rPr>
        <w:t>e</w:t>
      </w:r>
      <w:r>
        <w:rPr>
          <w:rFonts w:ascii="Times New Roman"/>
          <w:color w:val="363133"/>
          <w:spacing w:val="-8"/>
          <w:sz w:val="17"/>
        </w:rPr>
        <w:t> </w:t>
      </w:r>
      <w:r>
        <w:rPr>
          <w:rFonts w:ascii="Times New Roman"/>
          <w:color w:val="363133"/>
          <w:spacing w:val="-2"/>
          <w:sz w:val="17"/>
        </w:rPr>
        <w:t>aunoa</w:t>
      </w:r>
      <w:r>
        <w:rPr>
          <w:rFonts w:ascii="Times New Roman"/>
          <w:color w:val="363133"/>
          <w:spacing w:val="4"/>
          <w:sz w:val="17"/>
        </w:rPr>
        <w:t> </w:t>
      </w:r>
      <w:r>
        <w:rPr>
          <w:rFonts w:ascii="Times New Roman"/>
          <w:color w:val="363133"/>
          <w:spacing w:val="-2"/>
          <w:sz w:val="17"/>
        </w:rPr>
        <w:t>ma</w:t>
      </w:r>
      <w:r>
        <w:rPr>
          <w:rFonts w:ascii="Times New Roman"/>
          <w:color w:val="363133"/>
          <w:spacing w:val="-3"/>
          <w:sz w:val="17"/>
        </w:rPr>
        <w:t> </w:t>
      </w:r>
      <w:r>
        <w:rPr>
          <w:rFonts w:ascii="Times New Roman"/>
          <w:color w:val="494646"/>
          <w:spacing w:val="-2"/>
          <w:sz w:val="17"/>
        </w:rPr>
        <w:t>se</w:t>
      </w:r>
      <w:r>
        <w:rPr>
          <w:rFonts w:ascii="Times New Roman"/>
          <w:color w:val="494646"/>
          <w:spacing w:val="-7"/>
          <w:sz w:val="17"/>
        </w:rPr>
        <w:t> </w:t>
      </w:r>
      <w:r>
        <w:rPr>
          <w:rFonts w:ascii="Times New Roman"/>
          <w:color w:val="363133"/>
          <w:spacing w:val="-2"/>
          <w:sz w:val="17"/>
        </w:rPr>
        <w:t>tau</w:t>
      </w:r>
      <w:r>
        <w:rPr>
          <w:rFonts w:ascii="Times New Roman"/>
          <w:color w:val="363133"/>
          <w:spacing w:val="-1"/>
          <w:sz w:val="17"/>
        </w:rPr>
        <w:t> </w:t>
      </w:r>
      <w:r>
        <w:rPr>
          <w:rFonts w:ascii="Times New Roman"/>
          <w:color w:val="363133"/>
          <w:spacing w:val="-2"/>
          <w:sz w:val="17"/>
        </w:rPr>
        <w:t>e</w:t>
      </w:r>
      <w:r>
        <w:rPr>
          <w:rFonts w:ascii="Times New Roman"/>
          <w:color w:val="363133"/>
          <w:spacing w:val="-9"/>
          <w:sz w:val="17"/>
        </w:rPr>
        <w:t> </w:t>
      </w:r>
      <w:r>
        <w:rPr>
          <w:rFonts w:ascii="Times New Roman"/>
          <w:color w:val="363133"/>
          <w:spacing w:val="-2"/>
          <w:sz w:val="17"/>
        </w:rPr>
        <w:t>te totogiina.</w:t>
      </w:r>
    </w:p>
    <w:p>
      <w:pPr>
        <w:pStyle w:val="BodyText"/>
        <w:spacing w:before="8"/>
        <w:rPr>
          <w:rFonts w:ascii="Times New Roman"/>
          <w:sz w:val="3"/>
        </w:rPr>
      </w:pPr>
      <w:r>
        <w:rPr/>
        <mc:AlternateContent>
          <mc:Choice Requires="wps">
            <w:drawing>
              <wp:anchor distT="0" distB="0" distL="0" distR="0" allowOverlap="1" layoutInCell="1" locked="0" behindDoc="1" simplePos="0" relativeHeight="487635968">
                <wp:simplePos x="0" y="0"/>
                <wp:positionH relativeFrom="page">
                  <wp:posOffset>6679903</wp:posOffset>
                </wp:positionH>
                <wp:positionV relativeFrom="paragraph">
                  <wp:posOffset>42253</wp:posOffset>
                </wp:positionV>
                <wp:extent cx="2616200" cy="1270"/>
                <wp:effectExtent l="0" t="0" r="0" b="0"/>
                <wp:wrapTopAndBottom/>
                <wp:docPr id="265" name="Graphic 265"/>
                <wp:cNvGraphicFramePr>
                  <a:graphicFrameLocks/>
                </wp:cNvGraphicFramePr>
                <a:graphic>
                  <a:graphicData uri="http://schemas.microsoft.com/office/word/2010/wordprocessingShape">
                    <wps:wsp>
                      <wps:cNvPr id="265" name="Graphic 265"/>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3.327011pt;width:206pt;height:.1pt;mso-position-horizontal-relative:page;mso-position-vertical-relative:paragraph;z-index:-15680512;mso-wrap-distance-left:0;mso-wrap-distance-right:0" id="docshape195" coordorigin="10520,67" coordsize="4120,0" path="m10520,67l11163,67,12580,67,13996,67,14640,67e" filled="false" stroked="true" strokeweight=".25pt" strokecolor="#231f20">
                <v:path arrowok="t"/>
                <v:stroke dashstyle="solid"/>
                <w10:wrap type="topAndBottom"/>
              </v:shape>
            </w:pict>
          </mc:Fallback>
        </mc:AlternateContent>
      </w:r>
    </w:p>
    <w:p>
      <w:pPr>
        <w:tabs>
          <w:tab w:pos="3131" w:val="left" w:leader="none"/>
        </w:tabs>
        <w:spacing w:line="220" w:lineRule="exact" w:before="34"/>
        <w:ind w:left="198" w:right="0" w:firstLine="0"/>
        <w:jc w:val="left"/>
        <w:rPr>
          <w:rFonts w:ascii="Times New Roman"/>
          <w:sz w:val="17"/>
        </w:rPr>
      </w:pPr>
      <w:r>
        <w:rPr>
          <w:rFonts w:ascii="Times New Roman"/>
          <w:b/>
          <w:color w:val="262123"/>
          <w:spacing w:val="-2"/>
          <w:w w:val="115"/>
          <w:sz w:val="19"/>
        </w:rPr>
        <w:t>Tagalog</w:t>
      </w:r>
      <w:r>
        <w:rPr>
          <w:rFonts w:ascii="Times New Roman"/>
          <w:b/>
          <w:color w:val="262123"/>
          <w:sz w:val="19"/>
        </w:rPr>
        <w:tab/>
      </w:r>
      <w:r>
        <w:rPr>
          <w:rFonts w:ascii="Times New Roman"/>
          <w:color w:val="363133"/>
          <w:w w:val="115"/>
          <w:sz w:val="17"/>
        </w:rPr>
        <w:t>Tagalog</w:t>
      </w:r>
      <w:r>
        <w:rPr>
          <w:rFonts w:ascii="Times New Roman"/>
          <w:color w:val="363133"/>
          <w:spacing w:val="40"/>
          <w:w w:val="115"/>
          <w:sz w:val="17"/>
        </w:rPr>
        <w:t> </w:t>
      </w:r>
      <w:r>
        <w:rPr>
          <w:rFonts w:ascii="Times New Roman"/>
          <w:color w:val="363133"/>
          <w:spacing w:val="-8"/>
          <w:position w:val="-5"/>
          <w:sz w:val="17"/>
        </w:rPr>
        <w:drawing>
          <wp:inline distT="0" distB="0" distL="0" distR="0">
            <wp:extent cx="214299" cy="104139"/>
            <wp:effectExtent l="0" t="0" r="0" b="0"/>
            <wp:docPr id="266" name="Image 266"/>
            <wp:cNvGraphicFramePr>
              <a:graphicFrameLocks/>
            </wp:cNvGraphicFramePr>
            <a:graphic>
              <a:graphicData uri="http://schemas.openxmlformats.org/drawingml/2006/picture">
                <pic:pic>
                  <pic:nvPicPr>
                    <pic:cNvPr id="266" name="Image 266"/>
                    <pic:cNvPicPr/>
                  </pic:nvPicPr>
                  <pic:blipFill>
                    <a:blip r:embed="rId106" cstate="print"/>
                    <a:stretch>
                      <a:fillRect/>
                    </a:stretch>
                  </pic:blipFill>
                  <pic:spPr>
                    <a:xfrm>
                      <a:off x="0" y="0"/>
                      <a:ext cx="214299" cy="104139"/>
                    </a:xfrm>
                    <a:prstGeom prst="rect">
                      <a:avLst/>
                    </a:prstGeom>
                  </pic:spPr>
                </pic:pic>
              </a:graphicData>
            </a:graphic>
          </wp:inline>
        </w:drawing>
      </w:r>
      <w:r>
        <w:rPr>
          <w:rFonts w:ascii="Times New Roman"/>
          <w:color w:val="363133"/>
          <w:spacing w:val="-8"/>
          <w:position w:val="-5"/>
          <w:sz w:val="17"/>
        </w:rPr>
      </w:r>
    </w:p>
    <w:p>
      <w:pPr>
        <w:spacing w:line="182" w:lineRule="exact" w:before="0"/>
        <w:ind w:left="215" w:right="0" w:firstLine="0"/>
        <w:jc w:val="left"/>
        <w:rPr>
          <w:rFonts w:ascii="Times New Roman"/>
          <w:sz w:val="17"/>
        </w:rPr>
      </w:pPr>
      <w:r>
        <w:rPr>
          <w:rFonts w:ascii="Times New Roman"/>
          <w:color w:val="363133"/>
          <w:w w:val="105"/>
          <w:sz w:val="17"/>
        </w:rPr>
        <w:t>Ituro</w:t>
      </w:r>
      <w:r>
        <w:rPr>
          <w:rFonts w:ascii="Times New Roman"/>
          <w:color w:val="363133"/>
          <w:spacing w:val="4"/>
          <w:w w:val="105"/>
          <w:sz w:val="17"/>
        </w:rPr>
        <w:t> </w:t>
      </w:r>
      <w:r>
        <w:rPr>
          <w:rFonts w:ascii="Times New Roman"/>
          <w:color w:val="363133"/>
          <w:w w:val="105"/>
          <w:sz w:val="17"/>
        </w:rPr>
        <w:t>po</w:t>
      </w:r>
      <w:r>
        <w:rPr>
          <w:rFonts w:ascii="Times New Roman"/>
          <w:color w:val="363133"/>
          <w:spacing w:val="1"/>
          <w:w w:val="105"/>
          <w:sz w:val="17"/>
        </w:rPr>
        <w:t> </w:t>
      </w:r>
      <w:r>
        <w:rPr>
          <w:rFonts w:ascii="Times New Roman"/>
          <w:color w:val="363133"/>
          <w:w w:val="105"/>
          <w:sz w:val="17"/>
        </w:rPr>
        <w:t>ang</w:t>
      </w:r>
      <w:r>
        <w:rPr>
          <w:rFonts w:ascii="Times New Roman"/>
          <w:color w:val="363133"/>
          <w:spacing w:val="5"/>
          <w:w w:val="105"/>
          <w:sz w:val="17"/>
        </w:rPr>
        <w:t> </w:t>
      </w:r>
      <w:r>
        <w:rPr>
          <w:rFonts w:ascii="Times New Roman"/>
          <w:color w:val="363133"/>
          <w:w w:val="105"/>
          <w:sz w:val="17"/>
        </w:rPr>
        <w:t>inyong</w:t>
      </w:r>
      <w:r>
        <w:rPr>
          <w:rFonts w:ascii="Times New Roman"/>
          <w:color w:val="363133"/>
          <w:spacing w:val="2"/>
          <w:w w:val="105"/>
          <w:sz w:val="17"/>
        </w:rPr>
        <w:t> </w:t>
      </w:r>
      <w:r>
        <w:rPr>
          <w:rFonts w:ascii="Times New Roman"/>
          <w:color w:val="363133"/>
          <w:spacing w:val="-4"/>
          <w:w w:val="105"/>
          <w:sz w:val="17"/>
        </w:rPr>
        <w:t>wika.</w:t>
      </w:r>
    </w:p>
    <w:p>
      <w:pPr>
        <w:spacing w:before="7"/>
        <w:ind w:left="215" w:right="0" w:firstLine="0"/>
        <w:jc w:val="left"/>
        <w:rPr>
          <w:rFonts w:ascii="Times New Roman"/>
          <w:sz w:val="17"/>
        </w:rPr>
      </w:pPr>
      <w:r>
        <w:rPr>
          <w:rFonts w:ascii="Times New Roman"/>
          <w:color w:val="363133"/>
          <w:w w:val="105"/>
          <w:sz w:val="17"/>
        </w:rPr>
        <w:t>Isang</w:t>
      </w:r>
      <w:r>
        <w:rPr>
          <w:rFonts w:ascii="Times New Roman"/>
          <w:color w:val="363133"/>
          <w:spacing w:val="2"/>
          <w:w w:val="105"/>
          <w:sz w:val="17"/>
        </w:rPr>
        <w:t> </w:t>
      </w:r>
      <w:r>
        <w:rPr>
          <w:rFonts w:ascii="Times New Roman"/>
          <w:color w:val="363133"/>
          <w:w w:val="105"/>
          <w:sz w:val="17"/>
        </w:rPr>
        <w:t>tagasalin</w:t>
      </w:r>
      <w:r>
        <w:rPr>
          <w:rFonts w:ascii="Times New Roman"/>
          <w:color w:val="363133"/>
          <w:spacing w:val="7"/>
          <w:w w:val="105"/>
          <w:sz w:val="17"/>
        </w:rPr>
        <w:t> </w:t>
      </w:r>
      <w:r>
        <w:rPr>
          <w:rFonts w:ascii="Times New Roman"/>
          <w:color w:val="363133"/>
          <w:w w:val="105"/>
          <w:sz w:val="17"/>
        </w:rPr>
        <w:t>ang</w:t>
      </w:r>
      <w:r>
        <w:rPr>
          <w:rFonts w:ascii="Times New Roman"/>
          <w:color w:val="363133"/>
          <w:spacing w:val="1"/>
          <w:w w:val="105"/>
          <w:sz w:val="17"/>
        </w:rPr>
        <w:t> </w:t>
      </w:r>
      <w:r>
        <w:rPr>
          <w:rFonts w:ascii="Times New Roman"/>
          <w:color w:val="363133"/>
          <w:w w:val="105"/>
          <w:sz w:val="17"/>
        </w:rPr>
        <w:t>ipagkakaloob</w:t>
      </w:r>
      <w:r>
        <w:rPr>
          <w:rFonts w:ascii="Times New Roman"/>
          <w:color w:val="363133"/>
          <w:spacing w:val="12"/>
          <w:w w:val="105"/>
          <w:sz w:val="17"/>
        </w:rPr>
        <w:t> </w:t>
      </w:r>
      <w:r>
        <w:rPr>
          <w:rFonts w:ascii="Times New Roman"/>
          <w:color w:val="363133"/>
          <w:w w:val="105"/>
          <w:sz w:val="17"/>
        </w:rPr>
        <w:t>nang</w:t>
      </w:r>
      <w:r>
        <w:rPr>
          <w:rFonts w:ascii="Times New Roman"/>
          <w:color w:val="363133"/>
          <w:spacing w:val="5"/>
          <w:w w:val="105"/>
          <w:sz w:val="17"/>
        </w:rPr>
        <w:t> </w:t>
      </w:r>
      <w:r>
        <w:rPr>
          <w:rFonts w:ascii="Times New Roman"/>
          <w:color w:val="363133"/>
          <w:w w:val="105"/>
          <w:sz w:val="17"/>
        </w:rPr>
        <w:t>libre</w:t>
      </w:r>
      <w:r>
        <w:rPr>
          <w:rFonts w:ascii="Times New Roman"/>
          <w:color w:val="363133"/>
          <w:spacing w:val="-1"/>
          <w:w w:val="105"/>
          <w:sz w:val="17"/>
        </w:rPr>
        <w:t> </w:t>
      </w:r>
      <w:r>
        <w:rPr>
          <w:rFonts w:ascii="Times New Roman"/>
          <w:color w:val="363133"/>
          <w:w w:val="105"/>
          <w:sz w:val="17"/>
        </w:rPr>
        <w:t>sa</w:t>
      </w:r>
      <w:r>
        <w:rPr>
          <w:rFonts w:ascii="Times New Roman"/>
          <w:color w:val="363133"/>
          <w:spacing w:val="-2"/>
          <w:w w:val="105"/>
          <w:sz w:val="17"/>
        </w:rPr>
        <w:t> inyo.</w:t>
      </w:r>
    </w:p>
    <w:p>
      <w:pPr>
        <w:spacing w:line="283" w:lineRule="auto" w:before="0"/>
        <w:ind w:left="199" w:right="383" w:hanging="1"/>
        <w:jc w:val="left"/>
        <w:rPr>
          <w:rFonts w:ascii="Times New Roman"/>
          <w:sz w:val="17"/>
        </w:rPr>
      </w:pPr>
      <w:r>
        <w:rPr/>
        <w:br w:type="column"/>
      </w:r>
      <w:r>
        <w:rPr>
          <w:rFonts w:ascii="Times New Roman"/>
          <w:color w:val="363133"/>
          <w:w w:val="115"/>
          <w:sz w:val="17"/>
        </w:rPr>
        <w:t>frequently encountered</w:t>
      </w:r>
      <w:r>
        <w:rPr>
          <w:rFonts w:ascii="Times New Roman"/>
          <w:color w:val="363133"/>
          <w:w w:val="115"/>
          <w:sz w:val="17"/>
        </w:rPr>
        <w:t> in North America, </w:t>
      </w:r>
      <w:r>
        <w:rPr>
          <w:rFonts w:ascii="Times New Roman"/>
          <w:color w:val="363133"/>
          <w:w w:val="115"/>
          <w:sz w:val="17"/>
        </w:rPr>
        <w:t>grouped by the geographical</w:t>
      </w:r>
      <w:r>
        <w:rPr>
          <w:rFonts w:ascii="Times New Roman"/>
          <w:color w:val="363133"/>
          <w:w w:val="115"/>
          <w:sz w:val="17"/>
        </w:rPr>
        <w:t> region where they are commonly spoken.</w:t>
      </w:r>
    </w:p>
    <w:p>
      <w:pPr>
        <w:pStyle w:val="ListParagraph"/>
        <w:numPr>
          <w:ilvl w:val="0"/>
          <w:numId w:val="40"/>
        </w:numPr>
        <w:tabs>
          <w:tab w:pos="380" w:val="left" w:leader="none"/>
          <w:tab w:pos="382" w:val="left" w:leader="none"/>
        </w:tabs>
        <w:spacing w:line="283" w:lineRule="auto" w:before="46" w:after="0"/>
        <w:ind w:left="382" w:right="217" w:hanging="173"/>
        <w:jc w:val="left"/>
        <w:rPr>
          <w:rFonts w:ascii="Times New Roman" w:hAnsi="Times New Roman"/>
          <w:sz w:val="17"/>
        </w:rPr>
      </w:pPr>
      <w:r>
        <w:rPr>
          <w:rFonts w:ascii="Times New Roman" w:hAnsi="Times New Roman"/>
          <w:color w:val="363133"/>
          <w:w w:val="115"/>
          <w:sz w:val="17"/>
        </w:rPr>
        <w:t>To</w:t>
      </w:r>
      <w:r>
        <w:rPr>
          <w:rFonts w:ascii="Times New Roman" w:hAnsi="Times New Roman"/>
          <w:color w:val="363133"/>
          <w:spacing w:val="-13"/>
          <w:w w:val="115"/>
          <w:sz w:val="17"/>
        </w:rPr>
        <w:t> </w:t>
      </w:r>
      <w:r>
        <w:rPr>
          <w:rFonts w:ascii="Times New Roman" w:hAnsi="Times New Roman"/>
          <w:color w:val="363133"/>
          <w:w w:val="115"/>
          <w:sz w:val="17"/>
        </w:rPr>
        <w:t>use the</w:t>
      </w:r>
      <w:r>
        <w:rPr>
          <w:rFonts w:ascii="Times New Roman" w:hAnsi="Times New Roman"/>
          <w:color w:val="363133"/>
          <w:spacing w:val="-2"/>
          <w:w w:val="115"/>
          <w:sz w:val="17"/>
        </w:rPr>
        <w:t> </w:t>
      </w:r>
      <w:r>
        <w:rPr>
          <w:rFonts w:ascii="Times New Roman" w:hAnsi="Times New Roman"/>
          <w:color w:val="363133"/>
          <w:w w:val="115"/>
          <w:sz w:val="17"/>
        </w:rPr>
        <w:t>Language ID Card efficiently</w:t>
      </w:r>
      <w:r>
        <w:rPr>
          <w:rFonts w:ascii="Times New Roman" w:hAnsi="Times New Roman"/>
          <w:color w:val="625E60"/>
          <w:w w:val="115"/>
          <w:sz w:val="17"/>
        </w:rPr>
        <w:t>, </w:t>
      </w:r>
      <w:r>
        <w:rPr>
          <w:rFonts w:ascii="Times New Roman" w:hAnsi="Times New Roman"/>
          <w:color w:val="363133"/>
          <w:w w:val="115"/>
          <w:sz w:val="17"/>
        </w:rPr>
        <w:t>locate the geographical</w:t>
      </w:r>
      <w:r>
        <w:rPr>
          <w:rFonts w:ascii="Times New Roman" w:hAnsi="Times New Roman"/>
          <w:color w:val="363133"/>
          <w:spacing w:val="36"/>
          <w:w w:val="115"/>
          <w:sz w:val="17"/>
        </w:rPr>
        <w:t> </w:t>
      </w:r>
      <w:r>
        <w:rPr>
          <w:rFonts w:ascii="Times New Roman" w:hAnsi="Times New Roman"/>
          <w:color w:val="363133"/>
          <w:w w:val="115"/>
          <w:sz w:val="17"/>
        </w:rPr>
        <w:t>region where you believe the </w:t>
      </w:r>
      <w:r>
        <w:rPr>
          <w:rFonts w:ascii="Times New Roman" w:hAnsi="Times New Roman"/>
          <w:color w:val="262123"/>
          <w:w w:val="115"/>
          <w:sz w:val="17"/>
        </w:rPr>
        <w:t>limited</w:t>
      </w:r>
    </w:p>
    <w:p>
      <w:pPr>
        <w:spacing w:after="0" w:line="283" w:lineRule="auto"/>
        <w:jc w:val="left"/>
        <w:rPr>
          <w:rFonts w:ascii="Times New Roman" w:hAnsi="Times New Roman"/>
          <w:sz w:val="17"/>
        </w:rPr>
        <w:sectPr>
          <w:type w:val="continuous"/>
          <w:pgSz w:w="20160" w:h="12240" w:orient="landscape"/>
          <w:pgMar w:header="0" w:footer="0" w:top="1820" w:bottom="280" w:left="380" w:right="120"/>
          <w:cols w:num="4" w:equalWidth="0">
            <w:col w:w="4272" w:space="732"/>
            <w:col w:w="4251" w:space="778"/>
            <w:col w:w="4242" w:space="697"/>
            <w:col w:w="4688"/>
          </w:cols>
        </w:sect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67" name="Group 267"/>
                <wp:cNvGraphicFramePr>
                  <a:graphicFrameLocks/>
                </wp:cNvGraphicFramePr>
                <a:graphic>
                  <a:graphicData uri="http://schemas.microsoft.com/office/word/2010/wordprocessingGroup">
                    <wpg:wgp>
                      <wpg:cNvPr id="267" name="Group 267"/>
                      <wpg:cNvGrpSpPr/>
                      <wpg:grpSpPr>
                        <a:xfrm>
                          <a:off x="0" y="0"/>
                          <a:ext cx="2616200" cy="3175"/>
                          <a:chExt cx="2616200" cy="3175"/>
                        </a:xfrm>
                      </wpg:grpSpPr>
                      <wps:wsp>
                        <wps:cNvPr id="268" name="Graphic 26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96" coordorigin="0,0" coordsize="4120,5">
                <v:shape style="position:absolute;left:0;top:2;width:4120;height:2" id="docshape197"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306" w:val="left" w:leader="none"/>
        </w:tabs>
        <w:spacing w:before="0"/>
        <w:ind w:left="208" w:right="0" w:firstLine="0"/>
        <w:jc w:val="left"/>
        <w:rPr>
          <w:rFonts w:ascii="Times New Roman"/>
          <w:sz w:val="17"/>
        </w:rPr>
      </w:pPr>
      <w:r>
        <w:rPr/>
        <w:drawing>
          <wp:anchor distT="0" distB="0" distL="0" distR="0" allowOverlap="1" layoutInCell="1" locked="0" behindDoc="0" simplePos="0" relativeHeight="15796224">
            <wp:simplePos x="0" y="0"/>
            <wp:positionH relativeFrom="page">
              <wp:posOffset>2713955</wp:posOffset>
            </wp:positionH>
            <wp:positionV relativeFrom="paragraph">
              <wp:posOffset>53902</wp:posOffset>
            </wp:positionV>
            <wp:extent cx="214306" cy="104139"/>
            <wp:effectExtent l="0" t="0" r="0" b="0"/>
            <wp:wrapNone/>
            <wp:docPr id="269" name="Image 269"/>
            <wp:cNvGraphicFramePr>
              <a:graphicFrameLocks/>
            </wp:cNvGraphicFramePr>
            <a:graphic>
              <a:graphicData uri="http://schemas.openxmlformats.org/drawingml/2006/picture">
                <pic:pic>
                  <pic:nvPicPr>
                    <pic:cNvPr id="269" name="Image 269"/>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5"/>
          <w:sz w:val="19"/>
        </w:rPr>
        <w:t>Danish</w:t>
      </w:r>
      <w:r>
        <w:rPr>
          <w:rFonts w:ascii="Times New Roman"/>
          <w:b/>
          <w:color w:val="262123"/>
          <w:sz w:val="19"/>
        </w:rPr>
        <w:tab/>
      </w:r>
      <w:r>
        <w:rPr>
          <w:rFonts w:ascii="Times New Roman"/>
          <w:color w:val="363133"/>
          <w:spacing w:val="-2"/>
          <w:w w:val="115"/>
          <w:sz w:val="17"/>
        </w:rPr>
        <w:t>Dansk</w:t>
      </w:r>
    </w:p>
    <w:p>
      <w:pPr>
        <w:spacing w:before="15"/>
        <w:ind w:left="208" w:right="0" w:firstLine="0"/>
        <w:jc w:val="left"/>
        <w:rPr>
          <w:rFonts w:ascii="Times New Roman"/>
          <w:b/>
          <w:sz w:val="19"/>
        </w:rPr>
      </w:pPr>
      <w:r>
        <w:rPr/>
        <w:br w:type="column"/>
      </w:r>
      <w:r>
        <w:rPr>
          <w:rFonts w:ascii="Times New Roman"/>
          <w:b/>
          <w:color w:val="262123"/>
          <w:spacing w:val="-2"/>
          <w:w w:val="110"/>
          <w:sz w:val="19"/>
        </w:rPr>
        <w:t>Romanian</w:t>
      </w:r>
    </w:p>
    <w:p>
      <w:pPr>
        <w:spacing w:before="29"/>
        <w:ind w:left="208" w:right="0" w:firstLine="0"/>
        <w:jc w:val="left"/>
        <w:rPr>
          <w:rFonts w:ascii="Times New Roman"/>
          <w:sz w:val="17"/>
        </w:rPr>
      </w:pPr>
      <w:r>
        <w:rPr/>
        <w:br w:type="column"/>
      </w:r>
      <w:r>
        <w:rPr>
          <w:rFonts w:ascii="Times New Roman"/>
          <w:color w:val="363133"/>
          <w:spacing w:val="-2"/>
          <w:w w:val="115"/>
          <w:sz w:val="17"/>
        </w:rPr>
        <w:t>Romana</w:t>
      </w:r>
    </w:p>
    <w:p>
      <w:pPr>
        <w:spacing w:line="20" w:lineRule="exact"/>
        <w:ind w:left="116" w:right="-72" w:firstLine="0"/>
        <w:rPr>
          <w:rFonts w:ascii="Times New Roman"/>
          <w:sz w:val="2"/>
        </w:rPr>
      </w:pPr>
      <w:r>
        <w:rPr/>
        <w:br w:type="column"/>
      </w:r>
      <w:r>
        <w:rPr>
          <w:rFonts w:ascii="Times New Roman"/>
          <w:sz w:val="2"/>
        </w:rPr>
        <mc:AlternateContent>
          <mc:Choice Requires="wps">
            <w:drawing>
              <wp:inline distT="0" distB="0" distL="0" distR="0">
                <wp:extent cx="2616200" cy="3175"/>
                <wp:effectExtent l="9525" t="0" r="0" b="6350"/>
                <wp:docPr id="270" name="Group 270"/>
                <wp:cNvGraphicFramePr>
                  <a:graphicFrameLocks/>
                </wp:cNvGraphicFramePr>
                <a:graphic>
                  <a:graphicData uri="http://schemas.microsoft.com/office/word/2010/wordprocessingGroup">
                    <wpg:wgp>
                      <wpg:cNvPr id="270" name="Group 270"/>
                      <wpg:cNvGrpSpPr/>
                      <wpg:grpSpPr>
                        <a:xfrm>
                          <a:off x="0" y="0"/>
                          <a:ext cx="2616200" cy="3175"/>
                          <a:chExt cx="2616200" cy="3175"/>
                        </a:xfrm>
                      </wpg:grpSpPr>
                      <wps:wsp>
                        <wps:cNvPr id="271" name="Graphic 27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198" coordorigin="0,0" coordsize="4120,5">
                <v:shape style="position:absolute;left:0;top:2;width:4120;height:2" id="docshape199"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479" w:val="left" w:leader="none"/>
        </w:tabs>
        <w:spacing w:line="218" w:lineRule="exact" w:before="0"/>
        <w:ind w:left="208" w:right="0" w:firstLine="0"/>
        <w:jc w:val="left"/>
        <w:rPr>
          <w:rFonts w:ascii="Times New Roman"/>
          <w:sz w:val="17"/>
        </w:rPr>
      </w:pPr>
      <w:r>
        <w:rPr/>
        <w:drawing>
          <wp:anchor distT="0" distB="0" distL="0" distR="0" allowOverlap="1" layoutInCell="1" locked="0" behindDoc="0" simplePos="0" relativeHeight="15810048">
            <wp:simplePos x="0" y="0"/>
            <wp:positionH relativeFrom="page">
              <wp:posOffset>9053054</wp:posOffset>
            </wp:positionH>
            <wp:positionV relativeFrom="paragraph">
              <wp:posOffset>50849</wp:posOffset>
            </wp:positionV>
            <wp:extent cx="214299" cy="104139"/>
            <wp:effectExtent l="0" t="0" r="0" b="0"/>
            <wp:wrapNone/>
            <wp:docPr id="272" name="Image 272"/>
            <wp:cNvGraphicFramePr>
              <a:graphicFrameLocks/>
            </wp:cNvGraphicFramePr>
            <a:graphic>
              <a:graphicData uri="http://schemas.openxmlformats.org/drawingml/2006/picture">
                <pic:pic>
                  <pic:nvPicPr>
                    <pic:cNvPr id="272" name="Image 272"/>
                    <pic:cNvPicPr/>
                  </pic:nvPicPr>
                  <pic:blipFill>
                    <a:blip r:embed="rId106" cstate="print"/>
                    <a:stretch>
                      <a:fillRect/>
                    </a:stretch>
                  </pic:blipFill>
                  <pic:spPr>
                    <a:xfrm>
                      <a:off x="0" y="0"/>
                      <a:ext cx="214299" cy="104139"/>
                    </a:xfrm>
                    <a:prstGeom prst="rect">
                      <a:avLst/>
                    </a:prstGeom>
                  </pic:spPr>
                </pic:pic>
              </a:graphicData>
            </a:graphic>
          </wp:anchor>
        </w:drawing>
      </w:r>
      <w:r>
        <w:rPr>
          <w:rFonts w:ascii="Times New Roman"/>
          <w:b/>
          <w:color w:val="262123"/>
          <w:spacing w:val="-2"/>
          <w:w w:val="115"/>
          <w:sz w:val="19"/>
        </w:rPr>
        <w:t>Tongan</w:t>
      </w:r>
      <w:r>
        <w:rPr>
          <w:rFonts w:ascii="Times New Roman"/>
          <w:b/>
          <w:color w:val="262123"/>
          <w:sz w:val="19"/>
        </w:rPr>
        <w:tab/>
      </w:r>
      <w:r>
        <w:rPr>
          <w:rFonts w:ascii="Times New Roman"/>
          <w:color w:val="363133"/>
          <w:w w:val="115"/>
          <w:sz w:val="17"/>
        </w:rPr>
        <w:t>Lea</w:t>
      </w:r>
      <w:r>
        <w:rPr>
          <w:rFonts w:ascii="Times New Roman"/>
          <w:color w:val="363133"/>
          <w:spacing w:val="-2"/>
          <w:w w:val="115"/>
          <w:sz w:val="17"/>
        </w:rPr>
        <w:t> </w:t>
      </w:r>
      <w:r>
        <w:rPr>
          <w:rFonts w:ascii="Times New Roman"/>
          <w:color w:val="363133"/>
          <w:w w:val="115"/>
          <w:sz w:val="17"/>
        </w:rPr>
        <w:t>Faka-</w:t>
      </w:r>
      <w:r>
        <w:rPr>
          <w:rFonts w:ascii="Times New Roman"/>
          <w:color w:val="363133"/>
          <w:spacing w:val="-2"/>
          <w:w w:val="115"/>
          <w:sz w:val="17"/>
        </w:rPr>
        <w:t>Tonga</w:t>
      </w:r>
    </w:p>
    <w:p>
      <w:pPr>
        <w:spacing w:line="191" w:lineRule="exact" w:before="0"/>
        <w:ind w:left="208" w:right="0" w:firstLine="0"/>
        <w:jc w:val="left"/>
        <w:rPr>
          <w:rFonts w:ascii="Times New Roman"/>
          <w:sz w:val="17"/>
        </w:rPr>
      </w:pPr>
      <w:r>
        <w:rPr/>
        <w:br w:type="column"/>
      </w:r>
      <w:r>
        <w:rPr>
          <w:rFonts w:ascii="Times New Roman"/>
          <w:color w:val="363133"/>
          <w:w w:val="115"/>
          <w:sz w:val="17"/>
        </w:rPr>
        <w:t>English</w:t>
      </w:r>
      <w:r>
        <w:rPr>
          <w:rFonts w:ascii="Times New Roman"/>
          <w:color w:val="363133"/>
          <w:spacing w:val="17"/>
          <w:w w:val="115"/>
          <w:sz w:val="17"/>
        </w:rPr>
        <w:t> </w:t>
      </w:r>
      <w:r>
        <w:rPr>
          <w:rFonts w:ascii="Times New Roman"/>
          <w:color w:val="363133"/>
          <w:w w:val="115"/>
          <w:sz w:val="17"/>
        </w:rPr>
        <w:t>speaker</w:t>
      </w:r>
      <w:r>
        <w:rPr>
          <w:rFonts w:ascii="Times New Roman"/>
          <w:color w:val="363133"/>
          <w:spacing w:val="10"/>
          <w:w w:val="115"/>
          <w:sz w:val="17"/>
        </w:rPr>
        <w:t> </w:t>
      </w:r>
      <w:r>
        <w:rPr>
          <w:rFonts w:ascii="Times New Roman"/>
          <w:color w:val="363133"/>
          <w:w w:val="115"/>
          <w:sz w:val="17"/>
        </w:rPr>
        <w:t>may</w:t>
      </w:r>
      <w:r>
        <w:rPr>
          <w:rFonts w:ascii="Times New Roman"/>
          <w:color w:val="363133"/>
          <w:spacing w:val="9"/>
          <w:w w:val="115"/>
          <w:sz w:val="17"/>
        </w:rPr>
        <w:t> </w:t>
      </w:r>
      <w:r>
        <w:rPr>
          <w:rFonts w:ascii="Times New Roman"/>
          <w:color w:val="363133"/>
          <w:w w:val="115"/>
          <w:sz w:val="17"/>
        </w:rPr>
        <w:t>be</w:t>
      </w:r>
      <w:r>
        <w:rPr>
          <w:rFonts w:ascii="Times New Roman"/>
          <w:color w:val="363133"/>
          <w:spacing w:val="5"/>
          <w:w w:val="115"/>
          <w:sz w:val="17"/>
        </w:rPr>
        <w:t> </w:t>
      </w:r>
      <w:r>
        <w:rPr>
          <w:rFonts w:ascii="Times New Roman"/>
          <w:color w:val="363133"/>
          <w:w w:val="115"/>
          <w:sz w:val="17"/>
        </w:rPr>
        <w:t>from.</w:t>
      </w:r>
      <w:r>
        <w:rPr>
          <w:rFonts w:ascii="Times New Roman"/>
          <w:color w:val="363133"/>
          <w:spacing w:val="6"/>
          <w:w w:val="115"/>
          <w:sz w:val="17"/>
        </w:rPr>
        <w:t> </w:t>
      </w:r>
      <w:r>
        <w:rPr>
          <w:rFonts w:ascii="Times New Roman"/>
          <w:color w:val="363133"/>
          <w:w w:val="115"/>
          <w:sz w:val="17"/>
        </w:rPr>
        <w:t>(Pacific</w:t>
      </w:r>
      <w:r>
        <w:rPr>
          <w:rFonts w:ascii="Times New Roman"/>
          <w:color w:val="363133"/>
          <w:spacing w:val="12"/>
          <w:w w:val="115"/>
          <w:sz w:val="17"/>
        </w:rPr>
        <w:t> </w:t>
      </w:r>
      <w:r>
        <w:rPr>
          <w:rFonts w:ascii="Times New Roman"/>
          <w:color w:val="363133"/>
          <w:spacing w:val="-2"/>
          <w:w w:val="115"/>
          <w:sz w:val="17"/>
        </w:rPr>
        <w:t>Islands,</w:t>
      </w:r>
    </w:p>
    <w:p>
      <w:pPr>
        <w:spacing w:after="0" w:line="191" w:lineRule="exact"/>
        <w:jc w:val="left"/>
        <w:rPr>
          <w:rFonts w:ascii="Times New Roman"/>
          <w:sz w:val="17"/>
        </w:rPr>
        <w:sectPr>
          <w:type w:val="continuous"/>
          <w:pgSz w:w="20160" w:h="12240" w:orient="landscape"/>
          <w:pgMar w:header="0" w:footer="0" w:top="1820" w:bottom="280" w:left="380" w:right="120"/>
          <w:cols w:num="5" w:equalWidth="0">
            <w:col w:w="4272" w:space="738"/>
            <w:col w:w="1162" w:space="1736"/>
            <w:col w:w="1347" w:space="768"/>
            <w:col w:w="4232" w:space="893"/>
            <w:col w:w="4512"/>
          </w:cols>
        </w:sectPr>
      </w:pPr>
    </w:p>
    <w:p>
      <w:pPr>
        <w:spacing w:line="247" w:lineRule="auto" w:before="0"/>
        <w:ind w:left="205" w:right="590" w:firstLine="2"/>
        <w:jc w:val="left"/>
        <w:rPr>
          <w:rFonts w:ascii="Times New Roman"/>
          <w:sz w:val="17"/>
        </w:rPr>
      </w:pPr>
      <w:r>
        <w:rPr/>
        <mc:AlternateContent>
          <mc:Choice Requires="wps">
            <w:drawing>
              <wp:anchor distT="0" distB="0" distL="0" distR="0" allowOverlap="1" layoutInCell="1" locked="0" behindDoc="0" simplePos="0" relativeHeight="15788544">
                <wp:simplePos x="0" y="0"/>
                <wp:positionH relativeFrom="page">
                  <wp:posOffset>3504902</wp:posOffset>
                </wp:positionH>
                <wp:positionV relativeFrom="paragraph">
                  <wp:posOffset>302576</wp:posOffset>
                </wp:positionV>
                <wp:extent cx="2616200" cy="127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23.824955pt;width:206pt;height:.1pt;mso-position-horizontal-relative:page;mso-position-vertical-relative:paragraph;z-index:15788544" id="docshape200" coordorigin="5520,476" coordsize="4120,0" path="m5520,476l6163,476,7580,476,8996,476,9640,476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03904">
            <wp:simplePos x="0" y="0"/>
            <wp:positionH relativeFrom="page">
              <wp:posOffset>5878054</wp:posOffset>
            </wp:positionH>
            <wp:positionV relativeFrom="paragraph">
              <wp:posOffset>365791</wp:posOffset>
            </wp:positionV>
            <wp:extent cx="214306" cy="104139"/>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107" cstate="print"/>
                    <a:stretch>
                      <a:fillRect/>
                    </a:stretch>
                  </pic:blipFill>
                  <pic:spPr>
                    <a:xfrm>
                      <a:off x="0" y="0"/>
                      <a:ext cx="214306" cy="104139"/>
                    </a:xfrm>
                    <a:prstGeom prst="rect">
                      <a:avLst/>
                    </a:prstGeom>
                  </pic:spPr>
                </pic:pic>
              </a:graphicData>
            </a:graphic>
          </wp:anchor>
        </w:drawing>
      </w:r>
      <w:r>
        <w:rPr>
          <w:rFonts w:ascii="Times New Roman"/>
          <w:color w:val="363133"/>
          <w:w w:val="105"/>
          <w:sz w:val="17"/>
        </w:rPr>
        <w:t>Peg pa dit sprog</w:t>
      </w:r>
      <w:r>
        <w:rPr>
          <w:rFonts w:ascii="Times New Roman"/>
          <w:color w:val="625E60"/>
          <w:w w:val="105"/>
          <w:sz w:val="17"/>
        </w:rPr>
        <w:t>.</w:t>
      </w:r>
      <w:r>
        <w:rPr>
          <w:rFonts w:ascii="Times New Roman"/>
          <w:color w:val="625E60"/>
          <w:spacing w:val="-6"/>
          <w:w w:val="105"/>
          <w:sz w:val="17"/>
        </w:rPr>
        <w:t> </w:t>
      </w:r>
      <w:r>
        <w:rPr>
          <w:rFonts w:ascii="Times New Roman"/>
          <w:color w:val="363133"/>
          <w:w w:val="105"/>
          <w:sz w:val="17"/>
        </w:rPr>
        <w:t>En tolk vii blive tilkaldt. Tolken</w:t>
      </w:r>
      <w:r>
        <w:rPr>
          <w:rFonts w:ascii="Times New Roman"/>
          <w:color w:val="363133"/>
          <w:spacing w:val="-3"/>
          <w:w w:val="105"/>
          <w:sz w:val="17"/>
        </w:rPr>
        <w:t> </w:t>
      </w:r>
      <w:r>
        <w:rPr>
          <w:rFonts w:ascii="Times New Roman"/>
          <w:color w:val="262123"/>
          <w:w w:val="105"/>
          <w:sz w:val="17"/>
        </w:rPr>
        <w:t>tilbydes</w:t>
      </w:r>
      <w:r>
        <w:rPr>
          <w:rFonts w:ascii="Times New Roman"/>
          <w:color w:val="262123"/>
          <w:spacing w:val="-3"/>
          <w:w w:val="105"/>
          <w:sz w:val="17"/>
        </w:rPr>
        <w:t> </w:t>
      </w:r>
      <w:r>
        <w:rPr>
          <w:rFonts w:ascii="Times New Roman"/>
          <w:color w:val="363133"/>
          <w:w w:val="105"/>
          <w:sz w:val="17"/>
        </w:rPr>
        <w:t>uden</w:t>
      </w:r>
      <w:r>
        <w:rPr>
          <w:rFonts w:ascii="Times New Roman"/>
          <w:color w:val="363133"/>
          <w:spacing w:val="-9"/>
          <w:w w:val="105"/>
          <w:sz w:val="17"/>
        </w:rPr>
        <w:t> </w:t>
      </w:r>
      <w:r>
        <w:rPr>
          <w:rFonts w:ascii="Times New Roman"/>
          <w:color w:val="363133"/>
          <w:w w:val="105"/>
          <w:sz w:val="17"/>
        </w:rPr>
        <w:t>omkostninger</w:t>
      </w:r>
      <w:r>
        <w:rPr>
          <w:rFonts w:ascii="Times New Roman"/>
          <w:color w:val="363133"/>
          <w:w w:val="105"/>
          <w:sz w:val="17"/>
        </w:rPr>
        <w:t> for</w:t>
      </w:r>
      <w:r>
        <w:rPr>
          <w:rFonts w:ascii="Times New Roman"/>
          <w:color w:val="363133"/>
          <w:spacing w:val="-10"/>
          <w:w w:val="105"/>
          <w:sz w:val="17"/>
        </w:rPr>
        <w:t> </w:t>
      </w:r>
      <w:r>
        <w:rPr>
          <w:rFonts w:ascii="Times New Roman"/>
          <w:color w:val="363133"/>
          <w:w w:val="105"/>
          <w:sz w:val="17"/>
        </w:rPr>
        <w:t>dig.</w:t>
      </w:r>
    </w:p>
    <w:p>
      <w:pPr>
        <w:spacing w:before="7"/>
        <w:ind w:left="209" w:right="0" w:hanging="4"/>
        <w:jc w:val="left"/>
        <w:rPr>
          <w:rFonts w:ascii="Times New Roman"/>
          <w:sz w:val="17"/>
        </w:rPr>
      </w:pPr>
      <w:r>
        <w:rPr/>
        <w:br w:type="column"/>
      </w:r>
      <w:r>
        <w:rPr>
          <w:rFonts w:ascii="Times New Roman"/>
          <w:color w:val="363133"/>
          <w:sz w:val="17"/>
        </w:rPr>
        <w:t>Indicati limba pe</w:t>
      </w:r>
      <w:r>
        <w:rPr>
          <w:rFonts w:ascii="Times New Roman"/>
          <w:color w:val="363133"/>
          <w:spacing w:val="-10"/>
          <w:sz w:val="17"/>
        </w:rPr>
        <w:t> </w:t>
      </w:r>
      <w:r>
        <w:rPr>
          <w:rFonts w:ascii="Times New Roman"/>
          <w:color w:val="363133"/>
          <w:sz w:val="17"/>
        </w:rPr>
        <w:t>care</w:t>
      </w:r>
      <w:r>
        <w:rPr>
          <w:rFonts w:ascii="Times New Roman"/>
          <w:color w:val="363133"/>
          <w:spacing w:val="-7"/>
          <w:sz w:val="17"/>
        </w:rPr>
        <w:t> </w:t>
      </w:r>
      <w:r>
        <w:rPr>
          <w:rFonts w:ascii="Times New Roman"/>
          <w:color w:val="363133"/>
          <w:sz w:val="17"/>
        </w:rPr>
        <w:t>o</w:t>
      </w:r>
      <w:r>
        <w:rPr>
          <w:rFonts w:ascii="Times New Roman"/>
          <w:color w:val="363133"/>
          <w:spacing w:val="-9"/>
          <w:sz w:val="17"/>
        </w:rPr>
        <w:t> </w:t>
      </w:r>
      <w:r>
        <w:rPr>
          <w:rFonts w:ascii="Times New Roman"/>
          <w:color w:val="363133"/>
          <w:sz w:val="17"/>
        </w:rPr>
        <w:t>vorbiti.</w:t>
      </w:r>
      <w:r>
        <w:rPr>
          <w:rFonts w:ascii="Times New Roman"/>
          <w:color w:val="363133"/>
          <w:spacing w:val="-1"/>
          <w:sz w:val="17"/>
        </w:rPr>
        <w:t> </w:t>
      </w:r>
      <w:r>
        <w:rPr>
          <w:rFonts w:ascii="Times New Roman"/>
          <w:color w:val="363133"/>
          <w:sz w:val="17"/>
        </w:rPr>
        <w:t>Vi</w:t>
      </w:r>
      <w:r>
        <w:rPr>
          <w:rFonts w:ascii="Times New Roman"/>
          <w:color w:val="363133"/>
          <w:spacing w:val="-7"/>
          <w:sz w:val="17"/>
        </w:rPr>
        <w:t> </w:t>
      </w:r>
      <w:r>
        <w:rPr>
          <w:rFonts w:ascii="Times New Roman"/>
          <w:color w:val="494646"/>
          <w:sz w:val="17"/>
        </w:rPr>
        <w:t>se</w:t>
      </w:r>
      <w:r>
        <w:rPr>
          <w:rFonts w:ascii="Times New Roman"/>
          <w:color w:val="494646"/>
          <w:spacing w:val="-11"/>
          <w:sz w:val="17"/>
        </w:rPr>
        <w:t> </w:t>
      </w:r>
      <w:r>
        <w:rPr>
          <w:rFonts w:ascii="Times New Roman"/>
          <w:color w:val="363133"/>
          <w:sz w:val="17"/>
        </w:rPr>
        <w:t>va</w:t>
      </w:r>
      <w:r>
        <w:rPr>
          <w:rFonts w:ascii="Times New Roman"/>
          <w:color w:val="363133"/>
          <w:spacing w:val="-7"/>
          <w:sz w:val="17"/>
        </w:rPr>
        <w:t> </w:t>
      </w:r>
      <w:r>
        <w:rPr>
          <w:rFonts w:ascii="Times New Roman"/>
          <w:color w:val="363133"/>
          <w:sz w:val="17"/>
        </w:rPr>
        <w:t>face</w:t>
      </w:r>
      <w:r>
        <w:rPr>
          <w:rFonts w:ascii="Times New Roman"/>
          <w:color w:val="363133"/>
          <w:spacing w:val="-5"/>
          <w:sz w:val="17"/>
        </w:rPr>
        <w:t> </w:t>
      </w:r>
      <w:r>
        <w:rPr>
          <w:rFonts w:ascii="Times New Roman"/>
          <w:color w:val="363133"/>
          <w:sz w:val="17"/>
        </w:rPr>
        <w:t>legatura cu</w:t>
      </w:r>
      <w:r>
        <w:rPr>
          <w:rFonts w:ascii="Times New Roman"/>
          <w:color w:val="363133"/>
          <w:spacing w:val="-6"/>
          <w:sz w:val="17"/>
        </w:rPr>
        <w:t> </w:t>
      </w:r>
      <w:r>
        <w:rPr>
          <w:rFonts w:ascii="Times New Roman"/>
          <w:color w:val="363133"/>
          <w:sz w:val="17"/>
        </w:rPr>
        <w:t>un interpret care va este asigurat </w:t>
      </w:r>
      <w:r>
        <w:rPr>
          <w:rFonts w:ascii="Times New Roman"/>
          <w:color w:val="494646"/>
          <w:sz w:val="17"/>
        </w:rPr>
        <w:t>gratuit.</w:t>
      </w:r>
    </w:p>
    <w:p>
      <w:pPr>
        <w:spacing w:before="11"/>
        <w:ind w:left="213" w:right="46" w:hanging="8"/>
        <w:jc w:val="left"/>
        <w:rPr>
          <w:rFonts w:ascii="Times New Roman"/>
          <w:sz w:val="17"/>
        </w:rPr>
      </w:pPr>
      <w:r>
        <w:rPr/>
        <w:br w:type="column"/>
      </w:r>
      <w:r>
        <w:rPr>
          <w:rFonts w:ascii="Times New Roman"/>
          <w:color w:val="363133"/>
          <w:w w:val="105"/>
          <w:sz w:val="17"/>
        </w:rPr>
        <w:t>Tuhu'i mai ho'o lea fakafonua.</w:t>
      </w:r>
      <w:r>
        <w:rPr>
          <w:rFonts w:ascii="Times New Roman"/>
          <w:color w:val="363133"/>
          <w:w w:val="105"/>
          <w:sz w:val="17"/>
        </w:rPr>
        <w:t> </w:t>
      </w:r>
      <w:r>
        <w:rPr>
          <w:rFonts w:ascii="Times New Roman"/>
          <w:color w:val="494646"/>
          <w:w w:val="105"/>
          <w:sz w:val="17"/>
        </w:rPr>
        <w:t>'E </w:t>
      </w:r>
      <w:r>
        <w:rPr>
          <w:rFonts w:ascii="Arial"/>
          <w:b/>
          <w:color w:val="363133"/>
          <w:w w:val="105"/>
          <w:sz w:val="17"/>
        </w:rPr>
        <w:t>ui</w:t>
      </w:r>
      <w:r>
        <w:rPr>
          <w:rFonts w:ascii="Arial"/>
          <w:b/>
          <w:color w:val="363133"/>
          <w:spacing w:val="-8"/>
          <w:w w:val="105"/>
          <w:sz w:val="17"/>
        </w:rPr>
        <w:t> </w:t>
      </w:r>
      <w:r>
        <w:rPr>
          <w:rFonts w:ascii="Times New Roman"/>
          <w:color w:val="363133"/>
          <w:w w:val="105"/>
          <w:sz w:val="17"/>
        </w:rPr>
        <w:t>ha</w:t>
      </w:r>
      <w:r>
        <w:rPr>
          <w:rFonts w:ascii="Times New Roman"/>
          <w:color w:val="363133"/>
          <w:spacing w:val="-5"/>
          <w:w w:val="105"/>
          <w:sz w:val="17"/>
        </w:rPr>
        <w:t> </w:t>
      </w:r>
      <w:r>
        <w:rPr>
          <w:rFonts w:ascii="Times New Roman"/>
          <w:color w:val="363133"/>
          <w:w w:val="105"/>
          <w:sz w:val="17"/>
        </w:rPr>
        <w:t>fakatonulea. </w:t>
      </w:r>
      <w:r>
        <w:rPr>
          <w:rFonts w:ascii="Times New Roman"/>
          <w:color w:val="494646"/>
          <w:w w:val="105"/>
          <w:sz w:val="17"/>
        </w:rPr>
        <w:t>'Oki </w:t>
      </w:r>
      <w:r>
        <w:rPr>
          <w:rFonts w:ascii="Times New Roman"/>
          <w:color w:val="363133"/>
          <w:w w:val="105"/>
          <w:sz w:val="17"/>
        </w:rPr>
        <w:t>ta</w:t>
      </w:r>
      <w:r>
        <w:rPr>
          <w:rFonts w:ascii="Times New Roman"/>
          <w:color w:val="625E60"/>
          <w:w w:val="105"/>
          <w:sz w:val="17"/>
        </w:rPr>
        <w:t>'</w:t>
      </w:r>
      <w:r>
        <w:rPr>
          <w:rFonts w:ascii="Times New Roman"/>
          <w:color w:val="494646"/>
          <w:w w:val="105"/>
          <w:sz w:val="17"/>
        </w:rPr>
        <w:t>etotongi </w:t>
      </w:r>
      <w:r>
        <w:rPr>
          <w:rFonts w:ascii="Times New Roman"/>
          <w:color w:val="363133"/>
          <w:w w:val="105"/>
          <w:sz w:val="17"/>
        </w:rPr>
        <w:t>kia koe 'a</w:t>
      </w:r>
      <w:r>
        <w:rPr>
          <w:rFonts w:ascii="Times New Roman"/>
          <w:color w:val="363133"/>
          <w:spacing w:val="40"/>
          <w:w w:val="105"/>
          <w:sz w:val="17"/>
        </w:rPr>
        <w:t> </w:t>
      </w:r>
      <w:r>
        <w:rPr>
          <w:rFonts w:ascii="Times New Roman"/>
          <w:color w:val="363133"/>
          <w:w w:val="105"/>
          <w:sz w:val="17"/>
        </w:rPr>
        <w:t>e fakatonulea.</w:t>
      </w:r>
    </w:p>
    <w:p>
      <w:pPr>
        <w:spacing w:line="188" w:lineRule="exact" w:before="0"/>
        <w:ind w:left="379" w:right="0" w:firstLine="0"/>
        <w:jc w:val="left"/>
        <w:rPr>
          <w:rFonts w:ascii="Times New Roman"/>
          <w:sz w:val="17"/>
        </w:rPr>
      </w:pPr>
      <w:r>
        <w:rPr/>
        <w:br w:type="column"/>
      </w:r>
      <w:r>
        <w:rPr>
          <w:rFonts w:ascii="Times New Roman"/>
          <w:color w:val="363133"/>
          <w:w w:val="115"/>
          <w:sz w:val="17"/>
        </w:rPr>
        <w:t>Europe,</w:t>
      </w:r>
      <w:r>
        <w:rPr>
          <w:rFonts w:ascii="Times New Roman"/>
          <w:color w:val="363133"/>
          <w:spacing w:val="16"/>
          <w:w w:val="115"/>
          <w:sz w:val="17"/>
        </w:rPr>
        <w:t> </w:t>
      </w:r>
      <w:r>
        <w:rPr>
          <w:rFonts w:ascii="Times New Roman"/>
          <w:color w:val="363133"/>
          <w:spacing w:val="-2"/>
          <w:w w:val="115"/>
          <w:sz w:val="17"/>
        </w:rPr>
        <w:t>etc.)</w:t>
      </w:r>
    </w:p>
    <w:p>
      <w:pPr>
        <w:pStyle w:val="ListParagraph"/>
        <w:numPr>
          <w:ilvl w:val="0"/>
          <w:numId w:val="40"/>
        </w:numPr>
        <w:tabs>
          <w:tab w:pos="376" w:val="left" w:leader="none"/>
        </w:tabs>
        <w:spacing w:line="240" w:lineRule="auto" w:before="30" w:after="0"/>
        <w:ind w:left="376" w:right="0" w:hanging="171"/>
        <w:jc w:val="left"/>
        <w:rPr>
          <w:rFonts w:ascii="Times New Roman" w:hAnsi="Times New Roman"/>
          <w:sz w:val="17"/>
        </w:rPr>
      </w:pPr>
      <w:r>
        <w:rPr>
          <w:rFonts w:ascii="Times New Roman" w:hAnsi="Times New Roman"/>
          <w:color w:val="363133"/>
          <w:w w:val="115"/>
          <w:sz w:val="17"/>
        </w:rPr>
        <w:t>Show</w:t>
      </w:r>
      <w:r>
        <w:rPr>
          <w:rFonts w:ascii="Times New Roman" w:hAnsi="Times New Roman"/>
          <w:color w:val="363133"/>
          <w:spacing w:val="12"/>
          <w:w w:val="115"/>
          <w:sz w:val="17"/>
        </w:rPr>
        <w:t> </w:t>
      </w:r>
      <w:r>
        <w:rPr>
          <w:rFonts w:ascii="Times New Roman" w:hAnsi="Times New Roman"/>
          <w:color w:val="363133"/>
          <w:w w:val="115"/>
          <w:sz w:val="17"/>
        </w:rPr>
        <w:t>the</w:t>
      </w:r>
      <w:r>
        <w:rPr>
          <w:rFonts w:ascii="Times New Roman" w:hAnsi="Times New Roman"/>
          <w:color w:val="363133"/>
          <w:spacing w:val="7"/>
          <w:w w:val="115"/>
          <w:sz w:val="17"/>
        </w:rPr>
        <w:t> </w:t>
      </w:r>
      <w:r>
        <w:rPr>
          <w:rFonts w:ascii="Times New Roman" w:hAnsi="Times New Roman"/>
          <w:color w:val="363133"/>
          <w:w w:val="115"/>
          <w:sz w:val="17"/>
        </w:rPr>
        <w:t>person</w:t>
      </w:r>
      <w:r>
        <w:rPr>
          <w:rFonts w:ascii="Times New Roman" w:hAnsi="Times New Roman"/>
          <w:color w:val="363133"/>
          <w:spacing w:val="16"/>
          <w:w w:val="115"/>
          <w:sz w:val="17"/>
        </w:rPr>
        <w:t> </w:t>
      </w:r>
      <w:r>
        <w:rPr>
          <w:rFonts w:ascii="Times New Roman" w:hAnsi="Times New Roman"/>
          <w:color w:val="363133"/>
          <w:w w:val="115"/>
          <w:sz w:val="17"/>
        </w:rPr>
        <w:t>the</w:t>
      </w:r>
      <w:r>
        <w:rPr>
          <w:rFonts w:ascii="Times New Roman" w:hAnsi="Times New Roman"/>
          <w:color w:val="363133"/>
          <w:spacing w:val="8"/>
          <w:w w:val="115"/>
          <w:sz w:val="17"/>
        </w:rPr>
        <w:t> </w:t>
      </w:r>
      <w:r>
        <w:rPr>
          <w:rFonts w:ascii="Times New Roman" w:hAnsi="Times New Roman"/>
          <w:color w:val="363133"/>
          <w:w w:val="115"/>
          <w:sz w:val="17"/>
        </w:rPr>
        <w:t>languages</w:t>
      </w:r>
      <w:r>
        <w:rPr>
          <w:rFonts w:ascii="Times New Roman" w:hAnsi="Times New Roman"/>
          <w:color w:val="363133"/>
          <w:spacing w:val="8"/>
          <w:w w:val="115"/>
          <w:sz w:val="17"/>
        </w:rPr>
        <w:t> </w:t>
      </w:r>
      <w:r>
        <w:rPr>
          <w:rFonts w:ascii="Times New Roman" w:hAnsi="Times New Roman"/>
          <w:color w:val="363133"/>
          <w:w w:val="115"/>
          <w:sz w:val="17"/>
        </w:rPr>
        <w:t>listed</w:t>
      </w:r>
      <w:r>
        <w:rPr>
          <w:rFonts w:ascii="Times New Roman" w:hAnsi="Times New Roman"/>
          <w:color w:val="363133"/>
          <w:spacing w:val="6"/>
          <w:w w:val="115"/>
          <w:sz w:val="17"/>
        </w:rPr>
        <w:t> </w:t>
      </w:r>
      <w:r>
        <w:rPr>
          <w:rFonts w:ascii="Times New Roman" w:hAnsi="Times New Roman"/>
          <w:color w:val="363133"/>
          <w:w w:val="115"/>
          <w:sz w:val="17"/>
        </w:rPr>
        <w:t>for</w:t>
      </w:r>
      <w:r>
        <w:rPr>
          <w:rFonts w:ascii="Times New Roman" w:hAnsi="Times New Roman"/>
          <w:color w:val="363133"/>
          <w:spacing w:val="4"/>
          <w:w w:val="115"/>
          <w:sz w:val="17"/>
        </w:rPr>
        <w:t> </w:t>
      </w:r>
      <w:r>
        <w:rPr>
          <w:rFonts w:ascii="Times New Roman" w:hAnsi="Times New Roman"/>
          <w:color w:val="363133"/>
          <w:w w:val="115"/>
          <w:sz w:val="17"/>
        </w:rPr>
        <w:t>that</w:t>
      </w:r>
      <w:r>
        <w:rPr>
          <w:rFonts w:ascii="Times New Roman" w:hAnsi="Times New Roman"/>
          <w:color w:val="363133"/>
          <w:spacing w:val="5"/>
          <w:w w:val="115"/>
          <w:sz w:val="17"/>
        </w:rPr>
        <w:t> </w:t>
      </w:r>
      <w:r>
        <w:rPr>
          <w:rFonts w:ascii="Times New Roman" w:hAnsi="Times New Roman"/>
          <w:color w:val="363133"/>
          <w:spacing w:val="-2"/>
          <w:w w:val="115"/>
          <w:sz w:val="17"/>
        </w:rPr>
        <w:t>region.</w:t>
      </w:r>
    </w:p>
    <w:p>
      <w:pPr>
        <w:spacing w:after="0" w:line="240" w:lineRule="auto"/>
        <w:jc w:val="left"/>
        <w:rPr>
          <w:rFonts w:ascii="Times New Roman" w:hAnsi="Times New Roman"/>
          <w:sz w:val="17"/>
        </w:rPr>
        <w:sectPr>
          <w:type w:val="continuous"/>
          <w:pgSz w:w="20160" w:h="12240" w:orient="landscape"/>
          <w:pgMar w:header="0" w:footer="0" w:top="1820" w:bottom="280" w:left="380" w:right="120"/>
          <w:cols w:num="4" w:equalWidth="0">
            <w:col w:w="4272" w:space="735"/>
            <w:col w:w="4307" w:space="723"/>
            <w:col w:w="4218" w:space="721"/>
            <w:col w:w="4684"/>
          </w:cols>
        </w:sectPr>
      </w:pPr>
    </w:p>
    <w:p>
      <w:pPr>
        <w:pStyle w:val="BodyText"/>
        <w:spacing w:before="9"/>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75" name="Group 275"/>
                <wp:cNvGraphicFramePr>
                  <a:graphicFrameLocks/>
                </wp:cNvGraphicFramePr>
                <a:graphic>
                  <a:graphicData uri="http://schemas.microsoft.com/office/word/2010/wordprocessingGroup">
                    <wpg:wgp>
                      <wpg:cNvPr id="275" name="Group 275"/>
                      <wpg:cNvGrpSpPr/>
                      <wpg:grpSpPr>
                        <a:xfrm>
                          <a:off x="0" y="0"/>
                          <a:ext cx="2616200" cy="3175"/>
                          <a:chExt cx="2616200" cy="3175"/>
                        </a:xfrm>
                      </wpg:grpSpPr>
                      <wps:wsp>
                        <wps:cNvPr id="276" name="Graphic 27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01" coordorigin="0,0" coordsize="4120,5">
                <v:shape style="position:absolute;left:0;top:2;width:4120;height:2" id="docshape202"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922" w:val="left" w:leader="none"/>
        </w:tabs>
        <w:spacing w:line="198" w:lineRule="exact" w:before="0"/>
        <w:ind w:left="208" w:right="0" w:firstLine="0"/>
        <w:jc w:val="left"/>
        <w:rPr>
          <w:rFonts w:ascii="Times New Roman"/>
          <w:sz w:val="17"/>
        </w:rPr>
      </w:pPr>
      <w:r>
        <w:rPr/>
        <mc:AlternateContent>
          <mc:Choice Requires="wps">
            <w:drawing>
              <wp:anchor distT="0" distB="0" distL="0" distR="0" allowOverlap="1" layoutInCell="1" locked="0" behindDoc="0" simplePos="0" relativeHeight="15791104">
                <wp:simplePos x="0" y="0"/>
                <wp:positionH relativeFrom="page">
                  <wp:posOffset>6679903</wp:posOffset>
                </wp:positionH>
                <wp:positionV relativeFrom="paragraph">
                  <wp:posOffset>-3056</wp:posOffset>
                </wp:positionV>
                <wp:extent cx="2616200" cy="127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240658pt;width:206pt;height:.1pt;mso-position-horizontal-relative:page;mso-position-vertical-relative:paragraph;z-index:15791104" id="docshape203" coordorigin="10520,-5" coordsize="4120,0" path="m10520,-5l11163,-5,12580,-5,13996,-5,14640,-5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796736">
            <wp:simplePos x="0" y="0"/>
            <wp:positionH relativeFrom="page">
              <wp:posOffset>2713955</wp:posOffset>
            </wp:positionH>
            <wp:positionV relativeFrom="paragraph">
              <wp:posOffset>60158</wp:posOffset>
            </wp:positionV>
            <wp:extent cx="214306" cy="104139"/>
            <wp:effectExtent l="0" t="0" r="0" b="0"/>
            <wp:wrapNone/>
            <wp:docPr id="278" name="Image 278"/>
            <wp:cNvGraphicFramePr>
              <a:graphicFrameLocks/>
            </wp:cNvGraphicFramePr>
            <a:graphic>
              <a:graphicData uri="http://schemas.openxmlformats.org/drawingml/2006/picture">
                <pic:pic>
                  <pic:nvPicPr>
                    <pic:cNvPr id="278" name="Image 278"/>
                    <pic:cNvPicPr/>
                  </pic:nvPicPr>
                  <pic:blipFill>
                    <a:blip r:embed="rId107" cstate="print"/>
                    <a:stretch>
                      <a:fillRect/>
                    </a:stretch>
                  </pic:blipFill>
                  <pic:spPr>
                    <a:xfrm>
                      <a:off x="0" y="0"/>
                      <a:ext cx="214306" cy="104139"/>
                    </a:xfrm>
                    <a:prstGeom prst="rect">
                      <a:avLst/>
                    </a:prstGeom>
                  </pic:spPr>
                </pic:pic>
              </a:graphicData>
            </a:graphic>
          </wp:anchor>
        </w:drawing>
      </w:r>
      <w:r>
        <w:rPr>
          <w:rFonts w:ascii="Times New Roman"/>
          <w:b/>
          <w:color w:val="262123"/>
          <w:spacing w:val="-4"/>
          <w:w w:val="115"/>
          <w:sz w:val="19"/>
        </w:rPr>
        <w:t>Dutch</w:t>
      </w:r>
      <w:r>
        <w:rPr>
          <w:rFonts w:ascii="Times New Roman"/>
          <w:b/>
          <w:color w:val="262123"/>
          <w:sz w:val="19"/>
        </w:rPr>
        <w:tab/>
      </w:r>
      <w:r>
        <w:rPr>
          <w:rFonts w:ascii="Times New Roman"/>
          <w:color w:val="363133"/>
          <w:spacing w:val="-2"/>
          <w:w w:val="115"/>
          <w:sz w:val="17"/>
        </w:rPr>
        <w:t>Nederlands</w:t>
      </w:r>
    </w:p>
    <w:p>
      <w:pPr>
        <w:spacing w:line="204" w:lineRule="exact" w:before="70"/>
        <w:ind w:left="208" w:right="0" w:firstLine="0"/>
        <w:jc w:val="left"/>
        <w:rPr>
          <w:rFonts w:ascii="Times New Roman"/>
          <w:b/>
          <w:sz w:val="19"/>
        </w:rPr>
      </w:pPr>
      <w:r>
        <w:rPr/>
        <w:br w:type="column"/>
      </w:r>
      <w:r>
        <w:rPr>
          <w:rFonts w:ascii="Times New Roman"/>
          <w:b/>
          <w:color w:val="262123"/>
          <w:spacing w:val="-2"/>
          <w:w w:val="110"/>
          <w:sz w:val="19"/>
        </w:rPr>
        <w:t>Russian</w:t>
      </w:r>
    </w:p>
    <w:p>
      <w:pPr>
        <w:spacing w:line="190" w:lineRule="exact" w:before="84"/>
        <w:ind w:left="208" w:right="0" w:firstLine="0"/>
        <w:jc w:val="left"/>
        <w:rPr>
          <w:rFonts w:ascii="Times New Roman"/>
          <w:sz w:val="17"/>
        </w:rPr>
      </w:pPr>
      <w:r>
        <w:rPr/>
        <w:br w:type="column"/>
      </w:r>
      <w:r>
        <w:rPr>
          <w:rFonts w:ascii="Times New Roman"/>
          <w:color w:val="363133"/>
          <w:spacing w:val="-2"/>
          <w:sz w:val="17"/>
        </w:rPr>
        <w:t>PyccKHH</w:t>
      </w:r>
    </w:p>
    <w:p>
      <w:pPr>
        <w:spacing w:before="35"/>
        <w:ind w:left="208" w:right="0" w:firstLine="0"/>
        <w:jc w:val="left"/>
        <w:rPr>
          <w:rFonts w:ascii="Times New Roman"/>
          <w:sz w:val="17"/>
        </w:rPr>
      </w:pPr>
      <w:r>
        <w:rPr/>
        <w:br w:type="column"/>
      </w:r>
      <w:r>
        <w:rPr>
          <w:rFonts w:ascii="Times New Roman"/>
          <w:color w:val="363133"/>
          <w:w w:val="115"/>
          <w:sz w:val="17"/>
        </w:rPr>
        <w:t>The</w:t>
      </w:r>
      <w:r>
        <w:rPr>
          <w:rFonts w:ascii="Times New Roman"/>
          <w:color w:val="363133"/>
          <w:spacing w:val="10"/>
          <w:w w:val="115"/>
          <w:sz w:val="17"/>
        </w:rPr>
        <w:t> </w:t>
      </w:r>
      <w:r>
        <w:rPr>
          <w:rFonts w:ascii="Times New Roman"/>
          <w:color w:val="363133"/>
          <w:w w:val="115"/>
          <w:sz w:val="17"/>
        </w:rPr>
        <w:t>message</w:t>
      </w:r>
      <w:r>
        <w:rPr>
          <w:rFonts w:ascii="Times New Roman"/>
          <w:color w:val="363133"/>
          <w:spacing w:val="12"/>
          <w:w w:val="115"/>
          <w:sz w:val="17"/>
        </w:rPr>
        <w:t> </w:t>
      </w:r>
      <w:r>
        <w:rPr>
          <w:rFonts w:ascii="Times New Roman"/>
          <w:color w:val="363133"/>
          <w:w w:val="115"/>
          <w:sz w:val="17"/>
        </w:rPr>
        <w:t>underneath</w:t>
      </w:r>
      <w:r>
        <w:rPr>
          <w:rFonts w:ascii="Times New Roman"/>
          <w:color w:val="363133"/>
          <w:spacing w:val="18"/>
          <w:w w:val="115"/>
          <w:sz w:val="17"/>
        </w:rPr>
        <w:t> </w:t>
      </w:r>
      <w:r>
        <w:rPr>
          <w:rFonts w:ascii="Times New Roman"/>
          <w:color w:val="363133"/>
          <w:w w:val="115"/>
          <w:sz w:val="17"/>
        </w:rPr>
        <w:t>each</w:t>
      </w:r>
      <w:r>
        <w:rPr>
          <w:rFonts w:ascii="Times New Roman"/>
          <w:color w:val="363133"/>
          <w:spacing w:val="7"/>
          <w:w w:val="115"/>
          <w:sz w:val="17"/>
        </w:rPr>
        <w:t> </w:t>
      </w:r>
      <w:r>
        <w:rPr>
          <w:rFonts w:ascii="Times New Roman"/>
          <w:color w:val="262123"/>
          <w:w w:val="115"/>
          <w:sz w:val="17"/>
        </w:rPr>
        <w:t>language</w:t>
      </w:r>
      <w:r>
        <w:rPr>
          <w:rFonts w:ascii="Times New Roman"/>
          <w:color w:val="262123"/>
          <w:spacing w:val="13"/>
          <w:w w:val="115"/>
          <w:sz w:val="17"/>
        </w:rPr>
        <w:t> </w:t>
      </w:r>
      <w:r>
        <w:rPr>
          <w:rFonts w:ascii="Times New Roman"/>
          <w:color w:val="363133"/>
          <w:w w:val="115"/>
          <w:sz w:val="17"/>
        </w:rPr>
        <w:t>says:</w:t>
      </w:r>
      <w:r>
        <w:rPr>
          <w:rFonts w:ascii="Times New Roman"/>
          <w:color w:val="363133"/>
          <w:spacing w:val="-1"/>
          <w:w w:val="115"/>
          <w:sz w:val="17"/>
        </w:rPr>
        <w:t> </w:t>
      </w:r>
      <w:r>
        <w:rPr>
          <w:rFonts w:ascii="Times New Roman"/>
          <w:color w:val="363133"/>
          <w:spacing w:val="-2"/>
          <w:w w:val="115"/>
          <w:sz w:val="17"/>
        </w:rPr>
        <w:t>"Point</w:t>
      </w:r>
    </w:p>
    <w:p>
      <w:pPr>
        <w:spacing w:after="0"/>
        <w:jc w:val="left"/>
        <w:rPr>
          <w:rFonts w:ascii="Times New Roman"/>
          <w:sz w:val="17"/>
        </w:rPr>
        <w:sectPr>
          <w:type w:val="continuous"/>
          <w:pgSz w:w="20160" w:h="12240" w:orient="landscape"/>
          <w:pgMar w:header="0" w:footer="0" w:top="1820" w:bottom="280" w:left="380" w:right="120"/>
          <w:cols w:num="4" w:equalWidth="0">
            <w:col w:w="4272" w:space="733"/>
            <w:col w:w="958" w:space="1911"/>
            <w:col w:w="1380" w:space="5892"/>
            <w:col w:w="4514"/>
          </w:cols>
        </w:sectPr>
      </w:pPr>
    </w:p>
    <w:p>
      <w:pPr>
        <w:spacing w:before="31"/>
        <w:ind w:left="212" w:right="609" w:firstLine="0"/>
        <w:jc w:val="left"/>
        <w:rPr>
          <w:rFonts w:ascii="Times New Roman"/>
          <w:sz w:val="17"/>
        </w:rPr>
      </w:pPr>
      <w:r>
        <w:rPr/>
        <mc:AlternateContent>
          <mc:Choice Requires="wps">
            <w:drawing>
              <wp:anchor distT="0" distB="0" distL="0" distR="0" allowOverlap="1" layoutInCell="1" locked="0" behindDoc="0" simplePos="0" relativeHeight="15789056">
                <wp:simplePos x="0" y="0"/>
                <wp:positionH relativeFrom="page">
                  <wp:posOffset>3504902</wp:posOffset>
                </wp:positionH>
                <wp:positionV relativeFrom="paragraph">
                  <wp:posOffset>301450</wp:posOffset>
                </wp:positionV>
                <wp:extent cx="2616200" cy="1270"/>
                <wp:effectExtent l="0" t="0" r="0" b="0"/>
                <wp:wrapNone/>
                <wp:docPr id="279" name="Graphic 279"/>
                <wp:cNvGraphicFramePr>
                  <a:graphicFrameLocks/>
                </wp:cNvGraphicFramePr>
                <a:graphic>
                  <a:graphicData uri="http://schemas.microsoft.com/office/word/2010/wordprocessingShape">
                    <wps:wsp>
                      <wps:cNvPr id="279" name="Graphic 279"/>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23.736248pt;width:206pt;height:.1pt;mso-position-horizontal-relative:page;mso-position-vertical-relative:paragraph;z-index:15789056" id="docshape204" coordorigin="5520,475" coordsize="4120,0" path="m5520,475l6163,475,7580,475,8996,475,9640,475e" filled="false" stroked="true" strokeweight=".25pt" strokecolor="#231f20">
                <v:path arrowok="t"/>
                <v:stroke dashstyle="solid"/>
                <w10:wrap type="none"/>
              </v:shape>
            </w:pict>
          </mc:Fallback>
        </mc:AlternateContent>
      </w:r>
      <w:r>
        <w:rPr>
          <w:rFonts w:ascii="Times New Roman"/>
          <w:color w:val="363133"/>
          <w:w w:val="105"/>
          <w:sz w:val="17"/>
        </w:rPr>
        <w:t>Wijs</w:t>
      </w:r>
      <w:r>
        <w:rPr>
          <w:rFonts w:ascii="Times New Roman"/>
          <w:color w:val="363133"/>
          <w:spacing w:val="-5"/>
          <w:w w:val="105"/>
          <w:sz w:val="17"/>
        </w:rPr>
        <w:t> </w:t>
      </w:r>
      <w:r>
        <w:rPr>
          <w:rFonts w:ascii="Times New Roman"/>
          <w:color w:val="363133"/>
          <w:w w:val="105"/>
          <w:sz w:val="17"/>
        </w:rPr>
        <w:t>uw</w:t>
      </w:r>
      <w:r>
        <w:rPr>
          <w:rFonts w:ascii="Times New Roman"/>
          <w:color w:val="363133"/>
          <w:spacing w:val="-3"/>
          <w:w w:val="105"/>
          <w:sz w:val="17"/>
        </w:rPr>
        <w:t> </w:t>
      </w:r>
      <w:r>
        <w:rPr>
          <w:rFonts w:ascii="Times New Roman"/>
          <w:color w:val="363133"/>
          <w:w w:val="105"/>
          <w:sz w:val="17"/>
        </w:rPr>
        <w:t>taal</w:t>
      </w:r>
      <w:r>
        <w:rPr>
          <w:rFonts w:ascii="Times New Roman"/>
          <w:color w:val="363133"/>
          <w:spacing w:val="-4"/>
          <w:w w:val="105"/>
          <w:sz w:val="17"/>
        </w:rPr>
        <w:t> </w:t>
      </w:r>
      <w:r>
        <w:rPr>
          <w:rFonts w:ascii="Times New Roman"/>
          <w:color w:val="363133"/>
          <w:w w:val="105"/>
          <w:sz w:val="17"/>
        </w:rPr>
        <w:t>aan.</w:t>
      </w:r>
      <w:r>
        <w:rPr>
          <w:rFonts w:ascii="Times New Roman"/>
          <w:color w:val="363133"/>
          <w:spacing w:val="-5"/>
          <w:w w:val="105"/>
          <w:sz w:val="17"/>
        </w:rPr>
        <w:t> </w:t>
      </w:r>
      <w:r>
        <w:rPr>
          <w:rFonts w:ascii="Times New Roman"/>
          <w:color w:val="363133"/>
          <w:w w:val="105"/>
          <w:sz w:val="17"/>
        </w:rPr>
        <w:t>Wij</w:t>
      </w:r>
      <w:r>
        <w:rPr>
          <w:rFonts w:ascii="Times New Roman"/>
          <w:color w:val="363133"/>
          <w:spacing w:val="-7"/>
          <w:w w:val="105"/>
          <w:sz w:val="17"/>
        </w:rPr>
        <w:t> </w:t>
      </w:r>
      <w:r>
        <w:rPr>
          <w:rFonts w:ascii="Times New Roman"/>
          <w:color w:val="494646"/>
          <w:w w:val="105"/>
          <w:sz w:val="17"/>
        </w:rPr>
        <w:t>zullen </w:t>
      </w:r>
      <w:r>
        <w:rPr>
          <w:rFonts w:ascii="Times New Roman"/>
          <w:color w:val="363133"/>
          <w:w w:val="105"/>
          <w:sz w:val="17"/>
        </w:rPr>
        <w:t>u</w:t>
      </w:r>
      <w:r>
        <w:rPr>
          <w:rFonts w:ascii="Times New Roman"/>
          <w:color w:val="363133"/>
          <w:spacing w:val="-4"/>
          <w:w w:val="105"/>
          <w:sz w:val="17"/>
        </w:rPr>
        <w:t> </w:t>
      </w:r>
      <w:r>
        <w:rPr>
          <w:rFonts w:ascii="Times New Roman"/>
          <w:color w:val="363133"/>
          <w:w w:val="105"/>
          <w:sz w:val="17"/>
        </w:rPr>
        <w:t>een</w:t>
      </w:r>
      <w:r>
        <w:rPr>
          <w:rFonts w:ascii="Times New Roman"/>
          <w:color w:val="363133"/>
          <w:spacing w:val="-2"/>
          <w:w w:val="105"/>
          <w:sz w:val="17"/>
        </w:rPr>
        <w:t> </w:t>
      </w:r>
      <w:r>
        <w:rPr>
          <w:rFonts w:ascii="Times New Roman"/>
          <w:color w:val="363133"/>
          <w:w w:val="105"/>
          <w:sz w:val="17"/>
        </w:rPr>
        <w:t>tolk</w:t>
      </w:r>
      <w:r>
        <w:rPr>
          <w:rFonts w:ascii="Times New Roman"/>
          <w:color w:val="363133"/>
          <w:spacing w:val="-4"/>
          <w:w w:val="105"/>
          <w:sz w:val="17"/>
        </w:rPr>
        <w:t> </w:t>
      </w:r>
      <w:r>
        <w:rPr>
          <w:rFonts w:ascii="Times New Roman"/>
          <w:color w:val="363133"/>
          <w:w w:val="105"/>
          <w:sz w:val="17"/>
        </w:rPr>
        <w:t>geven. De service van de tolk is geheel gratis.</w:t>
      </w:r>
    </w:p>
    <w:p>
      <w:pPr>
        <w:spacing w:before="2"/>
        <w:ind w:left="218" w:right="0" w:hanging="6"/>
        <w:jc w:val="left"/>
        <w:rPr>
          <w:rFonts w:ascii="Times New Roman"/>
          <w:sz w:val="17"/>
        </w:rPr>
      </w:pPr>
      <w:r>
        <w:rPr/>
        <w:br w:type="column"/>
      </w:r>
      <w:r>
        <w:rPr>
          <w:rFonts w:ascii="Times New Roman"/>
          <w:color w:val="363133"/>
          <w:w w:val="75"/>
          <w:sz w:val="17"/>
        </w:rPr>
        <w:t>YmDKHTe</w:t>
      </w:r>
      <w:r>
        <w:rPr>
          <w:rFonts w:ascii="Times New Roman"/>
          <w:color w:val="363133"/>
          <w:spacing w:val="-4"/>
          <w:sz w:val="17"/>
        </w:rPr>
        <w:t> </w:t>
      </w:r>
      <w:r>
        <w:rPr>
          <w:rFonts w:ascii="Times New Roman"/>
          <w:color w:val="494646"/>
          <w:w w:val="75"/>
          <w:sz w:val="17"/>
        </w:rPr>
        <w:t>ll3bTK, </w:t>
      </w:r>
      <w:r>
        <w:rPr>
          <w:rFonts w:ascii="Times New Roman"/>
          <w:color w:val="363133"/>
          <w:w w:val="75"/>
          <w:sz w:val="17"/>
        </w:rPr>
        <w:t>Ha KOTOpoM</w:t>
      </w:r>
      <w:r>
        <w:rPr>
          <w:rFonts w:ascii="Times New Roman"/>
          <w:color w:val="363133"/>
          <w:sz w:val="17"/>
        </w:rPr>
        <w:t> </w:t>
      </w:r>
      <w:r>
        <w:rPr>
          <w:rFonts w:ascii="Times New Roman"/>
          <w:color w:val="363133"/>
          <w:w w:val="75"/>
          <w:sz w:val="17"/>
        </w:rPr>
        <w:t>Bbl roBopwre</w:t>
      </w:r>
      <w:r>
        <w:rPr>
          <w:rFonts w:ascii="Times New Roman"/>
          <w:color w:val="625E60"/>
          <w:w w:val="75"/>
          <w:sz w:val="17"/>
        </w:rPr>
        <w:t>.</w:t>
      </w:r>
      <w:r>
        <w:rPr>
          <w:rFonts w:ascii="Times New Roman"/>
          <w:color w:val="625E60"/>
          <w:spacing w:val="-15"/>
          <w:w w:val="75"/>
          <w:sz w:val="17"/>
        </w:rPr>
        <w:t> </w:t>
      </w:r>
      <w:r>
        <w:rPr>
          <w:rFonts w:ascii="Times New Roman"/>
          <w:color w:val="363133"/>
          <w:w w:val="75"/>
          <w:sz w:val="17"/>
        </w:rPr>
        <w:t>BaM</w:t>
      </w:r>
      <w:r>
        <w:rPr>
          <w:rFonts w:ascii="Times New Roman"/>
          <w:color w:val="363133"/>
          <w:spacing w:val="-5"/>
          <w:sz w:val="17"/>
        </w:rPr>
        <w:t> </w:t>
      </w:r>
      <w:r>
        <w:rPr>
          <w:rFonts w:ascii="Times New Roman"/>
          <w:color w:val="363133"/>
          <w:w w:val="75"/>
          <w:sz w:val="17"/>
        </w:rPr>
        <w:t>Bbl30Byr</w:t>
      </w:r>
      <w:r>
        <w:rPr>
          <w:rFonts w:ascii="Times New Roman"/>
          <w:color w:val="363133"/>
          <w:sz w:val="17"/>
        </w:rPr>
        <w:t> </w:t>
      </w:r>
      <w:r>
        <w:rPr>
          <w:rFonts w:ascii="Times New Roman"/>
          <w:color w:val="363133"/>
          <w:w w:val="70"/>
          <w:sz w:val="17"/>
        </w:rPr>
        <w:t>nepeB0p;qHKa.</w:t>
      </w:r>
      <w:r>
        <w:rPr>
          <w:rFonts w:ascii="Times New Roman"/>
          <w:color w:val="363133"/>
          <w:sz w:val="17"/>
        </w:rPr>
        <w:t> </w:t>
      </w:r>
      <w:r>
        <w:rPr>
          <w:rFonts w:ascii="Times New Roman"/>
          <w:color w:val="363133"/>
          <w:w w:val="70"/>
          <w:sz w:val="17"/>
        </w:rPr>
        <w:t>Ycnyrn</w:t>
      </w:r>
      <w:r>
        <w:rPr>
          <w:rFonts w:ascii="Times New Roman"/>
          <w:color w:val="363133"/>
          <w:sz w:val="17"/>
        </w:rPr>
        <w:t> </w:t>
      </w:r>
      <w:r>
        <w:rPr>
          <w:rFonts w:ascii="Times New Roman"/>
          <w:color w:val="262123"/>
          <w:w w:val="70"/>
          <w:sz w:val="17"/>
        </w:rPr>
        <w:t>n</w:t>
      </w:r>
      <w:r>
        <w:rPr>
          <w:rFonts w:ascii="Times New Roman"/>
          <w:color w:val="494646"/>
          <w:w w:val="70"/>
          <w:sz w:val="17"/>
        </w:rPr>
        <w:t>epeB011qwKa</w:t>
      </w:r>
      <w:r>
        <w:rPr>
          <w:rFonts w:ascii="Times New Roman"/>
          <w:color w:val="494646"/>
          <w:sz w:val="17"/>
        </w:rPr>
        <w:t> </w:t>
      </w:r>
      <w:r>
        <w:rPr>
          <w:rFonts w:ascii="Times New Roman"/>
          <w:color w:val="363133"/>
          <w:w w:val="70"/>
          <w:sz w:val="17"/>
        </w:rPr>
        <w:t>npe11ocraBJ1S1JOTCll</w:t>
      </w:r>
      <w:r>
        <w:rPr>
          <w:rFonts w:ascii="Times New Roman"/>
          <w:color w:val="363133"/>
          <w:sz w:val="17"/>
        </w:rPr>
        <w:t> </w:t>
      </w:r>
      <w:r>
        <w:rPr>
          <w:rFonts w:ascii="Times New Roman"/>
          <w:color w:val="363133"/>
          <w:w w:val="70"/>
          <w:sz w:val="17"/>
        </w:rPr>
        <w:t>6ecITJ1aTHo.</w:t>
      </w:r>
    </w:p>
    <w:p>
      <w:pPr>
        <w:spacing w:line="283" w:lineRule="auto" w:before="0"/>
        <w:ind w:left="214" w:right="0" w:hanging="2"/>
        <w:jc w:val="left"/>
        <w:rPr>
          <w:rFonts w:ascii="Times New Roman"/>
          <w:sz w:val="17"/>
        </w:rPr>
      </w:pPr>
      <w:r>
        <w:rPr/>
        <w:br w:type="column"/>
      </w:r>
      <w:r>
        <w:rPr>
          <w:rFonts w:ascii="Times New Roman"/>
          <w:color w:val="363133"/>
          <w:w w:val="115"/>
          <w:sz w:val="17"/>
        </w:rPr>
        <w:t>to</w:t>
      </w:r>
      <w:r>
        <w:rPr>
          <w:rFonts w:ascii="Times New Roman"/>
          <w:color w:val="363133"/>
          <w:spacing w:val="-2"/>
          <w:w w:val="115"/>
          <w:sz w:val="17"/>
        </w:rPr>
        <w:t> </w:t>
      </w:r>
      <w:r>
        <w:rPr>
          <w:rFonts w:ascii="Times New Roman"/>
          <w:color w:val="363133"/>
          <w:w w:val="115"/>
          <w:sz w:val="17"/>
        </w:rPr>
        <w:t>your language. An Interpreter</w:t>
      </w:r>
      <w:r>
        <w:rPr>
          <w:rFonts w:ascii="Times New Roman"/>
          <w:color w:val="363133"/>
          <w:w w:val="115"/>
          <w:sz w:val="17"/>
        </w:rPr>
        <w:t> will be called. The interpreter is provided at no cost to you."</w:t>
      </w:r>
    </w:p>
    <w:p>
      <w:pPr>
        <w:spacing w:after="0" w:line="283" w:lineRule="auto"/>
        <w:jc w:val="left"/>
        <w:rPr>
          <w:rFonts w:ascii="Times New Roman"/>
          <w:sz w:val="17"/>
        </w:rPr>
        <w:sectPr>
          <w:type w:val="continuous"/>
          <w:pgSz w:w="20160" w:h="12240" w:orient="landscape"/>
          <w:pgMar w:header="0" w:footer="0" w:top="1820" w:bottom="280" w:left="380" w:right="120"/>
          <w:cols w:num="3" w:equalWidth="0">
            <w:col w:w="4272" w:space="721"/>
            <w:col w:w="4291" w:space="5861"/>
            <w:col w:w="4515"/>
          </w:cols>
        </w:sect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80" name="Group 280"/>
                <wp:cNvGraphicFramePr>
                  <a:graphicFrameLocks/>
                </wp:cNvGraphicFramePr>
                <a:graphic>
                  <a:graphicData uri="http://schemas.microsoft.com/office/word/2010/wordprocessingGroup">
                    <wpg:wgp>
                      <wpg:cNvPr id="280" name="Group 280"/>
                      <wpg:cNvGrpSpPr/>
                      <wpg:grpSpPr>
                        <a:xfrm>
                          <a:off x="0" y="0"/>
                          <a:ext cx="2616200" cy="3175"/>
                          <a:chExt cx="2616200" cy="3175"/>
                        </a:xfrm>
                      </wpg:grpSpPr>
                      <wps:wsp>
                        <wps:cNvPr id="281" name="Graphic 28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05" coordorigin="0,0" coordsize="4120,5">
                <v:shape style="position:absolute;left:0;top:2;width:4120;height:2" id="docshape20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032" w:val="left" w:leader="none"/>
        </w:tabs>
        <w:spacing w:before="21"/>
        <w:ind w:left="226" w:right="0" w:firstLine="0"/>
        <w:jc w:val="left"/>
        <w:rPr>
          <w:rFonts w:ascii="Times New Roman"/>
          <w:sz w:val="17"/>
        </w:rPr>
      </w:pPr>
      <w:r>
        <w:rPr/>
        <w:drawing>
          <wp:anchor distT="0" distB="0" distL="0" distR="0" allowOverlap="1" layoutInCell="1" locked="0" behindDoc="0" simplePos="0" relativeHeight="15797248">
            <wp:simplePos x="0" y="0"/>
            <wp:positionH relativeFrom="page">
              <wp:posOffset>2713955</wp:posOffset>
            </wp:positionH>
            <wp:positionV relativeFrom="paragraph">
              <wp:posOffset>58688</wp:posOffset>
            </wp:positionV>
            <wp:extent cx="214306" cy="104139"/>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108" cstate="print"/>
                    <a:stretch>
                      <a:fillRect/>
                    </a:stretch>
                  </pic:blipFill>
                  <pic:spPr>
                    <a:xfrm>
                      <a:off x="0" y="0"/>
                      <a:ext cx="214306" cy="104139"/>
                    </a:xfrm>
                    <a:prstGeom prst="rect">
                      <a:avLst/>
                    </a:prstGeom>
                  </pic:spPr>
                </pic:pic>
              </a:graphicData>
            </a:graphic>
          </wp:anchor>
        </w:drawing>
      </w:r>
      <w:r>
        <w:rPr>
          <w:rFonts w:ascii="Times New Roman"/>
          <w:b/>
          <w:color w:val="363133"/>
          <w:spacing w:val="-2"/>
          <w:w w:val="115"/>
          <w:sz w:val="19"/>
        </w:rPr>
        <w:t>Estonian</w:t>
      </w:r>
      <w:r>
        <w:rPr>
          <w:rFonts w:ascii="Times New Roman"/>
          <w:b/>
          <w:color w:val="363133"/>
          <w:sz w:val="19"/>
        </w:rPr>
        <w:tab/>
      </w:r>
      <w:r>
        <w:rPr>
          <w:rFonts w:ascii="Times New Roman"/>
          <w:color w:val="363133"/>
          <w:w w:val="115"/>
          <w:sz w:val="17"/>
        </w:rPr>
        <w:t>Eesti</w:t>
      </w:r>
      <w:r>
        <w:rPr>
          <w:rFonts w:ascii="Times New Roman"/>
          <w:color w:val="363133"/>
          <w:spacing w:val="13"/>
          <w:w w:val="115"/>
          <w:sz w:val="17"/>
        </w:rPr>
        <w:t> </w:t>
      </w:r>
      <w:r>
        <w:rPr>
          <w:rFonts w:ascii="Times New Roman"/>
          <w:color w:val="363133"/>
          <w:spacing w:val="-4"/>
          <w:w w:val="115"/>
          <w:sz w:val="17"/>
        </w:rPr>
        <w:t>keel</w:t>
      </w:r>
    </w:p>
    <w:p>
      <w:pPr>
        <w:spacing w:before="46"/>
        <w:ind w:left="226" w:right="0" w:firstLine="0"/>
        <w:jc w:val="left"/>
        <w:rPr>
          <w:rFonts w:ascii="Times New Roman"/>
          <w:b/>
          <w:sz w:val="19"/>
        </w:rPr>
      </w:pPr>
      <w:r>
        <w:rPr/>
        <w:br w:type="column"/>
      </w:r>
      <w:r>
        <w:rPr>
          <w:rFonts w:ascii="Times New Roman"/>
          <w:b/>
          <w:color w:val="363133"/>
          <w:spacing w:val="-2"/>
          <w:w w:val="105"/>
          <w:sz w:val="19"/>
        </w:rPr>
        <w:t>Serbian</w:t>
      </w:r>
    </w:p>
    <w:p>
      <w:pPr>
        <w:spacing w:before="55"/>
        <w:ind w:left="226" w:right="0" w:firstLine="0"/>
        <w:jc w:val="left"/>
        <w:rPr>
          <w:rFonts w:ascii="Times New Roman"/>
          <w:sz w:val="17"/>
        </w:rPr>
      </w:pPr>
      <w:r>
        <w:rPr/>
        <w:br w:type="column"/>
      </w:r>
      <w:r>
        <w:rPr>
          <w:rFonts w:ascii="Times New Roman"/>
          <w:color w:val="363133"/>
          <w:spacing w:val="-2"/>
          <w:sz w:val="17"/>
        </w:rPr>
        <w:t>CpncK11</w:t>
      </w:r>
    </w:p>
    <w:p>
      <w:pPr>
        <w:spacing w:line="185" w:lineRule="exact" w:before="94"/>
        <w:ind w:left="226" w:right="0" w:firstLine="0"/>
        <w:jc w:val="left"/>
        <w:rPr>
          <w:rFonts w:ascii="Times New Roman"/>
          <w:sz w:val="17"/>
        </w:rPr>
      </w:pPr>
      <w:r>
        <w:rPr/>
        <w:br w:type="column"/>
      </w:r>
      <w:r>
        <w:rPr>
          <w:rFonts w:ascii="Times New Roman"/>
          <w:color w:val="363133"/>
          <w:spacing w:val="-2"/>
          <w:w w:val="115"/>
          <w:sz w:val="17"/>
        </w:rPr>
        <w:t>Example:</w:t>
      </w:r>
    </w:p>
    <w:p>
      <w:pPr>
        <w:spacing w:after="0" w:line="185" w:lineRule="exact"/>
        <w:jc w:val="left"/>
        <w:rPr>
          <w:rFonts w:ascii="Times New Roman"/>
          <w:sz w:val="17"/>
        </w:rPr>
        <w:sectPr>
          <w:type w:val="continuous"/>
          <w:pgSz w:w="20160" w:h="12240" w:orient="landscape"/>
          <w:pgMar w:header="0" w:footer="0" w:top="1820" w:bottom="280" w:left="380" w:right="120"/>
          <w:cols w:num="4" w:equalWidth="0">
            <w:col w:w="4272" w:space="714"/>
            <w:col w:w="926" w:space="2003"/>
            <w:col w:w="1339" w:space="5876"/>
            <w:col w:w="4530"/>
          </w:cols>
        </w:sectPr>
      </w:pPr>
    </w:p>
    <w:p>
      <w:pPr>
        <w:spacing w:line="242" w:lineRule="auto" w:before="0"/>
        <w:ind w:left="210" w:right="281" w:hanging="1"/>
        <w:jc w:val="left"/>
        <w:rPr>
          <w:rFonts w:ascii="Times New Roman"/>
          <w:sz w:val="17"/>
        </w:rPr>
      </w:pPr>
      <w:r>
        <w:rPr/>
        <w:drawing>
          <wp:anchor distT="0" distB="0" distL="0" distR="0" allowOverlap="1" layoutInCell="1" locked="0" behindDoc="0" simplePos="0" relativeHeight="15804416">
            <wp:simplePos x="0" y="0"/>
            <wp:positionH relativeFrom="page">
              <wp:posOffset>5878054</wp:posOffset>
            </wp:positionH>
            <wp:positionV relativeFrom="paragraph">
              <wp:posOffset>-100824</wp:posOffset>
            </wp:positionV>
            <wp:extent cx="214306" cy="104139"/>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108" cstate="print"/>
                    <a:stretch>
                      <a:fillRect/>
                    </a:stretch>
                  </pic:blipFill>
                  <pic:spPr>
                    <a:xfrm>
                      <a:off x="0" y="0"/>
                      <a:ext cx="214306" cy="104139"/>
                    </a:xfrm>
                    <a:prstGeom prst="rect">
                      <a:avLst/>
                    </a:prstGeom>
                  </pic:spPr>
                </pic:pic>
              </a:graphicData>
            </a:graphic>
          </wp:anchor>
        </w:drawing>
      </w:r>
      <w:r>
        <w:rPr>
          <w:rFonts w:ascii="Times New Roman"/>
          <w:color w:val="363133"/>
          <w:w w:val="105"/>
          <w:sz w:val="17"/>
        </w:rPr>
        <w:t>Osutage</w:t>
      </w:r>
      <w:r>
        <w:rPr>
          <w:rFonts w:ascii="Times New Roman"/>
          <w:color w:val="363133"/>
          <w:spacing w:val="-10"/>
          <w:w w:val="105"/>
          <w:sz w:val="17"/>
        </w:rPr>
        <w:t> </w:t>
      </w:r>
      <w:r>
        <w:rPr>
          <w:rFonts w:ascii="Times New Roman"/>
          <w:color w:val="363133"/>
          <w:w w:val="105"/>
          <w:sz w:val="17"/>
        </w:rPr>
        <w:t>oma</w:t>
      </w:r>
      <w:r>
        <w:rPr>
          <w:rFonts w:ascii="Times New Roman"/>
          <w:color w:val="363133"/>
          <w:spacing w:val="-8"/>
          <w:w w:val="105"/>
          <w:sz w:val="17"/>
        </w:rPr>
        <w:t> </w:t>
      </w:r>
      <w:r>
        <w:rPr>
          <w:rFonts w:ascii="Times New Roman"/>
          <w:color w:val="363133"/>
          <w:w w:val="105"/>
          <w:sz w:val="17"/>
        </w:rPr>
        <w:t>keelel.</w:t>
      </w:r>
      <w:r>
        <w:rPr>
          <w:rFonts w:ascii="Times New Roman"/>
          <w:color w:val="363133"/>
          <w:spacing w:val="-5"/>
          <w:w w:val="105"/>
          <w:sz w:val="17"/>
        </w:rPr>
        <w:t> </w:t>
      </w:r>
      <w:r>
        <w:rPr>
          <w:rFonts w:ascii="Times New Roman"/>
          <w:color w:val="363133"/>
          <w:w w:val="105"/>
          <w:sz w:val="17"/>
        </w:rPr>
        <w:t>Vastava</w:t>
      </w:r>
      <w:r>
        <w:rPr>
          <w:rFonts w:ascii="Times New Roman"/>
          <w:color w:val="363133"/>
          <w:spacing w:val="-8"/>
          <w:w w:val="105"/>
          <w:sz w:val="17"/>
        </w:rPr>
        <w:t> </w:t>
      </w:r>
      <w:r>
        <w:rPr>
          <w:rFonts w:ascii="Times New Roman"/>
          <w:color w:val="363133"/>
          <w:w w:val="105"/>
          <w:sz w:val="17"/>
        </w:rPr>
        <w:t>tolgiga</w:t>
      </w:r>
      <w:r>
        <w:rPr>
          <w:rFonts w:ascii="Times New Roman"/>
          <w:color w:val="363133"/>
          <w:spacing w:val="-5"/>
          <w:w w:val="105"/>
          <w:sz w:val="17"/>
        </w:rPr>
        <w:t> </w:t>
      </w:r>
      <w:r>
        <w:rPr>
          <w:rFonts w:ascii="Times New Roman"/>
          <w:color w:val="363133"/>
          <w:w w:val="105"/>
          <w:sz w:val="17"/>
        </w:rPr>
        <w:t>voetakse uhendust. Tolgi</w:t>
      </w:r>
      <w:r>
        <w:rPr>
          <w:rFonts w:ascii="Times New Roman"/>
          <w:color w:val="363133"/>
          <w:spacing w:val="9"/>
          <w:w w:val="105"/>
          <w:sz w:val="17"/>
        </w:rPr>
        <w:t> </w:t>
      </w:r>
      <w:r>
        <w:rPr>
          <w:rFonts w:ascii="Times New Roman"/>
          <w:color w:val="363133"/>
          <w:w w:val="105"/>
          <w:sz w:val="17"/>
        </w:rPr>
        <w:t>teenused</w:t>
      </w:r>
      <w:r>
        <w:rPr>
          <w:rFonts w:ascii="Times New Roman"/>
          <w:color w:val="363133"/>
          <w:spacing w:val="5"/>
          <w:w w:val="105"/>
          <w:sz w:val="17"/>
        </w:rPr>
        <w:t> </w:t>
      </w:r>
      <w:r>
        <w:rPr>
          <w:rFonts w:ascii="Times New Roman"/>
          <w:color w:val="363133"/>
          <w:w w:val="105"/>
          <w:sz w:val="17"/>
        </w:rPr>
        <w:t>on</w:t>
      </w:r>
      <w:r>
        <w:rPr>
          <w:rFonts w:ascii="Times New Roman"/>
          <w:color w:val="363133"/>
          <w:spacing w:val="4"/>
          <w:w w:val="105"/>
          <w:sz w:val="17"/>
        </w:rPr>
        <w:t> </w:t>
      </w:r>
      <w:r>
        <w:rPr>
          <w:rFonts w:ascii="Times New Roman"/>
          <w:color w:val="363133"/>
          <w:w w:val="105"/>
          <w:sz w:val="17"/>
        </w:rPr>
        <w:t>teie</w:t>
      </w:r>
      <w:r>
        <w:rPr>
          <w:rFonts w:ascii="Times New Roman"/>
          <w:color w:val="363133"/>
          <w:spacing w:val="-3"/>
          <w:w w:val="105"/>
          <w:sz w:val="17"/>
        </w:rPr>
        <w:t> </w:t>
      </w:r>
      <w:r>
        <w:rPr>
          <w:rFonts w:ascii="Times New Roman"/>
          <w:color w:val="363133"/>
          <w:w w:val="105"/>
          <w:sz w:val="17"/>
        </w:rPr>
        <w:t>jaoks</w:t>
      </w:r>
      <w:r>
        <w:rPr>
          <w:rFonts w:ascii="Times New Roman"/>
          <w:color w:val="363133"/>
          <w:spacing w:val="-2"/>
          <w:w w:val="105"/>
          <w:sz w:val="17"/>
        </w:rPr>
        <w:t> tasuta</w:t>
      </w:r>
      <w:r>
        <w:rPr>
          <w:rFonts w:ascii="Times New Roman"/>
          <w:color w:val="625E60"/>
          <w:spacing w:val="-2"/>
          <w:w w:val="105"/>
          <w:sz w:val="17"/>
        </w:rPr>
        <w:t>.</w:t>
      </w:r>
    </w:p>
    <w:p>
      <w:pPr>
        <w:pStyle w:val="BodyText"/>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284" name="Group 284"/>
                <wp:cNvGraphicFramePr>
                  <a:graphicFrameLocks/>
                </wp:cNvGraphicFramePr>
                <a:graphic>
                  <a:graphicData uri="http://schemas.microsoft.com/office/word/2010/wordprocessingGroup">
                    <wpg:wgp>
                      <wpg:cNvPr id="284" name="Group 284"/>
                      <wpg:cNvGrpSpPr/>
                      <wpg:grpSpPr>
                        <a:xfrm>
                          <a:off x="0" y="0"/>
                          <a:ext cx="2616200" cy="3175"/>
                          <a:chExt cx="2616200" cy="3175"/>
                        </a:xfrm>
                      </wpg:grpSpPr>
                      <wps:wsp>
                        <wps:cNvPr id="285" name="Graphic 28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07" coordorigin="0,0" coordsize="4120,5">
                <v:shape style="position:absolute;left:0;top:2;width:4120;height:2" id="docshape208"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318" w:val="left" w:leader="none"/>
        </w:tabs>
        <w:spacing w:line="116" w:lineRule="exact" w:before="0"/>
        <w:ind w:left="206" w:right="0" w:firstLine="0"/>
        <w:jc w:val="left"/>
        <w:rPr>
          <w:rFonts w:ascii="Times New Roman"/>
          <w:sz w:val="17"/>
        </w:rPr>
      </w:pPr>
      <w:r>
        <w:rPr/>
        <w:drawing>
          <wp:anchor distT="0" distB="0" distL="0" distR="0" allowOverlap="1" layoutInCell="1" locked="0" behindDoc="0" simplePos="0" relativeHeight="15797760">
            <wp:simplePos x="0" y="0"/>
            <wp:positionH relativeFrom="page">
              <wp:posOffset>2713955</wp:posOffset>
            </wp:positionH>
            <wp:positionV relativeFrom="paragraph">
              <wp:posOffset>49048</wp:posOffset>
            </wp:positionV>
            <wp:extent cx="214306" cy="104139"/>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109" cstate="print"/>
                    <a:stretch>
                      <a:fillRect/>
                    </a:stretch>
                  </pic:blipFill>
                  <pic:spPr>
                    <a:xfrm>
                      <a:off x="0" y="0"/>
                      <a:ext cx="214306" cy="104139"/>
                    </a:xfrm>
                    <a:prstGeom prst="rect">
                      <a:avLst/>
                    </a:prstGeom>
                  </pic:spPr>
                </pic:pic>
              </a:graphicData>
            </a:graphic>
          </wp:anchor>
        </w:drawing>
      </w:r>
      <w:r>
        <w:rPr>
          <w:rFonts w:ascii="Times New Roman"/>
          <w:b/>
          <w:color w:val="363133"/>
          <w:spacing w:val="-2"/>
          <w:w w:val="115"/>
          <w:sz w:val="19"/>
        </w:rPr>
        <w:t>Finnish</w:t>
      </w:r>
      <w:r>
        <w:rPr>
          <w:rFonts w:ascii="Times New Roman"/>
          <w:b/>
          <w:color w:val="363133"/>
          <w:sz w:val="19"/>
        </w:rPr>
        <w:tab/>
      </w:r>
      <w:r>
        <w:rPr>
          <w:rFonts w:ascii="Times New Roman"/>
          <w:color w:val="363133"/>
          <w:spacing w:val="-2"/>
          <w:w w:val="115"/>
          <w:sz w:val="17"/>
        </w:rPr>
        <w:t>Suomi</w:t>
      </w:r>
    </w:p>
    <w:p>
      <w:pPr>
        <w:spacing w:line="247" w:lineRule="auto" w:before="0"/>
        <w:ind w:left="216" w:right="0" w:firstLine="4"/>
        <w:jc w:val="left"/>
        <w:rPr>
          <w:rFonts w:ascii="Times New Roman"/>
          <w:sz w:val="17"/>
        </w:rPr>
      </w:pPr>
      <w:r>
        <w:rPr/>
        <w:br w:type="column"/>
      </w:r>
      <w:r>
        <w:rPr>
          <w:rFonts w:ascii="Times New Roman"/>
          <w:color w:val="363133"/>
          <w:w w:val="75"/>
          <w:sz w:val="17"/>
        </w:rPr>
        <w:t>TToKalKHTe</w:t>
      </w:r>
      <w:r>
        <w:rPr>
          <w:rFonts w:ascii="Times New Roman"/>
          <w:color w:val="363133"/>
          <w:spacing w:val="-4"/>
          <w:sz w:val="17"/>
        </w:rPr>
        <w:t> </w:t>
      </w:r>
      <w:r>
        <w:rPr>
          <w:rFonts w:ascii="Times New Roman"/>
          <w:color w:val="363133"/>
          <w:w w:val="75"/>
          <w:sz w:val="17"/>
        </w:rPr>
        <w:t>CBOj</w:t>
      </w:r>
      <w:r>
        <w:rPr>
          <w:rFonts w:ascii="Times New Roman"/>
          <w:color w:val="363133"/>
          <w:spacing w:val="-7"/>
          <w:sz w:val="17"/>
        </w:rPr>
        <w:t> </w:t>
      </w:r>
      <w:r>
        <w:rPr>
          <w:rFonts w:ascii="Times New Roman"/>
          <w:color w:val="363133"/>
          <w:w w:val="75"/>
          <w:sz w:val="17"/>
        </w:rPr>
        <w:t>je3"1K. TTpeBO)ll-1J1aU</w:t>
      </w:r>
      <w:r>
        <w:rPr>
          <w:rFonts w:ascii="Times New Roman"/>
          <w:color w:val="363133"/>
          <w:spacing w:val="-8"/>
          <w:sz w:val="17"/>
        </w:rPr>
        <w:t> </w:t>
      </w:r>
      <w:r>
        <w:rPr>
          <w:rFonts w:ascii="Times New Roman"/>
          <w:color w:val="363133"/>
          <w:w w:val="75"/>
          <w:sz w:val="17"/>
        </w:rPr>
        <w:t>he 6HTH</w:t>
      </w:r>
      <w:r>
        <w:rPr>
          <w:rFonts w:ascii="Times New Roman"/>
          <w:color w:val="363133"/>
          <w:sz w:val="17"/>
        </w:rPr>
        <w:t> </w:t>
      </w:r>
      <w:r>
        <w:rPr>
          <w:rFonts w:ascii="Times New Roman"/>
          <w:color w:val="363133"/>
          <w:w w:val="75"/>
          <w:sz w:val="17"/>
        </w:rPr>
        <w:t>IT03BaH.</w:t>
      </w:r>
      <w:r>
        <w:rPr>
          <w:rFonts w:ascii="Times New Roman"/>
          <w:color w:val="363133"/>
          <w:sz w:val="17"/>
        </w:rPr>
        <w:t> </w:t>
      </w:r>
      <w:r>
        <w:rPr>
          <w:rFonts w:ascii="Times New Roman"/>
          <w:color w:val="363133"/>
          <w:w w:val="85"/>
          <w:sz w:val="17"/>
        </w:rPr>
        <w:t>TTpeBo.111rnau je 06e36el:jeH</w:t>
      </w:r>
      <w:r>
        <w:rPr>
          <w:rFonts w:ascii="Times New Roman"/>
          <w:color w:val="363133"/>
          <w:sz w:val="17"/>
        </w:rPr>
        <w:t> </w:t>
      </w:r>
      <w:r>
        <w:rPr>
          <w:rFonts w:ascii="Times New Roman"/>
          <w:color w:val="363133"/>
          <w:w w:val="85"/>
          <w:sz w:val="17"/>
        </w:rPr>
        <w:t>6e3 TpornKOBa</w:t>
      </w:r>
      <w:r>
        <w:rPr>
          <w:rFonts w:ascii="Times New Roman"/>
          <w:color w:val="363133"/>
          <w:sz w:val="17"/>
        </w:rPr>
        <w:t> </w:t>
      </w:r>
      <w:r>
        <w:rPr>
          <w:rFonts w:ascii="Times New Roman"/>
          <w:color w:val="494646"/>
          <w:w w:val="85"/>
          <w:sz w:val="17"/>
        </w:rPr>
        <w:t>3a </w:t>
      </w:r>
      <w:r>
        <w:rPr>
          <w:rFonts w:ascii="Times New Roman"/>
          <w:color w:val="363133"/>
          <w:w w:val="85"/>
          <w:sz w:val="17"/>
        </w:rPr>
        <w:t>Bae</w:t>
      </w:r>
      <w:r>
        <w:rPr>
          <w:rFonts w:ascii="Times New Roman"/>
          <w:color w:val="858283"/>
          <w:w w:val="85"/>
          <w:sz w:val="17"/>
        </w:rPr>
        <w:t>.</w:t>
      </w:r>
    </w:p>
    <w:p>
      <w:pPr>
        <w:pStyle w:val="BodyText"/>
        <w:spacing w:before="4"/>
        <w:rPr>
          <w:rFonts w:ascii="Times New Roman"/>
          <w:sz w:val="3"/>
        </w:rPr>
      </w:pPr>
    </w:p>
    <w:p>
      <w:pPr>
        <w:pStyle w:val="BodyText"/>
        <w:spacing w:line="20" w:lineRule="exact"/>
        <w:ind w:left="133" w:right="-72"/>
        <w:rPr>
          <w:rFonts w:ascii="Times New Roman"/>
          <w:sz w:val="2"/>
        </w:rPr>
      </w:pPr>
      <w:r>
        <w:rPr>
          <w:rFonts w:ascii="Times New Roman"/>
          <w:sz w:val="2"/>
        </w:rPr>
        <mc:AlternateContent>
          <mc:Choice Requires="wps">
            <w:drawing>
              <wp:inline distT="0" distB="0" distL="0" distR="0">
                <wp:extent cx="2616200" cy="3175"/>
                <wp:effectExtent l="9525" t="0" r="0" b="6350"/>
                <wp:docPr id="287" name="Group 287"/>
                <wp:cNvGraphicFramePr>
                  <a:graphicFrameLocks/>
                </wp:cNvGraphicFramePr>
                <a:graphic>
                  <a:graphicData uri="http://schemas.microsoft.com/office/word/2010/wordprocessingGroup">
                    <wpg:wgp>
                      <wpg:cNvPr id="287" name="Group 287"/>
                      <wpg:cNvGrpSpPr/>
                      <wpg:grpSpPr>
                        <a:xfrm>
                          <a:off x="0" y="0"/>
                          <a:ext cx="2616200" cy="3175"/>
                          <a:chExt cx="2616200" cy="3175"/>
                        </a:xfrm>
                      </wpg:grpSpPr>
                      <wps:wsp>
                        <wps:cNvPr id="288" name="Graphic 28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09" coordorigin="0,0" coordsize="4120,5">
                <v:shape style="position:absolute;left:0;top:2;width:4120;height:2" id="docshape210"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881" w:val="left" w:leader="none"/>
        </w:tabs>
        <w:spacing w:line="115" w:lineRule="exact" w:before="0"/>
        <w:ind w:left="206" w:right="0" w:firstLine="0"/>
        <w:jc w:val="left"/>
        <w:rPr>
          <w:rFonts w:ascii="Times New Roman"/>
          <w:sz w:val="17"/>
        </w:rPr>
      </w:pPr>
      <w:r>
        <w:rPr/>
        <w:drawing>
          <wp:anchor distT="0" distB="0" distL="0" distR="0" allowOverlap="1" layoutInCell="1" locked="0" behindDoc="0" simplePos="0" relativeHeight="15804928">
            <wp:simplePos x="0" y="0"/>
            <wp:positionH relativeFrom="page">
              <wp:posOffset>5878054</wp:posOffset>
            </wp:positionH>
            <wp:positionV relativeFrom="paragraph">
              <wp:posOffset>52101</wp:posOffset>
            </wp:positionV>
            <wp:extent cx="214306" cy="104139"/>
            <wp:effectExtent l="0" t="0" r="0" b="0"/>
            <wp:wrapNone/>
            <wp:docPr id="289" name="Image 289"/>
            <wp:cNvGraphicFramePr>
              <a:graphicFrameLocks/>
            </wp:cNvGraphicFramePr>
            <a:graphic>
              <a:graphicData uri="http://schemas.openxmlformats.org/drawingml/2006/picture">
                <pic:pic>
                  <pic:nvPicPr>
                    <pic:cNvPr id="289" name="Image 289"/>
                    <pic:cNvPicPr/>
                  </pic:nvPicPr>
                  <pic:blipFill>
                    <a:blip r:embed="rId109" cstate="print"/>
                    <a:stretch>
                      <a:fillRect/>
                    </a:stretch>
                  </pic:blipFill>
                  <pic:spPr>
                    <a:xfrm>
                      <a:off x="0" y="0"/>
                      <a:ext cx="214306" cy="104139"/>
                    </a:xfrm>
                    <a:prstGeom prst="rect">
                      <a:avLst/>
                    </a:prstGeom>
                  </pic:spPr>
                </pic:pic>
              </a:graphicData>
            </a:graphic>
          </wp:anchor>
        </w:drawing>
      </w:r>
      <w:r>
        <w:rPr>
          <w:rFonts w:ascii="Times New Roman"/>
          <w:b/>
          <w:color w:val="262123"/>
          <w:spacing w:val="-2"/>
          <w:w w:val="115"/>
          <w:sz w:val="19"/>
        </w:rPr>
        <w:t>Slovak</w:t>
      </w:r>
      <w:r>
        <w:rPr>
          <w:rFonts w:ascii="Times New Roman"/>
          <w:b/>
          <w:color w:val="262123"/>
          <w:sz w:val="19"/>
        </w:rPr>
        <w:tab/>
      </w:r>
      <w:r>
        <w:rPr>
          <w:rFonts w:ascii="Times New Roman"/>
          <w:color w:val="363133"/>
          <w:spacing w:val="-2"/>
          <w:w w:val="115"/>
          <w:sz w:val="17"/>
        </w:rPr>
        <w:t>Slovencina</w:t>
      </w:r>
    </w:p>
    <w:p>
      <w:pPr>
        <w:spacing w:line="240" w:lineRule="auto" w:before="0"/>
        <w:rPr>
          <w:rFonts w:ascii="Times New Roman"/>
          <w:sz w:val="18"/>
        </w:rPr>
      </w:pPr>
      <w:r>
        <w:rPr/>
        <w:br w:type="column"/>
      </w:r>
      <w:r>
        <w:rPr>
          <w:rFonts w:ascii="Times New Roman"/>
          <w:sz w:val="18"/>
        </w:rPr>
      </w:r>
    </w:p>
    <w:p>
      <w:pPr>
        <w:pStyle w:val="BodyText"/>
        <w:spacing w:before="2"/>
        <w:rPr>
          <w:rFonts w:ascii="Times New Roman"/>
          <w:sz w:val="20"/>
        </w:rPr>
      </w:pPr>
    </w:p>
    <w:p>
      <w:pPr>
        <w:spacing w:line="138" w:lineRule="exact" w:before="0"/>
        <w:ind w:left="206" w:right="0" w:firstLine="0"/>
        <w:jc w:val="left"/>
        <w:rPr>
          <w:rFonts w:ascii="Arial"/>
          <w:sz w:val="17"/>
        </w:rPr>
      </w:pPr>
      <w:r>
        <w:rPr/>
        <mc:AlternateContent>
          <mc:Choice Requires="wps">
            <w:drawing>
              <wp:anchor distT="0" distB="0" distL="0" distR="0" allowOverlap="1" layoutInCell="1" locked="0" behindDoc="0" simplePos="0" relativeHeight="15792640">
                <wp:simplePos x="0" y="0"/>
                <wp:positionH relativeFrom="page">
                  <wp:posOffset>6680200</wp:posOffset>
                </wp:positionH>
                <wp:positionV relativeFrom="paragraph">
                  <wp:posOffset>-502539</wp:posOffset>
                </wp:positionV>
                <wp:extent cx="2599690" cy="372745"/>
                <wp:effectExtent l="0" t="0" r="0" b="0"/>
                <wp:wrapNone/>
                <wp:docPr id="290" name="Graphic 290"/>
                <wp:cNvGraphicFramePr>
                  <a:graphicFrameLocks/>
                </wp:cNvGraphicFramePr>
                <a:graphic>
                  <a:graphicData uri="http://schemas.microsoft.com/office/word/2010/wordprocessingShape">
                    <wps:wsp>
                      <wps:cNvPr id="290" name="Graphic 290"/>
                      <wps:cNvSpPr/>
                      <wps:spPr>
                        <a:xfrm>
                          <a:off x="0" y="0"/>
                          <a:ext cx="2599690" cy="372745"/>
                        </a:xfrm>
                        <a:custGeom>
                          <a:avLst/>
                          <a:gdLst/>
                          <a:ahLst/>
                          <a:cxnLst/>
                          <a:rect l="l" t="t" r="r" b="b"/>
                          <a:pathLst>
                            <a:path w="2599690" h="372745">
                              <a:moveTo>
                                <a:pt x="2599270" y="372529"/>
                              </a:moveTo>
                              <a:lnTo>
                                <a:pt x="0" y="372529"/>
                              </a:lnTo>
                              <a:lnTo>
                                <a:pt x="0" y="0"/>
                              </a:lnTo>
                              <a:lnTo>
                                <a:pt x="2599270" y="0"/>
                              </a:lnTo>
                              <a:lnTo>
                                <a:pt x="2599270" y="372529"/>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rect style="position:absolute;margin-left:526pt;margin-top:-39.570053pt;width:204.667pt;height:29.33301pt;mso-position-horizontal-relative:page;mso-position-vertical-relative:paragraph;z-index:15792640" id="docshape211" filled="true" fillcolor="#231f20" stroked="false">
                <v:fill type="solid"/>
                <w10:wrap type="none"/>
              </v:rect>
            </w:pict>
          </mc:Fallback>
        </mc:AlternateContent>
      </w:r>
      <w:r>
        <w:rPr>
          <w:rFonts w:ascii="Arial"/>
          <w:color w:val="363133"/>
          <w:spacing w:val="-2"/>
          <w:w w:val="120"/>
          <w:sz w:val="17"/>
        </w:rPr>
        <w:t>French</w:t>
      </w:r>
    </w:p>
    <w:p>
      <w:pPr>
        <w:spacing w:line="240" w:lineRule="auto" w:before="0"/>
        <w:rPr>
          <w:rFonts w:ascii="Arial"/>
          <w:sz w:val="18"/>
        </w:rPr>
      </w:pPr>
      <w:r>
        <w:rPr/>
        <w:br w:type="column"/>
      </w:r>
      <w:r>
        <w:rPr>
          <w:rFonts w:ascii="Arial"/>
          <w:sz w:val="18"/>
        </w:rPr>
      </w:r>
    </w:p>
    <w:p>
      <w:pPr>
        <w:pStyle w:val="BodyText"/>
        <w:spacing w:before="3"/>
        <w:rPr>
          <w:rFonts w:ascii="Arial"/>
          <w:sz w:val="20"/>
        </w:rPr>
      </w:pPr>
    </w:p>
    <w:p>
      <w:pPr>
        <w:spacing w:line="137" w:lineRule="exact" w:before="0"/>
        <w:ind w:left="206" w:right="0" w:firstLine="0"/>
        <w:jc w:val="left"/>
        <w:rPr>
          <w:rFonts w:ascii="Times New Roman"/>
          <w:sz w:val="17"/>
        </w:rPr>
      </w:pPr>
      <w:r>
        <w:rPr>
          <w:rFonts w:ascii="Times New Roman"/>
          <w:color w:val="363133"/>
          <w:w w:val="105"/>
          <w:sz w:val="17"/>
        </w:rPr>
        <w:t>Frarn;:ais </w:t>
      </w:r>
      <w:r>
        <w:rPr>
          <w:rFonts w:ascii="Times New Roman"/>
          <w:color w:val="363133"/>
          <w:spacing w:val="20"/>
          <w:position w:val="-1"/>
          <w:sz w:val="17"/>
        </w:rPr>
        <w:drawing>
          <wp:inline distT="0" distB="0" distL="0" distR="0">
            <wp:extent cx="214299" cy="104139"/>
            <wp:effectExtent l="0" t="0" r="0" b="0"/>
            <wp:docPr id="291" name="Image 291"/>
            <wp:cNvGraphicFramePr>
              <a:graphicFrameLocks/>
            </wp:cNvGraphicFramePr>
            <a:graphic>
              <a:graphicData uri="http://schemas.openxmlformats.org/drawingml/2006/picture">
                <pic:pic>
                  <pic:nvPicPr>
                    <pic:cNvPr id="291" name="Image 291"/>
                    <pic:cNvPicPr/>
                  </pic:nvPicPr>
                  <pic:blipFill>
                    <a:blip r:embed="rId110" cstate="print"/>
                    <a:stretch>
                      <a:fillRect/>
                    </a:stretch>
                  </pic:blipFill>
                  <pic:spPr>
                    <a:xfrm>
                      <a:off x="0" y="0"/>
                      <a:ext cx="214299" cy="104139"/>
                    </a:xfrm>
                    <a:prstGeom prst="rect">
                      <a:avLst/>
                    </a:prstGeom>
                  </pic:spPr>
                </pic:pic>
              </a:graphicData>
            </a:graphic>
          </wp:inline>
        </w:drawing>
      </w:r>
      <w:r>
        <w:rPr>
          <w:rFonts w:ascii="Times New Roman"/>
          <w:color w:val="363133"/>
          <w:spacing w:val="20"/>
          <w:position w:val="-1"/>
          <w:sz w:val="17"/>
        </w:rPr>
      </w:r>
    </w:p>
    <w:p>
      <w:pPr>
        <w:spacing w:line="240" w:lineRule="auto" w:before="1"/>
        <w:rPr>
          <w:rFonts w:ascii="Times New Roman"/>
          <w:sz w:val="4"/>
        </w:rPr>
      </w:pPr>
      <w:r>
        <w:rPr/>
        <w:br w:type="column"/>
      </w:r>
      <w:r>
        <w:rPr>
          <w:rFonts w:ascii="Times New Roman"/>
          <w:sz w:val="4"/>
        </w:rPr>
      </w:r>
    </w:p>
    <w:p>
      <w:pPr>
        <w:pStyle w:val="BodyText"/>
        <w:spacing w:line="20" w:lineRule="exact"/>
        <w:ind w:left="23"/>
        <w:rPr>
          <w:rFonts w:ascii="Times New Roman"/>
          <w:sz w:val="2"/>
        </w:rPr>
      </w:pPr>
      <w:r>
        <w:rPr>
          <w:rFonts w:ascii="Times New Roman"/>
          <w:sz w:val="2"/>
        </w:rPr>
        <mc:AlternateContent>
          <mc:Choice Requires="wps">
            <w:drawing>
              <wp:inline distT="0" distB="0" distL="0" distR="0">
                <wp:extent cx="2616200" cy="3175"/>
                <wp:effectExtent l="9525" t="0" r="0" b="6350"/>
                <wp:docPr id="292" name="Group 292"/>
                <wp:cNvGraphicFramePr>
                  <a:graphicFrameLocks/>
                </wp:cNvGraphicFramePr>
                <a:graphic>
                  <a:graphicData uri="http://schemas.microsoft.com/office/word/2010/wordprocessingGroup">
                    <wpg:wgp>
                      <wpg:cNvPr id="292" name="Group 292"/>
                      <wpg:cNvGrpSpPr/>
                      <wpg:grpSpPr>
                        <a:xfrm>
                          <a:off x="0" y="0"/>
                          <a:ext cx="2616200" cy="3175"/>
                          <a:chExt cx="2616200" cy="3175"/>
                        </a:xfrm>
                      </wpg:grpSpPr>
                      <wps:wsp>
                        <wps:cNvPr id="293" name="Graphic 29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12" coordorigin="0,0" coordsize="4120,5">
                <v:shape style="position:absolute;left:0;top:2;width:4120;height:2" id="docshape213"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849" w:val="left" w:leader="none"/>
        </w:tabs>
        <w:spacing w:before="12"/>
        <w:ind w:left="206" w:right="0" w:firstLine="0"/>
        <w:jc w:val="left"/>
        <w:rPr>
          <w:rFonts w:ascii="Times New Roman"/>
          <w:sz w:val="17"/>
        </w:rPr>
      </w:pPr>
      <w:r>
        <w:rPr/>
        <w:drawing>
          <wp:anchor distT="0" distB="0" distL="0" distR="0" allowOverlap="1" layoutInCell="1" locked="0" behindDoc="0" simplePos="0" relativeHeight="15812096">
            <wp:simplePos x="0" y="0"/>
            <wp:positionH relativeFrom="page">
              <wp:posOffset>12115316</wp:posOffset>
            </wp:positionH>
            <wp:positionV relativeFrom="paragraph">
              <wp:posOffset>72186</wp:posOffset>
            </wp:positionV>
            <wp:extent cx="214299" cy="104139"/>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111" cstate="print"/>
                    <a:stretch>
                      <a:fillRect/>
                    </a:stretch>
                  </pic:blipFill>
                  <pic:spPr>
                    <a:xfrm>
                      <a:off x="0" y="0"/>
                      <a:ext cx="214299" cy="104139"/>
                    </a:xfrm>
                    <a:prstGeom prst="rect">
                      <a:avLst/>
                    </a:prstGeom>
                  </pic:spPr>
                </pic:pic>
              </a:graphicData>
            </a:graphic>
          </wp:anchor>
        </w:drawing>
      </w:r>
      <w:r>
        <w:rPr>
          <w:rFonts w:ascii="Times New Roman"/>
          <w:b/>
          <w:color w:val="363133"/>
          <w:spacing w:val="-2"/>
          <w:w w:val="115"/>
          <w:position w:val="1"/>
          <w:sz w:val="19"/>
        </w:rPr>
        <w:t>English</w:t>
      </w:r>
      <w:r>
        <w:rPr>
          <w:rFonts w:ascii="Times New Roman"/>
          <w:b/>
          <w:color w:val="363133"/>
          <w:position w:val="1"/>
          <w:sz w:val="19"/>
        </w:rPr>
        <w:tab/>
      </w:r>
      <w:r>
        <w:rPr>
          <w:rFonts w:ascii="Times New Roman"/>
          <w:color w:val="363133"/>
          <w:spacing w:val="-2"/>
          <w:w w:val="115"/>
          <w:sz w:val="17"/>
        </w:rPr>
        <w:t>English</w:t>
      </w:r>
    </w:p>
    <w:p>
      <w:pPr>
        <w:spacing w:before="69"/>
        <w:ind w:left="207" w:right="0" w:firstLine="0"/>
        <w:jc w:val="left"/>
        <w:rPr>
          <w:rFonts w:ascii="Times New Roman"/>
          <w:sz w:val="17"/>
        </w:rPr>
      </w:pPr>
      <w:r>
        <w:rPr>
          <w:rFonts w:ascii="Times New Roman"/>
          <w:color w:val="363133"/>
          <w:w w:val="105"/>
          <w:sz w:val="17"/>
        </w:rPr>
        <w:t>Point</w:t>
      </w:r>
      <w:r>
        <w:rPr>
          <w:rFonts w:ascii="Times New Roman"/>
          <w:color w:val="363133"/>
          <w:spacing w:val="1"/>
          <w:w w:val="105"/>
          <w:sz w:val="17"/>
        </w:rPr>
        <w:t> </w:t>
      </w:r>
      <w:r>
        <w:rPr>
          <w:rFonts w:ascii="Times New Roman"/>
          <w:color w:val="363133"/>
          <w:w w:val="105"/>
          <w:sz w:val="17"/>
        </w:rPr>
        <w:t>to</w:t>
      </w:r>
      <w:r>
        <w:rPr>
          <w:rFonts w:ascii="Times New Roman"/>
          <w:color w:val="363133"/>
          <w:spacing w:val="-3"/>
          <w:w w:val="105"/>
          <w:sz w:val="17"/>
        </w:rPr>
        <w:t> </w:t>
      </w:r>
      <w:r>
        <w:rPr>
          <w:rFonts w:ascii="Times New Roman"/>
          <w:color w:val="363133"/>
          <w:w w:val="105"/>
          <w:sz w:val="17"/>
        </w:rPr>
        <w:t>your</w:t>
      </w:r>
      <w:r>
        <w:rPr>
          <w:rFonts w:ascii="Times New Roman"/>
          <w:color w:val="363133"/>
          <w:spacing w:val="3"/>
          <w:w w:val="105"/>
          <w:sz w:val="17"/>
        </w:rPr>
        <w:t> </w:t>
      </w:r>
      <w:r>
        <w:rPr>
          <w:rFonts w:ascii="Times New Roman"/>
          <w:color w:val="363133"/>
          <w:w w:val="105"/>
          <w:sz w:val="17"/>
        </w:rPr>
        <w:t>language.</w:t>
      </w:r>
      <w:r>
        <w:rPr>
          <w:rFonts w:ascii="Times New Roman"/>
          <w:color w:val="363133"/>
          <w:spacing w:val="9"/>
          <w:w w:val="105"/>
          <w:sz w:val="17"/>
        </w:rPr>
        <w:t> </w:t>
      </w:r>
      <w:r>
        <w:rPr>
          <w:rFonts w:ascii="Times New Roman"/>
          <w:color w:val="363133"/>
          <w:w w:val="105"/>
          <w:sz w:val="17"/>
        </w:rPr>
        <w:t>An</w:t>
      </w:r>
      <w:r>
        <w:rPr>
          <w:rFonts w:ascii="Times New Roman"/>
          <w:color w:val="363133"/>
          <w:spacing w:val="5"/>
          <w:w w:val="105"/>
          <w:sz w:val="17"/>
        </w:rPr>
        <w:t> </w:t>
      </w:r>
      <w:r>
        <w:rPr>
          <w:rFonts w:ascii="Times New Roman"/>
          <w:color w:val="363133"/>
          <w:w w:val="105"/>
          <w:sz w:val="17"/>
        </w:rPr>
        <w:t>interpreter</w:t>
      </w:r>
      <w:r>
        <w:rPr>
          <w:rFonts w:ascii="Times New Roman"/>
          <w:color w:val="363133"/>
          <w:spacing w:val="2"/>
          <w:w w:val="105"/>
          <w:sz w:val="17"/>
        </w:rPr>
        <w:t> </w:t>
      </w:r>
      <w:r>
        <w:rPr>
          <w:rFonts w:ascii="Times New Roman"/>
          <w:color w:val="363133"/>
          <w:w w:val="105"/>
          <w:sz w:val="17"/>
        </w:rPr>
        <w:t>will</w:t>
      </w:r>
      <w:r>
        <w:rPr>
          <w:rFonts w:ascii="Times New Roman"/>
          <w:color w:val="363133"/>
          <w:spacing w:val="5"/>
          <w:w w:val="105"/>
          <w:sz w:val="17"/>
        </w:rPr>
        <w:t> </w:t>
      </w:r>
      <w:r>
        <w:rPr>
          <w:rFonts w:ascii="Times New Roman"/>
          <w:color w:val="363133"/>
          <w:w w:val="105"/>
          <w:sz w:val="17"/>
        </w:rPr>
        <w:t>be</w:t>
      </w:r>
      <w:r>
        <w:rPr>
          <w:rFonts w:ascii="Times New Roman"/>
          <w:color w:val="363133"/>
          <w:spacing w:val="-3"/>
          <w:w w:val="105"/>
          <w:sz w:val="17"/>
        </w:rPr>
        <w:t> </w:t>
      </w:r>
      <w:r>
        <w:rPr>
          <w:rFonts w:ascii="Times New Roman"/>
          <w:color w:val="363133"/>
          <w:spacing w:val="-2"/>
          <w:w w:val="105"/>
          <w:sz w:val="17"/>
        </w:rPr>
        <w:t>called</w:t>
      </w:r>
      <w:r>
        <w:rPr>
          <w:rFonts w:ascii="Times New Roman"/>
          <w:color w:val="625E60"/>
          <w:spacing w:val="-2"/>
          <w:w w:val="105"/>
          <w:sz w:val="17"/>
        </w:rPr>
        <w:t>.</w:t>
      </w:r>
    </w:p>
    <w:p>
      <w:pPr>
        <w:spacing w:after="0"/>
        <w:jc w:val="left"/>
        <w:rPr>
          <w:rFonts w:ascii="Times New Roman"/>
          <w:sz w:val="17"/>
        </w:rPr>
        <w:sectPr>
          <w:type w:val="continuous"/>
          <w:pgSz w:w="20160" w:h="12240" w:orient="landscape"/>
          <w:pgMar w:header="0" w:footer="0" w:top="1820" w:bottom="280" w:left="380" w:right="120"/>
          <w:cols w:num="5" w:equalWidth="0">
            <w:col w:w="4272" w:space="734"/>
            <w:col w:w="4249" w:space="786"/>
            <w:col w:w="893" w:space="2002"/>
            <w:col w:w="1319" w:space="861"/>
            <w:col w:w="4544"/>
          </w:cols>
        </w:sectPr>
      </w:pPr>
    </w:p>
    <w:p>
      <w:pPr>
        <w:spacing w:before="113"/>
        <w:ind w:left="205" w:right="281" w:firstLine="3"/>
        <w:jc w:val="left"/>
        <w:rPr>
          <w:rFonts w:ascii="Times New Roman"/>
          <w:sz w:val="17"/>
        </w:rPr>
      </w:pPr>
      <w:r>
        <w:rPr>
          <w:rFonts w:ascii="Times New Roman"/>
          <w:color w:val="363133"/>
          <w:w w:val="105"/>
          <w:sz w:val="17"/>
        </w:rPr>
        <w:t>Osoita maasi</w:t>
      </w:r>
      <w:r>
        <w:rPr>
          <w:rFonts w:ascii="Times New Roman"/>
          <w:color w:val="363133"/>
          <w:spacing w:val="-4"/>
          <w:w w:val="105"/>
          <w:sz w:val="17"/>
        </w:rPr>
        <w:t> </w:t>
      </w:r>
      <w:r>
        <w:rPr>
          <w:rFonts w:ascii="Times New Roman"/>
          <w:color w:val="363133"/>
          <w:w w:val="105"/>
          <w:sz w:val="17"/>
        </w:rPr>
        <w:t>kielta</w:t>
      </w:r>
      <w:r>
        <w:rPr>
          <w:rFonts w:ascii="Times New Roman"/>
          <w:color w:val="625E60"/>
          <w:w w:val="105"/>
          <w:sz w:val="17"/>
        </w:rPr>
        <w:t>.</w:t>
      </w:r>
      <w:r>
        <w:rPr>
          <w:rFonts w:ascii="Times New Roman"/>
          <w:color w:val="625E60"/>
          <w:spacing w:val="-12"/>
          <w:w w:val="105"/>
          <w:sz w:val="17"/>
        </w:rPr>
        <w:t> </w:t>
      </w:r>
      <w:r>
        <w:rPr>
          <w:rFonts w:ascii="Times New Roman"/>
          <w:color w:val="363133"/>
          <w:w w:val="105"/>
          <w:sz w:val="17"/>
        </w:rPr>
        <w:t>Kutsumme tulkin</w:t>
      </w:r>
      <w:r>
        <w:rPr>
          <w:rFonts w:ascii="Times New Roman"/>
          <w:color w:val="363133"/>
          <w:spacing w:val="-2"/>
          <w:w w:val="105"/>
          <w:sz w:val="17"/>
        </w:rPr>
        <w:t> </w:t>
      </w:r>
      <w:r>
        <w:rPr>
          <w:rFonts w:ascii="Times New Roman"/>
          <w:color w:val="363133"/>
          <w:w w:val="105"/>
          <w:sz w:val="17"/>
        </w:rPr>
        <w:t>paikalle. Tulkin</w:t>
      </w:r>
      <w:r>
        <w:rPr>
          <w:rFonts w:ascii="Times New Roman"/>
          <w:color w:val="363133"/>
          <w:w w:val="105"/>
          <w:sz w:val="17"/>
        </w:rPr>
        <w:t> kaytto on sinulle ilmaista.</w:t>
      </w:r>
    </w:p>
    <w:p>
      <w:pPr>
        <w:pStyle w:val="BodyText"/>
        <w:spacing w:before="8"/>
        <w:rPr>
          <w:rFonts w:ascii="Times New Roman"/>
          <w:sz w:val="3"/>
        </w:rPr>
      </w:pPr>
      <w:r>
        <w:rPr/>
        <mc:AlternateContent>
          <mc:Choice Requires="wps">
            <w:drawing>
              <wp:anchor distT="0" distB="0" distL="0" distR="0" allowOverlap="1" layoutInCell="1" locked="0" behindDoc="1" simplePos="0" relativeHeight="487640064">
                <wp:simplePos x="0" y="0"/>
                <wp:positionH relativeFrom="page">
                  <wp:posOffset>330200</wp:posOffset>
                </wp:positionH>
                <wp:positionV relativeFrom="paragraph">
                  <wp:posOffset>42356</wp:posOffset>
                </wp:positionV>
                <wp:extent cx="261620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6pt;margin-top:3.335174pt;width:206pt;height:.1pt;mso-position-horizontal-relative:page;mso-position-vertical-relative:paragraph;z-index:-15676416;mso-wrap-distance-left:0;mso-wrap-distance-right:0" id="docshape214" coordorigin="520,67" coordsize="4120,0" path="m520,67l1164,67,2580,67,3996,67,4640,67e" filled="false" stroked="true" strokeweight=".25pt" strokecolor="#231f20">
                <v:path arrowok="t"/>
                <v:stroke dashstyle="solid"/>
                <w10:wrap type="topAndBottom"/>
              </v:shape>
            </w:pict>
          </mc:Fallback>
        </mc:AlternateContent>
      </w:r>
    </w:p>
    <w:p>
      <w:pPr>
        <w:tabs>
          <w:tab w:pos="3143" w:val="left" w:leader="none"/>
        </w:tabs>
        <w:spacing w:before="0"/>
        <w:ind w:left="206" w:right="0" w:firstLine="0"/>
        <w:jc w:val="left"/>
        <w:rPr>
          <w:rFonts w:ascii="Times New Roman"/>
          <w:sz w:val="17"/>
        </w:rPr>
      </w:pPr>
      <w:r>
        <w:rPr>
          <w:rFonts w:ascii="Times New Roman"/>
          <w:b/>
          <w:color w:val="262123"/>
          <w:spacing w:val="-2"/>
          <w:w w:val="110"/>
          <w:sz w:val="19"/>
        </w:rPr>
        <w:t>French</w:t>
      </w:r>
      <w:r>
        <w:rPr>
          <w:rFonts w:ascii="Times New Roman"/>
          <w:b/>
          <w:color w:val="262123"/>
          <w:sz w:val="19"/>
        </w:rPr>
        <w:tab/>
      </w:r>
      <w:r>
        <w:rPr>
          <w:rFonts w:ascii="Times New Roman"/>
          <w:color w:val="363133"/>
          <w:spacing w:val="-2"/>
          <w:w w:val="110"/>
          <w:sz w:val="17"/>
        </w:rPr>
        <w:t>Frarn;ais</w:t>
      </w:r>
    </w:p>
    <w:p>
      <w:pPr>
        <w:spacing w:line="247" w:lineRule="auto" w:before="9"/>
        <w:ind w:left="215" w:right="281" w:hanging="3"/>
        <w:jc w:val="left"/>
        <w:rPr>
          <w:rFonts w:ascii="Times New Roman"/>
          <w:sz w:val="17"/>
        </w:rPr>
      </w:pPr>
      <w:r>
        <w:rPr/>
        <w:drawing>
          <wp:anchor distT="0" distB="0" distL="0" distR="0" allowOverlap="1" layoutInCell="1" locked="0" behindDoc="0" simplePos="0" relativeHeight="15798272">
            <wp:simplePos x="0" y="0"/>
            <wp:positionH relativeFrom="page">
              <wp:posOffset>2713955</wp:posOffset>
            </wp:positionH>
            <wp:positionV relativeFrom="paragraph">
              <wp:posOffset>-88339</wp:posOffset>
            </wp:positionV>
            <wp:extent cx="214306" cy="104139"/>
            <wp:effectExtent l="0" t="0" r="0" b="0"/>
            <wp:wrapNone/>
            <wp:docPr id="296" name="Image 296"/>
            <wp:cNvGraphicFramePr>
              <a:graphicFrameLocks/>
            </wp:cNvGraphicFramePr>
            <a:graphic>
              <a:graphicData uri="http://schemas.openxmlformats.org/drawingml/2006/picture">
                <pic:pic>
                  <pic:nvPicPr>
                    <pic:cNvPr id="296" name="Image 296"/>
                    <pic:cNvPicPr/>
                  </pic:nvPicPr>
                  <pic:blipFill>
                    <a:blip r:embed="rId109" cstate="print"/>
                    <a:stretch>
                      <a:fillRect/>
                    </a:stretch>
                  </pic:blipFill>
                  <pic:spPr>
                    <a:xfrm>
                      <a:off x="0" y="0"/>
                      <a:ext cx="214306" cy="104139"/>
                    </a:xfrm>
                    <a:prstGeom prst="rect">
                      <a:avLst/>
                    </a:prstGeom>
                  </pic:spPr>
                </pic:pic>
              </a:graphicData>
            </a:graphic>
          </wp:anchor>
        </w:drawing>
      </w:r>
      <w:r>
        <w:rPr>
          <w:rFonts w:ascii="Times New Roman"/>
          <w:color w:val="363133"/>
          <w:w w:val="105"/>
          <w:sz w:val="17"/>
        </w:rPr>
        <w:t>Pointez vers</w:t>
      </w:r>
      <w:r>
        <w:rPr>
          <w:rFonts w:ascii="Times New Roman"/>
          <w:color w:val="363133"/>
          <w:spacing w:val="-4"/>
          <w:w w:val="105"/>
          <w:sz w:val="17"/>
        </w:rPr>
        <w:t> </w:t>
      </w:r>
      <w:r>
        <w:rPr>
          <w:rFonts w:ascii="Times New Roman"/>
          <w:color w:val="363133"/>
          <w:w w:val="105"/>
          <w:sz w:val="17"/>
        </w:rPr>
        <w:t>votre</w:t>
      </w:r>
      <w:r>
        <w:rPr>
          <w:rFonts w:ascii="Times New Roman"/>
          <w:color w:val="363133"/>
          <w:spacing w:val="-2"/>
          <w:w w:val="105"/>
          <w:sz w:val="17"/>
        </w:rPr>
        <w:t> </w:t>
      </w:r>
      <w:r>
        <w:rPr>
          <w:rFonts w:ascii="Times New Roman"/>
          <w:color w:val="363133"/>
          <w:w w:val="105"/>
          <w:sz w:val="17"/>
        </w:rPr>
        <w:t>langue et</w:t>
      </w:r>
      <w:r>
        <w:rPr>
          <w:rFonts w:ascii="Times New Roman"/>
          <w:color w:val="363133"/>
          <w:spacing w:val="-5"/>
          <w:w w:val="105"/>
          <w:sz w:val="17"/>
        </w:rPr>
        <w:t> </w:t>
      </w:r>
      <w:r>
        <w:rPr>
          <w:rFonts w:ascii="Times New Roman"/>
          <w:color w:val="363133"/>
          <w:w w:val="105"/>
          <w:sz w:val="17"/>
        </w:rPr>
        <w:t>on</w:t>
      </w:r>
      <w:r>
        <w:rPr>
          <w:rFonts w:ascii="Times New Roman"/>
          <w:color w:val="363133"/>
          <w:spacing w:val="-2"/>
          <w:w w:val="105"/>
          <w:sz w:val="17"/>
        </w:rPr>
        <w:t> </w:t>
      </w:r>
      <w:r>
        <w:rPr>
          <w:rFonts w:ascii="Times New Roman"/>
          <w:color w:val="363133"/>
          <w:w w:val="105"/>
          <w:sz w:val="17"/>
        </w:rPr>
        <w:t>appellera un interprete</w:t>
      </w:r>
      <w:r>
        <w:rPr>
          <w:rFonts w:ascii="Times New Roman"/>
          <w:color w:val="363133"/>
          <w:spacing w:val="2"/>
          <w:w w:val="105"/>
          <w:sz w:val="17"/>
        </w:rPr>
        <w:t> </w:t>
      </w:r>
      <w:r>
        <w:rPr>
          <w:rFonts w:ascii="Times New Roman"/>
          <w:color w:val="363133"/>
          <w:w w:val="105"/>
          <w:sz w:val="17"/>
        </w:rPr>
        <w:t>qui</w:t>
      </w:r>
      <w:r>
        <w:rPr>
          <w:rFonts w:ascii="Times New Roman"/>
          <w:color w:val="363133"/>
          <w:spacing w:val="2"/>
          <w:w w:val="105"/>
          <w:sz w:val="17"/>
        </w:rPr>
        <w:t> </w:t>
      </w:r>
      <w:r>
        <w:rPr>
          <w:rFonts w:ascii="Times New Roman"/>
          <w:color w:val="363133"/>
          <w:w w:val="105"/>
          <w:sz w:val="17"/>
        </w:rPr>
        <w:t>vous</w:t>
      </w:r>
      <w:r>
        <w:rPr>
          <w:rFonts w:ascii="Times New Roman"/>
          <w:color w:val="363133"/>
          <w:spacing w:val="-5"/>
          <w:w w:val="105"/>
          <w:sz w:val="17"/>
        </w:rPr>
        <w:t> </w:t>
      </w:r>
      <w:r>
        <w:rPr>
          <w:rFonts w:ascii="Times New Roman"/>
          <w:color w:val="363133"/>
          <w:w w:val="105"/>
          <w:sz w:val="17"/>
        </w:rPr>
        <w:t>sera</w:t>
      </w:r>
      <w:r>
        <w:rPr>
          <w:rFonts w:ascii="Times New Roman"/>
          <w:color w:val="363133"/>
          <w:spacing w:val="1"/>
          <w:w w:val="105"/>
          <w:sz w:val="17"/>
        </w:rPr>
        <w:t> </w:t>
      </w:r>
      <w:r>
        <w:rPr>
          <w:rFonts w:ascii="Times New Roman"/>
          <w:color w:val="363133"/>
          <w:w w:val="105"/>
          <w:sz w:val="17"/>
        </w:rPr>
        <w:t>foumi</w:t>
      </w:r>
      <w:r>
        <w:rPr>
          <w:rFonts w:ascii="Times New Roman"/>
          <w:color w:val="363133"/>
          <w:spacing w:val="1"/>
          <w:w w:val="105"/>
          <w:sz w:val="17"/>
        </w:rPr>
        <w:t> </w:t>
      </w:r>
      <w:r>
        <w:rPr>
          <w:rFonts w:ascii="Times New Roman"/>
          <w:color w:val="363133"/>
          <w:spacing w:val="-2"/>
          <w:w w:val="105"/>
          <w:sz w:val="17"/>
        </w:rPr>
        <w:t>gratuitement.</w:t>
      </w:r>
    </w:p>
    <w:p>
      <w:pPr>
        <w:spacing w:line="247" w:lineRule="auto" w:before="98"/>
        <w:ind w:left="206" w:right="843" w:hanging="1"/>
        <w:jc w:val="left"/>
        <w:rPr>
          <w:rFonts w:ascii="Times New Roman"/>
          <w:sz w:val="17"/>
        </w:rPr>
      </w:pPr>
      <w:r>
        <w:rPr/>
        <w:br w:type="column"/>
      </w:r>
      <w:r>
        <w:rPr>
          <w:rFonts w:ascii="Times New Roman"/>
          <w:color w:val="363133"/>
          <w:w w:val="105"/>
          <w:sz w:val="17"/>
        </w:rPr>
        <w:t>Ukazte</w:t>
      </w:r>
      <w:r>
        <w:rPr>
          <w:rFonts w:ascii="Times New Roman"/>
          <w:color w:val="363133"/>
          <w:spacing w:val="-5"/>
          <w:w w:val="105"/>
          <w:sz w:val="17"/>
        </w:rPr>
        <w:t> </w:t>
      </w:r>
      <w:r>
        <w:rPr>
          <w:rFonts w:ascii="Times New Roman"/>
          <w:color w:val="363133"/>
          <w:w w:val="105"/>
          <w:sz w:val="17"/>
        </w:rPr>
        <w:t>na</w:t>
      </w:r>
      <w:r>
        <w:rPr>
          <w:rFonts w:ascii="Times New Roman"/>
          <w:color w:val="363133"/>
          <w:spacing w:val="-5"/>
          <w:w w:val="105"/>
          <w:sz w:val="17"/>
        </w:rPr>
        <w:t> </w:t>
      </w:r>
      <w:r>
        <w:rPr>
          <w:rFonts w:ascii="Times New Roman"/>
          <w:color w:val="363133"/>
          <w:w w:val="105"/>
          <w:sz w:val="17"/>
        </w:rPr>
        <w:t>vasu</w:t>
      </w:r>
      <w:r>
        <w:rPr>
          <w:rFonts w:ascii="Times New Roman"/>
          <w:color w:val="363133"/>
          <w:spacing w:val="-1"/>
          <w:w w:val="105"/>
          <w:sz w:val="17"/>
        </w:rPr>
        <w:t> </w:t>
      </w:r>
      <w:r>
        <w:rPr>
          <w:rFonts w:ascii="Times New Roman"/>
          <w:color w:val="363133"/>
          <w:w w:val="105"/>
          <w:sz w:val="17"/>
        </w:rPr>
        <w:t>rec</w:t>
      </w:r>
      <w:r>
        <w:rPr>
          <w:rFonts w:ascii="Times New Roman"/>
          <w:color w:val="625E60"/>
          <w:w w:val="105"/>
          <w:sz w:val="17"/>
        </w:rPr>
        <w:t>.</w:t>
      </w:r>
      <w:r>
        <w:rPr>
          <w:rFonts w:ascii="Times New Roman"/>
          <w:color w:val="625E60"/>
          <w:spacing w:val="-12"/>
          <w:w w:val="105"/>
          <w:sz w:val="17"/>
        </w:rPr>
        <w:t> </w:t>
      </w:r>
      <w:r>
        <w:rPr>
          <w:rFonts w:ascii="Times New Roman"/>
          <w:color w:val="363133"/>
          <w:w w:val="105"/>
          <w:sz w:val="17"/>
        </w:rPr>
        <w:t>Zavolame tlmocnika. Tlmocenie je pre vas bezplatne.</w:t>
      </w:r>
    </w:p>
    <w:p>
      <w:pPr>
        <w:pStyle w:val="BodyText"/>
        <w:spacing w:before="1"/>
        <w:rPr>
          <w:rFonts w:ascii="Times New Roman"/>
          <w:sz w:val="6"/>
        </w:rPr>
      </w:pPr>
    </w:p>
    <w:p>
      <w:pPr>
        <w:pStyle w:val="BodyText"/>
        <w:spacing w:line="20" w:lineRule="exact"/>
        <w:ind w:left="133" w:right="-72"/>
        <w:rPr>
          <w:rFonts w:ascii="Times New Roman"/>
          <w:sz w:val="2"/>
        </w:rPr>
      </w:pPr>
      <w:r>
        <w:rPr>
          <w:rFonts w:ascii="Times New Roman"/>
          <w:sz w:val="2"/>
        </w:rPr>
        <mc:AlternateContent>
          <mc:Choice Requires="wps">
            <w:drawing>
              <wp:inline distT="0" distB="0" distL="0" distR="0">
                <wp:extent cx="2616200" cy="3175"/>
                <wp:effectExtent l="9525" t="0" r="0" b="6350"/>
                <wp:docPr id="297" name="Group 297"/>
                <wp:cNvGraphicFramePr>
                  <a:graphicFrameLocks/>
                </wp:cNvGraphicFramePr>
                <a:graphic>
                  <a:graphicData uri="http://schemas.microsoft.com/office/word/2010/wordprocessingGroup">
                    <wpg:wgp>
                      <wpg:cNvPr id="297" name="Group 297"/>
                      <wpg:cNvGrpSpPr/>
                      <wpg:grpSpPr>
                        <a:xfrm>
                          <a:off x="0" y="0"/>
                          <a:ext cx="2616200" cy="3175"/>
                          <a:chExt cx="2616200" cy="3175"/>
                        </a:xfrm>
                      </wpg:grpSpPr>
                      <wps:wsp>
                        <wps:cNvPr id="298" name="Graphic 29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15" coordorigin="0,0" coordsize="4120,5">
                <v:shape style="position:absolute;left:0;top:2;width:4120;height:2" id="docshape21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114" w:val="left" w:leader="none"/>
        </w:tabs>
        <w:spacing w:before="0"/>
        <w:ind w:left="206" w:right="0" w:firstLine="0"/>
        <w:jc w:val="left"/>
        <w:rPr>
          <w:rFonts w:ascii="Times New Roman"/>
          <w:sz w:val="17"/>
        </w:rPr>
      </w:pPr>
      <w:r>
        <w:rPr>
          <w:rFonts w:ascii="Times New Roman"/>
          <w:b/>
          <w:color w:val="262123"/>
          <w:spacing w:val="-2"/>
          <w:w w:val="110"/>
          <w:sz w:val="19"/>
        </w:rPr>
        <w:t>Spanish</w:t>
      </w:r>
      <w:r>
        <w:rPr>
          <w:rFonts w:ascii="Times New Roman"/>
          <w:b/>
          <w:color w:val="262123"/>
          <w:sz w:val="19"/>
        </w:rPr>
        <w:tab/>
      </w:r>
      <w:r>
        <w:rPr>
          <w:rFonts w:ascii="Times New Roman"/>
          <w:color w:val="363133"/>
          <w:spacing w:val="-2"/>
          <w:w w:val="110"/>
          <w:sz w:val="17"/>
        </w:rPr>
        <w:t>Espanol</w:t>
      </w:r>
    </w:p>
    <w:p>
      <w:pPr>
        <w:spacing w:line="247" w:lineRule="auto" w:before="2"/>
        <w:ind w:left="208" w:right="843" w:hanging="3"/>
        <w:jc w:val="left"/>
        <w:rPr>
          <w:rFonts w:ascii="Times New Roman"/>
          <w:sz w:val="17"/>
        </w:rPr>
      </w:pPr>
      <w:r>
        <w:rPr/>
        <mc:AlternateContent>
          <mc:Choice Requires="wps">
            <w:drawing>
              <wp:anchor distT="0" distB="0" distL="0" distR="0" allowOverlap="1" layoutInCell="1" locked="0" behindDoc="0" simplePos="0" relativeHeight="15789568">
                <wp:simplePos x="0" y="0"/>
                <wp:positionH relativeFrom="page">
                  <wp:posOffset>3504902</wp:posOffset>
                </wp:positionH>
                <wp:positionV relativeFrom="paragraph">
                  <wp:posOffset>293966</wp:posOffset>
                </wp:positionV>
                <wp:extent cx="2616200" cy="127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23.146975pt;width:206pt;height:.1pt;mso-position-horizontal-relative:page;mso-position-vertical-relative:paragraph;z-index:15789568" id="docshape217" coordorigin="5520,463" coordsize="4120,0" path="m5520,463l6163,463,7580,463,8996,463,9640,463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05440">
            <wp:simplePos x="0" y="0"/>
            <wp:positionH relativeFrom="page">
              <wp:posOffset>5878054</wp:posOffset>
            </wp:positionH>
            <wp:positionV relativeFrom="paragraph">
              <wp:posOffset>-98890</wp:posOffset>
            </wp:positionV>
            <wp:extent cx="214306" cy="104139"/>
            <wp:effectExtent l="0" t="0" r="0" b="0"/>
            <wp:wrapNone/>
            <wp:docPr id="300" name="Image 300"/>
            <wp:cNvGraphicFramePr>
              <a:graphicFrameLocks/>
            </wp:cNvGraphicFramePr>
            <a:graphic>
              <a:graphicData uri="http://schemas.openxmlformats.org/drawingml/2006/picture">
                <pic:pic>
                  <pic:nvPicPr>
                    <pic:cNvPr id="300" name="Image 300"/>
                    <pic:cNvPicPr/>
                  </pic:nvPicPr>
                  <pic:blipFill>
                    <a:blip r:embed="rId109" cstate="print"/>
                    <a:stretch>
                      <a:fillRect/>
                    </a:stretch>
                  </pic:blipFill>
                  <pic:spPr>
                    <a:xfrm>
                      <a:off x="0" y="0"/>
                      <a:ext cx="214306" cy="104139"/>
                    </a:xfrm>
                    <a:prstGeom prst="rect">
                      <a:avLst/>
                    </a:prstGeom>
                  </pic:spPr>
                </pic:pic>
              </a:graphicData>
            </a:graphic>
          </wp:anchor>
        </w:drawing>
      </w:r>
      <w:r>
        <w:rPr/>
        <w:drawing>
          <wp:anchor distT="0" distB="0" distL="0" distR="0" allowOverlap="1" layoutInCell="1" locked="0" behindDoc="0" simplePos="0" relativeHeight="15805952">
            <wp:simplePos x="0" y="0"/>
            <wp:positionH relativeFrom="page">
              <wp:posOffset>5878054</wp:posOffset>
            </wp:positionH>
            <wp:positionV relativeFrom="paragraph">
              <wp:posOffset>344382</wp:posOffset>
            </wp:positionV>
            <wp:extent cx="214306" cy="104139"/>
            <wp:effectExtent l="0" t="0" r="0" b="0"/>
            <wp:wrapNone/>
            <wp:docPr id="301" name="Image 301"/>
            <wp:cNvGraphicFramePr>
              <a:graphicFrameLocks/>
            </wp:cNvGraphicFramePr>
            <a:graphic>
              <a:graphicData uri="http://schemas.openxmlformats.org/drawingml/2006/picture">
                <pic:pic>
                  <pic:nvPicPr>
                    <pic:cNvPr id="301" name="Image 301"/>
                    <pic:cNvPicPr/>
                  </pic:nvPicPr>
                  <pic:blipFill>
                    <a:blip r:embed="rId108" cstate="print"/>
                    <a:stretch>
                      <a:fillRect/>
                    </a:stretch>
                  </pic:blipFill>
                  <pic:spPr>
                    <a:xfrm>
                      <a:off x="0" y="0"/>
                      <a:ext cx="214306" cy="104139"/>
                    </a:xfrm>
                    <a:prstGeom prst="rect">
                      <a:avLst/>
                    </a:prstGeom>
                  </pic:spPr>
                </pic:pic>
              </a:graphicData>
            </a:graphic>
          </wp:anchor>
        </w:drawing>
      </w:r>
      <w:r>
        <w:rPr>
          <w:rFonts w:ascii="Times New Roman"/>
          <w:color w:val="363133"/>
          <w:spacing w:val="-2"/>
          <w:sz w:val="17"/>
        </w:rPr>
        <w:t>Sefiale</w:t>
      </w:r>
      <w:r>
        <w:rPr>
          <w:rFonts w:ascii="Times New Roman"/>
          <w:color w:val="363133"/>
          <w:spacing w:val="-9"/>
          <w:sz w:val="17"/>
        </w:rPr>
        <w:t> </w:t>
      </w:r>
      <w:r>
        <w:rPr>
          <w:rFonts w:ascii="Times New Roman"/>
          <w:color w:val="363133"/>
          <w:spacing w:val="-2"/>
          <w:sz w:val="17"/>
        </w:rPr>
        <w:t>su</w:t>
      </w:r>
      <w:r>
        <w:rPr>
          <w:rFonts w:ascii="Times New Roman"/>
          <w:color w:val="363133"/>
          <w:spacing w:val="-9"/>
          <w:sz w:val="17"/>
        </w:rPr>
        <w:t> </w:t>
      </w:r>
      <w:r>
        <w:rPr>
          <w:rFonts w:ascii="Times New Roman"/>
          <w:color w:val="363133"/>
          <w:spacing w:val="-2"/>
          <w:sz w:val="17"/>
        </w:rPr>
        <w:t>idioma</w:t>
      </w:r>
      <w:r>
        <w:rPr>
          <w:rFonts w:ascii="Times New Roman"/>
          <w:color w:val="363133"/>
          <w:spacing w:val="-8"/>
          <w:sz w:val="17"/>
        </w:rPr>
        <w:t> </w:t>
      </w:r>
      <w:r>
        <w:rPr>
          <w:rFonts w:ascii="Times New Roman"/>
          <w:color w:val="494646"/>
          <w:spacing w:val="-2"/>
          <w:sz w:val="17"/>
        </w:rPr>
        <w:t>y</w:t>
      </w:r>
      <w:r>
        <w:rPr>
          <w:rFonts w:ascii="Times New Roman"/>
          <w:color w:val="494646"/>
          <w:spacing w:val="-9"/>
          <w:sz w:val="17"/>
        </w:rPr>
        <w:t> </w:t>
      </w:r>
      <w:r>
        <w:rPr>
          <w:rFonts w:ascii="Times New Roman"/>
          <w:color w:val="262123"/>
          <w:spacing w:val="-2"/>
          <w:sz w:val="17"/>
        </w:rPr>
        <w:t>llamaremos</w:t>
      </w:r>
      <w:r>
        <w:rPr>
          <w:rFonts w:ascii="Times New Roman"/>
          <w:color w:val="262123"/>
          <w:spacing w:val="-8"/>
          <w:sz w:val="17"/>
        </w:rPr>
        <w:t> </w:t>
      </w:r>
      <w:r>
        <w:rPr>
          <w:rFonts w:ascii="Times New Roman"/>
          <w:color w:val="494646"/>
          <w:spacing w:val="-2"/>
          <w:sz w:val="17"/>
        </w:rPr>
        <w:t>a</w:t>
      </w:r>
      <w:r>
        <w:rPr>
          <w:rFonts w:ascii="Times New Roman"/>
          <w:color w:val="494646"/>
          <w:spacing w:val="-9"/>
          <w:sz w:val="17"/>
        </w:rPr>
        <w:t> </w:t>
      </w:r>
      <w:r>
        <w:rPr>
          <w:rFonts w:ascii="Times New Roman"/>
          <w:color w:val="363133"/>
          <w:spacing w:val="-2"/>
          <w:sz w:val="17"/>
        </w:rPr>
        <w:t>un</w:t>
      </w:r>
      <w:r>
        <w:rPr>
          <w:rFonts w:ascii="Times New Roman"/>
          <w:color w:val="363133"/>
          <w:spacing w:val="-9"/>
          <w:sz w:val="17"/>
        </w:rPr>
        <w:t> </w:t>
      </w:r>
      <w:r>
        <w:rPr>
          <w:rFonts w:ascii="Times New Roman"/>
          <w:color w:val="363133"/>
          <w:spacing w:val="-2"/>
          <w:sz w:val="17"/>
        </w:rPr>
        <w:t>interprete. </w:t>
      </w:r>
      <w:r>
        <w:rPr>
          <w:rFonts w:ascii="Times New Roman"/>
          <w:color w:val="363133"/>
          <w:sz w:val="17"/>
        </w:rPr>
        <w:t>El servicio es gratuito.</w:t>
      </w:r>
    </w:p>
    <w:p>
      <w:pPr>
        <w:spacing w:line="247" w:lineRule="auto" w:before="108"/>
        <w:ind w:left="213" w:right="0" w:firstLine="2"/>
        <w:jc w:val="left"/>
        <w:rPr>
          <w:rFonts w:ascii="Times New Roman"/>
          <w:sz w:val="17"/>
        </w:rPr>
      </w:pPr>
      <w:r>
        <w:rPr/>
        <w:br w:type="column"/>
      </w:r>
      <w:r>
        <w:rPr>
          <w:rFonts w:ascii="Times New Roman"/>
          <w:color w:val="363133"/>
          <w:w w:val="105"/>
          <w:sz w:val="17"/>
        </w:rPr>
        <w:t>Pointez</w:t>
      </w:r>
      <w:r>
        <w:rPr>
          <w:rFonts w:ascii="Times New Roman"/>
          <w:color w:val="363133"/>
          <w:spacing w:val="-3"/>
          <w:w w:val="105"/>
          <w:sz w:val="17"/>
        </w:rPr>
        <w:t> </w:t>
      </w:r>
      <w:r>
        <w:rPr>
          <w:rFonts w:ascii="Times New Roman"/>
          <w:color w:val="363133"/>
          <w:w w:val="105"/>
          <w:sz w:val="17"/>
        </w:rPr>
        <w:t>vers</w:t>
      </w:r>
      <w:r>
        <w:rPr>
          <w:rFonts w:ascii="Times New Roman"/>
          <w:color w:val="363133"/>
          <w:spacing w:val="-4"/>
          <w:w w:val="105"/>
          <w:sz w:val="17"/>
        </w:rPr>
        <w:t> </w:t>
      </w:r>
      <w:r>
        <w:rPr>
          <w:rFonts w:ascii="Times New Roman"/>
          <w:color w:val="363133"/>
          <w:w w:val="105"/>
          <w:sz w:val="17"/>
        </w:rPr>
        <w:t>votre</w:t>
      </w:r>
      <w:r>
        <w:rPr>
          <w:rFonts w:ascii="Times New Roman"/>
          <w:color w:val="363133"/>
          <w:spacing w:val="-2"/>
          <w:w w:val="105"/>
          <w:sz w:val="17"/>
        </w:rPr>
        <w:t> </w:t>
      </w:r>
      <w:r>
        <w:rPr>
          <w:rFonts w:ascii="Times New Roman"/>
          <w:color w:val="363133"/>
          <w:w w:val="105"/>
          <w:sz w:val="17"/>
        </w:rPr>
        <w:t>langue et</w:t>
      </w:r>
      <w:r>
        <w:rPr>
          <w:rFonts w:ascii="Times New Roman"/>
          <w:color w:val="363133"/>
          <w:spacing w:val="-5"/>
          <w:w w:val="105"/>
          <w:sz w:val="17"/>
        </w:rPr>
        <w:t> </w:t>
      </w:r>
      <w:r>
        <w:rPr>
          <w:rFonts w:ascii="Times New Roman"/>
          <w:color w:val="363133"/>
          <w:w w:val="105"/>
          <w:sz w:val="17"/>
        </w:rPr>
        <w:t>on</w:t>
      </w:r>
      <w:r>
        <w:rPr>
          <w:rFonts w:ascii="Times New Roman"/>
          <w:color w:val="363133"/>
          <w:spacing w:val="-6"/>
          <w:w w:val="105"/>
          <w:sz w:val="17"/>
        </w:rPr>
        <w:t> </w:t>
      </w:r>
      <w:r>
        <w:rPr>
          <w:rFonts w:ascii="Times New Roman"/>
          <w:color w:val="363133"/>
          <w:w w:val="105"/>
          <w:sz w:val="17"/>
        </w:rPr>
        <w:t>appellera un</w:t>
      </w:r>
      <w:r>
        <w:rPr>
          <w:rFonts w:ascii="Times New Roman"/>
          <w:color w:val="363133"/>
          <w:spacing w:val="-1"/>
          <w:w w:val="105"/>
          <w:sz w:val="17"/>
        </w:rPr>
        <w:t> </w:t>
      </w:r>
      <w:r>
        <w:rPr>
          <w:rFonts w:ascii="Times New Roman"/>
          <w:color w:val="363133"/>
          <w:w w:val="105"/>
          <w:sz w:val="17"/>
        </w:rPr>
        <w:t>interprete qui vous sera foumi gratuitement.</w:t>
      </w:r>
    </w:p>
    <w:p>
      <w:pPr>
        <w:pStyle w:val="BodyText"/>
        <w:spacing w:before="3"/>
        <w:rPr>
          <w:rFonts w:ascii="Times New Roman"/>
          <w:sz w:val="5"/>
        </w:rPr>
      </w:pPr>
    </w:p>
    <w:p>
      <w:pPr>
        <w:pStyle w:val="BodyText"/>
        <w:spacing w:line="20" w:lineRule="exact"/>
        <w:ind w:left="96" w:right="-72"/>
        <w:rPr>
          <w:rFonts w:ascii="Times New Roman"/>
          <w:sz w:val="2"/>
        </w:rPr>
      </w:pPr>
      <w:r>
        <w:rPr>
          <w:rFonts w:ascii="Times New Roman"/>
          <w:sz w:val="2"/>
        </w:rPr>
        <mc:AlternateContent>
          <mc:Choice Requires="wps">
            <w:drawing>
              <wp:inline distT="0" distB="0" distL="0" distR="0">
                <wp:extent cx="2616200" cy="3175"/>
                <wp:effectExtent l="9525" t="0" r="0" b="6350"/>
                <wp:docPr id="302" name="Group 302"/>
                <wp:cNvGraphicFramePr>
                  <a:graphicFrameLocks/>
                </wp:cNvGraphicFramePr>
                <a:graphic>
                  <a:graphicData uri="http://schemas.microsoft.com/office/word/2010/wordprocessingGroup">
                    <wpg:wgp>
                      <wpg:cNvPr id="302" name="Group 302"/>
                      <wpg:cNvGrpSpPr/>
                      <wpg:grpSpPr>
                        <a:xfrm>
                          <a:off x="0" y="0"/>
                          <a:ext cx="2616200" cy="3175"/>
                          <a:chExt cx="2616200" cy="3175"/>
                        </a:xfrm>
                      </wpg:grpSpPr>
                      <wps:wsp>
                        <wps:cNvPr id="303" name="Graphic 30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18" coordorigin="0,0" coordsize="4120,5">
                <v:shape style="position:absolute;left:0;top:2;width:4120;height:2" id="docshape219"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209" w:val="left" w:leader="none"/>
        </w:tabs>
        <w:spacing w:line="256" w:lineRule="auto" w:before="0"/>
        <w:ind w:left="216" w:right="339" w:hanging="11"/>
        <w:jc w:val="left"/>
        <w:rPr>
          <w:rFonts w:ascii="Times New Roman"/>
          <w:sz w:val="17"/>
        </w:rPr>
      </w:pPr>
      <w:r>
        <w:rPr>
          <w:rFonts w:ascii="Times New Roman"/>
          <w:b/>
          <w:color w:val="262123"/>
          <w:w w:val="105"/>
          <w:sz w:val="19"/>
        </w:rPr>
        <w:t>Haitian Creole</w:t>
      </w:r>
      <w:r>
        <w:rPr>
          <w:rFonts w:ascii="Times New Roman"/>
          <w:b/>
          <w:color w:val="262123"/>
          <w:sz w:val="19"/>
        </w:rPr>
        <w:tab/>
      </w:r>
      <w:r>
        <w:rPr>
          <w:rFonts w:ascii="Times New Roman"/>
          <w:color w:val="363133"/>
          <w:spacing w:val="-2"/>
          <w:w w:val="105"/>
          <w:sz w:val="17"/>
        </w:rPr>
        <w:t>Kreyol </w:t>
      </w:r>
      <w:r>
        <w:rPr>
          <w:rFonts w:ascii="Times New Roman"/>
          <w:color w:val="363133"/>
          <w:w w:val="105"/>
          <w:sz w:val="17"/>
        </w:rPr>
        <w:t>Lonje dwet ou</w:t>
      </w:r>
      <w:r>
        <w:rPr>
          <w:rFonts w:ascii="Times New Roman"/>
          <w:color w:val="363133"/>
          <w:spacing w:val="-1"/>
          <w:w w:val="105"/>
          <w:sz w:val="17"/>
        </w:rPr>
        <w:t> </w:t>
      </w:r>
      <w:r>
        <w:rPr>
          <w:rFonts w:ascii="Times New Roman"/>
          <w:color w:val="363133"/>
          <w:w w:val="105"/>
          <w:sz w:val="17"/>
        </w:rPr>
        <w:t>sou tang</w:t>
      </w:r>
      <w:r>
        <w:rPr>
          <w:rFonts w:ascii="Times New Roman"/>
          <w:color w:val="363133"/>
          <w:spacing w:val="-5"/>
          <w:w w:val="105"/>
          <w:sz w:val="17"/>
        </w:rPr>
        <w:t> </w:t>
      </w:r>
      <w:r>
        <w:rPr>
          <w:rFonts w:ascii="Times New Roman"/>
          <w:color w:val="363133"/>
          <w:w w:val="105"/>
          <w:sz w:val="17"/>
        </w:rPr>
        <w:t>ou pale</w:t>
      </w:r>
      <w:r>
        <w:rPr>
          <w:rFonts w:ascii="Times New Roman"/>
          <w:color w:val="363133"/>
          <w:spacing w:val="-1"/>
          <w:w w:val="105"/>
          <w:sz w:val="17"/>
        </w:rPr>
        <w:t> </w:t>
      </w:r>
      <w:r>
        <w:rPr>
          <w:rFonts w:ascii="Times New Roman"/>
          <w:color w:val="363133"/>
          <w:w w:val="105"/>
          <w:sz w:val="17"/>
        </w:rPr>
        <w:t>a</w:t>
      </w:r>
      <w:r>
        <w:rPr>
          <w:rFonts w:ascii="Times New Roman"/>
          <w:color w:val="363133"/>
          <w:spacing w:val="-6"/>
          <w:w w:val="105"/>
          <w:sz w:val="17"/>
        </w:rPr>
        <w:t> </w:t>
      </w:r>
      <w:r>
        <w:rPr>
          <w:rFonts w:ascii="Times New Roman"/>
          <w:color w:val="363133"/>
          <w:w w:val="105"/>
          <w:sz w:val="17"/>
        </w:rPr>
        <w:t>epi nap</w:t>
      </w:r>
      <w:r>
        <w:rPr>
          <w:rFonts w:ascii="Times New Roman"/>
          <w:color w:val="363133"/>
          <w:spacing w:val="40"/>
          <w:w w:val="105"/>
          <w:sz w:val="17"/>
        </w:rPr>
        <w:t> </w:t>
      </w:r>
      <w:r>
        <w:rPr>
          <w:rFonts w:ascii="Times New Roman"/>
          <w:color w:val="363133"/>
          <w:w w:val="105"/>
          <w:sz w:val="17"/>
        </w:rPr>
        <w:t>rele</w:t>
      </w:r>
      <w:r>
        <w:rPr>
          <w:rFonts w:ascii="Times New Roman"/>
          <w:color w:val="363133"/>
          <w:spacing w:val="-1"/>
          <w:w w:val="105"/>
          <w:sz w:val="17"/>
        </w:rPr>
        <w:t> </w:t>
      </w:r>
      <w:r>
        <w:rPr>
          <w:rFonts w:ascii="Times New Roman"/>
          <w:color w:val="363133"/>
          <w:w w:val="105"/>
          <w:sz w:val="17"/>
        </w:rPr>
        <w:t>yon </w:t>
      </w:r>
      <w:r>
        <w:rPr>
          <w:rFonts w:ascii="Times New Roman"/>
          <w:color w:val="494646"/>
          <w:sz w:val="17"/>
        </w:rPr>
        <w:t>entepret</w:t>
      </w:r>
      <w:r>
        <w:rPr>
          <w:rFonts w:ascii="Times New Roman"/>
          <w:color w:val="494646"/>
          <w:spacing w:val="6"/>
          <w:sz w:val="17"/>
        </w:rPr>
        <w:t> </w:t>
      </w:r>
      <w:r>
        <w:rPr>
          <w:rFonts w:ascii="Times New Roman"/>
          <w:color w:val="363133"/>
          <w:sz w:val="17"/>
        </w:rPr>
        <w:t>pou</w:t>
      </w:r>
      <w:r>
        <w:rPr>
          <w:rFonts w:ascii="Times New Roman"/>
          <w:color w:val="363133"/>
          <w:spacing w:val="2"/>
          <w:sz w:val="17"/>
        </w:rPr>
        <w:t> </w:t>
      </w:r>
      <w:r>
        <w:rPr>
          <w:rFonts w:ascii="Times New Roman"/>
          <w:color w:val="363133"/>
          <w:sz w:val="17"/>
        </w:rPr>
        <w:t>OU</w:t>
      </w:r>
      <w:r>
        <w:rPr>
          <w:rFonts w:ascii="Times New Roman"/>
          <w:color w:val="625E60"/>
          <w:sz w:val="17"/>
        </w:rPr>
        <w:t>.</w:t>
      </w:r>
      <w:r>
        <w:rPr>
          <w:rFonts w:ascii="Times New Roman"/>
          <w:color w:val="625E60"/>
          <w:spacing w:val="-11"/>
          <w:sz w:val="17"/>
        </w:rPr>
        <w:t> </w:t>
      </w:r>
      <w:r>
        <w:rPr>
          <w:rFonts w:ascii="Times New Roman"/>
          <w:color w:val="363133"/>
          <w:sz w:val="17"/>
        </w:rPr>
        <w:t>Nou</w:t>
      </w:r>
      <w:r>
        <w:rPr>
          <w:rFonts w:ascii="Times New Roman"/>
          <w:color w:val="363133"/>
          <w:spacing w:val="8"/>
          <w:sz w:val="17"/>
        </w:rPr>
        <w:t> </w:t>
      </w:r>
      <w:r>
        <w:rPr>
          <w:rFonts w:ascii="Times New Roman"/>
          <w:color w:val="363133"/>
          <w:sz w:val="17"/>
        </w:rPr>
        <w:t>ba</w:t>
      </w:r>
      <w:r>
        <w:rPr>
          <w:rFonts w:ascii="Times New Roman"/>
          <w:color w:val="363133"/>
          <w:spacing w:val="-1"/>
          <w:sz w:val="17"/>
        </w:rPr>
        <w:t> </w:t>
      </w:r>
      <w:r>
        <w:rPr>
          <w:rFonts w:ascii="Times New Roman"/>
          <w:color w:val="363133"/>
          <w:sz w:val="17"/>
        </w:rPr>
        <w:t>OU</w:t>
      </w:r>
      <w:r>
        <w:rPr>
          <w:rFonts w:ascii="Times New Roman"/>
          <w:color w:val="363133"/>
          <w:spacing w:val="-2"/>
          <w:sz w:val="17"/>
        </w:rPr>
        <w:t> </w:t>
      </w:r>
      <w:r>
        <w:rPr>
          <w:rFonts w:ascii="Times New Roman"/>
          <w:color w:val="363133"/>
          <w:sz w:val="17"/>
        </w:rPr>
        <w:t>sevis</w:t>
      </w:r>
      <w:r>
        <w:rPr>
          <w:rFonts w:ascii="Times New Roman"/>
          <w:color w:val="363133"/>
          <w:spacing w:val="-4"/>
          <w:sz w:val="17"/>
        </w:rPr>
        <w:t> </w:t>
      </w:r>
      <w:r>
        <w:rPr>
          <w:rFonts w:ascii="Times New Roman"/>
          <w:color w:val="363133"/>
          <w:sz w:val="17"/>
        </w:rPr>
        <w:t>entepret</w:t>
      </w:r>
      <w:r>
        <w:rPr>
          <w:rFonts w:ascii="Times New Roman"/>
          <w:color w:val="363133"/>
          <w:spacing w:val="10"/>
          <w:sz w:val="17"/>
        </w:rPr>
        <w:t> </w:t>
      </w:r>
      <w:r>
        <w:rPr>
          <w:rFonts w:ascii="Times New Roman"/>
          <w:color w:val="262123"/>
          <w:sz w:val="17"/>
        </w:rPr>
        <w:t>la</w:t>
      </w:r>
      <w:r>
        <w:rPr>
          <w:rFonts w:ascii="Times New Roman"/>
          <w:color w:val="262123"/>
          <w:spacing w:val="-5"/>
          <w:sz w:val="17"/>
        </w:rPr>
        <w:t> </w:t>
      </w:r>
      <w:r>
        <w:rPr>
          <w:rFonts w:ascii="Times New Roman"/>
          <w:color w:val="363133"/>
          <w:spacing w:val="-2"/>
          <w:sz w:val="17"/>
        </w:rPr>
        <w:t>gratis.</w:t>
      </w:r>
    </w:p>
    <w:p>
      <w:pPr>
        <w:spacing w:line="188" w:lineRule="exact" w:before="0"/>
        <w:ind w:left="435" w:right="0" w:firstLine="0"/>
        <w:jc w:val="left"/>
        <w:rPr>
          <w:rFonts w:ascii="Times New Roman"/>
          <w:sz w:val="17"/>
        </w:rPr>
      </w:pPr>
      <w:r>
        <w:rPr/>
        <w:br w:type="column"/>
      </w:r>
      <w:r>
        <w:rPr>
          <w:rFonts w:ascii="Times New Roman"/>
          <w:color w:val="363133"/>
          <w:w w:val="105"/>
          <w:sz w:val="17"/>
        </w:rPr>
        <w:t>The</w:t>
      </w:r>
      <w:r>
        <w:rPr>
          <w:rFonts w:ascii="Times New Roman"/>
          <w:color w:val="363133"/>
          <w:spacing w:val="2"/>
          <w:w w:val="105"/>
          <w:sz w:val="17"/>
        </w:rPr>
        <w:t> </w:t>
      </w:r>
      <w:r>
        <w:rPr>
          <w:rFonts w:ascii="Times New Roman"/>
          <w:color w:val="363133"/>
          <w:w w:val="105"/>
          <w:sz w:val="17"/>
        </w:rPr>
        <w:t>interpreter</w:t>
      </w:r>
      <w:r>
        <w:rPr>
          <w:rFonts w:ascii="Times New Roman"/>
          <w:color w:val="363133"/>
          <w:spacing w:val="8"/>
          <w:w w:val="105"/>
          <w:sz w:val="17"/>
        </w:rPr>
        <w:t> </w:t>
      </w:r>
      <w:r>
        <w:rPr>
          <w:rFonts w:ascii="Times New Roman"/>
          <w:color w:val="363133"/>
          <w:w w:val="105"/>
          <w:sz w:val="17"/>
        </w:rPr>
        <w:t>is</w:t>
      </w:r>
      <w:r>
        <w:rPr>
          <w:rFonts w:ascii="Times New Roman"/>
          <w:color w:val="363133"/>
          <w:spacing w:val="1"/>
          <w:w w:val="105"/>
          <w:sz w:val="17"/>
        </w:rPr>
        <w:t> </w:t>
      </w:r>
      <w:r>
        <w:rPr>
          <w:rFonts w:ascii="Times New Roman"/>
          <w:color w:val="363133"/>
          <w:w w:val="105"/>
          <w:sz w:val="17"/>
        </w:rPr>
        <w:t>provided</w:t>
      </w:r>
      <w:r>
        <w:rPr>
          <w:rFonts w:ascii="Times New Roman"/>
          <w:color w:val="363133"/>
          <w:spacing w:val="10"/>
          <w:w w:val="105"/>
          <w:sz w:val="17"/>
        </w:rPr>
        <w:t> </w:t>
      </w:r>
      <w:r>
        <w:rPr>
          <w:rFonts w:ascii="Times New Roman"/>
          <w:color w:val="363133"/>
          <w:w w:val="105"/>
          <w:sz w:val="17"/>
        </w:rPr>
        <w:t>at</w:t>
      </w:r>
      <w:r>
        <w:rPr>
          <w:rFonts w:ascii="Times New Roman"/>
          <w:color w:val="363133"/>
          <w:spacing w:val="1"/>
          <w:w w:val="105"/>
          <w:sz w:val="17"/>
        </w:rPr>
        <w:t> </w:t>
      </w:r>
      <w:r>
        <w:rPr>
          <w:rFonts w:ascii="Times New Roman"/>
          <w:color w:val="363133"/>
          <w:w w:val="105"/>
          <w:sz w:val="17"/>
        </w:rPr>
        <w:t>no</w:t>
      </w:r>
      <w:r>
        <w:rPr>
          <w:rFonts w:ascii="Times New Roman"/>
          <w:color w:val="363133"/>
          <w:spacing w:val="-3"/>
          <w:w w:val="105"/>
          <w:sz w:val="17"/>
        </w:rPr>
        <w:t> </w:t>
      </w:r>
      <w:r>
        <w:rPr>
          <w:rFonts w:ascii="Times New Roman"/>
          <w:color w:val="363133"/>
          <w:w w:val="105"/>
          <w:sz w:val="17"/>
        </w:rPr>
        <w:t>cost to </w:t>
      </w:r>
      <w:r>
        <w:rPr>
          <w:rFonts w:ascii="Times New Roman"/>
          <w:color w:val="363133"/>
          <w:spacing w:val="-4"/>
          <w:w w:val="105"/>
          <w:sz w:val="17"/>
        </w:rPr>
        <w:t>you.</w:t>
      </w:r>
    </w:p>
    <w:p>
      <w:pPr>
        <w:pStyle w:val="BodyText"/>
        <w:spacing w:before="6"/>
        <w:rPr>
          <w:rFonts w:ascii="Times New Roman"/>
          <w:sz w:val="5"/>
        </w:rPr>
      </w:pPr>
    </w:p>
    <w:p>
      <w:pPr>
        <w:pStyle w:val="BodyText"/>
        <w:spacing w:line="20" w:lineRule="exact"/>
        <w:ind w:left="248"/>
        <w:rPr>
          <w:rFonts w:ascii="Times New Roman"/>
          <w:sz w:val="2"/>
        </w:rPr>
      </w:pPr>
      <w:r>
        <w:rPr>
          <w:rFonts w:ascii="Times New Roman"/>
          <w:sz w:val="2"/>
        </w:rPr>
        <mc:AlternateContent>
          <mc:Choice Requires="wps">
            <w:drawing>
              <wp:inline distT="0" distB="0" distL="0" distR="0">
                <wp:extent cx="2616200" cy="3175"/>
                <wp:effectExtent l="9525" t="0" r="0" b="6350"/>
                <wp:docPr id="304" name="Group 304"/>
                <wp:cNvGraphicFramePr>
                  <a:graphicFrameLocks/>
                </wp:cNvGraphicFramePr>
                <a:graphic>
                  <a:graphicData uri="http://schemas.microsoft.com/office/word/2010/wordprocessingGroup">
                    <wpg:wgp>
                      <wpg:cNvPr id="304" name="Group 304"/>
                      <wpg:cNvGrpSpPr/>
                      <wpg:grpSpPr>
                        <a:xfrm>
                          <a:off x="0" y="0"/>
                          <a:ext cx="2616200" cy="3175"/>
                          <a:chExt cx="2616200" cy="3175"/>
                        </a:xfrm>
                      </wpg:grpSpPr>
                      <wps:wsp>
                        <wps:cNvPr id="305" name="Graphic 30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20" coordorigin="0,0" coordsize="4120,5">
                <v:shape style="position:absolute;left:0;top:2;width:4120;height:2" id="docshape221" coordorigin="0,3" coordsize="4120,0" path="m0,3l644,3,2060,3,3476,3,4120,3e" filled="false" stroked="true" strokeweight=".25pt" strokecolor="#231f20">
                  <v:path arrowok="t"/>
                  <v:stroke dashstyle="solid"/>
                </v:shape>
              </v:group>
            </w:pict>
          </mc:Fallback>
        </mc:AlternateContent>
      </w:r>
      <w:r>
        <w:rPr>
          <w:rFonts w:ascii="Times New Roman"/>
          <w:sz w:val="2"/>
        </w:rPr>
      </w:r>
    </w:p>
    <w:p>
      <w:pPr>
        <w:pStyle w:val="BodyText"/>
        <w:spacing w:before="11"/>
        <w:rPr>
          <w:rFonts w:ascii="Times New Roman"/>
          <w:sz w:val="17"/>
        </w:rPr>
      </w:pPr>
    </w:p>
    <w:p>
      <w:pPr>
        <w:pStyle w:val="ListParagraph"/>
        <w:numPr>
          <w:ilvl w:val="0"/>
          <w:numId w:val="40"/>
        </w:numPr>
        <w:tabs>
          <w:tab w:pos="463" w:val="left" w:leader="none"/>
        </w:tabs>
        <w:spacing w:line="283" w:lineRule="auto" w:before="0" w:after="0"/>
        <w:ind w:left="463" w:right="326" w:hanging="258"/>
        <w:jc w:val="left"/>
        <w:rPr>
          <w:rFonts w:ascii="Times New Roman" w:hAnsi="Times New Roman"/>
          <w:sz w:val="17"/>
        </w:rPr>
      </w:pPr>
      <w:r>
        <w:rPr>
          <w:rFonts w:ascii="Times New Roman" w:hAnsi="Times New Roman"/>
          <w:color w:val="363133"/>
          <w:w w:val="115"/>
          <w:sz w:val="17"/>
        </w:rPr>
        <w:t>Refer to your Quick Reference Guide (QRG) to access an interpreter</w:t>
      </w:r>
      <w:r>
        <w:rPr>
          <w:rFonts w:ascii="Times New Roman" w:hAnsi="Times New Roman"/>
          <w:color w:val="363133"/>
          <w:w w:val="115"/>
          <w:sz w:val="17"/>
        </w:rPr>
        <w:t> through Language Line Services. In most cases, an </w:t>
      </w:r>
      <w:r>
        <w:rPr>
          <w:rFonts w:ascii="Times New Roman" w:hAnsi="Times New Roman"/>
          <w:color w:val="262123"/>
          <w:w w:val="115"/>
          <w:sz w:val="17"/>
        </w:rPr>
        <w:t>interpreter is </w:t>
      </w:r>
      <w:r>
        <w:rPr>
          <w:rFonts w:ascii="Times New Roman" w:hAnsi="Times New Roman"/>
          <w:color w:val="363133"/>
          <w:w w:val="115"/>
          <w:sz w:val="17"/>
        </w:rPr>
        <w:t>available</w:t>
      </w:r>
    </w:p>
    <w:p>
      <w:pPr>
        <w:spacing w:after="0" w:line="283" w:lineRule="auto"/>
        <w:jc w:val="left"/>
        <w:rPr>
          <w:rFonts w:ascii="Times New Roman" w:hAnsi="Times New Roman"/>
          <w:sz w:val="17"/>
        </w:rPr>
        <w:sectPr>
          <w:type w:val="continuous"/>
          <w:pgSz w:w="20160" w:h="12240" w:orient="landscape"/>
          <w:pgMar w:header="0" w:footer="0" w:top="1820" w:bottom="280" w:left="380" w:right="120"/>
          <w:cols w:num="4" w:equalWidth="0">
            <w:col w:w="4272" w:space="734"/>
            <w:col w:w="4249" w:space="788"/>
            <w:col w:w="4212" w:space="636"/>
            <w:col w:w="4769"/>
          </w:cols>
        </w:sectPr>
      </w:pPr>
    </w:p>
    <w:p>
      <w:pPr>
        <w:pStyle w:val="BodyText"/>
        <w:spacing w:before="5"/>
        <w:rPr>
          <w:rFonts w:ascii="Times New Roman"/>
          <w:sz w:val="2"/>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306" name="Group 306"/>
                <wp:cNvGraphicFramePr>
                  <a:graphicFrameLocks/>
                </wp:cNvGraphicFramePr>
                <a:graphic>
                  <a:graphicData uri="http://schemas.microsoft.com/office/word/2010/wordprocessingGroup">
                    <wpg:wgp>
                      <wpg:cNvPr id="306" name="Group 306"/>
                      <wpg:cNvGrpSpPr/>
                      <wpg:grpSpPr>
                        <a:xfrm>
                          <a:off x="0" y="0"/>
                          <a:ext cx="2616200" cy="3175"/>
                          <a:chExt cx="2616200" cy="3175"/>
                        </a:xfrm>
                      </wpg:grpSpPr>
                      <wps:wsp>
                        <wps:cNvPr id="307" name="Graphic 307"/>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22" coordorigin="0,0" coordsize="4120,5">
                <v:shape style="position:absolute;left:0;top:2;width:4120;height:2" id="docshape223"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167" w:val="left" w:leader="none"/>
        </w:tabs>
        <w:spacing w:line="96" w:lineRule="exact" w:before="0"/>
        <w:ind w:left="207" w:right="0" w:firstLine="0"/>
        <w:jc w:val="left"/>
        <w:rPr>
          <w:rFonts w:ascii="Times New Roman"/>
          <w:sz w:val="17"/>
        </w:rPr>
      </w:pPr>
      <w:r>
        <w:rPr/>
        <w:drawing>
          <wp:anchor distT="0" distB="0" distL="0" distR="0" allowOverlap="1" layoutInCell="1" locked="0" behindDoc="0" simplePos="0" relativeHeight="15798784">
            <wp:simplePos x="0" y="0"/>
            <wp:positionH relativeFrom="page">
              <wp:posOffset>2713955</wp:posOffset>
            </wp:positionH>
            <wp:positionV relativeFrom="paragraph">
              <wp:posOffset>44021</wp:posOffset>
            </wp:positionV>
            <wp:extent cx="214306" cy="104139"/>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08" cstate="print"/>
                    <a:stretch>
                      <a:fillRect/>
                    </a:stretch>
                  </pic:blipFill>
                  <pic:spPr>
                    <a:xfrm>
                      <a:off x="0" y="0"/>
                      <a:ext cx="214306" cy="104139"/>
                    </a:xfrm>
                    <a:prstGeom prst="rect">
                      <a:avLst/>
                    </a:prstGeom>
                  </pic:spPr>
                </pic:pic>
              </a:graphicData>
            </a:graphic>
          </wp:anchor>
        </w:drawing>
      </w:r>
      <w:r>
        <w:rPr/>
        <w:drawing>
          <wp:anchor distT="0" distB="0" distL="0" distR="0" allowOverlap="1" layoutInCell="1" locked="0" behindDoc="0" simplePos="0" relativeHeight="15810560">
            <wp:simplePos x="0" y="0"/>
            <wp:positionH relativeFrom="page">
              <wp:posOffset>9053054</wp:posOffset>
            </wp:positionH>
            <wp:positionV relativeFrom="paragraph">
              <wp:posOffset>-399250</wp:posOffset>
            </wp:positionV>
            <wp:extent cx="214299" cy="104139"/>
            <wp:effectExtent l="0" t="0" r="0" b="0"/>
            <wp:wrapNone/>
            <wp:docPr id="309" name="Image 309"/>
            <wp:cNvGraphicFramePr>
              <a:graphicFrameLocks/>
            </wp:cNvGraphicFramePr>
            <a:graphic>
              <a:graphicData uri="http://schemas.openxmlformats.org/drawingml/2006/picture">
                <pic:pic>
                  <pic:nvPicPr>
                    <pic:cNvPr id="309" name="Image 309"/>
                    <pic:cNvPicPr/>
                  </pic:nvPicPr>
                  <pic:blipFill>
                    <a:blip r:embed="rId112" cstate="print"/>
                    <a:stretch>
                      <a:fillRect/>
                    </a:stretch>
                  </pic:blipFill>
                  <pic:spPr>
                    <a:xfrm>
                      <a:off x="0" y="0"/>
                      <a:ext cx="214299" cy="104139"/>
                    </a:xfrm>
                    <a:prstGeom prst="rect">
                      <a:avLst/>
                    </a:prstGeom>
                  </pic:spPr>
                </pic:pic>
              </a:graphicData>
            </a:graphic>
          </wp:anchor>
        </w:drawing>
      </w:r>
      <w:r>
        <w:rPr>
          <w:rFonts w:ascii="Times New Roman"/>
          <w:b/>
          <w:color w:val="262123"/>
          <w:spacing w:val="-2"/>
          <w:w w:val="110"/>
          <w:sz w:val="19"/>
        </w:rPr>
        <w:t>German</w:t>
      </w:r>
      <w:r>
        <w:rPr>
          <w:rFonts w:ascii="Times New Roman"/>
          <w:b/>
          <w:color w:val="262123"/>
          <w:sz w:val="19"/>
        </w:rPr>
        <w:tab/>
      </w:r>
      <w:r>
        <w:rPr>
          <w:rFonts w:ascii="Times New Roman"/>
          <w:color w:val="363133"/>
          <w:spacing w:val="-2"/>
          <w:w w:val="110"/>
          <w:sz w:val="17"/>
        </w:rPr>
        <w:t>Deutsch</w:t>
      </w:r>
    </w:p>
    <w:p>
      <w:pPr>
        <w:spacing w:line="111" w:lineRule="exact" w:before="34"/>
        <w:ind w:left="207" w:right="0" w:firstLine="0"/>
        <w:jc w:val="left"/>
        <w:rPr>
          <w:rFonts w:ascii="Times New Roman"/>
          <w:b/>
          <w:sz w:val="19"/>
        </w:rPr>
      </w:pPr>
      <w:r>
        <w:rPr/>
        <w:br w:type="column"/>
      </w:r>
      <w:r>
        <w:rPr>
          <w:rFonts w:ascii="Times New Roman"/>
          <w:b/>
          <w:color w:val="363133"/>
          <w:spacing w:val="-2"/>
          <w:w w:val="110"/>
          <w:sz w:val="19"/>
        </w:rPr>
        <w:t>Swedish</w:t>
      </w:r>
    </w:p>
    <w:p>
      <w:pPr>
        <w:spacing w:line="83" w:lineRule="exact" w:before="62"/>
        <w:ind w:left="207" w:right="0" w:firstLine="0"/>
        <w:jc w:val="left"/>
        <w:rPr>
          <w:rFonts w:ascii="Times New Roman"/>
          <w:sz w:val="17"/>
        </w:rPr>
      </w:pPr>
      <w:r>
        <w:rPr/>
        <w:br w:type="column"/>
      </w:r>
      <w:r>
        <w:rPr>
          <w:rFonts w:ascii="Times New Roman"/>
          <w:color w:val="363133"/>
          <w:spacing w:val="-2"/>
          <w:w w:val="115"/>
          <w:sz w:val="17"/>
        </w:rPr>
        <w:t>Svenska</w:t>
      </w:r>
    </w:p>
    <w:p>
      <w:pPr>
        <w:spacing w:line="123" w:lineRule="exact" w:before="0"/>
        <w:ind w:left="207" w:right="0" w:firstLine="0"/>
        <w:jc w:val="left"/>
        <w:rPr>
          <w:rFonts w:ascii="Times New Roman"/>
          <w:sz w:val="17"/>
        </w:rPr>
      </w:pPr>
      <w:r>
        <w:rPr/>
        <w:br w:type="column"/>
      </w:r>
      <w:r>
        <w:rPr>
          <w:rFonts w:ascii="Times New Roman"/>
          <w:color w:val="363133"/>
          <w:w w:val="115"/>
          <w:sz w:val="17"/>
        </w:rPr>
        <w:t>within</w:t>
      </w:r>
      <w:r>
        <w:rPr>
          <w:rFonts w:ascii="Times New Roman"/>
          <w:color w:val="363133"/>
          <w:spacing w:val="9"/>
          <w:w w:val="115"/>
          <w:sz w:val="17"/>
        </w:rPr>
        <w:t> </w:t>
      </w:r>
      <w:r>
        <w:rPr>
          <w:rFonts w:ascii="Times New Roman"/>
          <w:color w:val="363133"/>
          <w:spacing w:val="-2"/>
          <w:w w:val="115"/>
          <w:sz w:val="17"/>
        </w:rPr>
        <w:t>seconds.</w:t>
      </w:r>
    </w:p>
    <w:p>
      <w:pPr>
        <w:spacing w:after="0" w:line="123" w:lineRule="exact"/>
        <w:jc w:val="left"/>
        <w:rPr>
          <w:rFonts w:ascii="Times New Roman"/>
          <w:sz w:val="17"/>
        </w:rPr>
        <w:sectPr>
          <w:type w:val="continuous"/>
          <w:pgSz w:w="20160" w:h="12240" w:orient="landscape"/>
          <w:pgMar w:header="0" w:footer="0" w:top="1820" w:bottom="280" w:left="380" w:right="120"/>
          <w:cols w:num="4" w:equalWidth="0">
            <w:col w:w="4272" w:space="732"/>
            <w:col w:w="981" w:space="1926"/>
            <w:col w:w="1344" w:space="5895"/>
            <w:col w:w="4510"/>
          </w:cols>
        </w:sectPr>
      </w:pPr>
    </w:p>
    <w:p>
      <w:pPr>
        <w:spacing w:line="247" w:lineRule="auto" w:before="129"/>
        <w:ind w:left="201" w:right="0" w:firstLine="2"/>
        <w:jc w:val="left"/>
        <w:rPr>
          <w:rFonts w:ascii="Times New Roman"/>
          <w:sz w:val="17"/>
        </w:rPr>
      </w:pPr>
      <w:r>
        <w:rPr>
          <w:rFonts w:ascii="Times New Roman"/>
          <w:color w:val="363133"/>
          <w:w w:val="105"/>
          <w:sz w:val="17"/>
        </w:rPr>
        <w:t>Zeigen Sie</w:t>
      </w:r>
      <w:r>
        <w:rPr>
          <w:rFonts w:ascii="Times New Roman"/>
          <w:color w:val="363133"/>
          <w:spacing w:val="-4"/>
          <w:w w:val="105"/>
          <w:sz w:val="17"/>
        </w:rPr>
        <w:t> </w:t>
      </w:r>
      <w:r>
        <w:rPr>
          <w:rFonts w:ascii="Times New Roman"/>
          <w:color w:val="363133"/>
          <w:w w:val="105"/>
          <w:sz w:val="17"/>
        </w:rPr>
        <w:t>auf</w:t>
      </w:r>
      <w:r>
        <w:rPr>
          <w:rFonts w:ascii="Times New Roman"/>
          <w:color w:val="363133"/>
          <w:spacing w:val="-3"/>
          <w:w w:val="105"/>
          <w:sz w:val="17"/>
        </w:rPr>
        <w:t> </w:t>
      </w:r>
      <w:r>
        <w:rPr>
          <w:rFonts w:ascii="Times New Roman"/>
          <w:color w:val="363133"/>
          <w:w w:val="105"/>
          <w:sz w:val="17"/>
        </w:rPr>
        <w:t>Ihre</w:t>
      </w:r>
      <w:r>
        <w:rPr>
          <w:rFonts w:ascii="Times New Roman"/>
          <w:color w:val="363133"/>
          <w:spacing w:val="-2"/>
          <w:w w:val="105"/>
          <w:sz w:val="17"/>
        </w:rPr>
        <w:t> </w:t>
      </w:r>
      <w:r>
        <w:rPr>
          <w:rFonts w:ascii="Times New Roman"/>
          <w:color w:val="363133"/>
          <w:w w:val="105"/>
          <w:sz w:val="17"/>
        </w:rPr>
        <w:t>Sprache</w:t>
      </w:r>
      <w:r>
        <w:rPr>
          <w:rFonts w:ascii="Times New Roman"/>
          <w:color w:val="625E60"/>
          <w:w w:val="105"/>
          <w:sz w:val="17"/>
        </w:rPr>
        <w:t>.</w:t>
      </w:r>
      <w:r>
        <w:rPr>
          <w:rFonts w:ascii="Times New Roman"/>
          <w:color w:val="625E60"/>
          <w:spacing w:val="27"/>
          <w:w w:val="105"/>
          <w:sz w:val="17"/>
        </w:rPr>
        <w:t> </w:t>
      </w:r>
      <w:r>
        <w:rPr>
          <w:rFonts w:ascii="Times New Roman"/>
          <w:color w:val="363133"/>
          <w:w w:val="105"/>
          <w:sz w:val="17"/>
        </w:rPr>
        <w:t>Ein</w:t>
      </w:r>
      <w:r>
        <w:rPr>
          <w:rFonts w:ascii="Times New Roman"/>
          <w:color w:val="363133"/>
          <w:spacing w:val="-2"/>
          <w:w w:val="105"/>
          <w:sz w:val="17"/>
        </w:rPr>
        <w:t> </w:t>
      </w:r>
      <w:r>
        <w:rPr>
          <w:rFonts w:ascii="Times New Roman"/>
          <w:color w:val="363133"/>
          <w:w w:val="105"/>
          <w:sz w:val="17"/>
        </w:rPr>
        <w:t>Dolmetscher wird gerufen.</w:t>
      </w:r>
      <w:r>
        <w:rPr>
          <w:rFonts w:ascii="Times New Roman"/>
          <w:color w:val="363133"/>
          <w:spacing w:val="40"/>
          <w:w w:val="105"/>
          <w:sz w:val="17"/>
        </w:rPr>
        <w:t> </w:t>
      </w:r>
      <w:r>
        <w:rPr>
          <w:rFonts w:ascii="Times New Roman"/>
          <w:color w:val="363133"/>
          <w:w w:val="105"/>
          <w:sz w:val="17"/>
        </w:rPr>
        <w:t>Der Dolmetscher</w:t>
      </w:r>
      <w:r>
        <w:rPr>
          <w:rFonts w:ascii="Times New Roman"/>
          <w:color w:val="363133"/>
          <w:spacing w:val="40"/>
          <w:w w:val="105"/>
          <w:sz w:val="17"/>
        </w:rPr>
        <w:t> </w:t>
      </w:r>
      <w:r>
        <w:rPr>
          <w:rFonts w:ascii="Times New Roman"/>
          <w:color w:val="363133"/>
          <w:w w:val="105"/>
          <w:sz w:val="17"/>
        </w:rPr>
        <w:t>ist fur Sie kostenlos.</w:t>
      </w:r>
    </w:p>
    <w:p>
      <w:pPr>
        <w:spacing w:line="247" w:lineRule="auto" w:before="129"/>
        <w:ind w:left="203" w:right="239" w:hanging="3"/>
        <w:jc w:val="left"/>
        <w:rPr>
          <w:rFonts w:ascii="Times New Roman"/>
          <w:sz w:val="17"/>
        </w:rPr>
      </w:pPr>
      <w:r>
        <w:rPr/>
        <w:br w:type="column"/>
      </w:r>
      <w:r>
        <w:rPr>
          <w:rFonts w:ascii="Times New Roman"/>
          <w:color w:val="363133"/>
          <w:w w:val="105"/>
          <w:sz w:val="17"/>
        </w:rPr>
        <w:t>Peka pa</w:t>
      </w:r>
      <w:r>
        <w:rPr>
          <w:rFonts w:ascii="Times New Roman"/>
          <w:color w:val="363133"/>
          <w:spacing w:val="-2"/>
          <w:w w:val="105"/>
          <w:sz w:val="17"/>
        </w:rPr>
        <w:t> </w:t>
      </w:r>
      <w:r>
        <w:rPr>
          <w:rFonts w:ascii="Times New Roman"/>
          <w:color w:val="363133"/>
          <w:w w:val="105"/>
          <w:sz w:val="17"/>
        </w:rPr>
        <w:t>ditt sprak. </w:t>
      </w:r>
      <w:r>
        <w:rPr>
          <w:rFonts w:ascii="Times New Roman"/>
          <w:color w:val="494646"/>
          <w:w w:val="105"/>
          <w:sz w:val="17"/>
        </w:rPr>
        <w:t>En </w:t>
      </w:r>
      <w:r>
        <w:rPr>
          <w:rFonts w:ascii="Times New Roman"/>
          <w:color w:val="363133"/>
          <w:w w:val="105"/>
          <w:sz w:val="17"/>
        </w:rPr>
        <w:t>tolk</w:t>
      </w:r>
      <w:r>
        <w:rPr>
          <w:rFonts w:ascii="Times New Roman"/>
          <w:color w:val="363133"/>
          <w:spacing w:val="-1"/>
          <w:w w:val="105"/>
          <w:sz w:val="17"/>
        </w:rPr>
        <w:t> </w:t>
      </w:r>
      <w:r>
        <w:rPr>
          <w:rFonts w:ascii="Times New Roman"/>
          <w:color w:val="363133"/>
          <w:w w:val="105"/>
          <w:sz w:val="17"/>
        </w:rPr>
        <w:t>kommer att tillkallas</w:t>
      </w:r>
      <w:r>
        <w:rPr>
          <w:rFonts w:ascii="Times New Roman"/>
          <w:color w:val="625E60"/>
          <w:w w:val="105"/>
          <w:sz w:val="17"/>
        </w:rPr>
        <w:t>. </w:t>
      </w:r>
      <w:r>
        <w:rPr>
          <w:rFonts w:ascii="Times New Roman"/>
          <w:color w:val="363133"/>
          <w:w w:val="105"/>
          <w:sz w:val="17"/>
        </w:rPr>
        <w:t>Tolken erbjuds utan kostnad for dig.</w:t>
      </w:r>
    </w:p>
    <w:p>
      <w:pPr>
        <w:spacing w:before="109"/>
        <w:ind w:left="201" w:right="0" w:firstLine="0"/>
        <w:jc w:val="left"/>
        <w:rPr>
          <w:rFonts w:ascii="Times New Roman"/>
          <w:sz w:val="17"/>
        </w:rPr>
      </w:pPr>
      <w:r>
        <w:rPr/>
        <w:br w:type="column"/>
      </w:r>
      <w:r>
        <w:rPr>
          <w:rFonts w:ascii="Times New Roman"/>
          <w:color w:val="363133"/>
          <w:spacing w:val="-6"/>
          <w:sz w:val="17"/>
        </w:rPr>
        <w:t>Indique</w:t>
      </w:r>
      <w:r>
        <w:rPr>
          <w:rFonts w:ascii="Times New Roman"/>
          <w:color w:val="363133"/>
          <w:spacing w:val="-1"/>
          <w:sz w:val="17"/>
        </w:rPr>
        <w:t> </w:t>
      </w:r>
      <w:r>
        <w:rPr>
          <w:rFonts w:ascii="Times New Roman"/>
          <w:color w:val="363133"/>
          <w:spacing w:val="-6"/>
          <w:sz w:val="17"/>
        </w:rPr>
        <w:t>o</w:t>
      </w:r>
      <w:r>
        <w:rPr>
          <w:rFonts w:ascii="Times New Roman"/>
          <w:color w:val="363133"/>
          <w:spacing w:val="-8"/>
          <w:sz w:val="17"/>
        </w:rPr>
        <w:t> </w:t>
      </w:r>
      <w:r>
        <w:rPr>
          <w:rFonts w:ascii="Times New Roman"/>
          <w:color w:val="494646"/>
          <w:spacing w:val="-6"/>
          <w:sz w:val="17"/>
        </w:rPr>
        <w:t>seu</w:t>
      </w:r>
      <w:r>
        <w:rPr>
          <w:rFonts w:ascii="Times New Roman"/>
          <w:color w:val="494646"/>
          <w:spacing w:val="8"/>
          <w:sz w:val="17"/>
        </w:rPr>
        <w:t> </w:t>
      </w:r>
      <w:r>
        <w:rPr>
          <w:rFonts w:ascii="Times New Roman"/>
          <w:color w:val="363133"/>
          <w:spacing w:val="-6"/>
          <w:sz w:val="17"/>
        </w:rPr>
        <w:t>idioma.</w:t>
      </w:r>
      <w:r>
        <w:rPr>
          <w:rFonts w:ascii="Times New Roman"/>
          <w:color w:val="363133"/>
          <w:sz w:val="17"/>
        </w:rPr>
        <w:t> </w:t>
      </w:r>
      <w:r>
        <w:rPr>
          <w:rFonts w:ascii="Times New Roman"/>
          <w:color w:val="363133"/>
          <w:spacing w:val="-6"/>
          <w:sz w:val="17"/>
        </w:rPr>
        <w:t>Um</w:t>
      </w:r>
      <w:r>
        <w:rPr>
          <w:rFonts w:ascii="Times New Roman"/>
          <w:color w:val="363133"/>
          <w:spacing w:val="8"/>
          <w:sz w:val="17"/>
        </w:rPr>
        <w:t> </w:t>
      </w:r>
      <w:r>
        <w:rPr>
          <w:rFonts w:ascii="Times New Roman"/>
          <w:color w:val="363133"/>
          <w:spacing w:val="-6"/>
          <w:sz w:val="17"/>
        </w:rPr>
        <w:t>interprete</w:t>
      </w:r>
      <w:r>
        <w:rPr>
          <w:rFonts w:ascii="Times New Roman"/>
          <w:color w:val="363133"/>
          <w:spacing w:val="4"/>
          <w:sz w:val="17"/>
        </w:rPr>
        <w:t> </w:t>
      </w:r>
      <w:r>
        <w:rPr>
          <w:rFonts w:ascii="Times New Roman"/>
          <w:color w:val="363133"/>
          <w:spacing w:val="-6"/>
          <w:sz w:val="17"/>
        </w:rPr>
        <w:t>sen\</w:t>
      </w:r>
      <w:r>
        <w:rPr>
          <w:rFonts w:ascii="Times New Roman"/>
          <w:color w:val="363133"/>
          <w:spacing w:val="-1"/>
          <w:sz w:val="17"/>
        </w:rPr>
        <w:t> </w:t>
      </w:r>
      <w:r>
        <w:rPr>
          <w:rFonts w:ascii="Times New Roman"/>
          <w:color w:val="363133"/>
          <w:spacing w:val="-6"/>
          <w:sz w:val="17"/>
        </w:rPr>
        <w:t>chamado.</w:t>
      </w:r>
    </w:p>
    <w:p>
      <w:pPr>
        <w:spacing w:before="7"/>
        <w:ind w:left="208" w:right="0" w:firstLine="0"/>
        <w:jc w:val="left"/>
        <w:rPr>
          <w:rFonts w:ascii="Times New Roman"/>
          <w:sz w:val="17"/>
        </w:rPr>
      </w:pPr>
      <w:r>
        <w:rPr/>
        <mc:AlternateContent>
          <mc:Choice Requires="wps">
            <w:drawing>
              <wp:anchor distT="0" distB="0" distL="0" distR="0" allowOverlap="1" layoutInCell="1" locked="0" behindDoc="0" simplePos="0" relativeHeight="15791616">
                <wp:simplePos x="0" y="0"/>
                <wp:positionH relativeFrom="page">
                  <wp:posOffset>6679903</wp:posOffset>
                </wp:positionH>
                <wp:positionV relativeFrom="paragraph">
                  <wp:posOffset>-268774</wp:posOffset>
                </wp:positionV>
                <wp:extent cx="2616200" cy="15176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2616200" cy="151765"/>
                          <a:chExt cx="2616200" cy="151765"/>
                        </a:xfrm>
                      </wpg:grpSpPr>
                      <wps:wsp>
                        <wps:cNvPr id="311" name="Graphic 31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pic:pic>
                        <pic:nvPicPr>
                          <pic:cNvPr id="312" name="Image 312"/>
                          <pic:cNvPicPr/>
                        </pic:nvPicPr>
                        <pic:blipFill>
                          <a:blip r:embed="rId113" cstate="print"/>
                          <a:stretch>
                            <a:fillRect/>
                          </a:stretch>
                        </pic:blipFill>
                        <pic:spPr>
                          <a:xfrm>
                            <a:off x="2373151" y="47563"/>
                            <a:ext cx="214299" cy="104139"/>
                          </a:xfrm>
                          <a:prstGeom prst="rect">
                            <a:avLst/>
                          </a:prstGeom>
                        </pic:spPr>
                      </pic:pic>
                      <wps:wsp>
                        <wps:cNvPr id="313" name="Textbox 313"/>
                        <wps:cNvSpPr txBox="1"/>
                        <wps:spPr>
                          <a:xfrm>
                            <a:off x="74825" y="12937"/>
                            <a:ext cx="640715" cy="133985"/>
                          </a:xfrm>
                          <a:prstGeom prst="rect">
                            <a:avLst/>
                          </a:prstGeom>
                        </wps:spPr>
                        <wps:txbx>
                          <w:txbxContent>
                            <w:p>
                              <w:pPr>
                                <w:spacing w:line="211" w:lineRule="exact" w:before="0"/>
                                <w:ind w:left="0" w:right="0" w:firstLine="0"/>
                                <w:jc w:val="left"/>
                                <w:rPr>
                                  <w:rFonts w:ascii="Times New Roman"/>
                                  <w:b/>
                                  <w:sz w:val="19"/>
                                </w:rPr>
                              </w:pPr>
                              <w:r>
                                <w:rPr>
                                  <w:rFonts w:ascii="Times New Roman"/>
                                  <w:b/>
                                  <w:color w:val="262123"/>
                                  <w:spacing w:val="-2"/>
                                  <w:w w:val="110"/>
                                  <w:sz w:val="19"/>
                                </w:rPr>
                                <w:t>Portuguese</w:t>
                              </w:r>
                            </w:p>
                          </w:txbxContent>
                        </wps:txbx>
                        <wps:bodyPr wrap="square" lIns="0" tIns="0" rIns="0" bIns="0" rtlCol="0">
                          <a:noAutofit/>
                        </wps:bodyPr>
                      </wps:wsp>
                      <wps:wsp>
                        <wps:cNvPr id="314" name="Textbox 314"/>
                        <wps:cNvSpPr txBox="1"/>
                        <wps:spPr>
                          <a:xfrm>
                            <a:off x="1824286" y="24272"/>
                            <a:ext cx="518795" cy="120014"/>
                          </a:xfrm>
                          <a:prstGeom prst="rect">
                            <a:avLst/>
                          </a:prstGeom>
                        </wps:spPr>
                        <wps:txbx>
                          <w:txbxContent>
                            <w:p>
                              <w:pPr>
                                <w:spacing w:line="188" w:lineRule="exact" w:before="0"/>
                                <w:ind w:left="0" w:right="0" w:firstLine="0"/>
                                <w:jc w:val="left"/>
                                <w:rPr>
                                  <w:rFonts w:ascii="Times New Roman"/>
                                  <w:sz w:val="17"/>
                                </w:rPr>
                              </w:pPr>
                              <w:r>
                                <w:rPr>
                                  <w:rFonts w:ascii="Times New Roman"/>
                                  <w:color w:val="363133"/>
                                  <w:spacing w:val="-2"/>
                                  <w:w w:val="115"/>
                                  <w:sz w:val="17"/>
                                </w:rPr>
                                <w:t>Portugues</w:t>
                              </w:r>
                            </w:p>
                          </w:txbxContent>
                        </wps:txbx>
                        <wps:bodyPr wrap="square" lIns="0" tIns="0" rIns="0" bIns="0" rtlCol="0">
                          <a:noAutofit/>
                        </wps:bodyPr>
                      </wps:wsp>
                    </wpg:wgp>
                  </a:graphicData>
                </a:graphic>
              </wp:anchor>
            </w:drawing>
          </mc:Choice>
          <mc:Fallback>
            <w:pict>
              <v:group style="position:absolute;margin-left:525.976624pt;margin-top:-21.163336pt;width:206pt;height:11.95pt;mso-position-horizontal-relative:page;mso-position-vertical-relative:paragraph;z-index:15791616" id="docshapegroup224" coordorigin="10520,-423" coordsize="4120,239">
                <v:shape style="position:absolute;left:10519;top:-421;width:4120;height:2" id="docshape225" coordorigin="10520,-421" coordsize="4120,0" path="m10520,-421l11163,-421,12580,-421,13996,-421,14640,-421e" filled="false" stroked="true" strokeweight=".25pt" strokecolor="#231f20">
                  <v:path arrowok="t"/>
                  <v:stroke dashstyle="solid"/>
                </v:shape>
                <v:shape style="position:absolute;left:14256;top:-349;width:338;height:164" type="#_x0000_t75" id="docshape226" stroked="false">
                  <v:imagedata r:id="rId113" o:title=""/>
                </v:shape>
                <v:shape style="position:absolute;left:10637;top:-403;width:1009;height:211" type="#_x0000_t202" id="docshape227" filled="false" stroked="false">
                  <v:textbox inset="0,0,0,0">
                    <w:txbxContent>
                      <w:p>
                        <w:pPr>
                          <w:spacing w:line="211" w:lineRule="exact" w:before="0"/>
                          <w:ind w:left="0" w:right="0" w:firstLine="0"/>
                          <w:jc w:val="left"/>
                          <w:rPr>
                            <w:rFonts w:ascii="Times New Roman"/>
                            <w:b/>
                            <w:sz w:val="19"/>
                          </w:rPr>
                        </w:pPr>
                        <w:r>
                          <w:rPr>
                            <w:rFonts w:ascii="Times New Roman"/>
                            <w:b/>
                            <w:color w:val="262123"/>
                            <w:spacing w:val="-2"/>
                            <w:w w:val="110"/>
                            <w:sz w:val="19"/>
                          </w:rPr>
                          <w:t>Portuguese</w:t>
                        </w:r>
                      </w:p>
                    </w:txbxContent>
                  </v:textbox>
                  <w10:wrap type="none"/>
                </v:shape>
                <v:shape style="position:absolute;left:13392;top:-386;width:817;height:189" type="#_x0000_t202" id="docshape228" filled="false" stroked="false">
                  <v:textbox inset="0,0,0,0">
                    <w:txbxContent>
                      <w:p>
                        <w:pPr>
                          <w:spacing w:line="188" w:lineRule="exact" w:before="0"/>
                          <w:ind w:left="0" w:right="0" w:firstLine="0"/>
                          <w:jc w:val="left"/>
                          <w:rPr>
                            <w:rFonts w:ascii="Times New Roman"/>
                            <w:sz w:val="17"/>
                          </w:rPr>
                        </w:pPr>
                        <w:r>
                          <w:rPr>
                            <w:rFonts w:ascii="Times New Roman"/>
                            <w:color w:val="363133"/>
                            <w:spacing w:val="-2"/>
                            <w:w w:val="115"/>
                            <w:sz w:val="17"/>
                          </w:rPr>
                          <w:t>Portugues</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92128">
                <wp:simplePos x="0" y="0"/>
                <wp:positionH relativeFrom="page">
                  <wp:posOffset>6679903</wp:posOffset>
                </wp:positionH>
                <wp:positionV relativeFrom="paragraph">
                  <wp:posOffset>176705</wp:posOffset>
                </wp:positionV>
                <wp:extent cx="2616200" cy="1270"/>
                <wp:effectExtent l="0" t="0" r="0" b="0"/>
                <wp:wrapNone/>
                <wp:docPr id="315" name="Graphic 315"/>
                <wp:cNvGraphicFramePr>
                  <a:graphicFrameLocks/>
                </wp:cNvGraphicFramePr>
                <a:graphic>
                  <a:graphicData uri="http://schemas.microsoft.com/office/word/2010/wordprocessingShape">
                    <wps:wsp>
                      <wps:cNvPr id="315" name="Graphic 315"/>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13.913815pt;width:206pt;height:.1pt;mso-position-horizontal-relative:page;mso-position-vertical-relative:paragraph;z-index:15792128" id="docshape229" coordorigin="10520,278" coordsize="4120,0" path="m10520,278l11163,278,12580,278,13996,278,14640,278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11072">
            <wp:simplePos x="0" y="0"/>
            <wp:positionH relativeFrom="page">
              <wp:posOffset>9053054</wp:posOffset>
            </wp:positionH>
            <wp:positionV relativeFrom="paragraph">
              <wp:posOffset>225136</wp:posOffset>
            </wp:positionV>
            <wp:extent cx="214299" cy="104140"/>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112" cstate="print"/>
                    <a:stretch>
                      <a:fillRect/>
                    </a:stretch>
                  </pic:blipFill>
                  <pic:spPr>
                    <a:xfrm>
                      <a:off x="0" y="0"/>
                      <a:ext cx="214299" cy="104140"/>
                    </a:xfrm>
                    <a:prstGeom prst="rect">
                      <a:avLst/>
                    </a:prstGeom>
                  </pic:spPr>
                </pic:pic>
              </a:graphicData>
            </a:graphic>
          </wp:anchor>
        </w:drawing>
      </w:r>
      <w:r>
        <w:rPr>
          <w:rFonts w:ascii="Times New Roman"/>
          <w:color w:val="363133"/>
          <w:spacing w:val="-4"/>
          <w:sz w:val="17"/>
        </w:rPr>
        <w:t>A</w:t>
      </w:r>
      <w:r>
        <w:rPr>
          <w:rFonts w:ascii="Times New Roman"/>
          <w:color w:val="363133"/>
          <w:spacing w:val="-7"/>
          <w:sz w:val="17"/>
        </w:rPr>
        <w:t> </w:t>
      </w:r>
      <w:r>
        <w:rPr>
          <w:rFonts w:ascii="Times New Roman"/>
          <w:color w:val="363133"/>
          <w:spacing w:val="-4"/>
          <w:sz w:val="17"/>
        </w:rPr>
        <w:t>interpreta</w:t>
      </w:r>
      <w:r>
        <w:rPr>
          <w:rFonts w:ascii="Times New Roman"/>
          <w:color w:val="363133"/>
          <w:spacing w:val="-7"/>
          <w:sz w:val="17"/>
        </w:rPr>
        <w:t> </w:t>
      </w:r>
      <w:r>
        <w:rPr>
          <w:rFonts w:ascii="Times New Roman"/>
          <w:color w:val="363133"/>
          <w:spacing w:val="-4"/>
          <w:sz w:val="17"/>
        </w:rPr>
        <w:t>ao</w:t>
      </w:r>
      <w:r>
        <w:rPr>
          <w:rFonts w:ascii="Times New Roman"/>
          <w:color w:val="363133"/>
          <w:spacing w:val="-6"/>
          <w:sz w:val="17"/>
        </w:rPr>
        <w:t> </w:t>
      </w:r>
      <w:r>
        <w:rPr>
          <w:rFonts w:ascii="Times New Roman"/>
          <w:color w:val="363133"/>
          <w:spacing w:val="-4"/>
          <w:sz w:val="17"/>
        </w:rPr>
        <w:t>e</w:t>
      </w:r>
      <w:r>
        <w:rPr>
          <w:rFonts w:ascii="Times New Roman"/>
          <w:color w:val="363133"/>
          <w:spacing w:val="-10"/>
          <w:sz w:val="17"/>
        </w:rPr>
        <w:t> </w:t>
      </w:r>
      <w:r>
        <w:rPr>
          <w:rFonts w:ascii="Times New Roman"/>
          <w:color w:val="363133"/>
          <w:spacing w:val="-4"/>
          <w:sz w:val="17"/>
        </w:rPr>
        <w:t>fomecida</w:t>
      </w:r>
      <w:r>
        <w:rPr>
          <w:rFonts w:ascii="Times New Roman"/>
          <w:color w:val="363133"/>
          <w:spacing w:val="-3"/>
          <w:sz w:val="17"/>
        </w:rPr>
        <w:t> </w:t>
      </w:r>
      <w:r>
        <w:rPr>
          <w:rFonts w:ascii="Times New Roman"/>
          <w:color w:val="494646"/>
          <w:spacing w:val="-4"/>
          <w:sz w:val="17"/>
        </w:rPr>
        <w:t>sem</w:t>
      </w:r>
      <w:r>
        <w:rPr>
          <w:rFonts w:ascii="Times New Roman"/>
          <w:color w:val="494646"/>
          <w:spacing w:val="-3"/>
          <w:sz w:val="17"/>
        </w:rPr>
        <w:t> </w:t>
      </w:r>
      <w:r>
        <w:rPr>
          <w:rFonts w:ascii="Times New Roman"/>
          <w:color w:val="363133"/>
          <w:spacing w:val="-4"/>
          <w:sz w:val="17"/>
        </w:rPr>
        <w:t>qualquer</w:t>
      </w:r>
      <w:r>
        <w:rPr>
          <w:rFonts w:ascii="Times New Roman"/>
          <w:color w:val="363133"/>
          <w:spacing w:val="-2"/>
          <w:sz w:val="17"/>
        </w:rPr>
        <w:t> </w:t>
      </w:r>
      <w:r>
        <w:rPr>
          <w:rFonts w:ascii="Times New Roman"/>
          <w:color w:val="363133"/>
          <w:spacing w:val="-4"/>
          <w:sz w:val="17"/>
        </w:rPr>
        <w:t>custo para</w:t>
      </w:r>
      <w:r>
        <w:rPr>
          <w:rFonts w:ascii="Times New Roman"/>
          <w:color w:val="363133"/>
          <w:spacing w:val="-1"/>
          <w:sz w:val="17"/>
        </w:rPr>
        <w:t> </w:t>
      </w:r>
      <w:r>
        <w:rPr>
          <w:rFonts w:ascii="Times New Roman"/>
          <w:color w:val="494646"/>
          <w:spacing w:val="-4"/>
          <w:sz w:val="17"/>
        </w:rPr>
        <w:t>voce</w:t>
      </w:r>
      <w:r>
        <w:rPr>
          <w:rFonts w:ascii="Times New Roman"/>
          <w:color w:val="625E60"/>
          <w:spacing w:val="-4"/>
          <w:sz w:val="17"/>
        </w:rPr>
        <w:t>.</w:t>
      </w:r>
    </w:p>
    <w:p>
      <w:pPr>
        <w:pStyle w:val="ListParagraph"/>
        <w:numPr>
          <w:ilvl w:val="0"/>
          <w:numId w:val="41"/>
        </w:numPr>
        <w:tabs>
          <w:tab w:pos="355" w:val="left" w:leader="none"/>
          <w:tab w:pos="373" w:val="left" w:leader="none"/>
        </w:tabs>
        <w:spacing w:line="276" w:lineRule="auto" w:before="0" w:after="0"/>
        <w:ind w:left="373" w:right="629" w:hanging="173"/>
        <w:jc w:val="left"/>
        <w:rPr>
          <w:rFonts w:ascii="Times New Roman" w:hAnsi="Times New Roman"/>
          <w:sz w:val="17"/>
        </w:rPr>
      </w:pPr>
      <w:r>
        <w:rPr/>
        <w:br w:type="column"/>
      </w:r>
      <w:r>
        <w:rPr>
          <w:rFonts w:ascii="Arial" w:hAnsi="Arial"/>
          <w:color w:val="363133"/>
          <w:w w:val="115"/>
          <w:sz w:val="19"/>
        </w:rPr>
        <w:t>If </w:t>
      </w:r>
      <w:r>
        <w:rPr>
          <w:rFonts w:ascii="Times New Roman" w:hAnsi="Times New Roman"/>
          <w:color w:val="363133"/>
          <w:w w:val="115"/>
          <w:sz w:val="17"/>
        </w:rPr>
        <w:t>you are unable to identify the language, our representative will help you.</w:t>
      </w:r>
    </w:p>
    <w:p>
      <w:pPr>
        <w:spacing w:after="0" w:line="276" w:lineRule="auto"/>
        <w:jc w:val="left"/>
        <w:rPr>
          <w:rFonts w:ascii="Times New Roman" w:hAnsi="Times New Roman"/>
          <w:sz w:val="17"/>
        </w:rPr>
        <w:sectPr>
          <w:type w:val="continuous"/>
          <w:pgSz w:w="20160" w:h="12240" w:orient="landscape"/>
          <w:pgMar w:header="0" w:footer="0" w:top="1820" w:bottom="280" w:left="380" w:right="120"/>
          <w:cols w:num="4" w:equalWidth="0">
            <w:col w:w="4272" w:space="732"/>
            <w:col w:w="4251" w:space="792"/>
            <w:col w:w="3953" w:space="985"/>
            <w:col w:w="4675"/>
          </w:cols>
        </w:sectPr>
      </w:pPr>
    </w:p>
    <w:p>
      <w:pPr>
        <w:pStyle w:val="BodyText"/>
        <w:spacing w:before="5"/>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317" name="Group 317"/>
                <wp:cNvGraphicFramePr>
                  <a:graphicFrameLocks/>
                </wp:cNvGraphicFramePr>
                <a:graphic>
                  <a:graphicData uri="http://schemas.microsoft.com/office/word/2010/wordprocessingGroup">
                    <wpg:wgp>
                      <wpg:cNvPr id="317" name="Group 317"/>
                      <wpg:cNvGrpSpPr/>
                      <wpg:grpSpPr>
                        <a:xfrm>
                          <a:off x="0" y="0"/>
                          <a:ext cx="2616200" cy="3175"/>
                          <a:chExt cx="2616200" cy="3175"/>
                        </a:xfrm>
                      </wpg:grpSpPr>
                      <wps:wsp>
                        <wps:cNvPr id="318" name="Graphic 31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30" coordorigin="0,0" coordsize="4120,5">
                <v:shape style="position:absolute;left:0;top:2;width:4120;height:2" id="docshape23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048" w:val="left" w:leader="none"/>
        </w:tabs>
        <w:spacing w:before="0"/>
        <w:ind w:left="207" w:right="0" w:firstLine="0"/>
        <w:jc w:val="left"/>
        <w:rPr>
          <w:rFonts w:ascii="Arial"/>
          <w:sz w:val="14"/>
        </w:rPr>
      </w:pPr>
      <w:r>
        <w:rPr/>
        <w:drawing>
          <wp:anchor distT="0" distB="0" distL="0" distR="0" allowOverlap="1" layoutInCell="1" locked="0" behindDoc="0" simplePos="0" relativeHeight="15799296">
            <wp:simplePos x="0" y="0"/>
            <wp:positionH relativeFrom="page">
              <wp:posOffset>2713955</wp:posOffset>
            </wp:positionH>
            <wp:positionV relativeFrom="paragraph">
              <wp:posOffset>41428</wp:posOffset>
            </wp:positionV>
            <wp:extent cx="214306" cy="104140"/>
            <wp:effectExtent l="0" t="0" r="0" b="0"/>
            <wp:wrapNone/>
            <wp:docPr id="319" name="Image 319"/>
            <wp:cNvGraphicFramePr>
              <a:graphicFrameLocks/>
            </wp:cNvGraphicFramePr>
            <a:graphic>
              <a:graphicData uri="http://schemas.openxmlformats.org/drawingml/2006/picture">
                <pic:pic>
                  <pic:nvPicPr>
                    <pic:cNvPr id="319" name="Image 319"/>
                    <pic:cNvPicPr/>
                  </pic:nvPicPr>
                  <pic:blipFill>
                    <a:blip r:embed="rId107" cstate="print"/>
                    <a:stretch>
                      <a:fillRect/>
                    </a:stretch>
                  </pic:blipFill>
                  <pic:spPr>
                    <a:xfrm>
                      <a:off x="0" y="0"/>
                      <a:ext cx="214306" cy="104140"/>
                    </a:xfrm>
                    <a:prstGeom prst="rect">
                      <a:avLst/>
                    </a:prstGeom>
                  </pic:spPr>
                </pic:pic>
              </a:graphicData>
            </a:graphic>
          </wp:anchor>
        </w:drawing>
      </w:r>
      <w:r>
        <w:rPr>
          <w:rFonts w:ascii="Times New Roman"/>
          <w:b/>
          <w:color w:val="262123"/>
          <w:spacing w:val="-4"/>
          <w:w w:val="115"/>
          <w:sz w:val="19"/>
        </w:rPr>
        <w:t>Greek</w:t>
      </w:r>
      <w:r>
        <w:rPr>
          <w:rFonts w:ascii="Times New Roman"/>
          <w:b/>
          <w:color w:val="262123"/>
          <w:sz w:val="19"/>
        </w:rPr>
        <w:tab/>
      </w:r>
      <w:r>
        <w:rPr>
          <w:rFonts w:ascii="Arial"/>
          <w:color w:val="363133"/>
          <w:spacing w:val="-2"/>
          <w:w w:val="115"/>
          <w:sz w:val="14"/>
        </w:rPr>
        <w:t>E)),T]VtKa</w:t>
      </w:r>
    </w:p>
    <w:p>
      <w:pPr>
        <w:spacing w:line="240" w:lineRule="auto" w:before="5"/>
        <w:rPr>
          <w:rFonts w:ascii="Arial"/>
          <w:sz w:val="4"/>
        </w:rPr>
      </w:pPr>
      <w:r>
        <w:rPr/>
        <w:br w:type="column"/>
      </w:r>
      <w:r>
        <w:rPr>
          <w:rFonts w:ascii="Arial"/>
          <w:sz w:val="4"/>
        </w:rPr>
      </w:r>
    </w:p>
    <w:p>
      <w:pPr>
        <w:pStyle w:val="BodyText"/>
        <w:spacing w:line="20" w:lineRule="exact"/>
        <w:ind w:left="139" w:right="-72"/>
        <w:rPr>
          <w:rFonts w:ascii="Arial"/>
          <w:sz w:val="2"/>
        </w:rPr>
      </w:pPr>
      <w:r>
        <w:rPr>
          <w:rFonts w:ascii="Arial"/>
          <w:sz w:val="2"/>
        </w:rPr>
        <mc:AlternateContent>
          <mc:Choice Requires="wps">
            <w:drawing>
              <wp:inline distT="0" distB="0" distL="0" distR="0">
                <wp:extent cx="2616200" cy="3175"/>
                <wp:effectExtent l="9525" t="0" r="0" b="6350"/>
                <wp:docPr id="320" name="Group 320"/>
                <wp:cNvGraphicFramePr>
                  <a:graphicFrameLocks/>
                </wp:cNvGraphicFramePr>
                <a:graphic>
                  <a:graphicData uri="http://schemas.microsoft.com/office/word/2010/wordprocessingGroup">
                    <wpg:wgp>
                      <wpg:cNvPr id="320" name="Group 320"/>
                      <wpg:cNvGrpSpPr/>
                      <wpg:grpSpPr>
                        <a:xfrm>
                          <a:off x="0" y="0"/>
                          <a:ext cx="2616200" cy="3175"/>
                          <a:chExt cx="2616200" cy="3175"/>
                        </a:xfrm>
                      </wpg:grpSpPr>
                      <wps:wsp>
                        <wps:cNvPr id="321" name="Graphic 32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32" coordorigin="0,0" coordsize="4120,5">
                <v:shape style="position:absolute;left:0;top:2;width:4120;height:2" id="docshape233"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2833" w:val="left" w:leader="none"/>
        </w:tabs>
        <w:spacing w:line="207" w:lineRule="exact" w:before="0"/>
        <w:ind w:left="207" w:right="0" w:firstLine="0"/>
        <w:jc w:val="left"/>
        <w:rPr>
          <w:rFonts w:ascii="Times New Roman"/>
          <w:sz w:val="17"/>
        </w:rPr>
      </w:pPr>
      <w:r>
        <w:rPr/>
        <w:drawing>
          <wp:anchor distT="0" distB="0" distL="0" distR="0" allowOverlap="1" layoutInCell="1" locked="0" behindDoc="0" simplePos="0" relativeHeight="15806464">
            <wp:simplePos x="0" y="0"/>
            <wp:positionH relativeFrom="page">
              <wp:posOffset>5878054</wp:posOffset>
            </wp:positionH>
            <wp:positionV relativeFrom="paragraph">
              <wp:posOffset>38375</wp:posOffset>
            </wp:positionV>
            <wp:extent cx="214306" cy="104140"/>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07" cstate="print"/>
                    <a:stretch>
                      <a:fillRect/>
                    </a:stretch>
                  </pic:blipFill>
                  <pic:spPr>
                    <a:xfrm>
                      <a:off x="0" y="0"/>
                      <a:ext cx="214306" cy="104140"/>
                    </a:xfrm>
                    <a:prstGeom prst="rect">
                      <a:avLst/>
                    </a:prstGeom>
                  </pic:spPr>
                </pic:pic>
              </a:graphicData>
            </a:graphic>
          </wp:anchor>
        </w:drawing>
      </w:r>
      <w:r>
        <w:rPr>
          <w:rFonts w:ascii="Times New Roman"/>
          <w:b/>
          <w:color w:val="262123"/>
          <w:spacing w:val="-2"/>
          <w:sz w:val="19"/>
        </w:rPr>
        <w:t>Ukrainian</w:t>
      </w:r>
      <w:r>
        <w:rPr>
          <w:rFonts w:ascii="Times New Roman"/>
          <w:b/>
          <w:color w:val="262123"/>
          <w:sz w:val="19"/>
        </w:rPr>
        <w:tab/>
      </w:r>
      <w:r>
        <w:rPr>
          <w:rFonts w:ascii="Times New Roman"/>
          <w:color w:val="363133"/>
          <w:spacing w:val="-2"/>
          <w:sz w:val="17"/>
        </w:rPr>
        <w:t>YKpai:HChKa</w:t>
      </w:r>
    </w:p>
    <w:p>
      <w:pPr>
        <w:spacing w:before="54"/>
        <w:ind w:left="207" w:right="0" w:firstLine="0"/>
        <w:jc w:val="left"/>
        <w:rPr>
          <w:rFonts w:ascii="Times New Roman"/>
          <w:b/>
          <w:sz w:val="19"/>
        </w:rPr>
      </w:pPr>
      <w:r>
        <w:rPr/>
        <w:br w:type="column"/>
      </w:r>
      <w:r>
        <w:rPr>
          <w:rFonts w:ascii="Times New Roman"/>
          <w:b/>
          <w:color w:val="262123"/>
          <w:spacing w:val="-2"/>
          <w:w w:val="110"/>
          <w:sz w:val="19"/>
        </w:rPr>
        <w:t>Spanish</w:t>
      </w:r>
    </w:p>
    <w:p>
      <w:pPr>
        <w:spacing w:line="195" w:lineRule="exact" w:before="82"/>
        <w:ind w:left="207" w:right="0" w:firstLine="0"/>
        <w:jc w:val="left"/>
        <w:rPr>
          <w:rFonts w:ascii="Times New Roman"/>
          <w:sz w:val="17"/>
        </w:rPr>
      </w:pPr>
      <w:r>
        <w:rPr/>
        <w:br w:type="column"/>
      </w:r>
      <w:r>
        <w:rPr>
          <w:rFonts w:ascii="Times New Roman"/>
          <w:color w:val="363133"/>
          <w:spacing w:val="-2"/>
          <w:w w:val="115"/>
          <w:sz w:val="17"/>
        </w:rPr>
        <w:t>Espanol</w:t>
      </w:r>
    </w:p>
    <w:p>
      <w:pPr>
        <w:spacing w:line="205" w:lineRule="exact" w:before="73"/>
        <w:ind w:left="207" w:right="0" w:firstLine="0"/>
        <w:jc w:val="left"/>
        <w:rPr>
          <w:rFonts w:ascii="Times New Roman"/>
          <w:i/>
          <w:sz w:val="18"/>
        </w:rPr>
      </w:pPr>
      <w:r>
        <w:rPr/>
        <w:br w:type="column"/>
      </w:r>
      <w:r>
        <w:rPr>
          <w:rFonts w:ascii="Times New Roman"/>
          <w:i/>
          <w:color w:val="363133"/>
          <w:w w:val="105"/>
          <w:sz w:val="18"/>
        </w:rPr>
        <w:t>Please</w:t>
      </w:r>
      <w:r>
        <w:rPr>
          <w:rFonts w:ascii="Times New Roman"/>
          <w:i/>
          <w:color w:val="363133"/>
          <w:spacing w:val="-11"/>
          <w:w w:val="105"/>
          <w:sz w:val="18"/>
        </w:rPr>
        <w:t> </w:t>
      </w:r>
      <w:r>
        <w:rPr>
          <w:rFonts w:ascii="Times New Roman"/>
          <w:i/>
          <w:color w:val="363133"/>
          <w:w w:val="105"/>
          <w:sz w:val="18"/>
        </w:rPr>
        <w:t>note:</w:t>
      </w:r>
      <w:r>
        <w:rPr>
          <w:rFonts w:ascii="Times New Roman"/>
          <w:i/>
          <w:color w:val="363133"/>
          <w:spacing w:val="-5"/>
          <w:w w:val="105"/>
          <w:sz w:val="18"/>
        </w:rPr>
        <w:t> </w:t>
      </w:r>
      <w:r>
        <w:rPr>
          <w:rFonts w:ascii="Times New Roman"/>
          <w:i/>
          <w:color w:val="363133"/>
          <w:w w:val="105"/>
          <w:sz w:val="18"/>
        </w:rPr>
        <w:t>Language</w:t>
      </w:r>
      <w:r>
        <w:rPr>
          <w:rFonts w:ascii="Times New Roman"/>
          <w:i/>
          <w:color w:val="363133"/>
          <w:spacing w:val="1"/>
          <w:w w:val="105"/>
          <w:sz w:val="18"/>
        </w:rPr>
        <w:t> </w:t>
      </w:r>
      <w:r>
        <w:rPr>
          <w:rFonts w:ascii="Times New Roman"/>
          <w:i/>
          <w:color w:val="363133"/>
          <w:w w:val="105"/>
          <w:sz w:val="18"/>
        </w:rPr>
        <w:t>Line</w:t>
      </w:r>
      <w:r>
        <w:rPr>
          <w:rFonts w:ascii="Times New Roman"/>
          <w:i/>
          <w:color w:val="363133"/>
          <w:spacing w:val="-8"/>
          <w:w w:val="105"/>
          <w:sz w:val="18"/>
        </w:rPr>
        <w:t> </w:t>
      </w:r>
      <w:r>
        <w:rPr>
          <w:rFonts w:ascii="Times New Roman"/>
          <w:i/>
          <w:color w:val="363133"/>
          <w:w w:val="105"/>
          <w:sz w:val="18"/>
        </w:rPr>
        <w:t>Services</w:t>
      </w:r>
      <w:r>
        <w:rPr>
          <w:rFonts w:ascii="Times New Roman"/>
          <w:i/>
          <w:color w:val="363133"/>
          <w:spacing w:val="-3"/>
          <w:w w:val="105"/>
          <w:sz w:val="18"/>
        </w:rPr>
        <w:t> </w:t>
      </w:r>
      <w:r>
        <w:rPr>
          <w:rFonts w:ascii="Times New Roman"/>
          <w:i/>
          <w:color w:val="363133"/>
          <w:w w:val="105"/>
          <w:sz w:val="18"/>
        </w:rPr>
        <w:t>interprets</w:t>
      </w:r>
      <w:r>
        <w:rPr>
          <w:rFonts w:ascii="Times New Roman"/>
          <w:i/>
          <w:color w:val="363133"/>
          <w:spacing w:val="-7"/>
          <w:w w:val="105"/>
          <w:sz w:val="18"/>
        </w:rPr>
        <w:t> </w:t>
      </w:r>
      <w:r>
        <w:rPr>
          <w:rFonts w:ascii="Times New Roman"/>
          <w:i/>
          <w:color w:val="363133"/>
          <w:spacing w:val="-4"/>
          <w:w w:val="105"/>
          <w:sz w:val="18"/>
        </w:rPr>
        <w:t>from</w:t>
      </w:r>
    </w:p>
    <w:p>
      <w:pPr>
        <w:spacing w:after="0" w:line="205" w:lineRule="exact"/>
        <w:jc w:val="left"/>
        <w:rPr>
          <w:rFonts w:ascii="Times New Roman"/>
          <w:sz w:val="18"/>
        </w:rPr>
        <w:sectPr>
          <w:type w:val="continuous"/>
          <w:pgSz w:w="20160" w:h="12240" w:orient="landscape"/>
          <w:pgMar w:header="0" w:footer="0" w:top="1820" w:bottom="280" w:left="380" w:right="120"/>
          <w:cols w:num="5" w:equalWidth="0">
            <w:col w:w="4272" w:space="728"/>
            <w:col w:w="4255" w:space="794"/>
            <w:col w:w="945" w:space="1964"/>
            <w:col w:w="1297" w:space="718"/>
            <w:col w:w="4687"/>
          </w:cols>
        </w:sectPr>
      </w:pPr>
    </w:p>
    <w:p>
      <w:pPr>
        <w:spacing w:line="188" w:lineRule="exact" w:before="0"/>
        <w:ind w:left="116" w:right="0" w:firstLine="0"/>
        <w:jc w:val="left"/>
        <w:rPr>
          <w:rFonts w:ascii="Times New Roman" w:hAnsi="Times New Roman"/>
          <w:sz w:val="17"/>
        </w:rPr>
      </w:pPr>
      <w:r>
        <w:rPr>
          <w:rFonts w:ascii="Times New Roman" w:hAnsi="Times New Roman"/>
          <w:color w:val="363133"/>
          <w:spacing w:val="-2"/>
          <w:sz w:val="17"/>
        </w:rPr>
        <w:t>Ei&lt;;n</w:t>
      </w:r>
      <w:r>
        <w:rPr>
          <w:rFonts w:ascii="Times New Roman" w:hAnsi="Times New Roman"/>
          <w:color w:val="625E60"/>
          <w:spacing w:val="-2"/>
          <w:sz w:val="17"/>
        </w:rPr>
        <w:t>,</w:t>
      </w:r>
      <w:r>
        <w:rPr>
          <w:rFonts w:ascii="Times New Roman" w:hAnsi="Times New Roman"/>
          <w:color w:val="625E60"/>
          <w:spacing w:val="-9"/>
          <w:sz w:val="17"/>
        </w:rPr>
        <w:t> </w:t>
      </w:r>
      <w:r>
        <w:rPr>
          <w:rFonts w:ascii="Arial" w:hAnsi="Arial"/>
          <w:color w:val="363133"/>
          <w:spacing w:val="-2"/>
          <w:sz w:val="13"/>
        </w:rPr>
        <w:t>TI]</w:t>
      </w:r>
      <w:r>
        <w:rPr>
          <w:rFonts w:ascii="Times New Roman" w:hAnsi="Times New Roman"/>
          <w:color w:val="494646"/>
          <w:spacing w:val="-2"/>
          <w:sz w:val="17"/>
        </w:rPr>
        <w:t>y11.cocma</w:t>
      </w:r>
      <w:r>
        <w:rPr>
          <w:rFonts w:ascii="Times New Roman" w:hAnsi="Times New Roman"/>
          <w:color w:val="494646"/>
          <w:spacing w:val="-5"/>
          <w:sz w:val="17"/>
        </w:rPr>
        <w:t> </w:t>
      </w:r>
      <w:r>
        <w:rPr>
          <w:rFonts w:ascii="Times New Roman" w:hAnsi="Times New Roman"/>
          <w:i/>
          <w:color w:val="363133"/>
          <w:spacing w:val="-2"/>
          <w:sz w:val="18"/>
        </w:rPr>
        <w:t>aw;</w:t>
      </w:r>
      <w:r>
        <w:rPr>
          <w:rFonts w:ascii="Times New Roman" w:hAnsi="Times New Roman"/>
          <w:i/>
          <w:color w:val="363133"/>
          <w:spacing w:val="-12"/>
          <w:sz w:val="18"/>
        </w:rPr>
        <w:t> </w:t>
      </w:r>
      <w:r>
        <w:rPr>
          <w:rFonts w:ascii="Times New Roman" w:hAnsi="Times New Roman"/>
          <w:color w:val="363133"/>
          <w:spacing w:val="-2"/>
          <w:sz w:val="17"/>
        </w:rPr>
        <w:t>Km</w:t>
      </w:r>
      <w:r>
        <w:rPr>
          <w:rFonts w:ascii="Times New Roman" w:hAnsi="Times New Roman"/>
          <w:color w:val="363133"/>
          <w:spacing w:val="-9"/>
          <w:sz w:val="17"/>
        </w:rPr>
        <w:t> </w:t>
      </w:r>
      <w:r>
        <w:rPr>
          <w:rFonts w:ascii="Times New Roman" w:hAnsi="Times New Roman"/>
          <w:color w:val="363133"/>
          <w:spacing w:val="-2"/>
          <w:sz w:val="17"/>
        </w:rPr>
        <w:t>ea</w:t>
      </w:r>
      <w:r>
        <w:rPr>
          <w:rFonts w:ascii="Times New Roman" w:hAnsi="Times New Roman"/>
          <w:color w:val="363133"/>
          <w:spacing w:val="16"/>
          <w:sz w:val="17"/>
        </w:rPr>
        <w:t> </w:t>
      </w:r>
      <w:r>
        <w:rPr>
          <w:rFonts w:ascii="Times New Roman" w:hAnsi="Times New Roman"/>
          <w:color w:val="363133"/>
          <w:spacing w:val="-2"/>
          <w:sz w:val="17"/>
        </w:rPr>
        <w:t>Ka11.foouµE</w:t>
      </w:r>
      <w:r>
        <w:rPr>
          <w:rFonts w:ascii="Times New Roman" w:hAnsi="Times New Roman"/>
          <w:color w:val="363133"/>
          <w:spacing w:val="1"/>
          <w:sz w:val="17"/>
        </w:rPr>
        <w:t> </w:t>
      </w:r>
      <w:r>
        <w:rPr>
          <w:rFonts w:ascii="Times New Roman" w:hAnsi="Times New Roman"/>
          <w:color w:val="494646"/>
          <w:spacing w:val="-2"/>
          <w:sz w:val="17"/>
        </w:rPr>
        <w:t>tva</w:t>
      </w:r>
      <w:r>
        <w:rPr>
          <w:rFonts w:ascii="Times New Roman" w:hAnsi="Times New Roman"/>
          <w:color w:val="494646"/>
          <w:spacing w:val="41"/>
          <w:sz w:val="17"/>
        </w:rPr>
        <w:t> </w:t>
      </w:r>
      <w:r>
        <w:rPr>
          <w:rFonts w:ascii="Times New Roman" w:hAnsi="Times New Roman"/>
          <w:color w:val="363133"/>
          <w:spacing w:val="-5"/>
          <w:sz w:val="17"/>
        </w:rPr>
        <w:t>81£pµ17vfo.</w:t>
      </w:r>
    </w:p>
    <w:p>
      <w:pPr>
        <w:spacing w:before="4"/>
        <w:ind w:left="228" w:right="0" w:firstLine="0"/>
        <w:jc w:val="left"/>
        <w:rPr>
          <w:rFonts w:ascii="Times New Roman" w:hAnsi="Times New Roman"/>
          <w:sz w:val="17"/>
        </w:rPr>
      </w:pPr>
      <w:r>
        <w:rPr>
          <w:rFonts w:ascii="Times New Roman" w:hAnsi="Times New Roman"/>
          <w:color w:val="363133"/>
          <w:spacing w:val="-2"/>
          <w:w w:val="90"/>
          <w:sz w:val="17"/>
        </w:rPr>
        <w:t>0</w:t>
      </w:r>
      <w:r>
        <w:rPr>
          <w:rFonts w:ascii="Times New Roman" w:hAnsi="Times New Roman"/>
          <w:color w:val="363133"/>
          <w:spacing w:val="36"/>
          <w:sz w:val="17"/>
        </w:rPr>
        <w:t> </w:t>
      </w:r>
      <w:r>
        <w:rPr>
          <w:rFonts w:ascii="Times New Roman" w:hAnsi="Times New Roman"/>
          <w:color w:val="494646"/>
          <w:spacing w:val="-2"/>
          <w:w w:val="90"/>
          <w:sz w:val="17"/>
        </w:rPr>
        <w:t>8tEpµ</w:t>
      </w:r>
      <w:r>
        <w:rPr>
          <w:rFonts w:ascii="Times New Roman" w:hAnsi="Times New Roman"/>
          <w:color w:val="262123"/>
          <w:spacing w:val="-2"/>
          <w:w w:val="90"/>
          <w:sz w:val="17"/>
        </w:rPr>
        <w:t>17v</w:t>
      </w:r>
      <w:r>
        <w:rPr>
          <w:rFonts w:ascii="Times New Roman" w:hAnsi="Times New Roman"/>
          <w:color w:val="494646"/>
          <w:spacing w:val="-2"/>
          <w:w w:val="90"/>
          <w:sz w:val="17"/>
        </w:rPr>
        <w:t>fo&lt;;</w:t>
      </w:r>
      <w:r>
        <w:rPr>
          <w:rFonts w:ascii="Times New Roman" w:hAnsi="Times New Roman"/>
          <w:color w:val="363133"/>
          <w:spacing w:val="-2"/>
          <w:w w:val="90"/>
          <w:sz w:val="17"/>
        </w:rPr>
        <w:t>cra&lt;;</w:t>
      </w:r>
      <w:r>
        <w:rPr>
          <w:rFonts w:ascii="Times New Roman" w:hAnsi="Times New Roman"/>
          <w:color w:val="363133"/>
          <w:spacing w:val="-4"/>
          <w:w w:val="90"/>
          <w:sz w:val="17"/>
        </w:rPr>
        <w:t> </w:t>
      </w:r>
      <w:r>
        <w:rPr>
          <w:rFonts w:ascii="Times New Roman" w:hAnsi="Times New Roman"/>
          <w:color w:val="363133"/>
          <w:spacing w:val="-2"/>
          <w:w w:val="90"/>
          <w:sz w:val="17"/>
        </w:rPr>
        <w:t>napEXETat</w:t>
      </w:r>
      <w:r>
        <w:rPr>
          <w:rFonts w:ascii="Times New Roman" w:hAnsi="Times New Roman"/>
          <w:color w:val="363133"/>
          <w:spacing w:val="2"/>
          <w:sz w:val="17"/>
        </w:rPr>
        <w:t> </w:t>
      </w:r>
      <w:r>
        <w:rPr>
          <w:rFonts w:ascii="Times New Roman" w:hAnsi="Times New Roman"/>
          <w:color w:val="494646"/>
          <w:spacing w:val="-2"/>
          <w:w w:val="90"/>
          <w:sz w:val="17"/>
        </w:rPr>
        <w:t>8rupi;av.</w:t>
      </w:r>
    </w:p>
    <w:p>
      <w:pPr>
        <w:pStyle w:val="BodyText"/>
        <w:spacing w:before="3"/>
        <w:rPr>
          <w:rFonts w:ascii="Times New Roman"/>
          <w:sz w:val="5"/>
        </w:rPr>
      </w:pPr>
    </w:p>
    <w:p>
      <w:pPr>
        <w:pStyle w:val="BodyText"/>
        <w:spacing w:line="20" w:lineRule="exact"/>
        <w:ind w:left="140"/>
        <w:rPr>
          <w:rFonts w:ascii="Times New Roman"/>
          <w:sz w:val="2"/>
        </w:rPr>
      </w:pPr>
      <w:r>
        <w:rPr>
          <w:rFonts w:ascii="Times New Roman"/>
          <w:sz w:val="2"/>
        </w:rPr>
        <mc:AlternateContent>
          <mc:Choice Requires="wps">
            <w:drawing>
              <wp:inline distT="0" distB="0" distL="0" distR="0">
                <wp:extent cx="2616200" cy="3175"/>
                <wp:effectExtent l="9525" t="0" r="0" b="6350"/>
                <wp:docPr id="323" name="Group 323"/>
                <wp:cNvGraphicFramePr>
                  <a:graphicFrameLocks/>
                </wp:cNvGraphicFramePr>
                <a:graphic>
                  <a:graphicData uri="http://schemas.microsoft.com/office/word/2010/wordprocessingGroup">
                    <wpg:wgp>
                      <wpg:cNvPr id="323" name="Group 323"/>
                      <wpg:cNvGrpSpPr/>
                      <wpg:grpSpPr>
                        <a:xfrm>
                          <a:off x="0" y="0"/>
                          <a:ext cx="2616200" cy="3175"/>
                          <a:chExt cx="2616200" cy="3175"/>
                        </a:xfrm>
                      </wpg:grpSpPr>
                      <wps:wsp>
                        <wps:cNvPr id="324" name="Graphic 324"/>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34" coordorigin="0,0" coordsize="4120,5">
                <v:shape style="position:absolute;left:0;top:2;width:4120;height:2" id="docshape235" coordorigin="0,3" coordsize="4120,0" path="m0,2l644,2,2060,2,3476,2,4120,2e" filled="false" stroked="true" strokeweight=".25pt" strokecolor="#231f20">
                  <v:path arrowok="t"/>
                  <v:stroke dashstyle="solid"/>
                </v:shape>
              </v:group>
            </w:pict>
          </mc:Fallback>
        </mc:AlternateContent>
      </w:r>
      <w:r>
        <w:rPr>
          <w:rFonts w:ascii="Times New Roman"/>
          <w:sz w:val="2"/>
        </w:rPr>
      </w:r>
    </w:p>
    <w:p>
      <w:pPr>
        <w:tabs>
          <w:tab w:pos="3191" w:val="left" w:leader="none"/>
        </w:tabs>
        <w:spacing w:before="0"/>
        <w:ind w:left="206" w:right="0" w:firstLine="0"/>
        <w:jc w:val="left"/>
        <w:rPr>
          <w:rFonts w:ascii="Times New Roman"/>
          <w:sz w:val="17"/>
        </w:rPr>
      </w:pPr>
      <w:r>
        <w:rPr/>
        <w:drawing>
          <wp:anchor distT="0" distB="0" distL="0" distR="0" allowOverlap="1" layoutInCell="1" locked="0" behindDoc="0" simplePos="0" relativeHeight="15799808">
            <wp:simplePos x="0" y="0"/>
            <wp:positionH relativeFrom="page">
              <wp:posOffset>2713955</wp:posOffset>
            </wp:positionH>
            <wp:positionV relativeFrom="paragraph">
              <wp:posOffset>45122</wp:posOffset>
            </wp:positionV>
            <wp:extent cx="214306" cy="104140"/>
            <wp:effectExtent l="0" t="0" r="0" b="0"/>
            <wp:wrapNone/>
            <wp:docPr id="325" name="Image 325"/>
            <wp:cNvGraphicFramePr>
              <a:graphicFrameLocks/>
            </wp:cNvGraphicFramePr>
            <a:graphic>
              <a:graphicData uri="http://schemas.openxmlformats.org/drawingml/2006/picture">
                <pic:pic>
                  <pic:nvPicPr>
                    <pic:cNvPr id="325" name="Image 325"/>
                    <pic:cNvPicPr/>
                  </pic:nvPicPr>
                  <pic:blipFill>
                    <a:blip r:embed="rId109" cstate="print"/>
                    <a:stretch>
                      <a:fillRect/>
                    </a:stretch>
                  </pic:blipFill>
                  <pic:spPr>
                    <a:xfrm>
                      <a:off x="0" y="0"/>
                      <a:ext cx="214306" cy="104140"/>
                    </a:xfrm>
                    <a:prstGeom prst="rect">
                      <a:avLst/>
                    </a:prstGeom>
                  </pic:spPr>
                </pic:pic>
              </a:graphicData>
            </a:graphic>
          </wp:anchor>
        </w:drawing>
      </w:r>
      <w:r>
        <w:rPr>
          <w:rFonts w:ascii="Times New Roman"/>
          <w:b/>
          <w:color w:val="262123"/>
          <w:spacing w:val="-2"/>
          <w:w w:val="110"/>
          <w:sz w:val="19"/>
        </w:rPr>
        <w:t>Hungarian</w:t>
      </w:r>
      <w:r>
        <w:rPr>
          <w:rFonts w:ascii="Times New Roman"/>
          <w:b/>
          <w:color w:val="262123"/>
          <w:sz w:val="19"/>
        </w:rPr>
        <w:tab/>
      </w:r>
      <w:r>
        <w:rPr>
          <w:rFonts w:ascii="Times New Roman"/>
          <w:color w:val="363133"/>
          <w:spacing w:val="-2"/>
          <w:w w:val="110"/>
          <w:sz w:val="17"/>
        </w:rPr>
        <w:t>Magyar</w:t>
      </w:r>
    </w:p>
    <w:p>
      <w:pPr>
        <w:spacing w:before="15"/>
        <w:ind w:left="219" w:right="278" w:hanging="6"/>
        <w:jc w:val="left"/>
        <w:rPr>
          <w:rFonts w:ascii="Times New Roman"/>
          <w:sz w:val="17"/>
        </w:rPr>
      </w:pPr>
      <w:r>
        <w:rPr>
          <w:rFonts w:ascii="Times New Roman"/>
          <w:color w:val="363133"/>
          <w:w w:val="105"/>
          <w:sz w:val="17"/>
        </w:rPr>
        <w:t>Mutasson ra</w:t>
      </w:r>
      <w:r>
        <w:rPr>
          <w:rFonts w:ascii="Times New Roman"/>
          <w:color w:val="363133"/>
          <w:spacing w:val="-5"/>
          <w:w w:val="105"/>
          <w:sz w:val="17"/>
        </w:rPr>
        <w:t> </w:t>
      </w:r>
      <w:r>
        <w:rPr>
          <w:rFonts w:ascii="Times New Roman"/>
          <w:color w:val="363133"/>
          <w:w w:val="105"/>
          <w:sz w:val="17"/>
        </w:rPr>
        <w:t>erre</w:t>
      </w:r>
      <w:r>
        <w:rPr>
          <w:rFonts w:ascii="Times New Roman"/>
          <w:color w:val="363133"/>
          <w:spacing w:val="-10"/>
          <w:w w:val="105"/>
          <w:sz w:val="17"/>
        </w:rPr>
        <w:t> </w:t>
      </w:r>
      <w:r>
        <w:rPr>
          <w:rFonts w:ascii="Times New Roman"/>
          <w:color w:val="363133"/>
          <w:w w:val="105"/>
          <w:sz w:val="17"/>
        </w:rPr>
        <w:t>a</w:t>
      </w:r>
      <w:r>
        <w:rPr>
          <w:rFonts w:ascii="Times New Roman"/>
          <w:color w:val="363133"/>
          <w:spacing w:val="-5"/>
          <w:w w:val="105"/>
          <w:sz w:val="17"/>
        </w:rPr>
        <w:t> </w:t>
      </w:r>
      <w:r>
        <w:rPr>
          <w:rFonts w:ascii="Times New Roman"/>
          <w:color w:val="363133"/>
          <w:w w:val="105"/>
          <w:sz w:val="17"/>
        </w:rPr>
        <w:t>nyelvre.</w:t>
      </w:r>
      <w:r>
        <w:rPr>
          <w:rFonts w:ascii="Times New Roman"/>
          <w:color w:val="363133"/>
          <w:spacing w:val="-3"/>
          <w:w w:val="105"/>
          <w:sz w:val="17"/>
        </w:rPr>
        <w:t> </w:t>
      </w:r>
      <w:r>
        <w:rPr>
          <w:rFonts w:ascii="Times New Roman"/>
          <w:color w:val="363133"/>
          <w:w w:val="105"/>
          <w:sz w:val="17"/>
        </w:rPr>
        <w:t>Tolmacsot fogunk</w:t>
      </w:r>
      <w:r>
        <w:rPr>
          <w:rFonts w:ascii="Times New Roman"/>
          <w:color w:val="363133"/>
          <w:spacing w:val="-1"/>
          <w:w w:val="105"/>
          <w:sz w:val="17"/>
        </w:rPr>
        <w:t> </w:t>
      </w:r>
      <w:r>
        <w:rPr>
          <w:rFonts w:ascii="Times New Roman"/>
          <w:color w:val="363133"/>
          <w:w w:val="105"/>
          <w:sz w:val="17"/>
        </w:rPr>
        <w:t>hivni. A tolmacs az On szamara dijtalan.</w:t>
      </w:r>
    </w:p>
    <w:p>
      <w:pPr>
        <w:pStyle w:val="BodyText"/>
        <w:spacing w:before="4"/>
        <w:rPr>
          <w:rFonts w:ascii="Times New Roman"/>
          <w:sz w:val="5"/>
        </w:rPr>
      </w:pPr>
    </w:p>
    <w:p>
      <w:pPr>
        <w:pStyle w:val="BodyText"/>
        <w:spacing w:line="20" w:lineRule="exact"/>
        <w:ind w:left="140"/>
        <w:rPr>
          <w:rFonts w:ascii="Times New Roman"/>
          <w:sz w:val="2"/>
        </w:rPr>
      </w:pPr>
      <w:r>
        <w:rPr>
          <w:rFonts w:ascii="Times New Roman"/>
          <w:sz w:val="2"/>
        </w:rPr>
        <mc:AlternateContent>
          <mc:Choice Requires="wps">
            <w:drawing>
              <wp:inline distT="0" distB="0" distL="0" distR="0">
                <wp:extent cx="2616200" cy="3175"/>
                <wp:effectExtent l="9525" t="0" r="0" b="6350"/>
                <wp:docPr id="326" name="Group 326"/>
                <wp:cNvGraphicFramePr>
                  <a:graphicFrameLocks/>
                </wp:cNvGraphicFramePr>
                <a:graphic>
                  <a:graphicData uri="http://schemas.microsoft.com/office/word/2010/wordprocessingGroup">
                    <wpg:wgp>
                      <wpg:cNvPr id="326" name="Group 326"/>
                      <wpg:cNvGrpSpPr/>
                      <wpg:grpSpPr>
                        <a:xfrm>
                          <a:off x="0" y="0"/>
                          <a:ext cx="2616200" cy="3175"/>
                          <a:chExt cx="2616200" cy="3175"/>
                        </a:xfrm>
                      </wpg:grpSpPr>
                      <wps:wsp>
                        <wps:cNvPr id="327" name="Graphic 327"/>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36" coordorigin="0,0" coordsize="4120,5">
                <v:shape style="position:absolute;left:0;top:2;width:4120;height:2" id="docshape237" coordorigin="0,3" coordsize="4120,0" path="m0,2l644,2,2060,2,3476,2,4120,2e" filled="false" stroked="true" strokeweight=".25pt" strokecolor="#231f20">
                  <v:path arrowok="t"/>
                  <v:stroke dashstyle="solid"/>
                </v:shape>
              </v:group>
            </w:pict>
          </mc:Fallback>
        </mc:AlternateContent>
      </w:r>
      <w:r>
        <w:rPr>
          <w:rFonts w:ascii="Times New Roman"/>
          <w:sz w:val="2"/>
        </w:rPr>
      </w:r>
    </w:p>
    <w:p>
      <w:pPr>
        <w:spacing w:line="242" w:lineRule="auto" w:before="0"/>
        <w:ind w:left="137" w:right="523" w:hanging="3"/>
        <w:jc w:val="left"/>
        <w:rPr>
          <w:rFonts w:ascii="Times New Roman"/>
          <w:sz w:val="17"/>
        </w:rPr>
      </w:pPr>
      <w:r>
        <w:rPr/>
        <w:br w:type="column"/>
      </w:r>
      <w:r>
        <w:rPr>
          <w:rFonts w:ascii="Times New Roman"/>
          <w:color w:val="363133"/>
          <w:w w:val="80"/>
          <w:sz w:val="17"/>
        </w:rPr>
        <w:t>BKalKiTb</w:t>
      </w:r>
      <w:r>
        <w:rPr>
          <w:rFonts w:ascii="Times New Roman"/>
          <w:color w:val="363133"/>
          <w:spacing w:val="-6"/>
          <w:sz w:val="17"/>
        </w:rPr>
        <w:t> </w:t>
      </w:r>
      <w:r>
        <w:rPr>
          <w:rFonts w:ascii="Times New Roman"/>
          <w:color w:val="363133"/>
          <w:w w:val="80"/>
          <w:sz w:val="17"/>
        </w:rPr>
        <w:t>Barny</w:t>
      </w:r>
      <w:r>
        <w:rPr>
          <w:rFonts w:ascii="Times New Roman"/>
          <w:color w:val="363133"/>
          <w:spacing w:val="-5"/>
          <w:sz w:val="17"/>
        </w:rPr>
        <w:t> </w:t>
      </w:r>
      <w:r>
        <w:rPr>
          <w:rFonts w:ascii="Times New Roman"/>
          <w:color w:val="494646"/>
          <w:w w:val="80"/>
          <w:sz w:val="17"/>
        </w:rPr>
        <w:t>M0By</w:t>
      </w:r>
      <w:r>
        <w:rPr>
          <w:rFonts w:ascii="Times New Roman"/>
          <w:color w:val="262123"/>
          <w:w w:val="80"/>
          <w:sz w:val="17"/>
        </w:rPr>
        <w:t>.</w:t>
      </w:r>
      <w:r>
        <w:rPr>
          <w:rFonts w:ascii="Times New Roman"/>
          <w:color w:val="262123"/>
          <w:spacing w:val="-6"/>
          <w:w w:val="80"/>
          <w:sz w:val="17"/>
        </w:rPr>
        <w:t> </w:t>
      </w:r>
      <w:r>
        <w:rPr>
          <w:rFonts w:ascii="Times New Roman"/>
          <w:color w:val="363133"/>
          <w:w w:val="80"/>
          <w:sz w:val="17"/>
        </w:rPr>
        <w:t>BaM</w:t>
      </w:r>
      <w:r>
        <w:rPr>
          <w:rFonts w:ascii="Times New Roman"/>
          <w:color w:val="363133"/>
          <w:spacing w:val="-1"/>
          <w:sz w:val="17"/>
        </w:rPr>
        <w:t> </w:t>
      </w:r>
      <w:r>
        <w:rPr>
          <w:rFonts w:ascii="Times New Roman"/>
          <w:color w:val="363133"/>
          <w:w w:val="80"/>
          <w:sz w:val="17"/>
        </w:rPr>
        <w:t>BHKJ1HYYTb</w:t>
      </w:r>
      <w:r>
        <w:rPr>
          <w:rFonts w:ascii="Times New Roman"/>
          <w:color w:val="363133"/>
          <w:spacing w:val="1"/>
          <w:sz w:val="17"/>
        </w:rPr>
        <w:t> </w:t>
      </w:r>
      <w:r>
        <w:rPr>
          <w:rFonts w:ascii="Times New Roman"/>
          <w:color w:val="363133"/>
          <w:w w:val="80"/>
          <w:sz w:val="17"/>
        </w:rPr>
        <w:t>nepeKJJa</w:t>
      </w:r>
      <w:r>
        <w:rPr>
          <w:rFonts w:ascii="Times New Roman"/>
          <w:color w:val="625E60"/>
          <w:w w:val="80"/>
          <w:sz w:val="17"/>
        </w:rPr>
        <w:t>,[l,</w:t>
      </w:r>
      <w:r>
        <w:rPr>
          <w:rFonts w:ascii="Times New Roman"/>
          <w:color w:val="363133"/>
          <w:w w:val="80"/>
          <w:sz w:val="17"/>
        </w:rPr>
        <w:t>aYa.</w:t>
      </w:r>
      <w:r>
        <w:rPr>
          <w:rFonts w:ascii="Times New Roman"/>
          <w:color w:val="363133"/>
          <w:sz w:val="17"/>
        </w:rPr>
        <w:t> </w:t>
      </w:r>
      <w:r>
        <w:rPr>
          <w:rFonts w:ascii="Times New Roman"/>
          <w:color w:val="363133"/>
          <w:spacing w:val="-2"/>
          <w:w w:val="80"/>
          <w:sz w:val="17"/>
        </w:rPr>
        <w:t>TTocnyrH</w:t>
      </w:r>
      <w:r>
        <w:rPr>
          <w:rFonts w:ascii="Times New Roman"/>
          <w:color w:val="363133"/>
          <w:spacing w:val="36"/>
          <w:sz w:val="17"/>
        </w:rPr>
        <w:t> </w:t>
      </w:r>
      <w:r>
        <w:rPr>
          <w:rFonts w:ascii="Times New Roman"/>
          <w:color w:val="363133"/>
          <w:spacing w:val="-2"/>
          <w:w w:val="80"/>
          <w:sz w:val="17"/>
        </w:rPr>
        <w:t>nepeKJJa,11,aqa</w:t>
      </w:r>
      <w:r>
        <w:rPr>
          <w:rFonts w:ascii="Times New Roman"/>
          <w:color w:val="363133"/>
          <w:sz w:val="17"/>
        </w:rPr>
        <w:t> </w:t>
      </w:r>
      <w:r>
        <w:rPr>
          <w:rFonts w:ascii="Times New Roman"/>
          <w:color w:val="363133"/>
          <w:spacing w:val="-2"/>
          <w:w w:val="80"/>
          <w:sz w:val="17"/>
        </w:rPr>
        <w:t>Ha,11,aJOTbCll</w:t>
      </w:r>
      <w:r>
        <w:rPr>
          <w:rFonts w:ascii="Times New Roman"/>
          <w:color w:val="363133"/>
          <w:sz w:val="17"/>
        </w:rPr>
        <w:t> </w:t>
      </w:r>
      <w:r>
        <w:rPr>
          <w:rFonts w:ascii="Times New Roman"/>
          <w:color w:val="363133"/>
          <w:spacing w:val="-2"/>
          <w:w w:val="80"/>
          <w:sz w:val="17"/>
        </w:rPr>
        <w:t>6e3KOIUTOBHO</w:t>
      </w:r>
      <w:r>
        <w:rPr>
          <w:rFonts w:ascii="Times New Roman"/>
          <w:color w:val="625E60"/>
          <w:spacing w:val="-2"/>
          <w:w w:val="80"/>
          <w:sz w:val="17"/>
        </w:rPr>
        <w:t>.</w:t>
      </w:r>
    </w:p>
    <w:p>
      <w:pPr>
        <w:pStyle w:val="BodyText"/>
        <w:spacing w:before="7"/>
        <w:rPr>
          <w:rFonts w:ascii="Times New Roman"/>
          <w:sz w:val="4"/>
        </w:rPr>
      </w:pPr>
    </w:p>
    <w:p>
      <w:pPr>
        <w:pStyle w:val="BodyText"/>
        <w:spacing w:line="20" w:lineRule="exact"/>
        <w:ind w:left="50" w:right="-29"/>
        <w:rPr>
          <w:rFonts w:ascii="Times New Roman"/>
          <w:sz w:val="2"/>
        </w:rPr>
      </w:pPr>
      <w:r>
        <w:rPr>
          <w:rFonts w:ascii="Times New Roman"/>
          <w:sz w:val="2"/>
        </w:rPr>
        <mc:AlternateContent>
          <mc:Choice Requires="wps">
            <w:drawing>
              <wp:inline distT="0" distB="0" distL="0" distR="0">
                <wp:extent cx="2616200" cy="3175"/>
                <wp:effectExtent l="9525" t="0" r="0" b="6350"/>
                <wp:docPr id="328" name="Group 328"/>
                <wp:cNvGraphicFramePr>
                  <a:graphicFrameLocks/>
                </wp:cNvGraphicFramePr>
                <a:graphic>
                  <a:graphicData uri="http://schemas.microsoft.com/office/word/2010/wordprocessingGroup">
                    <wpg:wgp>
                      <wpg:cNvPr id="328" name="Group 328"/>
                      <wpg:cNvGrpSpPr/>
                      <wpg:grpSpPr>
                        <a:xfrm>
                          <a:off x="0" y="0"/>
                          <a:ext cx="2616200" cy="3175"/>
                          <a:chExt cx="2616200" cy="3175"/>
                        </a:xfrm>
                      </wpg:grpSpPr>
                      <wps:wsp>
                        <wps:cNvPr id="329" name="Graphic 32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38" coordorigin="0,0" coordsize="4120,5">
                <v:shape style="position:absolute;left:0;top:2;width:4120;height:2" id="docshape239" coordorigin="0,3" coordsize="4120,0" path="m0,2l644,2,2060,2,3476,2,4120,2e" filled="false" stroked="true" strokeweight=".25pt" strokecolor="#231f20">
                  <v:path arrowok="t"/>
                  <v:stroke dashstyle="solid"/>
                </v:shape>
              </v:group>
            </w:pict>
          </mc:Fallback>
        </mc:AlternateContent>
      </w:r>
      <w:r>
        <w:rPr>
          <w:rFonts w:ascii="Times New Roman"/>
          <w:sz w:val="2"/>
        </w:rPr>
      </w:r>
    </w:p>
    <w:p>
      <w:pPr>
        <w:spacing w:before="0"/>
        <w:ind w:left="116" w:right="0" w:firstLine="0"/>
        <w:jc w:val="left"/>
        <w:rPr>
          <w:rFonts w:ascii="Times New Roman"/>
          <w:b/>
          <w:sz w:val="19"/>
        </w:rPr>
      </w:pPr>
      <w:r>
        <w:rPr/>
        <w:drawing>
          <wp:anchor distT="0" distB="0" distL="0" distR="0" allowOverlap="1" layoutInCell="1" locked="0" behindDoc="0" simplePos="0" relativeHeight="15806976">
            <wp:simplePos x="0" y="0"/>
            <wp:positionH relativeFrom="page">
              <wp:posOffset>5878054</wp:posOffset>
            </wp:positionH>
            <wp:positionV relativeFrom="paragraph">
              <wp:posOffset>45122</wp:posOffset>
            </wp:positionV>
            <wp:extent cx="214306" cy="10414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09" cstate="print"/>
                    <a:stretch>
                      <a:fillRect/>
                    </a:stretch>
                  </pic:blipFill>
                  <pic:spPr>
                    <a:xfrm>
                      <a:off x="0" y="0"/>
                      <a:ext cx="214306" cy="104140"/>
                    </a:xfrm>
                    <a:prstGeom prst="rect">
                      <a:avLst/>
                    </a:prstGeom>
                  </pic:spPr>
                </pic:pic>
              </a:graphicData>
            </a:graphic>
          </wp:anchor>
        </w:drawing>
      </w:r>
      <w:r>
        <w:rPr>
          <w:rFonts w:ascii="Times New Roman"/>
          <w:b/>
          <w:color w:val="363133"/>
          <w:spacing w:val="-2"/>
          <w:w w:val="110"/>
          <w:sz w:val="19"/>
        </w:rPr>
        <w:t>Yiddish</w:t>
      </w:r>
    </w:p>
    <w:p>
      <w:pPr>
        <w:spacing w:before="67"/>
        <w:ind w:left="443" w:right="0" w:firstLine="0"/>
        <w:jc w:val="left"/>
        <w:rPr>
          <w:rFonts w:ascii="Times New Roman"/>
          <w:sz w:val="14"/>
        </w:rPr>
      </w:pPr>
      <w:r>
        <w:rPr>
          <w:rFonts w:ascii="Times New Roman"/>
          <w:color w:val="363133"/>
          <w:spacing w:val="-2"/>
          <w:w w:val="110"/>
          <w:sz w:val="14"/>
        </w:rPr>
        <w:t>1lll</w:t>
      </w:r>
      <w:r>
        <w:rPr>
          <w:rFonts w:ascii="Times New Roman"/>
          <w:color w:val="363133"/>
          <w:w w:val="110"/>
          <w:sz w:val="14"/>
        </w:rPr>
        <w:t> </w:t>
      </w:r>
      <w:r>
        <w:rPr>
          <w:rFonts w:ascii="Times New Roman"/>
          <w:color w:val="363133"/>
          <w:spacing w:val="-2"/>
          <w:sz w:val="14"/>
        </w:rPr>
        <w:t>.1lltVDll ?!'1</w:t>
      </w:r>
      <w:r>
        <w:rPr>
          <w:rFonts w:ascii="Times New Roman"/>
          <w:color w:val="363133"/>
          <w:spacing w:val="-6"/>
          <w:sz w:val="14"/>
        </w:rPr>
        <w:t> </w:t>
      </w:r>
      <w:r>
        <w:rPr>
          <w:rFonts w:ascii="Times New Roman"/>
          <w:color w:val="363133"/>
          <w:spacing w:val="-2"/>
          <w:sz w:val="14"/>
        </w:rPr>
        <w:t>N</w:t>
      </w:r>
      <w:r>
        <w:rPr>
          <w:rFonts w:ascii="Times New Roman"/>
          <w:color w:val="363133"/>
          <w:spacing w:val="-7"/>
          <w:sz w:val="14"/>
        </w:rPr>
        <w:t> </w:t>
      </w:r>
      <w:r>
        <w:rPr>
          <w:rFonts w:ascii="Times New Roman"/>
          <w:color w:val="363133"/>
          <w:spacing w:val="-2"/>
          <w:sz w:val="14"/>
        </w:rPr>
        <w:t>1:in</w:t>
      </w:r>
      <w:r>
        <w:rPr>
          <w:rFonts w:ascii="Times New Roman"/>
          <w:color w:val="363133"/>
          <w:spacing w:val="12"/>
          <w:sz w:val="14"/>
        </w:rPr>
        <w:t> </w:t>
      </w:r>
      <w:r>
        <w:rPr>
          <w:rFonts w:ascii="Times New Roman"/>
          <w:color w:val="494646"/>
          <w:spacing w:val="-2"/>
          <w:sz w:val="14"/>
        </w:rPr>
        <w:t>Dll1rn</w:t>
      </w:r>
      <w:r>
        <w:rPr>
          <w:rFonts w:ascii="Times New Roman"/>
          <w:color w:val="494646"/>
          <w:sz w:val="14"/>
        </w:rPr>
        <w:t> </w:t>
      </w:r>
      <w:r>
        <w:rPr>
          <w:rFonts w:ascii="Times New Roman"/>
          <w:color w:val="363133"/>
          <w:spacing w:val="-2"/>
          <w:sz w:val="14"/>
        </w:rPr>
        <w:t>11N</w:t>
      </w:r>
      <w:r>
        <w:rPr>
          <w:rFonts w:ascii="Times New Roman"/>
          <w:color w:val="363133"/>
          <w:spacing w:val="12"/>
          <w:sz w:val="14"/>
        </w:rPr>
        <w:t> </w:t>
      </w:r>
      <w:r>
        <w:rPr>
          <w:rFonts w:ascii="Times New Roman"/>
          <w:color w:val="363133"/>
          <w:spacing w:val="-2"/>
          <w:sz w:val="14"/>
        </w:rPr>
        <w:t>7N1:ltV</w:t>
      </w:r>
      <w:r>
        <w:rPr>
          <w:rFonts w:ascii="Times New Roman"/>
          <w:color w:val="363133"/>
          <w:spacing w:val="2"/>
          <w:sz w:val="14"/>
        </w:rPr>
        <w:t> </w:t>
      </w:r>
      <w:r>
        <w:rPr>
          <w:rFonts w:ascii="Times New Roman"/>
          <w:color w:val="363133"/>
          <w:spacing w:val="-2"/>
          <w:sz w:val="14"/>
        </w:rPr>
        <w:t>1ll''N</w:t>
      </w:r>
      <w:r>
        <w:rPr>
          <w:rFonts w:ascii="Times New Roman"/>
          <w:color w:val="363133"/>
          <w:spacing w:val="5"/>
          <w:sz w:val="14"/>
        </w:rPr>
        <w:t> </w:t>
      </w:r>
      <w:r>
        <w:rPr>
          <w:rFonts w:ascii="Times New Roman"/>
          <w:color w:val="363133"/>
          <w:spacing w:val="-2"/>
          <w:sz w:val="14"/>
        </w:rPr>
        <w:t>'1'1N</w:t>
      </w:r>
      <w:r>
        <w:rPr>
          <w:rFonts w:ascii="Times New Roman"/>
          <w:color w:val="363133"/>
          <w:spacing w:val="-1"/>
          <w:sz w:val="14"/>
        </w:rPr>
        <w:t> </w:t>
      </w:r>
      <w:r>
        <w:rPr>
          <w:rFonts w:ascii="Times New Roman"/>
          <w:color w:val="363133"/>
          <w:spacing w:val="-2"/>
          <w:sz w:val="14"/>
        </w:rPr>
        <w:t>1N</w:t>
      </w:r>
      <w:r>
        <w:rPr>
          <w:rFonts w:ascii="Times New Roman"/>
          <w:color w:val="363133"/>
          <w:spacing w:val="11"/>
          <w:sz w:val="14"/>
        </w:rPr>
        <w:t> </w:t>
      </w:r>
      <w:r>
        <w:rPr>
          <w:rFonts w:ascii="Times New Roman"/>
          <w:color w:val="494646"/>
          <w:spacing w:val="-2"/>
          <w:sz w:val="14"/>
        </w:rPr>
        <w:t>Dl''11</w:t>
      </w:r>
    </w:p>
    <w:p>
      <w:pPr>
        <w:spacing w:before="12"/>
        <w:ind w:left="123" w:right="0" w:firstLine="0"/>
        <w:jc w:val="left"/>
        <w:rPr>
          <w:rFonts w:ascii="Times New Roman"/>
          <w:sz w:val="14"/>
        </w:rPr>
      </w:pPr>
      <w:r>
        <w:rPr>
          <w:rFonts w:ascii="Times New Roman"/>
          <w:color w:val="494646"/>
          <w:w w:val="90"/>
          <w:sz w:val="14"/>
        </w:rPr>
        <w:t>.1DDNp</w:t>
      </w:r>
      <w:r>
        <w:rPr>
          <w:rFonts w:ascii="Times New Roman"/>
          <w:color w:val="494646"/>
          <w:spacing w:val="-2"/>
          <w:sz w:val="14"/>
        </w:rPr>
        <w:t> </w:t>
      </w:r>
      <w:r>
        <w:rPr>
          <w:rFonts w:ascii="Times New Roman"/>
          <w:color w:val="494646"/>
          <w:w w:val="90"/>
          <w:sz w:val="14"/>
        </w:rPr>
        <w:t>DlV'l1N;</w:t>
      </w:r>
      <w:r>
        <w:rPr>
          <w:rFonts w:ascii="Times New Roman"/>
          <w:color w:val="494646"/>
          <w:spacing w:val="-3"/>
          <w:sz w:val="14"/>
        </w:rPr>
        <w:t> </w:t>
      </w:r>
      <w:r>
        <w:rPr>
          <w:rFonts w:ascii="Times New Roman"/>
          <w:color w:val="363133"/>
          <w:w w:val="90"/>
          <w:sz w:val="14"/>
        </w:rPr>
        <w:t>l"N</w:t>
      </w:r>
      <w:r>
        <w:rPr>
          <w:rFonts w:ascii="Times New Roman"/>
          <w:color w:val="363133"/>
          <w:spacing w:val="45"/>
          <w:sz w:val="14"/>
        </w:rPr>
        <w:t> </w:t>
      </w:r>
      <w:r>
        <w:rPr>
          <w:rFonts w:ascii="Times New Roman"/>
          <w:color w:val="494646"/>
          <w:w w:val="90"/>
          <w:sz w:val="14"/>
        </w:rPr>
        <w:t>Dll11</w:t>
      </w:r>
      <w:r>
        <w:rPr>
          <w:rFonts w:ascii="Times New Roman"/>
          <w:color w:val="494646"/>
          <w:spacing w:val="-2"/>
          <w:sz w:val="14"/>
        </w:rPr>
        <w:t> </w:t>
      </w:r>
      <w:r>
        <w:rPr>
          <w:rFonts w:ascii="Times New Roman"/>
          <w:color w:val="363133"/>
          <w:w w:val="90"/>
          <w:sz w:val="14"/>
        </w:rPr>
        <w:t>Dll</w:t>
      </w:r>
      <w:r>
        <w:rPr>
          <w:rFonts w:ascii="Times New Roman"/>
          <w:color w:val="363133"/>
          <w:spacing w:val="-2"/>
          <w:sz w:val="14"/>
        </w:rPr>
        <w:t> </w:t>
      </w:r>
      <w:r>
        <w:rPr>
          <w:rFonts w:ascii="Times New Roman"/>
          <w:color w:val="625E60"/>
          <w:w w:val="90"/>
          <w:sz w:val="14"/>
        </w:rPr>
        <w:t>,</w:t>
      </w:r>
      <w:r>
        <w:rPr>
          <w:rFonts w:ascii="Times New Roman"/>
          <w:color w:val="363133"/>
          <w:w w:val="90"/>
          <w:sz w:val="14"/>
        </w:rPr>
        <w:t>DD'T1K</w:t>
      </w:r>
      <w:r>
        <w:rPr>
          <w:rFonts w:ascii="Times New Roman"/>
          <w:color w:val="363133"/>
          <w:spacing w:val="-14"/>
          <w:w w:val="90"/>
          <w:sz w:val="14"/>
        </w:rPr>
        <w:t> </w:t>
      </w:r>
      <w:r>
        <w:rPr>
          <w:rFonts w:ascii="Times New Roman"/>
          <w:color w:val="363133"/>
          <w:w w:val="90"/>
          <w:sz w:val="14"/>
        </w:rPr>
        <w:t>D?llD!Vlll1'.!1</w:t>
      </w:r>
      <w:r>
        <w:rPr>
          <w:rFonts w:ascii="Times New Roman"/>
          <w:color w:val="363133"/>
          <w:spacing w:val="-5"/>
          <w:w w:val="90"/>
          <w:sz w:val="14"/>
        </w:rPr>
        <w:t> </w:t>
      </w:r>
      <w:r>
        <w:rPr>
          <w:rFonts w:ascii="Times New Roman"/>
          <w:color w:val="494646"/>
          <w:w w:val="90"/>
          <w:sz w:val="14"/>
        </w:rPr>
        <w:t>D1ll111lltVDll</w:t>
      </w:r>
      <w:r>
        <w:rPr>
          <w:rFonts w:ascii="Times New Roman"/>
          <w:color w:val="494646"/>
          <w:spacing w:val="-5"/>
          <w:w w:val="90"/>
          <w:sz w:val="14"/>
        </w:rPr>
        <w:t> ?Nl</w:t>
      </w:r>
    </w:p>
    <w:p>
      <w:pPr>
        <w:pStyle w:val="BodyText"/>
        <w:spacing w:before="8"/>
        <w:rPr>
          <w:rFonts w:ascii="Times New Roman"/>
          <w:sz w:val="3"/>
        </w:rPr>
      </w:pPr>
      <w:r>
        <w:rPr/>
        <mc:AlternateContent>
          <mc:Choice Requires="wps">
            <w:drawing>
              <wp:anchor distT="0" distB="0" distL="0" distR="0" allowOverlap="1" layoutInCell="1" locked="0" behindDoc="1" simplePos="0" relativeHeight="487645184">
                <wp:simplePos x="0" y="0"/>
                <wp:positionH relativeFrom="page">
                  <wp:posOffset>3504902</wp:posOffset>
                </wp:positionH>
                <wp:positionV relativeFrom="paragraph">
                  <wp:posOffset>42845</wp:posOffset>
                </wp:positionV>
                <wp:extent cx="2616200" cy="1270"/>
                <wp:effectExtent l="0" t="0" r="0" b="0"/>
                <wp:wrapTopAndBottom/>
                <wp:docPr id="331" name="Graphic 331"/>
                <wp:cNvGraphicFramePr>
                  <a:graphicFrameLocks/>
                </wp:cNvGraphicFramePr>
                <a:graphic>
                  <a:graphicData uri="http://schemas.microsoft.com/office/word/2010/wordprocessingShape">
                    <wps:wsp>
                      <wps:cNvPr id="331" name="Graphic 331"/>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3.373627pt;width:206pt;height:.1pt;mso-position-horizontal-relative:page;mso-position-vertical-relative:paragraph;z-index:-15671296;mso-wrap-distance-left:0;mso-wrap-distance-right:0" id="docshape240" coordorigin="5520,67" coordsize="4120,0" path="m5520,67l6163,67,7580,67,8996,67,9640,67e" filled="false" stroked="true" strokeweight=".25pt" strokecolor="#231f20">
                <v:path arrowok="t"/>
                <v:stroke dashstyle="solid"/>
                <w10:wrap type="topAndBottom"/>
              </v:shape>
            </w:pict>
          </mc:Fallback>
        </mc:AlternateContent>
      </w:r>
    </w:p>
    <w:p>
      <w:pPr>
        <w:spacing w:before="9"/>
        <w:ind w:left="119" w:right="818" w:hanging="3"/>
        <w:jc w:val="left"/>
        <w:rPr>
          <w:rFonts w:ascii="Times New Roman"/>
          <w:sz w:val="17"/>
        </w:rPr>
      </w:pPr>
      <w:r>
        <w:rPr/>
        <w:br w:type="column"/>
      </w:r>
      <w:r>
        <w:rPr>
          <w:rFonts w:ascii="Times New Roman"/>
          <w:color w:val="363133"/>
          <w:spacing w:val="-2"/>
          <w:sz w:val="17"/>
        </w:rPr>
        <w:t>Seiiale</w:t>
      </w:r>
      <w:r>
        <w:rPr>
          <w:rFonts w:ascii="Times New Roman"/>
          <w:color w:val="363133"/>
          <w:spacing w:val="-9"/>
          <w:sz w:val="17"/>
        </w:rPr>
        <w:t> </w:t>
      </w:r>
      <w:r>
        <w:rPr>
          <w:rFonts w:ascii="Times New Roman"/>
          <w:color w:val="363133"/>
          <w:spacing w:val="-2"/>
          <w:sz w:val="17"/>
        </w:rPr>
        <w:t>su</w:t>
      </w:r>
      <w:r>
        <w:rPr>
          <w:rFonts w:ascii="Times New Roman"/>
          <w:color w:val="363133"/>
          <w:spacing w:val="-9"/>
          <w:sz w:val="17"/>
        </w:rPr>
        <w:t> </w:t>
      </w:r>
      <w:r>
        <w:rPr>
          <w:rFonts w:ascii="Times New Roman"/>
          <w:color w:val="363133"/>
          <w:spacing w:val="-2"/>
          <w:sz w:val="17"/>
        </w:rPr>
        <w:t>idioma</w:t>
      </w:r>
      <w:r>
        <w:rPr>
          <w:rFonts w:ascii="Times New Roman"/>
          <w:color w:val="363133"/>
          <w:spacing w:val="-8"/>
          <w:sz w:val="17"/>
        </w:rPr>
        <w:t> </w:t>
      </w:r>
      <w:r>
        <w:rPr>
          <w:rFonts w:ascii="Times New Roman"/>
          <w:color w:val="494646"/>
          <w:spacing w:val="-2"/>
          <w:sz w:val="17"/>
        </w:rPr>
        <w:t>y</w:t>
      </w:r>
      <w:r>
        <w:rPr>
          <w:rFonts w:ascii="Times New Roman"/>
          <w:color w:val="494646"/>
          <w:spacing w:val="-9"/>
          <w:sz w:val="17"/>
        </w:rPr>
        <w:t> </w:t>
      </w:r>
      <w:r>
        <w:rPr>
          <w:rFonts w:ascii="Times New Roman"/>
          <w:color w:val="363133"/>
          <w:spacing w:val="-2"/>
          <w:sz w:val="17"/>
        </w:rPr>
        <w:t>llamaremos</w:t>
      </w:r>
      <w:r>
        <w:rPr>
          <w:rFonts w:ascii="Times New Roman"/>
          <w:color w:val="363133"/>
          <w:spacing w:val="-8"/>
          <w:sz w:val="17"/>
        </w:rPr>
        <w:t> </w:t>
      </w:r>
      <w:r>
        <w:rPr>
          <w:rFonts w:ascii="Times New Roman"/>
          <w:color w:val="363133"/>
          <w:spacing w:val="-2"/>
          <w:sz w:val="17"/>
        </w:rPr>
        <w:t>a</w:t>
      </w:r>
      <w:r>
        <w:rPr>
          <w:rFonts w:ascii="Times New Roman"/>
          <w:color w:val="363133"/>
          <w:spacing w:val="-9"/>
          <w:sz w:val="17"/>
        </w:rPr>
        <w:t> </w:t>
      </w:r>
      <w:r>
        <w:rPr>
          <w:rFonts w:ascii="Times New Roman"/>
          <w:color w:val="363133"/>
          <w:spacing w:val="-2"/>
          <w:sz w:val="17"/>
        </w:rPr>
        <w:t>un</w:t>
      </w:r>
      <w:r>
        <w:rPr>
          <w:rFonts w:ascii="Times New Roman"/>
          <w:color w:val="363133"/>
          <w:spacing w:val="-9"/>
          <w:sz w:val="17"/>
        </w:rPr>
        <w:t> </w:t>
      </w:r>
      <w:r>
        <w:rPr>
          <w:rFonts w:ascii="Times New Roman"/>
          <w:color w:val="363133"/>
          <w:spacing w:val="-2"/>
          <w:sz w:val="17"/>
        </w:rPr>
        <w:t>interprete. </w:t>
      </w:r>
      <w:r>
        <w:rPr>
          <w:rFonts w:ascii="Times New Roman"/>
          <w:color w:val="494646"/>
          <w:sz w:val="17"/>
        </w:rPr>
        <w:t>E</w:t>
      </w:r>
      <w:r>
        <w:rPr>
          <w:rFonts w:ascii="Times New Roman"/>
          <w:color w:val="262123"/>
          <w:sz w:val="17"/>
        </w:rPr>
        <w:t>l </w:t>
      </w:r>
      <w:r>
        <w:rPr>
          <w:rFonts w:ascii="Times New Roman"/>
          <w:color w:val="363133"/>
          <w:sz w:val="17"/>
        </w:rPr>
        <w:t>servicio </w:t>
      </w:r>
      <w:r>
        <w:rPr>
          <w:rFonts w:ascii="Times New Roman"/>
          <w:color w:val="494646"/>
          <w:sz w:val="17"/>
        </w:rPr>
        <w:t>es </w:t>
      </w:r>
      <w:r>
        <w:rPr>
          <w:rFonts w:ascii="Times New Roman"/>
          <w:color w:val="363133"/>
          <w:sz w:val="17"/>
        </w:rPr>
        <w:t>gratuito.</w:t>
      </w:r>
    </w:p>
    <w:p>
      <w:pPr>
        <w:pStyle w:val="BodyText"/>
        <w:spacing w:before="2"/>
        <w:rPr>
          <w:rFonts w:ascii="Times New Roman"/>
          <w:sz w:val="4"/>
        </w:rPr>
      </w:pPr>
    </w:p>
    <w:p>
      <w:pPr>
        <w:pStyle w:val="BodyText"/>
        <w:spacing w:line="20" w:lineRule="exact"/>
        <w:ind w:left="9" w:right="-72"/>
        <w:rPr>
          <w:rFonts w:ascii="Times New Roman"/>
          <w:sz w:val="2"/>
        </w:rPr>
      </w:pPr>
      <w:r>
        <w:rPr>
          <w:rFonts w:ascii="Times New Roman"/>
          <w:sz w:val="2"/>
        </w:rPr>
        <mc:AlternateContent>
          <mc:Choice Requires="wps">
            <w:drawing>
              <wp:inline distT="0" distB="0" distL="0" distR="0">
                <wp:extent cx="2616200" cy="3175"/>
                <wp:effectExtent l="9525" t="0" r="0" b="6350"/>
                <wp:docPr id="332" name="Group 332"/>
                <wp:cNvGraphicFramePr>
                  <a:graphicFrameLocks/>
                </wp:cNvGraphicFramePr>
                <a:graphic>
                  <a:graphicData uri="http://schemas.microsoft.com/office/word/2010/wordprocessingGroup">
                    <wpg:wgp>
                      <wpg:cNvPr id="332" name="Group 332"/>
                      <wpg:cNvGrpSpPr/>
                      <wpg:grpSpPr>
                        <a:xfrm>
                          <a:off x="0" y="0"/>
                          <a:ext cx="2616200" cy="3175"/>
                          <a:chExt cx="2616200" cy="3175"/>
                        </a:xfrm>
                      </wpg:grpSpPr>
                      <wps:wsp>
                        <wps:cNvPr id="333" name="Graphic 33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41" coordorigin="0,0" coordsize="4120,5">
                <v:shape style="position:absolute;left:0;top:2;width:4120;height:2" id="docshape242" coordorigin="0,3" coordsize="4120,0" path="m0,2l644,2,2060,2,3476,2,4120,2e" filled="false" stroked="true" strokeweight=".25pt" strokecolor="#231f20">
                  <v:path arrowok="t"/>
                  <v:stroke dashstyle="solid"/>
                </v:shape>
              </v:group>
            </w:pict>
          </mc:Fallback>
        </mc:AlternateContent>
      </w:r>
      <w:r>
        <w:rPr>
          <w:rFonts w:ascii="Times New Roman"/>
          <w:sz w:val="2"/>
        </w:rPr>
      </w:r>
    </w:p>
    <w:p>
      <w:pPr>
        <w:spacing w:line="230" w:lineRule="auto" w:before="0"/>
        <w:ind w:left="117" w:right="258" w:firstLine="1"/>
        <w:jc w:val="left"/>
        <w:rPr>
          <w:rFonts w:ascii="Times New Roman"/>
          <w:i/>
          <w:sz w:val="18"/>
        </w:rPr>
      </w:pPr>
      <w:r>
        <w:rPr/>
        <w:br w:type="column"/>
      </w:r>
      <w:r>
        <w:rPr>
          <w:rFonts w:ascii="Times New Roman"/>
          <w:i/>
          <w:color w:val="363133"/>
          <w:w w:val="105"/>
          <w:sz w:val="18"/>
        </w:rPr>
        <w:t>English into more than 150 languages</w:t>
      </w:r>
      <w:r>
        <w:rPr>
          <w:rFonts w:ascii="Times New Roman"/>
          <w:i/>
          <w:color w:val="625E60"/>
          <w:w w:val="105"/>
          <w:sz w:val="18"/>
        </w:rPr>
        <w:t>. </w:t>
      </w:r>
      <w:r>
        <w:rPr>
          <w:rFonts w:ascii="Times New Roman"/>
          <w:i/>
          <w:color w:val="363133"/>
          <w:w w:val="105"/>
          <w:sz w:val="18"/>
        </w:rPr>
        <w:t>Only the most</w:t>
      </w:r>
      <w:r>
        <w:rPr>
          <w:rFonts w:ascii="Times New Roman"/>
          <w:i/>
          <w:color w:val="363133"/>
          <w:w w:val="105"/>
          <w:sz w:val="18"/>
        </w:rPr>
        <w:t> requested languages are</w:t>
      </w:r>
      <w:r>
        <w:rPr>
          <w:rFonts w:ascii="Times New Roman"/>
          <w:i/>
          <w:color w:val="363133"/>
          <w:spacing w:val="-12"/>
          <w:w w:val="105"/>
          <w:sz w:val="18"/>
        </w:rPr>
        <w:t> </w:t>
      </w:r>
      <w:r>
        <w:rPr>
          <w:rFonts w:ascii="Times New Roman"/>
          <w:i/>
          <w:color w:val="363133"/>
          <w:w w:val="105"/>
          <w:sz w:val="18"/>
        </w:rPr>
        <w:t>listed</w:t>
      </w:r>
      <w:r>
        <w:rPr>
          <w:rFonts w:ascii="Times New Roman"/>
          <w:i/>
          <w:color w:val="363133"/>
          <w:spacing w:val="-3"/>
          <w:w w:val="105"/>
          <w:sz w:val="18"/>
        </w:rPr>
        <w:t> </w:t>
      </w:r>
      <w:r>
        <w:rPr>
          <w:rFonts w:ascii="Times New Roman"/>
          <w:i/>
          <w:color w:val="363133"/>
          <w:w w:val="105"/>
          <w:sz w:val="18"/>
        </w:rPr>
        <w:t>here</w:t>
      </w:r>
      <w:r>
        <w:rPr>
          <w:rFonts w:ascii="Times New Roman"/>
          <w:i/>
          <w:color w:val="625E60"/>
          <w:w w:val="105"/>
          <w:sz w:val="18"/>
        </w:rPr>
        <w:t>.</w:t>
      </w:r>
      <w:r>
        <w:rPr>
          <w:rFonts w:ascii="Times New Roman"/>
          <w:i/>
          <w:color w:val="625E60"/>
          <w:spacing w:val="-11"/>
          <w:w w:val="105"/>
          <w:sz w:val="18"/>
        </w:rPr>
        <w:t> </w:t>
      </w:r>
      <w:r>
        <w:rPr>
          <w:rFonts w:ascii="Times New Roman"/>
          <w:i/>
          <w:color w:val="363133"/>
          <w:w w:val="105"/>
          <w:sz w:val="18"/>
        </w:rPr>
        <w:t>This</w:t>
      </w:r>
      <w:r>
        <w:rPr>
          <w:rFonts w:ascii="Times New Roman"/>
          <w:i/>
          <w:color w:val="363133"/>
          <w:spacing w:val="-7"/>
          <w:w w:val="105"/>
          <w:sz w:val="18"/>
        </w:rPr>
        <w:t> </w:t>
      </w:r>
      <w:r>
        <w:rPr>
          <w:rFonts w:ascii="Times New Roman"/>
          <w:i/>
          <w:color w:val="363133"/>
          <w:w w:val="105"/>
          <w:sz w:val="18"/>
        </w:rPr>
        <w:t>list</w:t>
      </w:r>
      <w:r>
        <w:rPr>
          <w:rFonts w:ascii="Times New Roman"/>
          <w:i/>
          <w:color w:val="363133"/>
          <w:spacing w:val="-5"/>
          <w:w w:val="105"/>
          <w:sz w:val="18"/>
        </w:rPr>
        <w:t> </w:t>
      </w:r>
      <w:r>
        <w:rPr>
          <w:rFonts w:ascii="Times New Roman"/>
          <w:i/>
          <w:color w:val="363133"/>
          <w:w w:val="105"/>
          <w:sz w:val="18"/>
        </w:rPr>
        <w:t>is</w:t>
      </w:r>
      <w:r>
        <w:rPr>
          <w:rFonts w:ascii="Times New Roman"/>
          <w:i/>
          <w:color w:val="363133"/>
          <w:spacing w:val="-10"/>
          <w:w w:val="105"/>
          <w:sz w:val="18"/>
        </w:rPr>
        <w:t> </w:t>
      </w:r>
      <w:r>
        <w:rPr>
          <w:rFonts w:ascii="Times New Roman"/>
          <w:i/>
          <w:color w:val="494646"/>
          <w:w w:val="105"/>
          <w:sz w:val="18"/>
        </w:rPr>
        <w:t>subject </w:t>
      </w:r>
      <w:r>
        <w:rPr>
          <w:rFonts w:ascii="Times New Roman"/>
          <w:i/>
          <w:color w:val="363133"/>
          <w:w w:val="105"/>
          <w:sz w:val="18"/>
        </w:rPr>
        <w:t>to change based upon customer demand.</w:t>
      </w:r>
    </w:p>
    <w:p>
      <w:pPr>
        <w:spacing w:line="238" w:lineRule="exact" w:before="164"/>
        <w:ind w:left="116" w:right="0" w:firstLine="0"/>
        <w:jc w:val="left"/>
        <w:rPr>
          <w:rFonts w:ascii="Times New Roman"/>
          <w:b/>
          <w:sz w:val="21"/>
        </w:rPr>
      </w:pPr>
      <w:r>
        <w:rPr>
          <w:rFonts w:ascii="Times New Roman"/>
          <w:color w:val="363133"/>
          <w:w w:val="115"/>
          <w:sz w:val="17"/>
        </w:rPr>
        <w:t>From</w:t>
      </w:r>
      <w:r>
        <w:rPr>
          <w:rFonts w:ascii="Times New Roman"/>
          <w:color w:val="363133"/>
          <w:spacing w:val="-5"/>
          <w:w w:val="115"/>
          <w:sz w:val="17"/>
        </w:rPr>
        <w:t> </w:t>
      </w:r>
      <w:r>
        <w:rPr>
          <w:rFonts w:ascii="Times New Roman"/>
          <w:color w:val="363133"/>
          <w:w w:val="115"/>
          <w:sz w:val="17"/>
        </w:rPr>
        <w:t>North</w:t>
      </w:r>
      <w:r>
        <w:rPr>
          <w:rFonts w:ascii="Times New Roman"/>
          <w:color w:val="363133"/>
          <w:spacing w:val="-2"/>
          <w:w w:val="115"/>
          <w:sz w:val="17"/>
        </w:rPr>
        <w:t> </w:t>
      </w:r>
      <w:r>
        <w:rPr>
          <w:rFonts w:ascii="Times New Roman"/>
          <w:color w:val="363133"/>
          <w:w w:val="115"/>
          <w:sz w:val="17"/>
        </w:rPr>
        <w:t>America</w:t>
      </w:r>
      <w:r>
        <w:rPr>
          <w:rFonts w:ascii="Times New Roman"/>
          <w:color w:val="363133"/>
          <w:spacing w:val="-5"/>
          <w:w w:val="115"/>
          <w:sz w:val="17"/>
        </w:rPr>
        <w:t> </w:t>
      </w:r>
      <w:r>
        <w:rPr>
          <w:rFonts w:ascii="Times New Roman"/>
          <w:color w:val="363133"/>
          <w:w w:val="115"/>
          <w:sz w:val="17"/>
        </w:rPr>
        <w:t>call</w:t>
      </w:r>
      <w:r>
        <w:rPr>
          <w:rFonts w:ascii="Times New Roman"/>
          <w:color w:val="363133"/>
          <w:spacing w:val="-7"/>
          <w:w w:val="115"/>
          <w:sz w:val="17"/>
        </w:rPr>
        <w:t> </w:t>
      </w:r>
      <w:r>
        <w:rPr>
          <w:rFonts w:ascii="Times New Roman"/>
          <w:b/>
          <w:color w:val="262123"/>
          <w:w w:val="115"/>
          <w:sz w:val="21"/>
        </w:rPr>
        <w:t>1</w:t>
      </w:r>
      <w:r>
        <w:rPr>
          <w:rFonts w:ascii="Times New Roman"/>
          <w:b/>
          <w:color w:val="262123"/>
          <w:spacing w:val="7"/>
          <w:w w:val="115"/>
          <w:sz w:val="21"/>
        </w:rPr>
        <w:t> </w:t>
      </w:r>
      <w:r>
        <w:rPr>
          <w:rFonts w:ascii="Times New Roman"/>
          <w:b/>
          <w:color w:val="262123"/>
          <w:w w:val="115"/>
          <w:sz w:val="21"/>
        </w:rPr>
        <w:t>800</w:t>
      </w:r>
      <w:r>
        <w:rPr>
          <w:rFonts w:ascii="Times New Roman"/>
          <w:b/>
          <w:color w:val="262123"/>
          <w:spacing w:val="39"/>
          <w:w w:val="115"/>
          <w:sz w:val="21"/>
        </w:rPr>
        <w:t> </w:t>
      </w:r>
      <w:r>
        <w:rPr>
          <w:rFonts w:ascii="Times New Roman"/>
          <w:b/>
          <w:color w:val="262123"/>
          <w:w w:val="115"/>
          <w:sz w:val="21"/>
        </w:rPr>
        <w:t>752-</w:t>
      </w:r>
      <w:r>
        <w:rPr>
          <w:rFonts w:ascii="Times New Roman"/>
          <w:b/>
          <w:color w:val="262123"/>
          <w:spacing w:val="-2"/>
          <w:w w:val="115"/>
          <w:sz w:val="21"/>
        </w:rPr>
        <w:t>6096</w:t>
      </w:r>
      <w:r>
        <w:rPr>
          <w:rFonts w:ascii="Times New Roman"/>
          <w:b/>
          <w:color w:val="494646"/>
          <w:spacing w:val="-2"/>
          <w:w w:val="115"/>
          <w:sz w:val="21"/>
        </w:rPr>
        <w:t>,</w:t>
      </w:r>
    </w:p>
    <w:p>
      <w:pPr>
        <w:spacing w:line="192" w:lineRule="exact" w:before="0"/>
        <w:ind w:left="118" w:right="0" w:firstLine="0"/>
        <w:jc w:val="left"/>
        <w:rPr>
          <w:rFonts w:ascii="Times New Roman"/>
          <w:sz w:val="17"/>
        </w:rPr>
      </w:pPr>
      <w:r>
        <w:rPr>
          <w:rFonts w:ascii="Times New Roman"/>
          <w:color w:val="363133"/>
          <w:w w:val="105"/>
          <w:sz w:val="17"/>
        </w:rPr>
        <w:t>option</w:t>
      </w:r>
      <w:r>
        <w:rPr>
          <w:rFonts w:ascii="Times New Roman"/>
          <w:color w:val="363133"/>
          <w:spacing w:val="42"/>
          <w:w w:val="105"/>
          <w:sz w:val="17"/>
        </w:rPr>
        <w:t> </w:t>
      </w:r>
      <w:r>
        <w:rPr>
          <w:rFonts w:ascii="Times New Roman"/>
          <w:color w:val="262123"/>
          <w:w w:val="105"/>
          <w:sz w:val="17"/>
        </w:rPr>
        <w:t>I</w:t>
      </w:r>
      <w:r>
        <w:rPr>
          <w:rFonts w:ascii="Times New Roman"/>
          <w:color w:val="262123"/>
          <w:spacing w:val="36"/>
          <w:w w:val="105"/>
          <w:sz w:val="17"/>
        </w:rPr>
        <w:t> </w:t>
      </w:r>
      <w:r>
        <w:rPr>
          <w:rFonts w:ascii="Times New Roman"/>
          <w:color w:val="363133"/>
          <w:w w:val="105"/>
          <w:sz w:val="17"/>
        </w:rPr>
        <w:t>for</w:t>
      </w:r>
      <w:r>
        <w:rPr>
          <w:rFonts w:ascii="Times New Roman"/>
          <w:color w:val="363133"/>
          <w:spacing w:val="60"/>
          <w:w w:val="105"/>
          <w:sz w:val="17"/>
        </w:rPr>
        <w:t> </w:t>
      </w:r>
      <w:r>
        <w:rPr>
          <w:rFonts w:ascii="Times New Roman"/>
          <w:color w:val="363133"/>
          <w:w w:val="105"/>
          <w:sz w:val="17"/>
        </w:rPr>
        <w:t>more</w:t>
      </w:r>
      <w:r>
        <w:rPr>
          <w:rFonts w:ascii="Times New Roman"/>
          <w:color w:val="363133"/>
          <w:spacing w:val="17"/>
          <w:w w:val="105"/>
          <w:sz w:val="17"/>
        </w:rPr>
        <w:t> </w:t>
      </w:r>
      <w:r>
        <w:rPr>
          <w:rFonts w:ascii="Times New Roman"/>
          <w:color w:val="363133"/>
          <w:w w:val="105"/>
          <w:sz w:val="17"/>
        </w:rPr>
        <w:t>information</w:t>
      </w:r>
      <w:r>
        <w:rPr>
          <w:rFonts w:ascii="Times New Roman"/>
          <w:color w:val="363133"/>
          <w:spacing w:val="26"/>
          <w:w w:val="105"/>
          <w:sz w:val="17"/>
        </w:rPr>
        <w:t> </w:t>
      </w:r>
      <w:r>
        <w:rPr>
          <w:rFonts w:ascii="Times New Roman"/>
          <w:color w:val="363133"/>
          <w:w w:val="105"/>
          <w:sz w:val="17"/>
        </w:rPr>
        <w:t>about</w:t>
      </w:r>
      <w:r>
        <w:rPr>
          <w:rFonts w:ascii="Times New Roman"/>
          <w:color w:val="363133"/>
          <w:spacing w:val="16"/>
          <w:w w:val="105"/>
          <w:sz w:val="17"/>
        </w:rPr>
        <w:t> </w:t>
      </w:r>
      <w:r>
        <w:rPr>
          <w:rFonts w:ascii="Times New Roman"/>
          <w:color w:val="363133"/>
          <w:w w:val="105"/>
          <w:sz w:val="17"/>
        </w:rPr>
        <w:t>our</w:t>
      </w:r>
      <w:r>
        <w:rPr>
          <w:rFonts w:ascii="Times New Roman"/>
          <w:color w:val="363133"/>
          <w:spacing w:val="11"/>
          <w:w w:val="105"/>
          <w:sz w:val="17"/>
        </w:rPr>
        <w:t> </w:t>
      </w:r>
      <w:r>
        <w:rPr>
          <w:rFonts w:ascii="Times New Roman"/>
          <w:color w:val="363133"/>
          <w:spacing w:val="-2"/>
          <w:w w:val="105"/>
          <w:sz w:val="17"/>
        </w:rPr>
        <w:t>service.</w:t>
      </w:r>
    </w:p>
    <w:p>
      <w:pPr>
        <w:pStyle w:val="BodyText"/>
        <w:spacing w:before="1"/>
        <w:rPr>
          <w:rFonts w:ascii="Times New Roman"/>
          <w:sz w:val="18"/>
        </w:rPr>
      </w:pPr>
    </w:p>
    <w:p>
      <w:pPr>
        <w:spacing w:before="1"/>
        <w:ind w:left="118" w:right="0" w:firstLine="0"/>
        <w:jc w:val="left"/>
        <w:rPr>
          <w:rFonts w:ascii="Times New Roman" w:hAnsi="Times New Roman"/>
          <w:sz w:val="17"/>
        </w:rPr>
      </w:pPr>
      <w:r>
        <w:rPr>
          <w:rFonts w:ascii="Times New Roman" w:hAnsi="Times New Roman"/>
          <w:color w:val="625E60"/>
          <w:w w:val="105"/>
          <w:sz w:val="17"/>
        </w:rPr>
        <w:t>©</w:t>
      </w:r>
      <w:r>
        <w:rPr>
          <w:rFonts w:ascii="Times New Roman" w:hAnsi="Times New Roman"/>
          <w:color w:val="625E60"/>
          <w:spacing w:val="-3"/>
          <w:w w:val="105"/>
          <w:sz w:val="17"/>
        </w:rPr>
        <w:t> </w:t>
      </w:r>
      <w:r>
        <w:rPr>
          <w:rFonts w:ascii="Times New Roman" w:hAnsi="Times New Roman"/>
          <w:color w:val="363133"/>
          <w:w w:val="105"/>
          <w:sz w:val="17"/>
        </w:rPr>
        <w:t>2005</w:t>
      </w:r>
      <w:r>
        <w:rPr>
          <w:rFonts w:ascii="Times New Roman" w:hAnsi="Times New Roman"/>
          <w:color w:val="363133"/>
          <w:spacing w:val="3"/>
          <w:w w:val="105"/>
          <w:sz w:val="17"/>
        </w:rPr>
        <w:t> </w:t>
      </w:r>
      <w:r>
        <w:rPr>
          <w:rFonts w:ascii="Times New Roman" w:hAnsi="Times New Roman"/>
          <w:color w:val="363133"/>
          <w:w w:val="105"/>
          <w:sz w:val="17"/>
        </w:rPr>
        <w:t>Language</w:t>
      </w:r>
      <w:r>
        <w:rPr>
          <w:rFonts w:ascii="Times New Roman" w:hAnsi="Times New Roman"/>
          <w:color w:val="363133"/>
          <w:spacing w:val="3"/>
          <w:w w:val="105"/>
          <w:sz w:val="17"/>
        </w:rPr>
        <w:t> </w:t>
      </w:r>
      <w:r>
        <w:rPr>
          <w:rFonts w:ascii="Times New Roman" w:hAnsi="Times New Roman"/>
          <w:color w:val="363133"/>
          <w:w w:val="105"/>
          <w:sz w:val="17"/>
        </w:rPr>
        <w:t>Line Services</w:t>
      </w:r>
      <w:r>
        <w:rPr>
          <w:rFonts w:ascii="Times New Roman" w:hAnsi="Times New Roman"/>
          <w:color w:val="363133"/>
          <w:spacing w:val="3"/>
          <w:w w:val="105"/>
          <w:sz w:val="17"/>
        </w:rPr>
        <w:t> </w:t>
      </w:r>
      <w:r>
        <w:rPr>
          <w:rFonts w:ascii="Times New Roman" w:hAnsi="Times New Roman"/>
          <w:color w:val="262123"/>
          <w:w w:val="105"/>
          <w:sz w:val="17"/>
        </w:rPr>
        <w:t>•</w:t>
      </w:r>
      <w:r>
        <w:rPr>
          <w:rFonts w:ascii="Times New Roman" w:hAnsi="Times New Roman"/>
          <w:color w:val="262123"/>
          <w:spacing w:val="-1"/>
          <w:w w:val="105"/>
          <w:sz w:val="17"/>
        </w:rPr>
        <w:t> </w:t>
      </w:r>
      <w:hyperlink r:id="rId114">
        <w:r>
          <w:rPr>
            <w:rFonts w:ascii="Times New Roman" w:hAnsi="Times New Roman"/>
            <w:color w:val="363133"/>
            <w:spacing w:val="-2"/>
            <w:w w:val="105"/>
            <w:sz w:val="17"/>
          </w:rPr>
          <w:t>www.LanguageLine.com</w:t>
        </w:r>
      </w:hyperlink>
    </w:p>
    <w:p>
      <w:pPr>
        <w:spacing w:after="0"/>
        <w:jc w:val="left"/>
        <w:rPr>
          <w:rFonts w:ascii="Times New Roman" w:hAnsi="Times New Roman"/>
          <w:sz w:val="17"/>
        </w:rPr>
        <w:sectPr>
          <w:type w:val="continuous"/>
          <w:pgSz w:w="20160" w:h="12240" w:orient="landscape"/>
          <w:pgMar w:header="0" w:footer="0" w:top="1820" w:bottom="280" w:left="380" w:right="120"/>
          <w:cols w:num="4" w:equalWidth="0">
            <w:col w:w="4329" w:space="760"/>
            <w:col w:w="4204" w:space="837"/>
            <w:col w:w="4125" w:space="798"/>
            <w:col w:w="4607"/>
          </w:cols>
        </w:sectPr>
      </w:pPr>
    </w:p>
    <w:p>
      <w:pPr>
        <w:tabs>
          <w:tab w:pos="5146" w:val="left" w:leader="none"/>
          <w:tab w:pos="10140" w:val="left" w:leader="none"/>
          <w:tab w:pos="15140" w:val="left" w:leader="none"/>
        </w:tabs>
        <w:spacing w:line="240" w:lineRule="auto"/>
        <w:ind w:left="140" w:right="0" w:firstLine="0"/>
        <w:jc w:val="left"/>
        <w:rPr>
          <w:rFonts w:ascii="Times New Roman"/>
          <w:sz w:val="20"/>
        </w:rPr>
      </w:pPr>
      <w:r>
        <w:rPr>
          <w:rFonts w:ascii="Times New Roman"/>
          <w:sz w:val="20"/>
        </w:rPr>
        <mc:AlternateContent>
          <mc:Choice Requires="wps">
            <w:drawing>
              <wp:inline distT="0" distB="0" distL="0" distR="0">
                <wp:extent cx="2616200" cy="203200"/>
                <wp:effectExtent l="0" t="0" r="0" b="6350"/>
                <wp:docPr id="334" name="Group 334"/>
                <wp:cNvGraphicFramePr>
                  <a:graphicFrameLocks/>
                </wp:cNvGraphicFramePr>
                <a:graphic>
                  <a:graphicData uri="http://schemas.microsoft.com/office/word/2010/wordprocessingGroup">
                    <wpg:wgp>
                      <wpg:cNvPr id="334" name="Group 334"/>
                      <wpg:cNvGrpSpPr/>
                      <wpg:grpSpPr>
                        <a:xfrm>
                          <a:off x="0" y="0"/>
                          <a:ext cx="2616200" cy="203200"/>
                          <a:chExt cx="2616200" cy="203200"/>
                        </a:xfrm>
                      </wpg:grpSpPr>
                      <wps:wsp>
                        <wps:cNvPr id="335" name="Graphic 335"/>
                        <wps:cNvSpPr/>
                        <wps:spPr>
                          <a:xfrm>
                            <a:off x="0" y="0"/>
                            <a:ext cx="2616200" cy="203200"/>
                          </a:xfrm>
                          <a:custGeom>
                            <a:avLst/>
                            <a:gdLst/>
                            <a:ahLst/>
                            <a:cxnLst/>
                            <a:rect l="l" t="t" r="r" b="b"/>
                            <a:pathLst>
                              <a:path w="2616200" h="203200">
                                <a:moveTo>
                                  <a:pt x="2616200" y="203206"/>
                                </a:moveTo>
                                <a:lnTo>
                                  <a:pt x="0" y="203206"/>
                                </a:lnTo>
                                <a:lnTo>
                                  <a:pt x="0" y="0"/>
                                </a:lnTo>
                                <a:lnTo>
                                  <a:pt x="2616200" y="0"/>
                                </a:lnTo>
                                <a:lnTo>
                                  <a:pt x="2616200" y="203206"/>
                                </a:lnTo>
                                <a:close/>
                              </a:path>
                            </a:pathLst>
                          </a:custGeom>
                          <a:solidFill>
                            <a:srgbClr val="231F20"/>
                          </a:solidFill>
                        </wps:spPr>
                        <wps:bodyPr wrap="square" lIns="0" tIns="0" rIns="0" bIns="0" rtlCol="0">
                          <a:prstTxWarp prst="textNoShape">
                            <a:avLst/>
                          </a:prstTxWarp>
                          <a:noAutofit/>
                        </wps:bodyPr>
                      </wps:wsp>
                      <pic:pic>
                        <pic:nvPicPr>
                          <pic:cNvPr id="336" name="Image 336"/>
                          <pic:cNvPicPr/>
                        </pic:nvPicPr>
                        <pic:blipFill>
                          <a:blip r:embed="rId116" cstate="print"/>
                          <a:stretch>
                            <a:fillRect/>
                          </a:stretch>
                        </pic:blipFill>
                        <pic:spPr>
                          <a:xfrm>
                            <a:off x="61912" y="57819"/>
                            <a:ext cx="2505576" cy="119186"/>
                          </a:xfrm>
                          <a:prstGeom prst="rect">
                            <a:avLst/>
                          </a:prstGeom>
                        </pic:spPr>
                      </pic:pic>
                    </wpg:wgp>
                  </a:graphicData>
                </a:graphic>
              </wp:inline>
            </w:drawing>
          </mc:Choice>
          <mc:Fallback>
            <w:pict>
              <v:group style="width:206pt;height:16pt;mso-position-horizontal-relative:char;mso-position-vertical-relative:line" id="docshapegroup243" coordorigin="0,0" coordsize="4120,320">
                <v:rect style="position:absolute;left:0;top:0;width:4120;height:320" id="docshape244" filled="true" fillcolor="#231f20" stroked="false">
                  <v:fill type="solid"/>
                </v:rect>
                <v:shape style="position:absolute;left:97;top:91;width:3946;height:188" type="#_x0000_t75" id="docshape245" stroked="false">
                  <v:imagedata r:id="rId116" o:title=""/>
                </v:shap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616200" cy="203200"/>
                <wp:effectExtent l="0" t="0" r="0" b="6350"/>
                <wp:docPr id="337" name="Group 337"/>
                <wp:cNvGraphicFramePr>
                  <a:graphicFrameLocks/>
                </wp:cNvGraphicFramePr>
                <a:graphic>
                  <a:graphicData uri="http://schemas.microsoft.com/office/word/2010/wordprocessingGroup">
                    <wpg:wgp>
                      <wpg:cNvPr id="337" name="Group 337"/>
                      <wpg:cNvGrpSpPr/>
                      <wpg:grpSpPr>
                        <a:xfrm>
                          <a:off x="0" y="0"/>
                          <a:ext cx="2616200" cy="203200"/>
                          <a:chExt cx="2616200" cy="203200"/>
                        </a:xfrm>
                      </wpg:grpSpPr>
                      <wps:wsp>
                        <wps:cNvPr id="338" name="Graphic 338"/>
                        <wps:cNvSpPr/>
                        <wps:spPr>
                          <a:xfrm>
                            <a:off x="0" y="0"/>
                            <a:ext cx="2616200" cy="203200"/>
                          </a:xfrm>
                          <a:custGeom>
                            <a:avLst/>
                            <a:gdLst/>
                            <a:ahLst/>
                            <a:cxnLst/>
                            <a:rect l="l" t="t" r="r" b="b"/>
                            <a:pathLst>
                              <a:path w="2616200" h="203200">
                                <a:moveTo>
                                  <a:pt x="2616200" y="203206"/>
                                </a:moveTo>
                                <a:lnTo>
                                  <a:pt x="0" y="203206"/>
                                </a:lnTo>
                                <a:lnTo>
                                  <a:pt x="0" y="0"/>
                                </a:lnTo>
                                <a:lnTo>
                                  <a:pt x="2616200" y="0"/>
                                </a:lnTo>
                                <a:lnTo>
                                  <a:pt x="2616200" y="203206"/>
                                </a:lnTo>
                                <a:close/>
                              </a:path>
                            </a:pathLst>
                          </a:custGeom>
                          <a:solidFill>
                            <a:srgbClr val="231F20"/>
                          </a:solidFill>
                        </wps:spPr>
                        <wps:bodyPr wrap="square" lIns="0" tIns="0" rIns="0" bIns="0" rtlCol="0">
                          <a:prstTxWarp prst="textNoShape">
                            <a:avLst/>
                          </a:prstTxWarp>
                          <a:noAutofit/>
                        </wps:bodyPr>
                      </wps:wsp>
                      <pic:pic>
                        <pic:nvPicPr>
                          <pic:cNvPr id="339" name="Image 339"/>
                          <pic:cNvPicPr/>
                        </pic:nvPicPr>
                        <pic:blipFill>
                          <a:blip r:embed="rId117" cstate="print"/>
                          <a:stretch>
                            <a:fillRect/>
                          </a:stretch>
                        </pic:blipFill>
                        <pic:spPr>
                          <a:xfrm>
                            <a:off x="27613" y="55500"/>
                            <a:ext cx="432438" cy="98623"/>
                          </a:xfrm>
                          <a:prstGeom prst="rect">
                            <a:avLst/>
                          </a:prstGeom>
                        </pic:spPr>
                      </pic:pic>
                      <wps:wsp>
                        <wps:cNvPr id="340" name="Graphic 340"/>
                        <wps:cNvSpPr/>
                        <wps:spPr>
                          <a:xfrm>
                            <a:off x="506243" y="70671"/>
                            <a:ext cx="689610" cy="83185"/>
                          </a:xfrm>
                          <a:custGeom>
                            <a:avLst/>
                            <a:gdLst/>
                            <a:ahLst/>
                            <a:cxnLst/>
                            <a:rect l="l" t="t" r="r" b="b"/>
                            <a:pathLst>
                              <a:path w="689610" h="83185">
                                <a:moveTo>
                                  <a:pt x="32943" y="43053"/>
                                </a:moveTo>
                                <a:lnTo>
                                  <a:pt x="0" y="43053"/>
                                </a:lnTo>
                                <a:lnTo>
                                  <a:pt x="0" y="60718"/>
                                </a:lnTo>
                                <a:lnTo>
                                  <a:pt x="32943" y="60718"/>
                                </a:lnTo>
                                <a:lnTo>
                                  <a:pt x="32943" y="43053"/>
                                </a:lnTo>
                                <a:close/>
                              </a:path>
                              <a:path w="689610" h="83185">
                                <a:moveTo>
                                  <a:pt x="146227" y="60921"/>
                                </a:moveTo>
                                <a:lnTo>
                                  <a:pt x="124599" y="58534"/>
                                </a:lnTo>
                                <a:lnTo>
                                  <a:pt x="123596" y="61709"/>
                                </a:lnTo>
                                <a:lnTo>
                                  <a:pt x="122085" y="64046"/>
                                </a:lnTo>
                                <a:lnTo>
                                  <a:pt x="118059" y="67094"/>
                                </a:lnTo>
                                <a:lnTo>
                                  <a:pt x="115570" y="67856"/>
                                </a:lnTo>
                                <a:lnTo>
                                  <a:pt x="109054" y="67856"/>
                                </a:lnTo>
                                <a:lnTo>
                                  <a:pt x="106133" y="66586"/>
                                </a:lnTo>
                                <a:lnTo>
                                  <a:pt x="101536" y="61468"/>
                                </a:lnTo>
                                <a:lnTo>
                                  <a:pt x="100393" y="57721"/>
                                </a:lnTo>
                                <a:lnTo>
                                  <a:pt x="100393" y="47256"/>
                                </a:lnTo>
                                <a:lnTo>
                                  <a:pt x="101549" y="43129"/>
                                </a:lnTo>
                                <a:lnTo>
                                  <a:pt x="106159" y="37680"/>
                                </a:lnTo>
                                <a:lnTo>
                                  <a:pt x="109181" y="36309"/>
                                </a:lnTo>
                                <a:lnTo>
                                  <a:pt x="115874" y="36309"/>
                                </a:lnTo>
                                <a:lnTo>
                                  <a:pt x="118224" y="36969"/>
                                </a:lnTo>
                                <a:lnTo>
                                  <a:pt x="121742" y="39636"/>
                                </a:lnTo>
                                <a:lnTo>
                                  <a:pt x="122936" y="41630"/>
                                </a:lnTo>
                                <a:lnTo>
                                  <a:pt x="123609" y="44246"/>
                                </a:lnTo>
                                <a:lnTo>
                                  <a:pt x="145046" y="41275"/>
                                </a:lnTo>
                                <a:lnTo>
                                  <a:pt x="121932" y="21031"/>
                                </a:lnTo>
                                <a:lnTo>
                                  <a:pt x="105359" y="21031"/>
                                </a:lnTo>
                                <a:lnTo>
                                  <a:pt x="77774" y="46228"/>
                                </a:lnTo>
                                <a:lnTo>
                                  <a:pt x="77838" y="58534"/>
                                </a:lnTo>
                                <a:lnTo>
                                  <a:pt x="107607" y="83146"/>
                                </a:lnTo>
                                <a:lnTo>
                                  <a:pt x="120396" y="83146"/>
                                </a:lnTo>
                                <a:lnTo>
                                  <a:pt x="143840" y="67856"/>
                                </a:lnTo>
                                <a:lnTo>
                                  <a:pt x="145046" y="65443"/>
                                </a:lnTo>
                                <a:lnTo>
                                  <a:pt x="146227" y="60921"/>
                                </a:lnTo>
                                <a:close/>
                              </a:path>
                              <a:path w="689610" h="83185">
                                <a:moveTo>
                                  <a:pt x="221869" y="43789"/>
                                </a:moveTo>
                                <a:lnTo>
                                  <a:pt x="199059" y="22479"/>
                                </a:lnTo>
                                <a:lnTo>
                                  <a:pt x="199059" y="46875"/>
                                </a:lnTo>
                                <a:lnTo>
                                  <a:pt x="199059" y="57569"/>
                                </a:lnTo>
                                <a:lnTo>
                                  <a:pt x="198005" y="61595"/>
                                </a:lnTo>
                                <a:lnTo>
                                  <a:pt x="193878" y="66586"/>
                                </a:lnTo>
                                <a:lnTo>
                                  <a:pt x="191198" y="67856"/>
                                </a:lnTo>
                                <a:lnTo>
                                  <a:pt x="184772" y="67856"/>
                                </a:lnTo>
                                <a:lnTo>
                                  <a:pt x="182118" y="66586"/>
                                </a:lnTo>
                                <a:lnTo>
                                  <a:pt x="177888" y="61506"/>
                                </a:lnTo>
                                <a:lnTo>
                                  <a:pt x="176834" y="57569"/>
                                </a:lnTo>
                                <a:lnTo>
                                  <a:pt x="176872" y="46875"/>
                                </a:lnTo>
                                <a:lnTo>
                                  <a:pt x="177876" y="43192"/>
                                </a:lnTo>
                                <a:lnTo>
                                  <a:pt x="177965" y="43027"/>
                                </a:lnTo>
                                <a:lnTo>
                                  <a:pt x="182156" y="37985"/>
                                </a:lnTo>
                                <a:lnTo>
                                  <a:pt x="184861" y="36703"/>
                                </a:lnTo>
                                <a:lnTo>
                                  <a:pt x="191223" y="36703"/>
                                </a:lnTo>
                                <a:lnTo>
                                  <a:pt x="193814" y="37973"/>
                                </a:lnTo>
                                <a:lnTo>
                                  <a:pt x="198005" y="43027"/>
                                </a:lnTo>
                                <a:lnTo>
                                  <a:pt x="199059" y="46875"/>
                                </a:lnTo>
                                <a:lnTo>
                                  <a:pt x="199059" y="22479"/>
                                </a:lnTo>
                                <a:lnTo>
                                  <a:pt x="196100" y="21678"/>
                                </a:lnTo>
                                <a:lnTo>
                                  <a:pt x="187769" y="21031"/>
                                </a:lnTo>
                                <a:lnTo>
                                  <a:pt x="180416" y="21577"/>
                                </a:lnTo>
                                <a:lnTo>
                                  <a:pt x="154012" y="52247"/>
                                </a:lnTo>
                                <a:lnTo>
                                  <a:pt x="154686" y="59207"/>
                                </a:lnTo>
                                <a:lnTo>
                                  <a:pt x="178333" y="83146"/>
                                </a:lnTo>
                                <a:lnTo>
                                  <a:pt x="187833" y="83146"/>
                                </a:lnTo>
                                <a:lnTo>
                                  <a:pt x="219138" y="67856"/>
                                </a:lnTo>
                                <a:lnTo>
                                  <a:pt x="221869" y="61061"/>
                                </a:lnTo>
                                <a:lnTo>
                                  <a:pt x="221869" y="43789"/>
                                </a:lnTo>
                                <a:close/>
                              </a:path>
                              <a:path w="689610" h="83185">
                                <a:moveTo>
                                  <a:pt x="295529" y="36182"/>
                                </a:moveTo>
                                <a:lnTo>
                                  <a:pt x="294271" y="32080"/>
                                </a:lnTo>
                                <a:lnTo>
                                  <a:pt x="293763" y="30403"/>
                                </a:lnTo>
                                <a:lnTo>
                                  <a:pt x="286664" y="22910"/>
                                </a:lnTo>
                                <a:lnTo>
                                  <a:pt x="281749" y="21031"/>
                                </a:lnTo>
                                <a:lnTo>
                                  <a:pt x="270840" y="21031"/>
                                </a:lnTo>
                                <a:lnTo>
                                  <a:pt x="266903" y="21882"/>
                                </a:lnTo>
                                <a:lnTo>
                                  <a:pt x="260438" y="25285"/>
                                </a:lnTo>
                                <a:lnTo>
                                  <a:pt x="257251" y="28117"/>
                                </a:lnTo>
                                <a:lnTo>
                                  <a:pt x="254088" y="32080"/>
                                </a:lnTo>
                                <a:lnTo>
                                  <a:pt x="254088" y="22415"/>
                                </a:lnTo>
                                <a:lnTo>
                                  <a:pt x="233019" y="22415"/>
                                </a:lnTo>
                                <a:lnTo>
                                  <a:pt x="233019" y="81749"/>
                                </a:lnTo>
                                <a:lnTo>
                                  <a:pt x="255651" y="81749"/>
                                </a:lnTo>
                                <a:lnTo>
                                  <a:pt x="255651" y="47853"/>
                                </a:lnTo>
                                <a:lnTo>
                                  <a:pt x="256489" y="44107"/>
                                </a:lnTo>
                                <a:lnTo>
                                  <a:pt x="259905" y="39941"/>
                                </a:lnTo>
                                <a:lnTo>
                                  <a:pt x="262128" y="38887"/>
                                </a:lnTo>
                                <a:lnTo>
                                  <a:pt x="267347" y="38887"/>
                                </a:lnTo>
                                <a:lnTo>
                                  <a:pt x="269278" y="39662"/>
                                </a:lnTo>
                                <a:lnTo>
                                  <a:pt x="272021" y="42748"/>
                                </a:lnTo>
                                <a:lnTo>
                                  <a:pt x="272707" y="45389"/>
                                </a:lnTo>
                                <a:lnTo>
                                  <a:pt x="272707" y="81749"/>
                                </a:lnTo>
                                <a:lnTo>
                                  <a:pt x="295529" y="81749"/>
                                </a:lnTo>
                                <a:lnTo>
                                  <a:pt x="295529" y="38887"/>
                                </a:lnTo>
                                <a:lnTo>
                                  <a:pt x="295529" y="36182"/>
                                </a:lnTo>
                                <a:close/>
                              </a:path>
                              <a:path w="689610" h="83185">
                                <a:moveTo>
                                  <a:pt x="349935" y="81305"/>
                                </a:moveTo>
                                <a:lnTo>
                                  <a:pt x="348424" y="67068"/>
                                </a:lnTo>
                                <a:lnTo>
                                  <a:pt x="348272" y="65620"/>
                                </a:lnTo>
                                <a:lnTo>
                                  <a:pt x="345262" y="66586"/>
                                </a:lnTo>
                                <a:lnTo>
                                  <a:pt x="342938" y="67068"/>
                                </a:lnTo>
                                <a:lnTo>
                                  <a:pt x="339407" y="67068"/>
                                </a:lnTo>
                                <a:lnTo>
                                  <a:pt x="338112" y="66433"/>
                                </a:lnTo>
                                <a:lnTo>
                                  <a:pt x="336880" y="64350"/>
                                </a:lnTo>
                                <a:lnTo>
                                  <a:pt x="336638" y="62674"/>
                                </a:lnTo>
                                <a:lnTo>
                                  <a:pt x="336638" y="39090"/>
                                </a:lnTo>
                                <a:lnTo>
                                  <a:pt x="349148" y="39090"/>
                                </a:lnTo>
                                <a:lnTo>
                                  <a:pt x="349148" y="22415"/>
                                </a:lnTo>
                                <a:lnTo>
                                  <a:pt x="336638" y="22415"/>
                                </a:lnTo>
                                <a:lnTo>
                                  <a:pt x="336638" y="0"/>
                                </a:lnTo>
                                <a:lnTo>
                                  <a:pt x="313829" y="11595"/>
                                </a:lnTo>
                                <a:lnTo>
                                  <a:pt x="313829" y="22415"/>
                                </a:lnTo>
                                <a:lnTo>
                                  <a:pt x="305485" y="22415"/>
                                </a:lnTo>
                                <a:lnTo>
                                  <a:pt x="305485" y="39090"/>
                                </a:lnTo>
                                <a:lnTo>
                                  <a:pt x="313829" y="39090"/>
                                </a:lnTo>
                                <a:lnTo>
                                  <a:pt x="313893" y="67068"/>
                                </a:lnTo>
                                <a:lnTo>
                                  <a:pt x="314464" y="71386"/>
                                </a:lnTo>
                                <a:lnTo>
                                  <a:pt x="317042" y="77304"/>
                                </a:lnTo>
                                <a:lnTo>
                                  <a:pt x="319011" y="79514"/>
                                </a:lnTo>
                                <a:lnTo>
                                  <a:pt x="324370" y="82410"/>
                                </a:lnTo>
                                <a:lnTo>
                                  <a:pt x="328549" y="83146"/>
                                </a:lnTo>
                                <a:lnTo>
                                  <a:pt x="339077" y="83146"/>
                                </a:lnTo>
                                <a:lnTo>
                                  <a:pt x="344322" y="82524"/>
                                </a:lnTo>
                                <a:lnTo>
                                  <a:pt x="349935" y="81305"/>
                                </a:lnTo>
                                <a:close/>
                              </a:path>
                              <a:path w="689610" h="83185">
                                <a:moveTo>
                                  <a:pt x="383413" y="22415"/>
                                </a:moveTo>
                                <a:lnTo>
                                  <a:pt x="360781" y="22415"/>
                                </a:lnTo>
                                <a:lnTo>
                                  <a:pt x="360781" y="81749"/>
                                </a:lnTo>
                                <a:lnTo>
                                  <a:pt x="383413" y="81749"/>
                                </a:lnTo>
                                <a:lnTo>
                                  <a:pt x="383413" y="22415"/>
                                </a:lnTo>
                                <a:close/>
                              </a:path>
                              <a:path w="689610" h="83185">
                                <a:moveTo>
                                  <a:pt x="383413" y="0"/>
                                </a:moveTo>
                                <a:lnTo>
                                  <a:pt x="360781" y="0"/>
                                </a:lnTo>
                                <a:lnTo>
                                  <a:pt x="360781" y="15278"/>
                                </a:lnTo>
                                <a:lnTo>
                                  <a:pt x="383413" y="15278"/>
                                </a:lnTo>
                                <a:lnTo>
                                  <a:pt x="383413" y="0"/>
                                </a:lnTo>
                                <a:close/>
                              </a:path>
                              <a:path w="689610" h="83185">
                                <a:moveTo>
                                  <a:pt x="460565" y="36182"/>
                                </a:moveTo>
                                <a:lnTo>
                                  <a:pt x="459308" y="32080"/>
                                </a:lnTo>
                                <a:lnTo>
                                  <a:pt x="458787" y="30403"/>
                                </a:lnTo>
                                <a:lnTo>
                                  <a:pt x="451700" y="22910"/>
                                </a:lnTo>
                                <a:lnTo>
                                  <a:pt x="446786" y="21031"/>
                                </a:lnTo>
                                <a:lnTo>
                                  <a:pt x="435864" y="21031"/>
                                </a:lnTo>
                                <a:lnTo>
                                  <a:pt x="431927" y="21882"/>
                                </a:lnTo>
                                <a:lnTo>
                                  <a:pt x="425475" y="25285"/>
                                </a:lnTo>
                                <a:lnTo>
                                  <a:pt x="422275" y="28117"/>
                                </a:lnTo>
                                <a:lnTo>
                                  <a:pt x="419125" y="32080"/>
                                </a:lnTo>
                                <a:lnTo>
                                  <a:pt x="419125" y="22415"/>
                                </a:lnTo>
                                <a:lnTo>
                                  <a:pt x="398056" y="22415"/>
                                </a:lnTo>
                                <a:lnTo>
                                  <a:pt x="398056" y="81749"/>
                                </a:lnTo>
                                <a:lnTo>
                                  <a:pt x="420674" y="81749"/>
                                </a:lnTo>
                                <a:lnTo>
                                  <a:pt x="420674" y="47853"/>
                                </a:lnTo>
                                <a:lnTo>
                                  <a:pt x="421525" y="44107"/>
                                </a:lnTo>
                                <a:lnTo>
                                  <a:pt x="424942" y="39941"/>
                                </a:lnTo>
                                <a:lnTo>
                                  <a:pt x="427151" y="38887"/>
                                </a:lnTo>
                                <a:lnTo>
                                  <a:pt x="432384" y="38887"/>
                                </a:lnTo>
                                <a:lnTo>
                                  <a:pt x="434314" y="39662"/>
                                </a:lnTo>
                                <a:lnTo>
                                  <a:pt x="437057" y="42748"/>
                                </a:lnTo>
                                <a:lnTo>
                                  <a:pt x="437743" y="45389"/>
                                </a:lnTo>
                                <a:lnTo>
                                  <a:pt x="437743" y="81749"/>
                                </a:lnTo>
                                <a:lnTo>
                                  <a:pt x="460565" y="81749"/>
                                </a:lnTo>
                                <a:lnTo>
                                  <a:pt x="460565" y="38887"/>
                                </a:lnTo>
                                <a:lnTo>
                                  <a:pt x="460565" y="36182"/>
                                </a:lnTo>
                                <a:close/>
                              </a:path>
                              <a:path w="689610" h="83185">
                                <a:moveTo>
                                  <a:pt x="536600" y="22415"/>
                                </a:moveTo>
                                <a:lnTo>
                                  <a:pt x="513981" y="22415"/>
                                </a:lnTo>
                                <a:lnTo>
                                  <a:pt x="513981" y="56489"/>
                                </a:lnTo>
                                <a:lnTo>
                                  <a:pt x="513105" y="60248"/>
                                </a:lnTo>
                                <a:lnTo>
                                  <a:pt x="509625" y="64427"/>
                                </a:lnTo>
                                <a:lnTo>
                                  <a:pt x="507377" y="65481"/>
                                </a:lnTo>
                                <a:lnTo>
                                  <a:pt x="502132" y="65481"/>
                                </a:lnTo>
                                <a:lnTo>
                                  <a:pt x="500176" y="64693"/>
                                </a:lnTo>
                                <a:lnTo>
                                  <a:pt x="497408" y="61556"/>
                                </a:lnTo>
                                <a:lnTo>
                                  <a:pt x="496709" y="58902"/>
                                </a:lnTo>
                                <a:lnTo>
                                  <a:pt x="496709" y="22415"/>
                                </a:lnTo>
                                <a:lnTo>
                                  <a:pt x="473900" y="22415"/>
                                </a:lnTo>
                                <a:lnTo>
                                  <a:pt x="473900" y="68008"/>
                                </a:lnTo>
                                <a:lnTo>
                                  <a:pt x="475678" y="73774"/>
                                </a:lnTo>
                                <a:lnTo>
                                  <a:pt x="482803" y="81267"/>
                                </a:lnTo>
                                <a:lnTo>
                                  <a:pt x="487718" y="83146"/>
                                </a:lnTo>
                                <a:lnTo>
                                  <a:pt x="498690" y="83146"/>
                                </a:lnTo>
                                <a:lnTo>
                                  <a:pt x="502653" y="82308"/>
                                </a:lnTo>
                                <a:lnTo>
                                  <a:pt x="509117" y="78968"/>
                                </a:lnTo>
                                <a:lnTo>
                                  <a:pt x="512318" y="76161"/>
                                </a:lnTo>
                                <a:lnTo>
                                  <a:pt x="515480" y="72237"/>
                                </a:lnTo>
                                <a:lnTo>
                                  <a:pt x="515480" y="81749"/>
                                </a:lnTo>
                                <a:lnTo>
                                  <a:pt x="536600" y="81749"/>
                                </a:lnTo>
                                <a:lnTo>
                                  <a:pt x="536600" y="72237"/>
                                </a:lnTo>
                                <a:lnTo>
                                  <a:pt x="536600" y="65481"/>
                                </a:lnTo>
                                <a:lnTo>
                                  <a:pt x="536600" y="22415"/>
                                </a:lnTo>
                                <a:close/>
                              </a:path>
                              <a:path w="689610" h="83185">
                                <a:moveTo>
                                  <a:pt x="616216" y="57746"/>
                                </a:moveTo>
                                <a:lnTo>
                                  <a:pt x="596226" y="22326"/>
                                </a:lnTo>
                                <a:lnTo>
                                  <a:pt x="593191" y="21742"/>
                                </a:lnTo>
                                <a:lnTo>
                                  <a:pt x="593191" y="46824"/>
                                </a:lnTo>
                                <a:lnTo>
                                  <a:pt x="570623" y="46824"/>
                                </a:lnTo>
                                <a:lnTo>
                                  <a:pt x="571004" y="43281"/>
                                </a:lnTo>
                                <a:lnTo>
                                  <a:pt x="571881" y="40614"/>
                                </a:lnTo>
                                <a:lnTo>
                                  <a:pt x="573265" y="38836"/>
                                </a:lnTo>
                                <a:lnTo>
                                  <a:pt x="575449" y="35953"/>
                                </a:lnTo>
                                <a:lnTo>
                                  <a:pt x="578358" y="34518"/>
                                </a:lnTo>
                                <a:lnTo>
                                  <a:pt x="585139" y="34518"/>
                                </a:lnTo>
                                <a:lnTo>
                                  <a:pt x="587692" y="35471"/>
                                </a:lnTo>
                                <a:lnTo>
                                  <a:pt x="591553" y="39281"/>
                                </a:lnTo>
                                <a:lnTo>
                                  <a:pt x="592747" y="42430"/>
                                </a:lnTo>
                                <a:lnTo>
                                  <a:pt x="593191" y="46824"/>
                                </a:lnTo>
                                <a:lnTo>
                                  <a:pt x="593191" y="21742"/>
                                </a:lnTo>
                                <a:lnTo>
                                  <a:pt x="589534" y="21031"/>
                                </a:lnTo>
                                <a:lnTo>
                                  <a:pt x="581050" y="21031"/>
                                </a:lnTo>
                                <a:lnTo>
                                  <a:pt x="547547" y="42913"/>
                                </a:lnTo>
                                <a:lnTo>
                                  <a:pt x="547547" y="58724"/>
                                </a:lnTo>
                                <a:lnTo>
                                  <a:pt x="573900" y="83146"/>
                                </a:lnTo>
                                <a:lnTo>
                                  <a:pt x="590816" y="83146"/>
                                </a:lnTo>
                                <a:lnTo>
                                  <a:pt x="615022" y="66471"/>
                                </a:lnTo>
                                <a:lnTo>
                                  <a:pt x="592594" y="64287"/>
                                </a:lnTo>
                                <a:lnTo>
                                  <a:pt x="591172" y="66128"/>
                                </a:lnTo>
                                <a:lnTo>
                                  <a:pt x="589838" y="67398"/>
                                </a:lnTo>
                                <a:lnTo>
                                  <a:pt x="588606" y="68122"/>
                                </a:lnTo>
                                <a:lnTo>
                                  <a:pt x="586587" y="69278"/>
                                </a:lnTo>
                                <a:lnTo>
                                  <a:pt x="584454" y="69850"/>
                                </a:lnTo>
                                <a:lnTo>
                                  <a:pt x="578637" y="69850"/>
                                </a:lnTo>
                                <a:lnTo>
                                  <a:pt x="575767" y="68554"/>
                                </a:lnTo>
                                <a:lnTo>
                                  <a:pt x="573544" y="65963"/>
                                </a:lnTo>
                                <a:lnTo>
                                  <a:pt x="571969" y="64160"/>
                                </a:lnTo>
                                <a:lnTo>
                                  <a:pt x="570979" y="61417"/>
                                </a:lnTo>
                                <a:lnTo>
                                  <a:pt x="570572" y="57746"/>
                                </a:lnTo>
                                <a:lnTo>
                                  <a:pt x="616216" y="57746"/>
                                </a:lnTo>
                                <a:close/>
                              </a:path>
                              <a:path w="689610" h="83185">
                                <a:moveTo>
                                  <a:pt x="689076" y="0"/>
                                </a:moveTo>
                                <a:lnTo>
                                  <a:pt x="666216" y="0"/>
                                </a:lnTo>
                                <a:lnTo>
                                  <a:pt x="666216" y="47282"/>
                                </a:lnTo>
                                <a:lnTo>
                                  <a:pt x="666165" y="57289"/>
                                </a:lnTo>
                                <a:lnTo>
                                  <a:pt x="665251" y="60794"/>
                                </a:lnTo>
                                <a:lnTo>
                                  <a:pt x="661377" y="65341"/>
                                </a:lnTo>
                                <a:lnTo>
                                  <a:pt x="658939" y="66471"/>
                                </a:lnTo>
                                <a:lnTo>
                                  <a:pt x="653313" y="66471"/>
                                </a:lnTo>
                                <a:lnTo>
                                  <a:pt x="651027" y="65354"/>
                                </a:lnTo>
                                <a:lnTo>
                                  <a:pt x="647331" y="60845"/>
                                </a:lnTo>
                                <a:lnTo>
                                  <a:pt x="646417" y="57289"/>
                                </a:lnTo>
                                <a:lnTo>
                                  <a:pt x="646417" y="47282"/>
                                </a:lnTo>
                                <a:lnTo>
                                  <a:pt x="647306" y="43586"/>
                                </a:lnTo>
                                <a:lnTo>
                                  <a:pt x="650887" y="39192"/>
                                </a:lnTo>
                                <a:lnTo>
                                  <a:pt x="653110" y="38100"/>
                                </a:lnTo>
                                <a:lnTo>
                                  <a:pt x="658787" y="38100"/>
                                </a:lnTo>
                                <a:lnTo>
                                  <a:pt x="661276" y="39243"/>
                                </a:lnTo>
                                <a:lnTo>
                                  <a:pt x="665238" y="43815"/>
                                </a:lnTo>
                                <a:lnTo>
                                  <a:pt x="666216" y="47282"/>
                                </a:lnTo>
                                <a:lnTo>
                                  <a:pt x="666216" y="0"/>
                                </a:lnTo>
                                <a:lnTo>
                                  <a:pt x="666051" y="0"/>
                                </a:lnTo>
                                <a:lnTo>
                                  <a:pt x="666051" y="28219"/>
                                </a:lnTo>
                                <a:lnTo>
                                  <a:pt x="663829" y="25819"/>
                                </a:lnTo>
                                <a:lnTo>
                                  <a:pt x="661276" y="24028"/>
                                </a:lnTo>
                                <a:lnTo>
                                  <a:pt x="655510" y="21628"/>
                                </a:lnTo>
                                <a:lnTo>
                                  <a:pt x="652297" y="21031"/>
                                </a:lnTo>
                                <a:lnTo>
                                  <a:pt x="641515" y="21031"/>
                                </a:lnTo>
                                <a:lnTo>
                                  <a:pt x="635546" y="23647"/>
                                </a:lnTo>
                                <a:lnTo>
                                  <a:pt x="626135" y="34086"/>
                                </a:lnTo>
                                <a:lnTo>
                                  <a:pt x="623785" y="41630"/>
                                </a:lnTo>
                                <a:lnTo>
                                  <a:pt x="623785" y="60274"/>
                                </a:lnTo>
                                <a:lnTo>
                                  <a:pt x="625919" y="67754"/>
                                </a:lnTo>
                                <a:lnTo>
                                  <a:pt x="634428" y="80060"/>
                                </a:lnTo>
                                <a:lnTo>
                                  <a:pt x="640600" y="83146"/>
                                </a:lnTo>
                                <a:lnTo>
                                  <a:pt x="652678" y="83146"/>
                                </a:lnTo>
                                <a:lnTo>
                                  <a:pt x="656323" y="82283"/>
                                </a:lnTo>
                                <a:lnTo>
                                  <a:pt x="662051" y="79248"/>
                                </a:lnTo>
                                <a:lnTo>
                                  <a:pt x="664756" y="76733"/>
                                </a:lnTo>
                                <a:lnTo>
                                  <a:pt x="667740" y="72999"/>
                                </a:lnTo>
                                <a:lnTo>
                                  <a:pt x="667740" y="81749"/>
                                </a:lnTo>
                                <a:lnTo>
                                  <a:pt x="689076" y="81749"/>
                                </a:lnTo>
                                <a:lnTo>
                                  <a:pt x="689076" y="72999"/>
                                </a:lnTo>
                                <a:lnTo>
                                  <a:pt x="689076" y="66471"/>
                                </a:lnTo>
                                <a:lnTo>
                                  <a:pt x="689076" y="38100"/>
                                </a:lnTo>
                                <a:lnTo>
                                  <a:pt x="689076" y="28219"/>
                                </a:lnTo>
                                <a:lnTo>
                                  <a:pt x="68907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06pt;height:16pt;mso-position-horizontal-relative:char;mso-position-vertical-relative:line" id="docshapegroup246" coordorigin="0,0" coordsize="4120,320">
                <v:rect style="position:absolute;left:0;top:0;width:4120;height:320" id="docshape247" filled="true" fillcolor="#231f20" stroked="false">
                  <v:fill type="solid"/>
                </v:rect>
                <v:shape style="position:absolute;left:43;top:87;width:681;height:156" type="#_x0000_t75" id="docshape248" stroked="false">
                  <v:imagedata r:id="rId117" o:title=""/>
                </v:shape>
                <v:shape style="position:absolute;left:797;top:111;width:1086;height:131" id="docshape249" coordorigin="797,111" coordsize="1086,131" path="m849,179l797,179,797,207,849,207,849,179xm1028,207l993,203,992,208,989,212,983,217,979,218,969,218,964,216,957,208,955,202,955,186,957,179,964,171,969,168,980,168,983,170,989,174,991,177,992,181,1026,176,1023,168,1022,166,1017,158,1001,147,989,144,963,144,954,146,943,151,939,153,930,161,927,165,921,176,920,184,920,203,921,210,926,221,930,226,940,235,945,238,958,241,967,242,987,242,995,241,1009,235,1014,231,1023,221,1024,218,1026,214,1028,207xm1147,180l1143,169,1142,169,1135,161,1127,154,1117,148,1111,147,1111,185,1111,202,1109,208,1103,216,1098,218,1088,218,1084,216,1077,208,1076,202,1076,185,1077,179,1077,179,1084,171,1088,169,1098,169,1102,171,1109,179,1111,185,1111,147,1106,145,1093,144,1081,145,1071,148,1062,152,1054,158,1045,168,1040,179,1040,194,1041,205,1044,214,1049,223,1057,231,1066,238,1078,242,1093,242,1105,241,1115,239,1125,234,1132,228,1142,219,1142,218,1147,207,1147,180xm1263,168l1261,162,1260,159,1249,147,1241,144,1224,144,1218,146,1207,151,1202,156,1197,162,1197,147,1164,147,1164,240,1200,240,1200,187,1201,181,1207,174,1210,173,1218,173,1221,174,1226,179,1227,183,1227,240,1263,240,1263,173,1263,168xm1348,239l1346,217,1346,215,1341,216,1337,217,1332,217,1330,216,1328,213,1327,210,1327,173,1347,173,1347,147,1327,147,1327,111,1291,130,1291,147,1278,147,1278,173,1291,173,1292,217,1292,224,1297,233,1300,237,1308,241,1315,242,1331,242,1339,241,1348,239xm1401,147l1365,147,1365,240,1401,240,1401,147xm1401,111l1365,111,1365,135,1401,135,1401,111xm1523,168l1521,162,1520,159,1509,147,1501,144,1484,144,1477,146,1467,151,1462,156,1457,162,1457,147,1424,147,1424,240,1460,240,1460,187,1461,181,1466,174,1470,173,1478,173,1481,174,1486,179,1487,183,1487,240,1523,240,1523,173,1523,168xm1642,147l1607,147,1607,200,1605,206,1600,213,1596,214,1588,214,1585,213,1581,208,1579,204,1579,147,1544,147,1544,218,1546,227,1558,239,1565,242,1583,242,1589,241,1599,236,1604,231,1609,225,1609,240,1642,240,1642,225,1642,214,1642,147xm1768,202l1767,185,1766,176,1760,166,1758,160,1752,155,1736,146,1731,146,1731,185,1696,185,1696,179,1698,175,1700,172,1703,168,1708,166,1719,166,1723,167,1729,173,1731,178,1731,185,1731,146,1726,144,1712,144,1701,145,1690,148,1681,152,1674,158,1664,167,1660,179,1660,204,1662,213,1671,228,1677,233,1691,240,1701,242,1728,242,1739,240,1754,232,1760,225,1763,221,1766,216,1730,213,1728,215,1726,217,1724,219,1721,220,1718,221,1708,221,1704,219,1700,215,1698,212,1696,208,1696,202,1768,202xm1882,111l1846,111,1846,186,1846,202,1845,207,1839,214,1835,216,1826,216,1822,214,1817,207,1815,202,1815,186,1817,180,1822,173,1826,171,1835,171,1839,173,1845,180,1846,186,1846,111,1846,111,1846,156,1843,152,1839,149,1830,145,1824,144,1807,144,1798,149,1783,165,1780,177,1780,206,1783,218,1796,237,1806,242,1825,242,1831,241,1840,236,1844,232,1849,226,1849,240,1882,240,1882,226,1882,216,1882,171,1882,156,1882,111xe" filled="true" fillcolor="#ffffff" stroked="false">
                  <v:path arrowok="t"/>
                  <v:fill type="solid"/>
                </v:shap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599690" cy="203200"/>
                <wp:effectExtent l="0" t="0" r="0" b="6350"/>
                <wp:docPr id="341" name="Group 341"/>
                <wp:cNvGraphicFramePr>
                  <a:graphicFrameLocks/>
                </wp:cNvGraphicFramePr>
                <a:graphic>
                  <a:graphicData uri="http://schemas.microsoft.com/office/word/2010/wordprocessingGroup">
                    <wpg:wgp>
                      <wpg:cNvPr id="341" name="Group 341"/>
                      <wpg:cNvGrpSpPr/>
                      <wpg:grpSpPr>
                        <a:xfrm>
                          <a:off x="0" y="0"/>
                          <a:ext cx="2599690" cy="203200"/>
                          <a:chExt cx="2599690" cy="203200"/>
                        </a:xfrm>
                      </wpg:grpSpPr>
                      <wps:wsp>
                        <wps:cNvPr id="342" name="Graphic 342"/>
                        <wps:cNvSpPr/>
                        <wps:spPr>
                          <a:xfrm>
                            <a:off x="0" y="0"/>
                            <a:ext cx="2599690" cy="203200"/>
                          </a:xfrm>
                          <a:custGeom>
                            <a:avLst/>
                            <a:gdLst/>
                            <a:ahLst/>
                            <a:cxnLst/>
                            <a:rect l="l" t="t" r="r" b="b"/>
                            <a:pathLst>
                              <a:path w="2599690" h="203200">
                                <a:moveTo>
                                  <a:pt x="2599270" y="203206"/>
                                </a:moveTo>
                                <a:lnTo>
                                  <a:pt x="0" y="203206"/>
                                </a:lnTo>
                                <a:lnTo>
                                  <a:pt x="0" y="0"/>
                                </a:lnTo>
                                <a:lnTo>
                                  <a:pt x="2599270" y="0"/>
                                </a:lnTo>
                                <a:lnTo>
                                  <a:pt x="2599270" y="203206"/>
                                </a:lnTo>
                                <a:close/>
                              </a:path>
                            </a:pathLst>
                          </a:custGeom>
                          <a:solidFill>
                            <a:srgbClr val="231F20"/>
                          </a:solidFill>
                        </wps:spPr>
                        <wps:bodyPr wrap="square" lIns="0" tIns="0" rIns="0" bIns="0" rtlCol="0">
                          <a:prstTxWarp prst="textNoShape">
                            <a:avLst/>
                          </a:prstTxWarp>
                          <a:noAutofit/>
                        </wps:bodyPr>
                      </wps:wsp>
                      <pic:pic>
                        <pic:nvPicPr>
                          <pic:cNvPr id="343" name="Image 343"/>
                          <pic:cNvPicPr/>
                        </pic:nvPicPr>
                        <pic:blipFill>
                          <a:blip r:embed="rId118" cstate="print"/>
                          <a:stretch>
                            <a:fillRect/>
                          </a:stretch>
                        </pic:blipFill>
                        <pic:spPr>
                          <a:xfrm>
                            <a:off x="72925" y="57087"/>
                            <a:ext cx="467766" cy="97036"/>
                          </a:xfrm>
                          <a:prstGeom prst="rect">
                            <a:avLst/>
                          </a:prstGeom>
                        </pic:spPr>
                      </pic:pic>
                      <pic:pic>
                        <pic:nvPicPr>
                          <pic:cNvPr id="344" name="Image 344"/>
                          <pic:cNvPicPr/>
                        </pic:nvPicPr>
                        <pic:blipFill>
                          <a:blip r:embed="rId119" cstate="print"/>
                          <a:stretch>
                            <a:fillRect/>
                          </a:stretch>
                        </pic:blipFill>
                        <pic:spPr>
                          <a:xfrm>
                            <a:off x="599107" y="57087"/>
                            <a:ext cx="312539" cy="97036"/>
                          </a:xfrm>
                          <a:prstGeom prst="rect">
                            <a:avLst/>
                          </a:prstGeom>
                        </pic:spPr>
                      </pic:pic>
                    </wpg:wgp>
                  </a:graphicData>
                </a:graphic>
              </wp:inline>
            </w:drawing>
          </mc:Choice>
          <mc:Fallback>
            <w:pict>
              <v:group style="width:204.7pt;height:16pt;mso-position-horizontal-relative:char;mso-position-vertical-relative:line" id="docshapegroup250" coordorigin="0,0" coordsize="4094,320">
                <v:rect style="position:absolute;left:0;top:0;width:4094;height:320" id="docshape251" filled="true" fillcolor="#231f20" stroked="false">
                  <v:fill type="solid"/>
                </v:rect>
                <v:shape style="position:absolute;left:114;top:89;width:737;height:153" type="#_x0000_t75" id="docshape252" stroked="false">
                  <v:imagedata r:id="rId118" o:title=""/>
                </v:shape>
                <v:shape style="position:absolute;left:943;top:89;width:493;height:153" type="#_x0000_t75" id="docshape253" stroked="false">
                  <v:imagedata r:id="rId119" o:title=""/>
                </v:shape>
              </v:group>
            </w:pict>
          </mc:Fallback>
        </mc:AlternateContent>
      </w:r>
      <w:r>
        <w:rPr>
          <w:rFonts w:ascii="Times New Roman"/>
          <w:sz w:val="20"/>
        </w:rPr>
      </w:r>
      <w:r>
        <w:rPr>
          <w:rFonts w:ascii="Times New Roman"/>
          <w:sz w:val="20"/>
        </w:rPr>
        <w:tab/>
      </w:r>
      <w:r>
        <w:rPr>
          <w:rFonts w:ascii="Times New Roman"/>
          <w:sz w:val="20"/>
        </w:rPr>
        <mc:AlternateContent>
          <mc:Choice Requires="wps">
            <w:drawing>
              <wp:inline distT="0" distB="0" distL="0" distR="0">
                <wp:extent cx="2599690" cy="203200"/>
                <wp:effectExtent l="0" t="0" r="0" b="6350"/>
                <wp:docPr id="345" name="Group 345"/>
                <wp:cNvGraphicFramePr>
                  <a:graphicFrameLocks/>
                </wp:cNvGraphicFramePr>
                <a:graphic>
                  <a:graphicData uri="http://schemas.microsoft.com/office/word/2010/wordprocessingGroup">
                    <wpg:wgp>
                      <wpg:cNvPr id="345" name="Group 345"/>
                      <wpg:cNvGrpSpPr/>
                      <wpg:grpSpPr>
                        <a:xfrm>
                          <a:off x="0" y="0"/>
                          <a:ext cx="2599690" cy="203200"/>
                          <a:chExt cx="2599690" cy="203200"/>
                        </a:xfrm>
                      </wpg:grpSpPr>
                      <wps:wsp>
                        <wps:cNvPr id="346" name="Graphic 346"/>
                        <wps:cNvSpPr/>
                        <wps:spPr>
                          <a:xfrm>
                            <a:off x="0" y="0"/>
                            <a:ext cx="2599690" cy="203200"/>
                          </a:xfrm>
                          <a:custGeom>
                            <a:avLst/>
                            <a:gdLst/>
                            <a:ahLst/>
                            <a:cxnLst/>
                            <a:rect l="l" t="t" r="r" b="b"/>
                            <a:pathLst>
                              <a:path w="2599690" h="203200">
                                <a:moveTo>
                                  <a:pt x="2599269" y="203206"/>
                                </a:moveTo>
                                <a:lnTo>
                                  <a:pt x="0" y="203206"/>
                                </a:lnTo>
                                <a:lnTo>
                                  <a:pt x="0" y="0"/>
                                </a:lnTo>
                                <a:lnTo>
                                  <a:pt x="2599269" y="0"/>
                                </a:lnTo>
                                <a:lnTo>
                                  <a:pt x="2599269" y="203206"/>
                                </a:lnTo>
                                <a:close/>
                              </a:path>
                            </a:pathLst>
                          </a:custGeom>
                          <a:solidFill>
                            <a:srgbClr val="231F20"/>
                          </a:solidFill>
                        </wps:spPr>
                        <wps:bodyPr wrap="square" lIns="0" tIns="0" rIns="0" bIns="0" rtlCol="0">
                          <a:prstTxWarp prst="textNoShape">
                            <a:avLst/>
                          </a:prstTxWarp>
                          <a:noAutofit/>
                        </wps:bodyPr>
                      </wps:wsp>
                      <pic:pic>
                        <pic:nvPicPr>
                          <pic:cNvPr id="347" name="Image 347"/>
                          <pic:cNvPicPr/>
                        </pic:nvPicPr>
                        <pic:blipFill>
                          <a:blip r:embed="rId120" cstate="print"/>
                          <a:stretch>
                            <a:fillRect/>
                          </a:stretch>
                        </pic:blipFill>
                        <pic:spPr>
                          <a:xfrm>
                            <a:off x="50105" y="49944"/>
                            <a:ext cx="313865" cy="97036"/>
                          </a:xfrm>
                          <a:prstGeom prst="rect">
                            <a:avLst/>
                          </a:prstGeom>
                        </pic:spPr>
                      </pic:pic>
                      <wps:wsp>
                        <wps:cNvPr id="348" name="Graphic 348"/>
                        <wps:cNvSpPr/>
                        <wps:spPr>
                          <a:xfrm>
                            <a:off x="416759" y="55863"/>
                            <a:ext cx="689610" cy="83185"/>
                          </a:xfrm>
                          <a:custGeom>
                            <a:avLst/>
                            <a:gdLst/>
                            <a:ahLst/>
                            <a:cxnLst/>
                            <a:rect l="l" t="t" r="r" b="b"/>
                            <a:pathLst>
                              <a:path w="689610" h="83185">
                                <a:moveTo>
                                  <a:pt x="32943" y="43053"/>
                                </a:moveTo>
                                <a:lnTo>
                                  <a:pt x="0" y="43053"/>
                                </a:lnTo>
                                <a:lnTo>
                                  <a:pt x="0" y="60718"/>
                                </a:lnTo>
                                <a:lnTo>
                                  <a:pt x="32943" y="60718"/>
                                </a:lnTo>
                                <a:lnTo>
                                  <a:pt x="32943" y="43053"/>
                                </a:lnTo>
                                <a:close/>
                              </a:path>
                              <a:path w="689610" h="83185">
                                <a:moveTo>
                                  <a:pt x="146227" y="60921"/>
                                </a:moveTo>
                                <a:lnTo>
                                  <a:pt x="124599" y="58534"/>
                                </a:lnTo>
                                <a:lnTo>
                                  <a:pt x="123596" y="61709"/>
                                </a:lnTo>
                                <a:lnTo>
                                  <a:pt x="122085" y="64046"/>
                                </a:lnTo>
                                <a:lnTo>
                                  <a:pt x="118046" y="67094"/>
                                </a:lnTo>
                                <a:lnTo>
                                  <a:pt x="115570" y="67856"/>
                                </a:lnTo>
                                <a:lnTo>
                                  <a:pt x="109042" y="67856"/>
                                </a:lnTo>
                                <a:lnTo>
                                  <a:pt x="106121" y="66586"/>
                                </a:lnTo>
                                <a:lnTo>
                                  <a:pt x="101523" y="61468"/>
                                </a:lnTo>
                                <a:lnTo>
                                  <a:pt x="100380" y="57721"/>
                                </a:lnTo>
                                <a:lnTo>
                                  <a:pt x="100380" y="47256"/>
                                </a:lnTo>
                                <a:lnTo>
                                  <a:pt x="101536" y="43129"/>
                                </a:lnTo>
                                <a:lnTo>
                                  <a:pt x="106159" y="37668"/>
                                </a:lnTo>
                                <a:lnTo>
                                  <a:pt x="109181" y="36309"/>
                                </a:lnTo>
                                <a:lnTo>
                                  <a:pt x="115862" y="36309"/>
                                </a:lnTo>
                                <a:lnTo>
                                  <a:pt x="118224" y="36969"/>
                                </a:lnTo>
                                <a:lnTo>
                                  <a:pt x="121729" y="39636"/>
                                </a:lnTo>
                                <a:lnTo>
                                  <a:pt x="122936" y="41630"/>
                                </a:lnTo>
                                <a:lnTo>
                                  <a:pt x="123609" y="44246"/>
                                </a:lnTo>
                                <a:lnTo>
                                  <a:pt x="145034" y="41275"/>
                                </a:lnTo>
                                <a:lnTo>
                                  <a:pt x="143497" y="36309"/>
                                </a:lnTo>
                                <a:lnTo>
                                  <a:pt x="142989" y="34658"/>
                                </a:lnTo>
                                <a:lnTo>
                                  <a:pt x="139433" y="29629"/>
                                </a:lnTo>
                                <a:lnTo>
                                  <a:pt x="129286" y="22745"/>
                                </a:lnTo>
                                <a:lnTo>
                                  <a:pt x="121920" y="21031"/>
                                </a:lnTo>
                                <a:lnTo>
                                  <a:pt x="105346" y="21031"/>
                                </a:lnTo>
                                <a:lnTo>
                                  <a:pt x="77762" y="46228"/>
                                </a:lnTo>
                                <a:lnTo>
                                  <a:pt x="77825" y="58534"/>
                                </a:lnTo>
                                <a:lnTo>
                                  <a:pt x="107607" y="83146"/>
                                </a:lnTo>
                                <a:lnTo>
                                  <a:pt x="120396" y="83146"/>
                                </a:lnTo>
                                <a:lnTo>
                                  <a:pt x="143827" y="67856"/>
                                </a:lnTo>
                                <a:lnTo>
                                  <a:pt x="145034" y="65443"/>
                                </a:lnTo>
                                <a:lnTo>
                                  <a:pt x="146227" y="60921"/>
                                </a:lnTo>
                                <a:close/>
                              </a:path>
                              <a:path w="689610" h="83185">
                                <a:moveTo>
                                  <a:pt x="221869" y="43789"/>
                                </a:moveTo>
                                <a:lnTo>
                                  <a:pt x="219443" y="36944"/>
                                </a:lnTo>
                                <a:lnTo>
                                  <a:pt x="219227" y="36703"/>
                                </a:lnTo>
                                <a:lnTo>
                                  <a:pt x="214591" y="31381"/>
                                </a:lnTo>
                                <a:lnTo>
                                  <a:pt x="209511" y="26860"/>
                                </a:lnTo>
                                <a:lnTo>
                                  <a:pt x="203339" y="23622"/>
                                </a:lnTo>
                                <a:lnTo>
                                  <a:pt x="199047" y="22479"/>
                                </a:lnTo>
                                <a:lnTo>
                                  <a:pt x="199047" y="46875"/>
                                </a:lnTo>
                                <a:lnTo>
                                  <a:pt x="199047" y="57569"/>
                                </a:lnTo>
                                <a:lnTo>
                                  <a:pt x="198005" y="61595"/>
                                </a:lnTo>
                                <a:lnTo>
                                  <a:pt x="193865" y="66586"/>
                                </a:lnTo>
                                <a:lnTo>
                                  <a:pt x="191198" y="67856"/>
                                </a:lnTo>
                                <a:lnTo>
                                  <a:pt x="184759" y="67856"/>
                                </a:lnTo>
                                <a:lnTo>
                                  <a:pt x="182105" y="66586"/>
                                </a:lnTo>
                                <a:lnTo>
                                  <a:pt x="177876" y="61506"/>
                                </a:lnTo>
                                <a:lnTo>
                                  <a:pt x="176822" y="57569"/>
                                </a:lnTo>
                                <a:lnTo>
                                  <a:pt x="176860" y="46875"/>
                                </a:lnTo>
                                <a:lnTo>
                                  <a:pt x="177863" y="43192"/>
                                </a:lnTo>
                                <a:lnTo>
                                  <a:pt x="177965" y="43027"/>
                                </a:lnTo>
                                <a:lnTo>
                                  <a:pt x="182156" y="37985"/>
                                </a:lnTo>
                                <a:lnTo>
                                  <a:pt x="184848" y="36703"/>
                                </a:lnTo>
                                <a:lnTo>
                                  <a:pt x="191223" y="36703"/>
                                </a:lnTo>
                                <a:lnTo>
                                  <a:pt x="193802" y="37973"/>
                                </a:lnTo>
                                <a:lnTo>
                                  <a:pt x="197993" y="43027"/>
                                </a:lnTo>
                                <a:lnTo>
                                  <a:pt x="199047" y="46875"/>
                                </a:lnTo>
                                <a:lnTo>
                                  <a:pt x="199047" y="22479"/>
                                </a:lnTo>
                                <a:lnTo>
                                  <a:pt x="196100" y="21678"/>
                                </a:lnTo>
                                <a:lnTo>
                                  <a:pt x="187769" y="21031"/>
                                </a:lnTo>
                                <a:lnTo>
                                  <a:pt x="180403" y="21577"/>
                                </a:lnTo>
                                <a:lnTo>
                                  <a:pt x="154000" y="52247"/>
                                </a:lnTo>
                                <a:lnTo>
                                  <a:pt x="154673" y="59207"/>
                                </a:lnTo>
                                <a:lnTo>
                                  <a:pt x="178320" y="83146"/>
                                </a:lnTo>
                                <a:lnTo>
                                  <a:pt x="187820" y="83146"/>
                                </a:lnTo>
                                <a:lnTo>
                                  <a:pt x="219125" y="67856"/>
                                </a:lnTo>
                                <a:lnTo>
                                  <a:pt x="221869" y="61061"/>
                                </a:lnTo>
                                <a:lnTo>
                                  <a:pt x="221869" y="43789"/>
                                </a:lnTo>
                                <a:close/>
                              </a:path>
                              <a:path w="689610" h="83185">
                                <a:moveTo>
                                  <a:pt x="295529" y="36182"/>
                                </a:moveTo>
                                <a:lnTo>
                                  <a:pt x="294259" y="32080"/>
                                </a:lnTo>
                                <a:lnTo>
                                  <a:pt x="293751" y="30403"/>
                                </a:lnTo>
                                <a:lnTo>
                                  <a:pt x="286651" y="22910"/>
                                </a:lnTo>
                                <a:lnTo>
                                  <a:pt x="281749" y="21031"/>
                                </a:lnTo>
                                <a:lnTo>
                                  <a:pt x="270827" y="21031"/>
                                </a:lnTo>
                                <a:lnTo>
                                  <a:pt x="266903" y="21882"/>
                                </a:lnTo>
                                <a:lnTo>
                                  <a:pt x="260426" y="25285"/>
                                </a:lnTo>
                                <a:lnTo>
                                  <a:pt x="257238" y="28117"/>
                                </a:lnTo>
                                <a:lnTo>
                                  <a:pt x="254076" y="32080"/>
                                </a:lnTo>
                                <a:lnTo>
                                  <a:pt x="254076" y="22415"/>
                                </a:lnTo>
                                <a:lnTo>
                                  <a:pt x="233019" y="22415"/>
                                </a:lnTo>
                                <a:lnTo>
                                  <a:pt x="233019" y="81749"/>
                                </a:lnTo>
                                <a:lnTo>
                                  <a:pt x="255638" y="81749"/>
                                </a:lnTo>
                                <a:lnTo>
                                  <a:pt x="255638" y="47853"/>
                                </a:lnTo>
                                <a:lnTo>
                                  <a:pt x="256489" y="44107"/>
                                </a:lnTo>
                                <a:lnTo>
                                  <a:pt x="259905" y="39941"/>
                                </a:lnTo>
                                <a:lnTo>
                                  <a:pt x="262128" y="38887"/>
                                </a:lnTo>
                                <a:lnTo>
                                  <a:pt x="267347" y="38887"/>
                                </a:lnTo>
                                <a:lnTo>
                                  <a:pt x="269278" y="39662"/>
                                </a:lnTo>
                                <a:lnTo>
                                  <a:pt x="272008" y="42748"/>
                                </a:lnTo>
                                <a:lnTo>
                                  <a:pt x="272707" y="45389"/>
                                </a:lnTo>
                                <a:lnTo>
                                  <a:pt x="272707" y="81749"/>
                                </a:lnTo>
                                <a:lnTo>
                                  <a:pt x="295529" y="81749"/>
                                </a:lnTo>
                                <a:lnTo>
                                  <a:pt x="295529" y="38887"/>
                                </a:lnTo>
                                <a:lnTo>
                                  <a:pt x="295529" y="36182"/>
                                </a:lnTo>
                                <a:close/>
                              </a:path>
                              <a:path w="689610" h="83185">
                                <a:moveTo>
                                  <a:pt x="349935" y="81305"/>
                                </a:moveTo>
                                <a:lnTo>
                                  <a:pt x="348411" y="67068"/>
                                </a:lnTo>
                                <a:lnTo>
                                  <a:pt x="348259" y="65620"/>
                                </a:lnTo>
                                <a:lnTo>
                                  <a:pt x="345262" y="66586"/>
                                </a:lnTo>
                                <a:lnTo>
                                  <a:pt x="342925" y="67068"/>
                                </a:lnTo>
                                <a:lnTo>
                                  <a:pt x="339407" y="67068"/>
                                </a:lnTo>
                                <a:lnTo>
                                  <a:pt x="338099" y="66433"/>
                                </a:lnTo>
                                <a:lnTo>
                                  <a:pt x="336880" y="64350"/>
                                </a:lnTo>
                                <a:lnTo>
                                  <a:pt x="336638" y="62674"/>
                                </a:lnTo>
                                <a:lnTo>
                                  <a:pt x="336638" y="39090"/>
                                </a:lnTo>
                                <a:lnTo>
                                  <a:pt x="349135" y="39090"/>
                                </a:lnTo>
                                <a:lnTo>
                                  <a:pt x="349135" y="22415"/>
                                </a:lnTo>
                                <a:lnTo>
                                  <a:pt x="336638" y="22415"/>
                                </a:lnTo>
                                <a:lnTo>
                                  <a:pt x="336638" y="0"/>
                                </a:lnTo>
                                <a:lnTo>
                                  <a:pt x="313817" y="11595"/>
                                </a:lnTo>
                                <a:lnTo>
                                  <a:pt x="313817" y="22415"/>
                                </a:lnTo>
                                <a:lnTo>
                                  <a:pt x="305485" y="22415"/>
                                </a:lnTo>
                                <a:lnTo>
                                  <a:pt x="305485" y="39090"/>
                                </a:lnTo>
                                <a:lnTo>
                                  <a:pt x="313817" y="39090"/>
                                </a:lnTo>
                                <a:lnTo>
                                  <a:pt x="313880" y="67068"/>
                                </a:lnTo>
                                <a:lnTo>
                                  <a:pt x="314464" y="71386"/>
                                </a:lnTo>
                                <a:lnTo>
                                  <a:pt x="317030" y="77304"/>
                                </a:lnTo>
                                <a:lnTo>
                                  <a:pt x="319011" y="79514"/>
                                </a:lnTo>
                                <a:lnTo>
                                  <a:pt x="324370" y="82410"/>
                                </a:lnTo>
                                <a:lnTo>
                                  <a:pt x="328536" y="83146"/>
                                </a:lnTo>
                                <a:lnTo>
                                  <a:pt x="339064" y="83146"/>
                                </a:lnTo>
                                <a:lnTo>
                                  <a:pt x="344322" y="82524"/>
                                </a:lnTo>
                                <a:lnTo>
                                  <a:pt x="349935" y="81305"/>
                                </a:lnTo>
                                <a:close/>
                              </a:path>
                              <a:path w="689610" h="83185">
                                <a:moveTo>
                                  <a:pt x="383413" y="22415"/>
                                </a:moveTo>
                                <a:lnTo>
                                  <a:pt x="360781" y="22415"/>
                                </a:lnTo>
                                <a:lnTo>
                                  <a:pt x="360781" y="81749"/>
                                </a:lnTo>
                                <a:lnTo>
                                  <a:pt x="383413" y="81749"/>
                                </a:lnTo>
                                <a:lnTo>
                                  <a:pt x="383413" y="22415"/>
                                </a:lnTo>
                                <a:close/>
                              </a:path>
                              <a:path w="689610" h="83185">
                                <a:moveTo>
                                  <a:pt x="383413" y="0"/>
                                </a:moveTo>
                                <a:lnTo>
                                  <a:pt x="360781" y="0"/>
                                </a:lnTo>
                                <a:lnTo>
                                  <a:pt x="360781" y="15278"/>
                                </a:lnTo>
                                <a:lnTo>
                                  <a:pt x="383413" y="15278"/>
                                </a:lnTo>
                                <a:lnTo>
                                  <a:pt x="383413" y="0"/>
                                </a:lnTo>
                                <a:close/>
                              </a:path>
                              <a:path w="689610" h="83185">
                                <a:moveTo>
                                  <a:pt x="460552" y="36182"/>
                                </a:moveTo>
                                <a:lnTo>
                                  <a:pt x="459295" y="32080"/>
                                </a:lnTo>
                                <a:lnTo>
                                  <a:pt x="458787" y="30403"/>
                                </a:lnTo>
                                <a:lnTo>
                                  <a:pt x="451700" y="22910"/>
                                </a:lnTo>
                                <a:lnTo>
                                  <a:pt x="446786" y="21031"/>
                                </a:lnTo>
                                <a:lnTo>
                                  <a:pt x="435864" y="21031"/>
                                </a:lnTo>
                                <a:lnTo>
                                  <a:pt x="431927" y="21882"/>
                                </a:lnTo>
                                <a:lnTo>
                                  <a:pt x="425462" y="25285"/>
                                </a:lnTo>
                                <a:lnTo>
                                  <a:pt x="422275" y="28117"/>
                                </a:lnTo>
                                <a:lnTo>
                                  <a:pt x="419112" y="32080"/>
                                </a:lnTo>
                                <a:lnTo>
                                  <a:pt x="419112" y="22415"/>
                                </a:lnTo>
                                <a:lnTo>
                                  <a:pt x="398043" y="22415"/>
                                </a:lnTo>
                                <a:lnTo>
                                  <a:pt x="398043" y="81749"/>
                                </a:lnTo>
                                <a:lnTo>
                                  <a:pt x="420662" y="81749"/>
                                </a:lnTo>
                                <a:lnTo>
                                  <a:pt x="420662" y="47853"/>
                                </a:lnTo>
                                <a:lnTo>
                                  <a:pt x="421525" y="44107"/>
                                </a:lnTo>
                                <a:lnTo>
                                  <a:pt x="424929" y="39941"/>
                                </a:lnTo>
                                <a:lnTo>
                                  <a:pt x="427151" y="38887"/>
                                </a:lnTo>
                                <a:lnTo>
                                  <a:pt x="432371" y="38887"/>
                                </a:lnTo>
                                <a:lnTo>
                                  <a:pt x="434301" y="39662"/>
                                </a:lnTo>
                                <a:lnTo>
                                  <a:pt x="437045" y="42748"/>
                                </a:lnTo>
                                <a:lnTo>
                                  <a:pt x="437730" y="45389"/>
                                </a:lnTo>
                                <a:lnTo>
                                  <a:pt x="437730" y="81749"/>
                                </a:lnTo>
                                <a:lnTo>
                                  <a:pt x="460552" y="81749"/>
                                </a:lnTo>
                                <a:lnTo>
                                  <a:pt x="460552" y="38887"/>
                                </a:lnTo>
                                <a:lnTo>
                                  <a:pt x="460552" y="36182"/>
                                </a:lnTo>
                                <a:close/>
                              </a:path>
                              <a:path w="689610" h="83185">
                                <a:moveTo>
                                  <a:pt x="536600" y="22415"/>
                                </a:moveTo>
                                <a:lnTo>
                                  <a:pt x="513981" y="22415"/>
                                </a:lnTo>
                                <a:lnTo>
                                  <a:pt x="513981" y="56489"/>
                                </a:lnTo>
                                <a:lnTo>
                                  <a:pt x="513105" y="60248"/>
                                </a:lnTo>
                                <a:lnTo>
                                  <a:pt x="509612" y="64427"/>
                                </a:lnTo>
                                <a:lnTo>
                                  <a:pt x="507365" y="65481"/>
                                </a:lnTo>
                                <a:lnTo>
                                  <a:pt x="502119" y="65481"/>
                                </a:lnTo>
                                <a:lnTo>
                                  <a:pt x="500176" y="64693"/>
                                </a:lnTo>
                                <a:lnTo>
                                  <a:pt x="497395" y="61556"/>
                                </a:lnTo>
                                <a:lnTo>
                                  <a:pt x="496722" y="58902"/>
                                </a:lnTo>
                                <a:lnTo>
                                  <a:pt x="496722" y="22415"/>
                                </a:lnTo>
                                <a:lnTo>
                                  <a:pt x="473900" y="22415"/>
                                </a:lnTo>
                                <a:lnTo>
                                  <a:pt x="473900" y="68008"/>
                                </a:lnTo>
                                <a:lnTo>
                                  <a:pt x="475665" y="73774"/>
                                </a:lnTo>
                                <a:lnTo>
                                  <a:pt x="482803" y="81267"/>
                                </a:lnTo>
                                <a:lnTo>
                                  <a:pt x="487718" y="83146"/>
                                </a:lnTo>
                                <a:lnTo>
                                  <a:pt x="498678" y="83146"/>
                                </a:lnTo>
                                <a:lnTo>
                                  <a:pt x="502640" y="82308"/>
                                </a:lnTo>
                                <a:lnTo>
                                  <a:pt x="509104" y="78968"/>
                                </a:lnTo>
                                <a:lnTo>
                                  <a:pt x="512305" y="76161"/>
                                </a:lnTo>
                                <a:lnTo>
                                  <a:pt x="515467" y="72237"/>
                                </a:lnTo>
                                <a:lnTo>
                                  <a:pt x="515467" y="81749"/>
                                </a:lnTo>
                                <a:lnTo>
                                  <a:pt x="536600" y="81749"/>
                                </a:lnTo>
                                <a:lnTo>
                                  <a:pt x="536600" y="72237"/>
                                </a:lnTo>
                                <a:lnTo>
                                  <a:pt x="536600" y="65481"/>
                                </a:lnTo>
                                <a:lnTo>
                                  <a:pt x="536600" y="22415"/>
                                </a:lnTo>
                                <a:close/>
                              </a:path>
                              <a:path w="689610" h="83185">
                                <a:moveTo>
                                  <a:pt x="616204" y="57746"/>
                                </a:moveTo>
                                <a:lnTo>
                                  <a:pt x="616102" y="46824"/>
                                </a:lnTo>
                                <a:lnTo>
                                  <a:pt x="614921" y="40970"/>
                                </a:lnTo>
                                <a:lnTo>
                                  <a:pt x="611530" y="34518"/>
                                </a:lnTo>
                                <a:lnTo>
                                  <a:pt x="609790" y="31203"/>
                                </a:lnTo>
                                <a:lnTo>
                                  <a:pt x="606044" y="27470"/>
                                </a:lnTo>
                                <a:lnTo>
                                  <a:pt x="596214" y="22326"/>
                                </a:lnTo>
                                <a:lnTo>
                                  <a:pt x="593178" y="21742"/>
                                </a:lnTo>
                                <a:lnTo>
                                  <a:pt x="593178" y="46824"/>
                                </a:lnTo>
                                <a:lnTo>
                                  <a:pt x="570623" y="46824"/>
                                </a:lnTo>
                                <a:lnTo>
                                  <a:pt x="570992" y="43281"/>
                                </a:lnTo>
                                <a:lnTo>
                                  <a:pt x="571868" y="40614"/>
                                </a:lnTo>
                                <a:lnTo>
                                  <a:pt x="573265" y="38836"/>
                                </a:lnTo>
                                <a:lnTo>
                                  <a:pt x="575449" y="35953"/>
                                </a:lnTo>
                                <a:lnTo>
                                  <a:pt x="578345" y="34518"/>
                                </a:lnTo>
                                <a:lnTo>
                                  <a:pt x="585139" y="34518"/>
                                </a:lnTo>
                                <a:lnTo>
                                  <a:pt x="587679" y="35471"/>
                                </a:lnTo>
                                <a:lnTo>
                                  <a:pt x="591540" y="39281"/>
                                </a:lnTo>
                                <a:lnTo>
                                  <a:pt x="592734" y="42430"/>
                                </a:lnTo>
                                <a:lnTo>
                                  <a:pt x="593178" y="46824"/>
                                </a:lnTo>
                                <a:lnTo>
                                  <a:pt x="593178" y="21742"/>
                                </a:lnTo>
                                <a:lnTo>
                                  <a:pt x="589521" y="21031"/>
                                </a:lnTo>
                                <a:lnTo>
                                  <a:pt x="581037" y="21031"/>
                                </a:lnTo>
                                <a:lnTo>
                                  <a:pt x="547535" y="42913"/>
                                </a:lnTo>
                                <a:lnTo>
                                  <a:pt x="547535" y="58724"/>
                                </a:lnTo>
                                <a:lnTo>
                                  <a:pt x="573900" y="83146"/>
                                </a:lnTo>
                                <a:lnTo>
                                  <a:pt x="590816" y="83146"/>
                                </a:lnTo>
                                <a:lnTo>
                                  <a:pt x="615010" y="66471"/>
                                </a:lnTo>
                                <a:lnTo>
                                  <a:pt x="592582" y="64287"/>
                                </a:lnTo>
                                <a:lnTo>
                                  <a:pt x="591172" y="66128"/>
                                </a:lnTo>
                                <a:lnTo>
                                  <a:pt x="589838" y="67398"/>
                                </a:lnTo>
                                <a:lnTo>
                                  <a:pt x="588606" y="68122"/>
                                </a:lnTo>
                                <a:lnTo>
                                  <a:pt x="586587" y="69278"/>
                                </a:lnTo>
                                <a:lnTo>
                                  <a:pt x="584454" y="69850"/>
                                </a:lnTo>
                                <a:lnTo>
                                  <a:pt x="578637" y="69850"/>
                                </a:lnTo>
                                <a:lnTo>
                                  <a:pt x="575754" y="68554"/>
                                </a:lnTo>
                                <a:lnTo>
                                  <a:pt x="571969" y="64160"/>
                                </a:lnTo>
                                <a:lnTo>
                                  <a:pt x="570979" y="61417"/>
                                </a:lnTo>
                                <a:lnTo>
                                  <a:pt x="570560" y="57746"/>
                                </a:lnTo>
                                <a:lnTo>
                                  <a:pt x="616204" y="57746"/>
                                </a:lnTo>
                                <a:close/>
                              </a:path>
                              <a:path w="689610" h="83185">
                                <a:moveTo>
                                  <a:pt x="689076" y="0"/>
                                </a:moveTo>
                                <a:lnTo>
                                  <a:pt x="666216" y="0"/>
                                </a:lnTo>
                                <a:lnTo>
                                  <a:pt x="666216" y="47282"/>
                                </a:lnTo>
                                <a:lnTo>
                                  <a:pt x="666165" y="57289"/>
                                </a:lnTo>
                                <a:lnTo>
                                  <a:pt x="665251" y="60794"/>
                                </a:lnTo>
                                <a:lnTo>
                                  <a:pt x="661365" y="65341"/>
                                </a:lnTo>
                                <a:lnTo>
                                  <a:pt x="658939" y="66471"/>
                                </a:lnTo>
                                <a:lnTo>
                                  <a:pt x="653313" y="66471"/>
                                </a:lnTo>
                                <a:lnTo>
                                  <a:pt x="651027" y="65354"/>
                                </a:lnTo>
                                <a:lnTo>
                                  <a:pt x="647331" y="60845"/>
                                </a:lnTo>
                                <a:lnTo>
                                  <a:pt x="646417" y="57289"/>
                                </a:lnTo>
                                <a:lnTo>
                                  <a:pt x="646417" y="47282"/>
                                </a:lnTo>
                                <a:lnTo>
                                  <a:pt x="647306" y="43586"/>
                                </a:lnTo>
                                <a:lnTo>
                                  <a:pt x="650875" y="39192"/>
                                </a:lnTo>
                                <a:lnTo>
                                  <a:pt x="653110" y="38100"/>
                                </a:lnTo>
                                <a:lnTo>
                                  <a:pt x="658774" y="38100"/>
                                </a:lnTo>
                                <a:lnTo>
                                  <a:pt x="661276" y="39243"/>
                                </a:lnTo>
                                <a:lnTo>
                                  <a:pt x="665226" y="43815"/>
                                </a:lnTo>
                                <a:lnTo>
                                  <a:pt x="666216" y="47282"/>
                                </a:lnTo>
                                <a:lnTo>
                                  <a:pt x="666216" y="0"/>
                                </a:lnTo>
                                <a:lnTo>
                                  <a:pt x="666064" y="0"/>
                                </a:lnTo>
                                <a:lnTo>
                                  <a:pt x="666064" y="28219"/>
                                </a:lnTo>
                                <a:lnTo>
                                  <a:pt x="663829" y="25819"/>
                                </a:lnTo>
                                <a:lnTo>
                                  <a:pt x="661276" y="24028"/>
                                </a:lnTo>
                                <a:lnTo>
                                  <a:pt x="655497" y="21628"/>
                                </a:lnTo>
                                <a:lnTo>
                                  <a:pt x="652297" y="21031"/>
                                </a:lnTo>
                                <a:lnTo>
                                  <a:pt x="641515" y="21031"/>
                                </a:lnTo>
                                <a:lnTo>
                                  <a:pt x="635533" y="23647"/>
                                </a:lnTo>
                                <a:lnTo>
                                  <a:pt x="626135" y="34086"/>
                                </a:lnTo>
                                <a:lnTo>
                                  <a:pt x="623785" y="41630"/>
                                </a:lnTo>
                                <a:lnTo>
                                  <a:pt x="623785" y="60274"/>
                                </a:lnTo>
                                <a:lnTo>
                                  <a:pt x="625906" y="67754"/>
                                </a:lnTo>
                                <a:lnTo>
                                  <a:pt x="634428" y="80060"/>
                                </a:lnTo>
                                <a:lnTo>
                                  <a:pt x="640588" y="83146"/>
                                </a:lnTo>
                                <a:lnTo>
                                  <a:pt x="652678" y="83146"/>
                                </a:lnTo>
                                <a:lnTo>
                                  <a:pt x="656310" y="82283"/>
                                </a:lnTo>
                                <a:lnTo>
                                  <a:pt x="662038" y="79248"/>
                                </a:lnTo>
                                <a:lnTo>
                                  <a:pt x="664756" y="76733"/>
                                </a:lnTo>
                                <a:lnTo>
                                  <a:pt x="667727" y="72999"/>
                                </a:lnTo>
                                <a:lnTo>
                                  <a:pt x="667727" y="81749"/>
                                </a:lnTo>
                                <a:lnTo>
                                  <a:pt x="689076" y="81749"/>
                                </a:lnTo>
                                <a:lnTo>
                                  <a:pt x="689076" y="72999"/>
                                </a:lnTo>
                                <a:lnTo>
                                  <a:pt x="689076" y="66471"/>
                                </a:lnTo>
                                <a:lnTo>
                                  <a:pt x="689076" y="38100"/>
                                </a:lnTo>
                                <a:lnTo>
                                  <a:pt x="689076" y="28219"/>
                                </a:lnTo>
                                <a:lnTo>
                                  <a:pt x="689076"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04.7pt;height:16pt;mso-position-horizontal-relative:char;mso-position-vertical-relative:line" id="docshapegroup254" coordorigin="0,0" coordsize="4094,320">
                <v:rect style="position:absolute;left:0;top:0;width:4094;height:320" id="docshape255" filled="true" fillcolor="#231f20" stroked="false">
                  <v:fill type="solid"/>
                </v:rect>
                <v:shape style="position:absolute;left:78;top:78;width:495;height:153" type="#_x0000_t75" id="docshape256" stroked="false">
                  <v:imagedata r:id="rId120" o:title=""/>
                </v:shape>
                <v:shape style="position:absolute;left:656;top:87;width:1086;height:131" id="docshape257" coordorigin="656,88" coordsize="1086,131" path="m708,156l656,156,656,184,708,184,708,156xm887,184l853,180,851,185,849,189,842,194,838,195,828,195,823,193,816,185,814,179,814,162,816,156,823,147,828,145,839,145,842,146,848,150,850,154,851,158,885,153,882,145,881,143,876,135,860,124,848,121,822,121,813,123,802,127,798,130,789,137,786,142,780,153,779,161,779,180,780,187,785,198,789,203,799,211,804,214,818,218,826,219,846,219,854,217,868,212,873,208,882,197,883,195,885,191,887,184xm1006,157l1002,146,1002,146,994,137,986,130,977,125,970,123,970,162,970,179,968,185,962,193,957,195,947,195,943,193,936,185,935,179,935,162,936,156,937,156,943,148,947,146,957,146,962,148,968,156,970,162,970,123,965,122,952,121,940,122,930,125,921,129,913,135,904,144,899,156,899,170,900,181,903,191,908,200,916,207,925,215,937,219,952,219,964,218,975,215,984,211,991,205,1001,196,1001,195,1006,184,1006,157xm1122,145l1120,138,1119,136,1108,124,1100,121,1083,121,1077,122,1066,128,1061,132,1056,138,1056,123,1023,123,1023,217,1059,217,1059,163,1060,157,1066,151,1069,149,1077,149,1080,150,1085,155,1086,159,1086,217,1122,217,1122,149,1122,145xm1207,216l1205,194,1205,191,1200,193,1196,194,1191,194,1189,193,1187,189,1186,187,1186,150,1206,150,1206,123,1186,123,1186,88,1151,106,1151,123,1137,123,1137,150,1151,150,1151,194,1152,200,1156,210,1159,213,1167,218,1174,219,1190,219,1199,218,1207,216xm1260,123l1224,123,1224,217,1260,217,1260,123xm1260,88l1224,88,1224,112,1260,112,1260,88xm1382,145l1380,138,1379,136,1368,124,1360,121,1343,121,1337,122,1326,128,1321,132,1316,138,1316,123,1283,123,1283,217,1319,217,1319,163,1320,157,1325,151,1329,149,1337,149,1340,150,1345,155,1346,159,1346,217,1382,217,1382,149,1382,145xm1501,123l1466,123,1466,177,1464,183,1459,189,1455,191,1447,191,1444,190,1440,185,1439,181,1439,123,1403,123,1403,195,1405,204,1417,216,1424,219,1442,219,1448,218,1458,212,1463,208,1468,202,1468,217,1501,217,1501,202,1501,191,1501,123xm1627,179l1627,162,1625,152,1619,142,1617,137,1611,131,1595,123,1590,122,1590,162,1555,162,1556,156,1557,152,1559,149,1563,145,1567,142,1578,142,1582,144,1588,150,1590,155,1590,162,1590,122,1585,121,1571,121,1560,122,1549,124,1540,129,1533,135,1523,144,1519,156,1519,180,1521,189,1530,205,1536,210,1550,217,1560,219,1587,219,1598,217,1613,209,1619,202,1622,198,1625,193,1590,189,1587,192,1585,194,1583,195,1580,197,1577,198,1568,198,1563,196,1557,189,1555,185,1555,179,1627,179xm1741,88l1705,88,1705,162,1705,178,1704,184,1698,191,1694,193,1685,193,1682,191,1676,184,1674,178,1674,162,1676,157,1681,150,1685,148,1694,148,1698,150,1704,157,1705,162,1705,88,1705,88,1705,132,1702,129,1698,126,1689,122,1684,121,1667,121,1657,125,1642,142,1639,154,1639,183,1642,195,1655,214,1665,219,1684,219,1690,218,1699,213,1703,209,1708,203,1708,217,1741,217,1741,203,1741,193,1741,148,1741,132,1741,88xe" filled="true" fillcolor="#ffffff" stroked="false">
                  <v:path arrowok="t"/>
                  <v:fill type="solid"/>
                </v:shape>
              </v:group>
            </w:pict>
          </mc:Fallback>
        </mc:AlternateContent>
      </w:r>
      <w:r>
        <w:rPr>
          <w:rFonts w:ascii="Times New Roman"/>
          <w:sz w:val="20"/>
        </w:rPr>
      </w:r>
    </w:p>
    <w:p>
      <w:pPr>
        <w:spacing w:after="0" w:line="240" w:lineRule="auto"/>
        <w:jc w:val="left"/>
        <w:rPr>
          <w:rFonts w:ascii="Times New Roman"/>
          <w:sz w:val="20"/>
        </w:rPr>
        <w:sectPr>
          <w:footerReference w:type="default" r:id="rId115"/>
          <w:pgSz w:w="20160" w:h="12240" w:orient="landscape"/>
          <w:pgMar w:footer="0" w:header="0" w:top="540" w:bottom="280" w:left="380" w:right="120"/>
        </w:sectPr>
      </w:pPr>
    </w:p>
    <w:p>
      <w:pPr>
        <w:tabs>
          <w:tab w:pos="3426" w:val="left" w:leader="none"/>
        </w:tabs>
        <w:spacing w:line="287" w:lineRule="exact" w:before="34"/>
        <w:ind w:left="207" w:right="0" w:firstLine="0"/>
        <w:jc w:val="left"/>
        <w:rPr>
          <w:rFonts w:ascii="Arial" w:hAnsi="Arial"/>
          <w:sz w:val="25"/>
        </w:rPr>
      </w:pPr>
      <w:r>
        <w:rPr/>
        <w:drawing>
          <wp:anchor distT="0" distB="0" distL="0" distR="0" allowOverlap="1" layoutInCell="1" locked="0" behindDoc="0" simplePos="0" relativeHeight="15839744">
            <wp:simplePos x="0" y="0"/>
            <wp:positionH relativeFrom="page">
              <wp:posOffset>2713955</wp:posOffset>
            </wp:positionH>
            <wp:positionV relativeFrom="paragraph">
              <wp:posOffset>94044</wp:posOffset>
            </wp:positionV>
            <wp:extent cx="214306" cy="104140"/>
            <wp:effectExtent l="0" t="0" r="0" b="0"/>
            <wp:wrapNone/>
            <wp:docPr id="349" name="Image 349"/>
            <wp:cNvGraphicFramePr>
              <a:graphicFrameLocks/>
            </wp:cNvGraphicFramePr>
            <a:graphic>
              <a:graphicData uri="http://schemas.openxmlformats.org/drawingml/2006/picture">
                <pic:pic>
                  <pic:nvPicPr>
                    <pic:cNvPr id="349" name="Image 349"/>
                    <pic:cNvPicPr/>
                  </pic:nvPicPr>
                  <pic:blipFill>
                    <a:blip r:embed="rId100" cstate="print"/>
                    <a:stretch>
                      <a:fillRect/>
                    </a:stretch>
                  </pic:blipFill>
                  <pic:spPr>
                    <a:xfrm>
                      <a:off x="0" y="0"/>
                      <a:ext cx="214306" cy="104140"/>
                    </a:xfrm>
                    <a:prstGeom prst="rect">
                      <a:avLst/>
                    </a:prstGeom>
                  </pic:spPr>
                </pic:pic>
              </a:graphicData>
            </a:graphic>
          </wp:anchor>
        </w:drawing>
      </w:r>
      <w:r>
        <w:rPr>
          <w:rFonts w:ascii="Times New Roman" w:hAnsi="Times New Roman"/>
          <w:b/>
          <w:color w:val="383436"/>
          <w:spacing w:val="-2"/>
          <w:sz w:val="19"/>
        </w:rPr>
        <w:t>Bengali</w:t>
      </w:r>
      <w:r>
        <w:rPr>
          <w:rFonts w:ascii="Times New Roman" w:hAnsi="Times New Roman"/>
          <w:b/>
          <w:color w:val="383436"/>
          <w:sz w:val="19"/>
        </w:rPr>
        <w:tab/>
      </w:r>
      <w:r>
        <w:rPr>
          <w:rFonts w:ascii="Arial" w:hAnsi="Arial"/>
          <w:color w:val="4F4D4D"/>
          <w:spacing w:val="-2"/>
          <w:w w:val="90"/>
          <w:sz w:val="25"/>
        </w:rPr>
        <w:t>•m"'IT</w:t>
      </w:r>
    </w:p>
    <w:p>
      <w:pPr>
        <w:tabs>
          <w:tab w:pos="1507" w:val="left" w:leader="none"/>
          <w:tab w:pos="3511" w:val="left" w:leader="none"/>
          <w:tab w:pos="4132" w:val="left" w:leader="none"/>
        </w:tabs>
        <w:spacing w:line="172" w:lineRule="exact" w:before="0"/>
        <w:ind w:left="225" w:right="0" w:firstLine="0"/>
        <w:jc w:val="left"/>
        <w:rPr>
          <w:rFonts w:ascii="Times New Roman" w:hAnsi="Times New Roman"/>
          <w:sz w:val="15"/>
        </w:rPr>
      </w:pPr>
      <w:r>
        <w:rPr>
          <w:rFonts w:ascii="Times New Roman" w:hAnsi="Times New Roman"/>
          <w:color w:val="646262"/>
          <w:w w:val="65"/>
          <w:sz w:val="15"/>
        </w:rPr>
        <w:t>\!l!19!-ITT!</w:t>
      </w:r>
      <w:r>
        <w:rPr>
          <w:rFonts w:ascii="Times New Roman" w:hAnsi="Times New Roman"/>
          <w:color w:val="646262"/>
          <w:spacing w:val="25"/>
          <w:sz w:val="15"/>
        </w:rPr>
        <w:t> </w:t>
      </w:r>
      <w:r>
        <w:rPr>
          <w:rFonts w:ascii="Times New Roman" w:hAnsi="Times New Roman"/>
          <w:color w:val="646262"/>
          <w:spacing w:val="-2"/>
          <w:w w:val="65"/>
          <w:sz w:val="12"/>
        </w:rPr>
        <w:t>i5l&lt;f@</w:t>
      </w:r>
      <w:r>
        <w:rPr>
          <w:rFonts w:ascii="Times New Roman" w:hAnsi="Times New Roman"/>
          <w:color w:val="646262"/>
          <w:sz w:val="12"/>
        </w:rPr>
        <w:tab/>
      </w:r>
      <w:r>
        <w:rPr>
          <w:rFonts w:ascii="Times New Roman" w:hAnsi="Times New Roman"/>
          <w:color w:val="4F4D4D"/>
          <w:w w:val="85"/>
          <w:sz w:val="15"/>
        </w:rPr>
        <w:t>f.rifp&lt;r</w:t>
      </w:r>
      <w:r>
        <w:rPr>
          <w:rFonts w:ascii="Times New Roman" w:hAnsi="Times New Roman"/>
          <w:color w:val="4F4D4D"/>
          <w:spacing w:val="18"/>
          <w:sz w:val="15"/>
        </w:rPr>
        <w:t> </w:t>
      </w:r>
      <w:r>
        <w:rPr>
          <w:rFonts w:ascii="Times New Roman" w:hAnsi="Times New Roman"/>
          <w:color w:val="646262"/>
          <w:sz w:val="12"/>
        </w:rPr>
        <w:t>&lt;IS¥-,</w:t>
      </w:r>
      <w:r>
        <w:rPr>
          <w:rFonts w:ascii="Times New Roman" w:hAnsi="Times New Roman"/>
          <w:color w:val="646262"/>
          <w:spacing w:val="2"/>
          <w:sz w:val="12"/>
        </w:rPr>
        <w:t> </w:t>
      </w:r>
      <w:r>
        <w:rPr>
          <w:rFonts w:ascii="Times New Roman" w:hAnsi="Times New Roman"/>
          <w:color w:val="646262"/>
          <w:spacing w:val="-10"/>
          <w:w w:val="75"/>
          <w:sz w:val="15"/>
        </w:rPr>
        <w:t>I</w:t>
      </w:r>
      <w:r>
        <w:rPr>
          <w:rFonts w:ascii="Times New Roman" w:hAnsi="Times New Roman"/>
          <w:color w:val="646262"/>
          <w:sz w:val="15"/>
        </w:rPr>
        <w:tab/>
      </w:r>
      <w:r>
        <w:rPr>
          <w:rFonts w:ascii="Times New Roman" w:hAnsi="Times New Roman"/>
          <w:color w:val="646262"/>
          <w:spacing w:val="-2"/>
          <w:w w:val="80"/>
          <w:sz w:val="15"/>
        </w:rPr>
        <w:t>i51&lt;!&gt;l</w:t>
      </w:r>
      <w:r>
        <w:rPr>
          <w:rFonts w:ascii="Times New Roman" w:hAnsi="Times New Roman"/>
          <w:color w:val="646262"/>
          <w:sz w:val="15"/>
        </w:rPr>
        <w:tab/>
      </w:r>
      <w:r>
        <w:rPr>
          <w:rFonts w:ascii="Times New Roman" w:hAnsi="Times New Roman"/>
          <w:color w:val="646262"/>
          <w:spacing w:val="-10"/>
          <w:w w:val="75"/>
          <w:sz w:val="15"/>
        </w:rPr>
        <w:t>I</w:t>
      </w:r>
    </w:p>
    <w:p>
      <w:pPr>
        <w:spacing w:before="34"/>
        <w:ind w:left="295" w:right="0" w:firstLine="0"/>
        <w:jc w:val="left"/>
        <w:rPr>
          <w:rFonts w:ascii="Times New Roman"/>
          <w:sz w:val="15"/>
        </w:rPr>
      </w:pPr>
      <w:r>
        <w:rPr/>
        <mc:AlternateContent>
          <mc:Choice Requires="wps">
            <w:drawing>
              <wp:anchor distT="0" distB="0" distL="0" distR="0" allowOverlap="1" layoutInCell="1" locked="0" behindDoc="0" simplePos="0" relativeHeight="15836672">
                <wp:simplePos x="0" y="0"/>
                <wp:positionH relativeFrom="page">
                  <wp:posOffset>330200</wp:posOffset>
                </wp:positionH>
                <wp:positionV relativeFrom="paragraph">
                  <wp:posOffset>146745</wp:posOffset>
                </wp:positionV>
                <wp:extent cx="2616200" cy="1270"/>
                <wp:effectExtent l="0" t="0" r="0" b="0"/>
                <wp:wrapNone/>
                <wp:docPr id="350" name="Graphic 350"/>
                <wp:cNvGraphicFramePr>
                  <a:graphicFrameLocks/>
                </wp:cNvGraphicFramePr>
                <a:graphic>
                  <a:graphicData uri="http://schemas.microsoft.com/office/word/2010/wordprocessingShape">
                    <wps:wsp>
                      <wps:cNvPr id="350" name="Graphic 350"/>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6pt;margin-top:11.554734pt;width:206pt;height:.1pt;mso-position-horizontal-relative:page;mso-position-vertical-relative:paragraph;z-index:15836672" id="docshape258" coordorigin="520,231" coordsize="4120,0" path="m520,231l1164,231,2580,231,3996,231,4640,231e" filled="false" stroked="true" strokeweight=".25pt" strokecolor="#231f20">
                <v:path arrowok="t"/>
                <v:stroke dashstyle="solid"/>
                <w10:wrap type="none"/>
              </v:shape>
            </w:pict>
          </mc:Fallback>
        </mc:AlternateContent>
      </w:r>
      <w:r>
        <w:rPr/>
        <mc:AlternateContent>
          <mc:Choice Requires="wps">
            <w:drawing>
              <wp:anchor distT="0" distB="0" distL="0" distR="0" allowOverlap="1" layoutInCell="1" locked="0" behindDoc="0" simplePos="0" relativeHeight="15847936">
                <wp:simplePos x="0" y="0"/>
                <wp:positionH relativeFrom="page">
                  <wp:posOffset>3503315</wp:posOffset>
                </wp:positionH>
                <wp:positionV relativeFrom="paragraph">
                  <wp:posOffset>147824</wp:posOffset>
                </wp:positionV>
                <wp:extent cx="2616200" cy="1270"/>
                <wp:effectExtent l="0" t="0" r="0" b="0"/>
                <wp:wrapNone/>
                <wp:docPr id="351" name="Graphic 351"/>
                <wp:cNvGraphicFramePr>
                  <a:graphicFrameLocks/>
                </wp:cNvGraphicFramePr>
                <a:graphic>
                  <a:graphicData uri="http://schemas.microsoft.com/office/word/2010/wordprocessingShape">
                    <wps:wsp>
                      <wps:cNvPr id="351" name="Graphic 351"/>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851593pt;margin-top:11.639694pt;width:206pt;height:.1pt;mso-position-horizontal-relative:page;mso-position-vertical-relative:paragraph;z-index:15847936" id="docshape259" coordorigin="5517,233" coordsize="4120,0" path="m5517,233l6161,233,7577,233,8993,233,9637,233e" filled="false" stroked="true" strokeweight=".25pt" strokecolor="#231f20">
                <v:path arrowok="t"/>
                <v:stroke dashstyle="solid"/>
                <w10:wrap type="none"/>
              </v:shape>
            </w:pict>
          </mc:Fallback>
        </mc:AlternateContent>
      </w:r>
      <w:r>
        <w:rPr>
          <w:rFonts w:ascii="Times New Roman"/>
          <w:color w:val="646262"/>
          <w:w w:val="170"/>
          <w:sz w:val="15"/>
        </w:rPr>
        <w:t>\!l!19ff.r</w:t>
      </w:r>
      <w:r>
        <w:rPr>
          <w:rFonts w:ascii="Times New Roman"/>
          <w:color w:val="646262"/>
          <w:spacing w:val="26"/>
          <w:w w:val="170"/>
          <w:sz w:val="15"/>
        </w:rPr>
        <w:t> </w:t>
      </w:r>
      <w:r>
        <w:rPr>
          <w:rFonts w:ascii="Times New Roman"/>
          <w:color w:val="646262"/>
          <w:w w:val="170"/>
          <w:sz w:val="15"/>
        </w:rPr>
        <w:t>91Wr-</w:t>
      </w:r>
      <w:r>
        <w:rPr>
          <w:rFonts w:ascii="Times New Roman"/>
          <w:color w:val="646262"/>
          <w:spacing w:val="-5"/>
          <w:w w:val="170"/>
          <w:sz w:val="15"/>
        </w:rPr>
        <w:t>11</w:t>
      </w:r>
    </w:p>
    <w:p>
      <w:pPr>
        <w:tabs>
          <w:tab w:pos="2502" w:val="left" w:leader="none"/>
        </w:tabs>
        <w:spacing w:line="244" w:lineRule="auto" w:before="52"/>
        <w:ind w:left="207" w:right="38" w:firstLine="2"/>
        <w:jc w:val="both"/>
        <w:rPr>
          <w:rFonts w:ascii="Times New Roman"/>
          <w:sz w:val="17"/>
        </w:rPr>
      </w:pPr>
      <w:r>
        <w:rPr/>
        <w:br w:type="column"/>
      </w:r>
      <w:r>
        <w:rPr>
          <w:rFonts w:ascii="Times New Roman"/>
          <w:b/>
          <w:color w:val="242121"/>
          <w:spacing w:val="-2"/>
          <w:w w:val="105"/>
          <w:sz w:val="19"/>
        </w:rPr>
        <w:t>Dinka</w:t>
      </w:r>
      <w:r>
        <w:rPr>
          <w:rFonts w:ascii="Times New Roman"/>
          <w:b/>
          <w:color w:val="242121"/>
          <w:sz w:val="19"/>
        </w:rPr>
        <w:tab/>
      </w:r>
      <w:r>
        <w:rPr>
          <w:rFonts w:ascii="Times New Roman"/>
          <w:color w:val="383436"/>
          <w:w w:val="105"/>
          <w:sz w:val="19"/>
        </w:rPr>
        <w:t>Thok</w:t>
      </w:r>
      <w:r>
        <w:rPr>
          <w:rFonts w:ascii="Times New Roman"/>
          <w:color w:val="383436"/>
          <w:spacing w:val="-10"/>
          <w:w w:val="105"/>
          <w:sz w:val="19"/>
        </w:rPr>
        <w:t> </w:t>
      </w:r>
      <w:r>
        <w:rPr>
          <w:rFonts w:ascii="Times New Roman"/>
          <w:color w:val="383436"/>
          <w:w w:val="105"/>
          <w:sz w:val="19"/>
        </w:rPr>
        <w:t>rnonyjang</w:t>
      </w:r>
      <w:r>
        <w:rPr>
          <w:rFonts w:ascii="Times New Roman"/>
          <w:color w:val="383436"/>
          <w:w w:val="105"/>
          <w:sz w:val="19"/>
        </w:rPr>
        <w:t> </w:t>
      </w:r>
      <w:r>
        <w:rPr>
          <w:rFonts w:ascii="Times New Roman"/>
          <w:color w:val="383436"/>
          <w:spacing w:val="-12"/>
          <w:position w:val="-2"/>
          <w:sz w:val="19"/>
        </w:rPr>
        <w:drawing>
          <wp:inline distT="0" distB="0" distL="0" distR="0">
            <wp:extent cx="214306" cy="104140"/>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121" cstate="print"/>
                    <a:stretch>
                      <a:fillRect/>
                    </a:stretch>
                  </pic:blipFill>
                  <pic:spPr>
                    <a:xfrm>
                      <a:off x="0" y="0"/>
                      <a:ext cx="214306" cy="104140"/>
                    </a:xfrm>
                    <a:prstGeom prst="rect">
                      <a:avLst/>
                    </a:prstGeom>
                  </pic:spPr>
                </pic:pic>
              </a:graphicData>
            </a:graphic>
          </wp:inline>
        </w:drawing>
      </w:r>
      <w:r>
        <w:rPr>
          <w:rFonts w:ascii="Times New Roman"/>
          <w:color w:val="383436"/>
          <w:spacing w:val="-12"/>
          <w:position w:val="-2"/>
          <w:sz w:val="19"/>
        </w:rPr>
      </w:r>
      <w:r>
        <w:rPr>
          <w:rFonts w:ascii="Times New Roman"/>
          <w:color w:val="383436"/>
          <w:position w:val="-2"/>
          <w:sz w:val="19"/>
        </w:rPr>
        <w:t> </w:t>
      </w:r>
      <w:r>
        <w:rPr>
          <w:rFonts w:ascii="Times New Roman"/>
          <w:color w:val="4F4D4D"/>
          <w:w w:val="105"/>
          <w:sz w:val="17"/>
        </w:rPr>
        <w:t>Nyoth </w:t>
      </w:r>
      <w:r>
        <w:rPr>
          <w:rFonts w:ascii="Times New Roman"/>
          <w:color w:val="383436"/>
          <w:w w:val="105"/>
          <w:sz w:val="17"/>
        </w:rPr>
        <w:t>thok monyjang. Bakedang </w:t>
      </w:r>
      <w:r>
        <w:rPr>
          <w:rFonts w:ascii="Times New Roman"/>
          <w:color w:val="4F4D4D"/>
          <w:w w:val="105"/>
          <w:sz w:val="17"/>
        </w:rPr>
        <w:t>wet</w:t>
      </w:r>
      <w:r>
        <w:rPr>
          <w:rFonts w:ascii="Times New Roman"/>
          <w:color w:val="4F4D4D"/>
          <w:spacing w:val="-1"/>
          <w:w w:val="105"/>
          <w:sz w:val="17"/>
        </w:rPr>
        <w:t> </w:t>
      </w:r>
      <w:r>
        <w:rPr>
          <w:rFonts w:ascii="Times New Roman"/>
          <w:color w:val="4F4D4D"/>
          <w:w w:val="105"/>
          <w:sz w:val="17"/>
        </w:rPr>
        <w:t>awaric </w:t>
      </w:r>
      <w:r>
        <w:rPr>
          <w:rFonts w:ascii="Times New Roman"/>
          <w:color w:val="383436"/>
          <w:w w:val="105"/>
          <w:sz w:val="17"/>
        </w:rPr>
        <w:t>thong</w:t>
      </w:r>
      <w:r>
        <w:rPr>
          <w:rFonts w:ascii="Times New Roman"/>
          <w:color w:val="383436"/>
          <w:spacing w:val="-4"/>
          <w:w w:val="105"/>
          <w:sz w:val="17"/>
        </w:rPr>
        <w:t> </w:t>
      </w:r>
      <w:r>
        <w:rPr>
          <w:rFonts w:ascii="Times New Roman"/>
          <w:color w:val="4F4D4D"/>
          <w:w w:val="105"/>
          <w:sz w:val="17"/>
        </w:rPr>
        <w:t>set. </w:t>
      </w:r>
      <w:r>
        <w:rPr>
          <w:rFonts w:ascii="Times New Roman"/>
          <w:color w:val="383436"/>
          <w:w w:val="105"/>
          <w:sz w:val="17"/>
        </w:rPr>
        <w:t>Turjubaanka</w:t>
      </w:r>
      <w:r>
        <w:rPr>
          <w:rFonts w:ascii="Times New Roman"/>
          <w:color w:val="383436"/>
          <w:spacing w:val="40"/>
          <w:w w:val="105"/>
          <w:sz w:val="17"/>
        </w:rPr>
        <w:t> </w:t>
      </w:r>
      <w:r>
        <w:rPr>
          <w:rFonts w:ascii="Times New Roman"/>
          <w:color w:val="242121"/>
          <w:w w:val="105"/>
          <w:sz w:val="17"/>
        </w:rPr>
        <w:t>l</w:t>
      </w:r>
      <w:r>
        <w:rPr>
          <w:rFonts w:ascii="Times New Roman"/>
          <w:color w:val="4F4D4D"/>
          <w:w w:val="105"/>
          <w:sz w:val="17"/>
        </w:rPr>
        <w:t>aguu </w:t>
      </w:r>
      <w:r>
        <w:rPr>
          <w:rFonts w:ascii="Times New Roman"/>
          <w:color w:val="383436"/>
          <w:w w:val="105"/>
          <w:sz w:val="17"/>
        </w:rPr>
        <w:t>dalbayo </w:t>
      </w:r>
      <w:r>
        <w:rPr>
          <w:rFonts w:ascii="Times New Roman"/>
          <w:color w:val="4F4D4D"/>
          <w:w w:val="105"/>
          <w:sz w:val="17"/>
        </w:rPr>
        <w:t>waa </w:t>
      </w:r>
      <w:r>
        <w:rPr>
          <w:rFonts w:ascii="Times New Roman"/>
          <w:color w:val="383436"/>
          <w:w w:val="105"/>
          <w:sz w:val="17"/>
        </w:rPr>
        <w:t>bilaash.</w:t>
      </w:r>
    </w:p>
    <w:p>
      <w:pPr>
        <w:spacing w:before="38"/>
        <w:ind w:left="207" w:right="0" w:firstLine="0"/>
        <w:jc w:val="left"/>
        <w:rPr>
          <w:rFonts w:ascii="Times New Roman"/>
          <w:b/>
          <w:sz w:val="19"/>
        </w:rPr>
      </w:pPr>
      <w:r>
        <w:rPr/>
        <w:br w:type="column"/>
      </w:r>
      <w:r>
        <w:rPr>
          <w:rFonts w:ascii="Times New Roman"/>
          <w:b/>
          <w:color w:val="383436"/>
          <w:spacing w:val="-2"/>
          <w:w w:val="105"/>
          <w:sz w:val="19"/>
        </w:rPr>
        <w:t>Arabic</w:t>
      </w:r>
    </w:p>
    <w:p>
      <w:pPr>
        <w:spacing w:line="240" w:lineRule="auto" w:before="7" w:after="24"/>
        <w:rPr>
          <w:rFonts w:ascii="Times New Roman"/>
          <w:b/>
          <w:sz w:val="5"/>
        </w:rPr>
      </w:pPr>
      <w:r>
        <w:rPr/>
        <w:br w:type="column"/>
      </w:r>
      <w:r>
        <w:rPr>
          <w:rFonts w:ascii="Times New Roman"/>
          <w:b/>
          <w:sz w:val="5"/>
        </w:rPr>
      </w:r>
    </w:p>
    <w:p>
      <w:pPr>
        <w:pStyle w:val="BodyText"/>
        <w:spacing w:line="165" w:lineRule="exact"/>
        <w:ind w:left="2674" w:right="-15"/>
        <w:rPr>
          <w:rFonts w:ascii="Times New Roman"/>
          <w:sz w:val="16"/>
        </w:rPr>
      </w:pPr>
      <w:r>
        <w:rPr>
          <w:rFonts w:ascii="Times New Roman"/>
          <w:position w:val="-2"/>
          <w:sz w:val="16"/>
        </w:rPr>
        <w:drawing>
          <wp:inline distT="0" distB="0" distL="0" distR="0">
            <wp:extent cx="215606" cy="104775"/>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102" cstate="print"/>
                    <a:stretch>
                      <a:fillRect/>
                    </a:stretch>
                  </pic:blipFill>
                  <pic:spPr>
                    <a:xfrm>
                      <a:off x="0" y="0"/>
                      <a:ext cx="215606" cy="104775"/>
                    </a:xfrm>
                    <a:prstGeom prst="rect">
                      <a:avLst/>
                    </a:prstGeom>
                  </pic:spPr>
                </pic:pic>
              </a:graphicData>
            </a:graphic>
          </wp:inline>
        </w:drawing>
      </w:r>
      <w:r>
        <w:rPr>
          <w:rFonts w:ascii="Times New Roman"/>
          <w:position w:val="-2"/>
          <w:sz w:val="16"/>
        </w:rPr>
      </w:r>
    </w:p>
    <w:p>
      <w:pPr>
        <w:spacing w:before="52"/>
        <w:ind w:left="207" w:right="0" w:firstLine="0"/>
        <w:jc w:val="left"/>
        <w:rPr>
          <w:rFonts w:ascii="Times New Roman"/>
          <w:sz w:val="15"/>
        </w:rPr>
      </w:pPr>
      <w:r>
        <w:rPr>
          <w:rFonts w:ascii="Times New Roman"/>
          <w:color w:val="4F4D4D"/>
          <w:spacing w:val="-4"/>
          <w:sz w:val="15"/>
        </w:rPr>
        <w:t>.</w:t>
      </w:r>
      <w:r>
        <w:rPr>
          <w:rFonts w:ascii="Times New Roman"/>
          <w:color w:val="646262"/>
          <w:spacing w:val="-4"/>
          <w:sz w:val="15"/>
        </w:rPr>
        <w:t>..:.1.1&lt;,S_;_,.ir-"'_;:...J,.,r-=,JyJ</w:t>
      </w:r>
      <w:r>
        <w:rPr>
          <w:rFonts w:ascii="Times New Roman"/>
          <w:color w:val="646262"/>
          <w:spacing w:val="18"/>
          <w:sz w:val="15"/>
        </w:rPr>
        <w:t> </w:t>
      </w:r>
      <w:r>
        <w:rPr>
          <w:rFonts w:ascii="Times New Roman"/>
          <w:color w:val="4F4D4D"/>
          <w:spacing w:val="-4"/>
          <w:sz w:val="15"/>
        </w:rPr>
        <w:t>...!..bJJ</w:t>
      </w:r>
      <w:r>
        <w:rPr>
          <w:rFonts w:ascii="Times New Roman"/>
          <w:color w:val="7C7B7B"/>
          <w:spacing w:val="-4"/>
          <w:sz w:val="15"/>
        </w:rPr>
        <w:t>i_,</w:t>
      </w:r>
      <w:r>
        <w:rPr>
          <w:rFonts w:ascii="Times New Roman"/>
          <w:color w:val="4F4D4D"/>
          <w:spacing w:val="-4"/>
          <w:sz w:val="15"/>
        </w:rPr>
        <w:t>.;.</w:t>
      </w:r>
      <w:r>
        <w:rPr>
          <w:rFonts w:ascii="Times New Roman"/>
          <w:color w:val="7C7B7B"/>
          <w:spacing w:val="-4"/>
          <w:sz w:val="15"/>
        </w:rPr>
        <w:t>i</w:t>
      </w:r>
    </w:p>
    <w:p>
      <w:pPr>
        <w:spacing w:before="8"/>
        <w:ind w:left="1158" w:right="0" w:firstLine="0"/>
        <w:jc w:val="left"/>
        <w:rPr>
          <w:rFonts w:ascii="Verdana" w:hAnsi="Verdana"/>
          <w:i/>
          <w:sz w:val="18"/>
        </w:rPr>
      </w:pPr>
      <w:r>
        <w:rPr>
          <w:rFonts w:ascii="Times New Roman" w:hAnsi="Times New Roman"/>
          <w:color w:val="4F4D4D"/>
          <w:w w:val="65"/>
          <w:sz w:val="15"/>
        </w:rPr>
        <w:t>.</w:t>
      </w:r>
      <w:r>
        <w:rPr>
          <w:rFonts w:ascii="Times New Roman" w:hAnsi="Times New Roman"/>
          <w:color w:val="4F4D4D"/>
          <w:spacing w:val="-10"/>
          <w:w w:val="65"/>
          <w:sz w:val="15"/>
        </w:rPr>
        <w:t> </w:t>
      </w:r>
      <w:r>
        <w:rPr>
          <w:rFonts w:ascii="Times New Roman" w:hAnsi="Times New Roman"/>
          <w:color w:val="4F4D4D"/>
          <w:w w:val="65"/>
          <w:sz w:val="15"/>
        </w:rPr>
        <w:t>Ll</w:t>
      </w:r>
      <w:r>
        <w:rPr>
          <w:rFonts w:ascii="Times New Roman" w:hAnsi="Times New Roman"/>
          <w:color w:val="4F4D4D"/>
          <w:spacing w:val="56"/>
          <w:sz w:val="15"/>
        </w:rPr>
        <w:t> </w:t>
      </w:r>
      <w:r>
        <w:rPr>
          <w:rFonts w:ascii="Times New Roman" w:hAnsi="Times New Roman"/>
          <w:color w:val="4F4D4D"/>
          <w:w w:val="65"/>
          <w:sz w:val="15"/>
        </w:rPr>
        <w:t>&lt;,S</w:t>
      </w:r>
      <w:r>
        <w:rPr>
          <w:rFonts w:ascii="Times New Roman" w:hAnsi="Times New Roman"/>
          <w:color w:val="646262"/>
          <w:w w:val="65"/>
          <w:sz w:val="15"/>
        </w:rPr>
        <w:t>J_,..;ll</w:t>
      </w:r>
      <w:r>
        <w:rPr>
          <w:rFonts w:ascii="Times New Roman" w:hAnsi="Times New Roman"/>
          <w:color w:val="646262"/>
          <w:spacing w:val="1"/>
          <w:sz w:val="15"/>
        </w:rPr>
        <w:t> </w:t>
      </w:r>
      <w:r>
        <w:rPr>
          <w:rFonts w:ascii="Times New Roman" w:hAnsi="Times New Roman"/>
          <w:color w:val="4F4D4D"/>
          <w:w w:val="65"/>
          <w:sz w:val="15"/>
        </w:rPr>
        <w:t>r-"'°</w:t>
      </w:r>
      <w:r>
        <w:rPr>
          <w:rFonts w:ascii="Times New Roman" w:hAnsi="Times New Roman"/>
          <w:color w:val="646262"/>
          <w:w w:val="65"/>
          <w:sz w:val="15"/>
        </w:rPr>
        <w:t>_;.I.I</w:t>
      </w:r>
      <w:r>
        <w:rPr>
          <w:rFonts w:ascii="Times New Roman" w:hAnsi="Times New Roman"/>
          <w:color w:val="646262"/>
          <w:spacing w:val="-10"/>
          <w:sz w:val="15"/>
        </w:rPr>
        <w:t> </w:t>
      </w:r>
      <w:r>
        <w:rPr>
          <w:rFonts w:ascii="Verdana" w:hAnsi="Verdana"/>
          <w:i/>
          <w:color w:val="646262"/>
          <w:w w:val="65"/>
          <w:sz w:val="14"/>
        </w:rPr>
        <w:t>.:r-•\:;</w:t>
      </w:r>
      <w:r>
        <w:rPr>
          <w:rFonts w:ascii="Verdana" w:hAnsi="Verdana"/>
          <w:i/>
          <w:color w:val="646262"/>
          <w:spacing w:val="-16"/>
          <w:sz w:val="14"/>
        </w:rPr>
        <w:t> </w:t>
      </w:r>
      <w:r>
        <w:rPr>
          <w:rFonts w:ascii="Verdana" w:hAnsi="Verdana"/>
          <w:i/>
          <w:color w:val="4F4D4D"/>
          <w:w w:val="65"/>
          <w:sz w:val="18"/>
        </w:rPr>
        <w:t>r=-</w:t>
      </w:r>
      <w:r>
        <w:rPr>
          <w:rFonts w:ascii="Verdana" w:hAnsi="Verdana"/>
          <w:i/>
          <w:color w:val="4F4D4D"/>
          <w:spacing w:val="-10"/>
          <w:w w:val="65"/>
          <w:sz w:val="18"/>
        </w:rPr>
        <w:t>'</w:t>
      </w:r>
    </w:p>
    <w:p>
      <w:pPr>
        <w:tabs>
          <w:tab w:pos="3419" w:val="left" w:leader="none"/>
        </w:tabs>
        <w:spacing w:before="52"/>
        <w:ind w:left="224" w:right="0" w:firstLine="0"/>
        <w:jc w:val="left"/>
        <w:rPr>
          <w:rFonts w:ascii="Arial" w:hAnsi="Arial"/>
          <w:sz w:val="22"/>
        </w:rPr>
      </w:pPr>
      <w:r>
        <w:rPr/>
        <w:br w:type="column"/>
      </w:r>
      <w:r>
        <w:rPr>
          <w:rFonts w:ascii="Times New Roman" w:hAnsi="Times New Roman"/>
          <w:b/>
          <w:color w:val="383436"/>
          <w:spacing w:val="-2"/>
          <w:sz w:val="19"/>
        </w:rPr>
        <w:t>Burmese</w:t>
      </w:r>
      <w:r>
        <w:rPr>
          <w:rFonts w:ascii="Times New Roman" w:hAnsi="Times New Roman"/>
          <w:b/>
          <w:color w:val="383436"/>
          <w:sz w:val="19"/>
        </w:rPr>
        <w:tab/>
      </w:r>
      <w:r>
        <w:rPr>
          <w:rFonts w:ascii="Arial" w:hAnsi="Arial"/>
          <w:color w:val="646262"/>
          <w:spacing w:val="-2"/>
          <w:sz w:val="22"/>
        </w:rPr>
        <w:t>§t-</w:t>
      </w:r>
      <w:r>
        <w:rPr>
          <w:rFonts w:ascii="Arial" w:hAnsi="Arial"/>
          <w:color w:val="646262"/>
          <w:spacing w:val="-10"/>
          <w:sz w:val="22"/>
        </w:rPr>
        <w:t>n</w:t>
      </w:r>
    </w:p>
    <w:p>
      <w:pPr>
        <w:spacing w:before="6"/>
        <w:ind w:left="207" w:right="0" w:firstLine="0"/>
        <w:jc w:val="left"/>
        <w:rPr>
          <w:rFonts w:ascii="Times New Roman" w:hAnsi="Times New Roman"/>
          <w:sz w:val="13"/>
        </w:rPr>
      </w:pPr>
      <w:r>
        <w:rPr/>
        <w:drawing>
          <wp:anchor distT="0" distB="0" distL="0" distR="0" allowOverlap="1" layoutInCell="1" locked="0" behindDoc="0" simplePos="0" relativeHeight="15841280">
            <wp:simplePos x="0" y="0"/>
            <wp:positionH relativeFrom="page">
              <wp:posOffset>12221816</wp:posOffset>
            </wp:positionH>
            <wp:positionV relativeFrom="paragraph">
              <wp:posOffset>-99544</wp:posOffset>
            </wp:positionV>
            <wp:extent cx="214299" cy="104140"/>
            <wp:effectExtent l="0" t="0" r="0" b="0"/>
            <wp:wrapNone/>
            <wp:docPr id="354" name="Image 354"/>
            <wp:cNvGraphicFramePr>
              <a:graphicFrameLocks/>
            </wp:cNvGraphicFramePr>
            <a:graphic>
              <a:graphicData uri="http://schemas.openxmlformats.org/drawingml/2006/picture">
                <pic:pic>
                  <pic:nvPicPr>
                    <pic:cNvPr id="354" name="Image 354"/>
                    <pic:cNvPicPr/>
                  </pic:nvPicPr>
                  <pic:blipFill>
                    <a:blip r:embed="rId122" cstate="print"/>
                    <a:stretch>
                      <a:fillRect/>
                    </a:stretch>
                  </pic:blipFill>
                  <pic:spPr>
                    <a:xfrm>
                      <a:off x="0" y="0"/>
                      <a:ext cx="214299" cy="104140"/>
                    </a:xfrm>
                    <a:prstGeom prst="rect">
                      <a:avLst/>
                    </a:prstGeom>
                  </pic:spPr>
                </pic:pic>
              </a:graphicData>
            </a:graphic>
          </wp:anchor>
        </w:drawing>
      </w:r>
      <w:r>
        <w:rPr>
          <w:rFonts w:ascii="Times New Roman" w:hAnsi="Times New Roman"/>
          <w:color w:val="7C7B7B"/>
          <w:w w:val="145"/>
          <w:sz w:val="14"/>
        </w:rPr>
        <w:t>:xi9==0=</w:t>
      </w:r>
      <w:r>
        <w:rPr>
          <w:rFonts w:ascii="Times New Roman" w:hAnsi="Times New Roman"/>
          <w:color w:val="959395"/>
          <w:w w:val="145"/>
          <w:sz w:val="14"/>
        </w:rPr>
        <w:t>:</w:t>
      </w:r>
      <w:r>
        <w:rPr>
          <w:rFonts w:ascii="Times New Roman" w:hAnsi="Times New Roman"/>
          <w:color w:val="7C7B7B"/>
          <w:w w:val="145"/>
          <w:sz w:val="14"/>
        </w:rPr>
        <w:t>1</w:t>
      </w:r>
      <w:r>
        <w:rPr>
          <w:rFonts w:ascii="Times New Roman" w:hAnsi="Times New Roman"/>
          <w:color w:val="7C7B7B"/>
          <w:spacing w:val="75"/>
          <w:w w:val="145"/>
          <w:sz w:val="14"/>
        </w:rPr>
        <w:t> </w:t>
      </w:r>
      <w:r>
        <w:rPr>
          <w:rFonts w:ascii="Times New Roman" w:hAnsi="Times New Roman"/>
          <w:color w:val="646262"/>
          <w:w w:val="145"/>
          <w:sz w:val="13"/>
        </w:rPr>
        <w:t>ai+§J</w:t>
      </w:r>
      <w:r>
        <w:rPr>
          <w:rFonts w:ascii="Times New Roman" w:hAnsi="Times New Roman"/>
          <w:color w:val="959395"/>
          <w:w w:val="145"/>
          <w:sz w:val="13"/>
        </w:rPr>
        <w:t>,</w:t>
      </w:r>
      <w:r>
        <w:rPr>
          <w:rFonts w:ascii="Times New Roman" w:hAnsi="Times New Roman"/>
          <w:color w:val="7C7B7B"/>
          <w:w w:val="145"/>
          <w:sz w:val="14"/>
        </w:rPr>
        <w:t>0an</w:t>
      </w:r>
      <w:r>
        <w:rPr>
          <w:rFonts w:ascii="Times New Roman" w:hAnsi="Times New Roman"/>
          <w:color w:val="959395"/>
          <w:w w:val="145"/>
          <w:sz w:val="14"/>
        </w:rPr>
        <w:t>:</w:t>
      </w:r>
      <w:r>
        <w:rPr>
          <w:rFonts w:ascii="Times New Roman" w:hAnsi="Times New Roman"/>
          <w:color w:val="7C7B7B"/>
          <w:w w:val="145"/>
          <w:sz w:val="14"/>
        </w:rPr>
        <w:t>m</w:t>
      </w:r>
      <w:r>
        <w:rPr>
          <w:rFonts w:ascii="Times New Roman" w:hAnsi="Times New Roman"/>
          <w:color w:val="7C7B7B"/>
          <w:spacing w:val="69"/>
          <w:w w:val="145"/>
          <w:sz w:val="14"/>
        </w:rPr>
        <w:t> </w:t>
      </w:r>
      <w:r>
        <w:rPr>
          <w:rFonts w:ascii="Times New Roman" w:hAnsi="Times New Roman"/>
          <w:color w:val="7C7B7B"/>
          <w:spacing w:val="-2"/>
          <w:sz w:val="13"/>
        </w:rPr>
        <w:t>Go&gt;TGu</w:t>
      </w:r>
      <w:r>
        <w:rPr>
          <w:rFonts w:ascii="Times New Roman" w:hAnsi="Times New Roman"/>
          <w:color w:val="959395"/>
          <w:spacing w:val="-2"/>
          <w:sz w:val="13"/>
        </w:rPr>
        <w:t>:</w:t>
      </w:r>
      <w:r>
        <w:rPr>
          <w:rFonts w:ascii="Times New Roman" w:hAnsi="Times New Roman"/>
          <w:color w:val="7C7B7B"/>
          <w:spacing w:val="-2"/>
          <w:sz w:val="13"/>
        </w:rPr>
        <w:t>Jo,oS</w:t>
      </w:r>
      <w:r>
        <w:rPr>
          <w:rFonts w:ascii="Times New Roman" w:hAnsi="Times New Roman"/>
          <w:color w:val="959395"/>
          <w:spacing w:val="-2"/>
          <w:sz w:val="13"/>
        </w:rPr>
        <w:t>,</w:t>
      </w:r>
    </w:p>
    <w:p>
      <w:pPr>
        <w:spacing w:before="45"/>
        <w:ind w:left="207" w:right="0" w:firstLine="0"/>
        <w:jc w:val="left"/>
        <w:rPr>
          <w:rFonts w:ascii="Times New Roman" w:hAnsi="Times New Roman"/>
          <w:sz w:val="13"/>
        </w:rPr>
      </w:pPr>
      <w:r>
        <w:rPr>
          <w:rFonts w:ascii="Times New Roman" w:hAnsi="Times New Roman"/>
          <w:color w:val="7C7B7B"/>
          <w:spacing w:val="-2"/>
          <w:sz w:val="13"/>
        </w:rPr>
        <w:t>:x&gt;93':l"30)</w:t>
      </w:r>
      <w:r>
        <w:rPr>
          <w:rFonts w:ascii="Times New Roman" w:hAnsi="Times New Roman"/>
          <w:color w:val="7C7B7B"/>
          <w:spacing w:val="6"/>
          <w:sz w:val="13"/>
        </w:rPr>
        <w:t> </w:t>
      </w:r>
      <w:r>
        <w:rPr>
          <w:rFonts w:ascii="Times New Roman" w:hAnsi="Times New Roman"/>
          <w:color w:val="7C7B7B"/>
          <w:spacing w:val="-2"/>
          <w:sz w:val="13"/>
        </w:rPr>
        <w:t>&lt;lO'n</w:t>
      </w:r>
      <w:r>
        <w:rPr>
          <w:rFonts w:ascii="Times New Roman" w:hAnsi="Times New Roman"/>
          <w:color w:val="959395"/>
          <w:spacing w:val="-2"/>
          <w:sz w:val="13"/>
        </w:rPr>
        <w:t>:</w:t>
      </w:r>
      <w:r>
        <w:rPr>
          <w:rFonts w:ascii="Times New Roman" w:hAnsi="Times New Roman"/>
          <w:color w:val="7C7B7B"/>
          <w:spacing w:val="-2"/>
          <w:sz w:val="13"/>
        </w:rPr>
        <w:t>§¥</w:t>
      </w:r>
      <w:r>
        <w:rPr>
          <w:rFonts w:ascii="Times New Roman" w:hAnsi="Times New Roman"/>
          <w:color w:val="7C7B7B"/>
          <w:spacing w:val="5"/>
          <w:sz w:val="13"/>
        </w:rPr>
        <w:t> </w:t>
      </w:r>
      <w:r>
        <w:rPr>
          <w:rFonts w:ascii="Times New Roman" w:hAnsi="Times New Roman"/>
          <w:color w:val="7C7B7B"/>
          <w:spacing w:val="-2"/>
          <w:sz w:val="13"/>
        </w:rPr>
        <w:t>CT.lo&gt;</w:t>
      </w:r>
      <w:r>
        <w:rPr>
          <w:rFonts w:ascii="Times New Roman" w:hAnsi="Times New Roman"/>
          <w:color w:val="7C7B7B"/>
          <w:spacing w:val="5"/>
          <w:sz w:val="13"/>
        </w:rPr>
        <w:t> </w:t>
      </w:r>
      <w:r>
        <w:rPr>
          <w:rFonts w:ascii="Times New Roman" w:hAnsi="Times New Roman"/>
          <w:color w:val="7C7B7B"/>
          <w:spacing w:val="-2"/>
          <w:sz w:val="13"/>
        </w:rPr>
        <w:t>Gu:Jo,oSn</w:t>
      </w:r>
    </w:p>
    <w:p>
      <w:pPr>
        <w:spacing w:after="0"/>
        <w:jc w:val="left"/>
        <w:rPr>
          <w:rFonts w:ascii="Times New Roman" w:hAnsi="Times New Roman"/>
          <w:sz w:val="13"/>
        </w:rPr>
        <w:sectPr>
          <w:type w:val="continuous"/>
          <w:pgSz w:w="20160" w:h="12240" w:orient="landscape"/>
          <w:pgMar w:header="0" w:footer="0" w:top="1820" w:bottom="280" w:left="380" w:right="120"/>
          <w:cols w:num="5" w:equalWidth="0">
            <w:col w:w="4272" w:space="728"/>
            <w:col w:w="4252" w:space="783"/>
            <w:col w:w="823" w:space="344"/>
            <w:col w:w="3052" w:space="766"/>
            <w:col w:w="4640"/>
          </w:cols>
        </w:sectPr>
      </w:pPr>
    </w:p>
    <w:p>
      <w:pPr>
        <w:spacing w:line="209" w:lineRule="exact" w:before="98"/>
        <w:ind w:left="188" w:right="0" w:firstLine="0"/>
        <w:jc w:val="left"/>
        <w:rPr>
          <w:rFonts w:ascii="Times New Roman"/>
          <w:b/>
          <w:sz w:val="19"/>
        </w:rPr>
      </w:pPr>
      <w:r>
        <w:rPr>
          <w:rFonts w:ascii="Times New Roman"/>
          <w:b/>
          <w:color w:val="383436"/>
          <w:spacing w:val="-2"/>
          <w:sz w:val="19"/>
        </w:rPr>
        <w:t>Gujarati</w:t>
      </w:r>
    </w:p>
    <w:p>
      <w:pPr>
        <w:spacing w:before="88"/>
        <w:ind w:left="188" w:right="0" w:firstLine="0"/>
        <w:jc w:val="left"/>
        <w:rPr>
          <w:rFonts w:ascii="Times New Roman"/>
          <w:b/>
          <w:sz w:val="19"/>
        </w:rPr>
      </w:pPr>
      <w:r>
        <w:rPr/>
        <w:br w:type="column"/>
      </w:r>
      <w:r>
        <w:rPr>
          <w:position w:val="-2"/>
        </w:rPr>
        <w:drawing>
          <wp:inline distT="0" distB="0" distL="0" distR="0">
            <wp:extent cx="214306" cy="104140"/>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100" cstate="print"/>
                    <a:stretch>
                      <a:fillRect/>
                    </a:stretch>
                  </pic:blipFill>
                  <pic:spPr>
                    <a:xfrm>
                      <a:off x="0" y="0"/>
                      <a:ext cx="214306" cy="104140"/>
                    </a:xfrm>
                    <a:prstGeom prst="rect">
                      <a:avLst/>
                    </a:prstGeom>
                  </pic:spPr>
                </pic:pic>
              </a:graphicData>
            </a:graphic>
          </wp:inline>
        </w:drawing>
      </w:r>
      <w:r>
        <w:rPr>
          <w:position w:val="-2"/>
        </w:rPr>
      </w:r>
      <w:r>
        <w:rPr>
          <w:rFonts w:ascii="Times New Roman"/>
          <w:spacing w:val="80"/>
          <w:w w:val="150"/>
          <w:sz w:val="20"/>
        </w:rPr>
        <w:t>     </w:t>
      </w:r>
      <w:r>
        <w:rPr>
          <w:rFonts w:ascii="Times New Roman"/>
          <w:b/>
          <w:color w:val="383436"/>
          <w:w w:val="110"/>
          <w:sz w:val="19"/>
        </w:rPr>
        <w:t>French</w:t>
      </w:r>
    </w:p>
    <w:p>
      <w:pPr>
        <w:spacing w:before="78"/>
        <w:ind w:left="188" w:right="0" w:firstLine="0"/>
        <w:jc w:val="left"/>
        <w:rPr>
          <w:rFonts w:ascii="Times New Roman"/>
          <w:sz w:val="19"/>
        </w:rPr>
      </w:pPr>
      <w:r>
        <w:rPr/>
        <w:br w:type="column"/>
      </w:r>
      <w:r>
        <w:rPr>
          <w:rFonts w:ascii="Times New Roman"/>
          <w:color w:val="383436"/>
          <w:sz w:val="19"/>
        </w:rPr>
        <w:t>Frarn;:ais</w:t>
      </w:r>
      <w:r>
        <w:rPr>
          <w:rFonts w:ascii="Times New Roman"/>
          <w:color w:val="383436"/>
          <w:spacing w:val="19"/>
          <w:sz w:val="19"/>
        </w:rPr>
        <w:t> </w:t>
      </w:r>
      <w:r>
        <w:rPr>
          <w:rFonts w:ascii="Times New Roman"/>
          <w:color w:val="383436"/>
          <w:spacing w:val="9"/>
          <w:position w:val="-2"/>
          <w:sz w:val="19"/>
        </w:rPr>
        <w:drawing>
          <wp:inline distT="0" distB="0" distL="0" distR="0">
            <wp:extent cx="214306" cy="104140"/>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05" cstate="print"/>
                    <a:stretch>
                      <a:fillRect/>
                    </a:stretch>
                  </pic:blipFill>
                  <pic:spPr>
                    <a:xfrm>
                      <a:off x="0" y="0"/>
                      <a:ext cx="214306" cy="104140"/>
                    </a:xfrm>
                    <a:prstGeom prst="rect">
                      <a:avLst/>
                    </a:prstGeom>
                  </pic:spPr>
                </pic:pic>
              </a:graphicData>
            </a:graphic>
          </wp:inline>
        </w:drawing>
      </w:r>
      <w:r>
        <w:rPr>
          <w:rFonts w:ascii="Times New Roman"/>
          <w:color w:val="383436"/>
          <w:spacing w:val="9"/>
          <w:position w:val="-2"/>
          <w:sz w:val="19"/>
        </w:rPr>
      </w:r>
    </w:p>
    <w:p>
      <w:pPr>
        <w:spacing w:line="240" w:lineRule="auto" w:before="2"/>
        <w:rPr>
          <w:rFonts w:ascii="Times New Roman"/>
          <w:sz w:val="5"/>
        </w:rPr>
      </w:pPr>
      <w:r>
        <w:rPr/>
        <w:br w:type="column"/>
      </w:r>
      <w:r>
        <w:rPr>
          <w:rFonts w:ascii="Times New Roman"/>
          <w:sz w:val="5"/>
        </w:rPr>
      </w:r>
    </w:p>
    <w:p>
      <w:pPr>
        <w:pStyle w:val="BodyText"/>
        <w:spacing w:line="20" w:lineRule="exact"/>
        <w:ind w:left="91" w:right="-72"/>
        <w:rPr>
          <w:rFonts w:ascii="Times New Roman"/>
          <w:sz w:val="2"/>
        </w:rPr>
      </w:pPr>
      <w:r>
        <w:rPr>
          <w:rFonts w:ascii="Times New Roman"/>
          <w:sz w:val="2"/>
        </w:rPr>
        <mc:AlternateContent>
          <mc:Choice Requires="wps">
            <w:drawing>
              <wp:inline distT="0" distB="0" distL="0" distR="0">
                <wp:extent cx="2616200" cy="3175"/>
                <wp:effectExtent l="9525" t="0" r="0" b="6350"/>
                <wp:docPr id="357" name="Group 357"/>
                <wp:cNvGraphicFramePr>
                  <a:graphicFrameLocks/>
                </wp:cNvGraphicFramePr>
                <a:graphic>
                  <a:graphicData uri="http://schemas.microsoft.com/office/word/2010/wordprocessingGroup">
                    <wpg:wgp>
                      <wpg:cNvPr id="357" name="Group 357"/>
                      <wpg:cNvGrpSpPr/>
                      <wpg:grpSpPr>
                        <a:xfrm>
                          <a:off x="0" y="0"/>
                          <a:ext cx="2616200" cy="3175"/>
                          <a:chExt cx="2616200" cy="3175"/>
                        </a:xfrm>
                      </wpg:grpSpPr>
                      <wps:wsp>
                        <wps:cNvPr id="358" name="Graphic 35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60" coordorigin="0,0" coordsize="4120,5">
                <v:shape style="position:absolute;left:0;top:2;width:4120;height:2" id="docshape26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097" w:val="left" w:leader="none"/>
        </w:tabs>
        <w:spacing w:before="0"/>
        <w:ind w:left="188" w:right="0" w:firstLine="0"/>
        <w:jc w:val="left"/>
        <w:rPr>
          <w:rFonts w:ascii="Arial"/>
          <w:sz w:val="17"/>
        </w:rPr>
      </w:pPr>
      <w:r>
        <w:rPr/>
        <w:drawing>
          <wp:anchor distT="0" distB="0" distL="0" distR="0" allowOverlap="1" layoutInCell="1" locked="0" behindDoc="0" simplePos="0" relativeHeight="15845376">
            <wp:simplePos x="0" y="0"/>
            <wp:positionH relativeFrom="page">
              <wp:posOffset>9053054</wp:posOffset>
            </wp:positionH>
            <wp:positionV relativeFrom="paragraph">
              <wp:posOffset>39997</wp:posOffset>
            </wp:positionV>
            <wp:extent cx="214299" cy="104140"/>
            <wp:effectExtent l="0" t="0" r="0" b="0"/>
            <wp:wrapNone/>
            <wp:docPr id="359" name="Image 359"/>
            <wp:cNvGraphicFramePr>
              <a:graphicFrameLocks/>
            </wp:cNvGraphicFramePr>
            <a:graphic>
              <a:graphicData uri="http://schemas.openxmlformats.org/drawingml/2006/picture">
                <pic:pic>
                  <pic:nvPicPr>
                    <pic:cNvPr id="359" name="Image 359"/>
                    <pic:cNvPicPr/>
                  </pic:nvPicPr>
                  <pic:blipFill>
                    <a:blip r:embed="rId103" cstate="print"/>
                    <a:stretch>
                      <a:fillRect/>
                    </a:stretch>
                  </pic:blipFill>
                  <pic:spPr>
                    <a:xfrm>
                      <a:off x="0" y="0"/>
                      <a:ext cx="214299" cy="104140"/>
                    </a:xfrm>
                    <a:prstGeom prst="rect">
                      <a:avLst/>
                    </a:prstGeom>
                  </pic:spPr>
                </pic:pic>
              </a:graphicData>
            </a:graphic>
          </wp:anchor>
        </w:drawing>
      </w:r>
      <w:r>
        <w:rPr>
          <w:rFonts w:ascii="Times New Roman"/>
          <w:b/>
          <w:color w:val="383436"/>
          <w:spacing w:val="-2"/>
          <w:w w:val="105"/>
          <w:sz w:val="19"/>
        </w:rPr>
        <w:t>Armenian</w:t>
      </w:r>
      <w:r>
        <w:rPr>
          <w:rFonts w:ascii="Times New Roman"/>
          <w:b/>
          <w:color w:val="383436"/>
          <w:sz w:val="19"/>
        </w:rPr>
        <w:tab/>
      </w:r>
      <w:r>
        <w:rPr>
          <w:rFonts w:ascii="Arial"/>
          <w:color w:val="383436"/>
          <w:spacing w:val="-2"/>
          <w:w w:val="105"/>
          <w:sz w:val="17"/>
        </w:rPr>
        <w:t>,wJbr,tG</w:t>
      </w:r>
    </w:p>
    <w:p>
      <w:pPr>
        <w:spacing w:line="240" w:lineRule="auto" w:before="5"/>
        <w:rPr>
          <w:rFonts w:ascii="Arial"/>
          <w:sz w:val="3"/>
        </w:rPr>
      </w:pPr>
      <w:r>
        <w:rPr/>
        <w:br w:type="column"/>
      </w:r>
      <w:r>
        <w:rPr>
          <w:rFonts w:ascii="Arial"/>
          <w:sz w:val="3"/>
        </w:rPr>
      </w:r>
    </w:p>
    <w:p>
      <w:pPr>
        <w:pStyle w:val="BodyText"/>
        <w:spacing w:line="20" w:lineRule="exact"/>
        <w:ind w:left="96"/>
        <w:rPr>
          <w:rFonts w:ascii="Arial"/>
          <w:sz w:val="2"/>
        </w:rPr>
      </w:pPr>
      <w:r>
        <w:rPr>
          <w:rFonts w:ascii="Arial"/>
          <w:sz w:val="2"/>
        </w:rPr>
        <mc:AlternateContent>
          <mc:Choice Requires="wps">
            <w:drawing>
              <wp:inline distT="0" distB="0" distL="0" distR="0">
                <wp:extent cx="2616200" cy="3175"/>
                <wp:effectExtent l="9525" t="0" r="0" b="6350"/>
                <wp:docPr id="360" name="Group 360"/>
                <wp:cNvGraphicFramePr>
                  <a:graphicFrameLocks/>
                </wp:cNvGraphicFramePr>
                <a:graphic>
                  <a:graphicData uri="http://schemas.microsoft.com/office/word/2010/wordprocessingGroup">
                    <wpg:wgp>
                      <wpg:cNvPr id="360" name="Group 360"/>
                      <wpg:cNvGrpSpPr/>
                      <wpg:grpSpPr>
                        <a:xfrm>
                          <a:off x="0" y="0"/>
                          <a:ext cx="2616200" cy="3175"/>
                          <a:chExt cx="2616200" cy="3175"/>
                        </a:xfrm>
                      </wpg:grpSpPr>
                      <wps:wsp>
                        <wps:cNvPr id="361" name="Graphic 361"/>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62" coordorigin="0,0" coordsize="4120,5">
                <v:shape style="position:absolute;left:0;top:2;width:4120;height:2" id="docshape263"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3158" w:val="left" w:leader="none"/>
        </w:tabs>
        <w:spacing w:before="19"/>
        <w:ind w:left="188" w:right="0" w:firstLine="0"/>
        <w:jc w:val="left"/>
        <w:rPr>
          <w:rFonts w:ascii="Times New Roman"/>
          <w:sz w:val="19"/>
        </w:rPr>
      </w:pPr>
      <w:r>
        <w:rPr/>
        <w:drawing>
          <wp:anchor distT="0" distB="0" distL="0" distR="0" allowOverlap="1" layoutInCell="1" locked="0" behindDoc="0" simplePos="0" relativeHeight="15841792">
            <wp:simplePos x="0" y="0"/>
            <wp:positionH relativeFrom="page">
              <wp:posOffset>12221816</wp:posOffset>
            </wp:positionH>
            <wp:positionV relativeFrom="paragraph">
              <wp:posOffset>68648</wp:posOffset>
            </wp:positionV>
            <wp:extent cx="214299" cy="104140"/>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123" cstate="print"/>
                    <a:stretch>
                      <a:fillRect/>
                    </a:stretch>
                  </pic:blipFill>
                  <pic:spPr>
                    <a:xfrm>
                      <a:off x="0" y="0"/>
                      <a:ext cx="214299" cy="104140"/>
                    </a:xfrm>
                    <a:prstGeom prst="rect">
                      <a:avLst/>
                    </a:prstGeom>
                  </pic:spPr>
                </pic:pic>
              </a:graphicData>
            </a:graphic>
          </wp:anchor>
        </w:drawing>
      </w:r>
      <w:r>
        <w:rPr>
          <w:rFonts w:ascii="Times New Roman"/>
          <w:b/>
          <w:color w:val="383436"/>
          <w:spacing w:val="-2"/>
          <w:w w:val="110"/>
          <w:sz w:val="19"/>
        </w:rPr>
        <w:t>Hmong</w:t>
      </w:r>
      <w:r>
        <w:rPr>
          <w:rFonts w:ascii="Times New Roman"/>
          <w:b/>
          <w:color w:val="383436"/>
          <w:sz w:val="19"/>
        </w:rPr>
        <w:tab/>
      </w:r>
      <w:r>
        <w:rPr>
          <w:rFonts w:ascii="Times New Roman"/>
          <w:color w:val="383436"/>
          <w:spacing w:val="-2"/>
          <w:w w:val="110"/>
          <w:sz w:val="19"/>
        </w:rPr>
        <w:t>Hrnoob</w:t>
      </w:r>
    </w:p>
    <w:p>
      <w:pPr>
        <w:spacing w:after="0"/>
        <w:jc w:val="left"/>
        <w:rPr>
          <w:rFonts w:ascii="Times New Roman"/>
          <w:sz w:val="19"/>
        </w:rPr>
        <w:sectPr>
          <w:type w:val="continuous"/>
          <w:pgSz w:w="20160" w:h="12240" w:orient="landscape"/>
          <w:pgMar w:header="0" w:footer="0" w:top="1820" w:bottom="280" w:left="380" w:right="120"/>
          <w:cols w:num="5" w:equalWidth="0">
            <w:col w:w="943" w:space="2762"/>
            <w:col w:w="2180" w:space="2028"/>
            <w:col w:w="1342" w:space="793"/>
            <w:col w:w="4207" w:space="778"/>
            <w:col w:w="4627"/>
          </w:cols>
        </w:sectPr>
      </w:pPr>
    </w:p>
    <w:p>
      <w:pPr>
        <w:spacing w:before="72"/>
        <w:ind w:left="215" w:right="0" w:firstLine="0"/>
        <w:jc w:val="left"/>
        <w:rPr>
          <w:rFonts w:ascii="Arial" w:hAnsi="Arial"/>
          <w:sz w:val="12"/>
        </w:rPr>
      </w:pPr>
      <w:r>
        <w:rPr>
          <w:rFonts w:ascii="Arial" w:hAnsi="Arial"/>
          <w:color w:val="646262"/>
          <w:w w:val="90"/>
          <w:sz w:val="12"/>
        </w:rPr>
        <w:t>,vu</w:t>
      </w:r>
      <w:r>
        <w:rPr>
          <w:rFonts w:ascii="Arial" w:hAnsi="Arial"/>
          <w:color w:val="646262"/>
          <w:spacing w:val="10"/>
          <w:sz w:val="12"/>
        </w:rPr>
        <w:t> </w:t>
      </w:r>
      <w:r>
        <w:rPr>
          <w:rFonts w:ascii="Arial" w:hAnsi="Arial"/>
          <w:color w:val="646262"/>
          <w:w w:val="90"/>
          <w:sz w:val="12"/>
        </w:rPr>
        <w:t>(&gt;{L"I.Lct'L</w:t>
      </w:r>
      <w:r>
        <w:rPr>
          <w:rFonts w:ascii="Arial" w:hAnsi="Arial"/>
          <w:color w:val="646262"/>
          <w:spacing w:val="32"/>
          <w:sz w:val="12"/>
        </w:rPr>
        <w:t> </w:t>
      </w:r>
      <w:r>
        <w:rPr>
          <w:rFonts w:ascii="Arial" w:hAnsi="Arial"/>
          <w:color w:val="646262"/>
          <w:w w:val="90"/>
          <w:sz w:val="12"/>
        </w:rPr>
        <w:t>0c-&lt;:-t"i.</w:t>
      </w:r>
      <w:r>
        <w:rPr>
          <w:rFonts w:ascii="Arial" w:hAnsi="Arial"/>
          <w:color w:val="646262"/>
          <w:spacing w:val="23"/>
          <w:sz w:val="12"/>
        </w:rPr>
        <w:t> </w:t>
      </w:r>
      <w:r>
        <w:rPr>
          <w:rFonts w:ascii="Arial" w:hAnsi="Arial"/>
          <w:color w:val="646262"/>
          <w:w w:val="90"/>
          <w:sz w:val="12"/>
        </w:rPr>
        <w:t>s?'L.</w:t>
      </w:r>
      <w:r>
        <w:rPr>
          <w:rFonts w:ascii="Arial" w:hAnsi="Arial"/>
          <w:color w:val="646262"/>
          <w:spacing w:val="21"/>
          <w:sz w:val="12"/>
        </w:rPr>
        <w:t> </w:t>
      </w:r>
      <w:r>
        <w:rPr>
          <w:rFonts w:ascii="Arial" w:hAnsi="Arial"/>
          <w:color w:val="4F4D4D"/>
          <w:w w:val="90"/>
          <w:sz w:val="12"/>
        </w:rPr>
        <w:t>§c&gt;{LL'l«L&lt;t</w:t>
      </w:r>
      <w:r>
        <w:rPr>
          <w:rFonts w:ascii="Arial" w:hAnsi="Arial"/>
          <w:color w:val="4F4D4D"/>
          <w:spacing w:val="30"/>
          <w:sz w:val="12"/>
        </w:rPr>
        <w:t> </w:t>
      </w:r>
      <w:r>
        <w:rPr>
          <w:rFonts w:ascii="Arial" w:hAnsi="Arial"/>
          <w:color w:val="4F4D4D"/>
          <w:w w:val="90"/>
          <w:sz w:val="12"/>
        </w:rPr>
        <w:t>&lt;&gt;1.'Lc-ucll</w:t>
      </w:r>
      <w:r>
        <w:rPr>
          <w:rFonts w:ascii="Arial" w:hAnsi="Arial"/>
          <w:color w:val="4F4D4D"/>
          <w:spacing w:val="57"/>
          <w:sz w:val="12"/>
        </w:rPr>
        <w:t> </w:t>
      </w:r>
      <w:r>
        <w:rPr>
          <w:rFonts w:ascii="Arial" w:hAnsi="Arial"/>
          <w:color w:val="4F4D4D"/>
          <w:w w:val="90"/>
          <w:sz w:val="12"/>
        </w:rPr>
        <w:t>LSL</w:t>
      </w:r>
      <w:r>
        <w:rPr>
          <w:rFonts w:ascii="Arial" w:hAnsi="Arial"/>
          <w:color w:val="4F4D4D"/>
          <w:spacing w:val="-2"/>
          <w:w w:val="90"/>
          <w:sz w:val="12"/>
        </w:rPr>
        <w:t> </w:t>
      </w:r>
      <w:r>
        <w:rPr>
          <w:rFonts w:ascii="Arial" w:hAnsi="Arial"/>
          <w:color w:val="4F4D4D"/>
          <w:spacing w:val="-10"/>
          <w:w w:val="90"/>
          <w:sz w:val="12"/>
        </w:rPr>
        <w:t>L</w:t>
      </w:r>
    </w:p>
    <w:p>
      <w:pPr>
        <w:spacing w:line="95" w:lineRule="exact" w:before="44"/>
        <w:ind w:left="224" w:right="0" w:firstLine="0"/>
        <w:jc w:val="left"/>
        <w:rPr>
          <w:rFonts w:ascii="Arial"/>
          <w:sz w:val="12"/>
        </w:rPr>
      </w:pPr>
      <w:r>
        <w:rPr>
          <w:rFonts w:ascii="Arial"/>
          <w:color w:val="4F4D4D"/>
          <w:sz w:val="12"/>
        </w:rPr>
        <w:t>f.(&gt;{LL'l'&lt;L&lt;t</w:t>
      </w:r>
      <w:r>
        <w:rPr>
          <w:rFonts w:ascii="Arial"/>
          <w:color w:val="4F4D4D"/>
          <w:spacing w:val="18"/>
          <w:sz w:val="12"/>
        </w:rPr>
        <w:t> </w:t>
      </w:r>
      <w:r>
        <w:rPr>
          <w:rFonts w:ascii="Times New Roman"/>
          <w:color w:val="4F4D4D"/>
          <w:sz w:val="12"/>
        </w:rPr>
        <w:t>"1.LC-{qqll{L</w:t>
      </w:r>
      <w:r>
        <w:rPr>
          <w:rFonts w:ascii="Times New Roman"/>
          <w:color w:val="4F4D4D"/>
          <w:spacing w:val="38"/>
          <w:sz w:val="12"/>
        </w:rPr>
        <w:t> </w:t>
      </w:r>
      <w:r>
        <w:rPr>
          <w:rFonts w:ascii="Times New Roman"/>
          <w:color w:val="4F4D4D"/>
          <w:sz w:val="12"/>
        </w:rPr>
        <w:t>ct.'-ll</w:t>
      </w:r>
      <w:r>
        <w:rPr>
          <w:rFonts w:ascii="Times New Roman"/>
          <w:color w:val="4F4D4D"/>
          <w:spacing w:val="36"/>
          <w:sz w:val="12"/>
        </w:rPr>
        <w:t> </w:t>
      </w:r>
      <w:r>
        <w:rPr>
          <w:rFonts w:ascii="Arial"/>
          <w:color w:val="4F4D4D"/>
          <w:sz w:val="12"/>
        </w:rPr>
        <w:t>"i.,(</w:t>
      </w:r>
      <w:r>
        <w:rPr>
          <w:rFonts w:ascii="Arial"/>
          <w:color w:val="4F4D4D"/>
          <w:spacing w:val="10"/>
          <w:w w:val="130"/>
          <w:sz w:val="12"/>
        </w:rPr>
        <w:t> </w:t>
      </w:r>
      <w:r>
        <w:rPr>
          <w:rFonts w:ascii="Times New Roman"/>
          <w:color w:val="4F4D4D"/>
          <w:w w:val="130"/>
          <w:sz w:val="12"/>
        </w:rPr>
        <w:t>"ll'lql</w:t>
      </w:r>
      <w:r>
        <w:rPr>
          <w:rFonts w:ascii="Times New Roman"/>
          <w:color w:val="4F4D4D"/>
          <w:spacing w:val="17"/>
          <w:w w:val="130"/>
          <w:sz w:val="12"/>
        </w:rPr>
        <w:t> </w:t>
      </w:r>
      <w:r>
        <w:rPr>
          <w:rFonts w:ascii="Arial"/>
          <w:color w:val="4F4D4D"/>
          <w:sz w:val="12"/>
        </w:rPr>
        <w:t>ctik</w:t>
      </w:r>
      <w:r>
        <w:rPr>
          <w:rFonts w:ascii="Arial"/>
          <w:color w:val="4F4D4D"/>
          <w:spacing w:val="20"/>
          <w:sz w:val="12"/>
        </w:rPr>
        <w:t> </w:t>
      </w:r>
      <w:r>
        <w:rPr>
          <w:rFonts w:ascii="Arial"/>
          <w:color w:val="4F4D4D"/>
          <w:spacing w:val="-5"/>
          <w:sz w:val="12"/>
        </w:rPr>
        <w:t>115</w:t>
      </w:r>
    </w:p>
    <w:p>
      <w:pPr>
        <w:spacing w:line="200" w:lineRule="atLeast" w:before="0"/>
        <w:ind w:left="215" w:right="0" w:firstLine="2"/>
        <w:jc w:val="left"/>
        <w:rPr>
          <w:rFonts w:ascii="Times New Roman"/>
          <w:sz w:val="17"/>
        </w:rPr>
      </w:pPr>
      <w:r>
        <w:rPr/>
        <w:br w:type="column"/>
      </w:r>
      <w:r>
        <w:rPr>
          <w:rFonts w:ascii="Times New Roman"/>
          <w:color w:val="383436"/>
          <w:w w:val="105"/>
          <w:sz w:val="17"/>
        </w:rPr>
        <w:t>Pointez </w:t>
      </w:r>
      <w:r>
        <w:rPr>
          <w:rFonts w:ascii="Times New Roman"/>
          <w:color w:val="4F4D4D"/>
          <w:w w:val="105"/>
          <w:sz w:val="17"/>
        </w:rPr>
        <w:t>vers</w:t>
      </w:r>
      <w:r>
        <w:rPr>
          <w:rFonts w:ascii="Times New Roman"/>
          <w:color w:val="4F4D4D"/>
          <w:spacing w:val="-4"/>
          <w:w w:val="105"/>
          <w:sz w:val="17"/>
        </w:rPr>
        <w:t> </w:t>
      </w:r>
      <w:r>
        <w:rPr>
          <w:rFonts w:ascii="Times New Roman"/>
          <w:color w:val="4F4D4D"/>
          <w:w w:val="105"/>
          <w:sz w:val="17"/>
        </w:rPr>
        <w:t>votre </w:t>
      </w:r>
      <w:r>
        <w:rPr>
          <w:rFonts w:ascii="Times New Roman"/>
          <w:color w:val="383436"/>
          <w:w w:val="105"/>
          <w:sz w:val="17"/>
        </w:rPr>
        <w:t>langue</w:t>
      </w:r>
      <w:r>
        <w:rPr>
          <w:rFonts w:ascii="Times New Roman"/>
          <w:color w:val="383436"/>
          <w:spacing w:val="-4"/>
          <w:w w:val="105"/>
          <w:sz w:val="17"/>
        </w:rPr>
        <w:t> </w:t>
      </w:r>
      <w:r>
        <w:rPr>
          <w:rFonts w:ascii="Times New Roman"/>
          <w:color w:val="383436"/>
          <w:w w:val="105"/>
          <w:sz w:val="17"/>
        </w:rPr>
        <w:t>et</w:t>
      </w:r>
      <w:r>
        <w:rPr>
          <w:rFonts w:ascii="Times New Roman"/>
          <w:color w:val="383436"/>
          <w:spacing w:val="-9"/>
          <w:w w:val="105"/>
          <w:sz w:val="17"/>
        </w:rPr>
        <w:t> </w:t>
      </w:r>
      <w:r>
        <w:rPr>
          <w:rFonts w:ascii="Times New Roman"/>
          <w:color w:val="383436"/>
          <w:w w:val="105"/>
          <w:sz w:val="17"/>
        </w:rPr>
        <w:t>on</w:t>
      </w:r>
      <w:r>
        <w:rPr>
          <w:rFonts w:ascii="Times New Roman"/>
          <w:color w:val="383436"/>
          <w:spacing w:val="-6"/>
          <w:w w:val="105"/>
          <w:sz w:val="17"/>
        </w:rPr>
        <w:t> </w:t>
      </w:r>
      <w:r>
        <w:rPr>
          <w:rFonts w:ascii="Times New Roman"/>
          <w:color w:val="383436"/>
          <w:w w:val="105"/>
          <w:sz w:val="17"/>
        </w:rPr>
        <w:t>appellera</w:t>
      </w:r>
      <w:r>
        <w:rPr>
          <w:rFonts w:ascii="Times New Roman"/>
          <w:color w:val="383436"/>
          <w:w w:val="105"/>
          <w:sz w:val="17"/>
        </w:rPr>
        <w:t> un </w:t>
      </w:r>
      <w:r>
        <w:rPr>
          <w:rFonts w:ascii="Times New Roman"/>
          <w:color w:val="4F4D4D"/>
          <w:w w:val="105"/>
          <w:sz w:val="17"/>
        </w:rPr>
        <w:t>interprete </w:t>
      </w:r>
      <w:r>
        <w:rPr>
          <w:rFonts w:ascii="Times New Roman"/>
          <w:color w:val="383436"/>
          <w:w w:val="105"/>
          <w:sz w:val="17"/>
        </w:rPr>
        <w:t>qui vous </w:t>
      </w:r>
      <w:r>
        <w:rPr>
          <w:rFonts w:ascii="Times New Roman"/>
          <w:color w:val="4F4D4D"/>
          <w:w w:val="105"/>
          <w:sz w:val="17"/>
        </w:rPr>
        <w:t>sera </w:t>
      </w:r>
      <w:r>
        <w:rPr>
          <w:rFonts w:ascii="Times New Roman"/>
          <w:color w:val="383436"/>
          <w:w w:val="105"/>
          <w:sz w:val="17"/>
        </w:rPr>
        <w:t>fourni </w:t>
      </w:r>
      <w:r>
        <w:rPr>
          <w:rFonts w:ascii="Times New Roman"/>
          <w:color w:val="4F4D4D"/>
          <w:w w:val="105"/>
          <w:sz w:val="17"/>
        </w:rPr>
        <w:t>gratuitement.</w:t>
      </w:r>
    </w:p>
    <w:p>
      <w:pPr>
        <w:spacing w:line="156" w:lineRule="exact" w:before="0"/>
        <w:ind w:left="215" w:right="0" w:firstLine="0"/>
        <w:jc w:val="left"/>
        <w:rPr>
          <w:rFonts w:ascii="Arial" w:hAnsi="Arial"/>
          <w:sz w:val="14"/>
        </w:rPr>
      </w:pPr>
      <w:r>
        <w:rPr/>
        <w:br w:type="column"/>
      </w:r>
      <w:r>
        <w:rPr>
          <w:rFonts w:ascii="Arial" w:hAnsi="Arial"/>
          <w:color w:val="383436"/>
          <w:spacing w:val="-4"/>
          <w:sz w:val="13"/>
        </w:rPr>
        <w:t>8nJg</w:t>
      </w:r>
      <w:r>
        <w:rPr>
          <w:rFonts w:ascii="Arial" w:hAnsi="Arial"/>
          <w:color w:val="383436"/>
          <w:spacing w:val="7"/>
          <w:sz w:val="13"/>
        </w:rPr>
        <w:t> </w:t>
      </w:r>
      <w:r>
        <w:rPr>
          <w:rFonts w:ascii="Arial" w:hAnsi="Arial"/>
          <w:color w:val="383436"/>
          <w:spacing w:val="-4"/>
          <w:sz w:val="14"/>
        </w:rPr>
        <w:t>LnmtQ</w:t>
      </w:r>
      <w:r>
        <w:rPr>
          <w:rFonts w:ascii="Arial" w:hAnsi="Arial"/>
          <w:color w:val="383436"/>
          <w:spacing w:val="13"/>
          <w:sz w:val="14"/>
        </w:rPr>
        <w:t> </w:t>
      </w:r>
      <w:r>
        <w:rPr>
          <w:rFonts w:ascii="Arial" w:hAnsi="Arial"/>
          <w:color w:val="383436"/>
          <w:spacing w:val="-4"/>
          <w:sz w:val="13"/>
        </w:rPr>
        <w:t>n</w:t>
      </w:r>
      <w:r>
        <w:rPr>
          <w:rFonts w:ascii="Arial" w:hAnsi="Arial"/>
          <w:color w:val="7C7B7B"/>
          <w:spacing w:val="-4"/>
          <w:sz w:val="13"/>
        </w:rPr>
        <w:t>·</w:t>
      </w:r>
      <w:r>
        <w:rPr>
          <w:rFonts w:ascii="Arial" w:hAnsi="Arial"/>
          <w:color w:val="383436"/>
          <w:spacing w:val="-4"/>
          <w:sz w:val="13"/>
        </w:rPr>
        <w:t>r</w:t>
      </w:r>
      <w:r>
        <w:rPr>
          <w:rFonts w:ascii="Arial" w:hAnsi="Arial"/>
          <w:color w:val="383436"/>
          <w:spacing w:val="29"/>
          <w:sz w:val="13"/>
        </w:rPr>
        <w:t> </w:t>
      </w:r>
      <w:r>
        <w:rPr>
          <w:rFonts w:ascii="Arial" w:hAnsi="Arial"/>
          <w:color w:val="383436"/>
          <w:spacing w:val="-4"/>
          <w:sz w:val="14"/>
        </w:rPr>
        <w:t>ut4</w:t>
      </w:r>
      <w:r>
        <w:rPr>
          <w:rFonts w:ascii="Arial" w:hAnsi="Arial"/>
          <w:color w:val="383436"/>
          <w:spacing w:val="8"/>
          <w:sz w:val="14"/>
        </w:rPr>
        <w:t> </w:t>
      </w:r>
      <w:r>
        <w:rPr>
          <w:rFonts w:ascii="Arial" w:hAnsi="Arial"/>
          <w:color w:val="383436"/>
          <w:spacing w:val="-4"/>
          <w:sz w:val="14"/>
        </w:rPr>
        <w:t>LbqmG</w:t>
      </w:r>
      <w:r>
        <w:rPr>
          <w:rFonts w:ascii="Arial" w:hAnsi="Arial"/>
          <w:color w:val="383436"/>
          <w:spacing w:val="23"/>
          <w:sz w:val="14"/>
        </w:rPr>
        <w:t> </w:t>
      </w:r>
      <w:r>
        <w:rPr>
          <w:rFonts w:ascii="Arial" w:hAnsi="Arial"/>
          <w:color w:val="383436"/>
          <w:spacing w:val="-4"/>
          <w:sz w:val="14"/>
        </w:rPr>
        <w:t>4D</w:t>
      </w:r>
      <w:r>
        <w:rPr>
          <w:rFonts w:ascii="Arial" w:hAnsi="Arial"/>
          <w:color w:val="383436"/>
          <w:spacing w:val="12"/>
          <w:sz w:val="14"/>
        </w:rPr>
        <w:t> </w:t>
      </w:r>
      <w:r>
        <w:rPr>
          <w:rFonts w:ascii="Arial" w:hAnsi="Arial"/>
          <w:color w:val="383436"/>
          <w:spacing w:val="-4"/>
          <w:sz w:val="14"/>
        </w:rPr>
        <w:t>tuoutii;1</w:t>
      </w:r>
      <w:r>
        <w:rPr>
          <w:rFonts w:ascii="Arial" w:hAnsi="Arial"/>
          <w:color w:val="7C7B7B"/>
          <w:spacing w:val="-4"/>
          <w:sz w:val="14"/>
        </w:rPr>
        <w:t>'</w:t>
      </w:r>
      <w:r>
        <w:rPr>
          <w:rFonts w:ascii="Arial" w:hAnsi="Arial"/>
          <w:color w:val="7C7B7B"/>
          <w:spacing w:val="-6"/>
          <w:sz w:val="14"/>
        </w:rPr>
        <w:t> </w:t>
      </w:r>
      <w:r>
        <w:rPr>
          <w:rFonts w:ascii="Arial" w:hAnsi="Arial"/>
          <w:color w:val="383436"/>
          <w:spacing w:val="-4"/>
          <w:sz w:val="14"/>
        </w:rPr>
        <w:t>@wpquwGtit</w:t>
      </w:r>
      <w:r>
        <w:rPr>
          <w:rFonts w:ascii="Arial" w:hAnsi="Arial"/>
          <w:color w:val="383436"/>
          <w:spacing w:val="20"/>
          <w:sz w:val="14"/>
        </w:rPr>
        <w:t> </w:t>
      </w:r>
      <w:r>
        <w:rPr>
          <w:rFonts w:ascii="Arial" w:hAnsi="Arial"/>
          <w:color w:val="383436"/>
          <w:spacing w:val="-5"/>
          <w:sz w:val="14"/>
        </w:rPr>
        <w:t>uo</w:t>
      </w:r>
    </w:p>
    <w:p>
      <w:pPr>
        <w:spacing w:line="109" w:lineRule="exact" w:before="84"/>
        <w:ind w:left="219" w:right="0" w:firstLine="0"/>
        <w:jc w:val="left"/>
        <w:rPr>
          <w:rFonts w:ascii="Arial"/>
          <w:sz w:val="14"/>
        </w:rPr>
      </w:pPr>
      <w:r>
        <w:rPr>
          <w:rFonts w:ascii="Arial"/>
          <w:color w:val="383436"/>
          <w:w w:val="90"/>
          <w:sz w:val="14"/>
        </w:rPr>
        <w:t>4wGtbL</w:t>
      </w:r>
      <w:r>
        <w:rPr>
          <w:rFonts w:ascii="Arial"/>
          <w:color w:val="383436"/>
          <w:spacing w:val="22"/>
          <w:sz w:val="14"/>
        </w:rPr>
        <w:t> </w:t>
      </w:r>
      <w:r>
        <w:rPr>
          <w:rFonts w:ascii="Arial"/>
          <w:color w:val="383436"/>
          <w:w w:val="90"/>
          <w:sz w:val="14"/>
        </w:rPr>
        <w:t>4D</w:t>
      </w:r>
      <w:r>
        <w:rPr>
          <w:rFonts w:ascii="Arial"/>
          <w:color w:val="383436"/>
          <w:spacing w:val="13"/>
          <w:sz w:val="14"/>
        </w:rPr>
        <w:t> </w:t>
      </w:r>
      <w:r>
        <w:rPr>
          <w:rFonts w:ascii="Arial"/>
          <w:color w:val="383436"/>
          <w:w w:val="90"/>
          <w:sz w:val="14"/>
        </w:rPr>
        <w:t>LnWGQ.</w:t>
      </w:r>
      <w:r>
        <w:rPr>
          <w:rFonts w:ascii="Arial"/>
          <w:color w:val="383436"/>
          <w:spacing w:val="27"/>
          <w:sz w:val="14"/>
        </w:rPr>
        <w:t> </w:t>
      </w:r>
      <w:r>
        <w:rPr>
          <w:rFonts w:ascii="Arial"/>
          <w:color w:val="383436"/>
          <w:w w:val="90"/>
          <w:sz w:val="14"/>
        </w:rPr>
        <w:t>@wpquwGtiw</w:t>
      </w:r>
      <w:r>
        <w:rPr>
          <w:rFonts w:ascii="Arial"/>
          <w:color w:val="383436"/>
          <w:spacing w:val="38"/>
          <w:sz w:val="14"/>
        </w:rPr>
        <w:t> </w:t>
      </w:r>
      <w:r>
        <w:rPr>
          <w:rFonts w:ascii="Arial"/>
          <w:color w:val="383436"/>
          <w:w w:val="90"/>
          <w:sz w:val="14"/>
        </w:rPr>
        <w:t>4D</w:t>
      </w:r>
      <w:r>
        <w:rPr>
          <w:rFonts w:ascii="Arial"/>
          <w:color w:val="383436"/>
          <w:spacing w:val="12"/>
          <w:sz w:val="14"/>
        </w:rPr>
        <w:t> </w:t>
      </w:r>
      <w:r>
        <w:rPr>
          <w:rFonts w:ascii="Arial"/>
          <w:color w:val="383436"/>
          <w:w w:val="90"/>
          <w:sz w:val="14"/>
        </w:rPr>
        <w:t>Lnpwuwrwmti</w:t>
      </w:r>
      <w:r>
        <w:rPr>
          <w:rFonts w:ascii="Arial"/>
          <w:color w:val="383436"/>
          <w:spacing w:val="30"/>
          <w:sz w:val="14"/>
        </w:rPr>
        <w:t> </w:t>
      </w:r>
      <w:r>
        <w:rPr>
          <w:rFonts w:ascii="Arial"/>
          <w:color w:val="383436"/>
          <w:spacing w:val="-2"/>
          <w:w w:val="90"/>
          <w:sz w:val="14"/>
        </w:rPr>
        <w:t>wGL[!'.iwp.</w:t>
      </w:r>
    </w:p>
    <w:p>
      <w:pPr>
        <w:spacing w:line="247" w:lineRule="auto" w:before="0"/>
        <w:ind w:left="223" w:right="172" w:hanging="9"/>
        <w:jc w:val="left"/>
        <w:rPr>
          <w:rFonts w:ascii="Times New Roman"/>
          <w:sz w:val="17"/>
        </w:rPr>
      </w:pPr>
      <w:r>
        <w:rPr/>
        <w:br w:type="column"/>
      </w:r>
      <w:r>
        <w:rPr>
          <w:rFonts w:ascii="Times New Roman"/>
          <w:color w:val="4F4D4D"/>
          <w:spacing w:val="-6"/>
          <w:sz w:val="17"/>
        </w:rPr>
        <w:t>Taw</w:t>
      </w:r>
      <w:r>
        <w:rPr>
          <w:rFonts w:ascii="Times New Roman"/>
          <w:color w:val="4F4D4D"/>
          <w:spacing w:val="-5"/>
          <w:sz w:val="17"/>
        </w:rPr>
        <w:t> </w:t>
      </w:r>
      <w:r>
        <w:rPr>
          <w:rFonts w:ascii="Times New Roman"/>
          <w:color w:val="4F4D4D"/>
          <w:spacing w:val="-6"/>
          <w:sz w:val="17"/>
        </w:rPr>
        <w:t>rau</w:t>
      </w:r>
      <w:r>
        <w:rPr>
          <w:rFonts w:ascii="Times New Roman"/>
          <w:color w:val="4F4D4D"/>
          <w:spacing w:val="-5"/>
          <w:sz w:val="17"/>
        </w:rPr>
        <w:t> </w:t>
      </w:r>
      <w:r>
        <w:rPr>
          <w:rFonts w:ascii="Times New Roman"/>
          <w:color w:val="383436"/>
          <w:spacing w:val="-6"/>
          <w:sz w:val="17"/>
        </w:rPr>
        <w:t>koj</w:t>
      </w:r>
      <w:r>
        <w:rPr>
          <w:rFonts w:ascii="Times New Roman"/>
          <w:color w:val="383436"/>
          <w:spacing w:val="-4"/>
          <w:sz w:val="17"/>
        </w:rPr>
        <w:t> </w:t>
      </w:r>
      <w:r>
        <w:rPr>
          <w:rFonts w:ascii="Times New Roman"/>
          <w:color w:val="383436"/>
          <w:spacing w:val="-6"/>
          <w:sz w:val="17"/>
        </w:rPr>
        <w:t>horn</w:t>
      </w:r>
      <w:r>
        <w:rPr>
          <w:rFonts w:ascii="Times New Roman"/>
          <w:color w:val="383436"/>
          <w:spacing w:val="-5"/>
          <w:sz w:val="17"/>
        </w:rPr>
        <w:t> </w:t>
      </w:r>
      <w:r>
        <w:rPr>
          <w:rFonts w:ascii="Times New Roman"/>
          <w:color w:val="383436"/>
          <w:spacing w:val="-6"/>
          <w:sz w:val="17"/>
        </w:rPr>
        <w:t>lus.</w:t>
      </w:r>
      <w:r>
        <w:rPr>
          <w:rFonts w:ascii="Times New Roman"/>
          <w:color w:val="383436"/>
          <w:spacing w:val="-5"/>
          <w:sz w:val="17"/>
        </w:rPr>
        <w:t> </w:t>
      </w:r>
      <w:r>
        <w:rPr>
          <w:rFonts w:ascii="Times New Roman"/>
          <w:color w:val="383436"/>
          <w:spacing w:val="-6"/>
          <w:sz w:val="17"/>
        </w:rPr>
        <w:t>Yuav</w:t>
      </w:r>
      <w:r>
        <w:rPr>
          <w:rFonts w:ascii="Times New Roman"/>
          <w:color w:val="383436"/>
          <w:spacing w:val="-4"/>
          <w:sz w:val="17"/>
        </w:rPr>
        <w:t> </w:t>
      </w:r>
      <w:r>
        <w:rPr>
          <w:rFonts w:ascii="Times New Roman"/>
          <w:color w:val="383436"/>
          <w:spacing w:val="-6"/>
          <w:sz w:val="17"/>
        </w:rPr>
        <w:t>hu</w:t>
      </w:r>
      <w:r>
        <w:rPr>
          <w:rFonts w:ascii="Times New Roman"/>
          <w:color w:val="383436"/>
          <w:spacing w:val="-2"/>
          <w:sz w:val="17"/>
        </w:rPr>
        <w:t> </w:t>
      </w:r>
      <w:r>
        <w:rPr>
          <w:rFonts w:ascii="Times New Roman"/>
          <w:color w:val="383436"/>
          <w:spacing w:val="-6"/>
          <w:sz w:val="17"/>
        </w:rPr>
        <w:t>rau</w:t>
      </w:r>
      <w:r>
        <w:rPr>
          <w:rFonts w:ascii="Times New Roman"/>
          <w:color w:val="383436"/>
          <w:spacing w:val="-2"/>
          <w:sz w:val="17"/>
        </w:rPr>
        <w:t> </w:t>
      </w:r>
      <w:r>
        <w:rPr>
          <w:rFonts w:ascii="Times New Roman"/>
          <w:color w:val="383436"/>
          <w:spacing w:val="-6"/>
          <w:sz w:val="17"/>
        </w:rPr>
        <w:t>ib</w:t>
      </w:r>
      <w:r>
        <w:rPr>
          <w:rFonts w:ascii="Times New Roman"/>
          <w:color w:val="383436"/>
          <w:spacing w:val="-5"/>
          <w:sz w:val="17"/>
        </w:rPr>
        <w:t> </w:t>
      </w:r>
      <w:r>
        <w:rPr>
          <w:rFonts w:ascii="Times New Roman"/>
          <w:color w:val="4F4D4D"/>
          <w:spacing w:val="-6"/>
          <w:sz w:val="17"/>
        </w:rPr>
        <w:t>tug</w:t>
      </w:r>
      <w:r>
        <w:rPr>
          <w:rFonts w:ascii="Times New Roman"/>
          <w:color w:val="4F4D4D"/>
          <w:spacing w:val="-5"/>
          <w:sz w:val="17"/>
        </w:rPr>
        <w:t> </w:t>
      </w:r>
      <w:r>
        <w:rPr>
          <w:rFonts w:ascii="Times New Roman"/>
          <w:color w:val="383436"/>
          <w:spacing w:val="-6"/>
          <w:sz w:val="17"/>
        </w:rPr>
        <w:t>neeg</w:t>
      </w:r>
      <w:r>
        <w:rPr>
          <w:rFonts w:ascii="Times New Roman"/>
          <w:color w:val="383436"/>
          <w:spacing w:val="-4"/>
          <w:sz w:val="17"/>
        </w:rPr>
        <w:t> </w:t>
      </w:r>
      <w:r>
        <w:rPr>
          <w:rFonts w:ascii="Times New Roman"/>
          <w:color w:val="383436"/>
          <w:spacing w:val="-6"/>
          <w:sz w:val="17"/>
        </w:rPr>
        <w:t>txhais</w:t>
      </w:r>
      <w:r>
        <w:rPr>
          <w:rFonts w:ascii="Times New Roman"/>
          <w:color w:val="383436"/>
          <w:spacing w:val="-3"/>
          <w:sz w:val="17"/>
        </w:rPr>
        <w:t> </w:t>
      </w:r>
      <w:r>
        <w:rPr>
          <w:rFonts w:ascii="Times New Roman"/>
          <w:color w:val="383436"/>
          <w:spacing w:val="-6"/>
          <w:sz w:val="17"/>
        </w:rPr>
        <w:t>lus.</w:t>
      </w:r>
      <w:r>
        <w:rPr>
          <w:rFonts w:ascii="Times New Roman"/>
          <w:color w:val="383436"/>
          <w:spacing w:val="-5"/>
          <w:sz w:val="17"/>
        </w:rPr>
        <w:t> </w:t>
      </w:r>
      <w:r>
        <w:rPr>
          <w:rFonts w:ascii="Times New Roman"/>
          <w:color w:val="383436"/>
          <w:spacing w:val="-6"/>
          <w:sz w:val="17"/>
        </w:rPr>
        <w:t>Yuav</w:t>
      </w:r>
      <w:r>
        <w:rPr>
          <w:rFonts w:ascii="Times New Roman"/>
          <w:color w:val="383436"/>
          <w:sz w:val="17"/>
        </w:rPr>
        <w:t> muaj</w:t>
      </w:r>
      <w:r>
        <w:rPr>
          <w:rFonts w:ascii="Times New Roman"/>
          <w:color w:val="383436"/>
          <w:spacing w:val="-8"/>
          <w:sz w:val="17"/>
        </w:rPr>
        <w:t> </w:t>
      </w:r>
      <w:r>
        <w:rPr>
          <w:rFonts w:ascii="Times New Roman"/>
          <w:color w:val="383436"/>
          <w:sz w:val="17"/>
        </w:rPr>
        <w:t>neeg</w:t>
      </w:r>
      <w:r>
        <w:rPr>
          <w:rFonts w:ascii="Times New Roman"/>
          <w:color w:val="383436"/>
          <w:spacing w:val="-10"/>
          <w:sz w:val="17"/>
        </w:rPr>
        <w:t> </w:t>
      </w:r>
      <w:r>
        <w:rPr>
          <w:rFonts w:ascii="Times New Roman"/>
          <w:color w:val="4F4D4D"/>
          <w:sz w:val="17"/>
        </w:rPr>
        <w:t>txhais</w:t>
      </w:r>
      <w:r>
        <w:rPr>
          <w:rFonts w:ascii="Times New Roman"/>
          <w:color w:val="4F4D4D"/>
          <w:spacing w:val="-7"/>
          <w:sz w:val="17"/>
        </w:rPr>
        <w:t> </w:t>
      </w:r>
      <w:r>
        <w:rPr>
          <w:rFonts w:ascii="Times New Roman"/>
          <w:color w:val="383436"/>
          <w:sz w:val="17"/>
        </w:rPr>
        <w:t>lus</w:t>
      </w:r>
      <w:r>
        <w:rPr>
          <w:rFonts w:ascii="Times New Roman"/>
          <w:color w:val="383436"/>
          <w:spacing w:val="-9"/>
          <w:sz w:val="17"/>
        </w:rPr>
        <w:t> </w:t>
      </w:r>
      <w:r>
        <w:rPr>
          <w:rFonts w:ascii="Times New Roman"/>
          <w:color w:val="4F4D4D"/>
          <w:sz w:val="17"/>
        </w:rPr>
        <w:t>yam</w:t>
      </w:r>
      <w:r>
        <w:rPr>
          <w:rFonts w:ascii="Times New Roman"/>
          <w:color w:val="4F4D4D"/>
          <w:spacing w:val="-2"/>
          <w:sz w:val="17"/>
        </w:rPr>
        <w:t> </w:t>
      </w:r>
      <w:r>
        <w:rPr>
          <w:rFonts w:ascii="Times New Roman"/>
          <w:color w:val="383436"/>
          <w:sz w:val="17"/>
        </w:rPr>
        <w:t>uas</w:t>
      </w:r>
      <w:r>
        <w:rPr>
          <w:rFonts w:ascii="Times New Roman"/>
          <w:color w:val="383436"/>
          <w:spacing w:val="-11"/>
          <w:sz w:val="17"/>
        </w:rPr>
        <w:t> </w:t>
      </w:r>
      <w:r>
        <w:rPr>
          <w:rFonts w:ascii="Times New Roman"/>
          <w:color w:val="383436"/>
          <w:sz w:val="17"/>
        </w:rPr>
        <w:t>koj</w:t>
      </w:r>
      <w:r>
        <w:rPr>
          <w:rFonts w:ascii="Times New Roman"/>
          <w:color w:val="383436"/>
          <w:spacing w:val="-11"/>
          <w:sz w:val="17"/>
        </w:rPr>
        <w:t> </w:t>
      </w:r>
      <w:r>
        <w:rPr>
          <w:rFonts w:ascii="Times New Roman"/>
          <w:color w:val="383436"/>
          <w:sz w:val="17"/>
        </w:rPr>
        <w:t>tsis</w:t>
      </w:r>
      <w:r>
        <w:rPr>
          <w:rFonts w:ascii="Times New Roman"/>
          <w:color w:val="383436"/>
          <w:spacing w:val="-9"/>
          <w:sz w:val="17"/>
        </w:rPr>
        <w:t> </w:t>
      </w:r>
      <w:r>
        <w:rPr>
          <w:rFonts w:ascii="Times New Roman"/>
          <w:color w:val="383436"/>
          <w:sz w:val="17"/>
        </w:rPr>
        <w:t>tau</w:t>
      </w:r>
      <w:r>
        <w:rPr>
          <w:rFonts w:ascii="Times New Roman"/>
          <w:color w:val="383436"/>
          <w:spacing w:val="-7"/>
          <w:sz w:val="17"/>
        </w:rPr>
        <w:t> </w:t>
      </w:r>
      <w:r>
        <w:rPr>
          <w:rFonts w:ascii="Times New Roman"/>
          <w:color w:val="383436"/>
          <w:sz w:val="17"/>
        </w:rPr>
        <w:t>them</w:t>
      </w:r>
      <w:r>
        <w:rPr>
          <w:rFonts w:ascii="Times New Roman"/>
          <w:color w:val="383436"/>
          <w:spacing w:val="-9"/>
          <w:sz w:val="17"/>
        </w:rPr>
        <w:t> </w:t>
      </w:r>
      <w:r>
        <w:rPr>
          <w:rFonts w:ascii="Times New Roman"/>
          <w:color w:val="383436"/>
          <w:sz w:val="17"/>
        </w:rPr>
        <w:t>dab</w:t>
      </w:r>
      <w:r>
        <w:rPr>
          <w:rFonts w:ascii="Times New Roman"/>
          <w:color w:val="383436"/>
          <w:spacing w:val="-11"/>
          <w:sz w:val="17"/>
        </w:rPr>
        <w:t> </w:t>
      </w:r>
      <w:r>
        <w:rPr>
          <w:rFonts w:ascii="Times New Roman"/>
          <w:color w:val="383436"/>
          <w:sz w:val="17"/>
        </w:rPr>
        <w:t>tsi.</w:t>
      </w:r>
    </w:p>
    <w:p>
      <w:pPr>
        <w:spacing w:after="0" w:line="247" w:lineRule="auto"/>
        <w:jc w:val="left"/>
        <w:rPr>
          <w:rFonts w:ascii="Times New Roman"/>
          <w:sz w:val="17"/>
        </w:rPr>
        <w:sectPr>
          <w:type w:val="continuous"/>
          <w:pgSz w:w="20160" w:h="12240" w:orient="landscape"/>
          <w:pgMar w:header="0" w:footer="0" w:top="1820" w:bottom="280" w:left="380" w:right="120"/>
          <w:cols w:num="4" w:equalWidth="0">
            <w:col w:w="3431" w:space="1589"/>
            <w:col w:w="4142" w:space="889"/>
            <w:col w:w="4006" w:space="962"/>
            <w:col w:w="4641"/>
          </w:cols>
        </w:sectPr>
      </w:pPr>
    </w:p>
    <w:p>
      <w:pPr>
        <w:tabs>
          <w:tab w:pos="3575" w:val="left" w:leader="none"/>
        </w:tabs>
        <w:spacing w:line="267" w:lineRule="exact" w:before="0"/>
        <w:ind w:left="211" w:right="0" w:firstLine="0"/>
        <w:jc w:val="left"/>
        <w:rPr>
          <w:rFonts w:ascii="Verdana"/>
          <w:i/>
          <w:sz w:val="29"/>
        </w:rPr>
      </w:pPr>
      <w:r>
        <w:rPr/>
        <mc:AlternateContent>
          <mc:Choice Requires="wps">
            <w:drawing>
              <wp:anchor distT="0" distB="0" distL="0" distR="0" allowOverlap="1" layoutInCell="1" locked="0" behindDoc="0" simplePos="0" relativeHeight="15837184">
                <wp:simplePos x="0" y="0"/>
                <wp:positionH relativeFrom="page">
                  <wp:posOffset>330200</wp:posOffset>
                </wp:positionH>
                <wp:positionV relativeFrom="paragraph">
                  <wp:posOffset>10567</wp:posOffset>
                </wp:positionV>
                <wp:extent cx="2616200" cy="1270"/>
                <wp:effectExtent l="0" t="0" r="0" b="0"/>
                <wp:wrapNone/>
                <wp:docPr id="363" name="Graphic 363"/>
                <wp:cNvGraphicFramePr>
                  <a:graphicFrameLocks/>
                </wp:cNvGraphicFramePr>
                <a:graphic>
                  <a:graphicData uri="http://schemas.microsoft.com/office/word/2010/wordprocessingShape">
                    <wps:wsp>
                      <wps:cNvPr id="363" name="Graphic 363"/>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6pt;margin-top:.832073pt;width:206pt;height:.1pt;mso-position-horizontal-relative:page;mso-position-vertical-relative:paragraph;z-index:15837184" id="docshape264" coordorigin="520,17" coordsize="4120,0" path="m520,17l1164,17,2580,17,3996,17,4640,17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40256">
            <wp:simplePos x="0" y="0"/>
            <wp:positionH relativeFrom="page">
              <wp:posOffset>2713955</wp:posOffset>
            </wp:positionH>
            <wp:positionV relativeFrom="paragraph">
              <wp:posOffset>69478</wp:posOffset>
            </wp:positionV>
            <wp:extent cx="214306" cy="104139"/>
            <wp:effectExtent l="0" t="0" r="0" b="0"/>
            <wp:wrapNone/>
            <wp:docPr id="364" name="Image 364"/>
            <wp:cNvGraphicFramePr>
              <a:graphicFrameLocks/>
            </wp:cNvGraphicFramePr>
            <a:graphic>
              <a:graphicData uri="http://schemas.openxmlformats.org/drawingml/2006/picture">
                <pic:pic>
                  <pic:nvPicPr>
                    <pic:cNvPr id="364" name="Image 364"/>
                    <pic:cNvPicPr/>
                  </pic:nvPicPr>
                  <pic:blipFill>
                    <a:blip r:embed="rId101" cstate="print"/>
                    <a:stretch>
                      <a:fillRect/>
                    </a:stretch>
                  </pic:blipFill>
                  <pic:spPr>
                    <a:xfrm>
                      <a:off x="0" y="0"/>
                      <a:ext cx="214306" cy="104139"/>
                    </a:xfrm>
                    <a:prstGeom prst="rect">
                      <a:avLst/>
                    </a:prstGeom>
                  </pic:spPr>
                </pic:pic>
              </a:graphicData>
            </a:graphic>
          </wp:anchor>
        </w:drawing>
      </w:r>
      <w:r>
        <w:rPr>
          <w:rFonts w:ascii="Times New Roman"/>
          <w:b/>
          <w:color w:val="383436"/>
          <w:spacing w:val="-2"/>
          <w:w w:val="105"/>
          <w:sz w:val="19"/>
        </w:rPr>
        <w:t>Hindi</w:t>
      </w:r>
      <w:r>
        <w:rPr>
          <w:rFonts w:ascii="Times New Roman"/>
          <w:b/>
          <w:color w:val="383436"/>
          <w:sz w:val="19"/>
        </w:rPr>
        <w:tab/>
      </w:r>
      <w:r>
        <w:rPr>
          <w:rFonts w:ascii="Verdana"/>
          <w:i/>
          <w:color w:val="383436"/>
          <w:spacing w:val="-10"/>
          <w:w w:val="105"/>
          <w:sz w:val="29"/>
        </w:rPr>
        <w:t>m</w:t>
      </w:r>
    </w:p>
    <w:p>
      <w:pPr>
        <w:tabs>
          <w:tab w:pos="3090" w:val="left" w:leader="none"/>
        </w:tabs>
        <w:spacing w:line="231" w:lineRule="exact" w:before="0"/>
        <w:ind w:left="226" w:right="0" w:firstLine="0"/>
        <w:jc w:val="left"/>
        <w:rPr>
          <w:rFonts w:ascii="Times New Roman"/>
          <w:sz w:val="15"/>
        </w:rPr>
      </w:pPr>
      <w:r>
        <w:rPr>
          <w:rFonts w:ascii="Times New Roman"/>
          <w:color w:val="383436"/>
          <w:w w:val="70"/>
          <w:sz w:val="20"/>
        </w:rPr>
        <w:t>3Nft</w:t>
      </w:r>
      <w:r>
        <w:rPr>
          <w:rFonts w:ascii="Times New Roman"/>
          <w:color w:val="383436"/>
          <w:spacing w:val="14"/>
          <w:sz w:val="20"/>
        </w:rPr>
        <w:t> </w:t>
      </w:r>
      <w:r>
        <w:rPr>
          <w:rFonts w:ascii="Arial"/>
          <w:color w:val="383436"/>
          <w:w w:val="70"/>
          <w:sz w:val="14"/>
        </w:rPr>
        <w:t>'lTI'!I</w:t>
      </w:r>
      <w:r>
        <w:rPr>
          <w:rFonts w:ascii="Arial"/>
          <w:color w:val="383436"/>
          <w:spacing w:val="-1"/>
          <w:sz w:val="14"/>
        </w:rPr>
        <w:t> </w:t>
      </w:r>
      <w:r>
        <w:rPr>
          <w:rFonts w:ascii="Times New Roman"/>
          <w:color w:val="383436"/>
          <w:w w:val="70"/>
          <w:sz w:val="15"/>
        </w:rPr>
        <w:t>-qi:</w:t>
      </w:r>
      <w:r>
        <w:rPr>
          <w:rFonts w:ascii="Times New Roman"/>
          <w:color w:val="383436"/>
          <w:spacing w:val="-5"/>
          <w:sz w:val="15"/>
        </w:rPr>
        <w:t> </w:t>
      </w:r>
      <w:r>
        <w:rPr>
          <w:rFonts w:ascii="Arial"/>
          <w:color w:val="383436"/>
          <w:w w:val="70"/>
          <w:sz w:val="20"/>
        </w:rPr>
        <w:t>.TiIB</w:t>
      </w:r>
      <w:r>
        <w:rPr>
          <w:rFonts w:ascii="Arial"/>
          <w:color w:val="383436"/>
          <w:spacing w:val="-12"/>
          <w:sz w:val="20"/>
        </w:rPr>
        <w:t> </w:t>
      </w:r>
      <w:r>
        <w:rPr>
          <w:rFonts w:ascii="Arial"/>
          <w:color w:val="4F4D4D"/>
          <w:w w:val="70"/>
          <w:sz w:val="20"/>
        </w:rPr>
        <w:t>cfi1'</w:t>
      </w:r>
      <w:r>
        <w:rPr>
          <w:rFonts w:ascii="Arial"/>
          <w:color w:val="4F4D4D"/>
          <w:spacing w:val="-1"/>
          <w:sz w:val="20"/>
        </w:rPr>
        <w:t> </w:t>
      </w:r>
      <w:r>
        <w:rPr>
          <w:rFonts w:ascii="Times New Roman"/>
          <w:color w:val="383436"/>
          <w:w w:val="70"/>
          <w:sz w:val="23"/>
        </w:rPr>
        <w:t>3ffi</w:t>
      </w:r>
      <w:r>
        <w:rPr>
          <w:rFonts w:ascii="Times New Roman"/>
          <w:color w:val="383436"/>
          <w:spacing w:val="-8"/>
          <w:sz w:val="23"/>
        </w:rPr>
        <w:t> </w:t>
      </w:r>
      <w:r>
        <w:rPr>
          <w:rFonts w:ascii="Arial"/>
          <w:color w:val="383436"/>
          <w:spacing w:val="-2"/>
          <w:w w:val="70"/>
          <w:sz w:val="14"/>
        </w:rPr>
        <w:t>l;cfi</w:t>
      </w:r>
      <w:r>
        <w:rPr>
          <w:rFonts w:ascii="Arial"/>
          <w:color w:val="383436"/>
          <w:sz w:val="14"/>
        </w:rPr>
        <w:tab/>
      </w:r>
      <w:r>
        <w:rPr>
          <w:rFonts w:ascii="Times New Roman"/>
          <w:color w:val="383436"/>
          <w:spacing w:val="-10"/>
          <w:w w:val="95"/>
          <w:sz w:val="15"/>
        </w:rPr>
        <w:t>I</w:t>
      </w:r>
    </w:p>
    <w:p>
      <w:pPr>
        <w:spacing w:line="171" w:lineRule="exact" w:before="0"/>
        <w:ind w:left="274" w:right="0" w:firstLine="0"/>
        <w:jc w:val="left"/>
        <w:rPr>
          <w:rFonts w:ascii="Times New Roman"/>
          <w:sz w:val="15"/>
        </w:rPr>
      </w:pPr>
      <w:r>
        <w:rPr>
          <w:rFonts w:ascii="Times New Roman"/>
          <w:color w:val="4F4D4D"/>
          <w:spacing w:val="-2"/>
          <w:w w:val="145"/>
          <w:sz w:val="15"/>
        </w:rPr>
        <w:t>cfi!</w:t>
      </w:r>
      <w:r>
        <w:rPr>
          <w:rFonts w:ascii="Times New Roman"/>
          <w:color w:val="4F4D4D"/>
          <w:spacing w:val="10"/>
          <w:w w:val="145"/>
          <w:sz w:val="15"/>
        </w:rPr>
        <w:t> </w:t>
      </w:r>
      <w:r>
        <w:rPr>
          <w:rFonts w:ascii="Times New Roman"/>
          <w:color w:val="4F4D4D"/>
          <w:spacing w:val="-2"/>
          <w:w w:val="145"/>
          <w:sz w:val="15"/>
        </w:rPr>
        <w:t>,3nq-qi:f.Fnfc!;zj\15fi;[</w:t>
      </w:r>
      <w:r>
        <w:rPr>
          <w:rFonts w:ascii="Times New Roman"/>
          <w:color w:val="4F4D4D"/>
          <w:spacing w:val="11"/>
          <w:w w:val="145"/>
          <w:sz w:val="15"/>
        </w:rPr>
        <w:t> </w:t>
      </w:r>
      <w:r>
        <w:rPr>
          <w:rFonts w:ascii="Times New Roman"/>
          <w:color w:val="4F4D4D"/>
          <w:spacing w:val="-2"/>
          <w:w w:val="145"/>
          <w:sz w:val="15"/>
        </w:rPr>
        <w:t>-wn"1Riltl</w:t>
      </w:r>
    </w:p>
    <w:p>
      <w:pPr>
        <w:pStyle w:val="BodyText"/>
        <w:spacing w:before="7"/>
        <w:rPr>
          <w:rFonts w:ascii="Times New Roman"/>
          <w:sz w:val="4"/>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365" name="Group 365"/>
                <wp:cNvGraphicFramePr>
                  <a:graphicFrameLocks/>
                </wp:cNvGraphicFramePr>
                <a:graphic>
                  <a:graphicData uri="http://schemas.microsoft.com/office/word/2010/wordprocessingGroup">
                    <wpg:wgp>
                      <wpg:cNvPr id="365" name="Group 365"/>
                      <wpg:cNvGrpSpPr/>
                      <wpg:grpSpPr>
                        <a:xfrm>
                          <a:off x="0" y="0"/>
                          <a:ext cx="2616200" cy="3175"/>
                          <a:chExt cx="2616200" cy="3175"/>
                        </a:xfrm>
                      </wpg:grpSpPr>
                      <wps:wsp>
                        <wps:cNvPr id="366" name="Graphic 36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65" coordorigin="0,0" coordsize="4120,5">
                <v:shape style="position:absolute;left:0;top:2;width:4120;height:2" id="docshape266"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line="217" w:lineRule="exact" w:before="118"/>
        <w:ind w:left="211" w:right="0" w:firstLine="0"/>
        <w:jc w:val="left"/>
        <w:rPr>
          <w:rFonts w:ascii="Times New Roman"/>
          <w:b/>
          <w:sz w:val="19"/>
        </w:rPr>
      </w:pPr>
      <w:r>
        <w:rPr/>
        <w:br w:type="column"/>
      </w:r>
      <w:r>
        <w:rPr>
          <w:rFonts w:ascii="Times New Roman"/>
          <w:b/>
          <w:color w:val="383436"/>
          <w:spacing w:val="-2"/>
          <w:w w:val="110"/>
          <w:sz w:val="19"/>
        </w:rPr>
        <w:t>Hausa</w:t>
      </w:r>
    </w:p>
    <w:p>
      <w:pPr>
        <w:spacing w:line="247" w:lineRule="auto" w:before="0"/>
        <w:ind w:left="233" w:right="0" w:hanging="6"/>
        <w:jc w:val="left"/>
        <w:rPr>
          <w:rFonts w:ascii="Times New Roman"/>
          <w:sz w:val="17"/>
        </w:rPr>
      </w:pPr>
      <w:r>
        <w:rPr>
          <w:rFonts w:ascii="Times New Roman"/>
          <w:color w:val="4F4D4D"/>
          <w:w w:val="105"/>
          <w:sz w:val="17"/>
        </w:rPr>
        <w:t>Nuna </w:t>
      </w:r>
      <w:r>
        <w:rPr>
          <w:rFonts w:ascii="Times New Roman"/>
          <w:color w:val="383436"/>
          <w:w w:val="105"/>
          <w:sz w:val="17"/>
        </w:rPr>
        <w:t>yarenka</w:t>
      </w:r>
      <w:r>
        <w:rPr>
          <w:rFonts w:ascii="Times New Roman"/>
          <w:color w:val="7C7B7B"/>
          <w:w w:val="105"/>
          <w:sz w:val="17"/>
        </w:rPr>
        <w:t>/</w:t>
      </w:r>
      <w:r>
        <w:rPr>
          <w:rFonts w:ascii="Times New Roman"/>
          <w:color w:val="383436"/>
          <w:w w:val="105"/>
          <w:sz w:val="17"/>
        </w:rPr>
        <w:t>ki. Za a kira tafinta. </w:t>
      </w:r>
      <w:r>
        <w:rPr>
          <w:rFonts w:ascii="Times New Roman"/>
          <w:color w:val="4F4D4D"/>
          <w:w w:val="105"/>
          <w:sz w:val="17"/>
        </w:rPr>
        <w:t>Ana</w:t>
      </w:r>
      <w:r>
        <w:rPr>
          <w:rFonts w:ascii="Times New Roman"/>
          <w:color w:val="4F4D4D"/>
          <w:spacing w:val="-3"/>
          <w:w w:val="105"/>
          <w:sz w:val="17"/>
        </w:rPr>
        <w:t> </w:t>
      </w:r>
      <w:r>
        <w:rPr>
          <w:rFonts w:ascii="Times New Roman"/>
          <w:color w:val="4F4D4D"/>
          <w:w w:val="105"/>
          <w:sz w:val="17"/>
        </w:rPr>
        <w:t>sam</w:t>
      </w:r>
      <w:r>
        <w:rPr>
          <w:rFonts w:ascii="Times New Roman"/>
          <w:color w:val="4F4D4D"/>
          <w:spacing w:val="-1"/>
          <w:w w:val="105"/>
          <w:sz w:val="17"/>
        </w:rPr>
        <w:t> </w:t>
      </w:r>
      <w:r>
        <w:rPr>
          <w:rFonts w:ascii="Times New Roman"/>
          <w:color w:val="383436"/>
          <w:w w:val="105"/>
          <w:sz w:val="17"/>
        </w:rPr>
        <w:t>da maka</w:t>
      </w:r>
      <w:r>
        <w:rPr>
          <w:rFonts w:ascii="Times New Roman"/>
          <w:color w:val="7C7B7B"/>
          <w:w w:val="105"/>
          <w:sz w:val="17"/>
        </w:rPr>
        <w:t>/</w:t>
      </w:r>
      <w:r>
        <w:rPr>
          <w:rFonts w:ascii="Times New Roman"/>
          <w:color w:val="383436"/>
          <w:w w:val="105"/>
          <w:sz w:val="17"/>
        </w:rPr>
        <w:t>ki</w:t>
      </w:r>
      <w:r>
        <w:rPr>
          <w:rFonts w:ascii="Times New Roman"/>
          <w:color w:val="383436"/>
          <w:spacing w:val="-9"/>
          <w:w w:val="105"/>
          <w:sz w:val="17"/>
        </w:rPr>
        <w:t> </w:t>
      </w:r>
      <w:r>
        <w:rPr>
          <w:rFonts w:ascii="Times New Roman"/>
          <w:color w:val="383436"/>
          <w:w w:val="105"/>
          <w:sz w:val="17"/>
        </w:rPr>
        <w:t>tafintar</w:t>
      </w:r>
      <w:r>
        <w:rPr>
          <w:rFonts w:ascii="Times New Roman"/>
          <w:color w:val="383436"/>
          <w:spacing w:val="-2"/>
          <w:w w:val="105"/>
          <w:sz w:val="17"/>
        </w:rPr>
        <w:t> </w:t>
      </w:r>
      <w:r>
        <w:rPr>
          <w:rFonts w:ascii="Times New Roman"/>
          <w:color w:val="383436"/>
          <w:w w:val="105"/>
          <w:sz w:val="17"/>
        </w:rPr>
        <w:t>kyauta</w:t>
      </w:r>
      <w:r>
        <w:rPr>
          <w:rFonts w:ascii="Times New Roman"/>
          <w:color w:val="646262"/>
          <w:w w:val="105"/>
          <w:sz w:val="17"/>
        </w:rPr>
        <w:t>.</w:t>
      </w:r>
    </w:p>
    <w:p>
      <w:pPr>
        <w:spacing w:before="123"/>
        <w:ind w:left="211" w:right="0" w:firstLine="0"/>
        <w:jc w:val="left"/>
        <w:rPr>
          <w:rFonts w:ascii="Times New Roman"/>
          <w:sz w:val="19"/>
        </w:rPr>
      </w:pPr>
      <w:r>
        <w:rPr/>
        <w:br w:type="column"/>
      </w:r>
      <w:r>
        <w:rPr>
          <w:rFonts w:ascii="Times New Roman"/>
          <w:color w:val="383436"/>
          <w:w w:val="105"/>
          <w:sz w:val="19"/>
        </w:rPr>
        <w:t>Hausa</w:t>
      </w:r>
      <w:r>
        <w:rPr>
          <w:rFonts w:ascii="Times New Roman"/>
          <w:color w:val="383436"/>
          <w:spacing w:val="40"/>
          <w:w w:val="105"/>
          <w:sz w:val="19"/>
        </w:rPr>
        <w:t> </w:t>
      </w:r>
      <w:r>
        <w:rPr>
          <w:rFonts w:ascii="Times New Roman"/>
          <w:color w:val="383436"/>
          <w:spacing w:val="-1"/>
          <w:position w:val="-2"/>
          <w:sz w:val="19"/>
        </w:rPr>
        <w:drawing>
          <wp:inline distT="0" distB="0" distL="0" distR="0">
            <wp:extent cx="214306" cy="104139"/>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105" cstate="print"/>
                    <a:stretch>
                      <a:fillRect/>
                    </a:stretch>
                  </pic:blipFill>
                  <pic:spPr>
                    <a:xfrm>
                      <a:off x="0" y="0"/>
                      <a:ext cx="214306" cy="104139"/>
                    </a:xfrm>
                    <a:prstGeom prst="rect">
                      <a:avLst/>
                    </a:prstGeom>
                  </pic:spPr>
                </pic:pic>
              </a:graphicData>
            </a:graphic>
          </wp:inline>
        </w:drawing>
      </w:r>
      <w:r>
        <w:rPr>
          <w:rFonts w:ascii="Times New Roman"/>
          <w:color w:val="383436"/>
          <w:spacing w:val="-1"/>
          <w:position w:val="-2"/>
          <w:sz w:val="19"/>
        </w:rPr>
      </w:r>
    </w:p>
    <w:p>
      <w:pPr>
        <w:spacing w:line="240" w:lineRule="auto" w:before="10"/>
        <w:rPr>
          <w:rFonts w:ascii="Times New Roman"/>
          <w:sz w:val="4"/>
        </w:rPr>
      </w:pPr>
      <w:r>
        <w:rPr/>
        <w:br w:type="column"/>
      </w:r>
      <w:r>
        <w:rPr>
          <w:rFonts w:ascii="Times New Roman"/>
          <w:sz w:val="4"/>
        </w:rPr>
      </w:r>
    </w:p>
    <w:p>
      <w:pPr>
        <w:pStyle w:val="BodyText"/>
        <w:spacing w:line="20" w:lineRule="exact"/>
        <w:ind w:left="95" w:right="-72"/>
        <w:rPr>
          <w:rFonts w:ascii="Times New Roman"/>
          <w:sz w:val="2"/>
        </w:rPr>
      </w:pPr>
      <w:r>
        <w:rPr>
          <w:rFonts w:ascii="Times New Roman"/>
          <w:sz w:val="2"/>
        </w:rPr>
        <mc:AlternateContent>
          <mc:Choice Requires="wps">
            <w:drawing>
              <wp:inline distT="0" distB="0" distL="0" distR="0">
                <wp:extent cx="2616200" cy="3175"/>
                <wp:effectExtent l="9525" t="0" r="0" b="6350"/>
                <wp:docPr id="368" name="Group 368"/>
                <wp:cNvGraphicFramePr>
                  <a:graphicFrameLocks/>
                </wp:cNvGraphicFramePr>
                <a:graphic>
                  <a:graphicData uri="http://schemas.microsoft.com/office/word/2010/wordprocessingGroup">
                    <wpg:wgp>
                      <wpg:cNvPr id="368" name="Group 368"/>
                      <wpg:cNvGrpSpPr/>
                      <wpg:grpSpPr>
                        <a:xfrm>
                          <a:off x="0" y="0"/>
                          <a:ext cx="2616200" cy="3175"/>
                          <a:chExt cx="2616200" cy="3175"/>
                        </a:xfrm>
                      </wpg:grpSpPr>
                      <wps:wsp>
                        <wps:cNvPr id="369" name="Graphic 36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67" coordorigin="0,0" coordsize="4120,5">
                <v:shape style="position:absolute;left:0;top:2;width:4120;height:2" id="docshape268"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479" w:val="left" w:leader="none"/>
        </w:tabs>
        <w:spacing w:line="247" w:lineRule="auto" w:before="28"/>
        <w:ind w:left="221" w:right="38" w:hanging="10"/>
        <w:jc w:val="left"/>
        <w:rPr>
          <w:rFonts w:ascii="Times New Roman"/>
          <w:sz w:val="17"/>
        </w:rPr>
      </w:pPr>
      <w:r>
        <w:rPr/>
        <mc:AlternateContent>
          <mc:Choice Requires="wps">
            <w:drawing>
              <wp:anchor distT="0" distB="0" distL="0" distR="0" allowOverlap="1" layoutInCell="1" locked="0" behindDoc="0" simplePos="0" relativeHeight="15837696">
                <wp:simplePos x="0" y="0"/>
                <wp:positionH relativeFrom="page">
                  <wp:posOffset>3504902</wp:posOffset>
                </wp:positionH>
                <wp:positionV relativeFrom="paragraph">
                  <wp:posOffset>-20784</wp:posOffset>
                </wp:positionV>
                <wp:extent cx="2616200"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1.636562pt;width:206pt;height:.1pt;mso-position-horizontal-relative:page;mso-position-vertical-relative:paragraph;z-index:15837696" id="docshape269" coordorigin="5520,-33" coordsize="4120,0" path="m5520,-33l6163,-33,7580,-33,8996,-33,9640,-33e" filled="false" stroked="true" strokeweight=".25pt" strokecolor="#231f20">
                <v:path arrowok="t"/>
                <v:stroke dashstyle="solid"/>
                <w10:wrap type="none"/>
              </v:shape>
            </w:pict>
          </mc:Fallback>
        </mc:AlternateContent>
      </w:r>
      <w:r>
        <w:rPr>
          <w:rFonts w:ascii="Times New Roman"/>
          <w:b/>
          <w:color w:val="383436"/>
          <w:spacing w:val="-2"/>
          <w:sz w:val="19"/>
        </w:rPr>
        <w:t>Azerbaijani</w:t>
      </w:r>
      <w:r>
        <w:rPr>
          <w:rFonts w:ascii="Times New Roman"/>
          <w:b/>
          <w:color w:val="383436"/>
          <w:sz w:val="19"/>
        </w:rPr>
        <w:tab/>
      </w:r>
      <w:r>
        <w:rPr>
          <w:rFonts w:ascii="Times New Roman"/>
          <w:color w:val="383436"/>
          <w:sz w:val="19"/>
        </w:rPr>
        <w:t>Az.irbaycan dili</w:t>
      </w:r>
      <w:r>
        <w:rPr>
          <w:rFonts w:ascii="Times New Roman"/>
          <w:color w:val="383436"/>
          <w:spacing w:val="29"/>
          <w:sz w:val="19"/>
        </w:rPr>
        <w:t> </w:t>
      </w:r>
      <w:r>
        <w:rPr>
          <w:rFonts w:ascii="Times New Roman"/>
          <w:color w:val="383436"/>
          <w:spacing w:val="-22"/>
          <w:position w:val="-2"/>
          <w:sz w:val="19"/>
        </w:rPr>
        <w:drawing>
          <wp:inline distT="0" distB="0" distL="0" distR="0">
            <wp:extent cx="214299" cy="104139"/>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106" cstate="print"/>
                    <a:stretch>
                      <a:fillRect/>
                    </a:stretch>
                  </pic:blipFill>
                  <pic:spPr>
                    <a:xfrm>
                      <a:off x="0" y="0"/>
                      <a:ext cx="214299" cy="104139"/>
                    </a:xfrm>
                    <a:prstGeom prst="rect">
                      <a:avLst/>
                    </a:prstGeom>
                  </pic:spPr>
                </pic:pic>
              </a:graphicData>
            </a:graphic>
          </wp:inline>
        </w:drawing>
      </w:r>
      <w:r>
        <w:rPr>
          <w:rFonts w:ascii="Times New Roman"/>
          <w:color w:val="383436"/>
          <w:spacing w:val="-22"/>
          <w:position w:val="-2"/>
          <w:sz w:val="19"/>
        </w:rPr>
      </w:r>
      <w:r>
        <w:rPr>
          <w:rFonts w:ascii="Times New Roman"/>
          <w:color w:val="383436"/>
          <w:spacing w:val="-2"/>
          <w:position w:val="-2"/>
          <w:sz w:val="19"/>
        </w:rPr>
        <w:t> </w:t>
      </w:r>
      <w:r>
        <w:rPr>
          <w:rFonts w:ascii="Times New Roman"/>
          <w:color w:val="383436"/>
          <w:spacing w:val="-2"/>
          <w:sz w:val="17"/>
        </w:rPr>
        <w:t>Oz</w:t>
      </w:r>
      <w:r>
        <w:rPr>
          <w:rFonts w:ascii="Times New Roman"/>
          <w:color w:val="383436"/>
          <w:spacing w:val="-8"/>
          <w:sz w:val="17"/>
        </w:rPr>
        <w:t> </w:t>
      </w:r>
      <w:r>
        <w:rPr>
          <w:rFonts w:ascii="Times New Roman"/>
          <w:color w:val="383436"/>
          <w:spacing w:val="-2"/>
          <w:sz w:val="17"/>
        </w:rPr>
        <w:t>diliniz;;i</w:t>
      </w:r>
      <w:r>
        <w:rPr>
          <w:rFonts w:ascii="Times New Roman"/>
          <w:color w:val="383436"/>
          <w:spacing w:val="7"/>
          <w:sz w:val="17"/>
        </w:rPr>
        <w:t> </w:t>
      </w:r>
      <w:r>
        <w:rPr>
          <w:rFonts w:ascii="Times New Roman"/>
          <w:color w:val="383436"/>
          <w:spacing w:val="-2"/>
          <w:sz w:val="17"/>
        </w:rPr>
        <w:t>i</w:t>
      </w:r>
      <w:r>
        <w:rPr>
          <w:rFonts w:ascii="Times New Roman"/>
          <w:color w:val="383436"/>
          <w:spacing w:val="-6"/>
          <w:sz w:val="17"/>
        </w:rPr>
        <w:t> </w:t>
      </w:r>
      <w:r>
        <w:rPr>
          <w:rFonts w:ascii="Times New Roman"/>
          <w:color w:val="383436"/>
          <w:spacing w:val="-2"/>
          <w:sz w:val="17"/>
        </w:rPr>
        <w:t>arn </w:t>
      </w:r>
      <w:r>
        <w:rPr>
          <w:rFonts w:ascii="Times New Roman"/>
          <w:color w:val="4F4D4D"/>
          <w:spacing w:val="-2"/>
          <w:sz w:val="17"/>
        </w:rPr>
        <w:t>edin.</w:t>
      </w:r>
      <w:r>
        <w:rPr>
          <w:rFonts w:ascii="Times New Roman"/>
          <w:color w:val="4F4D4D"/>
          <w:spacing w:val="-7"/>
          <w:sz w:val="17"/>
        </w:rPr>
        <w:t> </w:t>
      </w:r>
      <w:r>
        <w:rPr>
          <w:rFonts w:ascii="Times New Roman"/>
          <w:color w:val="383436"/>
          <w:spacing w:val="-2"/>
          <w:sz w:val="17"/>
        </w:rPr>
        <w:t>Sizin</w:t>
      </w:r>
      <w:r>
        <w:rPr>
          <w:rFonts w:ascii="Times New Roman"/>
          <w:color w:val="383436"/>
          <w:spacing w:val="-4"/>
          <w:sz w:val="17"/>
        </w:rPr>
        <w:t> </w:t>
      </w:r>
      <w:r>
        <w:rPr>
          <w:rFonts w:ascii="Times New Roman"/>
          <w:color w:val="383436"/>
          <w:spacing w:val="-2"/>
          <w:sz w:val="17"/>
        </w:rPr>
        <w:t>ii9iin t;;irciim;;ic;:i d;;iv;;it </w:t>
      </w:r>
      <w:r>
        <w:rPr>
          <w:rFonts w:ascii="Times New Roman"/>
          <w:color w:val="4F4D4D"/>
          <w:w w:val="90"/>
          <w:sz w:val="17"/>
        </w:rPr>
        <w:t>olunacaq.</w:t>
      </w:r>
      <w:r>
        <w:rPr>
          <w:rFonts w:ascii="Times New Roman"/>
          <w:color w:val="4F4D4D"/>
          <w:spacing w:val="40"/>
          <w:sz w:val="17"/>
        </w:rPr>
        <w:t> </w:t>
      </w:r>
      <w:r>
        <w:rPr>
          <w:rFonts w:ascii="Times New Roman"/>
          <w:color w:val="383436"/>
          <w:w w:val="90"/>
          <w:sz w:val="17"/>
        </w:rPr>
        <w:t>T;;irciim;;ic;:i xidm;;itl;;iri Sizin </w:t>
      </w:r>
      <w:r>
        <w:rPr>
          <w:rFonts w:ascii="Verdana"/>
          <w:i/>
          <w:color w:val="383436"/>
          <w:w w:val="90"/>
          <w:sz w:val="16"/>
        </w:rPr>
        <w:t>iic;:iin </w:t>
      </w:r>
      <w:r>
        <w:rPr>
          <w:rFonts w:ascii="Times New Roman"/>
          <w:color w:val="383436"/>
          <w:w w:val="90"/>
          <w:sz w:val="17"/>
        </w:rPr>
        <w:t>pulsuzdur.</w:t>
      </w:r>
    </w:p>
    <w:p>
      <w:pPr>
        <w:spacing w:line="240" w:lineRule="auto" w:before="2"/>
        <w:rPr>
          <w:rFonts w:ascii="Times New Roman"/>
          <w:sz w:val="5"/>
        </w:rPr>
      </w:pPr>
      <w:r>
        <w:rPr/>
        <w:br w:type="column"/>
      </w:r>
      <w:r>
        <w:rPr>
          <w:rFonts w:ascii="Times New Roman"/>
          <w:sz w:val="5"/>
        </w:rPr>
      </w:r>
    </w:p>
    <w:p>
      <w:pPr>
        <w:pStyle w:val="BodyText"/>
        <w:spacing w:line="20" w:lineRule="exact"/>
        <w:ind w:left="106"/>
        <w:rPr>
          <w:rFonts w:ascii="Times New Roman"/>
          <w:sz w:val="2"/>
        </w:rPr>
      </w:pPr>
      <w:r>
        <w:rPr>
          <w:rFonts w:ascii="Times New Roman"/>
          <w:sz w:val="2"/>
        </w:rPr>
        <mc:AlternateContent>
          <mc:Choice Requires="wps">
            <w:drawing>
              <wp:inline distT="0" distB="0" distL="0" distR="0">
                <wp:extent cx="2616200" cy="3175"/>
                <wp:effectExtent l="9525" t="0" r="0" b="6350"/>
                <wp:docPr id="372" name="Group 372"/>
                <wp:cNvGraphicFramePr>
                  <a:graphicFrameLocks/>
                </wp:cNvGraphicFramePr>
                <a:graphic>
                  <a:graphicData uri="http://schemas.microsoft.com/office/word/2010/wordprocessingGroup">
                    <wpg:wgp>
                      <wpg:cNvPr id="372" name="Group 372"/>
                      <wpg:cNvGrpSpPr/>
                      <wpg:grpSpPr>
                        <a:xfrm>
                          <a:off x="0" y="0"/>
                          <a:ext cx="2616200" cy="3175"/>
                          <a:chExt cx="2616200" cy="3175"/>
                        </a:xfrm>
                      </wpg:grpSpPr>
                      <wps:wsp>
                        <wps:cNvPr id="373" name="Graphic 37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70" coordorigin="0,0" coordsize="4120,5">
                <v:shape style="position:absolute;left:0;top:2;width:4120;height:2" id="docshape27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375" w:val="left" w:leader="none"/>
        </w:tabs>
        <w:spacing w:line="232" w:lineRule="auto" w:before="25"/>
        <w:ind w:left="211" w:right="864" w:firstLine="1"/>
        <w:jc w:val="both"/>
        <w:rPr>
          <w:rFonts w:ascii="Times New Roman"/>
          <w:sz w:val="17"/>
        </w:rPr>
      </w:pPr>
      <w:r>
        <w:rPr/>
        <w:drawing>
          <wp:anchor distT="0" distB="0" distL="0" distR="0" allowOverlap="1" layoutInCell="1" locked="0" behindDoc="0" simplePos="0" relativeHeight="15842304">
            <wp:simplePos x="0" y="0"/>
            <wp:positionH relativeFrom="page">
              <wp:posOffset>12221816</wp:posOffset>
            </wp:positionH>
            <wp:positionV relativeFrom="paragraph">
              <wp:posOffset>61130</wp:posOffset>
            </wp:positionV>
            <wp:extent cx="214299" cy="104139"/>
            <wp:effectExtent l="0" t="0" r="0" b="0"/>
            <wp:wrapNone/>
            <wp:docPr id="374" name="Image 374"/>
            <wp:cNvGraphicFramePr>
              <a:graphicFrameLocks/>
            </wp:cNvGraphicFramePr>
            <a:graphic>
              <a:graphicData uri="http://schemas.openxmlformats.org/drawingml/2006/picture">
                <pic:pic>
                  <pic:nvPicPr>
                    <pic:cNvPr id="374" name="Image 374"/>
                    <pic:cNvPicPr/>
                  </pic:nvPicPr>
                  <pic:blipFill>
                    <a:blip r:embed="rId123" cstate="print"/>
                    <a:stretch>
                      <a:fillRect/>
                    </a:stretch>
                  </pic:blipFill>
                  <pic:spPr>
                    <a:xfrm>
                      <a:off x="0" y="0"/>
                      <a:ext cx="214299" cy="104139"/>
                    </a:xfrm>
                    <a:prstGeom prst="rect">
                      <a:avLst/>
                    </a:prstGeom>
                  </pic:spPr>
                </pic:pic>
              </a:graphicData>
            </a:graphic>
          </wp:anchor>
        </w:drawing>
      </w:r>
      <w:r>
        <w:rPr>
          <w:rFonts w:ascii="Times New Roman"/>
          <w:b/>
          <w:color w:val="383436"/>
          <w:spacing w:val="-2"/>
          <w:position w:val="1"/>
          <w:sz w:val="19"/>
        </w:rPr>
        <w:t>Indonesian</w:t>
      </w:r>
      <w:r>
        <w:rPr>
          <w:rFonts w:ascii="Times New Roman"/>
          <w:b/>
          <w:color w:val="383436"/>
          <w:position w:val="1"/>
          <w:sz w:val="19"/>
        </w:rPr>
        <w:tab/>
      </w:r>
      <w:r>
        <w:rPr>
          <w:rFonts w:ascii="Times New Roman"/>
          <w:color w:val="383436"/>
          <w:sz w:val="19"/>
        </w:rPr>
        <w:t>Bahasa Indonesia </w:t>
      </w:r>
      <w:r>
        <w:rPr>
          <w:rFonts w:ascii="Times New Roman"/>
          <w:color w:val="383436"/>
          <w:sz w:val="17"/>
        </w:rPr>
        <w:t>Tunjukkan</w:t>
      </w:r>
      <w:r>
        <w:rPr>
          <w:rFonts w:ascii="Times New Roman"/>
          <w:color w:val="383436"/>
          <w:spacing w:val="-1"/>
          <w:sz w:val="17"/>
        </w:rPr>
        <w:t> </w:t>
      </w:r>
      <w:r>
        <w:rPr>
          <w:rFonts w:ascii="Times New Roman"/>
          <w:color w:val="383436"/>
          <w:sz w:val="17"/>
        </w:rPr>
        <w:t>bahasa</w:t>
      </w:r>
      <w:r>
        <w:rPr>
          <w:rFonts w:ascii="Times New Roman"/>
          <w:color w:val="383436"/>
          <w:spacing w:val="-8"/>
          <w:sz w:val="17"/>
        </w:rPr>
        <w:t> </w:t>
      </w:r>
      <w:r>
        <w:rPr>
          <w:rFonts w:ascii="Times New Roman"/>
          <w:color w:val="4F4D4D"/>
          <w:sz w:val="17"/>
        </w:rPr>
        <w:t>Anda.</w:t>
      </w:r>
      <w:r>
        <w:rPr>
          <w:rFonts w:ascii="Times New Roman"/>
          <w:color w:val="4F4D4D"/>
          <w:spacing w:val="-11"/>
          <w:sz w:val="17"/>
        </w:rPr>
        <w:t> </w:t>
      </w:r>
      <w:r>
        <w:rPr>
          <w:rFonts w:ascii="Times New Roman"/>
          <w:color w:val="383436"/>
          <w:sz w:val="17"/>
        </w:rPr>
        <w:t>Jurubahasa</w:t>
      </w:r>
      <w:r>
        <w:rPr>
          <w:rFonts w:ascii="Times New Roman"/>
          <w:color w:val="383436"/>
          <w:spacing w:val="-7"/>
          <w:sz w:val="17"/>
        </w:rPr>
        <w:t> </w:t>
      </w:r>
      <w:r>
        <w:rPr>
          <w:rFonts w:ascii="Times New Roman"/>
          <w:color w:val="4F4D4D"/>
          <w:sz w:val="17"/>
        </w:rPr>
        <w:t>akan</w:t>
      </w:r>
      <w:r>
        <w:rPr>
          <w:rFonts w:ascii="Times New Roman"/>
          <w:color w:val="4F4D4D"/>
          <w:spacing w:val="-8"/>
          <w:sz w:val="17"/>
        </w:rPr>
        <w:t> </w:t>
      </w:r>
      <w:r>
        <w:rPr>
          <w:rFonts w:ascii="Times New Roman"/>
          <w:color w:val="383436"/>
          <w:sz w:val="17"/>
        </w:rPr>
        <w:t>diadakan. Jurubahasa diadakan tanpa </w:t>
      </w:r>
      <w:r>
        <w:rPr>
          <w:rFonts w:ascii="Times New Roman"/>
          <w:color w:val="4F4D4D"/>
          <w:sz w:val="17"/>
        </w:rPr>
        <w:t>Anda </w:t>
      </w:r>
      <w:r>
        <w:rPr>
          <w:rFonts w:ascii="Times New Roman"/>
          <w:color w:val="383436"/>
          <w:sz w:val="17"/>
        </w:rPr>
        <w:t>dibebani</w:t>
      </w:r>
      <w:r>
        <w:rPr>
          <w:rFonts w:ascii="Times New Roman"/>
          <w:color w:val="383436"/>
          <w:spacing w:val="39"/>
          <w:sz w:val="17"/>
        </w:rPr>
        <w:t> </w:t>
      </w:r>
      <w:r>
        <w:rPr>
          <w:rFonts w:ascii="Times New Roman"/>
          <w:color w:val="383436"/>
          <w:sz w:val="17"/>
        </w:rPr>
        <w:t>biaya.</w:t>
      </w:r>
    </w:p>
    <w:p>
      <w:pPr>
        <w:spacing w:after="0" w:line="232" w:lineRule="auto"/>
        <w:jc w:val="both"/>
        <w:rPr>
          <w:rFonts w:ascii="Times New Roman"/>
          <w:sz w:val="17"/>
        </w:rPr>
        <w:sectPr>
          <w:type w:val="continuous"/>
          <w:pgSz w:w="20160" w:h="12240" w:orient="landscape"/>
          <w:pgMar w:header="0" w:footer="0" w:top="1820" w:bottom="280" w:left="380" w:right="120"/>
          <w:cols w:num="5" w:equalWidth="0">
            <w:col w:w="4272" w:space="734"/>
            <w:col w:w="2887" w:space="184"/>
            <w:col w:w="1178" w:space="790"/>
            <w:col w:w="4211" w:space="767"/>
            <w:col w:w="4637"/>
          </w:cols>
        </w:sectPr>
      </w:pPr>
    </w:p>
    <w:p>
      <w:pPr>
        <w:tabs>
          <w:tab w:pos="3131" w:val="left" w:leader="none"/>
        </w:tabs>
        <w:spacing w:before="48"/>
        <w:ind w:left="221" w:right="0" w:firstLine="0"/>
        <w:jc w:val="left"/>
        <w:rPr>
          <w:rFonts w:ascii="Arial"/>
          <w:sz w:val="12"/>
        </w:rPr>
      </w:pPr>
      <w:r>
        <w:rPr>
          <w:rFonts w:ascii="Times New Roman"/>
          <w:b/>
          <w:color w:val="383436"/>
          <w:spacing w:val="-2"/>
          <w:w w:val="105"/>
          <w:position w:val="1"/>
          <w:sz w:val="19"/>
        </w:rPr>
        <w:t>Malayalam</w:t>
      </w:r>
      <w:r>
        <w:rPr>
          <w:rFonts w:ascii="Times New Roman"/>
          <w:b/>
          <w:color w:val="383436"/>
          <w:position w:val="1"/>
          <w:sz w:val="19"/>
        </w:rPr>
        <w:tab/>
      </w:r>
      <w:r>
        <w:rPr>
          <w:rFonts w:ascii="Arial"/>
          <w:color w:val="383436"/>
          <w:w w:val="105"/>
          <w:sz w:val="12"/>
        </w:rPr>
        <w:t>QleJCID:J o</w:t>
      </w:r>
      <w:r>
        <w:rPr>
          <w:rFonts w:ascii="Arial"/>
          <w:color w:val="383436"/>
          <w:spacing w:val="40"/>
          <w:w w:val="105"/>
          <w:sz w:val="12"/>
        </w:rPr>
        <w:t> </w:t>
      </w:r>
      <w:r>
        <w:rPr>
          <w:rFonts w:ascii="Arial"/>
          <w:color w:val="383436"/>
          <w:spacing w:val="-4"/>
          <w:position w:val="-2"/>
          <w:sz w:val="12"/>
        </w:rPr>
        <w:drawing>
          <wp:inline distT="0" distB="0" distL="0" distR="0">
            <wp:extent cx="214306" cy="104139"/>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100" cstate="print"/>
                    <a:stretch>
                      <a:fillRect/>
                    </a:stretch>
                  </pic:blipFill>
                  <pic:spPr>
                    <a:xfrm>
                      <a:off x="0" y="0"/>
                      <a:ext cx="214306" cy="104139"/>
                    </a:xfrm>
                    <a:prstGeom prst="rect">
                      <a:avLst/>
                    </a:prstGeom>
                  </pic:spPr>
                </pic:pic>
              </a:graphicData>
            </a:graphic>
          </wp:inline>
        </w:drawing>
      </w:r>
      <w:r>
        <w:rPr>
          <w:rFonts w:ascii="Arial"/>
          <w:color w:val="383436"/>
          <w:spacing w:val="-4"/>
          <w:position w:val="-2"/>
          <w:sz w:val="12"/>
        </w:rPr>
      </w:r>
    </w:p>
    <w:p>
      <w:pPr>
        <w:spacing w:before="77"/>
        <w:ind w:left="223" w:right="0" w:firstLine="0"/>
        <w:jc w:val="left"/>
        <w:rPr>
          <w:rFonts w:ascii="Arial" w:hAnsi="Arial"/>
          <w:sz w:val="10"/>
        </w:rPr>
      </w:pPr>
      <w:r>
        <w:rPr>
          <w:rFonts w:ascii="Arial" w:hAnsi="Arial"/>
          <w:color w:val="646262"/>
          <w:spacing w:val="-2"/>
          <w:sz w:val="10"/>
        </w:rPr>
        <w:t>m16ll13§j6l5</w:t>
      </w:r>
      <w:r>
        <w:rPr>
          <w:rFonts w:ascii="Arial" w:hAnsi="Arial"/>
          <w:color w:val="646262"/>
          <w:spacing w:val="18"/>
          <w:sz w:val="10"/>
        </w:rPr>
        <w:t> </w:t>
      </w:r>
      <w:r>
        <w:rPr>
          <w:rFonts w:ascii="Arial" w:hAnsi="Arial"/>
          <w:color w:val="646262"/>
          <w:spacing w:val="-2"/>
          <w:sz w:val="10"/>
        </w:rPr>
        <w:t>@On!ll</w:t>
      </w:r>
      <w:r>
        <w:rPr>
          <w:rFonts w:ascii="Arial" w:hAnsi="Arial"/>
          <w:color w:val="646262"/>
          <w:spacing w:val="15"/>
          <w:sz w:val="10"/>
        </w:rPr>
        <w:t> </w:t>
      </w:r>
      <w:r>
        <w:rPr>
          <w:rFonts w:ascii="Arial" w:hAnsi="Arial"/>
          <w:color w:val="4F4D4D"/>
          <w:spacing w:val="-2"/>
          <w:sz w:val="10"/>
        </w:rPr>
        <w:t>.o.Jj6Tls1dl6l06l111dl6ljdh.</w:t>
      </w:r>
    </w:p>
    <w:p>
      <w:pPr>
        <w:spacing w:before="68"/>
        <w:ind w:left="226" w:right="0" w:firstLine="0"/>
        <w:jc w:val="left"/>
        <w:rPr>
          <w:rFonts w:ascii="Arial" w:hAnsi="Arial"/>
          <w:sz w:val="10"/>
        </w:rPr>
      </w:pPr>
      <w:r>
        <w:rPr>
          <w:rFonts w:ascii="Arial" w:hAnsi="Arial"/>
          <w:color w:val="4F4D4D"/>
          <w:spacing w:val="-2"/>
          <w:sz w:val="10"/>
        </w:rPr>
        <w:t>63©!</w:t>
      </w:r>
      <w:r>
        <w:rPr>
          <w:rFonts w:ascii="Arial" w:hAnsi="Arial"/>
          <w:color w:val="4F4D4D"/>
          <w:spacing w:val="18"/>
          <w:sz w:val="10"/>
        </w:rPr>
        <w:t> </w:t>
      </w:r>
      <w:r>
        <w:rPr>
          <w:rFonts w:ascii="Arial" w:hAnsi="Arial"/>
          <w:color w:val="4F4D4D"/>
          <w:spacing w:val="-2"/>
          <w:sz w:val="10"/>
        </w:rPr>
        <w:t>nJ©1@0n!lldh6lffi</w:t>
      </w:r>
      <w:r>
        <w:rPr>
          <w:rFonts w:ascii="Arial" w:hAnsi="Arial"/>
          <w:color w:val="4F4D4D"/>
          <w:spacing w:val="20"/>
          <w:sz w:val="10"/>
        </w:rPr>
        <w:t> </w:t>
      </w:r>
      <w:r>
        <w:rPr>
          <w:rFonts w:ascii="Arial" w:hAnsi="Arial"/>
          <w:color w:val="4F4D4D"/>
          <w:spacing w:val="-2"/>
          <w:sz w:val="10"/>
        </w:rPr>
        <w:t>ru1§1dl6ljCTTI@O&lt;Ill1©1dl6ljo.</w:t>
      </w:r>
    </w:p>
    <w:p>
      <w:pPr>
        <w:spacing w:before="53"/>
        <w:ind w:left="223" w:right="0" w:firstLine="0"/>
        <w:jc w:val="left"/>
        <w:rPr>
          <w:rFonts w:ascii="Arial" w:hAnsi="Arial"/>
          <w:sz w:val="10"/>
        </w:rPr>
      </w:pPr>
      <w:r>
        <w:rPr>
          <w:rFonts w:ascii="Arial" w:hAnsi="Arial"/>
          <w:color w:val="4F4D4D"/>
          <w:w w:val="90"/>
          <w:sz w:val="10"/>
        </w:rPr>
        <w:t>m16ll13LJOdl6)</w:t>
      </w:r>
      <w:r>
        <w:rPr>
          <w:rFonts w:ascii="Arial" w:hAnsi="Arial"/>
          <w:color w:val="4F4D4D"/>
          <w:spacing w:val="4"/>
          <w:sz w:val="10"/>
        </w:rPr>
        <w:t> </w:t>
      </w:r>
      <w:r>
        <w:rPr>
          <w:rFonts w:ascii="Arial" w:hAnsi="Arial"/>
          <w:color w:val="646262"/>
          <w:w w:val="90"/>
          <w:sz w:val="10"/>
        </w:rPr>
        <w:t>6).o.JeJ(lj</w:t>
      </w:r>
      <w:r>
        <w:rPr>
          <w:rFonts w:ascii="Arial" w:hAnsi="Arial"/>
          <w:color w:val="646262"/>
          <w:spacing w:val="8"/>
          <w:sz w:val="10"/>
        </w:rPr>
        <w:t> </w:t>
      </w:r>
      <w:r>
        <w:rPr>
          <w:rFonts w:ascii="Arial" w:hAnsi="Arial"/>
          <w:color w:val="4F4D4D"/>
          <w:w w:val="90"/>
          <w:sz w:val="10"/>
        </w:rPr>
        <w:t>ClJ©j(!!Tll)06)Cll)</w:t>
      </w:r>
      <w:r>
        <w:rPr>
          <w:rFonts w:ascii="Arial" w:hAnsi="Arial"/>
          <w:color w:val="4F4D4D"/>
          <w:spacing w:val="9"/>
          <w:sz w:val="10"/>
        </w:rPr>
        <w:t> </w:t>
      </w:r>
      <w:r>
        <w:rPr>
          <w:rFonts w:ascii="Arial" w:hAnsi="Arial"/>
          <w:color w:val="4F4D4D"/>
          <w:w w:val="90"/>
          <w:sz w:val="10"/>
        </w:rPr>
        <w:t>nJ©1@0n!lldh6lffi</w:t>
      </w:r>
      <w:r>
        <w:rPr>
          <w:rFonts w:ascii="Arial" w:hAnsi="Arial"/>
          <w:color w:val="4F4D4D"/>
          <w:spacing w:val="10"/>
          <w:sz w:val="10"/>
        </w:rPr>
        <w:t> </w:t>
      </w:r>
      <w:r>
        <w:rPr>
          <w:rFonts w:ascii="Arial" w:hAnsi="Arial"/>
          <w:color w:val="4F4D4D"/>
          <w:spacing w:val="-2"/>
          <w:w w:val="90"/>
          <w:sz w:val="10"/>
        </w:rPr>
        <w:t>eJ@_\Ql0dl6ljCTTI@O&lt;Ill1©1dl6ljo.</w:t>
      </w:r>
    </w:p>
    <w:p>
      <w:pPr>
        <w:pStyle w:val="BodyText"/>
        <w:spacing w:before="1"/>
        <w:rPr>
          <w:rFonts w:ascii="Arial"/>
          <w:sz w:val="4"/>
        </w:rPr>
      </w:pPr>
      <w:r>
        <w:rPr/>
        <mc:AlternateContent>
          <mc:Choice Requires="wps">
            <w:drawing>
              <wp:anchor distT="0" distB="0" distL="0" distR="0" allowOverlap="1" layoutInCell="1" locked="0" behindDoc="1" simplePos="0" relativeHeight="487676928">
                <wp:simplePos x="0" y="0"/>
                <wp:positionH relativeFrom="page">
                  <wp:posOffset>330200</wp:posOffset>
                </wp:positionH>
                <wp:positionV relativeFrom="paragraph">
                  <wp:posOffset>45437</wp:posOffset>
                </wp:positionV>
                <wp:extent cx="2616200" cy="1270"/>
                <wp:effectExtent l="0" t="0" r="0" b="0"/>
                <wp:wrapTopAndBottom/>
                <wp:docPr id="376" name="Graphic 376"/>
                <wp:cNvGraphicFramePr>
                  <a:graphicFrameLocks/>
                </wp:cNvGraphicFramePr>
                <a:graphic>
                  <a:graphicData uri="http://schemas.microsoft.com/office/word/2010/wordprocessingShape">
                    <wps:wsp>
                      <wps:cNvPr id="376" name="Graphic 376"/>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6pt;margin-top:3.577779pt;width:206pt;height:.1pt;mso-position-horizontal-relative:page;mso-position-vertical-relative:paragraph;z-index:-15639552;mso-wrap-distance-left:0;mso-wrap-distance-right:0" id="docshape272" coordorigin="520,72" coordsize="4120,0" path="m520,72l1164,72,2580,72,3996,72,4640,72e" filled="false" stroked="true" strokeweight=".25pt" strokecolor="#231f20">
                <v:path arrowok="t"/>
                <v:stroke dashstyle="solid"/>
                <w10:wrap type="topAndBottom"/>
              </v:shape>
            </w:pict>
          </mc:Fallback>
        </mc:AlternateContent>
      </w:r>
    </w:p>
    <w:p>
      <w:pPr>
        <w:tabs>
          <w:tab w:pos="3893" w:val="left" w:leader="none"/>
        </w:tabs>
        <w:spacing w:before="64"/>
        <w:ind w:left="218" w:right="0" w:firstLine="0"/>
        <w:jc w:val="left"/>
        <w:rPr>
          <w:rFonts w:ascii="Times New Roman"/>
          <w:b/>
          <w:sz w:val="19"/>
        </w:rPr>
      </w:pPr>
      <w:r>
        <w:rPr>
          <w:rFonts w:ascii="Times New Roman"/>
          <w:b/>
          <w:color w:val="383436"/>
          <w:spacing w:val="-2"/>
          <w:w w:val="115"/>
          <w:sz w:val="19"/>
        </w:rPr>
        <w:t>Nepali</w:t>
      </w:r>
      <w:r>
        <w:rPr>
          <w:rFonts w:ascii="Times New Roman"/>
          <w:b/>
          <w:color w:val="383436"/>
          <w:sz w:val="19"/>
        </w:rPr>
        <w:tab/>
      </w:r>
      <w:r>
        <w:rPr>
          <w:rFonts w:ascii="Times New Roman"/>
          <w:b/>
          <w:color w:val="383436"/>
          <w:position w:val="-3"/>
          <w:sz w:val="19"/>
        </w:rPr>
        <w:drawing>
          <wp:inline distT="0" distB="0" distL="0" distR="0">
            <wp:extent cx="214306" cy="104139"/>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105" cstate="print"/>
                    <a:stretch>
                      <a:fillRect/>
                    </a:stretch>
                  </pic:blipFill>
                  <pic:spPr>
                    <a:xfrm>
                      <a:off x="0" y="0"/>
                      <a:ext cx="214306" cy="104139"/>
                    </a:xfrm>
                    <a:prstGeom prst="rect">
                      <a:avLst/>
                    </a:prstGeom>
                  </pic:spPr>
                </pic:pic>
              </a:graphicData>
            </a:graphic>
          </wp:inline>
        </w:drawing>
      </w:r>
      <w:r>
        <w:rPr>
          <w:rFonts w:ascii="Times New Roman"/>
          <w:b/>
          <w:color w:val="383436"/>
          <w:position w:val="-3"/>
          <w:sz w:val="19"/>
        </w:rPr>
      </w:r>
    </w:p>
    <w:p>
      <w:pPr>
        <w:tabs>
          <w:tab w:pos="1840" w:val="left" w:leader="none"/>
        </w:tabs>
        <w:spacing w:line="170" w:lineRule="exact" w:before="64"/>
        <w:ind w:left="214" w:right="0" w:firstLine="0"/>
        <w:jc w:val="left"/>
        <w:rPr>
          <w:rFonts w:ascii="Arial"/>
          <w:sz w:val="14"/>
        </w:rPr>
      </w:pPr>
      <w:r>
        <w:rPr>
          <w:rFonts w:ascii="Times New Roman"/>
          <w:color w:val="4F4D4D"/>
          <w:spacing w:val="-2"/>
          <w:sz w:val="15"/>
        </w:rPr>
        <w:t>3111Rt</w:t>
      </w:r>
      <w:r>
        <w:rPr>
          <w:rFonts w:ascii="Times New Roman"/>
          <w:color w:val="4F4D4D"/>
          <w:sz w:val="15"/>
        </w:rPr>
        <w:tab/>
      </w:r>
      <w:r>
        <w:rPr>
          <w:rFonts w:ascii="Arial"/>
          <w:color w:val="4F4D4D"/>
          <w:sz w:val="14"/>
        </w:rPr>
        <w:t>l;cfi</w:t>
      </w:r>
      <w:r>
        <w:rPr>
          <w:rFonts w:ascii="Arial"/>
          <w:color w:val="4F4D4D"/>
          <w:spacing w:val="69"/>
          <w:w w:val="150"/>
          <w:sz w:val="14"/>
        </w:rPr>
        <w:t> </w:t>
      </w:r>
      <w:r>
        <w:rPr>
          <w:rFonts w:ascii="Arial"/>
          <w:color w:val="4F4D4D"/>
          <w:spacing w:val="-10"/>
          <w:sz w:val="14"/>
        </w:rPr>
        <w:t>I</w:t>
      </w:r>
    </w:p>
    <w:p>
      <w:pPr>
        <w:tabs>
          <w:tab w:pos="1825" w:val="left" w:leader="none"/>
          <w:tab w:pos="3169" w:val="left" w:leader="none"/>
        </w:tabs>
        <w:spacing w:line="108" w:lineRule="exact" w:before="0"/>
        <w:ind w:left="479" w:right="0" w:firstLine="0"/>
        <w:jc w:val="left"/>
        <w:rPr>
          <w:rFonts w:ascii="Arial"/>
          <w:sz w:val="16"/>
        </w:rPr>
      </w:pPr>
      <w:r>
        <w:rPr>
          <w:rFonts w:ascii="Arial"/>
          <w:color w:val="4F4D4D"/>
          <w:spacing w:val="-10"/>
          <w:w w:val="600"/>
          <w:sz w:val="16"/>
        </w:rPr>
        <w:t>m</w:t>
      </w:r>
      <w:r>
        <w:rPr>
          <w:rFonts w:ascii="Arial"/>
          <w:color w:val="4F4D4D"/>
          <w:sz w:val="16"/>
        </w:rPr>
        <w:tab/>
      </w:r>
      <w:r>
        <w:rPr>
          <w:rFonts w:ascii="Arial"/>
          <w:color w:val="4F4D4D"/>
          <w:spacing w:val="-10"/>
          <w:w w:val="600"/>
          <w:sz w:val="16"/>
        </w:rPr>
        <w:t>.</w:t>
      </w:r>
      <w:r>
        <w:rPr>
          <w:rFonts w:ascii="Arial"/>
          <w:color w:val="4F4D4D"/>
          <w:sz w:val="16"/>
        </w:rPr>
        <w:tab/>
      </w:r>
      <w:r>
        <w:rPr>
          <w:rFonts w:ascii="Arial"/>
          <w:color w:val="4F4D4D"/>
          <w:spacing w:val="-10"/>
          <w:w w:val="600"/>
          <w:sz w:val="16"/>
        </w:rPr>
        <w:t>I</w:t>
      </w:r>
    </w:p>
    <w:p>
      <w:pPr>
        <w:spacing w:line="240" w:lineRule="auto" w:before="7"/>
        <w:rPr>
          <w:rFonts w:ascii="Arial"/>
          <w:sz w:val="3"/>
        </w:rPr>
      </w:pPr>
      <w:r>
        <w:rPr/>
        <w:br w:type="column"/>
      </w:r>
      <w:r>
        <w:rPr>
          <w:rFonts w:ascii="Arial"/>
          <w:sz w:val="3"/>
        </w:rPr>
      </w:r>
    </w:p>
    <w:p>
      <w:pPr>
        <w:pStyle w:val="BodyText"/>
        <w:spacing w:line="20" w:lineRule="exact"/>
        <w:ind w:left="139" w:right="-29"/>
        <w:rPr>
          <w:rFonts w:ascii="Arial"/>
          <w:sz w:val="2"/>
        </w:rPr>
      </w:pPr>
      <w:r>
        <w:rPr>
          <w:rFonts w:ascii="Arial"/>
          <w:sz w:val="2"/>
        </w:rPr>
        <mc:AlternateContent>
          <mc:Choice Requires="wps">
            <w:drawing>
              <wp:inline distT="0" distB="0" distL="0" distR="0">
                <wp:extent cx="2616200" cy="3175"/>
                <wp:effectExtent l="9525" t="0" r="0" b="6350"/>
                <wp:docPr id="378" name="Group 378"/>
                <wp:cNvGraphicFramePr>
                  <a:graphicFrameLocks/>
                </wp:cNvGraphicFramePr>
                <a:graphic>
                  <a:graphicData uri="http://schemas.microsoft.com/office/word/2010/wordprocessingGroup">
                    <wpg:wgp>
                      <wpg:cNvPr id="378" name="Group 378"/>
                      <wpg:cNvGrpSpPr/>
                      <wpg:grpSpPr>
                        <a:xfrm>
                          <a:off x="0" y="0"/>
                          <a:ext cx="2616200" cy="3175"/>
                          <a:chExt cx="2616200" cy="3175"/>
                        </a:xfrm>
                      </wpg:grpSpPr>
                      <wps:wsp>
                        <wps:cNvPr id="379" name="Graphic 37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73" coordorigin="0,0" coordsize="4120,5">
                <v:shape style="position:absolute;left:0;top:2;width:4120;height:2" id="docshape274"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3172" w:val="left" w:leader="none"/>
        </w:tabs>
        <w:spacing w:line="210" w:lineRule="exact" w:before="35"/>
        <w:ind w:left="227" w:right="0" w:firstLine="0"/>
        <w:jc w:val="left"/>
        <w:rPr>
          <w:rFonts w:ascii="Times New Roman"/>
          <w:sz w:val="19"/>
        </w:rPr>
      </w:pPr>
      <w:r>
        <w:rPr>
          <w:rFonts w:ascii="Times New Roman"/>
          <w:b/>
          <w:color w:val="383436"/>
          <w:spacing w:val="-2"/>
          <w:w w:val="105"/>
          <w:sz w:val="19"/>
        </w:rPr>
        <w:t>Italian</w:t>
      </w:r>
      <w:r>
        <w:rPr>
          <w:rFonts w:ascii="Times New Roman"/>
          <w:b/>
          <w:color w:val="383436"/>
          <w:sz w:val="19"/>
        </w:rPr>
        <w:tab/>
      </w:r>
      <w:r>
        <w:rPr>
          <w:rFonts w:ascii="Times New Roman"/>
          <w:color w:val="383436"/>
          <w:w w:val="105"/>
          <w:sz w:val="19"/>
        </w:rPr>
        <w:t>Italiano</w:t>
      </w:r>
      <w:r>
        <w:rPr>
          <w:rFonts w:ascii="Times New Roman"/>
          <w:color w:val="383436"/>
          <w:spacing w:val="40"/>
          <w:w w:val="105"/>
          <w:sz w:val="19"/>
        </w:rPr>
        <w:t> </w:t>
      </w:r>
      <w:r>
        <w:rPr>
          <w:rFonts w:ascii="Times New Roman"/>
          <w:color w:val="383436"/>
          <w:spacing w:val="5"/>
          <w:position w:val="-2"/>
          <w:sz w:val="19"/>
        </w:rPr>
        <w:drawing>
          <wp:inline distT="0" distB="0" distL="0" distR="0">
            <wp:extent cx="214306" cy="104139"/>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100" cstate="print"/>
                    <a:stretch>
                      <a:fillRect/>
                    </a:stretch>
                  </pic:blipFill>
                  <pic:spPr>
                    <a:xfrm>
                      <a:off x="0" y="0"/>
                      <a:ext cx="214306" cy="104139"/>
                    </a:xfrm>
                    <a:prstGeom prst="rect">
                      <a:avLst/>
                    </a:prstGeom>
                  </pic:spPr>
                </pic:pic>
              </a:graphicData>
            </a:graphic>
          </wp:inline>
        </w:drawing>
      </w:r>
      <w:r>
        <w:rPr>
          <w:rFonts w:ascii="Times New Roman"/>
          <w:color w:val="383436"/>
          <w:spacing w:val="5"/>
          <w:position w:val="-2"/>
          <w:sz w:val="19"/>
        </w:rPr>
      </w:r>
    </w:p>
    <w:p>
      <w:pPr>
        <w:spacing w:line="187" w:lineRule="exact" w:before="0"/>
        <w:ind w:left="243" w:right="0" w:firstLine="0"/>
        <w:jc w:val="left"/>
        <w:rPr>
          <w:rFonts w:ascii="Times New Roman"/>
          <w:sz w:val="17"/>
        </w:rPr>
      </w:pPr>
      <w:r>
        <w:rPr>
          <w:rFonts w:ascii="Times New Roman"/>
          <w:color w:val="383436"/>
          <w:w w:val="105"/>
          <w:sz w:val="17"/>
        </w:rPr>
        <w:t>Puntare</w:t>
      </w:r>
      <w:r>
        <w:rPr>
          <w:rFonts w:ascii="Times New Roman"/>
          <w:color w:val="383436"/>
          <w:spacing w:val="-7"/>
          <w:w w:val="105"/>
          <w:sz w:val="17"/>
        </w:rPr>
        <w:t> </w:t>
      </w:r>
      <w:r>
        <w:rPr>
          <w:rFonts w:ascii="Times New Roman"/>
          <w:color w:val="4F4D4D"/>
          <w:w w:val="105"/>
          <w:sz w:val="17"/>
        </w:rPr>
        <w:t>sulla</w:t>
      </w:r>
      <w:r>
        <w:rPr>
          <w:rFonts w:ascii="Times New Roman"/>
          <w:color w:val="4F4D4D"/>
          <w:spacing w:val="1"/>
          <w:w w:val="105"/>
          <w:sz w:val="17"/>
        </w:rPr>
        <w:t> </w:t>
      </w:r>
      <w:r>
        <w:rPr>
          <w:rFonts w:ascii="Times New Roman"/>
          <w:color w:val="383436"/>
          <w:w w:val="105"/>
          <w:sz w:val="17"/>
        </w:rPr>
        <w:t>propria</w:t>
      </w:r>
      <w:r>
        <w:rPr>
          <w:rFonts w:ascii="Times New Roman"/>
          <w:color w:val="383436"/>
          <w:spacing w:val="-2"/>
          <w:w w:val="105"/>
          <w:sz w:val="17"/>
        </w:rPr>
        <w:t> lingua.</w:t>
      </w:r>
    </w:p>
    <w:p>
      <w:pPr>
        <w:spacing w:before="2"/>
        <w:ind w:left="235" w:right="0" w:firstLine="0"/>
        <w:jc w:val="left"/>
        <w:rPr>
          <w:rFonts w:ascii="Times New Roman"/>
          <w:sz w:val="17"/>
        </w:rPr>
      </w:pPr>
      <w:r>
        <w:rPr>
          <w:rFonts w:ascii="Times New Roman"/>
          <w:color w:val="4F4D4D"/>
          <w:w w:val="105"/>
          <w:sz w:val="17"/>
        </w:rPr>
        <w:t>Un</w:t>
      </w:r>
      <w:r>
        <w:rPr>
          <w:rFonts w:ascii="Times New Roman"/>
          <w:color w:val="4F4D4D"/>
          <w:spacing w:val="9"/>
          <w:w w:val="105"/>
          <w:sz w:val="17"/>
        </w:rPr>
        <w:t> </w:t>
      </w:r>
      <w:r>
        <w:rPr>
          <w:rFonts w:ascii="Times New Roman"/>
          <w:color w:val="383436"/>
          <w:w w:val="105"/>
          <w:sz w:val="17"/>
        </w:rPr>
        <w:t>interprete</w:t>
      </w:r>
      <w:r>
        <w:rPr>
          <w:rFonts w:ascii="Times New Roman"/>
          <w:color w:val="383436"/>
          <w:spacing w:val="1"/>
          <w:w w:val="105"/>
          <w:sz w:val="17"/>
        </w:rPr>
        <w:t> </w:t>
      </w:r>
      <w:r>
        <w:rPr>
          <w:rFonts w:ascii="Times New Roman"/>
          <w:color w:val="4F4D4D"/>
          <w:w w:val="105"/>
          <w:sz w:val="17"/>
        </w:rPr>
        <w:t>sara</w:t>
      </w:r>
      <w:r>
        <w:rPr>
          <w:rFonts w:ascii="Times New Roman"/>
          <w:color w:val="4F4D4D"/>
          <w:spacing w:val="-2"/>
          <w:w w:val="105"/>
          <w:sz w:val="17"/>
        </w:rPr>
        <w:t> </w:t>
      </w:r>
      <w:r>
        <w:rPr>
          <w:rFonts w:ascii="Times New Roman"/>
          <w:color w:val="383436"/>
          <w:w w:val="105"/>
          <w:sz w:val="17"/>
        </w:rPr>
        <w:t>chiamato.</w:t>
      </w:r>
      <w:r>
        <w:rPr>
          <w:rFonts w:ascii="Times New Roman"/>
          <w:color w:val="383436"/>
          <w:spacing w:val="45"/>
          <w:w w:val="105"/>
          <w:sz w:val="17"/>
        </w:rPr>
        <w:t> </w:t>
      </w:r>
      <w:r>
        <w:rPr>
          <w:rFonts w:ascii="Times New Roman"/>
          <w:color w:val="383436"/>
          <w:w w:val="105"/>
          <w:sz w:val="17"/>
        </w:rPr>
        <w:t>II</w:t>
      </w:r>
      <w:r>
        <w:rPr>
          <w:rFonts w:ascii="Times New Roman"/>
          <w:color w:val="383436"/>
          <w:spacing w:val="-6"/>
          <w:w w:val="105"/>
          <w:sz w:val="17"/>
        </w:rPr>
        <w:t> </w:t>
      </w:r>
      <w:r>
        <w:rPr>
          <w:rFonts w:ascii="Times New Roman"/>
          <w:color w:val="4F4D4D"/>
          <w:w w:val="105"/>
          <w:sz w:val="17"/>
        </w:rPr>
        <w:t>serviz</w:t>
      </w:r>
      <w:r>
        <w:rPr>
          <w:rFonts w:ascii="Times New Roman"/>
          <w:color w:val="242121"/>
          <w:w w:val="105"/>
          <w:sz w:val="17"/>
        </w:rPr>
        <w:t>i</w:t>
      </w:r>
      <w:r>
        <w:rPr>
          <w:rFonts w:ascii="Times New Roman"/>
          <w:color w:val="4F4D4D"/>
          <w:w w:val="105"/>
          <w:sz w:val="17"/>
        </w:rPr>
        <w:t>o</w:t>
      </w:r>
      <w:r>
        <w:rPr>
          <w:rFonts w:ascii="Times New Roman"/>
          <w:color w:val="4F4D4D"/>
          <w:spacing w:val="-3"/>
          <w:w w:val="105"/>
          <w:sz w:val="17"/>
        </w:rPr>
        <w:t> </w:t>
      </w:r>
      <w:r>
        <w:rPr>
          <w:rFonts w:ascii="Times New Roman"/>
          <w:color w:val="4F4D4D"/>
          <w:w w:val="105"/>
          <w:sz w:val="17"/>
        </w:rPr>
        <w:t>e</w:t>
      </w:r>
      <w:r>
        <w:rPr>
          <w:rFonts w:ascii="Times New Roman"/>
          <w:color w:val="4F4D4D"/>
          <w:spacing w:val="-4"/>
          <w:w w:val="105"/>
          <w:sz w:val="17"/>
        </w:rPr>
        <w:t> </w:t>
      </w:r>
      <w:r>
        <w:rPr>
          <w:rFonts w:ascii="Times New Roman"/>
          <w:color w:val="4F4D4D"/>
          <w:spacing w:val="-2"/>
          <w:w w:val="105"/>
          <w:sz w:val="17"/>
        </w:rPr>
        <w:t>gratuito.</w:t>
      </w:r>
    </w:p>
    <w:p>
      <w:pPr>
        <w:pStyle w:val="BodyText"/>
        <w:spacing w:before="3"/>
        <w:rPr>
          <w:rFonts w:ascii="Times New Roman"/>
          <w:sz w:val="4"/>
        </w:rPr>
      </w:pPr>
    </w:p>
    <w:p>
      <w:pPr>
        <w:pStyle w:val="BodyText"/>
        <w:spacing w:line="20" w:lineRule="exact"/>
        <w:ind w:left="139" w:right="-29"/>
        <w:rPr>
          <w:rFonts w:ascii="Times New Roman"/>
          <w:sz w:val="2"/>
        </w:rPr>
      </w:pPr>
      <w:r>
        <w:rPr>
          <w:rFonts w:ascii="Times New Roman"/>
          <w:sz w:val="2"/>
        </w:rPr>
        <mc:AlternateContent>
          <mc:Choice Requires="wps">
            <w:drawing>
              <wp:inline distT="0" distB="0" distL="0" distR="0">
                <wp:extent cx="2616200" cy="3175"/>
                <wp:effectExtent l="9525" t="0" r="0" b="6350"/>
                <wp:docPr id="381" name="Group 381"/>
                <wp:cNvGraphicFramePr>
                  <a:graphicFrameLocks/>
                </wp:cNvGraphicFramePr>
                <a:graphic>
                  <a:graphicData uri="http://schemas.microsoft.com/office/word/2010/wordprocessingGroup">
                    <wpg:wgp>
                      <wpg:cNvPr id="381" name="Group 381"/>
                      <wpg:cNvGrpSpPr/>
                      <wpg:grpSpPr>
                        <a:xfrm>
                          <a:off x="0" y="0"/>
                          <a:ext cx="2616200" cy="3175"/>
                          <a:chExt cx="2616200" cy="3175"/>
                        </a:xfrm>
                      </wpg:grpSpPr>
                      <wps:wsp>
                        <wps:cNvPr id="382" name="Graphic 38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75" coordorigin="0,0" coordsize="4120,5">
                <v:shape style="position:absolute;left:0;top:2;width:4120;height:2" id="docshape27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477" w:val="left" w:leader="none"/>
        </w:tabs>
        <w:spacing w:line="224" w:lineRule="exact" w:before="15"/>
        <w:ind w:left="214" w:right="0" w:firstLine="0"/>
        <w:jc w:val="left"/>
        <w:rPr>
          <w:rFonts w:ascii="Times New Roman"/>
          <w:sz w:val="19"/>
        </w:rPr>
      </w:pPr>
      <w:r>
        <w:rPr>
          <w:rFonts w:ascii="Times New Roman"/>
          <w:b/>
          <w:color w:val="383436"/>
          <w:spacing w:val="-4"/>
          <w:w w:val="105"/>
          <w:sz w:val="19"/>
        </w:rPr>
        <w:t>Nuer</w:t>
      </w:r>
      <w:r>
        <w:rPr>
          <w:rFonts w:ascii="Times New Roman"/>
          <w:b/>
          <w:color w:val="383436"/>
          <w:sz w:val="19"/>
        </w:rPr>
        <w:tab/>
      </w:r>
      <w:r>
        <w:rPr>
          <w:rFonts w:ascii="Times New Roman"/>
          <w:color w:val="383436"/>
          <w:w w:val="105"/>
          <w:sz w:val="19"/>
        </w:rPr>
        <w:t>Magaca luqadda</w:t>
      </w:r>
      <w:r>
        <w:rPr>
          <w:rFonts w:ascii="Times New Roman"/>
          <w:color w:val="383436"/>
          <w:spacing w:val="40"/>
          <w:w w:val="105"/>
          <w:sz w:val="19"/>
        </w:rPr>
        <w:t> </w:t>
      </w:r>
      <w:r>
        <w:rPr>
          <w:rFonts w:ascii="Times New Roman"/>
          <w:color w:val="383436"/>
          <w:spacing w:val="2"/>
          <w:position w:val="-4"/>
          <w:sz w:val="19"/>
        </w:rPr>
        <w:drawing>
          <wp:inline distT="0" distB="0" distL="0" distR="0">
            <wp:extent cx="214306" cy="104266"/>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124" cstate="print"/>
                    <a:stretch>
                      <a:fillRect/>
                    </a:stretch>
                  </pic:blipFill>
                  <pic:spPr>
                    <a:xfrm>
                      <a:off x="0" y="0"/>
                      <a:ext cx="214306" cy="104266"/>
                    </a:xfrm>
                    <a:prstGeom prst="rect">
                      <a:avLst/>
                    </a:prstGeom>
                  </pic:spPr>
                </pic:pic>
              </a:graphicData>
            </a:graphic>
          </wp:inline>
        </w:drawing>
      </w:r>
      <w:r>
        <w:rPr>
          <w:rFonts w:ascii="Times New Roman"/>
          <w:color w:val="383436"/>
          <w:spacing w:val="2"/>
          <w:position w:val="-4"/>
          <w:sz w:val="19"/>
        </w:rPr>
      </w:r>
    </w:p>
    <w:p>
      <w:pPr>
        <w:spacing w:line="247" w:lineRule="auto" w:before="0"/>
        <w:ind w:left="216" w:right="0" w:hanging="3"/>
        <w:jc w:val="left"/>
        <w:rPr>
          <w:rFonts w:ascii="Times New Roman"/>
          <w:sz w:val="17"/>
        </w:rPr>
      </w:pPr>
      <w:r>
        <w:rPr>
          <w:rFonts w:ascii="Times New Roman"/>
          <w:color w:val="383436"/>
          <w:spacing w:val="-2"/>
          <w:w w:val="105"/>
          <w:sz w:val="17"/>
        </w:rPr>
        <w:t>Ku</w:t>
      </w:r>
      <w:r>
        <w:rPr>
          <w:rFonts w:ascii="Times New Roman"/>
          <w:color w:val="383436"/>
          <w:spacing w:val="-4"/>
          <w:w w:val="105"/>
          <w:sz w:val="17"/>
        </w:rPr>
        <w:t> </w:t>
      </w:r>
      <w:r>
        <w:rPr>
          <w:rFonts w:ascii="Times New Roman"/>
          <w:color w:val="383436"/>
          <w:spacing w:val="-2"/>
          <w:w w:val="105"/>
          <w:sz w:val="17"/>
        </w:rPr>
        <w:t>tilmaan luqaddaada. Turjubaan </w:t>
      </w:r>
      <w:r>
        <w:rPr>
          <w:rFonts w:ascii="Times New Roman"/>
          <w:color w:val="4F4D4D"/>
          <w:spacing w:val="-2"/>
          <w:w w:val="105"/>
          <w:sz w:val="17"/>
        </w:rPr>
        <w:t>ayaa</w:t>
      </w:r>
      <w:r>
        <w:rPr>
          <w:rFonts w:ascii="Times New Roman"/>
          <w:color w:val="4F4D4D"/>
          <w:spacing w:val="-3"/>
          <w:w w:val="105"/>
          <w:sz w:val="17"/>
        </w:rPr>
        <w:t> </w:t>
      </w:r>
      <w:r>
        <w:rPr>
          <w:rFonts w:ascii="Times New Roman"/>
          <w:color w:val="383436"/>
          <w:spacing w:val="-2"/>
          <w:w w:val="105"/>
          <w:sz w:val="17"/>
        </w:rPr>
        <w:t>looyeeri-doonaa. </w:t>
      </w:r>
      <w:r>
        <w:rPr>
          <w:rFonts w:ascii="Times New Roman"/>
          <w:color w:val="4F4D4D"/>
          <w:w w:val="105"/>
          <w:sz w:val="17"/>
        </w:rPr>
        <w:t>Turjubaanka</w:t>
      </w:r>
      <w:r>
        <w:rPr>
          <w:rFonts w:ascii="Times New Roman"/>
          <w:color w:val="4F4D4D"/>
          <w:spacing w:val="40"/>
          <w:w w:val="105"/>
          <w:sz w:val="17"/>
        </w:rPr>
        <w:t> </w:t>
      </w:r>
      <w:r>
        <w:rPr>
          <w:rFonts w:ascii="Times New Roman"/>
          <w:color w:val="383436"/>
          <w:w w:val="105"/>
          <w:sz w:val="17"/>
        </w:rPr>
        <w:t>lagugu </w:t>
      </w:r>
      <w:r>
        <w:rPr>
          <w:rFonts w:ascii="Times New Roman"/>
          <w:color w:val="4F4D4D"/>
          <w:w w:val="105"/>
          <w:sz w:val="17"/>
        </w:rPr>
        <w:t>yeerayo </w:t>
      </w:r>
      <w:r>
        <w:rPr>
          <w:rFonts w:ascii="Times New Roman"/>
          <w:color w:val="383436"/>
          <w:w w:val="105"/>
          <w:sz w:val="17"/>
        </w:rPr>
        <w:t>waa bilaash</w:t>
      </w:r>
      <w:r>
        <w:rPr>
          <w:rFonts w:ascii="Times New Roman"/>
          <w:color w:val="646262"/>
          <w:w w:val="105"/>
          <w:sz w:val="17"/>
        </w:rPr>
        <w:t>.</w:t>
      </w:r>
    </w:p>
    <w:p>
      <w:pPr>
        <w:pStyle w:val="BodyText"/>
        <w:spacing w:before="4"/>
        <w:rPr>
          <w:rFonts w:ascii="Times New Roman"/>
          <w:sz w:val="3"/>
        </w:rPr>
      </w:pPr>
    </w:p>
    <w:p>
      <w:pPr>
        <w:pStyle w:val="BodyText"/>
        <w:spacing w:line="20" w:lineRule="exact"/>
        <w:ind w:left="139" w:right="-29"/>
        <w:rPr>
          <w:rFonts w:ascii="Times New Roman"/>
          <w:sz w:val="2"/>
        </w:rPr>
      </w:pPr>
      <w:r>
        <w:rPr>
          <w:rFonts w:ascii="Times New Roman"/>
          <w:sz w:val="2"/>
        </w:rPr>
        <mc:AlternateContent>
          <mc:Choice Requires="wps">
            <w:drawing>
              <wp:inline distT="0" distB="0" distL="0" distR="0">
                <wp:extent cx="2616200" cy="3175"/>
                <wp:effectExtent l="9525" t="0" r="0" b="6350"/>
                <wp:docPr id="384" name="Group 384"/>
                <wp:cNvGraphicFramePr>
                  <a:graphicFrameLocks/>
                </wp:cNvGraphicFramePr>
                <a:graphic>
                  <a:graphicData uri="http://schemas.microsoft.com/office/word/2010/wordprocessingGroup">
                    <wpg:wgp>
                      <wpg:cNvPr id="384" name="Group 384"/>
                      <wpg:cNvGrpSpPr/>
                      <wpg:grpSpPr>
                        <a:xfrm>
                          <a:off x="0" y="0"/>
                          <a:ext cx="2616200" cy="3175"/>
                          <a:chExt cx="2616200" cy="3175"/>
                        </a:xfrm>
                      </wpg:grpSpPr>
                      <wps:wsp>
                        <wps:cNvPr id="385" name="Graphic 38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77" coordorigin="0,0" coordsize="4120,5">
                <v:shape style="position:absolute;left:0;top:2;width:4120;height:2" id="docshape278"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line="240" w:lineRule="auto" w:before="3"/>
        <w:rPr>
          <w:rFonts w:ascii="Times New Roman"/>
          <w:sz w:val="3"/>
        </w:rPr>
      </w:pPr>
      <w:r>
        <w:rPr/>
        <w:br w:type="column"/>
      </w:r>
      <w:r>
        <w:rPr>
          <w:rFonts w:ascii="Times New Roman"/>
          <w:sz w:val="3"/>
        </w:rPr>
      </w:r>
    </w:p>
    <w:p>
      <w:pPr>
        <w:pStyle w:val="BodyText"/>
        <w:ind w:left="93" w:right="-87"/>
        <w:rPr>
          <w:rFonts w:ascii="Times New Roman"/>
          <w:sz w:val="20"/>
        </w:rPr>
      </w:pPr>
      <w:r>
        <w:rPr>
          <w:rFonts w:ascii="Times New Roman"/>
          <w:sz w:val="20"/>
        </w:rPr>
        <mc:AlternateContent>
          <mc:Choice Requires="wps">
            <w:drawing>
              <wp:inline distT="0" distB="0" distL="0" distR="0">
                <wp:extent cx="2616200" cy="150495"/>
                <wp:effectExtent l="9525" t="0" r="0" b="1905"/>
                <wp:docPr id="386" name="Group 386"/>
                <wp:cNvGraphicFramePr>
                  <a:graphicFrameLocks/>
                </wp:cNvGraphicFramePr>
                <a:graphic>
                  <a:graphicData uri="http://schemas.microsoft.com/office/word/2010/wordprocessingGroup">
                    <wpg:wgp>
                      <wpg:cNvPr id="386" name="Group 386"/>
                      <wpg:cNvGrpSpPr/>
                      <wpg:grpSpPr>
                        <a:xfrm>
                          <a:off x="0" y="0"/>
                          <a:ext cx="2616200" cy="150495"/>
                          <a:chExt cx="2616200" cy="150495"/>
                        </a:xfrm>
                      </wpg:grpSpPr>
                      <wps:wsp>
                        <wps:cNvPr id="387" name="Graphic 387"/>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pic:pic>
                        <pic:nvPicPr>
                          <pic:cNvPr id="388" name="Image 388"/>
                          <pic:cNvPicPr/>
                        </pic:nvPicPr>
                        <pic:blipFill>
                          <a:blip r:embed="rId106" cstate="print"/>
                          <a:stretch>
                            <a:fillRect/>
                          </a:stretch>
                        </pic:blipFill>
                        <pic:spPr>
                          <a:xfrm>
                            <a:off x="2373151" y="39129"/>
                            <a:ext cx="214299" cy="104139"/>
                          </a:xfrm>
                          <a:prstGeom prst="rect">
                            <a:avLst/>
                          </a:prstGeom>
                        </pic:spPr>
                      </pic:pic>
                      <wps:wsp>
                        <wps:cNvPr id="389" name="Textbox 389"/>
                        <wps:cNvSpPr txBox="1"/>
                        <wps:spPr>
                          <a:xfrm>
                            <a:off x="70175" y="14710"/>
                            <a:ext cx="261620" cy="133985"/>
                          </a:xfrm>
                          <a:prstGeom prst="rect">
                            <a:avLst/>
                          </a:prstGeom>
                        </wps:spPr>
                        <wps:txbx>
                          <w:txbxContent>
                            <w:p>
                              <w:pPr>
                                <w:spacing w:line="211" w:lineRule="exact" w:before="0"/>
                                <w:ind w:left="0" w:right="0" w:firstLine="0"/>
                                <w:jc w:val="left"/>
                                <w:rPr>
                                  <w:rFonts w:ascii="Times New Roman"/>
                                  <w:b/>
                                  <w:sz w:val="19"/>
                                </w:rPr>
                              </w:pPr>
                              <w:r>
                                <w:rPr>
                                  <w:rFonts w:ascii="Times New Roman"/>
                                  <w:b/>
                                  <w:color w:val="242121"/>
                                  <w:spacing w:val="-4"/>
                                  <w:w w:val="105"/>
                                  <w:sz w:val="19"/>
                                </w:rPr>
                                <w:t>Dari</w:t>
                              </w:r>
                            </w:p>
                          </w:txbxContent>
                        </wps:txbx>
                        <wps:bodyPr wrap="square" lIns="0" tIns="0" rIns="0" bIns="0" rtlCol="0">
                          <a:noAutofit/>
                        </wps:bodyPr>
                      </wps:wsp>
                      <wps:wsp>
                        <wps:cNvPr id="390" name="Textbox 390"/>
                        <wps:cNvSpPr txBox="1"/>
                        <wps:spPr>
                          <a:xfrm>
                            <a:off x="2084868" y="9043"/>
                            <a:ext cx="202565" cy="140970"/>
                          </a:xfrm>
                          <a:prstGeom prst="rect">
                            <a:avLst/>
                          </a:prstGeom>
                        </wps:spPr>
                        <wps:txbx>
                          <w:txbxContent>
                            <w:p>
                              <w:pPr>
                                <w:spacing w:line="222" w:lineRule="exact" w:before="0"/>
                                <w:ind w:left="0" w:right="0" w:firstLine="0"/>
                                <w:jc w:val="left"/>
                                <w:rPr>
                                  <w:rFonts w:ascii="Verdana"/>
                                  <w:i/>
                                  <w:sz w:val="11"/>
                                </w:rPr>
                              </w:pPr>
                              <w:r>
                                <w:rPr>
                                  <w:rFonts w:ascii="Times New Roman"/>
                                  <w:i/>
                                  <w:color w:val="383436"/>
                                  <w:w w:val="75"/>
                                  <w:sz w:val="20"/>
                                </w:rPr>
                                <w:t>i.S</w:t>
                              </w:r>
                              <w:r>
                                <w:rPr>
                                  <w:rFonts w:ascii="Times New Roman"/>
                                  <w:i/>
                                  <w:color w:val="383436"/>
                                  <w:spacing w:val="-1"/>
                                  <w:w w:val="75"/>
                                  <w:sz w:val="20"/>
                                </w:rPr>
                                <w:t> </w:t>
                              </w:r>
                              <w:r>
                                <w:rPr>
                                  <w:rFonts w:ascii="Verdana"/>
                                  <w:i/>
                                  <w:color w:val="383436"/>
                                  <w:spacing w:val="-5"/>
                                  <w:w w:val="90"/>
                                  <w:sz w:val="11"/>
                                </w:rPr>
                                <w:t>J,)</w:t>
                              </w:r>
                            </w:p>
                          </w:txbxContent>
                        </wps:txbx>
                        <wps:bodyPr wrap="square" lIns="0" tIns="0" rIns="0" bIns="0" rtlCol="0">
                          <a:noAutofit/>
                        </wps:bodyPr>
                      </wps:wsp>
                    </wpg:wgp>
                  </a:graphicData>
                </a:graphic>
              </wp:inline>
            </w:drawing>
          </mc:Choice>
          <mc:Fallback>
            <w:pict>
              <v:group style="width:206pt;height:11.85pt;mso-position-horizontal-relative:char;mso-position-vertical-relative:line" id="docshapegroup279" coordorigin="0,0" coordsize="4120,237">
                <v:shape style="position:absolute;left:0;top:2;width:4120;height:2" id="docshape280" coordorigin="0,3" coordsize="4120,0" path="m0,3l644,3,2060,3,3476,3,4120,3e" filled="false" stroked="true" strokeweight=".25pt" strokecolor="#231f20">
                  <v:path arrowok="t"/>
                  <v:stroke dashstyle="solid"/>
                </v:shape>
                <v:shape style="position:absolute;left:3737;top:61;width:338;height:164" type="#_x0000_t75" id="docshape281" stroked="false">
                  <v:imagedata r:id="rId106" o:title=""/>
                </v:shape>
                <v:shape style="position:absolute;left:110;top:23;width:412;height:211" type="#_x0000_t202" id="docshape282" filled="false" stroked="false">
                  <v:textbox inset="0,0,0,0">
                    <w:txbxContent>
                      <w:p>
                        <w:pPr>
                          <w:spacing w:line="211" w:lineRule="exact" w:before="0"/>
                          <w:ind w:left="0" w:right="0" w:firstLine="0"/>
                          <w:jc w:val="left"/>
                          <w:rPr>
                            <w:rFonts w:ascii="Times New Roman"/>
                            <w:b/>
                            <w:sz w:val="19"/>
                          </w:rPr>
                        </w:pPr>
                        <w:r>
                          <w:rPr>
                            <w:rFonts w:ascii="Times New Roman"/>
                            <w:b/>
                            <w:color w:val="242121"/>
                            <w:spacing w:val="-4"/>
                            <w:w w:val="105"/>
                            <w:sz w:val="19"/>
                          </w:rPr>
                          <w:t>Dari</w:t>
                        </w:r>
                      </w:p>
                    </w:txbxContent>
                  </v:textbox>
                  <w10:wrap type="none"/>
                </v:shape>
                <v:shape style="position:absolute;left:3283;top:14;width:319;height:222" type="#_x0000_t202" id="docshape283" filled="false" stroked="false">
                  <v:textbox inset="0,0,0,0">
                    <w:txbxContent>
                      <w:p>
                        <w:pPr>
                          <w:spacing w:line="222" w:lineRule="exact" w:before="0"/>
                          <w:ind w:left="0" w:right="0" w:firstLine="0"/>
                          <w:jc w:val="left"/>
                          <w:rPr>
                            <w:rFonts w:ascii="Verdana"/>
                            <w:i/>
                            <w:sz w:val="11"/>
                          </w:rPr>
                        </w:pPr>
                        <w:r>
                          <w:rPr>
                            <w:rFonts w:ascii="Times New Roman"/>
                            <w:i/>
                            <w:color w:val="383436"/>
                            <w:w w:val="75"/>
                            <w:sz w:val="20"/>
                          </w:rPr>
                          <w:t>i.S</w:t>
                        </w:r>
                        <w:r>
                          <w:rPr>
                            <w:rFonts w:ascii="Times New Roman"/>
                            <w:i/>
                            <w:color w:val="383436"/>
                            <w:spacing w:val="-1"/>
                            <w:w w:val="75"/>
                            <w:sz w:val="20"/>
                          </w:rPr>
                          <w:t> </w:t>
                        </w:r>
                        <w:r>
                          <w:rPr>
                            <w:rFonts w:ascii="Verdana"/>
                            <w:i/>
                            <w:color w:val="383436"/>
                            <w:spacing w:val="-5"/>
                            <w:w w:val="90"/>
                            <w:sz w:val="11"/>
                          </w:rPr>
                          <w:t>J,)</w:t>
                        </w:r>
                      </w:p>
                    </w:txbxContent>
                  </v:textbox>
                  <w10:wrap type="none"/>
                </v:shape>
              </v:group>
            </w:pict>
          </mc:Fallback>
        </mc:AlternateContent>
      </w:r>
      <w:r>
        <w:rPr>
          <w:rFonts w:ascii="Times New Roman"/>
          <w:sz w:val="20"/>
        </w:rPr>
      </w:r>
    </w:p>
    <w:p>
      <w:pPr>
        <w:spacing w:line="164" w:lineRule="exact" w:before="0"/>
        <w:ind w:left="0" w:right="246" w:firstLine="0"/>
        <w:jc w:val="right"/>
        <w:rPr>
          <w:rFonts w:ascii="Arial" w:hAnsi="Arial" w:cs="Arial" w:eastAsia="Arial"/>
          <w:sz w:val="16"/>
          <w:szCs w:val="16"/>
        </w:rPr>
      </w:pPr>
      <w:r>
        <w:rPr>
          <w:rFonts w:ascii="Times New Roman" w:hAnsi="Times New Roman" w:cs="Times New Roman" w:eastAsia="Times New Roman"/>
          <w:color w:val="4F4D4D"/>
          <w:spacing w:val="-2"/>
          <w:w w:val="110"/>
          <w:sz w:val="14"/>
          <w:szCs w:val="14"/>
        </w:rPr>
        <w:t>.J...:.</w:t>
      </w:r>
      <w:r>
        <w:rPr>
          <w:rFonts w:ascii="Times New Roman" w:hAnsi="Times New Roman" w:cs="Times New Roman" w:eastAsia="Times New Roman"/>
          <w:color w:val="4F4D4D"/>
          <w:spacing w:val="-10"/>
          <w:w w:val="110"/>
          <w:sz w:val="14"/>
          <w:szCs w:val="14"/>
        </w:rPr>
        <w:t> </w:t>
      </w:r>
      <w:r>
        <w:rPr>
          <w:rFonts w:ascii="Arial" w:hAnsi="Arial" w:cs="Arial" w:eastAsia="Arial"/>
          <w:color w:val="383436"/>
          <w:spacing w:val="-2"/>
          <w:w w:val="120"/>
          <w:sz w:val="16"/>
          <w:szCs w:val="16"/>
        </w:rPr>
        <w:t>..usl</w:t>
      </w:r>
      <w:r>
        <w:rPr>
          <w:rFonts w:ascii="Arial" w:hAnsi="Arial" w:cs="Arial" w:eastAsia="Arial"/>
          <w:color w:val="383436"/>
          <w:spacing w:val="-11"/>
          <w:w w:val="120"/>
          <w:sz w:val="16"/>
          <w:szCs w:val="16"/>
        </w:rPr>
        <w:t> </w:t>
      </w:r>
      <w:r>
        <w:rPr>
          <w:rFonts w:ascii="Arial" w:hAnsi="Arial" w:cs="Arial" w:eastAsia="Arial"/>
          <w:color w:val="4F4D4D"/>
          <w:spacing w:val="-2"/>
          <w:w w:val="120"/>
          <w:sz w:val="10"/>
          <w:szCs w:val="10"/>
        </w:rPr>
        <w:t>o</w:t>
      </w:r>
      <w:r>
        <w:rPr>
          <w:rFonts w:ascii="Arial" w:hAnsi="Arial" w:cs="Arial" w:eastAsia="Arial"/>
          <w:color w:val="4F4D4D"/>
          <w:spacing w:val="19"/>
          <w:w w:val="120"/>
          <w:sz w:val="10"/>
          <w:szCs w:val="10"/>
        </w:rPr>
        <w:t> </w:t>
      </w:r>
      <w:r>
        <w:rPr>
          <w:rFonts w:ascii="Verdana" w:hAnsi="Verdana" w:cs="Verdana" w:eastAsia="Verdana"/>
          <w:i/>
          <w:iCs/>
          <w:color w:val="4F4D4D"/>
          <w:spacing w:val="-2"/>
          <w:w w:val="95"/>
          <w:sz w:val="17"/>
          <w:szCs w:val="17"/>
        </w:rPr>
        <w:t>yS</w:t>
      </w:r>
      <w:r>
        <w:rPr>
          <w:rFonts w:ascii="Verdana" w:hAnsi="Verdana" w:cs="Verdana" w:eastAsia="Verdana"/>
          <w:i/>
          <w:iCs/>
          <w:color w:val="4F4D4D"/>
          <w:spacing w:val="-16"/>
          <w:w w:val="95"/>
          <w:sz w:val="17"/>
          <w:szCs w:val="17"/>
        </w:rPr>
        <w:t> </w:t>
      </w:r>
      <w:r>
        <w:rPr>
          <w:rFonts w:ascii="Times New Roman" w:hAnsi="Times New Roman" w:cs="Times New Roman" w:eastAsia="Times New Roman"/>
          <w:color w:val="383436"/>
          <w:spacing w:val="-2"/>
          <w:w w:val="110"/>
          <w:sz w:val="17"/>
          <w:szCs w:val="17"/>
        </w:rPr>
        <w:t>..,...Lb</w:t>
      </w:r>
      <w:r>
        <w:rPr>
          <w:rFonts w:ascii="Arial" w:hAnsi="Arial" w:cs="Arial" w:eastAsia="Arial"/>
          <w:color w:val="383436"/>
          <w:spacing w:val="-2"/>
          <w:w w:val="110"/>
          <w:sz w:val="19"/>
          <w:szCs w:val="19"/>
        </w:rPr>
        <w:t>;:.-</w:t>
      </w:r>
      <w:r>
        <w:rPr>
          <w:rFonts w:ascii="Arial" w:hAnsi="Arial" w:cs="Arial" w:eastAsia="Arial"/>
          <w:color w:val="383436"/>
          <w:spacing w:val="-2"/>
          <w:w w:val="95"/>
          <w:sz w:val="19"/>
          <w:szCs w:val="19"/>
        </w:rPr>
        <w:t>o</w:t>
      </w:r>
      <w:r>
        <w:rPr>
          <w:rFonts w:ascii="Arial" w:hAnsi="Arial" w:cs="Arial" w:eastAsia="Arial"/>
          <w:color w:val="383436"/>
          <w:spacing w:val="-7"/>
          <w:w w:val="125"/>
          <w:sz w:val="19"/>
          <w:szCs w:val="19"/>
        </w:rPr>
        <w:t> </w:t>
      </w:r>
      <w:r>
        <w:rPr>
          <w:rFonts w:ascii="Arial" w:hAnsi="Arial" w:cs="Arial" w:eastAsia="Arial"/>
          <w:color w:val="7C7B7B"/>
          <w:spacing w:val="-2"/>
          <w:w w:val="125"/>
          <w:sz w:val="19"/>
          <w:szCs w:val="19"/>
        </w:rPr>
        <w:t>-</w:t>
      </w:r>
      <w:r>
        <w:rPr>
          <w:rFonts w:ascii="Arial" w:hAnsi="Arial" w:cs="Arial" w:eastAsia="Arial"/>
          <w:color w:val="242121"/>
          <w:spacing w:val="-2"/>
          <w:w w:val="110"/>
          <w:sz w:val="19"/>
          <w:szCs w:val="19"/>
        </w:rPr>
        <w:t>.</w:t>
      </w:r>
      <w:r>
        <w:rPr>
          <w:rFonts w:ascii="Arial" w:hAnsi="Arial" w:cs="Arial" w:eastAsia="Arial"/>
          <w:color w:val="383436"/>
          <w:spacing w:val="-2"/>
          <w:w w:val="110"/>
          <w:sz w:val="12"/>
          <w:szCs w:val="12"/>
        </w:rPr>
        <w:t>.l,;Jb-.u</w:t>
      </w:r>
      <w:r>
        <w:rPr>
          <w:rFonts w:ascii="Arial" w:hAnsi="Arial" w:cs="Arial" w:eastAsia="Arial"/>
          <w:color w:val="383436"/>
          <w:spacing w:val="4"/>
          <w:w w:val="110"/>
          <w:sz w:val="12"/>
          <w:szCs w:val="12"/>
        </w:rPr>
        <w:t> </w:t>
      </w:r>
      <w:r>
        <w:rPr>
          <w:rFonts w:ascii="Arial" w:hAnsi="Arial" w:cs="Arial" w:eastAsia="Arial"/>
          <w:color w:val="4F4D4D"/>
          <w:spacing w:val="-2"/>
          <w:w w:val="110"/>
          <w:position w:val="-2"/>
          <w:sz w:val="16"/>
          <w:szCs w:val="16"/>
        </w:rPr>
        <w:t>0</w:t>
      </w:r>
      <w:r>
        <w:rPr>
          <w:rFonts w:ascii="Times New Roman" w:hAnsi="Times New Roman" w:cs="Times New Roman" w:eastAsia="Times New Roman"/>
          <w:color w:val="4F4D4D"/>
          <w:spacing w:val="-2"/>
          <w:w w:val="110"/>
          <w:sz w:val="14"/>
          <w:szCs w:val="14"/>
        </w:rPr>
        <w:t>L.;</w:t>
      </w:r>
      <w:r>
        <w:rPr>
          <w:rFonts w:ascii="Times New Roman" w:hAnsi="Times New Roman" w:cs="Times New Roman" w:eastAsia="Times New Roman"/>
          <w:color w:val="4F4D4D"/>
          <w:spacing w:val="25"/>
          <w:w w:val="110"/>
          <w:sz w:val="14"/>
          <w:szCs w:val="14"/>
        </w:rPr>
        <w:t> </w:t>
      </w:r>
      <w:r>
        <w:rPr>
          <w:rFonts w:ascii="Arial" w:hAnsi="Arial" w:cs="Arial" w:eastAsia="Arial"/>
          <w:color w:val="4F4D4D"/>
          <w:spacing w:val="-2"/>
          <w:w w:val="110"/>
          <w:sz w:val="16"/>
          <w:szCs w:val="16"/>
        </w:rPr>
        <w:t>IJ</w:t>
      </w:r>
      <w:r>
        <w:rPr>
          <w:rFonts w:ascii="Arial" w:hAnsi="Arial" w:cs="Arial" w:eastAsia="Arial"/>
          <w:color w:val="4F4D4D"/>
          <w:spacing w:val="-15"/>
          <w:w w:val="110"/>
          <w:sz w:val="16"/>
          <w:szCs w:val="16"/>
        </w:rPr>
        <w:t> </w:t>
      </w:r>
      <w:r>
        <w:rPr>
          <w:rFonts w:ascii="Verdana" w:hAnsi="Verdana" w:cs="Verdana" w:eastAsia="Verdana"/>
          <w:i/>
          <w:iCs/>
          <w:color w:val="4F4D4D"/>
          <w:spacing w:val="-2"/>
          <w:w w:val="110"/>
          <w:sz w:val="16"/>
          <w:szCs w:val="16"/>
        </w:rPr>
        <w:t>��</w:t>
      </w:r>
      <w:r>
        <w:rPr>
          <w:rFonts w:ascii="Verdana" w:hAnsi="Verdana" w:cs="Verdana" w:eastAsia="Verdana"/>
          <w:i/>
          <w:iCs/>
          <w:color w:val="4F4D4D"/>
          <w:spacing w:val="-29"/>
          <w:w w:val="110"/>
          <w:sz w:val="16"/>
          <w:szCs w:val="16"/>
        </w:rPr>
        <w:t> </w:t>
      </w:r>
      <w:r>
        <w:rPr>
          <w:rFonts w:ascii="Arial" w:hAnsi="Arial" w:cs="Arial" w:eastAsia="Arial"/>
          <w:color w:val="4F4D4D"/>
          <w:spacing w:val="-2"/>
          <w:w w:val="110"/>
          <w:sz w:val="16"/>
          <w:szCs w:val="16"/>
        </w:rPr>
        <w:t>,:.,U</w:t>
      </w:r>
    </w:p>
    <w:p>
      <w:pPr>
        <w:tabs>
          <w:tab w:pos="1810" w:val="left" w:leader="none"/>
        </w:tabs>
        <w:spacing w:line="219" w:lineRule="exact" w:before="0"/>
        <w:ind w:left="0" w:right="265" w:firstLine="0"/>
        <w:jc w:val="right"/>
        <w:rPr>
          <w:rFonts w:ascii="Arial"/>
          <w:sz w:val="16"/>
        </w:rPr>
      </w:pPr>
      <w:r>
        <w:rPr>
          <w:rFonts w:ascii="Arial"/>
          <w:color w:val="242121"/>
          <w:w w:val="185"/>
          <w:sz w:val="16"/>
        </w:rPr>
        <w:t>.</w:t>
      </w:r>
      <w:r>
        <w:rPr>
          <w:rFonts w:ascii="Arial"/>
          <w:color w:val="242121"/>
          <w:spacing w:val="11"/>
          <w:w w:val="185"/>
          <w:sz w:val="16"/>
        </w:rPr>
        <w:t> </w:t>
      </w:r>
      <w:r>
        <w:rPr>
          <w:rFonts w:ascii="Arial"/>
          <w:color w:val="4F4D4D"/>
          <w:w w:val="185"/>
          <w:sz w:val="16"/>
        </w:rPr>
        <w:t>I</w:t>
      </w:r>
      <w:r>
        <w:rPr>
          <w:rFonts w:ascii="Arial"/>
          <w:color w:val="4F4D4D"/>
          <w:spacing w:val="33"/>
          <w:w w:val="185"/>
          <w:sz w:val="16"/>
        </w:rPr>
        <w:t> </w:t>
      </w:r>
      <w:r>
        <w:rPr>
          <w:rFonts w:ascii="Verdana"/>
          <w:i/>
          <w:color w:val="4F4D4D"/>
          <w:w w:val="95"/>
          <w:sz w:val="17"/>
        </w:rPr>
        <w:t>.r</w:t>
      </w:r>
      <w:r>
        <w:rPr>
          <w:rFonts w:ascii="Verdana"/>
          <w:i/>
          <w:emboss/>
          <w:color w:val="646262"/>
          <w:w w:val="95"/>
          <w:sz w:val="17"/>
        </w:rPr>
        <w:t>.</w:t>
      </w:r>
      <w:r>
        <w:rPr>
          <w:rFonts w:ascii="Arial"/>
          <w:shadow w:val="0"/>
          <w:color w:val="383436"/>
          <w:w w:val="95"/>
          <w:sz w:val="16"/>
        </w:rPr>
        <w:t>..uslY"</w:t>
      </w:r>
      <w:r>
        <w:rPr>
          <w:rFonts w:ascii="Arial"/>
          <w:shadow w:val="0"/>
          <w:color w:val="383436"/>
          <w:spacing w:val="-6"/>
          <w:w w:val="125"/>
          <w:sz w:val="16"/>
        </w:rPr>
        <w:t> </w:t>
      </w:r>
      <w:r>
        <w:rPr>
          <w:rFonts w:ascii="Arial"/>
          <w:shadow w:val="0"/>
          <w:color w:val="383436"/>
          <w:w w:val="125"/>
          <w:sz w:val="22"/>
        </w:rPr>
        <w:t>J</w:t>
      </w:r>
      <w:r>
        <w:rPr>
          <w:rFonts w:ascii="Arial"/>
          <w:shadow w:val="0"/>
          <w:color w:val="383436"/>
          <w:spacing w:val="-7"/>
          <w:w w:val="125"/>
          <w:sz w:val="22"/>
        </w:rPr>
        <w:t> </w:t>
      </w:r>
      <w:r>
        <w:rPr>
          <w:rFonts w:ascii="Arial"/>
          <w:shadow w:val="0"/>
          <w:color w:val="646262"/>
          <w:spacing w:val="-7"/>
          <w:w w:val="125"/>
          <w:sz w:val="22"/>
        </w:rPr>
        <w:t>.</w:t>
      </w:r>
      <w:r>
        <w:rPr>
          <w:rFonts w:ascii="Arial"/>
          <w:shadow w:val="0"/>
          <w:color w:val="383436"/>
          <w:spacing w:val="-7"/>
          <w:w w:val="125"/>
          <w:sz w:val="16"/>
        </w:rPr>
        <w:t>W</w:t>
      </w:r>
      <w:r>
        <w:rPr>
          <w:rFonts w:ascii="Arial"/>
          <w:shadow w:val="0"/>
          <w:color w:val="383436"/>
          <w:sz w:val="16"/>
        </w:rPr>
        <w:tab/>
      </w:r>
      <w:r>
        <w:rPr>
          <w:rFonts w:ascii="Arial"/>
          <w:shadow w:val="0"/>
          <w:color w:val="4F4D4D"/>
          <w:spacing w:val="-2"/>
          <w:w w:val="65"/>
          <w:sz w:val="19"/>
        </w:rPr>
        <w:t>;:.-o</w:t>
      </w:r>
      <w:r>
        <w:rPr>
          <w:rFonts w:ascii="Arial"/>
          <w:shadow w:val="0"/>
          <w:color w:val="4F4D4D"/>
          <w:spacing w:val="-5"/>
          <w:sz w:val="19"/>
        </w:rPr>
        <w:t> </w:t>
      </w:r>
      <w:r>
        <w:rPr>
          <w:rFonts w:ascii="Arial"/>
          <w:shadow w:val="0"/>
          <w:color w:val="4F4D4D"/>
          <w:spacing w:val="-2"/>
          <w:w w:val="65"/>
          <w:sz w:val="16"/>
        </w:rPr>
        <w:t>.sl.r.</w:t>
      </w:r>
    </w:p>
    <w:p>
      <w:pPr>
        <w:pStyle w:val="BodyText"/>
        <w:spacing w:before="4"/>
        <w:rPr>
          <w:rFonts w:ascii="Arial"/>
          <w:sz w:val="4"/>
        </w:rPr>
      </w:pPr>
    </w:p>
    <w:p>
      <w:pPr>
        <w:pStyle w:val="BodyText"/>
        <w:spacing w:line="20" w:lineRule="exact"/>
        <w:ind w:left="96" w:right="-72"/>
        <w:rPr>
          <w:rFonts w:ascii="Arial"/>
          <w:sz w:val="2"/>
        </w:rPr>
      </w:pPr>
      <w:r>
        <w:rPr>
          <w:rFonts w:ascii="Arial"/>
          <w:sz w:val="2"/>
        </w:rPr>
        <mc:AlternateContent>
          <mc:Choice Requires="wps">
            <w:drawing>
              <wp:inline distT="0" distB="0" distL="0" distR="0">
                <wp:extent cx="2616200" cy="3175"/>
                <wp:effectExtent l="9525" t="0" r="0" b="6350"/>
                <wp:docPr id="391" name="Group 391"/>
                <wp:cNvGraphicFramePr>
                  <a:graphicFrameLocks/>
                </wp:cNvGraphicFramePr>
                <a:graphic>
                  <a:graphicData uri="http://schemas.microsoft.com/office/word/2010/wordprocessingGroup">
                    <wpg:wgp>
                      <wpg:cNvPr id="391" name="Group 391"/>
                      <wpg:cNvGrpSpPr/>
                      <wpg:grpSpPr>
                        <a:xfrm>
                          <a:off x="0" y="0"/>
                          <a:ext cx="2616200" cy="3175"/>
                          <a:chExt cx="2616200" cy="3175"/>
                        </a:xfrm>
                      </wpg:grpSpPr>
                      <wps:wsp>
                        <wps:cNvPr id="392" name="Graphic 39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84" coordorigin="0,0" coordsize="4120,5">
                <v:shape style="position:absolute;left:0;top:2;width:4120;height:2" id="docshape285"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3232" w:val="left" w:leader="none"/>
        </w:tabs>
        <w:spacing w:line="211" w:lineRule="exact" w:before="4"/>
        <w:ind w:left="174" w:right="0" w:firstLine="0"/>
        <w:jc w:val="center"/>
        <w:rPr>
          <w:rFonts w:ascii="Verdana"/>
          <w:i/>
          <w:sz w:val="15"/>
        </w:rPr>
      </w:pPr>
      <w:r>
        <w:rPr>
          <w:rFonts w:ascii="Times New Roman"/>
          <w:b/>
          <w:color w:val="383436"/>
          <w:spacing w:val="-2"/>
          <w:sz w:val="19"/>
        </w:rPr>
        <w:t>Farsi</w:t>
      </w:r>
      <w:r>
        <w:rPr>
          <w:rFonts w:ascii="Times New Roman"/>
          <w:b/>
          <w:color w:val="383436"/>
          <w:sz w:val="19"/>
        </w:rPr>
        <w:tab/>
      </w:r>
      <w:r>
        <w:rPr>
          <w:rFonts w:ascii="Verdana"/>
          <w:i/>
          <w:color w:val="383436"/>
          <w:spacing w:val="-2"/>
          <w:sz w:val="15"/>
        </w:rPr>
        <w:t>&lt;.r1.J\j</w:t>
      </w:r>
      <w:r>
        <w:rPr>
          <w:rFonts w:ascii="Verdana"/>
          <w:i/>
          <w:color w:val="383436"/>
          <w:spacing w:val="10"/>
          <w:sz w:val="15"/>
        </w:rPr>
        <w:t> </w:t>
      </w:r>
      <w:r>
        <w:rPr>
          <w:rFonts w:ascii="Verdana"/>
          <w:i/>
          <w:color w:val="383436"/>
          <w:spacing w:val="-8"/>
          <w:position w:val="-3"/>
          <w:sz w:val="15"/>
        </w:rPr>
        <w:drawing>
          <wp:inline distT="0" distB="0" distL="0" distR="0">
            <wp:extent cx="214299" cy="104139"/>
            <wp:effectExtent l="0" t="0" r="0" b="0"/>
            <wp:docPr id="393" name="Image 393"/>
            <wp:cNvGraphicFramePr>
              <a:graphicFrameLocks/>
            </wp:cNvGraphicFramePr>
            <a:graphic>
              <a:graphicData uri="http://schemas.openxmlformats.org/drawingml/2006/picture">
                <pic:pic>
                  <pic:nvPicPr>
                    <pic:cNvPr id="393" name="Image 393"/>
                    <pic:cNvPicPr/>
                  </pic:nvPicPr>
                  <pic:blipFill>
                    <a:blip r:embed="rId102" cstate="print"/>
                    <a:stretch>
                      <a:fillRect/>
                    </a:stretch>
                  </pic:blipFill>
                  <pic:spPr>
                    <a:xfrm>
                      <a:off x="0" y="0"/>
                      <a:ext cx="214299" cy="104139"/>
                    </a:xfrm>
                    <a:prstGeom prst="rect">
                      <a:avLst/>
                    </a:prstGeom>
                  </pic:spPr>
                </pic:pic>
              </a:graphicData>
            </a:graphic>
          </wp:inline>
        </w:drawing>
      </w:r>
      <w:r>
        <w:rPr>
          <w:rFonts w:ascii="Verdana"/>
          <w:i/>
          <w:color w:val="383436"/>
          <w:spacing w:val="-8"/>
          <w:position w:val="-3"/>
          <w:sz w:val="15"/>
        </w:rPr>
      </w:r>
    </w:p>
    <w:p>
      <w:pPr>
        <w:spacing w:line="223" w:lineRule="exact" w:before="0"/>
        <w:ind w:left="164" w:right="0" w:firstLine="0"/>
        <w:jc w:val="center"/>
        <w:rPr>
          <w:rFonts w:ascii="Times New Roman" w:hAnsi="Times New Roman" w:cs="Times New Roman" w:eastAsia="Times New Roman"/>
          <w:sz w:val="15"/>
          <w:szCs w:val="15"/>
        </w:rPr>
      </w:pPr>
      <w:r>
        <w:rPr>
          <w:rFonts w:ascii="Verdana" w:hAnsi="Verdana" w:cs="Verdana" w:eastAsia="Verdana"/>
          <w:i/>
          <w:iCs/>
          <w:color w:val="383436"/>
          <w:sz w:val="16"/>
          <w:szCs w:val="16"/>
        </w:rPr>
        <w:t>,H.J</w:t>
      </w:r>
      <w:r>
        <w:rPr>
          <w:rFonts w:ascii="Verdana" w:hAnsi="Verdana" w:cs="Verdana" w:eastAsia="Verdana"/>
          <w:i/>
          <w:iCs/>
          <w:color w:val="959395"/>
          <w:sz w:val="16"/>
          <w:szCs w:val="16"/>
        </w:rPr>
        <w:t>.</w:t>
      </w:r>
      <w:r>
        <w:rPr>
          <w:rFonts w:ascii="Verdana" w:hAnsi="Verdana" w:cs="Verdana" w:eastAsia="Verdana"/>
          <w:i/>
          <w:iCs/>
          <w:color w:val="4F4D4D"/>
          <w:sz w:val="16"/>
          <w:szCs w:val="16"/>
        </w:rPr>
        <w:t>}</w:t>
      </w:r>
      <w:r>
        <w:rPr>
          <w:rFonts w:ascii="Verdana" w:hAnsi="Verdana" w:cs="Verdana" w:eastAsia="Verdana"/>
          <w:i/>
          <w:iCs/>
          <w:color w:val="4F4D4D"/>
          <w:spacing w:val="-21"/>
          <w:sz w:val="16"/>
          <w:szCs w:val="16"/>
        </w:rPr>
        <w:t> </w:t>
      </w:r>
      <w:r>
        <w:rPr>
          <w:rFonts w:ascii="Times New Roman" w:hAnsi="Times New Roman" w:cs="Times New Roman" w:eastAsia="Times New Roman"/>
          <w:color w:val="383436"/>
          <w:w w:val="125"/>
          <w:sz w:val="11"/>
          <w:szCs w:val="11"/>
        </w:rPr>
        <w:t>(S"'</w:t>
      </w:r>
      <w:r>
        <w:rPr>
          <w:rFonts w:ascii="Times New Roman" w:hAnsi="Times New Roman" w:cs="Times New Roman" w:eastAsia="Times New Roman"/>
          <w:color w:val="383436"/>
          <w:spacing w:val="-11"/>
          <w:w w:val="125"/>
          <w:sz w:val="11"/>
          <w:szCs w:val="11"/>
        </w:rPr>
        <w:t> </w:t>
      </w:r>
      <w:r>
        <w:rPr>
          <w:rFonts w:ascii="Verdana" w:hAnsi="Verdana" w:cs="Verdana" w:eastAsia="Verdana"/>
          <w:i/>
          <w:iCs/>
          <w:color w:val="383436"/>
          <w:w w:val="125"/>
          <w:sz w:val="19"/>
          <w:szCs w:val="19"/>
        </w:rPr>
        <w:t>�fa</w:t>
      </w:r>
      <w:r>
        <w:rPr>
          <w:rFonts w:ascii="Times New Roman" w:hAnsi="Times New Roman" w:cs="Times New Roman" w:eastAsia="Times New Roman"/>
          <w:color w:val="383436"/>
          <w:w w:val="125"/>
          <w:sz w:val="15"/>
          <w:szCs w:val="15"/>
        </w:rPr>
        <w:t>W(Sly</w:t>
      </w:r>
      <w:r>
        <w:rPr>
          <w:rFonts w:ascii="Times New Roman" w:hAnsi="Times New Roman" w:cs="Times New Roman" w:eastAsia="Times New Roman"/>
          <w:color w:val="383436"/>
          <w:spacing w:val="-13"/>
          <w:w w:val="125"/>
          <w:sz w:val="15"/>
          <w:szCs w:val="15"/>
        </w:rPr>
        <w:t> </w:t>
      </w:r>
      <w:r>
        <w:rPr>
          <w:rFonts w:ascii="Times New Roman" w:hAnsi="Times New Roman" w:cs="Times New Roman" w:eastAsia="Times New Roman"/>
          <w:color w:val="383436"/>
          <w:sz w:val="15"/>
          <w:szCs w:val="15"/>
        </w:rPr>
        <w:t>L.</w:t>
      </w:r>
      <w:r>
        <w:rPr>
          <w:rFonts w:ascii="Times New Roman" w:hAnsi="Times New Roman" w:cs="Times New Roman" w:eastAsia="Times New Roman"/>
          <w:color w:val="383436"/>
          <w:spacing w:val="-16"/>
          <w:sz w:val="15"/>
          <w:szCs w:val="15"/>
        </w:rPr>
        <w:t> </w:t>
      </w:r>
      <w:r>
        <w:rPr>
          <w:rFonts w:ascii="Times New Roman" w:hAnsi="Times New Roman" w:cs="Times New Roman" w:eastAsia="Times New Roman"/>
          <w:color w:val="4F4D4D"/>
          <w:w w:val="125"/>
          <w:sz w:val="17"/>
          <w:szCs w:val="17"/>
        </w:rPr>
        <w:t>.¥0)</w:t>
      </w:r>
      <w:r>
        <w:rPr>
          <w:rFonts w:ascii="Times New Roman" w:hAnsi="Times New Roman" w:cs="Times New Roman" w:eastAsia="Times New Roman"/>
          <w:color w:val="383436"/>
          <w:w w:val="125"/>
          <w:sz w:val="17"/>
          <w:szCs w:val="17"/>
        </w:rPr>
        <w:t>.</w:t>
      </w:r>
      <w:r>
        <w:rPr>
          <w:rFonts w:ascii="Times New Roman" w:hAnsi="Times New Roman" w:cs="Times New Roman" w:eastAsia="Times New Roman"/>
          <w:color w:val="383436"/>
          <w:w w:val="125"/>
          <w:sz w:val="15"/>
          <w:szCs w:val="15"/>
        </w:rPr>
        <w:t>..;;I</w:t>
      </w:r>
      <w:r>
        <w:rPr>
          <w:rFonts w:ascii="Times New Roman" w:hAnsi="Times New Roman" w:cs="Times New Roman" w:eastAsia="Times New Roman"/>
          <w:color w:val="383436"/>
          <w:spacing w:val="-3"/>
          <w:w w:val="125"/>
          <w:sz w:val="15"/>
          <w:szCs w:val="15"/>
        </w:rPr>
        <w:t> </w:t>
      </w:r>
      <w:r>
        <w:rPr>
          <w:rFonts w:ascii="Times New Roman" w:hAnsi="Times New Roman" w:cs="Times New Roman" w:eastAsia="Times New Roman"/>
          <w:color w:val="383436"/>
          <w:sz w:val="15"/>
          <w:szCs w:val="15"/>
        </w:rPr>
        <w:t>_):.;J.JY'</w:t>
      </w:r>
      <w:r>
        <w:rPr>
          <w:rFonts w:ascii="Times New Roman" w:hAnsi="Times New Roman" w:cs="Times New Roman" w:eastAsia="Times New Roman"/>
          <w:color w:val="383436"/>
          <w:spacing w:val="-10"/>
          <w:w w:val="125"/>
          <w:sz w:val="15"/>
          <w:szCs w:val="15"/>
        </w:rPr>
        <w:t> </w:t>
      </w:r>
      <w:r>
        <w:rPr>
          <w:rFonts w:ascii="Times New Roman" w:hAnsi="Times New Roman" w:cs="Times New Roman" w:eastAsia="Times New Roman"/>
          <w:color w:val="4F4D4D"/>
          <w:w w:val="125"/>
          <w:sz w:val="15"/>
          <w:szCs w:val="15"/>
        </w:rPr>
        <w:t>u</w:t>
      </w:r>
      <w:r>
        <w:rPr>
          <w:rFonts w:ascii="Times New Roman" w:hAnsi="Times New Roman" w:cs="Times New Roman" w:eastAsia="Times New Roman"/>
          <w:color w:val="4F4D4D"/>
          <w:spacing w:val="-2"/>
          <w:w w:val="125"/>
          <w:sz w:val="15"/>
          <w:szCs w:val="15"/>
        </w:rPr>
        <w:t> </w:t>
      </w:r>
      <w:r>
        <w:rPr>
          <w:rFonts w:ascii="Times New Roman" w:hAnsi="Times New Roman" w:cs="Times New Roman" w:eastAsia="Times New Roman"/>
          <w:color w:val="4F4D4D"/>
          <w:w w:val="125"/>
          <w:sz w:val="15"/>
          <w:szCs w:val="15"/>
        </w:rPr>
        <w:t>j"'-</w:t>
      </w:r>
      <w:r>
        <w:rPr>
          <w:rFonts w:ascii="Times New Roman" w:hAnsi="Times New Roman" w:cs="Times New Roman" w:eastAsia="Times New Roman"/>
          <w:color w:val="4F4D4D"/>
          <w:spacing w:val="-10"/>
          <w:w w:val="125"/>
          <w:sz w:val="15"/>
          <w:szCs w:val="15"/>
        </w:rPr>
        <w:t>!</w:t>
      </w:r>
    </w:p>
    <w:p>
      <w:pPr>
        <w:tabs>
          <w:tab w:pos="3536" w:val="left" w:leader="none"/>
        </w:tabs>
        <w:spacing w:before="3"/>
        <w:ind w:left="987" w:right="0" w:firstLine="0"/>
        <w:jc w:val="left"/>
        <w:rPr>
          <w:rFonts w:ascii="Times New Roman" w:hAnsi="Times New Roman"/>
          <w:sz w:val="15"/>
        </w:rPr>
      </w:pPr>
      <w:r>
        <w:rPr>
          <w:rFonts w:ascii="Times New Roman" w:hAnsi="Times New Roman"/>
          <w:color w:val="646262"/>
          <w:spacing w:val="-2"/>
          <w:w w:val="105"/>
          <w:sz w:val="15"/>
        </w:rPr>
        <w:t>_</w:t>
      </w:r>
      <w:r>
        <w:rPr>
          <w:rFonts w:ascii="Times New Roman" w:hAnsi="Times New Roman"/>
          <w:color w:val="383436"/>
          <w:spacing w:val="-2"/>
          <w:w w:val="105"/>
          <w:sz w:val="15"/>
        </w:rPr>
        <w:t>c.::.,..;;IJ</w:t>
      </w:r>
      <w:r>
        <w:rPr>
          <w:rFonts w:ascii="Times New Roman" w:hAnsi="Times New Roman"/>
          <w:color w:val="383436"/>
          <w:spacing w:val="-1"/>
          <w:sz w:val="15"/>
        </w:rPr>
        <w:t> </w:t>
      </w:r>
      <w:r>
        <w:rPr>
          <w:rFonts w:ascii="Times New Roman" w:hAnsi="Times New Roman"/>
          <w:color w:val="383436"/>
          <w:spacing w:val="-2"/>
          <w:w w:val="105"/>
          <w:sz w:val="15"/>
        </w:rPr>
        <w:t>J.\olfa</w:t>
      </w:r>
      <w:r>
        <w:rPr>
          <w:rFonts w:ascii="Times New Roman" w:hAnsi="Times New Roman"/>
          <w:color w:val="383436"/>
          <w:spacing w:val="1"/>
          <w:w w:val="105"/>
          <w:sz w:val="15"/>
        </w:rPr>
        <w:t> </w:t>
      </w:r>
      <w:r>
        <w:rPr>
          <w:rFonts w:ascii="Times New Roman" w:hAnsi="Times New Roman"/>
          <w:color w:val="383436"/>
          <w:spacing w:val="-2"/>
          <w:w w:val="105"/>
          <w:sz w:val="15"/>
        </w:rPr>
        <w:t>W</w:t>
      </w:r>
      <w:r>
        <w:rPr>
          <w:rFonts w:ascii="Times New Roman" w:hAnsi="Times New Roman"/>
          <w:color w:val="383436"/>
          <w:spacing w:val="50"/>
          <w:w w:val="105"/>
          <w:sz w:val="15"/>
        </w:rPr>
        <w:t> </w:t>
      </w:r>
      <w:r>
        <w:rPr>
          <w:rFonts w:ascii="Times New Roman" w:hAnsi="Times New Roman"/>
          <w:color w:val="383436"/>
          <w:spacing w:val="-2"/>
          <w:w w:val="105"/>
          <w:sz w:val="15"/>
        </w:rPr>
        <w:t>(Sly</w:t>
      </w:r>
      <w:r>
        <w:rPr>
          <w:rFonts w:ascii="Times New Roman" w:hAnsi="Times New Roman"/>
          <w:color w:val="383436"/>
          <w:spacing w:val="-9"/>
          <w:w w:val="105"/>
          <w:sz w:val="15"/>
        </w:rPr>
        <w:t> </w:t>
      </w:r>
      <w:r>
        <w:rPr>
          <w:rFonts w:ascii="Times New Roman" w:hAnsi="Times New Roman"/>
          <w:color w:val="383436"/>
          <w:spacing w:val="-2"/>
          <w:sz w:val="15"/>
        </w:rPr>
        <w:t>LSI</w:t>
      </w:r>
      <w:r>
        <w:rPr>
          <w:rFonts w:ascii="Times New Roman" w:hAnsi="Times New Roman"/>
          <w:color w:val="383436"/>
          <w:spacing w:val="-6"/>
          <w:w w:val="120"/>
          <w:sz w:val="15"/>
        </w:rPr>
        <w:t> </w:t>
      </w:r>
      <w:r>
        <w:rPr>
          <w:rFonts w:ascii="Arial" w:hAnsi="Arial"/>
          <w:b/>
          <w:color w:val="383436"/>
          <w:spacing w:val="-4"/>
          <w:w w:val="120"/>
          <w:sz w:val="15"/>
        </w:rPr>
        <w:t>½jl,</w:t>
      </w:r>
      <w:r>
        <w:rPr>
          <w:rFonts w:ascii="Arial" w:hAnsi="Arial"/>
          <w:b/>
          <w:color w:val="383436"/>
          <w:sz w:val="15"/>
        </w:rPr>
        <w:tab/>
      </w:r>
      <w:r>
        <w:rPr>
          <w:rFonts w:ascii="Times New Roman" w:hAnsi="Times New Roman"/>
          <w:i/>
          <w:color w:val="4F4D4D"/>
          <w:spacing w:val="-2"/>
          <w:w w:val="105"/>
          <w:sz w:val="16"/>
        </w:rPr>
        <w:t>)S.</w:t>
      </w:r>
      <w:r>
        <w:rPr>
          <w:rFonts w:ascii="Times New Roman" w:hAnsi="Times New Roman"/>
          <w:color w:val="383436"/>
          <w:spacing w:val="-2"/>
          <w:w w:val="105"/>
          <w:sz w:val="15"/>
        </w:rPr>
        <w:t>0.ll</w:t>
      </w:r>
    </w:p>
    <w:p>
      <w:pPr>
        <w:pStyle w:val="BodyText"/>
        <w:spacing w:before="5"/>
        <w:rPr>
          <w:rFonts w:ascii="Times New Roman"/>
          <w:sz w:val="6"/>
        </w:rPr>
      </w:pPr>
    </w:p>
    <w:p>
      <w:pPr>
        <w:pStyle w:val="BodyText"/>
        <w:spacing w:line="20" w:lineRule="exact"/>
        <w:ind w:left="96" w:right="-72"/>
        <w:rPr>
          <w:rFonts w:ascii="Times New Roman"/>
          <w:sz w:val="2"/>
        </w:rPr>
      </w:pPr>
      <w:r>
        <w:rPr>
          <w:rFonts w:ascii="Times New Roman"/>
          <w:sz w:val="2"/>
        </w:rPr>
        <mc:AlternateContent>
          <mc:Choice Requires="wps">
            <w:drawing>
              <wp:inline distT="0" distB="0" distL="0" distR="0">
                <wp:extent cx="2616200" cy="3175"/>
                <wp:effectExtent l="9525" t="0" r="0" b="6350"/>
                <wp:docPr id="394" name="Group 394"/>
                <wp:cNvGraphicFramePr>
                  <a:graphicFrameLocks/>
                </wp:cNvGraphicFramePr>
                <a:graphic>
                  <a:graphicData uri="http://schemas.microsoft.com/office/word/2010/wordprocessingGroup">
                    <wpg:wgp>
                      <wpg:cNvPr id="394" name="Group 394"/>
                      <wpg:cNvGrpSpPr/>
                      <wpg:grpSpPr>
                        <a:xfrm>
                          <a:off x="0" y="0"/>
                          <a:ext cx="2616200" cy="3175"/>
                          <a:chExt cx="2616200" cy="3175"/>
                        </a:xfrm>
                      </wpg:grpSpPr>
                      <wps:wsp>
                        <wps:cNvPr id="395" name="Graphic 39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86" coordorigin="0,0" coordsize="4120,5">
                <v:shape style="position:absolute;left:0;top:2;width:4120;height:2" id="docshape287"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line="240" w:lineRule="auto" w:before="2"/>
        <w:rPr>
          <w:rFonts w:ascii="Times New Roman"/>
          <w:sz w:val="3"/>
        </w:rPr>
      </w:pPr>
      <w:r>
        <w:rPr/>
        <w:br w:type="column"/>
      </w:r>
      <w:r>
        <w:rPr>
          <w:rFonts w:ascii="Times New Roman"/>
          <w:sz w:val="3"/>
        </w:rPr>
      </w:r>
    </w:p>
    <w:p>
      <w:pPr>
        <w:pStyle w:val="BodyText"/>
        <w:spacing w:line="20" w:lineRule="exact"/>
        <w:ind w:left="115"/>
        <w:rPr>
          <w:rFonts w:ascii="Times New Roman"/>
          <w:sz w:val="2"/>
        </w:rPr>
      </w:pPr>
      <w:r>
        <w:rPr>
          <w:rFonts w:ascii="Times New Roman"/>
          <w:sz w:val="2"/>
        </w:rPr>
        <mc:AlternateContent>
          <mc:Choice Requires="wps">
            <w:drawing>
              <wp:inline distT="0" distB="0" distL="0" distR="0">
                <wp:extent cx="2616200" cy="3175"/>
                <wp:effectExtent l="9525" t="0" r="0" b="6350"/>
                <wp:docPr id="396" name="Group 396"/>
                <wp:cNvGraphicFramePr>
                  <a:graphicFrameLocks/>
                </wp:cNvGraphicFramePr>
                <a:graphic>
                  <a:graphicData uri="http://schemas.microsoft.com/office/word/2010/wordprocessingGroup">
                    <wpg:wgp>
                      <wpg:cNvPr id="396" name="Group 396"/>
                      <wpg:cNvGrpSpPr/>
                      <wpg:grpSpPr>
                        <a:xfrm>
                          <a:off x="0" y="0"/>
                          <a:ext cx="2616200" cy="3175"/>
                          <a:chExt cx="2616200" cy="3175"/>
                        </a:xfrm>
                      </wpg:grpSpPr>
                      <wps:wsp>
                        <wps:cNvPr id="397" name="Graphic 397"/>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88" coordorigin="0,0" coordsize="4120,5">
                <v:shape style="position:absolute;left:0;top:2;width:4120;height:2" id="docshape289"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before="0"/>
        <w:ind w:left="237" w:right="0" w:firstLine="0"/>
        <w:jc w:val="left"/>
        <w:rPr>
          <w:rFonts w:ascii="Times New Roman"/>
          <w:b/>
          <w:sz w:val="19"/>
        </w:rPr>
      </w:pPr>
      <w:r>
        <w:rPr/>
        <w:drawing>
          <wp:anchor distT="0" distB="0" distL="0" distR="0" allowOverlap="1" layoutInCell="1" locked="0" behindDoc="0" simplePos="0" relativeHeight="15842816">
            <wp:simplePos x="0" y="0"/>
            <wp:positionH relativeFrom="page">
              <wp:posOffset>12221816</wp:posOffset>
            </wp:positionH>
            <wp:positionV relativeFrom="paragraph">
              <wp:posOffset>67415</wp:posOffset>
            </wp:positionV>
            <wp:extent cx="214299" cy="104139"/>
            <wp:effectExtent l="0" t="0" r="0" b="0"/>
            <wp:wrapNone/>
            <wp:docPr id="398" name="Image 398"/>
            <wp:cNvGraphicFramePr>
              <a:graphicFrameLocks/>
            </wp:cNvGraphicFramePr>
            <a:graphic>
              <a:graphicData uri="http://schemas.openxmlformats.org/drawingml/2006/picture">
                <pic:pic>
                  <pic:nvPicPr>
                    <pic:cNvPr id="398" name="Image 398"/>
                    <pic:cNvPicPr/>
                  </pic:nvPicPr>
                  <pic:blipFill>
                    <a:blip r:embed="rId122" cstate="print"/>
                    <a:stretch>
                      <a:fillRect/>
                    </a:stretch>
                  </pic:blipFill>
                  <pic:spPr>
                    <a:xfrm>
                      <a:off x="0" y="0"/>
                      <a:ext cx="214299" cy="104139"/>
                    </a:xfrm>
                    <a:prstGeom prst="rect">
                      <a:avLst/>
                    </a:prstGeom>
                  </pic:spPr>
                </pic:pic>
              </a:graphicData>
            </a:graphic>
          </wp:anchor>
        </w:drawing>
      </w:r>
      <w:r>
        <w:rPr>
          <w:rFonts w:ascii="Times New Roman"/>
          <w:b/>
          <w:color w:val="242121"/>
          <w:spacing w:val="-2"/>
          <w:w w:val="105"/>
          <w:sz w:val="19"/>
        </w:rPr>
        <w:t>Japanese</w:t>
      </w:r>
    </w:p>
    <w:p>
      <w:pPr>
        <w:spacing w:line="204" w:lineRule="exact" w:before="25"/>
        <w:ind w:left="233" w:right="0" w:firstLine="0"/>
        <w:jc w:val="left"/>
        <w:rPr>
          <w:rFonts w:ascii="Arial" w:hAnsi="Arial" w:cs="Arial" w:eastAsia="Arial"/>
          <w:sz w:val="18"/>
          <w:szCs w:val="18"/>
        </w:rPr>
      </w:pPr>
      <w:r>
        <w:rPr>
          <w:rFonts w:ascii="Verdana" w:hAnsi="Verdana" w:cs="Verdana" w:eastAsia="Verdana"/>
          <w:i/>
          <w:iCs/>
          <w:color w:val="7C7B7B"/>
          <w:w w:val="85"/>
          <w:sz w:val="17"/>
          <w:szCs w:val="17"/>
        </w:rPr>
        <w:t>;bftfcO)ii1i-t</w:t>
      </w:r>
      <w:r>
        <w:rPr>
          <w:rFonts w:ascii="Verdana" w:hAnsi="Verdana" w:cs="Verdana" w:eastAsia="Verdana"/>
          <w:i/>
          <w:iCs/>
          <w:color w:val="959395"/>
          <w:w w:val="85"/>
          <w:sz w:val="17"/>
          <w:szCs w:val="17"/>
        </w:rPr>
        <w:t>g</w:t>
      </w:r>
      <w:r>
        <w:rPr>
          <w:rFonts w:ascii="Verdana" w:hAnsi="Verdana" w:cs="Verdana" w:eastAsia="Verdana"/>
          <w:i/>
          <w:iCs/>
          <w:color w:val="7C7B7B"/>
          <w:w w:val="85"/>
          <w:sz w:val="17"/>
          <w:szCs w:val="17"/>
        </w:rPr>
        <w:t>�'2:'ffiL</w:t>
      </w:r>
      <w:r>
        <w:rPr>
          <w:rFonts w:ascii="Verdana" w:hAnsi="Verdana" w:cs="Verdana" w:eastAsia="Verdana"/>
          <w:i/>
          <w:iCs/>
          <w:color w:val="7C7B7B"/>
          <w:spacing w:val="-12"/>
          <w:w w:val="85"/>
          <w:sz w:val="17"/>
          <w:szCs w:val="17"/>
        </w:rPr>
        <w:t> </w:t>
      </w:r>
      <w:r>
        <w:rPr>
          <w:rFonts w:ascii="Arial" w:hAnsi="Arial" w:cs="Arial" w:eastAsia="Arial"/>
          <w:color w:val="7C7B7B"/>
          <w:w w:val="85"/>
          <w:sz w:val="18"/>
          <w:szCs w:val="18"/>
        </w:rPr>
        <w:t>--CT</w:t>
      </w:r>
      <w:r>
        <w:rPr>
          <w:rFonts w:ascii="Arial" w:hAnsi="Arial" w:cs="Arial" w:eastAsia="Arial"/>
          <w:color w:val="7C7B7B"/>
          <w:spacing w:val="35"/>
          <w:sz w:val="18"/>
          <w:szCs w:val="18"/>
        </w:rPr>
        <w:t> </w:t>
      </w:r>
      <w:r>
        <w:rPr>
          <w:rFonts w:ascii="Arial" w:hAnsi="Arial" w:cs="Arial" w:eastAsia="Arial"/>
          <w:color w:val="7C7B7B"/>
          <w:w w:val="85"/>
          <w:sz w:val="18"/>
          <w:szCs w:val="18"/>
        </w:rPr>
        <w:t>v</w:t>
      </w:r>
      <w:r>
        <w:rPr>
          <w:rFonts w:ascii="Arial" w:hAnsi="Arial" w:cs="Arial" w:eastAsia="Arial"/>
          <w:color w:val="7C7B7B"/>
          <w:spacing w:val="6"/>
          <w:sz w:val="18"/>
          <w:szCs w:val="18"/>
        </w:rPr>
        <w:t> </w:t>
      </w:r>
      <w:r>
        <w:rPr>
          <w:rFonts w:ascii="Arial" w:hAnsi="Arial" w:cs="Arial" w:eastAsia="Arial"/>
          <w:color w:val="646262"/>
          <w:spacing w:val="-5"/>
          <w:w w:val="85"/>
          <w:sz w:val="18"/>
          <w:szCs w:val="18"/>
        </w:rPr>
        <w:t>'</w:t>
      </w:r>
      <w:r>
        <w:rPr>
          <w:rFonts w:ascii="Arial" w:hAnsi="Arial" w:cs="Arial" w:eastAsia="Arial"/>
          <w:color w:val="A8A7A7"/>
          <w:spacing w:val="-5"/>
          <w:w w:val="85"/>
          <w:sz w:val="18"/>
          <w:szCs w:val="18"/>
        </w:rPr>
        <w:t>•</w:t>
      </w:r>
    </w:p>
    <w:p>
      <w:pPr>
        <w:spacing w:line="214" w:lineRule="exact" w:before="0"/>
        <w:ind w:left="214" w:right="0" w:firstLine="0"/>
        <w:jc w:val="left"/>
        <w:rPr>
          <w:rFonts w:ascii="Arial"/>
          <w:sz w:val="16"/>
        </w:rPr>
      </w:pPr>
      <w:r>
        <w:rPr>
          <w:rFonts w:ascii="Arial"/>
          <w:color w:val="7C7B7B"/>
          <w:w w:val="80"/>
          <w:sz w:val="19"/>
        </w:rPr>
        <w:t>1!\litt</w:t>
      </w:r>
      <w:r>
        <w:rPr>
          <w:rFonts w:ascii="Arial"/>
          <w:color w:val="7C7B7B"/>
          <w:w w:val="80"/>
          <w:sz w:val="17"/>
        </w:rPr>
        <w:t>t':im</w:t>
      </w:r>
      <w:r>
        <w:rPr>
          <w:rFonts w:ascii="Times New Roman"/>
          <w:color w:val="7C7B7B"/>
          <w:w w:val="80"/>
          <w:sz w:val="18"/>
        </w:rPr>
        <w:t>1lR</w:t>
      </w:r>
      <w:r>
        <w:rPr>
          <w:rFonts w:ascii="Times New Roman"/>
          <w:color w:val="7C7B7B"/>
          <w:w w:val="80"/>
          <w:sz w:val="19"/>
        </w:rPr>
        <w:t>'2:'</w:t>
      </w:r>
      <w:r>
        <w:rPr>
          <w:rFonts w:ascii="Arial"/>
          <w:color w:val="7C7B7B"/>
          <w:w w:val="80"/>
          <w:sz w:val="19"/>
        </w:rPr>
        <w:t>t'i'd:!li</w:t>
      </w:r>
      <w:r>
        <w:rPr>
          <w:rFonts w:ascii="Times New Roman"/>
          <w:color w:val="646262"/>
          <w:w w:val="80"/>
          <w:sz w:val="18"/>
        </w:rPr>
        <w:t>L</w:t>
      </w:r>
      <w:r>
        <w:rPr>
          <w:rFonts w:ascii="Arial"/>
          <w:color w:val="7C7B7B"/>
          <w:w w:val="80"/>
          <w:sz w:val="16"/>
        </w:rPr>
        <w:t>;t-</w:t>
      </w:r>
      <w:r>
        <w:rPr>
          <w:rFonts w:ascii="Arial"/>
          <w:color w:val="7C7B7B"/>
          <w:spacing w:val="-5"/>
          <w:w w:val="120"/>
          <w:sz w:val="16"/>
        </w:rPr>
        <w:t>t</w:t>
      </w:r>
      <w:r>
        <w:rPr>
          <w:rFonts w:ascii="Arial"/>
          <w:color w:val="959395"/>
          <w:spacing w:val="-5"/>
          <w:w w:val="120"/>
          <w:sz w:val="16"/>
        </w:rPr>
        <w:t>.</w:t>
      </w:r>
    </w:p>
    <w:p>
      <w:pPr>
        <w:pStyle w:val="BodyText"/>
        <w:spacing w:before="2"/>
        <w:rPr>
          <w:rFonts w:ascii="Arial"/>
          <w:sz w:val="2"/>
        </w:rPr>
      </w:pPr>
    </w:p>
    <w:p>
      <w:pPr>
        <w:pStyle w:val="BodyText"/>
        <w:ind w:left="112"/>
        <w:rPr>
          <w:rFonts w:ascii="Arial"/>
          <w:sz w:val="20"/>
        </w:rPr>
      </w:pPr>
      <w:r>
        <w:rPr>
          <w:rFonts w:ascii="Arial"/>
          <w:sz w:val="20"/>
        </w:rPr>
        <mc:AlternateContent>
          <mc:Choice Requires="wps">
            <w:drawing>
              <wp:inline distT="0" distB="0" distL="0" distR="0">
                <wp:extent cx="2616200" cy="172085"/>
                <wp:effectExtent l="9525" t="0" r="0" b="8889"/>
                <wp:docPr id="399" name="Group 399"/>
                <wp:cNvGraphicFramePr>
                  <a:graphicFrameLocks/>
                </wp:cNvGraphicFramePr>
                <a:graphic>
                  <a:graphicData uri="http://schemas.microsoft.com/office/word/2010/wordprocessingGroup">
                    <wpg:wgp>
                      <wpg:cNvPr id="399" name="Group 399"/>
                      <wpg:cNvGrpSpPr/>
                      <wpg:grpSpPr>
                        <a:xfrm>
                          <a:off x="0" y="0"/>
                          <a:ext cx="2616200" cy="172085"/>
                          <a:chExt cx="2616200" cy="172085"/>
                        </a:xfrm>
                      </wpg:grpSpPr>
                      <wps:wsp>
                        <wps:cNvPr id="400" name="Graphic 400"/>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pic:pic>
                        <pic:nvPicPr>
                          <pic:cNvPr id="401" name="Image 401"/>
                          <pic:cNvPicPr/>
                        </pic:nvPicPr>
                        <pic:blipFill>
                          <a:blip r:embed="rId125" cstate="print"/>
                          <a:stretch>
                            <a:fillRect/>
                          </a:stretch>
                        </pic:blipFill>
                        <pic:spPr>
                          <a:xfrm>
                            <a:off x="2373462" y="53683"/>
                            <a:ext cx="214299" cy="104139"/>
                          </a:xfrm>
                          <a:prstGeom prst="rect">
                            <a:avLst/>
                          </a:prstGeom>
                        </pic:spPr>
                      </pic:pic>
                      <pic:pic>
                        <pic:nvPicPr>
                          <pic:cNvPr id="402" name="Image 402"/>
                          <pic:cNvPicPr/>
                        </pic:nvPicPr>
                        <pic:blipFill>
                          <a:blip r:embed="rId126" cstate="print"/>
                          <a:stretch>
                            <a:fillRect/>
                          </a:stretch>
                        </pic:blipFill>
                        <pic:spPr>
                          <a:xfrm>
                            <a:off x="1879316" y="502"/>
                            <a:ext cx="463737" cy="170955"/>
                          </a:xfrm>
                          <a:prstGeom prst="rect">
                            <a:avLst/>
                          </a:prstGeom>
                        </pic:spPr>
                      </pic:pic>
                      <wps:wsp>
                        <wps:cNvPr id="403" name="Textbox 403"/>
                        <wps:cNvSpPr txBox="1"/>
                        <wps:spPr>
                          <a:xfrm>
                            <a:off x="0" y="0"/>
                            <a:ext cx="2616200" cy="172085"/>
                          </a:xfrm>
                          <a:prstGeom prst="rect">
                            <a:avLst/>
                          </a:prstGeom>
                        </wps:spPr>
                        <wps:txbx>
                          <w:txbxContent>
                            <w:p>
                              <w:pPr>
                                <w:spacing w:before="1"/>
                                <w:ind w:left="96" w:right="0" w:firstLine="0"/>
                                <w:jc w:val="left"/>
                                <w:rPr>
                                  <w:rFonts w:ascii="Times New Roman"/>
                                  <w:b/>
                                  <w:sz w:val="19"/>
                                </w:rPr>
                              </w:pPr>
                              <w:r>
                                <w:rPr>
                                  <w:rFonts w:ascii="Times New Roman"/>
                                  <w:b/>
                                  <w:color w:val="383436"/>
                                  <w:w w:val="105"/>
                                  <w:sz w:val="19"/>
                                </w:rPr>
                                <w:t>Khmer </w:t>
                              </w:r>
                              <w:r>
                                <w:rPr>
                                  <w:rFonts w:ascii="Times New Roman"/>
                                  <w:b/>
                                  <w:color w:val="383436"/>
                                  <w:spacing w:val="-2"/>
                                  <w:w w:val="105"/>
                                  <w:sz w:val="19"/>
                                </w:rPr>
                                <w:t>(Cambodian)</w:t>
                              </w:r>
                            </w:p>
                          </w:txbxContent>
                        </wps:txbx>
                        <wps:bodyPr wrap="square" lIns="0" tIns="0" rIns="0" bIns="0" rtlCol="0">
                          <a:noAutofit/>
                        </wps:bodyPr>
                      </wps:wsp>
                    </wpg:wgp>
                  </a:graphicData>
                </a:graphic>
              </wp:inline>
            </w:drawing>
          </mc:Choice>
          <mc:Fallback>
            <w:pict>
              <v:group style="width:206pt;height:13.55pt;mso-position-horizontal-relative:char;mso-position-vertical-relative:line" id="docshapegroup290" coordorigin="0,0" coordsize="4120,271">
                <v:shape style="position:absolute;left:0;top:2;width:4120;height:2" id="docshape291" coordorigin="0,3" coordsize="4120,0" path="m0,3l644,3,2060,3,3476,3,4120,3e" filled="false" stroked="true" strokeweight=".25pt" strokecolor="#231f20">
                  <v:path arrowok="t"/>
                  <v:stroke dashstyle="solid"/>
                </v:shape>
                <v:shape style="position:absolute;left:3737;top:84;width:338;height:164" type="#_x0000_t75" id="docshape292" stroked="false">
                  <v:imagedata r:id="rId125" o:title=""/>
                </v:shape>
                <v:shape style="position:absolute;left:2959;top:0;width:731;height:270" type="#_x0000_t75" id="docshape293" stroked="false">
                  <v:imagedata r:id="rId126" o:title=""/>
                </v:shape>
                <v:shape style="position:absolute;left:0;top:0;width:4120;height:271" type="#_x0000_t202" id="docshape294" filled="false" stroked="false">
                  <v:textbox inset="0,0,0,0">
                    <w:txbxContent>
                      <w:p>
                        <w:pPr>
                          <w:spacing w:before="1"/>
                          <w:ind w:left="96" w:right="0" w:firstLine="0"/>
                          <w:jc w:val="left"/>
                          <w:rPr>
                            <w:rFonts w:ascii="Times New Roman"/>
                            <w:b/>
                            <w:sz w:val="19"/>
                          </w:rPr>
                        </w:pPr>
                        <w:r>
                          <w:rPr>
                            <w:rFonts w:ascii="Times New Roman"/>
                            <w:b/>
                            <w:color w:val="383436"/>
                            <w:w w:val="105"/>
                            <w:sz w:val="19"/>
                          </w:rPr>
                          <w:t>Khmer </w:t>
                        </w:r>
                        <w:r>
                          <w:rPr>
                            <w:rFonts w:ascii="Times New Roman"/>
                            <w:b/>
                            <w:color w:val="383436"/>
                            <w:spacing w:val="-2"/>
                            <w:w w:val="105"/>
                            <w:sz w:val="19"/>
                          </w:rPr>
                          <w:t>(Cambodian)</w:t>
                        </w:r>
                      </w:p>
                    </w:txbxContent>
                  </v:textbox>
                  <w10:wrap type="none"/>
                </v:shape>
              </v:group>
            </w:pict>
          </mc:Fallback>
        </mc:AlternateContent>
      </w:r>
      <w:r>
        <w:rPr>
          <w:rFonts w:ascii="Arial"/>
          <w:sz w:val="20"/>
        </w:rPr>
      </w:r>
    </w:p>
    <w:p>
      <w:pPr>
        <w:spacing w:before="0"/>
        <w:ind w:left="231" w:right="0" w:firstLine="0"/>
        <w:jc w:val="left"/>
        <w:rPr>
          <w:rFonts w:ascii="Times New Roman"/>
          <w:sz w:val="11"/>
        </w:rPr>
      </w:pPr>
      <w:r>
        <w:rPr>
          <w:rFonts w:ascii="Times New Roman"/>
          <w:color w:val="646262"/>
          <w:spacing w:val="-4"/>
          <w:sz w:val="11"/>
        </w:rPr>
        <w:t>CIJ!!6</w:t>
      </w:r>
      <w:r>
        <w:rPr>
          <w:rFonts w:ascii="Times New Roman"/>
          <w:color w:val="646262"/>
          <w:spacing w:val="12"/>
          <w:sz w:val="11"/>
        </w:rPr>
        <w:t> </w:t>
      </w:r>
      <w:r>
        <w:rPr>
          <w:rFonts w:ascii="Times New Roman"/>
          <w:color w:val="646262"/>
          <w:spacing w:val="-4"/>
          <w:sz w:val="11"/>
        </w:rPr>
        <w:t>'1Jl'llCIJl!!i'i</w:t>
      </w:r>
      <w:r>
        <w:rPr>
          <w:rFonts w:ascii="Times New Roman"/>
          <w:color w:val="646262"/>
          <w:spacing w:val="-5"/>
          <w:sz w:val="11"/>
        </w:rPr>
        <w:t> </w:t>
      </w:r>
      <w:r>
        <w:rPr>
          <w:rFonts w:ascii="Times New Roman"/>
          <w:color w:val="4F4D4D"/>
          <w:spacing w:val="-4"/>
          <w:sz w:val="11"/>
        </w:rPr>
        <w:t>1</w:t>
      </w:r>
      <w:r>
        <w:rPr>
          <w:rFonts w:ascii="Times New Roman"/>
          <w:color w:val="4F4D4D"/>
          <w:spacing w:val="78"/>
          <w:sz w:val="11"/>
        </w:rPr>
        <w:t> </w:t>
      </w:r>
      <w:r>
        <w:rPr>
          <w:rFonts w:ascii="Times New Roman"/>
          <w:color w:val="4F4D4D"/>
          <w:spacing w:val="-4"/>
          <w:sz w:val="11"/>
        </w:rPr>
        <w:t>1tlill1ill1uT1!!1iUi'itLlll'llCIJl!!i'i</w:t>
      </w:r>
      <w:r>
        <w:rPr>
          <w:rFonts w:ascii="Times New Roman"/>
          <w:color w:val="4F4D4D"/>
          <w:spacing w:val="14"/>
          <w:sz w:val="11"/>
        </w:rPr>
        <w:t> </w:t>
      </w:r>
      <w:r>
        <w:rPr>
          <w:rFonts w:ascii="Times New Roman"/>
          <w:color w:val="4F4D4D"/>
          <w:spacing w:val="-4"/>
          <w:sz w:val="11"/>
        </w:rPr>
        <w:t>a</w:t>
      </w:r>
      <w:r>
        <w:rPr>
          <w:rFonts w:ascii="Times New Roman"/>
          <w:color w:val="4F4D4D"/>
          <w:spacing w:val="9"/>
          <w:sz w:val="11"/>
        </w:rPr>
        <w:t> </w:t>
      </w:r>
      <w:r>
        <w:rPr>
          <w:rFonts w:ascii="Times New Roman"/>
          <w:color w:val="4F4D4D"/>
          <w:spacing w:val="-10"/>
          <w:sz w:val="11"/>
        </w:rPr>
        <w:t>1</w:t>
      </w:r>
    </w:p>
    <w:p>
      <w:pPr>
        <w:spacing w:before="82"/>
        <w:ind w:left="227" w:right="0" w:firstLine="0"/>
        <w:jc w:val="left"/>
        <w:rPr>
          <w:rFonts w:ascii="Times New Roman"/>
          <w:sz w:val="11"/>
        </w:rPr>
      </w:pPr>
      <w:r>
        <w:rPr/>
        <w:drawing>
          <wp:anchor distT="0" distB="0" distL="0" distR="0" allowOverlap="1" layoutInCell="1" locked="0" behindDoc="0" simplePos="0" relativeHeight="15844864">
            <wp:simplePos x="0" y="0"/>
            <wp:positionH relativeFrom="page">
              <wp:posOffset>12221816</wp:posOffset>
            </wp:positionH>
            <wp:positionV relativeFrom="paragraph">
              <wp:posOffset>259227</wp:posOffset>
            </wp:positionV>
            <wp:extent cx="214299" cy="104139"/>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125" cstate="print"/>
                    <a:stretch>
                      <a:fillRect/>
                    </a:stretch>
                  </pic:blipFill>
                  <pic:spPr>
                    <a:xfrm>
                      <a:off x="0" y="0"/>
                      <a:ext cx="214299" cy="104139"/>
                    </a:xfrm>
                    <a:prstGeom prst="rect">
                      <a:avLst/>
                    </a:prstGeom>
                  </pic:spPr>
                </pic:pic>
              </a:graphicData>
            </a:graphic>
          </wp:anchor>
        </w:drawing>
      </w:r>
      <w:r>
        <w:rPr>
          <w:rFonts w:ascii="Times New Roman"/>
          <w:color w:val="7C7B7B"/>
          <w:spacing w:val="-2"/>
          <w:w w:val="110"/>
          <w:sz w:val="11"/>
        </w:rPr>
        <w:t>!!i'illi'it</w:t>
      </w:r>
      <w:r>
        <w:rPr>
          <w:rFonts w:ascii="Times New Roman"/>
          <w:color w:val="4F4D4D"/>
          <w:spacing w:val="-2"/>
          <w:w w:val="110"/>
          <w:sz w:val="11"/>
        </w:rPr>
        <w:t>tlll'llCIJ11ill</w:t>
      </w:r>
      <w:r>
        <w:rPr>
          <w:rFonts w:ascii="Times New Roman"/>
          <w:color w:val="4F4D4D"/>
          <w:spacing w:val="20"/>
          <w:w w:val="110"/>
          <w:sz w:val="11"/>
        </w:rPr>
        <w:t> </w:t>
      </w:r>
      <w:r>
        <w:rPr>
          <w:rFonts w:ascii="Times New Roman"/>
          <w:color w:val="4F4D4D"/>
          <w:spacing w:val="-2"/>
          <w:w w:val="110"/>
          <w:sz w:val="11"/>
        </w:rPr>
        <w:t>tll!!i'iltntlliiS</w:t>
      </w:r>
      <w:r>
        <w:rPr>
          <w:rFonts w:ascii="Times New Roman"/>
          <w:color w:val="4F4D4D"/>
          <w:spacing w:val="20"/>
          <w:w w:val="110"/>
          <w:sz w:val="11"/>
        </w:rPr>
        <w:t> </w:t>
      </w:r>
      <w:r>
        <w:rPr>
          <w:rFonts w:ascii="Times New Roman"/>
          <w:color w:val="4F4D4D"/>
          <w:spacing w:val="-2"/>
          <w:w w:val="110"/>
          <w:sz w:val="11"/>
        </w:rPr>
        <w:t>!ilg</w:t>
      </w:r>
      <w:r>
        <w:rPr>
          <w:rFonts w:ascii="Times New Roman"/>
          <w:color w:val="4F4D4D"/>
          <w:spacing w:val="19"/>
          <w:w w:val="110"/>
          <w:sz w:val="11"/>
        </w:rPr>
        <w:t> </w:t>
      </w:r>
      <w:r>
        <w:rPr>
          <w:rFonts w:ascii="Times New Roman"/>
          <w:color w:val="4F4D4D"/>
          <w:spacing w:val="-10"/>
          <w:w w:val="110"/>
          <w:sz w:val="11"/>
        </w:rPr>
        <w:t>1</w:t>
      </w:r>
    </w:p>
    <w:p>
      <w:pPr>
        <w:pStyle w:val="BodyText"/>
        <w:spacing w:before="4"/>
        <w:rPr>
          <w:rFonts w:ascii="Times New Roman"/>
          <w:sz w:val="6"/>
        </w:rPr>
      </w:pPr>
    </w:p>
    <w:p>
      <w:pPr>
        <w:pStyle w:val="BodyText"/>
        <w:spacing w:line="20" w:lineRule="exact"/>
        <w:ind w:left="115"/>
        <w:rPr>
          <w:rFonts w:ascii="Times New Roman"/>
          <w:sz w:val="2"/>
        </w:rPr>
      </w:pPr>
      <w:r>
        <w:rPr>
          <w:rFonts w:ascii="Times New Roman"/>
          <w:sz w:val="2"/>
        </w:rPr>
        <mc:AlternateContent>
          <mc:Choice Requires="wps">
            <w:drawing>
              <wp:inline distT="0" distB="0" distL="0" distR="0">
                <wp:extent cx="2616200" cy="3175"/>
                <wp:effectExtent l="9525" t="0" r="0" b="6350"/>
                <wp:docPr id="405" name="Group 405"/>
                <wp:cNvGraphicFramePr>
                  <a:graphicFrameLocks/>
                </wp:cNvGraphicFramePr>
                <a:graphic>
                  <a:graphicData uri="http://schemas.microsoft.com/office/word/2010/wordprocessingGroup">
                    <wpg:wgp>
                      <wpg:cNvPr id="405" name="Group 405"/>
                      <wpg:cNvGrpSpPr/>
                      <wpg:grpSpPr>
                        <a:xfrm>
                          <a:off x="0" y="0"/>
                          <a:ext cx="2616200" cy="3175"/>
                          <a:chExt cx="2616200" cy="3175"/>
                        </a:xfrm>
                      </wpg:grpSpPr>
                      <wps:wsp>
                        <wps:cNvPr id="406" name="Graphic 40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95" coordorigin="0,0" coordsize="4120,5">
                <v:shape style="position:absolute;left:0;top:2;width:4120;height:2" id="docshape296"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after="0" w:line="20" w:lineRule="exact"/>
        <w:rPr>
          <w:rFonts w:ascii="Times New Roman"/>
          <w:sz w:val="2"/>
        </w:rPr>
        <w:sectPr>
          <w:type w:val="continuous"/>
          <w:pgSz w:w="20160" w:h="12240" w:orient="landscape"/>
          <w:pgMar w:header="0" w:footer="0" w:top="1820" w:bottom="280" w:left="380" w:right="120"/>
          <w:cols w:num="4" w:equalWidth="0">
            <w:col w:w="4341" w:space="659"/>
            <w:col w:w="4294" w:space="749"/>
            <w:col w:w="4212" w:space="760"/>
            <w:col w:w="4645"/>
          </w:cols>
        </w:sectPr>
      </w:pPr>
    </w:p>
    <w:p>
      <w:pPr>
        <w:pStyle w:val="BodyText"/>
        <w:spacing w:before="2"/>
        <w:rPr>
          <w:rFonts w:ascii="Times New Roman"/>
          <w:sz w:val="6"/>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407" name="Group 407"/>
                <wp:cNvGraphicFramePr>
                  <a:graphicFrameLocks/>
                </wp:cNvGraphicFramePr>
                <a:graphic>
                  <a:graphicData uri="http://schemas.microsoft.com/office/word/2010/wordprocessingGroup">
                    <wpg:wgp>
                      <wpg:cNvPr id="407" name="Group 407"/>
                      <wpg:cNvGrpSpPr/>
                      <wpg:grpSpPr>
                        <a:xfrm>
                          <a:off x="0" y="0"/>
                          <a:ext cx="2616200" cy="3175"/>
                          <a:chExt cx="2616200" cy="3175"/>
                        </a:xfrm>
                      </wpg:grpSpPr>
                      <wps:wsp>
                        <wps:cNvPr id="408" name="Graphic 408"/>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97" coordorigin="0,0" coordsize="4120,5">
                <v:shape style="position:absolute;left:0;top:2;width:4120;height:2" id="docshape298"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416" w:val="left" w:leader="none"/>
        </w:tabs>
        <w:spacing w:line="124" w:lineRule="exact" w:before="0"/>
        <w:ind w:left="196" w:right="0" w:firstLine="0"/>
        <w:jc w:val="left"/>
        <w:rPr>
          <w:rFonts w:ascii="Arial"/>
          <w:sz w:val="21"/>
        </w:rPr>
      </w:pPr>
      <w:r>
        <w:rPr/>
        <w:drawing>
          <wp:anchor distT="0" distB="0" distL="0" distR="0" allowOverlap="1" layoutInCell="1" locked="0" behindDoc="0" simplePos="0" relativeHeight="15840768">
            <wp:simplePos x="0" y="0"/>
            <wp:positionH relativeFrom="page">
              <wp:posOffset>2713955</wp:posOffset>
            </wp:positionH>
            <wp:positionV relativeFrom="paragraph">
              <wp:posOffset>47737</wp:posOffset>
            </wp:positionV>
            <wp:extent cx="214306" cy="104139"/>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05" cstate="print"/>
                    <a:stretch>
                      <a:fillRect/>
                    </a:stretch>
                  </pic:blipFill>
                  <pic:spPr>
                    <a:xfrm>
                      <a:off x="0" y="0"/>
                      <a:ext cx="214306" cy="104139"/>
                    </a:xfrm>
                    <a:prstGeom prst="rect">
                      <a:avLst/>
                    </a:prstGeom>
                  </pic:spPr>
                </pic:pic>
              </a:graphicData>
            </a:graphic>
          </wp:anchor>
        </w:drawing>
      </w:r>
      <w:r>
        <w:rPr>
          <w:rFonts w:ascii="Times New Roman"/>
          <w:b/>
          <w:color w:val="383436"/>
          <w:spacing w:val="-2"/>
          <w:sz w:val="19"/>
        </w:rPr>
        <w:t>Punjabi</w:t>
      </w:r>
      <w:r>
        <w:rPr>
          <w:rFonts w:ascii="Times New Roman"/>
          <w:b/>
          <w:color w:val="383436"/>
          <w:sz w:val="19"/>
        </w:rPr>
        <w:tab/>
      </w:r>
      <w:r>
        <w:rPr>
          <w:rFonts w:ascii="Arial"/>
          <w:color w:val="383436"/>
          <w:spacing w:val="-2"/>
          <w:sz w:val="21"/>
        </w:rPr>
        <w:t>u,:pm</w:t>
      </w:r>
    </w:p>
    <w:p>
      <w:pPr>
        <w:spacing w:line="211" w:lineRule="exact" w:before="0"/>
        <w:ind w:left="196" w:right="0" w:firstLine="0"/>
        <w:jc w:val="left"/>
        <w:rPr>
          <w:rFonts w:ascii="Times New Roman"/>
          <w:b/>
          <w:sz w:val="19"/>
        </w:rPr>
      </w:pPr>
      <w:r>
        <w:rPr/>
        <w:br w:type="column"/>
      </w:r>
      <w:r>
        <w:rPr>
          <w:rFonts w:ascii="Times New Roman"/>
          <w:b/>
          <w:color w:val="242121"/>
          <w:spacing w:val="-2"/>
          <w:w w:val="110"/>
          <w:sz w:val="19"/>
        </w:rPr>
        <w:t>Oromo</w:t>
      </w:r>
    </w:p>
    <w:p>
      <w:pPr>
        <w:spacing w:line="211" w:lineRule="exact" w:before="0"/>
        <w:ind w:left="196" w:right="0" w:firstLine="0"/>
        <w:jc w:val="left"/>
        <w:rPr>
          <w:rFonts w:ascii="Times New Roman"/>
          <w:sz w:val="19"/>
        </w:rPr>
      </w:pPr>
      <w:r>
        <w:rPr/>
        <w:br w:type="column"/>
      </w:r>
      <w:r>
        <w:rPr>
          <w:rFonts w:ascii="Times New Roman"/>
          <w:color w:val="383436"/>
          <w:sz w:val="19"/>
        </w:rPr>
        <w:t>Ororno</w:t>
      </w:r>
      <w:r>
        <w:rPr>
          <w:rFonts w:ascii="Times New Roman"/>
          <w:color w:val="383436"/>
          <w:spacing w:val="40"/>
          <w:sz w:val="19"/>
        </w:rPr>
        <w:t> </w:t>
      </w:r>
      <w:r>
        <w:rPr>
          <w:rFonts w:ascii="Times New Roman"/>
          <w:color w:val="383436"/>
          <w:spacing w:val="3"/>
          <w:position w:val="-3"/>
          <w:sz w:val="19"/>
        </w:rPr>
        <w:drawing>
          <wp:inline distT="0" distB="0" distL="0" distR="0">
            <wp:extent cx="214306" cy="104266"/>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127" cstate="print"/>
                    <a:stretch>
                      <a:fillRect/>
                    </a:stretch>
                  </pic:blipFill>
                  <pic:spPr>
                    <a:xfrm>
                      <a:off x="0" y="0"/>
                      <a:ext cx="214306" cy="104266"/>
                    </a:xfrm>
                    <a:prstGeom prst="rect">
                      <a:avLst/>
                    </a:prstGeom>
                  </pic:spPr>
                </pic:pic>
              </a:graphicData>
            </a:graphic>
          </wp:inline>
        </w:drawing>
      </w:r>
      <w:r>
        <w:rPr>
          <w:rFonts w:ascii="Times New Roman"/>
          <w:color w:val="383436"/>
          <w:spacing w:val="3"/>
          <w:position w:val="-3"/>
          <w:sz w:val="19"/>
        </w:rPr>
      </w:r>
    </w:p>
    <w:p>
      <w:pPr>
        <w:tabs>
          <w:tab w:pos="3293" w:val="left" w:leader="none"/>
        </w:tabs>
        <w:spacing w:line="211" w:lineRule="exact" w:before="0"/>
        <w:ind w:left="196" w:right="0" w:firstLine="0"/>
        <w:jc w:val="left"/>
        <w:rPr>
          <w:rFonts w:ascii="Times New Roman"/>
          <w:sz w:val="17"/>
        </w:rPr>
      </w:pPr>
      <w:r>
        <w:rPr/>
        <w:br w:type="column"/>
      </w:r>
      <w:r>
        <w:rPr>
          <w:rFonts w:ascii="Times New Roman"/>
          <w:b/>
          <w:color w:val="383436"/>
          <w:spacing w:val="-2"/>
          <w:w w:val="110"/>
          <w:sz w:val="19"/>
        </w:rPr>
        <w:t>Hebrew</w:t>
      </w:r>
      <w:r>
        <w:rPr>
          <w:rFonts w:ascii="Times New Roman"/>
          <w:b/>
          <w:color w:val="383436"/>
          <w:sz w:val="19"/>
        </w:rPr>
        <w:tab/>
      </w:r>
      <w:r>
        <w:rPr>
          <w:rFonts w:ascii="Times New Roman"/>
          <w:color w:val="383436"/>
          <w:w w:val="110"/>
          <w:sz w:val="17"/>
        </w:rPr>
        <w:t>n</w:t>
      </w:r>
      <w:r>
        <w:rPr>
          <w:rFonts w:ascii="Arial"/>
          <w:color w:val="383436"/>
          <w:w w:val="110"/>
          <w:position w:val="4"/>
          <w:sz w:val="11"/>
        </w:rPr>
        <w:t>1</w:t>
      </w:r>
      <w:r>
        <w:rPr>
          <w:rFonts w:ascii="Times New Roman"/>
          <w:color w:val="383436"/>
          <w:w w:val="110"/>
          <w:sz w:val="17"/>
        </w:rPr>
        <w:t>7JJ)</w:t>
      </w:r>
      <w:r>
        <w:rPr>
          <w:rFonts w:ascii="Times New Roman"/>
          <w:color w:val="383436"/>
          <w:spacing w:val="-22"/>
          <w:w w:val="110"/>
          <w:sz w:val="17"/>
        </w:rPr>
        <w:t> </w:t>
      </w:r>
      <w:r>
        <w:rPr>
          <w:rFonts w:ascii="Times New Roman"/>
          <w:color w:val="383436"/>
          <w:spacing w:val="-17"/>
          <w:position w:val="-3"/>
          <w:sz w:val="17"/>
        </w:rPr>
        <w:drawing>
          <wp:inline distT="0" distB="0" distL="0" distR="0">
            <wp:extent cx="214299" cy="104139"/>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102" cstate="print"/>
                    <a:stretch>
                      <a:fillRect/>
                    </a:stretch>
                  </pic:blipFill>
                  <pic:spPr>
                    <a:xfrm>
                      <a:off x="0" y="0"/>
                      <a:ext cx="214299" cy="104139"/>
                    </a:xfrm>
                    <a:prstGeom prst="rect">
                      <a:avLst/>
                    </a:prstGeom>
                  </pic:spPr>
                </pic:pic>
              </a:graphicData>
            </a:graphic>
          </wp:inline>
        </w:drawing>
      </w:r>
      <w:r>
        <w:rPr>
          <w:rFonts w:ascii="Times New Roman"/>
          <w:color w:val="383436"/>
          <w:spacing w:val="-17"/>
          <w:position w:val="-3"/>
          <w:sz w:val="17"/>
        </w:rPr>
      </w:r>
    </w:p>
    <w:p>
      <w:pPr>
        <w:tabs>
          <w:tab w:pos="3335" w:val="left" w:leader="none"/>
        </w:tabs>
        <w:spacing w:line="215" w:lineRule="exact" w:before="0"/>
        <w:ind w:left="196" w:right="0" w:firstLine="0"/>
        <w:jc w:val="left"/>
        <w:rPr>
          <w:rFonts w:ascii="Times New Roman"/>
          <w:sz w:val="15"/>
        </w:rPr>
      </w:pPr>
      <w:r>
        <w:rPr/>
        <w:br w:type="column"/>
      </w:r>
      <w:r>
        <w:rPr>
          <w:rFonts w:ascii="Times New Roman"/>
          <w:b/>
          <w:color w:val="383436"/>
          <w:spacing w:val="-2"/>
          <w:w w:val="115"/>
          <w:sz w:val="19"/>
        </w:rPr>
        <w:t>Korean</w:t>
      </w:r>
      <w:r>
        <w:rPr>
          <w:rFonts w:ascii="Times New Roman"/>
          <w:b/>
          <w:color w:val="383436"/>
          <w:sz w:val="19"/>
        </w:rPr>
        <w:tab/>
      </w:r>
      <w:r>
        <w:rPr>
          <w:rFonts w:ascii="Times New Roman"/>
          <w:color w:val="646262"/>
          <w:w w:val="115"/>
          <w:sz w:val="15"/>
        </w:rPr>
        <w:t>.;:-o-</w:t>
      </w:r>
      <w:r>
        <w:rPr>
          <w:rFonts w:ascii="Times New Roman"/>
          <w:color w:val="646262"/>
          <w:spacing w:val="-10"/>
          <w:w w:val="115"/>
          <w:sz w:val="15"/>
        </w:rPr>
        <w:t>i</w:t>
      </w:r>
    </w:p>
    <w:p>
      <w:pPr>
        <w:spacing w:after="0" w:line="215" w:lineRule="exact"/>
        <w:jc w:val="left"/>
        <w:rPr>
          <w:rFonts w:ascii="Times New Roman"/>
          <w:sz w:val="15"/>
        </w:rPr>
        <w:sectPr>
          <w:type w:val="continuous"/>
          <w:pgSz w:w="20160" w:h="12240" w:orient="landscape"/>
          <w:pgMar w:header="0" w:footer="0" w:top="1820" w:bottom="280" w:left="380" w:right="120"/>
          <w:cols w:num="5" w:equalWidth="0">
            <w:col w:w="4272" w:space="742"/>
            <w:col w:w="865" w:space="2143"/>
            <w:col w:w="1233" w:space="811"/>
            <w:col w:w="4188" w:space="799"/>
            <w:col w:w="4607"/>
          </w:cols>
        </w:sectPr>
      </w:pPr>
    </w:p>
    <w:p>
      <w:pPr>
        <w:tabs>
          <w:tab w:pos="3332" w:val="left" w:leader="none"/>
        </w:tabs>
        <w:spacing w:before="127"/>
        <w:ind w:left="228" w:right="0" w:firstLine="0"/>
        <w:jc w:val="left"/>
        <w:rPr>
          <w:rFonts w:ascii="Times New Roman"/>
          <w:sz w:val="14"/>
        </w:rPr>
      </w:pPr>
      <w:r>
        <w:rPr>
          <w:rFonts w:ascii="Times New Roman"/>
          <w:color w:val="4F4D4D"/>
          <w:w w:val="90"/>
          <w:sz w:val="15"/>
        </w:rPr>
        <w:t>'&gt;fT1dt</w:t>
      </w:r>
      <w:r>
        <w:rPr>
          <w:rFonts w:ascii="Times New Roman"/>
          <w:color w:val="4F4D4D"/>
          <w:spacing w:val="13"/>
          <w:sz w:val="15"/>
        </w:rPr>
        <w:t> </w:t>
      </w:r>
      <w:r>
        <w:rPr>
          <w:rFonts w:ascii="Verdana"/>
          <w:i/>
          <w:color w:val="4F4D4D"/>
          <w:w w:val="90"/>
          <w:sz w:val="11"/>
        </w:rPr>
        <w:t>9'W</w:t>
      </w:r>
      <w:r>
        <w:rPr>
          <w:rFonts w:ascii="Verdana"/>
          <w:i/>
          <w:color w:val="4F4D4D"/>
          <w:spacing w:val="12"/>
          <w:sz w:val="11"/>
        </w:rPr>
        <w:t> </w:t>
      </w:r>
      <w:r>
        <w:rPr>
          <w:rFonts w:ascii="Times New Roman"/>
          <w:color w:val="646262"/>
          <w:w w:val="90"/>
          <w:sz w:val="16"/>
        </w:rPr>
        <w:t>fu</w:t>
      </w:r>
      <w:r>
        <w:rPr>
          <w:rFonts w:ascii="Times New Roman"/>
          <w:color w:val="646262"/>
          <w:spacing w:val="31"/>
          <w:sz w:val="16"/>
        </w:rPr>
        <w:t> </w:t>
      </w:r>
      <w:r>
        <w:rPr>
          <w:rFonts w:ascii="Times New Roman"/>
          <w:color w:val="4F4D4D"/>
          <w:w w:val="90"/>
          <w:sz w:val="17"/>
        </w:rPr>
        <w:t>fuwaT</w:t>
      </w:r>
      <w:r>
        <w:rPr>
          <w:rFonts w:ascii="Times New Roman"/>
          <w:color w:val="4F4D4D"/>
          <w:spacing w:val="7"/>
          <w:sz w:val="17"/>
        </w:rPr>
        <w:t> </w:t>
      </w:r>
      <w:r>
        <w:rPr>
          <w:rFonts w:ascii="Times New Roman"/>
          <w:color w:val="646262"/>
          <w:w w:val="90"/>
          <w:sz w:val="15"/>
        </w:rPr>
        <w:t>&lt;'ra</w:t>
      </w:r>
      <w:r>
        <w:rPr>
          <w:rFonts w:ascii="Times New Roman"/>
          <w:color w:val="646262"/>
          <w:spacing w:val="14"/>
          <w:sz w:val="15"/>
        </w:rPr>
        <w:t> </w:t>
      </w:r>
      <w:r>
        <w:rPr>
          <w:rFonts w:ascii="Times New Roman"/>
          <w:color w:val="4F4D4D"/>
          <w:w w:val="90"/>
          <w:sz w:val="15"/>
        </w:rPr>
        <w:t>'&gt;8</w:t>
      </w:r>
      <w:r>
        <w:rPr>
          <w:rFonts w:ascii="Times New Roman"/>
          <w:color w:val="4F4D4D"/>
          <w:spacing w:val="2"/>
          <w:sz w:val="15"/>
        </w:rPr>
        <w:t> </w:t>
      </w:r>
      <w:r>
        <w:rPr>
          <w:rFonts w:ascii="Times New Roman"/>
          <w:color w:val="4F4D4D"/>
          <w:spacing w:val="-2"/>
          <w:w w:val="90"/>
          <w:sz w:val="15"/>
        </w:rPr>
        <w:t>fi:cf</w:t>
      </w:r>
      <w:r>
        <w:rPr>
          <w:rFonts w:ascii="Times New Roman"/>
          <w:color w:val="4F4D4D"/>
          <w:sz w:val="15"/>
        </w:rPr>
        <w:tab/>
      </w:r>
      <w:r>
        <w:rPr>
          <w:rFonts w:ascii="Times New Roman"/>
          <w:color w:val="4F4D4D"/>
          <w:spacing w:val="-2"/>
          <w:sz w:val="14"/>
        </w:rPr>
        <w:t>t!'Eol'I</w:t>
      </w:r>
    </w:p>
    <w:p>
      <w:pPr>
        <w:tabs>
          <w:tab w:pos="1339" w:val="left" w:leader="none"/>
          <w:tab w:pos="2674" w:val="left" w:leader="none"/>
        </w:tabs>
        <w:spacing w:before="1"/>
        <w:ind w:left="228" w:right="0" w:firstLine="0"/>
        <w:jc w:val="left"/>
        <w:rPr>
          <w:rFonts w:ascii="Times New Roman"/>
          <w:sz w:val="14"/>
        </w:rPr>
      </w:pPr>
      <w:r>
        <w:rPr>
          <w:rFonts w:ascii="Times New Roman"/>
          <w:color w:val="4F4D4D"/>
          <w:spacing w:val="-5"/>
          <w:sz w:val="16"/>
        </w:rPr>
        <w:t>fEu</w:t>
      </w:r>
      <w:r>
        <w:rPr>
          <w:rFonts w:ascii="Times New Roman"/>
          <w:color w:val="4F4D4D"/>
          <w:sz w:val="16"/>
        </w:rPr>
        <w:tab/>
      </w:r>
      <w:r>
        <w:rPr>
          <w:rFonts w:ascii="Times New Roman"/>
          <w:color w:val="4F4D4D"/>
          <w:sz w:val="15"/>
        </w:rPr>
        <w:t>fuo'</w:t>
      </w:r>
      <w:r>
        <w:rPr>
          <w:rFonts w:ascii="Times New Roman"/>
          <w:color w:val="4F4D4D"/>
          <w:spacing w:val="2"/>
          <w:sz w:val="15"/>
        </w:rPr>
        <w:t> </w:t>
      </w:r>
      <w:r>
        <w:rPr>
          <w:rFonts w:ascii="Times New Roman"/>
          <w:color w:val="4F4D4D"/>
          <w:sz w:val="16"/>
        </w:rPr>
        <w:t>fui't</w:t>
      </w:r>
      <w:r>
        <w:rPr>
          <w:rFonts w:ascii="Times New Roman"/>
          <w:color w:val="4F4D4D"/>
          <w:spacing w:val="9"/>
          <w:sz w:val="16"/>
        </w:rPr>
        <w:t> </w:t>
      </w:r>
      <w:r>
        <w:rPr>
          <w:rFonts w:ascii="Times New Roman"/>
          <w:color w:val="4F4D4D"/>
          <w:sz w:val="10"/>
        </w:rPr>
        <w:t>lcfatJ</w:t>
      </w:r>
      <w:r>
        <w:rPr>
          <w:rFonts w:ascii="Times New Roman"/>
          <w:color w:val="4F4D4D"/>
          <w:spacing w:val="20"/>
          <w:sz w:val="10"/>
        </w:rPr>
        <w:t> </w:t>
      </w:r>
      <w:r>
        <w:rPr>
          <w:rFonts w:ascii="Arial"/>
          <w:color w:val="4F4D4D"/>
          <w:w w:val="85"/>
          <w:sz w:val="17"/>
        </w:rPr>
        <w:t>-</w:t>
      </w:r>
      <w:r>
        <w:rPr>
          <w:rFonts w:ascii="Arial"/>
          <w:color w:val="4F4D4D"/>
          <w:spacing w:val="-5"/>
          <w:w w:val="85"/>
          <w:sz w:val="17"/>
        </w:rPr>
        <w:t>e-</w:t>
      </w:r>
      <w:r>
        <w:rPr>
          <w:rFonts w:ascii="Arial"/>
          <w:color w:val="4F4D4D"/>
          <w:sz w:val="17"/>
        </w:rPr>
        <w:tab/>
      </w:r>
      <w:r>
        <w:rPr>
          <w:rFonts w:ascii="Times New Roman"/>
          <w:color w:val="4F4D4D"/>
          <w:spacing w:val="-2"/>
          <w:sz w:val="14"/>
        </w:rPr>
        <w:t>t!'Eol'I</w:t>
      </w:r>
    </w:p>
    <w:p>
      <w:pPr>
        <w:pStyle w:val="BodyText"/>
        <w:spacing w:before="1"/>
        <w:rPr>
          <w:rFonts w:ascii="Times New Roman"/>
          <w:sz w:val="2"/>
        </w:rPr>
      </w:pP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412" name="Group 412"/>
                <wp:cNvGraphicFramePr>
                  <a:graphicFrameLocks/>
                </wp:cNvGraphicFramePr>
                <a:graphic>
                  <a:graphicData uri="http://schemas.microsoft.com/office/word/2010/wordprocessingGroup">
                    <wpg:wgp>
                      <wpg:cNvPr id="412" name="Group 412"/>
                      <wpg:cNvGrpSpPr/>
                      <wpg:grpSpPr>
                        <a:xfrm>
                          <a:off x="0" y="0"/>
                          <a:ext cx="2616200" cy="3175"/>
                          <a:chExt cx="2616200" cy="3175"/>
                        </a:xfrm>
                      </wpg:grpSpPr>
                      <wps:wsp>
                        <wps:cNvPr id="413" name="Graphic 41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299" coordorigin="0,0" coordsize="4120,5">
                <v:shape style="position:absolute;left:0;top:2;width:4120;height:2" id="docshape300"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363" w:val="left" w:leader="none"/>
        </w:tabs>
        <w:spacing w:line="211" w:lineRule="exact" w:before="44"/>
        <w:ind w:left="225" w:right="0" w:firstLine="0"/>
        <w:jc w:val="left"/>
        <w:rPr>
          <w:rFonts w:ascii="Times New Roman"/>
          <w:sz w:val="15"/>
        </w:rPr>
      </w:pPr>
      <w:r>
        <w:rPr>
          <w:rFonts w:ascii="Times New Roman"/>
          <w:b/>
          <w:color w:val="383436"/>
          <w:spacing w:val="-2"/>
          <w:w w:val="105"/>
          <w:position w:val="2"/>
          <w:sz w:val="19"/>
        </w:rPr>
        <w:t>Sinhalese</w:t>
      </w:r>
      <w:r>
        <w:rPr>
          <w:rFonts w:ascii="Times New Roman"/>
          <w:b/>
          <w:color w:val="383436"/>
          <w:position w:val="2"/>
          <w:sz w:val="19"/>
        </w:rPr>
        <w:tab/>
      </w:r>
      <w:r>
        <w:rPr>
          <w:rFonts w:ascii="Times New Roman"/>
          <w:color w:val="383436"/>
          <w:w w:val="105"/>
          <w:position w:val="2"/>
          <w:sz w:val="15"/>
        </w:rPr>
        <w:t>80(5)@ </w:t>
      </w:r>
      <w:r>
        <w:rPr>
          <w:rFonts w:ascii="Times New Roman"/>
          <w:color w:val="383436"/>
          <w:spacing w:val="14"/>
          <w:sz w:val="15"/>
        </w:rPr>
        <w:drawing>
          <wp:inline distT="0" distB="0" distL="0" distR="0">
            <wp:extent cx="214306" cy="104139"/>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128" cstate="print"/>
                    <a:stretch>
                      <a:fillRect/>
                    </a:stretch>
                  </pic:blipFill>
                  <pic:spPr>
                    <a:xfrm>
                      <a:off x="0" y="0"/>
                      <a:ext cx="214306" cy="104139"/>
                    </a:xfrm>
                    <a:prstGeom prst="rect">
                      <a:avLst/>
                    </a:prstGeom>
                  </pic:spPr>
                </pic:pic>
              </a:graphicData>
            </a:graphic>
          </wp:inline>
        </w:drawing>
      </w:r>
      <w:r>
        <w:rPr>
          <w:rFonts w:ascii="Times New Roman"/>
          <w:color w:val="383436"/>
          <w:spacing w:val="14"/>
          <w:sz w:val="15"/>
        </w:rPr>
      </w:r>
    </w:p>
    <w:p>
      <w:pPr>
        <w:spacing w:line="223" w:lineRule="exact" w:before="0"/>
        <w:ind w:left="215" w:right="0" w:firstLine="0"/>
        <w:jc w:val="left"/>
        <w:rPr>
          <w:rFonts w:ascii="Arial" w:hAnsi="Arial"/>
          <w:sz w:val="17"/>
        </w:rPr>
      </w:pPr>
      <w:r>
        <w:rPr>
          <w:rFonts w:ascii="Times New Roman" w:hAnsi="Times New Roman"/>
          <w:i/>
          <w:color w:val="646262"/>
          <w:w w:val="85"/>
          <w:sz w:val="21"/>
        </w:rPr>
        <w:t>®clv</w:t>
      </w:r>
      <w:r>
        <w:rPr>
          <w:rFonts w:ascii="Times New Roman" w:hAnsi="Times New Roman"/>
          <w:i/>
          <w:color w:val="646262"/>
          <w:spacing w:val="-4"/>
          <w:sz w:val="21"/>
        </w:rPr>
        <w:t> </w:t>
      </w:r>
      <w:r>
        <w:rPr>
          <w:rFonts w:ascii="Times New Roman" w:hAnsi="Times New Roman"/>
          <w:color w:val="646262"/>
          <w:w w:val="85"/>
          <w:sz w:val="14"/>
        </w:rPr>
        <w:t>t5J)®)el</w:t>
      </w:r>
      <w:r>
        <w:rPr>
          <w:rFonts w:ascii="Times New Roman" w:hAnsi="Times New Roman"/>
          <w:color w:val="646262"/>
          <w:spacing w:val="7"/>
          <w:sz w:val="14"/>
        </w:rPr>
        <w:t> </w:t>
      </w:r>
      <w:r>
        <w:rPr>
          <w:rFonts w:ascii="Times New Roman" w:hAnsi="Times New Roman"/>
          <w:color w:val="646262"/>
          <w:w w:val="85"/>
          <w:sz w:val="14"/>
        </w:rPr>
        <w:t>ooei5el1'ili2l.</w:t>
      </w:r>
      <w:r>
        <w:rPr>
          <w:rFonts w:ascii="Times New Roman" w:hAnsi="Times New Roman"/>
          <w:color w:val="646262"/>
          <w:spacing w:val="7"/>
          <w:sz w:val="14"/>
        </w:rPr>
        <w:t> </w:t>
      </w:r>
      <w:r>
        <w:rPr>
          <w:rFonts w:ascii="Times New Roman" w:hAnsi="Times New Roman"/>
          <w:color w:val="646262"/>
          <w:w w:val="85"/>
          <w:sz w:val="14"/>
        </w:rPr>
        <w:t>t5J)®)</w:t>
      </w:r>
      <w:r>
        <w:rPr>
          <w:rFonts w:ascii="Times New Roman" w:hAnsi="Times New Roman"/>
          <w:color w:val="646262"/>
          <w:spacing w:val="3"/>
          <w:sz w:val="14"/>
        </w:rPr>
        <w:t> </w:t>
      </w:r>
      <w:r>
        <w:rPr>
          <w:rFonts w:ascii="Arial" w:hAnsi="Arial"/>
          <w:color w:val="646262"/>
          <w:w w:val="85"/>
          <w:sz w:val="19"/>
        </w:rPr>
        <w:t>ooeldem:wcxil</w:t>
      </w:r>
      <w:r>
        <w:rPr>
          <w:rFonts w:ascii="Arial" w:hAnsi="Arial"/>
          <w:color w:val="646262"/>
          <w:spacing w:val="-1"/>
          <w:w w:val="85"/>
          <w:sz w:val="19"/>
        </w:rPr>
        <w:t> </w:t>
      </w:r>
      <w:r>
        <w:rPr>
          <w:rFonts w:ascii="Arial" w:hAnsi="Arial"/>
          <w:color w:val="646262"/>
          <w:w w:val="85"/>
          <w:sz w:val="17"/>
        </w:rPr>
        <w:t>l:ill&lt;;:,oel</w:t>
      </w:r>
      <w:r>
        <w:rPr>
          <w:rFonts w:ascii="Arial" w:hAnsi="Arial"/>
          <w:color w:val="646262"/>
          <w:spacing w:val="-4"/>
          <w:sz w:val="17"/>
        </w:rPr>
        <w:t> </w:t>
      </w:r>
      <w:r>
        <w:rPr>
          <w:rFonts w:ascii="Arial" w:hAnsi="Arial"/>
          <w:color w:val="4F4D4D"/>
          <w:spacing w:val="-2"/>
          <w:w w:val="85"/>
          <w:sz w:val="17"/>
        </w:rPr>
        <w:t>crlf'.il.</w:t>
      </w:r>
    </w:p>
    <w:p>
      <w:pPr>
        <w:spacing w:line="184" w:lineRule="exact" w:before="0"/>
        <w:ind w:left="228" w:right="0" w:firstLine="0"/>
        <w:jc w:val="left"/>
        <w:rPr>
          <w:rFonts w:ascii="Arial" w:hAnsi="Arial"/>
          <w:sz w:val="17"/>
        </w:rPr>
      </w:pPr>
      <w:r>
        <w:rPr>
          <w:rFonts w:ascii="Times New Roman" w:hAnsi="Times New Roman"/>
          <w:color w:val="4F4D4D"/>
          <w:w w:val="80"/>
          <w:sz w:val="14"/>
        </w:rPr>
        <w:t>t5J)®)</w:t>
      </w:r>
      <w:r>
        <w:rPr>
          <w:rFonts w:ascii="Times New Roman" w:hAnsi="Times New Roman"/>
          <w:color w:val="4F4D4D"/>
          <w:spacing w:val="1"/>
          <w:sz w:val="14"/>
        </w:rPr>
        <w:t> </w:t>
      </w:r>
      <w:r>
        <w:rPr>
          <w:rFonts w:ascii="Arial" w:hAnsi="Arial"/>
          <w:color w:val="646262"/>
          <w:w w:val="80"/>
          <w:sz w:val="17"/>
        </w:rPr>
        <w:t>ooeldf'.ilOO)</w:t>
      </w:r>
      <w:r>
        <w:rPr>
          <w:rFonts w:ascii="Arial" w:hAnsi="Arial"/>
          <w:color w:val="646262"/>
          <w:spacing w:val="12"/>
          <w:sz w:val="17"/>
        </w:rPr>
        <w:t> </w:t>
      </w:r>
      <w:r>
        <w:rPr>
          <w:rFonts w:ascii="Arial" w:hAnsi="Arial"/>
          <w:color w:val="646262"/>
          <w:w w:val="80"/>
          <w:sz w:val="17"/>
        </w:rPr>
        <w:t>®00</w:t>
      </w:r>
      <w:r>
        <w:rPr>
          <w:rFonts w:ascii="Arial" w:hAnsi="Arial"/>
          <w:color w:val="646262"/>
          <w:spacing w:val="-5"/>
          <w:sz w:val="17"/>
        </w:rPr>
        <w:t> </w:t>
      </w:r>
      <w:r>
        <w:rPr>
          <w:rFonts w:ascii="Times New Roman" w:hAnsi="Times New Roman"/>
          <w:color w:val="4F4D4D"/>
          <w:w w:val="80"/>
          <w:sz w:val="16"/>
        </w:rPr>
        <w:t>()('i))@</w:t>
      </w:r>
      <w:r>
        <w:rPr>
          <w:rFonts w:ascii="Times New Roman" w:hAnsi="Times New Roman"/>
          <w:color w:val="4F4D4D"/>
          <w:spacing w:val="-3"/>
          <w:w w:val="80"/>
          <w:sz w:val="16"/>
        </w:rPr>
        <w:t> </w:t>
      </w:r>
      <w:r>
        <w:rPr>
          <w:rFonts w:ascii="Times New Roman" w:hAnsi="Times New Roman"/>
          <w:color w:val="4F4D4D"/>
          <w:w w:val="80"/>
          <w:sz w:val="16"/>
        </w:rPr>
        <w:t>CJG!</w:t>
      </w:r>
      <w:r>
        <w:rPr>
          <w:rFonts w:ascii="Times New Roman" w:hAnsi="Times New Roman"/>
          <w:color w:val="4F4D4D"/>
          <w:spacing w:val="-4"/>
          <w:sz w:val="16"/>
        </w:rPr>
        <w:t> </w:t>
      </w:r>
      <w:r>
        <w:rPr>
          <w:rFonts w:ascii="Arial" w:hAnsi="Arial"/>
          <w:color w:val="4F4D4D"/>
          <w:w w:val="80"/>
          <w:sz w:val="17"/>
        </w:rPr>
        <w:t>rnll:XlGJi2l</w:t>
      </w:r>
      <w:r>
        <w:rPr>
          <w:rFonts w:ascii="Arial" w:hAnsi="Arial"/>
          <w:color w:val="4F4D4D"/>
          <w:spacing w:val="-2"/>
          <w:sz w:val="17"/>
        </w:rPr>
        <w:t> </w:t>
      </w:r>
      <w:r>
        <w:rPr>
          <w:rFonts w:ascii="Arial" w:hAnsi="Arial"/>
          <w:color w:val="4F4D4D"/>
          <w:spacing w:val="-2"/>
          <w:w w:val="80"/>
          <w:sz w:val="17"/>
        </w:rPr>
        <w:t>crlf'.il.</w:t>
      </w:r>
    </w:p>
    <w:p>
      <w:pPr>
        <w:pStyle w:val="BodyText"/>
        <w:spacing w:before="1"/>
        <w:rPr>
          <w:rFonts w:ascii="Arial"/>
          <w:sz w:val="2"/>
        </w:rPr>
      </w:pPr>
    </w:p>
    <w:p>
      <w:pPr>
        <w:pStyle w:val="BodyText"/>
        <w:spacing w:line="20" w:lineRule="exact"/>
        <w:ind w:left="140" w:right="-58"/>
        <w:rPr>
          <w:rFonts w:ascii="Arial"/>
          <w:sz w:val="2"/>
        </w:rPr>
      </w:pPr>
      <w:r>
        <w:rPr>
          <w:rFonts w:ascii="Arial"/>
          <w:sz w:val="2"/>
        </w:rPr>
        <mc:AlternateContent>
          <mc:Choice Requires="wps">
            <w:drawing>
              <wp:inline distT="0" distB="0" distL="0" distR="0">
                <wp:extent cx="2616200" cy="3175"/>
                <wp:effectExtent l="9525" t="0" r="0" b="6350"/>
                <wp:docPr id="415" name="Group 415"/>
                <wp:cNvGraphicFramePr>
                  <a:graphicFrameLocks/>
                </wp:cNvGraphicFramePr>
                <a:graphic>
                  <a:graphicData uri="http://schemas.microsoft.com/office/word/2010/wordprocessingGroup">
                    <wpg:wgp>
                      <wpg:cNvPr id="415" name="Group 415"/>
                      <wpg:cNvGrpSpPr/>
                      <wpg:grpSpPr>
                        <a:xfrm>
                          <a:off x="0" y="0"/>
                          <a:ext cx="2616200" cy="3175"/>
                          <a:chExt cx="2616200" cy="3175"/>
                        </a:xfrm>
                      </wpg:grpSpPr>
                      <wps:wsp>
                        <wps:cNvPr id="416" name="Graphic 41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01" coordorigin="0,0" coordsize="4120,5">
                <v:shape style="position:absolute;left:0;top:2;width:4120;height:2" id="docshape302"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3893" w:val="left" w:leader="none"/>
        </w:tabs>
        <w:spacing w:before="89"/>
        <w:ind w:left="218" w:right="0" w:firstLine="0"/>
        <w:jc w:val="left"/>
        <w:rPr>
          <w:rFonts w:ascii="Times New Roman"/>
          <w:b/>
          <w:sz w:val="19"/>
        </w:rPr>
      </w:pPr>
      <w:r>
        <w:rPr>
          <w:rFonts w:ascii="Times New Roman"/>
          <w:b/>
          <w:color w:val="383436"/>
          <w:spacing w:val="-2"/>
          <w:w w:val="110"/>
          <w:sz w:val="19"/>
        </w:rPr>
        <w:t>Tamil</w:t>
      </w:r>
      <w:r>
        <w:rPr>
          <w:rFonts w:ascii="Times New Roman"/>
          <w:b/>
          <w:color w:val="383436"/>
          <w:sz w:val="19"/>
        </w:rPr>
        <w:tab/>
      </w:r>
      <w:r>
        <w:rPr>
          <w:rFonts w:ascii="Times New Roman"/>
          <w:b/>
          <w:color w:val="383436"/>
          <w:position w:val="1"/>
          <w:sz w:val="19"/>
        </w:rPr>
        <w:drawing>
          <wp:inline distT="0" distB="0" distL="0" distR="0">
            <wp:extent cx="214306" cy="104139"/>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129" cstate="print"/>
                    <a:stretch>
                      <a:fillRect/>
                    </a:stretch>
                  </pic:blipFill>
                  <pic:spPr>
                    <a:xfrm>
                      <a:off x="0" y="0"/>
                      <a:ext cx="214306" cy="104139"/>
                    </a:xfrm>
                    <a:prstGeom prst="rect">
                      <a:avLst/>
                    </a:prstGeom>
                  </pic:spPr>
                </pic:pic>
              </a:graphicData>
            </a:graphic>
          </wp:inline>
        </w:drawing>
      </w:r>
      <w:r>
        <w:rPr>
          <w:rFonts w:ascii="Times New Roman"/>
          <w:b/>
          <w:color w:val="383436"/>
          <w:position w:val="1"/>
          <w:sz w:val="19"/>
        </w:rPr>
      </w:r>
    </w:p>
    <w:p>
      <w:pPr>
        <w:spacing w:before="39"/>
        <w:ind w:left="210" w:right="0" w:firstLine="0"/>
        <w:jc w:val="left"/>
        <w:rPr>
          <w:rFonts w:ascii="Arial"/>
          <w:sz w:val="12"/>
        </w:rPr>
      </w:pPr>
      <w:r>
        <w:rPr>
          <w:rFonts w:ascii="Arial"/>
          <w:color w:val="646262"/>
          <w:spacing w:val="-2"/>
          <w:sz w:val="12"/>
        </w:rPr>
        <w:t>"-f!il.SGIT</w:t>
      </w:r>
      <w:r>
        <w:rPr>
          <w:rFonts w:ascii="Arial"/>
          <w:color w:val="646262"/>
          <w:spacing w:val="8"/>
          <w:sz w:val="12"/>
        </w:rPr>
        <w:t> </w:t>
      </w:r>
      <w:r>
        <w:rPr>
          <w:rFonts w:ascii="Arial"/>
          <w:color w:val="7C7B7B"/>
          <w:spacing w:val="-2"/>
          <w:sz w:val="12"/>
        </w:rPr>
        <w:t>GLDIT</w:t>
      </w:r>
      <w:r>
        <w:rPr>
          <w:rFonts w:ascii="Arial"/>
          <w:color w:val="7C7B7B"/>
          <w:sz w:val="12"/>
        </w:rPr>
        <w:t> </w:t>
      </w:r>
      <w:r>
        <w:rPr>
          <w:rFonts w:ascii="Arial"/>
          <w:color w:val="7C7B7B"/>
          <w:spacing w:val="-2"/>
          <w:sz w:val="12"/>
        </w:rPr>
        <w:t>ffilLI</w:t>
      </w:r>
      <w:r>
        <w:rPr>
          <w:rFonts w:ascii="Arial"/>
          <w:color w:val="7C7B7B"/>
          <w:spacing w:val="13"/>
          <w:sz w:val="12"/>
        </w:rPr>
        <w:t> </w:t>
      </w:r>
      <w:r>
        <w:rPr>
          <w:rFonts w:ascii="Arial"/>
          <w:color w:val="646262"/>
          <w:spacing w:val="-2"/>
          <w:sz w:val="12"/>
        </w:rPr>
        <w:t>8.Llq.ffi.SITLG\f!il.SGIT.</w:t>
      </w:r>
    </w:p>
    <w:p>
      <w:pPr>
        <w:spacing w:before="45"/>
        <w:ind w:left="205" w:right="0" w:firstLine="0"/>
        <w:jc w:val="left"/>
        <w:rPr>
          <w:rFonts w:ascii="Arial"/>
          <w:sz w:val="12"/>
        </w:rPr>
      </w:pPr>
      <w:r>
        <w:rPr>
          <w:rFonts w:ascii="Arial"/>
          <w:color w:val="646262"/>
          <w:spacing w:val="-2"/>
          <w:sz w:val="12"/>
        </w:rPr>
        <w:t>"-ffi!,GUlLIITL.JUITffilT</w:t>
      </w:r>
      <w:r>
        <w:rPr>
          <w:rFonts w:ascii="Arial"/>
          <w:color w:val="646262"/>
          <w:spacing w:val="35"/>
          <w:sz w:val="12"/>
        </w:rPr>
        <w:t> </w:t>
      </w:r>
      <w:r>
        <w:rPr>
          <w:rFonts w:ascii="Arial"/>
          <w:color w:val="646262"/>
          <w:spacing w:val="-2"/>
          <w:sz w:val="12"/>
        </w:rPr>
        <w:t>(!!)GlJIT</w:t>
      </w:r>
      <w:r>
        <w:rPr>
          <w:rFonts w:ascii="Arial"/>
          <w:color w:val="7C7B7B"/>
          <w:spacing w:val="-2"/>
          <w:sz w:val="12"/>
        </w:rPr>
        <w:t>ffi!J'</w:t>
      </w:r>
      <w:r>
        <w:rPr>
          <w:rFonts w:ascii="Arial"/>
          <w:color w:val="4F4D4D"/>
          <w:spacing w:val="-2"/>
          <w:sz w:val="12"/>
        </w:rPr>
        <w:t>ffi.SUUG)</w:t>
      </w:r>
      <w:r>
        <w:rPr>
          <w:rFonts w:ascii="Arial"/>
          <w:color w:val="7C7B7B"/>
          <w:spacing w:val="-2"/>
          <w:sz w:val="12"/>
        </w:rPr>
        <w:t>GlJ</w:t>
      </w:r>
      <w:r>
        <w:rPr>
          <w:rFonts w:ascii="Arial"/>
          <w:color w:val="4F4D4D"/>
          <w:spacing w:val="-2"/>
          <w:sz w:val="12"/>
        </w:rPr>
        <w:t>ITIT</w:t>
      </w:r>
      <w:r>
        <w:rPr>
          <w:rFonts w:ascii="Arial"/>
          <w:color w:val="7C7B7B"/>
          <w:spacing w:val="-2"/>
          <w:sz w:val="12"/>
        </w:rPr>
        <w:t>.</w:t>
      </w:r>
    </w:p>
    <w:p>
      <w:pPr>
        <w:spacing w:line="247" w:lineRule="auto" w:before="0"/>
        <w:ind w:left="207" w:right="0" w:hanging="3"/>
        <w:jc w:val="left"/>
        <w:rPr>
          <w:rFonts w:ascii="Times New Roman"/>
          <w:sz w:val="17"/>
        </w:rPr>
      </w:pPr>
      <w:r>
        <w:rPr/>
        <w:br w:type="column"/>
      </w:r>
      <w:r>
        <w:rPr>
          <w:rFonts w:ascii="Times New Roman"/>
          <w:color w:val="383436"/>
          <w:sz w:val="17"/>
        </w:rPr>
        <w:t>Mallatto </w:t>
      </w:r>
      <w:r>
        <w:rPr>
          <w:rFonts w:ascii="Times New Roman"/>
          <w:color w:val="4F4D4D"/>
          <w:sz w:val="17"/>
        </w:rPr>
        <w:t>gara </w:t>
      </w:r>
      <w:r>
        <w:rPr>
          <w:rFonts w:ascii="Times New Roman"/>
          <w:color w:val="383436"/>
          <w:sz w:val="17"/>
        </w:rPr>
        <w:t>Loqoda keeti. Turjumaanni</w:t>
      </w:r>
      <w:r>
        <w:rPr>
          <w:rFonts w:ascii="Times New Roman"/>
          <w:color w:val="383436"/>
          <w:spacing w:val="40"/>
          <w:sz w:val="17"/>
        </w:rPr>
        <w:t> </w:t>
      </w:r>
      <w:r>
        <w:rPr>
          <w:rFonts w:ascii="Times New Roman"/>
          <w:color w:val="383436"/>
          <w:sz w:val="17"/>
        </w:rPr>
        <w:t>ni waamama. Turjumaanni</w:t>
      </w:r>
      <w:r>
        <w:rPr>
          <w:rFonts w:ascii="Times New Roman"/>
          <w:color w:val="383436"/>
          <w:spacing w:val="40"/>
          <w:sz w:val="17"/>
        </w:rPr>
        <w:t> </w:t>
      </w:r>
      <w:r>
        <w:rPr>
          <w:rFonts w:ascii="Times New Roman"/>
          <w:color w:val="383436"/>
          <w:sz w:val="17"/>
        </w:rPr>
        <w:t>beesee takka maLee </w:t>
      </w:r>
      <w:r>
        <w:rPr>
          <w:rFonts w:ascii="Times New Roman"/>
          <w:color w:val="4F4D4D"/>
          <w:sz w:val="17"/>
        </w:rPr>
        <w:t>siif </w:t>
      </w:r>
      <w:r>
        <w:rPr>
          <w:rFonts w:ascii="Times New Roman"/>
          <w:color w:val="383436"/>
          <w:sz w:val="17"/>
        </w:rPr>
        <w:t>qophaawa.</w:t>
      </w:r>
    </w:p>
    <w:p>
      <w:pPr>
        <w:pStyle w:val="BodyText"/>
        <w:spacing w:before="6"/>
        <w:rPr>
          <w:rFonts w:ascii="Times New Roman"/>
          <w:sz w:val="3"/>
        </w:rPr>
      </w:pPr>
    </w:p>
    <w:p>
      <w:pPr>
        <w:pStyle w:val="BodyText"/>
        <w:spacing w:line="20" w:lineRule="exact"/>
        <w:ind w:left="130" w:right="-44"/>
        <w:rPr>
          <w:rFonts w:ascii="Times New Roman"/>
          <w:sz w:val="2"/>
        </w:rPr>
      </w:pPr>
      <w:r>
        <w:rPr>
          <w:rFonts w:ascii="Times New Roman"/>
          <w:sz w:val="2"/>
        </w:rPr>
        <mc:AlternateContent>
          <mc:Choice Requires="wps">
            <w:drawing>
              <wp:inline distT="0" distB="0" distL="0" distR="0">
                <wp:extent cx="2616200" cy="3175"/>
                <wp:effectExtent l="9525" t="0" r="0" b="6350"/>
                <wp:docPr id="418" name="Group 418"/>
                <wp:cNvGraphicFramePr>
                  <a:graphicFrameLocks/>
                </wp:cNvGraphicFramePr>
                <a:graphic>
                  <a:graphicData uri="http://schemas.microsoft.com/office/word/2010/wordprocessingGroup">
                    <wpg:wgp>
                      <wpg:cNvPr id="418" name="Group 418"/>
                      <wpg:cNvGrpSpPr/>
                      <wpg:grpSpPr>
                        <a:xfrm>
                          <a:off x="0" y="0"/>
                          <a:ext cx="2616200" cy="3175"/>
                          <a:chExt cx="2616200" cy="3175"/>
                        </a:xfrm>
                      </wpg:grpSpPr>
                      <wps:wsp>
                        <wps:cNvPr id="419" name="Graphic 41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03" coordorigin="0,0" coordsize="4120,5">
                <v:shape style="position:absolute;left:0;top:2;width:4120;height:2" id="docshape304"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2991" w:val="left" w:leader="none"/>
        </w:tabs>
        <w:spacing w:before="25"/>
        <w:ind w:left="232" w:right="0" w:firstLine="0"/>
        <w:jc w:val="left"/>
        <w:rPr>
          <w:rFonts w:ascii="Times New Roman"/>
          <w:sz w:val="19"/>
        </w:rPr>
      </w:pPr>
      <w:r>
        <w:rPr>
          <w:rFonts w:ascii="Times New Roman"/>
          <w:b/>
          <w:color w:val="383436"/>
          <w:spacing w:val="-2"/>
          <w:w w:val="105"/>
          <w:sz w:val="19"/>
        </w:rPr>
        <w:t>Portuguese</w:t>
      </w:r>
      <w:r>
        <w:rPr>
          <w:rFonts w:ascii="Times New Roman"/>
          <w:b/>
          <w:color w:val="383436"/>
          <w:sz w:val="19"/>
        </w:rPr>
        <w:tab/>
      </w:r>
      <w:r>
        <w:rPr>
          <w:rFonts w:ascii="Times New Roman"/>
          <w:color w:val="383436"/>
          <w:w w:val="105"/>
          <w:sz w:val="19"/>
        </w:rPr>
        <w:t>Portugues</w:t>
      </w:r>
      <w:r>
        <w:rPr>
          <w:rFonts w:ascii="Times New Roman"/>
          <w:color w:val="383436"/>
          <w:spacing w:val="40"/>
          <w:w w:val="105"/>
          <w:sz w:val="19"/>
        </w:rPr>
        <w:t> </w:t>
      </w:r>
      <w:r>
        <w:rPr>
          <w:rFonts w:ascii="Times New Roman"/>
          <w:color w:val="383436"/>
          <w:spacing w:val="-11"/>
          <w:position w:val="-2"/>
          <w:sz w:val="19"/>
        </w:rPr>
        <w:drawing>
          <wp:inline distT="0" distB="0" distL="0" distR="0">
            <wp:extent cx="214306" cy="104139"/>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130" cstate="print"/>
                    <a:stretch>
                      <a:fillRect/>
                    </a:stretch>
                  </pic:blipFill>
                  <pic:spPr>
                    <a:xfrm>
                      <a:off x="0" y="0"/>
                      <a:ext cx="214306" cy="104139"/>
                    </a:xfrm>
                    <a:prstGeom prst="rect">
                      <a:avLst/>
                    </a:prstGeom>
                  </pic:spPr>
                </pic:pic>
              </a:graphicData>
            </a:graphic>
          </wp:inline>
        </w:drawing>
      </w:r>
      <w:r>
        <w:rPr>
          <w:rFonts w:ascii="Times New Roman"/>
          <w:color w:val="383436"/>
          <w:spacing w:val="-11"/>
          <w:position w:val="-2"/>
          <w:sz w:val="19"/>
        </w:rPr>
      </w:r>
    </w:p>
    <w:p>
      <w:pPr>
        <w:spacing w:before="2"/>
        <w:ind w:left="222" w:right="0" w:firstLine="0"/>
        <w:jc w:val="left"/>
        <w:rPr>
          <w:rFonts w:ascii="Times New Roman"/>
          <w:sz w:val="17"/>
        </w:rPr>
      </w:pPr>
      <w:r>
        <w:rPr>
          <w:rFonts w:ascii="Times New Roman"/>
          <w:color w:val="383436"/>
          <w:spacing w:val="-4"/>
          <w:sz w:val="17"/>
        </w:rPr>
        <w:t>Indique</w:t>
      </w:r>
      <w:r>
        <w:rPr>
          <w:rFonts w:ascii="Times New Roman"/>
          <w:color w:val="383436"/>
          <w:spacing w:val="-7"/>
          <w:sz w:val="17"/>
        </w:rPr>
        <w:t> </w:t>
      </w:r>
      <w:r>
        <w:rPr>
          <w:rFonts w:ascii="Times New Roman"/>
          <w:color w:val="4F4D4D"/>
          <w:spacing w:val="-4"/>
          <w:sz w:val="17"/>
        </w:rPr>
        <w:t>o</w:t>
      </w:r>
      <w:r>
        <w:rPr>
          <w:rFonts w:ascii="Times New Roman"/>
          <w:color w:val="4F4D4D"/>
          <w:spacing w:val="-13"/>
          <w:sz w:val="17"/>
        </w:rPr>
        <w:t> </w:t>
      </w:r>
      <w:r>
        <w:rPr>
          <w:rFonts w:ascii="Times New Roman"/>
          <w:color w:val="646262"/>
          <w:spacing w:val="-4"/>
          <w:sz w:val="17"/>
        </w:rPr>
        <w:t>se</w:t>
      </w:r>
      <w:r>
        <w:rPr>
          <w:rFonts w:ascii="Times New Roman"/>
          <w:color w:val="383436"/>
          <w:spacing w:val="-4"/>
          <w:sz w:val="17"/>
        </w:rPr>
        <w:t>u</w:t>
      </w:r>
      <w:r>
        <w:rPr>
          <w:rFonts w:ascii="Times New Roman"/>
          <w:color w:val="383436"/>
          <w:spacing w:val="-7"/>
          <w:sz w:val="17"/>
        </w:rPr>
        <w:t> </w:t>
      </w:r>
      <w:r>
        <w:rPr>
          <w:rFonts w:ascii="Times New Roman"/>
          <w:color w:val="383436"/>
          <w:spacing w:val="-4"/>
          <w:sz w:val="17"/>
        </w:rPr>
        <w:t>idioma.</w:t>
      </w:r>
      <w:r>
        <w:rPr>
          <w:rFonts w:ascii="Times New Roman"/>
          <w:color w:val="383436"/>
          <w:spacing w:val="-6"/>
          <w:sz w:val="17"/>
        </w:rPr>
        <w:t> </w:t>
      </w:r>
      <w:r>
        <w:rPr>
          <w:rFonts w:ascii="Times New Roman"/>
          <w:color w:val="4F4D4D"/>
          <w:spacing w:val="-4"/>
          <w:sz w:val="17"/>
        </w:rPr>
        <w:t>Um</w:t>
      </w:r>
      <w:r>
        <w:rPr>
          <w:rFonts w:ascii="Times New Roman"/>
          <w:color w:val="4F4D4D"/>
          <w:spacing w:val="-2"/>
          <w:sz w:val="17"/>
        </w:rPr>
        <w:t> </w:t>
      </w:r>
      <w:r>
        <w:rPr>
          <w:rFonts w:ascii="Times New Roman"/>
          <w:color w:val="383436"/>
          <w:spacing w:val="-4"/>
          <w:sz w:val="17"/>
        </w:rPr>
        <w:t>interpret</w:t>
      </w:r>
      <w:r>
        <w:rPr>
          <w:rFonts w:ascii="Times New Roman"/>
          <w:color w:val="646262"/>
          <w:spacing w:val="-4"/>
          <w:sz w:val="17"/>
        </w:rPr>
        <w:t>e</w:t>
      </w:r>
      <w:r>
        <w:rPr>
          <w:rFonts w:ascii="Times New Roman"/>
          <w:color w:val="646262"/>
          <w:spacing w:val="-10"/>
          <w:sz w:val="17"/>
        </w:rPr>
        <w:t> </w:t>
      </w:r>
      <w:r>
        <w:rPr>
          <w:rFonts w:ascii="Times New Roman"/>
          <w:color w:val="646262"/>
          <w:spacing w:val="-4"/>
          <w:sz w:val="17"/>
        </w:rPr>
        <w:t>se</w:t>
      </w:r>
      <w:r>
        <w:rPr>
          <w:rFonts w:ascii="Times New Roman"/>
          <w:color w:val="383436"/>
          <w:spacing w:val="-4"/>
          <w:sz w:val="17"/>
        </w:rPr>
        <w:t>ra</w:t>
      </w:r>
      <w:r>
        <w:rPr>
          <w:rFonts w:ascii="Times New Roman"/>
          <w:color w:val="383436"/>
          <w:spacing w:val="-17"/>
          <w:sz w:val="17"/>
        </w:rPr>
        <w:t> </w:t>
      </w:r>
      <w:r>
        <w:rPr>
          <w:rFonts w:ascii="Times New Roman"/>
          <w:color w:val="4F4D4D"/>
          <w:spacing w:val="-4"/>
          <w:sz w:val="17"/>
        </w:rPr>
        <w:t>chamado.</w:t>
      </w:r>
    </w:p>
    <w:p>
      <w:pPr>
        <w:spacing w:before="7"/>
        <w:ind w:left="225" w:right="0" w:firstLine="0"/>
        <w:jc w:val="left"/>
        <w:rPr>
          <w:rFonts w:ascii="Times New Roman"/>
          <w:sz w:val="17"/>
        </w:rPr>
      </w:pPr>
      <w:r>
        <w:rPr>
          <w:rFonts w:ascii="Times New Roman"/>
          <w:color w:val="4F4D4D"/>
          <w:w w:val="90"/>
          <w:sz w:val="17"/>
        </w:rPr>
        <w:t>A</w:t>
      </w:r>
      <w:r>
        <w:rPr>
          <w:rFonts w:ascii="Times New Roman"/>
          <w:color w:val="4F4D4D"/>
          <w:spacing w:val="3"/>
          <w:sz w:val="17"/>
        </w:rPr>
        <w:t> </w:t>
      </w:r>
      <w:r>
        <w:rPr>
          <w:rFonts w:ascii="Times New Roman"/>
          <w:color w:val="383436"/>
          <w:w w:val="90"/>
          <w:sz w:val="17"/>
        </w:rPr>
        <w:t>interpreta</w:t>
      </w:r>
      <w:r>
        <w:rPr>
          <w:rFonts w:ascii="Times New Roman"/>
          <w:color w:val="646262"/>
          <w:w w:val="90"/>
          <w:sz w:val="17"/>
        </w:rPr>
        <w:t>9ao</w:t>
      </w:r>
      <w:r>
        <w:rPr>
          <w:rFonts w:ascii="Times New Roman"/>
          <w:color w:val="646262"/>
          <w:spacing w:val="-3"/>
          <w:w w:val="90"/>
          <w:sz w:val="17"/>
        </w:rPr>
        <w:t> </w:t>
      </w:r>
      <w:r>
        <w:rPr>
          <w:rFonts w:ascii="Times New Roman"/>
          <w:color w:val="4F4D4D"/>
          <w:w w:val="90"/>
          <w:sz w:val="17"/>
        </w:rPr>
        <w:t>e</w:t>
      </w:r>
      <w:r>
        <w:rPr>
          <w:rFonts w:ascii="Times New Roman"/>
          <w:color w:val="4F4D4D"/>
          <w:spacing w:val="-1"/>
          <w:w w:val="90"/>
          <w:sz w:val="17"/>
        </w:rPr>
        <w:t> </w:t>
      </w:r>
      <w:r>
        <w:rPr>
          <w:rFonts w:ascii="Times New Roman"/>
          <w:color w:val="4F4D4D"/>
          <w:w w:val="90"/>
          <w:sz w:val="17"/>
        </w:rPr>
        <w:t>fornecida</w:t>
      </w:r>
      <w:r>
        <w:rPr>
          <w:rFonts w:ascii="Times New Roman"/>
          <w:color w:val="4F4D4D"/>
          <w:spacing w:val="15"/>
          <w:sz w:val="17"/>
        </w:rPr>
        <w:t> </w:t>
      </w:r>
      <w:r>
        <w:rPr>
          <w:rFonts w:ascii="Times New Roman"/>
          <w:color w:val="4F4D4D"/>
          <w:w w:val="90"/>
          <w:sz w:val="17"/>
        </w:rPr>
        <w:t>sem</w:t>
      </w:r>
      <w:r>
        <w:rPr>
          <w:rFonts w:ascii="Times New Roman"/>
          <w:color w:val="4F4D4D"/>
          <w:spacing w:val="12"/>
          <w:sz w:val="17"/>
        </w:rPr>
        <w:t> </w:t>
      </w:r>
      <w:r>
        <w:rPr>
          <w:rFonts w:ascii="Times New Roman"/>
          <w:color w:val="383436"/>
          <w:w w:val="90"/>
          <w:sz w:val="17"/>
        </w:rPr>
        <w:t>qualquer</w:t>
      </w:r>
      <w:r>
        <w:rPr>
          <w:rFonts w:ascii="Times New Roman"/>
          <w:color w:val="383436"/>
          <w:spacing w:val="12"/>
          <w:sz w:val="17"/>
        </w:rPr>
        <w:t> </w:t>
      </w:r>
      <w:r>
        <w:rPr>
          <w:rFonts w:ascii="Times New Roman"/>
          <w:color w:val="4F4D4D"/>
          <w:w w:val="90"/>
          <w:sz w:val="17"/>
        </w:rPr>
        <w:t>custo</w:t>
      </w:r>
      <w:r>
        <w:rPr>
          <w:rFonts w:ascii="Times New Roman"/>
          <w:color w:val="4F4D4D"/>
          <w:spacing w:val="15"/>
          <w:sz w:val="17"/>
        </w:rPr>
        <w:t> </w:t>
      </w:r>
      <w:r>
        <w:rPr>
          <w:rFonts w:ascii="Times New Roman"/>
          <w:color w:val="383436"/>
          <w:w w:val="90"/>
          <w:sz w:val="17"/>
        </w:rPr>
        <w:t>para</w:t>
      </w:r>
      <w:r>
        <w:rPr>
          <w:rFonts w:ascii="Times New Roman"/>
          <w:color w:val="383436"/>
          <w:spacing w:val="19"/>
          <w:sz w:val="17"/>
        </w:rPr>
        <w:t> </w:t>
      </w:r>
      <w:r>
        <w:rPr>
          <w:rFonts w:ascii="Times New Roman"/>
          <w:color w:val="4F4D4D"/>
          <w:spacing w:val="-2"/>
          <w:w w:val="90"/>
          <w:sz w:val="17"/>
        </w:rPr>
        <w:t>voce.</w:t>
      </w:r>
    </w:p>
    <w:p>
      <w:pPr>
        <w:pStyle w:val="BodyText"/>
        <w:spacing w:before="5"/>
        <w:rPr>
          <w:rFonts w:ascii="Times New Roman"/>
          <w:sz w:val="3"/>
        </w:rPr>
      </w:pPr>
      <w:r>
        <w:rPr/>
        <mc:AlternateContent>
          <mc:Choice Requires="wps">
            <w:drawing>
              <wp:anchor distT="0" distB="0" distL="0" distR="0" allowOverlap="1" layoutInCell="1" locked="0" behindDoc="1" simplePos="0" relativeHeight="487684096">
                <wp:simplePos x="0" y="0"/>
                <wp:positionH relativeFrom="page">
                  <wp:posOffset>3504902</wp:posOffset>
                </wp:positionH>
                <wp:positionV relativeFrom="paragraph">
                  <wp:posOffset>40737</wp:posOffset>
                </wp:positionV>
                <wp:extent cx="261620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3.207712pt;width:206pt;height:.1pt;mso-position-horizontal-relative:page;mso-position-vertical-relative:paragraph;z-index:-15632384;mso-wrap-distance-left:0;mso-wrap-distance-right:0" id="docshape305" coordorigin="5520,64" coordsize="4120,0" path="m5520,64l6163,64,7580,64,8996,64,9640,64e" filled="false" stroked="true" strokeweight=".25pt" strokecolor="#231f20">
                <v:path arrowok="t"/>
                <v:stroke dashstyle="solid"/>
                <w10:wrap type="topAndBottom"/>
              </v:shape>
            </w:pict>
          </mc:Fallback>
        </mc:AlternateContent>
      </w:r>
    </w:p>
    <w:p>
      <w:pPr>
        <w:spacing w:line="244" w:lineRule="auto" w:before="57"/>
        <w:ind w:left="229" w:right="38" w:hanging="3"/>
        <w:jc w:val="both"/>
        <w:rPr>
          <w:rFonts w:ascii="Times New Roman"/>
          <w:sz w:val="17"/>
        </w:rPr>
      </w:pPr>
      <w:r>
        <w:rPr>
          <w:rFonts w:ascii="Times New Roman"/>
          <w:b/>
          <w:color w:val="383436"/>
          <w:position w:val="2"/>
          <w:sz w:val="19"/>
        </w:rPr>
        <w:t>Portuguese</w:t>
      </w:r>
      <w:r>
        <w:rPr>
          <w:rFonts w:ascii="Times New Roman"/>
          <w:b/>
          <w:color w:val="383436"/>
          <w:spacing w:val="35"/>
          <w:position w:val="2"/>
          <w:sz w:val="19"/>
        </w:rPr>
        <w:t> </w:t>
      </w:r>
      <w:r>
        <w:rPr>
          <w:rFonts w:ascii="Times New Roman"/>
          <w:b/>
          <w:color w:val="242121"/>
          <w:position w:val="2"/>
          <w:sz w:val="19"/>
        </w:rPr>
        <w:t>Creole</w:t>
      </w:r>
      <w:r>
        <w:rPr>
          <w:rFonts w:ascii="Times New Roman"/>
          <w:b/>
          <w:color w:val="242121"/>
          <w:spacing w:val="80"/>
          <w:position w:val="2"/>
          <w:sz w:val="19"/>
        </w:rPr>
        <w:t>   </w:t>
      </w:r>
      <w:r>
        <w:rPr>
          <w:rFonts w:ascii="Times New Roman"/>
          <w:color w:val="4F4D4D"/>
          <w:position w:val="2"/>
          <w:sz w:val="19"/>
        </w:rPr>
        <w:t>Criou</w:t>
      </w:r>
      <w:r>
        <w:rPr>
          <w:rFonts w:ascii="Times New Roman"/>
          <w:color w:val="242121"/>
          <w:position w:val="2"/>
          <w:sz w:val="19"/>
        </w:rPr>
        <w:t>lo </w:t>
      </w:r>
      <w:r>
        <w:rPr>
          <w:rFonts w:ascii="Times New Roman"/>
          <w:color w:val="383436"/>
          <w:position w:val="2"/>
          <w:sz w:val="19"/>
        </w:rPr>
        <w:t>Portugues</w:t>
      </w:r>
      <w:r>
        <w:rPr>
          <w:rFonts w:ascii="Times New Roman"/>
          <w:color w:val="383436"/>
          <w:spacing w:val="40"/>
          <w:position w:val="2"/>
          <w:sz w:val="19"/>
        </w:rPr>
        <w:t> </w:t>
      </w:r>
      <w:r>
        <w:rPr>
          <w:rFonts w:ascii="Times New Roman"/>
          <w:color w:val="383436"/>
          <w:spacing w:val="-6"/>
          <w:sz w:val="19"/>
        </w:rPr>
        <w:drawing>
          <wp:inline distT="0" distB="0" distL="0" distR="0">
            <wp:extent cx="214306" cy="104139"/>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131" cstate="print"/>
                    <a:stretch>
                      <a:fillRect/>
                    </a:stretch>
                  </pic:blipFill>
                  <pic:spPr>
                    <a:xfrm>
                      <a:off x="0" y="0"/>
                      <a:ext cx="214306" cy="104139"/>
                    </a:xfrm>
                    <a:prstGeom prst="rect">
                      <a:avLst/>
                    </a:prstGeom>
                  </pic:spPr>
                </pic:pic>
              </a:graphicData>
            </a:graphic>
          </wp:inline>
        </w:drawing>
      </w:r>
      <w:r>
        <w:rPr>
          <w:rFonts w:ascii="Times New Roman"/>
          <w:color w:val="383436"/>
          <w:spacing w:val="-6"/>
          <w:sz w:val="19"/>
        </w:rPr>
      </w:r>
      <w:r>
        <w:rPr>
          <w:rFonts w:ascii="Times New Roman"/>
          <w:color w:val="383436"/>
          <w:spacing w:val="40"/>
          <w:sz w:val="19"/>
        </w:rPr>
        <w:t> </w:t>
      </w:r>
      <w:r>
        <w:rPr>
          <w:rFonts w:ascii="Times New Roman"/>
          <w:color w:val="4F4D4D"/>
          <w:w w:val="90"/>
          <w:sz w:val="17"/>
        </w:rPr>
        <w:t>Nho</w:t>
      </w:r>
      <w:r>
        <w:rPr>
          <w:rFonts w:ascii="Times New Roman"/>
          <w:color w:val="4F4D4D"/>
          <w:spacing w:val="-4"/>
          <w:w w:val="90"/>
          <w:sz w:val="17"/>
        </w:rPr>
        <w:t> </w:t>
      </w:r>
      <w:r>
        <w:rPr>
          <w:rFonts w:ascii="Times New Roman"/>
          <w:color w:val="383436"/>
          <w:w w:val="90"/>
          <w:sz w:val="17"/>
        </w:rPr>
        <w:t>pontii pa</w:t>
      </w:r>
      <w:r>
        <w:rPr>
          <w:rFonts w:ascii="Times New Roman"/>
          <w:color w:val="383436"/>
          <w:spacing w:val="-1"/>
          <w:w w:val="90"/>
          <w:sz w:val="17"/>
        </w:rPr>
        <w:t> </w:t>
      </w:r>
      <w:r>
        <w:rPr>
          <w:rFonts w:ascii="Times New Roman"/>
          <w:color w:val="383436"/>
          <w:w w:val="90"/>
          <w:sz w:val="17"/>
        </w:rPr>
        <w:t>lingu qui nho</w:t>
      </w:r>
      <w:r>
        <w:rPr>
          <w:rFonts w:ascii="Times New Roman"/>
          <w:color w:val="383436"/>
          <w:spacing w:val="-7"/>
          <w:w w:val="90"/>
          <w:sz w:val="17"/>
        </w:rPr>
        <w:t> </w:t>
      </w:r>
      <w:r>
        <w:rPr>
          <w:rFonts w:ascii="Times New Roman"/>
          <w:color w:val="383436"/>
          <w:w w:val="90"/>
          <w:sz w:val="17"/>
        </w:rPr>
        <w:t>ta papiii.</w:t>
      </w:r>
      <w:r>
        <w:rPr>
          <w:rFonts w:ascii="Times New Roman"/>
          <w:color w:val="383436"/>
          <w:spacing w:val="-2"/>
          <w:w w:val="90"/>
          <w:sz w:val="17"/>
        </w:rPr>
        <w:t> </w:t>
      </w:r>
      <w:r>
        <w:rPr>
          <w:rFonts w:ascii="Times New Roman"/>
          <w:color w:val="4F4D4D"/>
          <w:w w:val="90"/>
          <w:sz w:val="17"/>
        </w:rPr>
        <w:t>No</w:t>
      </w:r>
      <w:r>
        <w:rPr>
          <w:rFonts w:ascii="Times New Roman"/>
          <w:color w:val="4F4D4D"/>
          <w:spacing w:val="-4"/>
          <w:w w:val="90"/>
          <w:sz w:val="17"/>
        </w:rPr>
        <w:t> </w:t>
      </w:r>
      <w:r>
        <w:rPr>
          <w:rFonts w:ascii="Times New Roman"/>
          <w:color w:val="383436"/>
          <w:w w:val="90"/>
          <w:sz w:val="17"/>
        </w:rPr>
        <w:t>ta</w:t>
      </w:r>
      <w:r>
        <w:rPr>
          <w:rFonts w:ascii="Times New Roman"/>
          <w:color w:val="383436"/>
          <w:spacing w:val="-6"/>
          <w:w w:val="90"/>
          <w:sz w:val="17"/>
        </w:rPr>
        <w:t> </w:t>
      </w:r>
      <w:r>
        <w:rPr>
          <w:rFonts w:ascii="Times New Roman"/>
          <w:color w:val="4F4D4D"/>
          <w:w w:val="90"/>
          <w:sz w:val="17"/>
        </w:rPr>
        <w:t>arranja </w:t>
      </w:r>
      <w:r>
        <w:rPr>
          <w:rFonts w:ascii="Times New Roman"/>
          <w:color w:val="383436"/>
          <w:w w:val="90"/>
          <w:sz w:val="17"/>
        </w:rPr>
        <w:t>um interprete</w:t>
      </w:r>
      <w:r>
        <w:rPr>
          <w:rFonts w:ascii="Times New Roman"/>
          <w:color w:val="383436"/>
          <w:sz w:val="17"/>
        </w:rPr>
        <w:t> </w:t>
      </w:r>
      <w:r>
        <w:rPr>
          <w:rFonts w:ascii="Times New Roman"/>
          <w:color w:val="383436"/>
          <w:spacing w:val="-4"/>
          <w:sz w:val="17"/>
        </w:rPr>
        <w:t>pa</w:t>
      </w:r>
      <w:r>
        <w:rPr>
          <w:rFonts w:ascii="Times New Roman"/>
          <w:color w:val="383436"/>
          <w:spacing w:val="-7"/>
          <w:sz w:val="17"/>
        </w:rPr>
        <w:t> </w:t>
      </w:r>
      <w:r>
        <w:rPr>
          <w:rFonts w:ascii="Times New Roman"/>
          <w:color w:val="383436"/>
          <w:spacing w:val="-4"/>
          <w:sz w:val="17"/>
        </w:rPr>
        <w:t>nho.</w:t>
      </w:r>
      <w:r>
        <w:rPr>
          <w:rFonts w:ascii="Times New Roman"/>
          <w:color w:val="383436"/>
          <w:spacing w:val="8"/>
          <w:sz w:val="17"/>
        </w:rPr>
        <w:t> </w:t>
      </w:r>
      <w:r>
        <w:rPr>
          <w:rFonts w:ascii="Times New Roman"/>
          <w:color w:val="4F4D4D"/>
          <w:spacing w:val="-4"/>
          <w:sz w:val="17"/>
        </w:rPr>
        <w:t>No</w:t>
      </w:r>
      <w:r>
        <w:rPr>
          <w:rFonts w:ascii="Times New Roman"/>
          <w:color w:val="4F4D4D"/>
          <w:spacing w:val="-6"/>
          <w:sz w:val="17"/>
        </w:rPr>
        <w:t> </w:t>
      </w:r>
      <w:r>
        <w:rPr>
          <w:rFonts w:ascii="Times New Roman"/>
          <w:color w:val="383436"/>
          <w:spacing w:val="-4"/>
          <w:sz w:val="17"/>
        </w:rPr>
        <w:t>t</w:t>
      </w:r>
      <w:r>
        <w:rPr>
          <w:rFonts w:ascii="Times New Roman"/>
          <w:color w:val="646262"/>
          <w:spacing w:val="-4"/>
          <w:sz w:val="17"/>
        </w:rPr>
        <w:t>a</w:t>
      </w:r>
      <w:r>
        <w:rPr>
          <w:rFonts w:ascii="Times New Roman"/>
          <w:color w:val="646262"/>
          <w:spacing w:val="-8"/>
          <w:sz w:val="17"/>
        </w:rPr>
        <w:t> </w:t>
      </w:r>
      <w:r>
        <w:rPr>
          <w:rFonts w:ascii="Times New Roman"/>
          <w:color w:val="4F4D4D"/>
          <w:spacing w:val="-4"/>
          <w:sz w:val="17"/>
        </w:rPr>
        <w:t>rranja</w:t>
      </w:r>
      <w:r>
        <w:rPr>
          <w:rFonts w:ascii="Times New Roman"/>
          <w:color w:val="4F4D4D"/>
          <w:spacing w:val="-2"/>
          <w:sz w:val="17"/>
        </w:rPr>
        <w:t> </w:t>
      </w:r>
      <w:r>
        <w:rPr>
          <w:rFonts w:ascii="Times New Roman"/>
          <w:color w:val="383436"/>
          <w:spacing w:val="-4"/>
          <w:sz w:val="17"/>
        </w:rPr>
        <w:t>um</w:t>
      </w:r>
      <w:r>
        <w:rPr>
          <w:rFonts w:ascii="Times New Roman"/>
          <w:color w:val="383436"/>
          <w:sz w:val="17"/>
        </w:rPr>
        <w:t> </w:t>
      </w:r>
      <w:r>
        <w:rPr>
          <w:rFonts w:ascii="Times New Roman"/>
          <w:color w:val="383436"/>
          <w:spacing w:val="-4"/>
          <w:sz w:val="17"/>
        </w:rPr>
        <w:t>interprete</w:t>
      </w:r>
      <w:r>
        <w:rPr>
          <w:rFonts w:ascii="Times New Roman"/>
          <w:color w:val="383436"/>
          <w:spacing w:val="-2"/>
          <w:sz w:val="17"/>
        </w:rPr>
        <w:t> </w:t>
      </w:r>
      <w:r>
        <w:rPr>
          <w:rFonts w:ascii="Times New Roman"/>
          <w:color w:val="4F4D4D"/>
          <w:spacing w:val="-4"/>
          <w:sz w:val="17"/>
        </w:rPr>
        <w:t>e</w:t>
      </w:r>
      <w:r>
        <w:rPr>
          <w:rFonts w:ascii="Times New Roman"/>
          <w:color w:val="4F4D4D"/>
          <w:spacing w:val="-7"/>
          <w:sz w:val="17"/>
        </w:rPr>
        <w:t> </w:t>
      </w:r>
      <w:r>
        <w:rPr>
          <w:rFonts w:ascii="Times New Roman"/>
          <w:color w:val="383436"/>
          <w:spacing w:val="-4"/>
          <w:sz w:val="17"/>
        </w:rPr>
        <w:t>nho</w:t>
      </w:r>
      <w:r>
        <w:rPr>
          <w:rFonts w:ascii="Times New Roman"/>
          <w:color w:val="383436"/>
          <w:spacing w:val="-7"/>
          <w:sz w:val="17"/>
        </w:rPr>
        <w:t> </w:t>
      </w:r>
      <w:r>
        <w:rPr>
          <w:rFonts w:ascii="Times New Roman"/>
          <w:color w:val="4F4D4D"/>
          <w:spacing w:val="-4"/>
          <w:sz w:val="17"/>
        </w:rPr>
        <w:t>ca</w:t>
      </w:r>
      <w:r>
        <w:rPr>
          <w:rFonts w:ascii="Times New Roman"/>
          <w:color w:val="4F4D4D"/>
          <w:spacing w:val="-5"/>
          <w:sz w:val="17"/>
        </w:rPr>
        <w:t> </w:t>
      </w:r>
      <w:r>
        <w:rPr>
          <w:rFonts w:ascii="Times New Roman"/>
          <w:color w:val="4F4D4D"/>
          <w:spacing w:val="-4"/>
          <w:sz w:val="17"/>
        </w:rPr>
        <w:t>ta </w:t>
      </w:r>
      <w:r>
        <w:rPr>
          <w:rFonts w:ascii="Times New Roman"/>
          <w:color w:val="383436"/>
          <w:spacing w:val="-4"/>
          <w:sz w:val="17"/>
        </w:rPr>
        <w:t>pag</w:t>
      </w:r>
      <w:r>
        <w:rPr>
          <w:rFonts w:ascii="Times New Roman"/>
          <w:color w:val="646262"/>
          <w:spacing w:val="-4"/>
          <w:sz w:val="17"/>
        </w:rPr>
        <w:t>ii</w:t>
      </w:r>
      <w:r>
        <w:rPr>
          <w:rFonts w:ascii="Times New Roman"/>
          <w:color w:val="646262"/>
          <w:spacing w:val="-26"/>
          <w:sz w:val="17"/>
        </w:rPr>
        <w:t> </w:t>
      </w:r>
      <w:r>
        <w:rPr>
          <w:rFonts w:ascii="Times New Roman"/>
          <w:color w:val="383436"/>
          <w:spacing w:val="-4"/>
          <w:sz w:val="17"/>
        </w:rPr>
        <w:t>nada</w:t>
      </w:r>
      <w:r>
        <w:rPr>
          <w:rFonts w:ascii="Times New Roman"/>
          <w:color w:val="383436"/>
          <w:sz w:val="17"/>
        </w:rPr>
        <w:t> </w:t>
      </w:r>
      <w:r>
        <w:rPr>
          <w:rFonts w:ascii="Times New Roman"/>
          <w:color w:val="383436"/>
          <w:spacing w:val="-4"/>
          <w:sz w:val="17"/>
        </w:rPr>
        <w:t>pa</w:t>
      </w:r>
      <w:r>
        <w:rPr>
          <w:rFonts w:ascii="Times New Roman"/>
          <w:color w:val="383436"/>
          <w:spacing w:val="-9"/>
          <w:sz w:val="17"/>
        </w:rPr>
        <w:t> </w:t>
      </w:r>
      <w:r>
        <w:rPr>
          <w:rFonts w:ascii="Times New Roman"/>
          <w:color w:val="4F4D4D"/>
          <w:spacing w:val="-4"/>
          <w:sz w:val="17"/>
        </w:rPr>
        <w:t>el.</w:t>
      </w:r>
    </w:p>
    <w:p>
      <w:pPr>
        <w:pStyle w:val="BodyText"/>
        <w:spacing w:before="5"/>
        <w:rPr>
          <w:rFonts w:ascii="Times New Roman"/>
          <w:sz w:val="3"/>
        </w:rPr>
      </w:pPr>
    </w:p>
    <w:p>
      <w:pPr>
        <w:pStyle w:val="BodyText"/>
        <w:spacing w:line="20" w:lineRule="exact"/>
        <w:ind w:left="130" w:right="-44"/>
        <w:rPr>
          <w:rFonts w:ascii="Times New Roman"/>
          <w:sz w:val="2"/>
        </w:rPr>
      </w:pPr>
      <w:r>
        <w:rPr>
          <w:rFonts w:ascii="Times New Roman"/>
          <w:sz w:val="2"/>
        </w:rPr>
        <mc:AlternateContent>
          <mc:Choice Requires="wps">
            <w:drawing>
              <wp:inline distT="0" distB="0" distL="0" distR="0">
                <wp:extent cx="2616200" cy="3175"/>
                <wp:effectExtent l="9525" t="0" r="0" b="6350"/>
                <wp:docPr id="423" name="Group 423"/>
                <wp:cNvGraphicFramePr>
                  <a:graphicFrameLocks/>
                </wp:cNvGraphicFramePr>
                <a:graphic>
                  <a:graphicData uri="http://schemas.microsoft.com/office/word/2010/wordprocessingGroup">
                    <wpg:wgp>
                      <wpg:cNvPr id="423" name="Group 423"/>
                      <wpg:cNvGrpSpPr/>
                      <wpg:grpSpPr>
                        <a:xfrm>
                          <a:off x="0" y="0"/>
                          <a:ext cx="2616200" cy="3175"/>
                          <a:chExt cx="2616200" cy="3175"/>
                        </a:xfrm>
                      </wpg:grpSpPr>
                      <wps:wsp>
                        <wps:cNvPr id="424" name="Graphic 424"/>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06" coordorigin="0,0" coordsize="4120,5">
                <v:shape style="position:absolute;left:0;top:2;width:4120;height:2" id="docshape307"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line="180" w:lineRule="exact" w:before="7"/>
        <w:ind w:left="198" w:right="0" w:firstLine="0"/>
        <w:jc w:val="center"/>
        <w:rPr>
          <w:rFonts w:ascii="Times New Roman"/>
          <w:sz w:val="17"/>
        </w:rPr>
      </w:pPr>
      <w:r>
        <w:rPr/>
        <w:br w:type="column"/>
      </w:r>
      <w:r>
        <w:rPr>
          <w:rFonts w:ascii="Times New Roman"/>
          <w:color w:val="383436"/>
          <w:sz w:val="17"/>
        </w:rPr>
        <w:t>.1D)71n)'.)</w:t>
      </w:r>
      <w:r>
        <w:rPr>
          <w:rFonts w:ascii="Times New Roman"/>
          <w:color w:val="383436"/>
          <w:spacing w:val="22"/>
          <w:sz w:val="17"/>
        </w:rPr>
        <w:t> </w:t>
      </w:r>
      <w:r>
        <w:rPr>
          <w:rFonts w:ascii="Times New Roman"/>
          <w:color w:val="242121"/>
          <w:sz w:val="17"/>
        </w:rPr>
        <w:t>lJ</w:t>
      </w:r>
      <w:r>
        <w:rPr>
          <w:rFonts w:ascii="Times New Roman"/>
          <w:color w:val="242121"/>
          <w:spacing w:val="59"/>
          <w:w w:val="150"/>
          <w:sz w:val="17"/>
        </w:rPr>
        <w:t> </w:t>
      </w:r>
      <w:r>
        <w:rPr>
          <w:rFonts w:ascii="Times New Roman"/>
          <w:color w:val="242121"/>
          <w:sz w:val="17"/>
        </w:rPr>
        <w:t>1)'.)IJ</w:t>
      </w:r>
      <w:r>
        <w:rPr>
          <w:rFonts w:ascii="Times New Roman"/>
          <w:color w:val="242121"/>
          <w:spacing w:val="11"/>
          <w:sz w:val="17"/>
        </w:rPr>
        <w:t> </w:t>
      </w:r>
      <w:r>
        <w:rPr>
          <w:rFonts w:ascii="Times New Roman"/>
          <w:color w:val="383436"/>
          <w:sz w:val="17"/>
        </w:rPr>
        <w:t>11J</w:t>
      </w:r>
      <w:r>
        <w:rPr>
          <w:rFonts w:ascii="Times New Roman"/>
          <w:color w:val="383436"/>
          <w:spacing w:val="61"/>
          <w:w w:val="150"/>
          <w:sz w:val="17"/>
        </w:rPr>
        <w:t> </w:t>
      </w:r>
      <w:r>
        <w:rPr>
          <w:rFonts w:ascii="Times New Roman"/>
          <w:color w:val="242121"/>
          <w:sz w:val="17"/>
        </w:rPr>
        <w:t>lJ\O</w:t>
      </w:r>
      <w:r>
        <w:rPr>
          <w:rFonts w:ascii="Times New Roman"/>
          <w:color w:val="242121"/>
          <w:spacing w:val="16"/>
          <w:sz w:val="17"/>
        </w:rPr>
        <w:t> </w:t>
      </w:r>
      <w:r>
        <w:rPr>
          <w:rFonts w:ascii="Times New Roman"/>
          <w:color w:val="383436"/>
          <w:sz w:val="17"/>
        </w:rPr>
        <w:t>il9\0il</w:t>
      </w:r>
      <w:r>
        <w:rPr>
          <w:rFonts w:ascii="Times New Roman"/>
          <w:color w:val="383436"/>
          <w:spacing w:val="17"/>
          <w:w w:val="110"/>
          <w:sz w:val="17"/>
        </w:rPr>
        <w:t> </w:t>
      </w:r>
      <w:r>
        <w:rPr>
          <w:rFonts w:ascii="Times New Roman"/>
          <w:color w:val="242121"/>
          <w:w w:val="110"/>
          <w:sz w:val="17"/>
        </w:rPr>
        <w:t>lJJ)J</w:t>
      </w:r>
      <w:r>
        <w:rPr>
          <w:rFonts w:ascii="Times New Roman"/>
          <w:color w:val="242121"/>
          <w:spacing w:val="17"/>
          <w:w w:val="110"/>
          <w:sz w:val="17"/>
        </w:rPr>
        <w:t> </w:t>
      </w:r>
      <w:r>
        <w:rPr>
          <w:rFonts w:ascii="Times New Roman"/>
          <w:color w:val="383436"/>
          <w:spacing w:val="-2"/>
          <w:sz w:val="17"/>
        </w:rPr>
        <w:t>J)J)'il</w:t>
      </w:r>
    </w:p>
    <w:p>
      <w:pPr>
        <w:spacing w:line="260" w:lineRule="exact" w:before="0"/>
        <w:ind w:left="1048" w:right="0" w:firstLine="0"/>
        <w:jc w:val="left"/>
        <w:rPr>
          <w:rFonts w:ascii="Times New Roman" w:hAnsi="Times New Roman"/>
          <w:sz w:val="17"/>
        </w:rPr>
      </w:pPr>
      <w:r>
        <w:rPr>
          <w:rFonts w:ascii="Arial" w:hAnsi="Arial"/>
          <w:color w:val="4F4D4D"/>
          <w:spacing w:val="-2"/>
          <w:sz w:val="24"/>
        </w:rPr>
        <w:t>.</w:t>
      </w:r>
      <w:r>
        <w:rPr>
          <w:rFonts w:ascii="Arial" w:hAnsi="Arial"/>
          <w:color w:val="242121"/>
          <w:spacing w:val="-2"/>
          <w:sz w:val="24"/>
        </w:rPr>
        <w:t>□</w:t>
      </w:r>
      <w:r>
        <w:rPr>
          <w:rFonts w:ascii="Times New Roman" w:hAnsi="Times New Roman"/>
          <w:color w:val="242121"/>
          <w:spacing w:val="-2"/>
          <w:sz w:val="17"/>
        </w:rPr>
        <w:t>1'::lton</w:t>
      </w:r>
      <w:r>
        <w:rPr>
          <w:rFonts w:ascii="Times New Roman" w:hAnsi="Times New Roman"/>
          <w:color w:val="242121"/>
          <w:spacing w:val="36"/>
          <w:sz w:val="17"/>
        </w:rPr>
        <w:t> </w:t>
      </w:r>
      <w:r>
        <w:rPr>
          <w:rFonts w:ascii="Times New Roman" w:hAnsi="Times New Roman"/>
          <w:color w:val="383436"/>
          <w:spacing w:val="-2"/>
          <w:sz w:val="17"/>
        </w:rPr>
        <w:t>KJJ</w:t>
      </w:r>
      <w:r>
        <w:rPr>
          <w:rFonts w:ascii="Times New Roman" w:hAnsi="Times New Roman"/>
          <w:color w:val="383436"/>
          <w:spacing w:val="6"/>
          <w:sz w:val="17"/>
        </w:rPr>
        <w:t> </w:t>
      </w:r>
      <w:r>
        <w:rPr>
          <w:rFonts w:ascii="Times New Roman" w:hAnsi="Times New Roman"/>
          <w:color w:val="383436"/>
          <w:spacing w:val="-2"/>
          <w:sz w:val="17"/>
        </w:rPr>
        <w:t>1n</w:t>
      </w:r>
      <w:r>
        <w:rPr>
          <w:rFonts w:ascii="Times New Roman" w:hAnsi="Times New Roman"/>
          <w:color w:val="383436"/>
          <w:spacing w:val="-2"/>
          <w:position w:val="4"/>
          <w:sz w:val="12"/>
        </w:rPr>
        <w:t>1</w:t>
      </w:r>
      <w:r>
        <w:rPr>
          <w:rFonts w:ascii="Times New Roman" w:hAnsi="Times New Roman"/>
          <w:color w:val="383436"/>
          <w:spacing w:val="-2"/>
          <w:sz w:val="16"/>
        </w:rPr>
        <w:t>J</w:t>
      </w:r>
      <w:r>
        <w:rPr>
          <w:rFonts w:ascii="Times New Roman" w:hAnsi="Times New Roman"/>
          <w:color w:val="383436"/>
          <w:spacing w:val="-3"/>
          <w:sz w:val="16"/>
        </w:rPr>
        <w:t> </w:t>
      </w:r>
      <w:r>
        <w:rPr>
          <w:rFonts w:ascii="Times New Roman" w:hAnsi="Times New Roman"/>
          <w:color w:val="383436"/>
          <w:spacing w:val="-2"/>
          <w:sz w:val="17"/>
        </w:rPr>
        <w:t>1DnmDil</w:t>
      </w:r>
      <w:r>
        <w:rPr>
          <w:rFonts w:ascii="Times New Roman" w:hAnsi="Times New Roman"/>
          <w:color w:val="383436"/>
          <w:spacing w:val="9"/>
          <w:sz w:val="17"/>
        </w:rPr>
        <w:t> </w:t>
      </w:r>
      <w:r>
        <w:rPr>
          <w:rFonts w:ascii="Times New Roman" w:hAnsi="Times New Roman"/>
          <w:color w:val="383436"/>
          <w:spacing w:val="-2"/>
          <w:sz w:val="17"/>
        </w:rPr>
        <w:t>'::lto</w:t>
      </w:r>
      <w:r>
        <w:rPr>
          <w:rFonts w:ascii="Times New Roman" w:hAnsi="Times New Roman"/>
          <w:color w:val="383436"/>
          <w:spacing w:val="20"/>
          <w:sz w:val="17"/>
        </w:rPr>
        <w:t> </w:t>
      </w:r>
      <w:r>
        <w:rPr>
          <w:rFonts w:ascii="Times New Roman" w:hAnsi="Times New Roman"/>
          <w:color w:val="383436"/>
          <w:spacing w:val="-4"/>
          <w:sz w:val="17"/>
        </w:rPr>
        <w:t>mnto</w:t>
      </w:r>
    </w:p>
    <w:p>
      <w:pPr>
        <w:pStyle w:val="BodyText"/>
        <w:spacing w:line="20" w:lineRule="exact"/>
        <w:ind w:left="97" w:right="-72"/>
        <w:rPr>
          <w:rFonts w:ascii="Times New Roman"/>
          <w:sz w:val="2"/>
        </w:rPr>
      </w:pPr>
      <w:r>
        <w:rPr>
          <w:rFonts w:ascii="Times New Roman"/>
          <w:sz w:val="2"/>
        </w:rPr>
        <mc:AlternateContent>
          <mc:Choice Requires="wps">
            <w:drawing>
              <wp:inline distT="0" distB="0" distL="0" distR="0">
                <wp:extent cx="2616200" cy="3175"/>
                <wp:effectExtent l="9525" t="0" r="0" b="6350"/>
                <wp:docPr id="425" name="Group 425"/>
                <wp:cNvGraphicFramePr>
                  <a:graphicFrameLocks/>
                </wp:cNvGraphicFramePr>
                <a:graphic>
                  <a:graphicData uri="http://schemas.microsoft.com/office/word/2010/wordprocessingGroup">
                    <wpg:wgp>
                      <wpg:cNvPr id="425" name="Group 425"/>
                      <wpg:cNvGrpSpPr/>
                      <wpg:grpSpPr>
                        <a:xfrm>
                          <a:off x="0" y="0"/>
                          <a:ext cx="2616200" cy="3175"/>
                          <a:chExt cx="2616200" cy="3175"/>
                        </a:xfrm>
                      </wpg:grpSpPr>
                      <wps:wsp>
                        <wps:cNvPr id="426" name="Graphic 42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08" coordorigin="0,0" coordsize="4120,5">
                <v:shape style="position:absolute;left:0;top:2;width:4120;height:2" id="docshape309"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299" w:val="left" w:leader="none"/>
        </w:tabs>
        <w:spacing w:before="45"/>
        <w:ind w:left="210" w:right="0" w:firstLine="0"/>
        <w:jc w:val="left"/>
        <w:rPr>
          <w:rFonts w:ascii="Times New Roman"/>
          <w:sz w:val="13"/>
        </w:rPr>
      </w:pPr>
      <w:r>
        <w:rPr/>
        <w:drawing>
          <wp:anchor distT="0" distB="0" distL="0" distR="0" allowOverlap="1" layoutInCell="1" locked="0" behindDoc="0" simplePos="0" relativeHeight="15845888">
            <wp:simplePos x="0" y="0"/>
            <wp:positionH relativeFrom="page">
              <wp:posOffset>9053054</wp:posOffset>
            </wp:positionH>
            <wp:positionV relativeFrom="paragraph">
              <wp:posOffset>78272</wp:posOffset>
            </wp:positionV>
            <wp:extent cx="214299" cy="104139"/>
            <wp:effectExtent l="0" t="0" r="0" b="0"/>
            <wp:wrapNone/>
            <wp:docPr id="427" name="Image 427"/>
            <wp:cNvGraphicFramePr>
              <a:graphicFrameLocks/>
            </wp:cNvGraphicFramePr>
            <a:graphic>
              <a:graphicData uri="http://schemas.openxmlformats.org/drawingml/2006/picture">
                <pic:pic>
                  <pic:nvPicPr>
                    <pic:cNvPr id="427" name="Image 427"/>
                    <pic:cNvPicPr/>
                  </pic:nvPicPr>
                  <pic:blipFill>
                    <a:blip r:embed="rId132" cstate="print"/>
                    <a:stretch>
                      <a:fillRect/>
                    </a:stretch>
                  </pic:blipFill>
                  <pic:spPr>
                    <a:xfrm>
                      <a:off x="0" y="0"/>
                      <a:ext cx="214299" cy="104139"/>
                    </a:xfrm>
                    <a:prstGeom prst="rect">
                      <a:avLst/>
                    </a:prstGeom>
                  </pic:spPr>
                </pic:pic>
              </a:graphicData>
            </a:graphic>
          </wp:anchor>
        </w:drawing>
      </w:r>
      <w:r>
        <w:rPr>
          <w:rFonts w:ascii="Times New Roman"/>
          <w:b/>
          <w:color w:val="383436"/>
          <w:spacing w:val="-2"/>
          <w:w w:val="125"/>
          <w:sz w:val="19"/>
        </w:rPr>
        <w:t>Kurdish</w:t>
      </w:r>
      <w:r>
        <w:rPr>
          <w:rFonts w:ascii="Times New Roman"/>
          <w:b/>
          <w:color w:val="383436"/>
          <w:sz w:val="19"/>
        </w:rPr>
        <w:tab/>
      </w:r>
      <w:r>
        <w:rPr>
          <w:rFonts w:ascii="Times New Roman"/>
          <w:color w:val="383436"/>
          <w:spacing w:val="-2"/>
          <w:w w:val="130"/>
          <w:sz w:val="13"/>
        </w:rPr>
        <w:t>...S:i.J</w:t>
      </w:r>
    </w:p>
    <w:p>
      <w:pPr>
        <w:spacing w:before="35"/>
        <w:ind w:left="0" w:right="258" w:firstLine="0"/>
        <w:jc w:val="right"/>
        <w:rPr>
          <w:rFonts w:ascii="Times New Roman" w:hAnsi="Times New Roman"/>
          <w:sz w:val="13"/>
        </w:rPr>
      </w:pPr>
      <w:r>
        <w:rPr>
          <w:rFonts w:ascii="Times New Roman" w:hAnsi="Times New Roman"/>
          <w:color w:val="242121"/>
          <w:sz w:val="13"/>
        </w:rPr>
        <w:t>,..::,,,j_p</w:t>
      </w:r>
      <w:r>
        <w:rPr>
          <w:rFonts w:ascii="Times New Roman" w:hAnsi="Times New Roman"/>
          <w:color w:val="242121"/>
          <w:spacing w:val="14"/>
          <w:sz w:val="13"/>
        </w:rPr>
        <w:t> </w:t>
      </w:r>
      <w:r>
        <w:rPr>
          <w:rFonts w:ascii="Times New Roman" w:hAnsi="Times New Roman"/>
          <w:color w:val="383436"/>
          <w:sz w:val="13"/>
        </w:rPr>
        <w:t>o:,</w:t>
      </w:r>
      <w:r>
        <w:rPr>
          <w:rFonts w:ascii="Times New Roman" w:hAnsi="Times New Roman"/>
          <w:color w:val="383436"/>
          <w:spacing w:val="67"/>
          <w:w w:val="125"/>
          <w:sz w:val="13"/>
        </w:rPr>
        <w:t> </w:t>
      </w:r>
      <w:r>
        <w:rPr>
          <w:rFonts w:ascii="Arial" w:hAnsi="Arial"/>
          <w:color w:val="383436"/>
          <w:w w:val="125"/>
          <w:sz w:val="16"/>
        </w:rPr>
        <w:t>,S;l,</w:t>
      </w:r>
      <w:r>
        <w:rPr>
          <w:rFonts w:ascii="Arial" w:hAnsi="Arial"/>
          <w:color w:val="383436"/>
          <w:spacing w:val="-18"/>
          <w:w w:val="175"/>
          <w:sz w:val="16"/>
        </w:rPr>
        <w:t> </w:t>
      </w:r>
      <w:r>
        <w:rPr>
          <w:rFonts w:ascii="Times New Roman" w:hAnsi="Times New Roman"/>
          <w:color w:val="383436"/>
          <w:w w:val="175"/>
          <w:sz w:val="13"/>
        </w:rPr>
        <w:t>di</w:t>
      </w:r>
      <w:r>
        <w:rPr>
          <w:rFonts w:ascii="Times New Roman" w:hAnsi="Times New Roman"/>
          <w:color w:val="383436"/>
          <w:spacing w:val="27"/>
          <w:w w:val="175"/>
          <w:sz w:val="13"/>
        </w:rPr>
        <w:t> </w:t>
      </w:r>
      <w:r>
        <w:rPr>
          <w:rFonts w:ascii="Times New Roman" w:hAnsi="Times New Roman"/>
          <w:color w:val="383436"/>
          <w:w w:val="175"/>
          <w:sz w:val="13"/>
        </w:rPr>
        <w:t>J09</w:t>
      </w:r>
      <w:r>
        <w:rPr>
          <w:rFonts w:ascii="Times New Roman" w:hAnsi="Times New Roman"/>
          <w:color w:val="383436"/>
          <w:spacing w:val="9"/>
          <w:w w:val="175"/>
          <w:sz w:val="13"/>
        </w:rPr>
        <w:t> </w:t>
      </w:r>
      <w:r>
        <w:rPr>
          <w:rFonts w:ascii="Times New Roman" w:hAnsi="Times New Roman"/>
          <w:color w:val="4F4D4D"/>
          <w:sz w:val="13"/>
        </w:rPr>
        <w:t>.0</w:t>
      </w:r>
      <w:r>
        <w:rPr>
          <w:rFonts w:ascii="Times New Roman" w:hAnsi="Times New Roman"/>
          <w:color w:val="242121"/>
          <w:sz w:val="13"/>
        </w:rPr>
        <w:t>9ctS&lt;til.oj</w:t>
      </w:r>
      <w:r>
        <w:rPr>
          <w:rFonts w:ascii="Times New Roman" w:hAnsi="Times New Roman"/>
          <w:color w:val="242121"/>
          <w:spacing w:val="69"/>
          <w:w w:val="150"/>
          <w:sz w:val="13"/>
        </w:rPr>
        <w:t> </w:t>
      </w:r>
      <w:r>
        <w:rPr>
          <w:rFonts w:ascii="Times New Roman" w:hAnsi="Times New Roman"/>
          <w:color w:val="242121"/>
          <w:sz w:val="15"/>
        </w:rPr>
        <w:t>'½</w:t>
      </w:r>
      <w:r>
        <w:rPr>
          <w:rFonts w:ascii="Times New Roman" w:hAnsi="Times New Roman"/>
          <w:color w:val="242121"/>
          <w:spacing w:val="40"/>
          <w:sz w:val="15"/>
        </w:rPr>
        <w:t> </w:t>
      </w:r>
      <w:r>
        <w:rPr>
          <w:rFonts w:ascii="Times New Roman" w:hAnsi="Times New Roman"/>
          <w:color w:val="242121"/>
          <w:spacing w:val="-2"/>
          <w:sz w:val="13"/>
        </w:rPr>
        <w:t>...S.l.i0_9,!0.,/</w:t>
      </w:r>
    </w:p>
    <w:p>
      <w:pPr>
        <w:tabs>
          <w:tab w:pos="1486" w:val="left" w:leader="none"/>
        </w:tabs>
        <w:spacing w:before="57"/>
        <w:ind w:left="0" w:right="247" w:firstLine="0"/>
        <w:jc w:val="right"/>
        <w:rPr>
          <w:rFonts w:ascii="Times New Roman"/>
          <w:sz w:val="13"/>
        </w:rPr>
      </w:pPr>
      <w:r>
        <w:rPr>
          <w:rFonts w:ascii="Times New Roman"/>
          <w:i/>
          <w:color w:val="242121"/>
          <w:sz w:val="15"/>
        </w:rPr>
        <w:t>..:.S9&lt;6l.;</w:t>
      </w:r>
      <w:r>
        <w:rPr>
          <w:rFonts w:ascii="Times New Roman"/>
          <w:i/>
          <w:color w:val="242121"/>
          <w:spacing w:val="6"/>
          <w:w w:val="115"/>
          <w:sz w:val="15"/>
        </w:rPr>
        <w:t> </w:t>
      </w:r>
      <w:r>
        <w:rPr>
          <w:rFonts w:ascii="Times New Roman"/>
          <w:i/>
          <w:color w:val="383436"/>
          <w:w w:val="115"/>
          <w:sz w:val="15"/>
        </w:rPr>
        <w:t>zj9.9,!</w:t>
      </w:r>
      <w:r>
        <w:rPr>
          <w:rFonts w:ascii="Times New Roman"/>
          <w:i/>
          <w:color w:val="383436"/>
          <w:spacing w:val="33"/>
          <w:w w:val="115"/>
          <w:sz w:val="15"/>
        </w:rPr>
        <w:t> </w:t>
      </w:r>
      <w:r>
        <w:rPr>
          <w:rFonts w:ascii="Times New Roman"/>
          <w:color w:val="383436"/>
          <w:spacing w:val="-10"/>
          <w:sz w:val="13"/>
        </w:rPr>
        <w:t>o</w:t>
      </w:r>
      <w:r>
        <w:rPr>
          <w:rFonts w:ascii="Times New Roman"/>
          <w:color w:val="383436"/>
          <w:sz w:val="13"/>
        </w:rPr>
        <w:tab/>
      </w:r>
      <w:r>
        <w:rPr>
          <w:rFonts w:ascii="Times New Roman"/>
          <w:i/>
          <w:color w:val="383436"/>
          <w:w w:val="90"/>
          <w:sz w:val="15"/>
        </w:rPr>
        <w:t>_9:i</w:t>
      </w:r>
      <w:r>
        <w:rPr>
          <w:rFonts w:ascii="Times New Roman"/>
          <w:i/>
          <w:color w:val="383436"/>
          <w:spacing w:val="4"/>
          <w:sz w:val="15"/>
        </w:rPr>
        <w:t> </w:t>
      </w:r>
      <w:r>
        <w:rPr>
          <w:rFonts w:ascii="Times New Roman"/>
          <w:color w:val="383436"/>
          <w:sz w:val="13"/>
        </w:rPr>
        <w:t>Jct..u.JqJ</w:t>
      </w:r>
      <w:r>
        <w:rPr>
          <w:rFonts w:ascii="Times New Roman"/>
          <w:color w:val="383436"/>
          <w:spacing w:val="11"/>
          <w:w w:val="140"/>
          <w:sz w:val="13"/>
        </w:rPr>
        <w:t> </w:t>
      </w:r>
      <w:r>
        <w:rPr>
          <w:rFonts w:ascii="Times New Roman"/>
          <w:color w:val="383436"/>
          <w:w w:val="140"/>
          <w:sz w:val="13"/>
        </w:rPr>
        <w:t>ctSo</w:t>
      </w:r>
      <w:r>
        <w:rPr>
          <w:rFonts w:ascii="Times New Roman"/>
          <w:color w:val="383436"/>
          <w:spacing w:val="-5"/>
          <w:w w:val="140"/>
          <w:sz w:val="13"/>
        </w:rPr>
        <w:t> J09</w:t>
      </w:r>
    </w:p>
    <w:p>
      <w:pPr>
        <w:pStyle w:val="BodyText"/>
        <w:spacing w:before="5"/>
        <w:rPr>
          <w:rFonts w:ascii="Times New Roman"/>
          <w:sz w:val="4"/>
        </w:rPr>
      </w:pPr>
    </w:p>
    <w:p>
      <w:pPr>
        <w:pStyle w:val="BodyText"/>
        <w:spacing w:line="20" w:lineRule="exact"/>
        <w:ind w:left="97" w:right="-72"/>
        <w:rPr>
          <w:rFonts w:ascii="Times New Roman"/>
          <w:sz w:val="2"/>
        </w:rPr>
      </w:pPr>
      <w:r>
        <w:rPr>
          <w:rFonts w:ascii="Times New Roman"/>
          <w:sz w:val="2"/>
        </w:rPr>
        <mc:AlternateContent>
          <mc:Choice Requires="wps">
            <w:drawing>
              <wp:inline distT="0" distB="0" distL="0" distR="0">
                <wp:extent cx="2616200" cy="3175"/>
                <wp:effectExtent l="9525" t="0" r="0" b="6350"/>
                <wp:docPr id="428" name="Group 428"/>
                <wp:cNvGraphicFramePr>
                  <a:graphicFrameLocks/>
                </wp:cNvGraphicFramePr>
                <a:graphic>
                  <a:graphicData uri="http://schemas.microsoft.com/office/word/2010/wordprocessingGroup">
                    <wpg:wgp>
                      <wpg:cNvPr id="428" name="Group 428"/>
                      <wpg:cNvGrpSpPr/>
                      <wpg:grpSpPr>
                        <a:xfrm>
                          <a:off x="0" y="0"/>
                          <a:ext cx="2616200" cy="3175"/>
                          <a:chExt cx="2616200" cy="3175"/>
                        </a:xfrm>
                      </wpg:grpSpPr>
                      <wps:wsp>
                        <wps:cNvPr id="429" name="Graphic 42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10" coordorigin="0,0" coordsize="4120,5">
                <v:shape style="position:absolute;left:0;top:2;width:4120;height:2" id="docshape31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794" w:val="left" w:leader="none"/>
        </w:tabs>
        <w:spacing w:line="191" w:lineRule="exact" w:before="46"/>
        <w:ind w:left="165" w:right="0" w:firstLine="0"/>
        <w:jc w:val="center"/>
        <w:rPr>
          <w:rFonts w:ascii="Times New Roman"/>
          <w:b/>
          <w:sz w:val="19"/>
        </w:rPr>
      </w:pPr>
      <w:r>
        <w:rPr>
          <w:rFonts w:ascii="Times New Roman"/>
          <w:b/>
          <w:color w:val="242121"/>
          <w:spacing w:val="-2"/>
          <w:w w:val="110"/>
          <w:sz w:val="19"/>
        </w:rPr>
        <w:t>Pashto</w:t>
      </w:r>
      <w:r>
        <w:rPr>
          <w:rFonts w:ascii="Times New Roman"/>
          <w:b/>
          <w:color w:val="242121"/>
          <w:sz w:val="19"/>
        </w:rPr>
        <w:tab/>
      </w:r>
      <w:r>
        <w:rPr>
          <w:rFonts w:ascii="Times New Roman"/>
          <w:b/>
          <w:color w:val="242121"/>
          <w:position w:val="1"/>
          <w:sz w:val="19"/>
        </w:rPr>
        <w:drawing>
          <wp:inline distT="0" distB="0" distL="0" distR="0">
            <wp:extent cx="214299" cy="104139"/>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133" cstate="print"/>
                    <a:stretch>
                      <a:fillRect/>
                    </a:stretch>
                  </pic:blipFill>
                  <pic:spPr>
                    <a:xfrm>
                      <a:off x="0" y="0"/>
                      <a:ext cx="214299" cy="104139"/>
                    </a:xfrm>
                    <a:prstGeom prst="rect">
                      <a:avLst/>
                    </a:prstGeom>
                  </pic:spPr>
                </pic:pic>
              </a:graphicData>
            </a:graphic>
          </wp:inline>
        </w:drawing>
      </w:r>
      <w:r>
        <w:rPr>
          <w:rFonts w:ascii="Times New Roman"/>
          <w:b/>
          <w:color w:val="242121"/>
          <w:position w:val="1"/>
          <w:sz w:val="19"/>
        </w:rPr>
      </w:r>
    </w:p>
    <w:p>
      <w:pPr>
        <w:spacing w:line="203" w:lineRule="exact" w:before="0"/>
        <w:ind w:left="891" w:right="0" w:firstLine="0"/>
        <w:jc w:val="left"/>
        <w:rPr>
          <w:rFonts w:ascii="Times New Roman" w:hAnsi="Times New Roman" w:cs="Times New Roman" w:eastAsia="Times New Roman"/>
          <w:sz w:val="20"/>
          <w:szCs w:val="20"/>
        </w:rPr>
      </w:pPr>
      <w:r>
        <w:rPr>
          <w:rFonts w:ascii="Verdana" w:hAnsi="Verdana" w:cs="Verdana" w:eastAsia="Verdana"/>
          <w:i/>
          <w:iCs/>
          <w:color w:val="4F4D4D"/>
          <w:w w:val="85"/>
          <w:sz w:val="15"/>
          <w:szCs w:val="15"/>
        </w:rPr>
        <w:t>,j:,</w:t>
      </w:r>
      <w:r>
        <w:rPr>
          <w:rFonts w:ascii="Verdana" w:hAnsi="Verdana" w:cs="Verdana" w:eastAsia="Verdana"/>
          <w:i/>
          <w:iCs/>
          <w:color w:val="4F4D4D"/>
          <w:spacing w:val="-25"/>
          <w:w w:val="85"/>
          <w:sz w:val="15"/>
          <w:szCs w:val="15"/>
        </w:rPr>
        <w:t> </w:t>
      </w:r>
      <w:r>
        <w:rPr>
          <w:rFonts w:ascii="Verdana" w:hAnsi="Verdana" w:cs="Verdana" w:eastAsia="Verdana"/>
          <w:i/>
          <w:iCs/>
          <w:color w:val="383436"/>
          <w:w w:val="85"/>
          <w:sz w:val="15"/>
          <w:szCs w:val="15"/>
        </w:rPr>
        <w:t>�</w:t>
      </w:r>
      <w:r>
        <w:rPr>
          <w:rFonts w:ascii="Verdana" w:hAnsi="Verdana" w:cs="Verdana" w:eastAsia="Verdana"/>
          <w:i/>
          <w:iCs/>
          <w:color w:val="383436"/>
          <w:spacing w:val="58"/>
          <w:sz w:val="15"/>
          <w:szCs w:val="15"/>
        </w:rPr>
        <w:t> </w:t>
      </w:r>
      <w:r>
        <w:rPr>
          <w:rFonts w:ascii="Times New Roman" w:hAnsi="Times New Roman" w:cs="Times New Roman" w:eastAsia="Times New Roman"/>
          <w:color w:val="646262"/>
          <w:w w:val="85"/>
          <w:sz w:val="13"/>
          <w:szCs w:val="13"/>
        </w:rPr>
        <w:t>.J</w:t>
      </w:r>
      <w:r>
        <w:rPr>
          <w:rFonts w:ascii="Times New Roman" w:hAnsi="Times New Roman" w:cs="Times New Roman" w:eastAsia="Times New Roman"/>
          <w:color w:val="646262"/>
          <w:spacing w:val="-4"/>
          <w:sz w:val="13"/>
          <w:szCs w:val="13"/>
        </w:rPr>
        <w:t> </w:t>
      </w:r>
      <w:r>
        <w:rPr>
          <w:rFonts w:ascii="Times New Roman" w:hAnsi="Times New Roman" w:cs="Times New Roman" w:eastAsia="Times New Roman"/>
          <w:color w:val="4F4D4D"/>
          <w:w w:val="85"/>
          <w:sz w:val="14"/>
          <w:szCs w:val="14"/>
        </w:rPr>
        <w:t>I.J,.,.</w:t>
      </w:r>
      <w:r>
        <w:rPr>
          <w:rFonts w:ascii="Times New Roman" w:hAnsi="Times New Roman" w:cs="Times New Roman" w:eastAsia="Times New Roman"/>
          <w:color w:val="4F4D4D"/>
          <w:spacing w:val="-3"/>
          <w:w w:val="85"/>
          <w:sz w:val="14"/>
          <w:szCs w:val="14"/>
        </w:rPr>
        <w:t> </w:t>
      </w:r>
      <w:r>
        <w:rPr>
          <w:rFonts w:ascii="Times New Roman" w:hAnsi="Times New Roman" w:cs="Times New Roman" w:eastAsia="Times New Roman"/>
          <w:i/>
          <w:iCs/>
          <w:color w:val="383436"/>
          <w:w w:val="85"/>
          <w:sz w:val="15"/>
          <w:szCs w:val="15"/>
        </w:rPr>
        <w:t>._;-.:,.J</w:t>
      </w:r>
      <w:r>
        <w:rPr>
          <w:rFonts w:ascii="Times New Roman" w:hAnsi="Times New Roman" w:cs="Times New Roman" w:eastAsia="Times New Roman"/>
          <w:i/>
          <w:iCs/>
          <w:color w:val="7C7B7B"/>
          <w:w w:val="85"/>
          <w:sz w:val="15"/>
          <w:szCs w:val="15"/>
        </w:rPr>
        <w:t>_</w:t>
      </w:r>
      <w:r>
        <w:rPr>
          <w:rFonts w:ascii="Times New Roman" w:hAnsi="Times New Roman" w:cs="Times New Roman" w:eastAsia="Times New Roman"/>
          <w:i/>
          <w:iCs/>
          <w:color w:val="4F4D4D"/>
          <w:w w:val="85"/>
          <w:sz w:val="15"/>
          <w:szCs w:val="15"/>
        </w:rPr>
        <w:t>};j</w:t>
      </w:r>
      <w:r>
        <w:rPr>
          <w:rFonts w:ascii="Times New Roman" w:hAnsi="Times New Roman" w:cs="Times New Roman" w:eastAsia="Times New Roman"/>
          <w:i/>
          <w:iCs/>
          <w:color w:val="4F4D4D"/>
          <w:spacing w:val="12"/>
          <w:sz w:val="15"/>
          <w:szCs w:val="15"/>
        </w:rPr>
        <w:t> </w:t>
      </w:r>
      <w:r>
        <w:rPr>
          <w:rFonts w:ascii="Verdana" w:hAnsi="Verdana" w:cs="Verdana" w:eastAsia="Verdana"/>
          <w:i/>
          <w:iCs/>
          <w:color w:val="4F4D4D"/>
          <w:w w:val="85"/>
          <w:sz w:val="12"/>
          <w:szCs w:val="12"/>
        </w:rPr>
        <w:t>Y-</w:t>
      </w:r>
      <w:r>
        <w:rPr>
          <w:rFonts w:ascii="Verdana" w:hAnsi="Verdana" w:cs="Verdana" w:eastAsia="Verdana"/>
          <w:i/>
          <w:iCs/>
          <w:color w:val="4F4D4D"/>
          <w:spacing w:val="-5"/>
          <w:w w:val="85"/>
          <w:sz w:val="12"/>
          <w:szCs w:val="12"/>
        </w:rPr>
        <w:t> </w:t>
      </w:r>
      <w:r>
        <w:rPr>
          <w:rFonts w:ascii="Times New Roman" w:hAnsi="Times New Roman" w:cs="Times New Roman" w:eastAsia="Times New Roman"/>
          <w:color w:val="383436"/>
          <w:w w:val="85"/>
          <w:sz w:val="15"/>
          <w:szCs w:val="15"/>
        </w:rPr>
        <w:t>-tS</w:t>
      </w:r>
      <w:r>
        <w:rPr>
          <w:rFonts w:ascii="Times New Roman" w:hAnsi="Times New Roman" w:cs="Times New Roman" w:eastAsia="Times New Roman"/>
          <w:color w:val="646262"/>
          <w:w w:val="85"/>
          <w:sz w:val="15"/>
          <w:szCs w:val="15"/>
        </w:rPr>
        <w:t>_/..J</w:t>
      </w:r>
      <w:r>
        <w:rPr>
          <w:rFonts w:ascii="Times New Roman" w:hAnsi="Times New Roman" w:cs="Times New Roman" w:eastAsia="Times New Roman"/>
          <w:color w:val="646262"/>
          <w:spacing w:val="2"/>
          <w:sz w:val="15"/>
          <w:szCs w:val="15"/>
        </w:rPr>
        <w:t> </w:t>
      </w:r>
      <w:r>
        <w:rPr>
          <w:rFonts w:ascii="Times New Roman" w:hAnsi="Times New Roman" w:cs="Times New Roman" w:eastAsia="Times New Roman"/>
          <w:color w:val="4F4D4D"/>
          <w:w w:val="85"/>
          <w:sz w:val="15"/>
          <w:szCs w:val="15"/>
        </w:rPr>
        <w:t>o)</w:t>
      </w:r>
      <w:r>
        <w:rPr>
          <w:rFonts w:ascii="Times New Roman" w:hAnsi="Times New Roman" w:cs="Times New Roman" w:eastAsia="Times New Roman"/>
          <w:color w:val="4F4D4D"/>
          <w:spacing w:val="-4"/>
          <w:sz w:val="15"/>
          <w:szCs w:val="15"/>
        </w:rPr>
        <w:t> </w:t>
      </w:r>
      <w:r>
        <w:rPr>
          <w:rFonts w:ascii="Times New Roman" w:hAnsi="Times New Roman" w:cs="Times New Roman" w:eastAsia="Times New Roman"/>
          <w:color w:val="383436"/>
          <w:w w:val="85"/>
          <w:sz w:val="15"/>
          <w:szCs w:val="15"/>
        </w:rPr>
        <w:t>.</w:t>
      </w:r>
      <w:r>
        <w:rPr>
          <w:rFonts w:ascii="Times New Roman" w:hAnsi="Times New Roman" w:cs="Times New Roman" w:eastAsia="Times New Roman"/>
          <w:color w:val="4F4D4D"/>
          <w:w w:val="85"/>
          <w:sz w:val="14"/>
          <w:szCs w:val="14"/>
        </w:rPr>
        <w:t>.:.I</w:t>
      </w:r>
      <w:r>
        <w:rPr>
          <w:rFonts w:ascii="Times New Roman" w:hAnsi="Times New Roman" w:cs="Times New Roman" w:eastAsia="Times New Roman"/>
          <w:color w:val="4F4D4D"/>
          <w:spacing w:val="-4"/>
          <w:sz w:val="14"/>
          <w:szCs w:val="14"/>
        </w:rPr>
        <w:t> </w:t>
      </w:r>
      <w:r>
        <w:rPr>
          <w:rFonts w:ascii="Times New Roman" w:hAnsi="Times New Roman" w:cs="Times New Roman" w:eastAsia="Times New Roman"/>
          <w:color w:val="4F4D4D"/>
          <w:w w:val="85"/>
          <w:sz w:val="14"/>
          <w:szCs w:val="14"/>
        </w:rPr>
        <w:t>,_:;</w:t>
      </w:r>
      <w:r>
        <w:rPr>
          <w:rFonts w:ascii="Times New Roman" w:hAnsi="Times New Roman" w:cs="Times New Roman" w:eastAsia="Times New Roman"/>
          <w:color w:val="4F4D4D"/>
          <w:spacing w:val="-4"/>
          <w:w w:val="85"/>
          <w:sz w:val="14"/>
          <w:szCs w:val="14"/>
        </w:rPr>
        <w:t> </w:t>
      </w:r>
      <w:r>
        <w:rPr>
          <w:rFonts w:ascii="Times New Roman" w:hAnsi="Times New Roman" w:cs="Times New Roman" w:eastAsia="Times New Roman"/>
          <w:color w:val="4F4D4D"/>
          <w:w w:val="85"/>
          <w:sz w:val="20"/>
          <w:szCs w:val="20"/>
        </w:rPr>
        <w:t>c.r-</w:t>
      </w:r>
      <w:r>
        <w:rPr>
          <w:rFonts w:ascii="Times New Roman" w:hAnsi="Times New Roman" w:cs="Times New Roman" w:eastAsia="Times New Roman"/>
          <w:color w:val="4F4D4D"/>
          <w:spacing w:val="-10"/>
          <w:w w:val="85"/>
          <w:sz w:val="20"/>
          <w:szCs w:val="20"/>
        </w:rPr>
        <w:t>J</w:t>
      </w:r>
    </w:p>
    <w:p>
      <w:pPr>
        <w:tabs>
          <w:tab w:pos="300" w:val="left" w:leader="none"/>
          <w:tab w:pos="860" w:val="left" w:leader="none"/>
        </w:tabs>
        <w:spacing w:before="18"/>
        <w:ind w:left="0" w:right="253" w:firstLine="0"/>
        <w:jc w:val="right"/>
        <w:rPr>
          <w:rFonts w:ascii="Times New Roman"/>
          <w:sz w:val="15"/>
        </w:rPr>
      </w:pPr>
      <w:r>
        <w:rPr/>
        <w:drawing>
          <wp:anchor distT="0" distB="0" distL="0" distR="0" allowOverlap="1" layoutInCell="1" locked="0" behindDoc="0" simplePos="0" relativeHeight="15846400">
            <wp:simplePos x="0" y="0"/>
            <wp:positionH relativeFrom="page">
              <wp:posOffset>9053054</wp:posOffset>
            </wp:positionH>
            <wp:positionV relativeFrom="paragraph">
              <wp:posOffset>220430</wp:posOffset>
            </wp:positionV>
            <wp:extent cx="214299" cy="104139"/>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133" cstate="print"/>
                    <a:stretch>
                      <a:fillRect/>
                    </a:stretch>
                  </pic:blipFill>
                  <pic:spPr>
                    <a:xfrm>
                      <a:off x="0" y="0"/>
                      <a:ext cx="214299" cy="104139"/>
                    </a:xfrm>
                    <a:prstGeom prst="rect">
                      <a:avLst/>
                    </a:prstGeom>
                  </pic:spPr>
                </pic:pic>
              </a:graphicData>
            </a:graphic>
          </wp:anchor>
        </w:drawing>
      </w:r>
      <w:r>
        <w:rPr>
          <w:rFonts w:ascii="Times New Roman"/>
          <w:color w:val="242121"/>
          <w:spacing w:val="-10"/>
          <w:w w:val="95"/>
          <w:sz w:val="13"/>
        </w:rPr>
        <w:t>-</w:t>
      </w:r>
      <w:r>
        <w:rPr>
          <w:rFonts w:ascii="Times New Roman"/>
          <w:color w:val="242121"/>
          <w:sz w:val="13"/>
        </w:rPr>
        <w:tab/>
      </w:r>
      <w:r>
        <w:rPr>
          <w:rFonts w:ascii="Times New Roman"/>
          <w:color w:val="4F4D4D"/>
          <w:w w:val="95"/>
          <w:sz w:val="13"/>
        </w:rPr>
        <w:t>.J</w:t>
      </w:r>
      <w:r>
        <w:rPr>
          <w:rFonts w:ascii="Times New Roman"/>
          <w:color w:val="4F4D4D"/>
          <w:spacing w:val="51"/>
          <w:sz w:val="13"/>
        </w:rPr>
        <w:t>  </w:t>
      </w:r>
      <w:r>
        <w:rPr>
          <w:rFonts w:ascii="Times New Roman"/>
          <w:i/>
          <w:color w:val="4F4D4D"/>
          <w:spacing w:val="-5"/>
          <w:w w:val="95"/>
          <w:sz w:val="13"/>
        </w:rPr>
        <w:t>yly</w:t>
      </w:r>
      <w:r>
        <w:rPr>
          <w:rFonts w:ascii="Times New Roman"/>
          <w:i/>
          <w:color w:val="4F4D4D"/>
          <w:sz w:val="13"/>
        </w:rPr>
        <w:tab/>
      </w:r>
      <w:r>
        <w:rPr>
          <w:rFonts w:ascii="Arial"/>
          <w:color w:val="4F4D4D"/>
          <w:sz w:val="15"/>
        </w:rPr>
        <w:t>l,u,u</w:t>
      </w:r>
      <w:r>
        <w:rPr>
          <w:rFonts w:ascii="Arial"/>
          <w:color w:val="4F4D4D"/>
          <w:spacing w:val="-17"/>
          <w:sz w:val="15"/>
        </w:rPr>
        <w:t> </w:t>
      </w:r>
      <w:r>
        <w:rPr>
          <w:rFonts w:ascii="Times New Roman"/>
          <w:i/>
          <w:color w:val="383436"/>
          <w:sz w:val="13"/>
        </w:rPr>
        <w:t>._;-.:,3.};j</w:t>
      </w:r>
      <w:r>
        <w:rPr>
          <w:rFonts w:ascii="Times New Roman"/>
          <w:i/>
          <w:color w:val="383436"/>
          <w:spacing w:val="8"/>
          <w:sz w:val="13"/>
        </w:rPr>
        <w:t> </w:t>
      </w:r>
      <w:r>
        <w:rPr>
          <w:rFonts w:ascii="Times New Roman"/>
          <w:color w:val="4F4D4D"/>
          <w:sz w:val="13"/>
        </w:rPr>
        <w:t>,_:;</w:t>
      </w:r>
      <w:r>
        <w:rPr>
          <w:rFonts w:ascii="Times New Roman"/>
          <w:color w:val="4F4D4D"/>
          <w:spacing w:val="10"/>
          <w:sz w:val="13"/>
        </w:rPr>
        <w:t> </w:t>
      </w:r>
      <w:r>
        <w:rPr>
          <w:rFonts w:ascii="Times New Roman"/>
          <w:color w:val="4F4D4D"/>
          <w:spacing w:val="-2"/>
          <w:w w:val="95"/>
          <w:sz w:val="15"/>
        </w:rPr>
        <w:t>_,.:,1;;</w:t>
      </w:r>
    </w:p>
    <w:p>
      <w:pPr>
        <w:pStyle w:val="BodyText"/>
        <w:spacing w:before="4"/>
        <w:rPr>
          <w:rFonts w:ascii="Times New Roman"/>
          <w:sz w:val="4"/>
        </w:rPr>
      </w:pPr>
    </w:p>
    <w:p>
      <w:pPr>
        <w:pStyle w:val="BodyText"/>
        <w:spacing w:line="20" w:lineRule="exact"/>
        <w:ind w:left="97" w:right="-72"/>
        <w:rPr>
          <w:rFonts w:ascii="Times New Roman"/>
          <w:sz w:val="2"/>
        </w:rPr>
      </w:pPr>
      <w:r>
        <w:rPr>
          <w:rFonts w:ascii="Times New Roman"/>
          <w:sz w:val="2"/>
        </w:rPr>
        <mc:AlternateContent>
          <mc:Choice Requires="wps">
            <w:drawing>
              <wp:inline distT="0" distB="0" distL="0" distR="0">
                <wp:extent cx="2616200" cy="3175"/>
                <wp:effectExtent l="9525" t="0" r="0" b="6350"/>
                <wp:docPr id="432" name="Group 432"/>
                <wp:cNvGraphicFramePr>
                  <a:graphicFrameLocks/>
                </wp:cNvGraphicFramePr>
                <a:graphic>
                  <a:graphicData uri="http://schemas.microsoft.com/office/word/2010/wordprocessingGroup">
                    <wpg:wgp>
                      <wpg:cNvPr id="432" name="Group 432"/>
                      <wpg:cNvGrpSpPr/>
                      <wpg:grpSpPr>
                        <a:xfrm>
                          <a:off x="0" y="0"/>
                          <a:ext cx="2616200" cy="3175"/>
                          <a:chExt cx="2616200" cy="3175"/>
                        </a:xfrm>
                      </wpg:grpSpPr>
                      <wps:wsp>
                        <wps:cNvPr id="433" name="Graphic 433"/>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12" coordorigin="0,0" coordsize="4120,5">
                <v:shape style="position:absolute;left:0;top:2;width:4120;height:2" id="docshape313"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1487" w:val="left" w:leader="none"/>
        </w:tabs>
        <w:spacing w:line="202" w:lineRule="exact" w:before="23"/>
        <w:ind w:left="867" w:right="0" w:firstLine="0"/>
        <w:jc w:val="left"/>
        <w:rPr>
          <w:rFonts w:ascii="Courier New"/>
          <w:sz w:val="20"/>
        </w:rPr>
      </w:pPr>
      <w:r>
        <w:rPr/>
        <w:br w:type="column"/>
      </w:r>
      <w:r>
        <w:rPr>
          <w:rFonts w:ascii="Courier New"/>
          <w:color w:val="4F4D4D"/>
          <w:spacing w:val="-5"/>
          <w:w w:val="130"/>
          <w:sz w:val="20"/>
        </w:rPr>
        <w:t>4%</w:t>
      </w:r>
      <w:r>
        <w:rPr>
          <w:rFonts w:ascii="Courier New"/>
          <w:color w:val="4F4D4D"/>
          <w:sz w:val="20"/>
        </w:rPr>
        <w:tab/>
      </w:r>
      <w:r>
        <w:rPr>
          <w:rFonts w:ascii="Courier New"/>
          <w:color w:val="4F4D4D"/>
          <w:w w:val="125"/>
          <w:sz w:val="20"/>
        </w:rPr>
        <w:t>'8o-</w:t>
      </w:r>
      <w:r>
        <w:rPr>
          <w:rFonts w:ascii="Courier New"/>
          <w:color w:val="4F4D4D"/>
          <w:spacing w:val="-5"/>
          <w:w w:val="130"/>
          <w:sz w:val="20"/>
        </w:rPr>
        <w:t>]*</w:t>
      </w:r>
    </w:p>
    <w:p>
      <w:pPr>
        <w:spacing w:line="202" w:lineRule="exact" w:before="0"/>
        <w:ind w:left="205" w:right="0" w:firstLine="0"/>
        <w:jc w:val="left"/>
        <w:rPr>
          <w:rFonts w:ascii="Arial" w:hAnsi="Arial"/>
          <w:sz w:val="17"/>
        </w:rPr>
      </w:pPr>
      <w:r>
        <w:rPr>
          <w:rFonts w:ascii="Courier New" w:hAnsi="Courier New"/>
          <w:color w:val="4F4D4D"/>
          <w:w w:val="60"/>
          <w:sz w:val="20"/>
        </w:rPr>
        <w:t>'([o-]</w:t>
      </w:r>
      <w:r>
        <w:rPr>
          <w:rFonts w:ascii="Courier New" w:hAnsi="Courier New"/>
          <w:color w:val="4F4D4D"/>
          <w:spacing w:val="-13"/>
          <w:sz w:val="20"/>
        </w:rPr>
        <w:t> </w:t>
      </w:r>
      <w:r>
        <w:rPr>
          <w:rFonts w:ascii="Arial" w:hAnsi="Arial"/>
          <w:color w:val="646262"/>
          <w:w w:val="65"/>
          <w:sz w:val="16"/>
        </w:rPr>
        <w:t>QC]</w:t>
      </w:r>
      <w:r>
        <w:rPr>
          <w:rFonts w:ascii="Arial" w:hAnsi="Arial"/>
          <w:color w:val="646262"/>
          <w:spacing w:val="10"/>
          <w:sz w:val="16"/>
        </w:rPr>
        <w:t> </w:t>
      </w:r>
      <w:r>
        <w:rPr>
          <w:rFonts w:ascii="Courier New" w:hAnsi="Courier New"/>
          <w:color w:val="646262"/>
          <w:spacing w:val="22"/>
          <w:w w:val="60"/>
          <w:sz w:val="20"/>
        </w:rPr>
        <w:t>J-</w:t>
      </w:r>
      <w:r>
        <w:rPr>
          <w:rFonts w:ascii="Courier New" w:hAnsi="Courier New"/>
          <w:color w:val="383436"/>
          <w:w w:val="60"/>
          <w:sz w:val="20"/>
        </w:rPr>
        <w:t>tl]</w:t>
      </w:r>
      <w:r>
        <w:rPr>
          <w:rFonts w:ascii="Courier New" w:hAnsi="Courier New"/>
          <w:color w:val="646262"/>
          <w:w w:val="60"/>
          <w:sz w:val="20"/>
        </w:rPr>
        <w:t>.:::'::.*</w:t>
      </w:r>
      <w:r>
        <w:rPr>
          <w:rFonts w:ascii="Courier New" w:hAnsi="Courier New"/>
          <w:color w:val="646262"/>
          <w:spacing w:val="-42"/>
          <w:sz w:val="20"/>
        </w:rPr>
        <w:t> </w:t>
      </w:r>
      <w:r>
        <w:rPr>
          <w:rFonts w:ascii="Verdana" w:hAnsi="Verdana"/>
          <w:i/>
          <w:color w:val="4F4D4D"/>
          <w:w w:val="65"/>
          <w:sz w:val="15"/>
        </w:rPr>
        <w:t>1¥-R£</w:t>
      </w:r>
      <w:r>
        <w:rPr>
          <w:rFonts w:ascii="Verdana" w:hAnsi="Verdana"/>
          <w:i/>
          <w:color w:val="4F4D4D"/>
          <w:sz w:val="15"/>
        </w:rPr>
        <w:t> </w:t>
      </w:r>
      <w:r>
        <w:rPr>
          <w:rFonts w:ascii="Times New Roman" w:hAnsi="Times New Roman"/>
          <w:color w:val="4F4D4D"/>
          <w:w w:val="65"/>
          <w:sz w:val="17"/>
        </w:rPr>
        <w:t>;11]-t'-&lt;5</w:t>
      </w:r>
      <w:r>
        <w:rPr>
          <w:rFonts w:ascii="Times New Roman" w:hAnsi="Times New Roman"/>
          <w:color w:val="4F4D4D"/>
          <w:spacing w:val="31"/>
          <w:sz w:val="17"/>
        </w:rPr>
        <w:t> </w:t>
      </w:r>
      <w:r>
        <w:rPr>
          <w:rFonts w:ascii="Arial" w:hAnsi="Arial"/>
          <w:color w:val="7C7B7B"/>
          <w:w w:val="65"/>
          <w:sz w:val="17"/>
        </w:rPr>
        <w:t>E.'l:l</w:t>
      </w:r>
      <w:r>
        <w:rPr>
          <w:rFonts w:ascii="Arial" w:hAnsi="Arial"/>
          <w:color w:val="4F4D4D"/>
          <w:w w:val="65"/>
          <w:sz w:val="17"/>
        </w:rPr>
        <w:t>l-]q</w:t>
      </w:r>
      <w:r>
        <w:rPr>
          <w:rFonts w:ascii="Arial" w:hAnsi="Arial"/>
          <w:color w:val="4F4D4D"/>
          <w:sz w:val="17"/>
        </w:rPr>
        <w:t> </w:t>
      </w:r>
      <w:r>
        <w:rPr>
          <w:rFonts w:ascii="Arial" w:hAnsi="Arial"/>
          <w:color w:val="383436"/>
          <w:spacing w:val="-10"/>
          <w:w w:val="65"/>
          <w:sz w:val="17"/>
        </w:rPr>
        <w:t>.</w:t>
      </w:r>
    </w:p>
    <w:p>
      <w:pPr>
        <w:pStyle w:val="BodyText"/>
        <w:rPr>
          <w:rFonts w:ascii="Arial"/>
          <w:sz w:val="4"/>
        </w:rPr>
      </w:pPr>
    </w:p>
    <w:p>
      <w:pPr>
        <w:pStyle w:val="BodyText"/>
        <w:spacing w:line="20" w:lineRule="exact"/>
        <w:ind w:left="132"/>
        <w:rPr>
          <w:rFonts w:ascii="Arial"/>
          <w:sz w:val="2"/>
        </w:rPr>
      </w:pPr>
      <w:r>
        <w:rPr>
          <w:rFonts w:ascii="Arial"/>
          <w:sz w:val="2"/>
        </w:rPr>
        <mc:AlternateContent>
          <mc:Choice Requires="wps">
            <w:drawing>
              <wp:inline distT="0" distB="0" distL="0" distR="0">
                <wp:extent cx="2616200" cy="3175"/>
                <wp:effectExtent l="9525" t="0" r="0" b="6350"/>
                <wp:docPr id="434" name="Group 434"/>
                <wp:cNvGraphicFramePr>
                  <a:graphicFrameLocks/>
                </wp:cNvGraphicFramePr>
                <a:graphic>
                  <a:graphicData uri="http://schemas.microsoft.com/office/word/2010/wordprocessingGroup">
                    <wpg:wgp>
                      <wpg:cNvPr id="434" name="Group 434"/>
                      <wpg:cNvGrpSpPr/>
                      <wpg:grpSpPr>
                        <a:xfrm>
                          <a:off x="0" y="0"/>
                          <a:ext cx="2616200" cy="3175"/>
                          <a:chExt cx="2616200" cy="3175"/>
                        </a:xfrm>
                      </wpg:grpSpPr>
                      <wps:wsp>
                        <wps:cNvPr id="435" name="Graphic 43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14" coordorigin="0,0" coordsize="4120,5">
                <v:shape style="position:absolute;left:0;top:2;width:4120;height:2" id="docshape315" coordorigin="0,3" coordsize="4120,0" path="m0,3l644,3,2060,3,3476,3,4120,3e" filled="false" stroked="true" strokeweight=".25pt" strokecolor="#231f20">
                  <v:path arrowok="t"/>
                  <v:stroke dashstyle="solid"/>
                </v:shape>
              </v:group>
            </w:pict>
          </mc:Fallback>
        </mc:AlternateContent>
      </w:r>
      <w:r>
        <w:rPr>
          <w:rFonts w:ascii="Arial"/>
          <w:sz w:val="2"/>
        </w:rPr>
      </w:r>
    </w:p>
    <w:p>
      <w:pPr>
        <w:spacing w:before="0"/>
        <w:ind w:left="239" w:right="0" w:firstLine="0"/>
        <w:jc w:val="left"/>
        <w:rPr>
          <w:rFonts w:ascii="Times New Roman"/>
          <w:b/>
          <w:sz w:val="19"/>
        </w:rPr>
      </w:pPr>
      <w:r>
        <w:rPr/>
        <mc:AlternateContent>
          <mc:Choice Requires="wps">
            <w:drawing>
              <wp:anchor distT="0" distB="0" distL="0" distR="0" allowOverlap="1" layoutInCell="1" locked="0" behindDoc="0" simplePos="0" relativeHeight="15843328">
                <wp:simplePos x="0" y="0"/>
                <wp:positionH relativeFrom="page">
                  <wp:posOffset>11721568</wp:posOffset>
                </wp:positionH>
                <wp:positionV relativeFrom="paragraph">
                  <wp:posOffset>38995</wp:posOffset>
                </wp:positionV>
                <wp:extent cx="715010" cy="104139"/>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715010" cy="104139"/>
                          <a:chExt cx="715010" cy="104139"/>
                        </a:xfrm>
                      </wpg:grpSpPr>
                      <pic:pic>
                        <pic:nvPicPr>
                          <pic:cNvPr id="437" name="Image 437"/>
                          <pic:cNvPicPr/>
                        </pic:nvPicPr>
                        <pic:blipFill>
                          <a:blip r:embed="rId122" cstate="print"/>
                          <a:stretch>
                            <a:fillRect/>
                          </a:stretch>
                        </pic:blipFill>
                        <pic:spPr>
                          <a:xfrm>
                            <a:off x="500247" y="0"/>
                            <a:ext cx="214299" cy="104139"/>
                          </a:xfrm>
                          <a:prstGeom prst="rect">
                            <a:avLst/>
                          </a:prstGeom>
                        </pic:spPr>
                      </pic:pic>
                      <pic:pic>
                        <pic:nvPicPr>
                          <pic:cNvPr id="438" name="Image 438"/>
                          <pic:cNvPicPr/>
                        </pic:nvPicPr>
                        <pic:blipFill>
                          <a:blip r:embed="rId134" cstate="print"/>
                          <a:stretch>
                            <a:fillRect/>
                          </a:stretch>
                        </pic:blipFill>
                        <pic:spPr>
                          <a:xfrm>
                            <a:off x="0" y="15639"/>
                            <a:ext cx="463737" cy="70213"/>
                          </a:xfrm>
                          <a:prstGeom prst="rect">
                            <a:avLst/>
                          </a:prstGeom>
                        </pic:spPr>
                      </pic:pic>
                    </wpg:wgp>
                  </a:graphicData>
                </a:graphic>
              </wp:anchor>
            </w:drawing>
          </mc:Choice>
          <mc:Fallback>
            <w:pict>
              <v:group style="position:absolute;margin-left:922.95813pt;margin-top:3.070524pt;width:56.3pt;height:8.2pt;mso-position-horizontal-relative:page;mso-position-vertical-relative:paragraph;z-index:15843328" id="docshapegroup316" coordorigin="18459,61" coordsize="1126,164">
                <v:shape style="position:absolute;left:19246;top:61;width:338;height:164" type="#_x0000_t75" id="docshape317" stroked="false">
                  <v:imagedata r:id="rId122" o:title=""/>
                </v:shape>
                <v:shape style="position:absolute;left:18459;top:86;width:731;height:111" type="#_x0000_t75" id="docshape318" stroked="false">
                  <v:imagedata r:id="rId134" o:title=""/>
                </v:shape>
                <w10:wrap type="none"/>
              </v:group>
            </w:pict>
          </mc:Fallback>
        </mc:AlternateContent>
      </w:r>
      <w:r>
        <w:rPr>
          <w:rFonts w:ascii="Times New Roman"/>
          <w:b/>
          <w:color w:val="383436"/>
          <w:spacing w:val="-2"/>
          <w:w w:val="105"/>
          <w:sz w:val="19"/>
        </w:rPr>
        <w:t>Laotian</w:t>
      </w:r>
    </w:p>
    <w:p>
      <w:pPr>
        <w:spacing w:line="261" w:lineRule="auto" w:before="21"/>
        <w:ind w:left="259" w:right="324" w:firstLine="5"/>
        <w:jc w:val="left"/>
        <w:rPr>
          <w:rFonts w:ascii="Arial"/>
          <w:sz w:val="11"/>
        </w:rPr>
      </w:pPr>
      <w:r>
        <w:rPr>
          <w:rFonts w:ascii="Arial"/>
          <w:color w:val="646262"/>
          <w:w w:val="140"/>
          <w:sz w:val="11"/>
        </w:rPr>
        <w:t>tuenw"1</w:t>
      </w:r>
      <w:r>
        <w:rPr>
          <w:rFonts w:ascii="Arial"/>
          <w:color w:val="646262"/>
          <w:w w:val="140"/>
          <w:sz w:val="11"/>
        </w:rPr>
        <w:t> "1tilt</w:t>
      </w:r>
      <w:r>
        <w:rPr>
          <w:rFonts w:ascii="Arial"/>
          <w:color w:val="646262"/>
          <w:w w:val="140"/>
          <w:sz w:val="11"/>
        </w:rPr>
        <w:t> </w:t>
      </w:r>
      <w:r>
        <w:rPr>
          <w:rFonts w:ascii="Arial"/>
          <w:color w:val="646262"/>
          <w:w w:val="120"/>
          <w:sz w:val="11"/>
        </w:rPr>
        <w:t>'lt5'l</w:t>
      </w:r>
      <w:r>
        <w:rPr>
          <w:rFonts w:ascii="Times New Roman"/>
          <w:color w:val="4F4D4D"/>
          <w:w w:val="120"/>
          <w:sz w:val="18"/>
        </w:rPr>
        <w:t>'c-</w:t>
      </w:r>
      <w:r>
        <w:rPr>
          <w:rFonts w:ascii="Times New Roman"/>
          <w:color w:val="4F4D4D"/>
          <w:w w:val="110"/>
          <w:sz w:val="18"/>
        </w:rPr>
        <w:t>1</w:t>
      </w:r>
      <w:r>
        <w:rPr>
          <w:rFonts w:ascii="Times New Roman"/>
          <w:color w:val="7C7B7B"/>
          <w:w w:val="110"/>
          <w:sz w:val="18"/>
        </w:rPr>
        <w:t>.</w:t>
      </w:r>
      <w:r>
        <w:rPr>
          <w:rFonts w:ascii="Times New Roman"/>
          <w:color w:val="7C7B7B"/>
          <w:spacing w:val="-19"/>
          <w:w w:val="110"/>
          <w:sz w:val="18"/>
        </w:rPr>
        <w:t> </w:t>
      </w:r>
      <w:r>
        <w:rPr>
          <w:rFonts w:ascii="Arial"/>
          <w:color w:val="383436"/>
          <w:w w:val="120"/>
          <w:sz w:val="11"/>
        </w:rPr>
        <w:t>wom:s"l"l</w:t>
      </w:r>
      <w:r>
        <w:rPr>
          <w:rFonts w:ascii="Arial"/>
          <w:color w:val="7C7B7B"/>
          <w:w w:val="120"/>
          <w:sz w:val="11"/>
        </w:rPr>
        <w:t>te</w:t>
      </w:r>
      <w:r>
        <w:rPr>
          <w:rFonts w:ascii="Arial"/>
          <w:color w:val="4F4D4D"/>
          <w:w w:val="120"/>
          <w:sz w:val="11"/>
        </w:rPr>
        <w:t>CJ'1 lJ"le.JW"1 "1</w:t>
      </w:r>
      <w:r>
        <w:rPr>
          <w:rFonts w:ascii="Times New Roman"/>
          <w:i/>
          <w:color w:val="4F4D4D"/>
          <w:w w:val="120"/>
          <w:sz w:val="17"/>
        </w:rPr>
        <w:t>lm.</w:t>
      </w:r>
      <w:r>
        <w:rPr>
          <w:rFonts w:ascii="Times New Roman"/>
          <w:i/>
          <w:color w:val="4F4D4D"/>
          <w:w w:val="120"/>
          <w:sz w:val="17"/>
        </w:rPr>
        <w:t> </w:t>
      </w:r>
      <w:r>
        <w:rPr>
          <w:rFonts w:ascii="Arial"/>
          <w:color w:val="4F4D4D"/>
          <w:w w:val="120"/>
          <w:sz w:val="11"/>
        </w:rPr>
        <w:t>u\"1rn'.it:ie</w:t>
      </w:r>
      <w:r>
        <w:rPr>
          <w:rFonts w:ascii="Arial"/>
          <w:color w:val="4F4D4D"/>
          <w:spacing w:val="-10"/>
          <w:w w:val="120"/>
          <w:sz w:val="11"/>
        </w:rPr>
        <w:t> </w:t>
      </w:r>
      <w:r>
        <w:rPr>
          <w:rFonts w:ascii="Arial"/>
          <w:color w:val="4F4D4D"/>
          <w:w w:val="120"/>
          <w:sz w:val="11"/>
        </w:rPr>
        <w:t>t e.J</w:t>
      </w:r>
      <w:r>
        <w:rPr>
          <w:rFonts w:ascii="Arial"/>
          <w:color w:val="4F4D4D"/>
          <w:spacing w:val="-19"/>
          <w:w w:val="120"/>
          <w:sz w:val="11"/>
        </w:rPr>
        <w:t> </w:t>
      </w:r>
      <w:r>
        <w:rPr>
          <w:rFonts w:ascii="Arial"/>
          <w:color w:val="4F4D4D"/>
          <w:w w:val="120"/>
          <w:sz w:val="11"/>
        </w:rPr>
        <w:t>t'.)lJ,,;.,</w:t>
      </w:r>
      <w:r>
        <w:rPr>
          <w:rFonts w:ascii="Arial"/>
          <w:color w:val="4F4D4D"/>
          <w:spacing w:val="-5"/>
          <w:w w:val="120"/>
          <w:sz w:val="11"/>
        </w:rPr>
        <w:t> </w:t>
      </w:r>
      <w:r>
        <w:rPr>
          <w:rFonts w:ascii="Times New Roman"/>
          <w:color w:val="4F4D4D"/>
          <w:w w:val="120"/>
          <w:sz w:val="15"/>
        </w:rPr>
        <w:t>m.Jlui</w:t>
      </w:r>
      <w:r>
        <w:rPr>
          <w:rFonts w:ascii="Times New Roman"/>
          <w:color w:val="4F4D4D"/>
          <w:spacing w:val="-8"/>
          <w:w w:val="120"/>
          <w:sz w:val="15"/>
        </w:rPr>
        <w:t> </w:t>
      </w:r>
      <w:r>
        <w:rPr>
          <w:rFonts w:ascii="Arial"/>
          <w:color w:val="4F4D4D"/>
          <w:w w:val="120"/>
          <w:sz w:val="11"/>
        </w:rPr>
        <w:t>ttrilJ"le.J</w:t>
      </w:r>
      <w:r>
        <w:rPr>
          <w:rFonts w:ascii="Arial"/>
          <w:color w:val="4F4D4D"/>
          <w:spacing w:val="-12"/>
          <w:w w:val="120"/>
          <w:sz w:val="11"/>
        </w:rPr>
        <w:t> </w:t>
      </w:r>
      <w:r>
        <w:rPr>
          <w:rFonts w:ascii="Arial"/>
          <w:color w:val="4F4D4D"/>
          <w:w w:val="120"/>
          <w:sz w:val="11"/>
        </w:rPr>
        <w:t>tttJW"l "l</w:t>
      </w:r>
      <w:r>
        <w:rPr>
          <w:rFonts w:ascii="Arial"/>
          <w:color w:val="7C7B7B"/>
          <w:w w:val="120"/>
          <w:sz w:val="11"/>
        </w:rPr>
        <w:t>.</w:t>
      </w:r>
    </w:p>
    <w:p>
      <w:pPr>
        <w:pStyle w:val="BodyText"/>
        <w:spacing w:before="1"/>
        <w:rPr>
          <w:rFonts w:ascii="Arial"/>
          <w:sz w:val="4"/>
        </w:rPr>
      </w:pPr>
    </w:p>
    <w:p>
      <w:pPr>
        <w:pStyle w:val="BodyText"/>
        <w:spacing w:line="20" w:lineRule="exact"/>
        <w:ind w:left="132"/>
        <w:rPr>
          <w:rFonts w:ascii="Arial"/>
          <w:sz w:val="2"/>
        </w:rPr>
      </w:pPr>
      <w:r>
        <w:rPr>
          <w:rFonts w:ascii="Arial"/>
          <w:sz w:val="2"/>
        </w:rPr>
        <mc:AlternateContent>
          <mc:Choice Requires="wps">
            <w:drawing>
              <wp:inline distT="0" distB="0" distL="0" distR="0">
                <wp:extent cx="2616200" cy="3175"/>
                <wp:effectExtent l="9525" t="0" r="0" b="6350"/>
                <wp:docPr id="439" name="Group 439"/>
                <wp:cNvGraphicFramePr>
                  <a:graphicFrameLocks/>
                </wp:cNvGraphicFramePr>
                <a:graphic>
                  <a:graphicData uri="http://schemas.microsoft.com/office/word/2010/wordprocessingGroup">
                    <wpg:wgp>
                      <wpg:cNvPr id="439" name="Group 439"/>
                      <wpg:cNvGrpSpPr/>
                      <wpg:grpSpPr>
                        <a:xfrm>
                          <a:off x="0" y="0"/>
                          <a:ext cx="2616200" cy="3175"/>
                          <a:chExt cx="2616200" cy="3175"/>
                        </a:xfrm>
                      </wpg:grpSpPr>
                      <wps:wsp>
                        <wps:cNvPr id="440" name="Graphic 440"/>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19" coordorigin="0,0" coordsize="4120,5">
                <v:shape style="position:absolute;left:0;top:2;width:4120;height:2" id="docshape320" coordorigin="0,3" coordsize="4120,0" path="m0,3l644,3,2060,3,3476,3,4120,3e" filled="false" stroked="true" strokeweight=".25pt" strokecolor="#231f20">
                  <v:path arrowok="t"/>
                  <v:stroke dashstyle="solid"/>
                </v:shape>
              </v:group>
            </w:pict>
          </mc:Fallback>
        </mc:AlternateContent>
      </w:r>
      <w:r>
        <w:rPr>
          <w:rFonts w:ascii="Arial"/>
          <w:sz w:val="2"/>
        </w:rPr>
      </w:r>
    </w:p>
    <w:p>
      <w:pPr>
        <w:tabs>
          <w:tab w:pos="2574" w:val="left" w:leader="none"/>
        </w:tabs>
        <w:spacing w:before="25"/>
        <w:ind w:left="234" w:right="0" w:firstLine="0"/>
        <w:jc w:val="left"/>
        <w:rPr>
          <w:rFonts w:ascii="Times New Roman"/>
          <w:sz w:val="19"/>
        </w:rPr>
      </w:pPr>
      <w:r>
        <w:rPr/>
        <w:drawing>
          <wp:anchor distT="0" distB="0" distL="0" distR="0" allowOverlap="1" layoutInCell="1" locked="0" behindDoc="0" simplePos="0" relativeHeight="15843840">
            <wp:simplePos x="0" y="0"/>
            <wp:positionH relativeFrom="page">
              <wp:posOffset>12221816</wp:posOffset>
            </wp:positionH>
            <wp:positionV relativeFrom="paragraph">
              <wp:posOffset>61943</wp:posOffset>
            </wp:positionV>
            <wp:extent cx="214299" cy="104139"/>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135" cstate="print"/>
                    <a:stretch>
                      <a:fillRect/>
                    </a:stretch>
                  </pic:blipFill>
                  <pic:spPr>
                    <a:xfrm>
                      <a:off x="0" y="0"/>
                      <a:ext cx="214299" cy="104139"/>
                    </a:xfrm>
                    <a:prstGeom prst="rect">
                      <a:avLst/>
                    </a:prstGeom>
                  </pic:spPr>
                </pic:pic>
              </a:graphicData>
            </a:graphic>
          </wp:anchor>
        </w:drawing>
      </w:r>
      <w:r>
        <w:rPr>
          <w:rFonts w:ascii="Times New Roman"/>
          <w:b/>
          <w:color w:val="383436"/>
          <w:spacing w:val="-2"/>
          <w:w w:val="105"/>
          <w:sz w:val="19"/>
        </w:rPr>
        <w:t>Malay</w:t>
      </w:r>
      <w:r>
        <w:rPr>
          <w:rFonts w:ascii="Times New Roman"/>
          <w:b/>
          <w:color w:val="383436"/>
          <w:sz w:val="19"/>
        </w:rPr>
        <w:tab/>
      </w:r>
      <w:r>
        <w:rPr>
          <w:rFonts w:ascii="Times New Roman"/>
          <w:color w:val="383436"/>
          <w:w w:val="105"/>
          <w:sz w:val="19"/>
        </w:rPr>
        <w:t>Bahasa</w:t>
      </w:r>
      <w:r>
        <w:rPr>
          <w:rFonts w:ascii="Times New Roman"/>
          <w:color w:val="383436"/>
          <w:spacing w:val="-7"/>
          <w:w w:val="105"/>
          <w:sz w:val="19"/>
        </w:rPr>
        <w:t> </w:t>
      </w:r>
      <w:r>
        <w:rPr>
          <w:rFonts w:ascii="Times New Roman"/>
          <w:color w:val="383436"/>
          <w:spacing w:val="-2"/>
          <w:w w:val="105"/>
          <w:sz w:val="19"/>
        </w:rPr>
        <w:t>Melayu</w:t>
      </w:r>
    </w:p>
    <w:p>
      <w:pPr>
        <w:spacing w:before="12"/>
        <w:ind w:left="253" w:right="324" w:hanging="7"/>
        <w:jc w:val="left"/>
        <w:rPr>
          <w:rFonts w:ascii="Times New Roman"/>
          <w:sz w:val="17"/>
        </w:rPr>
      </w:pPr>
      <w:r>
        <w:rPr/>
        <w:drawing>
          <wp:anchor distT="0" distB="0" distL="0" distR="0" allowOverlap="1" layoutInCell="1" locked="0" behindDoc="0" simplePos="0" relativeHeight="15844352">
            <wp:simplePos x="0" y="0"/>
            <wp:positionH relativeFrom="page">
              <wp:posOffset>12221816</wp:posOffset>
            </wp:positionH>
            <wp:positionV relativeFrom="paragraph">
              <wp:posOffset>359196</wp:posOffset>
            </wp:positionV>
            <wp:extent cx="214299" cy="104139"/>
            <wp:effectExtent l="0" t="0" r="0" b="0"/>
            <wp:wrapNone/>
            <wp:docPr id="442" name="Image 442"/>
            <wp:cNvGraphicFramePr>
              <a:graphicFrameLocks/>
            </wp:cNvGraphicFramePr>
            <a:graphic>
              <a:graphicData uri="http://schemas.openxmlformats.org/drawingml/2006/picture">
                <pic:pic>
                  <pic:nvPicPr>
                    <pic:cNvPr id="442" name="Image 442"/>
                    <pic:cNvPicPr/>
                  </pic:nvPicPr>
                  <pic:blipFill>
                    <a:blip r:embed="rId136" cstate="print"/>
                    <a:stretch>
                      <a:fillRect/>
                    </a:stretch>
                  </pic:blipFill>
                  <pic:spPr>
                    <a:xfrm>
                      <a:off x="0" y="0"/>
                      <a:ext cx="214299" cy="104139"/>
                    </a:xfrm>
                    <a:prstGeom prst="rect">
                      <a:avLst/>
                    </a:prstGeom>
                  </pic:spPr>
                </pic:pic>
              </a:graphicData>
            </a:graphic>
          </wp:anchor>
        </w:drawing>
      </w:r>
      <w:r>
        <w:rPr>
          <w:rFonts w:ascii="Times New Roman"/>
          <w:color w:val="383436"/>
          <w:sz w:val="17"/>
        </w:rPr>
        <w:t>Tunjukkan</w:t>
      </w:r>
      <w:r>
        <w:rPr>
          <w:rFonts w:ascii="Times New Roman"/>
          <w:color w:val="383436"/>
          <w:spacing w:val="32"/>
          <w:sz w:val="17"/>
        </w:rPr>
        <w:t> </w:t>
      </w:r>
      <w:r>
        <w:rPr>
          <w:rFonts w:ascii="Times New Roman"/>
          <w:color w:val="383436"/>
          <w:sz w:val="17"/>
        </w:rPr>
        <w:t>bahasa </w:t>
      </w:r>
      <w:r>
        <w:rPr>
          <w:rFonts w:ascii="Times New Roman"/>
          <w:color w:val="4F4D4D"/>
          <w:sz w:val="17"/>
        </w:rPr>
        <w:t>anda. </w:t>
      </w:r>
      <w:r>
        <w:rPr>
          <w:rFonts w:ascii="Times New Roman"/>
          <w:color w:val="383436"/>
          <w:sz w:val="17"/>
        </w:rPr>
        <w:t>Jurubahasa </w:t>
      </w:r>
      <w:r>
        <w:rPr>
          <w:rFonts w:ascii="Times New Roman"/>
          <w:color w:val="4F4D4D"/>
          <w:sz w:val="17"/>
        </w:rPr>
        <w:t>akan </w:t>
      </w:r>
      <w:r>
        <w:rPr>
          <w:rFonts w:ascii="Times New Roman"/>
          <w:color w:val="383436"/>
          <w:sz w:val="17"/>
        </w:rPr>
        <w:t>dihubungi</w:t>
      </w:r>
      <w:r>
        <w:rPr>
          <w:rFonts w:ascii="Times New Roman"/>
          <w:color w:val="646262"/>
          <w:sz w:val="17"/>
        </w:rPr>
        <w:t>. </w:t>
      </w:r>
      <w:r>
        <w:rPr>
          <w:rFonts w:ascii="Times New Roman"/>
          <w:color w:val="383436"/>
          <w:spacing w:val="-2"/>
          <w:sz w:val="17"/>
        </w:rPr>
        <w:t>Jurubahasa</w:t>
      </w:r>
      <w:r>
        <w:rPr>
          <w:rFonts w:ascii="Times New Roman"/>
          <w:color w:val="383436"/>
          <w:spacing w:val="-5"/>
          <w:sz w:val="17"/>
        </w:rPr>
        <w:t> </w:t>
      </w:r>
      <w:r>
        <w:rPr>
          <w:rFonts w:ascii="Times New Roman"/>
          <w:color w:val="4F4D4D"/>
          <w:spacing w:val="-2"/>
          <w:sz w:val="17"/>
        </w:rPr>
        <w:t>akan</w:t>
      </w:r>
      <w:r>
        <w:rPr>
          <w:rFonts w:ascii="Times New Roman"/>
          <w:color w:val="4F4D4D"/>
          <w:spacing w:val="-6"/>
          <w:sz w:val="17"/>
        </w:rPr>
        <w:t> </w:t>
      </w:r>
      <w:r>
        <w:rPr>
          <w:rFonts w:ascii="Times New Roman"/>
          <w:color w:val="383436"/>
          <w:spacing w:val="-2"/>
          <w:sz w:val="17"/>
        </w:rPr>
        <w:t>disediakan </w:t>
      </w:r>
      <w:r>
        <w:rPr>
          <w:rFonts w:ascii="Times New Roman"/>
          <w:color w:val="4F4D4D"/>
          <w:spacing w:val="-2"/>
          <w:sz w:val="17"/>
        </w:rPr>
        <w:t>tanpa</w:t>
      </w:r>
      <w:r>
        <w:rPr>
          <w:rFonts w:ascii="Times New Roman"/>
          <w:color w:val="4F4D4D"/>
          <w:spacing w:val="-8"/>
          <w:sz w:val="17"/>
        </w:rPr>
        <w:t> </w:t>
      </w:r>
      <w:r>
        <w:rPr>
          <w:rFonts w:ascii="Times New Roman"/>
          <w:color w:val="4F4D4D"/>
          <w:spacing w:val="-2"/>
          <w:sz w:val="17"/>
        </w:rPr>
        <w:t>anda</w:t>
      </w:r>
      <w:r>
        <w:rPr>
          <w:rFonts w:ascii="Times New Roman"/>
          <w:color w:val="4F4D4D"/>
          <w:spacing w:val="-9"/>
          <w:sz w:val="17"/>
        </w:rPr>
        <w:t> </w:t>
      </w:r>
      <w:r>
        <w:rPr>
          <w:rFonts w:ascii="Times New Roman"/>
          <w:color w:val="383436"/>
          <w:spacing w:val="-2"/>
          <w:sz w:val="17"/>
        </w:rPr>
        <w:t>dikenakan</w:t>
      </w:r>
      <w:r>
        <w:rPr>
          <w:rFonts w:ascii="Times New Roman"/>
          <w:color w:val="383436"/>
          <w:spacing w:val="2"/>
          <w:sz w:val="17"/>
        </w:rPr>
        <w:t> </w:t>
      </w:r>
      <w:r>
        <w:rPr>
          <w:rFonts w:ascii="Times New Roman"/>
          <w:color w:val="383436"/>
          <w:spacing w:val="-2"/>
          <w:sz w:val="17"/>
        </w:rPr>
        <w:t>bayaran.</w:t>
      </w:r>
    </w:p>
    <w:p>
      <w:pPr>
        <w:pStyle w:val="BodyText"/>
        <w:spacing w:before="9"/>
        <w:rPr>
          <w:rFonts w:ascii="Times New Roman"/>
          <w:sz w:val="3"/>
        </w:rPr>
      </w:pPr>
    </w:p>
    <w:p>
      <w:pPr>
        <w:pStyle w:val="BodyText"/>
        <w:spacing w:line="20" w:lineRule="exact"/>
        <w:ind w:left="132"/>
        <w:rPr>
          <w:rFonts w:ascii="Times New Roman"/>
          <w:sz w:val="2"/>
        </w:rPr>
      </w:pPr>
      <w:r>
        <w:rPr>
          <w:rFonts w:ascii="Times New Roman"/>
          <w:sz w:val="2"/>
        </w:rPr>
        <mc:AlternateContent>
          <mc:Choice Requires="wps">
            <w:drawing>
              <wp:inline distT="0" distB="0" distL="0" distR="0">
                <wp:extent cx="2616200" cy="3175"/>
                <wp:effectExtent l="9525" t="0" r="0" b="6350"/>
                <wp:docPr id="443" name="Group 443"/>
                <wp:cNvGraphicFramePr>
                  <a:graphicFrameLocks/>
                </wp:cNvGraphicFramePr>
                <a:graphic>
                  <a:graphicData uri="http://schemas.microsoft.com/office/word/2010/wordprocessingGroup">
                    <wpg:wgp>
                      <wpg:cNvPr id="443" name="Group 443"/>
                      <wpg:cNvGrpSpPr/>
                      <wpg:grpSpPr>
                        <a:xfrm>
                          <a:off x="0" y="0"/>
                          <a:ext cx="2616200" cy="3175"/>
                          <a:chExt cx="2616200" cy="3175"/>
                        </a:xfrm>
                      </wpg:grpSpPr>
                      <wps:wsp>
                        <wps:cNvPr id="444" name="Graphic 444"/>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21" coordorigin="0,0" coordsize="4120,5">
                <v:shape style="position:absolute;left:0;top:2;width:4120;height:2" id="docshape322"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after="0" w:line="20" w:lineRule="exact"/>
        <w:rPr>
          <w:rFonts w:ascii="Times New Roman"/>
          <w:sz w:val="2"/>
        </w:rPr>
        <w:sectPr>
          <w:type w:val="continuous"/>
          <w:pgSz w:w="20160" w:h="12240" w:orient="landscape"/>
          <w:pgMar w:header="0" w:footer="0" w:top="1820" w:bottom="280" w:left="380" w:right="120"/>
          <w:cols w:num="4" w:equalWidth="0">
            <w:col w:w="4272" w:space="737"/>
            <w:col w:w="4274" w:space="760"/>
            <w:col w:w="4212" w:space="741"/>
            <w:col w:w="4664"/>
          </w:cols>
        </w:sectPr>
      </w:pPr>
    </w:p>
    <w:p>
      <w:pPr>
        <w:spacing w:before="20"/>
        <w:ind w:left="215" w:right="0" w:firstLine="0"/>
        <w:jc w:val="left"/>
        <w:rPr>
          <w:rFonts w:ascii="Arial" w:hAnsi="Arial"/>
          <w:sz w:val="12"/>
        </w:rPr>
      </w:pPr>
      <w:r>
        <w:rPr>
          <w:rFonts w:ascii="Arial" w:hAnsi="Arial"/>
          <w:color w:val="646262"/>
          <w:w w:val="105"/>
          <w:sz w:val="12"/>
        </w:rPr>
        <w:t>"-ffi!TGulLirruurrm®a;a;rra;</w:t>
      </w:r>
      <w:r>
        <w:rPr>
          <w:rFonts w:ascii="Arial" w:hAnsi="Arial"/>
          <w:color w:val="646262"/>
          <w:spacing w:val="6"/>
          <w:w w:val="115"/>
          <w:sz w:val="12"/>
        </w:rPr>
        <w:t> </w:t>
      </w:r>
      <w:r>
        <w:rPr>
          <w:rFonts w:ascii="Arial" w:hAnsi="Arial"/>
          <w:color w:val="4F4D4D"/>
          <w:w w:val="115"/>
          <w:sz w:val="12"/>
        </w:rPr>
        <w:t>if!il.s.ir</w:t>
      </w:r>
      <w:r>
        <w:rPr>
          <w:rFonts w:ascii="Arial" w:hAnsi="Arial"/>
          <w:color w:val="4F4D4D"/>
          <w:spacing w:val="38"/>
          <w:w w:val="115"/>
          <w:sz w:val="12"/>
        </w:rPr>
        <w:t> </w:t>
      </w:r>
      <w:r>
        <w:rPr>
          <w:rFonts w:ascii="Arial" w:hAnsi="Arial"/>
          <w:color w:val="646262"/>
          <w:w w:val="105"/>
          <w:sz w:val="12"/>
        </w:rPr>
        <w:t>Glf6ll6l.j</w:t>
      </w:r>
      <w:r>
        <w:rPr>
          <w:rFonts w:ascii="Arial" w:hAnsi="Arial"/>
          <w:color w:val="646262"/>
          <w:spacing w:val="39"/>
          <w:w w:val="115"/>
          <w:sz w:val="12"/>
        </w:rPr>
        <w:t> </w:t>
      </w:r>
      <w:r>
        <w:rPr>
          <w:rFonts w:ascii="Arial" w:hAnsi="Arial"/>
          <w:color w:val="646262"/>
          <w:w w:val="115"/>
          <w:sz w:val="12"/>
        </w:rPr>
        <w:t>GlfwlLI</w:t>
      </w:r>
      <w:r>
        <w:rPr>
          <w:rFonts w:ascii="Arial" w:hAnsi="Arial"/>
          <w:color w:val="646262"/>
          <w:spacing w:val="36"/>
          <w:w w:val="115"/>
          <w:sz w:val="12"/>
        </w:rPr>
        <w:t> </w:t>
      </w:r>
      <w:r>
        <w:rPr>
          <w:rFonts w:ascii="Arial" w:hAnsi="Arial"/>
          <w:color w:val="646262"/>
          <w:spacing w:val="-2"/>
          <w:w w:val="95"/>
          <w:sz w:val="12"/>
        </w:rPr>
        <w:t>G11irnG1JuSlruro6\J.</w:t>
      </w:r>
    </w:p>
    <w:p>
      <w:pPr>
        <w:pStyle w:val="BodyText"/>
        <w:spacing w:before="2"/>
        <w:rPr>
          <w:rFonts w:ascii="Arial"/>
          <w:sz w:val="5"/>
        </w:rPr>
      </w:pPr>
    </w:p>
    <w:p>
      <w:pPr>
        <w:pStyle w:val="BodyText"/>
        <w:spacing w:line="20" w:lineRule="exact"/>
        <w:ind w:left="140"/>
        <w:rPr>
          <w:rFonts w:ascii="Arial"/>
          <w:sz w:val="2"/>
        </w:rPr>
      </w:pPr>
      <w:r>
        <w:rPr>
          <w:rFonts w:ascii="Arial"/>
          <w:sz w:val="2"/>
        </w:rPr>
        <mc:AlternateContent>
          <mc:Choice Requires="wps">
            <w:drawing>
              <wp:inline distT="0" distB="0" distL="0" distR="0">
                <wp:extent cx="2616200" cy="3175"/>
                <wp:effectExtent l="9525" t="0" r="0" b="6350"/>
                <wp:docPr id="445" name="Group 445"/>
                <wp:cNvGraphicFramePr>
                  <a:graphicFrameLocks/>
                </wp:cNvGraphicFramePr>
                <a:graphic>
                  <a:graphicData uri="http://schemas.microsoft.com/office/word/2010/wordprocessingGroup">
                    <wpg:wgp>
                      <wpg:cNvPr id="445" name="Group 445"/>
                      <wpg:cNvGrpSpPr/>
                      <wpg:grpSpPr>
                        <a:xfrm>
                          <a:off x="0" y="0"/>
                          <a:ext cx="2616200" cy="3175"/>
                          <a:chExt cx="2616200" cy="3175"/>
                        </a:xfrm>
                      </wpg:grpSpPr>
                      <wps:wsp>
                        <wps:cNvPr id="446" name="Graphic 44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23" coordorigin="0,0" coordsize="4120,5">
                <v:shape style="position:absolute;left:0;top:2;width:4120;height:2" id="docshape324" coordorigin="0,3" coordsize="4120,0" path="m0,3l644,3,2060,3,3476,3,4120,3e" filled="false" stroked="true" strokeweight=".25pt" strokecolor="#231f20">
                  <v:path arrowok="t"/>
                  <v:stroke dashstyle="solid"/>
                </v:shape>
              </v:group>
            </w:pict>
          </mc:Fallback>
        </mc:AlternateContent>
      </w:r>
      <w:r>
        <w:rPr>
          <w:rFonts w:ascii="Arial"/>
          <w:sz w:val="2"/>
        </w:rPr>
      </w:r>
    </w:p>
    <w:p>
      <w:pPr>
        <w:spacing w:line="218" w:lineRule="exact" w:before="18"/>
        <w:ind w:left="215" w:right="0" w:firstLine="0"/>
        <w:jc w:val="left"/>
        <w:rPr>
          <w:rFonts w:ascii="Times New Roman"/>
          <w:b/>
          <w:sz w:val="19"/>
        </w:rPr>
      </w:pPr>
      <w:r>
        <w:rPr/>
        <w:br w:type="column"/>
      </w:r>
      <w:r>
        <w:rPr>
          <w:rFonts w:ascii="Times New Roman"/>
          <w:b/>
          <w:color w:val="383436"/>
          <w:spacing w:val="-2"/>
          <w:w w:val="110"/>
          <w:sz w:val="19"/>
        </w:rPr>
        <w:t>Somali</w:t>
      </w:r>
    </w:p>
    <w:p>
      <w:pPr>
        <w:spacing w:line="213" w:lineRule="exact" w:before="0"/>
        <w:ind w:left="215" w:right="0" w:firstLine="0"/>
        <w:jc w:val="left"/>
        <w:rPr>
          <w:rFonts w:ascii="Times New Roman"/>
          <w:sz w:val="19"/>
        </w:rPr>
      </w:pPr>
      <w:r>
        <w:rPr/>
        <w:br w:type="column"/>
      </w:r>
      <w:r>
        <w:rPr>
          <w:rFonts w:ascii="Times New Roman"/>
          <w:color w:val="4F4D4D"/>
          <w:w w:val="105"/>
          <w:sz w:val="19"/>
        </w:rPr>
        <w:t>Afsoornaa</w:t>
      </w:r>
      <w:r>
        <w:rPr>
          <w:rFonts w:ascii="Times New Roman"/>
          <w:color w:val="242121"/>
          <w:w w:val="105"/>
          <w:sz w:val="19"/>
        </w:rPr>
        <w:t>li</w:t>
      </w:r>
      <w:r>
        <w:rPr>
          <w:rFonts w:ascii="Times New Roman"/>
          <w:color w:val="242121"/>
          <w:spacing w:val="26"/>
          <w:w w:val="105"/>
          <w:sz w:val="19"/>
        </w:rPr>
        <w:t> </w:t>
      </w:r>
      <w:r>
        <w:rPr>
          <w:rFonts w:ascii="Times New Roman"/>
          <w:color w:val="242121"/>
          <w:spacing w:val="-14"/>
          <w:position w:val="-2"/>
          <w:sz w:val="19"/>
        </w:rPr>
        <w:drawing>
          <wp:inline distT="0" distB="0" distL="0" distR="0">
            <wp:extent cx="214306" cy="104139"/>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108" cstate="print"/>
                    <a:stretch>
                      <a:fillRect/>
                    </a:stretch>
                  </pic:blipFill>
                  <pic:spPr>
                    <a:xfrm>
                      <a:off x="0" y="0"/>
                      <a:ext cx="214306" cy="104139"/>
                    </a:xfrm>
                    <a:prstGeom prst="rect">
                      <a:avLst/>
                    </a:prstGeom>
                  </pic:spPr>
                </pic:pic>
              </a:graphicData>
            </a:graphic>
          </wp:inline>
        </w:drawing>
      </w:r>
      <w:r>
        <w:rPr>
          <w:rFonts w:ascii="Times New Roman"/>
          <w:color w:val="242121"/>
          <w:spacing w:val="-14"/>
          <w:position w:val="-2"/>
          <w:sz w:val="19"/>
        </w:rPr>
      </w:r>
    </w:p>
    <w:p>
      <w:pPr>
        <w:tabs>
          <w:tab w:pos="3223" w:val="left" w:leader="none"/>
        </w:tabs>
        <w:spacing w:line="218" w:lineRule="exact" w:before="18"/>
        <w:ind w:left="215" w:right="0" w:firstLine="0"/>
        <w:jc w:val="left"/>
        <w:rPr>
          <w:rFonts w:ascii="Times New Roman"/>
          <w:sz w:val="19"/>
        </w:rPr>
      </w:pPr>
      <w:r>
        <w:rPr/>
        <w:br w:type="column"/>
      </w:r>
      <w:r>
        <w:rPr>
          <w:rFonts w:ascii="Times New Roman"/>
          <w:b/>
          <w:color w:val="383436"/>
          <w:spacing w:val="-2"/>
          <w:position w:val="1"/>
          <w:sz w:val="19"/>
        </w:rPr>
        <w:t>Turkish</w:t>
      </w:r>
      <w:r>
        <w:rPr>
          <w:rFonts w:ascii="Times New Roman"/>
          <w:b/>
          <w:color w:val="383436"/>
          <w:position w:val="1"/>
          <w:sz w:val="19"/>
        </w:rPr>
        <w:tab/>
      </w:r>
      <w:r>
        <w:rPr>
          <w:rFonts w:ascii="Times New Roman"/>
          <w:color w:val="383436"/>
          <w:spacing w:val="-2"/>
          <w:sz w:val="19"/>
        </w:rPr>
        <w:t>Ttirkc;:e</w:t>
      </w:r>
    </w:p>
    <w:p>
      <w:pPr>
        <w:tabs>
          <w:tab w:pos="3358" w:val="left" w:leader="none"/>
        </w:tabs>
        <w:spacing w:line="218" w:lineRule="exact" w:before="0"/>
        <w:ind w:left="215" w:right="0" w:firstLine="0"/>
        <w:jc w:val="left"/>
        <w:rPr>
          <w:rFonts w:ascii="Times New Roman"/>
          <w:sz w:val="19"/>
        </w:rPr>
      </w:pPr>
      <w:r>
        <w:rPr/>
        <w:br w:type="column"/>
      </w:r>
      <w:r>
        <w:rPr>
          <w:rFonts w:ascii="Times New Roman"/>
          <w:b/>
          <w:color w:val="383436"/>
          <w:spacing w:val="-4"/>
          <w:w w:val="110"/>
          <w:sz w:val="19"/>
        </w:rPr>
        <w:t>Mien</w:t>
      </w:r>
      <w:r>
        <w:rPr>
          <w:rFonts w:ascii="Times New Roman"/>
          <w:b/>
          <w:color w:val="383436"/>
          <w:sz w:val="19"/>
        </w:rPr>
        <w:tab/>
      </w:r>
      <w:r>
        <w:rPr>
          <w:rFonts w:ascii="Times New Roman"/>
          <w:color w:val="383436"/>
          <w:spacing w:val="-4"/>
          <w:w w:val="110"/>
          <w:sz w:val="19"/>
        </w:rPr>
        <w:t>Mien</w:t>
      </w:r>
    </w:p>
    <w:p>
      <w:pPr>
        <w:spacing w:after="0" w:line="218" w:lineRule="exact"/>
        <w:jc w:val="left"/>
        <w:rPr>
          <w:rFonts w:ascii="Times New Roman"/>
          <w:sz w:val="19"/>
        </w:rPr>
        <w:sectPr>
          <w:type w:val="continuous"/>
          <w:pgSz w:w="20160" w:h="12240" w:orient="landscape"/>
          <w:pgMar w:header="0" w:footer="0" w:top="1820" w:bottom="280" w:left="380" w:right="120"/>
          <w:cols w:num="5" w:equalWidth="0">
            <w:col w:w="4341" w:space="671"/>
            <w:col w:w="859" w:space="1772"/>
            <w:col w:w="1611" w:space="786"/>
            <w:col w:w="4215" w:space="781"/>
            <w:col w:w="4624"/>
          </w:cols>
        </w:sectPr>
      </w:pPr>
    </w:p>
    <w:p>
      <w:pPr>
        <w:tabs>
          <w:tab w:pos="3305" w:val="left" w:leader="none"/>
        </w:tabs>
        <w:spacing w:before="35"/>
        <w:ind w:left="223" w:right="0" w:firstLine="0"/>
        <w:jc w:val="left"/>
        <w:rPr>
          <w:rFonts w:ascii="Verdana" w:hAnsi="Verdana" w:cs="Verdana" w:eastAsia="Verdana"/>
          <w:i/>
          <w:iCs/>
          <w:sz w:val="15"/>
          <w:szCs w:val="15"/>
        </w:rPr>
      </w:pPr>
      <w:r>
        <w:rPr>
          <w:rFonts w:ascii="Times New Roman" w:hAnsi="Times New Roman" w:cs="Times New Roman" w:eastAsia="Times New Roman"/>
          <w:b/>
          <w:bCs/>
          <w:color w:val="383436"/>
          <w:spacing w:val="-2"/>
          <w:w w:val="120"/>
          <w:sz w:val="19"/>
          <w:szCs w:val="19"/>
        </w:rPr>
        <w:t>Telugu</w:t>
      </w:r>
      <w:r>
        <w:rPr>
          <w:rFonts w:ascii="Times New Roman" w:hAnsi="Times New Roman" w:cs="Times New Roman" w:eastAsia="Times New Roman"/>
          <w:b/>
          <w:bCs/>
          <w:color w:val="383436"/>
          <w:sz w:val="19"/>
          <w:szCs w:val="19"/>
        </w:rPr>
        <w:tab/>
      </w:r>
      <w:r>
        <w:rPr>
          <w:rFonts w:ascii="Verdana" w:hAnsi="Verdana" w:cs="Verdana" w:eastAsia="Verdana"/>
          <w:i/>
          <w:iCs/>
          <w:color w:val="646262"/>
          <w:w w:val="120"/>
          <w:sz w:val="15"/>
          <w:szCs w:val="15"/>
        </w:rPr>
        <w:t>�wK)</w:t>
      </w:r>
      <w:r>
        <w:rPr>
          <w:rFonts w:ascii="Verdana" w:hAnsi="Verdana" w:cs="Verdana" w:eastAsia="Verdana"/>
          <w:i/>
          <w:iCs/>
          <w:color w:val="646262"/>
          <w:spacing w:val="-5"/>
          <w:w w:val="120"/>
          <w:sz w:val="15"/>
          <w:szCs w:val="15"/>
        </w:rPr>
        <w:t> </w:t>
      </w:r>
      <w:r>
        <w:rPr>
          <w:rFonts w:ascii="Verdana" w:hAnsi="Verdana" w:cs="Verdana" w:eastAsia="Verdana"/>
          <w:i/>
          <w:iCs/>
          <w:color w:val="646262"/>
          <w:spacing w:val="-3"/>
          <w:position w:val="-1"/>
          <w:sz w:val="15"/>
          <w:szCs w:val="15"/>
        </w:rPr>
        <w:drawing>
          <wp:inline distT="0" distB="0" distL="0" distR="0">
            <wp:extent cx="214306" cy="104139"/>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108" cstate="print"/>
                    <a:stretch>
                      <a:fillRect/>
                    </a:stretch>
                  </pic:blipFill>
                  <pic:spPr>
                    <a:xfrm>
                      <a:off x="0" y="0"/>
                      <a:ext cx="214306" cy="104139"/>
                    </a:xfrm>
                    <a:prstGeom prst="rect">
                      <a:avLst/>
                    </a:prstGeom>
                  </pic:spPr>
                </pic:pic>
              </a:graphicData>
            </a:graphic>
          </wp:inline>
        </w:drawing>
      </w:r>
      <w:r>
        <w:rPr>
          <w:rFonts w:ascii="Verdana" w:hAnsi="Verdana" w:cs="Verdana" w:eastAsia="Verdana"/>
          <w:i/>
          <w:iCs/>
          <w:color w:val="646262"/>
          <w:spacing w:val="-3"/>
          <w:position w:val="-1"/>
          <w:sz w:val="15"/>
          <w:szCs w:val="15"/>
        </w:rPr>
      </w:r>
    </w:p>
    <w:p>
      <w:pPr>
        <w:spacing w:before="16"/>
        <w:ind w:left="219" w:right="0" w:firstLine="0"/>
        <w:jc w:val="left"/>
        <w:rPr>
          <w:rFonts w:ascii="Times New Roman"/>
          <w:sz w:val="13"/>
        </w:rPr>
      </w:pPr>
      <w:r>
        <w:rPr>
          <w:rFonts w:ascii="Times New Roman"/>
          <w:color w:val="7C7B7B"/>
          <w:spacing w:val="-2"/>
          <w:w w:val="90"/>
          <w:sz w:val="15"/>
        </w:rPr>
        <w:t>hi</w:t>
      </w:r>
      <w:r>
        <w:rPr>
          <w:rFonts w:ascii="Times New Roman"/>
          <w:color w:val="7C7B7B"/>
          <w:spacing w:val="27"/>
          <w:sz w:val="15"/>
        </w:rPr>
        <w:t> </w:t>
      </w:r>
      <w:r>
        <w:rPr>
          <w:rFonts w:ascii="Times New Roman"/>
          <w:color w:val="7C7B7B"/>
          <w:spacing w:val="-2"/>
          <w:w w:val="90"/>
          <w:sz w:val="15"/>
        </w:rPr>
        <w:t>&lt;',J"</w:t>
      </w:r>
      <w:r>
        <w:rPr>
          <w:rFonts w:ascii="Times New Roman"/>
          <w:color w:val="7C7B7B"/>
          <w:spacing w:val="6"/>
          <w:sz w:val="15"/>
        </w:rPr>
        <w:t> </w:t>
      </w:r>
      <w:r>
        <w:rPr>
          <w:rFonts w:ascii="Times New Roman"/>
          <w:color w:val="7C7B7B"/>
          <w:spacing w:val="-2"/>
          <w:w w:val="90"/>
          <w:sz w:val="15"/>
        </w:rPr>
        <w:t>.:il</w:t>
      </w:r>
      <w:r>
        <w:rPr>
          <w:rFonts w:ascii="Times New Roman"/>
          <w:color w:val="7C7B7B"/>
          <w:spacing w:val="37"/>
          <w:sz w:val="15"/>
        </w:rPr>
        <w:t> </w:t>
      </w:r>
      <w:r>
        <w:rPr>
          <w:rFonts w:ascii="Times New Roman"/>
          <w:color w:val="7C7B7B"/>
          <w:spacing w:val="-2"/>
          <w:w w:val="90"/>
          <w:sz w:val="15"/>
        </w:rPr>
        <w:t>K:J5o,::Soa,</w:t>
      </w:r>
      <w:r>
        <w:rPr>
          <w:rFonts w:ascii="Times New Roman"/>
          <w:color w:val="242121"/>
          <w:spacing w:val="-2"/>
          <w:w w:val="90"/>
          <w:sz w:val="15"/>
        </w:rPr>
        <w:t>.</w:t>
      </w:r>
      <w:r>
        <w:rPr>
          <w:rFonts w:ascii="Times New Roman"/>
          <w:color w:val="242121"/>
          <w:spacing w:val="10"/>
          <w:sz w:val="15"/>
        </w:rPr>
        <w:t> </w:t>
      </w:r>
      <w:r>
        <w:rPr>
          <w:rFonts w:ascii="Times New Roman"/>
          <w:color w:val="7C7B7B"/>
          <w:spacing w:val="-2"/>
          <w:w w:val="90"/>
          <w:sz w:val="15"/>
        </w:rPr>
        <w:t>hi</w:t>
      </w:r>
      <w:r>
        <w:rPr>
          <w:rFonts w:ascii="Times New Roman"/>
          <w:color w:val="7C7B7B"/>
          <w:spacing w:val="31"/>
          <w:sz w:val="15"/>
        </w:rPr>
        <w:t>  </w:t>
      </w:r>
      <w:r>
        <w:rPr>
          <w:rFonts w:ascii="Times New Roman"/>
          <w:color w:val="646262"/>
          <w:spacing w:val="-2"/>
          <w:w w:val="90"/>
          <w:sz w:val="15"/>
        </w:rPr>
        <w:t>&lt;',J"</w:t>
      </w:r>
      <w:r>
        <w:rPr>
          <w:rFonts w:ascii="Times New Roman"/>
          <w:color w:val="646262"/>
          <w:spacing w:val="10"/>
          <w:sz w:val="15"/>
        </w:rPr>
        <w:t> </w:t>
      </w:r>
      <w:r>
        <w:rPr>
          <w:rFonts w:ascii="Times New Roman"/>
          <w:color w:val="646262"/>
          <w:spacing w:val="-2"/>
          <w:w w:val="90"/>
          <w:sz w:val="15"/>
        </w:rPr>
        <w:t>.:il;;J"65JeJ.:i</w:t>
      </w:r>
      <w:r>
        <w:rPr>
          <w:rFonts w:ascii="Times New Roman"/>
          <w:color w:val="7C7B7B"/>
          <w:spacing w:val="-2"/>
          <w:w w:val="90"/>
          <w:sz w:val="13"/>
        </w:rPr>
        <w:t>e</w:t>
      </w:r>
      <w:r>
        <w:rPr>
          <w:rFonts w:ascii="Times New Roman"/>
          <w:color w:val="646262"/>
          <w:spacing w:val="-2"/>
          <w:w w:val="90"/>
          <w:sz w:val="15"/>
        </w:rPr>
        <w:t>l</w:t>
      </w:r>
      <w:r>
        <w:rPr>
          <w:rFonts w:ascii="Times New Roman"/>
          <w:color w:val="646262"/>
          <w:spacing w:val="20"/>
          <w:sz w:val="15"/>
        </w:rPr>
        <w:t> </w:t>
      </w:r>
      <w:r>
        <w:rPr>
          <w:rFonts w:ascii="Times New Roman"/>
          <w:color w:val="7C7B7B"/>
          <w:spacing w:val="-2"/>
          <w:w w:val="90"/>
          <w:sz w:val="13"/>
        </w:rPr>
        <w:t>,ujaiei).:iJ</w:t>
      </w:r>
      <w:r>
        <w:rPr>
          <w:rFonts w:ascii="Times New Roman"/>
          <w:color w:val="242121"/>
          <w:spacing w:val="-2"/>
          <w:w w:val="90"/>
          <w:sz w:val="13"/>
        </w:rPr>
        <w:t>.</w:t>
      </w:r>
    </w:p>
    <w:p>
      <w:pPr>
        <w:spacing w:before="30"/>
        <w:ind w:left="219" w:right="0" w:firstLine="0"/>
        <w:jc w:val="left"/>
        <w:rPr>
          <w:rFonts w:ascii="Times New Roman"/>
          <w:sz w:val="13"/>
        </w:rPr>
      </w:pPr>
      <w:r>
        <w:rPr>
          <w:rFonts w:ascii="Times New Roman"/>
          <w:color w:val="7C7B7B"/>
          <w:w w:val="110"/>
          <w:sz w:val="15"/>
        </w:rPr>
        <w:t>hiSJ</w:t>
      </w:r>
      <w:r>
        <w:rPr>
          <w:rFonts w:ascii="Times New Roman"/>
          <w:color w:val="7C7B7B"/>
          <w:spacing w:val="-6"/>
          <w:w w:val="110"/>
          <w:sz w:val="15"/>
        </w:rPr>
        <w:t> </w:t>
      </w:r>
      <w:r>
        <w:rPr>
          <w:rFonts w:ascii="Times New Roman"/>
          <w:color w:val="7C7B7B"/>
          <w:w w:val="110"/>
          <w:sz w:val="15"/>
        </w:rPr>
        <w:t>Jw.;'.io</w:t>
      </w:r>
      <w:r>
        <w:rPr>
          <w:rFonts w:ascii="Times New Roman"/>
          <w:color w:val="7C7B7B"/>
          <w:spacing w:val="-3"/>
          <w:w w:val="110"/>
          <w:sz w:val="15"/>
        </w:rPr>
        <w:t> </w:t>
      </w:r>
      <w:r>
        <w:rPr>
          <w:rFonts w:ascii="Times New Roman"/>
          <w:color w:val="7C7B7B"/>
          <w:w w:val="110"/>
          <w:sz w:val="13"/>
        </w:rPr>
        <w:t>!ll6:JJ</w:t>
      </w:r>
      <w:r>
        <w:rPr>
          <w:rFonts w:ascii="Times New Roman"/>
          <w:color w:val="7C7B7B"/>
          <w:spacing w:val="4"/>
          <w:w w:val="110"/>
          <w:sz w:val="13"/>
        </w:rPr>
        <w:t> </w:t>
      </w:r>
      <w:r>
        <w:rPr>
          <w:rFonts w:ascii="Times New Roman"/>
          <w:color w:val="7C7B7B"/>
          <w:w w:val="110"/>
          <w:sz w:val="15"/>
        </w:rPr>
        <w:t>oSJot?</w:t>
      </w:r>
      <w:r>
        <w:rPr>
          <w:rFonts w:ascii="Times New Roman"/>
          <w:color w:val="7C7B7B"/>
          <w:spacing w:val="-3"/>
          <w:w w:val="110"/>
          <w:sz w:val="15"/>
        </w:rPr>
        <w:t> </w:t>
      </w:r>
      <w:r>
        <w:rPr>
          <w:rFonts w:ascii="Times New Roman"/>
          <w:color w:val="646262"/>
          <w:w w:val="110"/>
          <w:sz w:val="15"/>
        </w:rPr>
        <w:t>&lt;',J"</w:t>
      </w:r>
      <w:r>
        <w:rPr>
          <w:rFonts w:ascii="Times New Roman"/>
          <w:color w:val="646262"/>
          <w:spacing w:val="-11"/>
          <w:w w:val="110"/>
          <w:sz w:val="15"/>
        </w:rPr>
        <w:t> </w:t>
      </w:r>
      <w:r>
        <w:rPr>
          <w:rFonts w:ascii="Times New Roman"/>
          <w:color w:val="646262"/>
          <w:spacing w:val="-2"/>
          <w:w w:val="110"/>
          <w:sz w:val="15"/>
        </w:rPr>
        <w:t>.:iJ;;J"65JeJ.:i</w:t>
      </w:r>
      <w:r>
        <w:rPr>
          <w:rFonts w:ascii="Times New Roman"/>
          <w:color w:val="7C7B7B"/>
          <w:spacing w:val="-2"/>
          <w:w w:val="110"/>
          <w:sz w:val="13"/>
        </w:rPr>
        <w:t>.</w:t>
      </w:r>
      <w:r>
        <w:rPr>
          <w:rFonts w:ascii="Times New Roman"/>
          <w:color w:val="646262"/>
          <w:spacing w:val="-2"/>
          <w:w w:val="110"/>
          <w:sz w:val="15"/>
        </w:rPr>
        <w:t>l</w:t>
      </w:r>
      <w:r>
        <w:rPr>
          <w:rFonts w:ascii="Times New Roman"/>
          <w:color w:val="7C7B7B"/>
          <w:spacing w:val="-2"/>
          <w:w w:val="110"/>
          <w:sz w:val="13"/>
        </w:rPr>
        <w:t>;i&gt;SJ"OJaiei).:iJ</w:t>
      </w:r>
      <w:r>
        <w:rPr>
          <w:rFonts w:ascii="Times New Roman"/>
          <w:color w:val="383436"/>
          <w:spacing w:val="-2"/>
          <w:w w:val="110"/>
          <w:sz w:val="13"/>
        </w:rPr>
        <w:t>.</w:t>
      </w:r>
    </w:p>
    <w:p>
      <w:pPr>
        <w:pStyle w:val="BodyText"/>
        <w:spacing w:line="20" w:lineRule="exact"/>
        <w:ind w:left="140" w:right="-58"/>
        <w:rPr>
          <w:rFonts w:ascii="Times New Roman"/>
          <w:sz w:val="2"/>
        </w:rPr>
      </w:pPr>
      <w:r>
        <w:rPr>
          <w:rFonts w:ascii="Times New Roman"/>
          <w:sz w:val="2"/>
        </w:rPr>
        <mc:AlternateContent>
          <mc:Choice Requires="wps">
            <w:drawing>
              <wp:inline distT="0" distB="0" distL="0" distR="0">
                <wp:extent cx="2616200" cy="3175"/>
                <wp:effectExtent l="9525" t="0" r="0" b="6350"/>
                <wp:docPr id="449" name="Group 449"/>
                <wp:cNvGraphicFramePr>
                  <a:graphicFrameLocks/>
                </wp:cNvGraphicFramePr>
                <a:graphic>
                  <a:graphicData uri="http://schemas.microsoft.com/office/word/2010/wordprocessingGroup">
                    <wpg:wgp>
                      <wpg:cNvPr id="449" name="Group 449"/>
                      <wpg:cNvGrpSpPr/>
                      <wpg:grpSpPr>
                        <a:xfrm>
                          <a:off x="0" y="0"/>
                          <a:ext cx="2616200" cy="3175"/>
                          <a:chExt cx="2616200" cy="3175"/>
                        </a:xfrm>
                      </wpg:grpSpPr>
                      <wps:wsp>
                        <wps:cNvPr id="450" name="Graphic 450"/>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25" coordorigin="0,0" coordsize="4120,5">
                <v:shape style="position:absolute;left:0;top:2;width:4120;height:2" id="docshape32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580" w:val="left" w:leader="none"/>
        </w:tabs>
        <w:spacing w:line="216" w:lineRule="exact" w:before="72"/>
        <w:ind w:left="225" w:right="0" w:firstLine="0"/>
        <w:jc w:val="left"/>
        <w:rPr>
          <w:rFonts w:ascii="Times New Roman"/>
          <w:i/>
          <w:sz w:val="19"/>
        </w:rPr>
      </w:pPr>
      <w:r>
        <w:rPr>
          <w:rFonts w:ascii="Times New Roman"/>
          <w:b/>
          <w:color w:val="383436"/>
          <w:spacing w:val="-4"/>
          <w:w w:val="105"/>
          <w:sz w:val="19"/>
        </w:rPr>
        <w:t>Urdu</w:t>
      </w:r>
      <w:r>
        <w:rPr>
          <w:rFonts w:ascii="Times New Roman"/>
          <w:b/>
          <w:color w:val="383436"/>
          <w:sz w:val="19"/>
        </w:rPr>
        <w:tab/>
      </w:r>
      <w:r>
        <w:rPr>
          <w:rFonts w:ascii="Times New Roman"/>
          <w:i/>
          <w:color w:val="4F4D4D"/>
          <w:w w:val="105"/>
          <w:sz w:val="19"/>
        </w:rPr>
        <w:t>, )</w:t>
      </w:r>
      <w:r>
        <w:rPr>
          <w:rFonts w:ascii="Times New Roman"/>
          <w:i/>
          <w:color w:val="4F4D4D"/>
          <w:spacing w:val="80"/>
          <w:w w:val="105"/>
          <w:sz w:val="19"/>
        </w:rPr>
        <w:t> </w:t>
      </w:r>
      <w:r>
        <w:rPr>
          <w:rFonts w:ascii="Times New Roman"/>
          <w:i/>
          <w:color w:val="4F4D4D"/>
          <w:spacing w:val="1"/>
          <w:sz w:val="19"/>
        </w:rPr>
        <w:drawing>
          <wp:inline distT="0" distB="0" distL="0" distR="0">
            <wp:extent cx="214306" cy="104139"/>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09" cstate="print"/>
                    <a:stretch>
                      <a:fillRect/>
                    </a:stretch>
                  </pic:blipFill>
                  <pic:spPr>
                    <a:xfrm>
                      <a:off x="0" y="0"/>
                      <a:ext cx="214306" cy="104139"/>
                    </a:xfrm>
                    <a:prstGeom prst="rect">
                      <a:avLst/>
                    </a:prstGeom>
                  </pic:spPr>
                </pic:pic>
              </a:graphicData>
            </a:graphic>
          </wp:inline>
        </w:drawing>
      </w:r>
      <w:r>
        <w:rPr>
          <w:rFonts w:ascii="Times New Roman"/>
          <w:i/>
          <w:color w:val="4F4D4D"/>
          <w:spacing w:val="1"/>
          <w:sz w:val="19"/>
        </w:rPr>
      </w:r>
    </w:p>
    <w:p>
      <w:pPr>
        <w:spacing w:line="189" w:lineRule="exact" w:before="0"/>
        <w:ind w:left="430" w:right="0" w:firstLine="0"/>
        <w:jc w:val="left"/>
        <w:rPr>
          <w:rFonts w:ascii="Times New Roman" w:hAnsi="Times New Roman" w:cs="Times New Roman" w:eastAsia="Times New Roman"/>
          <w:sz w:val="15"/>
          <w:szCs w:val="15"/>
        </w:rPr>
      </w:pPr>
      <w:r>
        <w:rPr/>
        <mc:AlternateContent>
          <mc:Choice Requires="wps">
            <w:drawing>
              <wp:anchor distT="0" distB="0" distL="0" distR="0" allowOverlap="1" layoutInCell="1" locked="0" behindDoc="0" simplePos="0" relativeHeight="15839232">
                <wp:simplePos x="0" y="0"/>
                <wp:positionH relativeFrom="page">
                  <wp:posOffset>6680200</wp:posOffset>
                </wp:positionH>
                <wp:positionV relativeFrom="paragraph">
                  <wp:posOffset>145128</wp:posOffset>
                </wp:positionV>
                <wp:extent cx="2599690" cy="20320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2599690" cy="203200"/>
                          <a:chExt cx="2599690" cy="203200"/>
                        </a:xfrm>
                      </wpg:grpSpPr>
                      <wps:wsp>
                        <wps:cNvPr id="453" name="Graphic 453"/>
                        <wps:cNvSpPr/>
                        <wps:spPr>
                          <a:xfrm>
                            <a:off x="0" y="0"/>
                            <a:ext cx="2599690" cy="203200"/>
                          </a:xfrm>
                          <a:custGeom>
                            <a:avLst/>
                            <a:gdLst/>
                            <a:ahLst/>
                            <a:cxnLst/>
                            <a:rect l="l" t="t" r="r" b="b"/>
                            <a:pathLst>
                              <a:path w="2599690" h="203200">
                                <a:moveTo>
                                  <a:pt x="2599270" y="203200"/>
                                </a:moveTo>
                                <a:lnTo>
                                  <a:pt x="0" y="203200"/>
                                </a:lnTo>
                                <a:lnTo>
                                  <a:pt x="0" y="0"/>
                                </a:lnTo>
                                <a:lnTo>
                                  <a:pt x="2599270" y="0"/>
                                </a:lnTo>
                                <a:lnTo>
                                  <a:pt x="2599270" y="203200"/>
                                </a:lnTo>
                                <a:close/>
                              </a:path>
                            </a:pathLst>
                          </a:custGeom>
                          <a:solidFill>
                            <a:srgbClr val="231F20"/>
                          </a:solidFill>
                        </wps:spPr>
                        <wps:bodyPr wrap="square" lIns="0" tIns="0" rIns="0" bIns="0" rtlCol="0">
                          <a:prstTxWarp prst="textNoShape">
                            <a:avLst/>
                          </a:prstTxWarp>
                          <a:noAutofit/>
                        </wps:bodyPr>
                      </wps:wsp>
                      <pic:pic>
                        <pic:nvPicPr>
                          <pic:cNvPr id="454" name="Image 454"/>
                          <pic:cNvPicPr/>
                        </pic:nvPicPr>
                        <pic:blipFill>
                          <a:blip r:embed="rId137" cstate="print"/>
                          <a:stretch>
                            <a:fillRect/>
                          </a:stretch>
                        </pic:blipFill>
                        <pic:spPr>
                          <a:xfrm>
                            <a:off x="76200" y="45814"/>
                            <a:ext cx="313866" cy="97036"/>
                          </a:xfrm>
                          <a:prstGeom prst="rect">
                            <a:avLst/>
                          </a:prstGeom>
                        </pic:spPr>
                      </pic:pic>
                    </wpg:wgp>
                  </a:graphicData>
                </a:graphic>
              </wp:anchor>
            </w:drawing>
          </mc:Choice>
          <mc:Fallback>
            <w:pict>
              <v:group style="position:absolute;margin-left:526pt;margin-top:11.427463pt;width:204.7pt;height:16pt;mso-position-horizontal-relative:page;mso-position-vertical-relative:paragraph;z-index:15839232" id="docshapegroup327" coordorigin="10520,229" coordsize="4094,320">
                <v:rect style="position:absolute;left:10520;top:228;width:4094;height:320" id="docshape328" filled="true" fillcolor="#231f20" stroked="false">
                  <v:fill type="solid"/>
                </v:rect>
                <v:shape style="position:absolute;left:10640;top:300;width:495;height:153" type="#_x0000_t75" id="docshape329" stroked="false">
                  <v:imagedata r:id="rId137" o:title=""/>
                </v:shape>
                <w10:wrap type="none"/>
              </v:group>
            </w:pict>
          </mc:Fallback>
        </mc:AlternateContent>
      </w:r>
      <w:r>
        <w:rPr>
          <w:rFonts w:ascii="Arial" w:hAnsi="Arial" w:cs="Arial" w:eastAsia="Arial"/>
          <w:color w:val="4F4D4D"/>
          <w:spacing w:val="-2"/>
          <w:w w:val="159"/>
          <w:sz w:val="17"/>
          <w:szCs w:val="17"/>
        </w:rPr>
        <w:t>.:,</w:t>
      </w:r>
      <w:r>
        <w:rPr>
          <w:rFonts w:ascii="Verdana" w:hAnsi="Verdana" w:cs="Verdana" w:eastAsia="Verdana"/>
          <w:i/>
          <w:iCs/>
          <w:color w:val="4F4D4D"/>
          <w:spacing w:val="-2"/>
          <w:w w:val="159"/>
          <w:sz w:val="17"/>
          <w:szCs w:val="17"/>
        </w:rPr>
        <w:t>J'</w:t>
      </w:r>
      <w:r>
        <w:rPr>
          <w:rFonts w:ascii="Verdana" w:hAnsi="Verdana" w:cs="Verdana" w:eastAsia="Verdana"/>
          <w:i/>
          <w:iCs/>
          <w:color w:val="4F4D4D"/>
          <w:spacing w:val="-28"/>
          <w:w w:val="159"/>
          <w:sz w:val="17"/>
          <w:szCs w:val="17"/>
        </w:rPr>
        <w:t> </w:t>
      </w:r>
      <w:r>
        <w:rPr>
          <w:rFonts w:ascii="Verdana" w:hAnsi="Verdana" w:cs="Verdana" w:eastAsia="Verdana"/>
          <w:i/>
          <w:iCs/>
          <w:color w:val="4F4D4D"/>
          <w:spacing w:val="-2"/>
          <w:sz w:val="17"/>
          <w:szCs w:val="17"/>
        </w:rPr>
        <w:t>��</w:t>
      </w:r>
      <w:r>
        <w:rPr>
          <w:rFonts w:ascii="Verdana" w:hAnsi="Verdana" w:cs="Verdana" w:eastAsia="Verdana"/>
          <w:i/>
          <w:iCs/>
          <w:color w:val="4F4D4D"/>
          <w:spacing w:val="-26"/>
          <w:sz w:val="17"/>
          <w:szCs w:val="17"/>
        </w:rPr>
        <w:t> </w:t>
      </w:r>
      <w:r>
        <w:rPr>
          <w:rFonts w:ascii="Arial" w:hAnsi="Arial" w:cs="Arial" w:eastAsia="Arial"/>
          <w:color w:val="4F4D4D"/>
          <w:spacing w:val="-2"/>
          <w:sz w:val="14"/>
          <w:szCs w:val="14"/>
        </w:rPr>
        <w:t>l;.)(;</w:t>
      </w:r>
      <w:r>
        <w:rPr>
          <w:rFonts w:ascii="Arial" w:hAnsi="Arial" w:cs="Arial" w:eastAsia="Arial"/>
          <w:color w:val="4F4D4D"/>
          <w:spacing w:val="-15"/>
          <w:sz w:val="14"/>
          <w:szCs w:val="14"/>
        </w:rPr>
        <w:t> </w:t>
      </w:r>
      <w:r>
        <w:rPr>
          <w:rFonts w:ascii="Arial" w:hAnsi="Arial" w:cs="Arial" w:eastAsia="Arial"/>
          <w:color w:val="4F4D4D"/>
          <w:spacing w:val="-1"/>
          <w:w w:val="252"/>
          <w:sz w:val="14"/>
          <w:szCs w:val="14"/>
        </w:rPr>
        <w:t>.:</w:t>
      </w:r>
      <w:r>
        <w:rPr>
          <w:rFonts w:ascii="Arial" w:hAnsi="Arial" w:cs="Arial" w:eastAsia="Arial"/>
          <w:color w:val="4F4D4D"/>
          <w:spacing w:val="-9"/>
          <w:w w:val="252"/>
          <w:sz w:val="14"/>
          <w:szCs w:val="14"/>
        </w:rPr>
        <w:t>,</w:t>
      </w:r>
      <w:r>
        <w:rPr>
          <w:rFonts w:ascii="Verdana" w:hAnsi="Verdana" w:cs="Verdana" w:eastAsia="Verdana"/>
          <w:i/>
          <w:iCs/>
          <w:color w:val="4F4D4D"/>
          <w:spacing w:val="-1"/>
          <w:w w:val="21"/>
          <w:sz w:val="17"/>
          <w:szCs w:val="17"/>
        </w:rPr>
        <w:t>J</w:t>
      </w:r>
      <w:r>
        <w:rPr>
          <w:rFonts w:ascii="Verdana" w:hAnsi="Verdana" w:cs="Verdana" w:eastAsia="Verdana"/>
          <w:i/>
          <w:iCs/>
          <w:color w:val="4F4D4D"/>
          <w:w w:val="21"/>
          <w:sz w:val="17"/>
          <w:szCs w:val="17"/>
        </w:rPr>
        <w:t>'</w:t>
      </w:r>
      <w:r>
        <w:rPr>
          <w:rFonts w:ascii="Verdana" w:hAnsi="Verdana" w:cs="Verdana" w:eastAsia="Verdana"/>
          <w:i/>
          <w:iCs/>
          <w:color w:val="4F4D4D"/>
          <w:spacing w:val="-56"/>
          <w:w w:val="159"/>
          <w:sz w:val="17"/>
          <w:szCs w:val="17"/>
        </w:rPr>
        <w:t> </w:t>
      </w:r>
      <w:r>
        <w:rPr>
          <w:rFonts w:ascii="Times New Roman" w:hAnsi="Times New Roman" w:cs="Times New Roman" w:eastAsia="Times New Roman"/>
          <w:color w:val="4F4D4D"/>
          <w:spacing w:val="-2"/>
          <w:sz w:val="15"/>
          <w:szCs w:val="15"/>
        </w:rPr>
        <w:t>S;_I</w:t>
      </w:r>
      <w:r>
        <w:rPr>
          <w:rFonts w:ascii="Times New Roman" w:hAnsi="Times New Roman" w:cs="Times New Roman" w:eastAsia="Times New Roman"/>
          <w:color w:val="4F4D4D"/>
          <w:spacing w:val="-8"/>
          <w:sz w:val="15"/>
          <w:szCs w:val="15"/>
        </w:rPr>
        <w:t> </w:t>
      </w:r>
      <w:r>
        <w:rPr>
          <w:rFonts w:ascii="Times New Roman" w:hAnsi="Times New Roman" w:cs="Times New Roman" w:eastAsia="Times New Roman"/>
          <w:color w:val="646262"/>
          <w:spacing w:val="-2"/>
          <w:sz w:val="15"/>
          <w:szCs w:val="15"/>
        </w:rPr>
        <w:t>;,I</w:t>
      </w:r>
      <w:r>
        <w:rPr>
          <w:rFonts w:ascii="Times New Roman" w:hAnsi="Times New Roman" w:cs="Times New Roman" w:eastAsia="Times New Roman"/>
          <w:color w:val="646262"/>
          <w:spacing w:val="32"/>
          <w:sz w:val="15"/>
          <w:szCs w:val="15"/>
        </w:rPr>
        <w:t> </w:t>
      </w:r>
      <w:r>
        <w:rPr>
          <w:rFonts w:ascii="Verdana" w:hAnsi="Verdana" w:cs="Verdana" w:eastAsia="Verdana"/>
          <w:i/>
          <w:iCs/>
          <w:color w:val="4F4D4D"/>
          <w:spacing w:val="-2"/>
          <w:w w:val="95"/>
          <w:sz w:val="16"/>
          <w:szCs w:val="16"/>
        </w:rPr>
        <w:t>u,.;?</w:t>
      </w:r>
      <w:r>
        <w:rPr>
          <w:rFonts w:ascii="Verdana" w:hAnsi="Verdana" w:cs="Verdana" w:eastAsia="Verdana"/>
          <w:i/>
          <w:iCs/>
          <w:color w:val="4F4D4D"/>
          <w:spacing w:val="17"/>
          <w:sz w:val="16"/>
          <w:szCs w:val="16"/>
        </w:rPr>
        <w:t> </w:t>
      </w:r>
      <w:r>
        <w:rPr>
          <w:rFonts w:ascii="Arial" w:hAnsi="Arial" w:cs="Arial" w:eastAsia="Arial"/>
          <w:color w:val="4F4D4D"/>
          <w:spacing w:val="-2"/>
          <w:sz w:val="10"/>
          <w:szCs w:val="10"/>
        </w:rPr>
        <w:t>o</w:t>
      </w:r>
      <w:r>
        <w:rPr>
          <w:rFonts w:ascii="Times New Roman" w:hAnsi="Times New Roman" w:cs="Times New Roman" w:eastAsia="Times New Roman"/>
          <w:color w:val="646262"/>
          <w:spacing w:val="-2"/>
          <w:sz w:val="15"/>
          <w:szCs w:val="15"/>
        </w:rPr>
        <w:t>;L,I </w:t>
      </w:r>
      <w:r>
        <w:rPr>
          <w:rFonts w:ascii="Verdana" w:hAnsi="Verdana" w:cs="Verdana" w:eastAsia="Verdana"/>
          <w:i/>
          <w:iCs/>
          <w:color w:val="4F4D4D"/>
          <w:spacing w:val="-2"/>
          <w:sz w:val="13"/>
          <w:szCs w:val="13"/>
        </w:rPr>
        <w:t>r.,</w:t>
      </w:r>
      <w:r>
        <w:rPr>
          <w:rFonts w:ascii="Verdana" w:hAnsi="Verdana" w:cs="Verdana" w:eastAsia="Verdana"/>
          <w:i/>
          <w:iCs/>
          <w:color w:val="4F4D4D"/>
          <w:spacing w:val="-16"/>
          <w:sz w:val="13"/>
          <w:szCs w:val="13"/>
        </w:rPr>
        <w:t> </w:t>
      </w:r>
      <w:r>
        <w:rPr>
          <w:rFonts w:ascii="Times New Roman" w:hAnsi="Times New Roman" w:cs="Times New Roman" w:eastAsia="Times New Roman"/>
          <w:color w:val="4F4D4D"/>
          <w:spacing w:val="-2"/>
          <w:sz w:val="15"/>
          <w:szCs w:val="15"/>
        </w:rPr>
        <w:t>u½i</w:t>
      </w:r>
      <w:r>
        <w:rPr>
          <w:rFonts w:ascii="Times New Roman" w:hAnsi="Times New Roman" w:cs="Times New Roman" w:eastAsia="Times New Roman"/>
          <w:color w:val="4F4D4D"/>
          <w:spacing w:val="30"/>
          <w:sz w:val="15"/>
          <w:szCs w:val="15"/>
        </w:rPr>
        <w:t> </w:t>
      </w:r>
      <w:r>
        <w:rPr>
          <w:rFonts w:ascii="Times New Roman" w:hAnsi="Times New Roman" w:cs="Times New Roman" w:eastAsia="Times New Roman"/>
          <w:color w:val="383436"/>
          <w:spacing w:val="-2"/>
          <w:w w:val="95"/>
          <w:sz w:val="15"/>
          <w:szCs w:val="15"/>
        </w:rPr>
        <w:t>c.s'-</w:t>
      </w:r>
      <w:r>
        <w:rPr>
          <w:rFonts w:ascii="Times New Roman" w:hAnsi="Times New Roman" w:cs="Times New Roman" w:eastAsia="Times New Roman"/>
          <w:color w:val="383436"/>
          <w:spacing w:val="-5"/>
          <w:w w:val="95"/>
          <w:sz w:val="15"/>
          <w:szCs w:val="15"/>
        </w:rPr>
        <w:t>sl</w:t>
      </w:r>
    </w:p>
    <w:p>
      <w:pPr>
        <w:spacing w:line="242" w:lineRule="auto" w:before="0"/>
        <w:ind w:left="228" w:right="175" w:hanging="2"/>
        <w:jc w:val="left"/>
        <w:rPr>
          <w:rFonts w:ascii="Times New Roman"/>
          <w:sz w:val="17"/>
        </w:rPr>
      </w:pPr>
      <w:r>
        <w:rPr/>
        <w:br w:type="column"/>
      </w:r>
      <w:r>
        <w:rPr>
          <w:rFonts w:ascii="Times New Roman"/>
          <w:color w:val="4F4D4D"/>
          <w:w w:val="105"/>
          <w:sz w:val="17"/>
        </w:rPr>
        <w:t>Farta</w:t>
      </w:r>
      <w:r>
        <w:rPr>
          <w:rFonts w:ascii="Times New Roman"/>
          <w:color w:val="4F4D4D"/>
          <w:spacing w:val="-11"/>
          <w:w w:val="105"/>
          <w:sz w:val="17"/>
        </w:rPr>
        <w:t> </w:t>
      </w:r>
      <w:r>
        <w:rPr>
          <w:rFonts w:ascii="Times New Roman"/>
          <w:color w:val="4F4D4D"/>
          <w:w w:val="105"/>
          <w:sz w:val="17"/>
        </w:rPr>
        <w:t>ku</w:t>
      </w:r>
      <w:r>
        <w:rPr>
          <w:rFonts w:ascii="Times New Roman"/>
          <w:color w:val="4F4D4D"/>
          <w:spacing w:val="-11"/>
          <w:w w:val="105"/>
          <w:sz w:val="17"/>
        </w:rPr>
        <w:t> </w:t>
      </w:r>
      <w:r>
        <w:rPr>
          <w:rFonts w:ascii="Times New Roman"/>
          <w:color w:val="383436"/>
          <w:w w:val="105"/>
          <w:sz w:val="17"/>
        </w:rPr>
        <w:t>fiiq</w:t>
      </w:r>
      <w:r>
        <w:rPr>
          <w:rFonts w:ascii="Times New Roman"/>
          <w:color w:val="383436"/>
          <w:spacing w:val="-5"/>
          <w:w w:val="105"/>
          <w:sz w:val="17"/>
        </w:rPr>
        <w:t> </w:t>
      </w:r>
      <w:r>
        <w:rPr>
          <w:rFonts w:ascii="Times New Roman"/>
          <w:color w:val="383436"/>
          <w:w w:val="105"/>
          <w:sz w:val="17"/>
        </w:rPr>
        <w:t>luqadaada...</w:t>
      </w:r>
      <w:r>
        <w:rPr>
          <w:rFonts w:ascii="Times New Roman"/>
          <w:color w:val="383436"/>
          <w:spacing w:val="-12"/>
          <w:w w:val="105"/>
          <w:sz w:val="17"/>
        </w:rPr>
        <w:t> </w:t>
      </w:r>
      <w:r>
        <w:rPr>
          <w:rFonts w:ascii="Times New Roman"/>
          <w:color w:val="383436"/>
          <w:w w:val="105"/>
          <w:sz w:val="17"/>
        </w:rPr>
        <w:t>Waxa</w:t>
      </w:r>
      <w:r>
        <w:rPr>
          <w:rFonts w:ascii="Times New Roman"/>
          <w:color w:val="383436"/>
          <w:spacing w:val="-4"/>
          <w:w w:val="105"/>
          <w:sz w:val="17"/>
        </w:rPr>
        <w:t> </w:t>
      </w:r>
      <w:r>
        <w:rPr>
          <w:rFonts w:ascii="Times New Roman"/>
          <w:color w:val="383436"/>
          <w:w w:val="105"/>
          <w:sz w:val="17"/>
        </w:rPr>
        <w:t>Laguugu</w:t>
      </w:r>
      <w:r>
        <w:rPr>
          <w:rFonts w:ascii="Times New Roman"/>
          <w:color w:val="383436"/>
          <w:spacing w:val="-5"/>
          <w:w w:val="105"/>
          <w:sz w:val="17"/>
        </w:rPr>
        <w:t> </w:t>
      </w:r>
      <w:r>
        <w:rPr>
          <w:rFonts w:ascii="Times New Roman"/>
          <w:color w:val="4F4D4D"/>
          <w:w w:val="105"/>
          <w:sz w:val="17"/>
        </w:rPr>
        <w:t>yeeri</w:t>
      </w:r>
      <w:r>
        <w:rPr>
          <w:rFonts w:ascii="Times New Roman"/>
          <w:color w:val="4F4D4D"/>
          <w:spacing w:val="-10"/>
          <w:w w:val="105"/>
          <w:sz w:val="17"/>
        </w:rPr>
        <w:t> </w:t>
      </w:r>
      <w:r>
        <w:rPr>
          <w:rFonts w:ascii="Times New Roman"/>
          <w:color w:val="383436"/>
          <w:w w:val="105"/>
          <w:sz w:val="17"/>
        </w:rPr>
        <w:t>doonaa turjubaan.</w:t>
      </w:r>
      <w:r>
        <w:rPr>
          <w:rFonts w:ascii="Times New Roman"/>
          <w:color w:val="383436"/>
          <w:spacing w:val="-6"/>
          <w:w w:val="105"/>
          <w:sz w:val="17"/>
        </w:rPr>
        <w:t> </w:t>
      </w:r>
      <w:r>
        <w:rPr>
          <w:rFonts w:ascii="Times New Roman"/>
          <w:color w:val="383436"/>
          <w:w w:val="105"/>
          <w:sz w:val="17"/>
        </w:rPr>
        <w:t>Turjubaanka</w:t>
      </w:r>
      <w:r>
        <w:rPr>
          <w:rFonts w:ascii="Times New Roman"/>
          <w:color w:val="383436"/>
          <w:spacing w:val="6"/>
          <w:w w:val="105"/>
          <w:sz w:val="17"/>
        </w:rPr>
        <w:t> </w:t>
      </w:r>
      <w:r>
        <w:rPr>
          <w:rFonts w:ascii="Times New Roman"/>
          <w:color w:val="383436"/>
          <w:w w:val="105"/>
          <w:sz w:val="17"/>
        </w:rPr>
        <w:t>wax</w:t>
      </w:r>
      <w:r>
        <w:rPr>
          <w:rFonts w:ascii="Times New Roman"/>
          <w:color w:val="383436"/>
          <w:spacing w:val="-3"/>
          <w:w w:val="105"/>
          <w:sz w:val="17"/>
        </w:rPr>
        <w:t> </w:t>
      </w:r>
      <w:r>
        <w:rPr>
          <w:rFonts w:ascii="Times New Roman"/>
          <w:color w:val="383436"/>
          <w:w w:val="105"/>
          <w:sz w:val="17"/>
        </w:rPr>
        <w:t>lacagi</w:t>
      </w:r>
      <w:r>
        <w:rPr>
          <w:rFonts w:ascii="Times New Roman"/>
          <w:color w:val="383436"/>
          <w:spacing w:val="5"/>
          <w:w w:val="105"/>
          <w:sz w:val="17"/>
        </w:rPr>
        <w:t> </w:t>
      </w:r>
      <w:r>
        <w:rPr>
          <w:rFonts w:ascii="Times New Roman"/>
          <w:color w:val="383436"/>
          <w:w w:val="105"/>
          <w:sz w:val="17"/>
        </w:rPr>
        <w:t>kaaga</w:t>
      </w:r>
      <w:r>
        <w:rPr>
          <w:rFonts w:ascii="Times New Roman"/>
          <w:color w:val="383436"/>
          <w:spacing w:val="-3"/>
          <w:w w:val="105"/>
          <w:sz w:val="17"/>
        </w:rPr>
        <w:t> </w:t>
      </w:r>
      <w:r>
        <w:rPr>
          <w:rFonts w:ascii="Times New Roman"/>
          <w:color w:val="383436"/>
          <w:w w:val="105"/>
          <w:sz w:val="17"/>
        </w:rPr>
        <w:t>bixi</w:t>
      </w:r>
      <w:r>
        <w:rPr>
          <w:rFonts w:ascii="Times New Roman"/>
          <w:color w:val="383436"/>
          <w:spacing w:val="4"/>
          <w:w w:val="105"/>
          <w:sz w:val="17"/>
        </w:rPr>
        <w:t> </w:t>
      </w:r>
      <w:r>
        <w:rPr>
          <w:rFonts w:ascii="Times New Roman"/>
          <w:color w:val="383436"/>
          <w:spacing w:val="-2"/>
          <w:w w:val="105"/>
          <w:sz w:val="17"/>
        </w:rPr>
        <w:t>mayso.</w:t>
      </w:r>
    </w:p>
    <w:p>
      <w:pPr>
        <w:pStyle w:val="BodyText"/>
        <w:spacing w:before="7"/>
        <w:rPr>
          <w:rFonts w:ascii="Times New Roman"/>
          <w:sz w:val="3"/>
        </w:rPr>
      </w:pPr>
    </w:p>
    <w:p>
      <w:pPr>
        <w:pStyle w:val="BodyText"/>
        <w:spacing w:line="20" w:lineRule="exact"/>
        <w:ind w:left="133" w:right="-72"/>
        <w:rPr>
          <w:rFonts w:ascii="Times New Roman"/>
          <w:sz w:val="2"/>
        </w:rPr>
      </w:pPr>
      <w:r>
        <w:rPr>
          <w:rFonts w:ascii="Times New Roman"/>
          <w:sz w:val="2"/>
        </w:rPr>
        <mc:AlternateContent>
          <mc:Choice Requires="wps">
            <w:drawing>
              <wp:inline distT="0" distB="0" distL="0" distR="0">
                <wp:extent cx="2616200" cy="3175"/>
                <wp:effectExtent l="9525" t="0" r="0" b="6350"/>
                <wp:docPr id="455" name="Group 455"/>
                <wp:cNvGraphicFramePr>
                  <a:graphicFrameLocks/>
                </wp:cNvGraphicFramePr>
                <a:graphic>
                  <a:graphicData uri="http://schemas.microsoft.com/office/word/2010/wordprocessingGroup">
                    <wpg:wgp>
                      <wpg:cNvPr id="455" name="Group 455"/>
                      <wpg:cNvGrpSpPr/>
                      <wpg:grpSpPr>
                        <a:xfrm>
                          <a:off x="0" y="0"/>
                          <a:ext cx="2616200" cy="3175"/>
                          <a:chExt cx="2616200" cy="3175"/>
                        </a:xfrm>
                      </wpg:grpSpPr>
                      <wps:wsp>
                        <wps:cNvPr id="456" name="Graphic 45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30" coordorigin="0,0" coordsize="4120,5">
                <v:shape style="position:absolute;left:0;top:2;width:4120;height:2" id="docshape331"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004" w:val="left" w:leader="none"/>
        </w:tabs>
        <w:spacing w:before="21"/>
        <w:ind w:left="234" w:right="0" w:firstLine="0"/>
        <w:jc w:val="left"/>
        <w:rPr>
          <w:rFonts w:ascii="Times New Roman"/>
          <w:sz w:val="19"/>
        </w:rPr>
      </w:pPr>
      <w:r>
        <w:rPr>
          <w:rFonts w:ascii="Times New Roman"/>
          <w:b/>
          <w:color w:val="383436"/>
          <w:spacing w:val="-2"/>
          <w:w w:val="105"/>
          <w:sz w:val="19"/>
        </w:rPr>
        <w:t>Swahili</w:t>
      </w:r>
      <w:r>
        <w:rPr>
          <w:rFonts w:ascii="Times New Roman"/>
          <w:b/>
          <w:color w:val="383436"/>
          <w:sz w:val="19"/>
        </w:rPr>
        <w:tab/>
      </w:r>
      <w:r>
        <w:rPr>
          <w:rFonts w:ascii="Times New Roman"/>
          <w:color w:val="383436"/>
          <w:w w:val="105"/>
          <w:sz w:val="19"/>
        </w:rPr>
        <w:t>Kiswahili</w:t>
      </w:r>
      <w:r>
        <w:rPr>
          <w:rFonts w:ascii="Times New Roman"/>
          <w:color w:val="383436"/>
          <w:spacing w:val="40"/>
          <w:w w:val="105"/>
          <w:sz w:val="19"/>
        </w:rPr>
        <w:t> </w:t>
      </w:r>
      <w:r>
        <w:rPr>
          <w:rFonts w:ascii="Times New Roman"/>
          <w:color w:val="383436"/>
          <w:spacing w:val="10"/>
          <w:position w:val="-3"/>
          <w:sz w:val="19"/>
        </w:rPr>
        <w:drawing>
          <wp:inline distT="0" distB="0" distL="0" distR="0">
            <wp:extent cx="214306" cy="104139"/>
            <wp:effectExtent l="0" t="0" r="0" b="0"/>
            <wp:docPr id="457" name="Image 457"/>
            <wp:cNvGraphicFramePr>
              <a:graphicFrameLocks/>
            </wp:cNvGraphicFramePr>
            <a:graphic>
              <a:graphicData uri="http://schemas.openxmlformats.org/drawingml/2006/picture">
                <pic:pic>
                  <pic:nvPicPr>
                    <pic:cNvPr id="457" name="Image 457"/>
                    <pic:cNvPicPr/>
                  </pic:nvPicPr>
                  <pic:blipFill>
                    <a:blip r:embed="rId129" cstate="print"/>
                    <a:stretch>
                      <a:fillRect/>
                    </a:stretch>
                  </pic:blipFill>
                  <pic:spPr>
                    <a:xfrm>
                      <a:off x="0" y="0"/>
                      <a:ext cx="214306" cy="104139"/>
                    </a:xfrm>
                    <a:prstGeom prst="rect">
                      <a:avLst/>
                    </a:prstGeom>
                  </pic:spPr>
                </pic:pic>
              </a:graphicData>
            </a:graphic>
          </wp:inline>
        </w:drawing>
      </w:r>
      <w:r>
        <w:rPr>
          <w:rFonts w:ascii="Times New Roman"/>
          <w:color w:val="383436"/>
          <w:spacing w:val="10"/>
          <w:position w:val="-3"/>
          <w:sz w:val="19"/>
        </w:rPr>
      </w:r>
    </w:p>
    <w:p>
      <w:pPr>
        <w:spacing w:line="247" w:lineRule="auto" w:before="9"/>
        <w:ind w:left="219" w:right="267" w:hanging="1"/>
        <w:jc w:val="left"/>
        <w:rPr>
          <w:rFonts w:ascii="Times New Roman"/>
          <w:sz w:val="17"/>
        </w:rPr>
      </w:pPr>
      <w:r>
        <w:rPr>
          <w:rFonts w:ascii="Times New Roman"/>
          <w:color w:val="383436"/>
          <w:w w:val="105"/>
          <w:sz w:val="17"/>
        </w:rPr>
        <w:t>Onyesha</w:t>
      </w:r>
      <w:r>
        <w:rPr>
          <w:rFonts w:ascii="Times New Roman"/>
          <w:color w:val="383436"/>
          <w:w w:val="105"/>
          <w:sz w:val="17"/>
        </w:rPr>
        <w:t> lugha </w:t>
      </w:r>
      <w:r>
        <w:rPr>
          <w:rFonts w:ascii="Times New Roman"/>
          <w:color w:val="4F4D4D"/>
          <w:w w:val="105"/>
          <w:sz w:val="17"/>
        </w:rPr>
        <w:t>yako. </w:t>
      </w:r>
      <w:r>
        <w:rPr>
          <w:rFonts w:ascii="Times New Roman"/>
          <w:color w:val="383436"/>
          <w:w w:val="105"/>
          <w:sz w:val="17"/>
        </w:rPr>
        <w:t>Ataitishwa</w:t>
      </w:r>
      <w:r>
        <w:rPr>
          <w:rFonts w:ascii="Times New Roman"/>
          <w:color w:val="383436"/>
          <w:w w:val="105"/>
          <w:sz w:val="17"/>
        </w:rPr>
        <w:t> mkalimani. </w:t>
      </w:r>
      <w:r>
        <w:rPr>
          <w:rFonts w:ascii="Times New Roman"/>
          <w:color w:val="4F4D4D"/>
          <w:w w:val="105"/>
          <w:sz w:val="17"/>
        </w:rPr>
        <w:t>Utapewa</w:t>
      </w:r>
      <w:r>
        <w:rPr>
          <w:rFonts w:ascii="Times New Roman"/>
          <w:color w:val="4F4D4D"/>
          <w:spacing w:val="-3"/>
          <w:w w:val="105"/>
          <w:sz w:val="17"/>
        </w:rPr>
        <w:t> </w:t>
      </w:r>
      <w:r>
        <w:rPr>
          <w:rFonts w:ascii="Times New Roman"/>
          <w:color w:val="383436"/>
          <w:w w:val="105"/>
          <w:sz w:val="17"/>
        </w:rPr>
        <w:t>mkalimani</w:t>
      </w:r>
      <w:r>
        <w:rPr>
          <w:rFonts w:ascii="Times New Roman"/>
          <w:color w:val="383436"/>
          <w:spacing w:val="-3"/>
          <w:w w:val="105"/>
          <w:sz w:val="17"/>
        </w:rPr>
        <w:t> </w:t>
      </w:r>
      <w:r>
        <w:rPr>
          <w:rFonts w:ascii="Times New Roman"/>
          <w:color w:val="383436"/>
          <w:w w:val="105"/>
          <w:sz w:val="17"/>
        </w:rPr>
        <w:t>biLa</w:t>
      </w:r>
      <w:r>
        <w:rPr>
          <w:rFonts w:ascii="Times New Roman"/>
          <w:color w:val="383436"/>
          <w:spacing w:val="-10"/>
          <w:w w:val="105"/>
          <w:sz w:val="17"/>
        </w:rPr>
        <w:t> </w:t>
      </w:r>
      <w:r>
        <w:rPr>
          <w:rFonts w:ascii="Times New Roman"/>
          <w:color w:val="4F4D4D"/>
          <w:w w:val="105"/>
          <w:sz w:val="17"/>
        </w:rPr>
        <w:t>ya</w:t>
      </w:r>
      <w:r>
        <w:rPr>
          <w:rFonts w:ascii="Times New Roman"/>
          <w:color w:val="4F4D4D"/>
          <w:spacing w:val="-12"/>
          <w:w w:val="105"/>
          <w:sz w:val="17"/>
        </w:rPr>
        <w:t> </w:t>
      </w:r>
      <w:r>
        <w:rPr>
          <w:rFonts w:ascii="Times New Roman"/>
          <w:color w:val="383436"/>
          <w:w w:val="105"/>
          <w:sz w:val="17"/>
        </w:rPr>
        <w:t>gharama</w:t>
      </w:r>
      <w:r>
        <w:rPr>
          <w:rFonts w:ascii="Times New Roman"/>
          <w:color w:val="383436"/>
          <w:spacing w:val="-6"/>
          <w:w w:val="105"/>
          <w:sz w:val="17"/>
        </w:rPr>
        <w:t> </w:t>
      </w:r>
      <w:r>
        <w:rPr>
          <w:rFonts w:ascii="Times New Roman"/>
          <w:color w:val="4F4D4D"/>
          <w:w w:val="105"/>
          <w:sz w:val="17"/>
        </w:rPr>
        <w:t>yoyote</w:t>
      </w:r>
      <w:r>
        <w:rPr>
          <w:rFonts w:ascii="Times New Roman"/>
          <w:color w:val="4F4D4D"/>
          <w:spacing w:val="-5"/>
          <w:w w:val="105"/>
          <w:sz w:val="17"/>
        </w:rPr>
        <w:t> </w:t>
      </w:r>
      <w:r>
        <w:rPr>
          <w:rFonts w:ascii="Times New Roman"/>
          <w:color w:val="383436"/>
          <w:w w:val="105"/>
          <w:sz w:val="17"/>
        </w:rPr>
        <w:t>kwako</w:t>
      </w:r>
      <w:r>
        <w:rPr>
          <w:rFonts w:ascii="Times New Roman"/>
          <w:color w:val="4F4D4D"/>
          <w:w w:val="105"/>
          <w:sz w:val="17"/>
        </w:rPr>
        <w:t>.</w:t>
      </w:r>
    </w:p>
    <w:p>
      <w:pPr>
        <w:pStyle w:val="BodyText"/>
        <w:spacing w:before="9"/>
        <w:rPr>
          <w:rFonts w:ascii="Times New Roman"/>
          <w:sz w:val="2"/>
        </w:rPr>
      </w:pPr>
    </w:p>
    <w:p>
      <w:pPr>
        <w:pStyle w:val="BodyText"/>
        <w:spacing w:line="20" w:lineRule="exact"/>
        <w:ind w:left="133" w:right="-72"/>
        <w:rPr>
          <w:rFonts w:ascii="Times New Roman"/>
          <w:sz w:val="2"/>
        </w:rPr>
      </w:pPr>
      <w:r>
        <w:rPr>
          <w:rFonts w:ascii="Times New Roman"/>
          <w:sz w:val="2"/>
        </w:rPr>
        <mc:AlternateContent>
          <mc:Choice Requires="wps">
            <w:drawing>
              <wp:inline distT="0" distB="0" distL="0" distR="0">
                <wp:extent cx="2616200" cy="3175"/>
                <wp:effectExtent l="9525" t="0" r="0" b="6350"/>
                <wp:docPr id="458" name="Group 458"/>
                <wp:cNvGraphicFramePr>
                  <a:graphicFrameLocks/>
                </wp:cNvGraphicFramePr>
                <a:graphic>
                  <a:graphicData uri="http://schemas.microsoft.com/office/word/2010/wordprocessingGroup">
                    <wpg:wgp>
                      <wpg:cNvPr id="458" name="Group 458"/>
                      <wpg:cNvGrpSpPr/>
                      <wpg:grpSpPr>
                        <a:xfrm>
                          <a:off x="0" y="0"/>
                          <a:ext cx="2616200" cy="3175"/>
                          <a:chExt cx="2616200" cy="3175"/>
                        </a:xfrm>
                      </wpg:grpSpPr>
                      <wps:wsp>
                        <wps:cNvPr id="459" name="Graphic 459"/>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32" coordorigin="0,0" coordsize="4120,5">
                <v:shape style="position:absolute;left:0;top:2;width:4120;height:2" id="docshape333"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line="247" w:lineRule="auto" w:before="73"/>
        <w:ind w:left="219" w:right="0" w:firstLine="0"/>
        <w:jc w:val="left"/>
        <w:rPr>
          <w:rFonts w:ascii="Times New Roman"/>
          <w:sz w:val="17"/>
        </w:rPr>
      </w:pPr>
      <w:r>
        <w:rPr/>
        <w:br w:type="column"/>
      </w:r>
      <w:r>
        <w:rPr>
          <w:rFonts w:ascii="Times New Roman"/>
          <w:color w:val="383436"/>
          <w:spacing w:val="-2"/>
          <w:sz w:val="17"/>
        </w:rPr>
        <w:t>Konu</w:t>
      </w:r>
      <w:r>
        <w:rPr>
          <w:rFonts w:ascii="Times New Roman"/>
          <w:color w:val="383436"/>
          <w:spacing w:val="-9"/>
          <w:sz w:val="17"/>
        </w:rPr>
        <w:t> </w:t>
      </w:r>
      <w:r>
        <w:rPr>
          <w:rFonts w:ascii="Times New Roman"/>
          <w:color w:val="383436"/>
          <w:spacing w:val="-2"/>
          <w:sz w:val="17"/>
        </w:rPr>
        <w:t>tugunu</w:t>
      </w:r>
      <w:r>
        <w:rPr>
          <w:rFonts w:ascii="Times New Roman"/>
          <w:color w:val="646262"/>
          <w:spacing w:val="-2"/>
          <w:sz w:val="17"/>
        </w:rPr>
        <w:t>z</w:t>
      </w:r>
      <w:r>
        <w:rPr>
          <w:rFonts w:ascii="Times New Roman"/>
          <w:color w:val="646262"/>
          <w:spacing w:val="-9"/>
          <w:sz w:val="17"/>
        </w:rPr>
        <w:t> </w:t>
      </w:r>
      <w:r>
        <w:rPr>
          <w:rFonts w:ascii="Times New Roman"/>
          <w:color w:val="383436"/>
          <w:spacing w:val="-2"/>
          <w:sz w:val="17"/>
        </w:rPr>
        <w:t>dili giisterin.</w:t>
      </w:r>
      <w:r>
        <w:rPr>
          <w:rFonts w:ascii="Times New Roman"/>
          <w:color w:val="383436"/>
          <w:spacing w:val="-3"/>
          <w:sz w:val="17"/>
        </w:rPr>
        <w:t> </w:t>
      </w:r>
      <w:r>
        <w:rPr>
          <w:rFonts w:ascii="Times New Roman"/>
          <w:color w:val="383436"/>
          <w:spacing w:val="-2"/>
          <w:sz w:val="17"/>
        </w:rPr>
        <w:t>Size bir</w:t>
      </w:r>
      <w:r>
        <w:rPr>
          <w:rFonts w:ascii="Times New Roman"/>
          <w:color w:val="383436"/>
          <w:spacing w:val="-4"/>
          <w:sz w:val="17"/>
        </w:rPr>
        <w:t> </w:t>
      </w:r>
      <w:r>
        <w:rPr>
          <w:rFonts w:ascii="Times New Roman"/>
          <w:color w:val="383436"/>
          <w:spacing w:val="-2"/>
          <w:sz w:val="17"/>
        </w:rPr>
        <w:t>terciiman</w:t>
      </w:r>
      <w:r>
        <w:rPr>
          <w:rFonts w:ascii="Times New Roman"/>
          <w:color w:val="383436"/>
          <w:sz w:val="17"/>
        </w:rPr>
        <w:t> </w:t>
      </w:r>
      <w:r>
        <w:rPr>
          <w:rFonts w:ascii="Times New Roman"/>
          <w:color w:val="383436"/>
          <w:spacing w:val="-2"/>
          <w:sz w:val="17"/>
        </w:rPr>
        <w:t>c;:agmyoruz. </w:t>
      </w:r>
      <w:r>
        <w:rPr>
          <w:rFonts w:ascii="Times New Roman"/>
          <w:color w:val="383436"/>
          <w:sz w:val="17"/>
        </w:rPr>
        <w:t>Bu terciiman </w:t>
      </w:r>
      <w:r>
        <w:rPr>
          <w:rFonts w:ascii="Times New Roman"/>
          <w:color w:val="4F4D4D"/>
          <w:sz w:val="17"/>
        </w:rPr>
        <w:t>size </w:t>
      </w:r>
      <w:r>
        <w:rPr>
          <w:rFonts w:ascii="Times New Roman"/>
          <w:color w:val="383436"/>
          <w:sz w:val="17"/>
        </w:rPr>
        <w:t>iicretsiz olarak tedarik </w:t>
      </w:r>
      <w:r>
        <w:rPr>
          <w:rFonts w:ascii="Times New Roman"/>
          <w:color w:val="4F4D4D"/>
          <w:sz w:val="17"/>
        </w:rPr>
        <w:t>edilecektir.</w:t>
      </w:r>
    </w:p>
    <w:p>
      <w:pPr>
        <w:pStyle w:val="BodyText"/>
        <w:spacing w:before="8"/>
        <w:rPr>
          <w:rFonts w:ascii="Times New Roman"/>
          <w:sz w:val="3"/>
        </w:rPr>
      </w:pPr>
      <w:r>
        <w:rPr/>
        <mc:AlternateContent>
          <mc:Choice Requires="wps">
            <w:drawing>
              <wp:anchor distT="0" distB="0" distL="0" distR="0" allowOverlap="1" layoutInCell="1" locked="0" behindDoc="1" simplePos="0" relativeHeight="487690240">
                <wp:simplePos x="0" y="0"/>
                <wp:positionH relativeFrom="page">
                  <wp:posOffset>6679903</wp:posOffset>
                </wp:positionH>
                <wp:positionV relativeFrom="paragraph">
                  <wp:posOffset>42821</wp:posOffset>
                </wp:positionV>
                <wp:extent cx="2616200" cy="1270"/>
                <wp:effectExtent l="0" t="0" r="0" b="0"/>
                <wp:wrapTopAndBottom/>
                <wp:docPr id="460" name="Graphic 460"/>
                <wp:cNvGraphicFramePr>
                  <a:graphicFrameLocks/>
                </wp:cNvGraphicFramePr>
                <a:graphic>
                  <a:graphicData uri="http://schemas.microsoft.com/office/word/2010/wordprocessingShape">
                    <wps:wsp>
                      <wps:cNvPr id="460" name="Graphic 460"/>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5.976624pt;margin-top:3.371809pt;width:206pt;height:.1pt;mso-position-horizontal-relative:page;mso-position-vertical-relative:paragraph;z-index:-15626240;mso-wrap-distance-left:0;mso-wrap-distance-right:0" id="docshape334" coordorigin="10520,67" coordsize="4120,0" path="m10520,67l11163,67,12580,67,13996,67,14640,67e" filled="false" stroked="true" strokeweight=".25pt" strokecolor="#231f20">
                <v:path arrowok="t"/>
                <v:stroke dashstyle="solid"/>
                <w10:wrap type="topAndBottom"/>
              </v:shape>
            </w:pict>
          </mc:Fallback>
        </mc:AlternateContent>
      </w:r>
    </w:p>
    <w:p>
      <w:pPr>
        <w:pStyle w:val="BodyText"/>
        <w:spacing w:before="8"/>
        <w:rPr>
          <w:rFonts w:ascii="Times New Roman"/>
          <w:sz w:val="8"/>
        </w:rPr>
      </w:pPr>
    </w:p>
    <w:p>
      <w:pPr>
        <w:spacing w:line="247" w:lineRule="auto" w:before="0"/>
        <w:ind w:left="227" w:right="250" w:hanging="8"/>
        <w:jc w:val="left"/>
        <w:rPr>
          <w:rFonts w:ascii="Times New Roman"/>
          <w:sz w:val="17"/>
        </w:rPr>
      </w:pPr>
      <w:r>
        <w:rPr/>
        <w:br w:type="column"/>
      </w:r>
      <w:r>
        <w:rPr>
          <w:rFonts w:ascii="Times New Roman"/>
          <w:color w:val="4F4D4D"/>
          <w:w w:val="90"/>
          <w:sz w:val="17"/>
        </w:rPr>
        <w:t>Nuqv </w:t>
      </w:r>
      <w:r>
        <w:rPr>
          <w:rFonts w:ascii="Times New Roman"/>
          <w:color w:val="383436"/>
          <w:w w:val="90"/>
          <w:sz w:val="17"/>
        </w:rPr>
        <w:t>meih</w:t>
      </w:r>
      <w:r>
        <w:rPr>
          <w:rFonts w:ascii="Times New Roman"/>
          <w:color w:val="383436"/>
          <w:sz w:val="17"/>
        </w:rPr>
        <w:t> </w:t>
      </w:r>
      <w:r>
        <w:rPr>
          <w:rFonts w:ascii="Times New Roman"/>
          <w:color w:val="383436"/>
          <w:w w:val="90"/>
          <w:sz w:val="17"/>
        </w:rPr>
        <w:t>nyei </w:t>
      </w:r>
      <w:r>
        <w:rPr>
          <w:rFonts w:ascii="Times New Roman"/>
          <w:color w:val="4F4D4D"/>
          <w:w w:val="90"/>
          <w:sz w:val="17"/>
        </w:rPr>
        <w:t>waac</w:t>
      </w:r>
      <w:r>
        <w:rPr>
          <w:rFonts w:ascii="Times New Roman"/>
          <w:color w:val="4F4D4D"/>
          <w:spacing w:val="-4"/>
          <w:w w:val="90"/>
          <w:sz w:val="17"/>
        </w:rPr>
        <w:t> </w:t>
      </w:r>
      <w:r>
        <w:rPr>
          <w:rFonts w:ascii="Times New Roman"/>
          <w:color w:val="383436"/>
          <w:w w:val="90"/>
          <w:sz w:val="17"/>
        </w:rPr>
        <w:t>mbuox </w:t>
      </w:r>
      <w:r>
        <w:rPr>
          <w:rFonts w:ascii="Times New Roman"/>
          <w:color w:val="4F4D4D"/>
          <w:w w:val="90"/>
          <w:sz w:val="17"/>
        </w:rPr>
        <w:t>yie</w:t>
      </w:r>
      <w:r>
        <w:rPr>
          <w:rFonts w:ascii="Times New Roman"/>
          <w:color w:val="4F4D4D"/>
          <w:spacing w:val="-1"/>
          <w:w w:val="90"/>
          <w:sz w:val="17"/>
        </w:rPr>
        <w:t> </w:t>
      </w:r>
      <w:r>
        <w:rPr>
          <w:rFonts w:ascii="Times New Roman"/>
          <w:color w:val="383436"/>
          <w:w w:val="90"/>
          <w:sz w:val="17"/>
        </w:rPr>
        <w:t>liu</w:t>
      </w:r>
      <w:r>
        <w:rPr>
          <w:rFonts w:ascii="Times New Roman"/>
          <w:color w:val="646262"/>
          <w:w w:val="90"/>
          <w:sz w:val="17"/>
        </w:rPr>
        <w:t>z,</w:t>
      </w:r>
      <w:r>
        <w:rPr>
          <w:rFonts w:ascii="Times New Roman"/>
          <w:color w:val="646262"/>
          <w:spacing w:val="-9"/>
          <w:w w:val="90"/>
          <w:sz w:val="17"/>
        </w:rPr>
        <w:t> </w:t>
      </w:r>
      <w:r>
        <w:rPr>
          <w:rFonts w:ascii="Times New Roman"/>
          <w:color w:val="4F4D4D"/>
          <w:w w:val="90"/>
          <w:sz w:val="17"/>
        </w:rPr>
        <w:t>yie</w:t>
      </w:r>
      <w:r>
        <w:rPr>
          <w:rFonts w:ascii="Times New Roman"/>
          <w:color w:val="4F4D4D"/>
          <w:spacing w:val="-1"/>
          <w:w w:val="90"/>
          <w:sz w:val="17"/>
        </w:rPr>
        <w:t> </w:t>
      </w:r>
      <w:r>
        <w:rPr>
          <w:rFonts w:ascii="Times New Roman"/>
          <w:color w:val="383436"/>
          <w:w w:val="90"/>
          <w:sz w:val="17"/>
        </w:rPr>
        <w:t>heuc</w:t>
      </w:r>
      <w:r>
        <w:rPr>
          <w:rFonts w:ascii="Times New Roman"/>
          <w:color w:val="383436"/>
          <w:spacing w:val="-5"/>
          <w:w w:val="90"/>
          <w:sz w:val="17"/>
        </w:rPr>
        <w:t> </w:t>
      </w:r>
      <w:r>
        <w:rPr>
          <w:rFonts w:ascii="Times New Roman"/>
          <w:color w:val="4F4D4D"/>
          <w:w w:val="90"/>
          <w:sz w:val="17"/>
        </w:rPr>
        <w:t>faan waac </w:t>
      </w:r>
      <w:r>
        <w:rPr>
          <w:rFonts w:ascii="Times New Roman"/>
          <w:color w:val="383436"/>
          <w:w w:val="90"/>
          <w:sz w:val="17"/>
        </w:rPr>
        <w:t>mienh</w:t>
      </w:r>
      <w:r>
        <w:rPr>
          <w:rFonts w:ascii="Times New Roman"/>
          <w:color w:val="383436"/>
          <w:sz w:val="17"/>
        </w:rPr>
        <w:t> </w:t>
      </w:r>
      <w:r>
        <w:rPr>
          <w:rFonts w:ascii="Times New Roman"/>
          <w:color w:val="383436"/>
          <w:w w:val="90"/>
          <w:sz w:val="17"/>
        </w:rPr>
        <w:t>bun</w:t>
      </w:r>
      <w:r>
        <w:rPr>
          <w:rFonts w:ascii="Times New Roman"/>
          <w:color w:val="383436"/>
          <w:spacing w:val="-7"/>
          <w:w w:val="90"/>
          <w:sz w:val="17"/>
        </w:rPr>
        <w:t> </w:t>
      </w:r>
      <w:r>
        <w:rPr>
          <w:rFonts w:ascii="Times New Roman"/>
          <w:color w:val="383436"/>
          <w:w w:val="90"/>
          <w:sz w:val="17"/>
        </w:rPr>
        <w:t>meih</w:t>
      </w:r>
      <w:r>
        <w:rPr>
          <w:rFonts w:ascii="Times New Roman"/>
          <w:color w:val="383436"/>
          <w:spacing w:val="-6"/>
          <w:w w:val="90"/>
          <w:sz w:val="17"/>
        </w:rPr>
        <w:t> </w:t>
      </w:r>
      <w:r>
        <w:rPr>
          <w:rFonts w:ascii="Times New Roman"/>
          <w:color w:val="4F4D4D"/>
          <w:w w:val="90"/>
          <w:sz w:val="17"/>
        </w:rPr>
        <w:t>oc.</w:t>
      </w:r>
      <w:r>
        <w:rPr>
          <w:rFonts w:ascii="Times New Roman"/>
          <w:color w:val="4F4D4D"/>
          <w:spacing w:val="-6"/>
          <w:w w:val="90"/>
          <w:sz w:val="17"/>
        </w:rPr>
        <w:t> </w:t>
      </w:r>
      <w:r>
        <w:rPr>
          <w:rFonts w:ascii="Times New Roman"/>
          <w:color w:val="383436"/>
          <w:w w:val="90"/>
          <w:sz w:val="17"/>
        </w:rPr>
        <w:t>Yie</w:t>
      </w:r>
      <w:r>
        <w:rPr>
          <w:rFonts w:ascii="Times New Roman"/>
          <w:color w:val="383436"/>
          <w:spacing w:val="-7"/>
          <w:w w:val="90"/>
          <w:sz w:val="17"/>
        </w:rPr>
        <w:t> </w:t>
      </w:r>
      <w:r>
        <w:rPr>
          <w:rFonts w:ascii="Times New Roman"/>
          <w:color w:val="383436"/>
          <w:w w:val="90"/>
          <w:sz w:val="17"/>
        </w:rPr>
        <w:t>heuc</w:t>
      </w:r>
      <w:r>
        <w:rPr>
          <w:rFonts w:ascii="Times New Roman"/>
          <w:color w:val="383436"/>
          <w:spacing w:val="-6"/>
          <w:w w:val="90"/>
          <w:sz w:val="17"/>
        </w:rPr>
        <w:t> </w:t>
      </w:r>
      <w:r>
        <w:rPr>
          <w:rFonts w:ascii="Times New Roman"/>
          <w:color w:val="383436"/>
          <w:w w:val="90"/>
          <w:sz w:val="17"/>
        </w:rPr>
        <w:t>faan</w:t>
      </w:r>
      <w:r>
        <w:rPr>
          <w:rFonts w:ascii="Times New Roman"/>
          <w:color w:val="383436"/>
          <w:spacing w:val="-6"/>
          <w:w w:val="90"/>
          <w:sz w:val="17"/>
        </w:rPr>
        <w:t> </w:t>
      </w:r>
      <w:r>
        <w:rPr>
          <w:rFonts w:ascii="Times New Roman"/>
          <w:color w:val="383436"/>
          <w:w w:val="90"/>
          <w:sz w:val="17"/>
        </w:rPr>
        <w:t>waac</w:t>
      </w:r>
      <w:r>
        <w:rPr>
          <w:rFonts w:ascii="Times New Roman"/>
          <w:color w:val="383436"/>
          <w:spacing w:val="-7"/>
          <w:w w:val="90"/>
          <w:sz w:val="17"/>
        </w:rPr>
        <w:t> </w:t>
      </w:r>
      <w:r>
        <w:rPr>
          <w:rFonts w:ascii="Times New Roman"/>
          <w:color w:val="383436"/>
          <w:w w:val="90"/>
          <w:sz w:val="17"/>
        </w:rPr>
        <w:t>mienh</w:t>
      </w:r>
      <w:r>
        <w:rPr>
          <w:rFonts w:ascii="Times New Roman"/>
          <w:color w:val="383436"/>
          <w:spacing w:val="-6"/>
          <w:w w:val="90"/>
          <w:sz w:val="17"/>
        </w:rPr>
        <w:t> </w:t>
      </w:r>
      <w:r>
        <w:rPr>
          <w:rFonts w:ascii="Times New Roman"/>
          <w:color w:val="383436"/>
          <w:w w:val="90"/>
          <w:sz w:val="17"/>
        </w:rPr>
        <w:t>baeqc-baeqc</w:t>
      </w:r>
      <w:r>
        <w:rPr>
          <w:rFonts w:ascii="Times New Roman"/>
          <w:color w:val="383436"/>
          <w:spacing w:val="-4"/>
          <w:w w:val="90"/>
          <w:sz w:val="17"/>
        </w:rPr>
        <w:t> </w:t>
      </w:r>
      <w:r>
        <w:rPr>
          <w:rFonts w:ascii="Times New Roman"/>
          <w:color w:val="383436"/>
          <w:w w:val="90"/>
          <w:sz w:val="17"/>
        </w:rPr>
        <w:t>tengx</w:t>
      </w:r>
      <w:r>
        <w:rPr>
          <w:rFonts w:ascii="Times New Roman"/>
          <w:color w:val="383436"/>
          <w:spacing w:val="-5"/>
          <w:w w:val="90"/>
          <w:sz w:val="17"/>
        </w:rPr>
        <w:t> </w:t>
      </w:r>
      <w:r>
        <w:rPr>
          <w:rFonts w:ascii="Times New Roman"/>
          <w:color w:val="383436"/>
          <w:w w:val="90"/>
          <w:sz w:val="17"/>
        </w:rPr>
        <w:t>meih.</w:t>
      </w:r>
    </w:p>
    <w:p>
      <w:pPr>
        <w:pStyle w:val="BodyText"/>
        <w:spacing w:before="9"/>
        <w:rPr>
          <w:rFonts w:ascii="Times New Roman"/>
          <w:sz w:val="2"/>
        </w:rPr>
      </w:pPr>
    </w:p>
    <w:p>
      <w:pPr>
        <w:pStyle w:val="BodyText"/>
        <w:spacing w:line="20" w:lineRule="exact"/>
        <w:ind w:left="102"/>
        <w:rPr>
          <w:rFonts w:ascii="Times New Roman"/>
          <w:sz w:val="2"/>
        </w:rPr>
      </w:pPr>
      <w:r>
        <w:rPr>
          <w:rFonts w:ascii="Times New Roman"/>
          <w:sz w:val="2"/>
        </w:rPr>
        <mc:AlternateContent>
          <mc:Choice Requires="wps">
            <w:drawing>
              <wp:inline distT="0" distB="0" distL="0" distR="0">
                <wp:extent cx="2616200" cy="3175"/>
                <wp:effectExtent l="9525" t="0" r="0" b="6350"/>
                <wp:docPr id="461" name="Group 461"/>
                <wp:cNvGraphicFramePr>
                  <a:graphicFrameLocks/>
                </wp:cNvGraphicFramePr>
                <a:graphic>
                  <a:graphicData uri="http://schemas.microsoft.com/office/word/2010/wordprocessingGroup">
                    <wpg:wgp>
                      <wpg:cNvPr id="461" name="Group 461"/>
                      <wpg:cNvGrpSpPr/>
                      <wpg:grpSpPr>
                        <a:xfrm>
                          <a:off x="0" y="0"/>
                          <a:ext cx="2616200" cy="3175"/>
                          <a:chExt cx="2616200" cy="3175"/>
                        </a:xfrm>
                      </wpg:grpSpPr>
                      <wps:wsp>
                        <wps:cNvPr id="462" name="Graphic 46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35" coordorigin="0,0" coordsize="4120,5">
                <v:shape style="position:absolute;left:0;top:2;width:4120;height:2" id="docshape336" coordorigin="0,3" coordsize="4120,0" path="m0,3l644,3,2060,3,3476,3,4120,3e" filled="false" stroked="true" strokeweight=".25pt" strokecolor="#231f20">
                  <v:path arrowok="t"/>
                  <v:stroke dashstyle="solid"/>
                </v:shape>
              </v:group>
            </w:pict>
          </mc:Fallback>
        </mc:AlternateContent>
      </w:r>
      <w:r>
        <w:rPr>
          <w:rFonts w:ascii="Times New Roman"/>
          <w:sz w:val="2"/>
        </w:rPr>
      </w:r>
    </w:p>
    <w:p>
      <w:pPr>
        <w:tabs>
          <w:tab w:pos="3073" w:val="left" w:leader="none"/>
        </w:tabs>
        <w:spacing w:before="33"/>
        <w:ind w:left="237" w:right="0" w:firstLine="0"/>
        <w:jc w:val="left"/>
        <w:rPr>
          <w:rFonts w:ascii="Times New Roman"/>
          <w:sz w:val="19"/>
        </w:rPr>
      </w:pPr>
      <w:r>
        <w:rPr/>
        <w:drawing>
          <wp:anchor distT="0" distB="0" distL="0" distR="0" allowOverlap="1" layoutInCell="1" locked="0" behindDoc="0" simplePos="0" relativeHeight="15846912">
            <wp:simplePos x="0" y="0"/>
            <wp:positionH relativeFrom="page">
              <wp:posOffset>12213145</wp:posOffset>
            </wp:positionH>
            <wp:positionV relativeFrom="paragraph">
              <wp:posOffset>66142</wp:posOffset>
            </wp:positionV>
            <wp:extent cx="214301" cy="104139"/>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138" cstate="print"/>
                    <a:stretch>
                      <a:fillRect/>
                    </a:stretch>
                  </pic:blipFill>
                  <pic:spPr>
                    <a:xfrm>
                      <a:off x="0" y="0"/>
                      <a:ext cx="214301" cy="104139"/>
                    </a:xfrm>
                    <a:prstGeom prst="rect">
                      <a:avLst/>
                    </a:prstGeom>
                  </pic:spPr>
                </pic:pic>
              </a:graphicData>
            </a:graphic>
          </wp:anchor>
        </w:drawing>
      </w:r>
      <w:r>
        <w:rPr>
          <w:rFonts w:ascii="Times New Roman"/>
          <w:b/>
          <w:color w:val="383436"/>
          <w:spacing w:val="-2"/>
          <w:w w:val="110"/>
          <w:sz w:val="19"/>
        </w:rPr>
        <w:t>Mongolian</w:t>
      </w:r>
      <w:r>
        <w:rPr>
          <w:rFonts w:ascii="Times New Roman"/>
          <w:b/>
          <w:color w:val="383436"/>
          <w:sz w:val="19"/>
        </w:rPr>
        <w:tab/>
      </w:r>
      <w:r>
        <w:rPr>
          <w:rFonts w:ascii="Times New Roman"/>
          <w:color w:val="383436"/>
          <w:spacing w:val="-2"/>
          <w:w w:val="110"/>
          <w:sz w:val="19"/>
        </w:rPr>
        <w:t>Mottron</w:t>
      </w:r>
    </w:p>
    <w:p>
      <w:pPr>
        <w:spacing w:line="235" w:lineRule="auto" w:before="5"/>
        <w:ind w:left="225" w:right="677" w:hanging="4"/>
        <w:jc w:val="left"/>
        <w:rPr>
          <w:rFonts w:ascii="Times New Roman"/>
          <w:sz w:val="17"/>
        </w:rPr>
      </w:pPr>
      <w:r>
        <w:rPr/>
        <mc:AlternateContent>
          <mc:Choice Requires="wps">
            <w:drawing>
              <wp:anchor distT="0" distB="0" distL="0" distR="0" allowOverlap="1" layoutInCell="1" locked="0" behindDoc="0" simplePos="0" relativeHeight="15838720">
                <wp:simplePos x="0" y="0"/>
                <wp:positionH relativeFrom="page">
                  <wp:posOffset>9854604</wp:posOffset>
                </wp:positionH>
                <wp:positionV relativeFrom="paragraph">
                  <wp:posOffset>279931</wp:posOffset>
                </wp:positionV>
                <wp:extent cx="2616200" cy="16700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2616200" cy="167005"/>
                          <a:chExt cx="2616200" cy="167005"/>
                        </a:xfrm>
                      </wpg:grpSpPr>
                      <wps:wsp>
                        <wps:cNvPr id="465" name="Graphic 46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pic:pic>
                        <pic:nvPicPr>
                          <pic:cNvPr id="466" name="Image 466"/>
                          <pic:cNvPicPr/>
                        </pic:nvPicPr>
                        <pic:blipFill>
                          <a:blip r:embed="rId139" cstate="print"/>
                          <a:stretch>
                            <a:fillRect/>
                          </a:stretch>
                        </pic:blipFill>
                        <pic:spPr>
                          <a:xfrm>
                            <a:off x="2367211" y="46595"/>
                            <a:ext cx="214299" cy="104139"/>
                          </a:xfrm>
                          <a:prstGeom prst="rect">
                            <a:avLst/>
                          </a:prstGeom>
                        </pic:spPr>
                      </pic:pic>
                      <wps:wsp>
                        <wps:cNvPr id="467" name="Textbox 467"/>
                        <wps:cNvSpPr txBox="1"/>
                        <wps:spPr>
                          <a:xfrm>
                            <a:off x="56481" y="28764"/>
                            <a:ext cx="283210" cy="133985"/>
                          </a:xfrm>
                          <a:prstGeom prst="rect">
                            <a:avLst/>
                          </a:prstGeom>
                        </wps:spPr>
                        <wps:txbx>
                          <w:txbxContent>
                            <w:p>
                              <w:pPr>
                                <w:spacing w:line="211" w:lineRule="exact" w:before="0"/>
                                <w:ind w:left="0" w:right="0" w:firstLine="0"/>
                                <w:jc w:val="left"/>
                                <w:rPr>
                                  <w:rFonts w:ascii="Times New Roman"/>
                                  <w:b/>
                                  <w:sz w:val="19"/>
                                </w:rPr>
                              </w:pPr>
                              <w:r>
                                <w:rPr>
                                  <w:rFonts w:ascii="Times New Roman"/>
                                  <w:b/>
                                  <w:color w:val="383436"/>
                                  <w:spacing w:val="-4"/>
                                  <w:w w:val="110"/>
                                  <w:sz w:val="19"/>
                                </w:rPr>
                                <w:t>Thai</w:t>
                              </w:r>
                            </w:p>
                          </w:txbxContent>
                        </wps:txbx>
                        <wps:bodyPr wrap="square" lIns="0" tIns="0" rIns="0" bIns="0" rtlCol="0">
                          <a:noAutofit/>
                        </wps:bodyPr>
                      </wps:wsp>
                      <wps:wsp>
                        <wps:cNvPr id="468" name="Textbox 468"/>
                        <wps:cNvSpPr txBox="1"/>
                        <wps:spPr>
                          <a:xfrm>
                            <a:off x="2111354" y="11761"/>
                            <a:ext cx="236854" cy="155575"/>
                          </a:xfrm>
                          <a:prstGeom prst="rect">
                            <a:avLst/>
                          </a:prstGeom>
                        </wps:spPr>
                        <wps:txbx>
                          <w:txbxContent>
                            <w:p>
                              <w:pPr>
                                <w:spacing w:line="244" w:lineRule="exact" w:before="0"/>
                                <w:ind w:left="0" w:right="0" w:firstLine="0"/>
                                <w:jc w:val="left"/>
                                <w:rPr>
                                  <w:rFonts w:ascii="Arial"/>
                                  <w:b/>
                                  <w:sz w:val="14"/>
                                </w:rPr>
                              </w:pPr>
                              <w:r>
                                <w:rPr>
                                  <w:rFonts w:ascii="Times New Roman"/>
                                  <w:b/>
                                  <w:color w:val="383436"/>
                                  <w:spacing w:val="-2"/>
                                  <w:w w:val="85"/>
                                  <w:sz w:val="22"/>
                                </w:rPr>
                                <w:t>"l</w:t>
                              </w:r>
                              <w:r>
                                <w:rPr>
                                  <w:rFonts w:ascii="Arial"/>
                                  <w:b/>
                                  <w:color w:val="383436"/>
                                  <w:spacing w:val="-2"/>
                                  <w:w w:val="85"/>
                                  <w:sz w:val="14"/>
                                </w:rPr>
                                <w:t>Vltl</w:t>
                              </w:r>
                            </w:p>
                          </w:txbxContent>
                        </wps:txbx>
                        <wps:bodyPr wrap="square" lIns="0" tIns="0" rIns="0" bIns="0" rtlCol="0">
                          <a:noAutofit/>
                        </wps:bodyPr>
                      </wps:wsp>
                    </wpg:wgp>
                  </a:graphicData>
                </a:graphic>
              </wp:anchor>
            </w:drawing>
          </mc:Choice>
          <mc:Fallback>
            <w:pict>
              <v:group style="position:absolute;margin-left:775.953125pt;margin-top:22.041878pt;width:206pt;height:13.15pt;mso-position-horizontal-relative:page;mso-position-vertical-relative:paragraph;z-index:15838720" id="docshapegroup337" coordorigin="15519,441" coordsize="4120,263">
                <v:shape style="position:absolute;left:15519;top:443;width:4120;height:2" id="docshape338" coordorigin="15519,443" coordsize="4120,0" path="m15519,443l16163,443,17579,443,18995,443,19639,443e" filled="false" stroked="true" strokeweight=".25pt" strokecolor="#231f20">
                  <v:path arrowok="t"/>
                  <v:stroke dashstyle="solid"/>
                </v:shape>
                <v:shape style="position:absolute;left:19246;top:514;width:338;height:164" type="#_x0000_t75" id="docshape339" stroked="false">
                  <v:imagedata r:id="rId139" o:title=""/>
                </v:shape>
                <v:shape style="position:absolute;left:15608;top:486;width:446;height:211" type="#_x0000_t202" id="docshape340" filled="false" stroked="false">
                  <v:textbox inset="0,0,0,0">
                    <w:txbxContent>
                      <w:p>
                        <w:pPr>
                          <w:spacing w:line="211" w:lineRule="exact" w:before="0"/>
                          <w:ind w:left="0" w:right="0" w:firstLine="0"/>
                          <w:jc w:val="left"/>
                          <w:rPr>
                            <w:rFonts w:ascii="Times New Roman"/>
                            <w:b/>
                            <w:sz w:val="19"/>
                          </w:rPr>
                        </w:pPr>
                        <w:r>
                          <w:rPr>
                            <w:rFonts w:ascii="Times New Roman"/>
                            <w:b/>
                            <w:color w:val="383436"/>
                            <w:spacing w:val="-4"/>
                            <w:w w:val="110"/>
                            <w:sz w:val="19"/>
                          </w:rPr>
                          <w:t>Thai</w:t>
                        </w:r>
                      </w:p>
                    </w:txbxContent>
                  </v:textbox>
                  <w10:wrap type="none"/>
                </v:shape>
                <v:shape style="position:absolute;left:18844;top:459;width:373;height:245" type="#_x0000_t202" id="docshape341" filled="false" stroked="false">
                  <v:textbox inset="0,0,0,0">
                    <w:txbxContent>
                      <w:p>
                        <w:pPr>
                          <w:spacing w:line="244" w:lineRule="exact" w:before="0"/>
                          <w:ind w:left="0" w:right="0" w:firstLine="0"/>
                          <w:jc w:val="left"/>
                          <w:rPr>
                            <w:rFonts w:ascii="Arial"/>
                            <w:b/>
                            <w:sz w:val="14"/>
                          </w:rPr>
                        </w:pPr>
                        <w:r>
                          <w:rPr>
                            <w:rFonts w:ascii="Times New Roman"/>
                            <w:b/>
                            <w:color w:val="383436"/>
                            <w:spacing w:val="-2"/>
                            <w:w w:val="85"/>
                            <w:sz w:val="22"/>
                          </w:rPr>
                          <w:t>"l</w:t>
                        </w:r>
                        <w:r>
                          <w:rPr>
                            <w:rFonts w:ascii="Arial"/>
                            <w:b/>
                            <w:color w:val="383436"/>
                            <w:spacing w:val="-2"/>
                            <w:w w:val="85"/>
                            <w:sz w:val="14"/>
                          </w:rPr>
                          <w:t>Vltl</w:t>
                        </w:r>
                      </w:p>
                    </w:txbxContent>
                  </v:textbox>
                  <w10:wrap type="none"/>
                </v:shape>
                <w10:wrap type="none"/>
              </v:group>
            </w:pict>
          </mc:Fallback>
        </mc:AlternateContent>
      </w:r>
      <w:r>
        <w:rPr>
          <w:rFonts w:ascii="Times New Roman"/>
          <w:color w:val="383436"/>
          <w:sz w:val="17"/>
        </w:rPr>
        <w:t>Tattaii </w:t>
      </w:r>
      <w:r>
        <w:rPr>
          <w:rFonts w:ascii="Times New Roman"/>
          <w:color w:val="4F4D4D"/>
          <w:sz w:val="17"/>
        </w:rPr>
        <w:t>X3JI33 Jaa. </w:t>
      </w:r>
      <w:r>
        <w:rPr>
          <w:rFonts w:ascii="Times New Roman"/>
          <w:color w:val="383436"/>
          <w:sz w:val="17"/>
        </w:rPr>
        <w:t>QpqyynarY </w:t>
      </w:r>
      <w:r>
        <w:rPr>
          <w:rFonts w:ascii="Times New Roman"/>
          <w:color w:val="646262"/>
          <w:sz w:val="17"/>
        </w:rPr>
        <w:t>,uyy,uar,ua</w:t>
      </w:r>
      <w:r>
        <w:rPr>
          <w:rFonts w:ascii="Times New Roman"/>
          <w:color w:val="383436"/>
          <w:sz w:val="17"/>
        </w:rPr>
        <w:t>tta</w:t>
      </w:r>
      <w:r>
        <w:rPr>
          <w:rFonts w:ascii="Times New Roman"/>
          <w:color w:val="646262"/>
          <w:sz w:val="17"/>
        </w:rPr>
        <w:t>. </w:t>
      </w:r>
      <w:r>
        <w:rPr>
          <w:rFonts w:ascii="Times New Roman"/>
          <w:color w:val="383436"/>
          <w:spacing w:val="-6"/>
          <w:sz w:val="17"/>
        </w:rPr>
        <w:t>Qpyyynar'-IHHH</w:t>
      </w:r>
      <w:r>
        <w:rPr>
          <w:rFonts w:ascii="Times New Roman"/>
          <w:color w:val="383436"/>
          <w:spacing w:val="-1"/>
          <w:sz w:val="17"/>
        </w:rPr>
        <w:t> </w:t>
      </w:r>
      <w:r>
        <w:rPr>
          <w:rFonts w:ascii="Times New Roman"/>
          <w:color w:val="4F4D4D"/>
          <w:spacing w:val="-6"/>
          <w:sz w:val="17"/>
        </w:rPr>
        <w:t>TycnaM)K</w:t>
      </w:r>
      <w:r>
        <w:rPr>
          <w:rFonts w:ascii="Times New Roman"/>
          <w:color w:val="4F4D4D"/>
          <w:sz w:val="17"/>
        </w:rPr>
        <w:t> </w:t>
      </w:r>
      <w:r>
        <w:rPr>
          <w:rFonts w:ascii="Times New Roman"/>
          <w:color w:val="383436"/>
          <w:spacing w:val="-6"/>
          <w:sz w:val="12"/>
        </w:rPr>
        <w:t>TaH</w:t>
      </w:r>
      <w:r>
        <w:rPr>
          <w:rFonts w:ascii="Times New Roman"/>
          <w:color w:val="646262"/>
          <w:spacing w:val="-6"/>
          <w:sz w:val="12"/>
        </w:rPr>
        <w:t>,!l</w:t>
      </w:r>
      <w:r>
        <w:rPr>
          <w:rFonts w:ascii="Times New Roman"/>
          <w:color w:val="646262"/>
          <w:sz w:val="12"/>
        </w:rPr>
        <w:t> </w:t>
      </w:r>
      <w:r>
        <w:rPr>
          <w:rFonts w:ascii="Times New Roman"/>
          <w:color w:val="4F4D4D"/>
          <w:spacing w:val="-6"/>
          <w:sz w:val="17"/>
        </w:rPr>
        <w:t>YHJryii</w:t>
      </w:r>
      <w:r>
        <w:rPr>
          <w:rFonts w:ascii="Times New Roman"/>
          <w:color w:val="4F4D4D"/>
          <w:spacing w:val="12"/>
          <w:sz w:val="17"/>
        </w:rPr>
        <w:t> </w:t>
      </w:r>
      <w:r>
        <w:rPr>
          <w:rFonts w:ascii="Times New Roman"/>
          <w:color w:val="4F4D4D"/>
          <w:spacing w:val="-6"/>
          <w:sz w:val="17"/>
        </w:rPr>
        <w:t>6aiix</w:t>
      </w:r>
      <w:r>
        <w:rPr>
          <w:rFonts w:ascii="Times New Roman"/>
          <w:color w:val="4F4D4D"/>
          <w:sz w:val="17"/>
        </w:rPr>
        <w:t> </w:t>
      </w:r>
      <w:r>
        <w:rPr>
          <w:rFonts w:ascii="Times New Roman"/>
          <w:color w:val="4F4D4D"/>
          <w:spacing w:val="-6"/>
          <w:sz w:val="17"/>
        </w:rPr>
        <w:t>60JIHO</w:t>
      </w:r>
      <w:r>
        <w:rPr>
          <w:rFonts w:ascii="Times New Roman"/>
          <w:color w:val="242121"/>
          <w:spacing w:val="-6"/>
          <w:sz w:val="17"/>
        </w:rPr>
        <w:t>.</w:t>
      </w:r>
    </w:p>
    <w:p>
      <w:pPr>
        <w:spacing w:after="0" w:line="235" w:lineRule="auto"/>
        <w:jc w:val="left"/>
        <w:rPr>
          <w:rFonts w:ascii="Times New Roman"/>
          <w:sz w:val="17"/>
        </w:rPr>
        <w:sectPr>
          <w:type w:val="continuous"/>
          <w:pgSz w:w="20160" w:h="12240" w:orient="landscape"/>
          <w:pgMar w:header="0" w:footer="0" w:top="1820" w:bottom="280" w:left="380" w:right="120"/>
          <w:cols w:num="4" w:equalWidth="0">
            <w:col w:w="4272" w:space="734"/>
            <w:col w:w="4249" w:space="776"/>
            <w:col w:w="4241" w:space="765"/>
            <w:col w:w="4623"/>
          </w:cols>
        </w:sectPr>
      </w:pPr>
    </w:p>
    <w:p>
      <w:pPr>
        <w:tabs>
          <w:tab w:pos="2979" w:val="left" w:leader="none"/>
        </w:tabs>
        <w:spacing w:line="234" w:lineRule="exact" w:before="0"/>
        <w:ind w:left="1114" w:right="0" w:firstLine="0"/>
        <w:jc w:val="left"/>
        <w:rPr>
          <w:rFonts w:ascii="Times New Roman" w:hAnsi="Times New Roman"/>
          <w:sz w:val="14"/>
        </w:rPr>
      </w:pPr>
      <w:r>
        <w:rPr>
          <w:rFonts w:ascii="Verdana" w:hAnsi="Verdana"/>
          <w:i/>
          <w:color w:val="4F4D4D"/>
          <w:spacing w:val="-2"/>
          <w:w w:val="90"/>
          <w:sz w:val="16"/>
        </w:rPr>
        <w:t>·c-</w:t>
      </w:r>
      <w:r>
        <w:rPr>
          <w:rFonts w:ascii="Verdana" w:hAnsi="Verdana"/>
          <w:i/>
          <w:color w:val="4F4D4D"/>
          <w:spacing w:val="-7"/>
          <w:w w:val="90"/>
          <w:sz w:val="16"/>
        </w:rPr>
        <w:t> </w:t>
      </w:r>
      <w:r>
        <w:rPr>
          <w:rFonts w:ascii="Times New Roman" w:hAnsi="Times New Roman"/>
          <w:color w:val="4F4D4D"/>
          <w:spacing w:val="-2"/>
          <w:w w:val="90"/>
          <w:sz w:val="13"/>
        </w:rPr>
        <w:t>t;</w:t>
      </w:r>
      <w:r>
        <w:rPr>
          <w:rFonts w:ascii="Times New Roman" w:hAnsi="Times New Roman"/>
          <w:color w:val="4F4D4D"/>
          <w:spacing w:val="75"/>
          <w:sz w:val="13"/>
        </w:rPr>
        <w:t> </w:t>
      </w:r>
      <w:r>
        <w:rPr>
          <w:rFonts w:ascii="Arial" w:hAnsi="Arial"/>
          <w:color w:val="4F4D4D"/>
          <w:spacing w:val="-2"/>
          <w:w w:val="90"/>
          <w:sz w:val="18"/>
        </w:rPr>
        <w:t>LS</w:t>
      </w:r>
      <w:r>
        <w:rPr>
          <w:rFonts w:ascii="Arial" w:hAnsi="Arial"/>
          <w:color w:val="4F4D4D"/>
          <w:spacing w:val="-5"/>
          <w:w w:val="90"/>
          <w:sz w:val="18"/>
        </w:rPr>
        <w:t> </w:t>
      </w:r>
      <w:r>
        <w:rPr>
          <w:rFonts w:ascii="Verdana" w:hAnsi="Verdana"/>
          <w:i/>
          <w:color w:val="383436"/>
          <w:spacing w:val="-2"/>
          <w:w w:val="90"/>
          <w:sz w:val="19"/>
        </w:rPr>
        <w:t>d</w:t>
      </w:r>
      <w:r>
        <w:rPr>
          <w:rFonts w:ascii="Verdana" w:hAnsi="Verdana"/>
          <w:i/>
          <w:color w:val="383436"/>
          <w:spacing w:val="43"/>
          <w:sz w:val="19"/>
        </w:rPr>
        <w:t> </w:t>
      </w:r>
      <w:r>
        <w:rPr>
          <w:rFonts w:ascii="Times New Roman" w:hAnsi="Times New Roman"/>
          <w:i/>
          <w:color w:val="4F4D4D"/>
          <w:spacing w:val="-2"/>
          <w:w w:val="85"/>
          <w:sz w:val="23"/>
        </w:rPr>
        <w:t>r..r&gt;</w:t>
      </w:r>
      <w:r>
        <w:rPr>
          <w:rFonts w:ascii="Times New Roman" w:hAnsi="Times New Roman"/>
          <w:i/>
          <w:color w:val="4F4D4D"/>
          <w:spacing w:val="-4"/>
          <w:w w:val="85"/>
          <w:sz w:val="23"/>
        </w:rPr>
        <w:t> </w:t>
      </w:r>
      <w:r>
        <w:rPr>
          <w:rFonts w:ascii="Times New Roman" w:hAnsi="Times New Roman"/>
          <w:i/>
          <w:color w:val="4F4D4D"/>
          <w:spacing w:val="-5"/>
          <w:w w:val="90"/>
          <w:sz w:val="21"/>
        </w:rPr>
        <w:t>cs5</w:t>
      </w:r>
      <w:r>
        <w:rPr>
          <w:rFonts w:ascii="Times New Roman" w:hAnsi="Times New Roman"/>
          <w:i/>
          <w:color w:val="4F4D4D"/>
          <w:sz w:val="21"/>
        </w:rPr>
        <w:tab/>
      </w:r>
      <w:r>
        <w:rPr>
          <w:rFonts w:ascii="Times New Roman" w:hAnsi="Times New Roman"/>
          <w:i/>
          <w:color w:val="4F4D4D"/>
          <w:spacing w:val="-2"/>
          <w:w w:val="90"/>
          <w:sz w:val="20"/>
        </w:rPr>
        <w:t>r</w:t>
      </w:r>
      <w:r>
        <w:rPr>
          <w:rFonts w:ascii="Times New Roman" w:hAnsi="Times New Roman"/>
          <w:i/>
          <w:color w:val="4F4D4D"/>
          <w:spacing w:val="-4"/>
          <w:sz w:val="20"/>
        </w:rPr>
        <w:t> </w:t>
      </w:r>
      <w:r>
        <w:rPr>
          <w:rFonts w:ascii="Times New Roman" w:hAnsi="Times New Roman"/>
          <w:color w:val="4F4D4D"/>
          <w:spacing w:val="-2"/>
          <w:w w:val="90"/>
          <w:sz w:val="17"/>
        </w:rPr>
        <w:t>-,.,i</w:t>
      </w:r>
      <w:r>
        <w:rPr>
          <w:rFonts w:ascii="Times New Roman" w:hAnsi="Times New Roman"/>
          <w:color w:val="4F4D4D"/>
          <w:spacing w:val="20"/>
          <w:sz w:val="17"/>
        </w:rPr>
        <w:t> </w:t>
      </w:r>
      <w:r>
        <w:rPr>
          <w:rFonts w:ascii="Times New Roman" w:hAnsi="Times New Roman"/>
          <w:color w:val="4F4D4D"/>
          <w:spacing w:val="-2"/>
          <w:w w:val="90"/>
          <w:sz w:val="14"/>
        </w:rPr>
        <w:t>L.h;_;l</w:t>
      </w:r>
      <w:r>
        <w:rPr>
          <w:rFonts w:ascii="Times New Roman" w:hAnsi="Times New Roman"/>
          <w:color w:val="4F4D4D"/>
          <w:spacing w:val="2"/>
          <w:sz w:val="14"/>
        </w:rPr>
        <w:t> </w:t>
      </w:r>
      <w:r>
        <w:rPr>
          <w:rFonts w:ascii="Times New Roman" w:hAnsi="Times New Roman"/>
          <w:color w:val="4F4D4D"/>
          <w:spacing w:val="-5"/>
          <w:w w:val="90"/>
          <w:sz w:val="14"/>
        </w:rPr>
        <w:t>lS</w:t>
      </w:r>
    </w:p>
    <w:p>
      <w:pPr>
        <w:spacing w:before="41"/>
        <w:ind w:left="1114" w:right="0" w:firstLine="0"/>
        <w:jc w:val="left"/>
        <w:rPr>
          <w:rFonts w:ascii="Times New Roman"/>
          <w:b/>
          <w:sz w:val="19"/>
        </w:rPr>
      </w:pPr>
      <w:r>
        <w:rPr/>
        <w:br w:type="column"/>
      </w:r>
      <w:r>
        <w:rPr>
          <w:rFonts w:ascii="Times New Roman"/>
          <w:b/>
          <w:color w:val="383436"/>
          <w:spacing w:val="-2"/>
          <w:w w:val="110"/>
          <w:sz w:val="19"/>
        </w:rPr>
        <w:t>Tigrinya</w:t>
      </w:r>
    </w:p>
    <w:p>
      <w:pPr>
        <w:spacing w:before="50"/>
        <w:ind w:left="1114" w:right="0" w:firstLine="0"/>
        <w:jc w:val="left"/>
        <w:rPr>
          <w:rFonts w:ascii="Times New Roman" w:hAnsi="Times New Roman"/>
          <w:b/>
          <w:i/>
          <w:sz w:val="17"/>
        </w:rPr>
      </w:pPr>
      <w:r>
        <w:rPr/>
        <w:br w:type="column"/>
      </w:r>
      <w:r>
        <w:rPr>
          <w:rFonts w:ascii="Times New Roman" w:hAnsi="Times New Roman"/>
          <w:b/>
          <w:i/>
          <w:color w:val="383436"/>
          <w:w w:val="70"/>
          <w:sz w:val="17"/>
        </w:rPr>
        <w:t>-</w:t>
      </w:r>
      <w:r>
        <w:rPr>
          <w:rFonts w:ascii="Times New Roman" w:hAnsi="Times New Roman"/>
          <w:b/>
          <w:i/>
          <w:color w:val="383436"/>
          <w:w w:val="80"/>
          <w:sz w:val="17"/>
        </w:rPr>
        <w:t>"1C1:°</w:t>
      </w:r>
      <w:r>
        <w:rPr>
          <w:rFonts w:ascii="Times New Roman" w:hAnsi="Times New Roman"/>
          <w:b/>
          <w:i/>
          <w:color w:val="383436"/>
          <w:spacing w:val="40"/>
          <w:sz w:val="17"/>
        </w:rPr>
        <w:t> </w:t>
      </w:r>
      <w:r>
        <w:rPr>
          <w:rFonts w:ascii="Times New Roman" w:hAnsi="Times New Roman"/>
          <w:b/>
          <w:i/>
          <w:color w:val="383436"/>
          <w:spacing w:val="18"/>
          <w:position w:val="-2"/>
          <w:sz w:val="17"/>
        </w:rPr>
        <w:drawing>
          <wp:inline distT="0" distB="0" distL="0" distR="0">
            <wp:extent cx="214306" cy="104139"/>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109" cstate="print"/>
                    <a:stretch>
                      <a:fillRect/>
                    </a:stretch>
                  </pic:blipFill>
                  <pic:spPr>
                    <a:xfrm>
                      <a:off x="0" y="0"/>
                      <a:ext cx="214306" cy="104139"/>
                    </a:xfrm>
                    <a:prstGeom prst="rect">
                      <a:avLst/>
                    </a:prstGeom>
                  </pic:spPr>
                </pic:pic>
              </a:graphicData>
            </a:graphic>
          </wp:inline>
        </w:drawing>
      </w:r>
      <w:r>
        <w:rPr>
          <w:rFonts w:ascii="Times New Roman" w:hAnsi="Times New Roman"/>
          <w:b/>
          <w:i/>
          <w:color w:val="383436"/>
          <w:spacing w:val="18"/>
          <w:position w:val="-2"/>
          <w:sz w:val="17"/>
        </w:rPr>
      </w:r>
    </w:p>
    <w:p>
      <w:pPr>
        <w:spacing w:after="0"/>
        <w:jc w:val="left"/>
        <w:rPr>
          <w:rFonts w:ascii="Times New Roman" w:hAnsi="Times New Roman"/>
          <w:sz w:val="17"/>
        </w:rPr>
        <w:sectPr>
          <w:type w:val="continuous"/>
          <w:pgSz w:w="20160" w:h="12240" w:orient="landscape"/>
          <w:pgMar w:header="0" w:footer="0" w:top="1820" w:bottom="280" w:left="380" w:right="120"/>
          <w:cols w:num="3" w:equalWidth="0">
            <w:col w:w="3885" w:space="235"/>
            <w:col w:w="1920" w:space="1217"/>
            <w:col w:w="12403"/>
          </w:cols>
        </w:sectPr>
      </w:pPr>
    </w:p>
    <w:p>
      <w:pPr>
        <w:pStyle w:val="BodyText"/>
        <w:spacing w:line="20" w:lineRule="exact"/>
        <w:ind w:left="137"/>
        <w:rPr>
          <w:rFonts w:ascii="Times New Roman"/>
          <w:sz w:val="2"/>
        </w:rPr>
      </w:pPr>
      <w:r>
        <w:rPr>
          <w:rFonts w:ascii="Times New Roman"/>
          <w:sz w:val="2"/>
        </w:rPr>
        <mc:AlternateContent>
          <mc:Choice Requires="wps">
            <w:drawing>
              <wp:inline distT="0" distB="0" distL="0" distR="0">
                <wp:extent cx="2616200" cy="3175"/>
                <wp:effectExtent l="9525" t="0" r="0" b="6350"/>
                <wp:docPr id="470" name="Group 470"/>
                <wp:cNvGraphicFramePr>
                  <a:graphicFrameLocks/>
                </wp:cNvGraphicFramePr>
                <a:graphic>
                  <a:graphicData uri="http://schemas.microsoft.com/office/word/2010/wordprocessingGroup">
                    <wpg:wgp>
                      <wpg:cNvPr id="470" name="Group 470"/>
                      <wpg:cNvGrpSpPr/>
                      <wpg:grpSpPr>
                        <a:xfrm>
                          <a:off x="0" y="0"/>
                          <a:ext cx="2616200" cy="3175"/>
                          <a:chExt cx="2616200" cy="3175"/>
                        </a:xfrm>
                      </wpg:grpSpPr>
                      <wps:wsp>
                        <wps:cNvPr id="471" name="Graphic 471"/>
                        <wps:cNvSpPr/>
                        <wps:spPr>
                          <a:xfrm>
                            <a:off x="0" y="1587"/>
                            <a:ext cx="2616200" cy="1270"/>
                          </a:xfrm>
                          <a:custGeom>
                            <a:avLst/>
                            <a:gdLst/>
                            <a:ahLst/>
                            <a:cxnLst/>
                            <a:rect l="l" t="t" r="r" b="b"/>
                            <a:pathLst>
                              <a:path w="2616200" h="0">
                                <a:moveTo>
                                  <a:pt x="0" y="0"/>
                                </a:moveTo>
                                <a:lnTo>
                                  <a:pt x="408781" y="0"/>
                                </a:lnTo>
                                <a:lnTo>
                                  <a:pt x="1308099" y="0"/>
                                </a:lnTo>
                                <a:lnTo>
                                  <a:pt x="2207418" y="0"/>
                                </a:lnTo>
                                <a:lnTo>
                                  <a:pt x="2616199"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42" coordorigin="0,0" coordsize="4120,5">
                <v:shape style="position:absolute;left:0;top:2;width:4120;height:2" id="docshape343"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before="1"/>
        <w:ind w:left="5221" w:right="0" w:firstLine="0"/>
        <w:jc w:val="left"/>
        <w:rPr>
          <w:rFonts w:ascii="Arial" w:hAnsi="Arial"/>
          <w:b/>
          <w:sz w:val="14"/>
        </w:rPr>
      </w:pPr>
      <w:r>
        <w:rPr>
          <w:rFonts w:ascii="Times New Roman" w:hAnsi="Times New Roman"/>
          <w:b/>
          <w:color w:val="383436"/>
          <w:w w:val="90"/>
          <w:sz w:val="18"/>
        </w:rPr>
        <w:t>:l:1:l:lJ.9°</w:t>
      </w:r>
      <w:r>
        <w:rPr>
          <w:rFonts w:ascii="Times New Roman" w:hAnsi="Times New Roman"/>
          <w:b/>
          <w:color w:val="383436"/>
          <w:spacing w:val="24"/>
          <w:sz w:val="18"/>
        </w:rPr>
        <w:t> </w:t>
      </w:r>
      <w:r>
        <w:rPr>
          <w:rFonts w:ascii="Arial" w:hAnsi="Arial"/>
          <w:b/>
          <w:color w:val="242121"/>
          <w:w w:val="90"/>
          <w:sz w:val="14"/>
        </w:rPr>
        <w:t>1',{Jl)t\h-J:::</w:t>
      </w:r>
      <w:r>
        <w:rPr>
          <w:rFonts w:ascii="Arial" w:hAnsi="Arial"/>
          <w:b/>
          <w:color w:val="242121"/>
          <w:spacing w:val="17"/>
          <w:sz w:val="14"/>
        </w:rPr>
        <w:t> </w:t>
      </w:r>
      <w:r>
        <w:rPr>
          <w:rFonts w:ascii="Times New Roman" w:hAnsi="Times New Roman"/>
          <w:b/>
          <w:i/>
          <w:color w:val="242121"/>
          <w:w w:val="90"/>
          <w:sz w:val="17"/>
        </w:rPr>
        <w:t>h+C'IUIJ.</w:t>
      </w:r>
      <w:r>
        <w:rPr>
          <w:rFonts w:ascii="Times New Roman" w:hAnsi="Times New Roman"/>
          <w:b/>
          <w:i/>
          <w:color w:val="242121"/>
          <w:spacing w:val="24"/>
          <w:sz w:val="17"/>
        </w:rPr>
        <w:t> </w:t>
      </w:r>
      <w:r>
        <w:rPr>
          <w:rFonts w:ascii="Arial" w:hAnsi="Arial"/>
          <w:b/>
          <w:color w:val="383436"/>
          <w:w w:val="90"/>
          <w:sz w:val="14"/>
        </w:rPr>
        <w:t>hl'i•l'O</w:t>
      </w:r>
      <w:r>
        <w:rPr>
          <w:rFonts w:ascii="Arial" w:hAnsi="Arial"/>
          <w:b/>
          <w:color w:val="383436"/>
          <w:spacing w:val="24"/>
          <w:sz w:val="14"/>
        </w:rPr>
        <w:t> </w:t>
      </w:r>
      <w:r>
        <w:rPr>
          <w:rFonts w:ascii="Arial" w:hAnsi="Arial"/>
          <w:b/>
          <w:color w:val="242121"/>
          <w:w w:val="90"/>
          <w:position w:val="1"/>
          <w:sz w:val="14"/>
        </w:rPr>
        <w:t>.6"f1l'it\</w:t>
      </w:r>
      <w:r>
        <w:rPr>
          <w:rFonts w:ascii="Arial" w:hAnsi="Arial"/>
          <w:b/>
          <w:color w:val="242121"/>
          <w:spacing w:val="32"/>
          <w:position w:val="1"/>
          <w:sz w:val="14"/>
        </w:rPr>
        <w:t> </w:t>
      </w:r>
      <w:r>
        <w:rPr>
          <w:rFonts w:ascii="Arial" w:hAnsi="Arial"/>
          <w:b/>
          <w:color w:val="242121"/>
          <w:spacing w:val="-2"/>
          <w:w w:val="90"/>
          <w:position w:val="1"/>
          <w:sz w:val="14"/>
        </w:rPr>
        <w:t>1,Jt::</w:t>
      </w:r>
    </w:p>
    <w:p>
      <w:pPr>
        <w:spacing w:before="23"/>
        <w:ind w:left="5230" w:right="0" w:firstLine="0"/>
        <w:jc w:val="left"/>
        <w:rPr>
          <w:rFonts w:ascii="Times New Roman" w:hAnsi="Times New Roman"/>
          <w:b/>
          <w:sz w:val="16"/>
        </w:rPr>
      </w:pPr>
      <w:r>
        <w:rPr>
          <w:rFonts w:ascii="Times New Roman" w:hAnsi="Times New Roman"/>
          <w:b/>
          <w:color w:val="383436"/>
          <w:w w:val="90"/>
          <w:sz w:val="16"/>
        </w:rPr>
        <w:t>1h+C'l°'/.</w:t>
      </w:r>
      <w:r>
        <w:rPr>
          <w:rFonts w:ascii="Times New Roman" w:hAnsi="Times New Roman"/>
          <w:b/>
          <w:color w:val="383436"/>
          <w:spacing w:val="38"/>
          <w:sz w:val="16"/>
        </w:rPr>
        <w:t> </w:t>
      </w:r>
      <w:r>
        <w:rPr>
          <w:rFonts w:ascii="Times New Roman" w:hAnsi="Times New Roman"/>
          <w:b/>
          <w:color w:val="242121"/>
          <w:w w:val="90"/>
          <w:sz w:val="16"/>
        </w:rPr>
        <w:t>:,.</w:t>
      </w:r>
      <w:r>
        <w:rPr>
          <w:rFonts w:ascii="Times New Roman" w:hAnsi="Times New Roman"/>
          <w:b/>
          <w:color w:val="4F4D4D"/>
          <w:w w:val="90"/>
          <w:sz w:val="16"/>
        </w:rPr>
        <w:t>"fi'i</w:t>
      </w:r>
      <w:r>
        <w:rPr>
          <w:rFonts w:ascii="Times New Roman" w:hAnsi="Times New Roman"/>
          <w:b/>
          <w:color w:val="242121"/>
          <w:w w:val="90"/>
          <w:sz w:val="16"/>
        </w:rPr>
        <w:t>:t-.11•</w:t>
      </w:r>
      <w:r>
        <w:rPr>
          <w:rFonts w:ascii="Times New Roman" w:hAnsi="Times New Roman"/>
          <w:b/>
          <w:color w:val="242121"/>
          <w:spacing w:val="28"/>
          <w:sz w:val="16"/>
        </w:rPr>
        <w:t> </w:t>
      </w:r>
      <w:r>
        <w:rPr>
          <w:rFonts w:ascii="Times New Roman" w:hAnsi="Times New Roman"/>
          <w:b/>
          <w:color w:val="242121"/>
          <w:w w:val="90"/>
          <w:sz w:val="16"/>
        </w:rPr>
        <w:t>h'i=ll.T</w:t>
      </w:r>
      <w:r>
        <w:rPr>
          <w:rFonts w:ascii="Times New Roman" w:hAnsi="Times New Roman"/>
          <w:b/>
          <w:color w:val="242121"/>
          <w:spacing w:val="52"/>
          <w:sz w:val="16"/>
        </w:rPr>
        <w:t> </w:t>
      </w:r>
      <w:r>
        <w:rPr>
          <w:rFonts w:ascii="Times New Roman" w:hAnsi="Times New Roman"/>
          <w:b/>
          <w:color w:val="242121"/>
          <w:spacing w:val="-2"/>
          <w:w w:val="90"/>
          <w:sz w:val="16"/>
        </w:rPr>
        <w:t>l'fl1::</w:t>
      </w:r>
    </w:p>
    <w:p>
      <w:pPr>
        <w:tabs>
          <w:tab w:pos="2467" w:val="left" w:leader="none"/>
        </w:tabs>
        <w:spacing w:line="219" w:lineRule="exact" w:before="134"/>
        <w:ind w:left="0" w:right="0" w:firstLine="0"/>
        <w:jc w:val="right"/>
        <w:rPr>
          <w:rFonts w:ascii="Times New Roman" w:hAnsi="Times New Roman" w:cs="Times New Roman" w:eastAsia="Times New Roman"/>
          <w:sz w:val="14"/>
          <w:szCs w:val="14"/>
        </w:rPr>
      </w:pPr>
      <w:r>
        <w:rPr/>
        <w:br w:type="column"/>
      </w:r>
      <w:r>
        <w:rPr>
          <w:rFonts w:ascii="Times New Roman" w:hAnsi="Times New Roman" w:cs="Times New Roman" w:eastAsia="Times New Roman"/>
          <w:b/>
          <w:bCs/>
          <w:color w:val="383436"/>
          <w:w w:val="85"/>
          <w:position w:val="-4"/>
          <w:sz w:val="21"/>
          <w:szCs w:val="21"/>
        </w:rPr>
        <w:t>China</w:t>
      </w:r>
      <w:r>
        <w:rPr>
          <w:rFonts w:ascii="Times New Roman" w:hAnsi="Times New Roman" w:cs="Times New Roman" w:eastAsia="Times New Roman"/>
          <w:b/>
          <w:bCs/>
          <w:color w:val="383436"/>
          <w:spacing w:val="54"/>
          <w:w w:val="150"/>
          <w:position w:val="-4"/>
          <w:sz w:val="21"/>
          <w:szCs w:val="21"/>
        </w:rPr>
        <w:t> </w:t>
      </w:r>
      <w:r>
        <w:rPr>
          <w:rFonts w:ascii="Verdana" w:hAnsi="Verdana" w:cs="Verdana" w:eastAsia="Verdana"/>
          <w:i/>
          <w:iCs/>
          <w:color w:val="959395"/>
          <w:w w:val="85"/>
          <w:sz w:val="17"/>
          <w:szCs w:val="17"/>
        </w:rPr>
        <w:t>ii</w:t>
      </w:r>
      <w:r>
        <w:rPr>
          <w:rFonts w:ascii="Verdana" w:hAnsi="Verdana" w:cs="Verdana" w:eastAsia="Verdana"/>
          <w:i/>
          <w:iCs/>
          <w:color w:val="7C7B7B"/>
          <w:w w:val="85"/>
          <w:sz w:val="17"/>
          <w:szCs w:val="17"/>
        </w:rPr>
        <w:t>Nt§lilZ-</w:t>
      </w:r>
      <w:r>
        <w:rPr>
          <w:rFonts w:ascii="Verdana" w:hAnsi="Verdana" w:cs="Verdana" w:eastAsia="Verdana"/>
          <w:i/>
          <w:iCs/>
          <w:color w:val="7C7B7B"/>
          <w:spacing w:val="-2"/>
          <w:w w:val="85"/>
          <w:sz w:val="17"/>
          <w:szCs w:val="17"/>
        </w:rPr>
        <w:t>f/Eil&lt;J�§,</w:t>
      </w:r>
      <w:r>
        <w:rPr>
          <w:rFonts w:ascii="Times New Roman" w:hAnsi="Times New Roman" w:cs="Times New Roman" w:eastAsia="Times New Roman"/>
          <w:color w:val="7C7B7B"/>
          <w:spacing w:val="-2"/>
          <w:w w:val="85"/>
          <w:sz w:val="17"/>
          <w:szCs w:val="17"/>
        </w:rPr>
        <w:t>J:Jil!!</w:t>
      </w:r>
      <w:r>
        <w:rPr>
          <w:rFonts w:ascii="Times New Roman" w:hAnsi="Times New Roman" w:cs="Times New Roman" w:eastAsia="Times New Roman"/>
          <w:color w:val="7C7B7B"/>
          <w:sz w:val="17"/>
          <w:szCs w:val="17"/>
        </w:rPr>
        <w:tab/>
      </w:r>
      <w:r>
        <w:rPr>
          <w:rFonts w:ascii="Times New Roman" w:hAnsi="Times New Roman" w:cs="Times New Roman" w:eastAsia="Times New Roman"/>
          <w:color w:val="7C7B7B"/>
          <w:w w:val="75"/>
          <w:sz w:val="17"/>
          <w:szCs w:val="17"/>
        </w:rPr>
        <w:t>ii'H§</w:t>
      </w:r>
      <w:r>
        <w:rPr>
          <w:rFonts w:ascii="Times New Roman" w:hAnsi="Times New Roman" w:cs="Times New Roman" w:eastAsia="Times New Roman"/>
          <w:color w:val="959395"/>
          <w:w w:val="75"/>
          <w:sz w:val="17"/>
          <w:szCs w:val="17"/>
        </w:rPr>
        <w:t>i</w:t>
      </w:r>
      <w:r>
        <w:rPr>
          <w:rFonts w:ascii="Times New Roman" w:hAnsi="Times New Roman" w:cs="Times New Roman" w:eastAsia="Times New Roman"/>
          <w:color w:val="7C7B7B"/>
          <w:w w:val="75"/>
          <w:sz w:val="17"/>
          <w:szCs w:val="17"/>
        </w:rPr>
        <w:t>,A.//Eil&lt;Ji#</w:t>
      </w:r>
      <w:r>
        <w:rPr>
          <w:rFonts w:ascii="Times New Roman" w:hAnsi="Times New Roman" w:cs="Times New Roman" w:eastAsia="Times New Roman"/>
          <w:color w:val="A8A7A7"/>
          <w:w w:val="75"/>
          <w:sz w:val="17"/>
          <w:szCs w:val="17"/>
        </w:rPr>
        <w:t>§</w:t>
      </w:r>
      <w:r>
        <w:rPr>
          <w:rFonts w:ascii="Times New Roman" w:hAnsi="Times New Roman" w:cs="Times New Roman" w:eastAsia="Times New Roman"/>
          <w:color w:val="A8A7A7"/>
          <w:spacing w:val="42"/>
          <w:sz w:val="17"/>
          <w:szCs w:val="17"/>
        </w:rPr>
        <w:t> </w:t>
      </w:r>
      <w:r>
        <w:rPr>
          <w:rFonts w:ascii="Times New Roman" w:hAnsi="Times New Roman" w:cs="Times New Roman" w:eastAsia="Times New Roman"/>
          <w:color w:val="646262"/>
          <w:w w:val="75"/>
          <w:sz w:val="17"/>
          <w:szCs w:val="17"/>
        </w:rPr>
        <w:t>'</w:t>
      </w:r>
      <w:r>
        <w:rPr>
          <w:rFonts w:ascii="Times New Roman" w:hAnsi="Times New Roman" w:cs="Times New Roman" w:eastAsia="Times New Roman"/>
          <w:color w:val="646262"/>
          <w:spacing w:val="8"/>
          <w:sz w:val="17"/>
          <w:szCs w:val="17"/>
        </w:rPr>
        <w:t> </w:t>
      </w:r>
      <w:r>
        <w:rPr>
          <w:rFonts w:ascii="Times New Roman" w:hAnsi="Times New Roman" w:cs="Times New Roman" w:eastAsia="Times New Roman"/>
          <w:color w:val="7C7B7B"/>
          <w:spacing w:val="-2"/>
          <w:w w:val="75"/>
          <w:sz w:val="13"/>
          <w:szCs w:val="13"/>
        </w:rPr>
        <w:t>J;.,(</w:t>
      </w:r>
      <w:r>
        <w:rPr>
          <w:rFonts w:ascii="Times New Roman" w:hAnsi="Times New Roman" w:cs="Times New Roman" w:eastAsia="Times New Roman"/>
          <w:color w:val="7C7B7B"/>
          <w:spacing w:val="-2"/>
          <w:w w:val="75"/>
          <w:sz w:val="14"/>
          <w:szCs w:val="14"/>
        </w:rPr>
        <w:t>{l!!j;J</w:t>
      </w:r>
    </w:p>
    <w:p>
      <w:pPr>
        <w:tabs>
          <w:tab w:pos="1734" w:val="left" w:leader="none"/>
        </w:tabs>
        <w:spacing w:line="158" w:lineRule="exact" w:before="0"/>
        <w:ind w:left="0" w:right="32" w:firstLine="0"/>
        <w:jc w:val="right"/>
        <w:rPr>
          <w:rFonts w:ascii="Times New Roman" w:hAnsi="Times New Roman"/>
          <w:sz w:val="5"/>
        </w:rPr>
      </w:pPr>
      <w:r>
        <w:rPr/>
        <mc:AlternateContent>
          <mc:Choice Requires="wps">
            <w:drawing>
              <wp:anchor distT="0" distB="0" distL="0" distR="0" allowOverlap="1" layoutInCell="1" locked="0" behindDoc="0" simplePos="0" relativeHeight="15838208">
                <wp:simplePos x="0" y="0"/>
                <wp:positionH relativeFrom="page">
                  <wp:posOffset>3504902</wp:posOffset>
                </wp:positionH>
                <wp:positionV relativeFrom="paragraph">
                  <wp:posOffset>60102</wp:posOffset>
                </wp:positionV>
                <wp:extent cx="2616200" cy="1270"/>
                <wp:effectExtent l="0" t="0" r="0" b="0"/>
                <wp:wrapNone/>
                <wp:docPr id="472" name="Graphic 472"/>
                <wp:cNvGraphicFramePr>
                  <a:graphicFrameLocks/>
                </wp:cNvGraphicFramePr>
                <a:graphic>
                  <a:graphicData uri="http://schemas.microsoft.com/office/word/2010/wordprocessingShape">
                    <wps:wsp>
                      <wps:cNvPr id="472" name="Graphic 472"/>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75.976593pt;margin-top:4.732503pt;width:206pt;height:.1pt;mso-position-horizontal-relative:page;mso-position-vertical-relative:paragraph;z-index:15838208" id="docshape344" coordorigin="5520,95" coordsize="4120,0" path="m5520,95l6163,95,7580,95,8996,95,9640,95e" filled="false" stroked="true" strokeweight=".25pt" strokecolor="#231f20">
                <v:path arrowok="t"/>
                <v:stroke dashstyle="solid"/>
                <w10:wrap type="none"/>
              </v:shape>
            </w:pict>
          </mc:Fallback>
        </mc:AlternateContent>
      </w:r>
      <w:r>
        <w:rPr/>
        <w:drawing>
          <wp:anchor distT="0" distB="0" distL="0" distR="0" allowOverlap="1" layoutInCell="1" locked="0" behindDoc="0" simplePos="0" relativeHeight="15847424">
            <wp:simplePos x="0" y="0"/>
            <wp:positionH relativeFrom="page">
              <wp:posOffset>12221816</wp:posOffset>
            </wp:positionH>
            <wp:positionV relativeFrom="paragraph">
              <wp:posOffset>130324</wp:posOffset>
            </wp:positionV>
            <wp:extent cx="214299" cy="104139"/>
            <wp:effectExtent l="0" t="0" r="0" b="0"/>
            <wp:wrapNone/>
            <wp:docPr id="473" name="Image 473"/>
            <wp:cNvGraphicFramePr>
              <a:graphicFrameLocks/>
            </wp:cNvGraphicFramePr>
            <a:graphic>
              <a:graphicData uri="http://schemas.openxmlformats.org/drawingml/2006/picture">
                <pic:pic>
                  <pic:nvPicPr>
                    <pic:cNvPr id="473" name="Image 473"/>
                    <pic:cNvPicPr/>
                  </pic:nvPicPr>
                  <pic:blipFill>
                    <a:blip r:embed="rId139" cstate="print"/>
                    <a:stretch>
                      <a:fillRect/>
                    </a:stretch>
                  </pic:blipFill>
                  <pic:spPr>
                    <a:xfrm>
                      <a:off x="0" y="0"/>
                      <a:ext cx="214299" cy="104139"/>
                    </a:xfrm>
                    <a:prstGeom prst="rect">
                      <a:avLst/>
                    </a:prstGeom>
                  </pic:spPr>
                </pic:pic>
              </a:graphicData>
            </a:graphic>
          </wp:anchor>
        </w:drawing>
      </w:r>
      <w:r>
        <w:rPr/>
        <mc:AlternateContent>
          <mc:Choice Requires="wps">
            <w:drawing>
              <wp:anchor distT="0" distB="0" distL="0" distR="0" allowOverlap="1" layoutInCell="1" locked="0" behindDoc="0" simplePos="0" relativeHeight="15848960">
                <wp:simplePos x="0" y="0"/>
                <wp:positionH relativeFrom="page">
                  <wp:posOffset>6641803</wp:posOffset>
                </wp:positionH>
                <wp:positionV relativeFrom="paragraph">
                  <wp:posOffset>178247</wp:posOffset>
                </wp:positionV>
                <wp:extent cx="2692400" cy="1677035"/>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2692400" cy="167703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042"/>
                              <w:gridCol w:w="1738"/>
                            </w:tblGrid>
                            <w:tr>
                              <w:trPr>
                                <w:trHeight w:val="374" w:hRule="atLeast"/>
                              </w:trPr>
                              <w:tc>
                                <w:tcPr>
                                  <w:tcW w:w="1340" w:type="dxa"/>
                                  <w:tcBorders>
                                    <w:top w:val="single" w:sz="2" w:space="0" w:color="231F20"/>
                                    <w:bottom w:val="single" w:sz="2" w:space="0" w:color="231F20"/>
                                  </w:tcBorders>
                                </w:tcPr>
                                <w:p>
                                  <w:pPr>
                                    <w:pStyle w:val="TableParagraph"/>
                                    <w:spacing w:line="240" w:lineRule="auto" w:before="73"/>
                                    <w:ind w:left="133"/>
                                    <w:rPr>
                                      <w:b/>
                                      <w:sz w:val="21"/>
                                    </w:rPr>
                                  </w:pPr>
                                  <w:r>
                                    <w:rPr>
                                      <w:b/>
                                      <w:color w:val="383436"/>
                                      <w:spacing w:val="-2"/>
                                      <w:w w:val="110"/>
                                      <w:sz w:val="21"/>
                                    </w:rPr>
                                    <w:t>Cantonese</w:t>
                                  </w:r>
                                </w:p>
                              </w:tc>
                              <w:tc>
                                <w:tcPr>
                                  <w:tcW w:w="1042" w:type="dxa"/>
                                  <w:tcBorders>
                                    <w:top w:val="single" w:sz="2" w:space="0" w:color="231F20"/>
                                    <w:bottom w:val="single" w:sz="2" w:space="0" w:color="231F20"/>
                                  </w:tcBorders>
                                </w:tcPr>
                                <w:p>
                                  <w:pPr>
                                    <w:pStyle w:val="TableParagraph"/>
                                    <w:spacing w:line="240" w:lineRule="auto" w:before="58"/>
                                    <w:ind w:left="122"/>
                                    <w:rPr>
                                      <w:rFonts w:ascii="Arial"/>
                                      <w:sz w:val="21"/>
                                    </w:rPr>
                                  </w:pPr>
                                  <w:r>
                                    <w:rPr>
                                      <w:rFonts w:ascii="Arial"/>
                                      <w:color w:val="646262"/>
                                      <w:spacing w:val="-2"/>
                                      <w:w w:val="75"/>
                                      <w:sz w:val="21"/>
                                    </w:rPr>
                                    <w:t>JJJ!a!]jS</w:t>
                                  </w:r>
                                </w:p>
                              </w:tc>
                              <w:tc>
                                <w:tcPr>
                                  <w:tcW w:w="1738" w:type="dxa"/>
                                  <w:tcBorders>
                                    <w:top w:val="single" w:sz="2" w:space="0" w:color="231F20"/>
                                    <w:bottom w:val="single" w:sz="2" w:space="0" w:color="231F20"/>
                                  </w:tcBorders>
                                </w:tcPr>
                                <w:p>
                                  <w:pPr>
                                    <w:pStyle w:val="TableParagraph"/>
                                    <w:spacing w:line="240" w:lineRule="auto" w:before="58"/>
                                    <w:ind w:left="406"/>
                                    <w:rPr>
                                      <w:rFonts w:ascii="Arial"/>
                                      <w:sz w:val="21"/>
                                    </w:rPr>
                                  </w:pPr>
                                  <w:r>
                                    <w:rPr>
                                      <w:rFonts w:ascii="Arial"/>
                                      <w:color w:val="7C7B7B"/>
                                      <w:spacing w:val="-2"/>
                                      <w:sz w:val="21"/>
                                    </w:rPr>
                                    <w:t>JJFijl;</w:t>
                                  </w:r>
                                </w:p>
                              </w:tc>
                            </w:tr>
                            <w:tr>
                              <w:trPr>
                                <w:trHeight w:val="374" w:hRule="atLeast"/>
                              </w:trPr>
                              <w:tc>
                                <w:tcPr>
                                  <w:tcW w:w="1340" w:type="dxa"/>
                                  <w:tcBorders>
                                    <w:top w:val="single" w:sz="2" w:space="0" w:color="231F20"/>
                                    <w:bottom w:val="single" w:sz="2" w:space="0" w:color="231F20"/>
                                  </w:tcBorders>
                                </w:tcPr>
                                <w:p>
                                  <w:pPr>
                                    <w:pStyle w:val="TableParagraph"/>
                                    <w:spacing w:line="240" w:lineRule="auto" w:before="60"/>
                                    <w:ind w:left="133"/>
                                    <w:rPr>
                                      <w:b/>
                                      <w:sz w:val="21"/>
                                    </w:rPr>
                                  </w:pPr>
                                  <w:r>
                                    <w:rPr>
                                      <w:b/>
                                      <w:color w:val="383436"/>
                                      <w:spacing w:val="-2"/>
                                      <w:w w:val="110"/>
                                      <w:sz w:val="21"/>
                                    </w:rPr>
                                    <w:t>Chaochow</w:t>
                                  </w:r>
                                </w:p>
                              </w:tc>
                              <w:tc>
                                <w:tcPr>
                                  <w:tcW w:w="1042" w:type="dxa"/>
                                  <w:tcBorders>
                                    <w:top w:val="single" w:sz="2" w:space="0" w:color="231F20"/>
                                    <w:bottom w:val="single" w:sz="2" w:space="0" w:color="231F20"/>
                                  </w:tcBorders>
                                </w:tcPr>
                                <w:p>
                                  <w:pPr>
                                    <w:pStyle w:val="TableParagraph"/>
                                    <w:spacing w:line="240" w:lineRule="auto" w:before="64"/>
                                    <w:ind w:left="90"/>
                                    <w:rPr>
                                      <w:rFonts w:ascii="Arial"/>
                                      <w:sz w:val="21"/>
                                    </w:rPr>
                                  </w:pPr>
                                  <w:r>
                                    <w:rPr>
                                      <w:rFonts w:ascii="Arial"/>
                                      <w:color w:val="4F4D4D"/>
                                      <w:spacing w:val="-2"/>
                                      <w:w w:val="85"/>
                                      <w:sz w:val="21"/>
                                    </w:rPr>
                                    <w:t>11HrnE</w:t>
                                  </w:r>
                                </w:p>
                              </w:tc>
                              <w:tc>
                                <w:tcPr>
                                  <w:tcW w:w="1738" w:type="dxa"/>
                                  <w:tcBorders>
                                    <w:top w:val="single" w:sz="2" w:space="0" w:color="231F20"/>
                                    <w:bottom w:val="single" w:sz="2" w:space="0" w:color="231F20"/>
                                  </w:tcBorders>
                                </w:tcPr>
                                <w:p>
                                  <w:pPr>
                                    <w:pStyle w:val="TableParagraph"/>
                                    <w:spacing w:line="240" w:lineRule="auto" w:before="49"/>
                                    <w:ind w:left="402"/>
                                    <w:rPr>
                                      <w:rFonts w:ascii="Arial"/>
                                      <w:sz w:val="21"/>
                                    </w:rPr>
                                  </w:pPr>
                                  <w:r>
                                    <w:rPr>
                                      <w:rFonts w:ascii="Arial"/>
                                      <w:color w:val="646262"/>
                                      <w:spacing w:val="-2"/>
                                      <w:sz w:val="21"/>
                                    </w:rPr>
                                    <w:t>jMi'!iE</w:t>
                                  </w:r>
                                </w:p>
                              </w:tc>
                            </w:tr>
                            <w:tr>
                              <w:trPr>
                                <w:trHeight w:val="401" w:hRule="atLeast"/>
                              </w:trPr>
                              <w:tc>
                                <w:tcPr>
                                  <w:tcW w:w="1340" w:type="dxa"/>
                                  <w:tcBorders>
                                    <w:top w:val="single" w:sz="2" w:space="0" w:color="231F20"/>
                                    <w:bottom w:val="single" w:sz="2" w:space="0" w:color="231F20"/>
                                  </w:tcBorders>
                                </w:tcPr>
                                <w:p>
                                  <w:pPr>
                                    <w:pStyle w:val="TableParagraph"/>
                                    <w:spacing w:line="240" w:lineRule="auto" w:before="65"/>
                                    <w:ind w:left="132"/>
                                    <w:rPr>
                                      <w:b/>
                                      <w:sz w:val="21"/>
                                    </w:rPr>
                                  </w:pPr>
                                  <w:r>
                                    <w:rPr>
                                      <w:b/>
                                      <w:color w:val="383436"/>
                                      <w:spacing w:val="-2"/>
                                      <w:w w:val="110"/>
                                      <w:sz w:val="21"/>
                                    </w:rPr>
                                    <w:t>Fukienese</w:t>
                                  </w:r>
                                </w:p>
                              </w:tc>
                              <w:tc>
                                <w:tcPr>
                                  <w:tcW w:w="1042" w:type="dxa"/>
                                  <w:tcBorders>
                                    <w:top w:val="single" w:sz="2" w:space="0" w:color="231F20"/>
                                    <w:bottom w:val="single" w:sz="2" w:space="0" w:color="231F20"/>
                                  </w:tcBorders>
                                </w:tcPr>
                                <w:p>
                                  <w:pPr>
                                    <w:pStyle w:val="TableParagraph"/>
                                    <w:spacing w:line="240" w:lineRule="auto" w:before="63"/>
                                    <w:ind w:left="97"/>
                                    <w:rPr>
                                      <w:rFonts w:ascii="Verdana" w:hAnsi="Verdana" w:cs="Verdana" w:eastAsia="Verdana"/>
                                      <w:i/>
                                      <w:iCs/>
                                      <w:sz w:val="23"/>
                                      <w:szCs w:val="23"/>
                                    </w:rPr>
                                  </w:pPr>
                                  <w:r>
                                    <w:rPr>
                                      <w:rFonts w:ascii="Verdana" w:hAnsi="Verdana" w:cs="Verdana" w:eastAsia="Verdana"/>
                                      <w:i/>
                                      <w:iCs/>
                                      <w:color w:val="4F4D4D"/>
                                      <w:spacing w:val="-4"/>
                                      <w:w w:val="90"/>
                                      <w:sz w:val="23"/>
                                      <w:szCs w:val="23"/>
                                    </w:rPr>
                                    <w:t>m�iE</w:t>
                                  </w:r>
                                </w:p>
                              </w:tc>
                              <w:tc>
                                <w:tcPr>
                                  <w:tcW w:w="1738" w:type="dxa"/>
                                  <w:tcBorders>
                                    <w:top w:val="single" w:sz="2" w:space="0" w:color="231F20"/>
                                    <w:bottom w:val="single" w:sz="2" w:space="0" w:color="231F20"/>
                                  </w:tcBorders>
                                </w:tcPr>
                                <w:p>
                                  <w:pPr>
                                    <w:pStyle w:val="TableParagraph"/>
                                    <w:spacing w:line="240" w:lineRule="auto" w:before="78"/>
                                    <w:ind w:left="379"/>
                                    <w:rPr>
                                      <w:rFonts w:ascii="Arial"/>
                                      <w:sz w:val="21"/>
                                    </w:rPr>
                                  </w:pPr>
                                  <w:r>
                                    <w:rPr>
                                      <w:rFonts w:ascii="Arial"/>
                                      <w:color w:val="646262"/>
                                      <w:w w:val="120"/>
                                      <w:sz w:val="21"/>
                                    </w:rPr>
                                    <w:t>t&amp;</w:t>
                                  </w:r>
                                  <w:r>
                                    <w:rPr>
                                      <w:rFonts w:ascii="Arial"/>
                                      <w:color w:val="646262"/>
                                      <w:spacing w:val="-2"/>
                                      <w:w w:val="120"/>
                                      <w:sz w:val="21"/>
                                    </w:rPr>
                                    <w:t> </w:t>
                                  </w:r>
                                  <w:r>
                                    <w:rPr>
                                      <w:rFonts w:ascii="Arial"/>
                                      <w:color w:val="646262"/>
                                      <w:spacing w:val="-4"/>
                                      <w:w w:val="120"/>
                                      <w:sz w:val="21"/>
                                    </w:rPr>
                                    <w:t>ijl;</w:t>
                                  </w:r>
                                </w:p>
                              </w:tc>
                            </w:tr>
                            <w:tr>
                              <w:trPr>
                                <w:trHeight w:val="354" w:hRule="atLeast"/>
                              </w:trPr>
                              <w:tc>
                                <w:tcPr>
                                  <w:tcW w:w="1340" w:type="dxa"/>
                                  <w:tcBorders>
                                    <w:top w:val="single" w:sz="2" w:space="0" w:color="231F20"/>
                                    <w:bottom w:val="single" w:sz="2" w:space="0" w:color="231F20"/>
                                  </w:tcBorders>
                                </w:tcPr>
                                <w:p>
                                  <w:pPr>
                                    <w:pStyle w:val="TableParagraph"/>
                                    <w:spacing w:line="240" w:lineRule="auto" w:before="38"/>
                                    <w:ind w:left="132"/>
                                    <w:rPr>
                                      <w:b/>
                                      <w:sz w:val="21"/>
                                    </w:rPr>
                                  </w:pPr>
                                  <w:r>
                                    <w:rPr>
                                      <w:b/>
                                      <w:color w:val="383436"/>
                                      <w:spacing w:val="-2"/>
                                      <w:w w:val="105"/>
                                      <w:sz w:val="21"/>
                                    </w:rPr>
                                    <w:t>Mandarin</w:t>
                                  </w:r>
                                </w:p>
                              </w:tc>
                              <w:tc>
                                <w:tcPr>
                                  <w:tcW w:w="1042" w:type="dxa"/>
                                  <w:tcBorders>
                                    <w:top w:val="single" w:sz="2" w:space="0" w:color="231F20"/>
                                    <w:bottom w:val="single" w:sz="2" w:space="0" w:color="231F20"/>
                                  </w:tcBorders>
                                </w:tcPr>
                                <w:p>
                                  <w:pPr>
                                    <w:pStyle w:val="TableParagraph"/>
                                    <w:spacing w:line="240" w:lineRule="auto" w:before="66"/>
                                    <w:ind w:left="179"/>
                                    <w:rPr>
                                      <w:rFonts w:ascii="Arial"/>
                                      <w:sz w:val="21"/>
                                    </w:rPr>
                                  </w:pPr>
                                  <w:r>
                                    <w:rPr>
                                      <w:rFonts w:ascii="Arial"/>
                                      <w:color w:val="4F4D4D"/>
                                      <w:spacing w:val="-5"/>
                                      <w:w w:val="115"/>
                                      <w:sz w:val="21"/>
                                    </w:rPr>
                                    <w:t>ilR</w:t>
                                  </w:r>
                                </w:p>
                              </w:tc>
                              <w:tc>
                                <w:tcPr>
                                  <w:tcW w:w="1738" w:type="dxa"/>
                                  <w:tcBorders>
                                    <w:top w:val="single" w:sz="2" w:space="0" w:color="231F20"/>
                                    <w:bottom w:val="single" w:sz="2" w:space="0" w:color="231F20"/>
                                  </w:tcBorders>
                                </w:tcPr>
                                <w:p>
                                  <w:pPr>
                                    <w:pStyle w:val="TableParagraph"/>
                                    <w:spacing w:line="240" w:lineRule="auto" w:before="22"/>
                                    <w:ind w:left="369"/>
                                    <w:rPr>
                                      <w:rFonts w:ascii="Arial"/>
                                      <w:sz w:val="21"/>
                                    </w:rPr>
                                  </w:pPr>
                                  <w:r>
                                    <w:rPr>
                                      <w:rFonts w:ascii="Arial"/>
                                      <w:color w:val="7C7B7B"/>
                                      <w:spacing w:val="-2"/>
                                      <w:sz w:val="21"/>
                                    </w:rPr>
                                    <w:t>i(fjfilijl;</w:t>
                                  </w:r>
                                </w:p>
                              </w:tc>
                            </w:tr>
                            <w:tr>
                              <w:trPr>
                                <w:trHeight w:val="363" w:hRule="atLeast"/>
                              </w:trPr>
                              <w:tc>
                                <w:tcPr>
                                  <w:tcW w:w="1340" w:type="dxa"/>
                                  <w:tcBorders>
                                    <w:top w:val="single" w:sz="2" w:space="0" w:color="231F20"/>
                                    <w:bottom w:val="single" w:sz="2" w:space="0" w:color="231F20"/>
                                  </w:tcBorders>
                                </w:tcPr>
                                <w:p>
                                  <w:pPr>
                                    <w:pStyle w:val="TableParagraph"/>
                                    <w:spacing w:line="240" w:lineRule="auto" w:before="53"/>
                                    <w:ind w:left="130"/>
                                    <w:rPr>
                                      <w:b/>
                                      <w:sz w:val="21"/>
                                    </w:rPr>
                                  </w:pPr>
                                  <w:r>
                                    <w:rPr>
                                      <w:b/>
                                      <w:color w:val="383436"/>
                                      <w:spacing w:val="-2"/>
                                      <w:w w:val="110"/>
                                      <w:sz w:val="21"/>
                                    </w:rPr>
                                    <w:t>Shanghai</w:t>
                                  </w:r>
                                </w:p>
                              </w:tc>
                              <w:tc>
                                <w:tcPr>
                                  <w:tcW w:w="1042" w:type="dxa"/>
                                  <w:tcBorders>
                                    <w:top w:val="single" w:sz="2" w:space="0" w:color="231F20"/>
                                    <w:bottom w:val="single" w:sz="2" w:space="0" w:color="231F20"/>
                                  </w:tcBorders>
                                </w:tcPr>
                                <w:p>
                                  <w:pPr>
                                    <w:pStyle w:val="TableParagraph"/>
                                    <w:spacing w:line="240" w:lineRule="auto" w:before="38"/>
                                    <w:ind w:left="102"/>
                                    <w:rPr>
                                      <w:rFonts w:ascii="Arial"/>
                                      <w:sz w:val="21"/>
                                    </w:rPr>
                                  </w:pPr>
                                  <w:r>
                                    <w:rPr>
                                      <w:rFonts w:ascii="Arial"/>
                                      <w:color w:val="4F4D4D"/>
                                      <w:spacing w:val="-2"/>
                                      <w:sz w:val="21"/>
                                    </w:rPr>
                                    <w:t>JJffi</w:t>
                                  </w:r>
                                  <w:r>
                                    <w:rPr>
                                      <w:rFonts w:ascii="Arial"/>
                                      <w:color w:val="7C7B7B"/>
                                      <w:spacing w:val="-2"/>
                                      <w:sz w:val="21"/>
                                    </w:rPr>
                                    <w:t>ijl;</w:t>
                                  </w:r>
                                </w:p>
                              </w:tc>
                              <w:tc>
                                <w:tcPr>
                                  <w:tcW w:w="1738" w:type="dxa"/>
                                  <w:tcBorders>
                                    <w:top w:val="single" w:sz="2" w:space="0" w:color="231F20"/>
                                    <w:bottom w:val="single" w:sz="2" w:space="0" w:color="231F20"/>
                                  </w:tcBorders>
                                </w:tcPr>
                                <w:p>
                                  <w:pPr>
                                    <w:pStyle w:val="TableParagraph"/>
                                    <w:spacing w:line="240" w:lineRule="auto" w:before="33"/>
                                    <w:ind w:left="363"/>
                                    <w:rPr>
                                      <w:rFonts w:ascii="Arial"/>
                                      <w:sz w:val="21"/>
                                    </w:rPr>
                                  </w:pPr>
                                  <w:r>
                                    <w:rPr>
                                      <w:rFonts w:ascii="Arial"/>
                                      <w:color w:val="7C7B7B"/>
                                      <w:spacing w:val="-2"/>
                                      <w:w w:val="85"/>
                                      <w:sz w:val="21"/>
                                    </w:rPr>
                                    <w:t>..t.?ffiijl;</w:t>
                                  </w:r>
                                </w:p>
                              </w:tc>
                            </w:tr>
                            <w:tr>
                              <w:trPr>
                                <w:trHeight w:val="374" w:hRule="atLeast"/>
                              </w:trPr>
                              <w:tc>
                                <w:tcPr>
                                  <w:tcW w:w="1340" w:type="dxa"/>
                                  <w:tcBorders>
                                    <w:top w:val="single" w:sz="2" w:space="0" w:color="231F20"/>
                                    <w:bottom w:val="single" w:sz="2" w:space="0" w:color="231F20"/>
                                  </w:tcBorders>
                                </w:tcPr>
                                <w:p>
                                  <w:pPr>
                                    <w:pStyle w:val="TableParagraph"/>
                                    <w:spacing w:line="240" w:lineRule="auto" w:before="65"/>
                                    <w:ind w:left="129"/>
                                    <w:rPr>
                                      <w:b/>
                                      <w:sz w:val="21"/>
                                    </w:rPr>
                                  </w:pPr>
                                  <w:r>
                                    <w:rPr>
                                      <w:b/>
                                      <w:color w:val="383436"/>
                                      <w:spacing w:val="-2"/>
                                      <w:w w:val="110"/>
                                      <w:sz w:val="21"/>
                                    </w:rPr>
                                    <w:t>Taiwanese</w:t>
                                  </w:r>
                                </w:p>
                              </w:tc>
                              <w:tc>
                                <w:tcPr>
                                  <w:tcW w:w="1042" w:type="dxa"/>
                                  <w:tcBorders>
                                    <w:top w:val="single" w:sz="2" w:space="0" w:color="231F20"/>
                                    <w:bottom w:val="single" w:sz="2" w:space="0" w:color="231F20"/>
                                  </w:tcBorders>
                                </w:tcPr>
                                <w:p>
                                  <w:pPr>
                                    <w:pStyle w:val="TableParagraph"/>
                                    <w:spacing w:line="240" w:lineRule="auto" w:before="83"/>
                                    <w:ind w:left="95"/>
                                    <w:rPr>
                                      <w:rFonts w:ascii="Arial" w:hAnsi="Arial"/>
                                      <w:sz w:val="21"/>
                                    </w:rPr>
                                  </w:pPr>
                                  <w:r>
                                    <w:rPr>
                                      <w:rFonts w:ascii="Arial" w:hAnsi="Arial"/>
                                      <w:color w:val="4F4D4D"/>
                                      <w:w w:val="85"/>
                                      <w:sz w:val="21"/>
                                    </w:rPr>
                                    <w:t>°EJ'</w:t>
                                  </w:r>
                                  <w:r>
                                    <w:rPr>
                                      <w:rFonts w:ascii="Arial" w:hAnsi="Arial"/>
                                      <w:color w:val="4F4D4D"/>
                                      <w:spacing w:val="-4"/>
                                      <w:w w:val="85"/>
                                      <w:sz w:val="21"/>
                                    </w:rPr>
                                    <w:t> </w:t>
                                  </w:r>
                                  <w:r>
                                    <w:rPr>
                                      <w:rFonts w:ascii="Arial" w:hAnsi="Arial"/>
                                      <w:color w:val="7C7B7B"/>
                                      <w:spacing w:val="-5"/>
                                      <w:w w:val="90"/>
                                      <w:sz w:val="21"/>
                                    </w:rPr>
                                    <w:t>i\</w:t>
                                  </w:r>
                                  <w:r>
                                    <w:rPr>
                                      <w:rFonts w:ascii="Arial" w:hAnsi="Arial"/>
                                      <w:color w:val="4F4D4D"/>
                                      <w:spacing w:val="-5"/>
                                      <w:w w:val="90"/>
                                      <w:sz w:val="21"/>
                                    </w:rPr>
                                    <w:t>3</w:t>
                                  </w:r>
                                </w:p>
                              </w:tc>
                              <w:tc>
                                <w:tcPr>
                                  <w:tcW w:w="1738" w:type="dxa"/>
                                  <w:tcBorders>
                                    <w:top w:val="single" w:sz="2" w:space="0" w:color="231F20"/>
                                    <w:bottom w:val="single" w:sz="2" w:space="0" w:color="231F20"/>
                                  </w:tcBorders>
                                </w:tcPr>
                                <w:p>
                                  <w:pPr>
                                    <w:pStyle w:val="TableParagraph"/>
                                    <w:spacing w:line="240" w:lineRule="auto" w:before="69"/>
                                    <w:ind w:left="374"/>
                                    <w:rPr>
                                      <w:rFonts w:ascii="Arial" w:hAnsi="Arial"/>
                                      <w:sz w:val="21"/>
                                    </w:rPr>
                                  </w:pPr>
                                  <w:r>
                                    <w:rPr>
                                      <w:rFonts w:ascii="Arial" w:hAnsi="Arial"/>
                                      <w:color w:val="646262"/>
                                      <w:w w:val="75"/>
                                      <w:sz w:val="21"/>
                                    </w:rPr>
                                    <w:t>°EJ'f</w:t>
                                  </w:r>
                                  <w:r>
                                    <w:rPr>
                                      <w:rFonts w:ascii="Arial" w:hAnsi="Arial"/>
                                      <w:color w:val="646262"/>
                                      <w:sz w:val="21"/>
                                    </w:rPr>
                                    <w:t> </w:t>
                                  </w:r>
                                  <w:r>
                                    <w:rPr>
                                      <w:rFonts w:ascii="Arial" w:hAnsi="Arial"/>
                                      <w:color w:val="646262"/>
                                      <w:spacing w:val="-4"/>
                                      <w:w w:val="85"/>
                                      <w:sz w:val="21"/>
                                    </w:rPr>
                                    <w:t>ijl;</w:t>
                                  </w:r>
                                </w:p>
                              </w:tc>
                            </w:tr>
                            <w:tr>
                              <w:trPr>
                                <w:trHeight w:val="361" w:hRule="atLeast"/>
                              </w:trPr>
                              <w:tc>
                                <w:tcPr>
                                  <w:tcW w:w="1340" w:type="dxa"/>
                                  <w:tcBorders>
                                    <w:top w:val="single" w:sz="2" w:space="0" w:color="231F20"/>
                                    <w:bottom w:val="single" w:sz="2" w:space="0" w:color="231F20"/>
                                  </w:tcBorders>
                                </w:tcPr>
                                <w:p>
                                  <w:pPr>
                                    <w:pStyle w:val="TableParagraph"/>
                                    <w:spacing w:line="240" w:lineRule="auto" w:before="60"/>
                                    <w:ind w:left="129"/>
                                    <w:rPr>
                                      <w:b/>
                                      <w:sz w:val="21"/>
                                    </w:rPr>
                                  </w:pPr>
                                  <w:r>
                                    <w:rPr>
                                      <w:b/>
                                      <w:color w:val="383436"/>
                                      <w:spacing w:val="-2"/>
                                      <w:w w:val="115"/>
                                      <w:sz w:val="21"/>
                                    </w:rPr>
                                    <w:t>Toishanese</w:t>
                                  </w:r>
                                </w:p>
                              </w:tc>
                              <w:tc>
                                <w:tcPr>
                                  <w:tcW w:w="1042" w:type="dxa"/>
                                  <w:tcBorders>
                                    <w:top w:val="single" w:sz="2" w:space="0" w:color="231F20"/>
                                    <w:bottom w:val="single" w:sz="2" w:space="0" w:color="231F20"/>
                                  </w:tcBorders>
                                </w:tcPr>
                                <w:p>
                                  <w:pPr>
                                    <w:pStyle w:val="TableParagraph"/>
                                    <w:spacing w:line="240" w:lineRule="auto" w:before="74"/>
                                    <w:ind w:left="100"/>
                                    <w:rPr>
                                      <w:rFonts w:ascii="Arial" w:hAnsi="Arial"/>
                                      <w:sz w:val="21"/>
                                    </w:rPr>
                                  </w:pPr>
                                  <w:r>
                                    <w:rPr>
                                      <w:rFonts w:ascii="Arial" w:hAnsi="Arial"/>
                                      <w:color w:val="646262"/>
                                      <w:spacing w:val="-2"/>
                                      <w:w w:val="80"/>
                                      <w:sz w:val="21"/>
                                    </w:rPr>
                                    <w:t>°El'WilE</w:t>
                                  </w:r>
                                </w:p>
                              </w:tc>
                              <w:tc>
                                <w:tcPr>
                                  <w:tcW w:w="1738" w:type="dxa"/>
                                  <w:tcBorders>
                                    <w:top w:val="single" w:sz="2" w:space="0" w:color="231F20"/>
                                    <w:bottom w:val="single" w:sz="2" w:space="0" w:color="231F20"/>
                                  </w:tcBorders>
                                </w:tcPr>
                                <w:p>
                                  <w:pPr>
                                    <w:pStyle w:val="TableParagraph"/>
                                    <w:spacing w:line="240" w:lineRule="auto" w:before="64"/>
                                    <w:ind w:left="383"/>
                                    <w:rPr>
                                      <w:rFonts w:ascii="Arial"/>
                                      <w:sz w:val="21"/>
                                    </w:rPr>
                                  </w:pPr>
                                  <w:r>
                                    <w:rPr>
                                      <w:rFonts w:ascii="Arial"/>
                                      <w:color w:val="7C7B7B"/>
                                      <w:spacing w:val="-2"/>
                                      <w:w w:val="85"/>
                                      <w:sz w:val="21"/>
                                    </w:rPr>
                                    <w:t>"El'WiE</w:t>
                                  </w:r>
                                </w:p>
                              </w:tc>
                            </w:tr>
                          </w:tbl>
                          <w:p>
                            <w:pPr>
                              <w:pStyle w:val="BodyText"/>
                            </w:pPr>
                          </w:p>
                        </w:txbxContent>
                      </wps:txbx>
                      <wps:bodyPr wrap="square" lIns="0" tIns="0" rIns="0" bIns="0" rtlCol="0">
                        <a:noAutofit/>
                      </wps:bodyPr>
                    </wps:wsp>
                  </a:graphicData>
                </a:graphic>
              </wp:anchor>
            </w:drawing>
          </mc:Choice>
          <mc:Fallback>
            <w:pict>
              <v:shape style="position:absolute;margin-left:522.976624pt;margin-top:14.035244pt;width:212pt;height:132.050pt;mso-position-horizontal-relative:page;mso-position-vertical-relative:paragraph;z-index:15848960" type="#_x0000_t202" id="docshape34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0"/>
                        <w:gridCol w:w="1042"/>
                        <w:gridCol w:w="1738"/>
                      </w:tblGrid>
                      <w:tr>
                        <w:trPr>
                          <w:trHeight w:val="374" w:hRule="atLeast"/>
                        </w:trPr>
                        <w:tc>
                          <w:tcPr>
                            <w:tcW w:w="1340" w:type="dxa"/>
                            <w:tcBorders>
                              <w:top w:val="single" w:sz="2" w:space="0" w:color="231F20"/>
                              <w:bottom w:val="single" w:sz="2" w:space="0" w:color="231F20"/>
                            </w:tcBorders>
                          </w:tcPr>
                          <w:p>
                            <w:pPr>
                              <w:pStyle w:val="TableParagraph"/>
                              <w:spacing w:line="240" w:lineRule="auto" w:before="73"/>
                              <w:ind w:left="133"/>
                              <w:rPr>
                                <w:b/>
                                <w:sz w:val="21"/>
                              </w:rPr>
                            </w:pPr>
                            <w:r>
                              <w:rPr>
                                <w:b/>
                                <w:color w:val="383436"/>
                                <w:spacing w:val="-2"/>
                                <w:w w:val="110"/>
                                <w:sz w:val="21"/>
                              </w:rPr>
                              <w:t>Cantonese</w:t>
                            </w:r>
                          </w:p>
                        </w:tc>
                        <w:tc>
                          <w:tcPr>
                            <w:tcW w:w="1042" w:type="dxa"/>
                            <w:tcBorders>
                              <w:top w:val="single" w:sz="2" w:space="0" w:color="231F20"/>
                              <w:bottom w:val="single" w:sz="2" w:space="0" w:color="231F20"/>
                            </w:tcBorders>
                          </w:tcPr>
                          <w:p>
                            <w:pPr>
                              <w:pStyle w:val="TableParagraph"/>
                              <w:spacing w:line="240" w:lineRule="auto" w:before="58"/>
                              <w:ind w:left="122"/>
                              <w:rPr>
                                <w:rFonts w:ascii="Arial"/>
                                <w:sz w:val="21"/>
                              </w:rPr>
                            </w:pPr>
                            <w:r>
                              <w:rPr>
                                <w:rFonts w:ascii="Arial"/>
                                <w:color w:val="646262"/>
                                <w:spacing w:val="-2"/>
                                <w:w w:val="75"/>
                                <w:sz w:val="21"/>
                              </w:rPr>
                              <w:t>JJJ!a!]jS</w:t>
                            </w:r>
                          </w:p>
                        </w:tc>
                        <w:tc>
                          <w:tcPr>
                            <w:tcW w:w="1738" w:type="dxa"/>
                            <w:tcBorders>
                              <w:top w:val="single" w:sz="2" w:space="0" w:color="231F20"/>
                              <w:bottom w:val="single" w:sz="2" w:space="0" w:color="231F20"/>
                            </w:tcBorders>
                          </w:tcPr>
                          <w:p>
                            <w:pPr>
                              <w:pStyle w:val="TableParagraph"/>
                              <w:spacing w:line="240" w:lineRule="auto" w:before="58"/>
                              <w:ind w:left="406"/>
                              <w:rPr>
                                <w:rFonts w:ascii="Arial"/>
                                <w:sz w:val="21"/>
                              </w:rPr>
                            </w:pPr>
                            <w:r>
                              <w:rPr>
                                <w:rFonts w:ascii="Arial"/>
                                <w:color w:val="7C7B7B"/>
                                <w:spacing w:val="-2"/>
                                <w:sz w:val="21"/>
                              </w:rPr>
                              <w:t>JJFijl;</w:t>
                            </w:r>
                          </w:p>
                        </w:tc>
                      </w:tr>
                      <w:tr>
                        <w:trPr>
                          <w:trHeight w:val="374" w:hRule="atLeast"/>
                        </w:trPr>
                        <w:tc>
                          <w:tcPr>
                            <w:tcW w:w="1340" w:type="dxa"/>
                            <w:tcBorders>
                              <w:top w:val="single" w:sz="2" w:space="0" w:color="231F20"/>
                              <w:bottom w:val="single" w:sz="2" w:space="0" w:color="231F20"/>
                            </w:tcBorders>
                          </w:tcPr>
                          <w:p>
                            <w:pPr>
                              <w:pStyle w:val="TableParagraph"/>
                              <w:spacing w:line="240" w:lineRule="auto" w:before="60"/>
                              <w:ind w:left="133"/>
                              <w:rPr>
                                <w:b/>
                                <w:sz w:val="21"/>
                              </w:rPr>
                            </w:pPr>
                            <w:r>
                              <w:rPr>
                                <w:b/>
                                <w:color w:val="383436"/>
                                <w:spacing w:val="-2"/>
                                <w:w w:val="110"/>
                                <w:sz w:val="21"/>
                              </w:rPr>
                              <w:t>Chaochow</w:t>
                            </w:r>
                          </w:p>
                        </w:tc>
                        <w:tc>
                          <w:tcPr>
                            <w:tcW w:w="1042" w:type="dxa"/>
                            <w:tcBorders>
                              <w:top w:val="single" w:sz="2" w:space="0" w:color="231F20"/>
                              <w:bottom w:val="single" w:sz="2" w:space="0" w:color="231F20"/>
                            </w:tcBorders>
                          </w:tcPr>
                          <w:p>
                            <w:pPr>
                              <w:pStyle w:val="TableParagraph"/>
                              <w:spacing w:line="240" w:lineRule="auto" w:before="64"/>
                              <w:ind w:left="90"/>
                              <w:rPr>
                                <w:rFonts w:ascii="Arial"/>
                                <w:sz w:val="21"/>
                              </w:rPr>
                            </w:pPr>
                            <w:r>
                              <w:rPr>
                                <w:rFonts w:ascii="Arial"/>
                                <w:color w:val="4F4D4D"/>
                                <w:spacing w:val="-2"/>
                                <w:w w:val="85"/>
                                <w:sz w:val="21"/>
                              </w:rPr>
                              <w:t>11HrnE</w:t>
                            </w:r>
                          </w:p>
                        </w:tc>
                        <w:tc>
                          <w:tcPr>
                            <w:tcW w:w="1738" w:type="dxa"/>
                            <w:tcBorders>
                              <w:top w:val="single" w:sz="2" w:space="0" w:color="231F20"/>
                              <w:bottom w:val="single" w:sz="2" w:space="0" w:color="231F20"/>
                            </w:tcBorders>
                          </w:tcPr>
                          <w:p>
                            <w:pPr>
                              <w:pStyle w:val="TableParagraph"/>
                              <w:spacing w:line="240" w:lineRule="auto" w:before="49"/>
                              <w:ind w:left="402"/>
                              <w:rPr>
                                <w:rFonts w:ascii="Arial"/>
                                <w:sz w:val="21"/>
                              </w:rPr>
                            </w:pPr>
                            <w:r>
                              <w:rPr>
                                <w:rFonts w:ascii="Arial"/>
                                <w:color w:val="646262"/>
                                <w:spacing w:val="-2"/>
                                <w:sz w:val="21"/>
                              </w:rPr>
                              <w:t>jMi'!iE</w:t>
                            </w:r>
                          </w:p>
                        </w:tc>
                      </w:tr>
                      <w:tr>
                        <w:trPr>
                          <w:trHeight w:val="401" w:hRule="atLeast"/>
                        </w:trPr>
                        <w:tc>
                          <w:tcPr>
                            <w:tcW w:w="1340" w:type="dxa"/>
                            <w:tcBorders>
                              <w:top w:val="single" w:sz="2" w:space="0" w:color="231F20"/>
                              <w:bottom w:val="single" w:sz="2" w:space="0" w:color="231F20"/>
                            </w:tcBorders>
                          </w:tcPr>
                          <w:p>
                            <w:pPr>
                              <w:pStyle w:val="TableParagraph"/>
                              <w:spacing w:line="240" w:lineRule="auto" w:before="65"/>
                              <w:ind w:left="132"/>
                              <w:rPr>
                                <w:b/>
                                <w:sz w:val="21"/>
                              </w:rPr>
                            </w:pPr>
                            <w:r>
                              <w:rPr>
                                <w:b/>
                                <w:color w:val="383436"/>
                                <w:spacing w:val="-2"/>
                                <w:w w:val="110"/>
                                <w:sz w:val="21"/>
                              </w:rPr>
                              <w:t>Fukienese</w:t>
                            </w:r>
                          </w:p>
                        </w:tc>
                        <w:tc>
                          <w:tcPr>
                            <w:tcW w:w="1042" w:type="dxa"/>
                            <w:tcBorders>
                              <w:top w:val="single" w:sz="2" w:space="0" w:color="231F20"/>
                              <w:bottom w:val="single" w:sz="2" w:space="0" w:color="231F20"/>
                            </w:tcBorders>
                          </w:tcPr>
                          <w:p>
                            <w:pPr>
                              <w:pStyle w:val="TableParagraph"/>
                              <w:spacing w:line="240" w:lineRule="auto" w:before="63"/>
                              <w:ind w:left="97"/>
                              <w:rPr>
                                <w:rFonts w:ascii="Verdana" w:hAnsi="Verdana" w:cs="Verdana" w:eastAsia="Verdana"/>
                                <w:i/>
                                <w:iCs/>
                                <w:sz w:val="23"/>
                                <w:szCs w:val="23"/>
                              </w:rPr>
                            </w:pPr>
                            <w:r>
                              <w:rPr>
                                <w:rFonts w:ascii="Verdana" w:hAnsi="Verdana" w:cs="Verdana" w:eastAsia="Verdana"/>
                                <w:i/>
                                <w:iCs/>
                                <w:color w:val="4F4D4D"/>
                                <w:spacing w:val="-4"/>
                                <w:w w:val="90"/>
                                <w:sz w:val="23"/>
                                <w:szCs w:val="23"/>
                              </w:rPr>
                              <w:t>m�iE</w:t>
                            </w:r>
                          </w:p>
                        </w:tc>
                        <w:tc>
                          <w:tcPr>
                            <w:tcW w:w="1738" w:type="dxa"/>
                            <w:tcBorders>
                              <w:top w:val="single" w:sz="2" w:space="0" w:color="231F20"/>
                              <w:bottom w:val="single" w:sz="2" w:space="0" w:color="231F20"/>
                            </w:tcBorders>
                          </w:tcPr>
                          <w:p>
                            <w:pPr>
                              <w:pStyle w:val="TableParagraph"/>
                              <w:spacing w:line="240" w:lineRule="auto" w:before="78"/>
                              <w:ind w:left="379"/>
                              <w:rPr>
                                <w:rFonts w:ascii="Arial"/>
                                <w:sz w:val="21"/>
                              </w:rPr>
                            </w:pPr>
                            <w:r>
                              <w:rPr>
                                <w:rFonts w:ascii="Arial"/>
                                <w:color w:val="646262"/>
                                <w:w w:val="120"/>
                                <w:sz w:val="21"/>
                              </w:rPr>
                              <w:t>t&amp;</w:t>
                            </w:r>
                            <w:r>
                              <w:rPr>
                                <w:rFonts w:ascii="Arial"/>
                                <w:color w:val="646262"/>
                                <w:spacing w:val="-2"/>
                                <w:w w:val="120"/>
                                <w:sz w:val="21"/>
                              </w:rPr>
                              <w:t> </w:t>
                            </w:r>
                            <w:r>
                              <w:rPr>
                                <w:rFonts w:ascii="Arial"/>
                                <w:color w:val="646262"/>
                                <w:spacing w:val="-4"/>
                                <w:w w:val="120"/>
                                <w:sz w:val="21"/>
                              </w:rPr>
                              <w:t>ijl;</w:t>
                            </w:r>
                          </w:p>
                        </w:tc>
                      </w:tr>
                      <w:tr>
                        <w:trPr>
                          <w:trHeight w:val="354" w:hRule="atLeast"/>
                        </w:trPr>
                        <w:tc>
                          <w:tcPr>
                            <w:tcW w:w="1340" w:type="dxa"/>
                            <w:tcBorders>
                              <w:top w:val="single" w:sz="2" w:space="0" w:color="231F20"/>
                              <w:bottom w:val="single" w:sz="2" w:space="0" w:color="231F20"/>
                            </w:tcBorders>
                          </w:tcPr>
                          <w:p>
                            <w:pPr>
                              <w:pStyle w:val="TableParagraph"/>
                              <w:spacing w:line="240" w:lineRule="auto" w:before="38"/>
                              <w:ind w:left="132"/>
                              <w:rPr>
                                <w:b/>
                                <w:sz w:val="21"/>
                              </w:rPr>
                            </w:pPr>
                            <w:r>
                              <w:rPr>
                                <w:b/>
                                <w:color w:val="383436"/>
                                <w:spacing w:val="-2"/>
                                <w:w w:val="105"/>
                                <w:sz w:val="21"/>
                              </w:rPr>
                              <w:t>Mandarin</w:t>
                            </w:r>
                          </w:p>
                        </w:tc>
                        <w:tc>
                          <w:tcPr>
                            <w:tcW w:w="1042" w:type="dxa"/>
                            <w:tcBorders>
                              <w:top w:val="single" w:sz="2" w:space="0" w:color="231F20"/>
                              <w:bottom w:val="single" w:sz="2" w:space="0" w:color="231F20"/>
                            </w:tcBorders>
                          </w:tcPr>
                          <w:p>
                            <w:pPr>
                              <w:pStyle w:val="TableParagraph"/>
                              <w:spacing w:line="240" w:lineRule="auto" w:before="66"/>
                              <w:ind w:left="179"/>
                              <w:rPr>
                                <w:rFonts w:ascii="Arial"/>
                                <w:sz w:val="21"/>
                              </w:rPr>
                            </w:pPr>
                            <w:r>
                              <w:rPr>
                                <w:rFonts w:ascii="Arial"/>
                                <w:color w:val="4F4D4D"/>
                                <w:spacing w:val="-5"/>
                                <w:w w:val="115"/>
                                <w:sz w:val="21"/>
                              </w:rPr>
                              <w:t>ilR</w:t>
                            </w:r>
                          </w:p>
                        </w:tc>
                        <w:tc>
                          <w:tcPr>
                            <w:tcW w:w="1738" w:type="dxa"/>
                            <w:tcBorders>
                              <w:top w:val="single" w:sz="2" w:space="0" w:color="231F20"/>
                              <w:bottom w:val="single" w:sz="2" w:space="0" w:color="231F20"/>
                            </w:tcBorders>
                          </w:tcPr>
                          <w:p>
                            <w:pPr>
                              <w:pStyle w:val="TableParagraph"/>
                              <w:spacing w:line="240" w:lineRule="auto" w:before="22"/>
                              <w:ind w:left="369"/>
                              <w:rPr>
                                <w:rFonts w:ascii="Arial"/>
                                <w:sz w:val="21"/>
                              </w:rPr>
                            </w:pPr>
                            <w:r>
                              <w:rPr>
                                <w:rFonts w:ascii="Arial"/>
                                <w:color w:val="7C7B7B"/>
                                <w:spacing w:val="-2"/>
                                <w:sz w:val="21"/>
                              </w:rPr>
                              <w:t>i(fjfilijl;</w:t>
                            </w:r>
                          </w:p>
                        </w:tc>
                      </w:tr>
                      <w:tr>
                        <w:trPr>
                          <w:trHeight w:val="363" w:hRule="atLeast"/>
                        </w:trPr>
                        <w:tc>
                          <w:tcPr>
                            <w:tcW w:w="1340" w:type="dxa"/>
                            <w:tcBorders>
                              <w:top w:val="single" w:sz="2" w:space="0" w:color="231F20"/>
                              <w:bottom w:val="single" w:sz="2" w:space="0" w:color="231F20"/>
                            </w:tcBorders>
                          </w:tcPr>
                          <w:p>
                            <w:pPr>
                              <w:pStyle w:val="TableParagraph"/>
                              <w:spacing w:line="240" w:lineRule="auto" w:before="53"/>
                              <w:ind w:left="130"/>
                              <w:rPr>
                                <w:b/>
                                <w:sz w:val="21"/>
                              </w:rPr>
                            </w:pPr>
                            <w:r>
                              <w:rPr>
                                <w:b/>
                                <w:color w:val="383436"/>
                                <w:spacing w:val="-2"/>
                                <w:w w:val="110"/>
                                <w:sz w:val="21"/>
                              </w:rPr>
                              <w:t>Shanghai</w:t>
                            </w:r>
                          </w:p>
                        </w:tc>
                        <w:tc>
                          <w:tcPr>
                            <w:tcW w:w="1042" w:type="dxa"/>
                            <w:tcBorders>
                              <w:top w:val="single" w:sz="2" w:space="0" w:color="231F20"/>
                              <w:bottom w:val="single" w:sz="2" w:space="0" w:color="231F20"/>
                            </w:tcBorders>
                          </w:tcPr>
                          <w:p>
                            <w:pPr>
                              <w:pStyle w:val="TableParagraph"/>
                              <w:spacing w:line="240" w:lineRule="auto" w:before="38"/>
                              <w:ind w:left="102"/>
                              <w:rPr>
                                <w:rFonts w:ascii="Arial"/>
                                <w:sz w:val="21"/>
                              </w:rPr>
                            </w:pPr>
                            <w:r>
                              <w:rPr>
                                <w:rFonts w:ascii="Arial"/>
                                <w:color w:val="4F4D4D"/>
                                <w:spacing w:val="-2"/>
                                <w:sz w:val="21"/>
                              </w:rPr>
                              <w:t>JJffi</w:t>
                            </w:r>
                            <w:r>
                              <w:rPr>
                                <w:rFonts w:ascii="Arial"/>
                                <w:color w:val="7C7B7B"/>
                                <w:spacing w:val="-2"/>
                                <w:sz w:val="21"/>
                              </w:rPr>
                              <w:t>ijl;</w:t>
                            </w:r>
                          </w:p>
                        </w:tc>
                        <w:tc>
                          <w:tcPr>
                            <w:tcW w:w="1738" w:type="dxa"/>
                            <w:tcBorders>
                              <w:top w:val="single" w:sz="2" w:space="0" w:color="231F20"/>
                              <w:bottom w:val="single" w:sz="2" w:space="0" w:color="231F20"/>
                            </w:tcBorders>
                          </w:tcPr>
                          <w:p>
                            <w:pPr>
                              <w:pStyle w:val="TableParagraph"/>
                              <w:spacing w:line="240" w:lineRule="auto" w:before="33"/>
                              <w:ind w:left="363"/>
                              <w:rPr>
                                <w:rFonts w:ascii="Arial"/>
                                <w:sz w:val="21"/>
                              </w:rPr>
                            </w:pPr>
                            <w:r>
                              <w:rPr>
                                <w:rFonts w:ascii="Arial"/>
                                <w:color w:val="7C7B7B"/>
                                <w:spacing w:val="-2"/>
                                <w:w w:val="85"/>
                                <w:sz w:val="21"/>
                              </w:rPr>
                              <w:t>..t.?ffiijl;</w:t>
                            </w:r>
                          </w:p>
                        </w:tc>
                      </w:tr>
                      <w:tr>
                        <w:trPr>
                          <w:trHeight w:val="374" w:hRule="atLeast"/>
                        </w:trPr>
                        <w:tc>
                          <w:tcPr>
                            <w:tcW w:w="1340" w:type="dxa"/>
                            <w:tcBorders>
                              <w:top w:val="single" w:sz="2" w:space="0" w:color="231F20"/>
                              <w:bottom w:val="single" w:sz="2" w:space="0" w:color="231F20"/>
                            </w:tcBorders>
                          </w:tcPr>
                          <w:p>
                            <w:pPr>
                              <w:pStyle w:val="TableParagraph"/>
                              <w:spacing w:line="240" w:lineRule="auto" w:before="65"/>
                              <w:ind w:left="129"/>
                              <w:rPr>
                                <w:b/>
                                <w:sz w:val="21"/>
                              </w:rPr>
                            </w:pPr>
                            <w:r>
                              <w:rPr>
                                <w:b/>
                                <w:color w:val="383436"/>
                                <w:spacing w:val="-2"/>
                                <w:w w:val="110"/>
                                <w:sz w:val="21"/>
                              </w:rPr>
                              <w:t>Taiwanese</w:t>
                            </w:r>
                          </w:p>
                        </w:tc>
                        <w:tc>
                          <w:tcPr>
                            <w:tcW w:w="1042" w:type="dxa"/>
                            <w:tcBorders>
                              <w:top w:val="single" w:sz="2" w:space="0" w:color="231F20"/>
                              <w:bottom w:val="single" w:sz="2" w:space="0" w:color="231F20"/>
                            </w:tcBorders>
                          </w:tcPr>
                          <w:p>
                            <w:pPr>
                              <w:pStyle w:val="TableParagraph"/>
                              <w:spacing w:line="240" w:lineRule="auto" w:before="83"/>
                              <w:ind w:left="95"/>
                              <w:rPr>
                                <w:rFonts w:ascii="Arial" w:hAnsi="Arial"/>
                                <w:sz w:val="21"/>
                              </w:rPr>
                            </w:pPr>
                            <w:r>
                              <w:rPr>
                                <w:rFonts w:ascii="Arial" w:hAnsi="Arial"/>
                                <w:color w:val="4F4D4D"/>
                                <w:w w:val="85"/>
                                <w:sz w:val="21"/>
                              </w:rPr>
                              <w:t>°EJ'</w:t>
                            </w:r>
                            <w:r>
                              <w:rPr>
                                <w:rFonts w:ascii="Arial" w:hAnsi="Arial"/>
                                <w:color w:val="4F4D4D"/>
                                <w:spacing w:val="-4"/>
                                <w:w w:val="85"/>
                                <w:sz w:val="21"/>
                              </w:rPr>
                              <w:t> </w:t>
                            </w:r>
                            <w:r>
                              <w:rPr>
                                <w:rFonts w:ascii="Arial" w:hAnsi="Arial"/>
                                <w:color w:val="7C7B7B"/>
                                <w:spacing w:val="-5"/>
                                <w:w w:val="90"/>
                                <w:sz w:val="21"/>
                              </w:rPr>
                              <w:t>i\</w:t>
                            </w:r>
                            <w:r>
                              <w:rPr>
                                <w:rFonts w:ascii="Arial" w:hAnsi="Arial"/>
                                <w:color w:val="4F4D4D"/>
                                <w:spacing w:val="-5"/>
                                <w:w w:val="90"/>
                                <w:sz w:val="21"/>
                              </w:rPr>
                              <w:t>3</w:t>
                            </w:r>
                          </w:p>
                        </w:tc>
                        <w:tc>
                          <w:tcPr>
                            <w:tcW w:w="1738" w:type="dxa"/>
                            <w:tcBorders>
                              <w:top w:val="single" w:sz="2" w:space="0" w:color="231F20"/>
                              <w:bottom w:val="single" w:sz="2" w:space="0" w:color="231F20"/>
                            </w:tcBorders>
                          </w:tcPr>
                          <w:p>
                            <w:pPr>
                              <w:pStyle w:val="TableParagraph"/>
                              <w:spacing w:line="240" w:lineRule="auto" w:before="69"/>
                              <w:ind w:left="374"/>
                              <w:rPr>
                                <w:rFonts w:ascii="Arial" w:hAnsi="Arial"/>
                                <w:sz w:val="21"/>
                              </w:rPr>
                            </w:pPr>
                            <w:r>
                              <w:rPr>
                                <w:rFonts w:ascii="Arial" w:hAnsi="Arial"/>
                                <w:color w:val="646262"/>
                                <w:w w:val="75"/>
                                <w:sz w:val="21"/>
                              </w:rPr>
                              <w:t>°EJ'f</w:t>
                            </w:r>
                            <w:r>
                              <w:rPr>
                                <w:rFonts w:ascii="Arial" w:hAnsi="Arial"/>
                                <w:color w:val="646262"/>
                                <w:sz w:val="21"/>
                              </w:rPr>
                              <w:t> </w:t>
                            </w:r>
                            <w:r>
                              <w:rPr>
                                <w:rFonts w:ascii="Arial" w:hAnsi="Arial"/>
                                <w:color w:val="646262"/>
                                <w:spacing w:val="-4"/>
                                <w:w w:val="85"/>
                                <w:sz w:val="21"/>
                              </w:rPr>
                              <w:t>ijl;</w:t>
                            </w:r>
                          </w:p>
                        </w:tc>
                      </w:tr>
                      <w:tr>
                        <w:trPr>
                          <w:trHeight w:val="361" w:hRule="atLeast"/>
                        </w:trPr>
                        <w:tc>
                          <w:tcPr>
                            <w:tcW w:w="1340" w:type="dxa"/>
                            <w:tcBorders>
                              <w:top w:val="single" w:sz="2" w:space="0" w:color="231F20"/>
                              <w:bottom w:val="single" w:sz="2" w:space="0" w:color="231F20"/>
                            </w:tcBorders>
                          </w:tcPr>
                          <w:p>
                            <w:pPr>
                              <w:pStyle w:val="TableParagraph"/>
                              <w:spacing w:line="240" w:lineRule="auto" w:before="60"/>
                              <w:ind w:left="129"/>
                              <w:rPr>
                                <w:b/>
                                <w:sz w:val="21"/>
                              </w:rPr>
                            </w:pPr>
                            <w:r>
                              <w:rPr>
                                <w:b/>
                                <w:color w:val="383436"/>
                                <w:spacing w:val="-2"/>
                                <w:w w:val="115"/>
                                <w:sz w:val="21"/>
                              </w:rPr>
                              <w:t>Toishanese</w:t>
                            </w:r>
                          </w:p>
                        </w:tc>
                        <w:tc>
                          <w:tcPr>
                            <w:tcW w:w="1042" w:type="dxa"/>
                            <w:tcBorders>
                              <w:top w:val="single" w:sz="2" w:space="0" w:color="231F20"/>
                              <w:bottom w:val="single" w:sz="2" w:space="0" w:color="231F20"/>
                            </w:tcBorders>
                          </w:tcPr>
                          <w:p>
                            <w:pPr>
                              <w:pStyle w:val="TableParagraph"/>
                              <w:spacing w:line="240" w:lineRule="auto" w:before="74"/>
                              <w:ind w:left="100"/>
                              <w:rPr>
                                <w:rFonts w:ascii="Arial" w:hAnsi="Arial"/>
                                <w:sz w:val="21"/>
                              </w:rPr>
                            </w:pPr>
                            <w:r>
                              <w:rPr>
                                <w:rFonts w:ascii="Arial" w:hAnsi="Arial"/>
                                <w:color w:val="646262"/>
                                <w:spacing w:val="-2"/>
                                <w:w w:val="80"/>
                                <w:sz w:val="21"/>
                              </w:rPr>
                              <w:t>°El'WilE</w:t>
                            </w:r>
                          </w:p>
                        </w:tc>
                        <w:tc>
                          <w:tcPr>
                            <w:tcW w:w="1738" w:type="dxa"/>
                            <w:tcBorders>
                              <w:top w:val="single" w:sz="2" w:space="0" w:color="231F20"/>
                              <w:bottom w:val="single" w:sz="2" w:space="0" w:color="231F20"/>
                            </w:tcBorders>
                          </w:tcPr>
                          <w:p>
                            <w:pPr>
                              <w:pStyle w:val="TableParagraph"/>
                              <w:spacing w:line="240" w:lineRule="auto" w:before="64"/>
                              <w:ind w:left="383"/>
                              <w:rPr>
                                <w:rFonts w:ascii="Arial"/>
                                <w:sz w:val="21"/>
                              </w:rPr>
                            </w:pPr>
                            <w:r>
                              <w:rPr>
                                <w:rFonts w:ascii="Arial"/>
                                <w:color w:val="7C7B7B"/>
                                <w:spacing w:val="-2"/>
                                <w:w w:val="85"/>
                                <w:sz w:val="21"/>
                              </w:rPr>
                              <w:t>"El'WiE</w:t>
                            </w:r>
                          </w:p>
                        </w:tc>
                      </w:tr>
                    </w:tbl>
                    <w:p>
                      <w:pPr>
                        <w:pStyle w:val="BodyText"/>
                      </w:pPr>
                    </w:p>
                  </w:txbxContent>
                </v:textbox>
                <w10:wrap type="none"/>
              </v:shape>
            </w:pict>
          </mc:Fallback>
        </mc:AlternateContent>
      </w:r>
      <w:r>
        <w:rPr>
          <w:rFonts w:ascii="Times New Roman" w:hAnsi="Times New Roman"/>
          <w:color w:val="7C7B7B"/>
          <w:w w:val="85"/>
          <w:sz w:val="17"/>
        </w:rPr>
        <w:t>f/Etl!i</w:t>
      </w:r>
      <w:r>
        <w:rPr>
          <w:rFonts w:ascii="Times New Roman" w:hAnsi="Times New Roman"/>
          <w:color w:val="A8A7A7"/>
          <w:w w:val="85"/>
          <w:sz w:val="17"/>
        </w:rPr>
        <w:t>:</w:t>
      </w:r>
      <w:r>
        <w:rPr>
          <w:rFonts w:ascii="Times New Roman" w:hAnsi="Times New Roman"/>
          <w:color w:val="646262"/>
          <w:w w:val="85"/>
          <w:sz w:val="17"/>
        </w:rPr>
        <w:t>!t</w:t>
      </w:r>
      <w:r>
        <w:rPr>
          <w:rFonts w:ascii="Times New Roman" w:hAnsi="Times New Roman"/>
          <w:color w:val="646262"/>
          <w:spacing w:val="-5"/>
          <w:w w:val="85"/>
          <w:sz w:val="17"/>
        </w:rPr>
        <w:t> </w:t>
      </w:r>
      <w:r>
        <w:rPr>
          <w:rFonts w:ascii="Times New Roman" w:hAnsi="Times New Roman"/>
          <w:color w:val="646262"/>
          <w:w w:val="85"/>
          <w:sz w:val="17"/>
        </w:rPr>
        <w:t>.'t'ril&lt;J</w:t>
      </w:r>
      <w:r>
        <w:rPr>
          <w:rFonts w:ascii="Arial" w:hAnsi="Arial"/>
          <w:color w:val="646262"/>
          <w:w w:val="85"/>
          <w:sz w:val="22"/>
        </w:rPr>
        <w:t>□</w:t>
      </w:r>
      <w:r>
        <w:rPr>
          <w:rFonts w:ascii="Arial" w:hAnsi="Arial"/>
          <w:color w:val="646262"/>
          <w:spacing w:val="-6"/>
          <w:w w:val="85"/>
          <w:sz w:val="22"/>
        </w:rPr>
        <w:t> </w:t>
      </w:r>
      <w:r>
        <w:rPr>
          <w:rFonts w:ascii="Arial" w:hAnsi="Arial"/>
          <w:color w:val="646262"/>
          <w:w w:val="85"/>
          <w:sz w:val="22"/>
        </w:rPr>
        <w:t>mui</w:t>
      </w:r>
      <w:r>
        <w:rPr>
          <w:rFonts w:ascii="Arial" w:hAnsi="Arial"/>
          <w:color w:val="646262"/>
          <w:spacing w:val="10"/>
          <w:sz w:val="22"/>
        </w:rPr>
        <w:t> </w:t>
      </w:r>
      <w:r>
        <w:rPr>
          <w:rFonts w:ascii="Arial" w:hAnsi="Arial"/>
          <w:color w:val="A8A7A7"/>
          <w:spacing w:val="-10"/>
          <w:w w:val="85"/>
          <w:sz w:val="22"/>
        </w:rPr>
        <w:t>•</w:t>
      </w:r>
      <w:r>
        <w:rPr>
          <w:rFonts w:ascii="Arial" w:hAnsi="Arial"/>
          <w:color w:val="A8A7A7"/>
          <w:sz w:val="22"/>
        </w:rPr>
        <w:tab/>
      </w:r>
      <w:r>
        <w:rPr>
          <w:rFonts w:ascii="Times New Roman" w:hAnsi="Times New Roman"/>
          <w:color w:val="7C7B7B"/>
          <w:spacing w:val="-2"/>
          <w:w w:val="80"/>
          <w:sz w:val="17"/>
        </w:rPr>
        <w:t>f/E}JJ!i:!1;</w:t>
      </w:r>
      <w:r>
        <w:rPr>
          <w:rFonts w:ascii="Times New Roman" w:hAnsi="Times New Roman"/>
          <w:color w:val="959395"/>
          <w:spacing w:val="-2"/>
          <w:w w:val="80"/>
          <w:sz w:val="17"/>
        </w:rPr>
        <w:t>5E</w:t>
      </w:r>
      <w:r>
        <w:rPr>
          <w:rFonts w:ascii="Times New Roman" w:hAnsi="Times New Roman"/>
          <w:color w:val="7C7B7B"/>
          <w:spacing w:val="-2"/>
          <w:w w:val="80"/>
          <w:sz w:val="17"/>
        </w:rPr>
        <w:t>'6</w:t>
      </w:r>
      <w:r>
        <w:rPr>
          <w:rFonts w:ascii="Times New Roman" w:hAnsi="Times New Roman"/>
          <w:color w:val="7C7B7B"/>
          <w:spacing w:val="-7"/>
          <w:w w:val="80"/>
          <w:sz w:val="17"/>
        </w:rPr>
        <w:t> </w:t>
      </w:r>
      <w:r>
        <w:rPr>
          <w:rFonts w:ascii="Times New Roman" w:hAnsi="Times New Roman"/>
          <w:color w:val="7C7B7B"/>
          <w:spacing w:val="-2"/>
          <w:w w:val="80"/>
          <w:sz w:val="17"/>
        </w:rPr>
        <w:t>E'J</w:t>
      </w:r>
      <w:r>
        <w:rPr>
          <w:rFonts w:ascii="Arial" w:hAnsi="Arial"/>
          <w:color w:val="959395"/>
          <w:spacing w:val="-2"/>
          <w:w w:val="80"/>
          <w:sz w:val="22"/>
        </w:rPr>
        <w:t>□</w:t>
      </w:r>
      <w:r>
        <w:rPr>
          <w:rFonts w:ascii="Arial" w:hAnsi="Arial"/>
          <w:color w:val="959395"/>
          <w:spacing w:val="-5"/>
          <w:sz w:val="22"/>
        </w:rPr>
        <w:t> </w:t>
      </w:r>
      <w:r>
        <w:rPr>
          <w:rFonts w:ascii="Times New Roman" w:hAnsi="Times New Roman"/>
          <w:color w:val="7C7B7B"/>
          <w:spacing w:val="-2"/>
          <w:w w:val="80"/>
          <w:sz w:val="17"/>
        </w:rPr>
        <w:t>ilfl</w:t>
      </w:r>
      <w:r>
        <w:rPr>
          <w:rFonts w:ascii="Times New Roman" w:hAnsi="Times New Roman"/>
          <w:color w:val="7C7B7B"/>
          <w:spacing w:val="64"/>
          <w:sz w:val="17"/>
        </w:rPr>
        <w:t> </w:t>
      </w:r>
      <w:r>
        <w:rPr>
          <w:rFonts w:ascii="Times New Roman" w:hAnsi="Times New Roman"/>
          <w:color w:val="A8A7A7"/>
          <w:spacing w:val="-10"/>
          <w:w w:val="80"/>
          <w:sz w:val="5"/>
        </w:rPr>
        <w:t>O</w:t>
      </w:r>
    </w:p>
    <w:p>
      <w:pPr>
        <w:spacing w:line="266" w:lineRule="auto" w:before="78"/>
        <w:ind w:left="961" w:right="659" w:hanging="15"/>
        <w:jc w:val="left"/>
        <w:rPr>
          <w:rFonts w:ascii="Times New Roman"/>
          <w:sz w:val="15"/>
        </w:rPr>
      </w:pPr>
      <w:r>
        <w:rPr/>
        <w:br w:type="column"/>
      </w:r>
      <w:r>
        <w:rPr>
          <w:rFonts w:ascii="Times New Roman"/>
          <w:color w:val="383436"/>
          <w:w w:val="105"/>
          <w:sz w:val="15"/>
        </w:rPr>
        <w:t>'!l,tJilvim1flvivi1u'V;j61 </w:t>
      </w:r>
      <w:r>
        <w:rPr>
          <w:rFonts w:ascii="Times New Roman"/>
          <w:color w:val="383436"/>
          <w:w w:val="105"/>
          <w:sz w:val="15"/>
        </w:rPr>
        <w:t>tti!iwn-1:;.rt,1m,h11'tiivi1u</w:t>
      </w:r>
      <w:r>
        <w:rPr>
          <w:rFonts w:ascii="Times New Roman"/>
          <w:color w:val="383436"/>
          <w:spacing w:val="40"/>
          <w:w w:val="105"/>
          <w:sz w:val="15"/>
        </w:rPr>
        <w:t> </w:t>
      </w:r>
      <w:r>
        <w:rPr>
          <w:rFonts w:ascii="Times New Roman"/>
          <w:color w:val="242121"/>
          <w:w w:val="105"/>
          <w:sz w:val="15"/>
        </w:rPr>
        <w:t>ni'l"'t'ii 111</w:t>
      </w:r>
      <w:r>
        <w:rPr>
          <w:rFonts w:ascii="Times New Roman"/>
          <w:color w:val="4F4D4D"/>
          <w:w w:val="105"/>
          <w:sz w:val="15"/>
        </w:rPr>
        <w:t>"biG\ehlt </w:t>
      </w:r>
      <w:r>
        <w:rPr>
          <w:rFonts w:ascii="Times New Roman"/>
          <w:color w:val="242121"/>
          <w:w w:val="105"/>
          <w:sz w:val="15"/>
        </w:rPr>
        <w:t>tJA1't'ii-i1tJ</w:t>
      </w:r>
    </w:p>
    <w:p>
      <w:pPr>
        <w:pStyle w:val="BodyText"/>
        <w:spacing w:line="20" w:lineRule="exact"/>
        <w:ind w:left="847"/>
        <w:rPr>
          <w:rFonts w:ascii="Times New Roman"/>
          <w:sz w:val="2"/>
        </w:rPr>
      </w:pPr>
      <w:r>
        <w:rPr>
          <w:rFonts w:ascii="Times New Roman"/>
          <w:sz w:val="2"/>
        </w:rPr>
        <mc:AlternateContent>
          <mc:Choice Requires="wps">
            <w:drawing>
              <wp:inline distT="0" distB="0" distL="0" distR="0">
                <wp:extent cx="2616200" cy="3175"/>
                <wp:effectExtent l="9525" t="0" r="0" b="6350"/>
                <wp:docPr id="475" name="Group 475"/>
                <wp:cNvGraphicFramePr>
                  <a:graphicFrameLocks/>
                </wp:cNvGraphicFramePr>
                <a:graphic>
                  <a:graphicData uri="http://schemas.microsoft.com/office/word/2010/wordprocessingGroup">
                    <wpg:wgp>
                      <wpg:cNvPr id="475" name="Group 475"/>
                      <wpg:cNvGrpSpPr/>
                      <wpg:grpSpPr>
                        <a:xfrm>
                          <a:off x="0" y="0"/>
                          <a:ext cx="2616200" cy="3175"/>
                          <a:chExt cx="2616200" cy="3175"/>
                        </a:xfrm>
                      </wpg:grpSpPr>
                      <wps:wsp>
                        <wps:cNvPr id="476" name="Graphic 476"/>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46" coordorigin="0,0" coordsize="4120,5">
                <v:shape style="position:absolute;left:0;top:2;width:4120;height:2" id="docshape347" coordorigin="0,3" coordsize="4120,0" path="m0,3l644,3,2060,3,3476,3,4120,3e" filled="false" stroked="true" strokeweight=".25pt" strokecolor="#231f20">
                  <v:path arrowok="t"/>
                  <v:stroke dashstyle="solid"/>
                </v:shape>
              </v:group>
            </w:pict>
          </mc:Fallback>
        </mc:AlternateContent>
      </w:r>
      <w:r>
        <w:rPr>
          <w:rFonts w:ascii="Times New Roman"/>
          <w:sz w:val="2"/>
        </w:rPr>
      </w:r>
    </w:p>
    <w:p>
      <w:pPr>
        <w:spacing w:after="0" w:line="20" w:lineRule="exact"/>
        <w:rPr>
          <w:rFonts w:ascii="Times New Roman"/>
          <w:sz w:val="2"/>
        </w:rPr>
        <w:sectPr>
          <w:type w:val="continuous"/>
          <w:pgSz w:w="20160" w:h="12240" w:orient="landscape"/>
          <w:pgMar w:header="0" w:footer="0" w:top="1820" w:bottom="280" w:left="380" w:right="120"/>
          <w:cols w:num="3" w:equalWidth="0">
            <w:col w:w="9215" w:space="40"/>
            <w:col w:w="4998" w:space="39"/>
            <w:col w:w="5368"/>
          </w:cols>
        </w:sectPr>
      </w:pPr>
    </w:p>
    <w:p>
      <w:pPr>
        <w:spacing w:line="216" w:lineRule="exact" w:before="0"/>
        <w:ind w:left="0" w:right="0" w:firstLine="0"/>
        <w:jc w:val="right"/>
        <w:rPr>
          <w:rFonts w:ascii="Times New Roman"/>
          <w:b/>
          <w:sz w:val="19"/>
        </w:rPr>
      </w:pPr>
      <w:r>
        <w:rPr/>
        <mc:AlternateContent>
          <mc:Choice Requires="wps">
            <w:drawing>
              <wp:anchor distT="0" distB="0" distL="0" distR="0" allowOverlap="1" layoutInCell="1" locked="0" behindDoc="0" simplePos="0" relativeHeight="15848448">
                <wp:simplePos x="0" y="0"/>
                <wp:positionH relativeFrom="page">
                  <wp:posOffset>9867887</wp:posOffset>
                </wp:positionH>
                <wp:positionV relativeFrom="paragraph">
                  <wp:posOffset>683197</wp:posOffset>
                </wp:positionV>
                <wp:extent cx="2604135" cy="116459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2604135" cy="1164590"/>
                        </a:xfrm>
                        <a:prstGeom prst="rect">
                          <a:avLst/>
                        </a:prstGeom>
                        <a:ln w="12700">
                          <a:solidFill>
                            <a:srgbClr val="231F20"/>
                          </a:solidFill>
                          <a:prstDash val="solid"/>
                        </a:ln>
                      </wps:spPr>
                      <wps:txbx>
                        <w:txbxContent>
                          <w:p>
                            <w:pPr>
                              <w:spacing w:line="254" w:lineRule="auto" w:before="179"/>
                              <w:ind w:left="209" w:right="0" w:hanging="1"/>
                              <w:jc w:val="left"/>
                              <w:rPr>
                                <w:rFonts w:ascii="Arial"/>
                                <w:b/>
                                <w:sz w:val="19"/>
                              </w:rPr>
                            </w:pPr>
                            <w:r>
                              <w:rPr>
                                <w:rFonts w:ascii="Arial"/>
                                <w:b/>
                                <w:color w:val="242121"/>
                                <w:w w:val="105"/>
                                <w:sz w:val="19"/>
                              </w:rPr>
                              <w:t>Language Line Services also offers Document Translation</w:t>
                            </w:r>
                          </w:p>
                          <w:p>
                            <w:pPr>
                              <w:spacing w:line="218" w:lineRule="exact" w:before="0"/>
                              <w:ind w:left="210" w:right="0" w:firstLine="0"/>
                              <w:jc w:val="left"/>
                              <w:rPr>
                                <w:rFonts w:ascii="Times New Roman"/>
                                <w:sz w:val="19"/>
                              </w:rPr>
                            </w:pPr>
                            <w:r>
                              <w:rPr>
                                <w:rFonts w:ascii="Times New Roman"/>
                                <w:color w:val="383436"/>
                                <w:w w:val="105"/>
                                <w:sz w:val="19"/>
                              </w:rPr>
                              <w:t>For</w:t>
                            </w:r>
                            <w:r>
                              <w:rPr>
                                <w:rFonts w:ascii="Times New Roman"/>
                                <w:color w:val="383436"/>
                                <w:spacing w:val="-1"/>
                                <w:w w:val="105"/>
                                <w:sz w:val="19"/>
                              </w:rPr>
                              <w:t> </w:t>
                            </w:r>
                            <w:r>
                              <w:rPr>
                                <w:rFonts w:ascii="Times New Roman"/>
                                <w:color w:val="383436"/>
                                <w:w w:val="105"/>
                                <w:sz w:val="19"/>
                              </w:rPr>
                              <w:t>more</w:t>
                            </w:r>
                            <w:r>
                              <w:rPr>
                                <w:rFonts w:ascii="Times New Roman"/>
                                <w:color w:val="383436"/>
                                <w:spacing w:val="-3"/>
                                <w:w w:val="105"/>
                                <w:sz w:val="19"/>
                              </w:rPr>
                              <w:t> </w:t>
                            </w:r>
                            <w:r>
                              <w:rPr>
                                <w:rFonts w:ascii="Times New Roman"/>
                                <w:color w:val="383436"/>
                                <w:w w:val="105"/>
                                <w:sz w:val="19"/>
                              </w:rPr>
                              <w:t>information</w:t>
                            </w:r>
                            <w:r>
                              <w:rPr>
                                <w:rFonts w:ascii="Times New Roman"/>
                                <w:color w:val="383436"/>
                                <w:spacing w:val="4"/>
                                <w:w w:val="105"/>
                                <w:sz w:val="19"/>
                              </w:rPr>
                              <w:t> </w:t>
                            </w:r>
                            <w:r>
                              <w:rPr>
                                <w:rFonts w:ascii="Times New Roman"/>
                                <w:color w:val="383436"/>
                                <w:w w:val="105"/>
                                <w:sz w:val="19"/>
                              </w:rPr>
                              <w:t>contact</w:t>
                            </w:r>
                            <w:r>
                              <w:rPr>
                                <w:rFonts w:ascii="Times New Roman"/>
                                <w:color w:val="383436"/>
                                <w:spacing w:val="26"/>
                                <w:w w:val="105"/>
                                <w:sz w:val="19"/>
                              </w:rPr>
                              <w:t> </w:t>
                            </w:r>
                            <w:r>
                              <w:rPr>
                                <w:rFonts w:ascii="Times New Roman"/>
                                <w:color w:val="383436"/>
                                <w:spacing w:val="-5"/>
                                <w:w w:val="105"/>
                                <w:sz w:val="19"/>
                              </w:rPr>
                              <w:t>us:</w:t>
                            </w:r>
                          </w:p>
                          <w:p>
                            <w:pPr>
                              <w:spacing w:before="12"/>
                              <w:ind w:left="210" w:right="0" w:firstLine="0"/>
                              <w:jc w:val="left"/>
                              <w:rPr>
                                <w:rFonts w:ascii="Times New Roman" w:hAnsi="Times New Roman"/>
                                <w:sz w:val="19"/>
                              </w:rPr>
                            </w:pPr>
                            <w:r>
                              <w:rPr>
                                <w:rFonts w:ascii="Times New Roman" w:hAnsi="Times New Roman"/>
                                <w:color w:val="383436"/>
                                <w:w w:val="105"/>
                                <w:sz w:val="19"/>
                              </w:rPr>
                              <w:t>Phone:</w:t>
                            </w:r>
                            <w:r>
                              <w:rPr>
                                <w:rFonts w:ascii="Times New Roman" w:hAnsi="Times New Roman"/>
                                <w:color w:val="383436"/>
                                <w:spacing w:val="18"/>
                                <w:w w:val="105"/>
                                <w:sz w:val="19"/>
                              </w:rPr>
                              <w:t> </w:t>
                            </w:r>
                            <w:r>
                              <w:rPr>
                                <w:rFonts w:ascii="Arial" w:hAnsi="Arial"/>
                                <w:color w:val="383436"/>
                                <w:w w:val="105"/>
                                <w:sz w:val="18"/>
                              </w:rPr>
                              <w:t>I</w:t>
                            </w:r>
                            <w:r>
                              <w:rPr>
                                <w:rFonts w:ascii="Arial" w:hAnsi="Arial"/>
                                <w:color w:val="383436"/>
                                <w:spacing w:val="26"/>
                                <w:w w:val="105"/>
                                <w:sz w:val="18"/>
                              </w:rPr>
                              <w:t> </w:t>
                            </w:r>
                            <w:r>
                              <w:rPr>
                                <w:rFonts w:ascii="Times New Roman" w:hAnsi="Times New Roman"/>
                                <w:color w:val="383436"/>
                                <w:w w:val="105"/>
                                <w:sz w:val="19"/>
                              </w:rPr>
                              <w:t>888</w:t>
                            </w:r>
                            <w:r>
                              <w:rPr>
                                <w:rFonts w:ascii="Times New Roman" w:hAnsi="Times New Roman"/>
                                <w:color w:val="383436"/>
                                <w:spacing w:val="2"/>
                                <w:w w:val="105"/>
                                <w:sz w:val="19"/>
                              </w:rPr>
                              <w:t> </w:t>
                            </w:r>
                            <w:r>
                              <w:rPr>
                                <w:rFonts w:ascii="Times New Roman" w:hAnsi="Times New Roman"/>
                                <w:color w:val="383436"/>
                                <w:w w:val="105"/>
                                <w:sz w:val="19"/>
                              </w:rPr>
                              <w:t>763-3364</w:t>
                            </w:r>
                            <w:r>
                              <w:rPr>
                                <w:rFonts w:ascii="Times New Roman" w:hAnsi="Times New Roman"/>
                                <w:color w:val="383436"/>
                                <w:spacing w:val="21"/>
                                <w:w w:val="105"/>
                                <w:sz w:val="19"/>
                              </w:rPr>
                              <w:t> </w:t>
                            </w:r>
                            <w:r>
                              <w:rPr>
                                <w:rFonts w:ascii="Times New Roman" w:hAnsi="Times New Roman"/>
                                <w:color w:val="242121"/>
                                <w:w w:val="105"/>
                                <w:sz w:val="19"/>
                              </w:rPr>
                              <w:t>•</w:t>
                            </w:r>
                            <w:r>
                              <w:rPr>
                                <w:rFonts w:ascii="Times New Roman" w:hAnsi="Times New Roman"/>
                                <w:color w:val="242121"/>
                                <w:spacing w:val="24"/>
                                <w:w w:val="105"/>
                                <w:sz w:val="19"/>
                              </w:rPr>
                              <w:t> </w:t>
                            </w:r>
                            <w:r>
                              <w:rPr>
                                <w:rFonts w:ascii="Times New Roman" w:hAnsi="Times New Roman"/>
                                <w:color w:val="383436"/>
                                <w:w w:val="105"/>
                                <w:sz w:val="19"/>
                              </w:rPr>
                              <w:t>Fax:</w:t>
                            </w:r>
                            <w:r>
                              <w:rPr>
                                <w:rFonts w:ascii="Times New Roman" w:hAnsi="Times New Roman"/>
                                <w:color w:val="383436"/>
                                <w:spacing w:val="11"/>
                                <w:w w:val="105"/>
                                <w:sz w:val="19"/>
                              </w:rPr>
                              <w:t> </w:t>
                            </w:r>
                            <w:r>
                              <w:rPr>
                                <w:rFonts w:ascii="Arial" w:hAnsi="Arial"/>
                                <w:color w:val="383436"/>
                                <w:w w:val="105"/>
                                <w:sz w:val="18"/>
                              </w:rPr>
                              <w:t>I</w:t>
                            </w:r>
                            <w:r>
                              <w:rPr>
                                <w:rFonts w:ascii="Arial" w:hAnsi="Arial"/>
                                <w:color w:val="383436"/>
                                <w:spacing w:val="27"/>
                                <w:w w:val="105"/>
                                <w:sz w:val="18"/>
                              </w:rPr>
                              <w:t> </w:t>
                            </w:r>
                            <w:r>
                              <w:rPr>
                                <w:rFonts w:ascii="Times New Roman" w:hAnsi="Times New Roman"/>
                                <w:color w:val="4F4D4D"/>
                                <w:w w:val="105"/>
                                <w:sz w:val="19"/>
                              </w:rPr>
                              <w:t>800 </w:t>
                            </w:r>
                            <w:r>
                              <w:rPr>
                                <w:rFonts w:ascii="Times New Roman" w:hAnsi="Times New Roman"/>
                                <w:color w:val="383436"/>
                                <w:w w:val="105"/>
                                <w:sz w:val="19"/>
                              </w:rPr>
                              <w:t>648-</w:t>
                            </w:r>
                            <w:r>
                              <w:rPr>
                                <w:rFonts w:ascii="Times New Roman" w:hAnsi="Times New Roman"/>
                                <w:color w:val="383436"/>
                                <w:spacing w:val="-4"/>
                                <w:w w:val="105"/>
                                <w:sz w:val="19"/>
                              </w:rPr>
                              <w:t>0170</w:t>
                            </w:r>
                          </w:p>
                          <w:p>
                            <w:pPr>
                              <w:spacing w:line="278" w:lineRule="auto" w:before="21"/>
                              <w:ind w:left="221" w:right="781" w:hanging="6"/>
                              <w:jc w:val="left"/>
                              <w:rPr>
                                <w:rFonts w:ascii="Times New Roman"/>
                                <w:sz w:val="17"/>
                              </w:rPr>
                            </w:pPr>
                            <w:r>
                              <w:rPr>
                                <w:rFonts w:ascii="Times New Roman"/>
                                <w:color w:val="4F4D4D"/>
                                <w:sz w:val="17"/>
                              </w:rPr>
                              <w:t>E-mai</w:t>
                            </w:r>
                            <w:r>
                              <w:rPr>
                                <w:rFonts w:ascii="Arial"/>
                                <w:color w:val="383436"/>
                                <w:sz w:val="18"/>
                              </w:rPr>
                              <w:t>I: </w:t>
                            </w:r>
                            <w:hyperlink r:id="rId140">
                              <w:r>
                                <w:rPr>
                                  <w:rFonts w:ascii="Times New Roman"/>
                                  <w:color w:val="383436"/>
                                  <w:sz w:val="17"/>
                                </w:rPr>
                                <w:t>transLation</w:t>
                              </w:r>
                              <w:r>
                                <w:rPr>
                                  <w:rFonts w:ascii="Times New Roman"/>
                                  <w:color w:val="646262"/>
                                  <w:sz w:val="17"/>
                                </w:rPr>
                                <w:t>@</w:t>
                              </w:r>
                              <w:r>
                                <w:rPr>
                                  <w:rFonts w:ascii="Times New Roman"/>
                                  <w:color w:val="383436"/>
                                  <w:sz w:val="17"/>
                                </w:rPr>
                                <w:t>languageline.com</w:t>
                              </w:r>
                            </w:hyperlink>
                            <w:r>
                              <w:rPr>
                                <w:rFonts w:ascii="Times New Roman"/>
                                <w:color w:val="383436"/>
                                <w:spacing w:val="40"/>
                                <w:w w:val="110"/>
                                <w:sz w:val="17"/>
                              </w:rPr>
                              <w:t> </w:t>
                            </w:r>
                            <w:r>
                              <w:rPr>
                                <w:rFonts w:ascii="Times New Roman"/>
                                <w:color w:val="383436"/>
                                <w:w w:val="110"/>
                                <w:sz w:val="17"/>
                              </w:rPr>
                              <w:t>Web</w:t>
                            </w:r>
                            <w:r>
                              <w:rPr>
                                <w:rFonts w:ascii="Times New Roman"/>
                                <w:color w:val="646262"/>
                                <w:w w:val="110"/>
                                <w:sz w:val="17"/>
                              </w:rPr>
                              <w:t>: </w:t>
                            </w:r>
                            <w:r>
                              <w:rPr>
                                <w:rFonts w:ascii="Times New Roman"/>
                                <w:color w:val="4F4D4D"/>
                                <w:w w:val="110"/>
                                <w:sz w:val="17"/>
                              </w:rPr>
                              <w:t>www.LanguageLine,com</w:t>
                            </w:r>
                          </w:p>
                        </w:txbxContent>
                      </wps:txbx>
                      <wps:bodyPr wrap="square" lIns="0" tIns="0" rIns="0" bIns="0" rtlCol="0">
                        <a:noAutofit/>
                      </wps:bodyPr>
                    </wps:wsp>
                  </a:graphicData>
                </a:graphic>
              </wp:anchor>
            </w:drawing>
          </mc:Choice>
          <mc:Fallback>
            <w:pict>
              <v:shape style="position:absolute;margin-left:776.999023pt;margin-top:53.795063pt;width:205.05pt;height:91.7pt;mso-position-horizontal-relative:page;mso-position-vertical-relative:paragraph;z-index:15848448" type="#_x0000_t202" id="docshape348" filled="false" stroked="true" strokeweight="1pt" strokecolor="#231f20">
                <v:textbox inset="0,0,0,0">
                  <w:txbxContent>
                    <w:p>
                      <w:pPr>
                        <w:spacing w:line="254" w:lineRule="auto" w:before="179"/>
                        <w:ind w:left="209" w:right="0" w:hanging="1"/>
                        <w:jc w:val="left"/>
                        <w:rPr>
                          <w:rFonts w:ascii="Arial"/>
                          <w:b/>
                          <w:sz w:val="19"/>
                        </w:rPr>
                      </w:pPr>
                      <w:r>
                        <w:rPr>
                          <w:rFonts w:ascii="Arial"/>
                          <w:b/>
                          <w:color w:val="242121"/>
                          <w:w w:val="105"/>
                          <w:sz w:val="19"/>
                        </w:rPr>
                        <w:t>Language Line Services also offers Document Translation</w:t>
                      </w:r>
                    </w:p>
                    <w:p>
                      <w:pPr>
                        <w:spacing w:line="218" w:lineRule="exact" w:before="0"/>
                        <w:ind w:left="210" w:right="0" w:firstLine="0"/>
                        <w:jc w:val="left"/>
                        <w:rPr>
                          <w:rFonts w:ascii="Times New Roman"/>
                          <w:sz w:val="19"/>
                        </w:rPr>
                      </w:pPr>
                      <w:r>
                        <w:rPr>
                          <w:rFonts w:ascii="Times New Roman"/>
                          <w:color w:val="383436"/>
                          <w:w w:val="105"/>
                          <w:sz w:val="19"/>
                        </w:rPr>
                        <w:t>For</w:t>
                      </w:r>
                      <w:r>
                        <w:rPr>
                          <w:rFonts w:ascii="Times New Roman"/>
                          <w:color w:val="383436"/>
                          <w:spacing w:val="-1"/>
                          <w:w w:val="105"/>
                          <w:sz w:val="19"/>
                        </w:rPr>
                        <w:t> </w:t>
                      </w:r>
                      <w:r>
                        <w:rPr>
                          <w:rFonts w:ascii="Times New Roman"/>
                          <w:color w:val="383436"/>
                          <w:w w:val="105"/>
                          <w:sz w:val="19"/>
                        </w:rPr>
                        <w:t>more</w:t>
                      </w:r>
                      <w:r>
                        <w:rPr>
                          <w:rFonts w:ascii="Times New Roman"/>
                          <w:color w:val="383436"/>
                          <w:spacing w:val="-3"/>
                          <w:w w:val="105"/>
                          <w:sz w:val="19"/>
                        </w:rPr>
                        <w:t> </w:t>
                      </w:r>
                      <w:r>
                        <w:rPr>
                          <w:rFonts w:ascii="Times New Roman"/>
                          <w:color w:val="383436"/>
                          <w:w w:val="105"/>
                          <w:sz w:val="19"/>
                        </w:rPr>
                        <w:t>information</w:t>
                      </w:r>
                      <w:r>
                        <w:rPr>
                          <w:rFonts w:ascii="Times New Roman"/>
                          <w:color w:val="383436"/>
                          <w:spacing w:val="4"/>
                          <w:w w:val="105"/>
                          <w:sz w:val="19"/>
                        </w:rPr>
                        <w:t> </w:t>
                      </w:r>
                      <w:r>
                        <w:rPr>
                          <w:rFonts w:ascii="Times New Roman"/>
                          <w:color w:val="383436"/>
                          <w:w w:val="105"/>
                          <w:sz w:val="19"/>
                        </w:rPr>
                        <w:t>contact</w:t>
                      </w:r>
                      <w:r>
                        <w:rPr>
                          <w:rFonts w:ascii="Times New Roman"/>
                          <w:color w:val="383436"/>
                          <w:spacing w:val="26"/>
                          <w:w w:val="105"/>
                          <w:sz w:val="19"/>
                        </w:rPr>
                        <w:t> </w:t>
                      </w:r>
                      <w:r>
                        <w:rPr>
                          <w:rFonts w:ascii="Times New Roman"/>
                          <w:color w:val="383436"/>
                          <w:spacing w:val="-5"/>
                          <w:w w:val="105"/>
                          <w:sz w:val="19"/>
                        </w:rPr>
                        <w:t>us:</w:t>
                      </w:r>
                    </w:p>
                    <w:p>
                      <w:pPr>
                        <w:spacing w:before="12"/>
                        <w:ind w:left="210" w:right="0" w:firstLine="0"/>
                        <w:jc w:val="left"/>
                        <w:rPr>
                          <w:rFonts w:ascii="Times New Roman" w:hAnsi="Times New Roman"/>
                          <w:sz w:val="19"/>
                        </w:rPr>
                      </w:pPr>
                      <w:r>
                        <w:rPr>
                          <w:rFonts w:ascii="Times New Roman" w:hAnsi="Times New Roman"/>
                          <w:color w:val="383436"/>
                          <w:w w:val="105"/>
                          <w:sz w:val="19"/>
                        </w:rPr>
                        <w:t>Phone:</w:t>
                      </w:r>
                      <w:r>
                        <w:rPr>
                          <w:rFonts w:ascii="Times New Roman" w:hAnsi="Times New Roman"/>
                          <w:color w:val="383436"/>
                          <w:spacing w:val="18"/>
                          <w:w w:val="105"/>
                          <w:sz w:val="19"/>
                        </w:rPr>
                        <w:t> </w:t>
                      </w:r>
                      <w:r>
                        <w:rPr>
                          <w:rFonts w:ascii="Arial" w:hAnsi="Arial"/>
                          <w:color w:val="383436"/>
                          <w:w w:val="105"/>
                          <w:sz w:val="18"/>
                        </w:rPr>
                        <w:t>I</w:t>
                      </w:r>
                      <w:r>
                        <w:rPr>
                          <w:rFonts w:ascii="Arial" w:hAnsi="Arial"/>
                          <w:color w:val="383436"/>
                          <w:spacing w:val="26"/>
                          <w:w w:val="105"/>
                          <w:sz w:val="18"/>
                        </w:rPr>
                        <w:t> </w:t>
                      </w:r>
                      <w:r>
                        <w:rPr>
                          <w:rFonts w:ascii="Times New Roman" w:hAnsi="Times New Roman"/>
                          <w:color w:val="383436"/>
                          <w:w w:val="105"/>
                          <w:sz w:val="19"/>
                        </w:rPr>
                        <w:t>888</w:t>
                      </w:r>
                      <w:r>
                        <w:rPr>
                          <w:rFonts w:ascii="Times New Roman" w:hAnsi="Times New Roman"/>
                          <w:color w:val="383436"/>
                          <w:spacing w:val="2"/>
                          <w:w w:val="105"/>
                          <w:sz w:val="19"/>
                        </w:rPr>
                        <w:t> </w:t>
                      </w:r>
                      <w:r>
                        <w:rPr>
                          <w:rFonts w:ascii="Times New Roman" w:hAnsi="Times New Roman"/>
                          <w:color w:val="383436"/>
                          <w:w w:val="105"/>
                          <w:sz w:val="19"/>
                        </w:rPr>
                        <w:t>763-3364</w:t>
                      </w:r>
                      <w:r>
                        <w:rPr>
                          <w:rFonts w:ascii="Times New Roman" w:hAnsi="Times New Roman"/>
                          <w:color w:val="383436"/>
                          <w:spacing w:val="21"/>
                          <w:w w:val="105"/>
                          <w:sz w:val="19"/>
                        </w:rPr>
                        <w:t> </w:t>
                      </w:r>
                      <w:r>
                        <w:rPr>
                          <w:rFonts w:ascii="Times New Roman" w:hAnsi="Times New Roman"/>
                          <w:color w:val="242121"/>
                          <w:w w:val="105"/>
                          <w:sz w:val="19"/>
                        </w:rPr>
                        <w:t>•</w:t>
                      </w:r>
                      <w:r>
                        <w:rPr>
                          <w:rFonts w:ascii="Times New Roman" w:hAnsi="Times New Roman"/>
                          <w:color w:val="242121"/>
                          <w:spacing w:val="24"/>
                          <w:w w:val="105"/>
                          <w:sz w:val="19"/>
                        </w:rPr>
                        <w:t> </w:t>
                      </w:r>
                      <w:r>
                        <w:rPr>
                          <w:rFonts w:ascii="Times New Roman" w:hAnsi="Times New Roman"/>
                          <w:color w:val="383436"/>
                          <w:w w:val="105"/>
                          <w:sz w:val="19"/>
                        </w:rPr>
                        <w:t>Fax:</w:t>
                      </w:r>
                      <w:r>
                        <w:rPr>
                          <w:rFonts w:ascii="Times New Roman" w:hAnsi="Times New Roman"/>
                          <w:color w:val="383436"/>
                          <w:spacing w:val="11"/>
                          <w:w w:val="105"/>
                          <w:sz w:val="19"/>
                        </w:rPr>
                        <w:t> </w:t>
                      </w:r>
                      <w:r>
                        <w:rPr>
                          <w:rFonts w:ascii="Arial" w:hAnsi="Arial"/>
                          <w:color w:val="383436"/>
                          <w:w w:val="105"/>
                          <w:sz w:val="18"/>
                        </w:rPr>
                        <w:t>I</w:t>
                      </w:r>
                      <w:r>
                        <w:rPr>
                          <w:rFonts w:ascii="Arial" w:hAnsi="Arial"/>
                          <w:color w:val="383436"/>
                          <w:spacing w:val="27"/>
                          <w:w w:val="105"/>
                          <w:sz w:val="18"/>
                        </w:rPr>
                        <w:t> </w:t>
                      </w:r>
                      <w:r>
                        <w:rPr>
                          <w:rFonts w:ascii="Times New Roman" w:hAnsi="Times New Roman"/>
                          <w:color w:val="4F4D4D"/>
                          <w:w w:val="105"/>
                          <w:sz w:val="19"/>
                        </w:rPr>
                        <w:t>800 </w:t>
                      </w:r>
                      <w:r>
                        <w:rPr>
                          <w:rFonts w:ascii="Times New Roman" w:hAnsi="Times New Roman"/>
                          <w:color w:val="383436"/>
                          <w:w w:val="105"/>
                          <w:sz w:val="19"/>
                        </w:rPr>
                        <w:t>648-</w:t>
                      </w:r>
                      <w:r>
                        <w:rPr>
                          <w:rFonts w:ascii="Times New Roman" w:hAnsi="Times New Roman"/>
                          <w:color w:val="383436"/>
                          <w:spacing w:val="-4"/>
                          <w:w w:val="105"/>
                          <w:sz w:val="19"/>
                        </w:rPr>
                        <w:t>0170</w:t>
                      </w:r>
                    </w:p>
                    <w:p>
                      <w:pPr>
                        <w:spacing w:line="278" w:lineRule="auto" w:before="21"/>
                        <w:ind w:left="221" w:right="781" w:hanging="6"/>
                        <w:jc w:val="left"/>
                        <w:rPr>
                          <w:rFonts w:ascii="Times New Roman"/>
                          <w:sz w:val="17"/>
                        </w:rPr>
                      </w:pPr>
                      <w:r>
                        <w:rPr>
                          <w:rFonts w:ascii="Times New Roman"/>
                          <w:color w:val="4F4D4D"/>
                          <w:sz w:val="17"/>
                        </w:rPr>
                        <w:t>E-mai</w:t>
                      </w:r>
                      <w:r>
                        <w:rPr>
                          <w:rFonts w:ascii="Arial"/>
                          <w:color w:val="383436"/>
                          <w:sz w:val="18"/>
                        </w:rPr>
                        <w:t>I: </w:t>
                      </w:r>
                      <w:hyperlink r:id="rId140">
                        <w:r>
                          <w:rPr>
                            <w:rFonts w:ascii="Times New Roman"/>
                            <w:color w:val="383436"/>
                            <w:sz w:val="17"/>
                          </w:rPr>
                          <w:t>transLation</w:t>
                        </w:r>
                        <w:r>
                          <w:rPr>
                            <w:rFonts w:ascii="Times New Roman"/>
                            <w:color w:val="646262"/>
                            <w:sz w:val="17"/>
                          </w:rPr>
                          <w:t>@</w:t>
                        </w:r>
                        <w:r>
                          <w:rPr>
                            <w:rFonts w:ascii="Times New Roman"/>
                            <w:color w:val="383436"/>
                            <w:sz w:val="17"/>
                          </w:rPr>
                          <w:t>languageline.com</w:t>
                        </w:r>
                      </w:hyperlink>
                      <w:r>
                        <w:rPr>
                          <w:rFonts w:ascii="Times New Roman"/>
                          <w:color w:val="383436"/>
                          <w:spacing w:val="40"/>
                          <w:w w:val="110"/>
                          <w:sz w:val="17"/>
                        </w:rPr>
                        <w:t> </w:t>
                      </w:r>
                      <w:r>
                        <w:rPr>
                          <w:rFonts w:ascii="Times New Roman"/>
                          <w:color w:val="383436"/>
                          <w:w w:val="110"/>
                          <w:sz w:val="17"/>
                        </w:rPr>
                        <w:t>Web</w:t>
                      </w:r>
                      <w:r>
                        <w:rPr>
                          <w:rFonts w:ascii="Times New Roman"/>
                          <w:color w:val="646262"/>
                          <w:w w:val="110"/>
                          <w:sz w:val="17"/>
                        </w:rPr>
                        <w:t>: </w:t>
                      </w:r>
                      <w:r>
                        <w:rPr>
                          <w:rFonts w:ascii="Times New Roman"/>
                          <w:color w:val="4F4D4D"/>
                          <w:w w:val="110"/>
                          <w:sz w:val="17"/>
                        </w:rPr>
                        <w:t>www.LanguageLine,com</w:t>
                      </w:r>
                    </w:p>
                  </w:txbxContent>
                </v:textbox>
                <v:stroke dashstyle="solid"/>
                <w10:wrap type="none"/>
              </v:shape>
            </w:pict>
          </mc:Fallback>
        </mc:AlternateContent>
      </w:r>
      <w:r>
        <w:rPr/>
        <w:drawing>
          <wp:anchor distT="0" distB="0" distL="0" distR="0" allowOverlap="1" layoutInCell="1" locked="0" behindDoc="1" simplePos="0" relativeHeight="478466560">
            <wp:simplePos x="0" y="0"/>
            <wp:positionH relativeFrom="page">
              <wp:posOffset>9053054</wp:posOffset>
            </wp:positionH>
            <wp:positionV relativeFrom="paragraph">
              <wp:posOffset>149871</wp:posOffset>
            </wp:positionV>
            <wp:extent cx="214299" cy="104139"/>
            <wp:effectExtent l="0" t="0" r="0" b="0"/>
            <wp:wrapNone/>
            <wp:docPr id="478" name="Image 478"/>
            <wp:cNvGraphicFramePr>
              <a:graphicFrameLocks/>
            </wp:cNvGraphicFramePr>
            <a:graphic>
              <a:graphicData uri="http://schemas.openxmlformats.org/drawingml/2006/picture">
                <pic:pic>
                  <pic:nvPicPr>
                    <pic:cNvPr id="478" name="Image 478"/>
                    <pic:cNvPicPr/>
                  </pic:nvPicPr>
                  <pic:blipFill>
                    <a:blip r:embed="rId112" cstate="print"/>
                    <a:stretch>
                      <a:fillRect/>
                    </a:stretch>
                  </pic:blipFill>
                  <pic:spPr>
                    <a:xfrm>
                      <a:off x="0" y="0"/>
                      <a:ext cx="214299" cy="104139"/>
                    </a:xfrm>
                    <a:prstGeom prst="rect">
                      <a:avLst/>
                    </a:prstGeom>
                  </pic:spPr>
                </pic:pic>
              </a:graphicData>
            </a:graphic>
          </wp:anchor>
        </w:drawing>
      </w:r>
      <w:r>
        <w:rPr/>
        <w:drawing>
          <wp:anchor distT="0" distB="0" distL="0" distR="0" allowOverlap="1" layoutInCell="1" locked="0" behindDoc="1" simplePos="0" relativeHeight="478467072">
            <wp:simplePos x="0" y="0"/>
            <wp:positionH relativeFrom="page">
              <wp:posOffset>9053054</wp:posOffset>
            </wp:positionH>
            <wp:positionV relativeFrom="paragraph">
              <wp:posOffset>395363</wp:posOffset>
            </wp:positionV>
            <wp:extent cx="214299" cy="104140"/>
            <wp:effectExtent l="0" t="0" r="0" b="0"/>
            <wp:wrapNone/>
            <wp:docPr id="479" name="Image 479"/>
            <wp:cNvGraphicFramePr>
              <a:graphicFrameLocks/>
            </wp:cNvGraphicFramePr>
            <a:graphic>
              <a:graphicData uri="http://schemas.openxmlformats.org/drawingml/2006/picture">
                <pic:pic>
                  <pic:nvPicPr>
                    <pic:cNvPr id="479" name="Image 479"/>
                    <pic:cNvPicPr/>
                  </pic:nvPicPr>
                  <pic:blipFill>
                    <a:blip r:embed="rId141" cstate="print"/>
                    <a:stretch>
                      <a:fillRect/>
                    </a:stretch>
                  </pic:blipFill>
                  <pic:spPr>
                    <a:xfrm>
                      <a:off x="0" y="0"/>
                      <a:ext cx="214299" cy="104140"/>
                    </a:xfrm>
                    <a:prstGeom prst="rect">
                      <a:avLst/>
                    </a:prstGeom>
                  </pic:spPr>
                </pic:pic>
              </a:graphicData>
            </a:graphic>
          </wp:anchor>
        </w:drawing>
      </w:r>
      <w:r>
        <w:rPr/>
        <w:drawing>
          <wp:anchor distT="0" distB="0" distL="0" distR="0" allowOverlap="1" layoutInCell="1" locked="0" behindDoc="1" simplePos="0" relativeHeight="478467584">
            <wp:simplePos x="0" y="0"/>
            <wp:positionH relativeFrom="page">
              <wp:posOffset>9053054</wp:posOffset>
            </wp:positionH>
            <wp:positionV relativeFrom="paragraph">
              <wp:posOffset>651484</wp:posOffset>
            </wp:positionV>
            <wp:extent cx="214299" cy="104140"/>
            <wp:effectExtent l="0" t="0" r="0" b="0"/>
            <wp:wrapNone/>
            <wp:docPr id="480" name="Image 480"/>
            <wp:cNvGraphicFramePr>
              <a:graphicFrameLocks/>
            </wp:cNvGraphicFramePr>
            <a:graphic>
              <a:graphicData uri="http://schemas.openxmlformats.org/drawingml/2006/picture">
                <pic:pic>
                  <pic:nvPicPr>
                    <pic:cNvPr id="480" name="Image 480"/>
                    <pic:cNvPicPr/>
                  </pic:nvPicPr>
                  <pic:blipFill>
                    <a:blip r:embed="rId113" cstate="print"/>
                    <a:stretch>
                      <a:fillRect/>
                    </a:stretch>
                  </pic:blipFill>
                  <pic:spPr>
                    <a:xfrm>
                      <a:off x="0" y="0"/>
                      <a:ext cx="214299" cy="104140"/>
                    </a:xfrm>
                    <a:prstGeom prst="rect">
                      <a:avLst/>
                    </a:prstGeom>
                  </pic:spPr>
                </pic:pic>
              </a:graphicData>
            </a:graphic>
          </wp:anchor>
        </w:drawing>
      </w:r>
      <w:r>
        <w:rPr>
          <w:rFonts w:ascii="Times New Roman"/>
          <w:b/>
          <w:color w:val="383436"/>
          <w:spacing w:val="-2"/>
          <w:w w:val="105"/>
          <w:sz w:val="19"/>
        </w:rPr>
        <w:t>Wolof</w:t>
      </w:r>
    </w:p>
    <w:p>
      <w:pPr>
        <w:spacing w:line="214" w:lineRule="exact" w:before="0"/>
        <w:ind w:left="0" w:right="38" w:firstLine="0"/>
        <w:jc w:val="right"/>
        <w:rPr>
          <w:rFonts w:ascii="Times New Roman"/>
          <w:sz w:val="19"/>
        </w:rPr>
      </w:pPr>
      <w:r>
        <w:rPr/>
        <w:br w:type="column"/>
      </w:r>
      <w:r>
        <w:rPr>
          <w:rFonts w:ascii="Times New Roman"/>
          <w:color w:val="383436"/>
          <w:position w:val="1"/>
          <w:sz w:val="19"/>
        </w:rPr>
        <w:t>Wolof</w:t>
      </w:r>
      <w:r>
        <w:rPr>
          <w:rFonts w:ascii="Times New Roman"/>
          <w:color w:val="383436"/>
          <w:spacing w:val="40"/>
          <w:position w:val="1"/>
          <w:sz w:val="19"/>
        </w:rPr>
        <w:t> </w:t>
      </w:r>
      <w:r>
        <w:rPr>
          <w:rFonts w:ascii="Times New Roman"/>
          <w:color w:val="383436"/>
          <w:spacing w:val="11"/>
          <w:sz w:val="19"/>
        </w:rPr>
        <w:drawing>
          <wp:inline distT="0" distB="0" distL="0" distR="0">
            <wp:extent cx="214306" cy="104139"/>
            <wp:effectExtent l="0" t="0" r="0" b="0"/>
            <wp:docPr id="481" name="Image 481"/>
            <wp:cNvGraphicFramePr>
              <a:graphicFrameLocks/>
            </wp:cNvGraphicFramePr>
            <a:graphic>
              <a:graphicData uri="http://schemas.openxmlformats.org/drawingml/2006/picture">
                <pic:pic>
                  <pic:nvPicPr>
                    <pic:cNvPr id="481" name="Image 481"/>
                    <pic:cNvPicPr/>
                  </pic:nvPicPr>
                  <pic:blipFill>
                    <a:blip r:embed="rId109" cstate="print"/>
                    <a:stretch>
                      <a:fillRect/>
                    </a:stretch>
                  </pic:blipFill>
                  <pic:spPr>
                    <a:xfrm>
                      <a:off x="0" y="0"/>
                      <a:ext cx="214306" cy="104139"/>
                    </a:xfrm>
                    <a:prstGeom prst="rect">
                      <a:avLst/>
                    </a:prstGeom>
                  </pic:spPr>
                </pic:pic>
              </a:graphicData>
            </a:graphic>
          </wp:inline>
        </w:drawing>
      </w:r>
      <w:r>
        <w:rPr>
          <w:rFonts w:ascii="Times New Roman"/>
          <w:color w:val="383436"/>
          <w:spacing w:val="11"/>
          <w:sz w:val="19"/>
        </w:rPr>
      </w:r>
    </w:p>
    <w:p>
      <w:pPr>
        <w:tabs>
          <w:tab w:pos="7945" w:val="left" w:leader="none"/>
        </w:tabs>
        <w:spacing w:line="211" w:lineRule="exact" w:before="0"/>
        <w:ind w:left="5249" w:right="0" w:firstLine="0"/>
        <w:jc w:val="left"/>
        <w:rPr>
          <w:rFonts w:ascii="Times New Roman"/>
          <w:sz w:val="17"/>
        </w:rPr>
      </w:pPr>
      <w:r>
        <w:rPr/>
        <w:br w:type="column"/>
      </w:r>
      <w:r>
        <w:rPr>
          <w:rFonts w:ascii="Times New Roman"/>
          <w:b/>
          <w:color w:val="383436"/>
          <w:spacing w:val="-2"/>
          <w:w w:val="115"/>
          <w:sz w:val="19"/>
        </w:rPr>
        <w:t>Vietnamese</w:t>
      </w:r>
      <w:r>
        <w:rPr>
          <w:rFonts w:ascii="Times New Roman"/>
          <w:b/>
          <w:color w:val="383436"/>
          <w:sz w:val="19"/>
        </w:rPr>
        <w:tab/>
      </w:r>
      <w:r>
        <w:rPr>
          <w:rFonts w:ascii="Times New Roman"/>
          <w:color w:val="383436"/>
          <w:w w:val="115"/>
          <w:sz w:val="17"/>
        </w:rPr>
        <w:t>Tieng</w:t>
      </w:r>
      <w:r>
        <w:rPr>
          <w:rFonts w:ascii="Times New Roman"/>
          <w:color w:val="383436"/>
          <w:spacing w:val="19"/>
          <w:w w:val="115"/>
          <w:sz w:val="17"/>
        </w:rPr>
        <w:t> </w:t>
      </w:r>
      <w:r>
        <w:rPr>
          <w:rFonts w:ascii="Times New Roman"/>
          <w:color w:val="383436"/>
          <w:w w:val="115"/>
          <w:sz w:val="17"/>
        </w:rPr>
        <w:t>Vi</w:t>
      </w:r>
      <w:r>
        <w:rPr>
          <w:rFonts w:ascii="Times New Roman"/>
          <w:color w:val="383436"/>
          <w:spacing w:val="13"/>
          <w:w w:val="115"/>
          <w:sz w:val="17"/>
        </w:rPr>
        <w:t> </w:t>
      </w:r>
      <w:r>
        <w:rPr>
          <w:rFonts w:ascii="Times New Roman"/>
          <w:color w:val="383436"/>
          <w:spacing w:val="-10"/>
          <w:w w:val="115"/>
          <w:sz w:val="17"/>
        </w:rPr>
        <w:t>t</w:t>
      </w:r>
    </w:p>
    <w:p>
      <w:pPr>
        <w:spacing w:after="0" w:line="211" w:lineRule="exact"/>
        <w:jc w:val="left"/>
        <w:rPr>
          <w:rFonts w:ascii="Times New Roman"/>
          <w:sz w:val="17"/>
        </w:rPr>
        <w:sectPr>
          <w:type w:val="continuous"/>
          <w:pgSz w:w="20160" w:h="12240" w:orient="landscape"/>
          <w:pgMar w:header="0" w:footer="0" w:top="1820" w:bottom="280" w:left="380" w:right="120"/>
          <w:cols w:num="3" w:equalWidth="0">
            <w:col w:w="5761" w:space="40"/>
            <w:col w:w="3454" w:space="763"/>
            <w:col w:w="9642"/>
          </w:cols>
        </w:sectPr>
      </w:pPr>
    </w:p>
    <w:p>
      <w:pPr>
        <w:pStyle w:val="BodyText"/>
        <w:rPr>
          <w:rFonts w:ascii="Times New Roman"/>
          <w:sz w:val="6"/>
        </w:rPr>
      </w:pPr>
    </w:p>
    <w:p>
      <w:pPr>
        <w:pStyle w:val="BodyText"/>
        <w:ind w:left="154" w:right="-72"/>
        <w:rPr>
          <w:rFonts w:ascii="Times New Roman"/>
          <w:sz w:val="20"/>
        </w:rPr>
      </w:pPr>
      <w:r>
        <w:rPr>
          <w:rFonts w:ascii="Times New Roman"/>
          <w:sz w:val="20"/>
        </w:rPr>
        <mc:AlternateContent>
          <mc:Choice Requires="wps">
            <w:drawing>
              <wp:inline distT="0" distB="0" distL="0" distR="0">
                <wp:extent cx="2616200" cy="203835"/>
                <wp:effectExtent l="0" t="0" r="0" b="5714"/>
                <wp:docPr id="482" name="Group 482"/>
                <wp:cNvGraphicFramePr>
                  <a:graphicFrameLocks/>
                </wp:cNvGraphicFramePr>
                <a:graphic>
                  <a:graphicData uri="http://schemas.microsoft.com/office/word/2010/wordprocessingGroup">
                    <wpg:wgp>
                      <wpg:cNvPr id="482" name="Group 482"/>
                      <wpg:cNvGrpSpPr/>
                      <wpg:grpSpPr>
                        <a:xfrm>
                          <a:off x="0" y="0"/>
                          <a:ext cx="2616200" cy="203835"/>
                          <a:chExt cx="2616200" cy="203835"/>
                        </a:xfrm>
                      </wpg:grpSpPr>
                      <wps:wsp>
                        <wps:cNvPr id="483" name="Graphic 483"/>
                        <wps:cNvSpPr/>
                        <wps:spPr>
                          <a:xfrm>
                            <a:off x="0" y="0"/>
                            <a:ext cx="2616200" cy="203835"/>
                          </a:xfrm>
                          <a:custGeom>
                            <a:avLst/>
                            <a:gdLst/>
                            <a:ahLst/>
                            <a:cxnLst/>
                            <a:rect l="l" t="t" r="r" b="b"/>
                            <a:pathLst>
                              <a:path w="2616200" h="203835">
                                <a:moveTo>
                                  <a:pt x="2616199" y="203212"/>
                                </a:moveTo>
                                <a:lnTo>
                                  <a:pt x="0" y="203212"/>
                                </a:lnTo>
                                <a:lnTo>
                                  <a:pt x="0" y="0"/>
                                </a:lnTo>
                                <a:lnTo>
                                  <a:pt x="2616199" y="0"/>
                                </a:lnTo>
                                <a:lnTo>
                                  <a:pt x="2616199" y="203212"/>
                                </a:lnTo>
                                <a:close/>
                              </a:path>
                            </a:pathLst>
                          </a:custGeom>
                          <a:solidFill>
                            <a:srgbClr val="231F20"/>
                          </a:solidFill>
                        </wps:spPr>
                        <wps:bodyPr wrap="square" lIns="0" tIns="0" rIns="0" bIns="0" rtlCol="0">
                          <a:prstTxWarp prst="textNoShape">
                            <a:avLst/>
                          </a:prstTxWarp>
                          <a:noAutofit/>
                        </wps:bodyPr>
                      </wps:wsp>
                      <pic:pic>
                        <pic:nvPicPr>
                          <pic:cNvPr id="484" name="Image 484"/>
                          <pic:cNvPicPr/>
                        </pic:nvPicPr>
                        <pic:blipFill>
                          <a:blip r:embed="rId142" cstate="print"/>
                          <a:stretch>
                            <a:fillRect/>
                          </a:stretch>
                        </pic:blipFill>
                        <pic:spPr>
                          <a:xfrm>
                            <a:off x="27613" y="55500"/>
                            <a:ext cx="432438" cy="98623"/>
                          </a:xfrm>
                          <a:prstGeom prst="rect">
                            <a:avLst/>
                          </a:prstGeom>
                        </pic:spPr>
                      </pic:pic>
                    </wpg:wgp>
                  </a:graphicData>
                </a:graphic>
              </wp:inline>
            </w:drawing>
          </mc:Choice>
          <mc:Fallback>
            <w:pict>
              <v:group style="width:206pt;height:16.05pt;mso-position-horizontal-relative:char;mso-position-vertical-relative:line" id="docshapegroup349" coordorigin="0,0" coordsize="4120,321">
                <v:rect style="position:absolute;left:0;top:0;width:4120;height:321" id="docshape350" filled="true" fillcolor="#231f20" stroked="false">
                  <v:fill type="solid"/>
                </v:rect>
                <v:shape style="position:absolute;left:43;top:87;width:681;height:156" type="#_x0000_t75" id="docshape351" stroked="false">
                  <v:imagedata r:id="rId142" o:title=""/>
                </v:shape>
              </v:group>
            </w:pict>
          </mc:Fallback>
        </mc:AlternateContent>
      </w:r>
      <w:r>
        <w:rPr>
          <w:rFonts w:ascii="Times New Roman"/>
          <w:sz w:val="20"/>
        </w:rPr>
      </w:r>
    </w:p>
    <w:p>
      <w:pPr>
        <w:tabs>
          <w:tab w:pos="3351" w:val="left" w:leader="none"/>
        </w:tabs>
        <w:spacing w:before="66"/>
        <w:ind w:left="228" w:right="0" w:firstLine="0"/>
        <w:jc w:val="left"/>
        <w:rPr>
          <w:rFonts w:ascii="Times New Roman"/>
          <w:sz w:val="19"/>
        </w:rPr>
      </w:pPr>
      <w:r>
        <w:rPr>
          <w:rFonts w:ascii="Times New Roman"/>
          <w:b/>
          <w:color w:val="383436"/>
          <w:spacing w:val="-2"/>
          <w:w w:val="105"/>
          <w:sz w:val="19"/>
        </w:rPr>
        <w:t>Acholi</w:t>
      </w:r>
      <w:r>
        <w:rPr>
          <w:rFonts w:ascii="Times New Roman"/>
          <w:b/>
          <w:color w:val="383436"/>
          <w:sz w:val="19"/>
        </w:rPr>
        <w:tab/>
      </w:r>
      <w:r>
        <w:rPr>
          <w:rFonts w:ascii="Times New Roman"/>
          <w:color w:val="383436"/>
          <w:w w:val="105"/>
          <w:sz w:val="19"/>
        </w:rPr>
        <w:t>Acoli</w:t>
      </w:r>
      <w:r>
        <w:rPr>
          <w:rFonts w:ascii="Times New Roman"/>
          <w:color w:val="383436"/>
          <w:spacing w:val="40"/>
          <w:w w:val="105"/>
          <w:sz w:val="19"/>
        </w:rPr>
        <w:t> </w:t>
      </w:r>
      <w:r>
        <w:rPr>
          <w:rFonts w:ascii="Times New Roman"/>
          <w:color w:val="383436"/>
          <w:spacing w:val="7"/>
          <w:position w:val="2"/>
          <w:sz w:val="19"/>
        </w:rPr>
        <w:drawing>
          <wp:inline distT="0" distB="0" distL="0" distR="0">
            <wp:extent cx="214306" cy="104267"/>
            <wp:effectExtent l="0" t="0" r="0" b="0"/>
            <wp:docPr id="485" name="Image 485"/>
            <wp:cNvGraphicFramePr>
              <a:graphicFrameLocks/>
            </wp:cNvGraphicFramePr>
            <a:graphic>
              <a:graphicData uri="http://schemas.openxmlformats.org/drawingml/2006/picture">
                <pic:pic>
                  <pic:nvPicPr>
                    <pic:cNvPr id="485" name="Image 485"/>
                    <pic:cNvPicPr/>
                  </pic:nvPicPr>
                  <pic:blipFill>
                    <a:blip r:embed="rId143" cstate="print"/>
                    <a:stretch>
                      <a:fillRect/>
                    </a:stretch>
                  </pic:blipFill>
                  <pic:spPr>
                    <a:xfrm>
                      <a:off x="0" y="0"/>
                      <a:ext cx="214306" cy="104267"/>
                    </a:xfrm>
                    <a:prstGeom prst="rect">
                      <a:avLst/>
                    </a:prstGeom>
                  </pic:spPr>
                </pic:pic>
              </a:graphicData>
            </a:graphic>
          </wp:inline>
        </w:drawing>
      </w:r>
      <w:r>
        <w:rPr>
          <w:rFonts w:ascii="Times New Roman"/>
          <w:color w:val="383436"/>
          <w:spacing w:val="7"/>
          <w:position w:val="2"/>
          <w:sz w:val="19"/>
        </w:rPr>
      </w:r>
    </w:p>
    <w:p>
      <w:pPr>
        <w:spacing w:line="247" w:lineRule="auto" w:before="2"/>
        <w:ind w:left="231" w:right="696" w:firstLine="1"/>
        <w:jc w:val="left"/>
        <w:rPr>
          <w:rFonts w:ascii="Times New Roman"/>
          <w:sz w:val="17"/>
        </w:rPr>
      </w:pPr>
      <w:r>
        <w:rPr>
          <w:rFonts w:ascii="Times New Roman"/>
          <w:color w:val="4F4D4D"/>
          <w:w w:val="105"/>
          <w:sz w:val="17"/>
        </w:rPr>
        <w:t>Cim</w:t>
      </w:r>
      <w:r>
        <w:rPr>
          <w:rFonts w:ascii="Times New Roman"/>
          <w:color w:val="4F4D4D"/>
          <w:spacing w:val="-4"/>
          <w:w w:val="105"/>
          <w:sz w:val="17"/>
        </w:rPr>
        <w:t> </w:t>
      </w:r>
      <w:r>
        <w:rPr>
          <w:rFonts w:ascii="Times New Roman"/>
          <w:color w:val="383436"/>
          <w:w w:val="105"/>
          <w:sz w:val="17"/>
        </w:rPr>
        <w:t>leb</w:t>
      </w:r>
      <w:r>
        <w:rPr>
          <w:rFonts w:ascii="Times New Roman"/>
          <w:color w:val="383436"/>
          <w:spacing w:val="-12"/>
          <w:w w:val="105"/>
          <w:sz w:val="17"/>
        </w:rPr>
        <w:t> </w:t>
      </w:r>
      <w:r>
        <w:rPr>
          <w:rFonts w:ascii="Times New Roman"/>
          <w:color w:val="383436"/>
          <w:w w:val="105"/>
          <w:sz w:val="17"/>
        </w:rPr>
        <w:t>ma</w:t>
      </w:r>
      <w:r>
        <w:rPr>
          <w:rFonts w:ascii="Times New Roman"/>
          <w:color w:val="383436"/>
          <w:spacing w:val="-9"/>
          <w:w w:val="105"/>
          <w:sz w:val="17"/>
        </w:rPr>
        <w:t> </w:t>
      </w:r>
      <w:r>
        <w:rPr>
          <w:rFonts w:ascii="Times New Roman"/>
          <w:color w:val="383436"/>
          <w:w w:val="105"/>
          <w:sz w:val="17"/>
        </w:rPr>
        <w:t>megi</w:t>
      </w:r>
      <w:r>
        <w:rPr>
          <w:rFonts w:ascii="Times New Roman"/>
          <w:color w:val="646262"/>
          <w:w w:val="105"/>
          <w:sz w:val="17"/>
        </w:rPr>
        <w:t>.</w:t>
      </w:r>
      <w:r>
        <w:rPr>
          <w:rFonts w:ascii="Times New Roman"/>
          <w:color w:val="646262"/>
          <w:spacing w:val="-11"/>
          <w:w w:val="105"/>
          <w:sz w:val="17"/>
        </w:rPr>
        <w:t> </w:t>
      </w:r>
      <w:r>
        <w:rPr>
          <w:rFonts w:ascii="Times New Roman"/>
          <w:color w:val="383436"/>
          <w:w w:val="105"/>
          <w:sz w:val="17"/>
        </w:rPr>
        <w:t>Lagony</w:t>
      </w:r>
      <w:r>
        <w:rPr>
          <w:rFonts w:ascii="Times New Roman"/>
          <w:color w:val="383436"/>
          <w:spacing w:val="-3"/>
          <w:w w:val="105"/>
          <w:sz w:val="17"/>
        </w:rPr>
        <w:t> </w:t>
      </w:r>
      <w:r>
        <w:rPr>
          <w:rFonts w:ascii="Times New Roman"/>
          <w:color w:val="383436"/>
          <w:w w:val="105"/>
          <w:sz w:val="17"/>
        </w:rPr>
        <w:t>Lok</w:t>
      </w:r>
      <w:r>
        <w:rPr>
          <w:rFonts w:ascii="Times New Roman"/>
          <w:color w:val="383436"/>
          <w:spacing w:val="-10"/>
          <w:w w:val="105"/>
          <w:sz w:val="17"/>
        </w:rPr>
        <w:t> </w:t>
      </w:r>
      <w:r>
        <w:rPr>
          <w:rFonts w:ascii="Times New Roman"/>
          <w:color w:val="383436"/>
          <w:w w:val="105"/>
          <w:sz w:val="17"/>
        </w:rPr>
        <w:t>mo</w:t>
      </w:r>
      <w:r>
        <w:rPr>
          <w:rFonts w:ascii="Times New Roman"/>
          <w:color w:val="383436"/>
          <w:spacing w:val="-11"/>
          <w:w w:val="105"/>
          <w:sz w:val="17"/>
        </w:rPr>
        <w:t> </w:t>
      </w:r>
      <w:r>
        <w:rPr>
          <w:rFonts w:ascii="Times New Roman"/>
          <w:color w:val="383436"/>
          <w:w w:val="105"/>
          <w:sz w:val="17"/>
        </w:rPr>
        <w:t>gibilwongo. Lagony</w:t>
      </w:r>
      <w:r>
        <w:rPr>
          <w:rFonts w:ascii="Times New Roman"/>
          <w:color w:val="383436"/>
          <w:spacing w:val="10"/>
          <w:w w:val="105"/>
          <w:sz w:val="17"/>
        </w:rPr>
        <w:t> </w:t>
      </w:r>
      <w:r>
        <w:rPr>
          <w:rFonts w:ascii="Times New Roman"/>
          <w:color w:val="383436"/>
          <w:w w:val="105"/>
          <w:sz w:val="17"/>
        </w:rPr>
        <w:t>lok</w:t>
      </w:r>
      <w:r>
        <w:rPr>
          <w:rFonts w:ascii="Times New Roman"/>
          <w:color w:val="383436"/>
          <w:spacing w:val="4"/>
          <w:w w:val="105"/>
          <w:sz w:val="17"/>
        </w:rPr>
        <w:t> </w:t>
      </w:r>
      <w:r>
        <w:rPr>
          <w:rFonts w:ascii="Times New Roman"/>
          <w:color w:val="383436"/>
          <w:w w:val="105"/>
          <w:sz w:val="17"/>
        </w:rPr>
        <w:t>man </w:t>
      </w:r>
      <w:r>
        <w:rPr>
          <w:rFonts w:ascii="Times New Roman"/>
          <w:color w:val="4F4D4D"/>
          <w:w w:val="105"/>
          <w:sz w:val="17"/>
        </w:rPr>
        <w:t>gimiyi</w:t>
      </w:r>
      <w:r>
        <w:rPr>
          <w:rFonts w:ascii="Times New Roman"/>
          <w:color w:val="4F4D4D"/>
          <w:spacing w:val="5"/>
          <w:w w:val="105"/>
          <w:sz w:val="17"/>
        </w:rPr>
        <w:t> </w:t>
      </w:r>
      <w:r>
        <w:rPr>
          <w:rFonts w:ascii="Times New Roman"/>
          <w:color w:val="383436"/>
          <w:w w:val="105"/>
          <w:sz w:val="17"/>
        </w:rPr>
        <w:t>nono</w:t>
      </w:r>
      <w:r>
        <w:rPr>
          <w:rFonts w:ascii="Times New Roman"/>
          <w:color w:val="383436"/>
          <w:spacing w:val="-4"/>
          <w:w w:val="105"/>
          <w:sz w:val="17"/>
        </w:rPr>
        <w:t> </w:t>
      </w:r>
      <w:r>
        <w:rPr>
          <w:rFonts w:ascii="Times New Roman"/>
          <w:color w:val="383436"/>
          <w:w w:val="105"/>
          <w:sz w:val="17"/>
        </w:rPr>
        <w:t>labongo</w:t>
      </w:r>
      <w:r>
        <w:rPr>
          <w:rFonts w:ascii="Times New Roman"/>
          <w:color w:val="383436"/>
          <w:spacing w:val="3"/>
          <w:w w:val="105"/>
          <w:sz w:val="17"/>
        </w:rPr>
        <w:t> </w:t>
      </w:r>
      <w:r>
        <w:rPr>
          <w:rFonts w:ascii="Times New Roman"/>
          <w:color w:val="383436"/>
          <w:w w:val="105"/>
          <w:sz w:val="17"/>
        </w:rPr>
        <w:t>cul</w:t>
      </w:r>
      <w:r>
        <w:rPr>
          <w:rFonts w:ascii="Times New Roman"/>
          <w:color w:val="383436"/>
          <w:spacing w:val="9"/>
          <w:w w:val="105"/>
          <w:sz w:val="17"/>
        </w:rPr>
        <w:t> </w:t>
      </w:r>
      <w:r>
        <w:rPr>
          <w:rFonts w:ascii="Times New Roman"/>
          <w:color w:val="383436"/>
          <w:spacing w:val="-5"/>
          <w:w w:val="105"/>
          <w:sz w:val="17"/>
        </w:rPr>
        <w:t>mo</w:t>
      </w:r>
      <w:r>
        <w:rPr>
          <w:rFonts w:ascii="Times New Roman"/>
          <w:color w:val="646262"/>
          <w:spacing w:val="-5"/>
          <w:w w:val="105"/>
          <w:sz w:val="17"/>
        </w:rPr>
        <w:t>.</w:t>
      </w:r>
    </w:p>
    <w:p>
      <w:pPr>
        <w:pStyle w:val="BodyText"/>
        <w:ind w:left="136" w:right="-72"/>
        <w:rPr>
          <w:rFonts w:ascii="Times New Roman"/>
          <w:sz w:val="20"/>
        </w:rPr>
      </w:pPr>
      <w:r>
        <w:rPr>
          <w:rFonts w:ascii="Times New Roman"/>
          <w:sz w:val="20"/>
        </w:rPr>
        <mc:AlternateContent>
          <mc:Choice Requires="wps">
            <w:drawing>
              <wp:inline distT="0" distB="0" distL="0" distR="0">
                <wp:extent cx="2616200" cy="165735"/>
                <wp:effectExtent l="9525" t="0" r="0" b="5714"/>
                <wp:docPr id="486" name="Group 486"/>
                <wp:cNvGraphicFramePr>
                  <a:graphicFrameLocks/>
                </wp:cNvGraphicFramePr>
                <a:graphic>
                  <a:graphicData uri="http://schemas.microsoft.com/office/word/2010/wordprocessingGroup">
                    <wpg:wgp>
                      <wpg:cNvPr id="486" name="Group 486"/>
                      <wpg:cNvGrpSpPr/>
                      <wpg:grpSpPr>
                        <a:xfrm>
                          <a:off x="0" y="0"/>
                          <a:ext cx="2616200" cy="165735"/>
                          <a:chExt cx="2616200" cy="165735"/>
                        </a:xfrm>
                      </wpg:grpSpPr>
                      <pic:pic>
                        <pic:nvPicPr>
                          <pic:cNvPr id="487" name="Image 487"/>
                          <pic:cNvPicPr/>
                        </pic:nvPicPr>
                        <pic:blipFill>
                          <a:blip r:embed="rId144" cstate="print"/>
                          <a:stretch>
                            <a:fillRect/>
                          </a:stretch>
                        </pic:blipFill>
                        <pic:spPr>
                          <a:xfrm>
                            <a:off x="2379501" y="35470"/>
                            <a:ext cx="214306" cy="104266"/>
                          </a:xfrm>
                          <a:prstGeom prst="rect">
                            <a:avLst/>
                          </a:prstGeom>
                        </pic:spPr>
                      </pic:pic>
                      <wps:wsp>
                        <wps:cNvPr id="488" name="Graphic 488"/>
                        <wps:cNvSpPr/>
                        <wps:spPr>
                          <a:xfrm>
                            <a:off x="0" y="1587"/>
                            <a:ext cx="2616200" cy="1270"/>
                          </a:xfrm>
                          <a:custGeom>
                            <a:avLst/>
                            <a:gdLst/>
                            <a:ahLst/>
                            <a:cxnLst/>
                            <a:rect l="l" t="t" r="r" b="b"/>
                            <a:pathLst>
                              <a:path w="2616200" h="0">
                                <a:moveTo>
                                  <a:pt x="0" y="0"/>
                                </a:moveTo>
                                <a:lnTo>
                                  <a:pt x="408781" y="0"/>
                                </a:lnTo>
                                <a:lnTo>
                                  <a:pt x="1308100" y="0"/>
                                </a:lnTo>
                                <a:lnTo>
                                  <a:pt x="2207419" y="0"/>
                                </a:lnTo>
                                <a:lnTo>
                                  <a:pt x="2616200" y="0"/>
                                </a:lnTo>
                              </a:path>
                            </a:pathLst>
                          </a:custGeom>
                          <a:ln w="3175">
                            <a:solidFill>
                              <a:srgbClr val="231F20"/>
                            </a:solidFill>
                            <a:prstDash val="solid"/>
                          </a:ln>
                        </wps:spPr>
                        <wps:bodyPr wrap="square" lIns="0" tIns="0" rIns="0" bIns="0" rtlCol="0">
                          <a:prstTxWarp prst="textNoShape">
                            <a:avLst/>
                          </a:prstTxWarp>
                          <a:noAutofit/>
                        </wps:bodyPr>
                      </wps:wsp>
                      <wps:wsp>
                        <wps:cNvPr id="489" name="Textbox 489"/>
                        <wps:cNvSpPr txBox="1"/>
                        <wps:spPr>
                          <a:xfrm>
                            <a:off x="59669" y="31767"/>
                            <a:ext cx="491490" cy="133985"/>
                          </a:xfrm>
                          <a:prstGeom prst="rect">
                            <a:avLst/>
                          </a:prstGeom>
                        </wps:spPr>
                        <wps:txbx>
                          <w:txbxContent>
                            <w:p>
                              <w:pPr>
                                <w:spacing w:line="211" w:lineRule="exact" w:before="0"/>
                                <w:ind w:left="0" w:right="0" w:firstLine="0"/>
                                <w:jc w:val="left"/>
                                <w:rPr>
                                  <w:rFonts w:ascii="Times New Roman"/>
                                  <w:b/>
                                  <w:sz w:val="19"/>
                                </w:rPr>
                              </w:pPr>
                              <w:r>
                                <w:rPr>
                                  <w:rFonts w:ascii="Times New Roman"/>
                                  <w:b/>
                                  <w:color w:val="383436"/>
                                  <w:spacing w:val="-2"/>
                                  <w:w w:val="105"/>
                                  <w:sz w:val="19"/>
                                </w:rPr>
                                <w:t>Amharic</w:t>
                              </w:r>
                            </w:p>
                          </w:txbxContent>
                        </wps:txbx>
                        <wps:bodyPr wrap="square" lIns="0" tIns="0" rIns="0" bIns="0" rtlCol="0">
                          <a:noAutofit/>
                        </wps:bodyPr>
                      </wps:wsp>
                      <wps:wsp>
                        <wps:cNvPr id="490" name="Textbox 490"/>
                        <wps:cNvSpPr txBox="1"/>
                        <wps:spPr>
                          <a:xfrm>
                            <a:off x="2017996" y="42535"/>
                            <a:ext cx="296545" cy="120650"/>
                          </a:xfrm>
                          <a:prstGeom prst="rect">
                            <a:avLst/>
                          </a:prstGeom>
                        </wps:spPr>
                        <wps:txbx>
                          <w:txbxContent>
                            <w:p>
                              <w:pPr>
                                <w:spacing w:line="189" w:lineRule="exact" w:before="0"/>
                                <w:ind w:left="0" w:right="0" w:firstLine="0"/>
                                <w:jc w:val="left"/>
                                <w:rPr>
                                  <w:rFonts w:ascii="Arial"/>
                                  <w:b/>
                                  <w:i/>
                                  <w:sz w:val="11"/>
                                </w:rPr>
                              </w:pPr>
                              <w:r>
                                <w:rPr>
                                  <w:rFonts w:ascii="Times New Roman"/>
                                  <w:b/>
                                  <w:i/>
                                  <w:color w:val="242121"/>
                                  <w:spacing w:val="-2"/>
                                  <w:w w:val="75"/>
                                  <w:sz w:val="17"/>
                                </w:rPr>
                                <w:t>h111Jc</w:t>
                              </w:r>
                              <w:r>
                                <w:rPr>
                                  <w:rFonts w:ascii="Arial"/>
                                  <w:b/>
                                  <w:i/>
                                  <w:color w:val="242121"/>
                                  <w:spacing w:val="-2"/>
                                  <w:w w:val="75"/>
                                  <w:position w:val="5"/>
                                  <w:sz w:val="11"/>
                                </w:rPr>
                                <w:t>1</w:t>
                              </w:r>
                              <w:r>
                                <w:rPr>
                                  <w:rFonts w:ascii="Arial"/>
                                  <w:b/>
                                  <w:i/>
                                  <w:color w:val="242121"/>
                                  <w:spacing w:val="-2"/>
                                  <w:w w:val="75"/>
                                  <w:sz w:val="11"/>
                                </w:rPr>
                                <w:t>:</w:t>
                              </w:r>
                            </w:p>
                          </w:txbxContent>
                        </wps:txbx>
                        <wps:bodyPr wrap="square" lIns="0" tIns="0" rIns="0" bIns="0" rtlCol="0">
                          <a:noAutofit/>
                        </wps:bodyPr>
                      </wps:wsp>
                    </wpg:wgp>
                  </a:graphicData>
                </a:graphic>
              </wp:inline>
            </w:drawing>
          </mc:Choice>
          <mc:Fallback>
            <w:pict>
              <v:group style="width:206pt;height:13.05pt;mso-position-horizontal-relative:char;mso-position-vertical-relative:line" id="docshapegroup352" coordorigin="0,0" coordsize="4120,261">
                <v:shape style="position:absolute;left:3747;top:55;width:338;height:165" type="#_x0000_t75" id="docshape353" stroked="false">
                  <v:imagedata r:id="rId144" o:title=""/>
                </v:shape>
                <v:shape style="position:absolute;left:0;top:2;width:4120;height:2" id="docshape354" coordorigin="0,3" coordsize="4120,0" path="m0,2l644,2,2060,2,3476,2,4120,2e" filled="false" stroked="true" strokeweight=".25pt" strokecolor="#231f20">
                  <v:path arrowok="t"/>
                  <v:stroke dashstyle="solid"/>
                </v:shape>
                <v:shape style="position:absolute;left:93;top:50;width:774;height:211" type="#_x0000_t202" id="docshape355" filled="false" stroked="false">
                  <v:textbox inset="0,0,0,0">
                    <w:txbxContent>
                      <w:p>
                        <w:pPr>
                          <w:spacing w:line="211" w:lineRule="exact" w:before="0"/>
                          <w:ind w:left="0" w:right="0" w:firstLine="0"/>
                          <w:jc w:val="left"/>
                          <w:rPr>
                            <w:rFonts w:ascii="Times New Roman"/>
                            <w:b/>
                            <w:sz w:val="19"/>
                          </w:rPr>
                        </w:pPr>
                        <w:r>
                          <w:rPr>
                            <w:rFonts w:ascii="Times New Roman"/>
                            <w:b/>
                            <w:color w:val="383436"/>
                            <w:spacing w:val="-2"/>
                            <w:w w:val="105"/>
                            <w:sz w:val="19"/>
                          </w:rPr>
                          <w:t>Amharic</w:t>
                        </w:r>
                      </w:p>
                    </w:txbxContent>
                  </v:textbox>
                  <w10:wrap type="none"/>
                </v:shape>
                <v:shape style="position:absolute;left:3177;top:66;width:467;height:190" type="#_x0000_t202" id="docshape356" filled="false" stroked="false">
                  <v:textbox inset="0,0,0,0">
                    <w:txbxContent>
                      <w:p>
                        <w:pPr>
                          <w:spacing w:line="189" w:lineRule="exact" w:before="0"/>
                          <w:ind w:left="0" w:right="0" w:firstLine="0"/>
                          <w:jc w:val="left"/>
                          <w:rPr>
                            <w:rFonts w:ascii="Arial"/>
                            <w:b/>
                            <w:i/>
                            <w:sz w:val="11"/>
                          </w:rPr>
                        </w:pPr>
                        <w:r>
                          <w:rPr>
                            <w:rFonts w:ascii="Times New Roman"/>
                            <w:b/>
                            <w:i/>
                            <w:color w:val="242121"/>
                            <w:spacing w:val="-2"/>
                            <w:w w:val="75"/>
                            <w:sz w:val="17"/>
                          </w:rPr>
                          <w:t>h111Jc</w:t>
                        </w:r>
                        <w:r>
                          <w:rPr>
                            <w:rFonts w:ascii="Arial"/>
                            <w:b/>
                            <w:i/>
                            <w:color w:val="242121"/>
                            <w:spacing w:val="-2"/>
                            <w:w w:val="75"/>
                            <w:position w:val="5"/>
                            <w:sz w:val="11"/>
                          </w:rPr>
                          <w:t>1</w:t>
                        </w:r>
                        <w:r>
                          <w:rPr>
                            <w:rFonts w:ascii="Arial"/>
                            <w:b/>
                            <w:i/>
                            <w:color w:val="242121"/>
                            <w:spacing w:val="-2"/>
                            <w:w w:val="75"/>
                            <w:sz w:val="11"/>
                          </w:rPr>
                          <w:t>:</w:t>
                        </w:r>
                      </w:p>
                    </w:txbxContent>
                  </v:textbox>
                  <w10:wrap type="none"/>
                </v:shape>
              </v:group>
            </w:pict>
          </mc:Fallback>
        </mc:AlternateContent>
      </w:r>
      <w:r>
        <w:rPr>
          <w:rFonts w:ascii="Times New Roman"/>
          <w:sz w:val="20"/>
        </w:rPr>
      </w:r>
    </w:p>
    <w:p>
      <w:pPr>
        <w:spacing w:before="0"/>
        <w:ind w:left="229" w:right="0" w:firstLine="0"/>
        <w:jc w:val="left"/>
        <w:rPr>
          <w:rFonts w:ascii="Times New Roman"/>
          <w:b/>
          <w:sz w:val="16"/>
        </w:rPr>
      </w:pPr>
      <w:r>
        <w:rPr>
          <w:rFonts w:ascii="Times New Roman"/>
          <w:b/>
          <w:color w:val="383436"/>
          <w:w w:val="90"/>
          <w:sz w:val="18"/>
        </w:rPr>
        <w:t>:</w:t>
      </w:r>
      <w:r>
        <w:rPr>
          <w:rFonts w:ascii="Times New Roman"/>
          <w:b/>
          <w:color w:val="383436"/>
          <w:spacing w:val="4"/>
          <w:sz w:val="18"/>
        </w:rPr>
        <w:t> </w:t>
      </w:r>
      <w:r>
        <w:rPr>
          <w:rFonts w:ascii="Times New Roman"/>
          <w:b/>
          <w:color w:val="383436"/>
          <w:w w:val="90"/>
          <w:sz w:val="18"/>
        </w:rPr>
        <w:t>1fl1':,-1</w:t>
      </w:r>
      <w:r>
        <w:rPr>
          <w:rFonts w:ascii="Times New Roman"/>
          <w:b/>
          <w:color w:val="383436"/>
          <w:spacing w:val="69"/>
          <w:sz w:val="18"/>
        </w:rPr>
        <w:t> </w:t>
      </w:r>
      <w:r>
        <w:rPr>
          <w:rFonts w:ascii="Times New Roman"/>
          <w:b/>
          <w:color w:val="383436"/>
          <w:w w:val="90"/>
          <w:sz w:val="16"/>
        </w:rPr>
        <w:t>..f'aDt\)J-1::</w:t>
      </w:r>
      <w:r>
        <w:rPr>
          <w:rFonts w:ascii="Times New Roman"/>
          <w:b/>
          <w:color w:val="383436"/>
          <w:spacing w:val="69"/>
          <w:sz w:val="16"/>
        </w:rPr>
        <w:t> </w:t>
      </w:r>
      <w:r>
        <w:rPr>
          <w:rFonts w:ascii="Times New Roman"/>
          <w:b/>
          <w:i/>
          <w:color w:val="242121"/>
          <w:w w:val="90"/>
          <w:sz w:val="17"/>
        </w:rPr>
        <w:t>hfl-l-C'1UIJ.1</w:t>
      </w:r>
      <w:r>
        <w:rPr>
          <w:rFonts w:ascii="Times New Roman"/>
          <w:b/>
          <w:i/>
          <w:color w:val="242121"/>
          <w:spacing w:val="55"/>
          <w:sz w:val="17"/>
        </w:rPr>
        <w:t> </w:t>
      </w:r>
      <w:r>
        <w:rPr>
          <w:rFonts w:ascii="Times New Roman"/>
          <w:b/>
          <w:color w:val="383436"/>
          <w:w w:val="90"/>
          <w:sz w:val="16"/>
        </w:rPr>
        <w:t>.em&amp;-</w:t>
      </w:r>
      <w:r>
        <w:rPr>
          <w:rFonts w:ascii="Times New Roman"/>
          <w:b/>
          <w:color w:val="383436"/>
          <w:spacing w:val="-2"/>
          <w:w w:val="90"/>
          <w:sz w:val="16"/>
        </w:rPr>
        <w:t>t\::.</w:t>
      </w:r>
    </w:p>
    <w:p>
      <w:pPr>
        <w:spacing w:before="0"/>
        <w:ind w:left="242" w:right="0" w:firstLine="0"/>
        <w:jc w:val="left"/>
        <w:rPr>
          <w:rFonts w:ascii="Arial" w:hAnsi="Arial"/>
          <w:b/>
          <w:sz w:val="16"/>
        </w:rPr>
      </w:pPr>
      <w:r>
        <w:rPr>
          <w:rFonts w:ascii="Times New Roman" w:hAnsi="Times New Roman"/>
          <w:b/>
          <w:i/>
          <w:color w:val="383436"/>
          <w:w w:val="85"/>
          <w:sz w:val="17"/>
        </w:rPr>
        <w:t>hfl-l·C'1111J.111•1</w:t>
      </w:r>
      <w:r>
        <w:rPr>
          <w:rFonts w:ascii="Times New Roman" w:hAnsi="Times New Roman"/>
          <w:b/>
          <w:i/>
          <w:color w:val="383436"/>
          <w:spacing w:val="18"/>
          <w:sz w:val="17"/>
        </w:rPr>
        <w:t> </w:t>
      </w:r>
      <w:r>
        <w:rPr>
          <w:rFonts w:ascii="Arial" w:hAnsi="Arial"/>
          <w:b/>
          <w:color w:val="242121"/>
          <w:w w:val="85"/>
          <w:sz w:val="16"/>
        </w:rPr>
        <w:t>l]',I\</w:t>
      </w:r>
      <w:r>
        <w:rPr>
          <w:rFonts w:ascii="Arial" w:hAnsi="Arial"/>
          <w:b/>
          <w:color w:val="242121"/>
          <w:spacing w:val="25"/>
          <w:sz w:val="16"/>
        </w:rPr>
        <w:t> </w:t>
      </w:r>
      <w:r>
        <w:rPr>
          <w:rFonts w:ascii="Arial" w:hAnsi="Arial"/>
          <w:b/>
          <w:color w:val="383436"/>
          <w:w w:val="85"/>
          <w:sz w:val="16"/>
        </w:rPr>
        <w:t>.e,i,c-</w:t>
      </w:r>
      <w:r>
        <w:rPr>
          <w:rFonts w:ascii="Arial" w:hAnsi="Arial"/>
          <w:b/>
          <w:color w:val="383436"/>
          <w:spacing w:val="-2"/>
          <w:w w:val="85"/>
          <w:sz w:val="16"/>
        </w:rPr>
        <w:t>0f1:i:'/A::</w:t>
      </w:r>
    </w:p>
    <w:p>
      <w:pPr>
        <w:pStyle w:val="BodyText"/>
        <w:spacing w:line="20" w:lineRule="exact"/>
        <w:ind w:left="149" w:right="-72"/>
        <w:rPr>
          <w:rFonts w:ascii="Arial"/>
          <w:sz w:val="2"/>
        </w:rPr>
      </w:pPr>
      <w:r>
        <w:rPr>
          <w:rFonts w:ascii="Arial"/>
          <w:sz w:val="2"/>
        </w:rPr>
        <mc:AlternateContent>
          <mc:Choice Requires="wps">
            <w:drawing>
              <wp:inline distT="0" distB="0" distL="0" distR="0">
                <wp:extent cx="2616200" cy="3175"/>
                <wp:effectExtent l="9525" t="0" r="0" b="6350"/>
                <wp:docPr id="491" name="Group 491"/>
                <wp:cNvGraphicFramePr>
                  <a:graphicFrameLocks/>
                </wp:cNvGraphicFramePr>
                <a:graphic>
                  <a:graphicData uri="http://schemas.microsoft.com/office/word/2010/wordprocessingGroup">
                    <wpg:wgp>
                      <wpg:cNvPr id="491" name="Group 491"/>
                      <wpg:cNvGrpSpPr/>
                      <wpg:grpSpPr>
                        <a:xfrm>
                          <a:off x="0" y="0"/>
                          <a:ext cx="2616200" cy="3175"/>
                          <a:chExt cx="2616200" cy="3175"/>
                        </a:xfrm>
                      </wpg:grpSpPr>
                      <wps:wsp>
                        <wps:cNvPr id="492" name="Graphic 492"/>
                        <wps:cNvSpPr/>
                        <wps:spPr>
                          <a:xfrm>
                            <a:off x="0" y="1587"/>
                            <a:ext cx="2616200" cy="1270"/>
                          </a:xfrm>
                          <a:custGeom>
                            <a:avLst/>
                            <a:gdLst/>
                            <a:ahLst/>
                            <a:cxnLst/>
                            <a:rect l="l" t="t" r="r" b="b"/>
                            <a:pathLst>
                              <a:path w="2616200" h="0">
                                <a:moveTo>
                                  <a:pt x="0" y="0"/>
                                </a:moveTo>
                                <a:lnTo>
                                  <a:pt x="408781" y="0"/>
                                </a:lnTo>
                                <a:lnTo>
                                  <a:pt x="1308100" y="0"/>
                                </a:lnTo>
                                <a:lnTo>
                                  <a:pt x="2207419"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57" coordorigin="0,0" coordsize="4120,5">
                <v:shape style="position:absolute;left:0;top:2;width:4120;height:2" id="docshape358" coordorigin="0,3" coordsize="4120,0" path="m0,2l644,2,2060,2,3476,2,4120,2e" filled="false" stroked="true" strokeweight=".25pt" strokecolor="#231f20">
                  <v:path arrowok="t"/>
                  <v:stroke dashstyle="solid"/>
                </v:shape>
              </v:group>
            </w:pict>
          </mc:Fallback>
        </mc:AlternateContent>
      </w:r>
      <w:r>
        <w:rPr>
          <w:rFonts w:ascii="Arial"/>
          <w:sz w:val="2"/>
        </w:rPr>
      </w:r>
    </w:p>
    <w:p>
      <w:pPr>
        <w:tabs>
          <w:tab w:pos="3399" w:val="left" w:leader="none"/>
        </w:tabs>
        <w:spacing w:line="208" w:lineRule="exact" w:before="42"/>
        <w:ind w:left="233" w:right="0" w:firstLine="0"/>
        <w:jc w:val="left"/>
        <w:rPr>
          <w:rFonts w:ascii="Arial"/>
          <w:sz w:val="17"/>
        </w:rPr>
      </w:pPr>
      <w:r>
        <w:rPr>
          <w:rFonts w:ascii="Times New Roman"/>
          <w:b/>
          <w:color w:val="383436"/>
          <w:spacing w:val="-2"/>
          <w:position w:val="1"/>
          <w:sz w:val="19"/>
        </w:rPr>
        <w:t>Arabic</w:t>
      </w:r>
      <w:r>
        <w:rPr>
          <w:rFonts w:ascii="Times New Roman"/>
          <w:b/>
          <w:color w:val="383436"/>
          <w:position w:val="1"/>
          <w:sz w:val="19"/>
        </w:rPr>
        <w:tab/>
      </w:r>
      <w:r>
        <w:rPr>
          <w:rFonts w:ascii="Arial"/>
          <w:color w:val="383436"/>
          <w:spacing w:val="-2"/>
          <w:w w:val="80"/>
          <w:position w:val="2"/>
          <w:sz w:val="17"/>
        </w:rPr>
        <w:t>c.r-</w:t>
      </w:r>
      <w:r>
        <w:rPr>
          <w:rFonts w:ascii="Arial"/>
          <w:color w:val="383436"/>
          <w:position w:val="2"/>
          <w:sz w:val="17"/>
        </w:rPr>
        <w:t>.JC</w:t>
      </w:r>
      <w:r>
        <w:rPr>
          <w:rFonts w:ascii="Arial"/>
          <w:color w:val="383436"/>
          <w:spacing w:val="12"/>
          <w:position w:val="2"/>
          <w:sz w:val="17"/>
        </w:rPr>
        <w:t> </w:t>
      </w:r>
      <w:r>
        <w:rPr>
          <w:rFonts w:ascii="Arial"/>
          <w:color w:val="383436"/>
          <w:spacing w:val="-8"/>
          <w:sz w:val="17"/>
        </w:rPr>
        <w:drawing>
          <wp:inline distT="0" distB="0" distL="0" distR="0">
            <wp:extent cx="214306" cy="104267"/>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145" cstate="print"/>
                    <a:stretch>
                      <a:fillRect/>
                    </a:stretch>
                  </pic:blipFill>
                  <pic:spPr>
                    <a:xfrm>
                      <a:off x="0" y="0"/>
                      <a:ext cx="214306" cy="104267"/>
                    </a:xfrm>
                    <a:prstGeom prst="rect">
                      <a:avLst/>
                    </a:prstGeom>
                  </pic:spPr>
                </pic:pic>
              </a:graphicData>
            </a:graphic>
          </wp:inline>
        </w:drawing>
      </w:r>
      <w:r>
        <w:rPr>
          <w:rFonts w:ascii="Arial"/>
          <w:color w:val="383436"/>
          <w:spacing w:val="-8"/>
          <w:sz w:val="17"/>
        </w:rPr>
      </w:r>
    </w:p>
    <w:p>
      <w:pPr>
        <w:spacing w:line="197" w:lineRule="exact" w:before="0"/>
        <w:ind w:left="1218" w:right="0" w:firstLine="0"/>
        <w:jc w:val="left"/>
        <w:rPr>
          <w:rFonts w:ascii="Arial"/>
          <w:sz w:val="18"/>
        </w:rPr>
      </w:pPr>
      <w:r>
        <w:rPr>
          <w:rFonts w:ascii="Times New Roman"/>
          <w:color w:val="242121"/>
          <w:spacing w:val="-2"/>
          <w:sz w:val="15"/>
        </w:rPr>
        <w:t>.</w:t>
      </w:r>
      <w:r>
        <w:rPr>
          <w:rFonts w:ascii="Times New Roman"/>
          <w:color w:val="646262"/>
          <w:spacing w:val="-2"/>
          <w:sz w:val="15"/>
        </w:rPr>
        <w:t>..:.1.1&lt;,S_;_,.;r-"'_;:...J,.,r-=,J</w:t>
      </w:r>
      <w:r>
        <w:rPr>
          <w:rFonts w:ascii="Times New Roman"/>
          <w:color w:val="646262"/>
          <w:sz w:val="15"/>
        </w:rPr>
        <w:t> </w:t>
      </w:r>
      <w:r>
        <w:rPr>
          <w:rFonts w:ascii="Times New Roman"/>
          <w:color w:val="646262"/>
          <w:spacing w:val="-2"/>
          <w:sz w:val="15"/>
        </w:rPr>
        <w:t>J</w:t>
      </w:r>
      <w:r>
        <w:rPr>
          <w:rFonts w:ascii="Times New Roman"/>
          <w:color w:val="646262"/>
          <w:spacing w:val="-3"/>
          <w:sz w:val="15"/>
        </w:rPr>
        <w:t> </w:t>
      </w:r>
      <w:r>
        <w:rPr>
          <w:rFonts w:ascii="Times New Roman"/>
          <w:color w:val="646262"/>
          <w:spacing w:val="-2"/>
          <w:sz w:val="15"/>
        </w:rPr>
        <w:t>.</w:t>
      </w:r>
      <w:r>
        <w:rPr>
          <w:rFonts w:ascii="Arial"/>
          <w:color w:val="4F4D4D"/>
          <w:spacing w:val="-2"/>
          <w:sz w:val="18"/>
        </w:rPr>
        <w:t>..!..blJ!r</w:t>
      </w:r>
      <w:r>
        <w:rPr>
          <w:rFonts w:ascii="Arial"/>
          <w:color w:val="7C7B7B"/>
          <w:spacing w:val="-2"/>
          <w:sz w:val="18"/>
        </w:rPr>
        <w:t>.i</w:t>
      </w:r>
    </w:p>
    <w:p>
      <w:pPr>
        <w:spacing w:before="28"/>
        <w:ind w:left="2165" w:right="0" w:firstLine="0"/>
        <w:jc w:val="left"/>
        <w:rPr>
          <w:rFonts w:ascii="Times New Roman" w:hAnsi="Times New Roman"/>
          <w:sz w:val="15"/>
        </w:rPr>
      </w:pPr>
      <w:r>
        <w:rPr>
          <w:rFonts w:ascii="Times New Roman" w:hAnsi="Times New Roman"/>
          <w:color w:val="383436"/>
          <w:w w:val="80"/>
          <w:sz w:val="15"/>
        </w:rPr>
        <w:t>.</w:t>
      </w:r>
      <w:r>
        <w:rPr>
          <w:rFonts w:ascii="Times New Roman" w:hAnsi="Times New Roman"/>
          <w:color w:val="646262"/>
          <w:w w:val="80"/>
          <w:sz w:val="15"/>
        </w:rPr>
        <w:t>Ll</w:t>
      </w:r>
      <w:r>
        <w:rPr>
          <w:rFonts w:ascii="Times New Roman" w:hAnsi="Times New Roman"/>
          <w:color w:val="646262"/>
          <w:spacing w:val="1"/>
          <w:sz w:val="15"/>
        </w:rPr>
        <w:t> </w:t>
      </w:r>
      <w:r>
        <w:rPr>
          <w:rFonts w:ascii="Times New Roman" w:hAnsi="Times New Roman"/>
          <w:color w:val="646262"/>
          <w:w w:val="80"/>
          <w:sz w:val="15"/>
        </w:rPr>
        <w:t>&lt;,S_;_,..;llr-"'°_;.1.1.:r-,\:;t"=--</w:t>
      </w:r>
      <w:r>
        <w:rPr>
          <w:rFonts w:ascii="Times New Roman" w:hAnsi="Times New Roman"/>
          <w:color w:val="646262"/>
          <w:spacing w:val="-10"/>
          <w:w w:val="80"/>
          <w:sz w:val="15"/>
        </w:rPr>
        <w:t>'</w:t>
      </w:r>
    </w:p>
    <w:p>
      <w:pPr>
        <w:spacing w:line="247" w:lineRule="auto" w:before="16"/>
        <w:ind w:left="237" w:right="31" w:hanging="9"/>
        <w:jc w:val="left"/>
        <w:rPr>
          <w:rFonts w:ascii="Times New Roman"/>
          <w:sz w:val="17"/>
        </w:rPr>
      </w:pPr>
      <w:r>
        <w:rPr/>
        <w:br w:type="column"/>
      </w:r>
      <w:r>
        <w:rPr>
          <w:rFonts w:ascii="Times New Roman"/>
          <w:color w:val="383436"/>
          <w:w w:val="105"/>
          <w:sz w:val="17"/>
        </w:rPr>
        <w:t>Taannal</w:t>
      </w:r>
      <w:r>
        <w:rPr>
          <w:rFonts w:ascii="Times New Roman"/>
          <w:color w:val="383436"/>
          <w:spacing w:val="-7"/>
          <w:w w:val="105"/>
          <w:sz w:val="17"/>
        </w:rPr>
        <w:t> </w:t>
      </w:r>
      <w:r>
        <w:rPr>
          <w:rFonts w:ascii="Times New Roman"/>
          <w:color w:val="4F4D4D"/>
          <w:w w:val="105"/>
          <w:sz w:val="17"/>
        </w:rPr>
        <w:t>sa</w:t>
      </w:r>
      <w:r>
        <w:rPr>
          <w:rFonts w:ascii="Times New Roman"/>
          <w:color w:val="4F4D4D"/>
          <w:spacing w:val="-9"/>
          <w:w w:val="105"/>
          <w:sz w:val="17"/>
        </w:rPr>
        <w:t> </w:t>
      </w:r>
      <w:r>
        <w:rPr>
          <w:rFonts w:ascii="Times New Roman"/>
          <w:color w:val="383436"/>
          <w:w w:val="105"/>
          <w:sz w:val="17"/>
        </w:rPr>
        <w:t>lakk</w:t>
      </w:r>
      <w:r>
        <w:rPr>
          <w:rFonts w:ascii="Times New Roman"/>
          <w:color w:val="383436"/>
          <w:spacing w:val="-7"/>
          <w:w w:val="105"/>
          <w:sz w:val="17"/>
        </w:rPr>
        <w:t> </w:t>
      </w:r>
      <w:r>
        <w:rPr>
          <w:rFonts w:ascii="Times New Roman"/>
          <w:color w:val="383436"/>
          <w:w w:val="105"/>
          <w:sz w:val="17"/>
        </w:rPr>
        <w:t>ngir</w:t>
      </w:r>
      <w:r>
        <w:rPr>
          <w:rFonts w:ascii="Times New Roman"/>
          <w:color w:val="383436"/>
          <w:spacing w:val="-11"/>
          <w:w w:val="105"/>
          <w:sz w:val="17"/>
        </w:rPr>
        <w:t> </w:t>
      </w:r>
      <w:r>
        <w:rPr>
          <w:rFonts w:ascii="Times New Roman"/>
          <w:color w:val="383436"/>
          <w:w w:val="105"/>
          <w:sz w:val="17"/>
        </w:rPr>
        <w:t>fiou</w:t>
      </w:r>
      <w:r>
        <w:rPr>
          <w:rFonts w:ascii="Times New Roman"/>
          <w:color w:val="383436"/>
          <w:spacing w:val="-7"/>
          <w:w w:val="105"/>
          <w:sz w:val="17"/>
        </w:rPr>
        <w:t> </w:t>
      </w:r>
      <w:r>
        <w:rPr>
          <w:rFonts w:ascii="Times New Roman"/>
          <w:color w:val="383436"/>
          <w:w w:val="105"/>
          <w:sz w:val="17"/>
        </w:rPr>
        <w:t>boLela</w:t>
      </w:r>
      <w:r>
        <w:rPr>
          <w:rFonts w:ascii="Times New Roman"/>
          <w:color w:val="383436"/>
          <w:spacing w:val="-9"/>
          <w:w w:val="105"/>
          <w:sz w:val="17"/>
        </w:rPr>
        <w:t> </w:t>
      </w:r>
      <w:r>
        <w:rPr>
          <w:rFonts w:ascii="Times New Roman"/>
          <w:color w:val="4F4D4D"/>
          <w:w w:val="105"/>
          <w:sz w:val="17"/>
        </w:rPr>
        <w:t>ak</w:t>
      </w:r>
      <w:r>
        <w:rPr>
          <w:rFonts w:ascii="Times New Roman"/>
          <w:color w:val="4F4D4D"/>
          <w:spacing w:val="-10"/>
          <w:w w:val="105"/>
          <w:sz w:val="17"/>
        </w:rPr>
        <w:t> </w:t>
      </w:r>
      <w:r>
        <w:rPr>
          <w:rFonts w:ascii="Times New Roman"/>
          <w:color w:val="383436"/>
          <w:w w:val="105"/>
          <w:sz w:val="17"/>
        </w:rPr>
        <w:t>kou</w:t>
      </w:r>
      <w:r>
        <w:rPr>
          <w:rFonts w:ascii="Times New Roman"/>
          <w:color w:val="383436"/>
          <w:spacing w:val="-10"/>
          <w:w w:val="105"/>
          <w:sz w:val="17"/>
        </w:rPr>
        <w:t> </w:t>
      </w:r>
      <w:r>
        <w:rPr>
          <w:rFonts w:ascii="Times New Roman"/>
          <w:color w:val="383436"/>
          <w:w w:val="105"/>
          <w:sz w:val="17"/>
        </w:rPr>
        <w:t>degg</w:t>
      </w:r>
      <w:r>
        <w:rPr>
          <w:rFonts w:ascii="Times New Roman"/>
          <w:color w:val="383436"/>
          <w:spacing w:val="-11"/>
          <w:w w:val="105"/>
          <w:sz w:val="17"/>
        </w:rPr>
        <w:t> </w:t>
      </w:r>
      <w:r>
        <w:rPr>
          <w:rFonts w:ascii="Times New Roman"/>
          <w:color w:val="4F4D4D"/>
          <w:w w:val="105"/>
          <w:sz w:val="17"/>
        </w:rPr>
        <w:t>sa</w:t>
      </w:r>
      <w:r>
        <w:rPr>
          <w:rFonts w:ascii="Times New Roman"/>
          <w:color w:val="4F4D4D"/>
          <w:spacing w:val="-10"/>
          <w:w w:val="105"/>
          <w:sz w:val="17"/>
        </w:rPr>
        <w:t> </w:t>
      </w:r>
      <w:r>
        <w:rPr>
          <w:rFonts w:ascii="Times New Roman"/>
          <w:color w:val="242121"/>
          <w:w w:val="105"/>
          <w:sz w:val="17"/>
        </w:rPr>
        <w:t>l</w:t>
      </w:r>
      <w:r>
        <w:rPr>
          <w:rFonts w:ascii="Times New Roman"/>
          <w:color w:val="4F4D4D"/>
          <w:w w:val="105"/>
          <w:sz w:val="17"/>
        </w:rPr>
        <w:t>akk </w:t>
      </w:r>
      <w:r>
        <w:rPr>
          <w:rFonts w:ascii="Times New Roman"/>
          <w:color w:val="383436"/>
          <w:w w:val="105"/>
          <w:sz w:val="17"/>
        </w:rPr>
        <w:t>mou dimbeuli</w:t>
      </w:r>
      <w:r>
        <w:rPr>
          <w:rFonts w:ascii="Times New Roman"/>
          <w:color w:val="383436"/>
          <w:spacing w:val="19"/>
          <w:w w:val="105"/>
          <w:sz w:val="17"/>
        </w:rPr>
        <w:t> </w:t>
      </w:r>
      <w:r>
        <w:rPr>
          <w:rFonts w:ascii="Times New Roman"/>
          <w:color w:val="383436"/>
          <w:w w:val="105"/>
          <w:sz w:val="17"/>
        </w:rPr>
        <w:t>Leu</w:t>
      </w:r>
      <w:r>
        <w:rPr>
          <w:rFonts w:ascii="Times New Roman"/>
          <w:color w:val="646262"/>
          <w:w w:val="105"/>
          <w:sz w:val="17"/>
        </w:rPr>
        <w:t>.</w:t>
      </w:r>
      <w:r>
        <w:rPr>
          <w:rFonts w:ascii="Times New Roman"/>
          <w:color w:val="646262"/>
          <w:spacing w:val="-8"/>
          <w:w w:val="105"/>
          <w:sz w:val="17"/>
        </w:rPr>
        <w:t> </w:t>
      </w:r>
      <w:r>
        <w:rPr>
          <w:rFonts w:ascii="Times New Roman"/>
          <w:color w:val="383436"/>
          <w:w w:val="105"/>
          <w:sz w:val="17"/>
        </w:rPr>
        <w:t>NdimbeuL</w:t>
      </w:r>
      <w:r>
        <w:rPr>
          <w:rFonts w:ascii="Times New Roman"/>
          <w:color w:val="383436"/>
          <w:spacing w:val="18"/>
          <w:w w:val="105"/>
          <w:sz w:val="17"/>
        </w:rPr>
        <w:t> </w:t>
      </w:r>
      <w:r>
        <w:rPr>
          <w:rFonts w:ascii="Times New Roman"/>
          <w:color w:val="383436"/>
          <w:w w:val="105"/>
          <w:sz w:val="17"/>
        </w:rPr>
        <w:t>bi do</w:t>
      </w:r>
      <w:r>
        <w:rPr>
          <w:rFonts w:ascii="Times New Roman"/>
          <w:color w:val="383436"/>
          <w:spacing w:val="-7"/>
          <w:w w:val="105"/>
          <w:sz w:val="17"/>
        </w:rPr>
        <w:t> </w:t>
      </w:r>
      <w:r>
        <w:rPr>
          <w:rFonts w:ascii="Times New Roman"/>
          <w:color w:val="383436"/>
          <w:w w:val="105"/>
          <w:sz w:val="17"/>
        </w:rPr>
        <w:t>ci </w:t>
      </w:r>
      <w:r>
        <w:rPr>
          <w:rFonts w:ascii="Times New Roman"/>
          <w:color w:val="4F4D4D"/>
          <w:w w:val="105"/>
          <w:sz w:val="17"/>
        </w:rPr>
        <w:t>fey</w:t>
      </w:r>
      <w:r>
        <w:rPr>
          <w:rFonts w:ascii="Times New Roman"/>
          <w:color w:val="4F4D4D"/>
          <w:spacing w:val="-2"/>
          <w:w w:val="105"/>
          <w:sz w:val="17"/>
        </w:rPr>
        <w:t> </w:t>
      </w:r>
      <w:r>
        <w:rPr>
          <w:rFonts w:ascii="Times New Roman"/>
          <w:color w:val="383436"/>
          <w:w w:val="105"/>
          <w:sz w:val="17"/>
        </w:rPr>
        <w:t>dara.</w:t>
      </w:r>
    </w:p>
    <w:p>
      <w:pPr>
        <w:pStyle w:val="BodyText"/>
        <w:spacing w:line="20" w:lineRule="exact"/>
        <w:ind w:left="131" w:right="-72"/>
        <w:rPr>
          <w:rFonts w:ascii="Times New Roman"/>
          <w:sz w:val="2"/>
        </w:rPr>
      </w:pPr>
      <w:r>
        <w:rPr>
          <w:rFonts w:ascii="Times New Roman"/>
          <w:sz w:val="2"/>
        </w:rPr>
        <mc:AlternateContent>
          <mc:Choice Requires="wps">
            <w:drawing>
              <wp:inline distT="0" distB="0" distL="0" distR="0">
                <wp:extent cx="2616200" cy="3175"/>
                <wp:effectExtent l="9525" t="0" r="0" b="6350"/>
                <wp:docPr id="494" name="Group 494"/>
                <wp:cNvGraphicFramePr>
                  <a:graphicFrameLocks/>
                </wp:cNvGraphicFramePr>
                <a:graphic>
                  <a:graphicData uri="http://schemas.microsoft.com/office/word/2010/wordprocessingGroup">
                    <wpg:wgp>
                      <wpg:cNvPr id="494" name="Group 494"/>
                      <wpg:cNvGrpSpPr/>
                      <wpg:grpSpPr>
                        <a:xfrm>
                          <a:off x="0" y="0"/>
                          <a:ext cx="2616200" cy="3175"/>
                          <a:chExt cx="2616200" cy="3175"/>
                        </a:xfrm>
                      </wpg:grpSpPr>
                      <wps:wsp>
                        <wps:cNvPr id="495" name="Graphic 495"/>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59" coordorigin="0,0" coordsize="4120,5">
                <v:shape style="position:absolute;left:0;top:2;width:4120;height:2" id="docshape360" coordorigin="0,3" coordsize="4120,0" path="m0,2l644,2,2060,2,3476,2,4120,2e" filled="false" stroked="true" strokeweight=".25pt" strokecolor="#231f20">
                  <v:path arrowok="t"/>
                  <v:stroke dashstyle="solid"/>
                </v:shape>
              </v:group>
            </w:pict>
          </mc:Fallback>
        </mc:AlternateContent>
      </w:r>
      <w:r>
        <w:rPr>
          <w:rFonts w:ascii="Times New Roman"/>
          <w:sz w:val="2"/>
        </w:rPr>
      </w:r>
    </w:p>
    <w:p>
      <w:pPr>
        <w:tabs>
          <w:tab w:pos="3205" w:val="left" w:leader="none"/>
        </w:tabs>
        <w:spacing w:before="59"/>
        <w:ind w:left="251" w:right="0" w:firstLine="0"/>
        <w:jc w:val="left"/>
        <w:rPr>
          <w:rFonts w:ascii="Times New Roman"/>
          <w:sz w:val="19"/>
        </w:rPr>
      </w:pPr>
      <w:r>
        <w:rPr>
          <w:rFonts w:ascii="Times New Roman"/>
          <w:b/>
          <w:color w:val="383436"/>
          <w:spacing w:val="-2"/>
          <w:sz w:val="19"/>
        </w:rPr>
        <w:t>Yoruba</w:t>
      </w:r>
      <w:r>
        <w:rPr>
          <w:rFonts w:ascii="Times New Roman"/>
          <w:b/>
          <w:color w:val="383436"/>
          <w:sz w:val="19"/>
        </w:rPr>
        <w:tab/>
      </w:r>
      <w:r>
        <w:rPr>
          <w:rFonts w:ascii="Times New Roman"/>
          <w:color w:val="383436"/>
          <w:sz w:val="19"/>
        </w:rPr>
        <w:t>Yoruba</w:t>
      </w:r>
      <w:r>
        <w:rPr>
          <w:rFonts w:ascii="Times New Roman"/>
          <w:color w:val="383436"/>
          <w:spacing w:val="40"/>
          <w:sz w:val="19"/>
        </w:rPr>
        <w:t> </w:t>
      </w:r>
      <w:r>
        <w:rPr>
          <w:rFonts w:ascii="Times New Roman"/>
          <w:color w:val="383436"/>
          <w:spacing w:val="4"/>
          <w:position w:val="-3"/>
          <w:sz w:val="19"/>
        </w:rPr>
        <w:drawing>
          <wp:inline distT="0" distB="0" distL="0" distR="0">
            <wp:extent cx="214299" cy="104140"/>
            <wp:effectExtent l="0" t="0" r="0" b="0"/>
            <wp:docPr id="496" name="Image 496"/>
            <wp:cNvGraphicFramePr>
              <a:graphicFrameLocks/>
            </wp:cNvGraphicFramePr>
            <a:graphic>
              <a:graphicData uri="http://schemas.openxmlformats.org/drawingml/2006/picture">
                <pic:pic>
                  <pic:nvPicPr>
                    <pic:cNvPr id="496" name="Image 496"/>
                    <pic:cNvPicPr/>
                  </pic:nvPicPr>
                  <pic:blipFill>
                    <a:blip r:embed="rId146" cstate="print"/>
                    <a:stretch>
                      <a:fillRect/>
                    </a:stretch>
                  </pic:blipFill>
                  <pic:spPr>
                    <a:xfrm>
                      <a:off x="0" y="0"/>
                      <a:ext cx="214299" cy="104140"/>
                    </a:xfrm>
                    <a:prstGeom prst="rect">
                      <a:avLst/>
                    </a:prstGeom>
                  </pic:spPr>
                </pic:pic>
              </a:graphicData>
            </a:graphic>
          </wp:inline>
        </w:drawing>
      </w:r>
      <w:r>
        <w:rPr>
          <w:rFonts w:ascii="Times New Roman"/>
          <w:color w:val="383436"/>
          <w:spacing w:val="4"/>
          <w:position w:val="-3"/>
          <w:sz w:val="19"/>
        </w:rPr>
      </w:r>
    </w:p>
    <w:p>
      <w:pPr>
        <w:spacing w:line="247" w:lineRule="auto" w:before="21"/>
        <w:ind w:left="242" w:right="0" w:firstLine="2"/>
        <w:jc w:val="left"/>
        <w:rPr>
          <w:rFonts w:ascii="Times New Roman"/>
          <w:sz w:val="17"/>
        </w:rPr>
      </w:pPr>
      <w:r>
        <w:rPr/>
        <w:drawing>
          <wp:anchor distT="0" distB="0" distL="0" distR="0" allowOverlap="1" layoutInCell="1" locked="0" behindDoc="1" simplePos="0" relativeHeight="478468096">
            <wp:simplePos x="0" y="0"/>
            <wp:positionH relativeFrom="page">
              <wp:posOffset>9053054</wp:posOffset>
            </wp:positionH>
            <wp:positionV relativeFrom="paragraph">
              <wp:posOffset>299079</wp:posOffset>
            </wp:positionV>
            <wp:extent cx="214299" cy="104140"/>
            <wp:effectExtent l="0" t="0" r="0" b="0"/>
            <wp:wrapNone/>
            <wp:docPr id="497" name="Image 497"/>
            <wp:cNvGraphicFramePr>
              <a:graphicFrameLocks/>
            </wp:cNvGraphicFramePr>
            <a:graphic>
              <a:graphicData uri="http://schemas.openxmlformats.org/drawingml/2006/picture">
                <pic:pic>
                  <pic:nvPicPr>
                    <pic:cNvPr id="497" name="Image 497"/>
                    <pic:cNvPicPr/>
                  </pic:nvPicPr>
                  <pic:blipFill>
                    <a:blip r:embed="rId113" cstate="print"/>
                    <a:stretch>
                      <a:fillRect/>
                    </a:stretch>
                  </pic:blipFill>
                  <pic:spPr>
                    <a:xfrm>
                      <a:off x="0" y="0"/>
                      <a:ext cx="214299" cy="104140"/>
                    </a:xfrm>
                    <a:prstGeom prst="rect">
                      <a:avLst/>
                    </a:prstGeom>
                  </pic:spPr>
                </pic:pic>
              </a:graphicData>
            </a:graphic>
          </wp:anchor>
        </w:drawing>
      </w:r>
      <w:r>
        <w:rPr/>
        <w:drawing>
          <wp:anchor distT="0" distB="0" distL="0" distR="0" allowOverlap="1" layoutInCell="1" locked="0" behindDoc="1" simplePos="0" relativeHeight="478468608">
            <wp:simplePos x="0" y="0"/>
            <wp:positionH relativeFrom="page">
              <wp:posOffset>9053054</wp:posOffset>
            </wp:positionH>
            <wp:positionV relativeFrom="paragraph">
              <wp:posOffset>531561</wp:posOffset>
            </wp:positionV>
            <wp:extent cx="214299" cy="104140"/>
            <wp:effectExtent l="0" t="0" r="0" b="0"/>
            <wp:wrapNone/>
            <wp:docPr id="498" name="Image 498"/>
            <wp:cNvGraphicFramePr>
              <a:graphicFrameLocks/>
            </wp:cNvGraphicFramePr>
            <a:graphic>
              <a:graphicData uri="http://schemas.openxmlformats.org/drawingml/2006/picture">
                <pic:pic>
                  <pic:nvPicPr>
                    <pic:cNvPr id="498" name="Image 498"/>
                    <pic:cNvPicPr/>
                  </pic:nvPicPr>
                  <pic:blipFill>
                    <a:blip r:embed="rId112" cstate="print"/>
                    <a:stretch>
                      <a:fillRect/>
                    </a:stretch>
                  </pic:blipFill>
                  <pic:spPr>
                    <a:xfrm>
                      <a:off x="0" y="0"/>
                      <a:ext cx="214299" cy="104140"/>
                    </a:xfrm>
                    <a:prstGeom prst="rect">
                      <a:avLst/>
                    </a:prstGeom>
                  </pic:spPr>
                </pic:pic>
              </a:graphicData>
            </a:graphic>
          </wp:anchor>
        </w:drawing>
      </w:r>
      <w:r>
        <w:rPr/>
        <w:drawing>
          <wp:anchor distT="0" distB="0" distL="0" distR="0" allowOverlap="1" layoutInCell="1" locked="0" behindDoc="1" simplePos="0" relativeHeight="478469120">
            <wp:simplePos x="0" y="0"/>
            <wp:positionH relativeFrom="page">
              <wp:posOffset>9053648</wp:posOffset>
            </wp:positionH>
            <wp:positionV relativeFrom="paragraph">
              <wp:posOffset>768979</wp:posOffset>
            </wp:positionV>
            <wp:extent cx="214301" cy="104139"/>
            <wp:effectExtent l="0" t="0" r="0" b="0"/>
            <wp:wrapNone/>
            <wp:docPr id="499" name="Image 499"/>
            <wp:cNvGraphicFramePr>
              <a:graphicFrameLocks/>
            </wp:cNvGraphicFramePr>
            <a:graphic>
              <a:graphicData uri="http://schemas.openxmlformats.org/drawingml/2006/picture">
                <pic:pic>
                  <pic:nvPicPr>
                    <pic:cNvPr id="499" name="Image 499"/>
                    <pic:cNvPicPr/>
                  </pic:nvPicPr>
                  <pic:blipFill>
                    <a:blip r:embed="rId147" cstate="print"/>
                    <a:stretch>
                      <a:fillRect/>
                    </a:stretch>
                  </pic:blipFill>
                  <pic:spPr>
                    <a:xfrm>
                      <a:off x="0" y="0"/>
                      <a:ext cx="214301" cy="104139"/>
                    </a:xfrm>
                    <a:prstGeom prst="rect">
                      <a:avLst/>
                    </a:prstGeom>
                  </pic:spPr>
                </pic:pic>
              </a:graphicData>
            </a:graphic>
          </wp:anchor>
        </w:drawing>
      </w:r>
      <w:r>
        <w:rPr/>
        <w:drawing>
          <wp:anchor distT="0" distB="0" distL="0" distR="0" allowOverlap="1" layoutInCell="1" locked="0" behindDoc="1" simplePos="0" relativeHeight="478469632">
            <wp:simplePos x="0" y="0"/>
            <wp:positionH relativeFrom="page">
              <wp:posOffset>9053648</wp:posOffset>
            </wp:positionH>
            <wp:positionV relativeFrom="paragraph">
              <wp:posOffset>1001461</wp:posOffset>
            </wp:positionV>
            <wp:extent cx="214301" cy="104139"/>
            <wp:effectExtent l="0" t="0" r="0" b="0"/>
            <wp:wrapNone/>
            <wp:docPr id="500" name="Image 500"/>
            <wp:cNvGraphicFramePr>
              <a:graphicFrameLocks/>
            </wp:cNvGraphicFramePr>
            <a:graphic>
              <a:graphicData uri="http://schemas.openxmlformats.org/drawingml/2006/picture">
                <pic:pic>
                  <pic:nvPicPr>
                    <pic:cNvPr id="500" name="Image 500"/>
                    <pic:cNvPicPr/>
                  </pic:nvPicPr>
                  <pic:blipFill>
                    <a:blip r:embed="rId148" cstate="print"/>
                    <a:stretch>
                      <a:fillRect/>
                    </a:stretch>
                  </pic:blipFill>
                  <pic:spPr>
                    <a:xfrm>
                      <a:off x="0" y="0"/>
                      <a:ext cx="214301" cy="104139"/>
                    </a:xfrm>
                    <a:prstGeom prst="rect">
                      <a:avLst/>
                    </a:prstGeom>
                  </pic:spPr>
                </pic:pic>
              </a:graphicData>
            </a:graphic>
          </wp:anchor>
        </w:drawing>
      </w:r>
      <w:r>
        <w:rPr>
          <w:rFonts w:ascii="Times New Roman"/>
          <w:color w:val="383436"/>
          <w:w w:val="105"/>
          <w:sz w:val="17"/>
        </w:rPr>
        <w:t>Jowo toka</w:t>
      </w:r>
      <w:r>
        <w:rPr>
          <w:rFonts w:ascii="Times New Roman"/>
          <w:color w:val="383436"/>
          <w:spacing w:val="-1"/>
          <w:w w:val="105"/>
          <w:sz w:val="17"/>
        </w:rPr>
        <w:t> </w:t>
      </w:r>
      <w:r>
        <w:rPr>
          <w:rFonts w:ascii="Times New Roman"/>
          <w:color w:val="4F4D4D"/>
          <w:w w:val="105"/>
          <w:sz w:val="17"/>
        </w:rPr>
        <w:t>si</w:t>
      </w:r>
      <w:r>
        <w:rPr>
          <w:rFonts w:ascii="Times New Roman"/>
          <w:color w:val="4F4D4D"/>
          <w:spacing w:val="-2"/>
          <w:w w:val="105"/>
          <w:sz w:val="17"/>
        </w:rPr>
        <w:t> </w:t>
      </w:r>
      <w:r>
        <w:rPr>
          <w:rFonts w:ascii="Times New Roman"/>
          <w:color w:val="4F4D4D"/>
          <w:w w:val="105"/>
          <w:sz w:val="17"/>
        </w:rPr>
        <w:t>ede</w:t>
      </w:r>
      <w:r>
        <w:rPr>
          <w:rFonts w:ascii="Times New Roman"/>
          <w:color w:val="4F4D4D"/>
          <w:spacing w:val="-9"/>
          <w:w w:val="105"/>
          <w:sz w:val="17"/>
        </w:rPr>
        <w:t> </w:t>
      </w:r>
      <w:r>
        <w:rPr>
          <w:rFonts w:ascii="Times New Roman"/>
          <w:color w:val="4F4D4D"/>
          <w:w w:val="105"/>
          <w:sz w:val="17"/>
        </w:rPr>
        <w:t>abinibi </w:t>
      </w:r>
      <w:r>
        <w:rPr>
          <w:rFonts w:ascii="Times New Roman"/>
          <w:color w:val="383436"/>
          <w:w w:val="105"/>
          <w:sz w:val="17"/>
        </w:rPr>
        <w:t>re</w:t>
      </w:r>
      <w:r>
        <w:rPr>
          <w:rFonts w:ascii="Times New Roman"/>
          <w:color w:val="646262"/>
          <w:w w:val="105"/>
          <w:sz w:val="17"/>
        </w:rPr>
        <w:t>.</w:t>
      </w:r>
      <w:r>
        <w:rPr>
          <w:rFonts w:ascii="Times New Roman"/>
          <w:color w:val="646262"/>
          <w:spacing w:val="-11"/>
          <w:w w:val="105"/>
          <w:sz w:val="17"/>
        </w:rPr>
        <w:t> </w:t>
      </w:r>
      <w:r>
        <w:rPr>
          <w:rFonts w:ascii="Times New Roman"/>
          <w:color w:val="383436"/>
          <w:w w:val="105"/>
          <w:sz w:val="17"/>
        </w:rPr>
        <w:t>Awa </w:t>
      </w:r>
      <w:r>
        <w:rPr>
          <w:rFonts w:ascii="Times New Roman"/>
          <w:color w:val="4F4D4D"/>
          <w:w w:val="105"/>
          <w:sz w:val="17"/>
        </w:rPr>
        <w:t>yi</w:t>
      </w:r>
      <w:r>
        <w:rPr>
          <w:rFonts w:ascii="Times New Roman"/>
          <w:color w:val="4F4D4D"/>
          <w:spacing w:val="-1"/>
          <w:w w:val="105"/>
          <w:sz w:val="17"/>
        </w:rPr>
        <w:t> </w:t>
      </w:r>
      <w:r>
        <w:rPr>
          <w:rFonts w:ascii="Times New Roman"/>
          <w:color w:val="383436"/>
          <w:w w:val="105"/>
          <w:sz w:val="17"/>
        </w:rPr>
        <w:t>o pe</w:t>
      </w:r>
      <w:r>
        <w:rPr>
          <w:rFonts w:ascii="Times New Roman"/>
          <w:color w:val="383436"/>
          <w:spacing w:val="-5"/>
          <w:w w:val="105"/>
          <w:sz w:val="17"/>
        </w:rPr>
        <w:t> </w:t>
      </w:r>
      <w:r>
        <w:rPr>
          <w:rFonts w:ascii="Times New Roman"/>
          <w:color w:val="383436"/>
          <w:w w:val="105"/>
          <w:sz w:val="17"/>
        </w:rPr>
        <w:t>olutumo</w:t>
      </w:r>
      <w:r>
        <w:rPr>
          <w:rFonts w:ascii="Times New Roman"/>
          <w:color w:val="383436"/>
          <w:spacing w:val="-3"/>
          <w:w w:val="105"/>
          <w:sz w:val="17"/>
        </w:rPr>
        <w:t> </w:t>
      </w:r>
      <w:r>
        <w:rPr>
          <w:rFonts w:ascii="Times New Roman"/>
          <w:color w:val="4F4D4D"/>
          <w:w w:val="105"/>
          <w:sz w:val="17"/>
        </w:rPr>
        <w:t>ede. </w:t>
      </w:r>
      <w:r>
        <w:rPr>
          <w:rFonts w:ascii="Times New Roman"/>
          <w:color w:val="383436"/>
          <w:w w:val="105"/>
          <w:sz w:val="17"/>
        </w:rPr>
        <w:t>Ofe </w:t>
      </w:r>
      <w:r>
        <w:rPr>
          <w:rFonts w:ascii="Times New Roman"/>
          <w:b/>
          <w:color w:val="383436"/>
          <w:w w:val="105"/>
          <w:sz w:val="16"/>
        </w:rPr>
        <w:t>ni</w:t>
      </w:r>
      <w:r>
        <w:rPr>
          <w:rFonts w:ascii="Times New Roman"/>
          <w:b/>
          <w:color w:val="383436"/>
          <w:spacing w:val="40"/>
          <w:w w:val="105"/>
          <w:sz w:val="16"/>
        </w:rPr>
        <w:t> </w:t>
      </w:r>
      <w:r>
        <w:rPr>
          <w:rFonts w:ascii="Times New Roman"/>
          <w:color w:val="383436"/>
          <w:w w:val="105"/>
          <w:sz w:val="17"/>
        </w:rPr>
        <w:t>ipese olutumo ede yi fun </w:t>
      </w:r>
      <w:r>
        <w:rPr>
          <w:rFonts w:ascii="Times New Roman"/>
          <w:color w:val="4F4D4D"/>
          <w:w w:val="105"/>
          <w:sz w:val="17"/>
        </w:rPr>
        <w:t>o.</w:t>
      </w:r>
    </w:p>
    <w:p>
      <w:pPr>
        <w:pStyle w:val="BodyText"/>
        <w:spacing w:before="9"/>
        <w:rPr>
          <w:rFonts w:ascii="Times New Roman"/>
          <w:sz w:val="5"/>
        </w:rPr>
      </w:pPr>
    </w:p>
    <w:p>
      <w:pPr>
        <w:pStyle w:val="BodyText"/>
        <w:spacing w:line="20" w:lineRule="exact"/>
        <w:ind w:left="137" w:right="-72"/>
        <w:rPr>
          <w:rFonts w:ascii="Times New Roman"/>
          <w:sz w:val="2"/>
        </w:rPr>
      </w:pPr>
      <w:r>
        <w:rPr>
          <w:rFonts w:ascii="Times New Roman"/>
          <w:sz w:val="2"/>
        </w:rPr>
        <mc:AlternateContent>
          <mc:Choice Requires="wps">
            <w:drawing>
              <wp:inline distT="0" distB="0" distL="0" distR="0">
                <wp:extent cx="2616200" cy="3175"/>
                <wp:effectExtent l="9525" t="0" r="0" b="6350"/>
                <wp:docPr id="501" name="Group 501"/>
                <wp:cNvGraphicFramePr>
                  <a:graphicFrameLocks/>
                </wp:cNvGraphicFramePr>
                <a:graphic>
                  <a:graphicData uri="http://schemas.microsoft.com/office/word/2010/wordprocessingGroup">
                    <wpg:wgp>
                      <wpg:cNvPr id="501" name="Group 501"/>
                      <wpg:cNvGrpSpPr/>
                      <wpg:grpSpPr>
                        <a:xfrm>
                          <a:off x="0" y="0"/>
                          <a:ext cx="2616200" cy="3175"/>
                          <a:chExt cx="2616200" cy="3175"/>
                        </a:xfrm>
                      </wpg:grpSpPr>
                      <wps:wsp>
                        <wps:cNvPr id="502" name="Graphic 502"/>
                        <wps:cNvSpPr/>
                        <wps:spPr>
                          <a:xfrm>
                            <a:off x="0" y="1587"/>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61" coordorigin="0,0" coordsize="4120,5">
                <v:shape style="position:absolute;left:0;top:2;width:4120;height:2" id="docshape362" coordorigin="0,3" coordsize="4120,0" path="m0,2l644,2,2060,2,3476,2,4120,2e" filled="false" stroked="true" strokeweight=".25pt" strokecolor="#231f20">
                  <v:path arrowok="t"/>
                  <v:stroke dashstyle="solid"/>
                </v:shape>
              </v:group>
            </w:pict>
          </mc:Fallback>
        </mc:AlternateContent>
      </w:r>
      <w:r>
        <w:rPr>
          <w:rFonts w:ascii="Times New Roman"/>
          <w:sz w:val="2"/>
        </w:rPr>
      </w:r>
    </w:p>
    <w:p>
      <w:pPr>
        <w:spacing w:line="271" w:lineRule="auto" w:before="21"/>
        <w:ind w:left="1600" w:right="297" w:firstLine="11"/>
        <w:jc w:val="left"/>
        <w:rPr>
          <w:rFonts w:ascii="Times New Roman"/>
          <w:sz w:val="17"/>
        </w:rPr>
      </w:pPr>
      <w:r>
        <w:rPr/>
        <w:br w:type="column"/>
      </w:r>
      <w:r>
        <w:rPr>
          <w:rFonts w:ascii="Times New Roman"/>
          <w:color w:val="383436"/>
          <w:w w:val="85"/>
          <w:sz w:val="17"/>
        </w:rPr>
        <w:t>Ha</w:t>
      </w:r>
      <w:r>
        <w:rPr>
          <w:rFonts w:ascii="Times New Roman"/>
          <w:color w:val="646262"/>
          <w:w w:val="85"/>
          <w:sz w:val="17"/>
        </w:rPr>
        <w:t>y</w:t>
      </w:r>
      <w:r>
        <w:rPr>
          <w:rFonts w:ascii="Times New Roman"/>
          <w:color w:val="646262"/>
          <w:spacing w:val="-10"/>
          <w:w w:val="85"/>
          <w:sz w:val="17"/>
        </w:rPr>
        <w:t> </w:t>
      </w:r>
      <w:r>
        <w:rPr>
          <w:rFonts w:ascii="Times New Roman"/>
          <w:color w:val="4F4D4D"/>
          <w:w w:val="85"/>
          <w:sz w:val="17"/>
        </w:rPr>
        <w:t>ch1</w:t>
      </w:r>
      <w:r>
        <w:rPr>
          <w:rFonts w:ascii="Times New Roman"/>
          <w:color w:val="4F4D4D"/>
          <w:spacing w:val="-4"/>
          <w:w w:val="85"/>
          <w:sz w:val="17"/>
        </w:rPr>
        <w:t> </w:t>
      </w:r>
      <w:r>
        <w:rPr>
          <w:rFonts w:ascii="Times New Roman"/>
          <w:color w:val="4F4D4D"/>
          <w:w w:val="85"/>
          <w:sz w:val="17"/>
        </w:rPr>
        <w:t>vao </w:t>
      </w:r>
      <w:r>
        <w:rPr>
          <w:rFonts w:ascii="Times New Roman"/>
          <w:color w:val="383436"/>
          <w:w w:val="85"/>
          <w:sz w:val="17"/>
        </w:rPr>
        <w:t>ngon</w:t>
      </w:r>
      <w:r>
        <w:rPr>
          <w:rFonts w:ascii="Times New Roman"/>
          <w:color w:val="383436"/>
          <w:sz w:val="17"/>
        </w:rPr>
        <w:t> </w:t>
      </w:r>
      <w:r>
        <w:rPr>
          <w:rFonts w:ascii="Times New Roman"/>
          <w:color w:val="383436"/>
          <w:w w:val="85"/>
          <w:sz w:val="17"/>
        </w:rPr>
        <w:t>ngii'</w:t>
      </w:r>
      <w:r>
        <w:rPr>
          <w:rFonts w:ascii="Times New Roman"/>
          <w:color w:val="383436"/>
          <w:spacing w:val="-9"/>
          <w:w w:val="85"/>
          <w:sz w:val="17"/>
        </w:rPr>
        <w:t> </w:t>
      </w:r>
      <w:r>
        <w:rPr>
          <w:rFonts w:ascii="Times New Roman"/>
          <w:color w:val="4F4D4D"/>
          <w:w w:val="85"/>
          <w:sz w:val="17"/>
        </w:rPr>
        <w:t>cua </w:t>
      </w:r>
      <w:r>
        <w:rPr>
          <w:rFonts w:ascii="Times New Roman"/>
          <w:color w:val="383436"/>
          <w:w w:val="85"/>
          <w:sz w:val="17"/>
        </w:rPr>
        <w:t>guy</w:t>
      </w:r>
      <w:r>
        <w:rPr>
          <w:rFonts w:ascii="Times New Roman"/>
          <w:color w:val="383436"/>
          <w:spacing w:val="13"/>
          <w:sz w:val="17"/>
        </w:rPr>
        <w:t> </w:t>
      </w:r>
      <w:r>
        <w:rPr>
          <w:rFonts w:ascii="Times New Roman"/>
          <w:color w:val="4F4D4D"/>
          <w:w w:val="85"/>
          <w:sz w:val="17"/>
        </w:rPr>
        <w:t>vj.</w:t>
      </w:r>
      <w:r>
        <w:rPr>
          <w:rFonts w:ascii="Times New Roman"/>
          <w:color w:val="4F4D4D"/>
          <w:spacing w:val="34"/>
          <w:sz w:val="17"/>
        </w:rPr>
        <w:t> </w:t>
      </w:r>
      <w:r>
        <w:rPr>
          <w:rFonts w:ascii="Times New Roman"/>
          <w:color w:val="383436"/>
          <w:w w:val="85"/>
          <w:sz w:val="17"/>
        </w:rPr>
        <w:t>Mi,\t thong</w:t>
      </w:r>
      <w:r>
        <w:rPr>
          <w:rFonts w:ascii="Times New Roman"/>
          <w:color w:val="383436"/>
          <w:spacing w:val="-2"/>
          <w:w w:val="85"/>
          <w:sz w:val="17"/>
        </w:rPr>
        <w:t> </w:t>
      </w:r>
      <w:r>
        <w:rPr>
          <w:rFonts w:ascii="Times New Roman"/>
          <w:color w:val="383436"/>
          <w:w w:val="85"/>
          <w:sz w:val="17"/>
        </w:rPr>
        <w:t>djch</w:t>
      </w:r>
      <w:r>
        <w:rPr>
          <w:rFonts w:ascii="Times New Roman"/>
          <w:color w:val="383436"/>
          <w:sz w:val="17"/>
        </w:rPr>
        <w:t> </w:t>
      </w:r>
      <w:r>
        <w:rPr>
          <w:rFonts w:ascii="Times New Roman"/>
          <w:color w:val="4F4D4D"/>
          <w:w w:val="85"/>
          <w:sz w:val="17"/>
        </w:rPr>
        <w:t>vien se du'&lt;;fc</w:t>
      </w:r>
      <w:r>
        <w:rPr>
          <w:rFonts w:ascii="Times New Roman"/>
          <w:color w:val="4F4D4D"/>
          <w:w w:val="95"/>
          <w:sz w:val="17"/>
        </w:rPr>
        <w:t> gqi Mn,</w:t>
      </w:r>
      <w:r>
        <w:rPr>
          <w:rFonts w:ascii="Times New Roman"/>
          <w:color w:val="4F4D4D"/>
          <w:spacing w:val="-8"/>
          <w:w w:val="95"/>
          <w:sz w:val="17"/>
        </w:rPr>
        <w:t> </w:t>
      </w:r>
      <w:r>
        <w:rPr>
          <w:rFonts w:ascii="Times New Roman"/>
          <w:color w:val="383436"/>
          <w:w w:val="95"/>
          <w:sz w:val="17"/>
        </w:rPr>
        <w:t>gu</w:t>
      </w:r>
      <w:r>
        <w:rPr>
          <w:rFonts w:ascii="Times New Roman"/>
          <w:color w:val="646262"/>
          <w:w w:val="95"/>
          <w:sz w:val="17"/>
        </w:rPr>
        <w:t>y </w:t>
      </w:r>
      <w:r>
        <w:rPr>
          <w:rFonts w:ascii="Times New Roman"/>
          <w:color w:val="4F4D4D"/>
          <w:w w:val="95"/>
          <w:sz w:val="17"/>
        </w:rPr>
        <w:t>vj</w:t>
      </w:r>
      <w:r>
        <w:rPr>
          <w:rFonts w:ascii="Times New Roman"/>
          <w:color w:val="4F4D4D"/>
          <w:spacing w:val="-8"/>
          <w:w w:val="95"/>
          <w:sz w:val="17"/>
        </w:rPr>
        <w:t> </w:t>
      </w:r>
      <w:r>
        <w:rPr>
          <w:rFonts w:ascii="Times New Roman"/>
          <w:color w:val="4F4D4D"/>
          <w:w w:val="95"/>
          <w:sz w:val="17"/>
        </w:rPr>
        <w:t>se </w:t>
      </w:r>
      <w:r>
        <w:rPr>
          <w:rFonts w:ascii="Times New Roman"/>
          <w:color w:val="383436"/>
          <w:w w:val="95"/>
          <w:sz w:val="17"/>
        </w:rPr>
        <w:t>khong phai tra </w:t>
      </w:r>
      <w:r>
        <w:rPr>
          <w:rFonts w:ascii="Times New Roman"/>
          <w:color w:val="383436"/>
          <w:w w:val="90"/>
          <w:sz w:val="17"/>
        </w:rPr>
        <w:t>ti@n </w:t>
      </w:r>
      <w:r>
        <w:rPr>
          <w:rFonts w:ascii="Times New Roman"/>
          <w:color w:val="4F4D4D"/>
          <w:w w:val="95"/>
          <w:sz w:val="17"/>
        </w:rPr>
        <w:t>cho</w:t>
      </w:r>
      <w:r>
        <w:rPr>
          <w:rFonts w:ascii="Times New Roman"/>
          <w:color w:val="4F4D4D"/>
          <w:spacing w:val="-2"/>
          <w:w w:val="95"/>
          <w:sz w:val="17"/>
        </w:rPr>
        <w:t> </w:t>
      </w:r>
      <w:r>
        <w:rPr>
          <w:rFonts w:ascii="Times New Roman"/>
          <w:color w:val="383436"/>
          <w:w w:val="95"/>
          <w:sz w:val="17"/>
        </w:rPr>
        <w:t>thong</w:t>
      </w:r>
      <w:r>
        <w:rPr>
          <w:rFonts w:ascii="Times New Roman"/>
          <w:color w:val="383436"/>
          <w:spacing w:val="-4"/>
          <w:w w:val="95"/>
          <w:sz w:val="17"/>
        </w:rPr>
        <w:t> </w:t>
      </w:r>
      <w:r>
        <w:rPr>
          <w:rFonts w:ascii="Times New Roman"/>
          <w:color w:val="383436"/>
          <w:w w:val="95"/>
          <w:sz w:val="17"/>
        </w:rPr>
        <w:t>djch </w:t>
      </w:r>
      <w:r>
        <w:rPr>
          <w:rFonts w:ascii="Times New Roman"/>
          <w:color w:val="4F4D4D"/>
          <w:w w:val="95"/>
          <w:sz w:val="17"/>
        </w:rPr>
        <w:t>vien.</w:t>
      </w:r>
    </w:p>
    <w:p>
      <w:pPr>
        <w:pStyle w:val="BodyText"/>
        <w:spacing w:before="2"/>
        <w:rPr>
          <w:rFonts w:ascii="Times New Roman"/>
          <w:sz w:val="4"/>
        </w:rPr>
      </w:pPr>
      <w:r>
        <w:rPr/>
        <mc:AlternateContent>
          <mc:Choice Requires="wps">
            <w:drawing>
              <wp:anchor distT="0" distB="0" distL="0" distR="0" allowOverlap="1" layoutInCell="1" locked="0" behindDoc="1" simplePos="0" relativeHeight="487694848">
                <wp:simplePos x="0" y="0"/>
                <wp:positionH relativeFrom="page">
                  <wp:posOffset>9854604</wp:posOffset>
                </wp:positionH>
                <wp:positionV relativeFrom="paragraph">
                  <wp:posOffset>45847</wp:posOffset>
                </wp:positionV>
                <wp:extent cx="2616200" cy="1270"/>
                <wp:effectExtent l="0" t="0" r="0" b="0"/>
                <wp:wrapTopAndBottom/>
                <wp:docPr id="503" name="Graphic 503"/>
                <wp:cNvGraphicFramePr>
                  <a:graphicFrameLocks/>
                </wp:cNvGraphicFramePr>
                <a:graphic>
                  <a:graphicData uri="http://schemas.microsoft.com/office/word/2010/wordprocessingShape">
                    <wps:wsp>
                      <wps:cNvPr id="503" name="Graphic 503"/>
                      <wps:cNvSpPr/>
                      <wps:spPr>
                        <a:xfrm>
                          <a:off x="0" y="0"/>
                          <a:ext cx="2616200" cy="1270"/>
                        </a:xfrm>
                        <a:custGeom>
                          <a:avLst/>
                          <a:gdLst/>
                          <a:ahLst/>
                          <a:cxnLst/>
                          <a:rect l="l" t="t" r="r" b="b"/>
                          <a:pathLst>
                            <a:path w="2616200" h="0">
                              <a:moveTo>
                                <a:pt x="0" y="0"/>
                              </a:moveTo>
                              <a:lnTo>
                                <a:pt x="408781" y="0"/>
                              </a:lnTo>
                              <a:lnTo>
                                <a:pt x="1308100" y="0"/>
                              </a:lnTo>
                              <a:lnTo>
                                <a:pt x="2207418" y="0"/>
                              </a:lnTo>
                              <a:lnTo>
                                <a:pt x="2616200"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775.953125pt;margin-top:3.610021pt;width:206pt;height:.1pt;mso-position-horizontal-relative:page;mso-position-vertical-relative:paragraph;z-index:-15621632;mso-wrap-distance-left:0;mso-wrap-distance-right:0" id="docshape363" coordorigin="15519,72" coordsize="4120,0" path="m15519,72l16163,72,17579,72,18995,72,19639,72e" filled="false" stroked="true" strokeweight=".25pt" strokecolor="#231f20">
                <v:path arrowok="t"/>
                <v:stroke dashstyle="solid"/>
                <w10:wrap type="topAndBottom"/>
              </v:shape>
            </w:pict>
          </mc:Fallback>
        </mc:AlternateContent>
      </w:r>
    </w:p>
    <w:p>
      <w:pPr>
        <w:spacing w:after="0"/>
        <w:rPr>
          <w:rFonts w:ascii="Times New Roman"/>
          <w:sz w:val="4"/>
        </w:rPr>
        <w:sectPr>
          <w:type w:val="continuous"/>
          <w:pgSz w:w="20160" w:h="12240" w:orient="landscape"/>
          <w:pgMar w:header="0" w:footer="0" w:top="1820" w:bottom="280" w:left="380" w:right="120"/>
          <w:cols w:num="3" w:equalWidth="0">
            <w:col w:w="4265" w:space="743"/>
            <w:col w:w="4253" w:space="4387"/>
            <w:col w:w="6012"/>
          </w:cols>
        </w:sectPr>
      </w:pPr>
    </w:p>
    <w:p>
      <w:pPr>
        <w:pStyle w:val="BodyText"/>
        <w:spacing w:before="1"/>
        <w:rPr>
          <w:rFonts w:ascii="Times New Roman"/>
          <w:sz w:val="4"/>
        </w:rPr>
      </w:pPr>
    </w:p>
    <w:p>
      <w:pPr>
        <w:pStyle w:val="BodyText"/>
        <w:spacing w:line="20" w:lineRule="exact"/>
        <w:ind w:left="149"/>
        <w:rPr>
          <w:rFonts w:ascii="Times New Roman"/>
          <w:sz w:val="2"/>
        </w:rPr>
      </w:pPr>
      <w:r>
        <w:rPr>
          <w:rFonts w:ascii="Times New Roman"/>
          <w:sz w:val="2"/>
        </w:rPr>
        <mc:AlternateContent>
          <mc:Choice Requires="wps">
            <w:drawing>
              <wp:inline distT="0" distB="0" distL="0" distR="0">
                <wp:extent cx="2616200" cy="3175"/>
                <wp:effectExtent l="9525" t="0" r="0" b="6350"/>
                <wp:docPr id="504" name="Group 504"/>
                <wp:cNvGraphicFramePr>
                  <a:graphicFrameLocks/>
                </wp:cNvGraphicFramePr>
                <a:graphic>
                  <a:graphicData uri="http://schemas.microsoft.com/office/word/2010/wordprocessingGroup">
                    <wpg:wgp>
                      <wpg:cNvPr id="504" name="Group 504"/>
                      <wpg:cNvGrpSpPr/>
                      <wpg:grpSpPr>
                        <a:xfrm>
                          <a:off x="0" y="0"/>
                          <a:ext cx="2616200" cy="3175"/>
                          <a:chExt cx="2616200" cy="3175"/>
                        </a:xfrm>
                      </wpg:grpSpPr>
                      <wps:wsp>
                        <wps:cNvPr id="505" name="Graphic 505"/>
                        <wps:cNvSpPr/>
                        <wps:spPr>
                          <a:xfrm>
                            <a:off x="0" y="1587"/>
                            <a:ext cx="2616200" cy="1270"/>
                          </a:xfrm>
                          <a:custGeom>
                            <a:avLst/>
                            <a:gdLst/>
                            <a:ahLst/>
                            <a:cxnLst/>
                            <a:rect l="l" t="t" r="r" b="b"/>
                            <a:pathLst>
                              <a:path w="2616200" h="0">
                                <a:moveTo>
                                  <a:pt x="0" y="0"/>
                                </a:moveTo>
                                <a:lnTo>
                                  <a:pt x="408781" y="0"/>
                                </a:lnTo>
                                <a:lnTo>
                                  <a:pt x="1308100" y="0"/>
                                </a:lnTo>
                                <a:lnTo>
                                  <a:pt x="2207419" y="0"/>
                                </a:lnTo>
                                <a:lnTo>
                                  <a:pt x="2616200" y="0"/>
                                </a:lnTo>
                              </a:path>
                            </a:pathLst>
                          </a:custGeom>
                          <a:ln w="317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206pt;height:.25pt;mso-position-horizontal-relative:char;mso-position-vertical-relative:line" id="docshapegroup364" coordorigin="0,0" coordsize="4120,5">
                <v:shape style="position:absolute;left:0;top:2;width:4120;height:2" id="docshape365" coordorigin="0,3" coordsize="4120,0" path="m0,2l644,2,2060,2,3476,2,4120,2e" filled="false" stroked="true" strokeweight=".25pt" strokecolor="#231f20">
                  <v:path arrowok="t"/>
                  <v:stroke dashstyle="solid"/>
                </v:shape>
              </v:group>
            </w:pict>
          </mc:Fallback>
        </mc:AlternateContent>
      </w:r>
      <w:r>
        <w:rPr>
          <w:rFonts w:ascii="Times New Roman"/>
          <w:sz w:val="2"/>
        </w:rPr>
      </w:r>
    </w:p>
    <w:sectPr>
      <w:type w:val="continuous"/>
      <w:pgSz w:w="20160" w:h="12240" w:orient="landscape"/>
      <w:pgMar w:header="0" w:footer="0" w:top="1820" w:bottom="280" w:left="38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MS Gothic">
    <w:altName w:val="MS Gothic"/>
    <w:charset w:val="0"/>
    <w:family w:val="modern"/>
    <w:pitch w:val="fixed"/>
  </w:font>
  <w:font w:name="Calibri">
    <w:altName w:val="Calibri"/>
    <w:charset w:val="0"/>
    <w:family w:val="swiss"/>
    <w:pitch w:val="variable"/>
  </w:font>
  <w:font w:name="Microsoft JhengHei">
    <w:altName w:val="Microsoft JhengHei"/>
    <w:charset w:val="0"/>
    <w:family w:val="swiss"/>
    <w:pitch w:val="variable"/>
  </w:font>
  <w:font w:name="MS PGothic">
    <w:altName w:val="MS PGothic"/>
    <w:charset w:val="0"/>
    <w:family w:val="swiss"/>
    <w:pitch w:val="variable"/>
  </w:font>
  <w:font w:name="Arial Black">
    <w:altName w:val="Arial Black"/>
    <w:charset w:val="0"/>
    <w:family w:val="swiss"/>
    <w:pitch w:val="variable"/>
  </w:font>
  <w:font w:name="SimSun">
    <w:altName w:val="SimSun"/>
    <w:charset w:val="0"/>
    <w:family w:val="auto"/>
    <w:pitch w:val="variable"/>
  </w:font>
  <w:font w:name="Courier New">
    <w:altName w:val="Courier New"/>
    <w:charset w:val="0"/>
    <w:family w:val="modern"/>
    <w:pitch w:val="fixed"/>
  </w:font>
  <w:font w:name="Cambria">
    <w:altName w:val="Cambria"/>
    <w:charset w:val="0"/>
    <w:family w:val="roman"/>
    <w:pitch w:val="variable"/>
  </w:font>
  <w:font w:name="Arial Narrow">
    <w:altName w:val="Arial Narrow"/>
    <w:charset w:val="0"/>
    <w:family w:val="swiss"/>
    <w:pitch w:val="variable"/>
  </w:font>
  <w:font w:name="Verdana">
    <w:altName w:val="Verdan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5728">
              <wp:simplePos x="0" y="0"/>
              <wp:positionH relativeFrom="page">
                <wp:posOffset>3784091</wp:posOffset>
              </wp:positionH>
              <wp:positionV relativeFrom="page">
                <wp:posOffset>9243906</wp:posOffset>
              </wp:positionV>
              <wp:extent cx="217170" cy="19431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21717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 roman </w:instrText>
                          </w:r>
                          <w:r>
                            <w:rPr>
                              <w:rFonts w:ascii="Times New Roman"/>
                              <w:spacing w:val="-5"/>
                            </w:rPr>
                            <w:fldChar w:fldCharType="separate"/>
                          </w:r>
                          <w:r>
                            <w:rPr>
                              <w:rFonts w:ascii="Times New Roman"/>
                              <w:spacing w:val="-5"/>
                            </w:rPr>
                            <w:t>iii</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297.959991pt;margin-top:727.866638pt;width:17.1pt;height:15.3pt;mso-position-horizontal-relative:page;mso-position-vertical-relative:page;z-index:-24970752" type="#_x0000_t202" id="docshape2"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 roman </w:instrText>
                    </w:r>
                    <w:r>
                      <w:rPr>
                        <w:rFonts w:ascii="Times New Roman"/>
                        <w:spacing w:val="-5"/>
                      </w:rPr>
                      <w:fldChar w:fldCharType="separate"/>
                    </w:r>
                    <w:r>
                      <w:rPr>
                        <w:rFonts w:ascii="Times New Roman"/>
                        <w:spacing w:val="-5"/>
                      </w:rPr>
                      <w:t>iii</w:t>
                    </w:r>
                    <w:r>
                      <w:rPr>
                        <w:rFonts w:ascii="Times New Roman"/>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7776">
              <wp:simplePos x="0" y="0"/>
              <wp:positionH relativeFrom="page">
                <wp:posOffset>3733800</wp:posOffset>
              </wp:positionH>
              <wp:positionV relativeFrom="page">
                <wp:posOffset>9243906</wp:posOffset>
              </wp:positionV>
              <wp:extent cx="3175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3175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126</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294pt;margin-top:727.866638pt;width:25pt;height:15.3pt;mso-position-horizontal-relative:page;mso-position-vertical-relative:page;z-index:-24968704" type="#_x0000_t202" id="docshape93"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126</w:t>
                    </w:r>
                    <w:r>
                      <w:rPr>
                        <w:rFonts w:ascii="Times New Roman"/>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8288">
              <wp:simplePos x="0" y="0"/>
              <wp:positionH relativeFrom="page">
                <wp:posOffset>718819</wp:posOffset>
              </wp:positionH>
              <wp:positionV relativeFrom="page">
                <wp:posOffset>9445243</wp:posOffset>
              </wp:positionV>
              <wp:extent cx="1476375" cy="16573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1476375" cy="165735"/>
                      </a:xfrm>
                      <a:prstGeom prst="rect">
                        <a:avLst/>
                      </a:prstGeom>
                    </wps:spPr>
                    <wps:txbx>
                      <w:txbxContent>
                        <w:p>
                          <w:pPr>
                            <w:spacing w:line="245" w:lineRule="exact" w:before="0"/>
                            <w:ind w:left="20" w:right="0" w:firstLine="0"/>
                            <w:jc w:val="left"/>
                            <w:rPr>
                              <w:i/>
                              <w:sz w:val="22"/>
                            </w:rPr>
                          </w:pPr>
                          <w:r>
                            <w:rPr>
                              <w:i/>
                              <w:sz w:val="22"/>
                            </w:rPr>
                            <w:t>MaineDOT</w:t>
                          </w:r>
                          <w:r>
                            <w:rPr>
                              <w:i/>
                              <w:spacing w:val="-6"/>
                              <w:sz w:val="22"/>
                            </w:rPr>
                            <w:t> </w:t>
                          </w:r>
                          <w:r>
                            <w:rPr>
                              <w:i/>
                              <w:sz w:val="22"/>
                            </w:rPr>
                            <w:t>Site</w:t>
                          </w:r>
                          <w:r>
                            <w:rPr>
                              <w:i/>
                              <w:spacing w:val="-4"/>
                              <w:sz w:val="22"/>
                            </w:rPr>
                            <w:t> </w:t>
                          </w:r>
                          <w:r>
                            <w:rPr>
                              <w:i/>
                              <w:sz w:val="22"/>
                            </w:rPr>
                            <w:t>Visit</w:t>
                          </w:r>
                          <w:r>
                            <w:rPr>
                              <w:i/>
                              <w:spacing w:val="-3"/>
                              <w:sz w:val="22"/>
                            </w:rPr>
                            <w:t> </w:t>
                          </w:r>
                          <w:r>
                            <w:rPr>
                              <w:i/>
                              <w:spacing w:val="-4"/>
                              <w:sz w:val="22"/>
                            </w:rPr>
                            <w:t>Form</w:t>
                          </w:r>
                        </w:p>
                      </w:txbxContent>
                    </wps:txbx>
                    <wps:bodyPr wrap="square" lIns="0" tIns="0" rIns="0" bIns="0" rtlCol="0">
                      <a:noAutofit/>
                    </wps:bodyPr>
                  </wps:wsp>
                </a:graphicData>
              </a:graphic>
            </wp:anchor>
          </w:drawing>
        </mc:Choice>
        <mc:Fallback>
          <w:pict>
            <v:shape style="position:absolute;margin-left:56.599998pt;margin-top:743.719971pt;width:116.25pt;height:13.05pt;mso-position-horizontal-relative:page;mso-position-vertical-relative:page;z-index:-24968192" type="#_x0000_t202" id="docshape95" filled="false" stroked="false">
              <v:textbox inset="0,0,0,0">
                <w:txbxContent>
                  <w:p>
                    <w:pPr>
                      <w:spacing w:line="245" w:lineRule="exact" w:before="0"/>
                      <w:ind w:left="20" w:right="0" w:firstLine="0"/>
                      <w:jc w:val="left"/>
                      <w:rPr>
                        <w:i/>
                        <w:sz w:val="22"/>
                      </w:rPr>
                    </w:pPr>
                    <w:r>
                      <w:rPr>
                        <w:i/>
                        <w:sz w:val="22"/>
                      </w:rPr>
                      <w:t>MaineDOT</w:t>
                    </w:r>
                    <w:r>
                      <w:rPr>
                        <w:i/>
                        <w:spacing w:val="-6"/>
                        <w:sz w:val="22"/>
                      </w:rPr>
                      <w:t> </w:t>
                    </w:r>
                    <w:r>
                      <w:rPr>
                        <w:i/>
                        <w:sz w:val="22"/>
                      </w:rPr>
                      <w:t>Site</w:t>
                    </w:r>
                    <w:r>
                      <w:rPr>
                        <w:i/>
                        <w:spacing w:val="-4"/>
                        <w:sz w:val="22"/>
                      </w:rPr>
                      <w:t> </w:t>
                    </w:r>
                    <w:r>
                      <w:rPr>
                        <w:i/>
                        <w:sz w:val="22"/>
                      </w:rPr>
                      <w:t>Visit</w:t>
                    </w:r>
                    <w:r>
                      <w:rPr>
                        <w:i/>
                        <w:spacing w:val="-3"/>
                        <w:sz w:val="22"/>
                      </w:rPr>
                      <w:t> </w:t>
                    </w:r>
                    <w:r>
                      <w:rPr>
                        <w:i/>
                        <w:spacing w:val="-4"/>
                        <w:sz w:val="22"/>
                      </w:rPr>
                      <w:t>Form</w:t>
                    </w:r>
                  </w:p>
                </w:txbxContent>
              </v:textbox>
              <w10:wrap type="none"/>
            </v:shape>
          </w:pict>
        </mc:Fallback>
      </mc:AlternateContent>
    </w:r>
    <w:r>
      <w:rPr/>
      <mc:AlternateContent>
        <mc:Choice Requires="wps">
          <w:drawing>
            <wp:anchor distT="0" distB="0" distL="0" distR="0" allowOverlap="1" layoutInCell="1" locked="0" behindDoc="1" simplePos="0" relativeHeight="478348800">
              <wp:simplePos x="0" y="0"/>
              <wp:positionH relativeFrom="page">
                <wp:posOffset>3595164</wp:posOffset>
              </wp:positionH>
              <wp:positionV relativeFrom="page">
                <wp:posOffset>9445243</wp:posOffset>
              </wp:positionV>
              <wp:extent cx="232410" cy="16573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32410" cy="165735"/>
                      </a:xfrm>
                      <a:prstGeom prst="rect">
                        <a:avLst/>
                      </a:prstGeom>
                    </wps:spPr>
                    <wps:txbx>
                      <w:txbxContent>
                        <w:p>
                          <w:pPr>
                            <w:spacing w:line="245" w:lineRule="exact" w:before="0"/>
                            <w:ind w:left="60" w:right="0" w:firstLine="0"/>
                            <w:jc w:val="left"/>
                            <w:rPr>
                              <w:i/>
                              <w:sz w:val="22"/>
                            </w:rPr>
                          </w:pPr>
                          <w:r>
                            <w:rPr>
                              <w:i/>
                              <w:spacing w:val="-5"/>
                              <w:sz w:val="22"/>
                            </w:rPr>
                            <w:fldChar w:fldCharType="begin"/>
                          </w:r>
                          <w:r>
                            <w:rPr>
                              <w:i/>
                              <w:spacing w:val="-5"/>
                              <w:sz w:val="22"/>
                            </w:rPr>
                            <w:instrText> PAGE </w:instrText>
                          </w:r>
                          <w:r>
                            <w:rPr>
                              <w:i/>
                              <w:spacing w:val="-5"/>
                              <w:sz w:val="22"/>
                            </w:rPr>
                            <w:fldChar w:fldCharType="separate"/>
                          </w:r>
                          <w:r>
                            <w:rPr>
                              <w:i/>
                              <w:spacing w:val="-5"/>
                              <w:sz w:val="22"/>
                            </w:rPr>
                            <w:t>10</w:t>
                          </w:r>
                          <w:r>
                            <w:rPr>
                              <w:i/>
                              <w:spacing w:val="-5"/>
                              <w:sz w:val="22"/>
                            </w:rPr>
                            <w:fldChar w:fldCharType="end"/>
                          </w:r>
                        </w:p>
                      </w:txbxContent>
                    </wps:txbx>
                    <wps:bodyPr wrap="square" lIns="0" tIns="0" rIns="0" bIns="0" rtlCol="0">
                      <a:noAutofit/>
                    </wps:bodyPr>
                  </wps:wsp>
                </a:graphicData>
              </a:graphic>
            </wp:anchor>
          </w:drawing>
        </mc:Choice>
        <mc:Fallback>
          <w:pict>
            <v:shape style="position:absolute;margin-left:283.083832pt;margin-top:743.719971pt;width:18.3pt;height:13.05pt;mso-position-horizontal-relative:page;mso-position-vertical-relative:page;z-index:-24967680" type="#_x0000_t202" id="docshape96" filled="false" stroked="false">
              <v:textbox inset="0,0,0,0">
                <w:txbxContent>
                  <w:p>
                    <w:pPr>
                      <w:spacing w:line="245" w:lineRule="exact" w:before="0"/>
                      <w:ind w:left="60" w:right="0" w:firstLine="0"/>
                      <w:jc w:val="left"/>
                      <w:rPr>
                        <w:i/>
                        <w:sz w:val="22"/>
                      </w:rPr>
                    </w:pPr>
                    <w:r>
                      <w:rPr>
                        <w:i/>
                        <w:spacing w:val="-5"/>
                        <w:sz w:val="22"/>
                      </w:rPr>
                      <w:fldChar w:fldCharType="begin"/>
                    </w:r>
                    <w:r>
                      <w:rPr>
                        <w:i/>
                        <w:spacing w:val="-5"/>
                        <w:sz w:val="22"/>
                      </w:rPr>
                      <w:instrText> PAGE </w:instrText>
                    </w:r>
                    <w:r>
                      <w:rPr>
                        <w:i/>
                        <w:spacing w:val="-5"/>
                        <w:sz w:val="22"/>
                      </w:rPr>
                      <w:fldChar w:fldCharType="separate"/>
                    </w:r>
                    <w:r>
                      <w:rPr>
                        <w:i/>
                        <w:spacing w:val="-5"/>
                        <w:sz w:val="22"/>
                      </w:rPr>
                      <w:t>10</w:t>
                    </w:r>
                    <w:r>
                      <w:rPr>
                        <w:i/>
                        <w:spacing w:val="-5"/>
                        <w:sz w:val="22"/>
                      </w:rPr>
                      <w:fldChar w:fldCharType="end"/>
                    </w:r>
                  </w:p>
                </w:txbxContent>
              </v:textbox>
              <w10:wrap type="none"/>
            </v:shape>
          </w:pict>
        </mc:Fallback>
      </mc:AlternateContent>
    </w:r>
    <w:r>
      <w:rPr/>
      <mc:AlternateContent>
        <mc:Choice Requires="wps">
          <w:drawing>
            <wp:anchor distT="0" distB="0" distL="0" distR="0" allowOverlap="1" layoutInCell="1" locked="0" behindDoc="1" simplePos="0" relativeHeight="478349312">
              <wp:simplePos x="0" y="0"/>
              <wp:positionH relativeFrom="page">
                <wp:posOffset>5732798</wp:posOffset>
              </wp:positionH>
              <wp:positionV relativeFrom="page">
                <wp:posOffset>9445243</wp:posOffset>
              </wp:positionV>
              <wp:extent cx="956310" cy="1657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956310" cy="165735"/>
                      </a:xfrm>
                      <a:prstGeom prst="rect">
                        <a:avLst/>
                      </a:prstGeom>
                    </wps:spPr>
                    <wps:txbx>
                      <w:txbxContent>
                        <w:p>
                          <w:pPr>
                            <w:spacing w:line="245" w:lineRule="exact" w:before="0"/>
                            <w:ind w:left="20" w:right="0" w:firstLine="0"/>
                            <w:jc w:val="left"/>
                            <w:rPr>
                              <w:i/>
                              <w:sz w:val="22"/>
                            </w:rPr>
                          </w:pPr>
                          <w:r>
                            <w:rPr>
                              <w:i/>
                              <w:sz w:val="22"/>
                            </w:rPr>
                            <w:t>Updated</w:t>
                          </w:r>
                          <w:r>
                            <w:rPr>
                              <w:i/>
                              <w:spacing w:val="-5"/>
                              <w:sz w:val="22"/>
                            </w:rPr>
                            <w:t> </w:t>
                          </w:r>
                          <w:r>
                            <w:rPr>
                              <w:i/>
                              <w:spacing w:val="-2"/>
                              <w:sz w:val="22"/>
                            </w:rPr>
                            <w:t>1/2019</w:t>
                          </w:r>
                        </w:p>
                      </w:txbxContent>
                    </wps:txbx>
                    <wps:bodyPr wrap="square" lIns="0" tIns="0" rIns="0" bIns="0" rtlCol="0">
                      <a:noAutofit/>
                    </wps:bodyPr>
                  </wps:wsp>
                </a:graphicData>
              </a:graphic>
            </wp:anchor>
          </w:drawing>
        </mc:Choice>
        <mc:Fallback>
          <w:pict>
            <v:shape style="position:absolute;margin-left:451.401428pt;margin-top:743.719971pt;width:75.3pt;height:13.05pt;mso-position-horizontal-relative:page;mso-position-vertical-relative:page;z-index:-24967168" type="#_x0000_t202" id="docshape97" filled="false" stroked="false">
              <v:textbox inset="0,0,0,0">
                <w:txbxContent>
                  <w:p>
                    <w:pPr>
                      <w:spacing w:line="245" w:lineRule="exact" w:before="0"/>
                      <w:ind w:left="20" w:right="0" w:firstLine="0"/>
                      <w:jc w:val="left"/>
                      <w:rPr>
                        <w:i/>
                        <w:sz w:val="22"/>
                      </w:rPr>
                    </w:pPr>
                    <w:r>
                      <w:rPr>
                        <w:i/>
                        <w:sz w:val="22"/>
                      </w:rPr>
                      <w:t>Updated</w:t>
                    </w:r>
                    <w:r>
                      <w:rPr>
                        <w:i/>
                        <w:spacing w:val="-5"/>
                        <w:sz w:val="22"/>
                      </w:rPr>
                      <w:t> </w:t>
                    </w:r>
                    <w:r>
                      <w:rPr>
                        <w:i/>
                        <w:spacing w:val="-2"/>
                        <w:sz w:val="22"/>
                      </w:rPr>
                      <w:t>1/2019</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6240">
              <wp:simplePos x="0" y="0"/>
              <wp:positionH relativeFrom="page">
                <wp:posOffset>3771900</wp:posOffset>
              </wp:positionH>
              <wp:positionV relativeFrom="page">
                <wp:posOffset>9243906</wp:posOffset>
              </wp:positionV>
              <wp:extent cx="241300" cy="19431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297pt;margin-top:727.866638pt;width:19pt;height:15.3pt;mso-position-horizontal-relative:page;mso-position-vertical-relative:page;z-index:-24970240" type="#_x0000_t202" id="docshape3"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10</w:t>
                    </w:r>
                    <w:r>
                      <w:rPr>
                        <w:rFonts w:ascii="Times New Roman"/>
                        <w:spacing w:val="-5"/>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9824">
              <wp:simplePos x="0" y="0"/>
              <wp:positionH relativeFrom="page">
                <wp:posOffset>718819</wp:posOffset>
              </wp:positionH>
              <wp:positionV relativeFrom="page">
                <wp:posOffset>9460432</wp:posOffset>
              </wp:positionV>
              <wp:extent cx="6319520" cy="1524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6319520" cy="152400"/>
                      </a:xfrm>
                      <a:prstGeom prst="rect">
                        <a:avLst/>
                      </a:prstGeom>
                    </wps:spPr>
                    <wps:txbx>
                      <w:txbxContent>
                        <w:p>
                          <w:pPr>
                            <w:spacing w:before="12"/>
                            <w:ind w:left="20" w:right="0" w:firstLine="0"/>
                            <w:jc w:val="left"/>
                            <w:rPr>
                              <w:rFonts w:ascii="Times New Roman"/>
                              <w:sz w:val="18"/>
                            </w:rPr>
                          </w:pPr>
                          <w:r>
                            <w:rPr>
                              <w:rFonts w:ascii="Times New Roman"/>
                              <w:sz w:val="18"/>
                            </w:rPr>
                            <w:t>languages</w:t>
                          </w:r>
                          <w:r>
                            <w:rPr>
                              <w:rFonts w:ascii="Times New Roman"/>
                              <w:spacing w:val="-2"/>
                              <w:sz w:val="18"/>
                            </w:rPr>
                            <w:t> </w:t>
                          </w:r>
                          <w:r>
                            <w:rPr>
                              <w:rFonts w:ascii="Times New Roman"/>
                              <w:sz w:val="18"/>
                            </w:rPr>
                            <w:t>are</w:t>
                          </w:r>
                          <w:r>
                            <w:rPr>
                              <w:rFonts w:ascii="Times New Roman"/>
                              <w:spacing w:val="-2"/>
                              <w:sz w:val="18"/>
                            </w:rPr>
                            <w:t> </w:t>
                          </w:r>
                          <w:r>
                            <w:rPr>
                              <w:rFonts w:ascii="Times New Roman"/>
                              <w:sz w:val="18"/>
                            </w:rPr>
                            <w:t>recorded within</w:t>
                          </w:r>
                          <w:r>
                            <w:rPr>
                              <w:rFonts w:ascii="Times New Roman"/>
                              <w:spacing w:val="-2"/>
                              <w:sz w:val="18"/>
                            </w:rPr>
                            <w:t> </w:t>
                          </w:r>
                          <w:r>
                            <w:rPr>
                              <w:rFonts w:ascii="Times New Roman"/>
                              <w:sz w:val="18"/>
                            </w:rPr>
                            <w:t>the</w:t>
                          </w:r>
                          <w:r>
                            <w:rPr>
                              <w:rFonts w:ascii="Times New Roman"/>
                              <w:spacing w:val="-4"/>
                              <w:sz w:val="18"/>
                            </w:rPr>
                            <w:t> </w:t>
                          </w:r>
                          <w:r>
                            <w:rPr>
                              <w:rFonts w:ascii="Times New Roman"/>
                              <w:sz w:val="18"/>
                            </w:rPr>
                            <w:t>internal</w:t>
                          </w:r>
                          <w:r>
                            <w:rPr>
                              <w:rFonts w:ascii="Times New Roman"/>
                              <w:spacing w:val="-3"/>
                              <w:sz w:val="18"/>
                            </w:rPr>
                            <w:t> </w:t>
                          </w:r>
                          <w:r>
                            <w:rPr>
                              <w:rFonts w:ascii="Times New Roman"/>
                              <w:sz w:val="18"/>
                            </w:rPr>
                            <w:t>unedited</w:t>
                          </w:r>
                          <w:r>
                            <w:rPr>
                              <w:rFonts w:ascii="Times New Roman"/>
                              <w:spacing w:val="-2"/>
                              <w:sz w:val="18"/>
                            </w:rPr>
                            <w:t> </w:t>
                          </w:r>
                          <w:r>
                            <w:rPr>
                              <w:rFonts w:ascii="Times New Roman"/>
                              <w:sz w:val="18"/>
                            </w:rPr>
                            <w:t>data;</w:t>
                          </w:r>
                          <w:r>
                            <w:rPr>
                              <w:rFonts w:ascii="Times New Roman"/>
                              <w:spacing w:val="-2"/>
                              <w:sz w:val="18"/>
                            </w:rPr>
                            <w:t> </w:t>
                          </w:r>
                          <w:r>
                            <w:rPr>
                              <w:rFonts w:ascii="Times New Roman"/>
                              <w:sz w:val="18"/>
                            </w:rPr>
                            <w:t>however,</w:t>
                          </w:r>
                          <w:r>
                            <w:rPr>
                              <w:rFonts w:ascii="Times New Roman"/>
                              <w:spacing w:val="2"/>
                              <w:sz w:val="18"/>
                            </w:rPr>
                            <w:t> </w:t>
                          </w:r>
                          <w:r>
                            <w:rPr>
                              <w:rFonts w:ascii="Times New Roman"/>
                              <w:sz w:val="18"/>
                            </w:rPr>
                            <w:t>they</w:t>
                          </w:r>
                          <w:r>
                            <w:rPr>
                              <w:rFonts w:ascii="Times New Roman"/>
                              <w:spacing w:val="-5"/>
                              <w:sz w:val="18"/>
                            </w:rPr>
                            <w:t> </w:t>
                          </w:r>
                          <w:r>
                            <w:rPr>
                              <w:rFonts w:ascii="Times New Roman"/>
                              <w:sz w:val="18"/>
                            </w:rPr>
                            <w:t>are</w:t>
                          </w:r>
                          <w:r>
                            <w:rPr>
                              <w:rFonts w:ascii="Times New Roman"/>
                              <w:spacing w:val="-2"/>
                              <w:sz w:val="18"/>
                            </w:rPr>
                            <w:t> </w:t>
                          </w:r>
                          <w:r>
                            <w:rPr>
                              <w:rFonts w:ascii="Times New Roman"/>
                              <w:sz w:val="18"/>
                            </w:rPr>
                            <w:t>combined with the</w:t>
                          </w:r>
                          <w:r>
                            <w:rPr>
                              <w:rFonts w:ascii="Times New Roman"/>
                              <w:spacing w:val="-2"/>
                              <w:sz w:val="18"/>
                            </w:rPr>
                            <w:t> </w:t>
                          </w:r>
                          <w:r>
                            <w:rPr>
                              <w:rFonts w:ascii="Times New Roman"/>
                              <w:sz w:val="18"/>
                            </w:rPr>
                            <w:t>closest</w:t>
                          </w:r>
                          <w:r>
                            <w:rPr>
                              <w:rFonts w:ascii="Times New Roman"/>
                              <w:spacing w:val="-2"/>
                              <w:sz w:val="18"/>
                            </w:rPr>
                            <w:t> </w:t>
                          </w:r>
                          <w:r>
                            <w:rPr>
                              <w:rFonts w:ascii="Times New Roman"/>
                              <w:sz w:val="18"/>
                            </w:rPr>
                            <w:t>spoken language</w:t>
                          </w:r>
                          <w:r>
                            <w:rPr>
                              <w:rFonts w:ascii="Times New Roman"/>
                              <w:spacing w:val="-2"/>
                              <w:sz w:val="18"/>
                            </w:rPr>
                            <w:t> </w:t>
                          </w:r>
                          <w:r>
                            <w:rPr>
                              <w:rFonts w:ascii="Times New Roman"/>
                              <w:sz w:val="18"/>
                            </w:rPr>
                            <w:t>in the</w:t>
                          </w:r>
                          <w:r>
                            <w:rPr>
                              <w:rFonts w:ascii="Times New Roman"/>
                              <w:spacing w:val="-2"/>
                              <w:sz w:val="18"/>
                            </w:rPr>
                            <w:t> </w:t>
                          </w:r>
                          <w:r>
                            <w:rPr>
                              <w:rFonts w:ascii="Times New Roman"/>
                              <w:sz w:val="18"/>
                            </w:rPr>
                            <w:t>edited</w:t>
                          </w:r>
                          <w:r>
                            <w:rPr>
                              <w:rFonts w:ascii="Times New Roman"/>
                              <w:spacing w:val="1"/>
                              <w:sz w:val="18"/>
                            </w:rPr>
                            <w:t> </w:t>
                          </w:r>
                          <w:r>
                            <w:rPr>
                              <w:rFonts w:ascii="Times New Roman"/>
                              <w:spacing w:val="-2"/>
                              <w:sz w:val="18"/>
                            </w:rPr>
                            <w:t>data.</w:t>
                          </w:r>
                        </w:p>
                      </w:txbxContent>
                    </wps:txbx>
                    <wps:bodyPr wrap="square" lIns="0" tIns="0" rIns="0" bIns="0" rtlCol="0">
                      <a:noAutofit/>
                    </wps:bodyPr>
                  </wps:wsp>
                </a:graphicData>
              </a:graphic>
            </wp:anchor>
          </w:drawing>
        </mc:Choice>
        <mc:Fallback>
          <w:pict>
            <v:shape style="position:absolute;margin-left:56.599998pt;margin-top:744.915955pt;width:497.6pt;height:12pt;mso-position-horizontal-relative:page;mso-position-vertical-relative:page;z-index:-24966656" type="#_x0000_t202" id="docshape143" filled="false" stroked="false">
              <v:textbox inset="0,0,0,0">
                <w:txbxContent>
                  <w:p>
                    <w:pPr>
                      <w:spacing w:before="12"/>
                      <w:ind w:left="20" w:right="0" w:firstLine="0"/>
                      <w:jc w:val="left"/>
                      <w:rPr>
                        <w:rFonts w:ascii="Times New Roman"/>
                        <w:sz w:val="18"/>
                      </w:rPr>
                    </w:pPr>
                    <w:r>
                      <w:rPr>
                        <w:rFonts w:ascii="Times New Roman"/>
                        <w:sz w:val="18"/>
                      </w:rPr>
                      <w:t>languages</w:t>
                    </w:r>
                    <w:r>
                      <w:rPr>
                        <w:rFonts w:ascii="Times New Roman"/>
                        <w:spacing w:val="-2"/>
                        <w:sz w:val="18"/>
                      </w:rPr>
                      <w:t> </w:t>
                    </w:r>
                    <w:r>
                      <w:rPr>
                        <w:rFonts w:ascii="Times New Roman"/>
                        <w:sz w:val="18"/>
                      </w:rPr>
                      <w:t>are</w:t>
                    </w:r>
                    <w:r>
                      <w:rPr>
                        <w:rFonts w:ascii="Times New Roman"/>
                        <w:spacing w:val="-2"/>
                        <w:sz w:val="18"/>
                      </w:rPr>
                      <w:t> </w:t>
                    </w:r>
                    <w:r>
                      <w:rPr>
                        <w:rFonts w:ascii="Times New Roman"/>
                        <w:sz w:val="18"/>
                      </w:rPr>
                      <w:t>recorded within</w:t>
                    </w:r>
                    <w:r>
                      <w:rPr>
                        <w:rFonts w:ascii="Times New Roman"/>
                        <w:spacing w:val="-2"/>
                        <w:sz w:val="18"/>
                      </w:rPr>
                      <w:t> </w:t>
                    </w:r>
                    <w:r>
                      <w:rPr>
                        <w:rFonts w:ascii="Times New Roman"/>
                        <w:sz w:val="18"/>
                      </w:rPr>
                      <w:t>the</w:t>
                    </w:r>
                    <w:r>
                      <w:rPr>
                        <w:rFonts w:ascii="Times New Roman"/>
                        <w:spacing w:val="-4"/>
                        <w:sz w:val="18"/>
                      </w:rPr>
                      <w:t> </w:t>
                    </w:r>
                    <w:r>
                      <w:rPr>
                        <w:rFonts w:ascii="Times New Roman"/>
                        <w:sz w:val="18"/>
                      </w:rPr>
                      <w:t>internal</w:t>
                    </w:r>
                    <w:r>
                      <w:rPr>
                        <w:rFonts w:ascii="Times New Roman"/>
                        <w:spacing w:val="-3"/>
                        <w:sz w:val="18"/>
                      </w:rPr>
                      <w:t> </w:t>
                    </w:r>
                    <w:r>
                      <w:rPr>
                        <w:rFonts w:ascii="Times New Roman"/>
                        <w:sz w:val="18"/>
                      </w:rPr>
                      <w:t>unedited</w:t>
                    </w:r>
                    <w:r>
                      <w:rPr>
                        <w:rFonts w:ascii="Times New Roman"/>
                        <w:spacing w:val="-2"/>
                        <w:sz w:val="18"/>
                      </w:rPr>
                      <w:t> </w:t>
                    </w:r>
                    <w:r>
                      <w:rPr>
                        <w:rFonts w:ascii="Times New Roman"/>
                        <w:sz w:val="18"/>
                      </w:rPr>
                      <w:t>data;</w:t>
                    </w:r>
                    <w:r>
                      <w:rPr>
                        <w:rFonts w:ascii="Times New Roman"/>
                        <w:spacing w:val="-2"/>
                        <w:sz w:val="18"/>
                      </w:rPr>
                      <w:t> </w:t>
                    </w:r>
                    <w:r>
                      <w:rPr>
                        <w:rFonts w:ascii="Times New Roman"/>
                        <w:sz w:val="18"/>
                      </w:rPr>
                      <w:t>however,</w:t>
                    </w:r>
                    <w:r>
                      <w:rPr>
                        <w:rFonts w:ascii="Times New Roman"/>
                        <w:spacing w:val="2"/>
                        <w:sz w:val="18"/>
                      </w:rPr>
                      <w:t> </w:t>
                    </w:r>
                    <w:r>
                      <w:rPr>
                        <w:rFonts w:ascii="Times New Roman"/>
                        <w:sz w:val="18"/>
                      </w:rPr>
                      <w:t>they</w:t>
                    </w:r>
                    <w:r>
                      <w:rPr>
                        <w:rFonts w:ascii="Times New Roman"/>
                        <w:spacing w:val="-5"/>
                        <w:sz w:val="18"/>
                      </w:rPr>
                      <w:t> </w:t>
                    </w:r>
                    <w:r>
                      <w:rPr>
                        <w:rFonts w:ascii="Times New Roman"/>
                        <w:sz w:val="18"/>
                      </w:rPr>
                      <w:t>are</w:t>
                    </w:r>
                    <w:r>
                      <w:rPr>
                        <w:rFonts w:ascii="Times New Roman"/>
                        <w:spacing w:val="-2"/>
                        <w:sz w:val="18"/>
                      </w:rPr>
                      <w:t> </w:t>
                    </w:r>
                    <w:r>
                      <w:rPr>
                        <w:rFonts w:ascii="Times New Roman"/>
                        <w:sz w:val="18"/>
                      </w:rPr>
                      <w:t>combined with the</w:t>
                    </w:r>
                    <w:r>
                      <w:rPr>
                        <w:rFonts w:ascii="Times New Roman"/>
                        <w:spacing w:val="-2"/>
                        <w:sz w:val="18"/>
                      </w:rPr>
                      <w:t> </w:t>
                    </w:r>
                    <w:r>
                      <w:rPr>
                        <w:rFonts w:ascii="Times New Roman"/>
                        <w:sz w:val="18"/>
                      </w:rPr>
                      <w:t>closest</w:t>
                    </w:r>
                    <w:r>
                      <w:rPr>
                        <w:rFonts w:ascii="Times New Roman"/>
                        <w:spacing w:val="-2"/>
                        <w:sz w:val="18"/>
                      </w:rPr>
                      <w:t> </w:t>
                    </w:r>
                    <w:r>
                      <w:rPr>
                        <w:rFonts w:ascii="Times New Roman"/>
                        <w:sz w:val="18"/>
                      </w:rPr>
                      <w:t>spoken language</w:t>
                    </w:r>
                    <w:r>
                      <w:rPr>
                        <w:rFonts w:ascii="Times New Roman"/>
                        <w:spacing w:val="-2"/>
                        <w:sz w:val="18"/>
                      </w:rPr>
                      <w:t> </w:t>
                    </w:r>
                    <w:r>
                      <w:rPr>
                        <w:rFonts w:ascii="Times New Roman"/>
                        <w:sz w:val="18"/>
                      </w:rPr>
                      <w:t>in the</w:t>
                    </w:r>
                    <w:r>
                      <w:rPr>
                        <w:rFonts w:ascii="Times New Roman"/>
                        <w:spacing w:val="-2"/>
                        <w:sz w:val="18"/>
                      </w:rPr>
                      <w:t> </w:t>
                    </w:r>
                    <w:r>
                      <w:rPr>
                        <w:rFonts w:ascii="Times New Roman"/>
                        <w:sz w:val="18"/>
                      </w:rPr>
                      <w:t>edited</w:t>
                    </w:r>
                    <w:r>
                      <w:rPr>
                        <w:rFonts w:ascii="Times New Roman"/>
                        <w:spacing w:val="1"/>
                        <w:sz w:val="18"/>
                      </w:rPr>
                      <w:t> </w:t>
                    </w:r>
                    <w:r>
                      <w:rPr>
                        <w:rFonts w:ascii="Times New Roman"/>
                        <w:spacing w:val="-2"/>
                        <w:sz w:val="18"/>
                      </w:rPr>
                      <w:t>data.</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6752">
              <wp:simplePos x="0" y="0"/>
              <wp:positionH relativeFrom="page">
                <wp:posOffset>4914900</wp:posOffset>
              </wp:positionH>
              <wp:positionV relativeFrom="page">
                <wp:posOffset>6957906</wp:posOffset>
              </wp:positionV>
              <wp:extent cx="241300" cy="19431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28</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387pt;margin-top:547.866638pt;width:19pt;height:15.3pt;mso-position-horizontal-relative:page;mso-position-vertical-relative:page;z-index:-24969728" type="#_x0000_t202" id="docshape22"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28</w:t>
                    </w:r>
                    <w:r>
                      <w:rPr>
                        <w:rFonts w:ascii="Times New Roman"/>
                        <w:spacing w:val="-5"/>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78347264">
              <wp:simplePos x="0" y="0"/>
              <wp:positionH relativeFrom="page">
                <wp:posOffset>3771900</wp:posOffset>
              </wp:positionH>
              <wp:positionV relativeFrom="page">
                <wp:posOffset>9243906</wp:posOffset>
              </wp:positionV>
              <wp:extent cx="241300" cy="19431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41300" cy="194310"/>
                      </a:xfrm>
                      <a:prstGeom prst="rect">
                        <a:avLst/>
                      </a:prstGeom>
                    </wps:spPr>
                    <wps:txbx>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79</w:t>
                          </w:r>
                          <w:r>
                            <w:rPr>
                              <w:rFonts w:ascii="Times New Roman"/>
                              <w:spacing w:val="-5"/>
                            </w:rPr>
                            <w:fldChar w:fldCharType="end"/>
                          </w:r>
                        </w:p>
                      </w:txbxContent>
                    </wps:txbx>
                    <wps:bodyPr wrap="square" lIns="0" tIns="0" rIns="0" bIns="0" rtlCol="0">
                      <a:noAutofit/>
                    </wps:bodyPr>
                  </wps:wsp>
                </a:graphicData>
              </a:graphic>
            </wp:anchor>
          </w:drawing>
        </mc:Choice>
        <mc:Fallback>
          <w:pict>
            <v:shape style="position:absolute;margin-left:297pt;margin-top:727.866638pt;width:19pt;height:15.3pt;mso-position-horizontal-relative:page;mso-position-vertical-relative:page;z-index:-24969216" type="#_x0000_t202" id="docshape23" filled="false" stroked="false">
              <v:textbox inset="0,0,0,0">
                <w:txbxContent>
                  <w:p>
                    <w:pPr>
                      <w:pStyle w:val="BodyText"/>
                      <w:spacing w:before="10"/>
                      <w:ind w:left="60"/>
                      <w:rPr>
                        <w:rFonts w:ascii="Times New Roman"/>
                      </w:rPr>
                    </w:pPr>
                    <w:r>
                      <w:rPr>
                        <w:rFonts w:ascii="Times New Roman"/>
                        <w:spacing w:val="-5"/>
                      </w:rPr>
                      <w:fldChar w:fldCharType="begin"/>
                    </w:r>
                    <w:r>
                      <w:rPr>
                        <w:rFonts w:ascii="Times New Roman"/>
                        <w:spacing w:val="-5"/>
                      </w:rPr>
                      <w:instrText> PAGE </w:instrText>
                    </w:r>
                    <w:r>
                      <w:rPr>
                        <w:rFonts w:ascii="Times New Roman"/>
                        <w:spacing w:val="-5"/>
                      </w:rPr>
                      <w:fldChar w:fldCharType="separate"/>
                    </w:r>
                    <w:r>
                      <w:rPr>
                        <w:rFonts w:ascii="Times New Roman"/>
                        <w:spacing w:val="-5"/>
                      </w:rPr>
                      <w:t>79</w:t>
                    </w:r>
                    <w:r>
                      <w:rPr>
                        <w:rFonts w:ascii="Times New Roman"/>
                        <w:spacing w:val="-5"/>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0">
    <w:multiLevelType w:val="hybridMultilevel"/>
    <w:lvl w:ilvl="0">
      <w:start w:val="0"/>
      <w:numFmt w:val="bullet"/>
      <w:lvlText w:val="•"/>
      <w:lvlJc w:val="left"/>
      <w:pPr>
        <w:ind w:left="373" w:hanging="156"/>
      </w:pPr>
      <w:rPr>
        <w:rFonts w:hint="default" w:ascii="Arial" w:hAnsi="Arial" w:eastAsia="Arial" w:cs="Arial"/>
        <w:b w:val="0"/>
        <w:bCs w:val="0"/>
        <w:i w:val="0"/>
        <w:iCs w:val="0"/>
        <w:color w:val="262123"/>
        <w:spacing w:val="0"/>
        <w:w w:val="116"/>
        <w:sz w:val="19"/>
        <w:szCs w:val="19"/>
        <w:lang w:val="en-US" w:eastAsia="en-US" w:bidi="ar-SA"/>
      </w:rPr>
    </w:lvl>
    <w:lvl w:ilvl="1">
      <w:start w:val="0"/>
      <w:numFmt w:val="bullet"/>
      <w:lvlText w:val="•"/>
      <w:lvlJc w:val="left"/>
      <w:pPr>
        <w:ind w:left="809" w:hanging="156"/>
      </w:pPr>
      <w:rPr>
        <w:rFonts w:hint="default"/>
        <w:lang w:val="en-US" w:eastAsia="en-US" w:bidi="ar-SA"/>
      </w:rPr>
    </w:lvl>
    <w:lvl w:ilvl="2">
      <w:start w:val="0"/>
      <w:numFmt w:val="bullet"/>
      <w:lvlText w:val="•"/>
      <w:lvlJc w:val="left"/>
      <w:pPr>
        <w:ind w:left="1238" w:hanging="156"/>
      </w:pPr>
      <w:rPr>
        <w:rFonts w:hint="default"/>
        <w:lang w:val="en-US" w:eastAsia="en-US" w:bidi="ar-SA"/>
      </w:rPr>
    </w:lvl>
    <w:lvl w:ilvl="3">
      <w:start w:val="0"/>
      <w:numFmt w:val="bullet"/>
      <w:lvlText w:val="•"/>
      <w:lvlJc w:val="left"/>
      <w:pPr>
        <w:ind w:left="1668" w:hanging="156"/>
      </w:pPr>
      <w:rPr>
        <w:rFonts w:hint="default"/>
        <w:lang w:val="en-US" w:eastAsia="en-US" w:bidi="ar-SA"/>
      </w:rPr>
    </w:lvl>
    <w:lvl w:ilvl="4">
      <w:start w:val="0"/>
      <w:numFmt w:val="bullet"/>
      <w:lvlText w:val="•"/>
      <w:lvlJc w:val="left"/>
      <w:pPr>
        <w:ind w:left="2097" w:hanging="156"/>
      </w:pPr>
      <w:rPr>
        <w:rFonts w:hint="default"/>
        <w:lang w:val="en-US" w:eastAsia="en-US" w:bidi="ar-SA"/>
      </w:rPr>
    </w:lvl>
    <w:lvl w:ilvl="5">
      <w:start w:val="0"/>
      <w:numFmt w:val="bullet"/>
      <w:lvlText w:val="•"/>
      <w:lvlJc w:val="left"/>
      <w:pPr>
        <w:ind w:left="2527" w:hanging="156"/>
      </w:pPr>
      <w:rPr>
        <w:rFonts w:hint="default"/>
        <w:lang w:val="en-US" w:eastAsia="en-US" w:bidi="ar-SA"/>
      </w:rPr>
    </w:lvl>
    <w:lvl w:ilvl="6">
      <w:start w:val="0"/>
      <w:numFmt w:val="bullet"/>
      <w:lvlText w:val="•"/>
      <w:lvlJc w:val="left"/>
      <w:pPr>
        <w:ind w:left="2956" w:hanging="156"/>
      </w:pPr>
      <w:rPr>
        <w:rFonts w:hint="default"/>
        <w:lang w:val="en-US" w:eastAsia="en-US" w:bidi="ar-SA"/>
      </w:rPr>
    </w:lvl>
    <w:lvl w:ilvl="7">
      <w:start w:val="0"/>
      <w:numFmt w:val="bullet"/>
      <w:lvlText w:val="•"/>
      <w:lvlJc w:val="left"/>
      <w:pPr>
        <w:ind w:left="3386" w:hanging="156"/>
      </w:pPr>
      <w:rPr>
        <w:rFonts w:hint="default"/>
        <w:lang w:val="en-US" w:eastAsia="en-US" w:bidi="ar-SA"/>
      </w:rPr>
    </w:lvl>
    <w:lvl w:ilvl="8">
      <w:start w:val="0"/>
      <w:numFmt w:val="bullet"/>
      <w:lvlText w:val="•"/>
      <w:lvlJc w:val="left"/>
      <w:pPr>
        <w:ind w:left="3815" w:hanging="156"/>
      </w:pPr>
      <w:rPr>
        <w:rFonts w:hint="default"/>
        <w:lang w:val="en-US" w:eastAsia="en-US" w:bidi="ar-SA"/>
      </w:rPr>
    </w:lvl>
  </w:abstractNum>
  <w:abstractNum w:abstractNumId="39">
    <w:multiLevelType w:val="hybridMultilevel"/>
    <w:lvl w:ilvl="0">
      <w:start w:val="0"/>
      <w:numFmt w:val="bullet"/>
      <w:lvlText w:val="•"/>
      <w:lvlJc w:val="left"/>
      <w:pPr>
        <w:ind w:left="382" w:hanging="173"/>
      </w:pPr>
      <w:rPr>
        <w:rFonts w:hint="default" w:ascii="Times New Roman" w:hAnsi="Times New Roman" w:eastAsia="Times New Roman" w:cs="Times New Roman"/>
        <w:b w:val="0"/>
        <w:bCs w:val="0"/>
        <w:i w:val="0"/>
        <w:iCs w:val="0"/>
        <w:color w:val="262123"/>
        <w:spacing w:val="0"/>
        <w:w w:val="117"/>
        <w:sz w:val="17"/>
        <w:szCs w:val="17"/>
        <w:lang w:val="en-US" w:eastAsia="en-US" w:bidi="ar-SA"/>
      </w:rPr>
    </w:lvl>
    <w:lvl w:ilvl="1">
      <w:start w:val="0"/>
      <w:numFmt w:val="bullet"/>
      <w:lvlText w:val="•"/>
      <w:lvlJc w:val="left"/>
      <w:pPr>
        <w:ind w:left="810" w:hanging="173"/>
      </w:pPr>
      <w:rPr>
        <w:rFonts w:hint="default"/>
        <w:lang w:val="en-US" w:eastAsia="en-US" w:bidi="ar-SA"/>
      </w:rPr>
    </w:lvl>
    <w:lvl w:ilvl="2">
      <w:start w:val="0"/>
      <w:numFmt w:val="bullet"/>
      <w:lvlText w:val="•"/>
      <w:lvlJc w:val="left"/>
      <w:pPr>
        <w:ind w:left="1241" w:hanging="173"/>
      </w:pPr>
      <w:rPr>
        <w:rFonts w:hint="default"/>
        <w:lang w:val="en-US" w:eastAsia="en-US" w:bidi="ar-SA"/>
      </w:rPr>
    </w:lvl>
    <w:lvl w:ilvl="3">
      <w:start w:val="0"/>
      <w:numFmt w:val="bullet"/>
      <w:lvlText w:val="•"/>
      <w:lvlJc w:val="left"/>
      <w:pPr>
        <w:ind w:left="1672" w:hanging="173"/>
      </w:pPr>
      <w:rPr>
        <w:rFonts w:hint="default"/>
        <w:lang w:val="en-US" w:eastAsia="en-US" w:bidi="ar-SA"/>
      </w:rPr>
    </w:lvl>
    <w:lvl w:ilvl="4">
      <w:start w:val="0"/>
      <w:numFmt w:val="bullet"/>
      <w:lvlText w:val="•"/>
      <w:lvlJc w:val="left"/>
      <w:pPr>
        <w:ind w:left="2103" w:hanging="173"/>
      </w:pPr>
      <w:rPr>
        <w:rFonts w:hint="default"/>
        <w:lang w:val="en-US" w:eastAsia="en-US" w:bidi="ar-SA"/>
      </w:rPr>
    </w:lvl>
    <w:lvl w:ilvl="5">
      <w:start w:val="0"/>
      <w:numFmt w:val="bullet"/>
      <w:lvlText w:val="•"/>
      <w:lvlJc w:val="left"/>
      <w:pPr>
        <w:ind w:left="2533" w:hanging="173"/>
      </w:pPr>
      <w:rPr>
        <w:rFonts w:hint="default"/>
        <w:lang w:val="en-US" w:eastAsia="en-US" w:bidi="ar-SA"/>
      </w:rPr>
    </w:lvl>
    <w:lvl w:ilvl="6">
      <w:start w:val="0"/>
      <w:numFmt w:val="bullet"/>
      <w:lvlText w:val="•"/>
      <w:lvlJc w:val="left"/>
      <w:pPr>
        <w:ind w:left="2964" w:hanging="173"/>
      </w:pPr>
      <w:rPr>
        <w:rFonts w:hint="default"/>
        <w:lang w:val="en-US" w:eastAsia="en-US" w:bidi="ar-SA"/>
      </w:rPr>
    </w:lvl>
    <w:lvl w:ilvl="7">
      <w:start w:val="0"/>
      <w:numFmt w:val="bullet"/>
      <w:lvlText w:val="•"/>
      <w:lvlJc w:val="left"/>
      <w:pPr>
        <w:ind w:left="3395" w:hanging="173"/>
      </w:pPr>
      <w:rPr>
        <w:rFonts w:hint="default"/>
        <w:lang w:val="en-US" w:eastAsia="en-US" w:bidi="ar-SA"/>
      </w:rPr>
    </w:lvl>
    <w:lvl w:ilvl="8">
      <w:start w:val="0"/>
      <w:numFmt w:val="bullet"/>
      <w:lvlText w:val="•"/>
      <w:lvlJc w:val="left"/>
      <w:pPr>
        <w:ind w:left="3826" w:hanging="173"/>
      </w:pPr>
      <w:rPr>
        <w:rFonts w:hint="default"/>
        <w:lang w:val="en-US" w:eastAsia="en-US" w:bidi="ar-SA"/>
      </w:rPr>
    </w:lvl>
  </w:abstractNum>
  <w:abstractNum w:abstractNumId="38">
    <w:multiLevelType w:val="hybridMultilevel"/>
    <w:lvl w:ilvl="0">
      <w:start w:val="0"/>
      <w:numFmt w:val="bullet"/>
      <w:lvlText w:val="•"/>
      <w:lvlJc w:val="left"/>
      <w:pPr>
        <w:ind w:left="2836" w:hanging="298"/>
      </w:pPr>
      <w:rPr>
        <w:rFonts w:hint="default" w:ascii="Arial" w:hAnsi="Arial" w:eastAsia="Arial" w:cs="Arial"/>
        <w:b w:val="0"/>
        <w:bCs w:val="0"/>
        <w:i w:val="0"/>
        <w:iCs w:val="0"/>
        <w:color w:val="0F0C16"/>
        <w:spacing w:val="0"/>
        <w:w w:val="105"/>
        <w:sz w:val="17"/>
        <w:szCs w:val="17"/>
        <w:lang w:val="en-US" w:eastAsia="en-US" w:bidi="ar-SA"/>
      </w:rPr>
    </w:lvl>
    <w:lvl w:ilvl="1">
      <w:start w:val="0"/>
      <w:numFmt w:val="bullet"/>
      <w:lvlText w:val="•"/>
      <w:lvlJc w:val="left"/>
      <w:pPr>
        <w:ind w:left="3670" w:hanging="298"/>
      </w:pPr>
      <w:rPr>
        <w:rFonts w:hint="default"/>
        <w:lang w:val="en-US" w:eastAsia="en-US" w:bidi="ar-SA"/>
      </w:rPr>
    </w:lvl>
    <w:lvl w:ilvl="2">
      <w:start w:val="0"/>
      <w:numFmt w:val="bullet"/>
      <w:lvlText w:val="•"/>
      <w:lvlJc w:val="left"/>
      <w:pPr>
        <w:ind w:left="4500" w:hanging="298"/>
      </w:pPr>
      <w:rPr>
        <w:rFonts w:hint="default"/>
        <w:lang w:val="en-US" w:eastAsia="en-US" w:bidi="ar-SA"/>
      </w:rPr>
    </w:lvl>
    <w:lvl w:ilvl="3">
      <w:start w:val="0"/>
      <w:numFmt w:val="bullet"/>
      <w:lvlText w:val="•"/>
      <w:lvlJc w:val="left"/>
      <w:pPr>
        <w:ind w:left="5330" w:hanging="298"/>
      </w:pPr>
      <w:rPr>
        <w:rFonts w:hint="default"/>
        <w:lang w:val="en-US" w:eastAsia="en-US" w:bidi="ar-SA"/>
      </w:rPr>
    </w:lvl>
    <w:lvl w:ilvl="4">
      <w:start w:val="0"/>
      <w:numFmt w:val="bullet"/>
      <w:lvlText w:val="•"/>
      <w:lvlJc w:val="left"/>
      <w:pPr>
        <w:ind w:left="6160" w:hanging="298"/>
      </w:pPr>
      <w:rPr>
        <w:rFonts w:hint="default"/>
        <w:lang w:val="en-US" w:eastAsia="en-US" w:bidi="ar-SA"/>
      </w:rPr>
    </w:lvl>
    <w:lvl w:ilvl="5">
      <w:start w:val="0"/>
      <w:numFmt w:val="bullet"/>
      <w:lvlText w:val="•"/>
      <w:lvlJc w:val="left"/>
      <w:pPr>
        <w:ind w:left="6990" w:hanging="298"/>
      </w:pPr>
      <w:rPr>
        <w:rFonts w:hint="default"/>
        <w:lang w:val="en-US" w:eastAsia="en-US" w:bidi="ar-SA"/>
      </w:rPr>
    </w:lvl>
    <w:lvl w:ilvl="6">
      <w:start w:val="0"/>
      <w:numFmt w:val="bullet"/>
      <w:lvlText w:val="•"/>
      <w:lvlJc w:val="left"/>
      <w:pPr>
        <w:ind w:left="7820" w:hanging="298"/>
      </w:pPr>
      <w:rPr>
        <w:rFonts w:hint="default"/>
        <w:lang w:val="en-US" w:eastAsia="en-US" w:bidi="ar-SA"/>
      </w:rPr>
    </w:lvl>
    <w:lvl w:ilvl="7">
      <w:start w:val="0"/>
      <w:numFmt w:val="bullet"/>
      <w:lvlText w:val="•"/>
      <w:lvlJc w:val="left"/>
      <w:pPr>
        <w:ind w:left="8650" w:hanging="298"/>
      </w:pPr>
      <w:rPr>
        <w:rFonts w:hint="default"/>
        <w:lang w:val="en-US" w:eastAsia="en-US" w:bidi="ar-SA"/>
      </w:rPr>
    </w:lvl>
    <w:lvl w:ilvl="8">
      <w:start w:val="0"/>
      <w:numFmt w:val="bullet"/>
      <w:lvlText w:val="•"/>
      <w:lvlJc w:val="left"/>
      <w:pPr>
        <w:ind w:left="9480" w:hanging="298"/>
      </w:pPr>
      <w:rPr>
        <w:rFonts w:hint="default"/>
        <w:lang w:val="en-US" w:eastAsia="en-US" w:bidi="ar-SA"/>
      </w:rPr>
    </w:lvl>
  </w:abstractNum>
  <w:abstractNum w:abstractNumId="37">
    <w:multiLevelType w:val="hybridMultilevel"/>
    <w:lvl w:ilvl="0">
      <w:start w:val="1"/>
      <w:numFmt w:val="decimal"/>
      <w:lvlText w:val="%1."/>
      <w:lvlJc w:val="left"/>
      <w:pPr>
        <w:ind w:left="1459" w:hanging="547"/>
        <w:jc w:val="right"/>
      </w:pPr>
      <w:rPr>
        <w:rFonts w:hint="default"/>
        <w:spacing w:val="-1"/>
        <w:w w:val="100"/>
        <w:lang w:val="en-US" w:eastAsia="en-US" w:bidi="ar-SA"/>
      </w:rPr>
    </w:lvl>
    <w:lvl w:ilvl="1">
      <w:start w:val="1"/>
      <w:numFmt w:val="lowerLetter"/>
      <w:lvlText w:val="%2."/>
      <w:lvlJc w:val="left"/>
      <w:pPr>
        <w:ind w:left="1992" w:hanging="360"/>
        <w:jc w:val="left"/>
      </w:pPr>
      <w:rPr>
        <w:rFonts w:hint="default"/>
        <w:spacing w:val="0"/>
        <w:w w:val="100"/>
        <w:lang w:val="en-US" w:eastAsia="en-US" w:bidi="ar-SA"/>
      </w:rPr>
    </w:lvl>
    <w:lvl w:ilvl="2">
      <w:start w:val="0"/>
      <w:numFmt w:val="bullet"/>
      <w:lvlText w:val="-"/>
      <w:lvlJc w:val="left"/>
      <w:pPr>
        <w:ind w:left="1992" w:hanging="360"/>
      </w:pPr>
      <w:rPr>
        <w:rFonts w:hint="default" w:ascii="Arial Narrow" w:hAnsi="Arial Narrow" w:eastAsia="Arial Narrow" w:cs="Arial Narrow"/>
        <w:b w:val="0"/>
        <w:bCs w:val="0"/>
        <w:i w:val="0"/>
        <w:iCs w:val="0"/>
        <w:spacing w:val="0"/>
        <w:w w:val="100"/>
        <w:sz w:val="24"/>
        <w:szCs w:val="24"/>
        <w:lang w:val="en-US" w:eastAsia="en-US" w:bidi="ar-SA"/>
      </w:rPr>
    </w:lvl>
    <w:lvl w:ilvl="3">
      <w:start w:val="0"/>
      <w:numFmt w:val="bullet"/>
      <w:lvlText w:val="•"/>
      <w:lvlJc w:val="left"/>
      <w:pPr>
        <w:ind w:left="2000" w:hanging="360"/>
      </w:pPr>
      <w:rPr>
        <w:rFonts w:hint="default"/>
        <w:lang w:val="en-US" w:eastAsia="en-US" w:bidi="ar-SA"/>
      </w:rPr>
    </w:lvl>
    <w:lvl w:ilvl="4">
      <w:start w:val="0"/>
      <w:numFmt w:val="bullet"/>
      <w:lvlText w:val="•"/>
      <w:lvlJc w:val="left"/>
      <w:pPr>
        <w:ind w:left="2180" w:hanging="360"/>
      </w:pPr>
      <w:rPr>
        <w:rFonts w:hint="default"/>
        <w:lang w:val="en-US" w:eastAsia="en-US" w:bidi="ar-SA"/>
      </w:rPr>
    </w:lvl>
    <w:lvl w:ilvl="5">
      <w:start w:val="0"/>
      <w:numFmt w:val="bullet"/>
      <w:lvlText w:val="•"/>
      <w:lvlJc w:val="left"/>
      <w:pPr>
        <w:ind w:left="2260" w:hanging="360"/>
      </w:pPr>
      <w:rPr>
        <w:rFonts w:hint="default"/>
        <w:lang w:val="en-US" w:eastAsia="en-US" w:bidi="ar-SA"/>
      </w:rPr>
    </w:lvl>
    <w:lvl w:ilvl="6">
      <w:start w:val="0"/>
      <w:numFmt w:val="bullet"/>
      <w:lvlText w:val="•"/>
      <w:lvlJc w:val="left"/>
      <w:pPr>
        <w:ind w:left="2280" w:hanging="360"/>
      </w:pPr>
      <w:rPr>
        <w:rFonts w:hint="default"/>
        <w:lang w:val="en-US" w:eastAsia="en-US" w:bidi="ar-SA"/>
      </w:rPr>
    </w:lvl>
    <w:lvl w:ilvl="7">
      <w:start w:val="0"/>
      <w:numFmt w:val="bullet"/>
      <w:lvlText w:val="•"/>
      <w:lvlJc w:val="left"/>
      <w:pPr>
        <w:ind w:left="2620" w:hanging="360"/>
      </w:pPr>
      <w:rPr>
        <w:rFonts w:hint="default"/>
        <w:lang w:val="en-US" w:eastAsia="en-US" w:bidi="ar-SA"/>
      </w:rPr>
    </w:lvl>
    <w:lvl w:ilvl="8">
      <w:start w:val="0"/>
      <w:numFmt w:val="bullet"/>
      <w:lvlText w:val="•"/>
      <w:lvlJc w:val="left"/>
      <w:pPr>
        <w:ind w:left="5460" w:hanging="360"/>
      </w:pPr>
      <w:rPr>
        <w:rFonts w:hint="default"/>
        <w:lang w:val="en-US" w:eastAsia="en-US" w:bidi="ar-SA"/>
      </w:rPr>
    </w:lvl>
  </w:abstractNum>
  <w:abstractNum w:abstractNumId="36">
    <w:multiLevelType w:val="hybridMultilevel"/>
    <w:lvl w:ilvl="0">
      <w:start w:val="1"/>
      <w:numFmt w:val="decimal"/>
      <w:lvlText w:val="%1."/>
      <w:lvlJc w:val="left"/>
      <w:pPr>
        <w:ind w:left="1199"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2194" w:hanging="360"/>
      </w:pPr>
      <w:rPr>
        <w:rFonts w:hint="default"/>
        <w:lang w:val="en-US" w:eastAsia="en-US" w:bidi="ar-SA"/>
      </w:rPr>
    </w:lvl>
    <w:lvl w:ilvl="2">
      <w:start w:val="0"/>
      <w:numFmt w:val="bullet"/>
      <w:lvlText w:val="•"/>
      <w:lvlJc w:val="left"/>
      <w:pPr>
        <w:ind w:left="3188" w:hanging="360"/>
      </w:pPr>
      <w:rPr>
        <w:rFonts w:hint="default"/>
        <w:lang w:val="en-US" w:eastAsia="en-US" w:bidi="ar-SA"/>
      </w:rPr>
    </w:lvl>
    <w:lvl w:ilvl="3">
      <w:start w:val="0"/>
      <w:numFmt w:val="bullet"/>
      <w:lvlText w:val="•"/>
      <w:lvlJc w:val="left"/>
      <w:pPr>
        <w:ind w:left="4182" w:hanging="360"/>
      </w:pPr>
      <w:rPr>
        <w:rFonts w:hint="default"/>
        <w:lang w:val="en-US" w:eastAsia="en-US" w:bidi="ar-SA"/>
      </w:rPr>
    </w:lvl>
    <w:lvl w:ilvl="4">
      <w:start w:val="0"/>
      <w:numFmt w:val="bullet"/>
      <w:lvlText w:val="•"/>
      <w:lvlJc w:val="left"/>
      <w:pPr>
        <w:ind w:left="5176" w:hanging="360"/>
      </w:pPr>
      <w:rPr>
        <w:rFonts w:hint="default"/>
        <w:lang w:val="en-US" w:eastAsia="en-US" w:bidi="ar-SA"/>
      </w:rPr>
    </w:lvl>
    <w:lvl w:ilvl="5">
      <w:start w:val="0"/>
      <w:numFmt w:val="bullet"/>
      <w:lvlText w:val="•"/>
      <w:lvlJc w:val="left"/>
      <w:pPr>
        <w:ind w:left="6170" w:hanging="360"/>
      </w:pPr>
      <w:rPr>
        <w:rFonts w:hint="default"/>
        <w:lang w:val="en-US" w:eastAsia="en-US" w:bidi="ar-SA"/>
      </w:rPr>
    </w:lvl>
    <w:lvl w:ilvl="6">
      <w:start w:val="0"/>
      <w:numFmt w:val="bullet"/>
      <w:lvlText w:val="•"/>
      <w:lvlJc w:val="left"/>
      <w:pPr>
        <w:ind w:left="7164" w:hanging="360"/>
      </w:pPr>
      <w:rPr>
        <w:rFonts w:hint="default"/>
        <w:lang w:val="en-US" w:eastAsia="en-US" w:bidi="ar-SA"/>
      </w:rPr>
    </w:lvl>
    <w:lvl w:ilvl="7">
      <w:start w:val="0"/>
      <w:numFmt w:val="bullet"/>
      <w:lvlText w:val="•"/>
      <w:lvlJc w:val="left"/>
      <w:pPr>
        <w:ind w:left="8158" w:hanging="360"/>
      </w:pPr>
      <w:rPr>
        <w:rFonts w:hint="default"/>
        <w:lang w:val="en-US" w:eastAsia="en-US" w:bidi="ar-SA"/>
      </w:rPr>
    </w:lvl>
    <w:lvl w:ilvl="8">
      <w:start w:val="0"/>
      <w:numFmt w:val="bullet"/>
      <w:lvlText w:val="•"/>
      <w:lvlJc w:val="left"/>
      <w:pPr>
        <w:ind w:left="9152" w:hanging="360"/>
      </w:pPr>
      <w:rPr>
        <w:rFonts w:hint="default"/>
        <w:lang w:val="en-US" w:eastAsia="en-US" w:bidi="ar-SA"/>
      </w:rPr>
    </w:lvl>
  </w:abstractNum>
  <w:abstractNum w:abstractNumId="35">
    <w:multiLevelType w:val="hybridMultilevel"/>
    <w:lvl w:ilvl="0">
      <w:start w:val="0"/>
      <w:numFmt w:val="bullet"/>
      <w:lvlText w:val=""/>
      <w:lvlJc w:val="left"/>
      <w:pPr>
        <w:ind w:left="9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60" w:hanging="360"/>
      </w:pPr>
      <w:rPr>
        <w:rFonts w:hint="default"/>
        <w:lang w:val="en-US" w:eastAsia="en-US" w:bidi="ar-SA"/>
      </w:rPr>
    </w:lvl>
    <w:lvl w:ilvl="2">
      <w:start w:val="0"/>
      <w:numFmt w:val="bullet"/>
      <w:lvlText w:val="•"/>
      <w:lvlJc w:val="left"/>
      <w:pPr>
        <w:ind w:left="2980" w:hanging="360"/>
      </w:pPr>
      <w:rPr>
        <w:rFonts w:hint="default"/>
        <w:lang w:val="en-US" w:eastAsia="en-US" w:bidi="ar-SA"/>
      </w:rPr>
    </w:lvl>
    <w:lvl w:ilvl="3">
      <w:start w:val="0"/>
      <w:numFmt w:val="bullet"/>
      <w:lvlText w:val="•"/>
      <w:lvlJc w:val="left"/>
      <w:pPr>
        <w:ind w:left="4000" w:hanging="360"/>
      </w:pPr>
      <w:rPr>
        <w:rFonts w:hint="default"/>
        <w:lang w:val="en-US" w:eastAsia="en-US" w:bidi="ar-SA"/>
      </w:rPr>
    </w:lvl>
    <w:lvl w:ilvl="4">
      <w:start w:val="0"/>
      <w:numFmt w:val="bullet"/>
      <w:lvlText w:val="•"/>
      <w:lvlJc w:val="left"/>
      <w:pPr>
        <w:ind w:left="5020" w:hanging="360"/>
      </w:pPr>
      <w:rPr>
        <w:rFonts w:hint="default"/>
        <w:lang w:val="en-US" w:eastAsia="en-US" w:bidi="ar-SA"/>
      </w:rPr>
    </w:lvl>
    <w:lvl w:ilvl="5">
      <w:start w:val="0"/>
      <w:numFmt w:val="bullet"/>
      <w:lvlText w:val="•"/>
      <w:lvlJc w:val="left"/>
      <w:pPr>
        <w:ind w:left="6040" w:hanging="360"/>
      </w:pPr>
      <w:rPr>
        <w:rFonts w:hint="default"/>
        <w:lang w:val="en-US" w:eastAsia="en-US" w:bidi="ar-SA"/>
      </w:rPr>
    </w:lvl>
    <w:lvl w:ilvl="6">
      <w:start w:val="0"/>
      <w:numFmt w:val="bullet"/>
      <w:lvlText w:val="•"/>
      <w:lvlJc w:val="left"/>
      <w:pPr>
        <w:ind w:left="7060" w:hanging="360"/>
      </w:pPr>
      <w:rPr>
        <w:rFonts w:hint="default"/>
        <w:lang w:val="en-US" w:eastAsia="en-US" w:bidi="ar-SA"/>
      </w:rPr>
    </w:lvl>
    <w:lvl w:ilvl="7">
      <w:start w:val="0"/>
      <w:numFmt w:val="bullet"/>
      <w:lvlText w:val="•"/>
      <w:lvlJc w:val="left"/>
      <w:pPr>
        <w:ind w:left="8080" w:hanging="360"/>
      </w:pPr>
      <w:rPr>
        <w:rFonts w:hint="default"/>
        <w:lang w:val="en-US" w:eastAsia="en-US" w:bidi="ar-SA"/>
      </w:rPr>
    </w:lvl>
    <w:lvl w:ilvl="8">
      <w:start w:val="0"/>
      <w:numFmt w:val="bullet"/>
      <w:lvlText w:val="•"/>
      <w:lvlJc w:val="left"/>
      <w:pPr>
        <w:ind w:left="9100" w:hanging="360"/>
      </w:pPr>
      <w:rPr>
        <w:rFonts w:hint="default"/>
        <w:lang w:val="en-US" w:eastAsia="en-US" w:bidi="ar-SA"/>
      </w:rPr>
    </w:lvl>
  </w:abstractNum>
  <w:abstractNum w:abstractNumId="34">
    <w:multiLevelType w:val="hybridMultilevel"/>
    <w:lvl w:ilvl="0">
      <w:start w:val="0"/>
      <w:numFmt w:val="bullet"/>
      <w:lvlText w:val=""/>
      <w:lvlJc w:val="left"/>
      <w:pPr>
        <w:ind w:left="9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6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731" w:hanging="360"/>
      </w:pPr>
      <w:rPr>
        <w:rFonts w:hint="default"/>
        <w:lang w:val="en-US" w:eastAsia="en-US" w:bidi="ar-SA"/>
      </w:rPr>
    </w:lvl>
    <w:lvl w:ilvl="3">
      <w:start w:val="0"/>
      <w:numFmt w:val="bullet"/>
      <w:lvlText w:val="•"/>
      <w:lvlJc w:val="left"/>
      <w:pPr>
        <w:ind w:left="3782" w:hanging="360"/>
      </w:pPr>
      <w:rPr>
        <w:rFonts w:hint="default"/>
        <w:lang w:val="en-US" w:eastAsia="en-US" w:bidi="ar-SA"/>
      </w:rPr>
    </w:lvl>
    <w:lvl w:ilvl="4">
      <w:start w:val="0"/>
      <w:numFmt w:val="bullet"/>
      <w:lvlText w:val="•"/>
      <w:lvlJc w:val="left"/>
      <w:pPr>
        <w:ind w:left="4833" w:hanging="360"/>
      </w:pPr>
      <w:rPr>
        <w:rFonts w:hint="default"/>
        <w:lang w:val="en-US" w:eastAsia="en-US" w:bidi="ar-SA"/>
      </w:rPr>
    </w:lvl>
    <w:lvl w:ilvl="5">
      <w:start w:val="0"/>
      <w:numFmt w:val="bullet"/>
      <w:lvlText w:val="•"/>
      <w:lvlJc w:val="left"/>
      <w:pPr>
        <w:ind w:left="5884" w:hanging="360"/>
      </w:pPr>
      <w:rPr>
        <w:rFonts w:hint="default"/>
        <w:lang w:val="en-US" w:eastAsia="en-US" w:bidi="ar-SA"/>
      </w:rPr>
    </w:lvl>
    <w:lvl w:ilvl="6">
      <w:start w:val="0"/>
      <w:numFmt w:val="bullet"/>
      <w:lvlText w:val="•"/>
      <w:lvlJc w:val="left"/>
      <w:pPr>
        <w:ind w:left="6935" w:hanging="360"/>
      </w:pPr>
      <w:rPr>
        <w:rFonts w:hint="default"/>
        <w:lang w:val="en-US" w:eastAsia="en-US" w:bidi="ar-SA"/>
      </w:rPr>
    </w:lvl>
    <w:lvl w:ilvl="7">
      <w:start w:val="0"/>
      <w:numFmt w:val="bullet"/>
      <w:lvlText w:val="•"/>
      <w:lvlJc w:val="left"/>
      <w:pPr>
        <w:ind w:left="7986" w:hanging="360"/>
      </w:pPr>
      <w:rPr>
        <w:rFonts w:hint="default"/>
        <w:lang w:val="en-US" w:eastAsia="en-US" w:bidi="ar-SA"/>
      </w:rPr>
    </w:lvl>
    <w:lvl w:ilvl="8">
      <w:start w:val="0"/>
      <w:numFmt w:val="bullet"/>
      <w:lvlText w:val="•"/>
      <w:lvlJc w:val="left"/>
      <w:pPr>
        <w:ind w:left="9037" w:hanging="360"/>
      </w:pPr>
      <w:rPr>
        <w:rFonts w:hint="default"/>
        <w:lang w:val="en-US" w:eastAsia="en-US" w:bidi="ar-SA"/>
      </w:rPr>
    </w:lvl>
  </w:abstractNum>
  <w:abstractNum w:abstractNumId="33">
    <w:multiLevelType w:val="hybridMultilevel"/>
    <w:lvl w:ilvl="0">
      <w:start w:val="1"/>
      <w:numFmt w:val="decimal"/>
      <w:lvlText w:val="%1."/>
      <w:lvlJc w:val="left"/>
      <w:pPr>
        <w:ind w:left="9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978" w:hanging="360"/>
      </w:pPr>
      <w:rPr>
        <w:rFonts w:hint="default"/>
        <w:lang w:val="en-US" w:eastAsia="en-US" w:bidi="ar-SA"/>
      </w:rPr>
    </w:lvl>
    <w:lvl w:ilvl="2">
      <w:start w:val="0"/>
      <w:numFmt w:val="bullet"/>
      <w:lvlText w:val="•"/>
      <w:lvlJc w:val="left"/>
      <w:pPr>
        <w:ind w:left="2996" w:hanging="360"/>
      </w:pPr>
      <w:rPr>
        <w:rFonts w:hint="default"/>
        <w:lang w:val="en-US" w:eastAsia="en-US" w:bidi="ar-SA"/>
      </w:rPr>
    </w:lvl>
    <w:lvl w:ilvl="3">
      <w:start w:val="0"/>
      <w:numFmt w:val="bullet"/>
      <w:lvlText w:val="•"/>
      <w:lvlJc w:val="left"/>
      <w:pPr>
        <w:ind w:left="4014" w:hanging="360"/>
      </w:pPr>
      <w:rPr>
        <w:rFonts w:hint="default"/>
        <w:lang w:val="en-US" w:eastAsia="en-US" w:bidi="ar-SA"/>
      </w:rPr>
    </w:lvl>
    <w:lvl w:ilvl="4">
      <w:start w:val="0"/>
      <w:numFmt w:val="bullet"/>
      <w:lvlText w:val="•"/>
      <w:lvlJc w:val="left"/>
      <w:pPr>
        <w:ind w:left="5032" w:hanging="360"/>
      </w:pPr>
      <w:rPr>
        <w:rFonts w:hint="default"/>
        <w:lang w:val="en-US" w:eastAsia="en-US" w:bidi="ar-SA"/>
      </w:rPr>
    </w:lvl>
    <w:lvl w:ilvl="5">
      <w:start w:val="0"/>
      <w:numFmt w:val="bullet"/>
      <w:lvlText w:val="•"/>
      <w:lvlJc w:val="left"/>
      <w:pPr>
        <w:ind w:left="6050" w:hanging="360"/>
      </w:pPr>
      <w:rPr>
        <w:rFonts w:hint="default"/>
        <w:lang w:val="en-US" w:eastAsia="en-US" w:bidi="ar-SA"/>
      </w:rPr>
    </w:lvl>
    <w:lvl w:ilvl="6">
      <w:start w:val="0"/>
      <w:numFmt w:val="bullet"/>
      <w:lvlText w:val="•"/>
      <w:lvlJc w:val="left"/>
      <w:pPr>
        <w:ind w:left="7068" w:hanging="360"/>
      </w:pPr>
      <w:rPr>
        <w:rFonts w:hint="default"/>
        <w:lang w:val="en-US" w:eastAsia="en-US" w:bidi="ar-SA"/>
      </w:rPr>
    </w:lvl>
    <w:lvl w:ilvl="7">
      <w:start w:val="0"/>
      <w:numFmt w:val="bullet"/>
      <w:lvlText w:val="•"/>
      <w:lvlJc w:val="left"/>
      <w:pPr>
        <w:ind w:left="8086" w:hanging="360"/>
      </w:pPr>
      <w:rPr>
        <w:rFonts w:hint="default"/>
        <w:lang w:val="en-US" w:eastAsia="en-US" w:bidi="ar-SA"/>
      </w:rPr>
    </w:lvl>
    <w:lvl w:ilvl="8">
      <w:start w:val="0"/>
      <w:numFmt w:val="bullet"/>
      <w:lvlText w:val="•"/>
      <w:lvlJc w:val="left"/>
      <w:pPr>
        <w:ind w:left="9104" w:hanging="360"/>
      </w:pPr>
      <w:rPr>
        <w:rFonts w:hint="default"/>
        <w:lang w:val="en-US" w:eastAsia="en-US" w:bidi="ar-SA"/>
      </w:rPr>
    </w:lvl>
  </w:abstractNum>
  <w:abstractNum w:abstractNumId="32">
    <w:multiLevelType w:val="hybridMultilevel"/>
    <w:lvl w:ilvl="0">
      <w:start w:val="1"/>
      <w:numFmt w:val="upperLetter"/>
      <w:lvlText w:val="%1."/>
      <w:lvlJc w:val="left"/>
      <w:pPr>
        <w:ind w:left="1112" w:hanging="342"/>
        <w:jc w:val="left"/>
      </w:pPr>
      <w:rPr>
        <w:rFonts w:hint="default" w:ascii="Times New Roman" w:hAnsi="Times New Roman" w:eastAsia="Times New Roman" w:cs="Times New Roman"/>
        <w:b w:val="0"/>
        <w:bCs w:val="0"/>
        <w:i w:val="0"/>
        <w:iCs w:val="0"/>
        <w:spacing w:val="0"/>
        <w:w w:val="96"/>
        <w:sz w:val="23"/>
        <w:szCs w:val="23"/>
        <w:lang w:val="en-US" w:eastAsia="en-US" w:bidi="ar-SA"/>
      </w:rPr>
    </w:lvl>
    <w:lvl w:ilvl="1">
      <w:start w:val="0"/>
      <w:numFmt w:val="bullet"/>
      <w:lvlText w:val="•"/>
      <w:lvlJc w:val="left"/>
      <w:pPr>
        <w:ind w:left="1296" w:hanging="273"/>
      </w:pPr>
      <w:rPr>
        <w:rFonts w:hint="default" w:ascii="Times New Roman" w:hAnsi="Times New Roman" w:eastAsia="Times New Roman" w:cs="Times New Roman"/>
        <w:b w:val="0"/>
        <w:bCs w:val="0"/>
        <w:i w:val="0"/>
        <w:iCs w:val="0"/>
        <w:spacing w:val="0"/>
        <w:w w:val="103"/>
        <w:sz w:val="23"/>
        <w:szCs w:val="23"/>
        <w:lang w:val="en-US" w:eastAsia="en-US" w:bidi="ar-SA"/>
      </w:rPr>
    </w:lvl>
    <w:lvl w:ilvl="2">
      <w:start w:val="0"/>
      <w:numFmt w:val="bullet"/>
      <w:lvlText w:val="•"/>
      <w:lvlJc w:val="left"/>
      <w:pPr>
        <w:ind w:left="2393" w:hanging="273"/>
      </w:pPr>
      <w:rPr>
        <w:rFonts w:hint="default"/>
        <w:lang w:val="en-US" w:eastAsia="en-US" w:bidi="ar-SA"/>
      </w:rPr>
    </w:lvl>
    <w:lvl w:ilvl="3">
      <w:start w:val="0"/>
      <w:numFmt w:val="bullet"/>
      <w:lvlText w:val="•"/>
      <w:lvlJc w:val="left"/>
      <w:pPr>
        <w:ind w:left="3486" w:hanging="273"/>
      </w:pPr>
      <w:rPr>
        <w:rFonts w:hint="default"/>
        <w:lang w:val="en-US" w:eastAsia="en-US" w:bidi="ar-SA"/>
      </w:rPr>
    </w:lvl>
    <w:lvl w:ilvl="4">
      <w:start w:val="0"/>
      <w:numFmt w:val="bullet"/>
      <w:lvlText w:val="•"/>
      <w:lvlJc w:val="left"/>
      <w:pPr>
        <w:ind w:left="4580" w:hanging="273"/>
      </w:pPr>
      <w:rPr>
        <w:rFonts w:hint="default"/>
        <w:lang w:val="en-US" w:eastAsia="en-US" w:bidi="ar-SA"/>
      </w:rPr>
    </w:lvl>
    <w:lvl w:ilvl="5">
      <w:start w:val="0"/>
      <w:numFmt w:val="bullet"/>
      <w:lvlText w:val="•"/>
      <w:lvlJc w:val="left"/>
      <w:pPr>
        <w:ind w:left="5673" w:hanging="273"/>
      </w:pPr>
      <w:rPr>
        <w:rFonts w:hint="default"/>
        <w:lang w:val="en-US" w:eastAsia="en-US" w:bidi="ar-SA"/>
      </w:rPr>
    </w:lvl>
    <w:lvl w:ilvl="6">
      <w:start w:val="0"/>
      <w:numFmt w:val="bullet"/>
      <w:lvlText w:val="•"/>
      <w:lvlJc w:val="left"/>
      <w:pPr>
        <w:ind w:left="6766" w:hanging="273"/>
      </w:pPr>
      <w:rPr>
        <w:rFonts w:hint="default"/>
        <w:lang w:val="en-US" w:eastAsia="en-US" w:bidi="ar-SA"/>
      </w:rPr>
    </w:lvl>
    <w:lvl w:ilvl="7">
      <w:start w:val="0"/>
      <w:numFmt w:val="bullet"/>
      <w:lvlText w:val="•"/>
      <w:lvlJc w:val="left"/>
      <w:pPr>
        <w:ind w:left="7860" w:hanging="273"/>
      </w:pPr>
      <w:rPr>
        <w:rFonts w:hint="default"/>
        <w:lang w:val="en-US" w:eastAsia="en-US" w:bidi="ar-SA"/>
      </w:rPr>
    </w:lvl>
    <w:lvl w:ilvl="8">
      <w:start w:val="0"/>
      <w:numFmt w:val="bullet"/>
      <w:lvlText w:val="•"/>
      <w:lvlJc w:val="left"/>
      <w:pPr>
        <w:ind w:left="8953" w:hanging="273"/>
      </w:pPr>
      <w:rPr>
        <w:rFonts w:hint="default"/>
        <w:lang w:val="en-US" w:eastAsia="en-US" w:bidi="ar-SA"/>
      </w:rPr>
    </w:lvl>
  </w:abstractNum>
  <w:abstractNum w:abstractNumId="31">
    <w:multiLevelType w:val="hybridMultilevel"/>
    <w:lvl w:ilvl="0">
      <w:start w:val="1"/>
      <w:numFmt w:val="upperLetter"/>
      <w:lvlText w:val="%1."/>
      <w:lvlJc w:val="left"/>
      <w:pPr>
        <w:ind w:left="1172" w:hanging="356"/>
        <w:jc w:val="left"/>
      </w:pPr>
      <w:rPr>
        <w:rFonts w:hint="default" w:ascii="Times New Roman" w:hAnsi="Times New Roman" w:eastAsia="Times New Roman" w:cs="Times New Roman"/>
        <w:b w:val="0"/>
        <w:bCs w:val="0"/>
        <w:i w:val="0"/>
        <w:iCs w:val="0"/>
        <w:spacing w:val="0"/>
        <w:w w:val="100"/>
        <w:sz w:val="23"/>
        <w:szCs w:val="23"/>
        <w:lang w:val="en-US" w:eastAsia="en-US" w:bidi="ar-SA"/>
      </w:rPr>
    </w:lvl>
    <w:lvl w:ilvl="1">
      <w:start w:val="1"/>
      <w:numFmt w:val="decimal"/>
      <w:lvlText w:val="%2."/>
      <w:lvlJc w:val="left"/>
      <w:pPr>
        <w:ind w:left="1563" w:hanging="345"/>
        <w:jc w:val="left"/>
      </w:pPr>
      <w:rPr>
        <w:rFonts w:hint="default" w:ascii="Times New Roman" w:hAnsi="Times New Roman" w:eastAsia="Times New Roman" w:cs="Times New Roman"/>
        <w:b w:val="0"/>
        <w:bCs w:val="0"/>
        <w:i w:val="0"/>
        <w:iCs w:val="0"/>
        <w:spacing w:val="0"/>
        <w:w w:val="97"/>
        <w:sz w:val="22"/>
        <w:szCs w:val="22"/>
        <w:lang w:val="en-US" w:eastAsia="en-US" w:bidi="ar-SA"/>
      </w:rPr>
    </w:lvl>
    <w:lvl w:ilvl="2">
      <w:start w:val="0"/>
      <w:numFmt w:val="bullet"/>
      <w:lvlText w:val="•"/>
      <w:lvlJc w:val="left"/>
      <w:pPr>
        <w:ind w:left="2624" w:hanging="345"/>
      </w:pPr>
      <w:rPr>
        <w:rFonts w:hint="default"/>
        <w:lang w:val="en-US" w:eastAsia="en-US" w:bidi="ar-SA"/>
      </w:rPr>
    </w:lvl>
    <w:lvl w:ilvl="3">
      <w:start w:val="0"/>
      <w:numFmt w:val="bullet"/>
      <w:lvlText w:val="•"/>
      <w:lvlJc w:val="left"/>
      <w:pPr>
        <w:ind w:left="3688" w:hanging="345"/>
      </w:pPr>
      <w:rPr>
        <w:rFonts w:hint="default"/>
        <w:lang w:val="en-US" w:eastAsia="en-US" w:bidi="ar-SA"/>
      </w:rPr>
    </w:lvl>
    <w:lvl w:ilvl="4">
      <w:start w:val="0"/>
      <w:numFmt w:val="bullet"/>
      <w:lvlText w:val="•"/>
      <w:lvlJc w:val="left"/>
      <w:pPr>
        <w:ind w:left="4753" w:hanging="345"/>
      </w:pPr>
      <w:rPr>
        <w:rFonts w:hint="default"/>
        <w:lang w:val="en-US" w:eastAsia="en-US" w:bidi="ar-SA"/>
      </w:rPr>
    </w:lvl>
    <w:lvl w:ilvl="5">
      <w:start w:val="0"/>
      <w:numFmt w:val="bullet"/>
      <w:lvlText w:val="•"/>
      <w:lvlJc w:val="left"/>
      <w:pPr>
        <w:ind w:left="5817" w:hanging="345"/>
      </w:pPr>
      <w:rPr>
        <w:rFonts w:hint="default"/>
        <w:lang w:val="en-US" w:eastAsia="en-US" w:bidi="ar-SA"/>
      </w:rPr>
    </w:lvl>
    <w:lvl w:ilvl="6">
      <w:start w:val="0"/>
      <w:numFmt w:val="bullet"/>
      <w:lvlText w:val="•"/>
      <w:lvlJc w:val="left"/>
      <w:pPr>
        <w:ind w:left="6882" w:hanging="345"/>
      </w:pPr>
      <w:rPr>
        <w:rFonts w:hint="default"/>
        <w:lang w:val="en-US" w:eastAsia="en-US" w:bidi="ar-SA"/>
      </w:rPr>
    </w:lvl>
    <w:lvl w:ilvl="7">
      <w:start w:val="0"/>
      <w:numFmt w:val="bullet"/>
      <w:lvlText w:val="•"/>
      <w:lvlJc w:val="left"/>
      <w:pPr>
        <w:ind w:left="7946" w:hanging="345"/>
      </w:pPr>
      <w:rPr>
        <w:rFonts w:hint="default"/>
        <w:lang w:val="en-US" w:eastAsia="en-US" w:bidi="ar-SA"/>
      </w:rPr>
    </w:lvl>
    <w:lvl w:ilvl="8">
      <w:start w:val="0"/>
      <w:numFmt w:val="bullet"/>
      <w:lvlText w:val="•"/>
      <w:lvlJc w:val="left"/>
      <w:pPr>
        <w:ind w:left="9011" w:hanging="345"/>
      </w:pPr>
      <w:rPr>
        <w:rFonts w:hint="default"/>
        <w:lang w:val="en-US" w:eastAsia="en-US" w:bidi="ar-SA"/>
      </w:rPr>
    </w:lvl>
  </w:abstractNum>
  <w:abstractNum w:abstractNumId="30">
    <w:multiLevelType w:val="hybridMultilevel"/>
    <w:lvl w:ilvl="0">
      <w:start w:val="1"/>
      <w:numFmt w:val="decimal"/>
      <w:lvlText w:val="%1."/>
      <w:lvlJc w:val="left"/>
      <w:pPr>
        <w:ind w:left="934" w:hanging="270"/>
        <w:jc w:val="left"/>
      </w:pPr>
      <w:rPr>
        <w:rFonts w:hint="default" w:ascii="Times New Roman" w:hAnsi="Times New Roman" w:eastAsia="Times New Roman" w:cs="Times New Roman"/>
        <w:b w:val="0"/>
        <w:bCs w:val="0"/>
        <w:i w:val="0"/>
        <w:iCs w:val="0"/>
        <w:spacing w:val="0"/>
        <w:w w:val="109"/>
        <w:sz w:val="23"/>
        <w:szCs w:val="23"/>
        <w:lang w:val="en-US" w:eastAsia="en-US" w:bidi="ar-SA"/>
      </w:rPr>
    </w:lvl>
    <w:lvl w:ilvl="1">
      <w:start w:val="1"/>
      <w:numFmt w:val="lowerLetter"/>
      <w:lvlText w:val="%2."/>
      <w:lvlJc w:val="left"/>
      <w:pPr>
        <w:ind w:left="1664" w:hanging="281"/>
        <w:jc w:val="left"/>
      </w:pPr>
      <w:rPr>
        <w:rFonts w:hint="default" w:ascii="Times New Roman" w:hAnsi="Times New Roman" w:eastAsia="Times New Roman" w:cs="Times New Roman"/>
        <w:b w:val="0"/>
        <w:bCs w:val="0"/>
        <w:i w:val="0"/>
        <w:iCs w:val="0"/>
        <w:spacing w:val="0"/>
        <w:w w:val="105"/>
        <w:sz w:val="23"/>
        <w:szCs w:val="23"/>
        <w:lang w:val="en-US" w:eastAsia="en-US" w:bidi="ar-SA"/>
      </w:rPr>
    </w:lvl>
    <w:lvl w:ilvl="2">
      <w:start w:val="0"/>
      <w:numFmt w:val="bullet"/>
      <w:lvlText w:val="•"/>
      <w:lvlJc w:val="left"/>
      <w:pPr>
        <w:ind w:left="2713" w:hanging="281"/>
      </w:pPr>
      <w:rPr>
        <w:rFonts w:hint="default"/>
        <w:lang w:val="en-US" w:eastAsia="en-US" w:bidi="ar-SA"/>
      </w:rPr>
    </w:lvl>
    <w:lvl w:ilvl="3">
      <w:start w:val="0"/>
      <w:numFmt w:val="bullet"/>
      <w:lvlText w:val="•"/>
      <w:lvlJc w:val="left"/>
      <w:pPr>
        <w:ind w:left="3766" w:hanging="281"/>
      </w:pPr>
      <w:rPr>
        <w:rFonts w:hint="default"/>
        <w:lang w:val="en-US" w:eastAsia="en-US" w:bidi="ar-SA"/>
      </w:rPr>
    </w:lvl>
    <w:lvl w:ilvl="4">
      <w:start w:val="0"/>
      <w:numFmt w:val="bullet"/>
      <w:lvlText w:val="•"/>
      <w:lvlJc w:val="left"/>
      <w:pPr>
        <w:ind w:left="4820" w:hanging="281"/>
      </w:pPr>
      <w:rPr>
        <w:rFonts w:hint="default"/>
        <w:lang w:val="en-US" w:eastAsia="en-US" w:bidi="ar-SA"/>
      </w:rPr>
    </w:lvl>
    <w:lvl w:ilvl="5">
      <w:start w:val="0"/>
      <w:numFmt w:val="bullet"/>
      <w:lvlText w:val="•"/>
      <w:lvlJc w:val="left"/>
      <w:pPr>
        <w:ind w:left="5873" w:hanging="281"/>
      </w:pPr>
      <w:rPr>
        <w:rFonts w:hint="default"/>
        <w:lang w:val="en-US" w:eastAsia="en-US" w:bidi="ar-SA"/>
      </w:rPr>
    </w:lvl>
    <w:lvl w:ilvl="6">
      <w:start w:val="0"/>
      <w:numFmt w:val="bullet"/>
      <w:lvlText w:val="•"/>
      <w:lvlJc w:val="left"/>
      <w:pPr>
        <w:ind w:left="6926" w:hanging="281"/>
      </w:pPr>
      <w:rPr>
        <w:rFonts w:hint="default"/>
        <w:lang w:val="en-US" w:eastAsia="en-US" w:bidi="ar-SA"/>
      </w:rPr>
    </w:lvl>
    <w:lvl w:ilvl="7">
      <w:start w:val="0"/>
      <w:numFmt w:val="bullet"/>
      <w:lvlText w:val="•"/>
      <w:lvlJc w:val="left"/>
      <w:pPr>
        <w:ind w:left="7980" w:hanging="281"/>
      </w:pPr>
      <w:rPr>
        <w:rFonts w:hint="default"/>
        <w:lang w:val="en-US" w:eastAsia="en-US" w:bidi="ar-SA"/>
      </w:rPr>
    </w:lvl>
    <w:lvl w:ilvl="8">
      <w:start w:val="0"/>
      <w:numFmt w:val="bullet"/>
      <w:lvlText w:val="•"/>
      <w:lvlJc w:val="left"/>
      <w:pPr>
        <w:ind w:left="9033" w:hanging="281"/>
      </w:pPr>
      <w:rPr>
        <w:rFonts w:hint="default"/>
        <w:lang w:val="en-US" w:eastAsia="en-US" w:bidi="ar-SA"/>
      </w:rPr>
    </w:lvl>
  </w:abstractNum>
  <w:abstractNum w:abstractNumId="29">
    <w:multiLevelType w:val="hybridMultilevel"/>
    <w:lvl w:ilvl="0">
      <w:start w:val="2"/>
      <w:numFmt w:val="decimal"/>
      <w:lvlText w:val="%1."/>
      <w:lvlJc w:val="left"/>
      <w:pPr>
        <w:ind w:left="1022" w:hanging="359"/>
        <w:jc w:val="left"/>
      </w:pPr>
      <w:rPr>
        <w:rFonts w:hint="default"/>
        <w:spacing w:val="0"/>
        <w:w w:val="107"/>
        <w:lang w:val="en-US" w:eastAsia="en-US" w:bidi="ar-SA"/>
      </w:rPr>
    </w:lvl>
    <w:lvl w:ilvl="1">
      <w:start w:val="1"/>
      <w:numFmt w:val="lowerLetter"/>
      <w:lvlText w:val="%2."/>
      <w:lvlJc w:val="left"/>
      <w:pPr>
        <w:ind w:left="1692" w:hanging="266"/>
        <w:jc w:val="left"/>
      </w:pPr>
      <w:rPr>
        <w:rFonts w:hint="default"/>
        <w:spacing w:val="0"/>
        <w:w w:val="105"/>
        <w:lang w:val="en-US" w:eastAsia="en-US" w:bidi="ar-SA"/>
      </w:rPr>
    </w:lvl>
    <w:lvl w:ilvl="2">
      <w:start w:val="0"/>
      <w:numFmt w:val="bullet"/>
      <w:lvlText w:val="•"/>
      <w:lvlJc w:val="left"/>
      <w:pPr>
        <w:ind w:left="1700" w:hanging="266"/>
      </w:pPr>
      <w:rPr>
        <w:rFonts w:hint="default"/>
        <w:lang w:val="en-US" w:eastAsia="en-US" w:bidi="ar-SA"/>
      </w:rPr>
    </w:lvl>
    <w:lvl w:ilvl="3">
      <w:start w:val="0"/>
      <w:numFmt w:val="bullet"/>
      <w:lvlText w:val="•"/>
      <w:lvlJc w:val="left"/>
      <w:pPr>
        <w:ind w:left="2880" w:hanging="266"/>
      </w:pPr>
      <w:rPr>
        <w:rFonts w:hint="default"/>
        <w:lang w:val="en-US" w:eastAsia="en-US" w:bidi="ar-SA"/>
      </w:rPr>
    </w:lvl>
    <w:lvl w:ilvl="4">
      <w:start w:val="0"/>
      <w:numFmt w:val="bullet"/>
      <w:lvlText w:val="•"/>
      <w:lvlJc w:val="left"/>
      <w:pPr>
        <w:ind w:left="4060" w:hanging="266"/>
      </w:pPr>
      <w:rPr>
        <w:rFonts w:hint="default"/>
        <w:lang w:val="en-US" w:eastAsia="en-US" w:bidi="ar-SA"/>
      </w:rPr>
    </w:lvl>
    <w:lvl w:ilvl="5">
      <w:start w:val="0"/>
      <w:numFmt w:val="bullet"/>
      <w:lvlText w:val="•"/>
      <w:lvlJc w:val="left"/>
      <w:pPr>
        <w:ind w:left="5240" w:hanging="266"/>
      </w:pPr>
      <w:rPr>
        <w:rFonts w:hint="default"/>
        <w:lang w:val="en-US" w:eastAsia="en-US" w:bidi="ar-SA"/>
      </w:rPr>
    </w:lvl>
    <w:lvl w:ilvl="6">
      <w:start w:val="0"/>
      <w:numFmt w:val="bullet"/>
      <w:lvlText w:val="•"/>
      <w:lvlJc w:val="left"/>
      <w:pPr>
        <w:ind w:left="6420" w:hanging="266"/>
      </w:pPr>
      <w:rPr>
        <w:rFonts w:hint="default"/>
        <w:lang w:val="en-US" w:eastAsia="en-US" w:bidi="ar-SA"/>
      </w:rPr>
    </w:lvl>
    <w:lvl w:ilvl="7">
      <w:start w:val="0"/>
      <w:numFmt w:val="bullet"/>
      <w:lvlText w:val="•"/>
      <w:lvlJc w:val="left"/>
      <w:pPr>
        <w:ind w:left="7600" w:hanging="266"/>
      </w:pPr>
      <w:rPr>
        <w:rFonts w:hint="default"/>
        <w:lang w:val="en-US" w:eastAsia="en-US" w:bidi="ar-SA"/>
      </w:rPr>
    </w:lvl>
    <w:lvl w:ilvl="8">
      <w:start w:val="0"/>
      <w:numFmt w:val="bullet"/>
      <w:lvlText w:val="•"/>
      <w:lvlJc w:val="left"/>
      <w:pPr>
        <w:ind w:left="8780" w:hanging="266"/>
      </w:pPr>
      <w:rPr>
        <w:rFonts w:hint="default"/>
        <w:lang w:val="en-US" w:eastAsia="en-US" w:bidi="ar-SA"/>
      </w:rPr>
    </w:lvl>
  </w:abstractNum>
  <w:abstractNum w:abstractNumId="28">
    <w:multiLevelType w:val="hybridMultilevel"/>
    <w:lvl w:ilvl="0">
      <w:start w:val="0"/>
      <w:numFmt w:val="bullet"/>
      <w:lvlText w:val="•"/>
      <w:lvlJc w:val="left"/>
      <w:pPr>
        <w:ind w:left="950" w:hanging="273"/>
      </w:pPr>
      <w:rPr>
        <w:rFonts w:hint="default" w:ascii="Times New Roman" w:hAnsi="Times New Roman" w:eastAsia="Times New Roman" w:cs="Times New Roman"/>
        <w:b w:val="0"/>
        <w:bCs w:val="0"/>
        <w:i w:val="0"/>
        <w:iCs w:val="0"/>
        <w:spacing w:val="0"/>
        <w:w w:val="101"/>
        <w:sz w:val="23"/>
        <w:szCs w:val="23"/>
        <w:lang w:val="en-US" w:eastAsia="en-US" w:bidi="ar-SA"/>
      </w:rPr>
    </w:lvl>
    <w:lvl w:ilvl="1">
      <w:start w:val="0"/>
      <w:numFmt w:val="bullet"/>
      <w:lvlText w:val="•"/>
      <w:lvlJc w:val="left"/>
      <w:pPr>
        <w:ind w:left="1978" w:hanging="273"/>
      </w:pPr>
      <w:rPr>
        <w:rFonts w:hint="default"/>
        <w:lang w:val="en-US" w:eastAsia="en-US" w:bidi="ar-SA"/>
      </w:rPr>
    </w:lvl>
    <w:lvl w:ilvl="2">
      <w:start w:val="0"/>
      <w:numFmt w:val="bullet"/>
      <w:lvlText w:val="•"/>
      <w:lvlJc w:val="left"/>
      <w:pPr>
        <w:ind w:left="2996" w:hanging="273"/>
      </w:pPr>
      <w:rPr>
        <w:rFonts w:hint="default"/>
        <w:lang w:val="en-US" w:eastAsia="en-US" w:bidi="ar-SA"/>
      </w:rPr>
    </w:lvl>
    <w:lvl w:ilvl="3">
      <w:start w:val="0"/>
      <w:numFmt w:val="bullet"/>
      <w:lvlText w:val="•"/>
      <w:lvlJc w:val="left"/>
      <w:pPr>
        <w:ind w:left="4014" w:hanging="273"/>
      </w:pPr>
      <w:rPr>
        <w:rFonts w:hint="default"/>
        <w:lang w:val="en-US" w:eastAsia="en-US" w:bidi="ar-SA"/>
      </w:rPr>
    </w:lvl>
    <w:lvl w:ilvl="4">
      <w:start w:val="0"/>
      <w:numFmt w:val="bullet"/>
      <w:lvlText w:val="•"/>
      <w:lvlJc w:val="left"/>
      <w:pPr>
        <w:ind w:left="5032" w:hanging="273"/>
      </w:pPr>
      <w:rPr>
        <w:rFonts w:hint="default"/>
        <w:lang w:val="en-US" w:eastAsia="en-US" w:bidi="ar-SA"/>
      </w:rPr>
    </w:lvl>
    <w:lvl w:ilvl="5">
      <w:start w:val="0"/>
      <w:numFmt w:val="bullet"/>
      <w:lvlText w:val="•"/>
      <w:lvlJc w:val="left"/>
      <w:pPr>
        <w:ind w:left="6050" w:hanging="273"/>
      </w:pPr>
      <w:rPr>
        <w:rFonts w:hint="default"/>
        <w:lang w:val="en-US" w:eastAsia="en-US" w:bidi="ar-SA"/>
      </w:rPr>
    </w:lvl>
    <w:lvl w:ilvl="6">
      <w:start w:val="0"/>
      <w:numFmt w:val="bullet"/>
      <w:lvlText w:val="•"/>
      <w:lvlJc w:val="left"/>
      <w:pPr>
        <w:ind w:left="7068" w:hanging="273"/>
      </w:pPr>
      <w:rPr>
        <w:rFonts w:hint="default"/>
        <w:lang w:val="en-US" w:eastAsia="en-US" w:bidi="ar-SA"/>
      </w:rPr>
    </w:lvl>
    <w:lvl w:ilvl="7">
      <w:start w:val="0"/>
      <w:numFmt w:val="bullet"/>
      <w:lvlText w:val="•"/>
      <w:lvlJc w:val="left"/>
      <w:pPr>
        <w:ind w:left="8086" w:hanging="273"/>
      </w:pPr>
      <w:rPr>
        <w:rFonts w:hint="default"/>
        <w:lang w:val="en-US" w:eastAsia="en-US" w:bidi="ar-SA"/>
      </w:rPr>
    </w:lvl>
    <w:lvl w:ilvl="8">
      <w:start w:val="0"/>
      <w:numFmt w:val="bullet"/>
      <w:lvlText w:val="•"/>
      <w:lvlJc w:val="left"/>
      <w:pPr>
        <w:ind w:left="9104" w:hanging="273"/>
      </w:pPr>
      <w:rPr>
        <w:rFonts w:hint="default"/>
        <w:lang w:val="en-US" w:eastAsia="en-US" w:bidi="ar-SA"/>
      </w:rPr>
    </w:lvl>
  </w:abstractNum>
  <w:abstractNum w:abstractNumId="27">
    <w:multiLevelType w:val="hybridMultilevel"/>
    <w:lvl w:ilvl="0">
      <w:start w:val="1"/>
      <w:numFmt w:val="decimal"/>
      <w:lvlText w:val="%1."/>
      <w:lvlJc w:val="left"/>
      <w:pPr>
        <w:ind w:left="15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76" w:hanging="360"/>
      </w:pPr>
      <w:rPr>
        <w:rFonts w:hint="default"/>
        <w:lang w:val="en-US" w:eastAsia="en-US" w:bidi="ar-SA"/>
      </w:rPr>
    </w:lvl>
    <w:lvl w:ilvl="3">
      <w:start w:val="0"/>
      <w:numFmt w:val="bullet"/>
      <w:lvlText w:val="•"/>
      <w:lvlJc w:val="left"/>
      <w:pPr>
        <w:ind w:left="4434" w:hanging="360"/>
      </w:pPr>
      <w:rPr>
        <w:rFonts w:hint="default"/>
        <w:lang w:val="en-US" w:eastAsia="en-US" w:bidi="ar-SA"/>
      </w:rPr>
    </w:lvl>
    <w:lvl w:ilvl="4">
      <w:start w:val="0"/>
      <w:numFmt w:val="bullet"/>
      <w:lvlText w:val="•"/>
      <w:lvlJc w:val="left"/>
      <w:pPr>
        <w:ind w:left="5392"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26">
    <w:multiLevelType w:val="hybridMultilevel"/>
    <w:lvl w:ilvl="0">
      <w:start w:val="0"/>
      <w:numFmt w:val="bullet"/>
      <w:lvlText w:val=""/>
      <w:lvlJc w:val="left"/>
      <w:pPr>
        <w:ind w:left="1612" w:hanging="360"/>
      </w:pPr>
      <w:rPr>
        <w:rFonts w:hint="default" w:ascii="Symbol" w:hAnsi="Symbol" w:eastAsia="Symbol" w:cs="Symbol"/>
        <w:spacing w:val="0"/>
        <w:w w:val="99"/>
        <w:lang w:val="en-US" w:eastAsia="en-US" w:bidi="ar-SA"/>
      </w:rPr>
    </w:lvl>
    <w:lvl w:ilvl="1">
      <w:start w:val="0"/>
      <w:numFmt w:val="bullet"/>
      <w:lvlText w:val="•"/>
      <w:lvlJc w:val="left"/>
      <w:pPr>
        <w:ind w:left="2572" w:hanging="360"/>
      </w:pPr>
      <w:rPr>
        <w:rFonts w:hint="default"/>
        <w:lang w:val="en-US" w:eastAsia="en-US" w:bidi="ar-SA"/>
      </w:rPr>
    </w:lvl>
    <w:lvl w:ilvl="2">
      <w:start w:val="0"/>
      <w:numFmt w:val="bullet"/>
      <w:lvlText w:val="•"/>
      <w:lvlJc w:val="left"/>
      <w:pPr>
        <w:ind w:left="3524" w:hanging="360"/>
      </w:pPr>
      <w:rPr>
        <w:rFonts w:hint="default"/>
        <w:lang w:val="en-US" w:eastAsia="en-US" w:bidi="ar-SA"/>
      </w:rPr>
    </w:lvl>
    <w:lvl w:ilvl="3">
      <w:start w:val="0"/>
      <w:numFmt w:val="bullet"/>
      <w:lvlText w:val="•"/>
      <w:lvlJc w:val="left"/>
      <w:pPr>
        <w:ind w:left="4476" w:hanging="360"/>
      </w:pPr>
      <w:rPr>
        <w:rFonts w:hint="default"/>
        <w:lang w:val="en-US" w:eastAsia="en-US" w:bidi="ar-SA"/>
      </w:rPr>
    </w:lvl>
    <w:lvl w:ilvl="4">
      <w:start w:val="0"/>
      <w:numFmt w:val="bullet"/>
      <w:lvlText w:val="•"/>
      <w:lvlJc w:val="left"/>
      <w:pPr>
        <w:ind w:left="5428" w:hanging="360"/>
      </w:pPr>
      <w:rPr>
        <w:rFonts w:hint="default"/>
        <w:lang w:val="en-US" w:eastAsia="en-US" w:bidi="ar-SA"/>
      </w:rPr>
    </w:lvl>
    <w:lvl w:ilvl="5">
      <w:start w:val="0"/>
      <w:numFmt w:val="bullet"/>
      <w:lvlText w:val="•"/>
      <w:lvlJc w:val="left"/>
      <w:pPr>
        <w:ind w:left="6380" w:hanging="360"/>
      </w:pPr>
      <w:rPr>
        <w:rFonts w:hint="default"/>
        <w:lang w:val="en-US" w:eastAsia="en-US" w:bidi="ar-SA"/>
      </w:rPr>
    </w:lvl>
    <w:lvl w:ilvl="6">
      <w:start w:val="0"/>
      <w:numFmt w:val="bullet"/>
      <w:lvlText w:val="•"/>
      <w:lvlJc w:val="left"/>
      <w:pPr>
        <w:ind w:left="7332"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236" w:hanging="360"/>
      </w:pPr>
      <w:rPr>
        <w:rFonts w:hint="default"/>
        <w:lang w:val="en-US" w:eastAsia="en-US" w:bidi="ar-SA"/>
      </w:rPr>
    </w:lvl>
  </w:abstractNum>
  <w:abstractNum w:abstractNumId="25">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76" w:hanging="360"/>
      </w:pPr>
      <w:rPr>
        <w:rFonts w:hint="default"/>
        <w:lang w:val="en-US" w:eastAsia="en-US" w:bidi="ar-SA"/>
      </w:rPr>
    </w:lvl>
    <w:lvl w:ilvl="3">
      <w:start w:val="0"/>
      <w:numFmt w:val="bullet"/>
      <w:lvlText w:val="•"/>
      <w:lvlJc w:val="left"/>
      <w:pPr>
        <w:ind w:left="4434" w:hanging="360"/>
      </w:pPr>
      <w:rPr>
        <w:rFonts w:hint="default"/>
        <w:lang w:val="en-US" w:eastAsia="en-US" w:bidi="ar-SA"/>
      </w:rPr>
    </w:lvl>
    <w:lvl w:ilvl="4">
      <w:start w:val="0"/>
      <w:numFmt w:val="bullet"/>
      <w:lvlText w:val="•"/>
      <w:lvlJc w:val="left"/>
      <w:pPr>
        <w:ind w:left="5392"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24">
    <w:multiLevelType w:val="hybridMultilevel"/>
    <w:lvl w:ilvl="0">
      <w:start w:val="1"/>
      <w:numFmt w:val="upperLetter"/>
      <w:lvlText w:val="%1."/>
      <w:lvlJc w:val="left"/>
      <w:pPr>
        <w:ind w:left="1200" w:hanging="360"/>
        <w:jc w:val="right"/>
      </w:pPr>
      <w:rPr>
        <w:rFonts w:hint="default"/>
        <w:spacing w:val="0"/>
        <w:w w:val="88"/>
        <w:lang w:val="en-US" w:eastAsia="en-US" w:bidi="ar-SA"/>
      </w:rPr>
    </w:lvl>
    <w:lvl w:ilvl="1">
      <w:start w:val="1"/>
      <w:numFmt w:val="decimal"/>
      <w:lvlText w:val="%2."/>
      <w:lvlJc w:val="left"/>
      <w:pPr>
        <w:ind w:left="1470" w:hanging="346"/>
        <w:jc w:val="left"/>
      </w:pPr>
      <w:rPr>
        <w:rFonts w:hint="default"/>
        <w:spacing w:val="-1"/>
        <w:w w:val="101"/>
        <w:lang w:val="en-US" w:eastAsia="en-US" w:bidi="ar-SA"/>
      </w:rPr>
    </w:lvl>
    <w:lvl w:ilvl="2">
      <w:start w:val="0"/>
      <w:numFmt w:val="bullet"/>
      <w:lvlText w:val=""/>
      <w:lvlJc w:val="left"/>
      <w:pPr>
        <w:ind w:left="1560" w:hanging="346"/>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o"/>
      <w:lvlJc w:val="left"/>
      <w:pPr>
        <w:ind w:left="2280" w:hanging="346"/>
      </w:pPr>
      <w:rPr>
        <w:rFonts w:hint="default" w:ascii="Courier New" w:hAnsi="Courier New" w:eastAsia="Courier New" w:cs="Courier New"/>
        <w:b w:val="0"/>
        <w:bCs w:val="0"/>
        <w:i w:val="0"/>
        <w:iCs w:val="0"/>
        <w:spacing w:val="0"/>
        <w:w w:val="100"/>
        <w:sz w:val="24"/>
        <w:szCs w:val="24"/>
        <w:lang w:val="en-US" w:eastAsia="en-US" w:bidi="ar-SA"/>
      </w:rPr>
    </w:lvl>
    <w:lvl w:ilvl="4">
      <w:start w:val="0"/>
      <w:numFmt w:val="bullet"/>
      <w:lvlText w:val="•"/>
      <w:lvlJc w:val="left"/>
      <w:pPr>
        <w:ind w:left="3545" w:hanging="346"/>
      </w:pPr>
      <w:rPr>
        <w:rFonts w:hint="default"/>
        <w:lang w:val="en-US" w:eastAsia="en-US" w:bidi="ar-SA"/>
      </w:rPr>
    </w:lvl>
    <w:lvl w:ilvl="5">
      <w:start w:val="0"/>
      <w:numFmt w:val="bullet"/>
      <w:lvlText w:val="•"/>
      <w:lvlJc w:val="left"/>
      <w:pPr>
        <w:ind w:left="4811" w:hanging="346"/>
      </w:pPr>
      <w:rPr>
        <w:rFonts w:hint="default"/>
        <w:lang w:val="en-US" w:eastAsia="en-US" w:bidi="ar-SA"/>
      </w:rPr>
    </w:lvl>
    <w:lvl w:ilvl="6">
      <w:start w:val="0"/>
      <w:numFmt w:val="bullet"/>
      <w:lvlText w:val="•"/>
      <w:lvlJc w:val="left"/>
      <w:pPr>
        <w:ind w:left="6077" w:hanging="346"/>
      </w:pPr>
      <w:rPr>
        <w:rFonts w:hint="default"/>
        <w:lang w:val="en-US" w:eastAsia="en-US" w:bidi="ar-SA"/>
      </w:rPr>
    </w:lvl>
    <w:lvl w:ilvl="7">
      <w:start w:val="0"/>
      <w:numFmt w:val="bullet"/>
      <w:lvlText w:val="•"/>
      <w:lvlJc w:val="left"/>
      <w:pPr>
        <w:ind w:left="7342" w:hanging="346"/>
      </w:pPr>
      <w:rPr>
        <w:rFonts w:hint="default"/>
        <w:lang w:val="en-US" w:eastAsia="en-US" w:bidi="ar-SA"/>
      </w:rPr>
    </w:lvl>
    <w:lvl w:ilvl="8">
      <w:start w:val="0"/>
      <w:numFmt w:val="bullet"/>
      <w:lvlText w:val="•"/>
      <w:lvlJc w:val="left"/>
      <w:pPr>
        <w:ind w:left="8608" w:hanging="346"/>
      </w:pPr>
      <w:rPr>
        <w:rFonts w:hint="default"/>
        <w:lang w:val="en-US" w:eastAsia="en-US" w:bidi="ar-SA"/>
      </w:rPr>
    </w:lvl>
  </w:abstractNum>
  <w:abstractNum w:abstractNumId="23">
    <w:multiLevelType w:val="hybridMultilevel"/>
    <w:lvl w:ilvl="0">
      <w:start w:val="0"/>
      <w:numFmt w:val="bullet"/>
      <w:lvlText w:val="•"/>
      <w:lvlJc w:val="left"/>
      <w:pPr>
        <w:ind w:left="2280"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3166" w:hanging="360"/>
      </w:pPr>
      <w:rPr>
        <w:rFonts w:hint="default"/>
        <w:lang w:val="en-US" w:eastAsia="en-US" w:bidi="ar-SA"/>
      </w:rPr>
    </w:lvl>
    <w:lvl w:ilvl="2">
      <w:start w:val="0"/>
      <w:numFmt w:val="bullet"/>
      <w:lvlText w:val="•"/>
      <w:lvlJc w:val="left"/>
      <w:pPr>
        <w:ind w:left="4052" w:hanging="360"/>
      </w:pPr>
      <w:rPr>
        <w:rFonts w:hint="default"/>
        <w:lang w:val="en-US" w:eastAsia="en-US" w:bidi="ar-SA"/>
      </w:rPr>
    </w:lvl>
    <w:lvl w:ilvl="3">
      <w:start w:val="0"/>
      <w:numFmt w:val="bullet"/>
      <w:lvlText w:val="•"/>
      <w:lvlJc w:val="left"/>
      <w:pPr>
        <w:ind w:left="4938" w:hanging="360"/>
      </w:pPr>
      <w:rPr>
        <w:rFonts w:hint="default"/>
        <w:lang w:val="en-US" w:eastAsia="en-US" w:bidi="ar-SA"/>
      </w:rPr>
    </w:lvl>
    <w:lvl w:ilvl="4">
      <w:start w:val="0"/>
      <w:numFmt w:val="bullet"/>
      <w:lvlText w:val="•"/>
      <w:lvlJc w:val="left"/>
      <w:pPr>
        <w:ind w:left="5824" w:hanging="360"/>
      </w:pPr>
      <w:rPr>
        <w:rFonts w:hint="default"/>
        <w:lang w:val="en-US" w:eastAsia="en-US" w:bidi="ar-SA"/>
      </w:rPr>
    </w:lvl>
    <w:lvl w:ilvl="5">
      <w:start w:val="0"/>
      <w:numFmt w:val="bullet"/>
      <w:lvlText w:val="•"/>
      <w:lvlJc w:val="left"/>
      <w:pPr>
        <w:ind w:left="6710" w:hanging="360"/>
      </w:pPr>
      <w:rPr>
        <w:rFonts w:hint="default"/>
        <w:lang w:val="en-US" w:eastAsia="en-US" w:bidi="ar-SA"/>
      </w:rPr>
    </w:lvl>
    <w:lvl w:ilvl="6">
      <w:start w:val="0"/>
      <w:numFmt w:val="bullet"/>
      <w:lvlText w:val="•"/>
      <w:lvlJc w:val="left"/>
      <w:pPr>
        <w:ind w:left="7596" w:hanging="360"/>
      </w:pPr>
      <w:rPr>
        <w:rFonts w:hint="default"/>
        <w:lang w:val="en-US" w:eastAsia="en-US" w:bidi="ar-SA"/>
      </w:rPr>
    </w:lvl>
    <w:lvl w:ilvl="7">
      <w:start w:val="0"/>
      <w:numFmt w:val="bullet"/>
      <w:lvlText w:val="•"/>
      <w:lvlJc w:val="left"/>
      <w:pPr>
        <w:ind w:left="8482" w:hanging="360"/>
      </w:pPr>
      <w:rPr>
        <w:rFonts w:hint="default"/>
        <w:lang w:val="en-US" w:eastAsia="en-US" w:bidi="ar-SA"/>
      </w:rPr>
    </w:lvl>
    <w:lvl w:ilvl="8">
      <w:start w:val="0"/>
      <w:numFmt w:val="bullet"/>
      <w:lvlText w:val="•"/>
      <w:lvlJc w:val="left"/>
      <w:pPr>
        <w:ind w:left="9368" w:hanging="360"/>
      </w:pPr>
      <w:rPr>
        <w:rFonts w:hint="default"/>
        <w:lang w:val="en-US" w:eastAsia="en-US" w:bidi="ar-SA"/>
      </w:rPr>
    </w:lvl>
  </w:abstractNum>
  <w:abstractNum w:abstractNumId="22">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2280"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3264" w:hanging="360"/>
      </w:pPr>
      <w:rPr>
        <w:rFonts w:hint="default"/>
        <w:lang w:val="en-US" w:eastAsia="en-US" w:bidi="ar-SA"/>
      </w:rPr>
    </w:lvl>
    <w:lvl w:ilvl="3">
      <w:start w:val="0"/>
      <w:numFmt w:val="bullet"/>
      <w:lvlText w:val="•"/>
      <w:lvlJc w:val="left"/>
      <w:pPr>
        <w:ind w:left="4248" w:hanging="360"/>
      </w:pPr>
      <w:rPr>
        <w:rFonts w:hint="default"/>
        <w:lang w:val="en-US" w:eastAsia="en-US" w:bidi="ar-SA"/>
      </w:rPr>
    </w:lvl>
    <w:lvl w:ilvl="4">
      <w:start w:val="0"/>
      <w:numFmt w:val="bullet"/>
      <w:lvlText w:val="•"/>
      <w:lvlJc w:val="left"/>
      <w:pPr>
        <w:ind w:left="5233" w:hanging="360"/>
      </w:pPr>
      <w:rPr>
        <w:rFonts w:hint="default"/>
        <w:lang w:val="en-US" w:eastAsia="en-US" w:bidi="ar-SA"/>
      </w:rPr>
    </w:lvl>
    <w:lvl w:ilvl="5">
      <w:start w:val="0"/>
      <w:numFmt w:val="bullet"/>
      <w:lvlText w:val="•"/>
      <w:lvlJc w:val="left"/>
      <w:pPr>
        <w:ind w:left="6217" w:hanging="360"/>
      </w:pPr>
      <w:rPr>
        <w:rFonts w:hint="default"/>
        <w:lang w:val="en-US" w:eastAsia="en-US" w:bidi="ar-SA"/>
      </w:rPr>
    </w:lvl>
    <w:lvl w:ilvl="6">
      <w:start w:val="0"/>
      <w:numFmt w:val="bullet"/>
      <w:lvlText w:val="•"/>
      <w:lvlJc w:val="left"/>
      <w:pPr>
        <w:ind w:left="7202"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171" w:hanging="360"/>
      </w:pPr>
      <w:rPr>
        <w:rFonts w:hint="default"/>
        <w:lang w:val="en-US" w:eastAsia="en-US" w:bidi="ar-SA"/>
      </w:rPr>
    </w:lvl>
  </w:abstractNum>
  <w:abstractNum w:abstractNumId="21">
    <w:multiLevelType w:val="hybridMultilevel"/>
    <w:lvl w:ilvl="0">
      <w:start w:val="0"/>
      <w:numFmt w:val="bullet"/>
      <w:lvlText w:val=""/>
      <w:lvlJc w:val="left"/>
      <w:pPr>
        <w:ind w:left="19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42" w:hanging="360"/>
      </w:pPr>
      <w:rPr>
        <w:rFonts w:hint="default"/>
        <w:lang w:val="en-US" w:eastAsia="en-US" w:bidi="ar-SA"/>
      </w:rPr>
    </w:lvl>
    <w:lvl w:ilvl="2">
      <w:start w:val="0"/>
      <w:numFmt w:val="bullet"/>
      <w:lvlText w:val="•"/>
      <w:lvlJc w:val="left"/>
      <w:pPr>
        <w:ind w:left="3764" w:hanging="360"/>
      </w:pPr>
      <w:rPr>
        <w:rFonts w:hint="default"/>
        <w:lang w:val="en-US" w:eastAsia="en-US" w:bidi="ar-SA"/>
      </w:rPr>
    </w:lvl>
    <w:lvl w:ilvl="3">
      <w:start w:val="0"/>
      <w:numFmt w:val="bullet"/>
      <w:lvlText w:val="•"/>
      <w:lvlJc w:val="left"/>
      <w:pPr>
        <w:ind w:left="468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452" w:hanging="360"/>
      </w:pPr>
      <w:rPr>
        <w:rFonts w:hint="default"/>
        <w:lang w:val="en-US" w:eastAsia="en-US" w:bidi="ar-SA"/>
      </w:rPr>
    </w:lvl>
    <w:lvl w:ilvl="7">
      <w:start w:val="0"/>
      <w:numFmt w:val="bullet"/>
      <w:lvlText w:val="•"/>
      <w:lvlJc w:val="left"/>
      <w:pPr>
        <w:ind w:left="8374" w:hanging="360"/>
      </w:pPr>
      <w:rPr>
        <w:rFonts w:hint="default"/>
        <w:lang w:val="en-US" w:eastAsia="en-US" w:bidi="ar-SA"/>
      </w:rPr>
    </w:lvl>
    <w:lvl w:ilvl="8">
      <w:start w:val="0"/>
      <w:numFmt w:val="bullet"/>
      <w:lvlText w:val="•"/>
      <w:lvlJc w:val="left"/>
      <w:pPr>
        <w:ind w:left="9296" w:hanging="360"/>
      </w:pPr>
      <w:rPr>
        <w:rFonts w:hint="default"/>
        <w:lang w:val="en-US" w:eastAsia="en-US" w:bidi="ar-SA"/>
      </w:rPr>
    </w:lvl>
  </w:abstractNum>
  <w:abstractNum w:abstractNumId="20">
    <w:multiLevelType w:val="hybridMultilevel"/>
    <w:lvl w:ilvl="0">
      <w:start w:val="0"/>
      <w:numFmt w:val="bullet"/>
      <w:lvlText w:val=""/>
      <w:lvlJc w:val="left"/>
      <w:pPr>
        <w:ind w:left="192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42" w:hanging="360"/>
      </w:pPr>
      <w:rPr>
        <w:rFonts w:hint="default"/>
        <w:lang w:val="en-US" w:eastAsia="en-US" w:bidi="ar-SA"/>
      </w:rPr>
    </w:lvl>
    <w:lvl w:ilvl="2">
      <w:start w:val="0"/>
      <w:numFmt w:val="bullet"/>
      <w:lvlText w:val="•"/>
      <w:lvlJc w:val="left"/>
      <w:pPr>
        <w:ind w:left="3764" w:hanging="360"/>
      </w:pPr>
      <w:rPr>
        <w:rFonts w:hint="default"/>
        <w:lang w:val="en-US" w:eastAsia="en-US" w:bidi="ar-SA"/>
      </w:rPr>
    </w:lvl>
    <w:lvl w:ilvl="3">
      <w:start w:val="0"/>
      <w:numFmt w:val="bullet"/>
      <w:lvlText w:val="•"/>
      <w:lvlJc w:val="left"/>
      <w:pPr>
        <w:ind w:left="4686" w:hanging="360"/>
      </w:pPr>
      <w:rPr>
        <w:rFonts w:hint="default"/>
        <w:lang w:val="en-US" w:eastAsia="en-US" w:bidi="ar-SA"/>
      </w:rPr>
    </w:lvl>
    <w:lvl w:ilvl="4">
      <w:start w:val="0"/>
      <w:numFmt w:val="bullet"/>
      <w:lvlText w:val="•"/>
      <w:lvlJc w:val="left"/>
      <w:pPr>
        <w:ind w:left="5608" w:hanging="360"/>
      </w:pPr>
      <w:rPr>
        <w:rFonts w:hint="default"/>
        <w:lang w:val="en-US" w:eastAsia="en-US" w:bidi="ar-SA"/>
      </w:rPr>
    </w:lvl>
    <w:lvl w:ilvl="5">
      <w:start w:val="0"/>
      <w:numFmt w:val="bullet"/>
      <w:lvlText w:val="•"/>
      <w:lvlJc w:val="left"/>
      <w:pPr>
        <w:ind w:left="6530" w:hanging="360"/>
      </w:pPr>
      <w:rPr>
        <w:rFonts w:hint="default"/>
        <w:lang w:val="en-US" w:eastAsia="en-US" w:bidi="ar-SA"/>
      </w:rPr>
    </w:lvl>
    <w:lvl w:ilvl="6">
      <w:start w:val="0"/>
      <w:numFmt w:val="bullet"/>
      <w:lvlText w:val="•"/>
      <w:lvlJc w:val="left"/>
      <w:pPr>
        <w:ind w:left="7452" w:hanging="360"/>
      </w:pPr>
      <w:rPr>
        <w:rFonts w:hint="default"/>
        <w:lang w:val="en-US" w:eastAsia="en-US" w:bidi="ar-SA"/>
      </w:rPr>
    </w:lvl>
    <w:lvl w:ilvl="7">
      <w:start w:val="0"/>
      <w:numFmt w:val="bullet"/>
      <w:lvlText w:val="•"/>
      <w:lvlJc w:val="left"/>
      <w:pPr>
        <w:ind w:left="8374" w:hanging="360"/>
      </w:pPr>
      <w:rPr>
        <w:rFonts w:hint="default"/>
        <w:lang w:val="en-US" w:eastAsia="en-US" w:bidi="ar-SA"/>
      </w:rPr>
    </w:lvl>
    <w:lvl w:ilvl="8">
      <w:start w:val="0"/>
      <w:numFmt w:val="bullet"/>
      <w:lvlText w:val="•"/>
      <w:lvlJc w:val="left"/>
      <w:pPr>
        <w:ind w:left="9296" w:hanging="360"/>
      </w:pPr>
      <w:rPr>
        <w:rFonts w:hint="default"/>
        <w:lang w:val="en-US" w:eastAsia="en-US" w:bidi="ar-SA"/>
      </w:rPr>
    </w:lvl>
  </w:abstractNum>
  <w:abstractNum w:abstractNumId="19">
    <w:multiLevelType w:val="hybridMultilevel"/>
    <w:lvl w:ilvl="0">
      <w:start w:val="0"/>
      <w:numFmt w:val="bullet"/>
      <w:lvlText w:val=""/>
      <w:lvlJc w:val="left"/>
      <w:pPr>
        <w:ind w:left="136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28"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766" w:hanging="360"/>
      </w:pPr>
      <w:rPr>
        <w:rFonts w:hint="default"/>
        <w:lang w:val="en-US" w:eastAsia="en-US" w:bidi="ar-SA"/>
      </w:rPr>
    </w:lvl>
    <w:lvl w:ilvl="3">
      <w:start w:val="0"/>
      <w:numFmt w:val="bullet"/>
      <w:lvlText w:val="•"/>
      <w:lvlJc w:val="left"/>
      <w:pPr>
        <w:ind w:left="3813" w:hanging="360"/>
      </w:pPr>
      <w:rPr>
        <w:rFonts w:hint="default"/>
        <w:lang w:val="en-US" w:eastAsia="en-US" w:bidi="ar-SA"/>
      </w:rPr>
    </w:lvl>
    <w:lvl w:ilvl="4">
      <w:start w:val="0"/>
      <w:numFmt w:val="bullet"/>
      <w:lvlText w:val="•"/>
      <w:lvlJc w:val="left"/>
      <w:pPr>
        <w:ind w:left="4860" w:hanging="360"/>
      </w:pPr>
      <w:rPr>
        <w:rFonts w:hint="default"/>
        <w:lang w:val="en-US" w:eastAsia="en-US" w:bidi="ar-SA"/>
      </w:rPr>
    </w:lvl>
    <w:lvl w:ilvl="5">
      <w:start w:val="0"/>
      <w:numFmt w:val="bullet"/>
      <w:lvlText w:val="•"/>
      <w:lvlJc w:val="left"/>
      <w:pPr>
        <w:ind w:left="5906" w:hanging="360"/>
      </w:pPr>
      <w:rPr>
        <w:rFonts w:hint="default"/>
        <w:lang w:val="en-US" w:eastAsia="en-US" w:bidi="ar-SA"/>
      </w:rPr>
    </w:lvl>
    <w:lvl w:ilvl="6">
      <w:start w:val="0"/>
      <w:numFmt w:val="bullet"/>
      <w:lvlText w:val="•"/>
      <w:lvlJc w:val="left"/>
      <w:pPr>
        <w:ind w:left="6953" w:hanging="360"/>
      </w:pPr>
      <w:rPr>
        <w:rFonts w:hint="default"/>
        <w:lang w:val="en-US" w:eastAsia="en-US" w:bidi="ar-SA"/>
      </w:rPr>
    </w:lvl>
    <w:lvl w:ilvl="7">
      <w:start w:val="0"/>
      <w:numFmt w:val="bullet"/>
      <w:lvlText w:val="•"/>
      <w:lvlJc w:val="left"/>
      <w:pPr>
        <w:ind w:left="8000" w:hanging="360"/>
      </w:pPr>
      <w:rPr>
        <w:rFonts w:hint="default"/>
        <w:lang w:val="en-US" w:eastAsia="en-US" w:bidi="ar-SA"/>
      </w:rPr>
    </w:lvl>
    <w:lvl w:ilvl="8">
      <w:start w:val="0"/>
      <w:numFmt w:val="bullet"/>
      <w:lvlText w:val="•"/>
      <w:lvlJc w:val="left"/>
      <w:pPr>
        <w:ind w:left="9046" w:hanging="360"/>
      </w:pPr>
      <w:rPr>
        <w:rFonts w:hint="default"/>
        <w:lang w:val="en-US" w:eastAsia="en-US" w:bidi="ar-SA"/>
      </w:rPr>
    </w:lvl>
  </w:abstractNum>
  <w:abstractNum w:abstractNumId="18">
    <w:multiLevelType w:val="hybridMultilevel"/>
    <w:lvl w:ilvl="0">
      <w:start w:val="0"/>
      <w:numFmt w:val="bullet"/>
      <w:lvlText w:val=""/>
      <w:lvlJc w:val="left"/>
      <w:pPr>
        <w:ind w:left="197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896" w:hanging="360"/>
      </w:pPr>
      <w:rPr>
        <w:rFonts w:hint="default"/>
        <w:lang w:val="en-US" w:eastAsia="en-US" w:bidi="ar-SA"/>
      </w:rPr>
    </w:lvl>
    <w:lvl w:ilvl="2">
      <w:start w:val="0"/>
      <w:numFmt w:val="bullet"/>
      <w:lvlText w:val="•"/>
      <w:lvlJc w:val="left"/>
      <w:pPr>
        <w:ind w:left="3812" w:hanging="360"/>
      </w:pPr>
      <w:rPr>
        <w:rFonts w:hint="default"/>
        <w:lang w:val="en-US" w:eastAsia="en-US" w:bidi="ar-SA"/>
      </w:rPr>
    </w:lvl>
    <w:lvl w:ilvl="3">
      <w:start w:val="0"/>
      <w:numFmt w:val="bullet"/>
      <w:lvlText w:val="•"/>
      <w:lvlJc w:val="left"/>
      <w:pPr>
        <w:ind w:left="4728" w:hanging="360"/>
      </w:pPr>
      <w:rPr>
        <w:rFonts w:hint="default"/>
        <w:lang w:val="en-US" w:eastAsia="en-US" w:bidi="ar-SA"/>
      </w:rPr>
    </w:lvl>
    <w:lvl w:ilvl="4">
      <w:start w:val="0"/>
      <w:numFmt w:val="bullet"/>
      <w:lvlText w:val="•"/>
      <w:lvlJc w:val="left"/>
      <w:pPr>
        <w:ind w:left="5644"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476" w:hanging="360"/>
      </w:pPr>
      <w:rPr>
        <w:rFonts w:hint="default"/>
        <w:lang w:val="en-US" w:eastAsia="en-US" w:bidi="ar-SA"/>
      </w:rPr>
    </w:lvl>
    <w:lvl w:ilvl="7">
      <w:start w:val="0"/>
      <w:numFmt w:val="bullet"/>
      <w:lvlText w:val="•"/>
      <w:lvlJc w:val="left"/>
      <w:pPr>
        <w:ind w:left="8392" w:hanging="360"/>
      </w:pPr>
      <w:rPr>
        <w:rFonts w:hint="default"/>
        <w:lang w:val="en-US" w:eastAsia="en-US" w:bidi="ar-SA"/>
      </w:rPr>
    </w:lvl>
    <w:lvl w:ilvl="8">
      <w:start w:val="0"/>
      <w:numFmt w:val="bullet"/>
      <w:lvlText w:val="•"/>
      <w:lvlJc w:val="left"/>
      <w:pPr>
        <w:ind w:left="9308" w:hanging="360"/>
      </w:pPr>
      <w:rPr>
        <w:rFonts w:hint="default"/>
        <w:lang w:val="en-US" w:eastAsia="en-US" w:bidi="ar-SA"/>
      </w:rPr>
    </w:lvl>
  </w:abstractNum>
  <w:abstractNum w:abstractNumId="17">
    <w:multiLevelType w:val="hybridMultilevel"/>
    <w:lvl w:ilvl="0">
      <w:start w:val="1"/>
      <w:numFmt w:val="decimal"/>
      <w:lvlText w:val="%1."/>
      <w:lvlJc w:val="left"/>
      <w:pPr>
        <w:ind w:left="753"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613" w:hanging="360"/>
      </w:pPr>
      <w:rPr>
        <w:rFonts w:hint="default"/>
        <w:lang w:val="en-US" w:eastAsia="en-US" w:bidi="ar-SA"/>
      </w:rPr>
    </w:lvl>
    <w:lvl w:ilvl="2">
      <w:start w:val="0"/>
      <w:numFmt w:val="bullet"/>
      <w:lvlText w:val="•"/>
      <w:lvlJc w:val="left"/>
      <w:pPr>
        <w:ind w:left="2467" w:hanging="360"/>
      </w:pPr>
      <w:rPr>
        <w:rFonts w:hint="default"/>
        <w:lang w:val="en-US" w:eastAsia="en-US" w:bidi="ar-SA"/>
      </w:rPr>
    </w:lvl>
    <w:lvl w:ilvl="3">
      <w:start w:val="0"/>
      <w:numFmt w:val="bullet"/>
      <w:lvlText w:val="•"/>
      <w:lvlJc w:val="left"/>
      <w:pPr>
        <w:ind w:left="3321" w:hanging="360"/>
      </w:pPr>
      <w:rPr>
        <w:rFonts w:hint="default"/>
        <w:lang w:val="en-US" w:eastAsia="en-US" w:bidi="ar-SA"/>
      </w:rPr>
    </w:lvl>
    <w:lvl w:ilvl="4">
      <w:start w:val="0"/>
      <w:numFmt w:val="bullet"/>
      <w:lvlText w:val="•"/>
      <w:lvlJc w:val="left"/>
      <w:pPr>
        <w:ind w:left="4175" w:hanging="360"/>
      </w:pPr>
      <w:rPr>
        <w:rFonts w:hint="default"/>
        <w:lang w:val="en-US" w:eastAsia="en-US" w:bidi="ar-SA"/>
      </w:rPr>
    </w:lvl>
    <w:lvl w:ilvl="5">
      <w:start w:val="0"/>
      <w:numFmt w:val="bullet"/>
      <w:lvlText w:val="•"/>
      <w:lvlJc w:val="left"/>
      <w:pPr>
        <w:ind w:left="5028" w:hanging="360"/>
      </w:pPr>
      <w:rPr>
        <w:rFonts w:hint="default"/>
        <w:lang w:val="en-US" w:eastAsia="en-US" w:bidi="ar-SA"/>
      </w:rPr>
    </w:lvl>
    <w:lvl w:ilvl="6">
      <w:start w:val="0"/>
      <w:numFmt w:val="bullet"/>
      <w:lvlText w:val="•"/>
      <w:lvlJc w:val="left"/>
      <w:pPr>
        <w:ind w:left="5882" w:hanging="360"/>
      </w:pPr>
      <w:rPr>
        <w:rFonts w:hint="default"/>
        <w:lang w:val="en-US" w:eastAsia="en-US" w:bidi="ar-SA"/>
      </w:rPr>
    </w:lvl>
    <w:lvl w:ilvl="7">
      <w:start w:val="0"/>
      <w:numFmt w:val="bullet"/>
      <w:lvlText w:val="•"/>
      <w:lvlJc w:val="left"/>
      <w:pPr>
        <w:ind w:left="6736" w:hanging="360"/>
      </w:pPr>
      <w:rPr>
        <w:rFonts w:hint="default"/>
        <w:lang w:val="en-US" w:eastAsia="en-US" w:bidi="ar-SA"/>
      </w:rPr>
    </w:lvl>
    <w:lvl w:ilvl="8">
      <w:start w:val="0"/>
      <w:numFmt w:val="bullet"/>
      <w:lvlText w:val="•"/>
      <w:lvlJc w:val="left"/>
      <w:pPr>
        <w:ind w:left="7590" w:hanging="360"/>
      </w:pPr>
      <w:rPr>
        <w:rFonts w:hint="default"/>
        <w:lang w:val="en-US" w:eastAsia="en-US" w:bidi="ar-SA"/>
      </w:rPr>
    </w:lvl>
  </w:abstractNum>
  <w:abstractNum w:abstractNumId="16">
    <w:multiLevelType w:val="hybridMultilevel"/>
    <w:lvl w:ilvl="0">
      <w:start w:val="0"/>
      <w:numFmt w:val="bullet"/>
      <w:lvlText w:val=""/>
      <w:lvlJc w:val="left"/>
      <w:pPr>
        <w:ind w:left="118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997" w:hanging="360"/>
      </w:pPr>
      <w:rPr>
        <w:rFonts w:hint="default"/>
        <w:lang w:val="en-US" w:eastAsia="en-US" w:bidi="ar-SA"/>
      </w:rPr>
    </w:lvl>
    <w:lvl w:ilvl="2">
      <w:start w:val="0"/>
      <w:numFmt w:val="bullet"/>
      <w:lvlText w:val="•"/>
      <w:lvlJc w:val="left"/>
      <w:pPr>
        <w:ind w:left="2814" w:hanging="360"/>
      </w:pPr>
      <w:rPr>
        <w:rFonts w:hint="default"/>
        <w:lang w:val="en-US" w:eastAsia="en-US" w:bidi="ar-SA"/>
      </w:rPr>
    </w:lvl>
    <w:lvl w:ilvl="3">
      <w:start w:val="0"/>
      <w:numFmt w:val="bullet"/>
      <w:lvlText w:val="•"/>
      <w:lvlJc w:val="left"/>
      <w:pPr>
        <w:ind w:left="3631" w:hanging="360"/>
      </w:pPr>
      <w:rPr>
        <w:rFonts w:hint="default"/>
        <w:lang w:val="en-US" w:eastAsia="en-US" w:bidi="ar-SA"/>
      </w:rPr>
    </w:lvl>
    <w:lvl w:ilvl="4">
      <w:start w:val="0"/>
      <w:numFmt w:val="bullet"/>
      <w:lvlText w:val="•"/>
      <w:lvlJc w:val="left"/>
      <w:pPr>
        <w:ind w:left="4448" w:hanging="360"/>
      </w:pPr>
      <w:rPr>
        <w:rFonts w:hint="default"/>
        <w:lang w:val="en-US" w:eastAsia="en-US" w:bidi="ar-SA"/>
      </w:rPr>
    </w:lvl>
    <w:lvl w:ilvl="5">
      <w:start w:val="0"/>
      <w:numFmt w:val="bullet"/>
      <w:lvlText w:val="•"/>
      <w:lvlJc w:val="left"/>
      <w:pPr>
        <w:ind w:left="5265" w:hanging="360"/>
      </w:pPr>
      <w:rPr>
        <w:rFonts w:hint="default"/>
        <w:lang w:val="en-US" w:eastAsia="en-US" w:bidi="ar-SA"/>
      </w:rPr>
    </w:lvl>
    <w:lvl w:ilvl="6">
      <w:start w:val="0"/>
      <w:numFmt w:val="bullet"/>
      <w:lvlText w:val="•"/>
      <w:lvlJc w:val="left"/>
      <w:pPr>
        <w:ind w:left="6082" w:hanging="360"/>
      </w:pPr>
      <w:rPr>
        <w:rFonts w:hint="default"/>
        <w:lang w:val="en-US" w:eastAsia="en-US" w:bidi="ar-SA"/>
      </w:rPr>
    </w:lvl>
    <w:lvl w:ilvl="7">
      <w:start w:val="0"/>
      <w:numFmt w:val="bullet"/>
      <w:lvlText w:val="•"/>
      <w:lvlJc w:val="left"/>
      <w:pPr>
        <w:ind w:left="6899" w:hanging="360"/>
      </w:pPr>
      <w:rPr>
        <w:rFonts w:hint="default"/>
        <w:lang w:val="en-US" w:eastAsia="en-US" w:bidi="ar-SA"/>
      </w:rPr>
    </w:lvl>
    <w:lvl w:ilvl="8">
      <w:start w:val="0"/>
      <w:numFmt w:val="bullet"/>
      <w:lvlText w:val="•"/>
      <w:lvlJc w:val="left"/>
      <w:pPr>
        <w:ind w:left="7716" w:hanging="360"/>
      </w:pPr>
      <w:rPr>
        <w:rFonts w:hint="default"/>
        <w:lang w:val="en-US" w:eastAsia="en-US" w:bidi="ar-SA"/>
      </w:rPr>
    </w:lvl>
  </w:abstractNum>
  <w:abstractNum w:abstractNumId="15">
    <w:multiLevelType w:val="hybridMultilevel"/>
    <w:lvl w:ilvl="0">
      <w:start w:val="1"/>
      <w:numFmt w:val="decimal"/>
      <w:lvlText w:val="%1."/>
      <w:lvlJc w:val="left"/>
      <w:pPr>
        <w:ind w:left="3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108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1970" w:hanging="360"/>
      </w:pPr>
      <w:rPr>
        <w:rFonts w:hint="default"/>
        <w:lang w:val="en-US" w:eastAsia="en-US" w:bidi="ar-SA"/>
      </w:rPr>
    </w:lvl>
    <w:lvl w:ilvl="3">
      <w:start w:val="0"/>
      <w:numFmt w:val="bullet"/>
      <w:lvlText w:val="•"/>
      <w:lvlJc w:val="left"/>
      <w:pPr>
        <w:ind w:left="2861" w:hanging="360"/>
      </w:pPr>
      <w:rPr>
        <w:rFonts w:hint="default"/>
        <w:lang w:val="en-US" w:eastAsia="en-US" w:bidi="ar-SA"/>
      </w:rPr>
    </w:lvl>
    <w:lvl w:ilvl="4">
      <w:start w:val="0"/>
      <w:numFmt w:val="bullet"/>
      <w:lvlText w:val="•"/>
      <w:lvlJc w:val="left"/>
      <w:pPr>
        <w:ind w:left="3752" w:hanging="360"/>
      </w:pPr>
      <w:rPr>
        <w:rFonts w:hint="default"/>
        <w:lang w:val="en-US" w:eastAsia="en-US" w:bidi="ar-SA"/>
      </w:rPr>
    </w:lvl>
    <w:lvl w:ilvl="5">
      <w:start w:val="0"/>
      <w:numFmt w:val="bullet"/>
      <w:lvlText w:val="•"/>
      <w:lvlJc w:val="left"/>
      <w:pPr>
        <w:ind w:left="4643" w:hanging="360"/>
      </w:pPr>
      <w:rPr>
        <w:rFonts w:hint="default"/>
        <w:lang w:val="en-US" w:eastAsia="en-US" w:bidi="ar-SA"/>
      </w:rPr>
    </w:lvl>
    <w:lvl w:ilvl="6">
      <w:start w:val="0"/>
      <w:numFmt w:val="bullet"/>
      <w:lvlText w:val="•"/>
      <w:lvlJc w:val="left"/>
      <w:pPr>
        <w:ind w:left="5534" w:hanging="360"/>
      </w:pPr>
      <w:rPr>
        <w:rFonts w:hint="default"/>
        <w:lang w:val="en-US" w:eastAsia="en-US" w:bidi="ar-SA"/>
      </w:rPr>
    </w:lvl>
    <w:lvl w:ilvl="7">
      <w:start w:val="0"/>
      <w:numFmt w:val="bullet"/>
      <w:lvlText w:val="•"/>
      <w:lvlJc w:val="left"/>
      <w:pPr>
        <w:ind w:left="6425" w:hanging="360"/>
      </w:pPr>
      <w:rPr>
        <w:rFonts w:hint="default"/>
        <w:lang w:val="en-US" w:eastAsia="en-US" w:bidi="ar-SA"/>
      </w:rPr>
    </w:lvl>
    <w:lvl w:ilvl="8">
      <w:start w:val="0"/>
      <w:numFmt w:val="bullet"/>
      <w:lvlText w:val="•"/>
      <w:lvlJc w:val="left"/>
      <w:pPr>
        <w:ind w:left="7316" w:hanging="360"/>
      </w:pPr>
      <w:rPr>
        <w:rFonts w:hint="default"/>
        <w:lang w:val="en-US" w:eastAsia="en-US" w:bidi="ar-SA"/>
      </w:rPr>
    </w:lvl>
  </w:abstractNum>
  <w:abstractNum w:abstractNumId="14">
    <w:multiLevelType w:val="hybridMultilevel"/>
    <w:lvl w:ilvl="0">
      <w:start w:val="1"/>
      <w:numFmt w:val="decimal"/>
      <w:lvlText w:val="%1)"/>
      <w:lvlJc w:val="left"/>
      <w:pPr>
        <w:ind w:left="1970" w:hanging="360"/>
        <w:jc w:val="left"/>
      </w:pPr>
      <w:rPr>
        <w:rFonts w:hint="default" w:ascii="Calibri" w:hAnsi="Calibri" w:eastAsia="Calibri" w:cs="Calibri"/>
        <w:b w:val="0"/>
        <w:bCs w:val="0"/>
        <w:i w:val="0"/>
        <w:iCs w:val="0"/>
        <w:spacing w:val="-5"/>
        <w:w w:val="100"/>
        <w:sz w:val="24"/>
        <w:szCs w:val="24"/>
        <w:lang w:val="en-US" w:eastAsia="en-US" w:bidi="ar-SA"/>
      </w:rPr>
    </w:lvl>
    <w:lvl w:ilvl="1">
      <w:start w:val="0"/>
      <w:numFmt w:val="bullet"/>
      <w:lvlText w:val="•"/>
      <w:lvlJc w:val="left"/>
      <w:pPr>
        <w:ind w:left="2896" w:hanging="360"/>
      </w:pPr>
      <w:rPr>
        <w:rFonts w:hint="default"/>
        <w:lang w:val="en-US" w:eastAsia="en-US" w:bidi="ar-SA"/>
      </w:rPr>
    </w:lvl>
    <w:lvl w:ilvl="2">
      <w:start w:val="0"/>
      <w:numFmt w:val="bullet"/>
      <w:lvlText w:val="•"/>
      <w:lvlJc w:val="left"/>
      <w:pPr>
        <w:ind w:left="3812" w:hanging="360"/>
      </w:pPr>
      <w:rPr>
        <w:rFonts w:hint="default"/>
        <w:lang w:val="en-US" w:eastAsia="en-US" w:bidi="ar-SA"/>
      </w:rPr>
    </w:lvl>
    <w:lvl w:ilvl="3">
      <w:start w:val="0"/>
      <w:numFmt w:val="bullet"/>
      <w:lvlText w:val="•"/>
      <w:lvlJc w:val="left"/>
      <w:pPr>
        <w:ind w:left="4728" w:hanging="360"/>
      </w:pPr>
      <w:rPr>
        <w:rFonts w:hint="default"/>
        <w:lang w:val="en-US" w:eastAsia="en-US" w:bidi="ar-SA"/>
      </w:rPr>
    </w:lvl>
    <w:lvl w:ilvl="4">
      <w:start w:val="0"/>
      <w:numFmt w:val="bullet"/>
      <w:lvlText w:val="•"/>
      <w:lvlJc w:val="left"/>
      <w:pPr>
        <w:ind w:left="5644" w:hanging="360"/>
      </w:pPr>
      <w:rPr>
        <w:rFonts w:hint="default"/>
        <w:lang w:val="en-US" w:eastAsia="en-US" w:bidi="ar-SA"/>
      </w:rPr>
    </w:lvl>
    <w:lvl w:ilvl="5">
      <w:start w:val="0"/>
      <w:numFmt w:val="bullet"/>
      <w:lvlText w:val="•"/>
      <w:lvlJc w:val="left"/>
      <w:pPr>
        <w:ind w:left="6560" w:hanging="360"/>
      </w:pPr>
      <w:rPr>
        <w:rFonts w:hint="default"/>
        <w:lang w:val="en-US" w:eastAsia="en-US" w:bidi="ar-SA"/>
      </w:rPr>
    </w:lvl>
    <w:lvl w:ilvl="6">
      <w:start w:val="0"/>
      <w:numFmt w:val="bullet"/>
      <w:lvlText w:val="•"/>
      <w:lvlJc w:val="left"/>
      <w:pPr>
        <w:ind w:left="7476" w:hanging="360"/>
      </w:pPr>
      <w:rPr>
        <w:rFonts w:hint="default"/>
        <w:lang w:val="en-US" w:eastAsia="en-US" w:bidi="ar-SA"/>
      </w:rPr>
    </w:lvl>
    <w:lvl w:ilvl="7">
      <w:start w:val="0"/>
      <w:numFmt w:val="bullet"/>
      <w:lvlText w:val="•"/>
      <w:lvlJc w:val="left"/>
      <w:pPr>
        <w:ind w:left="8392" w:hanging="360"/>
      </w:pPr>
      <w:rPr>
        <w:rFonts w:hint="default"/>
        <w:lang w:val="en-US" w:eastAsia="en-US" w:bidi="ar-SA"/>
      </w:rPr>
    </w:lvl>
    <w:lvl w:ilvl="8">
      <w:start w:val="0"/>
      <w:numFmt w:val="bullet"/>
      <w:lvlText w:val="•"/>
      <w:lvlJc w:val="left"/>
      <w:pPr>
        <w:ind w:left="9308" w:hanging="360"/>
      </w:pPr>
      <w:rPr>
        <w:rFonts w:hint="default"/>
        <w:lang w:val="en-US" w:eastAsia="en-US" w:bidi="ar-SA"/>
      </w:rPr>
    </w:lvl>
  </w:abstractNum>
  <w:abstractNum w:abstractNumId="13">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76" w:hanging="360"/>
      </w:pPr>
      <w:rPr>
        <w:rFonts w:hint="default"/>
        <w:lang w:val="en-US" w:eastAsia="en-US" w:bidi="ar-SA"/>
      </w:rPr>
    </w:lvl>
    <w:lvl w:ilvl="3">
      <w:start w:val="0"/>
      <w:numFmt w:val="bullet"/>
      <w:lvlText w:val="•"/>
      <w:lvlJc w:val="left"/>
      <w:pPr>
        <w:ind w:left="4434" w:hanging="360"/>
      </w:pPr>
      <w:rPr>
        <w:rFonts w:hint="default"/>
        <w:lang w:val="en-US" w:eastAsia="en-US" w:bidi="ar-SA"/>
      </w:rPr>
    </w:lvl>
    <w:lvl w:ilvl="4">
      <w:start w:val="0"/>
      <w:numFmt w:val="bullet"/>
      <w:lvlText w:val="•"/>
      <w:lvlJc w:val="left"/>
      <w:pPr>
        <w:ind w:left="5392"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12">
    <w:multiLevelType w:val="hybridMultilevel"/>
    <w:lvl w:ilvl="0">
      <w:start w:val="0"/>
      <w:numFmt w:val="bullet"/>
      <w:lvlText w:val=""/>
      <w:lvlJc w:val="left"/>
      <w:pPr>
        <w:ind w:left="1291"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284" w:hanging="360"/>
      </w:pPr>
      <w:rPr>
        <w:rFonts w:hint="default"/>
        <w:lang w:val="en-US" w:eastAsia="en-US" w:bidi="ar-SA"/>
      </w:rPr>
    </w:lvl>
    <w:lvl w:ilvl="2">
      <w:start w:val="0"/>
      <w:numFmt w:val="bullet"/>
      <w:lvlText w:val="•"/>
      <w:lvlJc w:val="left"/>
      <w:pPr>
        <w:ind w:left="3268" w:hanging="360"/>
      </w:pPr>
      <w:rPr>
        <w:rFonts w:hint="default"/>
        <w:lang w:val="en-US" w:eastAsia="en-US" w:bidi="ar-SA"/>
      </w:rPr>
    </w:lvl>
    <w:lvl w:ilvl="3">
      <w:start w:val="0"/>
      <w:numFmt w:val="bullet"/>
      <w:lvlText w:val="•"/>
      <w:lvlJc w:val="left"/>
      <w:pPr>
        <w:ind w:left="4252" w:hanging="360"/>
      </w:pPr>
      <w:rPr>
        <w:rFonts w:hint="default"/>
        <w:lang w:val="en-US" w:eastAsia="en-US" w:bidi="ar-SA"/>
      </w:rPr>
    </w:lvl>
    <w:lvl w:ilvl="4">
      <w:start w:val="0"/>
      <w:numFmt w:val="bullet"/>
      <w:lvlText w:val="•"/>
      <w:lvlJc w:val="left"/>
      <w:pPr>
        <w:ind w:left="5236" w:hanging="360"/>
      </w:pPr>
      <w:rPr>
        <w:rFonts w:hint="default"/>
        <w:lang w:val="en-US" w:eastAsia="en-US" w:bidi="ar-SA"/>
      </w:rPr>
    </w:lvl>
    <w:lvl w:ilvl="5">
      <w:start w:val="0"/>
      <w:numFmt w:val="bullet"/>
      <w:lvlText w:val="•"/>
      <w:lvlJc w:val="left"/>
      <w:pPr>
        <w:ind w:left="6220" w:hanging="360"/>
      </w:pPr>
      <w:rPr>
        <w:rFonts w:hint="default"/>
        <w:lang w:val="en-US" w:eastAsia="en-US" w:bidi="ar-SA"/>
      </w:rPr>
    </w:lvl>
    <w:lvl w:ilvl="6">
      <w:start w:val="0"/>
      <w:numFmt w:val="bullet"/>
      <w:lvlText w:val="•"/>
      <w:lvlJc w:val="left"/>
      <w:pPr>
        <w:ind w:left="7204" w:hanging="360"/>
      </w:pPr>
      <w:rPr>
        <w:rFonts w:hint="default"/>
        <w:lang w:val="en-US" w:eastAsia="en-US" w:bidi="ar-SA"/>
      </w:rPr>
    </w:lvl>
    <w:lvl w:ilvl="7">
      <w:start w:val="0"/>
      <w:numFmt w:val="bullet"/>
      <w:lvlText w:val="•"/>
      <w:lvlJc w:val="left"/>
      <w:pPr>
        <w:ind w:left="8188" w:hanging="360"/>
      </w:pPr>
      <w:rPr>
        <w:rFonts w:hint="default"/>
        <w:lang w:val="en-US" w:eastAsia="en-US" w:bidi="ar-SA"/>
      </w:rPr>
    </w:lvl>
    <w:lvl w:ilvl="8">
      <w:start w:val="0"/>
      <w:numFmt w:val="bullet"/>
      <w:lvlText w:val="•"/>
      <w:lvlJc w:val="left"/>
      <w:pPr>
        <w:ind w:left="9172" w:hanging="360"/>
      </w:pPr>
      <w:rPr>
        <w:rFonts w:hint="default"/>
        <w:lang w:val="en-US" w:eastAsia="en-US" w:bidi="ar-SA"/>
      </w:rPr>
    </w:lvl>
  </w:abstractNum>
  <w:abstractNum w:abstractNumId="11">
    <w:multiLevelType w:val="hybridMultilevel"/>
    <w:lvl w:ilvl="0">
      <w:start w:val="0"/>
      <w:numFmt w:val="bullet"/>
      <w:lvlText w:val=""/>
      <w:lvlJc w:val="left"/>
      <w:pPr>
        <w:ind w:left="1200"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624" w:hanging="360"/>
      </w:pPr>
      <w:rPr>
        <w:rFonts w:hint="default"/>
        <w:lang w:val="en-US" w:eastAsia="en-US" w:bidi="ar-SA"/>
      </w:rPr>
    </w:lvl>
    <w:lvl w:ilvl="3">
      <w:start w:val="0"/>
      <w:numFmt w:val="bullet"/>
      <w:lvlText w:val="•"/>
      <w:lvlJc w:val="left"/>
      <w:pPr>
        <w:ind w:left="3688" w:hanging="360"/>
      </w:pPr>
      <w:rPr>
        <w:rFonts w:hint="default"/>
        <w:lang w:val="en-US" w:eastAsia="en-US" w:bidi="ar-SA"/>
      </w:rPr>
    </w:lvl>
    <w:lvl w:ilvl="4">
      <w:start w:val="0"/>
      <w:numFmt w:val="bullet"/>
      <w:lvlText w:val="•"/>
      <w:lvlJc w:val="left"/>
      <w:pPr>
        <w:ind w:left="4753" w:hanging="360"/>
      </w:pPr>
      <w:rPr>
        <w:rFonts w:hint="default"/>
        <w:lang w:val="en-US" w:eastAsia="en-US" w:bidi="ar-SA"/>
      </w:rPr>
    </w:lvl>
    <w:lvl w:ilvl="5">
      <w:start w:val="0"/>
      <w:numFmt w:val="bullet"/>
      <w:lvlText w:val="•"/>
      <w:lvlJc w:val="left"/>
      <w:pPr>
        <w:ind w:left="5817" w:hanging="360"/>
      </w:pPr>
      <w:rPr>
        <w:rFonts w:hint="default"/>
        <w:lang w:val="en-US" w:eastAsia="en-US" w:bidi="ar-SA"/>
      </w:rPr>
    </w:lvl>
    <w:lvl w:ilvl="6">
      <w:start w:val="0"/>
      <w:numFmt w:val="bullet"/>
      <w:lvlText w:val="•"/>
      <w:lvlJc w:val="left"/>
      <w:pPr>
        <w:ind w:left="6882" w:hanging="360"/>
      </w:pPr>
      <w:rPr>
        <w:rFonts w:hint="default"/>
        <w:lang w:val="en-US" w:eastAsia="en-US" w:bidi="ar-SA"/>
      </w:rPr>
    </w:lvl>
    <w:lvl w:ilvl="7">
      <w:start w:val="0"/>
      <w:numFmt w:val="bullet"/>
      <w:lvlText w:val="•"/>
      <w:lvlJc w:val="left"/>
      <w:pPr>
        <w:ind w:left="7946" w:hanging="360"/>
      </w:pPr>
      <w:rPr>
        <w:rFonts w:hint="default"/>
        <w:lang w:val="en-US" w:eastAsia="en-US" w:bidi="ar-SA"/>
      </w:rPr>
    </w:lvl>
    <w:lvl w:ilvl="8">
      <w:start w:val="0"/>
      <w:numFmt w:val="bullet"/>
      <w:lvlText w:val="•"/>
      <w:lvlJc w:val="left"/>
      <w:pPr>
        <w:ind w:left="9011" w:hanging="360"/>
      </w:pPr>
      <w:rPr>
        <w:rFonts w:hint="default"/>
        <w:lang w:val="en-US" w:eastAsia="en-US" w:bidi="ar-SA"/>
      </w:rPr>
    </w:lvl>
  </w:abstractNum>
  <w:abstractNum w:abstractNumId="10">
    <w:multiLevelType w:val="hybridMultilevel"/>
    <w:lvl w:ilvl="0">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76" w:hanging="360"/>
      </w:pPr>
      <w:rPr>
        <w:rFonts w:hint="default"/>
        <w:lang w:val="en-US" w:eastAsia="en-US" w:bidi="ar-SA"/>
      </w:rPr>
    </w:lvl>
    <w:lvl w:ilvl="3">
      <w:start w:val="0"/>
      <w:numFmt w:val="bullet"/>
      <w:lvlText w:val="•"/>
      <w:lvlJc w:val="left"/>
      <w:pPr>
        <w:ind w:left="4434" w:hanging="360"/>
      </w:pPr>
      <w:rPr>
        <w:rFonts w:hint="default"/>
        <w:lang w:val="en-US" w:eastAsia="en-US" w:bidi="ar-SA"/>
      </w:rPr>
    </w:lvl>
    <w:lvl w:ilvl="4">
      <w:start w:val="0"/>
      <w:numFmt w:val="bullet"/>
      <w:lvlText w:val="•"/>
      <w:lvlJc w:val="left"/>
      <w:pPr>
        <w:ind w:left="5392"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9">
    <w:multiLevelType w:val="hybridMultilevel"/>
    <w:lvl w:ilvl="0">
      <w:start w:val="3"/>
      <w:numFmt w:val="decimal"/>
      <w:lvlText w:val="%1."/>
      <w:lvlJc w:val="left"/>
      <w:pPr>
        <w:ind w:left="1200" w:hanging="360"/>
        <w:jc w:val="left"/>
      </w:pPr>
      <w:rPr>
        <w:rFonts w:hint="default" w:ascii="Calibri" w:hAnsi="Calibri" w:eastAsia="Calibri" w:cs="Calibri"/>
        <w:b/>
        <w:bCs/>
        <w:i w:val="0"/>
        <w:iCs w:val="0"/>
        <w:spacing w:val="0"/>
        <w:w w:val="100"/>
        <w:sz w:val="24"/>
        <w:szCs w:val="24"/>
        <w:lang w:val="en-US" w:eastAsia="en-US" w:bidi="ar-SA"/>
      </w:rPr>
    </w:lvl>
    <w:lvl w:ilvl="1">
      <w:start w:val="1"/>
      <w:numFmt w:val="upperLetter"/>
      <w:lvlText w:val="%2."/>
      <w:lvlJc w:val="left"/>
      <w:pPr>
        <w:ind w:left="1200" w:hanging="360"/>
        <w:jc w:val="left"/>
      </w:pPr>
      <w:rPr>
        <w:rFonts w:hint="default" w:ascii="Calibri" w:hAnsi="Calibri" w:eastAsia="Calibri" w:cs="Calibri"/>
        <w:b/>
        <w:bCs/>
        <w:i w:val="0"/>
        <w:iCs w:val="0"/>
        <w:spacing w:val="0"/>
        <w:w w:val="100"/>
        <w:sz w:val="24"/>
        <w:szCs w:val="24"/>
        <w:lang w:val="en-US" w:eastAsia="en-US" w:bidi="ar-SA"/>
      </w:rPr>
    </w:lvl>
    <w:lvl w:ilvl="2">
      <w:start w:val="0"/>
      <w:numFmt w:val="bullet"/>
      <w:lvlText w:val=""/>
      <w:lvlJc w:val="left"/>
      <w:pPr>
        <w:ind w:left="1560" w:hanging="360"/>
      </w:pPr>
      <w:rPr>
        <w:rFonts w:hint="default" w:ascii="Symbol" w:hAnsi="Symbol" w:eastAsia="Symbol" w:cs="Symbol"/>
        <w:b w:val="0"/>
        <w:bCs w:val="0"/>
        <w:i w:val="0"/>
        <w:iCs w:val="0"/>
        <w:spacing w:val="0"/>
        <w:w w:val="100"/>
        <w:sz w:val="24"/>
        <w:szCs w:val="24"/>
        <w:lang w:val="en-US" w:eastAsia="en-US" w:bidi="ar-SA"/>
      </w:rPr>
    </w:lvl>
    <w:lvl w:ilvl="3">
      <w:start w:val="0"/>
      <w:numFmt w:val="bullet"/>
      <w:lvlText w:val="•"/>
      <w:lvlJc w:val="left"/>
      <w:pPr>
        <w:ind w:left="3688" w:hanging="360"/>
      </w:pPr>
      <w:rPr>
        <w:rFonts w:hint="default"/>
        <w:lang w:val="en-US" w:eastAsia="en-US" w:bidi="ar-SA"/>
      </w:rPr>
    </w:lvl>
    <w:lvl w:ilvl="4">
      <w:start w:val="0"/>
      <w:numFmt w:val="bullet"/>
      <w:lvlText w:val="•"/>
      <w:lvlJc w:val="left"/>
      <w:pPr>
        <w:ind w:left="4753" w:hanging="360"/>
      </w:pPr>
      <w:rPr>
        <w:rFonts w:hint="default"/>
        <w:lang w:val="en-US" w:eastAsia="en-US" w:bidi="ar-SA"/>
      </w:rPr>
    </w:lvl>
    <w:lvl w:ilvl="5">
      <w:start w:val="0"/>
      <w:numFmt w:val="bullet"/>
      <w:lvlText w:val="•"/>
      <w:lvlJc w:val="left"/>
      <w:pPr>
        <w:ind w:left="5817" w:hanging="360"/>
      </w:pPr>
      <w:rPr>
        <w:rFonts w:hint="default"/>
        <w:lang w:val="en-US" w:eastAsia="en-US" w:bidi="ar-SA"/>
      </w:rPr>
    </w:lvl>
    <w:lvl w:ilvl="6">
      <w:start w:val="0"/>
      <w:numFmt w:val="bullet"/>
      <w:lvlText w:val="•"/>
      <w:lvlJc w:val="left"/>
      <w:pPr>
        <w:ind w:left="6882" w:hanging="360"/>
      </w:pPr>
      <w:rPr>
        <w:rFonts w:hint="default"/>
        <w:lang w:val="en-US" w:eastAsia="en-US" w:bidi="ar-SA"/>
      </w:rPr>
    </w:lvl>
    <w:lvl w:ilvl="7">
      <w:start w:val="0"/>
      <w:numFmt w:val="bullet"/>
      <w:lvlText w:val="•"/>
      <w:lvlJc w:val="left"/>
      <w:pPr>
        <w:ind w:left="7946" w:hanging="360"/>
      </w:pPr>
      <w:rPr>
        <w:rFonts w:hint="default"/>
        <w:lang w:val="en-US" w:eastAsia="en-US" w:bidi="ar-SA"/>
      </w:rPr>
    </w:lvl>
    <w:lvl w:ilvl="8">
      <w:start w:val="0"/>
      <w:numFmt w:val="bullet"/>
      <w:lvlText w:val="•"/>
      <w:lvlJc w:val="left"/>
      <w:pPr>
        <w:ind w:left="9011" w:hanging="360"/>
      </w:pPr>
      <w:rPr>
        <w:rFonts w:hint="default"/>
        <w:lang w:val="en-US" w:eastAsia="en-US" w:bidi="ar-SA"/>
      </w:rPr>
    </w:lvl>
  </w:abstractNum>
  <w:abstractNum w:abstractNumId="8">
    <w:multiLevelType w:val="hybridMultilevel"/>
    <w:lvl w:ilvl="0">
      <w:start w:val="0"/>
      <w:numFmt w:val="bullet"/>
      <w:lvlText w:val="•"/>
      <w:lvlJc w:val="left"/>
      <w:pPr>
        <w:ind w:left="1476" w:hanging="226"/>
      </w:pPr>
      <w:rPr>
        <w:rFonts w:hint="default" w:ascii="Calibri" w:hAnsi="Calibri" w:eastAsia="Calibri" w:cs="Calibri"/>
        <w:b/>
        <w:bCs/>
        <w:i w:val="0"/>
        <w:iCs w:val="0"/>
        <w:spacing w:val="0"/>
        <w:w w:val="100"/>
        <w:sz w:val="28"/>
        <w:szCs w:val="28"/>
        <w:lang w:val="en-US" w:eastAsia="en-US" w:bidi="ar-SA"/>
      </w:rPr>
    </w:lvl>
    <w:lvl w:ilvl="1">
      <w:start w:val="0"/>
      <w:numFmt w:val="bullet"/>
      <w:lvlText w:val="•"/>
      <w:lvlJc w:val="left"/>
      <w:pPr>
        <w:ind w:left="2446" w:hanging="226"/>
      </w:pPr>
      <w:rPr>
        <w:rFonts w:hint="default"/>
        <w:lang w:val="en-US" w:eastAsia="en-US" w:bidi="ar-SA"/>
      </w:rPr>
    </w:lvl>
    <w:lvl w:ilvl="2">
      <w:start w:val="0"/>
      <w:numFmt w:val="bullet"/>
      <w:lvlText w:val="•"/>
      <w:lvlJc w:val="left"/>
      <w:pPr>
        <w:ind w:left="3412" w:hanging="226"/>
      </w:pPr>
      <w:rPr>
        <w:rFonts w:hint="default"/>
        <w:lang w:val="en-US" w:eastAsia="en-US" w:bidi="ar-SA"/>
      </w:rPr>
    </w:lvl>
    <w:lvl w:ilvl="3">
      <w:start w:val="0"/>
      <w:numFmt w:val="bullet"/>
      <w:lvlText w:val="•"/>
      <w:lvlJc w:val="left"/>
      <w:pPr>
        <w:ind w:left="4378" w:hanging="226"/>
      </w:pPr>
      <w:rPr>
        <w:rFonts w:hint="default"/>
        <w:lang w:val="en-US" w:eastAsia="en-US" w:bidi="ar-SA"/>
      </w:rPr>
    </w:lvl>
    <w:lvl w:ilvl="4">
      <w:start w:val="0"/>
      <w:numFmt w:val="bullet"/>
      <w:lvlText w:val="•"/>
      <w:lvlJc w:val="left"/>
      <w:pPr>
        <w:ind w:left="5344" w:hanging="226"/>
      </w:pPr>
      <w:rPr>
        <w:rFonts w:hint="default"/>
        <w:lang w:val="en-US" w:eastAsia="en-US" w:bidi="ar-SA"/>
      </w:rPr>
    </w:lvl>
    <w:lvl w:ilvl="5">
      <w:start w:val="0"/>
      <w:numFmt w:val="bullet"/>
      <w:lvlText w:val="•"/>
      <w:lvlJc w:val="left"/>
      <w:pPr>
        <w:ind w:left="6310" w:hanging="226"/>
      </w:pPr>
      <w:rPr>
        <w:rFonts w:hint="default"/>
        <w:lang w:val="en-US" w:eastAsia="en-US" w:bidi="ar-SA"/>
      </w:rPr>
    </w:lvl>
    <w:lvl w:ilvl="6">
      <w:start w:val="0"/>
      <w:numFmt w:val="bullet"/>
      <w:lvlText w:val="•"/>
      <w:lvlJc w:val="left"/>
      <w:pPr>
        <w:ind w:left="7276" w:hanging="226"/>
      </w:pPr>
      <w:rPr>
        <w:rFonts w:hint="default"/>
        <w:lang w:val="en-US" w:eastAsia="en-US" w:bidi="ar-SA"/>
      </w:rPr>
    </w:lvl>
    <w:lvl w:ilvl="7">
      <w:start w:val="0"/>
      <w:numFmt w:val="bullet"/>
      <w:lvlText w:val="•"/>
      <w:lvlJc w:val="left"/>
      <w:pPr>
        <w:ind w:left="8242" w:hanging="226"/>
      </w:pPr>
      <w:rPr>
        <w:rFonts w:hint="default"/>
        <w:lang w:val="en-US" w:eastAsia="en-US" w:bidi="ar-SA"/>
      </w:rPr>
    </w:lvl>
    <w:lvl w:ilvl="8">
      <w:start w:val="0"/>
      <w:numFmt w:val="bullet"/>
      <w:lvlText w:val="•"/>
      <w:lvlJc w:val="left"/>
      <w:pPr>
        <w:ind w:left="9208" w:hanging="226"/>
      </w:pPr>
      <w:rPr>
        <w:rFonts w:hint="default"/>
        <w:lang w:val="en-US" w:eastAsia="en-US" w:bidi="ar-SA"/>
      </w:rPr>
    </w:lvl>
  </w:abstractNum>
  <w:abstractNum w:abstractNumId="7">
    <w:multiLevelType w:val="hybridMultilevel"/>
    <w:lvl w:ilvl="0">
      <w:start w:val="1"/>
      <w:numFmt w:val="decimal"/>
      <w:lvlText w:val="%1."/>
      <w:lvlJc w:val="left"/>
      <w:pPr>
        <w:ind w:left="1560" w:hanging="360"/>
        <w:jc w:val="left"/>
      </w:pPr>
      <w:rPr>
        <w:rFonts w:hint="default" w:ascii="Calibri" w:hAnsi="Calibri" w:eastAsia="Calibri" w:cs="Calibri"/>
        <w:b w:val="0"/>
        <w:bCs w:val="0"/>
        <w:i w:val="0"/>
        <w:iCs w:val="0"/>
        <w:spacing w:val="0"/>
        <w:w w:val="100"/>
        <w:sz w:val="24"/>
        <w:szCs w:val="24"/>
        <w:lang w:val="en-US" w:eastAsia="en-US" w:bidi="ar-SA"/>
      </w:rPr>
    </w:lvl>
    <w:lvl w:ilvl="1">
      <w:start w:val="0"/>
      <w:numFmt w:val="bullet"/>
      <w:lvlText w:val="•"/>
      <w:lvlJc w:val="left"/>
      <w:pPr>
        <w:ind w:left="2518" w:hanging="360"/>
      </w:pPr>
      <w:rPr>
        <w:rFonts w:hint="default"/>
        <w:lang w:val="en-US" w:eastAsia="en-US" w:bidi="ar-SA"/>
      </w:rPr>
    </w:lvl>
    <w:lvl w:ilvl="2">
      <w:start w:val="0"/>
      <w:numFmt w:val="bullet"/>
      <w:lvlText w:val="•"/>
      <w:lvlJc w:val="left"/>
      <w:pPr>
        <w:ind w:left="3476" w:hanging="360"/>
      </w:pPr>
      <w:rPr>
        <w:rFonts w:hint="default"/>
        <w:lang w:val="en-US" w:eastAsia="en-US" w:bidi="ar-SA"/>
      </w:rPr>
    </w:lvl>
    <w:lvl w:ilvl="3">
      <w:start w:val="0"/>
      <w:numFmt w:val="bullet"/>
      <w:lvlText w:val="•"/>
      <w:lvlJc w:val="left"/>
      <w:pPr>
        <w:ind w:left="4434" w:hanging="360"/>
      </w:pPr>
      <w:rPr>
        <w:rFonts w:hint="default"/>
        <w:lang w:val="en-US" w:eastAsia="en-US" w:bidi="ar-SA"/>
      </w:rPr>
    </w:lvl>
    <w:lvl w:ilvl="4">
      <w:start w:val="0"/>
      <w:numFmt w:val="bullet"/>
      <w:lvlText w:val="•"/>
      <w:lvlJc w:val="left"/>
      <w:pPr>
        <w:ind w:left="5392" w:hanging="360"/>
      </w:pPr>
      <w:rPr>
        <w:rFonts w:hint="default"/>
        <w:lang w:val="en-US" w:eastAsia="en-US" w:bidi="ar-SA"/>
      </w:rPr>
    </w:lvl>
    <w:lvl w:ilvl="5">
      <w:start w:val="0"/>
      <w:numFmt w:val="bullet"/>
      <w:lvlText w:val="•"/>
      <w:lvlJc w:val="left"/>
      <w:pPr>
        <w:ind w:left="6350" w:hanging="360"/>
      </w:pPr>
      <w:rPr>
        <w:rFonts w:hint="default"/>
        <w:lang w:val="en-US" w:eastAsia="en-US" w:bidi="ar-SA"/>
      </w:rPr>
    </w:lvl>
    <w:lvl w:ilvl="6">
      <w:start w:val="0"/>
      <w:numFmt w:val="bullet"/>
      <w:lvlText w:val="•"/>
      <w:lvlJc w:val="left"/>
      <w:pPr>
        <w:ind w:left="7308" w:hanging="360"/>
      </w:pPr>
      <w:rPr>
        <w:rFonts w:hint="default"/>
        <w:lang w:val="en-US" w:eastAsia="en-US" w:bidi="ar-SA"/>
      </w:rPr>
    </w:lvl>
    <w:lvl w:ilvl="7">
      <w:start w:val="0"/>
      <w:numFmt w:val="bullet"/>
      <w:lvlText w:val="•"/>
      <w:lvlJc w:val="left"/>
      <w:pPr>
        <w:ind w:left="8266" w:hanging="360"/>
      </w:pPr>
      <w:rPr>
        <w:rFonts w:hint="default"/>
        <w:lang w:val="en-US" w:eastAsia="en-US" w:bidi="ar-SA"/>
      </w:rPr>
    </w:lvl>
    <w:lvl w:ilvl="8">
      <w:start w:val="0"/>
      <w:numFmt w:val="bullet"/>
      <w:lvlText w:val="•"/>
      <w:lvlJc w:val="left"/>
      <w:pPr>
        <w:ind w:left="9224" w:hanging="360"/>
      </w:pPr>
      <w:rPr>
        <w:rFonts w:hint="default"/>
        <w:lang w:val="en-US" w:eastAsia="en-US" w:bidi="ar-SA"/>
      </w:rPr>
    </w:lvl>
  </w:abstractNum>
  <w:abstractNum w:abstractNumId="6">
    <w:multiLevelType w:val="hybridMultilevel"/>
    <w:lvl w:ilvl="0">
      <w:start w:val="1"/>
      <w:numFmt w:val="decimal"/>
      <w:lvlText w:val="%1."/>
      <w:lvlJc w:val="left"/>
      <w:pPr>
        <w:ind w:left="480" w:hanging="360"/>
        <w:jc w:val="right"/>
      </w:pPr>
      <w:rPr>
        <w:rFonts w:hint="default" w:ascii="Calibri" w:hAnsi="Calibri" w:eastAsia="Calibri" w:cs="Calibri"/>
        <w:b/>
        <w:bCs/>
        <w:i w:val="0"/>
        <w:iCs w:val="0"/>
        <w:spacing w:val="0"/>
        <w:w w:val="100"/>
        <w:sz w:val="24"/>
        <w:szCs w:val="24"/>
        <w:lang w:val="en-US" w:eastAsia="en-US" w:bidi="ar-SA"/>
      </w:rPr>
    </w:lvl>
    <w:lvl w:ilvl="1">
      <w:start w:val="0"/>
      <w:numFmt w:val="bullet"/>
      <w:lvlText w:val=""/>
      <w:lvlJc w:val="left"/>
      <w:pPr>
        <w:ind w:left="1560" w:hanging="360"/>
      </w:pPr>
      <w:rPr>
        <w:rFonts w:hint="default" w:ascii="Symbol" w:hAnsi="Symbol" w:eastAsia="Symbol" w:cs="Symbol"/>
        <w:spacing w:val="0"/>
        <w:w w:val="100"/>
        <w:lang w:val="en-US" w:eastAsia="en-US" w:bidi="ar-SA"/>
      </w:rPr>
    </w:lvl>
    <w:lvl w:ilvl="2">
      <w:start w:val="0"/>
      <w:numFmt w:val="bullet"/>
      <w:lvlText w:val="•"/>
      <w:lvlJc w:val="left"/>
      <w:pPr>
        <w:ind w:left="1560" w:hanging="360"/>
      </w:pPr>
      <w:rPr>
        <w:rFonts w:hint="default"/>
        <w:lang w:val="en-US" w:eastAsia="en-US" w:bidi="ar-SA"/>
      </w:rPr>
    </w:lvl>
    <w:lvl w:ilvl="3">
      <w:start w:val="0"/>
      <w:numFmt w:val="bullet"/>
      <w:lvlText w:val="•"/>
      <w:lvlJc w:val="left"/>
      <w:pPr>
        <w:ind w:left="2745" w:hanging="360"/>
      </w:pPr>
      <w:rPr>
        <w:rFonts w:hint="default"/>
        <w:lang w:val="en-US" w:eastAsia="en-US" w:bidi="ar-SA"/>
      </w:rPr>
    </w:lvl>
    <w:lvl w:ilvl="4">
      <w:start w:val="0"/>
      <w:numFmt w:val="bullet"/>
      <w:lvlText w:val="•"/>
      <w:lvlJc w:val="left"/>
      <w:pPr>
        <w:ind w:left="3930" w:hanging="360"/>
      </w:pPr>
      <w:rPr>
        <w:rFonts w:hint="default"/>
        <w:lang w:val="en-US" w:eastAsia="en-US" w:bidi="ar-SA"/>
      </w:rPr>
    </w:lvl>
    <w:lvl w:ilvl="5">
      <w:start w:val="0"/>
      <w:numFmt w:val="bullet"/>
      <w:lvlText w:val="•"/>
      <w:lvlJc w:val="left"/>
      <w:pPr>
        <w:ind w:left="5115" w:hanging="360"/>
      </w:pPr>
      <w:rPr>
        <w:rFonts w:hint="default"/>
        <w:lang w:val="en-US" w:eastAsia="en-US" w:bidi="ar-SA"/>
      </w:rPr>
    </w:lvl>
    <w:lvl w:ilvl="6">
      <w:start w:val="0"/>
      <w:numFmt w:val="bullet"/>
      <w:lvlText w:val="•"/>
      <w:lvlJc w:val="left"/>
      <w:pPr>
        <w:ind w:left="6300" w:hanging="360"/>
      </w:pPr>
      <w:rPr>
        <w:rFonts w:hint="default"/>
        <w:lang w:val="en-US" w:eastAsia="en-US" w:bidi="ar-SA"/>
      </w:rPr>
    </w:lvl>
    <w:lvl w:ilvl="7">
      <w:start w:val="0"/>
      <w:numFmt w:val="bullet"/>
      <w:lvlText w:val="•"/>
      <w:lvlJc w:val="left"/>
      <w:pPr>
        <w:ind w:left="7485" w:hanging="360"/>
      </w:pPr>
      <w:rPr>
        <w:rFonts w:hint="default"/>
        <w:lang w:val="en-US" w:eastAsia="en-US" w:bidi="ar-SA"/>
      </w:rPr>
    </w:lvl>
    <w:lvl w:ilvl="8">
      <w:start w:val="0"/>
      <w:numFmt w:val="bullet"/>
      <w:lvlText w:val="•"/>
      <w:lvlJc w:val="left"/>
      <w:pPr>
        <w:ind w:left="8670" w:hanging="360"/>
      </w:pPr>
      <w:rPr>
        <w:rFonts w:hint="default"/>
        <w:lang w:val="en-US" w:eastAsia="en-US" w:bidi="ar-SA"/>
      </w:rPr>
    </w:lvl>
  </w:abstractNum>
  <w:abstractNum w:abstractNumId="5">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6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90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8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4">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00"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293" w:hanging="360"/>
      </w:pPr>
      <w:rPr>
        <w:rFonts w:hint="default"/>
        <w:lang w:val="en-US" w:eastAsia="en-US" w:bidi="ar-SA"/>
      </w:rPr>
    </w:lvl>
    <w:lvl w:ilvl="3">
      <w:start w:val="0"/>
      <w:numFmt w:val="bullet"/>
      <w:lvlText w:val="•"/>
      <w:lvlJc w:val="left"/>
      <w:pPr>
        <w:ind w:left="3386" w:hanging="360"/>
      </w:pPr>
      <w:rPr>
        <w:rFonts w:hint="default"/>
        <w:lang w:val="en-US" w:eastAsia="en-US" w:bidi="ar-SA"/>
      </w:rPr>
    </w:lvl>
    <w:lvl w:ilvl="4">
      <w:start w:val="0"/>
      <w:numFmt w:val="bullet"/>
      <w:lvlText w:val="•"/>
      <w:lvlJc w:val="left"/>
      <w:pPr>
        <w:ind w:left="4480" w:hanging="360"/>
      </w:pPr>
      <w:rPr>
        <w:rFonts w:hint="default"/>
        <w:lang w:val="en-US" w:eastAsia="en-US" w:bidi="ar-SA"/>
      </w:rPr>
    </w:lvl>
    <w:lvl w:ilvl="5">
      <w:start w:val="0"/>
      <w:numFmt w:val="bullet"/>
      <w:lvlText w:val="•"/>
      <w:lvlJc w:val="left"/>
      <w:pPr>
        <w:ind w:left="5573" w:hanging="360"/>
      </w:pPr>
      <w:rPr>
        <w:rFonts w:hint="default"/>
        <w:lang w:val="en-US" w:eastAsia="en-US" w:bidi="ar-SA"/>
      </w:rPr>
    </w:lvl>
    <w:lvl w:ilvl="6">
      <w:start w:val="0"/>
      <w:numFmt w:val="bullet"/>
      <w:lvlText w:val="•"/>
      <w:lvlJc w:val="left"/>
      <w:pPr>
        <w:ind w:left="6666" w:hanging="360"/>
      </w:pPr>
      <w:rPr>
        <w:rFonts w:hint="default"/>
        <w:lang w:val="en-US" w:eastAsia="en-US" w:bidi="ar-SA"/>
      </w:rPr>
    </w:lvl>
    <w:lvl w:ilvl="7">
      <w:start w:val="0"/>
      <w:numFmt w:val="bullet"/>
      <w:lvlText w:val="•"/>
      <w:lvlJc w:val="left"/>
      <w:pPr>
        <w:ind w:left="7760" w:hanging="360"/>
      </w:pPr>
      <w:rPr>
        <w:rFonts w:hint="default"/>
        <w:lang w:val="en-US" w:eastAsia="en-US" w:bidi="ar-SA"/>
      </w:rPr>
    </w:lvl>
    <w:lvl w:ilvl="8">
      <w:start w:val="0"/>
      <w:numFmt w:val="bullet"/>
      <w:lvlText w:val="•"/>
      <w:lvlJc w:val="left"/>
      <w:pPr>
        <w:ind w:left="8853" w:hanging="360"/>
      </w:pPr>
      <w:rPr>
        <w:rFonts w:hint="default"/>
        <w:lang w:val="en-US" w:eastAsia="en-US" w:bidi="ar-SA"/>
      </w:rPr>
    </w:lvl>
  </w:abstractNum>
  <w:abstractNum w:abstractNumId="3">
    <w:multiLevelType w:val="hybridMultilevel"/>
    <w:lvl w:ilvl="0">
      <w:start w:val="0"/>
      <w:numFmt w:val="bullet"/>
      <w:lvlText w:val=""/>
      <w:lvlJc w:val="left"/>
      <w:pPr>
        <w:ind w:left="84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860" w:hanging="360"/>
      </w:pPr>
      <w:rPr>
        <w:rFonts w:hint="default"/>
        <w:lang w:val="en-US" w:eastAsia="en-US" w:bidi="ar-SA"/>
      </w:rPr>
    </w:lvl>
    <w:lvl w:ilvl="2">
      <w:start w:val="0"/>
      <w:numFmt w:val="bullet"/>
      <w:lvlText w:val="•"/>
      <w:lvlJc w:val="left"/>
      <w:pPr>
        <w:ind w:left="2880" w:hanging="360"/>
      </w:pPr>
      <w:rPr>
        <w:rFonts w:hint="default"/>
        <w:lang w:val="en-US" w:eastAsia="en-US" w:bidi="ar-SA"/>
      </w:rPr>
    </w:lvl>
    <w:lvl w:ilvl="3">
      <w:start w:val="0"/>
      <w:numFmt w:val="bullet"/>
      <w:lvlText w:val="•"/>
      <w:lvlJc w:val="left"/>
      <w:pPr>
        <w:ind w:left="390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5940" w:hanging="360"/>
      </w:pPr>
      <w:rPr>
        <w:rFonts w:hint="default"/>
        <w:lang w:val="en-US" w:eastAsia="en-US" w:bidi="ar-SA"/>
      </w:rPr>
    </w:lvl>
    <w:lvl w:ilvl="6">
      <w:start w:val="0"/>
      <w:numFmt w:val="bullet"/>
      <w:lvlText w:val="•"/>
      <w:lvlJc w:val="left"/>
      <w:pPr>
        <w:ind w:left="6960" w:hanging="360"/>
      </w:pPr>
      <w:rPr>
        <w:rFonts w:hint="default"/>
        <w:lang w:val="en-US" w:eastAsia="en-US" w:bidi="ar-SA"/>
      </w:rPr>
    </w:lvl>
    <w:lvl w:ilvl="7">
      <w:start w:val="0"/>
      <w:numFmt w:val="bullet"/>
      <w:lvlText w:val="•"/>
      <w:lvlJc w:val="left"/>
      <w:pPr>
        <w:ind w:left="7980" w:hanging="360"/>
      </w:pPr>
      <w:rPr>
        <w:rFonts w:hint="default"/>
        <w:lang w:val="en-US" w:eastAsia="en-US" w:bidi="ar-SA"/>
      </w:rPr>
    </w:lvl>
    <w:lvl w:ilvl="8">
      <w:start w:val="0"/>
      <w:numFmt w:val="bullet"/>
      <w:lvlText w:val="•"/>
      <w:lvlJc w:val="left"/>
      <w:pPr>
        <w:ind w:left="9000" w:hanging="360"/>
      </w:pPr>
      <w:rPr>
        <w:rFonts w:hint="default"/>
        <w:lang w:val="en-US" w:eastAsia="en-US" w:bidi="ar-SA"/>
      </w:rPr>
    </w:lvl>
  </w:abstractNum>
  <w:abstractNum w:abstractNumId="2">
    <w:multiLevelType w:val="hybridMultilevel"/>
    <w:lvl w:ilvl="0">
      <w:start w:val="2"/>
      <w:numFmt w:val="lowerLetter"/>
      <w:lvlText w:val="(%1)"/>
      <w:lvlJc w:val="left"/>
      <w:pPr>
        <w:ind w:left="120" w:hanging="337"/>
        <w:jc w:val="left"/>
      </w:pPr>
      <w:rPr>
        <w:rFonts w:hint="default" w:ascii="Calibri" w:hAnsi="Calibri" w:eastAsia="Calibri" w:cs="Calibri"/>
        <w:b w:val="0"/>
        <w:bCs w:val="0"/>
        <w:i w:val="0"/>
        <w:iCs w:val="0"/>
        <w:spacing w:val="-1"/>
        <w:w w:val="100"/>
        <w:sz w:val="24"/>
        <w:szCs w:val="24"/>
        <w:lang w:val="en-US" w:eastAsia="en-US" w:bidi="ar-SA"/>
      </w:rPr>
    </w:lvl>
    <w:lvl w:ilvl="1">
      <w:start w:val="0"/>
      <w:numFmt w:val="bullet"/>
      <w:lvlText w:val="•"/>
      <w:lvlJc w:val="left"/>
      <w:pPr>
        <w:ind w:left="1212" w:hanging="337"/>
      </w:pPr>
      <w:rPr>
        <w:rFonts w:hint="default"/>
        <w:lang w:val="en-US" w:eastAsia="en-US" w:bidi="ar-SA"/>
      </w:rPr>
    </w:lvl>
    <w:lvl w:ilvl="2">
      <w:start w:val="0"/>
      <w:numFmt w:val="bullet"/>
      <w:lvlText w:val="•"/>
      <w:lvlJc w:val="left"/>
      <w:pPr>
        <w:ind w:left="2304" w:hanging="337"/>
      </w:pPr>
      <w:rPr>
        <w:rFonts w:hint="default"/>
        <w:lang w:val="en-US" w:eastAsia="en-US" w:bidi="ar-SA"/>
      </w:rPr>
    </w:lvl>
    <w:lvl w:ilvl="3">
      <w:start w:val="0"/>
      <w:numFmt w:val="bullet"/>
      <w:lvlText w:val="•"/>
      <w:lvlJc w:val="left"/>
      <w:pPr>
        <w:ind w:left="3396" w:hanging="337"/>
      </w:pPr>
      <w:rPr>
        <w:rFonts w:hint="default"/>
        <w:lang w:val="en-US" w:eastAsia="en-US" w:bidi="ar-SA"/>
      </w:rPr>
    </w:lvl>
    <w:lvl w:ilvl="4">
      <w:start w:val="0"/>
      <w:numFmt w:val="bullet"/>
      <w:lvlText w:val="•"/>
      <w:lvlJc w:val="left"/>
      <w:pPr>
        <w:ind w:left="4488" w:hanging="337"/>
      </w:pPr>
      <w:rPr>
        <w:rFonts w:hint="default"/>
        <w:lang w:val="en-US" w:eastAsia="en-US" w:bidi="ar-SA"/>
      </w:rPr>
    </w:lvl>
    <w:lvl w:ilvl="5">
      <w:start w:val="0"/>
      <w:numFmt w:val="bullet"/>
      <w:lvlText w:val="•"/>
      <w:lvlJc w:val="left"/>
      <w:pPr>
        <w:ind w:left="5580" w:hanging="337"/>
      </w:pPr>
      <w:rPr>
        <w:rFonts w:hint="default"/>
        <w:lang w:val="en-US" w:eastAsia="en-US" w:bidi="ar-SA"/>
      </w:rPr>
    </w:lvl>
    <w:lvl w:ilvl="6">
      <w:start w:val="0"/>
      <w:numFmt w:val="bullet"/>
      <w:lvlText w:val="•"/>
      <w:lvlJc w:val="left"/>
      <w:pPr>
        <w:ind w:left="6672" w:hanging="337"/>
      </w:pPr>
      <w:rPr>
        <w:rFonts w:hint="default"/>
        <w:lang w:val="en-US" w:eastAsia="en-US" w:bidi="ar-SA"/>
      </w:rPr>
    </w:lvl>
    <w:lvl w:ilvl="7">
      <w:start w:val="0"/>
      <w:numFmt w:val="bullet"/>
      <w:lvlText w:val="•"/>
      <w:lvlJc w:val="left"/>
      <w:pPr>
        <w:ind w:left="7764" w:hanging="337"/>
      </w:pPr>
      <w:rPr>
        <w:rFonts w:hint="default"/>
        <w:lang w:val="en-US" w:eastAsia="en-US" w:bidi="ar-SA"/>
      </w:rPr>
    </w:lvl>
    <w:lvl w:ilvl="8">
      <w:start w:val="0"/>
      <w:numFmt w:val="bullet"/>
      <w:lvlText w:val="•"/>
      <w:lvlJc w:val="left"/>
      <w:pPr>
        <w:ind w:left="8856" w:hanging="337"/>
      </w:pPr>
      <w:rPr>
        <w:rFonts w:hint="default"/>
        <w:lang w:val="en-US" w:eastAsia="en-US" w:bidi="ar-SA"/>
      </w:rPr>
    </w:lvl>
  </w:abstractNum>
  <w:abstractNum w:abstractNumId="1">
    <w:multiLevelType w:val="hybridMultilevel"/>
    <w:lvl w:ilvl="0">
      <w:start w:val="0"/>
      <w:numFmt w:val="bullet"/>
      <w:lvlText w:val=""/>
      <w:lvlJc w:val="left"/>
      <w:pPr>
        <w:ind w:left="1550"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508" w:hanging="360"/>
      </w:pPr>
      <w:rPr>
        <w:rFonts w:hint="default"/>
        <w:lang w:val="en-US" w:eastAsia="en-US" w:bidi="ar-SA"/>
      </w:rPr>
    </w:lvl>
    <w:lvl w:ilvl="2">
      <w:start w:val="0"/>
      <w:numFmt w:val="bullet"/>
      <w:lvlText w:val="•"/>
      <w:lvlJc w:val="left"/>
      <w:pPr>
        <w:ind w:left="3456" w:hanging="360"/>
      </w:pPr>
      <w:rPr>
        <w:rFonts w:hint="default"/>
        <w:lang w:val="en-US" w:eastAsia="en-US" w:bidi="ar-SA"/>
      </w:rPr>
    </w:lvl>
    <w:lvl w:ilvl="3">
      <w:start w:val="0"/>
      <w:numFmt w:val="bullet"/>
      <w:lvlText w:val="•"/>
      <w:lvlJc w:val="left"/>
      <w:pPr>
        <w:ind w:left="4404" w:hanging="360"/>
      </w:pPr>
      <w:rPr>
        <w:rFonts w:hint="default"/>
        <w:lang w:val="en-US" w:eastAsia="en-US" w:bidi="ar-SA"/>
      </w:rPr>
    </w:lvl>
    <w:lvl w:ilvl="4">
      <w:start w:val="0"/>
      <w:numFmt w:val="bullet"/>
      <w:lvlText w:val="•"/>
      <w:lvlJc w:val="left"/>
      <w:pPr>
        <w:ind w:left="5352" w:hanging="360"/>
      </w:pPr>
      <w:rPr>
        <w:rFonts w:hint="default"/>
        <w:lang w:val="en-US" w:eastAsia="en-US" w:bidi="ar-SA"/>
      </w:rPr>
    </w:lvl>
    <w:lvl w:ilvl="5">
      <w:start w:val="0"/>
      <w:numFmt w:val="bullet"/>
      <w:lvlText w:val="•"/>
      <w:lvlJc w:val="left"/>
      <w:pPr>
        <w:ind w:left="6300" w:hanging="360"/>
      </w:pPr>
      <w:rPr>
        <w:rFonts w:hint="default"/>
        <w:lang w:val="en-US" w:eastAsia="en-US" w:bidi="ar-SA"/>
      </w:rPr>
    </w:lvl>
    <w:lvl w:ilvl="6">
      <w:start w:val="0"/>
      <w:numFmt w:val="bullet"/>
      <w:lvlText w:val="•"/>
      <w:lvlJc w:val="left"/>
      <w:pPr>
        <w:ind w:left="7248" w:hanging="360"/>
      </w:pPr>
      <w:rPr>
        <w:rFonts w:hint="default"/>
        <w:lang w:val="en-US" w:eastAsia="en-US" w:bidi="ar-SA"/>
      </w:rPr>
    </w:lvl>
    <w:lvl w:ilvl="7">
      <w:start w:val="0"/>
      <w:numFmt w:val="bullet"/>
      <w:lvlText w:val="•"/>
      <w:lvlJc w:val="left"/>
      <w:pPr>
        <w:ind w:left="8196" w:hanging="360"/>
      </w:pPr>
      <w:rPr>
        <w:rFonts w:hint="default"/>
        <w:lang w:val="en-US" w:eastAsia="en-US" w:bidi="ar-SA"/>
      </w:rPr>
    </w:lvl>
    <w:lvl w:ilvl="8">
      <w:start w:val="0"/>
      <w:numFmt w:val="bullet"/>
      <w:lvlText w:val="•"/>
      <w:lvlJc w:val="left"/>
      <w:pPr>
        <w:ind w:left="9144" w:hanging="360"/>
      </w:pPr>
      <w:rPr>
        <w:rFonts w:hint="default"/>
        <w:lang w:val="en-US" w:eastAsia="en-US" w:bidi="ar-SA"/>
      </w:rPr>
    </w:lvl>
  </w:abstractNum>
  <w:abstractNum w:abstractNumId="0">
    <w:multiLevelType w:val="hybridMultilevel"/>
    <w:lvl w:ilvl="0">
      <w:start w:val="1"/>
      <w:numFmt w:val="decimal"/>
      <w:lvlText w:val="%1."/>
      <w:lvlJc w:val="left"/>
      <w:pPr>
        <w:ind w:left="1720" w:hanging="610"/>
        <w:jc w:val="left"/>
      </w:pPr>
      <w:rPr>
        <w:rFonts w:hint="default" w:ascii="Calibri" w:hAnsi="Calibri" w:eastAsia="Calibri" w:cs="Calibri"/>
        <w:b w:val="0"/>
        <w:bCs w:val="0"/>
        <w:i w:val="0"/>
        <w:iCs w:val="0"/>
        <w:spacing w:val="0"/>
        <w:w w:val="100"/>
        <w:sz w:val="24"/>
        <w:szCs w:val="24"/>
        <w:lang w:val="en-US" w:eastAsia="en-US" w:bidi="ar-SA"/>
      </w:rPr>
    </w:lvl>
    <w:lvl w:ilvl="1">
      <w:start w:val="1"/>
      <w:numFmt w:val="upperLetter"/>
      <w:lvlText w:val="%2."/>
      <w:lvlJc w:val="left"/>
      <w:pPr>
        <w:ind w:left="1720" w:hanging="610"/>
        <w:jc w:val="left"/>
      </w:pPr>
      <w:rPr>
        <w:rFonts w:hint="default" w:ascii="Calibri" w:hAnsi="Calibri" w:eastAsia="Calibri" w:cs="Calibri"/>
        <w:b w:val="0"/>
        <w:bCs w:val="0"/>
        <w:i w:val="0"/>
        <w:iCs w:val="0"/>
        <w:spacing w:val="0"/>
        <w:w w:val="100"/>
        <w:sz w:val="24"/>
        <w:szCs w:val="24"/>
        <w:lang w:val="en-US" w:eastAsia="en-US" w:bidi="ar-SA"/>
      </w:rPr>
    </w:lvl>
    <w:lvl w:ilvl="2">
      <w:start w:val="0"/>
      <w:numFmt w:val="bullet"/>
      <w:lvlText w:val="•"/>
      <w:lvlJc w:val="left"/>
      <w:pPr>
        <w:ind w:left="3584" w:hanging="610"/>
      </w:pPr>
      <w:rPr>
        <w:rFonts w:hint="default"/>
        <w:lang w:val="en-US" w:eastAsia="en-US" w:bidi="ar-SA"/>
      </w:rPr>
    </w:lvl>
    <w:lvl w:ilvl="3">
      <w:start w:val="0"/>
      <w:numFmt w:val="bullet"/>
      <w:lvlText w:val="•"/>
      <w:lvlJc w:val="left"/>
      <w:pPr>
        <w:ind w:left="4516" w:hanging="610"/>
      </w:pPr>
      <w:rPr>
        <w:rFonts w:hint="default"/>
        <w:lang w:val="en-US" w:eastAsia="en-US" w:bidi="ar-SA"/>
      </w:rPr>
    </w:lvl>
    <w:lvl w:ilvl="4">
      <w:start w:val="0"/>
      <w:numFmt w:val="bullet"/>
      <w:lvlText w:val="•"/>
      <w:lvlJc w:val="left"/>
      <w:pPr>
        <w:ind w:left="5448" w:hanging="610"/>
      </w:pPr>
      <w:rPr>
        <w:rFonts w:hint="default"/>
        <w:lang w:val="en-US" w:eastAsia="en-US" w:bidi="ar-SA"/>
      </w:rPr>
    </w:lvl>
    <w:lvl w:ilvl="5">
      <w:start w:val="0"/>
      <w:numFmt w:val="bullet"/>
      <w:lvlText w:val="•"/>
      <w:lvlJc w:val="left"/>
      <w:pPr>
        <w:ind w:left="6380" w:hanging="610"/>
      </w:pPr>
      <w:rPr>
        <w:rFonts w:hint="default"/>
        <w:lang w:val="en-US" w:eastAsia="en-US" w:bidi="ar-SA"/>
      </w:rPr>
    </w:lvl>
    <w:lvl w:ilvl="6">
      <w:start w:val="0"/>
      <w:numFmt w:val="bullet"/>
      <w:lvlText w:val="•"/>
      <w:lvlJc w:val="left"/>
      <w:pPr>
        <w:ind w:left="7312" w:hanging="610"/>
      </w:pPr>
      <w:rPr>
        <w:rFonts w:hint="default"/>
        <w:lang w:val="en-US" w:eastAsia="en-US" w:bidi="ar-SA"/>
      </w:rPr>
    </w:lvl>
    <w:lvl w:ilvl="7">
      <w:start w:val="0"/>
      <w:numFmt w:val="bullet"/>
      <w:lvlText w:val="•"/>
      <w:lvlJc w:val="left"/>
      <w:pPr>
        <w:ind w:left="8244" w:hanging="610"/>
      </w:pPr>
      <w:rPr>
        <w:rFonts w:hint="default"/>
        <w:lang w:val="en-US" w:eastAsia="en-US" w:bidi="ar-SA"/>
      </w:rPr>
    </w:lvl>
    <w:lvl w:ilvl="8">
      <w:start w:val="0"/>
      <w:numFmt w:val="bullet"/>
      <w:lvlText w:val="•"/>
      <w:lvlJc w:val="left"/>
      <w:pPr>
        <w:ind w:left="9176" w:hanging="610"/>
      </w:pPr>
      <w:rPr>
        <w:rFonts w:hint="default"/>
        <w:lang w:val="en-US" w:eastAsia="en-US" w:bidi="ar-SA"/>
      </w:rPr>
    </w:lvl>
  </w:abstract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49"/>
      <w:ind w:left="840"/>
    </w:pPr>
    <w:rPr>
      <w:rFonts w:ascii="Calibri" w:hAnsi="Calibri" w:eastAsia="Calibri" w:cs="Calibri"/>
      <w:sz w:val="24"/>
      <w:szCs w:val="24"/>
      <w:lang w:val="en-US" w:eastAsia="en-US" w:bidi="ar-SA"/>
    </w:rPr>
  </w:style>
  <w:style w:styleId="TOC2" w:type="paragraph">
    <w:name w:val="TOC 2"/>
    <w:basedOn w:val="Normal"/>
    <w:uiPriority w:val="1"/>
    <w:qFormat/>
    <w:pPr>
      <w:spacing w:before="98"/>
      <w:ind w:left="840"/>
    </w:pPr>
    <w:rPr>
      <w:rFonts w:ascii="Calibri" w:hAnsi="Calibri" w:eastAsia="Calibri" w:cs="Calibri"/>
      <w:sz w:val="24"/>
      <w:szCs w:val="24"/>
      <w:lang w:val="en-US" w:eastAsia="en-US" w:bidi="ar-SA"/>
    </w:rPr>
  </w:style>
  <w:style w:styleId="TOC3" w:type="paragraph">
    <w:name w:val="TOC 3"/>
    <w:basedOn w:val="Normal"/>
    <w:uiPriority w:val="1"/>
    <w:qFormat/>
    <w:pPr>
      <w:spacing w:before="100"/>
      <w:ind w:left="1720" w:hanging="609"/>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line="503" w:lineRule="exact"/>
      <w:ind w:left="201"/>
      <w:outlineLvl w:val="1"/>
    </w:pPr>
    <w:rPr>
      <w:rFonts w:ascii="Arial" w:hAnsi="Arial" w:eastAsia="Arial" w:cs="Arial"/>
      <w:b/>
      <w:bCs/>
      <w:sz w:val="45"/>
      <w:szCs w:val="45"/>
      <w:lang w:val="en-US" w:eastAsia="en-US" w:bidi="ar-SA"/>
    </w:rPr>
  </w:style>
  <w:style w:styleId="Heading2" w:type="paragraph">
    <w:name w:val="Heading 2"/>
    <w:basedOn w:val="Normal"/>
    <w:uiPriority w:val="1"/>
    <w:qFormat/>
    <w:pPr>
      <w:spacing w:before="35"/>
      <w:ind w:left="7334"/>
      <w:outlineLvl w:val="2"/>
    </w:pPr>
    <w:rPr>
      <w:rFonts w:ascii="Calibri" w:hAnsi="Calibri" w:eastAsia="Calibri" w:cs="Calibri"/>
      <w:i/>
      <w:iCs/>
      <w:sz w:val="32"/>
      <w:szCs w:val="32"/>
      <w:lang w:val="en-US" w:eastAsia="en-US" w:bidi="ar-SA"/>
    </w:rPr>
  </w:style>
  <w:style w:styleId="Heading3" w:type="paragraph">
    <w:name w:val="Heading 3"/>
    <w:basedOn w:val="Normal"/>
    <w:uiPriority w:val="1"/>
    <w:qFormat/>
    <w:pPr>
      <w:spacing w:before="64"/>
      <w:ind w:left="1275"/>
      <w:outlineLvl w:val="3"/>
    </w:pPr>
    <w:rPr>
      <w:rFonts w:ascii="Times New Roman" w:hAnsi="Times New Roman" w:eastAsia="Times New Roman" w:cs="Times New Roman"/>
      <w:b/>
      <w:bCs/>
      <w:sz w:val="31"/>
      <w:szCs w:val="31"/>
      <w:lang w:val="en-US" w:eastAsia="en-US" w:bidi="ar-SA"/>
    </w:rPr>
  </w:style>
  <w:style w:styleId="Heading4" w:type="paragraph">
    <w:name w:val="Heading 4"/>
    <w:basedOn w:val="Normal"/>
    <w:uiPriority w:val="1"/>
    <w:qFormat/>
    <w:pPr>
      <w:spacing w:before="65"/>
      <w:ind w:left="1457" w:right="3500"/>
      <w:jc w:val="center"/>
      <w:outlineLvl w:val="4"/>
    </w:pPr>
    <w:rPr>
      <w:rFonts w:ascii="Times New Roman" w:hAnsi="Times New Roman" w:eastAsia="Times New Roman" w:cs="Times New Roman"/>
      <w:b/>
      <w:bCs/>
      <w:sz w:val="28"/>
      <w:szCs w:val="28"/>
      <w:lang w:val="en-US" w:eastAsia="en-US" w:bidi="ar-SA"/>
    </w:rPr>
  </w:style>
  <w:style w:styleId="Heading5" w:type="paragraph">
    <w:name w:val="Heading 5"/>
    <w:basedOn w:val="Normal"/>
    <w:uiPriority w:val="1"/>
    <w:qFormat/>
    <w:pPr>
      <w:ind w:left="1457" w:hanging="546"/>
      <w:outlineLvl w:val="5"/>
    </w:pPr>
    <w:rPr>
      <w:rFonts w:ascii="Calibri" w:hAnsi="Calibri" w:eastAsia="Calibri" w:cs="Calibri"/>
      <w:b/>
      <w:bCs/>
      <w:sz w:val="28"/>
      <w:szCs w:val="28"/>
      <w:lang w:val="en-US" w:eastAsia="en-US" w:bidi="ar-SA"/>
    </w:rPr>
  </w:style>
  <w:style w:styleId="Heading6" w:type="paragraph">
    <w:name w:val="Heading 6"/>
    <w:basedOn w:val="Normal"/>
    <w:uiPriority w:val="1"/>
    <w:qFormat/>
    <w:pPr>
      <w:spacing w:before="89"/>
      <w:ind w:left="872"/>
      <w:jc w:val="center"/>
      <w:outlineLvl w:val="6"/>
    </w:pPr>
    <w:rPr>
      <w:rFonts w:ascii="Times New Roman" w:hAnsi="Times New Roman" w:eastAsia="Times New Roman" w:cs="Times New Roman"/>
      <w:b/>
      <w:bCs/>
      <w:sz w:val="27"/>
      <w:szCs w:val="27"/>
      <w:lang w:val="en-US" w:eastAsia="en-US" w:bidi="ar-SA"/>
    </w:rPr>
  </w:style>
  <w:style w:styleId="Heading7" w:type="paragraph">
    <w:name w:val="Heading 7"/>
    <w:basedOn w:val="Normal"/>
    <w:uiPriority w:val="1"/>
    <w:qFormat/>
    <w:pPr>
      <w:ind w:left="120"/>
      <w:outlineLvl w:val="7"/>
    </w:pPr>
    <w:rPr>
      <w:rFonts w:ascii="Calibri" w:hAnsi="Calibri" w:eastAsia="Calibri" w:cs="Calibri"/>
      <w:b/>
      <w:bCs/>
      <w:sz w:val="26"/>
      <w:szCs w:val="26"/>
      <w:lang w:val="en-US" w:eastAsia="en-US" w:bidi="ar-SA"/>
    </w:rPr>
  </w:style>
  <w:style w:styleId="Heading8" w:type="paragraph">
    <w:name w:val="Heading 8"/>
    <w:basedOn w:val="Normal"/>
    <w:uiPriority w:val="1"/>
    <w:qFormat/>
    <w:pPr>
      <w:ind w:left="1209"/>
      <w:jc w:val="center"/>
      <w:outlineLvl w:val="8"/>
    </w:pPr>
    <w:rPr>
      <w:rFonts w:ascii="Calibri" w:hAnsi="Calibri" w:eastAsia="Calibri" w:cs="Calibri"/>
      <w:b/>
      <w:bCs/>
      <w:sz w:val="24"/>
      <w:szCs w:val="24"/>
      <w:u w:val="single" w:color="000000"/>
      <w:lang w:val="en-US" w:eastAsia="en-US" w:bidi="ar-SA"/>
    </w:rPr>
  </w:style>
  <w:style w:styleId="Heading9" w:type="paragraph">
    <w:name w:val="Heading 9"/>
    <w:basedOn w:val="Normal"/>
    <w:uiPriority w:val="1"/>
    <w:qFormat/>
    <w:pPr>
      <w:ind w:left="120"/>
      <w:outlineLvl w:val="9"/>
    </w:pPr>
    <w:rPr>
      <w:rFonts w:ascii="Calibri" w:hAnsi="Calibri" w:eastAsia="Calibri" w:cs="Calibri"/>
      <w:b/>
      <w:bCs/>
      <w:sz w:val="24"/>
      <w:szCs w:val="24"/>
      <w:lang w:val="en-US" w:eastAsia="en-US" w:bidi="ar-SA"/>
    </w:rPr>
  </w:style>
  <w:style w:styleId="Title" w:type="paragraph">
    <w:name w:val="Title"/>
    <w:basedOn w:val="Normal"/>
    <w:uiPriority w:val="1"/>
    <w:qFormat/>
    <w:pPr>
      <w:spacing w:before="1" w:line="878" w:lineRule="exact"/>
      <w:ind w:left="2944" w:right="2943"/>
      <w:jc w:val="center"/>
    </w:pPr>
    <w:rPr>
      <w:rFonts w:ascii="Calibri" w:hAnsi="Calibri" w:eastAsia="Calibri" w:cs="Calibri"/>
      <w:b/>
      <w:bCs/>
      <w:i/>
      <w:iCs/>
      <w:sz w:val="72"/>
      <w:szCs w:val="72"/>
      <w:lang w:val="en-US" w:eastAsia="en-US" w:bidi="ar-SA"/>
    </w:rPr>
  </w:style>
  <w:style w:styleId="ListParagraph" w:type="paragraph">
    <w:name w:val="List Paragraph"/>
    <w:basedOn w:val="Normal"/>
    <w:uiPriority w:val="1"/>
    <w:qFormat/>
    <w:pPr>
      <w:ind w:left="839" w:hanging="360"/>
    </w:pPr>
    <w:rPr>
      <w:rFonts w:ascii="Calibri" w:hAnsi="Calibri" w:eastAsia="Calibri" w:cs="Calibri"/>
      <w:lang w:val="en-US" w:eastAsia="en-US" w:bidi="ar-SA"/>
    </w:rPr>
  </w:style>
  <w:style w:styleId="TableParagraph" w:type="paragraph">
    <w:name w:val="Table Paragraph"/>
    <w:basedOn w:val="Normal"/>
    <w:uiPriority w:val="1"/>
    <w:qFormat/>
    <w:pPr>
      <w:spacing w:line="210" w:lineRule="exact"/>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yperlink" Target="https://www.ecfr.gov/current/title-49/subtitle-A/part-21/section-21.9" TargetMode="External"/><Relationship Id="rId8" Type="http://schemas.openxmlformats.org/officeDocument/2006/relationships/hyperlink" Target="mailto:sherry.tompkins@maine.gov" TargetMode="External"/><Relationship Id="rId9" Type="http://schemas.openxmlformats.org/officeDocument/2006/relationships/hyperlink" Target="https://www.maine.gov/mdot/civilrights/title-vi/" TargetMode="External"/><Relationship Id="rId10" Type="http://schemas.openxmlformats.org/officeDocument/2006/relationships/hyperlink" Target="http://www.access.gpo.gov/nara/cfr/waisidx_09/49cfr21_09.html" TargetMode="External"/><Relationship Id="rId11" Type="http://schemas.openxmlformats.org/officeDocument/2006/relationships/hyperlink" Target="http://www.fta.dot.gov/documents/FTA_Title_VI_FINAL.doc" TargetMode="External"/><Relationship Id="rId12" Type="http://schemas.openxmlformats.org/officeDocument/2006/relationships/hyperlink" Target="http://www.gpo.gov/fdsys/pkg/FR-2012-08-28/html/2012-21167.htm" TargetMode="External"/><Relationship Id="rId13" Type="http://schemas.openxmlformats.org/officeDocument/2006/relationships/hyperlink" Target="http://www.fta.dot.gov/documents/Implementing_TitleVI_Requirements.doc" TargetMode="External"/><Relationship Id="rId14" Type="http://schemas.openxmlformats.org/officeDocument/2006/relationships/hyperlink" Target="http://www.regulations.gov/search/Regs/home.html%23docketDetail?R=DOT-OST-2001-8696" TargetMode="External"/><Relationship Id="rId15" Type="http://schemas.openxmlformats.org/officeDocument/2006/relationships/hyperlink" Target="http://www.fta.dot.gov/documents/Environmental_Justice_Executive_Order.doc" TargetMode="External"/><Relationship Id="rId16" Type="http://schemas.openxmlformats.org/officeDocument/2006/relationships/hyperlink" Target="http://www.regulations.gov/search/Regs/home.html%23documentDetail?R=0900006480308c24" TargetMode="External"/><Relationship Id="rId17" Type="http://schemas.openxmlformats.org/officeDocument/2006/relationships/hyperlink" Target="http://www.justice.gov/crt/cor/Pubs/eolep.php" TargetMode="External"/><Relationship Id="rId18" Type="http://schemas.openxmlformats.org/officeDocument/2006/relationships/hyperlink" Target="mailto:bruce.dot@maine.gov" TargetMode="External"/><Relationship Id="rId19" Type="http://schemas.openxmlformats.org/officeDocument/2006/relationships/hyperlink" Target="mailto:anne.pare@maine.gov" TargetMode="External"/><Relationship Id="rId20" Type="http://schemas.openxmlformats.org/officeDocument/2006/relationships/hyperlink" Target="mailto:mary.bryant@maine.gov" TargetMode="External"/><Relationship Id="rId21" Type="http://schemas.openxmlformats.org/officeDocument/2006/relationships/hyperlink" Target="mailto:jennifer.e.laliberte@maine.gov" TargetMode="External"/><Relationship Id="rId22" Type="http://schemas.openxmlformats.org/officeDocument/2006/relationships/image" Target="media/image1.png"/><Relationship Id="rId23" Type="http://schemas.openxmlformats.org/officeDocument/2006/relationships/hyperlink" Target="https://gcc02.safelinks.protection.outlook.com/?url=https%3A%2F%2Fwww.maine.gov%2Fmdot%2Fcivilrights%2Fada%2F&amp;data=05%7C01%7CSherry.Tompkins%40maine.gov%7C26073a703b8e4bbd680d08daa577e13b%7C413fa8ab207d4b629bcdea1a8f2f864e%7C0%7C0%7C638004231542986107%7CUnknown%7CTWFpbGZsb3d8eyJWIjoiMC4wLjAwMDAiLCJQIjoiV2luMzIiLCJBTiI6Ik1haWwiLCJXVCI6Mn0%3D%7C3000%7C%7C%7C&amp;sdata=p9gTSODTLcvXv8g9doYuPy4r0%2B9ijVSwb4kHomohxyE%3D&amp;reserved=0" TargetMode="External"/><Relationship Id="rId24" Type="http://schemas.openxmlformats.org/officeDocument/2006/relationships/footer" Target="footer3.xml"/><Relationship Id="rId25" Type="http://schemas.openxmlformats.org/officeDocument/2006/relationships/hyperlink" Target="http://www.maine.gov/mdot/civilrights/title6.htm" TargetMode="External"/><Relationship Id="rId26" Type="http://schemas.openxmlformats.org/officeDocument/2006/relationships/hyperlink" Target="https://www.maine.gov/mdot/civilrights/docs/title6/2019/amy.hughes%40maine.gov" TargetMode="External"/><Relationship Id="rId27" Type="http://schemas.openxmlformats.org/officeDocument/2006/relationships/footer" Target="footer4.xml"/><Relationship Id="rId28" Type="http://schemas.openxmlformats.org/officeDocument/2006/relationships/footer" Target="footer5.xml"/><Relationship Id="rId29" Type="http://schemas.openxmlformats.org/officeDocument/2006/relationships/image" Target="media/image2.jpeg"/><Relationship Id="rId30" Type="http://schemas.openxmlformats.org/officeDocument/2006/relationships/image" Target="media/image3.jpeg"/><Relationship Id="rId31" Type="http://schemas.openxmlformats.org/officeDocument/2006/relationships/footer" Target="footer6.xml"/><Relationship Id="rId32" Type="http://schemas.openxmlformats.org/officeDocument/2006/relationships/hyperlink" Target="http://mdotweb.state.me.us/brand/download.php?file=MaineDOT-logo-landscape.png" TargetMode="External"/><Relationship Id="rId33" Type="http://schemas.openxmlformats.org/officeDocument/2006/relationships/image" Target="media/image4.png"/><Relationship Id="rId34" Type="http://schemas.openxmlformats.org/officeDocument/2006/relationships/hyperlink" Target="https://www.maine.gov/mdot/planning/docs/2021/pip0321.pdf" TargetMode="External"/><Relationship Id="rId35" Type="http://schemas.openxmlformats.org/officeDocument/2006/relationships/hyperlink" Target="http://www.maine.gov/mdot/civilrights/title-vi" TargetMode="External"/><Relationship Id="rId36" Type="http://schemas.openxmlformats.org/officeDocument/2006/relationships/hyperlink" Target="mailto:graceval@gwi.net" TargetMode="External"/><Relationship Id="rId37" Type="http://schemas.openxmlformats.org/officeDocument/2006/relationships/hyperlink" Target="http://www.alphaonenow.org/" TargetMode="External"/><Relationship Id="rId38" Type="http://schemas.openxmlformats.org/officeDocument/2006/relationships/hyperlink" Target="mailto:naacpportland@hotmail.com" TargetMode="External"/><Relationship Id="rId39" Type="http://schemas.openxmlformats.org/officeDocument/2006/relationships/hyperlink" Target="https://www.maine.gov/mdot/civilrights/docs/title6/MinorityandOutreachContactListandMinorityInformation.doc" TargetMode="External"/><Relationship Id="rId40" Type="http://schemas.openxmlformats.org/officeDocument/2006/relationships/hyperlink" Target="https://www.maine.gov/mdot/planning/docs/MaineDOTPublicInvolvement1015.pdf" TargetMode="External"/><Relationship Id="rId41" Type="http://schemas.openxmlformats.org/officeDocument/2006/relationships/hyperlink" Target="http://www.maine.gov/mdot/civilrights/dbe.htm" TargetMode="External"/><Relationship Id="rId42" Type="http://schemas.openxmlformats.org/officeDocument/2006/relationships/hyperlink" Target="https://gcc02.safelinks.protection.outlook.com/?url=https%3A%2F%2Fwww.maine.gov%2Fdafs%2Fbbm%2Fprocurementservices%2Freports%2Fstatewide-contracts&amp;data=04%7C01%7CScott.Rollins%40maine.gov%7Ceac40fdccbba428a666908da0852efc4%7C413fa8ab207d4b629bcdea1a8f2f864e%7C0%7C0%7C637831449539600484%7CUnknown%7CTWFpbGZsb3d8eyJWIjoiMC4wLjAwMDAiLCJQIjoiV2luMzIiLCJBTiI6Ik1haWwiLCJXVCI6Mn0%3D%7C3000&amp;sdata=fQDfm9KvVRN666LHCMPSxDb59Nd2neMrrxarIXEqKCY%3D&amp;reserved=0" TargetMode="External"/><Relationship Id="rId43" Type="http://schemas.openxmlformats.org/officeDocument/2006/relationships/hyperlink" Target="http://www.languageline.com/" TargetMode="External"/><Relationship Id="rId44" Type="http://schemas.openxmlformats.org/officeDocument/2006/relationships/hyperlink" Target="http://www.maine.gov/dhhs/documents/Language_ID_Card.pdf" TargetMode="External"/><Relationship Id="rId45" Type="http://schemas.openxmlformats.org/officeDocument/2006/relationships/hyperlink" Target="https://www.maine.gov/dafs/bbm/procurementservices/reports/statewide-contracts" TargetMode="External"/><Relationship Id="rId46" Type="http://schemas.openxmlformats.org/officeDocument/2006/relationships/hyperlink" Target="https://www.maine.gov/mdot/civilrights/docs/title6/Language_ID_Card.pdf" TargetMode="External"/><Relationship Id="rId47" Type="http://schemas.openxmlformats.org/officeDocument/2006/relationships/image" Target="media/image5.jpeg"/><Relationship Id="rId48" Type="http://schemas.openxmlformats.org/officeDocument/2006/relationships/image" Target="media/image6.jpeg"/><Relationship Id="rId49" Type="http://schemas.openxmlformats.org/officeDocument/2006/relationships/image" Target="media/image7.jpeg"/><Relationship Id="rId50" Type="http://schemas.openxmlformats.org/officeDocument/2006/relationships/image" Target="media/image8.png"/><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image" Target="media/image11.png"/><Relationship Id="rId54" Type="http://schemas.openxmlformats.org/officeDocument/2006/relationships/hyperlink" Target="https://www.maine.gov/mdot/transit/publications/lcp/" TargetMode="External"/><Relationship Id="rId55" Type="http://schemas.openxmlformats.org/officeDocument/2006/relationships/footer" Target="footer7.xml"/><Relationship Id="rId56" Type="http://schemas.openxmlformats.org/officeDocument/2006/relationships/hyperlink" Target="mailto:sheny.tompkins@maine.gov" TargetMode="External"/><Relationship Id="rId57" Type="http://schemas.openxmlformats.org/officeDocument/2006/relationships/footer" Target="footer8.xml"/><Relationship Id="rId58" Type="http://schemas.openxmlformats.org/officeDocument/2006/relationships/footer" Target="footer9.xml"/><Relationship Id="rId59" Type="http://schemas.openxmlformats.org/officeDocument/2006/relationships/footer" Target="footer10.xml"/><Relationship Id="rId60" Type="http://schemas.openxmlformats.org/officeDocument/2006/relationships/footer" Target="footer11.xml"/><Relationship Id="rId61" Type="http://schemas.openxmlformats.org/officeDocument/2006/relationships/footer" Target="footer12.xml"/><Relationship Id="rId62" Type="http://schemas.openxmlformats.org/officeDocument/2006/relationships/footer" Target="footer13.xml"/><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footer" Target="footer16.xml"/><Relationship Id="rId66" Type="http://schemas.openxmlformats.org/officeDocument/2006/relationships/footer" Target="footer17.xml"/><Relationship Id="rId67" Type="http://schemas.openxmlformats.org/officeDocument/2006/relationships/footer" Target="footer18.xml"/><Relationship Id="rId68" Type="http://schemas.openxmlformats.org/officeDocument/2006/relationships/image" Target="media/image12.jpeg"/><Relationship Id="rId69" Type="http://schemas.openxmlformats.org/officeDocument/2006/relationships/hyperlink" Target="https://www.govinfo.gov/content/pkg/FR-2000-08-16/pdf/00-20938.pdf" TargetMode="External"/><Relationship Id="rId70" Type="http://schemas.openxmlformats.org/officeDocument/2006/relationships/hyperlink" Target="https://www.govinfo.gov/content/pkg/FR-2005-12-14/html/05-23972.htm" TargetMode="External"/><Relationship Id="rId71" Type="http://schemas.openxmlformats.org/officeDocument/2006/relationships/hyperlink" Target="https://www2.census.gov/programs-surveys/demo/about/language-use/primary_language_list.pdf" TargetMode="External"/><Relationship Id="rId72" Type="http://schemas.openxmlformats.org/officeDocument/2006/relationships/image" Target="media/image13.jpeg"/><Relationship Id="rId73" Type="http://schemas.openxmlformats.org/officeDocument/2006/relationships/image" Target="media/image14.jpeg"/><Relationship Id="rId74" Type="http://schemas.openxmlformats.org/officeDocument/2006/relationships/image" Target="media/image15.jpeg"/><Relationship Id="rId75" Type="http://schemas.openxmlformats.org/officeDocument/2006/relationships/hyperlink" Target="http://www.maine.gov/doe/englishlearnerdatadashboard" TargetMode="External"/><Relationship Id="rId76" Type="http://schemas.openxmlformats.org/officeDocument/2006/relationships/hyperlink" Target="http://www.usa.com/rank/maine-state--vietnamese-population-percentage--" TargetMode="External"/><Relationship Id="rId77" Type="http://schemas.openxmlformats.org/officeDocument/2006/relationships/hyperlink" Target="http://www.govinfo.gov/" TargetMode="External"/><Relationship Id="rId78" Type="http://schemas.openxmlformats.org/officeDocument/2006/relationships/hyperlink" Target="http://www.govinfo.gov/content/pkg/FR-2000-08-16/pdf/00-20938.pdf" TargetMode="External"/><Relationship Id="rId79" Type="http://schemas.openxmlformats.org/officeDocument/2006/relationships/footer" Target="footer19.xml"/><Relationship Id="rId80" Type="http://schemas.openxmlformats.org/officeDocument/2006/relationships/hyperlink" Target="http://mdotweb/brand/download.php?file=MaineDOT-logo-landscape.png" TargetMode="External"/><Relationship Id="rId81" Type="http://schemas.openxmlformats.org/officeDocument/2006/relationships/footer" Target="footer20.xml"/><Relationship Id="rId82" Type="http://schemas.openxmlformats.org/officeDocument/2006/relationships/footer" Target="footer21.xml"/><Relationship Id="rId83" Type="http://schemas.openxmlformats.org/officeDocument/2006/relationships/footer" Target="footer22.xml"/><Relationship Id="rId84" Type="http://schemas.openxmlformats.org/officeDocument/2006/relationships/footer" Target="footer23.xml"/><Relationship Id="rId85" Type="http://schemas.openxmlformats.org/officeDocument/2006/relationships/footer" Target="footer24.xml"/><Relationship Id="rId86" Type="http://schemas.openxmlformats.org/officeDocument/2006/relationships/footer" Target="footer25.xml"/><Relationship Id="rId87" Type="http://schemas.openxmlformats.org/officeDocument/2006/relationships/footer" Target="footer26.xml"/><Relationship Id="rId88" Type="http://schemas.openxmlformats.org/officeDocument/2006/relationships/footer" Target="footer27.xml"/><Relationship Id="rId89" Type="http://schemas.openxmlformats.org/officeDocument/2006/relationships/footer" Target="footer28.xml"/><Relationship Id="rId90" Type="http://schemas.openxmlformats.org/officeDocument/2006/relationships/footer" Target="footer29.xml"/><Relationship Id="rId91" Type="http://schemas.openxmlformats.org/officeDocument/2006/relationships/footer" Target="footer30.xml"/><Relationship Id="rId92" Type="http://schemas.openxmlformats.org/officeDocument/2006/relationships/footer" Target="footer31.xml"/><Relationship Id="rId93" Type="http://schemas.openxmlformats.org/officeDocument/2006/relationships/footer" Target="footer32.xml"/><Relationship Id="rId94" Type="http://schemas.openxmlformats.org/officeDocument/2006/relationships/footer" Target="footer33.xml"/><Relationship Id="rId95" Type="http://schemas.openxmlformats.org/officeDocument/2006/relationships/footer" Target="footer34.xml"/><Relationship Id="rId96" Type="http://schemas.openxmlformats.org/officeDocument/2006/relationships/footer" Target="footer35.xml"/><Relationship Id="rId97" Type="http://schemas.openxmlformats.org/officeDocument/2006/relationships/image" Target="media/image16.png"/><Relationship Id="rId98" Type="http://schemas.openxmlformats.org/officeDocument/2006/relationships/image" Target="media/image17.png"/><Relationship Id="rId99" Type="http://schemas.openxmlformats.org/officeDocument/2006/relationships/image" Target="media/image18.jpeg"/><Relationship Id="rId100" Type="http://schemas.openxmlformats.org/officeDocument/2006/relationships/image" Target="media/image19.png"/><Relationship Id="rId101" Type="http://schemas.openxmlformats.org/officeDocument/2006/relationships/image" Target="media/image20.png"/><Relationship Id="rId102" Type="http://schemas.openxmlformats.org/officeDocument/2006/relationships/image" Target="media/image21.png"/><Relationship Id="rId103" Type="http://schemas.openxmlformats.org/officeDocument/2006/relationships/image" Target="media/image22.png"/><Relationship Id="rId104" Type="http://schemas.openxmlformats.org/officeDocument/2006/relationships/image" Target="media/image23.png"/><Relationship Id="rId105" Type="http://schemas.openxmlformats.org/officeDocument/2006/relationships/image" Target="media/image24.png"/><Relationship Id="rId106" Type="http://schemas.openxmlformats.org/officeDocument/2006/relationships/image" Target="media/image25.png"/><Relationship Id="rId107" Type="http://schemas.openxmlformats.org/officeDocument/2006/relationships/image" Target="media/image26.png"/><Relationship Id="rId108" Type="http://schemas.openxmlformats.org/officeDocument/2006/relationships/image" Target="media/image27.png"/><Relationship Id="rId109" Type="http://schemas.openxmlformats.org/officeDocument/2006/relationships/image" Target="media/image28.png"/><Relationship Id="rId110" Type="http://schemas.openxmlformats.org/officeDocument/2006/relationships/image" Target="media/image29.png"/><Relationship Id="rId111" Type="http://schemas.openxmlformats.org/officeDocument/2006/relationships/image" Target="media/image30.png"/><Relationship Id="rId112" Type="http://schemas.openxmlformats.org/officeDocument/2006/relationships/image" Target="media/image31.png"/><Relationship Id="rId113" Type="http://schemas.openxmlformats.org/officeDocument/2006/relationships/image" Target="media/image32.png"/><Relationship Id="rId114" Type="http://schemas.openxmlformats.org/officeDocument/2006/relationships/hyperlink" Target="http://www.LanguageLine.com/" TargetMode="External"/><Relationship Id="rId115" Type="http://schemas.openxmlformats.org/officeDocument/2006/relationships/footer" Target="footer36.xml"/><Relationship Id="rId116" Type="http://schemas.openxmlformats.org/officeDocument/2006/relationships/image" Target="media/image33.png"/><Relationship Id="rId117" Type="http://schemas.openxmlformats.org/officeDocument/2006/relationships/image" Target="media/image34.png"/><Relationship Id="rId118" Type="http://schemas.openxmlformats.org/officeDocument/2006/relationships/image" Target="media/image35.png"/><Relationship Id="rId119" Type="http://schemas.openxmlformats.org/officeDocument/2006/relationships/image" Target="media/image36.png"/><Relationship Id="rId120" Type="http://schemas.openxmlformats.org/officeDocument/2006/relationships/image" Target="media/image37.png"/><Relationship Id="rId121" Type="http://schemas.openxmlformats.org/officeDocument/2006/relationships/image" Target="media/image38.png"/><Relationship Id="rId122" Type="http://schemas.openxmlformats.org/officeDocument/2006/relationships/image" Target="media/image39.png"/><Relationship Id="rId123" Type="http://schemas.openxmlformats.org/officeDocument/2006/relationships/image" Target="media/image40.png"/><Relationship Id="rId124" Type="http://schemas.openxmlformats.org/officeDocument/2006/relationships/image" Target="media/image41.png"/><Relationship Id="rId125" Type="http://schemas.openxmlformats.org/officeDocument/2006/relationships/image" Target="media/image42.png"/><Relationship Id="rId126" Type="http://schemas.openxmlformats.org/officeDocument/2006/relationships/image" Target="media/image43.jpeg"/><Relationship Id="rId127" Type="http://schemas.openxmlformats.org/officeDocument/2006/relationships/image" Target="media/image44.png"/><Relationship Id="rId128" Type="http://schemas.openxmlformats.org/officeDocument/2006/relationships/image" Target="media/image45.png"/><Relationship Id="rId129" Type="http://schemas.openxmlformats.org/officeDocument/2006/relationships/image" Target="media/image46.png"/><Relationship Id="rId130" Type="http://schemas.openxmlformats.org/officeDocument/2006/relationships/image" Target="media/image47.png"/><Relationship Id="rId131" Type="http://schemas.openxmlformats.org/officeDocument/2006/relationships/image" Target="media/image48.png"/><Relationship Id="rId132" Type="http://schemas.openxmlformats.org/officeDocument/2006/relationships/image" Target="media/image49.png"/><Relationship Id="rId133" Type="http://schemas.openxmlformats.org/officeDocument/2006/relationships/image" Target="media/image50.png"/><Relationship Id="rId134" Type="http://schemas.openxmlformats.org/officeDocument/2006/relationships/image" Target="media/image51.jpeg"/><Relationship Id="rId135" Type="http://schemas.openxmlformats.org/officeDocument/2006/relationships/image" Target="media/image52.png"/><Relationship Id="rId136" Type="http://schemas.openxmlformats.org/officeDocument/2006/relationships/image" Target="media/image53.png"/><Relationship Id="rId137" Type="http://schemas.openxmlformats.org/officeDocument/2006/relationships/image" Target="media/image54.png"/><Relationship Id="rId138" Type="http://schemas.openxmlformats.org/officeDocument/2006/relationships/image" Target="media/image55.png"/><Relationship Id="rId139" Type="http://schemas.openxmlformats.org/officeDocument/2006/relationships/image" Target="media/image56.png"/><Relationship Id="rId140" Type="http://schemas.openxmlformats.org/officeDocument/2006/relationships/hyperlink" Target="mailto:transLation@languageline.com" TargetMode="External"/><Relationship Id="rId141" Type="http://schemas.openxmlformats.org/officeDocument/2006/relationships/image" Target="media/image57.png"/><Relationship Id="rId142" Type="http://schemas.openxmlformats.org/officeDocument/2006/relationships/image" Target="media/image58.png"/><Relationship Id="rId143" Type="http://schemas.openxmlformats.org/officeDocument/2006/relationships/image" Target="media/image59.png"/><Relationship Id="rId144" Type="http://schemas.openxmlformats.org/officeDocument/2006/relationships/image" Target="media/image60.png"/><Relationship Id="rId145" Type="http://schemas.openxmlformats.org/officeDocument/2006/relationships/image" Target="media/image61.png"/><Relationship Id="rId146" Type="http://schemas.openxmlformats.org/officeDocument/2006/relationships/image" Target="media/image62.png"/><Relationship Id="rId147" Type="http://schemas.openxmlformats.org/officeDocument/2006/relationships/image" Target="media/image63.png"/><Relationship Id="rId148" Type="http://schemas.openxmlformats.org/officeDocument/2006/relationships/image" Target="media/image64.png"/><Relationship Id="rId1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HP</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 Rothe</dc:creator>
  <dc:description/>
  <dcterms:created xsi:type="dcterms:W3CDTF">2023-10-13T13:46:11Z</dcterms:created>
  <dcterms:modified xsi:type="dcterms:W3CDTF">2023-10-13T13:46:11Z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Acrobat PDFMaker 20 for Word</vt:lpwstr>
  </property>
  <property fmtid="{D5CDD505-2E9C-101B-9397-08002B2CF9AE}" pid="4" name="LastSaved">
    <vt:filetime>2023-10-13T00:00:00Z</vt:filetime>
  </property>
  <property fmtid="{D5CDD505-2E9C-101B-9397-08002B2CF9AE}" pid="5" name="Producer">
    <vt:lpwstr>Adobe PDF Library 20.5.60</vt:lpwstr>
  </property>
  <property fmtid="{D5CDD505-2E9C-101B-9397-08002B2CF9AE}" pid="6" name="SourceModified">
    <vt:lpwstr>D:20230928173736</vt:lpwstr>
  </property>
  <property fmtid="{D5CDD505-2E9C-101B-9397-08002B2CF9AE}" pid="7" name="_NewReviewCycle">
    <vt:lpwstr/>
  </property>
</Properties>
</file>